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header4.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7.xml" ContentType="application/vnd.openxmlformats-officedocument.customXmlPropertie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524" w:rsidRPr="009E5524" w:rsidRDefault="009E5524" w:rsidP="003E583E">
      <w:pPr>
        <w:pStyle w:val="09Bullet2"/>
        <w:numPr>
          <w:ilvl w:val="0"/>
          <w:numId w:val="0"/>
        </w:numPr>
        <w:ind w:left="1440"/>
      </w:pPr>
      <w:bookmarkStart w:id="0" w:name="_Toc231871927"/>
      <w:bookmarkStart w:id="1" w:name="_Toc243474052"/>
      <w:bookmarkStart w:id="2" w:name="_Toc373169690"/>
    </w:p>
    <w:p w:rsidR="009E5524" w:rsidRPr="009E5524" w:rsidRDefault="009E5524" w:rsidP="009E5524">
      <w:pPr>
        <w:pBdr>
          <w:bottom w:val="single" w:sz="8" w:space="4" w:color="4F81BD"/>
        </w:pBdr>
        <w:spacing w:before="0" w:after="300"/>
        <w:contextualSpacing/>
        <w:jc w:val="center"/>
        <w:rPr>
          <w:rFonts w:ascii="Calibri" w:eastAsia="MS PGothic" w:hAnsi="Calibri"/>
          <w:color w:val="17365D"/>
          <w:spacing w:val="5"/>
          <w:kern w:val="28"/>
          <w:sz w:val="52"/>
          <w:szCs w:val="52"/>
        </w:rPr>
      </w:pPr>
      <w:r w:rsidRPr="009E5524">
        <w:rPr>
          <w:rFonts w:ascii="Calibri" w:eastAsia="MS PGothic" w:hAnsi="Calibri"/>
          <w:color w:val="17365D"/>
          <w:spacing w:val="5"/>
          <w:kern w:val="28"/>
          <w:sz w:val="52"/>
          <w:szCs w:val="52"/>
        </w:rPr>
        <w:t>P</w:t>
      </w:r>
      <w:bookmarkStart w:id="3" w:name="_Ref231813955"/>
      <w:bookmarkStart w:id="4" w:name="_Ref231825215"/>
      <w:bookmarkStart w:id="5" w:name="_Ref231832787"/>
      <w:bookmarkStart w:id="6" w:name="_Ref231871949"/>
      <w:bookmarkEnd w:id="3"/>
      <w:bookmarkEnd w:id="4"/>
      <w:bookmarkEnd w:id="5"/>
      <w:bookmarkEnd w:id="6"/>
      <w:r w:rsidRPr="009E5524">
        <w:rPr>
          <w:rFonts w:ascii="Calibri" w:eastAsia="MS PGothic" w:hAnsi="Calibri"/>
          <w:color w:val="17365D"/>
          <w:spacing w:val="5"/>
          <w:kern w:val="28"/>
          <w:sz w:val="52"/>
          <w:szCs w:val="52"/>
        </w:rPr>
        <w:t>artnersk</w:t>
      </w:r>
      <w:r w:rsidR="00F737DB">
        <w:rPr>
          <w:rFonts w:ascii="Calibri" w:eastAsia="MS PGothic" w:hAnsi="Calibri"/>
          <w:color w:val="17365D"/>
          <w:spacing w:val="5"/>
          <w:kern w:val="28"/>
          <w:sz w:val="52"/>
          <w:szCs w:val="52"/>
        </w:rPr>
        <w:t>á</w:t>
      </w:r>
      <w:r w:rsidRPr="009E5524">
        <w:rPr>
          <w:rFonts w:ascii="Calibri" w:eastAsia="MS PGothic" w:hAnsi="Calibri"/>
          <w:color w:val="17365D"/>
          <w:spacing w:val="5"/>
          <w:kern w:val="28"/>
          <w:sz w:val="52"/>
          <w:szCs w:val="52"/>
        </w:rPr>
        <w:t xml:space="preserve"> dohod</w:t>
      </w:r>
      <w:r w:rsidR="00F737DB">
        <w:rPr>
          <w:rFonts w:ascii="Calibri" w:eastAsia="MS PGothic" w:hAnsi="Calibri"/>
          <w:color w:val="17365D"/>
          <w:spacing w:val="5"/>
          <w:kern w:val="28"/>
          <w:sz w:val="52"/>
          <w:szCs w:val="52"/>
        </w:rPr>
        <w:t>a</w:t>
      </w:r>
      <w:r w:rsidRPr="009E5524">
        <w:rPr>
          <w:rFonts w:ascii="Calibri" w:eastAsia="MS PGothic" w:hAnsi="Calibri"/>
          <w:color w:val="17365D"/>
          <w:spacing w:val="5"/>
          <w:kern w:val="28"/>
          <w:sz w:val="52"/>
          <w:szCs w:val="52"/>
        </w:rPr>
        <w:t xml:space="preserve"> </w:t>
      </w:r>
      <w:r w:rsidR="00BD5FD5">
        <w:rPr>
          <w:rFonts w:ascii="Calibri" w:eastAsia="MS PGothic" w:hAnsi="Calibri"/>
          <w:color w:val="17365D"/>
          <w:spacing w:val="5"/>
          <w:kern w:val="28"/>
          <w:sz w:val="52"/>
          <w:szCs w:val="52"/>
        </w:rPr>
        <w:t>S</w:t>
      </w:r>
      <w:r w:rsidRPr="009E5524">
        <w:rPr>
          <w:rFonts w:ascii="Calibri" w:eastAsia="MS PGothic" w:hAnsi="Calibri"/>
          <w:color w:val="17365D"/>
          <w:spacing w:val="5"/>
          <w:kern w:val="28"/>
          <w:sz w:val="52"/>
          <w:szCs w:val="52"/>
        </w:rPr>
        <w:t>R na roky</w:t>
      </w:r>
    </w:p>
    <w:p w:rsidR="009E5524" w:rsidRDefault="009E5524" w:rsidP="009E5524">
      <w:pPr>
        <w:pBdr>
          <w:bottom w:val="single" w:sz="8" w:space="4" w:color="4F81BD"/>
        </w:pBdr>
        <w:spacing w:before="0" w:after="300"/>
        <w:contextualSpacing/>
        <w:jc w:val="center"/>
        <w:rPr>
          <w:rFonts w:ascii="Calibri" w:eastAsia="MS PGothic" w:hAnsi="Calibri"/>
          <w:color w:val="17365D"/>
          <w:spacing w:val="5"/>
          <w:kern w:val="28"/>
          <w:sz w:val="52"/>
          <w:szCs w:val="52"/>
        </w:rPr>
      </w:pPr>
      <w:r w:rsidRPr="009E5524">
        <w:rPr>
          <w:rFonts w:ascii="Calibri" w:eastAsia="MS PGothic" w:hAnsi="Calibri"/>
          <w:color w:val="17365D"/>
          <w:spacing w:val="5"/>
          <w:kern w:val="28"/>
          <w:sz w:val="52"/>
          <w:szCs w:val="52"/>
        </w:rPr>
        <w:t>2014 – 2020</w:t>
      </w:r>
    </w:p>
    <w:p w:rsidR="00D8775F" w:rsidRPr="009E5524" w:rsidRDefault="00F737DB" w:rsidP="009E5524">
      <w:pPr>
        <w:pBdr>
          <w:bottom w:val="single" w:sz="8" w:space="4" w:color="4F81BD"/>
        </w:pBdr>
        <w:spacing w:before="0" w:after="300"/>
        <w:contextualSpacing/>
        <w:jc w:val="center"/>
        <w:rPr>
          <w:rFonts w:ascii="Calibri" w:eastAsia="MS PGothic" w:hAnsi="Calibri"/>
          <w:color w:val="17365D"/>
          <w:spacing w:val="5"/>
          <w:kern w:val="28"/>
          <w:sz w:val="52"/>
          <w:szCs w:val="52"/>
        </w:rPr>
      </w:pPr>
      <w:r>
        <w:rPr>
          <w:rFonts w:ascii="Calibri" w:eastAsia="MS PGothic" w:hAnsi="Calibri"/>
          <w:color w:val="17365D"/>
          <w:spacing w:val="5"/>
          <w:kern w:val="28"/>
          <w:sz w:val="52"/>
          <w:szCs w:val="52"/>
        </w:rPr>
        <w:t xml:space="preserve">(verzia </w:t>
      </w:r>
      <w:r w:rsidR="007126D9">
        <w:rPr>
          <w:rFonts w:ascii="Calibri" w:eastAsia="MS PGothic" w:hAnsi="Calibri"/>
          <w:color w:val="17365D"/>
          <w:spacing w:val="5"/>
          <w:kern w:val="28"/>
          <w:sz w:val="52"/>
          <w:szCs w:val="52"/>
        </w:rPr>
        <w:t>3</w:t>
      </w:r>
      <w:r w:rsidR="00D8775F">
        <w:rPr>
          <w:rFonts w:ascii="Calibri" w:eastAsia="MS PGothic" w:hAnsi="Calibri"/>
          <w:color w:val="17365D"/>
          <w:spacing w:val="5"/>
          <w:kern w:val="28"/>
          <w:sz w:val="52"/>
          <w:szCs w:val="52"/>
        </w:rPr>
        <w:t>.0)</w:t>
      </w: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Default="009E5524" w:rsidP="009E5524">
      <w:pPr>
        <w:rPr>
          <w:rFonts w:ascii="Calibri" w:eastAsia="MS PGothic" w:hAnsi="Calibri"/>
        </w:rPr>
      </w:pPr>
    </w:p>
    <w:p w:rsidR="00FC7863" w:rsidRPr="009E5524" w:rsidRDefault="00FC7863" w:rsidP="009E5524">
      <w:pPr>
        <w:rPr>
          <w:rFonts w:ascii="Calibri" w:eastAsia="MS PGothic" w:hAnsi="Calibri"/>
        </w:rPr>
      </w:pPr>
    </w:p>
    <w:p w:rsidR="009E5524" w:rsidRPr="009E5524" w:rsidRDefault="009E5524" w:rsidP="009E5524">
      <w:pPr>
        <w:rPr>
          <w:rFonts w:ascii="Calibri" w:eastAsia="MS PGothic" w:hAnsi="Calibri"/>
        </w:rPr>
      </w:pPr>
    </w:p>
    <w:p w:rsidR="009E5524" w:rsidRDefault="009E5524" w:rsidP="009E5524">
      <w:pPr>
        <w:rPr>
          <w:rFonts w:ascii="Calibri" w:eastAsia="MS PGothic" w:hAnsi="Calibri"/>
        </w:rPr>
      </w:pPr>
    </w:p>
    <w:p w:rsidR="00791A0E" w:rsidRPr="009E5524" w:rsidRDefault="00791A0E"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40530E" w:rsidP="009E5524">
      <w:pPr>
        <w:rPr>
          <w:rFonts w:ascii="Calibri" w:eastAsia="MS PGothic" w:hAnsi="Calibri"/>
        </w:rPr>
      </w:pPr>
      <w:r>
        <w:rPr>
          <w:noProof/>
          <w:lang w:eastAsia="sk-SK"/>
        </w:rPr>
        <w:drawing>
          <wp:anchor distT="0" distB="0" distL="114300" distR="114300" simplePos="0" relativeHeight="251777024" behindDoc="0" locked="0" layoutInCell="1" allowOverlap="1" wp14:anchorId="11BE20C1" wp14:editId="45FB588A">
            <wp:simplePos x="0" y="0"/>
            <wp:positionH relativeFrom="column">
              <wp:posOffset>1031875</wp:posOffset>
            </wp:positionH>
            <wp:positionV relativeFrom="paragraph">
              <wp:posOffset>36195</wp:posOffset>
            </wp:positionV>
            <wp:extent cx="3865245" cy="3983990"/>
            <wp:effectExtent l="0" t="0" r="0" b="0"/>
            <wp:wrapTight wrapText="bothSides">
              <wp:wrapPolygon edited="0">
                <wp:start x="0" y="0"/>
                <wp:lineTo x="0" y="21483"/>
                <wp:lineTo x="21504" y="21483"/>
                <wp:lineTo x="21504"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3815" t="4218" r="3848" b="5371"/>
                    <a:stretch>
                      <a:fillRect/>
                    </a:stretch>
                  </pic:blipFill>
                  <pic:spPr bwMode="auto">
                    <a:xfrm>
                      <a:off x="0" y="0"/>
                      <a:ext cx="3865245" cy="398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9E5524" w:rsidRPr="009E5524" w:rsidRDefault="009E5524" w:rsidP="009E5524">
      <w:pPr>
        <w:rPr>
          <w:rFonts w:ascii="Calibri" w:eastAsia="MS PGothic" w:hAnsi="Calibri"/>
        </w:rPr>
      </w:pPr>
    </w:p>
    <w:p w:rsidR="00E26787" w:rsidRDefault="00E26787" w:rsidP="004F266C">
      <w:pPr>
        <w:pStyle w:val="Obsah1"/>
      </w:pPr>
    </w:p>
    <w:p w:rsidR="00E26787" w:rsidRDefault="00E26787" w:rsidP="004F266C">
      <w:pPr>
        <w:pStyle w:val="Obsah1"/>
      </w:pPr>
    </w:p>
    <w:p w:rsidR="00E26787" w:rsidRDefault="00E26787" w:rsidP="004F266C">
      <w:pPr>
        <w:pStyle w:val="Obsah1"/>
      </w:pPr>
    </w:p>
    <w:p w:rsidR="00791A0E" w:rsidRPr="00791A0E" w:rsidRDefault="00791A0E" w:rsidP="00791A0E"/>
    <w:p w:rsidR="00E26787" w:rsidRDefault="00007508" w:rsidP="004F266C">
      <w:pPr>
        <w:pStyle w:val="Obsah1"/>
      </w:pPr>
      <w:r>
        <w:lastRenderedPageBreak/>
        <w:t>Obsah</w:t>
      </w:r>
    </w:p>
    <w:p w:rsidR="00007508" w:rsidRDefault="009120EA" w:rsidP="004F266C">
      <w:pPr>
        <w:pStyle w:val="Obsah1"/>
        <w:rPr>
          <w:rFonts w:asciiTheme="minorHAnsi" w:hAnsiTheme="minorHAnsi" w:cstheme="minorBidi"/>
          <w:color w:val="auto"/>
          <w:lang w:eastAsia="sk-SK"/>
        </w:rPr>
      </w:pPr>
      <w:r>
        <w:rPr>
          <w:rFonts w:eastAsia="MS PGothic"/>
          <w:color w:val="548DD4"/>
        </w:rPr>
        <w:fldChar w:fldCharType="begin"/>
      </w:r>
      <w:r>
        <w:rPr>
          <w:rFonts w:eastAsia="MS PGothic"/>
          <w:color w:val="548DD4"/>
        </w:rPr>
        <w:instrText xml:space="preserve"> TOC \o "1-2"  \* MERGEFORMAT </w:instrText>
      </w:r>
      <w:r>
        <w:rPr>
          <w:rFonts w:eastAsia="MS PGothic"/>
          <w:color w:val="548DD4"/>
        </w:rPr>
        <w:fldChar w:fldCharType="separate"/>
      </w:r>
      <w:r w:rsidR="00007508">
        <w:t>1</w:t>
      </w:r>
      <w:r w:rsidR="00007508">
        <w:rPr>
          <w:rFonts w:asciiTheme="minorHAnsi" w:hAnsiTheme="minorHAnsi" w:cstheme="minorBidi"/>
          <w:color w:val="auto"/>
          <w:lang w:eastAsia="sk-SK"/>
        </w:rPr>
        <w:tab/>
      </w:r>
      <w:r w:rsidR="00007508">
        <w:t>Opatrenia na zabezpečenie súladu so stratégiou Únie na zabezpečenie inteligentného, udržateľného a inkluzívneho rastu</w:t>
      </w:r>
      <w:r w:rsidR="00007508">
        <w:tab/>
      </w:r>
      <w:r w:rsidR="00007508">
        <w:fldChar w:fldCharType="begin"/>
      </w:r>
      <w:r w:rsidR="00007508">
        <w:instrText xml:space="preserve"> PAGEREF _Toc490655217 \h </w:instrText>
      </w:r>
      <w:r w:rsidR="00007508">
        <w:fldChar w:fldCharType="separate"/>
      </w:r>
      <w:r w:rsidR="00007508">
        <w:t>3</w:t>
      </w:r>
      <w:r w:rsidR="00007508">
        <w:fldChar w:fldCharType="end"/>
      </w:r>
    </w:p>
    <w:p w:rsidR="00007508" w:rsidRDefault="00007508" w:rsidP="004F266C">
      <w:pPr>
        <w:pStyle w:val="Obsah2"/>
        <w:rPr>
          <w:rFonts w:asciiTheme="minorHAnsi" w:hAnsiTheme="minorHAnsi" w:cstheme="minorBidi"/>
          <w:lang w:eastAsia="sk-SK"/>
        </w:rPr>
      </w:pPr>
      <w:r>
        <w:t>1.1</w:t>
      </w:r>
      <w:r>
        <w:rPr>
          <w:rFonts w:asciiTheme="minorHAnsi" w:hAnsiTheme="minorHAnsi" w:cstheme="minorBidi"/>
          <w:lang w:eastAsia="sk-SK"/>
        </w:rPr>
        <w:tab/>
      </w:r>
      <w:r>
        <w:t>Analýza rozdielov, potrieb v oblasti rozvoja a potenciálu rastu</w:t>
      </w:r>
      <w:r>
        <w:tab/>
      </w:r>
      <w:r>
        <w:fldChar w:fldCharType="begin"/>
      </w:r>
      <w:r>
        <w:instrText xml:space="preserve"> PAGEREF _Toc490655218 \h </w:instrText>
      </w:r>
      <w:r>
        <w:fldChar w:fldCharType="separate"/>
      </w:r>
      <w:r>
        <w:t>3</w:t>
      </w:r>
      <w:r>
        <w:fldChar w:fldCharType="end"/>
      </w:r>
    </w:p>
    <w:p w:rsidR="00007508" w:rsidRDefault="00007508" w:rsidP="004F266C">
      <w:pPr>
        <w:pStyle w:val="Obsah2"/>
        <w:rPr>
          <w:rFonts w:asciiTheme="minorHAnsi" w:hAnsiTheme="minorHAnsi" w:cstheme="minorBidi"/>
          <w:lang w:eastAsia="sk-SK"/>
        </w:rPr>
      </w:pPr>
      <w:r>
        <w:t>1.2</w:t>
      </w:r>
      <w:r>
        <w:rPr>
          <w:rFonts w:asciiTheme="minorHAnsi" w:hAnsiTheme="minorHAnsi" w:cstheme="minorBidi"/>
          <w:lang w:eastAsia="sk-SK"/>
        </w:rPr>
        <w:tab/>
      </w:r>
      <w:r>
        <w:t>Zhrnutie kľúčových záverov ex ante hodnotenia PD</w:t>
      </w:r>
      <w:r>
        <w:tab/>
      </w:r>
      <w:r>
        <w:fldChar w:fldCharType="begin"/>
      </w:r>
      <w:r>
        <w:instrText xml:space="preserve"> PAGEREF _Toc490655219 \h </w:instrText>
      </w:r>
      <w:r>
        <w:fldChar w:fldCharType="separate"/>
      </w:r>
      <w:r>
        <w:t>77</w:t>
      </w:r>
      <w:r>
        <w:fldChar w:fldCharType="end"/>
      </w:r>
    </w:p>
    <w:p w:rsidR="00007508" w:rsidRDefault="00007508" w:rsidP="004F266C">
      <w:pPr>
        <w:pStyle w:val="Obsah2"/>
        <w:rPr>
          <w:rFonts w:asciiTheme="minorHAnsi" w:hAnsiTheme="minorHAnsi" w:cstheme="minorBidi"/>
          <w:lang w:eastAsia="sk-SK"/>
        </w:rPr>
      </w:pPr>
      <w:r>
        <w:rPr>
          <w:lang w:eastAsia="cs-CZ"/>
        </w:rPr>
        <w:t>1.3</w:t>
      </w:r>
      <w:r>
        <w:rPr>
          <w:rFonts w:asciiTheme="minorHAnsi" w:hAnsiTheme="minorHAnsi" w:cstheme="minorBidi"/>
          <w:lang w:eastAsia="sk-SK"/>
        </w:rPr>
        <w:tab/>
      </w:r>
      <w:r>
        <w:rPr>
          <w:lang w:eastAsia="cs-CZ"/>
        </w:rPr>
        <w:t>Zhrnutie vybraných tematických cieľov a zhrnutia hlavných výsledkov očakávaných pre každý z EŠIF v prípade každého z vybraných tematických cieľov</w:t>
      </w:r>
      <w:r>
        <w:tab/>
      </w:r>
      <w:r>
        <w:fldChar w:fldCharType="begin"/>
      </w:r>
      <w:r>
        <w:instrText xml:space="preserve"> PAGEREF _Toc490655220 \h </w:instrText>
      </w:r>
      <w:r>
        <w:fldChar w:fldCharType="separate"/>
      </w:r>
      <w:r>
        <w:t>79</w:t>
      </w:r>
      <w:r>
        <w:fldChar w:fldCharType="end"/>
      </w:r>
    </w:p>
    <w:p w:rsidR="00007508" w:rsidRDefault="00007508" w:rsidP="004F266C">
      <w:pPr>
        <w:pStyle w:val="Obsah2"/>
        <w:rPr>
          <w:rFonts w:asciiTheme="minorHAnsi" w:hAnsiTheme="minorHAnsi" w:cstheme="minorBidi"/>
          <w:lang w:eastAsia="sk-SK"/>
        </w:rPr>
      </w:pPr>
      <w:r>
        <w:t>1.4</w:t>
      </w:r>
      <w:r>
        <w:rPr>
          <w:rFonts w:asciiTheme="minorHAnsi" w:hAnsiTheme="minorHAnsi" w:cstheme="minorBidi"/>
          <w:lang w:eastAsia="sk-SK"/>
        </w:rPr>
        <w:tab/>
      </w:r>
      <w:r>
        <w:t>Orientačné rozdelenie podpory Únie podľa tematického cieľa na národnej úrovni pre každý z EŠIF, ako aj celková orientačná suma podpory plánovaná na ciele súvisiace so zmenou klímy</w:t>
      </w:r>
      <w:r>
        <w:tab/>
      </w:r>
      <w:r>
        <w:fldChar w:fldCharType="begin"/>
      </w:r>
      <w:r>
        <w:instrText xml:space="preserve"> PAGEREF _Toc490655221 \h </w:instrText>
      </w:r>
      <w:r>
        <w:fldChar w:fldCharType="separate"/>
      </w:r>
      <w:r>
        <w:t>106</w:t>
      </w:r>
      <w:r>
        <w:fldChar w:fldCharType="end"/>
      </w:r>
    </w:p>
    <w:p w:rsidR="00007508" w:rsidRDefault="00007508" w:rsidP="004F266C">
      <w:pPr>
        <w:pStyle w:val="Obsah2"/>
        <w:rPr>
          <w:rFonts w:asciiTheme="minorHAnsi" w:hAnsiTheme="minorHAnsi" w:cstheme="minorBidi"/>
          <w:lang w:eastAsia="sk-SK"/>
        </w:rPr>
      </w:pPr>
      <w:r>
        <w:rPr>
          <w:lang w:eastAsia="cs-CZ"/>
        </w:rPr>
        <w:t>1.5</w:t>
      </w:r>
      <w:r>
        <w:rPr>
          <w:rFonts w:asciiTheme="minorHAnsi" w:hAnsiTheme="minorHAnsi" w:cstheme="minorBidi"/>
          <w:lang w:eastAsia="sk-SK"/>
        </w:rPr>
        <w:tab/>
      </w:r>
      <w:r>
        <w:rPr>
          <w:lang w:eastAsia="cs-CZ"/>
        </w:rPr>
        <w:t>Uplatňovanie horizontálnych princípov a cieľov politiky pre využívanie EŠIF</w:t>
      </w:r>
      <w:r>
        <w:tab/>
      </w:r>
      <w:r>
        <w:fldChar w:fldCharType="begin"/>
      </w:r>
      <w:r>
        <w:instrText xml:space="preserve"> PAGEREF _Toc490655222 \h </w:instrText>
      </w:r>
      <w:r>
        <w:fldChar w:fldCharType="separate"/>
      </w:r>
      <w:r>
        <w:t>108</w:t>
      </w:r>
      <w:r>
        <w:fldChar w:fldCharType="end"/>
      </w:r>
    </w:p>
    <w:p w:rsidR="00007508" w:rsidRDefault="00007508" w:rsidP="004F266C">
      <w:pPr>
        <w:pStyle w:val="Obsah2"/>
        <w:rPr>
          <w:rFonts w:asciiTheme="minorHAnsi" w:hAnsiTheme="minorHAnsi" w:cstheme="minorBidi"/>
          <w:lang w:eastAsia="sk-SK"/>
        </w:rPr>
      </w:pPr>
      <w:r>
        <w:rPr>
          <w:lang w:eastAsia="cs-CZ"/>
        </w:rPr>
        <w:t>1.6</w:t>
      </w:r>
      <w:r>
        <w:rPr>
          <w:rFonts w:asciiTheme="minorHAnsi" w:hAnsiTheme="minorHAnsi" w:cstheme="minorBidi"/>
          <w:lang w:eastAsia="sk-SK"/>
        </w:rPr>
        <w:tab/>
      </w:r>
      <w:r>
        <w:rPr>
          <w:lang w:eastAsia="cs-CZ"/>
        </w:rPr>
        <w:t>Zoznam programov v rámci EFRR, ESF a KF, s výnimkou programov v rámci cieľa Európska územná spolupráca a zoznam programov v prípade EPFRV a ENRF, spolu s príslušnými orientačnými pridelenými finančnými prostriedkami podľa EŠIF a podľa roku</w:t>
      </w:r>
      <w:r>
        <w:tab/>
      </w:r>
      <w:r>
        <w:fldChar w:fldCharType="begin"/>
      </w:r>
      <w:r>
        <w:instrText xml:space="preserve"> PAGEREF _Toc490655223 \h </w:instrText>
      </w:r>
      <w:r>
        <w:fldChar w:fldCharType="separate"/>
      </w:r>
      <w:r>
        <w:t>116</w:t>
      </w:r>
      <w:r>
        <w:fldChar w:fldCharType="end"/>
      </w:r>
    </w:p>
    <w:p w:rsidR="00007508" w:rsidRDefault="00007508" w:rsidP="004F266C">
      <w:pPr>
        <w:pStyle w:val="Obsah2"/>
        <w:rPr>
          <w:rFonts w:asciiTheme="minorHAnsi" w:hAnsiTheme="minorHAnsi" w:cstheme="minorBidi"/>
          <w:lang w:eastAsia="sk-SK"/>
        </w:rPr>
      </w:pPr>
      <w:r>
        <w:t>1.7</w:t>
      </w:r>
      <w:r>
        <w:rPr>
          <w:rFonts w:asciiTheme="minorHAnsi" w:hAnsiTheme="minorHAnsi" w:cstheme="minorBidi"/>
          <w:lang w:eastAsia="sk-SK"/>
        </w:rPr>
        <w:tab/>
      </w:r>
      <w:r>
        <w:t>Požiadavka na transfer alokácií zo štrukturálnych fondov medzi kategóriami regiónov, ak relevantné</w:t>
      </w:r>
      <w:r>
        <w:tab/>
      </w:r>
      <w:r>
        <w:fldChar w:fldCharType="begin"/>
      </w:r>
      <w:r>
        <w:instrText xml:space="preserve"> PAGEREF _Toc490655224 \h </w:instrText>
      </w:r>
      <w:r>
        <w:fldChar w:fldCharType="separate"/>
      </w:r>
      <w:r>
        <w:t>117</w:t>
      </w:r>
      <w:r>
        <w:fldChar w:fldCharType="end"/>
      </w:r>
    </w:p>
    <w:p w:rsidR="00007508" w:rsidRDefault="00007508" w:rsidP="004F266C">
      <w:pPr>
        <w:pStyle w:val="Obsah2"/>
        <w:rPr>
          <w:rFonts w:asciiTheme="minorHAnsi" w:hAnsiTheme="minorHAnsi" w:cstheme="minorBidi"/>
          <w:lang w:eastAsia="sk-SK"/>
        </w:rPr>
      </w:pPr>
      <w:r>
        <w:t>1.8</w:t>
      </w:r>
      <w:r>
        <w:rPr>
          <w:rFonts w:asciiTheme="minorHAnsi" w:hAnsiTheme="minorHAnsi" w:cstheme="minorBidi"/>
          <w:lang w:eastAsia="sk-SK"/>
        </w:rPr>
        <w:tab/>
      </w:r>
      <w:r>
        <w:t>Transfer z cieľa Európska územná spolupráca do cieľa Investovanie do rastu a zamestnanosti, ak relevantné</w:t>
      </w:r>
      <w:r>
        <w:tab/>
      </w:r>
      <w:r>
        <w:fldChar w:fldCharType="begin"/>
      </w:r>
      <w:r>
        <w:instrText xml:space="preserve"> PAGEREF _Toc490655225 \h </w:instrText>
      </w:r>
      <w:r>
        <w:fldChar w:fldCharType="separate"/>
      </w:r>
      <w:r>
        <w:t>117</w:t>
      </w:r>
      <w:r>
        <w:fldChar w:fldCharType="end"/>
      </w:r>
    </w:p>
    <w:p w:rsidR="00007508" w:rsidRDefault="00007508" w:rsidP="004F266C">
      <w:pPr>
        <w:pStyle w:val="Obsah2"/>
        <w:rPr>
          <w:rFonts w:asciiTheme="minorHAnsi" w:hAnsiTheme="minorHAnsi" w:cstheme="minorBidi"/>
          <w:lang w:eastAsia="sk-SK"/>
        </w:rPr>
      </w:pPr>
      <w:r>
        <w:t>1.9</w:t>
      </w:r>
      <w:r>
        <w:rPr>
          <w:rFonts w:asciiTheme="minorHAnsi" w:hAnsiTheme="minorHAnsi" w:cstheme="minorBidi"/>
          <w:lang w:eastAsia="sk-SK"/>
        </w:rPr>
        <w:tab/>
      </w:r>
      <w:r>
        <w:t>Požiadavka na transfer technickej pomoci Európskej komisii, ak relevantné</w:t>
      </w:r>
      <w:r>
        <w:tab/>
      </w:r>
      <w:r>
        <w:fldChar w:fldCharType="begin"/>
      </w:r>
      <w:r>
        <w:instrText xml:space="preserve"> PAGEREF _Toc490655226 \h </w:instrText>
      </w:r>
      <w:r>
        <w:fldChar w:fldCharType="separate"/>
      </w:r>
      <w:r>
        <w:t>117</w:t>
      </w:r>
      <w:r>
        <w:fldChar w:fldCharType="end"/>
      </w:r>
    </w:p>
    <w:p w:rsidR="00007508" w:rsidRDefault="00007508" w:rsidP="004F266C">
      <w:pPr>
        <w:pStyle w:val="Obsah2"/>
        <w:rPr>
          <w:rFonts w:asciiTheme="minorHAnsi" w:hAnsiTheme="minorHAnsi" w:cstheme="minorBidi"/>
          <w:lang w:eastAsia="sk-SK"/>
        </w:rPr>
      </w:pPr>
      <w:r>
        <w:t>1.10</w:t>
      </w:r>
      <w:r>
        <w:rPr>
          <w:rFonts w:asciiTheme="minorHAnsi" w:hAnsiTheme="minorHAnsi" w:cstheme="minorBidi"/>
          <w:lang w:eastAsia="sk-SK"/>
        </w:rPr>
        <w:tab/>
      </w:r>
      <w:r>
        <w:t>Informácie o finančných prostriedkoch pridelených na výkonnostnú rezervu a rozčlenených podľa EŠIF a prípadne podľa kategórie regiónu, a o sumách vylúčených z výpočtu výkonnostnej rezervy</w:t>
      </w:r>
      <w:r>
        <w:tab/>
      </w:r>
      <w:r>
        <w:fldChar w:fldCharType="begin"/>
      </w:r>
      <w:r>
        <w:instrText xml:space="preserve"> PAGEREF _Toc490655227 \h </w:instrText>
      </w:r>
      <w:r>
        <w:fldChar w:fldCharType="separate"/>
      </w:r>
      <w:r>
        <w:t>118</w:t>
      </w:r>
      <w:r>
        <w:fldChar w:fldCharType="end"/>
      </w:r>
    </w:p>
    <w:p w:rsidR="00007508" w:rsidRDefault="00007508" w:rsidP="004F266C">
      <w:pPr>
        <w:pStyle w:val="Obsah1"/>
        <w:rPr>
          <w:rFonts w:asciiTheme="minorHAnsi" w:hAnsiTheme="minorHAnsi" w:cstheme="minorBidi"/>
          <w:color w:val="auto"/>
          <w:lang w:eastAsia="sk-SK"/>
        </w:rPr>
      </w:pPr>
      <w:r>
        <w:t>2</w:t>
      </w:r>
      <w:r>
        <w:rPr>
          <w:rFonts w:asciiTheme="minorHAnsi" w:hAnsiTheme="minorHAnsi" w:cstheme="minorBidi"/>
          <w:color w:val="auto"/>
          <w:lang w:eastAsia="sk-SK"/>
        </w:rPr>
        <w:tab/>
      </w:r>
      <w:r>
        <w:t>Opatrenia na zabezpečenie efektívnej implementácie EŠIF</w:t>
      </w:r>
      <w:r>
        <w:tab/>
      </w:r>
      <w:r>
        <w:fldChar w:fldCharType="begin"/>
      </w:r>
      <w:r>
        <w:instrText xml:space="preserve"> PAGEREF _Toc490655228 \h </w:instrText>
      </w:r>
      <w:r>
        <w:fldChar w:fldCharType="separate"/>
      </w:r>
      <w:r>
        <w:t>119</w:t>
      </w:r>
      <w:r>
        <w:fldChar w:fldCharType="end"/>
      </w:r>
    </w:p>
    <w:p w:rsidR="00007508" w:rsidRDefault="00007508" w:rsidP="004F266C">
      <w:pPr>
        <w:pStyle w:val="Obsah2"/>
        <w:rPr>
          <w:rFonts w:asciiTheme="minorHAnsi" w:hAnsiTheme="minorHAnsi" w:cstheme="minorBidi"/>
          <w:lang w:eastAsia="sk-SK"/>
        </w:rPr>
      </w:pPr>
      <w:r>
        <w:t>2.1</w:t>
      </w:r>
      <w:r>
        <w:rPr>
          <w:rFonts w:asciiTheme="minorHAnsi" w:hAnsiTheme="minorHAnsi" w:cstheme="minorBidi"/>
          <w:lang w:eastAsia="sk-SK"/>
        </w:rPr>
        <w:tab/>
      </w:r>
      <w:r>
        <w:t>Mechanizmy v súlade s inštitucionálnym rámcom na zabezpečenie koordinácie medzi EŠIF a inými finančnými nástrojmi Únie a vnútroštátnymi finančnými nástrojmi a s EIB</w:t>
      </w:r>
      <w:r>
        <w:tab/>
      </w:r>
      <w:r>
        <w:fldChar w:fldCharType="begin"/>
      </w:r>
      <w:r>
        <w:instrText xml:space="preserve"> PAGEREF _Toc490655229 \h </w:instrText>
      </w:r>
      <w:r>
        <w:fldChar w:fldCharType="separate"/>
      </w:r>
      <w:r>
        <w:t>119</w:t>
      </w:r>
      <w:r>
        <w:fldChar w:fldCharType="end"/>
      </w:r>
    </w:p>
    <w:p w:rsidR="00007508" w:rsidRDefault="00007508" w:rsidP="004F266C">
      <w:pPr>
        <w:pStyle w:val="Obsah2"/>
        <w:rPr>
          <w:rFonts w:asciiTheme="minorHAnsi" w:hAnsiTheme="minorHAnsi" w:cstheme="minorBidi"/>
          <w:lang w:eastAsia="sk-SK"/>
        </w:rPr>
      </w:pPr>
      <w:r>
        <w:t>2.2</w:t>
      </w:r>
      <w:r>
        <w:rPr>
          <w:rFonts w:asciiTheme="minorHAnsi" w:hAnsiTheme="minorHAnsi" w:cstheme="minorBidi"/>
          <w:lang w:eastAsia="sk-SK"/>
        </w:rPr>
        <w:tab/>
      </w:r>
      <w:r>
        <w:t>Informácie potrebné na overenie ex ante súladu s pravidlami o doplnkovosti</w:t>
      </w:r>
      <w:r>
        <w:tab/>
      </w:r>
      <w:r>
        <w:fldChar w:fldCharType="begin"/>
      </w:r>
      <w:r>
        <w:instrText xml:space="preserve"> PAGEREF _Toc490655230 \h </w:instrText>
      </w:r>
      <w:r>
        <w:fldChar w:fldCharType="separate"/>
      </w:r>
      <w:r>
        <w:t>127</w:t>
      </w:r>
      <w:r>
        <w:fldChar w:fldCharType="end"/>
      </w:r>
    </w:p>
    <w:p w:rsidR="00007508" w:rsidRDefault="00007508" w:rsidP="004F266C">
      <w:pPr>
        <w:pStyle w:val="Obsah2"/>
        <w:rPr>
          <w:rFonts w:asciiTheme="minorHAnsi" w:hAnsiTheme="minorHAnsi" w:cstheme="minorBidi"/>
          <w:lang w:eastAsia="sk-SK"/>
        </w:rPr>
      </w:pPr>
      <w:r>
        <w:t>2.3</w:t>
      </w:r>
      <w:r>
        <w:rPr>
          <w:rFonts w:asciiTheme="minorHAnsi" w:hAnsiTheme="minorHAnsi" w:cstheme="minorBidi"/>
          <w:lang w:eastAsia="sk-SK"/>
        </w:rPr>
        <w:tab/>
      </w:r>
      <w:r>
        <w:t>Súhrn hodnotenia plnenia použiteľných ex ante kondicionalít na národnej úrovni a v prípade, že sa použiteľné ex ante kondicionality nesplnili, súhrn opatrení, ktoré sa majú vykonať, zodpovedné orgány a harmonogram vykonania týchto opatrení</w:t>
      </w:r>
      <w:r>
        <w:tab/>
      </w:r>
      <w:r>
        <w:fldChar w:fldCharType="begin"/>
      </w:r>
      <w:r>
        <w:instrText xml:space="preserve"> PAGEREF _Toc490655231 \h </w:instrText>
      </w:r>
      <w:r>
        <w:fldChar w:fldCharType="separate"/>
      </w:r>
      <w:r>
        <w:t>127</w:t>
      </w:r>
      <w:r>
        <w:fldChar w:fldCharType="end"/>
      </w:r>
    </w:p>
    <w:p w:rsidR="00007508" w:rsidRDefault="00007508" w:rsidP="004F266C">
      <w:pPr>
        <w:pStyle w:val="Obsah2"/>
        <w:rPr>
          <w:rFonts w:asciiTheme="minorHAnsi" w:hAnsiTheme="minorHAnsi" w:cstheme="minorBidi"/>
          <w:lang w:eastAsia="sk-SK"/>
        </w:rPr>
      </w:pPr>
      <w:r>
        <w:t>2.4</w:t>
      </w:r>
      <w:r>
        <w:rPr>
          <w:rFonts w:asciiTheme="minorHAnsi" w:hAnsiTheme="minorHAnsi" w:cstheme="minorBidi"/>
          <w:lang w:eastAsia="sk-SK"/>
        </w:rPr>
        <w:tab/>
      </w:r>
      <w:r>
        <w:t>Metodika a mechanizmy na zabezpečenie súladu vo fungovaní výkonnostného rámca</w:t>
      </w:r>
      <w:r>
        <w:tab/>
      </w:r>
      <w:r>
        <w:fldChar w:fldCharType="begin"/>
      </w:r>
      <w:r>
        <w:instrText xml:space="preserve"> PAGEREF _Toc490655232 \h </w:instrText>
      </w:r>
      <w:r>
        <w:fldChar w:fldCharType="separate"/>
      </w:r>
      <w:r>
        <w:t>260</w:t>
      </w:r>
      <w:r>
        <w:fldChar w:fldCharType="end"/>
      </w:r>
    </w:p>
    <w:p w:rsidR="00007508" w:rsidRDefault="00007508" w:rsidP="004F266C">
      <w:pPr>
        <w:pStyle w:val="Obsah2"/>
        <w:rPr>
          <w:rFonts w:asciiTheme="minorHAnsi" w:hAnsiTheme="minorHAnsi" w:cstheme="minorBidi"/>
          <w:lang w:eastAsia="sk-SK"/>
        </w:rPr>
      </w:pPr>
      <w:r>
        <w:t>2.5</w:t>
      </w:r>
      <w:r>
        <w:rPr>
          <w:rFonts w:asciiTheme="minorHAnsi" w:hAnsiTheme="minorHAnsi" w:cstheme="minorBidi"/>
          <w:lang w:eastAsia="sk-SK"/>
        </w:rPr>
        <w:tab/>
      </w:r>
      <w:r>
        <w:t>Posúdenie potreby posilnenia administratívnych kapacít orgánov zapojených do riadenia a kontroly programov a  prípadne prijímateľov, ako aj prípadné zhrnutie aktivít potrebných na tento účel</w:t>
      </w:r>
      <w:r>
        <w:tab/>
      </w:r>
      <w:r>
        <w:fldChar w:fldCharType="begin"/>
      </w:r>
      <w:r>
        <w:instrText xml:space="preserve"> PAGEREF _Toc490655233 \h </w:instrText>
      </w:r>
      <w:r>
        <w:fldChar w:fldCharType="separate"/>
      </w:r>
      <w:r>
        <w:t>262</w:t>
      </w:r>
      <w:r>
        <w:fldChar w:fldCharType="end"/>
      </w:r>
    </w:p>
    <w:p w:rsidR="00007508" w:rsidRDefault="00007508" w:rsidP="004F266C">
      <w:pPr>
        <w:pStyle w:val="Obsah2"/>
        <w:rPr>
          <w:rFonts w:asciiTheme="minorHAnsi" w:hAnsiTheme="minorHAnsi" w:cstheme="minorBidi"/>
          <w:lang w:eastAsia="sk-SK"/>
        </w:rPr>
      </w:pPr>
      <w:r>
        <w:t>2.6</w:t>
      </w:r>
      <w:r>
        <w:rPr>
          <w:rFonts w:asciiTheme="minorHAnsi" w:hAnsiTheme="minorHAnsi" w:cstheme="minorBidi"/>
          <w:lang w:eastAsia="sk-SK"/>
        </w:rPr>
        <w:tab/>
      </w:r>
      <w:r>
        <w:t>Súhrn plánovaných opatrení v programoch, vrátane orientačného harmonogramu na dosiahnutie zníženia administratívnej záťaže prijímateľov</w:t>
      </w:r>
      <w:r>
        <w:tab/>
      </w:r>
      <w:r>
        <w:fldChar w:fldCharType="begin"/>
      </w:r>
      <w:r>
        <w:instrText xml:space="preserve"> PAGEREF _Toc490655234 \h </w:instrText>
      </w:r>
      <w:r>
        <w:fldChar w:fldCharType="separate"/>
      </w:r>
      <w:r>
        <w:t>266</w:t>
      </w:r>
      <w:r>
        <w:fldChar w:fldCharType="end"/>
      </w:r>
    </w:p>
    <w:p w:rsidR="00007508" w:rsidRDefault="00007508" w:rsidP="004F266C">
      <w:pPr>
        <w:pStyle w:val="Obsah1"/>
        <w:rPr>
          <w:rFonts w:asciiTheme="minorHAnsi" w:hAnsiTheme="minorHAnsi" w:cstheme="minorBidi"/>
          <w:color w:val="auto"/>
          <w:lang w:eastAsia="sk-SK"/>
        </w:rPr>
      </w:pPr>
      <w:r>
        <w:t>3</w:t>
      </w:r>
      <w:r>
        <w:rPr>
          <w:rFonts w:asciiTheme="minorHAnsi" w:hAnsiTheme="minorHAnsi" w:cstheme="minorBidi"/>
          <w:color w:val="auto"/>
          <w:lang w:eastAsia="sk-SK"/>
        </w:rPr>
        <w:tab/>
      </w:r>
      <w:r>
        <w:t>Integrovaný prístup k územnému rozvoju podporovaný z EŠIF, alebo súhrn integrovaných prístupov k územnému rozvoju na základe obsahu programov</w:t>
      </w:r>
      <w:r>
        <w:tab/>
      </w:r>
      <w:r>
        <w:fldChar w:fldCharType="begin"/>
      </w:r>
      <w:r>
        <w:instrText xml:space="preserve"> PAGEREF _Toc490655235 \h </w:instrText>
      </w:r>
      <w:r>
        <w:fldChar w:fldCharType="separate"/>
      </w:r>
      <w:r>
        <w:t>269</w:t>
      </w:r>
      <w:r>
        <w:fldChar w:fldCharType="end"/>
      </w:r>
    </w:p>
    <w:p w:rsidR="00007508" w:rsidRDefault="00007508" w:rsidP="004F266C">
      <w:pPr>
        <w:pStyle w:val="Obsah2"/>
        <w:rPr>
          <w:rFonts w:asciiTheme="minorHAnsi" w:hAnsiTheme="minorHAnsi" w:cstheme="minorBidi"/>
          <w:lang w:eastAsia="sk-SK"/>
        </w:rPr>
      </w:pPr>
      <w:r>
        <w:t>3.1</w:t>
      </w:r>
      <w:r>
        <w:rPr>
          <w:rFonts w:asciiTheme="minorHAnsi" w:hAnsiTheme="minorHAnsi" w:cstheme="minorBidi"/>
          <w:lang w:eastAsia="sk-SK"/>
        </w:rPr>
        <w:tab/>
      </w:r>
      <w:r>
        <w:t>Opatrenia na zabezpečenie integrovaného prístupu k využívaniu EŠIF pre územný rozvoj špecifických subregionálnych oblastí</w:t>
      </w:r>
      <w:r>
        <w:tab/>
      </w:r>
      <w:r>
        <w:fldChar w:fldCharType="begin"/>
      </w:r>
      <w:r>
        <w:instrText xml:space="preserve"> PAGEREF _Toc490655236 \h </w:instrText>
      </w:r>
      <w:r>
        <w:fldChar w:fldCharType="separate"/>
      </w:r>
      <w:r>
        <w:t>270</w:t>
      </w:r>
      <w:r>
        <w:fldChar w:fldCharType="end"/>
      </w:r>
    </w:p>
    <w:p w:rsidR="00007508" w:rsidRDefault="00007508" w:rsidP="004F266C">
      <w:pPr>
        <w:pStyle w:val="Obsah1"/>
        <w:rPr>
          <w:rFonts w:asciiTheme="minorHAnsi" w:hAnsiTheme="minorHAnsi" w:cstheme="minorBidi"/>
          <w:color w:val="auto"/>
          <w:lang w:eastAsia="sk-SK"/>
        </w:rPr>
      </w:pPr>
      <w:r>
        <w:t>4</w:t>
      </w:r>
      <w:r>
        <w:rPr>
          <w:rFonts w:asciiTheme="minorHAnsi" w:hAnsiTheme="minorHAnsi" w:cstheme="minorBidi"/>
          <w:color w:val="auto"/>
          <w:lang w:eastAsia="sk-SK"/>
        </w:rPr>
        <w:tab/>
      </w:r>
      <w:r>
        <w:t>Opatrenia na zabezpečenie účinného vykonávania EŠIF</w:t>
      </w:r>
      <w:r>
        <w:tab/>
      </w:r>
      <w:r>
        <w:fldChar w:fldCharType="begin"/>
      </w:r>
      <w:r>
        <w:instrText xml:space="preserve"> PAGEREF _Toc490655237 \h </w:instrText>
      </w:r>
      <w:r>
        <w:fldChar w:fldCharType="separate"/>
      </w:r>
      <w:r>
        <w:t>285</w:t>
      </w:r>
      <w:r>
        <w:fldChar w:fldCharType="end"/>
      </w:r>
    </w:p>
    <w:p w:rsidR="00007508" w:rsidRDefault="00007508" w:rsidP="004F266C">
      <w:pPr>
        <w:pStyle w:val="Obsah2"/>
        <w:rPr>
          <w:rFonts w:asciiTheme="minorHAnsi" w:hAnsiTheme="minorHAnsi" w:cstheme="minorBidi"/>
          <w:lang w:eastAsia="sk-SK"/>
        </w:rPr>
      </w:pPr>
      <w:r>
        <w:t>4.1</w:t>
      </w:r>
      <w:r>
        <w:rPr>
          <w:rFonts w:asciiTheme="minorHAnsi" w:hAnsiTheme="minorHAnsi" w:cstheme="minorBidi"/>
          <w:lang w:eastAsia="sk-SK"/>
        </w:rPr>
        <w:tab/>
      </w:r>
      <w:r>
        <w:t>Vyhodnotenie existujúcich systémov elektronickej výmeny údajov a súhrn plánovaných opatrení s cieľom postupne umožniť, aby sa všetky výmeny informácií medzi prijímateľmi a orgánmi zodpovednými za riadenie a kontrolu programov uskutočňovali prostredníctvom elektronickej výmeny údajov</w:t>
      </w:r>
      <w:r>
        <w:tab/>
      </w:r>
      <w:r>
        <w:fldChar w:fldCharType="begin"/>
      </w:r>
      <w:r>
        <w:instrText xml:space="preserve"> PAGEREF _Toc490655238 \h </w:instrText>
      </w:r>
      <w:r>
        <w:fldChar w:fldCharType="separate"/>
      </w:r>
      <w:r>
        <w:t>285</w:t>
      </w:r>
      <w:r>
        <w:fldChar w:fldCharType="end"/>
      </w:r>
    </w:p>
    <w:p w:rsidR="00007508" w:rsidRDefault="00007508" w:rsidP="004F266C">
      <w:pPr>
        <w:pStyle w:val="Obsah1"/>
        <w:rPr>
          <w:rFonts w:asciiTheme="minorHAnsi" w:hAnsiTheme="minorHAnsi" w:cstheme="minorBidi"/>
          <w:color w:val="auto"/>
          <w:lang w:eastAsia="sk-SK"/>
        </w:rPr>
      </w:pPr>
      <w:r>
        <w:t>5</w:t>
      </w:r>
      <w:r>
        <w:rPr>
          <w:rFonts w:asciiTheme="minorHAnsi" w:hAnsiTheme="minorHAnsi" w:cstheme="minorBidi"/>
          <w:color w:val="auto"/>
          <w:lang w:eastAsia="sk-SK"/>
        </w:rPr>
        <w:tab/>
      </w:r>
      <w:r w:rsidRPr="00981475">
        <w:t>Strategické environmentálne posudzovanie (SEA)</w:t>
      </w:r>
      <w:r>
        <w:tab/>
      </w:r>
      <w:r>
        <w:fldChar w:fldCharType="begin"/>
      </w:r>
      <w:r>
        <w:instrText xml:space="preserve"> PAGEREF _Toc490655239 \h </w:instrText>
      </w:r>
      <w:r>
        <w:fldChar w:fldCharType="separate"/>
      </w:r>
      <w:r>
        <w:t>291</w:t>
      </w:r>
      <w:r>
        <w:fldChar w:fldCharType="end"/>
      </w:r>
    </w:p>
    <w:p w:rsidR="00007508" w:rsidRDefault="00007508" w:rsidP="004F266C">
      <w:pPr>
        <w:pStyle w:val="Obsah1"/>
        <w:rPr>
          <w:rFonts w:asciiTheme="minorHAnsi" w:hAnsiTheme="minorHAnsi" w:cstheme="minorBidi"/>
          <w:color w:val="auto"/>
          <w:lang w:eastAsia="sk-SK"/>
        </w:rPr>
      </w:pPr>
      <w:r>
        <w:rPr>
          <w:lang w:eastAsia="cs-CZ"/>
        </w:rPr>
        <w:t>Zoznam skratiek</w:t>
      </w:r>
      <w:r>
        <w:tab/>
      </w:r>
      <w:r>
        <w:fldChar w:fldCharType="begin"/>
      </w:r>
      <w:r>
        <w:instrText xml:space="preserve"> PAGEREF _Toc490655240 \h </w:instrText>
      </w:r>
      <w:r>
        <w:fldChar w:fldCharType="separate"/>
      </w:r>
      <w:r>
        <w:t>293</w:t>
      </w:r>
      <w:r>
        <w:fldChar w:fldCharType="end"/>
      </w:r>
    </w:p>
    <w:p w:rsidR="00774889" w:rsidRDefault="009120EA" w:rsidP="004F266C">
      <w:pPr>
        <w:pStyle w:val="Obsah1"/>
      </w:pPr>
      <w:r>
        <w:fldChar w:fldCharType="end"/>
      </w:r>
    </w:p>
    <w:p w:rsidR="006A30E9" w:rsidRDefault="006A30E9" w:rsidP="004F266C">
      <w:pPr>
        <w:pStyle w:val="Obsah1"/>
      </w:pPr>
      <w:r>
        <w:br w:type="page"/>
      </w:r>
    </w:p>
    <w:p w:rsidR="00EB4BBF" w:rsidRPr="00D60A49" w:rsidRDefault="00EB4BBF" w:rsidP="003B3B3B">
      <w:pPr>
        <w:pStyle w:val="Nadpis1"/>
        <w:numPr>
          <w:ilvl w:val="0"/>
          <w:numId w:val="2"/>
        </w:numPr>
      </w:pPr>
      <w:bookmarkStart w:id="7" w:name="_Toc378168354"/>
      <w:bookmarkStart w:id="8" w:name="_Toc490655217"/>
      <w:r w:rsidRPr="00D60A49">
        <w:lastRenderedPageBreak/>
        <w:t xml:space="preserve">Opatrenia </w:t>
      </w:r>
      <w:r w:rsidR="00E35C81">
        <w:t xml:space="preserve">na </w:t>
      </w:r>
      <w:r w:rsidRPr="00D60A49">
        <w:t>zabezpeč</w:t>
      </w:r>
      <w:r w:rsidR="00E35C81">
        <w:t>enie</w:t>
      </w:r>
      <w:r w:rsidRPr="00D60A49">
        <w:t xml:space="preserve"> </w:t>
      </w:r>
      <w:r w:rsidR="00BD5FD5" w:rsidRPr="00D60A49">
        <w:t>s</w:t>
      </w:r>
      <w:r w:rsidRPr="00D60A49">
        <w:t>úlad</w:t>
      </w:r>
      <w:r w:rsidR="00E35C81">
        <w:t>u</w:t>
      </w:r>
      <w:r w:rsidRPr="00D60A49">
        <w:t xml:space="preserve"> </w:t>
      </w:r>
      <w:r w:rsidR="00BD5FD5" w:rsidRPr="00D60A49">
        <w:t>s</w:t>
      </w:r>
      <w:r w:rsidRPr="00D60A49">
        <w:t xml:space="preserve">o </w:t>
      </w:r>
      <w:r w:rsidR="00BD5FD5" w:rsidRPr="00D60A49">
        <w:t>s</w:t>
      </w:r>
      <w:r w:rsidRPr="00D60A49">
        <w:t xml:space="preserve">tratégiou Únie na zabezpečenie inteligentného, udržateľného </w:t>
      </w:r>
      <w:r w:rsidR="00BD5FD5" w:rsidRPr="00D60A49">
        <w:t>a </w:t>
      </w:r>
      <w:r w:rsidRPr="00D60A49">
        <w:t>inkluzívneho rastu</w:t>
      </w:r>
      <w:bookmarkEnd w:id="0"/>
      <w:bookmarkEnd w:id="1"/>
      <w:bookmarkEnd w:id="2"/>
      <w:bookmarkEnd w:id="7"/>
      <w:bookmarkEnd w:id="8"/>
    </w:p>
    <w:p w:rsidR="00EB4BBF" w:rsidRPr="00A11FE0" w:rsidRDefault="00BD5FD5" w:rsidP="003B3B3B">
      <w:pPr>
        <w:pStyle w:val="Nadpis2"/>
        <w:numPr>
          <w:ilvl w:val="1"/>
          <w:numId w:val="2"/>
        </w:numPr>
      </w:pPr>
      <w:bookmarkStart w:id="9" w:name="_Toc231871928"/>
      <w:bookmarkStart w:id="10" w:name="_Toc243474053"/>
      <w:bookmarkStart w:id="11" w:name="_Toc373169691"/>
      <w:bookmarkStart w:id="12" w:name="_Toc378168355"/>
      <w:bookmarkStart w:id="13" w:name="_Toc490655218"/>
      <w:r>
        <w:t>A</w:t>
      </w:r>
      <w:r w:rsidR="00EB4BBF" w:rsidRPr="00A11FE0">
        <w:t xml:space="preserve">nalýza rozdielov, potrieb v oblasti rozvoja </w:t>
      </w:r>
      <w:r>
        <w:t>a</w:t>
      </w:r>
      <w:r w:rsidR="00EB4BBF" w:rsidRPr="00A11FE0">
        <w:t xml:space="preserve"> potenciálu rastu</w:t>
      </w:r>
      <w:bookmarkEnd w:id="9"/>
      <w:bookmarkEnd w:id="10"/>
      <w:bookmarkEnd w:id="11"/>
      <w:bookmarkEnd w:id="12"/>
      <w:bookmarkEnd w:id="13"/>
    </w:p>
    <w:p w:rsidR="00FB77D2" w:rsidRPr="00A11FE0" w:rsidRDefault="0040530E" w:rsidP="00FB77D2">
      <w:pPr>
        <w:rPr>
          <w:rFonts w:asciiTheme="majorHAnsi" w:hAnsiTheme="majorHAnsi"/>
        </w:rPr>
      </w:pPr>
      <w:r>
        <w:rPr>
          <w:noProof/>
          <w:lang w:eastAsia="sk-SK"/>
        </w:rPr>
        <w:drawing>
          <wp:anchor distT="0" distB="0" distL="114300" distR="114300" simplePos="0" relativeHeight="251769856" behindDoc="0" locked="0" layoutInCell="1" allowOverlap="1" wp14:anchorId="56808A76" wp14:editId="1C4CB307">
            <wp:simplePos x="0" y="0"/>
            <wp:positionH relativeFrom="column">
              <wp:posOffset>4257675</wp:posOffset>
            </wp:positionH>
            <wp:positionV relativeFrom="paragraph">
              <wp:posOffset>438785</wp:posOffset>
            </wp:positionV>
            <wp:extent cx="2084705" cy="1990090"/>
            <wp:effectExtent l="0" t="0" r="0" b="0"/>
            <wp:wrapTight wrapText="bothSides">
              <wp:wrapPolygon edited="0">
                <wp:start x="12238" y="0"/>
                <wp:lineTo x="3948" y="620"/>
                <wp:lineTo x="2763" y="1034"/>
                <wp:lineTo x="2763" y="10338"/>
                <wp:lineTo x="0" y="13646"/>
                <wp:lineTo x="0" y="15714"/>
                <wp:lineTo x="197" y="16955"/>
                <wp:lineTo x="3158" y="21297"/>
                <wp:lineTo x="4145" y="21297"/>
                <wp:lineTo x="16975" y="20470"/>
                <wp:lineTo x="21317" y="20263"/>
                <wp:lineTo x="21317" y="16955"/>
                <wp:lineTo x="18554" y="13646"/>
                <wp:lineTo x="18554" y="3101"/>
                <wp:lineTo x="17764" y="2068"/>
                <wp:lineTo x="15988" y="0"/>
                <wp:lineTo x="12238" y="0"/>
              </wp:wrapPolygon>
            </wp:wrapTight>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4705" cy="199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FB77D2" w:rsidRPr="00A11FE0">
        <w:rPr>
          <w:rFonts w:asciiTheme="majorHAnsi" w:hAnsiTheme="majorHAnsi"/>
        </w:rPr>
        <w:t xml:space="preserve">Národný program reforiem </w:t>
      </w:r>
      <w:r w:rsidR="00BD5FD5">
        <w:rPr>
          <w:rFonts w:asciiTheme="majorHAnsi" w:hAnsiTheme="majorHAnsi"/>
        </w:rPr>
        <w:t>S</w:t>
      </w:r>
      <w:r w:rsidR="00D53987" w:rsidRPr="00A11FE0">
        <w:rPr>
          <w:rFonts w:asciiTheme="majorHAnsi" w:hAnsiTheme="majorHAnsi"/>
        </w:rPr>
        <w:t xml:space="preserve">R </w:t>
      </w:r>
      <w:r w:rsidR="00C22648" w:rsidRPr="00A11FE0">
        <w:rPr>
          <w:rFonts w:asciiTheme="majorHAnsi" w:hAnsiTheme="majorHAnsi"/>
        </w:rPr>
        <w:t>(</w:t>
      </w:r>
      <w:r w:rsidR="005A6C2A" w:rsidRPr="00A11FE0">
        <w:rPr>
          <w:rFonts w:asciiTheme="majorHAnsi" w:hAnsiTheme="majorHAnsi"/>
        </w:rPr>
        <w:t>ďalej len „</w:t>
      </w:r>
      <w:r w:rsidR="00FB77D2" w:rsidRPr="00A11FE0">
        <w:rPr>
          <w:rFonts w:asciiTheme="majorHAnsi" w:hAnsiTheme="majorHAnsi"/>
        </w:rPr>
        <w:t>NPR</w:t>
      </w:r>
      <w:r w:rsidR="005A6C2A" w:rsidRPr="00A11FE0">
        <w:rPr>
          <w:rFonts w:asciiTheme="majorHAnsi" w:hAnsiTheme="majorHAnsi"/>
        </w:rPr>
        <w:t>“</w:t>
      </w:r>
      <w:r w:rsidR="00C22648" w:rsidRPr="00A11FE0">
        <w:rPr>
          <w:rFonts w:asciiTheme="majorHAnsi" w:hAnsiTheme="majorHAnsi"/>
        </w:rPr>
        <w:t>)</w:t>
      </w:r>
      <w:r w:rsidR="00FB77D2" w:rsidRPr="00A11FE0">
        <w:rPr>
          <w:rFonts w:asciiTheme="majorHAnsi" w:hAnsiTheme="majorHAnsi"/>
        </w:rPr>
        <w:t xml:space="preserve"> predstavuje </w:t>
      </w:r>
      <w:r w:rsidR="00BD5FD5">
        <w:rPr>
          <w:rFonts w:asciiTheme="majorHAnsi" w:hAnsiTheme="majorHAnsi"/>
        </w:rPr>
        <w:t>s</w:t>
      </w:r>
      <w:r w:rsidR="00FB77D2" w:rsidRPr="00A11FE0">
        <w:rPr>
          <w:rFonts w:asciiTheme="majorHAnsi" w:hAnsiTheme="majorHAnsi"/>
        </w:rPr>
        <w:t xml:space="preserve">úbor politík, </w:t>
      </w:r>
      <w:r w:rsidR="00BD5FD5">
        <w:rPr>
          <w:rFonts w:asciiTheme="majorHAnsi" w:hAnsiTheme="majorHAnsi"/>
        </w:rPr>
        <w:t>k</w:t>
      </w:r>
      <w:r w:rsidR="00FB77D2" w:rsidRPr="00A11FE0">
        <w:rPr>
          <w:rFonts w:asciiTheme="majorHAnsi" w:hAnsiTheme="majorHAnsi"/>
        </w:rPr>
        <w:t xml:space="preserve">torých cieľom je prekonať </w:t>
      </w:r>
      <w:r w:rsidR="00BD5FD5">
        <w:rPr>
          <w:rFonts w:asciiTheme="majorHAnsi" w:hAnsiTheme="majorHAnsi"/>
        </w:rPr>
        <w:t>s</w:t>
      </w:r>
      <w:r w:rsidR="00FB77D2" w:rsidRPr="00A11FE0">
        <w:rPr>
          <w:rFonts w:asciiTheme="majorHAnsi" w:hAnsiTheme="majorHAnsi"/>
        </w:rPr>
        <w:t xml:space="preserve">účasnú </w:t>
      </w:r>
      <w:r w:rsidR="00BD5FD5">
        <w:rPr>
          <w:rFonts w:asciiTheme="majorHAnsi" w:hAnsiTheme="majorHAnsi"/>
        </w:rPr>
        <w:t>k</w:t>
      </w:r>
      <w:r w:rsidR="00FB77D2" w:rsidRPr="00A11FE0">
        <w:rPr>
          <w:rFonts w:asciiTheme="majorHAnsi" w:hAnsiTheme="majorHAnsi"/>
        </w:rPr>
        <w:t xml:space="preserve">rízu </w:t>
      </w:r>
      <w:r w:rsidR="00BD5FD5">
        <w:rPr>
          <w:rFonts w:asciiTheme="majorHAnsi" w:hAnsiTheme="majorHAnsi"/>
        </w:rPr>
        <w:t>a</w:t>
      </w:r>
      <w:r w:rsidR="00D45E96" w:rsidRPr="00A11FE0">
        <w:rPr>
          <w:rFonts w:asciiTheme="majorHAnsi" w:hAnsiTheme="majorHAnsi"/>
        </w:rPr>
        <w:t> </w:t>
      </w:r>
      <w:r w:rsidR="00FB77D2" w:rsidRPr="00A11FE0">
        <w:rPr>
          <w:rFonts w:asciiTheme="majorHAnsi" w:hAnsiTheme="majorHAnsi"/>
        </w:rPr>
        <w:t xml:space="preserve">podporiť rast hospodárstva </w:t>
      </w:r>
      <w:r w:rsidR="00BD5FD5">
        <w:rPr>
          <w:rFonts w:asciiTheme="majorHAnsi" w:hAnsiTheme="majorHAnsi"/>
        </w:rPr>
        <w:t>a</w:t>
      </w:r>
      <w:r w:rsidR="001D47E5">
        <w:rPr>
          <w:rFonts w:asciiTheme="majorHAnsi" w:hAnsiTheme="majorHAnsi"/>
        </w:rPr>
        <w:t> </w:t>
      </w:r>
      <w:r w:rsidR="00FB77D2" w:rsidRPr="00A11FE0">
        <w:rPr>
          <w:rFonts w:asciiTheme="majorHAnsi" w:hAnsiTheme="majorHAnsi"/>
        </w:rPr>
        <w:t xml:space="preserve">zamestnanosti. Identifikácia potrebných politík je založená na </w:t>
      </w:r>
      <w:r w:rsidR="00BD5FD5">
        <w:rPr>
          <w:rFonts w:asciiTheme="majorHAnsi" w:hAnsiTheme="majorHAnsi"/>
        </w:rPr>
        <w:t>a</w:t>
      </w:r>
      <w:r w:rsidR="00FB77D2" w:rsidRPr="00A11FE0">
        <w:rPr>
          <w:rFonts w:asciiTheme="majorHAnsi" w:hAnsiTheme="majorHAnsi"/>
        </w:rPr>
        <w:t xml:space="preserve">nalýze najvýznamnejších prekážok rastu </w:t>
      </w:r>
      <w:r w:rsidR="00BD5FD5">
        <w:rPr>
          <w:rFonts w:asciiTheme="majorHAnsi" w:hAnsiTheme="majorHAnsi"/>
        </w:rPr>
        <w:t>a</w:t>
      </w:r>
      <w:r w:rsidR="001D47E5">
        <w:rPr>
          <w:rFonts w:asciiTheme="majorHAnsi" w:hAnsiTheme="majorHAnsi"/>
        </w:rPr>
        <w:t> </w:t>
      </w:r>
      <w:r w:rsidR="00FB77D2" w:rsidRPr="00A11FE0">
        <w:rPr>
          <w:rFonts w:asciiTheme="majorHAnsi" w:hAnsiTheme="majorHAnsi"/>
        </w:rPr>
        <w:t xml:space="preserve">vyššej </w:t>
      </w:r>
      <w:r w:rsidR="00BD5FD5">
        <w:rPr>
          <w:rFonts w:asciiTheme="majorHAnsi" w:hAnsiTheme="majorHAnsi"/>
        </w:rPr>
        <w:t>k</w:t>
      </w:r>
      <w:r w:rsidR="00FB77D2" w:rsidRPr="00A11FE0">
        <w:rPr>
          <w:rFonts w:asciiTheme="majorHAnsi" w:hAnsiTheme="majorHAnsi"/>
        </w:rPr>
        <w:t>vality života.</w:t>
      </w:r>
    </w:p>
    <w:p w:rsidR="00E04080" w:rsidRPr="00A11FE0" w:rsidRDefault="00EC2DF3" w:rsidP="00FB77D2">
      <w:pPr>
        <w:rPr>
          <w:rFonts w:asciiTheme="majorHAnsi" w:hAnsiTheme="majorHAnsi"/>
        </w:rPr>
      </w:pPr>
      <w:r w:rsidRPr="00A11FE0">
        <w:rPr>
          <w:rFonts w:asciiTheme="majorHAnsi" w:hAnsiTheme="majorHAnsi"/>
        </w:rPr>
        <w:t>Finančným nástrojom na realizáciu</w:t>
      </w:r>
      <w:r w:rsidR="0064649C" w:rsidRPr="00A11FE0">
        <w:rPr>
          <w:rFonts w:asciiTheme="majorHAnsi" w:hAnsiTheme="majorHAnsi"/>
        </w:rPr>
        <w:t xml:space="preserve"> štrukturálnych politík </w:t>
      </w:r>
      <w:r w:rsidR="00BD5FD5">
        <w:rPr>
          <w:rFonts w:asciiTheme="majorHAnsi" w:hAnsiTheme="majorHAnsi"/>
        </w:rPr>
        <w:t>s</w:t>
      </w:r>
      <w:r w:rsidR="0064649C" w:rsidRPr="00A11FE0">
        <w:rPr>
          <w:rFonts w:asciiTheme="majorHAnsi" w:hAnsiTheme="majorHAnsi"/>
        </w:rPr>
        <w:t xml:space="preserve">ú </w:t>
      </w:r>
      <w:r w:rsidR="00992762">
        <w:rPr>
          <w:rFonts w:asciiTheme="majorHAnsi" w:hAnsiTheme="majorHAnsi"/>
        </w:rPr>
        <w:t>E</w:t>
      </w:r>
      <w:r w:rsidR="00284B48">
        <w:rPr>
          <w:rFonts w:asciiTheme="majorHAnsi" w:hAnsiTheme="majorHAnsi"/>
        </w:rPr>
        <w:t>ur</w:t>
      </w:r>
      <w:r w:rsidR="007F7DE2" w:rsidRPr="00A11FE0">
        <w:rPr>
          <w:rFonts w:asciiTheme="majorHAnsi" w:hAnsiTheme="majorHAnsi"/>
        </w:rPr>
        <w:t xml:space="preserve">ópske štrukturálne </w:t>
      </w:r>
      <w:r w:rsidR="00BD5FD5">
        <w:rPr>
          <w:rFonts w:asciiTheme="majorHAnsi" w:hAnsiTheme="majorHAnsi"/>
        </w:rPr>
        <w:t>a </w:t>
      </w:r>
      <w:r w:rsidR="007F7DE2" w:rsidRPr="00A11FE0">
        <w:rPr>
          <w:rFonts w:asciiTheme="majorHAnsi" w:hAnsiTheme="majorHAnsi"/>
        </w:rPr>
        <w:t>investičné fondy (</w:t>
      </w:r>
      <w:r w:rsidR="007B0013">
        <w:rPr>
          <w:rFonts w:asciiTheme="majorHAnsi" w:hAnsiTheme="majorHAnsi"/>
        </w:rPr>
        <w:t>ďalej len „</w:t>
      </w:r>
      <w:r w:rsidR="0064649C" w:rsidRPr="00A11FE0">
        <w:rPr>
          <w:rFonts w:asciiTheme="majorHAnsi" w:hAnsiTheme="majorHAnsi"/>
        </w:rPr>
        <w:t>EŠIF</w:t>
      </w:r>
      <w:r w:rsidR="007B0013">
        <w:rPr>
          <w:rFonts w:asciiTheme="majorHAnsi" w:hAnsiTheme="majorHAnsi"/>
        </w:rPr>
        <w:t>“</w:t>
      </w:r>
      <w:r w:rsidR="007F7DE2" w:rsidRPr="00A11FE0">
        <w:rPr>
          <w:rFonts w:asciiTheme="majorHAnsi" w:hAnsiTheme="majorHAnsi"/>
        </w:rPr>
        <w:t>)</w:t>
      </w:r>
      <w:r w:rsidR="0064649C" w:rsidRPr="00A11FE0">
        <w:rPr>
          <w:rFonts w:asciiTheme="majorHAnsi" w:hAnsiTheme="majorHAnsi"/>
        </w:rPr>
        <w:t xml:space="preserve">. </w:t>
      </w:r>
      <w:r w:rsidR="00BD5FD5">
        <w:rPr>
          <w:rFonts w:asciiTheme="majorHAnsi" w:hAnsiTheme="majorHAnsi"/>
        </w:rPr>
        <w:t>K</w:t>
      </w:r>
      <w:r w:rsidR="00E04080" w:rsidRPr="00A11FE0">
        <w:rPr>
          <w:rFonts w:asciiTheme="majorHAnsi" w:hAnsiTheme="majorHAnsi"/>
        </w:rPr>
        <w:t xml:space="preserve">oordinácia jednotlivých členských </w:t>
      </w:r>
      <w:r w:rsidR="00BD5FD5">
        <w:rPr>
          <w:rFonts w:asciiTheme="majorHAnsi" w:hAnsiTheme="majorHAnsi"/>
        </w:rPr>
        <w:t>k</w:t>
      </w:r>
      <w:r w:rsidR="00E04080" w:rsidRPr="00A11FE0">
        <w:rPr>
          <w:rFonts w:asciiTheme="majorHAnsi" w:hAnsiTheme="majorHAnsi"/>
        </w:rPr>
        <w:t xml:space="preserve">rajín </w:t>
      </w:r>
      <w:r w:rsidR="00F8511E">
        <w:rPr>
          <w:rFonts w:asciiTheme="majorHAnsi" w:hAnsiTheme="majorHAnsi"/>
        </w:rPr>
        <w:t xml:space="preserve">EÚ </w:t>
      </w:r>
      <w:r w:rsidR="00BD5FD5">
        <w:rPr>
          <w:rFonts w:asciiTheme="majorHAnsi" w:hAnsiTheme="majorHAnsi"/>
        </w:rPr>
        <w:t>a </w:t>
      </w:r>
      <w:r w:rsidR="00E04080" w:rsidRPr="00A11FE0">
        <w:rPr>
          <w:rFonts w:asciiTheme="majorHAnsi" w:hAnsiTheme="majorHAnsi"/>
        </w:rPr>
        <w:t xml:space="preserve">integrácia štrukturálnych politík je zabezpečená prostredníctvom </w:t>
      </w:r>
      <w:r w:rsidR="00BD5FD5">
        <w:rPr>
          <w:rFonts w:asciiTheme="majorHAnsi" w:hAnsiTheme="majorHAnsi"/>
        </w:rPr>
        <w:t>s</w:t>
      </w:r>
      <w:r w:rsidR="00E04080" w:rsidRPr="00A11FE0">
        <w:rPr>
          <w:rFonts w:asciiTheme="majorHAnsi" w:hAnsiTheme="majorHAnsi"/>
        </w:rPr>
        <w:t xml:space="preserve">poločnej </w:t>
      </w:r>
      <w:r w:rsidR="00BD5FD5">
        <w:rPr>
          <w:rFonts w:asciiTheme="majorHAnsi" w:hAnsiTheme="majorHAnsi"/>
        </w:rPr>
        <w:t>S</w:t>
      </w:r>
      <w:r w:rsidR="00637C7D" w:rsidRPr="00A11FE0">
        <w:rPr>
          <w:rFonts w:asciiTheme="majorHAnsi" w:hAnsiTheme="majorHAnsi"/>
        </w:rPr>
        <w:t xml:space="preserve">tratégie </w:t>
      </w:r>
      <w:r w:rsidR="00992762">
        <w:rPr>
          <w:rFonts w:asciiTheme="majorHAnsi" w:hAnsiTheme="majorHAnsi"/>
        </w:rPr>
        <w:t>E</w:t>
      </w:r>
      <w:r w:rsidR="00284B48">
        <w:rPr>
          <w:rFonts w:asciiTheme="majorHAnsi" w:hAnsiTheme="majorHAnsi"/>
        </w:rPr>
        <w:t>ur</w:t>
      </w:r>
      <w:r w:rsidR="00E04080" w:rsidRPr="00A11FE0">
        <w:rPr>
          <w:rFonts w:asciiTheme="majorHAnsi" w:hAnsiTheme="majorHAnsi"/>
        </w:rPr>
        <w:t xml:space="preserve">ópa 2020, na </w:t>
      </w:r>
      <w:r w:rsidR="00BD5FD5">
        <w:rPr>
          <w:rFonts w:asciiTheme="majorHAnsi" w:hAnsiTheme="majorHAnsi"/>
        </w:rPr>
        <w:t>k</w:t>
      </w:r>
      <w:r w:rsidR="00E04080" w:rsidRPr="00A11FE0">
        <w:rPr>
          <w:rFonts w:asciiTheme="majorHAnsi" w:hAnsiTheme="majorHAnsi"/>
        </w:rPr>
        <w:t xml:space="preserve">torú NPR nadväzuje. Ich </w:t>
      </w:r>
      <w:r w:rsidR="00BD5FD5">
        <w:rPr>
          <w:rFonts w:asciiTheme="majorHAnsi" w:hAnsiTheme="majorHAnsi"/>
        </w:rPr>
        <w:t>s</w:t>
      </w:r>
      <w:r w:rsidR="00E04080" w:rsidRPr="00A11FE0">
        <w:rPr>
          <w:rFonts w:asciiTheme="majorHAnsi" w:hAnsiTheme="majorHAnsi"/>
        </w:rPr>
        <w:t xml:space="preserve">poločným prienikom je 5 prioritných oblastí, </w:t>
      </w:r>
      <w:r w:rsidR="00BD5FD5">
        <w:rPr>
          <w:rFonts w:asciiTheme="majorHAnsi" w:hAnsiTheme="majorHAnsi"/>
        </w:rPr>
        <w:t>k</w:t>
      </w:r>
      <w:r w:rsidR="007079C3" w:rsidRPr="00A11FE0">
        <w:rPr>
          <w:rFonts w:asciiTheme="majorHAnsi" w:hAnsiTheme="majorHAnsi"/>
        </w:rPr>
        <w:t>toré</w:t>
      </w:r>
      <w:r w:rsidR="001D47E5">
        <w:rPr>
          <w:rFonts w:asciiTheme="majorHAnsi" w:hAnsiTheme="majorHAnsi"/>
        </w:rPr>
        <w:t xml:space="preserve"> </w:t>
      </w:r>
      <w:r w:rsidR="007079C3" w:rsidRPr="00A11FE0">
        <w:rPr>
          <w:rFonts w:asciiTheme="majorHAnsi" w:hAnsiTheme="majorHAnsi"/>
        </w:rPr>
        <w:t xml:space="preserve">predstavujú piliere </w:t>
      </w:r>
      <w:r w:rsidR="00BD5FD5">
        <w:rPr>
          <w:rFonts w:asciiTheme="majorHAnsi" w:hAnsiTheme="majorHAnsi"/>
        </w:rPr>
        <w:t>k</w:t>
      </w:r>
      <w:r w:rsidR="007079C3" w:rsidRPr="00A11FE0">
        <w:rPr>
          <w:rFonts w:asciiTheme="majorHAnsi" w:hAnsiTheme="majorHAnsi"/>
        </w:rPr>
        <w:t xml:space="preserve">vality života, udržateľného rastu </w:t>
      </w:r>
      <w:r w:rsidR="00BD5FD5">
        <w:rPr>
          <w:rFonts w:asciiTheme="majorHAnsi" w:hAnsiTheme="majorHAnsi"/>
        </w:rPr>
        <w:t>a</w:t>
      </w:r>
      <w:r w:rsidR="007079C3" w:rsidRPr="00A11FE0">
        <w:rPr>
          <w:rFonts w:asciiTheme="majorHAnsi" w:hAnsiTheme="majorHAnsi"/>
        </w:rPr>
        <w:t> z</w:t>
      </w:r>
      <w:r w:rsidR="00F8435F" w:rsidRPr="00A11FE0">
        <w:rPr>
          <w:rFonts w:asciiTheme="majorHAnsi" w:hAnsiTheme="majorHAnsi"/>
        </w:rPr>
        <w:t>a</w:t>
      </w:r>
      <w:r w:rsidR="007079C3" w:rsidRPr="00A11FE0">
        <w:rPr>
          <w:rFonts w:asciiTheme="majorHAnsi" w:hAnsiTheme="majorHAnsi"/>
        </w:rPr>
        <w:t xml:space="preserve">mestnanosti </w:t>
      </w:r>
      <w:r w:rsidR="00BD5FD5">
        <w:rPr>
          <w:rFonts w:asciiTheme="majorHAnsi" w:hAnsiTheme="majorHAnsi"/>
        </w:rPr>
        <w:t>a </w:t>
      </w:r>
      <w:r w:rsidR="007079C3" w:rsidRPr="00A11FE0">
        <w:rPr>
          <w:rFonts w:asciiTheme="majorHAnsi" w:hAnsiTheme="majorHAnsi"/>
        </w:rPr>
        <w:t>ich vybudovanie v</w:t>
      </w:r>
      <w:r w:rsidR="009F1301">
        <w:rPr>
          <w:rFonts w:asciiTheme="majorHAnsi" w:hAnsiTheme="majorHAnsi"/>
        </w:rPr>
        <w:t xml:space="preserve"> programovom </w:t>
      </w:r>
      <w:r w:rsidR="007079C3" w:rsidRPr="00A11FE0">
        <w:rPr>
          <w:rFonts w:asciiTheme="majorHAnsi" w:hAnsiTheme="majorHAnsi"/>
        </w:rPr>
        <w:t>období 2014</w:t>
      </w:r>
      <w:r w:rsidR="00442FC4" w:rsidRPr="00A11FE0">
        <w:rPr>
          <w:rFonts w:asciiTheme="majorHAnsi" w:hAnsiTheme="majorHAnsi"/>
        </w:rPr>
        <w:t xml:space="preserve"> – </w:t>
      </w:r>
      <w:r w:rsidR="007079C3" w:rsidRPr="00A11FE0">
        <w:rPr>
          <w:rFonts w:asciiTheme="majorHAnsi" w:hAnsiTheme="majorHAnsi"/>
        </w:rPr>
        <w:t>2020</w:t>
      </w:r>
      <w:r w:rsidR="00442FC4" w:rsidRPr="00A11FE0">
        <w:rPr>
          <w:rFonts w:asciiTheme="majorHAnsi" w:hAnsiTheme="majorHAnsi"/>
        </w:rPr>
        <w:t xml:space="preserve"> </w:t>
      </w:r>
      <w:r w:rsidR="007079C3" w:rsidRPr="00A11FE0">
        <w:rPr>
          <w:rFonts w:asciiTheme="majorHAnsi" w:hAnsiTheme="majorHAnsi"/>
        </w:rPr>
        <w:t>predstavuje</w:t>
      </w:r>
      <w:r w:rsidR="00E04080" w:rsidRPr="00A11FE0">
        <w:rPr>
          <w:rFonts w:asciiTheme="majorHAnsi" w:hAnsiTheme="majorHAnsi"/>
        </w:rPr>
        <w:t xml:space="preserve"> </w:t>
      </w:r>
      <w:r w:rsidR="007079C3" w:rsidRPr="00A11FE0">
        <w:rPr>
          <w:rFonts w:asciiTheme="majorHAnsi" w:hAnsiTheme="majorHAnsi"/>
        </w:rPr>
        <w:t xml:space="preserve">pre </w:t>
      </w:r>
      <w:r w:rsidR="00BD5FD5">
        <w:rPr>
          <w:rFonts w:asciiTheme="majorHAnsi" w:hAnsiTheme="majorHAnsi"/>
        </w:rPr>
        <w:t>S</w:t>
      </w:r>
      <w:r w:rsidR="007079C3" w:rsidRPr="00A11FE0">
        <w:rPr>
          <w:rFonts w:asciiTheme="majorHAnsi" w:hAnsiTheme="majorHAnsi"/>
        </w:rPr>
        <w:t xml:space="preserve">lovensko </w:t>
      </w:r>
      <w:r w:rsidR="00E04080" w:rsidRPr="00A11FE0">
        <w:rPr>
          <w:rFonts w:asciiTheme="majorHAnsi" w:hAnsiTheme="majorHAnsi"/>
        </w:rPr>
        <w:t>h</w:t>
      </w:r>
      <w:r w:rsidR="000D36F9" w:rsidRPr="00A11FE0">
        <w:rPr>
          <w:rFonts w:asciiTheme="majorHAnsi" w:hAnsiTheme="majorHAnsi"/>
        </w:rPr>
        <w:t>lavnú výzvu</w:t>
      </w:r>
    </w:p>
    <w:p w:rsidR="00E04080" w:rsidRPr="00A11FE0" w:rsidRDefault="00D40D6E" w:rsidP="00FB77D2">
      <w:pPr>
        <w:rPr>
          <w:rFonts w:asciiTheme="majorHAnsi" w:hAnsiTheme="majorHAnsi"/>
        </w:rPr>
      </w:pPr>
      <w:r w:rsidRPr="00A11FE0">
        <w:rPr>
          <w:rFonts w:asciiTheme="majorHAnsi" w:hAnsiTheme="majorHAnsi"/>
        </w:rPr>
        <w:t xml:space="preserve">Nasledujúca časť je zameraná na </w:t>
      </w:r>
      <w:r w:rsidR="00BD5FD5">
        <w:rPr>
          <w:rFonts w:asciiTheme="majorHAnsi" w:hAnsiTheme="majorHAnsi"/>
        </w:rPr>
        <w:t>a</w:t>
      </w:r>
      <w:r w:rsidRPr="00A11FE0">
        <w:rPr>
          <w:rFonts w:asciiTheme="majorHAnsi" w:hAnsiTheme="majorHAnsi"/>
        </w:rPr>
        <w:t xml:space="preserve">nalýzu </w:t>
      </w:r>
      <w:r w:rsidR="00BD5FD5">
        <w:rPr>
          <w:rFonts w:asciiTheme="majorHAnsi" w:hAnsiTheme="majorHAnsi"/>
        </w:rPr>
        <w:t>k</w:t>
      </w:r>
      <w:r w:rsidRPr="00A11FE0">
        <w:rPr>
          <w:rFonts w:asciiTheme="majorHAnsi" w:hAnsiTheme="majorHAnsi"/>
        </w:rPr>
        <w:t xml:space="preserve">ľúčových prekážok dosiahnutia pokroku v týchto prioritných oblastiach </w:t>
      </w:r>
      <w:r w:rsidR="00BD5FD5">
        <w:rPr>
          <w:rFonts w:asciiTheme="majorHAnsi" w:hAnsiTheme="majorHAnsi"/>
        </w:rPr>
        <w:t>a</w:t>
      </w:r>
      <w:r w:rsidR="001D47E5">
        <w:rPr>
          <w:rFonts w:asciiTheme="majorHAnsi" w:hAnsiTheme="majorHAnsi"/>
        </w:rPr>
        <w:t> </w:t>
      </w:r>
      <w:r w:rsidRPr="00A11FE0">
        <w:rPr>
          <w:rFonts w:asciiTheme="majorHAnsi" w:hAnsiTheme="majorHAnsi"/>
        </w:rPr>
        <w:t>zdôvodnenie</w:t>
      </w:r>
      <w:r w:rsidR="001D47E5">
        <w:rPr>
          <w:rFonts w:asciiTheme="majorHAnsi" w:hAnsiTheme="majorHAnsi"/>
        </w:rPr>
        <w:t xml:space="preserve"> </w:t>
      </w:r>
      <w:r w:rsidRPr="00A11FE0">
        <w:rPr>
          <w:rFonts w:asciiTheme="majorHAnsi" w:hAnsiTheme="majorHAnsi"/>
        </w:rPr>
        <w:t>výberu najdôležitejších tematických cieľov zameraných na ich odstránenie.</w:t>
      </w:r>
    </w:p>
    <w:p w:rsidR="004A1D99" w:rsidRPr="00A11FE0" w:rsidRDefault="004A1D99" w:rsidP="003B3B3B">
      <w:pPr>
        <w:pStyle w:val="Nadpis3"/>
        <w:numPr>
          <w:ilvl w:val="2"/>
          <w:numId w:val="2"/>
        </w:numPr>
      </w:pPr>
      <w:bookmarkStart w:id="14" w:name="_Toc372447901"/>
      <w:bookmarkStart w:id="15" w:name="_Toc373169692"/>
      <w:r w:rsidRPr="00A11FE0">
        <w:t xml:space="preserve">Územná </w:t>
      </w:r>
      <w:r w:rsidR="00BD5FD5">
        <w:t>k</w:t>
      </w:r>
      <w:r w:rsidRPr="00A11FE0">
        <w:t>oncentrácia investičných priorít tematických cieľov</w:t>
      </w:r>
      <w:bookmarkEnd w:id="14"/>
      <w:bookmarkEnd w:id="15"/>
    </w:p>
    <w:p w:rsidR="004A1D99" w:rsidRPr="00A11FE0" w:rsidRDefault="004A1D99" w:rsidP="004A1D99">
      <w:pPr>
        <w:rPr>
          <w:rFonts w:asciiTheme="majorHAnsi" w:eastAsia="MS Mincho" w:hAnsiTheme="majorHAnsi"/>
        </w:rPr>
      </w:pPr>
      <w:r w:rsidRPr="00A11FE0">
        <w:rPr>
          <w:rFonts w:asciiTheme="majorHAnsi" w:eastAsia="MS Mincho" w:hAnsiTheme="majorHAnsi"/>
        </w:rPr>
        <w:t>V</w:t>
      </w:r>
      <w:r w:rsidR="001D47E5">
        <w:rPr>
          <w:rFonts w:asciiTheme="majorHAnsi" w:eastAsia="MS Mincho" w:hAnsiTheme="majorHAnsi"/>
        </w:rPr>
        <w:t> </w:t>
      </w:r>
      <w:r w:rsidRPr="00A11FE0">
        <w:rPr>
          <w:rFonts w:asciiTheme="majorHAnsi" w:eastAsia="MS Mincho" w:hAnsiTheme="majorHAnsi"/>
        </w:rPr>
        <w:t>nadväznosti</w:t>
      </w:r>
      <w:r w:rsidR="001D47E5">
        <w:rPr>
          <w:rFonts w:asciiTheme="majorHAnsi" w:eastAsia="MS Mincho" w:hAnsiTheme="majorHAnsi"/>
        </w:rPr>
        <w:t xml:space="preserve"> </w:t>
      </w:r>
      <w:r w:rsidRPr="00A11FE0">
        <w:rPr>
          <w:rFonts w:asciiTheme="majorHAnsi" w:eastAsia="MS Mincho" w:hAnsiTheme="majorHAnsi"/>
        </w:rPr>
        <w:t xml:space="preserve">na identifikovaný rozvojový potenciál regiónov </w:t>
      </w:r>
      <w:r w:rsidR="00BD5FD5">
        <w:rPr>
          <w:rFonts w:asciiTheme="majorHAnsi" w:eastAsia="MS Mincho" w:hAnsiTheme="majorHAnsi"/>
        </w:rPr>
        <w:t>S</w:t>
      </w:r>
      <w:r w:rsidRPr="00A11FE0">
        <w:rPr>
          <w:rFonts w:asciiTheme="majorHAnsi" w:eastAsia="MS Mincho" w:hAnsiTheme="majorHAnsi"/>
        </w:rPr>
        <w:t>lovenskej republiky</w:t>
      </w:r>
      <w:r w:rsidR="00A31197" w:rsidRPr="00A11FE0">
        <w:rPr>
          <w:rFonts w:asciiTheme="majorHAnsi" w:eastAsia="MS Mincho" w:hAnsiTheme="majorHAnsi"/>
        </w:rPr>
        <w:t xml:space="preserve"> (ďalej len „</w:t>
      </w:r>
      <w:r w:rsidR="00BD5FD5">
        <w:rPr>
          <w:rFonts w:asciiTheme="majorHAnsi" w:eastAsia="MS Mincho" w:hAnsiTheme="majorHAnsi"/>
        </w:rPr>
        <w:t>S</w:t>
      </w:r>
      <w:r w:rsidR="00A31197" w:rsidRPr="00A11FE0">
        <w:rPr>
          <w:rFonts w:asciiTheme="majorHAnsi" w:eastAsia="MS Mincho" w:hAnsiTheme="majorHAnsi"/>
        </w:rPr>
        <w:t>R“)</w:t>
      </w:r>
      <w:r w:rsidRPr="00A11FE0">
        <w:rPr>
          <w:rFonts w:asciiTheme="majorHAnsi" w:eastAsia="MS Mincho" w:hAnsiTheme="majorHAnsi"/>
        </w:rPr>
        <w:t xml:space="preserve"> </w:t>
      </w:r>
      <w:r w:rsidR="00BD5FD5">
        <w:rPr>
          <w:rFonts w:asciiTheme="majorHAnsi" w:eastAsia="MS Mincho" w:hAnsiTheme="majorHAnsi"/>
        </w:rPr>
        <w:t>a </w:t>
      </w:r>
      <w:r w:rsidRPr="00A11FE0">
        <w:rPr>
          <w:rFonts w:asciiTheme="majorHAnsi" w:eastAsia="MS Mincho" w:hAnsiTheme="majorHAnsi"/>
        </w:rPr>
        <w:t xml:space="preserve">investícií posilňujúcich ich hospodársky </w:t>
      </w:r>
      <w:r w:rsidR="00BD5FD5">
        <w:rPr>
          <w:rFonts w:asciiTheme="majorHAnsi" w:eastAsia="MS Mincho" w:hAnsiTheme="majorHAnsi"/>
        </w:rPr>
        <w:t>a s</w:t>
      </w:r>
      <w:r w:rsidRPr="00A11FE0">
        <w:rPr>
          <w:rFonts w:asciiTheme="majorHAnsi" w:eastAsia="MS Mincho" w:hAnsiTheme="majorHAnsi"/>
        </w:rPr>
        <w:t>ociálny rast</w:t>
      </w:r>
      <w:r w:rsidR="008802A7" w:rsidRPr="00A11FE0">
        <w:rPr>
          <w:rStyle w:val="Odkaznapoznmkupodiarou"/>
          <w:rFonts w:asciiTheme="majorHAnsi" w:eastAsia="MS Mincho" w:hAnsiTheme="majorHAnsi"/>
        </w:rPr>
        <w:footnoteReference w:id="2"/>
      </w:r>
      <w:r w:rsidRPr="00A11FE0">
        <w:rPr>
          <w:rFonts w:asciiTheme="majorHAnsi" w:eastAsia="MS Mincho" w:hAnsiTheme="majorHAnsi"/>
        </w:rPr>
        <w:t xml:space="preserve">, </w:t>
      </w:r>
      <w:r w:rsidR="00BD5FD5">
        <w:rPr>
          <w:rFonts w:asciiTheme="majorHAnsi" w:eastAsia="MS Mincho" w:hAnsiTheme="majorHAnsi"/>
        </w:rPr>
        <w:t>k</w:t>
      </w:r>
      <w:r w:rsidRPr="00A11FE0">
        <w:rPr>
          <w:rFonts w:asciiTheme="majorHAnsi" w:eastAsia="MS Mincho" w:hAnsiTheme="majorHAnsi"/>
        </w:rPr>
        <w:t>oncentruje Partnerská dohoda</w:t>
      </w:r>
      <w:r w:rsidR="001D47E5">
        <w:rPr>
          <w:rFonts w:asciiTheme="majorHAnsi" w:eastAsia="MS Mincho" w:hAnsiTheme="majorHAnsi"/>
        </w:rPr>
        <w:t xml:space="preserve"> SR na roky 2014 – 2020 (ďalej len „PD SR“)</w:t>
      </w:r>
      <w:r w:rsidRPr="00A11FE0">
        <w:rPr>
          <w:rFonts w:asciiTheme="majorHAnsi" w:eastAsia="MS Mincho" w:hAnsiTheme="majorHAnsi"/>
        </w:rPr>
        <w:t xml:space="preserve"> oprávnené príspevky EŠIF</w:t>
      </w:r>
      <w:r w:rsidR="00637C7D" w:rsidRPr="00A11FE0">
        <w:rPr>
          <w:rFonts w:asciiTheme="majorHAnsi" w:eastAsia="MS Mincho" w:hAnsiTheme="majorHAnsi"/>
        </w:rPr>
        <w:t xml:space="preserve"> </w:t>
      </w:r>
      <w:r w:rsidRPr="00A11FE0">
        <w:rPr>
          <w:rFonts w:asciiTheme="majorHAnsi" w:eastAsia="MS Mincho" w:hAnsiTheme="majorHAnsi"/>
        </w:rPr>
        <w:t xml:space="preserve">do tých geografických územných jednotiek, </w:t>
      </w:r>
      <w:r w:rsidR="008A00D0" w:rsidRPr="00A11FE0">
        <w:rPr>
          <w:rFonts w:asciiTheme="majorHAnsi" w:eastAsia="MS Mincho" w:hAnsiTheme="majorHAnsi"/>
        </w:rPr>
        <w:t>v </w:t>
      </w:r>
      <w:r w:rsidR="00BD5FD5">
        <w:rPr>
          <w:rFonts w:asciiTheme="majorHAnsi" w:eastAsia="MS Mincho" w:hAnsiTheme="majorHAnsi"/>
        </w:rPr>
        <w:t>k</w:t>
      </w:r>
      <w:r w:rsidR="008A00D0" w:rsidRPr="00A11FE0">
        <w:rPr>
          <w:rFonts w:asciiTheme="majorHAnsi" w:eastAsia="MS Mincho" w:hAnsiTheme="majorHAnsi"/>
        </w:rPr>
        <w:t xml:space="preserve">torých </w:t>
      </w:r>
      <w:r w:rsidR="00BD5FD5">
        <w:rPr>
          <w:rFonts w:asciiTheme="majorHAnsi" w:eastAsia="MS Mincho" w:hAnsiTheme="majorHAnsi"/>
        </w:rPr>
        <w:t>s</w:t>
      </w:r>
      <w:r w:rsidRPr="00A11FE0">
        <w:rPr>
          <w:rFonts w:asciiTheme="majorHAnsi" w:eastAsia="MS Mincho" w:hAnsiTheme="majorHAnsi"/>
        </w:rPr>
        <w:t>a dá očakávať najvyššia miera efektívnosti využívaných investícií na riešenie špecifických problémov regiónu</w:t>
      </w:r>
      <w:r w:rsidR="009F1301">
        <w:rPr>
          <w:rFonts w:asciiTheme="majorHAnsi" w:eastAsia="MS Mincho" w:hAnsiTheme="majorHAnsi"/>
        </w:rPr>
        <w:t>,</w:t>
      </w:r>
      <w:r w:rsidR="00F8511E">
        <w:rPr>
          <w:rFonts w:asciiTheme="majorHAnsi" w:eastAsia="MS Mincho" w:hAnsiTheme="majorHAnsi"/>
        </w:rPr>
        <w:t xml:space="preserve"> prostredníctvom</w:t>
      </w:r>
      <w:r w:rsidRPr="00A11FE0">
        <w:rPr>
          <w:rFonts w:asciiTheme="majorHAnsi" w:eastAsia="MS Mincho" w:hAnsiTheme="majorHAnsi"/>
        </w:rPr>
        <w:t xml:space="preserve"> využívan</w:t>
      </w:r>
      <w:r w:rsidR="00F8511E">
        <w:rPr>
          <w:rFonts w:asciiTheme="majorHAnsi" w:eastAsia="MS Mincho" w:hAnsiTheme="majorHAnsi"/>
        </w:rPr>
        <w:t>ia</w:t>
      </w:r>
      <w:r w:rsidRPr="00A11FE0">
        <w:rPr>
          <w:rFonts w:asciiTheme="majorHAnsi" w:eastAsia="MS Mincho" w:hAnsiTheme="majorHAnsi"/>
        </w:rPr>
        <w:t xml:space="preserve"> </w:t>
      </w:r>
      <w:r w:rsidR="008A00D0" w:rsidRPr="00A11FE0">
        <w:rPr>
          <w:rFonts w:asciiTheme="majorHAnsi" w:eastAsia="MS Mincho" w:hAnsiTheme="majorHAnsi"/>
        </w:rPr>
        <w:t xml:space="preserve">ich </w:t>
      </w:r>
      <w:r w:rsidRPr="00A11FE0">
        <w:rPr>
          <w:rFonts w:asciiTheme="majorHAnsi" w:eastAsia="MS Mincho" w:hAnsiTheme="majorHAnsi"/>
        </w:rPr>
        <w:t xml:space="preserve">miestneho potenciálu </w:t>
      </w:r>
      <w:r w:rsidR="00BD5FD5">
        <w:rPr>
          <w:rFonts w:asciiTheme="majorHAnsi" w:eastAsia="MS Mincho" w:hAnsiTheme="majorHAnsi"/>
        </w:rPr>
        <w:t>a </w:t>
      </w:r>
      <w:r w:rsidRPr="00A11FE0">
        <w:rPr>
          <w:rFonts w:asciiTheme="majorHAnsi" w:eastAsia="MS Mincho" w:hAnsiTheme="majorHAnsi"/>
        </w:rPr>
        <w:t>zdrojov.</w:t>
      </w:r>
    </w:p>
    <w:p w:rsidR="004A1D99" w:rsidRPr="00A11FE0" w:rsidRDefault="004A1D99" w:rsidP="004A1D99">
      <w:pPr>
        <w:rPr>
          <w:rFonts w:asciiTheme="majorHAnsi" w:eastAsia="MS Mincho" w:hAnsiTheme="majorHAnsi"/>
        </w:rPr>
      </w:pPr>
      <w:r w:rsidRPr="00A11FE0">
        <w:rPr>
          <w:rFonts w:asciiTheme="majorHAnsi" w:eastAsia="MS Mincho" w:hAnsiTheme="majorHAnsi"/>
        </w:rPr>
        <w:t>Z</w:t>
      </w:r>
      <w:r w:rsidR="001D47E5">
        <w:rPr>
          <w:rFonts w:asciiTheme="majorHAnsi" w:eastAsia="MS Mincho" w:hAnsiTheme="majorHAnsi"/>
        </w:rPr>
        <w:t> </w:t>
      </w:r>
      <w:r w:rsidRPr="00A11FE0">
        <w:rPr>
          <w:rFonts w:asciiTheme="majorHAnsi" w:eastAsia="MS Mincho" w:hAnsiTheme="majorHAnsi"/>
        </w:rPr>
        <w:t>pohľadu</w:t>
      </w:r>
      <w:r w:rsidR="001D47E5">
        <w:rPr>
          <w:rFonts w:asciiTheme="majorHAnsi" w:eastAsia="MS Mincho" w:hAnsiTheme="majorHAnsi"/>
        </w:rPr>
        <w:t xml:space="preserve"> </w:t>
      </w:r>
      <w:r w:rsidRPr="00A11FE0">
        <w:rPr>
          <w:rFonts w:asciiTheme="majorHAnsi" w:eastAsia="MS Mincho" w:hAnsiTheme="majorHAnsi"/>
        </w:rPr>
        <w:t>regionálneho prístupu</w:t>
      </w:r>
      <w:r w:rsidR="009F1301">
        <w:rPr>
          <w:rFonts w:asciiTheme="majorHAnsi" w:eastAsia="MS Mincho" w:hAnsiTheme="majorHAnsi"/>
        </w:rPr>
        <w:t>,</w:t>
      </w:r>
      <w:r w:rsidRPr="00A11FE0">
        <w:rPr>
          <w:rFonts w:asciiTheme="majorHAnsi" w:eastAsia="MS Mincho" w:hAnsiTheme="majorHAnsi"/>
        </w:rPr>
        <w:t xml:space="preserve"> bude </w:t>
      </w:r>
      <w:r w:rsidR="00BD5FD5">
        <w:rPr>
          <w:rFonts w:asciiTheme="majorHAnsi" w:eastAsia="MS Mincho" w:hAnsiTheme="majorHAnsi"/>
        </w:rPr>
        <w:t>s</w:t>
      </w:r>
      <w:r w:rsidRPr="00A11FE0">
        <w:rPr>
          <w:rFonts w:asciiTheme="majorHAnsi" w:eastAsia="MS Mincho" w:hAnsiTheme="majorHAnsi"/>
        </w:rPr>
        <w:t xml:space="preserve">trategickým cieľom </w:t>
      </w:r>
      <w:r w:rsidR="001D47E5">
        <w:rPr>
          <w:rFonts w:asciiTheme="majorHAnsi" w:eastAsia="MS Mincho" w:hAnsiTheme="majorHAnsi"/>
        </w:rPr>
        <w:t>PD SR</w:t>
      </w:r>
      <w:r w:rsidRPr="00A11FE0">
        <w:rPr>
          <w:rFonts w:asciiTheme="majorHAnsi" w:eastAsia="MS Mincho" w:hAnsiTheme="majorHAnsi"/>
        </w:rPr>
        <w:t xml:space="preserve"> zabezpečovať implementovanie investičných priorít do priestorov, </w:t>
      </w:r>
      <w:r w:rsidR="00BD5FD5">
        <w:rPr>
          <w:rFonts w:asciiTheme="majorHAnsi" w:eastAsia="MS Mincho" w:hAnsiTheme="majorHAnsi"/>
        </w:rPr>
        <w:t>k</w:t>
      </w:r>
      <w:r w:rsidRPr="00A11FE0">
        <w:rPr>
          <w:rFonts w:asciiTheme="majorHAnsi" w:eastAsia="MS Mincho" w:hAnsiTheme="majorHAnsi"/>
        </w:rPr>
        <w:t xml:space="preserve">toré majú najvyšší rozvojový potenciál pre danú prioritnú oblasť. Cieľom je integrovať investičné </w:t>
      </w:r>
      <w:r w:rsidR="00BD5FD5">
        <w:rPr>
          <w:rFonts w:asciiTheme="majorHAnsi" w:eastAsia="MS Mincho" w:hAnsiTheme="majorHAnsi"/>
        </w:rPr>
        <w:t>ak</w:t>
      </w:r>
      <w:r w:rsidRPr="00A11FE0">
        <w:rPr>
          <w:rFonts w:asciiTheme="majorHAnsi" w:eastAsia="MS Mincho" w:hAnsiTheme="majorHAnsi"/>
        </w:rPr>
        <w:t xml:space="preserve">tivity tak, </w:t>
      </w:r>
      <w:r w:rsidR="00BD5FD5">
        <w:rPr>
          <w:rFonts w:asciiTheme="majorHAnsi" w:eastAsia="MS Mincho" w:hAnsiTheme="majorHAnsi"/>
        </w:rPr>
        <w:t>a</w:t>
      </w:r>
      <w:r w:rsidRPr="00A11FE0">
        <w:rPr>
          <w:rFonts w:asciiTheme="majorHAnsi" w:eastAsia="MS Mincho" w:hAnsiTheme="majorHAnsi"/>
        </w:rPr>
        <w:t xml:space="preserve">by </w:t>
      </w:r>
      <w:r w:rsidR="00BD5FD5">
        <w:rPr>
          <w:rFonts w:asciiTheme="majorHAnsi" w:eastAsia="MS Mincho" w:hAnsiTheme="majorHAnsi"/>
        </w:rPr>
        <w:t>s</w:t>
      </w:r>
      <w:r w:rsidRPr="00A11FE0">
        <w:rPr>
          <w:rFonts w:asciiTheme="majorHAnsi" w:eastAsia="MS Mincho" w:hAnsiTheme="majorHAnsi"/>
        </w:rPr>
        <w:t xml:space="preserve">a </w:t>
      </w:r>
      <w:r w:rsidR="00BD5FD5">
        <w:rPr>
          <w:rFonts w:asciiTheme="majorHAnsi" w:eastAsia="MS Mincho" w:hAnsiTheme="majorHAnsi"/>
        </w:rPr>
        <w:t>s</w:t>
      </w:r>
      <w:r w:rsidRPr="00A11FE0">
        <w:rPr>
          <w:rFonts w:asciiTheme="majorHAnsi" w:eastAsia="MS Mincho" w:hAnsiTheme="majorHAnsi"/>
        </w:rPr>
        <w:t xml:space="preserve">tali multiplikátormi ďalšieho rozvoja </w:t>
      </w:r>
      <w:r w:rsidR="002D3C3C" w:rsidRPr="00A11FE0">
        <w:rPr>
          <w:rFonts w:asciiTheme="majorHAnsi" w:eastAsia="MS Mincho" w:hAnsiTheme="majorHAnsi"/>
        </w:rPr>
        <w:t xml:space="preserve">danej </w:t>
      </w:r>
      <w:r w:rsidR="00C22648" w:rsidRPr="00A11FE0">
        <w:rPr>
          <w:rFonts w:asciiTheme="majorHAnsi" w:eastAsia="MS Mincho" w:hAnsiTheme="majorHAnsi"/>
        </w:rPr>
        <w:t xml:space="preserve">geografickej </w:t>
      </w:r>
      <w:r w:rsidRPr="00A11FE0">
        <w:rPr>
          <w:rFonts w:asciiTheme="majorHAnsi" w:eastAsia="MS Mincho" w:hAnsiTheme="majorHAnsi"/>
        </w:rPr>
        <w:t>jednotk</w:t>
      </w:r>
      <w:r w:rsidR="002D3C3C" w:rsidRPr="00A11FE0">
        <w:rPr>
          <w:rFonts w:asciiTheme="majorHAnsi" w:eastAsia="MS Mincho" w:hAnsiTheme="majorHAnsi"/>
        </w:rPr>
        <w:t>y</w:t>
      </w:r>
      <w:r w:rsidR="009F1301">
        <w:rPr>
          <w:rFonts w:asciiTheme="majorHAnsi" w:eastAsia="MS Mincho" w:hAnsiTheme="majorHAnsi"/>
        </w:rPr>
        <w:t>,</w:t>
      </w:r>
      <w:r w:rsidR="002D3C3C" w:rsidRPr="00A11FE0">
        <w:rPr>
          <w:rFonts w:asciiTheme="majorHAnsi" w:eastAsia="MS Mincho" w:hAnsiTheme="majorHAnsi"/>
        </w:rPr>
        <w:t xml:space="preserve"> </w:t>
      </w:r>
      <w:r w:rsidR="00BD5FD5">
        <w:rPr>
          <w:rFonts w:asciiTheme="majorHAnsi" w:eastAsia="MS Mincho" w:hAnsiTheme="majorHAnsi"/>
        </w:rPr>
        <w:t>ak</w:t>
      </w:r>
      <w:r w:rsidR="002D3C3C" w:rsidRPr="00A11FE0">
        <w:rPr>
          <w:rFonts w:asciiTheme="majorHAnsi" w:eastAsia="MS Mincho" w:hAnsiTheme="majorHAnsi"/>
        </w:rPr>
        <w:t xml:space="preserve">o </w:t>
      </w:r>
      <w:r w:rsidR="00BD5FD5">
        <w:rPr>
          <w:rFonts w:asciiTheme="majorHAnsi" w:eastAsia="MS Mincho" w:hAnsiTheme="majorHAnsi"/>
        </w:rPr>
        <w:t>a</w:t>
      </w:r>
      <w:r w:rsidR="002D3C3C" w:rsidRPr="00A11FE0">
        <w:rPr>
          <w:rFonts w:asciiTheme="majorHAnsi" w:eastAsia="MS Mincho" w:hAnsiTheme="majorHAnsi"/>
        </w:rPr>
        <w:t xml:space="preserve">j </w:t>
      </w:r>
      <w:r w:rsidRPr="00A11FE0">
        <w:rPr>
          <w:rFonts w:asciiTheme="majorHAnsi" w:eastAsia="MS Mincho" w:hAnsiTheme="majorHAnsi"/>
        </w:rPr>
        <w:t xml:space="preserve">rozvoja </w:t>
      </w:r>
      <w:r w:rsidR="00BD5FD5">
        <w:rPr>
          <w:rFonts w:asciiTheme="majorHAnsi" w:eastAsia="MS Mincho" w:hAnsiTheme="majorHAnsi"/>
        </w:rPr>
        <w:t>k</w:t>
      </w:r>
      <w:r w:rsidR="001D47E5">
        <w:rPr>
          <w:rFonts w:asciiTheme="majorHAnsi" w:eastAsia="MS Mincho" w:hAnsiTheme="majorHAnsi"/>
        </w:rPr>
        <w:t> </w:t>
      </w:r>
      <w:r w:rsidR="00C22648" w:rsidRPr="00A11FE0">
        <w:rPr>
          <w:rFonts w:asciiTheme="majorHAnsi" w:eastAsia="MS Mincho" w:hAnsiTheme="majorHAnsi"/>
        </w:rPr>
        <w:t>nej</w:t>
      </w:r>
      <w:r w:rsidR="001D47E5">
        <w:rPr>
          <w:rFonts w:asciiTheme="majorHAnsi" w:eastAsia="MS Mincho" w:hAnsiTheme="majorHAnsi"/>
        </w:rPr>
        <w:t xml:space="preserve"> </w:t>
      </w:r>
      <w:r w:rsidRPr="00A11FE0">
        <w:rPr>
          <w:rFonts w:asciiTheme="majorHAnsi" w:eastAsia="MS Mincho" w:hAnsiTheme="majorHAnsi"/>
        </w:rPr>
        <w:t>priľahlého územia.</w:t>
      </w:r>
    </w:p>
    <w:p w:rsidR="004A1D99" w:rsidRPr="00A11FE0" w:rsidRDefault="004A1D99" w:rsidP="004A1D99">
      <w:pPr>
        <w:rPr>
          <w:rFonts w:asciiTheme="majorHAnsi" w:eastAsia="MS Mincho" w:hAnsiTheme="majorHAnsi"/>
        </w:rPr>
      </w:pPr>
      <w:r w:rsidRPr="00A11FE0">
        <w:rPr>
          <w:rFonts w:asciiTheme="majorHAnsi" w:eastAsia="MS Mincho" w:hAnsiTheme="majorHAnsi"/>
        </w:rPr>
        <w:t xml:space="preserve">Základným východiskom </w:t>
      </w:r>
      <w:r w:rsidR="00F8511E">
        <w:rPr>
          <w:rFonts w:asciiTheme="majorHAnsi" w:eastAsia="MS Mincho" w:hAnsiTheme="majorHAnsi"/>
        </w:rPr>
        <w:t>na</w:t>
      </w:r>
      <w:r w:rsidR="00F8511E" w:rsidRPr="00A11FE0">
        <w:rPr>
          <w:rFonts w:asciiTheme="majorHAnsi" w:eastAsia="MS Mincho" w:hAnsiTheme="majorHAnsi"/>
        </w:rPr>
        <w:t xml:space="preserve"> </w:t>
      </w:r>
      <w:r w:rsidRPr="00A11FE0">
        <w:rPr>
          <w:rFonts w:asciiTheme="majorHAnsi" w:eastAsia="MS Mincho" w:hAnsiTheme="majorHAnsi"/>
        </w:rPr>
        <w:t xml:space="preserve">riešenie územnej </w:t>
      </w:r>
      <w:r w:rsidR="00BD5FD5">
        <w:rPr>
          <w:rFonts w:asciiTheme="majorHAnsi" w:eastAsia="MS Mincho" w:hAnsiTheme="majorHAnsi"/>
        </w:rPr>
        <w:t>a </w:t>
      </w:r>
      <w:r w:rsidRPr="00A11FE0">
        <w:rPr>
          <w:rFonts w:asciiTheme="majorHAnsi" w:eastAsia="MS Mincho" w:hAnsiTheme="majorHAnsi"/>
        </w:rPr>
        <w:t xml:space="preserve">tematickej </w:t>
      </w:r>
      <w:r w:rsidR="00BD5FD5">
        <w:rPr>
          <w:rFonts w:asciiTheme="majorHAnsi" w:eastAsia="MS Mincho" w:hAnsiTheme="majorHAnsi"/>
        </w:rPr>
        <w:t>k</w:t>
      </w:r>
      <w:r w:rsidRPr="00A11FE0">
        <w:rPr>
          <w:rFonts w:asciiTheme="majorHAnsi" w:eastAsia="MS Mincho" w:hAnsiTheme="majorHAnsi"/>
        </w:rPr>
        <w:t>oncentrácie pre rozhodovanie o</w:t>
      </w:r>
      <w:r w:rsidR="00285918">
        <w:rPr>
          <w:rFonts w:asciiTheme="majorHAnsi" w:eastAsia="MS Mincho" w:hAnsiTheme="majorHAnsi"/>
        </w:rPr>
        <w:t> </w:t>
      </w:r>
      <w:r w:rsidRPr="00A11FE0">
        <w:rPr>
          <w:rFonts w:asciiTheme="majorHAnsi" w:eastAsia="MS Mincho" w:hAnsiTheme="majorHAnsi"/>
        </w:rPr>
        <w:t>umiestňovaní</w:t>
      </w:r>
      <w:r w:rsidR="00285918">
        <w:rPr>
          <w:rFonts w:asciiTheme="majorHAnsi" w:eastAsia="MS Mincho" w:hAnsiTheme="majorHAnsi"/>
        </w:rPr>
        <w:t xml:space="preserve"> </w:t>
      </w:r>
      <w:r w:rsidRPr="00A11FE0">
        <w:rPr>
          <w:rFonts w:asciiTheme="majorHAnsi" w:eastAsia="MS Mincho" w:hAnsiTheme="majorHAnsi"/>
        </w:rPr>
        <w:t xml:space="preserve">EŠIF podporovaných investičných </w:t>
      </w:r>
      <w:r w:rsidR="00BD5FD5">
        <w:rPr>
          <w:rFonts w:asciiTheme="majorHAnsi" w:eastAsia="MS Mincho" w:hAnsiTheme="majorHAnsi"/>
        </w:rPr>
        <w:t>ak</w:t>
      </w:r>
      <w:r w:rsidRPr="00A11FE0">
        <w:rPr>
          <w:rFonts w:asciiTheme="majorHAnsi" w:eastAsia="MS Mincho" w:hAnsiTheme="majorHAnsi"/>
        </w:rPr>
        <w:t xml:space="preserve">tivít je rozvoj územia </w:t>
      </w:r>
      <w:r w:rsidR="00BD5FD5">
        <w:rPr>
          <w:rFonts w:asciiTheme="majorHAnsi" w:eastAsia="MS Mincho" w:hAnsiTheme="majorHAnsi"/>
        </w:rPr>
        <w:t>a </w:t>
      </w:r>
      <w:r w:rsidRPr="00A11FE0">
        <w:rPr>
          <w:rFonts w:asciiTheme="majorHAnsi" w:eastAsia="MS Mincho" w:hAnsiTheme="majorHAnsi"/>
        </w:rPr>
        <w:t xml:space="preserve">polycentrickej </w:t>
      </w:r>
      <w:r w:rsidR="00BD5FD5">
        <w:rPr>
          <w:rFonts w:asciiTheme="majorHAnsi" w:eastAsia="MS Mincho" w:hAnsiTheme="majorHAnsi"/>
        </w:rPr>
        <w:t>s</w:t>
      </w:r>
      <w:r w:rsidRPr="00A11FE0">
        <w:rPr>
          <w:rFonts w:asciiTheme="majorHAnsi" w:eastAsia="MS Mincho" w:hAnsiTheme="majorHAnsi"/>
        </w:rPr>
        <w:t>ídelnej štruktúry</w:t>
      </w:r>
      <w:r w:rsidR="002D3C3C" w:rsidRPr="00A11FE0">
        <w:rPr>
          <w:rFonts w:asciiTheme="majorHAnsi" w:eastAsia="MS Mincho" w:hAnsiTheme="majorHAnsi"/>
        </w:rPr>
        <w:t xml:space="preserve">, </w:t>
      </w:r>
      <w:r w:rsidRPr="00A11FE0">
        <w:rPr>
          <w:rFonts w:asciiTheme="majorHAnsi" w:eastAsia="MS Mincho" w:hAnsiTheme="majorHAnsi"/>
        </w:rPr>
        <w:t>definovanej v</w:t>
      </w:r>
      <w:r w:rsidR="002D3C3C" w:rsidRPr="00A11FE0">
        <w:rPr>
          <w:rFonts w:asciiTheme="majorHAnsi" w:eastAsia="MS Mincho" w:hAnsiTheme="majorHAnsi"/>
        </w:rPr>
        <w:t> </w:t>
      </w:r>
      <w:r w:rsidRPr="00A11FE0">
        <w:rPr>
          <w:rFonts w:asciiTheme="majorHAnsi" w:eastAsia="MS Mincho" w:hAnsiTheme="majorHAnsi"/>
        </w:rPr>
        <w:t xml:space="preserve">celoštátnom územnoplánovacom dokumente </w:t>
      </w:r>
      <w:r w:rsidR="00285918">
        <w:rPr>
          <w:rFonts w:asciiTheme="majorHAnsi" w:eastAsia="MS Mincho" w:hAnsiTheme="majorHAnsi"/>
        </w:rPr>
        <w:t>–</w:t>
      </w:r>
      <w:r w:rsidR="002D3C3C" w:rsidRPr="00A11FE0">
        <w:rPr>
          <w:rFonts w:asciiTheme="majorHAnsi" w:eastAsia="MS Mincho" w:hAnsiTheme="majorHAnsi"/>
        </w:rPr>
        <w:t xml:space="preserve"> </w:t>
      </w:r>
      <w:r w:rsidR="00BD5FD5">
        <w:rPr>
          <w:rFonts w:asciiTheme="majorHAnsi" w:eastAsia="MS Mincho" w:hAnsiTheme="majorHAnsi"/>
        </w:rPr>
        <w:t>K</w:t>
      </w:r>
      <w:r w:rsidRPr="00A11FE0">
        <w:rPr>
          <w:rFonts w:asciiTheme="majorHAnsi" w:eastAsia="MS Mincho" w:hAnsiTheme="majorHAnsi"/>
        </w:rPr>
        <w:t>oncepcia</w:t>
      </w:r>
      <w:r w:rsidR="00285918">
        <w:rPr>
          <w:rFonts w:asciiTheme="majorHAnsi" w:eastAsia="MS Mincho" w:hAnsiTheme="majorHAnsi"/>
        </w:rPr>
        <w:t xml:space="preserve"> </w:t>
      </w:r>
      <w:r w:rsidRPr="00A11FE0">
        <w:rPr>
          <w:rFonts w:asciiTheme="majorHAnsi" w:eastAsia="MS Mincho" w:hAnsiTheme="majorHAnsi"/>
        </w:rPr>
        <w:t xml:space="preserve">územného rozvoja </w:t>
      </w:r>
      <w:r w:rsidR="00BD5FD5">
        <w:rPr>
          <w:rFonts w:asciiTheme="majorHAnsi" w:eastAsia="MS Mincho" w:hAnsiTheme="majorHAnsi"/>
        </w:rPr>
        <w:t>S</w:t>
      </w:r>
      <w:r w:rsidRPr="00A11FE0">
        <w:rPr>
          <w:rFonts w:asciiTheme="majorHAnsi" w:eastAsia="MS Mincho" w:hAnsiTheme="majorHAnsi"/>
        </w:rPr>
        <w:t xml:space="preserve">lovenska 2001 v znení zmien </w:t>
      </w:r>
      <w:r w:rsidR="00BD5FD5">
        <w:rPr>
          <w:rFonts w:asciiTheme="majorHAnsi" w:eastAsia="MS Mincho" w:hAnsiTheme="majorHAnsi"/>
        </w:rPr>
        <w:t>a </w:t>
      </w:r>
      <w:r w:rsidRPr="00A11FE0">
        <w:rPr>
          <w:rFonts w:asciiTheme="majorHAnsi" w:eastAsia="MS Mincho" w:hAnsiTheme="majorHAnsi"/>
        </w:rPr>
        <w:t xml:space="preserve">doplnkov č. 1 </w:t>
      </w:r>
      <w:r w:rsidR="00BD5FD5">
        <w:rPr>
          <w:rFonts w:asciiTheme="majorHAnsi" w:eastAsia="MS Mincho" w:hAnsiTheme="majorHAnsi"/>
        </w:rPr>
        <w:t>K</w:t>
      </w:r>
      <w:r w:rsidRPr="00A11FE0">
        <w:rPr>
          <w:rFonts w:asciiTheme="majorHAnsi" w:eastAsia="MS Mincho" w:hAnsiTheme="majorHAnsi"/>
        </w:rPr>
        <w:t>URS 2011</w:t>
      </w:r>
      <w:r w:rsidRPr="00A11FE0">
        <w:rPr>
          <w:rFonts w:asciiTheme="majorHAnsi" w:eastAsia="MS Mincho" w:hAnsiTheme="majorHAnsi"/>
          <w:vertAlign w:val="superscript"/>
        </w:rPr>
        <w:footnoteReference w:id="3"/>
      </w:r>
      <w:r w:rsidRPr="00A11FE0">
        <w:rPr>
          <w:rFonts w:asciiTheme="majorHAnsi" w:eastAsia="MS Mincho" w:hAnsiTheme="majorHAnsi"/>
        </w:rPr>
        <w:t xml:space="preserve"> (ďalej </w:t>
      </w:r>
      <w:r w:rsidR="00D53987" w:rsidRPr="00A11FE0">
        <w:rPr>
          <w:rFonts w:asciiTheme="majorHAnsi" w:eastAsia="MS Mincho" w:hAnsiTheme="majorHAnsi"/>
        </w:rPr>
        <w:t>len „</w:t>
      </w:r>
      <w:r w:rsidR="00BD5FD5">
        <w:rPr>
          <w:rFonts w:asciiTheme="majorHAnsi" w:eastAsia="MS Mincho" w:hAnsiTheme="majorHAnsi"/>
        </w:rPr>
        <w:t>K</w:t>
      </w:r>
      <w:r w:rsidRPr="00A11FE0">
        <w:rPr>
          <w:rFonts w:asciiTheme="majorHAnsi" w:eastAsia="MS Mincho" w:hAnsiTheme="majorHAnsi"/>
        </w:rPr>
        <w:t>URS</w:t>
      </w:r>
      <w:r w:rsidR="00D53987" w:rsidRPr="00A11FE0">
        <w:rPr>
          <w:rFonts w:asciiTheme="majorHAnsi" w:eastAsia="MS Mincho" w:hAnsiTheme="majorHAnsi"/>
        </w:rPr>
        <w:t>“</w:t>
      </w:r>
      <w:r w:rsidR="00C22648" w:rsidRPr="00A11FE0">
        <w:rPr>
          <w:rFonts w:asciiTheme="majorHAnsi" w:eastAsia="MS Mincho" w:hAnsiTheme="majorHAnsi"/>
        </w:rPr>
        <w:t>).</w:t>
      </w:r>
    </w:p>
    <w:p w:rsidR="004A1D99" w:rsidRPr="00A11FE0" w:rsidRDefault="0079255D" w:rsidP="004A1D99">
      <w:pPr>
        <w:rPr>
          <w:rFonts w:asciiTheme="majorHAnsi" w:eastAsia="MS Mincho" w:hAnsiTheme="majorHAnsi"/>
        </w:rPr>
      </w:pPr>
      <w:r>
        <w:rPr>
          <w:rFonts w:asciiTheme="majorHAnsi" w:eastAsia="MS Mincho" w:hAnsiTheme="majorHAnsi"/>
        </w:rPr>
        <w:t xml:space="preserve">PD </w:t>
      </w:r>
      <w:r w:rsidR="00BD5FD5">
        <w:rPr>
          <w:rFonts w:asciiTheme="majorHAnsi" w:eastAsia="MS Mincho" w:hAnsiTheme="majorHAnsi"/>
        </w:rPr>
        <w:t>S</w:t>
      </w:r>
      <w:r>
        <w:rPr>
          <w:rFonts w:asciiTheme="majorHAnsi" w:eastAsia="MS Mincho" w:hAnsiTheme="majorHAnsi"/>
        </w:rPr>
        <w:t>R</w:t>
      </w:r>
      <w:r w:rsidR="004A1D99" w:rsidRPr="00A11FE0">
        <w:rPr>
          <w:rFonts w:asciiTheme="majorHAnsi" w:eastAsia="MS Mincho" w:hAnsiTheme="majorHAnsi"/>
        </w:rPr>
        <w:t xml:space="preserve"> diferencovane </w:t>
      </w:r>
      <w:r w:rsidR="00BD5FD5">
        <w:rPr>
          <w:rFonts w:asciiTheme="majorHAnsi" w:eastAsia="MS Mincho" w:hAnsiTheme="majorHAnsi"/>
        </w:rPr>
        <w:t>k</w:t>
      </w:r>
      <w:r w:rsidR="004A1D99" w:rsidRPr="00A11FE0">
        <w:rPr>
          <w:rFonts w:asciiTheme="majorHAnsi" w:eastAsia="MS Mincho" w:hAnsiTheme="majorHAnsi"/>
        </w:rPr>
        <w:t xml:space="preserve">oncentruje tematické ciele </w:t>
      </w:r>
      <w:r w:rsidR="00BD5FD5">
        <w:rPr>
          <w:rFonts w:asciiTheme="majorHAnsi" w:eastAsia="MS Mincho" w:hAnsiTheme="majorHAnsi"/>
        </w:rPr>
        <w:t>a </w:t>
      </w:r>
      <w:r w:rsidR="004A1D99" w:rsidRPr="00A11FE0">
        <w:rPr>
          <w:rFonts w:asciiTheme="majorHAnsi" w:eastAsia="MS Mincho" w:hAnsiTheme="majorHAnsi"/>
        </w:rPr>
        <w:t xml:space="preserve">prioritné oblasti </w:t>
      </w:r>
      <w:r w:rsidR="00F8511E">
        <w:rPr>
          <w:rFonts w:asciiTheme="majorHAnsi" w:eastAsia="MS Mincho" w:hAnsiTheme="majorHAnsi"/>
        </w:rPr>
        <w:t xml:space="preserve">podpory </w:t>
      </w:r>
      <w:r w:rsidR="004A1D99" w:rsidRPr="00A11FE0">
        <w:rPr>
          <w:rFonts w:asciiTheme="majorHAnsi" w:eastAsia="MS Mincho" w:hAnsiTheme="majorHAnsi"/>
        </w:rPr>
        <w:t>do jednotlivých geografických územných jednotiek</w:t>
      </w:r>
      <w:r w:rsidR="009F1301">
        <w:rPr>
          <w:rFonts w:asciiTheme="majorHAnsi" w:eastAsia="MS Mincho" w:hAnsiTheme="majorHAnsi"/>
        </w:rPr>
        <w:t>,</w:t>
      </w:r>
      <w:r w:rsidR="004A1D99" w:rsidRPr="00A11FE0">
        <w:rPr>
          <w:rFonts w:asciiTheme="majorHAnsi" w:eastAsia="MS Mincho" w:hAnsiTheme="majorHAnsi"/>
        </w:rPr>
        <w:t xml:space="preserve"> vymedzených celoštátnou územnoplánovacou dokumentáciou </w:t>
      </w:r>
      <w:r w:rsidR="00BD5FD5">
        <w:rPr>
          <w:rFonts w:asciiTheme="majorHAnsi" w:eastAsia="MS Mincho" w:hAnsiTheme="majorHAnsi"/>
        </w:rPr>
        <w:t>K</w:t>
      </w:r>
      <w:r w:rsidR="004A1D99" w:rsidRPr="00A11FE0">
        <w:rPr>
          <w:rFonts w:asciiTheme="majorHAnsi" w:eastAsia="MS Mincho" w:hAnsiTheme="majorHAnsi"/>
        </w:rPr>
        <w:t xml:space="preserve">URS, čím </w:t>
      </w:r>
      <w:r w:rsidR="00BD5FD5">
        <w:rPr>
          <w:rFonts w:asciiTheme="majorHAnsi" w:eastAsia="MS Mincho" w:hAnsiTheme="majorHAnsi"/>
        </w:rPr>
        <w:t>s</w:t>
      </w:r>
      <w:r w:rsidR="004A1D99" w:rsidRPr="00A11FE0">
        <w:rPr>
          <w:rFonts w:asciiTheme="majorHAnsi" w:eastAsia="MS Mincho" w:hAnsiTheme="majorHAnsi"/>
        </w:rPr>
        <w:t xml:space="preserve">a vytvára vhodný predpoklad vyrovnávania regionálnych disparít. Využívajú </w:t>
      </w:r>
      <w:r w:rsidR="00BD5FD5">
        <w:rPr>
          <w:rFonts w:asciiTheme="majorHAnsi" w:eastAsia="MS Mincho" w:hAnsiTheme="majorHAnsi"/>
        </w:rPr>
        <w:t>s</w:t>
      </w:r>
      <w:r w:rsidR="004A1D99" w:rsidRPr="00A11FE0">
        <w:rPr>
          <w:rFonts w:asciiTheme="majorHAnsi" w:eastAsia="MS Mincho" w:hAnsiTheme="majorHAnsi"/>
        </w:rPr>
        <w:t xml:space="preserve">a </w:t>
      </w:r>
      <w:r w:rsidR="00C22648" w:rsidRPr="00A11FE0">
        <w:rPr>
          <w:rFonts w:asciiTheme="majorHAnsi" w:eastAsia="MS Mincho" w:hAnsiTheme="majorHAnsi"/>
        </w:rPr>
        <w:t>tým</w:t>
      </w:r>
      <w:r w:rsidR="004A1D99" w:rsidRPr="00A11FE0">
        <w:rPr>
          <w:rFonts w:asciiTheme="majorHAnsi" w:eastAsia="MS Mincho" w:hAnsiTheme="majorHAnsi"/>
        </w:rPr>
        <w:t xml:space="preserve"> územné výhody rozhodujúcich rozvojových geografických územných jednotiek, </w:t>
      </w:r>
      <w:r w:rsidR="00BD5FD5">
        <w:rPr>
          <w:rFonts w:asciiTheme="majorHAnsi" w:eastAsia="MS Mincho" w:hAnsiTheme="majorHAnsi"/>
        </w:rPr>
        <w:t>s</w:t>
      </w:r>
      <w:r w:rsidR="004A1D99" w:rsidRPr="00A11FE0">
        <w:rPr>
          <w:rFonts w:asciiTheme="majorHAnsi" w:eastAsia="MS Mincho" w:hAnsiTheme="majorHAnsi"/>
        </w:rPr>
        <w:t xml:space="preserve">polu </w:t>
      </w:r>
      <w:r w:rsidR="00BD5FD5">
        <w:rPr>
          <w:rFonts w:asciiTheme="majorHAnsi" w:eastAsia="MS Mincho" w:hAnsiTheme="majorHAnsi"/>
        </w:rPr>
        <w:t>s </w:t>
      </w:r>
      <w:r w:rsidR="004A1D99" w:rsidRPr="00A11FE0">
        <w:rPr>
          <w:rFonts w:asciiTheme="majorHAnsi" w:eastAsia="MS Mincho" w:hAnsiTheme="majorHAnsi"/>
        </w:rPr>
        <w:t xml:space="preserve">výhodami ich </w:t>
      </w:r>
      <w:r w:rsidR="00BD5FD5">
        <w:rPr>
          <w:rFonts w:asciiTheme="majorHAnsi" w:eastAsia="MS Mincho" w:hAnsiTheme="majorHAnsi"/>
        </w:rPr>
        <w:t>s</w:t>
      </w:r>
      <w:r w:rsidR="004A1D99" w:rsidRPr="00A11FE0">
        <w:rPr>
          <w:rFonts w:asciiTheme="majorHAnsi" w:eastAsia="MS Mincho" w:hAnsiTheme="majorHAnsi"/>
        </w:rPr>
        <w:t xml:space="preserve">ociálneho </w:t>
      </w:r>
      <w:r w:rsidR="00BD5FD5">
        <w:rPr>
          <w:rFonts w:asciiTheme="majorHAnsi" w:eastAsia="MS Mincho" w:hAnsiTheme="majorHAnsi"/>
        </w:rPr>
        <w:t>k</w:t>
      </w:r>
      <w:r w:rsidR="004A1D99" w:rsidRPr="00A11FE0">
        <w:rPr>
          <w:rFonts w:asciiTheme="majorHAnsi" w:eastAsia="MS Mincho" w:hAnsiTheme="majorHAnsi"/>
        </w:rPr>
        <w:t xml:space="preserve">apitálu, pre zabezpečenie nie len zvyšovania </w:t>
      </w:r>
      <w:r w:rsidR="00333696" w:rsidRPr="00A11FE0">
        <w:rPr>
          <w:rFonts w:asciiTheme="majorHAnsi" w:eastAsia="MS Mincho" w:hAnsiTheme="majorHAnsi"/>
        </w:rPr>
        <w:t>ich</w:t>
      </w:r>
      <w:r w:rsidR="00333696">
        <w:rPr>
          <w:rFonts w:asciiTheme="majorHAnsi" w:eastAsia="MS Mincho" w:hAnsiTheme="majorHAnsi"/>
        </w:rPr>
        <w:t xml:space="preserve"> </w:t>
      </w:r>
      <w:r w:rsidR="00BD5FD5">
        <w:rPr>
          <w:rFonts w:asciiTheme="majorHAnsi" w:eastAsia="MS Mincho" w:hAnsiTheme="majorHAnsi"/>
        </w:rPr>
        <w:t>k</w:t>
      </w:r>
      <w:r w:rsidR="004A1D99" w:rsidRPr="00A11FE0">
        <w:rPr>
          <w:rFonts w:asciiTheme="majorHAnsi" w:eastAsia="MS Mincho" w:hAnsiTheme="majorHAnsi"/>
        </w:rPr>
        <w:t xml:space="preserve">onkurencieschopnosti </w:t>
      </w:r>
      <w:r w:rsidR="00BD5FD5">
        <w:rPr>
          <w:rFonts w:asciiTheme="majorHAnsi" w:eastAsia="MS Mincho" w:hAnsiTheme="majorHAnsi"/>
        </w:rPr>
        <w:t>a </w:t>
      </w:r>
      <w:r w:rsidR="004A1D99" w:rsidRPr="00A11FE0">
        <w:rPr>
          <w:rFonts w:asciiTheme="majorHAnsi" w:eastAsia="MS Mincho" w:hAnsiTheme="majorHAnsi"/>
        </w:rPr>
        <w:t xml:space="preserve">inovačnej </w:t>
      </w:r>
      <w:r w:rsidR="00BD5FD5">
        <w:rPr>
          <w:rFonts w:asciiTheme="majorHAnsi" w:eastAsia="MS Mincho" w:hAnsiTheme="majorHAnsi"/>
        </w:rPr>
        <w:t>s</w:t>
      </w:r>
      <w:r w:rsidR="004A1D99" w:rsidRPr="00A11FE0">
        <w:rPr>
          <w:rFonts w:asciiTheme="majorHAnsi" w:eastAsia="MS Mincho" w:hAnsiTheme="majorHAnsi"/>
        </w:rPr>
        <w:t xml:space="preserve">chopnosti, </w:t>
      </w:r>
      <w:r w:rsidR="00BD5FD5">
        <w:rPr>
          <w:rFonts w:asciiTheme="majorHAnsi" w:eastAsia="MS Mincho" w:hAnsiTheme="majorHAnsi"/>
        </w:rPr>
        <w:t>a</w:t>
      </w:r>
      <w:r w:rsidR="004A1D99" w:rsidRPr="00A11FE0">
        <w:rPr>
          <w:rFonts w:asciiTheme="majorHAnsi" w:eastAsia="MS Mincho" w:hAnsiTheme="majorHAnsi"/>
        </w:rPr>
        <w:t xml:space="preserve">le </w:t>
      </w:r>
      <w:r w:rsidR="00F8511E">
        <w:rPr>
          <w:rFonts w:asciiTheme="majorHAnsi" w:eastAsia="MS Mincho" w:hAnsiTheme="majorHAnsi"/>
        </w:rPr>
        <w:t xml:space="preserve">aj </w:t>
      </w:r>
      <w:r w:rsidR="00BD5FD5">
        <w:rPr>
          <w:rFonts w:asciiTheme="majorHAnsi" w:eastAsia="MS Mincho" w:hAnsiTheme="majorHAnsi"/>
        </w:rPr>
        <w:t>s </w:t>
      </w:r>
      <w:r w:rsidR="004A1D99" w:rsidRPr="00A11FE0">
        <w:rPr>
          <w:rFonts w:asciiTheme="majorHAnsi" w:eastAsia="MS Mincho" w:hAnsiTheme="majorHAnsi"/>
        </w:rPr>
        <w:t>tým</w:t>
      </w:r>
      <w:r w:rsidR="00285918">
        <w:rPr>
          <w:rFonts w:asciiTheme="majorHAnsi" w:eastAsia="MS Mincho" w:hAnsiTheme="majorHAnsi"/>
        </w:rPr>
        <w:t xml:space="preserve"> </w:t>
      </w:r>
      <w:r w:rsidR="00BD5FD5">
        <w:rPr>
          <w:rFonts w:asciiTheme="majorHAnsi" w:eastAsia="MS Mincho" w:hAnsiTheme="majorHAnsi"/>
        </w:rPr>
        <w:t>s</w:t>
      </w:r>
      <w:r w:rsidR="004A1D99" w:rsidRPr="00A11FE0">
        <w:rPr>
          <w:rFonts w:asciiTheme="majorHAnsi" w:eastAsia="MS Mincho" w:hAnsiTheme="majorHAnsi"/>
        </w:rPr>
        <w:t xml:space="preserve">pojené zvyšovanie </w:t>
      </w:r>
      <w:r w:rsidR="00BD5FD5">
        <w:rPr>
          <w:rFonts w:asciiTheme="majorHAnsi" w:eastAsia="MS Mincho" w:hAnsiTheme="majorHAnsi"/>
        </w:rPr>
        <w:t>k</w:t>
      </w:r>
      <w:r w:rsidR="004A1D99" w:rsidRPr="00A11FE0">
        <w:rPr>
          <w:rFonts w:asciiTheme="majorHAnsi" w:eastAsia="MS Mincho" w:hAnsiTheme="majorHAnsi"/>
        </w:rPr>
        <w:t xml:space="preserve">onkurencieschopnosti </w:t>
      </w:r>
      <w:r w:rsidR="00BD5FD5">
        <w:rPr>
          <w:rFonts w:asciiTheme="majorHAnsi" w:eastAsia="MS Mincho" w:hAnsiTheme="majorHAnsi"/>
        </w:rPr>
        <w:t>a</w:t>
      </w:r>
      <w:r w:rsidR="00933BCC">
        <w:rPr>
          <w:rFonts w:asciiTheme="majorHAnsi" w:eastAsia="MS Mincho" w:hAnsiTheme="majorHAnsi"/>
        </w:rPr>
        <w:t> </w:t>
      </w:r>
      <w:r w:rsidR="004A1D99" w:rsidRPr="00A11FE0">
        <w:rPr>
          <w:rFonts w:asciiTheme="majorHAnsi" w:eastAsia="MS Mincho" w:hAnsiTheme="majorHAnsi"/>
        </w:rPr>
        <w:t>inovačnej</w:t>
      </w:r>
      <w:r w:rsidR="00933BCC">
        <w:rPr>
          <w:rFonts w:asciiTheme="majorHAnsi" w:eastAsia="MS Mincho" w:hAnsiTheme="majorHAnsi"/>
        </w:rPr>
        <w:t xml:space="preserve"> </w:t>
      </w:r>
      <w:r w:rsidR="00BD5FD5">
        <w:rPr>
          <w:rFonts w:asciiTheme="majorHAnsi" w:eastAsia="MS Mincho" w:hAnsiTheme="majorHAnsi"/>
        </w:rPr>
        <w:t>s</w:t>
      </w:r>
      <w:r w:rsidR="004A1D99" w:rsidRPr="00A11FE0">
        <w:rPr>
          <w:rFonts w:asciiTheme="majorHAnsi" w:eastAsia="MS Mincho" w:hAnsiTheme="majorHAnsi"/>
        </w:rPr>
        <w:t>chopnosti celých regiónov</w:t>
      </w:r>
      <w:r w:rsidR="002D3C3C" w:rsidRPr="00A11FE0">
        <w:rPr>
          <w:rFonts w:asciiTheme="majorHAnsi" w:eastAsia="MS Mincho" w:hAnsiTheme="majorHAnsi"/>
        </w:rPr>
        <w:t>,</w:t>
      </w:r>
      <w:r w:rsidR="009F1301">
        <w:rPr>
          <w:rFonts w:asciiTheme="majorHAnsi" w:eastAsia="MS Mincho" w:hAnsiTheme="majorHAnsi"/>
        </w:rPr>
        <w:t xml:space="preserve"> a to</w:t>
      </w:r>
      <w:r w:rsidR="002D3C3C" w:rsidRPr="00A11FE0">
        <w:rPr>
          <w:rFonts w:asciiTheme="majorHAnsi" w:eastAsia="MS Mincho" w:hAnsiTheme="majorHAnsi"/>
        </w:rPr>
        <w:t xml:space="preserve"> </w:t>
      </w:r>
      <w:r w:rsidR="004A1D99" w:rsidRPr="00A11FE0">
        <w:rPr>
          <w:rFonts w:asciiTheme="majorHAnsi" w:eastAsia="MS Mincho" w:hAnsiTheme="majorHAnsi"/>
        </w:rPr>
        <w:t>v</w:t>
      </w:r>
      <w:r w:rsidR="00285918">
        <w:rPr>
          <w:rFonts w:asciiTheme="majorHAnsi" w:eastAsia="MS Mincho" w:hAnsiTheme="majorHAnsi"/>
        </w:rPr>
        <w:t> </w:t>
      </w:r>
      <w:r w:rsidR="004A1D99" w:rsidRPr="00A11FE0">
        <w:rPr>
          <w:rFonts w:asciiTheme="majorHAnsi" w:eastAsia="MS Mincho" w:hAnsiTheme="majorHAnsi"/>
        </w:rPr>
        <w:t>ich</w:t>
      </w:r>
      <w:r w:rsidR="00285918">
        <w:rPr>
          <w:rFonts w:asciiTheme="majorHAnsi" w:eastAsia="MS Mincho" w:hAnsiTheme="majorHAnsi"/>
        </w:rPr>
        <w:t xml:space="preserve"> </w:t>
      </w:r>
      <w:r w:rsidR="004A1D99" w:rsidRPr="00A11FE0">
        <w:rPr>
          <w:rFonts w:asciiTheme="majorHAnsi" w:eastAsia="MS Mincho" w:hAnsiTheme="majorHAnsi"/>
        </w:rPr>
        <w:t xml:space="preserve">širšom územnom </w:t>
      </w:r>
      <w:r w:rsidR="00BD5FD5">
        <w:rPr>
          <w:rFonts w:asciiTheme="majorHAnsi" w:eastAsia="MS Mincho" w:hAnsiTheme="majorHAnsi"/>
        </w:rPr>
        <w:t>a</w:t>
      </w:r>
      <w:r w:rsidR="00D53987" w:rsidRPr="00A11FE0">
        <w:rPr>
          <w:rFonts w:asciiTheme="majorHAnsi" w:eastAsia="MS Mincho" w:hAnsiTheme="majorHAnsi"/>
        </w:rPr>
        <w:t> </w:t>
      </w:r>
      <w:r w:rsidR="004A1D99" w:rsidRPr="00A11FE0">
        <w:rPr>
          <w:rFonts w:asciiTheme="majorHAnsi" w:eastAsia="MS Mincho" w:hAnsiTheme="majorHAnsi"/>
        </w:rPr>
        <w:t xml:space="preserve">hospodárskom </w:t>
      </w:r>
      <w:r w:rsidR="00BD5FD5">
        <w:rPr>
          <w:rFonts w:asciiTheme="majorHAnsi" w:eastAsia="MS Mincho" w:hAnsiTheme="majorHAnsi"/>
        </w:rPr>
        <w:t>k</w:t>
      </w:r>
      <w:r w:rsidR="004A1D99" w:rsidRPr="00A11FE0">
        <w:rPr>
          <w:rFonts w:asciiTheme="majorHAnsi" w:eastAsia="MS Mincho" w:hAnsiTheme="majorHAnsi"/>
        </w:rPr>
        <w:t>ontexte.</w:t>
      </w:r>
    </w:p>
    <w:p w:rsidR="004A1D99" w:rsidRPr="00A11FE0" w:rsidRDefault="00BD5FD5" w:rsidP="004A1D99">
      <w:pPr>
        <w:rPr>
          <w:rFonts w:asciiTheme="majorHAnsi" w:eastAsia="MS Mincho" w:hAnsiTheme="majorHAnsi"/>
        </w:rPr>
      </w:pPr>
      <w:r>
        <w:rPr>
          <w:rFonts w:asciiTheme="majorHAnsi" w:eastAsia="MS Mincho" w:hAnsiTheme="majorHAnsi"/>
        </w:rPr>
        <w:lastRenderedPageBreak/>
        <w:t>K</w:t>
      </w:r>
      <w:r w:rsidR="004A1D99" w:rsidRPr="00A11FE0">
        <w:rPr>
          <w:rFonts w:asciiTheme="majorHAnsi" w:eastAsia="MS Mincho" w:hAnsiTheme="majorHAnsi"/>
        </w:rPr>
        <w:t xml:space="preserve">URS </w:t>
      </w:r>
      <w:r>
        <w:rPr>
          <w:rFonts w:asciiTheme="majorHAnsi" w:eastAsia="MS Mincho" w:hAnsiTheme="majorHAnsi"/>
        </w:rPr>
        <w:t>ak</w:t>
      </w:r>
      <w:r w:rsidR="004A1D99" w:rsidRPr="00A11FE0">
        <w:rPr>
          <w:rFonts w:asciiTheme="majorHAnsi" w:eastAsia="MS Mincho" w:hAnsiTheme="majorHAnsi"/>
        </w:rPr>
        <w:t xml:space="preserve">ceptuje </w:t>
      </w:r>
      <w:r>
        <w:rPr>
          <w:rFonts w:asciiTheme="majorHAnsi" w:eastAsia="MS Mincho" w:hAnsiTheme="majorHAnsi"/>
        </w:rPr>
        <w:t>a </w:t>
      </w:r>
      <w:r w:rsidR="004A1D99" w:rsidRPr="00A11FE0">
        <w:rPr>
          <w:rFonts w:asciiTheme="majorHAnsi" w:eastAsia="MS Mincho" w:hAnsiTheme="majorHAnsi"/>
        </w:rPr>
        <w:t xml:space="preserve">na </w:t>
      </w:r>
      <w:r w:rsidR="009F1301">
        <w:rPr>
          <w:rFonts w:asciiTheme="majorHAnsi" w:eastAsia="MS Mincho" w:hAnsiTheme="majorHAnsi"/>
        </w:rPr>
        <w:t>podmienky SR</w:t>
      </w:r>
      <w:r w:rsidR="004A1D99" w:rsidRPr="00A11FE0">
        <w:rPr>
          <w:rFonts w:asciiTheme="majorHAnsi" w:eastAsia="MS Mincho" w:hAnsiTheme="majorHAnsi"/>
        </w:rPr>
        <w:t xml:space="preserve"> prispôsobuje základné princípy územných priorít rozvoja </w:t>
      </w:r>
      <w:r w:rsidR="00992762">
        <w:rPr>
          <w:rFonts w:asciiTheme="majorHAnsi" w:eastAsia="MS Mincho" w:hAnsiTheme="majorHAnsi"/>
        </w:rPr>
        <w:t>E</w:t>
      </w:r>
      <w:r w:rsidR="00284B48">
        <w:rPr>
          <w:rFonts w:asciiTheme="majorHAnsi" w:eastAsia="MS Mincho" w:hAnsiTheme="majorHAnsi"/>
        </w:rPr>
        <w:t>ur</w:t>
      </w:r>
      <w:r w:rsidR="004A1D99" w:rsidRPr="00A11FE0">
        <w:rPr>
          <w:rFonts w:asciiTheme="majorHAnsi" w:eastAsia="MS Mincho" w:hAnsiTheme="majorHAnsi"/>
        </w:rPr>
        <w:t>ópskej únie</w:t>
      </w:r>
      <w:r w:rsidR="004B6041" w:rsidRPr="00A11FE0">
        <w:rPr>
          <w:rFonts w:asciiTheme="majorHAnsi" w:eastAsia="MS Mincho" w:hAnsiTheme="majorHAnsi"/>
        </w:rPr>
        <w:t xml:space="preserve"> (ďalej </w:t>
      </w:r>
      <w:r>
        <w:rPr>
          <w:rFonts w:asciiTheme="majorHAnsi" w:eastAsia="MS Mincho" w:hAnsiTheme="majorHAnsi"/>
        </w:rPr>
        <w:t>a</w:t>
      </w:r>
      <w:r w:rsidR="004B6041" w:rsidRPr="00A11FE0">
        <w:rPr>
          <w:rFonts w:asciiTheme="majorHAnsi" w:eastAsia="MS Mincho" w:hAnsiTheme="majorHAnsi"/>
        </w:rPr>
        <w:t xml:space="preserve">j „EÚ“) </w:t>
      </w:r>
      <w:r w:rsidR="004A1D99" w:rsidRPr="00A11FE0">
        <w:rPr>
          <w:rFonts w:asciiTheme="majorHAnsi" w:eastAsia="MS Mincho" w:hAnsiTheme="majorHAnsi"/>
        </w:rPr>
        <w:t>tak</w:t>
      </w:r>
      <w:r w:rsidR="002D3C3C" w:rsidRPr="00A11FE0">
        <w:rPr>
          <w:rFonts w:asciiTheme="majorHAnsi" w:eastAsia="MS Mincho" w:hAnsiTheme="majorHAnsi"/>
        </w:rPr>
        <w:t xml:space="preserve">, </w:t>
      </w:r>
      <w:r>
        <w:rPr>
          <w:rFonts w:asciiTheme="majorHAnsi" w:eastAsia="MS Mincho" w:hAnsiTheme="majorHAnsi"/>
        </w:rPr>
        <w:t>ak</w:t>
      </w:r>
      <w:r w:rsidR="004A1D99" w:rsidRPr="00A11FE0">
        <w:rPr>
          <w:rFonts w:asciiTheme="majorHAnsi" w:eastAsia="MS Mincho" w:hAnsiTheme="majorHAnsi"/>
        </w:rPr>
        <w:t xml:space="preserve">o </w:t>
      </w:r>
      <w:r>
        <w:rPr>
          <w:rFonts w:asciiTheme="majorHAnsi" w:eastAsia="MS Mincho" w:hAnsiTheme="majorHAnsi"/>
        </w:rPr>
        <w:t>s</w:t>
      </w:r>
      <w:r w:rsidR="004A1D99" w:rsidRPr="00A11FE0">
        <w:rPr>
          <w:rFonts w:asciiTheme="majorHAnsi" w:eastAsia="MS Mincho" w:hAnsiTheme="majorHAnsi"/>
        </w:rPr>
        <w:t xml:space="preserve">ú deklarované v Územnej </w:t>
      </w:r>
      <w:r>
        <w:rPr>
          <w:rFonts w:asciiTheme="majorHAnsi" w:eastAsia="MS Mincho" w:hAnsiTheme="majorHAnsi"/>
        </w:rPr>
        <w:t>a</w:t>
      </w:r>
      <w:r w:rsidR="004A1D99" w:rsidRPr="00A11FE0">
        <w:rPr>
          <w:rFonts w:asciiTheme="majorHAnsi" w:eastAsia="MS Mincho" w:hAnsiTheme="majorHAnsi"/>
        </w:rPr>
        <w:t xml:space="preserve">gende </w:t>
      </w:r>
      <w:r w:rsidR="00992762">
        <w:rPr>
          <w:rFonts w:asciiTheme="majorHAnsi" w:eastAsia="MS Mincho" w:hAnsiTheme="majorHAnsi"/>
        </w:rPr>
        <w:t>E</w:t>
      </w:r>
      <w:r w:rsidR="00284B48">
        <w:rPr>
          <w:rFonts w:asciiTheme="majorHAnsi" w:eastAsia="MS Mincho" w:hAnsiTheme="majorHAnsi"/>
        </w:rPr>
        <w:t>ur</w:t>
      </w:r>
      <w:r w:rsidR="004A1D99" w:rsidRPr="00A11FE0">
        <w:rPr>
          <w:rFonts w:asciiTheme="majorHAnsi" w:eastAsia="MS Mincho" w:hAnsiTheme="majorHAnsi"/>
        </w:rPr>
        <w:t>ópskej únie 2020</w:t>
      </w:r>
      <w:r w:rsidR="004A1D99" w:rsidRPr="00A11FE0">
        <w:rPr>
          <w:rFonts w:asciiTheme="majorHAnsi" w:eastAsia="MS Mincho" w:hAnsiTheme="majorHAnsi"/>
          <w:vertAlign w:val="superscript"/>
        </w:rPr>
        <w:footnoteReference w:id="4"/>
      </w:r>
      <w:r w:rsidR="00107062" w:rsidRPr="00A11FE0">
        <w:rPr>
          <w:rFonts w:asciiTheme="majorHAnsi" w:eastAsia="MS Mincho" w:hAnsiTheme="majorHAnsi"/>
        </w:rPr>
        <w:t>.</w:t>
      </w:r>
    </w:p>
    <w:p w:rsidR="004A1D99" w:rsidRPr="00A11FE0" w:rsidRDefault="00BD5FD5" w:rsidP="004A1D99">
      <w:pPr>
        <w:rPr>
          <w:rFonts w:asciiTheme="majorHAnsi" w:eastAsia="MS Mincho" w:hAnsiTheme="majorHAnsi"/>
        </w:rPr>
      </w:pPr>
      <w:r>
        <w:rPr>
          <w:rFonts w:asciiTheme="majorHAnsi" w:eastAsia="MS Mincho" w:hAnsiTheme="majorHAnsi"/>
        </w:rPr>
        <w:t>K</w:t>
      </w:r>
      <w:r w:rsidR="004A1D99" w:rsidRPr="00A11FE0">
        <w:rPr>
          <w:rFonts w:asciiTheme="majorHAnsi" w:eastAsia="MS Mincho" w:hAnsiTheme="majorHAnsi"/>
        </w:rPr>
        <w:t xml:space="preserve">URS v územnom rozvoji </w:t>
      </w:r>
      <w:r>
        <w:rPr>
          <w:rFonts w:asciiTheme="majorHAnsi" w:eastAsia="MS Mincho" w:hAnsiTheme="majorHAnsi"/>
        </w:rPr>
        <w:t>S</w:t>
      </w:r>
      <w:r w:rsidR="00693A2B" w:rsidRPr="00A11FE0">
        <w:rPr>
          <w:rFonts w:asciiTheme="majorHAnsi" w:eastAsia="MS Mincho" w:hAnsiTheme="majorHAnsi"/>
        </w:rPr>
        <w:t>R</w:t>
      </w:r>
      <w:r w:rsidR="004A1D99" w:rsidRPr="00A11FE0">
        <w:rPr>
          <w:rFonts w:asciiTheme="majorHAnsi" w:eastAsia="MS Mincho" w:hAnsiTheme="majorHAnsi"/>
        </w:rPr>
        <w:t xml:space="preserve"> definuje </w:t>
      </w:r>
      <w:r>
        <w:rPr>
          <w:rFonts w:asciiTheme="majorHAnsi" w:eastAsia="MS Mincho" w:hAnsiTheme="majorHAnsi"/>
        </w:rPr>
        <w:t>s</w:t>
      </w:r>
      <w:r w:rsidR="004A1D99" w:rsidRPr="00A11FE0">
        <w:rPr>
          <w:rFonts w:asciiTheme="majorHAnsi" w:eastAsia="MS Mincho" w:hAnsiTheme="majorHAnsi"/>
        </w:rPr>
        <w:t xml:space="preserve">ystém terciárnych rozvojových centier, ťažísk osídlenia </w:t>
      </w:r>
      <w:r>
        <w:rPr>
          <w:rFonts w:asciiTheme="majorHAnsi" w:eastAsia="MS Mincho" w:hAnsiTheme="majorHAnsi"/>
        </w:rPr>
        <w:t>a </w:t>
      </w:r>
      <w:r w:rsidR="004A1D99" w:rsidRPr="00A11FE0">
        <w:rPr>
          <w:rFonts w:asciiTheme="majorHAnsi" w:eastAsia="MS Mincho" w:hAnsiTheme="majorHAnsi"/>
        </w:rPr>
        <w:t>rozvojových</w:t>
      </w:r>
      <w:r w:rsidR="00107062">
        <w:rPr>
          <w:rFonts w:asciiTheme="majorHAnsi" w:eastAsia="MS Mincho" w:hAnsiTheme="majorHAnsi"/>
        </w:rPr>
        <w:t xml:space="preserve"> </w:t>
      </w:r>
      <w:r w:rsidR="004A1D99" w:rsidRPr="00A11FE0">
        <w:rPr>
          <w:rFonts w:asciiTheme="majorHAnsi" w:eastAsia="MS Mincho" w:hAnsiTheme="majorHAnsi"/>
        </w:rPr>
        <w:t xml:space="preserve">osí, </w:t>
      </w:r>
      <w:r>
        <w:rPr>
          <w:rFonts w:asciiTheme="majorHAnsi" w:eastAsia="MS Mincho" w:hAnsiTheme="majorHAnsi"/>
        </w:rPr>
        <w:t>k</w:t>
      </w:r>
      <w:r w:rsidR="004A1D99" w:rsidRPr="00A11FE0">
        <w:rPr>
          <w:rFonts w:asciiTheme="majorHAnsi" w:eastAsia="MS Mincho" w:hAnsiTheme="majorHAnsi"/>
        </w:rPr>
        <w:t xml:space="preserve">torý na princípoch polycentrického </w:t>
      </w:r>
      <w:r>
        <w:rPr>
          <w:rFonts w:asciiTheme="majorHAnsi" w:eastAsia="MS Mincho" w:hAnsiTheme="majorHAnsi"/>
        </w:rPr>
        <w:t>k</w:t>
      </w:r>
      <w:r w:rsidR="004A1D99" w:rsidRPr="00A11FE0">
        <w:rPr>
          <w:rFonts w:asciiTheme="majorHAnsi" w:eastAsia="MS Mincho" w:hAnsiTheme="majorHAnsi"/>
        </w:rPr>
        <w:t xml:space="preserve">onceptu osídlenia vytvára </w:t>
      </w:r>
      <w:r>
        <w:rPr>
          <w:rFonts w:asciiTheme="majorHAnsi" w:eastAsia="MS Mincho" w:hAnsiTheme="majorHAnsi"/>
        </w:rPr>
        <w:t>k</w:t>
      </w:r>
      <w:r w:rsidR="004A1D99" w:rsidRPr="00A11FE0">
        <w:rPr>
          <w:rFonts w:asciiTheme="majorHAnsi" w:eastAsia="MS Mincho" w:hAnsiTheme="majorHAnsi"/>
        </w:rPr>
        <w:t xml:space="preserve">ompaktnú </w:t>
      </w:r>
      <w:r>
        <w:rPr>
          <w:rFonts w:asciiTheme="majorHAnsi" w:eastAsia="MS Mincho" w:hAnsiTheme="majorHAnsi"/>
        </w:rPr>
        <w:t>s</w:t>
      </w:r>
      <w:r w:rsidR="004A1D99" w:rsidRPr="00A11FE0">
        <w:rPr>
          <w:rFonts w:asciiTheme="majorHAnsi" w:eastAsia="MS Mincho" w:hAnsiTheme="majorHAnsi"/>
        </w:rPr>
        <w:t xml:space="preserve">ídelnú štruktúru, </w:t>
      </w:r>
      <w:r>
        <w:rPr>
          <w:rFonts w:asciiTheme="majorHAnsi" w:eastAsia="MS Mincho" w:hAnsiTheme="majorHAnsi"/>
        </w:rPr>
        <w:t>k</w:t>
      </w:r>
      <w:r w:rsidR="004A1D99" w:rsidRPr="00A11FE0">
        <w:rPr>
          <w:rFonts w:asciiTheme="majorHAnsi" w:eastAsia="MS Mincho" w:hAnsiTheme="majorHAnsi"/>
        </w:rPr>
        <w:t>torá</w:t>
      </w:r>
      <w:r w:rsidR="00770E32">
        <w:rPr>
          <w:rFonts w:asciiTheme="majorHAnsi" w:eastAsia="MS Mincho" w:hAnsiTheme="majorHAnsi"/>
        </w:rPr>
        <w:t xml:space="preserve"> </w:t>
      </w:r>
      <w:r w:rsidR="004A1D99" w:rsidRPr="00A11FE0">
        <w:rPr>
          <w:rFonts w:asciiTheme="majorHAnsi" w:eastAsia="MS Mincho" w:hAnsiTheme="majorHAnsi"/>
        </w:rPr>
        <w:t xml:space="preserve">je plynule previazaná </w:t>
      </w:r>
      <w:r>
        <w:rPr>
          <w:rFonts w:asciiTheme="majorHAnsi" w:eastAsia="MS Mincho" w:hAnsiTheme="majorHAnsi"/>
        </w:rPr>
        <w:t>a</w:t>
      </w:r>
      <w:r w:rsidR="004A1D99" w:rsidRPr="00A11FE0">
        <w:rPr>
          <w:rFonts w:asciiTheme="majorHAnsi" w:eastAsia="MS Mincho" w:hAnsiTheme="majorHAnsi"/>
        </w:rPr>
        <w:t xml:space="preserve">j na </w:t>
      </w:r>
      <w:r>
        <w:rPr>
          <w:rFonts w:asciiTheme="majorHAnsi" w:eastAsia="MS Mincho" w:hAnsiTheme="majorHAnsi"/>
        </w:rPr>
        <w:t>s</w:t>
      </w:r>
      <w:r w:rsidR="004A1D99" w:rsidRPr="00A11FE0">
        <w:rPr>
          <w:rFonts w:asciiTheme="majorHAnsi" w:eastAsia="MS Mincho" w:hAnsiTheme="majorHAnsi"/>
        </w:rPr>
        <w:t xml:space="preserve">ídelné </w:t>
      </w:r>
      <w:r>
        <w:rPr>
          <w:rFonts w:asciiTheme="majorHAnsi" w:eastAsia="MS Mincho" w:hAnsiTheme="majorHAnsi"/>
        </w:rPr>
        <w:t>s</w:t>
      </w:r>
      <w:r w:rsidR="004A1D99" w:rsidRPr="00A11FE0">
        <w:rPr>
          <w:rFonts w:asciiTheme="majorHAnsi" w:eastAsia="MS Mincho" w:hAnsiTheme="majorHAnsi"/>
        </w:rPr>
        <w:t xml:space="preserve">ystémy </w:t>
      </w:r>
      <w:r>
        <w:rPr>
          <w:rFonts w:asciiTheme="majorHAnsi" w:eastAsia="MS Mincho" w:hAnsiTheme="majorHAnsi"/>
        </w:rPr>
        <w:t>s</w:t>
      </w:r>
      <w:r w:rsidR="004A1D99" w:rsidRPr="00A11FE0">
        <w:rPr>
          <w:rFonts w:asciiTheme="majorHAnsi" w:eastAsia="MS Mincho" w:hAnsiTheme="majorHAnsi"/>
        </w:rPr>
        <w:t xml:space="preserve">usediacich štátov. Tento </w:t>
      </w:r>
      <w:r>
        <w:rPr>
          <w:rFonts w:asciiTheme="majorHAnsi" w:eastAsia="MS Mincho" w:hAnsiTheme="majorHAnsi"/>
        </w:rPr>
        <w:t>s</w:t>
      </w:r>
      <w:r w:rsidR="004A1D99" w:rsidRPr="00A11FE0">
        <w:rPr>
          <w:rFonts w:asciiTheme="majorHAnsi" w:eastAsia="MS Mincho" w:hAnsiTheme="majorHAnsi"/>
        </w:rPr>
        <w:t xml:space="preserve">ystém </w:t>
      </w:r>
      <w:r>
        <w:rPr>
          <w:rFonts w:asciiTheme="majorHAnsi" w:eastAsia="MS Mincho" w:hAnsiTheme="majorHAnsi"/>
        </w:rPr>
        <w:t>s</w:t>
      </w:r>
      <w:r w:rsidR="004A1D99" w:rsidRPr="00A11FE0">
        <w:rPr>
          <w:rFonts w:asciiTheme="majorHAnsi" w:eastAsia="MS Mincho" w:hAnsiTheme="majorHAnsi"/>
        </w:rPr>
        <w:t xml:space="preserve">ídelnej štruktúry predstavuje základné geografické územné jednotky, </w:t>
      </w:r>
      <w:r>
        <w:rPr>
          <w:rFonts w:asciiTheme="majorHAnsi" w:eastAsia="MS Mincho" w:hAnsiTheme="majorHAnsi"/>
        </w:rPr>
        <w:t>k</w:t>
      </w:r>
      <w:r w:rsidR="004A1D99" w:rsidRPr="00A11FE0">
        <w:rPr>
          <w:rFonts w:asciiTheme="majorHAnsi" w:eastAsia="MS Mincho" w:hAnsiTheme="majorHAnsi"/>
        </w:rPr>
        <w:t xml:space="preserve">toré majú najlepšie predpoklady pre </w:t>
      </w:r>
      <w:r>
        <w:rPr>
          <w:rFonts w:asciiTheme="majorHAnsi" w:eastAsia="MS Mincho" w:hAnsiTheme="majorHAnsi"/>
        </w:rPr>
        <w:t>a</w:t>
      </w:r>
      <w:r w:rsidR="004A1D99" w:rsidRPr="00A11FE0">
        <w:rPr>
          <w:rFonts w:asciiTheme="majorHAnsi" w:eastAsia="MS Mincho" w:hAnsiTheme="majorHAnsi"/>
        </w:rPr>
        <w:t>bsorpciu podporovaných investícií</w:t>
      </w:r>
      <w:r w:rsidR="009F1301">
        <w:rPr>
          <w:rFonts w:asciiTheme="majorHAnsi" w:eastAsia="MS Mincho" w:hAnsiTheme="majorHAnsi"/>
        </w:rPr>
        <w:t>,</w:t>
      </w:r>
      <w:r w:rsidR="004A1D99" w:rsidRPr="00A11FE0">
        <w:rPr>
          <w:rFonts w:asciiTheme="majorHAnsi" w:eastAsia="MS Mincho" w:hAnsiTheme="majorHAnsi"/>
        </w:rPr>
        <w:t xml:space="preserve"> </w:t>
      </w:r>
      <w:r>
        <w:rPr>
          <w:rFonts w:asciiTheme="majorHAnsi" w:eastAsia="MS Mincho" w:hAnsiTheme="majorHAnsi"/>
        </w:rPr>
        <w:t>s</w:t>
      </w:r>
      <w:r w:rsidR="00362ABF">
        <w:rPr>
          <w:rFonts w:asciiTheme="majorHAnsi" w:eastAsia="MS Mincho" w:hAnsiTheme="majorHAnsi"/>
        </w:rPr>
        <w:t> </w:t>
      </w:r>
      <w:r w:rsidR="004A1D99" w:rsidRPr="00A11FE0">
        <w:rPr>
          <w:rFonts w:asciiTheme="majorHAnsi" w:eastAsia="MS Mincho" w:hAnsiTheme="majorHAnsi"/>
        </w:rPr>
        <w:t>cieľom</w:t>
      </w:r>
      <w:r w:rsidR="00362ABF">
        <w:rPr>
          <w:rFonts w:asciiTheme="majorHAnsi" w:eastAsia="MS Mincho" w:hAnsiTheme="majorHAnsi"/>
        </w:rPr>
        <w:t xml:space="preserve"> </w:t>
      </w:r>
      <w:r w:rsidR="004A1D99" w:rsidRPr="00A11FE0">
        <w:rPr>
          <w:rFonts w:asciiTheme="majorHAnsi" w:eastAsia="MS Mincho" w:hAnsiTheme="majorHAnsi"/>
        </w:rPr>
        <w:t xml:space="preserve">ich tematickej integrácie </w:t>
      </w:r>
      <w:r>
        <w:rPr>
          <w:rFonts w:asciiTheme="majorHAnsi" w:eastAsia="MS Mincho" w:hAnsiTheme="majorHAnsi"/>
        </w:rPr>
        <w:t>a</w:t>
      </w:r>
      <w:r w:rsidR="00107062">
        <w:rPr>
          <w:rFonts w:asciiTheme="majorHAnsi" w:eastAsia="MS Mincho" w:hAnsiTheme="majorHAnsi"/>
        </w:rPr>
        <w:t> </w:t>
      </w:r>
      <w:r w:rsidR="004A1D99" w:rsidRPr="00A11FE0">
        <w:rPr>
          <w:rFonts w:asciiTheme="majorHAnsi" w:eastAsia="MS Mincho" w:hAnsiTheme="majorHAnsi"/>
        </w:rPr>
        <w:t>územnej</w:t>
      </w:r>
      <w:r w:rsidR="00107062">
        <w:rPr>
          <w:rFonts w:asciiTheme="majorHAnsi" w:eastAsia="MS Mincho" w:hAnsiTheme="majorHAnsi"/>
        </w:rPr>
        <w:t xml:space="preserve"> </w:t>
      </w:r>
      <w:r>
        <w:rPr>
          <w:rFonts w:asciiTheme="majorHAnsi" w:eastAsia="MS Mincho" w:hAnsiTheme="majorHAnsi"/>
        </w:rPr>
        <w:t>k</w:t>
      </w:r>
      <w:r w:rsidR="004A1D99" w:rsidRPr="00A11FE0">
        <w:rPr>
          <w:rFonts w:asciiTheme="majorHAnsi" w:eastAsia="MS Mincho" w:hAnsiTheme="majorHAnsi"/>
        </w:rPr>
        <w:t>oncentrácie</w:t>
      </w:r>
      <w:r w:rsidR="009F1301">
        <w:rPr>
          <w:rFonts w:asciiTheme="majorHAnsi" w:eastAsia="MS Mincho" w:hAnsiTheme="majorHAnsi"/>
        </w:rPr>
        <w:t xml:space="preserve"> a</w:t>
      </w:r>
      <w:r w:rsidR="00417C4D">
        <w:rPr>
          <w:rFonts w:asciiTheme="majorHAnsi" w:eastAsia="MS Mincho" w:hAnsiTheme="majorHAnsi"/>
        </w:rPr>
        <w:t> </w:t>
      </w:r>
      <w:r>
        <w:rPr>
          <w:rFonts w:asciiTheme="majorHAnsi" w:eastAsia="MS Mincho" w:hAnsiTheme="majorHAnsi"/>
        </w:rPr>
        <w:t>s </w:t>
      </w:r>
      <w:r w:rsidR="004A1D99" w:rsidRPr="00A11FE0">
        <w:rPr>
          <w:rFonts w:asciiTheme="majorHAnsi" w:eastAsia="MS Mincho" w:hAnsiTheme="majorHAnsi"/>
        </w:rPr>
        <w:t>predpokladom</w:t>
      </w:r>
      <w:r w:rsidR="00285918">
        <w:rPr>
          <w:rFonts w:asciiTheme="majorHAnsi" w:eastAsia="MS Mincho" w:hAnsiTheme="majorHAnsi"/>
        </w:rPr>
        <w:t xml:space="preserve"> </w:t>
      </w:r>
      <w:r w:rsidR="004A1D99" w:rsidRPr="00A11FE0">
        <w:rPr>
          <w:rFonts w:asciiTheme="majorHAnsi" w:eastAsia="MS Mincho" w:hAnsiTheme="majorHAnsi"/>
        </w:rPr>
        <w:t>ich najvhodnejších rozvojových efektov v</w:t>
      </w:r>
      <w:r w:rsidR="00362ABF">
        <w:rPr>
          <w:rFonts w:asciiTheme="majorHAnsi" w:eastAsia="MS Mincho" w:hAnsiTheme="majorHAnsi"/>
        </w:rPr>
        <w:t> </w:t>
      </w:r>
      <w:r w:rsidR="004A1D99" w:rsidRPr="00A11FE0">
        <w:rPr>
          <w:rFonts w:asciiTheme="majorHAnsi" w:eastAsia="MS Mincho" w:hAnsiTheme="majorHAnsi"/>
        </w:rPr>
        <w:t>ekonomickej</w:t>
      </w:r>
      <w:r w:rsidR="00362ABF">
        <w:rPr>
          <w:rFonts w:asciiTheme="majorHAnsi" w:eastAsia="MS Mincho" w:hAnsiTheme="majorHAnsi"/>
        </w:rPr>
        <w:t xml:space="preserve"> </w:t>
      </w:r>
      <w:r>
        <w:rPr>
          <w:rFonts w:asciiTheme="majorHAnsi" w:eastAsia="MS Mincho" w:hAnsiTheme="majorHAnsi"/>
        </w:rPr>
        <w:t>a s</w:t>
      </w:r>
      <w:r w:rsidR="004A1D99" w:rsidRPr="00A11FE0">
        <w:rPr>
          <w:rFonts w:asciiTheme="majorHAnsi" w:eastAsia="MS Mincho" w:hAnsiTheme="majorHAnsi"/>
        </w:rPr>
        <w:t>ociálnej</w:t>
      </w:r>
      <w:r w:rsidR="00107062">
        <w:rPr>
          <w:rFonts w:asciiTheme="majorHAnsi" w:eastAsia="MS Mincho" w:hAnsiTheme="majorHAnsi"/>
        </w:rPr>
        <w:t xml:space="preserve"> </w:t>
      </w:r>
      <w:r>
        <w:rPr>
          <w:rFonts w:asciiTheme="majorHAnsi" w:eastAsia="MS Mincho" w:hAnsiTheme="majorHAnsi"/>
        </w:rPr>
        <w:t>s</w:t>
      </w:r>
      <w:r w:rsidR="004A1D99" w:rsidRPr="00A11FE0">
        <w:rPr>
          <w:rFonts w:asciiTheme="majorHAnsi" w:eastAsia="MS Mincho" w:hAnsiTheme="majorHAnsi"/>
        </w:rPr>
        <w:t>fére pre čo najširší podiel obyvateľov.</w:t>
      </w:r>
    </w:p>
    <w:p w:rsidR="004A1D99" w:rsidRDefault="004A1D99" w:rsidP="004A1D99">
      <w:pPr>
        <w:rPr>
          <w:rFonts w:asciiTheme="majorHAnsi" w:eastAsia="MS Mincho" w:hAnsiTheme="majorHAnsi"/>
        </w:rPr>
      </w:pPr>
      <w:r w:rsidRPr="00A11FE0">
        <w:rPr>
          <w:rFonts w:asciiTheme="majorHAnsi" w:eastAsia="MS Mincho" w:hAnsiTheme="majorHAnsi"/>
        </w:rPr>
        <w:t xml:space="preserve">Centrá osídlenia </w:t>
      </w:r>
      <w:r w:rsidR="00BD5FD5">
        <w:rPr>
          <w:rFonts w:asciiTheme="majorHAnsi" w:eastAsia="MS Mincho" w:hAnsiTheme="majorHAnsi"/>
        </w:rPr>
        <w:t>s</w:t>
      </w:r>
      <w:r w:rsidRPr="00A11FE0">
        <w:rPr>
          <w:rFonts w:asciiTheme="majorHAnsi" w:eastAsia="MS Mincho" w:hAnsiTheme="majorHAnsi"/>
        </w:rPr>
        <w:t xml:space="preserve">ú hierarchicky zoradené do piatich </w:t>
      </w:r>
      <w:r w:rsidR="00BD5FD5">
        <w:rPr>
          <w:rFonts w:asciiTheme="majorHAnsi" w:eastAsia="MS Mincho" w:hAnsiTheme="majorHAnsi"/>
        </w:rPr>
        <w:t>s</w:t>
      </w:r>
      <w:r w:rsidRPr="00A11FE0">
        <w:rPr>
          <w:rFonts w:asciiTheme="majorHAnsi" w:eastAsia="MS Mincho" w:hAnsiTheme="majorHAnsi"/>
        </w:rPr>
        <w:t xml:space="preserve">kupín, </w:t>
      </w:r>
      <w:r w:rsidR="00BD5FD5">
        <w:rPr>
          <w:rFonts w:asciiTheme="majorHAnsi" w:eastAsia="MS Mincho" w:hAnsiTheme="majorHAnsi"/>
        </w:rPr>
        <w:t>k</w:t>
      </w:r>
      <w:r w:rsidRPr="00A11FE0">
        <w:rPr>
          <w:rFonts w:asciiTheme="majorHAnsi" w:eastAsia="MS Mincho" w:hAnsiTheme="majorHAnsi"/>
        </w:rPr>
        <w:t xml:space="preserve">u </w:t>
      </w:r>
      <w:r w:rsidR="00BD5FD5">
        <w:rPr>
          <w:rFonts w:asciiTheme="majorHAnsi" w:eastAsia="MS Mincho" w:hAnsiTheme="majorHAnsi"/>
        </w:rPr>
        <w:t>k</w:t>
      </w:r>
      <w:r w:rsidRPr="00A11FE0">
        <w:rPr>
          <w:rFonts w:asciiTheme="majorHAnsi" w:eastAsia="MS Mincho" w:hAnsiTheme="majorHAnsi"/>
        </w:rPr>
        <w:t xml:space="preserve">torým patria </w:t>
      </w:r>
      <w:r w:rsidR="00BD5FD5">
        <w:rPr>
          <w:rFonts w:asciiTheme="majorHAnsi" w:eastAsia="MS Mincho" w:hAnsiTheme="majorHAnsi"/>
        </w:rPr>
        <w:t>a</w:t>
      </w:r>
      <w:r w:rsidRPr="00A11FE0">
        <w:rPr>
          <w:rFonts w:asciiTheme="majorHAnsi" w:eastAsia="MS Mincho" w:hAnsiTheme="majorHAnsi"/>
        </w:rPr>
        <w:t xml:space="preserve">j mestá Bratislava </w:t>
      </w:r>
      <w:r w:rsidR="00BD5FD5">
        <w:rPr>
          <w:rFonts w:asciiTheme="majorHAnsi" w:eastAsia="MS Mincho" w:hAnsiTheme="majorHAnsi"/>
        </w:rPr>
        <w:t>a K</w:t>
      </w:r>
      <w:r w:rsidRPr="00A11FE0">
        <w:rPr>
          <w:rFonts w:asciiTheme="majorHAnsi" w:eastAsia="MS Mincho" w:hAnsiTheme="majorHAnsi"/>
        </w:rPr>
        <w:t xml:space="preserve">ošice, nezaradené do hierarchických </w:t>
      </w:r>
      <w:r w:rsidR="00BD5FD5">
        <w:rPr>
          <w:rFonts w:asciiTheme="majorHAnsi" w:eastAsia="MS Mincho" w:hAnsiTheme="majorHAnsi"/>
        </w:rPr>
        <w:t>s</w:t>
      </w:r>
      <w:r w:rsidRPr="00A11FE0">
        <w:rPr>
          <w:rFonts w:asciiTheme="majorHAnsi" w:eastAsia="MS Mincho" w:hAnsiTheme="majorHAnsi"/>
        </w:rPr>
        <w:t xml:space="preserve">kupín. Centrá osídlenia tvoria základ polycentrickej </w:t>
      </w:r>
      <w:r w:rsidR="00BD5FD5">
        <w:rPr>
          <w:rFonts w:asciiTheme="majorHAnsi" w:eastAsia="MS Mincho" w:hAnsiTheme="majorHAnsi"/>
        </w:rPr>
        <w:t>k</w:t>
      </w:r>
      <w:r w:rsidRPr="00A11FE0">
        <w:rPr>
          <w:rFonts w:asciiTheme="majorHAnsi" w:eastAsia="MS Mincho" w:hAnsiTheme="majorHAnsi"/>
        </w:rPr>
        <w:t xml:space="preserve">oncepcie osídlenia. </w:t>
      </w:r>
      <w:r w:rsidR="00BD5FD5">
        <w:rPr>
          <w:rFonts w:asciiTheme="majorHAnsi" w:eastAsia="MS Mincho" w:hAnsiTheme="majorHAnsi"/>
        </w:rPr>
        <w:t>S</w:t>
      </w:r>
      <w:r w:rsidR="00C22648" w:rsidRPr="00A11FE0">
        <w:rPr>
          <w:rFonts w:asciiTheme="majorHAnsi" w:eastAsia="MS Mincho" w:hAnsiTheme="majorHAnsi"/>
        </w:rPr>
        <w:t>ú</w:t>
      </w:r>
      <w:r w:rsidRPr="00A11FE0">
        <w:rPr>
          <w:rFonts w:asciiTheme="majorHAnsi" w:eastAsia="MS Mincho" w:hAnsiTheme="majorHAnsi"/>
        </w:rPr>
        <w:t xml:space="preserve"> dobre dostupné pre obyvateľov ich zázemí </w:t>
      </w:r>
      <w:r w:rsidR="00BD5FD5">
        <w:rPr>
          <w:rFonts w:asciiTheme="majorHAnsi" w:eastAsia="MS Mincho" w:hAnsiTheme="majorHAnsi"/>
        </w:rPr>
        <w:t>a </w:t>
      </w:r>
      <w:r w:rsidRPr="00A11FE0">
        <w:rPr>
          <w:rFonts w:asciiTheme="majorHAnsi" w:eastAsia="MS Mincho" w:hAnsiTheme="majorHAnsi"/>
        </w:rPr>
        <w:t xml:space="preserve">preto </w:t>
      </w:r>
      <w:r w:rsidR="00BD5FD5">
        <w:rPr>
          <w:rFonts w:asciiTheme="majorHAnsi" w:eastAsia="MS Mincho" w:hAnsiTheme="majorHAnsi"/>
        </w:rPr>
        <w:t>s</w:t>
      </w:r>
      <w:r w:rsidRPr="00A11FE0">
        <w:rPr>
          <w:rFonts w:asciiTheme="majorHAnsi" w:eastAsia="MS Mincho" w:hAnsiTheme="majorHAnsi"/>
        </w:rPr>
        <w:t xml:space="preserve">ú vhodnými priestormi pre </w:t>
      </w:r>
      <w:r w:rsidR="00BD5FD5">
        <w:rPr>
          <w:rFonts w:asciiTheme="majorHAnsi" w:eastAsia="MS Mincho" w:hAnsiTheme="majorHAnsi"/>
        </w:rPr>
        <w:t>k</w:t>
      </w:r>
      <w:r w:rsidRPr="00A11FE0">
        <w:rPr>
          <w:rFonts w:asciiTheme="majorHAnsi" w:eastAsia="MS Mincho" w:hAnsiTheme="majorHAnsi"/>
        </w:rPr>
        <w:t xml:space="preserve">oncentráciu vybraných investičných </w:t>
      </w:r>
      <w:r w:rsidR="00BD5FD5">
        <w:rPr>
          <w:rFonts w:asciiTheme="majorHAnsi" w:eastAsia="MS Mincho" w:hAnsiTheme="majorHAnsi"/>
        </w:rPr>
        <w:t>ak</w:t>
      </w:r>
      <w:r w:rsidRPr="00A11FE0">
        <w:rPr>
          <w:rFonts w:asciiTheme="majorHAnsi" w:eastAsia="MS Mincho" w:hAnsiTheme="majorHAnsi"/>
        </w:rPr>
        <w:t xml:space="preserve">tivít, </w:t>
      </w:r>
      <w:r w:rsidR="00BD5FD5">
        <w:rPr>
          <w:rFonts w:asciiTheme="majorHAnsi" w:eastAsia="MS Mincho" w:hAnsiTheme="majorHAnsi"/>
        </w:rPr>
        <w:t>k</w:t>
      </w:r>
      <w:r w:rsidRPr="00A11FE0">
        <w:rPr>
          <w:rFonts w:asciiTheme="majorHAnsi" w:eastAsia="MS Mincho" w:hAnsiTheme="majorHAnsi"/>
        </w:rPr>
        <w:t xml:space="preserve">toré </w:t>
      </w:r>
      <w:r w:rsidR="00693A2B" w:rsidRPr="00A11FE0">
        <w:rPr>
          <w:rFonts w:asciiTheme="majorHAnsi" w:eastAsia="MS Mincho" w:hAnsiTheme="majorHAnsi"/>
        </w:rPr>
        <w:t>uspokojujú</w:t>
      </w:r>
      <w:r w:rsidRPr="00A11FE0">
        <w:rPr>
          <w:rFonts w:asciiTheme="majorHAnsi" w:eastAsia="MS Mincho" w:hAnsiTheme="majorHAnsi"/>
        </w:rPr>
        <w:t xml:space="preserve"> </w:t>
      </w:r>
      <w:r w:rsidR="00BD5FD5">
        <w:rPr>
          <w:rFonts w:asciiTheme="majorHAnsi" w:eastAsia="MS Mincho" w:hAnsiTheme="majorHAnsi"/>
        </w:rPr>
        <w:t>a</w:t>
      </w:r>
      <w:r w:rsidRPr="00A11FE0">
        <w:rPr>
          <w:rFonts w:asciiTheme="majorHAnsi" w:eastAsia="MS Mincho" w:hAnsiTheme="majorHAnsi"/>
        </w:rPr>
        <w:t xml:space="preserve">j požiadavky </w:t>
      </w:r>
      <w:r w:rsidR="00BD5FD5">
        <w:rPr>
          <w:rFonts w:asciiTheme="majorHAnsi" w:eastAsia="MS Mincho" w:hAnsiTheme="majorHAnsi"/>
        </w:rPr>
        <w:t>a </w:t>
      </w:r>
      <w:r w:rsidRPr="00A11FE0">
        <w:rPr>
          <w:rFonts w:asciiTheme="majorHAnsi" w:eastAsia="MS Mincho" w:hAnsiTheme="majorHAnsi"/>
        </w:rPr>
        <w:t>potreby</w:t>
      </w:r>
      <w:r w:rsidR="00107062">
        <w:rPr>
          <w:rFonts w:asciiTheme="majorHAnsi" w:eastAsia="MS Mincho" w:hAnsiTheme="majorHAnsi"/>
        </w:rPr>
        <w:t xml:space="preserve"> </w:t>
      </w:r>
      <w:r w:rsidRPr="00A11FE0">
        <w:rPr>
          <w:rFonts w:asciiTheme="majorHAnsi" w:eastAsia="MS Mincho" w:hAnsiTheme="majorHAnsi"/>
        </w:rPr>
        <w:t xml:space="preserve">obyvateľov ich zázemia. Ťažiská osídlenia predstavujú hierarchický </w:t>
      </w:r>
      <w:r w:rsidR="002C0AD7">
        <w:rPr>
          <w:rFonts w:asciiTheme="majorHAnsi" w:eastAsia="MS Mincho" w:hAnsiTheme="majorHAnsi"/>
        </w:rPr>
        <w:t>s</w:t>
      </w:r>
      <w:r w:rsidRPr="00A11FE0">
        <w:rPr>
          <w:rFonts w:asciiTheme="majorHAnsi" w:eastAsia="MS Mincho" w:hAnsiTheme="majorHAnsi"/>
        </w:rPr>
        <w:t xml:space="preserve">ystém </w:t>
      </w:r>
      <w:r w:rsidR="00BD5FD5">
        <w:rPr>
          <w:rFonts w:asciiTheme="majorHAnsi" w:eastAsia="MS Mincho" w:hAnsiTheme="majorHAnsi"/>
        </w:rPr>
        <w:t>s</w:t>
      </w:r>
      <w:r w:rsidRPr="00A11FE0">
        <w:rPr>
          <w:rFonts w:asciiTheme="majorHAnsi" w:eastAsia="MS Mincho" w:hAnsiTheme="majorHAnsi"/>
        </w:rPr>
        <w:t xml:space="preserve">ídelných </w:t>
      </w:r>
      <w:r w:rsidR="00BD5FD5">
        <w:rPr>
          <w:rFonts w:asciiTheme="majorHAnsi" w:eastAsia="MS Mincho" w:hAnsiTheme="majorHAnsi"/>
        </w:rPr>
        <w:t>a</w:t>
      </w:r>
      <w:r w:rsidRPr="00A11FE0">
        <w:rPr>
          <w:rFonts w:asciiTheme="majorHAnsi" w:eastAsia="MS Mincho" w:hAnsiTheme="majorHAnsi"/>
        </w:rPr>
        <w:t xml:space="preserve">glomerácií rôznej intenzity rozvoja </w:t>
      </w:r>
      <w:r w:rsidR="00BD5FD5">
        <w:rPr>
          <w:rFonts w:asciiTheme="majorHAnsi" w:eastAsia="MS Mincho" w:hAnsiTheme="majorHAnsi"/>
        </w:rPr>
        <w:t>a</w:t>
      </w:r>
      <w:r w:rsidRPr="00A11FE0">
        <w:rPr>
          <w:rFonts w:asciiTheme="majorHAnsi" w:eastAsia="MS Mincho" w:hAnsiTheme="majorHAnsi"/>
        </w:rPr>
        <w:t xml:space="preserve">glomeračných </w:t>
      </w:r>
      <w:r w:rsidR="00BD5FD5">
        <w:rPr>
          <w:rFonts w:asciiTheme="majorHAnsi" w:eastAsia="MS Mincho" w:hAnsiTheme="majorHAnsi"/>
        </w:rPr>
        <w:t>a k</w:t>
      </w:r>
      <w:r w:rsidRPr="00A11FE0">
        <w:rPr>
          <w:rFonts w:asciiTheme="majorHAnsi" w:eastAsia="MS Mincho" w:hAnsiTheme="majorHAnsi"/>
        </w:rPr>
        <w:t xml:space="preserve">ooperačných vzťahov medzi jednotlivými centrami </w:t>
      </w:r>
      <w:r w:rsidR="00BD5FD5">
        <w:rPr>
          <w:rFonts w:asciiTheme="majorHAnsi" w:eastAsia="MS Mincho" w:hAnsiTheme="majorHAnsi"/>
        </w:rPr>
        <w:t>a </w:t>
      </w:r>
      <w:r w:rsidRPr="00A11FE0">
        <w:rPr>
          <w:rFonts w:asciiTheme="majorHAnsi" w:eastAsia="MS Mincho" w:hAnsiTheme="majorHAnsi"/>
        </w:rPr>
        <w:t>obcami v</w:t>
      </w:r>
      <w:r w:rsidR="00906580">
        <w:rPr>
          <w:rFonts w:asciiTheme="majorHAnsi" w:eastAsia="MS Mincho" w:hAnsiTheme="majorHAnsi"/>
        </w:rPr>
        <w:t> </w:t>
      </w:r>
      <w:r w:rsidRPr="00A11FE0">
        <w:rPr>
          <w:rFonts w:asciiTheme="majorHAnsi" w:eastAsia="MS Mincho" w:hAnsiTheme="majorHAnsi"/>
        </w:rPr>
        <w:t>ich</w:t>
      </w:r>
      <w:r w:rsidR="00906580">
        <w:rPr>
          <w:rFonts w:asciiTheme="majorHAnsi" w:eastAsia="MS Mincho" w:hAnsiTheme="majorHAnsi"/>
        </w:rPr>
        <w:t xml:space="preserve"> </w:t>
      </w:r>
      <w:r w:rsidRPr="00A11FE0">
        <w:rPr>
          <w:rFonts w:asciiTheme="majorHAnsi" w:eastAsia="MS Mincho" w:hAnsiTheme="majorHAnsi"/>
        </w:rPr>
        <w:t xml:space="preserve">zázemí. Najvýznamnejšími priestormi pre územnú </w:t>
      </w:r>
      <w:r w:rsidR="00BD5FD5">
        <w:rPr>
          <w:rFonts w:asciiTheme="majorHAnsi" w:eastAsia="MS Mincho" w:hAnsiTheme="majorHAnsi"/>
        </w:rPr>
        <w:t>k</w:t>
      </w:r>
      <w:r w:rsidRPr="00A11FE0">
        <w:rPr>
          <w:rFonts w:asciiTheme="majorHAnsi" w:eastAsia="MS Mincho" w:hAnsiTheme="majorHAnsi"/>
        </w:rPr>
        <w:t xml:space="preserve">oncentráciu tematických cieľov </w:t>
      </w:r>
      <w:r w:rsidR="00BD5FD5">
        <w:rPr>
          <w:rFonts w:asciiTheme="majorHAnsi" w:eastAsia="MS Mincho" w:hAnsiTheme="majorHAnsi"/>
        </w:rPr>
        <w:t>s</w:t>
      </w:r>
      <w:r w:rsidRPr="00A11FE0">
        <w:rPr>
          <w:rFonts w:asciiTheme="majorHAnsi" w:eastAsia="MS Mincho" w:hAnsiTheme="majorHAnsi"/>
        </w:rPr>
        <w:t xml:space="preserve">ú územia vymedzených ťažísk osídlenia prvej </w:t>
      </w:r>
      <w:r w:rsidR="00BD5FD5">
        <w:rPr>
          <w:rFonts w:asciiTheme="majorHAnsi" w:eastAsia="MS Mincho" w:hAnsiTheme="majorHAnsi"/>
        </w:rPr>
        <w:t>a </w:t>
      </w:r>
      <w:r w:rsidRPr="00A11FE0">
        <w:rPr>
          <w:rFonts w:asciiTheme="majorHAnsi" w:eastAsia="MS Mincho" w:hAnsiTheme="majorHAnsi"/>
        </w:rPr>
        <w:t>druhej úrovne. V</w:t>
      </w:r>
      <w:r w:rsidR="00906580">
        <w:rPr>
          <w:rFonts w:asciiTheme="majorHAnsi" w:eastAsia="MS Mincho" w:hAnsiTheme="majorHAnsi"/>
        </w:rPr>
        <w:t> </w:t>
      </w:r>
      <w:r w:rsidRPr="00A11FE0">
        <w:rPr>
          <w:rFonts w:asciiTheme="majorHAnsi" w:eastAsia="MS Mincho" w:hAnsiTheme="majorHAnsi"/>
        </w:rPr>
        <w:t>prvej</w:t>
      </w:r>
      <w:r w:rsidR="00906580">
        <w:rPr>
          <w:rFonts w:asciiTheme="majorHAnsi" w:eastAsia="MS Mincho" w:hAnsiTheme="majorHAnsi"/>
        </w:rPr>
        <w:t xml:space="preserve"> </w:t>
      </w:r>
      <w:r w:rsidRPr="00A11FE0">
        <w:rPr>
          <w:rFonts w:asciiTheme="majorHAnsi" w:eastAsia="MS Mincho" w:hAnsiTheme="majorHAnsi"/>
        </w:rPr>
        <w:t>úrovni ide o</w:t>
      </w:r>
      <w:r w:rsidR="00906580">
        <w:rPr>
          <w:rFonts w:asciiTheme="majorHAnsi" w:eastAsia="MS Mincho" w:hAnsiTheme="majorHAnsi"/>
        </w:rPr>
        <w:t> </w:t>
      </w:r>
      <w:r w:rsidRPr="00A11FE0">
        <w:rPr>
          <w:rFonts w:asciiTheme="majorHAnsi" w:eastAsia="MS Mincho" w:hAnsiTheme="majorHAnsi"/>
        </w:rPr>
        <w:t>priestory</w:t>
      </w:r>
      <w:r w:rsidR="00906580">
        <w:rPr>
          <w:rFonts w:asciiTheme="majorHAnsi" w:eastAsia="MS Mincho" w:hAnsiTheme="majorHAnsi"/>
        </w:rPr>
        <w:t xml:space="preserve"> </w:t>
      </w:r>
      <w:r w:rsidR="00BD5FD5">
        <w:rPr>
          <w:rFonts w:asciiTheme="majorHAnsi" w:eastAsia="MS Mincho" w:hAnsiTheme="majorHAnsi"/>
        </w:rPr>
        <w:t>a</w:t>
      </w:r>
      <w:r w:rsidRPr="00A11FE0">
        <w:rPr>
          <w:rFonts w:asciiTheme="majorHAnsi" w:eastAsia="MS Mincho" w:hAnsiTheme="majorHAnsi"/>
        </w:rPr>
        <w:t xml:space="preserve">glomerácií okolo </w:t>
      </w:r>
      <w:r w:rsidR="00BD5FD5">
        <w:rPr>
          <w:rFonts w:asciiTheme="majorHAnsi" w:eastAsia="MS Mincho" w:hAnsiTheme="majorHAnsi"/>
        </w:rPr>
        <w:t>k</w:t>
      </w:r>
      <w:r w:rsidRPr="00A11FE0">
        <w:rPr>
          <w:rFonts w:asciiTheme="majorHAnsi" w:eastAsia="MS Mincho" w:hAnsiTheme="majorHAnsi"/>
        </w:rPr>
        <w:t xml:space="preserve">rajských miest </w:t>
      </w:r>
      <w:r w:rsidR="00BD5FD5">
        <w:rPr>
          <w:rFonts w:asciiTheme="majorHAnsi" w:eastAsia="MS Mincho" w:hAnsiTheme="majorHAnsi"/>
        </w:rPr>
        <w:t>a </w:t>
      </w:r>
      <w:r w:rsidRPr="00A11FE0">
        <w:rPr>
          <w:rFonts w:asciiTheme="majorHAnsi" w:eastAsia="MS Mincho" w:hAnsiTheme="majorHAnsi"/>
        </w:rPr>
        <w:t xml:space="preserve">niektorých </w:t>
      </w:r>
      <w:r w:rsidR="00BD5FD5">
        <w:rPr>
          <w:rFonts w:asciiTheme="majorHAnsi" w:eastAsia="MS Mincho" w:hAnsiTheme="majorHAnsi"/>
        </w:rPr>
        <w:t>k </w:t>
      </w:r>
      <w:r w:rsidRPr="00A11FE0">
        <w:rPr>
          <w:rFonts w:asciiTheme="majorHAnsi" w:eastAsia="MS Mincho" w:hAnsiTheme="majorHAnsi"/>
        </w:rPr>
        <w:t xml:space="preserve">nim priradených bipolárnych jadier. Najrozvinutejšou </w:t>
      </w:r>
      <w:r w:rsidR="00BD5FD5">
        <w:rPr>
          <w:rFonts w:asciiTheme="majorHAnsi" w:eastAsia="MS Mincho" w:hAnsiTheme="majorHAnsi"/>
        </w:rPr>
        <w:t>a</w:t>
      </w:r>
      <w:r w:rsidRPr="00A11FE0">
        <w:rPr>
          <w:rFonts w:asciiTheme="majorHAnsi" w:eastAsia="MS Mincho" w:hAnsiTheme="majorHAnsi"/>
        </w:rPr>
        <w:t xml:space="preserve">glomeráciou je ťažisko osídlenia okolo mesta Bratislavy, </w:t>
      </w:r>
      <w:r w:rsidR="00BD5FD5">
        <w:rPr>
          <w:rFonts w:asciiTheme="majorHAnsi" w:eastAsia="MS Mincho" w:hAnsiTheme="majorHAnsi"/>
        </w:rPr>
        <w:t>k</w:t>
      </w:r>
      <w:r w:rsidRPr="00A11FE0">
        <w:rPr>
          <w:rFonts w:asciiTheme="majorHAnsi" w:eastAsia="MS Mincho" w:hAnsiTheme="majorHAnsi"/>
        </w:rPr>
        <w:t xml:space="preserve">toré </w:t>
      </w:r>
      <w:r w:rsidR="00BD5FD5">
        <w:rPr>
          <w:rFonts w:asciiTheme="majorHAnsi" w:eastAsia="MS Mincho" w:hAnsiTheme="majorHAnsi"/>
        </w:rPr>
        <w:t>s</w:t>
      </w:r>
      <w:r w:rsidRPr="00A11FE0">
        <w:rPr>
          <w:rFonts w:asciiTheme="majorHAnsi" w:eastAsia="MS Mincho" w:hAnsiTheme="majorHAnsi"/>
        </w:rPr>
        <w:t xml:space="preserve">a organicky prepája </w:t>
      </w:r>
      <w:r w:rsidR="00BD5FD5">
        <w:rPr>
          <w:rFonts w:asciiTheme="majorHAnsi" w:eastAsia="MS Mincho" w:hAnsiTheme="majorHAnsi"/>
        </w:rPr>
        <w:t>s a</w:t>
      </w:r>
      <w:r w:rsidRPr="00A11FE0">
        <w:rPr>
          <w:rFonts w:asciiTheme="majorHAnsi" w:eastAsia="MS Mincho" w:hAnsiTheme="majorHAnsi"/>
        </w:rPr>
        <w:t>glomeráciami</w:t>
      </w:r>
      <w:r w:rsidR="00107062">
        <w:rPr>
          <w:rFonts w:asciiTheme="majorHAnsi" w:eastAsia="MS Mincho" w:hAnsiTheme="majorHAnsi"/>
        </w:rPr>
        <w:t xml:space="preserve"> </w:t>
      </w:r>
      <w:r w:rsidRPr="00A11FE0">
        <w:rPr>
          <w:rFonts w:asciiTheme="majorHAnsi" w:eastAsia="MS Mincho" w:hAnsiTheme="majorHAnsi"/>
        </w:rPr>
        <w:t xml:space="preserve">trnavského </w:t>
      </w:r>
      <w:r w:rsidR="00BD5FD5">
        <w:rPr>
          <w:rFonts w:asciiTheme="majorHAnsi" w:eastAsia="MS Mincho" w:hAnsiTheme="majorHAnsi"/>
        </w:rPr>
        <w:t>a </w:t>
      </w:r>
      <w:r w:rsidRPr="00A11FE0">
        <w:rPr>
          <w:rFonts w:asciiTheme="majorHAnsi" w:eastAsia="MS Mincho" w:hAnsiTheme="majorHAnsi"/>
        </w:rPr>
        <w:t>nitrianskeho</w:t>
      </w:r>
      <w:r w:rsidR="00285918">
        <w:rPr>
          <w:rFonts w:asciiTheme="majorHAnsi" w:eastAsia="MS Mincho" w:hAnsiTheme="majorHAnsi"/>
        </w:rPr>
        <w:t xml:space="preserve"> </w:t>
      </w:r>
      <w:r w:rsidRPr="00A11FE0">
        <w:rPr>
          <w:rFonts w:asciiTheme="majorHAnsi" w:eastAsia="MS Mincho" w:hAnsiTheme="majorHAnsi"/>
        </w:rPr>
        <w:t xml:space="preserve">ťažiska osídlenia. Rozvinutými </w:t>
      </w:r>
      <w:r w:rsidR="00BD5FD5">
        <w:rPr>
          <w:rFonts w:asciiTheme="majorHAnsi" w:eastAsia="MS Mincho" w:hAnsiTheme="majorHAnsi"/>
        </w:rPr>
        <w:t>a</w:t>
      </w:r>
      <w:r w:rsidRPr="00A11FE0">
        <w:rPr>
          <w:rFonts w:asciiTheme="majorHAnsi" w:eastAsia="MS Mincho" w:hAnsiTheme="majorHAnsi"/>
        </w:rPr>
        <w:t xml:space="preserve">glomeráciami </w:t>
      </w:r>
      <w:r w:rsidR="00BD5FD5">
        <w:rPr>
          <w:rFonts w:asciiTheme="majorHAnsi" w:eastAsia="MS Mincho" w:hAnsiTheme="majorHAnsi"/>
        </w:rPr>
        <w:t>s</w:t>
      </w:r>
      <w:r w:rsidRPr="00A11FE0">
        <w:rPr>
          <w:rFonts w:asciiTheme="majorHAnsi" w:eastAsia="MS Mincho" w:hAnsiTheme="majorHAnsi"/>
        </w:rPr>
        <w:t xml:space="preserve">ú </w:t>
      </w:r>
      <w:r w:rsidR="005F02F8" w:rsidRPr="00A11FE0">
        <w:rPr>
          <w:rFonts w:asciiTheme="majorHAnsi" w:eastAsia="MS Mincho" w:hAnsiTheme="majorHAnsi"/>
        </w:rPr>
        <w:t xml:space="preserve">tiež </w:t>
      </w:r>
      <w:r w:rsidRPr="00A11FE0">
        <w:rPr>
          <w:rFonts w:asciiTheme="majorHAnsi" w:eastAsia="MS Mincho" w:hAnsiTheme="majorHAnsi"/>
        </w:rPr>
        <w:t xml:space="preserve">ťažiská osídlenia okolo ostatných </w:t>
      </w:r>
      <w:r w:rsidR="00BD5FD5">
        <w:rPr>
          <w:rFonts w:asciiTheme="majorHAnsi" w:eastAsia="MS Mincho" w:hAnsiTheme="majorHAnsi"/>
        </w:rPr>
        <w:t>k</w:t>
      </w:r>
      <w:r w:rsidRPr="00A11FE0">
        <w:rPr>
          <w:rFonts w:asciiTheme="majorHAnsi" w:eastAsia="MS Mincho" w:hAnsiTheme="majorHAnsi"/>
        </w:rPr>
        <w:t>rajských miest (</w:t>
      </w:r>
      <w:r w:rsidR="00BD5FD5">
        <w:rPr>
          <w:rFonts w:asciiTheme="majorHAnsi" w:eastAsia="MS Mincho" w:hAnsiTheme="majorHAnsi"/>
        </w:rPr>
        <w:t>k</w:t>
      </w:r>
      <w:r w:rsidRPr="00A11FE0">
        <w:rPr>
          <w:rFonts w:asciiTheme="majorHAnsi" w:eastAsia="MS Mincho" w:hAnsiTheme="majorHAnsi"/>
        </w:rPr>
        <w:t xml:space="preserve">toré </w:t>
      </w:r>
      <w:r w:rsidR="00BD5FD5">
        <w:rPr>
          <w:rFonts w:asciiTheme="majorHAnsi" w:eastAsia="MS Mincho" w:hAnsiTheme="majorHAnsi"/>
        </w:rPr>
        <w:t>s</w:t>
      </w:r>
      <w:r w:rsidRPr="00A11FE0">
        <w:rPr>
          <w:rFonts w:asciiTheme="majorHAnsi" w:eastAsia="MS Mincho" w:hAnsiTheme="majorHAnsi"/>
        </w:rPr>
        <w:t xml:space="preserve">ú </w:t>
      </w:r>
      <w:r w:rsidR="00BD5FD5">
        <w:rPr>
          <w:rFonts w:asciiTheme="majorHAnsi" w:eastAsia="MS Mincho" w:hAnsiTheme="majorHAnsi"/>
        </w:rPr>
        <w:t>s</w:t>
      </w:r>
      <w:r w:rsidRPr="00A11FE0">
        <w:rPr>
          <w:rFonts w:asciiTheme="majorHAnsi" w:eastAsia="MS Mincho" w:hAnsiTheme="majorHAnsi"/>
        </w:rPr>
        <w:t xml:space="preserve">účasne </w:t>
      </w:r>
      <w:r w:rsidR="00BD5FD5">
        <w:rPr>
          <w:rFonts w:asciiTheme="majorHAnsi" w:eastAsia="MS Mincho" w:hAnsiTheme="majorHAnsi"/>
        </w:rPr>
        <w:t>a</w:t>
      </w:r>
      <w:r w:rsidRPr="00A11FE0">
        <w:rPr>
          <w:rFonts w:asciiTheme="majorHAnsi" w:eastAsia="MS Mincho" w:hAnsiTheme="majorHAnsi"/>
        </w:rPr>
        <w:t>j najvýznamnejšími centrami osídlenia)</w:t>
      </w:r>
      <w:r w:rsidR="009F1301">
        <w:rPr>
          <w:rFonts w:asciiTheme="majorHAnsi" w:eastAsia="MS Mincho" w:hAnsiTheme="majorHAnsi"/>
        </w:rPr>
        <w:t xml:space="preserve"> a</w:t>
      </w:r>
      <w:r w:rsidR="00933BCC">
        <w:rPr>
          <w:rFonts w:asciiTheme="majorHAnsi" w:eastAsia="MS Mincho" w:hAnsiTheme="majorHAnsi"/>
        </w:rPr>
        <w:t> </w:t>
      </w:r>
      <w:r w:rsidR="005F02F8" w:rsidRPr="00A11FE0">
        <w:rPr>
          <w:rFonts w:asciiTheme="majorHAnsi" w:eastAsia="MS Mincho" w:hAnsiTheme="majorHAnsi"/>
        </w:rPr>
        <w:t xml:space="preserve">v prípade </w:t>
      </w:r>
      <w:r w:rsidR="00BD5FD5">
        <w:rPr>
          <w:rFonts w:asciiTheme="majorHAnsi" w:eastAsia="MS Mincho" w:hAnsiTheme="majorHAnsi"/>
        </w:rPr>
        <w:t>a</w:t>
      </w:r>
      <w:r w:rsidRPr="00A11FE0">
        <w:rPr>
          <w:rFonts w:asciiTheme="majorHAnsi" w:eastAsia="MS Mincho" w:hAnsiTheme="majorHAnsi"/>
        </w:rPr>
        <w:t xml:space="preserve">glomerácie okolo miest Prešova </w:t>
      </w:r>
      <w:r w:rsidR="00BD5FD5">
        <w:rPr>
          <w:rFonts w:asciiTheme="majorHAnsi" w:eastAsia="MS Mincho" w:hAnsiTheme="majorHAnsi"/>
        </w:rPr>
        <w:t>a</w:t>
      </w:r>
      <w:r w:rsidR="00906580">
        <w:rPr>
          <w:rFonts w:asciiTheme="majorHAnsi" w:eastAsia="MS Mincho" w:hAnsiTheme="majorHAnsi"/>
        </w:rPr>
        <w:t> </w:t>
      </w:r>
      <w:r w:rsidR="00BD5FD5">
        <w:rPr>
          <w:rFonts w:asciiTheme="majorHAnsi" w:eastAsia="MS Mincho" w:hAnsiTheme="majorHAnsi"/>
        </w:rPr>
        <w:t>K</w:t>
      </w:r>
      <w:r w:rsidRPr="00A11FE0">
        <w:rPr>
          <w:rFonts w:asciiTheme="majorHAnsi" w:eastAsia="MS Mincho" w:hAnsiTheme="majorHAnsi"/>
        </w:rPr>
        <w:t>ošíc</w:t>
      </w:r>
      <w:r w:rsidR="00906580">
        <w:rPr>
          <w:rFonts w:asciiTheme="majorHAnsi" w:eastAsia="MS Mincho" w:hAnsiTheme="majorHAnsi"/>
        </w:rPr>
        <w:t xml:space="preserve"> </w:t>
      </w:r>
      <w:r w:rsidRPr="00A11FE0">
        <w:rPr>
          <w:rFonts w:asciiTheme="majorHAnsi" w:eastAsia="MS Mincho" w:hAnsiTheme="majorHAnsi"/>
        </w:rPr>
        <w:t xml:space="preserve">vytvárajú jedno </w:t>
      </w:r>
      <w:r w:rsidR="00BD5FD5">
        <w:rPr>
          <w:rFonts w:asciiTheme="majorHAnsi" w:eastAsia="MS Mincho" w:hAnsiTheme="majorHAnsi"/>
        </w:rPr>
        <w:t>k</w:t>
      </w:r>
      <w:r w:rsidRPr="00A11FE0">
        <w:rPr>
          <w:rFonts w:asciiTheme="majorHAnsi" w:eastAsia="MS Mincho" w:hAnsiTheme="majorHAnsi"/>
        </w:rPr>
        <w:t xml:space="preserve">ompaktné ťažisko osídlenia. Ťažiská osídlenia prvej úrovne </w:t>
      </w:r>
      <w:r w:rsidR="00BD5FD5">
        <w:rPr>
          <w:rFonts w:asciiTheme="majorHAnsi" w:eastAsia="MS Mincho" w:hAnsiTheme="majorHAnsi"/>
        </w:rPr>
        <w:t>s</w:t>
      </w:r>
      <w:r w:rsidRPr="00A11FE0">
        <w:rPr>
          <w:rFonts w:asciiTheme="majorHAnsi" w:eastAsia="MS Mincho" w:hAnsiTheme="majorHAnsi"/>
        </w:rPr>
        <w:t>ú</w:t>
      </w:r>
      <w:r w:rsidR="00172537" w:rsidRPr="00A11FE0">
        <w:rPr>
          <w:rFonts w:asciiTheme="majorHAnsi" w:eastAsia="MS Mincho" w:hAnsiTheme="majorHAnsi"/>
        </w:rPr>
        <w:t xml:space="preserve"> </w:t>
      </w:r>
      <w:r w:rsidRPr="00A11FE0">
        <w:rPr>
          <w:rFonts w:asciiTheme="majorHAnsi" w:eastAsia="MS Mincho" w:hAnsiTheme="majorHAnsi"/>
        </w:rPr>
        <w:t xml:space="preserve">podľa intenzity </w:t>
      </w:r>
      <w:r w:rsidR="00BD5FD5">
        <w:rPr>
          <w:rFonts w:asciiTheme="majorHAnsi" w:eastAsia="MS Mincho" w:hAnsiTheme="majorHAnsi"/>
        </w:rPr>
        <w:t>k</w:t>
      </w:r>
      <w:r w:rsidR="002C0AD7">
        <w:rPr>
          <w:rFonts w:asciiTheme="majorHAnsi" w:eastAsia="MS Mincho" w:hAnsiTheme="majorHAnsi"/>
        </w:rPr>
        <w:t>o</w:t>
      </w:r>
      <w:r w:rsidRPr="00A11FE0">
        <w:rPr>
          <w:rFonts w:asciiTheme="majorHAnsi" w:eastAsia="MS Mincho" w:hAnsiTheme="majorHAnsi"/>
        </w:rPr>
        <w:t xml:space="preserve">operačných vzťahov medzi </w:t>
      </w:r>
      <w:r w:rsidR="00BD5FD5">
        <w:rPr>
          <w:rFonts w:asciiTheme="majorHAnsi" w:eastAsia="MS Mincho" w:hAnsiTheme="majorHAnsi"/>
        </w:rPr>
        <w:t>s</w:t>
      </w:r>
      <w:r w:rsidRPr="00A11FE0">
        <w:rPr>
          <w:rFonts w:asciiTheme="majorHAnsi" w:eastAsia="MS Mincho" w:hAnsiTheme="majorHAnsi"/>
        </w:rPr>
        <w:t xml:space="preserve">ídlami </w:t>
      </w:r>
      <w:r w:rsidR="005F02F8" w:rsidRPr="00A11FE0">
        <w:rPr>
          <w:rFonts w:asciiTheme="majorHAnsi" w:eastAsia="MS Mincho" w:hAnsiTheme="majorHAnsi"/>
        </w:rPr>
        <w:t xml:space="preserve">vnútorne </w:t>
      </w:r>
      <w:r w:rsidRPr="00A11FE0">
        <w:rPr>
          <w:rFonts w:asciiTheme="majorHAnsi" w:eastAsia="MS Mincho" w:hAnsiTheme="majorHAnsi"/>
        </w:rPr>
        <w:t xml:space="preserve">členené na pásma, </w:t>
      </w:r>
      <w:r w:rsidR="00BD5FD5">
        <w:rPr>
          <w:rFonts w:asciiTheme="majorHAnsi" w:eastAsia="MS Mincho" w:hAnsiTheme="majorHAnsi"/>
        </w:rPr>
        <w:t>k</w:t>
      </w:r>
      <w:r w:rsidRPr="00A11FE0">
        <w:rPr>
          <w:rFonts w:asciiTheme="majorHAnsi" w:eastAsia="MS Mincho" w:hAnsiTheme="majorHAnsi"/>
        </w:rPr>
        <w:t xml:space="preserve">torými </w:t>
      </w:r>
      <w:r w:rsidR="00BD5FD5">
        <w:rPr>
          <w:rFonts w:asciiTheme="majorHAnsi" w:eastAsia="MS Mincho" w:hAnsiTheme="majorHAnsi"/>
        </w:rPr>
        <w:t>s</w:t>
      </w:r>
      <w:r w:rsidRPr="00A11FE0">
        <w:rPr>
          <w:rFonts w:asciiTheme="majorHAnsi" w:eastAsia="MS Mincho" w:hAnsiTheme="majorHAnsi"/>
        </w:rPr>
        <w:t>ú</w:t>
      </w:r>
      <w:r w:rsidR="005F02F8" w:rsidRPr="00A11FE0">
        <w:rPr>
          <w:rFonts w:asciiTheme="majorHAnsi" w:eastAsia="MS Mincho" w:hAnsiTheme="majorHAnsi"/>
        </w:rPr>
        <w:t>:</w:t>
      </w:r>
      <w:r w:rsidRPr="00A11FE0">
        <w:rPr>
          <w:rFonts w:asciiTheme="majorHAnsi" w:eastAsia="MS Mincho" w:hAnsiTheme="majorHAnsi"/>
        </w:rPr>
        <w:t xml:space="preserve"> jadrové pásmo, prímestské pásmo </w:t>
      </w:r>
      <w:r w:rsidR="00BD5FD5">
        <w:rPr>
          <w:rFonts w:asciiTheme="majorHAnsi" w:eastAsia="MS Mincho" w:hAnsiTheme="majorHAnsi"/>
        </w:rPr>
        <w:t>a </w:t>
      </w:r>
      <w:r w:rsidRPr="00A11FE0">
        <w:rPr>
          <w:rFonts w:asciiTheme="majorHAnsi" w:eastAsia="MS Mincho" w:hAnsiTheme="majorHAnsi"/>
        </w:rPr>
        <w:t>ostatné územie ťažisk</w:t>
      </w:r>
      <w:r w:rsidR="009F1301">
        <w:rPr>
          <w:rFonts w:asciiTheme="majorHAnsi" w:eastAsia="MS Mincho" w:hAnsiTheme="majorHAnsi"/>
        </w:rPr>
        <w:t>a</w:t>
      </w:r>
      <w:r w:rsidRPr="00A11FE0">
        <w:rPr>
          <w:rFonts w:asciiTheme="majorHAnsi" w:eastAsia="MS Mincho" w:hAnsiTheme="majorHAnsi"/>
        </w:rPr>
        <w:t xml:space="preserve"> osídlenia prvej úrovne. Jadrové pásmo je priestor </w:t>
      </w:r>
      <w:r w:rsidR="00BD5FD5">
        <w:rPr>
          <w:rFonts w:asciiTheme="majorHAnsi" w:eastAsia="MS Mincho" w:hAnsiTheme="majorHAnsi"/>
        </w:rPr>
        <w:t>a</w:t>
      </w:r>
      <w:r w:rsidRPr="00A11FE0">
        <w:rPr>
          <w:rFonts w:asciiTheme="majorHAnsi" w:eastAsia="MS Mincho" w:hAnsiTheme="majorHAnsi"/>
        </w:rPr>
        <w:t>j pre rozvoj mesta v</w:t>
      </w:r>
      <w:r w:rsidR="00906580">
        <w:rPr>
          <w:rFonts w:asciiTheme="majorHAnsi" w:eastAsia="MS Mincho" w:hAnsiTheme="majorHAnsi"/>
        </w:rPr>
        <w:t> </w:t>
      </w:r>
      <w:r w:rsidRPr="00A11FE0">
        <w:rPr>
          <w:rFonts w:asciiTheme="majorHAnsi" w:eastAsia="MS Mincho" w:hAnsiTheme="majorHAnsi"/>
        </w:rPr>
        <w:t>rámci</w:t>
      </w:r>
      <w:r w:rsidR="00906580">
        <w:rPr>
          <w:rFonts w:asciiTheme="majorHAnsi" w:eastAsia="MS Mincho" w:hAnsiTheme="majorHAnsi"/>
        </w:rPr>
        <w:t xml:space="preserve"> </w:t>
      </w:r>
      <w:r w:rsidRPr="00A11FE0">
        <w:rPr>
          <w:rFonts w:asciiTheme="majorHAnsi" w:eastAsia="MS Mincho" w:hAnsiTheme="majorHAnsi"/>
        </w:rPr>
        <w:t xml:space="preserve">mestského funkčného územia. Pre </w:t>
      </w:r>
      <w:r w:rsidR="00BD5FD5">
        <w:rPr>
          <w:rFonts w:asciiTheme="majorHAnsi" w:eastAsia="MS Mincho" w:hAnsiTheme="majorHAnsi"/>
        </w:rPr>
        <w:t>k</w:t>
      </w:r>
      <w:r w:rsidRPr="00A11FE0">
        <w:rPr>
          <w:rFonts w:asciiTheme="majorHAnsi" w:eastAsia="MS Mincho" w:hAnsiTheme="majorHAnsi"/>
        </w:rPr>
        <w:t xml:space="preserve">oncentráciu rozvojových </w:t>
      </w:r>
      <w:r w:rsidR="00BD5FD5">
        <w:rPr>
          <w:rFonts w:asciiTheme="majorHAnsi" w:eastAsia="MS Mincho" w:hAnsiTheme="majorHAnsi"/>
        </w:rPr>
        <w:t>ak</w:t>
      </w:r>
      <w:r w:rsidRPr="00A11FE0">
        <w:rPr>
          <w:rFonts w:asciiTheme="majorHAnsi" w:eastAsia="MS Mincho" w:hAnsiTheme="majorHAnsi"/>
        </w:rPr>
        <w:t xml:space="preserve">tivít </w:t>
      </w:r>
      <w:r w:rsidR="00BD5FD5">
        <w:rPr>
          <w:rFonts w:asciiTheme="majorHAnsi" w:eastAsia="MS Mincho" w:hAnsiTheme="majorHAnsi"/>
        </w:rPr>
        <w:t>s</w:t>
      </w:r>
      <w:r w:rsidRPr="00A11FE0">
        <w:rPr>
          <w:rFonts w:asciiTheme="majorHAnsi" w:eastAsia="MS Mincho" w:hAnsiTheme="majorHAnsi"/>
        </w:rPr>
        <w:t xml:space="preserve">ú výhodné </w:t>
      </w:r>
      <w:r w:rsidR="00BD5FD5">
        <w:rPr>
          <w:rFonts w:asciiTheme="majorHAnsi" w:eastAsia="MS Mincho" w:hAnsiTheme="majorHAnsi"/>
        </w:rPr>
        <w:t>a</w:t>
      </w:r>
      <w:r w:rsidRPr="00A11FE0">
        <w:rPr>
          <w:rFonts w:asciiTheme="majorHAnsi" w:eastAsia="MS Mincho" w:hAnsiTheme="majorHAnsi"/>
        </w:rPr>
        <w:t xml:space="preserve">j priestory vymedzené </w:t>
      </w:r>
      <w:r w:rsidR="00BD5FD5">
        <w:rPr>
          <w:rFonts w:asciiTheme="majorHAnsi" w:eastAsia="MS Mincho" w:hAnsiTheme="majorHAnsi"/>
        </w:rPr>
        <w:t>ak</w:t>
      </w:r>
      <w:r w:rsidRPr="00A11FE0">
        <w:rPr>
          <w:rFonts w:asciiTheme="majorHAnsi" w:eastAsia="MS Mincho" w:hAnsiTheme="majorHAnsi"/>
        </w:rPr>
        <w:t xml:space="preserve">o prímestské pásmo ťažísk osídlenia prvej úrovne, resp. podľa potreby difúzie jednotlivých </w:t>
      </w:r>
      <w:r w:rsidR="00BD5FD5">
        <w:rPr>
          <w:rFonts w:asciiTheme="majorHAnsi" w:eastAsia="MS Mincho" w:hAnsiTheme="majorHAnsi"/>
        </w:rPr>
        <w:t>ak</w:t>
      </w:r>
      <w:r w:rsidRPr="00A11FE0">
        <w:rPr>
          <w:rFonts w:asciiTheme="majorHAnsi" w:eastAsia="MS Mincho" w:hAnsiTheme="majorHAnsi"/>
        </w:rPr>
        <w:t xml:space="preserve">tivít </w:t>
      </w:r>
      <w:r w:rsidR="00BD5FD5">
        <w:rPr>
          <w:rFonts w:asciiTheme="majorHAnsi" w:eastAsia="MS Mincho" w:hAnsiTheme="majorHAnsi"/>
        </w:rPr>
        <w:t>a</w:t>
      </w:r>
      <w:r w:rsidR="005F02F8" w:rsidRPr="00A11FE0">
        <w:rPr>
          <w:rFonts w:asciiTheme="majorHAnsi" w:eastAsia="MS Mincho" w:hAnsiTheme="majorHAnsi"/>
        </w:rPr>
        <w:t xml:space="preserve">j </w:t>
      </w:r>
      <w:r w:rsidRPr="00A11FE0">
        <w:rPr>
          <w:rFonts w:asciiTheme="majorHAnsi" w:eastAsia="MS Mincho" w:hAnsiTheme="majorHAnsi"/>
        </w:rPr>
        <w:t xml:space="preserve">centrá </w:t>
      </w:r>
      <w:r w:rsidR="00BD5FD5">
        <w:rPr>
          <w:rFonts w:asciiTheme="majorHAnsi" w:eastAsia="MS Mincho" w:hAnsiTheme="majorHAnsi"/>
        </w:rPr>
        <w:t>a </w:t>
      </w:r>
      <w:r w:rsidRPr="00A11FE0">
        <w:rPr>
          <w:rFonts w:asciiTheme="majorHAnsi" w:eastAsia="MS Mincho" w:hAnsiTheme="majorHAnsi"/>
        </w:rPr>
        <w:t>priestory ťažísk osídlenia druhej úrovne.</w:t>
      </w:r>
      <w:r w:rsidR="007B6017">
        <w:rPr>
          <w:rFonts w:asciiTheme="majorHAnsi" w:eastAsia="MS Mincho" w:hAnsiTheme="majorHAnsi"/>
        </w:rPr>
        <w:t xml:space="preserve"> </w:t>
      </w:r>
      <w:r w:rsidRPr="00A11FE0">
        <w:rPr>
          <w:rFonts w:asciiTheme="majorHAnsi" w:eastAsia="MS Mincho" w:hAnsiTheme="majorHAnsi"/>
        </w:rPr>
        <w:t xml:space="preserve">Popri centrách osídlenia </w:t>
      </w:r>
      <w:r w:rsidR="00BD5FD5">
        <w:rPr>
          <w:rFonts w:asciiTheme="majorHAnsi" w:eastAsia="MS Mincho" w:hAnsiTheme="majorHAnsi"/>
        </w:rPr>
        <w:t>a </w:t>
      </w:r>
      <w:r w:rsidRPr="00A11FE0">
        <w:rPr>
          <w:rFonts w:asciiTheme="majorHAnsi" w:eastAsia="MS Mincho" w:hAnsiTheme="majorHAnsi"/>
        </w:rPr>
        <w:t>ťažiskách osídlenia majú významný rozvojový význam v</w:t>
      </w:r>
      <w:r w:rsidR="00906580">
        <w:rPr>
          <w:rFonts w:asciiTheme="majorHAnsi" w:eastAsia="MS Mincho" w:hAnsiTheme="majorHAnsi"/>
        </w:rPr>
        <w:t> </w:t>
      </w:r>
      <w:r w:rsidRPr="00A11FE0">
        <w:rPr>
          <w:rFonts w:asciiTheme="majorHAnsi" w:eastAsia="MS Mincho" w:hAnsiTheme="majorHAnsi"/>
        </w:rPr>
        <w:t>celom</w:t>
      </w:r>
      <w:r w:rsidR="00906580">
        <w:rPr>
          <w:rFonts w:asciiTheme="majorHAnsi" w:eastAsia="MS Mincho" w:hAnsiTheme="majorHAnsi"/>
        </w:rPr>
        <w:t xml:space="preserve"> </w:t>
      </w:r>
      <w:r w:rsidRPr="00A11FE0">
        <w:rPr>
          <w:rFonts w:asciiTheme="majorHAnsi" w:eastAsia="MS Mincho" w:hAnsiTheme="majorHAnsi"/>
        </w:rPr>
        <w:t xml:space="preserve">priestore </w:t>
      </w:r>
      <w:r w:rsidR="00BD5FD5">
        <w:rPr>
          <w:rFonts w:asciiTheme="majorHAnsi" w:eastAsia="MS Mincho" w:hAnsiTheme="majorHAnsi"/>
        </w:rPr>
        <w:t>S</w:t>
      </w:r>
      <w:r w:rsidR="00693A2B" w:rsidRPr="00A11FE0">
        <w:rPr>
          <w:rFonts w:asciiTheme="majorHAnsi" w:eastAsia="MS Mincho" w:hAnsiTheme="majorHAnsi"/>
        </w:rPr>
        <w:t>R</w:t>
      </w:r>
      <w:r w:rsidRPr="00A11FE0">
        <w:rPr>
          <w:rFonts w:asciiTheme="majorHAnsi" w:eastAsia="MS Mincho" w:hAnsiTheme="majorHAnsi"/>
        </w:rPr>
        <w:t xml:space="preserve"> rozvojové osi. Tieto predstavujú jeden z</w:t>
      </w:r>
      <w:r w:rsidR="002C0AD7">
        <w:rPr>
          <w:rFonts w:asciiTheme="majorHAnsi" w:eastAsia="MS Mincho" w:hAnsiTheme="majorHAnsi"/>
        </w:rPr>
        <w:t> </w:t>
      </w:r>
      <w:r w:rsidRPr="00A11FE0">
        <w:rPr>
          <w:rFonts w:asciiTheme="majorHAnsi" w:eastAsia="MS Mincho" w:hAnsiTheme="majorHAnsi"/>
        </w:rPr>
        <w:t>najvýznamnejších</w:t>
      </w:r>
      <w:r w:rsidR="002C0AD7">
        <w:rPr>
          <w:rFonts w:asciiTheme="majorHAnsi" w:eastAsia="MS Mincho" w:hAnsiTheme="majorHAnsi"/>
        </w:rPr>
        <w:t xml:space="preserve"> </w:t>
      </w:r>
      <w:r w:rsidRPr="00A11FE0">
        <w:rPr>
          <w:rFonts w:asciiTheme="majorHAnsi" w:eastAsia="MS Mincho" w:hAnsiTheme="majorHAnsi"/>
        </w:rPr>
        <w:t xml:space="preserve">prvkov distribúcie rozvojových impulzov pre čo najväčšie plošné pôsobenie rozvojových </w:t>
      </w:r>
      <w:r w:rsidR="00BD5FD5">
        <w:rPr>
          <w:rFonts w:asciiTheme="majorHAnsi" w:eastAsia="MS Mincho" w:hAnsiTheme="majorHAnsi"/>
        </w:rPr>
        <w:t>ak</w:t>
      </w:r>
      <w:r w:rsidRPr="00A11FE0">
        <w:rPr>
          <w:rFonts w:asciiTheme="majorHAnsi" w:eastAsia="MS Mincho" w:hAnsiTheme="majorHAnsi"/>
        </w:rPr>
        <w:t xml:space="preserve">tivít. Rozvojové osi </w:t>
      </w:r>
      <w:r w:rsidR="00BD5FD5">
        <w:rPr>
          <w:rFonts w:asciiTheme="majorHAnsi" w:eastAsia="MS Mincho" w:hAnsiTheme="majorHAnsi"/>
        </w:rPr>
        <w:t>s</w:t>
      </w:r>
      <w:r w:rsidRPr="00A11FE0">
        <w:rPr>
          <w:rFonts w:asciiTheme="majorHAnsi" w:eastAsia="MS Mincho" w:hAnsiTheme="majorHAnsi"/>
        </w:rPr>
        <w:t xml:space="preserve">ú </w:t>
      </w:r>
      <w:r w:rsidR="00BD5FD5">
        <w:rPr>
          <w:rFonts w:asciiTheme="majorHAnsi" w:eastAsia="MS Mincho" w:hAnsiTheme="majorHAnsi"/>
        </w:rPr>
        <w:t>s</w:t>
      </w:r>
      <w:r w:rsidRPr="00A11FE0">
        <w:rPr>
          <w:rFonts w:asciiTheme="majorHAnsi" w:eastAsia="MS Mincho" w:hAnsiTheme="majorHAnsi"/>
        </w:rPr>
        <w:t xml:space="preserve">účasťou tvorby vyváženej hierarchizovanej </w:t>
      </w:r>
      <w:r w:rsidR="00BD5FD5">
        <w:rPr>
          <w:rFonts w:asciiTheme="majorHAnsi" w:eastAsia="MS Mincho" w:hAnsiTheme="majorHAnsi"/>
        </w:rPr>
        <w:t>s</w:t>
      </w:r>
      <w:r w:rsidRPr="00A11FE0">
        <w:rPr>
          <w:rFonts w:asciiTheme="majorHAnsi" w:eastAsia="MS Mincho" w:hAnsiTheme="majorHAnsi"/>
        </w:rPr>
        <w:t xml:space="preserve">ídelnej štruktúry. Podporujú </w:t>
      </w:r>
      <w:r w:rsidR="00BD5FD5">
        <w:rPr>
          <w:rFonts w:asciiTheme="majorHAnsi" w:eastAsia="MS Mincho" w:hAnsiTheme="majorHAnsi"/>
        </w:rPr>
        <w:t>s</w:t>
      </w:r>
      <w:r w:rsidRPr="00A11FE0">
        <w:rPr>
          <w:rFonts w:asciiTheme="majorHAnsi" w:eastAsia="MS Mincho" w:hAnsiTheme="majorHAnsi"/>
        </w:rPr>
        <w:t xml:space="preserve">ídelné väzby medzi obcami </w:t>
      </w:r>
      <w:r w:rsidR="00BD5FD5">
        <w:rPr>
          <w:rFonts w:asciiTheme="majorHAnsi" w:eastAsia="MS Mincho" w:hAnsiTheme="majorHAnsi"/>
        </w:rPr>
        <w:t>a </w:t>
      </w:r>
      <w:r w:rsidRPr="00A11FE0">
        <w:rPr>
          <w:rFonts w:asciiTheme="majorHAnsi" w:eastAsia="MS Mincho" w:hAnsiTheme="majorHAnsi"/>
        </w:rPr>
        <w:t xml:space="preserve">rovnovážny </w:t>
      </w:r>
      <w:r w:rsidR="00BD5FD5">
        <w:rPr>
          <w:rFonts w:asciiTheme="majorHAnsi" w:eastAsia="MS Mincho" w:hAnsiTheme="majorHAnsi"/>
        </w:rPr>
        <w:t>s</w:t>
      </w:r>
      <w:r w:rsidRPr="00A11FE0">
        <w:rPr>
          <w:rFonts w:asciiTheme="majorHAnsi" w:eastAsia="MS Mincho" w:hAnsiTheme="majorHAnsi"/>
        </w:rPr>
        <w:t>ídelný rozvoj</w:t>
      </w:r>
      <w:r w:rsidR="00693A2B" w:rsidRPr="00A11FE0">
        <w:rPr>
          <w:rFonts w:asciiTheme="majorHAnsi" w:eastAsia="MS Mincho" w:hAnsiTheme="majorHAnsi"/>
        </w:rPr>
        <w:t>,</w:t>
      </w:r>
      <w:r w:rsidRPr="00A11FE0">
        <w:rPr>
          <w:rFonts w:asciiTheme="majorHAnsi" w:eastAsia="MS Mincho" w:hAnsiTheme="majorHAnsi"/>
        </w:rPr>
        <w:t xml:space="preserve"> vrátane rozvoja vidieka. Vytvárajú podmienky pre dostupnosť </w:t>
      </w:r>
      <w:r w:rsidR="00BD5FD5">
        <w:rPr>
          <w:rFonts w:asciiTheme="majorHAnsi" w:eastAsia="MS Mincho" w:hAnsiTheme="majorHAnsi"/>
        </w:rPr>
        <w:t>k </w:t>
      </w:r>
      <w:r w:rsidRPr="00A11FE0">
        <w:rPr>
          <w:rFonts w:asciiTheme="majorHAnsi" w:eastAsia="MS Mincho" w:hAnsiTheme="majorHAnsi"/>
        </w:rPr>
        <w:t xml:space="preserve">infraštruktúram, zachovanie </w:t>
      </w:r>
      <w:r w:rsidR="00BD5FD5">
        <w:rPr>
          <w:rFonts w:asciiTheme="majorHAnsi" w:eastAsia="MS Mincho" w:hAnsiTheme="majorHAnsi"/>
        </w:rPr>
        <w:t>a </w:t>
      </w:r>
      <w:r w:rsidRPr="00A11FE0">
        <w:rPr>
          <w:rFonts w:asciiTheme="majorHAnsi" w:eastAsia="MS Mincho" w:hAnsiTheme="majorHAnsi"/>
        </w:rPr>
        <w:t xml:space="preserve">rozvoj prírodného </w:t>
      </w:r>
      <w:r w:rsidR="00BD5FD5">
        <w:rPr>
          <w:rFonts w:asciiTheme="majorHAnsi" w:eastAsia="MS Mincho" w:hAnsiTheme="majorHAnsi"/>
        </w:rPr>
        <w:t>a</w:t>
      </w:r>
      <w:r w:rsidR="002C0AD7">
        <w:rPr>
          <w:rFonts w:asciiTheme="majorHAnsi" w:eastAsia="MS Mincho" w:hAnsiTheme="majorHAnsi"/>
        </w:rPr>
        <w:t> </w:t>
      </w:r>
      <w:r w:rsidR="00BD5FD5">
        <w:rPr>
          <w:rFonts w:asciiTheme="majorHAnsi" w:eastAsia="MS Mincho" w:hAnsiTheme="majorHAnsi"/>
        </w:rPr>
        <w:t>k</w:t>
      </w:r>
      <w:r w:rsidRPr="00A11FE0">
        <w:rPr>
          <w:rFonts w:asciiTheme="majorHAnsi" w:eastAsia="MS Mincho" w:hAnsiTheme="majorHAnsi"/>
        </w:rPr>
        <w:t>ultúrneho</w:t>
      </w:r>
      <w:r w:rsidR="002C0AD7">
        <w:rPr>
          <w:rFonts w:asciiTheme="majorHAnsi" w:eastAsia="MS Mincho" w:hAnsiTheme="majorHAnsi"/>
        </w:rPr>
        <w:t xml:space="preserve"> </w:t>
      </w:r>
      <w:r w:rsidRPr="00A11FE0">
        <w:rPr>
          <w:rFonts w:asciiTheme="majorHAnsi" w:eastAsia="MS Mincho" w:hAnsiTheme="majorHAnsi"/>
        </w:rPr>
        <w:t xml:space="preserve">dedičstva </w:t>
      </w:r>
      <w:r w:rsidR="00BD5FD5">
        <w:rPr>
          <w:rFonts w:asciiTheme="majorHAnsi" w:eastAsia="MS Mincho" w:hAnsiTheme="majorHAnsi"/>
        </w:rPr>
        <w:t>a </w:t>
      </w:r>
      <w:r w:rsidRPr="00A11FE0">
        <w:rPr>
          <w:rFonts w:asciiTheme="majorHAnsi" w:eastAsia="MS Mincho" w:hAnsiTheme="majorHAnsi"/>
        </w:rPr>
        <w:t xml:space="preserve">zabezpečujú požiadavky, </w:t>
      </w:r>
      <w:r w:rsidR="00BD5FD5">
        <w:rPr>
          <w:rFonts w:asciiTheme="majorHAnsi" w:eastAsia="MS Mincho" w:hAnsiTheme="majorHAnsi"/>
        </w:rPr>
        <w:t>k</w:t>
      </w:r>
      <w:r w:rsidRPr="00A11FE0">
        <w:rPr>
          <w:rFonts w:asciiTheme="majorHAnsi" w:eastAsia="MS Mincho" w:hAnsiTheme="majorHAnsi"/>
        </w:rPr>
        <w:t xml:space="preserve">toré </w:t>
      </w:r>
      <w:r w:rsidR="00BD5FD5">
        <w:rPr>
          <w:rFonts w:asciiTheme="majorHAnsi" w:eastAsia="MS Mincho" w:hAnsiTheme="majorHAnsi"/>
        </w:rPr>
        <w:t>s</w:t>
      </w:r>
      <w:r w:rsidR="00F8511E">
        <w:rPr>
          <w:rFonts w:asciiTheme="majorHAnsi" w:eastAsia="MS Mincho" w:hAnsiTheme="majorHAnsi"/>
        </w:rPr>
        <w:t>a</w:t>
      </w:r>
      <w:r w:rsidRPr="00A11FE0">
        <w:rPr>
          <w:rFonts w:asciiTheme="majorHAnsi" w:eastAsia="MS Mincho" w:hAnsiTheme="majorHAnsi"/>
        </w:rPr>
        <w:t xml:space="preserve"> na </w:t>
      </w:r>
      <w:r w:rsidR="00BD5FD5">
        <w:rPr>
          <w:rFonts w:asciiTheme="majorHAnsi" w:eastAsia="MS Mincho" w:hAnsiTheme="majorHAnsi"/>
        </w:rPr>
        <w:t>s</w:t>
      </w:r>
      <w:r w:rsidRPr="00A11FE0">
        <w:rPr>
          <w:rFonts w:asciiTheme="majorHAnsi" w:eastAsia="MS Mincho" w:hAnsiTheme="majorHAnsi"/>
        </w:rPr>
        <w:t xml:space="preserve">ídelnú štruktúru </w:t>
      </w:r>
      <w:r w:rsidR="00BD5FD5">
        <w:rPr>
          <w:rFonts w:asciiTheme="majorHAnsi" w:eastAsia="MS Mincho" w:hAnsiTheme="majorHAnsi"/>
        </w:rPr>
        <w:t>k</w:t>
      </w:r>
      <w:r w:rsidRPr="00A11FE0">
        <w:rPr>
          <w:rFonts w:asciiTheme="majorHAnsi" w:eastAsia="MS Mincho" w:hAnsiTheme="majorHAnsi"/>
        </w:rPr>
        <w:t>lad</w:t>
      </w:r>
      <w:r w:rsidR="00F8511E">
        <w:rPr>
          <w:rFonts w:asciiTheme="majorHAnsi" w:eastAsia="MS Mincho" w:hAnsiTheme="majorHAnsi"/>
        </w:rPr>
        <w:t>ú</w:t>
      </w:r>
      <w:r w:rsidRPr="00A11FE0">
        <w:rPr>
          <w:rFonts w:asciiTheme="majorHAnsi" w:eastAsia="MS Mincho" w:hAnsiTheme="majorHAnsi"/>
        </w:rPr>
        <w:t xml:space="preserve"> z</w:t>
      </w:r>
      <w:r w:rsidR="00D53987" w:rsidRPr="00A11FE0">
        <w:rPr>
          <w:rFonts w:asciiTheme="majorHAnsi" w:eastAsia="MS Mincho" w:hAnsiTheme="majorHAnsi"/>
        </w:rPr>
        <w:t> </w:t>
      </w:r>
      <w:r w:rsidRPr="00A11FE0">
        <w:rPr>
          <w:rFonts w:asciiTheme="majorHAnsi" w:eastAsia="MS Mincho" w:hAnsiTheme="majorHAnsi"/>
        </w:rPr>
        <w:t xml:space="preserve">hľadiska ekonomických, </w:t>
      </w:r>
      <w:r w:rsidR="00BD5FD5">
        <w:rPr>
          <w:rFonts w:asciiTheme="majorHAnsi" w:eastAsia="MS Mincho" w:hAnsiTheme="majorHAnsi"/>
        </w:rPr>
        <w:t>s</w:t>
      </w:r>
      <w:r w:rsidRPr="00A11FE0">
        <w:rPr>
          <w:rFonts w:asciiTheme="majorHAnsi" w:eastAsia="MS Mincho" w:hAnsiTheme="majorHAnsi"/>
        </w:rPr>
        <w:t xml:space="preserve">ociálnych </w:t>
      </w:r>
      <w:r w:rsidR="00BD5FD5">
        <w:rPr>
          <w:rFonts w:asciiTheme="majorHAnsi" w:eastAsia="MS Mincho" w:hAnsiTheme="majorHAnsi"/>
        </w:rPr>
        <w:t>a </w:t>
      </w:r>
      <w:r w:rsidRPr="00A11FE0">
        <w:rPr>
          <w:rFonts w:asciiTheme="majorHAnsi" w:eastAsia="MS Mincho" w:hAnsiTheme="majorHAnsi"/>
        </w:rPr>
        <w:t xml:space="preserve">environmentálnych </w:t>
      </w:r>
      <w:r w:rsidR="00BD5FD5">
        <w:rPr>
          <w:rFonts w:asciiTheme="majorHAnsi" w:eastAsia="MS Mincho" w:hAnsiTheme="majorHAnsi"/>
        </w:rPr>
        <w:t>s</w:t>
      </w:r>
      <w:r w:rsidRPr="00A11FE0">
        <w:rPr>
          <w:rFonts w:asciiTheme="majorHAnsi" w:eastAsia="MS Mincho" w:hAnsiTheme="majorHAnsi"/>
        </w:rPr>
        <w:t xml:space="preserve">úvislostí. Rozvojové osi tak efektívne plnia požiadavky udržateľnosti </w:t>
      </w:r>
      <w:r w:rsidR="00BD5FD5">
        <w:rPr>
          <w:rFonts w:asciiTheme="majorHAnsi" w:eastAsia="MS Mincho" w:hAnsiTheme="majorHAnsi"/>
        </w:rPr>
        <w:t>a </w:t>
      </w:r>
      <w:r w:rsidRPr="00A11FE0">
        <w:rPr>
          <w:rFonts w:asciiTheme="majorHAnsi" w:eastAsia="MS Mincho" w:hAnsiTheme="majorHAnsi"/>
        </w:rPr>
        <w:t xml:space="preserve">vytvárania zdravého </w:t>
      </w:r>
      <w:r w:rsidR="00BD5FD5">
        <w:rPr>
          <w:rFonts w:asciiTheme="majorHAnsi" w:eastAsia="MS Mincho" w:hAnsiTheme="majorHAnsi"/>
        </w:rPr>
        <w:t>a </w:t>
      </w:r>
      <w:r w:rsidRPr="00A11FE0">
        <w:rPr>
          <w:rFonts w:asciiTheme="majorHAnsi" w:eastAsia="MS Mincho" w:hAnsiTheme="majorHAnsi"/>
        </w:rPr>
        <w:t>environmentálne vhodného obytného i</w:t>
      </w:r>
      <w:r w:rsidR="00D53987" w:rsidRPr="00A11FE0">
        <w:rPr>
          <w:rFonts w:asciiTheme="majorHAnsi" w:eastAsia="MS Mincho" w:hAnsiTheme="majorHAnsi"/>
        </w:rPr>
        <w:t> </w:t>
      </w:r>
      <w:r w:rsidRPr="00A11FE0">
        <w:rPr>
          <w:rFonts w:asciiTheme="majorHAnsi" w:eastAsia="MS Mincho" w:hAnsiTheme="majorHAnsi"/>
        </w:rPr>
        <w:t>pracovného</w:t>
      </w:r>
      <w:r w:rsidR="00D53987" w:rsidRPr="00A11FE0">
        <w:rPr>
          <w:rFonts w:asciiTheme="majorHAnsi" w:eastAsia="MS Mincho" w:hAnsiTheme="majorHAnsi"/>
        </w:rPr>
        <w:t xml:space="preserve"> </w:t>
      </w:r>
      <w:r w:rsidRPr="00A11FE0">
        <w:rPr>
          <w:rFonts w:asciiTheme="majorHAnsi" w:eastAsia="MS Mincho" w:hAnsiTheme="majorHAnsi"/>
        </w:rPr>
        <w:t>prostredia.</w:t>
      </w:r>
      <w:r w:rsidRPr="00A11FE0">
        <w:rPr>
          <w:rFonts w:asciiTheme="majorHAnsi" w:eastAsia="MS Mincho" w:hAnsiTheme="majorHAnsi"/>
          <w:vertAlign w:val="superscript"/>
        </w:rPr>
        <w:footnoteReference w:id="5"/>
      </w:r>
      <w:r w:rsidRPr="00A11FE0">
        <w:rPr>
          <w:rFonts w:asciiTheme="majorHAnsi" w:eastAsia="MS Mincho" w:hAnsiTheme="majorHAnsi"/>
        </w:rPr>
        <w:t xml:space="preserve"> Rozvojové osi </w:t>
      </w:r>
      <w:r w:rsidR="00BD5FD5">
        <w:rPr>
          <w:rFonts w:asciiTheme="majorHAnsi" w:eastAsia="MS Mincho" w:hAnsiTheme="majorHAnsi"/>
        </w:rPr>
        <w:t>s</w:t>
      </w:r>
      <w:r w:rsidRPr="00A11FE0">
        <w:rPr>
          <w:rFonts w:asciiTheme="majorHAnsi" w:eastAsia="MS Mincho" w:hAnsiTheme="majorHAnsi"/>
        </w:rPr>
        <w:t xml:space="preserve">ú uzlovo-pásové </w:t>
      </w:r>
      <w:r w:rsidR="00BD5FD5">
        <w:rPr>
          <w:rFonts w:asciiTheme="majorHAnsi" w:eastAsia="MS Mincho" w:hAnsiTheme="majorHAnsi"/>
        </w:rPr>
        <w:t>s</w:t>
      </w:r>
      <w:r w:rsidRPr="00A11FE0">
        <w:rPr>
          <w:rFonts w:asciiTheme="majorHAnsi" w:eastAsia="MS Mincho" w:hAnsiTheme="majorHAnsi"/>
        </w:rPr>
        <w:t xml:space="preserve">ystémy osídlenia </w:t>
      </w:r>
      <w:r w:rsidR="00BD5FD5">
        <w:rPr>
          <w:rFonts w:asciiTheme="majorHAnsi" w:eastAsia="MS Mincho" w:hAnsiTheme="majorHAnsi"/>
        </w:rPr>
        <w:t>s </w:t>
      </w:r>
      <w:r w:rsidRPr="00A11FE0">
        <w:rPr>
          <w:rFonts w:asciiTheme="majorHAnsi" w:eastAsia="MS Mincho" w:hAnsiTheme="majorHAnsi"/>
        </w:rPr>
        <w:t>relatívne</w:t>
      </w:r>
      <w:r w:rsidR="00285918">
        <w:rPr>
          <w:rFonts w:asciiTheme="majorHAnsi" w:eastAsia="MS Mincho" w:hAnsiTheme="majorHAnsi"/>
        </w:rPr>
        <w:t xml:space="preserve"> </w:t>
      </w:r>
      <w:r w:rsidRPr="00A11FE0">
        <w:rPr>
          <w:rFonts w:asciiTheme="majorHAnsi" w:eastAsia="MS Mincho" w:hAnsiTheme="majorHAnsi"/>
        </w:rPr>
        <w:t xml:space="preserve">vysokou </w:t>
      </w:r>
      <w:r w:rsidR="00BD5FD5">
        <w:rPr>
          <w:rFonts w:asciiTheme="majorHAnsi" w:eastAsia="MS Mincho" w:hAnsiTheme="majorHAnsi"/>
        </w:rPr>
        <w:t>k</w:t>
      </w:r>
      <w:r w:rsidRPr="00A11FE0">
        <w:rPr>
          <w:rFonts w:asciiTheme="majorHAnsi" w:eastAsia="MS Mincho" w:hAnsiTheme="majorHAnsi"/>
        </w:rPr>
        <w:t xml:space="preserve">oncentráciou všetkých </w:t>
      </w:r>
      <w:r w:rsidR="00BD5FD5">
        <w:rPr>
          <w:rFonts w:asciiTheme="majorHAnsi" w:eastAsia="MS Mincho" w:hAnsiTheme="majorHAnsi"/>
        </w:rPr>
        <w:t>s</w:t>
      </w:r>
      <w:r w:rsidRPr="00A11FE0">
        <w:rPr>
          <w:rFonts w:asciiTheme="majorHAnsi" w:eastAsia="MS Mincho" w:hAnsiTheme="majorHAnsi"/>
        </w:rPr>
        <w:t xml:space="preserve">ídelných </w:t>
      </w:r>
      <w:r w:rsidR="00BD5FD5">
        <w:rPr>
          <w:rFonts w:asciiTheme="majorHAnsi" w:eastAsia="MS Mincho" w:hAnsiTheme="majorHAnsi"/>
        </w:rPr>
        <w:t>ak</w:t>
      </w:r>
      <w:r w:rsidRPr="00A11FE0">
        <w:rPr>
          <w:rFonts w:asciiTheme="majorHAnsi" w:eastAsia="MS Mincho" w:hAnsiTheme="majorHAnsi"/>
        </w:rPr>
        <w:t xml:space="preserve">tivít. </w:t>
      </w:r>
      <w:r w:rsidR="00693A2B" w:rsidRPr="00A11FE0">
        <w:rPr>
          <w:rFonts w:asciiTheme="majorHAnsi" w:eastAsia="MS Mincho" w:hAnsiTheme="majorHAnsi"/>
        </w:rPr>
        <w:t>Ide o</w:t>
      </w:r>
      <w:r w:rsidR="00906580">
        <w:rPr>
          <w:rFonts w:asciiTheme="majorHAnsi" w:eastAsia="MS Mincho" w:hAnsiTheme="majorHAnsi"/>
        </w:rPr>
        <w:t> </w:t>
      </w:r>
      <w:r w:rsidRPr="00A11FE0">
        <w:rPr>
          <w:rFonts w:asciiTheme="majorHAnsi" w:eastAsia="MS Mincho" w:hAnsiTheme="majorHAnsi"/>
        </w:rPr>
        <w:t>priestory</w:t>
      </w:r>
      <w:r w:rsidR="00906580">
        <w:rPr>
          <w:rFonts w:asciiTheme="majorHAnsi" w:eastAsia="MS Mincho" w:hAnsiTheme="majorHAnsi"/>
        </w:rPr>
        <w:t xml:space="preserve"> </w:t>
      </w:r>
      <w:r w:rsidRPr="00A11FE0">
        <w:rPr>
          <w:rFonts w:asciiTheme="majorHAnsi" w:eastAsia="MS Mincho" w:hAnsiTheme="majorHAnsi"/>
        </w:rPr>
        <w:t xml:space="preserve">vhodné nie len pre </w:t>
      </w:r>
      <w:r w:rsidR="00BD5FD5">
        <w:rPr>
          <w:rFonts w:asciiTheme="majorHAnsi" w:eastAsia="MS Mincho" w:hAnsiTheme="majorHAnsi"/>
        </w:rPr>
        <w:t>k</w:t>
      </w:r>
      <w:r w:rsidRPr="00A11FE0">
        <w:rPr>
          <w:rFonts w:asciiTheme="majorHAnsi" w:eastAsia="MS Mincho" w:hAnsiTheme="majorHAnsi"/>
        </w:rPr>
        <w:t xml:space="preserve">oncentráciu rozvoja dopravnej </w:t>
      </w:r>
      <w:r w:rsidR="00BD5FD5">
        <w:rPr>
          <w:rFonts w:asciiTheme="majorHAnsi" w:eastAsia="MS Mincho" w:hAnsiTheme="majorHAnsi"/>
        </w:rPr>
        <w:t>a </w:t>
      </w:r>
      <w:r w:rsidRPr="00A11FE0">
        <w:rPr>
          <w:rFonts w:asciiTheme="majorHAnsi" w:eastAsia="MS Mincho" w:hAnsiTheme="majorHAnsi"/>
        </w:rPr>
        <w:t xml:space="preserve">ostatnej technickej infraštruktúry, </w:t>
      </w:r>
      <w:r w:rsidR="00BD5FD5">
        <w:rPr>
          <w:rFonts w:asciiTheme="majorHAnsi" w:eastAsia="MS Mincho" w:hAnsiTheme="majorHAnsi"/>
        </w:rPr>
        <w:t>a</w:t>
      </w:r>
      <w:r w:rsidRPr="00A11FE0">
        <w:rPr>
          <w:rFonts w:asciiTheme="majorHAnsi" w:eastAsia="MS Mincho" w:hAnsiTheme="majorHAnsi"/>
        </w:rPr>
        <w:t xml:space="preserve">le </w:t>
      </w:r>
      <w:r w:rsidR="00BD5FD5">
        <w:rPr>
          <w:rFonts w:asciiTheme="majorHAnsi" w:eastAsia="MS Mincho" w:hAnsiTheme="majorHAnsi"/>
        </w:rPr>
        <w:t>a</w:t>
      </w:r>
      <w:r w:rsidRPr="00A11FE0">
        <w:rPr>
          <w:rFonts w:asciiTheme="majorHAnsi" w:eastAsia="MS Mincho" w:hAnsiTheme="majorHAnsi"/>
        </w:rPr>
        <w:t xml:space="preserve">j ostatných hospodárskych </w:t>
      </w:r>
      <w:r w:rsidR="00BD5FD5">
        <w:rPr>
          <w:rFonts w:asciiTheme="majorHAnsi" w:eastAsia="MS Mincho" w:hAnsiTheme="majorHAnsi"/>
        </w:rPr>
        <w:t>a s</w:t>
      </w:r>
      <w:r w:rsidRPr="00A11FE0">
        <w:rPr>
          <w:rFonts w:asciiTheme="majorHAnsi" w:eastAsia="MS Mincho" w:hAnsiTheme="majorHAnsi"/>
        </w:rPr>
        <w:t>ociálnych</w:t>
      </w:r>
      <w:r w:rsidR="00285918">
        <w:rPr>
          <w:rFonts w:asciiTheme="majorHAnsi" w:eastAsia="MS Mincho" w:hAnsiTheme="majorHAnsi"/>
        </w:rPr>
        <w:t xml:space="preserve"> </w:t>
      </w:r>
      <w:r w:rsidR="00BD5FD5">
        <w:rPr>
          <w:rFonts w:asciiTheme="majorHAnsi" w:eastAsia="MS Mincho" w:hAnsiTheme="majorHAnsi"/>
        </w:rPr>
        <w:t>ak</w:t>
      </w:r>
      <w:r w:rsidRPr="00A11FE0">
        <w:rPr>
          <w:rFonts w:asciiTheme="majorHAnsi" w:eastAsia="MS Mincho" w:hAnsiTheme="majorHAnsi"/>
        </w:rPr>
        <w:t xml:space="preserve">tivít, </w:t>
      </w:r>
      <w:r w:rsidR="00BD5FD5">
        <w:rPr>
          <w:rFonts w:asciiTheme="majorHAnsi" w:eastAsia="MS Mincho" w:hAnsiTheme="majorHAnsi"/>
        </w:rPr>
        <w:t>k</w:t>
      </w:r>
      <w:r w:rsidRPr="00A11FE0">
        <w:rPr>
          <w:rFonts w:asciiTheme="majorHAnsi" w:eastAsia="MS Mincho" w:hAnsiTheme="majorHAnsi"/>
        </w:rPr>
        <w:t xml:space="preserve">toré majú za úlohu zvyšovať </w:t>
      </w:r>
      <w:r w:rsidR="00BD5FD5">
        <w:rPr>
          <w:rFonts w:asciiTheme="majorHAnsi" w:eastAsia="MS Mincho" w:hAnsiTheme="majorHAnsi"/>
        </w:rPr>
        <w:t>k</w:t>
      </w:r>
      <w:r w:rsidRPr="00A11FE0">
        <w:rPr>
          <w:rFonts w:asciiTheme="majorHAnsi" w:eastAsia="MS Mincho" w:hAnsiTheme="majorHAnsi"/>
        </w:rPr>
        <w:t>onkurencieschopnosť regiónov</w:t>
      </w:r>
      <w:r w:rsidR="009F1301">
        <w:rPr>
          <w:rFonts w:asciiTheme="majorHAnsi" w:eastAsia="MS Mincho" w:hAnsiTheme="majorHAnsi"/>
        </w:rPr>
        <w:t>,</w:t>
      </w:r>
      <w:r w:rsidRPr="00A11FE0">
        <w:rPr>
          <w:rFonts w:asciiTheme="majorHAnsi" w:eastAsia="MS Mincho" w:hAnsiTheme="majorHAnsi"/>
        </w:rPr>
        <w:t xml:space="preserve"> v</w:t>
      </w:r>
      <w:r w:rsidR="00906580">
        <w:rPr>
          <w:rFonts w:asciiTheme="majorHAnsi" w:eastAsia="MS Mincho" w:hAnsiTheme="majorHAnsi"/>
        </w:rPr>
        <w:t> </w:t>
      </w:r>
      <w:r w:rsidR="00BD5FD5">
        <w:rPr>
          <w:rFonts w:asciiTheme="majorHAnsi" w:eastAsia="MS Mincho" w:hAnsiTheme="majorHAnsi"/>
        </w:rPr>
        <w:t>s</w:t>
      </w:r>
      <w:r w:rsidRPr="00A11FE0">
        <w:rPr>
          <w:rFonts w:asciiTheme="majorHAnsi" w:eastAsia="MS Mincho" w:hAnsiTheme="majorHAnsi"/>
        </w:rPr>
        <w:t>účinnosti</w:t>
      </w:r>
      <w:r w:rsidR="00906580">
        <w:rPr>
          <w:rFonts w:asciiTheme="majorHAnsi" w:eastAsia="MS Mincho" w:hAnsiTheme="majorHAnsi"/>
        </w:rPr>
        <w:t xml:space="preserve"> </w:t>
      </w:r>
      <w:r w:rsidR="00BD5FD5">
        <w:rPr>
          <w:rFonts w:asciiTheme="majorHAnsi" w:eastAsia="MS Mincho" w:hAnsiTheme="majorHAnsi"/>
        </w:rPr>
        <w:t>s</w:t>
      </w:r>
      <w:r w:rsidR="005F02F8" w:rsidRPr="00A11FE0">
        <w:rPr>
          <w:rFonts w:asciiTheme="majorHAnsi" w:eastAsia="MS Mincho" w:hAnsiTheme="majorHAnsi"/>
        </w:rPr>
        <w:t xml:space="preserve">o </w:t>
      </w:r>
      <w:r w:rsidRPr="00A11FE0">
        <w:rPr>
          <w:rFonts w:asciiTheme="majorHAnsi" w:eastAsia="MS Mincho" w:hAnsiTheme="majorHAnsi"/>
        </w:rPr>
        <w:t>zabezpečovan</w:t>
      </w:r>
      <w:r w:rsidR="005F02F8" w:rsidRPr="00A11FE0">
        <w:rPr>
          <w:rFonts w:asciiTheme="majorHAnsi" w:eastAsia="MS Mincho" w:hAnsiTheme="majorHAnsi"/>
        </w:rPr>
        <w:t>ím</w:t>
      </w:r>
      <w:r w:rsidRPr="00A11FE0">
        <w:rPr>
          <w:rFonts w:asciiTheme="majorHAnsi" w:eastAsia="MS Mincho" w:hAnsiTheme="majorHAnsi"/>
        </w:rPr>
        <w:t xml:space="preserve"> dostupnosti požadovaných </w:t>
      </w:r>
      <w:r w:rsidR="00BD5FD5">
        <w:rPr>
          <w:rFonts w:asciiTheme="majorHAnsi" w:eastAsia="MS Mincho" w:hAnsiTheme="majorHAnsi"/>
        </w:rPr>
        <w:t>ak</w:t>
      </w:r>
      <w:r w:rsidRPr="00A11FE0">
        <w:rPr>
          <w:rFonts w:asciiTheme="majorHAnsi" w:eastAsia="MS Mincho" w:hAnsiTheme="majorHAnsi"/>
        </w:rPr>
        <w:t>tivít</w:t>
      </w:r>
      <w:r w:rsidR="009F1301">
        <w:rPr>
          <w:rFonts w:asciiTheme="majorHAnsi" w:eastAsia="MS Mincho" w:hAnsiTheme="majorHAnsi"/>
        </w:rPr>
        <w:t>,</w:t>
      </w:r>
      <w:r w:rsidRPr="00A11FE0">
        <w:rPr>
          <w:rFonts w:asciiTheme="majorHAnsi" w:eastAsia="MS Mincho" w:hAnsiTheme="majorHAnsi"/>
        </w:rPr>
        <w:t xml:space="preserve"> pre čo najväčší podiel obyvateľov.</w:t>
      </w:r>
    </w:p>
    <w:p w:rsidR="006532A5" w:rsidRPr="006532A5" w:rsidRDefault="006532A5" w:rsidP="006532A5">
      <w:pPr>
        <w:rPr>
          <w:rFonts w:asciiTheme="majorHAnsi" w:eastAsia="MS Mincho" w:hAnsiTheme="majorHAnsi"/>
        </w:rPr>
      </w:pPr>
      <w:r w:rsidRPr="006532A5">
        <w:rPr>
          <w:rFonts w:asciiTheme="majorHAnsi" w:eastAsia="MS Mincho" w:hAnsiTheme="majorHAnsi"/>
        </w:rPr>
        <w:t>KURS vymedzil centrá osídlenia predovšetkým z pohľadu celoštátnych súvislostí. Popri týchto bude žiad</w:t>
      </w:r>
      <w:r w:rsidR="00DA2CE1">
        <w:rPr>
          <w:rFonts w:asciiTheme="majorHAnsi" w:eastAsia="MS Mincho" w:hAnsiTheme="majorHAnsi"/>
        </w:rPr>
        <w:t>u</w:t>
      </w:r>
      <w:r w:rsidRPr="006532A5">
        <w:rPr>
          <w:rFonts w:asciiTheme="majorHAnsi" w:eastAsia="MS Mincho" w:hAnsiTheme="majorHAnsi"/>
        </w:rPr>
        <w:t xml:space="preserve">ce v rámci </w:t>
      </w:r>
      <w:r w:rsidR="00F8511E">
        <w:rPr>
          <w:rFonts w:asciiTheme="majorHAnsi" w:eastAsia="MS Mincho" w:hAnsiTheme="majorHAnsi"/>
        </w:rPr>
        <w:t>implementácie integrovaných prístupov</w:t>
      </w:r>
      <w:r w:rsidRPr="006532A5">
        <w:rPr>
          <w:rFonts w:asciiTheme="majorHAnsi" w:eastAsia="MS Mincho" w:hAnsiTheme="majorHAnsi"/>
        </w:rPr>
        <w:t xml:space="preserve"> vymedziť regionálne a subregionálne centrá. Tieto budú dopĺňať celkový systém z regionálneho pohľadu a budú tvoriť centrá pre koncentráciu aktivít podľa jednotlivých tematických cieľov tak, aby ich efektivita bola využiteľná pre čo najširší okruh obyvateľov.</w:t>
      </w:r>
    </w:p>
    <w:p w:rsidR="0072466C" w:rsidRDefault="006532A5" w:rsidP="006532A5">
      <w:pPr>
        <w:rPr>
          <w:rFonts w:asciiTheme="majorHAnsi" w:eastAsia="MS Mincho" w:hAnsiTheme="majorHAnsi"/>
        </w:rPr>
      </w:pPr>
      <w:r w:rsidRPr="006532A5">
        <w:rPr>
          <w:rFonts w:asciiTheme="majorHAnsi" w:eastAsia="MS Mincho" w:hAnsiTheme="majorHAnsi"/>
        </w:rPr>
        <w:lastRenderedPageBreak/>
        <w:t>Územie mimo centier vymedzených v KURS je možné vnímať primárne ako vidiecky priestor</w:t>
      </w:r>
      <w:r w:rsidR="009F1301">
        <w:rPr>
          <w:rFonts w:asciiTheme="majorHAnsi" w:eastAsia="MS Mincho" w:hAnsiTheme="majorHAnsi"/>
        </w:rPr>
        <w:t>. V</w:t>
      </w:r>
      <w:r w:rsidRPr="006532A5">
        <w:rPr>
          <w:rFonts w:asciiTheme="majorHAnsi" w:eastAsia="MS Mincho" w:hAnsiTheme="majorHAnsi"/>
        </w:rPr>
        <w:t>idiecke osídlenie je logickou súčasťou aj v KURS vymedzených jednotlivých aglomerácií (ťažísk osídlenia) a rozvojových osí.</w:t>
      </w:r>
      <w:r w:rsidR="008C2754">
        <w:rPr>
          <w:rFonts w:asciiTheme="majorHAnsi" w:eastAsia="MS Mincho" w:hAnsiTheme="majorHAnsi"/>
        </w:rPr>
        <w:t xml:space="preserve"> </w:t>
      </w:r>
      <w:r w:rsidR="008C2754" w:rsidRPr="008C2754">
        <w:rPr>
          <w:rFonts w:asciiTheme="majorHAnsi" w:eastAsia="MS Mincho" w:hAnsiTheme="majorHAnsi"/>
        </w:rPr>
        <w:t>V</w:t>
      </w:r>
      <w:r w:rsidR="00417C4D">
        <w:rPr>
          <w:rFonts w:asciiTheme="majorHAnsi" w:eastAsia="MS Mincho" w:hAnsiTheme="majorHAnsi"/>
        </w:rPr>
        <w:t> </w:t>
      </w:r>
      <w:r w:rsidR="008C2754" w:rsidRPr="008C2754">
        <w:rPr>
          <w:rFonts w:asciiTheme="majorHAnsi" w:eastAsia="MS Mincho" w:hAnsiTheme="majorHAnsi"/>
        </w:rPr>
        <w:t>zmysle materiálu „Analýza rozvojového potenciálu regiónov SR a</w:t>
      </w:r>
      <w:r w:rsidR="00417C4D">
        <w:rPr>
          <w:rFonts w:asciiTheme="majorHAnsi" w:eastAsia="MS Mincho" w:hAnsiTheme="majorHAnsi"/>
        </w:rPr>
        <w:t> </w:t>
      </w:r>
      <w:r w:rsidR="008C2754" w:rsidRPr="008C2754">
        <w:rPr>
          <w:rFonts w:asciiTheme="majorHAnsi" w:eastAsia="MS Mincho" w:hAnsiTheme="majorHAnsi"/>
        </w:rPr>
        <w:t>ich územných rozdielov s</w:t>
      </w:r>
      <w:r w:rsidR="00417C4D">
        <w:rPr>
          <w:rFonts w:asciiTheme="majorHAnsi" w:eastAsia="MS Mincho" w:hAnsiTheme="majorHAnsi"/>
        </w:rPr>
        <w:t> </w:t>
      </w:r>
      <w:r w:rsidR="008C2754" w:rsidRPr="008C2754">
        <w:rPr>
          <w:rFonts w:asciiTheme="majorHAnsi" w:eastAsia="MS Mincho" w:hAnsiTheme="majorHAnsi"/>
        </w:rPr>
        <w:t>priemetom na tematickú koncentráciu EŠIF v</w:t>
      </w:r>
      <w:r w:rsidR="00417C4D">
        <w:rPr>
          <w:rFonts w:asciiTheme="majorHAnsi" w:eastAsia="MS Mincho" w:hAnsiTheme="majorHAnsi"/>
        </w:rPr>
        <w:t> </w:t>
      </w:r>
      <w:r w:rsidR="008C2754" w:rsidRPr="008C2754">
        <w:rPr>
          <w:rFonts w:asciiTheme="majorHAnsi" w:eastAsia="MS Mincho" w:hAnsiTheme="majorHAnsi"/>
        </w:rPr>
        <w:t xml:space="preserve">Partnerskej dohode SR na roky </w:t>
      </w:r>
      <w:r w:rsidR="009D0059">
        <w:rPr>
          <w:rFonts w:asciiTheme="majorHAnsi" w:eastAsia="MS Mincho" w:hAnsiTheme="majorHAnsi"/>
        </w:rPr>
        <w:br/>
      </w:r>
      <w:r w:rsidR="008C2754" w:rsidRPr="008C2754">
        <w:rPr>
          <w:rFonts w:asciiTheme="majorHAnsi" w:eastAsia="MS Mincho" w:hAnsiTheme="majorHAnsi"/>
        </w:rPr>
        <w:t>2014 – 2020“</w:t>
      </w:r>
      <w:r w:rsidR="008C2754">
        <w:rPr>
          <w:rStyle w:val="Odkaznapoznmkupodiarou"/>
          <w:rFonts w:asciiTheme="majorHAnsi" w:eastAsia="MS Mincho" w:hAnsiTheme="majorHAnsi"/>
        </w:rPr>
        <w:footnoteReference w:id="6"/>
      </w:r>
      <w:r w:rsidR="008C2754" w:rsidRPr="008C2754">
        <w:rPr>
          <w:rFonts w:asciiTheme="majorHAnsi" w:eastAsia="MS Mincho" w:hAnsiTheme="majorHAnsi"/>
        </w:rPr>
        <w:t>, ktorý je podporným dokumentom na riešenie územnej a tematickej koncentrácie pre rozhodovanie o umiestňovaní EŠIF, je vidiecka oblasť definovaná ako ostatné územie mimo sídelných štruktúr. Medzi mestskú oblasť sa v</w:t>
      </w:r>
      <w:r w:rsidR="00417C4D">
        <w:rPr>
          <w:rFonts w:asciiTheme="majorHAnsi" w:eastAsia="MS Mincho" w:hAnsiTheme="majorHAnsi"/>
        </w:rPr>
        <w:t> </w:t>
      </w:r>
      <w:r w:rsidR="008C2754" w:rsidRPr="008C2754">
        <w:rPr>
          <w:rFonts w:asciiTheme="majorHAnsi" w:eastAsia="MS Mincho" w:hAnsiTheme="majorHAnsi"/>
        </w:rPr>
        <w:t>takýchto prípadoch zahrňujú aj obce s</w:t>
      </w:r>
      <w:r w:rsidR="00417C4D">
        <w:rPr>
          <w:rFonts w:asciiTheme="majorHAnsi" w:eastAsia="MS Mincho" w:hAnsiTheme="majorHAnsi"/>
        </w:rPr>
        <w:t> </w:t>
      </w:r>
      <w:r w:rsidR="008C2754" w:rsidRPr="008C2754">
        <w:rPr>
          <w:rFonts w:asciiTheme="majorHAnsi" w:eastAsia="MS Mincho" w:hAnsiTheme="majorHAnsi"/>
        </w:rPr>
        <w:t>malým počtom obyvateľov, s</w:t>
      </w:r>
      <w:r w:rsidR="00417C4D">
        <w:rPr>
          <w:rFonts w:asciiTheme="majorHAnsi" w:eastAsia="MS Mincho" w:hAnsiTheme="majorHAnsi"/>
        </w:rPr>
        <w:t> </w:t>
      </w:r>
      <w:r w:rsidR="008C2754" w:rsidRPr="008C2754">
        <w:rPr>
          <w:rFonts w:asciiTheme="majorHAnsi" w:eastAsia="MS Mincho" w:hAnsiTheme="majorHAnsi"/>
        </w:rPr>
        <w:t>relatívne nízkou hustotou sídelných funkcií, ktoré sú však bezprostredne naviazané na centrálnu obec – mesto s</w:t>
      </w:r>
      <w:r w:rsidR="00417C4D">
        <w:rPr>
          <w:rFonts w:asciiTheme="majorHAnsi" w:eastAsia="MS Mincho" w:hAnsiTheme="majorHAnsi"/>
        </w:rPr>
        <w:t> </w:t>
      </w:r>
      <w:r w:rsidR="008C2754" w:rsidRPr="008C2754">
        <w:rPr>
          <w:rFonts w:asciiTheme="majorHAnsi" w:eastAsia="MS Mincho" w:hAnsiTheme="majorHAnsi"/>
        </w:rPr>
        <w:t>vysokou úrovňou poskytovaných služieb, hustotou všetkých sídelných funkcií, verejnou dopravou a</w:t>
      </w:r>
      <w:r w:rsidR="00417C4D">
        <w:rPr>
          <w:rFonts w:asciiTheme="majorHAnsi" w:eastAsia="MS Mincho" w:hAnsiTheme="majorHAnsi"/>
        </w:rPr>
        <w:t> </w:t>
      </w:r>
      <w:r w:rsidR="008C2754" w:rsidRPr="008C2754">
        <w:rPr>
          <w:rFonts w:asciiTheme="majorHAnsi" w:eastAsia="MS Mincho" w:hAnsiTheme="majorHAnsi"/>
        </w:rPr>
        <w:t>pod. Až obce s</w:t>
      </w:r>
      <w:r w:rsidR="00417C4D">
        <w:rPr>
          <w:rFonts w:asciiTheme="majorHAnsi" w:eastAsia="MS Mincho" w:hAnsiTheme="majorHAnsi"/>
        </w:rPr>
        <w:t> </w:t>
      </w:r>
      <w:r w:rsidR="008C2754" w:rsidRPr="008C2754">
        <w:rPr>
          <w:rFonts w:asciiTheme="majorHAnsi" w:eastAsia="MS Mincho" w:hAnsiTheme="majorHAnsi"/>
        </w:rPr>
        <w:t>nedostatočnou dostupnosťou, resp. s</w:t>
      </w:r>
      <w:r w:rsidR="00417C4D">
        <w:rPr>
          <w:rFonts w:asciiTheme="majorHAnsi" w:eastAsia="MS Mincho" w:hAnsiTheme="majorHAnsi"/>
        </w:rPr>
        <w:t> </w:t>
      </w:r>
      <w:r w:rsidR="008C2754" w:rsidRPr="008C2754">
        <w:rPr>
          <w:rFonts w:asciiTheme="majorHAnsi" w:eastAsia="MS Mincho" w:hAnsiTheme="majorHAnsi"/>
        </w:rPr>
        <w:t>nízkou sídelnou prepojenosťou na centrálne mestské priestory sa považujú za vidiecku oblasť</w:t>
      </w:r>
      <w:r w:rsidR="008C2754">
        <w:rPr>
          <w:rFonts w:asciiTheme="majorHAnsi" w:eastAsia="MS Mincho" w:hAnsiTheme="majorHAnsi"/>
        </w:rPr>
        <w:t>.</w:t>
      </w:r>
    </w:p>
    <w:p w:rsidR="008C2754" w:rsidRPr="006532A5" w:rsidRDefault="006532A5" w:rsidP="006532A5">
      <w:pPr>
        <w:rPr>
          <w:rFonts w:asciiTheme="majorHAnsi" w:eastAsia="MS Mincho" w:hAnsiTheme="majorHAnsi"/>
        </w:rPr>
      </w:pPr>
      <w:r w:rsidRPr="006532A5">
        <w:rPr>
          <w:rFonts w:asciiTheme="majorHAnsi" w:eastAsia="MS Mincho" w:hAnsiTheme="majorHAnsi"/>
        </w:rPr>
        <w:t>Vidiecky priestor</w:t>
      </w:r>
      <w:r w:rsidR="009F1301">
        <w:rPr>
          <w:rFonts w:asciiTheme="majorHAnsi" w:eastAsia="MS Mincho" w:hAnsiTheme="majorHAnsi"/>
        </w:rPr>
        <w:t>,</w:t>
      </w:r>
      <w:r w:rsidR="00B04DDE">
        <w:rPr>
          <w:rFonts w:asciiTheme="majorHAnsi" w:eastAsia="MS Mincho" w:hAnsiTheme="majorHAnsi"/>
        </w:rPr>
        <w:t xml:space="preserve"> z hľadiska </w:t>
      </w:r>
      <w:r w:rsidRPr="006532A5">
        <w:rPr>
          <w:rFonts w:asciiTheme="majorHAnsi" w:eastAsia="MS Mincho" w:hAnsiTheme="majorHAnsi"/>
        </w:rPr>
        <w:t>prijímani</w:t>
      </w:r>
      <w:r w:rsidR="00B04DDE">
        <w:rPr>
          <w:rFonts w:asciiTheme="majorHAnsi" w:eastAsia="MS Mincho" w:hAnsiTheme="majorHAnsi"/>
        </w:rPr>
        <w:t>a</w:t>
      </w:r>
      <w:r w:rsidRPr="006532A5">
        <w:rPr>
          <w:rFonts w:asciiTheme="majorHAnsi" w:eastAsia="MS Mincho" w:hAnsiTheme="majorHAnsi"/>
        </w:rPr>
        <w:t xml:space="preserve"> podporných prostriedkov EŠIF, je potrebné posudzovať </w:t>
      </w:r>
      <w:r w:rsidR="009F1301" w:rsidRPr="006532A5">
        <w:rPr>
          <w:rFonts w:asciiTheme="majorHAnsi" w:eastAsia="MS Mincho" w:hAnsiTheme="majorHAnsi"/>
        </w:rPr>
        <w:t xml:space="preserve">individuálne </w:t>
      </w:r>
      <w:r w:rsidRPr="006532A5">
        <w:rPr>
          <w:rFonts w:asciiTheme="majorHAnsi" w:eastAsia="MS Mincho" w:hAnsiTheme="majorHAnsi"/>
        </w:rPr>
        <w:t xml:space="preserve">a spresňovať jeho vymedzenie </w:t>
      </w:r>
      <w:r w:rsidR="009F1301">
        <w:rPr>
          <w:rFonts w:asciiTheme="majorHAnsi" w:eastAsia="MS Mincho" w:hAnsiTheme="majorHAnsi"/>
        </w:rPr>
        <w:t>pri</w:t>
      </w:r>
      <w:r w:rsidRPr="006532A5">
        <w:rPr>
          <w:rFonts w:asciiTheme="majorHAnsi" w:eastAsia="MS Mincho" w:hAnsiTheme="majorHAnsi"/>
        </w:rPr>
        <w:t xml:space="preserve"> </w:t>
      </w:r>
      <w:r w:rsidR="009F1301" w:rsidRPr="006532A5">
        <w:rPr>
          <w:rFonts w:asciiTheme="majorHAnsi" w:eastAsia="MS Mincho" w:hAnsiTheme="majorHAnsi"/>
        </w:rPr>
        <w:t>spracovávan</w:t>
      </w:r>
      <w:r w:rsidR="009F1301">
        <w:rPr>
          <w:rFonts w:asciiTheme="majorHAnsi" w:eastAsia="MS Mincho" w:hAnsiTheme="majorHAnsi"/>
        </w:rPr>
        <w:t>í</w:t>
      </w:r>
      <w:r w:rsidR="009F1301" w:rsidRPr="006532A5">
        <w:rPr>
          <w:rFonts w:asciiTheme="majorHAnsi" w:eastAsia="MS Mincho" w:hAnsiTheme="majorHAnsi"/>
        </w:rPr>
        <w:t xml:space="preserve"> </w:t>
      </w:r>
      <w:r w:rsidR="00B04DDE">
        <w:rPr>
          <w:rFonts w:asciiTheme="majorHAnsi" w:eastAsia="MS Mincho" w:hAnsiTheme="majorHAnsi"/>
        </w:rPr>
        <w:t>integrovaných prístupov v podmienkach regiónov SR</w:t>
      </w:r>
      <w:r w:rsidRPr="006532A5">
        <w:rPr>
          <w:rFonts w:asciiTheme="majorHAnsi" w:eastAsia="MS Mincho" w:hAnsiTheme="majorHAnsi"/>
        </w:rPr>
        <w:t>. Východiskom však musí byť ich vzťah k</w:t>
      </w:r>
      <w:r w:rsidR="00417C4D">
        <w:rPr>
          <w:rFonts w:asciiTheme="majorHAnsi" w:eastAsia="MS Mincho" w:hAnsiTheme="majorHAnsi"/>
        </w:rPr>
        <w:t> </w:t>
      </w:r>
      <w:r w:rsidRPr="006532A5">
        <w:rPr>
          <w:rFonts w:asciiTheme="majorHAnsi" w:eastAsia="MS Mincho" w:hAnsiTheme="majorHAnsi"/>
        </w:rPr>
        <w:t>priestorom koncentrácie vyjadrených v KURS.</w:t>
      </w:r>
      <w:r w:rsidR="00446554">
        <w:rPr>
          <w:rFonts w:asciiTheme="majorHAnsi" w:eastAsia="MS Mincho" w:hAnsiTheme="majorHAnsi"/>
        </w:rPr>
        <w:t xml:space="preserve"> </w:t>
      </w:r>
      <w:r w:rsidR="00E95CF8" w:rsidRPr="00F652F0">
        <w:rPr>
          <w:rFonts w:asciiTheme="majorHAnsi" w:eastAsia="MS Mincho" w:hAnsiTheme="majorHAnsi"/>
        </w:rPr>
        <w:t>Definícia vidieckych oblastí pre účely oprávneného rozsahu podpory môže byť odlišná v rámci Programu rozvoja vidieka SR na roky 2014 – 2020</w:t>
      </w:r>
      <w:r w:rsidR="00A34E8E" w:rsidRPr="00F652F0">
        <w:rPr>
          <w:rFonts w:asciiTheme="majorHAnsi" w:eastAsia="MS Mincho" w:hAnsiTheme="majorHAnsi"/>
        </w:rPr>
        <w:t xml:space="preserve"> (</w:t>
      </w:r>
      <w:r w:rsidR="00A34E8E" w:rsidRPr="009D0059">
        <w:rPr>
          <w:rFonts w:asciiTheme="majorHAnsi" w:eastAsia="MS Mincho" w:hAnsiTheme="majorHAnsi"/>
        </w:rPr>
        <w:t>ďalej</w:t>
      </w:r>
      <w:r w:rsidR="00A34E8E" w:rsidRPr="009D0059">
        <w:rPr>
          <w:rFonts w:ascii="Calibri" w:hAnsi="Calibri"/>
          <w:color w:val="000000" w:themeColor="text1"/>
        </w:rPr>
        <w:t xml:space="preserve"> len „PRV“)</w:t>
      </w:r>
      <w:r w:rsidR="00E95CF8" w:rsidRPr="009D0059">
        <w:rPr>
          <w:rFonts w:ascii="Calibri" w:hAnsi="Calibri"/>
          <w:color w:val="000000" w:themeColor="text1"/>
        </w:rPr>
        <w:t>.</w:t>
      </w:r>
    </w:p>
    <w:p w:rsidR="004A1D99" w:rsidRPr="004B6F41" w:rsidRDefault="000B1565" w:rsidP="00FB77D2">
      <w:pPr>
        <w:rPr>
          <w:rFonts w:asciiTheme="majorHAnsi" w:eastAsia="MS Mincho" w:hAnsiTheme="majorHAnsi"/>
        </w:rPr>
      </w:pPr>
      <w:r w:rsidRPr="004B6F41">
        <w:rPr>
          <w:rFonts w:asciiTheme="majorHAnsi" w:eastAsia="MS Mincho" w:hAnsiTheme="majorHAnsi"/>
          <w:noProof/>
          <w:lang w:eastAsia="sk-SK"/>
        </w:rPr>
        <w:drawing>
          <wp:inline distT="0" distB="0" distL="0" distR="0" wp14:anchorId="457CC512" wp14:editId="5EA11FD9">
            <wp:extent cx="5759450" cy="4060512"/>
            <wp:effectExtent l="0" t="0" r="0" b="0"/>
            <wp:docPr id="32" name="Obrázok 32" descr="C:\Users\zatko\AppData\Local\Microsoft\Windows\Temporary Internet Files\Content.Outlook\L9DK34MF\priloha 3b uzemna koncentracia slovenska verz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tko\AppData\Local\Microsoft\Windows\Temporary Internet Files\Content.Outlook\L9DK34MF\priloha 3b uzemna koncentracia slovenska verzi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4060512"/>
                    </a:xfrm>
                    <a:prstGeom prst="rect">
                      <a:avLst/>
                    </a:prstGeom>
                    <a:noFill/>
                    <a:ln>
                      <a:noFill/>
                    </a:ln>
                  </pic:spPr>
                </pic:pic>
              </a:graphicData>
            </a:graphic>
          </wp:inline>
        </w:drawing>
      </w:r>
    </w:p>
    <w:p w:rsidR="00F652F0" w:rsidRPr="00107397" w:rsidRDefault="00F652F0" w:rsidP="00F652F0">
      <w:pPr>
        <w:pStyle w:val="Normlnywebov"/>
        <w:jc w:val="both"/>
        <w:rPr>
          <w:rFonts w:asciiTheme="majorHAnsi" w:eastAsiaTheme="minorHAnsi" w:hAnsiTheme="majorHAnsi" w:cstheme="minorBidi"/>
          <w:sz w:val="22"/>
          <w:szCs w:val="22"/>
          <w:lang w:val="sk-SK"/>
        </w:rPr>
      </w:pPr>
      <w:r w:rsidRPr="003C432B">
        <w:rPr>
          <w:rFonts w:asciiTheme="majorHAnsi" w:eastAsia="MS Mincho" w:hAnsiTheme="majorHAnsi"/>
          <w:sz w:val="22"/>
          <w:lang w:val="sk-SK"/>
        </w:rPr>
        <w:t>Základným strategickým dokumentom na podporu regionálneho rozvoja na národnej úrovni je Národná stratégia regionálneho rozvoja SR, ktorej cieľom je určiť komplexný strategický prístup štátu k podpore regionálneho rozvoja na Slovensku do roku 2030. Aktualizovaná Národná stratégia regionálneho rozvoja SR</w:t>
      </w:r>
      <w:r w:rsidRPr="00620D27">
        <w:rPr>
          <w:rFonts w:eastAsia="MS Mincho"/>
          <w:sz w:val="22"/>
          <w:vertAlign w:val="superscript"/>
          <w:lang w:val="sk-SK"/>
        </w:rPr>
        <w:footnoteReference w:id="7"/>
      </w:r>
      <w:r w:rsidRPr="003C432B">
        <w:rPr>
          <w:rFonts w:asciiTheme="majorHAnsi" w:eastAsia="MS Mincho" w:hAnsiTheme="majorHAnsi"/>
          <w:sz w:val="22"/>
          <w:lang w:val="sk-SK"/>
        </w:rPr>
        <w:t xml:space="preserve"> je v súlade s inými strategickými a koncepčnými</w:t>
      </w:r>
      <w:r w:rsidRPr="00361CFB">
        <w:rPr>
          <w:rFonts w:asciiTheme="majorHAnsi" w:eastAsiaTheme="minorHAnsi" w:hAnsiTheme="majorHAnsi" w:cstheme="minorBidi"/>
          <w:color w:val="0070C0"/>
          <w:sz w:val="22"/>
          <w:szCs w:val="22"/>
          <w:lang w:val="sk-SK"/>
        </w:rPr>
        <w:t xml:space="preserve"> </w:t>
      </w:r>
      <w:r w:rsidRPr="00107397">
        <w:rPr>
          <w:rFonts w:asciiTheme="majorHAnsi" w:eastAsiaTheme="minorHAnsi" w:hAnsiTheme="majorHAnsi" w:cstheme="minorBidi"/>
          <w:sz w:val="22"/>
          <w:szCs w:val="22"/>
          <w:lang w:val="sk-SK"/>
        </w:rPr>
        <w:t>dokumentmi</w:t>
      </w:r>
      <w:r w:rsidRPr="00361CFB">
        <w:rPr>
          <w:rFonts w:asciiTheme="majorHAnsi" w:eastAsiaTheme="minorHAnsi" w:hAnsiTheme="majorHAnsi" w:cstheme="minorBidi"/>
          <w:sz w:val="22"/>
          <w:szCs w:val="22"/>
          <w:lang w:val="sk-SK"/>
        </w:rPr>
        <w:t xml:space="preserve">, a to so </w:t>
      </w:r>
      <w:r w:rsidRPr="00107397">
        <w:rPr>
          <w:rFonts w:asciiTheme="majorHAnsi" w:eastAsiaTheme="minorHAnsi" w:hAnsiTheme="majorHAnsi" w:cstheme="minorBidi"/>
          <w:sz w:val="22"/>
          <w:szCs w:val="22"/>
          <w:lang w:val="sk-SK"/>
        </w:rPr>
        <w:t xml:space="preserve">stratégiou Európa 2020, v oblasti politiky súdržnosti EÚ nadväzuje na </w:t>
      </w:r>
      <w:r w:rsidR="00027848" w:rsidRPr="00107397">
        <w:rPr>
          <w:rFonts w:asciiTheme="majorHAnsi" w:eastAsiaTheme="minorHAnsi" w:hAnsiTheme="majorHAnsi" w:cstheme="minorBidi"/>
          <w:sz w:val="22"/>
          <w:szCs w:val="22"/>
          <w:lang w:val="sk-SK"/>
        </w:rPr>
        <w:t>PD SR</w:t>
      </w:r>
      <w:r w:rsidRPr="00107397">
        <w:rPr>
          <w:rFonts w:asciiTheme="majorHAnsi" w:eastAsiaTheme="minorHAnsi" w:hAnsiTheme="majorHAnsi" w:cstheme="minorBidi"/>
          <w:sz w:val="22"/>
          <w:szCs w:val="22"/>
          <w:lang w:val="sk-SK"/>
        </w:rPr>
        <w:t xml:space="preserve"> a</w:t>
      </w:r>
      <w:r w:rsidR="00933BCC">
        <w:rPr>
          <w:rFonts w:asciiTheme="majorHAnsi" w:eastAsiaTheme="minorHAnsi" w:hAnsiTheme="majorHAnsi" w:cstheme="minorBidi"/>
          <w:sz w:val="22"/>
          <w:szCs w:val="22"/>
          <w:lang w:val="sk-SK"/>
        </w:rPr>
        <w:t> </w:t>
      </w:r>
      <w:r w:rsidRPr="00107397">
        <w:rPr>
          <w:rFonts w:asciiTheme="majorHAnsi" w:eastAsiaTheme="minorHAnsi" w:hAnsiTheme="majorHAnsi" w:cstheme="minorBidi"/>
          <w:sz w:val="22"/>
          <w:szCs w:val="22"/>
          <w:lang w:val="sk-SK"/>
        </w:rPr>
        <w:t>v oblasti územného rozvoja je koordinovaná s</w:t>
      </w:r>
      <w:r w:rsidR="00417C4D">
        <w:rPr>
          <w:rFonts w:asciiTheme="majorHAnsi" w:eastAsiaTheme="minorHAnsi" w:hAnsiTheme="majorHAnsi" w:cstheme="minorBidi"/>
          <w:sz w:val="22"/>
          <w:szCs w:val="22"/>
          <w:lang w:val="sk-SK"/>
        </w:rPr>
        <w:t> </w:t>
      </w:r>
      <w:r w:rsidRPr="00107397">
        <w:rPr>
          <w:rFonts w:asciiTheme="majorHAnsi" w:eastAsiaTheme="minorHAnsi" w:hAnsiTheme="majorHAnsi" w:cstheme="minorBidi"/>
          <w:sz w:val="22"/>
          <w:szCs w:val="22"/>
          <w:lang w:val="sk-SK"/>
        </w:rPr>
        <w:t>Koncepciou územného rozvoja Slovenska.</w:t>
      </w:r>
    </w:p>
    <w:p w:rsidR="00F652F0" w:rsidRPr="00107397" w:rsidRDefault="00F652F0" w:rsidP="001C0BBB">
      <w:pPr>
        <w:pStyle w:val="Normlnywebov"/>
        <w:spacing w:after="240"/>
        <w:jc w:val="both"/>
        <w:rPr>
          <w:rFonts w:asciiTheme="majorHAnsi" w:eastAsiaTheme="minorHAnsi" w:hAnsiTheme="majorHAnsi" w:cstheme="minorBidi"/>
          <w:sz w:val="22"/>
          <w:szCs w:val="22"/>
          <w:lang w:val="sk-SK"/>
        </w:rPr>
      </w:pPr>
      <w:r w:rsidRPr="00107397">
        <w:rPr>
          <w:rFonts w:asciiTheme="majorHAnsi" w:eastAsiaTheme="minorHAnsi" w:hAnsiTheme="majorHAnsi" w:cstheme="minorBidi"/>
          <w:sz w:val="22"/>
          <w:szCs w:val="22"/>
          <w:lang w:val="sk-SK"/>
        </w:rPr>
        <w:lastRenderedPageBreak/>
        <w:t>Ekonomická výkonnosť a</w:t>
      </w:r>
      <w:r w:rsidR="00417C4D">
        <w:rPr>
          <w:rFonts w:asciiTheme="majorHAnsi" w:eastAsiaTheme="minorHAnsi" w:hAnsiTheme="majorHAnsi" w:cstheme="minorBidi"/>
          <w:sz w:val="22"/>
          <w:szCs w:val="22"/>
          <w:lang w:val="sk-SK"/>
        </w:rPr>
        <w:t> </w:t>
      </w:r>
      <w:r w:rsidRPr="00107397">
        <w:rPr>
          <w:rFonts w:asciiTheme="majorHAnsi" w:eastAsiaTheme="minorHAnsi" w:hAnsiTheme="majorHAnsi" w:cstheme="minorBidi"/>
          <w:sz w:val="22"/>
          <w:szCs w:val="22"/>
          <w:lang w:val="sk-SK"/>
        </w:rPr>
        <w:t>rozloženie hospodárskeho potenciálu SR sú z</w:t>
      </w:r>
      <w:r w:rsidR="00417C4D">
        <w:rPr>
          <w:rFonts w:asciiTheme="majorHAnsi" w:eastAsiaTheme="minorHAnsi" w:hAnsiTheme="majorHAnsi" w:cstheme="minorBidi"/>
          <w:sz w:val="22"/>
          <w:szCs w:val="22"/>
          <w:lang w:val="sk-SK"/>
        </w:rPr>
        <w:t> </w:t>
      </w:r>
      <w:r w:rsidRPr="00107397">
        <w:rPr>
          <w:rFonts w:asciiTheme="majorHAnsi" w:eastAsiaTheme="minorHAnsi" w:hAnsiTheme="majorHAnsi" w:cstheme="minorBidi"/>
          <w:sz w:val="22"/>
          <w:szCs w:val="22"/>
          <w:lang w:val="sk-SK"/>
        </w:rPr>
        <w:t>dlhodobého hľadiska, ako aj regionálneho zamerania výrazne diferencované, čo súvisí s jej historickým vývojom. Podľa údajov</w:t>
      </w:r>
      <w:r w:rsidR="009D0059" w:rsidRPr="00107397">
        <w:rPr>
          <w:rFonts w:asciiTheme="majorHAnsi" w:eastAsiaTheme="minorHAnsi" w:hAnsiTheme="majorHAnsi" w:cstheme="minorBidi"/>
          <w:sz w:val="22"/>
          <w:szCs w:val="22"/>
          <w:lang w:val="sk-SK"/>
        </w:rPr>
        <w:t xml:space="preserve"> Štatistického úradu SR</w:t>
      </w:r>
      <w:r w:rsidRPr="00107397">
        <w:rPr>
          <w:rFonts w:asciiTheme="majorHAnsi" w:eastAsiaTheme="minorHAnsi" w:hAnsiTheme="majorHAnsi" w:cstheme="minorBidi"/>
          <w:sz w:val="22"/>
          <w:szCs w:val="22"/>
          <w:lang w:val="sk-SK"/>
        </w:rPr>
        <w:t xml:space="preserve"> </w:t>
      </w:r>
      <w:r w:rsidR="009D0059" w:rsidRPr="00107397">
        <w:rPr>
          <w:rFonts w:asciiTheme="majorHAnsi" w:eastAsiaTheme="minorHAnsi" w:hAnsiTheme="majorHAnsi" w:cstheme="minorBidi"/>
          <w:sz w:val="22"/>
          <w:szCs w:val="22"/>
          <w:lang w:val="sk-SK"/>
        </w:rPr>
        <w:t xml:space="preserve">(ďalej </w:t>
      </w:r>
      <w:r w:rsidR="00462A87" w:rsidRPr="00107397">
        <w:rPr>
          <w:rFonts w:asciiTheme="majorHAnsi" w:eastAsiaTheme="minorHAnsi" w:hAnsiTheme="majorHAnsi" w:cstheme="minorBidi"/>
          <w:sz w:val="22"/>
          <w:szCs w:val="22"/>
          <w:lang w:val="sk-SK"/>
        </w:rPr>
        <w:t>len “</w:t>
      </w:r>
      <w:r w:rsidRPr="00107397">
        <w:rPr>
          <w:rFonts w:asciiTheme="majorHAnsi" w:eastAsiaTheme="minorHAnsi" w:hAnsiTheme="majorHAnsi" w:cstheme="minorBidi"/>
          <w:sz w:val="22"/>
          <w:szCs w:val="22"/>
          <w:lang w:val="sk-SK"/>
        </w:rPr>
        <w:t>ŠÚ SR</w:t>
      </w:r>
      <w:r w:rsidR="00462A87" w:rsidRPr="00107397">
        <w:rPr>
          <w:rFonts w:asciiTheme="majorHAnsi" w:eastAsiaTheme="minorHAnsi" w:hAnsiTheme="majorHAnsi" w:cstheme="minorBidi"/>
          <w:sz w:val="22"/>
          <w:szCs w:val="22"/>
          <w:lang w:val="sk-SK"/>
        </w:rPr>
        <w:t>”)</w:t>
      </w:r>
      <w:r w:rsidRPr="00107397">
        <w:rPr>
          <w:rFonts w:asciiTheme="majorHAnsi" w:eastAsiaTheme="minorHAnsi" w:hAnsiTheme="majorHAnsi" w:cstheme="minorBidi"/>
          <w:sz w:val="22"/>
          <w:szCs w:val="22"/>
          <w:lang w:val="sk-SK"/>
        </w:rPr>
        <w:t xml:space="preserve"> bolo na území SR k</w:t>
      </w:r>
      <w:r w:rsidR="00BB0937">
        <w:rPr>
          <w:rFonts w:asciiTheme="majorHAnsi" w:eastAsiaTheme="minorHAnsi" w:hAnsiTheme="majorHAnsi" w:cstheme="minorBidi"/>
          <w:sz w:val="22"/>
          <w:szCs w:val="22"/>
          <w:lang w:val="sk-SK"/>
        </w:rPr>
        <w:t> </w:t>
      </w:r>
      <w:r w:rsidRPr="00107397">
        <w:rPr>
          <w:rFonts w:asciiTheme="majorHAnsi" w:eastAsiaTheme="minorHAnsi" w:hAnsiTheme="majorHAnsi" w:cstheme="minorBidi"/>
          <w:sz w:val="22"/>
          <w:szCs w:val="22"/>
          <w:lang w:val="sk-SK"/>
        </w:rPr>
        <w:t>31. 12. 2012 celkovo 2 890 obcí (bez mestských častí Bratislavy a</w:t>
      </w:r>
      <w:r w:rsidR="00417C4D">
        <w:rPr>
          <w:rFonts w:asciiTheme="majorHAnsi" w:eastAsiaTheme="minorHAnsi" w:hAnsiTheme="majorHAnsi" w:cstheme="minorBidi"/>
          <w:sz w:val="22"/>
          <w:szCs w:val="22"/>
          <w:lang w:val="sk-SK"/>
        </w:rPr>
        <w:t> </w:t>
      </w:r>
      <w:r w:rsidRPr="00107397">
        <w:rPr>
          <w:rFonts w:asciiTheme="majorHAnsi" w:eastAsiaTheme="minorHAnsi" w:hAnsiTheme="majorHAnsi" w:cstheme="minorBidi"/>
          <w:sz w:val="22"/>
          <w:szCs w:val="22"/>
          <w:lang w:val="sk-SK"/>
        </w:rPr>
        <w:t>Košíc) vrátane troch vojenských obvodov. V</w:t>
      </w:r>
      <w:r w:rsidR="00417C4D">
        <w:rPr>
          <w:rFonts w:asciiTheme="majorHAnsi" w:eastAsiaTheme="minorHAnsi" w:hAnsiTheme="majorHAnsi" w:cstheme="minorBidi"/>
          <w:sz w:val="22"/>
          <w:szCs w:val="22"/>
          <w:lang w:val="sk-SK"/>
        </w:rPr>
        <w:t> </w:t>
      </w:r>
      <w:r w:rsidRPr="00107397">
        <w:rPr>
          <w:rFonts w:asciiTheme="majorHAnsi" w:eastAsiaTheme="minorHAnsi" w:hAnsiTheme="majorHAnsi" w:cstheme="minorBidi"/>
          <w:sz w:val="22"/>
          <w:szCs w:val="22"/>
          <w:lang w:val="sk-SK"/>
        </w:rPr>
        <w:t>138 obciach so štatútom mesta žije 54 % obyvateľstva a v ostatných obciach 46 % obyvateľstva.</w:t>
      </w:r>
    </w:p>
    <w:tbl>
      <w:tblPr>
        <w:tblStyle w:val="Mriekatabuky"/>
        <w:tblW w:w="5000" w:type="pct"/>
        <w:jc w:val="center"/>
        <w:tblLook w:val="04A0" w:firstRow="1" w:lastRow="0" w:firstColumn="1" w:lastColumn="0" w:noHBand="0" w:noVBand="1"/>
      </w:tblPr>
      <w:tblGrid>
        <w:gridCol w:w="4214"/>
        <w:gridCol w:w="2238"/>
        <w:gridCol w:w="2834"/>
      </w:tblGrid>
      <w:tr w:rsidR="00F652F0" w:rsidRPr="005A1A37" w:rsidTr="001C0BBB">
        <w:trPr>
          <w:trHeight w:val="6"/>
          <w:jc w:val="center"/>
        </w:trPr>
        <w:tc>
          <w:tcPr>
            <w:tcW w:w="5000" w:type="pct"/>
            <w:gridSpan w:val="3"/>
          </w:tcPr>
          <w:p w:rsidR="00F652F0" w:rsidRPr="005A1A37" w:rsidRDefault="00F652F0" w:rsidP="008E7522">
            <w:pPr>
              <w:spacing w:before="0" w:after="0"/>
              <w:jc w:val="center"/>
              <w:rPr>
                <w:rFonts w:asciiTheme="majorHAnsi" w:hAnsiTheme="majorHAnsi" w:cs="Arial"/>
                <w:b/>
                <w:sz w:val="20"/>
                <w:szCs w:val="20"/>
              </w:rPr>
            </w:pPr>
            <w:r w:rsidRPr="00F652F0">
              <w:rPr>
                <w:rFonts w:asciiTheme="majorHAnsi" w:eastAsia="MS Mincho" w:hAnsiTheme="majorHAnsi"/>
                <w:b/>
                <w:sz w:val="20"/>
                <w:szCs w:val="20"/>
              </w:rPr>
              <w:t>Podiel jednotlivých regiónov na tvorbe hrubej pridanej hodnoty (v %)</w:t>
            </w:r>
          </w:p>
        </w:tc>
      </w:tr>
      <w:tr w:rsidR="00F652F0" w:rsidRPr="00B67A3C" w:rsidTr="001C0BBB">
        <w:trPr>
          <w:trHeight w:val="6"/>
          <w:jc w:val="center"/>
        </w:trPr>
        <w:tc>
          <w:tcPr>
            <w:tcW w:w="2269" w:type="pct"/>
          </w:tcPr>
          <w:p w:rsidR="00F652F0" w:rsidRPr="00B67A3C" w:rsidRDefault="00F652F0" w:rsidP="008E7522">
            <w:pPr>
              <w:spacing w:before="0" w:after="0"/>
              <w:jc w:val="center"/>
              <w:rPr>
                <w:rFonts w:asciiTheme="majorHAnsi" w:hAnsiTheme="majorHAnsi" w:cs="Arial"/>
                <w:b/>
                <w:sz w:val="20"/>
                <w:szCs w:val="20"/>
              </w:rPr>
            </w:pPr>
            <w:r w:rsidRPr="00B67A3C">
              <w:rPr>
                <w:rFonts w:asciiTheme="majorHAnsi" w:hAnsiTheme="majorHAnsi" w:cs="Arial"/>
                <w:b/>
                <w:sz w:val="20"/>
                <w:szCs w:val="20"/>
              </w:rPr>
              <w:t>Kraj/rok</w:t>
            </w:r>
          </w:p>
        </w:tc>
        <w:tc>
          <w:tcPr>
            <w:tcW w:w="1205" w:type="pct"/>
          </w:tcPr>
          <w:p w:rsidR="00F652F0" w:rsidRPr="00B67A3C" w:rsidRDefault="00F652F0" w:rsidP="008E7522">
            <w:pPr>
              <w:spacing w:before="0" w:after="0"/>
              <w:jc w:val="center"/>
              <w:rPr>
                <w:rFonts w:asciiTheme="majorHAnsi" w:hAnsiTheme="majorHAnsi" w:cs="Arial"/>
                <w:b/>
                <w:sz w:val="20"/>
                <w:szCs w:val="20"/>
              </w:rPr>
            </w:pPr>
            <w:r w:rsidRPr="00B67A3C">
              <w:rPr>
                <w:rFonts w:asciiTheme="majorHAnsi" w:hAnsiTheme="majorHAnsi" w:cs="Arial"/>
                <w:b/>
                <w:sz w:val="20"/>
                <w:szCs w:val="20"/>
              </w:rPr>
              <w:t>2000</w:t>
            </w:r>
          </w:p>
        </w:tc>
        <w:tc>
          <w:tcPr>
            <w:tcW w:w="1526" w:type="pct"/>
          </w:tcPr>
          <w:p w:rsidR="00F652F0" w:rsidRPr="00B67A3C" w:rsidRDefault="00F652F0" w:rsidP="008E7522">
            <w:pPr>
              <w:spacing w:before="0" w:after="0"/>
              <w:jc w:val="center"/>
              <w:rPr>
                <w:rFonts w:asciiTheme="majorHAnsi" w:hAnsiTheme="majorHAnsi" w:cs="Arial"/>
                <w:b/>
                <w:sz w:val="20"/>
                <w:szCs w:val="20"/>
              </w:rPr>
            </w:pPr>
            <w:r w:rsidRPr="00B67A3C">
              <w:rPr>
                <w:rFonts w:asciiTheme="majorHAnsi" w:hAnsiTheme="majorHAnsi" w:cs="Arial"/>
                <w:b/>
                <w:sz w:val="20"/>
                <w:szCs w:val="20"/>
              </w:rPr>
              <w:t>2011</w:t>
            </w:r>
          </w:p>
        </w:tc>
      </w:tr>
      <w:tr w:rsidR="00F652F0" w:rsidRPr="00B67A3C" w:rsidTr="001C0BBB">
        <w:trPr>
          <w:trHeight w:val="6"/>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Bratislavský samosprávny kraj</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cs="Arial"/>
                <w:color w:val="auto"/>
                <w:sz w:val="20"/>
                <w:szCs w:val="20"/>
              </w:rPr>
              <w:t>24,8</w:t>
            </w:r>
            <w:r w:rsidRPr="00B67A3C">
              <w:rPr>
                <w:rFonts w:asciiTheme="majorHAnsi" w:hAnsiTheme="majorHAnsi"/>
                <w:sz w:val="20"/>
                <w:szCs w:val="20"/>
              </w:rPr>
              <w:t xml:space="preserve"> </w:t>
            </w:r>
          </w:p>
        </w:tc>
        <w:tc>
          <w:tcPr>
            <w:tcW w:w="1526" w:type="pct"/>
          </w:tcPr>
          <w:p w:rsidR="00F652F0" w:rsidRPr="00B67A3C" w:rsidRDefault="00F652F0" w:rsidP="008E7522">
            <w:pPr>
              <w:pStyle w:val="Default"/>
              <w:tabs>
                <w:tab w:val="decimal" w:pos="1240"/>
              </w:tabs>
              <w:rPr>
                <w:rFonts w:asciiTheme="majorHAnsi" w:hAnsiTheme="majorHAnsi" w:cs="Arial"/>
                <w:sz w:val="20"/>
                <w:szCs w:val="20"/>
              </w:rPr>
            </w:pPr>
            <w:r w:rsidRPr="00B67A3C">
              <w:rPr>
                <w:rFonts w:asciiTheme="majorHAnsi" w:hAnsiTheme="majorHAnsi"/>
                <w:sz w:val="20"/>
                <w:szCs w:val="20"/>
              </w:rPr>
              <w:t>27,6</w:t>
            </w:r>
          </w:p>
        </w:tc>
      </w:tr>
      <w:tr w:rsidR="00F652F0" w:rsidRPr="00B67A3C" w:rsidTr="001C0BBB">
        <w:trPr>
          <w:trHeight w:val="6"/>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Trnavský samosprávny kraj</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sz w:val="20"/>
                <w:szCs w:val="20"/>
              </w:rPr>
              <w:t xml:space="preserve">10,7 </w:t>
            </w:r>
          </w:p>
        </w:tc>
        <w:tc>
          <w:tcPr>
            <w:tcW w:w="1526" w:type="pct"/>
          </w:tcPr>
          <w:p w:rsidR="00F652F0" w:rsidRPr="00B67A3C" w:rsidRDefault="00F652F0" w:rsidP="008E7522">
            <w:pPr>
              <w:pStyle w:val="Default"/>
              <w:tabs>
                <w:tab w:val="decimal" w:pos="1240"/>
              </w:tabs>
              <w:rPr>
                <w:rFonts w:asciiTheme="majorHAnsi" w:hAnsiTheme="majorHAnsi"/>
                <w:sz w:val="20"/>
                <w:szCs w:val="20"/>
              </w:rPr>
            </w:pPr>
            <w:r w:rsidRPr="00B67A3C">
              <w:rPr>
                <w:rFonts w:asciiTheme="majorHAnsi" w:hAnsiTheme="majorHAnsi"/>
                <w:sz w:val="20"/>
                <w:szCs w:val="20"/>
              </w:rPr>
              <w:t xml:space="preserve">11,5 </w:t>
            </w:r>
          </w:p>
        </w:tc>
      </w:tr>
      <w:tr w:rsidR="00F652F0" w:rsidRPr="00B67A3C" w:rsidTr="001C0BBB">
        <w:trPr>
          <w:trHeight w:val="6"/>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 xml:space="preserve">Trenčiansky samosprávny kraj </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sz w:val="20"/>
                <w:szCs w:val="20"/>
              </w:rPr>
              <w:t xml:space="preserve">10,6 </w:t>
            </w:r>
          </w:p>
        </w:tc>
        <w:tc>
          <w:tcPr>
            <w:tcW w:w="1526" w:type="pct"/>
          </w:tcPr>
          <w:p w:rsidR="00F652F0" w:rsidRPr="00B67A3C" w:rsidRDefault="00F652F0" w:rsidP="008E7522">
            <w:pPr>
              <w:pStyle w:val="Default"/>
              <w:tabs>
                <w:tab w:val="decimal" w:pos="1240"/>
              </w:tabs>
              <w:rPr>
                <w:rFonts w:asciiTheme="majorHAnsi" w:hAnsiTheme="majorHAnsi"/>
                <w:sz w:val="20"/>
                <w:szCs w:val="20"/>
              </w:rPr>
            </w:pPr>
            <w:r w:rsidRPr="00B67A3C">
              <w:rPr>
                <w:rFonts w:asciiTheme="majorHAnsi" w:hAnsiTheme="majorHAnsi"/>
                <w:sz w:val="20"/>
                <w:szCs w:val="20"/>
              </w:rPr>
              <w:t xml:space="preserve">9,7 </w:t>
            </w:r>
          </w:p>
        </w:tc>
      </w:tr>
      <w:tr w:rsidR="00F652F0" w:rsidRPr="00B67A3C" w:rsidTr="001C0BBB">
        <w:trPr>
          <w:trHeight w:val="6"/>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 xml:space="preserve">Nitriansky samosprávny kraj </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sz w:val="20"/>
                <w:szCs w:val="20"/>
              </w:rPr>
              <w:t xml:space="preserve">11,5 </w:t>
            </w:r>
          </w:p>
        </w:tc>
        <w:tc>
          <w:tcPr>
            <w:tcW w:w="1526" w:type="pct"/>
          </w:tcPr>
          <w:p w:rsidR="00F652F0" w:rsidRPr="00B67A3C" w:rsidRDefault="00F652F0" w:rsidP="008E7522">
            <w:pPr>
              <w:pStyle w:val="Default"/>
              <w:tabs>
                <w:tab w:val="decimal" w:pos="1240"/>
              </w:tabs>
              <w:rPr>
                <w:rFonts w:asciiTheme="majorHAnsi" w:hAnsiTheme="majorHAnsi"/>
                <w:sz w:val="20"/>
                <w:szCs w:val="20"/>
              </w:rPr>
            </w:pPr>
            <w:r w:rsidRPr="00B67A3C">
              <w:rPr>
                <w:rFonts w:asciiTheme="majorHAnsi" w:hAnsiTheme="majorHAnsi"/>
                <w:sz w:val="20"/>
                <w:szCs w:val="20"/>
              </w:rPr>
              <w:t xml:space="preserve">11,4 </w:t>
            </w:r>
          </w:p>
        </w:tc>
      </w:tr>
      <w:tr w:rsidR="00F652F0" w:rsidRPr="00B67A3C" w:rsidTr="001C0BBB">
        <w:trPr>
          <w:trHeight w:val="6"/>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 xml:space="preserve">Žilinský samosprávny kraj </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sz w:val="20"/>
                <w:szCs w:val="20"/>
              </w:rPr>
              <w:t xml:space="preserve">10,5 </w:t>
            </w:r>
          </w:p>
        </w:tc>
        <w:tc>
          <w:tcPr>
            <w:tcW w:w="1526" w:type="pct"/>
          </w:tcPr>
          <w:p w:rsidR="00F652F0" w:rsidRPr="00B67A3C" w:rsidRDefault="00F652F0" w:rsidP="008E7522">
            <w:pPr>
              <w:pStyle w:val="Default"/>
              <w:tabs>
                <w:tab w:val="decimal" w:pos="1240"/>
              </w:tabs>
              <w:rPr>
                <w:rFonts w:asciiTheme="majorHAnsi" w:hAnsiTheme="majorHAnsi"/>
                <w:sz w:val="20"/>
                <w:szCs w:val="20"/>
              </w:rPr>
            </w:pPr>
            <w:r w:rsidRPr="00B67A3C">
              <w:rPr>
                <w:rFonts w:asciiTheme="majorHAnsi" w:hAnsiTheme="majorHAnsi"/>
                <w:sz w:val="20"/>
                <w:szCs w:val="20"/>
              </w:rPr>
              <w:t xml:space="preserve">11,0 </w:t>
            </w:r>
          </w:p>
        </w:tc>
      </w:tr>
      <w:tr w:rsidR="00F652F0" w:rsidRPr="00B67A3C" w:rsidTr="001C0BBB">
        <w:trPr>
          <w:trHeight w:val="6"/>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 xml:space="preserve">Banskobystrický samosprávny kraj </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sz w:val="20"/>
                <w:szCs w:val="20"/>
              </w:rPr>
              <w:t xml:space="preserve">10,2 </w:t>
            </w:r>
          </w:p>
        </w:tc>
        <w:tc>
          <w:tcPr>
            <w:tcW w:w="1526" w:type="pct"/>
          </w:tcPr>
          <w:p w:rsidR="00F652F0" w:rsidRPr="00B67A3C" w:rsidRDefault="00F652F0" w:rsidP="008E7522">
            <w:pPr>
              <w:pStyle w:val="Default"/>
              <w:tabs>
                <w:tab w:val="decimal" w:pos="1240"/>
              </w:tabs>
              <w:rPr>
                <w:rFonts w:asciiTheme="majorHAnsi" w:hAnsiTheme="majorHAnsi"/>
                <w:sz w:val="20"/>
                <w:szCs w:val="20"/>
              </w:rPr>
            </w:pPr>
            <w:r w:rsidRPr="00B67A3C">
              <w:rPr>
                <w:rFonts w:asciiTheme="majorHAnsi" w:hAnsiTheme="majorHAnsi"/>
                <w:sz w:val="20"/>
                <w:szCs w:val="20"/>
              </w:rPr>
              <w:t xml:space="preserve">8,6 </w:t>
            </w:r>
          </w:p>
        </w:tc>
      </w:tr>
      <w:tr w:rsidR="00F652F0" w:rsidRPr="00B67A3C" w:rsidTr="001C0BBB">
        <w:trPr>
          <w:trHeight w:val="6"/>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 xml:space="preserve">Prešovský samosprávny kraj </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sz w:val="20"/>
                <w:szCs w:val="20"/>
              </w:rPr>
              <w:t xml:space="preserve">8,9 </w:t>
            </w:r>
          </w:p>
        </w:tc>
        <w:tc>
          <w:tcPr>
            <w:tcW w:w="1526" w:type="pct"/>
          </w:tcPr>
          <w:p w:rsidR="00F652F0" w:rsidRPr="00B67A3C" w:rsidRDefault="00F652F0" w:rsidP="008E7522">
            <w:pPr>
              <w:pStyle w:val="Default"/>
              <w:tabs>
                <w:tab w:val="decimal" w:pos="1240"/>
              </w:tabs>
              <w:rPr>
                <w:rFonts w:asciiTheme="majorHAnsi" w:hAnsiTheme="majorHAnsi"/>
                <w:sz w:val="20"/>
                <w:szCs w:val="20"/>
              </w:rPr>
            </w:pPr>
            <w:r w:rsidRPr="00B67A3C">
              <w:rPr>
                <w:rFonts w:asciiTheme="majorHAnsi" w:hAnsiTheme="majorHAnsi"/>
                <w:sz w:val="20"/>
                <w:szCs w:val="20"/>
              </w:rPr>
              <w:t>8,8</w:t>
            </w:r>
          </w:p>
        </w:tc>
      </w:tr>
      <w:tr w:rsidR="00F652F0" w:rsidRPr="00B67A3C" w:rsidTr="001C0BBB">
        <w:trPr>
          <w:trHeight w:val="70"/>
          <w:jc w:val="center"/>
        </w:trPr>
        <w:tc>
          <w:tcPr>
            <w:tcW w:w="2269" w:type="pct"/>
          </w:tcPr>
          <w:p w:rsidR="00F652F0" w:rsidRPr="00B67A3C" w:rsidRDefault="00F652F0" w:rsidP="008E7522">
            <w:pPr>
              <w:spacing w:before="0" w:after="0"/>
              <w:rPr>
                <w:rFonts w:asciiTheme="majorHAnsi" w:hAnsiTheme="majorHAnsi" w:cs="Arial"/>
                <w:sz w:val="20"/>
                <w:szCs w:val="20"/>
              </w:rPr>
            </w:pPr>
            <w:r w:rsidRPr="00B67A3C">
              <w:rPr>
                <w:rFonts w:asciiTheme="majorHAnsi" w:hAnsiTheme="majorHAnsi" w:cs="Arial"/>
                <w:sz w:val="20"/>
                <w:szCs w:val="20"/>
              </w:rPr>
              <w:t xml:space="preserve">Košický samosprávny kraj </w:t>
            </w:r>
          </w:p>
        </w:tc>
        <w:tc>
          <w:tcPr>
            <w:tcW w:w="1205" w:type="pct"/>
          </w:tcPr>
          <w:p w:rsidR="00F652F0" w:rsidRPr="00B67A3C" w:rsidRDefault="00F652F0" w:rsidP="008E7522">
            <w:pPr>
              <w:pStyle w:val="Default"/>
              <w:tabs>
                <w:tab w:val="decimal" w:pos="988"/>
              </w:tabs>
              <w:rPr>
                <w:rFonts w:asciiTheme="majorHAnsi" w:hAnsiTheme="majorHAnsi"/>
                <w:sz w:val="20"/>
                <w:szCs w:val="20"/>
              </w:rPr>
            </w:pPr>
            <w:r w:rsidRPr="00B67A3C">
              <w:rPr>
                <w:rFonts w:asciiTheme="majorHAnsi" w:hAnsiTheme="majorHAnsi"/>
                <w:sz w:val="20"/>
                <w:szCs w:val="20"/>
              </w:rPr>
              <w:t xml:space="preserve">12,7 </w:t>
            </w:r>
          </w:p>
        </w:tc>
        <w:tc>
          <w:tcPr>
            <w:tcW w:w="1526" w:type="pct"/>
          </w:tcPr>
          <w:p w:rsidR="00F652F0" w:rsidRPr="00B67A3C" w:rsidRDefault="00F652F0" w:rsidP="008E7522">
            <w:pPr>
              <w:pStyle w:val="Default"/>
              <w:tabs>
                <w:tab w:val="decimal" w:pos="1240"/>
              </w:tabs>
              <w:rPr>
                <w:rFonts w:asciiTheme="majorHAnsi" w:hAnsiTheme="majorHAnsi"/>
                <w:sz w:val="20"/>
                <w:szCs w:val="20"/>
              </w:rPr>
            </w:pPr>
            <w:r w:rsidRPr="00B67A3C">
              <w:rPr>
                <w:rFonts w:asciiTheme="majorHAnsi" w:hAnsiTheme="majorHAnsi"/>
                <w:sz w:val="20"/>
                <w:szCs w:val="20"/>
              </w:rPr>
              <w:t xml:space="preserve">11,4 </w:t>
            </w:r>
          </w:p>
        </w:tc>
      </w:tr>
    </w:tbl>
    <w:p w:rsidR="00F652F0" w:rsidRPr="00A4237C" w:rsidRDefault="00F652F0" w:rsidP="00F652F0">
      <w:pPr>
        <w:tabs>
          <w:tab w:val="left" w:pos="426"/>
        </w:tabs>
        <w:spacing w:before="0"/>
        <w:rPr>
          <w:rFonts w:asciiTheme="majorHAnsi" w:eastAsia="Times New Roman" w:hAnsiTheme="majorHAnsi"/>
          <w:i/>
          <w:sz w:val="16"/>
          <w:szCs w:val="16"/>
        </w:rPr>
      </w:pPr>
      <w:r w:rsidRPr="00073B36">
        <w:rPr>
          <w:rFonts w:asciiTheme="majorHAnsi" w:eastAsia="Times New Roman" w:hAnsiTheme="majorHAnsi"/>
          <w:i/>
          <w:sz w:val="16"/>
          <w:szCs w:val="16"/>
        </w:rPr>
        <w:t>Zdroj: Š</w:t>
      </w:r>
      <w:r w:rsidR="00462A87">
        <w:rPr>
          <w:rFonts w:asciiTheme="majorHAnsi" w:eastAsia="Times New Roman" w:hAnsiTheme="majorHAnsi"/>
          <w:i/>
          <w:sz w:val="16"/>
          <w:szCs w:val="16"/>
        </w:rPr>
        <w:t xml:space="preserve">Ú </w:t>
      </w:r>
      <w:r w:rsidRPr="00073B36">
        <w:rPr>
          <w:rFonts w:asciiTheme="majorHAnsi" w:eastAsia="Times New Roman" w:hAnsiTheme="majorHAnsi"/>
          <w:i/>
          <w:sz w:val="16"/>
          <w:szCs w:val="16"/>
        </w:rPr>
        <w:t>SR</w:t>
      </w:r>
    </w:p>
    <w:p w:rsidR="00F652F0" w:rsidRDefault="00F652F0" w:rsidP="00F652F0">
      <w:pPr>
        <w:rPr>
          <w:rFonts w:asciiTheme="majorHAnsi" w:eastAsia="Times New Roman" w:hAnsiTheme="majorHAnsi"/>
          <w:i/>
          <w:sz w:val="18"/>
          <w:szCs w:val="18"/>
        </w:rPr>
      </w:pPr>
      <w:r w:rsidRPr="00F35154">
        <w:rPr>
          <w:rFonts w:asciiTheme="majorHAnsi" w:eastAsia="Times New Roman" w:hAnsiTheme="majorHAnsi"/>
          <w:i/>
          <w:sz w:val="18"/>
          <w:szCs w:val="18"/>
        </w:rPr>
        <w:t xml:space="preserve">Pozn.: </w:t>
      </w:r>
      <w:r w:rsidRPr="00073B36">
        <w:rPr>
          <w:rFonts w:asciiTheme="majorHAnsi" w:eastAsia="Times New Roman" w:hAnsiTheme="majorHAnsi"/>
          <w:i/>
          <w:sz w:val="18"/>
          <w:szCs w:val="18"/>
        </w:rPr>
        <w:t>Regionálny odhad tvorby hrubého domáceho produktu (</w:t>
      </w:r>
      <w:r w:rsidR="00417C4D">
        <w:rPr>
          <w:rFonts w:asciiTheme="majorHAnsi" w:eastAsia="Times New Roman" w:hAnsiTheme="majorHAnsi"/>
          <w:i/>
          <w:sz w:val="18"/>
          <w:szCs w:val="18"/>
        </w:rPr>
        <w:t>ďalej len „</w:t>
      </w:r>
      <w:r w:rsidRPr="00073B36">
        <w:rPr>
          <w:rFonts w:asciiTheme="majorHAnsi" w:eastAsia="Times New Roman" w:hAnsiTheme="majorHAnsi"/>
          <w:i/>
          <w:sz w:val="18"/>
          <w:szCs w:val="18"/>
        </w:rPr>
        <w:t>HDP</w:t>
      </w:r>
      <w:r w:rsidR="00417C4D">
        <w:rPr>
          <w:rFonts w:asciiTheme="majorHAnsi" w:eastAsia="Times New Roman" w:hAnsiTheme="majorHAnsi"/>
          <w:i/>
          <w:sz w:val="18"/>
          <w:szCs w:val="18"/>
        </w:rPr>
        <w:t>“</w:t>
      </w:r>
      <w:r>
        <w:rPr>
          <w:rFonts w:asciiTheme="majorHAnsi" w:eastAsia="Times New Roman" w:hAnsiTheme="majorHAnsi"/>
          <w:i/>
          <w:sz w:val="18"/>
          <w:szCs w:val="18"/>
        </w:rPr>
        <w:t>)</w:t>
      </w:r>
      <w:r w:rsidR="00417C4D">
        <w:rPr>
          <w:rFonts w:asciiTheme="majorHAnsi" w:eastAsia="Times New Roman" w:hAnsiTheme="majorHAnsi"/>
          <w:i/>
          <w:sz w:val="18"/>
          <w:szCs w:val="18"/>
        </w:rPr>
        <w:t xml:space="preserve"> </w:t>
      </w:r>
      <w:r>
        <w:rPr>
          <w:rFonts w:asciiTheme="majorHAnsi" w:eastAsia="Times New Roman" w:hAnsiTheme="majorHAnsi"/>
          <w:i/>
          <w:sz w:val="18"/>
          <w:szCs w:val="18"/>
        </w:rPr>
        <w:t>je vytvore</w:t>
      </w:r>
      <w:r w:rsidRPr="00073B36">
        <w:rPr>
          <w:rFonts w:asciiTheme="majorHAnsi" w:eastAsia="Times New Roman" w:hAnsiTheme="majorHAnsi"/>
          <w:i/>
          <w:sz w:val="18"/>
          <w:szCs w:val="18"/>
        </w:rPr>
        <w:t>ný produkčnou metódou, čím je prepojený s</w:t>
      </w:r>
      <w:r w:rsidR="00417C4D">
        <w:rPr>
          <w:rFonts w:asciiTheme="majorHAnsi" w:eastAsia="Times New Roman" w:hAnsiTheme="majorHAnsi"/>
          <w:i/>
          <w:sz w:val="18"/>
          <w:szCs w:val="18"/>
        </w:rPr>
        <w:t> </w:t>
      </w:r>
      <w:r w:rsidRPr="00073B36">
        <w:rPr>
          <w:rFonts w:asciiTheme="majorHAnsi" w:eastAsia="Times New Roman" w:hAnsiTheme="majorHAnsi"/>
          <w:i/>
          <w:sz w:val="18"/>
          <w:szCs w:val="18"/>
        </w:rPr>
        <w:t>hrubou pridanou hodnotou zohľadňujúcou produkciu a</w:t>
      </w:r>
      <w:r w:rsidR="00BB0937">
        <w:rPr>
          <w:rFonts w:asciiTheme="majorHAnsi" w:eastAsia="Times New Roman" w:hAnsiTheme="majorHAnsi"/>
          <w:i/>
          <w:sz w:val="18"/>
          <w:szCs w:val="18"/>
        </w:rPr>
        <w:t> </w:t>
      </w:r>
      <w:r>
        <w:rPr>
          <w:rFonts w:asciiTheme="majorHAnsi" w:eastAsia="Times New Roman" w:hAnsiTheme="majorHAnsi"/>
          <w:i/>
          <w:sz w:val="18"/>
          <w:szCs w:val="18"/>
        </w:rPr>
        <w:t>medzispotrebu</w:t>
      </w:r>
      <w:r w:rsidRPr="00073B36">
        <w:rPr>
          <w:rFonts w:asciiTheme="majorHAnsi" w:eastAsia="Times New Roman" w:hAnsiTheme="majorHAnsi"/>
          <w:i/>
          <w:sz w:val="18"/>
          <w:szCs w:val="18"/>
        </w:rPr>
        <w:t>. HDP je vyčíslený metodikou ESA, teda nie podľa trvalého bydliska pracovnej sily, ale podľa sídla podnikateľského subjektu, v</w:t>
      </w:r>
      <w:r w:rsidR="00BB0937">
        <w:rPr>
          <w:rFonts w:asciiTheme="majorHAnsi" w:eastAsia="Times New Roman" w:hAnsiTheme="majorHAnsi"/>
          <w:i/>
          <w:sz w:val="18"/>
          <w:szCs w:val="18"/>
        </w:rPr>
        <w:t> </w:t>
      </w:r>
      <w:r w:rsidRPr="00073B36">
        <w:rPr>
          <w:rFonts w:asciiTheme="majorHAnsi" w:eastAsia="Times New Roman" w:hAnsiTheme="majorHAnsi"/>
          <w:i/>
          <w:sz w:val="18"/>
          <w:szCs w:val="18"/>
        </w:rPr>
        <w:t>ktorom je osoba zamestnaná.</w:t>
      </w:r>
    </w:p>
    <w:p w:rsidR="00F652F0" w:rsidRPr="00F652F0" w:rsidRDefault="00F652F0" w:rsidP="00F652F0">
      <w:pPr>
        <w:rPr>
          <w:rFonts w:asciiTheme="majorHAnsi" w:eastAsia="MS Mincho" w:hAnsiTheme="majorHAnsi"/>
        </w:rPr>
      </w:pPr>
      <w:r w:rsidRPr="00F652F0">
        <w:rPr>
          <w:rFonts w:asciiTheme="majorHAnsi" w:eastAsia="MS Mincho" w:hAnsiTheme="majorHAnsi"/>
        </w:rPr>
        <w:t>Bratislavský samosprávny kraj (</w:t>
      </w:r>
      <w:r w:rsidR="00933BCC">
        <w:rPr>
          <w:rFonts w:asciiTheme="majorHAnsi" w:eastAsia="MS Mincho" w:hAnsiTheme="majorHAnsi"/>
        </w:rPr>
        <w:t>ďalej len „</w:t>
      </w:r>
      <w:r w:rsidRPr="00F652F0">
        <w:rPr>
          <w:rFonts w:asciiTheme="majorHAnsi" w:eastAsia="MS Mincho" w:hAnsiTheme="majorHAnsi"/>
        </w:rPr>
        <w:t>BSK</w:t>
      </w:r>
      <w:r w:rsidR="00933BCC">
        <w:rPr>
          <w:rFonts w:asciiTheme="majorHAnsi" w:eastAsia="MS Mincho" w:hAnsiTheme="majorHAnsi"/>
        </w:rPr>
        <w:t>“</w:t>
      </w:r>
      <w:r w:rsidRPr="00F652F0">
        <w:rPr>
          <w:rFonts w:asciiTheme="majorHAnsi" w:eastAsia="MS Mincho" w:hAnsiTheme="majorHAnsi"/>
        </w:rPr>
        <w:t>) so svojím viac ako štvrtinovým podielom prispieva tvorbe hrubej pridanej hodnoty (</w:t>
      </w:r>
      <w:r w:rsidR="00BB0937">
        <w:rPr>
          <w:rFonts w:asciiTheme="majorHAnsi" w:eastAsia="MS Mincho" w:hAnsiTheme="majorHAnsi"/>
        </w:rPr>
        <w:t>ďalej len „</w:t>
      </w:r>
      <w:r w:rsidRPr="00F652F0">
        <w:rPr>
          <w:rFonts w:asciiTheme="majorHAnsi" w:eastAsia="MS Mincho" w:hAnsiTheme="majorHAnsi"/>
        </w:rPr>
        <w:t>HPH</w:t>
      </w:r>
      <w:r w:rsidR="00BB0937">
        <w:rPr>
          <w:rFonts w:asciiTheme="majorHAnsi" w:eastAsia="MS Mincho" w:hAnsiTheme="majorHAnsi"/>
        </w:rPr>
        <w:t>“</w:t>
      </w:r>
      <w:r w:rsidRPr="00F652F0">
        <w:rPr>
          <w:rFonts w:asciiTheme="majorHAnsi" w:eastAsia="MS Mincho" w:hAnsiTheme="majorHAnsi"/>
        </w:rPr>
        <w:t>) najväčšou mierou. Prešovský samosprávny kraj (</w:t>
      </w:r>
      <w:r w:rsidR="00933BCC">
        <w:rPr>
          <w:rFonts w:asciiTheme="majorHAnsi" w:eastAsia="MS Mincho" w:hAnsiTheme="majorHAnsi"/>
        </w:rPr>
        <w:t>ďalej len „</w:t>
      </w:r>
      <w:r w:rsidRPr="00F652F0">
        <w:rPr>
          <w:rFonts w:asciiTheme="majorHAnsi" w:eastAsia="MS Mincho" w:hAnsiTheme="majorHAnsi"/>
        </w:rPr>
        <w:t>PSK</w:t>
      </w:r>
      <w:r w:rsidR="00933BCC">
        <w:rPr>
          <w:rFonts w:asciiTheme="majorHAnsi" w:eastAsia="MS Mincho" w:hAnsiTheme="majorHAnsi"/>
        </w:rPr>
        <w:t>“</w:t>
      </w:r>
      <w:r w:rsidRPr="00F652F0">
        <w:rPr>
          <w:rFonts w:asciiTheme="majorHAnsi" w:eastAsia="MS Mincho" w:hAnsiTheme="majorHAnsi"/>
        </w:rPr>
        <w:t>) je naopak najmenším prispievateľom k</w:t>
      </w:r>
      <w:r w:rsidR="00BB0937">
        <w:rPr>
          <w:rFonts w:asciiTheme="majorHAnsi" w:eastAsia="MS Mincho" w:hAnsiTheme="majorHAnsi"/>
        </w:rPr>
        <w:t> </w:t>
      </w:r>
      <w:r w:rsidRPr="00F652F0">
        <w:rPr>
          <w:rFonts w:asciiTheme="majorHAnsi" w:eastAsia="MS Mincho" w:hAnsiTheme="majorHAnsi"/>
        </w:rPr>
        <w:t>celkovej hrubej pridanej hodnote SR, tri roky (2008 až 2010) jeho podiel klesal, ale v</w:t>
      </w:r>
      <w:r w:rsidR="00BB0937">
        <w:rPr>
          <w:rFonts w:asciiTheme="majorHAnsi" w:eastAsia="MS Mincho" w:hAnsiTheme="majorHAnsi"/>
        </w:rPr>
        <w:t> </w:t>
      </w:r>
      <w:r w:rsidRPr="00F652F0">
        <w:rPr>
          <w:rFonts w:asciiTheme="majorHAnsi" w:eastAsia="MS Mincho" w:hAnsiTheme="majorHAnsi"/>
        </w:rPr>
        <w:t>roku 2011 opäť mierne vzrástol na 8,8 % a</w:t>
      </w:r>
      <w:r w:rsidR="00BB0937">
        <w:rPr>
          <w:rFonts w:asciiTheme="majorHAnsi" w:eastAsia="MS Mincho" w:hAnsiTheme="majorHAnsi"/>
        </w:rPr>
        <w:t> </w:t>
      </w:r>
      <w:r w:rsidRPr="00F652F0">
        <w:rPr>
          <w:rFonts w:asciiTheme="majorHAnsi" w:eastAsia="MS Mincho" w:hAnsiTheme="majorHAnsi"/>
        </w:rPr>
        <w:t>predstihol tak Banskobystrický samosprávny kraj (</w:t>
      </w:r>
      <w:r w:rsidR="00933BCC">
        <w:rPr>
          <w:rFonts w:asciiTheme="majorHAnsi" w:eastAsia="MS Mincho" w:hAnsiTheme="majorHAnsi"/>
        </w:rPr>
        <w:t>ďalej len „</w:t>
      </w:r>
      <w:r w:rsidRPr="00F652F0">
        <w:rPr>
          <w:rFonts w:asciiTheme="majorHAnsi" w:eastAsia="MS Mincho" w:hAnsiTheme="majorHAnsi"/>
        </w:rPr>
        <w:t>BBSK</w:t>
      </w:r>
      <w:r w:rsidR="00933BCC">
        <w:rPr>
          <w:rFonts w:asciiTheme="majorHAnsi" w:eastAsia="MS Mincho" w:hAnsiTheme="majorHAnsi"/>
        </w:rPr>
        <w:t>“</w:t>
      </w:r>
      <w:r w:rsidRPr="00F652F0">
        <w:rPr>
          <w:rFonts w:asciiTheme="majorHAnsi" w:eastAsia="MS Mincho" w:hAnsiTheme="majorHAnsi"/>
        </w:rPr>
        <w:t>).</w:t>
      </w:r>
    </w:p>
    <w:p w:rsidR="00F652F0" w:rsidRPr="00F652F0" w:rsidRDefault="00F652F0" w:rsidP="001C0BBB">
      <w:pPr>
        <w:spacing w:after="240"/>
        <w:rPr>
          <w:rFonts w:asciiTheme="majorHAnsi" w:eastAsia="MS Mincho" w:hAnsiTheme="majorHAnsi"/>
        </w:rPr>
      </w:pPr>
      <w:r w:rsidRPr="00F652F0">
        <w:rPr>
          <w:rFonts w:asciiTheme="majorHAnsi" w:eastAsia="MS Mincho" w:hAnsiTheme="majorHAnsi"/>
        </w:rPr>
        <w:t>Nielen v prostredí SR má špecifické postavenie hlavné mesto a jeho okolie, z ktorého vyplýva vysoká ekonomická sila</w:t>
      </w:r>
      <w:r w:rsidR="00462A87">
        <w:rPr>
          <w:rFonts w:asciiTheme="majorHAnsi" w:eastAsia="MS Mincho" w:hAnsiTheme="majorHAnsi"/>
        </w:rPr>
        <w:t xml:space="preserve"> BSK</w:t>
      </w:r>
      <w:r w:rsidRPr="00F652F0">
        <w:rPr>
          <w:rFonts w:asciiTheme="majorHAnsi" w:eastAsia="MS Mincho" w:hAnsiTheme="majorHAnsi"/>
        </w:rPr>
        <w:t>. Podobne sú na tom mnohé iné hlavné mestá EÚ a ich najbližšie okolie</w:t>
      </w:r>
      <w:r w:rsidR="00462A87">
        <w:rPr>
          <w:rFonts w:asciiTheme="majorHAnsi" w:eastAsia="MS Mincho" w:hAnsiTheme="majorHAnsi"/>
        </w:rPr>
        <w:t>,</w:t>
      </w:r>
      <w:r w:rsidRPr="00F652F0">
        <w:rPr>
          <w:rFonts w:asciiTheme="majorHAnsi" w:eastAsia="MS Mincho" w:hAnsiTheme="majorHAnsi"/>
        </w:rPr>
        <w:t xml:space="preserve"> v porovnaní s ostatnými regiónmi</w:t>
      </w:r>
      <w:r w:rsidR="00462A87">
        <w:rPr>
          <w:rFonts w:asciiTheme="majorHAnsi" w:eastAsia="MS Mincho" w:hAnsiTheme="majorHAnsi"/>
        </w:rPr>
        <w:t xml:space="preserve"> EÚ</w:t>
      </w:r>
      <w:r w:rsidRPr="00F652F0">
        <w:rPr>
          <w:rFonts w:asciiTheme="majorHAnsi" w:eastAsia="MS Mincho" w:hAnsiTheme="majorHAnsi"/>
        </w:rPr>
        <w:t xml:space="preserve"> (Londýn, Paríž, Brusel a pod.). Dôležité je však sústrediť pozornosť na vývoj v ostatných regiónoch SR a analyzovať príčiny pomalšieho ekonomického rastu, regionálnych, ale aj vnútroregionálnych rozdielov.</w:t>
      </w:r>
    </w:p>
    <w:tbl>
      <w:tblPr>
        <w:tblStyle w:val="Mriekatabuky"/>
        <w:tblW w:w="5000" w:type="pct"/>
        <w:jc w:val="center"/>
        <w:tblLook w:val="04A0" w:firstRow="1" w:lastRow="0" w:firstColumn="1" w:lastColumn="0" w:noHBand="0" w:noVBand="1"/>
      </w:tblPr>
      <w:tblGrid>
        <w:gridCol w:w="3434"/>
        <w:gridCol w:w="1664"/>
        <w:gridCol w:w="1664"/>
        <w:gridCol w:w="2524"/>
      </w:tblGrid>
      <w:tr w:rsidR="00F652F0" w:rsidRPr="00F652F0" w:rsidTr="001C0BBB">
        <w:trPr>
          <w:jc w:val="center"/>
        </w:trPr>
        <w:tc>
          <w:tcPr>
            <w:tcW w:w="5000" w:type="pct"/>
            <w:gridSpan w:val="4"/>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eastAsia="MS Mincho" w:hAnsiTheme="majorHAnsi"/>
                <w:b/>
                <w:sz w:val="20"/>
                <w:szCs w:val="20"/>
              </w:rPr>
              <w:t xml:space="preserve">Regionálny hrubý domáci produkt na obyvateľa (v Eur, </w:t>
            </w:r>
            <w:r w:rsidR="00D654CA">
              <w:rPr>
                <w:rFonts w:asciiTheme="majorHAnsi" w:eastAsia="MS Mincho" w:hAnsiTheme="majorHAnsi"/>
                <w:b/>
                <w:sz w:val="20"/>
                <w:szCs w:val="20"/>
              </w:rPr>
              <w:t>bežné</w:t>
            </w:r>
            <w:r w:rsidRPr="00F652F0">
              <w:rPr>
                <w:rFonts w:asciiTheme="majorHAnsi" w:eastAsia="MS Mincho" w:hAnsiTheme="majorHAnsi"/>
                <w:b/>
                <w:sz w:val="20"/>
                <w:szCs w:val="20"/>
              </w:rPr>
              <w:t xml:space="preserve"> c</w:t>
            </w:r>
            <w:r w:rsidR="00D654CA">
              <w:rPr>
                <w:rFonts w:asciiTheme="majorHAnsi" w:eastAsia="MS Mincho" w:hAnsiTheme="majorHAnsi"/>
                <w:b/>
                <w:sz w:val="20"/>
                <w:szCs w:val="20"/>
              </w:rPr>
              <w:t>eny</w:t>
            </w:r>
            <w:r w:rsidRPr="00F652F0">
              <w:rPr>
                <w:rFonts w:asciiTheme="majorHAnsi" w:eastAsia="MS Mincho" w:hAnsiTheme="majorHAnsi"/>
                <w:b/>
                <w:sz w:val="20"/>
                <w:szCs w:val="20"/>
              </w:rPr>
              <w:t>)</w:t>
            </w:r>
          </w:p>
        </w:tc>
      </w:tr>
      <w:tr w:rsidR="00F652F0" w:rsidRPr="00F652F0" w:rsidTr="001C0BBB">
        <w:trPr>
          <w:jc w:val="center"/>
        </w:trPr>
        <w:tc>
          <w:tcPr>
            <w:tcW w:w="1849" w:type="pct"/>
          </w:tcPr>
          <w:p w:rsidR="00F652F0" w:rsidRPr="00027848" w:rsidRDefault="00F652F0" w:rsidP="008E7522">
            <w:pPr>
              <w:spacing w:before="0" w:after="0"/>
              <w:rPr>
                <w:rFonts w:asciiTheme="majorHAnsi" w:hAnsiTheme="majorHAnsi" w:cs="Arial"/>
                <w:b/>
                <w:sz w:val="20"/>
                <w:szCs w:val="20"/>
              </w:rPr>
            </w:pPr>
            <w:r w:rsidRPr="00027848">
              <w:rPr>
                <w:rFonts w:asciiTheme="majorHAnsi" w:hAnsiTheme="majorHAnsi" w:cs="Arial"/>
                <w:b/>
                <w:sz w:val="20"/>
                <w:szCs w:val="20"/>
              </w:rPr>
              <w:t>Kraj/rok</w:t>
            </w:r>
          </w:p>
        </w:tc>
        <w:tc>
          <w:tcPr>
            <w:tcW w:w="896"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2000</w:t>
            </w:r>
          </w:p>
        </w:tc>
        <w:tc>
          <w:tcPr>
            <w:tcW w:w="896"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2011</w:t>
            </w:r>
          </w:p>
        </w:tc>
        <w:tc>
          <w:tcPr>
            <w:tcW w:w="1360"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Zmena 2000/2011 v %</w:t>
            </w:r>
          </w:p>
        </w:tc>
      </w:tr>
      <w:tr w:rsidR="00F652F0" w:rsidRPr="00F652F0" w:rsidTr="001C0BBB">
        <w:trPr>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Bratislavský samosprávny kraj (BSK)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12 530</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31 533</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152</w:t>
            </w:r>
          </w:p>
        </w:tc>
      </w:tr>
      <w:tr w:rsidR="00F652F0" w:rsidRPr="00F652F0" w:rsidTr="001C0BBB">
        <w:trPr>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Trnavský samosprávny kraj (TTSK)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6 075</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14 291</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135</w:t>
            </w:r>
          </w:p>
        </w:tc>
      </w:tr>
      <w:tr w:rsidR="00F652F0" w:rsidRPr="00F652F0" w:rsidTr="001C0BBB">
        <w:trPr>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Trenčiansky samosprávny kraj (TNSK)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5 444</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11 262</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107</w:t>
            </w:r>
          </w:p>
        </w:tc>
      </w:tr>
      <w:tr w:rsidR="00F652F0" w:rsidRPr="00F652F0" w:rsidTr="001C0BBB">
        <w:trPr>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Nitriansky samosprávny kraj (NSK)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5 011</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11 435</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128</w:t>
            </w:r>
          </w:p>
        </w:tc>
      </w:tr>
      <w:tr w:rsidR="00F652F0" w:rsidRPr="00F652F0" w:rsidTr="001C0BBB">
        <w:trPr>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Žilinský samosprávny kraj (ŽSK)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4 729</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11 040</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133</w:t>
            </w:r>
          </w:p>
        </w:tc>
      </w:tr>
      <w:tr w:rsidR="00F652F0" w:rsidRPr="00F652F0" w:rsidTr="001C0BBB">
        <w:trPr>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Banskobystrický samosprávny kraj (BBSK)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4 799</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8 955</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87</w:t>
            </w:r>
          </w:p>
        </w:tc>
      </w:tr>
      <w:tr w:rsidR="00F652F0" w:rsidRPr="00F652F0" w:rsidTr="001C0BBB">
        <w:trPr>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Prešovský samosprávny kraj (PSK)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3 517</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7 470</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112</w:t>
            </w:r>
          </w:p>
        </w:tc>
      </w:tr>
      <w:tr w:rsidR="00F652F0" w:rsidRPr="00F652F0" w:rsidTr="001C0BBB">
        <w:trPr>
          <w:trHeight w:val="70"/>
          <w:jc w:val="center"/>
        </w:trPr>
        <w:tc>
          <w:tcPr>
            <w:tcW w:w="18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sz w:val="20"/>
                <w:szCs w:val="20"/>
              </w:rPr>
              <w:t>Košický samosprávny kraj (KSK)</w:t>
            </w:r>
          </w:p>
        </w:tc>
        <w:tc>
          <w:tcPr>
            <w:tcW w:w="896" w:type="pct"/>
          </w:tcPr>
          <w:p w:rsidR="00F652F0" w:rsidRPr="00F652F0" w:rsidRDefault="00F652F0" w:rsidP="008E7522">
            <w:pPr>
              <w:tabs>
                <w:tab w:val="decimal" w:pos="885"/>
              </w:tabs>
              <w:spacing w:before="0" w:after="0"/>
              <w:jc w:val="left"/>
              <w:rPr>
                <w:rFonts w:asciiTheme="majorHAnsi" w:hAnsiTheme="majorHAnsi" w:cs="Arial"/>
                <w:sz w:val="20"/>
                <w:szCs w:val="20"/>
              </w:rPr>
            </w:pPr>
            <w:r w:rsidRPr="00F652F0">
              <w:rPr>
                <w:rFonts w:asciiTheme="majorHAnsi" w:hAnsiTheme="majorHAnsi" w:cs="Arial"/>
                <w:sz w:val="20"/>
                <w:szCs w:val="20"/>
              </w:rPr>
              <w:t>5 185</w:t>
            </w:r>
          </w:p>
        </w:tc>
        <w:tc>
          <w:tcPr>
            <w:tcW w:w="896" w:type="pct"/>
          </w:tcPr>
          <w:p w:rsidR="00F652F0" w:rsidRPr="00F652F0" w:rsidRDefault="00F652F0" w:rsidP="008E7522">
            <w:pPr>
              <w:tabs>
                <w:tab w:val="decimal" w:pos="884"/>
              </w:tabs>
              <w:spacing w:before="0" w:after="0"/>
              <w:jc w:val="left"/>
              <w:rPr>
                <w:rFonts w:asciiTheme="majorHAnsi" w:hAnsiTheme="majorHAnsi" w:cs="Arial"/>
                <w:sz w:val="20"/>
                <w:szCs w:val="20"/>
              </w:rPr>
            </w:pPr>
            <w:r w:rsidRPr="00F652F0">
              <w:rPr>
                <w:rFonts w:asciiTheme="majorHAnsi" w:hAnsiTheme="majorHAnsi" w:cs="Arial"/>
                <w:sz w:val="20"/>
                <w:szCs w:val="20"/>
              </w:rPr>
              <w:t>9 898</w:t>
            </w:r>
          </w:p>
        </w:tc>
        <w:tc>
          <w:tcPr>
            <w:tcW w:w="1360" w:type="pct"/>
            <w:vAlign w:val="bottom"/>
          </w:tcPr>
          <w:p w:rsidR="00F652F0" w:rsidRPr="00F652F0" w:rsidRDefault="00F652F0" w:rsidP="008E7522">
            <w:pPr>
              <w:tabs>
                <w:tab w:val="decimal" w:pos="1309"/>
              </w:tabs>
              <w:spacing w:before="0" w:after="0"/>
              <w:jc w:val="left"/>
              <w:rPr>
                <w:rFonts w:asciiTheme="majorHAnsi" w:hAnsiTheme="majorHAnsi" w:cs="Arial"/>
                <w:sz w:val="20"/>
                <w:szCs w:val="20"/>
              </w:rPr>
            </w:pPr>
            <w:r w:rsidRPr="00F652F0">
              <w:rPr>
                <w:rFonts w:asciiTheme="majorHAnsi" w:hAnsiTheme="majorHAnsi" w:cs="Arial"/>
                <w:sz w:val="20"/>
                <w:szCs w:val="20"/>
              </w:rPr>
              <w:t>91</w:t>
            </w:r>
          </w:p>
        </w:tc>
      </w:tr>
    </w:tbl>
    <w:p w:rsidR="00F652F0" w:rsidRPr="00F652F0" w:rsidRDefault="00F652F0" w:rsidP="00F652F0">
      <w:pPr>
        <w:tabs>
          <w:tab w:val="left" w:pos="284"/>
        </w:tabs>
        <w:spacing w:before="0"/>
        <w:rPr>
          <w:rFonts w:asciiTheme="majorHAnsi" w:eastAsia="Times New Roman" w:hAnsiTheme="majorHAnsi"/>
          <w:i/>
          <w:sz w:val="16"/>
          <w:szCs w:val="16"/>
        </w:rPr>
      </w:pPr>
      <w:r w:rsidRPr="00F652F0">
        <w:rPr>
          <w:rFonts w:asciiTheme="majorHAnsi" w:eastAsia="Times New Roman" w:hAnsiTheme="majorHAnsi"/>
          <w:i/>
          <w:sz w:val="16"/>
          <w:szCs w:val="16"/>
        </w:rPr>
        <w:t>Zdroj: Š</w:t>
      </w:r>
      <w:r w:rsidR="00462A87">
        <w:rPr>
          <w:rFonts w:asciiTheme="majorHAnsi" w:eastAsia="Times New Roman" w:hAnsiTheme="majorHAnsi"/>
          <w:i/>
          <w:sz w:val="16"/>
          <w:szCs w:val="16"/>
        </w:rPr>
        <w:t xml:space="preserve">Ú </w:t>
      </w:r>
      <w:r w:rsidRPr="00F652F0">
        <w:rPr>
          <w:rFonts w:asciiTheme="majorHAnsi" w:eastAsia="Times New Roman" w:hAnsiTheme="majorHAnsi"/>
          <w:i/>
          <w:sz w:val="16"/>
          <w:szCs w:val="16"/>
        </w:rPr>
        <w:t>SR</w:t>
      </w:r>
    </w:p>
    <w:p w:rsidR="00F652F0" w:rsidRPr="00F652F0" w:rsidRDefault="00F652F0" w:rsidP="00F652F0">
      <w:pPr>
        <w:rPr>
          <w:rFonts w:ascii="Arial" w:hAnsi="Arial" w:cs="Arial"/>
        </w:rPr>
      </w:pPr>
      <w:r w:rsidRPr="00F652F0">
        <w:rPr>
          <w:rFonts w:asciiTheme="majorHAnsi" w:eastAsia="MS Mincho" w:hAnsiTheme="majorHAnsi"/>
        </w:rPr>
        <w:t>Z tabuľky vyplýva, že za 12 rokov najviac stúpol rast HDP na obyvateľa v B</w:t>
      </w:r>
      <w:r w:rsidR="00462A87">
        <w:rPr>
          <w:rFonts w:asciiTheme="majorHAnsi" w:eastAsia="MS Mincho" w:hAnsiTheme="majorHAnsi"/>
        </w:rPr>
        <w:t>SK</w:t>
      </w:r>
      <w:r w:rsidRPr="00F652F0">
        <w:rPr>
          <w:rFonts w:asciiTheme="majorHAnsi" w:eastAsia="MS Mincho" w:hAnsiTheme="majorHAnsi"/>
        </w:rPr>
        <w:t>, T</w:t>
      </w:r>
      <w:r w:rsidR="00D654CA">
        <w:rPr>
          <w:rFonts w:asciiTheme="majorHAnsi" w:eastAsia="MS Mincho" w:hAnsiTheme="majorHAnsi"/>
        </w:rPr>
        <w:t>TSK</w:t>
      </w:r>
      <w:r w:rsidRPr="00F652F0">
        <w:rPr>
          <w:rFonts w:asciiTheme="majorHAnsi" w:eastAsia="MS Mincho" w:hAnsiTheme="majorHAnsi"/>
        </w:rPr>
        <w:t xml:space="preserve"> a Ž</w:t>
      </w:r>
      <w:r w:rsidR="00D654CA">
        <w:rPr>
          <w:rFonts w:asciiTheme="majorHAnsi" w:eastAsia="MS Mincho" w:hAnsiTheme="majorHAnsi"/>
        </w:rPr>
        <w:t>SK</w:t>
      </w:r>
      <w:r w:rsidRPr="00F652F0">
        <w:rPr>
          <w:rFonts w:asciiTheme="majorHAnsi" w:eastAsia="MS Mincho" w:hAnsiTheme="majorHAnsi"/>
        </w:rPr>
        <w:t>. Najnižší rast bol v uvedenom období zaznamenaný B</w:t>
      </w:r>
      <w:r w:rsidR="00D654CA">
        <w:rPr>
          <w:rFonts w:asciiTheme="majorHAnsi" w:eastAsia="MS Mincho" w:hAnsiTheme="majorHAnsi"/>
        </w:rPr>
        <w:t>BSK</w:t>
      </w:r>
      <w:r w:rsidRPr="00F652F0">
        <w:rPr>
          <w:rFonts w:asciiTheme="majorHAnsi" w:eastAsia="MS Mincho" w:hAnsiTheme="majorHAnsi"/>
        </w:rPr>
        <w:t xml:space="preserve"> a K</w:t>
      </w:r>
      <w:r w:rsidR="00D654CA">
        <w:rPr>
          <w:rFonts w:asciiTheme="majorHAnsi" w:eastAsia="MS Mincho" w:hAnsiTheme="majorHAnsi"/>
        </w:rPr>
        <w:t>SK</w:t>
      </w:r>
      <w:r w:rsidRPr="00F652F0">
        <w:rPr>
          <w:rFonts w:asciiTheme="majorHAnsi" w:eastAsia="MS Mincho" w:hAnsiTheme="majorHAnsi"/>
        </w:rPr>
        <w:t>.</w:t>
      </w:r>
    </w:p>
    <w:tbl>
      <w:tblPr>
        <w:tblStyle w:val="Mriekatabuky"/>
        <w:tblW w:w="5000" w:type="pct"/>
        <w:jc w:val="center"/>
        <w:tblLook w:val="04A0" w:firstRow="1" w:lastRow="0" w:firstColumn="1" w:lastColumn="0" w:noHBand="0" w:noVBand="1"/>
      </w:tblPr>
      <w:tblGrid>
        <w:gridCol w:w="3809"/>
        <w:gridCol w:w="1371"/>
        <w:gridCol w:w="4106"/>
      </w:tblGrid>
      <w:tr w:rsidR="00F652F0" w:rsidRPr="00F652F0" w:rsidTr="001C0BBB">
        <w:trPr>
          <w:tblHeader/>
          <w:jc w:val="center"/>
        </w:trPr>
        <w:tc>
          <w:tcPr>
            <w:tcW w:w="5000" w:type="pct"/>
            <w:gridSpan w:val="3"/>
          </w:tcPr>
          <w:p w:rsidR="00F652F0" w:rsidRPr="00F652F0" w:rsidRDefault="00F652F0" w:rsidP="008E7522">
            <w:pPr>
              <w:spacing w:before="0" w:after="0"/>
              <w:jc w:val="center"/>
              <w:rPr>
                <w:rFonts w:ascii="Arial" w:hAnsi="Arial" w:cs="Arial"/>
                <w:b/>
                <w:sz w:val="20"/>
                <w:szCs w:val="20"/>
              </w:rPr>
            </w:pPr>
            <w:r w:rsidRPr="00F652F0">
              <w:rPr>
                <w:rFonts w:asciiTheme="majorHAnsi" w:eastAsia="MS Mincho" w:hAnsiTheme="majorHAnsi"/>
                <w:b/>
                <w:sz w:val="20"/>
                <w:szCs w:val="20"/>
              </w:rPr>
              <w:t>Regionálny hrubý domáci produkt na obyvateľa v PKS</w:t>
            </w:r>
          </w:p>
        </w:tc>
      </w:tr>
      <w:tr w:rsidR="00F652F0" w:rsidRPr="00F652F0" w:rsidTr="001C0BBB">
        <w:trPr>
          <w:tblHeader/>
          <w:jc w:val="center"/>
        </w:trPr>
        <w:tc>
          <w:tcPr>
            <w:tcW w:w="2051"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b/>
                <w:sz w:val="20"/>
                <w:szCs w:val="20"/>
              </w:rPr>
              <w:t>Kraj/rok</w:t>
            </w:r>
          </w:p>
        </w:tc>
        <w:tc>
          <w:tcPr>
            <w:tcW w:w="738" w:type="pct"/>
          </w:tcPr>
          <w:p w:rsidR="00F652F0" w:rsidRPr="00F652F0" w:rsidRDefault="00F652F0" w:rsidP="008E7522">
            <w:pPr>
              <w:spacing w:before="0" w:after="0"/>
              <w:jc w:val="center"/>
              <w:rPr>
                <w:rFonts w:asciiTheme="majorHAnsi" w:hAnsiTheme="majorHAnsi" w:cs="Arial"/>
                <w:b/>
                <w:sz w:val="20"/>
                <w:szCs w:val="20"/>
              </w:rPr>
            </w:pPr>
            <w:r w:rsidRPr="00027848">
              <w:rPr>
                <w:rFonts w:asciiTheme="majorHAnsi" w:hAnsiTheme="majorHAnsi" w:cs="Arial"/>
                <w:b/>
                <w:sz w:val="20"/>
                <w:szCs w:val="20"/>
              </w:rPr>
              <w:t>2011</w:t>
            </w:r>
          </w:p>
        </w:tc>
        <w:tc>
          <w:tcPr>
            <w:tcW w:w="2211"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Porovnanie s priemerom EÚ 28 (%)</w:t>
            </w:r>
          </w:p>
        </w:tc>
      </w:tr>
      <w:tr w:rsidR="00F652F0" w:rsidRPr="00F652F0" w:rsidTr="001C0BBB">
        <w:trPr>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Bratislavský samosprávny kraj (BSK)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46 649</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186</w:t>
            </w:r>
          </w:p>
        </w:tc>
      </w:tr>
      <w:tr w:rsidR="00F652F0" w:rsidRPr="00F652F0" w:rsidTr="001C0BBB">
        <w:trPr>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Trnavský samosprávny kraj (TTSK)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21 141</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84</w:t>
            </w:r>
          </w:p>
        </w:tc>
      </w:tr>
      <w:tr w:rsidR="00F652F0" w:rsidRPr="00F652F0" w:rsidTr="001C0BBB">
        <w:trPr>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Trenčiansky samosprávny kraj (TNSK)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16 661</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66</w:t>
            </w:r>
          </w:p>
        </w:tc>
      </w:tr>
      <w:tr w:rsidR="00F652F0" w:rsidRPr="00F652F0" w:rsidTr="001C0BBB">
        <w:trPr>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Nitriansky samosprávny kraj (NSK)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16 916</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67</w:t>
            </w:r>
          </w:p>
        </w:tc>
      </w:tr>
      <w:tr w:rsidR="00F652F0" w:rsidRPr="00F652F0" w:rsidTr="001C0BBB">
        <w:trPr>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Žilinský samosprávny kraj (ŽSK)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16 332</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65</w:t>
            </w:r>
          </w:p>
        </w:tc>
      </w:tr>
      <w:tr w:rsidR="00F652F0" w:rsidRPr="00F652F0" w:rsidTr="001C0BBB">
        <w:trPr>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lastRenderedPageBreak/>
              <w:t>Banskobystrický samosprávny kraj (BBSK)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13 247</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53</w:t>
            </w:r>
          </w:p>
        </w:tc>
      </w:tr>
      <w:tr w:rsidR="00F652F0" w:rsidRPr="00F652F0" w:rsidTr="001C0BBB">
        <w:trPr>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Prešovský samosprávny kraj (PSK)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11 051</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44</w:t>
            </w:r>
          </w:p>
        </w:tc>
      </w:tr>
      <w:tr w:rsidR="00F652F0" w:rsidRPr="00F652F0" w:rsidTr="001C0BBB">
        <w:trPr>
          <w:trHeight w:val="70"/>
          <w:jc w:val="center"/>
        </w:trPr>
        <w:tc>
          <w:tcPr>
            <w:tcW w:w="2051"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Košický samosprávny kraj (KSK)</w:t>
            </w:r>
          </w:p>
        </w:tc>
        <w:tc>
          <w:tcPr>
            <w:tcW w:w="738" w:type="pct"/>
          </w:tcPr>
          <w:p w:rsidR="00F652F0" w:rsidRPr="00F652F0" w:rsidRDefault="00F652F0" w:rsidP="008E7522">
            <w:pPr>
              <w:tabs>
                <w:tab w:val="decimal" w:pos="741"/>
              </w:tabs>
              <w:spacing w:before="0" w:after="0"/>
              <w:jc w:val="left"/>
              <w:rPr>
                <w:rFonts w:asciiTheme="majorHAnsi" w:hAnsiTheme="majorHAnsi" w:cs="Arial"/>
                <w:sz w:val="20"/>
                <w:szCs w:val="20"/>
              </w:rPr>
            </w:pPr>
            <w:r w:rsidRPr="00F652F0">
              <w:rPr>
                <w:rFonts w:asciiTheme="majorHAnsi" w:hAnsiTheme="majorHAnsi" w:cs="Arial"/>
                <w:sz w:val="20"/>
                <w:szCs w:val="20"/>
              </w:rPr>
              <w:t>14 643</w:t>
            </w:r>
          </w:p>
        </w:tc>
        <w:tc>
          <w:tcPr>
            <w:tcW w:w="2211" w:type="pct"/>
            <w:vAlign w:val="bottom"/>
          </w:tcPr>
          <w:p w:rsidR="00F652F0" w:rsidRPr="00F652F0" w:rsidRDefault="00F652F0" w:rsidP="008E7522">
            <w:pPr>
              <w:tabs>
                <w:tab w:val="decimal" w:pos="1875"/>
              </w:tabs>
              <w:spacing w:before="0" w:after="0"/>
              <w:jc w:val="left"/>
              <w:rPr>
                <w:rFonts w:asciiTheme="majorHAnsi" w:hAnsiTheme="majorHAnsi" w:cs="Arial"/>
                <w:sz w:val="20"/>
                <w:szCs w:val="20"/>
              </w:rPr>
            </w:pPr>
            <w:r w:rsidRPr="00F652F0">
              <w:rPr>
                <w:rFonts w:asciiTheme="majorHAnsi" w:hAnsiTheme="majorHAnsi" w:cs="Arial"/>
                <w:sz w:val="20"/>
                <w:szCs w:val="20"/>
              </w:rPr>
              <w:t>58</w:t>
            </w:r>
          </w:p>
        </w:tc>
      </w:tr>
    </w:tbl>
    <w:p w:rsidR="00F652F0" w:rsidRPr="00F652F0" w:rsidRDefault="00F652F0" w:rsidP="00D654CA">
      <w:pPr>
        <w:tabs>
          <w:tab w:val="left" w:pos="284"/>
        </w:tabs>
        <w:spacing w:before="0"/>
        <w:rPr>
          <w:rFonts w:asciiTheme="majorHAnsi" w:eastAsia="MS Mincho" w:hAnsiTheme="majorHAnsi"/>
        </w:rPr>
      </w:pPr>
      <w:r w:rsidRPr="00F652F0">
        <w:rPr>
          <w:rFonts w:asciiTheme="majorHAnsi" w:eastAsia="Times New Roman" w:hAnsiTheme="majorHAnsi"/>
          <w:i/>
          <w:sz w:val="16"/>
          <w:szCs w:val="16"/>
        </w:rPr>
        <w:t>Zdroj: Eurostat</w:t>
      </w:r>
    </w:p>
    <w:p w:rsidR="00F652F0" w:rsidRPr="00F652F0" w:rsidRDefault="00F652F0" w:rsidP="001C0BBB">
      <w:pPr>
        <w:spacing w:before="240"/>
        <w:rPr>
          <w:rFonts w:asciiTheme="majorHAnsi" w:eastAsia="MS Mincho" w:hAnsiTheme="majorHAnsi"/>
        </w:rPr>
      </w:pPr>
      <w:r w:rsidRPr="00F652F0">
        <w:rPr>
          <w:rFonts w:asciiTheme="majorHAnsi" w:eastAsia="MS Mincho" w:hAnsiTheme="majorHAnsi"/>
        </w:rPr>
        <w:t xml:space="preserve">Najvýraznejšou mierou sa na tvorbe </w:t>
      </w:r>
      <w:r w:rsidR="00F56C44">
        <w:rPr>
          <w:rFonts w:asciiTheme="majorHAnsi" w:eastAsia="MS Mincho" w:hAnsiTheme="majorHAnsi"/>
        </w:rPr>
        <w:t>HPH</w:t>
      </w:r>
      <w:r w:rsidRPr="00F652F0">
        <w:rPr>
          <w:rFonts w:asciiTheme="majorHAnsi" w:eastAsia="MS Mincho" w:hAnsiTheme="majorHAnsi"/>
        </w:rPr>
        <w:t xml:space="preserve"> podieľa priemysel (ťažba a dobývanie, priemyselná výroba, dodávka elektriny a</w:t>
      </w:r>
      <w:r w:rsidR="00BB0937">
        <w:rPr>
          <w:rFonts w:asciiTheme="majorHAnsi" w:eastAsia="MS Mincho" w:hAnsiTheme="majorHAnsi"/>
        </w:rPr>
        <w:t> </w:t>
      </w:r>
      <w:r w:rsidRPr="00F652F0">
        <w:rPr>
          <w:rFonts w:asciiTheme="majorHAnsi" w:eastAsia="MS Mincho" w:hAnsiTheme="majorHAnsi"/>
        </w:rPr>
        <w:t>dodávka vody s</w:t>
      </w:r>
      <w:r w:rsidR="00BB0937">
        <w:rPr>
          <w:rFonts w:asciiTheme="majorHAnsi" w:eastAsia="MS Mincho" w:hAnsiTheme="majorHAnsi"/>
        </w:rPr>
        <w:t> </w:t>
      </w:r>
      <w:r w:rsidRPr="00F652F0">
        <w:rPr>
          <w:rFonts w:asciiTheme="majorHAnsi" w:eastAsia="MS Mincho" w:hAnsiTheme="majorHAnsi"/>
        </w:rPr>
        <w:t xml:space="preserve">odpadmi). Druhými najvýraznejšími prispievateľmi do tvorby </w:t>
      </w:r>
      <w:r w:rsidR="00F56C44">
        <w:rPr>
          <w:rFonts w:asciiTheme="majorHAnsi" w:eastAsia="MS Mincho" w:hAnsiTheme="majorHAnsi"/>
        </w:rPr>
        <w:t>HPH</w:t>
      </w:r>
      <w:r w:rsidRPr="00F652F0">
        <w:rPr>
          <w:rFonts w:asciiTheme="majorHAnsi" w:eastAsia="MS Mincho" w:hAnsiTheme="majorHAnsi"/>
        </w:rPr>
        <w:t xml:space="preserve"> je spoločný sektor veľkoobchodu a</w:t>
      </w:r>
      <w:r w:rsidR="00BB0937">
        <w:rPr>
          <w:rFonts w:asciiTheme="majorHAnsi" w:eastAsia="MS Mincho" w:hAnsiTheme="majorHAnsi"/>
        </w:rPr>
        <w:t> </w:t>
      </w:r>
      <w:r w:rsidRPr="00F652F0">
        <w:rPr>
          <w:rFonts w:asciiTheme="majorHAnsi" w:eastAsia="MS Mincho" w:hAnsiTheme="majorHAnsi"/>
        </w:rPr>
        <w:t>maloobchodu, oprava motorových vozidiel, doprava a</w:t>
      </w:r>
      <w:r w:rsidR="00BB0937">
        <w:rPr>
          <w:rFonts w:asciiTheme="majorHAnsi" w:eastAsia="MS Mincho" w:hAnsiTheme="majorHAnsi"/>
        </w:rPr>
        <w:t> </w:t>
      </w:r>
      <w:r w:rsidRPr="00F652F0">
        <w:rPr>
          <w:rFonts w:asciiTheme="majorHAnsi" w:eastAsia="MS Mincho" w:hAnsiTheme="majorHAnsi"/>
        </w:rPr>
        <w:t>skladovanie, ubytovacie a</w:t>
      </w:r>
      <w:r w:rsidR="00BB0937">
        <w:rPr>
          <w:rFonts w:asciiTheme="majorHAnsi" w:eastAsia="MS Mincho" w:hAnsiTheme="majorHAnsi"/>
        </w:rPr>
        <w:t> </w:t>
      </w:r>
      <w:r w:rsidRPr="00F652F0">
        <w:rPr>
          <w:rFonts w:asciiTheme="majorHAnsi" w:eastAsia="MS Mincho" w:hAnsiTheme="majorHAnsi"/>
        </w:rPr>
        <w:t xml:space="preserve">stravovacie služby (približne štvrtina celkovej </w:t>
      </w:r>
      <w:r w:rsidR="00F56C44">
        <w:rPr>
          <w:rFonts w:asciiTheme="majorHAnsi" w:eastAsia="MS Mincho" w:hAnsiTheme="majorHAnsi"/>
        </w:rPr>
        <w:t>HPH</w:t>
      </w:r>
      <w:r w:rsidRPr="00F652F0">
        <w:rPr>
          <w:rFonts w:asciiTheme="majorHAnsi" w:eastAsia="MS Mincho" w:hAnsiTheme="majorHAnsi"/>
        </w:rPr>
        <w:t>). Asi 15 % predstavuje spoločne verejná správa, obrana, povinné sociálne zabezpečenie, vzdelávanie, sociálne služby a</w:t>
      </w:r>
      <w:r w:rsidR="00BB0937">
        <w:rPr>
          <w:rFonts w:asciiTheme="majorHAnsi" w:eastAsia="MS Mincho" w:hAnsiTheme="majorHAnsi"/>
        </w:rPr>
        <w:t> </w:t>
      </w:r>
      <w:r w:rsidRPr="00F652F0">
        <w:rPr>
          <w:rFonts w:asciiTheme="majorHAnsi" w:eastAsia="MS Mincho" w:hAnsiTheme="majorHAnsi"/>
        </w:rPr>
        <w:t>zdravotníctvo. V</w:t>
      </w:r>
      <w:r w:rsidR="00BB0937">
        <w:rPr>
          <w:rFonts w:asciiTheme="majorHAnsi" w:eastAsia="MS Mincho" w:hAnsiTheme="majorHAnsi"/>
        </w:rPr>
        <w:t> </w:t>
      </w:r>
      <w:r w:rsidRPr="00F652F0">
        <w:rPr>
          <w:rFonts w:asciiTheme="majorHAnsi" w:eastAsia="MS Mincho" w:hAnsiTheme="majorHAnsi"/>
        </w:rPr>
        <w:t>posledných rokoch (od roku 2007) sa sektor stavebníctva podieľa na asi 10 % z</w:t>
      </w:r>
      <w:r w:rsidR="00BB0937">
        <w:rPr>
          <w:rFonts w:asciiTheme="majorHAnsi" w:eastAsia="MS Mincho" w:hAnsiTheme="majorHAnsi"/>
        </w:rPr>
        <w:t> </w:t>
      </w:r>
      <w:r w:rsidRPr="00F652F0">
        <w:rPr>
          <w:rFonts w:asciiTheme="majorHAnsi" w:eastAsia="MS Mincho" w:hAnsiTheme="majorHAnsi"/>
        </w:rPr>
        <w:t>celkovej</w:t>
      </w:r>
      <w:r w:rsidR="00BB0937">
        <w:rPr>
          <w:rFonts w:asciiTheme="majorHAnsi" w:eastAsia="MS Mincho" w:hAnsiTheme="majorHAnsi"/>
        </w:rPr>
        <w:t xml:space="preserve"> </w:t>
      </w:r>
      <w:r w:rsidRPr="00F652F0">
        <w:rPr>
          <w:rFonts w:asciiTheme="majorHAnsi" w:eastAsia="MS Mincho" w:hAnsiTheme="majorHAnsi"/>
        </w:rPr>
        <w:t xml:space="preserve">tvorby </w:t>
      </w:r>
      <w:r w:rsidR="00F56C44">
        <w:rPr>
          <w:rFonts w:asciiTheme="majorHAnsi" w:eastAsia="MS Mincho" w:hAnsiTheme="majorHAnsi"/>
        </w:rPr>
        <w:t>HPH</w:t>
      </w:r>
      <w:r w:rsidRPr="00F652F0">
        <w:rPr>
          <w:rFonts w:asciiTheme="majorHAnsi" w:eastAsia="MS Mincho" w:hAnsiTheme="majorHAnsi"/>
        </w:rPr>
        <w:t>. Prepad poľnohospodárstva súvisí s</w:t>
      </w:r>
      <w:r w:rsidR="00BB0937">
        <w:rPr>
          <w:rFonts w:asciiTheme="majorHAnsi" w:eastAsia="MS Mincho" w:hAnsiTheme="majorHAnsi"/>
        </w:rPr>
        <w:t> </w:t>
      </w:r>
      <w:r w:rsidRPr="00F652F0">
        <w:rPr>
          <w:rFonts w:asciiTheme="majorHAnsi" w:eastAsia="MS Mincho" w:hAnsiTheme="majorHAnsi"/>
        </w:rPr>
        <w:t>uvoľnením</w:t>
      </w:r>
      <w:r w:rsidR="00BB0937">
        <w:rPr>
          <w:rFonts w:asciiTheme="majorHAnsi" w:eastAsia="MS Mincho" w:hAnsiTheme="majorHAnsi"/>
        </w:rPr>
        <w:t xml:space="preserve"> </w:t>
      </w:r>
      <w:r w:rsidRPr="00F652F0">
        <w:rPr>
          <w:rFonts w:asciiTheme="majorHAnsi" w:eastAsia="MS Mincho" w:hAnsiTheme="majorHAnsi"/>
        </w:rPr>
        <w:t>domáceho trhu v</w:t>
      </w:r>
      <w:r w:rsidR="00BB0937">
        <w:rPr>
          <w:rFonts w:asciiTheme="majorHAnsi" w:eastAsia="MS Mincho" w:hAnsiTheme="majorHAnsi"/>
        </w:rPr>
        <w:t> </w:t>
      </w:r>
      <w:r w:rsidRPr="00F652F0">
        <w:rPr>
          <w:rFonts w:asciiTheme="majorHAnsi" w:eastAsia="MS Mincho" w:hAnsiTheme="majorHAnsi"/>
        </w:rPr>
        <w:t>prospech</w:t>
      </w:r>
      <w:r w:rsidR="00BB0937">
        <w:rPr>
          <w:rFonts w:asciiTheme="majorHAnsi" w:eastAsia="MS Mincho" w:hAnsiTheme="majorHAnsi"/>
        </w:rPr>
        <w:t xml:space="preserve"> </w:t>
      </w:r>
      <w:r w:rsidRPr="00F652F0">
        <w:rPr>
          <w:rFonts w:asciiTheme="majorHAnsi" w:eastAsia="MS Mincho" w:hAnsiTheme="majorHAnsi"/>
        </w:rPr>
        <w:t>zahraničných obchodných reťazcov. Nevyužíva sa potenciál pôdohospodárstva a</w:t>
      </w:r>
      <w:r w:rsidR="00BB0937">
        <w:rPr>
          <w:rFonts w:asciiTheme="majorHAnsi" w:eastAsia="MS Mincho" w:hAnsiTheme="majorHAnsi"/>
        </w:rPr>
        <w:t> </w:t>
      </w:r>
      <w:r w:rsidRPr="00F652F0">
        <w:rPr>
          <w:rFonts w:asciiTheme="majorHAnsi" w:eastAsia="MS Mincho" w:hAnsiTheme="majorHAnsi"/>
        </w:rPr>
        <w:t>finalizácia</w:t>
      </w:r>
      <w:r w:rsidR="00BB0937">
        <w:rPr>
          <w:rFonts w:asciiTheme="majorHAnsi" w:eastAsia="MS Mincho" w:hAnsiTheme="majorHAnsi"/>
        </w:rPr>
        <w:t xml:space="preserve"> </w:t>
      </w:r>
      <w:r w:rsidRPr="00F652F0">
        <w:rPr>
          <w:rFonts w:asciiTheme="majorHAnsi" w:eastAsia="MS Mincho" w:hAnsiTheme="majorHAnsi"/>
        </w:rPr>
        <w:t>prvovýroby v</w:t>
      </w:r>
      <w:r w:rsidR="00BB0937">
        <w:rPr>
          <w:rFonts w:asciiTheme="majorHAnsi" w:eastAsia="MS Mincho" w:hAnsiTheme="majorHAnsi"/>
        </w:rPr>
        <w:t> </w:t>
      </w:r>
      <w:r w:rsidRPr="00F652F0">
        <w:rPr>
          <w:rFonts w:asciiTheme="majorHAnsi" w:eastAsia="MS Mincho" w:hAnsiTheme="majorHAnsi"/>
        </w:rPr>
        <w:t>potravinárskom</w:t>
      </w:r>
      <w:r w:rsidR="00BB0937">
        <w:rPr>
          <w:rFonts w:asciiTheme="majorHAnsi" w:eastAsia="MS Mincho" w:hAnsiTheme="majorHAnsi"/>
        </w:rPr>
        <w:t xml:space="preserve"> </w:t>
      </w:r>
      <w:r w:rsidRPr="00F652F0">
        <w:rPr>
          <w:rFonts w:asciiTheme="majorHAnsi" w:eastAsia="MS Mincho" w:hAnsiTheme="majorHAnsi"/>
        </w:rPr>
        <w:t>priemysle v</w:t>
      </w:r>
      <w:r w:rsidR="00BB0937">
        <w:rPr>
          <w:rFonts w:asciiTheme="majorHAnsi" w:eastAsia="MS Mincho" w:hAnsiTheme="majorHAnsi"/>
        </w:rPr>
        <w:t> </w:t>
      </w:r>
      <w:r w:rsidRPr="00F652F0">
        <w:rPr>
          <w:rFonts w:asciiTheme="majorHAnsi" w:eastAsia="MS Mincho" w:hAnsiTheme="majorHAnsi"/>
        </w:rPr>
        <w:t>prospech hospodárskeho rastu a</w:t>
      </w:r>
      <w:r w:rsidR="00BB0937">
        <w:rPr>
          <w:rFonts w:asciiTheme="majorHAnsi" w:eastAsia="MS Mincho" w:hAnsiTheme="majorHAnsi"/>
        </w:rPr>
        <w:t> </w:t>
      </w:r>
      <w:r w:rsidRPr="00F652F0">
        <w:rPr>
          <w:rFonts w:asciiTheme="majorHAnsi" w:eastAsia="MS Mincho" w:hAnsiTheme="majorHAnsi"/>
        </w:rPr>
        <w:t>znižovania</w:t>
      </w:r>
      <w:r w:rsidR="00BB0937">
        <w:rPr>
          <w:rFonts w:asciiTheme="majorHAnsi" w:eastAsia="MS Mincho" w:hAnsiTheme="majorHAnsi"/>
        </w:rPr>
        <w:t xml:space="preserve"> </w:t>
      </w:r>
      <w:r w:rsidRPr="00F652F0">
        <w:rPr>
          <w:rFonts w:asciiTheme="majorHAnsi" w:eastAsia="MS Mincho" w:hAnsiTheme="majorHAnsi"/>
        </w:rPr>
        <w:t>vysokej nezamestnanosti v</w:t>
      </w:r>
      <w:r w:rsidR="00BB0937">
        <w:rPr>
          <w:rFonts w:asciiTheme="majorHAnsi" w:eastAsia="MS Mincho" w:hAnsiTheme="majorHAnsi"/>
        </w:rPr>
        <w:t> </w:t>
      </w:r>
      <w:r w:rsidRPr="00F652F0">
        <w:rPr>
          <w:rFonts w:asciiTheme="majorHAnsi" w:eastAsia="MS Mincho" w:hAnsiTheme="majorHAnsi"/>
        </w:rPr>
        <w:t>najzaostalejších</w:t>
      </w:r>
      <w:r w:rsidR="00BB0937">
        <w:rPr>
          <w:rFonts w:asciiTheme="majorHAnsi" w:eastAsia="MS Mincho" w:hAnsiTheme="majorHAnsi"/>
        </w:rPr>
        <w:t xml:space="preserve"> </w:t>
      </w:r>
      <w:r w:rsidRPr="00F652F0">
        <w:rPr>
          <w:rFonts w:asciiTheme="majorHAnsi" w:eastAsia="MS Mincho" w:hAnsiTheme="majorHAnsi"/>
        </w:rPr>
        <w:t>okresoch stredného a</w:t>
      </w:r>
      <w:r w:rsidR="00BB0937">
        <w:rPr>
          <w:rFonts w:asciiTheme="majorHAnsi" w:eastAsia="MS Mincho" w:hAnsiTheme="majorHAnsi"/>
        </w:rPr>
        <w:t> </w:t>
      </w:r>
      <w:r w:rsidRPr="00F652F0">
        <w:rPr>
          <w:rFonts w:asciiTheme="majorHAnsi" w:eastAsia="MS Mincho" w:hAnsiTheme="majorHAnsi"/>
        </w:rPr>
        <w:t>východného Slovenska.</w:t>
      </w:r>
    </w:p>
    <w:p w:rsidR="00F652F0" w:rsidRPr="00F652F0" w:rsidRDefault="00F652F0" w:rsidP="001C0BBB">
      <w:pPr>
        <w:spacing w:after="240"/>
        <w:rPr>
          <w:rFonts w:asciiTheme="majorHAnsi" w:eastAsia="MS Mincho" w:hAnsiTheme="majorHAnsi"/>
        </w:rPr>
      </w:pPr>
      <w:r w:rsidRPr="00F652F0">
        <w:rPr>
          <w:rFonts w:asciiTheme="majorHAnsi" w:eastAsia="MS Mincho" w:hAnsiTheme="majorHAnsi"/>
        </w:rPr>
        <w:t>Okrem už uvedených faktorov možno spomenúť aj prílev zahraničných investícií, ktoré sa však najčastejšie koncentrujú v </w:t>
      </w:r>
      <w:r w:rsidR="00D654CA">
        <w:rPr>
          <w:rFonts w:asciiTheme="majorHAnsi" w:eastAsia="MS Mincho" w:hAnsiTheme="majorHAnsi"/>
        </w:rPr>
        <w:t>BSK</w:t>
      </w:r>
      <w:r w:rsidRPr="00F652F0">
        <w:rPr>
          <w:rFonts w:asciiTheme="majorHAnsi" w:eastAsia="MS Mincho" w:hAnsiTheme="majorHAnsi"/>
        </w:rPr>
        <w:t xml:space="preserve"> (sídla firiem a pod.). Rozloženie zahraničných investícii v</w:t>
      </w:r>
      <w:r w:rsidR="00BB0937">
        <w:rPr>
          <w:rFonts w:asciiTheme="majorHAnsi" w:eastAsia="MS Mincho" w:hAnsiTheme="majorHAnsi"/>
        </w:rPr>
        <w:t> </w:t>
      </w:r>
      <w:r w:rsidRPr="00F652F0">
        <w:rPr>
          <w:rFonts w:asciiTheme="majorHAnsi" w:eastAsia="MS Mincho" w:hAnsiTheme="majorHAnsi"/>
        </w:rPr>
        <w:t>jednotlivých</w:t>
      </w:r>
      <w:r w:rsidR="00BB0937">
        <w:rPr>
          <w:rFonts w:asciiTheme="majorHAnsi" w:eastAsia="MS Mincho" w:hAnsiTheme="majorHAnsi"/>
        </w:rPr>
        <w:t xml:space="preserve"> </w:t>
      </w:r>
      <w:r w:rsidRPr="00F652F0">
        <w:rPr>
          <w:rFonts w:asciiTheme="majorHAnsi" w:eastAsia="MS Mincho" w:hAnsiTheme="majorHAnsi"/>
        </w:rPr>
        <w:t>krajoch</w:t>
      </w:r>
      <w:r w:rsidR="00D654CA">
        <w:rPr>
          <w:rFonts w:asciiTheme="majorHAnsi" w:eastAsia="MS Mincho" w:hAnsiTheme="majorHAnsi"/>
        </w:rPr>
        <w:t xml:space="preserve"> SR</w:t>
      </w:r>
      <w:r w:rsidRPr="00F652F0">
        <w:rPr>
          <w:rFonts w:asciiTheme="majorHAnsi" w:eastAsia="MS Mincho" w:hAnsiTheme="majorHAnsi"/>
        </w:rPr>
        <w:t xml:space="preserve"> prezentuje nasledovný graf.</w:t>
      </w:r>
    </w:p>
    <w:p w:rsidR="00F652F0" w:rsidRPr="00F652F0" w:rsidRDefault="00F652F0" w:rsidP="00F652F0">
      <w:pPr>
        <w:rPr>
          <w:rFonts w:ascii="Arial" w:hAnsi="Arial" w:cs="Arial"/>
          <w:b/>
          <w:i/>
          <w:sz w:val="18"/>
          <w:szCs w:val="18"/>
        </w:rPr>
      </w:pPr>
      <w:r w:rsidRPr="008B3750">
        <w:rPr>
          <w:noProof/>
          <w:lang w:eastAsia="sk-SK"/>
        </w:rPr>
        <w:drawing>
          <wp:inline distT="0" distB="0" distL="0" distR="0" wp14:anchorId="664FBFA4" wp14:editId="1C77E16E">
            <wp:extent cx="5467350" cy="2524125"/>
            <wp:effectExtent l="0" t="0" r="19050"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52F0" w:rsidRPr="00027848" w:rsidRDefault="00F652F0" w:rsidP="001C0BBB">
      <w:pPr>
        <w:spacing w:after="240"/>
        <w:rPr>
          <w:rFonts w:ascii="Arial" w:hAnsi="Arial" w:cs="Arial"/>
          <w:b/>
          <w:i/>
          <w:sz w:val="18"/>
          <w:szCs w:val="18"/>
        </w:rPr>
      </w:pPr>
      <w:r w:rsidRPr="00027848">
        <w:rPr>
          <w:rFonts w:asciiTheme="majorHAnsi" w:eastAsia="Times New Roman" w:hAnsiTheme="majorHAnsi"/>
          <w:i/>
          <w:sz w:val="16"/>
          <w:szCs w:val="16"/>
        </w:rPr>
        <w:t>Zdroj: Národná banka Slovenska</w:t>
      </w:r>
    </w:p>
    <w:tbl>
      <w:tblPr>
        <w:tblStyle w:val="Mriekatabuky"/>
        <w:tblW w:w="5000" w:type="pct"/>
        <w:jc w:val="center"/>
        <w:tblLook w:val="04A0" w:firstRow="1" w:lastRow="0" w:firstColumn="1" w:lastColumn="0" w:noHBand="0" w:noVBand="1"/>
      </w:tblPr>
      <w:tblGrid>
        <w:gridCol w:w="5848"/>
        <w:gridCol w:w="1989"/>
        <w:gridCol w:w="1449"/>
      </w:tblGrid>
      <w:tr w:rsidR="00F652F0" w:rsidRPr="00F652F0" w:rsidTr="001C0BBB">
        <w:trPr>
          <w:trHeight w:val="8"/>
          <w:jc w:val="center"/>
        </w:trPr>
        <w:tc>
          <w:tcPr>
            <w:tcW w:w="5000" w:type="pct"/>
            <w:gridSpan w:val="3"/>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Vývoj celkovej zamestnanosti v regiónoch SR</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b/>
                <w:sz w:val="20"/>
                <w:szCs w:val="20"/>
              </w:rPr>
              <w:t>Kraj/rok</w:t>
            </w:r>
          </w:p>
        </w:tc>
        <w:tc>
          <w:tcPr>
            <w:tcW w:w="1071"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2000</w:t>
            </w:r>
          </w:p>
        </w:tc>
        <w:tc>
          <w:tcPr>
            <w:tcW w:w="780"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2011</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Bratislavský samosprávny kraj (BSK)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362 788</w:t>
            </w:r>
          </w:p>
        </w:tc>
        <w:tc>
          <w:tcPr>
            <w:tcW w:w="780" w:type="pct"/>
          </w:tcPr>
          <w:p w:rsidR="00F652F0" w:rsidRPr="00F652F0" w:rsidRDefault="00F652F0" w:rsidP="008E7522">
            <w:pPr>
              <w:pStyle w:val="Default"/>
              <w:tabs>
                <w:tab w:val="decimal" w:pos="932"/>
              </w:tabs>
              <w:rPr>
                <w:rFonts w:asciiTheme="majorHAnsi" w:hAnsiTheme="majorHAnsi" w:cs="Arial"/>
                <w:sz w:val="20"/>
                <w:szCs w:val="20"/>
              </w:rPr>
            </w:pPr>
            <w:r w:rsidRPr="00F652F0">
              <w:rPr>
                <w:rFonts w:asciiTheme="majorHAnsi" w:hAnsiTheme="majorHAnsi"/>
                <w:sz w:val="20"/>
                <w:szCs w:val="20"/>
              </w:rPr>
              <w:t>424 389</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Trnavský samosprávny kraj (TTSK)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198 363</w:t>
            </w:r>
          </w:p>
        </w:tc>
        <w:tc>
          <w:tcPr>
            <w:tcW w:w="780" w:type="pct"/>
          </w:tcPr>
          <w:p w:rsidR="00F652F0" w:rsidRPr="00F652F0" w:rsidRDefault="00F652F0" w:rsidP="008E7522">
            <w:pPr>
              <w:pStyle w:val="Default"/>
              <w:tabs>
                <w:tab w:val="decimal" w:pos="932"/>
              </w:tabs>
              <w:rPr>
                <w:rFonts w:asciiTheme="majorHAnsi" w:hAnsiTheme="majorHAnsi"/>
                <w:sz w:val="20"/>
                <w:szCs w:val="20"/>
              </w:rPr>
            </w:pPr>
            <w:r w:rsidRPr="00F652F0">
              <w:rPr>
                <w:rFonts w:asciiTheme="majorHAnsi" w:hAnsiTheme="majorHAnsi"/>
                <w:sz w:val="20"/>
                <w:szCs w:val="20"/>
              </w:rPr>
              <w:t>224 274</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Trenčiansky samosprávny kraj (TNSK)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228 606</w:t>
            </w:r>
          </w:p>
        </w:tc>
        <w:tc>
          <w:tcPr>
            <w:tcW w:w="780" w:type="pct"/>
          </w:tcPr>
          <w:p w:rsidR="00F652F0" w:rsidRPr="00F652F0" w:rsidRDefault="00F652F0" w:rsidP="008E7522">
            <w:pPr>
              <w:pStyle w:val="Default"/>
              <w:tabs>
                <w:tab w:val="decimal" w:pos="932"/>
              </w:tabs>
              <w:rPr>
                <w:rFonts w:asciiTheme="majorHAnsi" w:hAnsiTheme="majorHAnsi"/>
                <w:sz w:val="20"/>
                <w:szCs w:val="20"/>
              </w:rPr>
            </w:pPr>
            <w:r w:rsidRPr="00F652F0">
              <w:rPr>
                <w:rFonts w:asciiTheme="majorHAnsi" w:hAnsiTheme="majorHAnsi"/>
                <w:sz w:val="20"/>
                <w:szCs w:val="20"/>
              </w:rPr>
              <w:t>258 476</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Nitriansky samosprávny kraj (NSK)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243 036</w:t>
            </w:r>
          </w:p>
        </w:tc>
        <w:tc>
          <w:tcPr>
            <w:tcW w:w="780" w:type="pct"/>
          </w:tcPr>
          <w:p w:rsidR="00F652F0" w:rsidRPr="00F652F0" w:rsidRDefault="00F652F0" w:rsidP="008E7522">
            <w:pPr>
              <w:pStyle w:val="Default"/>
              <w:tabs>
                <w:tab w:val="decimal" w:pos="932"/>
              </w:tabs>
              <w:rPr>
                <w:rFonts w:asciiTheme="majorHAnsi" w:hAnsiTheme="majorHAnsi"/>
                <w:sz w:val="20"/>
                <w:szCs w:val="20"/>
              </w:rPr>
            </w:pPr>
            <w:r w:rsidRPr="00F652F0">
              <w:rPr>
                <w:rFonts w:asciiTheme="majorHAnsi" w:hAnsiTheme="majorHAnsi"/>
                <w:sz w:val="20"/>
                <w:szCs w:val="20"/>
              </w:rPr>
              <w:t>270 176</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Žilinský samosprávny kraj (ŽSK)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247 224</w:t>
            </w:r>
          </w:p>
        </w:tc>
        <w:tc>
          <w:tcPr>
            <w:tcW w:w="780" w:type="pct"/>
          </w:tcPr>
          <w:p w:rsidR="00F652F0" w:rsidRPr="00F652F0" w:rsidRDefault="00F652F0" w:rsidP="008E7522">
            <w:pPr>
              <w:pStyle w:val="Default"/>
              <w:tabs>
                <w:tab w:val="decimal" w:pos="932"/>
              </w:tabs>
              <w:rPr>
                <w:rFonts w:asciiTheme="majorHAnsi" w:hAnsiTheme="majorHAnsi"/>
                <w:sz w:val="20"/>
                <w:szCs w:val="20"/>
              </w:rPr>
            </w:pPr>
            <w:r w:rsidRPr="00F652F0">
              <w:rPr>
                <w:rFonts w:asciiTheme="majorHAnsi" w:hAnsiTheme="majorHAnsi"/>
                <w:sz w:val="20"/>
                <w:szCs w:val="20"/>
              </w:rPr>
              <w:t>275 997</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Banskobystrický samosprávny kraj (BBSK)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241 963</w:t>
            </w:r>
          </w:p>
        </w:tc>
        <w:tc>
          <w:tcPr>
            <w:tcW w:w="780" w:type="pct"/>
          </w:tcPr>
          <w:p w:rsidR="00F652F0" w:rsidRPr="00F652F0" w:rsidRDefault="00F652F0" w:rsidP="008E7522">
            <w:pPr>
              <w:pStyle w:val="Default"/>
              <w:tabs>
                <w:tab w:val="decimal" w:pos="932"/>
              </w:tabs>
              <w:rPr>
                <w:rFonts w:asciiTheme="majorHAnsi" w:hAnsiTheme="majorHAnsi"/>
                <w:sz w:val="20"/>
                <w:szCs w:val="20"/>
              </w:rPr>
            </w:pPr>
            <w:r w:rsidRPr="00F652F0">
              <w:rPr>
                <w:rFonts w:asciiTheme="majorHAnsi" w:hAnsiTheme="majorHAnsi"/>
                <w:sz w:val="20"/>
                <w:szCs w:val="20"/>
              </w:rPr>
              <w:t>235 799</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Prešovský samosprávny kraj (PSK)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243 394</w:t>
            </w:r>
          </w:p>
        </w:tc>
        <w:tc>
          <w:tcPr>
            <w:tcW w:w="780" w:type="pct"/>
          </w:tcPr>
          <w:p w:rsidR="00F652F0" w:rsidRPr="00F652F0" w:rsidRDefault="00F652F0" w:rsidP="008E7522">
            <w:pPr>
              <w:pStyle w:val="Default"/>
              <w:tabs>
                <w:tab w:val="decimal" w:pos="932"/>
              </w:tabs>
              <w:rPr>
                <w:rFonts w:asciiTheme="majorHAnsi" w:hAnsiTheme="majorHAnsi"/>
                <w:sz w:val="20"/>
                <w:szCs w:val="20"/>
              </w:rPr>
            </w:pPr>
            <w:r w:rsidRPr="00F652F0">
              <w:rPr>
                <w:rFonts w:asciiTheme="majorHAnsi" w:hAnsiTheme="majorHAnsi"/>
                <w:sz w:val="20"/>
                <w:szCs w:val="20"/>
              </w:rPr>
              <w:t>245 936</w:t>
            </w:r>
          </w:p>
        </w:tc>
      </w:tr>
      <w:tr w:rsidR="00F652F0" w:rsidRPr="00F652F0" w:rsidTr="001C0BBB">
        <w:trPr>
          <w:trHeight w:val="85"/>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Košický samosprávny kraj (KSK)</w:t>
            </w:r>
          </w:p>
        </w:tc>
        <w:tc>
          <w:tcPr>
            <w:tcW w:w="1071" w:type="pct"/>
          </w:tcPr>
          <w:p w:rsidR="00F652F0" w:rsidRPr="00F652F0" w:rsidRDefault="00F652F0" w:rsidP="008E7522">
            <w:pPr>
              <w:pStyle w:val="Default"/>
              <w:tabs>
                <w:tab w:val="decimal" w:pos="1341"/>
              </w:tabs>
              <w:rPr>
                <w:rFonts w:asciiTheme="majorHAnsi" w:hAnsiTheme="majorHAnsi"/>
                <w:sz w:val="20"/>
                <w:szCs w:val="20"/>
              </w:rPr>
            </w:pPr>
            <w:r w:rsidRPr="00F652F0">
              <w:rPr>
                <w:rFonts w:asciiTheme="majorHAnsi" w:hAnsiTheme="majorHAnsi"/>
                <w:sz w:val="20"/>
                <w:szCs w:val="20"/>
              </w:rPr>
              <w:t>259 474</w:t>
            </w:r>
          </w:p>
        </w:tc>
        <w:tc>
          <w:tcPr>
            <w:tcW w:w="780" w:type="pct"/>
          </w:tcPr>
          <w:p w:rsidR="00F652F0" w:rsidRPr="00F652F0" w:rsidRDefault="00F652F0" w:rsidP="008E7522">
            <w:pPr>
              <w:pStyle w:val="Default"/>
              <w:tabs>
                <w:tab w:val="decimal" w:pos="932"/>
              </w:tabs>
              <w:rPr>
                <w:rFonts w:asciiTheme="majorHAnsi" w:hAnsiTheme="majorHAnsi"/>
                <w:sz w:val="20"/>
                <w:szCs w:val="20"/>
              </w:rPr>
            </w:pPr>
            <w:r w:rsidRPr="00F652F0">
              <w:rPr>
                <w:rFonts w:asciiTheme="majorHAnsi" w:hAnsiTheme="majorHAnsi"/>
                <w:sz w:val="20"/>
                <w:szCs w:val="20"/>
              </w:rPr>
              <w:t>273 266</w:t>
            </w:r>
          </w:p>
        </w:tc>
      </w:tr>
    </w:tbl>
    <w:p w:rsidR="00F652F0" w:rsidRPr="00F652F0" w:rsidRDefault="00F652F0" w:rsidP="00F652F0">
      <w:pPr>
        <w:tabs>
          <w:tab w:val="left" w:pos="567"/>
        </w:tabs>
        <w:spacing w:before="0"/>
        <w:rPr>
          <w:rFonts w:asciiTheme="majorHAnsi" w:eastAsia="Times New Roman" w:hAnsiTheme="majorHAnsi"/>
          <w:i/>
          <w:sz w:val="16"/>
          <w:szCs w:val="16"/>
        </w:rPr>
      </w:pPr>
      <w:r w:rsidRPr="00F652F0">
        <w:rPr>
          <w:rFonts w:asciiTheme="majorHAnsi" w:eastAsia="Times New Roman" w:hAnsiTheme="majorHAnsi"/>
          <w:i/>
          <w:sz w:val="16"/>
          <w:szCs w:val="16"/>
        </w:rPr>
        <w:t>Zdroj: Š</w:t>
      </w:r>
      <w:r w:rsidR="00D654CA">
        <w:rPr>
          <w:rFonts w:asciiTheme="majorHAnsi" w:eastAsia="Times New Roman" w:hAnsiTheme="majorHAnsi"/>
          <w:i/>
          <w:sz w:val="16"/>
          <w:szCs w:val="16"/>
        </w:rPr>
        <w:t xml:space="preserve">Ú </w:t>
      </w:r>
      <w:r w:rsidRPr="00F652F0">
        <w:rPr>
          <w:rFonts w:asciiTheme="majorHAnsi" w:eastAsia="Times New Roman" w:hAnsiTheme="majorHAnsi"/>
          <w:i/>
          <w:sz w:val="16"/>
          <w:szCs w:val="16"/>
        </w:rPr>
        <w:t>SR</w:t>
      </w:r>
    </w:p>
    <w:p w:rsidR="00F652F0" w:rsidRPr="00F652F0" w:rsidRDefault="00F652F0" w:rsidP="00F652F0">
      <w:pPr>
        <w:rPr>
          <w:rFonts w:asciiTheme="majorHAnsi" w:eastAsia="MS Mincho" w:hAnsiTheme="majorHAnsi"/>
        </w:rPr>
      </w:pPr>
      <w:r w:rsidRPr="00F652F0">
        <w:rPr>
          <w:rFonts w:asciiTheme="majorHAnsi" w:eastAsia="MS Mincho" w:hAnsiTheme="majorHAnsi"/>
        </w:rPr>
        <w:t>Celková zamestnanosť (vo všetkých sektoroch) sa v</w:t>
      </w:r>
      <w:r w:rsidR="00FB04B0">
        <w:rPr>
          <w:rFonts w:asciiTheme="majorHAnsi" w:eastAsia="MS Mincho" w:hAnsiTheme="majorHAnsi"/>
        </w:rPr>
        <w:t> </w:t>
      </w:r>
      <w:r w:rsidRPr="00F652F0">
        <w:rPr>
          <w:rFonts w:asciiTheme="majorHAnsi" w:eastAsia="MS Mincho" w:hAnsiTheme="majorHAnsi"/>
        </w:rPr>
        <w:t>rokoch 2000 – 2011 najviac zvýšila v</w:t>
      </w:r>
      <w:r w:rsidR="00BB0937">
        <w:rPr>
          <w:rFonts w:asciiTheme="majorHAnsi" w:eastAsia="MS Mincho" w:hAnsiTheme="majorHAnsi"/>
        </w:rPr>
        <w:t> </w:t>
      </w:r>
      <w:r w:rsidRPr="00F652F0">
        <w:rPr>
          <w:rFonts w:asciiTheme="majorHAnsi" w:eastAsia="MS Mincho" w:hAnsiTheme="majorHAnsi"/>
        </w:rPr>
        <w:t>BSK (o 17 %), TTSK, TNSK (v každom o</w:t>
      </w:r>
      <w:r w:rsidR="00FB04B0">
        <w:rPr>
          <w:rFonts w:asciiTheme="majorHAnsi" w:eastAsia="MS Mincho" w:hAnsiTheme="majorHAnsi"/>
        </w:rPr>
        <w:t> </w:t>
      </w:r>
      <w:r w:rsidRPr="00F652F0">
        <w:rPr>
          <w:rFonts w:asciiTheme="majorHAnsi" w:eastAsia="MS Mincho" w:hAnsiTheme="majorHAnsi"/>
        </w:rPr>
        <w:t>13 %) a</w:t>
      </w:r>
      <w:r w:rsidR="00BB0937">
        <w:rPr>
          <w:rFonts w:asciiTheme="majorHAnsi" w:eastAsia="MS Mincho" w:hAnsiTheme="majorHAnsi"/>
        </w:rPr>
        <w:t> </w:t>
      </w:r>
      <w:r w:rsidRPr="00F652F0">
        <w:rPr>
          <w:rFonts w:asciiTheme="majorHAnsi" w:eastAsia="MS Mincho" w:hAnsiTheme="majorHAnsi"/>
        </w:rPr>
        <w:t>ŽSK (o 12 %). Jedine v</w:t>
      </w:r>
      <w:r w:rsidR="00BB0937">
        <w:rPr>
          <w:rFonts w:asciiTheme="majorHAnsi" w:eastAsia="MS Mincho" w:hAnsiTheme="majorHAnsi"/>
        </w:rPr>
        <w:t> </w:t>
      </w:r>
      <w:r w:rsidRPr="00F652F0">
        <w:rPr>
          <w:rFonts w:asciiTheme="majorHAnsi" w:eastAsia="MS Mincho" w:hAnsiTheme="majorHAnsi"/>
        </w:rPr>
        <w:t>BBSK nastal v</w:t>
      </w:r>
      <w:r w:rsidR="00BB0937">
        <w:rPr>
          <w:rFonts w:asciiTheme="majorHAnsi" w:eastAsia="MS Mincho" w:hAnsiTheme="majorHAnsi"/>
        </w:rPr>
        <w:t> </w:t>
      </w:r>
      <w:r w:rsidRPr="00F652F0">
        <w:rPr>
          <w:rFonts w:asciiTheme="majorHAnsi" w:eastAsia="MS Mincho" w:hAnsiTheme="majorHAnsi"/>
        </w:rPr>
        <w:t>uvedenom období pokles o</w:t>
      </w:r>
      <w:r w:rsidR="00BB0937">
        <w:rPr>
          <w:rFonts w:asciiTheme="majorHAnsi" w:eastAsia="MS Mincho" w:hAnsiTheme="majorHAnsi"/>
        </w:rPr>
        <w:t> </w:t>
      </w:r>
      <w:r w:rsidRPr="00F652F0">
        <w:rPr>
          <w:rFonts w:asciiTheme="majorHAnsi" w:eastAsia="MS Mincho" w:hAnsiTheme="majorHAnsi"/>
        </w:rPr>
        <w:t>cca 2,5 %.</w:t>
      </w:r>
    </w:p>
    <w:tbl>
      <w:tblPr>
        <w:tblStyle w:val="Mriekatabuky"/>
        <w:tblW w:w="5000" w:type="pct"/>
        <w:jc w:val="center"/>
        <w:tblLook w:val="04A0" w:firstRow="1" w:lastRow="0" w:firstColumn="1" w:lastColumn="0" w:noHBand="0" w:noVBand="1"/>
      </w:tblPr>
      <w:tblGrid>
        <w:gridCol w:w="5848"/>
        <w:gridCol w:w="1989"/>
        <w:gridCol w:w="1449"/>
      </w:tblGrid>
      <w:tr w:rsidR="00F652F0" w:rsidRPr="00F652F0" w:rsidTr="001C0BBB">
        <w:trPr>
          <w:trHeight w:val="8"/>
          <w:jc w:val="center"/>
        </w:trPr>
        <w:tc>
          <w:tcPr>
            <w:tcW w:w="5000" w:type="pct"/>
            <w:gridSpan w:val="3"/>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lastRenderedPageBreak/>
              <w:t>Populácia ohrozená chudobou a sociálnym vylúčením v %</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b/>
                <w:sz w:val="20"/>
                <w:szCs w:val="20"/>
              </w:rPr>
            </w:pPr>
            <w:r w:rsidRPr="00F652F0">
              <w:rPr>
                <w:rFonts w:asciiTheme="majorHAnsi" w:hAnsiTheme="majorHAnsi" w:cs="Arial"/>
                <w:b/>
                <w:sz w:val="20"/>
                <w:szCs w:val="20"/>
              </w:rPr>
              <w:t>Rok</w:t>
            </w:r>
          </w:p>
        </w:tc>
        <w:tc>
          <w:tcPr>
            <w:tcW w:w="1071"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2008</w:t>
            </w:r>
          </w:p>
        </w:tc>
        <w:tc>
          <w:tcPr>
            <w:tcW w:w="780" w:type="pct"/>
          </w:tcPr>
          <w:p w:rsidR="00F652F0" w:rsidRPr="00F652F0" w:rsidRDefault="00F652F0" w:rsidP="008E7522">
            <w:pPr>
              <w:spacing w:before="0" w:after="0"/>
              <w:jc w:val="center"/>
              <w:rPr>
                <w:rFonts w:asciiTheme="majorHAnsi" w:hAnsiTheme="majorHAnsi" w:cs="Arial"/>
                <w:b/>
                <w:sz w:val="20"/>
                <w:szCs w:val="20"/>
              </w:rPr>
            </w:pPr>
            <w:r w:rsidRPr="00F652F0">
              <w:rPr>
                <w:rFonts w:asciiTheme="majorHAnsi" w:hAnsiTheme="majorHAnsi" w:cs="Arial"/>
                <w:b/>
                <w:sz w:val="20"/>
                <w:szCs w:val="20"/>
              </w:rPr>
              <w:t>2012</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b/>
                <w:sz w:val="20"/>
                <w:szCs w:val="20"/>
              </w:rPr>
              <w:t>SR</w:t>
            </w:r>
          </w:p>
        </w:tc>
        <w:tc>
          <w:tcPr>
            <w:tcW w:w="1071" w:type="pct"/>
          </w:tcPr>
          <w:p w:rsidR="00F652F0" w:rsidRPr="00F652F0" w:rsidRDefault="00F652F0" w:rsidP="008E7522">
            <w:pPr>
              <w:spacing w:before="0" w:after="0"/>
              <w:ind w:left="576"/>
              <w:rPr>
                <w:rFonts w:asciiTheme="majorHAnsi" w:hAnsiTheme="majorHAnsi"/>
                <w:sz w:val="20"/>
                <w:szCs w:val="20"/>
              </w:rPr>
            </w:pPr>
            <w:r w:rsidRPr="00F652F0">
              <w:rPr>
                <w:rFonts w:asciiTheme="majorHAnsi" w:hAnsiTheme="majorHAnsi" w:cs="Arial"/>
                <w:b/>
                <w:sz w:val="20"/>
                <w:szCs w:val="20"/>
              </w:rPr>
              <w:t xml:space="preserve"> 20,6</w:t>
            </w:r>
          </w:p>
        </w:tc>
        <w:tc>
          <w:tcPr>
            <w:tcW w:w="780" w:type="pct"/>
          </w:tcPr>
          <w:p w:rsidR="00F652F0" w:rsidRPr="00F652F0" w:rsidRDefault="00F652F0" w:rsidP="008E7522">
            <w:pPr>
              <w:pStyle w:val="Default"/>
              <w:tabs>
                <w:tab w:val="decimal" w:pos="223"/>
              </w:tabs>
              <w:ind w:left="356"/>
              <w:rPr>
                <w:rFonts w:asciiTheme="majorHAnsi" w:hAnsiTheme="majorHAnsi"/>
                <w:b/>
                <w:sz w:val="20"/>
                <w:szCs w:val="20"/>
              </w:rPr>
            </w:pPr>
            <w:r w:rsidRPr="00F652F0">
              <w:rPr>
                <w:rFonts w:asciiTheme="majorHAnsi" w:hAnsiTheme="majorHAnsi"/>
                <w:sz w:val="20"/>
                <w:szCs w:val="20"/>
              </w:rPr>
              <w:t xml:space="preserve"> </w:t>
            </w:r>
            <w:r w:rsidRPr="00F652F0">
              <w:rPr>
                <w:rFonts w:asciiTheme="majorHAnsi" w:hAnsiTheme="majorHAnsi"/>
                <w:b/>
                <w:sz w:val="20"/>
                <w:szCs w:val="20"/>
              </w:rPr>
              <w:t>20,5</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Bratislavský samosprávny kraj (BSK)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13,3</w:t>
            </w:r>
          </w:p>
        </w:tc>
        <w:tc>
          <w:tcPr>
            <w:tcW w:w="780" w:type="pct"/>
          </w:tcPr>
          <w:p w:rsidR="00F652F0" w:rsidRPr="00F652F0" w:rsidRDefault="00F652F0" w:rsidP="008E7522">
            <w:pPr>
              <w:pStyle w:val="Default"/>
              <w:tabs>
                <w:tab w:val="decimal" w:pos="649"/>
              </w:tabs>
              <w:ind w:right="-865"/>
              <w:rPr>
                <w:rFonts w:asciiTheme="majorHAnsi" w:hAnsiTheme="majorHAnsi" w:cs="Arial"/>
                <w:sz w:val="20"/>
                <w:szCs w:val="20"/>
              </w:rPr>
            </w:pPr>
            <w:r w:rsidRPr="00F652F0">
              <w:rPr>
                <w:rFonts w:asciiTheme="majorHAnsi" w:hAnsiTheme="majorHAnsi"/>
                <w:sz w:val="20"/>
                <w:szCs w:val="20"/>
              </w:rPr>
              <w:t>16,9</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Trnavský samosprávny kraj (TTSK)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12,5</w:t>
            </w:r>
          </w:p>
        </w:tc>
        <w:tc>
          <w:tcPr>
            <w:tcW w:w="780" w:type="pct"/>
          </w:tcPr>
          <w:p w:rsidR="00F652F0" w:rsidRPr="00F652F0" w:rsidRDefault="00F652F0" w:rsidP="008E7522">
            <w:pPr>
              <w:pStyle w:val="Default"/>
              <w:tabs>
                <w:tab w:val="decimal" w:pos="649"/>
              </w:tabs>
              <w:ind w:right="-865"/>
              <w:rPr>
                <w:rFonts w:asciiTheme="majorHAnsi" w:hAnsiTheme="majorHAnsi"/>
                <w:sz w:val="20"/>
                <w:szCs w:val="20"/>
              </w:rPr>
            </w:pPr>
            <w:r w:rsidRPr="00F652F0">
              <w:rPr>
                <w:rFonts w:asciiTheme="majorHAnsi" w:hAnsiTheme="majorHAnsi"/>
                <w:sz w:val="20"/>
                <w:szCs w:val="20"/>
              </w:rPr>
              <w:t>16,5</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Trenčiansky samosprávny kraj (TNSK)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19,3</w:t>
            </w:r>
          </w:p>
        </w:tc>
        <w:tc>
          <w:tcPr>
            <w:tcW w:w="780" w:type="pct"/>
          </w:tcPr>
          <w:p w:rsidR="00F652F0" w:rsidRPr="00F652F0" w:rsidRDefault="00F652F0" w:rsidP="008E7522">
            <w:pPr>
              <w:pStyle w:val="Default"/>
              <w:tabs>
                <w:tab w:val="decimal" w:pos="649"/>
              </w:tabs>
              <w:ind w:right="-865"/>
              <w:rPr>
                <w:rFonts w:asciiTheme="majorHAnsi" w:hAnsiTheme="majorHAnsi"/>
                <w:sz w:val="20"/>
                <w:szCs w:val="20"/>
              </w:rPr>
            </w:pPr>
            <w:r w:rsidRPr="00F652F0">
              <w:rPr>
                <w:rFonts w:asciiTheme="majorHAnsi" w:hAnsiTheme="majorHAnsi"/>
                <w:sz w:val="20"/>
                <w:szCs w:val="20"/>
              </w:rPr>
              <w:t>15,7</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Nitriansky samosprávny kraj (NSK)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20,6</w:t>
            </w:r>
          </w:p>
        </w:tc>
        <w:tc>
          <w:tcPr>
            <w:tcW w:w="780" w:type="pct"/>
          </w:tcPr>
          <w:p w:rsidR="00F652F0" w:rsidRPr="00F652F0" w:rsidRDefault="00F652F0" w:rsidP="008E7522">
            <w:pPr>
              <w:pStyle w:val="Default"/>
              <w:tabs>
                <w:tab w:val="decimal" w:pos="649"/>
              </w:tabs>
              <w:ind w:right="-865"/>
              <w:rPr>
                <w:rFonts w:asciiTheme="majorHAnsi" w:hAnsiTheme="majorHAnsi"/>
                <w:sz w:val="20"/>
                <w:szCs w:val="20"/>
              </w:rPr>
            </w:pPr>
            <w:r w:rsidRPr="00F652F0">
              <w:rPr>
                <w:rFonts w:asciiTheme="majorHAnsi" w:hAnsiTheme="majorHAnsi"/>
                <w:sz w:val="20"/>
                <w:szCs w:val="20"/>
              </w:rPr>
              <w:t>23,0</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Žilinský samosprávny kraj (ŽSK)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17,7</w:t>
            </w:r>
          </w:p>
        </w:tc>
        <w:tc>
          <w:tcPr>
            <w:tcW w:w="780" w:type="pct"/>
          </w:tcPr>
          <w:p w:rsidR="00F652F0" w:rsidRPr="00F652F0" w:rsidRDefault="00F652F0" w:rsidP="008E7522">
            <w:pPr>
              <w:pStyle w:val="Default"/>
              <w:tabs>
                <w:tab w:val="decimal" w:pos="649"/>
              </w:tabs>
              <w:ind w:right="-865"/>
              <w:rPr>
                <w:rFonts w:asciiTheme="majorHAnsi" w:hAnsiTheme="majorHAnsi"/>
                <w:sz w:val="20"/>
                <w:szCs w:val="20"/>
              </w:rPr>
            </w:pPr>
            <w:r w:rsidRPr="00F652F0">
              <w:rPr>
                <w:rFonts w:asciiTheme="majorHAnsi" w:hAnsiTheme="majorHAnsi"/>
                <w:sz w:val="20"/>
                <w:szCs w:val="20"/>
              </w:rPr>
              <w:t>20,0</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Banskobystrický samosprávny kraj (BBSK)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23,3</w:t>
            </w:r>
          </w:p>
        </w:tc>
        <w:tc>
          <w:tcPr>
            <w:tcW w:w="780" w:type="pct"/>
          </w:tcPr>
          <w:p w:rsidR="00F652F0" w:rsidRPr="00F652F0" w:rsidRDefault="00F652F0" w:rsidP="008E7522">
            <w:pPr>
              <w:pStyle w:val="Default"/>
              <w:tabs>
                <w:tab w:val="decimal" w:pos="649"/>
              </w:tabs>
              <w:ind w:right="-865"/>
              <w:rPr>
                <w:rFonts w:asciiTheme="majorHAnsi" w:hAnsiTheme="majorHAnsi"/>
                <w:sz w:val="20"/>
                <w:szCs w:val="20"/>
              </w:rPr>
            </w:pPr>
            <w:r w:rsidRPr="00F652F0">
              <w:rPr>
                <w:rFonts w:asciiTheme="majorHAnsi" w:hAnsiTheme="majorHAnsi"/>
                <w:sz w:val="20"/>
                <w:szCs w:val="20"/>
              </w:rPr>
              <w:t>24,3</w:t>
            </w:r>
          </w:p>
        </w:tc>
      </w:tr>
      <w:tr w:rsidR="00F652F0" w:rsidRPr="00F652F0" w:rsidTr="001C0BBB">
        <w:trPr>
          <w:trHeight w:val="8"/>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Prešovský samosprávny kraj (PSK)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27,0</w:t>
            </w:r>
          </w:p>
        </w:tc>
        <w:tc>
          <w:tcPr>
            <w:tcW w:w="780" w:type="pct"/>
          </w:tcPr>
          <w:p w:rsidR="00F652F0" w:rsidRPr="00F652F0" w:rsidRDefault="00F652F0" w:rsidP="008E7522">
            <w:pPr>
              <w:pStyle w:val="Default"/>
              <w:tabs>
                <w:tab w:val="decimal" w:pos="649"/>
              </w:tabs>
              <w:ind w:right="-865"/>
              <w:rPr>
                <w:rFonts w:asciiTheme="majorHAnsi" w:hAnsiTheme="majorHAnsi"/>
                <w:sz w:val="20"/>
                <w:szCs w:val="20"/>
              </w:rPr>
            </w:pPr>
            <w:r w:rsidRPr="00F652F0">
              <w:rPr>
                <w:rFonts w:asciiTheme="majorHAnsi" w:hAnsiTheme="majorHAnsi"/>
                <w:sz w:val="20"/>
                <w:szCs w:val="20"/>
              </w:rPr>
              <w:t>24,7</w:t>
            </w:r>
          </w:p>
        </w:tc>
      </w:tr>
      <w:tr w:rsidR="00F652F0" w:rsidRPr="00F652F0" w:rsidTr="001C0BBB">
        <w:trPr>
          <w:trHeight w:val="85"/>
          <w:jc w:val="center"/>
        </w:trPr>
        <w:tc>
          <w:tcPr>
            <w:tcW w:w="3149" w:type="pct"/>
          </w:tcPr>
          <w:p w:rsidR="00F652F0" w:rsidRPr="00F652F0" w:rsidRDefault="00F652F0" w:rsidP="008E7522">
            <w:pPr>
              <w:spacing w:before="0" w:after="0"/>
              <w:rPr>
                <w:rFonts w:asciiTheme="majorHAnsi" w:hAnsiTheme="majorHAnsi" w:cs="Arial"/>
                <w:sz w:val="20"/>
                <w:szCs w:val="20"/>
              </w:rPr>
            </w:pPr>
            <w:r w:rsidRPr="00F652F0">
              <w:rPr>
                <w:rFonts w:asciiTheme="majorHAnsi" w:hAnsiTheme="majorHAnsi" w:cs="Arial"/>
                <w:sz w:val="20"/>
                <w:szCs w:val="20"/>
              </w:rPr>
              <w:t>Košický samosprávny kraj (KSK)</w:t>
            </w:r>
          </w:p>
        </w:tc>
        <w:tc>
          <w:tcPr>
            <w:tcW w:w="1071" w:type="pct"/>
          </w:tcPr>
          <w:p w:rsidR="00F652F0" w:rsidRPr="00F652F0" w:rsidRDefault="00F652F0" w:rsidP="008E7522">
            <w:pPr>
              <w:pStyle w:val="Default"/>
              <w:tabs>
                <w:tab w:val="decimal" w:pos="860"/>
              </w:tabs>
              <w:ind w:right="-865"/>
              <w:rPr>
                <w:rFonts w:asciiTheme="majorHAnsi" w:hAnsiTheme="majorHAnsi"/>
                <w:sz w:val="20"/>
                <w:szCs w:val="20"/>
              </w:rPr>
            </w:pPr>
            <w:r w:rsidRPr="00F652F0">
              <w:rPr>
                <w:rFonts w:asciiTheme="majorHAnsi" w:hAnsiTheme="majorHAnsi"/>
                <w:sz w:val="20"/>
                <w:szCs w:val="20"/>
              </w:rPr>
              <w:t>26,6</w:t>
            </w:r>
          </w:p>
        </w:tc>
        <w:tc>
          <w:tcPr>
            <w:tcW w:w="780" w:type="pct"/>
          </w:tcPr>
          <w:p w:rsidR="00F652F0" w:rsidRPr="00F652F0" w:rsidRDefault="00F652F0" w:rsidP="008E7522">
            <w:pPr>
              <w:pStyle w:val="Default"/>
              <w:tabs>
                <w:tab w:val="decimal" w:pos="649"/>
              </w:tabs>
              <w:ind w:right="-865"/>
              <w:rPr>
                <w:rFonts w:asciiTheme="majorHAnsi" w:hAnsiTheme="majorHAnsi"/>
                <w:sz w:val="20"/>
                <w:szCs w:val="20"/>
              </w:rPr>
            </w:pPr>
            <w:r w:rsidRPr="00F652F0">
              <w:rPr>
                <w:rFonts w:asciiTheme="majorHAnsi" w:hAnsiTheme="majorHAnsi"/>
                <w:sz w:val="20"/>
                <w:szCs w:val="20"/>
              </w:rPr>
              <w:t>20,6</w:t>
            </w:r>
          </w:p>
        </w:tc>
      </w:tr>
    </w:tbl>
    <w:p w:rsidR="00F652F0" w:rsidRPr="00F652F0" w:rsidRDefault="00F652F0" w:rsidP="001C0BBB">
      <w:pPr>
        <w:spacing w:before="0" w:after="240"/>
        <w:rPr>
          <w:rFonts w:asciiTheme="majorHAnsi" w:eastAsia="MS Mincho" w:hAnsiTheme="majorHAnsi"/>
        </w:rPr>
      </w:pPr>
      <w:r w:rsidRPr="00027848">
        <w:rPr>
          <w:rFonts w:asciiTheme="majorHAnsi" w:eastAsia="Times New Roman" w:hAnsiTheme="majorHAnsi"/>
          <w:i/>
          <w:sz w:val="16"/>
          <w:szCs w:val="16"/>
        </w:rPr>
        <w:t>Zdroj: Š</w:t>
      </w:r>
      <w:r w:rsidR="00D654CA">
        <w:rPr>
          <w:rFonts w:asciiTheme="majorHAnsi" w:eastAsia="Times New Roman" w:hAnsiTheme="majorHAnsi"/>
          <w:i/>
          <w:sz w:val="16"/>
          <w:szCs w:val="16"/>
        </w:rPr>
        <w:t xml:space="preserve">Ú </w:t>
      </w:r>
      <w:r w:rsidRPr="00027848">
        <w:rPr>
          <w:rFonts w:asciiTheme="majorHAnsi" w:eastAsia="Times New Roman" w:hAnsiTheme="majorHAnsi"/>
          <w:i/>
          <w:sz w:val="16"/>
          <w:szCs w:val="16"/>
        </w:rPr>
        <w:t>SR</w:t>
      </w:r>
    </w:p>
    <w:p w:rsidR="00F652F0" w:rsidRPr="00F652F0" w:rsidRDefault="00F652F0" w:rsidP="00F652F0">
      <w:pPr>
        <w:rPr>
          <w:rFonts w:asciiTheme="majorHAnsi" w:eastAsia="MS Mincho" w:hAnsiTheme="majorHAnsi"/>
        </w:rPr>
      </w:pPr>
      <w:r w:rsidRPr="00F652F0">
        <w:rPr>
          <w:rFonts w:asciiTheme="majorHAnsi" w:eastAsia="MS Mincho" w:hAnsiTheme="majorHAnsi"/>
        </w:rPr>
        <w:t>Chudobou a sociálnym vylúčením je v SR ohrozená asi pätina obyvateľstva, pričom podiel sa prakticky nemení už 5 rokov. Najmenej ohrozenými sa môžu cítiť obyvatelia v TNSK, TTSK a BSK a najväčší podiel ohrozených je naopak v PSK, BBSK a NSK.</w:t>
      </w:r>
    </w:p>
    <w:p w:rsidR="00F652F0" w:rsidRPr="00F652F0" w:rsidRDefault="00F652F0" w:rsidP="00F652F0">
      <w:pPr>
        <w:autoSpaceDE w:val="0"/>
        <w:autoSpaceDN w:val="0"/>
        <w:adjustRightInd w:val="0"/>
        <w:spacing w:before="0" w:after="0"/>
        <w:jc w:val="left"/>
        <w:rPr>
          <w:rFonts w:asciiTheme="majorHAnsi" w:eastAsia="MS Mincho" w:hAnsiTheme="majorHAnsi"/>
        </w:rPr>
      </w:pPr>
      <w:r w:rsidRPr="00F652F0">
        <w:rPr>
          <w:rFonts w:asciiTheme="majorHAnsi" w:eastAsia="MS Mincho" w:hAnsiTheme="majorHAnsi"/>
        </w:rPr>
        <w:t>Kľúčovými faktormi rozvoja regiónov SR sú:</w:t>
      </w:r>
    </w:p>
    <w:p w:rsidR="00F652F0" w:rsidRPr="00F652F0" w:rsidRDefault="00F652F0" w:rsidP="00F32A95">
      <w:pPr>
        <w:pStyle w:val="Odsekzoznamu"/>
        <w:numPr>
          <w:ilvl w:val="0"/>
          <w:numId w:val="67"/>
        </w:numPr>
        <w:autoSpaceDE w:val="0"/>
        <w:autoSpaceDN w:val="0"/>
        <w:adjustRightInd w:val="0"/>
        <w:spacing w:before="0" w:after="0"/>
        <w:jc w:val="left"/>
        <w:rPr>
          <w:rFonts w:asciiTheme="majorHAnsi" w:eastAsia="MS Mincho" w:hAnsiTheme="majorHAnsi"/>
        </w:rPr>
      </w:pPr>
      <w:r w:rsidRPr="00F652F0">
        <w:rPr>
          <w:rFonts w:asciiTheme="majorHAnsi" w:eastAsia="MS Mincho" w:hAnsiTheme="majorHAnsi"/>
        </w:rPr>
        <w:t>ľudské zdroje,</w:t>
      </w:r>
    </w:p>
    <w:p w:rsidR="00D654CA" w:rsidRPr="00F652F0" w:rsidRDefault="00F652F0" w:rsidP="00F32A95">
      <w:pPr>
        <w:pStyle w:val="Odsekzoznamu"/>
        <w:numPr>
          <w:ilvl w:val="0"/>
          <w:numId w:val="67"/>
        </w:numPr>
        <w:autoSpaceDE w:val="0"/>
        <w:autoSpaceDN w:val="0"/>
        <w:adjustRightInd w:val="0"/>
        <w:spacing w:before="0" w:after="0"/>
        <w:jc w:val="left"/>
        <w:rPr>
          <w:rFonts w:asciiTheme="majorHAnsi" w:eastAsia="MS Mincho" w:hAnsiTheme="majorHAnsi"/>
        </w:rPr>
      </w:pPr>
      <w:r w:rsidRPr="00F652F0">
        <w:rPr>
          <w:rFonts w:asciiTheme="majorHAnsi" w:eastAsia="MS Mincho" w:hAnsiTheme="majorHAnsi"/>
        </w:rPr>
        <w:t>výskum, vývoj a inovácie,</w:t>
      </w:r>
    </w:p>
    <w:p w:rsidR="00F652F0" w:rsidRPr="00D654CA" w:rsidRDefault="00F652F0" w:rsidP="00F32A95">
      <w:pPr>
        <w:pStyle w:val="Odsekzoznamu"/>
        <w:numPr>
          <w:ilvl w:val="0"/>
          <w:numId w:val="67"/>
        </w:numPr>
        <w:autoSpaceDE w:val="0"/>
        <w:autoSpaceDN w:val="0"/>
        <w:adjustRightInd w:val="0"/>
        <w:spacing w:before="0" w:after="0"/>
        <w:rPr>
          <w:rFonts w:asciiTheme="majorHAnsi" w:hAnsiTheme="majorHAnsi"/>
        </w:rPr>
      </w:pPr>
      <w:r w:rsidRPr="00D654CA">
        <w:rPr>
          <w:rFonts w:asciiTheme="majorHAnsi" w:eastAsia="MS Mincho" w:hAnsiTheme="majorHAnsi"/>
        </w:rPr>
        <w:t>základná infraštruktúra a služby, a to na základe polycentrického a vyváženého územného rozvoja založenom na integrovanom rozvoji</w:t>
      </w:r>
      <w:r w:rsidR="00D654CA">
        <w:rPr>
          <w:rFonts w:asciiTheme="majorHAnsi" w:eastAsia="MS Mincho" w:hAnsiTheme="majorHAnsi"/>
        </w:rPr>
        <w:t>,</w:t>
      </w:r>
      <w:r w:rsidRPr="00D654CA">
        <w:rPr>
          <w:rFonts w:asciiTheme="majorHAnsi" w:eastAsia="MS Mincho" w:hAnsiTheme="majorHAnsi"/>
        </w:rPr>
        <w:t xml:space="preserve"> s ohľadom na špecifické danosti regiónov SR s cieľom zvýšiť svoju konkurencieschopnosť.</w:t>
      </w:r>
    </w:p>
    <w:p w:rsidR="00BD08BB" w:rsidRPr="00A11FE0" w:rsidRDefault="00EB4BBF" w:rsidP="00F32A95">
      <w:pPr>
        <w:pStyle w:val="Nadpis3"/>
        <w:numPr>
          <w:ilvl w:val="2"/>
          <w:numId w:val="5"/>
        </w:numPr>
      </w:pPr>
      <w:bookmarkStart w:id="16" w:name="_Toc243474054"/>
      <w:bookmarkStart w:id="17" w:name="_Toc373169693"/>
      <w:r w:rsidRPr="00A11FE0">
        <w:t>Podnikateľské prostredie priaznivé pre inovácie</w:t>
      </w:r>
      <w:bookmarkEnd w:id="16"/>
      <w:bookmarkEnd w:id="17"/>
    </w:p>
    <w:p w:rsidR="00685686" w:rsidRPr="00A11FE0" w:rsidRDefault="00BD5FD5" w:rsidP="00685686">
      <w:pPr>
        <w:rPr>
          <w:rFonts w:asciiTheme="majorHAnsi" w:hAnsiTheme="majorHAnsi"/>
          <w:bCs/>
        </w:rPr>
      </w:pPr>
      <w:r>
        <w:rPr>
          <w:rFonts w:asciiTheme="majorHAnsi" w:hAnsiTheme="majorHAnsi"/>
        </w:rPr>
        <w:t>S</w:t>
      </w:r>
      <w:r w:rsidR="00A31197" w:rsidRPr="00A11FE0">
        <w:rPr>
          <w:rFonts w:asciiTheme="majorHAnsi" w:hAnsiTheme="majorHAnsi"/>
        </w:rPr>
        <w:t>R</w:t>
      </w:r>
      <w:r w:rsidR="007079C3" w:rsidRPr="00A11FE0">
        <w:rPr>
          <w:rFonts w:asciiTheme="majorHAnsi" w:hAnsiTheme="majorHAnsi"/>
        </w:rPr>
        <w:t xml:space="preserve"> patrí v rámci </w:t>
      </w:r>
      <w:r w:rsidR="00442FC4" w:rsidRPr="00A11FE0">
        <w:rPr>
          <w:rFonts w:asciiTheme="majorHAnsi" w:hAnsiTheme="majorHAnsi"/>
        </w:rPr>
        <w:t xml:space="preserve">EÚ </w:t>
      </w:r>
      <w:r>
        <w:rPr>
          <w:rFonts w:asciiTheme="majorHAnsi" w:hAnsiTheme="majorHAnsi"/>
        </w:rPr>
        <w:t>k</w:t>
      </w:r>
      <w:r w:rsidR="007079C3" w:rsidRPr="00A11FE0">
        <w:rPr>
          <w:rFonts w:asciiTheme="majorHAnsi" w:hAnsiTheme="majorHAnsi"/>
        </w:rPr>
        <w:t xml:space="preserve"> najrýchlejšie rastúcim ekonomikám. Hrubý domáci produkt </w:t>
      </w:r>
      <w:r w:rsidR="00442FC4" w:rsidRPr="00A11FE0">
        <w:rPr>
          <w:rFonts w:asciiTheme="majorHAnsi" w:hAnsiTheme="majorHAnsi"/>
        </w:rPr>
        <w:t xml:space="preserve">(ďalej len „HDP“) </w:t>
      </w:r>
      <w:r w:rsidR="007079C3" w:rsidRPr="00A11FE0">
        <w:rPr>
          <w:rFonts w:asciiTheme="majorHAnsi" w:hAnsiTheme="majorHAnsi"/>
        </w:rPr>
        <w:t xml:space="preserve">na obyvateľa v parite </w:t>
      </w:r>
      <w:r>
        <w:rPr>
          <w:rFonts w:asciiTheme="majorHAnsi" w:hAnsiTheme="majorHAnsi"/>
        </w:rPr>
        <w:t>k</w:t>
      </w:r>
      <w:r w:rsidR="007079C3" w:rsidRPr="00A11FE0">
        <w:rPr>
          <w:rFonts w:asciiTheme="majorHAnsi" w:hAnsiTheme="majorHAnsi"/>
        </w:rPr>
        <w:t xml:space="preserve">úpnej </w:t>
      </w:r>
      <w:r>
        <w:rPr>
          <w:rFonts w:asciiTheme="majorHAnsi" w:hAnsiTheme="majorHAnsi"/>
        </w:rPr>
        <w:t>s</w:t>
      </w:r>
      <w:r w:rsidR="007079C3" w:rsidRPr="00A11FE0">
        <w:rPr>
          <w:rFonts w:asciiTheme="majorHAnsi" w:hAnsiTheme="majorHAnsi"/>
        </w:rPr>
        <w:t>ily vzrástol zo 47 % priemeru EÚ27 v roku 1995 na 7</w:t>
      </w:r>
      <w:r w:rsidR="00077BED">
        <w:rPr>
          <w:rFonts w:asciiTheme="majorHAnsi" w:hAnsiTheme="majorHAnsi"/>
        </w:rPr>
        <w:t>5</w:t>
      </w:r>
      <w:r w:rsidR="007079C3" w:rsidRPr="00A11FE0">
        <w:rPr>
          <w:rFonts w:asciiTheme="majorHAnsi" w:hAnsiTheme="majorHAnsi"/>
        </w:rPr>
        <w:t xml:space="preserve"> % v roku 2012. Typ </w:t>
      </w:r>
      <w:r>
        <w:rPr>
          <w:rFonts w:asciiTheme="majorHAnsi" w:hAnsiTheme="majorHAnsi"/>
        </w:rPr>
        <w:t>k</w:t>
      </w:r>
      <w:r w:rsidR="007079C3" w:rsidRPr="00A11FE0">
        <w:rPr>
          <w:rFonts w:asciiTheme="majorHAnsi" w:hAnsiTheme="majorHAnsi"/>
        </w:rPr>
        <w:t xml:space="preserve">onkurencie, </w:t>
      </w:r>
      <w:r>
        <w:rPr>
          <w:rFonts w:asciiTheme="majorHAnsi" w:hAnsiTheme="majorHAnsi"/>
        </w:rPr>
        <w:t>k</w:t>
      </w:r>
      <w:r w:rsidR="007079C3" w:rsidRPr="00A11FE0">
        <w:rPr>
          <w:rFonts w:asciiTheme="majorHAnsi" w:hAnsiTheme="majorHAnsi"/>
        </w:rPr>
        <w:t xml:space="preserve">torý </w:t>
      </w:r>
      <w:r>
        <w:rPr>
          <w:rFonts w:asciiTheme="majorHAnsi" w:hAnsiTheme="majorHAnsi"/>
        </w:rPr>
        <w:t>s</w:t>
      </w:r>
      <w:r w:rsidR="007079C3" w:rsidRPr="00A11FE0">
        <w:rPr>
          <w:rFonts w:asciiTheme="majorHAnsi" w:hAnsiTheme="majorHAnsi"/>
        </w:rPr>
        <w:t xml:space="preserve">i </w:t>
      </w:r>
      <w:r>
        <w:rPr>
          <w:rFonts w:asciiTheme="majorHAnsi" w:hAnsiTheme="majorHAnsi"/>
        </w:rPr>
        <w:t>S</w:t>
      </w:r>
      <w:r w:rsidR="00A31197" w:rsidRPr="00A11FE0">
        <w:rPr>
          <w:rFonts w:asciiTheme="majorHAnsi" w:hAnsiTheme="majorHAnsi"/>
        </w:rPr>
        <w:t xml:space="preserve">R </w:t>
      </w:r>
      <w:r w:rsidR="007079C3" w:rsidRPr="00A11FE0">
        <w:rPr>
          <w:rFonts w:asciiTheme="majorHAnsi" w:hAnsiTheme="majorHAnsi"/>
        </w:rPr>
        <w:t>vybral</w:t>
      </w:r>
      <w:r w:rsidR="00A31197" w:rsidRPr="00A11FE0">
        <w:rPr>
          <w:rFonts w:asciiTheme="majorHAnsi" w:hAnsiTheme="majorHAnsi"/>
        </w:rPr>
        <w:t>a</w:t>
      </w:r>
      <w:r w:rsidR="007079C3" w:rsidRPr="00A11FE0">
        <w:rPr>
          <w:rFonts w:asciiTheme="majorHAnsi" w:hAnsiTheme="majorHAnsi"/>
        </w:rPr>
        <w:t>, bol založený na nízkych daniach</w:t>
      </w:r>
      <w:r w:rsidR="009633C9">
        <w:rPr>
          <w:rFonts w:asciiTheme="majorHAnsi" w:hAnsiTheme="majorHAnsi"/>
        </w:rPr>
        <w:t xml:space="preserve"> </w:t>
      </w:r>
      <w:r>
        <w:rPr>
          <w:rFonts w:asciiTheme="majorHAnsi" w:hAnsiTheme="majorHAnsi"/>
        </w:rPr>
        <w:t>a </w:t>
      </w:r>
      <w:r w:rsidR="007079C3" w:rsidRPr="00A11FE0">
        <w:rPr>
          <w:rFonts w:asciiTheme="majorHAnsi" w:hAnsiTheme="majorHAnsi"/>
        </w:rPr>
        <w:t xml:space="preserve">mzdových nákladoch, nie však na investíciách do výskumu </w:t>
      </w:r>
      <w:r>
        <w:rPr>
          <w:rFonts w:asciiTheme="majorHAnsi" w:hAnsiTheme="majorHAnsi"/>
        </w:rPr>
        <w:t>a </w:t>
      </w:r>
      <w:r w:rsidR="007079C3" w:rsidRPr="00A11FE0">
        <w:rPr>
          <w:rFonts w:asciiTheme="majorHAnsi" w:hAnsiTheme="majorHAnsi"/>
        </w:rPr>
        <w:t>inovácií</w:t>
      </w:r>
      <w:r w:rsidR="00442FC4" w:rsidRPr="00A11FE0">
        <w:rPr>
          <w:rFonts w:asciiTheme="majorHAnsi" w:hAnsiTheme="majorHAnsi"/>
        </w:rPr>
        <w:t xml:space="preserve"> (ďalej len „VaI“)</w:t>
      </w:r>
      <w:r w:rsidR="007079C3" w:rsidRPr="00A11FE0">
        <w:rPr>
          <w:rFonts w:asciiTheme="majorHAnsi" w:hAnsiTheme="majorHAnsi"/>
        </w:rPr>
        <w:t xml:space="preserve">. Tento </w:t>
      </w:r>
      <w:r w:rsidR="00B04DDE">
        <w:rPr>
          <w:rFonts w:asciiTheme="majorHAnsi" w:hAnsiTheme="majorHAnsi"/>
        </w:rPr>
        <w:t>typ</w:t>
      </w:r>
      <w:r w:rsidR="00B04DDE" w:rsidRPr="00A11FE0">
        <w:rPr>
          <w:rFonts w:asciiTheme="majorHAnsi" w:hAnsiTheme="majorHAnsi"/>
        </w:rPr>
        <w:t xml:space="preserve"> </w:t>
      </w:r>
      <w:r>
        <w:rPr>
          <w:rFonts w:asciiTheme="majorHAnsi" w:hAnsiTheme="majorHAnsi"/>
        </w:rPr>
        <w:t>k</w:t>
      </w:r>
      <w:r w:rsidR="007079C3" w:rsidRPr="00A11FE0">
        <w:rPr>
          <w:rFonts w:asciiTheme="majorHAnsi" w:hAnsiTheme="majorHAnsi"/>
        </w:rPr>
        <w:t>onkurencie nie je dlhodobo udržateľný</w:t>
      </w:r>
      <w:r w:rsidR="007079C3" w:rsidRPr="00A11FE0">
        <w:rPr>
          <w:rStyle w:val="Odkaznapoznmkupodiarou"/>
          <w:rFonts w:asciiTheme="majorHAnsi" w:hAnsiTheme="majorHAnsi"/>
        </w:rPr>
        <w:footnoteReference w:id="8"/>
      </w:r>
      <w:r w:rsidR="00250A4F" w:rsidRPr="00A11FE0">
        <w:rPr>
          <w:rFonts w:asciiTheme="majorHAnsi" w:hAnsiTheme="majorHAnsi"/>
        </w:rPr>
        <w:t xml:space="preserve">. </w:t>
      </w:r>
      <w:r>
        <w:rPr>
          <w:rFonts w:asciiTheme="majorHAnsi" w:hAnsiTheme="majorHAnsi"/>
        </w:rPr>
        <w:t>S</w:t>
      </w:r>
      <w:r w:rsidR="00A31197" w:rsidRPr="00A11FE0">
        <w:rPr>
          <w:rFonts w:asciiTheme="majorHAnsi" w:hAnsiTheme="majorHAnsi"/>
        </w:rPr>
        <w:t xml:space="preserve">R </w:t>
      </w:r>
      <w:r w:rsidR="00685686" w:rsidRPr="00A11FE0">
        <w:rPr>
          <w:rFonts w:asciiTheme="majorHAnsi" w:hAnsiTheme="majorHAnsi"/>
          <w:bCs/>
        </w:rPr>
        <w:t xml:space="preserve">patrí do </w:t>
      </w:r>
      <w:r>
        <w:rPr>
          <w:rFonts w:asciiTheme="majorHAnsi" w:hAnsiTheme="majorHAnsi"/>
          <w:bCs/>
        </w:rPr>
        <w:t>s</w:t>
      </w:r>
      <w:r w:rsidR="00685686" w:rsidRPr="00A11FE0">
        <w:rPr>
          <w:rFonts w:asciiTheme="majorHAnsi" w:hAnsiTheme="majorHAnsi"/>
          <w:bCs/>
        </w:rPr>
        <w:t xml:space="preserve">kupiny takzvaných miernych inovátorov </w:t>
      </w:r>
      <w:r>
        <w:rPr>
          <w:rFonts w:asciiTheme="majorHAnsi" w:hAnsiTheme="majorHAnsi"/>
          <w:bCs/>
        </w:rPr>
        <w:t>s </w:t>
      </w:r>
      <w:r w:rsidR="00685686" w:rsidRPr="00A11FE0">
        <w:rPr>
          <w:rFonts w:asciiTheme="majorHAnsi" w:hAnsiTheme="majorHAnsi"/>
          <w:bCs/>
        </w:rPr>
        <w:t>druhou najnižšou inovačnou výkonnosťou v</w:t>
      </w:r>
      <w:r w:rsidR="00E44C70">
        <w:rPr>
          <w:rFonts w:asciiTheme="majorHAnsi" w:hAnsiTheme="majorHAnsi"/>
          <w:bCs/>
        </w:rPr>
        <w:t> </w:t>
      </w:r>
      <w:r>
        <w:rPr>
          <w:rFonts w:asciiTheme="majorHAnsi" w:hAnsiTheme="majorHAnsi"/>
          <w:bCs/>
        </w:rPr>
        <w:t>s</w:t>
      </w:r>
      <w:r w:rsidR="00685686" w:rsidRPr="00A11FE0">
        <w:rPr>
          <w:rFonts w:asciiTheme="majorHAnsi" w:hAnsiTheme="majorHAnsi"/>
          <w:bCs/>
        </w:rPr>
        <w:t>kupine</w:t>
      </w:r>
      <w:r w:rsidR="00685686" w:rsidRPr="00A11FE0">
        <w:rPr>
          <w:rStyle w:val="Odkaznapoznmkupodiarou"/>
          <w:rFonts w:asciiTheme="majorHAnsi" w:hAnsiTheme="majorHAnsi"/>
          <w:bCs/>
        </w:rPr>
        <w:footnoteReference w:id="9"/>
      </w:r>
      <w:r w:rsidR="00685686" w:rsidRPr="00A11FE0">
        <w:rPr>
          <w:rFonts w:asciiTheme="majorHAnsi" w:hAnsiTheme="majorHAnsi"/>
          <w:bCs/>
        </w:rPr>
        <w:t>. Zánik firemnej vývojovej základne</w:t>
      </w:r>
      <w:r w:rsidR="00E44C70">
        <w:rPr>
          <w:rFonts w:asciiTheme="majorHAnsi" w:hAnsiTheme="majorHAnsi"/>
          <w:bCs/>
        </w:rPr>
        <w:t xml:space="preserve"> </w:t>
      </w:r>
      <w:r w:rsidR="00685686" w:rsidRPr="00A11FE0">
        <w:rPr>
          <w:rFonts w:asciiTheme="majorHAnsi" w:hAnsiTheme="majorHAnsi"/>
          <w:bCs/>
        </w:rPr>
        <w:t>mal</w:t>
      </w:r>
      <w:r w:rsidR="00E44C70">
        <w:rPr>
          <w:rFonts w:asciiTheme="majorHAnsi" w:hAnsiTheme="majorHAnsi"/>
          <w:bCs/>
        </w:rPr>
        <w:t xml:space="preserve"> </w:t>
      </w:r>
      <w:r w:rsidR="00685686" w:rsidRPr="00A11FE0">
        <w:rPr>
          <w:rFonts w:asciiTheme="majorHAnsi" w:hAnsiTheme="majorHAnsi"/>
          <w:bCs/>
        </w:rPr>
        <w:t xml:space="preserve">negatívny dopad na </w:t>
      </w:r>
      <w:r>
        <w:rPr>
          <w:rFonts w:asciiTheme="majorHAnsi" w:hAnsiTheme="majorHAnsi"/>
          <w:bCs/>
        </w:rPr>
        <w:t>k</w:t>
      </w:r>
      <w:r w:rsidR="00685686" w:rsidRPr="00A11FE0">
        <w:rPr>
          <w:rFonts w:asciiTheme="majorHAnsi" w:hAnsiTheme="majorHAnsi"/>
          <w:bCs/>
        </w:rPr>
        <w:t xml:space="preserve">onkurencieschopnosť </w:t>
      </w:r>
      <w:r>
        <w:rPr>
          <w:rFonts w:asciiTheme="majorHAnsi" w:hAnsiTheme="majorHAnsi"/>
          <w:bCs/>
        </w:rPr>
        <w:t>a </w:t>
      </w:r>
      <w:r w:rsidR="00685686" w:rsidRPr="00A11FE0">
        <w:rPr>
          <w:rFonts w:asciiTheme="majorHAnsi" w:hAnsiTheme="majorHAnsi"/>
          <w:bCs/>
        </w:rPr>
        <w:t xml:space="preserve">inovačnú výkonnosť priemyslu v celej </w:t>
      </w:r>
      <w:r>
        <w:rPr>
          <w:rFonts w:asciiTheme="majorHAnsi" w:hAnsiTheme="majorHAnsi"/>
          <w:bCs/>
        </w:rPr>
        <w:t>S</w:t>
      </w:r>
      <w:r w:rsidR="00685686" w:rsidRPr="00A11FE0">
        <w:rPr>
          <w:rFonts w:asciiTheme="majorHAnsi" w:hAnsiTheme="majorHAnsi"/>
          <w:bCs/>
        </w:rPr>
        <w:t xml:space="preserve">R </w:t>
      </w:r>
      <w:r>
        <w:rPr>
          <w:rFonts w:asciiTheme="majorHAnsi" w:hAnsiTheme="majorHAnsi"/>
          <w:bCs/>
        </w:rPr>
        <w:t>a </w:t>
      </w:r>
      <w:r w:rsidR="00685686" w:rsidRPr="00A11FE0">
        <w:rPr>
          <w:rFonts w:asciiTheme="majorHAnsi" w:hAnsiTheme="majorHAnsi"/>
          <w:bCs/>
        </w:rPr>
        <w:t>najmä v </w:t>
      </w:r>
      <w:r>
        <w:rPr>
          <w:rFonts w:asciiTheme="majorHAnsi" w:hAnsiTheme="majorHAnsi"/>
          <w:bCs/>
        </w:rPr>
        <w:t>k</w:t>
      </w:r>
      <w:r w:rsidR="00685686" w:rsidRPr="00A11FE0">
        <w:rPr>
          <w:rFonts w:asciiTheme="majorHAnsi" w:hAnsiTheme="majorHAnsi"/>
          <w:bCs/>
        </w:rPr>
        <w:t xml:space="preserve">rajoch mimo </w:t>
      </w:r>
      <w:r w:rsidR="009F1301">
        <w:rPr>
          <w:rFonts w:asciiTheme="majorHAnsi" w:hAnsiTheme="majorHAnsi"/>
          <w:bCs/>
        </w:rPr>
        <w:t>Bratislavského samosprávneho kraja (ďalej len „BSK“)</w:t>
      </w:r>
      <w:r w:rsidR="00685686" w:rsidRPr="00A11FE0">
        <w:rPr>
          <w:rStyle w:val="Odkaznapoznmkupodiarou"/>
          <w:rFonts w:asciiTheme="majorHAnsi" w:hAnsiTheme="majorHAnsi"/>
          <w:bCs/>
        </w:rPr>
        <w:footnoteReference w:id="10"/>
      </w:r>
      <w:r w:rsidR="00685686" w:rsidRPr="00A11FE0">
        <w:rPr>
          <w:rFonts w:asciiTheme="majorHAnsi" w:hAnsiTheme="majorHAnsi"/>
          <w:bCs/>
        </w:rPr>
        <w:t>.</w:t>
      </w:r>
    </w:p>
    <w:p w:rsidR="001D397A" w:rsidRPr="00A11FE0" w:rsidRDefault="00BD5FD5" w:rsidP="00172537">
      <w:pPr>
        <w:spacing w:after="0"/>
        <w:rPr>
          <w:rFonts w:asciiTheme="majorHAnsi" w:hAnsiTheme="majorHAnsi"/>
        </w:rPr>
      </w:pPr>
      <w:r>
        <w:rPr>
          <w:rFonts w:asciiTheme="majorHAnsi" w:hAnsiTheme="majorHAnsi"/>
        </w:rPr>
        <w:t>K</w:t>
      </w:r>
      <w:r w:rsidR="00685686" w:rsidRPr="00A11FE0">
        <w:rPr>
          <w:rFonts w:asciiTheme="majorHAnsi" w:hAnsiTheme="majorHAnsi"/>
        </w:rPr>
        <w:t xml:space="preserve">oordinovanými </w:t>
      </w:r>
      <w:r w:rsidR="001D397A" w:rsidRPr="00A11FE0">
        <w:rPr>
          <w:rFonts w:asciiTheme="majorHAnsi" w:hAnsiTheme="majorHAnsi"/>
        </w:rPr>
        <w:t xml:space="preserve">štrukturálnymi politikami </w:t>
      </w:r>
      <w:r w:rsidR="00442FC4" w:rsidRPr="00A11FE0">
        <w:rPr>
          <w:rFonts w:asciiTheme="majorHAnsi" w:hAnsiTheme="majorHAnsi"/>
        </w:rPr>
        <w:t xml:space="preserve">je potrebné </w:t>
      </w:r>
      <w:r w:rsidR="006D32E1" w:rsidRPr="00A11FE0">
        <w:rPr>
          <w:rFonts w:asciiTheme="majorHAnsi" w:hAnsiTheme="majorHAnsi"/>
        </w:rPr>
        <w:t>zlepš</w:t>
      </w:r>
      <w:r w:rsidR="00442FC4" w:rsidRPr="00A11FE0">
        <w:rPr>
          <w:rFonts w:asciiTheme="majorHAnsi" w:hAnsiTheme="majorHAnsi"/>
        </w:rPr>
        <w:t>iť</w:t>
      </w:r>
      <w:r w:rsidR="006D32E1" w:rsidRPr="00A11FE0">
        <w:rPr>
          <w:rFonts w:asciiTheme="majorHAnsi" w:hAnsiTheme="majorHAnsi"/>
        </w:rPr>
        <w:t xml:space="preserve"> inovačné prostredi</w:t>
      </w:r>
      <w:r w:rsidR="00442FC4" w:rsidRPr="00A11FE0">
        <w:rPr>
          <w:rFonts w:asciiTheme="majorHAnsi" w:hAnsiTheme="majorHAnsi"/>
        </w:rPr>
        <w:t>e</w:t>
      </w:r>
      <w:r w:rsidR="006D32E1" w:rsidRPr="00A11FE0">
        <w:rPr>
          <w:rFonts w:asciiTheme="majorHAnsi" w:hAnsiTheme="majorHAnsi"/>
        </w:rPr>
        <w:t xml:space="preserve"> </w:t>
      </w:r>
      <w:r w:rsidR="001D397A" w:rsidRPr="00A11FE0">
        <w:rPr>
          <w:rFonts w:asciiTheme="majorHAnsi" w:hAnsiTheme="majorHAnsi"/>
        </w:rPr>
        <w:t>v nasledujúcich oblastiach:</w:t>
      </w:r>
    </w:p>
    <w:p w:rsidR="006D32E1" w:rsidRPr="00A11FE0" w:rsidRDefault="006D32E1" w:rsidP="00F32A95">
      <w:pPr>
        <w:pStyle w:val="Odsekzoznamu"/>
        <w:numPr>
          <w:ilvl w:val="0"/>
          <w:numId w:val="12"/>
        </w:numPr>
        <w:ind w:left="426"/>
        <w:rPr>
          <w:rFonts w:asciiTheme="majorHAnsi" w:hAnsiTheme="majorHAnsi"/>
        </w:rPr>
      </w:pPr>
      <w:r w:rsidRPr="00A11FE0">
        <w:rPr>
          <w:rFonts w:asciiTheme="majorHAnsi" w:hAnsiTheme="majorHAnsi"/>
        </w:rPr>
        <w:t>Výskumn</w:t>
      </w:r>
      <w:r w:rsidR="00CE47C5">
        <w:rPr>
          <w:rFonts w:asciiTheme="majorHAnsi" w:hAnsiTheme="majorHAnsi"/>
        </w:rPr>
        <w:t xml:space="preserve">ý, vývojový </w:t>
      </w:r>
      <w:r w:rsidR="00BD5FD5">
        <w:rPr>
          <w:rFonts w:asciiTheme="majorHAnsi" w:hAnsiTheme="majorHAnsi"/>
        </w:rPr>
        <w:t>a </w:t>
      </w:r>
      <w:r w:rsidR="00CE47C5">
        <w:rPr>
          <w:rFonts w:asciiTheme="majorHAnsi" w:hAnsiTheme="majorHAnsi"/>
        </w:rPr>
        <w:t>inovačný</w:t>
      </w:r>
      <w:r w:rsidRPr="00A11FE0">
        <w:rPr>
          <w:rFonts w:asciiTheme="majorHAnsi" w:hAnsiTheme="majorHAnsi"/>
        </w:rPr>
        <w:t xml:space="preserve"> </w:t>
      </w:r>
      <w:r w:rsidR="00DA2CE1">
        <w:rPr>
          <w:rFonts w:asciiTheme="majorHAnsi" w:hAnsiTheme="majorHAnsi"/>
        </w:rPr>
        <w:t xml:space="preserve">(ďalej len „VVaI“) </w:t>
      </w:r>
      <w:r w:rsidRPr="00A11FE0">
        <w:rPr>
          <w:rFonts w:asciiTheme="majorHAnsi" w:hAnsiTheme="majorHAnsi"/>
        </w:rPr>
        <w:t>potenciál</w:t>
      </w:r>
      <w:r w:rsidR="009F1301">
        <w:rPr>
          <w:rFonts w:asciiTheme="majorHAnsi" w:hAnsiTheme="majorHAnsi"/>
        </w:rPr>
        <w:t xml:space="preserve"> </w:t>
      </w:r>
      <w:r w:rsidR="00BB0937">
        <w:rPr>
          <w:rFonts w:asciiTheme="majorHAnsi" w:hAnsiTheme="majorHAnsi"/>
        </w:rPr>
        <w:t>–</w:t>
      </w:r>
      <w:r w:rsidRPr="00A11FE0">
        <w:rPr>
          <w:rFonts w:asciiTheme="majorHAnsi" w:hAnsiTheme="majorHAnsi"/>
        </w:rPr>
        <w:t xml:space="preserve"> </w:t>
      </w:r>
      <w:r w:rsidR="00BD5FD5">
        <w:rPr>
          <w:rFonts w:asciiTheme="majorHAnsi" w:hAnsiTheme="majorHAnsi"/>
        </w:rPr>
        <w:t>S</w:t>
      </w:r>
      <w:r w:rsidR="003B3453" w:rsidRPr="00A11FE0">
        <w:rPr>
          <w:rFonts w:asciiTheme="majorHAnsi" w:hAnsiTheme="majorHAnsi"/>
        </w:rPr>
        <w:t xml:space="preserve">R </w:t>
      </w:r>
      <w:r w:rsidRPr="00A11FE0">
        <w:rPr>
          <w:rFonts w:asciiTheme="majorHAnsi" w:hAnsiTheme="majorHAnsi"/>
        </w:rPr>
        <w:t>potrebuje</w:t>
      </w:r>
      <w:r w:rsidR="008C1228" w:rsidRPr="00A11FE0">
        <w:rPr>
          <w:rFonts w:asciiTheme="majorHAnsi" w:hAnsiTheme="majorHAnsi"/>
        </w:rPr>
        <w:t xml:space="preserve"> výrazne zvýšiť mieru internacionalizácie</w:t>
      </w:r>
      <w:r w:rsidR="009F1301">
        <w:rPr>
          <w:rFonts w:asciiTheme="majorHAnsi" w:hAnsiTheme="majorHAnsi"/>
        </w:rPr>
        <w:t>,</w:t>
      </w:r>
      <w:r w:rsidR="008C1228" w:rsidRPr="00A11FE0">
        <w:rPr>
          <w:rFonts w:asciiTheme="majorHAnsi" w:hAnsiTheme="majorHAnsi"/>
        </w:rPr>
        <w:t xml:space="preserve"> </w:t>
      </w:r>
      <w:r w:rsidR="00BD5FD5">
        <w:rPr>
          <w:rFonts w:asciiTheme="majorHAnsi" w:hAnsiTheme="majorHAnsi"/>
        </w:rPr>
        <w:t>s </w:t>
      </w:r>
      <w:r w:rsidR="008C1228" w:rsidRPr="00A11FE0">
        <w:rPr>
          <w:rFonts w:asciiTheme="majorHAnsi" w:hAnsiTheme="majorHAnsi"/>
        </w:rPr>
        <w:t xml:space="preserve">dôrazom na zapojenie </w:t>
      </w:r>
      <w:r w:rsidR="00BD5FD5">
        <w:rPr>
          <w:rFonts w:asciiTheme="majorHAnsi" w:hAnsiTheme="majorHAnsi"/>
        </w:rPr>
        <w:t>s</w:t>
      </w:r>
      <w:r w:rsidR="008C1228" w:rsidRPr="00A11FE0">
        <w:rPr>
          <w:rFonts w:asciiTheme="majorHAnsi" w:hAnsiTheme="majorHAnsi"/>
        </w:rPr>
        <w:t xml:space="preserve">a do </w:t>
      </w:r>
      <w:r w:rsidR="00992762">
        <w:rPr>
          <w:rFonts w:asciiTheme="majorHAnsi" w:hAnsiTheme="majorHAnsi"/>
        </w:rPr>
        <w:t>E</w:t>
      </w:r>
      <w:r w:rsidR="00284B48">
        <w:rPr>
          <w:rFonts w:asciiTheme="majorHAnsi" w:hAnsiTheme="majorHAnsi"/>
        </w:rPr>
        <w:t>ur</w:t>
      </w:r>
      <w:r w:rsidR="008C1228" w:rsidRPr="00A11FE0">
        <w:rPr>
          <w:rFonts w:asciiTheme="majorHAnsi" w:hAnsiTheme="majorHAnsi"/>
        </w:rPr>
        <w:t>ópskeho výskumného priestoru</w:t>
      </w:r>
      <w:r w:rsidR="001318ED">
        <w:rPr>
          <w:rFonts w:asciiTheme="majorHAnsi" w:hAnsiTheme="majorHAnsi"/>
        </w:rPr>
        <w:t xml:space="preserve"> (ďalej </w:t>
      </w:r>
      <w:r w:rsidR="00DE1688">
        <w:rPr>
          <w:rFonts w:asciiTheme="majorHAnsi" w:hAnsiTheme="majorHAnsi"/>
        </w:rPr>
        <w:t>len „ERA“)</w:t>
      </w:r>
      <w:r w:rsidR="008C1228" w:rsidRPr="00A11FE0">
        <w:rPr>
          <w:rFonts w:asciiTheme="majorHAnsi" w:hAnsiTheme="majorHAnsi"/>
        </w:rPr>
        <w:t>, prepojiť vzdelávanie</w:t>
      </w:r>
      <w:r w:rsidR="009D19B2">
        <w:rPr>
          <w:rFonts w:asciiTheme="majorHAnsi" w:hAnsiTheme="majorHAnsi"/>
        </w:rPr>
        <w:t>,</w:t>
      </w:r>
      <w:r w:rsidR="008C1228" w:rsidRPr="00A11FE0">
        <w:rPr>
          <w:rFonts w:asciiTheme="majorHAnsi" w:hAnsiTheme="majorHAnsi"/>
        </w:rPr>
        <w:t xml:space="preserve"> </w:t>
      </w:r>
      <w:r w:rsidR="00DA2CE1">
        <w:rPr>
          <w:rFonts w:asciiTheme="majorHAnsi" w:hAnsiTheme="majorHAnsi"/>
        </w:rPr>
        <w:t>VVaI</w:t>
      </w:r>
      <w:r w:rsidR="00D129FD">
        <w:rPr>
          <w:rFonts w:asciiTheme="majorHAnsi" w:hAnsiTheme="majorHAnsi"/>
        </w:rPr>
        <w:t xml:space="preserve"> </w:t>
      </w:r>
      <w:r w:rsidR="00BD5FD5">
        <w:rPr>
          <w:rFonts w:asciiTheme="majorHAnsi" w:hAnsiTheme="majorHAnsi"/>
        </w:rPr>
        <w:t>a </w:t>
      </w:r>
      <w:r w:rsidR="00CE47C5">
        <w:rPr>
          <w:rFonts w:asciiTheme="majorHAnsi" w:hAnsiTheme="majorHAnsi"/>
        </w:rPr>
        <w:t xml:space="preserve">zvýšiť </w:t>
      </w:r>
      <w:r w:rsidR="00BD5FD5">
        <w:rPr>
          <w:rFonts w:asciiTheme="majorHAnsi" w:hAnsiTheme="majorHAnsi"/>
        </w:rPr>
        <w:t>s</w:t>
      </w:r>
      <w:r w:rsidR="00CE47C5">
        <w:rPr>
          <w:rFonts w:asciiTheme="majorHAnsi" w:hAnsiTheme="majorHAnsi"/>
        </w:rPr>
        <w:t xml:space="preserve">poluprácu </w:t>
      </w:r>
      <w:r w:rsidR="00BD5FD5">
        <w:rPr>
          <w:rFonts w:asciiTheme="majorHAnsi" w:hAnsiTheme="majorHAnsi"/>
        </w:rPr>
        <w:t>s</w:t>
      </w:r>
      <w:r w:rsidR="00CE47C5">
        <w:rPr>
          <w:rFonts w:asciiTheme="majorHAnsi" w:hAnsiTheme="majorHAnsi"/>
        </w:rPr>
        <w:t xml:space="preserve"> podnikateľským </w:t>
      </w:r>
      <w:r w:rsidR="00BD5FD5">
        <w:rPr>
          <w:rFonts w:asciiTheme="majorHAnsi" w:hAnsiTheme="majorHAnsi"/>
        </w:rPr>
        <w:t>s</w:t>
      </w:r>
      <w:r w:rsidR="00CE47C5">
        <w:rPr>
          <w:rFonts w:asciiTheme="majorHAnsi" w:hAnsiTheme="majorHAnsi"/>
        </w:rPr>
        <w:t xml:space="preserve">ektorom, </w:t>
      </w:r>
      <w:r w:rsidR="00BD5FD5">
        <w:rPr>
          <w:rFonts w:asciiTheme="majorHAnsi" w:hAnsiTheme="majorHAnsi"/>
        </w:rPr>
        <w:t>k</w:t>
      </w:r>
      <w:r w:rsidR="008C1228" w:rsidRPr="00A11FE0">
        <w:rPr>
          <w:rFonts w:asciiTheme="majorHAnsi" w:hAnsiTheme="majorHAnsi"/>
        </w:rPr>
        <w:t xml:space="preserve">onsolidovať </w:t>
      </w:r>
      <w:r w:rsidR="00BD5FD5">
        <w:rPr>
          <w:rFonts w:asciiTheme="majorHAnsi" w:hAnsiTheme="majorHAnsi"/>
        </w:rPr>
        <w:t>a </w:t>
      </w:r>
      <w:r w:rsidR="008C1228" w:rsidRPr="00A11FE0">
        <w:rPr>
          <w:rFonts w:asciiTheme="majorHAnsi" w:hAnsiTheme="majorHAnsi"/>
        </w:rPr>
        <w:t>prepájať existujúc</w:t>
      </w:r>
      <w:r w:rsidR="00CE47C5">
        <w:rPr>
          <w:rFonts w:asciiTheme="majorHAnsi" w:hAnsiTheme="majorHAnsi"/>
        </w:rPr>
        <w:t xml:space="preserve">u výskumnú infraštruktúru (napr. </w:t>
      </w:r>
      <w:r w:rsidR="008C1228" w:rsidRPr="00A11FE0">
        <w:rPr>
          <w:rFonts w:asciiTheme="majorHAnsi" w:hAnsiTheme="majorHAnsi"/>
        </w:rPr>
        <w:t>výskumné centrá</w:t>
      </w:r>
      <w:r w:rsidR="00CE47C5">
        <w:rPr>
          <w:rFonts w:asciiTheme="majorHAnsi" w:hAnsiTheme="majorHAnsi"/>
        </w:rPr>
        <w:t xml:space="preserve">, univerzitné </w:t>
      </w:r>
      <w:r w:rsidR="003F17D8">
        <w:rPr>
          <w:rFonts w:asciiTheme="majorHAnsi" w:hAnsiTheme="majorHAnsi"/>
        </w:rPr>
        <w:t>vedecké</w:t>
      </w:r>
      <w:r w:rsidR="00CE47C5">
        <w:rPr>
          <w:rFonts w:asciiTheme="majorHAnsi" w:hAnsiTheme="majorHAnsi"/>
        </w:rPr>
        <w:t xml:space="preserve"> parky </w:t>
      </w:r>
      <w:r w:rsidR="009F1301">
        <w:rPr>
          <w:rFonts w:asciiTheme="majorHAnsi" w:hAnsiTheme="majorHAnsi"/>
        </w:rPr>
        <w:t>a</w:t>
      </w:r>
      <w:r w:rsidR="00BB0937">
        <w:rPr>
          <w:rFonts w:asciiTheme="majorHAnsi" w:hAnsiTheme="majorHAnsi"/>
        </w:rPr>
        <w:t> </w:t>
      </w:r>
      <w:r w:rsidR="009F1301">
        <w:rPr>
          <w:rFonts w:asciiTheme="majorHAnsi" w:hAnsiTheme="majorHAnsi"/>
        </w:rPr>
        <w:t>pod</w:t>
      </w:r>
      <w:r w:rsidR="00CE47C5">
        <w:rPr>
          <w:rFonts w:asciiTheme="majorHAnsi" w:hAnsiTheme="majorHAnsi"/>
        </w:rPr>
        <w:t>.)</w:t>
      </w:r>
      <w:r w:rsidR="008C1228" w:rsidRPr="00A11FE0">
        <w:rPr>
          <w:rFonts w:asciiTheme="majorHAnsi" w:hAnsiTheme="majorHAnsi"/>
        </w:rPr>
        <w:t xml:space="preserve"> založené v</w:t>
      </w:r>
      <w:r w:rsidR="00D129FD">
        <w:rPr>
          <w:rFonts w:asciiTheme="majorHAnsi" w:hAnsiTheme="majorHAnsi"/>
        </w:rPr>
        <w:t> </w:t>
      </w:r>
      <w:r w:rsidR="008C1228" w:rsidRPr="00A11FE0">
        <w:rPr>
          <w:rFonts w:asciiTheme="majorHAnsi" w:hAnsiTheme="majorHAnsi"/>
        </w:rPr>
        <w:t>programovom</w:t>
      </w:r>
      <w:r w:rsidR="00D129FD">
        <w:rPr>
          <w:rFonts w:asciiTheme="majorHAnsi" w:hAnsiTheme="majorHAnsi"/>
        </w:rPr>
        <w:t xml:space="preserve"> </w:t>
      </w:r>
      <w:r w:rsidR="008C1228" w:rsidRPr="00A11FE0">
        <w:rPr>
          <w:rFonts w:asciiTheme="majorHAnsi" w:hAnsiTheme="majorHAnsi"/>
        </w:rPr>
        <w:t xml:space="preserve">období 2007 </w:t>
      </w:r>
      <w:r w:rsidR="00D53987" w:rsidRPr="00A11FE0">
        <w:rPr>
          <w:rFonts w:asciiTheme="majorHAnsi" w:hAnsiTheme="majorHAnsi"/>
        </w:rPr>
        <w:t>–</w:t>
      </w:r>
      <w:r w:rsidR="008C1228" w:rsidRPr="00A11FE0">
        <w:rPr>
          <w:rFonts w:asciiTheme="majorHAnsi" w:hAnsiTheme="majorHAnsi"/>
        </w:rPr>
        <w:t xml:space="preserve"> 2013</w:t>
      </w:r>
      <w:r w:rsidR="00D53987" w:rsidRPr="00A11FE0">
        <w:rPr>
          <w:rFonts w:asciiTheme="majorHAnsi" w:hAnsiTheme="majorHAnsi"/>
        </w:rPr>
        <w:t xml:space="preserve"> </w:t>
      </w:r>
      <w:r w:rsidR="00BD5FD5">
        <w:rPr>
          <w:rFonts w:asciiTheme="majorHAnsi" w:hAnsiTheme="majorHAnsi"/>
        </w:rPr>
        <w:t>a </w:t>
      </w:r>
      <w:r w:rsidR="008C1228" w:rsidRPr="00A11FE0">
        <w:rPr>
          <w:rFonts w:asciiTheme="majorHAnsi" w:hAnsiTheme="majorHAnsi"/>
        </w:rPr>
        <w:t xml:space="preserve">podporovať </w:t>
      </w:r>
      <w:r w:rsidR="00BD5FD5">
        <w:rPr>
          <w:rFonts w:asciiTheme="majorHAnsi" w:hAnsiTheme="majorHAnsi"/>
        </w:rPr>
        <w:t>ak</w:t>
      </w:r>
      <w:r w:rsidR="008C1228" w:rsidRPr="00A11FE0">
        <w:rPr>
          <w:rFonts w:asciiTheme="majorHAnsi" w:hAnsiTheme="majorHAnsi"/>
        </w:rPr>
        <w:t>tivity interdisciplinárnych</w:t>
      </w:r>
      <w:r w:rsidR="009F1301">
        <w:rPr>
          <w:rFonts w:asciiTheme="majorHAnsi" w:hAnsiTheme="majorHAnsi"/>
        </w:rPr>
        <w:t>,</w:t>
      </w:r>
      <w:r w:rsidR="008C1228" w:rsidRPr="00A11FE0">
        <w:rPr>
          <w:rFonts w:asciiTheme="majorHAnsi" w:hAnsiTheme="majorHAnsi"/>
        </w:rPr>
        <w:t xml:space="preserve"> multisektorových excelentných výskumných tímov tak, </w:t>
      </w:r>
      <w:r w:rsidR="00BD5FD5">
        <w:rPr>
          <w:rFonts w:asciiTheme="majorHAnsi" w:hAnsiTheme="majorHAnsi"/>
        </w:rPr>
        <w:t>a</w:t>
      </w:r>
      <w:r w:rsidR="008C1228" w:rsidRPr="00A11FE0">
        <w:rPr>
          <w:rFonts w:asciiTheme="majorHAnsi" w:hAnsiTheme="majorHAnsi"/>
        </w:rPr>
        <w:t xml:space="preserve">by </w:t>
      </w:r>
      <w:r w:rsidR="00BD5FD5">
        <w:rPr>
          <w:rFonts w:asciiTheme="majorHAnsi" w:hAnsiTheme="majorHAnsi"/>
        </w:rPr>
        <w:t>s</w:t>
      </w:r>
      <w:r w:rsidR="008C1228" w:rsidRPr="00A11FE0">
        <w:rPr>
          <w:rFonts w:asciiTheme="majorHAnsi" w:hAnsiTheme="majorHAnsi"/>
        </w:rPr>
        <w:t xml:space="preserve">a dosiahol maximálny pridaný efekt pre </w:t>
      </w:r>
      <w:r w:rsidR="00E44C70">
        <w:rPr>
          <w:rFonts w:asciiTheme="majorHAnsi" w:hAnsiTheme="majorHAnsi"/>
        </w:rPr>
        <w:t>s</w:t>
      </w:r>
      <w:r w:rsidR="008C1228" w:rsidRPr="00A11FE0">
        <w:rPr>
          <w:rFonts w:asciiTheme="majorHAnsi" w:hAnsiTheme="majorHAnsi"/>
        </w:rPr>
        <w:t xml:space="preserve">poločnosť </w:t>
      </w:r>
      <w:r w:rsidR="00BD5FD5">
        <w:rPr>
          <w:rFonts w:asciiTheme="majorHAnsi" w:hAnsiTheme="majorHAnsi"/>
        </w:rPr>
        <w:t>a </w:t>
      </w:r>
      <w:r w:rsidR="008C1228" w:rsidRPr="00A11FE0">
        <w:rPr>
          <w:rFonts w:asciiTheme="majorHAnsi" w:hAnsiTheme="majorHAnsi"/>
        </w:rPr>
        <w:t>hospodársku</w:t>
      </w:r>
      <w:r w:rsidR="00107062">
        <w:rPr>
          <w:rFonts w:asciiTheme="majorHAnsi" w:hAnsiTheme="majorHAnsi"/>
        </w:rPr>
        <w:t xml:space="preserve"> </w:t>
      </w:r>
      <w:r w:rsidR="008C1228" w:rsidRPr="00A11FE0">
        <w:rPr>
          <w:rFonts w:asciiTheme="majorHAnsi" w:hAnsiTheme="majorHAnsi"/>
        </w:rPr>
        <w:t>prax</w:t>
      </w:r>
      <w:r w:rsidR="00B04DDE">
        <w:rPr>
          <w:rFonts w:asciiTheme="majorHAnsi" w:hAnsiTheme="majorHAnsi"/>
        </w:rPr>
        <w:t>. Rovnako je potrebné</w:t>
      </w:r>
      <w:r w:rsidR="00CE47C5">
        <w:rPr>
          <w:rFonts w:asciiTheme="majorHAnsi" w:hAnsiTheme="majorHAnsi"/>
        </w:rPr>
        <w:t xml:space="preserve"> </w:t>
      </w:r>
      <w:r w:rsidR="00632916" w:rsidRPr="00632916">
        <w:rPr>
          <w:rFonts w:asciiTheme="majorHAnsi" w:hAnsiTheme="majorHAnsi"/>
        </w:rPr>
        <w:t xml:space="preserve">zabezpečiť dostatok vedcov, mladých výskumníkov </w:t>
      </w:r>
      <w:r w:rsidR="00BD5FD5">
        <w:rPr>
          <w:rFonts w:asciiTheme="majorHAnsi" w:hAnsiTheme="majorHAnsi"/>
        </w:rPr>
        <w:t>a </w:t>
      </w:r>
      <w:r w:rsidR="00632916" w:rsidRPr="00632916">
        <w:rPr>
          <w:rFonts w:asciiTheme="majorHAnsi" w:hAnsiTheme="majorHAnsi"/>
        </w:rPr>
        <w:t>inovátorov, posilni</w:t>
      </w:r>
      <w:r w:rsidR="001E4879">
        <w:rPr>
          <w:rFonts w:asciiTheme="majorHAnsi" w:hAnsiTheme="majorHAnsi"/>
        </w:rPr>
        <w:t>ť</w:t>
      </w:r>
      <w:r w:rsidR="00632916" w:rsidRPr="00632916">
        <w:rPr>
          <w:rFonts w:asciiTheme="majorHAnsi" w:hAnsiTheme="majorHAnsi"/>
        </w:rPr>
        <w:t xml:space="preserve"> </w:t>
      </w:r>
      <w:r w:rsidR="00BD5FD5">
        <w:rPr>
          <w:rFonts w:asciiTheme="majorHAnsi" w:hAnsiTheme="majorHAnsi"/>
        </w:rPr>
        <w:t>s</w:t>
      </w:r>
      <w:r w:rsidR="00632916" w:rsidRPr="00632916">
        <w:rPr>
          <w:rFonts w:asciiTheme="majorHAnsi" w:hAnsiTheme="majorHAnsi"/>
        </w:rPr>
        <w:t>poluprác</w:t>
      </w:r>
      <w:r w:rsidR="001E4879">
        <w:rPr>
          <w:rFonts w:asciiTheme="majorHAnsi" w:hAnsiTheme="majorHAnsi"/>
        </w:rPr>
        <w:t>u</w:t>
      </w:r>
      <w:r w:rsidR="00632916" w:rsidRPr="00632916">
        <w:rPr>
          <w:rFonts w:asciiTheme="majorHAnsi" w:hAnsiTheme="majorHAnsi"/>
        </w:rPr>
        <w:t xml:space="preserve"> medzi vzdelávacími </w:t>
      </w:r>
      <w:r w:rsidR="00BD5FD5">
        <w:rPr>
          <w:rFonts w:asciiTheme="majorHAnsi" w:hAnsiTheme="majorHAnsi"/>
        </w:rPr>
        <w:t>a </w:t>
      </w:r>
      <w:r w:rsidR="00632916" w:rsidRPr="00632916">
        <w:rPr>
          <w:rFonts w:asciiTheme="majorHAnsi" w:hAnsiTheme="majorHAnsi"/>
        </w:rPr>
        <w:t xml:space="preserve">výskumnými inštitúciami </w:t>
      </w:r>
      <w:r w:rsidR="00BD5FD5">
        <w:rPr>
          <w:rFonts w:asciiTheme="majorHAnsi" w:hAnsiTheme="majorHAnsi"/>
        </w:rPr>
        <w:t>a </w:t>
      </w:r>
      <w:r w:rsidR="00632916" w:rsidRPr="00632916">
        <w:rPr>
          <w:rFonts w:asciiTheme="majorHAnsi" w:hAnsiTheme="majorHAnsi"/>
        </w:rPr>
        <w:t xml:space="preserve">podnikateľským </w:t>
      </w:r>
      <w:r w:rsidR="00BD5FD5">
        <w:rPr>
          <w:rFonts w:asciiTheme="majorHAnsi" w:hAnsiTheme="majorHAnsi"/>
        </w:rPr>
        <w:t>s</w:t>
      </w:r>
      <w:r w:rsidR="00632916" w:rsidRPr="00632916">
        <w:rPr>
          <w:rFonts w:asciiTheme="majorHAnsi" w:hAnsiTheme="majorHAnsi"/>
        </w:rPr>
        <w:t>ektorom, podpor</w:t>
      </w:r>
      <w:r w:rsidR="001E4879">
        <w:rPr>
          <w:rFonts w:asciiTheme="majorHAnsi" w:hAnsiTheme="majorHAnsi"/>
        </w:rPr>
        <w:t>iť</w:t>
      </w:r>
      <w:r w:rsidR="00632916" w:rsidRPr="00632916">
        <w:rPr>
          <w:rFonts w:asciiTheme="majorHAnsi" w:hAnsiTheme="majorHAnsi"/>
        </w:rPr>
        <w:t xml:space="preserve"> VVaI </w:t>
      </w:r>
      <w:r w:rsidR="00BD5FD5">
        <w:rPr>
          <w:rFonts w:asciiTheme="majorHAnsi" w:hAnsiTheme="majorHAnsi"/>
        </w:rPr>
        <w:t>k</w:t>
      </w:r>
      <w:r w:rsidR="00632916" w:rsidRPr="00632916">
        <w:rPr>
          <w:rFonts w:asciiTheme="majorHAnsi" w:hAnsiTheme="majorHAnsi"/>
        </w:rPr>
        <w:t>apac</w:t>
      </w:r>
      <w:r w:rsidR="001E4879">
        <w:rPr>
          <w:rFonts w:asciiTheme="majorHAnsi" w:hAnsiTheme="majorHAnsi"/>
        </w:rPr>
        <w:t>ity</w:t>
      </w:r>
      <w:r w:rsidR="00632916" w:rsidRPr="00632916">
        <w:rPr>
          <w:rFonts w:asciiTheme="majorHAnsi" w:hAnsiTheme="majorHAnsi"/>
        </w:rPr>
        <w:t xml:space="preserve"> v</w:t>
      </w:r>
      <w:r w:rsidR="00DA2CE1">
        <w:rPr>
          <w:rFonts w:asciiTheme="majorHAnsi" w:hAnsiTheme="majorHAnsi"/>
        </w:rPr>
        <w:t> </w:t>
      </w:r>
      <w:r w:rsidR="00632916" w:rsidRPr="00632916">
        <w:rPr>
          <w:rFonts w:asciiTheme="majorHAnsi" w:hAnsiTheme="majorHAnsi"/>
        </w:rPr>
        <w:t>podnikoch</w:t>
      </w:r>
      <w:r w:rsidR="00DA2CE1">
        <w:rPr>
          <w:rFonts w:asciiTheme="majorHAnsi" w:hAnsiTheme="majorHAnsi"/>
        </w:rPr>
        <w:t xml:space="preserve"> </w:t>
      </w:r>
      <w:r w:rsidR="00BD5FD5">
        <w:rPr>
          <w:rFonts w:asciiTheme="majorHAnsi" w:hAnsiTheme="majorHAnsi"/>
        </w:rPr>
        <w:t>a</w:t>
      </w:r>
      <w:r w:rsidR="009F1301">
        <w:rPr>
          <w:rFonts w:asciiTheme="majorHAnsi" w:hAnsiTheme="majorHAnsi"/>
        </w:rPr>
        <w:t> </w:t>
      </w:r>
      <w:r w:rsidR="00BD5FD5">
        <w:rPr>
          <w:rFonts w:asciiTheme="majorHAnsi" w:hAnsiTheme="majorHAnsi"/>
        </w:rPr>
        <w:t>s</w:t>
      </w:r>
      <w:r w:rsidR="00632916" w:rsidRPr="00632916">
        <w:rPr>
          <w:rFonts w:asciiTheme="majorHAnsi" w:hAnsiTheme="majorHAnsi"/>
        </w:rPr>
        <w:t>ieťach</w:t>
      </w:r>
      <w:r w:rsidR="009F1301">
        <w:rPr>
          <w:rFonts w:asciiTheme="majorHAnsi" w:hAnsiTheme="majorHAnsi"/>
        </w:rPr>
        <w:t>,</w:t>
      </w:r>
      <w:r w:rsidR="00285918">
        <w:rPr>
          <w:rFonts w:asciiTheme="majorHAnsi" w:hAnsiTheme="majorHAnsi"/>
        </w:rPr>
        <w:t xml:space="preserve"> </w:t>
      </w:r>
      <w:r w:rsidR="00632916" w:rsidRPr="00632916">
        <w:rPr>
          <w:rFonts w:asciiTheme="majorHAnsi" w:hAnsiTheme="majorHAnsi"/>
        </w:rPr>
        <w:t xml:space="preserve">vrátane </w:t>
      </w:r>
      <w:r w:rsidR="00BD5FD5">
        <w:rPr>
          <w:rFonts w:asciiTheme="majorHAnsi" w:hAnsiTheme="majorHAnsi"/>
        </w:rPr>
        <w:t>k</w:t>
      </w:r>
      <w:r w:rsidR="00632916" w:rsidRPr="00632916">
        <w:rPr>
          <w:rFonts w:asciiTheme="majorHAnsi" w:hAnsiTheme="majorHAnsi"/>
        </w:rPr>
        <w:t xml:space="preserve">lastrov </w:t>
      </w:r>
      <w:r w:rsidR="00BD5FD5">
        <w:rPr>
          <w:rFonts w:asciiTheme="majorHAnsi" w:hAnsiTheme="majorHAnsi"/>
        </w:rPr>
        <w:t>a</w:t>
      </w:r>
      <w:r w:rsidR="00DA2CE1">
        <w:rPr>
          <w:rFonts w:asciiTheme="majorHAnsi" w:hAnsiTheme="majorHAnsi"/>
        </w:rPr>
        <w:t> </w:t>
      </w:r>
      <w:r w:rsidR="00632916" w:rsidRPr="00632916">
        <w:rPr>
          <w:rFonts w:asciiTheme="majorHAnsi" w:hAnsiTheme="majorHAnsi"/>
        </w:rPr>
        <w:t>technologických</w:t>
      </w:r>
      <w:r w:rsidR="00DA2CE1">
        <w:rPr>
          <w:rFonts w:asciiTheme="majorHAnsi" w:hAnsiTheme="majorHAnsi"/>
        </w:rPr>
        <w:t xml:space="preserve"> </w:t>
      </w:r>
      <w:r w:rsidR="00632916" w:rsidRPr="00632916">
        <w:rPr>
          <w:rFonts w:asciiTheme="majorHAnsi" w:hAnsiTheme="majorHAnsi"/>
        </w:rPr>
        <w:t>platforiem;</w:t>
      </w:r>
    </w:p>
    <w:p w:rsidR="007079C3" w:rsidRPr="00A11FE0" w:rsidRDefault="00875869" w:rsidP="00F32A95">
      <w:pPr>
        <w:pStyle w:val="Odsekzoznamu"/>
        <w:numPr>
          <w:ilvl w:val="0"/>
          <w:numId w:val="12"/>
        </w:numPr>
        <w:ind w:left="426"/>
        <w:rPr>
          <w:rFonts w:asciiTheme="majorHAnsi" w:hAnsiTheme="majorHAnsi"/>
        </w:rPr>
      </w:pPr>
      <w:r>
        <w:rPr>
          <w:noProof/>
          <w:lang w:eastAsia="sk-SK"/>
        </w:rPr>
        <w:lastRenderedPageBreak/>
        <w:drawing>
          <wp:anchor distT="0" distB="0" distL="114300" distR="114300" simplePos="0" relativeHeight="251658240" behindDoc="0" locked="0" layoutInCell="1" allowOverlap="1" wp14:anchorId="3E0FED30" wp14:editId="040B1512">
            <wp:simplePos x="0" y="0"/>
            <wp:positionH relativeFrom="column">
              <wp:posOffset>3315970</wp:posOffset>
            </wp:positionH>
            <wp:positionV relativeFrom="paragraph">
              <wp:posOffset>2540</wp:posOffset>
            </wp:positionV>
            <wp:extent cx="2674620" cy="2345055"/>
            <wp:effectExtent l="0" t="0" r="0" b="0"/>
            <wp:wrapTight wrapText="bothSides">
              <wp:wrapPolygon edited="0">
                <wp:start x="0" y="0"/>
                <wp:lineTo x="0" y="21407"/>
                <wp:lineTo x="21385" y="21407"/>
                <wp:lineTo x="21385" y="0"/>
                <wp:lineTo x="0"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l="10815" t="4660" r="8473" b="2850"/>
                    <a:stretch>
                      <a:fillRect/>
                    </a:stretch>
                  </pic:blipFill>
                  <pic:spPr bwMode="auto">
                    <a:xfrm>
                      <a:off x="0" y="0"/>
                      <a:ext cx="2674620" cy="2345055"/>
                    </a:xfrm>
                    <a:prstGeom prst="rect">
                      <a:avLst/>
                    </a:prstGeom>
                    <a:noFill/>
                    <a:ln>
                      <a:noFill/>
                    </a:ln>
                  </pic:spPr>
                </pic:pic>
              </a:graphicData>
            </a:graphic>
            <wp14:sizeRelH relativeFrom="page">
              <wp14:pctWidth>0</wp14:pctWidth>
            </wp14:sizeRelH>
            <wp14:sizeRelV relativeFrom="page">
              <wp14:pctHeight>0</wp14:pctHeight>
            </wp14:sizeRelV>
          </wp:anchor>
        </w:drawing>
      </w:r>
      <w:r w:rsidR="00BD5FD5">
        <w:rPr>
          <w:rFonts w:asciiTheme="majorHAnsi" w:hAnsiTheme="majorHAnsi"/>
        </w:rPr>
        <w:t>K</w:t>
      </w:r>
      <w:r w:rsidR="00CE47C5">
        <w:rPr>
          <w:rFonts w:asciiTheme="majorHAnsi" w:hAnsiTheme="majorHAnsi"/>
        </w:rPr>
        <w:t>o</w:t>
      </w:r>
      <w:r w:rsidR="00742F3D">
        <w:rPr>
          <w:rFonts w:asciiTheme="majorHAnsi" w:hAnsiTheme="majorHAnsi"/>
        </w:rPr>
        <w:t>n</w:t>
      </w:r>
      <w:r w:rsidR="00CE47C5">
        <w:rPr>
          <w:rFonts w:asciiTheme="majorHAnsi" w:hAnsiTheme="majorHAnsi"/>
        </w:rPr>
        <w:t>kurencieschopnos</w:t>
      </w:r>
      <w:r w:rsidR="002137C2">
        <w:rPr>
          <w:rFonts w:asciiTheme="majorHAnsi" w:hAnsiTheme="majorHAnsi"/>
        </w:rPr>
        <w:t>ť</w:t>
      </w:r>
      <w:r w:rsidR="00CE47C5">
        <w:rPr>
          <w:rFonts w:asciiTheme="majorHAnsi" w:hAnsiTheme="majorHAnsi"/>
        </w:rPr>
        <w:t xml:space="preserve"> </w:t>
      </w:r>
      <w:r w:rsidR="007D3C11">
        <w:rPr>
          <w:rFonts w:asciiTheme="majorHAnsi" w:hAnsiTheme="majorHAnsi"/>
        </w:rPr>
        <w:t>malých a stredných podnikov (ďalej len „</w:t>
      </w:r>
      <w:r w:rsidR="00CE47C5">
        <w:rPr>
          <w:rFonts w:asciiTheme="majorHAnsi" w:hAnsiTheme="majorHAnsi"/>
        </w:rPr>
        <w:t>MSP</w:t>
      </w:r>
      <w:r w:rsidR="007D3C11">
        <w:rPr>
          <w:rFonts w:asciiTheme="majorHAnsi" w:hAnsiTheme="majorHAnsi"/>
        </w:rPr>
        <w:t>“)</w:t>
      </w:r>
      <w:r w:rsidR="009F1301">
        <w:rPr>
          <w:rFonts w:asciiTheme="majorHAnsi" w:hAnsiTheme="majorHAnsi"/>
        </w:rPr>
        <w:t xml:space="preserve"> </w:t>
      </w:r>
      <w:r w:rsidR="00BB0937">
        <w:rPr>
          <w:rFonts w:asciiTheme="majorHAnsi" w:hAnsiTheme="majorHAnsi"/>
        </w:rPr>
        <w:t>–</w:t>
      </w:r>
      <w:r w:rsidR="002137C2">
        <w:rPr>
          <w:rFonts w:asciiTheme="majorHAnsi" w:hAnsiTheme="majorHAnsi"/>
        </w:rPr>
        <w:t xml:space="preserve"> podporovať nové</w:t>
      </w:r>
      <w:r w:rsidR="00250A4F" w:rsidRPr="00A11FE0">
        <w:rPr>
          <w:rFonts w:asciiTheme="majorHAnsi" w:hAnsiTheme="majorHAnsi"/>
        </w:rPr>
        <w:t xml:space="preserve"> </w:t>
      </w:r>
      <w:r w:rsidR="002137C2">
        <w:rPr>
          <w:rFonts w:asciiTheme="majorHAnsi" w:hAnsiTheme="majorHAnsi"/>
        </w:rPr>
        <w:t xml:space="preserve">podnikateľské modely </w:t>
      </w:r>
      <w:r w:rsidR="00BD5FD5">
        <w:rPr>
          <w:rFonts w:asciiTheme="majorHAnsi" w:hAnsiTheme="majorHAnsi"/>
        </w:rPr>
        <w:t>a </w:t>
      </w:r>
      <w:r w:rsidR="002137C2">
        <w:rPr>
          <w:rFonts w:asciiTheme="majorHAnsi" w:hAnsiTheme="majorHAnsi"/>
        </w:rPr>
        <w:t xml:space="preserve">internacionalizáciu MSP, zvyšovať podnikanie, zlepšiť prístup </w:t>
      </w:r>
      <w:r w:rsidR="00BD5FD5">
        <w:rPr>
          <w:rFonts w:asciiTheme="majorHAnsi" w:hAnsiTheme="majorHAnsi"/>
        </w:rPr>
        <w:t>k </w:t>
      </w:r>
      <w:r w:rsidR="002137C2">
        <w:rPr>
          <w:rFonts w:asciiTheme="majorHAnsi" w:hAnsiTheme="majorHAnsi"/>
        </w:rPr>
        <w:t>financovaniu</w:t>
      </w:r>
      <w:r w:rsidR="00641734" w:rsidRPr="00A11FE0">
        <w:rPr>
          <w:rFonts w:asciiTheme="majorHAnsi" w:hAnsiTheme="majorHAnsi"/>
        </w:rPr>
        <w:t>;</w:t>
      </w:r>
    </w:p>
    <w:p w:rsidR="006D32E1" w:rsidRPr="0079255D" w:rsidRDefault="00E7784C" w:rsidP="00F32A95">
      <w:pPr>
        <w:pStyle w:val="Odsekzoznamu"/>
        <w:numPr>
          <w:ilvl w:val="0"/>
          <w:numId w:val="12"/>
        </w:numPr>
        <w:ind w:left="426"/>
        <w:rPr>
          <w:rFonts w:asciiTheme="majorHAnsi" w:hAnsiTheme="majorHAnsi"/>
        </w:rPr>
      </w:pPr>
      <w:r w:rsidRPr="00A11FE0">
        <w:rPr>
          <w:rFonts w:asciiTheme="majorHAnsi" w:hAnsiTheme="majorHAnsi"/>
        </w:rPr>
        <w:t xml:space="preserve">Naplno využiť </w:t>
      </w:r>
      <w:r w:rsidR="0063244B" w:rsidRPr="00A11FE0">
        <w:rPr>
          <w:rFonts w:asciiTheme="majorHAnsi" w:hAnsiTheme="majorHAnsi"/>
        </w:rPr>
        <w:t xml:space="preserve">potenciál </w:t>
      </w:r>
      <w:r w:rsidR="007D3C11">
        <w:rPr>
          <w:rFonts w:asciiTheme="majorHAnsi" w:hAnsiTheme="majorHAnsi"/>
        </w:rPr>
        <w:t>i</w:t>
      </w:r>
      <w:r w:rsidR="007D3C11" w:rsidRPr="007D3C11">
        <w:rPr>
          <w:rFonts w:asciiTheme="majorHAnsi" w:hAnsiTheme="majorHAnsi"/>
        </w:rPr>
        <w:t>nformačno-komunikačn</w:t>
      </w:r>
      <w:r w:rsidR="007D3C11">
        <w:rPr>
          <w:rFonts w:asciiTheme="majorHAnsi" w:hAnsiTheme="majorHAnsi"/>
        </w:rPr>
        <w:t>ých</w:t>
      </w:r>
      <w:r w:rsidR="007D3C11" w:rsidRPr="007D3C11">
        <w:rPr>
          <w:rFonts w:asciiTheme="majorHAnsi" w:hAnsiTheme="majorHAnsi"/>
        </w:rPr>
        <w:t xml:space="preserve"> technológi</w:t>
      </w:r>
      <w:r w:rsidR="007D3C11">
        <w:rPr>
          <w:rFonts w:asciiTheme="majorHAnsi" w:hAnsiTheme="majorHAnsi"/>
        </w:rPr>
        <w:t>í</w:t>
      </w:r>
      <w:r w:rsidR="007D3C11" w:rsidRPr="007D3C11">
        <w:rPr>
          <w:rFonts w:asciiTheme="majorHAnsi" w:hAnsiTheme="majorHAnsi"/>
        </w:rPr>
        <w:t xml:space="preserve"> </w:t>
      </w:r>
      <w:r w:rsidR="007D3C11">
        <w:rPr>
          <w:rFonts w:asciiTheme="majorHAnsi" w:hAnsiTheme="majorHAnsi"/>
        </w:rPr>
        <w:t>(ďalej len „</w:t>
      </w:r>
      <w:r w:rsidR="0063244B" w:rsidRPr="00A11FE0">
        <w:rPr>
          <w:rFonts w:asciiTheme="majorHAnsi" w:hAnsiTheme="majorHAnsi"/>
        </w:rPr>
        <w:t>IKT</w:t>
      </w:r>
      <w:r w:rsidR="007D3C11">
        <w:rPr>
          <w:rFonts w:asciiTheme="majorHAnsi" w:hAnsiTheme="majorHAnsi"/>
        </w:rPr>
        <w:t>“)</w:t>
      </w:r>
      <w:r w:rsidR="009F1301">
        <w:rPr>
          <w:rFonts w:asciiTheme="majorHAnsi" w:hAnsiTheme="majorHAnsi"/>
        </w:rPr>
        <w:t xml:space="preserve"> </w:t>
      </w:r>
      <w:r w:rsidR="00BB0937">
        <w:rPr>
          <w:rFonts w:asciiTheme="majorHAnsi" w:hAnsiTheme="majorHAnsi"/>
        </w:rPr>
        <w:t>–</w:t>
      </w:r>
      <w:r w:rsidR="008E5926" w:rsidRPr="00A11FE0">
        <w:rPr>
          <w:rFonts w:asciiTheme="majorHAnsi" w:hAnsiTheme="majorHAnsi"/>
        </w:rPr>
        <w:t xml:space="preserve"> zvýšiť </w:t>
      </w:r>
      <w:r w:rsidR="00BD5FD5">
        <w:rPr>
          <w:rFonts w:asciiTheme="majorHAnsi" w:hAnsiTheme="majorHAnsi"/>
        </w:rPr>
        <w:t>a</w:t>
      </w:r>
      <w:r w:rsidR="008E5926" w:rsidRPr="00A11FE0">
        <w:rPr>
          <w:rFonts w:asciiTheme="majorHAnsi" w:hAnsiTheme="majorHAnsi"/>
        </w:rPr>
        <w:t xml:space="preserve">ngažovanosť podnikov v digitálnej ekonomike, </w:t>
      </w:r>
      <w:r w:rsidR="0063244B" w:rsidRPr="00A11FE0">
        <w:rPr>
          <w:rFonts w:asciiTheme="majorHAnsi" w:hAnsiTheme="majorHAnsi"/>
        </w:rPr>
        <w:t>zaviesť inteligentnú</w:t>
      </w:r>
      <w:r w:rsidR="008E5926" w:rsidRPr="00A11FE0">
        <w:rPr>
          <w:rFonts w:asciiTheme="majorHAnsi" w:hAnsiTheme="majorHAnsi"/>
        </w:rPr>
        <w:t xml:space="preserve"> elektronickú verejnú </w:t>
      </w:r>
      <w:r w:rsidR="00BD5FD5">
        <w:rPr>
          <w:rFonts w:asciiTheme="majorHAnsi" w:hAnsiTheme="majorHAnsi"/>
        </w:rPr>
        <w:t>s</w:t>
      </w:r>
      <w:r w:rsidR="008E5926" w:rsidRPr="00A11FE0">
        <w:rPr>
          <w:rFonts w:asciiTheme="majorHAnsi" w:hAnsiTheme="majorHAnsi"/>
        </w:rPr>
        <w:t xml:space="preserve">právu, </w:t>
      </w:r>
      <w:r w:rsidR="0063244B" w:rsidRPr="00A11FE0">
        <w:rPr>
          <w:rFonts w:asciiTheme="majorHAnsi" w:hAnsiTheme="majorHAnsi"/>
        </w:rPr>
        <w:t xml:space="preserve">zvýšiť dostupnosť </w:t>
      </w:r>
      <w:r w:rsidRPr="00A11FE0">
        <w:rPr>
          <w:rFonts w:asciiTheme="majorHAnsi" w:hAnsiTheme="majorHAnsi"/>
        </w:rPr>
        <w:t xml:space="preserve">širokopásmového </w:t>
      </w:r>
      <w:r w:rsidR="0063244B" w:rsidRPr="00A11FE0">
        <w:rPr>
          <w:rFonts w:asciiTheme="majorHAnsi" w:hAnsiTheme="majorHAnsi"/>
        </w:rPr>
        <w:t xml:space="preserve">internetu </w:t>
      </w:r>
      <w:r w:rsidR="00BD5FD5">
        <w:rPr>
          <w:rFonts w:asciiTheme="majorHAnsi" w:hAnsiTheme="majorHAnsi"/>
        </w:rPr>
        <w:t>a</w:t>
      </w:r>
      <w:r w:rsidR="0063244B" w:rsidRPr="00A11FE0">
        <w:rPr>
          <w:rFonts w:asciiTheme="majorHAnsi" w:hAnsiTheme="majorHAnsi"/>
        </w:rPr>
        <w:t> penetráciu IKT</w:t>
      </w:r>
      <w:r w:rsidR="004868B1" w:rsidRPr="00A11FE0">
        <w:rPr>
          <w:rFonts w:asciiTheme="majorHAnsi" w:hAnsiTheme="majorHAnsi"/>
        </w:rPr>
        <w:t>,</w:t>
      </w:r>
      <w:r w:rsidRPr="00A11FE0">
        <w:rPr>
          <w:rFonts w:asciiTheme="majorHAnsi" w:hAnsiTheme="majorHAnsi"/>
        </w:rPr>
        <w:t xml:space="preserve"> </w:t>
      </w:r>
      <w:r w:rsidR="00BD5FD5">
        <w:rPr>
          <w:rFonts w:asciiTheme="majorHAnsi" w:hAnsiTheme="majorHAnsi"/>
        </w:rPr>
        <w:t>ak</w:t>
      </w:r>
      <w:r w:rsidRPr="00A11FE0">
        <w:rPr>
          <w:rFonts w:asciiTheme="majorHAnsi" w:hAnsiTheme="majorHAnsi"/>
        </w:rPr>
        <w:t>o</w:t>
      </w:r>
      <w:r w:rsidR="0079255D">
        <w:rPr>
          <w:rFonts w:asciiTheme="majorHAnsi" w:hAnsiTheme="majorHAnsi"/>
        </w:rPr>
        <w:t xml:space="preserve"> </w:t>
      </w:r>
      <w:r w:rsidR="00BD5FD5">
        <w:rPr>
          <w:rFonts w:asciiTheme="majorHAnsi" w:hAnsiTheme="majorHAnsi"/>
        </w:rPr>
        <w:t>a</w:t>
      </w:r>
      <w:r w:rsidRPr="0079255D">
        <w:rPr>
          <w:rFonts w:asciiTheme="majorHAnsi" w:hAnsiTheme="majorHAnsi"/>
        </w:rPr>
        <w:t>j zlepšiť digitálne zručnosti</w:t>
      </w:r>
      <w:r w:rsidR="00641734" w:rsidRPr="0079255D">
        <w:rPr>
          <w:rFonts w:asciiTheme="majorHAnsi" w:hAnsiTheme="majorHAnsi"/>
        </w:rPr>
        <w:t>;</w:t>
      </w:r>
    </w:p>
    <w:p w:rsidR="006D32E1" w:rsidRPr="00A11FE0" w:rsidRDefault="006D32E1" w:rsidP="00F32A95">
      <w:pPr>
        <w:pStyle w:val="Odsekzoznamu"/>
        <w:numPr>
          <w:ilvl w:val="0"/>
          <w:numId w:val="12"/>
        </w:numPr>
        <w:ind w:left="426"/>
        <w:rPr>
          <w:rFonts w:asciiTheme="majorHAnsi" w:hAnsiTheme="majorHAnsi"/>
        </w:rPr>
      </w:pPr>
      <w:r w:rsidRPr="00A11FE0">
        <w:rPr>
          <w:rFonts w:asciiTheme="majorHAnsi" w:hAnsiTheme="majorHAnsi"/>
        </w:rPr>
        <w:t>Ľudské zdroje</w:t>
      </w:r>
      <w:r w:rsidR="002416AC">
        <w:rPr>
          <w:rFonts w:asciiTheme="majorHAnsi" w:hAnsiTheme="majorHAnsi"/>
        </w:rPr>
        <w:t xml:space="preserve"> </w:t>
      </w:r>
      <w:r w:rsidR="00BB0937">
        <w:rPr>
          <w:rFonts w:asciiTheme="majorHAnsi" w:hAnsiTheme="majorHAnsi"/>
        </w:rPr>
        <w:t>–</w:t>
      </w:r>
      <w:r w:rsidR="0063244B" w:rsidRPr="00A11FE0">
        <w:rPr>
          <w:rFonts w:asciiTheme="majorHAnsi" w:hAnsiTheme="majorHAnsi"/>
        </w:rPr>
        <w:t xml:space="preserve"> reštrukturalizovať</w:t>
      </w:r>
      <w:r w:rsidR="002137C2">
        <w:rPr>
          <w:rFonts w:asciiTheme="majorHAnsi" w:hAnsiTheme="majorHAnsi"/>
        </w:rPr>
        <w:t xml:space="preserve"> </w:t>
      </w:r>
      <w:r w:rsidR="00632916">
        <w:rPr>
          <w:rFonts w:asciiTheme="majorHAnsi" w:hAnsiTheme="majorHAnsi"/>
        </w:rPr>
        <w:t xml:space="preserve">stredoškolské </w:t>
      </w:r>
      <w:r w:rsidR="00BD5FD5">
        <w:rPr>
          <w:rFonts w:asciiTheme="majorHAnsi" w:hAnsiTheme="majorHAnsi"/>
        </w:rPr>
        <w:t>a </w:t>
      </w:r>
      <w:r w:rsidR="00632916">
        <w:rPr>
          <w:rFonts w:asciiTheme="majorHAnsi" w:hAnsiTheme="majorHAnsi"/>
        </w:rPr>
        <w:t>vysokoškolské</w:t>
      </w:r>
      <w:r w:rsidR="002137C2">
        <w:rPr>
          <w:rFonts w:asciiTheme="majorHAnsi" w:hAnsiTheme="majorHAnsi"/>
        </w:rPr>
        <w:t xml:space="preserve"> v</w:t>
      </w:r>
      <w:r w:rsidR="0063244B" w:rsidRPr="00A11FE0">
        <w:rPr>
          <w:rFonts w:asciiTheme="majorHAnsi" w:hAnsiTheme="majorHAnsi"/>
        </w:rPr>
        <w:t>zdelávani</w:t>
      </w:r>
      <w:r w:rsidR="009D19B2">
        <w:rPr>
          <w:rFonts w:asciiTheme="majorHAnsi" w:hAnsiTheme="majorHAnsi"/>
        </w:rPr>
        <w:t>e</w:t>
      </w:r>
      <w:r w:rsidR="0063244B" w:rsidRPr="00A11FE0">
        <w:rPr>
          <w:rFonts w:asciiTheme="majorHAnsi" w:hAnsiTheme="majorHAnsi"/>
        </w:rPr>
        <w:t xml:space="preserve"> </w:t>
      </w:r>
      <w:r w:rsidR="00BD5FD5">
        <w:rPr>
          <w:rFonts w:asciiTheme="majorHAnsi" w:hAnsiTheme="majorHAnsi"/>
        </w:rPr>
        <w:t>a </w:t>
      </w:r>
      <w:r w:rsidR="009D19B2" w:rsidRPr="00A11FE0">
        <w:rPr>
          <w:rFonts w:asciiTheme="majorHAnsi" w:hAnsiTheme="majorHAnsi"/>
        </w:rPr>
        <w:t>odborn</w:t>
      </w:r>
      <w:r w:rsidR="009D19B2">
        <w:rPr>
          <w:rFonts w:asciiTheme="majorHAnsi" w:hAnsiTheme="majorHAnsi"/>
        </w:rPr>
        <w:t xml:space="preserve">ú </w:t>
      </w:r>
      <w:r w:rsidR="0063244B" w:rsidRPr="00A11FE0">
        <w:rPr>
          <w:rFonts w:asciiTheme="majorHAnsi" w:hAnsiTheme="majorHAnsi"/>
        </w:rPr>
        <w:t>príprav</w:t>
      </w:r>
      <w:r w:rsidR="009D19B2">
        <w:rPr>
          <w:rFonts w:asciiTheme="majorHAnsi" w:hAnsiTheme="majorHAnsi"/>
        </w:rPr>
        <w:t xml:space="preserve">u tak, </w:t>
      </w:r>
      <w:r w:rsidR="00BD5FD5">
        <w:rPr>
          <w:rFonts w:asciiTheme="majorHAnsi" w:hAnsiTheme="majorHAnsi"/>
        </w:rPr>
        <w:t>a</w:t>
      </w:r>
      <w:r w:rsidR="009D19B2">
        <w:rPr>
          <w:rFonts w:asciiTheme="majorHAnsi" w:hAnsiTheme="majorHAnsi"/>
        </w:rPr>
        <w:t xml:space="preserve">by </w:t>
      </w:r>
      <w:r w:rsidR="009D19B2" w:rsidRPr="00D724F2">
        <w:rPr>
          <w:rFonts w:asciiTheme="majorHAnsi" w:hAnsiTheme="majorHAnsi"/>
        </w:rPr>
        <w:t>efektívne reagoval</w:t>
      </w:r>
      <w:r w:rsidR="00D724F2" w:rsidRPr="00D724F2">
        <w:rPr>
          <w:rFonts w:asciiTheme="majorHAnsi" w:hAnsiTheme="majorHAnsi"/>
        </w:rPr>
        <w:t>i</w:t>
      </w:r>
      <w:r w:rsidR="009D19B2" w:rsidRPr="00D724F2">
        <w:rPr>
          <w:rFonts w:asciiTheme="majorHAnsi" w:hAnsiTheme="majorHAnsi"/>
        </w:rPr>
        <w:t xml:space="preserve"> na</w:t>
      </w:r>
      <w:r w:rsidR="009D19B2">
        <w:rPr>
          <w:rFonts w:asciiTheme="majorHAnsi" w:hAnsiTheme="majorHAnsi"/>
        </w:rPr>
        <w:t xml:space="preserve"> potreby trhu</w:t>
      </w:r>
      <w:r w:rsidR="00A940EE">
        <w:rPr>
          <w:rFonts w:asciiTheme="majorHAnsi" w:hAnsiTheme="majorHAnsi"/>
        </w:rPr>
        <w:t xml:space="preserve"> práce</w:t>
      </w:r>
      <w:r w:rsidR="009D19B2">
        <w:rPr>
          <w:rFonts w:asciiTheme="majorHAnsi" w:hAnsiTheme="majorHAnsi"/>
        </w:rPr>
        <w:t>.</w:t>
      </w:r>
    </w:p>
    <w:p w:rsidR="006D32E1" w:rsidRPr="00A11FE0" w:rsidRDefault="003542A5" w:rsidP="006750E7">
      <w:pPr>
        <w:pStyle w:val="Nadpis4"/>
        <w:numPr>
          <w:ilvl w:val="3"/>
          <w:numId w:val="2"/>
        </w:numPr>
      </w:pPr>
      <w:bookmarkStart w:id="20" w:name="_Toc373169694"/>
      <w:r w:rsidRPr="00A11FE0">
        <w:t>TC</w:t>
      </w:r>
      <w:r w:rsidR="00665324">
        <w:t xml:space="preserve"> </w:t>
      </w:r>
      <w:r w:rsidRPr="00A11FE0">
        <w:t xml:space="preserve">1: </w:t>
      </w:r>
      <w:bookmarkStart w:id="21" w:name="_Toc228926969"/>
      <w:r w:rsidRPr="00A11FE0">
        <w:t xml:space="preserve">Posilnenie výskumu, technologického rozvoja </w:t>
      </w:r>
      <w:r w:rsidR="00BD5FD5">
        <w:t>a</w:t>
      </w:r>
      <w:r w:rsidRPr="00A11FE0">
        <w:t> inováci</w:t>
      </w:r>
      <w:bookmarkEnd w:id="20"/>
      <w:bookmarkEnd w:id="21"/>
      <w:r w:rsidR="00D33729">
        <w:t>í</w:t>
      </w:r>
    </w:p>
    <w:p w:rsidR="00117D99" w:rsidRPr="00E37887" w:rsidRDefault="00125351" w:rsidP="00800165">
      <w:pPr>
        <w:rPr>
          <w:rFonts w:asciiTheme="majorHAnsi" w:hAnsiTheme="majorHAnsi"/>
          <w:szCs w:val="22"/>
        </w:rPr>
      </w:pPr>
      <w:r w:rsidRPr="00A11FE0">
        <w:rPr>
          <w:rFonts w:asciiTheme="majorHAnsi" w:hAnsiTheme="majorHAnsi"/>
        </w:rPr>
        <w:t>V roku 2011 celkové výdavky na</w:t>
      </w:r>
      <w:r w:rsidR="007C3565">
        <w:rPr>
          <w:rFonts w:asciiTheme="majorHAnsi" w:hAnsiTheme="majorHAnsi"/>
        </w:rPr>
        <w:t xml:space="preserve"> </w:t>
      </w:r>
      <w:r w:rsidR="004868B1" w:rsidRPr="00A11FE0">
        <w:rPr>
          <w:rFonts w:asciiTheme="majorHAnsi" w:hAnsiTheme="majorHAnsi"/>
        </w:rPr>
        <w:t>výskum</w:t>
      </w:r>
      <w:r w:rsidR="007C3565">
        <w:rPr>
          <w:rFonts w:asciiTheme="majorHAnsi" w:hAnsiTheme="majorHAnsi"/>
        </w:rPr>
        <w:t xml:space="preserve"> a vývoj</w:t>
      </w:r>
      <w:r w:rsidR="004868B1" w:rsidRPr="00A11FE0">
        <w:rPr>
          <w:rFonts w:asciiTheme="majorHAnsi" w:hAnsiTheme="majorHAnsi"/>
        </w:rPr>
        <w:t xml:space="preserve"> (ďalej </w:t>
      </w:r>
      <w:r w:rsidR="00D53987" w:rsidRPr="00A11FE0">
        <w:rPr>
          <w:rFonts w:asciiTheme="majorHAnsi" w:hAnsiTheme="majorHAnsi"/>
        </w:rPr>
        <w:t>len</w:t>
      </w:r>
      <w:r w:rsidR="003B3453" w:rsidRPr="00A11FE0">
        <w:rPr>
          <w:rFonts w:asciiTheme="majorHAnsi" w:hAnsiTheme="majorHAnsi"/>
        </w:rPr>
        <w:t xml:space="preserve"> „</w:t>
      </w:r>
      <w:r w:rsidRPr="00A11FE0">
        <w:rPr>
          <w:rFonts w:asciiTheme="majorHAnsi" w:hAnsiTheme="majorHAnsi"/>
        </w:rPr>
        <w:t>V</w:t>
      </w:r>
      <w:r w:rsidR="004868B1" w:rsidRPr="00A11FE0">
        <w:rPr>
          <w:rFonts w:asciiTheme="majorHAnsi" w:hAnsiTheme="majorHAnsi"/>
        </w:rPr>
        <w:t>a</w:t>
      </w:r>
      <w:r w:rsidRPr="00A11FE0">
        <w:rPr>
          <w:rFonts w:asciiTheme="majorHAnsi" w:hAnsiTheme="majorHAnsi"/>
        </w:rPr>
        <w:t>V</w:t>
      </w:r>
      <w:r w:rsidR="004868B1" w:rsidRPr="00A11FE0">
        <w:rPr>
          <w:rFonts w:asciiTheme="majorHAnsi" w:hAnsiTheme="majorHAnsi"/>
        </w:rPr>
        <w:t>“)</w:t>
      </w:r>
      <w:r w:rsidRPr="00A11FE0">
        <w:rPr>
          <w:rFonts w:asciiTheme="majorHAnsi" w:hAnsiTheme="majorHAnsi"/>
        </w:rPr>
        <w:t xml:space="preserve"> predstavovali len 0,63 %</w:t>
      </w:r>
      <w:r w:rsidRPr="00A11FE0">
        <w:rPr>
          <w:rStyle w:val="Odkaznapoznmkupodiarou"/>
          <w:rFonts w:asciiTheme="majorHAnsi" w:hAnsiTheme="majorHAnsi"/>
        </w:rPr>
        <w:footnoteReference w:id="11"/>
      </w:r>
      <w:r w:rsidRPr="00A11FE0">
        <w:rPr>
          <w:rFonts w:asciiTheme="majorHAnsi" w:hAnsiTheme="majorHAnsi"/>
        </w:rPr>
        <w:t xml:space="preserve"> HDP (EÚ15 2,12 % </w:t>
      </w:r>
      <w:r w:rsidR="00BD5FD5">
        <w:rPr>
          <w:rFonts w:asciiTheme="majorHAnsi" w:hAnsiTheme="majorHAnsi"/>
        </w:rPr>
        <w:t>a </w:t>
      </w:r>
      <w:r w:rsidRPr="00A11FE0">
        <w:rPr>
          <w:rFonts w:asciiTheme="majorHAnsi" w:hAnsiTheme="majorHAnsi"/>
        </w:rPr>
        <w:t xml:space="preserve">V4 1,27 %). Dôvodom tohto </w:t>
      </w:r>
      <w:r w:rsidR="00BD5FD5">
        <w:rPr>
          <w:rFonts w:asciiTheme="majorHAnsi" w:hAnsiTheme="majorHAnsi"/>
        </w:rPr>
        <w:t>s</w:t>
      </w:r>
      <w:r w:rsidRPr="00A11FE0">
        <w:rPr>
          <w:rFonts w:asciiTheme="majorHAnsi" w:hAnsiTheme="majorHAnsi"/>
        </w:rPr>
        <w:t xml:space="preserve">tavu je </w:t>
      </w:r>
      <w:r w:rsidR="004868B1" w:rsidRPr="00A11FE0">
        <w:rPr>
          <w:rFonts w:asciiTheme="majorHAnsi" w:hAnsiTheme="majorHAnsi"/>
        </w:rPr>
        <w:t xml:space="preserve">najmä </w:t>
      </w:r>
      <w:r w:rsidRPr="00A11FE0">
        <w:rPr>
          <w:rFonts w:asciiTheme="majorHAnsi" w:hAnsiTheme="majorHAnsi"/>
        </w:rPr>
        <w:t xml:space="preserve">nízka úroveň </w:t>
      </w:r>
      <w:r w:rsidR="00BD5FD5">
        <w:rPr>
          <w:rFonts w:asciiTheme="majorHAnsi" w:hAnsiTheme="majorHAnsi"/>
        </w:rPr>
        <w:t>s</w:t>
      </w:r>
      <w:r w:rsidRPr="00A11FE0">
        <w:rPr>
          <w:rFonts w:asciiTheme="majorHAnsi" w:hAnsiTheme="majorHAnsi"/>
        </w:rPr>
        <w:t>úkromných investícií</w:t>
      </w:r>
      <w:r w:rsidR="008C1228" w:rsidRPr="00A11FE0">
        <w:rPr>
          <w:rFonts w:asciiTheme="majorHAnsi" w:hAnsiTheme="majorHAnsi"/>
        </w:rPr>
        <w:t xml:space="preserve"> do </w:t>
      </w:r>
      <w:r w:rsidR="00047B5C" w:rsidRPr="00A11FE0">
        <w:rPr>
          <w:rFonts w:asciiTheme="majorHAnsi" w:hAnsiTheme="majorHAnsi"/>
        </w:rPr>
        <w:t>VaV</w:t>
      </w:r>
      <w:r w:rsidRPr="00A11FE0">
        <w:rPr>
          <w:rFonts w:asciiTheme="majorHAnsi" w:hAnsiTheme="majorHAnsi"/>
        </w:rPr>
        <w:t>. Celkovo</w:t>
      </w:r>
      <w:r w:rsidR="002416AC">
        <w:rPr>
          <w:rFonts w:asciiTheme="majorHAnsi" w:hAnsiTheme="majorHAnsi"/>
        </w:rPr>
        <w:t>,</w:t>
      </w:r>
      <w:r w:rsidRPr="00A11FE0">
        <w:rPr>
          <w:rFonts w:asciiTheme="majorHAnsi" w:hAnsiTheme="majorHAnsi"/>
        </w:rPr>
        <w:t xml:space="preserve"> od roku 2005 podiel priemyslu na finančnej </w:t>
      </w:r>
      <w:r w:rsidR="00BD5FD5">
        <w:rPr>
          <w:rFonts w:asciiTheme="majorHAnsi" w:hAnsiTheme="majorHAnsi"/>
        </w:rPr>
        <w:t>s</w:t>
      </w:r>
      <w:r w:rsidRPr="00A11FE0">
        <w:rPr>
          <w:rFonts w:asciiTheme="majorHAnsi" w:hAnsiTheme="majorHAnsi"/>
        </w:rPr>
        <w:t>timulácii V</w:t>
      </w:r>
      <w:r w:rsidR="00047B5C" w:rsidRPr="00A11FE0">
        <w:rPr>
          <w:rFonts w:asciiTheme="majorHAnsi" w:hAnsiTheme="majorHAnsi"/>
        </w:rPr>
        <w:t>a</w:t>
      </w:r>
      <w:r w:rsidRPr="00A11FE0">
        <w:rPr>
          <w:rFonts w:asciiTheme="majorHAnsi" w:hAnsiTheme="majorHAnsi"/>
        </w:rPr>
        <w:t xml:space="preserve">V poklesol z 54 % na 35 % </w:t>
      </w:r>
      <w:r w:rsidR="00BD5FD5">
        <w:rPr>
          <w:rFonts w:asciiTheme="majorHAnsi" w:hAnsiTheme="majorHAnsi"/>
        </w:rPr>
        <w:t>a</w:t>
      </w:r>
      <w:r w:rsidRPr="00A11FE0">
        <w:rPr>
          <w:rFonts w:asciiTheme="majorHAnsi" w:hAnsiTheme="majorHAnsi"/>
        </w:rPr>
        <w:t> v roku 2010 predstavoval len 0,27 % HDP</w:t>
      </w:r>
      <w:r w:rsidRPr="00A11FE0">
        <w:rPr>
          <w:rStyle w:val="Odkaznapoznmkupodiarou"/>
          <w:rFonts w:asciiTheme="majorHAnsi" w:hAnsiTheme="majorHAnsi"/>
        </w:rPr>
        <w:footnoteReference w:id="12"/>
      </w:r>
      <w:r w:rsidRPr="00A11FE0">
        <w:rPr>
          <w:rFonts w:asciiTheme="majorHAnsi" w:hAnsiTheme="majorHAnsi"/>
        </w:rPr>
        <w:t xml:space="preserve">. Do roku 2020, </w:t>
      </w:r>
      <w:r w:rsidR="00BD5FD5">
        <w:rPr>
          <w:rFonts w:asciiTheme="majorHAnsi" w:hAnsiTheme="majorHAnsi"/>
        </w:rPr>
        <w:t>a</w:t>
      </w:r>
      <w:r w:rsidRPr="00A11FE0">
        <w:rPr>
          <w:rFonts w:asciiTheme="majorHAnsi" w:hAnsiTheme="majorHAnsi"/>
        </w:rPr>
        <w:t>j v</w:t>
      </w:r>
      <w:r w:rsidR="00FB04B0">
        <w:rPr>
          <w:rFonts w:asciiTheme="majorHAnsi" w:hAnsiTheme="majorHAnsi"/>
        </w:rPr>
        <w:t> </w:t>
      </w:r>
      <w:r w:rsidRPr="00A11FE0">
        <w:rPr>
          <w:rFonts w:asciiTheme="majorHAnsi" w:hAnsiTheme="majorHAnsi"/>
        </w:rPr>
        <w:t xml:space="preserve">zmysle </w:t>
      </w:r>
      <w:r w:rsidR="002416AC">
        <w:rPr>
          <w:rFonts w:asciiTheme="majorHAnsi" w:hAnsiTheme="majorHAnsi"/>
        </w:rPr>
        <w:t>s</w:t>
      </w:r>
      <w:r w:rsidR="002416AC" w:rsidRPr="00A11FE0">
        <w:rPr>
          <w:rFonts w:asciiTheme="majorHAnsi" w:hAnsiTheme="majorHAnsi"/>
        </w:rPr>
        <w:t>tratégi</w:t>
      </w:r>
      <w:r w:rsidR="002416AC">
        <w:rPr>
          <w:rFonts w:asciiTheme="majorHAnsi" w:hAnsiTheme="majorHAnsi"/>
        </w:rPr>
        <w:t>e</w:t>
      </w:r>
      <w:r w:rsidR="002416AC" w:rsidRPr="00A11FE0">
        <w:rPr>
          <w:rFonts w:asciiTheme="majorHAnsi" w:hAnsiTheme="majorHAnsi"/>
        </w:rPr>
        <w:t xml:space="preserve"> </w:t>
      </w:r>
      <w:r w:rsidR="00992762">
        <w:rPr>
          <w:rFonts w:asciiTheme="majorHAnsi" w:hAnsiTheme="majorHAnsi"/>
        </w:rPr>
        <w:t>E</w:t>
      </w:r>
      <w:r w:rsidR="00284B48">
        <w:rPr>
          <w:rFonts w:asciiTheme="majorHAnsi" w:hAnsiTheme="majorHAnsi"/>
        </w:rPr>
        <w:t>ur</w:t>
      </w:r>
      <w:r w:rsidRPr="00A11FE0">
        <w:rPr>
          <w:rFonts w:asciiTheme="majorHAnsi" w:hAnsiTheme="majorHAnsi"/>
        </w:rPr>
        <w:t xml:space="preserve">ópa 2020, chce </w:t>
      </w:r>
      <w:r w:rsidR="00BD5FD5">
        <w:rPr>
          <w:rFonts w:asciiTheme="majorHAnsi" w:hAnsiTheme="majorHAnsi"/>
        </w:rPr>
        <w:t>S</w:t>
      </w:r>
      <w:r w:rsidR="00A31197" w:rsidRPr="00A11FE0">
        <w:rPr>
          <w:rFonts w:asciiTheme="majorHAnsi" w:hAnsiTheme="majorHAnsi"/>
        </w:rPr>
        <w:t xml:space="preserve">R </w:t>
      </w:r>
      <w:r w:rsidRPr="00A11FE0">
        <w:rPr>
          <w:rFonts w:asciiTheme="majorHAnsi" w:hAnsiTheme="majorHAnsi"/>
        </w:rPr>
        <w:t xml:space="preserve">zvýšiť podiel </w:t>
      </w:r>
      <w:r w:rsidR="009D3AC2" w:rsidRPr="00A11FE0">
        <w:rPr>
          <w:rFonts w:asciiTheme="majorHAnsi" w:hAnsiTheme="majorHAnsi"/>
        </w:rPr>
        <w:t xml:space="preserve">výdavkov </w:t>
      </w:r>
      <w:r w:rsidR="003B3453" w:rsidRPr="00A11FE0">
        <w:rPr>
          <w:rFonts w:asciiTheme="majorHAnsi" w:hAnsiTheme="majorHAnsi"/>
        </w:rPr>
        <w:t xml:space="preserve">na </w:t>
      </w:r>
      <w:r w:rsidR="009D3AC2" w:rsidRPr="00A11FE0">
        <w:rPr>
          <w:rFonts w:asciiTheme="majorHAnsi" w:hAnsiTheme="majorHAnsi"/>
        </w:rPr>
        <w:t>VV</w:t>
      </w:r>
      <w:r w:rsidR="00D53987" w:rsidRPr="00A11FE0">
        <w:rPr>
          <w:rFonts w:asciiTheme="majorHAnsi" w:hAnsiTheme="majorHAnsi"/>
        </w:rPr>
        <w:t>a</w:t>
      </w:r>
      <w:r w:rsidR="009D3AC2" w:rsidRPr="00A11FE0">
        <w:rPr>
          <w:rFonts w:asciiTheme="majorHAnsi" w:hAnsiTheme="majorHAnsi"/>
        </w:rPr>
        <w:t>I minimálne na 1,2 % z</w:t>
      </w:r>
      <w:r w:rsidR="00933078">
        <w:rPr>
          <w:rFonts w:asciiTheme="majorHAnsi" w:hAnsiTheme="majorHAnsi"/>
        </w:rPr>
        <w:t> </w:t>
      </w:r>
      <w:r w:rsidR="009D3AC2" w:rsidRPr="00A11FE0">
        <w:rPr>
          <w:rFonts w:asciiTheme="majorHAnsi" w:hAnsiTheme="majorHAnsi"/>
        </w:rPr>
        <w:t>HDP</w:t>
      </w:r>
      <w:r w:rsidR="009D3AC2" w:rsidRPr="00A11FE0">
        <w:rPr>
          <w:rStyle w:val="Odkaznapoznmkupodiarou"/>
          <w:rFonts w:asciiTheme="majorHAnsi" w:hAnsiTheme="majorHAnsi"/>
        </w:rPr>
        <w:footnoteReference w:id="13"/>
      </w:r>
      <w:r w:rsidRPr="00A11FE0">
        <w:rPr>
          <w:rFonts w:asciiTheme="majorHAnsi" w:hAnsiTheme="majorHAnsi"/>
        </w:rPr>
        <w:t xml:space="preserve"> tak, </w:t>
      </w:r>
      <w:r w:rsidR="00BD5FD5">
        <w:rPr>
          <w:rFonts w:asciiTheme="majorHAnsi" w:hAnsiTheme="majorHAnsi"/>
        </w:rPr>
        <w:t>a</w:t>
      </w:r>
      <w:r w:rsidRPr="00A11FE0">
        <w:rPr>
          <w:rFonts w:asciiTheme="majorHAnsi" w:hAnsiTheme="majorHAnsi"/>
        </w:rPr>
        <w:t xml:space="preserve">by podiel verejných </w:t>
      </w:r>
      <w:r w:rsidR="00BD5FD5">
        <w:rPr>
          <w:rFonts w:asciiTheme="majorHAnsi" w:hAnsiTheme="majorHAnsi"/>
        </w:rPr>
        <w:t>a s</w:t>
      </w:r>
      <w:r w:rsidRPr="00A11FE0">
        <w:rPr>
          <w:rFonts w:asciiTheme="majorHAnsi" w:hAnsiTheme="majorHAnsi"/>
        </w:rPr>
        <w:t xml:space="preserve">úkromných zdrojov bol </w:t>
      </w:r>
      <w:r w:rsidR="00B04DDE">
        <w:rPr>
          <w:rFonts w:asciiTheme="majorHAnsi" w:hAnsiTheme="majorHAnsi"/>
        </w:rPr>
        <w:t xml:space="preserve">v pomere </w:t>
      </w:r>
      <w:r w:rsidRPr="00A11FE0">
        <w:rPr>
          <w:rFonts w:asciiTheme="majorHAnsi" w:hAnsiTheme="majorHAnsi"/>
        </w:rPr>
        <w:t>1:2</w:t>
      </w:r>
      <w:r w:rsidR="009D3AC2" w:rsidRPr="00A11FE0">
        <w:rPr>
          <w:rFonts w:asciiTheme="majorHAnsi" w:hAnsiTheme="majorHAnsi"/>
        </w:rPr>
        <w:t>.</w:t>
      </w:r>
      <w:r w:rsidRPr="00A11FE0">
        <w:rPr>
          <w:rFonts w:asciiTheme="majorHAnsi" w:hAnsiTheme="majorHAnsi"/>
        </w:rPr>
        <w:t xml:space="preserve"> </w:t>
      </w:r>
      <w:r w:rsidR="009130E0" w:rsidRPr="00A11FE0">
        <w:rPr>
          <w:rFonts w:asciiTheme="majorHAnsi" w:hAnsiTheme="majorHAnsi"/>
        </w:rPr>
        <w:t xml:space="preserve">Na </w:t>
      </w:r>
      <w:r w:rsidR="00BD5FD5">
        <w:rPr>
          <w:rFonts w:asciiTheme="majorHAnsi" w:hAnsiTheme="majorHAnsi"/>
        </w:rPr>
        <w:t>s</w:t>
      </w:r>
      <w:r w:rsidR="009130E0" w:rsidRPr="00A11FE0">
        <w:rPr>
          <w:rFonts w:asciiTheme="majorHAnsi" w:hAnsiTheme="majorHAnsi"/>
        </w:rPr>
        <w:t>plnenie tohto cieľa bude potrebné</w:t>
      </w:r>
      <w:r w:rsidR="00A31197" w:rsidRPr="00A11FE0">
        <w:rPr>
          <w:rFonts w:asciiTheme="majorHAnsi" w:hAnsiTheme="majorHAnsi"/>
        </w:rPr>
        <w:t xml:space="preserve"> </w:t>
      </w:r>
      <w:r w:rsidR="002137C2">
        <w:rPr>
          <w:rFonts w:asciiTheme="majorHAnsi" w:hAnsiTheme="majorHAnsi"/>
        </w:rPr>
        <w:t xml:space="preserve">zvýšiť </w:t>
      </w:r>
      <w:r w:rsidR="00BD5FD5">
        <w:rPr>
          <w:rFonts w:asciiTheme="majorHAnsi" w:hAnsiTheme="majorHAnsi"/>
        </w:rPr>
        <w:t>s</w:t>
      </w:r>
      <w:r w:rsidR="002137C2">
        <w:rPr>
          <w:rFonts w:asciiTheme="majorHAnsi" w:hAnsiTheme="majorHAnsi"/>
        </w:rPr>
        <w:t xml:space="preserve">úkromné investície do </w:t>
      </w:r>
      <w:r w:rsidR="00933078">
        <w:rPr>
          <w:rFonts w:asciiTheme="majorHAnsi" w:hAnsiTheme="majorHAnsi"/>
        </w:rPr>
        <w:t>VVaI</w:t>
      </w:r>
      <w:r w:rsidR="002137C2" w:rsidRPr="00A11FE0">
        <w:rPr>
          <w:rFonts w:asciiTheme="majorHAnsi" w:hAnsiTheme="majorHAnsi"/>
        </w:rPr>
        <w:t xml:space="preserve"> </w:t>
      </w:r>
      <w:r w:rsidR="002137C2">
        <w:rPr>
          <w:rFonts w:asciiTheme="majorHAnsi" w:hAnsiTheme="majorHAnsi"/>
        </w:rPr>
        <w:t xml:space="preserve">posilňovaním </w:t>
      </w:r>
      <w:r w:rsidR="00BD5FD5">
        <w:rPr>
          <w:rFonts w:asciiTheme="majorHAnsi" w:hAnsiTheme="majorHAnsi"/>
        </w:rPr>
        <w:t>s</w:t>
      </w:r>
      <w:r w:rsidR="002137C2">
        <w:rPr>
          <w:rFonts w:asciiTheme="majorHAnsi" w:hAnsiTheme="majorHAnsi"/>
        </w:rPr>
        <w:t xml:space="preserve">polupráce výskumných centier </w:t>
      </w:r>
      <w:r w:rsidR="00BD5FD5">
        <w:rPr>
          <w:rFonts w:asciiTheme="majorHAnsi" w:hAnsiTheme="majorHAnsi"/>
        </w:rPr>
        <w:t>s </w:t>
      </w:r>
      <w:r w:rsidR="006E38FD">
        <w:rPr>
          <w:rFonts w:asciiTheme="majorHAnsi" w:hAnsiTheme="majorHAnsi"/>
        </w:rPr>
        <w:t xml:space="preserve">podnikateľskými </w:t>
      </w:r>
      <w:r w:rsidR="00BD5FD5">
        <w:rPr>
          <w:rFonts w:asciiTheme="majorHAnsi" w:hAnsiTheme="majorHAnsi"/>
        </w:rPr>
        <w:t>s</w:t>
      </w:r>
      <w:r w:rsidR="006E38FD">
        <w:rPr>
          <w:rFonts w:asciiTheme="majorHAnsi" w:hAnsiTheme="majorHAnsi"/>
        </w:rPr>
        <w:t>ubje</w:t>
      </w:r>
      <w:r w:rsidR="009D19B2">
        <w:rPr>
          <w:rFonts w:asciiTheme="majorHAnsi" w:hAnsiTheme="majorHAnsi"/>
        </w:rPr>
        <w:t>k</w:t>
      </w:r>
      <w:r w:rsidR="006E38FD">
        <w:rPr>
          <w:rFonts w:asciiTheme="majorHAnsi" w:hAnsiTheme="majorHAnsi"/>
        </w:rPr>
        <w:t>tmi</w:t>
      </w:r>
      <w:r w:rsidR="002416AC">
        <w:rPr>
          <w:rFonts w:asciiTheme="majorHAnsi" w:hAnsiTheme="majorHAnsi"/>
        </w:rPr>
        <w:t xml:space="preserve">, ako aj </w:t>
      </w:r>
      <w:r w:rsidR="00BD5FD5" w:rsidRPr="009F4CBE">
        <w:rPr>
          <w:rFonts w:asciiTheme="majorHAnsi" w:hAnsiTheme="majorHAnsi"/>
        </w:rPr>
        <w:t>k</w:t>
      </w:r>
      <w:r w:rsidR="008C1228" w:rsidRPr="002644BF">
        <w:rPr>
          <w:rFonts w:asciiTheme="majorHAnsi" w:hAnsiTheme="majorHAnsi"/>
        </w:rPr>
        <w:t>onsolidova</w:t>
      </w:r>
      <w:r w:rsidR="00A31197" w:rsidRPr="00C12A04">
        <w:rPr>
          <w:rFonts w:asciiTheme="majorHAnsi" w:hAnsiTheme="majorHAnsi"/>
        </w:rPr>
        <w:t>ť</w:t>
      </w:r>
      <w:r w:rsidR="008C1228" w:rsidRPr="00DA0650">
        <w:rPr>
          <w:rFonts w:asciiTheme="majorHAnsi" w:hAnsiTheme="majorHAnsi"/>
        </w:rPr>
        <w:t xml:space="preserve"> </w:t>
      </w:r>
      <w:r w:rsidR="00BD5FD5" w:rsidRPr="00F97BE0">
        <w:rPr>
          <w:rFonts w:asciiTheme="majorHAnsi" w:hAnsiTheme="majorHAnsi"/>
        </w:rPr>
        <w:t>a </w:t>
      </w:r>
      <w:r w:rsidR="009130E0" w:rsidRPr="002D4450">
        <w:rPr>
          <w:rFonts w:asciiTheme="majorHAnsi" w:hAnsiTheme="majorHAnsi"/>
        </w:rPr>
        <w:t>rozš</w:t>
      </w:r>
      <w:r w:rsidR="006E38FD" w:rsidRPr="002D4450">
        <w:rPr>
          <w:rFonts w:asciiTheme="majorHAnsi" w:hAnsiTheme="majorHAnsi"/>
        </w:rPr>
        <w:t>irovať</w:t>
      </w:r>
      <w:r w:rsidR="009130E0" w:rsidRPr="00396928">
        <w:rPr>
          <w:rFonts w:asciiTheme="majorHAnsi" w:hAnsiTheme="majorHAnsi"/>
        </w:rPr>
        <w:t xml:space="preserve"> </w:t>
      </w:r>
      <w:r w:rsidR="00D13431" w:rsidRPr="00493A6C">
        <w:rPr>
          <w:rFonts w:asciiTheme="majorHAnsi" w:hAnsiTheme="majorHAnsi"/>
        </w:rPr>
        <w:t>VaI</w:t>
      </w:r>
      <w:r w:rsidR="00B15A0A" w:rsidRPr="00245DE5">
        <w:rPr>
          <w:rFonts w:asciiTheme="majorHAnsi" w:hAnsiTheme="majorHAnsi"/>
        </w:rPr>
        <w:t xml:space="preserve"> infraštruk</w:t>
      </w:r>
      <w:r w:rsidR="00B15A0A" w:rsidRPr="0083589D">
        <w:rPr>
          <w:rFonts w:asciiTheme="majorHAnsi" w:hAnsiTheme="majorHAnsi"/>
        </w:rPr>
        <w:t>túr</w:t>
      </w:r>
      <w:r w:rsidR="00A31197" w:rsidRPr="007146BC">
        <w:rPr>
          <w:rFonts w:asciiTheme="majorHAnsi" w:hAnsiTheme="majorHAnsi"/>
        </w:rPr>
        <w:t xml:space="preserve">u </w:t>
      </w:r>
      <w:r w:rsidR="009130E0" w:rsidRPr="007146BC">
        <w:rPr>
          <w:rFonts w:asciiTheme="majorHAnsi" w:hAnsiTheme="majorHAnsi"/>
        </w:rPr>
        <w:t>invest</w:t>
      </w:r>
      <w:r w:rsidR="002137C2" w:rsidRPr="007146BC">
        <w:rPr>
          <w:rFonts w:asciiTheme="majorHAnsi" w:hAnsiTheme="majorHAnsi"/>
        </w:rPr>
        <w:t>íci</w:t>
      </w:r>
      <w:r w:rsidR="00D13431" w:rsidRPr="00CB0793">
        <w:rPr>
          <w:rFonts w:asciiTheme="majorHAnsi" w:hAnsiTheme="majorHAnsi"/>
        </w:rPr>
        <w:t>í</w:t>
      </w:r>
      <w:r w:rsidR="002137C2" w:rsidRPr="009E246D">
        <w:rPr>
          <w:rFonts w:asciiTheme="majorHAnsi" w:hAnsiTheme="majorHAnsi"/>
        </w:rPr>
        <w:t xml:space="preserve"> prostredníc</w:t>
      </w:r>
      <w:r w:rsidR="009130E0" w:rsidRPr="009E246D">
        <w:rPr>
          <w:rFonts w:asciiTheme="majorHAnsi" w:hAnsiTheme="majorHAnsi"/>
        </w:rPr>
        <w:t>tvom inteligentnej špecializácie</w:t>
      </w:r>
      <w:r w:rsidR="009F4CBE" w:rsidRPr="009E246D">
        <w:rPr>
          <w:rFonts w:asciiTheme="majorHAnsi" w:hAnsiTheme="majorHAnsi"/>
        </w:rPr>
        <w:t>,</w:t>
      </w:r>
      <w:r w:rsidR="00E37887" w:rsidRPr="009E246D">
        <w:rPr>
          <w:rFonts w:asciiTheme="majorHAnsi" w:hAnsiTheme="majorHAnsi"/>
        </w:rPr>
        <w:t xml:space="preserve"> </w:t>
      </w:r>
      <w:r w:rsidR="00E37887" w:rsidRPr="003F0750">
        <w:rPr>
          <w:rFonts w:asciiTheme="majorHAnsi" w:hAnsiTheme="majorHAnsi" w:cs="Calibri"/>
          <w:szCs w:val="22"/>
        </w:rPr>
        <w:t xml:space="preserve">prijať motivačné nepriame nástroje podpory </w:t>
      </w:r>
      <w:r w:rsidR="002416AC">
        <w:rPr>
          <w:rFonts w:asciiTheme="majorHAnsi" w:hAnsiTheme="majorHAnsi" w:cs="Calibri"/>
          <w:szCs w:val="22"/>
        </w:rPr>
        <w:t>VaV</w:t>
      </w:r>
      <w:r w:rsidR="00E37887" w:rsidRPr="003F0750">
        <w:rPr>
          <w:rFonts w:asciiTheme="majorHAnsi" w:hAnsiTheme="majorHAnsi" w:cs="Calibri"/>
          <w:szCs w:val="22"/>
        </w:rPr>
        <w:t xml:space="preserve"> pre podnikateľskú sféru a</w:t>
      </w:r>
      <w:r w:rsidR="00FB04B0">
        <w:rPr>
          <w:rFonts w:asciiTheme="majorHAnsi" w:hAnsiTheme="majorHAnsi" w:cs="Calibri"/>
          <w:szCs w:val="22"/>
        </w:rPr>
        <w:t> </w:t>
      </w:r>
      <w:r w:rsidR="00E37887" w:rsidRPr="003F0750">
        <w:rPr>
          <w:rFonts w:asciiTheme="majorHAnsi" w:hAnsiTheme="majorHAnsi" w:cs="Calibri"/>
          <w:szCs w:val="22"/>
        </w:rPr>
        <w:t>podporiť výraznejšie ocenenie práce v oblasti výskumu na Slovensku.</w:t>
      </w:r>
    </w:p>
    <w:p w:rsidR="00E47189" w:rsidRPr="00A11FE0" w:rsidRDefault="00BD5FD5" w:rsidP="001C6765">
      <w:pPr>
        <w:pStyle w:val="Nadpis5"/>
        <w:numPr>
          <w:ilvl w:val="4"/>
          <w:numId w:val="2"/>
        </w:numPr>
        <w:ind w:left="1292"/>
      </w:pPr>
      <w:r>
        <w:t>K</w:t>
      </w:r>
      <w:r w:rsidR="008C1228" w:rsidRPr="00A11FE0">
        <w:t xml:space="preserve">onsolidovanie </w:t>
      </w:r>
      <w:r>
        <w:t>a </w:t>
      </w:r>
      <w:r w:rsidR="008C1228" w:rsidRPr="00A11FE0">
        <w:t>r</w:t>
      </w:r>
      <w:r w:rsidR="009130E0" w:rsidRPr="00A11FE0">
        <w:t xml:space="preserve">ozšírenie výskumnej </w:t>
      </w:r>
      <w:r>
        <w:t>a </w:t>
      </w:r>
      <w:r w:rsidR="009130E0" w:rsidRPr="00A11FE0">
        <w:t>inovačnej infraštruktúry</w:t>
      </w:r>
    </w:p>
    <w:p w:rsidR="00BB0937" w:rsidRDefault="00E47189" w:rsidP="00F723B9">
      <w:pPr>
        <w:spacing w:before="0" w:after="0"/>
        <w:rPr>
          <w:rFonts w:asciiTheme="majorHAnsi" w:hAnsiTheme="majorHAnsi"/>
          <w:b/>
        </w:rPr>
      </w:pPr>
      <w:r w:rsidRPr="00A11FE0">
        <w:rPr>
          <w:rFonts w:asciiTheme="majorHAnsi" w:hAnsiTheme="majorHAnsi"/>
        </w:rPr>
        <w:t xml:space="preserve">Dobudovanie </w:t>
      </w:r>
      <w:r w:rsidR="005456A3">
        <w:rPr>
          <w:rFonts w:asciiTheme="majorHAnsi" w:hAnsiTheme="majorHAnsi"/>
        </w:rPr>
        <w:t xml:space="preserve">infraštruktúry </w:t>
      </w:r>
      <w:r w:rsidR="00BD5FD5">
        <w:rPr>
          <w:rFonts w:asciiTheme="majorHAnsi" w:hAnsiTheme="majorHAnsi"/>
        </w:rPr>
        <w:t>a k</w:t>
      </w:r>
      <w:r w:rsidR="009130E0" w:rsidRPr="00A11FE0">
        <w:rPr>
          <w:rFonts w:asciiTheme="majorHAnsi" w:hAnsiTheme="majorHAnsi"/>
        </w:rPr>
        <w:t>apacít</w:t>
      </w:r>
      <w:r w:rsidRPr="00A11FE0">
        <w:rPr>
          <w:rFonts w:asciiTheme="majorHAnsi" w:hAnsiTheme="majorHAnsi"/>
        </w:rPr>
        <w:t xml:space="preserve"> </w:t>
      </w:r>
      <w:r w:rsidR="009130E0" w:rsidRPr="00A11FE0">
        <w:rPr>
          <w:rFonts w:asciiTheme="majorHAnsi" w:hAnsiTheme="majorHAnsi"/>
        </w:rPr>
        <w:t>na rozvoj excelentnosti v</w:t>
      </w:r>
      <w:r w:rsidR="00245325">
        <w:rPr>
          <w:rFonts w:asciiTheme="majorHAnsi" w:hAnsiTheme="majorHAnsi"/>
        </w:rPr>
        <w:t> </w:t>
      </w:r>
      <w:r w:rsidR="009130E0" w:rsidRPr="00A11FE0">
        <w:rPr>
          <w:rFonts w:asciiTheme="majorHAnsi" w:hAnsiTheme="majorHAnsi"/>
        </w:rPr>
        <w:t>oblasti</w:t>
      </w:r>
      <w:r w:rsidR="00245325">
        <w:rPr>
          <w:rFonts w:asciiTheme="majorHAnsi" w:hAnsiTheme="majorHAnsi"/>
        </w:rPr>
        <w:t xml:space="preserve"> </w:t>
      </w:r>
      <w:r w:rsidR="00277E2D">
        <w:rPr>
          <w:rFonts w:asciiTheme="majorHAnsi" w:hAnsiTheme="majorHAnsi"/>
        </w:rPr>
        <w:t>V</w:t>
      </w:r>
      <w:r w:rsidR="008618CA" w:rsidRPr="00A11FE0">
        <w:rPr>
          <w:rFonts w:asciiTheme="majorHAnsi" w:hAnsiTheme="majorHAnsi"/>
        </w:rPr>
        <w:t>VaI</w:t>
      </w:r>
      <w:r w:rsidR="005456A3">
        <w:rPr>
          <w:rFonts w:asciiTheme="majorHAnsi" w:hAnsiTheme="majorHAnsi"/>
        </w:rPr>
        <w:t xml:space="preserve">, </w:t>
      </w:r>
      <w:r w:rsidR="006E38FD">
        <w:rPr>
          <w:rFonts w:asciiTheme="majorHAnsi" w:hAnsiTheme="majorHAnsi"/>
        </w:rPr>
        <w:t xml:space="preserve">zvýšenie </w:t>
      </w:r>
      <w:r w:rsidR="00BD5FD5">
        <w:rPr>
          <w:rFonts w:asciiTheme="majorHAnsi" w:hAnsiTheme="majorHAnsi"/>
        </w:rPr>
        <w:t>s</w:t>
      </w:r>
      <w:r w:rsidR="006E38FD">
        <w:rPr>
          <w:rFonts w:asciiTheme="majorHAnsi" w:hAnsiTheme="majorHAnsi"/>
        </w:rPr>
        <w:t>úkromných</w:t>
      </w:r>
      <w:r w:rsidR="005456A3">
        <w:rPr>
          <w:rFonts w:asciiTheme="majorHAnsi" w:hAnsiTheme="majorHAnsi"/>
        </w:rPr>
        <w:t xml:space="preserve"> investícii do </w:t>
      </w:r>
      <w:r w:rsidR="0085446D">
        <w:rPr>
          <w:rFonts w:asciiTheme="majorHAnsi" w:hAnsiTheme="majorHAnsi"/>
        </w:rPr>
        <w:t>VaI</w:t>
      </w:r>
      <w:r w:rsidR="005456A3">
        <w:rPr>
          <w:rFonts w:asciiTheme="majorHAnsi" w:hAnsiTheme="majorHAnsi"/>
        </w:rPr>
        <w:t xml:space="preserve"> </w:t>
      </w:r>
      <w:r w:rsidR="00BD5FD5">
        <w:rPr>
          <w:rFonts w:asciiTheme="majorHAnsi" w:hAnsiTheme="majorHAnsi"/>
        </w:rPr>
        <w:t>a </w:t>
      </w:r>
      <w:r w:rsidR="005456A3">
        <w:rPr>
          <w:rFonts w:asciiTheme="majorHAnsi" w:hAnsiTheme="majorHAnsi"/>
        </w:rPr>
        <w:t xml:space="preserve">rozvoj </w:t>
      </w:r>
      <w:r w:rsidR="00BD5FD5">
        <w:rPr>
          <w:rFonts w:asciiTheme="majorHAnsi" w:hAnsiTheme="majorHAnsi"/>
        </w:rPr>
        <w:t>s</w:t>
      </w:r>
      <w:r w:rsidR="005456A3">
        <w:rPr>
          <w:rFonts w:asciiTheme="majorHAnsi" w:hAnsiTheme="majorHAnsi"/>
        </w:rPr>
        <w:t xml:space="preserve">polupráce </w:t>
      </w:r>
      <w:r w:rsidR="00BD5FD5">
        <w:rPr>
          <w:rFonts w:asciiTheme="majorHAnsi" w:hAnsiTheme="majorHAnsi"/>
        </w:rPr>
        <w:t>a s</w:t>
      </w:r>
      <w:r w:rsidR="005456A3">
        <w:rPr>
          <w:rFonts w:asciiTheme="majorHAnsi" w:hAnsiTheme="majorHAnsi"/>
        </w:rPr>
        <w:t xml:space="preserve">ynergií medzi </w:t>
      </w:r>
      <w:r w:rsidR="006E38FD">
        <w:rPr>
          <w:rFonts w:asciiTheme="majorHAnsi" w:hAnsiTheme="majorHAnsi"/>
        </w:rPr>
        <w:t>univerzitami</w:t>
      </w:r>
      <w:r w:rsidR="005456A3">
        <w:rPr>
          <w:rFonts w:asciiTheme="majorHAnsi" w:hAnsiTheme="majorHAnsi"/>
        </w:rPr>
        <w:t xml:space="preserve">, </w:t>
      </w:r>
      <w:r w:rsidR="007D3C11">
        <w:rPr>
          <w:rFonts w:asciiTheme="majorHAnsi" w:hAnsiTheme="majorHAnsi"/>
        </w:rPr>
        <w:t>Slovenskou akadémiou vied (ďalej len „</w:t>
      </w:r>
      <w:r w:rsidR="004C3F62">
        <w:rPr>
          <w:rFonts w:asciiTheme="majorHAnsi" w:hAnsiTheme="majorHAnsi"/>
        </w:rPr>
        <w:t>SAV</w:t>
      </w:r>
      <w:r w:rsidR="007D3C11">
        <w:rPr>
          <w:rFonts w:asciiTheme="majorHAnsi" w:hAnsiTheme="majorHAnsi"/>
        </w:rPr>
        <w:t>“)</w:t>
      </w:r>
      <w:r w:rsidR="004C3F62">
        <w:rPr>
          <w:rFonts w:asciiTheme="majorHAnsi" w:hAnsiTheme="majorHAnsi"/>
        </w:rPr>
        <w:t xml:space="preserve">, </w:t>
      </w:r>
      <w:r w:rsidR="005456A3">
        <w:rPr>
          <w:rFonts w:asciiTheme="majorHAnsi" w:hAnsiTheme="majorHAnsi"/>
        </w:rPr>
        <w:t xml:space="preserve">výskumnými </w:t>
      </w:r>
      <w:r w:rsidR="006E38FD">
        <w:rPr>
          <w:rFonts w:asciiTheme="majorHAnsi" w:hAnsiTheme="majorHAnsi"/>
        </w:rPr>
        <w:t>organizáciami</w:t>
      </w:r>
      <w:r w:rsidR="005456A3">
        <w:rPr>
          <w:rFonts w:asciiTheme="majorHAnsi" w:hAnsiTheme="majorHAnsi"/>
        </w:rPr>
        <w:t xml:space="preserve"> </w:t>
      </w:r>
      <w:r w:rsidR="00BD5FD5">
        <w:rPr>
          <w:rFonts w:asciiTheme="majorHAnsi" w:hAnsiTheme="majorHAnsi"/>
        </w:rPr>
        <w:t>a </w:t>
      </w:r>
      <w:r w:rsidR="006E38FD">
        <w:rPr>
          <w:rFonts w:asciiTheme="majorHAnsi" w:hAnsiTheme="majorHAnsi"/>
        </w:rPr>
        <w:t xml:space="preserve">podnikateľskou </w:t>
      </w:r>
      <w:r w:rsidR="00BD5FD5">
        <w:rPr>
          <w:rFonts w:asciiTheme="majorHAnsi" w:hAnsiTheme="majorHAnsi"/>
        </w:rPr>
        <w:t>s</w:t>
      </w:r>
      <w:r w:rsidR="006E38FD">
        <w:rPr>
          <w:rFonts w:asciiTheme="majorHAnsi" w:hAnsiTheme="majorHAnsi"/>
        </w:rPr>
        <w:t>férou</w:t>
      </w:r>
      <w:r w:rsidR="00A31197" w:rsidRPr="00A11FE0">
        <w:rPr>
          <w:rFonts w:asciiTheme="majorHAnsi" w:hAnsiTheme="majorHAnsi"/>
        </w:rPr>
        <w:t>,</w:t>
      </w:r>
      <w:r w:rsidRPr="00A11FE0">
        <w:rPr>
          <w:rFonts w:asciiTheme="majorHAnsi" w:hAnsiTheme="majorHAnsi"/>
        </w:rPr>
        <w:t xml:space="preserve"> </w:t>
      </w:r>
      <w:r w:rsidR="00BD5FD5">
        <w:rPr>
          <w:rFonts w:asciiTheme="majorHAnsi" w:hAnsiTheme="majorHAnsi"/>
        </w:rPr>
        <w:t>s</w:t>
      </w:r>
      <w:r w:rsidR="00CA20F6" w:rsidRPr="00A11FE0">
        <w:rPr>
          <w:rFonts w:asciiTheme="majorHAnsi" w:hAnsiTheme="majorHAnsi"/>
        </w:rPr>
        <w:t>ú</w:t>
      </w:r>
      <w:r w:rsidRPr="00A11FE0">
        <w:rPr>
          <w:rFonts w:asciiTheme="majorHAnsi" w:hAnsiTheme="majorHAnsi"/>
        </w:rPr>
        <w:t xml:space="preserve"> opatren</w:t>
      </w:r>
      <w:r w:rsidR="005456A3">
        <w:rPr>
          <w:rFonts w:asciiTheme="majorHAnsi" w:hAnsiTheme="majorHAnsi"/>
        </w:rPr>
        <w:t>iami</w:t>
      </w:r>
      <w:r w:rsidRPr="00A11FE0">
        <w:rPr>
          <w:rFonts w:asciiTheme="majorHAnsi" w:hAnsiTheme="majorHAnsi"/>
        </w:rPr>
        <w:t xml:space="preserve"> na odstránenie </w:t>
      </w:r>
      <w:r w:rsidR="005456A3">
        <w:rPr>
          <w:rFonts w:asciiTheme="majorHAnsi" w:hAnsiTheme="majorHAnsi"/>
        </w:rPr>
        <w:t>existujúcej „</w:t>
      </w:r>
      <w:r w:rsidRPr="00A11FE0">
        <w:rPr>
          <w:rFonts w:asciiTheme="majorHAnsi" w:hAnsiTheme="majorHAnsi"/>
        </w:rPr>
        <w:t>technologickej medzery</w:t>
      </w:r>
      <w:r w:rsidR="005456A3">
        <w:rPr>
          <w:rFonts w:asciiTheme="majorHAnsi" w:hAnsiTheme="majorHAnsi"/>
        </w:rPr>
        <w:t>“</w:t>
      </w:r>
      <w:r w:rsidRPr="00A11FE0">
        <w:rPr>
          <w:rFonts w:asciiTheme="majorHAnsi" w:hAnsiTheme="majorHAnsi"/>
        </w:rPr>
        <w:t>.</w:t>
      </w:r>
      <w:r w:rsidR="00BB0937">
        <w:rPr>
          <w:rFonts w:asciiTheme="majorHAnsi" w:hAnsiTheme="majorHAnsi"/>
          <w:b/>
        </w:rPr>
        <w:br w:type="page"/>
      </w:r>
    </w:p>
    <w:p w:rsidR="00E47189" w:rsidRPr="00A11FE0" w:rsidRDefault="00E47189" w:rsidP="00E47189">
      <w:pPr>
        <w:rPr>
          <w:rFonts w:asciiTheme="majorHAnsi" w:hAnsiTheme="majorHAnsi"/>
          <w:b/>
        </w:rPr>
      </w:pPr>
      <w:r w:rsidRPr="00A11FE0">
        <w:rPr>
          <w:rFonts w:asciiTheme="majorHAnsi" w:hAnsiTheme="majorHAnsi"/>
          <w:b/>
        </w:rPr>
        <w:lastRenderedPageBreak/>
        <w:t>Infraštruktúra</w:t>
      </w:r>
    </w:p>
    <w:p w:rsidR="006E38FD" w:rsidRDefault="008618CA" w:rsidP="006E38FD">
      <w:pPr>
        <w:rPr>
          <w:rFonts w:asciiTheme="majorHAnsi" w:hAnsiTheme="majorHAnsi"/>
        </w:rPr>
      </w:pPr>
      <w:r w:rsidRPr="00A11FE0">
        <w:rPr>
          <w:rFonts w:asciiTheme="majorHAnsi" w:hAnsiTheme="majorHAnsi"/>
        </w:rPr>
        <w:t>T</w:t>
      </w:r>
      <w:r w:rsidR="00E47189" w:rsidRPr="00A11FE0">
        <w:rPr>
          <w:rFonts w:asciiTheme="majorHAnsi" w:hAnsiTheme="majorHAnsi"/>
        </w:rPr>
        <w:t>echnologický dlh v inštitúciách realizujúcich V</w:t>
      </w:r>
      <w:r w:rsidR="00047B5C" w:rsidRPr="00A11FE0">
        <w:rPr>
          <w:rFonts w:asciiTheme="majorHAnsi" w:hAnsiTheme="majorHAnsi"/>
        </w:rPr>
        <w:t>a</w:t>
      </w:r>
      <w:r w:rsidR="00E47189" w:rsidRPr="00A11FE0">
        <w:rPr>
          <w:rFonts w:asciiTheme="majorHAnsi" w:hAnsiTheme="majorHAnsi"/>
        </w:rPr>
        <w:t xml:space="preserve">V </w:t>
      </w:r>
      <w:r w:rsidR="00BD5FD5">
        <w:rPr>
          <w:rFonts w:asciiTheme="majorHAnsi" w:hAnsiTheme="majorHAnsi"/>
        </w:rPr>
        <w:t>s</w:t>
      </w:r>
      <w:r w:rsidR="00E47189" w:rsidRPr="00A11FE0">
        <w:rPr>
          <w:rFonts w:asciiTheme="majorHAnsi" w:hAnsiTheme="majorHAnsi"/>
        </w:rPr>
        <w:t>a začal odstraňovať v programovom období 2007 – 2013</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eď bola</w:t>
      </w:r>
      <w:r w:rsidR="00E47189" w:rsidRPr="00A11FE0">
        <w:rPr>
          <w:rFonts w:asciiTheme="majorHAnsi" w:hAnsiTheme="majorHAnsi"/>
        </w:rPr>
        <w:t xml:space="preserve"> zahájená výstavba </w:t>
      </w:r>
      <w:r w:rsidR="00BD5FD5">
        <w:rPr>
          <w:rFonts w:asciiTheme="majorHAnsi" w:hAnsiTheme="majorHAnsi"/>
        </w:rPr>
        <w:t>a </w:t>
      </w:r>
      <w:r w:rsidR="00E47189" w:rsidRPr="00A11FE0">
        <w:rPr>
          <w:rFonts w:asciiTheme="majorHAnsi" w:hAnsiTheme="majorHAnsi"/>
        </w:rPr>
        <w:t>modernizácia infraštruktúry</w:t>
      </w:r>
      <w:r w:rsidR="00B47595">
        <w:rPr>
          <w:rFonts w:asciiTheme="majorHAnsi" w:hAnsiTheme="majorHAnsi"/>
        </w:rPr>
        <w:t>, hlavne vo verejných VaV inštitúciách</w:t>
      </w:r>
      <w:r w:rsidR="00E47189" w:rsidRPr="00A11FE0">
        <w:rPr>
          <w:rStyle w:val="Odkaznapoznmkupodiarou"/>
          <w:rFonts w:asciiTheme="majorHAnsi" w:hAnsiTheme="majorHAnsi"/>
        </w:rPr>
        <w:footnoteReference w:id="14"/>
      </w:r>
      <w:r w:rsidR="00E47189" w:rsidRPr="00A11FE0">
        <w:rPr>
          <w:rFonts w:asciiTheme="majorHAnsi" w:hAnsiTheme="majorHAnsi"/>
        </w:rPr>
        <w:t xml:space="preserve">. Účinnosť </w:t>
      </w:r>
      <w:r w:rsidR="00405527" w:rsidRPr="00A11FE0">
        <w:rPr>
          <w:rFonts w:asciiTheme="majorHAnsi" w:hAnsiTheme="majorHAnsi"/>
        </w:rPr>
        <w:t xml:space="preserve">jej </w:t>
      </w:r>
      <w:r w:rsidR="00E47189" w:rsidRPr="00A11FE0">
        <w:rPr>
          <w:rFonts w:asciiTheme="majorHAnsi" w:hAnsiTheme="majorHAnsi"/>
        </w:rPr>
        <w:t>použitia je však vzhľadom na reálny prínos v inovačnom procese</w:t>
      </w:r>
      <w:r w:rsidR="008C1228" w:rsidRPr="00A11FE0">
        <w:rPr>
          <w:rFonts w:asciiTheme="majorHAnsi" w:hAnsiTheme="majorHAnsi"/>
        </w:rPr>
        <w:t xml:space="preserve"> </w:t>
      </w:r>
      <w:r w:rsidR="00E47189" w:rsidRPr="00A11FE0">
        <w:rPr>
          <w:rFonts w:asciiTheme="majorHAnsi" w:hAnsiTheme="majorHAnsi"/>
        </w:rPr>
        <w:t>veľmi</w:t>
      </w:r>
      <w:r w:rsidR="007459ED" w:rsidRPr="00A11FE0">
        <w:rPr>
          <w:rFonts w:asciiTheme="majorHAnsi" w:hAnsiTheme="majorHAnsi"/>
        </w:rPr>
        <w:t xml:space="preserve"> </w:t>
      </w:r>
      <w:r w:rsidR="00E47189" w:rsidRPr="00A11FE0">
        <w:rPr>
          <w:rFonts w:asciiTheme="majorHAnsi" w:hAnsiTheme="majorHAnsi"/>
        </w:rPr>
        <w:t>nízk</w:t>
      </w:r>
      <w:r w:rsidR="00641734" w:rsidRPr="00A11FE0">
        <w:rPr>
          <w:rFonts w:asciiTheme="majorHAnsi" w:hAnsiTheme="majorHAnsi"/>
        </w:rPr>
        <w:t>a</w:t>
      </w:r>
      <w:r w:rsidR="00B47595">
        <w:rPr>
          <w:rFonts w:asciiTheme="majorHAnsi" w:hAnsiTheme="majorHAnsi"/>
        </w:rPr>
        <w:t xml:space="preserve">, čo je dôsledkom absencie akéhokoľvek efektívneho hodnotenia </w:t>
      </w:r>
      <w:r w:rsidR="00180DFB">
        <w:rPr>
          <w:rFonts w:asciiTheme="majorHAnsi" w:hAnsiTheme="majorHAnsi"/>
        </w:rPr>
        <w:t xml:space="preserve">a prepojenia na potreby </w:t>
      </w:r>
      <w:r w:rsidR="00D62022">
        <w:rPr>
          <w:noProof/>
          <w:lang w:eastAsia="sk-SK"/>
        </w:rPr>
        <w:drawing>
          <wp:anchor distT="0" distB="0" distL="114300" distR="114300" simplePos="0" relativeHeight="251660288" behindDoc="0" locked="0" layoutInCell="1" allowOverlap="1" wp14:anchorId="383403B8" wp14:editId="3E7F7BD1">
            <wp:simplePos x="0" y="0"/>
            <wp:positionH relativeFrom="column">
              <wp:posOffset>2249170</wp:posOffset>
            </wp:positionH>
            <wp:positionV relativeFrom="paragraph">
              <wp:posOffset>17780</wp:posOffset>
            </wp:positionV>
            <wp:extent cx="3676650" cy="2895600"/>
            <wp:effectExtent l="0" t="0" r="0" b="0"/>
            <wp:wrapTight wrapText="bothSides">
              <wp:wrapPolygon edited="0">
                <wp:start x="0" y="0"/>
                <wp:lineTo x="0" y="21458"/>
                <wp:lineTo x="21488" y="21458"/>
                <wp:lineTo x="21488" y="0"/>
                <wp:lineTo x="0"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l="11404" t="4411" r="10168" b="11630"/>
                    <a:stretch>
                      <a:fillRect/>
                    </a:stretch>
                  </pic:blipFill>
                  <pic:spPr bwMode="auto">
                    <a:xfrm>
                      <a:off x="0" y="0"/>
                      <a:ext cx="3676650"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595">
        <w:rPr>
          <w:rFonts w:asciiTheme="majorHAnsi" w:hAnsiTheme="majorHAnsi"/>
        </w:rPr>
        <w:t>priemyslu</w:t>
      </w:r>
      <w:r w:rsidR="00047B5C" w:rsidRPr="00A11FE0">
        <w:rPr>
          <w:rFonts w:asciiTheme="majorHAnsi" w:hAnsiTheme="majorHAnsi"/>
        </w:rPr>
        <w:t>.</w:t>
      </w:r>
      <w:r w:rsidR="00180DFB">
        <w:rPr>
          <w:rFonts w:asciiTheme="majorHAnsi" w:hAnsiTheme="majorHAnsi"/>
        </w:rPr>
        <w:t xml:space="preserve"> </w:t>
      </w:r>
      <w:r w:rsidR="00180DFB" w:rsidRPr="00E5366A">
        <w:rPr>
          <w:rFonts w:asciiTheme="majorHAnsi" w:hAnsiTheme="majorHAnsi"/>
        </w:rPr>
        <w:t>Aktuálne je potrebné sa zamerať na zvýšenie výkonnosti štátneho a</w:t>
      </w:r>
      <w:r w:rsidR="00180DFB">
        <w:rPr>
          <w:rFonts w:asciiTheme="majorHAnsi" w:hAnsiTheme="majorHAnsi"/>
        </w:rPr>
        <w:t> </w:t>
      </w:r>
      <w:r w:rsidR="00180DFB" w:rsidRPr="00E5366A">
        <w:rPr>
          <w:rFonts w:asciiTheme="majorHAnsi" w:hAnsiTheme="majorHAnsi"/>
        </w:rPr>
        <w:t>verejného sektora VaV prostredníctvom konsolidácie podporenej infraštruktúry v</w:t>
      </w:r>
      <w:r w:rsidR="00180DFB">
        <w:rPr>
          <w:rFonts w:asciiTheme="majorHAnsi" w:hAnsiTheme="majorHAnsi"/>
        </w:rPr>
        <w:t> </w:t>
      </w:r>
      <w:r w:rsidR="00180DFB" w:rsidRPr="00E5366A">
        <w:rPr>
          <w:rFonts w:asciiTheme="majorHAnsi" w:hAnsiTheme="majorHAnsi"/>
        </w:rPr>
        <w:t xml:space="preserve">rokoch 2007 – 2013 so zameraním sa na </w:t>
      </w:r>
      <w:r w:rsidR="00180DFB">
        <w:rPr>
          <w:rFonts w:asciiTheme="majorHAnsi" w:hAnsiTheme="majorHAnsi"/>
        </w:rPr>
        <w:t xml:space="preserve">efektívnejšie </w:t>
      </w:r>
      <w:r w:rsidR="00180DFB" w:rsidRPr="00E5366A">
        <w:rPr>
          <w:rFonts w:asciiTheme="majorHAnsi" w:hAnsiTheme="majorHAnsi"/>
        </w:rPr>
        <w:t xml:space="preserve">prepojenie </w:t>
      </w:r>
      <w:r w:rsidR="00180DFB">
        <w:rPr>
          <w:rFonts w:asciiTheme="majorHAnsi" w:hAnsiTheme="majorHAnsi"/>
        </w:rPr>
        <w:t>a spoluprácu so</w:t>
      </w:r>
      <w:r w:rsidR="00180DFB" w:rsidRPr="00E5366A">
        <w:rPr>
          <w:rFonts w:asciiTheme="majorHAnsi" w:hAnsiTheme="majorHAnsi"/>
        </w:rPr>
        <w:t> súkromn</w:t>
      </w:r>
      <w:r w:rsidR="00180DFB">
        <w:rPr>
          <w:rFonts w:asciiTheme="majorHAnsi" w:hAnsiTheme="majorHAnsi"/>
        </w:rPr>
        <w:t>ým</w:t>
      </w:r>
      <w:r w:rsidR="00180DFB" w:rsidRPr="00E5366A">
        <w:rPr>
          <w:rFonts w:asciiTheme="majorHAnsi" w:hAnsiTheme="majorHAnsi"/>
        </w:rPr>
        <w:t xml:space="preserve"> sektor</w:t>
      </w:r>
      <w:r w:rsidR="00180DFB">
        <w:rPr>
          <w:rFonts w:asciiTheme="majorHAnsi" w:hAnsiTheme="majorHAnsi"/>
        </w:rPr>
        <w:t>om</w:t>
      </w:r>
      <w:r w:rsidR="00D654CA">
        <w:rPr>
          <w:rFonts w:asciiTheme="majorHAnsi" w:hAnsiTheme="majorHAnsi"/>
        </w:rPr>
        <w:t>.</w:t>
      </w:r>
      <w:r w:rsidR="00180DFB">
        <w:rPr>
          <w:rFonts w:asciiTheme="majorHAnsi" w:hAnsiTheme="majorHAnsi"/>
        </w:rPr>
        <w:t xml:space="preserve"> </w:t>
      </w:r>
      <w:r w:rsidR="00D654CA">
        <w:rPr>
          <w:rFonts w:asciiTheme="majorHAnsi" w:hAnsiTheme="majorHAnsi"/>
        </w:rPr>
        <w:t>R</w:t>
      </w:r>
      <w:r w:rsidR="00180DFB">
        <w:rPr>
          <w:rFonts w:asciiTheme="majorHAnsi" w:hAnsiTheme="majorHAnsi"/>
        </w:rPr>
        <w:t xml:space="preserve">ovnako </w:t>
      </w:r>
      <w:r w:rsidR="00D654CA">
        <w:rPr>
          <w:rFonts w:asciiTheme="majorHAnsi" w:hAnsiTheme="majorHAnsi"/>
        </w:rPr>
        <w:t xml:space="preserve">je potrebné sa zamerať </w:t>
      </w:r>
      <w:r w:rsidR="00180DFB">
        <w:rPr>
          <w:rFonts w:asciiTheme="majorHAnsi" w:hAnsiTheme="majorHAnsi"/>
        </w:rPr>
        <w:t>aj na</w:t>
      </w:r>
      <w:r w:rsidR="00180DFB" w:rsidRPr="00E5366A">
        <w:rPr>
          <w:rFonts w:asciiTheme="majorHAnsi" w:hAnsiTheme="majorHAnsi"/>
        </w:rPr>
        <w:t xml:space="preserve"> dobudovani</w:t>
      </w:r>
      <w:r w:rsidR="00180DFB">
        <w:rPr>
          <w:rFonts w:asciiTheme="majorHAnsi" w:hAnsiTheme="majorHAnsi"/>
        </w:rPr>
        <w:t>e</w:t>
      </w:r>
      <w:r w:rsidR="00180DFB" w:rsidRPr="00E5366A">
        <w:rPr>
          <w:rFonts w:asciiTheme="majorHAnsi" w:hAnsiTheme="majorHAnsi"/>
        </w:rPr>
        <w:t xml:space="preserve"> infraštruktúry VVaI, s dôrazom na obmedzenie ďalšej fragmentácie jej vecného zamerania</w:t>
      </w:r>
      <w:r w:rsidR="00180DFB">
        <w:rPr>
          <w:rFonts w:asciiTheme="majorHAnsi" w:hAnsiTheme="majorHAnsi"/>
        </w:rPr>
        <w:t xml:space="preserve"> a naviazanie na oblasti špecializácie v RIS3 a</w:t>
      </w:r>
      <w:r w:rsidR="00FB04B0">
        <w:rPr>
          <w:rFonts w:asciiTheme="majorHAnsi" w:hAnsiTheme="majorHAnsi"/>
        </w:rPr>
        <w:t> </w:t>
      </w:r>
      <w:r w:rsidR="00180DFB">
        <w:rPr>
          <w:rFonts w:asciiTheme="majorHAnsi" w:hAnsiTheme="majorHAnsi"/>
        </w:rPr>
        <w:t>pripravovanú národnú cestovnú mapu výskumnej infraštruktúry.</w:t>
      </w:r>
    </w:p>
    <w:p w:rsidR="00E47189" w:rsidRPr="00A11FE0" w:rsidRDefault="00E47189" w:rsidP="00E47189">
      <w:pPr>
        <w:rPr>
          <w:rFonts w:asciiTheme="majorHAnsi" w:hAnsiTheme="majorHAnsi"/>
        </w:rPr>
      </w:pPr>
      <w:r w:rsidRPr="00A11FE0">
        <w:rPr>
          <w:rFonts w:asciiTheme="majorHAnsi" w:hAnsiTheme="majorHAnsi"/>
        </w:rPr>
        <w:t xml:space="preserve">Nerovnomerné rozdelenie </w:t>
      </w:r>
      <w:r w:rsidR="00180DFB">
        <w:rPr>
          <w:rFonts w:asciiTheme="majorHAnsi" w:hAnsiTheme="majorHAnsi"/>
        </w:rPr>
        <w:t>VaV</w:t>
      </w:r>
      <w:r w:rsidRPr="00A11FE0">
        <w:rPr>
          <w:rFonts w:asciiTheme="majorHAnsi" w:hAnsiTheme="majorHAnsi"/>
        </w:rPr>
        <w:t xml:space="preserve"> infraštruktúry</w:t>
      </w:r>
      <w:r w:rsidR="002416AC">
        <w:rPr>
          <w:rFonts w:asciiTheme="majorHAnsi" w:hAnsiTheme="majorHAnsi"/>
        </w:rPr>
        <w:t>,</w:t>
      </w:r>
      <w:r w:rsidRPr="00A11FE0">
        <w:rPr>
          <w:rFonts w:asciiTheme="majorHAnsi" w:hAnsiTheme="majorHAnsi"/>
        </w:rPr>
        <w:t xml:space="preserve">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 xml:space="preserve">j ľudského </w:t>
      </w:r>
      <w:r w:rsidR="00BD5FD5">
        <w:rPr>
          <w:rFonts w:asciiTheme="majorHAnsi" w:hAnsiTheme="majorHAnsi"/>
        </w:rPr>
        <w:t>k</w:t>
      </w:r>
      <w:r w:rsidRPr="00A11FE0">
        <w:rPr>
          <w:rFonts w:asciiTheme="majorHAnsi" w:hAnsiTheme="majorHAnsi"/>
        </w:rPr>
        <w:t xml:space="preserve">apitálu </w:t>
      </w:r>
      <w:r w:rsidR="00BD5FD5">
        <w:rPr>
          <w:rFonts w:asciiTheme="majorHAnsi" w:hAnsiTheme="majorHAnsi"/>
        </w:rPr>
        <w:t>a s</w:t>
      </w:r>
      <w:r w:rsidRPr="00A11FE0">
        <w:rPr>
          <w:rFonts w:asciiTheme="majorHAnsi" w:hAnsiTheme="majorHAnsi"/>
        </w:rPr>
        <w:t xml:space="preserve">merovania financií z národných zdrojov </w:t>
      </w:r>
      <w:r w:rsidR="00BD5FD5">
        <w:rPr>
          <w:rFonts w:asciiTheme="majorHAnsi" w:hAnsiTheme="majorHAnsi"/>
        </w:rPr>
        <w:t>k</w:t>
      </w:r>
      <w:r w:rsidRPr="00A11FE0">
        <w:rPr>
          <w:rFonts w:asciiTheme="majorHAnsi" w:hAnsiTheme="majorHAnsi"/>
        </w:rPr>
        <w:t>opírujú rozloženi</w:t>
      </w:r>
      <w:r w:rsidR="00CA20F6" w:rsidRPr="00A11FE0">
        <w:rPr>
          <w:rFonts w:asciiTheme="majorHAnsi" w:hAnsiTheme="majorHAnsi"/>
        </w:rPr>
        <w:t>e</w:t>
      </w:r>
      <w:r w:rsidRPr="00A11FE0">
        <w:rPr>
          <w:rFonts w:asciiTheme="majorHAnsi" w:hAnsiTheme="majorHAnsi"/>
        </w:rPr>
        <w:t xml:space="preserve"> potenciálu </w:t>
      </w:r>
      <w:r w:rsidR="00277E2D" w:rsidRPr="00A11FE0">
        <w:rPr>
          <w:rFonts w:asciiTheme="majorHAnsi" w:hAnsiTheme="majorHAnsi"/>
        </w:rPr>
        <w:t>V</w:t>
      </w:r>
      <w:r w:rsidR="00277E2D">
        <w:rPr>
          <w:rFonts w:asciiTheme="majorHAnsi" w:hAnsiTheme="majorHAnsi"/>
        </w:rPr>
        <w:t>V</w:t>
      </w:r>
      <w:r w:rsidR="00277E2D" w:rsidRPr="00A11FE0">
        <w:rPr>
          <w:rFonts w:asciiTheme="majorHAnsi" w:hAnsiTheme="majorHAnsi"/>
        </w:rPr>
        <w:t>a</w:t>
      </w:r>
      <w:r w:rsidR="00277E2D">
        <w:rPr>
          <w:rFonts w:asciiTheme="majorHAnsi" w:hAnsiTheme="majorHAnsi"/>
        </w:rPr>
        <w:t>I</w:t>
      </w:r>
      <w:r w:rsidR="00277E2D" w:rsidRPr="00A11FE0">
        <w:rPr>
          <w:rFonts w:asciiTheme="majorHAnsi" w:hAnsiTheme="majorHAnsi"/>
        </w:rPr>
        <w:t xml:space="preserve"> </w:t>
      </w:r>
      <w:r w:rsidR="008C1228" w:rsidRPr="00A11FE0">
        <w:rPr>
          <w:rFonts w:asciiTheme="majorHAnsi" w:hAnsiTheme="majorHAnsi"/>
        </w:rPr>
        <w:t>na</w:t>
      </w:r>
      <w:r w:rsidRPr="00A11FE0">
        <w:rPr>
          <w:rFonts w:asciiTheme="majorHAnsi" w:hAnsiTheme="majorHAnsi"/>
        </w:rPr>
        <w:t xml:space="preserve"> území </w:t>
      </w:r>
      <w:r w:rsidR="00BD5FD5">
        <w:rPr>
          <w:rFonts w:asciiTheme="majorHAnsi" w:hAnsiTheme="majorHAnsi"/>
        </w:rPr>
        <w:t>S</w:t>
      </w:r>
      <w:r w:rsidRPr="00A11FE0">
        <w:rPr>
          <w:rFonts w:asciiTheme="majorHAnsi" w:hAnsiTheme="majorHAnsi"/>
        </w:rPr>
        <w:t xml:space="preserve">R. Podľa ŠÚ </w:t>
      </w:r>
      <w:r w:rsidR="00BD5FD5">
        <w:rPr>
          <w:rFonts w:asciiTheme="majorHAnsi" w:hAnsiTheme="majorHAnsi"/>
        </w:rPr>
        <w:t>S</w:t>
      </w:r>
      <w:r w:rsidRPr="00A11FE0">
        <w:rPr>
          <w:rFonts w:asciiTheme="majorHAnsi" w:hAnsiTheme="majorHAnsi"/>
        </w:rPr>
        <w:t xml:space="preserve">R </w:t>
      </w:r>
      <w:r w:rsidRPr="00A11FE0">
        <w:rPr>
          <w:rStyle w:val="Odkaznapoznmkupodiarou"/>
          <w:rFonts w:asciiTheme="majorHAnsi" w:hAnsiTheme="majorHAnsi"/>
        </w:rPr>
        <w:footnoteReference w:id="15"/>
      </w:r>
      <w:r w:rsidR="002416AC">
        <w:rPr>
          <w:rFonts w:asciiTheme="majorHAnsi" w:hAnsiTheme="majorHAnsi"/>
        </w:rPr>
        <w:t>,</w:t>
      </w:r>
      <w:r w:rsidRPr="00A11FE0">
        <w:rPr>
          <w:rFonts w:asciiTheme="majorHAnsi" w:hAnsiTheme="majorHAnsi"/>
        </w:rPr>
        <w:t xml:space="preserve"> je v</w:t>
      </w:r>
      <w:r w:rsidR="008A2A63">
        <w:rPr>
          <w:rFonts w:asciiTheme="majorHAnsi" w:hAnsiTheme="majorHAnsi"/>
        </w:rPr>
        <w:t> </w:t>
      </w:r>
      <w:r w:rsidRPr="00A11FE0">
        <w:rPr>
          <w:rFonts w:asciiTheme="majorHAnsi" w:hAnsiTheme="majorHAnsi"/>
        </w:rPr>
        <w:t xml:space="preserve">BSK zamestnaných </w:t>
      </w:r>
      <w:r w:rsidR="00BD5FD5">
        <w:rPr>
          <w:rFonts w:asciiTheme="majorHAnsi" w:hAnsiTheme="majorHAnsi"/>
        </w:rPr>
        <w:t>a</w:t>
      </w:r>
      <w:r w:rsidRPr="00A11FE0">
        <w:rPr>
          <w:rFonts w:asciiTheme="majorHAnsi" w:hAnsiTheme="majorHAnsi"/>
        </w:rPr>
        <w:t>ž 5</w:t>
      </w:r>
      <w:r w:rsidR="008A2A63">
        <w:rPr>
          <w:rFonts w:asciiTheme="majorHAnsi" w:hAnsiTheme="majorHAnsi"/>
        </w:rPr>
        <w:t>4</w:t>
      </w:r>
      <w:r w:rsidRPr="00A11FE0">
        <w:rPr>
          <w:rFonts w:asciiTheme="majorHAnsi" w:hAnsiTheme="majorHAnsi"/>
        </w:rPr>
        <w:t xml:space="preserve"> % všetkých zamestnancov </w:t>
      </w:r>
      <w:r w:rsidR="00641734" w:rsidRPr="00A11FE0">
        <w:rPr>
          <w:rFonts w:asciiTheme="majorHAnsi" w:hAnsiTheme="majorHAnsi"/>
        </w:rPr>
        <w:t xml:space="preserve">v rámci </w:t>
      </w:r>
      <w:r w:rsidR="00277E2D" w:rsidRPr="00A11FE0">
        <w:rPr>
          <w:rFonts w:asciiTheme="majorHAnsi" w:hAnsiTheme="majorHAnsi"/>
        </w:rPr>
        <w:t>V</w:t>
      </w:r>
      <w:r w:rsidR="00277E2D">
        <w:rPr>
          <w:rFonts w:asciiTheme="majorHAnsi" w:hAnsiTheme="majorHAnsi"/>
        </w:rPr>
        <w:t>V</w:t>
      </w:r>
      <w:r w:rsidR="00277E2D" w:rsidRPr="00A11FE0">
        <w:rPr>
          <w:rFonts w:asciiTheme="majorHAnsi" w:hAnsiTheme="majorHAnsi"/>
        </w:rPr>
        <w:t>a</w:t>
      </w:r>
      <w:r w:rsidR="00277E2D">
        <w:rPr>
          <w:rFonts w:asciiTheme="majorHAnsi" w:hAnsiTheme="majorHAnsi"/>
        </w:rPr>
        <w:t>I</w:t>
      </w:r>
      <w:r w:rsidR="00277E2D" w:rsidRPr="00A11FE0">
        <w:rPr>
          <w:rFonts w:asciiTheme="majorHAnsi" w:hAnsiTheme="majorHAnsi"/>
        </w:rPr>
        <w:t xml:space="preserve"> </w:t>
      </w:r>
      <w:r w:rsidR="00BD5FD5">
        <w:rPr>
          <w:rFonts w:asciiTheme="majorHAnsi" w:hAnsiTheme="majorHAnsi"/>
        </w:rPr>
        <w:t>a</w:t>
      </w:r>
      <w:r w:rsidRPr="00A11FE0">
        <w:rPr>
          <w:rFonts w:asciiTheme="majorHAnsi" w:hAnsiTheme="majorHAnsi"/>
        </w:rPr>
        <w:t> investície presahujú p</w:t>
      </w:r>
      <w:r w:rsidR="00DD5585" w:rsidRPr="00A11FE0">
        <w:rPr>
          <w:rFonts w:asciiTheme="majorHAnsi" w:hAnsiTheme="majorHAnsi"/>
        </w:rPr>
        <w:t>olovicu celkových výdavkov na V</w:t>
      </w:r>
      <w:r w:rsidR="00B70546" w:rsidRPr="00A11FE0">
        <w:rPr>
          <w:rFonts w:asciiTheme="majorHAnsi" w:hAnsiTheme="majorHAnsi"/>
        </w:rPr>
        <w:t>a</w:t>
      </w:r>
      <w:r w:rsidRPr="00A11FE0">
        <w:rPr>
          <w:rFonts w:asciiTheme="majorHAnsi" w:hAnsiTheme="majorHAnsi"/>
        </w:rPr>
        <w:t xml:space="preserve">V v rámci </w:t>
      </w:r>
      <w:r w:rsidR="00BD5FD5">
        <w:rPr>
          <w:rFonts w:asciiTheme="majorHAnsi" w:hAnsiTheme="majorHAnsi"/>
        </w:rPr>
        <w:t>S</w:t>
      </w:r>
      <w:r w:rsidRPr="00A11FE0">
        <w:rPr>
          <w:rFonts w:asciiTheme="majorHAnsi" w:hAnsiTheme="majorHAnsi"/>
        </w:rPr>
        <w:t>R (5</w:t>
      </w:r>
      <w:r w:rsidR="008A2A63">
        <w:rPr>
          <w:rFonts w:asciiTheme="majorHAnsi" w:hAnsiTheme="majorHAnsi"/>
        </w:rPr>
        <w:t>4,1</w:t>
      </w:r>
      <w:r w:rsidRPr="00A11FE0">
        <w:rPr>
          <w:rFonts w:asciiTheme="majorHAnsi" w:hAnsiTheme="majorHAnsi"/>
        </w:rPr>
        <w:t xml:space="preserve"> %)</w:t>
      </w:r>
      <w:r w:rsidR="00765FCA" w:rsidRPr="00A11FE0">
        <w:rPr>
          <w:rFonts w:asciiTheme="majorHAnsi" w:hAnsiTheme="majorHAnsi"/>
        </w:rPr>
        <w:t>.</w:t>
      </w:r>
      <w:r w:rsidRPr="00A11FE0">
        <w:rPr>
          <w:rFonts w:asciiTheme="majorHAnsi" w:hAnsiTheme="majorHAnsi"/>
        </w:rPr>
        <w:t xml:space="preserve"> </w:t>
      </w:r>
      <w:r w:rsidR="00765FCA" w:rsidRPr="00A11FE0">
        <w:rPr>
          <w:rFonts w:asciiTheme="majorHAnsi" w:hAnsiTheme="majorHAnsi"/>
        </w:rPr>
        <w:t>V</w:t>
      </w:r>
      <w:r w:rsidRPr="00A11FE0">
        <w:rPr>
          <w:rFonts w:asciiTheme="majorHAnsi" w:hAnsiTheme="majorHAnsi"/>
        </w:rPr>
        <w:t> </w:t>
      </w:r>
      <w:r w:rsidR="00BD5FD5">
        <w:rPr>
          <w:rFonts w:asciiTheme="majorHAnsi" w:hAnsiTheme="majorHAnsi"/>
        </w:rPr>
        <w:t>KS</w:t>
      </w:r>
      <w:r w:rsidRPr="00A11FE0">
        <w:rPr>
          <w:rFonts w:asciiTheme="majorHAnsi" w:hAnsiTheme="majorHAnsi"/>
        </w:rPr>
        <w:t xml:space="preserve">K pôsobí </w:t>
      </w:r>
      <w:r w:rsidR="00641734" w:rsidRPr="00A11FE0">
        <w:rPr>
          <w:rFonts w:asciiTheme="majorHAnsi" w:hAnsiTheme="majorHAnsi"/>
        </w:rPr>
        <w:t>vo V</w:t>
      </w:r>
      <w:r w:rsidR="00277E2D">
        <w:rPr>
          <w:rFonts w:asciiTheme="majorHAnsi" w:hAnsiTheme="majorHAnsi"/>
        </w:rPr>
        <w:t>V</w:t>
      </w:r>
      <w:r w:rsidR="00B70546" w:rsidRPr="00A11FE0">
        <w:rPr>
          <w:rFonts w:asciiTheme="majorHAnsi" w:hAnsiTheme="majorHAnsi"/>
        </w:rPr>
        <w:t>a</w:t>
      </w:r>
      <w:r w:rsidR="00277E2D">
        <w:rPr>
          <w:rFonts w:asciiTheme="majorHAnsi" w:hAnsiTheme="majorHAnsi"/>
        </w:rPr>
        <w:t>I</w:t>
      </w:r>
      <w:r w:rsidR="00641734" w:rsidRPr="00A11FE0">
        <w:rPr>
          <w:rFonts w:asciiTheme="majorHAnsi" w:hAnsiTheme="majorHAnsi"/>
        </w:rPr>
        <w:t xml:space="preserve"> </w:t>
      </w:r>
      <w:r w:rsidRPr="00A11FE0">
        <w:rPr>
          <w:rFonts w:asciiTheme="majorHAnsi" w:hAnsiTheme="majorHAnsi"/>
        </w:rPr>
        <w:t>1</w:t>
      </w:r>
      <w:r w:rsidR="008A2A63">
        <w:rPr>
          <w:rFonts w:asciiTheme="majorHAnsi" w:hAnsiTheme="majorHAnsi"/>
        </w:rPr>
        <w:t>2,8</w:t>
      </w:r>
      <w:r w:rsidRPr="00A11FE0">
        <w:rPr>
          <w:rFonts w:asciiTheme="majorHAnsi" w:hAnsiTheme="majorHAnsi"/>
        </w:rPr>
        <w:t xml:space="preserve"> %</w:t>
      </w:r>
      <w:r w:rsidR="00641734" w:rsidRPr="00A11FE0">
        <w:rPr>
          <w:rFonts w:asciiTheme="majorHAnsi" w:hAnsiTheme="majorHAnsi"/>
        </w:rPr>
        <w:t>,</w:t>
      </w:r>
      <w:r w:rsidR="00285918">
        <w:rPr>
          <w:rFonts w:asciiTheme="majorHAnsi" w:hAnsiTheme="majorHAnsi"/>
        </w:rPr>
        <w:t xml:space="preserve"> </w:t>
      </w:r>
      <w:r w:rsidR="00765FCA" w:rsidRPr="00A11FE0">
        <w:rPr>
          <w:rFonts w:asciiTheme="majorHAnsi" w:hAnsiTheme="majorHAnsi"/>
        </w:rPr>
        <w:t>v</w:t>
      </w:r>
      <w:r w:rsidR="00285918">
        <w:rPr>
          <w:rFonts w:asciiTheme="majorHAnsi" w:hAnsiTheme="majorHAnsi"/>
        </w:rPr>
        <w:t> </w:t>
      </w:r>
      <w:r w:rsidRPr="00A11FE0">
        <w:rPr>
          <w:rFonts w:asciiTheme="majorHAnsi" w:hAnsiTheme="majorHAnsi"/>
        </w:rPr>
        <w:t>ŽSK</w:t>
      </w:r>
      <w:r w:rsidR="00285918">
        <w:rPr>
          <w:rFonts w:asciiTheme="majorHAnsi" w:hAnsiTheme="majorHAnsi"/>
        </w:rPr>
        <w:t xml:space="preserve"> </w:t>
      </w:r>
      <w:r w:rsidR="008A2A63">
        <w:rPr>
          <w:rFonts w:asciiTheme="majorHAnsi" w:hAnsiTheme="majorHAnsi"/>
        </w:rPr>
        <w:t>7</w:t>
      </w:r>
      <w:r w:rsidRPr="00A11FE0">
        <w:rPr>
          <w:rFonts w:asciiTheme="majorHAnsi" w:hAnsiTheme="majorHAnsi"/>
        </w:rPr>
        <w:t xml:space="preserve"> % </w:t>
      </w:r>
      <w:r w:rsidR="00BD5FD5">
        <w:rPr>
          <w:rFonts w:asciiTheme="majorHAnsi" w:hAnsiTheme="majorHAnsi"/>
        </w:rPr>
        <w:t>a </w:t>
      </w:r>
      <w:r w:rsidR="00DD5585" w:rsidRPr="00A11FE0">
        <w:rPr>
          <w:rFonts w:asciiTheme="majorHAnsi" w:hAnsiTheme="majorHAnsi"/>
        </w:rPr>
        <w:t>zvyšných 26</w:t>
      </w:r>
      <w:r w:rsidR="008A2A63">
        <w:rPr>
          <w:rFonts w:asciiTheme="majorHAnsi" w:hAnsiTheme="majorHAnsi"/>
        </w:rPr>
        <w:t>,1</w:t>
      </w:r>
      <w:r w:rsidR="00DD5585" w:rsidRPr="00A11FE0">
        <w:rPr>
          <w:rFonts w:asciiTheme="majorHAnsi" w:hAnsiTheme="majorHAnsi"/>
        </w:rPr>
        <w:t xml:space="preserve"> % zamestnancov V</w:t>
      </w:r>
      <w:r w:rsidR="00B70546" w:rsidRPr="00A11FE0">
        <w:rPr>
          <w:rFonts w:asciiTheme="majorHAnsi" w:hAnsiTheme="majorHAnsi"/>
        </w:rPr>
        <w:t>a</w:t>
      </w:r>
      <w:r w:rsidRPr="00A11FE0">
        <w:rPr>
          <w:rFonts w:asciiTheme="majorHAnsi" w:hAnsiTheme="majorHAnsi"/>
        </w:rPr>
        <w:t xml:space="preserve">V pôsobí v ostatných </w:t>
      </w:r>
      <w:r w:rsidR="00BD5FD5">
        <w:rPr>
          <w:rFonts w:asciiTheme="majorHAnsi" w:hAnsiTheme="majorHAnsi"/>
        </w:rPr>
        <w:t>s</w:t>
      </w:r>
      <w:r w:rsidRPr="00A11FE0">
        <w:rPr>
          <w:rFonts w:asciiTheme="majorHAnsi" w:hAnsiTheme="majorHAnsi"/>
        </w:rPr>
        <w:t xml:space="preserve">amosprávnych </w:t>
      </w:r>
      <w:r w:rsidR="00BD5FD5">
        <w:rPr>
          <w:rFonts w:asciiTheme="majorHAnsi" w:hAnsiTheme="majorHAnsi"/>
        </w:rPr>
        <w:t>k</w:t>
      </w:r>
      <w:r w:rsidRPr="00A11FE0">
        <w:rPr>
          <w:rFonts w:asciiTheme="majorHAnsi" w:hAnsiTheme="majorHAnsi"/>
        </w:rPr>
        <w:t>rajoch</w:t>
      </w:r>
      <w:r w:rsidR="002416AC">
        <w:rPr>
          <w:rFonts w:asciiTheme="majorHAnsi" w:hAnsiTheme="majorHAnsi"/>
        </w:rPr>
        <w:t xml:space="preserve"> (NUT</w:t>
      </w:r>
      <w:r w:rsidR="000504F5">
        <w:rPr>
          <w:rFonts w:asciiTheme="majorHAnsi" w:hAnsiTheme="majorHAnsi"/>
        </w:rPr>
        <w:t>S</w:t>
      </w:r>
      <w:r w:rsidR="002416AC">
        <w:rPr>
          <w:rFonts w:asciiTheme="majorHAnsi" w:hAnsiTheme="majorHAnsi"/>
        </w:rPr>
        <w:t>3)</w:t>
      </w:r>
      <w:r w:rsidRPr="00A11FE0">
        <w:rPr>
          <w:rFonts w:asciiTheme="majorHAnsi" w:hAnsiTheme="majorHAnsi"/>
        </w:rPr>
        <w:t>.</w:t>
      </w:r>
    </w:p>
    <w:p w:rsidR="00E47189" w:rsidRDefault="00180DFB" w:rsidP="00E47189">
      <w:pPr>
        <w:rPr>
          <w:rFonts w:asciiTheme="majorHAnsi" w:hAnsiTheme="majorHAnsi"/>
        </w:rPr>
      </w:pPr>
      <w:r>
        <w:rPr>
          <w:rFonts w:asciiTheme="majorHAnsi" w:hAnsiTheme="majorHAnsi"/>
        </w:rPr>
        <w:t>Investície v rámci programového obdobia 2014 – 2020 budú zamerané na kvalitné infraštruktúrne projekty, a to v oblastiach identifikovaných stratégiou RIS3</w:t>
      </w:r>
      <w:r>
        <w:rPr>
          <w:rStyle w:val="Odkaznapoznmkupodiarou"/>
          <w:rFonts w:asciiTheme="majorHAnsi" w:hAnsiTheme="majorHAnsi"/>
        </w:rPr>
        <w:footnoteReference w:id="16"/>
      </w:r>
      <w:r w:rsidR="00D654CA">
        <w:rPr>
          <w:rFonts w:asciiTheme="majorHAnsi" w:hAnsiTheme="majorHAnsi"/>
        </w:rPr>
        <w:t xml:space="preserve">. </w:t>
      </w:r>
      <w:r w:rsidR="008618CA" w:rsidRPr="00A11FE0">
        <w:rPr>
          <w:rFonts w:asciiTheme="majorHAnsi" w:hAnsiTheme="majorHAnsi"/>
        </w:rPr>
        <w:t xml:space="preserve">Je </w:t>
      </w:r>
      <w:r w:rsidR="00E47189" w:rsidRPr="00A11FE0">
        <w:rPr>
          <w:rFonts w:asciiTheme="majorHAnsi" w:hAnsiTheme="majorHAnsi"/>
        </w:rPr>
        <w:t>potreb</w:t>
      </w:r>
      <w:r w:rsidR="008618CA" w:rsidRPr="00A11FE0">
        <w:rPr>
          <w:rFonts w:asciiTheme="majorHAnsi" w:hAnsiTheme="majorHAnsi"/>
        </w:rPr>
        <w:t>né</w:t>
      </w:r>
      <w:r w:rsidR="00E47189" w:rsidRPr="00A11FE0">
        <w:rPr>
          <w:rFonts w:asciiTheme="majorHAnsi" w:hAnsiTheme="majorHAnsi"/>
        </w:rPr>
        <w:t xml:space="preserve"> zabezpečiť </w:t>
      </w:r>
      <w:r w:rsidR="009F4CBE" w:rsidRPr="009F4CBE">
        <w:rPr>
          <w:rFonts w:asciiTheme="majorHAnsi" w:hAnsiTheme="majorHAnsi"/>
        </w:rPr>
        <w:t>rozvoj existujúcich univerzitných vedeckých parkov a</w:t>
      </w:r>
      <w:r w:rsidR="00FB04B0">
        <w:rPr>
          <w:rFonts w:asciiTheme="majorHAnsi" w:hAnsiTheme="majorHAnsi"/>
        </w:rPr>
        <w:t> </w:t>
      </w:r>
      <w:r w:rsidR="009F4CBE" w:rsidRPr="009F4CBE">
        <w:rPr>
          <w:rFonts w:asciiTheme="majorHAnsi" w:hAnsiTheme="majorHAnsi"/>
        </w:rPr>
        <w:t>výskumných centier pri univerzitách a</w:t>
      </w:r>
      <w:r w:rsidR="00FB04B0">
        <w:rPr>
          <w:rFonts w:asciiTheme="majorHAnsi" w:hAnsiTheme="majorHAnsi"/>
        </w:rPr>
        <w:t> </w:t>
      </w:r>
      <w:r w:rsidR="00FB04B0" w:rsidRPr="009F4CBE">
        <w:rPr>
          <w:rFonts w:asciiTheme="majorHAnsi" w:hAnsiTheme="majorHAnsi"/>
        </w:rPr>
        <w:t>SAV</w:t>
      </w:r>
      <w:r w:rsidR="00FB04B0">
        <w:rPr>
          <w:rFonts w:asciiTheme="majorHAnsi" w:hAnsiTheme="majorHAnsi"/>
        </w:rPr>
        <w:t xml:space="preserve"> </w:t>
      </w:r>
      <w:r w:rsidR="009F4CBE" w:rsidRPr="009F4CBE">
        <w:rPr>
          <w:rFonts w:asciiTheme="majorHAnsi" w:hAnsiTheme="majorHAnsi"/>
        </w:rPr>
        <w:t>vo väzbe na priority stratégie RIS3</w:t>
      </w:r>
      <w:r w:rsidR="003F3179">
        <w:rPr>
          <w:rFonts w:asciiTheme="majorHAnsi" w:hAnsiTheme="majorHAnsi"/>
        </w:rPr>
        <w:t>. T</w:t>
      </w:r>
      <w:r w:rsidR="009F4CBE" w:rsidRPr="009F4CBE">
        <w:rPr>
          <w:rFonts w:asciiTheme="majorHAnsi" w:hAnsiTheme="majorHAnsi"/>
        </w:rPr>
        <w:t>aktiež</w:t>
      </w:r>
      <w:r w:rsidR="003F3179">
        <w:rPr>
          <w:rFonts w:asciiTheme="majorHAnsi" w:hAnsiTheme="majorHAnsi"/>
        </w:rPr>
        <w:t xml:space="preserve"> je potrebné zabezpečiť</w:t>
      </w:r>
      <w:r w:rsidR="009F4CBE" w:rsidRPr="009F4CBE">
        <w:rPr>
          <w:rFonts w:asciiTheme="majorHAnsi" w:hAnsiTheme="majorHAnsi"/>
        </w:rPr>
        <w:t xml:space="preserve"> </w:t>
      </w:r>
      <w:r w:rsidR="00BD5FD5">
        <w:rPr>
          <w:rFonts w:asciiTheme="majorHAnsi" w:hAnsiTheme="majorHAnsi"/>
        </w:rPr>
        <w:t>k</w:t>
      </w:r>
      <w:r w:rsidR="00E47189" w:rsidRPr="00A11FE0">
        <w:rPr>
          <w:rFonts w:asciiTheme="majorHAnsi" w:hAnsiTheme="majorHAnsi"/>
        </w:rPr>
        <w:t xml:space="preserve">ontinuálne financovanie </w:t>
      </w:r>
      <w:r>
        <w:rPr>
          <w:rFonts w:asciiTheme="majorHAnsi" w:hAnsiTheme="majorHAnsi"/>
        </w:rPr>
        <w:t>VVaI infraštruktúry</w:t>
      </w:r>
      <w:r w:rsidR="006E38FD">
        <w:rPr>
          <w:rFonts w:asciiTheme="majorHAnsi" w:hAnsiTheme="majorHAnsi"/>
        </w:rPr>
        <w:t xml:space="preserve"> </w:t>
      </w:r>
      <w:r w:rsidR="00BD5FD5">
        <w:rPr>
          <w:rFonts w:asciiTheme="majorHAnsi" w:hAnsiTheme="majorHAnsi"/>
        </w:rPr>
        <w:t>ak</w:t>
      </w:r>
      <w:r w:rsidR="006E38FD">
        <w:rPr>
          <w:rFonts w:asciiTheme="majorHAnsi" w:hAnsiTheme="majorHAnsi"/>
        </w:rPr>
        <w:t xml:space="preserve">o </w:t>
      </w:r>
      <w:r w:rsidR="00BD5FD5">
        <w:rPr>
          <w:rFonts w:asciiTheme="majorHAnsi" w:hAnsiTheme="majorHAnsi"/>
        </w:rPr>
        <w:t>a</w:t>
      </w:r>
      <w:r w:rsidR="006E38FD">
        <w:rPr>
          <w:rFonts w:asciiTheme="majorHAnsi" w:hAnsiTheme="majorHAnsi"/>
        </w:rPr>
        <w:t xml:space="preserve">j </w:t>
      </w:r>
      <w:r>
        <w:rPr>
          <w:rFonts w:asciiTheme="majorHAnsi" w:hAnsiTheme="majorHAnsi"/>
        </w:rPr>
        <w:t>VaV</w:t>
      </w:r>
      <w:r w:rsidR="008C1228" w:rsidRPr="00A11FE0">
        <w:rPr>
          <w:rFonts w:asciiTheme="majorHAnsi" w:hAnsiTheme="majorHAnsi"/>
        </w:rPr>
        <w:t xml:space="preserve"> </w:t>
      </w:r>
      <w:r w:rsidR="00BD5FD5">
        <w:rPr>
          <w:rFonts w:asciiTheme="majorHAnsi" w:hAnsiTheme="majorHAnsi"/>
        </w:rPr>
        <w:t>k</w:t>
      </w:r>
      <w:r w:rsidR="008C1228" w:rsidRPr="00A11FE0">
        <w:rPr>
          <w:rFonts w:asciiTheme="majorHAnsi" w:hAnsiTheme="majorHAnsi"/>
        </w:rPr>
        <w:t>apacít</w:t>
      </w:r>
      <w:r w:rsidR="006E38FD">
        <w:rPr>
          <w:rFonts w:asciiTheme="majorHAnsi" w:hAnsiTheme="majorHAnsi"/>
        </w:rPr>
        <w:t xml:space="preserve"> v</w:t>
      </w:r>
      <w:r w:rsidR="008A2A63">
        <w:rPr>
          <w:rFonts w:asciiTheme="majorHAnsi" w:hAnsiTheme="majorHAnsi"/>
        </w:rPr>
        <w:t> </w:t>
      </w:r>
      <w:r w:rsidR="006E38FD">
        <w:rPr>
          <w:rFonts w:asciiTheme="majorHAnsi" w:hAnsiTheme="majorHAnsi"/>
        </w:rPr>
        <w:t>rámci</w:t>
      </w:r>
      <w:r w:rsidR="008C1228" w:rsidRPr="00A11FE0">
        <w:rPr>
          <w:rFonts w:asciiTheme="majorHAnsi" w:hAnsiTheme="majorHAnsi"/>
        </w:rPr>
        <w:t xml:space="preserve"> </w:t>
      </w:r>
      <w:r w:rsidR="00E47189" w:rsidRPr="00A11FE0">
        <w:rPr>
          <w:rFonts w:asciiTheme="majorHAnsi" w:hAnsiTheme="majorHAnsi"/>
        </w:rPr>
        <w:t xml:space="preserve">BSK </w:t>
      </w:r>
      <w:r w:rsidR="003F3179">
        <w:rPr>
          <w:rFonts w:asciiTheme="majorHAnsi" w:hAnsiTheme="majorHAnsi"/>
        </w:rPr>
        <w:t>na</w:t>
      </w:r>
      <w:r w:rsidR="003F3179" w:rsidRPr="00A11FE0">
        <w:rPr>
          <w:rFonts w:asciiTheme="majorHAnsi" w:hAnsiTheme="majorHAnsi"/>
        </w:rPr>
        <w:t xml:space="preserve"> </w:t>
      </w:r>
      <w:r w:rsidR="00E47189" w:rsidRPr="00A11FE0">
        <w:rPr>
          <w:rFonts w:asciiTheme="majorHAnsi" w:hAnsiTheme="majorHAnsi"/>
        </w:rPr>
        <w:t>roky 2014 – 2020</w:t>
      </w:r>
      <w:r w:rsidR="003F3179">
        <w:rPr>
          <w:rFonts w:asciiTheme="majorHAnsi" w:hAnsiTheme="majorHAnsi"/>
        </w:rPr>
        <w:t>,</w:t>
      </w:r>
      <w:r w:rsidR="00E47189" w:rsidRPr="00A11FE0">
        <w:rPr>
          <w:rFonts w:asciiTheme="majorHAnsi" w:hAnsiTheme="majorHAnsi"/>
        </w:rPr>
        <w:t xml:space="preserve"> </w:t>
      </w:r>
      <w:r w:rsidR="00BD5FD5">
        <w:rPr>
          <w:rFonts w:asciiTheme="majorHAnsi" w:hAnsiTheme="majorHAnsi"/>
        </w:rPr>
        <w:t>ak</w:t>
      </w:r>
      <w:r w:rsidR="00E47189" w:rsidRPr="00A11FE0">
        <w:rPr>
          <w:rFonts w:asciiTheme="majorHAnsi" w:hAnsiTheme="majorHAnsi"/>
        </w:rPr>
        <w:t>o funkčného územia V</w:t>
      </w:r>
      <w:r w:rsidR="00277E2D">
        <w:rPr>
          <w:rFonts w:asciiTheme="majorHAnsi" w:hAnsiTheme="majorHAnsi"/>
        </w:rPr>
        <w:t>V</w:t>
      </w:r>
      <w:r w:rsidR="00B70546" w:rsidRPr="00A11FE0">
        <w:rPr>
          <w:rFonts w:asciiTheme="majorHAnsi" w:hAnsiTheme="majorHAnsi"/>
        </w:rPr>
        <w:t>a</w:t>
      </w:r>
      <w:r w:rsidR="00277E2D">
        <w:rPr>
          <w:rFonts w:asciiTheme="majorHAnsi" w:hAnsiTheme="majorHAnsi"/>
        </w:rPr>
        <w:t>I</w:t>
      </w:r>
      <w:r w:rsidR="003F3179">
        <w:rPr>
          <w:rFonts w:asciiTheme="majorHAnsi" w:hAnsiTheme="majorHAnsi"/>
        </w:rPr>
        <w:t>,</w:t>
      </w:r>
      <w:r w:rsidR="00E47189" w:rsidRPr="00A11FE0">
        <w:rPr>
          <w:rFonts w:asciiTheme="majorHAnsi" w:hAnsiTheme="majorHAnsi"/>
        </w:rPr>
        <w:t xml:space="preserve"> </w:t>
      </w:r>
      <w:r w:rsidR="00BD5FD5">
        <w:rPr>
          <w:rFonts w:asciiTheme="majorHAnsi" w:hAnsiTheme="majorHAnsi"/>
        </w:rPr>
        <w:t>s </w:t>
      </w:r>
      <w:r w:rsidR="00E47189" w:rsidRPr="00A11FE0">
        <w:rPr>
          <w:rFonts w:asciiTheme="majorHAnsi" w:hAnsiTheme="majorHAnsi"/>
        </w:rPr>
        <w:t>dôraz</w:t>
      </w:r>
      <w:r w:rsidR="008618CA" w:rsidRPr="00A11FE0">
        <w:rPr>
          <w:rFonts w:asciiTheme="majorHAnsi" w:hAnsiTheme="majorHAnsi"/>
        </w:rPr>
        <w:t>om</w:t>
      </w:r>
      <w:r w:rsidR="00285918">
        <w:rPr>
          <w:rFonts w:asciiTheme="majorHAnsi" w:hAnsiTheme="majorHAnsi"/>
        </w:rPr>
        <w:t xml:space="preserve"> </w:t>
      </w:r>
      <w:r w:rsidR="00E47189" w:rsidRPr="00A11FE0">
        <w:rPr>
          <w:rFonts w:asciiTheme="majorHAnsi" w:hAnsiTheme="majorHAnsi"/>
        </w:rPr>
        <w:t xml:space="preserve">na </w:t>
      </w:r>
      <w:r w:rsidR="006A0A50" w:rsidRPr="00A11FE0">
        <w:rPr>
          <w:rFonts w:asciiTheme="majorHAnsi" w:hAnsiTheme="majorHAnsi"/>
        </w:rPr>
        <w:t>geograficky blízke</w:t>
      </w:r>
      <w:r w:rsidR="00E47189" w:rsidRPr="00A11FE0">
        <w:rPr>
          <w:rFonts w:asciiTheme="majorHAnsi" w:hAnsiTheme="majorHAnsi"/>
        </w:rPr>
        <w:t xml:space="preserve"> </w:t>
      </w:r>
      <w:r w:rsidR="006A0A50" w:rsidRPr="00A11FE0">
        <w:rPr>
          <w:rFonts w:asciiTheme="majorHAnsi" w:hAnsiTheme="majorHAnsi"/>
        </w:rPr>
        <w:t xml:space="preserve">vedecko-technologické platformy </w:t>
      </w:r>
      <w:r w:rsidR="00E47189" w:rsidRPr="00A11FE0">
        <w:rPr>
          <w:rFonts w:asciiTheme="majorHAnsi" w:hAnsiTheme="majorHAnsi"/>
        </w:rPr>
        <w:t xml:space="preserve">v Brne, Viedni, či </w:t>
      </w:r>
      <w:r w:rsidR="00765FCA" w:rsidRPr="00A11FE0">
        <w:rPr>
          <w:rFonts w:asciiTheme="majorHAnsi" w:hAnsiTheme="majorHAnsi"/>
        </w:rPr>
        <w:t>v</w:t>
      </w:r>
      <w:r w:rsidR="00FB04B0">
        <w:rPr>
          <w:rFonts w:asciiTheme="majorHAnsi" w:hAnsiTheme="majorHAnsi"/>
        </w:rPr>
        <w:t> </w:t>
      </w:r>
      <w:r w:rsidR="00E47189" w:rsidRPr="00A11FE0">
        <w:rPr>
          <w:rFonts w:asciiTheme="majorHAnsi" w:hAnsiTheme="majorHAnsi"/>
        </w:rPr>
        <w:t>Budapešti</w:t>
      </w:r>
      <w:r w:rsidR="006A0A50" w:rsidRPr="00A11FE0">
        <w:rPr>
          <w:rFonts w:asciiTheme="majorHAnsi" w:hAnsiTheme="majorHAnsi"/>
        </w:rPr>
        <w:t xml:space="preserve">. </w:t>
      </w:r>
      <w:r w:rsidR="00B45F2E" w:rsidRPr="00A11FE0">
        <w:rPr>
          <w:rFonts w:asciiTheme="majorHAnsi" w:hAnsiTheme="majorHAnsi"/>
        </w:rPr>
        <w:t xml:space="preserve">Pri </w:t>
      </w:r>
      <w:r w:rsidR="006A50AF" w:rsidRPr="00A11FE0">
        <w:rPr>
          <w:rFonts w:asciiTheme="majorHAnsi" w:hAnsiTheme="majorHAnsi"/>
        </w:rPr>
        <w:t>plnení</w:t>
      </w:r>
      <w:r w:rsidR="006A0A50" w:rsidRPr="00A11FE0">
        <w:rPr>
          <w:rFonts w:asciiTheme="majorHAnsi" w:hAnsiTheme="majorHAnsi"/>
        </w:rPr>
        <w:t xml:space="preserve"> </w:t>
      </w:r>
      <w:r w:rsidR="003F3179">
        <w:rPr>
          <w:rFonts w:asciiTheme="majorHAnsi" w:hAnsiTheme="majorHAnsi"/>
        </w:rPr>
        <w:t>s</w:t>
      </w:r>
      <w:r w:rsidR="003F3179" w:rsidRPr="00A11FE0">
        <w:rPr>
          <w:rFonts w:asciiTheme="majorHAnsi" w:hAnsiTheme="majorHAnsi"/>
        </w:rPr>
        <w:t xml:space="preserve">tratégie </w:t>
      </w:r>
      <w:r w:rsidR="00992762">
        <w:rPr>
          <w:rFonts w:asciiTheme="majorHAnsi" w:hAnsiTheme="majorHAnsi"/>
        </w:rPr>
        <w:t>E</w:t>
      </w:r>
      <w:r w:rsidR="00E207F0">
        <w:rPr>
          <w:rFonts w:asciiTheme="majorHAnsi" w:hAnsiTheme="majorHAnsi"/>
        </w:rPr>
        <w:t>ur</w:t>
      </w:r>
      <w:r w:rsidR="00560A16" w:rsidRPr="00A11FE0">
        <w:rPr>
          <w:rFonts w:asciiTheme="majorHAnsi" w:hAnsiTheme="majorHAnsi"/>
        </w:rPr>
        <w:t xml:space="preserve">ópa </w:t>
      </w:r>
      <w:r w:rsidR="006A0A50" w:rsidRPr="00A11FE0">
        <w:rPr>
          <w:rFonts w:asciiTheme="majorHAnsi" w:hAnsiTheme="majorHAnsi"/>
        </w:rPr>
        <w:t xml:space="preserve">2020 </w:t>
      </w:r>
      <w:r w:rsidR="00B45F2E" w:rsidRPr="00A11FE0">
        <w:rPr>
          <w:rFonts w:asciiTheme="majorHAnsi" w:hAnsiTheme="majorHAnsi"/>
        </w:rPr>
        <w:t xml:space="preserve">môže </w:t>
      </w:r>
      <w:r w:rsidR="00BD5FD5">
        <w:rPr>
          <w:rFonts w:asciiTheme="majorHAnsi" w:hAnsiTheme="majorHAnsi"/>
        </w:rPr>
        <w:t>S</w:t>
      </w:r>
      <w:r w:rsidR="00765FCA" w:rsidRPr="00A11FE0">
        <w:rPr>
          <w:rFonts w:asciiTheme="majorHAnsi" w:hAnsiTheme="majorHAnsi"/>
        </w:rPr>
        <w:t xml:space="preserve">R </w:t>
      </w:r>
      <w:r w:rsidR="00B45F2E" w:rsidRPr="00A11FE0">
        <w:rPr>
          <w:rFonts w:asciiTheme="majorHAnsi" w:hAnsiTheme="majorHAnsi"/>
        </w:rPr>
        <w:t xml:space="preserve">využiť potenciál </w:t>
      </w:r>
      <w:r w:rsidR="00BD5FD5">
        <w:rPr>
          <w:rFonts w:asciiTheme="majorHAnsi" w:hAnsiTheme="majorHAnsi"/>
        </w:rPr>
        <w:t>s</w:t>
      </w:r>
      <w:r w:rsidR="006A0A50" w:rsidRPr="00A11FE0">
        <w:rPr>
          <w:rFonts w:asciiTheme="majorHAnsi" w:hAnsiTheme="majorHAnsi"/>
        </w:rPr>
        <w:t xml:space="preserve">poločnej </w:t>
      </w:r>
      <w:r w:rsidR="00BD5FD5">
        <w:rPr>
          <w:rFonts w:asciiTheme="majorHAnsi" w:hAnsiTheme="majorHAnsi"/>
        </w:rPr>
        <w:t>s</w:t>
      </w:r>
      <w:r w:rsidR="006A0A50" w:rsidRPr="00A11FE0">
        <w:rPr>
          <w:rFonts w:asciiTheme="majorHAnsi" w:hAnsiTheme="majorHAnsi"/>
        </w:rPr>
        <w:t xml:space="preserve">tratégie </w:t>
      </w:r>
      <w:r w:rsidR="00E47189" w:rsidRPr="00A11FE0">
        <w:rPr>
          <w:rFonts w:asciiTheme="majorHAnsi" w:hAnsiTheme="majorHAnsi"/>
        </w:rPr>
        <w:t xml:space="preserve">rozvoja </w:t>
      </w:r>
      <w:r w:rsidR="003B67D2" w:rsidRPr="00A11FE0">
        <w:rPr>
          <w:rFonts w:asciiTheme="majorHAnsi" w:hAnsiTheme="majorHAnsi"/>
        </w:rPr>
        <w:t xml:space="preserve">Dunajského regiónu, </w:t>
      </w:r>
      <w:r w:rsidR="00BD5FD5">
        <w:rPr>
          <w:rFonts w:asciiTheme="majorHAnsi" w:hAnsiTheme="majorHAnsi"/>
        </w:rPr>
        <w:t>a</w:t>
      </w:r>
      <w:r w:rsidR="006A0A50" w:rsidRPr="00A11FE0">
        <w:rPr>
          <w:rFonts w:asciiTheme="majorHAnsi" w:hAnsiTheme="majorHAnsi"/>
        </w:rPr>
        <w:t xml:space="preserve">lebo </w:t>
      </w:r>
      <w:r w:rsidR="00B04DDE">
        <w:rPr>
          <w:rFonts w:asciiTheme="majorHAnsi" w:hAnsiTheme="majorHAnsi"/>
        </w:rPr>
        <w:t xml:space="preserve">prostredníctvom vytvárania sietí </w:t>
      </w:r>
      <w:r w:rsidR="006A50AF" w:rsidRPr="00A11FE0">
        <w:rPr>
          <w:rFonts w:asciiTheme="majorHAnsi" w:hAnsiTheme="majorHAnsi"/>
        </w:rPr>
        <w:t>v</w:t>
      </w:r>
      <w:r w:rsidR="00FB04B0">
        <w:rPr>
          <w:rFonts w:asciiTheme="majorHAnsi" w:hAnsiTheme="majorHAnsi"/>
        </w:rPr>
        <w:t> </w:t>
      </w:r>
      <w:r w:rsidR="006A50AF" w:rsidRPr="00A11FE0">
        <w:rPr>
          <w:rFonts w:asciiTheme="majorHAnsi" w:hAnsiTheme="majorHAnsi"/>
        </w:rPr>
        <w:t xml:space="preserve">rámci </w:t>
      </w:r>
      <w:r w:rsidR="00B04DDE">
        <w:rPr>
          <w:rFonts w:asciiTheme="majorHAnsi" w:hAnsiTheme="majorHAnsi"/>
        </w:rPr>
        <w:t>ERA</w:t>
      </w:r>
      <w:r w:rsidR="006A50AF" w:rsidRPr="00A11FE0">
        <w:rPr>
          <w:rFonts w:asciiTheme="majorHAnsi" w:hAnsiTheme="majorHAnsi"/>
        </w:rPr>
        <w:t xml:space="preserve">, </w:t>
      </w:r>
      <w:r w:rsidR="006A0A50" w:rsidRPr="00A11FE0">
        <w:rPr>
          <w:rFonts w:asciiTheme="majorHAnsi" w:hAnsiTheme="majorHAnsi"/>
        </w:rPr>
        <w:t>regiónu Centrope (Bratislava-Brno-Viedeň)</w:t>
      </w:r>
      <w:r w:rsidR="00B04DDE">
        <w:rPr>
          <w:rFonts w:asciiTheme="majorHAnsi" w:hAnsiTheme="majorHAnsi"/>
        </w:rPr>
        <w:t>, ako aj v</w:t>
      </w:r>
      <w:r w:rsidR="00BB0937">
        <w:rPr>
          <w:rFonts w:asciiTheme="majorHAnsi" w:hAnsiTheme="majorHAnsi"/>
        </w:rPr>
        <w:t> </w:t>
      </w:r>
      <w:r w:rsidR="00B04DDE">
        <w:rPr>
          <w:rFonts w:asciiTheme="majorHAnsi" w:hAnsiTheme="majorHAnsi"/>
        </w:rPr>
        <w:t>rámci</w:t>
      </w:r>
      <w:r w:rsidR="00BB0937">
        <w:rPr>
          <w:rFonts w:asciiTheme="majorHAnsi" w:hAnsiTheme="majorHAnsi"/>
        </w:rPr>
        <w:t xml:space="preserve"> </w:t>
      </w:r>
      <w:r w:rsidR="008A2A63">
        <w:rPr>
          <w:rFonts w:asciiTheme="majorHAnsi" w:hAnsiTheme="majorHAnsi"/>
        </w:rPr>
        <w:t>európskych programov a iniciatív VaI</w:t>
      </w:r>
      <w:r w:rsidR="003B67D2" w:rsidRPr="00A11FE0">
        <w:rPr>
          <w:rFonts w:asciiTheme="majorHAnsi" w:hAnsiTheme="majorHAnsi"/>
        </w:rPr>
        <w:t>.</w:t>
      </w:r>
    </w:p>
    <w:p w:rsidR="0002791D" w:rsidRPr="00A11FE0" w:rsidRDefault="0002791D" w:rsidP="00E47189">
      <w:pPr>
        <w:rPr>
          <w:rFonts w:asciiTheme="majorHAnsi" w:hAnsiTheme="majorHAnsi"/>
        </w:rPr>
      </w:pPr>
      <w:r>
        <w:rPr>
          <w:rFonts w:asciiTheme="majorHAnsi" w:hAnsiTheme="majorHAnsi"/>
        </w:rPr>
        <w:t>Plánovaná konsolidácia</w:t>
      </w:r>
      <w:r w:rsidR="00D654CA">
        <w:rPr>
          <w:rFonts w:asciiTheme="majorHAnsi" w:hAnsiTheme="majorHAnsi"/>
        </w:rPr>
        <w:t>,</w:t>
      </w:r>
      <w:r>
        <w:rPr>
          <w:rFonts w:asciiTheme="majorHAnsi" w:hAnsiTheme="majorHAnsi"/>
        </w:rPr>
        <w:t xml:space="preserve"> ako aj dobudovanie výskumnej infraštruktúry z EŠIF budú realizované na základe pripravovanej národnej cestovnej mapy výskumnej infraštruktúry, s dôrazom na zapájanie sa do ESFRI infraštruktúr.</w:t>
      </w:r>
    </w:p>
    <w:p w:rsidR="00A41272" w:rsidRDefault="00013BE1" w:rsidP="00E47189">
      <w:pPr>
        <w:rPr>
          <w:rFonts w:asciiTheme="majorHAnsi" w:hAnsiTheme="majorHAnsi"/>
          <w:noProof/>
        </w:rPr>
      </w:pPr>
      <w:r w:rsidRPr="00A11FE0">
        <w:rPr>
          <w:rFonts w:asciiTheme="majorHAnsi" w:hAnsiTheme="majorHAnsi"/>
          <w:noProof/>
        </w:rPr>
        <w:t>V </w:t>
      </w:r>
      <w:r w:rsidR="00BD5FD5">
        <w:rPr>
          <w:rFonts w:asciiTheme="majorHAnsi" w:hAnsiTheme="majorHAnsi"/>
          <w:noProof/>
        </w:rPr>
        <w:t>s</w:t>
      </w:r>
      <w:r w:rsidRPr="00A11FE0">
        <w:rPr>
          <w:rFonts w:asciiTheme="majorHAnsi" w:hAnsiTheme="majorHAnsi"/>
          <w:noProof/>
        </w:rPr>
        <w:t xml:space="preserve">ektore pôdohospodárstva je </w:t>
      </w:r>
      <w:r w:rsidR="00574F5F">
        <w:rPr>
          <w:rFonts w:asciiTheme="majorHAnsi" w:hAnsiTheme="majorHAnsi"/>
          <w:noProof/>
        </w:rPr>
        <w:t>nevyhnutné zamerať sa na zvýšenie jeho potenciálu, na progresívne technológie a postupy v oblasti pôdohospodárstva a</w:t>
      </w:r>
      <w:r w:rsidR="003F3179">
        <w:rPr>
          <w:rFonts w:asciiTheme="majorHAnsi" w:hAnsiTheme="majorHAnsi"/>
          <w:noProof/>
        </w:rPr>
        <w:t> </w:t>
      </w:r>
      <w:r w:rsidR="00574F5F">
        <w:rPr>
          <w:rFonts w:asciiTheme="majorHAnsi" w:hAnsiTheme="majorHAnsi"/>
          <w:noProof/>
        </w:rPr>
        <w:t>potravín</w:t>
      </w:r>
      <w:r w:rsidR="003F3179">
        <w:rPr>
          <w:rFonts w:asciiTheme="majorHAnsi" w:hAnsiTheme="majorHAnsi"/>
          <w:noProof/>
        </w:rPr>
        <w:t xml:space="preserve"> za účelom</w:t>
      </w:r>
      <w:r w:rsidR="00574F5F">
        <w:rPr>
          <w:rFonts w:asciiTheme="majorHAnsi" w:hAnsiTheme="majorHAnsi"/>
          <w:noProof/>
        </w:rPr>
        <w:t xml:space="preserve"> zabezpečeni</w:t>
      </w:r>
      <w:r w:rsidR="003F3179">
        <w:rPr>
          <w:rFonts w:asciiTheme="majorHAnsi" w:hAnsiTheme="majorHAnsi"/>
          <w:noProof/>
        </w:rPr>
        <w:t>a</w:t>
      </w:r>
      <w:r w:rsidR="00574F5F">
        <w:rPr>
          <w:rFonts w:asciiTheme="majorHAnsi" w:hAnsiTheme="majorHAnsi"/>
          <w:noProof/>
        </w:rPr>
        <w:t xml:space="preserve"> dostatočnosti produkcie zdravých potravín. VaV je potrebné zamerať na inovatívne riešenia umožňujúce racionálne </w:t>
      </w:r>
      <w:r w:rsidR="00574F5F">
        <w:rPr>
          <w:rFonts w:asciiTheme="majorHAnsi" w:hAnsiTheme="majorHAnsi"/>
          <w:noProof/>
        </w:rPr>
        <w:lastRenderedPageBreak/>
        <w:t>hospodárenie v pôdospodárstve a lesnom hospodárstve,</w:t>
      </w:r>
      <w:r w:rsidR="0025434E">
        <w:rPr>
          <w:rFonts w:asciiTheme="majorHAnsi" w:hAnsiTheme="majorHAnsi"/>
          <w:noProof/>
        </w:rPr>
        <w:t xml:space="preserve"> znižujúce zaťažovanie životného prostredia.</w:t>
      </w:r>
      <w:r w:rsidRPr="00A11FE0">
        <w:rPr>
          <w:rFonts w:asciiTheme="majorHAnsi" w:hAnsiTheme="majorHAnsi"/>
          <w:noProof/>
        </w:rPr>
        <w:t xml:space="preserve"> </w:t>
      </w:r>
      <w:r w:rsidR="00765FCA" w:rsidRPr="00A11FE0">
        <w:rPr>
          <w:rFonts w:asciiTheme="majorHAnsi" w:hAnsiTheme="majorHAnsi"/>
        </w:rPr>
        <w:t>J</w:t>
      </w:r>
      <w:r w:rsidRPr="00A11FE0">
        <w:rPr>
          <w:rFonts w:asciiTheme="majorHAnsi" w:hAnsiTheme="majorHAnsi"/>
        </w:rPr>
        <w:t xml:space="preserve">e potrebné </w:t>
      </w:r>
      <w:r w:rsidR="0025434E">
        <w:rPr>
          <w:rFonts w:asciiTheme="majorHAnsi" w:hAnsiTheme="majorHAnsi"/>
        </w:rPr>
        <w:t xml:space="preserve">posilňovanie spolupráce medzi </w:t>
      </w:r>
      <w:r w:rsidR="00FB04B0">
        <w:rPr>
          <w:rFonts w:asciiTheme="majorHAnsi" w:hAnsiTheme="majorHAnsi"/>
        </w:rPr>
        <w:t>VaV</w:t>
      </w:r>
      <w:r w:rsidR="0025434E">
        <w:rPr>
          <w:rFonts w:asciiTheme="majorHAnsi" w:hAnsiTheme="majorHAnsi"/>
        </w:rPr>
        <w:t xml:space="preserve"> organizáciami</w:t>
      </w:r>
      <w:r w:rsidR="003F3179">
        <w:rPr>
          <w:rFonts w:asciiTheme="majorHAnsi" w:hAnsiTheme="majorHAnsi"/>
        </w:rPr>
        <w:t xml:space="preserve"> a podnikateľskými subjektmi</w:t>
      </w:r>
      <w:r w:rsidR="0025434E">
        <w:rPr>
          <w:rFonts w:asciiTheme="majorHAnsi" w:hAnsiTheme="majorHAnsi"/>
        </w:rPr>
        <w:t xml:space="preserve"> v oblasti pôdohospodárstva a životného prostredia</w:t>
      </w:r>
      <w:r w:rsidR="003F3179">
        <w:rPr>
          <w:rFonts w:asciiTheme="majorHAnsi" w:hAnsiTheme="majorHAnsi"/>
        </w:rPr>
        <w:t>. P</w:t>
      </w:r>
      <w:r w:rsidR="0025434E">
        <w:rPr>
          <w:rFonts w:asciiTheme="majorHAnsi" w:hAnsiTheme="majorHAnsi"/>
        </w:rPr>
        <w:t>ríležitosťou je efektívnejšie využívanie lesa, ktorý pokrýva takmer polovicu územia SR.</w:t>
      </w:r>
    </w:p>
    <w:p w:rsidR="00E47189" w:rsidRPr="00A11FE0" w:rsidRDefault="00BD5FD5" w:rsidP="005728F1">
      <w:pPr>
        <w:spacing w:before="0" w:after="0"/>
        <w:jc w:val="left"/>
        <w:rPr>
          <w:rFonts w:asciiTheme="majorHAnsi" w:hAnsiTheme="majorHAnsi"/>
          <w:b/>
        </w:rPr>
      </w:pPr>
      <w:r>
        <w:rPr>
          <w:rFonts w:asciiTheme="majorHAnsi" w:hAnsiTheme="majorHAnsi"/>
          <w:b/>
        </w:rPr>
        <w:t>K</w:t>
      </w:r>
      <w:r w:rsidR="00E47189" w:rsidRPr="00A11FE0">
        <w:rPr>
          <w:rFonts w:asciiTheme="majorHAnsi" w:hAnsiTheme="majorHAnsi"/>
          <w:b/>
        </w:rPr>
        <w:t>apacity</w:t>
      </w:r>
      <w:r w:rsidR="00DD5585" w:rsidRPr="00A11FE0">
        <w:rPr>
          <w:rFonts w:asciiTheme="majorHAnsi" w:hAnsiTheme="majorHAnsi"/>
          <w:b/>
        </w:rPr>
        <w:t xml:space="preserve"> VaI</w:t>
      </w:r>
    </w:p>
    <w:p w:rsidR="004C3F62" w:rsidRPr="00A11FE0" w:rsidRDefault="00E47189" w:rsidP="004C3F62">
      <w:pPr>
        <w:rPr>
          <w:rFonts w:asciiTheme="majorHAnsi" w:hAnsiTheme="majorHAnsi"/>
        </w:rPr>
      </w:pPr>
      <w:r w:rsidRPr="00A11FE0">
        <w:rPr>
          <w:rFonts w:asciiTheme="majorHAnsi" w:hAnsiTheme="majorHAnsi"/>
        </w:rPr>
        <w:t xml:space="preserve">V oblasti </w:t>
      </w:r>
      <w:r w:rsidR="00B45F2E" w:rsidRPr="00A11FE0">
        <w:rPr>
          <w:rFonts w:asciiTheme="majorHAnsi" w:hAnsiTheme="majorHAnsi"/>
        </w:rPr>
        <w:t>VaI</w:t>
      </w:r>
      <w:r w:rsidRPr="00A11FE0">
        <w:rPr>
          <w:rFonts w:asciiTheme="majorHAnsi" w:hAnsiTheme="majorHAnsi"/>
        </w:rPr>
        <w:t xml:space="preserve"> v</w:t>
      </w:r>
      <w:r w:rsidR="00A41272">
        <w:rPr>
          <w:rFonts w:asciiTheme="majorHAnsi" w:hAnsiTheme="majorHAnsi"/>
        </w:rPr>
        <w:t> </w:t>
      </w:r>
      <w:r w:rsidR="00BD5FD5">
        <w:rPr>
          <w:rFonts w:asciiTheme="majorHAnsi" w:hAnsiTheme="majorHAnsi"/>
        </w:rPr>
        <w:t>S</w:t>
      </w:r>
      <w:r w:rsidRPr="00A11FE0">
        <w:rPr>
          <w:rFonts w:asciiTheme="majorHAnsi" w:hAnsiTheme="majorHAnsi"/>
        </w:rPr>
        <w:t>R</w:t>
      </w:r>
      <w:r w:rsidR="00A41272">
        <w:rPr>
          <w:rFonts w:asciiTheme="majorHAnsi" w:hAnsiTheme="majorHAnsi"/>
        </w:rPr>
        <w:t xml:space="preserve"> </w:t>
      </w:r>
      <w:r w:rsidRPr="00A11FE0">
        <w:rPr>
          <w:rFonts w:asciiTheme="majorHAnsi" w:hAnsiTheme="majorHAnsi"/>
        </w:rPr>
        <w:t>pracuje len 1,2 % z celkového počtu pracujúcich osôb</w:t>
      </w:r>
      <w:r w:rsidR="008C1228" w:rsidRPr="00A11FE0">
        <w:rPr>
          <w:rFonts w:asciiTheme="majorHAnsi" w:hAnsiTheme="majorHAnsi"/>
        </w:rPr>
        <w:t xml:space="preserve">, </w:t>
      </w:r>
      <w:r w:rsidR="00BD5FD5">
        <w:rPr>
          <w:rFonts w:asciiTheme="majorHAnsi" w:hAnsiTheme="majorHAnsi"/>
        </w:rPr>
        <w:t>a</w:t>
      </w:r>
      <w:r w:rsidR="008C1228" w:rsidRPr="00A11FE0">
        <w:rPr>
          <w:rFonts w:asciiTheme="majorHAnsi" w:hAnsiTheme="majorHAnsi"/>
        </w:rPr>
        <w:t>však</w:t>
      </w:r>
      <w:r w:rsidRPr="00A11FE0">
        <w:rPr>
          <w:rFonts w:asciiTheme="majorHAnsi" w:hAnsiTheme="majorHAnsi"/>
        </w:rPr>
        <w:t xml:space="preserve"> podľa </w:t>
      </w:r>
      <w:r w:rsidR="00BD5FD5">
        <w:rPr>
          <w:rFonts w:asciiTheme="majorHAnsi" w:hAnsiTheme="majorHAnsi"/>
        </w:rPr>
        <w:t>s</w:t>
      </w:r>
      <w:r w:rsidRPr="00A11FE0">
        <w:rPr>
          <w:rFonts w:asciiTheme="majorHAnsi" w:hAnsiTheme="majorHAnsi"/>
        </w:rPr>
        <w:t xml:space="preserve">právy OECD je </w:t>
      </w:r>
      <w:r w:rsidR="00BD5FD5">
        <w:rPr>
          <w:rFonts w:asciiTheme="majorHAnsi" w:hAnsiTheme="majorHAnsi"/>
        </w:rPr>
        <w:t>s</w:t>
      </w:r>
      <w:r w:rsidRPr="00A11FE0">
        <w:rPr>
          <w:rFonts w:asciiTheme="majorHAnsi" w:hAnsiTheme="majorHAnsi"/>
        </w:rPr>
        <w:t>tav</w:t>
      </w:r>
      <w:r w:rsidRPr="00A11FE0">
        <w:rPr>
          <w:rFonts w:asciiTheme="majorHAnsi" w:hAnsiTheme="majorHAnsi"/>
          <w:bCs/>
        </w:rPr>
        <w:t xml:space="preserve"> ľudského potenciálu v oblasti výskumu </w:t>
      </w:r>
      <w:r w:rsidR="00BD5FD5">
        <w:rPr>
          <w:rFonts w:asciiTheme="majorHAnsi" w:hAnsiTheme="majorHAnsi"/>
          <w:bCs/>
        </w:rPr>
        <w:t>a</w:t>
      </w:r>
      <w:r w:rsidRPr="00A11FE0">
        <w:rPr>
          <w:rFonts w:asciiTheme="majorHAnsi" w:hAnsiTheme="majorHAnsi"/>
          <w:bCs/>
        </w:rPr>
        <w:t> technologického rozvoja považovaný za nadpriemerný</w:t>
      </w:r>
      <w:r w:rsidR="003F3179">
        <w:rPr>
          <w:rFonts w:asciiTheme="majorHAnsi" w:hAnsiTheme="majorHAnsi"/>
          <w:bCs/>
        </w:rPr>
        <w:t xml:space="preserve"> </w:t>
      </w:r>
      <w:r w:rsidR="00D35C9F" w:rsidRPr="00A11FE0">
        <w:rPr>
          <w:rFonts w:asciiTheme="majorHAnsi" w:hAnsiTheme="majorHAnsi"/>
          <w:bCs/>
        </w:rPr>
        <w:t xml:space="preserve">vzhľadom na </w:t>
      </w:r>
      <w:r w:rsidRPr="00A11FE0">
        <w:rPr>
          <w:rFonts w:asciiTheme="majorHAnsi" w:hAnsiTheme="majorHAnsi"/>
          <w:bCs/>
        </w:rPr>
        <w:t xml:space="preserve">priemer </w:t>
      </w:r>
      <w:r w:rsidR="00BD5FD5">
        <w:rPr>
          <w:rFonts w:asciiTheme="majorHAnsi" w:hAnsiTheme="majorHAnsi"/>
          <w:bCs/>
        </w:rPr>
        <w:t>k</w:t>
      </w:r>
      <w:r w:rsidRPr="00A11FE0">
        <w:rPr>
          <w:rFonts w:asciiTheme="majorHAnsi" w:hAnsiTheme="majorHAnsi"/>
          <w:bCs/>
        </w:rPr>
        <w:t>rajín OECD</w:t>
      </w:r>
      <w:r w:rsidRPr="00A11FE0">
        <w:rPr>
          <w:rStyle w:val="Odkaznapoznmkupodiarou"/>
          <w:rFonts w:asciiTheme="majorHAnsi" w:hAnsiTheme="majorHAnsi"/>
          <w:bCs/>
        </w:rPr>
        <w:footnoteReference w:id="17"/>
      </w:r>
      <w:r w:rsidRPr="00A11FE0">
        <w:rPr>
          <w:rFonts w:asciiTheme="majorHAnsi" w:hAnsiTheme="majorHAnsi"/>
          <w:bCs/>
        </w:rPr>
        <w:t>.</w:t>
      </w:r>
      <w:r w:rsidR="00A31197" w:rsidRPr="00A11FE0">
        <w:rPr>
          <w:rFonts w:asciiTheme="majorHAnsi" w:hAnsiTheme="majorHAnsi"/>
          <w:bCs/>
        </w:rPr>
        <w:t xml:space="preserve"> </w:t>
      </w:r>
      <w:r w:rsidR="008C1228" w:rsidRPr="00A11FE0">
        <w:rPr>
          <w:rFonts w:asciiTheme="majorHAnsi" w:hAnsiTheme="majorHAnsi"/>
          <w:bCs/>
        </w:rPr>
        <w:t xml:space="preserve">Napriek tomu </w:t>
      </w:r>
      <w:r w:rsidR="00BD5FD5">
        <w:rPr>
          <w:rFonts w:asciiTheme="majorHAnsi" w:hAnsiTheme="majorHAnsi"/>
        </w:rPr>
        <w:t>S</w:t>
      </w:r>
      <w:r w:rsidR="00B45F2E" w:rsidRPr="00A11FE0">
        <w:rPr>
          <w:rFonts w:asciiTheme="majorHAnsi" w:hAnsiTheme="majorHAnsi"/>
        </w:rPr>
        <w:t xml:space="preserve">R </w:t>
      </w:r>
      <w:r w:rsidR="00BE49BC" w:rsidRPr="00A11FE0">
        <w:rPr>
          <w:rFonts w:asciiTheme="majorHAnsi" w:hAnsiTheme="majorHAnsi"/>
        </w:rPr>
        <w:t xml:space="preserve">výrazne </w:t>
      </w:r>
      <w:r w:rsidR="00D35C9F" w:rsidRPr="00A11FE0">
        <w:rPr>
          <w:rFonts w:asciiTheme="majorHAnsi" w:hAnsiTheme="majorHAnsi"/>
        </w:rPr>
        <w:t xml:space="preserve">zaostáva </w:t>
      </w:r>
      <w:r w:rsidR="00B45F2E" w:rsidRPr="00A11FE0">
        <w:rPr>
          <w:rFonts w:asciiTheme="majorHAnsi" w:hAnsiTheme="majorHAnsi"/>
        </w:rPr>
        <w:t xml:space="preserve">v podiele mladých vedcov </w:t>
      </w:r>
      <w:r w:rsidR="00BD5FD5">
        <w:rPr>
          <w:rFonts w:asciiTheme="majorHAnsi" w:hAnsiTheme="majorHAnsi"/>
        </w:rPr>
        <w:t>a</w:t>
      </w:r>
      <w:r w:rsidR="00A41272">
        <w:rPr>
          <w:rFonts w:asciiTheme="majorHAnsi" w:hAnsiTheme="majorHAnsi"/>
        </w:rPr>
        <w:t> </w:t>
      </w:r>
      <w:r w:rsidR="00B45F2E" w:rsidRPr="00A11FE0">
        <w:rPr>
          <w:rFonts w:asciiTheme="majorHAnsi" w:hAnsiTheme="majorHAnsi"/>
        </w:rPr>
        <w:t>výskumníkov</w:t>
      </w:r>
      <w:r w:rsidR="00A41272">
        <w:rPr>
          <w:rFonts w:asciiTheme="majorHAnsi" w:hAnsiTheme="majorHAnsi"/>
        </w:rPr>
        <w:t xml:space="preserve"> </w:t>
      </w:r>
      <w:r w:rsidR="00D35C9F" w:rsidRPr="00A11FE0">
        <w:rPr>
          <w:rFonts w:asciiTheme="majorHAnsi" w:hAnsiTheme="majorHAnsi"/>
        </w:rPr>
        <w:t>v </w:t>
      </w:r>
      <w:r w:rsidR="00BD5FD5">
        <w:rPr>
          <w:rFonts w:asciiTheme="majorHAnsi" w:hAnsiTheme="majorHAnsi"/>
        </w:rPr>
        <w:t>k</w:t>
      </w:r>
      <w:r w:rsidR="00D35C9F" w:rsidRPr="00A11FE0">
        <w:rPr>
          <w:rFonts w:asciiTheme="majorHAnsi" w:hAnsiTheme="majorHAnsi"/>
        </w:rPr>
        <w:t xml:space="preserve">ategóriách </w:t>
      </w:r>
      <w:r w:rsidR="00B45F2E" w:rsidRPr="00A11FE0">
        <w:rPr>
          <w:rFonts w:asciiTheme="majorHAnsi" w:hAnsiTheme="majorHAnsi"/>
        </w:rPr>
        <w:t>do 35 rokov</w:t>
      </w:r>
      <w:r w:rsidR="00D35C9F" w:rsidRPr="00A11FE0">
        <w:rPr>
          <w:rFonts w:asciiTheme="majorHAnsi" w:hAnsiTheme="majorHAnsi"/>
        </w:rPr>
        <w:t xml:space="preserve"> </w:t>
      </w:r>
      <w:r w:rsidR="00BD5FD5">
        <w:rPr>
          <w:rFonts w:asciiTheme="majorHAnsi" w:hAnsiTheme="majorHAnsi"/>
        </w:rPr>
        <w:t>a</w:t>
      </w:r>
      <w:r w:rsidR="00637C7D" w:rsidRPr="00A11FE0">
        <w:rPr>
          <w:rFonts w:asciiTheme="majorHAnsi" w:hAnsiTheme="majorHAnsi"/>
        </w:rPr>
        <w:t> </w:t>
      </w:r>
      <w:r w:rsidR="00B45F2E" w:rsidRPr="00A11FE0">
        <w:rPr>
          <w:rFonts w:asciiTheme="majorHAnsi" w:hAnsiTheme="majorHAnsi"/>
        </w:rPr>
        <w:t>35-44 rokov</w:t>
      </w:r>
      <w:r w:rsidR="00B45F2E" w:rsidRPr="00A11FE0">
        <w:rPr>
          <w:rStyle w:val="Odkaznapoznmkupodiarou"/>
          <w:rFonts w:asciiTheme="majorHAnsi" w:hAnsiTheme="majorHAnsi"/>
        </w:rPr>
        <w:footnoteReference w:id="18"/>
      </w:r>
      <w:r w:rsidR="002A2B29" w:rsidRPr="00A11FE0">
        <w:rPr>
          <w:rFonts w:asciiTheme="majorHAnsi" w:hAnsiTheme="majorHAnsi"/>
        </w:rPr>
        <w:t>. J</w:t>
      </w:r>
      <w:r w:rsidR="00B45F2E" w:rsidRPr="00A11FE0">
        <w:rPr>
          <w:rFonts w:asciiTheme="majorHAnsi" w:hAnsiTheme="majorHAnsi"/>
        </w:rPr>
        <w:t>e</w:t>
      </w:r>
      <w:r w:rsidR="002A2B29" w:rsidRPr="00A11FE0">
        <w:rPr>
          <w:rFonts w:asciiTheme="majorHAnsi" w:hAnsiTheme="majorHAnsi"/>
        </w:rPr>
        <w:t xml:space="preserve"> to</w:t>
      </w:r>
      <w:r w:rsidR="00B45F2E" w:rsidRPr="00A11FE0">
        <w:rPr>
          <w:rFonts w:asciiTheme="majorHAnsi" w:hAnsiTheme="majorHAnsi"/>
        </w:rPr>
        <w:t xml:space="preserve"> </w:t>
      </w:r>
      <w:r w:rsidR="002A2B29" w:rsidRPr="00A11FE0">
        <w:rPr>
          <w:rFonts w:asciiTheme="majorHAnsi" w:hAnsiTheme="majorHAnsi"/>
        </w:rPr>
        <w:t xml:space="preserve">čiastočne </w:t>
      </w:r>
      <w:r w:rsidR="00BD5FD5">
        <w:rPr>
          <w:rFonts w:asciiTheme="majorHAnsi" w:hAnsiTheme="majorHAnsi"/>
        </w:rPr>
        <w:t>s</w:t>
      </w:r>
      <w:r w:rsidR="002A2B29" w:rsidRPr="00A11FE0">
        <w:rPr>
          <w:rFonts w:asciiTheme="majorHAnsi" w:hAnsiTheme="majorHAnsi"/>
        </w:rPr>
        <w:t xml:space="preserve">pôsobené </w:t>
      </w:r>
      <w:r w:rsidR="00B45F2E" w:rsidRPr="00A11FE0">
        <w:rPr>
          <w:rFonts w:asciiTheme="majorHAnsi" w:hAnsiTheme="majorHAnsi"/>
        </w:rPr>
        <w:t xml:space="preserve">odchodom </w:t>
      </w:r>
      <w:r w:rsidR="002A2B29" w:rsidRPr="00A11FE0">
        <w:rPr>
          <w:rFonts w:asciiTheme="majorHAnsi" w:hAnsiTheme="majorHAnsi"/>
        </w:rPr>
        <w:t>mladých vedcov</w:t>
      </w:r>
      <w:r w:rsidR="0079255D">
        <w:rPr>
          <w:rFonts w:asciiTheme="majorHAnsi" w:hAnsiTheme="majorHAnsi"/>
        </w:rPr>
        <w:t xml:space="preserve"> </w:t>
      </w:r>
      <w:r w:rsidR="00B45F2E" w:rsidRPr="00A11FE0">
        <w:rPr>
          <w:rFonts w:asciiTheme="majorHAnsi" w:hAnsiTheme="majorHAnsi"/>
        </w:rPr>
        <w:t>do zahraničia</w:t>
      </w:r>
      <w:r w:rsidR="002A2B29" w:rsidRPr="00A11FE0">
        <w:rPr>
          <w:rFonts w:asciiTheme="majorHAnsi" w:hAnsiTheme="majorHAnsi"/>
        </w:rPr>
        <w:t xml:space="preserve"> </w:t>
      </w:r>
      <w:r w:rsidR="00BD5FD5">
        <w:rPr>
          <w:rFonts w:asciiTheme="majorHAnsi" w:hAnsiTheme="majorHAnsi"/>
        </w:rPr>
        <w:t>a</w:t>
      </w:r>
      <w:r w:rsidR="002A2B29" w:rsidRPr="00A11FE0">
        <w:rPr>
          <w:rFonts w:asciiTheme="majorHAnsi" w:hAnsiTheme="majorHAnsi"/>
        </w:rPr>
        <w:t> pracovným uplatnením vedcov mimo VaI</w:t>
      </w:r>
      <w:r w:rsidR="003C1AB8" w:rsidRPr="00A11FE0">
        <w:rPr>
          <w:rFonts w:asciiTheme="majorHAnsi" w:hAnsiTheme="majorHAnsi"/>
        </w:rPr>
        <w:t>.</w:t>
      </w:r>
      <w:r w:rsidR="004C3F62">
        <w:rPr>
          <w:rFonts w:asciiTheme="majorHAnsi" w:hAnsiTheme="majorHAnsi"/>
        </w:rPr>
        <w:t xml:space="preserve"> Hlavným </w:t>
      </w:r>
      <w:r w:rsidR="00AA2634">
        <w:rPr>
          <w:rFonts w:asciiTheme="majorHAnsi" w:hAnsiTheme="majorHAnsi"/>
        </w:rPr>
        <w:t xml:space="preserve">z dôvodov tohto vývoja </w:t>
      </w:r>
      <w:r w:rsidR="004C3F62">
        <w:rPr>
          <w:rFonts w:asciiTheme="majorHAnsi" w:hAnsiTheme="majorHAnsi"/>
        </w:rPr>
        <w:t>je nevyhovujúca štruktúra vzdelávania, nízka atraktivita prostredia</w:t>
      </w:r>
      <w:r w:rsidR="003F3179">
        <w:rPr>
          <w:rFonts w:asciiTheme="majorHAnsi" w:hAnsiTheme="majorHAnsi"/>
        </w:rPr>
        <w:t>,</w:t>
      </w:r>
      <w:r w:rsidR="004C3F62">
        <w:rPr>
          <w:rFonts w:asciiTheme="majorHAnsi" w:hAnsiTheme="majorHAnsi"/>
        </w:rPr>
        <w:t xml:space="preserve"> </w:t>
      </w:r>
      <w:r w:rsidR="00D654CA">
        <w:rPr>
          <w:rFonts w:asciiTheme="majorHAnsi" w:hAnsiTheme="majorHAnsi"/>
        </w:rPr>
        <w:t xml:space="preserve">a to </w:t>
      </w:r>
      <w:r w:rsidR="004C3F62">
        <w:rPr>
          <w:rFonts w:asciiTheme="majorHAnsi" w:hAnsiTheme="majorHAnsi"/>
        </w:rPr>
        <w:t>nie len vo vzťahu k adekvátnemu mzdovému ohodnoteniu</w:t>
      </w:r>
      <w:r w:rsidR="000504F5">
        <w:rPr>
          <w:rFonts w:asciiTheme="majorHAnsi" w:hAnsiTheme="majorHAnsi"/>
        </w:rPr>
        <w:t>,</w:t>
      </w:r>
      <w:r w:rsidR="004C3F62">
        <w:rPr>
          <w:rFonts w:asciiTheme="majorHAnsi" w:hAnsiTheme="majorHAnsi"/>
        </w:rPr>
        <w:t xml:space="preserve"> ale </w:t>
      </w:r>
      <w:r w:rsidR="00AA2634" w:rsidRPr="00AA2634">
        <w:rPr>
          <w:rFonts w:asciiTheme="majorHAnsi" w:hAnsiTheme="majorHAnsi"/>
        </w:rPr>
        <w:t>aj k podmienkam realizácie výskumných aktivít</w:t>
      </w:r>
      <w:r w:rsidR="00D654CA">
        <w:rPr>
          <w:rFonts w:asciiTheme="majorHAnsi" w:hAnsiTheme="majorHAnsi"/>
        </w:rPr>
        <w:t>,</w:t>
      </w:r>
      <w:r w:rsidR="00AA2634" w:rsidRPr="00AA2634">
        <w:rPr>
          <w:rFonts w:asciiTheme="majorHAnsi" w:hAnsiTheme="majorHAnsi"/>
        </w:rPr>
        <w:t xml:space="preserve"> najmä v porovnaní s možnosťami, ktoré poskytujú okolité krajiny a ich centrá a univerzity (Viedeň, Brno). Vplyv na tento stav má aj </w:t>
      </w:r>
      <w:r w:rsidR="004C3F62">
        <w:rPr>
          <w:rFonts w:asciiTheme="majorHAnsi" w:hAnsiTheme="majorHAnsi"/>
        </w:rPr>
        <w:t xml:space="preserve">absencia spoločnej akreditácie </w:t>
      </w:r>
      <w:r w:rsidR="00AA2634">
        <w:rPr>
          <w:rFonts w:asciiTheme="majorHAnsi" w:hAnsiTheme="majorHAnsi"/>
        </w:rPr>
        <w:t xml:space="preserve">VaV </w:t>
      </w:r>
      <w:r w:rsidR="004C3F62">
        <w:rPr>
          <w:rFonts w:asciiTheme="majorHAnsi" w:hAnsiTheme="majorHAnsi"/>
        </w:rPr>
        <w:t>inštitúcií, SAV a akademických inštitúcií. Na základe výsledkov akreditácie sa sprehľadní a zobjektivizuje systém inštitucionálnej podpory všetkých výskumných inštitúcií na Slovensku.</w:t>
      </w:r>
    </w:p>
    <w:p w:rsidR="00E47189" w:rsidRPr="00A11FE0" w:rsidRDefault="00E47189" w:rsidP="00E47189">
      <w:pPr>
        <w:rPr>
          <w:rFonts w:asciiTheme="majorHAnsi" w:hAnsiTheme="majorHAnsi"/>
          <w:b/>
        </w:rPr>
      </w:pPr>
      <w:r w:rsidRPr="00A11FE0">
        <w:rPr>
          <w:rFonts w:asciiTheme="majorHAnsi" w:hAnsiTheme="majorHAnsi"/>
          <w:b/>
        </w:rPr>
        <w:t>Medzinárodné zapojenie</w:t>
      </w:r>
    </w:p>
    <w:p w:rsidR="00B45F2E" w:rsidRPr="00A11FE0" w:rsidRDefault="00E47189" w:rsidP="00E47189">
      <w:pPr>
        <w:rPr>
          <w:rFonts w:asciiTheme="majorHAnsi" w:hAnsiTheme="majorHAnsi"/>
        </w:rPr>
      </w:pPr>
      <w:r w:rsidRPr="00A11FE0">
        <w:rPr>
          <w:rFonts w:asciiTheme="majorHAnsi" w:hAnsiTheme="majorHAnsi"/>
        </w:rPr>
        <w:t xml:space="preserve">Miera internacionalizácie výskumu </w:t>
      </w:r>
      <w:r w:rsidR="00BD5FD5">
        <w:rPr>
          <w:rFonts w:asciiTheme="majorHAnsi" w:hAnsiTheme="majorHAnsi"/>
        </w:rPr>
        <w:t>S</w:t>
      </w:r>
      <w:r w:rsidRPr="00A11FE0">
        <w:rPr>
          <w:rFonts w:asciiTheme="majorHAnsi" w:hAnsiTheme="majorHAnsi"/>
        </w:rPr>
        <w:t xml:space="preserve">R, meraná počtom medzinárodných vedeckých publikácií </w:t>
      </w:r>
      <w:r w:rsidR="00BD5FD5">
        <w:rPr>
          <w:rFonts w:asciiTheme="majorHAnsi" w:hAnsiTheme="majorHAnsi"/>
        </w:rPr>
        <w:t>as</w:t>
      </w:r>
      <w:r w:rsidRPr="00A11FE0">
        <w:rPr>
          <w:rFonts w:asciiTheme="majorHAnsi" w:hAnsiTheme="majorHAnsi"/>
        </w:rPr>
        <w:t xml:space="preserve">poň </w:t>
      </w:r>
      <w:r w:rsidR="00BD5FD5">
        <w:rPr>
          <w:rFonts w:asciiTheme="majorHAnsi" w:hAnsiTheme="majorHAnsi"/>
        </w:rPr>
        <w:t>s</w:t>
      </w:r>
      <w:r w:rsidR="004A36C0" w:rsidRPr="00A11FE0">
        <w:rPr>
          <w:rFonts w:asciiTheme="majorHAnsi" w:hAnsiTheme="majorHAnsi"/>
        </w:rPr>
        <w:t> </w:t>
      </w:r>
      <w:r w:rsidRPr="00A11FE0">
        <w:rPr>
          <w:rFonts w:asciiTheme="majorHAnsi" w:hAnsiTheme="majorHAnsi"/>
        </w:rPr>
        <w:t>jedným</w:t>
      </w:r>
      <w:r w:rsidR="004A36C0"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poluautorom mimo EÚ </w:t>
      </w:r>
      <w:r w:rsidR="00BD5FD5">
        <w:rPr>
          <w:rFonts w:asciiTheme="majorHAnsi" w:hAnsiTheme="majorHAnsi"/>
        </w:rPr>
        <w:t>a</w:t>
      </w:r>
      <w:r w:rsidR="00A41272">
        <w:rPr>
          <w:rFonts w:asciiTheme="majorHAnsi" w:hAnsiTheme="majorHAnsi"/>
        </w:rPr>
        <w:t> </w:t>
      </w:r>
      <w:r w:rsidRPr="00A11FE0">
        <w:rPr>
          <w:rFonts w:asciiTheme="majorHAnsi" w:hAnsiTheme="majorHAnsi"/>
        </w:rPr>
        <w:t>počtom</w:t>
      </w:r>
      <w:r w:rsidR="00A41272">
        <w:rPr>
          <w:rFonts w:asciiTheme="majorHAnsi" w:hAnsiTheme="majorHAnsi"/>
        </w:rPr>
        <w:t xml:space="preserve"> </w:t>
      </w:r>
      <w:r w:rsidRPr="00A11FE0">
        <w:rPr>
          <w:rFonts w:asciiTheme="majorHAnsi" w:hAnsiTheme="majorHAnsi"/>
        </w:rPr>
        <w:t>doktorandov zo štátov mimo EÚ</w:t>
      </w:r>
      <w:r w:rsidR="001D36FB" w:rsidRPr="00A11FE0">
        <w:rPr>
          <w:rFonts w:asciiTheme="majorHAnsi" w:hAnsiTheme="majorHAnsi"/>
        </w:rPr>
        <w:t>,</w:t>
      </w:r>
      <w:r w:rsidRPr="00A11FE0">
        <w:rPr>
          <w:rFonts w:asciiTheme="majorHAnsi" w:hAnsiTheme="majorHAnsi"/>
        </w:rPr>
        <w:t xml:space="preserve"> je veľmi nízka. Na základe týchto ukazovateľov </w:t>
      </w:r>
      <w:r w:rsidR="003C1AB8" w:rsidRPr="00A11FE0">
        <w:rPr>
          <w:rFonts w:asciiTheme="majorHAnsi" w:hAnsiTheme="majorHAnsi"/>
        </w:rPr>
        <w:t xml:space="preserve">je možné </w:t>
      </w:r>
      <w:r w:rsidR="00BD5FD5">
        <w:rPr>
          <w:rFonts w:asciiTheme="majorHAnsi" w:hAnsiTheme="majorHAnsi"/>
        </w:rPr>
        <w:t>k</w:t>
      </w:r>
      <w:r w:rsidRPr="00A11FE0">
        <w:rPr>
          <w:rFonts w:asciiTheme="majorHAnsi" w:hAnsiTheme="majorHAnsi"/>
        </w:rPr>
        <w:t xml:space="preserve">onštatovať značnú uzavretosť </w:t>
      </w:r>
      <w:r w:rsidR="00AA2634">
        <w:rPr>
          <w:rFonts w:asciiTheme="majorHAnsi" w:hAnsiTheme="majorHAnsi"/>
        </w:rPr>
        <w:t>s</w:t>
      </w:r>
      <w:r w:rsidR="00AA2634" w:rsidRPr="00A11FE0">
        <w:rPr>
          <w:rFonts w:asciiTheme="majorHAnsi" w:hAnsiTheme="majorHAnsi"/>
        </w:rPr>
        <w:t>lovensk</w:t>
      </w:r>
      <w:r w:rsidR="00AA2634">
        <w:rPr>
          <w:rFonts w:asciiTheme="majorHAnsi" w:hAnsiTheme="majorHAnsi"/>
        </w:rPr>
        <w:t>ého</w:t>
      </w:r>
      <w:r w:rsidR="00AA2634" w:rsidRPr="00A11FE0">
        <w:rPr>
          <w:rFonts w:asciiTheme="majorHAnsi" w:hAnsiTheme="majorHAnsi"/>
        </w:rPr>
        <w:t xml:space="preserve"> </w:t>
      </w:r>
      <w:r w:rsidR="00AA2634">
        <w:rPr>
          <w:rFonts w:asciiTheme="majorHAnsi" w:hAnsiTheme="majorHAnsi"/>
        </w:rPr>
        <w:t xml:space="preserve">VaV </w:t>
      </w:r>
      <w:r w:rsidR="00BD5FD5">
        <w:rPr>
          <w:rFonts w:asciiTheme="majorHAnsi" w:hAnsiTheme="majorHAnsi"/>
        </w:rPr>
        <w:t>a </w:t>
      </w:r>
      <w:r w:rsidRPr="00A11FE0">
        <w:rPr>
          <w:rFonts w:asciiTheme="majorHAnsi" w:hAnsiTheme="majorHAnsi"/>
        </w:rPr>
        <w:t xml:space="preserve">nízku mieru zapojenia do medzinárodného výskumného </w:t>
      </w:r>
      <w:r w:rsidR="00BD5FD5">
        <w:rPr>
          <w:rFonts w:asciiTheme="majorHAnsi" w:hAnsiTheme="majorHAnsi"/>
        </w:rPr>
        <w:t>k</w:t>
      </w:r>
      <w:r w:rsidRPr="00A11FE0">
        <w:rPr>
          <w:rFonts w:asciiTheme="majorHAnsi" w:hAnsiTheme="majorHAnsi"/>
        </w:rPr>
        <w:t>ontextu</w:t>
      </w:r>
      <w:r w:rsidR="00B45F2E" w:rsidRPr="00A11FE0">
        <w:rPr>
          <w:rFonts w:asciiTheme="majorHAnsi" w:hAnsiTheme="majorHAnsi"/>
        </w:rPr>
        <w:t>.</w:t>
      </w:r>
    </w:p>
    <w:p w:rsidR="003C1AB8" w:rsidRDefault="00BD5FD5" w:rsidP="00E47189">
      <w:pPr>
        <w:rPr>
          <w:rFonts w:asciiTheme="majorHAnsi" w:hAnsiTheme="majorHAnsi"/>
        </w:rPr>
      </w:pPr>
      <w:r>
        <w:rPr>
          <w:rFonts w:asciiTheme="majorHAnsi" w:hAnsiTheme="majorHAnsi"/>
        </w:rPr>
        <w:t>S</w:t>
      </w:r>
      <w:r w:rsidR="00E47189" w:rsidRPr="00A11FE0">
        <w:rPr>
          <w:rFonts w:asciiTheme="majorHAnsi" w:hAnsiTheme="majorHAnsi"/>
        </w:rPr>
        <w:t xml:space="preserve">R patrí </w:t>
      </w:r>
      <w:r>
        <w:rPr>
          <w:rFonts w:asciiTheme="majorHAnsi" w:hAnsiTheme="majorHAnsi"/>
        </w:rPr>
        <w:t>k</w:t>
      </w:r>
      <w:r w:rsidR="00E47189" w:rsidRPr="00A11FE0">
        <w:rPr>
          <w:rFonts w:asciiTheme="majorHAnsi" w:hAnsiTheme="majorHAnsi"/>
        </w:rPr>
        <w:t xml:space="preserve"> najmenej </w:t>
      </w:r>
      <w:r>
        <w:rPr>
          <w:rFonts w:asciiTheme="majorHAnsi" w:hAnsiTheme="majorHAnsi"/>
        </w:rPr>
        <w:t>ak</w:t>
      </w:r>
      <w:r w:rsidR="00E47189" w:rsidRPr="00A11FE0">
        <w:rPr>
          <w:rFonts w:asciiTheme="majorHAnsi" w:hAnsiTheme="majorHAnsi"/>
        </w:rPr>
        <w:t>tívnym partnerom v medzinárodných výskumných projektoch EÚ</w:t>
      </w:r>
      <w:r w:rsidR="00E47189" w:rsidRPr="00A11FE0">
        <w:rPr>
          <w:rStyle w:val="Odkaznapoznmkupodiarou"/>
          <w:rFonts w:asciiTheme="majorHAnsi" w:hAnsiTheme="majorHAnsi"/>
        </w:rPr>
        <w:footnoteReference w:id="19"/>
      </w:r>
      <w:r w:rsidR="00E47189" w:rsidRPr="00A11FE0">
        <w:rPr>
          <w:rFonts w:asciiTheme="majorHAnsi" w:hAnsiTheme="majorHAnsi"/>
        </w:rPr>
        <w:t xml:space="preserve">. </w:t>
      </w:r>
      <w:r w:rsidR="003F3179">
        <w:rPr>
          <w:rFonts w:asciiTheme="majorHAnsi" w:hAnsiTheme="majorHAnsi"/>
        </w:rPr>
        <w:t>Medzi hlavné dôvody patrí n</w:t>
      </w:r>
      <w:r w:rsidR="00AF293A" w:rsidRPr="00A11FE0">
        <w:rPr>
          <w:rFonts w:asciiTheme="majorHAnsi" w:hAnsiTheme="majorHAnsi"/>
        </w:rPr>
        <w:t xml:space="preserve">edostatočná </w:t>
      </w:r>
      <w:r>
        <w:rPr>
          <w:rFonts w:asciiTheme="majorHAnsi" w:hAnsiTheme="majorHAnsi"/>
        </w:rPr>
        <w:t>s</w:t>
      </w:r>
      <w:r w:rsidR="00AF293A" w:rsidRPr="00A11FE0">
        <w:rPr>
          <w:rFonts w:asciiTheme="majorHAnsi" w:hAnsiTheme="majorHAnsi"/>
        </w:rPr>
        <w:t xml:space="preserve">ynergia </w:t>
      </w:r>
      <w:r>
        <w:rPr>
          <w:rFonts w:asciiTheme="majorHAnsi" w:hAnsiTheme="majorHAnsi"/>
        </w:rPr>
        <w:t>a k</w:t>
      </w:r>
      <w:r w:rsidR="00AF293A" w:rsidRPr="00A11FE0">
        <w:rPr>
          <w:rFonts w:asciiTheme="majorHAnsi" w:hAnsiTheme="majorHAnsi"/>
        </w:rPr>
        <w:t xml:space="preserve">omplementarita existujúcich národných </w:t>
      </w:r>
      <w:r>
        <w:rPr>
          <w:rFonts w:asciiTheme="majorHAnsi" w:hAnsiTheme="majorHAnsi"/>
        </w:rPr>
        <w:t>a</w:t>
      </w:r>
      <w:r w:rsidR="00A41272">
        <w:rPr>
          <w:rFonts w:asciiTheme="majorHAnsi" w:hAnsiTheme="majorHAnsi"/>
        </w:rPr>
        <w:t> </w:t>
      </w:r>
      <w:r w:rsidR="00AF293A" w:rsidRPr="00A11FE0">
        <w:rPr>
          <w:rFonts w:asciiTheme="majorHAnsi" w:hAnsiTheme="majorHAnsi"/>
        </w:rPr>
        <w:t>medzinárodných</w:t>
      </w:r>
      <w:r w:rsidR="00A41272">
        <w:rPr>
          <w:rFonts w:asciiTheme="majorHAnsi" w:hAnsiTheme="majorHAnsi"/>
        </w:rPr>
        <w:t xml:space="preserve"> </w:t>
      </w:r>
      <w:r w:rsidR="00AF293A" w:rsidRPr="00A11FE0">
        <w:rPr>
          <w:rFonts w:asciiTheme="majorHAnsi" w:hAnsiTheme="majorHAnsi"/>
        </w:rPr>
        <w:t>podporných nástrojov, c</w:t>
      </w:r>
      <w:r w:rsidR="00E47189" w:rsidRPr="00A11FE0">
        <w:rPr>
          <w:rFonts w:asciiTheme="majorHAnsi" w:hAnsiTheme="majorHAnsi"/>
        </w:rPr>
        <w:t xml:space="preserve">hýbajúca národná </w:t>
      </w:r>
      <w:r w:rsidR="00185C71" w:rsidRPr="00A11FE0">
        <w:rPr>
          <w:rFonts w:asciiTheme="majorHAnsi" w:hAnsiTheme="majorHAnsi"/>
        </w:rPr>
        <w:t>cestovná mapa</w:t>
      </w:r>
      <w:r w:rsidR="00E47189" w:rsidRPr="00A11FE0">
        <w:rPr>
          <w:rFonts w:asciiTheme="majorHAnsi" w:hAnsiTheme="majorHAnsi"/>
        </w:rPr>
        <w:t xml:space="preserve"> na budovanie výskumných infraštruktúr</w:t>
      </w:r>
      <w:r w:rsidR="003F3179">
        <w:rPr>
          <w:rFonts w:asciiTheme="majorHAnsi" w:hAnsiTheme="majorHAnsi"/>
        </w:rPr>
        <w:t xml:space="preserve"> a </w:t>
      </w:r>
      <w:r>
        <w:rPr>
          <w:rFonts w:asciiTheme="majorHAnsi" w:hAnsiTheme="majorHAnsi"/>
        </w:rPr>
        <w:t>a</w:t>
      </w:r>
      <w:r w:rsidR="00E47189" w:rsidRPr="00A11FE0">
        <w:rPr>
          <w:rFonts w:asciiTheme="majorHAnsi" w:hAnsiTheme="majorHAnsi"/>
        </w:rPr>
        <w:t xml:space="preserve">bsencia </w:t>
      </w:r>
      <w:r w:rsidR="008C1228" w:rsidRPr="00A11FE0">
        <w:rPr>
          <w:rFonts w:asciiTheme="majorHAnsi" w:hAnsiTheme="majorHAnsi"/>
        </w:rPr>
        <w:t xml:space="preserve">národnej </w:t>
      </w:r>
      <w:r w:rsidR="00E47189" w:rsidRPr="00A11FE0">
        <w:rPr>
          <w:rFonts w:asciiTheme="majorHAnsi" w:hAnsiTheme="majorHAnsi"/>
        </w:rPr>
        <w:t>podpory</w:t>
      </w:r>
      <w:r w:rsidR="002F31A3">
        <w:rPr>
          <w:rFonts w:asciiTheme="majorHAnsi" w:hAnsiTheme="majorHAnsi"/>
        </w:rPr>
        <w:t>.</w:t>
      </w:r>
      <w:r w:rsidR="008A2A63">
        <w:rPr>
          <w:rFonts w:asciiTheme="majorHAnsi" w:hAnsiTheme="majorHAnsi"/>
        </w:rPr>
        <w:t xml:space="preserve"> Zriadením styčnej kancelárie v Bruseli (1. 1. 2014) sa očakáva zvýšená miera </w:t>
      </w:r>
      <w:r w:rsidR="00E47189" w:rsidRPr="00A11FE0">
        <w:rPr>
          <w:rFonts w:asciiTheme="majorHAnsi" w:hAnsiTheme="majorHAnsi"/>
        </w:rPr>
        <w:t>podpor</w:t>
      </w:r>
      <w:r w:rsidR="008A2A63">
        <w:rPr>
          <w:rFonts w:asciiTheme="majorHAnsi" w:hAnsiTheme="majorHAnsi"/>
        </w:rPr>
        <w:t>y</w:t>
      </w:r>
      <w:r w:rsidR="00E47189" w:rsidRPr="00A11FE0">
        <w:rPr>
          <w:rFonts w:asciiTheme="majorHAnsi" w:hAnsiTheme="majorHAnsi"/>
        </w:rPr>
        <w:t xml:space="preserve"> zapájania </w:t>
      </w:r>
      <w:r>
        <w:rPr>
          <w:rFonts w:asciiTheme="majorHAnsi" w:hAnsiTheme="majorHAnsi"/>
        </w:rPr>
        <w:t>S</w:t>
      </w:r>
      <w:r w:rsidR="00E47189" w:rsidRPr="00A11FE0">
        <w:rPr>
          <w:rFonts w:asciiTheme="majorHAnsi" w:hAnsiTheme="majorHAnsi"/>
        </w:rPr>
        <w:t xml:space="preserve">R do rámcových programov </w:t>
      </w:r>
      <w:r>
        <w:rPr>
          <w:rFonts w:asciiTheme="majorHAnsi" w:hAnsiTheme="majorHAnsi"/>
        </w:rPr>
        <w:t>a </w:t>
      </w:r>
      <w:r w:rsidR="00E47189" w:rsidRPr="00A11FE0">
        <w:rPr>
          <w:rFonts w:asciiTheme="majorHAnsi" w:hAnsiTheme="majorHAnsi"/>
        </w:rPr>
        <w:t>ďalších iniciatív EÚ v</w:t>
      </w:r>
      <w:r w:rsidR="008A2A63">
        <w:rPr>
          <w:rFonts w:asciiTheme="majorHAnsi" w:hAnsiTheme="majorHAnsi"/>
        </w:rPr>
        <w:t> </w:t>
      </w:r>
      <w:r w:rsidR="00E47189" w:rsidRPr="00A11FE0">
        <w:rPr>
          <w:rFonts w:asciiTheme="majorHAnsi" w:hAnsiTheme="majorHAnsi"/>
        </w:rPr>
        <w:t>Bruseli</w:t>
      </w:r>
      <w:r w:rsidR="008A2A63">
        <w:rPr>
          <w:rFonts w:asciiTheme="majorHAnsi" w:hAnsiTheme="majorHAnsi"/>
        </w:rPr>
        <w:t>, vyššia profesionalizácia VaV štruktúr</w:t>
      </w:r>
      <w:r w:rsidR="00E47189" w:rsidRPr="00A11FE0">
        <w:rPr>
          <w:rFonts w:asciiTheme="majorHAnsi" w:hAnsiTheme="majorHAnsi"/>
        </w:rPr>
        <w:t xml:space="preserve"> </w:t>
      </w:r>
      <w:r>
        <w:rPr>
          <w:rFonts w:asciiTheme="majorHAnsi" w:hAnsiTheme="majorHAnsi"/>
        </w:rPr>
        <w:t>a ak</w:t>
      </w:r>
      <w:r w:rsidR="00E47189" w:rsidRPr="00A11FE0">
        <w:rPr>
          <w:rFonts w:asciiTheme="majorHAnsi" w:hAnsiTheme="majorHAnsi"/>
        </w:rPr>
        <w:t xml:space="preserve">tívnejšie zapojenie </w:t>
      </w:r>
      <w:r>
        <w:rPr>
          <w:rFonts w:asciiTheme="majorHAnsi" w:hAnsiTheme="majorHAnsi"/>
        </w:rPr>
        <w:t>s</w:t>
      </w:r>
      <w:r w:rsidR="00E47189" w:rsidRPr="00A11FE0">
        <w:rPr>
          <w:rFonts w:asciiTheme="majorHAnsi" w:hAnsiTheme="majorHAnsi"/>
        </w:rPr>
        <w:t>a do</w:t>
      </w:r>
      <w:r w:rsidR="00AF293A" w:rsidRPr="00A11FE0">
        <w:rPr>
          <w:rFonts w:asciiTheme="majorHAnsi" w:hAnsiTheme="majorHAnsi"/>
        </w:rPr>
        <w:t xml:space="preserve"> projektov, </w:t>
      </w:r>
      <w:r>
        <w:rPr>
          <w:rFonts w:asciiTheme="majorHAnsi" w:hAnsiTheme="majorHAnsi"/>
        </w:rPr>
        <w:t>ak</w:t>
      </w:r>
      <w:r w:rsidR="00AF293A" w:rsidRPr="00A11FE0">
        <w:rPr>
          <w:rFonts w:asciiTheme="majorHAnsi" w:hAnsiTheme="majorHAnsi"/>
        </w:rPr>
        <w:t xml:space="preserve">tivít </w:t>
      </w:r>
      <w:r>
        <w:rPr>
          <w:rFonts w:asciiTheme="majorHAnsi" w:hAnsiTheme="majorHAnsi"/>
        </w:rPr>
        <w:t>a </w:t>
      </w:r>
      <w:r w:rsidR="00AF293A" w:rsidRPr="00A11FE0">
        <w:rPr>
          <w:rFonts w:asciiTheme="majorHAnsi" w:hAnsiTheme="majorHAnsi"/>
        </w:rPr>
        <w:t xml:space="preserve">iniciatív </w:t>
      </w:r>
      <w:r w:rsidR="00B04DDE">
        <w:rPr>
          <w:rFonts w:asciiTheme="majorHAnsi" w:hAnsiTheme="majorHAnsi"/>
        </w:rPr>
        <w:t>ERA</w:t>
      </w:r>
      <w:r w:rsidR="00AF293A" w:rsidRPr="00A11FE0">
        <w:rPr>
          <w:rFonts w:asciiTheme="majorHAnsi" w:hAnsiTheme="majorHAnsi"/>
        </w:rPr>
        <w:t>.</w:t>
      </w:r>
    </w:p>
    <w:p w:rsidR="00AA2634" w:rsidRPr="00A11FE0" w:rsidRDefault="00AA2634" w:rsidP="00E47189">
      <w:pPr>
        <w:rPr>
          <w:rFonts w:asciiTheme="majorHAnsi" w:hAnsiTheme="majorHAnsi"/>
        </w:rPr>
      </w:pPr>
      <w:r>
        <w:rPr>
          <w:rFonts w:asciiTheme="majorHAnsi" w:hAnsiTheme="majorHAnsi"/>
        </w:rPr>
        <w:t>Pre efektívnu implementáciu inovácií</w:t>
      </w:r>
      <w:r w:rsidR="002E1527">
        <w:rPr>
          <w:rFonts w:asciiTheme="majorHAnsi" w:hAnsiTheme="majorHAnsi"/>
        </w:rPr>
        <w:t>,</w:t>
      </w:r>
      <w:r>
        <w:rPr>
          <w:rFonts w:asciiTheme="majorHAnsi" w:hAnsiTheme="majorHAnsi"/>
        </w:rPr>
        <w:t xml:space="preserve"> ako aj zohľadnenie celospoločenských potrieb</w:t>
      </w:r>
      <w:r w:rsidR="002E1527">
        <w:rPr>
          <w:rFonts w:asciiTheme="majorHAnsi" w:hAnsiTheme="majorHAnsi"/>
        </w:rPr>
        <w:t>,</w:t>
      </w:r>
      <w:r>
        <w:rPr>
          <w:rFonts w:asciiTheme="majorHAnsi" w:hAnsiTheme="majorHAnsi"/>
        </w:rPr>
        <w:t xml:space="preserve"> je nevyhnutné zameranie verejného obstarávania (ďalej len „VO“) na podporu inovatívnych riešení, produktov a služieb, čím sa zabezpečia aj synergie s európskymi programami. Konkrétne využitie týchto nových nástrojov bude zohľadnené na implementačnej úrovni v relevantných programoch</w:t>
      </w:r>
      <w:r w:rsidR="002E1527">
        <w:rPr>
          <w:rFonts w:asciiTheme="majorHAnsi" w:hAnsiTheme="majorHAnsi"/>
        </w:rPr>
        <w:t xml:space="preserve"> SR</w:t>
      </w:r>
      <w:r>
        <w:rPr>
          <w:rFonts w:asciiTheme="majorHAnsi" w:hAnsiTheme="majorHAnsi"/>
        </w:rPr>
        <w:t>.</w:t>
      </w:r>
    </w:p>
    <w:p w:rsidR="00E47189" w:rsidRPr="00A11FE0" w:rsidRDefault="004A36C0" w:rsidP="00377D51">
      <w:pPr>
        <w:pStyle w:val="Nadpis5"/>
        <w:numPr>
          <w:ilvl w:val="4"/>
          <w:numId w:val="2"/>
        </w:numPr>
        <w:ind w:left="1292"/>
      </w:pPr>
      <w:r w:rsidRPr="00A11FE0">
        <w:t>P</w:t>
      </w:r>
      <w:r w:rsidR="009130E0" w:rsidRPr="00A11FE0">
        <w:t>odpora investovania</w:t>
      </w:r>
      <w:r w:rsidR="00AF293A" w:rsidRPr="00A11FE0">
        <w:t xml:space="preserve"> do</w:t>
      </w:r>
      <w:r w:rsidR="009130E0" w:rsidRPr="00A11FE0">
        <w:t xml:space="preserve"> </w:t>
      </w:r>
      <w:r w:rsidR="000C6A39">
        <w:t>výskumu</w:t>
      </w:r>
      <w:r w:rsidR="006E38FD">
        <w:t>, vývoja</w:t>
      </w:r>
      <w:r w:rsidR="000C6A39">
        <w:t xml:space="preserve"> </w:t>
      </w:r>
      <w:r w:rsidR="00BD5FD5">
        <w:t>a </w:t>
      </w:r>
      <w:r w:rsidR="009130E0" w:rsidRPr="00A11FE0">
        <w:t xml:space="preserve">inovácií </w:t>
      </w:r>
      <w:r w:rsidR="00E47189" w:rsidRPr="00A11FE0">
        <w:t>prostredníctvom inteligentnej špecializácie</w:t>
      </w:r>
    </w:p>
    <w:p w:rsidR="00DD5585" w:rsidRPr="00A11FE0" w:rsidRDefault="0043329C" w:rsidP="00DD5585">
      <w:pPr>
        <w:rPr>
          <w:rFonts w:asciiTheme="majorHAnsi" w:hAnsiTheme="majorHAnsi"/>
        </w:rPr>
      </w:pPr>
      <w:r w:rsidRPr="00A11FE0">
        <w:rPr>
          <w:rFonts w:asciiTheme="majorHAnsi" w:hAnsiTheme="majorHAnsi"/>
        </w:rPr>
        <w:t>P</w:t>
      </w:r>
      <w:r w:rsidR="00DD5585" w:rsidRPr="00A11FE0">
        <w:rPr>
          <w:rFonts w:asciiTheme="majorHAnsi" w:hAnsiTheme="majorHAnsi"/>
        </w:rPr>
        <w:t>riemyselné investície do V</w:t>
      </w:r>
      <w:r w:rsidR="00277E2D">
        <w:rPr>
          <w:rFonts w:asciiTheme="majorHAnsi" w:hAnsiTheme="majorHAnsi"/>
        </w:rPr>
        <w:t>V</w:t>
      </w:r>
      <w:r w:rsidR="001D36FB" w:rsidRPr="00A11FE0">
        <w:rPr>
          <w:rFonts w:asciiTheme="majorHAnsi" w:hAnsiTheme="majorHAnsi"/>
        </w:rPr>
        <w:t>a</w:t>
      </w:r>
      <w:r w:rsidR="00277E2D">
        <w:rPr>
          <w:rFonts w:asciiTheme="majorHAnsi" w:hAnsiTheme="majorHAnsi"/>
        </w:rPr>
        <w:t>I</w:t>
      </w:r>
      <w:r w:rsidR="00DD5585" w:rsidRPr="00A11FE0">
        <w:rPr>
          <w:rFonts w:asciiTheme="majorHAnsi" w:hAnsiTheme="majorHAnsi"/>
        </w:rPr>
        <w:t xml:space="preserve"> pokrývajú len približne 9</w:t>
      </w:r>
      <w:r w:rsidR="004A36C0" w:rsidRPr="00A11FE0">
        <w:rPr>
          <w:rFonts w:asciiTheme="majorHAnsi" w:hAnsiTheme="majorHAnsi"/>
        </w:rPr>
        <w:t xml:space="preserve"> </w:t>
      </w:r>
      <w:r w:rsidR="00DD5585" w:rsidRPr="00A11FE0">
        <w:rPr>
          <w:rFonts w:asciiTheme="majorHAnsi" w:hAnsiTheme="majorHAnsi"/>
        </w:rPr>
        <w:t>% verejného výskumu</w:t>
      </w:r>
      <w:r w:rsidR="0095292B" w:rsidRPr="00A11FE0">
        <w:rPr>
          <w:rFonts w:asciiTheme="majorHAnsi" w:hAnsiTheme="majorHAnsi"/>
        </w:rPr>
        <w:t xml:space="preserve"> </w:t>
      </w:r>
      <w:r w:rsidR="00BD5FD5">
        <w:rPr>
          <w:rFonts w:asciiTheme="majorHAnsi" w:hAnsiTheme="majorHAnsi"/>
        </w:rPr>
        <w:t>a s</w:t>
      </w:r>
      <w:r w:rsidR="0095292B" w:rsidRPr="00A11FE0">
        <w:rPr>
          <w:rFonts w:asciiTheme="majorHAnsi" w:hAnsiTheme="majorHAnsi"/>
        </w:rPr>
        <w:t>ú odrazom nízkeho dopytu po inováciách</w:t>
      </w:r>
      <w:r w:rsidR="00DD5585" w:rsidRPr="00A11FE0">
        <w:rPr>
          <w:rFonts w:asciiTheme="majorHAnsi" w:hAnsiTheme="majorHAnsi"/>
        </w:rPr>
        <w:t>.</w:t>
      </w:r>
      <w:r w:rsidR="0095292B" w:rsidRPr="00A11FE0">
        <w:rPr>
          <w:rFonts w:asciiTheme="majorHAnsi" w:hAnsiTheme="majorHAnsi"/>
        </w:rPr>
        <w:t xml:space="preserve"> </w:t>
      </w:r>
      <w:r w:rsidR="00DD5585" w:rsidRPr="00A11FE0">
        <w:rPr>
          <w:rFonts w:asciiTheme="majorHAnsi" w:hAnsiTheme="majorHAnsi"/>
        </w:rPr>
        <w:t xml:space="preserve">Jeho nízka úroveň, </w:t>
      </w:r>
      <w:r w:rsidR="00BD5FD5">
        <w:rPr>
          <w:rFonts w:asciiTheme="majorHAnsi" w:hAnsiTheme="majorHAnsi"/>
        </w:rPr>
        <w:t>ak</w:t>
      </w:r>
      <w:r w:rsidR="00DD5585" w:rsidRPr="00A11FE0">
        <w:rPr>
          <w:rFonts w:asciiTheme="majorHAnsi" w:hAnsiTheme="majorHAnsi"/>
        </w:rPr>
        <w:t>o dôsledok dezintegrácie trhu v</w:t>
      </w:r>
      <w:r w:rsidRPr="00A11FE0">
        <w:rPr>
          <w:rFonts w:asciiTheme="majorHAnsi" w:hAnsiTheme="majorHAnsi"/>
        </w:rPr>
        <w:t> </w:t>
      </w:r>
      <w:r w:rsidR="00BD5FD5">
        <w:rPr>
          <w:rFonts w:asciiTheme="majorHAnsi" w:hAnsiTheme="majorHAnsi"/>
        </w:rPr>
        <w:t>S</w:t>
      </w:r>
      <w:r w:rsidR="00DD5585" w:rsidRPr="00A11FE0">
        <w:rPr>
          <w:rFonts w:asciiTheme="majorHAnsi" w:hAnsiTheme="majorHAnsi"/>
        </w:rPr>
        <w:t>R</w:t>
      </w:r>
      <w:r w:rsidRPr="00A11FE0">
        <w:rPr>
          <w:rFonts w:asciiTheme="majorHAnsi" w:hAnsiTheme="majorHAnsi"/>
        </w:rPr>
        <w:t>,</w:t>
      </w:r>
      <w:r w:rsidR="00DD5585" w:rsidRPr="00A11FE0">
        <w:rPr>
          <w:rFonts w:asciiTheme="majorHAnsi" w:hAnsiTheme="majorHAnsi"/>
        </w:rPr>
        <w:t xml:space="preserve"> je jednou z hlavných príčin nízkej inovačnej výkonnosti v </w:t>
      </w:r>
      <w:r w:rsidR="00BD5FD5">
        <w:rPr>
          <w:rFonts w:asciiTheme="majorHAnsi" w:hAnsiTheme="majorHAnsi"/>
        </w:rPr>
        <w:t>s</w:t>
      </w:r>
      <w:r w:rsidR="00DD5585" w:rsidRPr="00A11FE0">
        <w:rPr>
          <w:rFonts w:asciiTheme="majorHAnsi" w:hAnsiTheme="majorHAnsi"/>
        </w:rPr>
        <w:t>účasnosti.</w:t>
      </w:r>
    </w:p>
    <w:p w:rsidR="006E38FD" w:rsidRPr="006E38FD" w:rsidRDefault="00DD5585" w:rsidP="006E38FD">
      <w:pPr>
        <w:rPr>
          <w:rFonts w:asciiTheme="majorHAnsi" w:hAnsiTheme="majorHAnsi"/>
        </w:rPr>
      </w:pPr>
      <w:r w:rsidRPr="00A11FE0">
        <w:rPr>
          <w:rFonts w:asciiTheme="majorHAnsi" w:hAnsiTheme="majorHAnsi"/>
        </w:rPr>
        <w:t xml:space="preserve">Podpora výskumu </w:t>
      </w:r>
      <w:r w:rsidR="00BD5FD5">
        <w:rPr>
          <w:rFonts w:asciiTheme="majorHAnsi" w:hAnsiTheme="majorHAnsi"/>
        </w:rPr>
        <w:t>a ak</w:t>
      </w:r>
      <w:r w:rsidR="004A36C0" w:rsidRPr="00A11FE0">
        <w:rPr>
          <w:rFonts w:asciiTheme="majorHAnsi" w:hAnsiTheme="majorHAnsi"/>
        </w:rPr>
        <w:t xml:space="preserve">tívnej </w:t>
      </w:r>
      <w:r w:rsidR="00BD5FD5">
        <w:rPr>
          <w:rFonts w:asciiTheme="majorHAnsi" w:hAnsiTheme="majorHAnsi"/>
        </w:rPr>
        <w:t>s</w:t>
      </w:r>
      <w:r w:rsidR="004A36C0" w:rsidRPr="00A11FE0">
        <w:rPr>
          <w:rFonts w:asciiTheme="majorHAnsi" w:hAnsiTheme="majorHAnsi"/>
        </w:rPr>
        <w:t>polupráce</w:t>
      </w:r>
      <w:r w:rsidRPr="00A11FE0">
        <w:rPr>
          <w:rFonts w:asciiTheme="majorHAnsi" w:hAnsiTheme="majorHAnsi"/>
        </w:rPr>
        <w:t xml:space="preserve"> medzi podnikmi, </w:t>
      </w:r>
      <w:r w:rsidR="00E02489">
        <w:rPr>
          <w:rFonts w:asciiTheme="majorHAnsi" w:hAnsiTheme="majorHAnsi"/>
        </w:rPr>
        <w:t>VaV</w:t>
      </w:r>
      <w:r w:rsidRPr="00A11FE0">
        <w:rPr>
          <w:rFonts w:asciiTheme="majorHAnsi" w:hAnsiTheme="majorHAnsi"/>
        </w:rPr>
        <w:t xml:space="preserve"> centrami </w:t>
      </w:r>
      <w:r w:rsidR="00BD5FD5">
        <w:rPr>
          <w:rFonts w:asciiTheme="majorHAnsi" w:hAnsiTheme="majorHAnsi"/>
        </w:rPr>
        <w:t>a </w:t>
      </w:r>
      <w:r w:rsidRPr="00A11FE0">
        <w:rPr>
          <w:rFonts w:asciiTheme="majorHAnsi" w:hAnsiTheme="majorHAnsi"/>
        </w:rPr>
        <w:t>vzdel</w:t>
      </w:r>
      <w:r w:rsidR="004A36C0" w:rsidRPr="00A11FE0">
        <w:rPr>
          <w:rFonts w:asciiTheme="majorHAnsi" w:hAnsiTheme="majorHAnsi"/>
        </w:rPr>
        <w:t>áva</w:t>
      </w:r>
      <w:r w:rsidRPr="00A11FE0">
        <w:rPr>
          <w:rFonts w:asciiTheme="majorHAnsi" w:hAnsiTheme="majorHAnsi"/>
        </w:rPr>
        <w:t>ním</w:t>
      </w:r>
      <w:r w:rsidR="00285918">
        <w:rPr>
          <w:rFonts w:asciiTheme="majorHAnsi" w:hAnsiTheme="majorHAnsi"/>
        </w:rPr>
        <w:t xml:space="preserve"> </w:t>
      </w:r>
      <w:r w:rsidR="0049781A" w:rsidRPr="00A11FE0">
        <w:rPr>
          <w:rFonts w:asciiTheme="majorHAnsi" w:hAnsiTheme="majorHAnsi"/>
        </w:rPr>
        <w:t xml:space="preserve">by mala </w:t>
      </w:r>
      <w:r w:rsidR="00BD5FD5">
        <w:rPr>
          <w:rFonts w:asciiTheme="majorHAnsi" w:hAnsiTheme="majorHAnsi"/>
        </w:rPr>
        <w:t>s</w:t>
      </w:r>
      <w:r w:rsidR="0049781A" w:rsidRPr="00A11FE0">
        <w:rPr>
          <w:rFonts w:asciiTheme="majorHAnsi" w:hAnsiTheme="majorHAnsi"/>
        </w:rPr>
        <w:t>počívať v</w:t>
      </w:r>
      <w:r w:rsidR="00FB04B0">
        <w:rPr>
          <w:rFonts w:asciiTheme="majorHAnsi" w:hAnsiTheme="majorHAnsi"/>
        </w:rPr>
        <w:t> </w:t>
      </w:r>
      <w:r w:rsidRPr="00A11FE0">
        <w:rPr>
          <w:rFonts w:asciiTheme="majorHAnsi" w:hAnsiTheme="majorHAnsi"/>
        </w:rPr>
        <w:t>rozvoj</w:t>
      </w:r>
      <w:r w:rsidR="0049781A" w:rsidRPr="00A11FE0">
        <w:rPr>
          <w:rFonts w:asciiTheme="majorHAnsi" w:hAnsiTheme="majorHAnsi"/>
        </w:rPr>
        <w:t>i</w:t>
      </w:r>
      <w:r w:rsidRPr="00A11FE0">
        <w:rPr>
          <w:rFonts w:asciiTheme="majorHAnsi" w:hAnsiTheme="majorHAnsi"/>
        </w:rPr>
        <w:t xml:space="preserve"> produktov </w:t>
      </w:r>
      <w:r w:rsidR="00BD5FD5">
        <w:rPr>
          <w:rFonts w:asciiTheme="majorHAnsi" w:hAnsiTheme="majorHAnsi"/>
        </w:rPr>
        <w:t>a s</w:t>
      </w:r>
      <w:r w:rsidRPr="00A11FE0">
        <w:rPr>
          <w:rFonts w:asciiTheme="majorHAnsi" w:hAnsiTheme="majorHAnsi"/>
        </w:rPr>
        <w:t>lužieb, prenos</w:t>
      </w:r>
      <w:r w:rsidR="0049781A" w:rsidRPr="00A11FE0">
        <w:rPr>
          <w:rFonts w:asciiTheme="majorHAnsi" w:hAnsiTheme="majorHAnsi"/>
        </w:rPr>
        <w:t>e</w:t>
      </w:r>
      <w:r w:rsidRPr="00A11FE0">
        <w:rPr>
          <w:rFonts w:asciiTheme="majorHAnsi" w:hAnsiTheme="majorHAnsi"/>
        </w:rPr>
        <w:t xml:space="preserve"> technológií, </w:t>
      </w:r>
      <w:r w:rsidR="00236938" w:rsidRPr="00A11FE0">
        <w:rPr>
          <w:rFonts w:asciiTheme="majorHAnsi" w:hAnsiTheme="majorHAnsi"/>
        </w:rPr>
        <w:t>inovácií procesov</w:t>
      </w:r>
      <w:r w:rsidR="00B04DDE">
        <w:rPr>
          <w:rFonts w:asciiTheme="majorHAnsi" w:hAnsiTheme="majorHAnsi"/>
        </w:rPr>
        <w:t xml:space="preserve"> a</w:t>
      </w:r>
      <w:r w:rsidR="00FB04B0">
        <w:rPr>
          <w:rFonts w:asciiTheme="majorHAnsi" w:hAnsiTheme="majorHAnsi"/>
        </w:rPr>
        <w:t> </w:t>
      </w:r>
      <w:r w:rsidRPr="00A11FE0">
        <w:rPr>
          <w:rFonts w:asciiTheme="majorHAnsi" w:hAnsiTheme="majorHAnsi"/>
        </w:rPr>
        <w:t>vytváraní</w:t>
      </w:r>
      <w:r w:rsidR="00B04DDE">
        <w:rPr>
          <w:rFonts w:asciiTheme="majorHAnsi" w:hAnsiTheme="majorHAnsi"/>
        </w:rPr>
        <w:t>m</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ietí</w:t>
      </w:r>
      <w:r w:rsidR="00236938" w:rsidRPr="00A11FE0">
        <w:rPr>
          <w:rFonts w:asciiTheme="majorHAnsi" w:hAnsiTheme="majorHAnsi"/>
        </w:rPr>
        <w:t xml:space="preserve"> na zdieľanie informácií</w:t>
      </w:r>
      <w:r w:rsidR="006B2D19" w:rsidRPr="00A11FE0">
        <w:rPr>
          <w:rFonts w:asciiTheme="majorHAnsi" w:hAnsiTheme="majorHAnsi"/>
        </w:rPr>
        <w:t xml:space="preserve">. Uvedené by </w:t>
      </w:r>
      <w:r w:rsidR="00BD5FD5">
        <w:rPr>
          <w:rFonts w:asciiTheme="majorHAnsi" w:hAnsiTheme="majorHAnsi"/>
        </w:rPr>
        <w:t>s</w:t>
      </w:r>
      <w:r w:rsidR="006B2D19" w:rsidRPr="00A11FE0">
        <w:rPr>
          <w:rFonts w:asciiTheme="majorHAnsi" w:hAnsiTheme="majorHAnsi"/>
        </w:rPr>
        <w:t xml:space="preserve">a malo dosiahnuť </w:t>
      </w:r>
      <w:r w:rsidRPr="00A11FE0">
        <w:rPr>
          <w:rFonts w:asciiTheme="majorHAnsi" w:hAnsiTheme="majorHAnsi"/>
        </w:rPr>
        <w:t xml:space="preserve">prostredníctvom inteligentnej špecializácie </w:t>
      </w:r>
      <w:r w:rsidR="00BD5FD5">
        <w:rPr>
          <w:rFonts w:asciiTheme="majorHAnsi" w:hAnsiTheme="majorHAnsi"/>
        </w:rPr>
        <w:t>a k</w:t>
      </w:r>
      <w:r w:rsidR="003A29BF" w:rsidRPr="00A11FE0">
        <w:rPr>
          <w:rFonts w:asciiTheme="majorHAnsi" w:hAnsiTheme="majorHAnsi"/>
        </w:rPr>
        <w:t>oncentráci</w:t>
      </w:r>
      <w:r w:rsidR="000E35CF" w:rsidRPr="00A11FE0">
        <w:rPr>
          <w:rFonts w:asciiTheme="majorHAnsi" w:hAnsiTheme="majorHAnsi"/>
        </w:rPr>
        <w:t>o</w:t>
      </w:r>
      <w:r w:rsidR="003A29BF" w:rsidRPr="00A11FE0">
        <w:rPr>
          <w:rFonts w:asciiTheme="majorHAnsi" w:hAnsiTheme="majorHAnsi"/>
        </w:rPr>
        <w:t>u zdrojov do oblastí V</w:t>
      </w:r>
      <w:r w:rsidR="00277E2D">
        <w:rPr>
          <w:rFonts w:asciiTheme="majorHAnsi" w:hAnsiTheme="majorHAnsi"/>
        </w:rPr>
        <w:t>V</w:t>
      </w:r>
      <w:r w:rsidR="00BE49BC" w:rsidRPr="00A11FE0">
        <w:rPr>
          <w:rFonts w:asciiTheme="majorHAnsi" w:hAnsiTheme="majorHAnsi"/>
        </w:rPr>
        <w:t>a</w:t>
      </w:r>
      <w:r w:rsidR="00277E2D">
        <w:rPr>
          <w:rFonts w:asciiTheme="majorHAnsi" w:hAnsiTheme="majorHAnsi"/>
        </w:rPr>
        <w:t>I</w:t>
      </w:r>
      <w:r w:rsidR="003A29BF" w:rsidRPr="00A11FE0">
        <w:rPr>
          <w:rFonts w:asciiTheme="majorHAnsi" w:hAnsiTheme="majorHAnsi"/>
        </w:rPr>
        <w:t xml:space="preserve"> vymedzených </w:t>
      </w:r>
      <w:r w:rsidR="00BD5FD5">
        <w:rPr>
          <w:rFonts w:asciiTheme="majorHAnsi" w:hAnsiTheme="majorHAnsi"/>
        </w:rPr>
        <w:t>s</w:t>
      </w:r>
      <w:r w:rsidR="003A29BF" w:rsidRPr="00A11FE0">
        <w:rPr>
          <w:rFonts w:asciiTheme="majorHAnsi" w:hAnsiTheme="majorHAnsi"/>
        </w:rPr>
        <w:t>tratégi</w:t>
      </w:r>
      <w:r w:rsidR="00B04DDE">
        <w:rPr>
          <w:rFonts w:asciiTheme="majorHAnsi" w:hAnsiTheme="majorHAnsi"/>
        </w:rPr>
        <w:t>ou</w:t>
      </w:r>
      <w:r w:rsidR="003A29BF" w:rsidRPr="00A11FE0">
        <w:rPr>
          <w:rFonts w:asciiTheme="majorHAnsi" w:hAnsiTheme="majorHAnsi"/>
        </w:rPr>
        <w:t xml:space="preserve"> </w:t>
      </w:r>
      <w:r w:rsidR="00185C71" w:rsidRPr="00A11FE0">
        <w:rPr>
          <w:rFonts w:asciiTheme="majorHAnsi" w:hAnsiTheme="majorHAnsi"/>
        </w:rPr>
        <w:t>RI</w:t>
      </w:r>
      <w:r w:rsidR="003A29BF" w:rsidRPr="00A11FE0">
        <w:rPr>
          <w:rFonts w:asciiTheme="majorHAnsi" w:hAnsiTheme="majorHAnsi"/>
        </w:rPr>
        <w:t>S3</w:t>
      </w:r>
      <w:r w:rsidR="009D6566">
        <w:rPr>
          <w:rFonts w:asciiTheme="majorHAnsi" w:hAnsiTheme="majorHAnsi"/>
        </w:rPr>
        <w:t>. Zároveň by sa mala podpora orientovať na</w:t>
      </w:r>
      <w:r w:rsidR="000E35CF" w:rsidRPr="00A11FE0">
        <w:rPr>
          <w:rFonts w:asciiTheme="majorHAnsi" w:hAnsiTheme="majorHAnsi"/>
        </w:rPr>
        <w:t xml:space="preserve"> vytvárani</w:t>
      </w:r>
      <w:r w:rsidR="009D6566">
        <w:rPr>
          <w:rFonts w:asciiTheme="majorHAnsi" w:hAnsiTheme="majorHAnsi"/>
        </w:rPr>
        <w:t>e</w:t>
      </w:r>
      <w:r w:rsidR="000E35CF" w:rsidRPr="00A11FE0">
        <w:rPr>
          <w:rFonts w:asciiTheme="majorHAnsi" w:hAnsiTheme="majorHAnsi"/>
        </w:rPr>
        <w:t xml:space="preserve"> podmienok na realizáciu prototypov, ich verifikáciu</w:t>
      </w:r>
      <w:r w:rsidR="00E0369A">
        <w:rPr>
          <w:rFonts w:asciiTheme="majorHAnsi" w:hAnsiTheme="majorHAnsi"/>
        </w:rPr>
        <w:t>,</w:t>
      </w:r>
      <w:r w:rsidR="000E35CF" w:rsidRPr="00A11FE0">
        <w:rPr>
          <w:rFonts w:asciiTheme="majorHAnsi" w:hAnsiTheme="majorHAnsi"/>
        </w:rPr>
        <w:t xml:space="preserve"> </w:t>
      </w:r>
      <w:r w:rsidR="00BD5FD5">
        <w:rPr>
          <w:rFonts w:asciiTheme="majorHAnsi" w:hAnsiTheme="majorHAnsi"/>
        </w:rPr>
        <w:t>a </w:t>
      </w:r>
      <w:r w:rsidR="000E35CF" w:rsidRPr="00A11FE0">
        <w:rPr>
          <w:rFonts w:asciiTheme="majorHAnsi" w:hAnsiTheme="majorHAnsi"/>
        </w:rPr>
        <w:t xml:space="preserve">to prostredníctvom investícií do najperspektívnejších oblastí </w:t>
      </w:r>
      <w:r w:rsidR="00BD5FD5">
        <w:rPr>
          <w:rFonts w:asciiTheme="majorHAnsi" w:hAnsiTheme="majorHAnsi"/>
        </w:rPr>
        <w:t>s</w:t>
      </w:r>
      <w:r w:rsidR="000E35CF" w:rsidRPr="00A11FE0">
        <w:rPr>
          <w:rFonts w:asciiTheme="majorHAnsi" w:hAnsiTheme="majorHAnsi"/>
        </w:rPr>
        <w:t xml:space="preserve">o zohľadnením vybudovanej </w:t>
      </w:r>
      <w:r w:rsidR="00E02489">
        <w:rPr>
          <w:rFonts w:asciiTheme="majorHAnsi" w:hAnsiTheme="majorHAnsi"/>
        </w:rPr>
        <w:t>VaV</w:t>
      </w:r>
      <w:r w:rsidR="000E35CF" w:rsidRPr="00A11FE0">
        <w:rPr>
          <w:rFonts w:asciiTheme="majorHAnsi" w:hAnsiTheme="majorHAnsi"/>
        </w:rPr>
        <w:t xml:space="preserve"> základne v</w:t>
      </w:r>
      <w:r w:rsidR="009D6566">
        <w:rPr>
          <w:rFonts w:asciiTheme="majorHAnsi" w:hAnsiTheme="majorHAnsi"/>
        </w:rPr>
        <w:t xml:space="preserve"> programovom </w:t>
      </w:r>
      <w:r w:rsidR="000E35CF" w:rsidRPr="00A11FE0">
        <w:rPr>
          <w:rFonts w:asciiTheme="majorHAnsi" w:hAnsiTheme="majorHAnsi"/>
        </w:rPr>
        <w:lastRenderedPageBreak/>
        <w:t>období 2007 – 2013.</w:t>
      </w:r>
      <w:r w:rsidR="006E38FD" w:rsidRPr="006E38FD">
        <w:rPr>
          <w:rFonts w:asciiTheme="majorHAnsi" w:hAnsiTheme="majorHAnsi"/>
        </w:rPr>
        <w:t xml:space="preserve"> Hlavným </w:t>
      </w:r>
      <w:r w:rsidR="009D6566">
        <w:rPr>
          <w:rFonts w:asciiTheme="majorHAnsi" w:hAnsiTheme="majorHAnsi"/>
        </w:rPr>
        <w:t>zámerom</w:t>
      </w:r>
      <w:r w:rsidR="009D6566" w:rsidRPr="006E38FD">
        <w:rPr>
          <w:rFonts w:asciiTheme="majorHAnsi" w:hAnsiTheme="majorHAnsi"/>
        </w:rPr>
        <w:t xml:space="preserve"> </w:t>
      </w:r>
      <w:r w:rsidR="00BD5FD5">
        <w:rPr>
          <w:rFonts w:asciiTheme="majorHAnsi" w:hAnsiTheme="majorHAnsi"/>
        </w:rPr>
        <w:t>s</w:t>
      </w:r>
      <w:r w:rsidR="006E38FD" w:rsidRPr="006E38FD">
        <w:rPr>
          <w:rFonts w:asciiTheme="majorHAnsi" w:hAnsiTheme="majorHAnsi"/>
        </w:rPr>
        <w:t xml:space="preserve">tratégie RIS3 je </w:t>
      </w:r>
      <w:r w:rsidR="00A631A0">
        <w:rPr>
          <w:rFonts w:asciiTheme="majorHAnsi" w:hAnsiTheme="majorHAnsi"/>
        </w:rPr>
        <w:t>„</w:t>
      </w:r>
      <w:r w:rsidR="006E38FD" w:rsidRPr="006E38FD">
        <w:rPr>
          <w:rFonts w:asciiTheme="majorHAnsi" w:hAnsiTheme="majorHAnsi"/>
        </w:rPr>
        <w:t xml:space="preserve">podnietiť štrukturálnu zmenu </w:t>
      </w:r>
      <w:r w:rsidR="00BD5FD5">
        <w:rPr>
          <w:rFonts w:asciiTheme="majorHAnsi" w:hAnsiTheme="majorHAnsi"/>
        </w:rPr>
        <w:t>s</w:t>
      </w:r>
      <w:r w:rsidR="006E38FD" w:rsidRPr="006E38FD">
        <w:rPr>
          <w:rFonts w:asciiTheme="majorHAnsi" w:hAnsiTheme="majorHAnsi"/>
        </w:rPr>
        <w:t xml:space="preserve">lovenskej ekonomiky </w:t>
      </w:r>
      <w:r w:rsidR="00BD5FD5">
        <w:rPr>
          <w:rFonts w:asciiTheme="majorHAnsi" w:hAnsiTheme="majorHAnsi"/>
        </w:rPr>
        <w:t>s</w:t>
      </w:r>
      <w:r w:rsidR="006E38FD" w:rsidRPr="006E38FD">
        <w:rPr>
          <w:rFonts w:asciiTheme="majorHAnsi" w:hAnsiTheme="majorHAnsi"/>
        </w:rPr>
        <w:t xml:space="preserve">merom </w:t>
      </w:r>
      <w:r w:rsidR="00BD5FD5">
        <w:rPr>
          <w:rFonts w:asciiTheme="majorHAnsi" w:hAnsiTheme="majorHAnsi"/>
        </w:rPr>
        <w:t>k</w:t>
      </w:r>
      <w:r w:rsidR="00FB04B0">
        <w:rPr>
          <w:rFonts w:asciiTheme="majorHAnsi" w:hAnsiTheme="majorHAnsi"/>
        </w:rPr>
        <w:t> </w:t>
      </w:r>
      <w:r w:rsidR="006E38FD" w:rsidRPr="006E38FD">
        <w:rPr>
          <w:rFonts w:asciiTheme="majorHAnsi" w:hAnsiTheme="majorHAnsi"/>
        </w:rPr>
        <w:t xml:space="preserve">rastu založenému na zvyšovaní inovačnej </w:t>
      </w:r>
      <w:r w:rsidR="00BD5FD5">
        <w:rPr>
          <w:rFonts w:asciiTheme="majorHAnsi" w:hAnsiTheme="majorHAnsi"/>
        </w:rPr>
        <w:t>s</w:t>
      </w:r>
      <w:r w:rsidR="006E38FD" w:rsidRPr="006E38FD">
        <w:rPr>
          <w:rFonts w:asciiTheme="majorHAnsi" w:hAnsiTheme="majorHAnsi"/>
        </w:rPr>
        <w:t xml:space="preserve">chopnosti </w:t>
      </w:r>
      <w:r w:rsidR="00BD5FD5">
        <w:rPr>
          <w:rFonts w:asciiTheme="majorHAnsi" w:hAnsiTheme="majorHAnsi"/>
        </w:rPr>
        <w:t>a </w:t>
      </w:r>
      <w:r w:rsidR="006E38FD" w:rsidRPr="006E38FD">
        <w:rPr>
          <w:rFonts w:asciiTheme="majorHAnsi" w:hAnsiTheme="majorHAnsi"/>
        </w:rPr>
        <w:t xml:space="preserve">excelentnosti vo VaI </w:t>
      </w:r>
      <w:r w:rsidR="00BD5FD5">
        <w:rPr>
          <w:rFonts w:asciiTheme="majorHAnsi" w:hAnsiTheme="majorHAnsi"/>
        </w:rPr>
        <w:t>s</w:t>
      </w:r>
      <w:r w:rsidR="00387878">
        <w:rPr>
          <w:rFonts w:asciiTheme="majorHAnsi" w:hAnsiTheme="majorHAnsi"/>
        </w:rPr>
        <w:t> </w:t>
      </w:r>
      <w:r w:rsidR="006E38FD" w:rsidRPr="006E38FD">
        <w:rPr>
          <w:rFonts w:asciiTheme="majorHAnsi" w:hAnsiTheme="majorHAnsi"/>
        </w:rPr>
        <w:t xml:space="preserve">cieľom podporovať udržateľný rast príjmov, zamestnanosti </w:t>
      </w:r>
      <w:r w:rsidR="00BD5FD5">
        <w:rPr>
          <w:rFonts w:asciiTheme="majorHAnsi" w:hAnsiTheme="majorHAnsi"/>
        </w:rPr>
        <w:t>a k</w:t>
      </w:r>
      <w:r w:rsidR="006E38FD" w:rsidRPr="006E38FD">
        <w:rPr>
          <w:rFonts w:asciiTheme="majorHAnsi" w:hAnsiTheme="majorHAnsi"/>
        </w:rPr>
        <w:t>vality života“</w:t>
      </w:r>
      <w:r w:rsidR="006E38FD" w:rsidRPr="006E38FD">
        <w:rPr>
          <w:rFonts w:asciiTheme="majorHAnsi" w:hAnsiTheme="majorHAnsi"/>
          <w:vertAlign w:val="superscript"/>
        </w:rPr>
        <w:footnoteReference w:id="20"/>
      </w:r>
      <w:r w:rsidR="006E38FD" w:rsidRPr="006E38FD">
        <w:rPr>
          <w:rFonts w:asciiTheme="majorHAnsi" w:hAnsiTheme="majorHAnsi"/>
        </w:rPr>
        <w:t>.</w:t>
      </w:r>
    </w:p>
    <w:p w:rsidR="0095292B" w:rsidRPr="00A11FE0" w:rsidRDefault="0095292B" w:rsidP="0095292B">
      <w:pPr>
        <w:rPr>
          <w:rFonts w:asciiTheme="majorHAnsi" w:hAnsiTheme="majorHAnsi"/>
        </w:rPr>
      </w:pPr>
      <w:r w:rsidRPr="00A11FE0">
        <w:rPr>
          <w:rFonts w:asciiTheme="majorHAnsi" w:hAnsiTheme="majorHAnsi"/>
        </w:rPr>
        <w:t xml:space="preserve">Z hľadiska globálnej excelentnosti </w:t>
      </w:r>
      <w:r w:rsidR="00BD5FD5">
        <w:rPr>
          <w:rFonts w:asciiTheme="majorHAnsi" w:hAnsiTheme="majorHAnsi"/>
        </w:rPr>
        <w:t>a s</w:t>
      </w:r>
      <w:r w:rsidRPr="00A11FE0">
        <w:rPr>
          <w:rFonts w:asciiTheme="majorHAnsi" w:hAnsiTheme="majorHAnsi"/>
        </w:rPr>
        <w:t xml:space="preserve">o zohľadnením miestnej relevantnosti pre potreby inteligentnej špecializácie </w:t>
      </w:r>
      <w:r w:rsidR="009F4CBE" w:rsidRPr="009F4CBE">
        <w:rPr>
          <w:rFonts w:asciiTheme="majorHAnsi" w:hAnsiTheme="majorHAnsi"/>
        </w:rPr>
        <w:t xml:space="preserve">boli identifikované </w:t>
      </w:r>
      <w:r w:rsidR="00A631A0">
        <w:rPr>
          <w:rFonts w:asciiTheme="majorHAnsi" w:hAnsiTheme="majorHAnsi"/>
        </w:rPr>
        <w:t>nasledovné</w:t>
      </w:r>
      <w:r w:rsidR="009F4CBE" w:rsidRPr="009F4CBE">
        <w:rPr>
          <w:rFonts w:asciiTheme="majorHAnsi" w:hAnsiTheme="majorHAnsi"/>
        </w:rPr>
        <w:t xml:space="preserve"> priority</w:t>
      </w:r>
      <w:r w:rsidR="00A631A0">
        <w:rPr>
          <w:rFonts w:asciiTheme="majorHAnsi" w:hAnsiTheme="majorHAnsi"/>
        </w:rPr>
        <w:t>:</w:t>
      </w:r>
      <w:r w:rsidR="009F4CBE" w:rsidRPr="009F4CBE">
        <w:rPr>
          <w:rFonts w:asciiTheme="majorHAnsi" w:hAnsiTheme="majorHAnsi"/>
        </w:rPr>
        <w:t xml:space="preserve"> oblasti </w:t>
      </w:r>
      <w:r w:rsidR="00A631A0">
        <w:rPr>
          <w:rFonts w:asciiTheme="majorHAnsi" w:hAnsiTheme="majorHAnsi"/>
        </w:rPr>
        <w:t xml:space="preserve">hospodárskej </w:t>
      </w:r>
      <w:r w:rsidR="009F4CBE" w:rsidRPr="009F4CBE">
        <w:rPr>
          <w:rFonts w:asciiTheme="majorHAnsi" w:hAnsiTheme="majorHAnsi"/>
        </w:rPr>
        <w:t>špecializácie</w:t>
      </w:r>
      <w:r w:rsidR="00E02489">
        <w:rPr>
          <w:rFonts w:asciiTheme="majorHAnsi" w:hAnsiTheme="majorHAnsi"/>
        </w:rPr>
        <w:t xml:space="preserve"> (a</w:t>
      </w:r>
      <w:r w:rsidR="00E02489" w:rsidRPr="00E5366A">
        <w:rPr>
          <w:rFonts w:asciiTheme="majorHAnsi" w:hAnsiTheme="majorHAnsi"/>
        </w:rPr>
        <w:t>utomobilový priemysel a strojárstvo, spotrebná elektronika a elektrické prístroje, informačné a komunikačné produkty a služby, výroba a spracovanie železa a</w:t>
      </w:r>
      <w:r w:rsidR="00E02489">
        <w:rPr>
          <w:rFonts w:asciiTheme="majorHAnsi" w:hAnsiTheme="majorHAnsi"/>
        </w:rPr>
        <w:t> </w:t>
      </w:r>
      <w:r w:rsidR="00E02489" w:rsidRPr="00E5366A">
        <w:rPr>
          <w:rFonts w:asciiTheme="majorHAnsi" w:hAnsiTheme="majorHAnsi"/>
        </w:rPr>
        <w:t>ocele</w:t>
      </w:r>
      <w:r w:rsidR="00E02489">
        <w:rPr>
          <w:rFonts w:asciiTheme="majorHAnsi" w:hAnsiTheme="majorHAnsi"/>
        </w:rPr>
        <w:t>)</w:t>
      </w:r>
      <w:r w:rsidR="00A631A0">
        <w:rPr>
          <w:rFonts w:asciiTheme="majorHAnsi" w:hAnsiTheme="majorHAnsi"/>
        </w:rPr>
        <w:t>,</w:t>
      </w:r>
      <w:r w:rsidR="00A631A0" w:rsidRPr="00A631A0">
        <w:rPr>
          <w:rFonts w:asciiTheme="majorHAnsi" w:hAnsiTheme="majorHAnsi"/>
        </w:rPr>
        <w:t xml:space="preserve"> </w:t>
      </w:r>
      <w:r w:rsidR="00A631A0">
        <w:rPr>
          <w:rFonts w:asciiTheme="majorHAnsi" w:hAnsiTheme="majorHAnsi"/>
        </w:rPr>
        <w:t>a oblasti špecializácie z hľadiska dostupných vedeckých a výskumných kapacít</w:t>
      </w:r>
      <w:r w:rsidR="00E02489">
        <w:rPr>
          <w:rFonts w:asciiTheme="majorHAnsi" w:hAnsiTheme="majorHAnsi"/>
        </w:rPr>
        <w:t xml:space="preserve"> </w:t>
      </w:r>
      <w:r w:rsidR="0067444A">
        <w:rPr>
          <w:rFonts w:asciiTheme="majorHAnsi" w:hAnsiTheme="majorHAnsi"/>
        </w:rPr>
        <w:t>(</w:t>
      </w:r>
      <w:r w:rsidR="00E02489" w:rsidRPr="00E5366A">
        <w:rPr>
          <w:rFonts w:asciiTheme="majorHAnsi" w:hAnsiTheme="majorHAnsi"/>
        </w:rPr>
        <w:t>materiálový výskum a nanotechnológie, informačno-komunikačné technológie,</w:t>
      </w:r>
      <w:r w:rsidR="00E02489">
        <w:rPr>
          <w:rFonts w:asciiTheme="majorHAnsi" w:hAnsiTheme="majorHAnsi"/>
        </w:rPr>
        <w:t xml:space="preserve"> </w:t>
      </w:r>
      <w:r w:rsidR="00E02489" w:rsidRPr="00E5366A">
        <w:rPr>
          <w:rFonts w:asciiTheme="majorHAnsi" w:hAnsiTheme="majorHAnsi"/>
        </w:rPr>
        <w:t>biotechnológie a biomedicína, pôdohospodárstvo a</w:t>
      </w:r>
      <w:r w:rsidR="00E02489">
        <w:rPr>
          <w:rFonts w:asciiTheme="majorHAnsi" w:hAnsiTheme="majorHAnsi"/>
        </w:rPr>
        <w:t> </w:t>
      </w:r>
      <w:r w:rsidR="00E02489" w:rsidRPr="00E5366A">
        <w:rPr>
          <w:rFonts w:asciiTheme="majorHAnsi" w:hAnsiTheme="majorHAnsi"/>
        </w:rPr>
        <w:t>životné prostredie, vrátane moderných chemických technológií šetrných k životnému prostrediu,</w:t>
      </w:r>
      <w:r w:rsidR="00E02489">
        <w:rPr>
          <w:rFonts w:asciiTheme="majorHAnsi" w:hAnsiTheme="majorHAnsi"/>
        </w:rPr>
        <w:t xml:space="preserve"> </w:t>
      </w:r>
      <w:r w:rsidR="00E02489" w:rsidRPr="00E5366A">
        <w:rPr>
          <w:rFonts w:asciiTheme="majorHAnsi" w:hAnsiTheme="majorHAnsi"/>
        </w:rPr>
        <w:t>udržateľná energetika</w:t>
      </w:r>
      <w:r w:rsidR="00E02489">
        <w:rPr>
          <w:rStyle w:val="Odkaznapoznmkupodiarou"/>
          <w:rFonts w:asciiTheme="majorHAnsi" w:hAnsiTheme="majorHAnsi"/>
        </w:rPr>
        <w:footnoteReference w:id="21"/>
      </w:r>
      <w:r w:rsidR="00E02489" w:rsidRPr="00E02489">
        <w:rPr>
          <w:rFonts w:asciiTheme="majorHAnsi" w:hAnsiTheme="majorHAnsi"/>
        </w:rPr>
        <w:t xml:space="preserve"> a energie)</w:t>
      </w:r>
      <w:r w:rsidR="00E02489">
        <w:rPr>
          <w:rFonts w:asciiTheme="majorHAnsi" w:hAnsiTheme="majorHAnsi"/>
        </w:rPr>
        <w:t xml:space="preserve"> </w:t>
      </w:r>
      <w:r w:rsidR="00A631A0">
        <w:rPr>
          <w:rStyle w:val="Odkaznapoznmkupodiarou"/>
        </w:rPr>
        <w:footnoteReference w:id="22"/>
      </w:r>
      <w:r w:rsidR="00A631A0">
        <w:rPr>
          <w:rFonts w:asciiTheme="majorHAnsi" w:hAnsiTheme="majorHAnsi"/>
        </w:rPr>
        <w:t xml:space="preserve">. </w:t>
      </w:r>
      <w:r w:rsidR="00E02489" w:rsidRPr="00E02489">
        <w:rPr>
          <w:rFonts w:asciiTheme="majorHAnsi" w:hAnsiTheme="majorHAnsi"/>
        </w:rPr>
        <w:t>Rovnako sú podrobne zadefinované aj perspektívne oblasti špecializácie. Tieto oblasti sú doplnené identifikovaním kľúčových spoločenských priorít:</w:t>
      </w:r>
      <w:r w:rsidR="00E02489">
        <w:rPr>
          <w:rFonts w:asciiTheme="majorHAnsi" w:hAnsiTheme="majorHAnsi"/>
        </w:rPr>
        <w:t xml:space="preserve"> </w:t>
      </w:r>
      <w:r w:rsidR="008F1C90">
        <w:rPr>
          <w:rFonts w:asciiTheme="majorHAnsi" w:hAnsiTheme="majorHAnsi"/>
        </w:rPr>
        <w:t>zamestnanosť mladých ľudí</w:t>
      </w:r>
      <w:r w:rsidR="00C80098">
        <w:rPr>
          <w:rFonts w:asciiTheme="majorHAnsi" w:hAnsiTheme="majorHAnsi"/>
        </w:rPr>
        <w:t>,</w:t>
      </w:r>
      <w:r w:rsidR="00BE49BC"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ociálna inklúzia </w:t>
      </w:r>
      <w:r w:rsidR="00BD5FD5">
        <w:rPr>
          <w:rFonts w:asciiTheme="majorHAnsi" w:hAnsiTheme="majorHAnsi"/>
        </w:rPr>
        <w:t>a </w:t>
      </w:r>
      <w:r w:rsidR="00551F6B">
        <w:rPr>
          <w:rFonts w:asciiTheme="majorHAnsi" w:hAnsiTheme="majorHAnsi"/>
        </w:rPr>
        <w:t>problematika</w:t>
      </w:r>
      <w:r w:rsidR="00551F6B" w:rsidRPr="00A11FE0">
        <w:rPr>
          <w:rFonts w:asciiTheme="majorHAnsi" w:hAnsiTheme="majorHAnsi"/>
        </w:rPr>
        <w:t xml:space="preserve"> </w:t>
      </w:r>
      <w:r w:rsidR="002F38CF" w:rsidRPr="00A11FE0">
        <w:rPr>
          <w:rFonts w:asciiTheme="majorHAnsi" w:hAnsiTheme="majorHAnsi"/>
        </w:rPr>
        <w:t>marginalizovaných</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kupín, </w:t>
      </w:r>
      <w:r w:rsidR="00BD5FD5">
        <w:rPr>
          <w:rFonts w:asciiTheme="majorHAnsi" w:hAnsiTheme="majorHAnsi"/>
        </w:rPr>
        <w:t>s</w:t>
      </w:r>
      <w:r w:rsidRPr="00A11FE0">
        <w:rPr>
          <w:rFonts w:asciiTheme="majorHAnsi" w:hAnsiTheme="majorHAnsi"/>
        </w:rPr>
        <w:t xml:space="preserve">tarnutie populácie </w:t>
      </w:r>
      <w:r w:rsidR="00BD5FD5">
        <w:rPr>
          <w:rFonts w:asciiTheme="majorHAnsi" w:hAnsiTheme="majorHAnsi"/>
        </w:rPr>
        <w:t>a k</w:t>
      </w:r>
      <w:r w:rsidRPr="00A11FE0">
        <w:rPr>
          <w:rFonts w:asciiTheme="majorHAnsi" w:hAnsiTheme="majorHAnsi"/>
        </w:rPr>
        <w:t>valita života</w:t>
      </w:r>
      <w:r w:rsidR="00E02489">
        <w:rPr>
          <w:rFonts w:asciiTheme="majorHAnsi" w:hAnsiTheme="majorHAnsi"/>
        </w:rPr>
        <w:t xml:space="preserve"> a </w:t>
      </w:r>
      <w:r w:rsidR="00E02489" w:rsidRPr="0063597F">
        <w:rPr>
          <w:rFonts w:asciiTheme="majorHAnsi" w:hAnsiTheme="majorHAnsi"/>
        </w:rPr>
        <w:t>efektívnejšie využívanie prírodných zdrojov</w:t>
      </w:r>
      <w:r w:rsidR="00E02489">
        <w:rPr>
          <w:rFonts w:asciiTheme="majorHAnsi" w:hAnsiTheme="majorHAnsi"/>
        </w:rPr>
        <w:t>, zahrňujúc aj</w:t>
      </w:r>
      <w:r w:rsidR="002F38CF" w:rsidRPr="00A11FE0">
        <w:rPr>
          <w:rFonts w:asciiTheme="majorHAnsi" w:hAnsiTheme="majorHAnsi"/>
        </w:rPr>
        <w:t xml:space="preserve"> znižovanie emisií</w:t>
      </w:r>
      <w:r w:rsidR="00E02489">
        <w:rPr>
          <w:rFonts w:asciiTheme="majorHAnsi" w:hAnsiTheme="majorHAnsi"/>
        </w:rPr>
        <w:t xml:space="preserve"> a</w:t>
      </w:r>
      <w:r w:rsidR="00BB0937">
        <w:rPr>
          <w:rFonts w:asciiTheme="majorHAnsi" w:hAnsiTheme="majorHAnsi"/>
        </w:rPr>
        <w:t> </w:t>
      </w:r>
      <w:r w:rsidR="00E02489">
        <w:rPr>
          <w:rFonts w:asciiTheme="majorHAnsi" w:hAnsiTheme="majorHAnsi"/>
        </w:rPr>
        <w:t>eko</w:t>
      </w:r>
      <w:r w:rsidR="00BB0937">
        <w:rPr>
          <w:rFonts w:asciiTheme="majorHAnsi" w:hAnsiTheme="majorHAnsi"/>
        </w:rPr>
        <w:t>-</w:t>
      </w:r>
      <w:r w:rsidR="00E02489">
        <w:rPr>
          <w:rFonts w:asciiTheme="majorHAnsi" w:hAnsiTheme="majorHAnsi"/>
        </w:rPr>
        <w:t xml:space="preserve"> inovácie.</w:t>
      </w:r>
    </w:p>
    <w:p w:rsidR="008A33E1" w:rsidRPr="00A11FE0" w:rsidRDefault="008A33E1" w:rsidP="003D00F0">
      <w:pPr>
        <w:rPr>
          <w:rFonts w:asciiTheme="majorHAnsi" w:hAnsiTheme="majorHAnsi"/>
        </w:rPr>
      </w:pPr>
      <w:r w:rsidRPr="00A11FE0">
        <w:rPr>
          <w:rFonts w:asciiTheme="majorHAnsi" w:hAnsiTheme="majorHAnsi"/>
        </w:rPr>
        <w:t xml:space="preserve">Prekážky efektívnej </w:t>
      </w:r>
      <w:r w:rsidR="00BD5FD5">
        <w:rPr>
          <w:rFonts w:asciiTheme="majorHAnsi" w:hAnsiTheme="majorHAnsi"/>
        </w:rPr>
        <w:t>s</w:t>
      </w:r>
      <w:r w:rsidRPr="00A11FE0">
        <w:rPr>
          <w:rFonts w:asciiTheme="majorHAnsi" w:hAnsiTheme="majorHAnsi"/>
        </w:rPr>
        <w:t xml:space="preserve">polupráce medzi všetkými </w:t>
      </w:r>
      <w:r w:rsidR="00BD5FD5">
        <w:rPr>
          <w:rFonts w:asciiTheme="majorHAnsi" w:hAnsiTheme="majorHAnsi"/>
        </w:rPr>
        <w:t>ak</w:t>
      </w:r>
      <w:r w:rsidRPr="00A11FE0">
        <w:rPr>
          <w:rFonts w:asciiTheme="majorHAnsi" w:hAnsiTheme="majorHAnsi"/>
        </w:rPr>
        <w:t>térmi V</w:t>
      </w:r>
      <w:r w:rsidR="00A05D08">
        <w:rPr>
          <w:rFonts w:asciiTheme="majorHAnsi" w:hAnsiTheme="majorHAnsi"/>
        </w:rPr>
        <w:t>V</w:t>
      </w:r>
      <w:r w:rsidR="008F1C90">
        <w:rPr>
          <w:rFonts w:asciiTheme="majorHAnsi" w:hAnsiTheme="majorHAnsi"/>
        </w:rPr>
        <w:t>aI</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toré je potrebné v</w:t>
      </w:r>
      <w:r w:rsidR="005E5A8A">
        <w:rPr>
          <w:rFonts w:asciiTheme="majorHAnsi" w:hAnsiTheme="majorHAnsi"/>
        </w:rPr>
        <w:t> </w:t>
      </w:r>
      <w:r w:rsidRPr="00A11FE0">
        <w:rPr>
          <w:rFonts w:asciiTheme="majorHAnsi" w:hAnsiTheme="majorHAnsi"/>
        </w:rPr>
        <w:t>nasledujúcom období odstrániť z</w:t>
      </w:r>
      <w:r w:rsidR="005E5A8A">
        <w:rPr>
          <w:rFonts w:asciiTheme="majorHAnsi" w:hAnsiTheme="majorHAnsi"/>
        </w:rPr>
        <w:t> </w:t>
      </w:r>
      <w:r w:rsidR="00BD5FD5">
        <w:rPr>
          <w:rFonts w:asciiTheme="majorHAnsi" w:hAnsiTheme="majorHAnsi"/>
        </w:rPr>
        <w:t>ak</w:t>
      </w:r>
      <w:r w:rsidRPr="00A11FE0">
        <w:rPr>
          <w:rFonts w:asciiTheme="majorHAnsi" w:hAnsiTheme="majorHAnsi"/>
        </w:rPr>
        <w:t>ademického</w:t>
      </w:r>
      <w:r w:rsidR="005E5A8A">
        <w:rPr>
          <w:rFonts w:asciiTheme="majorHAnsi" w:hAnsiTheme="majorHAnsi"/>
        </w:rPr>
        <w:t xml:space="preserve"> </w:t>
      </w:r>
      <w:r w:rsidR="00BD5FD5">
        <w:rPr>
          <w:rFonts w:asciiTheme="majorHAnsi" w:hAnsiTheme="majorHAnsi"/>
        </w:rPr>
        <w:t>s</w:t>
      </w:r>
      <w:r w:rsidRPr="00A11FE0">
        <w:rPr>
          <w:rFonts w:asciiTheme="majorHAnsi" w:hAnsiTheme="majorHAnsi"/>
        </w:rPr>
        <w:t>ektora</w:t>
      </w:r>
      <w:r w:rsidR="00530019">
        <w:rPr>
          <w:rFonts w:asciiTheme="majorHAnsi" w:hAnsiTheme="majorHAnsi"/>
        </w:rPr>
        <w:t>,</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ú </w:t>
      </w:r>
      <w:r w:rsidR="006B2D19" w:rsidRPr="00A11FE0">
        <w:rPr>
          <w:rFonts w:asciiTheme="majorHAnsi" w:hAnsiTheme="majorHAnsi"/>
        </w:rPr>
        <w:t xml:space="preserve">predovšetkým </w:t>
      </w:r>
      <w:r w:rsidRPr="00A11FE0">
        <w:rPr>
          <w:rFonts w:asciiTheme="majorHAnsi" w:hAnsiTheme="majorHAnsi"/>
        </w:rPr>
        <w:t>dôsledkom</w:t>
      </w:r>
      <w:r w:rsidR="00A05D08">
        <w:rPr>
          <w:rFonts w:asciiTheme="majorHAnsi" w:hAnsiTheme="majorHAnsi"/>
        </w:rPr>
        <w:t xml:space="preserve"> </w:t>
      </w:r>
      <w:r w:rsidR="00BD5FD5">
        <w:rPr>
          <w:rFonts w:asciiTheme="majorHAnsi" w:hAnsiTheme="majorHAnsi"/>
        </w:rPr>
        <w:t>a</w:t>
      </w:r>
      <w:r w:rsidRPr="005E5A8A">
        <w:rPr>
          <w:rFonts w:asciiTheme="majorHAnsi" w:hAnsiTheme="majorHAnsi"/>
        </w:rPr>
        <w:t>bsenci</w:t>
      </w:r>
      <w:r w:rsidR="00A05D08" w:rsidRPr="005E5A8A">
        <w:rPr>
          <w:rFonts w:asciiTheme="majorHAnsi" w:hAnsiTheme="majorHAnsi"/>
        </w:rPr>
        <w:t>e</w:t>
      </w:r>
      <w:r w:rsidRPr="005E5A8A">
        <w:rPr>
          <w:rFonts w:asciiTheme="majorHAnsi" w:hAnsiTheme="majorHAnsi"/>
        </w:rPr>
        <w:t xml:space="preserve"> politík, pravidiel </w:t>
      </w:r>
      <w:r w:rsidR="00BD5FD5">
        <w:rPr>
          <w:rFonts w:asciiTheme="majorHAnsi" w:hAnsiTheme="majorHAnsi"/>
        </w:rPr>
        <w:t>a </w:t>
      </w:r>
      <w:r w:rsidRPr="005E5A8A">
        <w:rPr>
          <w:rFonts w:asciiTheme="majorHAnsi" w:hAnsiTheme="majorHAnsi"/>
        </w:rPr>
        <w:t>nástrojov</w:t>
      </w:r>
      <w:r w:rsidR="00C80098">
        <w:rPr>
          <w:rFonts w:asciiTheme="majorHAnsi" w:hAnsiTheme="majorHAnsi"/>
        </w:rPr>
        <w:t xml:space="preserve"> </w:t>
      </w:r>
      <w:r w:rsidRPr="005E5A8A">
        <w:rPr>
          <w:rFonts w:asciiTheme="majorHAnsi" w:hAnsiTheme="majorHAnsi"/>
        </w:rPr>
        <w:t xml:space="preserve">na podporu </w:t>
      </w:r>
      <w:r w:rsidR="00BD5FD5">
        <w:rPr>
          <w:rFonts w:asciiTheme="majorHAnsi" w:hAnsiTheme="majorHAnsi"/>
        </w:rPr>
        <w:t>s</w:t>
      </w:r>
      <w:r w:rsidRPr="005E5A8A">
        <w:rPr>
          <w:rFonts w:asciiTheme="majorHAnsi" w:hAnsiTheme="majorHAnsi"/>
        </w:rPr>
        <w:t xml:space="preserve">polupráce výskumnej </w:t>
      </w:r>
      <w:r w:rsidR="00BD5FD5">
        <w:rPr>
          <w:rFonts w:asciiTheme="majorHAnsi" w:hAnsiTheme="majorHAnsi"/>
        </w:rPr>
        <w:t>a</w:t>
      </w:r>
      <w:r w:rsidR="003D00F0">
        <w:rPr>
          <w:rFonts w:asciiTheme="majorHAnsi" w:hAnsiTheme="majorHAnsi"/>
        </w:rPr>
        <w:t> </w:t>
      </w:r>
      <w:r w:rsidRPr="005E5A8A">
        <w:rPr>
          <w:rFonts w:asciiTheme="majorHAnsi" w:hAnsiTheme="majorHAnsi"/>
        </w:rPr>
        <w:t>priemyselnej</w:t>
      </w:r>
      <w:r w:rsidR="003D00F0">
        <w:rPr>
          <w:rFonts w:asciiTheme="majorHAnsi" w:hAnsiTheme="majorHAnsi"/>
        </w:rPr>
        <w:t xml:space="preserve"> </w:t>
      </w:r>
      <w:r w:rsidR="00BD5FD5">
        <w:rPr>
          <w:rFonts w:asciiTheme="majorHAnsi" w:hAnsiTheme="majorHAnsi"/>
        </w:rPr>
        <w:t>s</w:t>
      </w:r>
      <w:r w:rsidRPr="005E5A8A">
        <w:rPr>
          <w:rFonts w:asciiTheme="majorHAnsi" w:hAnsiTheme="majorHAnsi"/>
        </w:rPr>
        <w:t>féry</w:t>
      </w:r>
      <w:r w:rsidR="00530019">
        <w:rPr>
          <w:rFonts w:asciiTheme="majorHAnsi" w:hAnsiTheme="majorHAnsi"/>
        </w:rPr>
        <w:t>,</w:t>
      </w:r>
      <w:r w:rsidR="00A05D08" w:rsidRPr="005E5A8A">
        <w:rPr>
          <w:rFonts w:asciiTheme="majorHAnsi" w:hAnsiTheme="majorHAnsi"/>
        </w:rPr>
        <w:t xml:space="preserve"> </w:t>
      </w:r>
      <w:r w:rsidR="00BD5FD5">
        <w:rPr>
          <w:rFonts w:asciiTheme="majorHAnsi" w:hAnsiTheme="majorHAnsi"/>
        </w:rPr>
        <w:t>ak</w:t>
      </w:r>
      <w:r w:rsidR="00A05D08" w:rsidRPr="005E5A8A">
        <w:rPr>
          <w:rFonts w:asciiTheme="majorHAnsi" w:hAnsiTheme="majorHAnsi"/>
        </w:rPr>
        <w:t xml:space="preserve">o </w:t>
      </w:r>
      <w:r w:rsidR="00BD5FD5">
        <w:rPr>
          <w:rFonts w:asciiTheme="majorHAnsi" w:hAnsiTheme="majorHAnsi"/>
        </w:rPr>
        <w:t>a</w:t>
      </w:r>
      <w:r w:rsidR="00A05D08" w:rsidRPr="005E5A8A">
        <w:rPr>
          <w:rFonts w:asciiTheme="majorHAnsi" w:hAnsiTheme="majorHAnsi"/>
        </w:rPr>
        <w:t>j</w:t>
      </w:r>
      <w:r w:rsidR="00A05D08">
        <w:rPr>
          <w:rFonts w:asciiTheme="majorHAnsi" w:hAnsiTheme="majorHAnsi"/>
        </w:rPr>
        <w:t xml:space="preserve"> </w:t>
      </w:r>
      <w:r w:rsidR="002A4108" w:rsidRPr="00A11FE0">
        <w:rPr>
          <w:rFonts w:asciiTheme="majorHAnsi" w:hAnsiTheme="majorHAnsi"/>
        </w:rPr>
        <w:t>c</w:t>
      </w:r>
      <w:r w:rsidRPr="00A11FE0">
        <w:rPr>
          <w:rFonts w:asciiTheme="majorHAnsi" w:hAnsiTheme="majorHAnsi"/>
        </w:rPr>
        <w:t>hýbajúc</w:t>
      </w:r>
      <w:r w:rsidR="00A05D08">
        <w:rPr>
          <w:rFonts w:asciiTheme="majorHAnsi" w:hAnsiTheme="majorHAnsi"/>
        </w:rPr>
        <w:t>ich</w:t>
      </w:r>
      <w:r w:rsidRPr="00A11FE0">
        <w:rPr>
          <w:rFonts w:asciiTheme="majorHAnsi" w:hAnsiTheme="majorHAnsi"/>
        </w:rPr>
        <w:t xml:space="preserve"> platfor</w:t>
      </w:r>
      <w:r w:rsidR="00A05D08">
        <w:rPr>
          <w:rFonts w:asciiTheme="majorHAnsi" w:hAnsiTheme="majorHAnsi"/>
        </w:rPr>
        <w:t>iem</w:t>
      </w:r>
      <w:r w:rsidRPr="00A11FE0">
        <w:rPr>
          <w:rFonts w:asciiTheme="majorHAnsi" w:hAnsiTheme="majorHAnsi"/>
        </w:rPr>
        <w:t xml:space="preserve"> pre rozvoj </w:t>
      </w:r>
      <w:r w:rsidR="00BD5FD5">
        <w:rPr>
          <w:rFonts w:asciiTheme="majorHAnsi" w:hAnsiTheme="majorHAnsi"/>
        </w:rPr>
        <w:t>s</w:t>
      </w:r>
      <w:r w:rsidRPr="00A11FE0">
        <w:rPr>
          <w:rFonts w:asciiTheme="majorHAnsi" w:hAnsiTheme="majorHAnsi"/>
        </w:rPr>
        <w:t>polupráce</w:t>
      </w:r>
      <w:r w:rsidR="00A05D08">
        <w:rPr>
          <w:rFonts w:asciiTheme="majorHAnsi" w:hAnsiTheme="majorHAnsi"/>
        </w:rPr>
        <w:t>.</w:t>
      </w:r>
    </w:p>
    <w:p w:rsidR="00996677" w:rsidRPr="00A11FE0" w:rsidRDefault="00996677" w:rsidP="00DE3DF9">
      <w:pPr>
        <w:pStyle w:val="Nadpis5"/>
        <w:numPr>
          <w:ilvl w:val="4"/>
          <w:numId w:val="2"/>
        </w:numPr>
        <w:ind w:left="1292"/>
      </w:pPr>
      <w:r w:rsidRPr="00A11FE0">
        <w:t xml:space="preserve">Územná </w:t>
      </w:r>
      <w:r w:rsidR="00BD5FD5">
        <w:t>k</w:t>
      </w:r>
      <w:r w:rsidRPr="00A11FE0">
        <w:t>oncentrácia</w:t>
      </w:r>
    </w:p>
    <w:p w:rsidR="00996677" w:rsidRPr="00A11FE0" w:rsidRDefault="00996677" w:rsidP="00996677">
      <w:pPr>
        <w:rPr>
          <w:rFonts w:asciiTheme="majorHAnsi" w:hAnsiTheme="majorHAnsi"/>
        </w:rPr>
      </w:pPr>
      <w:r w:rsidRPr="00A11FE0">
        <w:rPr>
          <w:rFonts w:asciiTheme="majorHAnsi" w:hAnsiTheme="majorHAnsi"/>
        </w:rPr>
        <w:t xml:space="preserve">Pre riešenie </w:t>
      </w:r>
      <w:r w:rsidR="005E5A8A">
        <w:rPr>
          <w:rFonts w:asciiTheme="majorHAnsi" w:hAnsiTheme="majorHAnsi"/>
        </w:rPr>
        <w:t>VaI</w:t>
      </w:r>
      <w:r w:rsidRPr="00A11FE0">
        <w:rPr>
          <w:rFonts w:asciiTheme="majorHAnsi" w:hAnsiTheme="majorHAnsi"/>
        </w:rPr>
        <w:t xml:space="preserve"> infraštruktúry je z</w:t>
      </w:r>
      <w:r w:rsidR="005E5A8A">
        <w:rPr>
          <w:rFonts w:asciiTheme="majorHAnsi" w:hAnsiTheme="majorHAnsi"/>
        </w:rPr>
        <w:t> </w:t>
      </w:r>
      <w:r w:rsidRPr="00A11FE0">
        <w:rPr>
          <w:rFonts w:asciiTheme="majorHAnsi" w:hAnsiTheme="majorHAnsi"/>
        </w:rPr>
        <w:t>hľadiska</w:t>
      </w:r>
      <w:r w:rsidR="005E5A8A">
        <w:rPr>
          <w:rFonts w:asciiTheme="majorHAnsi" w:hAnsiTheme="majorHAnsi"/>
        </w:rPr>
        <w:t xml:space="preserve"> </w:t>
      </w:r>
      <w:r w:rsidRPr="00A11FE0">
        <w:rPr>
          <w:rFonts w:asciiTheme="majorHAnsi" w:hAnsiTheme="majorHAnsi"/>
        </w:rPr>
        <w:t xml:space="preserve">dosahovania čo najväčších efektov </w:t>
      </w:r>
      <w:r w:rsidR="009A75F4">
        <w:rPr>
          <w:rFonts w:asciiTheme="majorHAnsi" w:hAnsiTheme="majorHAnsi"/>
        </w:rPr>
        <w:t xml:space="preserve">vhodné </w:t>
      </w:r>
      <w:r w:rsidR="00501D3D">
        <w:rPr>
          <w:rFonts w:asciiTheme="majorHAnsi" w:hAnsiTheme="majorHAnsi"/>
        </w:rPr>
        <w:t>rozvíjať existujúce univerzitné vedecké parky a výskumné centrá pri univerzitách a SAV vo väzbe na priority RIS3, ako aj podporiť budovanie priemyselných VVaI kapacít v</w:t>
      </w:r>
      <w:r w:rsidR="00BB0937">
        <w:rPr>
          <w:rFonts w:asciiTheme="majorHAnsi" w:hAnsiTheme="majorHAnsi"/>
        </w:rPr>
        <w:t> </w:t>
      </w:r>
      <w:r w:rsidR="00501D3D">
        <w:rPr>
          <w:rFonts w:asciiTheme="majorHAnsi" w:hAnsiTheme="majorHAnsi"/>
        </w:rPr>
        <w:t>podnikoch</w:t>
      </w:r>
      <w:r w:rsidRPr="00A11FE0">
        <w:rPr>
          <w:rFonts w:asciiTheme="majorHAnsi" w:hAnsiTheme="majorHAnsi"/>
        </w:rPr>
        <w:t>. V</w:t>
      </w:r>
      <w:r w:rsidR="003E461A">
        <w:rPr>
          <w:rFonts w:asciiTheme="majorHAnsi" w:hAnsiTheme="majorHAnsi"/>
        </w:rPr>
        <w:t> </w:t>
      </w:r>
      <w:r w:rsidR="00BD5FD5">
        <w:rPr>
          <w:rFonts w:asciiTheme="majorHAnsi" w:hAnsiTheme="majorHAnsi"/>
        </w:rPr>
        <w:t>s</w:t>
      </w:r>
      <w:r w:rsidRPr="00A11FE0">
        <w:rPr>
          <w:rFonts w:asciiTheme="majorHAnsi" w:hAnsiTheme="majorHAnsi"/>
        </w:rPr>
        <w:t>ídeln</w:t>
      </w:r>
      <w:r w:rsidR="00501D3D">
        <w:rPr>
          <w:rFonts w:asciiTheme="majorHAnsi" w:hAnsiTheme="majorHAnsi"/>
        </w:rPr>
        <w:t>ých</w:t>
      </w:r>
      <w:r w:rsidR="00C80098">
        <w:rPr>
          <w:rFonts w:asciiTheme="majorHAnsi" w:hAnsiTheme="majorHAnsi"/>
        </w:rPr>
        <w:t xml:space="preserve"> </w:t>
      </w:r>
      <w:r w:rsidRPr="00A11FE0">
        <w:rPr>
          <w:rFonts w:asciiTheme="majorHAnsi" w:hAnsiTheme="majorHAnsi"/>
        </w:rPr>
        <w:t>centrá</w:t>
      </w:r>
      <w:r w:rsidR="00501D3D">
        <w:rPr>
          <w:rFonts w:asciiTheme="majorHAnsi" w:hAnsiTheme="majorHAnsi"/>
        </w:rPr>
        <w:t>ch</w:t>
      </w:r>
      <w:r w:rsidRPr="00A11FE0">
        <w:rPr>
          <w:rFonts w:asciiTheme="majorHAnsi" w:hAnsiTheme="majorHAnsi"/>
        </w:rPr>
        <w:t xml:space="preserve"> </w:t>
      </w:r>
      <w:r w:rsidR="00BE49BC" w:rsidRPr="00A11FE0">
        <w:rPr>
          <w:rFonts w:asciiTheme="majorHAnsi" w:hAnsiTheme="majorHAnsi"/>
        </w:rPr>
        <w:t xml:space="preserve">najväčších </w:t>
      </w:r>
      <w:r w:rsidR="00BD5FD5">
        <w:rPr>
          <w:rFonts w:asciiTheme="majorHAnsi" w:hAnsiTheme="majorHAnsi"/>
        </w:rPr>
        <w:t>a </w:t>
      </w:r>
      <w:r w:rsidR="00BE49BC" w:rsidRPr="00A11FE0">
        <w:rPr>
          <w:rFonts w:asciiTheme="majorHAnsi" w:hAnsiTheme="majorHAnsi"/>
        </w:rPr>
        <w:t xml:space="preserve">najvýznamnejších miest (Bratislava </w:t>
      </w:r>
      <w:r w:rsidR="00BD5FD5">
        <w:rPr>
          <w:rFonts w:asciiTheme="majorHAnsi" w:hAnsiTheme="majorHAnsi"/>
        </w:rPr>
        <w:t>a K</w:t>
      </w:r>
      <w:r w:rsidR="00BE49BC" w:rsidRPr="00A11FE0">
        <w:rPr>
          <w:rFonts w:asciiTheme="majorHAnsi" w:hAnsiTheme="majorHAnsi"/>
        </w:rPr>
        <w:t>ošice)</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u </w:t>
      </w:r>
      <w:r w:rsidR="00BD5FD5">
        <w:rPr>
          <w:rFonts w:asciiTheme="majorHAnsi" w:hAnsiTheme="majorHAnsi"/>
        </w:rPr>
        <w:t>k</w:t>
      </w:r>
      <w:r w:rsidRPr="00A11FE0">
        <w:rPr>
          <w:rFonts w:asciiTheme="majorHAnsi" w:hAnsiTheme="majorHAnsi"/>
        </w:rPr>
        <w:t>torým možno z</w:t>
      </w:r>
      <w:r w:rsidR="00C80098">
        <w:rPr>
          <w:rFonts w:asciiTheme="majorHAnsi" w:hAnsiTheme="majorHAnsi"/>
        </w:rPr>
        <w:t> </w:t>
      </w:r>
      <w:r w:rsidRPr="00A11FE0">
        <w:rPr>
          <w:rFonts w:asciiTheme="majorHAnsi" w:hAnsiTheme="majorHAnsi"/>
        </w:rPr>
        <w:t>pohľadu</w:t>
      </w:r>
      <w:r w:rsidR="00C80098">
        <w:rPr>
          <w:rFonts w:asciiTheme="majorHAnsi" w:hAnsiTheme="majorHAnsi"/>
        </w:rPr>
        <w:t xml:space="preserve"> </w:t>
      </w:r>
      <w:r w:rsidRPr="00A11FE0">
        <w:rPr>
          <w:rFonts w:asciiTheme="majorHAnsi" w:hAnsiTheme="majorHAnsi"/>
        </w:rPr>
        <w:t xml:space="preserve">tematického cieľa priradiť </w:t>
      </w:r>
      <w:r w:rsidR="00BD5FD5">
        <w:rPr>
          <w:rFonts w:asciiTheme="majorHAnsi" w:hAnsiTheme="majorHAnsi"/>
        </w:rPr>
        <w:t>a</w:t>
      </w:r>
      <w:r w:rsidRPr="00A11FE0">
        <w:rPr>
          <w:rFonts w:asciiTheme="majorHAnsi" w:hAnsiTheme="majorHAnsi"/>
        </w:rPr>
        <w:t>j mesto Žilina</w:t>
      </w:r>
      <w:r w:rsidR="00530019">
        <w:rPr>
          <w:rFonts w:asciiTheme="majorHAnsi" w:hAnsiTheme="majorHAnsi"/>
        </w:rPr>
        <w:t>,</w:t>
      </w:r>
      <w:r w:rsidR="00501D3D">
        <w:rPr>
          <w:rFonts w:asciiTheme="majorHAnsi" w:hAnsiTheme="majorHAnsi"/>
        </w:rPr>
        <w:t xml:space="preserve"> je vzhľadom na existenciu výskumných zariadení, podmienok vzdelávania a spolupráce výskumných vzdelávacích kapacít, vytvorený predpoklad spolupráce aj z pohľadu sociálneho zázemia pre jeho ďalší rozvoj. Z hľadiska priemyselných VVaI kapacít v</w:t>
      </w:r>
      <w:r w:rsidR="00530019">
        <w:rPr>
          <w:rFonts w:asciiTheme="majorHAnsi" w:hAnsiTheme="majorHAnsi"/>
        </w:rPr>
        <w:t> </w:t>
      </w:r>
      <w:r w:rsidR="00501D3D">
        <w:rPr>
          <w:rFonts w:asciiTheme="majorHAnsi" w:hAnsiTheme="majorHAnsi"/>
        </w:rPr>
        <w:t>podnikoch</w:t>
      </w:r>
      <w:r w:rsidR="00530019">
        <w:rPr>
          <w:rFonts w:asciiTheme="majorHAnsi" w:hAnsiTheme="majorHAnsi"/>
        </w:rPr>
        <w:t>,</w:t>
      </w:r>
      <w:r w:rsidR="00501D3D">
        <w:rPr>
          <w:rFonts w:asciiTheme="majorHAnsi" w:hAnsiTheme="majorHAnsi"/>
        </w:rPr>
        <w:t xml:space="preserve"> je vhodné vychádzať z existujúceho rozloženia priemyslu na Slovensku</w:t>
      </w:r>
      <w:r w:rsidRPr="00A11FE0">
        <w:rPr>
          <w:rFonts w:asciiTheme="majorHAnsi" w:hAnsiTheme="majorHAnsi"/>
        </w:rPr>
        <w:t xml:space="preserve">. Pre ďalší rozvoj </w:t>
      </w:r>
      <w:r w:rsidR="00BD5FD5">
        <w:rPr>
          <w:rFonts w:asciiTheme="majorHAnsi" w:hAnsiTheme="majorHAnsi"/>
        </w:rPr>
        <w:t>ak</w:t>
      </w:r>
      <w:r w:rsidRPr="00A11FE0">
        <w:rPr>
          <w:rFonts w:asciiTheme="majorHAnsi" w:hAnsiTheme="majorHAnsi"/>
        </w:rPr>
        <w:t xml:space="preserve">tivít tematického cieľa </w:t>
      </w:r>
      <w:r w:rsidR="00530019" w:rsidRPr="00A11FE0">
        <w:rPr>
          <w:rFonts w:asciiTheme="majorHAnsi" w:hAnsiTheme="majorHAnsi"/>
        </w:rPr>
        <w:t>podporovan</w:t>
      </w:r>
      <w:r w:rsidR="00530019">
        <w:rPr>
          <w:rFonts w:asciiTheme="majorHAnsi" w:hAnsiTheme="majorHAnsi"/>
        </w:rPr>
        <w:t>ého z</w:t>
      </w:r>
      <w:r w:rsidR="00BB0937">
        <w:rPr>
          <w:rFonts w:asciiTheme="majorHAnsi" w:hAnsiTheme="majorHAnsi"/>
        </w:rPr>
        <w:t> </w:t>
      </w:r>
      <w:r w:rsidRPr="00A11FE0">
        <w:rPr>
          <w:rFonts w:asciiTheme="majorHAnsi" w:hAnsiTheme="majorHAnsi"/>
        </w:rPr>
        <w:t>EŠIF (</w:t>
      </w:r>
      <w:r w:rsidR="00BD5FD5">
        <w:rPr>
          <w:rFonts w:asciiTheme="majorHAnsi" w:hAnsiTheme="majorHAnsi"/>
        </w:rPr>
        <w:t>ak</w:t>
      </w:r>
      <w:r w:rsidRPr="00A11FE0">
        <w:rPr>
          <w:rFonts w:asciiTheme="majorHAnsi" w:hAnsiTheme="majorHAnsi"/>
        </w:rPr>
        <w:t xml:space="preserve">téri výskumu </w:t>
      </w:r>
      <w:r w:rsidR="00BD5FD5">
        <w:rPr>
          <w:rFonts w:asciiTheme="majorHAnsi" w:hAnsiTheme="majorHAnsi"/>
        </w:rPr>
        <w:t>a </w:t>
      </w:r>
      <w:r w:rsidRPr="00A11FE0">
        <w:rPr>
          <w:rFonts w:asciiTheme="majorHAnsi" w:hAnsiTheme="majorHAnsi"/>
        </w:rPr>
        <w:t xml:space="preserve">rozvoja technológií, budovanie </w:t>
      </w:r>
      <w:r w:rsidR="00BD5FD5">
        <w:rPr>
          <w:rFonts w:asciiTheme="majorHAnsi" w:hAnsiTheme="majorHAnsi"/>
        </w:rPr>
        <w:t>k</w:t>
      </w:r>
      <w:r w:rsidRPr="00A11FE0">
        <w:rPr>
          <w:rFonts w:asciiTheme="majorHAnsi" w:hAnsiTheme="majorHAnsi"/>
        </w:rPr>
        <w:t xml:space="preserve">apacít excelentnosti, demonštračné </w:t>
      </w:r>
      <w:r w:rsidR="00BD5FD5">
        <w:rPr>
          <w:rFonts w:asciiTheme="majorHAnsi" w:hAnsiTheme="majorHAnsi"/>
        </w:rPr>
        <w:t>a </w:t>
      </w:r>
      <w:r w:rsidRPr="00A11FE0">
        <w:rPr>
          <w:rFonts w:asciiTheme="majorHAnsi" w:hAnsiTheme="majorHAnsi"/>
        </w:rPr>
        <w:t xml:space="preserve">vzdelávacie centrá </w:t>
      </w:r>
      <w:r w:rsidR="00BD5FD5">
        <w:rPr>
          <w:rFonts w:asciiTheme="majorHAnsi" w:hAnsiTheme="majorHAnsi"/>
        </w:rPr>
        <w:t>a </w:t>
      </w:r>
      <w:r w:rsidRPr="00A11FE0">
        <w:rPr>
          <w:rFonts w:asciiTheme="majorHAnsi" w:hAnsiTheme="majorHAnsi"/>
        </w:rPr>
        <w:t>pod.)</w:t>
      </w:r>
      <w:r w:rsidR="00530019">
        <w:rPr>
          <w:rFonts w:asciiTheme="majorHAnsi" w:hAnsiTheme="majorHAnsi"/>
        </w:rPr>
        <w:t>,</w:t>
      </w:r>
      <w:r w:rsidRPr="00A11FE0">
        <w:rPr>
          <w:rFonts w:asciiTheme="majorHAnsi" w:hAnsiTheme="majorHAnsi"/>
        </w:rPr>
        <w:t xml:space="preserve"> je vhodná </w:t>
      </w:r>
      <w:r w:rsidR="00D06682" w:rsidRPr="00A11FE0">
        <w:rPr>
          <w:rFonts w:asciiTheme="majorHAnsi" w:hAnsiTheme="majorHAnsi"/>
        </w:rPr>
        <w:t xml:space="preserve">ich </w:t>
      </w:r>
      <w:r w:rsidRPr="00A11FE0">
        <w:rPr>
          <w:rFonts w:asciiTheme="majorHAnsi" w:hAnsiTheme="majorHAnsi"/>
        </w:rPr>
        <w:t xml:space="preserve">lokalizácia </w:t>
      </w:r>
      <w:r w:rsidR="00BD5FD5">
        <w:rPr>
          <w:rFonts w:asciiTheme="majorHAnsi" w:hAnsiTheme="majorHAnsi"/>
        </w:rPr>
        <w:t>a</w:t>
      </w:r>
      <w:r w:rsidRPr="00A11FE0">
        <w:rPr>
          <w:rFonts w:asciiTheme="majorHAnsi" w:hAnsiTheme="majorHAnsi"/>
        </w:rPr>
        <w:t xml:space="preserve">j do ostatných </w:t>
      </w:r>
      <w:r w:rsidR="00BD5FD5">
        <w:rPr>
          <w:rFonts w:asciiTheme="majorHAnsi" w:hAnsiTheme="majorHAnsi"/>
        </w:rPr>
        <w:t>k</w:t>
      </w:r>
      <w:r w:rsidRPr="00A11FE0">
        <w:rPr>
          <w:rFonts w:asciiTheme="majorHAnsi" w:hAnsiTheme="majorHAnsi"/>
        </w:rPr>
        <w:t xml:space="preserve">rajských miest </w:t>
      </w:r>
      <w:r w:rsidR="00BD5FD5">
        <w:rPr>
          <w:rFonts w:asciiTheme="majorHAnsi" w:hAnsiTheme="majorHAnsi"/>
        </w:rPr>
        <w:t>a </w:t>
      </w:r>
      <w:r w:rsidRPr="00A11FE0">
        <w:rPr>
          <w:rFonts w:asciiTheme="majorHAnsi" w:hAnsiTheme="majorHAnsi"/>
        </w:rPr>
        <w:t xml:space="preserve">centier osídlenia </w:t>
      </w:r>
      <w:r w:rsidR="0098461B">
        <w:rPr>
          <w:rFonts w:asciiTheme="majorHAnsi" w:hAnsiTheme="majorHAnsi"/>
        </w:rPr>
        <w:t>1.</w:t>
      </w:r>
      <w:r w:rsidR="0098461B" w:rsidRPr="00A11FE0">
        <w:rPr>
          <w:rFonts w:asciiTheme="majorHAnsi" w:hAnsiTheme="majorHAnsi"/>
        </w:rPr>
        <w:t xml:space="preserve"> </w:t>
      </w:r>
      <w:r w:rsidR="00BD5FD5">
        <w:rPr>
          <w:rFonts w:asciiTheme="majorHAnsi" w:hAnsiTheme="majorHAnsi"/>
        </w:rPr>
        <w:t>a</w:t>
      </w:r>
      <w:r w:rsidR="0098461B">
        <w:rPr>
          <w:rFonts w:asciiTheme="majorHAnsi" w:hAnsiTheme="majorHAnsi"/>
        </w:rPr>
        <w:t> 2.</w:t>
      </w:r>
      <w:r w:rsidR="0098461B"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kupiny vymedzených podľa </w:t>
      </w:r>
      <w:r w:rsidR="00BD5FD5">
        <w:rPr>
          <w:rFonts w:asciiTheme="majorHAnsi" w:hAnsiTheme="majorHAnsi"/>
        </w:rPr>
        <w:t>K</w:t>
      </w:r>
      <w:r w:rsidRPr="00A11FE0">
        <w:rPr>
          <w:rFonts w:asciiTheme="majorHAnsi" w:hAnsiTheme="majorHAnsi"/>
        </w:rPr>
        <w:t xml:space="preserve">URS, diferencovane podľa špecifík </w:t>
      </w:r>
      <w:r w:rsidR="00BD5FD5">
        <w:rPr>
          <w:rFonts w:asciiTheme="majorHAnsi" w:hAnsiTheme="majorHAnsi"/>
        </w:rPr>
        <w:t>k</w:t>
      </w:r>
      <w:r w:rsidR="0049567F">
        <w:rPr>
          <w:rFonts w:asciiTheme="majorHAnsi" w:hAnsiTheme="majorHAnsi"/>
        </w:rPr>
        <w:t>o</w:t>
      </w:r>
      <w:r w:rsidRPr="00A11FE0">
        <w:rPr>
          <w:rFonts w:asciiTheme="majorHAnsi" w:hAnsiTheme="majorHAnsi"/>
        </w:rPr>
        <w:t xml:space="preserve">nkrétnych lokalít </w:t>
      </w:r>
      <w:r w:rsidR="00BD5FD5">
        <w:rPr>
          <w:rFonts w:asciiTheme="majorHAnsi" w:hAnsiTheme="majorHAnsi"/>
        </w:rPr>
        <w:t>a</w:t>
      </w:r>
      <w:r w:rsidR="0098461B">
        <w:rPr>
          <w:rFonts w:asciiTheme="majorHAnsi" w:hAnsiTheme="majorHAnsi"/>
        </w:rPr>
        <w:t> </w:t>
      </w:r>
      <w:r w:rsidRPr="00A11FE0">
        <w:rPr>
          <w:rFonts w:asciiTheme="majorHAnsi" w:hAnsiTheme="majorHAnsi"/>
        </w:rPr>
        <w:t>možností</w:t>
      </w:r>
      <w:r w:rsidR="0098461B">
        <w:rPr>
          <w:rFonts w:asciiTheme="majorHAnsi" w:hAnsiTheme="majorHAnsi"/>
        </w:rPr>
        <w:t xml:space="preserve"> </w:t>
      </w:r>
      <w:r w:rsidR="00246E3B" w:rsidRPr="00A11FE0">
        <w:rPr>
          <w:rFonts w:asciiTheme="majorHAnsi" w:hAnsiTheme="majorHAnsi"/>
        </w:rPr>
        <w:t>ich</w:t>
      </w:r>
      <w:r w:rsidRPr="00A11FE0">
        <w:rPr>
          <w:rFonts w:asciiTheme="majorHAnsi" w:hAnsiTheme="majorHAnsi"/>
        </w:rPr>
        <w:t xml:space="preserve"> najefektívnejšie</w:t>
      </w:r>
      <w:r w:rsidR="00246E3B" w:rsidRPr="00A11FE0">
        <w:rPr>
          <w:rFonts w:asciiTheme="majorHAnsi" w:hAnsiTheme="majorHAnsi"/>
        </w:rPr>
        <w:t>ho</w:t>
      </w:r>
      <w:r w:rsidRPr="00A11FE0">
        <w:rPr>
          <w:rFonts w:asciiTheme="majorHAnsi" w:hAnsiTheme="majorHAnsi"/>
        </w:rPr>
        <w:t xml:space="preserve"> previazani</w:t>
      </w:r>
      <w:r w:rsidR="00246E3B" w:rsidRPr="00A11FE0">
        <w:rPr>
          <w:rFonts w:asciiTheme="majorHAnsi" w:hAnsiTheme="majorHAnsi"/>
        </w:rPr>
        <w:t>a</w:t>
      </w:r>
      <w:r w:rsidRPr="00A11FE0">
        <w:rPr>
          <w:rFonts w:asciiTheme="majorHAnsi" w:hAnsiTheme="majorHAnsi"/>
        </w:rPr>
        <w:t xml:space="preserve"> na uplatňovanie výsledkov výskumu. Pri </w:t>
      </w:r>
      <w:r w:rsidR="00BD5FD5">
        <w:rPr>
          <w:rFonts w:asciiTheme="majorHAnsi" w:hAnsiTheme="majorHAnsi"/>
        </w:rPr>
        <w:t>k</w:t>
      </w:r>
      <w:r w:rsidRPr="00A11FE0">
        <w:rPr>
          <w:rFonts w:asciiTheme="majorHAnsi" w:hAnsiTheme="majorHAnsi"/>
        </w:rPr>
        <w:t xml:space="preserve">rajských mestách, okolo </w:t>
      </w:r>
      <w:r w:rsidR="00BD5FD5">
        <w:rPr>
          <w:rFonts w:asciiTheme="majorHAnsi" w:hAnsiTheme="majorHAnsi"/>
        </w:rPr>
        <w:t>k</w:t>
      </w:r>
      <w:r w:rsidR="00466E7E">
        <w:rPr>
          <w:rFonts w:asciiTheme="majorHAnsi" w:hAnsiTheme="majorHAnsi"/>
        </w:rPr>
        <w:t>t</w:t>
      </w:r>
      <w:r w:rsidRPr="00A11FE0">
        <w:rPr>
          <w:rFonts w:asciiTheme="majorHAnsi" w:hAnsiTheme="majorHAnsi"/>
        </w:rPr>
        <w:t xml:space="preserve">orých </w:t>
      </w:r>
      <w:r w:rsidR="00BD5FD5">
        <w:rPr>
          <w:rFonts w:asciiTheme="majorHAnsi" w:hAnsiTheme="majorHAnsi"/>
        </w:rPr>
        <w:t>s</w:t>
      </w:r>
      <w:r w:rsidRPr="00A11FE0">
        <w:rPr>
          <w:rFonts w:asciiTheme="majorHAnsi" w:hAnsiTheme="majorHAnsi"/>
        </w:rPr>
        <w:t xml:space="preserve">ú vytvorené </w:t>
      </w:r>
      <w:r w:rsidR="00BD5FD5">
        <w:rPr>
          <w:rFonts w:asciiTheme="majorHAnsi" w:hAnsiTheme="majorHAnsi"/>
        </w:rPr>
        <w:t>a</w:t>
      </w:r>
      <w:r w:rsidRPr="00A11FE0">
        <w:rPr>
          <w:rFonts w:asciiTheme="majorHAnsi" w:hAnsiTheme="majorHAnsi"/>
        </w:rPr>
        <w:t xml:space="preserve">j najvýznamnejšie funkčné </w:t>
      </w:r>
      <w:r w:rsidR="00BD5FD5">
        <w:rPr>
          <w:rFonts w:asciiTheme="majorHAnsi" w:hAnsiTheme="majorHAnsi"/>
        </w:rPr>
        <w:t>a</w:t>
      </w:r>
      <w:r w:rsidRPr="00A11FE0">
        <w:rPr>
          <w:rFonts w:asciiTheme="majorHAnsi" w:hAnsiTheme="majorHAnsi"/>
        </w:rPr>
        <w:t xml:space="preserve">glomerácie, </w:t>
      </w:r>
      <w:r w:rsidR="00BD5FD5">
        <w:rPr>
          <w:rFonts w:asciiTheme="majorHAnsi" w:hAnsiTheme="majorHAnsi"/>
        </w:rPr>
        <w:t>s</w:t>
      </w:r>
      <w:r w:rsidRPr="00A11FE0">
        <w:rPr>
          <w:rFonts w:asciiTheme="majorHAnsi" w:hAnsiTheme="majorHAnsi"/>
        </w:rPr>
        <w:t xml:space="preserve">ú vhodnými priestormi rozvoja </w:t>
      </w:r>
      <w:r w:rsidR="00BD5FD5">
        <w:rPr>
          <w:rFonts w:asciiTheme="majorHAnsi" w:hAnsiTheme="majorHAnsi"/>
        </w:rPr>
        <w:t>ak</w:t>
      </w:r>
      <w:r w:rsidRPr="00A11FE0">
        <w:rPr>
          <w:rFonts w:asciiTheme="majorHAnsi" w:hAnsiTheme="majorHAnsi"/>
        </w:rPr>
        <w:t xml:space="preserve">tivít </w:t>
      </w:r>
      <w:r w:rsidR="00BD5FD5">
        <w:rPr>
          <w:rFonts w:asciiTheme="majorHAnsi" w:hAnsiTheme="majorHAnsi"/>
        </w:rPr>
        <w:t>a</w:t>
      </w:r>
      <w:r w:rsidRPr="00A11FE0">
        <w:rPr>
          <w:rFonts w:asciiTheme="majorHAnsi" w:hAnsiTheme="majorHAnsi"/>
        </w:rPr>
        <w:t xml:space="preserve">j jadrové </w:t>
      </w:r>
      <w:r w:rsidR="00BD5FD5">
        <w:rPr>
          <w:rFonts w:asciiTheme="majorHAnsi" w:hAnsiTheme="majorHAnsi"/>
        </w:rPr>
        <w:t>a </w:t>
      </w:r>
      <w:r w:rsidRPr="00A11FE0">
        <w:rPr>
          <w:rFonts w:asciiTheme="majorHAnsi" w:hAnsiTheme="majorHAnsi"/>
        </w:rPr>
        <w:t xml:space="preserve">prímestské pásma ťažísk osídlenia prvej úrovne. Jadrové pásma </w:t>
      </w:r>
      <w:r w:rsidR="00BD5FD5">
        <w:rPr>
          <w:rFonts w:asciiTheme="majorHAnsi" w:hAnsiTheme="majorHAnsi"/>
        </w:rPr>
        <w:t>s</w:t>
      </w:r>
      <w:r w:rsidRPr="00A11FE0">
        <w:rPr>
          <w:rFonts w:asciiTheme="majorHAnsi" w:hAnsiTheme="majorHAnsi"/>
        </w:rPr>
        <w:t xml:space="preserve">ú </w:t>
      </w:r>
      <w:r w:rsidR="00BD5FD5">
        <w:rPr>
          <w:rFonts w:asciiTheme="majorHAnsi" w:hAnsiTheme="majorHAnsi"/>
        </w:rPr>
        <w:t>a</w:t>
      </w:r>
      <w:r w:rsidRPr="00A11FE0">
        <w:rPr>
          <w:rFonts w:asciiTheme="majorHAnsi" w:hAnsiTheme="majorHAnsi"/>
        </w:rPr>
        <w:t>j priestormi mestských funkčných území.</w:t>
      </w:r>
    </w:p>
    <w:p w:rsidR="00996677" w:rsidRPr="005D73AB" w:rsidRDefault="00BD5FD5" w:rsidP="00996677">
      <w:pPr>
        <w:rPr>
          <w:rFonts w:asciiTheme="majorHAnsi" w:hAnsiTheme="majorHAnsi"/>
          <w:szCs w:val="22"/>
        </w:rPr>
      </w:pPr>
      <w:r>
        <w:rPr>
          <w:rFonts w:asciiTheme="majorHAnsi" w:hAnsiTheme="majorHAnsi"/>
        </w:rPr>
        <w:t>K </w:t>
      </w:r>
      <w:r w:rsidR="00996677" w:rsidRPr="00A11FE0">
        <w:rPr>
          <w:rFonts w:asciiTheme="majorHAnsi" w:hAnsiTheme="majorHAnsi"/>
        </w:rPr>
        <w:t xml:space="preserve">územiam </w:t>
      </w:r>
      <w:r>
        <w:rPr>
          <w:rFonts w:asciiTheme="majorHAnsi" w:hAnsiTheme="majorHAnsi"/>
        </w:rPr>
        <w:t>s </w:t>
      </w:r>
      <w:r w:rsidR="00996677" w:rsidRPr="00A11FE0">
        <w:rPr>
          <w:rFonts w:asciiTheme="majorHAnsi" w:hAnsiTheme="majorHAnsi"/>
        </w:rPr>
        <w:t xml:space="preserve">najväčším potenciálom realizácie </w:t>
      </w:r>
      <w:r>
        <w:rPr>
          <w:rFonts w:asciiTheme="majorHAnsi" w:hAnsiTheme="majorHAnsi"/>
        </w:rPr>
        <w:t>k</w:t>
      </w:r>
      <w:r w:rsidR="00996677" w:rsidRPr="00A11FE0">
        <w:rPr>
          <w:rFonts w:asciiTheme="majorHAnsi" w:hAnsiTheme="majorHAnsi"/>
        </w:rPr>
        <w:t>ľúčových opatrení pre EPFRV</w:t>
      </w:r>
      <w:r w:rsidR="00530019">
        <w:rPr>
          <w:rFonts w:asciiTheme="majorHAnsi" w:hAnsiTheme="majorHAnsi"/>
        </w:rPr>
        <w:t>,</w:t>
      </w:r>
      <w:r w:rsidR="00996677" w:rsidRPr="00A11FE0">
        <w:rPr>
          <w:rFonts w:asciiTheme="majorHAnsi" w:hAnsiTheme="majorHAnsi"/>
        </w:rPr>
        <w:t xml:space="preserve"> zahŕňajúcich </w:t>
      </w:r>
      <w:r>
        <w:rPr>
          <w:rFonts w:asciiTheme="majorHAnsi" w:hAnsiTheme="majorHAnsi"/>
        </w:rPr>
        <w:t>s</w:t>
      </w:r>
      <w:r w:rsidR="00996677" w:rsidRPr="00A11FE0">
        <w:rPr>
          <w:rFonts w:asciiTheme="majorHAnsi" w:hAnsiTheme="majorHAnsi"/>
        </w:rPr>
        <w:t xml:space="preserve">poluprácu medzi </w:t>
      </w:r>
      <w:r>
        <w:rPr>
          <w:rFonts w:asciiTheme="majorHAnsi" w:hAnsiTheme="majorHAnsi"/>
        </w:rPr>
        <w:t>s</w:t>
      </w:r>
      <w:r w:rsidR="00996677" w:rsidRPr="00A11FE0">
        <w:rPr>
          <w:rFonts w:asciiTheme="majorHAnsi" w:hAnsiTheme="majorHAnsi"/>
        </w:rPr>
        <w:t xml:space="preserve">ektormi poľnohospodárstva, potravinárstva </w:t>
      </w:r>
      <w:r>
        <w:rPr>
          <w:rFonts w:asciiTheme="majorHAnsi" w:hAnsiTheme="majorHAnsi"/>
        </w:rPr>
        <w:t>a </w:t>
      </w:r>
      <w:r w:rsidR="00996677" w:rsidRPr="00A11FE0">
        <w:rPr>
          <w:rFonts w:asciiTheme="majorHAnsi" w:hAnsiTheme="majorHAnsi"/>
        </w:rPr>
        <w:t xml:space="preserve">lesníctva, </w:t>
      </w:r>
      <w:r>
        <w:rPr>
          <w:rFonts w:asciiTheme="majorHAnsi" w:hAnsiTheme="majorHAnsi"/>
        </w:rPr>
        <w:t>ak</w:t>
      </w:r>
      <w:r w:rsidR="00996677" w:rsidRPr="00A11FE0">
        <w:rPr>
          <w:rFonts w:asciiTheme="majorHAnsi" w:hAnsiTheme="majorHAnsi"/>
        </w:rPr>
        <w:t xml:space="preserve">o </w:t>
      </w:r>
      <w:r>
        <w:rPr>
          <w:rFonts w:asciiTheme="majorHAnsi" w:hAnsiTheme="majorHAnsi"/>
        </w:rPr>
        <w:t>a</w:t>
      </w:r>
      <w:r w:rsidR="00996677" w:rsidRPr="00A11FE0">
        <w:rPr>
          <w:rFonts w:asciiTheme="majorHAnsi" w:hAnsiTheme="majorHAnsi"/>
        </w:rPr>
        <w:t xml:space="preserve">j ďalšími </w:t>
      </w:r>
      <w:r>
        <w:rPr>
          <w:rFonts w:asciiTheme="majorHAnsi" w:hAnsiTheme="majorHAnsi"/>
        </w:rPr>
        <w:t>ak</w:t>
      </w:r>
      <w:r w:rsidR="00996677" w:rsidRPr="00A11FE0">
        <w:rPr>
          <w:rFonts w:asciiTheme="majorHAnsi" w:hAnsiTheme="majorHAnsi"/>
        </w:rPr>
        <w:t>térmi</w:t>
      </w:r>
      <w:r w:rsidR="00530019">
        <w:rPr>
          <w:rFonts w:asciiTheme="majorHAnsi" w:hAnsiTheme="majorHAnsi"/>
        </w:rPr>
        <w:t>,</w:t>
      </w:r>
      <w:r w:rsidR="00212DE1" w:rsidRPr="00212DE1">
        <w:rPr>
          <w:rFonts w:asciiTheme="majorHAnsi" w:hAnsiTheme="majorHAnsi"/>
        </w:rPr>
        <w:t xml:space="preserve"> </w:t>
      </w:r>
      <w:r w:rsidR="00212DE1" w:rsidRPr="00A11FE0">
        <w:rPr>
          <w:rFonts w:asciiTheme="majorHAnsi" w:hAnsiTheme="majorHAnsi"/>
        </w:rPr>
        <w:t xml:space="preserve">patria centrá osídlenia 1. </w:t>
      </w:r>
      <w:r w:rsidR="00212DE1">
        <w:rPr>
          <w:rFonts w:asciiTheme="majorHAnsi" w:hAnsiTheme="majorHAnsi"/>
        </w:rPr>
        <w:t>a </w:t>
      </w:r>
      <w:r w:rsidR="00212DE1" w:rsidRPr="00A11FE0">
        <w:rPr>
          <w:rFonts w:asciiTheme="majorHAnsi" w:hAnsiTheme="majorHAnsi"/>
        </w:rPr>
        <w:t xml:space="preserve">2. </w:t>
      </w:r>
      <w:r w:rsidR="00212DE1">
        <w:rPr>
          <w:rFonts w:asciiTheme="majorHAnsi" w:hAnsiTheme="majorHAnsi"/>
        </w:rPr>
        <w:t>s</w:t>
      </w:r>
      <w:r w:rsidR="00212DE1" w:rsidRPr="00A11FE0">
        <w:rPr>
          <w:rFonts w:asciiTheme="majorHAnsi" w:hAnsiTheme="majorHAnsi"/>
        </w:rPr>
        <w:t xml:space="preserve">kupiny podľa lokalizácie existujúcich </w:t>
      </w:r>
      <w:r w:rsidR="00212DE1">
        <w:rPr>
          <w:rFonts w:asciiTheme="majorHAnsi" w:hAnsiTheme="majorHAnsi"/>
        </w:rPr>
        <w:t>k</w:t>
      </w:r>
      <w:r w:rsidR="00212DE1" w:rsidRPr="00A11FE0">
        <w:rPr>
          <w:rFonts w:asciiTheme="majorHAnsi" w:hAnsiTheme="majorHAnsi"/>
        </w:rPr>
        <w:t>apacít v</w:t>
      </w:r>
      <w:r w:rsidR="00BB0937">
        <w:rPr>
          <w:rFonts w:asciiTheme="majorHAnsi" w:hAnsiTheme="majorHAnsi"/>
        </w:rPr>
        <w:t> </w:t>
      </w:r>
      <w:r w:rsidR="00212DE1">
        <w:rPr>
          <w:rFonts w:asciiTheme="majorHAnsi" w:hAnsiTheme="majorHAnsi"/>
        </w:rPr>
        <w:t>s</w:t>
      </w:r>
      <w:r w:rsidR="00212DE1" w:rsidRPr="00A11FE0">
        <w:rPr>
          <w:rFonts w:asciiTheme="majorHAnsi" w:hAnsiTheme="majorHAnsi"/>
        </w:rPr>
        <w:t xml:space="preserve">ektore poľnohospodárstva, potravinárstva </w:t>
      </w:r>
      <w:r w:rsidR="00212DE1">
        <w:rPr>
          <w:rFonts w:asciiTheme="majorHAnsi" w:hAnsiTheme="majorHAnsi"/>
        </w:rPr>
        <w:t>a </w:t>
      </w:r>
      <w:r w:rsidR="00212DE1" w:rsidRPr="00A11FE0">
        <w:rPr>
          <w:rFonts w:asciiTheme="majorHAnsi" w:hAnsiTheme="majorHAnsi"/>
        </w:rPr>
        <w:t>lesníctva</w:t>
      </w:r>
      <w:r w:rsidR="00212DE1">
        <w:rPr>
          <w:rFonts w:asciiTheme="majorHAnsi" w:hAnsiTheme="majorHAnsi"/>
        </w:rPr>
        <w:t>. Tieto centrá sú vhodným územím aj z</w:t>
      </w:r>
      <w:r w:rsidR="00BB0937">
        <w:rPr>
          <w:rFonts w:asciiTheme="majorHAnsi" w:hAnsiTheme="majorHAnsi"/>
        </w:rPr>
        <w:t> </w:t>
      </w:r>
      <w:r w:rsidR="00212DE1">
        <w:rPr>
          <w:rFonts w:asciiTheme="majorHAnsi" w:hAnsiTheme="majorHAnsi"/>
        </w:rPr>
        <w:t>pohľadu</w:t>
      </w:r>
      <w:r w:rsidR="00BB0937">
        <w:rPr>
          <w:rFonts w:asciiTheme="majorHAnsi" w:hAnsiTheme="majorHAnsi"/>
        </w:rPr>
        <w:t xml:space="preserve"> </w:t>
      </w:r>
      <w:r w:rsidR="00996677" w:rsidRPr="00A11FE0">
        <w:rPr>
          <w:rFonts w:asciiTheme="majorHAnsi" w:hAnsiTheme="majorHAnsi"/>
        </w:rPr>
        <w:t xml:space="preserve">vytvárania zoskupení </w:t>
      </w:r>
      <w:r>
        <w:rPr>
          <w:rFonts w:asciiTheme="majorHAnsi" w:hAnsiTheme="majorHAnsi"/>
        </w:rPr>
        <w:t>a s</w:t>
      </w:r>
      <w:r w:rsidR="00996677" w:rsidRPr="00A11FE0">
        <w:rPr>
          <w:rFonts w:asciiTheme="majorHAnsi" w:hAnsiTheme="majorHAnsi"/>
        </w:rPr>
        <w:t xml:space="preserve">ietí, vytvorenia </w:t>
      </w:r>
      <w:r>
        <w:rPr>
          <w:rFonts w:asciiTheme="majorHAnsi" w:hAnsiTheme="majorHAnsi"/>
        </w:rPr>
        <w:t>a </w:t>
      </w:r>
      <w:r w:rsidR="00996677" w:rsidRPr="00A11FE0">
        <w:rPr>
          <w:rFonts w:asciiTheme="majorHAnsi" w:hAnsiTheme="majorHAnsi"/>
        </w:rPr>
        <w:t xml:space="preserve">využívania poradenských </w:t>
      </w:r>
      <w:r>
        <w:rPr>
          <w:rFonts w:asciiTheme="majorHAnsi" w:hAnsiTheme="majorHAnsi"/>
        </w:rPr>
        <w:t>s</w:t>
      </w:r>
      <w:r w:rsidR="00996677" w:rsidRPr="00A11FE0">
        <w:rPr>
          <w:rFonts w:asciiTheme="majorHAnsi" w:hAnsiTheme="majorHAnsi"/>
        </w:rPr>
        <w:t xml:space="preserve">lužieb </w:t>
      </w:r>
      <w:r>
        <w:rPr>
          <w:rFonts w:asciiTheme="majorHAnsi" w:hAnsiTheme="majorHAnsi"/>
        </w:rPr>
        <w:t>a </w:t>
      </w:r>
      <w:r w:rsidR="00996677" w:rsidRPr="00A11FE0">
        <w:rPr>
          <w:rFonts w:asciiTheme="majorHAnsi" w:hAnsiTheme="majorHAnsi"/>
        </w:rPr>
        <w:t xml:space="preserve">vytvárania operačných </w:t>
      </w:r>
      <w:r>
        <w:rPr>
          <w:rFonts w:asciiTheme="majorHAnsi" w:hAnsiTheme="majorHAnsi"/>
        </w:rPr>
        <w:t>s</w:t>
      </w:r>
      <w:r w:rsidR="00996677" w:rsidRPr="00A11FE0">
        <w:rPr>
          <w:rFonts w:asciiTheme="majorHAnsi" w:hAnsiTheme="majorHAnsi"/>
        </w:rPr>
        <w:t xml:space="preserve">kupín </w:t>
      </w:r>
      <w:r>
        <w:rPr>
          <w:rFonts w:asciiTheme="majorHAnsi" w:hAnsiTheme="majorHAnsi"/>
        </w:rPr>
        <w:t>s</w:t>
      </w:r>
      <w:r w:rsidR="00996677" w:rsidRPr="00A11FE0">
        <w:rPr>
          <w:rFonts w:asciiTheme="majorHAnsi" w:hAnsiTheme="majorHAnsi"/>
        </w:rPr>
        <w:t>pájajúcich poľnohospodárov, výskumníkov z</w:t>
      </w:r>
      <w:r w:rsidR="003D00F0">
        <w:rPr>
          <w:rFonts w:asciiTheme="majorHAnsi" w:hAnsiTheme="majorHAnsi"/>
        </w:rPr>
        <w:t> </w:t>
      </w:r>
      <w:r w:rsidR="00996677" w:rsidRPr="00A11FE0">
        <w:rPr>
          <w:rFonts w:asciiTheme="majorHAnsi" w:hAnsiTheme="majorHAnsi"/>
        </w:rPr>
        <w:t>hľadiska</w:t>
      </w:r>
      <w:r w:rsidR="003D00F0">
        <w:rPr>
          <w:rFonts w:asciiTheme="majorHAnsi" w:hAnsiTheme="majorHAnsi"/>
        </w:rPr>
        <w:t xml:space="preserve"> </w:t>
      </w:r>
      <w:r w:rsidR="00996677" w:rsidRPr="00A11FE0">
        <w:rPr>
          <w:rFonts w:asciiTheme="majorHAnsi" w:hAnsiTheme="majorHAnsi"/>
        </w:rPr>
        <w:t xml:space="preserve">územnej </w:t>
      </w:r>
      <w:r>
        <w:rPr>
          <w:rFonts w:asciiTheme="majorHAnsi" w:hAnsiTheme="majorHAnsi"/>
        </w:rPr>
        <w:t>k</w:t>
      </w:r>
      <w:r w:rsidR="00996677" w:rsidRPr="00A11FE0">
        <w:rPr>
          <w:rFonts w:asciiTheme="majorHAnsi" w:hAnsiTheme="majorHAnsi"/>
        </w:rPr>
        <w:t>oncentrácie.</w:t>
      </w:r>
      <w:r w:rsidR="0075629A" w:rsidRPr="00A11FE0">
        <w:rPr>
          <w:rFonts w:asciiTheme="majorHAnsi" w:hAnsiTheme="majorHAnsi"/>
        </w:rPr>
        <w:t xml:space="preserve"> Podľa miestnych podmienok na lokalizáciu týchto zariadení </w:t>
      </w:r>
      <w:r>
        <w:rPr>
          <w:rFonts w:asciiTheme="majorHAnsi" w:hAnsiTheme="majorHAnsi"/>
        </w:rPr>
        <w:t>s</w:t>
      </w:r>
      <w:r w:rsidR="0075629A" w:rsidRPr="00A11FE0">
        <w:rPr>
          <w:rFonts w:asciiTheme="majorHAnsi" w:hAnsiTheme="majorHAnsi"/>
        </w:rPr>
        <w:t xml:space="preserve">ú z hľadiska </w:t>
      </w:r>
      <w:r>
        <w:rPr>
          <w:rFonts w:asciiTheme="majorHAnsi" w:hAnsiTheme="majorHAnsi"/>
        </w:rPr>
        <w:t>a</w:t>
      </w:r>
      <w:r w:rsidR="0075629A" w:rsidRPr="00A11FE0">
        <w:rPr>
          <w:rFonts w:asciiTheme="majorHAnsi" w:hAnsiTheme="majorHAnsi"/>
        </w:rPr>
        <w:t xml:space="preserve">glomeračných </w:t>
      </w:r>
      <w:r w:rsidR="0075629A" w:rsidRPr="00A11FE0">
        <w:rPr>
          <w:rFonts w:asciiTheme="majorHAnsi" w:hAnsiTheme="majorHAnsi"/>
          <w:szCs w:val="22"/>
        </w:rPr>
        <w:t xml:space="preserve">efektov vhodné </w:t>
      </w:r>
      <w:r>
        <w:rPr>
          <w:rFonts w:asciiTheme="majorHAnsi" w:hAnsiTheme="majorHAnsi"/>
          <w:szCs w:val="22"/>
        </w:rPr>
        <w:t>a</w:t>
      </w:r>
      <w:r w:rsidR="0075629A" w:rsidRPr="00A11FE0">
        <w:rPr>
          <w:rFonts w:asciiTheme="majorHAnsi" w:hAnsiTheme="majorHAnsi"/>
          <w:szCs w:val="22"/>
        </w:rPr>
        <w:t>j priestory prímestských pásiem ťažísk osídlenia prvej úrovne.</w:t>
      </w:r>
    </w:p>
    <w:p w:rsidR="00606227" w:rsidRPr="00A11FE0" w:rsidRDefault="00606227" w:rsidP="002E282D">
      <w:pPr>
        <w:pStyle w:val="Nadpis4"/>
        <w:numPr>
          <w:ilvl w:val="3"/>
          <w:numId w:val="2"/>
        </w:numPr>
      </w:pPr>
      <w:bookmarkStart w:id="22" w:name="_Toc373169695"/>
      <w:r w:rsidRPr="00A11FE0">
        <w:lastRenderedPageBreak/>
        <w:t>TC</w:t>
      </w:r>
      <w:r w:rsidR="00665324">
        <w:t xml:space="preserve"> </w:t>
      </w:r>
      <w:r w:rsidRPr="00A11FE0">
        <w:t xml:space="preserve">2: Zlepšenie prístupu </w:t>
      </w:r>
      <w:r w:rsidR="00BD5FD5">
        <w:t>k </w:t>
      </w:r>
      <w:r w:rsidRPr="00A11FE0">
        <w:t xml:space="preserve">informáciám </w:t>
      </w:r>
      <w:r w:rsidR="00BD5FD5">
        <w:t>a </w:t>
      </w:r>
      <w:r w:rsidR="00FE5DE5" w:rsidRPr="00A11FE0">
        <w:t>IKT</w:t>
      </w:r>
      <w:r w:rsidRPr="00A11FE0">
        <w:t xml:space="preserve"> </w:t>
      </w:r>
      <w:r w:rsidR="00BD5FD5">
        <w:t>a </w:t>
      </w:r>
      <w:r w:rsidRPr="00A11FE0">
        <w:t xml:space="preserve">zlepšenie ich využívania </w:t>
      </w:r>
      <w:r w:rsidR="00BD5FD5">
        <w:t>a k</w:t>
      </w:r>
      <w:r w:rsidRPr="00A11FE0">
        <w:t>vality</w:t>
      </w:r>
      <w:bookmarkEnd w:id="22"/>
    </w:p>
    <w:p w:rsidR="00820B4C" w:rsidRPr="00A11FE0" w:rsidRDefault="00DB2BDF" w:rsidP="00820B4C">
      <w:pPr>
        <w:rPr>
          <w:rFonts w:asciiTheme="majorHAnsi" w:hAnsiTheme="majorHAnsi"/>
          <w:noProof/>
        </w:rPr>
      </w:pPr>
      <w:r w:rsidRPr="00A11FE0">
        <w:rPr>
          <w:rFonts w:asciiTheme="majorHAnsi" w:hAnsiTheme="majorHAnsi"/>
        </w:rPr>
        <w:t>O</w:t>
      </w:r>
      <w:r w:rsidR="00B61C19" w:rsidRPr="00A11FE0">
        <w:rPr>
          <w:rFonts w:asciiTheme="majorHAnsi" w:hAnsiTheme="majorHAnsi"/>
        </w:rPr>
        <w:t xml:space="preserve">dvetvia </w:t>
      </w:r>
      <w:r w:rsidR="00334679" w:rsidRPr="00A11FE0">
        <w:rPr>
          <w:rFonts w:asciiTheme="majorHAnsi" w:hAnsiTheme="majorHAnsi"/>
        </w:rPr>
        <w:t>digitálnej ekonomiky (ďalej len „</w:t>
      </w:r>
      <w:r w:rsidRPr="00A11FE0">
        <w:rPr>
          <w:rFonts w:asciiTheme="majorHAnsi" w:hAnsiTheme="majorHAnsi"/>
        </w:rPr>
        <w:t>DE</w:t>
      </w:r>
      <w:r w:rsidR="00334679" w:rsidRPr="00A11FE0">
        <w:rPr>
          <w:rFonts w:asciiTheme="majorHAnsi" w:hAnsiTheme="majorHAnsi"/>
        </w:rPr>
        <w:t>“)</w:t>
      </w:r>
      <w:r w:rsidR="00B61C19" w:rsidRPr="00A11FE0">
        <w:rPr>
          <w:rFonts w:asciiTheme="majorHAnsi" w:hAnsiTheme="majorHAnsi"/>
        </w:rPr>
        <w:t xml:space="preserve"> ponúkajú dostatok voľných</w:t>
      </w:r>
      <w:r w:rsidR="00B61C19" w:rsidRPr="00A11FE0">
        <w:rPr>
          <w:rStyle w:val="Odkaznapoznmkupodiarou"/>
          <w:rFonts w:asciiTheme="majorHAnsi" w:hAnsiTheme="majorHAnsi"/>
        </w:rPr>
        <w:footnoteReference w:id="23"/>
      </w:r>
      <w:r w:rsidR="00B61C19" w:rsidRPr="00A11FE0">
        <w:rPr>
          <w:rFonts w:asciiTheme="majorHAnsi" w:hAnsiTheme="majorHAnsi"/>
        </w:rPr>
        <w:t xml:space="preserve"> </w:t>
      </w:r>
      <w:r w:rsidR="00BD5FD5">
        <w:rPr>
          <w:rFonts w:asciiTheme="majorHAnsi" w:hAnsiTheme="majorHAnsi"/>
        </w:rPr>
        <w:t>a </w:t>
      </w:r>
      <w:r w:rsidR="00B61C19" w:rsidRPr="00A11FE0">
        <w:rPr>
          <w:rFonts w:asciiTheme="majorHAnsi" w:hAnsiTheme="majorHAnsi"/>
        </w:rPr>
        <w:t xml:space="preserve">najlepšie </w:t>
      </w:r>
      <w:r w:rsidR="00212DE1">
        <w:rPr>
          <w:rFonts w:asciiTheme="majorHAnsi" w:hAnsiTheme="majorHAnsi"/>
        </w:rPr>
        <w:t>finančne ohodnotených</w:t>
      </w:r>
      <w:r w:rsidR="00212DE1" w:rsidRPr="00A11FE0">
        <w:rPr>
          <w:rFonts w:asciiTheme="majorHAnsi" w:hAnsiTheme="majorHAnsi"/>
        </w:rPr>
        <w:t xml:space="preserve"> </w:t>
      </w:r>
      <w:r w:rsidR="00B61C19" w:rsidRPr="00A11FE0">
        <w:rPr>
          <w:rFonts w:asciiTheme="majorHAnsi" w:hAnsiTheme="majorHAnsi"/>
        </w:rPr>
        <w:t>pracovných miest</w:t>
      </w:r>
      <w:r w:rsidR="00B61C19" w:rsidRPr="00A11FE0">
        <w:rPr>
          <w:rStyle w:val="Odkaznapoznmkupodiarou"/>
          <w:rFonts w:asciiTheme="majorHAnsi" w:hAnsiTheme="majorHAnsi"/>
        </w:rPr>
        <w:footnoteReference w:id="24"/>
      </w:r>
      <w:r w:rsidR="00D06682" w:rsidRPr="00A11FE0">
        <w:rPr>
          <w:rFonts w:asciiTheme="majorHAnsi" w:hAnsiTheme="majorHAnsi"/>
        </w:rPr>
        <w:t>.</w:t>
      </w:r>
      <w:r w:rsidR="00530019">
        <w:rPr>
          <w:rFonts w:asciiTheme="majorHAnsi" w:hAnsiTheme="majorHAnsi"/>
        </w:rPr>
        <w:t xml:space="preserve"> </w:t>
      </w:r>
      <w:r w:rsidR="00D06682" w:rsidRPr="00A11FE0">
        <w:rPr>
          <w:rFonts w:asciiTheme="majorHAnsi" w:hAnsiTheme="majorHAnsi"/>
        </w:rPr>
        <w:t>P</w:t>
      </w:r>
      <w:r w:rsidR="00B61C19" w:rsidRPr="00A11FE0">
        <w:rPr>
          <w:rFonts w:asciiTheme="majorHAnsi" w:hAnsiTheme="majorHAnsi"/>
        </w:rPr>
        <w:t xml:space="preserve">oužívanie IKT zásadne zvyšuje produktivitu práce ľudí na pracovisku, mobilitu </w:t>
      </w:r>
      <w:r w:rsidR="00BD5FD5">
        <w:rPr>
          <w:rFonts w:asciiTheme="majorHAnsi" w:hAnsiTheme="majorHAnsi"/>
        </w:rPr>
        <w:t>a</w:t>
      </w:r>
      <w:r w:rsidR="00334679" w:rsidRPr="00A11FE0">
        <w:rPr>
          <w:rFonts w:asciiTheme="majorHAnsi" w:hAnsiTheme="majorHAnsi"/>
        </w:rPr>
        <w:t> </w:t>
      </w:r>
      <w:r w:rsidR="00BD5FD5">
        <w:rPr>
          <w:rFonts w:asciiTheme="majorHAnsi" w:hAnsiTheme="majorHAnsi"/>
        </w:rPr>
        <w:t>k</w:t>
      </w:r>
      <w:r w:rsidR="00B61C19" w:rsidRPr="00A11FE0">
        <w:rPr>
          <w:rFonts w:asciiTheme="majorHAnsi" w:hAnsiTheme="majorHAnsi"/>
        </w:rPr>
        <w:t>valitu</w:t>
      </w:r>
      <w:r w:rsidR="00334679" w:rsidRPr="00A11FE0">
        <w:rPr>
          <w:rFonts w:asciiTheme="majorHAnsi" w:hAnsiTheme="majorHAnsi"/>
        </w:rPr>
        <w:t xml:space="preserve"> </w:t>
      </w:r>
      <w:r w:rsidR="00B61C19" w:rsidRPr="00A11FE0">
        <w:rPr>
          <w:rFonts w:asciiTheme="majorHAnsi" w:hAnsiTheme="majorHAnsi"/>
        </w:rPr>
        <w:t xml:space="preserve">voľného času. </w:t>
      </w:r>
      <w:r w:rsidR="00BD5FD5">
        <w:rPr>
          <w:rFonts w:asciiTheme="majorHAnsi" w:hAnsiTheme="majorHAnsi"/>
          <w:noProof/>
        </w:rPr>
        <w:t>S</w:t>
      </w:r>
      <w:r w:rsidR="00820B4C" w:rsidRPr="00A11FE0">
        <w:rPr>
          <w:rFonts w:asciiTheme="majorHAnsi" w:hAnsiTheme="majorHAnsi"/>
          <w:noProof/>
        </w:rPr>
        <w:t xml:space="preserve">tratégia </w:t>
      </w:r>
      <w:r w:rsidR="00992762">
        <w:rPr>
          <w:rFonts w:asciiTheme="majorHAnsi" w:hAnsiTheme="majorHAnsi"/>
          <w:noProof/>
        </w:rPr>
        <w:t>E</w:t>
      </w:r>
      <w:r w:rsidR="00E207F0">
        <w:rPr>
          <w:rFonts w:asciiTheme="majorHAnsi" w:hAnsiTheme="majorHAnsi"/>
          <w:noProof/>
        </w:rPr>
        <w:t>ur</w:t>
      </w:r>
      <w:r w:rsidR="00820B4C" w:rsidRPr="00A11FE0">
        <w:rPr>
          <w:rFonts w:asciiTheme="majorHAnsi" w:hAnsiTheme="majorHAnsi"/>
          <w:noProof/>
        </w:rPr>
        <w:t>ópa 2020 pripisuje IKT 50 %</w:t>
      </w:r>
      <w:r w:rsidR="00D6711C" w:rsidRPr="00A11FE0">
        <w:rPr>
          <w:rFonts w:asciiTheme="majorHAnsi" w:hAnsiTheme="majorHAnsi"/>
          <w:noProof/>
        </w:rPr>
        <w:t>-ný</w:t>
      </w:r>
      <w:r w:rsidR="00820B4C" w:rsidRPr="00A11FE0">
        <w:rPr>
          <w:rFonts w:asciiTheme="majorHAnsi" w:hAnsiTheme="majorHAnsi"/>
          <w:noProof/>
        </w:rPr>
        <w:t xml:space="preserve"> podiel na hospodárskom raste EÚ za posledných 15 rokov </w:t>
      </w:r>
      <w:r w:rsidR="00BD5FD5">
        <w:rPr>
          <w:rFonts w:asciiTheme="majorHAnsi" w:hAnsiTheme="majorHAnsi"/>
          <w:noProof/>
        </w:rPr>
        <w:t>a</w:t>
      </w:r>
      <w:r w:rsidR="00222C12">
        <w:rPr>
          <w:rFonts w:asciiTheme="majorHAnsi" w:hAnsiTheme="majorHAnsi"/>
          <w:noProof/>
        </w:rPr>
        <w:t> </w:t>
      </w:r>
      <w:r w:rsidR="00820B4C" w:rsidRPr="00A11FE0">
        <w:rPr>
          <w:rFonts w:asciiTheme="majorHAnsi" w:hAnsiTheme="majorHAnsi"/>
          <w:noProof/>
        </w:rPr>
        <w:t>považuje</w:t>
      </w:r>
      <w:r w:rsidR="00222C12">
        <w:rPr>
          <w:rFonts w:asciiTheme="majorHAnsi" w:hAnsiTheme="majorHAnsi"/>
          <w:noProof/>
        </w:rPr>
        <w:t xml:space="preserve"> </w:t>
      </w:r>
      <w:r w:rsidR="00751B11" w:rsidRPr="00A11FE0">
        <w:rPr>
          <w:rFonts w:asciiTheme="majorHAnsi" w:hAnsiTheme="majorHAnsi"/>
          <w:noProof/>
        </w:rPr>
        <w:t>DE</w:t>
      </w:r>
      <w:r w:rsidR="00820B4C" w:rsidRPr="00A11FE0">
        <w:rPr>
          <w:rStyle w:val="Odkaznapoznmkupodiarou"/>
          <w:rFonts w:asciiTheme="majorHAnsi" w:hAnsiTheme="majorHAnsi"/>
        </w:rPr>
        <w:footnoteReference w:id="25"/>
      </w:r>
      <w:r w:rsidR="00820B4C" w:rsidRPr="00A11FE0">
        <w:rPr>
          <w:rFonts w:asciiTheme="majorHAnsi" w:hAnsiTheme="majorHAnsi"/>
          <w:noProof/>
        </w:rPr>
        <w:t xml:space="preserve"> za hlavný motor pokrízového zotavenia </w:t>
      </w:r>
      <w:r w:rsidR="00B46F8C">
        <w:rPr>
          <w:rFonts w:asciiTheme="majorHAnsi" w:hAnsiTheme="majorHAnsi"/>
          <w:noProof/>
        </w:rPr>
        <w:t>e</w:t>
      </w:r>
      <w:r w:rsidR="00E207F0">
        <w:rPr>
          <w:rFonts w:asciiTheme="majorHAnsi" w:hAnsiTheme="majorHAnsi"/>
          <w:noProof/>
        </w:rPr>
        <w:t>ur</w:t>
      </w:r>
      <w:r w:rsidR="00820B4C" w:rsidRPr="00A11FE0">
        <w:rPr>
          <w:rFonts w:asciiTheme="majorHAnsi" w:hAnsiTheme="majorHAnsi"/>
          <w:noProof/>
        </w:rPr>
        <w:t>ópskeho hospodárstva.</w:t>
      </w:r>
    </w:p>
    <w:p w:rsidR="00B61C19" w:rsidRPr="00A11FE0" w:rsidRDefault="005F77BE" w:rsidP="00B61C19">
      <w:pPr>
        <w:rPr>
          <w:rFonts w:asciiTheme="majorHAnsi" w:hAnsiTheme="majorHAnsi"/>
        </w:rPr>
      </w:pPr>
      <w:r w:rsidRPr="003F0750">
        <w:rPr>
          <w:rFonts w:asciiTheme="majorHAnsi" w:hAnsiTheme="majorHAnsi"/>
          <w:noProof/>
          <w:lang w:eastAsia="sk-SK"/>
        </w:rPr>
        <w:drawing>
          <wp:anchor distT="0" distB="0" distL="114300" distR="114300" simplePos="0" relativeHeight="251782144" behindDoc="0" locked="0" layoutInCell="1" allowOverlap="1" wp14:anchorId="3BBDCFD3" wp14:editId="7BDAB5C1">
            <wp:simplePos x="0" y="0"/>
            <wp:positionH relativeFrom="column">
              <wp:posOffset>2886075</wp:posOffset>
            </wp:positionH>
            <wp:positionV relativeFrom="paragraph">
              <wp:posOffset>7620</wp:posOffset>
            </wp:positionV>
            <wp:extent cx="2967355" cy="2874010"/>
            <wp:effectExtent l="0" t="0" r="4445" b="2540"/>
            <wp:wrapSquare wrapText="bothSides"/>
            <wp:docPr id="5" name="Obrázok 5" descr="C:\Users\kolejakova\AppData\Local\Microsoft\Windows\Temporary Internet Files\Content.Outlook\86X7PDNM\gr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ejakova\AppData\Local\Microsoft\Windows\Temporary Internet Files\Content.Outlook\86X7PDNM\gra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7355" cy="2874010"/>
                    </a:xfrm>
                    <a:prstGeom prst="rect">
                      <a:avLst/>
                    </a:prstGeom>
                    <a:noFill/>
                    <a:ln>
                      <a:noFill/>
                    </a:ln>
                  </pic:spPr>
                </pic:pic>
              </a:graphicData>
            </a:graphic>
            <wp14:sizeRelH relativeFrom="page">
              <wp14:pctWidth>0</wp14:pctWidth>
            </wp14:sizeRelH>
            <wp14:sizeRelV relativeFrom="page">
              <wp14:pctHeight>0</wp14:pctHeight>
            </wp14:sizeRelV>
          </wp:anchor>
        </w:drawing>
      </w:r>
      <w:r w:rsidR="00B61C19" w:rsidRPr="00A11FE0">
        <w:rPr>
          <w:rFonts w:asciiTheme="majorHAnsi" w:hAnsiTheme="majorHAnsi"/>
        </w:rPr>
        <w:t xml:space="preserve">Odvetvia DE zamestnávali </w:t>
      </w:r>
      <w:r w:rsidR="00BD5FD5">
        <w:rPr>
          <w:rFonts w:asciiTheme="majorHAnsi" w:hAnsiTheme="majorHAnsi"/>
        </w:rPr>
        <w:t>k</w:t>
      </w:r>
      <w:r w:rsidR="00B61C19" w:rsidRPr="00A11FE0">
        <w:rPr>
          <w:rFonts w:asciiTheme="majorHAnsi" w:hAnsiTheme="majorHAnsi"/>
        </w:rPr>
        <w:t> 1. polroku 2012 v</w:t>
      </w:r>
      <w:r>
        <w:rPr>
          <w:rFonts w:asciiTheme="majorHAnsi" w:hAnsiTheme="majorHAnsi"/>
        </w:rPr>
        <w:t> </w:t>
      </w:r>
      <w:r w:rsidR="00BD5FD5">
        <w:rPr>
          <w:rFonts w:asciiTheme="majorHAnsi" w:hAnsiTheme="majorHAnsi"/>
        </w:rPr>
        <w:t>S</w:t>
      </w:r>
      <w:r w:rsidR="00B61C19" w:rsidRPr="00A11FE0">
        <w:rPr>
          <w:rFonts w:asciiTheme="majorHAnsi" w:hAnsiTheme="majorHAnsi"/>
        </w:rPr>
        <w:t>R 56 tisíc zamestnancov (2,5</w:t>
      </w:r>
      <w:r w:rsidR="00D6711C" w:rsidRPr="00A11FE0">
        <w:rPr>
          <w:rFonts w:asciiTheme="majorHAnsi" w:hAnsiTheme="majorHAnsi"/>
        </w:rPr>
        <w:t xml:space="preserve"> </w:t>
      </w:r>
      <w:r w:rsidR="00B61C19" w:rsidRPr="00A11FE0">
        <w:rPr>
          <w:rFonts w:asciiTheme="majorHAnsi" w:hAnsiTheme="majorHAnsi"/>
        </w:rPr>
        <w:t xml:space="preserve">% celkovej zamestnanosti </w:t>
      </w:r>
      <w:r w:rsidR="00BD5FD5">
        <w:rPr>
          <w:rFonts w:asciiTheme="majorHAnsi" w:hAnsiTheme="majorHAnsi"/>
        </w:rPr>
        <w:t>S</w:t>
      </w:r>
      <w:r w:rsidR="00B61C19" w:rsidRPr="00A11FE0">
        <w:rPr>
          <w:rFonts w:asciiTheme="majorHAnsi" w:hAnsiTheme="majorHAnsi"/>
        </w:rPr>
        <w:t xml:space="preserve">R), pričom viac </w:t>
      </w:r>
      <w:r w:rsidR="00BD5FD5">
        <w:rPr>
          <w:rFonts w:asciiTheme="majorHAnsi" w:hAnsiTheme="majorHAnsi"/>
        </w:rPr>
        <w:t>ak</w:t>
      </w:r>
      <w:r w:rsidR="00B61C19" w:rsidRPr="00A11FE0">
        <w:rPr>
          <w:rFonts w:asciiTheme="majorHAnsi" w:hAnsiTheme="majorHAnsi"/>
        </w:rPr>
        <w:t xml:space="preserve">o </w:t>
      </w:r>
      <w:r w:rsidR="00A940EE">
        <w:rPr>
          <w:rFonts w:asciiTheme="majorHAnsi" w:hAnsiTheme="majorHAnsi"/>
        </w:rPr>
        <w:t xml:space="preserve">dve tretiny z nich je </w:t>
      </w:r>
      <w:r w:rsidR="00B61C19" w:rsidRPr="00A11FE0">
        <w:rPr>
          <w:rFonts w:asciiTheme="majorHAnsi" w:hAnsiTheme="majorHAnsi"/>
        </w:rPr>
        <w:t>zamestnaných v </w:t>
      </w:r>
      <w:r w:rsidR="004F7230" w:rsidRPr="004F7230">
        <w:rPr>
          <w:rFonts w:asciiTheme="majorHAnsi" w:hAnsiTheme="majorHAnsi"/>
        </w:rPr>
        <w:t>MSP</w:t>
      </w:r>
      <w:r w:rsidR="00B61C19" w:rsidRPr="00A11FE0">
        <w:rPr>
          <w:rFonts w:asciiTheme="majorHAnsi" w:hAnsiTheme="majorHAnsi"/>
        </w:rPr>
        <w:t xml:space="preserve">. </w:t>
      </w:r>
      <w:r w:rsidR="00F83B1A" w:rsidRPr="00A11FE0">
        <w:rPr>
          <w:rFonts w:asciiTheme="majorHAnsi" w:hAnsiTheme="majorHAnsi"/>
          <w:noProof/>
        </w:rPr>
        <w:t>P</w:t>
      </w:r>
      <w:r w:rsidR="00B61C19" w:rsidRPr="00A11FE0">
        <w:rPr>
          <w:rFonts w:asciiTheme="majorHAnsi" w:hAnsiTheme="majorHAnsi"/>
          <w:noProof/>
        </w:rPr>
        <w:t xml:space="preserve">odiel </w:t>
      </w:r>
      <w:r w:rsidR="00751B11" w:rsidRPr="00A11FE0">
        <w:rPr>
          <w:rFonts w:asciiTheme="majorHAnsi" w:hAnsiTheme="majorHAnsi"/>
          <w:noProof/>
        </w:rPr>
        <w:t>DE</w:t>
      </w:r>
      <w:r w:rsidR="00B61C19" w:rsidRPr="00A11FE0">
        <w:rPr>
          <w:rFonts w:asciiTheme="majorHAnsi" w:hAnsiTheme="majorHAnsi"/>
          <w:noProof/>
        </w:rPr>
        <w:t xml:space="preserve"> na HDP (vyjadrenom v hrubej pridanej hodnote)</w:t>
      </w:r>
      <w:r w:rsidR="00F83B1A" w:rsidRPr="00A11FE0">
        <w:rPr>
          <w:rFonts w:asciiTheme="majorHAnsi" w:hAnsiTheme="majorHAnsi"/>
          <w:noProof/>
        </w:rPr>
        <w:t xml:space="preserve"> bol</w:t>
      </w:r>
      <w:r w:rsidR="00B61C19" w:rsidRPr="00A11FE0">
        <w:rPr>
          <w:rFonts w:asciiTheme="majorHAnsi" w:hAnsiTheme="majorHAnsi"/>
          <w:noProof/>
        </w:rPr>
        <w:t xml:space="preserve"> 4,7</w:t>
      </w:r>
      <w:r w:rsidR="00625D19" w:rsidRPr="00A11FE0">
        <w:rPr>
          <w:rFonts w:asciiTheme="majorHAnsi" w:hAnsiTheme="majorHAnsi"/>
          <w:noProof/>
        </w:rPr>
        <w:t xml:space="preserve"> </w:t>
      </w:r>
      <w:r w:rsidR="00B61C19" w:rsidRPr="00A11FE0">
        <w:rPr>
          <w:rFonts w:asciiTheme="majorHAnsi" w:hAnsiTheme="majorHAnsi"/>
          <w:noProof/>
        </w:rPr>
        <w:t xml:space="preserve">%, čím predstihol odvetvia </w:t>
      </w:r>
      <w:r w:rsidR="00BD5FD5">
        <w:rPr>
          <w:rFonts w:asciiTheme="majorHAnsi" w:hAnsiTheme="majorHAnsi"/>
          <w:noProof/>
        </w:rPr>
        <w:t>ak</w:t>
      </w:r>
      <w:r w:rsidR="00B61C19" w:rsidRPr="00A11FE0">
        <w:rPr>
          <w:rFonts w:asciiTheme="majorHAnsi" w:hAnsiTheme="majorHAnsi"/>
          <w:noProof/>
        </w:rPr>
        <w:t xml:space="preserve">o je poľnohospodárstvo, bankový </w:t>
      </w:r>
      <w:r w:rsidR="00BD5FD5">
        <w:rPr>
          <w:rFonts w:asciiTheme="majorHAnsi" w:hAnsiTheme="majorHAnsi"/>
          <w:noProof/>
        </w:rPr>
        <w:t>s</w:t>
      </w:r>
      <w:r w:rsidR="00B61C19" w:rsidRPr="00A11FE0">
        <w:rPr>
          <w:rFonts w:asciiTheme="majorHAnsi" w:hAnsiTheme="majorHAnsi"/>
          <w:noProof/>
        </w:rPr>
        <w:t xml:space="preserve">ektor </w:t>
      </w:r>
      <w:r w:rsidR="00BD5FD5">
        <w:rPr>
          <w:rFonts w:asciiTheme="majorHAnsi" w:hAnsiTheme="majorHAnsi"/>
          <w:noProof/>
        </w:rPr>
        <w:t>a </w:t>
      </w:r>
      <w:r w:rsidR="00B61C19" w:rsidRPr="00A11FE0">
        <w:rPr>
          <w:rFonts w:asciiTheme="majorHAnsi" w:hAnsiTheme="majorHAnsi"/>
          <w:noProof/>
        </w:rPr>
        <w:t>dosta</w:t>
      </w:r>
      <w:r w:rsidR="00D80F1D" w:rsidRPr="00A11FE0">
        <w:rPr>
          <w:rFonts w:asciiTheme="majorHAnsi" w:hAnsiTheme="majorHAnsi"/>
          <w:noProof/>
        </w:rPr>
        <w:t>l</w:t>
      </w:r>
      <w:r w:rsidR="00B61C19" w:rsidRPr="00A11FE0">
        <w:rPr>
          <w:rFonts w:asciiTheme="majorHAnsi" w:hAnsiTheme="majorHAnsi"/>
          <w:noProof/>
        </w:rPr>
        <w:t xml:space="preserve"> </w:t>
      </w:r>
      <w:r w:rsidR="00BD5FD5">
        <w:rPr>
          <w:rFonts w:asciiTheme="majorHAnsi" w:hAnsiTheme="majorHAnsi"/>
          <w:noProof/>
        </w:rPr>
        <w:t>s</w:t>
      </w:r>
      <w:r w:rsidR="00B61C19" w:rsidRPr="00A11FE0">
        <w:rPr>
          <w:rFonts w:asciiTheme="majorHAnsi" w:hAnsiTheme="majorHAnsi"/>
          <w:noProof/>
        </w:rPr>
        <w:t>a na úroveň maloobchodu</w:t>
      </w:r>
      <w:r w:rsidR="00B61C19" w:rsidRPr="00A11FE0">
        <w:rPr>
          <w:rStyle w:val="Odkaznapoznmkupodiarou"/>
          <w:rFonts w:asciiTheme="majorHAnsi" w:hAnsiTheme="majorHAnsi"/>
          <w:noProof/>
        </w:rPr>
        <w:footnoteReference w:id="26"/>
      </w:r>
      <w:r w:rsidR="00B61C19" w:rsidRPr="00A11FE0">
        <w:rPr>
          <w:rFonts w:asciiTheme="majorHAnsi" w:hAnsiTheme="majorHAnsi"/>
          <w:noProof/>
        </w:rPr>
        <w:t>.</w:t>
      </w:r>
      <w:r w:rsidR="0078745D" w:rsidRPr="0078745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B61C19" w:rsidRPr="00A11FE0" w:rsidRDefault="00BD5FD5" w:rsidP="00B61C19">
      <w:pPr>
        <w:rPr>
          <w:rFonts w:asciiTheme="majorHAnsi" w:hAnsiTheme="majorHAnsi"/>
        </w:rPr>
      </w:pPr>
      <w:r>
        <w:rPr>
          <w:rFonts w:asciiTheme="majorHAnsi" w:hAnsiTheme="majorHAnsi"/>
        </w:rPr>
        <w:t>S</w:t>
      </w:r>
      <w:r w:rsidR="00B61C19" w:rsidRPr="00A11FE0">
        <w:rPr>
          <w:rFonts w:asciiTheme="majorHAnsi" w:hAnsiTheme="majorHAnsi"/>
        </w:rPr>
        <w:t xml:space="preserve">R patrí </w:t>
      </w:r>
      <w:r w:rsidR="00212DE1">
        <w:rPr>
          <w:rFonts w:asciiTheme="majorHAnsi" w:hAnsiTheme="majorHAnsi"/>
        </w:rPr>
        <w:t xml:space="preserve">za </w:t>
      </w:r>
      <w:r w:rsidR="00B61C19" w:rsidRPr="00A11FE0">
        <w:rPr>
          <w:rFonts w:asciiTheme="majorHAnsi" w:hAnsiTheme="majorHAnsi"/>
        </w:rPr>
        <w:t xml:space="preserve">posledné roky do </w:t>
      </w:r>
      <w:r>
        <w:rPr>
          <w:rFonts w:asciiTheme="majorHAnsi" w:hAnsiTheme="majorHAnsi"/>
        </w:rPr>
        <w:t>s</w:t>
      </w:r>
      <w:r w:rsidR="00B61C19" w:rsidRPr="00A11FE0">
        <w:rPr>
          <w:rFonts w:asciiTheme="majorHAnsi" w:hAnsiTheme="majorHAnsi"/>
        </w:rPr>
        <w:t xml:space="preserve">kupiny </w:t>
      </w:r>
      <w:r w:rsidR="00DB2BDF" w:rsidRPr="00A11FE0">
        <w:rPr>
          <w:rFonts w:asciiTheme="majorHAnsi" w:hAnsiTheme="majorHAnsi"/>
        </w:rPr>
        <w:t>lídrov v</w:t>
      </w:r>
      <w:r w:rsidR="00A76D88" w:rsidRPr="00A11FE0">
        <w:rPr>
          <w:rFonts w:asciiTheme="majorHAnsi" w:hAnsiTheme="majorHAnsi"/>
        </w:rPr>
        <w:t> </w:t>
      </w:r>
      <w:r w:rsidR="00B61C19" w:rsidRPr="00A11FE0">
        <w:rPr>
          <w:rFonts w:asciiTheme="majorHAnsi" w:hAnsiTheme="majorHAnsi"/>
        </w:rPr>
        <w:t>dynamik</w:t>
      </w:r>
      <w:r w:rsidR="00DB2BDF" w:rsidRPr="00A11FE0">
        <w:rPr>
          <w:rFonts w:asciiTheme="majorHAnsi" w:hAnsiTheme="majorHAnsi"/>
        </w:rPr>
        <w:t>e</w:t>
      </w:r>
      <w:r w:rsidR="00A76D88" w:rsidRPr="00A11FE0">
        <w:rPr>
          <w:rFonts w:asciiTheme="majorHAnsi" w:hAnsiTheme="majorHAnsi"/>
        </w:rPr>
        <w:t xml:space="preserve"> </w:t>
      </w:r>
      <w:r w:rsidR="00B61C19" w:rsidRPr="00A11FE0">
        <w:rPr>
          <w:rFonts w:asciiTheme="majorHAnsi" w:hAnsiTheme="majorHAnsi"/>
        </w:rPr>
        <w:t xml:space="preserve">rastu HDP vytvoreného v odvetviach </w:t>
      </w:r>
      <w:r w:rsidR="00751B11" w:rsidRPr="00A11FE0">
        <w:rPr>
          <w:rFonts w:asciiTheme="majorHAnsi" w:hAnsiTheme="majorHAnsi"/>
        </w:rPr>
        <w:t>DE</w:t>
      </w:r>
      <w:r w:rsidR="00F85F8D" w:rsidRPr="00A11FE0">
        <w:rPr>
          <w:rFonts w:asciiTheme="majorHAnsi" w:hAnsiTheme="majorHAnsi"/>
        </w:rPr>
        <w:t xml:space="preserve"> </w:t>
      </w:r>
      <w:r>
        <w:rPr>
          <w:rFonts w:asciiTheme="majorHAnsi" w:hAnsiTheme="majorHAnsi"/>
        </w:rPr>
        <w:t>a</w:t>
      </w:r>
      <w:r w:rsidR="00212DE1">
        <w:rPr>
          <w:rFonts w:asciiTheme="majorHAnsi" w:hAnsiTheme="majorHAnsi"/>
        </w:rPr>
        <w:t xml:space="preserve"> je </w:t>
      </w:r>
      <w:r w:rsidR="00F85F8D" w:rsidRPr="00A11FE0">
        <w:rPr>
          <w:rFonts w:asciiTheme="majorHAnsi" w:hAnsiTheme="majorHAnsi"/>
        </w:rPr>
        <w:t xml:space="preserve">najrýchlejšie rastúcim exportérom IKT </w:t>
      </w:r>
      <w:r>
        <w:rPr>
          <w:rFonts w:asciiTheme="majorHAnsi" w:hAnsiTheme="majorHAnsi"/>
        </w:rPr>
        <w:t>s</w:t>
      </w:r>
      <w:r w:rsidR="00F85F8D" w:rsidRPr="00A11FE0">
        <w:rPr>
          <w:rFonts w:asciiTheme="majorHAnsi" w:hAnsiTheme="majorHAnsi"/>
        </w:rPr>
        <w:t>lužieb</w:t>
      </w:r>
      <w:r w:rsidR="00F85F8D" w:rsidRPr="00A11FE0">
        <w:rPr>
          <w:rStyle w:val="Odkaznapoznmkupodiarou"/>
          <w:rFonts w:asciiTheme="majorHAnsi" w:hAnsiTheme="majorHAnsi"/>
        </w:rPr>
        <w:footnoteReference w:id="27"/>
      </w:r>
      <w:r w:rsidR="00B61C19" w:rsidRPr="00A11FE0">
        <w:rPr>
          <w:rFonts w:asciiTheme="majorHAnsi" w:hAnsiTheme="majorHAnsi"/>
        </w:rPr>
        <w:t xml:space="preserve">. Predpokladá </w:t>
      </w:r>
      <w:r>
        <w:rPr>
          <w:rFonts w:asciiTheme="majorHAnsi" w:hAnsiTheme="majorHAnsi"/>
        </w:rPr>
        <w:t>s</w:t>
      </w:r>
      <w:r w:rsidR="00B61C19" w:rsidRPr="00A11FE0">
        <w:rPr>
          <w:rFonts w:asciiTheme="majorHAnsi" w:hAnsiTheme="majorHAnsi"/>
        </w:rPr>
        <w:t>a, že DE v </w:t>
      </w:r>
      <w:r>
        <w:rPr>
          <w:rFonts w:asciiTheme="majorHAnsi" w:hAnsiTheme="majorHAnsi"/>
        </w:rPr>
        <w:t>S</w:t>
      </w:r>
      <w:r w:rsidR="00B61C19" w:rsidRPr="00A11FE0">
        <w:rPr>
          <w:rFonts w:asciiTheme="majorHAnsi" w:hAnsiTheme="majorHAnsi"/>
        </w:rPr>
        <w:t xml:space="preserve">R bude rásť ročne o 12 %. Zároveň </w:t>
      </w:r>
      <w:r>
        <w:rPr>
          <w:rFonts w:asciiTheme="majorHAnsi" w:hAnsiTheme="majorHAnsi"/>
        </w:rPr>
        <w:t>s</w:t>
      </w:r>
      <w:r w:rsidR="00B61C19" w:rsidRPr="00A11FE0">
        <w:rPr>
          <w:rFonts w:asciiTheme="majorHAnsi" w:hAnsiTheme="majorHAnsi"/>
        </w:rPr>
        <w:t xml:space="preserve">a predpokladá, že </w:t>
      </w:r>
      <w:r w:rsidR="00D6711C" w:rsidRPr="00A11FE0">
        <w:rPr>
          <w:rFonts w:asciiTheme="majorHAnsi" w:hAnsiTheme="majorHAnsi"/>
        </w:rPr>
        <w:t>ť</w:t>
      </w:r>
      <w:r w:rsidR="00B61C19" w:rsidRPr="00A11FE0">
        <w:rPr>
          <w:rFonts w:asciiTheme="majorHAnsi" w:hAnsiTheme="majorHAnsi"/>
        </w:rPr>
        <w:t xml:space="preserve">ahúňmi rastu budú </w:t>
      </w:r>
      <w:r>
        <w:rPr>
          <w:rFonts w:asciiTheme="majorHAnsi" w:hAnsiTheme="majorHAnsi"/>
        </w:rPr>
        <w:t>s</w:t>
      </w:r>
      <w:r w:rsidR="00B61C19" w:rsidRPr="00A11FE0">
        <w:rPr>
          <w:rFonts w:asciiTheme="majorHAnsi" w:hAnsiTheme="majorHAnsi"/>
        </w:rPr>
        <w:t xml:space="preserve">úkromná </w:t>
      </w:r>
      <w:r>
        <w:rPr>
          <w:rFonts w:asciiTheme="majorHAnsi" w:hAnsiTheme="majorHAnsi"/>
        </w:rPr>
        <w:t>s</w:t>
      </w:r>
      <w:r w:rsidR="00B61C19" w:rsidRPr="00A11FE0">
        <w:rPr>
          <w:rFonts w:asciiTheme="majorHAnsi" w:hAnsiTheme="majorHAnsi"/>
        </w:rPr>
        <w:t xml:space="preserve">potreba, export IKT </w:t>
      </w:r>
      <w:r>
        <w:rPr>
          <w:rFonts w:asciiTheme="majorHAnsi" w:hAnsiTheme="majorHAnsi"/>
        </w:rPr>
        <w:t>s</w:t>
      </w:r>
      <w:r w:rsidR="00B61C19" w:rsidRPr="00A11FE0">
        <w:rPr>
          <w:rFonts w:asciiTheme="majorHAnsi" w:hAnsiTheme="majorHAnsi"/>
        </w:rPr>
        <w:t xml:space="preserve">lužieb </w:t>
      </w:r>
      <w:r>
        <w:rPr>
          <w:rFonts w:asciiTheme="majorHAnsi" w:hAnsiTheme="majorHAnsi"/>
        </w:rPr>
        <w:t>a s</w:t>
      </w:r>
      <w:r w:rsidR="00B61C19" w:rsidRPr="00A11FE0">
        <w:rPr>
          <w:rFonts w:asciiTheme="majorHAnsi" w:hAnsiTheme="majorHAnsi"/>
        </w:rPr>
        <w:t xml:space="preserve">oftvéru. Čistý export IKT </w:t>
      </w:r>
      <w:r>
        <w:rPr>
          <w:rFonts w:asciiTheme="majorHAnsi" w:hAnsiTheme="majorHAnsi"/>
        </w:rPr>
        <w:t>s</w:t>
      </w:r>
      <w:r w:rsidR="00B61C19" w:rsidRPr="00A11FE0">
        <w:rPr>
          <w:rFonts w:asciiTheme="majorHAnsi" w:hAnsiTheme="majorHAnsi"/>
        </w:rPr>
        <w:t xml:space="preserve">lužieb </w:t>
      </w:r>
      <w:r>
        <w:rPr>
          <w:rFonts w:asciiTheme="majorHAnsi" w:hAnsiTheme="majorHAnsi"/>
        </w:rPr>
        <w:t>a s</w:t>
      </w:r>
      <w:r w:rsidR="00B61C19" w:rsidRPr="00A11FE0">
        <w:rPr>
          <w:rFonts w:asciiTheme="majorHAnsi" w:hAnsiTheme="majorHAnsi"/>
        </w:rPr>
        <w:t xml:space="preserve">oftvéru by mal byť hlavným faktorom rastu </w:t>
      </w:r>
      <w:r>
        <w:rPr>
          <w:rFonts w:asciiTheme="majorHAnsi" w:hAnsiTheme="majorHAnsi"/>
        </w:rPr>
        <w:t>s </w:t>
      </w:r>
      <w:r w:rsidR="00B61C19" w:rsidRPr="00A11FE0">
        <w:rPr>
          <w:rFonts w:asciiTheme="majorHAnsi" w:hAnsiTheme="majorHAnsi"/>
        </w:rPr>
        <w:t>príspevkom dosahujúcim 51</w:t>
      </w:r>
      <w:r w:rsidR="00625D19" w:rsidRPr="00A11FE0">
        <w:rPr>
          <w:rFonts w:asciiTheme="majorHAnsi" w:hAnsiTheme="majorHAnsi"/>
        </w:rPr>
        <w:t> </w:t>
      </w:r>
      <w:r w:rsidR="00B61C19" w:rsidRPr="00A11FE0">
        <w:rPr>
          <w:rFonts w:asciiTheme="majorHAnsi" w:hAnsiTheme="majorHAnsi"/>
        </w:rPr>
        <w:t>%</w:t>
      </w:r>
      <w:r w:rsidR="00B61C19" w:rsidRPr="00A11FE0">
        <w:rPr>
          <w:rStyle w:val="Odkaznapoznmkupodiarou"/>
          <w:rFonts w:asciiTheme="majorHAnsi" w:hAnsiTheme="majorHAnsi"/>
        </w:rPr>
        <w:footnoteReference w:id="28"/>
      </w:r>
      <w:r w:rsidR="00B61C19" w:rsidRPr="00A11FE0">
        <w:rPr>
          <w:rFonts w:asciiTheme="majorHAnsi" w:hAnsiTheme="majorHAnsi"/>
        </w:rPr>
        <w:t>.</w:t>
      </w:r>
    </w:p>
    <w:p w:rsidR="004C0E67" w:rsidRDefault="00BD5FD5" w:rsidP="00800165">
      <w:pPr>
        <w:rPr>
          <w:rFonts w:asciiTheme="majorHAnsi" w:hAnsiTheme="majorHAnsi"/>
        </w:rPr>
      </w:pPr>
      <w:r>
        <w:rPr>
          <w:rFonts w:asciiTheme="majorHAnsi" w:hAnsiTheme="majorHAnsi"/>
        </w:rPr>
        <w:t>S</w:t>
      </w:r>
      <w:r w:rsidR="00F51A71" w:rsidRPr="00A11FE0">
        <w:rPr>
          <w:rFonts w:asciiTheme="majorHAnsi" w:hAnsiTheme="majorHAnsi"/>
        </w:rPr>
        <w:t xml:space="preserve">R </w:t>
      </w:r>
      <w:r w:rsidR="00B61C19" w:rsidRPr="00A11FE0">
        <w:rPr>
          <w:rFonts w:asciiTheme="majorHAnsi" w:hAnsiTheme="majorHAnsi"/>
        </w:rPr>
        <w:t xml:space="preserve">však </w:t>
      </w:r>
      <w:r w:rsidR="00F85F8D" w:rsidRPr="00A11FE0">
        <w:rPr>
          <w:rFonts w:asciiTheme="majorHAnsi" w:hAnsiTheme="majorHAnsi"/>
        </w:rPr>
        <w:t xml:space="preserve">zaostáva </w:t>
      </w:r>
      <w:r w:rsidR="00B61C19" w:rsidRPr="00A11FE0">
        <w:rPr>
          <w:rFonts w:asciiTheme="majorHAnsi" w:hAnsiTheme="majorHAnsi"/>
        </w:rPr>
        <w:t xml:space="preserve">za </w:t>
      </w:r>
      <w:r>
        <w:rPr>
          <w:rFonts w:asciiTheme="majorHAnsi" w:hAnsiTheme="majorHAnsi"/>
        </w:rPr>
        <w:t>k</w:t>
      </w:r>
      <w:r w:rsidR="00B61C19" w:rsidRPr="00A11FE0">
        <w:rPr>
          <w:rFonts w:asciiTheme="majorHAnsi" w:hAnsiTheme="majorHAnsi"/>
        </w:rPr>
        <w:t xml:space="preserve">rajinami </w:t>
      </w:r>
      <w:r>
        <w:rPr>
          <w:rFonts w:asciiTheme="majorHAnsi" w:hAnsiTheme="majorHAnsi"/>
        </w:rPr>
        <w:t>s</w:t>
      </w:r>
      <w:r w:rsidR="00B61C19" w:rsidRPr="00A11FE0">
        <w:rPr>
          <w:rFonts w:asciiTheme="majorHAnsi" w:hAnsiTheme="majorHAnsi"/>
        </w:rPr>
        <w:t xml:space="preserve"> najvyspelejšou </w:t>
      </w:r>
      <w:r w:rsidR="00751B11" w:rsidRPr="00A11FE0">
        <w:rPr>
          <w:rFonts w:asciiTheme="majorHAnsi" w:hAnsiTheme="majorHAnsi"/>
        </w:rPr>
        <w:t>DE</w:t>
      </w:r>
      <w:r w:rsidR="00B61C19" w:rsidRPr="00A11FE0">
        <w:rPr>
          <w:rStyle w:val="Odkaznapoznmkupodiarou"/>
          <w:rFonts w:asciiTheme="majorHAnsi" w:hAnsiTheme="majorHAnsi"/>
        </w:rPr>
        <w:footnoteReference w:id="29"/>
      </w:r>
      <w:r w:rsidR="00B61C19" w:rsidRPr="00A11FE0">
        <w:rPr>
          <w:rFonts w:asciiTheme="majorHAnsi" w:hAnsiTheme="majorHAnsi"/>
        </w:rPr>
        <w:t xml:space="preserve"> (USA, Nórsko, </w:t>
      </w:r>
      <w:r>
        <w:rPr>
          <w:rFonts w:asciiTheme="majorHAnsi" w:hAnsiTheme="majorHAnsi"/>
        </w:rPr>
        <w:t>S</w:t>
      </w:r>
      <w:r w:rsidR="00B61C19" w:rsidRPr="00A11FE0">
        <w:rPr>
          <w:rFonts w:asciiTheme="majorHAnsi" w:hAnsiTheme="majorHAnsi"/>
        </w:rPr>
        <w:t xml:space="preserve">ingapur), </w:t>
      </w:r>
      <w:r>
        <w:rPr>
          <w:rFonts w:asciiTheme="majorHAnsi" w:hAnsiTheme="majorHAnsi"/>
        </w:rPr>
        <w:t>ak</w:t>
      </w:r>
      <w:r w:rsidR="00B61C19" w:rsidRPr="00A11FE0">
        <w:rPr>
          <w:rFonts w:asciiTheme="majorHAnsi" w:hAnsiTheme="majorHAnsi"/>
        </w:rPr>
        <w:t xml:space="preserve">o </w:t>
      </w:r>
      <w:r>
        <w:rPr>
          <w:rFonts w:asciiTheme="majorHAnsi" w:hAnsiTheme="majorHAnsi"/>
        </w:rPr>
        <w:t>a</w:t>
      </w:r>
      <w:r w:rsidR="00B61C19" w:rsidRPr="00A11FE0">
        <w:rPr>
          <w:rFonts w:asciiTheme="majorHAnsi" w:hAnsiTheme="majorHAnsi"/>
        </w:rPr>
        <w:t xml:space="preserve">j za </w:t>
      </w:r>
      <w:r>
        <w:rPr>
          <w:rFonts w:asciiTheme="majorHAnsi" w:hAnsiTheme="majorHAnsi"/>
        </w:rPr>
        <w:t>s</w:t>
      </w:r>
      <w:r w:rsidR="00B61C19" w:rsidRPr="00A11FE0">
        <w:rPr>
          <w:rFonts w:asciiTheme="majorHAnsi" w:hAnsiTheme="majorHAnsi"/>
        </w:rPr>
        <w:t xml:space="preserve">vojimi </w:t>
      </w:r>
      <w:r>
        <w:rPr>
          <w:rFonts w:asciiTheme="majorHAnsi" w:hAnsiTheme="majorHAnsi"/>
        </w:rPr>
        <w:t>s</w:t>
      </w:r>
      <w:r w:rsidR="00B61C19" w:rsidRPr="00A11FE0">
        <w:rPr>
          <w:rFonts w:asciiTheme="majorHAnsi" w:hAnsiTheme="majorHAnsi"/>
        </w:rPr>
        <w:t xml:space="preserve">usedmi </w:t>
      </w:r>
      <w:r w:rsidR="00887672" w:rsidRPr="00A11FE0">
        <w:rPr>
          <w:rFonts w:asciiTheme="majorHAnsi" w:hAnsiTheme="majorHAnsi"/>
        </w:rPr>
        <w:t xml:space="preserve">v EÚ </w:t>
      </w:r>
      <w:r w:rsidR="00B61C19" w:rsidRPr="00A11FE0">
        <w:rPr>
          <w:rFonts w:asciiTheme="majorHAnsi" w:hAnsiTheme="majorHAnsi"/>
        </w:rPr>
        <w:t>(Česko, Rakúsko) v mnohých parametroch</w:t>
      </w:r>
      <w:r w:rsidR="00B61C19" w:rsidRPr="00A11FE0">
        <w:rPr>
          <w:rStyle w:val="Odkaznapoznmkupodiarou"/>
          <w:rFonts w:asciiTheme="majorHAnsi" w:hAnsiTheme="majorHAnsi"/>
        </w:rPr>
        <w:footnoteReference w:id="30"/>
      </w:r>
      <w:r w:rsidR="006F753F" w:rsidRPr="00A11FE0">
        <w:rPr>
          <w:rFonts w:asciiTheme="majorHAnsi" w:hAnsiTheme="majorHAnsi"/>
        </w:rPr>
        <w:t xml:space="preserve">, </w:t>
      </w:r>
      <w:r>
        <w:rPr>
          <w:rFonts w:asciiTheme="majorHAnsi" w:hAnsiTheme="majorHAnsi"/>
        </w:rPr>
        <w:t>ak</w:t>
      </w:r>
      <w:r w:rsidR="006F753F" w:rsidRPr="00A11FE0">
        <w:rPr>
          <w:rFonts w:asciiTheme="majorHAnsi" w:hAnsiTheme="majorHAnsi"/>
        </w:rPr>
        <w:t xml:space="preserve">o napr. nízka úroveň </w:t>
      </w:r>
      <w:r w:rsidR="00B61C19" w:rsidRPr="00A11FE0">
        <w:rPr>
          <w:rFonts w:asciiTheme="majorHAnsi" w:hAnsiTheme="majorHAnsi"/>
        </w:rPr>
        <w:t xml:space="preserve">penetrácie širokopásmového internetu, najmä na vidieku, </w:t>
      </w:r>
      <w:r w:rsidR="006F753F" w:rsidRPr="00A11FE0">
        <w:rPr>
          <w:rFonts w:asciiTheme="majorHAnsi" w:hAnsiTheme="majorHAnsi"/>
        </w:rPr>
        <w:t xml:space="preserve">relatívne nízka </w:t>
      </w:r>
      <w:r>
        <w:rPr>
          <w:rFonts w:asciiTheme="majorHAnsi" w:hAnsiTheme="majorHAnsi"/>
        </w:rPr>
        <w:t>a</w:t>
      </w:r>
      <w:r w:rsidR="00B61C19" w:rsidRPr="00A11FE0">
        <w:rPr>
          <w:rFonts w:asciiTheme="majorHAnsi" w:hAnsiTheme="majorHAnsi"/>
        </w:rPr>
        <w:t xml:space="preserve">ngažovanosť verejnej </w:t>
      </w:r>
      <w:r>
        <w:rPr>
          <w:rFonts w:asciiTheme="majorHAnsi" w:hAnsiTheme="majorHAnsi"/>
        </w:rPr>
        <w:t>s</w:t>
      </w:r>
      <w:r w:rsidR="00B61C19" w:rsidRPr="00A11FE0">
        <w:rPr>
          <w:rFonts w:asciiTheme="majorHAnsi" w:hAnsiTheme="majorHAnsi"/>
        </w:rPr>
        <w:t xml:space="preserve">právy </w:t>
      </w:r>
      <w:r>
        <w:rPr>
          <w:rFonts w:asciiTheme="majorHAnsi" w:hAnsiTheme="majorHAnsi"/>
        </w:rPr>
        <w:t>a</w:t>
      </w:r>
      <w:r w:rsidR="00B61C19" w:rsidRPr="00A11FE0">
        <w:rPr>
          <w:rFonts w:asciiTheme="majorHAnsi" w:hAnsiTheme="majorHAnsi"/>
        </w:rPr>
        <w:t xml:space="preserve"> podnikov v online </w:t>
      </w:r>
      <w:r>
        <w:rPr>
          <w:rFonts w:asciiTheme="majorHAnsi" w:hAnsiTheme="majorHAnsi"/>
        </w:rPr>
        <w:t>s</w:t>
      </w:r>
      <w:r w:rsidR="00B61C19" w:rsidRPr="00A11FE0">
        <w:rPr>
          <w:rFonts w:asciiTheme="majorHAnsi" w:hAnsiTheme="majorHAnsi"/>
        </w:rPr>
        <w:t>lužbách</w:t>
      </w:r>
      <w:r w:rsidR="00530019">
        <w:rPr>
          <w:rFonts w:asciiTheme="majorHAnsi" w:hAnsiTheme="majorHAnsi"/>
        </w:rPr>
        <w:t xml:space="preserve">, </w:t>
      </w:r>
      <w:r w:rsidR="00B61C19" w:rsidRPr="00A11FE0">
        <w:rPr>
          <w:rFonts w:asciiTheme="majorHAnsi" w:hAnsiTheme="majorHAnsi"/>
        </w:rPr>
        <w:t>penetrácia digitálnych technológií</w:t>
      </w:r>
      <w:r w:rsidR="00530019">
        <w:rPr>
          <w:rFonts w:asciiTheme="majorHAnsi" w:hAnsiTheme="majorHAnsi"/>
        </w:rPr>
        <w:t xml:space="preserve"> a</w:t>
      </w:r>
      <w:r w:rsidR="006F753F" w:rsidRPr="00A11FE0">
        <w:rPr>
          <w:rFonts w:asciiTheme="majorHAnsi" w:hAnsiTheme="majorHAnsi"/>
        </w:rPr>
        <w:t xml:space="preserve"> nízke investície do</w:t>
      </w:r>
      <w:r w:rsidR="00B61C19" w:rsidRPr="00A11FE0">
        <w:rPr>
          <w:rFonts w:asciiTheme="majorHAnsi" w:hAnsiTheme="majorHAnsi"/>
        </w:rPr>
        <w:t xml:space="preserve"> V</w:t>
      </w:r>
      <w:r w:rsidR="0061036F" w:rsidRPr="00A11FE0">
        <w:rPr>
          <w:rFonts w:asciiTheme="majorHAnsi" w:hAnsiTheme="majorHAnsi"/>
        </w:rPr>
        <w:t>a</w:t>
      </w:r>
      <w:r w:rsidR="00B61C19" w:rsidRPr="00A11FE0">
        <w:rPr>
          <w:rFonts w:asciiTheme="majorHAnsi" w:hAnsiTheme="majorHAnsi"/>
        </w:rPr>
        <w:t>V</w:t>
      </w:r>
      <w:r w:rsidR="00AC3086">
        <w:rPr>
          <w:rFonts w:asciiTheme="majorHAnsi" w:hAnsiTheme="majorHAnsi"/>
        </w:rPr>
        <w:t xml:space="preserve">. Významným deficitom SR je </w:t>
      </w:r>
      <w:r w:rsidR="007B053C" w:rsidRPr="00A11FE0">
        <w:rPr>
          <w:rFonts w:asciiTheme="majorHAnsi" w:hAnsiTheme="majorHAnsi"/>
        </w:rPr>
        <w:t xml:space="preserve">nedostatok </w:t>
      </w:r>
      <w:r>
        <w:rPr>
          <w:rFonts w:asciiTheme="majorHAnsi" w:hAnsiTheme="majorHAnsi"/>
        </w:rPr>
        <w:t>a</w:t>
      </w:r>
      <w:r w:rsidR="00DF117A" w:rsidRPr="00A11FE0">
        <w:rPr>
          <w:rFonts w:asciiTheme="majorHAnsi" w:hAnsiTheme="majorHAnsi"/>
        </w:rPr>
        <w:t>bsolventov</w:t>
      </w:r>
      <w:r w:rsidR="007B053C" w:rsidRPr="00A11FE0">
        <w:rPr>
          <w:rFonts w:asciiTheme="majorHAnsi" w:hAnsiTheme="majorHAnsi"/>
        </w:rPr>
        <w:t xml:space="preserve"> </w:t>
      </w:r>
      <w:r>
        <w:rPr>
          <w:rFonts w:asciiTheme="majorHAnsi" w:hAnsiTheme="majorHAnsi"/>
        </w:rPr>
        <w:t>s </w:t>
      </w:r>
      <w:r w:rsidR="007B053C" w:rsidRPr="00A11FE0">
        <w:rPr>
          <w:rFonts w:asciiTheme="majorHAnsi" w:hAnsiTheme="majorHAnsi"/>
        </w:rPr>
        <w:t>potrebnými IKT zručnosťami</w:t>
      </w:r>
      <w:r w:rsidR="00AF3CA6" w:rsidRPr="00A11FE0">
        <w:rPr>
          <w:rFonts w:asciiTheme="majorHAnsi" w:hAnsiTheme="majorHAnsi"/>
        </w:rPr>
        <w:t xml:space="preserve">, po </w:t>
      </w:r>
      <w:r>
        <w:rPr>
          <w:rFonts w:asciiTheme="majorHAnsi" w:hAnsiTheme="majorHAnsi"/>
        </w:rPr>
        <w:t>k</w:t>
      </w:r>
      <w:r w:rsidR="00AF3CA6" w:rsidRPr="00A11FE0">
        <w:rPr>
          <w:rFonts w:asciiTheme="majorHAnsi" w:hAnsiTheme="majorHAnsi"/>
        </w:rPr>
        <w:t>torých je n</w:t>
      </w:r>
      <w:r w:rsidR="00820B4C" w:rsidRPr="00A11FE0">
        <w:rPr>
          <w:rFonts w:asciiTheme="majorHAnsi" w:hAnsiTheme="majorHAnsi"/>
        </w:rPr>
        <w:t xml:space="preserve">a </w:t>
      </w:r>
      <w:r w:rsidR="00AF3CA6" w:rsidRPr="00A11FE0">
        <w:rPr>
          <w:rFonts w:asciiTheme="majorHAnsi" w:hAnsiTheme="majorHAnsi"/>
        </w:rPr>
        <w:t xml:space="preserve">trhu práce na </w:t>
      </w:r>
      <w:r w:rsidR="00820B4C" w:rsidRPr="00A11FE0">
        <w:rPr>
          <w:rFonts w:asciiTheme="majorHAnsi" w:hAnsiTheme="majorHAnsi"/>
        </w:rPr>
        <w:t>základe indexu záujmu</w:t>
      </w:r>
      <w:r w:rsidR="00887672" w:rsidRPr="00A11FE0">
        <w:rPr>
          <w:rFonts w:asciiTheme="majorHAnsi" w:hAnsiTheme="majorHAnsi"/>
        </w:rPr>
        <w:t xml:space="preserve"> zamestnávateľov najväčší dopyt</w:t>
      </w:r>
      <w:r w:rsidR="00887672" w:rsidRPr="00A11FE0">
        <w:rPr>
          <w:rStyle w:val="Odkaznapoznmkupodiarou"/>
          <w:rFonts w:asciiTheme="majorHAnsi" w:hAnsiTheme="majorHAnsi"/>
        </w:rPr>
        <w:t xml:space="preserve"> </w:t>
      </w:r>
      <w:r w:rsidR="00820B4C" w:rsidRPr="00A11FE0">
        <w:rPr>
          <w:rStyle w:val="Odkaznapoznmkupodiarou"/>
          <w:rFonts w:asciiTheme="majorHAnsi" w:hAnsiTheme="majorHAnsi"/>
        </w:rPr>
        <w:footnoteReference w:id="31"/>
      </w:r>
      <w:r w:rsidR="00820B4C" w:rsidRPr="00A11FE0">
        <w:rPr>
          <w:rFonts w:asciiTheme="majorHAnsi" w:hAnsiTheme="majorHAnsi"/>
        </w:rPr>
        <w:t>.</w:t>
      </w:r>
    </w:p>
    <w:p w:rsidR="00212DE1" w:rsidRPr="00A11FE0" w:rsidRDefault="00212DE1" w:rsidP="00212DE1">
      <w:pPr>
        <w:rPr>
          <w:rFonts w:asciiTheme="majorHAnsi" w:hAnsiTheme="majorHAnsi"/>
        </w:rPr>
      </w:pPr>
      <w:r>
        <w:rPr>
          <w:rFonts w:asciiTheme="majorHAnsi" w:hAnsiTheme="majorHAnsi"/>
          <w:noProof/>
        </w:rPr>
        <w:t xml:space="preserve">Z hľadiska </w:t>
      </w:r>
      <w:r w:rsidRPr="00A11FE0">
        <w:rPr>
          <w:rFonts w:asciiTheme="majorHAnsi" w:hAnsiTheme="majorHAnsi"/>
          <w:noProof/>
        </w:rPr>
        <w:t>e</w:t>
      </w:r>
      <w:r w:rsidR="00665324">
        <w:rPr>
          <w:rFonts w:asciiTheme="majorHAnsi" w:hAnsiTheme="majorHAnsi"/>
          <w:noProof/>
        </w:rPr>
        <w:t>-</w:t>
      </w:r>
      <w:r w:rsidRPr="00A11FE0">
        <w:rPr>
          <w:rFonts w:asciiTheme="majorHAnsi" w:hAnsiTheme="majorHAnsi"/>
          <w:noProof/>
        </w:rPr>
        <w:t>Governmentu v</w:t>
      </w:r>
      <w:r w:rsidR="005F77BE">
        <w:rPr>
          <w:rFonts w:asciiTheme="majorHAnsi" w:hAnsiTheme="majorHAnsi"/>
          <w:noProof/>
        </w:rPr>
        <w:t> </w:t>
      </w:r>
      <w:r w:rsidRPr="00A11FE0">
        <w:rPr>
          <w:rFonts w:asciiTheme="majorHAnsi" w:hAnsiTheme="majorHAnsi"/>
          <w:noProof/>
        </w:rPr>
        <w:t xml:space="preserve">SR je </w:t>
      </w:r>
      <w:r w:rsidR="00530019">
        <w:rPr>
          <w:rFonts w:asciiTheme="majorHAnsi" w:hAnsiTheme="majorHAnsi"/>
          <w:noProof/>
        </w:rPr>
        <w:t xml:space="preserve">v súčasnosti </w:t>
      </w:r>
      <w:r>
        <w:rPr>
          <w:rFonts w:asciiTheme="majorHAnsi" w:hAnsiTheme="majorHAnsi"/>
          <w:noProof/>
        </w:rPr>
        <w:t xml:space="preserve">jeho úroveň </w:t>
      </w:r>
      <w:r w:rsidRPr="00A11FE0">
        <w:rPr>
          <w:rFonts w:asciiTheme="majorHAnsi" w:hAnsiTheme="majorHAnsi"/>
          <w:noProof/>
        </w:rPr>
        <w:t xml:space="preserve">nízka. </w:t>
      </w:r>
      <w:r w:rsidRPr="00A11FE0">
        <w:rPr>
          <w:rFonts w:asciiTheme="majorHAnsi" w:hAnsiTheme="majorHAnsi"/>
        </w:rPr>
        <w:t xml:space="preserve">Všetky inštitúcie štátnej správy a takmer všetky inštitúcie </w:t>
      </w:r>
      <w:r w:rsidR="00530019">
        <w:rPr>
          <w:rFonts w:asciiTheme="majorHAnsi" w:hAnsiTheme="majorHAnsi"/>
        </w:rPr>
        <w:t xml:space="preserve">územnej </w:t>
      </w:r>
      <w:r w:rsidRPr="00A11FE0">
        <w:rPr>
          <w:rFonts w:asciiTheme="majorHAnsi" w:hAnsiTheme="majorHAnsi"/>
        </w:rPr>
        <w:t>samosprávy sú online a</w:t>
      </w:r>
      <w:r>
        <w:rPr>
          <w:rFonts w:asciiTheme="majorHAnsi" w:hAnsiTheme="majorHAnsi"/>
        </w:rPr>
        <w:t> </w:t>
      </w:r>
      <w:r w:rsidRPr="00A11FE0">
        <w:rPr>
          <w:rFonts w:asciiTheme="majorHAnsi" w:hAnsiTheme="majorHAnsi"/>
        </w:rPr>
        <w:t>poskytujú</w:t>
      </w:r>
      <w:r>
        <w:rPr>
          <w:rFonts w:asciiTheme="majorHAnsi" w:hAnsiTheme="majorHAnsi"/>
        </w:rPr>
        <w:t xml:space="preserve"> </w:t>
      </w:r>
      <w:r w:rsidRPr="00A11FE0">
        <w:rPr>
          <w:rFonts w:asciiTheme="majorHAnsi" w:hAnsiTheme="majorHAnsi"/>
        </w:rPr>
        <w:t xml:space="preserve">pre verejnosť prostredníctvom webového portálu informačné služby. Požiadavky verejnosti vybavujú inštitúcie elektronicky tam, kde nie je osobitným predpisom vyžadovaná listinná forma. </w:t>
      </w:r>
      <w:r w:rsidR="00627DCC">
        <w:rPr>
          <w:rFonts w:asciiTheme="majorHAnsi" w:hAnsiTheme="majorHAnsi"/>
        </w:rPr>
        <w:t>Niektoré inštitúcie</w:t>
      </w:r>
      <w:r w:rsidRPr="00A11FE0">
        <w:rPr>
          <w:rFonts w:asciiTheme="majorHAnsi" w:hAnsiTheme="majorHAnsi"/>
        </w:rPr>
        <w:t xml:space="preserve"> poskytuj</w:t>
      </w:r>
      <w:r w:rsidR="00627DCC">
        <w:rPr>
          <w:rFonts w:asciiTheme="majorHAnsi" w:hAnsiTheme="majorHAnsi"/>
        </w:rPr>
        <w:t>ú</w:t>
      </w:r>
      <w:r w:rsidRPr="00A11FE0">
        <w:rPr>
          <w:rFonts w:asciiTheme="majorHAnsi" w:hAnsiTheme="majorHAnsi"/>
        </w:rPr>
        <w:t xml:space="preserve"> online elektronické služby aj prostredníctvom webovej aplikácie</w:t>
      </w:r>
      <w:r>
        <w:rPr>
          <w:rFonts w:asciiTheme="majorHAnsi" w:hAnsiTheme="majorHAnsi"/>
        </w:rPr>
        <w:t>,</w:t>
      </w:r>
      <w:r w:rsidRPr="00A11FE0">
        <w:rPr>
          <w:rFonts w:asciiTheme="majorHAnsi" w:hAnsiTheme="majorHAnsi"/>
        </w:rPr>
        <w:t xml:space="preserve"> alebo prostredníctvom elektronickej podateľne</w:t>
      </w:r>
      <w:r>
        <w:rPr>
          <w:rFonts w:asciiTheme="majorHAnsi" w:hAnsiTheme="majorHAnsi"/>
        </w:rPr>
        <w:t xml:space="preserve"> </w:t>
      </w:r>
      <w:r w:rsidRPr="00A11FE0">
        <w:rPr>
          <w:rFonts w:asciiTheme="majorHAnsi" w:hAnsiTheme="majorHAnsi"/>
        </w:rPr>
        <w:t xml:space="preserve">na zasielanie podaní (napr. </w:t>
      </w:r>
      <w:r w:rsidR="00AE662D">
        <w:rPr>
          <w:rFonts w:asciiTheme="majorHAnsi" w:hAnsiTheme="majorHAnsi"/>
        </w:rPr>
        <w:t>finančnej správe</w:t>
      </w:r>
      <w:r w:rsidRPr="00A11FE0">
        <w:rPr>
          <w:rFonts w:asciiTheme="majorHAnsi" w:hAnsiTheme="majorHAnsi"/>
        </w:rPr>
        <w:t>, katastru nehnuteľností, Úradu verejného zdravotníctva).</w:t>
      </w:r>
    </w:p>
    <w:p w:rsidR="00212DE1" w:rsidRPr="00A11FE0" w:rsidRDefault="00212DE1" w:rsidP="00212DE1">
      <w:pPr>
        <w:spacing w:after="0"/>
        <w:rPr>
          <w:rFonts w:asciiTheme="majorHAnsi" w:eastAsia="MS Mincho" w:hAnsiTheme="majorHAnsi" w:cs="Calibri"/>
          <w:szCs w:val="22"/>
        </w:rPr>
      </w:pPr>
      <w:r w:rsidRPr="00A11FE0">
        <w:rPr>
          <w:rFonts w:asciiTheme="majorHAnsi" w:eastAsia="MS Mincho" w:hAnsiTheme="majorHAnsi" w:cs="Calibri"/>
          <w:szCs w:val="22"/>
        </w:rPr>
        <w:lastRenderedPageBreak/>
        <w:t xml:space="preserve">V oblasti informatizácie je možné za základné problémy považovať nedostatočnú prípravu legislatívy </w:t>
      </w:r>
      <w:r w:rsidR="00DB4FAD">
        <w:rPr>
          <w:rFonts w:asciiTheme="majorHAnsi" w:eastAsia="MS Mincho" w:hAnsiTheme="majorHAnsi" w:cs="Calibri"/>
          <w:szCs w:val="22"/>
        </w:rPr>
        <w:t>(najmä špecializované procesné zákony)</w:t>
      </w:r>
      <w:r>
        <w:rPr>
          <w:rFonts w:asciiTheme="majorHAnsi" w:eastAsia="MS Mincho" w:hAnsiTheme="majorHAnsi" w:cs="Calibri"/>
          <w:szCs w:val="22"/>
        </w:rPr>
        <w:t>,</w:t>
      </w:r>
      <w:r w:rsidRPr="00A11FE0">
        <w:rPr>
          <w:rFonts w:asciiTheme="majorHAnsi" w:eastAsia="MS Mincho" w:hAnsiTheme="majorHAnsi" w:cs="Calibri"/>
          <w:szCs w:val="22"/>
        </w:rPr>
        <w:t xml:space="preserve"> koordináciu projektov</w:t>
      </w:r>
      <w:r>
        <w:rPr>
          <w:rFonts w:asciiTheme="majorHAnsi" w:eastAsia="MS Mincho" w:hAnsiTheme="majorHAnsi" w:cs="Calibri"/>
          <w:szCs w:val="22"/>
        </w:rPr>
        <w:t>,</w:t>
      </w:r>
      <w:r w:rsidRPr="00A11FE0">
        <w:rPr>
          <w:rFonts w:asciiTheme="majorHAnsi" w:eastAsia="MS Mincho" w:hAnsiTheme="majorHAnsi" w:cs="Calibri"/>
          <w:szCs w:val="22"/>
        </w:rPr>
        <w:t xml:space="preserve"> schopnosť jednotlivých povinných osôb realizovať projekty</w:t>
      </w:r>
      <w:r w:rsidR="00DB4FAD">
        <w:rPr>
          <w:rFonts w:asciiTheme="majorHAnsi" w:eastAsia="MS Mincho" w:hAnsiTheme="majorHAnsi" w:cs="Calibri"/>
          <w:szCs w:val="22"/>
        </w:rPr>
        <w:t>, nedodržiavanie príslušných štandardov, nedostatočnosť analýz potre</w:t>
      </w:r>
      <w:r w:rsidR="00762F18">
        <w:rPr>
          <w:rFonts w:asciiTheme="majorHAnsi" w:eastAsia="MS Mincho" w:hAnsiTheme="majorHAnsi" w:cs="Calibri"/>
          <w:szCs w:val="22"/>
        </w:rPr>
        <w:t>b</w:t>
      </w:r>
      <w:r w:rsidR="00DB4FAD">
        <w:rPr>
          <w:rFonts w:asciiTheme="majorHAnsi" w:eastAsia="MS Mincho" w:hAnsiTheme="majorHAnsi" w:cs="Calibri"/>
          <w:szCs w:val="22"/>
        </w:rPr>
        <w:t>ných pre realizáciu projektov v oblasti informatizácie</w:t>
      </w:r>
      <w:r>
        <w:rPr>
          <w:rFonts w:asciiTheme="majorHAnsi" w:eastAsia="MS Mincho" w:hAnsiTheme="majorHAnsi" w:cs="Calibri"/>
          <w:szCs w:val="22"/>
        </w:rPr>
        <w:t xml:space="preserve"> a</w:t>
      </w:r>
      <w:r w:rsidR="00762F18">
        <w:rPr>
          <w:rFonts w:asciiTheme="majorHAnsi" w:eastAsia="MS Mincho" w:hAnsiTheme="majorHAnsi" w:cs="Calibri"/>
          <w:szCs w:val="22"/>
        </w:rPr>
        <w:t> </w:t>
      </w:r>
      <w:r w:rsidRPr="00A11FE0">
        <w:rPr>
          <w:rFonts w:asciiTheme="majorHAnsi" w:eastAsia="MS Mincho" w:hAnsiTheme="majorHAnsi" w:cs="Calibri"/>
          <w:szCs w:val="22"/>
        </w:rPr>
        <w:t>zastavenie informatizácie spoločnosti v</w:t>
      </w:r>
      <w:r w:rsidR="005F77BE">
        <w:rPr>
          <w:rFonts w:asciiTheme="majorHAnsi" w:eastAsia="MS Mincho" w:hAnsiTheme="majorHAnsi" w:cs="Calibri"/>
          <w:szCs w:val="22"/>
        </w:rPr>
        <w:t> </w:t>
      </w:r>
      <w:r w:rsidRPr="00A11FE0">
        <w:rPr>
          <w:rFonts w:asciiTheme="majorHAnsi" w:eastAsia="MS Mincho" w:hAnsiTheme="majorHAnsi" w:cs="Calibri"/>
          <w:szCs w:val="22"/>
        </w:rPr>
        <w:t xml:space="preserve">rokoch 2011 </w:t>
      </w:r>
      <w:r>
        <w:rPr>
          <w:rFonts w:asciiTheme="majorHAnsi" w:eastAsia="MS Mincho" w:hAnsiTheme="majorHAnsi" w:cs="Calibri"/>
          <w:szCs w:val="22"/>
        </w:rPr>
        <w:t xml:space="preserve">– </w:t>
      </w:r>
      <w:r w:rsidRPr="00A11FE0">
        <w:rPr>
          <w:rFonts w:asciiTheme="majorHAnsi" w:eastAsia="MS Mincho" w:hAnsiTheme="majorHAnsi" w:cs="Calibri"/>
          <w:szCs w:val="22"/>
        </w:rPr>
        <w:t xml:space="preserve">2012, čo spôsobilo až dvojročné </w:t>
      </w:r>
      <w:r w:rsidR="009F6FC6">
        <w:rPr>
          <w:rFonts w:asciiTheme="majorHAnsi" w:eastAsia="MS Mincho" w:hAnsiTheme="majorHAnsi" w:cs="Calibri"/>
          <w:szCs w:val="22"/>
        </w:rPr>
        <w:t>oneskorenie</w:t>
      </w:r>
      <w:r w:rsidRPr="00A11FE0">
        <w:rPr>
          <w:rFonts w:asciiTheme="majorHAnsi" w:eastAsia="MS Mincho" w:hAnsiTheme="majorHAnsi" w:cs="Calibri"/>
          <w:szCs w:val="22"/>
        </w:rPr>
        <w:t>.</w:t>
      </w:r>
    </w:p>
    <w:p w:rsidR="00212DE1" w:rsidRPr="00A11FE0" w:rsidRDefault="00212DE1" w:rsidP="00212DE1">
      <w:pPr>
        <w:rPr>
          <w:rFonts w:asciiTheme="majorHAnsi" w:hAnsiTheme="majorHAnsi"/>
        </w:rPr>
      </w:pPr>
      <w:r w:rsidRPr="00A11FE0">
        <w:rPr>
          <w:rFonts w:asciiTheme="majorHAnsi" w:hAnsiTheme="majorHAnsi"/>
          <w:noProof/>
        </w:rPr>
        <w:t>V súčasnosti prebieha transformácia verejnej správy, ktorá je zameraná na informatizáciu štátnej správy a</w:t>
      </w:r>
      <w:r>
        <w:rPr>
          <w:rFonts w:asciiTheme="majorHAnsi" w:hAnsiTheme="majorHAnsi"/>
          <w:noProof/>
        </w:rPr>
        <w:t xml:space="preserve"> územných </w:t>
      </w:r>
      <w:r w:rsidRPr="00A11FE0">
        <w:rPr>
          <w:rFonts w:asciiTheme="majorHAnsi" w:hAnsiTheme="majorHAnsi"/>
          <w:noProof/>
        </w:rPr>
        <w:t>samospráv. Výsledkom tohto procesu budú základné elektronické služby a</w:t>
      </w:r>
      <w:r>
        <w:rPr>
          <w:rFonts w:asciiTheme="majorHAnsi" w:hAnsiTheme="majorHAnsi"/>
          <w:noProof/>
        </w:rPr>
        <w:t> </w:t>
      </w:r>
      <w:r w:rsidRPr="00A11FE0">
        <w:rPr>
          <w:rFonts w:asciiTheme="majorHAnsi" w:hAnsiTheme="majorHAnsi"/>
          <w:noProof/>
        </w:rPr>
        <w:t>technologické</w:t>
      </w:r>
      <w:r>
        <w:rPr>
          <w:rFonts w:asciiTheme="majorHAnsi" w:hAnsiTheme="majorHAnsi"/>
          <w:noProof/>
        </w:rPr>
        <w:t xml:space="preserve"> </w:t>
      </w:r>
      <w:r w:rsidRPr="00A11FE0">
        <w:rPr>
          <w:rFonts w:asciiTheme="majorHAnsi" w:hAnsiTheme="majorHAnsi"/>
          <w:noProof/>
        </w:rPr>
        <w:t>komponenty, ktoré tvoria predpoklady pre zásadnú zmenu procesov vo verejnej správe a</w:t>
      </w:r>
      <w:r>
        <w:rPr>
          <w:rFonts w:asciiTheme="majorHAnsi" w:hAnsiTheme="majorHAnsi"/>
          <w:noProof/>
        </w:rPr>
        <w:t> </w:t>
      </w:r>
      <w:r w:rsidRPr="00A11FE0">
        <w:rPr>
          <w:rFonts w:asciiTheme="majorHAnsi" w:hAnsiTheme="majorHAnsi"/>
          <w:noProof/>
        </w:rPr>
        <w:t>plnú</w:t>
      </w:r>
      <w:r>
        <w:rPr>
          <w:rFonts w:asciiTheme="majorHAnsi" w:hAnsiTheme="majorHAnsi"/>
          <w:noProof/>
        </w:rPr>
        <w:t xml:space="preserve"> </w:t>
      </w:r>
      <w:r w:rsidRPr="00A11FE0">
        <w:rPr>
          <w:rFonts w:asciiTheme="majorHAnsi" w:hAnsiTheme="majorHAnsi"/>
          <w:noProof/>
        </w:rPr>
        <w:t>organizačnú interoperabilitu a</w:t>
      </w:r>
      <w:r>
        <w:rPr>
          <w:rFonts w:asciiTheme="majorHAnsi" w:hAnsiTheme="majorHAnsi"/>
          <w:noProof/>
        </w:rPr>
        <w:t> </w:t>
      </w:r>
      <w:r w:rsidRPr="00A11FE0">
        <w:rPr>
          <w:rFonts w:asciiTheme="majorHAnsi" w:hAnsiTheme="majorHAnsi"/>
          <w:noProof/>
        </w:rPr>
        <w:t>administratívnu spoluprácu na národnej a</w:t>
      </w:r>
      <w:r>
        <w:rPr>
          <w:rFonts w:asciiTheme="majorHAnsi" w:hAnsiTheme="majorHAnsi"/>
          <w:noProof/>
        </w:rPr>
        <w:t> </w:t>
      </w:r>
      <w:r w:rsidR="00B46F8C">
        <w:rPr>
          <w:rFonts w:asciiTheme="majorHAnsi" w:hAnsiTheme="majorHAnsi"/>
          <w:noProof/>
        </w:rPr>
        <w:t>eur</w:t>
      </w:r>
      <w:r w:rsidRPr="00A11FE0">
        <w:rPr>
          <w:rFonts w:asciiTheme="majorHAnsi" w:hAnsiTheme="majorHAnsi"/>
          <w:noProof/>
        </w:rPr>
        <w:t>ópskej úrovni.</w:t>
      </w:r>
    </w:p>
    <w:p w:rsidR="00212DE1" w:rsidRPr="00A11FE0" w:rsidRDefault="00212DE1" w:rsidP="00212DE1">
      <w:pPr>
        <w:rPr>
          <w:rFonts w:asciiTheme="majorHAnsi" w:hAnsiTheme="majorHAnsi"/>
        </w:rPr>
      </w:pPr>
      <w:r w:rsidRPr="00A11FE0">
        <w:rPr>
          <w:rFonts w:asciiTheme="majorHAnsi" w:hAnsiTheme="majorHAnsi"/>
        </w:rPr>
        <w:t>Aj napriek pokroku v zavádzaní služieb e</w:t>
      </w:r>
      <w:r w:rsidR="00665324">
        <w:rPr>
          <w:rFonts w:asciiTheme="majorHAnsi" w:hAnsiTheme="majorHAnsi"/>
        </w:rPr>
        <w:t>-</w:t>
      </w:r>
      <w:r w:rsidRPr="00A11FE0">
        <w:rPr>
          <w:rFonts w:asciiTheme="majorHAnsi" w:hAnsiTheme="majorHAnsi"/>
        </w:rPr>
        <w:t>Governmentu a vytváraní legislatívneho rámca</w:t>
      </w:r>
      <w:r w:rsidRPr="00A11FE0">
        <w:rPr>
          <w:rFonts w:asciiTheme="majorHAnsi" w:hAnsiTheme="majorHAnsi"/>
          <w:vertAlign w:val="superscript"/>
        </w:rPr>
        <w:footnoteReference w:id="32"/>
      </w:r>
      <w:r w:rsidR="00530019">
        <w:rPr>
          <w:rFonts w:asciiTheme="majorHAnsi" w:hAnsiTheme="majorHAnsi"/>
        </w:rPr>
        <w:t>,</w:t>
      </w:r>
      <w:r w:rsidRPr="00A11FE0">
        <w:rPr>
          <w:rFonts w:asciiTheme="majorHAnsi" w:hAnsiTheme="majorHAnsi"/>
        </w:rPr>
        <w:t xml:space="preserve"> niektoré bariéry na národnej a </w:t>
      </w:r>
      <w:r w:rsidR="00B46F8C">
        <w:rPr>
          <w:rFonts w:asciiTheme="majorHAnsi" w:hAnsiTheme="majorHAnsi"/>
        </w:rPr>
        <w:t>e</w:t>
      </w:r>
      <w:r w:rsidR="00E207F0">
        <w:rPr>
          <w:rFonts w:asciiTheme="majorHAnsi" w:hAnsiTheme="majorHAnsi"/>
        </w:rPr>
        <w:t>ur</w:t>
      </w:r>
      <w:r w:rsidRPr="00A11FE0">
        <w:rPr>
          <w:rFonts w:asciiTheme="majorHAnsi" w:hAnsiTheme="majorHAnsi"/>
        </w:rPr>
        <w:t>ópskej úrovni pretrvávajú, a to najmä v oblastiach s</w:t>
      </w:r>
      <w:r w:rsidR="00183EE4">
        <w:rPr>
          <w:rFonts w:asciiTheme="majorHAnsi" w:hAnsiTheme="majorHAnsi"/>
        </w:rPr>
        <w:t>e</w:t>
      </w:r>
      <w:r w:rsidRPr="00A11FE0">
        <w:rPr>
          <w:rFonts w:asciiTheme="majorHAnsi" w:hAnsiTheme="majorHAnsi"/>
        </w:rPr>
        <w:t>mantickej, organizačnej</w:t>
      </w:r>
      <w:r w:rsidR="00627DCC">
        <w:rPr>
          <w:rFonts w:asciiTheme="majorHAnsi" w:hAnsiTheme="majorHAnsi"/>
        </w:rPr>
        <w:t>, legislatívnej</w:t>
      </w:r>
      <w:r w:rsidRPr="00A11FE0">
        <w:rPr>
          <w:rFonts w:asciiTheme="majorHAnsi" w:hAnsiTheme="majorHAnsi"/>
        </w:rPr>
        <w:t xml:space="preserve"> a</w:t>
      </w:r>
      <w:r>
        <w:rPr>
          <w:rFonts w:asciiTheme="majorHAnsi" w:hAnsiTheme="majorHAnsi"/>
        </w:rPr>
        <w:t> </w:t>
      </w:r>
      <w:r w:rsidRPr="00A11FE0">
        <w:rPr>
          <w:rFonts w:asciiTheme="majorHAnsi" w:hAnsiTheme="majorHAnsi"/>
        </w:rPr>
        <w:t>technickej</w:t>
      </w:r>
      <w:r>
        <w:rPr>
          <w:rFonts w:asciiTheme="majorHAnsi" w:hAnsiTheme="majorHAnsi"/>
        </w:rPr>
        <w:t xml:space="preserve"> </w:t>
      </w:r>
      <w:r w:rsidRPr="00A11FE0">
        <w:rPr>
          <w:rFonts w:asciiTheme="majorHAnsi" w:hAnsiTheme="majorHAnsi"/>
        </w:rPr>
        <w:t>interoperability.</w:t>
      </w:r>
    </w:p>
    <w:p w:rsidR="00731432" w:rsidRPr="00A11FE0" w:rsidRDefault="00731432" w:rsidP="007D722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Semantická interoperabilita</w:t>
      </w:r>
    </w:p>
    <w:p w:rsidR="00212DE1" w:rsidRPr="00A11FE0" w:rsidRDefault="00212DE1" w:rsidP="00212DE1">
      <w:pPr>
        <w:rPr>
          <w:rFonts w:asciiTheme="majorHAnsi" w:hAnsiTheme="majorHAnsi"/>
        </w:rPr>
      </w:pPr>
      <w:r w:rsidRPr="00A11FE0">
        <w:rPr>
          <w:rFonts w:asciiTheme="majorHAnsi" w:hAnsiTheme="majorHAnsi"/>
        </w:rPr>
        <w:t>Jedným z kľúčových zdrojov inteligentného rastu sú verejné dáta, tzn. všetky informácie, ktoré verejné orgány v</w:t>
      </w:r>
      <w:r>
        <w:rPr>
          <w:rFonts w:asciiTheme="majorHAnsi" w:hAnsiTheme="majorHAnsi"/>
        </w:rPr>
        <w:t> </w:t>
      </w:r>
      <w:r w:rsidRPr="00A11FE0">
        <w:rPr>
          <w:rFonts w:asciiTheme="majorHAnsi" w:hAnsiTheme="majorHAnsi"/>
        </w:rPr>
        <w:t>EÚ</w:t>
      </w:r>
      <w:r>
        <w:rPr>
          <w:rFonts w:asciiTheme="majorHAnsi" w:hAnsiTheme="majorHAnsi"/>
        </w:rPr>
        <w:t xml:space="preserve"> </w:t>
      </w:r>
      <w:r w:rsidRPr="00A11FE0">
        <w:rPr>
          <w:rFonts w:asciiTheme="majorHAnsi" w:hAnsiTheme="majorHAnsi"/>
        </w:rPr>
        <w:t>produkujú, spracovávajú</w:t>
      </w:r>
      <w:r>
        <w:rPr>
          <w:rFonts w:asciiTheme="majorHAnsi" w:hAnsiTheme="majorHAnsi"/>
        </w:rPr>
        <w:t>,</w:t>
      </w:r>
      <w:r w:rsidRPr="00A11FE0">
        <w:rPr>
          <w:rFonts w:asciiTheme="majorHAnsi" w:hAnsiTheme="majorHAnsi"/>
        </w:rPr>
        <w:t xml:space="preserve"> alebo nakupujú.</w:t>
      </w:r>
    </w:p>
    <w:p w:rsidR="00212DE1" w:rsidRPr="00A11FE0" w:rsidRDefault="00212DE1" w:rsidP="00212DE1">
      <w:pPr>
        <w:rPr>
          <w:rFonts w:asciiTheme="majorHAnsi" w:hAnsiTheme="majorHAnsi"/>
        </w:rPr>
      </w:pPr>
      <w:r w:rsidRPr="00A11FE0">
        <w:rPr>
          <w:rFonts w:asciiTheme="majorHAnsi" w:hAnsiTheme="majorHAnsi"/>
        </w:rPr>
        <w:t>Na úrovni EÚ boli dosiahnuté niektoré čiastkové kroky vytvárajúce rámec implementácie na národnej úrovni</w:t>
      </w:r>
      <w:r w:rsidRPr="00A11FE0">
        <w:rPr>
          <w:rFonts w:asciiTheme="majorHAnsi" w:hAnsiTheme="majorHAnsi"/>
          <w:vertAlign w:val="superscript"/>
        </w:rPr>
        <w:footnoteReference w:id="33"/>
      </w:r>
      <w:r w:rsidRPr="00A11FE0">
        <w:rPr>
          <w:rFonts w:asciiTheme="majorHAnsi" w:hAnsiTheme="majorHAnsi"/>
        </w:rPr>
        <w:t>. Z pohľadu dátovej domény celo</w:t>
      </w:r>
      <w:r w:rsidR="00B46F8C">
        <w:rPr>
          <w:rFonts w:asciiTheme="majorHAnsi" w:hAnsiTheme="majorHAnsi"/>
        </w:rPr>
        <w:t>eur</w:t>
      </w:r>
      <w:r w:rsidRPr="00A11FE0">
        <w:rPr>
          <w:rFonts w:asciiTheme="majorHAnsi" w:hAnsiTheme="majorHAnsi"/>
        </w:rPr>
        <w:t>ópskej architektúry jednotného digitálneho trhu je najväčšou výzvou prechod na novú paradigmu ukladania a manažmentu dát. Za týmto účelom je nosnou celo</w:t>
      </w:r>
      <w:r w:rsidR="00B46F8C">
        <w:rPr>
          <w:rFonts w:asciiTheme="majorHAnsi" w:hAnsiTheme="majorHAnsi"/>
        </w:rPr>
        <w:t>eur</w:t>
      </w:r>
      <w:r w:rsidRPr="00A11FE0">
        <w:rPr>
          <w:rFonts w:asciiTheme="majorHAnsi" w:hAnsiTheme="majorHAnsi"/>
        </w:rPr>
        <w:t>ópskou platformou iniciatíva „open data“</w:t>
      </w:r>
      <w:r w:rsidR="00631F65">
        <w:rPr>
          <w:rFonts w:asciiTheme="majorHAnsi" w:hAnsiTheme="majorHAnsi"/>
        </w:rPr>
        <w:t>,</w:t>
      </w:r>
      <w:r w:rsidR="00631F65" w:rsidRPr="00631F65">
        <w:rPr>
          <w:rFonts w:asciiTheme="majorHAnsi" w:eastAsia="Times New Roman" w:hAnsiTheme="majorHAnsi"/>
        </w:rPr>
        <w:t xml:space="preserve"> </w:t>
      </w:r>
      <w:r w:rsidR="00631F65">
        <w:rPr>
          <w:rFonts w:asciiTheme="majorHAnsi" w:eastAsia="Times New Roman" w:hAnsiTheme="majorHAnsi"/>
        </w:rPr>
        <w:t>ktorá</w:t>
      </w:r>
      <w:r w:rsidR="00631F65" w:rsidRPr="00A11FE0">
        <w:rPr>
          <w:rFonts w:asciiTheme="majorHAnsi" w:eastAsia="Times New Roman" w:hAnsiTheme="majorHAnsi"/>
        </w:rPr>
        <w:t xml:space="preserve"> vyplýva zo smernice EK</w:t>
      </w:r>
      <w:r w:rsidR="00631F65" w:rsidRPr="00A11FE0">
        <w:rPr>
          <w:rFonts w:asciiTheme="majorHAnsi" w:eastAsia="Times New Roman" w:hAnsiTheme="majorHAnsi"/>
          <w:vertAlign w:val="superscript"/>
        </w:rPr>
        <w:footnoteReference w:id="34"/>
      </w:r>
      <w:r w:rsidR="00631F65" w:rsidRPr="00A11FE0">
        <w:rPr>
          <w:rFonts w:asciiTheme="majorHAnsi" w:eastAsia="Times New Roman" w:hAnsiTheme="majorHAnsi"/>
        </w:rPr>
        <w:t xml:space="preserve"> </w:t>
      </w:r>
      <w:r w:rsidRPr="00A11FE0">
        <w:rPr>
          <w:rFonts w:asciiTheme="majorHAnsi" w:hAnsiTheme="majorHAnsi"/>
        </w:rPr>
        <w:t>a program ISA</w:t>
      </w:r>
      <w:r w:rsidRPr="00A11FE0">
        <w:rPr>
          <w:rFonts w:asciiTheme="majorHAnsi" w:hAnsiTheme="majorHAnsi"/>
          <w:vertAlign w:val="superscript"/>
        </w:rPr>
        <w:footnoteReference w:id="35"/>
      </w:r>
      <w:r w:rsidR="00631F65">
        <w:rPr>
          <w:rFonts w:asciiTheme="majorHAnsi" w:hAnsiTheme="majorHAnsi"/>
        </w:rPr>
        <w:t>.</w:t>
      </w:r>
      <w:r w:rsidR="006F6D43">
        <w:rPr>
          <w:rFonts w:asciiTheme="majorHAnsi" w:hAnsiTheme="majorHAnsi"/>
        </w:rPr>
        <w:t xml:space="preserve"> </w:t>
      </w:r>
      <w:r w:rsidR="006F6D43" w:rsidRPr="006F6D43">
        <w:rPr>
          <w:rFonts w:asciiTheme="majorHAnsi" w:hAnsiTheme="majorHAnsi"/>
        </w:rPr>
        <w:t xml:space="preserve">Problematike otvorených dát sa bude venovať aj nový Nástroj na prepájanie Európy (CEF), ktorý okrem iného podporí </w:t>
      </w:r>
      <w:r w:rsidR="002E1527">
        <w:rPr>
          <w:rFonts w:asciiTheme="majorHAnsi" w:hAnsiTheme="majorHAnsi"/>
        </w:rPr>
        <w:t>realizáciu</w:t>
      </w:r>
      <w:r w:rsidR="006F6D43" w:rsidRPr="006F6D43">
        <w:rPr>
          <w:rFonts w:asciiTheme="majorHAnsi" w:hAnsiTheme="majorHAnsi"/>
        </w:rPr>
        <w:t xml:space="preserve"> infraštruktúry digitálnych služieb otvorených dát (Open Data Digital Service Infrastructure)</w:t>
      </w:r>
      <w:r w:rsidR="00183EE4">
        <w:rPr>
          <w:rFonts w:asciiTheme="majorHAnsi" w:hAnsiTheme="majorHAnsi"/>
        </w:rPr>
        <w:t>,</w:t>
      </w:r>
      <w:r w:rsidR="006F6D43" w:rsidRPr="006F6D43">
        <w:rPr>
          <w:rFonts w:asciiTheme="majorHAnsi" w:hAnsiTheme="majorHAnsi"/>
        </w:rPr>
        <w:t xml:space="preserve"> vrátane celoeurópskeho portálu otvorených dát, pričom bude nadväzovať na doteraz realizované kroky</w:t>
      </w:r>
      <w:r w:rsidR="002E1527">
        <w:rPr>
          <w:rStyle w:val="Odkaznapoznmkupodiarou"/>
          <w:rFonts w:asciiTheme="majorHAnsi" w:hAnsiTheme="majorHAnsi"/>
        </w:rPr>
        <w:footnoteReference w:id="36"/>
      </w:r>
      <w:r w:rsidR="006F6D43" w:rsidRPr="006F6D43">
        <w:rPr>
          <w:rFonts w:asciiTheme="majorHAnsi" w:hAnsiTheme="majorHAnsi"/>
        </w:rPr>
        <w:t>.</w:t>
      </w:r>
    </w:p>
    <w:p w:rsidR="00212DE1" w:rsidRPr="00A11FE0" w:rsidRDefault="00212DE1" w:rsidP="00212DE1">
      <w:pPr>
        <w:rPr>
          <w:rFonts w:asciiTheme="majorHAnsi" w:hAnsiTheme="majorHAnsi"/>
        </w:rPr>
      </w:pPr>
      <w:r w:rsidRPr="00A11FE0">
        <w:rPr>
          <w:rFonts w:asciiTheme="majorHAnsi" w:hAnsiTheme="majorHAnsi"/>
        </w:rPr>
        <w:t>SR patrí medzi krajiny s najnižšou mierou otvorenosti v dostupnosti verejných dát</w:t>
      </w:r>
      <w:r>
        <w:rPr>
          <w:rFonts w:asciiTheme="majorHAnsi" w:hAnsiTheme="majorHAnsi"/>
        </w:rPr>
        <w:t>,</w:t>
      </w:r>
      <w:r w:rsidRPr="00A11FE0">
        <w:rPr>
          <w:rFonts w:asciiTheme="majorHAnsi" w:hAnsiTheme="majorHAnsi"/>
        </w:rPr>
        <w:t xml:space="preserve"> vrátane referenčných údajov spravovaných v registroch verejnej správy</w:t>
      </w:r>
      <w:r w:rsidRPr="00A11FE0">
        <w:rPr>
          <w:rFonts w:asciiTheme="majorHAnsi" w:hAnsiTheme="majorHAnsi" w:cs="Calibri"/>
          <w:vertAlign w:val="superscript"/>
        </w:rPr>
        <w:footnoteReference w:id="37"/>
      </w:r>
      <w:r w:rsidR="00530019">
        <w:rPr>
          <w:rFonts w:asciiTheme="majorHAnsi" w:hAnsiTheme="majorHAnsi"/>
        </w:rPr>
        <w:t>,</w:t>
      </w:r>
      <w:r w:rsidRPr="00A11FE0">
        <w:rPr>
          <w:rFonts w:asciiTheme="majorHAnsi" w:hAnsiTheme="majorHAnsi"/>
        </w:rPr>
        <w:t xml:space="preserve"> potrebných pre výkon verejnej moci. Obrazom súčasnej kvality a otvorenosti verejných dát je úroveň sofistikovanosti elektronických služieb verejnej správy</w:t>
      </w:r>
      <w:r w:rsidRPr="00A11FE0">
        <w:rPr>
          <w:rFonts w:asciiTheme="majorHAnsi" w:hAnsiTheme="majorHAnsi" w:cs="Calibri"/>
          <w:vertAlign w:val="superscript"/>
        </w:rPr>
        <w:footnoteReference w:id="38"/>
      </w:r>
      <w:r w:rsidRPr="00A11FE0">
        <w:rPr>
          <w:rFonts w:asciiTheme="majorHAnsi" w:hAnsiTheme="majorHAnsi"/>
        </w:rPr>
        <w:t xml:space="preserve"> v SR. Tá totiž vyžaduje dostupnosť referenčných registrov, ktoré neexistujú a niektoré základné z nich (registre právnických osôb, fyzických osôb, priestorových informácií) sú len v implementácii v rámci </w:t>
      </w:r>
      <w:r w:rsidR="00183EE4">
        <w:rPr>
          <w:rFonts w:asciiTheme="majorHAnsi" w:hAnsiTheme="majorHAnsi"/>
        </w:rPr>
        <w:t xml:space="preserve">Operačného </w:t>
      </w:r>
      <w:r w:rsidR="00530019">
        <w:rPr>
          <w:rFonts w:asciiTheme="majorHAnsi" w:hAnsiTheme="majorHAnsi"/>
        </w:rPr>
        <w:t xml:space="preserve">programu Informatizácia spoločnosti (ďalej len „OP IS“) </w:t>
      </w:r>
      <w:r w:rsidRPr="00A11FE0">
        <w:rPr>
          <w:rFonts w:asciiTheme="majorHAnsi" w:hAnsiTheme="majorHAnsi"/>
        </w:rPr>
        <w:t>s plánom sprístupnenia do roku 2015. Napriek tomu, že verejná správa v</w:t>
      </w:r>
      <w:r>
        <w:rPr>
          <w:rFonts w:asciiTheme="majorHAnsi" w:hAnsiTheme="majorHAnsi"/>
        </w:rPr>
        <w:t> </w:t>
      </w:r>
      <w:r w:rsidRPr="00A11FE0">
        <w:rPr>
          <w:rFonts w:asciiTheme="majorHAnsi" w:hAnsiTheme="majorHAnsi"/>
        </w:rPr>
        <w:t>SR</w:t>
      </w:r>
      <w:r>
        <w:rPr>
          <w:rFonts w:asciiTheme="majorHAnsi" w:hAnsiTheme="majorHAnsi"/>
        </w:rPr>
        <w:t xml:space="preserve"> </w:t>
      </w:r>
      <w:r w:rsidRPr="00A11FE0">
        <w:rPr>
          <w:rFonts w:asciiTheme="majorHAnsi" w:hAnsiTheme="majorHAnsi"/>
        </w:rPr>
        <w:t>má k</w:t>
      </w:r>
      <w:r>
        <w:rPr>
          <w:rFonts w:asciiTheme="majorHAnsi" w:hAnsiTheme="majorHAnsi"/>
        </w:rPr>
        <w:t> </w:t>
      </w:r>
      <w:r w:rsidRPr="00A11FE0">
        <w:rPr>
          <w:rFonts w:asciiTheme="majorHAnsi" w:hAnsiTheme="majorHAnsi"/>
        </w:rPr>
        <w:t>dispozícii</w:t>
      </w:r>
      <w:r>
        <w:rPr>
          <w:rFonts w:asciiTheme="majorHAnsi" w:hAnsiTheme="majorHAnsi"/>
        </w:rPr>
        <w:t xml:space="preserve"> </w:t>
      </w:r>
      <w:r w:rsidRPr="00A11FE0">
        <w:rPr>
          <w:rFonts w:asciiTheme="majorHAnsi" w:hAnsiTheme="majorHAnsi"/>
        </w:rPr>
        <w:t>dostatočné množstvo údajov, z</w:t>
      </w:r>
      <w:r>
        <w:rPr>
          <w:rFonts w:asciiTheme="majorHAnsi" w:hAnsiTheme="majorHAnsi"/>
        </w:rPr>
        <w:t> </w:t>
      </w:r>
      <w:r w:rsidRPr="00A11FE0">
        <w:rPr>
          <w:rFonts w:asciiTheme="majorHAnsi" w:hAnsiTheme="majorHAnsi"/>
        </w:rPr>
        <w:t>technických</w:t>
      </w:r>
      <w:r>
        <w:rPr>
          <w:rFonts w:asciiTheme="majorHAnsi" w:hAnsiTheme="majorHAnsi"/>
        </w:rPr>
        <w:t xml:space="preserve"> </w:t>
      </w:r>
      <w:r w:rsidRPr="00A11FE0">
        <w:rPr>
          <w:rFonts w:asciiTheme="majorHAnsi" w:hAnsiTheme="majorHAnsi"/>
        </w:rPr>
        <w:t xml:space="preserve">a najmä právnych dôvodov, nie je schopná </w:t>
      </w:r>
      <w:r w:rsidR="00183EE4" w:rsidRPr="00A11FE0">
        <w:rPr>
          <w:rFonts w:asciiTheme="majorHAnsi" w:hAnsiTheme="majorHAnsi"/>
        </w:rPr>
        <w:t xml:space="preserve">ich </w:t>
      </w:r>
      <w:r w:rsidRPr="00A11FE0">
        <w:rPr>
          <w:rFonts w:asciiTheme="majorHAnsi" w:hAnsiTheme="majorHAnsi"/>
        </w:rPr>
        <w:t>efektívne používať.</w:t>
      </w:r>
    </w:p>
    <w:p w:rsidR="00731432" w:rsidRPr="00A11FE0" w:rsidRDefault="00731432" w:rsidP="00611C67">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lastRenderedPageBreak/>
        <w:t>Organizačná interoperabilita</w:t>
      </w:r>
    </w:p>
    <w:p w:rsidR="00212DE1" w:rsidRPr="00A11FE0" w:rsidRDefault="00212DE1" w:rsidP="00212DE1">
      <w:pPr>
        <w:rPr>
          <w:rFonts w:asciiTheme="majorHAnsi" w:hAnsiTheme="majorHAnsi"/>
        </w:rPr>
      </w:pPr>
      <w:r w:rsidRPr="00A11FE0">
        <w:rPr>
          <w:rFonts w:asciiTheme="majorHAnsi" w:hAnsiTheme="majorHAnsi"/>
        </w:rPr>
        <w:t xml:space="preserve">Na základe </w:t>
      </w:r>
      <w:r>
        <w:rPr>
          <w:rFonts w:asciiTheme="majorHAnsi" w:hAnsiTheme="majorHAnsi"/>
        </w:rPr>
        <w:t xml:space="preserve">doterajšieho </w:t>
      </w:r>
      <w:r w:rsidRPr="00A11FE0">
        <w:rPr>
          <w:rFonts w:asciiTheme="majorHAnsi" w:hAnsiTheme="majorHAnsi"/>
        </w:rPr>
        <w:t>hodnotenia pokroku v</w:t>
      </w:r>
      <w:r>
        <w:rPr>
          <w:rFonts w:asciiTheme="majorHAnsi" w:hAnsiTheme="majorHAnsi"/>
        </w:rPr>
        <w:t> </w:t>
      </w:r>
      <w:r w:rsidRPr="00A11FE0">
        <w:rPr>
          <w:rFonts w:asciiTheme="majorHAnsi" w:hAnsiTheme="majorHAnsi"/>
        </w:rPr>
        <w:t>transpozícii</w:t>
      </w:r>
      <w:r>
        <w:rPr>
          <w:rFonts w:asciiTheme="majorHAnsi" w:hAnsiTheme="majorHAnsi"/>
        </w:rPr>
        <w:t xml:space="preserve"> </w:t>
      </w:r>
      <w:r w:rsidRPr="00A11FE0">
        <w:rPr>
          <w:rFonts w:asciiTheme="majorHAnsi" w:hAnsiTheme="majorHAnsi"/>
        </w:rPr>
        <w:t>pravidiel jednotného trhu SR</w:t>
      </w:r>
      <w:r w:rsidR="00530019">
        <w:rPr>
          <w:rFonts w:asciiTheme="majorHAnsi" w:hAnsiTheme="majorHAnsi"/>
        </w:rPr>
        <w:t>,</w:t>
      </w:r>
      <w:r w:rsidRPr="00A11FE0">
        <w:rPr>
          <w:rFonts w:asciiTheme="majorHAnsi" w:hAnsiTheme="majorHAnsi"/>
        </w:rPr>
        <w:t xml:space="preserve"> </w:t>
      </w:r>
      <w:r>
        <w:rPr>
          <w:rFonts w:asciiTheme="majorHAnsi" w:hAnsiTheme="majorHAnsi"/>
        </w:rPr>
        <w:t>dosiahol deficit</w:t>
      </w:r>
      <w:r w:rsidRPr="00A11FE0">
        <w:rPr>
          <w:rFonts w:asciiTheme="majorHAnsi" w:hAnsiTheme="majorHAnsi"/>
        </w:rPr>
        <w:t xml:space="preserve"> transpozície pravidiel úroveň 0,3 %, čím je pod hranicou platného 1 % cieľa, ako aj pod hranicou navrhovaného 0,5 % cieľa na nasledujúce obdobie (priemer EÚ je 0,6 % </w:t>
      </w:r>
      <w:r>
        <w:rPr>
          <w:rFonts w:asciiTheme="majorHAnsi" w:hAnsiTheme="majorHAnsi"/>
        </w:rPr>
        <w:t xml:space="preserve">transpozičného </w:t>
      </w:r>
      <w:r w:rsidRPr="00A11FE0">
        <w:rPr>
          <w:rFonts w:asciiTheme="majorHAnsi" w:hAnsiTheme="majorHAnsi"/>
        </w:rPr>
        <w:t>deficit</w:t>
      </w:r>
      <w:r>
        <w:rPr>
          <w:rFonts w:asciiTheme="majorHAnsi" w:hAnsiTheme="majorHAnsi"/>
        </w:rPr>
        <w:t>u</w:t>
      </w:r>
      <w:r w:rsidRPr="00A11FE0">
        <w:rPr>
          <w:rFonts w:asciiTheme="majorHAnsi" w:hAnsiTheme="majorHAnsi"/>
        </w:rPr>
        <w:t xml:space="preserve">). Z pohľadu praktickej implementácie konkrétnych systémov a dátových výmen v roku 2011 nezabezpečovala SR ani jednu zo základných aplikácií v oblasti jednotných kontaktných miest (JKM), Your </w:t>
      </w:r>
      <w:r w:rsidR="00992762">
        <w:rPr>
          <w:rFonts w:asciiTheme="majorHAnsi" w:hAnsiTheme="majorHAnsi"/>
        </w:rPr>
        <w:t>E</w:t>
      </w:r>
      <w:r w:rsidR="00E207F0">
        <w:rPr>
          <w:rFonts w:asciiTheme="majorHAnsi" w:hAnsiTheme="majorHAnsi"/>
        </w:rPr>
        <w:t>ur</w:t>
      </w:r>
      <w:r w:rsidRPr="00A11FE0">
        <w:rPr>
          <w:rFonts w:asciiTheme="majorHAnsi" w:hAnsiTheme="majorHAnsi"/>
        </w:rPr>
        <w:t>ope – občania (dane, pobyt, vozidlá)</w:t>
      </w:r>
      <w:r w:rsidRPr="00A11FE0">
        <w:rPr>
          <w:rFonts w:asciiTheme="majorHAnsi" w:hAnsiTheme="majorHAnsi"/>
          <w:vertAlign w:val="superscript"/>
        </w:rPr>
        <w:t xml:space="preserve"> </w:t>
      </w:r>
      <w:r w:rsidRPr="00A11FE0">
        <w:rPr>
          <w:rFonts w:asciiTheme="majorHAnsi" w:hAnsiTheme="majorHAnsi"/>
          <w:vertAlign w:val="superscript"/>
        </w:rPr>
        <w:footnoteReference w:id="39"/>
      </w:r>
      <w:r w:rsidRPr="00A11FE0">
        <w:rPr>
          <w:rFonts w:asciiTheme="majorHAnsi" w:hAnsiTheme="majorHAnsi"/>
        </w:rPr>
        <w:t>.</w:t>
      </w:r>
    </w:p>
    <w:p w:rsidR="00212DE1" w:rsidRPr="00A11FE0" w:rsidRDefault="00212DE1" w:rsidP="00212DE1">
      <w:pPr>
        <w:rPr>
          <w:rFonts w:asciiTheme="majorHAnsi" w:hAnsiTheme="majorHAnsi"/>
        </w:rPr>
      </w:pPr>
      <w:r w:rsidRPr="00A11FE0">
        <w:rPr>
          <w:rFonts w:asciiTheme="majorHAnsi" w:hAnsiTheme="majorHAnsi"/>
        </w:rPr>
        <w:t>SR zaostáva vo vytváraní jednotného digitálneho trhu</w:t>
      </w:r>
      <w:r>
        <w:rPr>
          <w:rFonts w:asciiTheme="majorHAnsi" w:hAnsiTheme="majorHAnsi"/>
        </w:rPr>
        <w:t>,</w:t>
      </w:r>
      <w:r w:rsidRPr="00A11FE0">
        <w:rPr>
          <w:rFonts w:asciiTheme="majorHAnsi" w:hAnsiTheme="majorHAnsi"/>
        </w:rPr>
        <w:t xml:space="preserve"> ako aj </w:t>
      </w:r>
      <w:r w:rsidR="00610F00">
        <w:rPr>
          <w:rFonts w:asciiTheme="majorHAnsi" w:hAnsiTheme="majorHAnsi"/>
        </w:rPr>
        <w:t>v</w:t>
      </w:r>
      <w:r w:rsidR="005F77BE">
        <w:rPr>
          <w:rFonts w:asciiTheme="majorHAnsi" w:hAnsiTheme="majorHAnsi"/>
        </w:rPr>
        <w:t> </w:t>
      </w:r>
      <w:r w:rsidRPr="00A11FE0">
        <w:rPr>
          <w:rFonts w:asciiTheme="majorHAnsi" w:hAnsiTheme="majorHAnsi"/>
        </w:rPr>
        <w:t xml:space="preserve">užitočných </w:t>
      </w:r>
      <w:r w:rsidR="00610F00" w:rsidRPr="00A11FE0">
        <w:rPr>
          <w:rFonts w:asciiTheme="majorHAnsi" w:hAnsiTheme="majorHAnsi"/>
        </w:rPr>
        <w:t>služ</w:t>
      </w:r>
      <w:r w:rsidR="00610F00">
        <w:rPr>
          <w:rFonts w:asciiTheme="majorHAnsi" w:hAnsiTheme="majorHAnsi"/>
        </w:rPr>
        <w:t>bách</w:t>
      </w:r>
      <w:r w:rsidR="00610F00" w:rsidRPr="00A11FE0">
        <w:rPr>
          <w:rFonts w:asciiTheme="majorHAnsi" w:hAnsiTheme="majorHAnsi"/>
        </w:rPr>
        <w:t xml:space="preserve"> </w:t>
      </w:r>
      <w:r w:rsidRPr="00A11FE0">
        <w:rPr>
          <w:rFonts w:asciiTheme="majorHAnsi" w:hAnsiTheme="majorHAnsi"/>
        </w:rPr>
        <w:t>e</w:t>
      </w:r>
      <w:r w:rsidR="00665324">
        <w:rPr>
          <w:rFonts w:asciiTheme="majorHAnsi" w:hAnsiTheme="majorHAnsi"/>
        </w:rPr>
        <w:t>-</w:t>
      </w:r>
      <w:r w:rsidRPr="00A11FE0">
        <w:rPr>
          <w:rFonts w:asciiTheme="majorHAnsi" w:hAnsiTheme="majorHAnsi"/>
        </w:rPr>
        <w:t xml:space="preserve">Governmentu. Úroveň vyspelosti aplikácií a elektronických služieb v SR dokumentujú prieskumy </w:t>
      </w:r>
      <w:r w:rsidR="00530019">
        <w:rPr>
          <w:rFonts w:asciiTheme="majorHAnsi" w:hAnsiTheme="majorHAnsi"/>
        </w:rPr>
        <w:t>Európskej komisie (ďalej len „EK“</w:t>
      </w:r>
      <w:r w:rsidRPr="00A11FE0">
        <w:rPr>
          <w:rFonts w:asciiTheme="majorHAnsi" w:hAnsiTheme="majorHAnsi"/>
          <w:vertAlign w:val="superscript"/>
        </w:rPr>
        <w:footnoteReference w:id="40"/>
      </w:r>
      <w:r w:rsidR="00530019">
        <w:rPr>
          <w:rFonts w:asciiTheme="majorHAnsi" w:hAnsiTheme="majorHAnsi"/>
        </w:rPr>
        <w:t>)</w:t>
      </w:r>
      <w:r w:rsidRPr="00A11FE0">
        <w:rPr>
          <w:rFonts w:asciiTheme="majorHAnsi" w:hAnsiTheme="majorHAnsi"/>
        </w:rPr>
        <w:t xml:space="preserve"> a</w:t>
      </w:r>
      <w:r>
        <w:rPr>
          <w:rFonts w:asciiTheme="majorHAnsi" w:hAnsiTheme="majorHAnsi"/>
        </w:rPr>
        <w:t> </w:t>
      </w:r>
      <w:r w:rsidRPr="00A11FE0">
        <w:rPr>
          <w:rFonts w:asciiTheme="majorHAnsi" w:hAnsiTheme="majorHAnsi"/>
        </w:rPr>
        <w:t>Spojených</w:t>
      </w:r>
      <w:r>
        <w:rPr>
          <w:rFonts w:asciiTheme="majorHAnsi" w:hAnsiTheme="majorHAnsi"/>
        </w:rPr>
        <w:t xml:space="preserve"> </w:t>
      </w:r>
      <w:r w:rsidRPr="00A11FE0">
        <w:rPr>
          <w:rFonts w:asciiTheme="majorHAnsi" w:hAnsiTheme="majorHAnsi"/>
        </w:rPr>
        <w:t>národov</w:t>
      </w:r>
      <w:r w:rsidRPr="00A11FE0">
        <w:rPr>
          <w:rFonts w:asciiTheme="majorHAnsi" w:hAnsiTheme="majorHAnsi"/>
          <w:vertAlign w:val="superscript"/>
        </w:rPr>
        <w:footnoteReference w:id="41"/>
      </w:r>
      <w:r w:rsidRPr="00A11FE0">
        <w:rPr>
          <w:rFonts w:asciiTheme="majorHAnsi" w:hAnsiTheme="majorHAnsi"/>
        </w:rPr>
        <w:t xml:space="preserve"> z ktorých vyplýva, že v roku 2012 sa SR medzi krajinami EÚ umiestnila na 4. mieste od konca v hodnotení vyspelosti e</w:t>
      </w:r>
      <w:r w:rsidR="00665324">
        <w:rPr>
          <w:rFonts w:asciiTheme="majorHAnsi" w:hAnsiTheme="majorHAnsi"/>
        </w:rPr>
        <w:t>-</w:t>
      </w:r>
      <w:r w:rsidRPr="00A11FE0">
        <w:rPr>
          <w:rFonts w:asciiTheme="majorHAnsi" w:hAnsiTheme="majorHAnsi"/>
        </w:rPr>
        <w:t>Governmentu, pričom najviac zaostávajúcimi oblasťami sú online služby a telekomunikačná infraštruktúra</w:t>
      </w:r>
      <w:r>
        <w:rPr>
          <w:rFonts w:asciiTheme="majorHAnsi" w:hAnsiTheme="majorHAnsi"/>
        </w:rPr>
        <w:t xml:space="preserve"> </w:t>
      </w:r>
      <w:r w:rsidRPr="00A11FE0">
        <w:rPr>
          <w:rFonts w:asciiTheme="majorHAnsi" w:hAnsiTheme="majorHAnsi"/>
        </w:rPr>
        <w:t>(50 % úrovne). Relatívne vysokú úroveň dosahuje SR v oblasti ľudského kapitálu daného predovšetkým nadpriemernou digitálnou gramotnosťou a dopytom obyvateľov po elektronických službách. Verejná správa</w:t>
      </w:r>
      <w:r w:rsidR="00530019">
        <w:rPr>
          <w:rFonts w:asciiTheme="majorHAnsi" w:hAnsiTheme="majorHAnsi"/>
        </w:rPr>
        <w:t>,</w:t>
      </w:r>
      <w:r w:rsidRPr="00A11FE0">
        <w:rPr>
          <w:rFonts w:asciiTheme="majorHAnsi" w:hAnsiTheme="majorHAnsi"/>
        </w:rPr>
        <w:t xml:space="preserve"> ako tvorca legislatívneho prostredia, štandardov a poskytovateľ kľúčových elektronických služieb dlhodobo zaostáva za reálnymi potrebami ekonomiky a vývojom v okolitých krajinách. Výrazný pokrok v legislatíve a v</w:t>
      </w:r>
      <w:r>
        <w:rPr>
          <w:rFonts w:asciiTheme="majorHAnsi" w:hAnsiTheme="majorHAnsi"/>
        </w:rPr>
        <w:t> </w:t>
      </w:r>
      <w:r w:rsidRPr="00A11FE0">
        <w:rPr>
          <w:rFonts w:asciiTheme="majorHAnsi" w:hAnsiTheme="majorHAnsi"/>
        </w:rPr>
        <w:t>investíciách</w:t>
      </w:r>
      <w:r>
        <w:rPr>
          <w:rFonts w:asciiTheme="majorHAnsi" w:hAnsiTheme="majorHAnsi"/>
        </w:rPr>
        <w:t xml:space="preserve"> </w:t>
      </w:r>
      <w:r w:rsidRPr="00A11FE0">
        <w:rPr>
          <w:rFonts w:asciiTheme="majorHAnsi" w:hAnsiTheme="majorHAnsi"/>
        </w:rPr>
        <w:t>do e</w:t>
      </w:r>
      <w:r w:rsidR="00665324">
        <w:rPr>
          <w:rFonts w:asciiTheme="majorHAnsi" w:hAnsiTheme="majorHAnsi"/>
        </w:rPr>
        <w:t>-</w:t>
      </w:r>
      <w:r w:rsidRPr="00A11FE0">
        <w:rPr>
          <w:rFonts w:asciiTheme="majorHAnsi" w:hAnsiTheme="majorHAnsi"/>
        </w:rPr>
        <w:t>Governmentu sa za posledné roky len pomaly premieta do zefektívňovania verejnej správy a rastu digitálnej ekonomiky.</w:t>
      </w:r>
    </w:p>
    <w:p w:rsidR="00731432" w:rsidRPr="00A11FE0" w:rsidRDefault="00731432" w:rsidP="00A772A2">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Technická interoperabilita</w:t>
      </w:r>
    </w:p>
    <w:p w:rsidR="00212DE1" w:rsidRPr="00A11FE0" w:rsidRDefault="00212DE1" w:rsidP="00212DE1">
      <w:pPr>
        <w:rPr>
          <w:rFonts w:asciiTheme="majorHAnsi" w:hAnsiTheme="majorHAnsi"/>
        </w:rPr>
      </w:pPr>
      <w:r w:rsidRPr="00A11FE0">
        <w:rPr>
          <w:rFonts w:asciiTheme="majorHAnsi" w:hAnsiTheme="majorHAnsi"/>
        </w:rPr>
        <w:t>Prevažujúcou charakteristikou technologického prostredia verejnej správy SR je roztrieštenosť a rezortný prístup pri budovaní IKT infraštruktúry a služieb, čo sa odráža aj vo vysokých nákladoch na</w:t>
      </w:r>
      <w:r>
        <w:rPr>
          <w:rFonts w:asciiTheme="majorHAnsi" w:hAnsiTheme="majorHAnsi"/>
        </w:rPr>
        <w:t xml:space="preserve"> informačné technológie</w:t>
      </w:r>
      <w:r w:rsidRPr="00A11FE0">
        <w:rPr>
          <w:rFonts w:asciiTheme="majorHAnsi" w:hAnsiTheme="majorHAnsi"/>
        </w:rPr>
        <w:t xml:space="preserve"> </w:t>
      </w:r>
      <w:r>
        <w:rPr>
          <w:rFonts w:asciiTheme="majorHAnsi" w:hAnsiTheme="majorHAnsi"/>
        </w:rPr>
        <w:t>(</w:t>
      </w:r>
      <w:r w:rsidRPr="00A11FE0">
        <w:rPr>
          <w:rFonts w:asciiTheme="majorHAnsi" w:hAnsiTheme="majorHAnsi"/>
        </w:rPr>
        <w:t>IT</w:t>
      </w:r>
      <w:r>
        <w:rPr>
          <w:rFonts w:asciiTheme="majorHAnsi" w:hAnsiTheme="majorHAnsi"/>
        </w:rPr>
        <w:t>)</w:t>
      </w:r>
      <w:r w:rsidRPr="00A11FE0">
        <w:rPr>
          <w:rFonts w:asciiTheme="majorHAnsi" w:hAnsiTheme="majorHAnsi"/>
          <w:vertAlign w:val="superscript"/>
        </w:rPr>
        <w:footnoteReference w:id="42"/>
      </w:r>
      <w:r w:rsidRPr="00A11FE0">
        <w:rPr>
          <w:rFonts w:asciiTheme="majorHAnsi" w:hAnsiTheme="majorHAnsi"/>
        </w:rPr>
        <w:t>. Tento stav</w:t>
      </w:r>
      <w:r>
        <w:rPr>
          <w:rFonts w:asciiTheme="majorHAnsi" w:hAnsiTheme="majorHAnsi"/>
        </w:rPr>
        <w:t xml:space="preserve"> naďalej </w:t>
      </w:r>
      <w:r w:rsidRPr="00A11FE0">
        <w:rPr>
          <w:rFonts w:asciiTheme="majorHAnsi" w:hAnsiTheme="majorHAnsi"/>
        </w:rPr>
        <w:t>pretrváva a</w:t>
      </w:r>
      <w:r w:rsidR="00E461DE">
        <w:rPr>
          <w:rFonts w:asciiTheme="majorHAnsi" w:hAnsiTheme="majorHAnsi"/>
        </w:rPr>
        <w:t> </w:t>
      </w:r>
      <w:r w:rsidRPr="00A11FE0">
        <w:rPr>
          <w:rFonts w:asciiTheme="majorHAnsi" w:hAnsiTheme="majorHAnsi"/>
        </w:rPr>
        <w:t>aktuálne riešenia projektov OP</w:t>
      </w:r>
      <w:r>
        <w:rPr>
          <w:rFonts w:asciiTheme="majorHAnsi" w:hAnsiTheme="majorHAnsi"/>
        </w:rPr>
        <w:t xml:space="preserve"> </w:t>
      </w:r>
      <w:r w:rsidRPr="00A11FE0">
        <w:rPr>
          <w:rFonts w:asciiTheme="majorHAnsi" w:hAnsiTheme="majorHAnsi"/>
        </w:rPr>
        <w:t>IS ho konzervuje.</w:t>
      </w:r>
      <w:r>
        <w:rPr>
          <w:rFonts w:asciiTheme="majorHAnsi" w:hAnsiTheme="majorHAnsi"/>
        </w:rPr>
        <w:t xml:space="preserve"> </w:t>
      </w:r>
      <w:r w:rsidRPr="00A11FE0">
        <w:rPr>
          <w:rFonts w:asciiTheme="majorHAnsi" w:hAnsiTheme="majorHAnsi"/>
        </w:rPr>
        <w:t xml:space="preserve">Na druhej strane však existujú tendencie smerujúce ku </w:t>
      </w:r>
      <w:r w:rsidR="00183EE4">
        <w:rPr>
          <w:rFonts w:asciiTheme="majorHAnsi" w:hAnsiTheme="majorHAnsi"/>
        </w:rPr>
        <w:t>spoločnému využívaniu</w:t>
      </w:r>
      <w:r w:rsidR="00183EE4" w:rsidRPr="00A11FE0">
        <w:rPr>
          <w:rFonts w:asciiTheme="majorHAnsi" w:hAnsiTheme="majorHAnsi"/>
        </w:rPr>
        <w:t xml:space="preserve"> </w:t>
      </w:r>
      <w:r w:rsidRPr="00A11FE0">
        <w:rPr>
          <w:rFonts w:asciiTheme="majorHAnsi" w:hAnsiTheme="majorHAnsi"/>
        </w:rPr>
        <w:t>IKT na nadrezortnej úrovni</w:t>
      </w:r>
      <w:r w:rsidRPr="00A11FE0">
        <w:rPr>
          <w:rStyle w:val="Odkaznapoznmkupodiarou"/>
          <w:rFonts w:asciiTheme="majorHAnsi" w:hAnsiTheme="majorHAnsi"/>
        </w:rPr>
        <w:footnoteReference w:id="43"/>
      </w:r>
      <w:r w:rsidRPr="00A11FE0">
        <w:rPr>
          <w:rFonts w:asciiTheme="majorHAnsi" w:hAnsiTheme="majorHAnsi"/>
        </w:rPr>
        <w:t>.</w:t>
      </w:r>
      <w:r w:rsidR="004F0A55">
        <w:rPr>
          <w:rFonts w:asciiTheme="majorHAnsi" w:hAnsiTheme="majorHAnsi"/>
        </w:rPr>
        <w:t xml:space="preserve"> </w:t>
      </w:r>
      <w:r w:rsidR="004F0A55">
        <w:rPr>
          <w:rFonts w:asciiTheme="majorHAnsi" w:eastAsia="Times New Roman" w:hAnsiTheme="majorHAnsi"/>
        </w:rPr>
        <w:t>Uzatvárajú sa centrálne licenčné zmluvy, ktorých cieľom je efektívnejšie nakladanie s prostriedkami štátneho rozpočtu, sprehľadnenie evidencie licencií a umožnenie ich účelného presunu v rámci jednotlivých rezortov.</w:t>
      </w:r>
    </w:p>
    <w:p w:rsidR="00212DE1" w:rsidRPr="00A11FE0" w:rsidRDefault="00212DE1" w:rsidP="00212DE1">
      <w:pPr>
        <w:rPr>
          <w:rFonts w:asciiTheme="majorHAnsi" w:hAnsiTheme="majorHAnsi"/>
        </w:rPr>
      </w:pPr>
      <w:r w:rsidRPr="00A11FE0">
        <w:rPr>
          <w:rFonts w:asciiTheme="majorHAnsi" w:hAnsiTheme="majorHAnsi"/>
        </w:rPr>
        <w:t>„Cloud computing“ možno zjednodušene chápať ako ukladanie, spracovávanie a používanie údajov na vzdialených počítačoch dostupných cez internet. Používatelia môžu na požiadanie disponovať takmer neobmedzenou výpočtovou kapacitou, nemusia vynakladať veľké kapitálové investície</w:t>
      </w:r>
      <w:r>
        <w:rPr>
          <w:rFonts w:asciiTheme="majorHAnsi" w:hAnsiTheme="majorHAnsi"/>
        </w:rPr>
        <w:t xml:space="preserve"> </w:t>
      </w:r>
      <w:r w:rsidRPr="00A11FE0">
        <w:rPr>
          <w:rFonts w:asciiTheme="majorHAnsi" w:hAnsiTheme="majorHAnsi"/>
        </w:rPr>
        <w:t>na splnenie svojich potrieb a</w:t>
      </w:r>
      <w:r>
        <w:rPr>
          <w:rFonts w:asciiTheme="majorHAnsi" w:hAnsiTheme="majorHAnsi"/>
        </w:rPr>
        <w:t> </w:t>
      </w:r>
      <w:r w:rsidRPr="00A11FE0">
        <w:rPr>
          <w:rFonts w:asciiTheme="majorHAnsi" w:hAnsiTheme="majorHAnsi"/>
        </w:rPr>
        <w:t>môžu</w:t>
      </w:r>
      <w:r>
        <w:rPr>
          <w:rFonts w:asciiTheme="majorHAnsi" w:hAnsiTheme="majorHAnsi"/>
        </w:rPr>
        <w:t xml:space="preserve"> </w:t>
      </w:r>
      <w:r w:rsidRPr="00A11FE0">
        <w:rPr>
          <w:rFonts w:asciiTheme="majorHAnsi" w:hAnsiTheme="majorHAnsi"/>
        </w:rPr>
        <w:t xml:space="preserve">údaje získať odkiaľkoľvek prostredníctvom internetového spojenia. Cloud computing má potenciál výrazne znížiť výdavky </w:t>
      </w:r>
      <w:r>
        <w:rPr>
          <w:rFonts w:asciiTheme="majorHAnsi" w:hAnsiTheme="majorHAnsi"/>
        </w:rPr>
        <w:t xml:space="preserve">na </w:t>
      </w:r>
      <w:r w:rsidRPr="00A11FE0">
        <w:rPr>
          <w:rFonts w:asciiTheme="majorHAnsi" w:hAnsiTheme="majorHAnsi"/>
        </w:rPr>
        <w:t>IT</w:t>
      </w:r>
      <w:r>
        <w:rPr>
          <w:rFonts w:asciiTheme="majorHAnsi" w:hAnsiTheme="majorHAnsi"/>
        </w:rPr>
        <w:t xml:space="preserve"> </w:t>
      </w:r>
      <w:r w:rsidRPr="00A11FE0">
        <w:rPr>
          <w:rFonts w:asciiTheme="majorHAnsi" w:hAnsiTheme="majorHAnsi"/>
        </w:rPr>
        <w:t>a</w:t>
      </w:r>
      <w:r>
        <w:rPr>
          <w:rFonts w:asciiTheme="majorHAnsi" w:hAnsiTheme="majorHAnsi"/>
        </w:rPr>
        <w:t> </w:t>
      </w:r>
      <w:r w:rsidRPr="00A11FE0">
        <w:rPr>
          <w:rFonts w:asciiTheme="majorHAnsi" w:hAnsiTheme="majorHAnsi"/>
        </w:rPr>
        <w:t>umožniť</w:t>
      </w:r>
      <w:r>
        <w:rPr>
          <w:rFonts w:asciiTheme="majorHAnsi" w:hAnsiTheme="majorHAnsi"/>
        </w:rPr>
        <w:t xml:space="preserve"> </w:t>
      </w:r>
      <w:r w:rsidRPr="00A11FE0">
        <w:rPr>
          <w:rFonts w:asciiTheme="majorHAnsi" w:hAnsiTheme="majorHAnsi"/>
        </w:rPr>
        <w:t xml:space="preserve">vývoj mnohých nových služieb. Prijatie dôveryhodných riešení cloudu verejnými obstarávateľmi by mohlo povzbudiť </w:t>
      </w:r>
      <w:r w:rsidR="001E67EA">
        <w:rPr>
          <w:rFonts w:asciiTheme="majorHAnsi" w:hAnsiTheme="majorHAnsi"/>
        </w:rPr>
        <w:t xml:space="preserve">MSP </w:t>
      </w:r>
      <w:r>
        <w:rPr>
          <w:rFonts w:asciiTheme="majorHAnsi" w:hAnsiTheme="majorHAnsi"/>
        </w:rPr>
        <w:t>k</w:t>
      </w:r>
      <w:r w:rsidR="00E461DE">
        <w:rPr>
          <w:rFonts w:asciiTheme="majorHAnsi" w:hAnsiTheme="majorHAnsi"/>
        </w:rPr>
        <w:t> </w:t>
      </w:r>
      <w:r>
        <w:rPr>
          <w:rFonts w:asciiTheme="majorHAnsi" w:hAnsiTheme="majorHAnsi"/>
        </w:rPr>
        <w:t>tomu</w:t>
      </w:r>
      <w:r w:rsidRPr="00A11FE0">
        <w:rPr>
          <w:rFonts w:asciiTheme="majorHAnsi" w:hAnsiTheme="majorHAnsi"/>
        </w:rPr>
        <w:t>, aby ho tiež prijali.</w:t>
      </w:r>
    </w:p>
    <w:p w:rsidR="003C6EBF" w:rsidRPr="00A11FE0" w:rsidRDefault="003C6EBF" w:rsidP="001872DA">
      <w:pPr>
        <w:pStyle w:val="Nadpis5"/>
        <w:numPr>
          <w:ilvl w:val="4"/>
          <w:numId w:val="2"/>
        </w:numPr>
        <w:ind w:left="1292"/>
      </w:pPr>
      <w:r w:rsidRPr="00A11FE0">
        <w:t>Nízka penetrácia internetu</w:t>
      </w:r>
    </w:p>
    <w:p w:rsidR="00255A27" w:rsidRPr="00A11FE0" w:rsidRDefault="00BD5FD5" w:rsidP="007656FA">
      <w:pPr>
        <w:rPr>
          <w:rFonts w:asciiTheme="majorHAnsi" w:hAnsiTheme="majorHAnsi"/>
        </w:rPr>
      </w:pPr>
      <w:r>
        <w:rPr>
          <w:rFonts w:asciiTheme="majorHAnsi" w:hAnsiTheme="majorHAnsi"/>
        </w:rPr>
        <w:t>S</w:t>
      </w:r>
      <w:r w:rsidR="00481332" w:rsidRPr="00A11FE0">
        <w:rPr>
          <w:rFonts w:asciiTheme="majorHAnsi" w:hAnsiTheme="majorHAnsi"/>
        </w:rPr>
        <w:t xml:space="preserve">R patrí nielen v rámci EÚ, </w:t>
      </w:r>
      <w:r>
        <w:rPr>
          <w:rFonts w:asciiTheme="majorHAnsi" w:hAnsiTheme="majorHAnsi"/>
        </w:rPr>
        <w:t>a</w:t>
      </w:r>
      <w:r w:rsidR="00481332" w:rsidRPr="00A11FE0">
        <w:rPr>
          <w:rFonts w:asciiTheme="majorHAnsi" w:hAnsiTheme="majorHAnsi"/>
        </w:rPr>
        <w:t xml:space="preserve">le </w:t>
      </w:r>
      <w:r>
        <w:rPr>
          <w:rFonts w:asciiTheme="majorHAnsi" w:hAnsiTheme="majorHAnsi"/>
        </w:rPr>
        <w:t>a</w:t>
      </w:r>
      <w:r w:rsidR="00481332" w:rsidRPr="00A11FE0">
        <w:rPr>
          <w:rFonts w:asciiTheme="majorHAnsi" w:hAnsiTheme="majorHAnsi"/>
        </w:rPr>
        <w:t xml:space="preserve">j v rámci OECD dlhodobo medzi </w:t>
      </w:r>
      <w:r>
        <w:rPr>
          <w:rFonts w:asciiTheme="majorHAnsi" w:hAnsiTheme="majorHAnsi"/>
        </w:rPr>
        <w:t>k</w:t>
      </w:r>
      <w:r w:rsidR="00481332" w:rsidRPr="00A11FE0">
        <w:rPr>
          <w:rFonts w:asciiTheme="majorHAnsi" w:hAnsiTheme="majorHAnsi"/>
        </w:rPr>
        <w:t xml:space="preserve">rajiny </w:t>
      </w:r>
      <w:r>
        <w:rPr>
          <w:rFonts w:asciiTheme="majorHAnsi" w:hAnsiTheme="majorHAnsi"/>
        </w:rPr>
        <w:t>s </w:t>
      </w:r>
      <w:r w:rsidR="00481332" w:rsidRPr="00A11FE0">
        <w:rPr>
          <w:rFonts w:asciiTheme="majorHAnsi" w:hAnsiTheme="majorHAnsi"/>
        </w:rPr>
        <w:t xml:space="preserve">najnižšou penetráciou širokopásmového </w:t>
      </w:r>
      <w:r w:rsidR="00361602" w:rsidRPr="00A11FE0">
        <w:rPr>
          <w:rFonts w:asciiTheme="majorHAnsi" w:hAnsiTheme="majorHAnsi"/>
        </w:rPr>
        <w:t>internetu</w:t>
      </w:r>
      <w:r w:rsidR="00225ECE" w:rsidRPr="00A11FE0">
        <w:rPr>
          <w:rFonts w:asciiTheme="majorHAnsi" w:hAnsiTheme="majorHAnsi"/>
          <w:vertAlign w:val="superscript"/>
        </w:rPr>
        <w:t>33</w:t>
      </w:r>
      <w:r w:rsidR="00481332" w:rsidRPr="00A11FE0">
        <w:rPr>
          <w:rFonts w:asciiTheme="majorHAnsi" w:hAnsiTheme="majorHAnsi"/>
        </w:rPr>
        <w:t>.</w:t>
      </w:r>
    </w:p>
    <w:p w:rsidR="00481332" w:rsidRPr="00A11FE0" w:rsidRDefault="00481332" w:rsidP="007656FA">
      <w:pPr>
        <w:rPr>
          <w:rFonts w:asciiTheme="majorHAnsi" w:hAnsiTheme="majorHAnsi"/>
        </w:rPr>
      </w:pPr>
      <w:r w:rsidRPr="00A11FE0">
        <w:rPr>
          <w:rFonts w:asciiTheme="majorHAnsi" w:hAnsiTheme="majorHAnsi"/>
        </w:rPr>
        <w:t>V</w:t>
      </w:r>
      <w:r w:rsidR="00630A8C">
        <w:rPr>
          <w:rFonts w:asciiTheme="majorHAnsi" w:hAnsiTheme="majorHAnsi"/>
        </w:rPr>
        <w:t> </w:t>
      </w:r>
      <w:r w:rsidR="00BD5FD5">
        <w:rPr>
          <w:rFonts w:asciiTheme="majorHAnsi" w:hAnsiTheme="majorHAnsi"/>
        </w:rPr>
        <w:t>S</w:t>
      </w:r>
      <w:r w:rsidRPr="00A11FE0">
        <w:rPr>
          <w:rFonts w:asciiTheme="majorHAnsi" w:hAnsiTheme="majorHAnsi"/>
        </w:rPr>
        <w:t>R</w:t>
      </w:r>
      <w:r w:rsidR="00630A8C">
        <w:rPr>
          <w:rFonts w:asciiTheme="majorHAnsi" w:hAnsiTheme="majorHAnsi"/>
        </w:rPr>
        <w:t xml:space="preserve"> </w:t>
      </w:r>
      <w:r w:rsidR="00BD5FD5">
        <w:rPr>
          <w:rFonts w:asciiTheme="majorHAnsi" w:hAnsiTheme="majorHAnsi"/>
        </w:rPr>
        <w:t>s</w:t>
      </w:r>
      <w:r w:rsidRPr="00A11FE0">
        <w:rPr>
          <w:rFonts w:asciiTheme="majorHAnsi" w:hAnsiTheme="majorHAnsi"/>
        </w:rPr>
        <w:t>ú dostupné všetky štandardné</w:t>
      </w:r>
      <w:r w:rsidRPr="00A11FE0">
        <w:rPr>
          <w:rStyle w:val="Odkaznapoznmkupodiarou"/>
          <w:rFonts w:asciiTheme="majorHAnsi" w:hAnsiTheme="majorHAnsi"/>
        </w:rPr>
        <w:footnoteReference w:id="44"/>
      </w:r>
      <w:r w:rsidRPr="00A11FE0">
        <w:rPr>
          <w:rFonts w:asciiTheme="majorHAnsi" w:hAnsiTheme="majorHAnsi"/>
        </w:rPr>
        <w:t xml:space="preserve"> technológie poskytovania širokopásmového prístupu </w:t>
      </w:r>
      <w:r w:rsidR="00BD5FD5">
        <w:rPr>
          <w:rFonts w:asciiTheme="majorHAnsi" w:hAnsiTheme="majorHAnsi"/>
        </w:rPr>
        <w:t>s </w:t>
      </w:r>
      <w:r w:rsidRPr="00A11FE0">
        <w:rPr>
          <w:rFonts w:asciiTheme="majorHAnsi" w:hAnsiTheme="majorHAnsi"/>
        </w:rPr>
        <w:t>prevažujúcou technológiou xDSL</w:t>
      </w:r>
      <w:r w:rsidR="006665CD" w:rsidRPr="00A11FE0">
        <w:rPr>
          <w:rFonts w:asciiTheme="majorHAnsi" w:hAnsiTheme="majorHAnsi"/>
        </w:rPr>
        <w:t xml:space="preserve"> (na maloobchodnom trhu)</w:t>
      </w:r>
      <w:r w:rsidRPr="00A11FE0">
        <w:rPr>
          <w:rFonts w:asciiTheme="majorHAnsi" w:hAnsiTheme="majorHAnsi"/>
        </w:rPr>
        <w:t xml:space="preserve"> </w:t>
      </w:r>
      <w:r w:rsidR="00BD5FD5">
        <w:rPr>
          <w:rFonts w:asciiTheme="majorHAnsi" w:hAnsiTheme="majorHAnsi"/>
        </w:rPr>
        <w:t>s </w:t>
      </w:r>
      <w:r w:rsidRPr="00A11FE0">
        <w:rPr>
          <w:rFonts w:asciiTheme="majorHAnsi" w:hAnsiTheme="majorHAnsi"/>
        </w:rPr>
        <w:t xml:space="preserve">podielom </w:t>
      </w:r>
      <w:r w:rsidR="00A214C7" w:rsidRPr="00A11FE0">
        <w:rPr>
          <w:rFonts w:asciiTheme="majorHAnsi" w:hAnsiTheme="majorHAnsi"/>
        </w:rPr>
        <w:t>39,7</w:t>
      </w:r>
      <w:r w:rsidRPr="00A11FE0">
        <w:rPr>
          <w:rFonts w:asciiTheme="majorHAnsi" w:hAnsiTheme="majorHAnsi"/>
        </w:rPr>
        <w:t xml:space="preserve"> % celkového počtu prístupov, nasleduje WiFi </w:t>
      </w:r>
      <w:r w:rsidR="00BD5FD5">
        <w:rPr>
          <w:rFonts w:asciiTheme="majorHAnsi" w:hAnsiTheme="majorHAnsi"/>
        </w:rPr>
        <w:t>s</w:t>
      </w:r>
      <w:r w:rsidR="00630A8C">
        <w:rPr>
          <w:rFonts w:asciiTheme="majorHAnsi" w:hAnsiTheme="majorHAnsi"/>
        </w:rPr>
        <w:t> </w:t>
      </w:r>
      <w:r w:rsidRPr="00A11FE0">
        <w:rPr>
          <w:rFonts w:asciiTheme="majorHAnsi" w:hAnsiTheme="majorHAnsi"/>
        </w:rPr>
        <w:t>podielom</w:t>
      </w:r>
      <w:r w:rsidR="00630A8C">
        <w:rPr>
          <w:rFonts w:asciiTheme="majorHAnsi" w:hAnsiTheme="majorHAnsi"/>
        </w:rPr>
        <w:t xml:space="preserve"> </w:t>
      </w:r>
      <w:r w:rsidRPr="00A11FE0">
        <w:rPr>
          <w:rFonts w:asciiTheme="majorHAnsi" w:hAnsiTheme="majorHAnsi"/>
        </w:rPr>
        <w:t>2</w:t>
      </w:r>
      <w:r w:rsidR="00A214C7" w:rsidRPr="00A11FE0">
        <w:rPr>
          <w:rFonts w:asciiTheme="majorHAnsi" w:hAnsiTheme="majorHAnsi"/>
        </w:rPr>
        <w:t>3,6</w:t>
      </w:r>
      <w:r w:rsidRPr="00A11FE0">
        <w:rPr>
          <w:rFonts w:asciiTheme="majorHAnsi" w:hAnsiTheme="majorHAnsi"/>
        </w:rPr>
        <w:t xml:space="preserve"> %. Rast </w:t>
      </w:r>
      <w:r w:rsidR="007459ED" w:rsidRPr="00A11FE0">
        <w:rPr>
          <w:rFonts w:asciiTheme="majorHAnsi" w:hAnsiTheme="majorHAnsi"/>
        </w:rPr>
        <w:t>bezdrôtových</w:t>
      </w:r>
      <w:r w:rsidRPr="00A11FE0">
        <w:rPr>
          <w:rFonts w:asciiTheme="majorHAnsi" w:hAnsiTheme="majorHAnsi"/>
        </w:rPr>
        <w:t xml:space="preserve"> </w:t>
      </w:r>
      <w:r w:rsidR="007459ED" w:rsidRPr="00A11FE0">
        <w:rPr>
          <w:rFonts w:asciiTheme="majorHAnsi" w:hAnsiTheme="majorHAnsi"/>
        </w:rPr>
        <w:t>širokopásmových</w:t>
      </w:r>
      <w:r w:rsidRPr="00A11FE0">
        <w:rPr>
          <w:rFonts w:asciiTheme="majorHAnsi" w:hAnsiTheme="majorHAnsi"/>
        </w:rPr>
        <w:t xml:space="preserve"> prístupov </w:t>
      </w:r>
      <w:r w:rsidR="00BD5FD5">
        <w:rPr>
          <w:rFonts w:asciiTheme="majorHAnsi" w:hAnsiTheme="majorHAnsi"/>
        </w:rPr>
        <w:t>s</w:t>
      </w:r>
      <w:r w:rsidRPr="00A11FE0">
        <w:rPr>
          <w:rFonts w:asciiTheme="majorHAnsi" w:hAnsiTheme="majorHAnsi"/>
        </w:rPr>
        <w:t>úvisí</w:t>
      </w:r>
      <w:r w:rsidR="006F753F" w:rsidRPr="00A11FE0">
        <w:rPr>
          <w:rFonts w:asciiTheme="majorHAnsi" w:hAnsiTheme="majorHAnsi"/>
        </w:rPr>
        <w:t xml:space="preserve"> </w:t>
      </w:r>
      <w:r w:rsidR="00BD5FD5">
        <w:rPr>
          <w:rFonts w:asciiTheme="majorHAnsi" w:hAnsiTheme="majorHAnsi"/>
        </w:rPr>
        <w:t>s </w:t>
      </w:r>
      <w:r w:rsidRPr="00A11FE0">
        <w:rPr>
          <w:rFonts w:asciiTheme="majorHAnsi" w:hAnsiTheme="majorHAnsi"/>
        </w:rPr>
        <w:t xml:space="preserve">rozmachom najmenších </w:t>
      </w:r>
      <w:r w:rsidR="001E67EA">
        <w:rPr>
          <w:rFonts w:asciiTheme="majorHAnsi" w:hAnsiTheme="majorHAnsi"/>
        </w:rPr>
        <w:t xml:space="preserve">miestnych </w:t>
      </w:r>
      <w:r w:rsidRPr="00A11FE0">
        <w:rPr>
          <w:rFonts w:asciiTheme="majorHAnsi" w:hAnsiTheme="majorHAnsi"/>
        </w:rPr>
        <w:t>poskytovateľov</w:t>
      </w:r>
      <w:r w:rsidR="004C0E67" w:rsidRPr="00A11FE0">
        <w:rPr>
          <w:rFonts w:asciiTheme="majorHAnsi" w:hAnsiTheme="majorHAnsi"/>
        </w:rPr>
        <w:t xml:space="preserve">. </w:t>
      </w:r>
      <w:r w:rsidRPr="00A11FE0">
        <w:rPr>
          <w:rFonts w:asciiTheme="majorHAnsi" w:hAnsiTheme="majorHAnsi"/>
        </w:rPr>
        <w:t xml:space="preserve">Zároveň to </w:t>
      </w:r>
      <w:r w:rsidR="00BD5FD5">
        <w:rPr>
          <w:rFonts w:asciiTheme="majorHAnsi" w:hAnsiTheme="majorHAnsi"/>
        </w:rPr>
        <w:t>s</w:t>
      </w:r>
      <w:r w:rsidRPr="00A11FE0">
        <w:rPr>
          <w:rFonts w:asciiTheme="majorHAnsi" w:hAnsiTheme="majorHAnsi"/>
        </w:rPr>
        <w:t>vedčí nielen o</w:t>
      </w:r>
      <w:r w:rsidR="00630A8C">
        <w:rPr>
          <w:rFonts w:asciiTheme="majorHAnsi" w:hAnsiTheme="majorHAnsi"/>
        </w:rPr>
        <w:t> </w:t>
      </w:r>
      <w:r w:rsidRPr="00A11FE0">
        <w:rPr>
          <w:rFonts w:asciiTheme="majorHAnsi" w:hAnsiTheme="majorHAnsi"/>
        </w:rPr>
        <w:t>záujme</w:t>
      </w:r>
      <w:r w:rsidR="00630A8C">
        <w:rPr>
          <w:rFonts w:asciiTheme="majorHAnsi" w:hAnsiTheme="majorHAnsi"/>
        </w:rPr>
        <w:t xml:space="preserve"> </w:t>
      </w:r>
      <w:r w:rsidRPr="00A11FE0">
        <w:rPr>
          <w:rFonts w:asciiTheme="majorHAnsi" w:hAnsiTheme="majorHAnsi"/>
        </w:rPr>
        <w:t>obyvateľ</w:t>
      </w:r>
      <w:r w:rsidR="006665CD" w:rsidRPr="00A11FE0">
        <w:rPr>
          <w:rFonts w:asciiTheme="majorHAnsi" w:hAnsiTheme="majorHAnsi"/>
        </w:rPr>
        <w:t>ov</w:t>
      </w:r>
      <w:r w:rsidRPr="00A11FE0">
        <w:rPr>
          <w:rFonts w:asciiTheme="majorHAnsi" w:hAnsiTheme="majorHAnsi"/>
        </w:rPr>
        <w:t xml:space="preserve"> </w:t>
      </w:r>
      <w:r w:rsidRPr="00A11FE0">
        <w:rPr>
          <w:rFonts w:asciiTheme="majorHAnsi" w:hAnsiTheme="majorHAnsi"/>
        </w:rPr>
        <w:lastRenderedPageBreak/>
        <w:t>v</w:t>
      </w:r>
      <w:r w:rsidR="00DC52DA">
        <w:rPr>
          <w:rFonts w:asciiTheme="majorHAnsi" w:hAnsiTheme="majorHAnsi"/>
        </w:rPr>
        <w:t> </w:t>
      </w:r>
      <w:r w:rsidRPr="00A11FE0">
        <w:rPr>
          <w:rFonts w:asciiTheme="majorHAnsi" w:hAnsiTheme="majorHAnsi"/>
        </w:rPr>
        <w:t>riedko</w:t>
      </w:r>
      <w:r w:rsidR="00DC52DA">
        <w:rPr>
          <w:rFonts w:asciiTheme="majorHAnsi" w:hAnsiTheme="majorHAnsi"/>
        </w:rPr>
        <w:t xml:space="preserve"> </w:t>
      </w:r>
      <w:r w:rsidR="007459ED" w:rsidRPr="00A11FE0">
        <w:rPr>
          <w:rFonts w:asciiTheme="majorHAnsi" w:hAnsiTheme="majorHAnsi"/>
        </w:rPr>
        <w:t>osídlených</w:t>
      </w:r>
      <w:r w:rsidRPr="00A11FE0">
        <w:rPr>
          <w:rFonts w:asciiTheme="majorHAnsi" w:hAnsiTheme="majorHAnsi"/>
        </w:rPr>
        <w:t xml:space="preserve"> oblastiach o</w:t>
      </w:r>
      <w:r w:rsidR="00D53987" w:rsidRPr="00A11FE0">
        <w:rPr>
          <w:rFonts w:asciiTheme="majorHAnsi" w:hAnsiTheme="majorHAnsi"/>
        </w:rPr>
        <w:t> </w:t>
      </w:r>
      <w:r w:rsidR="007459ED" w:rsidRPr="00A11FE0">
        <w:rPr>
          <w:rFonts w:asciiTheme="majorHAnsi" w:hAnsiTheme="majorHAnsi"/>
        </w:rPr>
        <w:t>širokopásmový</w:t>
      </w:r>
      <w:r w:rsidRPr="00A11FE0">
        <w:rPr>
          <w:rFonts w:asciiTheme="majorHAnsi" w:hAnsiTheme="majorHAnsi"/>
        </w:rPr>
        <w:t xml:space="preserve"> prístup, </w:t>
      </w:r>
      <w:r w:rsidR="00BD5FD5">
        <w:rPr>
          <w:rFonts w:asciiTheme="majorHAnsi" w:hAnsiTheme="majorHAnsi"/>
        </w:rPr>
        <w:t>a</w:t>
      </w:r>
      <w:r w:rsidRPr="00A11FE0">
        <w:rPr>
          <w:rFonts w:asciiTheme="majorHAnsi" w:hAnsiTheme="majorHAnsi"/>
        </w:rPr>
        <w:t>le hlavne o</w:t>
      </w:r>
      <w:r w:rsidR="00DC52DA">
        <w:rPr>
          <w:rFonts w:asciiTheme="majorHAnsi" w:hAnsiTheme="majorHAnsi"/>
        </w:rPr>
        <w:t> </w:t>
      </w:r>
      <w:r w:rsidRPr="00A11FE0">
        <w:rPr>
          <w:rFonts w:asciiTheme="majorHAnsi" w:hAnsiTheme="majorHAnsi"/>
        </w:rPr>
        <w:t>nedostatočnej</w:t>
      </w:r>
      <w:r w:rsidR="00DC52DA">
        <w:rPr>
          <w:rFonts w:asciiTheme="majorHAnsi" w:hAnsiTheme="majorHAnsi"/>
        </w:rPr>
        <w:t xml:space="preserve"> </w:t>
      </w:r>
      <w:r w:rsidRPr="00A11FE0">
        <w:rPr>
          <w:rFonts w:asciiTheme="majorHAnsi" w:hAnsiTheme="majorHAnsi"/>
        </w:rPr>
        <w:t>rozvinutej infraštruktúre fixného širokopásmového prístupu v</w:t>
      </w:r>
      <w:r w:rsidR="00630A8C">
        <w:rPr>
          <w:rFonts w:asciiTheme="majorHAnsi" w:hAnsiTheme="majorHAnsi"/>
        </w:rPr>
        <w:t> </w:t>
      </w:r>
      <w:r w:rsidR="00566BD2" w:rsidRPr="00A11FE0">
        <w:rPr>
          <w:rFonts w:asciiTheme="majorHAnsi" w:hAnsiTheme="majorHAnsi"/>
        </w:rPr>
        <w:t>týchto</w:t>
      </w:r>
      <w:r w:rsidR="00630A8C">
        <w:rPr>
          <w:rFonts w:asciiTheme="majorHAnsi" w:hAnsiTheme="majorHAnsi"/>
        </w:rPr>
        <w:t xml:space="preserve"> </w:t>
      </w:r>
      <w:r w:rsidRPr="00A11FE0">
        <w:rPr>
          <w:rFonts w:asciiTheme="majorHAnsi" w:hAnsiTheme="majorHAnsi"/>
        </w:rPr>
        <w:t>oblastiach</w:t>
      </w:r>
      <w:r w:rsidRPr="00A11FE0">
        <w:rPr>
          <w:rStyle w:val="Odkaznapoznmkupodiarou"/>
          <w:rFonts w:asciiTheme="majorHAnsi" w:hAnsiTheme="majorHAnsi"/>
        </w:rPr>
        <w:footnoteReference w:id="45"/>
      </w:r>
      <w:r w:rsidRPr="00A11FE0">
        <w:rPr>
          <w:rFonts w:asciiTheme="majorHAnsi" w:hAnsiTheme="majorHAnsi"/>
        </w:rPr>
        <w:t>.</w:t>
      </w:r>
    </w:p>
    <w:p w:rsidR="007F7B9A" w:rsidRPr="00A11FE0" w:rsidRDefault="00481332" w:rsidP="00481332">
      <w:pPr>
        <w:rPr>
          <w:rFonts w:asciiTheme="majorHAnsi" w:hAnsiTheme="majorHAnsi"/>
        </w:rPr>
      </w:pPr>
      <w:r w:rsidRPr="00A11FE0">
        <w:rPr>
          <w:rFonts w:asciiTheme="majorHAnsi" w:hAnsiTheme="majorHAnsi"/>
        </w:rPr>
        <w:t xml:space="preserve">Hlavným dôvodom nízkej penetrácie internetu na vidieku </w:t>
      </w:r>
      <w:r w:rsidR="00BD5FD5">
        <w:rPr>
          <w:rFonts w:asciiTheme="majorHAnsi" w:hAnsiTheme="majorHAnsi"/>
        </w:rPr>
        <w:t>a </w:t>
      </w:r>
      <w:r w:rsidRPr="00A11FE0">
        <w:rPr>
          <w:rFonts w:asciiTheme="majorHAnsi" w:hAnsiTheme="majorHAnsi"/>
        </w:rPr>
        <w:t xml:space="preserve">vysokého podielu </w:t>
      </w:r>
      <w:r w:rsidR="00BD5FD5">
        <w:rPr>
          <w:rFonts w:asciiTheme="majorHAnsi" w:hAnsiTheme="majorHAnsi"/>
        </w:rPr>
        <w:t>s</w:t>
      </w:r>
      <w:r w:rsidRPr="00A11FE0">
        <w:rPr>
          <w:rFonts w:asciiTheme="majorHAnsi" w:hAnsiTheme="majorHAnsi"/>
        </w:rPr>
        <w:t>ietí ďalšej generácie</w:t>
      </w:r>
      <w:r w:rsidR="006665CD" w:rsidRPr="00A11FE0">
        <w:rPr>
          <w:rFonts w:asciiTheme="majorHAnsi" w:hAnsiTheme="majorHAnsi"/>
        </w:rPr>
        <w:t xml:space="preserve"> </w:t>
      </w:r>
      <w:r w:rsidRPr="00A11FE0">
        <w:rPr>
          <w:rFonts w:asciiTheme="majorHAnsi" w:hAnsiTheme="majorHAnsi"/>
        </w:rPr>
        <w:t xml:space="preserve">je </w:t>
      </w:r>
      <w:r w:rsidR="00BD5FD5">
        <w:rPr>
          <w:rFonts w:asciiTheme="majorHAnsi" w:hAnsiTheme="majorHAnsi"/>
        </w:rPr>
        <w:t>s</w:t>
      </w:r>
      <w:r w:rsidRPr="00A11FE0">
        <w:rPr>
          <w:rFonts w:asciiTheme="majorHAnsi" w:hAnsiTheme="majorHAnsi"/>
        </w:rPr>
        <w:t>kutočnosť, že v</w:t>
      </w:r>
      <w:r w:rsidR="00630A8C">
        <w:rPr>
          <w:rFonts w:asciiTheme="majorHAnsi" w:hAnsiTheme="majorHAnsi"/>
        </w:rPr>
        <w:t> </w:t>
      </w:r>
      <w:r w:rsidR="00BD5FD5">
        <w:rPr>
          <w:rFonts w:asciiTheme="majorHAnsi" w:hAnsiTheme="majorHAnsi"/>
        </w:rPr>
        <w:t>S</w:t>
      </w:r>
      <w:r w:rsidRPr="00A11FE0">
        <w:rPr>
          <w:rFonts w:asciiTheme="majorHAnsi" w:hAnsiTheme="majorHAnsi"/>
        </w:rPr>
        <w:t>R</w:t>
      </w:r>
      <w:r w:rsidR="00630A8C">
        <w:rPr>
          <w:rFonts w:asciiTheme="majorHAnsi" w:hAnsiTheme="majorHAnsi"/>
        </w:rPr>
        <w:t xml:space="preserve"> </w:t>
      </w:r>
      <w:r w:rsidRPr="00A11FE0">
        <w:rPr>
          <w:rFonts w:asciiTheme="majorHAnsi" w:hAnsiTheme="majorHAnsi"/>
        </w:rPr>
        <w:t xml:space="preserve">nefunguje efektívna </w:t>
      </w:r>
      <w:r w:rsidR="00183EE4">
        <w:rPr>
          <w:rFonts w:asciiTheme="majorHAnsi" w:hAnsiTheme="majorHAnsi"/>
        </w:rPr>
        <w:t xml:space="preserve">hospodárska </w:t>
      </w:r>
      <w:r w:rsidR="00BD5FD5">
        <w:rPr>
          <w:rFonts w:asciiTheme="majorHAnsi" w:hAnsiTheme="majorHAnsi"/>
        </w:rPr>
        <w:t>s</w:t>
      </w:r>
      <w:r w:rsidRPr="00A11FE0">
        <w:rPr>
          <w:rFonts w:asciiTheme="majorHAnsi" w:hAnsiTheme="majorHAnsi"/>
        </w:rPr>
        <w:t>úťaž</w:t>
      </w:r>
      <w:r w:rsidRPr="00A11FE0">
        <w:rPr>
          <w:rStyle w:val="Odkaznapoznmkupodiarou"/>
          <w:rFonts w:asciiTheme="majorHAnsi" w:hAnsiTheme="majorHAnsi"/>
        </w:rPr>
        <w:footnoteReference w:id="46"/>
      </w:r>
      <w:r w:rsidRPr="00A11FE0">
        <w:rPr>
          <w:rFonts w:asciiTheme="majorHAnsi" w:hAnsiTheme="majorHAnsi"/>
        </w:rPr>
        <w:t xml:space="preserve">. Na okraji záujmu ostávajú predovšetkým vidiecke oblasti, horské oblasti </w:t>
      </w:r>
      <w:r w:rsidR="00BD5FD5">
        <w:rPr>
          <w:rFonts w:asciiTheme="majorHAnsi" w:hAnsiTheme="majorHAnsi"/>
        </w:rPr>
        <w:t>a </w:t>
      </w:r>
      <w:r w:rsidRPr="00A11FE0">
        <w:rPr>
          <w:rFonts w:asciiTheme="majorHAnsi" w:hAnsiTheme="majorHAnsi"/>
        </w:rPr>
        <w:t xml:space="preserve">ekonomicky </w:t>
      </w:r>
      <w:r w:rsidR="00BD5FD5">
        <w:rPr>
          <w:rFonts w:asciiTheme="majorHAnsi" w:hAnsiTheme="majorHAnsi"/>
        </w:rPr>
        <w:t>s</w:t>
      </w:r>
      <w:r w:rsidRPr="00A11FE0">
        <w:rPr>
          <w:rFonts w:asciiTheme="majorHAnsi" w:hAnsiTheme="majorHAnsi"/>
        </w:rPr>
        <w:t>labé regióny</w:t>
      </w:r>
      <w:r w:rsidR="00F862F9">
        <w:rPr>
          <w:rFonts w:asciiTheme="majorHAnsi" w:hAnsiTheme="majorHAnsi"/>
        </w:rPr>
        <w:t>,</w:t>
      </w:r>
      <w:r w:rsidR="00AD0032" w:rsidRPr="00A11FE0">
        <w:rPr>
          <w:rFonts w:asciiTheme="majorHAnsi" w:hAnsiTheme="majorHAnsi"/>
        </w:rPr>
        <w:t xml:space="preserve"> tzv. biele miesta</w:t>
      </w:r>
      <w:r w:rsidR="008508F7" w:rsidRPr="00A11FE0">
        <w:rPr>
          <w:rFonts w:asciiTheme="majorHAnsi" w:hAnsiTheme="majorHAnsi"/>
        </w:rPr>
        <w:t xml:space="preserve">: </w:t>
      </w:r>
      <w:r w:rsidR="00494438">
        <w:rPr>
          <w:rFonts w:asciiTheme="majorHAnsi" w:hAnsiTheme="majorHAnsi"/>
        </w:rPr>
        <w:t>BBSK</w:t>
      </w:r>
      <w:r w:rsidR="00AD0032" w:rsidRPr="00494438">
        <w:rPr>
          <w:rFonts w:asciiTheme="majorHAnsi" w:hAnsiTheme="majorHAnsi"/>
        </w:rPr>
        <w:t xml:space="preserve">, </w:t>
      </w:r>
      <w:r w:rsidR="00494438">
        <w:rPr>
          <w:rFonts w:asciiTheme="majorHAnsi" w:hAnsiTheme="majorHAnsi"/>
        </w:rPr>
        <w:t>KSK</w:t>
      </w:r>
      <w:r w:rsidR="00494438" w:rsidRPr="00494438">
        <w:rPr>
          <w:rFonts w:asciiTheme="majorHAnsi" w:hAnsiTheme="majorHAnsi"/>
        </w:rPr>
        <w:t xml:space="preserve"> </w:t>
      </w:r>
      <w:r w:rsidR="00BD5FD5" w:rsidRPr="00494438">
        <w:rPr>
          <w:rFonts w:asciiTheme="majorHAnsi" w:hAnsiTheme="majorHAnsi"/>
        </w:rPr>
        <w:t>a</w:t>
      </w:r>
      <w:r w:rsidR="00285918" w:rsidRPr="00494438">
        <w:rPr>
          <w:rFonts w:asciiTheme="majorHAnsi" w:hAnsiTheme="majorHAnsi"/>
        </w:rPr>
        <w:t> </w:t>
      </w:r>
      <w:r w:rsidR="00494438">
        <w:rPr>
          <w:rFonts w:asciiTheme="majorHAnsi" w:hAnsiTheme="majorHAnsi"/>
        </w:rPr>
        <w:t>PSK</w:t>
      </w:r>
      <w:r w:rsidR="00AD0032" w:rsidRPr="00A11FE0">
        <w:rPr>
          <w:rFonts w:asciiTheme="majorHAnsi" w:hAnsiTheme="majorHAnsi"/>
        </w:rPr>
        <w:t xml:space="preserve">. </w:t>
      </w:r>
      <w:r w:rsidR="00BD5FD5">
        <w:rPr>
          <w:rFonts w:asciiTheme="majorHAnsi" w:hAnsiTheme="majorHAnsi"/>
        </w:rPr>
        <w:t>S</w:t>
      </w:r>
      <w:r w:rsidR="00AD0032" w:rsidRPr="00A11FE0">
        <w:rPr>
          <w:rFonts w:asciiTheme="majorHAnsi" w:hAnsiTheme="majorHAnsi"/>
        </w:rPr>
        <w:t xml:space="preserve">merovanie </w:t>
      </w:r>
      <w:r w:rsidR="008508F7" w:rsidRPr="00A11FE0">
        <w:rPr>
          <w:rFonts w:asciiTheme="majorHAnsi" w:hAnsiTheme="majorHAnsi"/>
        </w:rPr>
        <w:t>investícií</w:t>
      </w:r>
      <w:r w:rsidR="00AD0032" w:rsidRPr="00A11FE0">
        <w:rPr>
          <w:rFonts w:asciiTheme="majorHAnsi" w:hAnsiTheme="majorHAnsi"/>
        </w:rPr>
        <w:t xml:space="preserve"> by </w:t>
      </w:r>
      <w:r w:rsidR="00BD5FD5">
        <w:rPr>
          <w:rFonts w:asciiTheme="majorHAnsi" w:hAnsiTheme="majorHAnsi"/>
        </w:rPr>
        <w:t>s</w:t>
      </w:r>
      <w:r w:rsidR="00AD0032" w:rsidRPr="00A11FE0">
        <w:rPr>
          <w:rFonts w:asciiTheme="majorHAnsi" w:hAnsiTheme="majorHAnsi"/>
        </w:rPr>
        <w:t xml:space="preserve">a preto malo zamerať na budovanie regionálnych </w:t>
      </w:r>
      <w:r w:rsidR="00BD5FD5">
        <w:rPr>
          <w:rFonts w:asciiTheme="majorHAnsi" w:hAnsiTheme="majorHAnsi"/>
        </w:rPr>
        <w:t>s</w:t>
      </w:r>
      <w:r w:rsidR="00AD0032" w:rsidRPr="00A11FE0">
        <w:rPr>
          <w:rFonts w:asciiTheme="majorHAnsi" w:hAnsiTheme="majorHAnsi"/>
        </w:rPr>
        <w:t xml:space="preserve">ietí, </w:t>
      </w:r>
      <w:r w:rsidR="00BD5FD5">
        <w:rPr>
          <w:rFonts w:asciiTheme="majorHAnsi" w:hAnsiTheme="majorHAnsi"/>
        </w:rPr>
        <w:t>k</w:t>
      </w:r>
      <w:r w:rsidR="00AD0032" w:rsidRPr="00A11FE0">
        <w:rPr>
          <w:rFonts w:asciiTheme="majorHAnsi" w:hAnsiTheme="majorHAnsi"/>
        </w:rPr>
        <w:t xml:space="preserve">toré umožnia napojenie bielych miest na rozvinuté národné chrbticové </w:t>
      </w:r>
      <w:r w:rsidR="00BD5FD5">
        <w:rPr>
          <w:rFonts w:asciiTheme="majorHAnsi" w:hAnsiTheme="majorHAnsi"/>
        </w:rPr>
        <w:t>s</w:t>
      </w:r>
      <w:r w:rsidR="00AD0032" w:rsidRPr="00A11FE0">
        <w:rPr>
          <w:rFonts w:asciiTheme="majorHAnsi" w:hAnsiTheme="majorHAnsi"/>
        </w:rPr>
        <w:t>iete.</w:t>
      </w:r>
    </w:p>
    <w:p w:rsidR="003C6EBF" w:rsidRPr="00A11FE0" w:rsidRDefault="003C6EBF" w:rsidP="003F207C">
      <w:pPr>
        <w:pStyle w:val="Nadpis5"/>
        <w:numPr>
          <w:ilvl w:val="4"/>
          <w:numId w:val="2"/>
        </w:numPr>
        <w:ind w:left="1292"/>
      </w:pPr>
      <w:r w:rsidRPr="00A11FE0">
        <w:t xml:space="preserve">Nízka </w:t>
      </w:r>
      <w:r w:rsidR="00BD5FD5">
        <w:t>a</w:t>
      </w:r>
      <w:r w:rsidRPr="00A11FE0">
        <w:t>ngažovanosť podnikov v</w:t>
      </w:r>
      <w:r w:rsidR="00D904F1">
        <w:t> </w:t>
      </w:r>
      <w:r w:rsidRPr="00A11FE0">
        <w:t>DE</w:t>
      </w:r>
    </w:p>
    <w:p w:rsidR="003C6EBF" w:rsidRPr="00A11FE0" w:rsidRDefault="003C6EBF" w:rsidP="003C6EBF">
      <w:pPr>
        <w:rPr>
          <w:rFonts w:asciiTheme="majorHAnsi" w:hAnsiTheme="majorHAnsi"/>
        </w:rPr>
      </w:pPr>
      <w:r w:rsidRPr="00A11FE0">
        <w:rPr>
          <w:rFonts w:asciiTheme="majorHAnsi" w:hAnsiTheme="majorHAnsi"/>
        </w:rPr>
        <w:t xml:space="preserve">Počet online nakupujúcich vzrástol </w:t>
      </w:r>
      <w:r w:rsidR="000E310C" w:rsidRPr="00A11FE0">
        <w:rPr>
          <w:rFonts w:asciiTheme="majorHAnsi" w:hAnsiTheme="majorHAnsi"/>
        </w:rPr>
        <w:t xml:space="preserve">v roku 2013 oproti predchádzajúcemu roku </w:t>
      </w:r>
      <w:r w:rsidRPr="00A11FE0">
        <w:rPr>
          <w:rFonts w:asciiTheme="majorHAnsi" w:hAnsiTheme="majorHAnsi"/>
        </w:rPr>
        <w:t>o</w:t>
      </w:r>
      <w:r w:rsidR="003678A5">
        <w:rPr>
          <w:rFonts w:asciiTheme="majorHAnsi" w:hAnsiTheme="majorHAnsi"/>
        </w:rPr>
        <w:t> </w:t>
      </w:r>
      <w:r w:rsidRPr="00A11FE0">
        <w:rPr>
          <w:rFonts w:asciiTheme="majorHAnsi" w:hAnsiTheme="majorHAnsi"/>
        </w:rPr>
        <w:t xml:space="preserve">12 % </w:t>
      </w:r>
      <w:r w:rsidR="00BD5FD5">
        <w:rPr>
          <w:rFonts w:asciiTheme="majorHAnsi" w:hAnsiTheme="majorHAnsi"/>
        </w:rPr>
        <w:t>a</w:t>
      </w:r>
      <w:r w:rsidR="00D904F1">
        <w:rPr>
          <w:rFonts w:asciiTheme="majorHAnsi" w:hAnsiTheme="majorHAnsi"/>
        </w:rPr>
        <w:t> </w:t>
      </w:r>
      <w:r w:rsidRPr="00A11FE0">
        <w:rPr>
          <w:rFonts w:asciiTheme="majorHAnsi" w:hAnsiTheme="majorHAnsi"/>
        </w:rPr>
        <w:t>je</w:t>
      </w:r>
      <w:r w:rsidR="00D904F1">
        <w:rPr>
          <w:rFonts w:asciiTheme="majorHAnsi" w:hAnsiTheme="majorHAnsi"/>
        </w:rPr>
        <w:t xml:space="preserve"> </w:t>
      </w:r>
      <w:r w:rsidRPr="00A11FE0">
        <w:rPr>
          <w:rFonts w:asciiTheme="majorHAnsi" w:hAnsiTheme="majorHAnsi"/>
        </w:rPr>
        <w:t>najvyšším v</w:t>
      </w:r>
      <w:r w:rsidR="00E461DE">
        <w:rPr>
          <w:rFonts w:asciiTheme="majorHAnsi" w:hAnsiTheme="majorHAnsi"/>
        </w:rPr>
        <w:t> </w:t>
      </w:r>
      <w:r w:rsidRPr="00A11FE0">
        <w:rPr>
          <w:rFonts w:asciiTheme="majorHAnsi" w:hAnsiTheme="majorHAnsi"/>
        </w:rPr>
        <w:t xml:space="preserve">rámci </w:t>
      </w:r>
      <w:r w:rsidR="001E67EA">
        <w:rPr>
          <w:rFonts w:asciiTheme="majorHAnsi" w:hAnsiTheme="majorHAnsi"/>
        </w:rPr>
        <w:t xml:space="preserve">strednej a východnej Európy </w:t>
      </w:r>
      <w:r w:rsidR="00E461DE">
        <w:rPr>
          <w:rFonts w:asciiTheme="majorHAnsi" w:hAnsiTheme="majorHAnsi"/>
        </w:rPr>
        <w:t>–</w:t>
      </w:r>
      <w:r w:rsidR="001E67EA">
        <w:rPr>
          <w:rFonts w:asciiTheme="majorHAnsi" w:hAnsiTheme="majorHAnsi"/>
        </w:rPr>
        <w:t xml:space="preserve"> </w:t>
      </w:r>
      <w:r w:rsidRPr="00A11FE0">
        <w:rPr>
          <w:rFonts w:asciiTheme="majorHAnsi" w:hAnsiTheme="majorHAnsi"/>
        </w:rPr>
        <w:t xml:space="preserve">CEE (37 %), </w:t>
      </w:r>
      <w:r w:rsidR="00BD5FD5">
        <w:rPr>
          <w:rFonts w:asciiTheme="majorHAnsi" w:hAnsiTheme="majorHAnsi"/>
        </w:rPr>
        <w:t>a</w:t>
      </w:r>
      <w:r w:rsidRPr="00A11FE0">
        <w:rPr>
          <w:rFonts w:asciiTheme="majorHAnsi" w:hAnsiTheme="majorHAnsi"/>
        </w:rPr>
        <w:t xml:space="preserve">le </w:t>
      </w:r>
      <w:r w:rsidR="00BD5FD5">
        <w:rPr>
          <w:rFonts w:asciiTheme="majorHAnsi" w:hAnsiTheme="majorHAnsi"/>
        </w:rPr>
        <w:t>s</w:t>
      </w:r>
      <w:r w:rsidRPr="00A11FE0">
        <w:rPr>
          <w:rFonts w:asciiTheme="majorHAnsi" w:hAnsiTheme="majorHAnsi"/>
        </w:rPr>
        <w:t xml:space="preserve">tále tvorí len 50 % používateľov internetu. </w:t>
      </w:r>
      <w:r w:rsidR="00AC3086">
        <w:rPr>
          <w:rFonts w:asciiTheme="majorHAnsi" w:hAnsiTheme="majorHAnsi"/>
        </w:rPr>
        <w:t>Podpora zavádzania</w:t>
      </w:r>
      <w:r w:rsidRPr="00A11FE0">
        <w:rPr>
          <w:rFonts w:asciiTheme="majorHAnsi" w:hAnsiTheme="majorHAnsi"/>
        </w:rPr>
        <w:t xml:space="preserve"> e-commerce </w:t>
      </w:r>
      <w:r w:rsidR="00BD5FD5">
        <w:rPr>
          <w:rFonts w:asciiTheme="majorHAnsi" w:hAnsiTheme="majorHAnsi"/>
        </w:rPr>
        <w:t>s</w:t>
      </w:r>
      <w:r w:rsidRPr="00A11FE0">
        <w:rPr>
          <w:rFonts w:asciiTheme="majorHAnsi" w:hAnsiTheme="majorHAnsi"/>
        </w:rPr>
        <w:t>lužieb</w:t>
      </w:r>
      <w:r w:rsidR="006665CD" w:rsidRPr="00A11FE0">
        <w:rPr>
          <w:rFonts w:asciiTheme="majorHAnsi" w:hAnsiTheme="majorHAnsi"/>
        </w:rPr>
        <w:t>,</w:t>
      </w:r>
      <w:r w:rsidR="00361602" w:rsidRPr="00A11FE0">
        <w:rPr>
          <w:rFonts w:asciiTheme="majorHAnsi" w:hAnsiTheme="majorHAnsi"/>
        </w:rPr>
        <w:t xml:space="preserve"> </w:t>
      </w:r>
      <w:r w:rsidRPr="00A11FE0">
        <w:rPr>
          <w:rFonts w:asciiTheme="majorHAnsi" w:hAnsiTheme="majorHAnsi"/>
        </w:rPr>
        <w:t xml:space="preserve">vrátane cieleného digitálneho marketingu by však tempo rastu online nakupujúcich ešte zrýchlila (transparentnosť, profesionálne online </w:t>
      </w:r>
      <w:r w:rsidR="00BD5FD5">
        <w:rPr>
          <w:rFonts w:asciiTheme="majorHAnsi" w:hAnsiTheme="majorHAnsi"/>
        </w:rPr>
        <w:t>s</w:t>
      </w:r>
      <w:r w:rsidRPr="00A11FE0">
        <w:rPr>
          <w:rFonts w:asciiTheme="majorHAnsi" w:hAnsiTheme="majorHAnsi"/>
        </w:rPr>
        <w:t xml:space="preserve">lužby, garancie </w:t>
      </w:r>
      <w:r w:rsidR="00BD5FD5">
        <w:rPr>
          <w:rFonts w:asciiTheme="majorHAnsi" w:hAnsiTheme="majorHAnsi"/>
        </w:rPr>
        <w:t>a </w:t>
      </w:r>
      <w:r w:rsidRPr="00A11FE0">
        <w:rPr>
          <w:rFonts w:asciiTheme="majorHAnsi" w:hAnsiTheme="majorHAnsi"/>
        </w:rPr>
        <w:t>pod.).</w:t>
      </w:r>
      <w:r w:rsidR="00AC3086">
        <w:rPr>
          <w:rFonts w:asciiTheme="majorHAnsi" w:hAnsiTheme="majorHAnsi"/>
        </w:rPr>
        <w:t xml:space="preserve"> S tým súvisí aj podpora infraštruktúry (hardware, software, telecom siete a pod.).</w:t>
      </w:r>
    </w:p>
    <w:p w:rsidR="00606227" w:rsidRPr="00A11FE0" w:rsidRDefault="004C0E67" w:rsidP="00DD5585">
      <w:pPr>
        <w:rPr>
          <w:rFonts w:asciiTheme="majorHAnsi" w:hAnsiTheme="majorHAnsi"/>
        </w:rPr>
      </w:pPr>
      <w:r w:rsidRPr="001E67EA">
        <w:rPr>
          <w:rFonts w:asciiTheme="majorHAnsi" w:hAnsiTheme="majorHAnsi"/>
        </w:rPr>
        <w:t>M</w:t>
      </w:r>
      <w:r w:rsidR="003C6EBF" w:rsidRPr="001E67EA">
        <w:rPr>
          <w:rFonts w:asciiTheme="majorHAnsi" w:hAnsiTheme="majorHAnsi"/>
        </w:rPr>
        <w:t xml:space="preserve">nohé firmy </w:t>
      </w:r>
      <w:r w:rsidR="00BD5FD5" w:rsidRPr="001E67EA">
        <w:rPr>
          <w:rFonts w:asciiTheme="majorHAnsi" w:hAnsiTheme="majorHAnsi"/>
        </w:rPr>
        <w:t>s</w:t>
      </w:r>
      <w:r w:rsidRPr="001E67EA">
        <w:rPr>
          <w:rFonts w:asciiTheme="majorHAnsi" w:hAnsiTheme="majorHAnsi"/>
        </w:rPr>
        <w:t xml:space="preserve">i </w:t>
      </w:r>
      <w:r w:rsidR="003C6EBF" w:rsidRPr="001E67EA">
        <w:rPr>
          <w:rFonts w:asciiTheme="majorHAnsi" w:hAnsiTheme="majorHAnsi"/>
        </w:rPr>
        <w:t xml:space="preserve">uvedomujú dôležitosť internetu </w:t>
      </w:r>
      <w:r w:rsidR="00BD5FD5" w:rsidRPr="001E67EA">
        <w:rPr>
          <w:rFonts w:asciiTheme="majorHAnsi" w:hAnsiTheme="majorHAnsi"/>
        </w:rPr>
        <w:t>a </w:t>
      </w:r>
      <w:r w:rsidR="003C6EBF" w:rsidRPr="001E67EA">
        <w:rPr>
          <w:rFonts w:asciiTheme="majorHAnsi" w:hAnsiTheme="majorHAnsi"/>
        </w:rPr>
        <w:t>väčšina z</w:t>
      </w:r>
      <w:r w:rsidR="00D904F1" w:rsidRPr="001E67EA">
        <w:rPr>
          <w:rFonts w:asciiTheme="majorHAnsi" w:hAnsiTheme="majorHAnsi"/>
        </w:rPr>
        <w:t> </w:t>
      </w:r>
      <w:r w:rsidR="003C6EBF" w:rsidRPr="001E67EA">
        <w:rPr>
          <w:rFonts w:asciiTheme="majorHAnsi" w:hAnsiTheme="majorHAnsi"/>
        </w:rPr>
        <w:t>nich</w:t>
      </w:r>
      <w:r w:rsidR="00D904F1" w:rsidRPr="001E67EA">
        <w:rPr>
          <w:rFonts w:asciiTheme="majorHAnsi" w:hAnsiTheme="majorHAnsi"/>
        </w:rPr>
        <w:t xml:space="preserve"> </w:t>
      </w:r>
      <w:r w:rsidR="003C6EBF" w:rsidRPr="001E67EA">
        <w:rPr>
          <w:rFonts w:asciiTheme="majorHAnsi" w:hAnsiTheme="majorHAnsi"/>
        </w:rPr>
        <w:t>má webov</w:t>
      </w:r>
      <w:r w:rsidR="00E461DE">
        <w:rPr>
          <w:rFonts w:asciiTheme="majorHAnsi" w:hAnsiTheme="majorHAnsi"/>
        </w:rPr>
        <w:t>é</w:t>
      </w:r>
      <w:r w:rsidR="003C6EBF" w:rsidRPr="001E67EA">
        <w:rPr>
          <w:rFonts w:asciiTheme="majorHAnsi" w:hAnsiTheme="majorHAnsi"/>
        </w:rPr>
        <w:t xml:space="preserve"> </w:t>
      </w:r>
      <w:r w:rsidR="00E461DE">
        <w:rPr>
          <w:rFonts w:asciiTheme="majorHAnsi" w:hAnsiTheme="majorHAnsi"/>
        </w:rPr>
        <w:t>sídlo</w:t>
      </w:r>
      <w:r w:rsidR="00E461DE" w:rsidRPr="001E67EA">
        <w:rPr>
          <w:rFonts w:asciiTheme="majorHAnsi" w:hAnsiTheme="majorHAnsi"/>
        </w:rPr>
        <w:t xml:space="preserve"> </w:t>
      </w:r>
      <w:r w:rsidR="00BD5FD5" w:rsidRPr="001E67EA">
        <w:rPr>
          <w:rFonts w:asciiTheme="majorHAnsi" w:hAnsiTheme="majorHAnsi"/>
        </w:rPr>
        <w:t>a</w:t>
      </w:r>
      <w:r w:rsidR="003C6EBF" w:rsidRPr="001E67EA">
        <w:rPr>
          <w:rFonts w:asciiTheme="majorHAnsi" w:hAnsiTheme="majorHAnsi"/>
        </w:rPr>
        <w:t>lebo možnosť online predaja</w:t>
      </w:r>
      <w:r w:rsidR="006665CD" w:rsidRPr="001E67EA">
        <w:rPr>
          <w:rFonts w:asciiTheme="majorHAnsi" w:hAnsiTheme="majorHAnsi"/>
        </w:rPr>
        <w:t xml:space="preserve">, </w:t>
      </w:r>
      <w:r w:rsidR="003C6EBF" w:rsidRPr="006D5E58">
        <w:rPr>
          <w:rFonts w:asciiTheme="majorHAnsi" w:hAnsiTheme="majorHAnsi"/>
        </w:rPr>
        <w:t xml:space="preserve">či objednávok (B2C online </w:t>
      </w:r>
      <w:r w:rsidR="00BD5FD5" w:rsidRPr="004B5CC1">
        <w:rPr>
          <w:rFonts w:asciiTheme="majorHAnsi" w:hAnsiTheme="majorHAnsi"/>
        </w:rPr>
        <w:t>s</w:t>
      </w:r>
      <w:r w:rsidR="003C6EBF" w:rsidRPr="004B5CC1">
        <w:rPr>
          <w:rFonts w:asciiTheme="majorHAnsi" w:hAnsiTheme="majorHAnsi"/>
        </w:rPr>
        <w:t>lužby poskytuje 20 %)</w:t>
      </w:r>
      <w:r w:rsidR="006665CD" w:rsidRPr="004B5CC1">
        <w:rPr>
          <w:rFonts w:asciiTheme="majorHAnsi" w:hAnsiTheme="majorHAnsi"/>
        </w:rPr>
        <w:t>.</w:t>
      </w:r>
      <w:r w:rsidR="003C6EBF" w:rsidRPr="004B5CC1">
        <w:rPr>
          <w:rFonts w:asciiTheme="majorHAnsi" w:hAnsiTheme="majorHAnsi"/>
        </w:rPr>
        <w:t xml:space="preserve"> </w:t>
      </w:r>
      <w:r w:rsidR="006665CD" w:rsidRPr="004B5CC1">
        <w:rPr>
          <w:rFonts w:asciiTheme="majorHAnsi" w:hAnsiTheme="majorHAnsi"/>
        </w:rPr>
        <w:t>V</w:t>
      </w:r>
      <w:r w:rsidR="003C6EBF" w:rsidRPr="004B5CC1">
        <w:rPr>
          <w:rFonts w:asciiTheme="majorHAnsi" w:hAnsiTheme="majorHAnsi"/>
        </w:rPr>
        <w:t xml:space="preserve">eľmi pasívne </w:t>
      </w:r>
      <w:r w:rsidR="00BD5FD5" w:rsidRPr="004B5CC1">
        <w:rPr>
          <w:rFonts w:asciiTheme="majorHAnsi" w:hAnsiTheme="majorHAnsi"/>
        </w:rPr>
        <w:t>s</w:t>
      </w:r>
      <w:r w:rsidR="003C6EBF" w:rsidRPr="00376D8B">
        <w:rPr>
          <w:rFonts w:asciiTheme="majorHAnsi" w:hAnsiTheme="majorHAnsi"/>
        </w:rPr>
        <w:t xml:space="preserve">a </w:t>
      </w:r>
      <w:r w:rsidR="006665CD" w:rsidRPr="00BD5E02">
        <w:rPr>
          <w:rFonts w:asciiTheme="majorHAnsi" w:hAnsiTheme="majorHAnsi"/>
        </w:rPr>
        <w:t xml:space="preserve">však </w:t>
      </w:r>
      <w:r w:rsidR="00BD5FD5" w:rsidRPr="00B52465">
        <w:rPr>
          <w:rFonts w:asciiTheme="majorHAnsi" w:hAnsiTheme="majorHAnsi"/>
        </w:rPr>
        <w:t>s</w:t>
      </w:r>
      <w:r w:rsidR="006665CD" w:rsidRPr="003E0566">
        <w:rPr>
          <w:rFonts w:asciiTheme="majorHAnsi" w:hAnsiTheme="majorHAnsi"/>
        </w:rPr>
        <w:t xml:space="preserve">právajú </w:t>
      </w:r>
      <w:r w:rsidR="003C6EBF" w:rsidRPr="005708DD">
        <w:rPr>
          <w:rFonts w:asciiTheme="majorHAnsi" w:hAnsiTheme="majorHAnsi"/>
        </w:rPr>
        <w:t>v</w:t>
      </w:r>
      <w:r w:rsidR="00285918" w:rsidRPr="007C1D60">
        <w:rPr>
          <w:rFonts w:asciiTheme="majorHAnsi" w:hAnsiTheme="majorHAnsi"/>
        </w:rPr>
        <w:t> </w:t>
      </w:r>
      <w:r w:rsidR="003C6EBF" w:rsidRPr="00992CAB">
        <w:rPr>
          <w:rFonts w:asciiTheme="majorHAnsi" w:hAnsiTheme="majorHAnsi"/>
        </w:rPr>
        <w:t>rámci</w:t>
      </w:r>
      <w:r w:rsidR="00285918" w:rsidRPr="00ED6750">
        <w:rPr>
          <w:rFonts w:asciiTheme="majorHAnsi" w:hAnsiTheme="majorHAnsi"/>
        </w:rPr>
        <w:t xml:space="preserve"> </w:t>
      </w:r>
      <w:r w:rsidR="003C6EBF" w:rsidRPr="00CF0755">
        <w:rPr>
          <w:rFonts w:asciiTheme="majorHAnsi" w:hAnsiTheme="majorHAnsi"/>
        </w:rPr>
        <w:t xml:space="preserve">vlastných online nákupov. B2B online </w:t>
      </w:r>
      <w:r w:rsidR="00BD5FD5" w:rsidRPr="00CF0755">
        <w:rPr>
          <w:rFonts w:asciiTheme="majorHAnsi" w:hAnsiTheme="majorHAnsi"/>
        </w:rPr>
        <w:t>s</w:t>
      </w:r>
      <w:r w:rsidR="003C6EBF" w:rsidRPr="00CF0755">
        <w:rPr>
          <w:rFonts w:asciiTheme="majorHAnsi" w:hAnsiTheme="majorHAnsi"/>
        </w:rPr>
        <w:t>lužby používa</w:t>
      </w:r>
      <w:r w:rsidR="001E67EA">
        <w:rPr>
          <w:rFonts w:asciiTheme="majorHAnsi" w:hAnsiTheme="majorHAnsi"/>
        </w:rPr>
        <w:t>lo v roku 2013 19,6 %</w:t>
      </w:r>
      <w:r w:rsidR="001E67EA" w:rsidRPr="00F35154">
        <w:rPr>
          <w:rFonts w:asciiTheme="majorHAnsi" w:hAnsiTheme="majorHAnsi"/>
        </w:rPr>
        <w:t xml:space="preserve"> </w:t>
      </w:r>
      <w:r w:rsidR="001E67EA">
        <w:rPr>
          <w:rFonts w:asciiTheme="majorHAnsi" w:hAnsiTheme="majorHAnsi"/>
        </w:rPr>
        <w:t>podnikov a</w:t>
      </w:r>
      <w:r w:rsidR="00E461DE">
        <w:rPr>
          <w:rFonts w:asciiTheme="majorHAnsi" w:hAnsiTheme="majorHAnsi"/>
        </w:rPr>
        <w:t> </w:t>
      </w:r>
      <w:r w:rsidR="003C6EBF" w:rsidRPr="001E67EA">
        <w:rPr>
          <w:rFonts w:asciiTheme="majorHAnsi" w:hAnsiTheme="majorHAnsi"/>
        </w:rPr>
        <w:t xml:space="preserve">len </w:t>
      </w:r>
      <w:r w:rsidR="001E67EA">
        <w:rPr>
          <w:rFonts w:asciiTheme="majorHAnsi" w:hAnsiTheme="majorHAnsi"/>
        </w:rPr>
        <w:br/>
      </w:r>
      <w:r w:rsidR="003C6EBF" w:rsidRPr="001E67EA">
        <w:rPr>
          <w:rFonts w:asciiTheme="majorHAnsi" w:hAnsiTheme="majorHAnsi"/>
        </w:rPr>
        <w:t>14 % podnikov</w:t>
      </w:r>
      <w:r w:rsidR="001E67EA">
        <w:rPr>
          <w:rFonts w:asciiTheme="majorHAnsi" w:hAnsiTheme="majorHAnsi"/>
        </w:rPr>
        <w:t xml:space="preserve"> v roku 2012</w:t>
      </w:r>
      <w:r w:rsidR="003C6EBF" w:rsidRPr="001E67EA">
        <w:rPr>
          <w:rFonts w:asciiTheme="majorHAnsi" w:hAnsiTheme="majorHAnsi"/>
        </w:rPr>
        <w:t>, čo je najnižšia hodnota v</w:t>
      </w:r>
      <w:r w:rsidR="00D904F1" w:rsidRPr="001E67EA">
        <w:rPr>
          <w:rFonts w:asciiTheme="majorHAnsi" w:hAnsiTheme="majorHAnsi"/>
        </w:rPr>
        <w:t> </w:t>
      </w:r>
      <w:r w:rsidR="003C6EBF" w:rsidRPr="001E67EA">
        <w:rPr>
          <w:rFonts w:asciiTheme="majorHAnsi" w:hAnsiTheme="majorHAnsi"/>
        </w:rPr>
        <w:t xml:space="preserve">EÚ. Len 13 % obratu MSP v roku 2011 tvoril obchod cez internet. </w:t>
      </w:r>
      <w:r w:rsidR="00BD5FD5" w:rsidRPr="001E67EA">
        <w:rPr>
          <w:rFonts w:asciiTheme="majorHAnsi" w:hAnsiTheme="majorHAnsi"/>
        </w:rPr>
        <w:t>S</w:t>
      </w:r>
      <w:r w:rsidR="003C6EBF" w:rsidRPr="001E67EA">
        <w:rPr>
          <w:rFonts w:asciiTheme="majorHAnsi" w:hAnsiTheme="majorHAnsi"/>
        </w:rPr>
        <w:t xml:space="preserve">lovenské firmy </w:t>
      </w:r>
      <w:r w:rsidR="00AF3CA6" w:rsidRPr="001E67EA">
        <w:rPr>
          <w:rFonts w:asciiTheme="majorHAnsi" w:hAnsiTheme="majorHAnsi"/>
        </w:rPr>
        <w:t xml:space="preserve">majú </w:t>
      </w:r>
      <w:r w:rsidR="003C6EBF" w:rsidRPr="001E67EA">
        <w:rPr>
          <w:rFonts w:asciiTheme="majorHAnsi" w:hAnsiTheme="majorHAnsi"/>
        </w:rPr>
        <w:t xml:space="preserve">ešte veľký potenciál </w:t>
      </w:r>
      <w:r w:rsidR="006665CD" w:rsidRPr="001E67EA">
        <w:rPr>
          <w:rFonts w:asciiTheme="majorHAnsi" w:hAnsiTheme="majorHAnsi"/>
        </w:rPr>
        <w:t xml:space="preserve">(50 % používateľov internetu) </w:t>
      </w:r>
      <w:r w:rsidR="00BD5FD5" w:rsidRPr="001E67EA">
        <w:rPr>
          <w:rFonts w:asciiTheme="majorHAnsi" w:hAnsiTheme="majorHAnsi"/>
        </w:rPr>
        <w:t>k</w:t>
      </w:r>
      <w:r w:rsidR="003C6EBF" w:rsidRPr="001E67EA">
        <w:rPr>
          <w:rFonts w:asciiTheme="majorHAnsi" w:hAnsiTheme="majorHAnsi"/>
        </w:rPr>
        <w:t>onvertovať používateľov internetu na online nakupujúcich</w:t>
      </w:r>
      <w:r w:rsidR="006665CD" w:rsidRPr="001E67EA">
        <w:rPr>
          <w:rFonts w:asciiTheme="majorHAnsi" w:hAnsiTheme="majorHAnsi"/>
        </w:rPr>
        <w:t xml:space="preserve">. Predpokladom je efektívnejšie </w:t>
      </w:r>
      <w:r w:rsidR="00F82ADA" w:rsidRPr="001E67EA">
        <w:rPr>
          <w:rFonts w:asciiTheme="majorHAnsi" w:hAnsiTheme="majorHAnsi"/>
        </w:rPr>
        <w:t>využiti</w:t>
      </w:r>
      <w:r w:rsidR="006665CD" w:rsidRPr="001E67EA">
        <w:rPr>
          <w:rFonts w:asciiTheme="majorHAnsi" w:hAnsiTheme="majorHAnsi"/>
        </w:rPr>
        <w:t>e</w:t>
      </w:r>
      <w:r w:rsidR="00F82ADA" w:rsidRPr="001E67EA">
        <w:rPr>
          <w:rFonts w:asciiTheme="majorHAnsi" w:hAnsiTheme="majorHAnsi"/>
        </w:rPr>
        <w:t xml:space="preserve"> možností</w:t>
      </w:r>
      <w:r w:rsidR="003C6EBF" w:rsidRPr="001E67EA">
        <w:rPr>
          <w:rFonts w:asciiTheme="majorHAnsi" w:hAnsiTheme="majorHAnsi"/>
        </w:rPr>
        <w:t xml:space="preserve"> digitálneho marketingu </w:t>
      </w:r>
      <w:r w:rsidR="00BD5FD5" w:rsidRPr="001E67EA">
        <w:rPr>
          <w:rFonts w:asciiTheme="majorHAnsi" w:hAnsiTheme="majorHAnsi"/>
        </w:rPr>
        <w:t>a</w:t>
      </w:r>
      <w:r w:rsidR="00285918" w:rsidRPr="001E67EA">
        <w:rPr>
          <w:rFonts w:asciiTheme="majorHAnsi" w:hAnsiTheme="majorHAnsi"/>
        </w:rPr>
        <w:t> </w:t>
      </w:r>
      <w:r w:rsidR="003C6EBF" w:rsidRPr="001E67EA">
        <w:rPr>
          <w:rFonts w:asciiTheme="majorHAnsi" w:hAnsiTheme="majorHAnsi"/>
        </w:rPr>
        <w:t>nových</w:t>
      </w:r>
      <w:r w:rsidR="00285918" w:rsidRPr="001E67EA">
        <w:rPr>
          <w:rFonts w:asciiTheme="majorHAnsi" w:hAnsiTheme="majorHAnsi"/>
        </w:rPr>
        <w:t xml:space="preserve"> </w:t>
      </w:r>
      <w:r w:rsidR="003C6EBF" w:rsidRPr="001E67EA">
        <w:rPr>
          <w:rFonts w:asciiTheme="majorHAnsi" w:hAnsiTheme="majorHAnsi"/>
        </w:rPr>
        <w:t>technológií</w:t>
      </w:r>
      <w:r w:rsidR="00F97596" w:rsidRPr="001E67EA">
        <w:rPr>
          <w:rFonts w:asciiTheme="majorHAnsi" w:hAnsiTheme="majorHAnsi"/>
        </w:rPr>
        <w:t>, ako aj</w:t>
      </w:r>
      <w:r w:rsidR="00BD5FD5" w:rsidRPr="001E67EA">
        <w:rPr>
          <w:rFonts w:asciiTheme="majorHAnsi" w:hAnsiTheme="majorHAnsi"/>
        </w:rPr>
        <w:t> </w:t>
      </w:r>
      <w:r w:rsidR="00F82ADA" w:rsidRPr="001E67EA">
        <w:rPr>
          <w:rFonts w:asciiTheme="majorHAnsi" w:hAnsiTheme="majorHAnsi"/>
        </w:rPr>
        <w:t>zvýšeni</w:t>
      </w:r>
      <w:r w:rsidR="001E67EA">
        <w:rPr>
          <w:rFonts w:asciiTheme="majorHAnsi" w:hAnsiTheme="majorHAnsi"/>
        </w:rPr>
        <w:t>e</w:t>
      </w:r>
      <w:r w:rsidR="00F82ADA" w:rsidRPr="001E67EA">
        <w:rPr>
          <w:rFonts w:asciiTheme="majorHAnsi" w:hAnsiTheme="majorHAnsi"/>
        </w:rPr>
        <w:t xml:space="preserve"> </w:t>
      </w:r>
      <w:r w:rsidR="00BD5FD5" w:rsidRPr="001E67EA">
        <w:rPr>
          <w:rFonts w:asciiTheme="majorHAnsi" w:hAnsiTheme="majorHAnsi"/>
        </w:rPr>
        <w:t>k</w:t>
      </w:r>
      <w:r w:rsidR="003C6EBF" w:rsidRPr="001E67EA">
        <w:rPr>
          <w:rFonts w:asciiTheme="majorHAnsi" w:hAnsiTheme="majorHAnsi"/>
        </w:rPr>
        <w:t>valit</w:t>
      </w:r>
      <w:r w:rsidR="00F82ADA" w:rsidRPr="001E67EA">
        <w:rPr>
          <w:rFonts w:asciiTheme="majorHAnsi" w:hAnsiTheme="majorHAnsi"/>
        </w:rPr>
        <w:t>y</w:t>
      </w:r>
      <w:r w:rsidR="003C6EBF" w:rsidRPr="001E67EA">
        <w:rPr>
          <w:rFonts w:asciiTheme="majorHAnsi" w:hAnsiTheme="majorHAnsi"/>
        </w:rPr>
        <w:t xml:space="preserve"> ponúkaných e-commerce </w:t>
      </w:r>
      <w:r w:rsidR="00BD5FD5" w:rsidRPr="001E67EA">
        <w:rPr>
          <w:rFonts w:asciiTheme="majorHAnsi" w:hAnsiTheme="majorHAnsi"/>
        </w:rPr>
        <w:t>s</w:t>
      </w:r>
      <w:r w:rsidR="003C6EBF" w:rsidRPr="001E67EA">
        <w:rPr>
          <w:rFonts w:asciiTheme="majorHAnsi" w:hAnsiTheme="majorHAnsi"/>
        </w:rPr>
        <w:t>lužieb</w:t>
      </w:r>
      <w:r w:rsidR="003C6EBF" w:rsidRPr="001E67EA">
        <w:rPr>
          <w:rStyle w:val="Odkaznapoznmkupodiarou"/>
          <w:rFonts w:asciiTheme="majorHAnsi" w:hAnsiTheme="majorHAnsi"/>
        </w:rPr>
        <w:footnoteReference w:id="47"/>
      </w:r>
      <w:r w:rsidR="003C6EBF" w:rsidRPr="001E67EA">
        <w:rPr>
          <w:rFonts w:asciiTheme="majorHAnsi" w:hAnsiTheme="majorHAnsi"/>
        </w:rPr>
        <w:t>.</w:t>
      </w:r>
    </w:p>
    <w:p w:rsidR="00996677" w:rsidRPr="00A11FE0" w:rsidRDefault="00996677" w:rsidP="007A7318">
      <w:pPr>
        <w:pStyle w:val="Nadpis5"/>
        <w:numPr>
          <w:ilvl w:val="4"/>
          <w:numId w:val="2"/>
        </w:numPr>
        <w:ind w:left="1292"/>
      </w:pPr>
      <w:bookmarkStart w:id="23" w:name="_Toc372447906"/>
      <w:r w:rsidRPr="00A11FE0">
        <w:t xml:space="preserve">Územná </w:t>
      </w:r>
      <w:r w:rsidR="00BD5FD5">
        <w:t>k</w:t>
      </w:r>
      <w:r w:rsidRPr="00A11FE0">
        <w:t>oncentrácia</w:t>
      </w:r>
      <w:bookmarkEnd w:id="23"/>
    </w:p>
    <w:p w:rsidR="00996677" w:rsidRPr="00A11FE0" w:rsidRDefault="004C3F62" w:rsidP="00996677">
      <w:pPr>
        <w:rPr>
          <w:rFonts w:asciiTheme="majorHAnsi" w:hAnsiTheme="majorHAnsi"/>
        </w:rPr>
      </w:pPr>
      <w:r w:rsidRPr="00F35154">
        <w:rPr>
          <w:rFonts w:asciiTheme="majorHAnsi" w:hAnsiTheme="majorHAnsi"/>
        </w:rPr>
        <w:t>Opatrenia zahrňujúce riešenie rozvoja e-Governmentu budú realizované v</w:t>
      </w:r>
      <w:r w:rsidR="00E461DE">
        <w:rPr>
          <w:rFonts w:asciiTheme="majorHAnsi" w:hAnsiTheme="majorHAnsi"/>
        </w:rPr>
        <w:t> </w:t>
      </w:r>
      <w:r w:rsidRPr="00F35154">
        <w:rPr>
          <w:rFonts w:asciiTheme="majorHAnsi" w:hAnsiTheme="majorHAnsi"/>
        </w:rPr>
        <w:t>centrách osídlenia Bratislavy, v</w:t>
      </w:r>
      <w:r w:rsidR="00E461DE">
        <w:rPr>
          <w:rFonts w:asciiTheme="majorHAnsi" w:hAnsiTheme="majorHAnsi"/>
        </w:rPr>
        <w:t> </w:t>
      </w:r>
      <w:r w:rsidRPr="00F35154">
        <w:rPr>
          <w:rFonts w:asciiTheme="majorHAnsi" w:hAnsiTheme="majorHAnsi"/>
        </w:rPr>
        <w:t>ktorých sídlia ústredné orgány štátnej správy, zodpovedné za riešenie rozvoja elektronických služieb občanom a</w:t>
      </w:r>
      <w:r w:rsidR="00494438">
        <w:rPr>
          <w:rFonts w:asciiTheme="majorHAnsi" w:hAnsiTheme="majorHAnsi"/>
        </w:rPr>
        <w:t> </w:t>
      </w:r>
      <w:r w:rsidRPr="00F35154">
        <w:rPr>
          <w:rFonts w:asciiTheme="majorHAnsi" w:hAnsiTheme="majorHAnsi"/>
        </w:rPr>
        <w:t>podnikateľom</w:t>
      </w:r>
      <w:r w:rsidR="00494438">
        <w:rPr>
          <w:rFonts w:asciiTheme="majorHAnsi" w:hAnsiTheme="majorHAnsi"/>
        </w:rPr>
        <w:t xml:space="preserve"> </w:t>
      </w:r>
      <w:r w:rsidRPr="00F35154">
        <w:rPr>
          <w:rFonts w:asciiTheme="majorHAnsi" w:hAnsiTheme="majorHAnsi"/>
        </w:rPr>
        <w:t>a</w:t>
      </w:r>
      <w:r w:rsidR="00494438">
        <w:rPr>
          <w:rFonts w:asciiTheme="majorHAnsi" w:hAnsiTheme="majorHAnsi"/>
        </w:rPr>
        <w:t> </w:t>
      </w:r>
      <w:r w:rsidRPr="00F35154">
        <w:rPr>
          <w:rFonts w:asciiTheme="majorHAnsi" w:hAnsiTheme="majorHAnsi"/>
        </w:rPr>
        <w:t>budovanie</w:t>
      </w:r>
      <w:r w:rsidR="00494438">
        <w:rPr>
          <w:rFonts w:asciiTheme="majorHAnsi" w:hAnsiTheme="majorHAnsi"/>
        </w:rPr>
        <w:t xml:space="preserve"> </w:t>
      </w:r>
      <w:r w:rsidRPr="00F35154">
        <w:rPr>
          <w:rFonts w:asciiTheme="majorHAnsi" w:hAnsiTheme="majorHAnsi"/>
        </w:rPr>
        <w:t>e-Governmentu, pričom výsledky projektov budú dostupné na celom území SR</w:t>
      </w:r>
      <w:r w:rsidRPr="00A11FE0">
        <w:rPr>
          <w:rFonts w:asciiTheme="majorHAnsi" w:hAnsiTheme="majorHAnsi"/>
        </w:rPr>
        <w:t>.</w:t>
      </w:r>
      <w:r w:rsidR="00900322" w:rsidRPr="00A11FE0">
        <w:rPr>
          <w:rFonts w:asciiTheme="majorHAnsi" w:hAnsiTheme="majorHAnsi"/>
        </w:rPr>
        <w:t xml:space="preserve"> Opatrenia týkajúce </w:t>
      </w:r>
      <w:r w:rsidR="00BD5FD5">
        <w:rPr>
          <w:rFonts w:asciiTheme="majorHAnsi" w:hAnsiTheme="majorHAnsi"/>
        </w:rPr>
        <w:t>s</w:t>
      </w:r>
      <w:r w:rsidR="00900322" w:rsidRPr="00A11FE0">
        <w:rPr>
          <w:rFonts w:asciiTheme="majorHAnsi" w:hAnsiTheme="majorHAnsi"/>
        </w:rPr>
        <w:t xml:space="preserve">a územnej </w:t>
      </w:r>
      <w:r w:rsidR="00BD5FD5">
        <w:rPr>
          <w:rFonts w:asciiTheme="majorHAnsi" w:hAnsiTheme="majorHAnsi"/>
        </w:rPr>
        <w:t>s</w:t>
      </w:r>
      <w:r w:rsidR="00900322" w:rsidRPr="00A11FE0">
        <w:rPr>
          <w:rFonts w:asciiTheme="majorHAnsi" w:hAnsiTheme="majorHAnsi"/>
        </w:rPr>
        <w:t xml:space="preserve">amosprávy budú </w:t>
      </w:r>
      <w:r w:rsidR="00BD5FD5">
        <w:rPr>
          <w:rFonts w:asciiTheme="majorHAnsi" w:hAnsiTheme="majorHAnsi"/>
        </w:rPr>
        <w:t>s</w:t>
      </w:r>
      <w:r w:rsidR="00900322" w:rsidRPr="00A11FE0">
        <w:rPr>
          <w:rFonts w:asciiTheme="majorHAnsi" w:hAnsiTheme="majorHAnsi"/>
        </w:rPr>
        <w:t xml:space="preserve">merované do centier osídlenia, ťažísk osídlenia </w:t>
      </w:r>
      <w:r w:rsidR="00BD5FD5">
        <w:rPr>
          <w:rFonts w:asciiTheme="majorHAnsi" w:hAnsiTheme="majorHAnsi"/>
        </w:rPr>
        <w:t>a </w:t>
      </w:r>
      <w:r w:rsidR="00900322" w:rsidRPr="00A11FE0">
        <w:rPr>
          <w:rFonts w:asciiTheme="majorHAnsi" w:hAnsiTheme="majorHAnsi"/>
        </w:rPr>
        <w:t>rozvojových</w:t>
      </w:r>
      <w:r w:rsidR="009E4A61" w:rsidRPr="00A11FE0">
        <w:rPr>
          <w:rFonts w:asciiTheme="majorHAnsi" w:hAnsiTheme="majorHAnsi"/>
        </w:rPr>
        <w:t xml:space="preserve"> </w:t>
      </w:r>
      <w:r w:rsidR="00900322" w:rsidRPr="00A11FE0">
        <w:rPr>
          <w:rFonts w:asciiTheme="majorHAnsi" w:hAnsiTheme="majorHAnsi"/>
        </w:rPr>
        <w:t xml:space="preserve">osí. Opatrenia </w:t>
      </w:r>
      <w:r w:rsidR="009B3482">
        <w:rPr>
          <w:rFonts w:asciiTheme="majorHAnsi" w:hAnsiTheme="majorHAnsi"/>
        </w:rPr>
        <w:t>podporované</w:t>
      </w:r>
      <w:r w:rsidR="009B3482" w:rsidRPr="00A11FE0">
        <w:rPr>
          <w:rFonts w:asciiTheme="majorHAnsi" w:hAnsiTheme="majorHAnsi"/>
        </w:rPr>
        <w:t xml:space="preserve"> </w:t>
      </w:r>
      <w:r w:rsidR="009B3482">
        <w:rPr>
          <w:rFonts w:asciiTheme="majorHAnsi" w:hAnsiTheme="majorHAnsi"/>
        </w:rPr>
        <w:t>EFRR (implementované najmä prostredníctvom národných projektov)</w:t>
      </w:r>
      <w:r w:rsidR="001E67EA">
        <w:rPr>
          <w:rFonts w:asciiTheme="majorHAnsi" w:hAnsiTheme="majorHAnsi"/>
        </w:rPr>
        <w:t>,</w:t>
      </w:r>
      <w:r w:rsidR="009B3482">
        <w:rPr>
          <w:rFonts w:asciiTheme="majorHAnsi" w:hAnsiTheme="majorHAnsi"/>
        </w:rPr>
        <w:t xml:space="preserve"> </w:t>
      </w:r>
      <w:r w:rsidR="00900322" w:rsidRPr="00A11FE0">
        <w:rPr>
          <w:rFonts w:asciiTheme="majorHAnsi" w:hAnsiTheme="majorHAnsi"/>
        </w:rPr>
        <w:t xml:space="preserve">týkajúce </w:t>
      </w:r>
      <w:r w:rsidR="00D904F1">
        <w:rPr>
          <w:rFonts w:asciiTheme="majorHAnsi" w:hAnsiTheme="majorHAnsi"/>
        </w:rPr>
        <w:t>s</w:t>
      </w:r>
      <w:r w:rsidR="00900322" w:rsidRPr="00A11FE0">
        <w:rPr>
          <w:rFonts w:asciiTheme="majorHAnsi" w:hAnsiTheme="majorHAnsi"/>
        </w:rPr>
        <w:t>a budovania širokopásmového internetu</w:t>
      </w:r>
      <w:r w:rsidR="001E67EA">
        <w:rPr>
          <w:rFonts w:asciiTheme="majorHAnsi" w:hAnsiTheme="majorHAnsi"/>
        </w:rPr>
        <w:t>,</w:t>
      </w:r>
      <w:r w:rsidR="00900322" w:rsidRPr="00A11FE0">
        <w:rPr>
          <w:rFonts w:asciiTheme="majorHAnsi" w:hAnsiTheme="majorHAnsi"/>
        </w:rPr>
        <w:t xml:space="preserve"> budú lokalizované v bielych </w:t>
      </w:r>
      <w:r w:rsidR="00BD5FD5">
        <w:rPr>
          <w:rFonts w:asciiTheme="majorHAnsi" w:hAnsiTheme="majorHAnsi"/>
        </w:rPr>
        <w:t>a</w:t>
      </w:r>
      <w:r w:rsidR="00900322" w:rsidRPr="00A11FE0">
        <w:rPr>
          <w:rFonts w:asciiTheme="majorHAnsi" w:hAnsiTheme="majorHAnsi"/>
        </w:rPr>
        <w:t xml:space="preserve"> šedých miestach </w:t>
      </w:r>
      <w:r w:rsidR="00BD5FD5">
        <w:rPr>
          <w:rFonts w:asciiTheme="majorHAnsi" w:hAnsiTheme="majorHAnsi"/>
        </w:rPr>
        <w:t>s </w:t>
      </w:r>
      <w:r w:rsidR="00900322" w:rsidRPr="00A11FE0">
        <w:rPr>
          <w:rFonts w:asciiTheme="majorHAnsi" w:hAnsiTheme="majorHAnsi"/>
        </w:rPr>
        <w:t>nedostatočným pokrytím širokopásmovým internetom.</w:t>
      </w:r>
    </w:p>
    <w:p w:rsidR="004244A1" w:rsidRPr="00A11FE0" w:rsidRDefault="004244A1" w:rsidP="00996677">
      <w:pPr>
        <w:rPr>
          <w:rFonts w:asciiTheme="majorHAnsi" w:hAnsiTheme="majorHAnsi"/>
        </w:rPr>
      </w:pPr>
      <w:r w:rsidRPr="00A11FE0">
        <w:rPr>
          <w:rFonts w:asciiTheme="majorHAnsi" w:hAnsiTheme="majorHAnsi"/>
        </w:rPr>
        <w:t xml:space="preserve">Opatrenia podporované </w:t>
      </w:r>
      <w:r w:rsidR="00C068A2">
        <w:rPr>
          <w:rFonts w:asciiTheme="majorHAnsi" w:hAnsiTheme="majorHAnsi"/>
        </w:rPr>
        <w:t>EPFRV</w:t>
      </w:r>
      <w:r w:rsidR="006532A5" w:rsidRPr="00A11FE0">
        <w:rPr>
          <w:rFonts w:asciiTheme="majorHAnsi" w:hAnsiTheme="majorHAnsi"/>
        </w:rPr>
        <w:t xml:space="preserve"> </w:t>
      </w:r>
      <w:r w:rsidRPr="00A11FE0">
        <w:rPr>
          <w:rFonts w:asciiTheme="majorHAnsi" w:hAnsiTheme="majorHAnsi"/>
        </w:rPr>
        <w:t xml:space="preserve">zamerané na zlepšovanie dostupnosti, využívania </w:t>
      </w:r>
      <w:r w:rsidR="00BD5FD5">
        <w:rPr>
          <w:rFonts w:asciiTheme="majorHAnsi" w:hAnsiTheme="majorHAnsi"/>
        </w:rPr>
        <w:t>a</w:t>
      </w:r>
      <w:r w:rsidR="00E461DE">
        <w:rPr>
          <w:rFonts w:asciiTheme="majorHAnsi" w:hAnsiTheme="majorHAnsi"/>
        </w:rPr>
        <w:t> </w:t>
      </w:r>
      <w:r w:rsidR="00BD5FD5">
        <w:rPr>
          <w:rFonts w:asciiTheme="majorHAnsi" w:hAnsiTheme="majorHAnsi"/>
        </w:rPr>
        <w:t>k</w:t>
      </w:r>
      <w:r w:rsidRPr="00A11FE0">
        <w:rPr>
          <w:rFonts w:asciiTheme="majorHAnsi" w:hAnsiTheme="majorHAnsi"/>
        </w:rPr>
        <w:t xml:space="preserve">vality IKT vo vidieckych oblastiach tak, </w:t>
      </w:r>
      <w:r w:rsidR="00BD5FD5">
        <w:rPr>
          <w:rFonts w:asciiTheme="majorHAnsi" w:hAnsiTheme="majorHAnsi"/>
        </w:rPr>
        <w:t>a</w:t>
      </w:r>
      <w:r w:rsidRPr="00A11FE0">
        <w:rPr>
          <w:rFonts w:asciiTheme="majorHAnsi" w:hAnsiTheme="majorHAnsi"/>
        </w:rPr>
        <w:t>by boli dostupné pre všetkých</w:t>
      </w:r>
      <w:r w:rsidR="009B3482">
        <w:rPr>
          <w:rFonts w:asciiTheme="majorHAnsi" w:hAnsiTheme="majorHAnsi"/>
        </w:rPr>
        <w:t>, je potrebné</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oncentrovať predovšetkým do centier v ostatnom území, lokalizovaných predovšetkým na rozvojových osiach podľa </w:t>
      </w:r>
      <w:r w:rsidR="00BD5FD5">
        <w:rPr>
          <w:rFonts w:asciiTheme="majorHAnsi" w:hAnsiTheme="majorHAnsi"/>
        </w:rPr>
        <w:t>K</w:t>
      </w:r>
      <w:r w:rsidRPr="00A11FE0">
        <w:rPr>
          <w:rFonts w:asciiTheme="majorHAnsi" w:hAnsiTheme="majorHAnsi"/>
        </w:rPr>
        <w:t xml:space="preserve">URS. Opatrenia týkajúce </w:t>
      </w:r>
      <w:r w:rsidR="00BD5FD5">
        <w:rPr>
          <w:rFonts w:asciiTheme="majorHAnsi" w:hAnsiTheme="majorHAnsi"/>
        </w:rPr>
        <w:t>s</w:t>
      </w:r>
      <w:r w:rsidRPr="00A11FE0">
        <w:rPr>
          <w:rFonts w:asciiTheme="majorHAnsi" w:hAnsiTheme="majorHAnsi"/>
        </w:rPr>
        <w:t>a</w:t>
      </w:r>
      <w:r w:rsidR="00DC52DA">
        <w:rPr>
          <w:rFonts w:asciiTheme="majorHAnsi" w:hAnsiTheme="majorHAnsi"/>
        </w:rPr>
        <w:t xml:space="preserve"> </w:t>
      </w:r>
      <w:r w:rsidRPr="00A11FE0">
        <w:rPr>
          <w:rFonts w:asciiTheme="majorHAnsi" w:hAnsiTheme="majorHAnsi"/>
        </w:rPr>
        <w:t xml:space="preserve">budovania širokopásmového internetu budú lokalizované v bielych miestach (do 500 obyvateľov) </w:t>
      </w:r>
      <w:r w:rsidR="00BD5FD5">
        <w:rPr>
          <w:rFonts w:asciiTheme="majorHAnsi" w:hAnsiTheme="majorHAnsi"/>
        </w:rPr>
        <w:t>s </w:t>
      </w:r>
      <w:r w:rsidRPr="00A11FE0">
        <w:rPr>
          <w:rFonts w:asciiTheme="majorHAnsi" w:hAnsiTheme="majorHAnsi"/>
        </w:rPr>
        <w:t>nedostatočným pokrytím širokopásmovým internetom.</w:t>
      </w:r>
    </w:p>
    <w:p w:rsidR="00606227" w:rsidRPr="00A11FE0" w:rsidRDefault="00606227" w:rsidP="007D0B2B">
      <w:pPr>
        <w:pStyle w:val="Nadpis4"/>
        <w:numPr>
          <w:ilvl w:val="3"/>
          <w:numId w:val="2"/>
        </w:numPr>
      </w:pPr>
      <w:bookmarkStart w:id="24" w:name="_Toc373169696"/>
      <w:r w:rsidRPr="00A11FE0">
        <w:t>TC</w:t>
      </w:r>
      <w:r w:rsidR="00665324">
        <w:t xml:space="preserve"> </w:t>
      </w:r>
      <w:r w:rsidRPr="00A11FE0">
        <w:t xml:space="preserve">3: </w:t>
      </w:r>
      <w:bookmarkStart w:id="25" w:name="_Ref231832793"/>
      <w:r w:rsidRPr="00A11FE0">
        <w:t xml:space="preserve">Zvýšenie </w:t>
      </w:r>
      <w:r w:rsidR="00BD5FD5">
        <w:t>k</w:t>
      </w:r>
      <w:r w:rsidRPr="00A11FE0">
        <w:t xml:space="preserve">onkurencieschopnosti </w:t>
      </w:r>
      <w:r w:rsidR="00FE5DE5" w:rsidRPr="00A11FE0">
        <w:t xml:space="preserve">MSP, </w:t>
      </w:r>
      <w:r w:rsidR="00BD5FD5">
        <w:t>s</w:t>
      </w:r>
      <w:r w:rsidR="00FE5DE5" w:rsidRPr="00A11FE0">
        <w:t xml:space="preserve">ektora </w:t>
      </w:r>
      <w:r w:rsidR="00D018E1">
        <w:t>poľnohospodárstva</w:t>
      </w:r>
      <w:r w:rsidR="009E4A61" w:rsidRPr="00A11FE0">
        <w:t xml:space="preserve"> </w:t>
      </w:r>
      <w:bookmarkEnd w:id="25"/>
      <w:r w:rsidR="00073822" w:rsidRPr="00A11FE0">
        <w:t xml:space="preserve">(v prípade EPFRV) </w:t>
      </w:r>
      <w:r w:rsidR="00BD5FD5">
        <w:t>a s</w:t>
      </w:r>
      <w:r w:rsidR="00073822" w:rsidRPr="00A11FE0">
        <w:t xml:space="preserve">ektora </w:t>
      </w:r>
      <w:r w:rsidR="00FE5DE5" w:rsidRPr="00A11FE0">
        <w:t xml:space="preserve">rybárstva </w:t>
      </w:r>
      <w:r w:rsidR="00BD5FD5">
        <w:t>a</w:t>
      </w:r>
      <w:r w:rsidR="00073822" w:rsidRPr="00A11FE0">
        <w:t> </w:t>
      </w:r>
      <w:r w:rsidR="00BD5FD5">
        <w:t>ak</w:t>
      </w:r>
      <w:r w:rsidR="00073822" w:rsidRPr="00A11FE0">
        <w:t>vakultúry (v prípade ENR</w:t>
      </w:r>
      <w:r w:rsidR="009E4A61" w:rsidRPr="00A11FE0">
        <w:t>F</w:t>
      </w:r>
      <w:r w:rsidR="00073822" w:rsidRPr="00A11FE0">
        <w:t>)</w:t>
      </w:r>
      <w:bookmarkEnd w:id="24"/>
    </w:p>
    <w:p w:rsidR="00CD7FD3" w:rsidRPr="00A11FE0" w:rsidRDefault="005928E9" w:rsidP="006C5E93">
      <w:pPr>
        <w:spacing w:after="0"/>
        <w:rPr>
          <w:rFonts w:asciiTheme="majorHAnsi" w:hAnsiTheme="majorHAnsi"/>
        </w:rPr>
      </w:pPr>
      <w:r w:rsidRPr="00A11FE0">
        <w:rPr>
          <w:rFonts w:asciiTheme="majorHAnsi" w:hAnsiTheme="majorHAnsi"/>
        </w:rPr>
        <w:t>Z</w:t>
      </w:r>
      <w:r w:rsidR="00E461DE">
        <w:rPr>
          <w:rFonts w:asciiTheme="majorHAnsi" w:hAnsiTheme="majorHAnsi"/>
        </w:rPr>
        <w:t> </w:t>
      </w:r>
      <w:r w:rsidR="00AF6A1E" w:rsidRPr="00A11FE0">
        <w:rPr>
          <w:rFonts w:asciiTheme="majorHAnsi" w:hAnsiTheme="majorHAnsi"/>
        </w:rPr>
        <w:t>hodnoten</w:t>
      </w:r>
      <w:r w:rsidRPr="00A11FE0">
        <w:rPr>
          <w:rFonts w:asciiTheme="majorHAnsi" w:hAnsiTheme="majorHAnsi"/>
        </w:rPr>
        <w:t>ia</w:t>
      </w:r>
      <w:r w:rsidR="00AF6A1E" w:rsidRPr="00A11FE0">
        <w:rPr>
          <w:rFonts w:asciiTheme="majorHAnsi" w:hAnsiTheme="majorHAnsi"/>
        </w:rPr>
        <w:t xml:space="preserve"> </w:t>
      </w:r>
      <w:r w:rsidR="00BD5FD5">
        <w:rPr>
          <w:rFonts w:asciiTheme="majorHAnsi" w:hAnsiTheme="majorHAnsi"/>
        </w:rPr>
        <w:t>k</w:t>
      </w:r>
      <w:r w:rsidR="00AF6A1E" w:rsidRPr="00A11FE0">
        <w:rPr>
          <w:rFonts w:asciiTheme="majorHAnsi" w:hAnsiTheme="majorHAnsi"/>
        </w:rPr>
        <w:t xml:space="preserve">onkurencieschopnosti jednotlivých </w:t>
      </w:r>
      <w:r w:rsidR="00BD5FD5">
        <w:rPr>
          <w:rFonts w:asciiTheme="majorHAnsi" w:hAnsiTheme="majorHAnsi"/>
        </w:rPr>
        <w:t>k</w:t>
      </w:r>
      <w:r w:rsidR="00AF6A1E" w:rsidRPr="00A11FE0">
        <w:rPr>
          <w:rFonts w:asciiTheme="majorHAnsi" w:hAnsiTheme="majorHAnsi"/>
        </w:rPr>
        <w:t xml:space="preserve">rajín </w:t>
      </w:r>
      <w:r w:rsidR="00992762">
        <w:rPr>
          <w:rFonts w:asciiTheme="majorHAnsi" w:hAnsiTheme="majorHAnsi"/>
        </w:rPr>
        <w:t>E</w:t>
      </w:r>
      <w:r w:rsidR="00E207F0">
        <w:rPr>
          <w:rFonts w:asciiTheme="majorHAnsi" w:hAnsiTheme="majorHAnsi"/>
        </w:rPr>
        <w:t>ur</w:t>
      </w:r>
      <w:r w:rsidR="00F97596" w:rsidRPr="00A11FE0">
        <w:rPr>
          <w:rFonts w:asciiTheme="majorHAnsi" w:hAnsiTheme="majorHAnsi"/>
        </w:rPr>
        <w:t>ozóny</w:t>
      </w:r>
      <w:r w:rsidR="00AF6A1E" w:rsidRPr="00A11FE0">
        <w:rPr>
          <w:rStyle w:val="Odkaznapoznmkupodiarou"/>
          <w:rFonts w:asciiTheme="majorHAnsi" w:hAnsiTheme="majorHAnsi"/>
        </w:rPr>
        <w:footnoteReference w:id="48"/>
      </w:r>
      <w:r w:rsidR="0023797D" w:rsidRPr="00A11FE0">
        <w:rPr>
          <w:rFonts w:asciiTheme="majorHAnsi" w:hAnsiTheme="majorHAnsi"/>
        </w:rPr>
        <w:t xml:space="preserve"> </w:t>
      </w:r>
      <w:r w:rsidR="00BD5FD5">
        <w:rPr>
          <w:rFonts w:asciiTheme="majorHAnsi" w:hAnsiTheme="majorHAnsi"/>
        </w:rPr>
        <w:t>a</w:t>
      </w:r>
      <w:r w:rsidR="00AF6A1E" w:rsidRPr="00A11FE0">
        <w:rPr>
          <w:rFonts w:asciiTheme="majorHAnsi" w:hAnsiTheme="majorHAnsi"/>
        </w:rPr>
        <w:t xml:space="preserve"> jej vývoja v období 1999 – 2010 v prípade </w:t>
      </w:r>
      <w:r w:rsidR="00BD5FD5">
        <w:rPr>
          <w:rFonts w:asciiTheme="majorHAnsi" w:hAnsiTheme="majorHAnsi"/>
        </w:rPr>
        <w:t>S</w:t>
      </w:r>
      <w:r w:rsidR="00AF6A1E" w:rsidRPr="00A11FE0">
        <w:rPr>
          <w:rFonts w:asciiTheme="majorHAnsi" w:hAnsiTheme="majorHAnsi"/>
        </w:rPr>
        <w:t>R vyplýva</w:t>
      </w:r>
      <w:r w:rsidR="00EC5705">
        <w:rPr>
          <w:rFonts w:asciiTheme="majorHAnsi" w:hAnsiTheme="majorHAnsi"/>
        </w:rPr>
        <w:t>, že sa tu roztvárajú nožnice</w:t>
      </w:r>
      <w:r w:rsidR="00AF6A1E" w:rsidRPr="00A11FE0">
        <w:rPr>
          <w:rFonts w:asciiTheme="majorHAnsi" w:hAnsiTheme="majorHAnsi"/>
        </w:rPr>
        <w:t xml:space="preserve"> medzi vývojom nákladovosti </w:t>
      </w:r>
      <w:r w:rsidR="00BD5FD5">
        <w:rPr>
          <w:rFonts w:asciiTheme="majorHAnsi" w:hAnsiTheme="majorHAnsi"/>
        </w:rPr>
        <w:t>a </w:t>
      </w:r>
      <w:r w:rsidR="00AF6A1E" w:rsidRPr="00A11FE0">
        <w:rPr>
          <w:rFonts w:asciiTheme="majorHAnsi" w:hAnsiTheme="majorHAnsi"/>
        </w:rPr>
        <w:t xml:space="preserve">produktivity tzv. obchodovateľného (z hľadiska zahraničného obchodu) </w:t>
      </w:r>
      <w:r w:rsidR="00BD5FD5">
        <w:rPr>
          <w:rFonts w:asciiTheme="majorHAnsi" w:hAnsiTheme="majorHAnsi"/>
        </w:rPr>
        <w:t>a </w:t>
      </w:r>
      <w:r w:rsidR="00AF6A1E" w:rsidRPr="00A11FE0">
        <w:rPr>
          <w:rFonts w:asciiTheme="majorHAnsi" w:hAnsiTheme="majorHAnsi"/>
        </w:rPr>
        <w:t xml:space="preserve">neobchodovateľného </w:t>
      </w:r>
      <w:r w:rsidR="00BD5FD5">
        <w:rPr>
          <w:rFonts w:asciiTheme="majorHAnsi" w:hAnsiTheme="majorHAnsi"/>
        </w:rPr>
        <w:t>s</w:t>
      </w:r>
      <w:r w:rsidR="00AF6A1E" w:rsidRPr="00A11FE0">
        <w:rPr>
          <w:rFonts w:asciiTheme="majorHAnsi" w:hAnsiTheme="majorHAnsi"/>
        </w:rPr>
        <w:t>ektor</w:t>
      </w:r>
      <w:r w:rsidR="007D21D9">
        <w:rPr>
          <w:rFonts w:asciiTheme="majorHAnsi" w:hAnsiTheme="majorHAnsi"/>
        </w:rPr>
        <w:t>a</w:t>
      </w:r>
      <w:r w:rsidR="00AF6A1E" w:rsidRPr="00A11FE0">
        <w:rPr>
          <w:rFonts w:asciiTheme="majorHAnsi" w:hAnsiTheme="majorHAnsi"/>
        </w:rPr>
        <w:t xml:space="preserve"> ekonomiky.</w:t>
      </w:r>
      <w:r w:rsidR="00E06AD9" w:rsidRPr="00A11FE0">
        <w:rPr>
          <w:rFonts w:asciiTheme="majorHAnsi" w:hAnsiTheme="majorHAnsi"/>
        </w:rPr>
        <w:t xml:space="preserve"> Táto dvojdielnosť je daná dramatickým poklesom </w:t>
      </w:r>
      <w:r w:rsidR="00BD5FD5">
        <w:rPr>
          <w:rFonts w:asciiTheme="majorHAnsi" w:hAnsiTheme="majorHAnsi"/>
        </w:rPr>
        <w:t>s</w:t>
      </w:r>
      <w:r w:rsidR="00E06AD9" w:rsidRPr="00A11FE0">
        <w:rPr>
          <w:rFonts w:asciiTheme="majorHAnsi" w:hAnsiTheme="majorHAnsi"/>
        </w:rPr>
        <w:t xml:space="preserve">ystémovej </w:t>
      </w:r>
      <w:r w:rsidR="00BD5FD5">
        <w:rPr>
          <w:rFonts w:asciiTheme="majorHAnsi" w:hAnsiTheme="majorHAnsi"/>
        </w:rPr>
        <w:t>k</w:t>
      </w:r>
      <w:r w:rsidR="00E06AD9" w:rsidRPr="00A11FE0">
        <w:rPr>
          <w:rFonts w:asciiTheme="majorHAnsi" w:hAnsiTheme="majorHAnsi"/>
        </w:rPr>
        <w:t xml:space="preserve">onkurencieschopnosti </w:t>
      </w:r>
      <w:r w:rsidR="00277E2D">
        <w:rPr>
          <w:rFonts w:asciiTheme="majorHAnsi" w:hAnsiTheme="majorHAnsi"/>
        </w:rPr>
        <w:t>sektora MSP</w:t>
      </w:r>
      <w:r w:rsidR="00E06AD9" w:rsidRPr="00A11FE0">
        <w:rPr>
          <w:rFonts w:asciiTheme="majorHAnsi" w:hAnsiTheme="majorHAnsi"/>
        </w:rPr>
        <w:t xml:space="preserve"> v</w:t>
      </w:r>
      <w:r w:rsidR="00DC52DA">
        <w:rPr>
          <w:rFonts w:asciiTheme="majorHAnsi" w:hAnsiTheme="majorHAnsi"/>
        </w:rPr>
        <w:t> </w:t>
      </w:r>
      <w:r w:rsidR="00E06AD9" w:rsidRPr="00A11FE0">
        <w:rPr>
          <w:rFonts w:asciiTheme="majorHAnsi" w:hAnsiTheme="majorHAnsi"/>
        </w:rPr>
        <w:t>dôsledku:</w:t>
      </w:r>
    </w:p>
    <w:p w:rsidR="00CD7FD3" w:rsidRPr="00A11FE0" w:rsidRDefault="00277E2D" w:rsidP="00F32A95">
      <w:pPr>
        <w:pStyle w:val="Odsekzoznamu"/>
        <w:numPr>
          <w:ilvl w:val="0"/>
          <w:numId w:val="6"/>
        </w:numPr>
        <w:spacing w:before="0" w:after="0"/>
        <w:rPr>
          <w:rFonts w:asciiTheme="majorHAnsi" w:hAnsiTheme="majorHAnsi"/>
        </w:rPr>
      </w:pPr>
      <w:r>
        <w:rPr>
          <w:rFonts w:asciiTheme="majorHAnsi" w:hAnsiTheme="majorHAnsi"/>
        </w:rPr>
        <w:lastRenderedPageBreak/>
        <w:t xml:space="preserve">straty inovačného potenciálu MSP vplyvom nízkej vzájomnej </w:t>
      </w:r>
      <w:r w:rsidR="00BD5FD5">
        <w:rPr>
          <w:rFonts w:asciiTheme="majorHAnsi" w:hAnsiTheme="majorHAnsi"/>
        </w:rPr>
        <w:t>k</w:t>
      </w:r>
      <w:r>
        <w:rPr>
          <w:rFonts w:asciiTheme="majorHAnsi" w:hAnsiTheme="majorHAnsi"/>
        </w:rPr>
        <w:t>ooperácie, chýbajúceho rozvíjania zručností</w:t>
      </w:r>
      <w:r w:rsidR="001E67EA">
        <w:rPr>
          <w:rFonts w:asciiTheme="majorHAnsi" w:hAnsiTheme="majorHAnsi"/>
        </w:rPr>
        <w:t>,</w:t>
      </w:r>
      <w:r>
        <w:rPr>
          <w:rFonts w:asciiTheme="majorHAnsi" w:hAnsiTheme="majorHAnsi"/>
        </w:rPr>
        <w:t xml:space="preserve"> nízkeho osvojovania </w:t>
      </w:r>
      <w:r w:rsidR="00BD5FD5">
        <w:rPr>
          <w:rFonts w:asciiTheme="majorHAnsi" w:hAnsiTheme="majorHAnsi"/>
        </w:rPr>
        <w:t>s</w:t>
      </w:r>
      <w:r>
        <w:rPr>
          <w:rFonts w:asciiTheme="majorHAnsi" w:hAnsiTheme="majorHAnsi"/>
        </w:rPr>
        <w:t xml:space="preserve">i/zavádzania inovácií </w:t>
      </w:r>
      <w:r w:rsidR="00BD5FD5">
        <w:rPr>
          <w:rFonts w:asciiTheme="majorHAnsi" w:hAnsiTheme="majorHAnsi"/>
        </w:rPr>
        <w:t>a </w:t>
      </w:r>
      <w:r>
        <w:rPr>
          <w:rFonts w:asciiTheme="majorHAnsi" w:hAnsiTheme="majorHAnsi"/>
        </w:rPr>
        <w:t>nových trendov</w:t>
      </w:r>
      <w:r w:rsidR="00E06AD9" w:rsidRPr="00A11FE0">
        <w:rPr>
          <w:rFonts w:asciiTheme="majorHAnsi" w:hAnsiTheme="majorHAnsi"/>
        </w:rPr>
        <w:t>,</w:t>
      </w:r>
    </w:p>
    <w:p w:rsidR="00CD7FD3" w:rsidRPr="00A11FE0" w:rsidRDefault="00277E2D" w:rsidP="00F32A95">
      <w:pPr>
        <w:pStyle w:val="Odsekzoznamu"/>
        <w:numPr>
          <w:ilvl w:val="0"/>
          <w:numId w:val="6"/>
        </w:numPr>
        <w:spacing w:before="0" w:after="0"/>
        <w:rPr>
          <w:rFonts w:asciiTheme="majorHAnsi" w:hAnsiTheme="majorHAnsi"/>
        </w:rPr>
      </w:pPr>
      <w:r>
        <w:rPr>
          <w:rFonts w:asciiTheme="majorHAnsi" w:hAnsiTheme="majorHAnsi"/>
        </w:rPr>
        <w:t xml:space="preserve">obmedzených možností financovania MSP, osobitne najmenších veľkostných </w:t>
      </w:r>
      <w:r w:rsidR="00BD5FD5">
        <w:rPr>
          <w:rFonts w:asciiTheme="majorHAnsi" w:hAnsiTheme="majorHAnsi"/>
        </w:rPr>
        <w:t>k</w:t>
      </w:r>
      <w:r>
        <w:rPr>
          <w:rFonts w:asciiTheme="majorHAnsi" w:hAnsiTheme="majorHAnsi"/>
        </w:rPr>
        <w:t xml:space="preserve">ategórií (mikropodnikov </w:t>
      </w:r>
      <w:r w:rsidR="00BD5FD5">
        <w:rPr>
          <w:rFonts w:asciiTheme="majorHAnsi" w:hAnsiTheme="majorHAnsi"/>
        </w:rPr>
        <w:t>a </w:t>
      </w:r>
      <w:r>
        <w:rPr>
          <w:rFonts w:asciiTheme="majorHAnsi" w:hAnsiTheme="majorHAnsi"/>
        </w:rPr>
        <w:t xml:space="preserve">malých podnikov), vplyvom </w:t>
      </w:r>
      <w:r w:rsidR="00BD5FD5">
        <w:rPr>
          <w:rFonts w:asciiTheme="majorHAnsi" w:hAnsiTheme="majorHAnsi"/>
        </w:rPr>
        <w:t>k</w:t>
      </w:r>
      <w:r>
        <w:rPr>
          <w:rFonts w:asciiTheme="majorHAnsi" w:hAnsiTheme="majorHAnsi"/>
        </w:rPr>
        <w:t xml:space="preserve">onzervatívneho prístupu tradičných </w:t>
      </w:r>
      <w:r w:rsidR="00BD5FD5">
        <w:rPr>
          <w:rFonts w:asciiTheme="majorHAnsi" w:hAnsiTheme="majorHAnsi"/>
        </w:rPr>
        <w:t>k</w:t>
      </w:r>
      <w:r>
        <w:rPr>
          <w:rFonts w:asciiTheme="majorHAnsi" w:hAnsiTheme="majorHAnsi"/>
        </w:rPr>
        <w:t xml:space="preserve">omerčných poskytovateľov (bánk) </w:t>
      </w:r>
      <w:r w:rsidR="00BD5FD5">
        <w:rPr>
          <w:rFonts w:asciiTheme="majorHAnsi" w:hAnsiTheme="majorHAnsi"/>
        </w:rPr>
        <w:t>a a</w:t>
      </w:r>
      <w:r>
        <w:rPr>
          <w:rFonts w:asciiTheme="majorHAnsi" w:hAnsiTheme="majorHAnsi"/>
        </w:rPr>
        <w:t xml:space="preserve">bsencie </w:t>
      </w:r>
      <w:r w:rsidR="00BD5FD5">
        <w:rPr>
          <w:rFonts w:asciiTheme="majorHAnsi" w:hAnsiTheme="majorHAnsi"/>
        </w:rPr>
        <w:t>a</w:t>
      </w:r>
      <w:r>
        <w:rPr>
          <w:rFonts w:asciiTheme="majorHAnsi" w:hAnsiTheme="majorHAnsi"/>
        </w:rPr>
        <w:t>lternatívnych možností financovania,</w:t>
      </w:r>
    </w:p>
    <w:p w:rsidR="00CD7FD3" w:rsidRPr="00A11FE0" w:rsidRDefault="00277E2D" w:rsidP="00F32A95">
      <w:pPr>
        <w:pStyle w:val="Odsekzoznamu"/>
        <w:numPr>
          <w:ilvl w:val="0"/>
          <w:numId w:val="6"/>
        </w:numPr>
        <w:spacing w:before="0" w:after="0"/>
        <w:rPr>
          <w:rFonts w:asciiTheme="majorHAnsi" w:hAnsiTheme="majorHAnsi"/>
        </w:rPr>
      </w:pPr>
      <w:r>
        <w:rPr>
          <w:rFonts w:asciiTheme="majorHAnsi" w:hAnsiTheme="majorHAnsi"/>
        </w:rPr>
        <w:t xml:space="preserve">nízkej motivácie populácie pre vstup do podnikania </w:t>
      </w:r>
      <w:r w:rsidR="00BD5FD5">
        <w:rPr>
          <w:rFonts w:asciiTheme="majorHAnsi" w:hAnsiTheme="majorHAnsi"/>
        </w:rPr>
        <w:t>a </w:t>
      </w:r>
      <w:r>
        <w:rPr>
          <w:rFonts w:asciiTheme="majorHAnsi" w:hAnsiTheme="majorHAnsi"/>
        </w:rPr>
        <w:t xml:space="preserve">prevažujúceho vnímania podnikania </w:t>
      </w:r>
      <w:r w:rsidR="00BD5FD5">
        <w:rPr>
          <w:rFonts w:asciiTheme="majorHAnsi" w:hAnsiTheme="majorHAnsi"/>
        </w:rPr>
        <w:t>ak</w:t>
      </w:r>
      <w:r>
        <w:rPr>
          <w:rFonts w:asciiTheme="majorHAnsi" w:hAnsiTheme="majorHAnsi"/>
        </w:rPr>
        <w:t xml:space="preserve">o nutnosti namiesto vnímania podnikania </w:t>
      </w:r>
      <w:r w:rsidR="00BD5FD5">
        <w:rPr>
          <w:rFonts w:asciiTheme="majorHAnsi" w:hAnsiTheme="majorHAnsi"/>
        </w:rPr>
        <w:t>ak</w:t>
      </w:r>
      <w:r>
        <w:rPr>
          <w:rFonts w:asciiTheme="majorHAnsi" w:hAnsiTheme="majorHAnsi"/>
        </w:rPr>
        <w:t>o príležitosti,</w:t>
      </w:r>
    </w:p>
    <w:p w:rsidR="004C0E67" w:rsidRDefault="00277E2D" w:rsidP="00F32A95">
      <w:pPr>
        <w:pStyle w:val="Odsekzoznamu"/>
        <w:numPr>
          <w:ilvl w:val="0"/>
          <w:numId w:val="6"/>
        </w:numPr>
        <w:spacing w:before="0" w:after="0"/>
        <w:rPr>
          <w:rFonts w:asciiTheme="majorHAnsi" w:hAnsiTheme="majorHAnsi"/>
        </w:rPr>
      </w:pPr>
      <w:r>
        <w:rPr>
          <w:rFonts w:asciiTheme="majorHAnsi" w:hAnsiTheme="majorHAnsi"/>
        </w:rPr>
        <w:t xml:space="preserve">chýbajúcej motivácie/odvahy MSP pre expanziu podnikateľských </w:t>
      </w:r>
      <w:r w:rsidR="00BD5FD5">
        <w:rPr>
          <w:rFonts w:asciiTheme="majorHAnsi" w:hAnsiTheme="majorHAnsi"/>
        </w:rPr>
        <w:t>ak</w:t>
      </w:r>
      <w:r>
        <w:rPr>
          <w:rFonts w:asciiTheme="majorHAnsi" w:hAnsiTheme="majorHAnsi"/>
        </w:rPr>
        <w:t xml:space="preserve">tivít nad rámec </w:t>
      </w:r>
      <w:r w:rsidR="00BD5FD5">
        <w:rPr>
          <w:rFonts w:asciiTheme="majorHAnsi" w:hAnsiTheme="majorHAnsi"/>
        </w:rPr>
        <w:t>k</w:t>
      </w:r>
      <w:r>
        <w:rPr>
          <w:rFonts w:asciiTheme="majorHAnsi" w:hAnsiTheme="majorHAnsi"/>
        </w:rPr>
        <w:t xml:space="preserve">onvenčných produktov </w:t>
      </w:r>
      <w:r w:rsidR="00BD5FD5">
        <w:rPr>
          <w:rFonts w:asciiTheme="majorHAnsi" w:hAnsiTheme="majorHAnsi"/>
        </w:rPr>
        <w:t>a</w:t>
      </w:r>
      <w:r>
        <w:rPr>
          <w:rFonts w:asciiTheme="majorHAnsi" w:hAnsiTheme="majorHAnsi"/>
        </w:rPr>
        <w:t> </w:t>
      </w:r>
      <w:r w:rsidR="00BD5FD5">
        <w:rPr>
          <w:rFonts w:asciiTheme="majorHAnsi" w:hAnsiTheme="majorHAnsi"/>
        </w:rPr>
        <w:t>s</w:t>
      </w:r>
      <w:r>
        <w:rPr>
          <w:rFonts w:asciiTheme="majorHAnsi" w:hAnsiTheme="majorHAnsi"/>
        </w:rPr>
        <w:t>lužieb,</w:t>
      </w:r>
    </w:p>
    <w:p w:rsidR="00277E2D" w:rsidRPr="00A11FE0" w:rsidRDefault="00277E2D" w:rsidP="00F32A95">
      <w:pPr>
        <w:pStyle w:val="Odsekzoznamu"/>
        <w:numPr>
          <w:ilvl w:val="0"/>
          <w:numId w:val="6"/>
        </w:numPr>
        <w:spacing w:before="0" w:after="0"/>
        <w:rPr>
          <w:rFonts w:asciiTheme="majorHAnsi" w:hAnsiTheme="majorHAnsi"/>
        </w:rPr>
      </w:pPr>
      <w:r>
        <w:rPr>
          <w:rFonts w:asciiTheme="majorHAnsi" w:hAnsiTheme="majorHAnsi"/>
        </w:rPr>
        <w:t xml:space="preserve">poklesu ekonomickej </w:t>
      </w:r>
      <w:r w:rsidR="00BD5FD5">
        <w:rPr>
          <w:rFonts w:asciiTheme="majorHAnsi" w:hAnsiTheme="majorHAnsi"/>
        </w:rPr>
        <w:t>ak</w:t>
      </w:r>
      <w:r>
        <w:rPr>
          <w:rFonts w:asciiTheme="majorHAnsi" w:hAnsiTheme="majorHAnsi"/>
        </w:rPr>
        <w:t xml:space="preserve">tivity veľkej časti MSP vplyvom globálnej ekonomickej </w:t>
      </w:r>
      <w:r w:rsidR="00BD5FD5">
        <w:rPr>
          <w:rFonts w:asciiTheme="majorHAnsi" w:hAnsiTheme="majorHAnsi"/>
        </w:rPr>
        <w:t>k</w:t>
      </w:r>
      <w:r>
        <w:rPr>
          <w:rFonts w:asciiTheme="majorHAnsi" w:hAnsiTheme="majorHAnsi"/>
        </w:rPr>
        <w:t xml:space="preserve">rízy </w:t>
      </w:r>
      <w:r w:rsidR="00BD5FD5">
        <w:rPr>
          <w:rFonts w:asciiTheme="majorHAnsi" w:hAnsiTheme="majorHAnsi"/>
        </w:rPr>
        <w:t>a </w:t>
      </w:r>
      <w:r>
        <w:rPr>
          <w:rFonts w:asciiTheme="majorHAnsi" w:hAnsiTheme="majorHAnsi"/>
        </w:rPr>
        <w:t xml:space="preserve">prekážok v podnikateľskom prostredí </w:t>
      </w:r>
      <w:r w:rsidR="00BD5FD5">
        <w:rPr>
          <w:rFonts w:asciiTheme="majorHAnsi" w:hAnsiTheme="majorHAnsi"/>
        </w:rPr>
        <w:t>a </w:t>
      </w:r>
      <w:r>
        <w:rPr>
          <w:rFonts w:asciiTheme="majorHAnsi" w:hAnsiTheme="majorHAnsi"/>
        </w:rPr>
        <w:t xml:space="preserve">ich prepadu do </w:t>
      </w:r>
      <w:r w:rsidR="00BD5FD5">
        <w:rPr>
          <w:rFonts w:asciiTheme="majorHAnsi" w:hAnsiTheme="majorHAnsi"/>
        </w:rPr>
        <w:t>k</w:t>
      </w:r>
      <w:r>
        <w:rPr>
          <w:rFonts w:asciiTheme="majorHAnsi" w:hAnsiTheme="majorHAnsi"/>
        </w:rPr>
        <w:t>ategórie mikropodnikov.</w:t>
      </w:r>
    </w:p>
    <w:p w:rsidR="00D05829" w:rsidRPr="00A11FE0" w:rsidRDefault="00D05829" w:rsidP="00FD3A68">
      <w:pPr>
        <w:pStyle w:val="Nadpis5"/>
        <w:numPr>
          <w:ilvl w:val="4"/>
          <w:numId w:val="2"/>
        </w:numPr>
        <w:ind w:left="1292"/>
      </w:pPr>
      <w:r w:rsidRPr="00A11FE0">
        <w:t xml:space="preserve">Nedostatočná </w:t>
      </w:r>
      <w:r w:rsidR="00BD5FD5">
        <w:t>k</w:t>
      </w:r>
      <w:r w:rsidRPr="00A11FE0">
        <w:t>onkurencieschopnosť obchodných modelov MSP</w:t>
      </w:r>
    </w:p>
    <w:p w:rsidR="00555D0F" w:rsidRDefault="00E461DE" w:rsidP="00D05829">
      <w:pPr>
        <w:rPr>
          <w:rFonts w:asciiTheme="majorHAnsi" w:hAnsiTheme="majorHAnsi"/>
        </w:rPr>
      </w:pPr>
      <w:r>
        <w:rPr>
          <w:noProof/>
          <w:lang w:eastAsia="sk-SK"/>
        </w:rPr>
        <w:drawing>
          <wp:anchor distT="0" distB="0" distL="114300" distR="114300" simplePos="0" relativeHeight="251781120" behindDoc="0" locked="0" layoutInCell="1" allowOverlap="1" wp14:anchorId="107BA0BB" wp14:editId="71D1E3E6">
            <wp:simplePos x="0" y="0"/>
            <wp:positionH relativeFrom="column">
              <wp:posOffset>3511550</wp:posOffset>
            </wp:positionH>
            <wp:positionV relativeFrom="paragraph">
              <wp:posOffset>3378835</wp:posOffset>
            </wp:positionV>
            <wp:extent cx="2592070" cy="1487170"/>
            <wp:effectExtent l="0" t="0" r="0" b="0"/>
            <wp:wrapSquare wrapText="bothSides"/>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2070" cy="148717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lang w:eastAsia="sk-SK"/>
        </w:rPr>
        <w:drawing>
          <wp:anchor distT="0" distB="0" distL="114300" distR="114300" simplePos="0" relativeHeight="251774976" behindDoc="0" locked="0" layoutInCell="1" allowOverlap="1" wp14:anchorId="1C20D0B7" wp14:editId="31F3AE02">
            <wp:simplePos x="0" y="0"/>
            <wp:positionH relativeFrom="column">
              <wp:posOffset>3407410</wp:posOffset>
            </wp:positionH>
            <wp:positionV relativeFrom="paragraph">
              <wp:posOffset>107315</wp:posOffset>
            </wp:positionV>
            <wp:extent cx="2595245" cy="3199130"/>
            <wp:effectExtent l="0" t="0" r="0" b="1270"/>
            <wp:wrapThrough wrapText="bothSides">
              <wp:wrapPolygon edited="0">
                <wp:start x="0" y="0"/>
                <wp:lineTo x="0" y="21480"/>
                <wp:lineTo x="21404" y="21480"/>
                <wp:lineTo x="21404" y="0"/>
                <wp:lineTo x="0" y="0"/>
              </wp:wrapPolygon>
            </wp:wrapThrough>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l="12874" t="5630" r="7539" b="4005"/>
                    <a:stretch>
                      <a:fillRect/>
                    </a:stretch>
                  </pic:blipFill>
                  <pic:spPr bwMode="auto">
                    <a:xfrm>
                      <a:off x="0" y="0"/>
                      <a:ext cx="2595245" cy="3199130"/>
                    </a:xfrm>
                    <a:prstGeom prst="rect">
                      <a:avLst/>
                    </a:prstGeom>
                    <a:noFill/>
                    <a:ln>
                      <a:noFill/>
                    </a:ln>
                  </pic:spPr>
                </pic:pic>
              </a:graphicData>
            </a:graphic>
            <wp14:sizeRelH relativeFrom="page">
              <wp14:pctWidth>0</wp14:pctWidth>
            </wp14:sizeRelH>
            <wp14:sizeRelV relativeFrom="page">
              <wp14:pctHeight>0</wp14:pctHeight>
            </wp14:sizeRelV>
          </wp:anchor>
        </w:drawing>
      </w:r>
      <w:r w:rsidR="00BD5FD5">
        <w:rPr>
          <w:rFonts w:asciiTheme="majorHAnsi" w:hAnsiTheme="majorHAnsi"/>
        </w:rPr>
        <w:t>S</w:t>
      </w:r>
      <w:r w:rsidR="00566BD2" w:rsidRPr="00A11FE0">
        <w:rPr>
          <w:rFonts w:asciiTheme="majorHAnsi" w:hAnsiTheme="majorHAnsi"/>
        </w:rPr>
        <w:t xml:space="preserve">lovenské </w:t>
      </w:r>
      <w:r w:rsidR="00830EB9" w:rsidRPr="00A11FE0">
        <w:rPr>
          <w:rFonts w:asciiTheme="majorHAnsi" w:hAnsiTheme="majorHAnsi"/>
        </w:rPr>
        <w:t xml:space="preserve">hospodárstvo </w:t>
      </w:r>
      <w:r w:rsidR="005631DC" w:rsidRPr="00A11FE0">
        <w:rPr>
          <w:rFonts w:asciiTheme="majorHAnsi" w:hAnsiTheme="majorHAnsi"/>
        </w:rPr>
        <w:t>je závislé</w:t>
      </w:r>
      <w:r w:rsidR="003F0750">
        <w:rPr>
          <w:rFonts w:asciiTheme="majorHAnsi" w:hAnsiTheme="majorHAnsi"/>
        </w:rPr>
        <w:t xml:space="preserve"> </w:t>
      </w:r>
      <w:r w:rsidR="00830EB9" w:rsidRPr="00A11FE0">
        <w:rPr>
          <w:rFonts w:asciiTheme="majorHAnsi" w:hAnsiTheme="majorHAnsi"/>
        </w:rPr>
        <w:t xml:space="preserve">na </w:t>
      </w:r>
      <w:r w:rsidR="00525E3E">
        <w:rPr>
          <w:rFonts w:asciiTheme="majorHAnsi" w:hAnsiTheme="majorHAnsi"/>
        </w:rPr>
        <w:t xml:space="preserve">ekonomických výsledkoch veľkých nadnárodných </w:t>
      </w:r>
      <w:r w:rsidR="00BD5FD5">
        <w:rPr>
          <w:rFonts w:asciiTheme="majorHAnsi" w:hAnsiTheme="majorHAnsi"/>
        </w:rPr>
        <w:t>s</w:t>
      </w:r>
      <w:r w:rsidR="00525E3E">
        <w:rPr>
          <w:rFonts w:asciiTheme="majorHAnsi" w:hAnsiTheme="majorHAnsi"/>
        </w:rPr>
        <w:t xml:space="preserve">poločností </w:t>
      </w:r>
      <w:r w:rsidR="001E67EA">
        <w:rPr>
          <w:rFonts w:asciiTheme="majorHAnsi" w:hAnsiTheme="majorHAnsi"/>
        </w:rPr>
        <w:t xml:space="preserve">(ďalej len „MNC“) </w:t>
      </w:r>
      <w:r w:rsidR="00525E3E">
        <w:rPr>
          <w:rFonts w:asciiTheme="majorHAnsi" w:hAnsiTheme="majorHAnsi"/>
        </w:rPr>
        <w:t xml:space="preserve">pôsobiacich </w:t>
      </w:r>
      <w:r w:rsidR="00830EB9" w:rsidRPr="00A11FE0">
        <w:rPr>
          <w:rFonts w:asciiTheme="majorHAnsi" w:hAnsiTheme="majorHAnsi"/>
        </w:rPr>
        <w:t xml:space="preserve">v odvetviach na export orientovaného </w:t>
      </w:r>
      <w:r w:rsidR="00BD5FD5">
        <w:rPr>
          <w:rFonts w:asciiTheme="majorHAnsi" w:hAnsiTheme="majorHAnsi"/>
        </w:rPr>
        <w:t>s</w:t>
      </w:r>
      <w:r w:rsidR="00830EB9" w:rsidRPr="00A11FE0">
        <w:rPr>
          <w:rFonts w:asciiTheme="majorHAnsi" w:hAnsiTheme="majorHAnsi"/>
        </w:rPr>
        <w:t xml:space="preserve">pracovateľského priemyslu. </w:t>
      </w:r>
      <w:r w:rsidR="00525E3E">
        <w:rPr>
          <w:rFonts w:asciiTheme="majorHAnsi" w:hAnsiTheme="majorHAnsi"/>
        </w:rPr>
        <w:t xml:space="preserve">Napriek tomu, že časť MSP </w:t>
      </w:r>
      <w:r w:rsidR="00BD5FD5">
        <w:rPr>
          <w:rFonts w:asciiTheme="majorHAnsi" w:hAnsiTheme="majorHAnsi"/>
        </w:rPr>
        <w:t>s</w:t>
      </w:r>
      <w:r w:rsidR="00525E3E">
        <w:rPr>
          <w:rFonts w:asciiTheme="majorHAnsi" w:hAnsiTheme="majorHAnsi"/>
        </w:rPr>
        <w:t>a úspešne integrovala</w:t>
      </w:r>
      <w:r w:rsidR="001E67EA">
        <w:rPr>
          <w:rFonts w:asciiTheme="majorHAnsi" w:hAnsiTheme="majorHAnsi"/>
        </w:rPr>
        <w:t xml:space="preserve"> </w:t>
      </w:r>
      <w:r w:rsidR="00525E3E">
        <w:rPr>
          <w:rFonts w:asciiTheme="majorHAnsi" w:hAnsiTheme="majorHAnsi"/>
        </w:rPr>
        <w:t xml:space="preserve">do dodávateľských štruktúr týchto MNC, veľká časť MSP, najmä v odvetviach mimo </w:t>
      </w:r>
      <w:r w:rsidR="00BD5FD5">
        <w:rPr>
          <w:rFonts w:asciiTheme="majorHAnsi" w:hAnsiTheme="majorHAnsi"/>
        </w:rPr>
        <w:t>s</w:t>
      </w:r>
      <w:r w:rsidR="00525E3E">
        <w:rPr>
          <w:rFonts w:asciiTheme="majorHAnsi" w:hAnsiTheme="majorHAnsi"/>
        </w:rPr>
        <w:t xml:space="preserve">pracovateľského priemyslu, </w:t>
      </w:r>
      <w:r w:rsidR="00BD5FD5">
        <w:rPr>
          <w:rFonts w:asciiTheme="majorHAnsi" w:hAnsiTheme="majorHAnsi"/>
        </w:rPr>
        <w:t>k</w:t>
      </w:r>
      <w:r w:rsidR="00525E3E">
        <w:rPr>
          <w:rFonts w:asciiTheme="majorHAnsi" w:hAnsiTheme="majorHAnsi"/>
        </w:rPr>
        <w:t xml:space="preserve">de pôsobí prevažná väčšina MSP, zápasí </w:t>
      </w:r>
      <w:r w:rsidR="00BD5FD5">
        <w:rPr>
          <w:rFonts w:asciiTheme="majorHAnsi" w:hAnsiTheme="majorHAnsi"/>
        </w:rPr>
        <w:t>s </w:t>
      </w:r>
      <w:r w:rsidR="00525E3E">
        <w:rPr>
          <w:rFonts w:asciiTheme="majorHAnsi" w:hAnsiTheme="majorHAnsi"/>
        </w:rPr>
        <w:t xml:space="preserve">početnými problémami vyplývajúcimi zo </w:t>
      </w:r>
      <w:r w:rsidR="00BD5FD5">
        <w:rPr>
          <w:rFonts w:asciiTheme="majorHAnsi" w:hAnsiTheme="majorHAnsi"/>
        </w:rPr>
        <w:t>s</w:t>
      </w:r>
      <w:r w:rsidR="00525E3E">
        <w:rPr>
          <w:rFonts w:asciiTheme="majorHAnsi" w:hAnsiTheme="majorHAnsi"/>
        </w:rPr>
        <w:t>traty cieľových trhov</w:t>
      </w:r>
      <w:r w:rsidR="001E67EA">
        <w:rPr>
          <w:rFonts w:asciiTheme="majorHAnsi" w:hAnsiTheme="majorHAnsi"/>
        </w:rPr>
        <w:t>,</w:t>
      </w:r>
      <w:r w:rsidR="00525E3E">
        <w:rPr>
          <w:rFonts w:asciiTheme="majorHAnsi" w:hAnsiTheme="majorHAnsi"/>
        </w:rPr>
        <w:t xml:space="preserve"> </w:t>
      </w:r>
      <w:r w:rsidR="000767A0">
        <w:rPr>
          <w:rFonts w:asciiTheme="majorHAnsi" w:hAnsiTheme="majorHAnsi"/>
        </w:rPr>
        <w:t>a</w:t>
      </w:r>
      <w:r w:rsidR="007D21D9">
        <w:rPr>
          <w:rFonts w:asciiTheme="majorHAnsi" w:hAnsiTheme="majorHAnsi"/>
        </w:rPr>
        <w:t> </w:t>
      </w:r>
      <w:r w:rsidR="000767A0">
        <w:rPr>
          <w:rFonts w:asciiTheme="majorHAnsi" w:hAnsiTheme="majorHAnsi"/>
        </w:rPr>
        <w:t>to</w:t>
      </w:r>
      <w:r w:rsidR="007D21D9">
        <w:rPr>
          <w:rFonts w:asciiTheme="majorHAnsi" w:hAnsiTheme="majorHAnsi"/>
        </w:rPr>
        <w:t xml:space="preserve"> </w:t>
      </w:r>
      <w:r w:rsidR="00525E3E">
        <w:rPr>
          <w:rFonts w:asciiTheme="majorHAnsi" w:hAnsiTheme="majorHAnsi"/>
        </w:rPr>
        <w:t xml:space="preserve">v dôsledku </w:t>
      </w:r>
      <w:r w:rsidR="00830EB9" w:rsidRPr="00A11FE0">
        <w:rPr>
          <w:rFonts w:asciiTheme="majorHAnsi" w:hAnsiTheme="majorHAnsi"/>
        </w:rPr>
        <w:t>narušenia</w:t>
      </w:r>
      <w:r w:rsidR="007D21D9">
        <w:rPr>
          <w:rFonts w:asciiTheme="majorHAnsi" w:hAnsiTheme="majorHAnsi"/>
        </w:rPr>
        <w:t xml:space="preserve"> </w:t>
      </w:r>
      <w:r w:rsidR="00525E3E">
        <w:rPr>
          <w:rFonts w:asciiTheme="majorHAnsi" w:hAnsiTheme="majorHAnsi"/>
        </w:rPr>
        <w:t>organických</w:t>
      </w:r>
      <w:r w:rsidR="00830EB9" w:rsidRPr="00A11FE0">
        <w:rPr>
          <w:rFonts w:asciiTheme="majorHAnsi" w:hAnsiTheme="majorHAnsi"/>
        </w:rPr>
        <w:t xml:space="preserve"> väzieb</w:t>
      </w:r>
      <w:r w:rsidR="007D21D9">
        <w:rPr>
          <w:rFonts w:asciiTheme="majorHAnsi" w:hAnsiTheme="majorHAnsi"/>
        </w:rPr>
        <w:t xml:space="preserve"> </w:t>
      </w:r>
      <w:r w:rsidR="00BD5FD5">
        <w:rPr>
          <w:rFonts w:asciiTheme="majorHAnsi" w:hAnsiTheme="majorHAnsi"/>
        </w:rPr>
        <w:t>k </w:t>
      </w:r>
      <w:r w:rsidR="00830EB9" w:rsidRPr="00A11FE0">
        <w:rPr>
          <w:rFonts w:asciiTheme="majorHAnsi" w:hAnsiTheme="majorHAnsi"/>
        </w:rPr>
        <w:t>špecializovaným inovačným procesom</w:t>
      </w:r>
      <w:r w:rsidR="007D21D9">
        <w:rPr>
          <w:rFonts w:asciiTheme="majorHAnsi" w:hAnsiTheme="majorHAnsi"/>
        </w:rPr>
        <w:t xml:space="preserve"> </w:t>
      </w:r>
      <w:r w:rsidR="00BD5FD5">
        <w:rPr>
          <w:rFonts w:asciiTheme="majorHAnsi" w:hAnsiTheme="majorHAnsi"/>
        </w:rPr>
        <w:t>a k</w:t>
      </w:r>
      <w:r w:rsidR="00830EB9" w:rsidRPr="00A11FE0">
        <w:rPr>
          <w:rFonts w:asciiTheme="majorHAnsi" w:hAnsiTheme="majorHAnsi"/>
        </w:rPr>
        <w:t> </w:t>
      </w:r>
      <w:r w:rsidR="00BD5FD5">
        <w:rPr>
          <w:rFonts w:asciiTheme="majorHAnsi" w:hAnsiTheme="majorHAnsi"/>
        </w:rPr>
        <w:t>s</w:t>
      </w:r>
      <w:r w:rsidR="00830EB9" w:rsidRPr="00A11FE0">
        <w:rPr>
          <w:rFonts w:asciiTheme="majorHAnsi" w:hAnsiTheme="majorHAnsi"/>
        </w:rPr>
        <w:t>ystematicky vzdelávanému ľudskému</w:t>
      </w:r>
      <w:r w:rsidR="007D21D9">
        <w:rPr>
          <w:rFonts w:asciiTheme="majorHAnsi" w:hAnsiTheme="majorHAnsi"/>
        </w:rPr>
        <w:t xml:space="preserve"> </w:t>
      </w:r>
      <w:r w:rsidR="00BD5FD5">
        <w:rPr>
          <w:rFonts w:asciiTheme="majorHAnsi" w:hAnsiTheme="majorHAnsi"/>
        </w:rPr>
        <w:t>k</w:t>
      </w:r>
      <w:r w:rsidR="00830EB9" w:rsidRPr="00A11FE0">
        <w:rPr>
          <w:rFonts w:asciiTheme="majorHAnsi" w:hAnsiTheme="majorHAnsi"/>
        </w:rPr>
        <w:t>apitálu</w:t>
      </w:r>
      <w:r w:rsidR="00566BD2" w:rsidRPr="00A11FE0">
        <w:rPr>
          <w:rFonts w:asciiTheme="majorHAnsi" w:hAnsiTheme="majorHAnsi"/>
        </w:rPr>
        <w:t xml:space="preserve">. </w:t>
      </w:r>
      <w:r w:rsidR="00555D0F">
        <w:rPr>
          <w:rFonts w:asciiTheme="majorHAnsi" w:hAnsiTheme="majorHAnsi"/>
        </w:rPr>
        <w:t xml:space="preserve">Situácia sa výrazne skomplikovala po roku 2008, keď vplyvom globálnej ekonomickej krízy došlo k výraznému prepadu ekonomickej kondície a životaschopnosti MSP. V situácii otvorenej ekonomiky, akou je SR, sa MSP len veľmi ťažko darí presadzovať na zahraničných trhoch, čo v kombinácii s nízkou absorpčnou kapacitou domáceho trhu výrazne vplýva na udržateľnosť podnikania a znižuje mieru prežitia podnikov. Existujúce nástroje podpory MSP sa javia ako málo účinné pre zabezpečenie ich podnikateľských aktivít, ako aj </w:t>
      </w:r>
      <w:r w:rsidR="00555D0F" w:rsidRPr="00A11FE0">
        <w:rPr>
          <w:rFonts w:asciiTheme="majorHAnsi" w:hAnsiTheme="majorHAnsi"/>
        </w:rPr>
        <w:t xml:space="preserve">inovačnej </w:t>
      </w:r>
      <w:r w:rsidR="00555D0F">
        <w:rPr>
          <w:rFonts w:asciiTheme="majorHAnsi" w:hAnsiTheme="majorHAnsi"/>
        </w:rPr>
        <w:t>k</w:t>
      </w:r>
      <w:r w:rsidR="00555D0F" w:rsidRPr="00A11FE0">
        <w:rPr>
          <w:rFonts w:asciiTheme="majorHAnsi" w:hAnsiTheme="majorHAnsi"/>
        </w:rPr>
        <w:t xml:space="preserve">ooperácie </w:t>
      </w:r>
      <w:r w:rsidR="00555D0F">
        <w:rPr>
          <w:rFonts w:asciiTheme="majorHAnsi" w:hAnsiTheme="majorHAnsi"/>
        </w:rPr>
        <w:t>s ak</w:t>
      </w:r>
      <w:r w:rsidR="00555D0F" w:rsidRPr="00A11FE0">
        <w:rPr>
          <w:rFonts w:asciiTheme="majorHAnsi" w:hAnsiTheme="majorHAnsi"/>
        </w:rPr>
        <w:t xml:space="preserve">ademickým </w:t>
      </w:r>
      <w:r w:rsidR="00555D0F">
        <w:rPr>
          <w:rFonts w:asciiTheme="majorHAnsi" w:hAnsiTheme="majorHAnsi"/>
        </w:rPr>
        <w:t>s</w:t>
      </w:r>
      <w:r w:rsidR="00555D0F" w:rsidRPr="00A11FE0">
        <w:rPr>
          <w:rFonts w:asciiTheme="majorHAnsi" w:hAnsiTheme="majorHAnsi"/>
        </w:rPr>
        <w:t>ektorom</w:t>
      </w:r>
      <w:r w:rsidR="00555D0F">
        <w:rPr>
          <w:rFonts w:asciiTheme="majorHAnsi" w:hAnsiTheme="majorHAnsi"/>
        </w:rPr>
        <w:t>.</w:t>
      </w:r>
    </w:p>
    <w:p w:rsidR="00D05829" w:rsidRPr="00A11FE0" w:rsidRDefault="00D05829" w:rsidP="00D05829">
      <w:pPr>
        <w:rPr>
          <w:rFonts w:asciiTheme="majorHAnsi" w:hAnsiTheme="majorHAnsi"/>
          <w:szCs w:val="22"/>
        </w:rPr>
      </w:pPr>
      <w:r w:rsidRPr="00A11FE0">
        <w:rPr>
          <w:rFonts w:asciiTheme="majorHAnsi" w:hAnsiTheme="majorHAnsi"/>
          <w:szCs w:val="22"/>
        </w:rPr>
        <w:t xml:space="preserve">V dôsledku vonkajších ekonomických vplyvov </w:t>
      </w:r>
      <w:r w:rsidR="00BD5FD5">
        <w:rPr>
          <w:rFonts w:asciiTheme="majorHAnsi" w:hAnsiTheme="majorHAnsi"/>
          <w:szCs w:val="22"/>
        </w:rPr>
        <w:t>a </w:t>
      </w:r>
      <w:r w:rsidRPr="00A11FE0">
        <w:rPr>
          <w:rFonts w:asciiTheme="majorHAnsi" w:hAnsiTheme="majorHAnsi"/>
          <w:szCs w:val="22"/>
        </w:rPr>
        <w:t xml:space="preserve">nízkej </w:t>
      </w:r>
      <w:r w:rsidR="00BD5FD5">
        <w:rPr>
          <w:rFonts w:asciiTheme="majorHAnsi" w:hAnsiTheme="majorHAnsi"/>
          <w:szCs w:val="22"/>
        </w:rPr>
        <w:t>k</w:t>
      </w:r>
      <w:r w:rsidRPr="00A11FE0">
        <w:rPr>
          <w:rFonts w:asciiTheme="majorHAnsi" w:hAnsiTheme="majorHAnsi"/>
          <w:szCs w:val="22"/>
        </w:rPr>
        <w:t xml:space="preserve">onkurenčnej </w:t>
      </w:r>
      <w:r w:rsidR="00BD5FD5">
        <w:rPr>
          <w:rFonts w:asciiTheme="majorHAnsi" w:hAnsiTheme="majorHAnsi"/>
          <w:szCs w:val="22"/>
        </w:rPr>
        <w:t>s</w:t>
      </w:r>
      <w:r w:rsidRPr="00A11FE0">
        <w:rPr>
          <w:rFonts w:asciiTheme="majorHAnsi" w:hAnsiTheme="majorHAnsi"/>
          <w:szCs w:val="22"/>
        </w:rPr>
        <w:t xml:space="preserve">chopnosti dochádza v poslednom období </w:t>
      </w:r>
      <w:r w:rsidR="00BD5FD5">
        <w:rPr>
          <w:rFonts w:asciiTheme="majorHAnsi" w:hAnsiTheme="majorHAnsi"/>
          <w:szCs w:val="22"/>
        </w:rPr>
        <w:t>k </w:t>
      </w:r>
      <w:r w:rsidRPr="00A11FE0">
        <w:rPr>
          <w:rFonts w:asciiTheme="majorHAnsi" w:hAnsiTheme="majorHAnsi"/>
          <w:szCs w:val="22"/>
        </w:rPr>
        <w:t>znižovaniu ziskovosti MSP</w:t>
      </w:r>
      <w:r w:rsidR="007656FA" w:rsidRPr="00A11FE0">
        <w:rPr>
          <w:rStyle w:val="Odkaznapoznmkupodiarou"/>
          <w:rFonts w:asciiTheme="majorHAnsi" w:hAnsiTheme="majorHAnsi"/>
          <w:szCs w:val="22"/>
        </w:rPr>
        <w:footnoteReference w:id="49"/>
      </w:r>
      <w:r w:rsidR="00AA4203" w:rsidRPr="00A11FE0">
        <w:rPr>
          <w:rFonts w:asciiTheme="majorHAnsi" w:hAnsiTheme="majorHAnsi"/>
          <w:szCs w:val="22"/>
        </w:rPr>
        <w:t>.</w:t>
      </w:r>
      <w:r w:rsidRPr="00A11FE0">
        <w:rPr>
          <w:rFonts w:asciiTheme="majorHAnsi" w:hAnsiTheme="majorHAnsi"/>
          <w:szCs w:val="22"/>
        </w:rPr>
        <w:t xml:space="preserve"> Významným problémom </w:t>
      </w:r>
      <w:r w:rsidR="007656FA" w:rsidRPr="00A11FE0">
        <w:rPr>
          <w:rFonts w:asciiTheme="majorHAnsi" w:hAnsiTheme="majorHAnsi"/>
          <w:szCs w:val="22"/>
        </w:rPr>
        <w:t>v</w:t>
      </w:r>
      <w:r w:rsidR="00B372F5">
        <w:rPr>
          <w:rFonts w:asciiTheme="majorHAnsi" w:hAnsiTheme="majorHAnsi"/>
          <w:szCs w:val="22"/>
        </w:rPr>
        <w:t> </w:t>
      </w:r>
      <w:r w:rsidR="00BD5FD5">
        <w:rPr>
          <w:rFonts w:asciiTheme="majorHAnsi" w:hAnsiTheme="majorHAnsi"/>
          <w:szCs w:val="22"/>
        </w:rPr>
        <w:t>S</w:t>
      </w:r>
      <w:r w:rsidR="007656FA" w:rsidRPr="00A11FE0">
        <w:rPr>
          <w:rFonts w:asciiTheme="majorHAnsi" w:hAnsiTheme="majorHAnsi"/>
          <w:szCs w:val="22"/>
        </w:rPr>
        <w:t>R</w:t>
      </w:r>
      <w:r w:rsidR="00B372F5">
        <w:rPr>
          <w:rFonts w:asciiTheme="majorHAnsi" w:hAnsiTheme="majorHAnsi"/>
          <w:szCs w:val="22"/>
        </w:rPr>
        <w:t xml:space="preserve"> </w:t>
      </w:r>
      <w:r w:rsidRPr="00A11FE0">
        <w:rPr>
          <w:rFonts w:asciiTheme="majorHAnsi" w:hAnsiTheme="majorHAnsi"/>
          <w:szCs w:val="22"/>
        </w:rPr>
        <w:t>je druhotná platobná neschopnosť.</w:t>
      </w:r>
      <w:r w:rsidR="00432037" w:rsidRPr="00A11FE0">
        <w:rPr>
          <w:rFonts w:asciiTheme="majorHAnsi" w:hAnsiTheme="majorHAnsi"/>
          <w:szCs w:val="22"/>
        </w:rPr>
        <w:t xml:space="preserve"> </w:t>
      </w:r>
      <w:r w:rsidRPr="00A11FE0">
        <w:rPr>
          <w:rFonts w:asciiTheme="majorHAnsi" w:hAnsiTheme="majorHAnsi"/>
          <w:szCs w:val="22"/>
        </w:rPr>
        <w:t xml:space="preserve">Pri zohľadnení ukazovateľa likvidita II. </w:t>
      </w:r>
      <w:r w:rsidR="00BD5FD5">
        <w:rPr>
          <w:rFonts w:asciiTheme="majorHAnsi" w:hAnsiTheme="majorHAnsi"/>
          <w:szCs w:val="22"/>
        </w:rPr>
        <w:t>s</w:t>
      </w:r>
      <w:r w:rsidRPr="00A11FE0">
        <w:rPr>
          <w:rFonts w:asciiTheme="majorHAnsi" w:hAnsiTheme="majorHAnsi"/>
          <w:szCs w:val="22"/>
        </w:rPr>
        <w:t>tupňa</w:t>
      </w:r>
      <w:r w:rsidRPr="00A11FE0">
        <w:rPr>
          <w:rFonts w:asciiTheme="majorHAnsi" w:hAnsiTheme="majorHAnsi"/>
          <w:szCs w:val="22"/>
          <w:vertAlign w:val="superscript"/>
        </w:rPr>
        <w:footnoteReference w:id="50"/>
      </w:r>
      <w:r w:rsidR="001E67EA">
        <w:rPr>
          <w:rFonts w:asciiTheme="majorHAnsi" w:hAnsiTheme="majorHAnsi"/>
          <w:szCs w:val="22"/>
        </w:rPr>
        <w:t>,</w:t>
      </w:r>
      <w:r w:rsidRPr="00A11FE0">
        <w:rPr>
          <w:rFonts w:asciiTheme="majorHAnsi" w:hAnsiTheme="majorHAnsi"/>
          <w:szCs w:val="22"/>
        </w:rPr>
        <w:t xml:space="preserve"> zaznamenali MSP v r</w:t>
      </w:r>
      <w:r w:rsidR="00E83AD1">
        <w:rPr>
          <w:rFonts w:asciiTheme="majorHAnsi" w:hAnsiTheme="majorHAnsi"/>
          <w:szCs w:val="22"/>
        </w:rPr>
        <w:t>oku</w:t>
      </w:r>
      <w:r w:rsidR="00634E2E" w:rsidRPr="00A11FE0">
        <w:rPr>
          <w:rFonts w:asciiTheme="majorHAnsi" w:hAnsiTheme="majorHAnsi"/>
          <w:szCs w:val="22"/>
        </w:rPr>
        <w:t xml:space="preserve"> </w:t>
      </w:r>
      <w:r w:rsidRPr="00A11FE0">
        <w:rPr>
          <w:rFonts w:asciiTheme="majorHAnsi" w:hAnsiTheme="majorHAnsi"/>
          <w:szCs w:val="22"/>
        </w:rPr>
        <w:t>2011</w:t>
      </w:r>
      <w:r w:rsidRPr="00A11FE0">
        <w:rPr>
          <w:rFonts w:asciiTheme="majorHAnsi" w:hAnsiTheme="majorHAnsi"/>
          <w:szCs w:val="22"/>
          <w:vertAlign w:val="superscript"/>
        </w:rPr>
        <w:footnoteReference w:id="51"/>
      </w:r>
      <w:r w:rsidRPr="00A11FE0">
        <w:rPr>
          <w:rFonts w:asciiTheme="majorHAnsi" w:hAnsiTheme="majorHAnsi"/>
          <w:szCs w:val="22"/>
        </w:rPr>
        <w:t xml:space="preserve"> veľký prepad v oblasti uhrádzania </w:t>
      </w:r>
      <w:r w:rsidR="00BD5FD5">
        <w:rPr>
          <w:rFonts w:asciiTheme="majorHAnsi" w:hAnsiTheme="majorHAnsi"/>
          <w:szCs w:val="22"/>
        </w:rPr>
        <w:t>k</w:t>
      </w:r>
      <w:r w:rsidRPr="00A11FE0">
        <w:rPr>
          <w:rFonts w:asciiTheme="majorHAnsi" w:hAnsiTheme="majorHAnsi"/>
          <w:szCs w:val="22"/>
        </w:rPr>
        <w:t>rátkodobých záväzkov.</w:t>
      </w:r>
    </w:p>
    <w:p w:rsidR="00D05829" w:rsidRPr="00A11FE0" w:rsidRDefault="00D05829" w:rsidP="00E83AD1">
      <w:pPr>
        <w:tabs>
          <w:tab w:val="left" w:pos="4820"/>
        </w:tabs>
        <w:spacing w:before="0" w:after="0"/>
        <w:rPr>
          <w:rFonts w:asciiTheme="majorHAnsi" w:hAnsiTheme="majorHAnsi"/>
          <w:szCs w:val="22"/>
        </w:rPr>
      </w:pPr>
      <w:r w:rsidRPr="00A11FE0">
        <w:rPr>
          <w:rFonts w:asciiTheme="majorHAnsi" w:hAnsiTheme="majorHAnsi"/>
          <w:szCs w:val="22"/>
        </w:rPr>
        <w:t xml:space="preserve">Okrem globálnych vplyvov </w:t>
      </w:r>
      <w:r w:rsidR="00BD5FD5">
        <w:rPr>
          <w:rFonts w:asciiTheme="majorHAnsi" w:hAnsiTheme="majorHAnsi"/>
          <w:szCs w:val="22"/>
        </w:rPr>
        <w:t>k</w:t>
      </w:r>
      <w:r w:rsidRPr="00A11FE0">
        <w:rPr>
          <w:rFonts w:asciiTheme="majorHAnsi" w:hAnsiTheme="majorHAnsi"/>
          <w:szCs w:val="22"/>
        </w:rPr>
        <w:t xml:space="preserve">rízy </w:t>
      </w:r>
      <w:r w:rsidR="00BD5FD5">
        <w:rPr>
          <w:rFonts w:asciiTheme="majorHAnsi" w:hAnsiTheme="majorHAnsi"/>
          <w:szCs w:val="22"/>
        </w:rPr>
        <w:t>a</w:t>
      </w:r>
      <w:r w:rsidRPr="00A11FE0">
        <w:rPr>
          <w:rFonts w:asciiTheme="majorHAnsi" w:hAnsiTheme="majorHAnsi"/>
          <w:szCs w:val="22"/>
        </w:rPr>
        <w:t xml:space="preserve"> poklesu dopytu je </w:t>
      </w:r>
      <w:r w:rsidR="00BD5FD5">
        <w:rPr>
          <w:rFonts w:asciiTheme="majorHAnsi" w:hAnsiTheme="majorHAnsi"/>
          <w:szCs w:val="22"/>
        </w:rPr>
        <w:t>k</w:t>
      </w:r>
      <w:r w:rsidRPr="00A11FE0">
        <w:rPr>
          <w:rFonts w:asciiTheme="majorHAnsi" w:hAnsiTheme="majorHAnsi"/>
          <w:szCs w:val="22"/>
        </w:rPr>
        <w:t xml:space="preserve">ľúčovým problémom nízkej </w:t>
      </w:r>
      <w:r w:rsidR="00BD5FD5">
        <w:rPr>
          <w:rFonts w:asciiTheme="majorHAnsi" w:hAnsiTheme="majorHAnsi"/>
          <w:szCs w:val="22"/>
        </w:rPr>
        <w:t>k</w:t>
      </w:r>
      <w:r w:rsidRPr="00A11FE0">
        <w:rPr>
          <w:rFonts w:asciiTheme="majorHAnsi" w:hAnsiTheme="majorHAnsi"/>
          <w:szCs w:val="22"/>
        </w:rPr>
        <w:t>onkurencieschopnosti MSP v </w:t>
      </w:r>
      <w:r w:rsidR="00BD5FD5">
        <w:rPr>
          <w:rFonts w:asciiTheme="majorHAnsi" w:hAnsiTheme="majorHAnsi"/>
          <w:szCs w:val="22"/>
        </w:rPr>
        <w:t>S</w:t>
      </w:r>
      <w:r w:rsidRPr="00A11FE0">
        <w:rPr>
          <w:rFonts w:asciiTheme="majorHAnsi" w:hAnsiTheme="majorHAnsi"/>
          <w:szCs w:val="22"/>
        </w:rPr>
        <w:t xml:space="preserve">R nízka inovačná </w:t>
      </w:r>
      <w:r w:rsidR="00BD5FD5">
        <w:rPr>
          <w:rFonts w:asciiTheme="majorHAnsi" w:hAnsiTheme="majorHAnsi"/>
          <w:szCs w:val="22"/>
        </w:rPr>
        <w:t>ak</w:t>
      </w:r>
      <w:r w:rsidRPr="00A11FE0">
        <w:rPr>
          <w:rFonts w:asciiTheme="majorHAnsi" w:hAnsiTheme="majorHAnsi"/>
          <w:szCs w:val="22"/>
        </w:rPr>
        <w:t>tivita daná</w:t>
      </w:r>
      <w:r w:rsidR="00477A19" w:rsidRPr="00A11FE0">
        <w:rPr>
          <w:rFonts w:asciiTheme="majorHAnsi" w:hAnsiTheme="majorHAnsi"/>
          <w:szCs w:val="22"/>
        </w:rPr>
        <w:t xml:space="preserve"> </w:t>
      </w:r>
      <w:r w:rsidRPr="00A11FE0">
        <w:rPr>
          <w:rFonts w:asciiTheme="majorHAnsi" w:hAnsiTheme="majorHAnsi"/>
          <w:szCs w:val="22"/>
        </w:rPr>
        <w:t xml:space="preserve">bariérami rozvoja MSP vo väzbe na </w:t>
      </w:r>
      <w:r w:rsidRPr="00A11FE0">
        <w:rPr>
          <w:rFonts w:asciiTheme="majorHAnsi" w:hAnsiTheme="majorHAnsi"/>
          <w:szCs w:val="22"/>
        </w:rPr>
        <w:lastRenderedPageBreak/>
        <w:t>zavádzanie inovácií</w:t>
      </w:r>
      <w:r w:rsidRPr="00A11FE0">
        <w:rPr>
          <w:rStyle w:val="Odkaznapoznmkupodiarou"/>
          <w:rFonts w:asciiTheme="majorHAnsi" w:hAnsiTheme="majorHAnsi"/>
          <w:szCs w:val="22"/>
        </w:rPr>
        <w:footnoteReference w:id="52"/>
      </w:r>
      <w:r w:rsidR="00477A19" w:rsidRPr="00A11FE0">
        <w:rPr>
          <w:rFonts w:asciiTheme="majorHAnsi" w:hAnsiTheme="majorHAnsi"/>
          <w:szCs w:val="22"/>
        </w:rPr>
        <w:t xml:space="preserve"> </w:t>
      </w:r>
      <w:r w:rsidR="00BD5FD5">
        <w:rPr>
          <w:rFonts w:asciiTheme="majorHAnsi" w:hAnsiTheme="majorHAnsi"/>
          <w:szCs w:val="22"/>
        </w:rPr>
        <w:t>a</w:t>
      </w:r>
      <w:r w:rsidR="00494438">
        <w:rPr>
          <w:rFonts w:asciiTheme="majorHAnsi" w:hAnsiTheme="majorHAnsi"/>
          <w:szCs w:val="22"/>
        </w:rPr>
        <w:t> </w:t>
      </w:r>
      <w:r w:rsidRPr="00A11FE0">
        <w:rPr>
          <w:rFonts w:asciiTheme="majorHAnsi" w:hAnsiTheme="majorHAnsi"/>
          <w:szCs w:val="22"/>
        </w:rPr>
        <w:t>nízk</w:t>
      </w:r>
      <w:r w:rsidR="00691C20">
        <w:rPr>
          <w:rFonts w:asciiTheme="majorHAnsi" w:hAnsiTheme="majorHAnsi"/>
          <w:szCs w:val="22"/>
        </w:rPr>
        <w:t>a</w:t>
      </w:r>
      <w:r w:rsidR="00494438">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ystémov</w:t>
      </w:r>
      <w:r w:rsidR="00691C20">
        <w:rPr>
          <w:rFonts w:asciiTheme="majorHAnsi" w:hAnsiTheme="majorHAnsi"/>
          <w:szCs w:val="22"/>
        </w:rPr>
        <w:t xml:space="preserve">á </w:t>
      </w:r>
      <w:r w:rsidRPr="00A11FE0">
        <w:rPr>
          <w:rFonts w:asciiTheme="majorHAnsi" w:hAnsiTheme="majorHAnsi"/>
          <w:szCs w:val="22"/>
        </w:rPr>
        <w:t>podpor</w:t>
      </w:r>
      <w:r w:rsidR="00691C20">
        <w:rPr>
          <w:rFonts w:asciiTheme="majorHAnsi" w:hAnsiTheme="majorHAnsi"/>
          <w:szCs w:val="22"/>
        </w:rPr>
        <w:t>a</w:t>
      </w:r>
      <w:r w:rsidRPr="00A11FE0">
        <w:rPr>
          <w:rFonts w:asciiTheme="majorHAnsi" w:hAnsiTheme="majorHAnsi"/>
          <w:szCs w:val="22"/>
        </w:rPr>
        <w:t xml:space="preserve"> MSP</w:t>
      </w:r>
      <w:r w:rsidR="00691C20">
        <w:rPr>
          <w:rFonts w:asciiTheme="majorHAnsi" w:hAnsiTheme="majorHAnsi"/>
          <w:szCs w:val="22"/>
        </w:rPr>
        <w:t xml:space="preserve"> v dôsledku nedostatočného aplikovania princípov SBA</w:t>
      </w:r>
      <w:r w:rsidR="009A4E62">
        <w:rPr>
          <w:rFonts w:asciiTheme="majorHAnsi" w:hAnsiTheme="majorHAnsi"/>
          <w:szCs w:val="22"/>
        </w:rPr>
        <w:t>.</w:t>
      </w:r>
    </w:p>
    <w:p w:rsidR="00830EB9" w:rsidRPr="004C44DA" w:rsidRDefault="002B3FA0">
      <w:pPr>
        <w:rPr>
          <w:rFonts w:asciiTheme="majorHAnsi" w:hAnsiTheme="majorHAnsi"/>
          <w:szCs w:val="22"/>
        </w:rPr>
      </w:pPr>
      <w:r>
        <w:rPr>
          <w:noProof/>
          <w:lang w:eastAsia="sk-SK"/>
        </w:rPr>
        <w:drawing>
          <wp:anchor distT="0" distB="0" distL="114300" distR="114300" simplePos="0" relativeHeight="251779072" behindDoc="0" locked="0" layoutInCell="1" allowOverlap="1" wp14:anchorId="6C675F09" wp14:editId="54B5D414">
            <wp:simplePos x="0" y="0"/>
            <wp:positionH relativeFrom="column">
              <wp:posOffset>3210560</wp:posOffset>
            </wp:positionH>
            <wp:positionV relativeFrom="paragraph">
              <wp:posOffset>-271145</wp:posOffset>
            </wp:positionV>
            <wp:extent cx="2685415" cy="1313180"/>
            <wp:effectExtent l="0" t="0" r="635" b="1270"/>
            <wp:wrapSquare wrapText="bothSides"/>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l="3122" t="3453" r="2132" b="4231"/>
                    <a:stretch>
                      <a:fillRect/>
                    </a:stretch>
                  </pic:blipFill>
                  <pic:spPr bwMode="auto">
                    <a:xfrm>
                      <a:off x="0" y="0"/>
                      <a:ext cx="2685415" cy="131318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829" w:rsidRPr="00A11FE0">
        <w:rPr>
          <w:rFonts w:asciiTheme="majorHAnsi" w:hAnsiTheme="majorHAnsi"/>
          <w:szCs w:val="22"/>
        </w:rPr>
        <w:t>Potrebu inovovať</w:t>
      </w:r>
      <w:r w:rsidR="001E67EA">
        <w:rPr>
          <w:rFonts w:asciiTheme="majorHAnsi" w:hAnsiTheme="majorHAnsi"/>
          <w:szCs w:val="22"/>
        </w:rPr>
        <w:t>,</w:t>
      </w:r>
      <w:r w:rsidR="00D05829" w:rsidRPr="00A11FE0">
        <w:rPr>
          <w:rFonts w:asciiTheme="majorHAnsi" w:hAnsiTheme="majorHAnsi"/>
          <w:szCs w:val="22"/>
        </w:rPr>
        <w:t xml:space="preserve"> </w:t>
      </w:r>
      <w:r w:rsidR="00BD5FD5">
        <w:rPr>
          <w:rFonts w:asciiTheme="majorHAnsi" w:hAnsiTheme="majorHAnsi"/>
          <w:szCs w:val="22"/>
        </w:rPr>
        <w:t>ak</w:t>
      </w:r>
      <w:r w:rsidR="00D05829" w:rsidRPr="00A11FE0">
        <w:rPr>
          <w:rFonts w:asciiTheme="majorHAnsi" w:hAnsiTheme="majorHAnsi"/>
          <w:szCs w:val="22"/>
        </w:rPr>
        <w:t xml:space="preserve">o predpoklad dlhodobej </w:t>
      </w:r>
      <w:r w:rsidR="00BD5FD5">
        <w:rPr>
          <w:rFonts w:asciiTheme="majorHAnsi" w:hAnsiTheme="majorHAnsi"/>
          <w:szCs w:val="22"/>
        </w:rPr>
        <w:t>k</w:t>
      </w:r>
      <w:r w:rsidR="00D05829" w:rsidRPr="00A11FE0">
        <w:rPr>
          <w:rFonts w:asciiTheme="majorHAnsi" w:hAnsiTheme="majorHAnsi"/>
          <w:szCs w:val="22"/>
        </w:rPr>
        <w:t>onkurencieschopnosti</w:t>
      </w:r>
      <w:r w:rsidR="008F1FDB" w:rsidRPr="00A11FE0">
        <w:rPr>
          <w:rFonts w:asciiTheme="majorHAnsi" w:hAnsiTheme="majorHAnsi"/>
          <w:szCs w:val="22"/>
        </w:rPr>
        <w:t>,</w:t>
      </w:r>
      <w:r w:rsidR="00D05829" w:rsidRPr="00A11FE0">
        <w:rPr>
          <w:rFonts w:asciiTheme="majorHAnsi" w:hAnsiTheme="majorHAnsi"/>
          <w:szCs w:val="22"/>
        </w:rPr>
        <w:t xml:space="preserve"> </w:t>
      </w:r>
      <w:r w:rsidR="00BD5FD5">
        <w:rPr>
          <w:rFonts w:asciiTheme="majorHAnsi" w:hAnsiTheme="majorHAnsi"/>
          <w:szCs w:val="22"/>
        </w:rPr>
        <w:t>s</w:t>
      </w:r>
      <w:r w:rsidR="00D05829" w:rsidRPr="00A11FE0">
        <w:rPr>
          <w:rFonts w:asciiTheme="majorHAnsi" w:hAnsiTheme="majorHAnsi"/>
          <w:szCs w:val="22"/>
        </w:rPr>
        <w:t>i väčšina začínajúcich MSP neuvedomuje</w:t>
      </w:r>
      <w:r w:rsidR="00D05829" w:rsidRPr="00A11FE0">
        <w:rPr>
          <w:rStyle w:val="Odkaznapoznmkupodiarou"/>
          <w:rFonts w:asciiTheme="majorHAnsi" w:hAnsiTheme="majorHAnsi"/>
          <w:szCs w:val="22"/>
        </w:rPr>
        <w:footnoteReference w:id="53"/>
      </w:r>
      <w:r w:rsidR="00D05829" w:rsidRPr="00A11FE0">
        <w:rPr>
          <w:rFonts w:asciiTheme="majorHAnsi" w:hAnsiTheme="majorHAnsi"/>
          <w:szCs w:val="22"/>
        </w:rPr>
        <w:t>, preto veľa z</w:t>
      </w:r>
      <w:r w:rsidR="009A4E62">
        <w:rPr>
          <w:rFonts w:asciiTheme="majorHAnsi" w:hAnsiTheme="majorHAnsi"/>
          <w:szCs w:val="22"/>
        </w:rPr>
        <w:t> </w:t>
      </w:r>
      <w:r w:rsidR="00D05829" w:rsidRPr="00A11FE0">
        <w:rPr>
          <w:rFonts w:asciiTheme="majorHAnsi" w:hAnsiTheme="majorHAnsi"/>
          <w:szCs w:val="22"/>
        </w:rPr>
        <w:t>nich</w:t>
      </w:r>
      <w:r w:rsidR="009A4E62">
        <w:rPr>
          <w:rFonts w:asciiTheme="majorHAnsi" w:hAnsiTheme="majorHAnsi"/>
          <w:szCs w:val="22"/>
        </w:rPr>
        <w:t xml:space="preserve"> </w:t>
      </w:r>
      <w:r w:rsidR="00D05829" w:rsidRPr="00A11FE0">
        <w:rPr>
          <w:rFonts w:asciiTheme="majorHAnsi" w:hAnsiTheme="majorHAnsi"/>
          <w:szCs w:val="22"/>
        </w:rPr>
        <w:t xml:space="preserve">po </w:t>
      </w:r>
      <w:r w:rsidR="00BD5FD5">
        <w:rPr>
          <w:rFonts w:asciiTheme="majorHAnsi" w:hAnsiTheme="majorHAnsi"/>
          <w:szCs w:val="22"/>
        </w:rPr>
        <w:t>s</w:t>
      </w:r>
      <w:r w:rsidR="00D05829" w:rsidRPr="00A11FE0">
        <w:rPr>
          <w:rFonts w:asciiTheme="majorHAnsi" w:hAnsiTheme="majorHAnsi"/>
          <w:szCs w:val="22"/>
        </w:rPr>
        <w:t>končení „novosti</w:t>
      </w:r>
      <w:r w:rsidR="006F3F25" w:rsidRPr="00A11FE0">
        <w:rPr>
          <w:rFonts w:asciiTheme="majorHAnsi" w:hAnsiTheme="majorHAnsi"/>
          <w:szCs w:val="22"/>
        </w:rPr>
        <w:t>“</w:t>
      </w:r>
      <w:r w:rsidR="00D05829" w:rsidRPr="00A11FE0">
        <w:rPr>
          <w:rFonts w:asciiTheme="majorHAnsi" w:hAnsiTheme="majorHAnsi"/>
          <w:szCs w:val="22"/>
        </w:rPr>
        <w:t xml:space="preserve"> ich </w:t>
      </w:r>
      <w:r w:rsidR="00D05829" w:rsidRPr="004C44DA">
        <w:rPr>
          <w:rFonts w:asciiTheme="majorHAnsi" w:hAnsiTheme="majorHAnsi"/>
          <w:szCs w:val="22"/>
        </w:rPr>
        <w:t>produktov úplne zaniká</w:t>
      </w:r>
      <w:r w:rsidR="001E67EA">
        <w:rPr>
          <w:rFonts w:asciiTheme="majorHAnsi" w:hAnsiTheme="majorHAnsi"/>
          <w:szCs w:val="22"/>
        </w:rPr>
        <w:t>,</w:t>
      </w:r>
      <w:r w:rsidR="00D05829" w:rsidRPr="004C44DA">
        <w:rPr>
          <w:rFonts w:asciiTheme="majorHAnsi" w:hAnsiTheme="majorHAnsi"/>
          <w:szCs w:val="22"/>
        </w:rPr>
        <w:t xml:space="preserve"> </w:t>
      </w:r>
      <w:r w:rsidR="00BD5FD5" w:rsidRPr="004C44DA">
        <w:rPr>
          <w:rFonts w:asciiTheme="majorHAnsi" w:hAnsiTheme="majorHAnsi"/>
          <w:szCs w:val="22"/>
        </w:rPr>
        <w:t>a</w:t>
      </w:r>
      <w:r w:rsidR="00D05829" w:rsidRPr="004C44DA">
        <w:rPr>
          <w:rFonts w:asciiTheme="majorHAnsi" w:hAnsiTheme="majorHAnsi"/>
          <w:szCs w:val="22"/>
        </w:rPr>
        <w:t xml:space="preserve">lebo musí hľadať nový predmet podnikania. </w:t>
      </w:r>
      <w:r w:rsidR="00BD5FD5" w:rsidRPr="004C44DA">
        <w:rPr>
          <w:rFonts w:asciiTheme="majorHAnsi" w:hAnsiTheme="majorHAnsi"/>
        </w:rPr>
        <w:t>S</w:t>
      </w:r>
      <w:r w:rsidR="008F1FDB" w:rsidRPr="004C44DA">
        <w:rPr>
          <w:rFonts w:asciiTheme="majorHAnsi" w:hAnsiTheme="majorHAnsi"/>
        </w:rPr>
        <w:t xml:space="preserve">R </w:t>
      </w:r>
      <w:r w:rsidR="00D05829" w:rsidRPr="004C44DA">
        <w:rPr>
          <w:rFonts w:asciiTheme="majorHAnsi" w:hAnsiTheme="majorHAnsi"/>
        </w:rPr>
        <w:t xml:space="preserve">patrí </w:t>
      </w:r>
      <w:r w:rsidR="00D05829" w:rsidRPr="004C44DA">
        <w:rPr>
          <w:rFonts w:asciiTheme="majorHAnsi" w:hAnsiTheme="majorHAnsi"/>
          <w:szCs w:val="22"/>
        </w:rPr>
        <w:t xml:space="preserve">medzi </w:t>
      </w:r>
      <w:r w:rsidR="00BD5FD5" w:rsidRPr="004C44DA">
        <w:rPr>
          <w:rFonts w:asciiTheme="majorHAnsi" w:hAnsiTheme="majorHAnsi"/>
          <w:szCs w:val="22"/>
        </w:rPr>
        <w:t>k</w:t>
      </w:r>
      <w:r w:rsidR="00D05829" w:rsidRPr="004C44DA">
        <w:rPr>
          <w:rFonts w:asciiTheme="majorHAnsi" w:hAnsiTheme="majorHAnsi"/>
          <w:szCs w:val="22"/>
        </w:rPr>
        <w:t xml:space="preserve">rajiny </w:t>
      </w:r>
      <w:r w:rsidR="00BD5FD5" w:rsidRPr="004C44DA">
        <w:rPr>
          <w:rFonts w:asciiTheme="majorHAnsi" w:hAnsiTheme="majorHAnsi"/>
          <w:szCs w:val="22"/>
        </w:rPr>
        <w:t>s </w:t>
      </w:r>
      <w:r w:rsidR="00D05829" w:rsidRPr="004C44DA">
        <w:rPr>
          <w:rFonts w:asciiTheme="majorHAnsi" w:hAnsiTheme="majorHAnsi"/>
          <w:szCs w:val="22"/>
        </w:rPr>
        <w:t xml:space="preserve">nadpriemerným podielom vzniknutých </w:t>
      </w:r>
      <w:r w:rsidR="00BD5FD5" w:rsidRPr="004C44DA">
        <w:rPr>
          <w:rFonts w:asciiTheme="majorHAnsi" w:hAnsiTheme="majorHAnsi"/>
          <w:szCs w:val="22"/>
        </w:rPr>
        <w:t>a </w:t>
      </w:r>
      <w:r w:rsidR="00D05829" w:rsidRPr="004C44DA">
        <w:rPr>
          <w:rFonts w:asciiTheme="majorHAnsi" w:hAnsiTheme="majorHAnsi"/>
          <w:szCs w:val="22"/>
        </w:rPr>
        <w:t xml:space="preserve">zaniknutých </w:t>
      </w:r>
      <w:r w:rsidR="00BD5FD5" w:rsidRPr="004C44DA">
        <w:rPr>
          <w:rFonts w:asciiTheme="majorHAnsi" w:hAnsiTheme="majorHAnsi"/>
          <w:szCs w:val="22"/>
        </w:rPr>
        <w:t>s</w:t>
      </w:r>
      <w:r w:rsidR="00D05829" w:rsidRPr="004C44DA">
        <w:rPr>
          <w:rFonts w:asciiTheme="majorHAnsi" w:hAnsiTheme="majorHAnsi"/>
          <w:szCs w:val="22"/>
        </w:rPr>
        <w:t xml:space="preserve">ubjektov </w:t>
      </w:r>
      <w:r w:rsidR="00BD5FD5" w:rsidRPr="004C44DA">
        <w:rPr>
          <w:rFonts w:asciiTheme="majorHAnsi" w:hAnsiTheme="majorHAnsi"/>
          <w:szCs w:val="22"/>
        </w:rPr>
        <w:t>a </w:t>
      </w:r>
      <w:r w:rsidR="00D05829" w:rsidRPr="004C44DA">
        <w:rPr>
          <w:rFonts w:asciiTheme="majorHAnsi" w:hAnsiTheme="majorHAnsi"/>
          <w:szCs w:val="22"/>
        </w:rPr>
        <w:t xml:space="preserve">zároveň medzi </w:t>
      </w:r>
      <w:r w:rsidR="00BD5FD5" w:rsidRPr="004C44DA">
        <w:rPr>
          <w:rFonts w:asciiTheme="majorHAnsi" w:hAnsiTheme="majorHAnsi"/>
          <w:szCs w:val="22"/>
        </w:rPr>
        <w:t>k</w:t>
      </w:r>
      <w:r w:rsidR="00D05829" w:rsidRPr="004C44DA">
        <w:rPr>
          <w:rFonts w:asciiTheme="majorHAnsi" w:hAnsiTheme="majorHAnsi"/>
          <w:szCs w:val="22"/>
        </w:rPr>
        <w:t xml:space="preserve">rajiny </w:t>
      </w:r>
      <w:r w:rsidR="00BD5FD5" w:rsidRPr="004C44DA">
        <w:rPr>
          <w:rFonts w:asciiTheme="majorHAnsi" w:hAnsiTheme="majorHAnsi"/>
          <w:szCs w:val="22"/>
        </w:rPr>
        <w:t>s </w:t>
      </w:r>
      <w:r w:rsidR="00D05829" w:rsidRPr="004C44DA">
        <w:rPr>
          <w:rFonts w:asciiTheme="majorHAnsi" w:hAnsiTheme="majorHAnsi"/>
          <w:szCs w:val="22"/>
        </w:rPr>
        <w:t xml:space="preserve">najnižšou mierou prežitia novovzniknutých </w:t>
      </w:r>
      <w:r w:rsidR="00BD5FD5" w:rsidRPr="004C44DA">
        <w:rPr>
          <w:rFonts w:asciiTheme="majorHAnsi" w:hAnsiTheme="majorHAnsi"/>
          <w:szCs w:val="22"/>
        </w:rPr>
        <w:t>s</w:t>
      </w:r>
      <w:r w:rsidR="00D05829" w:rsidRPr="004C44DA">
        <w:rPr>
          <w:rFonts w:asciiTheme="majorHAnsi" w:hAnsiTheme="majorHAnsi"/>
          <w:szCs w:val="22"/>
        </w:rPr>
        <w:t>ubjektov</w:t>
      </w:r>
      <w:r w:rsidR="00D05829" w:rsidRPr="004C44DA">
        <w:rPr>
          <w:rFonts w:asciiTheme="majorHAnsi" w:hAnsiTheme="majorHAnsi"/>
          <w:szCs w:val="22"/>
          <w:vertAlign w:val="superscript"/>
        </w:rPr>
        <w:footnoteReference w:id="54"/>
      </w:r>
      <w:r w:rsidR="004C0E67" w:rsidRPr="004C44DA">
        <w:rPr>
          <w:rFonts w:asciiTheme="majorHAnsi" w:hAnsiTheme="majorHAnsi"/>
          <w:szCs w:val="22"/>
        </w:rPr>
        <w:t xml:space="preserve">. Podľa </w:t>
      </w:r>
      <w:r w:rsidR="001E67EA">
        <w:rPr>
          <w:rFonts w:asciiTheme="majorHAnsi" w:hAnsiTheme="majorHAnsi"/>
          <w:szCs w:val="22"/>
        </w:rPr>
        <w:t xml:space="preserve">vykonaného </w:t>
      </w:r>
      <w:r w:rsidR="00D05829" w:rsidRPr="004C44DA">
        <w:rPr>
          <w:rFonts w:asciiTheme="majorHAnsi" w:hAnsiTheme="majorHAnsi"/>
          <w:szCs w:val="22"/>
        </w:rPr>
        <w:t>priesku</w:t>
      </w:r>
      <w:r w:rsidR="004C0E67" w:rsidRPr="004C44DA">
        <w:rPr>
          <w:rFonts w:asciiTheme="majorHAnsi" w:hAnsiTheme="majorHAnsi"/>
          <w:szCs w:val="22"/>
        </w:rPr>
        <w:t>mu</w:t>
      </w:r>
      <w:r w:rsidR="00D05829" w:rsidRPr="004C44DA">
        <w:rPr>
          <w:rFonts w:asciiTheme="majorHAnsi" w:hAnsiTheme="majorHAnsi"/>
          <w:szCs w:val="22"/>
        </w:rPr>
        <w:t xml:space="preserve"> viac </w:t>
      </w:r>
      <w:r w:rsidR="00BD5FD5" w:rsidRPr="004C44DA">
        <w:rPr>
          <w:rFonts w:asciiTheme="majorHAnsi" w:hAnsiTheme="majorHAnsi"/>
          <w:szCs w:val="22"/>
        </w:rPr>
        <w:t>ak</w:t>
      </w:r>
      <w:r w:rsidR="00D05829" w:rsidRPr="004C44DA">
        <w:rPr>
          <w:rFonts w:asciiTheme="majorHAnsi" w:hAnsiTheme="majorHAnsi"/>
          <w:szCs w:val="22"/>
        </w:rPr>
        <w:t xml:space="preserve">o 4/5 podnikov investovalo do výskumných </w:t>
      </w:r>
      <w:r w:rsidR="00BD5FD5" w:rsidRPr="004C44DA">
        <w:rPr>
          <w:rFonts w:asciiTheme="majorHAnsi" w:hAnsiTheme="majorHAnsi"/>
          <w:szCs w:val="22"/>
        </w:rPr>
        <w:t>a</w:t>
      </w:r>
      <w:r w:rsidR="00D05829" w:rsidRPr="004C44DA">
        <w:rPr>
          <w:rFonts w:asciiTheme="majorHAnsi" w:hAnsiTheme="majorHAnsi"/>
          <w:szCs w:val="22"/>
        </w:rPr>
        <w:t xml:space="preserve"> inovačných </w:t>
      </w:r>
      <w:r w:rsidR="00BD5FD5" w:rsidRPr="004C44DA">
        <w:rPr>
          <w:rFonts w:asciiTheme="majorHAnsi" w:hAnsiTheme="majorHAnsi"/>
          <w:szCs w:val="22"/>
        </w:rPr>
        <w:t>ak</w:t>
      </w:r>
      <w:r w:rsidR="00D05829" w:rsidRPr="004C44DA">
        <w:rPr>
          <w:rFonts w:asciiTheme="majorHAnsi" w:hAnsiTheme="majorHAnsi"/>
          <w:szCs w:val="22"/>
        </w:rPr>
        <w:t xml:space="preserve">tivít menej </w:t>
      </w:r>
      <w:r w:rsidR="00BD5FD5" w:rsidRPr="004C44DA">
        <w:rPr>
          <w:rFonts w:asciiTheme="majorHAnsi" w:hAnsiTheme="majorHAnsi"/>
          <w:szCs w:val="22"/>
        </w:rPr>
        <w:t>ak</w:t>
      </w:r>
      <w:r w:rsidR="00D05829" w:rsidRPr="004C44DA">
        <w:rPr>
          <w:rFonts w:asciiTheme="majorHAnsi" w:hAnsiTheme="majorHAnsi"/>
          <w:szCs w:val="22"/>
        </w:rPr>
        <w:t>o 10</w:t>
      </w:r>
      <w:r w:rsidR="00827499" w:rsidRPr="004C44DA">
        <w:rPr>
          <w:rFonts w:asciiTheme="majorHAnsi" w:hAnsiTheme="majorHAnsi"/>
          <w:szCs w:val="22"/>
        </w:rPr>
        <w:t xml:space="preserve"> </w:t>
      </w:r>
      <w:r w:rsidR="00D05829" w:rsidRPr="004C44DA">
        <w:rPr>
          <w:rFonts w:asciiTheme="majorHAnsi" w:hAnsiTheme="majorHAnsi"/>
          <w:szCs w:val="22"/>
        </w:rPr>
        <w:t xml:space="preserve">% </w:t>
      </w:r>
      <w:r w:rsidR="00BD5FD5" w:rsidRPr="004C44DA">
        <w:rPr>
          <w:rFonts w:asciiTheme="majorHAnsi" w:hAnsiTheme="majorHAnsi"/>
          <w:szCs w:val="22"/>
        </w:rPr>
        <w:t>s</w:t>
      </w:r>
      <w:r w:rsidR="00D05829" w:rsidRPr="004C44DA">
        <w:rPr>
          <w:rFonts w:asciiTheme="majorHAnsi" w:hAnsiTheme="majorHAnsi"/>
          <w:szCs w:val="22"/>
        </w:rPr>
        <w:t>vojho ročného obratu</w:t>
      </w:r>
      <w:r w:rsidR="001E67EA">
        <w:rPr>
          <w:rStyle w:val="Odkaznapoznmkupodiarou"/>
          <w:rFonts w:asciiTheme="majorHAnsi" w:hAnsiTheme="majorHAnsi"/>
          <w:szCs w:val="22"/>
        </w:rPr>
        <w:footnoteReference w:id="55"/>
      </w:r>
      <w:r w:rsidR="00D05829" w:rsidRPr="004C44DA">
        <w:rPr>
          <w:rFonts w:asciiTheme="majorHAnsi" w:hAnsiTheme="majorHAnsi"/>
          <w:szCs w:val="22"/>
        </w:rPr>
        <w:t>.</w:t>
      </w:r>
    </w:p>
    <w:p w:rsidR="00D05829" w:rsidRPr="00A11FE0" w:rsidRDefault="00D05829">
      <w:pPr>
        <w:rPr>
          <w:rFonts w:asciiTheme="majorHAnsi" w:hAnsiTheme="majorHAnsi"/>
          <w:szCs w:val="22"/>
        </w:rPr>
      </w:pPr>
      <w:r w:rsidRPr="004C44DA">
        <w:rPr>
          <w:rFonts w:asciiTheme="majorHAnsi" w:hAnsiTheme="majorHAnsi"/>
          <w:szCs w:val="22"/>
        </w:rPr>
        <w:t>Dôsledkom izolovaného pôsobenia MSP</w:t>
      </w:r>
      <w:r w:rsidR="006D5E58">
        <w:rPr>
          <w:rFonts w:asciiTheme="majorHAnsi" w:hAnsiTheme="majorHAnsi"/>
          <w:szCs w:val="22"/>
        </w:rPr>
        <w:t>,</w:t>
      </w:r>
      <w:r w:rsidRPr="004C44DA">
        <w:rPr>
          <w:rFonts w:asciiTheme="majorHAnsi" w:hAnsiTheme="majorHAnsi"/>
          <w:szCs w:val="22"/>
        </w:rPr>
        <w:t xml:space="preserve"> nielen od </w:t>
      </w:r>
      <w:r w:rsidR="00BD5FD5" w:rsidRPr="004C44DA">
        <w:rPr>
          <w:rFonts w:asciiTheme="majorHAnsi" w:hAnsiTheme="majorHAnsi"/>
          <w:szCs w:val="22"/>
        </w:rPr>
        <w:t>ak</w:t>
      </w:r>
      <w:r w:rsidRPr="004C44DA">
        <w:rPr>
          <w:rFonts w:asciiTheme="majorHAnsi" w:hAnsiTheme="majorHAnsi"/>
          <w:szCs w:val="22"/>
        </w:rPr>
        <w:t xml:space="preserve">tuálneho </w:t>
      </w:r>
      <w:r w:rsidR="00AA4203" w:rsidRPr="004C44DA">
        <w:rPr>
          <w:rFonts w:asciiTheme="majorHAnsi" w:hAnsiTheme="majorHAnsi"/>
          <w:szCs w:val="22"/>
        </w:rPr>
        <w:t>V</w:t>
      </w:r>
      <w:r w:rsidR="008B3EF1" w:rsidRPr="004C44DA">
        <w:rPr>
          <w:rFonts w:asciiTheme="majorHAnsi" w:hAnsiTheme="majorHAnsi"/>
          <w:szCs w:val="22"/>
        </w:rPr>
        <w:t>a</w:t>
      </w:r>
      <w:r w:rsidR="00AA4203" w:rsidRPr="004C44DA">
        <w:rPr>
          <w:rFonts w:asciiTheme="majorHAnsi" w:hAnsiTheme="majorHAnsi"/>
          <w:szCs w:val="22"/>
        </w:rPr>
        <w:t>V</w:t>
      </w:r>
      <w:r w:rsidRPr="004C44DA">
        <w:rPr>
          <w:rFonts w:asciiTheme="majorHAnsi" w:hAnsiTheme="majorHAnsi"/>
          <w:szCs w:val="22"/>
        </w:rPr>
        <w:t xml:space="preserve">, </w:t>
      </w:r>
      <w:r w:rsidR="00BD5FD5" w:rsidRPr="004C44DA">
        <w:rPr>
          <w:rFonts w:asciiTheme="majorHAnsi" w:hAnsiTheme="majorHAnsi"/>
          <w:szCs w:val="22"/>
        </w:rPr>
        <w:t>a</w:t>
      </w:r>
      <w:r w:rsidRPr="004C44DA">
        <w:rPr>
          <w:rFonts w:asciiTheme="majorHAnsi" w:hAnsiTheme="majorHAnsi"/>
          <w:szCs w:val="22"/>
        </w:rPr>
        <w:t xml:space="preserve">le </w:t>
      </w:r>
      <w:r w:rsidR="00BD5FD5" w:rsidRPr="004C44DA">
        <w:rPr>
          <w:rFonts w:asciiTheme="majorHAnsi" w:hAnsiTheme="majorHAnsi"/>
          <w:szCs w:val="22"/>
        </w:rPr>
        <w:t>a</w:t>
      </w:r>
      <w:r w:rsidRPr="004C44DA">
        <w:rPr>
          <w:rFonts w:asciiTheme="majorHAnsi" w:hAnsiTheme="majorHAnsi"/>
          <w:szCs w:val="22"/>
        </w:rPr>
        <w:t>j</w:t>
      </w:r>
      <w:r w:rsidR="009A4E62" w:rsidRPr="004C44DA">
        <w:rPr>
          <w:rFonts w:asciiTheme="majorHAnsi" w:hAnsiTheme="majorHAnsi"/>
          <w:szCs w:val="22"/>
        </w:rPr>
        <w:t xml:space="preserve"> </w:t>
      </w:r>
      <w:r w:rsidRPr="004C44DA">
        <w:rPr>
          <w:rFonts w:asciiTheme="majorHAnsi" w:hAnsiTheme="majorHAnsi"/>
          <w:szCs w:val="22"/>
        </w:rPr>
        <w:t xml:space="preserve">od iných </w:t>
      </w:r>
      <w:r w:rsidR="00BD5FD5" w:rsidRPr="004C44DA">
        <w:rPr>
          <w:rFonts w:asciiTheme="majorHAnsi" w:hAnsiTheme="majorHAnsi"/>
          <w:szCs w:val="22"/>
        </w:rPr>
        <w:t>k</w:t>
      </w:r>
      <w:r w:rsidRPr="004C44DA">
        <w:rPr>
          <w:rFonts w:asciiTheme="majorHAnsi" w:hAnsiTheme="majorHAnsi"/>
          <w:szCs w:val="22"/>
        </w:rPr>
        <w:t xml:space="preserve">onkurenčných </w:t>
      </w:r>
      <w:r w:rsidR="00BD5FD5" w:rsidRPr="004C44DA">
        <w:rPr>
          <w:rFonts w:asciiTheme="majorHAnsi" w:hAnsiTheme="majorHAnsi"/>
          <w:szCs w:val="22"/>
        </w:rPr>
        <w:t>a</w:t>
      </w:r>
      <w:r w:rsidRPr="004C44DA">
        <w:rPr>
          <w:rFonts w:asciiTheme="majorHAnsi" w:hAnsiTheme="majorHAnsi"/>
          <w:szCs w:val="22"/>
        </w:rPr>
        <w:t xml:space="preserve">lebo </w:t>
      </w:r>
      <w:r w:rsidR="00BD5FD5" w:rsidRPr="004C44DA">
        <w:rPr>
          <w:rFonts w:asciiTheme="majorHAnsi" w:hAnsiTheme="majorHAnsi"/>
          <w:szCs w:val="22"/>
        </w:rPr>
        <w:t>k</w:t>
      </w:r>
      <w:r w:rsidRPr="004C44DA">
        <w:rPr>
          <w:rFonts w:asciiTheme="majorHAnsi" w:hAnsiTheme="majorHAnsi"/>
          <w:szCs w:val="22"/>
        </w:rPr>
        <w:t xml:space="preserve">omplementárnych podnikov je zaostávanie v oblasti rozvoja inovačných </w:t>
      </w:r>
      <w:r w:rsidR="00BD5FD5" w:rsidRPr="004C44DA">
        <w:rPr>
          <w:rFonts w:asciiTheme="majorHAnsi" w:hAnsiTheme="majorHAnsi"/>
          <w:szCs w:val="22"/>
        </w:rPr>
        <w:t>k</w:t>
      </w:r>
      <w:r w:rsidRPr="004C44DA">
        <w:rPr>
          <w:rFonts w:asciiTheme="majorHAnsi" w:hAnsiTheme="majorHAnsi"/>
          <w:szCs w:val="22"/>
        </w:rPr>
        <w:t xml:space="preserve">lastrov. </w:t>
      </w:r>
      <w:r w:rsidR="006D5E58">
        <w:rPr>
          <w:rFonts w:asciiTheme="majorHAnsi" w:hAnsiTheme="majorHAnsi"/>
          <w:szCs w:val="22"/>
        </w:rPr>
        <w:t xml:space="preserve">Pre </w:t>
      </w:r>
      <w:r w:rsidR="00BD5FD5" w:rsidRPr="004C44DA">
        <w:rPr>
          <w:rFonts w:asciiTheme="majorHAnsi" w:hAnsiTheme="majorHAnsi"/>
          <w:szCs w:val="22"/>
        </w:rPr>
        <w:t>k</w:t>
      </w:r>
      <w:r w:rsidRPr="004C44DA">
        <w:rPr>
          <w:rFonts w:asciiTheme="majorHAnsi" w:hAnsiTheme="majorHAnsi"/>
          <w:szCs w:val="22"/>
        </w:rPr>
        <w:t xml:space="preserve">onkurencieschopnosť MSP je </w:t>
      </w:r>
      <w:r w:rsidR="006D5E58">
        <w:rPr>
          <w:rFonts w:asciiTheme="majorHAnsi" w:hAnsiTheme="majorHAnsi"/>
          <w:szCs w:val="22"/>
        </w:rPr>
        <w:t xml:space="preserve">problematická </w:t>
      </w:r>
      <w:r w:rsidR="00BD5FD5" w:rsidRPr="004C44DA">
        <w:rPr>
          <w:rFonts w:asciiTheme="majorHAnsi" w:hAnsiTheme="majorHAnsi"/>
          <w:szCs w:val="22"/>
        </w:rPr>
        <w:t>a</w:t>
      </w:r>
      <w:r w:rsidRPr="004C44DA">
        <w:rPr>
          <w:rFonts w:asciiTheme="majorHAnsi" w:hAnsiTheme="majorHAnsi"/>
          <w:szCs w:val="22"/>
        </w:rPr>
        <w:t xml:space="preserve">j nízka </w:t>
      </w:r>
      <w:r w:rsidR="00BD5FD5" w:rsidRPr="004C44DA">
        <w:rPr>
          <w:rFonts w:asciiTheme="majorHAnsi" w:hAnsiTheme="majorHAnsi"/>
          <w:szCs w:val="22"/>
        </w:rPr>
        <w:t>k</w:t>
      </w:r>
      <w:r w:rsidRPr="004C44DA">
        <w:rPr>
          <w:rFonts w:asciiTheme="majorHAnsi" w:hAnsiTheme="majorHAnsi"/>
          <w:szCs w:val="22"/>
        </w:rPr>
        <w:t xml:space="preserve">valita </w:t>
      </w:r>
      <w:r w:rsidR="00BD5FD5" w:rsidRPr="004C44DA">
        <w:rPr>
          <w:rFonts w:asciiTheme="majorHAnsi" w:hAnsiTheme="majorHAnsi"/>
          <w:szCs w:val="22"/>
        </w:rPr>
        <w:t>a</w:t>
      </w:r>
      <w:r w:rsidRPr="004C44DA">
        <w:rPr>
          <w:rFonts w:asciiTheme="majorHAnsi" w:hAnsiTheme="majorHAnsi"/>
          <w:szCs w:val="22"/>
        </w:rPr>
        <w:t xml:space="preserve">bsolventov potrebných na pozície v odvetviach </w:t>
      </w:r>
      <w:r w:rsidR="00BD5FD5" w:rsidRPr="004C44DA">
        <w:rPr>
          <w:rFonts w:asciiTheme="majorHAnsi" w:hAnsiTheme="majorHAnsi"/>
          <w:szCs w:val="22"/>
        </w:rPr>
        <w:t>s </w:t>
      </w:r>
      <w:r w:rsidRPr="004C44DA">
        <w:rPr>
          <w:rFonts w:asciiTheme="majorHAnsi" w:hAnsiTheme="majorHAnsi"/>
          <w:szCs w:val="22"/>
        </w:rPr>
        <w:t xml:space="preserve">vysokou pridanou hodnotou </w:t>
      </w:r>
      <w:r w:rsidR="00BD5FD5" w:rsidRPr="004C44DA">
        <w:rPr>
          <w:rFonts w:asciiTheme="majorHAnsi" w:hAnsiTheme="majorHAnsi"/>
          <w:szCs w:val="22"/>
        </w:rPr>
        <w:t>a </w:t>
      </w:r>
      <w:r w:rsidRPr="004C44DA">
        <w:rPr>
          <w:rFonts w:asciiTheme="majorHAnsi" w:hAnsiTheme="majorHAnsi"/>
          <w:szCs w:val="22"/>
        </w:rPr>
        <w:t xml:space="preserve">nesúlad ponuky </w:t>
      </w:r>
      <w:r w:rsidR="00BD5FD5" w:rsidRPr="004C44DA">
        <w:rPr>
          <w:rFonts w:asciiTheme="majorHAnsi" w:hAnsiTheme="majorHAnsi"/>
          <w:szCs w:val="22"/>
        </w:rPr>
        <w:t>k</w:t>
      </w:r>
      <w:r w:rsidRPr="004C44DA">
        <w:rPr>
          <w:rFonts w:asciiTheme="majorHAnsi" w:hAnsiTheme="majorHAnsi"/>
          <w:szCs w:val="22"/>
        </w:rPr>
        <w:t>valifikácií</w:t>
      </w:r>
      <w:r w:rsidR="006D5E58">
        <w:rPr>
          <w:rFonts w:asciiTheme="majorHAnsi" w:hAnsiTheme="majorHAnsi"/>
          <w:szCs w:val="22"/>
        </w:rPr>
        <w:t xml:space="preserve"> vo vzťahu k</w:t>
      </w:r>
      <w:r w:rsidR="00494438">
        <w:rPr>
          <w:rFonts w:asciiTheme="majorHAnsi" w:hAnsiTheme="majorHAnsi"/>
          <w:szCs w:val="22"/>
        </w:rPr>
        <w:t> </w:t>
      </w:r>
      <w:r w:rsidR="006D5E58">
        <w:rPr>
          <w:rFonts w:asciiTheme="majorHAnsi" w:hAnsiTheme="majorHAnsi"/>
          <w:szCs w:val="22"/>
        </w:rPr>
        <w:t>požiadavkám</w:t>
      </w:r>
      <w:r w:rsidR="00494438">
        <w:rPr>
          <w:rFonts w:asciiTheme="majorHAnsi" w:hAnsiTheme="majorHAnsi"/>
          <w:szCs w:val="22"/>
        </w:rPr>
        <w:t xml:space="preserve"> </w:t>
      </w:r>
      <w:r w:rsidR="00BD5FD5" w:rsidRPr="004C44DA">
        <w:rPr>
          <w:rFonts w:asciiTheme="majorHAnsi" w:hAnsiTheme="majorHAnsi"/>
          <w:szCs w:val="22"/>
        </w:rPr>
        <w:t>s</w:t>
      </w:r>
      <w:r w:rsidRPr="004C44DA">
        <w:rPr>
          <w:rFonts w:asciiTheme="majorHAnsi" w:hAnsiTheme="majorHAnsi"/>
          <w:szCs w:val="22"/>
        </w:rPr>
        <w:t xml:space="preserve">úkromného </w:t>
      </w:r>
      <w:r w:rsidR="00BD5FD5" w:rsidRPr="004C44DA">
        <w:rPr>
          <w:rFonts w:asciiTheme="majorHAnsi" w:hAnsiTheme="majorHAnsi"/>
          <w:szCs w:val="22"/>
        </w:rPr>
        <w:t>s</w:t>
      </w:r>
      <w:r w:rsidRPr="004C44DA">
        <w:rPr>
          <w:rFonts w:asciiTheme="majorHAnsi" w:hAnsiTheme="majorHAnsi"/>
          <w:szCs w:val="22"/>
        </w:rPr>
        <w:t xml:space="preserve">ektora. </w:t>
      </w:r>
      <w:r w:rsidR="00BD5FD5" w:rsidRPr="004C44DA">
        <w:rPr>
          <w:rFonts w:asciiTheme="majorHAnsi" w:hAnsiTheme="majorHAnsi"/>
          <w:szCs w:val="22"/>
        </w:rPr>
        <w:t>S</w:t>
      </w:r>
      <w:r w:rsidRPr="004C44DA">
        <w:rPr>
          <w:rFonts w:asciiTheme="majorHAnsi" w:hAnsiTheme="majorHAnsi"/>
          <w:szCs w:val="22"/>
        </w:rPr>
        <w:t xml:space="preserve">R </w:t>
      </w:r>
      <w:r w:rsidR="00555D0F" w:rsidRPr="004C44DA">
        <w:rPr>
          <w:rFonts w:asciiTheme="majorHAnsi" w:hAnsiTheme="majorHAnsi"/>
          <w:szCs w:val="22"/>
        </w:rPr>
        <w:t xml:space="preserve">je </w:t>
      </w:r>
      <w:r w:rsidRPr="004C44DA">
        <w:rPr>
          <w:rFonts w:asciiTheme="majorHAnsi" w:hAnsiTheme="majorHAnsi"/>
          <w:szCs w:val="22"/>
        </w:rPr>
        <w:t>v metrike „</w:t>
      </w:r>
      <w:r w:rsidRPr="00A11FE0">
        <w:rPr>
          <w:rFonts w:asciiTheme="majorHAnsi" w:hAnsiTheme="majorHAnsi"/>
          <w:szCs w:val="22"/>
        </w:rPr>
        <w:t xml:space="preserve">Dostupnosť vedcov </w:t>
      </w:r>
      <w:r w:rsidR="00BD5FD5">
        <w:rPr>
          <w:rFonts w:asciiTheme="majorHAnsi" w:hAnsiTheme="majorHAnsi"/>
          <w:szCs w:val="22"/>
        </w:rPr>
        <w:t>a </w:t>
      </w:r>
      <w:r w:rsidRPr="00A11FE0">
        <w:rPr>
          <w:rFonts w:asciiTheme="majorHAnsi" w:hAnsiTheme="majorHAnsi"/>
          <w:szCs w:val="22"/>
        </w:rPr>
        <w:t>inžinierov“ na 74. mieste</w:t>
      </w:r>
      <w:r w:rsidR="00AA4203" w:rsidRPr="00A11FE0">
        <w:rPr>
          <w:rFonts w:asciiTheme="majorHAnsi" w:hAnsiTheme="majorHAnsi"/>
          <w:szCs w:val="22"/>
        </w:rPr>
        <w:t>.</w:t>
      </w:r>
      <w:r w:rsidR="00015657" w:rsidRPr="00A11FE0">
        <w:rPr>
          <w:rFonts w:asciiTheme="majorHAnsi" w:hAnsiTheme="majorHAnsi"/>
          <w:szCs w:val="22"/>
        </w:rPr>
        <w:t xml:space="preserve"> </w:t>
      </w:r>
      <w:r w:rsidR="00994E33">
        <w:rPr>
          <w:rFonts w:asciiTheme="majorHAnsi" w:hAnsiTheme="majorHAnsi"/>
          <w:szCs w:val="22"/>
        </w:rPr>
        <w:t>Existuje nevyužitý potenciál v oblasti</w:t>
      </w:r>
      <w:r w:rsidR="00015657" w:rsidRPr="00A11FE0">
        <w:rPr>
          <w:rFonts w:asciiTheme="majorHAnsi" w:hAnsiTheme="majorHAnsi"/>
          <w:szCs w:val="22"/>
        </w:rPr>
        <w:t xml:space="preserve"> internacionalizáci</w:t>
      </w:r>
      <w:r w:rsidR="00994E33">
        <w:rPr>
          <w:rFonts w:asciiTheme="majorHAnsi" w:hAnsiTheme="majorHAnsi"/>
          <w:szCs w:val="22"/>
        </w:rPr>
        <w:t>e</w:t>
      </w:r>
      <w:r w:rsidR="00015657" w:rsidRPr="00A11FE0">
        <w:rPr>
          <w:rFonts w:asciiTheme="majorHAnsi" w:hAnsiTheme="majorHAnsi"/>
          <w:szCs w:val="22"/>
        </w:rPr>
        <w:t xml:space="preserve"> podnikania, </w:t>
      </w:r>
      <w:r w:rsidR="00BD5FD5">
        <w:rPr>
          <w:rFonts w:asciiTheme="majorHAnsi" w:hAnsiTheme="majorHAnsi"/>
          <w:szCs w:val="22"/>
        </w:rPr>
        <w:t>k</w:t>
      </w:r>
      <w:r w:rsidR="00015657" w:rsidRPr="00A11FE0">
        <w:rPr>
          <w:rFonts w:asciiTheme="majorHAnsi" w:hAnsiTheme="majorHAnsi"/>
          <w:szCs w:val="22"/>
        </w:rPr>
        <w:t>eď podiel MSP v zahraničnom obchode dosahuje len 30</w:t>
      </w:r>
      <w:r w:rsidR="00827499" w:rsidRPr="00A11FE0">
        <w:rPr>
          <w:rFonts w:asciiTheme="majorHAnsi" w:hAnsiTheme="majorHAnsi"/>
          <w:szCs w:val="22"/>
        </w:rPr>
        <w:t xml:space="preserve"> </w:t>
      </w:r>
      <w:r w:rsidR="00555D0F" w:rsidRPr="00A11FE0">
        <w:rPr>
          <w:rFonts w:asciiTheme="majorHAnsi" w:hAnsiTheme="majorHAnsi"/>
          <w:szCs w:val="22"/>
        </w:rPr>
        <w:t>%</w:t>
      </w:r>
      <w:r w:rsidR="00555D0F">
        <w:rPr>
          <w:rFonts w:asciiTheme="majorHAnsi" w:hAnsiTheme="majorHAnsi"/>
          <w:szCs w:val="22"/>
        </w:rPr>
        <w:t xml:space="preserve"> a</w:t>
      </w:r>
      <w:r w:rsidR="00494438">
        <w:rPr>
          <w:rFonts w:asciiTheme="majorHAnsi" w:hAnsiTheme="majorHAnsi"/>
          <w:szCs w:val="22"/>
        </w:rPr>
        <w:t> </w:t>
      </w:r>
      <w:r w:rsidR="00015657" w:rsidRPr="00A11FE0">
        <w:rPr>
          <w:rFonts w:asciiTheme="majorHAnsi" w:hAnsiTheme="majorHAnsi"/>
          <w:szCs w:val="22"/>
        </w:rPr>
        <w:t xml:space="preserve">v obchode </w:t>
      </w:r>
      <w:r w:rsidR="00BD5FD5">
        <w:rPr>
          <w:rFonts w:asciiTheme="majorHAnsi" w:hAnsiTheme="majorHAnsi"/>
          <w:szCs w:val="22"/>
        </w:rPr>
        <w:t>s</w:t>
      </w:r>
      <w:r w:rsidR="00015657" w:rsidRPr="00A11FE0">
        <w:rPr>
          <w:rFonts w:asciiTheme="majorHAnsi" w:hAnsiTheme="majorHAnsi"/>
          <w:szCs w:val="22"/>
        </w:rPr>
        <w:t> </w:t>
      </w:r>
      <w:r w:rsidR="00BD5FD5">
        <w:rPr>
          <w:rFonts w:asciiTheme="majorHAnsi" w:hAnsiTheme="majorHAnsi"/>
          <w:szCs w:val="22"/>
        </w:rPr>
        <w:t>k</w:t>
      </w:r>
      <w:r w:rsidR="00015657" w:rsidRPr="00A11FE0">
        <w:rPr>
          <w:rFonts w:asciiTheme="majorHAnsi" w:hAnsiTheme="majorHAnsi"/>
          <w:szCs w:val="22"/>
        </w:rPr>
        <w:t>rajinami mimo EÚ dokonca len 20</w:t>
      </w:r>
      <w:r w:rsidR="00827499" w:rsidRPr="00A11FE0">
        <w:rPr>
          <w:rFonts w:asciiTheme="majorHAnsi" w:hAnsiTheme="majorHAnsi"/>
          <w:szCs w:val="22"/>
        </w:rPr>
        <w:t xml:space="preserve"> </w:t>
      </w:r>
      <w:r w:rsidR="00015657" w:rsidRPr="00A11FE0">
        <w:rPr>
          <w:rFonts w:asciiTheme="majorHAnsi" w:hAnsiTheme="majorHAnsi"/>
          <w:szCs w:val="22"/>
        </w:rPr>
        <w:t>%</w:t>
      </w:r>
      <w:r w:rsidR="00015657" w:rsidRPr="00A11FE0">
        <w:rPr>
          <w:rStyle w:val="Odkaznapoznmkupodiarou"/>
          <w:rFonts w:asciiTheme="majorHAnsi" w:hAnsiTheme="majorHAnsi"/>
          <w:szCs w:val="22"/>
        </w:rPr>
        <w:footnoteReference w:id="56"/>
      </w:r>
      <w:r w:rsidR="00015657" w:rsidRPr="00A11FE0">
        <w:rPr>
          <w:rFonts w:asciiTheme="majorHAnsi" w:hAnsiTheme="majorHAnsi"/>
          <w:szCs w:val="22"/>
        </w:rPr>
        <w:t>.</w:t>
      </w:r>
    </w:p>
    <w:p w:rsidR="00D05829" w:rsidRPr="00A11FE0" w:rsidRDefault="00D05829" w:rsidP="00652FBF">
      <w:pPr>
        <w:pStyle w:val="Nadpis5"/>
        <w:numPr>
          <w:ilvl w:val="4"/>
          <w:numId w:val="2"/>
        </w:numPr>
        <w:ind w:left="1292"/>
      </w:pPr>
      <w:r w:rsidRPr="00A11FE0">
        <w:t>Nedostatočné podmienky podnikania</w:t>
      </w:r>
    </w:p>
    <w:p w:rsidR="00195DA4" w:rsidRPr="00A11FE0" w:rsidRDefault="00195DA4" w:rsidP="00492F4C">
      <w:pPr>
        <w:rPr>
          <w:rFonts w:asciiTheme="majorHAnsi" w:hAnsiTheme="majorHAnsi"/>
        </w:rPr>
      </w:pPr>
      <w:r w:rsidRPr="00A11FE0">
        <w:rPr>
          <w:rFonts w:asciiTheme="majorHAnsi" w:hAnsiTheme="majorHAnsi"/>
          <w:szCs w:val="22"/>
        </w:rPr>
        <w:t xml:space="preserve">MSP </w:t>
      </w:r>
      <w:r w:rsidR="00BD5FD5">
        <w:rPr>
          <w:rFonts w:asciiTheme="majorHAnsi" w:hAnsiTheme="majorHAnsi"/>
          <w:szCs w:val="22"/>
        </w:rPr>
        <w:t>s</w:t>
      </w:r>
      <w:r w:rsidRPr="00A11FE0">
        <w:rPr>
          <w:rFonts w:asciiTheme="majorHAnsi" w:hAnsiTheme="majorHAnsi"/>
          <w:szCs w:val="22"/>
        </w:rPr>
        <w:t>ú v </w:t>
      </w:r>
      <w:r w:rsidR="00BD5FD5">
        <w:rPr>
          <w:rFonts w:asciiTheme="majorHAnsi" w:hAnsiTheme="majorHAnsi"/>
          <w:szCs w:val="22"/>
        </w:rPr>
        <w:t>s</w:t>
      </w:r>
      <w:r w:rsidRPr="00A11FE0">
        <w:rPr>
          <w:rFonts w:asciiTheme="majorHAnsi" w:hAnsiTheme="majorHAnsi"/>
          <w:szCs w:val="22"/>
        </w:rPr>
        <w:t xml:space="preserve">účasnosti ohrozené pretrvávajúcou ekonomickou </w:t>
      </w:r>
      <w:r w:rsidR="00BD5FD5">
        <w:rPr>
          <w:rFonts w:asciiTheme="majorHAnsi" w:hAnsiTheme="majorHAnsi"/>
          <w:szCs w:val="22"/>
        </w:rPr>
        <w:t>k</w:t>
      </w:r>
      <w:r w:rsidRPr="00A11FE0">
        <w:rPr>
          <w:rFonts w:asciiTheme="majorHAnsi" w:hAnsiTheme="majorHAnsi"/>
          <w:szCs w:val="22"/>
        </w:rPr>
        <w:t xml:space="preserve">rízou </w:t>
      </w:r>
      <w:r w:rsidR="00BD5FD5">
        <w:rPr>
          <w:rFonts w:asciiTheme="majorHAnsi" w:hAnsiTheme="majorHAnsi"/>
          <w:szCs w:val="22"/>
        </w:rPr>
        <w:t>a </w:t>
      </w:r>
      <w:r w:rsidRPr="00A11FE0">
        <w:rPr>
          <w:rFonts w:asciiTheme="majorHAnsi" w:hAnsiTheme="majorHAnsi"/>
          <w:szCs w:val="22"/>
        </w:rPr>
        <w:t xml:space="preserve">zároveň prebiehajúcimi zmenami v podnikateľskom prostredí. Dostupné formy </w:t>
      </w:r>
      <w:r w:rsidR="00BD5FD5">
        <w:rPr>
          <w:rFonts w:asciiTheme="majorHAnsi" w:hAnsiTheme="majorHAnsi"/>
          <w:szCs w:val="22"/>
        </w:rPr>
        <w:t>a </w:t>
      </w:r>
      <w:r w:rsidRPr="00A11FE0">
        <w:rPr>
          <w:rFonts w:asciiTheme="majorHAnsi" w:hAnsiTheme="majorHAnsi"/>
          <w:szCs w:val="22"/>
        </w:rPr>
        <w:t xml:space="preserve">mechanizmy podpory z verejných zdrojov </w:t>
      </w:r>
      <w:r w:rsidR="00BD5FD5">
        <w:rPr>
          <w:rFonts w:asciiTheme="majorHAnsi" w:hAnsiTheme="majorHAnsi"/>
          <w:szCs w:val="22"/>
        </w:rPr>
        <w:t>s</w:t>
      </w:r>
      <w:r w:rsidRPr="00A11FE0">
        <w:rPr>
          <w:rFonts w:asciiTheme="majorHAnsi" w:hAnsiTheme="majorHAnsi"/>
          <w:szCs w:val="22"/>
        </w:rPr>
        <w:t>pravidla nezohľadňujú potreby MSP</w:t>
      </w:r>
      <w:r w:rsidR="0066252E" w:rsidRPr="00A11FE0">
        <w:rPr>
          <w:rFonts w:asciiTheme="majorHAnsi" w:hAnsiTheme="majorHAnsi"/>
          <w:szCs w:val="22"/>
        </w:rPr>
        <w:t>.</w:t>
      </w:r>
      <w:r w:rsidRPr="00A11FE0">
        <w:rPr>
          <w:rFonts w:asciiTheme="majorHAnsi" w:hAnsiTheme="majorHAnsi"/>
          <w:szCs w:val="22"/>
        </w:rPr>
        <w:t xml:space="preserve"> </w:t>
      </w:r>
      <w:r w:rsidR="00015657" w:rsidRPr="00A11FE0">
        <w:rPr>
          <w:rFonts w:asciiTheme="majorHAnsi" w:hAnsiTheme="majorHAnsi"/>
          <w:szCs w:val="22"/>
        </w:rPr>
        <w:t xml:space="preserve">Dosahuje </w:t>
      </w:r>
      <w:r w:rsidR="00BD5FD5">
        <w:rPr>
          <w:rFonts w:asciiTheme="majorHAnsi" w:hAnsiTheme="majorHAnsi"/>
          <w:szCs w:val="22"/>
        </w:rPr>
        <w:t>s</w:t>
      </w:r>
      <w:r w:rsidRPr="00A11FE0">
        <w:rPr>
          <w:rFonts w:asciiTheme="majorHAnsi" w:hAnsiTheme="majorHAnsi"/>
          <w:szCs w:val="22"/>
        </w:rPr>
        <w:t xml:space="preserve">a </w:t>
      </w:r>
      <w:r w:rsidR="00015657" w:rsidRPr="00A11FE0">
        <w:rPr>
          <w:rFonts w:asciiTheme="majorHAnsi" w:hAnsiTheme="majorHAnsi"/>
          <w:szCs w:val="22"/>
        </w:rPr>
        <w:t xml:space="preserve">tak </w:t>
      </w:r>
      <w:r w:rsidRPr="00A11FE0">
        <w:rPr>
          <w:rFonts w:asciiTheme="majorHAnsi" w:hAnsiTheme="majorHAnsi"/>
          <w:szCs w:val="22"/>
        </w:rPr>
        <w:t xml:space="preserve">na jednej </w:t>
      </w:r>
      <w:r w:rsidR="00BD5FD5">
        <w:rPr>
          <w:rFonts w:asciiTheme="majorHAnsi" w:hAnsiTheme="majorHAnsi"/>
          <w:szCs w:val="22"/>
        </w:rPr>
        <w:t>s</w:t>
      </w:r>
      <w:r w:rsidRPr="00A11FE0">
        <w:rPr>
          <w:rFonts w:asciiTheme="majorHAnsi" w:hAnsiTheme="majorHAnsi"/>
          <w:szCs w:val="22"/>
        </w:rPr>
        <w:t xml:space="preserve">trane efekt mŕtvej váhy, </w:t>
      </w:r>
      <w:r w:rsidR="00BD5FD5">
        <w:rPr>
          <w:rFonts w:asciiTheme="majorHAnsi" w:hAnsiTheme="majorHAnsi"/>
          <w:szCs w:val="22"/>
        </w:rPr>
        <w:t>k</w:t>
      </w:r>
      <w:r w:rsidRPr="00A11FE0">
        <w:rPr>
          <w:rFonts w:asciiTheme="majorHAnsi" w:hAnsiTheme="majorHAnsi"/>
          <w:szCs w:val="22"/>
        </w:rPr>
        <w:t xml:space="preserve">torý </w:t>
      </w:r>
      <w:r w:rsidR="00BD5FD5">
        <w:rPr>
          <w:rFonts w:asciiTheme="majorHAnsi" w:hAnsiTheme="majorHAnsi"/>
          <w:szCs w:val="22"/>
        </w:rPr>
        <w:t>s</w:t>
      </w:r>
      <w:r w:rsidRPr="00A11FE0">
        <w:rPr>
          <w:rFonts w:asciiTheme="majorHAnsi" w:hAnsiTheme="majorHAnsi"/>
          <w:szCs w:val="22"/>
        </w:rPr>
        <w:t>a prejavuje v prípade viacerých realizovaných opatrení</w:t>
      </w:r>
      <w:r w:rsidR="00CB0D4C" w:rsidRPr="00A11FE0">
        <w:rPr>
          <w:rFonts w:asciiTheme="majorHAnsi" w:hAnsiTheme="majorHAnsi"/>
          <w:szCs w:val="22"/>
        </w:rPr>
        <w:t xml:space="preserve"> podpory</w:t>
      </w:r>
      <w:r w:rsidR="006D5E58">
        <w:rPr>
          <w:rFonts w:asciiTheme="majorHAnsi" w:hAnsiTheme="majorHAnsi"/>
          <w:szCs w:val="22"/>
        </w:rPr>
        <w:t>.</w:t>
      </w:r>
      <w:r w:rsidRPr="00A11FE0">
        <w:rPr>
          <w:rFonts w:asciiTheme="majorHAnsi" w:hAnsiTheme="majorHAnsi"/>
          <w:szCs w:val="22"/>
        </w:rPr>
        <w:t xml:space="preserve"> </w:t>
      </w:r>
      <w:r w:rsidR="006D5E58">
        <w:rPr>
          <w:rFonts w:asciiTheme="majorHAnsi" w:hAnsiTheme="majorHAnsi"/>
          <w:szCs w:val="22"/>
        </w:rPr>
        <w:t>N</w:t>
      </w:r>
      <w:r w:rsidRPr="00A11FE0">
        <w:rPr>
          <w:rFonts w:asciiTheme="majorHAnsi" w:hAnsiTheme="majorHAnsi"/>
          <w:szCs w:val="22"/>
        </w:rPr>
        <w:t xml:space="preserve">a druhej </w:t>
      </w:r>
      <w:r w:rsidR="00BD5FD5">
        <w:rPr>
          <w:rFonts w:asciiTheme="majorHAnsi" w:hAnsiTheme="majorHAnsi"/>
          <w:szCs w:val="22"/>
        </w:rPr>
        <w:t>s</w:t>
      </w:r>
      <w:r w:rsidRPr="00A11FE0">
        <w:rPr>
          <w:rFonts w:asciiTheme="majorHAnsi" w:hAnsiTheme="majorHAnsi"/>
          <w:szCs w:val="22"/>
        </w:rPr>
        <w:t xml:space="preserve">trane </w:t>
      </w:r>
      <w:r w:rsidR="00BD5FD5">
        <w:rPr>
          <w:rFonts w:asciiTheme="majorHAnsi" w:hAnsiTheme="majorHAnsi"/>
          <w:szCs w:val="22"/>
        </w:rPr>
        <w:t>s</w:t>
      </w:r>
      <w:r w:rsidRPr="00A11FE0">
        <w:rPr>
          <w:rFonts w:asciiTheme="majorHAnsi" w:hAnsiTheme="majorHAnsi"/>
          <w:szCs w:val="22"/>
        </w:rPr>
        <w:t xml:space="preserve">a vytvára výrazná medzera vo financovaní </w:t>
      </w:r>
      <w:r w:rsidR="00BD5FD5">
        <w:rPr>
          <w:rFonts w:asciiTheme="majorHAnsi" w:hAnsiTheme="majorHAnsi"/>
          <w:szCs w:val="22"/>
        </w:rPr>
        <w:t>a </w:t>
      </w:r>
      <w:r w:rsidRPr="00A11FE0">
        <w:rPr>
          <w:rFonts w:asciiTheme="majorHAnsi" w:hAnsiTheme="majorHAnsi"/>
          <w:szCs w:val="22"/>
        </w:rPr>
        <w:t xml:space="preserve">nedochádza </w:t>
      </w:r>
      <w:r w:rsidR="00BD5FD5">
        <w:rPr>
          <w:rFonts w:asciiTheme="majorHAnsi" w:hAnsiTheme="majorHAnsi"/>
          <w:szCs w:val="22"/>
        </w:rPr>
        <w:t>k </w:t>
      </w:r>
      <w:r w:rsidRPr="00A11FE0">
        <w:rPr>
          <w:rFonts w:asciiTheme="majorHAnsi" w:hAnsiTheme="majorHAnsi"/>
          <w:szCs w:val="22"/>
        </w:rPr>
        <w:t xml:space="preserve">prenosu </w:t>
      </w:r>
      <w:r w:rsidR="00BD5FD5">
        <w:rPr>
          <w:rFonts w:asciiTheme="majorHAnsi" w:hAnsiTheme="majorHAnsi"/>
          <w:szCs w:val="22"/>
        </w:rPr>
        <w:t>k</w:t>
      </w:r>
      <w:r w:rsidRPr="00A11FE0">
        <w:rPr>
          <w:rFonts w:asciiTheme="majorHAnsi" w:hAnsiTheme="majorHAnsi"/>
          <w:szCs w:val="22"/>
        </w:rPr>
        <w:t xml:space="preserve">now-how, </w:t>
      </w:r>
      <w:r w:rsidR="00BD5FD5">
        <w:rPr>
          <w:rFonts w:asciiTheme="majorHAnsi" w:hAnsiTheme="majorHAnsi"/>
          <w:szCs w:val="22"/>
        </w:rPr>
        <w:t>k</w:t>
      </w:r>
      <w:r w:rsidRPr="00A11FE0">
        <w:rPr>
          <w:rFonts w:asciiTheme="majorHAnsi" w:hAnsiTheme="majorHAnsi"/>
          <w:szCs w:val="22"/>
        </w:rPr>
        <w:t xml:space="preserve">ompetencií </w:t>
      </w:r>
      <w:r w:rsidR="00BD5FD5">
        <w:rPr>
          <w:rFonts w:asciiTheme="majorHAnsi" w:hAnsiTheme="majorHAnsi"/>
          <w:szCs w:val="22"/>
        </w:rPr>
        <w:t>a </w:t>
      </w:r>
      <w:r w:rsidRPr="00A11FE0">
        <w:rPr>
          <w:rFonts w:asciiTheme="majorHAnsi" w:hAnsiTheme="majorHAnsi"/>
          <w:szCs w:val="22"/>
        </w:rPr>
        <w:t>zavádzaniu inovácií v</w:t>
      </w:r>
      <w:r w:rsidR="00015657" w:rsidRPr="00A11FE0">
        <w:rPr>
          <w:rFonts w:asciiTheme="majorHAnsi" w:hAnsiTheme="majorHAnsi"/>
          <w:szCs w:val="22"/>
        </w:rPr>
        <w:t>o veľkej časti</w:t>
      </w:r>
      <w:r w:rsidRPr="00A11FE0">
        <w:rPr>
          <w:rFonts w:asciiTheme="majorHAnsi" w:hAnsiTheme="majorHAnsi"/>
          <w:szCs w:val="22"/>
        </w:rPr>
        <w:t xml:space="preserve"> MSP, osobitne v </w:t>
      </w:r>
      <w:r w:rsidR="00BD5FD5">
        <w:rPr>
          <w:rFonts w:asciiTheme="majorHAnsi" w:hAnsiTheme="majorHAnsi"/>
          <w:szCs w:val="22"/>
        </w:rPr>
        <w:t>k</w:t>
      </w:r>
      <w:r w:rsidRPr="00A11FE0">
        <w:rPr>
          <w:rFonts w:asciiTheme="majorHAnsi" w:hAnsiTheme="majorHAnsi"/>
          <w:szCs w:val="22"/>
        </w:rPr>
        <w:t xml:space="preserve">ategórii mikropodnikov, </w:t>
      </w:r>
      <w:r w:rsidR="00BD5FD5">
        <w:rPr>
          <w:rFonts w:asciiTheme="majorHAnsi" w:hAnsiTheme="majorHAnsi"/>
          <w:szCs w:val="22"/>
        </w:rPr>
        <w:t>k</w:t>
      </w:r>
      <w:r w:rsidRPr="00A11FE0">
        <w:rPr>
          <w:rFonts w:asciiTheme="majorHAnsi" w:hAnsiTheme="majorHAnsi"/>
          <w:szCs w:val="22"/>
        </w:rPr>
        <w:t>torá tvorí 96,</w:t>
      </w:r>
      <w:r w:rsidR="00015657" w:rsidRPr="00A11FE0">
        <w:rPr>
          <w:rFonts w:asciiTheme="majorHAnsi" w:hAnsiTheme="majorHAnsi"/>
          <w:szCs w:val="22"/>
        </w:rPr>
        <w:t xml:space="preserve">7 </w:t>
      </w:r>
      <w:r w:rsidRPr="00A11FE0">
        <w:rPr>
          <w:rFonts w:asciiTheme="majorHAnsi" w:hAnsiTheme="majorHAnsi"/>
          <w:szCs w:val="22"/>
        </w:rPr>
        <w:t>% všetkých podnikov</w:t>
      </w:r>
      <w:r w:rsidR="001D30D0" w:rsidRPr="00A11FE0">
        <w:rPr>
          <w:rStyle w:val="Odkaznapoznmkupodiarou"/>
          <w:rFonts w:asciiTheme="majorHAnsi" w:hAnsiTheme="majorHAnsi"/>
          <w:szCs w:val="22"/>
        </w:rPr>
        <w:footnoteReference w:id="57"/>
      </w:r>
      <w:r w:rsidRPr="00A11FE0">
        <w:rPr>
          <w:rFonts w:asciiTheme="majorHAnsi" w:hAnsiTheme="majorHAnsi"/>
          <w:szCs w:val="22"/>
        </w:rPr>
        <w:t xml:space="preserve">. </w:t>
      </w:r>
      <w:r w:rsidR="001D30D0" w:rsidRPr="00A11FE0">
        <w:rPr>
          <w:rFonts w:asciiTheme="majorHAnsi" w:hAnsiTheme="majorHAnsi"/>
          <w:szCs w:val="22"/>
        </w:rPr>
        <w:t xml:space="preserve">Dochádza taktiež </w:t>
      </w:r>
      <w:r w:rsidR="00BD5FD5">
        <w:rPr>
          <w:rFonts w:asciiTheme="majorHAnsi" w:hAnsiTheme="majorHAnsi"/>
          <w:szCs w:val="22"/>
        </w:rPr>
        <w:t>k</w:t>
      </w:r>
      <w:r w:rsidR="001D30D0" w:rsidRPr="00A11FE0">
        <w:rPr>
          <w:rFonts w:asciiTheme="majorHAnsi" w:hAnsiTheme="majorHAnsi"/>
          <w:szCs w:val="22"/>
        </w:rPr>
        <w:t xml:space="preserve"> prepadu podnikov z väčších veľkostných </w:t>
      </w:r>
      <w:r w:rsidR="00BD5FD5">
        <w:rPr>
          <w:rFonts w:asciiTheme="majorHAnsi" w:hAnsiTheme="majorHAnsi"/>
          <w:szCs w:val="22"/>
        </w:rPr>
        <w:t>k</w:t>
      </w:r>
      <w:r w:rsidR="001D30D0" w:rsidRPr="00A11FE0">
        <w:rPr>
          <w:rFonts w:asciiTheme="majorHAnsi" w:hAnsiTheme="majorHAnsi"/>
          <w:szCs w:val="22"/>
        </w:rPr>
        <w:t xml:space="preserve">ategórii do </w:t>
      </w:r>
      <w:r w:rsidR="00BD5FD5">
        <w:rPr>
          <w:rFonts w:asciiTheme="majorHAnsi" w:hAnsiTheme="majorHAnsi"/>
          <w:szCs w:val="22"/>
        </w:rPr>
        <w:t>k</w:t>
      </w:r>
      <w:r w:rsidR="001D30D0" w:rsidRPr="00A11FE0">
        <w:rPr>
          <w:rFonts w:asciiTheme="majorHAnsi" w:hAnsiTheme="majorHAnsi"/>
          <w:szCs w:val="22"/>
        </w:rPr>
        <w:t xml:space="preserve">ategórie mikropodnikov (počet podnikov nad 9 zamestnancov </w:t>
      </w:r>
      <w:r w:rsidR="00BD5FD5">
        <w:rPr>
          <w:rFonts w:asciiTheme="majorHAnsi" w:hAnsiTheme="majorHAnsi"/>
          <w:szCs w:val="22"/>
        </w:rPr>
        <w:t>s</w:t>
      </w:r>
      <w:r w:rsidR="001D30D0" w:rsidRPr="00A11FE0">
        <w:rPr>
          <w:rFonts w:asciiTheme="majorHAnsi" w:hAnsiTheme="majorHAnsi"/>
          <w:szCs w:val="22"/>
        </w:rPr>
        <w:t>a medzi r</w:t>
      </w:r>
      <w:r w:rsidR="00395FCB">
        <w:rPr>
          <w:rFonts w:asciiTheme="majorHAnsi" w:hAnsiTheme="majorHAnsi"/>
          <w:szCs w:val="22"/>
        </w:rPr>
        <w:t>okmi</w:t>
      </w:r>
      <w:r w:rsidR="001D30D0" w:rsidRPr="00A11FE0">
        <w:rPr>
          <w:rFonts w:asciiTheme="majorHAnsi" w:hAnsiTheme="majorHAnsi"/>
          <w:szCs w:val="22"/>
        </w:rPr>
        <w:t xml:space="preserve"> 2008 </w:t>
      </w:r>
      <w:r w:rsidR="00BD5FD5">
        <w:rPr>
          <w:rFonts w:asciiTheme="majorHAnsi" w:hAnsiTheme="majorHAnsi"/>
          <w:szCs w:val="22"/>
        </w:rPr>
        <w:t>a </w:t>
      </w:r>
      <w:r w:rsidR="001D30D0" w:rsidRPr="00A11FE0">
        <w:rPr>
          <w:rFonts w:asciiTheme="majorHAnsi" w:hAnsiTheme="majorHAnsi"/>
          <w:szCs w:val="22"/>
        </w:rPr>
        <w:t>2012 znížil o</w:t>
      </w:r>
      <w:r w:rsidR="00395FCB">
        <w:rPr>
          <w:rFonts w:asciiTheme="majorHAnsi" w:hAnsiTheme="majorHAnsi"/>
          <w:szCs w:val="22"/>
        </w:rPr>
        <w:t> </w:t>
      </w:r>
      <w:r w:rsidR="001D30D0" w:rsidRPr="00A11FE0">
        <w:rPr>
          <w:rFonts w:asciiTheme="majorHAnsi" w:hAnsiTheme="majorHAnsi"/>
          <w:szCs w:val="22"/>
        </w:rPr>
        <w:t>51</w:t>
      </w:r>
      <w:r w:rsidR="00395FCB">
        <w:rPr>
          <w:rFonts w:asciiTheme="majorHAnsi" w:hAnsiTheme="majorHAnsi"/>
          <w:szCs w:val="22"/>
        </w:rPr>
        <w:t xml:space="preserve"> </w:t>
      </w:r>
      <w:r w:rsidR="001D30D0" w:rsidRPr="00A11FE0">
        <w:rPr>
          <w:rFonts w:asciiTheme="majorHAnsi" w:hAnsiTheme="majorHAnsi"/>
          <w:szCs w:val="22"/>
        </w:rPr>
        <w:t xml:space="preserve">%). </w:t>
      </w:r>
      <w:r w:rsidRPr="00A11FE0">
        <w:rPr>
          <w:rFonts w:asciiTheme="majorHAnsi" w:hAnsiTheme="majorHAnsi"/>
          <w:szCs w:val="22"/>
        </w:rPr>
        <w:t xml:space="preserve">V dôsledku týchto existenciálnych problémov </w:t>
      </w:r>
      <w:r w:rsidR="00555D0F" w:rsidRPr="00A11FE0">
        <w:rPr>
          <w:rFonts w:asciiTheme="majorHAnsi" w:hAnsiTheme="majorHAnsi"/>
          <w:szCs w:val="22"/>
        </w:rPr>
        <w:t xml:space="preserve">majú </w:t>
      </w:r>
      <w:r w:rsidRPr="00A11FE0">
        <w:rPr>
          <w:rFonts w:asciiTheme="majorHAnsi" w:hAnsiTheme="majorHAnsi"/>
          <w:szCs w:val="22"/>
        </w:rPr>
        <w:t xml:space="preserve">MSP len obmedzený priestor na expanziu, rozširovanie podnikania, zavádzanie inovácií </w:t>
      </w:r>
      <w:r w:rsidR="00BD5FD5">
        <w:rPr>
          <w:rFonts w:asciiTheme="majorHAnsi" w:hAnsiTheme="majorHAnsi"/>
          <w:szCs w:val="22"/>
        </w:rPr>
        <w:t>a </w:t>
      </w:r>
      <w:r w:rsidRPr="00A11FE0">
        <w:rPr>
          <w:rFonts w:asciiTheme="majorHAnsi" w:hAnsiTheme="majorHAnsi"/>
          <w:szCs w:val="22"/>
        </w:rPr>
        <w:t>zvyšovanie počtu pracovných miest.</w:t>
      </w:r>
    </w:p>
    <w:p w:rsidR="00492F4C" w:rsidRPr="00A11FE0" w:rsidRDefault="00492F4C" w:rsidP="00492F4C">
      <w:pPr>
        <w:rPr>
          <w:rFonts w:asciiTheme="majorHAnsi" w:hAnsiTheme="majorHAnsi"/>
          <w:szCs w:val="22"/>
        </w:rPr>
      </w:pPr>
      <w:r w:rsidRPr="00A11FE0">
        <w:rPr>
          <w:rFonts w:asciiTheme="majorHAnsi" w:hAnsiTheme="majorHAnsi"/>
          <w:szCs w:val="22"/>
        </w:rPr>
        <w:t xml:space="preserve">Firmy, </w:t>
      </w:r>
      <w:r w:rsidR="00BD5FD5">
        <w:rPr>
          <w:rFonts w:asciiTheme="majorHAnsi" w:hAnsiTheme="majorHAnsi"/>
          <w:szCs w:val="22"/>
        </w:rPr>
        <w:t>k</w:t>
      </w:r>
      <w:r w:rsidRPr="00A11FE0">
        <w:rPr>
          <w:rFonts w:asciiTheme="majorHAnsi" w:hAnsiTheme="majorHAnsi"/>
          <w:szCs w:val="22"/>
        </w:rPr>
        <w:t xml:space="preserve">toré obzvlášť prispievajú </w:t>
      </w:r>
      <w:r w:rsidR="00BD5FD5">
        <w:rPr>
          <w:rFonts w:asciiTheme="majorHAnsi" w:hAnsiTheme="majorHAnsi"/>
          <w:szCs w:val="22"/>
        </w:rPr>
        <w:t>k </w:t>
      </w:r>
      <w:r w:rsidRPr="00A11FE0">
        <w:rPr>
          <w:rFonts w:asciiTheme="majorHAnsi" w:hAnsiTheme="majorHAnsi"/>
          <w:szCs w:val="22"/>
        </w:rPr>
        <w:t>vytváraniu nových pracovných miest</w:t>
      </w:r>
      <w:r w:rsidR="00CB0D4C" w:rsidRPr="00A11FE0">
        <w:rPr>
          <w:rFonts w:asciiTheme="majorHAnsi" w:hAnsiTheme="majorHAnsi"/>
          <w:szCs w:val="22"/>
        </w:rPr>
        <w:t>,</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ú malé začínajúce </w:t>
      </w:r>
      <w:r w:rsidR="006D5E58">
        <w:rPr>
          <w:rFonts w:asciiTheme="majorHAnsi" w:hAnsiTheme="majorHAnsi"/>
          <w:szCs w:val="22"/>
        </w:rPr>
        <w:t>podniky</w:t>
      </w:r>
      <w:r w:rsidR="006D5E58" w:rsidRPr="00A11FE0">
        <w:rPr>
          <w:rFonts w:asciiTheme="majorHAnsi" w:hAnsiTheme="majorHAnsi"/>
          <w:szCs w:val="22"/>
        </w:rPr>
        <w:t xml:space="preserve"> </w:t>
      </w:r>
      <w:r w:rsidRPr="00A11FE0">
        <w:rPr>
          <w:rFonts w:asciiTheme="majorHAnsi" w:hAnsiTheme="majorHAnsi"/>
          <w:szCs w:val="22"/>
        </w:rPr>
        <w:t xml:space="preserve">prinášajúce inovatívne produkty </w:t>
      </w:r>
      <w:r w:rsidR="00BD5FD5">
        <w:rPr>
          <w:rFonts w:asciiTheme="majorHAnsi" w:hAnsiTheme="majorHAnsi"/>
          <w:szCs w:val="22"/>
        </w:rPr>
        <w:t>a s</w:t>
      </w:r>
      <w:r w:rsidRPr="00A11FE0">
        <w:rPr>
          <w:rFonts w:asciiTheme="majorHAnsi" w:hAnsiTheme="majorHAnsi"/>
          <w:szCs w:val="22"/>
        </w:rPr>
        <w:t xml:space="preserve">lužby, zväčša na báze technológií </w:t>
      </w:r>
      <w:r w:rsidR="00BD5FD5">
        <w:rPr>
          <w:rFonts w:asciiTheme="majorHAnsi" w:hAnsiTheme="majorHAnsi"/>
          <w:szCs w:val="22"/>
        </w:rPr>
        <w:t>a k</w:t>
      </w:r>
      <w:r w:rsidRPr="00A11FE0">
        <w:rPr>
          <w:rFonts w:asciiTheme="majorHAnsi" w:hAnsiTheme="majorHAnsi"/>
          <w:szCs w:val="22"/>
        </w:rPr>
        <w:t xml:space="preserve">reativity, </w:t>
      </w:r>
      <w:r w:rsidR="00BD5FD5">
        <w:rPr>
          <w:rFonts w:asciiTheme="majorHAnsi" w:hAnsiTheme="majorHAnsi"/>
          <w:szCs w:val="22"/>
        </w:rPr>
        <w:t>k</w:t>
      </w:r>
      <w:r w:rsidRPr="00A11FE0">
        <w:rPr>
          <w:rFonts w:asciiTheme="majorHAnsi" w:hAnsiTheme="majorHAnsi"/>
          <w:szCs w:val="22"/>
        </w:rPr>
        <w:t xml:space="preserve">toré majú potenciál </w:t>
      </w:r>
      <w:r w:rsidR="00BD5FD5">
        <w:rPr>
          <w:rFonts w:asciiTheme="majorHAnsi" w:hAnsiTheme="majorHAnsi"/>
          <w:szCs w:val="22"/>
        </w:rPr>
        <w:t>a</w:t>
      </w:r>
      <w:r w:rsidRPr="00A11FE0">
        <w:rPr>
          <w:rFonts w:asciiTheme="majorHAnsi" w:hAnsiTheme="majorHAnsi"/>
          <w:szCs w:val="22"/>
        </w:rPr>
        <w:t xml:space="preserve">j </w:t>
      </w:r>
      <w:r w:rsidR="00BD5FD5">
        <w:rPr>
          <w:rFonts w:asciiTheme="majorHAnsi" w:hAnsiTheme="majorHAnsi"/>
          <w:szCs w:val="22"/>
        </w:rPr>
        <w:t>a</w:t>
      </w:r>
      <w:r w:rsidRPr="00A11FE0">
        <w:rPr>
          <w:rFonts w:asciiTheme="majorHAnsi" w:hAnsiTheme="majorHAnsi"/>
          <w:szCs w:val="22"/>
        </w:rPr>
        <w:t>mbície pre</w:t>
      </w:r>
      <w:r w:rsidR="00B81256" w:rsidRPr="00A11FE0">
        <w:rPr>
          <w:rFonts w:asciiTheme="majorHAnsi" w:hAnsiTheme="majorHAnsi"/>
          <w:szCs w:val="22"/>
        </w:rPr>
        <w:t xml:space="preserve">sadiť </w:t>
      </w:r>
      <w:r w:rsidR="00BD5FD5">
        <w:rPr>
          <w:rFonts w:asciiTheme="majorHAnsi" w:hAnsiTheme="majorHAnsi"/>
          <w:szCs w:val="22"/>
        </w:rPr>
        <w:t>s</w:t>
      </w:r>
      <w:r w:rsidR="00B81256" w:rsidRPr="00A11FE0">
        <w:rPr>
          <w:rFonts w:asciiTheme="majorHAnsi" w:hAnsiTheme="majorHAnsi"/>
          <w:szCs w:val="22"/>
        </w:rPr>
        <w:t>a</w:t>
      </w:r>
      <w:r w:rsidRPr="00A11FE0">
        <w:rPr>
          <w:rFonts w:asciiTheme="majorHAnsi" w:hAnsiTheme="majorHAnsi"/>
          <w:szCs w:val="22"/>
        </w:rPr>
        <w:t xml:space="preserve"> na zahraničných trhoch</w:t>
      </w:r>
      <w:r w:rsidRPr="00A11FE0">
        <w:rPr>
          <w:rStyle w:val="Odkaznapoznmkupodiarou"/>
          <w:rFonts w:asciiTheme="majorHAnsi" w:hAnsiTheme="majorHAnsi"/>
          <w:szCs w:val="22"/>
        </w:rPr>
        <w:footnoteReference w:id="58"/>
      </w:r>
      <w:r w:rsidRPr="00A11FE0">
        <w:rPr>
          <w:rFonts w:asciiTheme="majorHAnsi" w:hAnsiTheme="majorHAnsi"/>
          <w:szCs w:val="22"/>
        </w:rPr>
        <w:t xml:space="preserve">. MSP </w:t>
      </w:r>
      <w:r w:rsidR="00BD5FD5">
        <w:rPr>
          <w:rFonts w:asciiTheme="majorHAnsi" w:hAnsiTheme="majorHAnsi"/>
          <w:szCs w:val="22"/>
        </w:rPr>
        <w:t>s</w:t>
      </w:r>
      <w:r w:rsidRPr="00A11FE0">
        <w:rPr>
          <w:rFonts w:asciiTheme="majorHAnsi" w:hAnsiTheme="majorHAnsi"/>
          <w:szCs w:val="22"/>
        </w:rPr>
        <w:t xml:space="preserve">chopné </w:t>
      </w:r>
      <w:r w:rsidR="00BD5FD5">
        <w:rPr>
          <w:rFonts w:asciiTheme="majorHAnsi" w:hAnsiTheme="majorHAnsi"/>
          <w:szCs w:val="22"/>
        </w:rPr>
        <w:t>k</w:t>
      </w:r>
      <w:r w:rsidRPr="00A11FE0">
        <w:rPr>
          <w:rFonts w:asciiTheme="majorHAnsi" w:hAnsiTheme="majorHAnsi"/>
          <w:szCs w:val="22"/>
        </w:rPr>
        <w:t>onkurovať na medzinárodnom trhu</w:t>
      </w:r>
      <w:r w:rsidR="00967DB1"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a profilujú v odvetviach výroby </w:t>
      </w:r>
      <w:r w:rsidR="00BD5FD5">
        <w:rPr>
          <w:rFonts w:asciiTheme="majorHAnsi" w:hAnsiTheme="majorHAnsi"/>
          <w:szCs w:val="22"/>
        </w:rPr>
        <w:t>s</w:t>
      </w:r>
      <w:r w:rsidRPr="00A11FE0">
        <w:rPr>
          <w:rFonts w:asciiTheme="majorHAnsi" w:hAnsiTheme="majorHAnsi"/>
          <w:szCs w:val="22"/>
        </w:rPr>
        <w:t> vysokou technologickou úrovňou</w:t>
      </w:r>
      <w:r w:rsidRPr="00A11FE0">
        <w:rPr>
          <w:rStyle w:val="Odkaznapoznmkupodiarou"/>
          <w:rFonts w:asciiTheme="majorHAnsi" w:hAnsiTheme="majorHAnsi"/>
          <w:szCs w:val="22"/>
        </w:rPr>
        <w:footnoteReference w:id="59"/>
      </w:r>
      <w:r w:rsidRPr="00A11FE0">
        <w:rPr>
          <w:rFonts w:asciiTheme="majorHAnsi" w:hAnsiTheme="majorHAnsi"/>
          <w:szCs w:val="22"/>
        </w:rPr>
        <w:t xml:space="preserve"> </w:t>
      </w:r>
      <w:r w:rsidR="00BD5FD5">
        <w:rPr>
          <w:rFonts w:asciiTheme="majorHAnsi" w:hAnsiTheme="majorHAnsi"/>
          <w:szCs w:val="22"/>
        </w:rPr>
        <w:lastRenderedPageBreak/>
        <w:t>a </w:t>
      </w:r>
      <w:r w:rsidRPr="00A11FE0">
        <w:rPr>
          <w:rFonts w:asciiTheme="majorHAnsi" w:hAnsiTheme="majorHAnsi"/>
          <w:szCs w:val="22"/>
        </w:rPr>
        <w:t>poznatkovo</w:t>
      </w:r>
      <w:r w:rsidR="00C80098">
        <w:rPr>
          <w:rFonts w:asciiTheme="majorHAnsi" w:hAnsiTheme="majorHAnsi"/>
          <w:szCs w:val="22"/>
        </w:rPr>
        <w:t xml:space="preserve"> </w:t>
      </w:r>
      <w:r w:rsidRPr="00A11FE0">
        <w:rPr>
          <w:rFonts w:asciiTheme="majorHAnsi" w:hAnsiTheme="majorHAnsi"/>
          <w:szCs w:val="22"/>
        </w:rPr>
        <w:t xml:space="preserve">intenzívnych </w:t>
      </w:r>
      <w:r w:rsidR="00BD5FD5">
        <w:rPr>
          <w:rFonts w:asciiTheme="majorHAnsi" w:hAnsiTheme="majorHAnsi"/>
          <w:szCs w:val="22"/>
        </w:rPr>
        <w:t>s</w:t>
      </w:r>
      <w:r w:rsidRPr="00A11FE0">
        <w:rPr>
          <w:rFonts w:asciiTheme="majorHAnsi" w:hAnsiTheme="majorHAnsi"/>
          <w:szCs w:val="22"/>
        </w:rPr>
        <w:t>lužieb</w:t>
      </w:r>
      <w:r w:rsidRPr="00A11FE0">
        <w:rPr>
          <w:rStyle w:val="Odkaznapoznmkupodiarou"/>
          <w:rFonts w:asciiTheme="majorHAnsi" w:hAnsiTheme="majorHAnsi"/>
          <w:szCs w:val="22"/>
        </w:rPr>
        <w:footnoteReference w:id="60"/>
      </w:r>
      <w:r w:rsidRPr="00A11FE0">
        <w:rPr>
          <w:rFonts w:asciiTheme="majorHAnsi" w:hAnsiTheme="majorHAnsi"/>
          <w:szCs w:val="22"/>
        </w:rPr>
        <w:t>. V</w:t>
      </w:r>
      <w:r w:rsidR="0066252E" w:rsidRPr="00A11FE0">
        <w:rPr>
          <w:rFonts w:asciiTheme="majorHAnsi" w:hAnsiTheme="majorHAnsi"/>
          <w:szCs w:val="22"/>
        </w:rPr>
        <w:t> </w:t>
      </w:r>
      <w:r w:rsidRPr="00A11FE0">
        <w:rPr>
          <w:rFonts w:asciiTheme="majorHAnsi" w:hAnsiTheme="majorHAnsi"/>
          <w:szCs w:val="22"/>
        </w:rPr>
        <w:t>nich</w:t>
      </w:r>
      <w:r w:rsidR="0066252E"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ú MSP zastúpen</w:t>
      </w:r>
      <w:r w:rsidR="00B81256" w:rsidRPr="00A11FE0">
        <w:rPr>
          <w:rFonts w:asciiTheme="majorHAnsi" w:hAnsiTheme="majorHAnsi"/>
          <w:szCs w:val="22"/>
        </w:rPr>
        <w:t>é</w:t>
      </w:r>
      <w:r w:rsidRPr="00A11FE0">
        <w:rPr>
          <w:rFonts w:asciiTheme="majorHAnsi" w:hAnsiTheme="majorHAnsi"/>
          <w:szCs w:val="22"/>
        </w:rPr>
        <w:t xml:space="preserve"> 3 % podnikov </w:t>
      </w:r>
      <w:r w:rsidR="00BD5FD5">
        <w:rPr>
          <w:rFonts w:asciiTheme="majorHAnsi" w:hAnsiTheme="majorHAnsi"/>
          <w:szCs w:val="22"/>
        </w:rPr>
        <w:t>a</w:t>
      </w:r>
      <w:r w:rsidRPr="00A11FE0">
        <w:rPr>
          <w:rFonts w:asciiTheme="majorHAnsi" w:hAnsiTheme="majorHAnsi"/>
          <w:szCs w:val="22"/>
        </w:rPr>
        <w:t xml:space="preserve"> 0,8 % podnikateľov – fyzických osôb v</w:t>
      </w:r>
      <w:r w:rsidR="00CC4A8D">
        <w:rPr>
          <w:rFonts w:asciiTheme="majorHAnsi" w:hAnsiTheme="majorHAnsi"/>
          <w:szCs w:val="22"/>
        </w:rPr>
        <w:t> </w:t>
      </w:r>
      <w:r w:rsidRPr="00A11FE0">
        <w:rPr>
          <w:rFonts w:asciiTheme="majorHAnsi" w:hAnsiTheme="majorHAnsi"/>
          <w:szCs w:val="22"/>
        </w:rPr>
        <w:t>odvetví</w:t>
      </w:r>
      <w:r w:rsidR="00CC4A8D">
        <w:rPr>
          <w:rFonts w:asciiTheme="majorHAnsi" w:hAnsiTheme="majorHAnsi"/>
          <w:szCs w:val="22"/>
        </w:rPr>
        <w:t xml:space="preserve"> </w:t>
      </w:r>
      <w:r w:rsidRPr="00A11FE0">
        <w:rPr>
          <w:rFonts w:asciiTheme="majorHAnsi" w:hAnsiTheme="majorHAnsi"/>
          <w:szCs w:val="22"/>
        </w:rPr>
        <w:t>priemyslu (</w:t>
      </w:r>
      <w:r w:rsidR="00BD5FD5">
        <w:rPr>
          <w:rFonts w:asciiTheme="majorHAnsi" w:hAnsiTheme="majorHAnsi"/>
          <w:szCs w:val="22"/>
        </w:rPr>
        <w:t>s</w:t>
      </w:r>
      <w:r w:rsidRPr="00A11FE0">
        <w:rPr>
          <w:rFonts w:asciiTheme="majorHAnsi" w:hAnsiTheme="majorHAnsi"/>
          <w:szCs w:val="22"/>
        </w:rPr>
        <w:t xml:space="preserve">ektory </w:t>
      </w:r>
      <w:r w:rsidR="00BD5FD5">
        <w:rPr>
          <w:rFonts w:asciiTheme="majorHAnsi" w:hAnsiTheme="majorHAnsi"/>
          <w:szCs w:val="22"/>
        </w:rPr>
        <w:t>s </w:t>
      </w:r>
      <w:r w:rsidRPr="00A11FE0">
        <w:rPr>
          <w:rFonts w:asciiTheme="majorHAnsi" w:hAnsiTheme="majorHAnsi"/>
          <w:szCs w:val="22"/>
        </w:rPr>
        <w:t>vysokou</w:t>
      </w:r>
      <w:r w:rsidR="00D53987" w:rsidRPr="00A11FE0">
        <w:rPr>
          <w:rFonts w:asciiTheme="majorHAnsi" w:hAnsiTheme="majorHAnsi"/>
          <w:szCs w:val="22"/>
        </w:rPr>
        <w:t xml:space="preserve"> </w:t>
      </w:r>
      <w:r w:rsidRPr="00A11FE0">
        <w:rPr>
          <w:rFonts w:asciiTheme="majorHAnsi" w:hAnsiTheme="majorHAnsi"/>
          <w:szCs w:val="22"/>
        </w:rPr>
        <w:t xml:space="preserve">technologickou úrovňou) </w:t>
      </w:r>
      <w:r w:rsidR="00BD5FD5">
        <w:rPr>
          <w:rFonts w:asciiTheme="majorHAnsi" w:hAnsiTheme="majorHAnsi"/>
          <w:szCs w:val="22"/>
        </w:rPr>
        <w:t>a</w:t>
      </w:r>
      <w:r w:rsidR="00CC4A8D">
        <w:rPr>
          <w:rFonts w:asciiTheme="majorHAnsi" w:hAnsiTheme="majorHAnsi"/>
          <w:szCs w:val="22"/>
        </w:rPr>
        <w:t> </w:t>
      </w:r>
      <w:r w:rsidRPr="00A11FE0">
        <w:rPr>
          <w:rFonts w:asciiTheme="majorHAnsi" w:hAnsiTheme="majorHAnsi"/>
          <w:szCs w:val="22"/>
        </w:rPr>
        <w:t>35,</w:t>
      </w:r>
      <w:r w:rsidR="001D30D0" w:rsidRPr="00A11FE0">
        <w:rPr>
          <w:rFonts w:asciiTheme="majorHAnsi" w:hAnsiTheme="majorHAnsi"/>
          <w:szCs w:val="22"/>
        </w:rPr>
        <w:t xml:space="preserve">1 </w:t>
      </w:r>
      <w:r w:rsidRPr="00A11FE0">
        <w:rPr>
          <w:rFonts w:asciiTheme="majorHAnsi" w:hAnsiTheme="majorHAnsi"/>
          <w:szCs w:val="22"/>
        </w:rPr>
        <w:t xml:space="preserve">% podnikov </w:t>
      </w:r>
      <w:r w:rsidR="00BD5FD5">
        <w:rPr>
          <w:rFonts w:asciiTheme="majorHAnsi" w:hAnsiTheme="majorHAnsi"/>
          <w:szCs w:val="22"/>
        </w:rPr>
        <w:t>a </w:t>
      </w:r>
      <w:r w:rsidRPr="00A11FE0">
        <w:rPr>
          <w:rFonts w:asciiTheme="majorHAnsi" w:hAnsiTheme="majorHAnsi"/>
          <w:szCs w:val="22"/>
        </w:rPr>
        <w:t>2</w:t>
      </w:r>
      <w:r w:rsidR="001D30D0" w:rsidRPr="00A11FE0">
        <w:rPr>
          <w:rFonts w:asciiTheme="majorHAnsi" w:hAnsiTheme="majorHAnsi"/>
          <w:szCs w:val="22"/>
        </w:rPr>
        <w:t>7</w:t>
      </w:r>
      <w:r w:rsidRPr="00A11FE0">
        <w:rPr>
          <w:rFonts w:asciiTheme="majorHAnsi" w:hAnsiTheme="majorHAnsi"/>
          <w:szCs w:val="22"/>
        </w:rPr>
        <w:t>,</w:t>
      </w:r>
      <w:r w:rsidR="001D30D0" w:rsidRPr="00A11FE0">
        <w:rPr>
          <w:rFonts w:asciiTheme="majorHAnsi" w:hAnsiTheme="majorHAnsi"/>
          <w:szCs w:val="22"/>
        </w:rPr>
        <w:t>1</w:t>
      </w:r>
      <w:r w:rsidRPr="00A11FE0">
        <w:rPr>
          <w:rFonts w:asciiTheme="majorHAnsi" w:hAnsiTheme="majorHAnsi"/>
          <w:szCs w:val="22"/>
        </w:rPr>
        <w:t xml:space="preserve"> % podnikateľov – fyzických osôb v</w:t>
      </w:r>
      <w:r w:rsidR="0066252E" w:rsidRPr="00A11FE0">
        <w:rPr>
          <w:rFonts w:asciiTheme="majorHAnsi" w:hAnsiTheme="majorHAnsi"/>
          <w:szCs w:val="22"/>
        </w:rPr>
        <w:t> </w:t>
      </w:r>
      <w:r w:rsidRPr="00A11FE0">
        <w:rPr>
          <w:rFonts w:asciiTheme="majorHAnsi" w:hAnsiTheme="majorHAnsi"/>
          <w:szCs w:val="22"/>
        </w:rPr>
        <w:t>odvetví</w:t>
      </w:r>
      <w:r w:rsidR="0066252E"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lužieb (</w:t>
      </w:r>
      <w:r w:rsidR="00BD5FD5">
        <w:rPr>
          <w:rFonts w:asciiTheme="majorHAnsi" w:hAnsiTheme="majorHAnsi"/>
          <w:szCs w:val="22"/>
        </w:rPr>
        <w:t>s</w:t>
      </w:r>
      <w:r w:rsidRPr="00A11FE0">
        <w:rPr>
          <w:rFonts w:asciiTheme="majorHAnsi" w:hAnsiTheme="majorHAnsi"/>
          <w:szCs w:val="22"/>
        </w:rPr>
        <w:t xml:space="preserve">ektory </w:t>
      </w:r>
      <w:r w:rsidR="00BD5FD5">
        <w:rPr>
          <w:rFonts w:asciiTheme="majorHAnsi" w:hAnsiTheme="majorHAnsi"/>
          <w:szCs w:val="22"/>
        </w:rPr>
        <w:t>s </w:t>
      </w:r>
      <w:r w:rsidRPr="00A11FE0">
        <w:rPr>
          <w:rFonts w:asciiTheme="majorHAnsi" w:hAnsiTheme="majorHAnsi"/>
          <w:szCs w:val="22"/>
        </w:rPr>
        <w:t xml:space="preserve">poznatkovo intenzívnymi </w:t>
      </w:r>
      <w:r w:rsidR="00BD5FD5">
        <w:rPr>
          <w:rFonts w:asciiTheme="majorHAnsi" w:hAnsiTheme="majorHAnsi"/>
          <w:szCs w:val="22"/>
        </w:rPr>
        <w:t>s</w:t>
      </w:r>
      <w:r w:rsidRPr="00A11FE0">
        <w:rPr>
          <w:rFonts w:asciiTheme="majorHAnsi" w:hAnsiTheme="majorHAnsi"/>
          <w:szCs w:val="22"/>
        </w:rPr>
        <w:t>lužbami)</w:t>
      </w:r>
      <w:r w:rsidR="00CB0D4C" w:rsidRPr="00A11FE0">
        <w:rPr>
          <w:rFonts w:asciiTheme="majorHAnsi" w:hAnsiTheme="majorHAnsi"/>
          <w:szCs w:val="22"/>
        </w:rPr>
        <w:t>.</w:t>
      </w:r>
      <w:r w:rsidR="006D5E58">
        <w:rPr>
          <w:rFonts w:asciiTheme="majorHAnsi" w:hAnsiTheme="majorHAnsi"/>
          <w:szCs w:val="22"/>
        </w:rPr>
        <w:t xml:space="preserve"> </w:t>
      </w:r>
      <w:r w:rsidR="00CB0D4C" w:rsidRPr="00A11FE0">
        <w:rPr>
          <w:rFonts w:asciiTheme="majorHAnsi" w:hAnsiTheme="majorHAnsi"/>
          <w:szCs w:val="22"/>
        </w:rPr>
        <w:t>T</w:t>
      </w:r>
      <w:r w:rsidRPr="00A11FE0">
        <w:rPr>
          <w:rFonts w:asciiTheme="majorHAnsi" w:hAnsiTheme="majorHAnsi"/>
          <w:szCs w:val="22"/>
        </w:rPr>
        <w:t xml:space="preserve">ento podiel </w:t>
      </w:r>
      <w:r w:rsidR="00BD5FD5">
        <w:rPr>
          <w:rFonts w:asciiTheme="majorHAnsi" w:hAnsiTheme="majorHAnsi"/>
          <w:szCs w:val="22"/>
        </w:rPr>
        <w:t>s</w:t>
      </w:r>
      <w:r w:rsidRPr="00A11FE0">
        <w:rPr>
          <w:rFonts w:asciiTheme="majorHAnsi" w:hAnsiTheme="majorHAnsi"/>
          <w:szCs w:val="22"/>
        </w:rPr>
        <w:t>a v</w:t>
      </w:r>
      <w:r w:rsidR="00D33556" w:rsidRPr="00A11FE0">
        <w:rPr>
          <w:rFonts w:asciiTheme="majorHAnsi" w:hAnsiTheme="majorHAnsi"/>
          <w:szCs w:val="22"/>
        </w:rPr>
        <w:t> </w:t>
      </w:r>
      <w:r w:rsidR="00CB0D4C" w:rsidRPr="00A11FE0">
        <w:rPr>
          <w:rFonts w:asciiTheme="majorHAnsi" w:hAnsiTheme="majorHAnsi"/>
          <w:szCs w:val="22"/>
        </w:rPr>
        <w:t xml:space="preserve">ostatných </w:t>
      </w:r>
      <w:r w:rsidRPr="00A11FE0">
        <w:rPr>
          <w:rFonts w:asciiTheme="majorHAnsi" w:hAnsiTheme="majorHAnsi"/>
          <w:szCs w:val="22"/>
        </w:rPr>
        <w:t xml:space="preserve">rokoch nemení, mierne </w:t>
      </w:r>
      <w:r w:rsidR="00BD5FD5">
        <w:rPr>
          <w:rFonts w:asciiTheme="majorHAnsi" w:hAnsiTheme="majorHAnsi"/>
          <w:szCs w:val="22"/>
        </w:rPr>
        <w:t>s</w:t>
      </w:r>
      <w:r w:rsidRPr="00A11FE0">
        <w:rPr>
          <w:rFonts w:asciiTheme="majorHAnsi" w:hAnsiTheme="majorHAnsi"/>
          <w:szCs w:val="22"/>
        </w:rPr>
        <w:t>a zvyšuje len v</w:t>
      </w:r>
      <w:r w:rsidR="00C80098">
        <w:rPr>
          <w:rFonts w:asciiTheme="majorHAnsi" w:hAnsiTheme="majorHAnsi"/>
          <w:szCs w:val="22"/>
        </w:rPr>
        <w:t> </w:t>
      </w:r>
      <w:r w:rsidRPr="00A11FE0">
        <w:rPr>
          <w:rFonts w:asciiTheme="majorHAnsi" w:hAnsiTheme="majorHAnsi"/>
          <w:szCs w:val="22"/>
        </w:rPr>
        <w:t>oblasti</w:t>
      </w:r>
      <w:r w:rsidR="00C80098">
        <w:rPr>
          <w:rFonts w:asciiTheme="majorHAnsi" w:hAnsiTheme="majorHAnsi"/>
          <w:szCs w:val="22"/>
        </w:rPr>
        <w:t xml:space="preserve"> </w:t>
      </w:r>
      <w:r w:rsidRPr="00A11FE0">
        <w:rPr>
          <w:rFonts w:asciiTheme="majorHAnsi" w:hAnsiTheme="majorHAnsi"/>
          <w:szCs w:val="22"/>
        </w:rPr>
        <w:t xml:space="preserve">poznatkovo intenzívnych </w:t>
      </w:r>
      <w:r w:rsidR="00BD5FD5">
        <w:rPr>
          <w:rFonts w:asciiTheme="majorHAnsi" w:hAnsiTheme="majorHAnsi"/>
          <w:szCs w:val="22"/>
        </w:rPr>
        <w:t>s</w:t>
      </w:r>
      <w:r w:rsidRPr="00A11FE0">
        <w:rPr>
          <w:rFonts w:asciiTheme="majorHAnsi" w:hAnsiTheme="majorHAnsi"/>
          <w:szCs w:val="22"/>
        </w:rPr>
        <w:t>lužieb.</w:t>
      </w:r>
    </w:p>
    <w:p w:rsidR="00492F4C" w:rsidRPr="00A11FE0" w:rsidRDefault="008561BD" w:rsidP="00215373">
      <w:pPr>
        <w:pStyle w:val="Nadpis5"/>
        <w:numPr>
          <w:ilvl w:val="4"/>
          <w:numId w:val="2"/>
        </w:numPr>
        <w:ind w:left="1292"/>
      </w:pPr>
      <w:r w:rsidRPr="00A11FE0">
        <w:t xml:space="preserve">Nedostatočný prístup </w:t>
      </w:r>
      <w:r w:rsidR="00BD5FD5">
        <w:t>k</w:t>
      </w:r>
      <w:r w:rsidRPr="00A11FE0">
        <w:t xml:space="preserve"> financovaniu</w:t>
      </w:r>
    </w:p>
    <w:p w:rsidR="00492F4C" w:rsidRPr="00A11FE0" w:rsidRDefault="00492F4C" w:rsidP="00492F4C">
      <w:pPr>
        <w:rPr>
          <w:rFonts w:asciiTheme="majorHAnsi" w:hAnsiTheme="majorHAnsi"/>
          <w:szCs w:val="22"/>
        </w:rPr>
      </w:pPr>
      <w:r w:rsidRPr="00A11FE0">
        <w:rPr>
          <w:rFonts w:asciiTheme="majorHAnsi" w:hAnsiTheme="majorHAnsi"/>
          <w:szCs w:val="22"/>
        </w:rPr>
        <w:t xml:space="preserve">Existujúce nástroje podpory na základe priamych dotácií </w:t>
      </w:r>
      <w:r w:rsidR="00BD5FD5">
        <w:rPr>
          <w:rFonts w:asciiTheme="majorHAnsi" w:hAnsiTheme="majorHAnsi"/>
          <w:szCs w:val="22"/>
        </w:rPr>
        <w:t>s</w:t>
      </w:r>
      <w:r w:rsidRPr="00A11FE0">
        <w:rPr>
          <w:rFonts w:asciiTheme="majorHAnsi" w:hAnsiTheme="majorHAnsi"/>
          <w:szCs w:val="22"/>
        </w:rPr>
        <w:t xml:space="preserve">a okrem nedostatočnej </w:t>
      </w:r>
      <w:r w:rsidR="00BD5FD5">
        <w:rPr>
          <w:rFonts w:asciiTheme="majorHAnsi" w:hAnsiTheme="majorHAnsi"/>
          <w:szCs w:val="22"/>
        </w:rPr>
        <w:t>k</w:t>
      </w:r>
      <w:r w:rsidRPr="00A11FE0">
        <w:rPr>
          <w:rFonts w:asciiTheme="majorHAnsi" w:hAnsiTheme="majorHAnsi"/>
          <w:szCs w:val="22"/>
        </w:rPr>
        <w:t xml:space="preserve">vality riadenia ukazujú </w:t>
      </w:r>
      <w:r w:rsidR="00BD5FD5">
        <w:rPr>
          <w:rFonts w:asciiTheme="majorHAnsi" w:hAnsiTheme="majorHAnsi"/>
          <w:szCs w:val="22"/>
        </w:rPr>
        <w:t>ak</w:t>
      </w:r>
      <w:r w:rsidRPr="00A11FE0">
        <w:rPr>
          <w:rFonts w:asciiTheme="majorHAnsi" w:hAnsiTheme="majorHAnsi"/>
          <w:szCs w:val="22"/>
        </w:rPr>
        <w:t>o ekonomicky neefektívne</w:t>
      </w:r>
      <w:r w:rsidRPr="00A11FE0">
        <w:rPr>
          <w:rStyle w:val="Odkaznapoznmkupodiarou"/>
          <w:rFonts w:asciiTheme="majorHAnsi" w:hAnsiTheme="majorHAnsi"/>
          <w:szCs w:val="22"/>
        </w:rPr>
        <w:footnoteReference w:id="61"/>
      </w:r>
      <w:r w:rsidRPr="00A11FE0">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 xml:space="preserve">málo účinné. </w:t>
      </w:r>
      <w:r w:rsidRPr="00A11FE0">
        <w:rPr>
          <w:rFonts w:asciiTheme="majorHAnsi" w:hAnsiTheme="majorHAnsi"/>
        </w:rPr>
        <w:t xml:space="preserve">Na základe </w:t>
      </w:r>
      <w:r w:rsidR="006D5E58">
        <w:rPr>
          <w:rFonts w:asciiTheme="majorHAnsi" w:hAnsiTheme="majorHAnsi"/>
        </w:rPr>
        <w:t xml:space="preserve">vykonaného </w:t>
      </w:r>
      <w:r w:rsidRPr="00A11FE0">
        <w:rPr>
          <w:rFonts w:asciiTheme="majorHAnsi" w:hAnsiTheme="majorHAnsi"/>
        </w:rPr>
        <w:t xml:space="preserve">prieskumu </w:t>
      </w:r>
      <w:r w:rsidR="00BD5FD5" w:rsidRPr="00774889">
        <w:rPr>
          <w:rFonts w:asciiTheme="majorHAnsi" w:hAnsiTheme="majorHAnsi"/>
        </w:rPr>
        <w:t>S</w:t>
      </w:r>
      <w:r w:rsidRPr="00774889">
        <w:rPr>
          <w:rFonts w:asciiTheme="majorHAnsi" w:hAnsiTheme="majorHAnsi"/>
        </w:rPr>
        <w:t>BA</w:t>
      </w:r>
      <w:r w:rsidRPr="00893E58">
        <w:rPr>
          <w:rFonts w:asciiTheme="majorHAnsi" w:hAnsiTheme="majorHAnsi"/>
        </w:rPr>
        <w:t xml:space="preserve"> </w:t>
      </w:r>
      <w:r w:rsidRPr="00A11FE0">
        <w:rPr>
          <w:rFonts w:asciiTheme="majorHAnsi" w:hAnsiTheme="majorHAnsi"/>
        </w:rPr>
        <w:t xml:space="preserve">hodnotí možnosti získania finančných zdrojov z podporných programov pre </w:t>
      </w:r>
      <w:r w:rsidR="00BD5FD5">
        <w:rPr>
          <w:rFonts w:asciiTheme="majorHAnsi" w:hAnsiTheme="majorHAnsi"/>
        </w:rPr>
        <w:t>s</w:t>
      </w:r>
      <w:r w:rsidRPr="00A11FE0">
        <w:rPr>
          <w:rFonts w:asciiTheme="majorHAnsi" w:hAnsiTheme="majorHAnsi"/>
        </w:rPr>
        <w:t xml:space="preserve">voje podnikanie viac </w:t>
      </w:r>
      <w:r w:rsidR="00BD5FD5">
        <w:rPr>
          <w:rFonts w:asciiTheme="majorHAnsi" w:hAnsiTheme="majorHAnsi"/>
        </w:rPr>
        <w:t>ak</w:t>
      </w:r>
      <w:r w:rsidRPr="00A11FE0">
        <w:rPr>
          <w:rFonts w:asciiTheme="majorHAnsi" w:hAnsiTheme="majorHAnsi"/>
        </w:rPr>
        <w:t>o polovica (53</w:t>
      </w:r>
      <w:r w:rsidR="008B386A">
        <w:rPr>
          <w:rFonts w:asciiTheme="majorHAnsi" w:hAnsiTheme="majorHAnsi"/>
        </w:rPr>
        <w:t xml:space="preserve"> </w:t>
      </w:r>
      <w:r w:rsidRPr="00A11FE0">
        <w:rPr>
          <w:rFonts w:asciiTheme="majorHAnsi" w:hAnsiTheme="majorHAnsi"/>
        </w:rPr>
        <w:t xml:space="preserve">%) oslovených MSP </w:t>
      </w:r>
      <w:r w:rsidR="00BD5FD5">
        <w:rPr>
          <w:rFonts w:asciiTheme="majorHAnsi" w:hAnsiTheme="majorHAnsi"/>
        </w:rPr>
        <w:t>ak</w:t>
      </w:r>
      <w:r w:rsidRPr="00A11FE0">
        <w:rPr>
          <w:rFonts w:asciiTheme="majorHAnsi" w:hAnsiTheme="majorHAnsi"/>
        </w:rPr>
        <w:t>o nedostatočné</w:t>
      </w:r>
      <w:r w:rsidRPr="00A11FE0">
        <w:rPr>
          <w:rStyle w:val="Odkaznapoznmkupodiarou"/>
          <w:rFonts w:asciiTheme="majorHAnsi" w:hAnsiTheme="majorHAnsi"/>
        </w:rPr>
        <w:footnoteReference w:id="62"/>
      </w:r>
      <w:r w:rsidRPr="00A11FE0">
        <w:rPr>
          <w:rFonts w:asciiTheme="majorHAnsi" w:hAnsiTheme="majorHAnsi"/>
        </w:rPr>
        <w:t xml:space="preserve">. </w:t>
      </w:r>
      <w:r w:rsidRPr="00A11FE0">
        <w:rPr>
          <w:rFonts w:asciiTheme="majorHAnsi" w:hAnsiTheme="majorHAnsi"/>
          <w:szCs w:val="22"/>
        </w:rPr>
        <w:t>Riadenie podpory</w:t>
      </w:r>
      <w:r w:rsidR="00967DB1" w:rsidRPr="00A11FE0">
        <w:rPr>
          <w:rFonts w:asciiTheme="majorHAnsi" w:hAnsiTheme="majorHAnsi"/>
          <w:szCs w:val="22"/>
        </w:rPr>
        <w:t xml:space="preserve"> </w:t>
      </w:r>
      <w:r w:rsidRPr="00A11FE0">
        <w:rPr>
          <w:rFonts w:asciiTheme="majorHAnsi" w:hAnsiTheme="majorHAnsi"/>
          <w:szCs w:val="22"/>
        </w:rPr>
        <w:t xml:space="preserve">je organizačne roztrieštené medzi </w:t>
      </w:r>
      <w:r w:rsidR="006D5E58">
        <w:rPr>
          <w:rFonts w:asciiTheme="majorHAnsi" w:hAnsiTheme="majorHAnsi"/>
          <w:szCs w:val="22"/>
        </w:rPr>
        <w:t>ministerstvá</w:t>
      </w:r>
      <w:r w:rsidRPr="00A11FE0">
        <w:rPr>
          <w:rFonts w:asciiTheme="majorHAnsi" w:hAnsiTheme="majorHAnsi"/>
          <w:szCs w:val="22"/>
        </w:rPr>
        <w:t xml:space="preserve">,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 xml:space="preserve">j medzi rôzne organizácie </w:t>
      </w:r>
      <w:r w:rsidR="00BD5FD5">
        <w:rPr>
          <w:rFonts w:asciiTheme="majorHAnsi" w:hAnsiTheme="majorHAnsi"/>
          <w:szCs w:val="22"/>
        </w:rPr>
        <w:t>s</w:t>
      </w:r>
      <w:r w:rsidRPr="00A11FE0">
        <w:rPr>
          <w:rFonts w:asciiTheme="majorHAnsi" w:hAnsiTheme="majorHAnsi"/>
          <w:szCs w:val="22"/>
        </w:rPr>
        <w:t xml:space="preserve">padajúce pod </w:t>
      </w:r>
      <w:r w:rsidR="005D333D">
        <w:rPr>
          <w:rFonts w:asciiTheme="majorHAnsi" w:hAnsiTheme="majorHAnsi"/>
          <w:szCs w:val="22"/>
        </w:rPr>
        <w:t>prislúchajúc</w:t>
      </w:r>
      <w:r w:rsidR="006D5E58">
        <w:rPr>
          <w:rFonts w:asciiTheme="majorHAnsi" w:hAnsiTheme="majorHAnsi"/>
          <w:szCs w:val="22"/>
        </w:rPr>
        <w:t>i</w:t>
      </w:r>
      <w:r w:rsidR="005D333D">
        <w:rPr>
          <w:rFonts w:asciiTheme="majorHAnsi" w:hAnsiTheme="majorHAnsi"/>
          <w:szCs w:val="22"/>
        </w:rPr>
        <w:t xml:space="preserve"> </w:t>
      </w:r>
      <w:r w:rsidR="006D5E58">
        <w:rPr>
          <w:rFonts w:asciiTheme="majorHAnsi" w:hAnsiTheme="majorHAnsi"/>
          <w:szCs w:val="22"/>
        </w:rPr>
        <w:t>ústredný orgán štátnej správy</w:t>
      </w:r>
      <w:r w:rsidRPr="00A11FE0">
        <w:rPr>
          <w:rStyle w:val="Odkaznapoznmkupodiarou"/>
          <w:rFonts w:asciiTheme="majorHAnsi" w:hAnsiTheme="majorHAnsi"/>
          <w:szCs w:val="22"/>
        </w:rPr>
        <w:footnoteReference w:id="63"/>
      </w:r>
      <w:r w:rsidRPr="00A11FE0">
        <w:rPr>
          <w:rFonts w:asciiTheme="majorHAnsi" w:hAnsiTheme="majorHAnsi"/>
          <w:szCs w:val="22"/>
        </w:rPr>
        <w:t>. Verejne podporované nástroje založené na revolvingovom investičnom princípe prakticky neexistujú</w:t>
      </w:r>
      <w:r w:rsidRPr="00A11FE0">
        <w:rPr>
          <w:rStyle w:val="Odkaznapoznmkupodiarou"/>
          <w:rFonts w:asciiTheme="majorHAnsi" w:hAnsiTheme="majorHAnsi"/>
          <w:szCs w:val="22"/>
        </w:rPr>
        <w:footnoteReference w:id="64"/>
      </w:r>
      <w:r w:rsidRPr="00A11FE0">
        <w:rPr>
          <w:rFonts w:asciiTheme="majorHAnsi" w:hAnsiTheme="majorHAnsi"/>
          <w:szCs w:val="22"/>
        </w:rPr>
        <w:t>.</w:t>
      </w:r>
    </w:p>
    <w:p w:rsidR="00492F4C" w:rsidRPr="00A11FE0" w:rsidRDefault="00492F4C" w:rsidP="00492F4C">
      <w:pPr>
        <w:rPr>
          <w:rFonts w:asciiTheme="majorHAnsi" w:hAnsiTheme="majorHAnsi"/>
          <w:szCs w:val="22"/>
        </w:rPr>
      </w:pPr>
      <w:r w:rsidRPr="00A11FE0">
        <w:rPr>
          <w:rFonts w:asciiTheme="majorHAnsi" w:hAnsiTheme="majorHAnsi"/>
          <w:szCs w:val="22"/>
        </w:rPr>
        <w:t xml:space="preserve">V porovnaní </w:t>
      </w:r>
      <w:r w:rsidR="00BD5FD5">
        <w:rPr>
          <w:rFonts w:asciiTheme="majorHAnsi" w:hAnsiTheme="majorHAnsi"/>
          <w:szCs w:val="22"/>
        </w:rPr>
        <w:t>s</w:t>
      </w:r>
      <w:r w:rsidRPr="00A11FE0">
        <w:rPr>
          <w:rFonts w:asciiTheme="majorHAnsi" w:hAnsiTheme="majorHAnsi"/>
          <w:szCs w:val="22"/>
        </w:rPr>
        <w:t xml:space="preserve"> inými </w:t>
      </w:r>
      <w:r w:rsidR="00BD5FD5">
        <w:rPr>
          <w:rFonts w:asciiTheme="majorHAnsi" w:hAnsiTheme="majorHAnsi"/>
          <w:szCs w:val="22"/>
        </w:rPr>
        <w:t>k</w:t>
      </w:r>
      <w:r w:rsidRPr="00A11FE0">
        <w:rPr>
          <w:rFonts w:asciiTheme="majorHAnsi" w:hAnsiTheme="majorHAnsi"/>
          <w:szCs w:val="22"/>
        </w:rPr>
        <w:t xml:space="preserve">rajinami v regióne je dostupnosť </w:t>
      </w:r>
      <w:r w:rsidR="00BD5FD5">
        <w:rPr>
          <w:rFonts w:asciiTheme="majorHAnsi" w:hAnsiTheme="majorHAnsi"/>
          <w:szCs w:val="22"/>
        </w:rPr>
        <w:t>k</w:t>
      </w:r>
      <w:r w:rsidRPr="00A11FE0">
        <w:rPr>
          <w:rFonts w:asciiTheme="majorHAnsi" w:hAnsiTheme="majorHAnsi"/>
          <w:szCs w:val="22"/>
        </w:rPr>
        <w:t xml:space="preserve">apitálu na rozbeh </w:t>
      </w:r>
      <w:r w:rsidR="00BD5FD5">
        <w:rPr>
          <w:rFonts w:asciiTheme="majorHAnsi" w:hAnsiTheme="majorHAnsi"/>
          <w:szCs w:val="22"/>
        </w:rPr>
        <w:t>a</w:t>
      </w:r>
      <w:r w:rsidRPr="00A11FE0">
        <w:rPr>
          <w:rFonts w:asciiTheme="majorHAnsi" w:hAnsiTheme="majorHAnsi"/>
          <w:szCs w:val="22"/>
        </w:rPr>
        <w:t> rozvoj inovatívnych firiem v</w:t>
      </w:r>
      <w:r w:rsidR="0066252E"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w:t>
      </w:r>
      <w:r w:rsidR="0066252E" w:rsidRPr="00A11FE0">
        <w:rPr>
          <w:rFonts w:asciiTheme="majorHAnsi" w:hAnsiTheme="majorHAnsi"/>
          <w:szCs w:val="22"/>
        </w:rPr>
        <w:t xml:space="preserve"> </w:t>
      </w:r>
      <w:r w:rsidRPr="00A11FE0">
        <w:rPr>
          <w:rFonts w:asciiTheme="majorHAnsi" w:hAnsiTheme="majorHAnsi"/>
          <w:szCs w:val="22"/>
        </w:rPr>
        <w:t xml:space="preserve">hlboko poddimenzovaná. </w:t>
      </w:r>
      <w:r w:rsidR="001D30D0" w:rsidRPr="00A11FE0">
        <w:rPr>
          <w:rFonts w:asciiTheme="majorHAnsi" w:hAnsiTheme="majorHAnsi"/>
          <w:szCs w:val="22"/>
        </w:rPr>
        <w:t>Bankové úvery</w:t>
      </w:r>
      <w:r w:rsidR="00827499" w:rsidRPr="00A11FE0">
        <w:rPr>
          <w:rFonts w:asciiTheme="majorHAnsi" w:hAnsiTheme="majorHAnsi"/>
          <w:szCs w:val="22"/>
        </w:rPr>
        <w:t>,</w:t>
      </w:r>
      <w:r w:rsidR="001D30D0" w:rsidRPr="00A11FE0">
        <w:rPr>
          <w:rFonts w:asciiTheme="majorHAnsi" w:hAnsiTheme="majorHAnsi"/>
          <w:szCs w:val="22"/>
        </w:rPr>
        <w:t xml:space="preserve"> </w:t>
      </w:r>
      <w:r w:rsidR="00BD5FD5">
        <w:rPr>
          <w:rFonts w:asciiTheme="majorHAnsi" w:hAnsiTheme="majorHAnsi"/>
        </w:rPr>
        <w:t>ak</w:t>
      </w:r>
      <w:r w:rsidR="001D30D0" w:rsidRPr="00A11FE0">
        <w:rPr>
          <w:rFonts w:asciiTheme="majorHAnsi" w:hAnsiTheme="majorHAnsi"/>
        </w:rPr>
        <w:t xml:space="preserve">o dominantnú formu </w:t>
      </w:r>
      <w:r w:rsidR="00BD5FD5">
        <w:rPr>
          <w:rFonts w:asciiTheme="majorHAnsi" w:hAnsiTheme="majorHAnsi"/>
        </w:rPr>
        <w:t>k</w:t>
      </w:r>
      <w:r w:rsidR="001D30D0" w:rsidRPr="00A11FE0">
        <w:rPr>
          <w:rFonts w:asciiTheme="majorHAnsi" w:hAnsiTheme="majorHAnsi"/>
        </w:rPr>
        <w:t>omerčného financovania</w:t>
      </w:r>
      <w:r w:rsidR="00827499" w:rsidRPr="00A11FE0">
        <w:rPr>
          <w:rFonts w:asciiTheme="majorHAnsi" w:hAnsiTheme="majorHAnsi"/>
        </w:rPr>
        <w:t>,</w:t>
      </w:r>
      <w:r w:rsidR="001D30D0" w:rsidRPr="00A11FE0">
        <w:rPr>
          <w:rFonts w:asciiTheme="majorHAnsi" w:hAnsiTheme="majorHAnsi"/>
          <w:szCs w:val="22"/>
        </w:rPr>
        <w:t xml:space="preserve"> využíva len 16,5</w:t>
      </w:r>
      <w:r w:rsidR="00827499" w:rsidRPr="00A11FE0">
        <w:rPr>
          <w:rFonts w:asciiTheme="majorHAnsi" w:hAnsiTheme="majorHAnsi"/>
          <w:szCs w:val="22"/>
        </w:rPr>
        <w:t xml:space="preserve"> </w:t>
      </w:r>
      <w:r w:rsidR="001D30D0" w:rsidRPr="00A11FE0">
        <w:rPr>
          <w:rFonts w:asciiTheme="majorHAnsi" w:hAnsiTheme="majorHAnsi"/>
          <w:szCs w:val="22"/>
        </w:rPr>
        <w:t>% MSP</w:t>
      </w:r>
      <w:r w:rsidR="001D30D0" w:rsidRPr="00A11FE0">
        <w:rPr>
          <w:rStyle w:val="Odkaznapoznmkupodiarou"/>
          <w:rFonts w:asciiTheme="majorHAnsi" w:hAnsiTheme="majorHAnsi"/>
          <w:szCs w:val="22"/>
        </w:rPr>
        <w:footnoteReference w:id="65"/>
      </w:r>
      <w:r w:rsidR="001D30D0"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R má jednu z najnižších úrovní rozvojového </w:t>
      </w:r>
      <w:r w:rsidR="00BD5FD5">
        <w:rPr>
          <w:rFonts w:asciiTheme="majorHAnsi" w:hAnsiTheme="majorHAnsi"/>
          <w:szCs w:val="22"/>
        </w:rPr>
        <w:t>a </w:t>
      </w:r>
      <w:r w:rsidRPr="00A11FE0">
        <w:rPr>
          <w:rFonts w:asciiTheme="majorHAnsi" w:hAnsiTheme="majorHAnsi"/>
          <w:szCs w:val="22"/>
        </w:rPr>
        <w:t xml:space="preserve">rizikového </w:t>
      </w:r>
      <w:r w:rsidR="00BD5FD5">
        <w:rPr>
          <w:rFonts w:asciiTheme="majorHAnsi" w:hAnsiTheme="majorHAnsi"/>
          <w:szCs w:val="22"/>
        </w:rPr>
        <w:t>k</w:t>
      </w:r>
      <w:r w:rsidRPr="00A11FE0">
        <w:rPr>
          <w:rFonts w:asciiTheme="majorHAnsi" w:hAnsiTheme="majorHAnsi"/>
          <w:szCs w:val="22"/>
        </w:rPr>
        <w:t>apitálu v </w:t>
      </w:r>
      <w:r w:rsidR="00992762">
        <w:rPr>
          <w:rFonts w:asciiTheme="majorHAnsi" w:hAnsiTheme="majorHAnsi"/>
          <w:szCs w:val="22"/>
        </w:rPr>
        <w:t>E</w:t>
      </w:r>
      <w:r w:rsidR="00E207F0">
        <w:rPr>
          <w:rFonts w:asciiTheme="majorHAnsi" w:hAnsiTheme="majorHAnsi"/>
          <w:szCs w:val="22"/>
        </w:rPr>
        <w:t>ur</w:t>
      </w:r>
      <w:r w:rsidRPr="00A11FE0">
        <w:rPr>
          <w:rFonts w:asciiTheme="majorHAnsi" w:hAnsiTheme="majorHAnsi"/>
          <w:szCs w:val="22"/>
        </w:rPr>
        <w:t>ópe. Ekvitné investície predstavujú len 0</w:t>
      </w:r>
      <w:r w:rsidR="00B81256" w:rsidRPr="00A11FE0">
        <w:rPr>
          <w:rFonts w:asciiTheme="majorHAnsi" w:hAnsiTheme="majorHAnsi"/>
          <w:szCs w:val="22"/>
        </w:rPr>
        <w:t>,</w:t>
      </w:r>
      <w:r w:rsidRPr="00A11FE0">
        <w:rPr>
          <w:rFonts w:asciiTheme="majorHAnsi" w:hAnsiTheme="majorHAnsi"/>
          <w:szCs w:val="22"/>
        </w:rPr>
        <w:t>022 % HDP; priemer EÚ je 0</w:t>
      </w:r>
      <w:r w:rsidR="00B81256" w:rsidRPr="00A11FE0">
        <w:rPr>
          <w:rFonts w:asciiTheme="majorHAnsi" w:hAnsiTheme="majorHAnsi"/>
          <w:szCs w:val="22"/>
        </w:rPr>
        <w:t>,</w:t>
      </w:r>
      <w:r w:rsidRPr="00A11FE0">
        <w:rPr>
          <w:rFonts w:asciiTheme="majorHAnsi" w:hAnsiTheme="majorHAnsi"/>
          <w:szCs w:val="22"/>
        </w:rPr>
        <w:t xml:space="preserve">31 % HDP. </w:t>
      </w:r>
      <w:r w:rsidR="00CB0D4C" w:rsidRPr="00A11FE0">
        <w:rPr>
          <w:rFonts w:asciiTheme="majorHAnsi" w:hAnsiTheme="majorHAnsi"/>
          <w:szCs w:val="22"/>
        </w:rPr>
        <w:t>Z toho vyplýva</w:t>
      </w:r>
      <w:r w:rsidR="001E240E" w:rsidRPr="00A11FE0">
        <w:rPr>
          <w:rFonts w:asciiTheme="majorHAnsi" w:hAnsiTheme="majorHAnsi"/>
          <w:szCs w:val="22"/>
        </w:rPr>
        <w:t>,</w:t>
      </w:r>
      <w:r w:rsidRPr="00A11FE0">
        <w:rPr>
          <w:rFonts w:asciiTheme="majorHAnsi" w:hAnsiTheme="majorHAnsi"/>
          <w:szCs w:val="22"/>
        </w:rPr>
        <w:t xml:space="preserve"> že v</w:t>
      </w:r>
      <w:r w:rsidR="00F457E8">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w:t>
      </w:r>
      <w:r w:rsidR="0066252E" w:rsidRPr="00A11FE0">
        <w:rPr>
          <w:rFonts w:asciiTheme="majorHAnsi" w:hAnsiTheme="majorHAnsi"/>
          <w:szCs w:val="22"/>
        </w:rPr>
        <w:t xml:space="preserve"> </w:t>
      </w:r>
      <w:r w:rsidRPr="00A11FE0">
        <w:rPr>
          <w:rFonts w:asciiTheme="majorHAnsi" w:hAnsiTheme="majorHAnsi"/>
          <w:szCs w:val="22"/>
        </w:rPr>
        <w:t xml:space="preserve">existuje priestor pre približne </w:t>
      </w:r>
      <w:r w:rsidR="00CB0D4C" w:rsidRPr="00A11FE0">
        <w:rPr>
          <w:rFonts w:asciiTheme="majorHAnsi" w:hAnsiTheme="majorHAnsi"/>
          <w:szCs w:val="22"/>
        </w:rPr>
        <w:t xml:space="preserve">pätnásťnásobné </w:t>
      </w:r>
      <w:r w:rsidRPr="00A11FE0">
        <w:rPr>
          <w:rFonts w:asciiTheme="majorHAnsi" w:hAnsiTheme="majorHAnsi"/>
          <w:szCs w:val="22"/>
        </w:rPr>
        <w:t>navýšenie.</w:t>
      </w:r>
    </w:p>
    <w:p w:rsidR="001D30D0" w:rsidRPr="00A11FE0" w:rsidRDefault="00BD5FD5" w:rsidP="001D30D0">
      <w:pPr>
        <w:rPr>
          <w:rFonts w:asciiTheme="majorHAnsi" w:hAnsiTheme="majorHAnsi"/>
          <w:szCs w:val="22"/>
        </w:rPr>
      </w:pPr>
      <w:r>
        <w:rPr>
          <w:rFonts w:asciiTheme="majorHAnsi" w:hAnsiTheme="majorHAnsi"/>
          <w:szCs w:val="22"/>
        </w:rPr>
        <w:t>A</w:t>
      </w:r>
      <w:r w:rsidR="00FA045E" w:rsidRPr="00A11FE0">
        <w:rPr>
          <w:rFonts w:asciiTheme="majorHAnsi" w:hAnsiTheme="majorHAnsi"/>
          <w:szCs w:val="22"/>
        </w:rPr>
        <w:t>ž v roku 2013</w:t>
      </w:r>
      <w:r w:rsidR="001D30D0" w:rsidRPr="00A11FE0">
        <w:rPr>
          <w:rFonts w:asciiTheme="majorHAnsi" w:hAnsiTheme="majorHAnsi"/>
          <w:szCs w:val="22"/>
        </w:rPr>
        <w:t xml:space="preserve"> došlo </w:t>
      </w:r>
      <w:r>
        <w:rPr>
          <w:rFonts w:asciiTheme="majorHAnsi" w:hAnsiTheme="majorHAnsi"/>
          <w:szCs w:val="22"/>
        </w:rPr>
        <w:t>k</w:t>
      </w:r>
      <w:r w:rsidR="001D30D0" w:rsidRPr="00A11FE0">
        <w:rPr>
          <w:rFonts w:asciiTheme="majorHAnsi" w:hAnsiTheme="majorHAnsi"/>
          <w:szCs w:val="22"/>
        </w:rPr>
        <w:t> rozbehu iniciatívy JEREMIE</w:t>
      </w:r>
      <w:r w:rsidR="00296C42">
        <w:rPr>
          <w:rStyle w:val="Odkaznapoznmkupodiarou"/>
          <w:rFonts w:asciiTheme="majorHAnsi" w:hAnsiTheme="majorHAnsi"/>
          <w:szCs w:val="22"/>
        </w:rPr>
        <w:footnoteReference w:id="66"/>
      </w:r>
      <w:r w:rsidR="001D30D0" w:rsidRPr="00A11FE0">
        <w:rPr>
          <w:rFonts w:asciiTheme="majorHAnsi" w:hAnsiTheme="majorHAnsi"/>
          <w:szCs w:val="22"/>
        </w:rPr>
        <w:t xml:space="preserve">. </w:t>
      </w:r>
      <w:r w:rsidR="003D6668" w:rsidRPr="003F0750">
        <w:rPr>
          <w:rFonts w:asciiTheme="majorHAnsi" w:hAnsiTheme="majorHAnsi" w:cs="Calibri"/>
          <w:szCs w:val="22"/>
        </w:rPr>
        <w:t>Podľa predbežných odhadov a</w:t>
      </w:r>
      <w:r w:rsidR="00E461DE">
        <w:rPr>
          <w:rFonts w:asciiTheme="majorHAnsi" w:hAnsiTheme="majorHAnsi" w:cs="Calibri"/>
          <w:szCs w:val="22"/>
        </w:rPr>
        <w:t> </w:t>
      </w:r>
      <w:r w:rsidR="003D6668" w:rsidRPr="003F0750">
        <w:rPr>
          <w:rFonts w:asciiTheme="majorHAnsi" w:hAnsiTheme="majorHAnsi" w:cs="Calibri"/>
          <w:szCs w:val="22"/>
        </w:rPr>
        <w:t>aktuálneho nastavenia nástrojov povedie alokácia vo výške 100 mil. EUR v</w:t>
      </w:r>
      <w:r w:rsidR="00E461DE">
        <w:rPr>
          <w:rFonts w:asciiTheme="majorHAnsi" w:hAnsiTheme="majorHAnsi" w:cs="Calibri"/>
          <w:szCs w:val="22"/>
        </w:rPr>
        <w:t> </w:t>
      </w:r>
      <w:r w:rsidR="003D6668" w:rsidRPr="003F0750">
        <w:rPr>
          <w:rFonts w:asciiTheme="majorHAnsi" w:hAnsiTheme="majorHAnsi" w:cs="Calibri"/>
          <w:szCs w:val="22"/>
        </w:rPr>
        <w:t>prvom kole k</w:t>
      </w:r>
      <w:r w:rsidR="00E461DE">
        <w:rPr>
          <w:rFonts w:asciiTheme="majorHAnsi" w:hAnsiTheme="majorHAnsi" w:cs="Calibri"/>
          <w:szCs w:val="22"/>
        </w:rPr>
        <w:t> </w:t>
      </w:r>
      <w:r w:rsidR="003D6668" w:rsidRPr="003F0750">
        <w:rPr>
          <w:rFonts w:asciiTheme="majorHAnsi" w:hAnsiTheme="majorHAnsi" w:cs="Calibri"/>
          <w:szCs w:val="22"/>
        </w:rPr>
        <w:t>dodatočnému financovaniu pre MSP vo výške minimálne 306,6 mil. EUR</w:t>
      </w:r>
      <w:r w:rsidR="001D30D0" w:rsidRPr="00A11FE0">
        <w:rPr>
          <w:rFonts w:asciiTheme="majorHAnsi" w:hAnsiTheme="majorHAnsi"/>
          <w:szCs w:val="22"/>
        </w:rPr>
        <w:t xml:space="preserve">. Podľa </w:t>
      </w:r>
      <w:r w:rsidR="006D5E58">
        <w:rPr>
          <w:rFonts w:asciiTheme="majorHAnsi" w:hAnsiTheme="majorHAnsi"/>
          <w:szCs w:val="22"/>
        </w:rPr>
        <w:t xml:space="preserve">vykonanej </w:t>
      </w:r>
      <w:r>
        <w:rPr>
          <w:rFonts w:asciiTheme="majorHAnsi" w:hAnsiTheme="majorHAnsi"/>
          <w:szCs w:val="22"/>
        </w:rPr>
        <w:t>a</w:t>
      </w:r>
      <w:r w:rsidR="001D30D0" w:rsidRPr="00A11FE0">
        <w:rPr>
          <w:rFonts w:asciiTheme="majorHAnsi" w:hAnsiTheme="majorHAnsi"/>
          <w:szCs w:val="22"/>
        </w:rPr>
        <w:t>nalýzy</w:t>
      </w:r>
      <w:r w:rsidR="006D5E58">
        <w:rPr>
          <w:rStyle w:val="Odkaznapoznmkupodiarou"/>
          <w:rFonts w:asciiTheme="majorHAnsi" w:hAnsiTheme="majorHAnsi"/>
          <w:szCs w:val="22"/>
        </w:rPr>
        <w:footnoteReference w:id="67"/>
      </w:r>
      <w:r w:rsidR="001D30D0" w:rsidRPr="00A11FE0">
        <w:rPr>
          <w:rFonts w:asciiTheme="majorHAnsi" w:hAnsiTheme="majorHAnsi"/>
          <w:szCs w:val="22"/>
        </w:rPr>
        <w:t xml:space="preserve"> trhovej medzery</w:t>
      </w:r>
      <w:r w:rsidR="006D5E58">
        <w:rPr>
          <w:rFonts w:asciiTheme="majorHAnsi" w:hAnsiTheme="majorHAnsi"/>
          <w:szCs w:val="22"/>
        </w:rPr>
        <w:t xml:space="preserve">, </w:t>
      </w:r>
      <w:r w:rsidR="001D30D0" w:rsidRPr="00A11FE0">
        <w:rPr>
          <w:rFonts w:asciiTheme="majorHAnsi" w:hAnsiTheme="majorHAnsi"/>
          <w:szCs w:val="22"/>
        </w:rPr>
        <w:t xml:space="preserve">predstavuje </w:t>
      </w:r>
      <w:r>
        <w:rPr>
          <w:rFonts w:asciiTheme="majorHAnsi" w:hAnsiTheme="majorHAnsi"/>
          <w:szCs w:val="22"/>
        </w:rPr>
        <w:t>a</w:t>
      </w:r>
      <w:r w:rsidR="001D30D0" w:rsidRPr="00A11FE0">
        <w:rPr>
          <w:rFonts w:asciiTheme="majorHAnsi" w:hAnsiTheme="majorHAnsi"/>
          <w:szCs w:val="22"/>
        </w:rPr>
        <w:t xml:space="preserve">bsorpčný potenciál </w:t>
      </w:r>
      <w:r w:rsidR="00967DB1" w:rsidRPr="00A11FE0">
        <w:rPr>
          <w:rFonts w:asciiTheme="majorHAnsi" w:hAnsiTheme="majorHAnsi"/>
          <w:szCs w:val="22"/>
        </w:rPr>
        <w:t>MSP</w:t>
      </w:r>
      <w:r w:rsidR="001D30D0" w:rsidRPr="00A11FE0">
        <w:rPr>
          <w:rFonts w:asciiTheme="majorHAnsi" w:hAnsiTheme="majorHAnsi"/>
          <w:szCs w:val="22"/>
        </w:rPr>
        <w:t xml:space="preserve"> pre úverový nástroj realizovaný na území </w:t>
      </w:r>
      <w:r>
        <w:rPr>
          <w:rFonts w:asciiTheme="majorHAnsi" w:hAnsiTheme="majorHAnsi"/>
          <w:szCs w:val="22"/>
        </w:rPr>
        <w:t>S</w:t>
      </w:r>
      <w:r w:rsidR="001D30D0" w:rsidRPr="00A11FE0">
        <w:rPr>
          <w:rFonts w:asciiTheme="majorHAnsi" w:hAnsiTheme="majorHAnsi"/>
          <w:szCs w:val="22"/>
        </w:rPr>
        <w:t xml:space="preserve">R </w:t>
      </w:r>
      <w:r>
        <w:rPr>
          <w:rFonts w:asciiTheme="majorHAnsi" w:hAnsiTheme="majorHAnsi"/>
          <w:szCs w:val="22"/>
        </w:rPr>
        <w:t>s</w:t>
      </w:r>
      <w:r w:rsidR="00B81256" w:rsidRPr="00A11FE0">
        <w:rPr>
          <w:rFonts w:asciiTheme="majorHAnsi" w:hAnsiTheme="majorHAnsi"/>
          <w:szCs w:val="22"/>
        </w:rPr>
        <w:t xml:space="preserve">umu </w:t>
      </w:r>
      <w:r w:rsidR="001D30D0" w:rsidRPr="00A11FE0">
        <w:rPr>
          <w:rFonts w:asciiTheme="majorHAnsi" w:hAnsiTheme="majorHAnsi"/>
          <w:szCs w:val="22"/>
        </w:rPr>
        <w:t xml:space="preserve">865 mil. </w:t>
      </w:r>
      <w:r w:rsidR="00992762">
        <w:rPr>
          <w:rFonts w:asciiTheme="majorHAnsi" w:hAnsiTheme="majorHAnsi"/>
          <w:szCs w:val="22"/>
        </w:rPr>
        <w:t>EUR</w:t>
      </w:r>
      <w:r w:rsidR="001D30D0" w:rsidRPr="00A11FE0">
        <w:rPr>
          <w:rFonts w:asciiTheme="majorHAnsi" w:hAnsiTheme="majorHAnsi"/>
          <w:szCs w:val="22"/>
        </w:rPr>
        <w:t>.</w:t>
      </w:r>
    </w:p>
    <w:p w:rsidR="004B5CC1" w:rsidRPr="00F35154" w:rsidRDefault="001D30D0" w:rsidP="004B5CC1">
      <w:pPr>
        <w:rPr>
          <w:rFonts w:asciiTheme="majorHAnsi" w:hAnsiTheme="majorHAnsi"/>
          <w:szCs w:val="22"/>
        </w:rPr>
      </w:pPr>
      <w:r w:rsidRPr="00A11FE0">
        <w:rPr>
          <w:rFonts w:asciiTheme="majorHAnsi" w:hAnsiTheme="majorHAnsi"/>
          <w:szCs w:val="22"/>
        </w:rPr>
        <w:t xml:space="preserve">Praktické </w:t>
      </w:r>
      <w:r w:rsidR="00BD5FD5">
        <w:rPr>
          <w:rFonts w:asciiTheme="majorHAnsi" w:hAnsiTheme="majorHAnsi"/>
          <w:szCs w:val="22"/>
        </w:rPr>
        <w:t>s</w:t>
      </w:r>
      <w:r w:rsidRPr="00A11FE0">
        <w:rPr>
          <w:rFonts w:asciiTheme="majorHAnsi" w:hAnsiTheme="majorHAnsi"/>
          <w:szCs w:val="22"/>
        </w:rPr>
        <w:t>kúsenosti z</w:t>
      </w:r>
      <w:r w:rsidR="00E461DE">
        <w:rPr>
          <w:rFonts w:asciiTheme="majorHAnsi" w:hAnsiTheme="majorHAnsi"/>
          <w:szCs w:val="22"/>
        </w:rPr>
        <w:t> </w:t>
      </w:r>
      <w:r w:rsidRPr="00A11FE0">
        <w:rPr>
          <w:rFonts w:asciiTheme="majorHAnsi" w:hAnsiTheme="majorHAnsi"/>
          <w:szCs w:val="22"/>
        </w:rPr>
        <w:t>realizovaných programov naznačujú, že pre MSP, najmä v počiatočných štádiách existencie</w:t>
      </w:r>
      <w:r w:rsidR="00B81256" w:rsidRPr="00A11FE0">
        <w:rPr>
          <w:rFonts w:asciiTheme="majorHAnsi" w:hAnsiTheme="majorHAnsi"/>
          <w:szCs w:val="22"/>
        </w:rPr>
        <w:t xml:space="preserve">, </w:t>
      </w:r>
      <w:r w:rsidR="00BD5FD5">
        <w:rPr>
          <w:rFonts w:asciiTheme="majorHAnsi" w:hAnsiTheme="majorHAnsi"/>
          <w:szCs w:val="22"/>
        </w:rPr>
        <w:t>k</w:t>
      </w:r>
      <w:r w:rsidRPr="00A11FE0">
        <w:rPr>
          <w:rFonts w:asciiTheme="majorHAnsi" w:hAnsiTheme="majorHAnsi"/>
          <w:szCs w:val="22"/>
        </w:rPr>
        <w:t xml:space="preserve">edy </w:t>
      </w:r>
      <w:r w:rsidR="006D5E58">
        <w:rPr>
          <w:rFonts w:asciiTheme="majorHAnsi" w:hAnsiTheme="majorHAnsi"/>
          <w:szCs w:val="22"/>
        </w:rPr>
        <w:t xml:space="preserve">nemajú dostatočné </w:t>
      </w:r>
      <w:r w:rsidRPr="00A11FE0">
        <w:rPr>
          <w:rFonts w:asciiTheme="majorHAnsi" w:hAnsiTheme="majorHAnsi"/>
          <w:szCs w:val="22"/>
        </w:rPr>
        <w:t>praktick</w:t>
      </w:r>
      <w:r w:rsidR="006D5E58">
        <w:rPr>
          <w:rFonts w:asciiTheme="majorHAnsi" w:hAnsiTheme="majorHAnsi"/>
          <w:szCs w:val="22"/>
        </w:rPr>
        <w:t>é</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kúsenost</w:t>
      </w:r>
      <w:r w:rsidR="006D5E58">
        <w:rPr>
          <w:rFonts w:asciiTheme="majorHAnsi" w:hAnsiTheme="majorHAnsi"/>
          <w:szCs w:val="22"/>
        </w:rPr>
        <w:t>i</w:t>
      </w:r>
      <w:r w:rsidRPr="00A11FE0">
        <w:rPr>
          <w:rFonts w:asciiTheme="majorHAnsi" w:hAnsiTheme="majorHAnsi"/>
          <w:szCs w:val="22"/>
        </w:rPr>
        <w:t xml:space="preserve">, je popri zabezpečení financovania potrebná </w:t>
      </w:r>
      <w:r w:rsidR="00BD5FD5">
        <w:rPr>
          <w:rFonts w:asciiTheme="majorHAnsi" w:hAnsiTheme="majorHAnsi"/>
          <w:szCs w:val="22"/>
        </w:rPr>
        <w:t>a</w:t>
      </w:r>
      <w:r w:rsidRPr="00A11FE0">
        <w:rPr>
          <w:rFonts w:asciiTheme="majorHAnsi" w:hAnsiTheme="majorHAnsi"/>
          <w:szCs w:val="22"/>
        </w:rPr>
        <w:t xml:space="preserve">j podpora vo forme poradenstva </w:t>
      </w:r>
      <w:r w:rsidR="00BD5FD5">
        <w:rPr>
          <w:rFonts w:asciiTheme="majorHAnsi" w:hAnsiTheme="majorHAnsi"/>
          <w:szCs w:val="22"/>
        </w:rPr>
        <w:t>a </w:t>
      </w:r>
      <w:r w:rsidRPr="00A11FE0">
        <w:rPr>
          <w:rFonts w:asciiTheme="majorHAnsi" w:hAnsiTheme="majorHAnsi"/>
          <w:szCs w:val="22"/>
        </w:rPr>
        <w:t xml:space="preserve">odbornej </w:t>
      </w:r>
      <w:r w:rsidR="00BD5FD5">
        <w:rPr>
          <w:rFonts w:asciiTheme="majorHAnsi" w:hAnsiTheme="majorHAnsi"/>
          <w:szCs w:val="22"/>
        </w:rPr>
        <w:t>k</w:t>
      </w:r>
      <w:r w:rsidRPr="00A11FE0">
        <w:rPr>
          <w:rFonts w:asciiTheme="majorHAnsi" w:hAnsiTheme="majorHAnsi"/>
          <w:szCs w:val="22"/>
        </w:rPr>
        <w:t>onzultácie</w:t>
      </w:r>
      <w:r w:rsidR="00411F09">
        <w:rPr>
          <w:rFonts w:asciiTheme="majorHAnsi" w:hAnsiTheme="majorHAnsi"/>
          <w:szCs w:val="22"/>
        </w:rPr>
        <w:t>.</w:t>
      </w:r>
      <w:r w:rsidRPr="00A11FE0">
        <w:rPr>
          <w:rFonts w:asciiTheme="majorHAnsi" w:hAnsiTheme="majorHAnsi"/>
          <w:szCs w:val="22"/>
        </w:rPr>
        <w:t xml:space="preserve"> V rokoch 2001 </w:t>
      </w:r>
      <w:r w:rsidR="00555D0F">
        <w:rPr>
          <w:rFonts w:asciiTheme="majorHAnsi" w:hAnsiTheme="majorHAnsi"/>
          <w:szCs w:val="22"/>
        </w:rPr>
        <w:t>až</w:t>
      </w:r>
      <w:r w:rsidR="00555D0F" w:rsidRPr="00A11FE0">
        <w:rPr>
          <w:rFonts w:asciiTheme="majorHAnsi" w:hAnsiTheme="majorHAnsi"/>
          <w:szCs w:val="22"/>
        </w:rPr>
        <w:t xml:space="preserve"> </w:t>
      </w:r>
      <w:r w:rsidRPr="00A11FE0">
        <w:rPr>
          <w:rFonts w:asciiTheme="majorHAnsi" w:hAnsiTheme="majorHAnsi"/>
          <w:szCs w:val="22"/>
        </w:rPr>
        <w:t xml:space="preserve">2008 bolo zo zdrojov EÚ, štátneho rozpočtu </w:t>
      </w:r>
      <w:r w:rsidR="00BD5FD5">
        <w:rPr>
          <w:rFonts w:asciiTheme="majorHAnsi" w:hAnsiTheme="majorHAnsi"/>
          <w:szCs w:val="22"/>
        </w:rPr>
        <w:t>a </w:t>
      </w:r>
      <w:r w:rsidRPr="00A11FE0">
        <w:rPr>
          <w:rFonts w:asciiTheme="majorHAnsi" w:hAnsiTheme="majorHAnsi"/>
          <w:szCs w:val="22"/>
        </w:rPr>
        <w:t xml:space="preserve">ďalších </w:t>
      </w:r>
      <w:r w:rsidR="00235119" w:rsidRPr="00A11FE0">
        <w:rPr>
          <w:rFonts w:asciiTheme="majorHAnsi" w:hAnsiTheme="majorHAnsi"/>
          <w:szCs w:val="22"/>
        </w:rPr>
        <w:t>zdrojov</w:t>
      </w:r>
      <w:r w:rsidR="00B81256" w:rsidRPr="00A11FE0">
        <w:rPr>
          <w:rFonts w:asciiTheme="majorHAnsi" w:hAnsiTheme="majorHAnsi"/>
          <w:szCs w:val="22"/>
        </w:rPr>
        <w:t xml:space="preserve"> </w:t>
      </w:r>
      <w:r w:rsidRPr="00A11FE0">
        <w:rPr>
          <w:rFonts w:asciiTheme="majorHAnsi" w:hAnsiTheme="majorHAnsi"/>
          <w:szCs w:val="22"/>
        </w:rPr>
        <w:t xml:space="preserve">v rôznych regiónoch </w:t>
      </w:r>
      <w:r w:rsidR="00BD5FD5">
        <w:rPr>
          <w:rFonts w:asciiTheme="majorHAnsi" w:hAnsiTheme="majorHAnsi"/>
          <w:szCs w:val="22"/>
        </w:rPr>
        <w:t>S</w:t>
      </w:r>
      <w:r w:rsidR="006F39EB" w:rsidRPr="00A11FE0">
        <w:rPr>
          <w:rFonts w:asciiTheme="majorHAnsi" w:hAnsiTheme="majorHAnsi"/>
          <w:szCs w:val="22"/>
        </w:rPr>
        <w:t>R</w:t>
      </w:r>
      <w:r w:rsidRPr="00A11FE0">
        <w:rPr>
          <w:rFonts w:asciiTheme="majorHAnsi" w:hAnsiTheme="majorHAnsi"/>
          <w:szCs w:val="22"/>
        </w:rPr>
        <w:t xml:space="preserve"> vybudovaných 16 podnikateľských </w:t>
      </w:r>
      <w:r w:rsidR="00BD5FD5">
        <w:rPr>
          <w:rFonts w:asciiTheme="majorHAnsi" w:hAnsiTheme="majorHAnsi"/>
          <w:szCs w:val="22"/>
        </w:rPr>
        <w:t>a </w:t>
      </w:r>
      <w:r w:rsidRPr="00A11FE0">
        <w:rPr>
          <w:rFonts w:asciiTheme="majorHAnsi" w:hAnsiTheme="majorHAnsi"/>
          <w:szCs w:val="22"/>
        </w:rPr>
        <w:t xml:space="preserve">technologických inkubátorov </w:t>
      </w:r>
      <w:r w:rsidR="00BD5FD5">
        <w:rPr>
          <w:rFonts w:asciiTheme="majorHAnsi" w:hAnsiTheme="majorHAnsi"/>
          <w:szCs w:val="22"/>
        </w:rPr>
        <w:t>a </w:t>
      </w:r>
      <w:r w:rsidRPr="00A11FE0">
        <w:rPr>
          <w:rFonts w:asciiTheme="majorHAnsi" w:hAnsiTheme="majorHAnsi"/>
          <w:szCs w:val="22"/>
        </w:rPr>
        <w:t>1 výukový inkubátor (tzv. virtuálny). V dôsledku zastavenia financovania prevádzkových nákladov</w:t>
      </w:r>
      <w:r w:rsidR="006D5E58">
        <w:rPr>
          <w:rFonts w:asciiTheme="majorHAnsi" w:hAnsiTheme="majorHAnsi"/>
          <w:szCs w:val="22"/>
        </w:rPr>
        <w:t>,</w:t>
      </w:r>
      <w:r w:rsidR="00B81256" w:rsidRPr="00A11FE0">
        <w:rPr>
          <w:rFonts w:asciiTheme="majorHAnsi" w:hAnsiTheme="majorHAnsi"/>
          <w:szCs w:val="22"/>
        </w:rPr>
        <w:t xml:space="preserve"> </w:t>
      </w:r>
      <w:r w:rsidRPr="00A11FE0">
        <w:rPr>
          <w:rFonts w:asciiTheme="majorHAnsi" w:hAnsiTheme="majorHAnsi"/>
          <w:szCs w:val="22"/>
        </w:rPr>
        <w:t xml:space="preserve">väčšina inkubátorov nedokáže poskytovať podporné </w:t>
      </w:r>
      <w:r w:rsidR="00BD5FD5">
        <w:rPr>
          <w:rFonts w:asciiTheme="majorHAnsi" w:hAnsiTheme="majorHAnsi"/>
          <w:szCs w:val="22"/>
        </w:rPr>
        <w:t>s</w:t>
      </w:r>
      <w:r w:rsidRPr="00A11FE0">
        <w:rPr>
          <w:rFonts w:asciiTheme="majorHAnsi" w:hAnsiTheme="majorHAnsi"/>
          <w:szCs w:val="22"/>
        </w:rPr>
        <w:t xml:space="preserve">lužby pre začínajúce podniky. </w:t>
      </w:r>
      <w:r w:rsidR="00BD5FD5">
        <w:rPr>
          <w:rFonts w:asciiTheme="majorHAnsi" w:hAnsiTheme="majorHAnsi"/>
          <w:szCs w:val="22"/>
        </w:rPr>
        <w:t>Ak</w:t>
      </w:r>
      <w:r w:rsidRPr="00A11FE0">
        <w:rPr>
          <w:rFonts w:asciiTheme="majorHAnsi" w:hAnsiTheme="majorHAnsi"/>
          <w:szCs w:val="22"/>
        </w:rPr>
        <w:t xml:space="preserve">o </w:t>
      </w:r>
      <w:r w:rsidR="00F10CDB">
        <w:rPr>
          <w:rFonts w:asciiTheme="majorHAnsi" w:hAnsiTheme="majorHAnsi"/>
          <w:szCs w:val="22"/>
        </w:rPr>
        <w:t>vhodnejší</w:t>
      </w:r>
      <w:r w:rsidR="00F10CDB" w:rsidRPr="00A11FE0">
        <w:rPr>
          <w:rFonts w:asciiTheme="majorHAnsi" w:hAnsiTheme="majorHAnsi"/>
          <w:szCs w:val="22"/>
        </w:rPr>
        <w:t xml:space="preserve"> </w:t>
      </w:r>
      <w:r w:rsidR="004B5CC1">
        <w:rPr>
          <w:rFonts w:asciiTheme="majorHAnsi" w:hAnsiTheme="majorHAnsi"/>
          <w:szCs w:val="22"/>
        </w:rPr>
        <w:t xml:space="preserve">model </w:t>
      </w:r>
      <w:r w:rsidR="00BD5FD5">
        <w:rPr>
          <w:rFonts w:asciiTheme="majorHAnsi" w:hAnsiTheme="majorHAnsi"/>
          <w:szCs w:val="22"/>
        </w:rPr>
        <w:t>s</w:t>
      </w:r>
      <w:r w:rsidRPr="00A11FE0">
        <w:rPr>
          <w:rFonts w:asciiTheme="majorHAnsi" w:hAnsiTheme="majorHAnsi"/>
          <w:szCs w:val="22"/>
        </w:rPr>
        <w:t>a javí vytvárani</w:t>
      </w:r>
      <w:r w:rsidR="004B5CC1">
        <w:rPr>
          <w:rFonts w:asciiTheme="majorHAnsi" w:hAnsiTheme="majorHAnsi"/>
          <w:szCs w:val="22"/>
        </w:rPr>
        <w:t>e</w:t>
      </w:r>
      <w:r w:rsidRPr="00A11FE0">
        <w:rPr>
          <w:rFonts w:asciiTheme="majorHAnsi" w:hAnsiTheme="majorHAnsi"/>
          <w:szCs w:val="22"/>
        </w:rPr>
        <w:t xml:space="preserve"> podnikateľských centier typu one-</w:t>
      </w:r>
      <w:r w:rsidR="00BD5FD5">
        <w:rPr>
          <w:rFonts w:asciiTheme="majorHAnsi" w:hAnsiTheme="majorHAnsi"/>
          <w:szCs w:val="22"/>
        </w:rPr>
        <w:t>s</w:t>
      </w:r>
      <w:r w:rsidRPr="00A11FE0">
        <w:rPr>
          <w:rFonts w:asciiTheme="majorHAnsi" w:hAnsiTheme="majorHAnsi"/>
          <w:szCs w:val="22"/>
        </w:rPr>
        <w:t>top-</w:t>
      </w:r>
      <w:r w:rsidR="00BD5FD5">
        <w:rPr>
          <w:rFonts w:asciiTheme="majorHAnsi" w:hAnsiTheme="majorHAnsi"/>
          <w:szCs w:val="22"/>
        </w:rPr>
        <w:t>s</w:t>
      </w:r>
      <w:r w:rsidRPr="00A11FE0">
        <w:rPr>
          <w:rFonts w:asciiTheme="majorHAnsi" w:hAnsiTheme="majorHAnsi"/>
          <w:szCs w:val="22"/>
        </w:rPr>
        <w:t xml:space="preserve">hop, </w:t>
      </w:r>
      <w:r w:rsidR="00555D0F">
        <w:rPr>
          <w:rFonts w:asciiTheme="majorHAnsi" w:hAnsiTheme="majorHAnsi"/>
          <w:szCs w:val="22"/>
        </w:rPr>
        <w:t xml:space="preserve">ktoré budú zabezpečovať kombinované služby (informovanie, poradenstvo, financovanie, kontakty, priestory, zariadenia, administratívne a organizačné služby) </w:t>
      </w:r>
      <w:r w:rsidR="00555D0F">
        <w:rPr>
          <w:rFonts w:asciiTheme="majorHAnsi" w:hAnsiTheme="majorHAnsi"/>
          <w:szCs w:val="22"/>
        </w:rPr>
        <w:lastRenderedPageBreak/>
        <w:t>určené pre širokú podnikateľskú komunitu a zamerané na dlhodobú podporu najmä začínajúcich, ale aj existujúcich MSP. Centrá budú spolupracovať s partnermi z akademickej sféry, využívajúc už existujúcu infraštruktúru (napr. vedecko-technické parky, univerzity</w:t>
      </w:r>
      <w:r w:rsidR="004C3F62">
        <w:rPr>
          <w:rFonts w:asciiTheme="majorHAnsi" w:hAnsiTheme="majorHAnsi"/>
          <w:szCs w:val="22"/>
        </w:rPr>
        <w:t>, SAV a výskumné organizácie</w:t>
      </w:r>
      <w:r w:rsidR="00555D0F">
        <w:rPr>
          <w:rFonts w:asciiTheme="majorHAnsi" w:hAnsiTheme="majorHAnsi"/>
          <w:szCs w:val="22"/>
        </w:rPr>
        <w:t xml:space="preserve">). Cieľom je vytvárať synergiu medzi </w:t>
      </w:r>
      <w:r w:rsidR="005378F9">
        <w:rPr>
          <w:rFonts w:asciiTheme="majorHAnsi" w:hAnsiTheme="majorHAnsi"/>
          <w:szCs w:val="22"/>
        </w:rPr>
        <w:t>podnikateľským</w:t>
      </w:r>
      <w:r w:rsidR="00555D0F">
        <w:rPr>
          <w:rFonts w:asciiTheme="majorHAnsi" w:hAnsiTheme="majorHAnsi"/>
          <w:szCs w:val="22"/>
        </w:rPr>
        <w:t>, akademickým a VaV sektorom</w:t>
      </w:r>
      <w:r w:rsidR="002F31A3">
        <w:rPr>
          <w:rStyle w:val="Odkaznapoznmkupodiarou"/>
          <w:rFonts w:asciiTheme="majorHAnsi" w:hAnsiTheme="majorHAnsi"/>
          <w:szCs w:val="22"/>
        </w:rPr>
        <w:footnoteReference w:id="68"/>
      </w:r>
      <w:r w:rsidR="00555D0F">
        <w:rPr>
          <w:rFonts w:asciiTheme="majorHAnsi" w:hAnsiTheme="majorHAnsi"/>
          <w:szCs w:val="22"/>
        </w:rPr>
        <w:t xml:space="preserve">. Centrá budú fungovať v partnerstve s regionálnymi inštitúciami (napr. regionálne samosprávy a pod.). </w:t>
      </w:r>
      <w:r w:rsidR="004B5CC1" w:rsidRPr="00F35154">
        <w:rPr>
          <w:rFonts w:asciiTheme="majorHAnsi" w:hAnsiTheme="majorHAnsi"/>
          <w:szCs w:val="22"/>
        </w:rPr>
        <w:t>Oproti parciálne vybudovaným inkubátorom zameraným na podporu úzko definovanej skupiny inkubátorových firiem, budú centrá (a v rámci nich inkubátory) existovať ako súčasť konceptu one-stop-shop v</w:t>
      </w:r>
      <w:r w:rsidR="00E461DE">
        <w:rPr>
          <w:rFonts w:asciiTheme="majorHAnsi" w:hAnsiTheme="majorHAnsi"/>
          <w:szCs w:val="22"/>
        </w:rPr>
        <w:t> </w:t>
      </w:r>
      <w:r w:rsidR="004B5CC1" w:rsidRPr="00F35154">
        <w:rPr>
          <w:rFonts w:asciiTheme="majorHAnsi" w:hAnsiTheme="majorHAnsi"/>
          <w:szCs w:val="22"/>
        </w:rPr>
        <w:t>rámci jednej prepojenej štruktúry. Tento koncept predstavuje komplexnejší a</w:t>
      </w:r>
      <w:r w:rsidR="00E461DE">
        <w:rPr>
          <w:rFonts w:asciiTheme="majorHAnsi" w:hAnsiTheme="majorHAnsi"/>
          <w:szCs w:val="22"/>
        </w:rPr>
        <w:t> </w:t>
      </w:r>
      <w:r w:rsidR="004B5CC1" w:rsidRPr="00F35154">
        <w:rPr>
          <w:rFonts w:asciiTheme="majorHAnsi" w:hAnsiTheme="majorHAnsi"/>
          <w:szCs w:val="22"/>
        </w:rPr>
        <w:t>ekonomicky udržateľný model, ktorý má ambíciu sanovať komplexné potreby rozvoja MSP v</w:t>
      </w:r>
      <w:r w:rsidR="00E461DE">
        <w:rPr>
          <w:rFonts w:asciiTheme="majorHAnsi" w:hAnsiTheme="majorHAnsi"/>
          <w:szCs w:val="22"/>
        </w:rPr>
        <w:t> </w:t>
      </w:r>
      <w:r w:rsidR="004B5CC1" w:rsidRPr="00F35154">
        <w:rPr>
          <w:rFonts w:asciiTheme="majorHAnsi" w:hAnsiTheme="majorHAnsi"/>
          <w:szCs w:val="22"/>
        </w:rPr>
        <w:t>SR</w:t>
      </w:r>
      <w:r w:rsidR="00E461DE">
        <w:rPr>
          <w:rFonts w:asciiTheme="majorHAnsi" w:hAnsiTheme="majorHAnsi"/>
          <w:szCs w:val="22"/>
        </w:rPr>
        <w:t xml:space="preserve"> </w:t>
      </w:r>
      <w:r w:rsidR="004B5CC1" w:rsidRPr="00F35154">
        <w:rPr>
          <w:rFonts w:asciiTheme="majorHAnsi" w:hAnsiTheme="majorHAnsi"/>
          <w:szCs w:val="22"/>
        </w:rPr>
        <w:t>s</w:t>
      </w:r>
      <w:r w:rsidR="00E461DE">
        <w:rPr>
          <w:rFonts w:asciiTheme="majorHAnsi" w:hAnsiTheme="majorHAnsi"/>
          <w:szCs w:val="22"/>
        </w:rPr>
        <w:t> </w:t>
      </w:r>
      <w:r w:rsidR="004B5CC1" w:rsidRPr="00F35154">
        <w:rPr>
          <w:rFonts w:asciiTheme="majorHAnsi" w:hAnsiTheme="majorHAnsi"/>
          <w:szCs w:val="22"/>
        </w:rPr>
        <w:t>dôrazom</w:t>
      </w:r>
      <w:r w:rsidR="00E461DE">
        <w:rPr>
          <w:rFonts w:asciiTheme="majorHAnsi" w:hAnsiTheme="majorHAnsi"/>
          <w:szCs w:val="22"/>
        </w:rPr>
        <w:t xml:space="preserve"> </w:t>
      </w:r>
      <w:r w:rsidR="004B5CC1" w:rsidRPr="00F35154">
        <w:rPr>
          <w:rFonts w:asciiTheme="majorHAnsi" w:hAnsiTheme="majorHAnsi"/>
          <w:szCs w:val="22"/>
        </w:rPr>
        <w:t>na inovatívne MSP</w:t>
      </w:r>
      <w:r w:rsidR="004B5CC1">
        <w:rPr>
          <w:rStyle w:val="Odkaznapoznmkupodiarou"/>
          <w:szCs w:val="22"/>
        </w:rPr>
        <w:footnoteReference w:id="69"/>
      </w:r>
      <w:r w:rsidR="004B5CC1" w:rsidRPr="00F35154">
        <w:rPr>
          <w:rFonts w:asciiTheme="majorHAnsi" w:hAnsiTheme="majorHAnsi"/>
          <w:szCs w:val="22"/>
        </w:rPr>
        <w:t>.</w:t>
      </w:r>
    </w:p>
    <w:p w:rsidR="00013BE1" w:rsidRPr="00A11FE0" w:rsidRDefault="00013BE1" w:rsidP="000E005D">
      <w:pPr>
        <w:pStyle w:val="Nadpis6"/>
        <w:numPr>
          <w:ilvl w:val="5"/>
          <w:numId w:val="2"/>
        </w:numPr>
        <w:rPr>
          <w:i w:val="0"/>
        </w:rPr>
      </w:pPr>
      <w:r w:rsidRPr="00A11FE0">
        <w:rPr>
          <w:i w:val="0"/>
        </w:rPr>
        <w:t xml:space="preserve">Nízka </w:t>
      </w:r>
      <w:r w:rsidR="00BD5FD5">
        <w:rPr>
          <w:i w:val="0"/>
        </w:rPr>
        <w:t>k</w:t>
      </w:r>
      <w:r w:rsidRPr="00A11FE0">
        <w:rPr>
          <w:i w:val="0"/>
        </w:rPr>
        <w:t>onkurencieschopnosť poľnohospodárstva</w:t>
      </w:r>
    </w:p>
    <w:p w:rsidR="00AE25E5" w:rsidRPr="00AE25E5" w:rsidRDefault="00AE25E5" w:rsidP="00274ACA">
      <w:pPr>
        <w:rPr>
          <w:rFonts w:asciiTheme="majorHAnsi" w:hAnsiTheme="majorHAnsi"/>
          <w:szCs w:val="22"/>
        </w:rPr>
      </w:pPr>
      <w:r w:rsidRPr="00AE25E5">
        <w:rPr>
          <w:rFonts w:asciiTheme="majorHAnsi" w:hAnsiTheme="majorHAnsi" w:cs="Calibri"/>
          <w:szCs w:val="22"/>
        </w:rPr>
        <w:t>Poľnohospodárstvo patrí medzi najrizikovejšie výrobné odvetvia. Jeho vysoká rizikovosť vychádza z</w:t>
      </w:r>
      <w:r w:rsidR="0019677A">
        <w:rPr>
          <w:rFonts w:asciiTheme="majorHAnsi" w:hAnsiTheme="majorHAnsi" w:cs="Calibri"/>
          <w:szCs w:val="22"/>
        </w:rPr>
        <w:t> </w:t>
      </w:r>
      <w:r w:rsidRPr="00AE25E5">
        <w:rPr>
          <w:rFonts w:asciiTheme="majorHAnsi" w:hAnsiTheme="majorHAnsi" w:cs="Calibri"/>
          <w:szCs w:val="22"/>
        </w:rPr>
        <w:t xml:space="preserve">biologického charakteru prvovýroby, vplyvov </w:t>
      </w:r>
      <w:r w:rsidR="003A6FA4">
        <w:rPr>
          <w:rFonts w:asciiTheme="majorHAnsi" w:hAnsiTheme="majorHAnsi" w:cs="Calibri"/>
          <w:szCs w:val="22"/>
        </w:rPr>
        <w:t>zmeny klímy</w:t>
      </w:r>
      <w:r w:rsidRPr="00AE25E5">
        <w:rPr>
          <w:rFonts w:asciiTheme="majorHAnsi" w:hAnsiTheme="majorHAnsi" w:cs="Calibri"/>
          <w:szCs w:val="22"/>
        </w:rPr>
        <w:t>,</w:t>
      </w:r>
      <w:r w:rsidR="006D644D">
        <w:rPr>
          <w:rFonts w:asciiTheme="majorHAnsi" w:hAnsiTheme="majorHAnsi" w:cs="Calibri"/>
          <w:szCs w:val="22"/>
        </w:rPr>
        <w:t xml:space="preserve"> </w:t>
      </w:r>
      <w:r w:rsidR="006D644D" w:rsidRPr="006D644D">
        <w:rPr>
          <w:rFonts w:asciiTheme="majorHAnsi" w:hAnsiTheme="majorHAnsi" w:cs="Calibri"/>
          <w:szCs w:val="22"/>
        </w:rPr>
        <w:t>zvýšeni</w:t>
      </w:r>
      <w:r w:rsidR="002E1527">
        <w:rPr>
          <w:rFonts w:asciiTheme="majorHAnsi" w:hAnsiTheme="majorHAnsi" w:cs="Calibri"/>
          <w:szCs w:val="22"/>
        </w:rPr>
        <w:t>a</w:t>
      </w:r>
      <w:r w:rsidR="006D644D" w:rsidRPr="006D644D">
        <w:rPr>
          <w:rFonts w:asciiTheme="majorHAnsi" w:hAnsiTheme="majorHAnsi" w:cs="Calibri"/>
          <w:szCs w:val="22"/>
        </w:rPr>
        <w:t xml:space="preserve"> premenlivosti úhrnu zrážok, časte</w:t>
      </w:r>
      <w:r w:rsidR="006D644D">
        <w:rPr>
          <w:rFonts w:asciiTheme="majorHAnsi" w:hAnsiTheme="majorHAnsi" w:cs="Calibri"/>
          <w:szCs w:val="22"/>
        </w:rPr>
        <w:t>j</w:t>
      </w:r>
      <w:r w:rsidR="006D644D" w:rsidRPr="006D644D">
        <w:rPr>
          <w:rFonts w:asciiTheme="majorHAnsi" w:hAnsiTheme="majorHAnsi" w:cs="Calibri"/>
          <w:szCs w:val="22"/>
        </w:rPr>
        <w:t>š</w:t>
      </w:r>
      <w:r w:rsidR="002E1527">
        <w:rPr>
          <w:rFonts w:asciiTheme="majorHAnsi" w:hAnsiTheme="majorHAnsi" w:cs="Calibri"/>
          <w:szCs w:val="22"/>
        </w:rPr>
        <w:t>ieho</w:t>
      </w:r>
      <w:r w:rsidR="006D644D" w:rsidRPr="006D644D">
        <w:rPr>
          <w:rFonts w:asciiTheme="majorHAnsi" w:hAnsiTheme="majorHAnsi" w:cs="Calibri"/>
          <w:szCs w:val="22"/>
        </w:rPr>
        <w:t xml:space="preserve"> výskyt</w:t>
      </w:r>
      <w:r w:rsidR="002E1527">
        <w:rPr>
          <w:rFonts w:asciiTheme="majorHAnsi" w:hAnsiTheme="majorHAnsi" w:cs="Calibri"/>
          <w:szCs w:val="22"/>
        </w:rPr>
        <w:t>u</w:t>
      </w:r>
      <w:r w:rsidR="006D644D" w:rsidRPr="006D644D">
        <w:rPr>
          <w:rFonts w:asciiTheme="majorHAnsi" w:hAnsiTheme="majorHAnsi" w:cs="Calibri"/>
          <w:szCs w:val="22"/>
        </w:rPr>
        <w:t xml:space="preserve"> suchých období a</w:t>
      </w:r>
      <w:r w:rsidR="00E461DE">
        <w:rPr>
          <w:rFonts w:asciiTheme="majorHAnsi" w:hAnsiTheme="majorHAnsi" w:cs="Calibri"/>
          <w:szCs w:val="22"/>
        </w:rPr>
        <w:t> </w:t>
      </w:r>
      <w:r w:rsidR="006D644D" w:rsidRPr="006D644D">
        <w:rPr>
          <w:rFonts w:asciiTheme="majorHAnsi" w:hAnsiTheme="majorHAnsi" w:cs="Calibri"/>
          <w:szCs w:val="22"/>
        </w:rPr>
        <w:t>nárazov</w:t>
      </w:r>
      <w:r w:rsidR="002E1527">
        <w:rPr>
          <w:rFonts w:asciiTheme="majorHAnsi" w:hAnsiTheme="majorHAnsi" w:cs="Calibri"/>
          <w:szCs w:val="22"/>
        </w:rPr>
        <w:t>o</w:t>
      </w:r>
      <w:r w:rsidR="006D644D" w:rsidRPr="006D644D">
        <w:rPr>
          <w:rFonts w:asciiTheme="majorHAnsi" w:hAnsiTheme="majorHAnsi" w:cs="Calibri"/>
          <w:szCs w:val="22"/>
        </w:rPr>
        <w:t xml:space="preserve"> výdatn</w:t>
      </w:r>
      <w:r w:rsidR="002E1527">
        <w:rPr>
          <w:rFonts w:asciiTheme="majorHAnsi" w:hAnsiTheme="majorHAnsi" w:cs="Calibri"/>
          <w:szCs w:val="22"/>
        </w:rPr>
        <w:t>ého</w:t>
      </w:r>
      <w:r w:rsidR="006D644D" w:rsidRPr="006D644D">
        <w:rPr>
          <w:rFonts w:asciiTheme="majorHAnsi" w:hAnsiTheme="majorHAnsi" w:cs="Calibri"/>
          <w:szCs w:val="22"/>
        </w:rPr>
        <w:t xml:space="preserve"> daždivé</w:t>
      </w:r>
      <w:r w:rsidR="002E1527">
        <w:rPr>
          <w:rFonts w:asciiTheme="majorHAnsi" w:hAnsiTheme="majorHAnsi" w:cs="Calibri"/>
          <w:szCs w:val="22"/>
        </w:rPr>
        <w:t>ho</w:t>
      </w:r>
      <w:r w:rsidR="006D644D" w:rsidRPr="006D644D">
        <w:rPr>
          <w:rFonts w:asciiTheme="majorHAnsi" w:hAnsiTheme="majorHAnsi" w:cs="Calibri"/>
          <w:szCs w:val="22"/>
        </w:rPr>
        <w:t xml:space="preserve"> obdobi</w:t>
      </w:r>
      <w:r w:rsidR="006D644D">
        <w:rPr>
          <w:rFonts w:asciiTheme="majorHAnsi" w:hAnsiTheme="majorHAnsi" w:cs="Calibri"/>
          <w:szCs w:val="22"/>
        </w:rPr>
        <w:t>a</w:t>
      </w:r>
      <w:r w:rsidR="006D644D" w:rsidRPr="006D644D">
        <w:rPr>
          <w:rFonts w:asciiTheme="majorHAnsi" w:hAnsiTheme="majorHAnsi" w:cs="Calibri"/>
          <w:szCs w:val="22"/>
        </w:rPr>
        <w:t xml:space="preserve"> a</w:t>
      </w:r>
      <w:r w:rsidR="00E461DE">
        <w:rPr>
          <w:rFonts w:asciiTheme="majorHAnsi" w:hAnsiTheme="majorHAnsi" w:cs="Calibri"/>
          <w:szCs w:val="22"/>
        </w:rPr>
        <w:t> </w:t>
      </w:r>
      <w:r w:rsidRPr="00AE25E5">
        <w:rPr>
          <w:rFonts w:asciiTheme="majorHAnsi" w:hAnsiTheme="majorHAnsi" w:cs="Calibri"/>
          <w:szCs w:val="22"/>
        </w:rPr>
        <w:t>rastu výskytu živelných pohrôm</w:t>
      </w:r>
      <w:r w:rsidR="006D644D">
        <w:rPr>
          <w:rFonts w:asciiTheme="majorHAnsi" w:hAnsiTheme="majorHAnsi" w:cs="Calibri"/>
          <w:szCs w:val="22"/>
        </w:rPr>
        <w:t xml:space="preserve">. </w:t>
      </w:r>
      <w:r w:rsidR="006D644D" w:rsidRPr="006D644D">
        <w:rPr>
          <w:rFonts w:asciiTheme="majorHAnsi" w:hAnsiTheme="majorHAnsi" w:cs="Calibri"/>
          <w:szCs w:val="22"/>
        </w:rPr>
        <w:t>Na znižovanie rizikovosti poľnohospodárstva pozitívne vplýva</w:t>
      </w:r>
      <w:r w:rsidR="006D644D">
        <w:rPr>
          <w:rFonts w:asciiTheme="majorHAnsi" w:hAnsiTheme="majorHAnsi" w:cs="Calibri"/>
          <w:szCs w:val="22"/>
        </w:rPr>
        <w:t> reforma</w:t>
      </w:r>
      <w:r w:rsidR="0019677A">
        <w:rPr>
          <w:rFonts w:asciiTheme="majorHAnsi" w:hAnsiTheme="majorHAnsi" w:cs="Calibri"/>
          <w:szCs w:val="22"/>
        </w:rPr>
        <w:t xml:space="preserve"> </w:t>
      </w:r>
      <w:r w:rsidR="004B5CC1">
        <w:rPr>
          <w:rFonts w:asciiTheme="majorHAnsi" w:hAnsiTheme="majorHAnsi" w:cs="Calibri"/>
          <w:szCs w:val="22"/>
        </w:rPr>
        <w:t>Spoločnej poľnohospodárskej politiky EÚ (ďalej len „SPP“)</w:t>
      </w:r>
      <w:r w:rsidRPr="00AE25E5">
        <w:rPr>
          <w:rFonts w:asciiTheme="majorHAnsi" w:hAnsiTheme="majorHAnsi" w:cs="Calibri"/>
          <w:szCs w:val="22"/>
        </w:rPr>
        <w:t>, ktorá</w:t>
      </w:r>
      <w:r w:rsidR="006D644D">
        <w:rPr>
          <w:rFonts w:asciiTheme="majorHAnsi" w:hAnsiTheme="majorHAnsi" w:cs="Calibri"/>
          <w:szCs w:val="22"/>
        </w:rPr>
        <w:t xml:space="preserve"> </w:t>
      </w:r>
      <w:r w:rsidR="006D644D" w:rsidRPr="006D644D">
        <w:rPr>
          <w:rFonts w:asciiTheme="majorHAnsi" w:hAnsiTheme="majorHAnsi" w:cs="Calibri"/>
          <w:szCs w:val="22"/>
        </w:rPr>
        <w:t>je aj napriek podpore liberalizačných procesov</w:t>
      </w:r>
      <w:r w:rsidRPr="00AE25E5">
        <w:rPr>
          <w:rFonts w:asciiTheme="majorHAnsi" w:hAnsiTheme="majorHAnsi" w:cs="Calibri"/>
          <w:szCs w:val="22"/>
        </w:rPr>
        <w:t xml:space="preserve"> </w:t>
      </w:r>
      <w:r w:rsidR="006D644D">
        <w:rPr>
          <w:rFonts w:asciiTheme="majorHAnsi" w:hAnsiTheme="majorHAnsi" w:cs="Calibri"/>
          <w:szCs w:val="22"/>
        </w:rPr>
        <w:t xml:space="preserve">vo svetovom obchode </w:t>
      </w:r>
      <w:r w:rsidR="006D644D" w:rsidRPr="006D644D">
        <w:rPr>
          <w:rFonts w:asciiTheme="majorHAnsi" w:hAnsiTheme="majorHAnsi" w:cs="Calibri"/>
          <w:szCs w:val="22"/>
        </w:rPr>
        <w:t>významným stabilizačným faktorom vo vzťahu tak k</w:t>
      </w:r>
      <w:r w:rsidR="00E461DE">
        <w:rPr>
          <w:rFonts w:asciiTheme="majorHAnsi" w:hAnsiTheme="majorHAnsi" w:cs="Calibri"/>
          <w:szCs w:val="22"/>
        </w:rPr>
        <w:t> </w:t>
      </w:r>
      <w:r w:rsidR="006D644D" w:rsidRPr="006D644D">
        <w:rPr>
          <w:rFonts w:asciiTheme="majorHAnsi" w:hAnsiTheme="majorHAnsi" w:cs="Calibri"/>
          <w:szCs w:val="22"/>
        </w:rPr>
        <w:t xml:space="preserve">nestálosti cien poľnohospodárskych komodít, ako aj ku </w:t>
      </w:r>
      <w:r w:rsidR="006D644D" w:rsidRPr="00AE25E5">
        <w:rPr>
          <w:rFonts w:asciiTheme="majorHAnsi" w:hAnsiTheme="majorHAnsi" w:cs="Calibri"/>
          <w:szCs w:val="22"/>
        </w:rPr>
        <w:t>stup</w:t>
      </w:r>
      <w:r w:rsidR="006D644D">
        <w:rPr>
          <w:rFonts w:asciiTheme="majorHAnsi" w:hAnsiTheme="majorHAnsi" w:cs="Calibri"/>
          <w:szCs w:val="22"/>
        </w:rPr>
        <w:t>ňu</w:t>
      </w:r>
      <w:r w:rsidR="006D644D" w:rsidRPr="00AE25E5">
        <w:rPr>
          <w:rFonts w:asciiTheme="majorHAnsi" w:hAnsiTheme="majorHAnsi" w:cs="Calibri"/>
          <w:szCs w:val="22"/>
        </w:rPr>
        <w:t xml:space="preserve"> </w:t>
      </w:r>
      <w:r w:rsidRPr="00AE25E5">
        <w:rPr>
          <w:rFonts w:asciiTheme="majorHAnsi" w:hAnsiTheme="majorHAnsi" w:cs="Calibri"/>
          <w:szCs w:val="22"/>
        </w:rPr>
        <w:t>vystavovania</w:t>
      </w:r>
      <w:r w:rsidR="006D644D">
        <w:rPr>
          <w:rFonts w:asciiTheme="majorHAnsi" w:hAnsiTheme="majorHAnsi" w:cs="Calibri"/>
          <w:szCs w:val="22"/>
        </w:rPr>
        <w:t xml:space="preserve"> subjektov poľnohospodárskej výroby</w:t>
      </w:r>
      <w:r w:rsidRPr="00AE25E5">
        <w:rPr>
          <w:rFonts w:asciiTheme="majorHAnsi" w:hAnsiTheme="majorHAnsi" w:cs="Calibri"/>
          <w:szCs w:val="22"/>
        </w:rPr>
        <w:t xml:space="preserve"> hospodárskej súťaž</w:t>
      </w:r>
      <w:r w:rsidR="006D644D">
        <w:rPr>
          <w:rFonts w:asciiTheme="majorHAnsi" w:hAnsiTheme="majorHAnsi" w:cs="Calibri"/>
          <w:szCs w:val="22"/>
        </w:rPr>
        <w:t>i</w:t>
      </w:r>
      <w:r w:rsidR="0019677A">
        <w:rPr>
          <w:rFonts w:asciiTheme="majorHAnsi" w:hAnsiTheme="majorHAnsi" w:cs="Calibri"/>
          <w:szCs w:val="22"/>
        </w:rPr>
        <w:t>.</w:t>
      </w:r>
    </w:p>
    <w:p w:rsidR="00274ACA" w:rsidRPr="00D1750C" w:rsidRDefault="00274ACA" w:rsidP="00274ACA">
      <w:pPr>
        <w:rPr>
          <w:rFonts w:asciiTheme="majorHAnsi" w:hAnsiTheme="majorHAnsi"/>
        </w:rPr>
      </w:pPr>
      <w:r w:rsidRPr="00D1750C">
        <w:rPr>
          <w:rFonts w:asciiTheme="majorHAnsi" w:hAnsiTheme="majorHAnsi"/>
        </w:rPr>
        <w:t>Slovenské poľnohospodárstvo je charakteristické duálnou štruktúrou výroby – 82</w:t>
      </w:r>
      <w:r w:rsidR="000312BB">
        <w:rPr>
          <w:rFonts w:asciiTheme="majorHAnsi" w:hAnsiTheme="majorHAnsi"/>
        </w:rPr>
        <w:t xml:space="preserve"> </w:t>
      </w:r>
      <w:r w:rsidRPr="00D1750C">
        <w:rPr>
          <w:rFonts w:asciiTheme="majorHAnsi" w:hAnsiTheme="majorHAnsi"/>
        </w:rPr>
        <w:t>% podnikov (prevažne rodinného charakteru) obhospodaruje 5</w:t>
      </w:r>
      <w:r w:rsidR="000312BB">
        <w:rPr>
          <w:rFonts w:asciiTheme="majorHAnsi" w:hAnsiTheme="majorHAnsi"/>
        </w:rPr>
        <w:t xml:space="preserve"> </w:t>
      </w:r>
      <w:r w:rsidRPr="00D1750C">
        <w:rPr>
          <w:rFonts w:asciiTheme="majorHAnsi" w:hAnsiTheme="majorHAnsi"/>
        </w:rPr>
        <w:t>% poľnohospodárskej pôdy, zvyšných 18</w:t>
      </w:r>
      <w:r w:rsidR="000312BB">
        <w:rPr>
          <w:rFonts w:asciiTheme="majorHAnsi" w:hAnsiTheme="majorHAnsi"/>
        </w:rPr>
        <w:t xml:space="preserve"> </w:t>
      </w:r>
      <w:r w:rsidRPr="00D1750C">
        <w:rPr>
          <w:rFonts w:asciiTheme="majorHAnsi" w:hAnsiTheme="majorHAnsi"/>
        </w:rPr>
        <w:t>% podnikov hospodári na 95</w:t>
      </w:r>
      <w:r w:rsidR="000312BB">
        <w:rPr>
          <w:rFonts w:asciiTheme="majorHAnsi" w:hAnsiTheme="majorHAnsi"/>
        </w:rPr>
        <w:t xml:space="preserve"> </w:t>
      </w:r>
      <w:r w:rsidRPr="00D1750C">
        <w:rPr>
          <w:rFonts w:asciiTheme="majorHAnsi" w:hAnsiTheme="majorHAnsi"/>
        </w:rPr>
        <w:t xml:space="preserve">% pôdy. Štruktúra fariem je </w:t>
      </w:r>
      <w:r w:rsidR="004B5CC1">
        <w:rPr>
          <w:rFonts w:asciiTheme="majorHAnsi" w:hAnsiTheme="majorHAnsi"/>
        </w:rPr>
        <w:t xml:space="preserve">charakterizovaná </w:t>
      </w:r>
      <w:r w:rsidRPr="00D1750C">
        <w:rPr>
          <w:rFonts w:asciiTheme="majorHAnsi" w:hAnsiTheme="majorHAnsi"/>
        </w:rPr>
        <w:t>veľkými právnickými osobami (družstvá a</w:t>
      </w:r>
      <w:r w:rsidR="00494438">
        <w:rPr>
          <w:rFonts w:asciiTheme="majorHAnsi" w:hAnsiTheme="majorHAnsi"/>
        </w:rPr>
        <w:t> </w:t>
      </w:r>
      <w:r w:rsidRPr="00D1750C">
        <w:rPr>
          <w:rFonts w:asciiTheme="majorHAnsi" w:hAnsiTheme="majorHAnsi"/>
        </w:rPr>
        <w:t>obchodné</w:t>
      </w:r>
      <w:r w:rsidR="00494438">
        <w:rPr>
          <w:rFonts w:asciiTheme="majorHAnsi" w:hAnsiTheme="majorHAnsi"/>
        </w:rPr>
        <w:t xml:space="preserve"> </w:t>
      </w:r>
      <w:r w:rsidRPr="00D1750C">
        <w:rPr>
          <w:rFonts w:asciiTheme="majorHAnsi" w:hAnsiTheme="majorHAnsi"/>
        </w:rPr>
        <w:t>spoločnost</w:t>
      </w:r>
      <w:r>
        <w:rPr>
          <w:rFonts w:asciiTheme="majorHAnsi" w:hAnsiTheme="majorHAnsi"/>
        </w:rPr>
        <w:t>i</w:t>
      </w:r>
      <w:r w:rsidRPr="00D1750C">
        <w:rPr>
          <w:rFonts w:asciiTheme="majorHAnsi" w:hAnsiTheme="majorHAnsi"/>
        </w:rPr>
        <w:t>)</w:t>
      </w:r>
      <w:r w:rsidR="004B5CC1">
        <w:rPr>
          <w:rStyle w:val="Odkaznapoznmkupodiarou"/>
          <w:rFonts w:asciiTheme="majorHAnsi" w:hAnsiTheme="majorHAnsi"/>
        </w:rPr>
        <w:footnoteReference w:id="70"/>
      </w:r>
      <w:r w:rsidRPr="00D1750C">
        <w:rPr>
          <w:rFonts w:asciiTheme="majorHAnsi" w:hAnsiTheme="majorHAnsi"/>
        </w:rPr>
        <w:t>.</w:t>
      </w:r>
    </w:p>
    <w:p w:rsidR="00D1750C" w:rsidRPr="00D1750C" w:rsidRDefault="00274ACA" w:rsidP="00D1750C">
      <w:pPr>
        <w:rPr>
          <w:rFonts w:asciiTheme="majorHAnsi" w:hAnsiTheme="majorHAnsi"/>
        </w:rPr>
      </w:pPr>
      <w:r w:rsidRPr="00D1750C">
        <w:rPr>
          <w:rFonts w:asciiTheme="majorHAnsi" w:hAnsiTheme="majorHAnsi"/>
        </w:rPr>
        <w:t xml:space="preserve">Analýza obdobia medzi dvomi cenzami (ŠÚ SR – </w:t>
      </w:r>
      <w:r>
        <w:rPr>
          <w:rFonts w:asciiTheme="majorHAnsi" w:hAnsiTheme="majorHAnsi"/>
        </w:rPr>
        <w:t xml:space="preserve">za rok </w:t>
      </w:r>
      <w:r w:rsidRPr="00D1750C">
        <w:rPr>
          <w:rFonts w:asciiTheme="majorHAnsi" w:hAnsiTheme="majorHAnsi"/>
        </w:rPr>
        <w:t>2001 a</w:t>
      </w:r>
      <w:r>
        <w:rPr>
          <w:rFonts w:asciiTheme="majorHAnsi" w:hAnsiTheme="majorHAnsi"/>
        </w:rPr>
        <w:t xml:space="preserve"> rok </w:t>
      </w:r>
      <w:r w:rsidR="00D1750C" w:rsidRPr="00D1750C">
        <w:rPr>
          <w:rFonts w:asciiTheme="majorHAnsi" w:hAnsiTheme="majorHAnsi"/>
        </w:rPr>
        <w:t>2010) dokumentuje stále silný plošný rozptyl poľnohospodárskych podnikateľských subjektov</w:t>
      </w:r>
      <w:r w:rsidR="004B5CC1">
        <w:rPr>
          <w:rFonts w:asciiTheme="majorHAnsi" w:hAnsiTheme="majorHAnsi"/>
        </w:rPr>
        <w:t>,</w:t>
      </w:r>
      <w:r w:rsidR="00D1750C" w:rsidRPr="00D1750C">
        <w:rPr>
          <w:rFonts w:asciiTheme="majorHAnsi" w:hAnsiTheme="majorHAnsi"/>
        </w:rPr>
        <w:t xml:space="preserve"> vrátane narastajúceho významu malých rodinných fariem (najmä v menej produkčných oblastiach Slovenska), ktoré majú značný potenciál</w:t>
      </w:r>
      <w:r w:rsidR="004B5CC1">
        <w:rPr>
          <w:rFonts w:asciiTheme="majorHAnsi" w:hAnsiTheme="majorHAnsi"/>
        </w:rPr>
        <w:t>,</w:t>
      </w:r>
      <w:r w:rsidR="00D1750C" w:rsidRPr="00D1750C">
        <w:rPr>
          <w:rFonts w:asciiTheme="majorHAnsi" w:hAnsiTheme="majorHAnsi"/>
        </w:rPr>
        <w:t xml:space="preserve"> najmä v nižších pracovných nákladoch. Nedostatkom je nízka investičná aktivita a</w:t>
      </w:r>
      <w:r w:rsidR="005B7DB7">
        <w:rPr>
          <w:rFonts w:asciiTheme="majorHAnsi" w:hAnsiTheme="majorHAnsi"/>
        </w:rPr>
        <w:t> </w:t>
      </w:r>
      <w:r w:rsidR="00D1750C" w:rsidRPr="00D1750C">
        <w:rPr>
          <w:rFonts w:asciiTheme="majorHAnsi" w:hAnsiTheme="majorHAnsi"/>
        </w:rPr>
        <w:t>malá</w:t>
      </w:r>
      <w:r w:rsidR="005B7DB7">
        <w:rPr>
          <w:rFonts w:asciiTheme="majorHAnsi" w:hAnsiTheme="majorHAnsi"/>
        </w:rPr>
        <w:t xml:space="preserve"> </w:t>
      </w:r>
      <w:r w:rsidR="00D1750C" w:rsidRPr="00D1750C">
        <w:rPr>
          <w:rFonts w:asciiTheme="majorHAnsi" w:hAnsiTheme="majorHAnsi"/>
        </w:rPr>
        <w:t>podpora na investovanie v</w:t>
      </w:r>
      <w:r w:rsidR="005B7DB7">
        <w:rPr>
          <w:rFonts w:asciiTheme="majorHAnsi" w:hAnsiTheme="majorHAnsi"/>
        </w:rPr>
        <w:t> </w:t>
      </w:r>
      <w:r w:rsidR="00D1750C" w:rsidRPr="00D1750C">
        <w:rPr>
          <w:rFonts w:asciiTheme="majorHAnsi" w:hAnsiTheme="majorHAnsi"/>
        </w:rPr>
        <w:t>malých</w:t>
      </w:r>
      <w:r w:rsidR="005B7DB7">
        <w:rPr>
          <w:rFonts w:asciiTheme="majorHAnsi" w:hAnsiTheme="majorHAnsi"/>
        </w:rPr>
        <w:t xml:space="preserve"> </w:t>
      </w:r>
      <w:r w:rsidR="00D1750C" w:rsidRPr="00D1750C">
        <w:rPr>
          <w:rFonts w:asciiTheme="majorHAnsi" w:hAnsiTheme="majorHAnsi"/>
        </w:rPr>
        <w:t>podnikoch.</w:t>
      </w:r>
    </w:p>
    <w:p w:rsidR="00F56916" w:rsidRPr="00B9507F" w:rsidRDefault="00D1750C" w:rsidP="00F56916">
      <w:pPr>
        <w:rPr>
          <w:rFonts w:asciiTheme="majorHAnsi" w:hAnsiTheme="majorHAnsi"/>
        </w:rPr>
      </w:pPr>
      <w:r w:rsidRPr="00D1750C">
        <w:rPr>
          <w:rFonts w:asciiTheme="majorHAnsi" w:hAnsiTheme="majorHAnsi"/>
        </w:rPr>
        <w:t xml:space="preserve">Štrukturálne ukazovatele slovenského poľnohospodárstva sa výrazne líšia od veľkej väčšiny </w:t>
      </w:r>
      <w:r w:rsidR="000767A0" w:rsidRPr="00441780">
        <w:rPr>
          <w:rFonts w:asciiTheme="majorHAnsi" w:hAnsiTheme="majorHAnsi"/>
        </w:rPr>
        <w:t>členských štátov</w:t>
      </w:r>
      <w:r w:rsidRPr="00D1750C">
        <w:rPr>
          <w:rFonts w:asciiTheme="majorHAnsi" w:hAnsiTheme="majorHAnsi"/>
        </w:rPr>
        <w:t xml:space="preserve"> EÚ.</w:t>
      </w:r>
      <w:r>
        <w:rPr>
          <w:rFonts w:asciiTheme="majorHAnsi" w:hAnsiTheme="majorHAnsi"/>
        </w:rPr>
        <w:t xml:space="preserve"> </w:t>
      </w:r>
      <w:r w:rsidR="00013BE1" w:rsidRPr="00A11FE0">
        <w:rPr>
          <w:rFonts w:asciiTheme="majorHAnsi" w:hAnsiTheme="majorHAnsi"/>
        </w:rPr>
        <w:t>Priemerná výmera poľnohospodárskeho podniku v</w:t>
      </w:r>
      <w:r w:rsidR="007A0A33">
        <w:rPr>
          <w:rFonts w:asciiTheme="majorHAnsi" w:hAnsiTheme="majorHAnsi"/>
        </w:rPr>
        <w:t> </w:t>
      </w:r>
      <w:r w:rsidR="00BD5FD5">
        <w:rPr>
          <w:rFonts w:asciiTheme="majorHAnsi" w:hAnsiTheme="majorHAnsi"/>
        </w:rPr>
        <w:t>S</w:t>
      </w:r>
      <w:r w:rsidR="00013BE1" w:rsidRPr="00A11FE0">
        <w:rPr>
          <w:rFonts w:asciiTheme="majorHAnsi" w:hAnsiTheme="majorHAnsi"/>
        </w:rPr>
        <w:t xml:space="preserve">R </w:t>
      </w:r>
      <w:r w:rsidR="008F1C90" w:rsidRPr="000312BB">
        <w:rPr>
          <w:rFonts w:asciiTheme="majorHAnsi" w:hAnsiTheme="majorHAnsi"/>
        </w:rPr>
        <w:t>(</w:t>
      </w:r>
      <w:r w:rsidR="0050679F" w:rsidRPr="000312BB">
        <w:rPr>
          <w:rFonts w:asciiTheme="majorHAnsi" w:hAnsiTheme="majorHAnsi"/>
        </w:rPr>
        <w:t xml:space="preserve">1215 ha </w:t>
      </w:r>
      <w:r w:rsidR="00E461DE">
        <w:rPr>
          <w:rFonts w:asciiTheme="majorHAnsi" w:hAnsiTheme="majorHAnsi"/>
        </w:rPr>
        <w:t>–</w:t>
      </w:r>
      <w:r w:rsidR="00274ACA">
        <w:rPr>
          <w:rFonts w:asciiTheme="majorHAnsi" w:hAnsiTheme="majorHAnsi"/>
        </w:rPr>
        <w:t xml:space="preserve"> </w:t>
      </w:r>
      <w:r w:rsidR="0050679F" w:rsidRPr="000312BB">
        <w:rPr>
          <w:rFonts w:asciiTheme="majorHAnsi" w:hAnsiTheme="majorHAnsi"/>
        </w:rPr>
        <w:t>v prípade podnikov nad 100ha</w:t>
      </w:r>
      <w:r w:rsidR="0050679F" w:rsidRPr="000312BB">
        <w:rPr>
          <w:rStyle w:val="Odkaznapoznmkupodiarou"/>
          <w:rFonts w:asciiTheme="majorHAnsi" w:hAnsiTheme="majorHAnsi"/>
        </w:rPr>
        <w:footnoteReference w:id="71"/>
      </w:r>
      <w:r w:rsidR="008F1C90" w:rsidRPr="000312BB">
        <w:rPr>
          <w:rFonts w:asciiTheme="majorHAnsi" w:hAnsiTheme="majorHAnsi"/>
        </w:rPr>
        <w:t>)</w:t>
      </w:r>
      <w:r w:rsidR="008F1C90">
        <w:rPr>
          <w:rFonts w:asciiTheme="majorHAnsi" w:hAnsiTheme="majorHAnsi"/>
        </w:rPr>
        <w:t xml:space="preserve"> </w:t>
      </w:r>
      <w:r w:rsidR="00013BE1" w:rsidRPr="00A11FE0">
        <w:rPr>
          <w:rFonts w:asciiTheme="majorHAnsi" w:hAnsiTheme="majorHAnsi"/>
        </w:rPr>
        <w:t>je niekoľkonásobne väčšia</w:t>
      </w:r>
      <w:r w:rsidR="004B5CC1">
        <w:rPr>
          <w:rFonts w:asciiTheme="majorHAnsi" w:hAnsiTheme="majorHAnsi"/>
        </w:rPr>
        <w:t>,</w:t>
      </w:r>
      <w:r w:rsidR="00013BE1" w:rsidRPr="00A11FE0">
        <w:rPr>
          <w:rFonts w:asciiTheme="majorHAnsi" w:hAnsiTheme="majorHAnsi"/>
        </w:rPr>
        <w:t xml:space="preserve"> </w:t>
      </w:r>
      <w:r w:rsidR="00BD5FD5">
        <w:rPr>
          <w:rFonts w:asciiTheme="majorHAnsi" w:hAnsiTheme="majorHAnsi"/>
        </w:rPr>
        <w:t>ak</w:t>
      </w:r>
      <w:r w:rsidR="00013BE1" w:rsidRPr="00A11FE0">
        <w:rPr>
          <w:rFonts w:asciiTheme="majorHAnsi" w:hAnsiTheme="majorHAnsi"/>
        </w:rPr>
        <w:t xml:space="preserve">o vo väčšine </w:t>
      </w:r>
      <w:r w:rsidR="00BD5FD5">
        <w:rPr>
          <w:rFonts w:asciiTheme="majorHAnsi" w:hAnsiTheme="majorHAnsi"/>
        </w:rPr>
        <w:t>k</w:t>
      </w:r>
      <w:r w:rsidR="00013BE1" w:rsidRPr="00A11FE0">
        <w:rPr>
          <w:rFonts w:asciiTheme="majorHAnsi" w:hAnsiTheme="majorHAnsi"/>
        </w:rPr>
        <w:t>rajín EÚ</w:t>
      </w:r>
      <w:r w:rsidR="002F2443">
        <w:rPr>
          <w:rFonts w:asciiTheme="majorHAnsi" w:hAnsiTheme="majorHAnsi"/>
        </w:rPr>
        <w:t>.</w:t>
      </w:r>
      <w:r w:rsidR="008F1C90" w:rsidRPr="003F0750">
        <w:rPr>
          <w:rFonts w:asciiTheme="majorHAnsi" w:hAnsiTheme="majorHAnsi"/>
        </w:rPr>
        <w:t xml:space="preserve"> </w:t>
      </w:r>
      <w:r w:rsidR="006F39EB" w:rsidRPr="00A11FE0">
        <w:rPr>
          <w:rFonts w:asciiTheme="majorHAnsi" w:hAnsiTheme="majorHAnsi"/>
        </w:rPr>
        <w:t>E</w:t>
      </w:r>
      <w:r w:rsidR="00013BE1" w:rsidRPr="00A11FE0">
        <w:rPr>
          <w:rFonts w:asciiTheme="majorHAnsi" w:hAnsiTheme="majorHAnsi"/>
        </w:rPr>
        <w:t>konomicky rozhodujúca časť poľnohospodárstva</w:t>
      </w:r>
      <w:r w:rsidR="00874D15" w:rsidRPr="00A11FE0">
        <w:rPr>
          <w:rFonts w:asciiTheme="majorHAnsi" w:hAnsiTheme="majorHAnsi"/>
        </w:rPr>
        <w:t xml:space="preserve"> </w:t>
      </w:r>
      <w:r w:rsidR="00BD5FD5">
        <w:rPr>
          <w:rFonts w:asciiTheme="majorHAnsi" w:hAnsiTheme="majorHAnsi"/>
        </w:rPr>
        <w:t>S</w:t>
      </w:r>
      <w:r w:rsidR="00874D15" w:rsidRPr="00A11FE0">
        <w:rPr>
          <w:rFonts w:asciiTheme="majorHAnsi" w:hAnsiTheme="majorHAnsi"/>
        </w:rPr>
        <w:t>R</w:t>
      </w:r>
      <w:r w:rsidR="00013BE1" w:rsidRPr="00A11FE0">
        <w:rPr>
          <w:rFonts w:asciiTheme="majorHAnsi" w:hAnsiTheme="majorHAnsi"/>
        </w:rPr>
        <w:t xml:space="preserve"> má veľkovýrobný charakter</w:t>
      </w:r>
      <w:r w:rsidR="002F0D39" w:rsidRPr="00A11FE0">
        <w:rPr>
          <w:rFonts w:asciiTheme="majorHAnsi" w:hAnsiTheme="majorHAnsi"/>
        </w:rPr>
        <w:t xml:space="preserve"> </w:t>
      </w:r>
      <w:r w:rsidR="00BD5FD5">
        <w:rPr>
          <w:rFonts w:asciiTheme="majorHAnsi" w:hAnsiTheme="majorHAnsi"/>
        </w:rPr>
        <w:t>s </w:t>
      </w:r>
      <w:r w:rsidR="00013BE1" w:rsidRPr="00A11FE0">
        <w:rPr>
          <w:rFonts w:asciiTheme="majorHAnsi" w:hAnsiTheme="majorHAnsi"/>
        </w:rPr>
        <w:t>prevahou prenajatej pôdy</w:t>
      </w:r>
      <w:r w:rsidR="008F1C90">
        <w:rPr>
          <w:rFonts w:asciiTheme="majorHAnsi" w:hAnsiTheme="majorHAnsi"/>
        </w:rPr>
        <w:t xml:space="preserve"> </w:t>
      </w:r>
      <w:r w:rsidRPr="00D1750C">
        <w:rPr>
          <w:rFonts w:asciiTheme="majorHAnsi" w:hAnsiTheme="majorHAnsi"/>
        </w:rPr>
        <w:t>(z celkovej výmery využitej poľnohospodárskej pôdy bolo viac ako 90</w:t>
      </w:r>
      <w:r w:rsidR="000312BB">
        <w:rPr>
          <w:rFonts w:asciiTheme="majorHAnsi" w:hAnsiTheme="majorHAnsi"/>
        </w:rPr>
        <w:t xml:space="preserve"> </w:t>
      </w:r>
      <w:r w:rsidRPr="00D1750C">
        <w:rPr>
          <w:rFonts w:asciiTheme="majorHAnsi" w:hAnsiTheme="majorHAnsi"/>
        </w:rPr>
        <w:t xml:space="preserve">% prenajatej) </w:t>
      </w:r>
      <w:r w:rsidR="00BD5FD5">
        <w:rPr>
          <w:rFonts w:asciiTheme="majorHAnsi" w:hAnsiTheme="majorHAnsi"/>
        </w:rPr>
        <w:t>a </w:t>
      </w:r>
      <w:r w:rsidR="00013BE1" w:rsidRPr="00A11FE0">
        <w:rPr>
          <w:rFonts w:asciiTheme="majorHAnsi" w:hAnsiTheme="majorHAnsi"/>
        </w:rPr>
        <w:t xml:space="preserve">relatívne nízkou mierou diverzifikácie mimo poľnohospodárstva. Celková poľnohospodárska produkcia </w:t>
      </w:r>
      <w:r w:rsidR="00BD5FD5">
        <w:rPr>
          <w:rFonts w:asciiTheme="majorHAnsi" w:hAnsiTheme="majorHAnsi"/>
        </w:rPr>
        <w:t>S</w:t>
      </w:r>
      <w:r w:rsidR="00967DB1" w:rsidRPr="00A11FE0">
        <w:rPr>
          <w:rFonts w:asciiTheme="majorHAnsi" w:hAnsiTheme="majorHAnsi"/>
        </w:rPr>
        <w:t xml:space="preserve">R </w:t>
      </w:r>
      <w:r w:rsidR="00013BE1" w:rsidRPr="00A11FE0">
        <w:rPr>
          <w:rFonts w:asciiTheme="majorHAnsi" w:hAnsiTheme="majorHAnsi"/>
        </w:rPr>
        <w:t xml:space="preserve">dlhodobo </w:t>
      </w:r>
      <w:r w:rsidR="00BD5FD5">
        <w:rPr>
          <w:rFonts w:asciiTheme="majorHAnsi" w:hAnsiTheme="majorHAnsi"/>
        </w:rPr>
        <w:t>s</w:t>
      </w:r>
      <w:r w:rsidR="00013BE1" w:rsidRPr="00A11FE0">
        <w:rPr>
          <w:rFonts w:asciiTheme="majorHAnsi" w:hAnsiTheme="majorHAnsi"/>
        </w:rPr>
        <w:t xml:space="preserve">tagnuje </w:t>
      </w:r>
      <w:r w:rsidR="00BD5FD5">
        <w:rPr>
          <w:rFonts w:asciiTheme="majorHAnsi" w:hAnsiTheme="majorHAnsi"/>
        </w:rPr>
        <w:t>a </w:t>
      </w:r>
      <w:r w:rsidR="00013BE1" w:rsidRPr="00A11FE0">
        <w:rPr>
          <w:rFonts w:asciiTheme="majorHAnsi" w:hAnsiTheme="majorHAnsi"/>
        </w:rPr>
        <w:t xml:space="preserve">zaostáva. Prejavom je nízka pridaná hodnota </w:t>
      </w:r>
      <w:r w:rsidR="00BD5FD5">
        <w:rPr>
          <w:rFonts w:asciiTheme="majorHAnsi" w:hAnsiTheme="majorHAnsi"/>
        </w:rPr>
        <w:t>a </w:t>
      </w:r>
      <w:r w:rsidR="00013BE1" w:rsidRPr="00A11FE0">
        <w:rPr>
          <w:rFonts w:asciiTheme="majorHAnsi" w:hAnsiTheme="majorHAnsi"/>
        </w:rPr>
        <w:t xml:space="preserve">nízke príjmy </w:t>
      </w:r>
      <w:r w:rsidR="00510B28" w:rsidRPr="00A11FE0">
        <w:rPr>
          <w:rFonts w:asciiTheme="majorHAnsi" w:hAnsiTheme="majorHAnsi"/>
        </w:rPr>
        <w:t>prepočítané</w:t>
      </w:r>
      <w:r w:rsidR="00013BE1" w:rsidRPr="00A11FE0">
        <w:rPr>
          <w:rFonts w:asciiTheme="majorHAnsi" w:hAnsiTheme="majorHAnsi"/>
        </w:rPr>
        <w:t xml:space="preserve"> na hektár poľnohospodárskej pôdy</w:t>
      </w:r>
      <w:r w:rsidR="00274ACA">
        <w:rPr>
          <w:rFonts w:asciiTheme="majorHAnsi" w:hAnsiTheme="majorHAnsi"/>
        </w:rPr>
        <w:t>, ako aj</w:t>
      </w:r>
      <w:r w:rsidR="00BD5FD5">
        <w:rPr>
          <w:rFonts w:asciiTheme="majorHAnsi" w:hAnsiTheme="majorHAnsi"/>
        </w:rPr>
        <w:t> </w:t>
      </w:r>
      <w:r w:rsidR="00013BE1" w:rsidRPr="00A11FE0">
        <w:rPr>
          <w:rFonts w:asciiTheme="majorHAnsi" w:hAnsiTheme="majorHAnsi"/>
        </w:rPr>
        <w:t>orientácia</w:t>
      </w:r>
      <w:r w:rsidR="00285918">
        <w:rPr>
          <w:rFonts w:asciiTheme="majorHAnsi" w:hAnsiTheme="majorHAnsi"/>
        </w:rPr>
        <w:t xml:space="preserve"> </w:t>
      </w:r>
      <w:r w:rsidR="00013BE1" w:rsidRPr="00A11FE0">
        <w:rPr>
          <w:rFonts w:asciiTheme="majorHAnsi" w:hAnsiTheme="majorHAnsi"/>
        </w:rPr>
        <w:t xml:space="preserve">výroby na </w:t>
      </w:r>
      <w:r w:rsidR="00BD5FD5">
        <w:rPr>
          <w:rFonts w:asciiTheme="majorHAnsi" w:hAnsiTheme="majorHAnsi"/>
        </w:rPr>
        <w:t>k</w:t>
      </w:r>
      <w:r w:rsidR="00013BE1" w:rsidRPr="00A11FE0">
        <w:rPr>
          <w:rFonts w:asciiTheme="majorHAnsi" w:hAnsiTheme="majorHAnsi"/>
        </w:rPr>
        <w:t xml:space="preserve">omodity </w:t>
      </w:r>
      <w:r w:rsidR="00BD5FD5">
        <w:rPr>
          <w:rFonts w:asciiTheme="majorHAnsi" w:hAnsiTheme="majorHAnsi"/>
        </w:rPr>
        <w:t>s </w:t>
      </w:r>
      <w:r w:rsidR="00013BE1" w:rsidRPr="00A11FE0">
        <w:rPr>
          <w:rFonts w:asciiTheme="majorHAnsi" w:hAnsiTheme="majorHAnsi"/>
        </w:rPr>
        <w:t>nízkou pridanou hodnotou</w:t>
      </w:r>
      <w:r>
        <w:rPr>
          <w:rFonts w:asciiTheme="majorHAnsi" w:hAnsiTheme="majorHAnsi"/>
        </w:rPr>
        <w:t xml:space="preserve"> </w:t>
      </w:r>
      <w:r w:rsidRPr="00D1750C">
        <w:rPr>
          <w:rFonts w:asciiTheme="majorHAnsi" w:hAnsiTheme="majorHAnsi"/>
        </w:rPr>
        <w:t>(obilniny, olejniny)</w:t>
      </w:r>
      <w:r w:rsidR="00013BE1" w:rsidRPr="00A11FE0">
        <w:rPr>
          <w:rFonts w:asciiTheme="majorHAnsi" w:hAnsiTheme="majorHAnsi"/>
        </w:rPr>
        <w:t xml:space="preserve">. Štruktúra produkcie </w:t>
      </w:r>
      <w:r w:rsidR="00BD5FD5">
        <w:rPr>
          <w:rFonts w:asciiTheme="majorHAnsi" w:hAnsiTheme="majorHAnsi"/>
        </w:rPr>
        <w:t>s</w:t>
      </w:r>
      <w:r w:rsidR="00013BE1" w:rsidRPr="00A11FE0">
        <w:rPr>
          <w:rFonts w:asciiTheme="majorHAnsi" w:hAnsiTheme="majorHAnsi"/>
        </w:rPr>
        <w:t xml:space="preserve">a postupne mení, podiel živočíšnej výroby na celkovej poľnohospodárskej produkcii výrazne </w:t>
      </w:r>
      <w:r w:rsidR="00BD5FD5">
        <w:rPr>
          <w:rFonts w:asciiTheme="majorHAnsi" w:hAnsiTheme="majorHAnsi"/>
        </w:rPr>
        <w:t>k</w:t>
      </w:r>
      <w:r w:rsidR="00013BE1" w:rsidRPr="00A11FE0">
        <w:rPr>
          <w:rFonts w:asciiTheme="majorHAnsi" w:hAnsiTheme="majorHAnsi"/>
        </w:rPr>
        <w:t>lesá.</w:t>
      </w:r>
      <w:r w:rsidR="008F1C90" w:rsidRPr="003F0750">
        <w:rPr>
          <w:rFonts w:asciiTheme="majorHAnsi" w:hAnsiTheme="majorHAnsi"/>
        </w:rPr>
        <w:t xml:space="preserve"> </w:t>
      </w:r>
      <w:r w:rsidR="00013BE1" w:rsidRPr="00A11FE0">
        <w:rPr>
          <w:rFonts w:asciiTheme="majorHAnsi" w:hAnsiTheme="majorHAnsi"/>
        </w:rPr>
        <w:t xml:space="preserve">V rastlinnej výrobe tiež dochádza </w:t>
      </w:r>
      <w:r w:rsidR="00BD5FD5">
        <w:rPr>
          <w:rFonts w:asciiTheme="majorHAnsi" w:hAnsiTheme="majorHAnsi"/>
        </w:rPr>
        <w:t>k</w:t>
      </w:r>
      <w:r w:rsidR="00013BE1" w:rsidRPr="00A11FE0">
        <w:rPr>
          <w:rFonts w:asciiTheme="majorHAnsi" w:hAnsiTheme="majorHAnsi"/>
        </w:rPr>
        <w:t xml:space="preserve"> zmene štruktúry výroby, znižuje </w:t>
      </w:r>
      <w:r w:rsidR="00BD5FD5">
        <w:rPr>
          <w:rFonts w:asciiTheme="majorHAnsi" w:hAnsiTheme="majorHAnsi"/>
        </w:rPr>
        <w:t>s</w:t>
      </w:r>
      <w:r w:rsidR="00013BE1" w:rsidRPr="00A11FE0">
        <w:rPr>
          <w:rFonts w:asciiTheme="majorHAnsi" w:hAnsiTheme="majorHAnsi"/>
        </w:rPr>
        <w:t xml:space="preserve">a výmera plodín viac náročných na pracovnú </w:t>
      </w:r>
      <w:r w:rsidR="00BD5FD5">
        <w:rPr>
          <w:rFonts w:asciiTheme="majorHAnsi" w:hAnsiTheme="majorHAnsi"/>
        </w:rPr>
        <w:t>s</w:t>
      </w:r>
      <w:r w:rsidR="00013BE1" w:rsidRPr="00A11FE0">
        <w:rPr>
          <w:rFonts w:asciiTheme="majorHAnsi" w:hAnsiTheme="majorHAnsi"/>
        </w:rPr>
        <w:t xml:space="preserve">ilu </w:t>
      </w:r>
      <w:r w:rsidR="00BD5FD5">
        <w:rPr>
          <w:rFonts w:asciiTheme="majorHAnsi" w:hAnsiTheme="majorHAnsi"/>
        </w:rPr>
        <w:t>a k</w:t>
      </w:r>
      <w:r w:rsidR="00013BE1" w:rsidRPr="00A11FE0">
        <w:rPr>
          <w:rFonts w:asciiTheme="majorHAnsi" w:hAnsiTheme="majorHAnsi"/>
        </w:rPr>
        <w:t xml:space="preserve">valitu práce, na riadenie </w:t>
      </w:r>
      <w:r w:rsidR="00013BE1" w:rsidRPr="00A11FE0">
        <w:rPr>
          <w:rFonts w:asciiTheme="majorHAnsi" w:hAnsiTheme="majorHAnsi"/>
        </w:rPr>
        <w:lastRenderedPageBreak/>
        <w:t xml:space="preserve">procesov </w:t>
      </w:r>
      <w:r w:rsidR="00BD5FD5">
        <w:rPr>
          <w:rFonts w:asciiTheme="majorHAnsi" w:hAnsiTheme="majorHAnsi"/>
        </w:rPr>
        <w:t>a</w:t>
      </w:r>
      <w:r w:rsidR="00412827">
        <w:rPr>
          <w:rFonts w:asciiTheme="majorHAnsi" w:hAnsiTheme="majorHAnsi"/>
        </w:rPr>
        <w:t> </w:t>
      </w:r>
      <w:r w:rsidR="00013BE1" w:rsidRPr="00A11FE0">
        <w:rPr>
          <w:rFonts w:asciiTheme="majorHAnsi" w:hAnsiTheme="majorHAnsi"/>
        </w:rPr>
        <w:t>marketing</w:t>
      </w:r>
      <w:r w:rsidR="00412827">
        <w:rPr>
          <w:rFonts w:asciiTheme="majorHAnsi" w:hAnsiTheme="majorHAnsi"/>
        </w:rPr>
        <w:t xml:space="preserve"> </w:t>
      </w:r>
      <w:r w:rsidRPr="00D1750C">
        <w:rPr>
          <w:rFonts w:asciiTheme="majorHAnsi" w:hAnsiTheme="majorHAnsi"/>
        </w:rPr>
        <w:t>(zelenina, ovocie, chmeľ)</w:t>
      </w:r>
      <w:r w:rsidRPr="00D1750C">
        <w:rPr>
          <w:rFonts w:asciiTheme="majorHAnsi" w:hAnsiTheme="majorHAnsi"/>
          <w:vertAlign w:val="superscript"/>
        </w:rPr>
        <w:footnoteReference w:id="72"/>
      </w:r>
      <w:r w:rsidRPr="00D1750C">
        <w:rPr>
          <w:rFonts w:asciiTheme="majorHAnsi" w:hAnsiTheme="majorHAnsi"/>
        </w:rPr>
        <w:t xml:space="preserve">. </w:t>
      </w:r>
      <w:r w:rsidR="00013BE1" w:rsidRPr="00A11FE0">
        <w:rPr>
          <w:rFonts w:asciiTheme="majorHAnsi" w:hAnsiTheme="majorHAnsi"/>
        </w:rPr>
        <w:t xml:space="preserve">Závažným problémom je nevyváženosť jednotlivých článkov dodávateľského reťazca </w:t>
      </w:r>
      <w:r w:rsidR="00BD5FD5">
        <w:rPr>
          <w:rFonts w:asciiTheme="majorHAnsi" w:hAnsiTheme="majorHAnsi"/>
        </w:rPr>
        <w:t>a </w:t>
      </w:r>
      <w:r w:rsidR="00013BE1" w:rsidRPr="00A11FE0">
        <w:rPr>
          <w:rFonts w:asciiTheme="majorHAnsi" w:hAnsiTheme="majorHAnsi"/>
        </w:rPr>
        <w:t xml:space="preserve">nedostatočná integrácia prvovýrobcov do potravinovej vertikály. Uvedené </w:t>
      </w:r>
      <w:r w:rsidR="00BD5FD5">
        <w:rPr>
          <w:rFonts w:asciiTheme="majorHAnsi" w:hAnsiTheme="majorHAnsi"/>
        </w:rPr>
        <w:t>s</w:t>
      </w:r>
      <w:r w:rsidR="00013BE1" w:rsidRPr="00A11FE0">
        <w:rPr>
          <w:rFonts w:asciiTheme="majorHAnsi" w:hAnsiTheme="majorHAnsi"/>
        </w:rPr>
        <w:t xml:space="preserve">kutočnosti </w:t>
      </w:r>
      <w:r w:rsidR="00BD5FD5">
        <w:rPr>
          <w:rFonts w:asciiTheme="majorHAnsi" w:hAnsiTheme="majorHAnsi"/>
        </w:rPr>
        <w:t>s</w:t>
      </w:r>
      <w:r w:rsidR="00013BE1" w:rsidRPr="00A11FE0">
        <w:rPr>
          <w:rFonts w:asciiTheme="majorHAnsi" w:hAnsiTheme="majorHAnsi"/>
        </w:rPr>
        <w:t>a odzrkadľujú v cenovej disparite</w:t>
      </w:r>
      <w:r w:rsidR="006F39EB" w:rsidRPr="00A11FE0">
        <w:rPr>
          <w:rFonts w:asciiTheme="majorHAnsi" w:hAnsiTheme="majorHAnsi"/>
        </w:rPr>
        <w:t>,</w:t>
      </w:r>
      <w:r w:rsidR="00CD2222">
        <w:rPr>
          <w:rFonts w:asciiTheme="majorHAnsi" w:hAnsiTheme="majorHAnsi"/>
        </w:rPr>
        <w:t xml:space="preserve"> poľnohospodárskej produkcii (</w:t>
      </w:r>
      <w:r w:rsidR="00BD5FD5">
        <w:rPr>
          <w:rFonts w:asciiTheme="majorHAnsi" w:hAnsiTheme="majorHAnsi"/>
        </w:rPr>
        <w:t>S</w:t>
      </w:r>
      <w:r w:rsidR="004B5CC1">
        <w:rPr>
          <w:rFonts w:asciiTheme="majorHAnsi" w:hAnsiTheme="majorHAnsi"/>
        </w:rPr>
        <w:t>R</w:t>
      </w:r>
      <w:r w:rsidR="00CD2222">
        <w:rPr>
          <w:rFonts w:asciiTheme="majorHAnsi" w:hAnsiTheme="majorHAnsi"/>
        </w:rPr>
        <w:t xml:space="preserve"> v porovnaní </w:t>
      </w:r>
      <w:r w:rsidR="00BD5FD5">
        <w:rPr>
          <w:rFonts w:asciiTheme="majorHAnsi" w:hAnsiTheme="majorHAnsi"/>
        </w:rPr>
        <w:t>s </w:t>
      </w:r>
      <w:r w:rsidR="00F26861">
        <w:rPr>
          <w:rFonts w:asciiTheme="majorHAnsi" w:hAnsiTheme="majorHAnsi"/>
        </w:rPr>
        <w:t>E</w:t>
      </w:r>
      <w:r w:rsidR="00CD2222">
        <w:rPr>
          <w:rFonts w:asciiTheme="majorHAnsi" w:hAnsiTheme="majorHAnsi"/>
        </w:rPr>
        <w:t>Ú 27)</w:t>
      </w:r>
      <w:r w:rsidR="004B5CC1">
        <w:rPr>
          <w:rFonts w:asciiTheme="majorHAnsi" w:hAnsiTheme="majorHAnsi"/>
        </w:rPr>
        <w:t>,</w:t>
      </w:r>
      <w:r w:rsidR="00013BE1" w:rsidRPr="00A11FE0">
        <w:rPr>
          <w:rFonts w:asciiTheme="majorHAnsi" w:hAnsiTheme="majorHAnsi"/>
        </w:rPr>
        <w:t xml:space="preserve"> </w:t>
      </w:r>
      <w:r w:rsidR="00BD5FD5">
        <w:rPr>
          <w:rFonts w:asciiTheme="majorHAnsi" w:hAnsiTheme="majorHAnsi"/>
        </w:rPr>
        <w:t>ak</w:t>
      </w:r>
      <w:r w:rsidR="00013BE1" w:rsidRPr="00A11FE0">
        <w:rPr>
          <w:rFonts w:asciiTheme="majorHAnsi" w:hAnsiTheme="majorHAnsi"/>
        </w:rPr>
        <w:t xml:space="preserve">o </w:t>
      </w:r>
      <w:r w:rsidR="00BD5FD5">
        <w:rPr>
          <w:rFonts w:asciiTheme="majorHAnsi" w:hAnsiTheme="majorHAnsi"/>
        </w:rPr>
        <w:t>a</w:t>
      </w:r>
      <w:r w:rsidR="00013BE1" w:rsidRPr="00A11FE0">
        <w:rPr>
          <w:rFonts w:asciiTheme="majorHAnsi" w:hAnsiTheme="majorHAnsi"/>
        </w:rPr>
        <w:t>j v</w:t>
      </w:r>
      <w:r w:rsidR="00C80098">
        <w:rPr>
          <w:rFonts w:asciiTheme="majorHAnsi" w:hAnsiTheme="majorHAnsi"/>
        </w:rPr>
        <w:t> </w:t>
      </w:r>
      <w:r w:rsidR="00013BE1" w:rsidRPr="00A11FE0">
        <w:rPr>
          <w:rFonts w:asciiTheme="majorHAnsi" w:hAnsiTheme="majorHAnsi"/>
        </w:rPr>
        <w:t>štruktúre</w:t>
      </w:r>
      <w:r w:rsidR="00C80098">
        <w:rPr>
          <w:rFonts w:asciiTheme="majorHAnsi" w:hAnsiTheme="majorHAnsi"/>
        </w:rPr>
        <w:t xml:space="preserve"> </w:t>
      </w:r>
      <w:r w:rsidR="00BD5FD5">
        <w:rPr>
          <w:rFonts w:asciiTheme="majorHAnsi" w:hAnsiTheme="majorHAnsi"/>
        </w:rPr>
        <w:t>a</w:t>
      </w:r>
      <w:r w:rsidR="00013BE1" w:rsidRPr="00A11FE0">
        <w:rPr>
          <w:rFonts w:asciiTheme="majorHAnsi" w:hAnsiTheme="majorHAnsi"/>
        </w:rPr>
        <w:t>grárneho zahraničného obchodu</w:t>
      </w:r>
      <w:r w:rsidR="004B5CC1">
        <w:rPr>
          <w:rFonts w:asciiTheme="majorHAnsi" w:hAnsiTheme="majorHAnsi"/>
        </w:rPr>
        <w:t>.</w:t>
      </w:r>
      <w:r w:rsidR="00C31DB6">
        <w:rPr>
          <w:rFonts w:asciiTheme="majorHAnsi" w:hAnsiTheme="majorHAnsi"/>
        </w:rPr>
        <w:t xml:space="preserve"> </w:t>
      </w:r>
      <w:r w:rsidRPr="00D1750C">
        <w:rPr>
          <w:rFonts w:asciiTheme="majorHAnsi" w:hAnsiTheme="majorHAnsi"/>
        </w:rPr>
        <w:t>Na celkovom agropotravinárskom exporte sa neustále znižuje podiel výrobkov s</w:t>
      </w:r>
      <w:r w:rsidR="0068030C">
        <w:rPr>
          <w:rFonts w:asciiTheme="majorHAnsi" w:hAnsiTheme="majorHAnsi"/>
        </w:rPr>
        <w:t> </w:t>
      </w:r>
      <w:r w:rsidRPr="00D1750C">
        <w:rPr>
          <w:rFonts w:asciiTheme="majorHAnsi" w:hAnsiTheme="majorHAnsi"/>
        </w:rPr>
        <w:t>vyššou</w:t>
      </w:r>
      <w:r w:rsidR="0068030C">
        <w:rPr>
          <w:rFonts w:asciiTheme="majorHAnsi" w:hAnsiTheme="majorHAnsi"/>
        </w:rPr>
        <w:t xml:space="preserve"> </w:t>
      </w:r>
      <w:r w:rsidRPr="00D1750C">
        <w:rPr>
          <w:rFonts w:asciiTheme="majorHAnsi" w:hAnsiTheme="majorHAnsi"/>
        </w:rPr>
        <w:t>pridanou hodnotou a</w:t>
      </w:r>
      <w:r w:rsidR="0068030C">
        <w:rPr>
          <w:rFonts w:asciiTheme="majorHAnsi" w:hAnsiTheme="majorHAnsi"/>
        </w:rPr>
        <w:t> </w:t>
      </w:r>
      <w:r w:rsidRPr="00D1750C">
        <w:rPr>
          <w:rFonts w:asciiTheme="majorHAnsi" w:hAnsiTheme="majorHAnsi"/>
        </w:rPr>
        <w:t>rastie</w:t>
      </w:r>
      <w:r w:rsidR="0068030C">
        <w:rPr>
          <w:rFonts w:asciiTheme="majorHAnsi" w:hAnsiTheme="majorHAnsi"/>
        </w:rPr>
        <w:t xml:space="preserve"> </w:t>
      </w:r>
      <w:r w:rsidRPr="00D1750C">
        <w:rPr>
          <w:rFonts w:asciiTheme="majorHAnsi" w:hAnsiTheme="majorHAnsi"/>
        </w:rPr>
        <w:t>podiel základných poľnohospodárskych surovín s</w:t>
      </w:r>
      <w:r w:rsidR="0068030C">
        <w:rPr>
          <w:rFonts w:asciiTheme="majorHAnsi" w:hAnsiTheme="majorHAnsi"/>
        </w:rPr>
        <w:t> </w:t>
      </w:r>
      <w:r w:rsidRPr="00D1750C">
        <w:rPr>
          <w:rFonts w:asciiTheme="majorHAnsi" w:hAnsiTheme="majorHAnsi"/>
        </w:rPr>
        <w:t>nízkou</w:t>
      </w:r>
      <w:r w:rsidR="0068030C">
        <w:rPr>
          <w:rFonts w:asciiTheme="majorHAnsi" w:hAnsiTheme="majorHAnsi"/>
        </w:rPr>
        <w:t xml:space="preserve"> </w:t>
      </w:r>
      <w:r w:rsidRPr="00D1750C">
        <w:rPr>
          <w:rFonts w:asciiTheme="majorHAnsi" w:hAnsiTheme="majorHAnsi"/>
        </w:rPr>
        <w:t>pridanou hodnotou</w:t>
      </w:r>
      <w:r w:rsidRPr="00D1750C">
        <w:rPr>
          <w:rFonts w:asciiTheme="majorHAnsi" w:hAnsiTheme="majorHAnsi"/>
          <w:vertAlign w:val="superscript"/>
        </w:rPr>
        <w:footnoteReference w:id="73"/>
      </w:r>
      <w:r w:rsidRPr="00D1750C">
        <w:rPr>
          <w:rFonts w:asciiTheme="majorHAnsi" w:hAnsiTheme="majorHAnsi"/>
        </w:rPr>
        <w:t>. Pokým v</w:t>
      </w:r>
      <w:r w:rsidR="0068030C">
        <w:rPr>
          <w:rFonts w:asciiTheme="majorHAnsi" w:hAnsiTheme="majorHAnsi"/>
        </w:rPr>
        <w:t> </w:t>
      </w:r>
      <w:r w:rsidRPr="00D1750C">
        <w:rPr>
          <w:rFonts w:asciiTheme="majorHAnsi" w:hAnsiTheme="majorHAnsi"/>
        </w:rPr>
        <w:t>roku</w:t>
      </w:r>
      <w:r w:rsidR="0068030C">
        <w:rPr>
          <w:rFonts w:asciiTheme="majorHAnsi" w:hAnsiTheme="majorHAnsi"/>
        </w:rPr>
        <w:t xml:space="preserve"> </w:t>
      </w:r>
      <w:r w:rsidRPr="00D1750C">
        <w:rPr>
          <w:rFonts w:asciiTheme="majorHAnsi" w:hAnsiTheme="majorHAnsi"/>
        </w:rPr>
        <w:t>2002 na poľnohospodárske suroviny pripadalo len 25,0</w:t>
      </w:r>
      <w:r w:rsidR="00274ACA">
        <w:rPr>
          <w:rFonts w:asciiTheme="majorHAnsi" w:hAnsiTheme="majorHAnsi"/>
        </w:rPr>
        <w:t xml:space="preserve"> </w:t>
      </w:r>
      <w:r w:rsidRPr="00D1750C">
        <w:rPr>
          <w:rFonts w:asciiTheme="majorHAnsi" w:hAnsiTheme="majorHAnsi"/>
        </w:rPr>
        <w:t>% hodnoty celkového exportu, v</w:t>
      </w:r>
      <w:r w:rsidR="00E461DE">
        <w:rPr>
          <w:rFonts w:asciiTheme="majorHAnsi" w:hAnsiTheme="majorHAnsi"/>
        </w:rPr>
        <w:t> </w:t>
      </w:r>
      <w:r w:rsidRPr="00D1750C">
        <w:rPr>
          <w:rFonts w:asciiTheme="majorHAnsi" w:hAnsiTheme="majorHAnsi"/>
        </w:rPr>
        <w:t>roku 2011 ich podiel dosiahol až 34,8</w:t>
      </w:r>
      <w:r w:rsidR="00C31DB6">
        <w:rPr>
          <w:rFonts w:asciiTheme="majorHAnsi" w:hAnsiTheme="majorHAnsi"/>
        </w:rPr>
        <w:t xml:space="preserve"> </w:t>
      </w:r>
      <w:r w:rsidRPr="00D1750C">
        <w:rPr>
          <w:rFonts w:asciiTheme="majorHAnsi" w:hAnsiTheme="majorHAnsi"/>
        </w:rPr>
        <w:t>%.</w:t>
      </w:r>
    </w:p>
    <w:p w:rsidR="00013BE1" w:rsidRDefault="00013BE1" w:rsidP="00013BE1">
      <w:pPr>
        <w:rPr>
          <w:rFonts w:asciiTheme="majorHAnsi" w:hAnsiTheme="majorHAnsi"/>
        </w:rPr>
      </w:pPr>
      <w:r w:rsidRPr="00A11FE0">
        <w:rPr>
          <w:rFonts w:asciiTheme="majorHAnsi" w:hAnsiTheme="majorHAnsi"/>
        </w:rPr>
        <w:t xml:space="preserve">Vzhľadom na </w:t>
      </w:r>
      <w:r w:rsidR="00BD5FD5">
        <w:rPr>
          <w:rFonts w:asciiTheme="majorHAnsi" w:hAnsiTheme="majorHAnsi"/>
        </w:rPr>
        <w:t>ak</w:t>
      </w:r>
      <w:r w:rsidRPr="00A11FE0">
        <w:rPr>
          <w:rFonts w:asciiTheme="majorHAnsi" w:hAnsiTheme="majorHAnsi"/>
        </w:rPr>
        <w:t xml:space="preserve">tuálnu </w:t>
      </w:r>
      <w:r w:rsidR="00BD5FD5">
        <w:rPr>
          <w:rFonts w:asciiTheme="majorHAnsi" w:hAnsiTheme="majorHAnsi"/>
        </w:rPr>
        <w:t>s</w:t>
      </w:r>
      <w:r w:rsidRPr="00A11FE0">
        <w:rPr>
          <w:rFonts w:asciiTheme="majorHAnsi" w:hAnsiTheme="majorHAnsi"/>
        </w:rPr>
        <w:t>ituáciu v</w:t>
      </w:r>
      <w:r w:rsidR="00E461DE">
        <w:rPr>
          <w:rFonts w:asciiTheme="majorHAnsi" w:hAnsiTheme="majorHAnsi"/>
        </w:rPr>
        <w:t> </w:t>
      </w:r>
      <w:r w:rsidRPr="00A11FE0">
        <w:rPr>
          <w:rFonts w:asciiTheme="majorHAnsi" w:hAnsiTheme="majorHAnsi"/>
        </w:rPr>
        <w:t xml:space="preserve">poľnohospodárstve je nevyhnutné podporiť výrobu </w:t>
      </w:r>
      <w:r w:rsidR="00BD5FD5">
        <w:rPr>
          <w:rFonts w:asciiTheme="majorHAnsi" w:hAnsiTheme="majorHAnsi"/>
        </w:rPr>
        <w:t>k</w:t>
      </w:r>
      <w:r w:rsidRPr="00A11FE0">
        <w:rPr>
          <w:rFonts w:asciiTheme="majorHAnsi" w:hAnsiTheme="majorHAnsi"/>
        </w:rPr>
        <w:t xml:space="preserve">omodít, </w:t>
      </w:r>
      <w:r w:rsidR="00BD5FD5">
        <w:rPr>
          <w:rFonts w:asciiTheme="majorHAnsi" w:hAnsiTheme="majorHAnsi"/>
        </w:rPr>
        <w:t>k</w:t>
      </w:r>
      <w:r w:rsidRPr="00A11FE0">
        <w:rPr>
          <w:rFonts w:asciiTheme="majorHAnsi" w:hAnsiTheme="majorHAnsi"/>
        </w:rPr>
        <w:t>tor</w:t>
      </w:r>
      <w:r w:rsidR="000767A0">
        <w:rPr>
          <w:rFonts w:asciiTheme="majorHAnsi" w:hAnsiTheme="majorHAnsi"/>
        </w:rPr>
        <w:t>é</w:t>
      </w:r>
      <w:r w:rsidRPr="00A11FE0">
        <w:rPr>
          <w:rFonts w:asciiTheme="majorHAnsi" w:hAnsiTheme="majorHAnsi"/>
        </w:rPr>
        <w:t xml:space="preserve"> </w:t>
      </w:r>
      <w:r w:rsidR="000767A0">
        <w:rPr>
          <w:rFonts w:asciiTheme="majorHAnsi" w:hAnsiTheme="majorHAnsi"/>
        </w:rPr>
        <w:t>sú</w:t>
      </w:r>
      <w:r w:rsidR="000767A0" w:rsidRPr="00A11FE0">
        <w:rPr>
          <w:rFonts w:asciiTheme="majorHAnsi" w:hAnsiTheme="majorHAnsi"/>
        </w:rPr>
        <w:t xml:space="preserve"> </w:t>
      </w:r>
      <w:r w:rsidRPr="00A11FE0">
        <w:rPr>
          <w:rFonts w:asciiTheme="majorHAnsi" w:hAnsiTheme="majorHAnsi"/>
        </w:rPr>
        <w:t>náročn</w:t>
      </w:r>
      <w:r w:rsidR="000767A0">
        <w:rPr>
          <w:rFonts w:asciiTheme="majorHAnsi" w:hAnsiTheme="majorHAnsi"/>
        </w:rPr>
        <w:t>é</w:t>
      </w:r>
      <w:r w:rsidRPr="00A11FE0">
        <w:rPr>
          <w:rFonts w:asciiTheme="majorHAnsi" w:hAnsiTheme="majorHAnsi"/>
        </w:rPr>
        <w:t xml:space="preserve"> na prácu </w:t>
      </w:r>
      <w:r w:rsidR="00BD5FD5">
        <w:rPr>
          <w:rFonts w:asciiTheme="majorHAnsi" w:hAnsiTheme="majorHAnsi"/>
        </w:rPr>
        <w:t>a </w:t>
      </w:r>
      <w:r w:rsidRPr="00A11FE0">
        <w:rPr>
          <w:rFonts w:asciiTheme="majorHAnsi" w:hAnsiTheme="majorHAnsi"/>
        </w:rPr>
        <w:t>prináša</w:t>
      </w:r>
      <w:r w:rsidR="000767A0">
        <w:rPr>
          <w:rFonts w:asciiTheme="majorHAnsi" w:hAnsiTheme="majorHAnsi"/>
        </w:rPr>
        <w:t>jú</w:t>
      </w:r>
      <w:r w:rsidRPr="00A11FE0">
        <w:rPr>
          <w:rFonts w:asciiTheme="majorHAnsi" w:hAnsiTheme="majorHAnsi"/>
        </w:rPr>
        <w:t xml:space="preserve"> vyššiu pridanú hodnotu </w:t>
      </w:r>
      <w:r w:rsidR="00BD5FD5">
        <w:rPr>
          <w:rFonts w:asciiTheme="majorHAnsi" w:hAnsiTheme="majorHAnsi"/>
        </w:rPr>
        <w:t>a </w:t>
      </w:r>
      <w:r w:rsidRPr="00A11FE0">
        <w:rPr>
          <w:rFonts w:asciiTheme="majorHAnsi" w:hAnsiTheme="majorHAnsi"/>
        </w:rPr>
        <w:t xml:space="preserve">zároveň posilňovať potravinovú </w:t>
      </w:r>
      <w:r w:rsidR="00BD5FD5">
        <w:rPr>
          <w:rFonts w:asciiTheme="majorHAnsi" w:hAnsiTheme="majorHAnsi"/>
        </w:rPr>
        <w:t>s</w:t>
      </w:r>
      <w:r w:rsidRPr="00A11FE0">
        <w:rPr>
          <w:rFonts w:asciiTheme="majorHAnsi" w:hAnsiTheme="majorHAnsi"/>
        </w:rPr>
        <w:t xml:space="preserve">ebestačnosť </w:t>
      </w:r>
      <w:r w:rsidR="00BD5FD5">
        <w:rPr>
          <w:rFonts w:asciiTheme="majorHAnsi" w:hAnsiTheme="majorHAnsi"/>
        </w:rPr>
        <w:t>S</w:t>
      </w:r>
      <w:r w:rsidRPr="00A11FE0">
        <w:rPr>
          <w:rFonts w:asciiTheme="majorHAnsi" w:hAnsiTheme="majorHAnsi"/>
        </w:rPr>
        <w:t xml:space="preserve">R. Špecializovaná rastlinná výroba (pestovanie ovocia, zeleniny, viniča) </w:t>
      </w:r>
      <w:r w:rsidR="00BD5FD5">
        <w:rPr>
          <w:rFonts w:asciiTheme="majorHAnsi" w:hAnsiTheme="majorHAnsi"/>
        </w:rPr>
        <w:t>a </w:t>
      </w:r>
      <w:r w:rsidRPr="00A11FE0">
        <w:rPr>
          <w:rFonts w:asciiTheme="majorHAnsi" w:hAnsiTheme="majorHAnsi"/>
        </w:rPr>
        <w:t>živočíšna výroba</w:t>
      </w:r>
      <w:r w:rsidR="0081396C" w:rsidRPr="00A11FE0">
        <w:rPr>
          <w:rFonts w:asciiTheme="majorHAnsi" w:hAnsiTheme="majorHAnsi"/>
        </w:rPr>
        <w:t xml:space="preserve"> (vrátane </w:t>
      </w:r>
      <w:r w:rsidR="00BD5FD5">
        <w:rPr>
          <w:rFonts w:asciiTheme="majorHAnsi" w:hAnsiTheme="majorHAnsi"/>
        </w:rPr>
        <w:t>ak</w:t>
      </w:r>
      <w:r w:rsidR="0081396C" w:rsidRPr="00A11FE0">
        <w:rPr>
          <w:rFonts w:asciiTheme="majorHAnsi" w:hAnsiTheme="majorHAnsi"/>
        </w:rPr>
        <w:t>vakultúry)</w:t>
      </w:r>
      <w:r w:rsidRPr="00A11FE0">
        <w:rPr>
          <w:rFonts w:asciiTheme="majorHAnsi" w:hAnsiTheme="majorHAnsi"/>
        </w:rPr>
        <w:t xml:space="preserve"> má potenciál tvorby pracovných miest na vidieku </w:t>
      </w:r>
      <w:r w:rsidR="00BD5FD5">
        <w:rPr>
          <w:rFonts w:asciiTheme="majorHAnsi" w:hAnsiTheme="majorHAnsi"/>
        </w:rPr>
        <w:t>a</w:t>
      </w:r>
      <w:r w:rsidRPr="00A11FE0">
        <w:rPr>
          <w:rFonts w:asciiTheme="majorHAnsi" w:hAnsiTheme="majorHAnsi"/>
        </w:rPr>
        <w:t xml:space="preserve">j pre menej </w:t>
      </w:r>
      <w:r w:rsidR="00BD5FD5">
        <w:rPr>
          <w:rFonts w:asciiTheme="majorHAnsi" w:hAnsiTheme="majorHAnsi"/>
        </w:rPr>
        <w:t>k</w:t>
      </w:r>
      <w:r w:rsidRPr="00A11FE0">
        <w:rPr>
          <w:rFonts w:asciiTheme="majorHAnsi" w:hAnsiTheme="majorHAnsi"/>
        </w:rPr>
        <w:t xml:space="preserve">valifikovanú pracovnú </w:t>
      </w:r>
      <w:r w:rsidR="00BD5FD5">
        <w:rPr>
          <w:rFonts w:asciiTheme="majorHAnsi" w:hAnsiTheme="majorHAnsi"/>
        </w:rPr>
        <w:t>s</w:t>
      </w:r>
      <w:r w:rsidRPr="00A11FE0">
        <w:rPr>
          <w:rFonts w:asciiTheme="majorHAnsi" w:hAnsiTheme="majorHAnsi"/>
        </w:rPr>
        <w:t>ilu. Je potreb</w:t>
      </w:r>
      <w:r w:rsidR="00510B28" w:rsidRPr="00A11FE0">
        <w:rPr>
          <w:rFonts w:asciiTheme="majorHAnsi" w:hAnsiTheme="majorHAnsi"/>
        </w:rPr>
        <w:t>né</w:t>
      </w:r>
      <w:r w:rsidRPr="00A11FE0">
        <w:rPr>
          <w:rFonts w:asciiTheme="majorHAnsi" w:hAnsiTheme="majorHAnsi"/>
        </w:rPr>
        <w:t xml:space="preserve"> posilniť integráciu prvovýroby do potravinového reťazca, zlepšovať </w:t>
      </w:r>
      <w:r w:rsidR="00BD5FD5">
        <w:rPr>
          <w:rFonts w:asciiTheme="majorHAnsi" w:hAnsiTheme="majorHAnsi"/>
        </w:rPr>
        <w:t>k</w:t>
      </w:r>
      <w:r w:rsidRPr="00A11FE0">
        <w:rPr>
          <w:rFonts w:asciiTheme="majorHAnsi" w:hAnsiTheme="majorHAnsi"/>
        </w:rPr>
        <w:t xml:space="preserve">valitu </w:t>
      </w:r>
      <w:r w:rsidR="00BD5FD5">
        <w:rPr>
          <w:rFonts w:asciiTheme="majorHAnsi" w:hAnsiTheme="majorHAnsi"/>
        </w:rPr>
        <w:t>s</w:t>
      </w:r>
      <w:r w:rsidRPr="00A11FE0">
        <w:rPr>
          <w:rFonts w:asciiTheme="majorHAnsi" w:hAnsiTheme="majorHAnsi"/>
        </w:rPr>
        <w:t>pracovania</w:t>
      </w:r>
      <w:r w:rsidR="007F0C70">
        <w:rPr>
          <w:rFonts w:asciiTheme="majorHAnsi" w:hAnsiTheme="majorHAnsi"/>
        </w:rPr>
        <w:t xml:space="preserve">, </w:t>
      </w:r>
      <w:r w:rsidRPr="00A11FE0">
        <w:rPr>
          <w:rFonts w:asciiTheme="majorHAnsi" w:hAnsiTheme="majorHAnsi"/>
        </w:rPr>
        <w:t xml:space="preserve">podporiť odbyt vlastných poľnohospodárskych výrobkov </w:t>
      </w:r>
      <w:r w:rsidR="00BD5FD5">
        <w:rPr>
          <w:rFonts w:asciiTheme="majorHAnsi" w:hAnsiTheme="majorHAnsi"/>
        </w:rPr>
        <w:t>a</w:t>
      </w:r>
      <w:r w:rsidR="007F0C70">
        <w:rPr>
          <w:rFonts w:asciiTheme="majorHAnsi" w:hAnsiTheme="majorHAnsi"/>
        </w:rPr>
        <w:t> </w:t>
      </w:r>
      <w:r w:rsidRPr="00A11FE0">
        <w:rPr>
          <w:rFonts w:asciiTheme="majorHAnsi" w:hAnsiTheme="majorHAnsi"/>
        </w:rPr>
        <w:t>potravín</w:t>
      </w:r>
      <w:r w:rsidR="007F0C70">
        <w:rPr>
          <w:rFonts w:asciiTheme="majorHAnsi" w:hAnsiTheme="majorHAnsi"/>
        </w:rPr>
        <w:t xml:space="preserve"> a rozvíjať potenciál malých poľnohospodárskych podnikov</w:t>
      </w:r>
      <w:r w:rsidRPr="00A11FE0">
        <w:rPr>
          <w:rFonts w:asciiTheme="majorHAnsi" w:hAnsiTheme="majorHAnsi"/>
        </w:rPr>
        <w:t>.</w:t>
      </w:r>
      <w:r w:rsidR="001F1B1C">
        <w:rPr>
          <w:rFonts w:asciiTheme="majorHAnsi" w:hAnsiTheme="majorHAnsi"/>
        </w:rPr>
        <w:t xml:space="preserve"> </w:t>
      </w:r>
      <w:r w:rsidR="001F1B1C" w:rsidRPr="001F1B1C">
        <w:rPr>
          <w:rFonts w:asciiTheme="majorHAnsi" w:hAnsiTheme="majorHAnsi"/>
        </w:rPr>
        <w:t>Potreba podpory uvedených aktivít je v</w:t>
      </w:r>
      <w:r w:rsidR="00E461DE">
        <w:rPr>
          <w:rFonts w:asciiTheme="majorHAnsi" w:hAnsiTheme="majorHAnsi"/>
        </w:rPr>
        <w:t> </w:t>
      </w:r>
      <w:r w:rsidR="001F1B1C" w:rsidRPr="001F1B1C">
        <w:rPr>
          <w:rFonts w:asciiTheme="majorHAnsi" w:hAnsiTheme="majorHAnsi"/>
        </w:rPr>
        <w:t>súlade s</w:t>
      </w:r>
      <w:r w:rsidR="00E461DE">
        <w:rPr>
          <w:rFonts w:asciiTheme="majorHAnsi" w:hAnsiTheme="majorHAnsi"/>
        </w:rPr>
        <w:t> </w:t>
      </w:r>
      <w:r w:rsidR="001F1B1C" w:rsidRPr="001F1B1C">
        <w:rPr>
          <w:rFonts w:asciiTheme="majorHAnsi" w:hAnsiTheme="majorHAnsi"/>
        </w:rPr>
        <w:t>cieľmi oznámenia KOM(2012)60, ktoré sa týkajú rozvoja biohospodárstva.</w:t>
      </w:r>
    </w:p>
    <w:p w:rsidR="001F1B1C" w:rsidRPr="00A11FE0" w:rsidRDefault="001F1B1C" w:rsidP="00013BE1">
      <w:pPr>
        <w:rPr>
          <w:rFonts w:asciiTheme="majorHAnsi" w:hAnsiTheme="majorHAnsi"/>
        </w:rPr>
      </w:pPr>
      <w:r w:rsidRPr="001F1B1C">
        <w:rPr>
          <w:rFonts w:asciiTheme="majorHAnsi" w:hAnsiTheme="majorHAnsi"/>
        </w:rPr>
        <w:t>Z</w:t>
      </w:r>
      <w:r w:rsidR="00E461DE">
        <w:rPr>
          <w:rFonts w:asciiTheme="majorHAnsi" w:hAnsiTheme="majorHAnsi"/>
        </w:rPr>
        <w:t> </w:t>
      </w:r>
      <w:r w:rsidRPr="001F1B1C">
        <w:rPr>
          <w:rFonts w:asciiTheme="majorHAnsi" w:hAnsiTheme="majorHAnsi"/>
        </w:rPr>
        <w:t>hľadiska potenciálu poľnohospodárskej výroby je výrazným faktorom jej rentability aj vývoj zrážkových pomerov a</w:t>
      </w:r>
      <w:r w:rsidR="00E461DE">
        <w:rPr>
          <w:rFonts w:asciiTheme="majorHAnsi" w:hAnsiTheme="majorHAnsi"/>
        </w:rPr>
        <w:t> </w:t>
      </w:r>
      <w:r w:rsidRPr="001F1B1C">
        <w:rPr>
          <w:rFonts w:asciiTheme="majorHAnsi" w:hAnsiTheme="majorHAnsi"/>
        </w:rPr>
        <w:t>výskyt extrémnych výkyvov počasia, ktoré sú dôsledkami zmeny</w:t>
      </w:r>
      <w:r w:rsidR="00E461DE">
        <w:rPr>
          <w:rFonts w:asciiTheme="majorHAnsi" w:hAnsiTheme="majorHAnsi"/>
        </w:rPr>
        <w:t xml:space="preserve"> </w:t>
      </w:r>
      <w:r w:rsidR="003A6FA4">
        <w:rPr>
          <w:rFonts w:asciiTheme="majorHAnsi" w:hAnsiTheme="majorHAnsi"/>
        </w:rPr>
        <w:t>klímy</w:t>
      </w:r>
      <w:r w:rsidRPr="001F1B1C">
        <w:rPr>
          <w:rFonts w:asciiTheme="majorHAnsi" w:hAnsiTheme="majorHAnsi"/>
        </w:rPr>
        <w:t xml:space="preserve"> Využívanie závlah má priamy dopad na konkurencieschopnosť poľnohospodárskej prvovýroby pre svoj intenzifikačný účinok. V</w:t>
      </w:r>
      <w:r w:rsidR="00E461DE">
        <w:rPr>
          <w:rFonts w:asciiTheme="majorHAnsi" w:hAnsiTheme="majorHAnsi"/>
        </w:rPr>
        <w:t> </w:t>
      </w:r>
      <w:r w:rsidRPr="001F1B1C">
        <w:rPr>
          <w:rFonts w:asciiTheme="majorHAnsi" w:hAnsiTheme="majorHAnsi"/>
        </w:rPr>
        <w:t>posledných</w:t>
      </w:r>
      <w:r w:rsidR="00E461DE">
        <w:rPr>
          <w:rFonts w:asciiTheme="majorHAnsi" w:hAnsiTheme="majorHAnsi"/>
        </w:rPr>
        <w:t xml:space="preserve"> </w:t>
      </w:r>
      <w:r w:rsidRPr="001F1B1C">
        <w:rPr>
          <w:rFonts w:asciiTheme="majorHAnsi" w:hAnsiTheme="majorHAnsi"/>
        </w:rPr>
        <w:t>rokoch však využívanie závlah klesá, spotreba vody na zavlažovanie sa pohybuje v</w:t>
      </w:r>
      <w:r w:rsidR="00E461DE">
        <w:rPr>
          <w:rFonts w:asciiTheme="majorHAnsi" w:hAnsiTheme="majorHAnsi"/>
        </w:rPr>
        <w:t> </w:t>
      </w:r>
      <w:r w:rsidRPr="001F1B1C">
        <w:rPr>
          <w:rFonts w:asciiTheme="majorHAnsi" w:hAnsiTheme="majorHAnsi"/>
        </w:rPr>
        <w:t>rozmedzí</w:t>
      </w:r>
      <w:r w:rsidR="00E461DE">
        <w:rPr>
          <w:rFonts w:asciiTheme="majorHAnsi" w:hAnsiTheme="majorHAnsi"/>
        </w:rPr>
        <w:t xml:space="preserve"> </w:t>
      </w:r>
      <w:r w:rsidRPr="001F1B1C">
        <w:rPr>
          <w:rFonts w:asciiTheme="majorHAnsi" w:hAnsiTheme="majorHAnsi"/>
        </w:rPr>
        <w:t>6-14 mil. m</w:t>
      </w:r>
      <w:r w:rsidRPr="001F1B1C">
        <w:rPr>
          <w:rFonts w:asciiTheme="majorHAnsi" w:hAnsiTheme="majorHAnsi"/>
          <w:vertAlign w:val="superscript"/>
        </w:rPr>
        <w:t>3</w:t>
      </w:r>
      <w:r w:rsidRPr="001F1B1C">
        <w:rPr>
          <w:rFonts w:asciiTheme="majorHAnsi" w:hAnsiTheme="majorHAnsi"/>
        </w:rPr>
        <w:t xml:space="preserve">, aj keď hydrologická bilancia </w:t>
      </w:r>
      <w:r>
        <w:rPr>
          <w:rFonts w:asciiTheme="majorHAnsi" w:hAnsiTheme="majorHAnsi"/>
        </w:rPr>
        <w:t>SR</w:t>
      </w:r>
      <w:r w:rsidRPr="001F1B1C">
        <w:rPr>
          <w:rFonts w:asciiTheme="majorHAnsi" w:hAnsiTheme="majorHAnsi"/>
        </w:rPr>
        <w:t xml:space="preserve"> zvládla už v</w:t>
      </w:r>
      <w:r w:rsidR="00E461DE">
        <w:rPr>
          <w:rFonts w:asciiTheme="majorHAnsi" w:hAnsiTheme="majorHAnsi"/>
        </w:rPr>
        <w:t> </w:t>
      </w:r>
      <w:r w:rsidRPr="001F1B1C">
        <w:rPr>
          <w:rFonts w:asciiTheme="majorHAnsi" w:hAnsiTheme="majorHAnsi"/>
        </w:rPr>
        <w:t>minulosti</w:t>
      </w:r>
      <w:r w:rsidR="00E461DE">
        <w:rPr>
          <w:rFonts w:asciiTheme="majorHAnsi" w:hAnsiTheme="majorHAnsi"/>
        </w:rPr>
        <w:t xml:space="preserve"> </w:t>
      </w:r>
      <w:r w:rsidRPr="001F1B1C">
        <w:rPr>
          <w:rFonts w:asciiTheme="majorHAnsi" w:hAnsiTheme="majorHAnsi"/>
        </w:rPr>
        <w:t>bezproblémovo ročné spotreby závlahovej vody do 300 mil. m</w:t>
      </w:r>
      <w:r w:rsidRPr="001F1B1C">
        <w:rPr>
          <w:rFonts w:asciiTheme="majorHAnsi" w:hAnsiTheme="majorHAnsi"/>
          <w:vertAlign w:val="superscript"/>
        </w:rPr>
        <w:t>3</w:t>
      </w:r>
      <w:r w:rsidRPr="001F1B1C">
        <w:rPr>
          <w:rFonts w:asciiTheme="majorHAnsi" w:hAnsiTheme="majorHAnsi"/>
        </w:rPr>
        <w:t xml:space="preserve">. Na druhej strane, </w:t>
      </w:r>
      <w:r w:rsidR="002E1527" w:rsidRPr="001F1B1C">
        <w:rPr>
          <w:rFonts w:asciiTheme="majorHAnsi" w:hAnsiTheme="majorHAnsi"/>
        </w:rPr>
        <w:t xml:space="preserve">prináša </w:t>
      </w:r>
      <w:r w:rsidRPr="001F1B1C">
        <w:rPr>
          <w:rFonts w:asciiTheme="majorHAnsi" w:hAnsiTheme="majorHAnsi"/>
        </w:rPr>
        <w:t>zmena</w:t>
      </w:r>
      <w:r w:rsidR="003A6FA4">
        <w:rPr>
          <w:rFonts w:asciiTheme="majorHAnsi" w:hAnsiTheme="majorHAnsi"/>
        </w:rPr>
        <w:t xml:space="preserve"> klímy</w:t>
      </w:r>
      <w:r w:rsidRPr="001F1B1C">
        <w:rPr>
          <w:rFonts w:asciiTheme="majorHAnsi" w:hAnsiTheme="majorHAnsi"/>
        </w:rPr>
        <w:t xml:space="preserve"> aj častejší výskyt zaplavenia a</w:t>
      </w:r>
      <w:r w:rsidR="00E461DE">
        <w:rPr>
          <w:rFonts w:asciiTheme="majorHAnsi" w:hAnsiTheme="majorHAnsi"/>
        </w:rPr>
        <w:t> </w:t>
      </w:r>
      <w:r w:rsidRPr="001F1B1C">
        <w:rPr>
          <w:rFonts w:asciiTheme="majorHAnsi" w:hAnsiTheme="majorHAnsi"/>
        </w:rPr>
        <w:t>zamokrenia</w:t>
      </w:r>
      <w:r w:rsidR="00E461DE">
        <w:rPr>
          <w:rFonts w:asciiTheme="majorHAnsi" w:hAnsiTheme="majorHAnsi"/>
        </w:rPr>
        <w:t xml:space="preserve"> </w:t>
      </w:r>
      <w:r w:rsidRPr="001F1B1C">
        <w:rPr>
          <w:rFonts w:asciiTheme="majorHAnsi" w:hAnsiTheme="majorHAnsi"/>
        </w:rPr>
        <w:t>poľnohospodárskej pôdy počas roka, čo má za následok zničenie časti úrody, či zhoršenie kvalitatívnych vlastností pôdy. Opatrenia na zabezpečenie regulovaného odtoku prebytočného množstva vody z</w:t>
      </w:r>
      <w:r w:rsidR="00E461DE">
        <w:rPr>
          <w:rFonts w:asciiTheme="majorHAnsi" w:hAnsiTheme="majorHAnsi"/>
        </w:rPr>
        <w:t> </w:t>
      </w:r>
      <w:r w:rsidRPr="001F1B1C">
        <w:rPr>
          <w:rFonts w:asciiTheme="majorHAnsi" w:hAnsiTheme="majorHAnsi"/>
        </w:rPr>
        <w:t>poľnohospodárskej</w:t>
      </w:r>
      <w:r w:rsidR="00E461DE">
        <w:rPr>
          <w:rFonts w:asciiTheme="majorHAnsi" w:hAnsiTheme="majorHAnsi"/>
        </w:rPr>
        <w:t xml:space="preserve"> </w:t>
      </w:r>
      <w:r w:rsidRPr="001F1B1C">
        <w:rPr>
          <w:rFonts w:asciiTheme="majorHAnsi" w:hAnsiTheme="majorHAnsi"/>
        </w:rPr>
        <w:t>pôdy pozitívne prispievajú k</w:t>
      </w:r>
      <w:r w:rsidR="00E461DE">
        <w:rPr>
          <w:rFonts w:asciiTheme="majorHAnsi" w:hAnsiTheme="majorHAnsi"/>
        </w:rPr>
        <w:t> </w:t>
      </w:r>
      <w:r w:rsidRPr="001F1B1C">
        <w:rPr>
          <w:rFonts w:asciiTheme="majorHAnsi" w:hAnsiTheme="majorHAnsi"/>
        </w:rPr>
        <w:t>prevencii</w:t>
      </w:r>
      <w:r w:rsidR="00E461DE">
        <w:rPr>
          <w:rFonts w:asciiTheme="majorHAnsi" w:hAnsiTheme="majorHAnsi"/>
        </w:rPr>
        <w:t xml:space="preserve"> </w:t>
      </w:r>
      <w:r w:rsidRPr="001F1B1C">
        <w:rPr>
          <w:rFonts w:asciiTheme="majorHAnsi" w:hAnsiTheme="majorHAnsi"/>
        </w:rPr>
        <w:t>škôd</w:t>
      </w:r>
      <w:r w:rsidR="002E1527">
        <w:rPr>
          <w:rFonts w:asciiTheme="majorHAnsi" w:hAnsiTheme="majorHAnsi"/>
        </w:rPr>
        <w:t>,</w:t>
      </w:r>
      <w:r w:rsidRPr="001F1B1C">
        <w:rPr>
          <w:rFonts w:asciiTheme="majorHAnsi" w:hAnsiTheme="majorHAnsi"/>
        </w:rPr>
        <w:t xml:space="preserve"> spôsobených extrémnymi zrážkovými výkyvmi</w:t>
      </w:r>
      <w:r>
        <w:rPr>
          <w:rFonts w:asciiTheme="majorHAnsi" w:hAnsiTheme="majorHAnsi"/>
        </w:rPr>
        <w:t>.</w:t>
      </w:r>
    </w:p>
    <w:p w:rsidR="00013BE1" w:rsidRPr="00A11FE0" w:rsidRDefault="00013BE1" w:rsidP="00013BE1">
      <w:pPr>
        <w:pStyle w:val="tlText2VlastnfarbaRGB31"/>
        <w:spacing w:after="120" w:line="240" w:lineRule="auto"/>
        <w:rPr>
          <w:rFonts w:asciiTheme="majorHAnsi" w:hAnsiTheme="majorHAnsi"/>
          <w:color w:val="auto"/>
          <w:szCs w:val="24"/>
          <w:lang w:val="sk-SK"/>
        </w:rPr>
      </w:pPr>
      <w:r w:rsidRPr="00A11FE0">
        <w:rPr>
          <w:rFonts w:asciiTheme="majorHAnsi" w:hAnsiTheme="majorHAnsi"/>
          <w:color w:val="auto"/>
          <w:szCs w:val="24"/>
          <w:lang w:val="sk-SK"/>
        </w:rPr>
        <w:t>V</w:t>
      </w:r>
      <w:r w:rsidR="00EF6420">
        <w:rPr>
          <w:rFonts w:asciiTheme="majorHAnsi" w:hAnsiTheme="majorHAnsi"/>
          <w:color w:val="auto"/>
          <w:szCs w:val="24"/>
          <w:lang w:val="sk-SK"/>
        </w:rPr>
        <w:t> </w:t>
      </w:r>
      <w:r w:rsidRPr="00A11FE0">
        <w:rPr>
          <w:rFonts w:asciiTheme="majorHAnsi" w:hAnsiTheme="majorHAnsi"/>
          <w:color w:val="auto"/>
          <w:szCs w:val="24"/>
          <w:lang w:val="sk-SK"/>
        </w:rPr>
        <w:t xml:space="preserve">poľnohospodárstve prevažujú podniky </w:t>
      </w:r>
      <w:r w:rsidR="00BD5FD5">
        <w:rPr>
          <w:rFonts w:asciiTheme="majorHAnsi" w:hAnsiTheme="majorHAnsi"/>
          <w:color w:val="auto"/>
          <w:szCs w:val="24"/>
          <w:lang w:val="sk-SK"/>
        </w:rPr>
        <w:t>s</w:t>
      </w:r>
      <w:r w:rsidRPr="00A11FE0">
        <w:rPr>
          <w:rFonts w:asciiTheme="majorHAnsi" w:hAnsiTheme="majorHAnsi"/>
          <w:color w:val="auto"/>
          <w:szCs w:val="24"/>
          <w:lang w:val="sk-SK"/>
        </w:rPr>
        <w:t xml:space="preserve">o </w:t>
      </w:r>
      <w:r w:rsidR="00BD5FD5">
        <w:rPr>
          <w:rFonts w:asciiTheme="majorHAnsi" w:hAnsiTheme="majorHAnsi"/>
          <w:color w:val="auto"/>
          <w:szCs w:val="24"/>
          <w:lang w:val="sk-SK"/>
        </w:rPr>
        <w:t>s</w:t>
      </w:r>
      <w:r w:rsidRPr="00A11FE0">
        <w:rPr>
          <w:rFonts w:asciiTheme="majorHAnsi" w:hAnsiTheme="majorHAnsi"/>
          <w:color w:val="auto"/>
          <w:szCs w:val="24"/>
          <w:lang w:val="sk-SK"/>
        </w:rPr>
        <w:t>tarším manažmentom</w:t>
      </w:r>
      <w:r w:rsidR="00CD2222">
        <w:rPr>
          <w:rFonts w:asciiTheme="majorHAnsi" w:hAnsiTheme="majorHAnsi"/>
          <w:color w:val="auto"/>
          <w:szCs w:val="24"/>
          <w:lang w:val="sk-SK"/>
        </w:rPr>
        <w:t xml:space="preserve"> </w:t>
      </w:r>
      <w:r w:rsidRPr="00A11FE0">
        <w:rPr>
          <w:rFonts w:asciiTheme="majorHAnsi" w:hAnsiTheme="majorHAnsi"/>
          <w:color w:val="auto"/>
          <w:szCs w:val="24"/>
          <w:lang w:val="sk-SK"/>
        </w:rPr>
        <w:t>od 45 do 64 rokov</w:t>
      </w:r>
      <w:r w:rsidR="00202DF2">
        <w:rPr>
          <w:rFonts w:asciiTheme="majorHAnsi" w:hAnsiTheme="majorHAnsi"/>
          <w:color w:val="auto"/>
          <w:szCs w:val="24"/>
          <w:lang w:val="sk-SK"/>
        </w:rPr>
        <w:t xml:space="preserve"> (55,31</w:t>
      </w:r>
      <w:r w:rsidR="00C31DB6">
        <w:rPr>
          <w:rFonts w:asciiTheme="majorHAnsi" w:hAnsiTheme="majorHAnsi"/>
          <w:color w:val="auto"/>
          <w:szCs w:val="24"/>
          <w:lang w:val="sk-SK"/>
        </w:rPr>
        <w:t xml:space="preserve"> </w:t>
      </w:r>
      <w:r w:rsidR="00202DF2">
        <w:rPr>
          <w:rFonts w:asciiTheme="majorHAnsi" w:hAnsiTheme="majorHAnsi"/>
          <w:color w:val="auto"/>
          <w:szCs w:val="24"/>
          <w:lang w:val="sk-SK"/>
        </w:rPr>
        <w:t>%)</w:t>
      </w:r>
      <w:r w:rsidRPr="00A11FE0">
        <w:rPr>
          <w:rFonts w:asciiTheme="majorHAnsi" w:hAnsiTheme="majorHAnsi"/>
          <w:color w:val="auto"/>
          <w:szCs w:val="24"/>
          <w:lang w:val="sk-SK"/>
        </w:rPr>
        <w:t xml:space="preserve"> </w:t>
      </w:r>
      <w:r w:rsidR="00BD5FD5">
        <w:rPr>
          <w:rFonts w:asciiTheme="majorHAnsi" w:hAnsiTheme="majorHAnsi"/>
          <w:color w:val="auto"/>
          <w:szCs w:val="24"/>
          <w:lang w:val="sk-SK"/>
        </w:rPr>
        <w:t>a </w:t>
      </w:r>
      <w:r w:rsidRPr="00A11FE0">
        <w:rPr>
          <w:rFonts w:asciiTheme="majorHAnsi" w:hAnsiTheme="majorHAnsi"/>
          <w:color w:val="auto"/>
          <w:szCs w:val="24"/>
          <w:lang w:val="sk-SK"/>
        </w:rPr>
        <w:t xml:space="preserve">poľnohospodárska populácia začína výrazne </w:t>
      </w:r>
      <w:r w:rsidR="00BD5FD5">
        <w:rPr>
          <w:rFonts w:asciiTheme="majorHAnsi" w:hAnsiTheme="majorHAnsi"/>
          <w:color w:val="auto"/>
          <w:szCs w:val="24"/>
          <w:lang w:val="sk-SK"/>
        </w:rPr>
        <w:t>s</w:t>
      </w:r>
      <w:r w:rsidRPr="00A11FE0">
        <w:rPr>
          <w:rFonts w:asciiTheme="majorHAnsi" w:hAnsiTheme="majorHAnsi"/>
          <w:color w:val="auto"/>
          <w:szCs w:val="24"/>
          <w:lang w:val="sk-SK"/>
        </w:rPr>
        <w:t xml:space="preserve">tarnúť. Zhoršujúca </w:t>
      </w:r>
      <w:r w:rsidR="00BD5FD5">
        <w:rPr>
          <w:rFonts w:asciiTheme="majorHAnsi" w:hAnsiTheme="majorHAnsi"/>
          <w:color w:val="auto"/>
          <w:szCs w:val="24"/>
          <w:lang w:val="sk-SK"/>
        </w:rPr>
        <w:t>s</w:t>
      </w:r>
      <w:r w:rsidRPr="00A11FE0">
        <w:rPr>
          <w:rFonts w:asciiTheme="majorHAnsi" w:hAnsiTheme="majorHAnsi"/>
          <w:color w:val="auto"/>
          <w:szCs w:val="24"/>
          <w:lang w:val="sk-SK"/>
        </w:rPr>
        <w:t xml:space="preserve">a veková štruktúra má významný vplyv na </w:t>
      </w:r>
      <w:r w:rsidR="00BD5FD5">
        <w:rPr>
          <w:rFonts w:asciiTheme="majorHAnsi" w:hAnsiTheme="majorHAnsi"/>
          <w:color w:val="auto"/>
          <w:szCs w:val="24"/>
          <w:lang w:val="sk-SK"/>
        </w:rPr>
        <w:t>s</w:t>
      </w:r>
      <w:r w:rsidRPr="00A11FE0">
        <w:rPr>
          <w:rFonts w:asciiTheme="majorHAnsi" w:hAnsiTheme="majorHAnsi"/>
          <w:color w:val="auto"/>
          <w:szCs w:val="24"/>
          <w:lang w:val="sk-SK"/>
        </w:rPr>
        <w:t xml:space="preserve">tagnáciu, resp. pokles </w:t>
      </w:r>
      <w:r w:rsidR="00BD5FD5">
        <w:rPr>
          <w:rFonts w:asciiTheme="majorHAnsi" w:hAnsiTheme="majorHAnsi"/>
          <w:color w:val="auto"/>
          <w:szCs w:val="24"/>
          <w:lang w:val="sk-SK"/>
        </w:rPr>
        <w:t>k</w:t>
      </w:r>
      <w:r w:rsidRPr="00A11FE0">
        <w:rPr>
          <w:rFonts w:asciiTheme="majorHAnsi" w:hAnsiTheme="majorHAnsi"/>
          <w:color w:val="auto"/>
          <w:szCs w:val="24"/>
          <w:lang w:val="sk-SK"/>
        </w:rPr>
        <w:t xml:space="preserve">apacity pôdohospodárstva </w:t>
      </w:r>
      <w:r w:rsidR="00BD5FD5">
        <w:rPr>
          <w:rFonts w:asciiTheme="majorHAnsi" w:hAnsiTheme="majorHAnsi"/>
          <w:color w:val="auto"/>
          <w:szCs w:val="24"/>
          <w:lang w:val="sk-SK"/>
        </w:rPr>
        <w:t>a</w:t>
      </w:r>
      <w:r w:rsidRPr="00A11FE0">
        <w:rPr>
          <w:rFonts w:asciiTheme="majorHAnsi" w:hAnsiTheme="majorHAnsi"/>
          <w:color w:val="auto"/>
          <w:szCs w:val="24"/>
          <w:lang w:val="sk-SK"/>
        </w:rPr>
        <w:t xml:space="preserve">bsorbovať najnovšie poznatky </w:t>
      </w:r>
      <w:r w:rsidR="00BD5FD5">
        <w:rPr>
          <w:rFonts w:asciiTheme="majorHAnsi" w:hAnsiTheme="majorHAnsi"/>
          <w:color w:val="auto"/>
          <w:szCs w:val="24"/>
          <w:lang w:val="sk-SK"/>
        </w:rPr>
        <w:t>a </w:t>
      </w:r>
      <w:r w:rsidRPr="00A11FE0">
        <w:rPr>
          <w:rFonts w:asciiTheme="majorHAnsi" w:hAnsiTheme="majorHAnsi"/>
          <w:color w:val="auto"/>
          <w:szCs w:val="24"/>
          <w:lang w:val="sk-SK"/>
        </w:rPr>
        <w:t>inovovať</w:t>
      </w:r>
      <w:r w:rsidRPr="00A11FE0">
        <w:rPr>
          <w:rFonts w:asciiTheme="majorHAnsi" w:hAnsiTheme="majorHAnsi"/>
          <w:lang w:val="sk-SK"/>
        </w:rPr>
        <w:t xml:space="preserve">. </w:t>
      </w:r>
      <w:r w:rsidRPr="00A11FE0">
        <w:rPr>
          <w:rFonts w:asciiTheme="majorHAnsi" w:hAnsiTheme="majorHAnsi"/>
          <w:color w:val="auto"/>
          <w:szCs w:val="24"/>
          <w:lang w:val="sk-SK"/>
        </w:rPr>
        <w:t xml:space="preserve">Výrazne </w:t>
      </w:r>
      <w:r w:rsidR="00BD5FD5">
        <w:rPr>
          <w:rFonts w:asciiTheme="majorHAnsi" w:hAnsiTheme="majorHAnsi"/>
          <w:color w:val="auto"/>
          <w:szCs w:val="24"/>
          <w:lang w:val="sk-SK"/>
        </w:rPr>
        <w:t>s</w:t>
      </w:r>
      <w:r w:rsidRPr="00A11FE0">
        <w:rPr>
          <w:rFonts w:asciiTheme="majorHAnsi" w:hAnsiTheme="majorHAnsi"/>
          <w:color w:val="auto"/>
          <w:szCs w:val="24"/>
          <w:lang w:val="sk-SK"/>
        </w:rPr>
        <w:t>a znížil podiel prac</w:t>
      </w:r>
      <w:r w:rsidR="00055058" w:rsidRPr="00A11FE0">
        <w:rPr>
          <w:rFonts w:asciiTheme="majorHAnsi" w:hAnsiTheme="majorHAnsi"/>
          <w:color w:val="auto"/>
          <w:szCs w:val="24"/>
          <w:lang w:val="sk-SK"/>
        </w:rPr>
        <w:t xml:space="preserve">ovníkov </w:t>
      </w:r>
      <w:r w:rsidR="00BD5FD5">
        <w:rPr>
          <w:rFonts w:asciiTheme="majorHAnsi" w:hAnsiTheme="majorHAnsi"/>
          <w:color w:val="auto"/>
          <w:szCs w:val="24"/>
          <w:lang w:val="sk-SK"/>
        </w:rPr>
        <w:t>s</w:t>
      </w:r>
      <w:r w:rsidR="00055058" w:rsidRPr="00A11FE0">
        <w:rPr>
          <w:rFonts w:asciiTheme="majorHAnsi" w:hAnsiTheme="majorHAnsi"/>
          <w:color w:val="auto"/>
          <w:szCs w:val="24"/>
          <w:lang w:val="sk-SK"/>
        </w:rPr>
        <w:t>o základným vzdelaním</w:t>
      </w:r>
      <w:r w:rsidRPr="00A11FE0">
        <w:rPr>
          <w:rFonts w:asciiTheme="majorHAnsi" w:hAnsiTheme="majorHAnsi"/>
          <w:color w:val="auto"/>
          <w:szCs w:val="24"/>
          <w:lang w:val="sk-SK"/>
        </w:rPr>
        <w:t xml:space="preserve"> </w:t>
      </w:r>
      <w:r w:rsidR="00BD5FD5">
        <w:rPr>
          <w:rFonts w:asciiTheme="majorHAnsi" w:hAnsiTheme="majorHAnsi"/>
          <w:color w:val="auto"/>
          <w:szCs w:val="24"/>
          <w:lang w:val="sk-SK"/>
        </w:rPr>
        <w:t>a </w:t>
      </w:r>
      <w:r w:rsidRPr="00A11FE0">
        <w:rPr>
          <w:rFonts w:asciiTheme="majorHAnsi" w:hAnsiTheme="majorHAnsi"/>
          <w:color w:val="auto"/>
          <w:szCs w:val="24"/>
          <w:lang w:val="sk-SK"/>
        </w:rPr>
        <w:t xml:space="preserve">zvýšil </w:t>
      </w:r>
      <w:r w:rsidR="00BD5FD5">
        <w:rPr>
          <w:rFonts w:asciiTheme="majorHAnsi" w:hAnsiTheme="majorHAnsi"/>
          <w:color w:val="auto"/>
          <w:szCs w:val="24"/>
          <w:lang w:val="sk-SK"/>
        </w:rPr>
        <w:t>s</w:t>
      </w:r>
      <w:r w:rsidRPr="00A11FE0">
        <w:rPr>
          <w:rFonts w:asciiTheme="majorHAnsi" w:hAnsiTheme="majorHAnsi"/>
          <w:color w:val="auto"/>
          <w:szCs w:val="24"/>
          <w:lang w:val="sk-SK"/>
        </w:rPr>
        <w:t xml:space="preserve">a podiel </w:t>
      </w:r>
      <w:r w:rsidR="00BD5FD5">
        <w:rPr>
          <w:rFonts w:asciiTheme="majorHAnsi" w:hAnsiTheme="majorHAnsi"/>
          <w:color w:val="auto"/>
          <w:szCs w:val="24"/>
          <w:lang w:val="sk-SK"/>
        </w:rPr>
        <w:t>k</w:t>
      </w:r>
      <w:r w:rsidRPr="00A11FE0">
        <w:rPr>
          <w:rFonts w:asciiTheme="majorHAnsi" w:hAnsiTheme="majorHAnsi"/>
          <w:color w:val="auto"/>
          <w:szCs w:val="24"/>
          <w:lang w:val="sk-SK"/>
        </w:rPr>
        <w:t>valifikovaných pracovníkov</w:t>
      </w:r>
      <w:r w:rsidR="00B747C5" w:rsidRPr="00A11FE0">
        <w:rPr>
          <w:rStyle w:val="Odkaznapoznmkupodiarou"/>
          <w:rFonts w:asciiTheme="majorHAnsi" w:hAnsiTheme="majorHAnsi"/>
          <w:color w:val="auto"/>
          <w:szCs w:val="24"/>
          <w:lang w:val="sk-SK"/>
        </w:rPr>
        <w:t xml:space="preserve"> </w:t>
      </w:r>
      <w:r w:rsidR="00055058" w:rsidRPr="00A11FE0">
        <w:rPr>
          <w:rStyle w:val="Odkaznapoznmkupodiarou"/>
          <w:rFonts w:asciiTheme="majorHAnsi" w:hAnsiTheme="majorHAnsi"/>
          <w:color w:val="auto"/>
          <w:szCs w:val="24"/>
          <w:lang w:val="sk-SK"/>
        </w:rPr>
        <w:footnoteReference w:id="74"/>
      </w:r>
      <w:r w:rsidRPr="00A11FE0">
        <w:rPr>
          <w:rFonts w:asciiTheme="majorHAnsi" w:hAnsiTheme="majorHAnsi"/>
          <w:color w:val="auto"/>
          <w:szCs w:val="24"/>
          <w:lang w:val="sk-SK"/>
        </w:rPr>
        <w:t xml:space="preserve">. Rozhodujúce </w:t>
      </w:r>
      <w:r w:rsidR="00BD5FD5">
        <w:rPr>
          <w:rFonts w:asciiTheme="majorHAnsi" w:hAnsiTheme="majorHAnsi"/>
          <w:color w:val="auto"/>
          <w:szCs w:val="24"/>
          <w:lang w:val="sk-SK"/>
        </w:rPr>
        <w:t>s</w:t>
      </w:r>
      <w:r w:rsidRPr="00A11FE0">
        <w:rPr>
          <w:rFonts w:asciiTheme="majorHAnsi" w:hAnsiTheme="majorHAnsi"/>
          <w:color w:val="auto"/>
          <w:szCs w:val="24"/>
          <w:lang w:val="sk-SK"/>
        </w:rPr>
        <w:t xml:space="preserve">ú odborné ľudské </w:t>
      </w:r>
      <w:r w:rsidR="00BD5FD5">
        <w:rPr>
          <w:rFonts w:asciiTheme="majorHAnsi" w:hAnsiTheme="majorHAnsi"/>
          <w:color w:val="auto"/>
          <w:szCs w:val="24"/>
          <w:lang w:val="sk-SK"/>
        </w:rPr>
        <w:t>k</w:t>
      </w:r>
      <w:r w:rsidRPr="00A11FE0">
        <w:rPr>
          <w:rFonts w:asciiTheme="majorHAnsi" w:hAnsiTheme="majorHAnsi"/>
          <w:color w:val="auto"/>
          <w:szCs w:val="24"/>
          <w:lang w:val="sk-SK"/>
        </w:rPr>
        <w:t xml:space="preserve">apacity </w:t>
      </w:r>
      <w:r w:rsidR="00C80098">
        <w:rPr>
          <w:rFonts w:asciiTheme="majorHAnsi" w:hAnsiTheme="majorHAnsi"/>
          <w:color w:val="auto"/>
          <w:szCs w:val="24"/>
          <w:lang w:val="sk-SK"/>
        </w:rPr>
        <w:t>–</w:t>
      </w:r>
      <w:r w:rsidRPr="00A11FE0">
        <w:rPr>
          <w:rFonts w:asciiTheme="majorHAnsi" w:hAnsiTheme="majorHAnsi"/>
          <w:color w:val="auto"/>
          <w:szCs w:val="24"/>
          <w:lang w:val="sk-SK"/>
        </w:rPr>
        <w:t xml:space="preserve"> poradcovia, preto je nevyhnutné </w:t>
      </w:r>
      <w:r w:rsidR="00BD5FD5">
        <w:rPr>
          <w:rFonts w:asciiTheme="majorHAnsi" w:hAnsiTheme="majorHAnsi"/>
          <w:color w:val="auto"/>
          <w:szCs w:val="24"/>
          <w:lang w:val="sk-SK"/>
        </w:rPr>
        <w:t>s</w:t>
      </w:r>
      <w:r w:rsidRPr="00A11FE0">
        <w:rPr>
          <w:rFonts w:asciiTheme="majorHAnsi" w:hAnsiTheme="majorHAnsi"/>
          <w:color w:val="auto"/>
          <w:szCs w:val="24"/>
          <w:lang w:val="sk-SK"/>
        </w:rPr>
        <w:t xml:space="preserve">ystematicky podporovať školenie </w:t>
      </w:r>
      <w:r w:rsidR="00BD5FD5">
        <w:rPr>
          <w:rFonts w:asciiTheme="majorHAnsi" w:hAnsiTheme="majorHAnsi"/>
          <w:color w:val="auto"/>
          <w:szCs w:val="24"/>
          <w:lang w:val="sk-SK"/>
        </w:rPr>
        <w:t>a </w:t>
      </w:r>
      <w:r w:rsidRPr="00A11FE0">
        <w:rPr>
          <w:rFonts w:asciiTheme="majorHAnsi" w:hAnsiTheme="majorHAnsi"/>
          <w:color w:val="auto"/>
          <w:szCs w:val="24"/>
          <w:lang w:val="sk-SK"/>
        </w:rPr>
        <w:t xml:space="preserve">certifikáciu poradcov, prípravu </w:t>
      </w:r>
      <w:r w:rsidR="00BD5FD5">
        <w:rPr>
          <w:rFonts w:asciiTheme="majorHAnsi" w:hAnsiTheme="majorHAnsi"/>
          <w:color w:val="auto"/>
          <w:szCs w:val="24"/>
          <w:lang w:val="sk-SK"/>
        </w:rPr>
        <w:t>k</w:t>
      </w:r>
      <w:r w:rsidRPr="00A11FE0">
        <w:rPr>
          <w:rFonts w:asciiTheme="majorHAnsi" w:hAnsiTheme="majorHAnsi"/>
          <w:color w:val="auto"/>
          <w:szCs w:val="24"/>
          <w:lang w:val="sk-SK"/>
        </w:rPr>
        <w:t xml:space="preserve">valitného </w:t>
      </w:r>
      <w:r w:rsidR="00BD5FD5">
        <w:rPr>
          <w:rFonts w:asciiTheme="majorHAnsi" w:hAnsiTheme="majorHAnsi"/>
          <w:color w:val="auto"/>
          <w:szCs w:val="24"/>
          <w:lang w:val="sk-SK"/>
        </w:rPr>
        <w:t>a </w:t>
      </w:r>
      <w:r w:rsidRPr="00A11FE0">
        <w:rPr>
          <w:rFonts w:asciiTheme="majorHAnsi" w:hAnsiTheme="majorHAnsi"/>
          <w:color w:val="auto"/>
          <w:szCs w:val="24"/>
          <w:lang w:val="sk-SK"/>
        </w:rPr>
        <w:t>prepracovaného</w:t>
      </w:r>
      <w:r w:rsidR="00285918">
        <w:rPr>
          <w:rFonts w:asciiTheme="majorHAnsi" w:hAnsiTheme="majorHAnsi"/>
          <w:color w:val="auto"/>
          <w:szCs w:val="24"/>
          <w:lang w:val="sk-SK"/>
        </w:rPr>
        <w:t xml:space="preserve"> </w:t>
      </w:r>
      <w:r w:rsidRPr="00A11FE0">
        <w:rPr>
          <w:rFonts w:asciiTheme="majorHAnsi" w:hAnsiTheme="majorHAnsi"/>
          <w:color w:val="auto"/>
          <w:szCs w:val="24"/>
          <w:lang w:val="sk-SK"/>
        </w:rPr>
        <w:t xml:space="preserve">obsahu poradenstva </w:t>
      </w:r>
      <w:r w:rsidR="00BD5FD5">
        <w:rPr>
          <w:rFonts w:asciiTheme="majorHAnsi" w:hAnsiTheme="majorHAnsi"/>
          <w:color w:val="auto"/>
          <w:szCs w:val="24"/>
          <w:lang w:val="sk-SK"/>
        </w:rPr>
        <w:t>a </w:t>
      </w:r>
      <w:r w:rsidRPr="00A11FE0">
        <w:rPr>
          <w:rFonts w:asciiTheme="majorHAnsi" w:hAnsiTheme="majorHAnsi"/>
          <w:color w:val="auto"/>
          <w:szCs w:val="24"/>
          <w:lang w:val="sk-SK"/>
        </w:rPr>
        <w:t>vzdelávania</w:t>
      </w:r>
      <w:r w:rsidR="001539F2" w:rsidRPr="00A11FE0">
        <w:rPr>
          <w:rFonts w:asciiTheme="majorHAnsi" w:hAnsiTheme="majorHAnsi"/>
          <w:color w:val="auto"/>
          <w:szCs w:val="24"/>
          <w:lang w:val="sk-SK"/>
        </w:rPr>
        <w:t>,</w:t>
      </w:r>
      <w:r w:rsidRPr="00A11FE0">
        <w:rPr>
          <w:rFonts w:asciiTheme="majorHAnsi" w:hAnsiTheme="majorHAnsi"/>
          <w:color w:val="auto"/>
          <w:szCs w:val="24"/>
          <w:lang w:val="sk-SK"/>
        </w:rPr>
        <w:t xml:space="preserve"> vrátane špecifického poradenstva pre začínajúcich poľnohospodárov.</w:t>
      </w:r>
    </w:p>
    <w:p w:rsidR="00013BE1" w:rsidRPr="00A11FE0" w:rsidRDefault="00BD5FD5" w:rsidP="00013BE1">
      <w:pPr>
        <w:rPr>
          <w:rFonts w:asciiTheme="majorHAnsi" w:hAnsiTheme="majorHAnsi"/>
        </w:rPr>
      </w:pPr>
      <w:r>
        <w:rPr>
          <w:rFonts w:asciiTheme="majorHAnsi" w:hAnsiTheme="majorHAnsi"/>
        </w:rPr>
        <w:t>S</w:t>
      </w:r>
      <w:r w:rsidR="00013BE1" w:rsidRPr="00A11FE0">
        <w:rPr>
          <w:rFonts w:asciiTheme="majorHAnsi" w:hAnsiTheme="majorHAnsi"/>
        </w:rPr>
        <w:t xml:space="preserve">labou </w:t>
      </w:r>
      <w:r>
        <w:rPr>
          <w:rFonts w:asciiTheme="majorHAnsi" w:hAnsiTheme="majorHAnsi"/>
        </w:rPr>
        <w:t>s</w:t>
      </w:r>
      <w:r w:rsidR="00013BE1" w:rsidRPr="00A11FE0">
        <w:rPr>
          <w:rFonts w:asciiTheme="majorHAnsi" w:hAnsiTheme="majorHAnsi"/>
        </w:rPr>
        <w:t xml:space="preserve">tránkou poľnohospodárskeho </w:t>
      </w:r>
      <w:r>
        <w:rPr>
          <w:rFonts w:asciiTheme="majorHAnsi" w:hAnsiTheme="majorHAnsi"/>
        </w:rPr>
        <w:t>s</w:t>
      </w:r>
      <w:r w:rsidR="00013BE1" w:rsidRPr="00A11FE0">
        <w:rPr>
          <w:rFonts w:asciiTheme="majorHAnsi" w:hAnsiTheme="majorHAnsi"/>
        </w:rPr>
        <w:t xml:space="preserve">ektora je </w:t>
      </w:r>
      <w:r>
        <w:rPr>
          <w:rFonts w:asciiTheme="majorHAnsi" w:hAnsiTheme="majorHAnsi"/>
        </w:rPr>
        <w:t>a</w:t>
      </w:r>
      <w:r w:rsidR="00013BE1" w:rsidRPr="00A11FE0">
        <w:rPr>
          <w:rFonts w:asciiTheme="majorHAnsi" w:hAnsiTheme="majorHAnsi"/>
        </w:rPr>
        <w:t xml:space="preserve">j nedostatočne rozvinutý trh </w:t>
      </w:r>
      <w:r>
        <w:rPr>
          <w:rFonts w:asciiTheme="majorHAnsi" w:hAnsiTheme="majorHAnsi"/>
        </w:rPr>
        <w:t>s</w:t>
      </w:r>
      <w:r w:rsidR="004B5CC1">
        <w:rPr>
          <w:rFonts w:asciiTheme="majorHAnsi" w:hAnsiTheme="majorHAnsi"/>
        </w:rPr>
        <w:t> </w:t>
      </w:r>
      <w:r w:rsidR="00013BE1" w:rsidRPr="00A11FE0">
        <w:rPr>
          <w:rFonts w:asciiTheme="majorHAnsi" w:hAnsiTheme="majorHAnsi"/>
        </w:rPr>
        <w:t>pôdou</w:t>
      </w:r>
      <w:r w:rsidR="004B5CC1">
        <w:rPr>
          <w:rFonts w:asciiTheme="majorHAnsi" w:hAnsiTheme="majorHAnsi"/>
        </w:rPr>
        <w:t>, a</w:t>
      </w:r>
      <w:r w:rsidR="00951E9C">
        <w:rPr>
          <w:rFonts w:asciiTheme="majorHAnsi" w:hAnsiTheme="majorHAnsi"/>
        </w:rPr>
        <w:t> </w:t>
      </w:r>
      <w:r w:rsidR="004B5CC1">
        <w:rPr>
          <w:rFonts w:asciiTheme="majorHAnsi" w:hAnsiTheme="majorHAnsi"/>
        </w:rPr>
        <w:t>to</w:t>
      </w:r>
      <w:r w:rsidR="00951E9C">
        <w:rPr>
          <w:rFonts w:asciiTheme="majorHAnsi" w:hAnsiTheme="majorHAnsi"/>
        </w:rPr>
        <w:t xml:space="preserve"> </w:t>
      </w:r>
      <w:r w:rsidR="00013BE1" w:rsidRPr="00A11FE0">
        <w:rPr>
          <w:rFonts w:asciiTheme="majorHAnsi" w:hAnsiTheme="majorHAnsi"/>
        </w:rPr>
        <w:t>vplyvom historicky podmienenej extrémnej rozdrobenosti vlastníctva pôdy</w:t>
      </w:r>
      <w:r w:rsidR="00013BE1" w:rsidRPr="00A11FE0">
        <w:rPr>
          <w:rStyle w:val="Odkaznapoznmkupodiarou"/>
          <w:rFonts w:asciiTheme="majorHAnsi" w:hAnsiTheme="majorHAnsi"/>
        </w:rPr>
        <w:footnoteReference w:id="75"/>
      </w:r>
      <w:r w:rsidR="00013BE1" w:rsidRPr="00A11FE0">
        <w:rPr>
          <w:rFonts w:asciiTheme="majorHAnsi" w:hAnsiTheme="majorHAnsi"/>
        </w:rPr>
        <w:t>.</w:t>
      </w:r>
      <w:r w:rsidR="002C5876">
        <w:rPr>
          <w:rFonts w:asciiTheme="majorHAnsi" w:hAnsiTheme="majorHAnsi"/>
        </w:rPr>
        <w:t xml:space="preserve"> Pozemkové úpravy sú základným a jediným </w:t>
      </w:r>
      <w:r w:rsidR="008C2661">
        <w:rPr>
          <w:rFonts w:asciiTheme="majorHAnsi" w:hAnsiTheme="majorHAnsi"/>
        </w:rPr>
        <w:t xml:space="preserve">komplexným </w:t>
      </w:r>
      <w:r w:rsidR="002C5876">
        <w:rPr>
          <w:rFonts w:asciiTheme="majorHAnsi" w:hAnsiTheme="majorHAnsi"/>
        </w:rPr>
        <w:t xml:space="preserve">organizačným nástrojom usporiadania pozemkového vlastníctva v SR. K zrejmým pozitívam doteraz ukončených projektov pozemkových úprav patrí predovšetkým: výrazné zníženie rozdrobenosti pozemkového vlastníctva, ktoré sa tak </w:t>
      </w:r>
      <w:r w:rsidR="008C2661">
        <w:rPr>
          <w:rFonts w:asciiTheme="majorHAnsi" w:hAnsiTheme="majorHAnsi"/>
        </w:rPr>
        <w:t xml:space="preserve">stáva </w:t>
      </w:r>
      <w:r w:rsidR="00DE1001">
        <w:rPr>
          <w:rFonts w:asciiTheme="majorHAnsi" w:hAnsiTheme="majorHAnsi"/>
        </w:rPr>
        <w:t xml:space="preserve">skutočným predmetom trhu s pôdou a umožňuje jeho samostatné užívanie, resp. vznik a posilnenie malých fariem; sprístupnenie </w:t>
      </w:r>
      <w:r w:rsidR="00DE1001">
        <w:rPr>
          <w:rFonts w:asciiTheme="majorHAnsi" w:hAnsiTheme="majorHAnsi"/>
        </w:rPr>
        <w:lastRenderedPageBreak/>
        <w:t>pozemkov z verejných alebo spoločných komunikácií poľnohospodárskeho charakteru; príprava a vlastnícke vysporiadanie pozemkov na vykonanie pozitívnych zásahov do krajiny v oblasti ekológie</w:t>
      </w:r>
      <w:r w:rsidR="008C2661">
        <w:rPr>
          <w:rFonts w:asciiTheme="majorHAnsi" w:hAnsiTheme="majorHAnsi"/>
        </w:rPr>
        <w:t>, protipovodňovej</w:t>
      </w:r>
      <w:r w:rsidR="00DE1001">
        <w:rPr>
          <w:rFonts w:asciiTheme="majorHAnsi" w:hAnsiTheme="majorHAnsi"/>
        </w:rPr>
        <w:t xml:space="preserve"> a protieróznej ochrany.</w:t>
      </w:r>
    </w:p>
    <w:p w:rsidR="00B61C19" w:rsidRPr="00A11FE0" w:rsidRDefault="00B61C19" w:rsidP="005D69F0">
      <w:pPr>
        <w:pStyle w:val="Nadpis5"/>
        <w:numPr>
          <w:ilvl w:val="4"/>
          <w:numId w:val="2"/>
        </w:numPr>
        <w:ind w:left="1292"/>
      </w:pPr>
      <w:r w:rsidRPr="00A11FE0">
        <w:t xml:space="preserve">Nízka </w:t>
      </w:r>
      <w:r w:rsidR="00BD5FD5">
        <w:t>k</w:t>
      </w:r>
      <w:r w:rsidRPr="00A11FE0">
        <w:t>onkurencieschopnosť potravinárskeho priemyslu</w:t>
      </w:r>
    </w:p>
    <w:p w:rsidR="00B61C19" w:rsidRPr="00A11FE0" w:rsidRDefault="00B61C19" w:rsidP="00B61C19">
      <w:pPr>
        <w:rPr>
          <w:rFonts w:asciiTheme="majorHAnsi" w:hAnsiTheme="majorHAnsi"/>
        </w:rPr>
      </w:pPr>
      <w:r w:rsidRPr="00A11FE0">
        <w:rPr>
          <w:rFonts w:asciiTheme="majorHAnsi" w:hAnsiTheme="majorHAnsi"/>
        </w:rPr>
        <w:t xml:space="preserve">Potravinársky priemysel je nadväzujúci </w:t>
      </w:r>
      <w:r w:rsidR="00BD5FD5">
        <w:rPr>
          <w:rFonts w:asciiTheme="majorHAnsi" w:hAnsiTheme="majorHAnsi"/>
        </w:rPr>
        <w:t>s</w:t>
      </w:r>
      <w:r w:rsidRPr="00A11FE0">
        <w:rPr>
          <w:rFonts w:asciiTheme="majorHAnsi" w:hAnsiTheme="majorHAnsi"/>
        </w:rPr>
        <w:t>ektor na živočíšnu</w:t>
      </w:r>
      <w:r w:rsidR="00274ACA">
        <w:rPr>
          <w:rFonts w:asciiTheme="majorHAnsi" w:hAnsiTheme="majorHAnsi"/>
        </w:rPr>
        <w:t xml:space="preserve"> produkciu</w:t>
      </w:r>
      <w:r w:rsidR="002A3A1E" w:rsidRPr="00A11FE0">
        <w:rPr>
          <w:rFonts w:asciiTheme="majorHAnsi" w:hAnsiTheme="majorHAnsi"/>
        </w:rPr>
        <w:t xml:space="preserve"> (vrátane </w:t>
      </w:r>
      <w:r w:rsidR="00BD5FD5">
        <w:rPr>
          <w:rFonts w:asciiTheme="majorHAnsi" w:hAnsiTheme="majorHAnsi"/>
        </w:rPr>
        <w:t>ak</w:t>
      </w:r>
      <w:r w:rsidR="002A3A1E" w:rsidRPr="00A11FE0">
        <w:rPr>
          <w:rFonts w:asciiTheme="majorHAnsi" w:hAnsiTheme="majorHAnsi"/>
        </w:rPr>
        <w:t>vakultúry)</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rastlinnú produkciu, </w:t>
      </w:r>
      <w:r w:rsidR="00BD5FD5">
        <w:rPr>
          <w:rFonts w:asciiTheme="majorHAnsi" w:hAnsiTheme="majorHAnsi"/>
        </w:rPr>
        <w:t>k</w:t>
      </w:r>
      <w:r w:rsidRPr="00A11FE0">
        <w:rPr>
          <w:rFonts w:asciiTheme="majorHAnsi" w:hAnsiTheme="majorHAnsi"/>
        </w:rPr>
        <w:t>torý zvyšuje pridanú hodnotu,</w:t>
      </w:r>
      <w:r w:rsidR="0084161E">
        <w:rPr>
          <w:rFonts w:asciiTheme="majorHAnsi" w:hAnsiTheme="majorHAnsi"/>
        </w:rPr>
        <w:t xml:space="preserve"> </w:t>
      </w:r>
      <w:r w:rsidRPr="00A11FE0">
        <w:rPr>
          <w:rFonts w:asciiTheme="majorHAnsi" w:hAnsiTheme="majorHAnsi"/>
        </w:rPr>
        <w:t xml:space="preserve">podieľa </w:t>
      </w:r>
      <w:r w:rsidR="00BD5FD5">
        <w:rPr>
          <w:rFonts w:asciiTheme="majorHAnsi" w:hAnsiTheme="majorHAnsi"/>
        </w:rPr>
        <w:t>s</w:t>
      </w:r>
      <w:r w:rsidRPr="00A11FE0">
        <w:rPr>
          <w:rFonts w:asciiTheme="majorHAnsi" w:hAnsiTheme="majorHAnsi"/>
        </w:rPr>
        <w:t xml:space="preserve">a na regionálnej tvorbe priamych </w:t>
      </w:r>
      <w:r w:rsidR="00BD5FD5">
        <w:rPr>
          <w:rFonts w:asciiTheme="majorHAnsi" w:hAnsiTheme="majorHAnsi"/>
        </w:rPr>
        <w:t>a </w:t>
      </w:r>
      <w:r w:rsidRPr="00A11FE0">
        <w:rPr>
          <w:rFonts w:asciiTheme="majorHAnsi" w:hAnsiTheme="majorHAnsi"/>
        </w:rPr>
        <w:t>nadväzných</w:t>
      </w:r>
      <w:r w:rsidR="00285918">
        <w:rPr>
          <w:rFonts w:asciiTheme="majorHAnsi" w:hAnsiTheme="majorHAnsi"/>
        </w:rPr>
        <w:t xml:space="preserve"> </w:t>
      </w:r>
      <w:r w:rsidRPr="00A11FE0">
        <w:rPr>
          <w:rFonts w:asciiTheme="majorHAnsi" w:hAnsiTheme="majorHAnsi"/>
        </w:rPr>
        <w:t xml:space="preserve">pracovných miest </w:t>
      </w:r>
      <w:r w:rsidR="00BD5FD5">
        <w:rPr>
          <w:rFonts w:asciiTheme="majorHAnsi" w:hAnsiTheme="majorHAnsi"/>
        </w:rPr>
        <w:t>s </w:t>
      </w:r>
      <w:r w:rsidRPr="00A11FE0">
        <w:rPr>
          <w:rFonts w:asciiTheme="majorHAnsi" w:hAnsiTheme="majorHAnsi"/>
        </w:rPr>
        <w:t>priamou väzbou</w:t>
      </w:r>
      <w:r w:rsidR="002A3A1E" w:rsidRPr="00A11FE0">
        <w:rPr>
          <w:rFonts w:asciiTheme="majorHAnsi" w:hAnsiTheme="majorHAnsi"/>
        </w:rPr>
        <w:t xml:space="preserve"> </w:t>
      </w:r>
      <w:r w:rsidRPr="00A11FE0">
        <w:rPr>
          <w:rFonts w:asciiTheme="majorHAnsi" w:hAnsiTheme="majorHAnsi"/>
        </w:rPr>
        <w:t xml:space="preserve">na potravinovú </w:t>
      </w:r>
      <w:r w:rsidR="00BD5FD5">
        <w:rPr>
          <w:rFonts w:asciiTheme="majorHAnsi" w:hAnsiTheme="majorHAnsi"/>
        </w:rPr>
        <w:t>s</w:t>
      </w:r>
      <w:r w:rsidRPr="00A11FE0">
        <w:rPr>
          <w:rFonts w:asciiTheme="majorHAnsi" w:hAnsiTheme="majorHAnsi"/>
        </w:rPr>
        <w:t>ebestačnosť.</w:t>
      </w:r>
    </w:p>
    <w:p w:rsidR="00396F6E" w:rsidRPr="00A11FE0" w:rsidRDefault="00B61C19" w:rsidP="003F0750">
      <w:pPr>
        <w:spacing w:before="0" w:after="0"/>
        <w:rPr>
          <w:rFonts w:asciiTheme="majorHAnsi" w:hAnsiTheme="majorHAnsi"/>
        </w:rPr>
      </w:pPr>
      <w:r w:rsidRPr="00A11FE0">
        <w:rPr>
          <w:rFonts w:asciiTheme="majorHAnsi" w:hAnsiTheme="majorHAnsi"/>
        </w:rPr>
        <w:t>V</w:t>
      </w:r>
      <w:r w:rsidR="00EF1CCF">
        <w:rPr>
          <w:rFonts w:asciiTheme="majorHAnsi" w:hAnsiTheme="majorHAnsi"/>
        </w:rPr>
        <w:t> </w:t>
      </w:r>
      <w:r w:rsidRPr="00A11FE0">
        <w:rPr>
          <w:rFonts w:asciiTheme="majorHAnsi" w:hAnsiTheme="majorHAnsi"/>
        </w:rPr>
        <w:t>mnohých</w:t>
      </w:r>
      <w:r w:rsidR="00EF1CCF">
        <w:rPr>
          <w:rFonts w:asciiTheme="majorHAnsi" w:hAnsiTheme="majorHAnsi"/>
        </w:rPr>
        <w:t xml:space="preserve"> </w:t>
      </w:r>
      <w:r w:rsidRPr="00A11FE0">
        <w:rPr>
          <w:rFonts w:asciiTheme="majorHAnsi" w:hAnsiTheme="majorHAnsi"/>
        </w:rPr>
        <w:t xml:space="preserve">výrobných odboroch nie je potravinársky priemysel </w:t>
      </w:r>
      <w:r w:rsidR="00BD5FD5">
        <w:rPr>
          <w:rFonts w:asciiTheme="majorHAnsi" w:hAnsiTheme="majorHAnsi"/>
        </w:rPr>
        <w:t>k</w:t>
      </w:r>
      <w:r w:rsidRPr="00A11FE0">
        <w:rPr>
          <w:rFonts w:asciiTheme="majorHAnsi" w:hAnsiTheme="majorHAnsi"/>
        </w:rPr>
        <w:t>onkurencieschopný</w:t>
      </w:r>
      <w:r w:rsidRPr="00A11FE0">
        <w:rPr>
          <w:rStyle w:val="Odkaznapoznmkupodiarou"/>
          <w:rFonts w:asciiTheme="majorHAnsi" w:hAnsiTheme="majorHAnsi"/>
        </w:rPr>
        <w:footnoteReference w:id="76"/>
      </w:r>
      <w:r w:rsidRPr="00A11FE0">
        <w:rPr>
          <w:rFonts w:asciiTheme="majorHAnsi" w:hAnsiTheme="majorHAnsi"/>
        </w:rPr>
        <w:t>. Potravinársky priemysel je málo špecializovaný</w:t>
      </w:r>
      <w:r w:rsidR="00CD2222">
        <w:rPr>
          <w:rFonts w:asciiTheme="majorHAnsi" w:hAnsiTheme="majorHAnsi"/>
        </w:rPr>
        <w:t xml:space="preserve"> </w:t>
      </w:r>
      <w:r w:rsidR="00BD5FD5">
        <w:rPr>
          <w:rFonts w:asciiTheme="majorHAnsi" w:hAnsiTheme="majorHAnsi"/>
        </w:rPr>
        <w:t>a </w:t>
      </w:r>
      <w:r w:rsidR="00CD2222">
        <w:rPr>
          <w:rFonts w:asciiTheme="majorHAnsi" w:hAnsiTheme="majorHAnsi"/>
        </w:rPr>
        <w:t>inovatívny,</w:t>
      </w:r>
      <w:r w:rsidR="00274ACA">
        <w:rPr>
          <w:rFonts w:asciiTheme="majorHAnsi" w:hAnsiTheme="majorHAnsi"/>
        </w:rPr>
        <w:t xml:space="preserve"> prejavuje sa</w:t>
      </w:r>
      <w:r w:rsidR="00CD2222">
        <w:rPr>
          <w:rFonts w:asciiTheme="majorHAnsi" w:hAnsiTheme="majorHAnsi"/>
        </w:rPr>
        <w:t xml:space="preserve"> nízk</w:t>
      </w:r>
      <w:r w:rsidR="00274ACA">
        <w:rPr>
          <w:rFonts w:asciiTheme="majorHAnsi" w:hAnsiTheme="majorHAnsi"/>
        </w:rPr>
        <w:t>ou</w:t>
      </w:r>
      <w:r w:rsidR="00CD2222">
        <w:rPr>
          <w:rFonts w:asciiTheme="majorHAnsi" w:hAnsiTheme="majorHAnsi"/>
        </w:rPr>
        <w:t xml:space="preserve"> </w:t>
      </w:r>
      <w:r w:rsidR="00BD5FD5">
        <w:rPr>
          <w:rFonts w:asciiTheme="majorHAnsi" w:hAnsiTheme="majorHAnsi"/>
        </w:rPr>
        <w:t>s</w:t>
      </w:r>
      <w:r w:rsidR="00CD2222">
        <w:rPr>
          <w:rFonts w:asciiTheme="majorHAnsi" w:hAnsiTheme="majorHAnsi"/>
        </w:rPr>
        <w:t>poluprác</w:t>
      </w:r>
      <w:r w:rsidR="00274ACA">
        <w:rPr>
          <w:rFonts w:asciiTheme="majorHAnsi" w:hAnsiTheme="majorHAnsi"/>
        </w:rPr>
        <w:t>ou</w:t>
      </w:r>
      <w:r w:rsidR="00CD2222">
        <w:rPr>
          <w:rFonts w:asciiTheme="majorHAnsi" w:hAnsiTheme="majorHAnsi"/>
        </w:rPr>
        <w:t xml:space="preserve"> </w:t>
      </w:r>
      <w:r w:rsidR="00BD5FD5">
        <w:rPr>
          <w:rFonts w:asciiTheme="majorHAnsi" w:hAnsiTheme="majorHAnsi"/>
        </w:rPr>
        <w:t>a</w:t>
      </w:r>
      <w:r w:rsidR="00CD2222">
        <w:rPr>
          <w:rFonts w:asciiTheme="majorHAnsi" w:hAnsiTheme="majorHAnsi"/>
        </w:rPr>
        <w:t> nedostatk</w:t>
      </w:r>
      <w:r w:rsidR="00274ACA">
        <w:rPr>
          <w:rFonts w:asciiTheme="majorHAnsi" w:hAnsiTheme="majorHAnsi"/>
        </w:rPr>
        <w:t>om</w:t>
      </w:r>
      <w:r w:rsidR="00CD2222">
        <w:rPr>
          <w:rFonts w:asciiTheme="majorHAnsi" w:hAnsiTheme="majorHAnsi"/>
        </w:rPr>
        <w:t xml:space="preserve"> transparentnosti v rámci </w:t>
      </w:r>
      <w:r w:rsidR="00BD5FD5">
        <w:rPr>
          <w:rFonts w:asciiTheme="majorHAnsi" w:hAnsiTheme="majorHAnsi"/>
        </w:rPr>
        <w:t>a</w:t>
      </w:r>
      <w:r w:rsidR="00CD2222">
        <w:rPr>
          <w:rFonts w:asciiTheme="majorHAnsi" w:hAnsiTheme="majorHAnsi"/>
        </w:rPr>
        <w:t xml:space="preserve">gropotravinárskeho </w:t>
      </w:r>
      <w:r w:rsidR="00BD5FD5">
        <w:rPr>
          <w:rFonts w:asciiTheme="majorHAnsi" w:hAnsiTheme="majorHAnsi"/>
        </w:rPr>
        <w:t>s</w:t>
      </w:r>
      <w:r w:rsidR="00CD2222">
        <w:rPr>
          <w:rFonts w:asciiTheme="majorHAnsi" w:hAnsiTheme="majorHAnsi"/>
        </w:rPr>
        <w:t>ektora</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v</w:t>
      </w:r>
      <w:r w:rsidR="005B7DB7">
        <w:rPr>
          <w:rFonts w:asciiTheme="majorHAnsi" w:hAnsiTheme="majorHAnsi"/>
        </w:rPr>
        <w:t> </w:t>
      </w:r>
      <w:r w:rsidRPr="00A11FE0">
        <w:rPr>
          <w:rFonts w:asciiTheme="majorHAnsi" w:hAnsiTheme="majorHAnsi"/>
        </w:rPr>
        <w:t>niektorých</w:t>
      </w:r>
      <w:r w:rsidR="005B7DB7">
        <w:rPr>
          <w:rFonts w:asciiTheme="majorHAnsi" w:hAnsiTheme="majorHAnsi"/>
        </w:rPr>
        <w:t xml:space="preserve"> </w:t>
      </w:r>
      <w:r w:rsidRPr="00A11FE0">
        <w:rPr>
          <w:rFonts w:asciiTheme="majorHAnsi" w:hAnsiTheme="majorHAnsi"/>
        </w:rPr>
        <w:t xml:space="preserve">výrobných odboroch neprebehla reštrukturalizácia. </w:t>
      </w:r>
      <w:r w:rsidR="00B747C5" w:rsidRPr="00A11FE0">
        <w:rPr>
          <w:rFonts w:asciiTheme="majorHAnsi" w:hAnsiTheme="majorHAnsi"/>
        </w:rPr>
        <w:t>Zároveň</w:t>
      </w:r>
      <w:r w:rsidRPr="00A11FE0">
        <w:rPr>
          <w:rFonts w:asciiTheme="majorHAnsi" w:hAnsiTheme="majorHAnsi"/>
        </w:rPr>
        <w:t xml:space="preserve"> je </w:t>
      </w:r>
      <w:r w:rsidR="00BD5FD5">
        <w:rPr>
          <w:rFonts w:asciiTheme="majorHAnsi" w:hAnsiTheme="majorHAnsi"/>
        </w:rPr>
        <w:t>k</w:t>
      </w:r>
      <w:r w:rsidRPr="00A11FE0">
        <w:rPr>
          <w:rFonts w:asciiTheme="majorHAnsi" w:hAnsiTheme="majorHAnsi"/>
        </w:rPr>
        <w:t xml:space="preserve">apacitne predimenzovaný. Pri hlavných výrobkoch </w:t>
      </w:r>
      <w:r w:rsidR="00BD5FD5">
        <w:rPr>
          <w:rFonts w:asciiTheme="majorHAnsi" w:hAnsiTheme="majorHAnsi"/>
        </w:rPr>
        <w:t>s</w:t>
      </w:r>
      <w:r w:rsidRPr="00A11FE0">
        <w:rPr>
          <w:rFonts w:asciiTheme="majorHAnsi" w:hAnsiTheme="majorHAnsi"/>
        </w:rPr>
        <w:t xml:space="preserve">a využíva menej </w:t>
      </w:r>
      <w:r w:rsidR="00BD5FD5">
        <w:rPr>
          <w:rFonts w:asciiTheme="majorHAnsi" w:hAnsiTheme="majorHAnsi"/>
        </w:rPr>
        <w:t>ak</w:t>
      </w:r>
      <w:r w:rsidRPr="00A11FE0">
        <w:rPr>
          <w:rFonts w:asciiTheme="majorHAnsi" w:hAnsiTheme="majorHAnsi"/>
        </w:rPr>
        <w:t>o 60</w:t>
      </w:r>
      <w:r w:rsidR="00396F6E" w:rsidRPr="00A11FE0">
        <w:rPr>
          <w:rFonts w:asciiTheme="majorHAnsi" w:hAnsiTheme="majorHAnsi"/>
        </w:rPr>
        <w:t xml:space="preserve"> </w:t>
      </w:r>
      <w:r w:rsidRPr="00A11FE0">
        <w:rPr>
          <w:rFonts w:asciiTheme="majorHAnsi" w:hAnsiTheme="majorHAnsi"/>
        </w:rPr>
        <w:t xml:space="preserve">% výrobných </w:t>
      </w:r>
      <w:r w:rsidR="00BD5FD5">
        <w:rPr>
          <w:rFonts w:asciiTheme="majorHAnsi" w:hAnsiTheme="majorHAnsi"/>
        </w:rPr>
        <w:t>k</w:t>
      </w:r>
      <w:r w:rsidRPr="00A11FE0">
        <w:rPr>
          <w:rFonts w:asciiTheme="majorHAnsi" w:hAnsiTheme="majorHAnsi"/>
        </w:rPr>
        <w:t>apacít</w:t>
      </w:r>
      <w:r w:rsidRPr="00A11FE0">
        <w:rPr>
          <w:rStyle w:val="Odkaznapoznmkupodiarou"/>
          <w:rFonts w:asciiTheme="majorHAnsi" w:hAnsiTheme="majorHAnsi"/>
        </w:rPr>
        <w:footnoteReference w:id="77"/>
      </w:r>
      <w:r w:rsidRPr="00A11FE0">
        <w:rPr>
          <w:rFonts w:asciiTheme="majorHAnsi" w:hAnsiTheme="majorHAnsi"/>
        </w:rPr>
        <w:t xml:space="preserve">. Od roku 2002 </w:t>
      </w:r>
      <w:r w:rsidR="004B5CC1">
        <w:rPr>
          <w:rFonts w:asciiTheme="majorHAnsi" w:hAnsiTheme="majorHAnsi"/>
        </w:rPr>
        <w:t xml:space="preserve">stagnuje </w:t>
      </w:r>
      <w:r w:rsidRPr="00A11FE0">
        <w:rPr>
          <w:rFonts w:asciiTheme="majorHAnsi" w:hAnsiTheme="majorHAnsi"/>
        </w:rPr>
        <w:t>výroba potravinárskeho priemyslu</w:t>
      </w:r>
      <w:r w:rsidRPr="00A11FE0">
        <w:rPr>
          <w:rStyle w:val="Odkaznapoznmkupodiarou"/>
          <w:rFonts w:asciiTheme="majorHAnsi" w:hAnsiTheme="majorHAnsi"/>
        </w:rPr>
        <w:footnoteReference w:id="78"/>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podiel </w:t>
      </w:r>
      <w:r w:rsidR="00BD5FD5">
        <w:rPr>
          <w:rFonts w:asciiTheme="majorHAnsi" w:hAnsiTheme="majorHAnsi"/>
        </w:rPr>
        <w:t>s</w:t>
      </w:r>
      <w:r w:rsidRPr="00A11FE0">
        <w:rPr>
          <w:rFonts w:asciiTheme="majorHAnsi" w:hAnsiTheme="majorHAnsi"/>
        </w:rPr>
        <w:t>lovenských výrobkov v</w:t>
      </w:r>
      <w:r w:rsidR="0084161E">
        <w:rPr>
          <w:rFonts w:asciiTheme="majorHAnsi" w:hAnsiTheme="majorHAnsi"/>
        </w:rPr>
        <w:t> </w:t>
      </w:r>
      <w:r w:rsidRPr="00A11FE0">
        <w:rPr>
          <w:rFonts w:asciiTheme="majorHAnsi" w:hAnsiTheme="majorHAnsi"/>
        </w:rPr>
        <w:t>obchodnej</w:t>
      </w:r>
      <w:r w:rsidR="0084161E">
        <w:rPr>
          <w:rFonts w:asciiTheme="majorHAnsi" w:hAnsiTheme="majorHAnsi"/>
        </w:rPr>
        <w:t xml:space="preserve"> </w:t>
      </w:r>
      <w:r w:rsidR="00BD5FD5">
        <w:rPr>
          <w:rFonts w:asciiTheme="majorHAnsi" w:hAnsiTheme="majorHAnsi"/>
        </w:rPr>
        <w:t>s</w:t>
      </w:r>
      <w:r w:rsidRPr="00A11FE0">
        <w:rPr>
          <w:rFonts w:asciiTheme="majorHAnsi" w:hAnsiTheme="majorHAnsi"/>
        </w:rPr>
        <w:t xml:space="preserve">ieti podstatne </w:t>
      </w:r>
      <w:r w:rsidR="00BD5FD5">
        <w:rPr>
          <w:rFonts w:asciiTheme="majorHAnsi" w:hAnsiTheme="majorHAnsi"/>
        </w:rPr>
        <w:t>k</w:t>
      </w:r>
      <w:r w:rsidRPr="00A11FE0">
        <w:rPr>
          <w:rFonts w:asciiTheme="majorHAnsi" w:hAnsiTheme="majorHAnsi"/>
        </w:rPr>
        <w:t>lesol</w:t>
      </w:r>
      <w:r w:rsidRPr="00A11FE0">
        <w:rPr>
          <w:rStyle w:val="Odkaznapoznmkupodiarou"/>
          <w:rFonts w:asciiTheme="majorHAnsi" w:hAnsiTheme="majorHAnsi"/>
        </w:rPr>
        <w:footnoteReference w:id="79"/>
      </w:r>
      <w:r w:rsidRPr="00A11FE0">
        <w:rPr>
          <w:rFonts w:asciiTheme="majorHAnsi" w:hAnsiTheme="majorHAnsi"/>
        </w:rPr>
        <w:t>.</w:t>
      </w:r>
      <w:r w:rsidR="00055058" w:rsidRPr="00A11FE0">
        <w:rPr>
          <w:rFonts w:asciiTheme="majorHAnsi" w:hAnsiTheme="majorHAnsi"/>
        </w:rPr>
        <w:t xml:space="preserve"> Jedným z dôvodov je tlak obchodov</w:t>
      </w:r>
      <w:r w:rsidR="00F82810">
        <w:rPr>
          <w:rFonts w:asciiTheme="majorHAnsi" w:hAnsiTheme="majorHAnsi"/>
        </w:rPr>
        <w:t xml:space="preserve"> </w:t>
      </w:r>
      <w:r w:rsidR="00055058" w:rsidRPr="00A11FE0">
        <w:rPr>
          <w:rFonts w:asciiTheme="majorHAnsi" w:hAnsiTheme="majorHAnsi"/>
        </w:rPr>
        <w:t xml:space="preserve">na znižovanie cien </w:t>
      </w:r>
      <w:r w:rsidR="00BD5FD5">
        <w:rPr>
          <w:rFonts w:asciiTheme="majorHAnsi" w:hAnsiTheme="majorHAnsi"/>
        </w:rPr>
        <w:t>s</w:t>
      </w:r>
      <w:r w:rsidR="00055058" w:rsidRPr="00A11FE0">
        <w:rPr>
          <w:rFonts w:asciiTheme="majorHAnsi" w:hAnsiTheme="majorHAnsi"/>
        </w:rPr>
        <w:t xml:space="preserve">pracovateľov </w:t>
      </w:r>
      <w:r w:rsidR="00BD5FD5">
        <w:rPr>
          <w:rFonts w:asciiTheme="majorHAnsi" w:hAnsiTheme="majorHAnsi"/>
        </w:rPr>
        <w:t>a </w:t>
      </w:r>
      <w:r w:rsidR="00055058" w:rsidRPr="00A11FE0">
        <w:rPr>
          <w:rFonts w:asciiTheme="majorHAnsi" w:hAnsiTheme="majorHAnsi"/>
        </w:rPr>
        <w:t xml:space="preserve">zvyšovanie dovozu </w:t>
      </w:r>
      <w:r w:rsidR="00BD5FD5">
        <w:rPr>
          <w:rFonts w:asciiTheme="majorHAnsi" w:hAnsiTheme="majorHAnsi"/>
        </w:rPr>
        <w:t>k</w:t>
      </w:r>
      <w:r w:rsidR="00055058" w:rsidRPr="00A11FE0">
        <w:rPr>
          <w:rFonts w:asciiTheme="majorHAnsi" w:hAnsiTheme="majorHAnsi"/>
        </w:rPr>
        <w:t xml:space="preserve">onkurenčných potravín. Zvyšuje </w:t>
      </w:r>
      <w:r w:rsidR="00BD5FD5">
        <w:rPr>
          <w:rFonts w:asciiTheme="majorHAnsi" w:hAnsiTheme="majorHAnsi"/>
        </w:rPr>
        <w:t>s</w:t>
      </w:r>
      <w:r w:rsidR="00055058" w:rsidRPr="00A11FE0">
        <w:rPr>
          <w:rFonts w:asciiTheme="majorHAnsi" w:hAnsiTheme="majorHAnsi"/>
        </w:rPr>
        <w:t xml:space="preserve">a podiel nahraditeľných </w:t>
      </w:r>
      <w:r w:rsidR="00BD5FD5">
        <w:rPr>
          <w:rFonts w:asciiTheme="majorHAnsi" w:hAnsiTheme="majorHAnsi"/>
        </w:rPr>
        <w:t>k</w:t>
      </w:r>
      <w:r w:rsidR="00055058" w:rsidRPr="00A11FE0">
        <w:rPr>
          <w:rFonts w:asciiTheme="majorHAnsi" w:hAnsiTheme="majorHAnsi"/>
        </w:rPr>
        <w:t xml:space="preserve">omodít na celkovom </w:t>
      </w:r>
      <w:r w:rsidR="00BD5FD5">
        <w:rPr>
          <w:rFonts w:asciiTheme="majorHAnsi" w:hAnsiTheme="majorHAnsi"/>
        </w:rPr>
        <w:t>a</w:t>
      </w:r>
      <w:r w:rsidR="00055058" w:rsidRPr="00A11FE0">
        <w:rPr>
          <w:rFonts w:asciiTheme="majorHAnsi" w:hAnsiTheme="majorHAnsi"/>
        </w:rPr>
        <w:t>gropotravinárskom dovoze</w:t>
      </w:r>
      <w:r w:rsidR="00CF2D26" w:rsidRPr="00A11FE0">
        <w:rPr>
          <w:rFonts w:asciiTheme="majorHAnsi" w:hAnsiTheme="majorHAnsi"/>
        </w:rPr>
        <w:t>. V</w:t>
      </w:r>
      <w:r w:rsidR="00EF1CCF">
        <w:rPr>
          <w:rFonts w:asciiTheme="majorHAnsi" w:hAnsiTheme="majorHAnsi"/>
        </w:rPr>
        <w:t> </w:t>
      </w:r>
      <w:r w:rsidR="00055058" w:rsidRPr="00A11FE0">
        <w:rPr>
          <w:rFonts w:asciiTheme="majorHAnsi" w:hAnsiTheme="majorHAnsi"/>
        </w:rPr>
        <w:t>roku</w:t>
      </w:r>
      <w:r w:rsidR="00EF1CCF">
        <w:rPr>
          <w:rFonts w:asciiTheme="majorHAnsi" w:hAnsiTheme="majorHAnsi"/>
        </w:rPr>
        <w:t xml:space="preserve"> </w:t>
      </w:r>
      <w:r w:rsidR="00055058" w:rsidRPr="00A11FE0">
        <w:rPr>
          <w:rFonts w:asciiTheme="majorHAnsi" w:hAnsiTheme="majorHAnsi"/>
        </w:rPr>
        <w:t xml:space="preserve">2010 </w:t>
      </w:r>
      <w:r w:rsidR="00BD5FD5">
        <w:rPr>
          <w:rFonts w:asciiTheme="majorHAnsi" w:hAnsiTheme="majorHAnsi"/>
        </w:rPr>
        <w:t>s</w:t>
      </w:r>
      <w:r w:rsidR="00055058" w:rsidRPr="00A11FE0">
        <w:rPr>
          <w:rFonts w:asciiTheme="majorHAnsi" w:hAnsiTheme="majorHAnsi"/>
        </w:rPr>
        <w:t xml:space="preserve">a vynaložilo 51,6 % z rozpočtu domácností na produkty z dovozu, </w:t>
      </w:r>
      <w:r w:rsidR="00BD5FD5">
        <w:rPr>
          <w:rFonts w:asciiTheme="majorHAnsi" w:hAnsiTheme="majorHAnsi"/>
        </w:rPr>
        <w:t>k</w:t>
      </w:r>
      <w:r w:rsidR="00055058" w:rsidRPr="00A11FE0">
        <w:rPr>
          <w:rFonts w:asciiTheme="majorHAnsi" w:hAnsiTheme="majorHAnsi"/>
        </w:rPr>
        <w:t>toré je možné vyrobiť v </w:t>
      </w:r>
      <w:r w:rsidR="00BD5FD5">
        <w:rPr>
          <w:rFonts w:asciiTheme="majorHAnsi" w:hAnsiTheme="majorHAnsi"/>
        </w:rPr>
        <w:t>S</w:t>
      </w:r>
      <w:r w:rsidR="00055058" w:rsidRPr="00A11FE0">
        <w:rPr>
          <w:rFonts w:asciiTheme="majorHAnsi" w:hAnsiTheme="majorHAnsi"/>
        </w:rPr>
        <w:t>R.</w:t>
      </w:r>
    </w:p>
    <w:p w:rsidR="00B61C19" w:rsidRPr="00A11FE0" w:rsidRDefault="00B61C19" w:rsidP="005D69F0">
      <w:pPr>
        <w:pStyle w:val="Nadpis5"/>
        <w:numPr>
          <w:ilvl w:val="4"/>
          <w:numId w:val="2"/>
        </w:numPr>
        <w:ind w:left="1292"/>
      </w:pPr>
      <w:r w:rsidRPr="00A11FE0">
        <w:t xml:space="preserve">Nízka </w:t>
      </w:r>
      <w:r w:rsidR="00BD5FD5">
        <w:t>k</w:t>
      </w:r>
      <w:r w:rsidRPr="00A11FE0">
        <w:t xml:space="preserve">onkurencieschopnosť </w:t>
      </w:r>
      <w:r w:rsidR="00BD5FD5">
        <w:t>s</w:t>
      </w:r>
      <w:r w:rsidR="007F656B" w:rsidRPr="00A11FE0">
        <w:t>ektora</w:t>
      </w:r>
      <w:r w:rsidR="00B43C25">
        <w:t xml:space="preserve"> akvakultúry a spracovania rýb</w:t>
      </w:r>
    </w:p>
    <w:p w:rsidR="0025196C" w:rsidRPr="00A11FE0" w:rsidRDefault="00B61C19" w:rsidP="00B61C19">
      <w:pPr>
        <w:rPr>
          <w:rFonts w:asciiTheme="majorHAnsi" w:hAnsiTheme="majorHAnsi"/>
        </w:rPr>
      </w:pPr>
      <w:r w:rsidRPr="00A11FE0">
        <w:rPr>
          <w:rFonts w:asciiTheme="majorHAnsi" w:hAnsiTheme="majorHAnsi"/>
        </w:rPr>
        <w:t>V </w:t>
      </w:r>
      <w:r w:rsidR="00BD5FD5">
        <w:rPr>
          <w:rFonts w:asciiTheme="majorHAnsi" w:hAnsiTheme="majorHAnsi"/>
        </w:rPr>
        <w:t>S</w:t>
      </w:r>
      <w:r w:rsidRPr="00A11FE0">
        <w:rPr>
          <w:rFonts w:asciiTheme="majorHAnsi" w:hAnsiTheme="majorHAnsi"/>
        </w:rPr>
        <w:t xml:space="preserve">R má väčšina </w:t>
      </w:r>
      <w:r w:rsidR="002A3A1E" w:rsidRPr="00A11FE0">
        <w:rPr>
          <w:rFonts w:asciiTheme="majorHAnsi" w:hAnsiTheme="majorHAnsi"/>
        </w:rPr>
        <w:t xml:space="preserve">z 81 zaregistrovaných </w:t>
      </w:r>
      <w:r w:rsidR="00BD5FD5">
        <w:rPr>
          <w:rFonts w:asciiTheme="majorHAnsi" w:hAnsiTheme="majorHAnsi"/>
        </w:rPr>
        <w:t>s</w:t>
      </w:r>
      <w:r w:rsidR="002A3A1E" w:rsidRPr="00A11FE0">
        <w:rPr>
          <w:rFonts w:asciiTheme="majorHAnsi" w:hAnsiTheme="majorHAnsi"/>
        </w:rPr>
        <w:t xml:space="preserve">ubjektov zaoberajúcich </w:t>
      </w:r>
      <w:r w:rsidR="00BD5FD5">
        <w:rPr>
          <w:rFonts w:asciiTheme="majorHAnsi" w:hAnsiTheme="majorHAnsi"/>
        </w:rPr>
        <w:t>s</w:t>
      </w:r>
      <w:r w:rsidR="002A3A1E" w:rsidRPr="00A11FE0">
        <w:rPr>
          <w:rFonts w:asciiTheme="majorHAnsi" w:hAnsiTheme="majorHAnsi"/>
        </w:rPr>
        <w:t>a hospodárskym chovom rýb charakter MSP</w:t>
      </w:r>
      <w:r w:rsidR="004B5CC1">
        <w:rPr>
          <w:rFonts w:asciiTheme="majorHAnsi" w:hAnsiTheme="majorHAnsi"/>
        </w:rPr>
        <w:t>,</w:t>
      </w:r>
      <w:r w:rsidR="00CF2D26" w:rsidRPr="00A11FE0">
        <w:rPr>
          <w:rFonts w:asciiTheme="majorHAnsi" w:hAnsiTheme="majorHAnsi"/>
        </w:rPr>
        <w:t xml:space="preserve"> </w:t>
      </w:r>
      <w:r w:rsidR="00BD5FD5">
        <w:rPr>
          <w:rFonts w:asciiTheme="majorHAnsi" w:hAnsiTheme="majorHAnsi"/>
        </w:rPr>
        <w:t>s</w:t>
      </w:r>
      <w:r w:rsidR="002A3A1E" w:rsidRPr="00A11FE0">
        <w:rPr>
          <w:rFonts w:asciiTheme="majorHAnsi" w:hAnsiTheme="majorHAnsi"/>
        </w:rPr>
        <w:t xml:space="preserve">o zameraním na produkciu trhových rýb (najmä </w:t>
      </w:r>
      <w:r w:rsidR="00BD5FD5">
        <w:rPr>
          <w:rFonts w:asciiTheme="majorHAnsi" w:hAnsiTheme="majorHAnsi"/>
        </w:rPr>
        <w:t>k</w:t>
      </w:r>
      <w:r w:rsidR="002A3A1E" w:rsidRPr="00A11FE0">
        <w:rPr>
          <w:rFonts w:asciiTheme="majorHAnsi" w:hAnsiTheme="majorHAnsi"/>
        </w:rPr>
        <w:t xml:space="preserve">apra </w:t>
      </w:r>
      <w:r w:rsidR="00BD5FD5">
        <w:rPr>
          <w:rFonts w:asciiTheme="majorHAnsi" w:hAnsiTheme="majorHAnsi"/>
        </w:rPr>
        <w:t>a </w:t>
      </w:r>
      <w:r w:rsidR="002A3A1E" w:rsidRPr="00A11FE0">
        <w:rPr>
          <w:rFonts w:asciiTheme="majorHAnsi" w:hAnsiTheme="majorHAnsi"/>
        </w:rPr>
        <w:t xml:space="preserve">pstruha), </w:t>
      </w:r>
      <w:r w:rsidR="00BD5FD5">
        <w:rPr>
          <w:rFonts w:asciiTheme="majorHAnsi" w:hAnsiTheme="majorHAnsi"/>
        </w:rPr>
        <w:t>k</w:t>
      </w:r>
      <w:r w:rsidR="002A3A1E" w:rsidRPr="00A11FE0">
        <w:rPr>
          <w:rFonts w:asciiTheme="majorHAnsi" w:hAnsiTheme="majorHAnsi"/>
        </w:rPr>
        <w:t xml:space="preserve">torá je závislá od </w:t>
      </w:r>
      <w:r w:rsidR="00BD5FD5">
        <w:rPr>
          <w:rFonts w:asciiTheme="majorHAnsi" w:hAnsiTheme="majorHAnsi"/>
        </w:rPr>
        <w:t>s</w:t>
      </w:r>
      <w:r w:rsidR="002A3A1E" w:rsidRPr="00A11FE0">
        <w:rPr>
          <w:rFonts w:asciiTheme="majorHAnsi" w:hAnsiTheme="majorHAnsi"/>
        </w:rPr>
        <w:t xml:space="preserve">ezónneho dopytu. </w:t>
      </w:r>
      <w:r w:rsidR="00BD5FD5">
        <w:rPr>
          <w:rFonts w:asciiTheme="majorHAnsi" w:hAnsiTheme="majorHAnsi"/>
        </w:rPr>
        <w:t>S</w:t>
      </w:r>
      <w:r w:rsidR="002A3A1E" w:rsidRPr="00A11FE0">
        <w:rPr>
          <w:rFonts w:asciiTheme="majorHAnsi" w:hAnsiTheme="majorHAnsi"/>
        </w:rPr>
        <w:t xml:space="preserve">účasné </w:t>
      </w:r>
      <w:r w:rsidR="00BD5FD5">
        <w:rPr>
          <w:rFonts w:asciiTheme="majorHAnsi" w:hAnsiTheme="majorHAnsi"/>
        </w:rPr>
        <w:t>s</w:t>
      </w:r>
      <w:r w:rsidR="002A3A1E" w:rsidRPr="00A11FE0">
        <w:rPr>
          <w:rFonts w:asciiTheme="majorHAnsi" w:hAnsiTheme="majorHAnsi"/>
        </w:rPr>
        <w:t xml:space="preserve">pracovateľské </w:t>
      </w:r>
      <w:r w:rsidR="00BD5FD5">
        <w:rPr>
          <w:rFonts w:asciiTheme="majorHAnsi" w:hAnsiTheme="majorHAnsi"/>
        </w:rPr>
        <w:t>k</w:t>
      </w:r>
      <w:r w:rsidR="002A3A1E" w:rsidRPr="00A11FE0">
        <w:rPr>
          <w:rFonts w:asciiTheme="majorHAnsi" w:hAnsiTheme="majorHAnsi"/>
        </w:rPr>
        <w:t xml:space="preserve">apacity produktov rybolovu </w:t>
      </w:r>
      <w:r w:rsidR="00BD5FD5">
        <w:rPr>
          <w:rFonts w:asciiTheme="majorHAnsi" w:hAnsiTheme="majorHAnsi"/>
        </w:rPr>
        <w:t>a ak</w:t>
      </w:r>
      <w:r w:rsidR="002A3A1E" w:rsidRPr="00A11FE0">
        <w:rPr>
          <w:rFonts w:asciiTheme="majorHAnsi" w:hAnsiTheme="majorHAnsi"/>
        </w:rPr>
        <w:t xml:space="preserve">vakultúry </w:t>
      </w:r>
      <w:r w:rsidR="00BD5FD5">
        <w:rPr>
          <w:rFonts w:asciiTheme="majorHAnsi" w:hAnsiTheme="majorHAnsi"/>
        </w:rPr>
        <w:t>s</w:t>
      </w:r>
      <w:r w:rsidR="002A3A1E" w:rsidRPr="00A11FE0">
        <w:rPr>
          <w:rFonts w:asciiTheme="majorHAnsi" w:hAnsiTheme="majorHAnsi"/>
        </w:rPr>
        <w:t xml:space="preserve">ú pre potreby </w:t>
      </w:r>
      <w:r w:rsidR="00BD5FD5">
        <w:rPr>
          <w:rFonts w:asciiTheme="majorHAnsi" w:hAnsiTheme="majorHAnsi"/>
        </w:rPr>
        <w:t>S</w:t>
      </w:r>
      <w:r w:rsidR="00967DB1" w:rsidRPr="00A11FE0">
        <w:rPr>
          <w:rFonts w:asciiTheme="majorHAnsi" w:hAnsiTheme="majorHAnsi"/>
        </w:rPr>
        <w:t>R</w:t>
      </w:r>
      <w:r w:rsidR="00CF2D26" w:rsidRPr="00A11FE0">
        <w:rPr>
          <w:rFonts w:asciiTheme="majorHAnsi" w:hAnsiTheme="majorHAnsi"/>
        </w:rPr>
        <w:t>,</w:t>
      </w:r>
      <w:r w:rsidR="00967DB1" w:rsidRPr="00A11FE0">
        <w:rPr>
          <w:rFonts w:asciiTheme="majorHAnsi" w:hAnsiTheme="majorHAnsi"/>
        </w:rPr>
        <w:t xml:space="preserve"> </w:t>
      </w:r>
      <w:r w:rsidR="00BD5FD5">
        <w:rPr>
          <w:rFonts w:asciiTheme="majorHAnsi" w:hAnsiTheme="majorHAnsi"/>
        </w:rPr>
        <w:t>s </w:t>
      </w:r>
      <w:r w:rsidR="002A3A1E" w:rsidRPr="00A11FE0">
        <w:rPr>
          <w:rFonts w:asciiTheme="majorHAnsi" w:hAnsiTheme="majorHAnsi"/>
        </w:rPr>
        <w:t xml:space="preserve">ohľadom na množstvo vyprodukovaných rýb </w:t>
      </w:r>
      <w:r w:rsidR="00BD5FD5">
        <w:rPr>
          <w:rFonts w:asciiTheme="majorHAnsi" w:hAnsiTheme="majorHAnsi"/>
        </w:rPr>
        <w:t>a </w:t>
      </w:r>
      <w:r w:rsidR="002A3A1E" w:rsidRPr="00A11FE0">
        <w:rPr>
          <w:rFonts w:asciiTheme="majorHAnsi" w:hAnsiTheme="majorHAnsi"/>
        </w:rPr>
        <w:t xml:space="preserve">na </w:t>
      </w:r>
      <w:r w:rsidR="00BD5FD5">
        <w:rPr>
          <w:rFonts w:asciiTheme="majorHAnsi" w:hAnsiTheme="majorHAnsi"/>
        </w:rPr>
        <w:t>s</w:t>
      </w:r>
      <w:r w:rsidR="002A3A1E" w:rsidRPr="00A11FE0">
        <w:rPr>
          <w:rFonts w:asciiTheme="majorHAnsi" w:hAnsiTheme="majorHAnsi"/>
        </w:rPr>
        <w:t>potrebu</w:t>
      </w:r>
      <w:r w:rsidR="00CF2D26" w:rsidRPr="00A11FE0">
        <w:rPr>
          <w:rFonts w:asciiTheme="majorHAnsi" w:hAnsiTheme="majorHAnsi"/>
        </w:rPr>
        <w:t xml:space="preserve"> </w:t>
      </w:r>
      <w:r w:rsidR="002A3A1E" w:rsidRPr="00A11FE0">
        <w:rPr>
          <w:rFonts w:asciiTheme="majorHAnsi" w:hAnsiTheme="majorHAnsi"/>
        </w:rPr>
        <w:t xml:space="preserve">postačujúce. </w:t>
      </w:r>
      <w:r w:rsidR="002077F6" w:rsidRPr="00A11FE0">
        <w:rPr>
          <w:rFonts w:asciiTheme="majorHAnsi" w:hAnsiTheme="majorHAnsi"/>
        </w:rPr>
        <w:t xml:space="preserve">Miera využiteľnosti </w:t>
      </w:r>
      <w:r w:rsidR="00BD5FD5">
        <w:rPr>
          <w:rFonts w:asciiTheme="majorHAnsi" w:hAnsiTheme="majorHAnsi"/>
        </w:rPr>
        <w:t>s</w:t>
      </w:r>
      <w:r w:rsidR="002077F6" w:rsidRPr="00A11FE0">
        <w:rPr>
          <w:rFonts w:asciiTheme="majorHAnsi" w:hAnsiTheme="majorHAnsi"/>
        </w:rPr>
        <w:t xml:space="preserve">pracovateľských </w:t>
      </w:r>
      <w:r w:rsidR="00BD5FD5">
        <w:rPr>
          <w:rFonts w:asciiTheme="majorHAnsi" w:hAnsiTheme="majorHAnsi"/>
        </w:rPr>
        <w:t>k</w:t>
      </w:r>
      <w:r w:rsidR="002077F6" w:rsidRPr="00A11FE0">
        <w:rPr>
          <w:rFonts w:asciiTheme="majorHAnsi" w:hAnsiTheme="majorHAnsi"/>
        </w:rPr>
        <w:t xml:space="preserve">apacít </w:t>
      </w:r>
      <w:r w:rsidR="00967DB1" w:rsidRPr="00A11FE0">
        <w:rPr>
          <w:rFonts w:asciiTheme="majorHAnsi" w:hAnsiTheme="majorHAnsi"/>
        </w:rPr>
        <w:t>v</w:t>
      </w:r>
      <w:r w:rsidR="00554530">
        <w:rPr>
          <w:rFonts w:asciiTheme="majorHAnsi" w:hAnsiTheme="majorHAnsi"/>
        </w:rPr>
        <w:t> </w:t>
      </w:r>
      <w:r w:rsidR="00BD5FD5">
        <w:rPr>
          <w:rFonts w:asciiTheme="majorHAnsi" w:hAnsiTheme="majorHAnsi"/>
        </w:rPr>
        <w:t>S</w:t>
      </w:r>
      <w:r w:rsidR="00967DB1" w:rsidRPr="00A11FE0">
        <w:rPr>
          <w:rFonts w:asciiTheme="majorHAnsi" w:hAnsiTheme="majorHAnsi"/>
        </w:rPr>
        <w:t>R</w:t>
      </w:r>
      <w:r w:rsidR="00554530">
        <w:rPr>
          <w:rFonts w:asciiTheme="majorHAnsi" w:hAnsiTheme="majorHAnsi"/>
        </w:rPr>
        <w:t xml:space="preserve"> </w:t>
      </w:r>
      <w:r w:rsidR="00610F00" w:rsidRPr="00A11FE0">
        <w:rPr>
          <w:rFonts w:asciiTheme="majorHAnsi" w:hAnsiTheme="majorHAnsi"/>
        </w:rPr>
        <w:t xml:space="preserve">v roku 2011 </w:t>
      </w:r>
      <w:r w:rsidR="002077F6" w:rsidRPr="00A11FE0">
        <w:rPr>
          <w:rFonts w:asciiTheme="majorHAnsi" w:hAnsiTheme="majorHAnsi"/>
        </w:rPr>
        <w:t>predstavovala 30</w:t>
      </w:r>
      <w:r w:rsidR="00396F6E" w:rsidRPr="00A11FE0">
        <w:rPr>
          <w:rFonts w:asciiTheme="majorHAnsi" w:hAnsiTheme="majorHAnsi"/>
        </w:rPr>
        <w:t xml:space="preserve"> </w:t>
      </w:r>
      <w:r w:rsidR="002077F6" w:rsidRPr="00A11FE0">
        <w:rPr>
          <w:rFonts w:asciiTheme="majorHAnsi" w:hAnsiTheme="majorHAnsi"/>
        </w:rPr>
        <w:t xml:space="preserve">% v oblasti </w:t>
      </w:r>
      <w:r w:rsidR="00BD5FD5">
        <w:rPr>
          <w:rFonts w:asciiTheme="majorHAnsi" w:hAnsiTheme="majorHAnsi"/>
        </w:rPr>
        <w:t>s</w:t>
      </w:r>
      <w:r w:rsidR="002077F6" w:rsidRPr="00A11FE0">
        <w:rPr>
          <w:rFonts w:asciiTheme="majorHAnsi" w:hAnsiTheme="majorHAnsi"/>
        </w:rPr>
        <w:t xml:space="preserve">pracovania </w:t>
      </w:r>
      <w:r w:rsidR="00BD5FD5">
        <w:rPr>
          <w:rFonts w:asciiTheme="majorHAnsi" w:hAnsiTheme="majorHAnsi"/>
        </w:rPr>
        <w:t>s</w:t>
      </w:r>
      <w:r w:rsidR="002077F6" w:rsidRPr="00A11FE0">
        <w:rPr>
          <w:rFonts w:asciiTheme="majorHAnsi" w:hAnsiTheme="majorHAnsi"/>
        </w:rPr>
        <w:t xml:space="preserve">ladkovodných rýb </w:t>
      </w:r>
      <w:r w:rsidR="00BD5FD5">
        <w:rPr>
          <w:rFonts w:asciiTheme="majorHAnsi" w:hAnsiTheme="majorHAnsi"/>
        </w:rPr>
        <w:t>a </w:t>
      </w:r>
      <w:r w:rsidR="002077F6" w:rsidRPr="00A11FE0">
        <w:rPr>
          <w:rFonts w:asciiTheme="majorHAnsi" w:hAnsiTheme="majorHAnsi"/>
        </w:rPr>
        <w:t>21</w:t>
      </w:r>
      <w:r w:rsidR="006F39EB" w:rsidRPr="00A11FE0">
        <w:rPr>
          <w:rFonts w:asciiTheme="majorHAnsi" w:hAnsiTheme="majorHAnsi"/>
        </w:rPr>
        <w:t> </w:t>
      </w:r>
      <w:r w:rsidR="002077F6" w:rsidRPr="00A11FE0">
        <w:rPr>
          <w:rFonts w:asciiTheme="majorHAnsi" w:hAnsiTheme="majorHAnsi"/>
        </w:rPr>
        <w:t>% v </w:t>
      </w:r>
      <w:r w:rsidR="00BD5FD5">
        <w:rPr>
          <w:rFonts w:asciiTheme="majorHAnsi" w:hAnsiTheme="majorHAnsi"/>
        </w:rPr>
        <w:t>s</w:t>
      </w:r>
      <w:r w:rsidR="002077F6" w:rsidRPr="00A11FE0">
        <w:rPr>
          <w:rFonts w:asciiTheme="majorHAnsi" w:hAnsiTheme="majorHAnsi"/>
        </w:rPr>
        <w:t>pracovaní morských rýb</w:t>
      </w:r>
      <w:r w:rsidR="002A3A1E" w:rsidRPr="00A11FE0">
        <w:rPr>
          <w:rStyle w:val="Odkaznapoznmkupodiarou"/>
          <w:rFonts w:asciiTheme="majorHAnsi" w:hAnsiTheme="majorHAnsi"/>
        </w:rPr>
        <w:footnoteReference w:id="80"/>
      </w:r>
      <w:r w:rsidR="002A3A1E" w:rsidRPr="00A11FE0">
        <w:rPr>
          <w:rFonts w:asciiTheme="majorHAnsi" w:hAnsiTheme="majorHAnsi"/>
        </w:rPr>
        <w:t xml:space="preserve">. Medzi bariéry </w:t>
      </w:r>
      <w:r w:rsidR="00A16587" w:rsidRPr="00A11FE0">
        <w:rPr>
          <w:rFonts w:asciiTheme="majorHAnsi" w:hAnsiTheme="majorHAnsi"/>
        </w:rPr>
        <w:t xml:space="preserve">potenciálu rastu </w:t>
      </w:r>
      <w:r w:rsidR="00BD5FD5">
        <w:rPr>
          <w:rFonts w:asciiTheme="majorHAnsi" w:hAnsiTheme="majorHAnsi"/>
        </w:rPr>
        <w:t>s</w:t>
      </w:r>
      <w:r w:rsidR="007F3341" w:rsidRPr="00A11FE0">
        <w:rPr>
          <w:rFonts w:asciiTheme="majorHAnsi" w:hAnsiTheme="majorHAnsi"/>
        </w:rPr>
        <w:t>ektora rybárstva</w:t>
      </w:r>
      <w:r w:rsidR="00A16587" w:rsidRPr="00A11FE0">
        <w:rPr>
          <w:rFonts w:asciiTheme="majorHAnsi" w:hAnsiTheme="majorHAnsi"/>
        </w:rPr>
        <w:t xml:space="preserve"> </w:t>
      </w:r>
      <w:r w:rsidR="002A3A1E" w:rsidRPr="00A11FE0">
        <w:rPr>
          <w:rFonts w:asciiTheme="majorHAnsi" w:hAnsiTheme="majorHAnsi"/>
        </w:rPr>
        <w:t xml:space="preserve">patrí zlý technický </w:t>
      </w:r>
      <w:r w:rsidR="00BD5FD5">
        <w:rPr>
          <w:rFonts w:asciiTheme="majorHAnsi" w:hAnsiTheme="majorHAnsi"/>
        </w:rPr>
        <w:t>s</w:t>
      </w:r>
      <w:r w:rsidR="002A3A1E" w:rsidRPr="00A11FE0">
        <w:rPr>
          <w:rFonts w:asciiTheme="majorHAnsi" w:hAnsiTheme="majorHAnsi"/>
        </w:rPr>
        <w:t xml:space="preserve">tav rybochovných zariadení </w:t>
      </w:r>
      <w:r w:rsidR="00BD5FD5">
        <w:rPr>
          <w:rFonts w:asciiTheme="majorHAnsi" w:hAnsiTheme="majorHAnsi"/>
        </w:rPr>
        <w:t>s </w:t>
      </w:r>
      <w:r w:rsidR="002A3A1E" w:rsidRPr="00A11FE0">
        <w:rPr>
          <w:rFonts w:asciiTheme="majorHAnsi" w:hAnsiTheme="majorHAnsi"/>
        </w:rPr>
        <w:t xml:space="preserve">vysokým obsahom </w:t>
      </w:r>
      <w:r w:rsidR="00BD5FD5">
        <w:rPr>
          <w:rFonts w:asciiTheme="majorHAnsi" w:hAnsiTheme="majorHAnsi"/>
        </w:rPr>
        <w:t>s</w:t>
      </w:r>
      <w:r w:rsidR="002A3A1E" w:rsidRPr="00A11FE0">
        <w:rPr>
          <w:rFonts w:asciiTheme="majorHAnsi" w:hAnsiTheme="majorHAnsi"/>
        </w:rPr>
        <w:t xml:space="preserve">edimentov, nízka ekonomická návratnosť investícií, nízka úroveň inovácií, úzky </w:t>
      </w:r>
      <w:r w:rsidR="00BD5FD5">
        <w:rPr>
          <w:rFonts w:asciiTheme="majorHAnsi" w:hAnsiTheme="majorHAnsi"/>
        </w:rPr>
        <w:t>s</w:t>
      </w:r>
      <w:r w:rsidR="002A3A1E" w:rsidRPr="00A11FE0">
        <w:rPr>
          <w:rFonts w:asciiTheme="majorHAnsi" w:hAnsiTheme="majorHAnsi"/>
        </w:rPr>
        <w:t xml:space="preserve">ortiment výrobkov </w:t>
      </w:r>
      <w:r w:rsidR="00BD5FD5">
        <w:rPr>
          <w:rFonts w:asciiTheme="majorHAnsi" w:hAnsiTheme="majorHAnsi"/>
        </w:rPr>
        <w:t>a </w:t>
      </w:r>
      <w:r w:rsidR="002077F6" w:rsidRPr="00A11FE0">
        <w:rPr>
          <w:rFonts w:asciiTheme="majorHAnsi" w:hAnsiTheme="majorHAnsi"/>
        </w:rPr>
        <w:t xml:space="preserve">nízka </w:t>
      </w:r>
      <w:r w:rsidR="00BD5FD5">
        <w:rPr>
          <w:rFonts w:asciiTheme="majorHAnsi" w:hAnsiTheme="majorHAnsi"/>
        </w:rPr>
        <w:t>s</w:t>
      </w:r>
      <w:r w:rsidR="002077F6" w:rsidRPr="00A11FE0">
        <w:rPr>
          <w:rFonts w:asciiTheme="majorHAnsi" w:hAnsiTheme="majorHAnsi"/>
        </w:rPr>
        <w:t xml:space="preserve">potreba rýb na jedného obyvateľa </w:t>
      </w:r>
      <w:r w:rsidR="007236F2" w:rsidRPr="00A11FE0">
        <w:rPr>
          <w:rFonts w:asciiTheme="majorHAnsi" w:hAnsiTheme="majorHAnsi"/>
        </w:rPr>
        <w:t>v</w:t>
      </w:r>
      <w:r w:rsidR="00EF1CCF">
        <w:rPr>
          <w:rFonts w:asciiTheme="majorHAnsi" w:hAnsiTheme="majorHAnsi"/>
        </w:rPr>
        <w:t> </w:t>
      </w:r>
      <w:r w:rsidR="00BD5FD5">
        <w:rPr>
          <w:rFonts w:asciiTheme="majorHAnsi" w:hAnsiTheme="majorHAnsi"/>
        </w:rPr>
        <w:t>S</w:t>
      </w:r>
      <w:r w:rsidR="007236F2" w:rsidRPr="00A11FE0">
        <w:rPr>
          <w:rFonts w:asciiTheme="majorHAnsi" w:hAnsiTheme="majorHAnsi"/>
        </w:rPr>
        <w:t>R</w:t>
      </w:r>
      <w:r w:rsidR="002077F6" w:rsidRPr="00A11FE0">
        <w:rPr>
          <w:rStyle w:val="Odkaznapoznmkupodiarou"/>
          <w:rFonts w:asciiTheme="majorHAnsi" w:hAnsiTheme="majorHAnsi"/>
        </w:rPr>
        <w:footnoteReference w:id="81"/>
      </w:r>
      <w:r w:rsidR="00A16587" w:rsidRPr="00A11FE0">
        <w:rPr>
          <w:rFonts w:asciiTheme="majorHAnsi" w:hAnsiTheme="majorHAnsi"/>
        </w:rPr>
        <w:t xml:space="preserve">. Hlavnou výzvou pre </w:t>
      </w:r>
      <w:r w:rsidR="00BD5FD5">
        <w:rPr>
          <w:rFonts w:asciiTheme="majorHAnsi" w:hAnsiTheme="majorHAnsi"/>
        </w:rPr>
        <w:t>s</w:t>
      </w:r>
      <w:r w:rsidR="002C65DC" w:rsidRPr="00A11FE0">
        <w:rPr>
          <w:rFonts w:asciiTheme="majorHAnsi" w:hAnsiTheme="majorHAnsi"/>
        </w:rPr>
        <w:t xml:space="preserve">ektor </w:t>
      </w:r>
      <w:r w:rsidR="00A16587" w:rsidRPr="00A11FE0">
        <w:rPr>
          <w:rFonts w:asciiTheme="majorHAnsi" w:hAnsiTheme="majorHAnsi"/>
        </w:rPr>
        <w:t>ryb</w:t>
      </w:r>
      <w:r w:rsidR="002C65DC" w:rsidRPr="00A11FE0">
        <w:rPr>
          <w:rFonts w:asciiTheme="majorHAnsi" w:hAnsiTheme="majorHAnsi"/>
        </w:rPr>
        <w:t>árstva</w:t>
      </w:r>
      <w:r w:rsidR="00A16587" w:rsidRPr="00A11FE0">
        <w:rPr>
          <w:rFonts w:asciiTheme="majorHAnsi" w:hAnsiTheme="majorHAnsi"/>
        </w:rPr>
        <w:t xml:space="preserve"> </w:t>
      </w:r>
      <w:r w:rsidR="00BD5FD5">
        <w:rPr>
          <w:rFonts w:asciiTheme="majorHAnsi" w:hAnsiTheme="majorHAnsi"/>
        </w:rPr>
        <w:t>S</w:t>
      </w:r>
      <w:r w:rsidR="00A16587" w:rsidRPr="00A11FE0">
        <w:rPr>
          <w:rFonts w:asciiTheme="majorHAnsi" w:hAnsiTheme="majorHAnsi"/>
        </w:rPr>
        <w:t xml:space="preserve">R je pokrytie celého dodávateľského reťazca inovatívnymi produktmi </w:t>
      </w:r>
      <w:r w:rsidR="00BD5FD5">
        <w:rPr>
          <w:rFonts w:asciiTheme="majorHAnsi" w:hAnsiTheme="majorHAnsi"/>
        </w:rPr>
        <w:t>a </w:t>
      </w:r>
      <w:r w:rsidR="00A16587" w:rsidRPr="00A11FE0">
        <w:rPr>
          <w:rFonts w:asciiTheme="majorHAnsi" w:hAnsiTheme="majorHAnsi"/>
        </w:rPr>
        <w:t xml:space="preserve">výrobnými procesmi priaznivými </w:t>
      </w:r>
      <w:r w:rsidR="00BD5FD5">
        <w:rPr>
          <w:rFonts w:asciiTheme="majorHAnsi" w:hAnsiTheme="majorHAnsi"/>
        </w:rPr>
        <w:t>k </w:t>
      </w:r>
      <w:r w:rsidR="00A16587" w:rsidRPr="00A11FE0">
        <w:rPr>
          <w:rFonts w:asciiTheme="majorHAnsi" w:hAnsiTheme="majorHAnsi"/>
        </w:rPr>
        <w:t xml:space="preserve">životnému prostrediu, </w:t>
      </w:r>
      <w:r w:rsidR="00BD5FD5">
        <w:rPr>
          <w:rFonts w:asciiTheme="majorHAnsi" w:hAnsiTheme="majorHAnsi"/>
        </w:rPr>
        <w:t>k</w:t>
      </w:r>
      <w:r w:rsidR="00A16587" w:rsidRPr="00A11FE0">
        <w:rPr>
          <w:rFonts w:asciiTheme="majorHAnsi" w:hAnsiTheme="majorHAnsi"/>
        </w:rPr>
        <w:t xml:space="preserve">toré by dokázali </w:t>
      </w:r>
      <w:r w:rsidR="00BD5FD5">
        <w:rPr>
          <w:rFonts w:asciiTheme="majorHAnsi" w:hAnsiTheme="majorHAnsi"/>
        </w:rPr>
        <w:t>k</w:t>
      </w:r>
      <w:r w:rsidR="00A16587" w:rsidRPr="00A11FE0">
        <w:rPr>
          <w:rFonts w:asciiTheme="majorHAnsi" w:hAnsiTheme="majorHAnsi"/>
        </w:rPr>
        <w:t>onkurovať lacnému dovozu z</w:t>
      </w:r>
      <w:r w:rsidR="00C80098">
        <w:rPr>
          <w:rFonts w:asciiTheme="majorHAnsi" w:hAnsiTheme="majorHAnsi"/>
        </w:rPr>
        <w:t> </w:t>
      </w:r>
      <w:r w:rsidR="00A16587" w:rsidRPr="00A11FE0">
        <w:rPr>
          <w:rFonts w:asciiTheme="majorHAnsi" w:hAnsiTheme="majorHAnsi"/>
        </w:rPr>
        <w:t>tretích</w:t>
      </w:r>
      <w:r w:rsidR="00C80098">
        <w:rPr>
          <w:rFonts w:asciiTheme="majorHAnsi" w:hAnsiTheme="majorHAnsi"/>
        </w:rPr>
        <w:t xml:space="preserve"> </w:t>
      </w:r>
      <w:r w:rsidR="00BD5FD5">
        <w:rPr>
          <w:rFonts w:asciiTheme="majorHAnsi" w:hAnsiTheme="majorHAnsi"/>
        </w:rPr>
        <w:t>k</w:t>
      </w:r>
      <w:r w:rsidR="00A16587" w:rsidRPr="00A11FE0">
        <w:rPr>
          <w:rFonts w:asciiTheme="majorHAnsi" w:hAnsiTheme="majorHAnsi"/>
        </w:rPr>
        <w:t>rajín.</w:t>
      </w:r>
    </w:p>
    <w:p w:rsidR="00996677" w:rsidRPr="00A11FE0" w:rsidRDefault="00996677" w:rsidP="00324877">
      <w:pPr>
        <w:pStyle w:val="Nadpis5"/>
        <w:numPr>
          <w:ilvl w:val="4"/>
          <w:numId w:val="2"/>
        </w:numPr>
        <w:ind w:left="1292"/>
      </w:pPr>
      <w:bookmarkStart w:id="26" w:name="_Toc372447908"/>
      <w:r w:rsidRPr="00A11FE0">
        <w:t xml:space="preserve">Územná </w:t>
      </w:r>
      <w:r w:rsidR="00BD5FD5">
        <w:t>k</w:t>
      </w:r>
      <w:r w:rsidRPr="00A11FE0">
        <w:t>oncentrácia</w:t>
      </w:r>
      <w:bookmarkEnd w:id="26"/>
    </w:p>
    <w:p w:rsidR="006E51E8" w:rsidRDefault="00BD5FD5" w:rsidP="00996677">
      <w:pPr>
        <w:rPr>
          <w:rFonts w:asciiTheme="majorHAnsi" w:hAnsiTheme="majorHAnsi"/>
        </w:rPr>
      </w:pPr>
      <w:r>
        <w:rPr>
          <w:rFonts w:asciiTheme="majorHAnsi" w:hAnsiTheme="majorHAnsi"/>
          <w:szCs w:val="22"/>
        </w:rPr>
        <w:t>A</w:t>
      </w:r>
      <w:r w:rsidR="00996677" w:rsidRPr="00A11FE0">
        <w:rPr>
          <w:rFonts w:asciiTheme="majorHAnsi" w:hAnsiTheme="majorHAnsi"/>
          <w:szCs w:val="22"/>
        </w:rPr>
        <w:t xml:space="preserve">j </w:t>
      </w:r>
      <w:r>
        <w:rPr>
          <w:rFonts w:asciiTheme="majorHAnsi" w:hAnsiTheme="majorHAnsi"/>
          <w:szCs w:val="22"/>
        </w:rPr>
        <w:t>k</w:t>
      </w:r>
      <w:r w:rsidR="00996677" w:rsidRPr="00A11FE0">
        <w:rPr>
          <w:rFonts w:asciiTheme="majorHAnsi" w:hAnsiTheme="majorHAnsi"/>
          <w:szCs w:val="22"/>
        </w:rPr>
        <w:t xml:space="preserve">eď MSP </w:t>
      </w:r>
      <w:r>
        <w:rPr>
          <w:rFonts w:asciiTheme="majorHAnsi" w:hAnsiTheme="majorHAnsi"/>
          <w:szCs w:val="22"/>
        </w:rPr>
        <w:t>s</w:t>
      </w:r>
      <w:r w:rsidR="00996677" w:rsidRPr="00A11FE0">
        <w:rPr>
          <w:rFonts w:asciiTheme="majorHAnsi" w:hAnsiTheme="majorHAnsi"/>
          <w:szCs w:val="22"/>
        </w:rPr>
        <w:t xml:space="preserve">ú formy podnikania vhodné prakticky vo všetkých územných geografických jednotkách, odporúča </w:t>
      </w:r>
      <w:r>
        <w:rPr>
          <w:rFonts w:asciiTheme="majorHAnsi" w:hAnsiTheme="majorHAnsi"/>
          <w:szCs w:val="22"/>
        </w:rPr>
        <w:t>s</w:t>
      </w:r>
      <w:r w:rsidR="00996677" w:rsidRPr="00A11FE0">
        <w:rPr>
          <w:rFonts w:asciiTheme="majorHAnsi" w:hAnsiTheme="majorHAnsi"/>
          <w:szCs w:val="22"/>
        </w:rPr>
        <w:t xml:space="preserve">a podporovať </w:t>
      </w:r>
      <w:r>
        <w:rPr>
          <w:rFonts w:asciiTheme="majorHAnsi" w:hAnsiTheme="majorHAnsi"/>
          <w:szCs w:val="22"/>
        </w:rPr>
        <w:t>ak</w:t>
      </w:r>
      <w:r w:rsidR="00996677" w:rsidRPr="00A11FE0">
        <w:rPr>
          <w:rFonts w:asciiTheme="majorHAnsi" w:hAnsiTheme="majorHAnsi"/>
          <w:szCs w:val="22"/>
        </w:rPr>
        <w:t>tivity na rozvoj MSP diferencovane</w:t>
      </w:r>
      <w:r w:rsidR="00337C6C" w:rsidRPr="00A11FE0">
        <w:rPr>
          <w:rFonts w:asciiTheme="majorHAnsi" w:hAnsiTheme="majorHAnsi"/>
          <w:szCs w:val="22"/>
        </w:rPr>
        <w:t xml:space="preserve">, </w:t>
      </w:r>
      <w:r>
        <w:rPr>
          <w:rFonts w:asciiTheme="majorHAnsi" w:hAnsiTheme="majorHAnsi"/>
          <w:szCs w:val="22"/>
        </w:rPr>
        <w:t>s </w:t>
      </w:r>
      <w:r w:rsidR="00996677" w:rsidRPr="00A11FE0">
        <w:rPr>
          <w:rFonts w:asciiTheme="majorHAnsi" w:hAnsiTheme="majorHAnsi"/>
          <w:szCs w:val="22"/>
        </w:rPr>
        <w:t xml:space="preserve">cieľom ich čo najefektívnejšieho </w:t>
      </w:r>
      <w:r>
        <w:rPr>
          <w:rFonts w:asciiTheme="majorHAnsi" w:hAnsiTheme="majorHAnsi"/>
          <w:szCs w:val="22"/>
        </w:rPr>
        <w:t>a </w:t>
      </w:r>
      <w:r w:rsidR="00996677" w:rsidRPr="00A11FE0">
        <w:rPr>
          <w:rFonts w:asciiTheme="majorHAnsi" w:hAnsiTheme="majorHAnsi"/>
          <w:szCs w:val="22"/>
        </w:rPr>
        <w:t xml:space="preserve">najširšieho uplatnenia. </w:t>
      </w:r>
      <w:r w:rsidR="001B0C93" w:rsidRPr="00A11FE0">
        <w:rPr>
          <w:rFonts w:asciiTheme="majorHAnsi" w:hAnsiTheme="majorHAnsi"/>
          <w:szCs w:val="22"/>
        </w:rPr>
        <w:t>Opatrenia EFRR zahŕňajúce investície do podnikania</w:t>
      </w:r>
      <w:r w:rsidR="006E51E8">
        <w:rPr>
          <w:rFonts w:asciiTheme="majorHAnsi" w:hAnsiTheme="majorHAnsi"/>
          <w:szCs w:val="22"/>
        </w:rPr>
        <w:t>,</w:t>
      </w:r>
      <w:r w:rsidR="001B0C93" w:rsidRPr="00A11FE0">
        <w:rPr>
          <w:rFonts w:asciiTheme="majorHAnsi" w:hAnsiTheme="majorHAnsi"/>
          <w:szCs w:val="22"/>
        </w:rPr>
        <w:t xml:space="preserve"> vrátane poskytovania počiatočného </w:t>
      </w:r>
      <w:r>
        <w:rPr>
          <w:rFonts w:asciiTheme="majorHAnsi" w:hAnsiTheme="majorHAnsi"/>
          <w:szCs w:val="22"/>
        </w:rPr>
        <w:t>k</w:t>
      </w:r>
      <w:r w:rsidR="001B0C93" w:rsidRPr="00A11FE0">
        <w:rPr>
          <w:rFonts w:asciiTheme="majorHAnsi" w:hAnsiTheme="majorHAnsi"/>
          <w:szCs w:val="22"/>
        </w:rPr>
        <w:t xml:space="preserve">apitálu, záruk, úverov </w:t>
      </w:r>
      <w:r>
        <w:rPr>
          <w:rFonts w:asciiTheme="majorHAnsi" w:hAnsiTheme="majorHAnsi"/>
          <w:szCs w:val="22"/>
        </w:rPr>
        <w:t>a </w:t>
      </w:r>
      <w:r w:rsidR="001B0C93" w:rsidRPr="00A11FE0">
        <w:rPr>
          <w:rFonts w:asciiTheme="majorHAnsi" w:hAnsiTheme="majorHAnsi"/>
          <w:szCs w:val="22"/>
        </w:rPr>
        <w:t xml:space="preserve">mezanínového financovania, investície do </w:t>
      </w:r>
      <w:r>
        <w:rPr>
          <w:rFonts w:asciiTheme="majorHAnsi" w:hAnsiTheme="majorHAnsi"/>
          <w:szCs w:val="22"/>
        </w:rPr>
        <w:t>k</w:t>
      </w:r>
      <w:r w:rsidR="001B0C93" w:rsidRPr="00A11FE0">
        <w:rPr>
          <w:rFonts w:asciiTheme="majorHAnsi" w:hAnsiTheme="majorHAnsi"/>
          <w:szCs w:val="22"/>
        </w:rPr>
        <w:t xml:space="preserve">omerčného využívania nových nápadov </w:t>
      </w:r>
      <w:r>
        <w:rPr>
          <w:rFonts w:asciiTheme="majorHAnsi" w:hAnsiTheme="majorHAnsi"/>
          <w:szCs w:val="22"/>
        </w:rPr>
        <w:t>a </w:t>
      </w:r>
      <w:r w:rsidR="001B0C93" w:rsidRPr="00A11FE0">
        <w:rPr>
          <w:rFonts w:asciiTheme="majorHAnsi" w:hAnsiTheme="majorHAnsi"/>
          <w:szCs w:val="22"/>
        </w:rPr>
        <w:t xml:space="preserve">výsledkov výskumu </w:t>
      </w:r>
      <w:r w:rsidR="006E51E8">
        <w:rPr>
          <w:rFonts w:asciiTheme="majorHAnsi" w:hAnsiTheme="majorHAnsi"/>
          <w:szCs w:val="22"/>
        </w:rPr>
        <w:t xml:space="preserve">by sa mali koncentrovať predovšetkým do centier 1. a 2. úrovne, vrátane miest Bratislava a Košice, území ťažísk osídlenia 1. a 2. úrovne, ako aj do centier v ostatnom území, lokalizovaných predovšetkým na rozvojových osiach podľa KURS. Do týchto území by sa mali sústrediť aj opatrenia týkajúce sa </w:t>
      </w:r>
      <w:r w:rsidR="001B0C93" w:rsidRPr="00A11FE0">
        <w:rPr>
          <w:rFonts w:asciiTheme="majorHAnsi" w:hAnsiTheme="majorHAnsi"/>
          <w:szCs w:val="22"/>
        </w:rPr>
        <w:t xml:space="preserve">zakladania podnikov </w:t>
      </w:r>
      <w:r>
        <w:rPr>
          <w:rFonts w:asciiTheme="majorHAnsi" w:hAnsiTheme="majorHAnsi"/>
          <w:szCs w:val="22"/>
        </w:rPr>
        <w:t>a </w:t>
      </w:r>
      <w:r w:rsidR="001B0C93" w:rsidRPr="00A11FE0">
        <w:rPr>
          <w:rFonts w:asciiTheme="majorHAnsi" w:hAnsiTheme="majorHAnsi"/>
          <w:szCs w:val="22"/>
        </w:rPr>
        <w:t xml:space="preserve">poradenských </w:t>
      </w:r>
      <w:r>
        <w:rPr>
          <w:rFonts w:asciiTheme="majorHAnsi" w:hAnsiTheme="majorHAnsi"/>
          <w:szCs w:val="22"/>
        </w:rPr>
        <w:t>s</w:t>
      </w:r>
      <w:r w:rsidR="001B0C93" w:rsidRPr="00A11FE0">
        <w:rPr>
          <w:rFonts w:asciiTheme="majorHAnsi" w:hAnsiTheme="majorHAnsi"/>
          <w:szCs w:val="22"/>
        </w:rPr>
        <w:t>lužieb pre podniky, najmä v</w:t>
      </w:r>
      <w:r w:rsidR="009E4A61" w:rsidRPr="00A11FE0">
        <w:rPr>
          <w:rFonts w:asciiTheme="majorHAnsi" w:hAnsiTheme="majorHAnsi"/>
          <w:szCs w:val="22"/>
        </w:rPr>
        <w:t> </w:t>
      </w:r>
      <w:r w:rsidR="001B0C93" w:rsidRPr="00A11FE0">
        <w:rPr>
          <w:rFonts w:asciiTheme="majorHAnsi" w:hAnsiTheme="majorHAnsi"/>
          <w:szCs w:val="22"/>
        </w:rPr>
        <w:t>oblasti</w:t>
      </w:r>
      <w:r w:rsidR="009E4A61" w:rsidRPr="00A11FE0">
        <w:rPr>
          <w:rFonts w:asciiTheme="majorHAnsi" w:hAnsiTheme="majorHAnsi"/>
          <w:szCs w:val="22"/>
        </w:rPr>
        <w:t xml:space="preserve"> </w:t>
      </w:r>
      <w:r w:rsidR="001B0C93" w:rsidRPr="00A11FE0">
        <w:rPr>
          <w:rFonts w:asciiTheme="majorHAnsi" w:hAnsiTheme="majorHAnsi"/>
          <w:szCs w:val="22"/>
        </w:rPr>
        <w:t xml:space="preserve">zakladania podnikov </w:t>
      </w:r>
      <w:r>
        <w:rPr>
          <w:rFonts w:asciiTheme="majorHAnsi" w:hAnsiTheme="majorHAnsi"/>
          <w:szCs w:val="22"/>
        </w:rPr>
        <w:t>a </w:t>
      </w:r>
      <w:r w:rsidR="001B0C93" w:rsidRPr="00A11FE0">
        <w:rPr>
          <w:rFonts w:asciiTheme="majorHAnsi" w:hAnsiTheme="majorHAnsi"/>
          <w:szCs w:val="22"/>
        </w:rPr>
        <w:t xml:space="preserve">zvyšovania podnikateľských zručností, rozvoj nových </w:t>
      </w:r>
      <w:r w:rsidR="001B0C93" w:rsidRPr="00A11FE0">
        <w:rPr>
          <w:rFonts w:asciiTheme="majorHAnsi" w:hAnsiTheme="majorHAnsi"/>
          <w:szCs w:val="22"/>
        </w:rPr>
        <w:lastRenderedPageBreak/>
        <w:t xml:space="preserve">obchodných modelov vrátane nových hodnotových reťazcov </w:t>
      </w:r>
      <w:r>
        <w:rPr>
          <w:rFonts w:asciiTheme="majorHAnsi" w:hAnsiTheme="majorHAnsi"/>
          <w:szCs w:val="22"/>
        </w:rPr>
        <w:t>a </w:t>
      </w:r>
      <w:r w:rsidR="001B0C93" w:rsidRPr="00A11FE0">
        <w:rPr>
          <w:rFonts w:asciiTheme="majorHAnsi" w:hAnsiTheme="majorHAnsi"/>
          <w:szCs w:val="22"/>
        </w:rPr>
        <w:t>novej organizácie marketingu, najmä v záujme uľahčenia internacionalizácie</w:t>
      </w:r>
      <w:r w:rsidR="006E51E8">
        <w:rPr>
          <w:rFonts w:asciiTheme="majorHAnsi" w:hAnsiTheme="majorHAnsi"/>
          <w:szCs w:val="22"/>
        </w:rPr>
        <w:t xml:space="preserve"> a</w:t>
      </w:r>
      <w:r w:rsidR="009776DA">
        <w:rPr>
          <w:rFonts w:asciiTheme="majorHAnsi" w:hAnsiTheme="majorHAnsi"/>
          <w:szCs w:val="22"/>
        </w:rPr>
        <w:t> </w:t>
      </w:r>
      <w:r w:rsidR="001B0C93" w:rsidRPr="00A11FE0">
        <w:rPr>
          <w:rFonts w:asciiTheme="majorHAnsi" w:hAnsiTheme="majorHAnsi"/>
          <w:szCs w:val="22"/>
        </w:rPr>
        <w:t>rozvoj MSP v</w:t>
      </w:r>
      <w:r w:rsidR="00036A6B">
        <w:rPr>
          <w:rFonts w:asciiTheme="majorHAnsi" w:hAnsiTheme="majorHAnsi"/>
          <w:szCs w:val="22"/>
        </w:rPr>
        <w:t> </w:t>
      </w:r>
      <w:r w:rsidR="001B0C93" w:rsidRPr="00A11FE0">
        <w:rPr>
          <w:rFonts w:asciiTheme="majorHAnsi" w:hAnsiTheme="majorHAnsi"/>
          <w:szCs w:val="22"/>
        </w:rPr>
        <w:t>nových</w:t>
      </w:r>
      <w:r w:rsidR="00036A6B">
        <w:rPr>
          <w:rFonts w:asciiTheme="majorHAnsi" w:hAnsiTheme="majorHAnsi"/>
          <w:szCs w:val="22"/>
        </w:rPr>
        <w:t xml:space="preserve"> </w:t>
      </w:r>
      <w:r w:rsidR="001B0C93" w:rsidRPr="00A11FE0">
        <w:rPr>
          <w:rFonts w:asciiTheme="majorHAnsi" w:hAnsiTheme="majorHAnsi"/>
          <w:szCs w:val="22"/>
        </w:rPr>
        <w:t xml:space="preserve">oblastiach </w:t>
      </w:r>
      <w:r>
        <w:rPr>
          <w:rFonts w:asciiTheme="majorHAnsi" w:hAnsiTheme="majorHAnsi"/>
          <w:szCs w:val="22"/>
        </w:rPr>
        <w:t>s</w:t>
      </w:r>
      <w:r w:rsidR="001B0C93" w:rsidRPr="00A11FE0">
        <w:rPr>
          <w:rFonts w:asciiTheme="majorHAnsi" w:hAnsiTheme="majorHAnsi"/>
          <w:szCs w:val="22"/>
        </w:rPr>
        <w:t xml:space="preserve">pojených </w:t>
      </w:r>
      <w:r>
        <w:rPr>
          <w:rFonts w:asciiTheme="majorHAnsi" w:hAnsiTheme="majorHAnsi"/>
          <w:szCs w:val="22"/>
        </w:rPr>
        <w:t>s </w:t>
      </w:r>
      <w:r w:rsidR="00992762">
        <w:rPr>
          <w:rFonts w:asciiTheme="majorHAnsi" w:hAnsiTheme="majorHAnsi"/>
          <w:szCs w:val="22"/>
        </w:rPr>
        <w:t>E</w:t>
      </w:r>
      <w:r w:rsidR="00585C40">
        <w:rPr>
          <w:rFonts w:asciiTheme="majorHAnsi" w:hAnsiTheme="majorHAnsi"/>
          <w:szCs w:val="22"/>
        </w:rPr>
        <w:t>ur</w:t>
      </w:r>
      <w:r w:rsidR="001B0C93" w:rsidRPr="00A11FE0">
        <w:rPr>
          <w:rFonts w:asciiTheme="majorHAnsi" w:hAnsiTheme="majorHAnsi"/>
          <w:szCs w:val="22"/>
        </w:rPr>
        <w:t xml:space="preserve">ópskymi </w:t>
      </w:r>
      <w:r>
        <w:rPr>
          <w:rFonts w:asciiTheme="majorHAnsi" w:hAnsiTheme="majorHAnsi"/>
          <w:szCs w:val="22"/>
        </w:rPr>
        <w:t>a</w:t>
      </w:r>
      <w:r w:rsidR="001B0C93" w:rsidRPr="00A11FE0">
        <w:rPr>
          <w:rFonts w:asciiTheme="majorHAnsi" w:hAnsiTheme="majorHAnsi"/>
          <w:szCs w:val="22"/>
        </w:rPr>
        <w:t> regionálnymi výzvami</w:t>
      </w:r>
      <w:r w:rsidR="006E51E8">
        <w:rPr>
          <w:rFonts w:asciiTheme="majorHAnsi" w:hAnsiTheme="majorHAnsi"/>
          <w:szCs w:val="22"/>
        </w:rPr>
        <w:t>.</w:t>
      </w:r>
    </w:p>
    <w:p w:rsidR="00996677" w:rsidRDefault="00BD5FD5" w:rsidP="00996677">
      <w:pPr>
        <w:rPr>
          <w:rFonts w:asciiTheme="majorHAnsi" w:hAnsiTheme="majorHAnsi"/>
        </w:rPr>
      </w:pPr>
      <w:r>
        <w:rPr>
          <w:rFonts w:asciiTheme="majorHAnsi" w:hAnsiTheme="majorHAnsi"/>
        </w:rPr>
        <w:t>K</w:t>
      </w:r>
      <w:r w:rsidR="00996677" w:rsidRPr="00A11FE0">
        <w:rPr>
          <w:rFonts w:asciiTheme="majorHAnsi" w:hAnsiTheme="majorHAnsi"/>
        </w:rPr>
        <w:t>ľúčové opatrenia EPFRV</w:t>
      </w:r>
      <w:r w:rsidR="004E70BE" w:rsidRPr="00A11FE0">
        <w:rPr>
          <w:rFonts w:asciiTheme="majorHAnsi" w:hAnsiTheme="majorHAnsi"/>
          <w:szCs w:val="22"/>
        </w:rPr>
        <w:t xml:space="preserve"> </w:t>
      </w:r>
      <w:r w:rsidR="00996677" w:rsidRPr="00A11FE0">
        <w:rPr>
          <w:rFonts w:asciiTheme="majorHAnsi" w:hAnsiTheme="majorHAnsi"/>
        </w:rPr>
        <w:t>zahŕňajú reštrukturalizáci</w:t>
      </w:r>
      <w:r w:rsidR="004E70BE" w:rsidRPr="00A11FE0">
        <w:rPr>
          <w:rFonts w:asciiTheme="majorHAnsi" w:hAnsiTheme="majorHAnsi"/>
          <w:szCs w:val="22"/>
        </w:rPr>
        <w:t>u</w:t>
      </w:r>
      <w:r w:rsidR="006532A5">
        <w:rPr>
          <w:rFonts w:asciiTheme="majorHAnsi" w:hAnsiTheme="majorHAnsi"/>
          <w:szCs w:val="22"/>
        </w:rPr>
        <w:t xml:space="preserve"> </w:t>
      </w:r>
      <w:r w:rsidR="006532A5" w:rsidRPr="006532A5">
        <w:rPr>
          <w:rFonts w:asciiTheme="majorHAnsi" w:hAnsiTheme="majorHAnsi"/>
          <w:szCs w:val="22"/>
        </w:rPr>
        <w:t>poľnohospodárskych podnikov, diverzifikáciu poľnohospodárskej produkcie a</w:t>
      </w:r>
      <w:r w:rsidR="008C79B8">
        <w:rPr>
          <w:rFonts w:asciiTheme="majorHAnsi" w:hAnsiTheme="majorHAnsi"/>
          <w:szCs w:val="22"/>
        </w:rPr>
        <w:t> </w:t>
      </w:r>
      <w:r w:rsidR="006532A5" w:rsidRPr="006532A5">
        <w:rPr>
          <w:rFonts w:asciiTheme="majorHAnsi" w:hAnsiTheme="majorHAnsi"/>
          <w:szCs w:val="22"/>
        </w:rPr>
        <w:t>podporu poľnohospodársko-potravinárskej produkcie s</w:t>
      </w:r>
      <w:r w:rsidR="008C79B8">
        <w:rPr>
          <w:rFonts w:asciiTheme="majorHAnsi" w:hAnsiTheme="majorHAnsi"/>
          <w:szCs w:val="22"/>
        </w:rPr>
        <w:t> </w:t>
      </w:r>
      <w:r w:rsidR="006532A5" w:rsidRPr="006532A5">
        <w:rPr>
          <w:rFonts w:asciiTheme="majorHAnsi" w:hAnsiTheme="majorHAnsi"/>
          <w:szCs w:val="22"/>
        </w:rPr>
        <w:t>vyššou pridanou hodnotou, vrátane miestnej produkcie a</w:t>
      </w:r>
      <w:r w:rsidR="009776DA">
        <w:rPr>
          <w:rFonts w:asciiTheme="majorHAnsi" w:hAnsiTheme="majorHAnsi"/>
          <w:szCs w:val="22"/>
        </w:rPr>
        <w:t> </w:t>
      </w:r>
      <w:r w:rsidR="006532A5" w:rsidRPr="006532A5">
        <w:rPr>
          <w:rFonts w:asciiTheme="majorHAnsi" w:hAnsiTheme="majorHAnsi"/>
          <w:szCs w:val="22"/>
        </w:rPr>
        <w:t>krátkych dodávateľských reťazcov, inovácie v</w:t>
      </w:r>
      <w:r w:rsidR="007A0A33">
        <w:rPr>
          <w:rFonts w:asciiTheme="majorHAnsi" w:hAnsiTheme="majorHAnsi"/>
          <w:szCs w:val="22"/>
        </w:rPr>
        <w:t> </w:t>
      </w:r>
      <w:r w:rsidR="006532A5" w:rsidRPr="006532A5">
        <w:rPr>
          <w:rFonts w:asciiTheme="majorHAnsi" w:hAnsiTheme="majorHAnsi"/>
          <w:szCs w:val="22"/>
        </w:rPr>
        <w:t>oblasti</w:t>
      </w:r>
      <w:r w:rsidR="007A0A33">
        <w:rPr>
          <w:rFonts w:asciiTheme="majorHAnsi" w:hAnsiTheme="majorHAnsi"/>
          <w:szCs w:val="22"/>
        </w:rPr>
        <w:t xml:space="preserve"> </w:t>
      </w:r>
      <w:r w:rsidR="006532A5" w:rsidRPr="006532A5">
        <w:rPr>
          <w:rFonts w:asciiTheme="majorHAnsi" w:hAnsiTheme="majorHAnsi"/>
          <w:szCs w:val="22"/>
        </w:rPr>
        <w:t>spracovania</w:t>
      </w:r>
      <w:r w:rsidR="006E51E8">
        <w:rPr>
          <w:rFonts w:asciiTheme="majorHAnsi" w:hAnsiTheme="majorHAnsi"/>
          <w:szCs w:val="22"/>
        </w:rPr>
        <w:t>,</w:t>
      </w:r>
      <w:r w:rsidR="006532A5" w:rsidRPr="006532A5">
        <w:rPr>
          <w:rFonts w:asciiTheme="majorHAnsi" w:hAnsiTheme="majorHAnsi"/>
          <w:szCs w:val="22"/>
        </w:rPr>
        <w:t xml:space="preserve"> a</w:t>
      </w:r>
      <w:r w:rsidR="00F82810">
        <w:rPr>
          <w:rFonts w:asciiTheme="majorHAnsi" w:hAnsiTheme="majorHAnsi"/>
          <w:szCs w:val="22"/>
        </w:rPr>
        <w:t>ko aj</w:t>
      </w:r>
      <w:r w:rsidR="006532A5" w:rsidRPr="006532A5">
        <w:rPr>
          <w:rFonts w:asciiTheme="majorHAnsi" w:hAnsiTheme="majorHAnsi"/>
          <w:szCs w:val="22"/>
        </w:rPr>
        <w:t xml:space="preserve"> uvádzania vysoko kvalitn</w:t>
      </w:r>
      <w:r w:rsidR="006E51E8">
        <w:rPr>
          <w:rFonts w:asciiTheme="majorHAnsi" w:hAnsiTheme="majorHAnsi"/>
          <w:szCs w:val="22"/>
        </w:rPr>
        <w:t>ých</w:t>
      </w:r>
      <w:r w:rsidR="006532A5" w:rsidRPr="006532A5">
        <w:rPr>
          <w:rFonts w:asciiTheme="majorHAnsi" w:hAnsiTheme="majorHAnsi"/>
          <w:szCs w:val="22"/>
        </w:rPr>
        <w:t xml:space="preserve"> výrobk</w:t>
      </w:r>
      <w:r w:rsidR="006E51E8">
        <w:rPr>
          <w:rFonts w:asciiTheme="majorHAnsi" w:hAnsiTheme="majorHAnsi"/>
          <w:szCs w:val="22"/>
        </w:rPr>
        <w:t>ov</w:t>
      </w:r>
      <w:r w:rsidR="00F82810" w:rsidRPr="00F82810">
        <w:rPr>
          <w:rFonts w:asciiTheme="majorHAnsi" w:hAnsiTheme="majorHAnsi"/>
          <w:szCs w:val="22"/>
        </w:rPr>
        <w:t xml:space="preserve"> </w:t>
      </w:r>
      <w:r w:rsidR="00F82810" w:rsidRPr="006532A5">
        <w:rPr>
          <w:rFonts w:asciiTheme="majorHAnsi" w:hAnsiTheme="majorHAnsi"/>
          <w:szCs w:val="22"/>
        </w:rPr>
        <w:t>na trh</w:t>
      </w:r>
      <w:r w:rsidR="00F82810">
        <w:rPr>
          <w:rFonts w:asciiTheme="majorHAnsi" w:hAnsiTheme="majorHAnsi"/>
          <w:szCs w:val="22"/>
        </w:rPr>
        <w:t>. Ďalej zahŕňajú</w:t>
      </w:r>
      <w:r w:rsidR="006532A5" w:rsidRPr="006532A5">
        <w:rPr>
          <w:rFonts w:asciiTheme="majorHAnsi" w:hAnsiTheme="majorHAnsi"/>
          <w:szCs w:val="22"/>
        </w:rPr>
        <w:t xml:space="preserve">, </w:t>
      </w:r>
      <w:r w:rsidR="00996677" w:rsidRPr="00EB53E3">
        <w:rPr>
          <w:rFonts w:asciiTheme="majorHAnsi" w:hAnsiTheme="majorHAnsi"/>
          <w:szCs w:val="22"/>
        </w:rPr>
        <w:t>generačn</w:t>
      </w:r>
      <w:r w:rsidR="004E70BE" w:rsidRPr="00EB53E3">
        <w:rPr>
          <w:rFonts w:asciiTheme="majorHAnsi" w:hAnsiTheme="majorHAnsi"/>
          <w:szCs w:val="22"/>
        </w:rPr>
        <w:t>ú</w:t>
      </w:r>
      <w:r w:rsidR="00996677" w:rsidRPr="00EB53E3">
        <w:rPr>
          <w:rFonts w:asciiTheme="majorHAnsi" w:hAnsiTheme="majorHAnsi"/>
        </w:rPr>
        <w:t xml:space="preserve"> výmen</w:t>
      </w:r>
      <w:r w:rsidR="00B747C5" w:rsidRPr="00EB53E3">
        <w:rPr>
          <w:rFonts w:asciiTheme="majorHAnsi" w:hAnsiTheme="majorHAnsi"/>
        </w:rPr>
        <w:t>u</w:t>
      </w:r>
      <w:r w:rsidR="00996677" w:rsidRPr="00EB53E3">
        <w:rPr>
          <w:rFonts w:asciiTheme="majorHAnsi" w:hAnsiTheme="majorHAnsi"/>
        </w:rPr>
        <w:t xml:space="preserve"> v</w:t>
      </w:r>
      <w:r w:rsidR="009E4A61" w:rsidRPr="00EB53E3">
        <w:rPr>
          <w:rFonts w:asciiTheme="majorHAnsi" w:hAnsiTheme="majorHAnsi"/>
        </w:rPr>
        <w:t> </w:t>
      </w:r>
      <w:r w:rsidR="00996677" w:rsidRPr="00EB53E3">
        <w:rPr>
          <w:rFonts w:asciiTheme="majorHAnsi" w:hAnsiTheme="majorHAnsi"/>
        </w:rPr>
        <w:t>poľnohospodárskom</w:t>
      </w:r>
      <w:r w:rsidR="009E4A61" w:rsidRPr="00EB53E3">
        <w:rPr>
          <w:rFonts w:asciiTheme="majorHAnsi" w:hAnsiTheme="majorHAnsi"/>
        </w:rPr>
        <w:t xml:space="preserve"> </w:t>
      </w:r>
      <w:r>
        <w:rPr>
          <w:rFonts w:asciiTheme="majorHAnsi" w:hAnsiTheme="majorHAnsi"/>
        </w:rPr>
        <w:t>s</w:t>
      </w:r>
      <w:r w:rsidR="00996677" w:rsidRPr="00EB53E3">
        <w:rPr>
          <w:rFonts w:asciiTheme="majorHAnsi" w:hAnsiTheme="majorHAnsi"/>
        </w:rPr>
        <w:t>ektore, najmä prostredníctvom pomoci pri zakladaní podnikov pre mladých</w:t>
      </w:r>
      <w:r w:rsidR="00996677" w:rsidRPr="00A11FE0">
        <w:rPr>
          <w:rFonts w:asciiTheme="majorHAnsi" w:hAnsiTheme="majorHAnsi"/>
        </w:rPr>
        <w:t xml:space="preserve"> poľnohospodárov, </w:t>
      </w:r>
      <w:r w:rsidR="00177A64">
        <w:rPr>
          <w:rFonts w:asciiTheme="majorHAnsi" w:hAnsiTheme="majorHAnsi"/>
        </w:rPr>
        <w:t xml:space="preserve">podporu malých poľnohospodárskych podnikov, </w:t>
      </w:r>
      <w:r w:rsidR="00996677" w:rsidRPr="00A11FE0">
        <w:rPr>
          <w:rFonts w:asciiTheme="majorHAnsi" w:hAnsiTheme="majorHAnsi"/>
        </w:rPr>
        <w:t xml:space="preserve">začlenenie prvovýrobcov do potravinového reťazca </w:t>
      </w:r>
      <w:r>
        <w:rPr>
          <w:rFonts w:asciiTheme="majorHAnsi" w:hAnsiTheme="majorHAnsi"/>
        </w:rPr>
        <w:t>a </w:t>
      </w:r>
      <w:r w:rsidR="00996677" w:rsidRPr="00A11FE0">
        <w:rPr>
          <w:rFonts w:asciiTheme="majorHAnsi" w:hAnsiTheme="majorHAnsi"/>
        </w:rPr>
        <w:t>riadenie</w:t>
      </w:r>
      <w:r w:rsidR="00285918">
        <w:rPr>
          <w:rFonts w:asciiTheme="majorHAnsi" w:hAnsiTheme="majorHAnsi"/>
        </w:rPr>
        <w:t xml:space="preserve"> </w:t>
      </w:r>
      <w:r w:rsidR="00996677" w:rsidRPr="00A11FE0">
        <w:rPr>
          <w:rFonts w:asciiTheme="majorHAnsi" w:hAnsiTheme="majorHAnsi"/>
        </w:rPr>
        <w:t>rizík v</w:t>
      </w:r>
      <w:r w:rsidR="005A6C2A" w:rsidRPr="00A11FE0">
        <w:rPr>
          <w:rFonts w:asciiTheme="majorHAnsi" w:hAnsiTheme="majorHAnsi"/>
        </w:rPr>
        <w:t> </w:t>
      </w:r>
      <w:r w:rsidR="00996677" w:rsidRPr="00A11FE0">
        <w:rPr>
          <w:rFonts w:asciiTheme="majorHAnsi" w:hAnsiTheme="majorHAnsi"/>
        </w:rPr>
        <w:t>poľnohospodárskych</w:t>
      </w:r>
      <w:r w:rsidR="005A6C2A" w:rsidRPr="00A11FE0">
        <w:rPr>
          <w:rFonts w:asciiTheme="majorHAnsi" w:hAnsiTheme="majorHAnsi"/>
        </w:rPr>
        <w:t xml:space="preserve"> </w:t>
      </w:r>
      <w:r w:rsidR="00996677" w:rsidRPr="00A11FE0">
        <w:rPr>
          <w:rFonts w:asciiTheme="majorHAnsi" w:hAnsiTheme="majorHAnsi"/>
        </w:rPr>
        <w:t>podnikoch prostredníctvom celej škály nástrojov</w:t>
      </w:r>
      <w:r w:rsidR="00F82810">
        <w:rPr>
          <w:rFonts w:asciiTheme="majorHAnsi" w:hAnsiTheme="majorHAnsi"/>
        </w:rPr>
        <w:t>. Kľúčové opatrenia</w:t>
      </w:r>
      <w:r w:rsidR="007A0A33">
        <w:rPr>
          <w:rFonts w:asciiTheme="majorHAnsi" w:hAnsiTheme="majorHAnsi"/>
        </w:rPr>
        <w:t xml:space="preserve"> </w:t>
      </w:r>
      <w:r w:rsidR="00F82810">
        <w:rPr>
          <w:rFonts w:asciiTheme="majorHAnsi" w:hAnsiTheme="majorHAnsi"/>
        </w:rPr>
        <w:t>v</w:t>
      </w:r>
      <w:r w:rsidR="007A0A33">
        <w:rPr>
          <w:rFonts w:asciiTheme="majorHAnsi" w:hAnsiTheme="majorHAnsi"/>
        </w:rPr>
        <w:t xml:space="preserve"> rámci </w:t>
      </w:r>
      <w:r w:rsidR="00996677" w:rsidRPr="00A11FE0">
        <w:rPr>
          <w:rFonts w:asciiTheme="majorHAnsi" w:hAnsiTheme="majorHAnsi"/>
        </w:rPr>
        <w:t>ENR</w:t>
      </w:r>
      <w:r w:rsidR="005810C3" w:rsidRPr="00A11FE0">
        <w:rPr>
          <w:rFonts w:asciiTheme="majorHAnsi" w:hAnsiTheme="majorHAnsi"/>
        </w:rPr>
        <w:t>F</w:t>
      </w:r>
      <w:r w:rsidR="00996677" w:rsidRPr="00A11FE0">
        <w:rPr>
          <w:rFonts w:asciiTheme="majorHAnsi" w:hAnsiTheme="majorHAnsi"/>
        </w:rPr>
        <w:t xml:space="preserve"> zahŕňajú rozvoj podnikov, podnikateľských zručností </w:t>
      </w:r>
      <w:r>
        <w:rPr>
          <w:rFonts w:asciiTheme="majorHAnsi" w:hAnsiTheme="majorHAnsi"/>
        </w:rPr>
        <w:t>a </w:t>
      </w:r>
      <w:r w:rsidR="00996677" w:rsidRPr="00A11FE0">
        <w:rPr>
          <w:rFonts w:asciiTheme="majorHAnsi" w:hAnsiTheme="majorHAnsi"/>
        </w:rPr>
        <w:t>podnikania v</w:t>
      </w:r>
      <w:r w:rsidR="00C2367B" w:rsidRPr="00A11FE0">
        <w:rPr>
          <w:rFonts w:asciiTheme="majorHAnsi" w:hAnsiTheme="majorHAnsi"/>
        </w:rPr>
        <w:t> </w:t>
      </w:r>
      <w:r>
        <w:rPr>
          <w:rFonts w:asciiTheme="majorHAnsi" w:hAnsiTheme="majorHAnsi"/>
        </w:rPr>
        <w:t>s</w:t>
      </w:r>
      <w:r w:rsidR="00C2367B" w:rsidRPr="00A11FE0">
        <w:rPr>
          <w:rFonts w:asciiTheme="majorHAnsi" w:hAnsiTheme="majorHAnsi"/>
        </w:rPr>
        <w:t>ektore rybárstva</w:t>
      </w:r>
      <w:r w:rsidR="00996677" w:rsidRPr="00A11FE0">
        <w:rPr>
          <w:rFonts w:asciiTheme="majorHAnsi" w:hAnsiTheme="majorHAnsi"/>
        </w:rPr>
        <w:t xml:space="preserve"> </w:t>
      </w:r>
      <w:r>
        <w:rPr>
          <w:rFonts w:asciiTheme="majorHAnsi" w:hAnsiTheme="majorHAnsi"/>
        </w:rPr>
        <w:t>a</w:t>
      </w:r>
      <w:r w:rsidR="006E51E8">
        <w:rPr>
          <w:rFonts w:asciiTheme="majorHAnsi" w:hAnsiTheme="majorHAnsi"/>
        </w:rPr>
        <w:t> </w:t>
      </w:r>
      <w:r>
        <w:rPr>
          <w:rFonts w:asciiTheme="majorHAnsi" w:hAnsiTheme="majorHAnsi"/>
        </w:rPr>
        <w:t>ak</w:t>
      </w:r>
      <w:r w:rsidR="00996677" w:rsidRPr="00A11FE0">
        <w:rPr>
          <w:rFonts w:asciiTheme="majorHAnsi" w:hAnsiTheme="majorHAnsi"/>
        </w:rPr>
        <w:t>vakultúry</w:t>
      </w:r>
      <w:r w:rsidR="006E51E8">
        <w:rPr>
          <w:rFonts w:asciiTheme="majorHAnsi" w:hAnsiTheme="majorHAnsi"/>
        </w:rPr>
        <w:t>, a</w:t>
      </w:r>
      <w:r w:rsidR="009776DA">
        <w:rPr>
          <w:rFonts w:asciiTheme="majorHAnsi" w:hAnsiTheme="majorHAnsi"/>
        </w:rPr>
        <w:t> </w:t>
      </w:r>
      <w:r w:rsidR="006E51E8">
        <w:rPr>
          <w:rFonts w:asciiTheme="majorHAnsi" w:hAnsiTheme="majorHAnsi"/>
        </w:rPr>
        <w:t>to</w:t>
      </w:r>
      <w:r w:rsidR="00285918">
        <w:rPr>
          <w:rFonts w:asciiTheme="majorHAnsi" w:hAnsiTheme="majorHAnsi"/>
        </w:rPr>
        <w:t xml:space="preserve"> </w:t>
      </w:r>
      <w:r w:rsidR="00996677" w:rsidRPr="00A11FE0">
        <w:rPr>
          <w:rFonts w:asciiTheme="majorHAnsi" w:hAnsiTheme="majorHAnsi"/>
        </w:rPr>
        <w:t>v</w:t>
      </w:r>
      <w:r w:rsidR="009776DA">
        <w:rPr>
          <w:rFonts w:asciiTheme="majorHAnsi" w:hAnsiTheme="majorHAnsi"/>
        </w:rPr>
        <w:t> </w:t>
      </w:r>
      <w:r w:rsidR="00996677" w:rsidRPr="00A11FE0">
        <w:rPr>
          <w:rFonts w:asciiTheme="majorHAnsi" w:hAnsiTheme="majorHAnsi"/>
        </w:rPr>
        <w:t xml:space="preserve">záujme zvýšenia ich </w:t>
      </w:r>
      <w:r>
        <w:rPr>
          <w:rFonts w:asciiTheme="majorHAnsi" w:hAnsiTheme="majorHAnsi"/>
        </w:rPr>
        <w:t>k</w:t>
      </w:r>
      <w:r w:rsidR="00996677" w:rsidRPr="00A11FE0">
        <w:rPr>
          <w:rFonts w:asciiTheme="majorHAnsi" w:hAnsiTheme="majorHAnsi"/>
        </w:rPr>
        <w:t xml:space="preserve">onkurencieschopnosti, životaschopnosti </w:t>
      </w:r>
      <w:r>
        <w:rPr>
          <w:rFonts w:asciiTheme="majorHAnsi" w:hAnsiTheme="majorHAnsi"/>
        </w:rPr>
        <w:t>a</w:t>
      </w:r>
      <w:r w:rsidR="006E51E8">
        <w:rPr>
          <w:rFonts w:asciiTheme="majorHAnsi" w:hAnsiTheme="majorHAnsi"/>
        </w:rPr>
        <w:t> </w:t>
      </w:r>
      <w:r w:rsidR="00996677" w:rsidRPr="00A11FE0">
        <w:rPr>
          <w:rFonts w:asciiTheme="majorHAnsi" w:hAnsiTheme="majorHAnsi"/>
        </w:rPr>
        <w:t>udržateľnosti</w:t>
      </w:r>
      <w:r w:rsidR="006E51E8">
        <w:rPr>
          <w:rFonts w:asciiTheme="majorHAnsi" w:hAnsiTheme="majorHAnsi"/>
        </w:rPr>
        <w:t>.</w:t>
      </w:r>
      <w:r w:rsidR="00996677" w:rsidRPr="00A11FE0">
        <w:rPr>
          <w:rFonts w:asciiTheme="majorHAnsi" w:hAnsiTheme="majorHAnsi"/>
        </w:rPr>
        <w:t xml:space="preserve"> </w:t>
      </w:r>
      <w:r w:rsidR="006E51E8">
        <w:rPr>
          <w:rFonts w:asciiTheme="majorHAnsi" w:hAnsiTheme="majorHAnsi"/>
        </w:rPr>
        <w:t>Tieto opatrenia sa týkajú aj zavedenia</w:t>
      </w:r>
      <w:r w:rsidR="00996677" w:rsidRPr="00A11FE0">
        <w:rPr>
          <w:rFonts w:asciiTheme="majorHAnsi" w:hAnsiTheme="majorHAnsi"/>
        </w:rPr>
        <w:t xml:space="preserve"> </w:t>
      </w:r>
      <w:r>
        <w:rPr>
          <w:rFonts w:asciiTheme="majorHAnsi" w:hAnsiTheme="majorHAnsi"/>
        </w:rPr>
        <w:t>a</w:t>
      </w:r>
      <w:r w:rsidR="00996677" w:rsidRPr="00A11FE0">
        <w:rPr>
          <w:rFonts w:asciiTheme="majorHAnsi" w:hAnsiTheme="majorHAnsi"/>
        </w:rPr>
        <w:t>lebo vývoj</w:t>
      </w:r>
      <w:r w:rsidR="006E51E8">
        <w:rPr>
          <w:rFonts w:asciiTheme="majorHAnsi" w:hAnsiTheme="majorHAnsi"/>
        </w:rPr>
        <w:t>a</w:t>
      </w:r>
      <w:r w:rsidR="00996677" w:rsidRPr="00A11FE0">
        <w:rPr>
          <w:rFonts w:asciiTheme="majorHAnsi" w:hAnsiTheme="majorHAnsi"/>
        </w:rPr>
        <w:t xml:space="preserve"> nových či zdokonalených produktov, procesov, technológií, </w:t>
      </w:r>
      <w:r>
        <w:rPr>
          <w:rFonts w:asciiTheme="majorHAnsi" w:hAnsiTheme="majorHAnsi"/>
        </w:rPr>
        <w:t>s</w:t>
      </w:r>
      <w:r w:rsidR="00996677" w:rsidRPr="00A11FE0">
        <w:rPr>
          <w:rFonts w:asciiTheme="majorHAnsi" w:hAnsiTheme="majorHAnsi"/>
        </w:rPr>
        <w:t xml:space="preserve">ystémov riadenia </w:t>
      </w:r>
      <w:r>
        <w:rPr>
          <w:rFonts w:asciiTheme="majorHAnsi" w:hAnsiTheme="majorHAnsi"/>
        </w:rPr>
        <w:t>a </w:t>
      </w:r>
      <w:r w:rsidR="00996677" w:rsidRPr="00A11FE0">
        <w:rPr>
          <w:rFonts w:asciiTheme="majorHAnsi" w:hAnsiTheme="majorHAnsi"/>
        </w:rPr>
        <w:t>organizácie na všetkých úrovniach dodávateľského reťazca v</w:t>
      </w:r>
      <w:r w:rsidR="00C2367B" w:rsidRPr="00A11FE0">
        <w:rPr>
          <w:rFonts w:asciiTheme="majorHAnsi" w:hAnsiTheme="majorHAnsi"/>
        </w:rPr>
        <w:t> </w:t>
      </w:r>
      <w:r>
        <w:rPr>
          <w:rFonts w:asciiTheme="majorHAnsi" w:hAnsiTheme="majorHAnsi"/>
        </w:rPr>
        <w:t>s</w:t>
      </w:r>
      <w:r w:rsidR="00C2367B" w:rsidRPr="00A11FE0">
        <w:rPr>
          <w:rFonts w:asciiTheme="majorHAnsi" w:hAnsiTheme="majorHAnsi"/>
        </w:rPr>
        <w:t>ektore rybárstva</w:t>
      </w:r>
      <w:r w:rsidR="00996677" w:rsidRPr="00A11FE0">
        <w:rPr>
          <w:rFonts w:asciiTheme="majorHAnsi" w:hAnsiTheme="majorHAnsi"/>
        </w:rPr>
        <w:t xml:space="preserve"> </w:t>
      </w:r>
      <w:r>
        <w:rPr>
          <w:rFonts w:asciiTheme="majorHAnsi" w:hAnsiTheme="majorHAnsi"/>
        </w:rPr>
        <w:t>a</w:t>
      </w:r>
      <w:r w:rsidR="006E51E8">
        <w:rPr>
          <w:rFonts w:asciiTheme="majorHAnsi" w:hAnsiTheme="majorHAnsi"/>
        </w:rPr>
        <w:t> </w:t>
      </w:r>
      <w:r>
        <w:rPr>
          <w:rFonts w:asciiTheme="majorHAnsi" w:hAnsiTheme="majorHAnsi"/>
        </w:rPr>
        <w:t>ak</w:t>
      </w:r>
      <w:r w:rsidR="00996677" w:rsidRPr="00A11FE0">
        <w:rPr>
          <w:rFonts w:asciiTheme="majorHAnsi" w:hAnsiTheme="majorHAnsi"/>
        </w:rPr>
        <w:t>vakultúry</w:t>
      </w:r>
      <w:r w:rsidR="006E51E8">
        <w:rPr>
          <w:rFonts w:asciiTheme="majorHAnsi" w:hAnsiTheme="majorHAnsi"/>
        </w:rPr>
        <w:t xml:space="preserve"> a </w:t>
      </w:r>
      <w:r w:rsidR="00996677" w:rsidRPr="00A11FE0">
        <w:rPr>
          <w:rFonts w:asciiTheme="majorHAnsi" w:hAnsiTheme="majorHAnsi"/>
        </w:rPr>
        <w:t>zlepšeni</w:t>
      </w:r>
      <w:r w:rsidR="006E51E8">
        <w:rPr>
          <w:rFonts w:asciiTheme="majorHAnsi" w:hAnsiTheme="majorHAnsi"/>
        </w:rPr>
        <w:t>a</w:t>
      </w:r>
      <w:r w:rsidR="00996677" w:rsidRPr="00A11FE0">
        <w:rPr>
          <w:rFonts w:asciiTheme="majorHAnsi" w:hAnsiTheme="majorHAnsi"/>
        </w:rPr>
        <w:t xml:space="preserve"> organizácie trhu v</w:t>
      </w:r>
      <w:r w:rsidR="00C2367B" w:rsidRPr="00A11FE0">
        <w:rPr>
          <w:rFonts w:asciiTheme="majorHAnsi" w:hAnsiTheme="majorHAnsi"/>
        </w:rPr>
        <w:t> </w:t>
      </w:r>
      <w:r>
        <w:rPr>
          <w:rFonts w:asciiTheme="majorHAnsi" w:hAnsiTheme="majorHAnsi"/>
        </w:rPr>
        <w:t>s</w:t>
      </w:r>
      <w:r w:rsidR="00C2367B" w:rsidRPr="00A11FE0">
        <w:rPr>
          <w:rFonts w:asciiTheme="majorHAnsi" w:hAnsiTheme="majorHAnsi"/>
        </w:rPr>
        <w:t>ektore rybárstva</w:t>
      </w:r>
      <w:r w:rsidR="00996677" w:rsidRPr="00A11FE0">
        <w:rPr>
          <w:rFonts w:asciiTheme="majorHAnsi" w:hAnsiTheme="majorHAnsi"/>
        </w:rPr>
        <w:t xml:space="preserve"> </w:t>
      </w:r>
      <w:r>
        <w:rPr>
          <w:rFonts w:asciiTheme="majorHAnsi" w:hAnsiTheme="majorHAnsi"/>
        </w:rPr>
        <w:t>a</w:t>
      </w:r>
      <w:r w:rsidR="00F82810">
        <w:rPr>
          <w:rFonts w:asciiTheme="majorHAnsi" w:hAnsiTheme="majorHAnsi"/>
        </w:rPr>
        <w:t> </w:t>
      </w:r>
      <w:r>
        <w:rPr>
          <w:rFonts w:asciiTheme="majorHAnsi" w:hAnsiTheme="majorHAnsi"/>
        </w:rPr>
        <w:t>ak</w:t>
      </w:r>
      <w:r w:rsidR="00996677" w:rsidRPr="00A11FE0">
        <w:rPr>
          <w:rFonts w:asciiTheme="majorHAnsi" w:hAnsiTheme="majorHAnsi"/>
        </w:rPr>
        <w:t>vakultúry</w:t>
      </w:r>
      <w:r w:rsidR="00F82810">
        <w:rPr>
          <w:rFonts w:asciiTheme="majorHAnsi" w:hAnsiTheme="majorHAnsi"/>
        </w:rPr>
        <w:t>. Tieto opatrenia</w:t>
      </w:r>
      <w:r w:rsidR="00996677" w:rsidRPr="00A11FE0">
        <w:rPr>
          <w:rFonts w:asciiTheme="majorHAnsi" w:hAnsiTheme="majorHAnsi"/>
        </w:rPr>
        <w:t xml:space="preserve"> je potrebné uplatňovať </w:t>
      </w:r>
      <w:r w:rsidR="00295C8A" w:rsidRPr="00A11FE0">
        <w:rPr>
          <w:rFonts w:asciiTheme="majorHAnsi" w:hAnsiTheme="majorHAnsi"/>
        </w:rPr>
        <w:t xml:space="preserve">na celom území </w:t>
      </w:r>
      <w:r>
        <w:rPr>
          <w:rFonts w:asciiTheme="majorHAnsi" w:hAnsiTheme="majorHAnsi"/>
        </w:rPr>
        <w:t>S</w:t>
      </w:r>
      <w:r w:rsidR="00295C8A" w:rsidRPr="00A11FE0">
        <w:rPr>
          <w:rFonts w:asciiTheme="majorHAnsi" w:hAnsiTheme="majorHAnsi"/>
        </w:rPr>
        <w:t>R.</w:t>
      </w:r>
    </w:p>
    <w:p w:rsidR="001B6C78" w:rsidRPr="00A11FE0" w:rsidRDefault="001B6C78" w:rsidP="00916A40">
      <w:pPr>
        <w:pStyle w:val="Nadpis3"/>
        <w:numPr>
          <w:ilvl w:val="2"/>
          <w:numId w:val="2"/>
        </w:numPr>
      </w:pPr>
      <w:bookmarkStart w:id="27" w:name="_Toc370475794"/>
      <w:bookmarkStart w:id="28" w:name="_Toc370475799"/>
      <w:bookmarkStart w:id="29" w:name="_Toc370475800"/>
      <w:bookmarkStart w:id="30" w:name="_Toc370475801"/>
      <w:bookmarkStart w:id="31" w:name="_Toc370475802"/>
      <w:bookmarkStart w:id="32" w:name="_Toc370475804"/>
      <w:bookmarkStart w:id="33" w:name="_Toc370475805"/>
      <w:bookmarkStart w:id="34" w:name="_Toc370475806"/>
      <w:bookmarkStart w:id="35" w:name="_Toc370475808"/>
      <w:bookmarkStart w:id="36" w:name="_Toc370475809"/>
      <w:bookmarkStart w:id="37" w:name="_Toc370475810"/>
      <w:bookmarkStart w:id="38" w:name="_Toc370475812"/>
      <w:bookmarkStart w:id="39" w:name="_Toc370475813"/>
      <w:bookmarkStart w:id="40" w:name="_Toc370475814"/>
      <w:bookmarkStart w:id="41" w:name="_Toc370475816"/>
      <w:bookmarkStart w:id="42" w:name="_Toc370475817"/>
      <w:bookmarkStart w:id="43" w:name="_Toc370475818"/>
      <w:bookmarkStart w:id="44" w:name="_Toc370475819"/>
      <w:bookmarkStart w:id="45" w:name="_Toc370475820"/>
      <w:bookmarkStart w:id="46" w:name="_Toc370475821"/>
      <w:bookmarkStart w:id="47" w:name="_Toc370475822"/>
      <w:bookmarkStart w:id="48" w:name="_Toc370475824"/>
      <w:bookmarkStart w:id="49" w:name="_Toc370475825"/>
      <w:bookmarkStart w:id="50" w:name="_Toc370475826"/>
      <w:bookmarkStart w:id="51" w:name="_Toc370475828"/>
      <w:bookmarkStart w:id="52" w:name="_Toc370475830"/>
      <w:bookmarkStart w:id="53" w:name="_Toc370475831"/>
      <w:bookmarkStart w:id="54" w:name="_Toc370475838"/>
      <w:bookmarkStart w:id="55" w:name="_Toc370475842"/>
      <w:bookmarkStart w:id="56" w:name="_Toc370475844"/>
      <w:bookmarkStart w:id="57" w:name="_Toc370475851"/>
      <w:bookmarkStart w:id="58" w:name="_Toc370475853"/>
      <w:bookmarkStart w:id="59" w:name="_Toc370475854"/>
      <w:bookmarkStart w:id="60" w:name="_Toc370475856"/>
      <w:bookmarkStart w:id="61" w:name="_Toc370475857"/>
      <w:bookmarkStart w:id="62" w:name="_Toc370475858"/>
      <w:bookmarkStart w:id="63" w:name="_Toc370475859"/>
      <w:bookmarkStart w:id="64" w:name="_Toc370475860"/>
      <w:bookmarkStart w:id="65" w:name="_Toc370475861"/>
      <w:bookmarkStart w:id="66" w:name="_Toc370475864"/>
      <w:bookmarkStart w:id="67" w:name="_Toc370475865"/>
      <w:bookmarkStart w:id="68" w:name="_Toc370475867"/>
      <w:bookmarkStart w:id="69" w:name="_Toc370475868"/>
      <w:bookmarkStart w:id="70" w:name="_Toc370475869"/>
      <w:bookmarkStart w:id="71" w:name="_Toc370475872"/>
      <w:bookmarkStart w:id="72" w:name="_Toc370475873"/>
      <w:bookmarkStart w:id="73" w:name="_Toc370475874"/>
      <w:bookmarkStart w:id="74" w:name="_ftnref16"/>
      <w:bookmarkStart w:id="75" w:name="_ftnref23"/>
      <w:bookmarkStart w:id="76" w:name="_ftnref24"/>
      <w:bookmarkStart w:id="77" w:name="_ftnref25"/>
      <w:bookmarkStart w:id="78" w:name="_Toc370475875"/>
      <w:bookmarkStart w:id="79" w:name="_Toc370475876"/>
      <w:bookmarkStart w:id="80" w:name="_Toc370475877"/>
      <w:bookmarkStart w:id="81" w:name="_Toc370475878"/>
      <w:bookmarkStart w:id="82" w:name="_Toc370475880"/>
      <w:bookmarkStart w:id="83" w:name="_Toc370475881"/>
      <w:bookmarkStart w:id="84" w:name="_Toc370475882"/>
      <w:bookmarkStart w:id="85" w:name="_Toc370475883"/>
      <w:bookmarkStart w:id="86" w:name="_Toc370475885"/>
      <w:bookmarkStart w:id="87" w:name="_Toc370475888"/>
      <w:bookmarkStart w:id="88" w:name="_Toc370475892"/>
      <w:bookmarkStart w:id="89" w:name="_Toc370475893"/>
      <w:bookmarkStart w:id="90" w:name="_Toc370475894"/>
      <w:bookmarkStart w:id="91" w:name="_Toc370475900"/>
      <w:bookmarkStart w:id="92" w:name="_Toc370475903"/>
      <w:bookmarkStart w:id="93" w:name="_Toc370475905"/>
      <w:bookmarkStart w:id="94" w:name="_Toc370475910"/>
      <w:bookmarkStart w:id="95" w:name="_Toc370475911"/>
      <w:bookmarkStart w:id="96" w:name="_Toc370475914"/>
      <w:bookmarkStart w:id="97" w:name="_Toc370475923"/>
      <w:bookmarkStart w:id="98" w:name="_Toc370475924"/>
      <w:bookmarkStart w:id="99" w:name="_Toc370475926"/>
      <w:bookmarkStart w:id="100" w:name="_Toc370475928"/>
      <w:bookmarkStart w:id="101" w:name="_Toc370475929"/>
      <w:bookmarkStart w:id="102" w:name="_Toc370475931"/>
      <w:bookmarkStart w:id="103" w:name="_Toc370475933"/>
      <w:bookmarkStart w:id="104" w:name="_Toc370475934"/>
      <w:bookmarkStart w:id="105" w:name="_Toc370475935"/>
      <w:bookmarkStart w:id="106" w:name="_Toc370475937"/>
      <w:bookmarkStart w:id="107" w:name="_Toc370475939"/>
      <w:bookmarkStart w:id="108" w:name="_Toc370475941"/>
      <w:bookmarkStart w:id="109" w:name="_Toc370475947"/>
      <w:bookmarkStart w:id="110" w:name="_Toc370475948"/>
      <w:bookmarkStart w:id="111" w:name="_Toc370475953"/>
      <w:bookmarkStart w:id="112" w:name="_Toc370475955"/>
      <w:bookmarkStart w:id="113" w:name="_Toc370475956"/>
      <w:bookmarkStart w:id="114" w:name="_Toc370475958"/>
      <w:bookmarkStart w:id="115" w:name="_Toc370475960"/>
      <w:bookmarkStart w:id="116" w:name="_Toc370475966"/>
      <w:bookmarkStart w:id="117" w:name="_Toc370475967"/>
      <w:bookmarkStart w:id="118" w:name="_Toc370475968"/>
      <w:bookmarkStart w:id="119" w:name="_Toc370475969"/>
      <w:bookmarkStart w:id="120" w:name="_Toc370475971"/>
      <w:bookmarkStart w:id="121" w:name="_Toc370475975"/>
      <w:bookmarkStart w:id="122" w:name="_Toc370475977"/>
      <w:bookmarkStart w:id="123" w:name="_Toc370475979"/>
      <w:bookmarkStart w:id="124" w:name="_Toc370475983"/>
      <w:bookmarkStart w:id="125" w:name="_Toc370475984"/>
      <w:bookmarkStart w:id="126" w:name="_Toc370475987"/>
      <w:bookmarkStart w:id="127" w:name="_Toc370475990"/>
      <w:bookmarkStart w:id="128" w:name="_Toc370475997"/>
      <w:bookmarkStart w:id="129" w:name="_Toc370476000"/>
      <w:bookmarkStart w:id="130" w:name="_Toc370476001"/>
      <w:bookmarkStart w:id="131" w:name="_Toc370476002"/>
      <w:bookmarkStart w:id="132" w:name="_Toc370476006"/>
      <w:bookmarkStart w:id="133" w:name="_Toc370476009"/>
      <w:bookmarkStart w:id="134" w:name="_Toc370476011"/>
      <w:bookmarkStart w:id="135" w:name="_Toc370476014"/>
      <w:bookmarkStart w:id="136" w:name="_Toc370476015"/>
      <w:bookmarkStart w:id="137" w:name="_Toc370476018"/>
      <w:bookmarkStart w:id="138" w:name="_Toc370476021"/>
      <w:bookmarkStart w:id="139" w:name="_Toc370476022"/>
      <w:bookmarkStart w:id="140" w:name="_Toc370476024"/>
      <w:bookmarkStart w:id="141" w:name="_Toc370476030"/>
      <w:bookmarkStart w:id="142" w:name="_Toc370476040"/>
      <w:bookmarkStart w:id="143" w:name="_Toc370476042"/>
      <w:bookmarkStart w:id="144" w:name="_Toc370476043"/>
      <w:bookmarkStart w:id="145" w:name="_Toc370476044"/>
      <w:bookmarkStart w:id="146" w:name="_Toc370476046"/>
      <w:bookmarkStart w:id="147" w:name="_Toc370476047"/>
      <w:bookmarkStart w:id="148" w:name="_Toc370476052"/>
      <w:bookmarkStart w:id="149" w:name="_Toc370476056"/>
      <w:bookmarkStart w:id="150" w:name="_Toc370476057"/>
      <w:bookmarkStart w:id="151" w:name="_Toc370476058"/>
      <w:bookmarkStart w:id="152" w:name="_Toc370476060"/>
      <w:bookmarkStart w:id="153" w:name="_Toc370476061"/>
      <w:bookmarkStart w:id="154" w:name="_Toc370476063"/>
      <w:bookmarkStart w:id="155" w:name="_Toc370476064"/>
      <w:bookmarkStart w:id="156" w:name="_Toc370476065"/>
      <w:bookmarkStart w:id="157" w:name="_Toc370476066"/>
      <w:bookmarkStart w:id="158" w:name="_Toc370476067"/>
      <w:bookmarkStart w:id="159" w:name="_Toc370476068"/>
      <w:bookmarkStart w:id="160" w:name="_Toc370476070"/>
      <w:bookmarkStart w:id="161" w:name="_Toc370476071"/>
      <w:bookmarkStart w:id="162" w:name="_Toc370476074"/>
      <w:bookmarkStart w:id="163" w:name="_Toc370476079"/>
      <w:bookmarkStart w:id="164" w:name="_Toc370476082"/>
      <w:bookmarkStart w:id="165" w:name="_Toc370476084"/>
      <w:bookmarkStart w:id="166" w:name="_Toc370476085"/>
      <w:bookmarkStart w:id="167" w:name="_Toc370476088"/>
      <w:bookmarkStart w:id="168" w:name="_Toc370476089"/>
      <w:bookmarkStart w:id="169" w:name="_Toc370476092"/>
      <w:bookmarkStart w:id="170" w:name="_Toc370476094"/>
      <w:bookmarkStart w:id="171" w:name="_Toc370476102"/>
      <w:bookmarkStart w:id="172" w:name="_Toc370476103"/>
      <w:bookmarkStart w:id="173" w:name="_Toc370476105"/>
      <w:bookmarkStart w:id="174" w:name="_Toc370476107"/>
      <w:bookmarkStart w:id="175" w:name="_Toc370476109"/>
      <w:bookmarkStart w:id="176" w:name="_Toc370476110"/>
      <w:bookmarkStart w:id="177" w:name="_Toc370476111"/>
      <w:bookmarkStart w:id="178" w:name="_Toc370476112"/>
      <w:bookmarkStart w:id="179" w:name="_Toc370476113"/>
      <w:bookmarkStart w:id="180" w:name="_Toc243474055"/>
      <w:bookmarkStart w:id="181" w:name="_Toc373169698"/>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A11FE0">
        <w:t xml:space="preserve">Infraštruktúra pre hospodársky rast </w:t>
      </w:r>
      <w:r w:rsidR="00BD5FD5">
        <w:t>a</w:t>
      </w:r>
      <w:r w:rsidR="003E32B9" w:rsidRPr="00A11FE0">
        <w:t> </w:t>
      </w:r>
      <w:bookmarkEnd w:id="180"/>
      <w:bookmarkEnd w:id="181"/>
      <w:r w:rsidR="003E32B9" w:rsidRPr="00A11FE0">
        <w:t>tvorbu pracovných miest</w:t>
      </w:r>
    </w:p>
    <w:p w:rsidR="001B6C78" w:rsidRPr="00A11FE0" w:rsidRDefault="00BD5FD5" w:rsidP="006C5E93">
      <w:pPr>
        <w:spacing w:after="0"/>
        <w:rPr>
          <w:rFonts w:asciiTheme="majorHAnsi" w:hAnsiTheme="majorHAnsi"/>
          <w:szCs w:val="22"/>
        </w:rPr>
      </w:pPr>
      <w:r>
        <w:rPr>
          <w:rFonts w:asciiTheme="majorHAnsi" w:hAnsiTheme="majorHAnsi"/>
        </w:rPr>
        <w:t>S</w:t>
      </w:r>
      <w:r w:rsidR="001B6C78" w:rsidRPr="00A11FE0">
        <w:rPr>
          <w:rFonts w:asciiTheme="majorHAnsi" w:hAnsiTheme="majorHAnsi"/>
        </w:rPr>
        <w:t>R disponuje nedobudovanou</w:t>
      </w:r>
      <w:r w:rsidR="00C9066E" w:rsidRPr="00A11FE0">
        <w:rPr>
          <w:rFonts w:asciiTheme="majorHAnsi" w:hAnsiTheme="majorHAnsi"/>
        </w:rPr>
        <w:t xml:space="preserve">, </w:t>
      </w:r>
      <w:r w:rsidR="001B6C78" w:rsidRPr="00A11FE0">
        <w:rPr>
          <w:rFonts w:asciiTheme="majorHAnsi" w:hAnsiTheme="majorHAnsi"/>
        </w:rPr>
        <w:t xml:space="preserve">technicky </w:t>
      </w:r>
      <w:r>
        <w:rPr>
          <w:rFonts w:asciiTheme="majorHAnsi" w:hAnsiTheme="majorHAnsi"/>
        </w:rPr>
        <w:t>a k</w:t>
      </w:r>
      <w:r w:rsidR="001B6C78" w:rsidRPr="00A11FE0">
        <w:rPr>
          <w:rFonts w:asciiTheme="majorHAnsi" w:hAnsiTheme="majorHAnsi"/>
        </w:rPr>
        <w:t xml:space="preserve">valitatívne zastaranou infraštruktúrou, </w:t>
      </w:r>
      <w:r>
        <w:rPr>
          <w:rFonts w:asciiTheme="majorHAnsi" w:hAnsiTheme="majorHAnsi"/>
        </w:rPr>
        <w:t>k</w:t>
      </w:r>
      <w:r w:rsidR="001B6C78" w:rsidRPr="00A11FE0">
        <w:rPr>
          <w:rFonts w:asciiTheme="majorHAnsi" w:hAnsiTheme="majorHAnsi"/>
        </w:rPr>
        <w:t xml:space="preserve">torá </w:t>
      </w:r>
      <w:r>
        <w:rPr>
          <w:rFonts w:asciiTheme="majorHAnsi" w:hAnsiTheme="majorHAnsi"/>
        </w:rPr>
        <w:t>s</w:t>
      </w:r>
      <w:r w:rsidR="001B6C78" w:rsidRPr="00A11FE0">
        <w:rPr>
          <w:rFonts w:asciiTheme="majorHAnsi" w:hAnsiTheme="majorHAnsi"/>
        </w:rPr>
        <w:t xml:space="preserve">a negatívnym </w:t>
      </w:r>
      <w:r>
        <w:rPr>
          <w:rFonts w:asciiTheme="majorHAnsi" w:hAnsiTheme="majorHAnsi"/>
        </w:rPr>
        <w:t>s</w:t>
      </w:r>
      <w:r w:rsidR="001B6C78" w:rsidRPr="00A11FE0">
        <w:rPr>
          <w:rFonts w:asciiTheme="majorHAnsi" w:hAnsiTheme="majorHAnsi"/>
        </w:rPr>
        <w:t>pôsobom premieta v</w:t>
      </w:r>
      <w:r w:rsidR="009776DA">
        <w:rPr>
          <w:rFonts w:asciiTheme="majorHAnsi" w:hAnsiTheme="majorHAnsi"/>
        </w:rPr>
        <w:t> </w:t>
      </w:r>
      <w:r w:rsidR="001B6C78" w:rsidRPr="00A11FE0">
        <w:rPr>
          <w:rFonts w:asciiTheme="majorHAnsi" w:hAnsiTheme="majorHAnsi"/>
        </w:rPr>
        <w:t xml:space="preserve">oblastiach hospodárstva, </w:t>
      </w:r>
      <w:r w:rsidR="00C9066E" w:rsidRPr="00A11FE0">
        <w:rPr>
          <w:rFonts w:asciiTheme="majorHAnsi" w:hAnsiTheme="majorHAnsi"/>
        </w:rPr>
        <w:t>v</w:t>
      </w:r>
      <w:r w:rsidR="00BD7A56">
        <w:rPr>
          <w:rFonts w:asciiTheme="majorHAnsi" w:hAnsiTheme="majorHAnsi"/>
        </w:rPr>
        <w:t> </w:t>
      </w:r>
      <w:r w:rsidR="001B6C78" w:rsidRPr="00A11FE0">
        <w:rPr>
          <w:rFonts w:asciiTheme="majorHAnsi" w:hAnsiTheme="majorHAnsi"/>
        </w:rPr>
        <w:t>znižovaní</w:t>
      </w:r>
      <w:r w:rsidR="00BD7A56">
        <w:rPr>
          <w:rFonts w:asciiTheme="majorHAnsi" w:hAnsiTheme="majorHAnsi"/>
        </w:rPr>
        <w:t xml:space="preserve"> </w:t>
      </w:r>
      <w:r w:rsidR="001B6C78" w:rsidRPr="00A11FE0">
        <w:rPr>
          <w:rFonts w:asciiTheme="majorHAnsi" w:hAnsiTheme="majorHAnsi"/>
        </w:rPr>
        <w:t xml:space="preserve">emisií </w:t>
      </w:r>
      <w:r>
        <w:rPr>
          <w:rFonts w:asciiTheme="majorHAnsi" w:hAnsiTheme="majorHAnsi"/>
        </w:rPr>
        <w:t>s</w:t>
      </w:r>
      <w:r w:rsidR="001B6C78" w:rsidRPr="00A11FE0">
        <w:rPr>
          <w:rFonts w:asciiTheme="majorHAnsi" w:hAnsiTheme="majorHAnsi"/>
        </w:rPr>
        <w:t xml:space="preserve">kleníkových plynov </w:t>
      </w:r>
      <w:r>
        <w:rPr>
          <w:rFonts w:asciiTheme="majorHAnsi" w:hAnsiTheme="majorHAnsi"/>
        </w:rPr>
        <w:t>a </w:t>
      </w:r>
      <w:r w:rsidR="003E32B9" w:rsidRPr="00A11FE0">
        <w:rPr>
          <w:rFonts w:asciiTheme="majorHAnsi" w:hAnsiTheme="majorHAnsi"/>
        </w:rPr>
        <w:t xml:space="preserve">nedostatočnom </w:t>
      </w:r>
      <w:r w:rsidR="001B6C78" w:rsidRPr="00A11FE0">
        <w:rPr>
          <w:rFonts w:asciiTheme="majorHAnsi" w:hAnsiTheme="majorHAnsi"/>
        </w:rPr>
        <w:t>zvyšovan</w:t>
      </w:r>
      <w:r w:rsidR="00C9066E" w:rsidRPr="00A11FE0">
        <w:rPr>
          <w:rFonts w:asciiTheme="majorHAnsi" w:hAnsiTheme="majorHAnsi"/>
        </w:rPr>
        <w:t>í</w:t>
      </w:r>
      <w:r w:rsidR="001B6C78" w:rsidRPr="00A11FE0">
        <w:rPr>
          <w:rFonts w:asciiTheme="majorHAnsi" w:hAnsiTheme="majorHAnsi"/>
        </w:rPr>
        <w:t xml:space="preserve"> energetickej efektívnosti/podielu obnoviteľných zdrojov</w:t>
      </w:r>
      <w:r w:rsidR="00C9066E" w:rsidRPr="00A11FE0">
        <w:rPr>
          <w:rFonts w:asciiTheme="majorHAnsi" w:hAnsiTheme="majorHAnsi"/>
        </w:rPr>
        <w:t>. T</w:t>
      </w:r>
      <w:r w:rsidR="001B6C78" w:rsidRPr="00A11FE0">
        <w:rPr>
          <w:rFonts w:asciiTheme="majorHAnsi" w:hAnsiTheme="majorHAnsi"/>
        </w:rPr>
        <w:t>vorí prekážku v</w:t>
      </w:r>
      <w:r w:rsidR="00BD7A56">
        <w:rPr>
          <w:rFonts w:asciiTheme="majorHAnsi" w:hAnsiTheme="majorHAnsi"/>
        </w:rPr>
        <w:t> </w:t>
      </w:r>
      <w:r w:rsidR="001B6C78" w:rsidRPr="00A11FE0">
        <w:rPr>
          <w:rFonts w:asciiTheme="majorHAnsi" w:hAnsiTheme="majorHAnsi"/>
        </w:rPr>
        <w:t>mobilite</w:t>
      </w:r>
      <w:r w:rsidR="00BD7A56">
        <w:rPr>
          <w:rFonts w:asciiTheme="majorHAnsi" w:hAnsiTheme="majorHAnsi"/>
        </w:rPr>
        <w:t xml:space="preserve"> </w:t>
      </w:r>
      <w:r w:rsidR="001B6C78" w:rsidRPr="00A11FE0">
        <w:rPr>
          <w:rFonts w:asciiTheme="majorHAnsi" w:hAnsiTheme="majorHAnsi"/>
        </w:rPr>
        <w:t xml:space="preserve">obyvateľstva </w:t>
      </w:r>
      <w:r>
        <w:rPr>
          <w:rFonts w:asciiTheme="majorHAnsi" w:hAnsiTheme="majorHAnsi"/>
        </w:rPr>
        <w:t>a </w:t>
      </w:r>
      <w:r w:rsidR="001B6C78" w:rsidRPr="00A11FE0">
        <w:rPr>
          <w:rFonts w:asciiTheme="majorHAnsi" w:hAnsiTheme="majorHAnsi"/>
        </w:rPr>
        <w:t xml:space="preserve">znižuje </w:t>
      </w:r>
      <w:r>
        <w:rPr>
          <w:rFonts w:asciiTheme="majorHAnsi" w:hAnsiTheme="majorHAnsi"/>
        </w:rPr>
        <w:t>a</w:t>
      </w:r>
      <w:r w:rsidR="001B6C78" w:rsidRPr="00A11FE0">
        <w:rPr>
          <w:rFonts w:asciiTheme="majorHAnsi" w:hAnsiTheme="majorHAnsi"/>
        </w:rPr>
        <w:t xml:space="preserve">traktivitu územia. Cieľom je prispieť </w:t>
      </w:r>
      <w:r>
        <w:rPr>
          <w:rFonts w:asciiTheme="majorHAnsi" w:hAnsiTheme="majorHAnsi"/>
        </w:rPr>
        <w:t>k </w:t>
      </w:r>
      <w:r w:rsidR="001B6C78" w:rsidRPr="00A11FE0">
        <w:rPr>
          <w:rFonts w:asciiTheme="majorHAnsi" w:hAnsiTheme="majorHAnsi"/>
        </w:rPr>
        <w:t xml:space="preserve">homogenizácii </w:t>
      </w:r>
      <w:r w:rsidR="00D70243" w:rsidRPr="00D70243">
        <w:rPr>
          <w:rFonts w:asciiTheme="majorHAnsi" w:hAnsiTheme="majorHAnsi"/>
        </w:rPr>
        <w:t xml:space="preserve">transeurópskej dopravnej </w:t>
      </w:r>
      <w:r>
        <w:rPr>
          <w:rFonts w:asciiTheme="majorHAnsi" w:hAnsiTheme="majorHAnsi"/>
        </w:rPr>
        <w:t>s</w:t>
      </w:r>
      <w:r w:rsidR="001B6C78" w:rsidRPr="00A11FE0">
        <w:rPr>
          <w:rFonts w:asciiTheme="majorHAnsi" w:hAnsiTheme="majorHAnsi"/>
        </w:rPr>
        <w:t xml:space="preserve">iete </w:t>
      </w:r>
      <w:r w:rsidR="004176D2">
        <w:rPr>
          <w:rFonts w:asciiTheme="majorHAnsi" w:hAnsiTheme="majorHAnsi"/>
        </w:rPr>
        <w:t>(</w:t>
      </w:r>
      <w:r w:rsidR="001B6C78" w:rsidRPr="00A11FE0">
        <w:rPr>
          <w:rFonts w:asciiTheme="majorHAnsi" w:hAnsiTheme="majorHAnsi"/>
        </w:rPr>
        <w:t>TEN-T</w:t>
      </w:r>
      <w:r w:rsidR="004176D2">
        <w:rPr>
          <w:rFonts w:asciiTheme="majorHAnsi" w:hAnsiTheme="majorHAnsi"/>
        </w:rPr>
        <w:t>)</w:t>
      </w:r>
      <w:r w:rsidR="001B6C78" w:rsidRPr="00A11FE0">
        <w:rPr>
          <w:rFonts w:asciiTheme="majorHAnsi" w:hAnsiTheme="majorHAnsi"/>
        </w:rPr>
        <w:t xml:space="preserve">, </w:t>
      </w:r>
      <w:r>
        <w:rPr>
          <w:rFonts w:asciiTheme="majorHAnsi" w:hAnsiTheme="majorHAnsi"/>
        </w:rPr>
        <w:t>k </w:t>
      </w:r>
      <w:r w:rsidR="001B6C78" w:rsidRPr="00A11FE0">
        <w:rPr>
          <w:rFonts w:asciiTheme="majorHAnsi" w:hAnsiTheme="majorHAnsi"/>
        </w:rPr>
        <w:t>zabezpečeniu</w:t>
      </w:r>
      <w:r w:rsidR="00285918">
        <w:rPr>
          <w:rFonts w:asciiTheme="majorHAnsi" w:hAnsiTheme="majorHAnsi"/>
        </w:rPr>
        <w:t xml:space="preserve"> </w:t>
      </w:r>
      <w:r w:rsidR="001B6C78" w:rsidRPr="00A11FE0">
        <w:rPr>
          <w:rFonts w:asciiTheme="majorHAnsi" w:hAnsiTheme="majorHAnsi"/>
        </w:rPr>
        <w:t xml:space="preserve">plynulého fungovania vnútorného trhu </w:t>
      </w:r>
      <w:r>
        <w:rPr>
          <w:rFonts w:asciiTheme="majorHAnsi" w:hAnsiTheme="majorHAnsi"/>
        </w:rPr>
        <w:t>a </w:t>
      </w:r>
      <w:r w:rsidR="001B6C78" w:rsidRPr="00A11FE0">
        <w:rPr>
          <w:rFonts w:asciiTheme="majorHAnsi" w:hAnsiTheme="majorHAnsi"/>
        </w:rPr>
        <w:t xml:space="preserve">posilneniu hospodárskej, </w:t>
      </w:r>
      <w:r>
        <w:rPr>
          <w:rFonts w:asciiTheme="majorHAnsi" w:hAnsiTheme="majorHAnsi"/>
        </w:rPr>
        <w:t>s</w:t>
      </w:r>
      <w:r w:rsidR="001B6C78" w:rsidRPr="00A11FE0">
        <w:rPr>
          <w:rFonts w:asciiTheme="majorHAnsi" w:hAnsiTheme="majorHAnsi"/>
        </w:rPr>
        <w:t xml:space="preserve">ociálnej </w:t>
      </w:r>
      <w:r>
        <w:rPr>
          <w:rFonts w:asciiTheme="majorHAnsi" w:hAnsiTheme="majorHAnsi"/>
        </w:rPr>
        <w:t>a </w:t>
      </w:r>
      <w:r w:rsidR="001B6C78" w:rsidRPr="00A11FE0">
        <w:rPr>
          <w:rFonts w:asciiTheme="majorHAnsi" w:hAnsiTheme="majorHAnsi"/>
        </w:rPr>
        <w:t>územnej</w:t>
      </w:r>
      <w:r w:rsidR="00285918">
        <w:rPr>
          <w:rFonts w:asciiTheme="majorHAnsi" w:hAnsiTheme="majorHAnsi"/>
        </w:rPr>
        <w:t xml:space="preserve"> </w:t>
      </w:r>
      <w:r>
        <w:rPr>
          <w:rFonts w:asciiTheme="majorHAnsi" w:hAnsiTheme="majorHAnsi"/>
        </w:rPr>
        <w:t>s</w:t>
      </w:r>
      <w:r w:rsidR="001B6C78" w:rsidRPr="00A11FE0">
        <w:rPr>
          <w:rFonts w:asciiTheme="majorHAnsi" w:hAnsiTheme="majorHAnsi"/>
        </w:rPr>
        <w:t>údržnosti.</w:t>
      </w:r>
      <w:r w:rsidR="001B6C78" w:rsidRPr="00A11FE0">
        <w:rPr>
          <w:rFonts w:asciiTheme="majorHAnsi" w:hAnsiTheme="majorHAnsi"/>
          <w:szCs w:val="22"/>
        </w:rPr>
        <w:t xml:space="preserve"> Z tohto dôvodu je potrebné v nasledujúcom období vyriešiť </w:t>
      </w:r>
      <w:r w:rsidR="00DC6BC8">
        <w:rPr>
          <w:rFonts w:asciiTheme="majorHAnsi" w:hAnsiTheme="majorHAnsi"/>
          <w:szCs w:val="22"/>
        </w:rPr>
        <w:t xml:space="preserve">nasledovné </w:t>
      </w:r>
      <w:r w:rsidR="001B6C78" w:rsidRPr="00A11FE0">
        <w:rPr>
          <w:rFonts w:asciiTheme="majorHAnsi" w:hAnsiTheme="majorHAnsi"/>
          <w:szCs w:val="22"/>
        </w:rPr>
        <w:t>probl</w:t>
      </w:r>
      <w:r w:rsidR="00DC6BC8">
        <w:rPr>
          <w:rFonts w:asciiTheme="majorHAnsi" w:hAnsiTheme="majorHAnsi"/>
          <w:szCs w:val="22"/>
        </w:rPr>
        <w:t>ematické</w:t>
      </w:r>
      <w:r w:rsidR="001B6C78" w:rsidRPr="00A11FE0">
        <w:rPr>
          <w:rFonts w:asciiTheme="majorHAnsi" w:hAnsiTheme="majorHAnsi"/>
          <w:szCs w:val="22"/>
        </w:rPr>
        <w:t xml:space="preserve"> oblasti</w:t>
      </w:r>
      <w:r w:rsidR="00DC6BC8">
        <w:rPr>
          <w:rFonts w:asciiTheme="majorHAnsi" w:hAnsiTheme="majorHAnsi"/>
          <w:szCs w:val="22"/>
        </w:rPr>
        <w:t xml:space="preserve">, </w:t>
      </w:r>
      <w:r w:rsidR="001B6C78" w:rsidRPr="00A11FE0">
        <w:rPr>
          <w:rFonts w:asciiTheme="majorHAnsi" w:hAnsiTheme="majorHAnsi"/>
          <w:szCs w:val="22"/>
        </w:rPr>
        <w:t>a</w:t>
      </w:r>
      <w:r w:rsidR="00EC6FAE">
        <w:rPr>
          <w:rFonts w:asciiTheme="majorHAnsi" w:hAnsiTheme="majorHAnsi"/>
          <w:szCs w:val="22"/>
        </w:rPr>
        <w:t xml:space="preserve"> </w:t>
      </w:r>
      <w:r w:rsidR="00DC6BC8">
        <w:rPr>
          <w:rFonts w:asciiTheme="majorHAnsi" w:hAnsiTheme="majorHAnsi"/>
          <w:szCs w:val="22"/>
        </w:rPr>
        <w:t>to</w:t>
      </w:r>
      <w:r w:rsidR="001B6C78" w:rsidRPr="00A11FE0">
        <w:rPr>
          <w:rFonts w:asciiTheme="majorHAnsi" w:hAnsiTheme="majorHAnsi"/>
          <w:szCs w:val="22"/>
        </w:rPr>
        <w:t>:</w:t>
      </w:r>
    </w:p>
    <w:p w:rsidR="001B6C78" w:rsidRPr="00A11FE0" w:rsidRDefault="001B6C78" w:rsidP="00F32A95">
      <w:pPr>
        <w:pStyle w:val="Odsekzoznamu"/>
        <w:numPr>
          <w:ilvl w:val="0"/>
          <w:numId w:val="3"/>
        </w:numPr>
        <w:spacing w:before="0"/>
        <w:ind w:left="714" w:hanging="357"/>
        <w:rPr>
          <w:rFonts w:asciiTheme="majorHAnsi" w:hAnsiTheme="majorHAnsi"/>
          <w:szCs w:val="22"/>
        </w:rPr>
      </w:pPr>
      <w:r w:rsidRPr="00A11FE0">
        <w:rPr>
          <w:rFonts w:asciiTheme="majorHAnsi" w:hAnsiTheme="majorHAnsi"/>
          <w:szCs w:val="22"/>
        </w:rPr>
        <w:t xml:space="preserve">odstránenie </w:t>
      </w:r>
      <w:r w:rsidR="00BD5FD5">
        <w:rPr>
          <w:rFonts w:asciiTheme="majorHAnsi" w:hAnsiTheme="majorHAnsi"/>
          <w:szCs w:val="22"/>
        </w:rPr>
        <w:t>k</w:t>
      </w:r>
      <w:r w:rsidRPr="00A11FE0">
        <w:rPr>
          <w:rFonts w:asciiTheme="majorHAnsi" w:hAnsiTheme="majorHAnsi"/>
          <w:szCs w:val="22"/>
        </w:rPr>
        <w:t xml:space="preserve">ľúčových nedostatkov v prioritných úsekoch dopravnej </w:t>
      </w:r>
      <w:r w:rsidR="00BD5FD5">
        <w:rPr>
          <w:rFonts w:asciiTheme="majorHAnsi" w:hAnsiTheme="majorHAnsi"/>
          <w:szCs w:val="22"/>
        </w:rPr>
        <w:t>s</w:t>
      </w:r>
      <w:r w:rsidRPr="00A11FE0">
        <w:rPr>
          <w:rFonts w:asciiTheme="majorHAnsi" w:hAnsiTheme="majorHAnsi"/>
          <w:szCs w:val="22"/>
        </w:rPr>
        <w:t>iete;</w:t>
      </w:r>
    </w:p>
    <w:p w:rsidR="001B6C78" w:rsidRPr="00A11FE0" w:rsidRDefault="00DC6BC8" w:rsidP="00F32A95">
      <w:pPr>
        <w:pStyle w:val="Odsekzoznamu"/>
        <w:numPr>
          <w:ilvl w:val="0"/>
          <w:numId w:val="3"/>
        </w:numPr>
        <w:rPr>
          <w:rFonts w:asciiTheme="majorHAnsi" w:hAnsiTheme="majorHAnsi"/>
          <w:szCs w:val="22"/>
        </w:rPr>
      </w:pPr>
      <w:r>
        <w:rPr>
          <w:rFonts w:asciiTheme="majorHAnsi" w:hAnsiTheme="majorHAnsi"/>
          <w:szCs w:val="22"/>
        </w:rPr>
        <w:t xml:space="preserve">zabezpečenie </w:t>
      </w:r>
      <w:r w:rsidR="001B6C78" w:rsidRPr="00A11FE0">
        <w:rPr>
          <w:rFonts w:asciiTheme="majorHAnsi" w:hAnsiTheme="majorHAnsi"/>
          <w:szCs w:val="22"/>
        </w:rPr>
        <w:t>dostupn</w:t>
      </w:r>
      <w:r>
        <w:rPr>
          <w:rFonts w:asciiTheme="majorHAnsi" w:hAnsiTheme="majorHAnsi"/>
          <w:szCs w:val="22"/>
        </w:rPr>
        <w:t>ej,</w:t>
      </w:r>
      <w:r w:rsidR="001B6C78" w:rsidRPr="00A11FE0">
        <w:rPr>
          <w:rFonts w:asciiTheme="majorHAnsi" w:hAnsiTheme="majorHAnsi"/>
          <w:szCs w:val="22"/>
        </w:rPr>
        <w:t xml:space="preserve"> </w:t>
      </w:r>
      <w:r w:rsidR="00BD5FD5">
        <w:rPr>
          <w:rFonts w:asciiTheme="majorHAnsi" w:hAnsiTheme="majorHAnsi"/>
          <w:szCs w:val="22"/>
        </w:rPr>
        <w:t>k</w:t>
      </w:r>
      <w:r w:rsidR="001B6C78" w:rsidRPr="00A11FE0">
        <w:rPr>
          <w:rFonts w:asciiTheme="majorHAnsi" w:hAnsiTheme="majorHAnsi"/>
          <w:szCs w:val="22"/>
        </w:rPr>
        <w:t>valitn</w:t>
      </w:r>
      <w:r>
        <w:rPr>
          <w:rFonts w:asciiTheme="majorHAnsi" w:hAnsiTheme="majorHAnsi"/>
          <w:szCs w:val="22"/>
        </w:rPr>
        <w:t>ej</w:t>
      </w:r>
      <w:r w:rsidR="001B6C78" w:rsidRPr="00A11FE0">
        <w:rPr>
          <w:rFonts w:asciiTheme="majorHAnsi" w:hAnsiTheme="majorHAnsi"/>
          <w:szCs w:val="22"/>
        </w:rPr>
        <w:t xml:space="preserve"> </w:t>
      </w:r>
      <w:r w:rsidR="00BD5FD5">
        <w:rPr>
          <w:rFonts w:asciiTheme="majorHAnsi" w:hAnsiTheme="majorHAnsi"/>
          <w:szCs w:val="22"/>
        </w:rPr>
        <w:t>a</w:t>
      </w:r>
      <w:r w:rsidR="001B6C78" w:rsidRPr="00A11FE0">
        <w:rPr>
          <w:rFonts w:asciiTheme="majorHAnsi" w:hAnsiTheme="majorHAnsi"/>
          <w:szCs w:val="22"/>
        </w:rPr>
        <w:t> udržateľn</w:t>
      </w:r>
      <w:r>
        <w:rPr>
          <w:rFonts w:asciiTheme="majorHAnsi" w:hAnsiTheme="majorHAnsi"/>
          <w:szCs w:val="22"/>
        </w:rPr>
        <w:t>ej</w:t>
      </w:r>
      <w:r w:rsidR="001B6C78" w:rsidRPr="00A11FE0">
        <w:rPr>
          <w:rFonts w:asciiTheme="majorHAnsi" w:hAnsiTheme="majorHAnsi"/>
          <w:szCs w:val="22"/>
        </w:rPr>
        <w:t xml:space="preserve"> </w:t>
      </w:r>
      <w:r w:rsidR="00BD5FD5">
        <w:rPr>
          <w:rFonts w:asciiTheme="majorHAnsi" w:hAnsiTheme="majorHAnsi"/>
          <w:szCs w:val="22"/>
        </w:rPr>
        <w:t>s</w:t>
      </w:r>
      <w:r w:rsidR="001B6C78" w:rsidRPr="00A11FE0">
        <w:rPr>
          <w:rFonts w:asciiTheme="majorHAnsi" w:hAnsiTheme="majorHAnsi"/>
          <w:szCs w:val="22"/>
        </w:rPr>
        <w:t>ieťov</w:t>
      </w:r>
      <w:r>
        <w:rPr>
          <w:rFonts w:asciiTheme="majorHAnsi" w:hAnsiTheme="majorHAnsi"/>
          <w:szCs w:val="22"/>
        </w:rPr>
        <w:t>ej</w:t>
      </w:r>
      <w:r w:rsidR="001B6C78" w:rsidRPr="00A11FE0">
        <w:rPr>
          <w:rFonts w:asciiTheme="majorHAnsi" w:hAnsiTheme="majorHAnsi"/>
          <w:szCs w:val="22"/>
        </w:rPr>
        <w:t xml:space="preserve"> infraštruktúr</w:t>
      </w:r>
      <w:r>
        <w:rPr>
          <w:rFonts w:asciiTheme="majorHAnsi" w:hAnsiTheme="majorHAnsi"/>
          <w:szCs w:val="22"/>
        </w:rPr>
        <w:t>y</w:t>
      </w:r>
      <w:r w:rsidR="001B6C78" w:rsidRPr="00A11FE0">
        <w:rPr>
          <w:rFonts w:asciiTheme="majorHAnsi" w:hAnsiTheme="majorHAnsi"/>
          <w:szCs w:val="22"/>
        </w:rPr>
        <w:t xml:space="preserve"> na celom území </w:t>
      </w:r>
      <w:r w:rsidR="00BD5FD5">
        <w:rPr>
          <w:rFonts w:asciiTheme="majorHAnsi" w:hAnsiTheme="majorHAnsi"/>
          <w:szCs w:val="22"/>
        </w:rPr>
        <w:t>S</w:t>
      </w:r>
      <w:r w:rsidR="001B6C78" w:rsidRPr="00A11FE0">
        <w:rPr>
          <w:rFonts w:asciiTheme="majorHAnsi" w:hAnsiTheme="majorHAnsi"/>
          <w:szCs w:val="22"/>
        </w:rPr>
        <w:t>R.</w:t>
      </w:r>
    </w:p>
    <w:p w:rsidR="001B6C78" w:rsidRPr="00A11FE0" w:rsidRDefault="001B6C78" w:rsidP="00257F35">
      <w:pPr>
        <w:pStyle w:val="Nadpis4"/>
        <w:numPr>
          <w:ilvl w:val="3"/>
          <w:numId w:val="2"/>
        </w:numPr>
      </w:pPr>
      <w:bookmarkStart w:id="182" w:name="_Toc373169699"/>
      <w:r w:rsidRPr="00A11FE0">
        <w:t>TC</w:t>
      </w:r>
      <w:r w:rsidR="00665324">
        <w:t xml:space="preserve"> </w:t>
      </w:r>
      <w:r w:rsidRPr="00A11FE0">
        <w:t xml:space="preserve">7: Podpora udržateľnej dopravy </w:t>
      </w:r>
      <w:r w:rsidR="00BD5FD5">
        <w:t>a </w:t>
      </w:r>
      <w:r w:rsidRPr="00A11FE0">
        <w:t>odstraňovanie prekážok v</w:t>
      </w:r>
      <w:r w:rsidR="00BD7A56">
        <w:t> </w:t>
      </w:r>
      <w:r w:rsidR="00BD5FD5">
        <w:t>k</w:t>
      </w:r>
      <w:r w:rsidRPr="00A11FE0">
        <w:t>ľúčových</w:t>
      </w:r>
      <w:r w:rsidR="00BD7A56">
        <w:t xml:space="preserve"> </w:t>
      </w:r>
      <w:r w:rsidR="00BD5FD5">
        <w:t>s</w:t>
      </w:r>
      <w:r w:rsidRPr="00A11FE0">
        <w:t>ieťových infraštruktúrach</w:t>
      </w:r>
      <w:bookmarkEnd w:id="182"/>
    </w:p>
    <w:p w:rsidR="009A390C" w:rsidRPr="009A390C" w:rsidRDefault="001B6C78" w:rsidP="009A390C">
      <w:pPr>
        <w:rPr>
          <w:rFonts w:asciiTheme="majorHAnsi" w:hAnsiTheme="majorHAnsi"/>
        </w:rPr>
      </w:pPr>
      <w:r w:rsidRPr="00A11FE0">
        <w:rPr>
          <w:rFonts w:asciiTheme="majorHAnsi" w:hAnsiTheme="majorHAnsi"/>
        </w:rPr>
        <w:t xml:space="preserve">Identifikácia bariér rozvoja dopravnej obslužnosti </w:t>
      </w:r>
      <w:r w:rsidR="00BD5FD5">
        <w:rPr>
          <w:rFonts w:asciiTheme="majorHAnsi" w:hAnsiTheme="majorHAnsi"/>
        </w:rPr>
        <w:t>a</w:t>
      </w:r>
      <w:r w:rsidRPr="00A11FE0">
        <w:rPr>
          <w:rFonts w:asciiTheme="majorHAnsi" w:hAnsiTheme="majorHAnsi"/>
        </w:rPr>
        <w:t> opatrení na ich odstránenie vychádza</w:t>
      </w:r>
      <w:r w:rsidR="009E4A61" w:rsidRPr="00A11FE0">
        <w:rPr>
          <w:rFonts w:asciiTheme="majorHAnsi" w:hAnsiTheme="majorHAnsi"/>
        </w:rPr>
        <w:t xml:space="preserve"> </w:t>
      </w:r>
      <w:r w:rsidRPr="00A11FE0">
        <w:rPr>
          <w:rFonts w:asciiTheme="majorHAnsi" w:hAnsiTheme="majorHAnsi"/>
        </w:rPr>
        <w:t xml:space="preserve">z detailných </w:t>
      </w:r>
      <w:r w:rsidR="00BD5FD5">
        <w:rPr>
          <w:rFonts w:asciiTheme="majorHAnsi" w:hAnsiTheme="majorHAnsi"/>
        </w:rPr>
        <w:t>s</w:t>
      </w:r>
      <w:r w:rsidRPr="00A11FE0">
        <w:rPr>
          <w:rFonts w:asciiTheme="majorHAnsi" w:hAnsiTheme="majorHAnsi"/>
        </w:rPr>
        <w:t xml:space="preserve">ektorových </w:t>
      </w:r>
      <w:r w:rsidR="00BD5FD5">
        <w:rPr>
          <w:rFonts w:asciiTheme="majorHAnsi" w:hAnsiTheme="majorHAnsi"/>
        </w:rPr>
        <w:t>a</w:t>
      </w:r>
      <w:r w:rsidRPr="00A11FE0">
        <w:rPr>
          <w:rFonts w:asciiTheme="majorHAnsi" w:hAnsiTheme="majorHAnsi"/>
        </w:rPr>
        <w:t>nalýz jednotlivých dopravných módov</w:t>
      </w:r>
      <w:r w:rsidR="00F25D75">
        <w:rPr>
          <w:rFonts w:asciiTheme="majorHAnsi" w:hAnsiTheme="majorHAnsi"/>
        </w:rPr>
        <w:t xml:space="preserve">, </w:t>
      </w:r>
      <w:r w:rsidR="00BD5FD5">
        <w:rPr>
          <w:rFonts w:asciiTheme="majorHAnsi" w:hAnsiTheme="majorHAnsi"/>
        </w:rPr>
        <w:t>S</w:t>
      </w:r>
      <w:r w:rsidRPr="00A11FE0">
        <w:rPr>
          <w:rFonts w:asciiTheme="majorHAnsi" w:hAnsiTheme="majorHAnsi"/>
        </w:rPr>
        <w:t>trategického</w:t>
      </w:r>
      <w:r w:rsidR="00BD7A56">
        <w:rPr>
          <w:rFonts w:asciiTheme="majorHAnsi" w:hAnsiTheme="majorHAnsi"/>
        </w:rPr>
        <w:t xml:space="preserve"> </w:t>
      </w:r>
      <w:r w:rsidRPr="00A11FE0">
        <w:rPr>
          <w:rFonts w:asciiTheme="majorHAnsi" w:hAnsiTheme="majorHAnsi"/>
        </w:rPr>
        <w:t xml:space="preserve">plánu rozvoja dopravnej infraštruktúry </w:t>
      </w:r>
      <w:r w:rsidR="00BD5FD5">
        <w:rPr>
          <w:rFonts w:asciiTheme="majorHAnsi" w:hAnsiTheme="majorHAnsi"/>
        </w:rPr>
        <w:t>S</w:t>
      </w:r>
      <w:r w:rsidRPr="00A11FE0">
        <w:rPr>
          <w:rFonts w:asciiTheme="majorHAnsi" w:hAnsiTheme="majorHAnsi"/>
        </w:rPr>
        <w:t>R do roku 2020</w:t>
      </w:r>
      <w:bookmarkStart w:id="183" w:name="_Ref388445775"/>
      <w:r w:rsidRPr="00A11FE0">
        <w:rPr>
          <w:rStyle w:val="Odkaznapoznmkupodiarou"/>
          <w:rFonts w:asciiTheme="majorHAnsi" w:hAnsiTheme="majorHAnsi"/>
        </w:rPr>
        <w:footnoteReference w:id="82"/>
      </w:r>
      <w:bookmarkEnd w:id="183"/>
      <w:r w:rsidR="005A30BA">
        <w:rPr>
          <w:rFonts w:asciiTheme="majorHAnsi" w:hAnsiTheme="majorHAnsi"/>
        </w:rPr>
        <w:t xml:space="preserve">, </w:t>
      </w:r>
      <w:r w:rsidR="005A30BA" w:rsidRPr="005A30BA">
        <w:rPr>
          <w:rFonts w:asciiTheme="majorHAnsi" w:hAnsiTheme="majorHAnsi"/>
        </w:rPr>
        <w:t xml:space="preserve">Stratégie rozvoja verejnej osobnej a nemotorovej dopravy SR do roku </w:t>
      </w:r>
      <w:r w:rsidR="005A30BA" w:rsidRPr="004B6F41">
        <w:rPr>
          <w:rFonts w:asciiTheme="majorHAnsi" w:hAnsiTheme="majorHAnsi"/>
        </w:rPr>
        <w:t>2020</w:t>
      </w:r>
      <w:r w:rsidR="003C432B" w:rsidRPr="00D1453B">
        <w:rPr>
          <w:rFonts w:asciiTheme="majorHAnsi" w:hAnsiTheme="majorHAnsi"/>
          <w:vertAlign w:val="superscript"/>
        </w:rPr>
        <w:fldChar w:fldCharType="begin"/>
      </w:r>
      <w:r w:rsidR="003C432B" w:rsidRPr="00D1453B">
        <w:rPr>
          <w:rFonts w:asciiTheme="majorHAnsi" w:hAnsiTheme="majorHAnsi"/>
          <w:vertAlign w:val="superscript"/>
        </w:rPr>
        <w:instrText xml:space="preserve"> NOTEREF _Ref388445775 \h  \* MERGEFORMAT </w:instrText>
      </w:r>
      <w:r w:rsidR="003C432B" w:rsidRPr="00D1453B">
        <w:rPr>
          <w:rFonts w:asciiTheme="majorHAnsi" w:hAnsiTheme="majorHAnsi"/>
          <w:vertAlign w:val="superscript"/>
        </w:rPr>
      </w:r>
      <w:r w:rsidR="003C432B" w:rsidRPr="00D1453B">
        <w:rPr>
          <w:rFonts w:asciiTheme="majorHAnsi" w:hAnsiTheme="majorHAnsi"/>
          <w:vertAlign w:val="superscript"/>
        </w:rPr>
        <w:fldChar w:fldCharType="separate"/>
      </w:r>
      <w:r w:rsidR="00FA18BA">
        <w:rPr>
          <w:rFonts w:asciiTheme="majorHAnsi" w:hAnsiTheme="majorHAnsi"/>
          <w:vertAlign w:val="superscript"/>
        </w:rPr>
        <w:t>81</w:t>
      </w:r>
      <w:r w:rsidR="003C432B" w:rsidRPr="00D1453B">
        <w:rPr>
          <w:rFonts w:asciiTheme="majorHAnsi" w:hAnsiTheme="majorHAnsi"/>
          <w:vertAlign w:val="superscript"/>
        </w:rPr>
        <w:fldChar w:fldCharType="end"/>
      </w:r>
      <w:r w:rsidR="00EE6AF8">
        <w:rPr>
          <w:rFonts w:asciiTheme="majorHAnsi" w:hAnsiTheme="majorHAnsi"/>
          <w:vertAlign w:val="superscript"/>
        </w:rPr>
        <w:t xml:space="preserve"> </w:t>
      </w:r>
      <w:r w:rsidR="00F25D75" w:rsidRPr="004B6F41">
        <w:rPr>
          <w:rFonts w:asciiTheme="majorHAnsi" w:hAnsiTheme="majorHAnsi"/>
        </w:rPr>
        <w:t>a</w:t>
      </w:r>
      <w:r w:rsidR="00F25D75">
        <w:rPr>
          <w:rFonts w:asciiTheme="majorHAnsi" w:hAnsiTheme="majorHAnsi"/>
        </w:rPr>
        <w:t> Strategického plánu rozvoja a údržby ciest</w:t>
      </w:r>
      <w:r w:rsidR="005A30BA">
        <w:rPr>
          <w:rFonts w:asciiTheme="majorHAnsi" w:hAnsiTheme="majorHAnsi"/>
        </w:rPr>
        <w:t xml:space="preserve"> II. a III. triedy</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ľúčovými problémami, </w:t>
      </w:r>
      <w:r w:rsidR="00BD5FD5">
        <w:rPr>
          <w:rFonts w:asciiTheme="majorHAnsi" w:hAnsiTheme="majorHAnsi"/>
        </w:rPr>
        <w:t>k</w:t>
      </w:r>
      <w:r w:rsidRPr="00A11FE0">
        <w:rPr>
          <w:rFonts w:asciiTheme="majorHAnsi" w:hAnsiTheme="majorHAnsi"/>
        </w:rPr>
        <w:t xml:space="preserve">toré musí </w:t>
      </w:r>
      <w:r w:rsidR="00BD5FD5">
        <w:rPr>
          <w:rFonts w:asciiTheme="majorHAnsi" w:hAnsiTheme="majorHAnsi"/>
        </w:rPr>
        <w:t>S</w:t>
      </w:r>
      <w:r w:rsidRPr="00A11FE0">
        <w:rPr>
          <w:rFonts w:asciiTheme="majorHAnsi" w:hAnsiTheme="majorHAnsi"/>
        </w:rPr>
        <w:t xml:space="preserve">R v nasledujúcom období </w:t>
      </w:r>
      <w:r w:rsidR="00C9066E" w:rsidRPr="00A11FE0">
        <w:rPr>
          <w:rFonts w:asciiTheme="majorHAnsi" w:hAnsiTheme="majorHAnsi"/>
        </w:rPr>
        <w:t xml:space="preserve">eliminovať </w:t>
      </w:r>
      <w:r w:rsidR="00BD5FD5">
        <w:rPr>
          <w:rFonts w:asciiTheme="majorHAnsi" w:hAnsiTheme="majorHAnsi"/>
        </w:rPr>
        <w:t>s</w:t>
      </w:r>
      <w:r w:rsidRPr="00A11FE0">
        <w:rPr>
          <w:rFonts w:asciiTheme="majorHAnsi" w:hAnsiTheme="majorHAnsi"/>
        </w:rPr>
        <w:t xml:space="preserve">ú: nedostupná </w:t>
      </w:r>
      <w:r w:rsidR="00BD5FD5">
        <w:rPr>
          <w:rFonts w:asciiTheme="majorHAnsi" w:hAnsiTheme="majorHAnsi"/>
        </w:rPr>
        <w:t>k</w:t>
      </w:r>
      <w:r w:rsidRPr="00A11FE0">
        <w:rPr>
          <w:rFonts w:asciiTheme="majorHAnsi" w:hAnsiTheme="majorHAnsi"/>
        </w:rPr>
        <w:t xml:space="preserve">valitná </w:t>
      </w:r>
      <w:r w:rsidR="003606CD">
        <w:rPr>
          <w:rFonts w:asciiTheme="majorHAnsi" w:hAnsiTheme="majorHAnsi"/>
        </w:rPr>
        <w:t xml:space="preserve">cestná </w:t>
      </w:r>
      <w:r w:rsidRPr="00A11FE0">
        <w:rPr>
          <w:rFonts w:asciiTheme="majorHAnsi" w:hAnsiTheme="majorHAnsi"/>
        </w:rPr>
        <w:t xml:space="preserve">infraštruktúra, nekvalitná infraštruktúra železničnej dopravy, nekvalitná infraštruktúra – </w:t>
      </w:r>
      <w:r w:rsidR="005A30BA">
        <w:rPr>
          <w:rFonts w:asciiTheme="majorHAnsi" w:hAnsiTheme="majorHAnsi"/>
        </w:rPr>
        <w:t>t</w:t>
      </w:r>
      <w:r w:rsidR="005A30BA" w:rsidRPr="00A11FE0">
        <w:rPr>
          <w:rFonts w:asciiTheme="majorHAnsi" w:hAnsiTheme="majorHAnsi"/>
        </w:rPr>
        <w:t xml:space="preserve">erminály </w:t>
      </w:r>
      <w:r w:rsidRPr="00A11FE0">
        <w:rPr>
          <w:rFonts w:asciiTheme="majorHAnsi" w:hAnsiTheme="majorHAnsi"/>
        </w:rPr>
        <w:t>intermodálnej prepravy, nekvalitná infraštruktúra vodnej dopravy, neefektívne</w:t>
      </w:r>
      <w:r w:rsidR="005A30BA">
        <w:rPr>
          <w:rFonts w:asciiTheme="majorHAnsi" w:hAnsiTheme="majorHAnsi"/>
        </w:rPr>
        <w:t xml:space="preserve"> fungujúce</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lužby verejnej osobnej dopravy</w:t>
      </w:r>
      <w:r w:rsidR="00494438">
        <w:rPr>
          <w:rFonts w:asciiTheme="majorHAnsi" w:hAnsiTheme="majorHAnsi"/>
        </w:rPr>
        <w:t xml:space="preserve"> (ďalej len „VOD“)</w:t>
      </w:r>
      <w:r w:rsidR="0044688C">
        <w:rPr>
          <w:rFonts w:asciiTheme="majorHAnsi" w:hAnsiTheme="majorHAnsi"/>
        </w:rPr>
        <w:t>,</w:t>
      </w:r>
      <w:r w:rsidR="0058382D" w:rsidRPr="00A11FE0">
        <w:rPr>
          <w:rFonts w:asciiTheme="majorHAnsi" w:hAnsiTheme="majorHAnsi"/>
        </w:rPr>
        <w:t xml:space="preserve"> </w:t>
      </w:r>
      <w:r w:rsidRPr="00A11FE0">
        <w:rPr>
          <w:rFonts w:asciiTheme="majorHAnsi" w:hAnsiTheme="majorHAnsi"/>
        </w:rPr>
        <w:t>nefungujúca integrovaná doprava</w:t>
      </w:r>
      <w:r w:rsidR="00C9066E" w:rsidRPr="00A11FE0">
        <w:rPr>
          <w:rFonts w:asciiTheme="majorHAnsi" w:hAnsiTheme="majorHAnsi"/>
        </w:rPr>
        <w:t xml:space="preserve"> </w:t>
      </w:r>
      <w:r w:rsidR="00BD5FD5">
        <w:rPr>
          <w:rFonts w:asciiTheme="majorHAnsi" w:hAnsiTheme="majorHAnsi"/>
        </w:rPr>
        <w:t>a</w:t>
      </w:r>
      <w:r w:rsidR="00AD3709">
        <w:rPr>
          <w:rFonts w:asciiTheme="majorHAnsi" w:hAnsiTheme="majorHAnsi"/>
        </w:rPr>
        <w:t> nevybudovaná infraštruktúra</w:t>
      </w:r>
      <w:r w:rsidRPr="00A11FE0">
        <w:rPr>
          <w:rFonts w:asciiTheme="majorHAnsi" w:hAnsiTheme="majorHAnsi"/>
        </w:rPr>
        <w:t xml:space="preserve"> nemotorovej dopravy.</w:t>
      </w:r>
      <w:r w:rsidR="005A30BA">
        <w:rPr>
          <w:rFonts w:asciiTheme="majorHAnsi" w:hAnsiTheme="majorHAnsi"/>
        </w:rPr>
        <w:t xml:space="preserve"> </w:t>
      </w:r>
      <w:r w:rsidR="003A177F" w:rsidRPr="003A177F">
        <w:rPr>
          <w:rFonts w:asciiTheme="majorHAnsi" w:hAnsiTheme="majorHAnsi"/>
        </w:rPr>
        <w:t>V</w:t>
      </w:r>
      <w:r w:rsidR="009776DA">
        <w:rPr>
          <w:rFonts w:asciiTheme="majorHAnsi" w:hAnsiTheme="majorHAnsi"/>
        </w:rPr>
        <w:t> </w:t>
      </w:r>
      <w:r w:rsidR="00107397">
        <w:rPr>
          <w:rFonts w:asciiTheme="majorHAnsi" w:hAnsiTheme="majorHAnsi"/>
        </w:rPr>
        <w:t>rámci TC</w:t>
      </w:r>
      <w:r w:rsidR="003A177F" w:rsidRPr="003A177F">
        <w:rPr>
          <w:rFonts w:asciiTheme="majorHAnsi" w:hAnsiTheme="majorHAnsi"/>
        </w:rPr>
        <w:t>7 budú kumulatívne investície z</w:t>
      </w:r>
      <w:r w:rsidR="009776DA">
        <w:rPr>
          <w:rFonts w:asciiTheme="majorHAnsi" w:hAnsiTheme="majorHAnsi"/>
        </w:rPr>
        <w:t> </w:t>
      </w:r>
      <w:r w:rsidR="003A177F" w:rsidRPr="003A177F">
        <w:rPr>
          <w:rFonts w:asciiTheme="majorHAnsi" w:hAnsiTheme="majorHAnsi"/>
        </w:rPr>
        <w:t>Kohézneho fondu EÚ a</w:t>
      </w:r>
      <w:r w:rsidR="009776DA">
        <w:rPr>
          <w:rFonts w:asciiTheme="majorHAnsi" w:hAnsiTheme="majorHAnsi"/>
        </w:rPr>
        <w:t> </w:t>
      </w:r>
      <w:r w:rsidR="003A177F" w:rsidRPr="003A177F">
        <w:rPr>
          <w:rFonts w:asciiTheme="majorHAnsi" w:hAnsiTheme="majorHAnsi"/>
        </w:rPr>
        <w:t>nástroja CEF smerované primárne do udržateľnej dopravy (hlavne do železníc a</w:t>
      </w:r>
      <w:r w:rsidR="009776DA">
        <w:rPr>
          <w:rFonts w:asciiTheme="majorHAnsi" w:hAnsiTheme="majorHAnsi"/>
        </w:rPr>
        <w:t> </w:t>
      </w:r>
      <w:r w:rsidR="003A177F" w:rsidRPr="003A177F">
        <w:rPr>
          <w:rFonts w:asciiTheme="majorHAnsi" w:hAnsiTheme="majorHAnsi"/>
        </w:rPr>
        <w:t xml:space="preserve">koľajovej dopravy). </w:t>
      </w:r>
      <w:r w:rsidRPr="00A11FE0">
        <w:rPr>
          <w:rFonts w:asciiTheme="majorHAnsi" w:hAnsiTheme="majorHAnsi"/>
        </w:rPr>
        <w:t xml:space="preserve">V rámci </w:t>
      </w:r>
      <w:r w:rsidR="00BD5FD5">
        <w:rPr>
          <w:rFonts w:asciiTheme="majorHAnsi" w:hAnsiTheme="majorHAnsi"/>
        </w:rPr>
        <w:t>s</w:t>
      </w:r>
      <w:r w:rsidRPr="00A11FE0">
        <w:rPr>
          <w:rFonts w:asciiTheme="majorHAnsi" w:hAnsiTheme="majorHAnsi"/>
        </w:rPr>
        <w:t xml:space="preserve">iete TEN-T je nevyhnutné pokračovať vo výstavbe chýbajúcich úsekov diaľnic </w:t>
      </w:r>
      <w:r w:rsidR="00BD5FD5">
        <w:rPr>
          <w:rFonts w:asciiTheme="majorHAnsi" w:hAnsiTheme="majorHAnsi"/>
        </w:rPr>
        <w:t>a </w:t>
      </w:r>
      <w:r w:rsidRPr="00A11FE0">
        <w:rPr>
          <w:rFonts w:asciiTheme="majorHAnsi" w:hAnsiTheme="majorHAnsi"/>
        </w:rPr>
        <w:t xml:space="preserve">rýchlostných ciest, modernizácii železničných </w:t>
      </w:r>
      <w:r w:rsidR="00BD5FD5">
        <w:rPr>
          <w:rFonts w:asciiTheme="majorHAnsi" w:hAnsiTheme="majorHAnsi"/>
        </w:rPr>
        <w:t>k</w:t>
      </w:r>
      <w:r w:rsidRPr="00A11FE0">
        <w:rPr>
          <w:rFonts w:asciiTheme="majorHAnsi" w:hAnsiTheme="majorHAnsi"/>
        </w:rPr>
        <w:t xml:space="preserve">oridorov </w:t>
      </w:r>
      <w:r w:rsidR="00BD5FD5">
        <w:rPr>
          <w:rFonts w:asciiTheme="majorHAnsi" w:hAnsiTheme="majorHAnsi"/>
        </w:rPr>
        <w:t>a </w:t>
      </w:r>
      <w:r w:rsidR="00F10BEB">
        <w:rPr>
          <w:rFonts w:asciiTheme="majorHAnsi" w:hAnsiTheme="majorHAnsi"/>
        </w:rPr>
        <w:t>podpore rozvoja vodnej dopravy</w:t>
      </w:r>
      <w:r w:rsidRPr="00A11FE0">
        <w:rPr>
          <w:rFonts w:asciiTheme="majorHAnsi" w:hAnsiTheme="majorHAnsi"/>
        </w:rPr>
        <w:t xml:space="preserve">. Prioritou bude realizovať najmä tie úseky, </w:t>
      </w:r>
      <w:r w:rsidR="00BD5FD5">
        <w:rPr>
          <w:rFonts w:asciiTheme="majorHAnsi" w:hAnsiTheme="majorHAnsi"/>
        </w:rPr>
        <w:t>k</w:t>
      </w:r>
      <w:r w:rsidRPr="00A11FE0">
        <w:rPr>
          <w:rFonts w:asciiTheme="majorHAnsi" w:hAnsiTheme="majorHAnsi"/>
        </w:rPr>
        <w:t xml:space="preserve">toré </w:t>
      </w:r>
      <w:r w:rsidR="00BD5FD5">
        <w:rPr>
          <w:rFonts w:asciiTheme="majorHAnsi" w:hAnsiTheme="majorHAnsi"/>
        </w:rPr>
        <w:t>s</w:t>
      </w:r>
      <w:r w:rsidRPr="00A11FE0">
        <w:rPr>
          <w:rFonts w:asciiTheme="majorHAnsi" w:hAnsiTheme="majorHAnsi"/>
        </w:rPr>
        <w:t xml:space="preserve">ú </w:t>
      </w:r>
      <w:r w:rsidR="00BD5FD5">
        <w:rPr>
          <w:rFonts w:asciiTheme="majorHAnsi" w:hAnsiTheme="majorHAnsi"/>
        </w:rPr>
        <w:t>s</w:t>
      </w:r>
      <w:r w:rsidRPr="00A11FE0">
        <w:rPr>
          <w:rFonts w:asciiTheme="majorHAnsi" w:hAnsiTheme="majorHAnsi"/>
        </w:rPr>
        <w:t xml:space="preserve">účasťou základnej </w:t>
      </w:r>
      <w:r w:rsidR="00BD5FD5">
        <w:rPr>
          <w:rFonts w:asciiTheme="majorHAnsi" w:hAnsiTheme="majorHAnsi"/>
        </w:rPr>
        <w:t>s</w:t>
      </w:r>
      <w:r w:rsidRPr="00A11FE0">
        <w:rPr>
          <w:rFonts w:asciiTheme="majorHAnsi" w:hAnsiTheme="majorHAnsi"/>
        </w:rPr>
        <w:t xml:space="preserve">iete TEN-T </w:t>
      </w:r>
      <w:r w:rsidR="00BD5FD5">
        <w:rPr>
          <w:rFonts w:asciiTheme="majorHAnsi" w:hAnsiTheme="majorHAnsi"/>
        </w:rPr>
        <w:t>a </w:t>
      </w:r>
      <w:r w:rsidRPr="00A11FE0">
        <w:rPr>
          <w:rFonts w:asciiTheme="majorHAnsi" w:hAnsiTheme="majorHAnsi"/>
        </w:rPr>
        <w:t xml:space="preserve">úseky, </w:t>
      </w:r>
      <w:r w:rsidR="00BD5FD5">
        <w:rPr>
          <w:rFonts w:asciiTheme="majorHAnsi" w:hAnsiTheme="majorHAnsi"/>
        </w:rPr>
        <w:t>k</w:t>
      </w:r>
      <w:r w:rsidRPr="00A11FE0">
        <w:rPr>
          <w:rFonts w:asciiTheme="majorHAnsi" w:hAnsiTheme="majorHAnsi"/>
        </w:rPr>
        <w:t xml:space="preserve">toré zlepšia prepojenie dopravnej infraštruktúry </w:t>
      </w:r>
      <w:r w:rsidR="00BD5FD5">
        <w:rPr>
          <w:rFonts w:asciiTheme="majorHAnsi" w:hAnsiTheme="majorHAnsi"/>
        </w:rPr>
        <w:t>S</w:t>
      </w:r>
      <w:r w:rsidRPr="00A11FE0">
        <w:rPr>
          <w:rFonts w:asciiTheme="majorHAnsi" w:hAnsiTheme="majorHAnsi"/>
        </w:rPr>
        <w:t xml:space="preserve">R na dopravnú </w:t>
      </w:r>
      <w:r w:rsidR="00BD5FD5">
        <w:rPr>
          <w:rFonts w:asciiTheme="majorHAnsi" w:hAnsiTheme="majorHAnsi"/>
        </w:rPr>
        <w:t>s</w:t>
      </w:r>
      <w:r w:rsidRPr="00A11FE0">
        <w:rPr>
          <w:rFonts w:asciiTheme="majorHAnsi" w:hAnsiTheme="majorHAnsi"/>
        </w:rPr>
        <w:t xml:space="preserve">ieť </w:t>
      </w:r>
      <w:r w:rsidR="00BD5FD5">
        <w:rPr>
          <w:rFonts w:asciiTheme="majorHAnsi" w:hAnsiTheme="majorHAnsi"/>
        </w:rPr>
        <w:t>s</w:t>
      </w:r>
      <w:r w:rsidRPr="00A11FE0">
        <w:rPr>
          <w:rFonts w:asciiTheme="majorHAnsi" w:hAnsiTheme="majorHAnsi"/>
        </w:rPr>
        <w:t xml:space="preserve">usedných </w:t>
      </w:r>
      <w:r w:rsidR="00BD5FD5">
        <w:rPr>
          <w:rFonts w:asciiTheme="majorHAnsi" w:hAnsiTheme="majorHAnsi"/>
        </w:rPr>
        <w:t>k</w:t>
      </w:r>
      <w:r w:rsidRPr="00A11FE0">
        <w:rPr>
          <w:rFonts w:asciiTheme="majorHAnsi" w:hAnsiTheme="majorHAnsi"/>
        </w:rPr>
        <w:t xml:space="preserve">rajín. Pozornosť je potrebné venovať </w:t>
      </w:r>
      <w:r w:rsidR="00BD5FD5">
        <w:rPr>
          <w:rFonts w:asciiTheme="majorHAnsi" w:hAnsiTheme="majorHAnsi"/>
        </w:rPr>
        <w:t>a</w:t>
      </w:r>
      <w:r w:rsidRPr="00A11FE0">
        <w:rPr>
          <w:rFonts w:asciiTheme="majorHAnsi" w:hAnsiTheme="majorHAnsi"/>
        </w:rPr>
        <w:t>j modernizácii</w:t>
      </w:r>
      <w:r w:rsidR="00285918">
        <w:rPr>
          <w:rFonts w:asciiTheme="majorHAnsi" w:hAnsiTheme="majorHAnsi"/>
        </w:rPr>
        <w:t xml:space="preserve"> </w:t>
      </w:r>
      <w:r w:rsidRPr="00A11FE0">
        <w:rPr>
          <w:rFonts w:asciiTheme="majorHAnsi" w:hAnsiTheme="majorHAnsi"/>
        </w:rPr>
        <w:t>colných priechodov</w:t>
      </w:r>
      <w:r w:rsidRPr="00A11FE0">
        <w:rPr>
          <w:rStyle w:val="Odkaznapoznmkupodiarou"/>
          <w:rFonts w:asciiTheme="majorHAnsi" w:hAnsiTheme="majorHAnsi"/>
        </w:rPr>
        <w:footnoteReference w:id="83"/>
      </w:r>
      <w:r w:rsidR="00442789">
        <w:rPr>
          <w:rFonts w:asciiTheme="majorHAnsi" w:hAnsiTheme="majorHAnsi"/>
        </w:rPr>
        <w:t xml:space="preserve"> tak</w:t>
      </w:r>
      <w:r w:rsidR="00A853E7" w:rsidRPr="00A11FE0">
        <w:rPr>
          <w:rFonts w:asciiTheme="majorHAnsi" w:hAnsiTheme="majorHAnsi"/>
        </w:rPr>
        <w:t xml:space="preserve">, </w:t>
      </w:r>
      <w:r w:rsidR="00BD5FD5">
        <w:rPr>
          <w:rFonts w:asciiTheme="majorHAnsi" w:hAnsiTheme="majorHAnsi"/>
        </w:rPr>
        <w:t>a</w:t>
      </w:r>
      <w:r w:rsidR="00A853E7" w:rsidRPr="00A11FE0">
        <w:rPr>
          <w:rFonts w:asciiTheme="majorHAnsi" w:hAnsiTheme="majorHAnsi"/>
        </w:rPr>
        <w:t xml:space="preserve">by </w:t>
      </w:r>
      <w:r w:rsidR="00BD5FD5">
        <w:rPr>
          <w:rFonts w:asciiTheme="majorHAnsi" w:hAnsiTheme="majorHAnsi"/>
        </w:rPr>
        <w:t>s</w:t>
      </w:r>
      <w:r w:rsidR="00A853E7" w:rsidRPr="00A11FE0">
        <w:rPr>
          <w:rFonts w:asciiTheme="majorHAnsi" w:hAnsiTheme="majorHAnsi"/>
        </w:rPr>
        <w:t xml:space="preserve">a </w:t>
      </w:r>
      <w:r w:rsidRPr="00A11FE0">
        <w:rPr>
          <w:rFonts w:asciiTheme="majorHAnsi" w:hAnsiTheme="majorHAnsi"/>
        </w:rPr>
        <w:t>dosiah</w:t>
      </w:r>
      <w:r w:rsidR="00A853E7" w:rsidRPr="00A11FE0">
        <w:rPr>
          <w:rFonts w:asciiTheme="majorHAnsi" w:hAnsiTheme="majorHAnsi"/>
        </w:rPr>
        <w:t>lo</w:t>
      </w:r>
      <w:r w:rsidRPr="00A11FE0">
        <w:rPr>
          <w:rFonts w:asciiTheme="majorHAnsi" w:hAnsiTheme="majorHAnsi"/>
        </w:rPr>
        <w:t xml:space="preserve"> zvýšeni</w:t>
      </w:r>
      <w:r w:rsidR="00A853E7" w:rsidRPr="00A11FE0">
        <w:rPr>
          <w:rFonts w:asciiTheme="majorHAnsi" w:hAnsiTheme="majorHAnsi"/>
        </w:rPr>
        <w:t>e</w:t>
      </w:r>
      <w:r w:rsidRPr="00A11FE0">
        <w:rPr>
          <w:rFonts w:asciiTheme="majorHAnsi" w:hAnsiTheme="majorHAnsi"/>
        </w:rPr>
        <w:t xml:space="preserve"> priepustnosti toku tovaru cez colné priechody</w:t>
      </w:r>
      <w:r w:rsidR="00A853E7" w:rsidRPr="00A11FE0">
        <w:rPr>
          <w:rFonts w:asciiTheme="majorHAnsi" w:hAnsiTheme="majorHAnsi"/>
        </w:rPr>
        <w:t xml:space="preserve"> </w:t>
      </w:r>
      <w:r w:rsidRPr="00A11FE0">
        <w:rPr>
          <w:rFonts w:asciiTheme="majorHAnsi" w:hAnsiTheme="majorHAnsi"/>
        </w:rPr>
        <w:t xml:space="preserve">na vonkajšej hranici EÚ </w:t>
      </w:r>
      <w:r w:rsidR="00BD5FD5">
        <w:rPr>
          <w:rFonts w:asciiTheme="majorHAnsi" w:hAnsiTheme="majorHAnsi"/>
        </w:rPr>
        <w:t>s </w:t>
      </w:r>
      <w:r w:rsidRPr="00A11FE0">
        <w:rPr>
          <w:rFonts w:asciiTheme="majorHAnsi" w:hAnsiTheme="majorHAnsi"/>
        </w:rPr>
        <w:t>Ukrajinou.</w:t>
      </w:r>
      <w:r w:rsidR="009A390C">
        <w:rPr>
          <w:rFonts w:asciiTheme="majorHAnsi" w:hAnsiTheme="majorHAnsi"/>
        </w:rPr>
        <w:t xml:space="preserve"> </w:t>
      </w:r>
      <w:r w:rsidR="009A390C" w:rsidRPr="009A390C">
        <w:rPr>
          <w:rFonts w:asciiTheme="majorHAnsi" w:hAnsiTheme="majorHAnsi"/>
        </w:rPr>
        <w:t>Udržateľnosť investícií, tzn. prevádzkovú spôsobilosť dopravnej infraštruktúry a súvisiacich objektov je potrebné zabezpečiť prostredníctvom systémových zmien a</w:t>
      </w:r>
      <w:r w:rsidR="009776DA">
        <w:rPr>
          <w:rFonts w:asciiTheme="majorHAnsi" w:hAnsiTheme="majorHAnsi"/>
        </w:rPr>
        <w:t> </w:t>
      </w:r>
      <w:r w:rsidR="009A390C" w:rsidRPr="009A390C">
        <w:rPr>
          <w:rFonts w:asciiTheme="majorHAnsi" w:hAnsiTheme="majorHAnsi"/>
        </w:rPr>
        <w:t xml:space="preserve">nastavenia </w:t>
      </w:r>
      <w:r w:rsidR="009A390C" w:rsidRPr="009A390C">
        <w:rPr>
          <w:rFonts w:asciiTheme="majorHAnsi" w:hAnsiTheme="majorHAnsi"/>
        </w:rPr>
        <w:lastRenderedPageBreak/>
        <w:t>optimálneho, ale zároveň reálneho plánu financovania cyklickej údržby a</w:t>
      </w:r>
      <w:r w:rsidR="009776DA">
        <w:rPr>
          <w:rFonts w:asciiTheme="majorHAnsi" w:hAnsiTheme="majorHAnsi"/>
        </w:rPr>
        <w:t> </w:t>
      </w:r>
      <w:r w:rsidR="009A390C" w:rsidRPr="009A390C">
        <w:rPr>
          <w:rFonts w:asciiTheme="majorHAnsi" w:hAnsiTheme="majorHAnsi"/>
        </w:rPr>
        <w:t xml:space="preserve">opráv. </w:t>
      </w:r>
      <w:r w:rsidR="009A390C">
        <w:rPr>
          <w:rFonts w:asciiTheme="majorHAnsi" w:hAnsiTheme="majorHAnsi"/>
        </w:rPr>
        <w:t>SR</w:t>
      </w:r>
      <w:r w:rsidR="009A390C" w:rsidRPr="009A390C">
        <w:rPr>
          <w:rFonts w:asciiTheme="majorHAnsi" w:hAnsiTheme="majorHAnsi"/>
        </w:rPr>
        <w:t xml:space="preserve"> bude aktívne hľadať finančné zdroje na zabezpečenie adekvátnej údržby a opráv dopravnej infraštruktúry, obzvlášť projektov spolufinancovaných z EŠIF.</w:t>
      </w:r>
    </w:p>
    <w:p w:rsidR="001B6C78" w:rsidRPr="00A11FE0" w:rsidRDefault="001B6C78" w:rsidP="00257F35">
      <w:pPr>
        <w:pStyle w:val="Nadpis5"/>
        <w:numPr>
          <w:ilvl w:val="4"/>
          <w:numId w:val="2"/>
        </w:numPr>
        <w:ind w:left="1292"/>
      </w:pPr>
      <w:r w:rsidRPr="00A11FE0">
        <w:t xml:space="preserve">Nedostupná </w:t>
      </w:r>
      <w:r w:rsidR="00BD5FD5">
        <w:t>k</w:t>
      </w:r>
      <w:r w:rsidRPr="00A11FE0">
        <w:t xml:space="preserve">valitná </w:t>
      </w:r>
      <w:r w:rsidR="00AD3709">
        <w:t xml:space="preserve">cestná </w:t>
      </w:r>
      <w:r w:rsidRPr="00A11FE0">
        <w:t>infraštruktúra</w:t>
      </w:r>
    </w:p>
    <w:p w:rsidR="001B6C78" w:rsidRPr="00A11FE0" w:rsidRDefault="001B6C78" w:rsidP="001B6C78">
      <w:pPr>
        <w:rPr>
          <w:rFonts w:asciiTheme="majorHAnsi" w:hAnsiTheme="majorHAnsi"/>
          <w:szCs w:val="22"/>
          <w:lang w:eastAsia="sk-SK"/>
        </w:rPr>
      </w:pPr>
      <w:r w:rsidRPr="00A11FE0">
        <w:rPr>
          <w:rFonts w:asciiTheme="majorHAnsi" w:hAnsiTheme="majorHAnsi"/>
          <w:szCs w:val="22"/>
          <w:lang w:eastAsia="sk-SK"/>
        </w:rPr>
        <w:t xml:space="preserve">Pokrok dosiahnutý pri budovaní cestnej infraštruktúry zaostáva za dynamikou rozvoja ekonomiky </w:t>
      </w:r>
      <w:r w:rsidR="00BD5FD5">
        <w:rPr>
          <w:rFonts w:asciiTheme="majorHAnsi" w:hAnsiTheme="majorHAnsi"/>
          <w:szCs w:val="22"/>
          <w:lang w:eastAsia="sk-SK"/>
        </w:rPr>
        <w:t>a </w:t>
      </w:r>
      <w:r w:rsidRPr="00A11FE0">
        <w:rPr>
          <w:rFonts w:asciiTheme="majorHAnsi" w:hAnsiTheme="majorHAnsi"/>
          <w:szCs w:val="22"/>
          <w:lang w:eastAsia="sk-SK"/>
        </w:rPr>
        <w:t xml:space="preserve">rastom prepravných nárokov. Rastúce požiadavky na mobilitu </w:t>
      </w:r>
      <w:r w:rsidR="00BD5FD5">
        <w:rPr>
          <w:rFonts w:asciiTheme="majorHAnsi" w:hAnsiTheme="majorHAnsi"/>
          <w:szCs w:val="22"/>
          <w:lang w:eastAsia="sk-SK"/>
        </w:rPr>
        <w:t>s</w:t>
      </w:r>
      <w:r w:rsidRPr="00A11FE0">
        <w:rPr>
          <w:rFonts w:asciiTheme="majorHAnsi" w:hAnsiTheme="majorHAnsi"/>
          <w:szCs w:val="22"/>
          <w:lang w:eastAsia="sk-SK"/>
        </w:rPr>
        <w:t xml:space="preserve">ú </w:t>
      </w:r>
      <w:r w:rsidR="00BD5FD5">
        <w:rPr>
          <w:rFonts w:asciiTheme="majorHAnsi" w:hAnsiTheme="majorHAnsi"/>
          <w:szCs w:val="22"/>
          <w:lang w:eastAsia="sk-SK"/>
        </w:rPr>
        <w:t>s</w:t>
      </w:r>
      <w:r w:rsidRPr="00A11FE0">
        <w:rPr>
          <w:rFonts w:asciiTheme="majorHAnsi" w:hAnsiTheme="majorHAnsi"/>
          <w:szCs w:val="22"/>
          <w:lang w:eastAsia="sk-SK"/>
        </w:rPr>
        <w:t>tále na väčšine ťahov</w:t>
      </w:r>
      <w:r w:rsidR="00BD5E02">
        <w:rPr>
          <w:rFonts w:asciiTheme="majorHAnsi" w:hAnsiTheme="majorHAnsi"/>
          <w:szCs w:val="22"/>
          <w:lang w:eastAsia="sk-SK"/>
        </w:rPr>
        <w:t xml:space="preserve">, </w:t>
      </w:r>
      <w:r w:rsidRPr="00A11FE0">
        <w:rPr>
          <w:rFonts w:asciiTheme="majorHAnsi" w:hAnsiTheme="majorHAnsi"/>
          <w:szCs w:val="22"/>
          <w:lang w:eastAsia="sk-SK"/>
        </w:rPr>
        <w:t>vrátane TEN-T</w:t>
      </w:r>
      <w:r w:rsidR="00BD5E02">
        <w:rPr>
          <w:rFonts w:asciiTheme="majorHAnsi" w:hAnsiTheme="majorHAnsi"/>
          <w:szCs w:val="22"/>
          <w:lang w:eastAsia="sk-SK"/>
        </w:rPr>
        <w:t xml:space="preserve"> </w:t>
      </w:r>
      <w:r w:rsidRPr="00A11FE0">
        <w:rPr>
          <w:rFonts w:asciiTheme="majorHAnsi" w:hAnsiTheme="majorHAnsi"/>
          <w:szCs w:val="22"/>
          <w:lang w:eastAsia="sk-SK"/>
        </w:rPr>
        <w:t>zabezpečované dominantne prostredníctvom ciest I. triedy, z</w:t>
      </w:r>
      <w:r w:rsidR="008B5456">
        <w:rPr>
          <w:rFonts w:asciiTheme="majorHAnsi" w:hAnsiTheme="majorHAnsi"/>
          <w:szCs w:val="22"/>
          <w:lang w:eastAsia="sk-SK"/>
        </w:rPr>
        <w:t> </w:t>
      </w:r>
      <w:r w:rsidR="00BD5FD5">
        <w:rPr>
          <w:rFonts w:asciiTheme="majorHAnsi" w:hAnsiTheme="majorHAnsi"/>
          <w:szCs w:val="22"/>
          <w:lang w:eastAsia="sk-SK"/>
        </w:rPr>
        <w:t>k</w:t>
      </w:r>
      <w:r w:rsidRPr="00A11FE0">
        <w:rPr>
          <w:rFonts w:asciiTheme="majorHAnsi" w:hAnsiTheme="majorHAnsi"/>
          <w:szCs w:val="22"/>
          <w:lang w:eastAsia="sk-SK"/>
        </w:rPr>
        <w:t xml:space="preserve">torých mnohé už nespĺňajú </w:t>
      </w:r>
      <w:r w:rsidR="00BD5FD5">
        <w:rPr>
          <w:rFonts w:asciiTheme="majorHAnsi" w:hAnsiTheme="majorHAnsi"/>
          <w:szCs w:val="22"/>
          <w:lang w:eastAsia="sk-SK"/>
        </w:rPr>
        <w:t>k</w:t>
      </w:r>
      <w:r w:rsidRPr="00A11FE0">
        <w:rPr>
          <w:rFonts w:asciiTheme="majorHAnsi" w:hAnsiTheme="majorHAnsi"/>
          <w:szCs w:val="22"/>
          <w:lang w:eastAsia="sk-SK"/>
        </w:rPr>
        <w:t xml:space="preserve">apacitné, bezpečnostné </w:t>
      </w:r>
      <w:r w:rsidR="00BD5FD5">
        <w:rPr>
          <w:rFonts w:asciiTheme="majorHAnsi" w:hAnsiTheme="majorHAnsi"/>
          <w:szCs w:val="22"/>
          <w:lang w:eastAsia="sk-SK"/>
        </w:rPr>
        <w:t>a </w:t>
      </w:r>
      <w:r w:rsidRPr="00A11FE0">
        <w:rPr>
          <w:rFonts w:asciiTheme="majorHAnsi" w:hAnsiTheme="majorHAnsi"/>
          <w:szCs w:val="22"/>
          <w:lang w:eastAsia="sk-SK"/>
        </w:rPr>
        <w:t>v</w:t>
      </w:r>
      <w:r w:rsidR="005208F9">
        <w:rPr>
          <w:rFonts w:asciiTheme="majorHAnsi" w:hAnsiTheme="majorHAnsi"/>
          <w:szCs w:val="22"/>
          <w:lang w:eastAsia="sk-SK"/>
        </w:rPr>
        <w:t> </w:t>
      </w:r>
      <w:r w:rsidRPr="00A11FE0">
        <w:rPr>
          <w:rFonts w:asciiTheme="majorHAnsi" w:hAnsiTheme="majorHAnsi"/>
          <w:szCs w:val="22"/>
          <w:lang w:eastAsia="sk-SK"/>
        </w:rPr>
        <w:t>dôsledku</w:t>
      </w:r>
      <w:r w:rsidR="005208F9">
        <w:rPr>
          <w:rFonts w:asciiTheme="majorHAnsi" w:hAnsiTheme="majorHAnsi"/>
          <w:szCs w:val="22"/>
          <w:lang w:eastAsia="sk-SK"/>
        </w:rPr>
        <w:t xml:space="preserve"> </w:t>
      </w:r>
      <w:r w:rsidRPr="00A11FE0">
        <w:rPr>
          <w:rFonts w:asciiTheme="majorHAnsi" w:hAnsiTheme="majorHAnsi"/>
          <w:szCs w:val="22"/>
          <w:lang w:eastAsia="sk-SK"/>
        </w:rPr>
        <w:t>dlhodobého preťaženia</w:t>
      </w:r>
      <w:r w:rsidR="00A853E7" w:rsidRPr="00A11FE0">
        <w:rPr>
          <w:rFonts w:asciiTheme="majorHAnsi" w:hAnsiTheme="majorHAnsi"/>
          <w:szCs w:val="22"/>
          <w:lang w:eastAsia="sk-SK"/>
        </w:rPr>
        <w:t xml:space="preserve">, </w:t>
      </w:r>
      <w:r w:rsidR="00BD5FD5">
        <w:rPr>
          <w:rFonts w:asciiTheme="majorHAnsi" w:hAnsiTheme="majorHAnsi"/>
          <w:szCs w:val="22"/>
          <w:lang w:eastAsia="sk-SK"/>
        </w:rPr>
        <w:t>a</w:t>
      </w:r>
      <w:r w:rsidRPr="00A11FE0">
        <w:rPr>
          <w:rFonts w:asciiTheme="majorHAnsi" w:hAnsiTheme="majorHAnsi"/>
          <w:szCs w:val="22"/>
          <w:lang w:eastAsia="sk-SK"/>
        </w:rPr>
        <w:t xml:space="preserve">ni </w:t>
      </w:r>
      <w:r w:rsidR="00BD5FD5">
        <w:rPr>
          <w:rFonts w:asciiTheme="majorHAnsi" w:hAnsiTheme="majorHAnsi"/>
          <w:szCs w:val="22"/>
          <w:lang w:eastAsia="sk-SK"/>
        </w:rPr>
        <w:t>k</w:t>
      </w:r>
      <w:r w:rsidR="006F39EB" w:rsidRPr="00A11FE0">
        <w:rPr>
          <w:rFonts w:asciiTheme="majorHAnsi" w:hAnsiTheme="majorHAnsi"/>
          <w:szCs w:val="22"/>
          <w:lang w:eastAsia="sk-SK"/>
        </w:rPr>
        <w:t>valitatívne parametre</w:t>
      </w:r>
      <w:r w:rsidRPr="00A11FE0">
        <w:rPr>
          <w:rFonts w:asciiTheme="majorHAnsi" w:hAnsiTheme="majorHAnsi"/>
          <w:szCs w:val="22"/>
          <w:lang w:eastAsia="sk-SK"/>
        </w:rPr>
        <w:t xml:space="preserve">. </w:t>
      </w:r>
      <w:r w:rsidRPr="00A11FE0">
        <w:rPr>
          <w:rFonts w:asciiTheme="majorHAnsi" w:hAnsiTheme="majorHAnsi"/>
          <w:szCs w:val="22"/>
        </w:rPr>
        <w:t xml:space="preserve">Nosnú časť cestnej </w:t>
      </w:r>
      <w:r w:rsidR="00BD5FD5">
        <w:rPr>
          <w:rFonts w:asciiTheme="majorHAnsi" w:hAnsiTheme="majorHAnsi"/>
          <w:szCs w:val="22"/>
        </w:rPr>
        <w:t>s</w:t>
      </w:r>
      <w:r w:rsidRPr="00A11FE0">
        <w:rPr>
          <w:rFonts w:asciiTheme="majorHAnsi" w:hAnsiTheme="majorHAnsi"/>
          <w:szCs w:val="22"/>
        </w:rPr>
        <w:t>iete tvoria cesty I. triedy</w:t>
      </w:r>
      <w:r w:rsidR="008B5456">
        <w:rPr>
          <w:rFonts w:asciiTheme="majorHAnsi" w:hAnsiTheme="majorHAnsi"/>
          <w:szCs w:val="22"/>
        </w:rPr>
        <w:t xml:space="preserve"> </w:t>
      </w:r>
      <w:r w:rsidR="008B5456" w:rsidRPr="00256858">
        <w:rPr>
          <w:rFonts w:asciiTheme="majorHAnsi" w:hAnsiTheme="majorHAnsi"/>
          <w:szCs w:val="22"/>
        </w:rPr>
        <w:t>(3312 km)</w:t>
      </w:r>
      <w:r w:rsidRPr="00A11FE0">
        <w:rPr>
          <w:rFonts w:asciiTheme="majorHAnsi" w:hAnsiTheme="majorHAnsi"/>
          <w:szCs w:val="22"/>
        </w:rPr>
        <w:t xml:space="preserve">, na </w:t>
      </w:r>
      <w:r w:rsidR="00BD5FD5">
        <w:rPr>
          <w:rFonts w:asciiTheme="majorHAnsi" w:hAnsiTheme="majorHAnsi"/>
          <w:szCs w:val="22"/>
        </w:rPr>
        <w:t>k</w:t>
      </w:r>
      <w:r w:rsidRPr="00A11FE0">
        <w:rPr>
          <w:rFonts w:asciiTheme="majorHAnsi" w:hAnsiTheme="majorHAnsi"/>
          <w:szCs w:val="22"/>
        </w:rPr>
        <w:t xml:space="preserve">toré </w:t>
      </w:r>
      <w:r w:rsidR="00BD5FD5">
        <w:rPr>
          <w:rFonts w:asciiTheme="majorHAnsi" w:hAnsiTheme="majorHAnsi"/>
          <w:szCs w:val="22"/>
        </w:rPr>
        <w:t>s</w:t>
      </w:r>
      <w:r w:rsidRPr="00A11FE0">
        <w:rPr>
          <w:rFonts w:asciiTheme="majorHAnsi" w:hAnsiTheme="majorHAnsi"/>
          <w:szCs w:val="22"/>
        </w:rPr>
        <w:t xml:space="preserve">a prenáša takmer 44 % dopravných výkonov. V porovnaní </w:t>
      </w:r>
      <w:r w:rsidR="00BD5FD5">
        <w:rPr>
          <w:rFonts w:asciiTheme="majorHAnsi" w:hAnsiTheme="majorHAnsi"/>
          <w:szCs w:val="22"/>
        </w:rPr>
        <w:t>s </w:t>
      </w:r>
      <w:r w:rsidRPr="00A11FE0">
        <w:rPr>
          <w:rFonts w:asciiTheme="majorHAnsi" w:hAnsiTheme="majorHAnsi"/>
          <w:szCs w:val="22"/>
        </w:rPr>
        <w:t xml:space="preserve">diaľnicami </w:t>
      </w:r>
      <w:r w:rsidR="008B5456" w:rsidRPr="00256858">
        <w:rPr>
          <w:rFonts w:asciiTheme="majorHAnsi" w:hAnsiTheme="majorHAnsi"/>
          <w:szCs w:val="22"/>
        </w:rPr>
        <w:t xml:space="preserve">(419 km +13 km diaľničné privádzače) </w:t>
      </w:r>
      <w:r w:rsidR="00BD5FD5">
        <w:rPr>
          <w:rFonts w:asciiTheme="majorHAnsi" w:hAnsiTheme="majorHAnsi"/>
          <w:szCs w:val="22"/>
        </w:rPr>
        <w:t>a </w:t>
      </w:r>
      <w:r w:rsidRPr="00A11FE0">
        <w:rPr>
          <w:rFonts w:asciiTheme="majorHAnsi" w:hAnsiTheme="majorHAnsi"/>
          <w:szCs w:val="22"/>
        </w:rPr>
        <w:t xml:space="preserve">rýchlostnými cestami </w:t>
      </w:r>
      <w:r w:rsidR="008B5456" w:rsidRPr="00256858">
        <w:rPr>
          <w:rFonts w:asciiTheme="majorHAnsi" w:hAnsiTheme="majorHAnsi"/>
          <w:szCs w:val="22"/>
        </w:rPr>
        <w:t>(234 km +</w:t>
      </w:r>
      <w:r w:rsidR="008C2661">
        <w:rPr>
          <w:rFonts w:asciiTheme="majorHAnsi" w:hAnsiTheme="majorHAnsi"/>
          <w:szCs w:val="22"/>
        </w:rPr>
        <w:t xml:space="preserve"> </w:t>
      </w:r>
      <w:r w:rsidR="008B5456" w:rsidRPr="00256858">
        <w:rPr>
          <w:rFonts w:asciiTheme="majorHAnsi" w:hAnsiTheme="majorHAnsi"/>
          <w:szCs w:val="22"/>
        </w:rPr>
        <w:t>14 km privádzač rýchlostnej cesty)</w:t>
      </w:r>
      <w:r w:rsidR="008B5456">
        <w:rPr>
          <w:rFonts w:asciiTheme="majorHAnsi" w:hAnsiTheme="majorHAnsi"/>
          <w:szCs w:val="22"/>
        </w:rPr>
        <w:t xml:space="preserve"> </w:t>
      </w:r>
      <w:r w:rsidRPr="00A11FE0">
        <w:rPr>
          <w:rFonts w:asciiTheme="majorHAnsi" w:hAnsiTheme="majorHAnsi"/>
          <w:szCs w:val="22"/>
        </w:rPr>
        <w:t xml:space="preserve">je to približne o 21 % viac. Na cestách II. </w:t>
      </w:r>
      <w:r w:rsidR="00BD5E02">
        <w:rPr>
          <w:rFonts w:asciiTheme="majorHAnsi" w:hAnsiTheme="majorHAnsi"/>
          <w:szCs w:val="22"/>
        </w:rPr>
        <w:t xml:space="preserve">triedy </w:t>
      </w:r>
      <w:r w:rsidR="008B5456" w:rsidRPr="00256858">
        <w:rPr>
          <w:rFonts w:asciiTheme="majorHAnsi" w:hAnsiTheme="majorHAnsi"/>
          <w:szCs w:val="22"/>
        </w:rPr>
        <w:t>(3637 km)</w:t>
      </w:r>
      <w:r w:rsidR="008B5456">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 xml:space="preserve">III. triedy </w:t>
      </w:r>
      <w:r w:rsidR="008B5456" w:rsidRPr="00256858">
        <w:rPr>
          <w:rFonts w:asciiTheme="majorHAnsi" w:hAnsiTheme="majorHAnsi"/>
          <w:szCs w:val="22"/>
        </w:rPr>
        <w:t xml:space="preserve">(10 415 km) </w:t>
      </w:r>
      <w:r w:rsidR="00BD5FD5">
        <w:rPr>
          <w:rFonts w:asciiTheme="majorHAnsi" w:hAnsiTheme="majorHAnsi"/>
          <w:szCs w:val="22"/>
        </w:rPr>
        <w:t>s</w:t>
      </w:r>
      <w:r w:rsidRPr="00A11FE0">
        <w:rPr>
          <w:rFonts w:asciiTheme="majorHAnsi" w:hAnsiTheme="majorHAnsi"/>
          <w:szCs w:val="22"/>
        </w:rPr>
        <w:t>a realizuje 20 %, resp. 13 % dopravných výkonov</w:t>
      </w:r>
      <w:r w:rsidRPr="00A11FE0">
        <w:rPr>
          <w:rStyle w:val="Odkaznapoznmkupodiarou"/>
          <w:rFonts w:asciiTheme="majorHAnsi" w:hAnsiTheme="majorHAnsi"/>
          <w:szCs w:val="22"/>
        </w:rPr>
        <w:footnoteReference w:id="84"/>
      </w:r>
      <w:r w:rsidRPr="00A11FE0">
        <w:rPr>
          <w:rFonts w:asciiTheme="majorHAnsi" w:hAnsiTheme="majorHAnsi"/>
          <w:szCs w:val="22"/>
        </w:rPr>
        <w:t>.</w:t>
      </w:r>
    </w:p>
    <w:p w:rsidR="001B6C78" w:rsidRDefault="008B5456" w:rsidP="001B6C78">
      <w:pPr>
        <w:rPr>
          <w:rFonts w:asciiTheme="majorHAnsi" w:hAnsiTheme="majorHAnsi"/>
          <w:bCs/>
          <w:iCs/>
          <w:szCs w:val="22"/>
        </w:rPr>
      </w:pPr>
      <w:r>
        <w:rPr>
          <w:noProof/>
          <w:lang w:eastAsia="sk-SK"/>
        </w:rPr>
        <w:drawing>
          <wp:anchor distT="0" distB="0" distL="114300" distR="114300" simplePos="0" relativeHeight="251762688" behindDoc="0" locked="0" layoutInCell="1" allowOverlap="1" wp14:anchorId="5E95EE30" wp14:editId="38DF88FF">
            <wp:simplePos x="0" y="0"/>
            <wp:positionH relativeFrom="column">
              <wp:posOffset>2069465</wp:posOffset>
            </wp:positionH>
            <wp:positionV relativeFrom="paragraph">
              <wp:posOffset>10795</wp:posOffset>
            </wp:positionV>
            <wp:extent cx="3672840" cy="2438400"/>
            <wp:effectExtent l="0" t="0" r="381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t="7268" b="4715"/>
                    <a:stretch>
                      <a:fillRect/>
                    </a:stretch>
                  </pic:blipFill>
                  <pic:spPr bwMode="auto">
                    <a:xfrm>
                      <a:off x="0" y="0"/>
                      <a:ext cx="3672840" cy="2438400"/>
                    </a:xfrm>
                    <a:prstGeom prst="rect">
                      <a:avLst/>
                    </a:prstGeom>
                    <a:noFill/>
                    <a:ln>
                      <a:noFill/>
                    </a:ln>
                  </pic:spPr>
                </pic:pic>
              </a:graphicData>
            </a:graphic>
            <wp14:sizeRelH relativeFrom="page">
              <wp14:pctWidth>0</wp14:pctWidth>
            </wp14:sizeRelH>
            <wp14:sizeRelV relativeFrom="margin">
              <wp14:pctHeight>0</wp14:pctHeight>
            </wp14:sizeRelV>
          </wp:anchor>
        </w:drawing>
      </w:r>
      <w:r w:rsidR="001B6C78" w:rsidRPr="00A11FE0">
        <w:rPr>
          <w:rFonts w:asciiTheme="majorHAnsi" w:hAnsiTheme="majorHAnsi"/>
          <w:szCs w:val="22"/>
        </w:rPr>
        <w:t xml:space="preserve">Tempo výstavby diaľnic </w:t>
      </w:r>
      <w:r w:rsidR="00BD5FD5">
        <w:rPr>
          <w:rFonts w:asciiTheme="majorHAnsi" w:hAnsiTheme="majorHAnsi"/>
          <w:szCs w:val="22"/>
        </w:rPr>
        <w:t>a </w:t>
      </w:r>
      <w:r w:rsidR="001B6C78" w:rsidRPr="00A11FE0">
        <w:rPr>
          <w:rFonts w:asciiTheme="majorHAnsi" w:hAnsiTheme="majorHAnsi"/>
          <w:szCs w:val="22"/>
        </w:rPr>
        <w:t xml:space="preserve">rýchlostných ciest je vzhľadom na ekonomické potreby </w:t>
      </w:r>
      <w:r w:rsidR="00BD5FD5">
        <w:rPr>
          <w:rFonts w:asciiTheme="majorHAnsi" w:hAnsiTheme="majorHAnsi"/>
          <w:szCs w:val="22"/>
        </w:rPr>
        <w:t>k</w:t>
      </w:r>
      <w:r w:rsidR="001B6C78" w:rsidRPr="00A11FE0">
        <w:rPr>
          <w:rFonts w:asciiTheme="majorHAnsi" w:hAnsiTheme="majorHAnsi"/>
          <w:szCs w:val="22"/>
        </w:rPr>
        <w:t>rajiny</w:t>
      </w:r>
      <w:r w:rsidR="001B6C78" w:rsidRPr="00A11FE0">
        <w:rPr>
          <w:rStyle w:val="Odkaznapoznmkupodiarou"/>
          <w:rFonts w:asciiTheme="majorHAnsi" w:hAnsiTheme="majorHAnsi"/>
          <w:szCs w:val="22"/>
        </w:rPr>
        <w:footnoteReference w:id="85"/>
      </w:r>
      <w:r w:rsidR="00A853E7" w:rsidRPr="00A11FE0">
        <w:rPr>
          <w:rFonts w:asciiTheme="majorHAnsi" w:hAnsiTheme="majorHAnsi"/>
          <w:szCs w:val="22"/>
        </w:rPr>
        <w:t xml:space="preserve">, </w:t>
      </w:r>
      <w:r w:rsidR="00BD5FD5">
        <w:rPr>
          <w:rFonts w:asciiTheme="majorHAnsi" w:hAnsiTheme="majorHAnsi"/>
          <w:szCs w:val="22"/>
        </w:rPr>
        <w:t>ak</w:t>
      </w:r>
      <w:r w:rsidR="001B6C78" w:rsidRPr="00A11FE0">
        <w:rPr>
          <w:rFonts w:asciiTheme="majorHAnsi" w:hAnsiTheme="majorHAnsi"/>
          <w:szCs w:val="22"/>
        </w:rPr>
        <w:t xml:space="preserve">o </w:t>
      </w:r>
      <w:r w:rsidR="00BD5FD5">
        <w:rPr>
          <w:rFonts w:asciiTheme="majorHAnsi" w:hAnsiTheme="majorHAnsi"/>
          <w:szCs w:val="22"/>
        </w:rPr>
        <w:t>a</w:t>
      </w:r>
      <w:r w:rsidR="001B6C78" w:rsidRPr="00A11FE0">
        <w:rPr>
          <w:rFonts w:asciiTheme="majorHAnsi" w:hAnsiTheme="majorHAnsi"/>
          <w:szCs w:val="22"/>
        </w:rPr>
        <w:t xml:space="preserve">j medzinárodné záväzky </w:t>
      </w:r>
      <w:r w:rsidR="00BD5FD5">
        <w:rPr>
          <w:rFonts w:asciiTheme="majorHAnsi" w:hAnsiTheme="majorHAnsi"/>
          <w:szCs w:val="22"/>
        </w:rPr>
        <w:t>S</w:t>
      </w:r>
      <w:r w:rsidR="001B6C78" w:rsidRPr="00A11FE0">
        <w:rPr>
          <w:rFonts w:asciiTheme="majorHAnsi" w:hAnsiTheme="majorHAnsi"/>
          <w:szCs w:val="22"/>
        </w:rPr>
        <w:t>R</w:t>
      </w:r>
      <w:r w:rsidR="00A853E7" w:rsidRPr="00A11FE0">
        <w:rPr>
          <w:rFonts w:asciiTheme="majorHAnsi" w:hAnsiTheme="majorHAnsi"/>
          <w:szCs w:val="22"/>
        </w:rPr>
        <w:t xml:space="preserve"> dlhodobo pomalé</w:t>
      </w:r>
      <w:r w:rsidR="001B6C78" w:rsidRPr="00A11FE0">
        <w:rPr>
          <w:rFonts w:asciiTheme="majorHAnsi" w:hAnsiTheme="majorHAnsi"/>
          <w:szCs w:val="22"/>
        </w:rPr>
        <w:t xml:space="preserve">. Problémom výstavby diaľnic </w:t>
      </w:r>
      <w:r w:rsidR="00BD5FD5">
        <w:rPr>
          <w:rFonts w:asciiTheme="majorHAnsi" w:hAnsiTheme="majorHAnsi"/>
          <w:szCs w:val="22"/>
        </w:rPr>
        <w:t>a </w:t>
      </w:r>
      <w:r w:rsidR="001B6C78" w:rsidRPr="00A11FE0">
        <w:rPr>
          <w:rFonts w:asciiTheme="majorHAnsi" w:hAnsiTheme="majorHAnsi"/>
          <w:szCs w:val="22"/>
        </w:rPr>
        <w:t xml:space="preserve">rýchlostných ciest je nedostatočná </w:t>
      </w:r>
      <w:r w:rsidR="00BD5FD5">
        <w:rPr>
          <w:rFonts w:asciiTheme="majorHAnsi" w:hAnsiTheme="majorHAnsi"/>
          <w:szCs w:val="22"/>
        </w:rPr>
        <w:t>k</w:t>
      </w:r>
      <w:r w:rsidR="001B6C78" w:rsidRPr="00A11FE0">
        <w:rPr>
          <w:rFonts w:asciiTheme="majorHAnsi" w:hAnsiTheme="majorHAnsi"/>
          <w:szCs w:val="22"/>
        </w:rPr>
        <w:t>ontinuita vo výstavbe, podliehajúca politickým cyklom</w:t>
      </w:r>
      <w:r w:rsidR="001B6C78" w:rsidRPr="00A11FE0">
        <w:rPr>
          <w:rStyle w:val="Odkaznapoznmkupodiarou"/>
          <w:rFonts w:asciiTheme="majorHAnsi" w:hAnsiTheme="majorHAnsi"/>
          <w:szCs w:val="22"/>
        </w:rPr>
        <w:footnoteReference w:id="86"/>
      </w:r>
      <w:r w:rsidR="001B6C78" w:rsidRPr="00A11FE0">
        <w:rPr>
          <w:rFonts w:asciiTheme="majorHAnsi" w:hAnsiTheme="majorHAnsi"/>
          <w:szCs w:val="22"/>
        </w:rPr>
        <w:t xml:space="preserve">, nedostatočná projektová príprava </w:t>
      </w:r>
      <w:r w:rsidR="00BD5FD5">
        <w:rPr>
          <w:rFonts w:asciiTheme="majorHAnsi" w:hAnsiTheme="majorHAnsi"/>
          <w:szCs w:val="22"/>
        </w:rPr>
        <w:t>s</w:t>
      </w:r>
      <w:r w:rsidR="001B6C78" w:rsidRPr="00A11FE0">
        <w:rPr>
          <w:rFonts w:asciiTheme="majorHAnsi" w:hAnsiTheme="majorHAnsi"/>
          <w:szCs w:val="22"/>
        </w:rPr>
        <w:t xml:space="preserve">tavieb, zdĺhavý proces majetkovoprávnej prípravy územia </w:t>
      </w:r>
      <w:r w:rsidR="00BD5FD5">
        <w:rPr>
          <w:rFonts w:asciiTheme="majorHAnsi" w:hAnsiTheme="majorHAnsi"/>
          <w:szCs w:val="22"/>
        </w:rPr>
        <w:t>s</w:t>
      </w:r>
      <w:r w:rsidR="001B6C78" w:rsidRPr="00A11FE0">
        <w:rPr>
          <w:rFonts w:asciiTheme="majorHAnsi" w:hAnsiTheme="majorHAnsi"/>
          <w:szCs w:val="22"/>
        </w:rPr>
        <w:t>tavieb, nekompletnosť projektovej dokumentácie, meškanie rozhodnutí vydávaných v</w:t>
      </w:r>
      <w:r w:rsidR="00377F11">
        <w:rPr>
          <w:rFonts w:asciiTheme="majorHAnsi" w:hAnsiTheme="majorHAnsi"/>
          <w:szCs w:val="22"/>
        </w:rPr>
        <w:t> </w:t>
      </w:r>
      <w:r w:rsidR="001B6C78" w:rsidRPr="00A11FE0">
        <w:rPr>
          <w:rFonts w:asciiTheme="majorHAnsi" w:hAnsiTheme="majorHAnsi"/>
          <w:szCs w:val="22"/>
        </w:rPr>
        <w:t>režime</w:t>
      </w:r>
      <w:r w:rsidR="00377F11">
        <w:rPr>
          <w:rFonts w:asciiTheme="majorHAnsi" w:hAnsiTheme="majorHAnsi"/>
          <w:szCs w:val="22"/>
        </w:rPr>
        <w:t xml:space="preserve"> </w:t>
      </w:r>
      <w:r w:rsidR="00BD5FD5">
        <w:rPr>
          <w:rFonts w:asciiTheme="majorHAnsi" w:hAnsiTheme="majorHAnsi"/>
          <w:szCs w:val="22"/>
        </w:rPr>
        <w:t>s</w:t>
      </w:r>
      <w:r w:rsidR="001B6C78" w:rsidRPr="00A11FE0">
        <w:rPr>
          <w:rFonts w:asciiTheme="majorHAnsi" w:hAnsiTheme="majorHAnsi"/>
          <w:szCs w:val="22"/>
        </w:rPr>
        <w:t xml:space="preserve">tavebného zákona </w:t>
      </w:r>
      <w:r w:rsidR="00BD5FD5">
        <w:rPr>
          <w:rFonts w:asciiTheme="majorHAnsi" w:hAnsiTheme="majorHAnsi"/>
          <w:szCs w:val="22"/>
        </w:rPr>
        <w:t>a </w:t>
      </w:r>
      <w:r w:rsidR="001B6C78" w:rsidRPr="00A11FE0">
        <w:rPr>
          <w:rFonts w:asciiTheme="majorHAnsi" w:hAnsiTheme="majorHAnsi"/>
          <w:szCs w:val="22"/>
        </w:rPr>
        <w:t>nedostatočné</w:t>
      </w:r>
      <w:r w:rsidR="00285918">
        <w:rPr>
          <w:rFonts w:asciiTheme="majorHAnsi" w:hAnsiTheme="majorHAnsi"/>
          <w:szCs w:val="22"/>
        </w:rPr>
        <w:t xml:space="preserve"> </w:t>
      </w:r>
      <w:r w:rsidR="001B6C78" w:rsidRPr="00A11FE0">
        <w:rPr>
          <w:rFonts w:asciiTheme="majorHAnsi" w:hAnsiTheme="majorHAnsi"/>
          <w:szCs w:val="22"/>
        </w:rPr>
        <w:t xml:space="preserve">finančné </w:t>
      </w:r>
      <w:r w:rsidR="00BD5FD5">
        <w:rPr>
          <w:rFonts w:asciiTheme="majorHAnsi" w:hAnsiTheme="majorHAnsi"/>
          <w:szCs w:val="22"/>
        </w:rPr>
        <w:t>k</w:t>
      </w:r>
      <w:r w:rsidR="001B6C78" w:rsidRPr="00A11FE0">
        <w:rPr>
          <w:rFonts w:asciiTheme="majorHAnsi" w:hAnsiTheme="majorHAnsi"/>
          <w:szCs w:val="22"/>
        </w:rPr>
        <w:t>rytie</w:t>
      </w:r>
      <w:r w:rsidR="001B6C78" w:rsidRPr="00A11FE0">
        <w:rPr>
          <w:rFonts w:asciiTheme="majorHAnsi" w:hAnsiTheme="majorHAnsi"/>
          <w:szCs w:val="22"/>
          <w:vertAlign w:val="superscript"/>
        </w:rPr>
        <w:footnoteReference w:id="87"/>
      </w:r>
      <w:r w:rsidR="001B6C78" w:rsidRPr="00A11FE0">
        <w:rPr>
          <w:rFonts w:asciiTheme="majorHAnsi" w:hAnsiTheme="majorHAnsi"/>
          <w:szCs w:val="22"/>
        </w:rPr>
        <w:t>. V </w:t>
      </w:r>
      <w:r w:rsidR="00BD5FD5">
        <w:rPr>
          <w:rFonts w:asciiTheme="majorHAnsi" w:hAnsiTheme="majorHAnsi"/>
          <w:szCs w:val="22"/>
        </w:rPr>
        <w:t>s</w:t>
      </w:r>
      <w:r w:rsidR="001B6C78" w:rsidRPr="00A11FE0">
        <w:rPr>
          <w:rFonts w:asciiTheme="majorHAnsi" w:hAnsiTheme="majorHAnsi"/>
          <w:szCs w:val="22"/>
        </w:rPr>
        <w:t xml:space="preserve">účasnosti posun termínov realizácie úsekov </w:t>
      </w:r>
      <w:r w:rsidR="00BD5FD5">
        <w:rPr>
          <w:rFonts w:asciiTheme="majorHAnsi" w:hAnsiTheme="majorHAnsi"/>
          <w:szCs w:val="22"/>
        </w:rPr>
        <w:t>s</w:t>
      </w:r>
      <w:r w:rsidR="001B6C78" w:rsidRPr="00A11FE0">
        <w:rPr>
          <w:rFonts w:asciiTheme="majorHAnsi" w:hAnsiTheme="majorHAnsi"/>
          <w:szCs w:val="22"/>
        </w:rPr>
        <w:t xml:space="preserve">pôsobuje </w:t>
      </w:r>
      <w:r w:rsidR="001B6C78" w:rsidRPr="00A11FE0">
        <w:rPr>
          <w:rFonts w:asciiTheme="majorHAnsi" w:hAnsiTheme="majorHAnsi"/>
          <w:bCs/>
          <w:iCs/>
          <w:szCs w:val="22"/>
        </w:rPr>
        <w:t xml:space="preserve">zdĺhavý proces priebehu </w:t>
      </w:r>
      <w:r w:rsidR="00494438">
        <w:rPr>
          <w:rFonts w:asciiTheme="majorHAnsi" w:hAnsiTheme="majorHAnsi"/>
          <w:bCs/>
          <w:iCs/>
          <w:szCs w:val="22"/>
        </w:rPr>
        <w:t>VO</w:t>
      </w:r>
      <w:r w:rsidR="001B6C78" w:rsidRPr="00A11FE0">
        <w:rPr>
          <w:rFonts w:asciiTheme="majorHAnsi" w:hAnsiTheme="majorHAnsi"/>
          <w:bCs/>
          <w:iCs/>
          <w:szCs w:val="22"/>
        </w:rPr>
        <w:t xml:space="preserve"> </w:t>
      </w:r>
      <w:r w:rsidR="00BD5FD5">
        <w:rPr>
          <w:rFonts w:asciiTheme="majorHAnsi" w:hAnsiTheme="majorHAnsi"/>
          <w:bCs/>
          <w:iCs/>
          <w:szCs w:val="22"/>
        </w:rPr>
        <w:t>a </w:t>
      </w:r>
      <w:r w:rsidR="001B6C78" w:rsidRPr="00A11FE0">
        <w:rPr>
          <w:rFonts w:asciiTheme="majorHAnsi" w:hAnsiTheme="majorHAnsi"/>
          <w:bCs/>
          <w:iCs/>
          <w:szCs w:val="22"/>
        </w:rPr>
        <w:t>problémy</w:t>
      </w:r>
      <w:r w:rsidR="00285918">
        <w:rPr>
          <w:rFonts w:asciiTheme="majorHAnsi" w:hAnsiTheme="majorHAnsi"/>
          <w:bCs/>
          <w:iCs/>
          <w:szCs w:val="22"/>
        </w:rPr>
        <w:t xml:space="preserve"> </w:t>
      </w:r>
      <w:r w:rsidR="00BD5FD5">
        <w:rPr>
          <w:rFonts w:asciiTheme="majorHAnsi" w:hAnsiTheme="majorHAnsi"/>
          <w:bCs/>
          <w:iCs/>
          <w:szCs w:val="22"/>
        </w:rPr>
        <w:t>s </w:t>
      </w:r>
      <w:r w:rsidR="001B6C78" w:rsidRPr="00A11FE0">
        <w:rPr>
          <w:rFonts w:asciiTheme="majorHAnsi" w:hAnsiTheme="majorHAnsi"/>
          <w:bCs/>
          <w:iCs/>
          <w:szCs w:val="22"/>
        </w:rPr>
        <w:t>majetkovoprávnym vysporiadaním.</w:t>
      </w:r>
    </w:p>
    <w:p w:rsidR="001B6C78" w:rsidRPr="00A11FE0" w:rsidRDefault="001B6C78" w:rsidP="001B6C78">
      <w:pPr>
        <w:rPr>
          <w:rFonts w:asciiTheme="majorHAnsi" w:hAnsiTheme="majorHAnsi"/>
          <w:szCs w:val="22"/>
        </w:rPr>
      </w:pPr>
      <w:r w:rsidRPr="00A11FE0">
        <w:rPr>
          <w:rFonts w:asciiTheme="majorHAnsi" w:hAnsiTheme="majorHAnsi"/>
          <w:szCs w:val="22"/>
          <w:lang w:eastAsia="sk-SK"/>
        </w:rPr>
        <w:t xml:space="preserve">Obmedzené finančné prostriedky, určené pre cesty I. triedy, </w:t>
      </w:r>
      <w:r w:rsidR="00BD5FD5">
        <w:rPr>
          <w:rFonts w:asciiTheme="majorHAnsi" w:hAnsiTheme="majorHAnsi"/>
          <w:szCs w:val="22"/>
          <w:lang w:eastAsia="sk-SK"/>
        </w:rPr>
        <w:t>s</w:t>
      </w:r>
      <w:r w:rsidRPr="00A11FE0">
        <w:rPr>
          <w:rFonts w:asciiTheme="majorHAnsi" w:hAnsiTheme="majorHAnsi"/>
          <w:szCs w:val="22"/>
          <w:lang w:eastAsia="sk-SK"/>
        </w:rPr>
        <w:t>ú využívané hlavne na riešenie bodových chýb (tzv. úzkych miest) na cestách, na rekonštrukcie mostných objektov v</w:t>
      </w:r>
      <w:r w:rsidR="00377F11">
        <w:rPr>
          <w:rFonts w:asciiTheme="majorHAnsi" w:hAnsiTheme="majorHAnsi"/>
          <w:szCs w:val="22"/>
          <w:lang w:eastAsia="sk-SK"/>
        </w:rPr>
        <w:t> </w:t>
      </w:r>
      <w:r w:rsidRPr="00A11FE0">
        <w:rPr>
          <w:rFonts w:asciiTheme="majorHAnsi" w:hAnsiTheme="majorHAnsi"/>
          <w:szCs w:val="22"/>
          <w:lang w:eastAsia="sk-SK"/>
        </w:rPr>
        <w:t>havarijnom</w:t>
      </w:r>
      <w:r w:rsidR="00377F11">
        <w:rPr>
          <w:rFonts w:asciiTheme="majorHAnsi" w:hAnsiTheme="majorHAnsi"/>
          <w:szCs w:val="22"/>
          <w:lang w:eastAsia="sk-SK"/>
        </w:rPr>
        <w:t xml:space="preserve"> </w:t>
      </w:r>
      <w:r w:rsidR="00BD5FD5">
        <w:rPr>
          <w:rFonts w:asciiTheme="majorHAnsi" w:hAnsiTheme="majorHAnsi"/>
          <w:szCs w:val="22"/>
          <w:lang w:eastAsia="sk-SK"/>
        </w:rPr>
        <w:t>s</w:t>
      </w:r>
      <w:r w:rsidRPr="00A11FE0">
        <w:rPr>
          <w:rFonts w:asciiTheme="majorHAnsi" w:hAnsiTheme="majorHAnsi"/>
          <w:szCs w:val="22"/>
          <w:lang w:eastAsia="sk-SK"/>
        </w:rPr>
        <w:t xml:space="preserve">tave, na odstránenie zosuvov, povodňových škôd, vo veľmi malej miere na </w:t>
      </w:r>
      <w:r w:rsidR="00BD5FD5">
        <w:rPr>
          <w:rFonts w:asciiTheme="majorHAnsi" w:hAnsiTheme="majorHAnsi"/>
          <w:szCs w:val="22"/>
          <w:lang w:eastAsia="sk-SK"/>
        </w:rPr>
        <w:t>k</w:t>
      </w:r>
      <w:r w:rsidRPr="00A11FE0">
        <w:rPr>
          <w:rFonts w:asciiTheme="majorHAnsi" w:hAnsiTheme="majorHAnsi"/>
          <w:szCs w:val="22"/>
          <w:lang w:eastAsia="sk-SK"/>
        </w:rPr>
        <w:t xml:space="preserve">omplexnú rehabilitáciu vozoviek, homogenizáciu ťahov </w:t>
      </w:r>
      <w:r w:rsidR="00BD5FD5">
        <w:rPr>
          <w:rFonts w:asciiTheme="majorHAnsi" w:hAnsiTheme="majorHAnsi"/>
          <w:szCs w:val="22"/>
          <w:lang w:eastAsia="sk-SK"/>
        </w:rPr>
        <w:t>a </w:t>
      </w:r>
      <w:r w:rsidRPr="00A11FE0">
        <w:rPr>
          <w:rFonts w:asciiTheme="majorHAnsi" w:hAnsiTheme="majorHAnsi"/>
          <w:szCs w:val="22"/>
          <w:lang w:eastAsia="sk-SK"/>
        </w:rPr>
        <w:t>plánovité odstraňovanie opakovaných nehodových lokalít</w:t>
      </w:r>
      <w:r w:rsidR="00A92F9C">
        <w:rPr>
          <w:rStyle w:val="Odkaznapoznmkupodiarou"/>
          <w:rFonts w:asciiTheme="majorHAnsi" w:hAnsiTheme="majorHAnsi"/>
          <w:szCs w:val="22"/>
          <w:lang w:eastAsia="sk-SK"/>
        </w:rPr>
        <w:footnoteReference w:id="88"/>
      </w:r>
      <w:r w:rsidRPr="00A11FE0">
        <w:rPr>
          <w:rFonts w:asciiTheme="majorHAnsi" w:hAnsiTheme="majorHAnsi"/>
          <w:szCs w:val="22"/>
          <w:lang w:eastAsia="sk-SK"/>
        </w:rPr>
        <w:t>.</w:t>
      </w:r>
      <w:r w:rsidR="00A92F9C">
        <w:rPr>
          <w:rFonts w:asciiTheme="majorHAnsi" w:hAnsiTheme="majorHAnsi"/>
          <w:szCs w:val="22"/>
          <w:lang w:eastAsia="sk-SK"/>
        </w:rPr>
        <w:t xml:space="preserve"> </w:t>
      </w:r>
      <w:r w:rsidR="00BD5FD5">
        <w:rPr>
          <w:rFonts w:asciiTheme="majorHAnsi" w:hAnsiTheme="majorHAnsi"/>
          <w:szCs w:val="22"/>
        </w:rPr>
        <w:t>A</w:t>
      </w:r>
      <w:r w:rsidRPr="00A11FE0">
        <w:rPr>
          <w:rFonts w:asciiTheme="majorHAnsi" w:hAnsiTheme="majorHAnsi"/>
          <w:szCs w:val="22"/>
        </w:rPr>
        <w:t xml:space="preserve">bsencia cyklickosti </w:t>
      </w:r>
      <w:r w:rsidR="00BD5FD5">
        <w:rPr>
          <w:rFonts w:asciiTheme="majorHAnsi" w:hAnsiTheme="majorHAnsi"/>
          <w:szCs w:val="22"/>
        </w:rPr>
        <w:t>s</w:t>
      </w:r>
      <w:r w:rsidRPr="00A11FE0">
        <w:rPr>
          <w:rFonts w:asciiTheme="majorHAnsi" w:hAnsiTheme="majorHAnsi"/>
          <w:szCs w:val="22"/>
        </w:rPr>
        <w:t xml:space="preserve">úvislej údržby má za následok riešenie iba havarijných </w:t>
      </w:r>
      <w:r w:rsidR="00BD5FD5">
        <w:rPr>
          <w:rFonts w:asciiTheme="majorHAnsi" w:hAnsiTheme="majorHAnsi"/>
          <w:szCs w:val="22"/>
        </w:rPr>
        <w:t>s</w:t>
      </w:r>
      <w:r w:rsidRPr="00A11FE0">
        <w:rPr>
          <w:rFonts w:asciiTheme="majorHAnsi" w:hAnsiTheme="majorHAnsi"/>
          <w:szCs w:val="22"/>
        </w:rPr>
        <w:t xml:space="preserve">tavov, </w:t>
      </w:r>
      <w:r w:rsidR="00BD5FD5">
        <w:rPr>
          <w:rFonts w:asciiTheme="majorHAnsi" w:hAnsiTheme="majorHAnsi"/>
          <w:szCs w:val="22"/>
        </w:rPr>
        <w:t>k</w:t>
      </w:r>
      <w:r w:rsidRPr="00A11FE0">
        <w:rPr>
          <w:rFonts w:asciiTheme="majorHAnsi" w:hAnsiTheme="majorHAnsi"/>
          <w:szCs w:val="22"/>
        </w:rPr>
        <w:t xml:space="preserve">torých medziročný nárast je vyšší </w:t>
      </w:r>
      <w:r w:rsidR="00BD5FD5">
        <w:rPr>
          <w:rFonts w:asciiTheme="majorHAnsi" w:hAnsiTheme="majorHAnsi"/>
          <w:szCs w:val="22"/>
        </w:rPr>
        <w:t>ak</w:t>
      </w:r>
      <w:r w:rsidRPr="00A11FE0">
        <w:rPr>
          <w:rFonts w:asciiTheme="majorHAnsi" w:hAnsiTheme="majorHAnsi"/>
          <w:szCs w:val="22"/>
        </w:rPr>
        <w:t xml:space="preserve">o dĺžka rehabilitovaných úsekov. </w:t>
      </w:r>
      <w:r w:rsidR="00BD5FD5">
        <w:rPr>
          <w:rFonts w:asciiTheme="majorHAnsi" w:hAnsiTheme="majorHAnsi"/>
          <w:szCs w:val="22"/>
        </w:rPr>
        <w:t>Ak</w:t>
      </w:r>
      <w:r w:rsidRPr="00A11FE0">
        <w:rPr>
          <w:rFonts w:asciiTheme="majorHAnsi" w:hAnsiTheme="majorHAnsi"/>
          <w:szCs w:val="22"/>
        </w:rPr>
        <w:t xml:space="preserve"> nedôjde </w:t>
      </w:r>
      <w:r w:rsidR="00BD5FD5">
        <w:rPr>
          <w:rFonts w:asciiTheme="majorHAnsi" w:hAnsiTheme="majorHAnsi"/>
          <w:szCs w:val="22"/>
        </w:rPr>
        <w:t>k </w:t>
      </w:r>
      <w:r w:rsidRPr="00A11FE0">
        <w:rPr>
          <w:rFonts w:asciiTheme="majorHAnsi" w:hAnsiTheme="majorHAnsi"/>
          <w:szCs w:val="22"/>
        </w:rPr>
        <w:t>zmene</w:t>
      </w:r>
      <w:r w:rsidR="00285918">
        <w:rPr>
          <w:rFonts w:asciiTheme="majorHAnsi" w:hAnsiTheme="majorHAnsi"/>
          <w:szCs w:val="22"/>
        </w:rPr>
        <w:t xml:space="preserve"> </w:t>
      </w:r>
      <w:r w:rsidRPr="00A11FE0">
        <w:rPr>
          <w:rFonts w:asciiTheme="majorHAnsi" w:hAnsiTheme="majorHAnsi"/>
          <w:szCs w:val="22"/>
        </w:rPr>
        <w:t xml:space="preserve">vo financovaní údržby </w:t>
      </w:r>
      <w:r w:rsidR="00BD5FD5">
        <w:rPr>
          <w:rFonts w:asciiTheme="majorHAnsi" w:hAnsiTheme="majorHAnsi"/>
          <w:szCs w:val="22"/>
        </w:rPr>
        <w:t>a </w:t>
      </w:r>
      <w:r w:rsidRPr="00A11FE0">
        <w:rPr>
          <w:rFonts w:asciiTheme="majorHAnsi" w:hAnsiTheme="majorHAnsi"/>
          <w:szCs w:val="22"/>
        </w:rPr>
        <w:t xml:space="preserve">opráv ciest I. triedy, do roku 2017 bude v nevyhovujúcom </w:t>
      </w:r>
      <w:r w:rsidR="00BD5FD5">
        <w:rPr>
          <w:rFonts w:asciiTheme="majorHAnsi" w:hAnsiTheme="majorHAnsi"/>
          <w:szCs w:val="22"/>
        </w:rPr>
        <w:t>s</w:t>
      </w:r>
      <w:r w:rsidRPr="00A11FE0">
        <w:rPr>
          <w:rFonts w:asciiTheme="majorHAnsi" w:hAnsiTheme="majorHAnsi"/>
          <w:szCs w:val="22"/>
        </w:rPr>
        <w:t xml:space="preserve">tave </w:t>
      </w:r>
      <w:r w:rsidR="00BD5FD5">
        <w:rPr>
          <w:rFonts w:asciiTheme="majorHAnsi" w:hAnsiTheme="majorHAnsi"/>
          <w:szCs w:val="22"/>
        </w:rPr>
        <w:t>a</w:t>
      </w:r>
      <w:r w:rsidRPr="00A11FE0">
        <w:rPr>
          <w:rFonts w:asciiTheme="majorHAnsi" w:hAnsiTheme="majorHAnsi"/>
          <w:szCs w:val="22"/>
        </w:rPr>
        <w:t>ž</w:t>
      </w:r>
      <w:r w:rsidR="00A853E7" w:rsidRPr="00A11FE0">
        <w:rPr>
          <w:rFonts w:asciiTheme="majorHAnsi" w:hAnsiTheme="majorHAnsi"/>
          <w:szCs w:val="22"/>
        </w:rPr>
        <w:t xml:space="preserve"> takmer </w:t>
      </w:r>
      <w:r w:rsidRPr="00A11FE0">
        <w:rPr>
          <w:rFonts w:asciiTheme="majorHAnsi" w:hAnsiTheme="majorHAnsi"/>
          <w:szCs w:val="22"/>
        </w:rPr>
        <w:t>70 % ciest.</w:t>
      </w:r>
    </w:p>
    <w:p w:rsidR="001B6C78" w:rsidRPr="00A11FE0" w:rsidRDefault="00BD5FD5" w:rsidP="001B6C78">
      <w:pPr>
        <w:rPr>
          <w:rFonts w:asciiTheme="majorHAnsi" w:hAnsiTheme="majorHAnsi"/>
          <w:szCs w:val="22"/>
        </w:rPr>
      </w:pPr>
      <w:r>
        <w:rPr>
          <w:rFonts w:asciiTheme="majorHAnsi" w:hAnsiTheme="majorHAnsi"/>
          <w:szCs w:val="22"/>
        </w:rPr>
        <w:lastRenderedPageBreak/>
        <w:t>S</w:t>
      </w:r>
      <w:r w:rsidR="001B6C78" w:rsidRPr="00A11FE0">
        <w:rPr>
          <w:rFonts w:asciiTheme="majorHAnsi" w:hAnsiTheme="majorHAnsi"/>
          <w:szCs w:val="22"/>
        </w:rPr>
        <w:t xml:space="preserve">amosprávne </w:t>
      </w:r>
      <w:r>
        <w:rPr>
          <w:rFonts w:asciiTheme="majorHAnsi" w:hAnsiTheme="majorHAnsi"/>
          <w:szCs w:val="22"/>
        </w:rPr>
        <w:t>k</w:t>
      </w:r>
      <w:r w:rsidR="001B6C78" w:rsidRPr="00A11FE0">
        <w:rPr>
          <w:rFonts w:asciiTheme="majorHAnsi" w:hAnsiTheme="majorHAnsi"/>
          <w:szCs w:val="22"/>
        </w:rPr>
        <w:t>raje</w:t>
      </w:r>
      <w:r w:rsidR="009776DA">
        <w:rPr>
          <w:rFonts w:asciiTheme="majorHAnsi" w:hAnsiTheme="majorHAnsi"/>
          <w:szCs w:val="22"/>
        </w:rPr>
        <w:t>,</w:t>
      </w:r>
      <w:r w:rsidR="00F25D75">
        <w:rPr>
          <w:rFonts w:asciiTheme="majorHAnsi" w:hAnsiTheme="majorHAnsi"/>
          <w:szCs w:val="22"/>
        </w:rPr>
        <w:t xml:space="preserve"> ako vlastníci ciest</w:t>
      </w:r>
      <w:r w:rsidR="00F25D75" w:rsidRPr="00F25D75">
        <w:rPr>
          <w:rFonts w:asciiTheme="majorHAnsi" w:hAnsiTheme="majorHAnsi"/>
          <w:szCs w:val="22"/>
        </w:rPr>
        <w:t xml:space="preserve"> </w:t>
      </w:r>
      <w:r w:rsidR="00F25D75" w:rsidRPr="00A11FE0">
        <w:rPr>
          <w:rFonts w:asciiTheme="majorHAnsi" w:hAnsiTheme="majorHAnsi"/>
          <w:szCs w:val="22"/>
        </w:rPr>
        <w:t xml:space="preserve">II. </w:t>
      </w:r>
      <w:r w:rsidR="00F25D75">
        <w:rPr>
          <w:rFonts w:asciiTheme="majorHAnsi" w:hAnsiTheme="majorHAnsi"/>
          <w:szCs w:val="22"/>
        </w:rPr>
        <w:t>a </w:t>
      </w:r>
      <w:r w:rsidR="00F25D75" w:rsidRPr="00A11FE0">
        <w:rPr>
          <w:rFonts w:asciiTheme="majorHAnsi" w:hAnsiTheme="majorHAnsi"/>
          <w:szCs w:val="22"/>
        </w:rPr>
        <w:t>III. triedy</w:t>
      </w:r>
      <w:r w:rsidR="00F25D75">
        <w:rPr>
          <w:rFonts w:asciiTheme="majorHAnsi" w:hAnsiTheme="majorHAnsi"/>
          <w:szCs w:val="22"/>
        </w:rPr>
        <w:t xml:space="preserve"> a</w:t>
      </w:r>
      <w:r w:rsidR="009776DA">
        <w:rPr>
          <w:rFonts w:asciiTheme="majorHAnsi" w:hAnsiTheme="majorHAnsi"/>
          <w:szCs w:val="22"/>
        </w:rPr>
        <w:t> </w:t>
      </w:r>
      <w:r w:rsidR="00F25D75">
        <w:rPr>
          <w:rFonts w:asciiTheme="majorHAnsi" w:hAnsiTheme="majorHAnsi"/>
          <w:szCs w:val="22"/>
        </w:rPr>
        <w:t>ich</w:t>
      </w:r>
      <w:r w:rsidR="001B6C78" w:rsidRPr="00A11FE0">
        <w:rPr>
          <w:rFonts w:asciiTheme="majorHAnsi" w:hAnsiTheme="majorHAnsi"/>
          <w:szCs w:val="22"/>
        </w:rPr>
        <w:t xml:space="preserve"> </w:t>
      </w:r>
      <w:r>
        <w:rPr>
          <w:rFonts w:asciiTheme="majorHAnsi" w:hAnsiTheme="majorHAnsi"/>
          <w:szCs w:val="22"/>
        </w:rPr>
        <w:t>s</w:t>
      </w:r>
      <w:r w:rsidR="001B6C78" w:rsidRPr="00A11FE0">
        <w:rPr>
          <w:rFonts w:asciiTheme="majorHAnsi" w:hAnsiTheme="majorHAnsi"/>
          <w:szCs w:val="22"/>
        </w:rPr>
        <w:t>právcovia</w:t>
      </w:r>
      <w:r w:rsidR="00BD5E02">
        <w:rPr>
          <w:rFonts w:asciiTheme="majorHAnsi" w:hAnsiTheme="majorHAnsi"/>
          <w:szCs w:val="22"/>
        </w:rPr>
        <w:t>,</w:t>
      </w:r>
      <w:r w:rsidR="001B6C78" w:rsidRPr="00A11FE0">
        <w:rPr>
          <w:rFonts w:asciiTheme="majorHAnsi" w:hAnsiTheme="majorHAnsi"/>
          <w:szCs w:val="22"/>
        </w:rPr>
        <w:t xml:space="preserve"> nedisponujú vzhľadom na ich rozsah</w:t>
      </w:r>
      <w:r w:rsidR="001B6C78" w:rsidRPr="00A11FE0">
        <w:rPr>
          <w:rStyle w:val="Odkaznapoznmkupodiarou"/>
          <w:rFonts w:asciiTheme="majorHAnsi" w:hAnsiTheme="majorHAnsi"/>
          <w:szCs w:val="22"/>
        </w:rPr>
        <w:footnoteReference w:id="89"/>
      </w:r>
      <w:r w:rsidR="001B6C78" w:rsidRPr="00A11FE0">
        <w:rPr>
          <w:rFonts w:asciiTheme="majorHAnsi" w:hAnsiTheme="majorHAnsi"/>
          <w:szCs w:val="22"/>
        </w:rPr>
        <w:t xml:space="preserve"> dostatočnými zdrojmi na ich modernizáciu, údržbu </w:t>
      </w:r>
      <w:r>
        <w:rPr>
          <w:rFonts w:asciiTheme="majorHAnsi" w:hAnsiTheme="majorHAnsi"/>
          <w:szCs w:val="22"/>
        </w:rPr>
        <w:t>a </w:t>
      </w:r>
      <w:r w:rsidR="001B6C78" w:rsidRPr="00A11FE0">
        <w:rPr>
          <w:rFonts w:asciiTheme="majorHAnsi" w:hAnsiTheme="majorHAnsi"/>
          <w:szCs w:val="22"/>
        </w:rPr>
        <w:t xml:space="preserve">rozvoj, čoho dôsledkom je ich dlhodobo nevyhovujúci </w:t>
      </w:r>
      <w:r>
        <w:rPr>
          <w:rFonts w:asciiTheme="majorHAnsi" w:hAnsiTheme="majorHAnsi"/>
          <w:szCs w:val="22"/>
        </w:rPr>
        <w:t>s</w:t>
      </w:r>
      <w:r w:rsidR="001B6C78" w:rsidRPr="00A11FE0">
        <w:rPr>
          <w:rFonts w:asciiTheme="majorHAnsi" w:hAnsiTheme="majorHAnsi"/>
          <w:szCs w:val="22"/>
        </w:rPr>
        <w:t xml:space="preserve">tavebno-technický </w:t>
      </w:r>
      <w:r>
        <w:rPr>
          <w:rFonts w:asciiTheme="majorHAnsi" w:hAnsiTheme="majorHAnsi"/>
          <w:szCs w:val="22"/>
        </w:rPr>
        <w:t>s</w:t>
      </w:r>
      <w:r w:rsidR="001B6C78" w:rsidRPr="00A11FE0">
        <w:rPr>
          <w:rFonts w:asciiTheme="majorHAnsi" w:hAnsiTheme="majorHAnsi"/>
          <w:szCs w:val="22"/>
        </w:rPr>
        <w:t xml:space="preserve">tav. Prejavuje </w:t>
      </w:r>
      <w:r>
        <w:rPr>
          <w:rFonts w:asciiTheme="majorHAnsi" w:hAnsiTheme="majorHAnsi"/>
          <w:szCs w:val="22"/>
        </w:rPr>
        <w:t>s</w:t>
      </w:r>
      <w:r w:rsidR="001B6C78" w:rsidRPr="00A11FE0">
        <w:rPr>
          <w:rFonts w:asciiTheme="majorHAnsi" w:hAnsiTheme="majorHAnsi"/>
          <w:szCs w:val="22"/>
        </w:rPr>
        <w:t xml:space="preserve">a to najmä na cestách, </w:t>
      </w:r>
      <w:r>
        <w:rPr>
          <w:rFonts w:asciiTheme="majorHAnsi" w:hAnsiTheme="majorHAnsi"/>
          <w:szCs w:val="22"/>
        </w:rPr>
        <w:t>k</w:t>
      </w:r>
      <w:r w:rsidR="001B6C78" w:rsidRPr="00A11FE0">
        <w:rPr>
          <w:rFonts w:asciiTheme="majorHAnsi" w:hAnsiTheme="majorHAnsi"/>
          <w:szCs w:val="22"/>
        </w:rPr>
        <w:t>toré v území preberajú funkciu nosnej cestnej infraštruktúry (t.</w:t>
      </w:r>
      <w:r w:rsidR="007F7B9A" w:rsidRPr="00A11FE0">
        <w:rPr>
          <w:rFonts w:asciiTheme="majorHAnsi" w:hAnsiTheme="majorHAnsi"/>
          <w:szCs w:val="22"/>
        </w:rPr>
        <w:t xml:space="preserve"> </w:t>
      </w:r>
      <w:r w:rsidR="001B6C78" w:rsidRPr="00A11FE0">
        <w:rPr>
          <w:rFonts w:asciiTheme="majorHAnsi" w:hAnsiTheme="majorHAnsi"/>
          <w:szCs w:val="22"/>
        </w:rPr>
        <w:t>j. c</w:t>
      </w:r>
      <w:r w:rsidR="0044688C">
        <w:rPr>
          <w:rFonts w:asciiTheme="majorHAnsi" w:hAnsiTheme="majorHAnsi"/>
          <w:szCs w:val="22"/>
        </w:rPr>
        <w:t>esty</w:t>
      </w:r>
      <w:r w:rsidR="001B6C78" w:rsidRPr="00A11FE0">
        <w:rPr>
          <w:rFonts w:asciiTheme="majorHAnsi" w:hAnsiTheme="majorHAnsi"/>
          <w:szCs w:val="22"/>
        </w:rPr>
        <w:t xml:space="preserve"> I. triedy)</w:t>
      </w:r>
      <w:r w:rsidR="00A853E7" w:rsidRPr="00A11FE0">
        <w:rPr>
          <w:rFonts w:asciiTheme="majorHAnsi" w:hAnsiTheme="majorHAnsi"/>
          <w:szCs w:val="22"/>
        </w:rPr>
        <w:t xml:space="preserve">, </w:t>
      </w:r>
      <w:r w:rsidR="001B6C78" w:rsidRPr="00A11FE0">
        <w:rPr>
          <w:rFonts w:asciiTheme="majorHAnsi" w:hAnsiTheme="majorHAnsi"/>
          <w:szCs w:val="22"/>
        </w:rPr>
        <w:t xml:space="preserve">v prepojení </w:t>
      </w:r>
      <w:r>
        <w:rPr>
          <w:rFonts w:asciiTheme="majorHAnsi" w:hAnsiTheme="majorHAnsi"/>
          <w:szCs w:val="22"/>
        </w:rPr>
        <w:t>s</w:t>
      </w:r>
      <w:r w:rsidR="001B6C78" w:rsidRPr="00A11FE0">
        <w:rPr>
          <w:rFonts w:asciiTheme="majorHAnsi" w:hAnsiTheme="majorHAnsi"/>
          <w:szCs w:val="22"/>
        </w:rPr>
        <w:t xml:space="preserve">ekundárnych </w:t>
      </w:r>
      <w:r>
        <w:rPr>
          <w:rFonts w:asciiTheme="majorHAnsi" w:hAnsiTheme="majorHAnsi"/>
          <w:szCs w:val="22"/>
        </w:rPr>
        <w:t>a</w:t>
      </w:r>
      <w:r w:rsidR="001B6C78" w:rsidRPr="00A11FE0">
        <w:rPr>
          <w:rFonts w:asciiTheme="majorHAnsi" w:hAnsiTheme="majorHAnsi"/>
          <w:szCs w:val="22"/>
        </w:rPr>
        <w:t> terciárnych uzlov</w:t>
      </w:r>
      <w:r w:rsidR="00A853E7" w:rsidRPr="00A11FE0">
        <w:rPr>
          <w:rFonts w:asciiTheme="majorHAnsi" w:hAnsiTheme="majorHAnsi"/>
          <w:szCs w:val="22"/>
        </w:rPr>
        <w:t xml:space="preserve">, </w:t>
      </w:r>
      <w:r>
        <w:rPr>
          <w:rFonts w:asciiTheme="majorHAnsi" w:hAnsiTheme="majorHAnsi"/>
          <w:szCs w:val="22"/>
        </w:rPr>
        <w:t>s </w:t>
      </w:r>
      <w:r w:rsidR="001B6C78" w:rsidRPr="00A11FE0">
        <w:rPr>
          <w:rFonts w:asciiTheme="majorHAnsi" w:hAnsiTheme="majorHAnsi"/>
          <w:szCs w:val="22"/>
        </w:rPr>
        <w:t>priamym napojením</w:t>
      </w:r>
      <w:r w:rsidR="001E240E" w:rsidRPr="00A11FE0">
        <w:rPr>
          <w:rFonts w:asciiTheme="majorHAnsi" w:hAnsiTheme="majorHAnsi"/>
          <w:szCs w:val="22"/>
        </w:rPr>
        <w:t xml:space="preserve"> </w:t>
      </w:r>
      <w:r w:rsidR="001B6C78" w:rsidRPr="00A11FE0">
        <w:rPr>
          <w:rFonts w:asciiTheme="majorHAnsi" w:hAnsiTheme="majorHAnsi"/>
          <w:szCs w:val="22"/>
        </w:rPr>
        <w:t xml:space="preserve">na cestnú infraštruktúru </w:t>
      </w:r>
      <w:r>
        <w:rPr>
          <w:rFonts w:asciiTheme="majorHAnsi" w:hAnsiTheme="majorHAnsi"/>
          <w:szCs w:val="22"/>
        </w:rPr>
        <w:t>s</w:t>
      </w:r>
      <w:r w:rsidR="0044688C">
        <w:rPr>
          <w:rFonts w:asciiTheme="majorHAnsi" w:hAnsiTheme="majorHAnsi"/>
          <w:szCs w:val="22"/>
        </w:rPr>
        <w:t xml:space="preserve">iete </w:t>
      </w:r>
      <w:r w:rsidR="001B6C78" w:rsidRPr="00A11FE0">
        <w:rPr>
          <w:rFonts w:asciiTheme="majorHAnsi" w:hAnsiTheme="majorHAnsi"/>
          <w:szCs w:val="22"/>
        </w:rPr>
        <w:t xml:space="preserve">TEN-T. </w:t>
      </w:r>
      <w:r>
        <w:rPr>
          <w:rFonts w:asciiTheme="majorHAnsi" w:hAnsiTheme="majorHAnsi"/>
          <w:szCs w:val="22"/>
        </w:rPr>
        <w:t>K</w:t>
      </w:r>
      <w:r w:rsidR="001B6C78" w:rsidRPr="00A11FE0">
        <w:rPr>
          <w:rFonts w:asciiTheme="majorHAnsi" w:hAnsiTheme="majorHAnsi"/>
          <w:szCs w:val="22"/>
        </w:rPr>
        <w:t xml:space="preserve">valita ciest II. </w:t>
      </w:r>
      <w:r>
        <w:rPr>
          <w:rFonts w:asciiTheme="majorHAnsi" w:hAnsiTheme="majorHAnsi"/>
          <w:szCs w:val="22"/>
        </w:rPr>
        <w:t>a </w:t>
      </w:r>
      <w:r w:rsidR="001B6C78" w:rsidRPr="00A11FE0">
        <w:rPr>
          <w:rFonts w:asciiTheme="majorHAnsi" w:hAnsiTheme="majorHAnsi"/>
          <w:szCs w:val="22"/>
        </w:rPr>
        <w:t xml:space="preserve">III. triedy bezprostredne vplýva </w:t>
      </w:r>
      <w:r>
        <w:rPr>
          <w:rFonts w:asciiTheme="majorHAnsi" w:hAnsiTheme="majorHAnsi"/>
          <w:szCs w:val="22"/>
        </w:rPr>
        <w:t>a</w:t>
      </w:r>
      <w:r w:rsidR="001B6C78" w:rsidRPr="00A11FE0">
        <w:rPr>
          <w:rFonts w:asciiTheme="majorHAnsi" w:hAnsiTheme="majorHAnsi"/>
          <w:szCs w:val="22"/>
        </w:rPr>
        <w:t xml:space="preserve">j </w:t>
      </w:r>
      <w:r w:rsidR="001E240E" w:rsidRPr="00A11FE0">
        <w:rPr>
          <w:rFonts w:asciiTheme="majorHAnsi" w:hAnsiTheme="majorHAnsi"/>
          <w:szCs w:val="22"/>
        </w:rPr>
        <w:t>n</w:t>
      </w:r>
      <w:r w:rsidR="001B6C78" w:rsidRPr="00A11FE0">
        <w:rPr>
          <w:rFonts w:asciiTheme="majorHAnsi" w:hAnsiTheme="majorHAnsi"/>
          <w:szCs w:val="22"/>
        </w:rPr>
        <w:t xml:space="preserve">a úroveň </w:t>
      </w:r>
      <w:r>
        <w:rPr>
          <w:rFonts w:asciiTheme="majorHAnsi" w:hAnsiTheme="majorHAnsi"/>
          <w:szCs w:val="22"/>
        </w:rPr>
        <w:t>s</w:t>
      </w:r>
      <w:r w:rsidR="001B6C78" w:rsidRPr="00A11FE0">
        <w:rPr>
          <w:rFonts w:asciiTheme="majorHAnsi" w:hAnsiTheme="majorHAnsi"/>
          <w:szCs w:val="22"/>
        </w:rPr>
        <w:t xml:space="preserve">lužieb prímestskej </w:t>
      </w:r>
      <w:r>
        <w:rPr>
          <w:rFonts w:asciiTheme="majorHAnsi" w:hAnsiTheme="majorHAnsi"/>
          <w:szCs w:val="22"/>
        </w:rPr>
        <w:t>a</w:t>
      </w:r>
      <w:r w:rsidR="001B6C78" w:rsidRPr="00A11FE0">
        <w:rPr>
          <w:rFonts w:asciiTheme="majorHAnsi" w:hAnsiTheme="majorHAnsi"/>
          <w:szCs w:val="22"/>
        </w:rPr>
        <w:t xml:space="preserve">utobusovej dopravy </w:t>
      </w:r>
      <w:r>
        <w:rPr>
          <w:rFonts w:asciiTheme="majorHAnsi" w:hAnsiTheme="majorHAnsi"/>
          <w:szCs w:val="22"/>
        </w:rPr>
        <w:t>a </w:t>
      </w:r>
      <w:r w:rsidR="001B6C78" w:rsidRPr="00A11FE0">
        <w:rPr>
          <w:rFonts w:asciiTheme="majorHAnsi" w:hAnsiTheme="majorHAnsi"/>
          <w:szCs w:val="22"/>
        </w:rPr>
        <w:t xml:space="preserve">mestskej </w:t>
      </w:r>
      <w:r>
        <w:rPr>
          <w:rFonts w:asciiTheme="majorHAnsi" w:hAnsiTheme="majorHAnsi"/>
          <w:szCs w:val="22"/>
        </w:rPr>
        <w:t>a</w:t>
      </w:r>
      <w:r w:rsidR="001B6C78" w:rsidRPr="00A11FE0">
        <w:rPr>
          <w:rFonts w:asciiTheme="majorHAnsi" w:hAnsiTheme="majorHAnsi"/>
          <w:szCs w:val="22"/>
        </w:rPr>
        <w:t xml:space="preserve">utobusovej dopravy, </w:t>
      </w:r>
      <w:r>
        <w:rPr>
          <w:rFonts w:asciiTheme="majorHAnsi" w:hAnsiTheme="majorHAnsi"/>
          <w:szCs w:val="22"/>
        </w:rPr>
        <w:t>k</w:t>
      </w:r>
      <w:r w:rsidR="001B6C78" w:rsidRPr="00A11FE0">
        <w:rPr>
          <w:rFonts w:asciiTheme="majorHAnsi" w:hAnsiTheme="majorHAnsi"/>
          <w:szCs w:val="22"/>
        </w:rPr>
        <w:t xml:space="preserve">torá </w:t>
      </w:r>
      <w:r w:rsidR="00A853E7" w:rsidRPr="00A11FE0">
        <w:rPr>
          <w:rFonts w:asciiTheme="majorHAnsi" w:hAnsiTheme="majorHAnsi"/>
          <w:szCs w:val="22"/>
        </w:rPr>
        <w:t>veľa</w:t>
      </w:r>
      <w:r w:rsidR="001B6C78" w:rsidRPr="00A11FE0">
        <w:rPr>
          <w:rFonts w:asciiTheme="majorHAnsi" w:hAnsiTheme="majorHAnsi"/>
          <w:szCs w:val="22"/>
        </w:rPr>
        <w:t xml:space="preserve">krát predstavuje pre viaceré </w:t>
      </w:r>
      <w:r>
        <w:rPr>
          <w:rFonts w:asciiTheme="majorHAnsi" w:hAnsiTheme="majorHAnsi"/>
          <w:szCs w:val="22"/>
        </w:rPr>
        <w:t>s</w:t>
      </w:r>
      <w:r w:rsidR="001B6C78" w:rsidRPr="00A11FE0">
        <w:rPr>
          <w:rFonts w:asciiTheme="majorHAnsi" w:hAnsiTheme="majorHAnsi"/>
          <w:szCs w:val="22"/>
        </w:rPr>
        <w:t>kupiny obyvateľstva</w:t>
      </w:r>
      <w:r w:rsidR="00A853E7" w:rsidRPr="00A11FE0">
        <w:rPr>
          <w:rFonts w:asciiTheme="majorHAnsi" w:hAnsiTheme="majorHAnsi"/>
          <w:szCs w:val="22"/>
        </w:rPr>
        <w:t xml:space="preserve"> </w:t>
      </w:r>
      <w:r w:rsidR="001B6C78" w:rsidRPr="00A11FE0">
        <w:rPr>
          <w:rFonts w:asciiTheme="majorHAnsi" w:hAnsiTheme="majorHAnsi"/>
          <w:szCs w:val="22"/>
        </w:rPr>
        <w:t xml:space="preserve">jedinú </w:t>
      </w:r>
      <w:r>
        <w:rPr>
          <w:rFonts w:asciiTheme="majorHAnsi" w:hAnsiTheme="majorHAnsi"/>
          <w:szCs w:val="22"/>
        </w:rPr>
        <w:t>a</w:t>
      </w:r>
      <w:r w:rsidR="001B6C78" w:rsidRPr="00A11FE0">
        <w:rPr>
          <w:rFonts w:asciiTheme="majorHAnsi" w:hAnsiTheme="majorHAnsi"/>
          <w:szCs w:val="22"/>
        </w:rPr>
        <w:t>lternatívu prepravy</w:t>
      </w:r>
      <w:r w:rsidR="00A853E7" w:rsidRPr="00A11FE0">
        <w:rPr>
          <w:rFonts w:asciiTheme="majorHAnsi" w:hAnsiTheme="majorHAnsi"/>
          <w:szCs w:val="22"/>
        </w:rPr>
        <w:t xml:space="preserve"> </w:t>
      </w:r>
      <w:r w:rsidR="001B6C78" w:rsidRPr="00A11FE0">
        <w:rPr>
          <w:rFonts w:asciiTheme="majorHAnsi" w:hAnsiTheme="majorHAnsi"/>
          <w:szCs w:val="22"/>
        </w:rPr>
        <w:t xml:space="preserve">pri dochádzke do zamestnania, škôl, úradov, zdravotníckych zariadení </w:t>
      </w:r>
      <w:r>
        <w:rPr>
          <w:rFonts w:asciiTheme="majorHAnsi" w:hAnsiTheme="majorHAnsi"/>
          <w:szCs w:val="22"/>
        </w:rPr>
        <w:t>a</w:t>
      </w:r>
      <w:r w:rsidR="00BD5E02">
        <w:rPr>
          <w:rFonts w:asciiTheme="majorHAnsi" w:hAnsiTheme="majorHAnsi"/>
          <w:szCs w:val="22"/>
        </w:rPr>
        <w:t> pod.</w:t>
      </w:r>
    </w:p>
    <w:p w:rsidR="001B6C78" w:rsidRPr="00A11FE0" w:rsidRDefault="001B6C78" w:rsidP="001B6C78">
      <w:pPr>
        <w:widowControl w:val="0"/>
        <w:autoSpaceDE w:val="0"/>
        <w:autoSpaceDN w:val="0"/>
        <w:adjustRightInd w:val="0"/>
        <w:spacing w:before="0" w:after="0"/>
        <w:rPr>
          <w:rFonts w:asciiTheme="majorHAnsi" w:hAnsiTheme="majorHAnsi"/>
          <w:szCs w:val="22"/>
        </w:rPr>
      </w:pPr>
      <w:r w:rsidRPr="00A11FE0">
        <w:rPr>
          <w:rFonts w:asciiTheme="majorHAnsi" w:hAnsiTheme="majorHAnsi"/>
          <w:szCs w:val="22"/>
        </w:rPr>
        <w:t xml:space="preserve">Cestná </w:t>
      </w:r>
      <w:r w:rsidR="00BD5FD5">
        <w:rPr>
          <w:rFonts w:asciiTheme="majorHAnsi" w:hAnsiTheme="majorHAnsi"/>
          <w:szCs w:val="22"/>
        </w:rPr>
        <w:t>s</w:t>
      </w:r>
      <w:r w:rsidRPr="00A11FE0">
        <w:rPr>
          <w:rFonts w:asciiTheme="majorHAnsi" w:hAnsiTheme="majorHAnsi"/>
          <w:szCs w:val="22"/>
        </w:rPr>
        <w:t xml:space="preserve">ieť nie je dostatočne vybavená technologickými zariadeniami na monitorovanie dopravy </w:t>
      </w:r>
      <w:r w:rsidR="00BD5FD5">
        <w:rPr>
          <w:rFonts w:asciiTheme="majorHAnsi" w:hAnsiTheme="majorHAnsi"/>
          <w:szCs w:val="22"/>
        </w:rPr>
        <w:t>a </w:t>
      </w:r>
      <w:r w:rsidRPr="00A11FE0">
        <w:rPr>
          <w:rFonts w:asciiTheme="majorHAnsi" w:hAnsiTheme="majorHAnsi"/>
          <w:szCs w:val="22"/>
        </w:rPr>
        <w:t>taktiež</w:t>
      </w:r>
      <w:r w:rsidR="00C80098">
        <w:rPr>
          <w:rFonts w:asciiTheme="majorHAnsi" w:hAnsiTheme="majorHAnsi"/>
          <w:szCs w:val="22"/>
        </w:rPr>
        <w:t xml:space="preserve"> </w:t>
      </w:r>
      <w:r w:rsidRPr="00A11FE0">
        <w:rPr>
          <w:rFonts w:asciiTheme="majorHAnsi" w:hAnsiTheme="majorHAnsi"/>
          <w:szCs w:val="22"/>
        </w:rPr>
        <w:t xml:space="preserve">chýbajú inteligentné riadiace </w:t>
      </w:r>
      <w:r w:rsidR="00BD5FD5">
        <w:rPr>
          <w:rFonts w:asciiTheme="majorHAnsi" w:hAnsiTheme="majorHAnsi"/>
          <w:szCs w:val="22"/>
        </w:rPr>
        <w:t>s</w:t>
      </w:r>
      <w:r w:rsidRPr="00A11FE0">
        <w:rPr>
          <w:rFonts w:asciiTheme="majorHAnsi" w:hAnsiTheme="majorHAnsi"/>
          <w:szCs w:val="22"/>
        </w:rPr>
        <w:t>ystémy v</w:t>
      </w:r>
      <w:r w:rsidR="009776DA">
        <w:rPr>
          <w:rFonts w:asciiTheme="majorHAnsi" w:hAnsiTheme="majorHAnsi"/>
          <w:szCs w:val="22"/>
        </w:rPr>
        <w:t> </w:t>
      </w:r>
      <w:r w:rsidRPr="00A11FE0">
        <w:rPr>
          <w:rFonts w:asciiTheme="majorHAnsi" w:hAnsiTheme="majorHAnsi"/>
          <w:szCs w:val="22"/>
        </w:rPr>
        <w:t>doprave</w:t>
      </w:r>
      <w:r w:rsidR="00A853E7" w:rsidRPr="00A11FE0">
        <w:rPr>
          <w:rFonts w:asciiTheme="majorHAnsi" w:hAnsiTheme="majorHAnsi"/>
          <w:szCs w:val="22"/>
        </w:rPr>
        <w:t xml:space="preserve">, </w:t>
      </w:r>
      <w:r w:rsidRPr="00A11FE0">
        <w:rPr>
          <w:rFonts w:asciiTheme="majorHAnsi" w:hAnsiTheme="majorHAnsi"/>
          <w:szCs w:val="22"/>
        </w:rPr>
        <w:t xml:space="preserve">pre podporu zvyšovania bezpečnosti </w:t>
      </w:r>
      <w:r w:rsidR="00BD5FD5">
        <w:rPr>
          <w:rFonts w:asciiTheme="majorHAnsi" w:hAnsiTheme="majorHAnsi"/>
          <w:szCs w:val="22"/>
        </w:rPr>
        <w:t>a</w:t>
      </w:r>
      <w:r w:rsidR="00C80098">
        <w:rPr>
          <w:rFonts w:asciiTheme="majorHAnsi" w:hAnsiTheme="majorHAnsi"/>
          <w:szCs w:val="22"/>
        </w:rPr>
        <w:t> </w:t>
      </w:r>
      <w:r w:rsidRPr="00A11FE0">
        <w:rPr>
          <w:rFonts w:asciiTheme="majorHAnsi" w:hAnsiTheme="majorHAnsi"/>
          <w:szCs w:val="22"/>
        </w:rPr>
        <w:t>plynulosti</w:t>
      </w:r>
      <w:r w:rsidR="00C80098">
        <w:rPr>
          <w:rFonts w:asciiTheme="majorHAnsi" w:hAnsiTheme="majorHAnsi"/>
          <w:szCs w:val="22"/>
        </w:rPr>
        <w:t xml:space="preserve"> </w:t>
      </w:r>
      <w:r w:rsidRPr="00A11FE0">
        <w:rPr>
          <w:rFonts w:asciiTheme="majorHAnsi" w:hAnsiTheme="majorHAnsi"/>
          <w:szCs w:val="22"/>
        </w:rPr>
        <w:t xml:space="preserve">premávky </w:t>
      </w:r>
      <w:r w:rsidR="00BD5FD5">
        <w:rPr>
          <w:rFonts w:asciiTheme="majorHAnsi" w:hAnsiTheme="majorHAnsi"/>
          <w:szCs w:val="22"/>
        </w:rPr>
        <w:t>a </w:t>
      </w:r>
      <w:r w:rsidRPr="00A11FE0">
        <w:rPr>
          <w:rFonts w:asciiTheme="majorHAnsi" w:hAnsiTheme="majorHAnsi"/>
          <w:szCs w:val="22"/>
        </w:rPr>
        <w:t>efektívnejšieho využívania cestnej infraštruktúry.</w:t>
      </w:r>
    </w:p>
    <w:p w:rsidR="001B6C78" w:rsidRPr="00A11FE0" w:rsidRDefault="001B6C78" w:rsidP="00257F35">
      <w:pPr>
        <w:pStyle w:val="Nadpis5"/>
        <w:numPr>
          <w:ilvl w:val="4"/>
          <w:numId w:val="2"/>
        </w:numPr>
        <w:ind w:left="1292"/>
      </w:pPr>
      <w:r w:rsidRPr="00A11FE0">
        <w:t>Nekvalitná infraštruktúra železničnej dopravy</w:t>
      </w:r>
    </w:p>
    <w:p w:rsidR="001B6C78" w:rsidRPr="00A11FE0" w:rsidRDefault="001B6C78" w:rsidP="001B6C78">
      <w:pPr>
        <w:rPr>
          <w:rFonts w:asciiTheme="majorHAnsi" w:hAnsiTheme="majorHAnsi"/>
          <w:szCs w:val="22"/>
        </w:rPr>
      </w:pPr>
      <w:r w:rsidRPr="00A11FE0">
        <w:rPr>
          <w:rFonts w:asciiTheme="majorHAnsi" w:hAnsiTheme="majorHAnsi"/>
          <w:szCs w:val="22"/>
        </w:rPr>
        <w:t xml:space="preserve">Technický </w:t>
      </w:r>
      <w:r w:rsidR="00BD5FD5">
        <w:rPr>
          <w:rFonts w:asciiTheme="majorHAnsi" w:hAnsiTheme="majorHAnsi"/>
          <w:szCs w:val="22"/>
        </w:rPr>
        <w:t>s</w:t>
      </w:r>
      <w:r w:rsidRPr="00A11FE0">
        <w:rPr>
          <w:rFonts w:asciiTheme="majorHAnsi" w:hAnsiTheme="majorHAnsi"/>
          <w:szCs w:val="22"/>
        </w:rPr>
        <w:t xml:space="preserve">tav väčšiny infraštruktúrnych zariadení je neuspokojivý, najmä z dôvodu dlhodobého podfinancovania, zapríčiňujúceho nežiaduce odsúvanie štandardnej údržby, </w:t>
      </w:r>
      <w:r w:rsidR="00BD5FD5">
        <w:rPr>
          <w:rFonts w:asciiTheme="majorHAnsi" w:hAnsiTheme="majorHAnsi"/>
          <w:szCs w:val="22"/>
        </w:rPr>
        <w:t>s</w:t>
      </w:r>
      <w:r w:rsidRPr="00A11FE0">
        <w:rPr>
          <w:rFonts w:asciiTheme="majorHAnsi" w:hAnsiTheme="majorHAnsi"/>
          <w:szCs w:val="22"/>
        </w:rPr>
        <w:t xml:space="preserve">pojenej </w:t>
      </w:r>
      <w:r w:rsidR="00BD5FD5">
        <w:rPr>
          <w:rFonts w:asciiTheme="majorHAnsi" w:hAnsiTheme="majorHAnsi"/>
          <w:szCs w:val="22"/>
        </w:rPr>
        <w:t>s </w:t>
      </w:r>
      <w:r w:rsidRPr="00A11FE0">
        <w:rPr>
          <w:rFonts w:asciiTheme="majorHAnsi" w:hAnsiTheme="majorHAnsi"/>
          <w:szCs w:val="22"/>
        </w:rPr>
        <w:t xml:space="preserve">neprimeraným nárastom budúcich nákladov potrebných na obnovenie udržateľného </w:t>
      </w:r>
      <w:r w:rsidR="00BD5FD5">
        <w:rPr>
          <w:rFonts w:asciiTheme="majorHAnsi" w:hAnsiTheme="majorHAnsi"/>
          <w:szCs w:val="22"/>
        </w:rPr>
        <w:t>s</w:t>
      </w:r>
      <w:r w:rsidRPr="00A11FE0">
        <w:rPr>
          <w:rFonts w:asciiTheme="majorHAnsi" w:hAnsiTheme="majorHAnsi"/>
          <w:szCs w:val="22"/>
        </w:rPr>
        <w:t>tavu.</w:t>
      </w:r>
    </w:p>
    <w:p w:rsidR="001B6C78" w:rsidRPr="00A11FE0" w:rsidRDefault="001B6C78" w:rsidP="001B6C78">
      <w:pPr>
        <w:rPr>
          <w:rFonts w:asciiTheme="majorHAnsi" w:hAnsiTheme="majorHAnsi"/>
          <w:noProof/>
          <w:szCs w:val="22"/>
          <w:lang w:eastAsia="sk-SK"/>
        </w:rPr>
      </w:pPr>
      <w:r w:rsidRPr="00A11FE0">
        <w:rPr>
          <w:rFonts w:asciiTheme="majorHAnsi" w:hAnsiTheme="majorHAnsi"/>
          <w:szCs w:val="22"/>
        </w:rPr>
        <w:t xml:space="preserve">Celková </w:t>
      </w:r>
      <w:r w:rsidR="00BD5FD5">
        <w:rPr>
          <w:rFonts w:asciiTheme="majorHAnsi" w:hAnsiTheme="majorHAnsi"/>
          <w:szCs w:val="22"/>
        </w:rPr>
        <w:t>s</w:t>
      </w:r>
      <w:r w:rsidRPr="00A11FE0">
        <w:rPr>
          <w:rFonts w:asciiTheme="majorHAnsi" w:hAnsiTheme="majorHAnsi"/>
          <w:szCs w:val="22"/>
        </w:rPr>
        <w:t xml:space="preserve">tavebná dĺžka železničných tratí je 3 631 </w:t>
      </w:r>
      <w:r w:rsidR="00BD5FD5">
        <w:rPr>
          <w:rFonts w:asciiTheme="majorHAnsi" w:hAnsiTheme="majorHAnsi"/>
          <w:szCs w:val="22"/>
        </w:rPr>
        <w:t>k</w:t>
      </w:r>
      <w:r w:rsidRPr="00A11FE0">
        <w:rPr>
          <w:rFonts w:asciiTheme="majorHAnsi" w:hAnsiTheme="majorHAnsi"/>
          <w:szCs w:val="22"/>
        </w:rPr>
        <w:t>m, z čoho e</w:t>
      </w:r>
      <w:r w:rsidRPr="00A11FE0">
        <w:rPr>
          <w:rFonts w:asciiTheme="majorHAnsi" w:hAnsiTheme="majorHAnsi"/>
          <w:bCs/>
          <w:szCs w:val="22"/>
        </w:rPr>
        <w:t xml:space="preserve">lektrifikované trate tvoria necelých </w:t>
      </w:r>
      <w:r w:rsidR="00820B17">
        <w:rPr>
          <w:rFonts w:asciiTheme="majorHAnsi" w:hAnsiTheme="majorHAnsi"/>
          <w:bCs/>
          <w:szCs w:val="22"/>
        </w:rPr>
        <w:br/>
      </w:r>
      <w:r w:rsidRPr="00A11FE0">
        <w:rPr>
          <w:rFonts w:asciiTheme="majorHAnsi" w:hAnsiTheme="majorHAnsi"/>
          <w:bCs/>
          <w:szCs w:val="22"/>
        </w:rPr>
        <w:t xml:space="preserve">44 % (1 586 </w:t>
      </w:r>
      <w:r w:rsidR="00BD5FD5">
        <w:rPr>
          <w:rFonts w:asciiTheme="majorHAnsi" w:hAnsiTheme="majorHAnsi"/>
          <w:bCs/>
          <w:szCs w:val="22"/>
        </w:rPr>
        <w:t>k</w:t>
      </w:r>
      <w:r w:rsidRPr="00A11FE0">
        <w:rPr>
          <w:rFonts w:asciiTheme="majorHAnsi" w:hAnsiTheme="majorHAnsi"/>
          <w:bCs/>
          <w:szCs w:val="22"/>
        </w:rPr>
        <w:t xml:space="preserve">m). </w:t>
      </w:r>
      <w:r w:rsidR="00BD5FD5">
        <w:rPr>
          <w:rFonts w:asciiTheme="majorHAnsi" w:hAnsiTheme="majorHAnsi"/>
          <w:bCs/>
          <w:szCs w:val="22"/>
        </w:rPr>
        <w:t>S</w:t>
      </w:r>
      <w:r w:rsidRPr="00A11FE0">
        <w:rPr>
          <w:rFonts w:asciiTheme="majorHAnsi" w:hAnsiTheme="majorHAnsi"/>
          <w:bCs/>
          <w:szCs w:val="22"/>
        </w:rPr>
        <w:t xml:space="preserve">tavebná dĺžka </w:t>
      </w:r>
      <w:r w:rsidR="00BD5FD5">
        <w:rPr>
          <w:rFonts w:asciiTheme="majorHAnsi" w:hAnsiTheme="majorHAnsi"/>
          <w:bCs/>
          <w:szCs w:val="22"/>
        </w:rPr>
        <w:t>k</w:t>
      </w:r>
      <w:r w:rsidRPr="00A11FE0">
        <w:rPr>
          <w:rFonts w:asciiTheme="majorHAnsi" w:hAnsiTheme="majorHAnsi"/>
          <w:bCs/>
          <w:szCs w:val="22"/>
        </w:rPr>
        <w:t>oľají je 6 8</w:t>
      </w:r>
      <w:r w:rsidR="003606CD">
        <w:rPr>
          <w:rFonts w:asciiTheme="majorHAnsi" w:hAnsiTheme="majorHAnsi"/>
          <w:bCs/>
          <w:szCs w:val="22"/>
        </w:rPr>
        <w:t>9</w:t>
      </w:r>
      <w:r w:rsidRPr="00A11FE0">
        <w:rPr>
          <w:rFonts w:asciiTheme="majorHAnsi" w:hAnsiTheme="majorHAnsi"/>
          <w:bCs/>
          <w:szCs w:val="22"/>
        </w:rPr>
        <w:t xml:space="preserve">5 </w:t>
      </w:r>
      <w:r w:rsidR="00BD5FD5">
        <w:rPr>
          <w:rFonts w:asciiTheme="majorHAnsi" w:hAnsiTheme="majorHAnsi"/>
          <w:bCs/>
          <w:szCs w:val="22"/>
        </w:rPr>
        <w:t>k</w:t>
      </w:r>
      <w:r w:rsidRPr="00A11FE0">
        <w:rPr>
          <w:rFonts w:asciiTheme="majorHAnsi" w:hAnsiTheme="majorHAnsi"/>
          <w:bCs/>
          <w:szCs w:val="22"/>
        </w:rPr>
        <w:t>m. Ž</w:t>
      </w:r>
      <w:r w:rsidR="00BD5E02">
        <w:rPr>
          <w:rFonts w:asciiTheme="majorHAnsi" w:hAnsiTheme="majorHAnsi"/>
          <w:bCs/>
          <w:szCs w:val="22"/>
        </w:rPr>
        <w:t xml:space="preserve">eleznice </w:t>
      </w:r>
      <w:r w:rsidRPr="00A11FE0">
        <w:rPr>
          <w:rFonts w:asciiTheme="majorHAnsi" w:hAnsiTheme="majorHAnsi"/>
          <w:bCs/>
          <w:szCs w:val="22"/>
        </w:rPr>
        <w:t>SR</w:t>
      </w:r>
      <w:r w:rsidR="00BD5E02">
        <w:rPr>
          <w:rFonts w:asciiTheme="majorHAnsi" w:hAnsiTheme="majorHAnsi"/>
          <w:bCs/>
          <w:szCs w:val="22"/>
        </w:rPr>
        <w:t xml:space="preserve"> (ďalej len „ŽSR“)</w:t>
      </w:r>
      <w:r w:rsidRPr="00A11FE0">
        <w:rPr>
          <w:rFonts w:asciiTheme="majorHAnsi" w:hAnsiTheme="majorHAnsi"/>
          <w:bCs/>
          <w:szCs w:val="22"/>
        </w:rPr>
        <w:t xml:space="preserve"> </w:t>
      </w:r>
      <w:r w:rsidR="00BD5FD5">
        <w:rPr>
          <w:rFonts w:asciiTheme="majorHAnsi" w:hAnsiTheme="majorHAnsi"/>
          <w:bCs/>
          <w:szCs w:val="22"/>
        </w:rPr>
        <w:t>s</w:t>
      </w:r>
      <w:r w:rsidRPr="00A11FE0">
        <w:rPr>
          <w:rFonts w:asciiTheme="majorHAnsi" w:hAnsiTheme="majorHAnsi"/>
          <w:bCs/>
          <w:szCs w:val="22"/>
        </w:rPr>
        <w:t xml:space="preserve">pravujú tiež viac </w:t>
      </w:r>
      <w:r w:rsidR="00BD5FD5">
        <w:rPr>
          <w:rFonts w:asciiTheme="majorHAnsi" w:hAnsiTheme="majorHAnsi"/>
          <w:bCs/>
          <w:szCs w:val="22"/>
        </w:rPr>
        <w:t>ak</w:t>
      </w:r>
      <w:r w:rsidRPr="00A11FE0">
        <w:rPr>
          <w:rFonts w:asciiTheme="majorHAnsi" w:hAnsiTheme="majorHAnsi"/>
          <w:bCs/>
          <w:szCs w:val="22"/>
        </w:rPr>
        <w:t>o 3 600 prevádzkových budov.</w:t>
      </w:r>
      <w:r w:rsidRPr="00A11FE0">
        <w:rPr>
          <w:rFonts w:asciiTheme="majorHAnsi" w:hAnsiTheme="majorHAnsi"/>
          <w:noProof/>
          <w:szCs w:val="22"/>
          <w:lang w:eastAsia="sk-SK"/>
        </w:rPr>
        <w:t xml:space="preserve"> </w:t>
      </w:r>
      <w:r w:rsidRPr="00A11FE0">
        <w:rPr>
          <w:rFonts w:asciiTheme="majorHAnsi" w:hAnsiTheme="majorHAnsi"/>
          <w:szCs w:val="22"/>
        </w:rPr>
        <w:t>Najvyššou investičnou prioritou ostáva naďalej modernizovať trate zaradené do pan</w:t>
      </w:r>
      <w:r w:rsidR="00585C40">
        <w:rPr>
          <w:rFonts w:asciiTheme="majorHAnsi" w:hAnsiTheme="majorHAnsi"/>
          <w:szCs w:val="22"/>
        </w:rPr>
        <w:t>eur</w:t>
      </w:r>
      <w:r w:rsidRPr="00A11FE0">
        <w:rPr>
          <w:rFonts w:asciiTheme="majorHAnsi" w:hAnsiTheme="majorHAnsi"/>
          <w:szCs w:val="22"/>
        </w:rPr>
        <w:t xml:space="preserve">ópskych </w:t>
      </w:r>
      <w:r w:rsidR="00BD5FD5">
        <w:rPr>
          <w:rFonts w:asciiTheme="majorHAnsi" w:hAnsiTheme="majorHAnsi"/>
          <w:szCs w:val="22"/>
        </w:rPr>
        <w:t>k</w:t>
      </w:r>
      <w:r w:rsidRPr="00A11FE0">
        <w:rPr>
          <w:rFonts w:asciiTheme="majorHAnsi" w:hAnsiTheme="majorHAnsi"/>
          <w:szCs w:val="22"/>
        </w:rPr>
        <w:t xml:space="preserve">oridorov č. IV., V. </w:t>
      </w:r>
      <w:r w:rsidR="00BD5FD5">
        <w:rPr>
          <w:rFonts w:asciiTheme="majorHAnsi" w:hAnsiTheme="majorHAnsi"/>
          <w:szCs w:val="22"/>
        </w:rPr>
        <w:t>a </w:t>
      </w:r>
      <w:r w:rsidRPr="00A11FE0">
        <w:rPr>
          <w:rFonts w:asciiTheme="majorHAnsi" w:hAnsiTheme="majorHAnsi"/>
          <w:szCs w:val="22"/>
        </w:rPr>
        <w:t xml:space="preserve">VI., </w:t>
      </w:r>
      <w:r w:rsidR="00BD5FD5">
        <w:rPr>
          <w:rFonts w:asciiTheme="majorHAnsi" w:hAnsiTheme="majorHAnsi"/>
          <w:szCs w:val="22"/>
        </w:rPr>
        <w:t>k</w:t>
      </w:r>
      <w:r w:rsidRPr="00A11FE0">
        <w:rPr>
          <w:rFonts w:asciiTheme="majorHAnsi" w:hAnsiTheme="majorHAnsi"/>
          <w:szCs w:val="22"/>
        </w:rPr>
        <w:t xml:space="preserve">toré </w:t>
      </w:r>
      <w:r w:rsidR="00BD5FD5">
        <w:rPr>
          <w:rFonts w:asciiTheme="majorHAnsi" w:hAnsiTheme="majorHAnsi"/>
          <w:szCs w:val="22"/>
        </w:rPr>
        <w:t>s</w:t>
      </w:r>
      <w:r w:rsidRPr="00A11FE0">
        <w:rPr>
          <w:rFonts w:asciiTheme="majorHAnsi" w:hAnsiTheme="majorHAnsi"/>
          <w:szCs w:val="22"/>
        </w:rPr>
        <w:t xml:space="preserve">ú </w:t>
      </w:r>
      <w:r w:rsidR="00BD5FD5">
        <w:rPr>
          <w:rFonts w:asciiTheme="majorHAnsi" w:hAnsiTheme="majorHAnsi"/>
          <w:szCs w:val="22"/>
        </w:rPr>
        <w:t>s</w:t>
      </w:r>
      <w:r w:rsidRPr="00A11FE0">
        <w:rPr>
          <w:rFonts w:asciiTheme="majorHAnsi" w:hAnsiTheme="majorHAnsi"/>
          <w:szCs w:val="22"/>
        </w:rPr>
        <w:t>účasťou trans</w:t>
      </w:r>
      <w:r w:rsidR="00585C40">
        <w:rPr>
          <w:rFonts w:asciiTheme="majorHAnsi" w:hAnsiTheme="majorHAnsi"/>
          <w:szCs w:val="22"/>
        </w:rPr>
        <w:t>eur</w:t>
      </w:r>
      <w:r w:rsidRPr="00A11FE0">
        <w:rPr>
          <w:rFonts w:asciiTheme="majorHAnsi" w:hAnsiTheme="majorHAnsi"/>
          <w:szCs w:val="22"/>
        </w:rPr>
        <w:t xml:space="preserve">ópskej dopravnej </w:t>
      </w:r>
      <w:r w:rsidR="00BD5FD5">
        <w:rPr>
          <w:rFonts w:asciiTheme="majorHAnsi" w:hAnsiTheme="majorHAnsi"/>
          <w:szCs w:val="22"/>
        </w:rPr>
        <w:t>s</w:t>
      </w:r>
      <w:r w:rsidRPr="00A11FE0">
        <w:rPr>
          <w:rFonts w:asciiTheme="majorHAnsi" w:hAnsiTheme="majorHAnsi"/>
          <w:szCs w:val="22"/>
        </w:rPr>
        <w:t xml:space="preserve">iete TEN-T, na parametre </w:t>
      </w:r>
      <w:r w:rsidR="00BD5FD5">
        <w:rPr>
          <w:rFonts w:asciiTheme="majorHAnsi" w:hAnsiTheme="majorHAnsi"/>
          <w:szCs w:val="22"/>
        </w:rPr>
        <w:t>A</w:t>
      </w:r>
      <w:r w:rsidRPr="00A11FE0">
        <w:rPr>
          <w:rFonts w:asciiTheme="majorHAnsi" w:hAnsiTheme="majorHAnsi"/>
          <w:szCs w:val="22"/>
        </w:rPr>
        <w:t xml:space="preserve">GC, </w:t>
      </w:r>
      <w:r w:rsidR="00BD5FD5">
        <w:rPr>
          <w:rFonts w:asciiTheme="majorHAnsi" w:hAnsiTheme="majorHAnsi"/>
          <w:szCs w:val="22"/>
        </w:rPr>
        <w:t>A</w:t>
      </w:r>
      <w:r w:rsidRPr="00A11FE0">
        <w:rPr>
          <w:rFonts w:asciiTheme="majorHAnsi" w:hAnsiTheme="majorHAnsi"/>
          <w:szCs w:val="22"/>
        </w:rPr>
        <w:t xml:space="preserve">GTC </w:t>
      </w:r>
      <w:r w:rsidRPr="00A11FE0">
        <w:rPr>
          <w:rStyle w:val="Odkaznapoznmkupodiarou"/>
          <w:rFonts w:asciiTheme="majorHAnsi" w:hAnsiTheme="majorHAnsi"/>
          <w:szCs w:val="22"/>
        </w:rPr>
        <w:footnoteReference w:id="90"/>
      </w:r>
      <w:r w:rsidRPr="00A11FE0">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zabezpečenie interoperability železničných tratí.</w:t>
      </w:r>
    </w:p>
    <w:p w:rsidR="001B6C78" w:rsidRPr="00A11FE0" w:rsidRDefault="001B6C78" w:rsidP="001B6C78">
      <w:pPr>
        <w:rPr>
          <w:rFonts w:asciiTheme="majorHAnsi" w:hAnsiTheme="majorHAnsi"/>
          <w:szCs w:val="22"/>
        </w:rPr>
      </w:pPr>
      <w:r w:rsidRPr="00A11FE0">
        <w:rPr>
          <w:rFonts w:asciiTheme="majorHAnsi" w:hAnsiTheme="majorHAnsi"/>
          <w:szCs w:val="22"/>
        </w:rPr>
        <w:t>V </w:t>
      </w:r>
      <w:r w:rsidR="00BD5FD5">
        <w:rPr>
          <w:rFonts w:asciiTheme="majorHAnsi" w:hAnsiTheme="majorHAnsi"/>
          <w:szCs w:val="22"/>
        </w:rPr>
        <w:t>s</w:t>
      </w:r>
      <w:r w:rsidRPr="00A11FE0">
        <w:rPr>
          <w:rFonts w:asciiTheme="majorHAnsi" w:hAnsiTheme="majorHAnsi"/>
          <w:szCs w:val="22"/>
        </w:rPr>
        <w:t xml:space="preserve">účasnosti </w:t>
      </w:r>
      <w:r w:rsidR="006E79DA" w:rsidRPr="00A11FE0">
        <w:rPr>
          <w:rFonts w:asciiTheme="majorHAnsi" w:hAnsiTheme="majorHAnsi"/>
          <w:szCs w:val="22"/>
        </w:rPr>
        <w:t>realizovaný</w:t>
      </w:r>
      <w:r w:rsidRPr="00A11FE0">
        <w:rPr>
          <w:rFonts w:asciiTheme="majorHAnsi" w:hAnsiTheme="majorHAnsi"/>
          <w:szCs w:val="22"/>
        </w:rPr>
        <w:t xml:space="preserve"> </w:t>
      </w:r>
      <w:r w:rsidR="006E79DA" w:rsidRPr="00A11FE0">
        <w:rPr>
          <w:rFonts w:asciiTheme="majorHAnsi" w:hAnsiTheme="majorHAnsi"/>
          <w:szCs w:val="22"/>
        </w:rPr>
        <w:t>investičný</w:t>
      </w:r>
      <w:r w:rsidRPr="00A11FE0">
        <w:rPr>
          <w:rFonts w:asciiTheme="majorHAnsi" w:hAnsiTheme="majorHAnsi"/>
          <w:szCs w:val="22"/>
        </w:rPr>
        <w:t xml:space="preserve"> program </w:t>
      </w:r>
      <w:r w:rsidR="00BD5FD5">
        <w:rPr>
          <w:rFonts w:asciiTheme="majorHAnsi" w:hAnsiTheme="majorHAnsi"/>
          <w:szCs w:val="22"/>
        </w:rPr>
        <w:t>s</w:t>
      </w:r>
      <w:r w:rsidRPr="00A11FE0">
        <w:rPr>
          <w:rFonts w:asciiTheme="majorHAnsi" w:hAnsiTheme="majorHAnsi"/>
          <w:szCs w:val="22"/>
        </w:rPr>
        <w:t xml:space="preserve">a </w:t>
      </w:r>
      <w:r w:rsidR="006E79DA" w:rsidRPr="00A11FE0">
        <w:rPr>
          <w:rFonts w:asciiTheme="majorHAnsi" w:hAnsiTheme="majorHAnsi"/>
          <w:szCs w:val="22"/>
        </w:rPr>
        <w:t>týka</w:t>
      </w:r>
      <w:r w:rsidRPr="00A11FE0">
        <w:rPr>
          <w:rFonts w:asciiTheme="majorHAnsi" w:hAnsiTheme="majorHAnsi"/>
          <w:szCs w:val="22"/>
        </w:rPr>
        <w:t xml:space="preserve"> </w:t>
      </w:r>
      <w:r w:rsidR="006E79DA" w:rsidRPr="00A11FE0">
        <w:rPr>
          <w:rFonts w:asciiTheme="majorHAnsi" w:hAnsiTheme="majorHAnsi"/>
          <w:szCs w:val="22"/>
        </w:rPr>
        <w:t>necelých</w:t>
      </w:r>
      <w:r w:rsidRPr="00A11FE0">
        <w:rPr>
          <w:rFonts w:asciiTheme="majorHAnsi" w:hAnsiTheme="majorHAnsi"/>
          <w:szCs w:val="22"/>
        </w:rPr>
        <w:t xml:space="preserve"> 5 % </w:t>
      </w:r>
      <w:r w:rsidR="00BD5FD5">
        <w:rPr>
          <w:rFonts w:asciiTheme="majorHAnsi" w:hAnsiTheme="majorHAnsi"/>
          <w:szCs w:val="22"/>
        </w:rPr>
        <w:t>s</w:t>
      </w:r>
      <w:r w:rsidRPr="00A11FE0">
        <w:rPr>
          <w:rFonts w:asciiTheme="majorHAnsi" w:hAnsiTheme="majorHAnsi"/>
          <w:szCs w:val="22"/>
        </w:rPr>
        <w:t xml:space="preserve">tavebnej dĺžky </w:t>
      </w:r>
      <w:r w:rsidR="006E79DA" w:rsidRPr="00A11FE0">
        <w:rPr>
          <w:rFonts w:asciiTheme="majorHAnsi" w:hAnsiTheme="majorHAnsi"/>
          <w:szCs w:val="22"/>
        </w:rPr>
        <w:t>prevádzkovaných</w:t>
      </w:r>
      <w:r w:rsidRPr="00A11FE0">
        <w:rPr>
          <w:rFonts w:asciiTheme="majorHAnsi" w:hAnsiTheme="majorHAnsi"/>
          <w:szCs w:val="22"/>
        </w:rPr>
        <w:t xml:space="preserve"> tratí. Od vzniku </w:t>
      </w:r>
      <w:r w:rsidR="00BD5FD5">
        <w:rPr>
          <w:rFonts w:asciiTheme="majorHAnsi" w:hAnsiTheme="majorHAnsi"/>
          <w:szCs w:val="22"/>
        </w:rPr>
        <w:t>s</w:t>
      </w:r>
      <w:r w:rsidRPr="00A11FE0">
        <w:rPr>
          <w:rFonts w:asciiTheme="majorHAnsi" w:hAnsiTheme="majorHAnsi"/>
          <w:szCs w:val="22"/>
        </w:rPr>
        <w:t xml:space="preserve">amostatnej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s</w:t>
      </w:r>
      <w:r w:rsidRPr="00A11FE0">
        <w:rPr>
          <w:rFonts w:asciiTheme="majorHAnsi" w:hAnsiTheme="majorHAnsi"/>
          <w:szCs w:val="22"/>
        </w:rPr>
        <w:t xml:space="preserve">a všetky ostatné modernizačné zásahy dotkli len </w:t>
      </w:r>
      <w:r w:rsidR="006E79DA" w:rsidRPr="00A11FE0">
        <w:rPr>
          <w:rFonts w:asciiTheme="majorHAnsi" w:hAnsiTheme="majorHAnsi"/>
          <w:szCs w:val="22"/>
        </w:rPr>
        <w:t>necelých</w:t>
      </w:r>
      <w:r w:rsidRPr="00A11FE0">
        <w:rPr>
          <w:rFonts w:asciiTheme="majorHAnsi" w:hAnsiTheme="majorHAnsi"/>
          <w:szCs w:val="22"/>
        </w:rPr>
        <w:t xml:space="preserve"> ďalších 10</w:t>
      </w:r>
      <w:r w:rsidR="006E79DA" w:rsidRPr="00A11FE0">
        <w:rPr>
          <w:rFonts w:asciiTheme="majorHAnsi" w:hAnsiTheme="majorHAnsi"/>
          <w:szCs w:val="22"/>
        </w:rPr>
        <w:t> </w:t>
      </w:r>
      <w:r w:rsidRPr="00A11FE0">
        <w:rPr>
          <w:rFonts w:asciiTheme="majorHAnsi" w:hAnsiTheme="majorHAnsi"/>
          <w:szCs w:val="22"/>
        </w:rPr>
        <w:t xml:space="preserve">% </w:t>
      </w:r>
      <w:r w:rsidR="006E79DA" w:rsidRPr="00A11FE0">
        <w:rPr>
          <w:rFonts w:asciiTheme="majorHAnsi" w:hAnsiTheme="majorHAnsi"/>
          <w:szCs w:val="22"/>
        </w:rPr>
        <w:t>železničných</w:t>
      </w:r>
      <w:r w:rsidRPr="00A11FE0">
        <w:rPr>
          <w:rFonts w:asciiTheme="majorHAnsi" w:hAnsiTheme="majorHAnsi"/>
          <w:szCs w:val="22"/>
        </w:rPr>
        <w:t xml:space="preserve"> tratí</w:t>
      </w:r>
      <w:r w:rsidRPr="00A11FE0">
        <w:rPr>
          <w:rFonts w:asciiTheme="majorHAnsi" w:hAnsiTheme="majorHAnsi"/>
          <w:vertAlign w:val="superscript"/>
        </w:rPr>
        <w:footnoteReference w:id="91"/>
      </w:r>
      <w:r w:rsidRPr="00A11FE0">
        <w:rPr>
          <w:rFonts w:asciiTheme="majorHAnsi" w:hAnsiTheme="majorHAnsi"/>
          <w:szCs w:val="22"/>
        </w:rPr>
        <w:t xml:space="preserve">. Nevyhovujúci </w:t>
      </w:r>
      <w:r w:rsidR="00BD5FD5">
        <w:rPr>
          <w:rFonts w:asciiTheme="majorHAnsi" w:hAnsiTheme="majorHAnsi"/>
          <w:szCs w:val="22"/>
        </w:rPr>
        <w:t>s</w:t>
      </w:r>
      <w:r w:rsidRPr="00A11FE0">
        <w:rPr>
          <w:rFonts w:asciiTheme="majorHAnsi" w:hAnsiTheme="majorHAnsi"/>
          <w:szCs w:val="22"/>
        </w:rPr>
        <w:t>tav železničnej infraštruktúry</w:t>
      </w:r>
      <w:r w:rsidR="001B6F8D" w:rsidRPr="00A11FE0">
        <w:rPr>
          <w:rFonts w:asciiTheme="majorHAnsi" w:hAnsiTheme="majorHAnsi"/>
          <w:szCs w:val="22"/>
        </w:rPr>
        <w:t xml:space="preserve"> </w:t>
      </w:r>
      <w:r w:rsidR="00BD5FD5">
        <w:rPr>
          <w:rFonts w:asciiTheme="majorHAnsi" w:hAnsiTheme="majorHAnsi"/>
          <w:szCs w:val="22"/>
        </w:rPr>
        <w:t>s </w:t>
      </w:r>
      <w:r w:rsidRPr="00A11FE0">
        <w:rPr>
          <w:rFonts w:asciiTheme="majorHAnsi" w:hAnsiTheme="majorHAnsi"/>
          <w:szCs w:val="22"/>
        </w:rPr>
        <w:t xml:space="preserve">veľkým množstvom prechodných obmedzení traťovej rýchlosti, vysokým podielom nezabezpečených priecestí, pretrvávajúcimi problémami elektromagnetickej </w:t>
      </w:r>
      <w:r w:rsidR="00BD5FD5">
        <w:rPr>
          <w:rFonts w:asciiTheme="majorHAnsi" w:hAnsiTheme="majorHAnsi"/>
          <w:szCs w:val="22"/>
        </w:rPr>
        <w:t>k</w:t>
      </w:r>
      <w:r w:rsidRPr="00A11FE0">
        <w:rPr>
          <w:rFonts w:asciiTheme="majorHAnsi" w:hAnsiTheme="majorHAnsi"/>
          <w:szCs w:val="22"/>
        </w:rPr>
        <w:t xml:space="preserve">ompatibility, neflexibilnou organizáciou prevádzky </w:t>
      </w:r>
      <w:r w:rsidR="00BD5FD5">
        <w:rPr>
          <w:rFonts w:asciiTheme="majorHAnsi" w:hAnsiTheme="majorHAnsi"/>
          <w:szCs w:val="22"/>
        </w:rPr>
        <w:t>a </w:t>
      </w:r>
      <w:r w:rsidRPr="00A11FE0">
        <w:rPr>
          <w:rFonts w:asciiTheme="majorHAnsi" w:hAnsiTheme="majorHAnsi"/>
          <w:szCs w:val="22"/>
        </w:rPr>
        <w:t xml:space="preserve">nevyhovujúcim </w:t>
      </w:r>
      <w:r w:rsidR="00BD5FD5">
        <w:rPr>
          <w:rFonts w:asciiTheme="majorHAnsi" w:hAnsiTheme="majorHAnsi"/>
          <w:szCs w:val="22"/>
        </w:rPr>
        <w:t>s</w:t>
      </w:r>
      <w:r w:rsidRPr="00A11FE0">
        <w:rPr>
          <w:rFonts w:asciiTheme="majorHAnsi" w:hAnsiTheme="majorHAnsi"/>
          <w:szCs w:val="22"/>
        </w:rPr>
        <w:t xml:space="preserve">tavom železničných </w:t>
      </w:r>
      <w:r w:rsidR="00BD5FD5">
        <w:rPr>
          <w:rFonts w:asciiTheme="majorHAnsi" w:hAnsiTheme="majorHAnsi"/>
          <w:szCs w:val="22"/>
        </w:rPr>
        <w:t>s</w:t>
      </w:r>
      <w:r w:rsidRPr="00A11FE0">
        <w:rPr>
          <w:rFonts w:asciiTheme="majorHAnsi" w:hAnsiTheme="majorHAnsi"/>
          <w:szCs w:val="22"/>
        </w:rPr>
        <w:t>taníc</w:t>
      </w:r>
      <w:r w:rsidR="00BD5E02">
        <w:rPr>
          <w:rFonts w:asciiTheme="majorHAnsi" w:hAnsiTheme="majorHAnsi"/>
          <w:szCs w:val="22"/>
        </w:rPr>
        <w:t>,</w:t>
      </w:r>
      <w:r w:rsidR="009E4A61" w:rsidRPr="00A11FE0">
        <w:rPr>
          <w:rFonts w:asciiTheme="majorHAnsi" w:hAnsiTheme="majorHAnsi"/>
          <w:szCs w:val="22"/>
        </w:rPr>
        <w:t xml:space="preserve"> </w:t>
      </w:r>
      <w:r w:rsidRPr="00A11FE0">
        <w:rPr>
          <w:rFonts w:asciiTheme="majorHAnsi" w:hAnsiTheme="majorHAnsi"/>
          <w:szCs w:val="22"/>
        </w:rPr>
        <w:t xml:space="preserve">bráni železničnej doprave </w:t>
      </w:r>
      <w:r w:rsidR="00BD5FD5">
        <w:rPr>
          <w:rFonts w:asciiTheme="majorHAnsi" w:hAnsiTheme="majorHAnsi"/>
          <w:szCs w:val="22"/>
        </w:rPr>
        <w:t>k </w:t>
      </w:r>
      <w:r w:rsidRPr="00A11FE0">
        <w:rPr>
          <w:rFonts w:asciiTheme="majorHAnsi" w:hAnsiTheme="majorHAnsi"/>
          <w:szCs w:val="22"/>
        </w:rPr>
        <w:t>jej širšiemu uplatneniu na dopravnom trhu.</w:t>
      </w:r>
    </w:p>
    <w:p w:rsidR="001B6C78" w:rsidRPr="00A11FE0" w:rsidRDefault="001B6C78" w:rsidP="001B6C78">
      <w:pPr>
        <w:rPr>
          <w:rFonts w:asciiTheme="majorHAnsi" w:hAnsiTheme="majorHAnsi"/>
          <w:szCs w:val="22"/>
        </w:rPr>
      </w:pPr>
      <w:r w:rsidRPr="00A11FE0">
        <w:rPr>
          <w:rFonts w:asciiTheme="majorHAnsi" w:hAnsiTheme="majorHAnsi"/>
          <w:szCs w:val="22"/>
        </w:rPr>
        <w:t xml:space="preserve">Modernizácia železničnej infraštruktúry </w:t>
      </w:r>
      <w:r w:rsidR="00BD5FD5">
        <w:rPr>
          <w:rFonts w:asciiTheme="majorHAnsi" w:hAnsiTheme="majorHAnsi"/>
          <w:szCs w:val="22"/>
        </w:rPr>
        <w:t>a </w:t>
      </w:r>
      <w:r w:rsidRPr="00A11FE0">
        <w:rPr>
          <w:rFonts w:asciiTheme="majorHAnsi" w:hAnsiTheme="majorHAnsi"/>
          <w:szCs w:val="22"/>
        </w:rPr>
        <w:t xml:space="preserve">vozidlového parku vychádza z potrieb trhu (výkony na jednotlivých úsekoch, využitie </w:t>
      </w:r>
      <w:r w:rsidR="00BD5FD5">
        <w:rPr>
          <w:rFonts w:asciiTheme="majorHAnsi" w:hAnsiTheme="majorHAnsi"/>
          <w:szCs w:val="22"/>
        </w:rPr>
        <w:t>k</w:t>
      </w:r>
      <w:r w:rsidRPr="00A11FE0">
        <w:rPr>
          <w:rFonts w:asciiTheme="majorHAnsi" w:hAnsiTheme="majorHAnsi"/>
          <w:szCs w:val="22"/>
        </w:rPr>
        <w:t xml:space="preserve">apacity tratí, prepravných prúdov). Trate tvoriace perspektívny železničný </w:t>
      </w:r>
      <w:r w:rsidR="00BD5FD5">
        <w:rPr>
          <w:rFonts w:asciiTheme="majorHAnsi" w:hAnsiTheme="majorHAnsi"/>
          <w:szCs w:val="22"/>
        </w:rPr>
        <w:t>s</w:t>
      </w:r>
      <w:r w:rsidRPr="00A11FE0">
        <w:rPr>
          <w:rFonts w:asciiTheme="majorHAnsi" w:hAnsiTheme="majorHAnsi"/>
          <w:szCs w:val="22"/>
        </w:rPr>
        <w:t xml:space="preserve">ystém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s</w:t>
      </w:r>
      <w:r w:rsidRPr="00A11FE0">
        <w:rPr>
          <w:rFonts w:asciiTheme="majorHAnsi" w:hAnsiTheme="majorHAnsi"/>
          <w:szCs w:val="22"/>
        </w:rPr>
        <w:t xml:space="preserve">ú identifikované </w:t>
      </w:r>
      <w:r w:rsidR="00DC6BC8">
        <w:rPr>
          <w:rFonts w:asciiTheme="majorHAnsi" w:hAnsiTheme="majorHAnsi"/>
          <w:szCs w:val="22"/>
        </w:rPr>
        <w:t>v</w:t>
      </w:r>
      <w:r w:rsidR="008B5456">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trategickom pláne rozvoja dopravnej infraštruktúry </w:t>
      </w:r>
      <w:r w:rsidR="00BD5FD5">
        <w:rPr>
          <w:rFonts w:asciiTheme="majorHAnsi" w:hAnsiTheme="majorHAnsi"/>
          <w:szCs w:val="22"/>
        </w:rPr>
        <w:t>S</w:t>
      </w:r>
      <w:r w:rsidRPr="00A11FE0">
        <w:rPr>
          <w:rFonts w:asciiTheme="majorHAnsi" w:hAnsiTheme="majorHAnsi"/>
          <w:szCs w:val="22"/>
        </w:rPr>
        <w:t xml:space="preserve">R do roku 2020. Investičné </w:t>
      </w:r>
      <w:r w:rsidR="00BD5FD5">
        <w:rPr>
          <w:rFonts w:asciiTheme="majorHAnsi" w:hAnsiTheme="majorHAnsi"/>
          <w:szCs w:val="22"/>
        </w:rPr>
        <w:t>ak</w:t>
      </w:r>
      <w:r w:rsidR="00DC6BC8">
        <w:rPr>
          <w:rFonts w:asciiTheme="majorHAnsi" w:hAnsiTheme="majorHAnsi"/>
          <w:szCs w:val="22"/>
        </w:rPr>
        <w:t>tivity</w:t>
      </w:r>
      <w:r w:rsidRPr="00A11FE0">
        <w:rPr>
          <w:rFonts w:asciiTheme="majorHAnsi" w:hAnsiTheme="majorHAnsi"/>
          <w:szCs w:val="22"/>
        </w:rPr>
        <w:t xml:space="preserve"> zamerané na modernizáciu železničnej infraštruktúry, parku železničných vozidiel,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j legislatívno-organizačné zmeny, napr. zníženie poplatku za používanie železničnej dopravnej cesty realizované od 1. 1. 2011</w:t>
      </w:r>
      <w:r w:rsidR="00DC6BC8">
        <w:rPr>
          <w:rFonts w:asciiTheme="majorHAnsi" w:hAnsiTheme="majorHAnsi"/>
          <w:szCs w:val="22"/>
        </w:rPr>
        <w:t>,</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ú orientované na zvýšenie </w:t>
      </w:r>
      <w:r w:rsidR="00BD5FD5">
        <w:rPr>
          <w:rFonts w:asciiTheme="majorHAnsi" w:hAnsiTheme="majorHAnsi"/>
          <w:szCs w:val="22"/>
        </w:rPr>
        <w:t>k</w:t>
      </w:r>
      <w:r w:rsidRPr="00A11FE0">
        <w:rPr>
          <w:rFonts w:asciiTheme="majorHAnsi" w:hAnsiTheme="majorHAnsi"/>
          <w:szCs w:val="22"/>
        </w:rPr>
        <w:t xml:space="preserve">onkurencieschopnosti železničnej dopravy </w:t>
      </w:r>
      <w:r w:rsidR="00BD5FD5">
        <w:rPr>
          <w:rFonts w:asciiTheme="majorHAnsi" w:hAnsiTheme="majorHAnsi"/>
          <w:szCs w:val="22"/>
        </w:rPr>
        <w:t>a </w:t>
      </w:r>
      <w:r w:rsidRPr="00A11FE0">
        <w:rPr>
          <w:rFonts w:asciiTheme="majorHAnsi" w:hAnsiTheme="majorHAnsi"/>
          <w:szCs w:val="22"/>
        </w:rPr>
        <w:t xml:space="preserve">patria medzi priority v oblasti financovania železničnej dopravy. </w:t>
      </w:r>
      <w:r w:rsidRPr="00A11FE0">
        <w:rPr>
          <w:rFonts w:asciiTheme="majorHAnsi" w:hAnsiTheme="majorHAnsi"/>
          <w:color w:val="000000" w:themeColor="text1"/>
          <w:szCs w:val="22"/>
        </w:rPr>
        <w:t xml:space="preserve">Intervencie v oblasti železničnej dopravy budú </w:t>
      </w:r>
      <w:r w:rsidR="00BD5FD5">
        <w:rPr>
          <w:rFonts w:asciiTheme="majorHAnsi" w:hAnsiTheme="majorHAnsi"/>
          <w:color w:val="000000" w:themeColor="text1"/>
          <w:szCs w:val="22"/>
        </w:rPr>
        <w:t>s</w:t>
      </w:r>
      <w:r w:rsidRPr="00A11FE0">
        <w:rPr>
          <w:rFonts w:asciiTheme="majorHAnsi" w:hAnsiTheme="majorHAnsi"/>
          <w:color w:val="000000" w:themeColor="text1"/>
          <w:szCs w:val="22"/>
        </w:rPr>
        <w:t xml:space="preserve">merovať taktiež </w:t>
      </w:r>
      <w:r w:rsidR="00BD5FD5">
        <w:rPr>
          <w:rFonts w:asciiTheme="majorHAnsi" w:hAnsiTheme="majorHAnsi"/>
          <w:color w:val="000000" w:themeColor="text1"/>
          <w:szCs w:val="22"/>
        </w:rPr>
        <w:t>k</w:t>
      </w:r>
      <w:r w:rsidRPr="00A11FE0">
        <w:rPr>
          <w:rFonts w:asciiTheme="majorHAnsi" w:hAnsiTheme="majorHAnsi"/>
          <w:color w:val="000000" w:themeColor="text1"/>
          <w:szCs w:val="22"/>
        </w:rPr>
        <w:t xml:space="preserve"> zavádzaniu </w:t>
      </w:r>
      <w:r w:rsidR="00BD5FD5">
        <w:rPr>
          <w:rFonts w:asciiTheme="majorHAnsi" w:hAnsiTheme="majorHAnsi"/>
          <w:color w:val="000000" w:themeColor="text1"/>
          <w:szCs w:val="22"/>
        </w:rPr>
        <w:t>s</w:t>
      </w:r>
      <w:r w:rsidRPr="00A11FE0">
        <w:rPr>
          <w:rFonts w:asciiTheme="majorHAnsi" w:hAnsiTheme="majorHAnsi"/>
          <w:color w:val="000000" w:themeColor="text1"/>
          <w:szCs w:val="22"/>
        </w:rPr>
        <w:t>ystému ERTMS</w:t>
      </w:r>
      <w:r w:rsidR="001B6F8D" w:rsidRPr="00A11FE0">
        <w:rPr>
          <w:rFonts w:asciiTheme="majorHAnsi" w:hAnsiTheme="majorHAnsi"/>
          <w:color w:val="000000" w:themeColor="text1"/>
          <w:szCs w:val="22"/>
        </w:rPr>
        <w:t xml:space="preserve">, </w:t>
      </w:r>
      <w:r w:rsidR="00BD5FD5">
        <w:rPr>
          <w:rFonts w:asciiTheme="majorHAnsi" w:hAnsiTheme="majorHAnsi"/>
          <w:color w:val="000000" w:themeColor="text1"/>
          <w:szCs w:val="22"/>
        </w:rPr>
        <w:t>s </w:t>
      </w:r>
      <w:r w:rsidRPr="00A11FE0">
        <w:rPr>
          <w:rFonts w:asciiTheme="majorHAnsi" w:hAnsiTheme="majorHAnsi"/>
          <w:color w:val="000000" w:themeColor="text1"/>
          <w:szCs w:val="22"/>
        </w:rPr>
        <w:t xml:space="preserve">cieľom dosiahnuť plne interoperabilný železničný </w:t>
      </w:r>
      <w:r w:rsidR="00BD5FD5">
        <w:rPr>
          <w:rFonts w:asciiTheme="majorHAnsi" w:hAnsiTheme="majorHAnsi"/>
          <w:color w:val="000000" w:themeColor="text1"/>
          <w:szCs w:val="22"/>
        </w:rPr>
        <w:t>s</w:t>
      </w:r>
      <w:r w:rsidRPr="00A11FE0">
        <w:rPr>
          <w:rFonts w:asciiTheme="majorHAnsi" w:hAnsiTheme="majorHAnsi"/>
          <w:color w:val="000000" w:themeColor="text1"/>
          <w:szCs w:val="22"/>
        </w:rPr>
        <w:t xml:space="preserve">ystém </w:t>
      </w:r>
      <w:r w:rsidR="00BD5FD5">
        <w:rPr>
          <w:rFonts w:asciiTheme="majorHAnsi" w:hAnsiTheme="majorHAnsi"/>
          <w:color w:val="000000" w:themeColor="text1"/>
          <w:szCs w:val="22"/>
        </w:rPr>
        <w:t>a </w:t>
      </w:r>
      <w:r w:rsidRPr="00A11FE0">
        <w:rPr>
          <w:rFonts w:asciiTheme="majorHAnsi" w:hAnsiTheme="majorHAnsi"/>
          <w:color w:val="000000" w:themeColor="text1"/>
          <w:szCs w:val="22"/>
        </w:rPr>
        <w:t>tým odbúrať doterajšie technické bariéry</w:t>
      </w:r>
      <w:r w:rsidR="008330B5" w:rsidRPr="00A11FE0">
        <w:rPr>
          <w:rFonts w:asciiTheme="majorHAnsi" w:hAnsiTheme="majorHAnsi"/>
          <w:color w:val="000000" w:themeColor="text1"/>
          <w:szCs w:val="22"/>
        </w:rPr>
        <w:t>,</w:t>
      </w:r>
      <w:r w:rsidRPr="00A11FE0">
        <w:rPr>
          <w:rFonts w:asciiTheme="majorHAnsi" w:hAnsiTheme="majorHAnsi"/>
          <w:color w:val="000000" w:themeColor="text1"/>
          <w:szCs w:val="22"/>
        </w:rPr>
        <w:t xml:space="preserve"> </w:t>
      </w:r>
      <w:r w:rsidR="00610F00">
        <w:rPr>
          <w:rFonts w:asciiTheme="majorHAnsi" w:hAnsiTheme="majorHAnsi"/>
          <w:color w:val="000000" w:themeColor="text1"/>
          <w:szCs w:val="22"/>
        </w:rPr>
        <w:t xml:space="preserve">zabezpečiť </w:t>
      </w:r>
      <w:r w:rsidRPr="00A11FE0">
        <w:rPr>
          <w:rFonts w:asciiTheme="majorHAnsi" w:hAnsiTheme="majorHAnsi"/>
          <w:color w:val="000000" w:themeColor="text1"/>
          <w:szCs w:val="22"/>
        </w:rPr>
        <w:t xml:space="preserve">plné využitie technických parametrov železničných tratí </w:t>
      </w:r>
      <w:r w:rsidR="00BD5FD5">
        <w:rPr>
          <w:rFonts w:asciiTheme="majorHAnsi" w:hAnsiTheme="majorHAnsi"/>
          <w:color w:val="000000" w:themeColor="text1"/>
          <w:szCs w:val="22"/>
        </w:rPr>
        <w:t>a </w:t>
      </w:r>
      <w:r w:rsidRPr="00A11FE0">
        <w:rPr>
          <w:rFonts w:asciiTheme="majorHAnsi" w:hAnsiTheme="majorHAnsi"/>
          <w:color w:val="000000" w:themeColor="text1"/>
          <w:szCs w:val="22"/>
        </w:rPr>
        <w:t xml:space="preserve">zvýšiť </w:t>
      </w:r>
      <w:r w:rsidR="00BD5FD5">
        <w:rPr>
          <w:rFonts w:asciiTheme="majorHAnsi" w:hAnsiTheme="majorHAnsi"/>
          <w:color w:val="000000" w:themeColor="text1"/>
          <w:szCs w:val="22"/>
        </w:rPr>
        <w:t>k</w:t>
      </w:r>
      <w:r w:rsidRPr="00A11FE0">
        <w:rPr>
          <w:rFonts w:asciiTheme="majorHAnsi" w:hAnsiTheme="majorHAnsi"/>
          <w:color w:val="000000" w:themeColor="text1"/>
          <w:szCs w:val="22"/>
        </w:rPr>
        <w:t>onkurencieschopnosť železničnej dopravy.</w:t>
      </w:r>
    </w:p>
    <w:p w:rsidR="001B6C78" w:rsidRPr="00A11FE0" w:rsidRDefault="001B6C78" w:rsidP="008C756D">
      <w:pPr>
        <w:pStyle w:val="Nadpis5"/>
        <w:numPr>
          <w:ilvl w:val="4"/>
          <w:numId w:val="2"/>
        </w:numPr>
        <w:ind w:left="1292"/>
      </w:pPr>
      <w:r w:rsidRPr="00A11FE0">
        <w:lastRenderedPageBreak/>
        <w:t>Nekvalitná infraštruktúra vodnej dopravy</w:t>
      </w:r>
    </w:p>
    <w:p w:rsidR="001B6C78" w:rsidRPr="00A11FE0" w:rsidRDefault="002B512F" w:rsidP="001B6C78">
      <w:pPr>
        <w:rPr>
          <w:rFonts w:asciiTheme="majorHAnsi" w:hAnsiTheme="majorHAnsi"/>
          <w:szCs w:val="22"/>
        </w:rPr>
      </w:pPr>
      <w:r w:rsidRPr="002B512F">
        <w:rPr>
          <w:rFonts w:asciiTheme="majorHAnsi" w:hAnsiTheme="majorHAnsi"/>
          <w:szCs w:val="22"/>
        </w:rPr>
        <w:t xml:space="preserve">Vnútrozemská vodná doprava sa prevádzkuje na rieke Dunaj (označená ako E-80 podľa dohody AGN), ktorá je súčasťou koridoru základnej siete TEN-T Rýn </w:t>
      </w:r>
      <w:r w:rsidR="009776DA">
        <w:rPr>
          <w:rFonts w:asciiTheme="majorHAnsi" w:hAnsiTheme="majorHAnsi"/>
          <w:szCs w:val="22"/>
        </w:rPr>
        <w:t>–</w:t>
      </w:r>
      <w:r w:rsidRPr="002B512F">
        <w:rPr>
          <w:rFonts w:asciiTheme="majorHAnsi" w:hAnsiTheme="majorHAnsi"/>
          <w:szCs w:val="22"/>
        </w:rPr>
        <w:t xml:space="preserve"> Dunaj. </w:t>
      </w:r>
      <w:r w:rsidR="001B6C78" w:rsidRPr="00A11FE0">
        <w:rPr>
          <w:rFonts w:asciiTheme="majorHAnsi" w:hAnsiTheme="majorHAnsi"/>
          <w:szCs w:val="22"/>
        </w:rPr>
        <w:t>Táto vodná cesta umožňuje napojenie na prístavy v </w:t>
      </w:r>
      <w:r w:rsidR="00BD5FD5">
        <w:rPr>
          <w:rFonts w:asciiTheme="majorHAnsi" w:hAnsiTheme="majorHAnsi"/>
          <w:szCs w:val="22"/>
        </w:rPr>
        <w:t>S</w:t>
      </w:r>
      <w:r w:rsidR="001B6C78" w:rsidRPr="00A11FE0">
        <w:rPr>
          <w:rFonts w:asciiTheme="majorHAnsi" w:hAnsiTheme="majorHAnsi"/>
          <w:szCs w:val="22"/>
        </w:rPr>
        <w:t xml:space="preserve">evernom </w:t>
      </w:r>
      <w:r w:rsidR="00BD5FD5">
        <w:rPr>
          <w:rFonts w:asciiTheme="majorHAnsi" w:hAnsiTheme="majorHAnsi"/>
          <w:szCs w:val="22"/>
        </w:rPr>
        <w:t>a </w:t>
      </w:r>
      <w:r w:rsidR="001B6C78" w:rsidRPr="00A11FE0">
        <w:rPr>
          <w:rFonts w:asciiTheme="majorHAnsi" w:hAnsiTheme="majorHAnsi"/>
          <w:szCs w:val="22"/>
        </w:rPr>
        <w:t xml:space="preserve">Čiernom mori </w:t>
      </w:r>
      <w:r w:rsidR="00BD5FD5">
        <w:rPr>
          <w:rFonts w:asciiTheme="majorHAnsi" w:hAnsiTheme="majorHAnsi"/>
          <w:szCs w:val="22"/>
        </w:rPr>
        <w:t>a </w:t>
      </w:r>
      <w:r w:rsidR="001B6C78" w:rsidRPr="00A11FE0">
        <w:rPr>
          <w:rFonts w:asciiTheme="majorHAnsi" w:hAnsiTheme="majorHAnsi"/>
          <w:szCs w:val="22"/>
        </w:rPr>
        <w:t xml:space="preserve">napojenie na </w:t>
      </w:r>
      <w:r w:rsidR="00BD5FD5">
        <w:rPr>
          <w:rFonts w:asciiTheme="majorHAnsi" w:hAnsiTheme="majorHAnsi"/>
          <w:szCs w:val="22"/>
        </w:rPr>
        <w:t>s</w:t>
      </w:r>
      <w:r w:rsidR="001B6C78" w:rsidRPr="00A11FE0">
        <w:rPr>
          <w:rFonts w:asciiTheme="majorHAnsi" w:hAnsiTheme="majorHAnsi"/>
          <w:szCs w:val="22"/>
        </w:rPr>
        <w:t>ieť západo</w:t>
      </w:r>
      <w:r w:rsidR="00585C40">
        <w:rPr>
          <w:rFonts w:asciiTheme="majorHAnsi" w:hAnsiTheme="majorHAnsi"/>
          <w:szCs w:val="22"/>
        </w:rPr>
        <w:t>eur</w:t>
      </w:r>
      <w:r w:rsidR="001B6C78" w:rsidRPr="00A11FE0">
        <w:rPr>
          <w:rFonts w:asciiTheme="majorHAnsi" w:hAnsiTheme="majorHAnsi"/>
          <w:szCs w:val="22"/>
        </w:rPr>
        <w:t xml:space="preserve">ópskych </w:t>
      </w:r>
      <w:r w:rsidR="006E79DA" w:rsidRPr="00A11FE0">
        <w:rPr>
          <w:rFonts w:asciiTheme="majorHAnsi" w:hAnsiTheme="majorHAnsi"/>
          <w:szCs w:val="22"/>
        </w:rPr>
        <w:t>vodných</w:t>
      </w:r>
      <w:r w:rsidR="001B6C78" w:rsidRPr="00A11FE0">
        <w:rPr>
          <w:rFonts w:asciiTheme="majorHAnsi" w:hAnsiTheme="majorHAnsi"/>
          <w:szCs w:val="22"/>
        </w:rPr>
        <w:t xml:space="preserve"> ciest.</w:t>
      </w:r>
    </w:p>
    <w:p w:rsidR="001B6C78" w:rsidRPr="00A11FE0" w:rsidRDefault="00BD5FD5" w:rsidP="001B6C78">
      <w:pPr>
        <w:rPr>
          <w:rFonts w:asciiTheme="majorHAnsi" w:hAnsiTheme="majorHAnsi"/>
          <w:szCs w:val="22"/>
          <w:lang w:eastAsia="cs-CZ"/>
        </w:rPr>
      </w:pPr>
      <w:r>
        <w:rPr>
          <w:rFonts w:asciiTheme="majorHAnsi" w:hAnsiTheme="majorHAnsi"/>
          <w:szCs w:val="22"/>
          <w:lang w:eastAsia="cs-CZ"/>
        </w:rPr>
        <w:t>S</w:t>
      </w:r>
      <w:r w:rsidR="001B6C78" w:rsidRPr="00A11FE0">
        <w:rPr>
          <w:rFonts w:asciiTheme="majorHAnsi" w:hAnsiTheme="majorHAnsi"/>
          <w:szCs w:val="22"/>
          <w:lang w:eastAsia="cs-CZ"/>
        </w:rPr>
        <w:t xml:space="preserve">labá </w:t>
      </w:r>
      <w:r>
        <w:rPr>
          <w:rFonts w:asciiTheme="majorHAnsi" w:hAnsiTheme="majorHAnsi"/>
          <w:szCs w:val="22"/>
          <w:lang w:eastAsia="cs-CZ"/>
        </w:rPr>
        <w:t>k</w:t>
      </w:r>
      <w:r w:rsidR="001B6C78" w:rsidRPr="00A11FE0">
        <w:rPr>
          <w:rFonts w:asciiTheme="majorHAnsi" w:hAnsiTheme="majorHAnsi"/>
          <w:szCs w:val="22"/>
          <w:lang w:eastAsia="cs-CZ"/>
        </w:rPr>
        <w:t>onkurencieschopnosť vnútrozemskej vodnej dopravy je mimo iného</w:t>
      </w:r>
      <w:r w:rsidR="00CA5132">
        <w:rPr>
          <w:rFonts w:asciiTheme="majorHAnsi" w:hAnsiTheme="majorHAnsi"/>
          <w:szCs w:val="22"/>
          <w:lang w:eastAsia="cs-CZ"/>
        </w:rPr>
        <w:t>,</w:t>
      </w:r>
      <w:r w:rsidR="001B6C78" w:rsidRPr="00A11FE0">
        <w:rPr>
          <w:rFonts w:asciiTheme="majorHAnsi" w:hAnsiTheme="majorHAnsi"/>
          <w:szCs w:val="22"/>
          <w:lang w:eastAsia="cs-CZ"/>
        </w:rPr>
        <w:t xml:space="preserve"> </w:t>
      </w:r>
      <w:r>
        <w:rPr>
          <w:rFonts w:asciiTheme="majorHAnsi" w:hAnsiTheme="majorHAnsi"/>
          <w:szCs w:val="22"/>
          <w:lang w:eastAsia="cs-CZ"/>
        </w:rPr>
        <w:t>s</w:t>
      </w:r>
      <w:r w:rsidR="001B6C78" w:rsidRPr="00A11FE0">
        <w:rPr>
          <w:rFonts w:asciiTheme="majorHAnsi" w:hAnsiTheme="majorHAnsi"/>
          <w:szCs w:val="22"/>
          <w:lang w:eastAsia="cs-CZ"/>
        </w:rPr>
        <w:t xml:space="preserve">pôsobená </w:t>
      </w:r>
      <w:r>
        <w:rPr>
          <w:rFonts w:asciiTheme="majorHAnsi" w:hAnsiTheme="majorHAnsi"/>
          <w:szCs w:val="22"/>
          <w:lang w:eastAsia="cs-CZ"/>
        </w:rPr>
        <w:t>a</w:t>
      </w:r>
      <w:r w:rsidR="001B6C78" w:rsidRPr="00A11FE0">
        <w:rPr>
          <w:rFonts w:asciiTheme="majorHAnsi" w:hAnsiTheme="majorHAnsi"/>
          <w:szCs w:val="22"/>
          <w:lang w:eastAsia="cs-CZ"/>
        </w:rPr>
        <w:t xml:space="preserve">j nízkym počtom </w:t>
      </w:r>
      <w:r>
        <w:rPr>
          <w:rFonts w:asciiTheme="majorHAnsi" w:hAnsiTheme="majorHAnsi"/>
          <w:szCs w:val="22"/>
          <w:lang w:eastAsia="cs-CZ"/>
        </w:rPr>
        <w:t>s</w:t>
      </w:r>
      <w:r w:rsidR="001B6C78" w:rsidRPr="00A11FE0">
        <w:rPr>
          <w:rFonts w:asciiTheme="majorHAnsi" w:hAnsiTheme="majorHAnsi"/>
          <w:szCs w:val="22"/>
          <w:lang w:eastAsia="cs-CZ"/>
        </w:rPr>
        <w:t xml:space="preserve">plavných tokov na území </w:t>
      </w:r>
      <w:r>
        <w:rPr>
          <w:rFonts w:asciiTheme="majorHAnsi" w:hAnsiTheme="majorHAnsi"/>
          <w:szCs w:val="22"/>
          <w:lang w:eastAsia="cs-CZ"/>
        </w:rPr>
        <w:t>S</w:t>
      </w:r>
      <w:r w:rsidR="001B6C78" w:rsidRPr="00A11FE0">
        <w:rPr>
          <w:rFonts w:asciiTheme="majorHAnsi" w:hAnsiTheme="majorHAnsi"/>
          <w:szCs w:val="22"/>
          <w:lang w:eastAsia="cs-CZ"/>
        </w:rPr>
        <w:t xml:space="preserve">R </w:t>
      </w:r>
      <w:r>
        <w:rPr>
          <w:rFonts w:asciiTheme="majorHAnsi" w:hAnsiTheme="majorHAnsi"/>
          <w:szCs w:val="22"/>
        </w:rPr>
        <w:t>a </w:t>
      </w:r>
      <w:r w:rsidR="001B6C78" w:rsidRPr="00A11FE0">
        <w:rPr>
          <w:rFonts w:asciiTheme="majorHAnsi" w:hAnsiTheme="majorHAnsi"/>
          <w:szCs w:val="22"/>
        </w:rPr>
        <w:t>obmedzen</w:t>
      </w:r>
      <w:r w:rsidR="000E07BD" w:rsidRPr="00A11FE0">
        <w:rPr>
          <w:rFonts w:asciiTheme="majorHAnsi" w:hAnsiTheme="majorHAnsi"/>
          <w:szCs w:val="22"/>
        </w:rPr>
        <w:t>ím</w:t>
      </w:r>
      <w:r w:rsidR="001B6C78" w:rsidRPr="00A11FE0">
        <w:rPr>
          <w:rFonts w:asciiTheme="majorHAnsi" w:hAnsiTheme="majorHAnsi"/>
          <w:szCs w:val="22"/>
        </w:rPr>
        <w:t xml:space="preserve"> </w:t>
      </w:r>
      <w:r>
        <w:rPr>
          <w:rFonts w:asciiTheme="majorHAnsi" w:hAnsiTheme="majorHAnsi"/>
          <w:szCs w:val="22"/>
        </w:rPr>
        <w:t>s</w:t>
      </w:r>
      <w:r w:rsidR="001B6C78" w:rsidRPr="00A11FE0">
        <w:rPr>
          <w:rFonts w:asciiTheme="majorHAnsi" w:hAnsiTheme="majorHAnsi"/>
          <w:szCs w:val="22"/>
        </w:rPr>
        <w:t xml:space="preserve">plavnosti Dunaja </w:t>
      </w:r>
      <w:r>
        <w:rPr>
          <w:rFonts w:asciiTheme="majorHAnsi" w:hAnsiTheme="majorHAnsi"/>
          <w:szCs w:val="22"/>
        </w:rPr>
        <w:t>s </w:t>
      </w:r>
      <w:r w:rsidR="001B6C78" w:rsidRPr="00A11FE0">
        <w:rPr>
          <w:rFonts w:asciiTheme="majorHAnsi" w:hAnsiTheme="majorHAnsi"/>
          <w:szCs w:val="22"/>
        </w:rPr>
        <w:t>priemernou využiteľnosťou ponoru plavidiel 19</w:t>
      </w:r>
      <w:r w:rsidR="00DF5F2C" w:rsidRPr="00A11FE0">
        <w:rPr>
          <w:rFonts w:asciiTheme="majorHAnsi" w:hAnsiTheme="majorHAnsi"/>
          <w:szCs w:val="22"/>
        </w:rPr>
        <w:t>0</w:t>
      </w:r>
      <w:r w:rsidR="001B6C78" w:rsidRPr="00A11FE0">
        <w:rPr>
          <w:rFonts w:asciiTheme="majorHAnsi" w:hAnsiTheme="majorHAnsi"/>
          <w:szCs w:val="22"/>
        </w:rPr>
        <w:t xml:space="preserve"> </w:t>
      </w:r>
      <w:r w:rsidR="00DF5F2C" w:rsidRPr="00A11FE0">
        <w:rPr>
          <w:rFonts w:asciiTheme="majorHAnsi" w:hAnsiTheme="majorHAnsi"/>
          <w:szCs w:val="22"/>
        </w:rPr>
        <w:t>c</w:t>
      </w:r>
      <w:r w:rsidR="001B6C78" w:rsidRPr="00A11FE0">
        <w:rPr>
          <w:rFonts w:asciiTheme="majorHAnsi" w:hAnsiTheme="majorHAnsi"/>
          <w:szCs w:val="22"/>
        </w:rPr>
        <w:t>m po dobu 60 % celoročnej plavebnej prevádzky</w:t>
      </w:r>
      <w:r w:rsidR="001B6C78" w:rsidRPr="00A11FE0">
        <w:rPr>
          <w:rFonts w:asciiTheme="majorHAnsi" w:hAnsiTheme="majorHAnsi"/>
          <w:szCs w:val="22"/>
          <w:lang w:eastAsia="cs-CZ"/>
        </w:rPr>
        <w:t>.</w:t>
      </w:r>
    </w:p>
    <w:p w:rsidR="003A177F" w:rsidRPr="003A177F" w:rsidRDefault="001B6C78" w:rsidP="003A177F">
      <w:pPr>
        <w:rPr>
          <w:rFonts w:asciiTheme="majorHAnsi" w:hAnsiTheme="majorHAnsi"/>
          <w:szCs w:val="22"/>
        </w:rPr>
      </w:pPr>
      <w:r w:rsidRPr="00A11FE0">
        <w:rPr>
          <w:rFonts w:asciiTheme="majorHAnsi" w:hAnsiTheme="majorHAnsi"/>
          <w:szCs w:val="22"/>
        </w:rPr>
        <w:t xml:space="preserve">Zlepšenie </w:t>
      </w:r>
      <w:r w:rsidR="00BD5FD5">
        <w:rPr>
          <w:rFonts w:asciiTheme="majorHAnsi" w:hAnsiTheme="majorHAnsi"/>
          <w:szCs w:val="22"/>
        </w:rPr>
        <w:t>s</w:t>
      </w:r>
      <w:r w:rsidRPr="00A11FE0">
        <w:rPr>
          <w:rFonts w:asciiTheme="majorHAnsi" w:hAnsiTheme="majorHAnsi"/>
          <w:szCs w:val="22"/>
        </w:rPr>
        <w:t xml:space="preserve">plavnosti vodných tokov vyžaduje zlepšovanie plavebných parametrov </w:t>
      </w:r>
      <w:r w:rsidR="006E79DA" w:rsidRPr="00A11FE0">
        <w:rPr>
          <w:rFonts w:asciiTheme="majorHAnsi" w:hAnsiTheme="majorHAnsi"/>
          <w:szCs w:val="22"/>
        </w:rPr>
        <w:t>vodných</w:t>
      </w:r>
      <w:r w:rsidRPr="00A11FE0">
        <w:rPr>
          <w:rFonts w:asciiTheme="majorHAnsi" w:hAnsiTheme="majorHAnsi"/>
          <w:szCs w:val="22"/>
        </w:rPr>
        <w:t xml:space="preserve"> ciest</w:t>
      </w:r>
      <w:r w:rsidR="00CA5132">
        <w:rPr>
          <w:rFonts w:asciiTheme="majorHAnsi" w:hAnsiTheme="majorHAnsi"/>
          <w:szCs w:val="22"/>
        </w:rPr>
        <w:t>,</w:t>
      </w:r>
      <w:r w:rsidRPr="00A11FE0">
        <w:rPr>
          <w:rFonts w:asciiTheme="majorHAnsi" w:hAnsiTheme="majorHAnsi"/>
          <w:szCs w:val="22"/>
        </w:rPr>
        <w:t xml:space="preserve"> predovšetkým na </w:t>
      </w:r>
      <w:r w:rsidR="00BD5FD5">
        <w:rPr>
          <w:rFonts w:asciiTheme="majorHAnsi" w:hAnsiTheme="majorHAnsi"/>
          <w:szCs w:val="22"/>
        </w:rPr>
        <w:t>s</w:t>
      </w:r>
      <w:r w:rsidRPr="00A11FE0">
        <w:rPr>
          <w:rFonts w:asciiTheme="majorHAnsi" w:hAnsiTheme="majorHAnsi"/>
          <w:szCs w:val="22"/>
        </w:rPr>
        <w:t xml:space="preserve">lovenskom úseku Dunaja </w:t>
      </w:r>
      <w:r w:rsidR="00BD5FD5">
        <w:rPr>
          <w:rFonts w:asciiTheme="majorHAnsi" w:hAnsiTheme="majorHAnsi"/>
          <w:szCs w:val="22"/>
        </w:rPr>
        <w:t>S</w:t>
      </w:r>
      <w:r w:rsidRPr="00A11FE0">
        <w:rPr>
          <w:rFonts w:asciiTheme="majorHAnsi" w:hAnsiTheme="majorHAnsi"/>
          <w:szCs w:val="22"/>
        </w:rPr>
        <w:t>ap – Štúrovo</w:t>
      </w:r>
      <w:r w:rsidR="000E07BD" w:rsidRPr="00A11FE0">
        <w:rPr>
          <w:rFonts w:asciiTheme="majorHAnsi" w:hAnsiTheme="majorHAnsi"/>
          <w:szCs w:val="22"/>
        </w:rPr>
        <w:t xml:space="preserve">, </w:t>
      </w:r>
      <w:r w:rsidRPr="00A11FE0">
        <w:rPr>
          <w:rFonts w:asciiTheme="majorHAnsi" w:hAnsiTheme="majorHAnsi"/>
          <w:szCs w:val="22"/>
        </w:rPr>
        <w:t>v</w:t>
      </w:r>
      <w:r w:rsidR="009776DA">
        <w:rPr>
          <w:rFonts w:asciiTheme="majorHAnsi" w:hAnsiTheme="majorHAnsi"/>
          <w:szCs w:val="22"/>
        </w:rPr>
        <w:t> </w:t>
      </w:r>
      <w:r w:rsidRPr="00A11FE0">
        <w:rPr>
          <w:rFonts w:asciiTheme="majorHAnsi" w:hAnsiTheme="majorHAnsi"/>
          <w:szCs w:val="22"/>
        </w:rPr>
        <w:t xml:space="preserve">úseku medzi Bratislavou </w:t>
      </w:r>
      <w:r w:rsidR="00BD5FD5">
        <w:rPr>
          <w:rFonts w:asciiTheme="majorHAnsi" w:hAnsiTheme="majorHAnsi"/>
          <w:szCs w:val="22"/>
        </w:rPr>
        <w:t>a </w:t>
      </w:r>
      <w:r w:rsidRPr="00A11FE0">
        <w:rPr>
          <w:rFonts w:asciiTheme="majorHAnsi" w:hAnsiTheme="majorHAnsi"/>
          <w:szCs w:val="22"/>
        </w:rPr>
        <w:t>ústím rieky Moravy</w:t>
      </w:r>
      <w:r w:rsidR="00A47D1F">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riešen</w:t>
      </w:r>
      <w:r w:rsidR="000E07BD" w:rsidRPr="00A11FE0">
        <w:rPr>
          <w:rFonts w:asciiTheme="majorHAnsi" w:hAnsiTheme="majorHAnsi"/>
          <w:szCs w:val="22"/>
        </w:rPr>
        <w:t>ie</w:t>
      </w:r>
      <w:r w:rsidRPr="00A11FE0">
        <w:rPr>
          <w:rFonts w:asciiTheme="majorHAnsi" w:hAnsiTheme="majorHAnsi"/>
          <w:szCs w:val="22"/>
        </w:rPr>
        <w:t xml:space="preserve"> poruchovosti </w:t>
      </w:r>
      <w:r w:rsidR="00BD5FD5">
        <w:rPr>
          <w:rFonts w:asciiTheme="majorHAnsi" w:hAnsiTheme="majorHAnsi"/>
          <w:szCs w:val="22"/>
        </w:rPr>
        <w:t>a </w:t>
      </w:r>
      <w:r w:rsidRPr="00A11FE0">
        <w:rPr>
          <w:rFonts w:asciiTheme="majorHAnsi" w:hAnsiTheme="majorHAnsi"/>
          <w:szCs w:val="22"/>
        </w:rPr>
        <w:t xml:space="preserve">prevádzkovej </w:t>
      </w:r>
      <w:r w:rsidR="00BD5FD5">
        <w:rPr>
          <w:rFonts w:asciiTheme="majorHAnsi" w:hAnsiTheme="majorHAnsi"/>
          <w:szCs w:val="22"/>
        </w:rPr>
        <w:t>s</w:t>
      </w:r>
      <w:r w:rsidRPr="00A11FE0">
        <w:rPr>
          <w:rFonts w:asciiTheme="majorHAnsi" w:hAnsiTheme="majorHAnsi"/>
          <w:szCs w:val="22"/>
        </w:rPr>
        <w:t xml:space="preserve">poľahlivosti </w:t>
      </w:r>
      <w:r w:rsidR="006E79DA" w:rsidRPr="00A11FE0">
        <w:rPr>
          <w:rFonts w:asciiTheme="majorHAnsi" w:hAnsiTheme="majorHAnsi"/>
          <w:szCs w:val="22"/>
        </w:rPr>
        <w:t>plavebných</w:t>
      </w:r>
      <w:r w:rsidRPr="00A11FE0">
        <w:rPr>
          <w:rFonts w:asciiTheme="majorHAnsi" w:hAnsiTheme="majorHAnsi"/>
          <w:szCs w:val="22"/>
        </w:rPr>
        <w:t xml:space="preserve"> </w:t>
      </w:r>
      <w:r w:rsidR="00BD5FD5">
        <w:rPr>
          <w:rFonts w:asciiTheme="majorHAnsi" w:hAnsiTheme="majorHAnsi"/>
          <w:szCs w:val="22"/>
        </w:rPr>
        <w:t>k</w:t>
      </w:r>
      <w:r w:rsidRPr="00A11FE0">
        <w:rPr>
          <w:rFonts w:asciiTheme="majorHAnsi" w:hAnsiTheme="majorHAnsi"/>
          <w:szCs w:val="22"/>
        </w:rPr>
        <w:t xml:space="preserve">omôr vodného diela Gabčíkovo. </w:t>
      </w:r>
      <w:r w:rsidR="003A177F" w:rsidRPr="003A177F">
        <w:rPr>
          <w:rFonts w:asciiTheme="majorHAnsi" w:hAnsiTheme="majorHAnsi"/>
          <w:szCs w:val="22"/>
        </w:rPr>
        <w:t>V</w:t>
      </w:r>
      <w:r w:rsidR="009776DA">
        <w:rPr>
          <w:rFonts w:asciiTheme="majorHAnsi" w:hAnsiTheme="majorHAnsi"/>
          <w:szCs w:val="22"/>
        </w:rPr>
        <w:t> </w:t>
      </w:r>
      <w:r w:rsidR="003A177F" w:rsidRPr="003A177F">
        <w:rPr>
          <w:rFonts w:asciiTheme="majorHAnsi" w:hAnsiTheme="majorHAnsi"/>
          <w:szCs w:val="22"/>
        </w:rPr>
        <w:t>strednodobom až dlhodobom horizonte, v</w:t>
      </w:r>
      <w:r w:rsidR="009776DA">
        <w:rPr>
          <w:rFonts w:asciiTheme="majorHAnsi" w:hAnsiTheme="majorHAnsi"/>
          <w:szCs w:val="22"/>
        </w:rPr>
        <w:t> </w:t>
      </w:r>
      <w:r w:rsidR="003A177F" w:rsidRPr="003A177F">
        <w:rPr>
          <w:rFonts w:asciiTheme="majorHAnsi" w:hAnsiTheme="majorHAnsi"/>
          <w:szCs w:val="22"/>
        </w:rPr>
        <w:t xml:space="preserve">rámci koridoru základnej siete TEN-T Rýn </w:t>
      </w:r>
      <w:r w:rsidR="009776DA">
        <w:rPr>
          <w:rFonts w:asciiTheme="majorHAnsi" w:hAnsiTheme="majorHAnsi"/>
          <w:szCs w:val="22"/>
        </w:rPr>
        <w:t>–</w:t>
      </w:r>
      <w:r w:rsidR="003A177F" w:rsidRPr="003A177F">
        <w:rPr>
          <w:rFonts w:asciiTheme="majorHAnsi" w:hAnsiTheme="majorHAnsi"/>
          <w:szCs w:val="22"/>
        </w:rPr>
        <w:t xml:space="preserve"> Dunaj, bude dôležité zabezpečiť plavbu s</w:t>
      </w:r>
      <w:r w:rsidR="009776DA">
        <w:rPr>
          <w:rFonts w:asciiTheme="majorHAnsi" w:hAnsiTheme="majorHAnsi"/>
          <w:szCs w:val="22"/>
        </w:rPr>
        <w:t> </w:t>
      </w:r>
      <w:r w:rsidR="003A177F" w:rsidRPr="003A177F">
        <w:rPr>
          <w:rFonts w:asciiTheme="majorHAnsi" w:hAnsiTheme="majorHAnsi"/>
          <w:szCs w:val="22"/>
        </w:rPr>
        <w:t>ponorom najmenej 250 cm počas celého roka, a to realizáciou príslušných opatrení efektívnej údržby plavebnej dráhy vodnej cesty. Predmetné opatrenia prispejú taktiež k minimalizácii vplyvov klimatických zmien a</w:t>
      </w:r>
      <w:r w:rsidR="009776DA">
        <w:rPr>
          <w:rFonts w:asciiTheme="majorHAnsi" w:hAnsiTheme="majorHAnsi"/>
          <w:szCs w:val="22"/>
        </w:rPr>
        <w:t> </w:t>
      </w:r>
      <w:r w:rsidR="003A177F" w:rsidRPr="003A177F">
        <w:rPr>
          <w:rFonts w:asciiTheme="majorHAnsi" w:hAnsiTheme="majorHAnsi"/>
          <w:szCs w:val="22"/>
        </w:rPr>
        <w:t>súvisiacich negatívnych javov (povodne). Pre potreby činnosti vnútrozemskej plavby budú vypracované štúdie uskutočniteľnosti. Ďalšie aktivity, pokiaľ ide o</w:t>
      </w:r>
      <w:r w:rsidR="009776DA">
        <w:rPr>
          <w:rFonts w:asciiTheme="majorHAnsi" w:hAnsiTheme="majorHAnsi"/>
          <w:szCs w:val="22"/>
        </w:rPr>
        <w:t> </w:t>
      </w:r>
      <w:r w:rsidR="003A177F" w:rsidRPr="003A177F">
        <w:rPr>
          <w:rFonts w:asciiTheme="majorHAnsi" w:hAnsiTheme="majorHAnsi"/>
          <w:szCs w:val="22"/>
        </w:rPr>
        <w:t>prípravu podrobnejšej projektovej dokumentácie, budú možné len za predpokladu, že bude zabezpečený súlad s</w:t>
      </w:r>
      <w:r w:rsidR="009776DA">
        <w:rPr>
          <w:rFonts w:asciiTheme="majorHAnsi" w:hAnsiTheme="majorHAnsi"/>
          <w:szCs w:val="22"/>
        </w:rPr>
        <w:t> </w:t>
      </w:r>
      <w:r w:rsidR="003A177F" w:rsidRPr="003A177F">
        <w:rPr>
          <w:rFonts w:asciiTheme="majorHAnsi" w:hAnsiTheme="majorHAnsi"/>
          <w:szCs w:val="22"/>
        </w:rPr>
        <w:t>príslušnými právnymi predpismi EÚ, najmä so smernicou o biotopoch a</w:t>
      </w:r>
      <w:r w:rsidR="009776DA">
        <w:rPr>
          <w:rFonts w:asciiTheme="majorHAnsi" w:hAnsiTheme="majorHAnsi"/>
          <w:szCs w:val="22"/>
        </w:rPr>
        <w:t> </w:t>
      </w:r>
      <w:r w:rsidR="003A177F" w:rsidRPr="003A177F">
        <w:rPr>
          <w:rFonts w:asciiTheme="majorHAnsi" w:hAnsiTheme="majorHAnsi"/>
          <w:szCs w:val="22"/>
        </w:rPr>
        <w:t>Rámcovou smernicou o</w:t>
      </w:r>
      <w:r w:rsidR="009776DA">
        <w:rPr>
          <w:rFonts w:asciiTheme="majorHAnsi" w:hAnsiTheme="majorHAnsi"/>
          <w:szCs w:val="22"/>
        </w:rPr>
        <w:t> </w:t>
      </w:r>
      <w:r w:rsidR="003A177F" w:rsidRPr="003A177F">
        <w:rPr>
          <w:rFonts w:asciiTheme="majorHAnsi" w:hAnsiTheme="majorHAnsi"/>
          <w:szCs w:val="22"/>
        </w:rPr>
        <w:t>vode a</w:t>
      </w:r>
      <w:r w:rsidR="009776DA">
        <w:rPr>
          <w:rFonts w:asciiTheme="majorHAnsi" w:hAnsiTheme="majorHAnsi"/>
          <w:szCs w:val="22"/>
        </w:rPr>
        <w:t> </w:t>
      </w:r>
      <w:r w:rsidR="003A177F" w:rsidRPr="003A177F">
        <w:rPr>
          <w:rFonts w:asciiTheme="majorHAnsi" w:hAnsiTheme="majorHAnsi"/>
          <w:szCs w:val="22"/>
        </w:rPr>
        <w:t>že bude na základe analýzy alternatív vybraná environmentálnejšie vhodnejšia voľba.</w:t>
      </w:r>
    </w:p>
    <w:p w:rsidR="001B6C78" w:rsidRPr="00A11FE0" w:rsidRDefault="001B6C78" w:rsidP="001B6C78">
      <w:pPr>
        <w:rPr>
          <w:rFonts w:asciiTheme="majorHAnsi" w:hAnsiTheme="majorHAnsi"/>
          <w:szCs w:val="22"/>
        </w:rPr>
      </w:pPr>
      <w:r w:rsidRPr="00A11FE0">
        <w:rPr>
          <w:rFonts w:asciiTheme="majorHAnsi" w:hAnsiTheme="majorHAnsi"/>
          <w:szCs w:val="22"/>
        </w:rPr>
        <w:t xml:space="preserve">Dobudovanie infraštruktúry vodných ciest </w:t>
      </w:r>
      <w:r w:rsidR="00BD5FD5">
        <w:rPr>
          <w:rFonts w:asciiTheme="majorHAnsi" w:hAnsiTheme="majorHAnsi"/>
          <w:szCs w:val="22"/>
        </w:rPr>
        <w:t>a </w:t>
      </w:r>
      <w:r w:rsidRPr="00A11FE0">
        <w:rPr>
          <w:rFonts w:asciiTheme="majorHAnsi" w:hAnsiTheme="majorHAnsi"/>
          <w:szCs w:val="22"/>
        </w:rPr>
        <w:t>prístavov bude doplnené o</w:t>
      </w:r>
      <w:r w:rsidR="004F0D1A">
        <w:rPr>
          <w:rFonts w:asciiTheme="majorHAnsi" w:hAnsiTheme="majorHAnsi"/>
          <w:szCs w:val="22"/>
        </w:rPr>
        <w:t xml:space="preserve"> zavádzanie nových technológií </w:t>
      </w:r>
      <w:r w:rsidRPr="00A11FE0">
        <w:rPr>
          <w:rFonts w:asciiTheme="majorHAnsi" w:hAnsiTheme="majorHAnsi"/>
          <w:szCs w:val="22"/>
        </w:rPr>
        <w:t xml:space="preserve">do oblasti riadenia lodnej </w:t>
      </w:r>
      <w:r w:rsidR="00BD5FD5">
        <w:rPr>
          <w:rFonts w:asciiTheme="majorHAnsi" w:hAnsiTheme="majorHAnsi"/>
          <w:szCs w:val="22"/>
        </w:rPr>
        <w:t>a </w:t>
      </w:r>
      <w:r w:rsidRPr="00A11FE0">
        <w:rPr>
          <w:rFonts w:asciiTheme="majorHAnsi" w:hAnsiTheme="majorHAnsi"/>
          <w:szCs w:val="22"/>
        </w:rPr>
        <w:t xml:space="preserve">prístavnej prevádzky. Uplatnenie riečnych informačných </w:t>
      </w:r>
      <w:r w:rsidR="00BD5FD5">
        <w:rPr>
          <w:rFonts w:asciiTheme="majorHAnsi" w:hAnsiTheme="majorHAnsi"/>
          <w:szCs w:val="22"/>
        </w:rPr>
        <w:t>s</w:t>
      </w:r>
      <w:r w:rsidRPr="00A11FE0">
        <w:rPr>
          <w:rFonts w:asciiTheme="majorHAnsi" w:hAnsiTheme="majorHAnsi"/>
          <w:szCs w:val="22"/>
        </w:rPr>
        <w:t>ystémov (</w:t>
      </w:r>
      <w:r w:rsidR="00CA5132">
        <w:rPr>
          <w:rFonts w:asciiTheme="majorHAnsi" w:hAnsiTheme="majorHAnsi"/>
          <w:szCs w:val="22"/>
        </w:rPr>
        <w:t>ďalej len „</w:t>
      </w:r>
      <w:r w:rsidRPr="00A11FE0">
        <w:rPr>
          <w:rFonts w:asciiTheme="majorHAnsi" w:hAnsiTheme="majorHAnsi"/>
          <w:szCs w:val="22"/>
        </w:rPr>
        <w:t>RIS</w:t>
      </w:r>
      <w:r w:rsidR="00CA5132">
        <w:rPr>
          <w:rFonts w:asciiTheme="majorHAnsi" w:hAnsiTheme="majorHAnsi"/>
          <w:szCs w:val="22"/>
        </w:rPr>
        <w:t>“</w:t>
      </w:r>
      <w:r w:rsidRPr="00A11FE0">
        <w:rPr>
          <w:rFonts w:asciiTheme="majorHAnsi" w:hAnsiTheme="majorHAnsi"/>
          <w:szCs w:val="22"/>
        </w:rPr>
        <w:t xml:space="preserve">) umožní dosiahnuť zvýšenie </w:t>
      </w:r>
      <w:r w:rsidR="00BD5FD5">
        <w:rPr>
          <w:rFonts w:asciiTheme="majorHAnsi" w:hAnsiTheme="majorHAnsi"/>
          <w:szCs w:val="22"/>
        </w:rPr>
        <w:t>k</w:t>
      </w:r>
      <w:r w:rsidRPr="00A11FE0">
        <w:rPr>
          <w:rFonts w:asciiTheme="majorHAnsi" w:hAnsiTheme="majorHAnsi"/>
          <w:szCs w:val="22"/>
        </w:rPr>
        <w:t xml:space="preserve">apacity infraštruktúry, optimálne využívanie existujúcej infraštruktúry, zvýšenie bezpečnosti </w:t>
      </w:r>
      <w:r w:rsidR="00BD5FD5">
        <w:rPr>
          <w:rFonts w:asciiTheme="majorHAnsi" w:hAnsiTheme="majorHAnsi"/>
          <w:szCs w:val="22"/>
        </w:rPr>
        <w:t>a</w:t>
      </w:r>
      <w:r w:rsidRPr="00A11FE0">
        <w:rPr>
          <w:rFonts w:asciiTheme="majorHAnsi" w:hAnsiTheme="majorHAnsi"/>
          <w:szCs w:val="22"/>
        </w:rPr>
        <w:t> zníženie negatívnych vplyvov na životné prostredie.</w:t>
      </w:r>
    </w:p>
    <w:p w:rsidR="001B6C78" w:rsidRPr="00A11FE0" w:rsidRDefault="001B6C78" w:rsidP="008C756D">
      <w:pPr>
        <w:pStyle w:val="Nadpis5"/>
        <w:numPr>
          <w:ilvl w:val="4"/>
          <w:numId w:val="2"/>
        </w:numPr>
        <w:ind w:left="1292"/>
      </w:pPr>
      <w:r w:rsidRPr="00A11FE0">
        <w:t>Nekvalitná infraštruktúra intermodálnej prepravy</w:t>
      </w:r>
    </w:p>
    <w:p w:rsidR="001B6C78" w:rsidRPr="00A11FE0" w:rsidRDefault="001B6C78" w:rsidP="001B6C78">
      <w:pPr>
        <w:rPr>
          <w:rFonts w:asciiTheme="majorHAnsi" w:hAnsiTheme="majorHAnsi"/>
          <w:szCs w:val="22"/>
        </w:rPr>
      </w:pPr>
      <w:r w:rsidRPr="00A11FE0">
        <w:rPr>
          <w:rFonts w:asciiTheme="majorHAnsi" w:hAnsiTheme="majorHAnsi"/>
          <w:szCs w:val="22"/>
        </w:rPr>
        <w:t>Intermodálna preprava v</w:t>
      </w:r>
      <w:r w:rsidR="009776DA">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 má najlepšie predpoklady pre rozvoj v</w:t>
      </w:r>
      <w:r w:rsidR="0086034B">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ystéme</w:t>
      </w:r>
      <w:r w:rsidR="0086034B">
        <w:rPr>
          <w:rFonts w:asciiTheme="majorHAnsi" w:hAnsiTheme="majorHAnsi"/>
          <w:szCs w:val="22"/>
        </w:rPr>
        <w:t xml:space="preserve"> </w:t>
      </w:r>
      <w:r w:rsidRPr="00A11FE0">
        <w:rPr>
          <w:rFonts w:asciiTheme="majorHAnsi" w:hAnsiTheme="majorHAnsi"/>
          <w:szCs w:val="22"/>
        </w:rPr>
        <w:t xml:space="preserve">cesta – železnica. Najväčší počet terminálov </w:t>
      </w:r>
      <w:r w:rsidR="00BD5FD5">
        <w:rPr>
          <w:rFonts w:asciiTheme="majorHAnsi" w:hAnsiTheme="majorHAnsi"/>
          <w:szCs w:val="22"/>
        </w:rPr>
        <w:t>s</w:t>
      </w:r>
      <w:r w:rsidRPr="00A11FE0">
        <w:rPr>
          <w:rFonts w:asciiTheme="majorHAnsi" w:hAnsiTheme="majorHAnsi"/>
          <w:szCs w:val="22"/>
        </w:rPr>
        <w:t xml:space="preserve">a nachádza v západoslovenskom </w:t>
      </w:r>
      <w:r w:rsidR="00BD5FD5">
        <w:rPr>
          <w:rFonts w:asciiTheme="majorHAnsi" w:hAnsiTheme="majorHAnsi"/>
          <w:szCs w:val="22"/>
        </w:rPr>
        <w:t>k</w:t>
      </w:r>
      <w:r w:rsidRPr="00A11FE0">
        <w:rPr>
          <w:rFonts w:asciiTheme="majorHAnsi" w:hAnsiTheme="majorHAnsi"/>
          <w:szCs w:val="22"/>
        </w:rPr>
        <w:t xml:space="preserve">raji, </w:t>
      </w:r>
      <w:r w:rsidR="00BD5FD5">
        <w:rPr>
          <w:rFonts w:asciiTheme="majorHAnsi" w:hAnsiTheme="majorHAnsi"/>
          <w:szCs w:val="22"/>
        </w:rPr>
        <w:t>k</w:t>
      </w:r>
      <w:r w:rsidRPr="00A11FE0">
        <w:rPr>
          <w:rFonts w:asciiTheme="majorHAnsi" w:hAnsiTheme="majorHAnsi"/>
          <w:szCs w:val="22"/>
        </w:rPr>
        <w:t xml:space="preserve">de </w:t>
      </w:r>
      <w:r w:rsidR="00BD5FD5">
        <w:rPr>
          <w:rFonts w:asciiTheme="majorHAnsi" w:hAnsiTheme="majorHAnsi"/>
          <w:szCs w:val="22"/>
        </w:rPr>
        <w:t>s</w:t>
      </w:r>
      <w:r w:rsidRPr="00A11FE0">
        <w:rPr>
          <w:rFonts w:asciiTheme="majorHAnsi" w:hAnsiTheme="majorHAnsi"/>
          <w:szCs w:val="22"/>
        </w:rPr>
        <w:t xml:space="preserve">ú funkčné terminály Bratislava – ÚNS, Bratislava Pálenisko, Dunajská </w:t>
      </w:r>
      <w:r w:rsidR="00BD5FD5">
        <w:rPr>
          <w:rFonts w:asciiTheme="majorHAnsi" w:hAnsiTheme="majorHAnsi"/>
          <w:szCs w:val="22"/>
        </w:rPr>
        <w:t>S</w:t>
      </w:r>
      <w:r w:rsidRPr="00A11FE0">
        <w:rPr>
          <w:rFonts w:asciiTheme="majorHAnsi" w:hAnsiTheme="majorHAnsi"/>
          <w:szCs w:val="22"/>
        </w:rPr>
        <w:t xml:space="preserve">treda </w:t>
      </w:r>
      <w:r w:rsidR="00BD5FD5">
        <w:rPr>
          <w:rFonts w:asciiTheme="majorHAnsi" w:hAnsiTheme="majorHAnsi"/>
          <w:szCs w:val="22"/>
        </w:rPr>
        <w:t>a S</w:t>
      </w:r>
      <w:r w:rsidRPr="00A11FE0">
        <w:rPr>
          <w:rFonts w:asciiTheme="majorHAnsi" w:hAnsiTheme="majorHAnsi"/>
          <w:szCs w:val="22"/>
        </w:rPr>
        <w:t xml:space="preserve">ládkovičovo. Na východnom </w:t>
      </w:r>
      <w:r w:rsidR="00BD5FD5">
        <w:rPr>
          <w:rFonts w:asciiTheme="majorHAnsi" w:hAnsiTheme="majorHAnsi"/>
          <w:szCs w:val="22"/>
        </w:rPr>
        <w:t>S</w:t>
      </w:r>
      <w:r w:rsidRPr="00A11FE0">
        <w:rPr>
          <w:rFonts w:asciiTheme="majorHAnsi" w:hAnsiTheme="majorHAnsi"/>
          <w:szCs w:val="22"/>
        </w:rPr>
        <w:t xml:space="preserve">lovensku </w:t>
      </w:r>
      <w:r w:rsidR="00BD5FD5">
        <w:rPr>
          <w:rFonts w:asciiTheme="majorHAnsi" w:hAnsiTheme="majorHAnsi"/>
          <w:szCs w:val="22"/>
        </w:rPr>
        <w:t>s</w:t>
      </w:r>
      <w:r w:rsidRPr="00A11FE0">
        <w:rPr>
          <w:rFonts w:asciiTheme="majorHAnsi" w:hAnsiTheme="majorHAnsi"/>
          <w:szCs w:val="22"/>
        </w:rPr>
        <w:t xml:space="preserve">a nachádzajú terminály v obvodoch železničných </w:t>
      </w:r>
      <w:r w:rsidR="00BD5FD5">
        <w:rPr>
          <w:rFonts w:asciiTheme="majorHAnsi" w:hAnsiTheme="majorHAnsi"/>
          <w:szCs w:val="22"/>
        </w:rPr>
        <w:t>s</w:t>
      </w:r>
      <w:r w:rsidRPr="00A11FE0">
        <w:rPr>
          <w:rFonts w:asciiTheme="majorHAnsi" w:hAnsiTheme="majorHAnsi"/>
          <w:szCs w:val="22"/>
        </w:rPr>
        <w:t xml:space="preserve">taníc </w:t>
      </w:r>
      <w:r w:rsidR="00BD5FD5">
        <w:rPr>
          <w:rFonts w:asciiTheme="majorHAnsi" w:hAnsiTheme="majorHAnsi"/>
          <w:szCs w:val="22"/>
        </w:rPr>
        <w:t>K</w:t>
      </w:r>
      <w:r w:rsidRPr="00A11FE0">
        <w:rPr>
          <w:rFonts w:asciiTheme="majorHAnsi" w:hAnsiTheme="majorHAnsi"/>
          <w:szCs w:val="22"/>
        </w:rPr>
        <w:t>ošice, Veľk</w:t>
      </w:r>
      <w:r w:rsidR="000E07BD" w:rsidRPr="00A11FE0">
        <w:rPr>
          <w:rFonts w:asciiTheme="majorHAnsi" w:hAnsiTheme="majorHAnsi"/>
          <w:szCs w:val="22"/>
        </w:rPr>
        <w:t>á</w:t>
      </w:r>
      <w:r w:rsidRPr="00A11FE0">
        <w:rPr>
          <w:rFonts w:asciiTheme="majorHAnsi" w:hAnsiTheme="majorHAnsi"/>
          <w:szCs w:val="22"/>
        </w:rPr>
        <w:t xml:space="preserve"> Id</w:t>
      </w:r>
      <w:r w:rsidR="000E07BD" w:rsidRPr="00A11FE0">
        <w:rPr>
          <w:rFonts w:asciiTheme="majorHAnsi" w:hAnsiTheme="majorHAnsi"/>
          <w:szCs w:val="22"/>
        </w:rPr>
        <w:t>a</w:t>
      </w:r>
      <w:r w:rsidRPr="00A11FE0">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Dobr</w:t>
      </w:r>
      <w:r w:rsidR="000E07BD" w:rsidRPr="00A11FE0">
        <w:rPr>
          <w:rFonts w:asciiTheme="majorHAnsi" w:hAnsiTheme="majorHAnsi"/>
          <w:szCs w:val="22"/>
        </w:rPr>
        <w:t>á</w:t>
      </w:r>
      <w:r w:rsidRPr="00A11FE0">
        <w:rPr>
          <w:rFonts w:asciiTheme="majorHAnsi" w:hAnsiTheme="majorHAnsi"/>
          <w:szCs w:val="22"/>
        </w:rPr>
        <w:t xml:space="preserve"> pri Čiernej nad Tisou</w:t>
      </w:r>
      <w:r w:rsidRPr="00A11FE0">
        <w:rPr>
          <w:rFonts w:asciiTheme="majorHAnsi" w:hAnsiTheme="majorHAnsi"/>
          <w:i/>
          <w:szCs w:val="22"/>
        </w:rPr>
        <w:t>.</w:t>
      </w:r>
      <w:r w:rsidRPr="00A11FE0">
        <w:rPr>
          <w:rFonts w:asciiTheme="majorHAnsi" w:hAnsiTheme="majorHAnsi"/>
          <w:szCs w:val="22"/>
        </w:rPr>
        <w:t xml:space="preserve"> V</w:t>
      </w:r>
      <w:r w:rsidR="00757E32">
        <w:rPr>
          <w:rFonts w:asciiTheme="majorHAnsi" w:hAnsiTheme="majorHAnsi"/>
          <w:szCs w:val="22"/>
        </w:rPr>
        <w:t> </w:t>
      </w:r>
      <w:r w:rsidRPr="00A11FE0">
        <w:rPr>
          <w:rFonts w:asciiTheme="majorHAnsi" w:hAnsiTheme="majorHAnsi"/>
          <w:szCs w:val="22"/>
        </w:rPr>
        <w:t>ostatných</w:t>
      </w:r>
      <w:r w:rsidR="00757E32">
        <w:rPr>
          <w:rFonts w:asciiTheme="majorHAnsi" w:hAnsiTheme="majorHAnsi"/>
          <w:szCs w:val="22"/>
        </w:rPr>
        <w:t xml:space="preserve"> </w:t>
      </w:r>
      <w:r w:rsidRPr="00A11FE0">
        <w:rPr>
          <w:rFonts w:asciiTheme="majorHAnsi" w:hAnsiTheme="majorHAnsi"/>
          <w:szCs w:val="22"/>
        </w:rPr>
        <w:t xml:space="preserve">častiach </w:t>
      </w:r>
      <w:r w:rsidR="00BD5FD5">
        <w:rPr>
          <w:rFonts w:asciiTheme="majorHAnsi" w:hAnsiTheme="majorHAnsi"/>
          <w:szCs w:val="22"/>
        </w:rPr>
        <w:t>S</w:t>
      </w:r>
      <w:r w:rsidRPr="00A11FE0">
        <w:rPr>
          <w:rFonts w:asciiTheme="majorHAnsi" w:hAnsiTheme="majorHAnsi"/>
          <w:szCs w:val="22"/>
        </w:rPr>
        <w:t>R je funkčný už len TIP v</w:t>
      </w:r>
      <w:r w:rsidR="009776DA">
        <w:rPr>
          <w:rFonts w:asciiTheme="majorHAnsi" w:hAnsiTheme="majorHAnsi"/>
          <w:szCs w:val="22"/>
        </w:rPr>
        <w:t> </w:t>
      </w:r>
      <w:r w:rsidRPr="00A11FE0">
        <w:rPr>
          <w:rFonts w:asciiTheme="majorHAnsi" w:hAnsiTheme="majorHAnsi"/>
          <w:szCs w:val="22"/>
        </w:rPr>
        <w:t>Žiline</w:t>
      </w:r>
      <w:r w:rsidR="000E07BD" w:rsidRPr="00A11FE0">
        <w:rPr>
          <w:rFonts w:asciiTheme="majorHAnsi" w:hAnsiTheme="majorHAnsi"/>
          <w:szCs w:val="22"/>
        </w:rPr>
        <w:t xml:space="preserve">, </w:t>
      </w:r>
      <w:r w:rsidRPr="00A11FE0">
        <w:rPr>
          <w:rFonts w:asciiTheme="majorHAnsi" w:hAnsiTheme="majorHAnsi"/>
          <w:szCs w:val="22"/>
        </w:rPr>
        <w:t>v</w:t>
      </w:r>
      <w:r w:rsidR="000E07BD" w:rsidRPr="00A11FE0">
        <w:rPr>
          <w:rFonts w:asciiTheme="majorHAnsi" w:hAnsiTheme="majorHAnsi"/>
          <w:szCs w:val="22"/>
        </w:rPr>
        <w:t xml:space="preserve"> blízkosti </w:t>
      </w:r>
      <w:r w:rsidR="00BD5FD5">
        <w:rPr>
          <w:rFonts w:asciiTheme="majorHAnsi" w:hAnsiTheme="majorHAnsi"/>
          <w:szCs w:val="22"/>
        </w:rPr>
        <w:t>k</w:t>
      </w:r>
      <w:r w:rsidR="000E07BD" w:rsidRPr="00A11FE0">
        <w:rPr>
          <w:rFonts w:asciiTheme="majorHAnsi" w:hAnsiTheme="majorHAnsi"/>
          <w:szCs w:val="22"/>
        </w:rPr>
        <w:t xml:space="preserve">torého </w:t>
      </w:r>
      <w:r w:rsidR="00BD5FD5">
        <w:rPr>
          <w:rFonts w:asciiTheme="majorHAnsi" w:hAnsiTheme="majorHAnsi"/>
          <w:szCs w:val="22"/>
        </w:rPr>
        <w:t>s</w:t>
      </w:r>
      <w:r w:rsidRPr="00A11FE0">
        <w:rPr>
          <w:rFonts w:asciiTheme="majorHAnsi" w:hAnsiTheme="majorHAnsi"/>
          <w:szCs w:val="22"/>
        </w:rPr>
        <w:t xml:space="preserve">a plánuje výstavba ďalšieho. </w:t>
      </w:r>
      <w:r w:rsidR="00BD5FD5">
        <w:rPr>
          <w:rFonts w:asciiTheme="majorHAnsi" w:hAnsiTheme="majorHAnsi"/>
          <w:szCs w:val="22"/>
        </w:rPr>
        <w:t>S</w:t>
      </w:r>
      <w:r w:rsidRPr="00A11FE0">
        <w:rPr>
          <w:rFonts w:asciiTheme="majorHAnsi" w:hAnsiTheme="majorHAnsi"/>
          <w:szCs w:val="22"/>
        </w:rPr>
        <w:t xml:space="preserve">tredná časť </w:t>
      </w:r>
      <w:r w:rsidR="00BD5FD5">
        <w:rPr>
          <w:rFonts w:asciiTheme="majorHAnsi" w:hAnsiTheme="majorHAnsi"/>
          <w:szCs w:val="22"/>
        </w:rPr>
        <w:t>S</w:t>
      </w:r>
      <w:r w:rsidRPr="00A11FE0">
        <w:rPr>
          <w:rFonts w:asciiTheme="majorHAnsi" w:hAnsiTheme="majorHAnsi"/>
          <w:szCs w:val="22"/>
        </w:rPr>
        <w:t xml:space="preserve">R momentálne nedisponuje žiadnym terminálom. </w:t>
      </w:r>
      <w:r w:rsidR="00BD5FD5">
        <w:rPr>
          <w:rFonts w:asciiTheme="majorHAnsi" w:hAnsiTheme="majorHAnsi"/>
          <w:szCs w:val="22"/>
        </w:rPr>
        <w:t>S</w:t>
      </w:r>
      <w:r w:rsidRPr="00A11FE0">
        <w:rPr>
          <w:rFonts w:asciiTheme="majorHAnsi" w:hAnsiTheme="majorHAnsi"/>
          <w:szCs w:val="22"/>
        </w:rPr>
        <w:t>edem z</w:t>
      </w:r>
      <w:r w:rsidR="009776DA">
        <w:rPr>
          <w:rFonts w:asciiTheme="majorHAnsi" w:hAnsiTheme="majorHAnsi"/>
          <w:szCs w:val="22"/>
        </w:rPr>
        <w:t> </w:t>
      </w:r>
      <w:r w:rsidRPr="00A11FE0">
        <w:rPr>
          <w:rFonts w:asciiTheme="majorHAnsi" w:hAnsiTheme="majorHAnsi"/>
          <w:szCs w:val="22"/>
        </w:rPr>
        <w:t xml:space="preserve">nich je bimodálnych (cesta – železnica) </w:t>
      </w:r>
      <w:r w:rsidR="00BD5FD5">
        <w:rPr>
          <w:rFonts w:asciiTheme="majorHAnsi" w:hAnsiTheme="majorHAnsi"/>
          <w:szCs w:val="22"/>
        </w:rPr>
        <w:t>a </w:t>
      </w:r>
      <w:r w:rsidRPr="00A11FE0">
        <w:rPr>
          <w:rFonts w:asciiTheme="majorHAnsi" w:hAnsiTheme="majorHAnsi"/>
          <w:szCs w:val="22"/>
        </w:rPr>
        <w:t>jediný terminál Pálenisko je trimodálny (cesta – železnica – vnútrozemská vodná cesta). V </w:t>
      </w:r>
      <w:r w:rsidR="00BD5FD5">
        <w:rPr>
          <w:rFonts w:asciiTheme="majorHAnsi" w:hAnsiTheme="majorHAnsi"/>
          <w:szCs w:val="22"/>
        </w:rPr>
        <w:t>S</w:t>
      </w:r>
      <w:r w:rsidRPr="00A11FE0">
        <w:rPr>
          <w:rFonts w:asciiTheme="majorHAnsi" w:hAnsiTheme="majorHAnsi"/>
          <w:szCs w:val="22"/>
        </w:rPr>
        <w:t xml:space="preserve">R úplne chýba </w:t>
      </w:r>
      <w:r w:rsidR="00BD5FD5">
        <w:rPr>
          <w:rFonts w:asciiTheme="majorHAnsi" w:hAnsiTheme="majorHAnsi"/>
          <w:szCs w:val="22"/>
        </w:rPr>
        <w:t>s</w:t>
      </w:r>
      <w:r w:rsidRPr="00A11FE0">
        <w:rPr>
          <w:rFonts w:asciiTheme="majorHAnsi" w:hAnsiTheme="majorHAnsi"/>
          <w:szCs w:val="22"/>
        </w:rPr>
        <w:t xml:space="preserve">egment </w:t>
      </w:r>
      <w:r w:rsidR="00BD5FD5">
        <w:rPr>
          <w:rFonts w:asciiTheme="majorHAnsi" w:hAnsiTheme="majorHAnsi"/>
          <w:szCs w:val="22"/>
        </w:rPr>
        <w:t>k</w:t>
      </w:r>
      <w:r w:rsidRPr="00A11FE0">
        <w:rPr>
          <w:rFonts w:asciiTheme="majorHAnsi" w:hAnsiTheme="majorHAnsi"/>
          <w:szCs w:val="22"/>
        </w:rPr>
        <w:t xml:space="preserve">ontinentálnej </w:t>
      </w:r>
      <w:r w:rsidR="00BD5FD5">
        <w:rPr>
          <w:rFonts w:asciiTheme="majorHAnsi" w:hAnsiTheme="majorHAnsi"/>
          <w:szCs w:val="22"/>
        </w:rPr>
        <w:t>k</w:t>
      </w:r>
      <w:r w:rsidRPr="00A11FE0">
        <w:rPr>
          <w:rFonts w:asciiTheme="majorHAnsi" w:hAnsiTheme="majorHAnsi"/>
          <w:szCs w:val="22"/>
        </w:rPr>
        <w:t>ombinovanej dopravy.</w:t>
      </w:r>
    </w:p>
    <w:p w:rsidR="001B6C78" w:rsidRPr="00A11FE0" w:rsidRDefault="001B6C78" w:rsidP="001B6C78">
      <w:pPr>
        <w:rPr>
          <w:rFonts w:asciiTheme="majorHAnsi" w:hAnsiTheme="majorHAnsi"/>
          <w:szCs w:val="22"/>
        </w:rPr>
      </w:pPr>
      <w:r w:rsidRPr="00A11FE0">
        <w:rPr>
          <w:rFonts w:asciiTheme="majorHAnsi" w:hAnsiTheme="majorHAnsi"/>
          <w:szCs w:val="22"/>
        </w:rPr>
        <w:t>Prioritou v</w:t>
      </w:r>
      <w:r w:rsidR="009776DA">
        <w:rPr>
          <w:rFonts w:asciiTheme="majorHAnsi" w:hAnsiTheme="majorHAnsi"/>
          <w:szCs w:val="22"/>
        </w:rPr>
        <w:t> </w:t>
      </w:r>
      <w:r w:rsidRPr="00A11FE0">
        <w:rPr>
          <w:rFonts w:asciiTheme="majorHAnsi" w:hAnsiTheme="majorHAnsi"/>
          <w:szCs w:val="22"/>
        </w:rPr>
        <w:t xml:space="preserve">oblasti rozvoja infraštruktúry intermodálnej prepravy je výstavba základnej </w:t>
      </w:r>
      <w:r w:rsidR="00BD5FD5">
        <w:rPr>
          <w:rFonts w:asciiTheme="majorHAnsi" w:hAnsiTheme="majorHAnsi"/>
          <w:szCs w:val="22"/>
        </w:rPr>
        <w:t>s</w:t>
      </w:r>
      <w:r w:rsidRPr="00A11FE0">
        <w:rPr>
          <w:rFonts w:asciiTheme="majorHAnsi" w:hAnsiTheme="majorHAnsi"/>
          <w:szCs w:val="22"/>
        </w:rPr>
        <w:t>iete verejných terminálov</w:t>
      </w:r>
      <w:r w:rsidR="00CA5132">
        <w:rPr>
          <w:rFonts w:asciiTheme="majorHAnsi" w:hAnsiTheme="majorHAnsi"/>
          <w:szCs w:val="22"/>
        </w:rPr>
        <w:t>,</w:t>
      </w:r>
      <w:r w:rsidRPr="00A11FE0">
        <w:rPr>
          <w:rFonts w:asciiTheme="majorHAnsi" w:hAnsiTheme="majorHAnsi"/>
          <w:szCs w:val="22"/>
        </w:rPr>
        <w:t xml:space="preserve"> podľa parametrov Dohody </w:t>
      </w:r>
      <w:r w:rsidR="00BD5FD5">
        <w:rPr>
          <w:rFonts w:asciiTheme="majorHAnsi" w:hAnsiTheme="majorHAnsi"/>
          <w:szCs w:val="22"/>
        </w:rPr>
        <w:t>A</w:t>
      </w:r>
      <w:r w:rsidRPr="00A11FE0">
        <w:rPr>
          <w:rFonts w:asciiTheme="majorHAnsi" w:hAnsiTheme="majorHAnsi"/>
          <w:szCs w:val="22"/>
        </w:rPr>
        <w:t xml:space="preserve">GTC. Väčšina terminálov je technicky </w:t>
      </w:r>
      <w:r w:rsidR="00BD5FD5">
        <w:rPr>
          <w:rFonts w:asciiTheme="majorHAnsi" w:hAnsiTheme="majorHAnsi"/>
          <w:szCs w:val="22"/>
        </w:rPr>
        <w:t>a </w:t>
      </w:r>
      <w:r w:rsidRPr="00A11FE0">
        <w:rPr>
          <w:rFonts w:asciiTheme="majorHAnsi" w:hAnsiTheme="majorHAnsi"/>
          <w:szCs w:val="22"/>
        </w:rPr>
        <w:t>technologicky</w:t>
      </w:r>
      <w:r w:rsidR="00C80098">
        <w:rPr>
          <w:rFonts w:asciiTheme="majorHAnsi" w:hAnsiTheme="majorHAnsi"/>
          <w:szCs w:val="22"/>
        </w:rPr>
        <w:t xml:space="preserve"> </w:t>
      </w:r>
      <w:r w:rsidRPr="00A11FE0">
        <w:rPr>
          <w:rFonts w:asciiTheme="majorHAnsi" w:hAnsiTheme="majorHAnsi"/>
          <w:szCs w:val="22"/>
        </w:rPr>
        <w:t xml:space="preserve">zastaraných </w:t>
      </w:r>
      <w:r w:rsidR="00BD5FD5">
        <w:rPr>
          <w:rFonts w:asciiTheme="majorHAnsi" w:hAnsiTheme="majorHAnsi"/>
          <w:szCs w:val="22"/>
        </w:rPr>
        <w:t>a </w:t>
      </w:r>
      <w:r w:rsidRPr="00A11FE0">
        <w:rPr>
          <w:rFonts w:asciiTheme="majorHAnsi" w:hAnsiTheme="majorHAnsi"/>
          <w:szCs w:val="22"/>
        </w:rPr>
        <w:t xml:space="preserve">nespĺňa všetky požiadavky </w:t>
      </w:r>
      <w:r w:rsidR="00BD5FD5">
        <w:rPr>
          <w:rFonts w:asciiTheme="majorHAnsi" w:hAnsiTheme="majorHAnsi"/>
          <w:szCs w:val="22"/>
        </w:rPr>
        <w:t>A</w:t>
      </w:r>
      <w:r w:rsidRPr="00A11FE0">
        <w:rPr>
          <w:rFonts w:asciiTheme="majorHAnsi" w:hAnsiTheme="majorHAnsi"/>
          <w:szCs w:val="22"/>
        </w:rPr>
        <w:t xml:space="preserve">GTC, najmä ohľadom dĺžky manipulačných </w:t>
      </w:r>
      <w:r w:rsidR="00BD5FD5">
        <w:rPr>
          <w:rFonts w:asciiTheme="majorHAnsi" w:hAnsiTheme="majorHAnsi"/>
          <w:szCs w:val="22"/>
        </w:rPr>
        <w:t>k</w:t>
      </w:r>
      <w:r w:rsidRPr="00A11FE0">
        <w:rPr>
          <w:rFonts w:asciiTheme="majorHAnsi" w:hAnsiTheme="majorHAnsi"/>
          <w:szCs w:val="22"/>
        </w:rPr>
        <w:t>oľají</w:t>
      </w:r>
      <w:r w:rsidRPr="00A11FE0">
        <w:rPr>
          <w:rFonts w:asciiTheme="majorHAnsi" w:hAnsiTheme="majorHAnsi"/>
          <w:szCs w:val="22"/>
          <w:vertAlign w:val="superscript"/>
        </w:rPr>
        <w:footnoteReference w:id="92"/>
      </w:r>
      <w:r w:rsidRPr="00A11FE0">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 xml:space="preserve">vybavenosti manipulačných zariadení pre prekládku nákladových jednotiek. </w:t>
      </w:r>
      <w:r w:rsidR="00BD5FD5">
        <w:rPr>
          <w:rFonts w:asciiTheme="majorHAnsi" w:hAnsiTheme="majorHAnsi"/>
          <w:szCs w:val="22"/>
        </w:rPr>
        <w:t>A</w:t>
      </w:r>
      <w:r w:rsidRPr="00A11FE0">
        <w:rPr>
          <w:rFonts w:asciiTheme="majorHAnsi" w:hAnsiTheme="majorHAnsi"/>
          <w:szCs w:val="22"/>
        </w:rPr>
        <w:t xml:space="preserve">ni jeden z jestvujúcich terminálov, </w:t>
      </w:r>
      <w:r w:rsidR="00BD5FD5">
        <w:rPr>
          <w:rFonts w:asciiTheme="majorHAnsi" w:hAnsiTheme="majorHAnsi"/>
          <w:szCs w:val="22"/>
        </w:rPr>
        <w:t>k</w:t>
      </w:r>
      <w:r w:rsidRPr="00A11FE0">
        <w:rPr>
          <w:rFonts w:asciiTheme="majorHAnsi" w:hAnsiTheme="majorHAnsi"/>
          <w:szCs w:val="22"/>
        </w:rPr>
        <w:t>toré prevádzkujú v </w:t>
      </w:r>
      <w:r w:rsidR="00BD5FD5">
        <w:rPr>
          <w:rFonts w:asciiTheme="majorHAnsi" w:hAnsiTheme="majorHAnsi"/>
          <w:szCs w:val="22"/>
        </w:rPr>
        <w:t>s</w:t>
      </w:r>
      <w:r w:rsidRPr="00A11FE0">
        <w:rPr>
          <w:rFonts w:asciiTheme="majorHAnsi" w:hAnsiTheme="majorHAnsi"/>
          <w:szCs w:val="22"/>
        </w:rPr>
        <w:t xml:space="preserve">účasnosti len </w:t>
      </w:r>
      <w:r w:rsidR="00BD5FD5">
        <w:rPr>
          <w:rFonts w:asciiTheme="majorHAnsi" w:hAnsiTheme="majorHAnsi"/>
          <w:szCs w:val="22"/>
        </w:rPr>
        <w:t>s</w:t>
      </w:r>
      <w:r w:rsidRPr="00A11FE0">
        <w:rPr>
          <w:rFonts w:asciiTheme="majorHAnsi" w:hAnsiTheme="majorHAnsi"/>
          <w:szCs w:val="22"/>
        </w:rPr>
        <w:t xml:space="preserve">úkromní operátori </w:t>
      </w:r>
      <w:r w:rsidR="00BD5FD5">
        <w:rPr>
          <w:rFonts w:asciiTheme="majorHAnsi" w:hAnsiTheme="majorHAnsi"/>
          <w:szCs w:val="22"/>
        </w:rPr>
        <w:t>k</w:t>
      </w:r>
      <w:r w:rsidRPr="00A11FE0">
        <w:rPr>
          <w:rFonts w:asciiTheme="majorHAnsi" w:hAnsiTheme="majorHAnsi"/>
          <w:szCs w:val="22"/>
        </w:rPr>
        <w:t xml:space="preserve">ombinovanej dopravy, neposkytuje nediskriminačný prístup </w:t>
      </w:r>
      <w:r w:rsidR="00BD5FD5">
        <w:rPr>
          <w:rFonts w:asciiTheme="majorHAnsi" w:hAnsiTheme="majorHAnsi"/>
          <w:szCs w:val="22"/>
        </w:rPr>
        <w:t>k </w:t>
      </w:r>
      <w:r w:rsidRPr="00A11FE0">
        <w:rPr>
          <w:rFonts w:asciiTheme="majorHAnsi" w:hAnsiTheme="majorHAnsi"/>
          <w:szCs w:val="22"/>
        </w:rPr>
        <w:t xml:space="preserve">terminálovým </w:t>
      </w:r>
      <w:r w:rsidR="00BD5FD5">
        <w:rPr>
          <w:rFonts w:asciiTheme="majorHAnsi" w:hAnsiTheme="majorHAnsi"/>
          <w:szCs w:val="22"/>
        </w:rPr>
        <w:t>s</w:t>
      </w:r>
      <w:r w:rsidRPr="00A11FE0">
        <w:rPr>
          <w:rFonts w:asciiTheme="majorHAnsi" w:hAnsiTheme="majorHAnsi"/>
          <w:szCs w:val="22"/>
        </w:rPr>
        <w:t>lužbám</w:t>
      </w:r>
      <w:r w:rsidR="00CA5132">
        <w:rPr>
          <w:rFonts w:asciiTheme="majorHAnsi" w:hAnsiTheme="majorHAnsi"/>
          <w:szCs w:val="22"/>
        </w:rPr>
        <w:t>,</w:t>
      </w:r>
      <w:r w:rsidRPr="00A11FE0">
        <w:rPr>
          <w:rFonts w:asciiTheme="majorHAnsi" w:hAnsiTheme="majorHAnsi"/>
          <w:szCs w:val="22"/>
        </w:rPr>
        <w:t xml:space="preserve"> v zmysle podmienok právnych predpisov EÚ.</w:t>
      </w:r>
    </w:p>
    <w:p w:rsidR="001B6C78" w:rsidRPr="00A11FE0" w:rsidRDefault="001B6C78" w:rsidP="005954DC">
      <w:pPr>
        <w:pStyle w:val="Nadpis5"/>
        <w:numPr>
          <w:ilvl w:val="4"/>
          <w:numId w:val="2"/>
        </w:numPr>
        <w:ind w:left="1292"/>
      </w:pPr>
      <w:r w:rsidRPr="00A11FE0">
        <w:t xml:space="preserve">Neefektívne </w:t>
      </w:r>
      <w:r w:rsidR="00BD5FD5">
        <w:t>s</w:t>
      </w:r>
      <w:r w:rsidRPr="00A11FE0">
        <w:t xml:space="preserve">lužby verejnej osobnej dopravy </w:t>
      </w:r>
      <w:r w:rsidR="00BD5FD5">
        <w:t>a</w:t>
      </w:r>
      <w:r w:rsidR="00950C03">
        <w:t> </w:t>
      </w:r>
      <w:r w:rsidRPr="00A11FE0">
        <w:t>nefungujúca</w:t>
      </w:r>
      <w:r w:rsidR="00950C03">
        <w:t xml:space="preserve"> </w:t>
      </w:r>
      <w:r w:rsidRPr="00A11FE0">
        <w:t>integrovaná doprava</w:t>
      </w:r>
    </w:p>
    <w:p w:rsidR="001B6C78" w:rsidRPr="00A11FE0" w:rsidRDefault="001B6C78" w:rsidP="001B6C78">
      <w:pPr>
        <w:rPr>
          <w:rFonts w:asciiTheme="majorHAnsi" w:hAnsiTheme="majorHAnsi"/>
          <w:szCs w:val="22"/>
        </w:rPr>
      </w:pPr>
      <w:r w:rsidRPr="00A11FE0">
        <w:rPr>
          <w:rFonts w:asciiTheme="majorHAnsi" w:hAnsiTheme="majorHAnsi" w:cs="Arial"/>
          <w:szCs w:val="22"/>
        </w:rPr>
        <w:t xml:space="preserve">Najvýznamnejším </w:t>
      </w:r>
      <w:r w:rsidR="00BD5FD5">
        <w:rPr>
          <w:rFonts w:asciiTheme="majorHAnsi" w:hAnsiTheme="majorHAnsi" w:cs="Arial"/>
          <w:szCs w:val="22"/>
        </w:rPr>
        <w:t>s</w:t>
      </w:r>
      <w:r w:rsidRPr="00A11FE0">
        <w:rPr>
          <w:rFonts w:asciiTheme="majorHAnsi" w:hAnsiTheme="majorHAnsi" w:cs="Arial"/>
          <w:szCs w:val="22"/>
        </w:rPr>
        <w:t>labým miestom verejnej osobnej dopravy v</w:t>
      </w:r>
      <w:r w:rsidR="00950C03">
        <w:rPr>
          <w:rFonts w:asciiTheme="majorHAnsi" w:hAnsiTheme="majorHAnsi" w:cs="Arial"/>
          <w:szCs w:val="22"/>
        </w:rPr>
        <w:t> </w:t>
      </w:r>
      <w:r w:rsidR="00BD5FD5">
        <w:rPr>
          <w:rFonts w:asciiTheme="majorHAnsi" w:hAnsiTheme="majorHAnsi" w:cs="Arial"/>
          <w:szCs w:val="22"/>
        </w:rPr>
        <w:t>S</w:t>
      </w:r>
      <w:r w:rsidRPr="00A11FE0">
        <w:rPr>
          <w:rFonts w:asciiTheme="majorHAnsi" w:hAnsiTheme="majorHAnsi" w:cs="Arial"/>
          <w:szCs w:val="22"/>
        </w:rPr>
        <w:t>R</w:t>
      </w:r>
      <w:r w:rsidR="00950C03">
        <w:rPr>
          <w:rFonts w:asciiTheme="majorHAnsi" w:hAnsiTheme="majorHAnsi" w:cs="Arial"/>
          <w:szCs w:val="22"/>
        </w:rPr>
        <w:t xml:space="preserve"> </w:t>
      </w:r>
      <w:r w:rsidRPr="00A11FE0">
        <w:rPr>
          <w:rFonts w:asciiTheme="majorHAnsi" w:hAnsiTheme="majorHAnsi" w:cs="Arial"/>
          <w:szCs w:val="22"/>
        </w:rPr>
        <w:t xml:space="preserve">je </w:t>
      </w:r>
      <w:r w:rsidR="00BD5FD5">
        <w:rPr>
          <w:rFonts w:asciiTheme="majorHAnsi" w:hAnsiTheme="majorHAnsi" w:cs="Arial"/>
          <w:szCs w:val="22"/>
        </w:rPr>
        <w:t>a</w:t>
      </w:r>
      <w:r w:rsidRPr="00A11FE0">
        <w:rPr>
          <w:rFonts w:asciiTheme="majorHAnsi" w:hAnsiTheme="majorHAnsi" w:cs="Arial"/>
          <w:szCs w:val="22"/>
        </w:rPr>
        <w:t xml:space="preserve">bsencia funkčných integrovaných dopravných </w:t>
      </w:r>
      <w:r w:rsidR="00BD5FD5">
        <w:rPr>
          <w:rFonts w:asciiTheme="majorHAnsi" w:hAnsiTheme="majorHAnsi" w:cs="Arial"/>
          <w:szCs w:val="22"/>
        </w:rPr>
        <w:t>s</w:t>
      </w:r>
      <w:r w:rsidRPr="00A11FE0">
        <w:rPr>
          <w:rFonts w:asciiTheme="majorHAnsi" w:hAnsiTheme="majorHAnsi" w:cs="Arial"/>
          <w:szCs w:val="22"/>
        </w:rPr>
        <w:t>ystémov (</w:t>
      </w:r>
      <w:r w:rsidR="00CA5132">
        <w:rPr>
          <w:rFonts w:asciiTheme="majorHAnsi" w:hAnsiTheme="majorHAnsi" w:cs="Arial"/>
          <w:szCs w:val="22"/>
        </w:rPr>
        <w:t>ďalej len „</w:t>
      </w:r>
      <w:r w:rsidRPr="00A11FE0">
        <w:rPr>
          <w:rFonts w:asciiTheme="majorHAnsi" w:hAnsiTheme="majorHAnsi" w:cs="Arial"/>
          <w:szCs w:val="22"/>
        </w:rPr>
        <w:t>IDS</w:t>
      </w:r>
      <w:r w:rsidR="00CA5132">
        <w:rPr>
          <w:rFonts w:asciiTheme="majorHAnsi" w:hAnsiTheme="majorHAnsi" w:cs="Arial"/>
          <w:szCs w:val="22"/>
        </w:rPr>
        <w:t>“</w:t>
      </w:r>
      <w:r w:rsidRPr="00A11FE0">
        <w:rPr>
          <w:rFonts w:asciiTheme="majorHAnsi" w:hAnsiTheme="majorHAnsi" w:cs="Arial"/>
          <w:szCs w:val="22"/>
        </w:rPr>
        <w:t xml:space="preserve">). Nie je zabezpečená vzájomná previazanosť </w:t>
      </w:r>
      <w:r w:rsidR="00BD5FD5">
        <w:rPr>
          <w:rFonts w:asciiTheme="majorHAnsi" w:hAnsiTheme="majorHAnsi" w:cs="Arial"/>
          <w:szCs w:val="22"/>
        </w:rPr>
        <w:t>a</w:t>
      </w:r>
      <w:r w:rsidRPr="00A11FE0">
        <w:rPr>
          <w:rFonts w:asciiTheme="majorHAnsi" w:hAnsiTheme="majorHAnsi" w:cs="Arial"/>
          <w:szCs w:val="22"/>
        </w:rPr>
        <w:t> </w:t>
      </w:r>
      <w:r w:rsidR="00BD5FD5">
        <w:rPr>
          <w:rFonts w:asciiTheme="majorHAnsi" w:hAnsiTheme="majorHAnsi" w:cs="Arial"/>
          <w:szCs w:val="22"/>
        </w:rPr>
        <w:t>k</w:t>
      </w:r>
      <w:r w:rsidRPr="00A11FE0">
        <w:rPr>
          <w:rFonts w:asciiTheme="majorHAnsi" w:hAnsiTheme="majorHAnsi" w:cs="Arial"/>
          <w:szCs w:val="22"/>
        </w:rPr>
        <w:t xml:space="preserve">oordinácia jednotlivých dopravných módov. </w:t>
      </w:r>
      <w:r w:rsidR="00BD5FD5">
        <w:rPr>
          <w:rFonts w:asciiTheme="majorHAnsi" w:hAnsiTheme="majorHAnsi" w:cs="Arial"/>
          <w:szCs w:val="22"/>
        </w:rPr>
        <w:t>A</w:t>
      </w:r>
      <w:r w:rsidRPr="00A11FE0">
        <w:rPr>
          <w:rFonts w:asciiTheme="majorHAnsi" w:hAnsiTheme="majorHAnsi" w:cs="Arial"/>
          <w:szCs w:val="22"/>
        </w:rPr>
        <w:t xml:space="preserve">bsentuje </w:t>
      </w:r>
      <w:r w:rsidR="00BD5FD5">
        <w:rPr>
          <w:rFonts w:asciiTheme="majorHAnsi" w:hAnsiTheme="majorHAnsi" w:cs="Arial"/>
          <w:szCs w:val="22"/>
        </w:rPr>
        <w:t>k</w:t>
      </w:r>
      <w:r w:rsidRPr="00A11FE0">
        <w:rPr>
          <w:rFonts w:asciiTheme="majorHAnsi" w:hAnsiTheme="majorHAnsi" w:cs="Arial"/>
          <w:szCs w:val="22"/>
        </w:rPr>
        <w:t xml:space="preserve">valitné </w:t>
      </w:r>
      <w:r w:rsidR="00BD5FD5">
        <w:rPr>
          <w:rFonts w:asciiTheme="majorHAnsi" w:hAnsiTheme="majorHAnsi" w:cs="Arial"/>
          <w:szCs w:val="22"/>
        </w:rPr>
        <w:t>s</w:t>
      </w:r>
      <w:r w:rsidRPr="00A11FE0">
        <w:rPr>
          <w:rFonts w:asciiTheme="majorHAnsi" w:hAnsiTheme="majorHAnsi" w:cs="Arial"/>
          <w:szCs w:val="22"/>
        </w:rPr>
        <w:t xml:space="preserve">pracovanie plánov dopravnej </w:t>
      </w:r>
      <w:r w:rsidRPr="00A11FE0">
        <w:rPr>
          <w:rFonts w:asciiTheme="majorHAnsi" w:hAnsiTheme="majorHAnsi" w:cs="Arial"/>
          <w:szCs w:val="22"/>
        </w:rPr>
        <w:lastRenderedPageBreak/>
        <w:t xml:space="preserve">obslužnosti </w:t>
      </w:r>
      <w:r w:rsidR="00BD5FD5">
        <w:rPr>
          <w:rFonts w:asciiTheme="majorHAnsi" w:hAnsiTheme="majorHAnsi" w:cs="Arial"/>
          <w:szCs w:val="22"/>
        </w:rPr>
        <w:t>s </w:t>
      </w:r>
      <w:r w:rsidRPr="00A11FE0">
        <w:rPr>
          <w:rFonts w:asciiTheme="majorHAnsi" w:hAnsiTheme="majorHAnsi" w:cs="Arial"/>
          <w:szCs w:val="22"/>
        </w:rPr>
        <w:t>dopravnou</w:t>
      </w:r>
      <w:r w:rsidR="00285918">
        <w:rPr>
          <w:rFonts w:asciiTheme="majorHAnsi" w:hAnsiTheme="majorHAnsi" w:cs="Arial"/>
          <w:szCs w:val="22"/>
        </w:rPr>
        <w:t xml:space="preserve"> </w:t>
      </w:r>
      <w:r w:rsidR="00BD5FD5">
        <w:rPr>
          <w:rFonts w:asciiTheme="majorHAnsi" w:hAnsiTheme="majorHAnsi" w:cs="Arial"/>
          <w:szCs w:val="22"/>
        </w:rPr>
        <w:t>a </w:t>
      </w:r>
      <w:r w:rsidRPr="00A11FE0">
        <w:rPr>
          <w:rFonts w:asciiTheme="majorHAnsi" w:hAnsiTheme="majorHAnsi" w:cs="Arial"/>
          <w:szCs w:val="22"/>
        </w:rPr>
        <w:t xml:space="preserve">tarifnou integráciou všetkých </w:t>
      </w:r>
      <w:r w:rsidR="00BD5FD5">
        <w:rPr>
          <w:rFonts w:asciiTheme="majorHAnsi" w:hAnsiTheme="majorHAnsi" w:cs="Arial"/>
          <w:szCs w:val="22"/>
        </w:rPr>
        <w:t>s</w:t>
      </w:r>
      <w:r w:rsidRPr="00A11FE0">
        <w:rPr>
          <w:rFonts w:asciiTheme="majorHAnsi" w:hAnsiTheme="majorHAnsi" w:cs="Arial"/>
          <w:szCs w:val="22"/>
        </w:rPr>
        <w:t xml:space="preserve">ubsystémov mestskej </w:t>
      </w:r>
      <w:r w:rsidR="00BD5FD5">
        <w:rPr>
          <w:rFonts w:asciiTheme="majorHAnsi" w:hAnsiTheme="majorHAnsi" w:cs="Arial"/>
          <w:szCs w:val="22"/>
        </w:rPr>
        <w:t>a </w:t>
      </w:r>
      <w:r w:rsidRPr="00A11FE0">
        <w:rPr>
          <w:rFonts w:asciiTheme="majorHAnsi" w:hAnsiTheme="majorHAnsi" w:cs="Arial"/>
          <w:szCs w:val="22"/>
        </w:rPr>
        <w:t>regionálnej verejnej osobnej dopravy.</w:t>
      </w:r>
    </w:p>
    <w:p w:rsidR="001B6C78" w:rsidRPr="00A11FE0" w:rsidRDefault="001B6C78" w:rsidP="001B6C78">
      <w:pPr>
        <w:rPr>
          <w:rFonts w:asciiTheme="majorHAnsi" w:hAnsiTheme="majorHAnsi"/>
          <w:szCs w:val="22"/>
        </w:rPr>
      </w:pPr>
      <w:r w:rsidRPr="00A11FE0">
        <w:rPr>
          <w:rFonts w:asciiTheme="majorHAnsi" w:hAnsiTheme="majorHAnsi" w:cs="ò!•'DEˇøú~•'1"/>
          <w:szCs w:val="22"/>
        </w:rPr>
        <w:t xml:space="preserve">Železničná doprava zaznamenáva pomalý, </w:t>
      </w:r>
      <w:r w:rsidR="00BD5FD5">
        <w:rPr>
          <w:rFonts w:asciiTheme="majorHAnsi" w:hAnsiTheme="majorHAnsi" w:cs="ò!•'DEˇøú~•'1"/>
          <w:szCs w:val="22"/>
        </w:rPr>
        <w:t>a</w:t>
      </w:r>
      <w:r w:rsidRPr="00A11FE0">
        <w:rPr>
          <w:rFonts w:asciiTheme="majorHAnsi" w:hAnsiTheme="majorHAnsi" w:cs="ò!•'DEˇøú~•'1"/>
          <w:szCs w:val="22"/>
        </w:rPr>
        <w:t xml:space="preserve">le pokračujúci pokles výkonov, čo </w:t>
      </w:r>
      <w:r w:rsidR="00BD5FD5">
        <w:rPr>
          <w:rFonts w:asciiTheme="majorHAnsi" w:hAnsiTheme="majorHAnsi" w:cs="ò!•'DEˇøú~•'1"/>
          <w:szCs w:val="22"/>
        </w:rPr>
        <w:t>s</w:t>
      </w:r>
      <w:r w:rsidRPr="00A11FE0">
        <w:rPr>
          <w:rFonts w:asciiTheme="majorHAnsi" w:hAnsiTheme="majorHAnsi" w:cs="ò!•'DEˇøú~•'1"/>
          <w:szCs w:val="22"/>
        </w:rPr>
        <w:t>a však v</w:t>
      </w:r>
      <w:r w:rsidR="00D31327">
        <w:rPr>
          <w:rFonts w:asciiTheme="majorHAnsi" w:hAnsiTheme="majorHAnsi" w:cs="ò!•'DEˇøú~•'1"/>
          <w:szCs w:val="22"/>
        </w:rPr>
        <w:t> </w:t>
      </w:r>
      <w:r w:rsidRPr="00A11FE0">
        <w:rPr>
          <w:rFonts w:asciiTheme="majorHAnsi" w:hAnsiTheme="majorHAnsi" w:cs="ò!•'DEˇøú~•'1"/>
          <w:szCs w:val="22"/>
        </w:rPr>
        <w:t>dôsledku prirodzených vysokých fixných nákladov železnice neodzrkadľuje v</w:t>
      </w:r>
      <w:r w:rsidR="00D31327">
        <w:rPr>
          <w:rFonts w:asciiTheme="majorHAnsi" w:hAnsiTheme="majorHAnsi" w:cs="ò!•'DEˇøú~•'1"/>
          <w:szCs w:val="22"/>
        </w:rPr>
        <w:t> </w:t>
      </w:r>
      <w:r w:rsidRPr="00A11FE0">
        <w:rPr>
          <w:rFonts w:asciiTheme="majorHAnsi" w:hAnsiTheme="majorHAnsi" w:cs="ò!•'DEˇøú~•'1"/>
          <w:szCs w:val="22"/>
        </w:rPr>
        <w:t>poklese jej nákladov</w:t>
      </w:r>
      <w:r w:rsidRPr="00A11FE0">
        <w:rPr>
          <w:rStyle w:val="Odkaznapoznmkupodiarou"/>
          <w:rFonts w:asciiTheme="majorHAnsi" w:hAnsiTheme="majorHAnsi"/>
          <w:color w:val="474B52"/>
          <w:szCs w:val="22"/>
          <w:shd w:val="clear" w:color="auto" w:fill="FFFFFF"/>
        </w:rPr>
        <w:footnoteReference w:id="93"/>
      </w:r>
      <w:r w:rsidRPr="00A11FE0">
        <w:rPr>
          <w:rFonts w:asciiTheme="majorHAnsi" w:hAnsiTheme="majorHAnsi"/>
          <w:szCs w:val="22"/>
          <w:shd w:val="clear" w:color="auto" w:fill="FFFFFF"/>
        </w:rPr>
        <w:t>.</w:t>
      </w:r>
    </w:p>
    <w:p w:rsidR="001B6C78" w:rsidRPr="00A11FE0" w:rsidRDefault="001B6C78" w:rsidP="001B6C78">
      <w:pPr>
        <w:rPr>
          <w:rFonts w:asciiTheme="majorHAnsi" w:hAnsiTheme="majorHAnsi"/>
          <w:szCs w:val="22"/>
        </w:rPr>
      </w:pPr>
      <w:r w:rsidRPr="00A11FE0">
        <w:rPr>
          <w:rFonts w:asciiTheme="majorHAnsi" w:hAnsiTheme="majorHAnsi"/>
          <w:szCs w:val="22"/>
        </w:rPr>
        <w:t>V </w:t>
      </w:r>
      <w:r w:rsidR="00BD5FD5">
        <w:rPr>
          <w:rFonts w:asciiTheme="majorHAnsi" w:hAnsiTheme="majorHAnsi"/>
          <w:szCs w:val="22"/>
        </w:rPr>
        <w:t>a</w:t>
      </w:r>
      <w:r w:rsidRPr="00A11FE0">
        <w:rPr>
          <w:rFonts w:asciiTheme="majorHAnsi" w:hAnsiTheme="majorHAnsi"/>
          <w:szCs w:val="22"/>
        </w:rPr>
        <w:t xml:space="preserve">utobusovej doprave je nedostatkom nevhodná organizácia, nízka úroveň zastávok </w:t>
      </w:r>
      <w:r w:rsidR="00BD5FD5">
        <w:rPr>
          <w:rFonts w:asciiTheme="majorHAnsi" w:hAnsiTheme="majorHAnsi"/>
          <w:szCs w:val="22"/>
        </w:rPr>
        <w:t>a s</w:t>
      </w:r>
      <w:r w:rsidRPr="00A11FE0">
        <w:rPr>
          <w:rFonts w:asciiTheme="majorHAnsi" w:hAnsiTheme="majorHAnsi"/>
          <w:szCs w:val="22"/>
        </w:rPr>
        <w:t xml:space="preserve">taníc, nízky rozsah doplnkových </w:t>
      </w:r>
      <w:r w:rsidR="00BD5FD5">
        <w:rPr>
          <w:rFonts w:asciiTheme="majorHAnsi" w:hAnsiTheme="majorHAnsi"/>
          <w:szCs w:val="22"/>
        </w:rPr>
        <w:t>s</w:t>
      </w:r>
      <w:r w:rsidRPr="00A11FE0">
        <w:rPr>
          <w:rFonts w:asciiTheme="majorHAnsi" w:hAnsiTheme="majorHAnsi"/>
          <w:szCs w:val="22"/>
        </w:rPr>
        <w:t xml:space="preserve">lužieb </w:t>
      </w:r>
      <w:r w:rsidR="00BD5FD5">
        <w:rPr>
          <w:rFonts w:asciiTheme="majorHAnsi" w:hAnsiTheme="majorHAnsi"/>
          <w:szCs w:val="22"/>
        </w:rPr>
        <w:t>a a</w:t>
      </w:r>
      <w:r w:rsidRPr="00A11FE0">
        <w:rPr>
          <w:rFonts w:asciiTheme="majorHAnsi" w:hAnsiTheme="majorHAnsi"/>
          <w:szCs w:val="22"/>
        </w:rPr>
        <w:t xml:space="preserve">bsencia infraštruktúry. Naopak, </w:t>
      </w:r>
      <w:r w:rsidR="00BD5FD5">
        <w:rPr>
          <w:rFonts w:asciiTheme="majorHAnsi" w:hAnsiTheme="majorHAnsi"/>
          <w:szCs w:val="22"/>
        </w:rPr>
        <w:t>s</w:t>
      </w:r>
      <w:r w:rsidRPr="00A11FE0">
        <w:rPr>
          <w:rFonts w:asciiTheme="majorHAnsi" w:hAnsiTheme="majorHAnsi"/>
          <w:szCs w:val="22"/>
        </w:rPr>
        <w:t xml:space="preserve">ilnou </w:t>
      </w:r>
      <w:r w:rsidR="00BD5FD5">
        <w:rPr>
          <w:rFonts w:asciiTheme="majorHAnsi" w:hAnsiTheme="majorHAnsi"/>
          <w:szCs w:val="22"/>
        </w:rPr>
        <w:t>s</w:t>
      </w:r>
      <w:r w:rsidRPr="00A11FE0">
        <w:rPr>
          <w:rFonts w:asciiTheme="majorHAnsi" w:hAnsiTheme="majorHAnsi"/>
          <w:szCs w:val="22"/>
        </w:rPr>
        <w:t xml:space="preserve">tránkou viacerých regiónov je obnovený vozidlový park </w:t>
      </w:r>
      <w:r w:rsidR="00BD5FD5">
        <w:rPr>
          <w:rFonts w:asciiTheme="majorHAnsi" w:hAnsiTheme="majorHAnsi"/>
          <w:szCs w:val="22"/>
        </w:rPr>
        <w:t>a</w:t>
      </w:r>
      <w:r w:rsidRPr="00A11FE0">
        <w:rPr>
          <w:rFonts w:asciiTheme="majorHAnsi" w:hAnsiTheme="majorHAnsi"/>
          <w:szCs w:val="22"/>
        </w:rPr>
        <w:t>utobusov.</w:t>
      </w:r>
    </w:p>
    <w:p w:rsidR="00616BE3" w:rsidRDefault="001B6C78" w:rsidP="00616BE3">
      <w:pPr>
        <w:rPr>
          <w:rFonts w:asciiTheme="majorHAnsi" w:hAnsiTheme="majorHAnsi"/>
          <w:szCs w:val="22"/>
        </w:rPr>
      </w:pPr>
      <w:r w:rsidRPr="00A11FE0">
        <w:rPr>
          <w:rFonts w:asciiTheme="majorHAnsi" w:hAnsiTheme="majorHAnsi"/>
          <w:szCs w:val="22"/>
        </w:rPr>
        <w:t>V</w:t>
      </w:r>
      <w:r w:rsidR="00757E32">
        <w:rPr>
          <w:rFonts w:asciiTheme="majorHAnsi" w:hAnsiTheme="majorHAnsi"/>
          <w:szCs w:val="22"/>
        </w:rPr>
        <w:t> </w:t>
      </w:r>
      <w:r w:rsidRPr="00A11FE0">
        <w:rPr>
          <w:rFonts w:asciiTheme="majorHAnsi" w:hAnsiTheme="majorHAnsi"/>
          <w:szCs w:val="22"/>
        </w:rPr>
        <w:t>rámci</w:t>
      </w:r>
      <w:r w:rsidR="00757E32">
        <w:rPr>
          <w:rFonts w:asciiTheme="majorHAnsi" w:hAnsiTheme="majorHAnsi"/>
          <w:szCs w:val="22"/>
        </w:rPr>
        <w:t xml:space="preserve"> </w:t>
      </w:r>
      <w:r w:rsidRPr="00A11FE0">
        <w:rPr>
          <w:rFonts w:asciiTheme="majorHAnsi" w:hAnsiTheme="majorHAnsi"/>
          <w:szCs w:val="22"/>
        </w:rPr>
        <w:t xml:space="preserve">mestskej hromadnej dopravy </w:t>
      </w:r>
      <w:r w:rsidR="00BD5FD5">
        <w:rPr>
          <w:rFonts w:asciiTheme="majorHAnsi" w:hAnsiTheme="majorHAnsi"/>
          <w:szCs w:val="22"/>
        </w:rPr>
        <w:t>s</w:t>
      </w:r>
      <w:r w:rsidRPr="00A11FE0">
        <w:rPr>
          <w:rFonts w:asciiTheme="majorHAnsi" w:hAnsiTheme="majorHAnsi"/>
          <w:szCs w:val="22"/>
        </w:rPr>
        <w:t>a v</w:t>
      </w:r>
      <w:r w:rsidR="00D31327">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 prevádzkuje električková doprava v</w:t>
      </w:r>
      <w:r w:rsidR="00757E32">
        <w:rPr>
          <w:rFonts w:asciiTheme="majorHAnsi" w:hAnsiTheme="majorHAnsi"/>
          <w:szCs w:val="22"/>
        </w:rPr>
        <w:t> </w:t>
      </w:r>
      <w:r w:rsidRPr="00A11FE0">
        <w:rPr>
          <w:rFonts w:asciiTheme="majorHAnsi" w:hAnsiTheme="majorHAnsi"/>
          <w:szCs w:val="22"/>
        </w:rPr>
        <w:t>dvoch</w:t>
      </w:r>
      <w:r w:rsidR="00757E32">
        <w:rPr>
          <w:rFonts w:asciiTheme="majorHAnsi" w:hAnsiTheme="majorHAnsi"/>
          <w:szCs w:val="22"/>
        </w:rPr>
        <w:t xml:space="preserve"> </w:t>
      </w:r>
      <w:r w:rsidRPr="00A11FE0">
        <w:rPr>
          <w:rFonts w:asciiTheme="majorHAnsi" w:hAnsiTheme="majorHAnsi"/>
          <w:szCs w:val="22"/>
        </w:rPr>
        <w:t xml:space="preserve">mestách, </w:t>
      </w:r>
      <w:r w:rsidR="00BD5FD5">
        <w:rPr>
          <w:rFonts w:asciiTheme="majorHAnsi" w:hAnsiTheme="majorHAnsi"/>
          <w:szCs w:val="22"/>
        </w:rPr>
        <w:t>a</w:t>
      </w:r>
      <w:r w:rsidR="00285918">
        <w:rPr>
          <w:rFonts w:asciiTheme="majorHAnsi" w:hAnsiTheme="majorHAnsi"/>
          <w:szCs w:val="22"/>
        </w:rPr>
        <w:t> </w:t>
      </w:r>
      <w:r w:rsidRPr="00A11FE0">
        <w:rPr>
          <w:rFonts w:asciiTheme="majorHAnsi" w:hAnsiTheme="majorHAnsi"/>
          <w:szCs w:val="22"/>
        </w:rPr>
        <w:t>to</w:t>
      </w:r>
      <w:r w:rsidR="00285918">
        <w:rPr>
          <w:rFonts w:asciiTheme="majorHAnsi" w:hAnsiTheme="majorHAnsi"/>
          <w:szCs w:val="22"/>
        </w:rPr>
        <w:t xml:space="preserve"> </w:t>
      </w:r>
      <w:r w:rsidRPr="00A11FE0">
        <w:rPr>
          <w:rFonts w:asciiTheme="majorHAnsi" w:hAnsiTheme="majorHAnsi"/>
          <w:szCs w:val="22"/>
        </w:rPr>
        <w:t xml:space="preserve">v Bratislave </w:t>
      </w:r>
      <w:r w:rsidR="00BD5FD5">
        <w:rPr>
          <w:rFonts w:asciiTheme="majorHAnsi" w:hAnsiTheme="majorHAnsi"/>
          <w:szCs w:val="22"/>
        </w:rPr>
        <w:t>a </w:t>
      </w:r>
      <w:r w:rsidRPr="00A11FE0">
        <w:rPr>
          <w:rFonts w:asciiTheme="majorHAnsi" w:hAnsiTheme="majorHAnsi"/>
          <w:szCs w:val="22"/>
        </w:rPr>
        <w:t>v</w:t>
      </w:r>
      <w:r w:rsidR="00D31327">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ošiciach. Trolejbusová doprava funguje v</w:t>
      </w:r>
      <w:r w:rsidR="00D31327">
        <w:rPr>
          <w:rFonts w:asciiTheme="majorHAnsi" w:hAnsiTheme="majorHAnsi"/>
          <w:szCs w:val="22"/>
        </w:rPr>
        <w:t> </w:t>
      </w:r>
      <w:r w:rsidRPr="00A11FE0">
        <w:rPr>
          <w:rFonts w:asciiTheme="majorHAnsi" w:hAnsiTheme="majorHAnsi"/>
          <w:szCs w:val="22"/>
        </w:rPr>
        <w:t xml:space="preserve">Bratislave, </w:t>
      </w:r>
      <w:r w:rsidR="00BD5FD5">
        <w:rPr>
          <w:rFonts w:asciiTheme="majorHAnsi" w:hAnsiTheme="majorHAnsi"/>
          <w:szCs w:val="22"/>
        </w:rPr>
        <w:t>K</w:t>
      </w:r>
      <w:r w:rsidRPr="00A11FE0">
        <w:rPr>
          <w:rFonts w:asciiTheme="majorHAnsi" w:hAnsiTheme="majorHAnsi"/>
          <w:szCs w:val="22"/>
        </w:rPr>
        <w:t xml:space="preserve">ošiciach, Prešove, Žiline </w:t>
      </w:r>
      <w:r w:rsidR="00BD5FD5">
        <w:rPr>
          <w:rFonts w:asciiTheme="majorHAnsi" w:hAnsiTheme="majorHAnsi"/>
          <w:szCs w:val="22"/>
        </w:rPr>
        <w:t>a </w:t>
      </w:r>
      <w:r w:rsidRPr="00A11FE0">
        <w:rPr>
          <w:rFonts w:asciiTheme="majorHAnsi" w:hAnsiTheme="majorHAnsi"/>
          <w:szCs w:val="22"/>
        </w:rPr>
        <w:t>Banskej</w:t>
      </w:r>
      <w:r w:rsidR="00285918">
        <w:rPr>
          <w:rFonts w:asciiTheme="majorHAnsi" w:hAnsiTheme="majorHAnsi"/>
          <w:szCs w:val="22"/>
        </w:rPr>
        <w:t xml:space="preserve"> </w:t>
      </w:r>
      <w:r w:rsidRPr="00A11FE0">
        <w:rPr>
          <w:rFonts w:asciiTheme="majorHAnsi" w:hAnsiTheme="majorHAnsi"/>
          <w:szCs w:val="22"/>
        </w:rPr>
        <w:t xml:space="preserve">Bystrici, zvyšné výkony </w:t>
      </w:r>
      <w:r w:rsidR="00BD5FD5">
        <w:rPr>
          <w:rFonts w:asciiTheme="majorHAnsi" w:hAnsiTheme="majorHAnsi"/>
          <w:szCs w:val="22"/>
        </w:rPr>
        <w:t>s</w:t>
      </w:r>
      <w:r w:rsidRPr="00A11FE0">
        <w:rPr>
          <w:rFonts w:asciiTheme="majorHAnsi" w:hAnsiTheme="majorHAnsi"/>
          <w:szCs w:val="22"/>
        </w:rPr>
        <w:t xml:space="preserve">ú zabezpečované </w:t>
      </w:r>
      <w:r w:rsidR="00BD5FD5">
        <w:rPr>
          <w:rFonts w:asciiTheme="majorHAnsi" w:hAnsiTheme="majorHAnsi"/>
          <w:szCs w:val="22"/>
        </w:rPr>
        <w:t>a</w:t>
      </w:r>
      <w:r w:rsidRPr="00A11FE0">
        <w:rPr>
          <w:rFonts w:asciiTheme="majorHAnsi" w:hAnsiTheme="majorHAnsi"/>
          <w:szCs w:val="22"/>
        </w:rPr>
        <w:t>utobusovou dopravou. V</w:t>
      </w:r>
      <w:r w:rsidR="00D31327">
        <w:rPr>
          <w:rFonts w:asciiTheme="majorHAnsi" w:hAnsiTheme="majorHAnsi"/>
          <w:szCs w:val="22"/>
        </w:rPr>
        <w:t> </w:t>
      </w:r>
      <w:r w:rsidR="00CA5132">
        <w:rPr>
          <w:rFonts w:asciiTheme="majorHAnsi" w:hAnsiTheme="majorHAnsi"/>
          <w:szCs w:val="22"/>
        </w:rPr>
        <w:t>mestskej hromadnej doprave (ďalej len „</w:t>
      </w:r>
      <w:r w:rsidRPr="00A11FE0">
        <w:rPr>
          <w:rFonts w:asciiTheme="majorHAnsi" w:hAnsiTheme="majorHAnsi"/>
          <w:szCs w:val="22"/>
        </w:rPr>
        <w:t>MHD</w:t>
      </w:r>
      <w:r w:rsidR="00CA5132">
        <w:rPr>
          <w:rFonts w:asciiTheme="majorHAnsi" w:hAnsiTheme="majorHAnsi"/>
          <w:szCs w:val="22"/>
        </w:rPr>
        <w:t>“)</w:t>
      </w:r>
      <w:r w:rsidRPr="00A11FE0">
        <w:rPr>
          <w:rFonts w:asciiTheme="majorHAnsi" w:hAnsiTheme="majorHAnsi"/>
          <w:szCs w:val="22"/>
        </w:rPr>
        <w:t xml:space="preserve"> je najväčším problémom podfinancovanie mestských dopravných podnikov </w:t>
      </w:r>
      <w:r w:rsidR="00BD5FD5">
        <w:rPr>
          <w:rFonts w:asciiTheme="majorHAnsi" w:hAnsiTheme="majorHAnsi"/>
          <w:szCs w:val="22"/>
        </w:rPr>
        <w:t>a </w:t>
      </w:r>
      <w:r w:rsidRPr="00A11FE0">
        <w:rPr>
          <w:rFonts w:asciiTheme="majorHAnsi" w:hAnsiTheme="majorHAnsi"/>
          <w:szCs w:val="22"/>
        </w:rPr>
        <w:t>z</w:t>
      </w:r>
      <w:r w:rsidR="00D31327">
        <w:rPr>
          <w:rFonts w:asciiTheme="majorHAnsi" w:hAnsiTheme="majorHAnsi"/>
          <w:szCs w:val="22"/>
        </w:rPr>
        <w:t> </w:t>
      </w:r>
      <w:r w:rsidRPr="00A11FE0">
        <w:rPr>
          <w:rFonts w:asciiTheme="majorHAnsi" w:hAnsiTheme="majorHAnsi"/>
          <w:szCs w:val="22"/>
        </w:rPr>
        <w:t>ne</w:t>
      </w:r>
      <w:r w:rsidR="004D7E34" w:rsidRPr="00A11FE0">
        <w:rPr>
          <w:rFonts w:asciiTheme="majorHAnsi" w:hAnsiTheme="majorHAnsi"/>
          <w:szCs w:val="22"/>
        </w:rPr>
        <w:t xml:space="preserve">ho </w:t>
      </w:r>
      <w:r w:rsidRPr="00A11FE0">
        <w:rPr>
          <w:rFonts w:asciiTheme="majorHAnsi" w:hAnsiTheme="majorHAnsi"/>
          <w:szCs w:val="22"/>
        </w:rPr>
        <w:t xml:space="preserve">vyplývajúci zlý </w:t>
      </w:r>
      <w:r w:rsidR="00BD5FD5">
        <w:rPr>
          <w:rFonts w:asciiTheme="majorHAnsi" w:hAnsiTheme="majorHAnsi"/>
          <w:szCs w:val="22"/>
        </w:rPr>
        <w:t>s</w:t>
      </w:r>
      <w:r w:rsidRPr="00A11FE0">
        <w:rPr>
          <w:rFonts w:asciiTheme="majorHAnsi" w:hAnsiTheme="majorHAnsi"/>
          <w:szCs w:val="22"/>
        </w:rPr>
        <w:t xml:space="preserve">tav </w:t>
      </w:r>
      <w:r w:rsidR="00BD5FD5">
        <w:rPr>
          <w:rFonts w:asciiTheme="majorHAnsi" w:hAnsiTheme="majorHAnsi"/>
          <w:szCs w:val="22"/>
        </w:rPr>
        <w:t>k</w:t>
      </w:r>
      <w:r w:rsidRPr="00A11FE0">
        <w:rPr>
          <w:rFonts w:asciiTheme="majorHAnsi" w:hAnsiTheme="majorHAnsi"/>
          <w:szCs w:val="22"/>
        </w:rPr>
        <w:t>oľajového zvršku</w:t>
      </w:r>
      <w:r w:rsidR="004D7E34" w:rsidRPr="00A11FE0">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 xml:space="preserve"> trolejbusových dráh, meniarní, zastaraný vozový park, nízke percento nízkopodlažných vozidiel, nedostatočné štandardy </w:t>
      </w:r>
      <w:r w:rsidR="00BD5FD5">
        <w:rPr>
          <w:rFonts w:asciiTheme="majorHAnsi" w:hAnsiTheme="majorHAnsi"/>
          <w:szCs w:val="22"/>
        </w:rPr>
        <w:t>k</w:t>
      </w:r>
      <w:r w:rsidRPr="00A11FE0">
        <w:rPr>
          <w:rFonts w:asciiTheme="majorHAnsi" w:hAnsiTheme="majorHAnsi"/>
          <w:szCs w:val="22"/>
        </w:rPr>
        <w:t xml:space="preserve">vality </w:t>
      </w:r>
      <w:r w:rsidR="00BD5FD5">
        <w:rPr>
          <w:rFonts w:asciiTheme="majorHAnsi" w:hAnsiTheme="majorHAnsi"/>
          <w:szCs w:val="22"/>
        </w:rPr>
        <w:t>a </w:t>
      </w:r>
      <w:r w:rsidRPr="00A11FE0">
        <w:rPr>
          <w:rFonts w:asciiTheme="majorHAnsi" w:hAnsiTheme="majorHAnsi"/>
          <w:szCs w:val="22"/>
        </w:rPr>
        <w:t xml:space="preserve">dopravnej obslužnosti, chýbajúce </w:t>
      </w:r>
      <w:r w:rsidR="00BD5FD5">
        <w:rPr>
          <w:rFonts w:asciiTheme="majorHAnsi" w:hAnsiTheme="majorHAnsi"/>
          <w:szCs w:val="22"/>
        </w:rPr>
        <w:t>s</w:t>
      </w:r>
      <w:r w:rsidRPr="00A11FE0">
        <w:rPr>
          <w:rFonts w:asciiTheme="majorHAnsi" w:hAnsiTheme="majorHAnsi"/>
          <w:szCs w:val="22"/>
        </w:rPr>
        <w:t xml:space="preserve">amostatné vyhradené pruhy pre MHD </w:t>
      </w:r>
      <w:r w:rsidR="00BD5FD5">
        <w:rPr>
          <w:rFonts w:asciiTheme="majorHAnsi" w:hAnsiTheme="majorHAnsi"/>
          <w:szCs w:val="22"/>
        </w:rPr>
        <w:t>a </w:t>
      </w:r>
      <w:r w:rsidRPr="00A11FE0">
        <w:rPr>
          <w:rFonts w:asciiTheme="majorHAnsi" w:hAnsiTheme="majorHAnsi"/>
          <w:szCs w:val="22"/>
        </w:rPr>
        <w:t xml:space="preserve">inteligentné dopravné </w:t>
      </w:r>
      <w:r w:rsidR="00BD5FD5">
        <w:rPr>
          <w:rFonts w:asciiTheme="majorHAnsi" w:hAnsiTheme="majorHAnsi"/>
          <w:szCs w:val="22"/>
        </w:rPr>
        <w:t>s</w:t>
      </w:r>
      <w:r w:rsidRPr="00A11FE0">
        <w:rPr>
          <w:rFonts w:asciiTheme="majorHAnsi" w:hAnsiTheme="majorHAnsi"/>
          <w:szCs w:val="22"/>
        </w:rPr>
        <w:t>ystémy.</w:t>
      </w:r>
      <w:r w:rsidR="00616BE3" w:rsidRPr="00616BE3">
        <w:rPr>
          <w:rFonts w:asciiTheme="majorHAnsi" w:hAnsiTheme="majorHAnsi" w:cstheme="minorBidi"/>
          <w:szCs w:val="22"/>
        </w:rPr>
        <w:t xml:space="preserve"> </w:t>
      </w:r>
      <w:r w:rsidR="00616BE3" w:rsidRPr="00616BE3">
        <w:rPr>
          <w:rFonts w:asciiTheme="majorHAnsi" w:hAnsiTheme="majorHAnsi"/>
          <w:szCs w:val="22"/>
        </w:rPr>
        <w:t>Zastaranosť autobusovej MHD má kvôli vysokým emisiám PM a NOx podiel na nevyhovujúcej kvalite ovzdušia</w:t>
      </w:r>
      <w:r w:rsidR="00CA5132">
        <w:rPr>
          <w:rFonts w:asciiTheme="majorHAnsi" w:hAnsiTheme="majorHAnsi"/>
          <w:szCs w:val="22"/>
        </w:rPr>
        <w:t>,</w:t>
      </w:r>
      <w:r w:rsidR="00616BE3" w:rsidRPr="00616BE3">
        <w:rPr>
          <w:rFonts w:asciiTheme="majorHAnsi" w:hAnsiTheme="majorHAnsi"/>
          <w:szCs w:val="22"/>
        </w:rPr>
        <w:t xml:space="preserve"> predovšetkým v mestách s riadenou kvalitou ovzdušia.</w:t>
      </w:r>
    </w:p>
    <w:p w:rsidR="00942363" w:rsidRPr="00616BE3" w:rsidRDefault="00942363" w:rsidP="00616BE3">
      <w:pPr>
        <w:rPr>
          <w:rFonts w:asciiTheme="majorHAnsi" w:hAnsiTheme="majorHAnsi"/>
          <w:szCs w:val="22"/>
        </w:rPr>
      </w:pPr>
      <w:r w:rsidRPr="00942363">
        <w:rPr>
          <w:rFonts w:asciiTheme="majorHAnsi" w:hAnsiTheme="majorHAnsi"/>
          <w:szCs w:val="22"/>
        </w:rPr>
        <w:t>SR pripravuje</w:t>
      </w:r>
      <w:r w:rsidR="00352ED7">
        <w:rPr>
          <w:rFonts w:asciiTheme="majorHAnsi" w:hAnsiTheme="majorHAnsi"/>
          <w:szCs w:val="22"/>
        </w:rPr>
        <w:t xml:space="preserve"> na úrovni územnej samosprávy</w:t>
      </w:r>
      <w:r w:rsidRPr="00942363">
        <w:rPr>
          <w:rFonts w:asciiTheme="majorHAnsi" w:hAnsiTheme="majorHAnsi"/>
          <w:szCs w:val="22"/>
        </w:rPr>
        <w:t xml:space="preserve"> tzv. generely dopravy najvýznamnejších mestských aglomerácií s cieľom ekologizácie mestskej dopravy a zabezpečenia jej udržateľného rozvoja. Počas vypracovania generelov dopravy bude dôraz kladený taktiež na zabezpečenie prepojenia plánov udržateľnej mestskej mobility s</w:t>
      </w:r>
      <w:r w:rsidR="00352ED7">
        <w:rPr>
          <w:rFonts w:asciiTheme="majorHAnsi" w:hAnsiTheme="majorHAnsi"/>
          <w:szCs w:val="22"/>
        </w:rPr>
        <w:t> existujúcimi programami a</w:t>
      </w:r>
      <w:r w:rsidR="00D31327">
        <w:rPr>
          <w:rFonts w:asciiTheme="majorHAnsi" w:hAnsiTheme="majorHAnsi"/>
          <w:szCs w:val="22"/>
        </w:rPr>
        <w:t> </w:t>
      </w:r>
      <w:r w:rsidRPr="00942363">
        <w:rPr>
          <w:rFonts w:asciiTheme="majorHAnsi" w:hAnsiTheme="majorHAnsi"/>
          <w:szCs w:val="22"/>
        </w:rPr>
        <w:t>plánmi v oblasti kvality ovzdušia a prijímania protihlukových opatrení</w:t>
      </w:r>
      <w:r w:rsidR="00490499">
        <w:rPr>
          <w:rStyle w:val="Odkaznapoznmkupodiarou"/>
          <w:rFonts w:asciiTheme="majorHAnsi" w:hAnsiTheme="majorHAnsi"/>
          <w:szCs w:val="22"/>
        </w:rPr>
        <w:footnoteReference w:id="94"/>
      </w:r>
      <w:r w:rsidR="00490499">
        <w:rPr>
          <w:rFonts w:asciiTheme="majorHAnsi" w:hAnsiTheme="majorHAnsi"/>
          <w:szCs w:val="22"/>
        </w:rPr>
        <w:t>.</w:t>
      </w:r>
    </w:p>
    <w:p w:rsidR="001B6C78" w:rsidRPr="00A11FE0" w:rsidRDefault="001B6C78" w:rsidP="0059577C">
      <w:pPr>
        <w:pStyle w:val="Nadpis5"/>
        <w:numPr>
          <w:ilvl w:val="4"/>
          <w:numId w:val="2"/>
        </w:numPr>
        <w:ind w:left="1292"/>
      </w:pPr>
      <w:r w:rsidRPr="00A11FE0">
        <w:t>Nemotorová doprava</w:t>
      </w:r>
    </w:p>
    <w:p w:rsidR="0076554A" w:rsidRPr="0076554A" w:rsidRDefault="001B6C78" w:rsidP="0076554A">
      <w:pPr>
        <w:rPr>
          <w:rFonts w:asciiTheme="majorHAnsi" w:hAnsiTheme="majorHAnsi"/>
          <w:szCs w:val="22"/>
        </w:rPr>
      </w:pPr>
      <w:r w:rsidRPr="00A11FE0">
        <w:rPr>
          <w:rFonts w:asciiTheme="majorHAnsi" w:hAnsiTheme="majorHAnsi"/>
          <w:szCs w:val="22"/>
        </w:rPr>
        <w:t>V doterajšom období bolo v </w:t>
      </w:r>
      <w:r w:rsidR="00BD5FD5">
        <w:rPr>
          <w:rFonts w:asciiTheme="majorHAnsi" w:hAnsiTheme="majorHAnsi"/>
          <w:szCs w:val="22"/>
        </w:rPr>
        <w:t>S</w:t>
      </w:r>
      <w:r w:rsidRPr="00A11FE0">
        <w:rPr>
          <w:rFonts w:asciiTheme="majorHAnsi" w:hAnsiTheme="majorHAnsi"/>
          <w:szCs w:val="22"/>
        </w:rPr>
        <w:t xml:space="preserve">R málo pozornosti </w:t>
      </w:r>
      <w:r w:rsidR="004D7E34" w:rsidRPr="00A11FE0">
        <w:rPr>
          <w:rFonts w:asciiTheme="majorHAnsi" w:hAnsiTheme="majorHAnsi"/>
          <w:szCs w:val="22"/>
        </w:rPr>
        <w:t xml:space="preserve">venovanej </w:t>
      </w:r>
      <w:r w:rsidRPr="00A11FE0">
        <w:rPr>
          <w:rFonts w:asciiTheme="majorHAnsi" w:hAnsiTheme="majorHAnsi"/>
          <w:szCs w:val="22"/>
        </w:rPr>
        <w:t xml:space="preserve">nemotorovým formám dopravy, najmä cyklistickej </w:t>
      </w:r>
      <w:r w:rsidR="00BD5FD5">
        <w:rPr>
          <w:rFonts w:asciiTheme="majorHAnsi" w:hAnsiTheme="majorHAnsi"/>
          <w:szCs w:val="22"/>
        </w:rPr>
        <w:t>a </w:t>
      </w:r>
      <w:r w:rsidRPr="00A11FE0">
        <w:rPr>
          <w:rFonts w:asciiTheme="majorHAnsi" w:hAnsiTheme="majorHAnsi"/>
          <w:szCs w:val="22"/>
        </w:rPr>
        <w:t xml:space="preserve">pešej doprave. </w:t>
      </w:r>
      <w:r w:rsidR="0076554A" w:rsidRPr="0076554A">
        <w:rPr>
          <w:rFonts w:asciiTheme="majorHAnsi" w:hAnsiTheme="majorHAnsi"/>
          <w:szCs w:val="22"/>
        </w:rPr>
        <w:t>Na základe Národnej stratégie rozvoja cyklistickej dopravy a cykloturistiky v SR</w:t>
      </w:r>
      <w:r w:rsidR="009716D4">
        <w:rPr>
          <w:rStyle w:val="Odkaznapoznmkupodiarou"/>
          <w:rFonts w:asciiTheme="majorHAnsi" w:hAnsiTheme="majorHAnsi"/>
          <w:szCs w:val="22"/>
        </w:rPr>
        <w:footnoteReference w:id="95"/>
      </w:r>
      <w:r w:rsidR="0076554A" w:rsidRPr="0076554A">
        <w:rPr>
          <w:rFonts w:asciiTheme="majorHAnsi" w:hAnsiTheme="majorHAnsi"/>
          <w:szCs w:val="22"/>
        </w:rPr>
        <w:t xml:space="preserve"> sú hlavné dôvody podpory rozvoja tohto druhu dopravy: ekonomické, ekologické, zdravotné a sociálne. Hoci v</w:t>
      </w:r>
      <w:r w:rsidR="009716D4">
        <w:rPr>
          <w:rFonts w:asciiTheme="majorHAnsi" w:hAnsiTheme="majorHAnsi"/>
          <w:szCs w:val="22"/>
        </w:rPr>
        <w:t> </w:t>
      </w:r>
      <w:r w:rsidR="0076554A" w:rsidRPr="0076554A">
        <w:rPr>
          <w:rFonts w:asciiTheme="majorHAnsi" w:hAnsiTheme="majorHAnsi"/>
          <w:szCs w:val="22"/>
        </w:rPr>
        <w:t xml:space="preserve">oblasti cykloturistiky existuje pomerne rozsiahla sieť </w:t>
      </w:r>
      <w:r w:rsidR="0076554A">
        <w:rPr>
          <w:rFonts w:asciiTheme="majorHAnsi" w:hAnsiTheme="majorHAnsi"/>
          <w:szCs w:val="22"/>
        </w:rPr>
        <w:t>trás</w:t>
      </w:r>
      <w:r w:rsidR="0076554A" w:rsidRPr="0076554A">
        <w:rPr>
          <w:rFonts w:asciiTheme="majorHAnsi" w:hAnsiTheme="majorHAnsi"/>
          <w:szCs w:val="22"/>
        </w:rPr>
        <w:t xml:space="preserve"> prevyšujúca 10 tis. km prevažne na existujúcej cestnej sieti, využívanie bicykla na bežné dopravné funkcie zďaleka nedosahuje svoj potenciál. Dĺžka cyklistických komunikácií v</w:t>
      </w:r>
      <w:r w:rsidR="009716D4">
        <w:rPr>
          <w:rFonts w:asciiTheme="majorHAnsi" w:hAnsiTheme="majorHAnsi"/>
          <w:szCs w:val="22"/>
        </w:rPr>
        <w:t> </w:t>
      </w:r>
      <w:r w:rsidR="0076554A" w:rsidRPr="0076554A">
        <w:rPr>
          <w:rFonts w:asciiTheme="majorHAnsi" w:hAnsiTheme="majorHAnsi"/>
          <w:szCs w:val="22"/>
        </w:rPr>
        <w:t>mestách je nedostatočná, pohybuje sa v</w:t>
      </w:r>
      <w:r w:rsidR="009716D4">
        <w:rPr>
          <w:rFonts w:asciiTheme="majorHAnsi" w:hAnsiTheme="majorHAnsi"/>
          <w:szCs w:val="22"/>
        </w:rPr>
        <w:t> </w:t>
      </w:r>
      <w:r w:rsidR="0076554A" w:rsidRPr="0076554A">
        <w:rPr>
          <w:rFonts w:asciiTheme="majorHAnsi" w:hAnsiTheme="majorHAnsi"/>
          <w:szCs w:val="22"/>
        </w:rPr>
        <w:t>rádoch jednotiek a</w:t>
      </w:r>
      <w:r w:rsidR="009716D4">
        <w:rPr>
          <w:rFonts w:asciiTheme="majorHAnsi" w:hAnsiTheme="majorHAnsi"/>
          <w:szCs w:val="22"/>
        </w:rPr>
        <w:t> </w:t>
      </w:r>
      <w:r w:rsidR="0076554A" w:rsidRPr="0076554A">
        <w:rPr>
          <w:rFonts w:asciiTheme="majorHAnsi" w:hAnsiTheme="majorHAnsi"/>
          <w:szCs w:val="22"/>
        </w:rPr>
        <w:t>desiatok kilometrov, jednotlivé cyklotrasy sú často neprepojené a</w:t>
      </w:r>
      <w:r w:rsidR="009716D4">
        <w:rPr>
          <w:rFonts w:asciiTheme="majorHAnsi" w:hAnsiTheme="majorHAnsi"/>
          <w:szCs w:val="22"/>
        </w:rPr>
        <w:t> </w:t>
      </w:r>
      <w:r w:rsidR="0076554A" w:rsidRPr="0076554A">
        <w:rPr>
          <w:rFonts w:asciiTheme="majorHAnsi" w:hAnsiTheme="majorHAnsi"/>
          <w:szCs w:val="22"/>
        </w:rPr>
        <w:t>s</w:t>
      </w:r>
      <w:r w:rsidR="009716D4">
        <w:rPr>
          <w:rFonts w:asciiTheme="majorHAnsi" w:hAnsiTheme="majorHAnsi"/>
          <w:szCs w:val="22"/>
        </w:rPr>
        <w:t> </w:t>
      </w:r>
      <w:r w:rsidR="0076554A" w:rsidRPr="0076554A">
        <w:rPr>
          <w:rFonts w:asciiTheme="majorHAnsi" w:hAnsiTheme="majorHAnsi"/>
          <w:szCs w:val="22"/>
        </w:rPr>
        <w:t>častými prerušeniami. Prioritou v</w:t>
      </w:r>
      <w:r w:rsidR="009716D4">
        <w:rPr>
          <w:rFonts w:asciiTheme="majorHAnsi" w:hAnsiTheme="majorHAnsi"/>
          <w:szCs w:val="22"/>
        </w:rPr>
        <w:t> </w:t>
      </w:r>
      <w:r w:rsidR="0076554A" w:rsidRPr="0076554A">
        <w:rPr>
          <w:rFonts w:asciiTheme="majorHAnsi" w:hAnsiTheme="majorHAnsi"/>
          <w:szCs w:val="22"/>
        </w:rPr>
        <w:t>oblasti nemotorovej dopravy bude podpora budovania cyklistických komunikácií a</w:t>
      </w:r>
      <w:r w:rsidR="009716D4">
        <w:rPr>
          <w:rFonts w:asciiTheme="majorHAnsi" w:hAnsiTheme="majorHAnsi"/>
          <w:szCs w:val="22"/>
        </w:rPr>
        <w:t> </w:t>
      </w:r>
      <w:r w:rsidR="0076554A" w:rsidRPr="0076554A">
        <w:rPr>
          <w:rFonts w:asciiTheme="majorHAnsi" w:hAnsiTheme="majorHAnsi"/>
          <w:szCs w:val="22"/>
        </w:rPr>
        <w:t>doplnkovej infraštruktúry</w:t>
      </w:r>
      <w:r w:rsidR="00CA5132">
        <w:rPr>
          <w:rFonts w:asciiTheme="majorHAnsi" w:hAnsiTheme="majorHAnsi"/>
          <w:szCs w:val="22"/>
        </w:rPr>
        <w:t>,</w:t>
      </w:r>
      <w:r w:rsidR="0076554A" w:rsidRPr="0076554A">
        <w:rPr>
          <w:rFonts w:asciiTheme="majorHAnsi" w:hAnsiTheme="majorHAnsi"/>
          <w:szCs w:val="22"/>
        </w:rPr>
        <w:t xml:space="preserve"> stimulujúcej k</w:t>
      </w:r>
      <w:r w:rsidR="009716D4">
        <w:rPr>
          <w:rFonts w:asciiTheme="majorHAnsi" w:hAnsiTheme="majorHAnsi"/>
          <w:szCs w:val="22"/>
        </w:rPr>
        <w:t> </w:t>
      </w:r>
      <w:r w:rsidR="0076554A" w:rsidRPr="0076554A">
        <w:rPr>
          <w:rFonts w:asciiTheme="majorHAnsi" w:hAnsiTheme="majorHAnsi"/>
          <w:szCs w:val="22"/>
        </w:rPr>
        <w:t>širšiemu využívaniu nemotorovej dopravy v</w:t>
      </w:r>
      <w:r w:rsidR="009716D4">
        <w:rPr>
          <w:rFonts w:asciiTheme="majorHAnsi" w:hAnsiTheme="majorHAnsi"/>
          <w:szCs w:val="22"/>
        </w:rPr>
        <w:t> </w:t>
      </w:r>
      <w:r w:rsidR="0076554A" w:rsidRPr="0076554A">
        <w:rPr>
          <w:rFonts w:asciiTheme="majorHAnsi" w:hAnsiTheme="majorHAnsi"/>
          <w:szCs w:val="22"/>
        </w:rPr>
        <w:t xml:space="preserve">urbanizovaných územiach, podpora zabezpečovania intermodality (vzájomného prepojenia </w:t>
      </w:r>
      <w:r w:rsidR="009716D4">
        <w:rPr>
          <w:rFonts w:asciiTheme="majorHAnsi" w:hAnsiTheme="majorHAnsi"/>
          <w:szCs w:val="22"/>
        </w:rPr>
        <w:t>VOD</w:t>
      </w:r>
      <w:r w:rsidR="0076554A" w:rsidRPr="0076554A">
        <w:rPr>
          <w:rFonts w:asciiTheme="majorHAnsi" w:hAnsiTheme="majorHAnsi"/>
          <w:szCs w:val="22"/>
        </w:rPr>
        <w:t>, individuálnej automobilovej dopravy a</w:t>
      </w:r>
      <w:r w:rsidR="009716D4">
        <w:rPr>
          <w:rFonts w:asciiTheme="majorHAnsi" w:hAnsiTheme="majorHAnsi"/>
          <w:szCs w:val="22"/>
        </w:rPr>
        <w:t> </w:t>
      </w:r>
      <w:r w:rsidR="0076554A" w:rsidRPr="0076554A">
        <w:rPr>
          <w:rFonts w:asciiTheme="majorHAnsi" w:hAnsiTheme="majorHAnsi"/>
          <w:szCs w:val="22"/>
        </w:rPr>
        <w:t>cyklistickej dopravy) v</w:t>
      </w:r>
      <w:r w:rsidR="009716D4">
        <w:rPr>
          <w:rFonts w:asciiTheme="majorHAnsi" w:hAnsiTheme="majorHAnsi"/>
          <w:szCs w:val="22"/>
        </w:rPr>
        <w:t> </w:t>
      </w:r>
      <w:r w:rsidR="0076554A" w:rsidRPr="0076554A">
        <w:rPr>
          <w:rFonts w:asciiTheme="majorHAnsi" w:hAnsiTheme="majorHAnsi"/>
          <w:szCs w:val="22"/>
        </w:rPr>
        <w:t>prestupných uzloch (záchytné parkoviská, prístrešky pre bicykle), podpora výstavby prvkov a</w:t>
      </w:r>
      <w:r w:rsidR="009716D4">
        <w:rPr>
          <w:rFonts w:asciiTheme="majorHAnsi" w:hAnsiTheme="majorHAnsi"/>
          <w:szCs w:val="22"/>
        </w:rPr>
        <w:t> </w:t>
      </w:r>
      <w:r w:rsidR="0076554A" w:rsidRPr="0076554A">
        <w:rPr>
          <w:rFonts w:asciiTheme="majorHAnsi" w:hAnsiTheme="majorHAnsi"/>
          <w:szCs w:val="22"/>
        </w:rPr>
        <w:t>zón upokojenia dopravy, ako aj bezpečného oddelenia motorovej a</w:t>
      </w:r>
      <w:r w:rsidR="009716D4">
        <w:rPr>
          <w:rFonts w:asciiTheme="majorHAnsi" w:hAnsiTheme="majorHAnsi"/>
          <w:szCs w:val="22"/>
        </w:rPr>
        <w:t> </w:t>
      </w:r>
      <w:r w:rsidR="0076554A" w:rsidRPr="0076554A">
        <w:rPr>
          <w:rFonts w:asciiTheme="majorHAnsi" w:hAnsiTheme="majorHAnsi"/>
          <w:szCs w:val="22"/>
        </w:rPr>
        <w:t>nemotorovej dopravy</w:t>
      </w:r>
      <w:r w:rsidR="00CA5132">
        <w:rPr>
          <w:rFonts w:asciiTheme="majorHAnsi" w:hAnsiTheme="majorHAnsi"/>
          <w:szCs w:val="22"/>
        </w:rPr>
        <w:t>,</w:t>
      </w:r>
      <w:r w:rsidR="0076554A" w:rsidRPr="0076554A">
        <w:rPr>
          <w:rFonts w:asciiTheme="majorHAnsi" w:hAnsiTheme="majorHAnsi"/>
          <w:szCs w:val="22"/>
        </w:rPr>
        <w:t xml:space="preserve"> najmä v</w:t>
      </w:r>
      <w:r w:rsidR="009716D4">
        <w:rPr>
          <w:rFonts w:asciiTheme="majorHAnsi" w:hAnsiTheme="majorHAnsi"/>
          <w:szCs w:val="22"/>
        </w:rPr>
        <w:t> </w:t>
      </w:r>
      <w:r w:rsidR="0076554A" w:rsidRPr="0076554A">
        <w:rPr>
          <w:rFonts w:asciiTheme="majorHAnsi" w:hAnsiTheme="majorHAnsi"/>
          <w:szCs w:val="22"/>
        </w:rPr>
        <w:t>intravilánoch a</w:t>
      </w:r>
      <w:r w:rsidR="009716D4">
        <w:rPr>
          <w:rFonts w:asciiTheme="majorHAnsi" w:hAnsiTheme="majorHAnsi"/>
          <w:szCs w:val="22"/>
        </w:rPr>
        <w:t> </w:t>
      </w:r>
      <w:r w:rsidR="0076554A" w:rsidRPr="0076554A">
        <w:rPr>
          <w:rFonts w:asciiTheme="majorHAnsi" w:hAnsiTheme="majorHAnsi"/>
          <w:szCs w:val="22"/>
        </w:rPr>
        <w:t>extravilánoch s</w:t>
      </w:r>
      <w:r w:rsidR="009716D4">
        <w:rPr>
          <w:rFonts w:asciiTheme="majorHAnsi" w:hAnsiTheme="majorHAnsi"/>
          <w:szCs w:val="22"/>
        </w:rPr>
        <w:t> </w:t>
      </w:r>
      <w:r w:rsidR="0076554A" w:rsidRPr="0076554A">
        <w:rPr>
          <w:rFonts w:asciiTheme="majorHAnsi" w:hAnsiTheme="majorHAnsi"/>
          <w:szCs w:val="22"/>
        </w:rPr>
        <w:t>dôrazom na komunikácie s</w:t>
      </w:r>
      <w:r w:rsidR="009716D4">
        <w:rPr>
          <w:rFonts w:asciiTheme="majorHAnsi" w:hAnsiTheme="majorHAnsi"/>
          <w:szCs w:val="22"/>
        </w:rPr>
        <w:t> </w:t>
      </w:r>
      <w:r w:rsidR="0076554A" w:rsidRPr="0076554A">
        <w:rPr>
          <w:rFonts w:asciiTheme="majorHAnsi" w:hAnsiTheme="majorHAnsi"/>
          <w:szCs w:val="22"/>
        </w:rPr>
        <w:t>vysokým podielom zraniteľných účastníkov premávky.</w:t>
      </w:r>
    </w:p>
    <w:p w:rsidR="00996677" w:rsidRPr="00A11FE0" w:rsidRDefault="00996677" w:rsidP="0059577C">
      <w:pPr>
        <w:pStyle w:val="Nadpis5"/>
        <w:numPr>
          <w:ilvl w:val="4"/>
          <w:numId w:val="2"/>
        </w:numPr>
        <w:ind w:left="1292"/>
      </w:pPr>
      <w:bookmarkStart w:id="184" w:name="_Toc372447913"/>
      <w:r w:rsidRPr="00A11FE0">
        <w:lastRenderedPageBreak/>
        <w:t xml:space="preserve">Územná </w:t>
      </w:r>
      <w:r w:rsidR="00BD5FD5">
        <w:t>k</w:t>
      </w:r>
      <w:r w:rsidRPr="00A11FE0">
        <w:t>oncentrácia</w:t>
      </w:r>
      <w:bookmarkEnd w:id="184"/>
    </w:p>
    <w:p w:rsidR="005810C3" w:rsidRPr="00A11FE0" w:rsidRDefault="00996677" w:rsidP="001407C2">
      <w:pPr>
        <w:rPr>
          <w:rFonts w:asciiTheme="majorHAnsi" w:hAnsiTheme="majorHAnsi"/>
          <w:szCs w:val="22"/>
        </w:rPr>
      </w:pPr>
      <w:r w:rsidRPr="00A11FE0">
        <w:rPr>
          <w:rFonts w:asciiTheme="majorHAnsi" w:hAnsiTheme="majorHAnsi"/>
          <w:szCs w:val="22"/>
        </w:rPr>
        <w:t xml:space="preserve">Realizácia </w:t>
      </w:r>
      <w:r w:rsidR="00BD5FD5">
        <w:rPr>
          <w:rFonts w:asciiTheme="majorHAnsi" w:hAnsiTheme="majorHAnsi"/>
          <w:szCs w:val="22"/>
        </w:rPr>
        <w:t>ak</w:t>
      </w:r>
      <w:r w:rsidRPr="00A11FE0">
        <w:rPr>
          <w:rFonts w:asciiTheme="majorHAnsi" w:hAnsiTheme="majorHAnsi"/>
          <w:szCs w:val="22"/>
        </w:rPr>
        <w:t xml:space="preserve">tivít pre rozvoj udržateľnej dopravy </w:t>
      </w:r>
      <w:r w:rsidR="00BD5FD5">
        <w:rPr>
          <w:rFonts w:asciiTheme="majorHAnsi" w:hAnsiTheme="majorHAnsi"/>
          <w:szCs w:val="22"/>
        </w:rPr>
        <w:t>s</w:t>
      </w:r>
      <w:r w:rsidRPr="00A11FE0">
        <w:rPr>
          <w:rFonts w:asciiTheme="majorHAnsi" w:hAnsiTheme="majorHAnsi"/>
          <w:szCs w:val="22"/>
        </w:rPr>
        <w:t xml:space="preserve">a územne </w:t>
      </w:r>
      <w:r w:rsidR="00BD5FD5">
        <w:rPr>
          <w:rFonts w:asciiTheme="majorHAnsi" w:hAnsiTheme="majorHAnsi"/>
          <w:szCs w:val="22"/>
        </w:rPr>
        <w:t>k</w:t>
      </w:r>
      <w:r w:rsidRPr="00A11FE0">
        <w:rPr>
          <w:rFonts w:asciiTheme="majorHAnsi" w:hAnsiTheme="majorHAnsi"/>
          <w:szCs w:val="22"/>
        </w:rPr>
        <w:t>oncentruje do viacerých priestorových geografických celkov</w:t>
      </w:r>
      <w:r w:rsidR="00CA5132">
        <w:rPr>
          <w:rFonts w:asciiTheme="majorHAnsi" w:hAnsiTheme="majorHAnsi"/>
          <w:szCs w:val="22"/>
        </w:rPr>
        <w:t>,</w:t>
      </w:r>
      <w:r w:rsidR="00B30687" w:rsidRPr="00A11FE0">
        <w:rPr>
          <w:rFonts w:asciiTheme="majorHAnsi" w:hAnsiTheme="majorHAnsi"/>
          <w:szCs w:val="22"/>
        </w:rPr>
        <w:t xml:space="preserve"> </w:t>
      </w:r>
      <w:r w:rsidRPr="00A11FE0">
        <w:rPr>
          <w:rFonts w:asciiTheme="majorHAnsi" w:hAnsiTheme="majorHAnsi"/>
          <w:szCs w:val="22"/>
        </w:rPr>
        <w:t xml:space="preserve">podľa ich významu </w:t>
      </w:r>
      <w:r w:rsidR="00BD5FD5">
        <w:rPr>
          <w:rFonts w:asciiTheme="majorHAnsi" w:hAnsiTheme="majorHAnsi"/>
          <w:szCs w:val="22"/>
        </w:rPr>
        <w:t>a </w:t>
      </w:r>
      <w:r w:rsidRPr="00A11FE0">
        <w:rPr>
          <w:rFonts w:asciiTheme="majorHAnsi" w:hAnsiTheme="majorHAnsi"/>
          <w:szCs w:val="22"/>
        </w:rPr>
        <w:t>funkčnej účelnosti.</w:t>
      </w:r>
      <w:r w:rsidR="00742869">
        <w:rPr>
          <w:rFonts w:asciiTheme="majorHAnsi" w:hAnsiTheme="majorHAnsi"/>
          <w:szCs w:val="22"/>
        </w:rPr>
        <w:t xml:space="preserve"> </w:t>
      </w:r>
      <w:r w:rsidR="00742869" w:rsidRPr="00742869">
        <w:rPr>
          <w:rFonts w:asciiTheme="majorHAnsi" w:hAnsiTheme="majorHAnsi"/>
          <w:szCs w:val="22"/>
        </w:rPr>
        <w:t>Cieľom je budovať dopravné systémy, ktoré budú infraštruktúrne a</w:t>
      </w:r>
      <w:r w:rsidR="00D31327">
        <w:rPr>
          <w:rFonts w:asciiTheme="majorHAnsi" w:hAnsiTheme="majorHAnsi"/>
          <w:szCs w:val="22"/>
        </w:rPr>
        <w:t> </w:t>
      </w:r>
      <w:r w:rsidR="00742869" w:rsidRPr="00742869">
        <w:rPr>
          <w:rFonts w:asciiTheme="majorHAnsi" w:hAnsiTheme="majorHAnsi"/>
          <w:szCs w:val="22"/>
        </w:rPr>
        <w:t>prevádzkovo optimalizované pre príslušné funkčné celky a prispejú k udržateľnému mestskému rozvoju. Princípy smerovania zdrojov a samotná implementácia integrovaných aktivít udržateľného mestského rozvoja budú rešpektovať základné národné územno-plánovacie politiky (pozri tiež kap. 3.1.3). Z</w:t>
      </w:r>
      <w:r w:rsidR="00EE6AF8">
        <w:rPr>
          <w:rFonts w:asciiTheme="majorHAnsi" w:hAnsiTheme="majorHAnsi"/>
          <w:szCs w:val="22"/>
        </w:rPr>
        <w:t> </w:t>
      </w:r>
      <w:r w:rsidR="00742869" w:rsidRPr="00742869">
        <w:rPr>
          <w:rFonts w:asciiTheme="majorHAnsi" w:hAnsiTheme="majorHAnsi"/>
          <w:szCs w:val="22"/>
        </w:rPr>
        <w:t>K</w:t>
      </w:r>
      <w:r w:rsidR="00EE6AF8">
        <w:rPr>
          <w:rFonts w:asciiTheme="majorHAnsi" w:hAnsiTheme="majorHAnsi"/>
          <w:szCs w:val="22"/>
        </w:rPr>
        <w:t>ohézneho fondu EÚ</w:t>
      </w:r>
      <w:r w:rsidR="00742869" w:rsidRPr="00742869">
        <w:rPr>
          <w:rFonts w:asciiTheme="majorHAnsi" w:hAnsiTheme="majorHAnsi"/>
          <w:szCs w:val="22"/>
        </w:rPr>
        <w:t xml:space="preserve"> budú podporené projekty a riešenia s</w:t>
      </w:r>
      <w:r w:rsidR="00D31327">
        <w:rPr>
          <w:rFonts w:asciiTheme="majorHAnsi" w:hAnsiTheme="majorHAnsi"/>
          <w:szCs w:val="22"/>
        </w:rPr>
        <w:t> </w:t>
      </w:r>
      <w:r w:rsidR="00742869" w:rsidRPr="00742869">
        <w:rPr>
          <w:rFonts w:asciiTheme="majorHAnsi" w:hAnsiTheme="majorHAnsi"/>
          <w:szCs w:val="22"/>
        </w:rPr>
        <w:t xml:space="preserve">rozhodujúcim a systémovým vplyvom na fungovanie </w:t>
      </w:r>
      <w:r w:rsidR="00D31327">
        <w:rPr>
          <w:rFonts w:asciiTheme="majorHAnsi" w:hAnsiTheme="majorHAnsi"/>
          <w:szCs w:val="22"/>
        </w:rPr>
        <w:t>VOD</w:t>
      </w:r>
      <w:r w:rsidR="00742869" w:rsidRPr="00742869">
        <w:rPr>
          <w:rFonts w:asciiTheme="majorHAnsi" w:hAnsiTheme="majorHAnsi"/>
          <w:szCs w:val="22"/>
        </w:rPr>
        <w:t>, pričom</w:t>
      </w:r>
      <w:r w:rsidRPr="00A11FE0">
        <w:rPr>
          <w:rFonts w:asciiTheme="majorHAnsi" w:hAnsiTheme="majorHAnsi"/>
          <w:szCs w:val="22"/>
        </w:rPr>
        <w:t xml:space="preserve"> </w:t>
      </w:r>
      <w:r w:rsidR="00742869">
        <w:rPr>
          <w:rFonts w:asciiTheme="majorHAnsi" w:hAnsiTheme="majorHAnsi"/>
          <w:szCs w:val="22"/>
        </w:rPr>
        <w:t>opatrenia</w:t>
      </w:r>
      <w:r w:rsidR="001407C2" w:rsidRPr="00A11FE0">
        <w:rPr>
          <w:rFonts w:asciiTheme="majorHAnsi" w:hAnsiTheme="majorHAnsi"/>
          <w:szCs w:val="22"/>
        </w:rPr>
        <w:t xml:space="preserve"> budú realizované na celom území </w:t>
      </w:r>
      <w:r w:rsidR="00BD5FD5">
        <w:rPr>
          <w:rFonts w:asciiTheme="majorHAnsi" w:hAnsiTheme="majorHAnsi"/>
          <w:szCs w:val="22"/>
        </w:rPr>
        <w:t>S</w:t>
      </w:r>
      <w:r w:rsidR="001407C2" w:rsidRPr="00A11FE0">
        <w:rPr>
          <w:rFonts w:asciiTheme="majorHAnsi" w:hAnsiTheme="majorHAnsi"/>
          <w:szCs w:val="22"/>
        </w:rPr>
        <w:t xml:space="preserve">R. </w:t>
      </w:r>
      <w:r w:rsidR="00742869">
        <w:rPr>
          <w:rFonts w:asciiTheme="majorHAnsi" w:hAnsiTheme="majorHAnsi"/>
          <w:szCs w:val="22"/>
        </w:rPr>
        <w:t>Investície z</w:t>
      </w:r>
      <w:r w:rsidR="00D31327">
        <w:rPr>
          <w:rFonts w:asciiTheme="majorHAnsi" w:hAnsiTheme="majorHAnsi"/>
          <w:szCs w:val="22"/>
        </w:rPr>
        <w:t> </w:t>
      </w:r>
      <w:r w:rsidR="001407C2" w:rsidRPr="00A11FE0">
        <w:rPr>
          <w:rFonts w:asciiTheme="majorHAnsi" w:hAnsiTheme="majorHAnsi"/>
          <w:szCs w:val="22"/>
        </w:rPr>
        <w:t xml:space="preserve">EFRR </w:t>
      </w:r>
      <w:r w:rsidR="001407C2" w:rsidRPr="00A11FE0">
        <w:rPr>
          <w:rFonts w:asciiTheme="majorHAnsi" w:hAnsiTheme="majorHAnsi"/>
          <w:noProof/>
          <w:szCs w:val="22"/>
        </w:rPr>
        <w:t xml:space="preserve">do integrovanej, udržateľnej </w:t>
      </w:r>
      <w:r w:rsidR="00BD5FD5">
        <w:rPr>
          <w:rFonts w:asciiTheme="majorHAnsi" w:hAnsiTheme="majorHAnsi"/>
          <w:noProof/>
          <w:szCs w:val="22"/>
        </w:rPr>
        <w:t>a </w:t>
      </w:r>
      <w:r w:rsidR="001407C2" w:rsidRPr="00A11FE0">
        <w:rPr>
          <w:rFonts w:asciiTheme="majorHAnsi" w:hAnsiTheme="majorHAnsi"/>
          <w:noProof/>
          <w:szCs w:val="22"/>
        </w:rPr>
        <w:t>dostupnej mestskej mobility v</w:t>
      </w:r>
      <w:r w:rsidR="00757E32">
        <w:rPr>
          <w:rFonts w:asciiTheme="majorHAnsi" w:hAnsiTheme="majorHAnsi"/>
          <w:noProof/>
          <w:szCs w:val="22"/>
        </w:rPr>
        <w:t> </w:t>
      </w:r>
      <w:r w:rsidR="001407C2" w:rsidRPr="00A11FE0">
        <w:rPr>
          <w:rFonts w:asciiTheme="majorHAnsi" w:hAnsiTheme="majorHAnsi"/>
          <w:noProof/>
          <w:szCs w:val="22"/>
        </w:rPr>
        <w:t xml:space="preserve">mestách, mestských regiónoch </w:t>
      </w:r>
      <w:r w:rsidR="00BD5FD5">
        <w:rPr>
          <w:rFonts w:asciiTheme="majorHAnsi" w:hAnsiTheme="majorHAnsi"/>
          <w:noProof/>
          <w:szCs w:val="22"/>
        </w:rPr>
        <w:t>a </w:t>
      </w:r>
      <w:r w:rsidR="001407C2" w:rsidRPr="00A11FE0">
        <w:rPr>
          <w:rFonts w:asciiTheme="majorHAnsi" w:hAnsiTheme="majorHAnsi"/>
          <w:noProof/>
          <w:szCs w:val="22"/>
        </w:rPr>
        <w:t xml:space="preserve">metropolitných oblastiach, </w:t>
      </w:r>
      <w:r w:rsidR="00BD5FD5">
        <w:rPr>
          <w:rFonts w:asciiTheme="majorHAnsi" w:hAnsiTheme="majorHAnsi"/>
          <w:noProof/>
          <w:szCs w:val="22"/>
        </w:rPr>
        <w:t>k</w:t>
      </w:r>
      <w:r w:rsidR="001407C2" w:rsidRPr="00A11FE0">
        <w:rPr>
          <w:rFonts w:asciiTheme="majorHAnsi" w:hAnsiTheme="majorHAnsi"/>
          <w:noProof/>
          <w:szCs w:val="22"/>
        </w:rPr>
        <w:t xml:space="preserve">toré povedú </w:t>
      </w:r>
      <w:r w:rsidR="00BD5FD5">
        <w:rPr>
          <w:rFonts w:asciiTheme="majorHAnsi" w:hAnsiTheme="majorHAnsi"/>
          <w:noProof/>
          <w:szCs w:val="22"/>
        </w:rPr>
        <w:t>k </w:t>
      </w:r>
      <w:r w:rsidR="001407C2" w:rsidRPr="00A11FE0">
        <w:rPr>
          <w:rFonts w:asciiTheme="majorHAnsi" w:hAnsiTheme="majorHAnsi"/>
          <w:noProof/>
          <w:szCs w:val="22"/>
        </w:rPr>
        <w:t>nižším</w:t>
      </w:r>
      <w:r w:rsidR="009E4A61" w:rsidRPr="00A11FE0">
        <w:rPr>
          <w:rFonts w:asciiTheme="majorHAnsi" w:hAnsiTheme="majorHAnsi"/>
          <w:noProof/>
          <w:szCs w:val="22"/>
        </w:rPr>
        <w:t xml:space="preserve"> </w:t>
      </w:r>
      <w:r w:rsidR="001407C2" w:rsidRPr="00A11FE0">
        <w:rPr>
          <w:rFonts w:asciiTheme="majorHAnsi" w:hAnsiTheme="majorHAnsi"/>
          <w:noProof/>
          <w:szCs w:val="22"/>
        </w:rPr>
        <w:t xml:space="preserve">emisiám </w:t>
      </w:r>
      <w:r w:rsidR="00BD5FD5">
        <w:rPr>
          <w:rFonts w:asciiTheme="majorHAnsi" w:hAnsiTheme="majorHAnsi"/>
          <w:noProof/>
          <w:szCs w:val="22"/>
        </w:rPr>
        <w:t>s</w:t>
      </w:r>
      <w:r w:rsidR="001407C2" w:rsidRPr="00A11FE0">
        <w:rPr>
          <w:rFonts w:asciiTheme="majorHAnsi" w:hAnsiTheme="majorHAnsi"/>
          <w:noProof/>
          <w:szCs w:val="22"/>
        </w:rPr>
        <w:t>kleníkových plynov, najmä prostredníctvom plánov udržateľnej mestskej dopravy, vrátane uľahčenia využívania verejnej dopravy</w:t>
      </w:r>
      <w:r w:rsidR="00DC6BC8">
        <w:rPr>
          <w:rFonts w:asciiTheme="majorHAnsi" w:hAnsiTheme="majorHAnsi"/>
          <w:noProof/>
          <w:szCs w:val="22"/>
        </w:rPr>
        <w:t>,</w:t>
      </w:r>
      <w:r w:rsidR="001407C2" w:rsidRPr="00A11FE0">
        <w:rPr>
          <w:rFonts w:asciiTheme="majorHAnsi" w:hAnsiTheme="majorHAnsi"/>
          <w:noProof/>
          <w:szCs w:val="22"/>
        </w:rPr>
        <w:t xml:space="preserve"> </w:t>
      </w:r>
      <w:r w:rsidR="003E32B9" w:rsidRPr="00A11FE0">
        <w:rPr>
          <w:rFonts w:asciiTheme="majorHAnsi" w:hAnsiTheme="majorHAnsi"/>
          <w:noProof/>
          <w:szCs w:val="22"/>
        </w:rPr>
        <w:t xml:space="preserve">je potrebné </w:t>
      </w:r>
      <w:r w:rsidR="001407C2" w:rsidRPr="00A11FE0">
        <w:rPr>
          <w:rFonts w:asciiTheme="majorHAnsi" w:hAnsiTheme="majorHAnsi"/>
          <w:noProof/>
          <w:szCs w:val="22"/>
        </w:rPr>
        <w:t xml:space="preserve">lokalizovať predovšetkým do mestských funkčných území, centier osídlenia 1. </w:t>
      </w:r>
      <w:r w:rsidR="00BD5FD5">
        <w:rPr>
          <w:rFonts w:asciiTheme="majorHAnsi" w:hAnsiTheme="majorHAnsi"/>
          <w:noProof/>
          <w:szCs w:val="22"/>
        </w:rPr>
        <w:t>a </w:t>
      </w:r>
      <w:r w:rsidR="001407C2" w:rsidRPr="00A11FE0">
        <w:rPr>
          <w:rFonts w:asciiTheme="majorHAnsi" w:hAnsiTheme="majorHAnsi"/>
          <w:noProof/>
          <w:szCs w:val="22"/>
        </w:rPr>
        <w:t xml:space="preserve">2. </w:t>
      </w:r>
      <w:r w:rsidR="00BD5FD5">
        <w:rPr>
          <w:rFonts w:asciiTheme="majorHAnsi" w:hAnsiTheme="majorHAnsi"/>
          <w:noProof/>
          <w:szCs w:val="22"/>
        </w:rPr>
        <w:t>s</w:t>
      </w:r>
      <w:r w:rsidR="001407C2" w:rsidRPr="00A11FE0">
        <w:rPr>
          <w:rFonts w:asciiTheme="majorHAnsi" w:hAnsiTheme="majorHAnsi"/>
          <w:noProof/>
          <w:szCs w:val="22"/>
        </w:rPr>
        <w:t xml:space="preserve">kupiny, prímestských pásiem ťažísk osídlenia prvej úrovne </w:t>
      </w:r>
      <w:r w:rsidR="00BD5FD5">
        <w:rPr>
          <w:rFonts w:asciiTheme="majorHAnsi" w:hAnsiTheme="majorHAnsi"/>
          <w:noProof/>
          <w:szCs w:val="22"/>
        </w:rPr>
        <w:t>a </w:t>
      </w:r>
      <w:r w:rsidR="001407C2" w:rsidRPr="00A11FE0">
        <w:rPr>
          <w:rFonts w:asciiTheme="majorHAnsi" w:hAnsiTheme="majorHAnsi"/>
          <w:noProof/>
          <w:szCs w:val="22"/>
        </w:rPr>
        <w:t xml:space="preserve">podľa miestnych pomerov do území ťažísk osídlenia prvej </w:t>
      </w:r>
      <w:r w:rsidR="00BD5FD5">
        <w:rPr>
          <w:rFonts w:asciiTheme="majorHAnsi" w:hAnsiTheme="majorHAnsi"/>
          <w:noProof/>
          <w:szCs w:val="22"/>
        </w:rPr>
        <w:t>a</w:t>
      </w:r>
      <w:r w:rsidR="001407C2" w:rsidRPr="00A11FE0">
        <w:rPr>
          <w:rFonts w:asciiTheme="majorHAnsi" w:hAnsiTheme="majorHAnsi"/>
          <w:noProof/>
          <w:szCs w:val="22"/>
        </w:rPr>
        <w:t> druhej úrovne.</w:t>
      </w:r>
      <w:r w:rsidR="00742869">
        <w:rPr>
          <w:rFonts w:asciiTheme="majorHAnsi" w:hAnsiTheme="majorHAnsi"/>
          <w:noProof/>
          <w:szCs w:val="22"/>
        </w:rPr>
        <w:t xml:space="preserve"> </w:t>
      </w:r>
      <w:r w:rsidR="00742869" w:rsidRPr="00742869">
        <w:rPr>
          <w:rFonts w:asciiTheme="majorHAnsi" w:hAnsiTheme="majorHAnsi"/>
          <w:noProof/>
          <w:szCs w:val="22"/>
        </w:rPr>
        <w:t>S</w:t>
      </w:r>
      <w:r w:rsidR="00D31327">
        <w:rPr>
          <w:rFonts w:asciiTheme="majorHAnsi" w:hAnsiTheme="majorHAnsi"/>
          <w:noProof/>
          <w:szCs w:val="22"/>
        </w:rPr>
        <w:t> </w:t>
      </w:r>
      <w:r w:rsidR="00742869" w:rsidRPr="00742869">
        <w:rPr>
          <w:rFonts w:asciiTheme="majorHAnsi" w:hAnsiTheme="majorHAnsi"/>
          <w:noProof/>
          <w:szCs w:val="22"/>
        </w:rPr>
        <w:t xml:space="preserve">cieľom zabezpečenia synergie a komplementarity medzi fondmi </w:t>
      </w:r>
      <w:r w:rsidR="00EE6AF8">
        <w:rPr>
          <w:rFonts w:asciiTheme="majorHAnsi" w:hAnsiTheme="majorHAnsi"/>
          <w:noProof/>
          <w:szCs w:val="22"/>
        </w:rPr>
        <w:t xml:space="preserve">EÚ </w:t>
      </w:r>
      <w:r w:rsidR="00742869" w:rsidRPr="00742869">
        <w:rPr>
          <w:rFonts w:asciiTheme="majorHAnsi" w:hAnsiTheme="majorHAnsi"/>
          <w:noProof/>
          <w:szCs w:val="22"/>
        </w:rPr>
        <w:t>bude zriaden</w:t>
      </w:r>
      <w:r w:rsidR="00DC08FA">
        <w:rPr>
          <w:rFonts w:asciiTheme="majorHAnsi" w:hAnsiTheme="majorHAnsi"/>
          <w:noProof/>
          <w:szCs w:val="22"/>
        </w:rPr>
        <w:t>á</w:t>
      </w:r>
      <w:r w:rsidR="00742869" w:rsidRPr="00742869">
        <w:rPr>
          <w:rFonts w:asciiTheme="majorHAnsi" w:hAnsiTheme="majorHAnsi"/>
          <w:noProof/>
          <w:szCs w:val="22"/>
        </w:rPr>
        <w:t xml:space="preserve"> </w:t>
      </w:r>
      <w:r w:rsidR="00DC08FA">
        <w:rPr>
          <w:rFonts w:asciiTheme="majorHAnsi" w:hAnsiTheme="majorHAnsi"/>
          <w:noProof/>
          <w:szCs w:val="22"/>
        </w:rPr>
        <w:t>pracovná skupina</w:t>
      </w:r>
      <w:r w:rsidR="00742869" w:rsidRPr="00742869">
        <w:rPr>
          <w:rFonts w:asciiTheme="majorHAnsi" w:hAnsiTheme="majorHAnsi"/>
          <w:noProof/>
          <w:szCs w:val="22"/>
        </w:rPr>
        <w:t>. Jednou z je</w:t>
      </w:r>
      <w:r w:rsidR="00DC08FA">
        <w:rPr>
          <w:rFonts w:asciiTheme="majorHAnsi" w:hAnsiTheme="majorHAnsi"/>
          <w:noProof/>
          <w:szCs w:val="22"/>
        </w:rPr>
        <w:t>j</w:t>
      </w:r>
      <w:r w:rsidR="00742869" w:rsidRPr="00742869">
        <w:rPr>
          <w:rFonts w:asciiTheme="majorHAnsi" w:hAnsiTheme="majorHAnsi"/>
          <w:noProof/>
          <w:szCs w:val="22"/>
        </w:rPr>
        <w:t xml:space="preserve"> hlavných úloh bude vecné a časové zosúladenie implementácie agiend príslušných programov</w:t>
      </w:r>
      <w:r w:rsidR="00F236D1">
        <w:rPr>
          <w:rStyle w:val="Odkaznapoznmkupodiarou"/>
          <w:rFonts w:asciiTheme="majorHAnsi" w:hAnsiTheme="majorHAnsi"/>
          <w:noProof/>
          <w:szCs w:val="22"/>
        </w:rPr>
        <w:footnoteReference w:id="96"/>
      </w:r>
      <w:r w:rsidR="00742869" w:rsidRPr="00742869">
        <w:rPr>
          <w:rFonts w:asciiTheme="majorHAnsi" w:hAnsiTheme="majorHAnsi"/>
          <w:noProof/>
          <w:szCs w:val="22"/>
        </w:rPr>
        <w:t>.</w:t>
      </w:r>
      <w:r w:rsidR="009B076C">
        <w:rPr>
          <w:rFonts w:asciiTheme="majorHAnsi" w:hAnsiTheme="majorHAnsi"/>
          <w:noProof/>
          <w:szCs w:val="22"/>
        </w:rPr>
        <w:t xml:space="preserve"> </w:t>
      </w:r>
      <w:r w:rsidR="009B076C" w:rsidRPr="00FC7891">
        <w:rPr>
          <w:rFonts w:asciiTheme="majorHAnsi" w:hAnsiTheme="majorHAnsi"/>
          <w:noProof/>
          <w:szCs w:val="22"/>
        </w:rPr>
        <w:t>Časť aktivít podporovaných EFRR bude realizovaná na území mestských funkčných oblastí zadefinovaných pre opatrenia udržateľného mestského rozvoja</w:t>
      </w:r>
      <w:r w:rsidR="00EE6AF8">
        <w:rPr>
          <w:rFonts w:asciiTheme="majorHAnsi" w:hAnsiTheme="majorHAnsi"/>
          <w:noProof/>
          <w:szCs w:val="22"/>
        </w:rPr>
        <w:t>,</w:t>
      </w:r>
      <w:r w:rsidR="009B076C" w:rsidRPr="00FC7891">
        <w:rPr>
          <w:rFonts w:asciiTheme="majorHAnsi" w:hAnsiTheme="majorHAnsi"/>
          <w:noProof/>
          <w:szCs w:val="22"/>
        </w:rPr>
        <w:t xml:space="preserve"> prostredníctvom integrovaných územných investícií.</w:t>
      </w:r>
    </w:p>
    <w:p w:rsidR="00406C25" w:rsidRDefault="00406C25" w:rsidP="0059577C">
      <w:pPr>
        <w:pStyle w:val="Nadpis3"/>
        <w:numPr>
          <w:ilvl w:val="2"/>
          <w:numId w:val="2"/>
        </w:numPr>
      </w:pPr>
      <w:bookmarkStart w:id="185" w:name="_Toc373169700"/>
      <w:r w:rsidRPr="00A11FE0">
        <w:t xml:space="preserve">Rozvoj ľudského </w:t>
      </w:r>
      <w:r w:rsidR="00BD5FD5">
        <w:t>k</w:t>
      </w:r>
      <w:r w:rsidRPr="00A11FE0">
        <w:t xml:space="preserve">apitálu </w:t>
      </w:r>
      <w:r w:rsidR="00BD5FD5">
        <w:t>a</w:t>
      </w:r>
      <w:r w:rsidR="000D5B94">
        <w:t> </w:t>
      </w:r>
      <w:r w:rsidRPr="00A11FE0">
        <w:t>zlepšenie</w:t>
      </w:r>
      <w:r w:rsidR="000D5B94">
        <w:t xml:space="preserve"> </w:t>
      </w:r>
      <w:r w:rsidRPr="00A11FE0">
        <w:t>účasti na trhu práce</w:t>
      </w:r>
      <w:bookmarkEnd w:id="185"/>
    </w:p>
    <w:p w:rsidR="00406C25" w:rsidRPr="00A11FE0" w:rsidRDefault="00515BA7" w:rsidP="00406C25">
      <w:pPr>
        <w:spacing w:before="60"/>
        <w:rPr>
          <w:rFonts w:asciiTheme="majorHAnsi" w:hAnsiTheme="majorHAnsi"/>
          <w:szCs w:val="22"/>
        </w:rPr>
      </w:pPr>
      <w:r w:rsidRPr="00A11FE0">
        <w:rPr>
          <w:rFonts w:asciiTheme="majorHAnsi" w:hAnsiTheme="majorHAnsi"/>
          <w:iCs/>
          <w:szCs w:val="22"/>
        </w:rPr>
        <w:t>V</w:t>
      </w:r>
      <w:r w:rsidR="00D31327">
        <w:rPr>
          <w:rFonts w:asciiTheme="majorHAnsi" w:hAnsiTheme="majorHAnsi"/>
          <w:iCs/>
          <w:szCs w:val="22"/>
        </w:rPr>
        <w:t> </w:t>
      </w:r>
      <w:r w:rsidR="00BD5FD5">
        <w:rPr>
          <w:rFonts w:asciiTheme="majorHAnsi" w:hAnsiTheme="majorHAnsi"/>
          <w:iCs/>
          <w:szCs w:val="22"/>
        </w:rPr>
        <w:t>S</w:t>
      </w:r>
      <w:r w:rsidRPr="00A11FE0">
        <w:rPr>
          <w:rFonts w:asciiTheme="majorHAnsi" w:hAnsiTheme="majorHAnsi"/>
          <w:iCs/>
          <w:szCs w:val="22"/>
        </w:rPr>
        <w:t>R</w:t>
      </w:r>
      <w:r w:rsidR="00406C25" w:rsidRPr="00A11FE0">
        <w:rPr>
          <w:rFonts w:asciiTheme="majorHAnsi" w:hAnsiTheme="majorHAnsi"/>
          <w:iCs/>
          <w:szCs w:val="22"/>
        </w:rPr>
        <w:t xml:space="preserve"> </w:t>
      </w:r>
      <w:r w:rsidR="00BD5FD5">
        <w:rPr>
          <w:rFonts w:asciiTheme="majorHAnsi" w:hAnsiTheme="majorHAnsi"/>
          <w:iCs/>
          <w:szCs w:val="22"/>
        </w:rPr>
        <w:t>s</w:t>
      </w:r>
      <w:r w:rsidR="00406C25" w:rsidRPr="00A11FE0">
        <w:rPr>
          <w:rFonts w:asciiTheme="majorHAnsi" w:hAnsiTheme="majorHAnsi"/>
          <w:iCs/>
          <w:szCs w:val="22"/>
        </w:rPr>
        <w:t>a v</w:t>
      </w:r>
      <w:r w:rsidR="00406C25" w:rsidRPr="00A11FE0">
        <w:rPr>
          <w:rFonts w:asciiTheme="majorHAnsi" w:hAnsiTheme="majorHAnsi"/>
          <w:szCs w:val="22"/>
        </w:rPr>
        <w:t xml:space="preserve"> dôsledku hospodárskej </w:t>
      </w:r>
      <w:r w:rsidR="00BD5FD5">
        <w:rPr>
          <w:rFonts w:asciiTheme="majorHAnsi" w:hAnsiTheme="majorHAnsi"/>
          <w:szCs w:val="22"/>
        </w:rPr>
        <w:t>k</w:t>
      </w:r>
      <w:r w:rsidR="00406C25" w:rsidRPr="00A11FE0">
        <w:rPr>
          <w:rFonts w:asciiTheme="majorHAnsi" w:hAnsiTheme="majorHAnsi"/>
          <w:szCs w:val="22"/>
        </w:rPr>
        <w:t xml:space="preserve">rízy neustále prehlbuje problém nezamestnanosti, chudoby, </w:t>
      </w:r>
      <w:r w:rsidR="00BD5FD5">
        <w:rPr>
          <w:rFonts w:asciiTheme="majorHAnsi" w:hAnsiTheme="majorHAnsi"/>
          <w:szCs w:val="22"/>
        </w:rPr>
        <w:t>s</w:t>
      </w:r>
      <w:r w:rsidR="00406C25" w:rsidRPr="00A11FE0">
        <w:rPr>
          <w:rFonts w:asciiTheme="majorHAnsi" w:hAnsiTheme="majorHAnsi"/>
          <w:szCs w:val="22"/>
        </w:rPr>
        <w:t>ociálneho vylúčenia</w:t>
      </w:r>
      <w:r w:rsidR="00E2481E" w:rsidRPr="00A11FE0">
        <w:rPr>
          <w:rFonts w:asciiTheme="majorHAnsi" w:hAnsiTheme="majorHAnsi"/>
          <w:szCs w:val="22"/>
        </w:rPr>
        <w:t xml:space="preserve">, </w:t>
      </w:r>
      <w:r w:rsidR="00406C25" w:rsidRPr="00A11FE0">
        <w:rPr>
          <w:rFonts w:asciiTheme="majorHAnsi" w:hAnsiTheme="majorHAnsi"/>
          <w:szCs w:val="22"/>
        </w:rPr>
        <w:t xml:space="preserve">či celkového zníženia životnej úrovne občanov. Osoby </w:t>
      </w:r>
      <w:r w:rsidR="00BD5FD5">
        <w:rPr>
          <w:rFonts w:asciiTheme="majorHAnsi" w:hAnsiTheme="majorHAnsi"/>
          <w:szCs w:val="22"/>
        </w:rPr>
        <w:t>s </w:t>
      </w:r>
      <w:r w:rsidR="00406C25" w:rsidRPr="00A11FE0">
        <w:rPr>
          <w:rFonts w:asciiTheme="majorHAnsi" w:hAnsiTheme="majorHAnsi"/>
          <w:szCs w:val="22"/>
        </w:rPr>
        <w:t xml:space="preserve">nedostatočnými </w:t>
      </w:r>
      <w:r w:rsidR="00BD5FD5">
        <w:rPr>
          <w:rFonts w:asciiTheme="majorHAnsi" w:hAnsiTheme="majorHAnsi"/>
          <w:szCs w:val="22"/>
        </w:rPr>
        <w:t>k</w:t>
      </w:r>
      <w:r w:rsidR="00406C25" w:rsidRPr="00A11FE0">
        <w:rPr>
          <w:rFonts w:asciiTheme="majorHAnsi" w:hAnsiTheme="majorHAnsi"/>
          <w:szCs w:val="22"/>
        </w:rPr>
        <w:t xml:space="preserve">ompetenciami </w:t>
      </w:r>
      <w:r w:rsidR="00BD5FD5">
        <w:rPr>
          <w:rFonts w:asciiTheme="majorHAnsi" w:hAnsiTheme="majorHAnsi"/>
          <w:szCs w:val="22"/>
        </w:rPr>
        <w:t>a k</w:t>
      </w:r>
      <w:r w:rsidR="00406C25" w:rsidRPr="00A11FE0">
        <w:rPr>
          <w:rFonts w:asciiTheme="majorHAnsi" w:hAnsiTheme="majorHAnsi"/>
          <w:szCs w:val="22"/>
        </w:rPr>
        <w:t xml:space="preserve">valifikáciou </w:t>
      </w:r>
      <w:r w:rsidR="00BD5FD5">
        <w:rPr>
          <w:rFonts w:asciiTheme="majorHAnsi" w:hAnsiTheme="majorHAnsi"/>
          <w:szCs w:val="22"/>
        </w:rPr>
        <w:t>s</w:t>
      </w:r>
      <w:r w:rsidR="00406C25" w:rsidRPr="00A11FE0">
        <w:rPr>
          <w:rFonts w:asciiTheme="majorHAnsi" w:hAnsiTheme="majorHAnsi"/>
          <w:szCs w:val="22"/>
        </w:rPr>
        <w:t xml:space="preserve">ú najohrozenejšou </w:t>
      </w:r>
      <w:r w:rsidR="00BD5FD5">
        <w:rPr>
          <w:rFonts w:asciiTheme="majorHAnsi" w:hAnsiTheme="majorHAnsi"/>
          <w:szCs w:val="22"/>
        </w:rPr>
        <w:t>s</w:t>
      </w:r>
      <w:r w:rsidR="00406C25" w:rsidRPr="00A11FE0">
        <w:rPr>
          <w:rFonts w:asciiTheme="majorHAnsi" w:hAnsiTheme="majorHAnsi"/>
          <w:szCs w:val="22"/>
        </w:rPr>
        <w:t xml:space="preserve">kupinou na trhu práce </w:t>
      </w:r>
      <w:r w:rsidR="00BD5FD5">
        <w:rPr>
          <w:rFonts w:asciiTheme="majorHAnsi" w:hAnsiTheme="majorHAnsi"/>
          <w:szCs w:val="22"/>
        </w:rPr>
        <w:t>a </w:t>
      </w:r>
      <w:r w:rsidR="00406C25" w:rsidRPr="00A11FE0">
        <w:rPr>
          <w:rFonts w:asciiTheme="majorHAnsi" w:hAnsiTheme="majorHAnsi"/>
          <w:szCs w:val="22"/>
        </w:rPr>
        <w:t xml:space="preserve">najväčšou bariérou udržateľného rozvoja </w:t>
      </w:r>
      <w:r w:rsidR="00BD5FD5">
        <w:rPr>
          <w:rFonts w:asciiTheme="majorHAnsi" w:hAnsiTheme="majorHAnsi"/>
          <w:szCs w:val="22"/>
        </w:rPr>
        <w:t>S</w:t>
      </w:r>
      <w:r w:rsidR="0071622F" w:rsidRPr="00A11FE0">
        <w:rPr>
          <w:rFonts w:asciiTheme="majorHAnsi" w:hAnsiTheme="majorHAnsi"/>
          <w:szCs w:val="22"/>
        </w:rPr>
        <w:t>R</w:t>
      </w:r>
      <w:r w:rsidR="00406C25" w:rsidRPr="00A11FE0">
        <w:rPr>
          <w:rFonts w:asciiTheme="majorHAnsi" w:hAnsiTheme="majorHAnsi"/>
          <w:szCs w:val="22"/>
        </w:rPr>
        <w:t xml:space="preserve">. </w:t>
      </w:r>
      <w:r w:rsidR="00BD5FD5">
        <w:rPr>
          <w:rFonts w:asciiTheme="majorHAnsi" w:hAnsiTheme="majorHAnsi"/>
          <w:szCs w:val="22"/>
        </w:rPr>
        <w:t>K</w:t>
      </w:r>
      <w:r w:rsidR="00406C25" w:rsidRPr="00A11FE0">
        <w:rPr>
          <w:rFonts w:asciiTheme="majorHAnsi" w:hAnsiTheme="majorHAnsi"/>
          <w:szCs w:val="22"/>
        </w:rPr>
        <w:t xml:space="preserve">valita odborného vzdelávania </w:t>
      </w:r>
      <w:r w:rsidR="00BD5FD5">
        <w:rPr>
          <w:rFonts w:asciiTheme="majorHAnsi" w:hAnsiTheme="majorHAnsi"/>
          <w:szCs w:val="22"/>
        </w:rPr>
        <w:t>a </w:t>
      </w:r>
      <w:r w:rsidR="00406C25" w:rsidRPr="00A11FE0">
        <w:rPr>
          <w:rFonts w:asciiTheme="majorHAnsi" w:hAnsiTheme="majorHAnsi"/>
          <w:szCs w:val="22"/>
        </w:rPr>
        <w:t xml:space="preserve">prípravy nedostatočne reaguje na </w:t>
      </w:r>
      <w:r w:rsidR="00BD5FD5">
        <w:rPr>
          <w:rFonts w:asciiTheme="majorHAnsi" w:hAnsiTheme="majorHAnsi"/>
          <w:szCs w:val="22"/>
        </w:rPr>
        <w:t>ak</w:t>
      </w:r>
      <w:r w:rsidR="00406C25" w:rsidRPr="00A11FE0">
        <w:rPr>
          <w:rFonts w:asciiTheme="majorHAnsi" w:hAnsiTheme="majorHAnsi"/>
          <w:szCs w:val="22"/>
        </w:rPr>
        <w:t xml:space="preserve">tuálne potreby trhu práce </w:t>
      </w:r>
      <w:r w:rsidR="00BD5FD5">
        <w:rPr>
          <w:rFonts w:asciiTheme="majorHAnsi" w:hAnsiTheme="majorHAnsi"/>
          <w:szCs w:val="22"/>
        </w:rPr>
        <w:t>a </w:t>
      </w:r>
      <w:r w:rsidR="00406C25" w:rsidRPr="00A11FE0">
        <w:rPr>
          <w:rFonts w:asciiTheme="majorHAnsi" w:hAnsiTheme="majorHAnsi"/>
          <w:szCs w:val="22"/>
        </w:rPr>
        <w:t xml:space="preserve">nedokáže pripraviť </w:t>
      </w:r>
      <w:r w:rsidR="00BD5FD5">
        <w:rPr>
          <w:rFonts w:asciiTheme="majorHAnsi" w:hAnsiTheme="majorHAnsi"/>
          <w:szCs w:val="22"/>
        </w:rPr>
        <w:t>k</w:t>
      </w:r>
      <w:r w:rsidR="00406C25" w:rsidRPr="00A11FE0">
        <w:rPr>
          <w:rFonts w:asciiTheme="majorHAnsi" w:hAnsiTheme="majorHAnsi"/>
          <w:szCs w:val="22"/>
        </w:rPr>
        <w:t xml:space="preserve">valifikovanú pracovnú </w:t>
      </w:r>
      <w:r w:rsidR="00BD5FD5">
        <w:rPr>
          <w:rFonts w:asciiTheme="majorHAnsi" w:hAnsiTheme="majorHAnsi"/>
          <w:szCs w:val="22"/>
        </w:rPr>
        <w:t>s</w:t>
      </w:r>
      <w:r w:rsidR="00406C25" w:rsidRPr="00A11FE0">
        <w:rPr>
          <w:rFonts w:asciiTheme="majorHAnsi" w:hAnsiTheme="majorHAnsi"/>
          <w:szCs w:val="22"/>
        </w:rPr>
        <w:t>ilu v</w:t>
      </w:r>
      <w:r w:rsidR="009E30F2">
        <w:rPr>
          <w:rFonts w:asciiTheme="majorHAnsi" w:hAnsiTheme="majorHAnsi"/>
          <w:szCs w:val="22"/>
        </w:rPr>
        <w:t> </w:t>
      </w:r>
      <w:r w:rsidR="00406C25" w:rsidRPr="00A11FE0">
        <w:rPr>
          <w:rFonts w:asciiTheme="majorHAnsi" w:hAnsiTheme="majorHAnsi"/>
          <w:szCs w:val="22"/>
        </w:rPr>
        <w:t>takej</w:t>
      </w:r>
      <w:r w:rsidR="009E30F2">
        <w:rPr>
          <w:rFonts w:asciiTheme="majorHAnsi" w:hAnsiTheme="majorHAnsi"/>
          <w:szCs w:val="22"/>
        </w:rPr>
        <w:t xml:space="preserve"> </w:t>
      </w:r>
      <w:r w:rsidR="00406C25" w:rsidRPr="00A11FE0">
        <w:rPr>
          <w:rFonts w:asciiTheme="majorHAnsi" w:hAnsiTheme="majorHAnsi"/>
          <w:szCs w:val="22"/>
        </w:rPr>
        <w:t xml:space="preserve">miere, </w:t>
      </w:r>
      <w:r w:rsidR="00BD5FD5">
        <w:rPr>
          <w:rFonts w:asciiTheme="majorHAnsi" w:hAnsiTheme="majorHAnsi"/>
          <w:szCs w:val="22"/>
        </w:rPr>
        <w:t>a</w:t>
      </w:r>
      <w:r w:rsidR="00406C25" w:rsidRPr="00A11FE0">
        <w:rPr>
          <w:rFonts w:asciiTheme="majorHAnsi" w:hAnsiTheme="majorHAnsi"/>
          <w:szCs w:val="22"/>
        </w:rPr>
        <w:t xml:space="preserve">by bola </w:t>
      </w:r>
      <w:r w:rsidR="00BD5FD5">
        <w:rPr>
          <w:rFonts w:asciiTheme="majorHAnsi" w:hAnsiTheme="majorHAnsi"/>
          <w:szCs w:val="22"/>
        </w:rPr>
        <w:t>s</w:t>
      </w:r>
      <w:r w:rsidR="00406C25" w:rsidRPr="00A11FE0">
        <w:rPr>
          <w:rFonts w:asciiTheme="majorHAnsi" w:hAnsiTheme="majorHAnsi"/>
          <w:szCs w:val="22"/>
        </w:rPr>
        <w:t>chopná bezprostredne</w:t>
      </w:r>
      <w:r w:rsidR="003E0566">
        <w:rPr>
          <w:rFonts w:asciiTheme="majorHAnsi" w:hAnsiTheme="majorHAnsi"/>
          <w:szCs w:val="22"/>
        </w:rPr>
        <w:t>,</w:t>
      </w:r>
      <w:r w:rsidR="00406C25" w:rsidRPr="00A11FE0">
        <w:rPr>
          <w:rFonts w:asciiTheme="majorHAnsi" w:hAnsiTheme="majorHAnsi"/>
          <w:szCs w:val="22"/>
        </w:rPr>
        <w:t xml:space="preserve"> po ukončení štúdia</w:t>
      </w:r>
      <w:r w:rsidR="003E0566">
        <w:rPr>
          <w:rFonts w:asciiTheme="majorHAnsi" w:hAnsiTheme="majorHAnsi"/>
          <w:szCs w:val="22"/>
        </w:rPr>
        <w:t>,</w:t>
      </w:r>
      <w:r w:rsidR="00406C25" w:rsidRPr="00A11FE0">
        <w:rPr>
          <w:rFonts w:asciiTheme="majorHAnsi" w:hAnsiTheme="majorHAnsi"/>
          <w:szCs w:val="22"/>
        </w:rPr>
        <w:t xml:space="preserve"> vstúpiť do pracovného procesu.</w:t>
      </w:r>
    </w:p>
    <w:p w:rsidR="00406C25" w:rsidRPr="00A11FE0" w:rsidRDefault="00BD5FD5" w:rsidP="006C5E93">
      <w:pPr>
        <w:rPr>
          <w:rFonts w:asciiTheme="majorHAnsi" w:hAnsiTheme="majorHAnsi"/>
          <w:szCs w:val="22"/>
        </w:rPr>
      </w:pPr>
      <w:r>
        <w:rPr>
          <w:rFonts w:asciiTheme="majorHAnsi" w:hAnsiTheme="majorHAnsi"/>
          <w:szCs w:val="22"/>
        </w:rPr>
        <w:t>K</w:t>
      </w:r>
      <w:r w:rsidR="00406C25" w:rsidRPr="00A11FE0">
        <w:rPr>
          <w:rFonts w:asciiTheme="majorHAnsi" w:hAnsiTheme="majorHAnsi"/>
          <w:szCs w:val="22"/>
        </w:rPr>
        <w:t xml:space="preserve">ľúčovými výzvami pre </w:t>
      </w:r>
      <w:r>
        <w:rPr>
          <w:rFonts w:asciiTheme="majorHAnsi" w:hAnsiTheme="majorHAnsi"/>
          <w:szCs w:val="22"/>
        </w:rPr>
        <w:t>S</w:t>
      </w:r>
      <w:r w:rsidR="00515BA7" w:rsidRPr="00A11FE0">
        <w:rPr>
          <w:rFonts w:asciiTheme="majorHAnsi" w:hAnsiTheme="majorHAnsi"/>
          <w:szCs w:val="22"/>
        </w:rPr>
        <w:t xml:space="preserve">R </w:t>
      </w:r>
      <w:r w:rsidR="00406C25" w:rsidRPr="00A11FE0">
        <w:rPr>
          <w:rFonts w:asciiTheme="majorHAnsi" w:hAnsiTheme="majorHAnsi"/>
          <w:szCs w:val="22"/>
        </w:rPr>
        <w:t xml:space="preserve">v nasledujúcom období </w:t>
      </w:r>
      <w:r>
        <w:rPr>
          <w:rFonts w:asciiTheme="majorHAnsi" w:hAnsiTheme="majorHAnsi"/>
          <w:szCs w:val="22"/>
        </w:rPr>
        <w:t>s</w:t>
      </w:r>
      <w:r w:rsidR="00406C25" w:rsidRPr="00A11FE0">
        <w:rPr>
          <w:rFonts w:asciiTheme="majorHAnsi" w:hAnsiTheme="majorHAnsi"/>
          <w:szCs w:val="22"/>
        </w:rPr>
        <w:t>ú</w:t>
      </w:r>
      <w:r w:rsidR="00515BA7" w:rsidRPr="00A11FE0">
        <w:rPr>
          <w:rFonts w:asciiTheme="majorHAnsi" w:hAnsiTheme="majorHAnsi"/>
          <w:szCs w:val="22"/>
        </w:rPr>
        <w:t xml:space="preserve">: </w:t>
      </w:r>
      <w:r w:rsidR="000C134A">
        <w:rPr>
          <w:rFonts w:asciiTheme="majorHAnsi" w:hAnsiTheme="majorHAnsi"/>
          <w:szCs w:val="22"/>
        </w:rPr>
        <w:t xml:space="preserve">reštrukturalizácia systému vzdelávania v záujme </w:t>
      </w:r>
      <w:r w:rsidR="00406C25" w:rsidRPr="00A11FE0">
        <w:rPr>
          <w:rFonts w:asciiTheme="majorHAnsi" w:hAnsiTheme="majorHAnsi"/>
          <w:szCs w:val="22"/>
        </w:rPr>
        <w:t>zvýšeni</w:t>
      </w:r>
      <w:r w:rsidR="000C134A">
        <w:rPr>
          <w:rFonts w:asciiTheme="majorHAnsi" w:hAnsiTheme="majorHAnsi"/>
          <w:szCs w:val="22"/>
        </w:rPr>
        <w:t>a</w:t>
      </w:r>
      <w:r w:rsidR="00406C25" w:rsidRPr="00A11FE0">
        <w:rPr>
          <w:rFonts w:asciiTheme="majorHAnsi" w:hAnsiTheme="majorHAnsi"/>
          <w:szCs w:val="22"/>
        </w:rPr>
        <w:t xml:space="preserve"> zamestnanosti </w:t>
      </w:r>
      <w:r>
        <w:rPr>
          <w:rFonts w:asciiTheme="majorHAnsi" w:hAnsiTheme="majorHAnsi"/>
          <w:szCs w:val="22"/>
        </w:rPr>
        <w:t>a </w:t>
      </w:r>
      <w:r w:rsidR="00406C25" w:rsidRPr="00A11FE0">
        <w:rPr>
          <w:rFonts w:asciiTheme="majorHAnsi" w:hAnsiTheme="majorHAnsi"/>
          <w:szCs w:val="22"/>
        </w:rPr>
        <w:t xml:space="preserve">mobility pracovnej </w:t>
      </w:r>
      <w:r>
        <w:rPr>
          <w:rFonts w:asciiTheme="majorHAnsi" w:hAnsiTheme="majorHAnsi"/>
          <w:szCs w:val="22"/>
        </w:rPr>
        <w:t>s</w:t>
      </w:r>
      <w:r w:rsidR="00406C25" w:rsidRPr="00A11FE0">
        <w:rPr>
          <w:rFonts w:asciiTheme="majorHAnsi" w:hAnsiTheme="majorHAnsi"/>
          <w:szCs w:val="22"/>
        </w:rPr>
        <w:t>ily</w:t>
      </w:r>
      <w:r w:rsidR="00DC6BC8">
        <w:rPr>
          <w:rFonts w:asciiTheme="majorHAnsi" w:hAnsiTheme="majorHAnsi"/>
          <w:szCs w:val="22"/>
        </w:rPr>
        <w:t>,</w:t>
      </w:r>
      <w:r w:rsidR="00515BA7" w:rsidRPr="00A11FE0">
        <w:rPr>
          <w:rFonts w:asciiTheme="majorHAnsi" w:hAnsiTheme="majorHAnsi"/>
          <w:szCs w:val="22"/>
        </w:rPr>
        <w:t xml:space="preserve"> </w:t>
      </w:r>
      <w:r>
        <w:rPr>
          <w:rFonts w:asciiTheme="majorHAnsi" w:hAnsiTheme="majorHAnsi"/>
          <w:szCs w:val="22"/>
        </w:rPr>
        <w:t>ak</w:t>
      </w:r>
      <w:r w:rsidR="00406C25" w:rsidRPr="00A11FE0">
        <w:rPr>
          <w:rFonts w:asciiTheme="majorHAnsi" w:hAnsiTheme="majorHAnsi"/>
          <w:szCs w:val="22"/>
        </w:rPr>
        <w:t>tivizáci</w:t>
      </w:r>
      <w:r w:rsidR="003E0566">
        <w:rPr>
          <w:rFonts w:asciiTheme="majorHAnsi" w:hAnsiTheme="majorHAnsi"/>
          <w:szCs w:val="22"/>
        </w:rPr>
        <w:t>a</w:t>
      </w:r>
      <w:r w:rsidR="00406C25" w:rsidRPr="00A11FE0">
        <w:rPr>
          <w:rFonts w:asciiTheme="majorHAnsi" w:hAnsiTheme="majorHAnsi"/>
          <w:szCs w:val="22"/>
        </w:rPr>
        <w:t xml:space="preserve"> ľudí ohrozených chudobou </w:t>
      </w:r>
      <w:r>
        <w:rPr>
          <w:rFonts w:asciiTheme="majorHAnsi" w:hAnsiTheme="majorHAnsi"/>
          <w:szCs w:val="22"/>
        </w:rPr>
        <w:t>a s</w:t>
      </w:r>
      <w:r w:rsidR="00406C25" w:rsidRPr="00A11FE0">
        <w:rPr>
          <w:rFonts w:asciiTheme="majorHAnsi" w:hAnsiTheme="majorHAnsi"/>
          <w:szCs w:val="22"/>
        </w:rPr>
        <w:t>ociálnym vylúčením za účelom ich začlenenia</w:t>
      </w:r>
      <w:r w:rsidR="00DC6BC8">
        <w:rPr>
          <w:rFonts w:asciiTheme="majorHAnsi" w:hAnsiTheme="majorHAnsi"/>
          <w:szCs w:val="22"/>
        </w:rPr>
        <w:t>,</w:t>
      </w:r>
      <w:r w:rsidR="00406C25" w:rsidRPr="00A11FE0">
        <w:rPr>
          <w:rFonts w:asciiTheme="majorHAnsi" w:hAnsiTheme="majorHAnsi"/>
          <w:szCs w:val="22"/>
        </w:rPr>
        <w:t xml:space="preserve"> deinštitucionalizácia </w:t>
      </w:r>
      <w:r>
        <w:rPr>
          <w:rFonts w:asciiTheme="majorHAnsi" w:hAnsiTheme="majorHAnsi"/>
          <w:szCs w:val="22"/>
        </w:rPr>
        <w:t>s</w:t>
      </w:r>
      <w:r w:rsidR="00406C25" w:rsidRPr="00A11FE0">
        <w:rPr>
          <w:rFonts w:asciiTheme="majorHAnsi" w:hAnsiTheme="majorHAnsi"/>
          <w:szCs w:val="22"/>
        </w:rPr>
        <w:t xml:space="preserve">ociálnych </w:t>
      </w:r>
      <w:r>
        <w:rPr>
          <w:rFonts w:asciiTheme="majorHAnsi" w:hAnsiTheme="majorHAnsi"/>
          <w:szCs w:val="22"/>
        </w:rPr>
        <w:t>s</w:t>
      </w:r>
      <w:r w:rsidR="00406C25" w:rsidRPr="00A11FE0">
        <w:rPr>
          <w:rFonts w:asciiTheme="majorHAnsi" w:hAnsiTheme="majorHAnsi"/>
          <w:szCs w:val="22"/>
        </w:rPr>
        <w:t xml:space="preserve">lužieb </w:t>
      </w:r>
      <w:r>
        <w:rPr>
          <w:rFonts w:asciiTheme="majorHAnsi" w:hAnsiTheme="majorHAnsi"/>
          <w:szCs w:val="22"/>
        </w:rPr>
        <w:t>a s</w:t>
      </w:r>
      <w:r w:rsidR="00406C25" w:rsidRPr="00A11FE0">
        <w:rPr>
          <w:rFonts w:asciiTheme="majorHAnsi" w:hAnsiTheme="majorHAnsi"/>
          <w:szCs w:val="22"/>
        </w:rPr>
        <w:t xml:space="preserve">ociálnoprávnej ochrany detí </w:t>
      </w:r>
      <w:r>
        <w:rPr>
          <w:rFonts w:asciiTheme="majorHAnsi" w:hAnsiTheme="majorHAnsi"/>
          <w:szCs w:val="22"/>
        </w:rPr>
        <w:t>a</w:t>
      </w:r>
      <w:r w:rsidR="00A940EE">
        <w:rPr>
          <w:rFonts w:asciiTheme="majorHAnsi" w:hAnsiTheme="majorHAnsi"/>
          <w:szCs w:val="22"/>
        </w:rPr>
        <w:t xml:space="preserve"> sociálnej </w:t>
      </w:r>
      <w:r>
        <w:rPr>
          <w:rFonts w:asciiTheme="majorHAnsi" w:hAnsiTheme="majorHAnsi"/>
          <w:szCs w:val="22"/>
        </w:rPr>
        <w:t>k</w:t>
      </w:r>
      <w:r w:rsidR="00406C25" w:rsidRPr="00A11FE0">
        <w:rPr>
          <w:rFonts w:asciiTheme="majorHAnsi" w:hAnsiTheme="majorHAnsi"/>
          <w:szCs w:val="22"/>
        </w:rPr>
        <w:t>urately</w:t>
      </w:r>
      <w:r w:rsidR="008E7522">
        <w:rPr>
          <w:rFonts w:asciiTheme="majorHAnsi" w:hAnsiTheme="majorHAnsi"/>
          <w:szCs w:val="22"/>
        </w:rPr>
        <w:t>,</w:t>
      </w:r>
      <w:r w:rsidR="008E7522" w:rsidRPr="008E7522">
        <w:rPr>
          <w:rFonts w:asciiTheme="majorHAnsi" w:hAnsiTheme="majorHAnsi"/>
          <w:szCs w:val="22"/>
        </w:rPr>
        <w:t xml:space="preserve"> podpora aktívneho a zdravého starnutia vrátane dlhodobej starostlivosti</w:t>
      </w:r>
      <w:r w:rsidR="008E7522" w:rsidRPr="008E7522">
        <w:rPr>
          <w:rFonts w:asciiTheme="majorHAnsi" w:hAnsiTheme="majorHAnsi"/>
          <w:szCs w:val="22"/>
          <w:vertAlign w:val="superscript"/>
        </w:rPr>
        <w:footnoteReference w:id="97"/>
      </w:r>
      <w:r w:rsidR="008E7522" w:rsidRPr="008E7522">
        <w:rPr>
          <w:rFonts w:asciiTheme="majorHAnsi" w:hAnsiTheme="majorHAnsi"/>
          <w:szCs w:val="22"/>
        </w:rPr>
        <w:t xml:space="preserve"> </w:t>
      </w:r>
      <w:r w:rsidR="000C134A">
        <w:rPr>
          <w:rFonts w:asciiTheme="majorHAnsi" w:hAnsiTheme="majorHAnsi"/>
          <w:szCs w:val="22"/>
        </w:rPr>
        <w:t>a</w:t>
      </w:r>
      <w:r w:rsidR="00D31327">
        <w:rPr>
          <w:rFonts w:asciiTheme="majorHAnsi" w:hAnsiTheme="majorHAnsi"/>
          <w:szCs w:val="22"/>
        </w:rPr>
        <w:t> </w:t>
      </w:r>
      <w:r w:rsidR="00406C25" w:rsidRPr="00A11FE0">
        <w:rPr>
          <w:rFonts w:asciiTheme="majorHAnsi" w:hAnsiTheme="majorHAnsi"/>
          <w:szCs w:val="22"/>
        </w:rPr>
        <w:t xml:space="preserve">integrácia marginalizovaných rómskych </w:t>
      </w:r>
      <w:r>
        <w:rPr>
          <w:rFonts w:asciiTheme="majorHAnsi" w:hAnsiTheme="majorHAnsi"/>
          <w:szCs w:val="22"/>
        </w:rPr>
        <w:t>k</w:t>
      </w:r>
      <w:r w:rsidR="00406C25" w:rsidRPr="00A11FE0">
        <w:rPr>
          <w:rFonts w:asciiTheme="majorHAnsi" w:hAnsiTheme="majorHAnsi"/>
          <w:szCs w:val="22"/>
        </w:rPr>
        <w:t>omunít</w:t>
      </w:r>
      <w:r w:rsidR="003E0566">
        <w:rPr>
          <w:rFonts w:asciiTheme="majorHAnsi" w:hAnsiTheme="majorHAnsi"/>
          <w:szCs w:val="22"/>
        </w:rPr>
        <w:t xml:space="preserve"> (ďalej len „MRK“).</w:t>
      </w:r>
      <w:r w:rsidR="008E7522" w:rsidRPr="008E7522">
        <w:rPr>
          <w:rFonts w:asciiTheme="majorHAnsi" w:hAnsiTheme="majorHAnsi"/>
          <w:szCs w:val="22"/>
        </w:rPr>
        <w:t xml:space="preserve"> Ďalšou výzvou je starostlivosť o deti do 3 rokov veku (</w:t>
      </w:r>
      <w:r w:rsidR="00EE6AF8">
        <w:rPr>
          <w:rFonts w:asciiTheme="majorHAnsi" w:hAnsiTheme="majorHAnsi"/>
          <w:szCs w:val="22"/>
        </w:rPr>
        <w:t xml:space="preserve">t. j. </w:t>
      </w:r>
      <w:r w:rsidR="008E7522" w:rsidRPr="008E7522">
        <w:rPr>
          <w:rFonts w:asciiTheme="majorHAnsi" w:hAnsiTheme="majorHAnsi"/>
          <w:szCs w:val="22"/>
        </w:rPr>
        <w:t>zosúlaďovanie rodinného a pracovného života) a dostupnosť predškolského vzdelávania.</w:t>
      </w:r>
    </w:p>
    <w:p w:rsidR="00406C25" w:rsidRPr="00A11FE0" w:rsidRDefault="00406C25" w:rsidP="004663FC">
      <w:pPr>
        <w:pStyle w:val="Nadpis4"/>
        <w:numPr>
          <w:ilvl w:val="3"/>
          <w:numId w:val="2"/>
        </w:numPr>
      </w:pPr>
      <w:bookmarkStart w:id="186" w:name="_Toc373169701"/>
      <w:r w:rsidRPr="00A11FE0">
        <w:t>TC</w:t>
      </w:r>
      <w:r w:rsidR="00665324">
        <w:t xml:space="preserve"> </w:t>
      </w:r>
      <w:r w:rsidRPr="00A11FE0">
        <w:t xml:space="preserve">8: Podpora </w:t>
      </w:r>
      <w:r w:rsidR="000C245F" w:rsidRPr="00A11FE0">
        <w:t xml:space="preserve">udržateľnosti </w:t>
      </w:r>
      <w:r w:rsidR="00BD5FD5">
        <w:t>a k</w:t>
      </w:r>
      <w:r w:rsidR="000C245F" w:rsidRPr="00A11FE0">
        <w:t xml:space="preserve">vality </w:t>
      </w:r>
      <w:r w:rsidRPr="00A11FE0">
        <w:t xml:space="preserve">zamestnanosti </w:t>
      </w:r>
      <w:r w:rsidR="00BD5FD5">
        <w:t>a</w:t>
      </w:r>
      <w:r w:rsidR="009E30F2">
        <w:t> </w:t>
      </w:r>
      <w:r w:rsidRPr="00A11FE0">
        <w:t>mobility</w:t>
      </w:r>
      <w:r w:rsidR="009E30F2">
        <w:t xml:space="preserve"> </w:t>
      </w:r>
      <w:r w:rsidRPr="00A11FE0">
        <w:t xml:space="preserve">pracovnej </w:t>
      </w:r>
      <w:r w:rsidR="00BD5FD5">
        <w:t>s</w:t>
      </w:r>
      <w:r w:rsidRPr="00A11FE0">
        <w:t>ily</w:t>
      </w:r>
      <w:bookmarkEnd w:id="186"/>
    </w:p>
    <w:p w:rsidR="00406C25" w:rsidRPr="00A11FE0" w:rsidRDefault="00406C25" w:rsidP="00406C25">
      <w:pPr>
        <w:rPr>
          <w:rFonts w:asciiTheme="majorHAnsi" w:hAnsiTheme="majorHAnsi"/>
        </w:rPr>
      </w:pPr>
      <w:r w:rsidRPr="00A11FE0">
        <w:rPr>
          <w:rFonts w:asciiTheme="majorHAnsi" w:hAnsiTheme="majorHAnsi"/>
        </w:rPr>
        <w:t xml:space="preserve">Zamestnanosť </w:t>
      </w:r>
      <w:r w:rsidR="00BD5FD5">
        <w:rPr>
          <w:rFonts w:asciiTheme="majorHAnsi" w:hAnsiTheme="majorHAnsi"/>
        </w:rPr>
        <w:t>a </w:t>
      </w:r>
      <w:r w:rsidRPr="00A11FE0">
        <w:rPr>
          <w:rFonts w:asciiTheme="majorHAnsi" w:hAnsiTheme="majorHAnsi"/>
        </w:rPr>
        <w:t xml:space="preserve">mobilita pracovnej </w:t>
      </w:r>
      <w:r w:rsidR="00BD5FD5">
        <w:rPr>
          <w:rFonts w:asciiTheme="majorHAnsi" w:hAnsiTheme="majorHAnsi"/>
        </w:rPr>
        <w:t>s</w:t>
      </w:r>
      <w:r w:rsidRPr="00A11FE0">
        <w:rPr>
          <w:rFonts w:asciiTheme="majorHAnsi" w:hAnsiTheme="majorHAnsi"/>
        </w:rPr>
        <w:t xml:space="preserve">ily má </w:t>
      </w:r>
      <w:r w:rsidR="00BD5FD5">
        <w:rPr>
          <w:rFonts w:asciiTheme="majorHAnsi" w:hAnsiTheme="majorHAnsi"/>
        </w:rPr>
        <w:t>s</w:t>
      </w:r>
      <w:r w:rsidRPr="00A11FE0">
        <w:rPr>
          <w:rFonts w:asciiTheme="majorHAnsi" w:hAnsiTheme="majorHAnsi"/>
        </w:rPr>
        <w:t xml:space="preserve">ilné regionálne, </w:t>
      </w:r>
      <w:r w:rsidR="00BD5FD5">
        <w:rPr>
          <w:rFonts w:asciiTheme="majorHAnsi" w:hAnsiTheme="majorHAnsi"/>
        </w:rPr>
        <w:t>s</w:t>
      </w:r>
      <w:r w:rsidRPr="00A11FE0">
        <w:rPr>
          <w:rFonts w:asciiTheme="majorHAnsi" w:hAnsiTheme="majorHAnsi"/>
        </w:rPr>
        <w:t xml:space="preserve">ociálne, </w:t>
      </w:r>
      <w:r w:rsidR="00BD5FD5">
        <w:rPr>
          <w:rFonts w:asciiTheme="majorHAnsi" w:hAnsiTheme="majorHAnsi"/>
        </w:rPr>
        <w:t>k</w:t>
      </w:r>
      <w:r w:rsidRPr="00A11FE0">
        <w:rPr>
          <w:rFonts w:asciiTheme="majorHAnsi" w:hAnsiTheme="majorHAnsi"/>
        </w:rPr>
        <w:t xml:space="preserve">ultúrne </w:t>
      </w:r>
      <w:r w:rsidR="00BD5FD5">
        <w:rPr>
          <w:rFonts w:asciiTheme="majorHAnsi" w:hAnsiTheme="majorHAnsi"/>
        </w:rPr>
        <w:t>a </w:t>
      </w:r>
      <w:r w:rsidRPr="00A11FE0">
        <w:rPr>
          <w:rFonts w:asciiTheme="majorHAnsi" w:hAnsiTheme="majorHAnsi"/>
        </w:rPr>
        <w:t>generačné špecifiká, zakorenené v </w:t>
      </w:r>
      <w:r w:rsidR="00BD5FD5">
        <w:rPr>
          <w:rFonts w:asciiTheme="majorHAnsi" w:hAnsiTheme="majorHAnsi"/>
        </w:rPr>
        <w:t>s</w:t>
      </w:r>
      <w:r w:rsidRPr="00A11FE0">
        <w:rPr>
          <w:rFonts w:asciiTheme="majorHAnsi" w:hAnsiTheme="majorHAnsi"/>
        </w:rPr>
        <w:t xml:space="preserve">lovenskej </w:t>
      </w:r>
      <w:r w:rsidR="00BD5FD5">
        <w:rPr>
          <w:rFonts w:asciiTheme="majorHAnsi" w:hAnsiTheme="majorHAnsi"/>
        </w:rPr>
        <w:t>s</w:t>
      </w:r>
      <w:r w:rsidRPr="00A11FE0">
        <w:rPr>
          <w:rFonts w:asciiTheme="majorHAnsi" w:hAnsiTheme="majorHAnsi"/>
        </w:rPr>
        <w:t>poločnosti ešte pred rokom 1989. Vzhľadom na obrovskú regionálnu disparitu v</w:t>
      </w:r>
      <w:r w:rsidR="009E30F2">
        <w:rPr>
          <w:rFonts w:asciiTheme="majorHAnsi" w:hAnsiTheme="majorHAnsi"/>
        </w:rPr>
        <w:t> </w:t>
      </w:r>
      <w:r w:rsidRPr="00A11FE0">
        <w:rPr>
          <w:rFonts w:asciiTheme="majorHAnsi" w:hAnsiTheme="majorHAnsi"/>
        </w:rPr>
        <w:t>nezamestnanosti, dlhodobej nezamestnanosti,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j v</w:t>
      </w:r>
      <w:r w:rsidR="00285918">
        <w:rPr>
          <w:rFonts w:asciiTheme="majorHAnsi" w:hAnsiTheme="majorHAnsi"/>
        </w:rPr>
        <w:t> </w:t>
      </w:r>
      <w:r w:rsidRPr="00A11FE0">
        <w:rPr>
          <w:rFonts w:asciiTheme="majorHAnsi" w:hAnsiTheme="majorHAnsi"/>
        </w:rPr>
        <w:t>miere</w:t>
      </w:r>
      <w:r w:rsidR="00285918">
        <w:rPr>
          <w:rFonts w:asciiTheme="majorHAnsi" w:hAnsiTheme="majorHAnsi"/>
        </w:rPr>
        <w:t xml:space="preserve"> </w:t>
      </w:r>
      <w:r w:rsidRPr="00A11FE0">
        <w:rPr>
          <w:rFonts w:asciiTheme="majorHAnsi" w:hAnsiTheme="majorHAnsi"/>
        </w:rPr>
        <w:t>chudoby, je nutné (nielen z</w:t>
      </w:r>
      <w:r w:rsidR="009E30F2">
        <w:rPr>
          <w:rFonts w:asciiTheme="majorHAnsi" w:hAnsiTheme="majorHAnsi"/>
        </w:rPr>
        <w:t> </w:t>
      </w:r>
      <w:r w:rsidRPr="00A11FE0">
        <w:rPr>
          <w:rFonts w:asciiTheme="majorHAnsi" w:hAnsiTheme="majorHAnsi"/>
        </w:rPr>
        <w:t>pozície</w:t>
      </w:r>
      <w:r w:rsidR="009E30F2">
        <w:rPr>
          <w:rFonts w:asciiTheme="majorHAnsi" w:hAnsiTheme="majorHAnsi"/>
        </w:rPr>
        <w:t xml:space="preserve"> </w:t>
      </w:r>
      <w:r w:rsidRPr="00A11FE0">
        <w:rPr>
          <w:rFonts w:asciiTheme="majorHAnsi" w:hAnsiTheme="majorHAnsi"/>
        </w:rPr>
        <w:t xml:space="preserve">štátu) podporovať rozvoj </w:t>
      </w:r>
      <w:r w:rsidR="00BD5FD5">
        <w:rPr>
          <w:rFonts w:asciiTheme="majorHAnsi" w:hAnsiTheme="majorHAnsi"/>
        </w:rPr>
        <w:t>a </w:t>
      </w:r>
      <w:r w:rsidRPr="00A11FE0">
        <w:rPr>
          <w:rFonts w:asciiTheme="majorHAnsi" w:hAnsiTheme="majorHAnsi"/>
        </w:rPr>
        <w:t xml:space="preserve">fungovanie </w:t>
      </w:r>
      <w:r w:rsidR="00BD5FD5">
        <w:rPr>
          <w:rFonts w:asciiTheme="majorHAnsi" w:hAnsiTheme="majorHAnsi"/>
        </w:rPr>
        <w:t>s</w:t>
      </w:r>
      <w:r w:rsidRPr="00A11FE0">
        <w:rPr>
          <w:rFonts w:asciiTheme="majorHAnsi" w:hAnsiTheme="majorHAnsi"/>
        </w:rPr>
        <w:t xml:space="preserve">ociálnej ekonomiky. </w:t>
      </w:r>
      <w:r w:rsidR="00E2481E" w:rsidRPr="00A11FE0">
        <w:rPr>
          <w:rFonts w:asciiTheme="majorHAnsi" w:hAnsiTheme="majorHAnsi"/>
        </w:rPr>
        <w:t>V</w:t>
      </w:r>
      <w:r w:rsidR="009E30F2">
        <w:rPr>
          <w:rFonts w:asciiTheme="majorHAnsi" w:hAnsiTheme="majorHAnsi"/>
        </w:rPr>
        <w:t> </w:t>
      </w:r>
      <w:r w:rsidR="00BD5FD5">
        <w:rPr>
          <w:rFonts w:asciiTheme="majorHAnsi" w:hAnsiTheme="majorHAnsi"/>
        </w:rPr>
        <w:t>s</w:t>
      </w:r>
      <w:r w:rsidR="00E2481E" w:rsidRPr="00A11FE0">
        <w:rPr>
          <w:rFonts w:asciiTheme="majorHAnsi" w:hAnsiTheme="majorHAnsi"/>
        </w:rPr>
        <w:t>účasnosti</w:t>
      </w:r>
      <w:r w:rsidR="009E30F2">
        <w:rPr>
          <w:rFonts w:asciiTheme="majorHAnsi" w:hAnsiTheme="majorHAnsi"/>
        </w:rPr>
        <w:t xml:space="preserve"> </w:t>
      </w:r>
      <w:r w:rsidR="00BD5FD5">
        <w:rPr>
          <w:rFonts w:asciiTheme="majorHAnsi" w:hAnsiTheme="majorHAnsi"/>
        </w:rPr>
        <w:t>s</w:t>
      </w:r>
      <w:r w:rsidR="00E2481E" w:rsidRPr="00A11FE0">
        <w:rPr>
          <w:rFonts w:asciiTheme="majorHAnsi" w:hAnsiTheme="majorHAnsi"/>
        </w:rPr>
        <w:t xml:space="preserve">ú veľké </w:t>
      </w:r>
      <w:r w:rsidR="00BD5FD5">
        <w:rPr>
          <w:rFonts w:asciiTheme="majorHAnsi" w:hAnsiTheme="majorHAnsi"/>
        </w:rPr>
        <w:t>s</w:t>
      </w:r>
      <w:r w:rsidR="00E2481E" w:rsidRPr="00A11FE0">
        <w:rPr>
          <w:rFonts w:asciiTheme="majorHAnsi" w:hAnsiTheme="majorHAnsi"/>
        </w:rPr>
        <w:t xml:space="preserve">kupiny obyvateľstva reálne odrezané od trhu práce, čo </w:t>
      </w:r>
      <w:r w:rsidR="00BD5FD5">
        <w:rPr>
          <w:rFonts w:asciiTheme="majorHAnsi" w:hAnsiTheme="majorHAnsi"/>
        </w:rPr>
        <w:t>s</w:t>
      </w:r>
      <w:r w:rsidR="00E2481E" w:rsidRPr="00A11FE0">
        <w:rPr>
          <w:rFonts w:asciiTheme="majorHAnsi" w:hAnsiTheme="majorHAnsi"/>
        </w:rPr>
        <w:t>a bude b</w:t>
      </w:r>
      <w:r w:rsidRPr="00A11FE0">
        <w:rPr>
          <w:rFonts w:asciiTheme="majorHAnsi" w:hAnsiTheme="majorHAnsi"/>
        </w:rPr>
        <w:t xml:space="preserve">ez zapájania </w:t>
      </w:r>
      <w:r w:rsidR="00BD5FD5">
        <w:rPr>
          <w:rFonts w:asciiTheme="majorHAnsi" w:hAnsiTheme="majorHAnsi"/>
        </w:rPr>
        <w:t>k</w:t>
      </w:r>
      <w:r w:rsidRPr="00A11FE0">
        <w:rPr>
          <w:rFonts w:asciiTheme="majorHAnsi" w:hAnsiTheme="majorHAnsi"/>
        </w:rPr>
        <w:t xml:space="preserve">omunít </w:t>
      </w:r>
      <w:r w:rsidR="00BD5FD5">
        <w:rPr>
          <w:rFonts w:asciiTheme="majorHAnsi" w:hAnsiTheme="majorHAnsi"/>
        </w:rPr>
        <w:t>a </w:t>
      </w:r>
      <w:r w:rsidRPr="00A11FE0">
        <w:rPr>
          <w:rFonts w:asciiTheme="majorHAnsi" w:hAnsiTheme="majorHAnsi"/>
        </w:rPr>
        <w:t>rozvoja inkluzívneho trhu</w:t>
      </w:r>
      <w:r w:rsidRPr="00A11FE0">
        <w:rPr>
          <w:rStyle w:val="Odkaznapoznmkupodiarou"/>
          <w:rFonts w:asciiTheme="majorHAnsi" w:hAnsiTheme="majorHAnsi"/>
        </w:rPr>
        <w:footnoteReference w:id="98"/>
      </w:r>
      <w:r w:rsidRPr="00A11FE0">
        <w:rPr>
          <w:rFonts w:asciiTheme="majorHAnsi" w:hAnsiTheme="majorHAnsi"/>
        </w:rPr>
        <w:t xml:space="preserve"> </w:t>
      </w:r>
      <w:r w:rsidR="00E2481E" w:rsidRPr="00A11FE0">
        <w:rPr>
          <w:rFonts w:asciiTheme="majorHAnsi" w:hAnsiTheme="majorHAnsi"/>
        </w:rPr>
        <w:t xml:space="preserve">prehlbovať </w:t>
      </w:r>
      <w:r w:rsidR="00BD5FD5">
        <w:rPr>
          <w:rFonts w:asciiTheme="majorHAnsi" w:hAnsiTheme="majorHAnsi"/>
        </w:rPr>
        <w:t>a</w:t>
      </w:r>
      <w:r w:rsidR="00E2481E" w:rsidRPr="00A11FE0">
        <w:rPr>
          <w:rFonts w:asciiTheme="majorHAnsi" w:hAnsiTheme="majorHAnsi"/>
        </w:rPr>
        <w:t>j v budúcnosti</w:t>
      </w:r>
      <w:r w:rsidRPr="00A11FE0">
        <w:rPr>
          <w:rFonts w:asciiTheme="majorHAnsi" w:hAnsiTheme="majorHAnsi"/>
        </w:rPr>
        <w:t>.</w:t>
      </w:r>
      <w:r w:rsidR="00551F6B">
        <w:rPr>
          <w:rFonts w:asciiTheme="majorHAnsi" w:hAnsiTheme="majorHAnsi"/>
        </w:rPr>
        <w:t xml:space="preserve"> Je potrebné pokračovať v aktivitách sociálneho dialógu </w:t>
      </w:r>
      <w:r w:rsidR="000E1979" w:rsidRPr="000E1979">
        <w:rPr>
          <w:rFonts w:asciiTheme="majorHAnsi" w:hAnsiTheme="majorHAnsi"/>
        </w:rPr>
        <w:t>pri rozhodovaní o riešení aktuálnych ekonomických a sociálnych problémov spoločnosti a budovaní administratívnych</w:t>
      </w:r>
      <w:r w:rsidR="003E0566">
        <w:rPr>
          <w:rFonts w:asciiTheme="majorHAnsi" w:hAnsiTheme="majorHAnsi"/>
        </w:rPr>
        <w:t xml:space="preserve"> kapacít</w:t>
      </w:r>
      <w:r w:rsidR="000E1979">
        <w:rPr>
          <w:rFonts w:asciiTheme="majorHAnsi" w:hAnsiTheme="majorHAnsi"/>
        </w:rPr>
        <w:t xml:space="preserve"> </w:t>
      </w:r>
      <w:r w:rsidR="00551F6B">
        <w:rPr>
          <w:rFonts w:asciiTheme="majorHAnsi" w:hAnsiTheme="majorHAnsi"/>
        </w:rPr>
        <w:t>v oblasti sociálneho dialógu, podnikateľského prostredia a podpory zamestnanosti.</w:t>
      </w:r>
    </w:p>
    <w:p w:rsidR="00406C25" w:rsidRPr="00A11FE0" w:rsidRDefault="00BD5FD5" w:rsidP="00406C25">
      <w:pPr>
        <w:rPr>
          <w:rFonts w:asciiTheme="majorHAnsi" w:hAnsiTheme="majorHAnsi"/>
        </w:rPr>
      </w:pPr>
      <w:r>
        <w:rPr>
          <w:rFonts w:asciiTheme="majorHAnsi" w:hAnsiTheme="majorHAnsi"/>
        </w:rPr>
        <w:t>K</w:t>
      </w:r>
      <w:r w:rsidR="00406C25" w:rsidRPr="00A11FE0">
        <w:rPr>
          <w:rFonts w:asciiTheme="majorHAnsi" w:hAnsiTheme="majorHAnsi"/>
        </w:rPr>
        <w:t xml:space="preserve">ľúčové problémy trhu práce, </w:t>
      </w:r>
      <w:r>
        <w:rPr>
          <w:rFonts w:asciiTheme="majorHAnsi" w:hAnsiTheme="majorHAnsi"/>
        </w:rPr>
        <w:t>k</w:t>
      </w:r>
      <w:r w:rsidR="00406C25" w:rsidRPr="00A11FE0">
        <w:rPr>
          <w:rFonts w:asciiTheme="majorHAnsi" w:hAnsiTheme="majorHAnsi"/>
        </w:rPr>
        <w:t xml:space="preserve">torým musí </w:t>
      </w:r>
      <w:r>
        <w:rPr>
          <w:rFonts w:asciiTheme="majorHAnsi" w:hAnsiTheme="majorHAnsi"/>
        </w:rPr>
        <w:t>S</w:t>
      </w:r>
      <w:r w:rsidR="00406C25" w:rsidRPr="00A11FE0">
        <w:rPr>
          <w:rFonts w:asciiTheme="majorHAnsi" w:hAnsiTheme="majorHAnsi"/>
        </w:rPr>
        <w:t xml:space="preserve">R v nasledujúcom období čeliť </w:t>
      </w:r>
      <w:r>
        <w:rPr>
          <w:rFonts w:asciiTheme="majorHAnsi" w:hAnsiTheme="majorHAnsi"/>
        </w:rPr>
        <w:t>s</w:t>
      </w:r>
      <w:r w:rsidR="00406C25" w:rsidRPr="00A11FE0">
        <w:rPr>
          <w:rFonts w:asciiTheme="majorHAnsi" w:hAnsiTheme="majorHAnsi"/>
        </w:rPr>
        <w:t xml:space="preserve">ú: vysoká nezamestnanosť </w:t>
      </w:r>
      <w:r>
        <w:rPr>
          <w:rFonts w:asciiTheme="majorHAnsi" w:hAnsiTheme="majorHAnsi"/>
        </w:rPr>
        <w:t>a </w:t>
      </w:r>
      <w:r w:rsidR="00406C25" w:rsidRPr="00A11FE0">
        <w:rPr>
          <w:rFonts w:asciiTheme="majorHAnsi" w:hAnsiTheme="majorHAnsi"/>
        </w:rPr>
        <w:t xml:space="preserve">nízka zamestnanosť </w:t>
      </w:r>
      <w:r w:rsidR="00515BA7" w:rsidRPr="00A11FE0">
        <w:rPr>
          <w:rFonts w:asciiTheme="majorHAnsi" w:hAnsiTheme="majorHAnsi"/>
        </w:rPr>
        <w:t>(</w:t>
      </w:r>
      <w:r w:rsidR="00406C25" w:rsidRPr="00A11FE0">
        <w:rPr>
          <w:rFonts w:asciiTheme="majorHAnsi" w:hAnsiTheme="majorHAnsi"/>
        </w:rPr>
        <w:t xml:space="preserve">najmä žien, </w:t>
      </w:r>
      <w:r>
        <w:rPr>
          <w:rFonts w:asciiTheme="majorHAnsi" w:hAnsiTheme="majorHAnsi"/>
        </w:rPr>
        <w:t>s</w:t>
      </w:r>
      <w:r w:rsidR="00406C25" w:rsidRPr="00A11FE0">
        <w:rPr>
          <w:rFonts w:asciiTheme="majorHAnsi" w:hAnsiTheme="majorHAnsi"/>
        </w:rPr>
        <w:t xml:space="preserve">tarších </w:t>
      </w:r>
      <w:r>
        <w:rPr>
          <w:rFonts w:asciiTheme="majorHAnsi" w:hAnsiTheme="majorHAnsi"/>
        </w:rPr>
        <w:t>a </w:t>
      </w:r>
      <w:r w:rsidR="00406C25" w:rsidRPr="00A11FE0">
        <w:rPr>
          <w:rFonts w:asciiTheme="majorHAnsi" w:hAnsiTheme="majorHAnsi"/>
        </w:rPr>
        <w:t>nízkokvalifikovaných</w:t>
      </w:r>
      <w:r w:rsidR="00515BA7" w:rsidRPr="00A11FE0">
        <w:rPr>
          <w:rFonts w:asciiTheme="majorHAnsi" w:hAnsiTheme="majorHAnsi"/>
        </w:rPr>
        <w:t>)</w:t>
      </w:r>
      <w:r w:rsidR="0057409B">
        <w:rPr>
          <w:rFonts w:asciiTheme="majorHAnsi" w:hAnsiTheme="majorHAnsi"/>
        </w:rPr>
        <w:t>,</w:t>
      </w:r>
      <w:r w:rsidR="00406C25" w:rsidRPr="00A11FE0">
        <w:rPr>
          <w:rFonts w:asciiTheme="majorHAnsi" w:hAnsiTheme="majorHAnsi"/>
        </w:rPr>
        <w:t xml:space="preserve"> dlhodobá </w:t>
      </w:r>
      <w:r w:rsidR="00406C25" w:rsidRPr="00A11FE0">
        <w:rPr>
          <w:rFonts w:asciiTheme="majorHAnsi" w:hAnsiTheme="majorHAnsi"/>
        </w:rPr>
        <w:lastRenderedPageBreak/>
        <w:t>nezamestnanosť</w:t>
      </w:r>
      <w:r w:rsidR="0057409B">
        <w:rPr>
          <w:rFonts w:asciiTheme="majorHAnsi" w:hAnsiTheme="majorHAnsi"/>
        </w:rPr>
        <w:t>,</w:t>
      </w:r>
      <w:r w:rsidR="00406C25" w:rsidRPr="00A11FE0">
        <w:rPr>
          <w:rFonts w:asciiTheme="majorHAnsi" w:hAnsiTheme="majorHAnsi"/>
        </w:rPr>
        <w:t xml:space="preserve"> nezamestnanosť mladých ľudí</w:t>
      </w:r>
      <w:r w:rsidR="0057409B">
        <w:rPr>
          <w:rFonts w:asciiTheme="majorHAnsi" w:hAnsiTheme="majorHAnsi"/>
        </w:rPr>
        <w:t>,</w:t>
      </w:r>
      <w:r w:rsidR="00406C25" w:rsidRPr="00A11FE0">
        <w:rPr>
          <w:rFonts w:asciiTheme="majorHAnsi" w:hAnsiTheme="majorHAnsi"/>
        </w:rPr>
        <w:t xml:space="preserve"> nedostatočná účinnosť </w:t>
      </w:r>
      <w:r>
        <w:rPr>
          <w:rFonts w:asciiTheme="majorHAnsi" w:hAnsiTheme="majorHAnsi"/>
        </w:rPr>
        <w:t>a </w:t>
      </w:r>
      <w:r w:rsidR="00406C25" w:rsidRPr="00A11FE0">
        <w:rPr>
          <w:rFonts w:asciiTheme="majorHAnsi" w:hAnsiTheme="majorHAnsi"/>
        </w:rPr>
        <w:t xml:space="preserve">efektívnosť </w:t>
      </w:r>
      <w:r>
        <w:rPr>
          <w:rFonts w:asciiTheme="majorHAnsi" w:hAnsiTheme="majorHAnsi"/>
        </w:rPr>
        <w:t>ak</w:t>
      </w:r>
      <w:r w:rsidR="00406C25" w:rsidRPr="00A11FE0">
        <w:rPr>
          <w:rFonts w:asciiTheme="majorHAnsi" w:hAnsiTheme="majorHAnsi"/>
        </w:rPr>
        <w:t xml:space="preserve">tívnej politiky trhu práce </w:t>
      </w:r>
      <w:r>
        <w:rPr>
          <w:rFonts w:asciiTheme="majorHAnsi" w:hAnsiTheme="majorHAnsi"/>
        </w:rPr>
        <w:t>a </w:t>
      </w:r>
      <w:r w:rsidR="00406C25" w:rsidRPr="00A11FE0">
        <w:rPr>
          <w:rFonts w:asciiTheme="majorHAnsi" w:hAnsiTheme="majorHAnsi"/>
        </w:rPr>
        <w:t xml:space="preserve">nízka mobilita </w:t>
      </w:r>
      <w:r w:rsidR="00541A70">
        <w:rPr>
          <w:rFonts w:asciiTheme="majorHAnsi" w:hAnsiTheme="majorHAnsi"/>
        </w:rPr>
        <w:t xml:space="preserve">domácej </w:t>
      </w:r>
      <w:r w:rsidR="00406C25" w:rsidRPr="00A11FE0">
        <w:rPr>
          <w:rFonts w:asciiTheme="majorHAnsi" w:hAnsiTheme="majorHAnsi"/>
        </w:rPr>
        <w:t xml:space="preserve">pracovnej </w:t>
      </w:r>
      <w:r>
        <w:rPr>
          <w:rFonts w:asciiTheme="majorHAnsi" w:hAnsiTheme="majorHAnsi"/>
        </w:rPr>
        <w:t>s</w:t>
      </w:r>
      <w:r w:rsidR="00406C25" w:rsidRPr="00A11FE0">
        <w:rPr>
          <w:rFonts w:asciiTheme="majorHAnsi" w:hAnsiTheme="majorHAnsi"/>
        </w:rPr>
        <w:t>ily.</w:t>
      </w:r>
    </w:p>
    <w:p w:rsidR="00406C25" w:rsidRPr="00A11FE0" w:rsidRDefault="00406C25" w:rsidP="00406C25">
      <w:pPr>
        <w:rPr>
          <w:rFonts w:asciiTheme="majorHAnsi" w:hAnsiTheme="majorHAnsi"/>
        </w:rPr>
      </w:pPr>
      <w:r w:rsidRPr="00A11FE0">
        <w:rPr>
          <w:rFonts w:asciiTheme="majorHAnsi" w:hAnsiTheme="majorHAnsi"/>
        </w:rPr>
        <w:t>Je dôležité posilniť úlohu poľnohospodárstva vo vidieckej zamestnanosti</w:t>
      </w:r>
      <w:r w:rsidR="00821009" w:rsidRPr="00A11FE0">
        <w:rPr>
          <w:rFonts w:asciiTheme="majorHAnsi" w:hAnsiTheme="majorHAnsi"/>
        </w:rPr>
        <w:t xml:space="preserve">, </w:t>
      </w:r>
      <w:r w:rsidRPr="00A11FE0">
        <w:rPr>
          <w:rFonts w:asciiTheme="majorHAnsi" w:hAnsiTheme="majorHAnsi"/>
        </w:rPr>
        <w:t>zachovaním</w:t>
      </w:r>
      <w:r w:rsidR="00515BA7" w:rsidRPr="00A11FE0">
        <w:rPr>
          <w:rFonts w:asciiTheme="majorHAnsi" w:hAnsiTheme="majorHAnsi"/>
        </w:rPr>
        <w:t>/</w:t>
      </w:r>
      <w:r w:rsidRPr="00A11FE0">
        <w:rPr>
          <w:rFonts w:asciiTheme="majorHAnsi" w:hAnsiTheme="majorHAnsi"/>
        </w:rPr>
        <w:t xml:space="preserve">rozširovaním poľnohospodárstva </w:t>
      </w:r>
      <w:r w:rsidR="00BD5FD5">
        <w:rPr>
          <w:rFonts w:asciiTheme="majorHAnsi" w:hAnsiTheme="majorHAnsi"/>
        </w:rPr>
        <w:t>s </w:t>
      </w:r>
      <w:r w:rsidRPr="00A11FE0">
        <w:rPr>
          <w:rFonts w:asciiTheme="majorHAnsi" w:hAnsiTheme="majorHAnsi"/>
        </w:rPr>
        <w:t xml:space="preserve">vyššími nárokmi na objem </w:t>
      </w:r>
      <w:r w:rsidR="00BD5FD5">
        <w:rPr>
          <w:rFonts w:asciiTheme="majorHAnsi" w:hAnsiTheme="majorHAnsi"/>
        </w:rPr>
        <w:t>a k</w:t>
      </w:r>
      <w:r w:rsidRPr="00A11FE0">
        <w:rPr>
          <w:rFonts w:asciiTheme="majorHAnsi" w:hAnsiTheme="majorHAnsi"/>
        </w:rPr>
        <w:t xml:space="preserve">valitu ľudskej práce. Zároveň je žiaduce podporovať </w:t>
      </w:r>
      <w:r w:rsidR="00BD5FD5">
        <w:rPr>
          <w:rFonts w:asciiTheme="majorHAnsi" w:hAnsiTheme="majorHAnsi"/>
        </w:rPr>
        <w:t>a</w:t>
      </w:r>
      <w:r w:rsidRPr="00A11FE0">
        <w:rPr>
          <w:rFonts w:asciiTheme="majorHAnsi" w:hAnsiTheme="majorHAnsi"/>
        </w:rPr>
        <w:t>j investície do nepoľnohospodárskych činností</w:t>
      </w:r>
      <w:r w:rsidR="00D844EA">
        <w:rPr>
          <w:rFonts w:asciiTheme="majorHAnsi" w:hAnsiTheme="majorHAnsi"/>
        </w:rPr>
        <w:t xml:space="preserve"> </w:t>
      </w:r>
      <w:r w:rsidR="00D844EA" w:rsidRPr="003F0750">
        <w:rPr>
          <w:rFonts w:asciiTheme="majorHAnsi" w:hAnsiTheme="majorHAnsi"/>
        </w:rPr>
        <w:t>vo vidieckych oblastiach a</w:t>
      </w:r>
      <w:r w:rsidR="00E93336">
        <w:rPr>
          <w:rFonts w:asciiTheme="majorHAnsi" w:hAnsiTheme="majorHAnsi"/>
        </w:rPr>
        <w:t> </w:t>
      </w:r>
      <w:r w:rsidR="00D844EA" w:rsidRPr="003F0750">
        <w:rPr>
          <w:rFonts w:asciiTheme="majorHAnsi" w:hAnsiTheme="majorHAnsi"/>
        </w:rPr>
        <w:t>diverzifikáciu poľnohospodárskych</w:t>
      </w:r>
      <w:r w:rsidR="00C27AFE">
        <w:rPr>
          <w:rFonts w:asciiTheme="majorHAnsi" w:hAnsiTheme="majorHAnsi"/>
        </w:rPr>
        <w:t>, </w:t>
      </w:r>
      <w:r w:rsidR="00D844EA" w:rsidRPr="003F0750">
        <w:rPr>
          <w:rFonts w:asciiTheme="majorHAnsi" w:hAnsiTheme="majorHAnsi"/>
        </w:rPr>
        <w:t>lesohospodárskych</w:t>
      </w:r>
      <w:r w:rsidR="00C27AFE">
        <w:rPr>
          <w:rFonts w:asciiTheme="majorHAnsi" w:hAnsiTheme="majorHAnsi"/>
        </w:rPr>
        <w:t xml:space="preserve"> a </w:t>
      </w:r>
      <w:r w:rsidR="00C27AFE" w:rsidRPr="00C27AFE">
        <w:rPr>
          <w:rFonts w:asciiTheme="majorHAnsi" w:hAnsiTheme="majorHAnsi"/>
        </w:rPr>
        <w:t>akvakultúrnych</w:t>
      </w:r>
      <w:r w:rsidR="00D844EA" w:rsidRPr="003F0750">
        <w:rPr>
          <w:rFonts w:asciiTheme="majorHAnsi" w:hAnsiTheme="majorHAnsi"/>
        </w:rPr>
        <w:t xml:space="preserve"> podnikov</w:t>
      </w:r>
      <w:r w:rsidR="008F1E15">
        <w:rPr>
          <w:rFonts w:asciiTheme="majorHAnsi" w:hAnsiTheme="majorHAnsi"/>
        </w:rPr>
        <w:t>.</w:t>
      </w:r>
    </w:p>
    <w:p w:rsidR="00406C25" w:rsidRPr="00A11FE0" w:rsidRDefault="00406C25" w:rsidP="004663FC">
      <w:pPr>
        <w:pStyle w:val="Nadpis5"/>
        <w:numPr>
          <w:ilvl w:val="4"/>
          <w:numId w:val="2"/>
        </w:numPr>
        <w:ind w:left="1292"/>
      </w:pPr>
      <w:r w:rsidRPr="00A11FE0">
        <w:t xml:space="preserve">Vysoká nezamestnanosť </w:t>
      </w:r>
      <w:r w:rsidR="00BD5FD5">
        <w:t>a </w:t>
      </w:r>
      <w:r w:rsidRPr="00A11FE0">
        <w:t>nízka zamestnanosť</w:t>
      </w:r>
    </w:p>
    <w:p w:rsidR="00406C25" w:rsidRPr="00A11FE0" w:rsidRDefault="00833ED9" w:rsidP="00406C25">
      <w:pPr>
        <w:rPr>
          <w:rFonts w:asciiTheme="majorHAnsi" w:hAnsiTheme="majorHAnsi"/>
        </w:rPr>
      </w:pPr>
      <w:r>
        <w:rPr>
          <w:noProof/>
          <w:lang w:eastAsia="sk-SK"/>
        </w:rPr>
        <w:drawing>
          <wp:anchor distT="0" distB="0" distL="114300" distR="114300" simplePos="0" relativeHeight="251749376" behindDoc="0" locked="0" layoutInCell="1" allowOverlap="1" wp14:anchorId="72976524" wp14:editId="3510135C">
            <wp:simplePos x="0" y="0"/>
            <wp:positionH relativeFrom="column">
              <wp:posOffset>3133725</wp:posOffset>
            </wp:positionH>
            <wp:positionV relativeFrom="paragraph">
              <wp:posOffset>101600</wp:posOffset>
            </wp:positionV>
            <wp:extent cx="2640965" cy="2095500"/>
            <wp:effectExtent l="0" t="0" r="6985" b="0"/>
            <wp:wrapThrough wrapText="bothSides">
              <wp:wrapPolygon edited="0">
                <wp:start x="0" y="0"/>
                <wp:lineTo x="0" y="21404"/>
                <wp:lineTo x="21501" y="21404"/>
                <wp:lineTo x="21501" y="0"/>
                <wp:lineTo x="0" y="0"/>
              </wp:wrapPolygon>
            </wp:wrapThrough>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4096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6C25" w:rsidRPr="00A11FE0">
        <w:rPr>
          <w:rFonts w:asciiTheme="majorHAnsi" w:hAnsiTheme="majorHAnsi"/>
        </w:rPr>
        <w:t xml:space="preserve">Prejavom nerovnováhy na trhu práce je miera voľných pracovných miest, </w:t>
      </w:r>
      <w:r w:rsidR="00BD5FD5">
        <w:rPr>
          <w:rFonts w:asciiTheme="majorHAnsi" w:hAnsiTheme="majorHAnsi"/>
        </w:rPr>
        <w:t>k</w:t>
      </w:r>
      <w:r w:rsidR="00406C25" w:rsidRPr="00A11FE0">
        <w:rPr>
          <w:rFonts w:asciiTheme="majorHAnsi" w:hAnsiTheme="majorHAnsi"/>
        </w:rPr>
        <w:t>torá je v</w:t>
      </w:r>
      <w:r w:rsidR="009E30F2">
        <w:rPr>
          <w:rFonts w:asciiTheme="majorHAnsi" w:hAnsiTheme="majorHAnsi"/>
        </w:rPr>
        <w:t> </w:t>
      </w:r>
      <w:r w:rsidR="00BD5FD5">
        <w:rPr>
          <w:rFonts w:asciiTheme="majorHAnsi" w:hAnsiTheme="majorHAnsi"/>
        </w:rPr>
        <w:t>S</w:t>
      </w:r>
      <w:r w:rsidR="00406C25" w:rsidRPr="00A11FE0">
        <w:rPr>
          <w:rFonts w:asciiTheme="majorHAnsi" w:hAnsiTheme="majorHAnsi"/>
        </w:rPr>
        <w:t>R</w:t>
      </w:r>
      <w:r w:rsidR="009E30F2">
        <w:rPr>
          <w:rFonts w:asciiTheme="majorHAnsi" w:hAnsiTheme="majorHAnsi"/>
        </w:rPr>
        <w:t xml:space="preserve"> </w:t>
      </w:r>
      <w:r w:rsidR="00406C25" w:rsidRPr="00A11FE0">
        <w:rPr>
          <w:rFonts w:asciiTheme="majorHAnsi" w:hAnsiTheme="majorHAnsi"/>
        </w:rPr>
        <w:t xml:space="preserve">pod priemerom EÚ. </w:t>
      </w:r>
      <w:r w:rsidR="00A940EE">
        <w:rPr>
          <w:rFonts w:asciiTheme="majorHAnsi" w:hAnsiTheme="majorHAnsi"/>
        </w:rPr>
        <w:t xml:space="preserve">V roku 2012 bolo v SR z 1 000 pracovných miest v priemere voľných len 8. </w:t>
      </w:r>
      <w:r w:rsidR="00406C25" w:rsidRPr="00A11FE0">
        <w:rPr>
          <w:rFonts w:asciiTheme="majorHAnsi" w:hAnsiTheme="majorHAnsi"/>
        </w:rPr>
        <w:t>Priemer EÚ</w:t>
      </w:r>
      <w:r w:rsidR="000C134A">
        <w:rPr>
          <w:rFonts w:asciiTheme="majorHAnsi" w:hAnsiTheme="majorHAnsi"/>
        </w:rPr>
        <w:t xml:space="preserve"> bol</w:t>
      </w:r>
      <w:r w:rsidR="00A940EE">
        <w:rPr>
          <w:rFonts w:asciiTheme="majorHAnsi" w:hAnsiTheme="majorHAnsi"/>
        </w:rPr>
        <w:t xml:space="preserve"> 15 voľných miest, čo znamená, že miera voľných pracovných miest v roku 2012 dosiahla 1,5%</w:t>
      </w:r>
      <w:r w:rsidR="00406C25" w:rsidRPr="00A11FE0">
        <w:rPr>
          <w:rStyle w:val="Odkaznapoznmkupodiarou"/>
          <w:rFonts w:asciiTheme="majorHAnsi" w:hAnsiTheme="majorHAnsi"/>
        </w:rPr>
        <w:footnoteReference w:id="99"/>
      </w:r>
      <w:r w:rsidR="00406C25" w:rsidRPr="00A11FE0">
        <w:rPr>
          <w:rFonts w:asciiTheme="majorHAnsi" w:hAnsiTheme="majorHAnsi"/>
        </w:rPr>
        <w:t>.</w:t>
      </w:r>
    </w:p>
    <w:p w:rsidR="00406C25" w:rsidRPr="00A11FE0" w:rsidRDefault="00406C25" w:rsidP="00406C25">
      <w:pPr>
        <w:rPr>
          <w:rFonts w:asciiTheme="majorHAnsi" w:hAnsiTheme="majorHAnsi"/>
        </w:rPr>
      </w:pPr>
      <w:r w:rsidRPr="00A11FE0">
        <w:rPr>
          <w:rFonts w:asciiTheme="majorHAnsi" w:hAnsiTheme="majorHAnsi"/>
          <w:szCs w:val="22"/>
        </w:rPr>
        <w:t>Podiel pracujúceho obyvateľstva vo veku 20-64 rokov je v </w:t>
      </w:r>
      <w:r w:rsidR="00BD5FD5">
        <w:rPr>
          <w:rFonts w:asciiTheme="majorHAnsi" w:hAnsiTheme="majorHAnsi"/>
          <w:szCs w:val="22"/>
        </w:rPr>
        <w:t>S</w:t>
      </w:r>
      <w:r w:rsidRPr="00A11FE0">
        <w:rPr>
          <w:rFonts w:asciiTheme="majorHAnsi" w:hAnsiTheme="majorHAnsi"/>
          <w:szCs w:val="22"/>
        </w:rPr>
        <w:t xml:space="preserve">R pod priemerom EÚ </w:t>
      </w:r>
      <w:r w:rsidR="00BD5FD5">
        <w:rPr>
          <w:rFonts w:asciiTheme="majorHAnsi" w:hAnsiTheme="majorHAnsi"/>
          <w:szCs w:val="22"/>
        </w:rPr>
        <w:t>a</w:t>
      </w:r>
      <w:r w:rsidRPr="00A11FE0">
        <w:rPr>
          <w:rFonts w:asciiTheme="majorHAnsi" w:hAnsiTheme="majorHAnsi"/>
          <w:szCs w:val="22"/>
        </w:rPr>
        <w:t xml:space="preserve"> posledné roky </w:t>
      </w:r>
      <w:r w:rsidR="00BD5FD5">
        <w:rPr>
          <w:rFonts w:asciiTheme="majorHAnsi" w:hAnsiTheme="majorHAnsi"/>
          <w:szCs w:val="22"/>
        </w:rPr>
        <w:t>s</w:t>
      </w:r>
      <w:r w:rsidRPr="00A11FE0">
        <w:rPr>
          <w:rFonts w:asciiTheme="majorHAnsi" w:hAnsiTheme="majorHAnsi"/>
          <w:szCs w:val="22"/>
        </w:rPr>
        <w:t xml:space="preserve">tagnuje okolo </w:t>
      </w:r>
      <w:r w:rsidR="00821009" w:rsidRPr="00A11FE0">
        <w:rPr>
          <w:rFonts w:asciiTheme="majorHAnsi" w:hAnsiTheme="majorHAnsi"/>
          <w:szCs w:val="22"/>
        </w:rPr>
        <w:t xml:space="preserve">podielu </w:t>
      </w:r>
      <w:r w:rsidRPr="00A11FE0">
        <w:rPr>
          <w:rFonts w:asciiTheme="majorHAnsi" w:hAnsiTheme="majorHAnsi"/>
          <w:szCs w:val="22"/>
        </w:rPr>
        <w:t>65,0</w:t>
      </w:r>
      <w:r w:rsidR="00381118" w:rsidRPr="00A11FE0">
        <w:rPr>
          <w:rFonts w:asciiTheme="majorHAnsi" w:hAnsiTheme="majorHAnsi"/>
          <w:szCs w:val="22"/>
        </w:rPr>
        <w:t xml:space="preserve"> </w:t>
      </w:r>
      <w:r w:rsidRPr="00A11FE0">
        <w:rPr>
          <w:rFonts w:asciiTheme="majorHAnsi" w:hAnsiTheme="majorHAnsi"/>
          <w:szCs w:val="22"/>
        </w:rPr>
        <w:t xml:space="preserve">%. Národný cieľ pre </w:t>
      </w:r>
      <w:r w:rsidR="00BD5FD5">
        <w:rPr>
          <w:rFonts w:asciiTheme="majorHAnsi" w:hAnsiTheme="majorHAnsi"/>
          <w:szCs w:val="22"/>
        </w:rPr>
        <w:t>S</w:t>
      </w:r>
      <w:r w:rsidR="0071622F" w:rsidRPr="00A11FE0">
        <w:rPr>
          <w:rFonts w:asciiTheme="majorHAnsi" w:hAnsiTheme="majorHAnsi"/>
          <w:szCs w:val="22"/>
        </w:rPr>
        <w:t xml:space="preserve">R </w:t>
      </w:r>
      <w:r w:rsidRPr="00A11FE0">
        <w:rPr>
          <w:rFonts w:asciiTheme="majorHAnsi" w:hAnsiTheme="majorHAnsi"/>
          <w:szCs w:val="22"/>
        </w:rPr>
        <w:t xml:space="preserve">vyplývajúci zo </w:t>
      </w:r>
      <w:r w:rsidR="003E0566">
        <w:rPr>
          <w:rFonts w:asciiTheme="majorHAnsi" w:hAnsiTheme="majorHAnsi"/>
          <w:szCs w:val="22"/>
        </w:rPr>
        <w:t>s</w:t>
      </w:r>
      <w:r w:rsidR="003E0566" w:rsidRPr="00A11FE0">
        <w:rPr>
          <w:rFonts w:asciiTheme="majorHAnsi" w:hAnsiTheme="majorHAnsi"/>
          <w:szCs w:val="22"/>
        </w:rPr>
        <w:t xml:space="preserve">tratégie </w:t>
      </w:r>
      <w:r w:rsidR="00992762">
        <w:rPr>
          <w:rFonts w:asciiTheme="majorHAnsi" w:hAnsiTheme="majorHAnsi"/>
          <w:szCs w:val="22"/>
        </w:rPr>
        <w:t>E</w:t>
      </w:r>
      <w:r w:rsidR="00585C40">
        <w:rPr>
          <w:rFonts w:asciiTheme="majorHAnsi" w:hAnsiTheme="majorHAnsi"/>
          <w:szCs w:val="22"/>
        </w:rPr>
        <w:t>ur</w:t>
      </w:r>
      <w:r w:rsidRPr="00A11FE0">
        <w:rPr>
          <w:rFonts w:asciiTheme="majorHAnsi" w:hAnsiTheme="majorHAnsi"/>
          <w:szCs w:val="22"/>
        </w:rPr>
        <w:t>ópa 2020</w:t>
      </w:r>
      <w:r w:rsidR="003E0566">
        <w:rPr>
          <w:rFonts w:asciiTheme="majorHAnsi" w:hAnsiTheme="majorHAnsi"/>
          <w:szCs w:val="22"/>
        </w:rPr>
        <w:t>,</w:t>
      </w:r>
      <w:r w:rsidRPr="00A11FE0">
        <w:rPr>
          <w:rFonts w:asciiTheme="majorHAnsi" w:hAnsiTheme="majorHAnsi"/>
          <w:szCs w:val="22"/>
        </w:rPr>
        <w:t xml:space="preserve"> </w:t>
      </w:r>
      <w:r w:rsidR="00821009" w:rsidRPr="00A11FE0">
        <w:rPr>
          <w:rFonts w:asciiTheme="majorHAnsi" w:hAnsiTheme="majorHAnsi"/>
          <w:szCs w:val="22"/>
        </w:rPr>
        <w:t xml:space="preserve">je pre </w:t>
      </w:r>
      <w:r w:rsidRPr="00A11FE0">
        <w:rPr>
          <w:rFonts w:asciiTheme="majorHAnsi" w:hAnsiTheme="majorHAnsi"/>
          <w:szCs w:val="22"/>
        </w:rPr>
        <w:t>oblas</w:t>
      </w:r>
      <w:r w:rsidR="00821009" w:rsidRPr="00A11FE0">
        <w:rPr>
          <w:rFonts w:asciiTheme="majorHAnsi" w:hAnsiTheme="majorHAnsi"/>
          <w:szCs w:val="22"/>
        </w:rPr>
        <w:t>ť</w:t>
      </w:r>
      <w:r w:rsidRPr="00A11FE0">
        <w:rPr>
          <w:rFonts w:asciiTheme="majorHAnsi" w:hAnsiTheme="majorHAnsi"/>
          <w:szCs w:val="22"/>
        </w:rPr>
        <w:t xml:space="preserve"> zamestnanosti </w:t>
      </w:r>
      <w:r w:rsidR="00BD5FD5">
        <w:rPr>
          <w:rFonts w:asciiTheme="majorHAnsi" w:hAnsiTheme="majorHAnsi"/>
          <w:szCs w:val="22"/>
        </w:rPr>
        <w:t>s</w:t>
      </w:r>
      <w:r w:rsidR="00821009" w:rsidRPr="00A11FE0">
        <w:rPr>
          <w:rFonts w:asciiTheme="majorHAnsi" w:hAnsiTheme="majorHAnsi"/>
          <w:szCs w:val="22"/>
        </w:rPr>
        <w:t xml:space="preserve">tanovený na úrovni </w:t>
      </w:r>
      <w:r w:rsidRPr="00A11FE0">
        <w:rPr>
          <w:rFonts w:asciiTheme="majorHAnsi" w:hAnsiTheme="majorHAnsi"/>
          <w:szCs w:val="22"/>
        </w:rPr>
        <w:t xml:space="preserve">72 %. Pod priemerom EÚ je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a</w:t>
      </w:r>
      <w:r w:rsidRPr="00A11FE0">
        <w:rPr>
          <w:rFonts w:asciiTheme="majorHAnsi" w:hAnsiTheme="majorHAnsi"/>
          <w:szCs w:val="22"/>
        </w:rPr>
        <w:t>j v</w:t>
      </w:r>
      <w:r w:rsidR="00D31327">
        <w:rPr>
          <w:rFonts w:asciiTheme="majorHAnsi" w:hAnsiTheme="majorHAnsi"/>
          <w:szCs w:val="22"/>
        </w:rPr>
        <w:t> </w:t>
      </w:r>
      <w:r w:rsidRPr="00A11FE0">
        <w:rPr>
          <w:rFonts w:asciiTheme="majorHAnsi" w:hAnsiTheme="majorHAnsi"/>
          <w:szCs w:val="22"/>
        </w:rPr>
        <w:t xml:space="preserve">miere zamestnanosti </w:t>
      </w:r>
      <w:r w:rsidR="00BD5FD5">
        <w:rPr>
          <w:rFonts w:asciiTheme="majorHAnsi" w:hAnsiTheme="majorHAnsi"/>
          <w:szCs w:val="22"/>
        </w:rPr>
        <w:t>s</w:t>
      </w:r>
      <w:r w:rsidRPr="00A11FE0">
        <w:rPr>
          <w:rFonts w:asciiTheme="majorHAnsi" w:hAnsiTheme="majorHAnsi"/>
          <w:szCs w:val="22"/>
        </w:rPr>
        <w:t>tarších</w:t>
      </w:r>
      <w:r w:rsidR="0057409B">
        <w:rPr>
          <w:rFonts w:asciiTheme="majorHAnsi" w:hAnsiTheme="majorHAnsi"/>
          <w:szCs w:val="22"/>
        </w:rPr>
        <w:t xml:space="preserve"> ľudí</w:t>
      </w:r>
      <w:r w:rsidRPr="00A11FE0">
        <w:rPr>
          <w:rFonts w:asciiTheme="majorHAnsi" w:hAnsiTheme="majorHAnsi"/>
          <w:szCs w:val="22"/>
        </w:rPr>
        <w:t xml:space="preserve"> (vo veku 55-64 rokov) </w:t>
      </w:r>
      <w:r w:rsidR="00BD5FD5">
        <w:rPr>
          <w:rFonts w:asciiTheme="majorHAnsi" w:hAnsiTheme="majorHAnsi"/>
          <w:szCs w:val="22"/>
        </w:rPr>
        <w:t>a </w:t>
      </w:r>
      <w:r w:rsidRPr="00A11FE0">
        <w:rPr>
          <w:rFonts w:asciiTheme="majorHAnsi" w:hAnsiTheme="majorHAnsi"/>
          <w:szCs w:val="22"/>
        </w:rPr>
        <w:t>miere zamestnanosti žien vo veku 20-64</w:t>
      </w:r>
      <w:r w:rsidRPr="00A11FE0">
        <w:rPr>
          <w:rStyle w:val="Odkaznapoznmkupodiarou"/>
          <w:rFonts w:asciiTheme="majorHAnsi" w:hAnsiTheme="majorHAnsi"/>
          <w:szCs w:val="22"/>
        </w:rPr>
        <w:footnoteReference w:id="100"/>
      </w:r>
      <w:r w:rsidRPr="00A11FE0">
        <w:rPr>
          <w:rFonts w:asciiTheme="majorHAnsi" w:hAnsiTheme="majorHAnsi"/>
          <w:szCs w:val="22"/>
        </w:rPr>
        <w:t xml:space="preserve">. Možnosť zamestnania </w:t>
      </w:r>
      <w:r w:rsidR="00BD5FD5">
        <w:rPr>
          <w:rFonts w:asciiTheme="majorHAnsi" w:hAnsiTheme="majorHAnsi"/>
          <w:szCs w:val="22"/>
        </w:rPr>
        <w:t>s</w:t>
      </w:r>
      <w:r w:rsidRPr="00A11FE0">
        <w:rPr>
          <w:rFonts w:asciiTheme="majorHAnsi" w:hAnsiTheme="majorHAnsi"/>
          <w:szCs w:val="22"/>
        </w:rPr>
        <w:t xml:space="preserve">tarších </w:t>
      </w:r>
      <w:r w:rsidR="0057409B">
        <w:rPr>
          <w:rFonts w:asciiTheme="majorHAnsi" w:hAnsiTheme="majorHAnsi"/>
          <w:szCs w:val="22"/>
        </w:rPr>
        <w:t xml:space="preserve">ľudí </w:t>
      </w:r>
      <w:r w:rsidRPr="00A11FE0">
        <w:rPr>
          <w:rFonts w:asciiTheme="majorHAnsi" w:hAnsiTheme="majorHAnsi"/>
          <w:szCs w:val="22"/>
        </w:rPr>
        <w:t xml:space="preserve">je nepriaznivo ovplyvnená viacerými faktormi, napríklad </w:t>
      </w:r>
      <w:r w:rsidR="00BD5FD5">
        <w:rPr>
          <w:rFonts w:asciiTheme="majorHAnsi" w:hAnsiTheme="majorHAnsi"/>
          <w:szCs w:val="22"/>
        </w:rPr>
        <w:t>a</w:t>
      </w:r>
      <w:r w:rsidRPr="00A11FE0">
        <w:rPr>
          <w:rFonts w:asciiTheme="majorHAnsi" w:hAnsiTheme="majorHAnsi"/>
          <w:szCs w:val="22"/>
        </w:rPr>
        <w:t xml:space="preserve">j nedostatočným prístupom </w:t>
      </w:r>
      <w:r w:rsidR="00BD5FD5">
        <w:rPr>
          <w:rFonts w:asciiTheme="majorHAnsi" w:hAnsiTheme="majorHAnsi"/>
          <w:szCs w:val="22"/>
        </w:rPr>
        <w:t>k </w:t>
      </w:r>
      <w:r w:rsidRPr="00A11FE0">
        <w:rPr>
          <w:rFonts w:asciiTheme="majorHAnsi" w:hAnsiTheme="majorHAnsi"/>
          <w:szCs w:val="22"/>
        </w:rPr>
        <w:t>celoživotnému vzdelávaniu</w:t>
      </w:r>
      <w:r w:rsidRPr="00A11FE0">
        <w:rPr>
          <w:rFonts w:asciiTheme="majorHAnsi" w:hAnsiTheme="majorHAnsi"/>
          <w:color w:val="000000"/>
          <w:szCs w:val="22"/>
        </w:rPr>
        <w:t xml:space="preserve">, </w:t>
      </w:r>
      <w:r w:rsidR="00BD5FD5">
        <w:rPr>
          <w:rFonts w:asciiTheme="majorHAnsi" w:hAnsiTheme="majorHAnsi"/>
          <w:color w:val="000000"/>
          <w:szCs w:val="22"/>
        </w:rPr>
        <w:t>a</w:t>
      </w:r>
      <w:r w:rsidRPr="00A11FE0">
        <w:rPr>
          <w:rFonts w:asciiTheme="majorHAnsi" w:hAnsiTheme="majorHAnsi"/>
          <w:color w:val="000000"/>
          <w:szCs w:val="22"/>
        </w:rPr>
        <w:t xml:space="preserve">bsenciou </w:t>
      </w:r>
      <w:r w:rsidR="00BD5FD5">
        <w:rPr>
          <w:rFonts w:asciiTheme="majorHAnsi" w:hAnsiTheme="majorHAnsi"/>
          <w:color w:val="000000"/>
          <w:szCs w:val="22"/>
        </w:rPr>
        <w:t>s</w:t>
      </w:r>
      <w:r w:rsidRPr="00A11FE0">
        <w:rPr>
          <w:rFonts w:asciiTheme="majorHAnsi" w:hAnsiTheme="majorHAnsi"/>
          <w:color w:val="000000"/>
          <w:szCs w:val="22"/>
        </w:rPr>
        <w:t xml:space="preserve">ystému poradenstva vo vzdelávaní zamestnaných dospelých, čo osobitne platí pre </w:t>
      </w:r>
      <w:r w:rsidRPr="00A11FE0">
        <w:rPr>
          <w:rFonts w:asciiTheme="majorHAnsi" w:hAnsiTheme="majorHAnsi"/>
          <w:szCs w:val="22"/>
        </w:rPr>
        <w:t xml:space="preserve">špecifickú </w:t>
      </w:r>
      <w:r w:rsidR="00BD5FD5">
        <w:rPr>
          <w:rFonts w:asciiTheme="majorHAnsi" w:hAnsiTheme="majorHAnsi"/>
          <w:color w:val="000000"/>
          <w:szCs w:val="22"/>
        </w:rPr>
        <w:t>s</w:t>
      </w:r>
      <w:r w:rsidRPr="00A11FE0">
        <w:rPr>
          <w:rFonts w:asciiTheme="majorHAnsi" w:hAnsiTheme="majorHAnsi"/>
          <w:color w:val="000000"/>
          <w:szCs w:val="22"/>
        </w:rPr>
        <w:t xml:space="preserve">kupinu </w:t>
      </w:r>
      <w:r w:rsidR="00BD5FD5">
        <w:rPr>
          <w:rFonts w:asciiTheme="majorHAnsi" w:hAnsiTheme="majorHAnsi"/>
          <w:color w:val="000000"/>
          <w:szCs w:val="22"/>
        </w:rPr>
        <w:t>s</w:t>
      </w:r>
      <w:r w:rsidRPr="00A11FE0">
        <w:rPr>
          <w:rFonts w:asciiTheme="majorHAnsi" w:hAnsiTheme="majorHAnsi"/>
          <w:color w:val="000000"/>
          <w:szCs w:val="22"/>
        </w:rPr>
        <w:t>tarších ľudí</w:t>
      </w:r>
      <w:r w:rsidRPr="00A11FE0">
        <w:rPr>
          <w:rFonts w:asciiTheme="majorHAnsi" w:hAnsiTheme="majorHAnsi"/>
          <w:szCs w:val="22"/>
        </w:rPr>
        <w:t>. Miera zamestnanosti nízkokvalifikovaných osôb (ISCED 0</w:t>
      </w:r>
      <w:r w:rsidR="00F70B2A">
        <w:rPr>
          <w:rFonts w:asciiTheme="majorHAnsi" w:hAnsiTheme="majorHAnsi"/>
          <w:szCs w:val="22"/>
        </w:rPr>
        <w:t xml:space="preserve"> </w:t>
      </w:r>
      <w:r w:rsidR="00D31327">
        <w:rPr>
          <w:rFonts w:asciiTheme="majorHAnsi" w:hAnsiTheme="majorHAnsi"/>
          <w:szCs w:val="22"/>
        </w:rPr>
        <w:t>–</w:t>
      </w:r>
      <w:r w:rsidR="00602FB2">
        <w:rPr>
          <w:rFonts w:asciiTheme="majorHAnsi" w:hAnsiTheme="majorHAnsi"/>
          <w:szCs w:val="22"/>
        </w:rPr>
        <w:t xml:space="preserve"> </w:t>
      </w:r>
      <w:r w:rsidRPr="00A11FE0">
        <w:rPr>
          <w:rFonts w:asciiTheme="majorHAnsi" w:hAnsiTheme="majorHAnsi"/>
          <w:szCs w:val="22"/>
        </w:rPr>
        <w:t>2) v </w:t>
      </w:r>
      <w:r w:rsidR="00BD5FD5">
        <w:rPr>
          <w:rFonts w:asciiTheme="majorHAnsi" w:hAnsiTheme="majorHAnsi"/>
          <w:szCs w:val="22"/>
        </w:rPr>
        <w:t>S</w:t>
      </w:r>
      <w:r w:rsidRPr="00A11FE0">
        <w:rPr>
          <w:rFonts w:asciiTheme="majorHAnsi" w:hAnsiTheme="majorHAnsi"/>
          <w:szCs w:val="22"/>
        </w:rPr>
        <w:t>R (29,5 % v roku 2012) je v rámci EÚ najnižšia. V roku 2012 dosiahla len 57 % úrovne EÚ</w:t>
      </w:r>
      <w:r w:rsidRPr="00A11FE0">
        <w:rPr>
          <w:rStyle w:val="Odkaznapoznmkupodiarou"/>
          <w:rFonts w:asciiTheme="majorHAnsi" w:hAnsiTheme="majorHAnsi"/>
          <w:szCs w:val="22"/>
        </w:rPr>
        <w:footnoteReference w:id="101"/>
      </w:r>
      <w:r w:rsidRPr="00A11FE0">
        <w:rPr>
          <w:rFonts w:asciiTheme="majorHAnsi" w:hAnsiTheme="majorHAnsi"/>
          <w:sz w:val="24"/>
        </w:rPr>
        <w:t>.</w:t>
      </w:r>
      <w:r w:rsidRPr="00A11FE0">
        <w:rPr>
          <w:rFonts w:asciiTheme="majorHAnsi" w:hAnsiTheme="majorHAnsi"/>
          <w:szCs w:val="22"/>
        </w:rPr>
        <w:t xml:space="preserve"> Výrazné rozdiely v zamestnanosti mužov </w:t>
      </w:r>
      <w:r w:rsidR="00BD5FD5">
        <w:rPr>
          <w:rFonts w:asciiTheme="majorHAnsi" w:hAnsiTheme="majorHAnsi"/>
          <w:szCs w:val="22"/>
        </w:rPr>
        <w:t>a </w:t>
      </w:r>
      <w:r w:rsidRPr="00A11FE0">
        <w:rPr>
          <w:rFonts w:asciiTheme="majorHAnsi" w:hAnsiTheme="majorHAnsi"/>
          <w:szCs w:val="22"/>
        </w:rPr>
        <w:t>žien</w:t>
      </w:r>
      <w:r w:rsidR="00C80098">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ú ovplyvnené dopadom rodičovstva, </w:t>
      </w:r>
      <w:r w:rsidR="00BD5FD5">
        <w:rPr>
          <w:rFonts w:asciiTheme="majorHAnsi" w:hAnsiTheme="majorHAnsi"/>
          <w:szCs w:val="22"/>
        </w:rPr>
        <w:t>k</w:t>
      </w:r>
      <w:r w:rsidRPr="00A11FE0">
        <w:rPr>
          <w:rFonts w:asciiTheme="majorHAnsi" w:hAnsiTheme="majorHAnsi"/>
          <w:szCs w:val="22"/>
        </w:rPr>
        <w:t xml:space="preserve">eď prítomnosť detí mladších </w:t>
      </w:r>
      <w:r w:rsidR="00BD5FD5">
        <w:rPr>
          <w:rFonts w:asciiTheme="majorHAnsi" w:hAnsiTheme="majorHAnsi"/>
          <w:szCs w:val="22"/>
        </w:rPr>
        <w:t>ak</w:t>
      </w:r>
      <w:r w:rsidRPr="00A11FE0">
        <w:rPr>
          <w:rFonts w:asciiTheme="majorHAnsi" w:hAnsiTheme="majorHAnsi"/>
          <w:szCs w:val="22"/>
        </w:rPr>
        <w:t xml:space="preserve">o 6 rokov v rodine významne znižuje mieru zamestnanosti žien, </w:t>
      </w:r>
      <w:r w:rsidR="00BD5FD5">
        <w:rPr>
          <w:rFonts w:asciiTheme="majorHAnsi" w:hAnsiTheme="majorHAnsi"/>
          <w:szCs w:val="22"/>
        </w:rPr>
        <w:t>a</w:t>
      </w:r>
      <w:r w:rsidRPr="00A11FE0">
        <w:rPr>
          <w:rFonts w:asciiTheme="majorHAnsi" w:hAnsiTheme="majorHAnsi"/>
          <w:szCs w:val="22"/>
        </w:rPr>
        <w:t>le iba minimálne</w:t>
      </w:r>
      <w:r w:rsidR="003E0566">
        <w:rPr>
          <w:rFonts w:asciiTheme="majorHAnsi" w:hAnsiTheme="majorHAnsi"/>
          <w:szCs w:val="22"/>
        </w:rPr>
        <w:t>,</w:t>
      </w:r>
      <w:r w:rsidRPr="00A11FE0">
        <w:rPr>
          <w:rFonts w:asciiTheme="majorHAnsi" w:hAnsiTheme="majorHAnsi"/>
          <w:szCs w:val="22"/>
        </w:rPr>
        <w:t xml:space="preserve"> zamestnanosť mužov (</w:t>
      </w:r>
      <w:r w:rsidR="00546B3D">
        <w:rPr>
          <w:rFonts w:asciiTheme="majorHAnsi" w:hAnsiTheme="majorHAnsi"/>
          <w:szCs w:val="22"/>
        </w:rPr>
        <w:t xml:space="preserve">miera zamestnanosti </w:t>
      </w:r>
      <w:r w:rsidRPr="00A11FE0">
        <w:rPr>
          <w:rFonts w:asciiTheme="majorHAnsi" w:hAnsiTheme="majorHAnsi"/>
          <w:szCs w:val="22"/>
        </w:rPr>
        <w:t>žien</w:t>
      </w:r>
      <w:r w:rsidR="00546B3D">
        <w:rPr>
          <w:rFonts w:asciiTheme="majorHAnsi" w:hAnsiTheme="majorHAnsi"/>
          <w:szCs w:val="22"/>
        </w:rPr>
        <w:t xml:space="preserve"> vo veku</w:t>
      </w:r>
      <w:r w:rsidR="00384B2F">
        <w:rPr>
          <w:rFonts w:asciiTheme="majorHAnsi" w:hAnsiTheme="majorHAnsi"/>
          <w:szCs w:val="22"/>
        </w:rPr>
        <w:t xml:space="preserve"> </w:t>
      </w:r>
      <w:r w:rsidR="00546B3D">
        <w:rPr>
          <w:rFonts w:asciiTheme="majorHAnsi" w:hAnsiTheme="majorHAnsi"/>
          <w:szCs w:val="22"/>
        </w:rPr>
        <w:t>25</w:t>
      </w:r>
      <w:r w:rsidR="002A4D19">
        <w:rPr>
          <w:rFonts w:asciiTheme="majorHAnsi" w:hAnsiTheme="majorHAnsi"/>
          <w:szCs w:val="22"/>
        </w:rPr>
        <w:t>-</w:t>
      </w:r>
      <w:r w:rsidR="00546B3D">
        <w:rPr>
          <w:rFonts w:asciiTheme="majorHAnsi" w:hAnsiTheme="majorHAnsi"/>
          <w:szCs w:val="22"/>
        </w:rPr>
        <w:t>49 rokov s dieťaťom mladším ako 6 rokov</w:t>
      </w:r>
      <w:r w:rsidRPr="00A11FE0">
        <w:rPr>
          <w:rFonts w:asciiTheme="majorHAnsi" w:hAnsiTheme="majorHAnsi"/>
          <w:szCs w:val="22"/>
        </w:rPr>
        <w:t xml:space="preserve"> je nižšia </w:t>
      </w:r>
      <w:r w:rsidR="00BD5FD5">
        <w:rPr>
          <w:rFonts w:asciiTheme="majorHAnsi" w:hAnsiTheme="majorHAnsi"/>
          <w:szCs w:val="22"/>
        </w:rPr>
        <w:t>ak</w:t>
      </w:r>
      <w:r w:rsidRPr="00A11FE0">
        <w:rPr>
          <w:rFonts w:asciiTheme="majorHAnsi" w:hAnsiTheme="majorHAnsi"/>
          <w:szCs w:val="22"/>
        </w:rPr>
        <w:t>o 40</w:t>
      </w:r>
      <w:r w:rsidR="00381118" w:rsidRPr="00A11FE0">
        <w:rPr>
          <w:rFonts w:asciiTheme="majorHAnsi" w:hAnsiTheme="majorHAnsi"/>
          <w:szCs w:val="22"/>
        </w:rPr>
        <w:t xml:space="preserve"> </w:t>
      </w:r>
      <w:r w:rsidRPr="00A11FE0">
        <w:rPr>
          <w:rFonts w:asciiTheme="majorHAnsi" w:hAnsiTheme="majorHAnsi"/>
          <w:szCs w:val="22"/>
        </w:rPr>
        <w:t xml:space="preserve">%, </w:t>
      </w:r>
      <w:r w:rsidR="00546B3D">
        <w:rPr>
          <w:rFonts w:asciiTheme="majorHAnsi" w:hAnsiTheme="majorHAnsi"/>
          <w:szCs w:val="22"/>
        </w:rPr>
        <w:t>u </w:t>
      </w:r>
      <w:r w:rsidRPr="00A11FE0">
        <w:rPr>
          <w:rFonts w:asciiTheme="majorHAnsi" w:hAnsiTheme="majorHAnsi"/>
          <w:szCs w:val="22"/>
        </w:rPr>
        <w:t>mužov</w:t>
      </w:r>
      <w:r w:rsidR="00546B3D">
        <w:rPr>
          <w:rFonts w:asciiTheme="majorHAnsi" w:hAnsiTheme="majorHAnsi"/>
          <w:szCs w:val="22"/>
        </w:rPr>
        <w:t xml:space="preserve"> tej istej vekovej kategórie a v tej istej fáze rodičovstva </w:t>
      </w:r>
      <w:r w:rsidR="003E0566">
        <w:rPr>
          <w:rFonts w:asciiTheme="majorHAnsi" w:hAnsiTheme="majorHAnsi"/>
          <w:szCs w:val="22"/>
        </w:rPr>
        <w:t xml:space="preserve">je </w:t>
      </w:r>
      <w:r w:rsidRPr="00A11FE0">
        <w:rPr>
          <w:rFonts w:asciiTheme="majorHAnsi" w:hAnsiTheme="majorHAnsi"/>
          <w:szCs w:val="22"/>
        </w:rPr>
        <w:t xml:space="preserve">viac </w:t>
      </w:r>
      <w:r w:rsidR="00BD5FD5">
        <w:rPr>
          <w:rFonts w:asciiTheme="majorHAnsi" w:hAnsiTheme="majorHAnsi"/>
          <w:szCs w:val="22"/>
        </w:rPr>
        <w:t>ak</w:t>
      </w:r>
      <w:r w:rsidRPr="00A11FE0">
        <w:rPr>
          <w:rFonts w:asciiTheme="majorHAnsi" w:hAnsiTheme="majorHAnsi"/>
          <w:szCs w:val="22"/>
        </w:rPr>
        <w:t>o 83</w:t>
      </w:r>
      <w:r w:rsidR="00821009" w:rsidRPr="00A11FE0">
        <w:rPr>
          <w:rFonts w:asciiTheme="majorHAnsi" w:hAnsiTheme="majorHAnsi"/>
          <w:szCs w:val="22"/>
        </w:rPr>
        <w:t xml:space="preserve"> </w:t>
      </w:r>
      <w:r w:rsidRPr="00A11FE0">
        <w:rPr>
          <w:rFonts w:asciiTheme="majorHAnsi" w:hAnsiTheme="majorHAnsi"/>
          <w:szCs w:val="22"/>
        </w:rPr>
        <w:t xml:space="preserve">%). </w:t>
      </w:r>
      <w:r w:rsidR="0057409B">
        <w:rPr>
          <w:rFonts w:asciiTheme="majorHAnsi" w:hAnsiTheme="majorHAnsi"/>
          <w:szCs w:val="22"/>
        </w:rPr>
        <w:t>K</w:t>
      </w:r>
      <w:r w:rsidR="0057409B"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ituácii narastajúcej nezamestnanosti </w:t>
      </w:r>
      <w:r w:rsidR="00BD5FD5">
        <w:rPr>
          <w:rFonts w:asciiTheme="majorHAnsi" w:hAnsiTheme="majorHAnsi"/>
          <w:szCs w:val="22"/>
        </w:rPr>
        <w:t>a s</w:t>
      </w:r>
      <w:r w:rsidRPr="00A11FE0">
        <w:rPr>
          <w:rFonts w:asciiTheme="majorHAnsi" w:hAnsiTheme="majorHAnsi"/>
          <w:szCs w:val="22"/>
        </w:rPr>
        <w:t xml:space="preserve">labšej ekonomickej nezávislosti žien negatívne prispieva </w:t>
      </w:r>
      <w:r w:rsidR="00BD5FD5">
        <w:rPr>
          <w:rFonts w:asciiTheme="majorHAnsi" w:hAnsiTheme="majorHAnsi"/>
          <w:szCs w:val="22"/>
        </w:rPr>
        <w:t>a</w:t>
      </w:r>
      <w:r w:rsidRPr="00A11FE0">
        <w:rPr>
          <w:rFonts w:asciiTheme="majorHAnsi" w:hAnsiTheme="majorHAnsi"/>
          <w:szCs w:val="22"/>
        </w:rPr>
        <w:t xml:space="preserve">j nedostatok </w:t>
      </w:r>
      <w:r w:rsidR="00BD5FD5">
        <w:rPr>
          <w:rFonts w:asciiTheme="majorHAnsi" w:hAnsiTheme="majorHAnsi"/>
          <w:szCs w:val="22"/>
        </w:rPr>
        <w:t>s</w:t>
      </w:r>
      <w:r w:rsidRPr="00A11FE0">
        <w:rPr>
          <w:rFonts w:asciiTheme="majorHAnsi" w:hAnsiTheme="majorHAnsi"/>
          <w:szCs w:val="22"/>
        </w:rPr>
        <w:t xml:space="preserve">lužieb </w:t>
      </w:r>
      <w:r w:rsidR="00BD5FD5">
        <w:rPr>
          <w:rFonts w:asciiTheme="majorHAnsi" w:hAnsiTheme="majorHAnsi"/>
          <w:szCs w:val="22"/>
        </w:rPr>
        <w:t>s</w:t>
      </w:r>
      <w:r w:rsidRPr="00A11FE0">
        <w:rPr>
          <w:rFonts w:asciiTheme="majorHAnsi" w:hAnsiTheme="majorHAnsi"/>
          <w:szCs w:val="22"/>
        </w:rPr>
        <w:t xml:space="preserve">tarostlivosti o deti. Od roku 2006 </w:t>
      </w:r>
      <w:r w:rsidR="00BD5FD5">
        <w:rPr>
          <w:rFonts w:asciiTheme="majorHAnsi" w:hAnsiTheme="majorHAnsi"/>
          <w:szCs w:val="22"/>
        </w:rPr>
        <w:t>s</w:t>
      </w:r>
      <w:r w:rsidRPr="00A11FE0">
        <w:rPr>
          <w:rFonts w:asciiTheme="majorHAnsi" w:hAnsiTheme="majorHAnsi"/>
          <w:szCs w:val="22"/>
        </w:rPr>
        <w:t xml:space="preserve">a </w:t>
      </w:r>
      <w:r w:rsidR="00BD5FD5">
        <w:rPr>
          <w:rFonts w:asciiTheme="majorHAnsi" w:hAnsiTheme="majorHAnsi"/>
          <w:szCs w:val="22"/>
        </w:rPr>
        <w:t>k</w:t>
      </w:r>
      <w:r w:rsidRPr="00A11FE0">
        <w:rPr>
          <w:rFonts w:asciiTheme="majorHAnsi" w:hAnsiTheme="majorHAnsi"/>
          <w:szCs w:val="22"/>
        </w:rPr>
        <w:t xml:space="preserve">aždý rok zhoršuje dostupnosť </w:t>
      </w:r>
      <w:r w:rsidR="003E0566">
        <w:rPr>
          <w:rFonts w:asciiTheme="majorHAnsi" w:hAnsiTheme="majorHAnsi"/>
          <w:szCs w:val="22"/>
        </w:rPr>
        <w:t xml:space="preserve">materských škôl (ďalej len „MŠ“) </w:t>
      </w:r>
      <w:r w:rsidR="00BD5FD5" w:rsidRPr="003F0750">
        <w:rPr>
          <w:rFonts w:asciiTheme="majorHAnsi" w:hAnsiTheme="majorHAnsi"/>
          <w:szCs w:val="22"/>
        </w:rPr>
        <w:t>a </w:t>
      </w:r>
      <w:r w:rsidR="00541A70" w:rsidRPr="003F0750">
        <w:rPr>
          <w:rFonts w:asciiTheme="majorHAnsi" w:hAnsiTheme="majorHAnsi"/>
          <w:szCs w:val="22"/>
        </w:rPr>
        <w:t>využívanie</w:t>
      </w:r>
      <w:r w:rsidR="00541A70">
        <w:rPr>
          <w:rFonts w:asciiTheme="majorHAnsi" w:hAnsiTheme="majorHAnsi"/>
          <w:szCs w:val="22"/>
        </w:rPr>
        <w:t xml:space="preserve"> zariadení </w:t>
      </w:r>
      <w:r w:rsidR="00BD5FD5">
        <w:rPr>
          <w:rFonts w:asciiTheme="majorHAnsi" w:hAnsiTheme="majorHAnsi"/>
          <w:szCs w:val="22"/>
        </w:rPr>
        <w:t>s</w:t>
      </w:r>
      <w:r w:rsidR="00541A70">
        <w:rPr>
          <w:rFonts w:asciiTheme="majorHAnsi" w:hAnsiTheme="majorHAnsi"/>
          <w:szCs w:val="22"/>
        </w:rPr>
        <w:t xml:space="preserve">tarostlivosti o deti </w:t>
      </w:r>
      <w:r w:rsidR="006F3339">
        <w:rPr>
          <w:rFonts w:asciiTheme="majorHAnsi" w:hAnsiTheme="majorHAnsi"/>
          <w:szCs w:val="22"/>
        </w:rPr>
        <w:t>do 3 rokov patrí medzi najnižšie v EÚ.</w:t>
      </w:r>
    </w:p>
    <w:p w:rsidR="00406C25" w:rsidRPr="00A11FE0" w:rsidRDefault="00406C25" w:rsidP="00406C25">
      <w:pPr>
        <w:rPr>
          <w:rFonts w:asciiTheme="majorHAnsi" w:hAnsiTheme="majorHAnsi"/>
          <w:iCs/>
          <w:lang w:eastAsia="en-GB"/>
        </w:rPr>
      </w:pPr>
      <w:r w:rsidRPr="00A11FE0">
        <w:rPr>
          <w:rFonts w:asciiTheme="majorHAnsi" w:hAnsiTheme="majorHAnsi"/>
        </w:rPr>
        <w:t>V</w:t>
      </w:r>
      <w:r w:rsidR="00BC2D3E">
        <w:rPr>
          <w:rFonts w:asciiTheme="majorHAnsi" w:hAnsiTheme="majorHAnsi"/>
        </w:rPr>
        <w:t xml:space="preserve"> roku 2012 </w:t>
      </w:r>
      <w:r w:rsidRPr="00A11FE0">
        <w:rPr>
          <w:rFonts w:asciiTheme="majorHAnsi" w:hAnsiTheme="majorHAnsi"/>
        </w:rPr>
        <w:t>bola miera nezamestnanosti v</w:t>
      </w:r>
      <w:r w:rsidR="002A4D19">
        <w:rPr>
          <w:rFonts w:asciiTheme="majorHAnsi" w:hAnsiTheme="majorHAnsi"/>
        </w:rPr>
        <w:t> </w:t>
      </w:r>
      <w:r w:rsidR="00BD5FD5">
        <w:rPr>
          <w:rFonts w:asciiTheme="majorHAnsi" w:hAnsiTheme="majorHAnsi"/>
        </w:rPr>
        <w:t>S</w:t>
      </w:r>
      <w:r w:rsidRPr="00A11FE0">
        <w:rPr>
          <w:rFonts w:asciiTheme="majorHAnsi" w:hAnsiTheme="majorHAnsi"/>
        </w:rPr>
        <w:t>R (14 %) šiestou najvyššou</w:t>
      </w:r>
      <w:r w:rsidR="00821009"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dlhodobá miera nezamestnanosti (9,</w:t>
      </w:r>
      <w:r w:rsidR="00BC2D3E">
        <w:rPr>
          <w:rFonts w:asciiTheme="majorHAnsi" w:hAnsiTheme="majorHAnsi"/>
        </w:rPr>
        <w:t>4</w:t>
      </w:r>
      <w:r w:rsidR="00381118" w:rsidRPr="00A11FE0">
        <w:rPr>
          <w:rFonts w:asciiTheme="majorHAnsi" w:hAnsiTheme="majorHAnsi"/>
        </w:rPr>
        <w:t xml:space="preserve"> </w:t>
      </w:r>
      <w:r w:rsidRPr="00A11FE0">
        <w:rPr>
          <w:rFonts w:asciiTheme="majorHAnsi" w:hAnsiTheme="majorHAnsi"/>
        </w:rPr>
        <w:t>%) štvrtou najvyššou v</w:t>
      </w:r>
      <w:r w:rsidR="002A4D19">
        <w:rPr>
          <w:rFonts w:asciiTheme="majorHAnsi" w:hAnsiTheme="majorHAnsi"/>
        </w:rPr>
        <w:t> </w:t>
      </w:r>
      <w:r w:rsidRPr="00A11FE0">
        <w:rPr>
          <w:rFonts w:asciiTheme="majorHAnsi" w:hAnsiTheme="majorHAnsi"/>
        </w:rPr>
        <w:t>EÚ.</w:t>
      </w:r>
      <w:r w:rsidR="000C134A">
        <w:rPr>
          <w:rStyle w:val="Odkaznapoznmkupodiarou"/>
          <w:rFonts w:asciiTheme="majorHAnsi" w:hAnsiTheme="majorHAnsi"/>
        </w:rPr>
        <w:footnoteReference w:id="102"/>
      </w:r>
      <w:r w:rsidRPr="00A11FE0">
        <w:rPr>
          <w:rFonts w:asciiTheme="majorHAnsi" w:hAnsiTheme="majorHAnsi"/>
        </w:rPr>
        <w:t xml:space="preserve"> Miera </w:t>
      </w:r>
      <w:r w:rsidR="00BC2D3E">
        <w:rPr>
          <w:rFonts w:asciiTheme="majorHAnsi" w:hAnsiTheme="majorHAnsi"/>
        </w:rPr>
        <w:t>ne</w:t>
      </w:r>
      <w:r w:rsidR="00BD5FD5">
        <w:rPr>
          <w:rFonts w:asciiTheme="majorHAnsi" w:hAnsiTheme="majorHAnsi"/>
        </w:rPr>
        <w:t>ak</w:t>
      </w:r>
      <w:r w:rsidRPr="00A11FE0">
        <w:rPr>
          <w:rFonts w:asciiTheme="majorHAnsi" w:hAnsiTheme="majorHAnsi"/>
        </w:rPr>
        <w:t>tivity mladých ľudí</w:t>
      </w:r>
      <w:r w:rsidRPr="00A11FE0">
        <w:rPr>
          <w:rStyle w:val="Odkaznapoznmkupodiarou"/>
          <w:rFonts w:asciiTheme="majorHAnsi" w:hAnsiTheme="majorHAnsi"/>
        </w:rPr>
        <w:footnoteReference w:id="103"/>
      </w:r>
      <w:r w:rsidRPr="00A11FE0">
        <w:rPr>
          <w:rFonts w:asciiTheme="majorHAnsi" w:hAnsiTheme="majorHAnsi"/>
        </w:rPr>
        <w:t xml:space="preserve"> dosiahla v roku 2012 úroveň 13,8 %, čo </w:t>
      </w:r>
      <w:r w:rsidR="00BC2D3E">
        <w:rPr>
          <w:rFonts w:asciiTheme="majorHAnsi" w:hAnsiTheme="majorHAnsi"/>
        </w:rPr>
        <w:t>bolo</w:t>
      </w:r>
      <w:r w:rsidRPr="00A11FE0">
        <w:rPr>
          <w:rFonts w:asciiTheme="majorHAnsi" w:hAnsiTheme="majorHAnsi"/>
        </w:rPr>
        <w:t xml:space="preserve"> mierne nad priemerom </w:t>
      </w:r>
      <w:r w:rsidR="0057409B" w:rsidRPr="00A11FE0">
        <w:rPr>
          <w:rFonts w:asciiTheme="majorHAnsi" w:hAnsiTheme="majorHAnsi"/>
        </w:rPr>
        <w:t>E</w:t>
      </w:r>
      <w:r w:rsidR="0057409B">
        <w:rPr>
          <w:rFonts w:asciiTheme="majorHAnsi" w:hAnsiTheme="majorHAnsi"/>
        </w:rPr>
        <w:t>Ú</w:t>
      </w:r>
      <w:r w:rsidR="0057409B" w:rsidRPr="00A11FE0">
        <w:rPr>
          <w:rFonts w:asciiTheme="majorHAnsi" w:hAnsiTheme="majorHAnsi"/>
        </w:rPr>
        <w:t xml:space="preserve"> </w:t>
      </w:r>
      <w:r w:rsidRPr="00A11FE0">
        <w:rPr>
          <w:rFonts w:asciiTheme="majorHAnsi" w:hAnsiTheme="majorHAnsi"/>
        </w:rPr>
        <w:t>(13,</w:t>
      </w:r>
      <w:r w:rsidR="00BC2D3E">
        <w:rPr>
          <w:rFonts w:asciiTheme="majorHAnsi" w:hAnsiTheme="majorHAnsi"/>
        </w:rPr>
        <w:t>1</w:t>
      </w:r>
      <w:r w:rsidRPr="00A11FE0">
        <w:rPr>
          <w:rFonts w:asciiTheme="majorHAnsi" w:hAnsiTheme="majorHAnsi"/>
        </w:rPr>
        <w:t xml:space="preserve"> %)</w:t>
      </w:r>
      <w:r w:rsidR="003E0566">
        <w:rPr>
          <w:rFonts w:asciiTheme="majorHAnsi" w:hAnsiTheme="majorHAnsi"/>
        </w:rPr>
        <w:t xml:space="preserve"> a</w:t>
      </w:r>
      <w:r w:rsidR="00BC2D3E">
        <w:rPr>
          <w:rFonts w:asciiTheme="majorHAnsi" w:hAnsiTheme="majorHAnsi"/>
        </w:rPr>
        <w:t xml:space="preserve"> </w:t>
      </w:r>
      <w:r w:rsidR="002A4D19">
        <w:rPr>
          <w:rFonts w:asciiTheme="majorHAnsi" w:hAnsiTheme="majorHAnsi"/>
        </w:rPr>
        <w:t xml:space="preserve">v porovnaní s krajinami </w:t>
      </w:r>
      <w:r w:rsidR="00540E5E">
        <w:rPr>
          <w:rFonts w:asciiTheme="majorHAnsi" w:hAnsiTheme="majorHAnsi"/>
        </w:rPr>
        <w:t xml:space="preserve">V4 </w:t>
      </w:r>
      <w:r w:rsidRPr="00A11FE0">
        <w:rPr>
          <w:rFonts w:asciiTheme="majorHAnsi" w:hAnsiTheme="majorHAnsi"/>
        </w:rPr>
        <w:t xml:space="preserve">menej </w:t>
      </w:r>
      <w:r w:rsidR="00BD5FD5">
        <w:rPr>
          <w:rFonts w:asciiTheme="majorHAnsi" w:hAnsiTheme="majorHAnsi"/>
        </w:rPr>
        <w:t>ak</w:t>
      </w:r>
      <w:r w:rsidRPr="00A11FE0">
        <w:rPr>
          <w:rFonts w:asciiTheme="majorHAnsi" w:hAnsiTheme="majorHAnsi"/>
        </w:rPr>
        <w:t xml:space="preserve">o v Maďarsku (14,7 %) </w:t>
      </w:r>
      <w:r w:rsidR="00BD5FD5">
        <w:rPr>
          <w:rFonts w:asciiTheme="majorHAnsi" w:hAnsiTheme="majorHAnsi"/>
        </w:rPr>
        <w:t>a</w:t>
      </w:r>
      <w:r w:rsidRPr="00A11FE0">
        <w:rPr>
          <w:rFonts w:asciiTheme="majorHAnsi" w:hAnsiTheme="majorHAnsi"/>
        </w:rPr>
        <w:t xml:space="preserve"> viac </w:t>
      </w:r>
      <w:r w:rsidR="00BD5FD5">
        <w:rPr>
          <w:rFonts w:asciiTheme="majorHAnsi" w:hAnsiTheme="majorHAnsi"/>
        </w:rPr>
        <w:t>ak</w:t>
      </w:r>
      <w:r w:rsidRPr="00A11FE0">
        <w:rPr>
          <w:rFonts w:asciiTheme="majorHAnsi" w:hAnsiTheme="majorHAnsi"/>
        </w:rPr>
        <w:t xml:space="preserve">o </w:t>
      </w:r>
      <w:r w:rsidR="0057409B">
        <w:rPr>
          <w:rFonts w:asciiTheme="majorHAnsi" w:hAnsiTheme="majorHAnsi"/>
        </w:rPr>
        <w:t>v</w:t>
      </w:r>
      <w:r w:rsidR="00BC2D3E">
        <w:rPr>
          <w:rFonts w:asciiTheme="majorHAnsi" w:hAnsiTheme="majorHAnsi"/>
        </w:rPr>
        <w:t> Poľsku (11,8</w:t>
      </w:r>
      <w:r w:rsidR="003876F0">
        <w:rPr>
          <w:rFonts w:asciiTheme="majorHAnsi" w:hAnsiTheme="majorHAnsi"/>
        </w:rPr>
        <w:t xml:space="preserve"> </w:t>
      </w:r>
      <w:r w:rsidR="00BC2D3E">
        <w:rPr>
          <w:rFonts w:asciiTheme="majorHAnsi" w:hAnsiTheme="majorHAnsi"/>
        </w:rPr>
        <w:t xml:space="preserve">%) a v </w:t>
      </w:r>
      <w:r w:rsidRPr="00A11FE0">
        <w:rPr>
          <w:rFonts w:asciiTheme="majorHAnsi" w:hAnsiTheme="majorHAnsi"/>
        </w:rPr>
        <w:t>ČR (8,9</w:t>
      </w:r>
      <w:r w:rsidR="00515BA7" w:rsidRPr="00A11FE0">
        <w:rPr>
          <w:rFonts w:asciiTheme="majorHAnsi" w:hAnsiTheme="majorHAnsi"/>
        </w:rPr>
        <w:t> </w:t>
      </w:r>
      <w:r w:rsidRPr="00A11FE0">
        <w:rPr>
          <w:rFonts w:asciiTheme="majorHAnsi" w:hAnsiTheme="majorHAnsi"/>
        </w:rPr>
        <w:t>%)</w:t>
      </w:r>
      <w:r w:rsidRPr="00A11FE0">
        <w:rPr>
          <w:rStyle w:val="Odkaznapoznmkupodiarou"/>
          <w:rFonts w:asciiTheme="majorHAnsi" w:hAnsiTheme="majorHAnsi"/>
        </w:rPr>
        <w:footnoteReference w:id="104"/>
      </w:r>
      <w:r w:rsidRPr="00A11FE0">
        <w:rPr>
          <w:rFonts w:asciiTheme="majorHAnsi" w:hAnsiTheme="majorHAnsi"/>
        </w:rPr>
        <w:t xml:space="preserve">. </w:t>
      </w:r>
      <w:r w:rsidRPr="00A11FE0">
        <w:rPr>
          <w:rFonts w:asciiTheme="majorHAnsi" w:hAnsiTheme="majorHAnsi"/>
          <w:iCs/>
          <w:lang w:eastAsia="en-GB"/>
        </w:rPr>
        <w:t xml:space="preserve">Miera nezamestnanosti </w:t>
      </w:r>
      <w:r w:rsidR="00BD5FD5">
        <w:rPr>
          <w:rFonts w:asciiTheme="majorHAnsi" w:hAnsiTheme="majorHAnsi"/>
          <w:iCs/>
          <w:lang w:eastAsia="en-GB"/>
        </w:rPr>
        <w:t>s</w:t>
      </w:r>
      <w:r w:rsidRPr="00A11FE0">
        <w:rPr>
          <w:rFonts w:asciiTheme="majorHAnsi" w:hAnsiTheme="majorHAnsi"/>
          <w:iCs/>
          <w:lang w:eastAsia="en-GB"/>
        </w:rPr>
        <w:t xml:space="preserve">tarších zaznamenala v roku 2012 úroveň 11,1 %, čo bolo pod úrovňou celkovej miery </w:t>
      </w:r>
      <w:r w:rsidRPr="00A11FE0">
        <w:rPr>
          <w:rFonts w:asciiTheme="majorHAnsi" w:hAnsiTheme="majorHAnsi"/>
          <w:iCs/>
          <w:lang w:eastAsia="en-GB"/>
        </w:rPr>
        <w:lastRenderedPageBreak/>
        <w:t xml:space="preserve">nezamestnanosti (14 %). Miera nezamestnanosti osôb </w:t>
      </w:r>
      <w:r w:rsidR="00BD5FD5">
        <w:rPr>
          <w:rFonts w:asciiTheme="majorHAnsi" w:hAnsiTheme="majorHAnsi"/>
          <w:iCs/>
          <w:lang w:eastAsia="en-GB"/>
        </w:rPr>
        <w:t>s </w:t>
      </w:r>
      <w:r w:rsidRPr="00A11FE0">
        <w:rPr>
          <w:rFonts w:asciiTheme="majorHAnsi" w:hAnsiTheme="majorHAnsi"/>
          <w:iCs/>
          <w:lang w:eastAsia="en-GB"/>
        </w:rPr>
        <w:t xml:space="preserve">nízkym </w:t>
      </w:r>
      <w:r w:rsidR="00BD5FD5">
        <w:rPr>
          <w:rFonts w:asciiTheme="majorHAnsi" w:hAnsiTheme="majorHAnsi"/>
          <w:iCs/>
          <w:lang w:eastAsia="en-GB"/>
        </w:rPr>
        <w:t>s</w:t>
      </w:r>
      <w:r w:rsidRPr="00A11FE0">
        <w:rPr>
          <w:rFonts w:asciiTheme="majorHAnsi" w:hAnsiTheme="majorHAnsi"/>
          <w:iCs/>
          <w:lang w:eastAsia="en-GB"/>
        </w:rPr>
        <w:t xml:space="preserve">tupňom vzdelania (44,7 %) </w:t>
      </w:r>
      <w:r w:rsidR="0057409B">
        <w:rPr>
          <w:rFonts w:asciiTheme="majorHAnsi" w:hAnsiTheme="majorHAnsi"/>
          <w:iCs/>
          <w:lang w:eastAsia="en-GB"/>
        </w:rPr>
        <w:t xml:space="preserve">presiahla </w:t>
      </w:r>
      <w:r w:rsidRPr="00A11FE0">
        <w:rPr>
          <w:rFonts w:asciiTheme="majorHAnsi" w:hAnsiTheme="majorHAnsi"/>
          <w:iCs/>
          <w:lang w:eastAsia="en-GB"/>
        </w:rPr>
        <w:t xml:space="preserve">viac </w:t>
      </w:r>
      <w:r w:rsidR="00BD5FD5">
        <w:rPr>
          <w:rFonts w:asciiTheme="majorHAnsi" w:hAnsiTheme="majorHAnsi"/>
          <w:iCs/>
          <w:lang w:eastAsia="en-GB"/>
        </w:rPr>
        <w:t>ak</w:t>
      </w:r>
      <w:r w:rsidRPr="00A11FE0">
        <w:rPr>
          <w:rFonts w:asciiTheme="majorHAnsi" w:hAnsiTheme="majorHAnsi"/>
          <w:iCs/>
          <w:lang w:eastAsia="en-GB"/>
        </w:rPr>
        <w:t>o trojnásobne celkovú mieru nezamestnanosti.</w:t>
      </w:r>
    </w:p>
    <w:p w:rsidR="00C873A5" w:rsidRPr="003F0750" w:rsidRDefault="00C873A5" w:rsidP="003F0750">
      <w:pPr>
        <w:pStyle w:val="Style13"/>
        <w:spacing w:after="120" w:line="240" w:lineRule="auto"/>
        <w:ind w:firstLine="0"/>
        <w:rPr>
          <w:rFonts w:asciiTheme="majorHAnsi" w:hAnsiTheme="majorHAnsi"/>
          <w:iCs/>
          <w:sz w:val="22"/>
          <w:lang w:eastAsia="en-GB"/>
        </w:rPr>
      </w:pPr>
      <w:r w:rsidRPr="003F0750">
        <w:rPr>
          <w:rFonts w:asciiTheme="majorHAnsi" w:hAnsiTheme="majorHAnsi"/>
          <w:iCs/>
          <w:sz w:val="22"/>
          <w:lang w:eastAsia="en-GB"/>
        </w:rPr>
        <w:t>Počet nezamestnaných osôb v roku 2012 medziročne vzrástol vo väčšine krajov v</w:t>
      </w:r>
      <w:r w:rsidR="007C7BFF">
        <w:rPr>
          <w:rFonts w:asciiTheme="majorHAnsi" w:hAnsiTheme="majorHAnsi"/>
          <w:iCs/>
          <w:sz w:val="22"/>
          <w:lang w:eastAsia="en-GB"/>
        </w:rPr>
        <w:t> </w:t>
      </w:r>
      <w:r w:rsidRPr="003F0750">
        <w:rPr>
          <w:rFonts w:asciiTheme="majorHAnsi" w:hAnsiTheme="majorHAnsi"/>
          <w:iCs/>
          <w:sz w:val="22"/>
          <w:lang w:eastAsia="en-GB"/>
        </w:rPr>
        <w:t>rozsahu</w:t>
      </w:r>
      <w:r w:rsidR="007C7BFF">
        <w:rPr>
          <w:rFonts w:asciiTheme="majorHAnsi" w:hAnsiTheme="majorHAnsi"/>
          <w:iCs/>
          <w:sz w:val="22"/>
          <w:lang w:eastAsia="en-GB"/>
        </w:rPr>
        <w:t xml:space="preserve"> </w:t>
      </w:r>
      <w:r w:rsidRPr="003F0750">
        <w:rPr>
          <w:rFonts w:asciiTheme="majorHAnsi" w:hAnsiTheme="majorHAnsi"/>
          <w:iCs/>
          <w:sz w:val="22"/>
          <w:lang w:eastAsia="en-GB"/>
        </w:rPr>
        <w:t>od 0,6 % (Ž</w:t>
      </w:r>
      <w:r w:rsidR="00FE2F3F">
        <w:rPr>
          <w:rFonts w:asciiTheme="majorHAnsi" w:hAnsiTheme="majorHAnsi"/>
          <w:iCs/>
          <w:sz w:val="22"/>
          <w:lang w:eastAsia="en-GB"/>
        </w:rPr>
        <w:t>SK</w:t>
      </w:r>
      <w:r w:rsidRPr="003F0750">
        <w:rPr>
          <w:rFonts w:asciiTheme="majorHAnsi" w:hAnsiTheme="majorHAnsi"/>
          <w:iCs/>
          <w:sz w:val="22"/>
          <w:lang w:eastAsia="en-GB"/>
        </w:rPr>
        <w:t>) do 8,7 % (</w:t>
      </w:r>
      <w:r w:rsidR="00FE2F3F">
        <w:rPr>
          <w:rFonts w:asciiTheme="majorHAnsi" w:hAnsiTheme="majorHAnsi"/>
          <w:iCs/>
          <w:sz w:val="22"/>
          <w:lang w:eastAsia="en-GB"/>
        </w:rPr>
        <w:t>TTSK</w:t>
      </w:r>
      <w:r w:rsidRPr="003F0750">
        <w:rPr>
          <w:rFonts w:asciiTheme="majorHAnsi" w:hAnsiTheme="majorHAnsi"/>
          <w:iCs/>
          <w:sz w:val="22"/>
          <w:lang w:eastAsia="en-GB"/>
        </w:rPr>
        <w:t>). Nezamestnanosť klesla len v</w:t>
      </w:r>
      <w:r w:rsidR="00D31327">
        <w:rPr>
          <w:rFonts w:asciiTheme="majorHAnsi" w:hAnsiTheme="majorHAnsi"/>
          <w:iCs/>
          <w:sz w:val="22"/>
          <w:lang w:eastAsia="en-GB"/>
        </w:rPr>
        <w:t> </w:t>
      </w:r>
      <w:r w:rsidRPr="003F0750">
        <w:rPr>
          <w:rFonts w:asciiTheme="majorHAnsi" w:hAnsiTheme="majorHAnsi"/>
          <w:iCs/>
          <w:sz w:val="22"/>
          <w:lang w:eastAsia="en-GB"/>
        </w:rPr>
        <w:t>B</w:t>
      </w:r>
      <w:r w:rsidR="00FE2F3F">
        <w:rPr>
          <w:rFonts w:asciiTheme="majorHAnsi" w:hAnsiTheme="majorHAnsi"/>
          <w:iCs/>
          <w:sz w:val="22"/>
          <w:lang w:eastAsia="en-GB"/>
        </w:rPr>
        <w:t>SK</w:t>
      </w:r>
      <w:r w:rsidRPr="003F0750">
        <w:rPr>
          <w:rFonts w:asciiTheme="majorHAnsi" w:hAnsiTheme="majorHAnsi"/>
          <w:iCs/>
          <w:sz w:val="22"/>
          <w:lang w:eastAsia="en-GB"/>
        </w:rPr>
        <w:t xml:space="preserve"> (o 0,5 %). Na celkovom počte nezamestnaných v</w:t>
      </w:r>
      <w:r w:rsidR="00D31327">
        <w:rPr>
          <w:rFonts w:asciiTheme="majorHAnsi" w:hAnsiTheme="majorHAnsi"/>
          <w:iCs/>
          <w:sz w:val="22"/>
          <w:lang w:eastAsia="en-GB"/>
        </w:rPr>
        <w:t> </w:t>
      </w:r>
      <w:r w:rsidRPr="003F0750">
        <w:rPr>
          <w:rFonts w:asciiTheme="majorHAnsi" w:hAnsiTheme="majorHAnsi"/>
          <w:iCs/>
          <w:sz w:val="22"/>
          <w:lang w:eastAsia="en-GB"/>
        </w:rPr>
        <w:t>SR sa v najväčšej miere podieľali kraje východného Slovenska (K</w:t>
      </w:r>
      <w:r w:rsidR="00FE2F3F">
        <w:rPr>
          <w:rFonts w:asciiTheme="majorHAnsi" w:hAnsiTheme="majorHAnsi"/>
          <w:iCs/>
          <w:sz w:val="22"/>
          <w:lang w:eastAsia="en-GB"/>
        </w:rPr>
        <w:t>SK</w:t>
      </w:r>
      <w:r w:rsidRPr="003F0750">
        <w:rPr>
          <w:rFonts w:asciiTheme="majorHAnsi" w:hAnsiTheme="majorHAnsi"/>
          <w:iCs/>
          <w:sz w:val="22"/>
          <w:lang w:eastAsia="en-GB"/>
        </w:rPr>
        <w:t xml:space="preserve"> 19,6 % a P</w:t>
      </w:r>
      <w:r w:rsidR="00FE2F3F">
        <w:rPr>
          <w:rFonts w:asciiTheme="majorHAnsi" w:hAnsiTheme="majorHAnsi"/>
          <w:iCs/>
          <w:sz w:val="22"/>
          <w:lang w:eastAsia="en-GB"/>
        </w:rPr>
        <w:t>SK</w:t>
      </w:r>
      <w:r w:rsidR="00B51600" w:rsidRPr="00B51600">
        <w:rPr>
          <w:rFonts w:asciiTheme="majorHAnsi" w:hAnsiTheme="majorHAnsi"/>
          <w:iCs/>
          <w:sz w:val="22"/>
          <w:lang w:eastAsia="en-GB"/>
        </w:rPr>
        <w:t xml:space="preserve"> </w:t>
      </w:r>
      <w:r w:rsidRPr="003F0750">
        <w:rPr>
          <w:rFonts w:asciiTheme="majorHAnsi" w:hAnsiTheme="majorHAnsi"/>
          <w:iCs/>
          <w:sz w:val="22"/>
          <w:lang w:eastAsia="en-GB"/>
        </w:rPr>
        <w:t xml:space="preserve">18,5 %). Zároveň tieto dva </w:t>
      </w:r>
      <w:r w:rsidR="003E0566">
        <w:rPr>
          <w:rFonts w:asciiTheme="majorHAnsi" w:hAnsiTheme="majorHAnsi"/>
          <w:iCs/>
          <w:sz w:val="22"/>
          <w:lang w:eastAsia="en-GB"/>
        </w:rPr>
        <w:t xml:space="preserve">samosprávne </w:t>
      </w:r>
      <w:r w:rsidRPr="003F0750">
        <w:rPr>
          <w:rFonts w:asciiTheme="majorHAnsi" w:hAnsiTheme="majorHAnsi"/>
          <w:iCs/>
          <w:sz w:val="22"/>
          <w:lang w:eastAsia="en-GB"/>
        </w:rPr>
        <w:t>kraje</w:t>
      </w:r>
      <w:r w:rsidR="003E0566">
        <w:rPr>
          <w:rFonts w:asciiTheme="majorHAnsi" w:hAnsiTheme="majorHAnsi"/>
          <w:iCs/>
          <w:sz w:val="22"/>
          <w:lang w:eastAsia="en-GB"/>
        </w:rPr>
        <w:t>,</w:t>
      </w:r>
      <w:r w:rsidRPr="003F0750">
        <w:rPr>
          <w:rFonts w:asciiTheme="majorHAnsi" w:hAnsiTheme="majorHAnsi"/>
          <w:iCs/>
          <w:sz w:val="22"/>
          <w:lang w:eastAsia="en-GB"/>
        </w:rPr>
        <w:t xml:space="preserve"> spolu s </w:t>
      </w:r>
      <w:r w:rsidR="00B51600">
        <w:rPr>
          <w:rFonts w:asciiTheme="majorHAnsi" w:hAnsiTheme="majorHAnsi"/>
          <w:iCs/>
          <w:sz w:val="22"/>
          <w:lang w:eastAsia="en-GB"/>
        </w:rPr>
        <w:t>B</w:t>
      </w:r>
      <w:r w:rsidR="00FE2F3F">
        <w:rPr>
          <w:rFonts w:asciiTheme="majorHAnsi" w:hAnsiTheme="majorHAnsi"/>
          <w:iCs/>
          <w:sz w:val="22"/>
          <w:lang w:eastAsia="en-GB"/>
        </w:rPr>
        <w:t>BSK</w:t>
      </w:r>
      <w:r w:rsidR="003E0566">
        <w:rPr>
          <w:rFonts w:asciiTheme="majorHAnsi" w:hAnsiTheme="majorHAnsi"/>
          <w:iCs/>
          <w:sz w:val="22"/>
          <w:lang w:eastAsia="en-GB"/>
        </w:rPr>
        <w:t>,</w:t>
      </w:r>
      <w:r w:rsidRPr="003F0750">
        <w:rPr>
          <w:rFonts w:asciiTheme="majorHAnsi" w:hAnsiTheme="majorHAnsi"/>
          <w:iCs/>
          <w:sz w:val="22"/>
          <w:lang w:eastAsia="en-GB"/>
        </w:rPr>
        <w:t xml:space="preserve"> vykázali aj najvyššiu úroveň miery nezamestnanosti (K</w:t>
      </w:r>
      <w:r w:rsidR="00FE2F3F">
        <w:rPr>
          <w:rFonts w:asciiTheme="majorHAnsi" w:hAnsiTheme="majorHAnsi"/>
          <w:iCs/>
          <w:sz w:val="22"/>
          <w:lang w:eastAsia="en-GB"/>
        </w:rPr>
        <w:t>SK</w:t>
      </w:r>
      <w:r w:rsidR="00B51600" w:rsidRPr="00B51600">
        <w:rPr>
          <w:rFonts w:asciiTheme="majorHAnsi" w:hAnsiTheme="majorHAnsi"/>
          <w:iCs/>
          <w:sz w:val="22"/>
          <w:lang w:eastAsia="en-GB"/>
        </w:rPr>
        <w:t xml:space="preserve"> </w:t>
      </w:r>
      <w:r w:rsidRPr="003F0750">
        <w:rPr>
          <w:rFonts w:asciiTheme="majorHAnsi" w:hAnsiTheme="majorHAnsi"/>
          <w:iCs/>
          <w:sz w:val="22"/>
          <w:lang w:eastAsia="en-GB"/>
        </w:rPr>
        <w:t>19,7 %, P</w:t>
      </w:r>
      <w:r w:rsidR="00FE2F3F">
        <w:rPr>
          <w:rFonts w:asciiTheme="majorHAnsi" w:hAnsiTheme="majorHAnsi"/>
          <w:iCs/>
          <w:sz w:val="22"/>
          <w:lang w:eastAsia="en-GB"/>
        </w:rPr>
        <w:t>SK</w:t>
      </w:r>
      <w:r w:rsidR="003876F0">
        <w:rPr>
          <w:rFonts w:asciiTheme="majorHAnsi" w:hAnsiTheme="majorHAnsi"/>
          <w:iCs/>
          <w:sz w:val="22"/>
          <w:lang w:eastAsia="en-GB"/>
        </w:rPr>
        <w:t xml:space="preserve"> </w:t>
      </w:r>
      <w:r w:rsidRPr="003F0750">
        <w:rPr>
          <w:rFonts w:asciiTheme="majorHAnsi" w:hAnsiTheme="majorHAnsi"/>
          <w:iCs/>
          <w:sz w:val="22"/>
          <w:lang w:eastAsia="en-GB"/>
        </w:rPr>
        <w:t>18,3 %, B</w:t>
      </w:r>
      <w:r w:rsidR="00FE2F3F">
        <w:rPr>
          <w:rFonts w:asciiTheme="majorHAnsi" w:hAnsiTheme="majorHAnsi"/>
          <w:iCs/>
          <w:sz w:val="22"/>
          <w:lang w:eastAsia="en-GB"/>
        </w:rPr>
        <w:t xml:space="preserve">BSK </w:t>
      </w:r>
      <w:r w:rsidRPr="003F0750">
        <w:rPr>
          <w:rFonts w:asciiTheme="majorHAnsi" w:hAnsiTheme="majorHAnsi"/>
          <w:iCs/>
          <w:sz w:val="22"/>
          <w:lang w:eastAsia="en-GB"/>
        </w:rPr>
        <w:t xml:space="preserve">18,0 %). Miera nezamestnanosti sa medziročne zvýšila vo všetkých krajoch s výnimkou </w:t>
      </w:r>
      <w:r w:rsidR="00B51600">
        <w:rPr>
          <w:rFonts w:asciiTheme="majorHAnsi" w:hAnsiTheme="majorHAnsi"/>
          <w:iCs/>
          <w:sz w:val="22"/>
          <w:lang w:eastAsia="en-GB"/>
        </w:rPr>
        <w:t>B</w:t>
      </w:r>
      <w:r w:rsidR="00FE2F3F">
        <w:rPr>
          <w:rFonts w:asciiTheme="majorHAnsi" w:hAnsiTheme="majorHAnsi"/>
          <w:iCs/>
          <w:sz w:val="22"/>
          <w:lang w:eastAsia="en-GB"/>
        </w:rPr>
        <w:t>SK</w:t>
      </w:r>
      <w:r w:rsidRPr="003F0750">
        <w:rPr>
          <w:rFonts w:asciiTheme="majorHAnsi" w:hAnsiTheme="majorHAnsi"/>
          <w:iCs/>
          <w:sz w:val="22"/>
          <w:lang w:eastAsia="en-GB"/>
        </w:rPr>
        <w:t>, najviac v</w:t>
      </w:r>
      <w:r w:rsidR="0083589D">
        <w:rPr>
          <w:rFonts w:asciiTheme="majorHAnsi" w:hAnsiTheme="majorHAnsi"/>
          <w:iCs/>
          <w:sz w:val="22"/>
          <w:lang w:eastAsia="en-GB"/>
        </w:rPr>
        <w:t> </w:t>
      </w:r>
      <w:r w:rsidRPr="003F0750">
        <w:rPr>
          <w:rFonts w:asciiTheme="majorHAnsi" w:hAnsiTheme="majorHAnsi"/>
          <w:iCs/>
          <w:sz w:val="22"/>
          <w:lang w:eastAsia="en-GB"/>
        </w:rPr>
        <w:t>T</w:t>
      </w:r>
      <w:r w:rsidR="00FE2F3F">
        <w:rPr>
          <w:rFonts w:asciiTheme="majorHAnsi" w:hAnsiTheme="majorHAnsi"/>
          <w:iCs/>
          <w:sz w:val="22"/>
          <w:lang w:eastAsia="en-GB"/>
        </w:rPr>
        <w:t>TSK</w:t>
      </w:r>
      <w:r w:rsidRPr="003F0750">
        <w:rPr>
          <w:rFonts w:asciiTheme="majorHAnsi" w:hAnsiTheme="majorHAnsi"/>
          <w:iCs/>
          <w:sz w:val="22"/>
          <w:lang w:eastAsia="en-GB"/>
        </w:rPr>
        <w:t xml:space="preserve"> a</w:t>
      </w:r>
      <w:r w:rsidR="00FE2F3F">
        <w:rPr>
          <w:rFonts w:asciiTheme="majorHAnsi" w:hAnsiTheme="majorHAnsi"/>
          <w:iCs/>
          <w:sz w:val="22"/>
          <w:lang w:eastAsia="en-GB"/>
        </w:rPr>
        <w:t> </w:t>
      </w:r>
      <w:r w:rsidRPr="003F0750">
        <w:rPr>
          <w:rFonts w:asciiTheme="majorHAnsi" w:hAnsiTheme="majorHAnsi"/>
          <w:iCs/>
          <w:sz w:val="22"/>
          <w:lang w:eastAsia="en-GB"/>
        </w:rPr>
        <w:t>N</w:t>
      </w:r>
      <w:r w:rsidR="00FE2F3F">
        <w:rPr>
          <w:rFonts w:asciiTheme="majorHAnsi" w:hAnsiTheme="majorHAnsi"/>
          <w:iCs/>
          <w:sz w:val="22"/>
          <w:lang w:eastAsia="en-GB"/>
        </w:rPr>
        <w:t>SK</w:t>
      </w:r>
      <w:r w:rsidRPr="003F0750">
        <w:rPr>
          <w:rFonts w:asciiTheme="majorHAnsi" w:hAnsiTheme="majorHAnsi"/>
          <w:iCs/>
          <w:sz w:val="22"/>
          <w:lang w:eastAsia="en-GB"/>
        </w:rPr>
        <w:t xml:space="preserve"> (zhodne o 0,8 p. b.)</w:t>
      </w:r>
      <w:r>
        <w:rPr>
          <w:rStyle w:val="Odkaznapoznmkupodiarou"/>
          <w:rFonts w:asciiTheme="majorHAnsi" w:hAnsiTheme="majorHAnsi"/>
          <w:iCs/>
          <w:sz w:val="22"/>
          <w:lang w:eastAsia="en-GB"/>
        </w:rPr>
        <w:footnoteReference w:id="105"/>
      </w:r>
      <w:r w:rsidRPr="003F0750">
        <w:rPr>
          <w:rFonts w:asciiTheme="majorHAnsi" w:hAnsiTheme="majorHAnsi"/>
          <w:iCs/>
          <w:sz w:val="22"/>
          <w:lang w:eastAsia="en-GB"/>
        </w:rPr>
        <w:t>.</w:t>
      </w:r>
    </w:p>
    <w:p w:rsidR="00406C25" w:rsidRPr="00A11FE0" w:rsidRDefault="00406C25" w:rsidP="004663FC">
      <w:pPr>
        <w:pStyle w:val="Nadpis5"/>
        <w:numPr>
          <w:ilvl w:val="4"/>
          <w:numId w:val="2"/>
        </w:numPr>
        <w:ind w:left="1292"/>
      </w:pPr>
      <w:r w:rsidRPr="00A11FE0">
        <w:t>Dlhodobá nezamestnanosť</w:t>
      </w:r>
    </w:p>
    <w:p w:rsidR="00406C25" w:rsidRPr="00A11FE0" w:rsidRDefault="00406C25" w:rsidP="00406C25">
      <w:pPr>
        <w:rPr>
          <w:rFonts w:asciiTheme="majorHAnsi" w:hAnsiTheme="majorHAnsi"/>
          <w:szCs w:val="22"/>
        </w:rPr>
      </w:pPr>
      <w:r w:rsidRPr="00A11FE0">
        <w:rPr>
          <w:rFonts w:asciiTheme="majorHAnsi" w:hAnsiTheme="majorHAnsi"/>
          <w:szCs w:val="22"/>
        </w:rPr>
        <w:t xml:space="preserve">Miera dlhodobej nezamestnanosti patrí </w:t>
      </w:r>
      <w:r w:rsidR="00BD5FD5">
        <w:rPr>
          <w:rFonts w:asciiTheme="majorHAnsi" w:hAnsiTheme="majorHAnsi"/>
          <w:szCs w:val="22"/>
        </w:rPr>
        <w:t>s </w:t>
      </w:r>
      <w:r w:rsidRPr="00A11FE0">
        <w:rPr>
          <w:rFonts w:asciiTheme="majorHAnsi" w:hAnsiTheme="majorHAnsi"/>
          <w:szCs w:val="22"/>
        </w:rPr>
        <w:t xml:space="preserve">viac </w:t>
      </w:r>
      <w:r w:rsidR="00BD5FD5">
        <w:rPr>
          <w:rFonts w:asciiTheme="majorHAnsi" w:hAnsiTheme="majorHAnsi"/>
          <w:szCs w:val="22"/>
        </w:rPr>
        <w:t>ak</w:t>
      </w:r>
      <w:r w:rsidRPr="00A11FE0">
        <w:rPr>
          <w:rFonts w:asciiTheme="majorHAnsi" w:hAnsiTheme="majorHAnsi"/>
          <w:szCs w:val="22"/>
        </w:rPr>
        <w:t>o 9 % medzi najvyššie v</w:t>
      </w:r>
      <w:r w:rsidR="009F1230">
        <w:rPr>
          <w:rFonts w:asciiTheme="majorHAnsi" w:hAnsiTheme="majorHAnsi"/>
          <w:szCs w:val="22"/>
        </w:rPr>
        <w:t> </w:t>
      </w:r>
      <w:r w:rsidRPr="00A11FE0">
        <w:rPr>
          <w:rFonts w:asciiTheme="majorHAnsi" w:hAnsiTheme="majorHAnsi"/>
          <w:szCs w:val="22"/>
        </w:rPr>
        <w:t>EÚ. Vyplýva hlavne z</w:t>
      </w:r>
      <w:r w:rsidR="00C80098">
        <w:rPr>
          <w:rFonts w:asciiTheme="majorHAnsi" w:hAnsiTheme="majorHAnsi"/>
          <w:szCs w:val="22"/>
        </w:rPr>
        <w:t> </w:t>
      </w:r>
      <w:r w:rsidRPr="00A11FE0">
        <w:rPr>
          <w:rFonts w:asciiTheme="majorHAnsi" w:hAnsiTheme="majorHAnsi"/>
          <w:szCs w:val="22"/>
        </w:rPr>
        <w:t>vysokej</w:t>
      </w:r>
      <w:r w:rsidR="00C80098">
        <w:rPr>
          <w:rFonts w:asciiTheme="majorHAnsi" w:hAnsiTheme="majorHAnsi"/>
          <w:szCs w:val="22"/>
        </w:rPr>
        <w:t xml:space="preserve"> </w:t>
      </w:r>
      <w:r w:rsidRPr="00A11FE0">
        <w:rPr>
          <w:rFonts w:asciiTheme="majorHAnsi" w:hAnsiTheme="majorHAnsi"/>
          <w:szCs w:val="22"/>
        </w:rPr>
        <w:t xml:space="preserve">nezamestnanosti medzi mladými, dlhodobej nezamestnanosti nízko </w:t>
      </w:r>
      <w:r w:rsidR="00BD5FD5">
        <w:rPr>
          <w:rFonts w:asciiTheme="majorHAnsi" w:hAnsiTheme="majorHAnsi"/>
          <w:szCs w:val="22"/>
        </w:rPr>
        <w:t>k</w:t>
      </w:r>
      <w:r w:rsidRPr="00A11FE0">
        <w:rPr>
          <w:rFonts w:asciiTheme="majorHAnsi" w:hAnsiTheme="majorHAnsi"/>
          <w:szCs w:val="22"/>
        </w:rPr>
        <w:t xml:space="preserve">valifikovanej pracovnej </w:t>
      </w:r>
      <w:r w:rsidR="00BD5FD5">
        <w:rPr>
          <w:rFonts w:asciiTheme="majorHAnsi" w:hAnsiTheme="majorHAnsi"/>
          <w:szCs w:val="22"/>
        </w:rPr>
        <w:t>s</w:t>
      </w:r>
      <w:r w:rsidRPr="00A11FE0">
        <w:rPr>
          <w:rFonts w:asciiTheme="majorHAnsi" w:hAnsiTheme="majorHAnsi"/>
          <w:szCs w:val="22"/>
        </w:rPr>
        <w:t>ily</w:t>
      </w:r>
      <w:r w:rsidRPr="00A11FE0">
        <w:rPr>
          <w:rFonts w:asciiTheme="majorHAnsi" w:hAnsiTheme="majorHAnsi"/>
        </w:rPr>
        <w:t xml:space="preserve"> </w:t>
      </w:r>
      <w:r w:rsidR="00BD5FD5">
        <w:rPr>
          <w:rFonts w:asciiTheme="majorHAnsi" w:hAnsiTheme="majorHAnsi"/>
          <w:szCs w:val="22"/>
        </w:rPr>
        <w:t>a </w:t>
      </w:r>
      <w:r w:rsidRPr="00A11FE0">
        <w:rPr>
          <w:rFonts w:asciiTheme="majorHAnsi" w:hAnsiTheme="majorHAnsi"/>
          <w:szCs w:val="22"/>
        </w:rPr>
        <w:t>obyvateľov</w:t>
      </w:r>
      <w:r w:rsidR="009E4A61" w:rsidRPr="00A11FE0">
        <w:rPr>
          <w:rFonts w:asciiTheme="majorHAnsi" w:hAnsiTheme="majorHAnsi"/>
          <w:szCs w:val="22"/>
        </w:rPr>
        <w:t xml:space="preserve"> </w:t>
      </w:r>
      <w:r w:rsidRPr="00A11FE0">
        <w:rPr>
          <w:rFonts w:asciiTheme="majorHAnsi" w:hAnsiTheme="majorHAnsi"/>
          <w:szCs w:val="22"/>
        </w:rPr>
        <w:t xml:space="preserve">nad 50 rokov, </w:t>
      </w:r>
      <w:r w:rsidR="00BD5FD5">
        <w:rPr>
          <w:rFonts w:asciiTheme="majorHAnsi" w:hAnsiTheme="majorHAnsi"/>
          <w:szCs w:val="22"/>
        </w:rPr>
        <w:t>k</w:t>
      </w:r>
      <w:r w:rsidRPr="00A11FE0">
        <w:rPr>
          <w:rFonts w:asciiTheme="majorHAnsi" w:hAnsiTheme="majorHAnsi"/>
          <w:szCs w:val="22"/>
        </w:rPr>
        <w:t xml:space="preserve">torí </w:t>
      </w:r>
      <w:r w:rsidR="00BD5FD5">
        <w:rPr>
          <w:rFonts w:asciiTheme="majorHAnsi" w:hAnsiTheme="majorHAnsi"/>
          <w:szCs w:val="22"/>
        </w:rPr>
        <w:t>s</w:t>
      </w:r>
      <w:r w:rsidRPr="00A11FE0">
        <w:rPr>
          <w:rFonts w:asciiTheme="majorHAnsi" w:hAnsiTheme="majorHAnsi"/>
          <w:szCs w:val="22"/>
        </w:rPr>
        <w:t xml:space="preserve">tratili prácu </w:t>
      </w:r>
      <w:r w:rsidR="00BD5FD5">
        <w:rPr>
          <w:rFonts w:asciiTheme="majorHAnsi" w:hAnsiTheme="majorHAnsi"/>
          <w:szCs w:val="22"/>
        </w:rPr>
        <w:t>a </w:t>
      </w:r>
      <w:r w:rsidRPr="00A11FE0">
        <w:rPr>
          <w:rFonts w:asciiTheme="majorHAnsi" w:hAnsiTheme="majorHAnsi"/>
          <w:szCs w:val="22"/>
        </w:rPr>
        <w:t xml:space="preserve">majú problém </w:t>
      </w:r>
      <w:r w:rsidR="00BD5FD5">
        <w:rPr>
          <w:rFonts w:asciiTheme="majorHAnsi" w:hAnsiTheme="majorHAnsi"/>
          <w:szCs w:val="22"/>
        </w:rPr>
        <w:t>s</w:t>
      </w:r>
      <w:r w:rsidRPr="00A11FE0">
        <w:rPr>
          <w:rFonts w:asciiTheme="majorHAnsi" w:hAnsiTheme="majorHAnsi"/>
          <w:szCs w:val="22"/>
        </w:rPr>
        <w:t>a zamestnať. Presné štatistiky o</w:t>
      </w:r>
      <w:r w:rsidR="009E4A61" w:rsidRPr="00A11FE0">
        <w:rPr>
          <w:rFonts w:asciiTheme="majorHAnsi" w:hAnsiTheme="majorHAnsi"/>
          <w:szCs w:val="22"/>
        </w:rPr>
        <w:t> </w:t>
      </w:r>
      <w:r w:rsidRPr="00A11FE0">
        <w:rPr>
          <w:rFonts w:asciiTheme="majorHAnsi" w:hAnsiTheme="majorHAnsi"/>
          <w:szCs w:val="22"/>
        </w:rPr>
        <w:t>nezamestnanosti</w:t>
      </w:r>
      <w:r w:rsidR="009E4A61" w:rsidRPr="00A11FE0">
        <w:rPr>
          <w:rFonts w:asciiTheme="majorHAnsi" w:hAnsiTheme="majorHAnsi"/>
          <w:szCs w:val="22"/>
        </w:rPr>
        <w:t xml:space="preserve"> </w:t>
      </w:r>
      <w:r w:rsidRPr="00A11FE0">
        <w:rPr>
          <w:rFonts w:asciiTheme="majorHAnsi" w:hAnsiTheme="majorHAnsi"/>
          <w:szCs w:val="22"/>
        </w:rPr>
        <w:t xml:space="preserve">Rómov neexistujú, možno vyslovovať iba odhady na základe posúdenia </w:t>
      </w:r>
      <w:r w:rsidR="00BD5FD5">
        <w:rPr>
          <w:rFonts w:asciiTheme="majorHAnsi" w:hAnsiTheme="majorHAnsi"/>
          <w:szCs w:val="22"/>
        </w:rPr>
        <w:t>s</w:t>
      </w:r>
      <w:r w:rsidRPr="00A11FE0">
        <w:rPr>
          <w:rFonts w:asciiTheme="majorHAnsi" w:hAnsiTheme="majorHAnsi"/>
          <w:szCs w:val="22"/>
        </w:rPr>
        <w:t>ituácie v</w:t>
      </w:r>
      <w:r w:rsidR="009E4A61" w:rsidRPr="00A11FE0">
        <w:rPr>
          <w:rFonts w:asciiTheme="majorHAnsi" w:hAnsiTheme="majorHAnsi"/>
          <w:szCs w:val="22"/>
        </w:rPr>
        <w:t> </w:t>
      </w:r>
      <w:r w:rsidRPr="00A11FE0">
        <w:rPr>
          <w:rFonts w:asciiTheme="majorHAnsi" w:hAnsiTheme="majorHAnsi"/>
          <w:szCs w:val="22"/>
        </w:rPr>
        <w:t>lokalitách</w:t>
      </w:r>
      <w:r w:rsidR="009E4A61" w:rsidRPr="00A11FE0">
        <w:rPr>
          <w:rFonts w:asciiTheme="majorHAnsi" w:hAnsiTheme="majorHAnsi"/>
          <w:szCs w:val="22"/>
        </w:rPr>
        <w:t xml:space="preserve"> </w:t>
      </w:r>
      <w:r w:rsidR="00BD5FD5">
        <w:rPr>
          <w:rFonts w:asciiTheme="majorHAnsi" w:hAnsiTheme="majorHAnsi"/>
          <w:szCs w:val="22"/>
        </w:rPr>
        <w:t>s </w:t>
      </w:r>
      <w:r w:rsidRPr="00A11FE0">
        <w:rPr>
          <w:rFonts w:asciiTheme="majorHAnsi" w:hAnsiTheme="majorHAnsi"/>
          <w:szCs w:val="22"/>
        </w:rPr>
        <w:t>vysokým počtom rómskeho obyvateľstva. Na základe údajov z</w:t>
      </w:r>
      <w:r w:rsidR="00C80098">
        <w:rPr>
          <w:rFonts w:asciiTheme="majorHAnsi" w:hAnsiTheme="majorHAnsi"/>
          <w:szCs w:val="22"/>
        </w:rPr>
        <w:t> </w:t>
      </w:r>
      <w:r w:rsidRPr="00A11FE0">
        <w:rPr>
          <w:rFonts w:asciiTheme="majorHAnsi" w:hAnsiTheme="majorHAnsi"/>
          <w:szCs w:val="22"/>
        </w:rPr>
        <w:t>prieskumov</w:t>
      </w:r>
      <w:r w:rsidR="00C80098">
        <w:rPr>
          <w:rFonts w:asciiTheme="majorHAnsi" w:hAnsiTheme="majorHAnsi"/>
          <w:szCs w:val="22"/>
        </w:rPr>
        <w:t xml:space="preserve"> </w:t>
      </w:r>
      <w:r w:rsidRPr="00A11FE0">
        <w:rPr>
          <w:rFonts w:asciiTheme="majorHAnsi" w:hAnsiTheme="majorHAnsi"/>
          <w:szCs w:val="22"/>
        </w:rPr>
        <w:t>o</w:t>
      </w:r>
      <w:r w:rsidR="00285918">
        <w:rPr>
          <w:rFonts w:asciiTheme="majorHAnsi" w:hAnsiTheme="majorHAnsi"/>
          <w:szCs w:val="22"/>
        </w:rPr>
        <w:t> </w:t>
      </w:r>
      <w:r w:rsidRPr="00A11FE0">
        <w:rPr>
          <w:rFonts w:asciiTheme="majorHAnsi" w:hAnsiTheme="majorHAnsi"/>
          <w:szCs w:val="22"/>
        </w:rPr>
        <w:t>nezamestnanosti</w:t>
      </w:r>
      <w:r w:rsidR="00285918">
        <w:rPr>
          <w:rFonts w:asciiTheme="majorHAnsi" w:hAnsiTheme="majorHAnsi"/>
          <w:szCs w:val="22"/>
        </w:rPr>
        <w:t xml:space="preserve"> </w:t>
      </w:r>
      <w:r w:rsidRPr="00A11FE0">
        <w:rPr>
          <w:rFonts w:asciiTheme="majorHAnsi" w:hAnsiTheme="majorHAnsi"/>
          <w:szCs w:val="22"/>
        </w:rPr>
        <w:t>rómskej populácie z</w:t>
      </w:r>
      <w:r w:rsidR="003239E1">
        <w:rPr>
          <w:rFonts w:asciiTheme="majorHAnsi" w:hAnsiTheme="majorHAnsi"/>
          <w:szCs w:val="22"/>
        </w:rPr>
        <w:t> </w:t>
      </w:r>
      <w:r w:rsidRPr="00A11FE0">
        <w:rPr>
          <w:rFonts w:asciiTheme="majorHAnsi" w:hAnsiTheme="majorHAnsi"/>
          <w:szCs w:val="22"/>
        </w:rPr>
        <w:t>predchádzajúceho</w:t>
      </w:r>
      <w:r w:rsidR="003239E1">
        <w:rPr>
          <w:rFonts w:asciiTheme="majorHAnsi" w:hAnsiTheme="majorHAnsi"/>
          <w:szCs w:val="22"/>
        </w:rPr>
        <w:t xml:space="preserve"> </w:t>
      </w:r>
      <w:r w:rsidRPr="00A11FE0">
        <w:rPr>
          <w:rFonts w:asciiTheme="majorHAnsi" w:hAnsiTheme="majorHAnsi"/>
          <w:szCs w:val="22"/>
        </w:rPr>
        <w:t>obdobia je zrejmé, že počet nezamestnaných Rómov v</w:t>
      </w:r>
      <w:r w:rsidR="003239E1">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w:t>
      </w:r>
      <w:r w:rsidR="003239E1">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ystematicky rastie </w:t>
      </w:r>
      <w:r w:rsidR="00BD5FD5">
        <w:rPr>
          <w:rFonts w:asciiTheme="majorHAnsi" w:hAnsiTheme="majorHAnsi"/>
          <w:szCs w:val="22"/>
        </w:rPr>
        <w:t>a </w:t>
      </w:r>
      <w:r w:rsidRPr="00A11FE0">
        <w:rPr>
          <w:rFonts w:asciiTheme="majorHAnsi" w:hAnsiTheme="majorHAnsi"/>
          <w:szCs w:val="22"/>
        </w:rPr>
        <w:t>rómska populácia tvorí výraznú väčšinu dlhodobo nezamestnaných v</w:t>
      </w:r>
      <w:r w:rsidR="003239E1">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w:t>
      </w:r>
      <w:r w:rsidR="008E7522" w:rsidRPr="008E7522">
        <w:rPr>
          <w:rFonts w:asciiTheme="majorHAnsi" w:hAnsiTheme="majorHAnsi"/>
          <w:szCs w:val="22"/>
          <w:vertAlign w:val="superscript"/>
        </w:rPr>
        <w:footnoteReference w:id="106"/>
      </w:r>
      <w:r w:rsidR="003E0566">
        <w:rPr>
          <w:rFonts w:asciiTheme="majorHAnsi" w:hAnsiTheme="majorHAnsi"/>
          <w:szCs w:val="22"/>
        </w:rPr>
        <w:t>.</w:t>
      </w:r>
      <w:r w:rsidR="004E2F85">
        <w:rPr>
          <w:rFonts w:asciiTheme="majorHAnsi" w:hAnsiTheme="majorHAnsi"/>
          <w:szCs w:val="22"/>
        </w:rPr>
        <w:t xml:space="preserve"> </w:t>
      </w:r>
      <w:r w:rsidRPr="00A11FE0">
        <w:rPr>
          <w:rFonts w:asciiTheme="majorHAnsi" w:hAnsiTheme="majorHAnsi"/>
          <w:szCs w:val="22"/>
        </w:rPr>
        <w:t>V</w:t>
      </w:r>
      <w:r w:rsidR="00FE2F3F">
        <w:rPr>
          <w:rFonts w:asciiTheme="majorHAnsi" w:hAnsiTheme="majorHAnsi"/>
          <w:szCs w:val="22"/>
        </w:rPr>
        <w:t> </w:t>
      </w:r>
      <w:r w:rsidRPr="00A11FE0">
        <w:rPr>
          <w:rFonts w:asciiTheme="majorHAnsi" w:hAnsiTheme="majorHAnsi"/>
          <w:szCs w:val="22"/>
        </w:rPr>
        <w:t xml:space="preserve">roku 2012 bolo podľa údajov výberového zisťovania pracovných </w:t>
      </w:r>
      <w:r w:rsidR="00BD5FD5">
        <w:rPr>
          <w:rFonts w:asciiTheme="majorHAnsi" w:hAnsiTheme="majorHAnsi"/>
          <w:szCs w:val="22"/>
        </w:rPr>
        <w:t>s</w:t>
      </w:r>
      <w:r w:rsidRPr="00A11FE0">
        <w:rPr>
          <w:rFonts w:asciiTheme="majorHAnsi" w:hAnsiTheme="majorHAnsi"/>
          <w:szCs w:val="22"/>
        </w:rPr>
        <w:t xml:space="preserve">íl bez práce dlhšie </w:t>
      </w:r>
      <w:r w:rsidR="00BD5FD5">
        <w:rPr>
          <w:rFonts w:asciiTheme="majorHAnsi" w:hAnsiTheme="majorHAnsi"/>
          <w:szCs w:val="22"/>
        </w:rPr>
        <w:t>ak</w:t>
      </w:r>
      <w:r w:rsidRPr="00A11FE0">
        <w:rPr>
          <w:rFonts w:asciiTheme="majorHAnsi" w:hAnsiTheme="majorHAnsi"/>
          <w:szCs w:val="22"/>
        </w:rPr>
        <w:t>o 1 rok</w:t>
      </w:r>
      <w:r w:rsidR="00821009" w:rsidRPr="00A11FE0">
        <w:rPr>
          <w:rFonts w:asciiTheme="majorHAnsi" w:hAnsiTheme="majorHAnsi"/>
          <w:szCs w:val="22"/>
        </w:rPr>
        <w:t xml:space="preserve">, </w:t>
      </w:r>
      <w:r w:rsidRPr="00A11FE0">
        <w:rPr>
          <w:rFonts w:asciiTheme="majorHAnsi" w:hAnsiTheme="majorHAnsi"/>
          <w:szCs w:val="22"/>
        </w:rPr>
        <w:t xml:space="preserve">viac </w:t>
      </w:r>
      <w:r w:rsidR="00BD5FD5">
        <w:rPr>
          <w:rFonts w:asciiTheme="majorHAnsi" w:hAnsiTheme="majorHAnsi"/>
          <w:szCs w:val="22"/>
        </w:rPr>
        <w:t>ak</w:t>
      </w:r>
      <w:r w:rsidRPr="00A11FE0">
        <w:rPr>
          <w:rFonts w:asciiTheme="majorHAnsi" w:hAnsiTheme="majorHAnsi"/>
          <w:szCs w:val="22"/>
        </w:rPr>
        <w:t xml:space="preserve">o 60 % nezamestnaných. Problém je predovšetkým </w:t>
      </w:r>
      <w:r w:rsidR="00BD5FD5">
        <w:rPr>
          <w:rFonts w:asciiTheme="majorHAnsi" w:hAnsiTheme="majorHAnsi"/>
          <w:szCs w:val="22"/>
        </w:rPr>
        <w:t>s </w:t>
      </w:r>
      <w:r w:rsidRPr="00A11FE0">
        <w:rPr>
          <w:rFonts w:asciiTheme="majorHAnsi" w:hAnsiTheme="majorHAnsi"/>
          <w:szCs w:val="22"/>
        </w:rPr>
        <w:t xml:space="preserve">veľmi dlhodobou nezamestnanosťou (nezamestnaní viac </w:t>
      </w:r>
      <w:r w:rsidR="00BD5FD5">
        <w:rPr>
          <w:rFonts w:asciiTheme="majorHAnsi" w:hAnsiTheme="majorHAnsi"/>
          <w:szCs w:val="22"/>
        </w:rPr>
        <w:t>ak</w:t>
      </w:r>
      <w:r w:rsidRPr="00A11FE0">
        <w:rPr>
          <w:rFonts w:asciiTheme="majorHAnsi" w:hAnsiTheme="majorHAnsi"/>
          <w:szCs w:val="22"/>
        </w:rPr>
        <w:t>o 2 roky). Z</w:t>
      </w:r>
      <w:r w:rsidR="003239E1">
        <w:rPr>
          <w:rFonts w:asciiTheme="majorHAnsi" w:hAnsiTheme="majorHAnsi"/>
          <w:szCs w:val="22"/>
        </w:rPr>
        <w:t> </w:t>
      </w:r>
      <w:r w:rsidRPr="00A11FE0">
        <w:rPr>
          <w:rFonts w:asciiTheme="majorHAnsi" w:hAnsiTheme="majorHAnsi"/>
          <w:szCs w:val="22"/>
        </w:rPr>
        <w:t>hľadiska</w:t>
      </w:r>
      <w:r w:rsidR="003239E1">
        <w:rPr>
          <w:rFonts w:asciiTheme="majorHAnsi" w:hAnsiTheme="majorHAnsi"/>
          <w:szCs w:val="22"/>
        </w:rPr>
        <w:t xml:space="preserve"> </w:t>
      </w:r>
      <w:r w:rsidRPr="00A11FE0">
        <w:rPr>
          <w:rFonts w:asciiTheme="majorHAnsi" w:hAnsiTheme="majorHAnsi"/>
          <w:szCs w:val="22"/>
        </w:rPr>
        <w:t>vzdelania</w:t>
      </w:r>
      <w:r w:rsidR="0057409B">
        <w:rPr>
          <w:rFonts w:asciiTheme="majorHAnsi" w:hAnsiTheme="majorHAnsi"/>
          <w:szCs w:val="22"/>
        </w:rPr>
        <w:t>,</w:t>
      </w:r>
      <w:r w:rsidRPr="00A11FE0">
        <w:rPr>
          <w:rFonts w:asciiTheme="majorHAnsi" w:hAnsiTheme="majorHAnsi"/>
          <w:szCs w:val="22"/>
        </w:rPr>
        <w:t xml:space="preserve"> najvyšší podiel dlhodobo nezamestnaných bol medzi osobami </w:t>
      </w:r>
      <w:r w:rsidR="00BD5FD5">
        <w:rPr>
          <w:rFonts w:asciiTheme="majorHAnsi" w:hAnsiTheme="majorHAnsi"/>
          <w:szCs w:val="22"/>
        </w:rPr>
        <w:t>s</w:t>
      </w:r>
      <w:r w:rsidRPr="00A11FE0">
        <w:rPr>
          <w:rFonts w:asciiTheme="majorHAnsi" w:hAnsiTheme="majorHAnsi"/>
          <w:szCs w:val="22"/>
        </w:rPr>
        <w:t xml:space="preserve">o základným vzdelaním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s </w:t>
      </w:r>
      <w:r w:rsidRPr="00A11FE0">
        <w:rPr>
          <w:rFonts w:asciiTheme="majorHAnsi" w:hAnsiTheme="majorHAnsi"/>
          <w:szCs w:val="22"/>
        </w:rPr>
        <w:t>učňovským vzdelaním bez maturity</w:t>
      </w:r>
      <w:r w:rsidR="0058382D" w:rsidRPr="00A11FE0">
        <w:rPr>
          <w:rFonts w:asciiTheme="majorHAnsi" w:hAnsiTheme="majorHAnsi"/>
          <w:szCs w:val="22"/>
        </w:rPr>
        <w:t>.</w:t>
      </w:r>
    </w:p>
    <w:p w:rsidR="00406C25" w:rsidRPr="00A11FE0" w:rsidRDefault="00406C25" w:rsidP="00406C25">
      <w:pPr>
        <w:rPr>
          <w:rFonts w:asciiTheme="majorHAnsi" w:hAnsiTheme="majorHAnsi"/>
          <w:szCs w:val="22"/>
        </w:rPr>
      </w:pPr>
      <w:r w:rsidRPr="00A11FE0">
        <w:rPr>
          <w:rFonts w:asciiTheme="majorHAnsi" w:hAnsiTheme="majorHAnsi"/>
          <w:szCs w:val="22"/>
        </w:rPr>
        <w:t>V </w:t>
      </w:r>
      <w:r w:rsidR="00BD5FD5">
        <w:rPr>
          <w:rFonts w:asciiTheme="majorHAnsi" w:hAnsiTheme="majorHAnsi"/>
          <w:szCs w:val="22"/>
        </w:rPr>
        <w:t>s</w:t>
      </w:r>
      <w:r w:rsidRPr="00A11FE0">
        <w:rPr>
          <w:rFonts w:asciiTheme="majorHAnsi" w:hAnsiTheme="majorHAnsi"/>
          <w:szCs w:val="22"/>
        </w:rPr>
        <w:t xml:space="preserve">kupine dlhodobo nezamestnaných bola znížená </w:t>
      </w:r>
      <w:r w:rsidR="00BD5FD5">
        <w:rPr>
          <w:rFonts w:asciiTheme="majorHAnsi" w:hAnsiTheme="majorHAnsi"/>
          <w:szCs w:val="22"/>
        </w:rPr>
        <w:t>s</w:t>
      </w:r>
      <w:r w:rsidRPr="00A11FE0">
        <w:rPr>
          <w:rFonts w:asciiTheme="majorHAnsi" w:hAnsiTheme="majorHAnsi"/>
          <w:szCs w:val="22"/>
        </w:rPr>
        <w:t xml:space="preserve">chopnosť vrátiť </w:t>
      </w:r>
      <w:r w:rsidR="00BD5FD5">
        <w:rPr>
          <w:rFonts w:asciiTheme="majorHAnsi" w:hAnsiTheme="majorHAnsi"/>
          <w:szCs w:val="22"/>
        </w:rPr>
        <w:t>s</w:t>
      </w:r>
      <w:r w:rsidRPr="00A11FE0">
        <w:rPr>
          <w:rFonts w:asciiTheme="majorHAnsi" w:hAnsiTheme="majorHAnsi"/>
          <w:szCs w:val="22"/>
        </w:rPr>
        <w:t xml:space="preserve">a </w:t>
      </w:r>
      <w:r w:rsidR="00BD5FD5">
        <w:rPr>
          <w:rFonts w:asciiTheme="majorHAnsi" w:hAnsiTheme="majorHAnsi"/>
          <w:szCs w:val="22"/>
        </w:rPr>
        <w:t>s</w:t>
      </w:r>
      <w:r w:rsidRPr="00A11FE0">
        <w:rPr>
          <w:rFonts w:asciiTheme="majorHAnsi" w:hAnsiTheme="majorHAnsi"/>
          <w:szCs w:val="22"/>
        </w:rPr>
        <w:t xml:space="preserve">päť na trh práce </w:t>
      </w:r>
      <w:r w:rsidR="00BD5FD5">
        <w:rPr>
          <w:rFonts w:asciiTheme="majorHAnsi" w:hAnsiTheme="majorHAnsi"/>
          <w:szCs w:val="22"/>
        </w:rPr>
        <w:t>s</w:t>
      </w:r>
      <w:r w:rsidRPr="00A11FE0">
        <w:rPr>
          <w:rFonts w:asciiTheme="majorHAnsi" w:hAnsiTheme="majorHAnsi"/>
          <w:szCs w:val="22"/>
        </w:rPr>
        <w:t xml:space="preserve">pôsobená hlavne </w:t>
      </w:r>
      <w:r w:rsidR="00BD5FD5">
        <w:rPr>
          <w:rFonts w:asciiTheme="majorHAnsi" w:hAnsiTheme="majorHAnsi"/>
          <w:szCs w:val="22"/>
        </w:rPr>
        <w:t>s</w:t>
      </w:r>
      <w:r w:rsidRPr="00A11FE0">
        <w:rPr>
          <w:rFonts w:asciiTheme="majorHAnsi" w:hAnsiTheme="majorHAnsi"/>
          <w:szCs w:val="22"/>
        </w:rPr>
        <w:t xml:space="preserve">tratou pracovných návykov </w:t>
      </w:r>
      <w:r w:rsidR="00BD5FD5">
        <w:rPr>
          <w:rFonts w:asciiTheme="majorHAnsi" w:hAnsiTheme="majorHAnsi"/>
          <w:szCs w:val="22"/>
        </w:rPr>
        <w:t>a </w:t>
      </w:r>
      <w:r w:rsidRPr="00A11FE0">
        <w:rPr>
          <w:rFonts w:asciiTheme="majorHAnsi" w:hAnsiTheme="majorHAnsi"/>
          <w:szCs w:val="22"/>
        </w:rPr>
        <w:t>pracovnej morálky v </w:t>
      </w:r>
      <w:r w:rsidR="00BD5FD5">
        <w:rPr>
          <w:rFonts w:asciiTheme="majorHAnsi" w:hAnsiTheme="majorHAnsi"/>
          <w:szCs w:val="22"/>
        </w:rPr>
        <w:t>k</w:t>
      </w:r>
      <w:r w:rsidRPr="00A11FE0">
        <w:rPr>
          <w:rFonts w:asciiTheme="majorHAnsi" w:hAnsiTheme="majorHAnsi"/>
          <w:szCs w:val="22"/>
        </w:rPr>
        <w:t>ombináci</w:t>
      </w:r>
      <w:r w:rsidR="00A64A47">
        <w:rPr>
          <w:rFonts w:asciiTheme="majorHAnsi" w:hAnsiTheme="majorHAnsi"/>
          <w:szCs w:val="22"/>
        </w:rPr>
        <w:t>i</w:t>
      </w:r>
      <w:r w:rsidRPr="00A11FE0">
        <w:rPr>
          <w:rFonts w:asciiTheme="majorHAnsi" w:hAnsiTheme="majorHAnsi"/>
          <w:szCs w:val="22"/>
        </w:rPr>
        <w:t xml:space="preserve"> </w:t>
      </w:r>
      <w:r w:rsidR="00BD5FD5">
        <w:rPr>
          <w:rFonts w:asciiTheme="majorHAnsi" w:hAnsiTheme="majorHAnsi"/>
          <w:szCs w:val="22"/>
        </w:rPr>
        <w:t>s </w:t>
      </w:r>
      <w:r w:rsidRPr="00A11FE0">
        <w:rPr>
          <w:rFonts w:asciiTheme="majorHAnsi" w:hAnsiTheme="majorHAnsi"/>
          <w:szCs w:val="22"/>
        </w:rPr>
        <w:t xml:space="preserve">nedostatočne motivujúcim </w:t>
      </w:r>
      <w:r w:rsidR="00BD5FD5">
        <w:rPr>
          <w:rFonts w:asciiTheme="majorHAnsi" w:hAnsiTheme="majorHAnsi"/>
          <w:szCs w:val="22"/>
        </w:rPr>
        <w:t>s</w:t>
      </w:r>
      <w:r w:rsidRPr="00A11FE0">
        <w:rPr>
          <w:rFonts w:asciiTheme="majorHAnsi" w:hAnsiTheme="majorHAnsi"/>
          <w:szCs w:val="22"/>
        </w:rPr>
        <w:t xml:space="preserve">ociálnym </w:t>
      </w:r>
      <w:r w:rsidR="00BD5FD5">
        <w:rPr>
          <w:rFonts w:asciiTheme="majorHAnsi" w:hAnsiTheme="majorHAnsi"/>
          <w:szCs w:val="22"/>
        </w:rPr>
        <w:t>s</w:t>
      </w:r>
      <w:r w:rsidRPr="00A11FE0">
        <w:rPr>
          <w:rFonts w:asciiTheme="majorHAnsi" w:hAnsiTheme="majorHAnsi"/>
          <w:szCs w:val="22"/>
        </w:rPr>
        <w:t xml:space="preserve">ystémom. Okrem nízkej </w:t>
      </w:r>
      <w:r w:rsidR="00BD5FD5">
        <w:rPr>
          <w:rFonts w:asciiTheme="majorHAnsi" w:hAnsiTheme="majorHAnsi"/>
          <w:szCs w:val="22"/>
        </w:rPr>
        <w:t>k</w:t>
      </w:r>
      <w:r w:rsidRPr="00A11FE0">
        <w:rPr>
          <w:rFonts w:asciiTheme="majorHAnsi" w:hAnsiTheme="majorHAnsi"/>
          <w:szCs w:val="22"/>
        </w:rPr>
        <w:t>valifikačnej úrovn</w:t>
      </w:r>
      <w:r w:rsidR="0057409B">
        <w:rPr>
          <w:rFonts w:asciiTheme="majorHAnsi" w:hAnsiTheme="majorHAnsi"/>
          <w:szCs w:val="22"/>
        </w:rPr>
        <w:t>e</w:t>
      </w:r>
      <w:r w:rsidRPr="00A11FE0">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presýtenosti trhu práce niektorými profesiami</w:t>
      </w:r>
      <w:r w:rsidR="005708DD">
        <w:rPr>
          <w:rFonts w:asciiTheme="majorHAnsi" w:hAnsiTheme="majorHAnsi"/>
          <w:szCs w:val="22"/>
        </w:rPr>
        <w:t>,</w:t>
      </w:r>
      <w:r w:rsidRPr="00A11FE0">
        <w:rPr>
          <w:rFonts w:asciiTheme="majorHAnsi" w:hAnsiTheme="majorHAnsi"/>
          <w:szCs w:val="22"/>
        </w:rPr>
        <w:t xml:space="preserve"> </w:t>
      </w:r>
      <w:r w:rsidR="00BC2D3E">
        <w:rPr>
          <w:rFonts w:asciiTheme="majorHAnsi" w:hAnsiTheme="majorHAnsi"/>
          <w:szCs w:val="22"/>
        </w:rPr>
        <w:t>dlhodobá nezamestnanosť súvisela aj s nízkou pracovnou mobilitou</w:t>
      </w:r>
      <w:r w:rsidR="005708DD">
        <w:rPr>
          <w:rFonts w:asciiTheme="majorHAnsi" w:hAnsiTheme="majorHAnsi"/>
          <w:szCs w:val="22"/>
        </w:rPr>
        <w:t>,</w:t>
      </w:r>
      <w:r w:rsidR="00BC2D3E">
        <w:rPr>
          <w:rFonts w:asciiTheme="majorHAnsi" w:hAnsiTheme="majorHAnsi"/>
          <w:szCs w:val="22"/>
        </w:rPr>
        <w:t xml:space="preserve"> najmä nízko kvalifikovaných osôb. </w:t>
      </w:r>
      <w:r w:rsidR="005708DD">
        <w:rPr>
          <w:rFonts w:asciiTheme="majorHAnsi" w:hAnsiTheme="majorHAnsi"/>
          <w:szCs w:val="22"/>
        </w:rPr>
        <w:t>P</w:t>
      </w:r>
      <w:r w:rsidRPr="00856811">
        <w:rPr>
          <w:rFonts w:asciiTheme="majorHAnsi" w:hAnsiTheme="majorHAnsi"/>
          <w:szCs w:val="22"/>
        </w:rPr>
        <w:t xml:space="preserve">ríčinou problémov pri riešení nezamestnanosti </w:t>
      </w:r>
      <w:r w:rsidR="005708DD">
        <w:rPr>
          <w:rFonts w:asciiTheme="majorHAnsi" w:hAnsiTheme="majorHAnsi"/>
          <w:szCs w:val="22"/>
        </w:rPr>
        <w:t xml:space="preserve">bola </w:t>
      </w:r>
      <w:r w:rsidR="00BD5FD5" w:rsidRPr="00856811">
        <w:rPr>
          <w:rFonts w:asciiTheme="majorHAnsi" w:hAnsiTheme="majorHAnsi"/>
          <w:szCs w:val="22"/>
        </w:rPr>
        <w:t>a</w:t>
      </w:r>
      <w:r w:rsidRPr="00856811">
        <w:rPr>
          <w:rFonts w:asciiTheme="majorHAnsi" w:hAnsiTheme="majorHAnsi"/>
          <w:szCs w:val="22"/>
        </w:rPr>
        <w:t xml:space="preserve">j nízka geografická mobilita nezamestnaných </w:t>
      </w:r>
      <w:r w:rsidR="00BD5FD5" w:rsidRPr="002E48B2">
        <w:rPr>
          <w:rFonts w:asciiTheme="majorHAnsi" w:hAnsiTheme="majorHAnsi"/>
          <w:szCs w:val="22"/>
        </w:rPr>
        <w:t>a</w:t>
      </w:r>
      <w:r w:rsidRPr="003F0750">
        <w:rPr>
          <w:rFonts w:asciiTheme="majorHAnsi" w:hAnsiTheme="majorHAnsi"/>
          <w:szCs w:val="22"/>
        </w:rPr>
        <w:t> rozvinutá šedá ekonomika</w:t>
      </w:r>
      <w:r w:rsidRPr="002E48B2">
        <w:rPr>
          <w:rFonts w:asciiTheme="majorHAnsi" w:hAnsiTheme="majorHAnsi"/>
          <w:szCs w:val="22"/>
        </w:rPr>
        <w:t>.</w:t>
      </w:r>
    </w:p>
    <w:p w:rsidR="00C873A5" w:rsidRPr="003F0750" w:rsidRDefault="00C873A5" w:rsidP="00C873A5">
      <w:pPr>
        <w:rPr>
          <w:rFonts w:asciiTheme="majorHAnsi" w:hAnsiTheme="majorHAnsi"/>
          <w:szCs w:val="22"/>
        </w:rPr>
      </w:pPr>
      <w:r w:rsidRPr="003F0750">
        <w:rPr>
          <w:rFonts w:asciiTheme="majorHAnsi" w:hAnsiTheme="majorHAnsi"/>
          <w:szCs w:val="22"/>
        </w:rPr>
        <w:t xml:space="preserve">Dlhodobá nezamestnanosť je problémom v takmer všetkých krajoch. V roku 2012 </w:t>
      </w:r>
      <w:r w:rsidR="005708DD">
        <w:rPr>
          <w:rFonts w:asciiTheme="majorHAnsi" w:hAnsiTheme="majorHAnsi"/>
          <w:szCs w:val="22"/>
        </w:rPr>
        <w:t xml:space="preserve">mal </w:t>
      </w:r>
      <w:r w:rsidRPr="003F0750">
        <w:rPr>
          <w:rFonts w:asciiTheme="majorHAnsi" w:hAnsiTheme="majorHAnsi"/>
          <w:szCs w:val="22"/>
        </w:rPr>
        <w:t xml:space="preserve">najvyšší podiel dlhodobo nezamestnaných na celkovom počte nezamestnaných </w:t>
      </w:r>
      <w:r w:rsidR="00F3235C">
        <w:rPr>
          <w:rFonts w:asciiTheme="majorHAnsi" w:hAnsiTheme="majorHAnsi"/>
          <w:szCs w:val="22"/>
        </w:rPr>
        <w:t>KSK</w:t>
      </w:r>
      <w:r w:rsidR="00F3235C" w:rsidRPr="003F0750">
        <w:rPr>
          <w:rFonts w:asciiTheme="majorHAnsi" w:hAnsiTheme="majorHAnsi"/>
          <w:szCs w:val="22"/>
        </w:rPr>
        <w:t xml:space="preserve"> </w:t>
      </w:r>
      <w:r w:rsidRPr="003F0750">
        <w:rPr>
          <w:rFonts w:asciiTheme="majorHAnsi" w:hAnsiTheme="majorHAnsi"/>
          <w:szCs w:val="22"/>
        </w:rPr>
        <w:t>(71,7 %), </w:t>
      </w:r>
      <w:r w:rsidR="00F3235C">
        <w:rPr>
          <w:rFonts w:asciiTheme="majorHAnsi" w:hAnsiTheme="majorHAnsi"/>
          <w:szCs w:val="22"/>
        </w:rPr>
        <w:t>NSK</w:t>
      </w:r>
      <w:r w:rsidR="00F3235C" w:rsidRPr="003F0750">
        <w:rPr>
          <w:rFonts w:asciiTheme="majorHAnsi" w:hAnsiTheme="majorHAnsi"/>
          <w:szCs w:val="22"/>
        </w:rPr>
        <w:t xml:space="preserve"> </w:t>
      </w:r>
      <w:r w:rsidRPr="003F0750">
        <w:rPr>
          <w:rFonts w:asciiTheme="majorHAnsi" w:hAnsiTheme="majorHAnsi"/>
          <w:szCs w:val="22"/>
        </w:rPr>
        <w:t xml:space="preserve">(70,6 %), </w:t>
      </w:r>
      <w:r w:rsidR="00F3235C">
        <w:rPr>
          <w:rFonts w:asciiTheme="majorHAnsi" w:hAnsiTheme="majorHAnsi"/>
          <w:szCs w:val="22"/>
        </w:rPr>
        <w:t>TTSK</w:t>
      </w:r>
      <w:r w:rsidR="00F3235C" w:rsidRPr="003F0750">
        <w:rPr>
          <w:rFonts w:asciiTheme="majorHAnsi" w:hAnsiTheme="majorHAnsi"/>
          <w:szCs w:val="22"/>
        </w:rPr>
        <w:t xml:space="preserve"> </w:t>
      </w:r>
      <w:r w:rsidRPr="003F0750">
        <w:rPr>
          <w:rFonts w:asciiTheme="majorHAnsi" w:hAnsiTheme="majorHAnsi"/>
          <w:szCs w:val="22"/>
        </w:rPr>
        <w:t>(67,7 %) a </w:t>
      </w:r>
      <w:r w:rsidR="00F3235C">
        <w:rPr>
          <w:rFonts w:asciiTheme="majorHAnsi" w:hAnsiTheme="majorHAnsi"/>
          <w:szCs w:val="22"/>
        </w:rPr>
        <w:t>BBSK</w:t>
      </w:r>
      <w:r w:rsidR="00F3235C" w:rsidRPr="003F0750">
        <w:rPr>
          <w:rFonts w:asciiTheme="majorHAnsi" w:hAnsiTheme="majorHAnsi"/>
          <w:szCs w:val="22"/>
        </w:rPr>
        <w:t xml:space="preserve"> </w:t>
      </w:r>
      <w:r w:rsidRPr="003F0750">
        <w:rPr>
          <w:rFonts w:asciiTheme="majorHAnsi" w:hAnsiTheme="majorHAnsi"/>
          <w:szCs w:val="22"/>
        </w:rPr>
        <w:t xml:space="preserve">(66,2 %), najnižší </w:t>
      </w:r>
      <w:r w:rsidR="00F3235C">
        <w:rPr>
          <w:rFonts w:asciiTheme="majorHAnsi" w:hAnsiTheme="majorHAnsi"/>
          <w:szCs w:val="22"/>
        </w:rPr>
        <w:t>BSK</w:t>
      </w:r>
      <w:r w:rsidR="00F3235C" w:rsidRPr="003F0750">
        <w:rPr>
          <w:rFonts w:asciiTheme="majorHAnsi" w:hAnsiTheme="majorHAnsi"/>
          <w:szCs w:val="22"/>
        </w:rPr>
        <w:t xml:space="preserve"> </w:t>
      </w:r>
      <w:r w:rsidRPr="003F0750">
        <w:rPr>
          <w:rFonts w:asciiTheme="majorHAnsi" w:hAnsiTheme="majorHAnsi"/>
          <w:szCs w:val="22"/>
        </w:rPr>
        <w:t>(38,9 %) a </w:t>
      </w:r>
      <w:r w:rsidR="00F3235C">
        <w:rPr>
          <w:rFonts w:asciiTheme="majorHAnsi" w:hAnsiTheme="majorHAnsi"/>
          <w:szCs w:val="22"/>
        </w:rPr>
        <w:t>TNSK</w:t>
      </w:r>
      <w:r w:rsidR="00F3235C" w:rsidRPr="003F0750">
        <w:rPr>
          <w:rFonts w:asciiTheme="majorHAnsi" w:hAnsiTheme="majorHAnsi"/>
          <w:szCs w:val="22"/>
        </w:rPr>
        <w:t xml:space="preserve"> </w:t>
      </w:r>
      <w:r w:rsidRPr="003F0750">
        <w:rPr>
          <w:rFonts w:asciiTheme="majorHAnsi" w:hAnsiTheme="majorHAnsi"/>
          <w:szCs w:val="22"/>
        </w:rPr>
        <w:t>(43,0 %). Pod priemerom SR bol podiel dlhodobo nezamestnaných v Ž</w:t>
      </w:r>
      <w:r w:rsidR="00F3235C">
        <w:rPr>
          <w:rFonts w:asciiTheme="majorHAnsi" w:hAnsiTheme="majorHAnsi"/>
          <w:szCs w:val="22"/>
        </w:rPr>
        <w:t>SK</w:t>
      </w:r>
      <w:r w:rsidRPr="003F0750">
        <w:rPr>
          <w:rFonts w:asciiTheme="majorHAnsi" w:hAnsiTheme="majorHAnsi"/>
          <w:szCs w:val="22"/>
        </w:rPr>
        <w:t xml:space="preserve"> (60,2 %)</w:t>
      </w:r>
      <w:r w:rsidR="0073677C">
        <w:rPr>
          <w:rFonts w:asciiTheme="majorHAnsi" w:hAnsiTheme="majorHAnsi"/>
          <w:szCs w:val="22"/>
        </w:rPr>
        <w:t xml:space="preserve"> </w:t>
      </w:r>
      <w:r w:rsidR="005708DD">
        <w:rPr>
          <w:rFonts w:asciiTheme="majorHAnsi" w:hAnsiTheme="majorHAnsi"/>
          <w:szCs w:val="22"/>
        </w:rPr>
        <w:t>a</w:t>
      </w:r>
      <w:r w:rsidR="00F3235C">
        <w:rPr>
          <w:rFonts w:asciiTheme="majorHAnsi" w:hAnsiTheme="majorHAnsi"/>
          <w:szCs w:val="22"/>
        </w:rPr>
        <w:t> </w:t>
      </w:r>
      <w:r w:rsidRPr="003F0750">
        <w:rPr>
          <w:rFonts w:asciiTheme="majorHAnsi" w:hAnsiTheme="majorHAnsi"/>
          <w:szCs w:val="22"/>
        </w:rPr>
        <w:t xml:space="preserve">približne na úrovni priemeru SR </w:t>
      </w:r>
      <w:r w:rsidR="005708DD">
        <w:rPr>
          <w:rFonts w:asciiTheme="majorHAnsi" w:hAnsiTheme="majorHAnsi"/>
          <w:szCs w:val="22"/>
        </w:rPr>
        <w:t xml:space="preserve">bol </w:t>
      </w:r>
      <w:r w:rsidRPr="003F0750">
        <w:rPr>
          <w:rFonts w:asciiTheme="majorHAnsi" w:hAnsiTheme="majorHAnsi"/>
          <w:szCs w:val="22"/>
        </w:rPr>
        <w:t>podiel dlhodobo nezamestnaných v P</w:t>
      </w:r>
      <w:r w:rsidR="00F3235C">
        <w:rPr>
          <w:rFonts w:asciiTheme="majorHAnsi" w:hAnsiTheme="majorHAnsi"/>
          <w:szCs w:val="22"/>
        </w:rPr>
        <w:t>SK</w:t>
      </w:r>
      <w:r w:rsidRPr="003F0750">
        <w:rPr>
          <w:rFonts w:asciiTheme="majorHAnsi" w:hAnsiTheme="majorHAnsi"/>
          <w:szCs w:val="22"/>
        </w:rPr>
        <w:t xml:space="preserve"> (63,9 %)</w:t>
      </w:r>
      <w:r>
        <w:rPr>
          <w:rStyle w:val="Odkaznapoznmkupodiarou"/>
          <w:rFonts w:asciiTheme="majorHAnsi" w:hAnsiTheme="majorHAnsi"/>
          <w:szCs w:val="22"/>
        </w:rPr>
        <w:footnoteReference w:id="107"/>
      </w:r>
      <w:r w:rsidRPr="003F0750">
        <w:rPr>
          <w:rFonts w:asciiTheme="majorHAnsi" w:hAnsiTheme="majorHAnsi"/>
          <w:szCs w:val="22"/>
        </w:rPr>
        <w:t>.</w:t>
      </w:r>
    </w:p>
    <w:p w:rsidR="00406C25" w:rsidRPr="00A11FE0" w:rsidRDefault="00406C25" w:rsidP="00B476F9">
      <w:pPr>
        <w:pStyle w:val="Nadpis5"/>
        <w:numPr>
          <w:ilvl w:val="4"/>
          <w:numId w:val="2"/>
        </w:numPr>
        <w:ind w:left="1292"/>
      </w:pPr>
      <w:r w:rsidRPr="00A11FE0">
        <w:t>Nezamestnanosť mladých ľudí</w:t>
      </w:r>
    </w:p>
    <w:p w:rsidR="00406C25" w:rsidRPr="00A11FE0"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Miera nezamestnanosti ľudí vo veku 15-24 rokov podľa </w:t>
      </w:r>
      <w:r w:rsidR="005708DD">
        <w:rPr>
          <w:rFonts w:asciiTheme="majorHAnsi" w:hAnsiTheme="majorHAnsi"/>
          <w:szCs w:val="22"/>
        </w:rPr>
        <w:t xml:space="preserve">ŠÚ SR </w:t>
      </w:r>
      <w:r w:rsidR="00BD5FD5">
        <w:rPr>
          <w:rFonts w:asciiTheme="majorHAnsi" w:hAnsiTheme="majorHAnsi"/>
          <w:szCs w:val="22"/>
        </w:rPr>
        <w:t>k</w:t>
      </w:r>
      <w:r w:rsidRPr="00A11FE0">
        <w:rPr>
          <w:rFonts w:asciiTheme="majorHAnsi" w:hAnsiTheme="majorHAnsi"/>
          <w:szCs w:val="22"/>
        </w:rPr>
        <w:t>lesla z</w:t>
      </w:r>
      <w:r w:rsidR="008A5097">
        <w:rPr>
          <w:rFonts w:asciiTheme="majorHAnsi" w:hAnsiTheme="majorHAnsi"/>
          <w:szCs w:val="22"/>
        </w:rPr>
        <w:t> </w:t>
      </w:r>
      <w:r w:rsidRPr="00A11FE0">
        <w:rPr>
          <w:rFonts w:asciiTheme="majorHAnsi" w:hAnsiTheme="majorHAnsi"/>
          <w:szCs w:val="22"/>
        </w:rPr>
        <w:t>historického maxima 37 % v</w:t>
      </w:r>
      <w:r w:rsidR="00C80098">
        <w:rPr>
          <w:rFonts w:asciiTheme="majorHAnsi" w:hAnsiTheme="majorHAnsi"/>
          <w:szCs w:val="22"/>
        </w:rPr>
        <w:t> </w:t>
      </w:r>
      <w:r w:rsidRPr="00A11FE0">
        <w:rPr>
          <w:rFonts w:asciiTheme="majorHAnsi" w:hAnsiTheme="majorHAnsi"/>
          <w:szCs w:val="22"/>
        </w:rPr>
        <w:t>roku</w:t>
      </w:r>
      <w:r w:rsidR="00C80098">
        <w:rPr>
          <w:rFonts w:asciiTheme="majorHAnsi" w:hAnsiTheme="majorHAnsi"/>
          <w:szCs w:val="22"/>
        </w:rPr>
        <w:t xml:space="preserve"> </w:t>
      </w:r>
      <w:r w:rsidRPr="00A11FE0">
        <w:rPr>
          <w:rFonts w:asciiTheme="majorHAnsi" w:hAnsiTheme="majorHAnsi"/>
          <w:szCs w:val="22"/>
        </w:rPr>
        <w:t>2001 na 1</w:t>
      </w:r>
      <w:r w:rsidR="000C134A">
        <w:rPr>
          <w:rFonts w:asciiTheme="majorHAnsi" w:hAnsiTheme="majorHAnsi"/>
          <w:szCs w:val="22"/>
        </w:rPr>
        <w:t>8,8</w:t>
      </w:r>
      <w:r w:rsidRPr="00A11FE0">
        <w:rPr>
          <w:rFonts w:asciiTheme="majorHAnsi" w:hAnsiTheme="majorHAnsi"/>
          <w:szCs w:val="22"/>
        </w:rPr>
        <w:t xml:space="preserve"> % v</w:t>
      </w:r>
      <w:r w:rsidR="008A5097">
        <w:rPr>
          <w:rFonts w:asciiTheme="majorHAnsi" w:hAnsiTheme="majorHAnsi"/>
          <w:szCs w:val="22"/>
        </w:rPr>
        <w:t> </w:t>
      </w:r>
      <w:r w:rsidRPr="00A11FE0">
        <w:rPr>
          <w:rFonts w:asciiTheme="majorHAnsi" w:hAnsiTheme="majorHAnsi"/>
          <w:szCs w:val="22"/>
        </w:rPr>
        <w:t xml:space="preserve">roku 2008. V dôsledku </w:t>
      </w:r>
      <w:r w:rsidR="00BD5FD5">
        <w:rPr>
          <w:rFonts w:asciiTheme="majorHAnsi" w:hAnsiTheme="majorHAnsi"/>
          <w:szCs w:val="22"/>
        </w:rPr>
        <w:t>k</w:t>
      </w:r>
      <w:r w:rsidRPr="00A11FE0">
        <w:rPr>
          <w:rFonts w:asciiTheme="majorHAnsi" w:hAnsiTheme="majorHAnsi"/>
          <w:szCs w:val="22"/>
        </w:rPr>
        <w:t xml:space="preserve">rízy však začala opäť prudko rásť </w:t>
      </w:r>
      <w:r w:rsidR="00BD5FD5">
        <w:rPr>
          <w:rFonts w:asciiTheme="majorHAnsi" w:hAnsiTheme="majorHAnsi"/>
          <w:szCs w:val="22"/>
        </w:rPr>
        <w:t>a </w:t>
      </w:r>
      <w:r w:rsidRPr="00A11FE0">
        <w:rPr>
          <w:rFonts w:asciiTheme="majorHAnsi" w:hAnsiTheme="majorHAnsi"/>
          <w:szCs w:val="22"/>
        </w:rPr>
        <w:t>v roku 2012 dosiahla úroveň 34</w:t>
      </w:r>
      <w:r w:rsidR="00EF2D9F" w:rsidRPr="00A11FE0">
        <w:rPr>
          <w:rFonts w:asciiTheme="majorHAnsi" w:hAnsiTheme="majorHAnsi"/>
          <w:szCs w:val="22"/>
        </w:rPr>
        <w:t> </w:t>
      </w:r>
      <w:r w:rsidRPr="00A11FE0">
        <w:rPr>
          <w:rFonts w:asciiTheme="majorHAnsi" w:hAnsiTheme="majorHAnsi"/>
          <w:szCs w:val="22"/>
        </w:rPr>
        <w:t xml:space="preserve">%. </w:t>
      </w:r>
      <w:r w:rsidR="00C34170">
        <w:rPr>
          <w:rFonts w:asciiTheme="majorHAnsi" w:hAnsiTheme="majorHAnsi"/>
          <w:szCs w:val="22"/>
        </w:rPr>
        <w:t>Viac ako 56</w:t>
      </w:r>
      <w:r w:rsidR="00CB3E9C">
        <w:rPr>
          <w:rFonts w:asciiTheme="majorHAnsi" w:hAnsiTheme="majorHAnsi"/>
          <w:szCs w:val="22"/>
        </w:rPr>
        <w:t xml:space="preserve"> </w:t>
      </w:r>
      <w:r w:rsidR="00C34170">
        <w:rPr>
          <w:rFonts w:asciiTheme="majorHAnsi" w:hAnsiTheme="majorHAnsi"/>
          <w:szCs w:val="22"/>
        </w:rPr>
        <w:t xml:space="preserve">% nezamestnaných mladých ľudí si </w:t>
      </w:r>
      <w:r w:rsidRPr="00A11FE0">
        <w:rPr>
          <w:rFonts w:asciiTheme="majorHAnsi" w:hAnsiTheme="majorHAnsi"/>
          <w:szCs w:val="22"/>
        </w:rPr>
        <w:t>hľad</w:t>
      </w:r>
      <w:r w:rsidR="00C34170">
        <w:rPr>
          <w:rFonts w:asciiTheme="majorHAnsi" w:hAnsiTheme="majorHAnsi"/>
          <w:szCs w:val="22"/>
        </w:rPr>
        <w:t xml:space="preserve">alo </w:t>
      </w:r>
      <w:r w:rsidRPr="00A11FE0">
        <w:rPr>
          <w:rFonts w:asciiTheme="majorHAnsi" w:hAnsiTheme="majorHAnsi"/>
          <w:szCs w:val="22"/>
        </w:rPr>
        <w:t xml:space="preserve">prácu dlhšie </w:t>
      </w:r>
      <w:r w:rsidR="00BD5FD5">
        <w:rPr>
          <w:rFonts w:asciiTheme="majorHAnsi" w:hAnsiTheme="majorHAnsi"/>
          <w:szCs w:val="22"/>
        </w:rPr>
        <w:t>ak</w:t>
      </w:r>
      <w:r w:rsidRPr="00A11FE0">
        <w:rPr>
          <w:rFonts w:asciiTheme="majorHAnsi" w:hAnsiTheme="majorHAnsi"/>
          <w:szCs w:val="22"/>
        </w:rPr>
        <w:t xml:space="preserve">o rok (priemer </w:t>
      </w:r>
      <w:r w:rsidR="00C34170">
        <w:rPr>
          <w:rFonts w:asciiTheme="majorHAnsi" w:hAnsiTheme="majorHAnsi"/>
          <w:szCs w:val="22"/>
        </w:rPr>
        <w:t>EÚ bol 32</w:t>
      </w:r>
      <w:r w:rsidR="003876F0">
        <w:rPr>
          <w:rFonts w:asciiTheme="majorHAnsi" w:hAnsiTheme="majorHAnsi"/>
          <w:szCs w:val="22"/>
        </w:rPr>
        <w:t xml:space="preserve"> </w:t>
      </w:r>
      <w:r w:rsidR="00C34170">
        <w:rPr>
          <w:rFonts w:asciiTheme="majorHAnsi" w:hAnsiTheme="majorHAnsi"/>
          <w:szCs w:val="22"/>
        </w:rPr>
        <w:t>%</w:t>
      </w:r>
      <w:r w:rsidRPr="00A11FE0">
        <w:rPr>
          <w:rFonts w:asciiTheme="majorHAnsi" w:hAnsiTheme="majorHAnsi"/>
          <w:szCs w:val="22"/>
        </w:rPr>
        <w:t xml:space="preserve"> ). Podobná </w:t>
      </w:r>
      <w:r w:rsidR="00BD5FD5">
        <w:rPr>
          <w:rFonts w:asciiTheme="majorHAnsi" w:hAnsiTheme="majorHAnsi"/>
          <w:szCs w:val="22"/>
        </w:rPr>
        <w:t>s</w:t>
      </w:r>
      <w:r w:rsidRPr="00A11FE0">
        <w:rPr>
          <w:rFonts w:asciiTheme="majorHAnsi" w:hAnsiTheme="majorHAnsi"/>
          <w:szCs w:val="22"/>
        </w:rPr>
        <w:t xml:space="preserve">ituácia </w:t>
      </w:r>
      <w:r w:rsidR="00C34170">
        <w:rPr>
          <w:rFonts w:asciiTheme="majorHAnsi" w:hAnsiTheme="majorHAnsi"/>
          <w:szCs w:val="22"/>
        </w:rPr>
        <w:t xml:space="preserve">bola </w:t>
      </w:r>
      <w:r w:rsidR="00BD5FD5">
        <w:rPr>
          <w:rFonts w:asciiTheme="majorHAnsi" w:hAnsiTheme="majorHAnsi"/>
          <w:szCs w:val="22"/>
        </w:rPr>
        <w:t>a</w:t>
      </w:r>
      <w:r w:rsidRPr="00A11FE0">
        <w:rPr>
          <w:rFonts w:asciiTheme="majorHAnsi" w:hAnsiTheme="majorHAnsi"/>
          <w:szCs w:val="22"/>
        </w:rPr>
        <w:t>j vo vývoji miery zamestnanosti: v</w:t>
      </w:r>
      <w:r w:rsidR="00C34170">
        <w:rPr>
          <w:rFonts w:asciiTheme="majorHAnsi" w:hAnsiTheme="majorHAnsi"/>
          <w:szCs w:val="22"/>
        </w:rPr>
        <w:t> </w:t>
      </w:r>
      <w:r w:rsidRPr="00A11FE0">
        <w:rPr>
          <w:rFonts w:asciiTheme="majorHAnsi" w:hAnsiTheme="majorHAnsi"/>
          <w:szCs w:val="22"/>
        </w:rPr>
        <w:t>roku</w:t>
      </w:r>
      <w:r w:rsidR="00C34170">
        <w:rPr>
          <w:rFonts w:asciiTheme="majorHAnsi" w:hAnsiTheme="majorHAnsi"/>
          <w:szCs w:val="22"/>
        </w:rPr>
        <w:t xml:space="preserve"> 2008 malo zamestnanie 26</w:t>
      </w:r>
      <w:r w:rsidR="00CB3E9C">
        <w:rPr>
          <w:rFonts w:asciiTheme="majorHAnsi" w:hAnsiTheme="majorHAnsi"/>
          <w:szCs w:val="22"/>
        </w:rPr>
        <w:t xml:space="preserve"> </w:t>
      </w:r>
      <w:r w:rsidR="00C34170">
        <w:rPr>
          <w:rFonts w:asciiTheme="majorHAnsi" w:hAnsiTheme="majorHAnsi"/>
          <w:szCs w:val="22"/>
        </w:rPr>
        <w:t>% mladých ľudí, kým v roku 2012 to bolo iba 20</w:t>
      </w:r>
      <w:r w:rsidR="00CB3E9C">
        <w:rPr>
          <w:rFonts w:asciiTheme="majorHAnsi" w:hAnsiTheme="majorHAnsi"/>
          <w:szCs w:val="22"/>
        </w:rPr>
        <w:t xml:space="preserve"> </w:t>
      </w:r>
      <w:r w:rsidR="00C34170">
        <w:rPr>
          <w:rFonts w:asciiTheme="majorHAnsi" w:hAnsiTheme="majorHAnsi"/>
          <w:szCs w:val="22"/>
        </w:rPr>
        <w:t>% mladých ľudí (</w:t>
      </w:r>
      <w:r w:rsidRPr="00A11FE0">
        <w:rPr>
          <w:rFonts w:asciiTheme="majorHAnsi" w:hAnsiTheme="majorHAnsi"/>
          <w:szCs w:val="22"/>
        </w:rPr>
        <w:t>priemerný údaj v</w:t>
      </w:r>
      <w:r w:rsidR="00884A00">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 xml:space="preserve">rajinách EÚ27 </w:t>
      </w:r>
      <w:r w:rsidR="00C34170">
        <w:rPr>
          <w:rFonts w:asciiTheme="majorHAnsi" w:hAnsiTheme="majorHAnsi"/>
          <w:szCs w:val="22"/>
        </w:rPr>
        <w:t>bol</w:t>
      </w:r>
      <w:r w:rsidRPr="00A11FE0">
        <w:rPr>
          <w:rFonts w:asciiTheme="majorHAnsi" w:hAnsiTheme="majorHAnsi"/>
          <w:szCs w:val="22"/>
        </w:rPr>
        <w:t xml:space="preserve"> 3</w:t>
      </w:r>
      <w:r w:rsidR="00C34170">
        <w:rPr>
          <w:rFonts w:asciiTheme="majorHAnsi" w:hAnsiTheme="majorHAnsi"/>
          <w:szCs w:val="22"/>
        </w:rPr>
        <w:t>3</w:t>
      </w:r>
      <w:r w:rsidRPr="00A11FE0">
        <w:rPr>
          <w:rFonts w:asciiTheme="majorHAnsi" w:hAnsiTheme="majorHAnsi"/>
          <w:szCs w:val="22"/>
        </w:rPr>
        <w:t xml:space="preserve"> %</w:t>
      </w:r>
      <w:r w:rsidR="00C34170">
        <w:rPr>
          <w:rFonts w:asciiTheme="majorHAnsi" w:hAnsiTheme="majorHAnsi"/>
          <w:szCs w:val="22"/>
        </w:rPr>
        <w:t>)</w:t>
      </w:r>
      <w:r w:rsidRPr="00A11FE0">
        <w:rPr>
          <w:rStyle w:val="Odkaznapoznmkupodiarou"/>
          <w:rFonts w:asciiTheme="majorHAnsi" w:hAnsiTheme="majorHAnsi"/>
          <w:szCs w:val="22"/>
        </w:rPr>
        <w:footnoteReference w:id="108"/>
      </w:r>
      <w:r w:rsidRPr="00A11FE0">
        <w:rPr>
          <w:rFonts w:asciiTheme="majorHAnsi" w:hAnsiTheme="majorHAnsi"/>
          <w:szCs w:val="22"/>
        </w:rPr>
        <w:t>.</w:t>
      </w:r>
    </w:p>
    <w:p w:rsidR="00406C25" w:rsidRPr="00A11FE0" w:rsidRDefault="00406C25" w:rsidP="00406C25">
      <w:pPr>
        <w:rPr>
          <w:rFonts w:asciiTheme="majorHAnsi" w:hAnsiTheme="majorHAnsi"/>
        </w:rPr>
      </w:pPr>
      <w:r w:rsidRPr="00A11FE0">
        <w:rPr>
          <w:rFonts w:asciiTheme="majorHAnsi" w:hAnsiTheme="majorHAnsi"/>
        </w:rPr>
        <w:t xml:space="preserve">Najpočetnejšiu </w:t>
      </w:r>
      <w:r w:rsidR="00BD5FD5">
        <w:rPr>
          <w:rFonts w:asciiTheme="majorHAnsi" w:hAnsiTheme="majorHAnsi"/>
        </w:rPr>
        <w:t>s</w:t>
      </w:r>
      <w:r w:rsidRPr="00A11FE0">
        <w:rPr>
          <w:rFonts w:asciiTheme="majorHAnsi" w:hAnsiTheme="majorHAnsi"/>
        </w:rPr>
        <w:t xml:space="preserve">kupinu nezamestnaných </w:t>
      </w:r>
      <w:r w:rsidR="00BD5FD5">
        <w:rPr>
          <w:rFonts w:asciiTheme="majorHAnsi" w:hAnsiTheme="majorHAnsi"/>
        </w:rPr>
        <w:t>a</w:t>
      </w:r>
      <w:r w:rsidRPr="00A11FE0">
        <w:rPr>
          <w:rFonts w:asciiTheme="majorHAnsi" w:hAnsiTheme="majorHAnsi"/>
        </w:rPr>
        <w:t xml:space="preserve">bsolventov </w:t>
      </w:r>
      <w:r w:rsidR="00BD5FD5">
        <w:rPr>
          <w:rFonts w:asciiTheme="majorHAnsi" w:hAnsiTheme="majorHAnsi"/>
        </w:rPr>
        <w:t>s</w:t>
      </w:r>
      <w:r w:rsidRPr="00A11FE0">
        <w:rPr>
          <w:rFonts w:asciiTheme="majorHAnsi" w:hAnsiTheme="majorHAnsi"/>
        </w:rPr>
        <w:t xml:space="preserve">tredných škôl tvorili </w:t>
      </w:r>
      <w:r w:rsidR="00BD5FD5">
        <w:rPr>
          <w:rFonts w:asciiTheme="majorHAnsi" w:hAnsiTheme="majorHAnsi"/>
        </w:rPr>
        <w:t>a</w:t>
      </w:r>
      <w:r w:rsidRPr="00A11FE0">
        <w:rPr>
          <w:rFonts w:asciiTheme="majorHAnsi" w:hAnsiTheme="majorHAnsi"/>
        </w:rPr>
        <w:t xml:space="preserve">bsolventi študijných </w:t>
      </w:r>
      <w:r w:rsidR="000C134A">
        <w:rPr>
          <w:rFonts w:asciiTheme="majorHAnsi" w:hAnsiTheme="majorHAnsi"/>
        </w:rPr>
        <w:t xml:space="preserve">spoločenských </w:t>
      </w:r>
      <w:r w:rsidRPr="00A11FE0">
        <w:rPr>
          <w:rFonts w:asciiTheme="majorHAnsi" w:hAnsiTheme="majorHAnsi"/>
        </w:rPr>
        <w:t>odborov</w:t>
      </w:r>
      <w:r w:rsidR="000C134A">
        <w:rPr>
          <w:rFonts w:asciiTheme="majorHAnsi" w:hAnsiTheme="majorHAnsi"/>
        </w:rPr>
        <w:t xml:space="preserve"> a služieb</w:t>
      </w:r>
      <w:r w:rsidRPr="00A11FE0">
        <w:rPr>
          <w:rStyle w:val="Odkaznapoznmkupodiarou"/>
          <w:rFonts w:asciiTheme="majorHAnsi" w:hAnsiTheme="majorHAnsi"/>
        </w:rPr>
        <w:footnoteReference w:id="109"/>
      </w:r>
      <w:r w:rsidRPr="00A11FE0">
        <w:rPr>
          <w:rFonts w:asciiTheme="majorHAnsi" w:hAnsiTheme="majorHAnsi"/>
        </w:rPr>
        <w:t xml:space="preserve">, nasledujú </w:t>
      </w:r>
      <w:r w:rsidR="00BD5FD5">
        <w:rPr>
          <w:rFonts w:asciiTheme="majorHAnsi" w:hAnsiTheme="majorHAnsi"/>
        </w:rPr>
        <w:t>a</w:t>
      </w:r>
      <w:r w:rsidRPr="00A11FE0">
        <w:rPr>
          <w:rFonts w:asciiTheme="majorHAnsi" w:hAnsiTheme="majorHAnsi"/>
        </w:rPr>
        <w:t xml:space="preserve">bsolventi študijných odborov </w:t>
      </w:r>
      <w:r w:rsidR="00BD5FD5">
        <w:rPr>
          <w:rFonts w:asciiTheme="majorHAnsi" w:hAnsiTheme="majorHAnsi"/>
        </w:rPr>
        <w:t>s </w:t>
      </w:r>
      <w:r w:rsidRPr="00A11FE0">
        <w:rPr>
          <w:rFonts w:asciiTheme="majorHAnsi" w:hAnsiTheme="majorHAnsi"/>
        </w:rPr>
        <w:t xml:space="preserve">rozšíreným praktickým </w:t>
      </w:r>
      <w:r w:rsidRPr="00A11FE0">
        <w:rPr>
          <w:rFonts w:asciiTheme="majorHAnsi" w:hAnsiTheme="majorHAnsi"/>
        </w:rPr>
        <w:lastRenderedPageBreak/>
        <w:t xml:space="preserve">vyučovaním </w:t>
      </w:r>
      <w:r w:rsidR="00BD5FD5">
        <w:rPr>
          <w:rFonts w:asciiTheme="majorHAnsi" w:hAnsiTheme="majorHAnsi"/>
        </w:rPr>
        <w:t>a a</w:t>
      </w:r>
      <w:r w:rsidRPr="00A11FE0">
        <w:rPr>
          <w:rFonts w:asciiTheme="majorHAnsi" w:hAnsiTheme="majorHAnsi"/>
        </w:rPr>
        <w:t>bsolventi</w:t>
      </w:r>
      <w:r w:rsidR="008B2288">
        <w:rPr>
          <w:rFonts w:asciiTheme="majorHAnsi" w:hAnsiTheme="majorHAnsi"/>
        </w:rPr>
        <w:t xml:space="preserve"> </w:t>
      </w:r>
      <w:r w:rsidRPr="00A11FE0">
        <w:rPr>
          <w:rFonts w:asciiTheme="majorHAnsi" w:hAnsiTheme="majorHAnsi"/>
        </w:rPr>
        <w:t>učebných odborov. Najmenej evidovaných bolo gymnazistov, pretože značná časť z</w:t>
      </w:r>
      <w:r w:rsidR="008B2288">
        <w:rPr>
          <w:rFonts w:asciiTheme="majorHAnsi" w:hAnsiTheme="majorHAnsi"/>
        </w:rPr>
        <w:t> </w:t>
      </w:r>
      <w:r w:rsidRPr="00A11FE0">
        <w:rPr>
          <w:rFonts w:asciiTheme="majorHAnsi" w:hAnsiTheme="majorHAnsi"/>
        </w:rPr>
        <w:t>nich</w:t>
      </w:r>
      <w:r w:rsidR="008B2288">
        <w:rPr>
          <w:rFonts w:asciiTheme="majorHAnsi" w:hAnsiTheme="majorHAnsi"/>
        </w:rPr>
        <w:t xml:space="preserve"> </w:t>
      </w:r>
      <w:r w:rsidRPr="00A11FE0">
        <w:rPr>
          <w:rFonts w:asciiTheme="majorHAnsi" w:hAnsiTheme="majorHAnsi"/>
        </w:rPr>
        <w:t>pokračuje v</w:t>
      </w:r>
      <w:r w:rsidR="003239E1">
        <w:rPr>
          <w:rFonts w:asciiTheme="majorHAnsi" w:hAnsiTheme="majorHAnsi"/>
        </w:rPr>
        <w:t> </w:t>
      </w:r>
      <w:r w:rsidRPr="00A11FE0">
        <w:rPr>
          <w:rFonts w:asciiTheme="majorHAnsi" w:hAnsiTheme="majorHAnsi"/>
        </w:rPr>
        <w:t>štúdiu</w:t>
      </w:r>
      <w:r w:rsidR="003239E1">
        <w:rPr>
          <w:rFonts w:asciiTheme="majorHAnsi" w:hAnsiTheme="majorHAnsi"/>
        </w:rPr>
        <w:t xml:space="preserve"> </w:t>
      </w:r>
      <w:r w:rsidRPr="00A11FE0">
        <w:rPr>
          <w:rFonts w:asciiTheme="majorHAnsi" w:hAnsiTheme="majorHAnsi"/>
        </w:rPr>
        <w:t xml:space="preserve">na </w:t>
      </w:r>
      <w:r w:rsidR="007C7BFF">
        <w:rPr>
          <w:rFonts w:asciiTheme="majorHAnsi" w:hAnsiTheme="majorHAnsi"/>
        </w:rPr>
        <w:t>VŠ</w:t>
      </w:r>
      <w:r w:rsidRPr="00A11FE0">
        <w:rPr>
          <w:rFonts w:asciiTheme="majorHAnsi" w:hAnsiTheme="majorHAnsi"/>
        </w:rPr>
        <w:t>.</w:t>
      </w:r>
    </w:p>
    <w:p w:rsidR="00406C25" w:rsidRPr="00A11FE0" w:rsidRDefault="00406C25" w:rsidP="00406C25">
      <w:pPr>
        <w:rPr>
          <w:rFonts w:asciiTheme="majorHAnsi" w:hAnsiTheme="majorHAnsi"/>
        </w:rPr>
      </w:pPr>
      <w:r w:rsidRPr="00A11FE0">
        <w:rPr>
          <w:rFonts w:asciiTheme="majorHAnsi" w:hAnsiTheme="majorHAnsi"/>
        </w:rPr>
        <w:t>I </w:t>
      </w:r>
      <w:r w:rsidR="00BD5FD5">
        <w:rPr>
          <w:rFonts w:asciiTheme="majorHAnsi" w:hAnsiTheme="majorHAnsi"/>
        </w:rPr>
        <w:t>k</w:t>
      </w:r>
      <w:r w:rsidRPr="00A11FE0">
        <w:rPr>
          <w:rFonts w:asciiTheme="majorHAnsi" w:hAnsiTheme="majorHAnsi"/>
        </w:rPr>
        <w:t xml:space="preserve">eď nezamestnanosť </w:t>
      </w:r>
      <w:r w:rsidR="00BD5FD5">
        <w:rPr>
          <w:rFonts w:asciiTheme="majorHAnsi" w:hAnsiTheme="majorHAnsi"/>
        </w:rPr>
        <w:t>a</w:t>
      </w:r>
      <w:r w:rsidRPr="00A11FE0">
        <w:rPr>
          <w:rFonts w:asciiTheme="majorHAnsi" w:hAnsiTheme="majorHAnsi"/>
        </w:rPr>
        <w:t>bsolventov terciárneho vzdelávania je v </w:t>
      </w:r>
      <w:r w:rsidR="00BD5FD5">
        <w:rPr>
          <w:rFonts w:asciiTheme="majorHAnsi" w:hAnsiTheme="majorHAnsi"/>
        </w:rPr>
        <w:t>s</w:t>
      </w:r>
      <w:r w:rsidRPr="00A11FE0">
        <w:rPr>
          <w:rFonts w:asciiTheme="majorHAnsi" w:hAnsiTheme="majorHAnsi"/>
        </w:rPr>
        <w:t xml:space="preserve">kupine mladých ľudí najnižšia </w:t>
      </w:r>
      <w:r w:rsidR="00BD5FD5">
        <w:rPr>
          <w:rFonts w:asciiTheme="majorHAnsi" w:hAnsiTheme="majorHAnsi"/>
        </w:rPr>
        <w:t>a </w:t>
      </w:r>
      <w:r w:rsidRPr="00A11FE0">
        <w:rPr>
          <w:rFonts w:asciiTheme="majorHAnsi" w:hAnsiTheme="majorHAnsi"/>
        </w:rPr>
        <w:t xml:space="preserve">trvá najkratšie (90 % je v evidencii do 6 mesiacov), je relatívne vysoká. Po </w:t>
      </w:r>
      <w:r w:rsidR="00BD5FD5">
        <w:rPr>
          <w:rFonts w:asciiTheme="majorHAnsi" w:hAnsiTheme="majorHAnsi"/>
        </w:rPr>
        <w:t>s</w:t>
      </w:r>
      <w:r w:rsidRPr="00A11FE0">
        <w:rPr>
          <w:rFonts w:asciiTheme="majorHAnsi" w:hAnsiTheme="majorHAnsi"/>
        </w:rPr>
        <w:t xml:space="preserve">končení štúdia </w:t>
      </w:r>
      <w:r w:rsidR="00BD5FD5">
        <w:rPr>
          <w:rFonts w:asciiTheme="majorHAnsi" w:hAnsiTheme="majorHAnsi"/>
        </w:rPr>
        <w:t>s</w:t>
      </w:r>
      <w:r w:rsidRPr="00A11FE0">
        <w:rPr>
          <w:rFonts w:asciiTheme="majorHAnsi" w:hAnsiTheme="majorHAnsi"/>
        </w:rPr>
        <w:t xml:space="preserve">a v evidencii úradu práce ocitne viac </w:t>
      </w:r>
      <w:r w:rsidR="00BD5FD5">
        <w:rPr>
          <w:rFonts w:asciiTheme="majorHAnsi" w:hAnsiTheme="majorHAnsi"/>
        </w:rPr>
        <w:t>ak</w:t>
      </w:r>
      <w:r w:rsidRPr="00A11FE0">
        <w:rPr>
          <w:rFonts w:asciiTheme="majorHAnsi" w:hAnsiTheme="majorHAnsi"/>
        </w:rPr>
        <w:t xml:space="preserve">o 9 tisíc </w:t>
      </w:r>
      <w:r w:rsidR="00BD5FD5">
        <w:rPr>
          <w:rFonts w:asciiTheme="majorHAnsi" w:hAnsiTheme="majorHAnsi"/>
        </w:rPr>
        <w:t>a</w:t>
      </w:r>
      <w:r w:rsidRPr="00A11FE0">
        <w:rPr>
          <w:rFonts w:asciiTheme="majorHAnsi" w:hAnsiTheme="majorHAnsi"/>
        </w:rPr>
        <w:t>bsolventov</w:t>
      </w:r>
      <w:r w:rsidRPr="00A11FE0">
        <w:rPr>
          <w:rStyle w:val="Odkaznapoznmkupodiarou"/>
          <w:rFonts w:asciiTheme="majorHAnsi" w:hAnsiTheme="majorHAnsi"/>
        </w:rPr>
        <w:footnoteReference w:id="110"/>
      </w:r>
      <w:r w:rsidRPr="00A11FE0">
        <w:rPr>
          <w:rFonts w:asciiTheme="majorHAnsi" w:hAnsiTheme="majorHAnsi"/>
        </w:rPr>
        <w:t xml:space="preserve">. Približne 60 % z nich tvoria </w:t>
      </w:r>
      <w:r w:rsidR="00BD5FD5">
        <w:rPr>
          <w:rFonts w:asciiTheme="majorHAnsi" w:hAnsiTheme="majorHAnsi"/>
        </w:rPr>
        <w:t>a</w:t>
      </w:r>
      <w:r w:rsidRPr="00A11FE0">
        <w:rPr>
          <w:rFonts w:asciiTheme="majorHAnsi" w:hAnsiTheme="majorHAnsi"/>
        </w:rPr>
        <w:t xml:space="preserve">bsolventi </w:t>
      </w:r>
      <w:r w:rsidR="00BD5FD5">
        <w:rPr>
          <w:rFonts w:asciiTheme="majorHAnsi" w:hAnsiTheme="majorHAnsi"/>
        </w:rPr>
        <w:t>s</w:t>
      </w:r>
      <w:r w:rsidRPr="00A11FE0">
        <w:rPr>
          <w:rFonts w:asciiTheme="majorHAnsi" w:hAnsiTheme="majorHAnsi"/>
        </w:rPr>
        <w:t>poločensko-vedných odborov</w:t>
      </w:r>
      <w:r w:rsidR="0062593E">
        <w:rPr>
          <w:rFonts w:asciiTheme="majorHAnsi" w:hAnsiTheme="majorHAnsi"/>
        </w:rPr>
        <w:t xml:space="preserve"> a</w:t>
      </w:r>
      <w:r w:rsidRPr="00A11FE0">
        <w:rPr>
          <w:rFonts w:asciiTheme="majorHAnsi" w:hAnsiTheme="majorHAnsi"/>
        </w:rPr>
        <w:t xml:space="preserve"> 20 % tvoria </w:t>
      </w:r>
      <w:r w:rsidR="00BD5FD5">
        <w:rPr>
          <w:rFonts w:asciiTheme="majorHAnsi" w:hAnsiTheme="majorHAnsi"/>
        </w:rPr>
        <w:t>a</w:t>
      </w:r>
      <w:r w:rsidRPr="00A11FE0">
        <w:rPr>
          <w:rFonts w:asciiTheme="majorHAnsi" w:hAnsiTheme="majorHAnsi"/>
        </w:rPr>
        <w:t>bsolventi technických odborov</w:t>
      </w:r>
      <w:r w:rsidR="005708DD">
        <w:rPr>
          <w:rFonts w:asciiTheme="majorHAnsi" w:hAnsiTheme="majorHAnsi"/>
        </w:rPr>
        <w:t>.</w:t>
      </w:r>
    </w:p>
    <w:p w:rsidR="00406C25"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Bariérami, </w:t>
      </w:r>
      <w:r w:rsidR="00BD5FD5">
        <w:rPr>
          <w:rFonts w:asciiTheme="majorHAnsi" w:hAnsiTheme="majorHAnsi"/>
          <w:szCs w:val="22"/>
        </w:rPr>
        <w:t>k</w:t>
      </w:r>
      <w:r w:rsidRPr="00A11FE0">
        <w:rPr>
          <w:rFonts w:asciiTheme="majorHAnsi" w:hAnsiTheme="majorHAnsi"/>
          <w:szCs w:val="22"/>
        </w:rPr>
        <w:t xml:space="preserve">toré bránia </w:t>
      </w:r>
      <w:r w:rsidR="0096574B">
        <w:rPr>
          <w:rFonts w:asciiTheme="majorHAnsi" w:hAnsiTheme="majorHAnsi"/>
          <w:szCs w:val="22"/>
        </w:rPr>
        <w:t>zvýšeniu</w:t>
      </w:r>
      <w:r w:rsidR="000C134A">
        <w:rPr>
          <w:rFonts w:asciiTheme="majorHAnsi" w:hAnsiTheme="majorHAnsi"/>
          <w:szCs w:val="22"/>
        </w:rPr>
        <w:t xml:space="preserve"> </w:t>
      </w:r>
      <w:r w:rsidRPr="00A11FE0">
        <w:rPr>
          <w:rFonts w:asciiTheme="majorHAnsi" w:hAnsiTheme="majorHAnsi"/>
          <w:szCs w:val="22"/>
        </w:rPr>
        <w:t>zamestnanosti</w:t>
      </w:r>
      <w:r w:rsidR="00B476F9">
        <w:rPr>
          <w:rFonts w:asciiTheme="majorHAnsi" w:hAnsiTheme="majorHAnsi"/>
          <w:szCs w:val="22"/>
        </w:rPr>
        <w:t>,</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ú najmä</w:t>
      </w:r>
      <w:r w:rsidR="00FF3341" w:rsidRPr="00FF3341">
        <w:rPr>
          <w:rFonts w:asciiTheme="majorHAnsi" w:hAnsiTheme="majorHAnsi"/>
          <w:szCs w:val="22"/>
        </w:rPr>
        <w:t xml:space="preserve"> nesúlad medzi vzdelaním a</w:t>
      </w:r>
      <w:r w:rsidR="006A34F5">
        <w:rPr>
          <w:rFonts w:asciiTheme="majorHAnsi" w:hAnsiTheme="majorHAnsi"/>
          <w:szCs w:val="22"/>
        </w:rPr>
        <w:t> </w:t>
      </w:r>
      <w:r w:rsidR="00FF3341" w:rsidRPr="00FF3341">
        <w:rPr>
          <w:rFonts w:asciiTheme="majorHAnsi" w:hAnsiTheme="majorHAnsi"/>
          <w:szCs w:val="22"/>
        </w:rPr>
        <w:t>získanými zručnosťami pre potreby trhu práce</w:t>
      </w:r>
      <w:r w:rsidR="00F70B2A">
        <w:rPr>
          <w:rFonts w:asciiTheme="majorHAnsi" w:hAnsiTheme="majorHAnsi"/>
          <w:szCs w:val="22"/>
        </w:rPr>
        <w:t>,</w:t>
      </w:r>
      <w:r w:rsidR="00821009" w:rsidRPr="00A11FE0">
        <w:rPr>
          <w:rFonts w:asciiTheme="majorHAnsi" w:hAnsiTheme="majorHAnsi"/>
          <w:szCs w:val="22"/>
        </w:rPr>
        <w:t xml:space="preserve"> </w:t>
      </w:r>
      <w:r w:rsidRPr="00A11FE0">
        <w:rPr>
          <w:rFonts w:asciiTheme="majorHAnsi" w:hAnsiTheme="majorHAnsi"/>
          <w:szCs w:val="22"/>
        </w:rPr>
        <w:t xml:space="preserve">nedostatočná pripravenosť </w:t>
      </w:r>
      <w:r w:rsidR="00BD5FD5">
        <w:rPr>
          <w:rFonts w:asciiTheme="majorHAnsi" w:hAnsiTheme="majorHAnsi"/>
          <w:szCs w:val="22"/>
        </w:rPr>
        <w:t>s</w:t>
      </w:r>
      <w:r w:rsidRPr="00A11FE0">
        <w:rPr>
          <w:rFonts w:asciiTheme="majorHAnsi" w:hAnsiTheme="majorHAnsi"/>
          <w:szCs w:val="22"/>
        </w:rPr>
        <w:t xml:space="preserve">tredných odborných škôl reagovať na meniace </w:t>
      </w:r>
      <w:r w:rsidR="00BD5FD5">
        <w:rPr>
          <w:rFonts w:asciiTheme="majorHAnsi" w:hAnsiTheme="majorHAnsi"/>
          <w:szCs w:val="22"/>
        </w:rPr>
        <w:t>s</w:t>
      </w:r>
      <w:r w:rsidRPr="00A11FE0">
        <w:rPr>
          <w:rFonts w:asciiTheme="majorHAnsi" w:hAnsiTheme="majorHAnsi"/>
          <w:szCs w:val="22"/>
        </w:rPr>
        <w:t xml:space="preserve">a </w:t>
      </w:r>
      <w:r w:rsidR="001A7961">
        <w:rPr>
          <w:rFonts w:asciiTheme="majorHAnsi" w:hAnsiTheme="majorHAnsi"/>
          <w:szCs w:val="22"/>
        </w:rPr>
        <w:t>potreby</w:t>
      </w:r>
      <w:r w:rsidR="001A7961" w:rsidRPr="00A11FE0">
        <w:rPr>
          <w:rFonts w:asciiTheme="majorHAnsi" w:hAnsiTheme="majorHAnsi"/>
          <w:szCs w:val="22"/>
        </w:rPr>
        <w:t xml:space="preserve"> </w:t>
      </w:r>
      <w:r w:rsidRPr="00A11FE0">
        <w:rPr>
          <w:rFonts w:asciiTheme="majorHAnsi" w:hAnsiTheme="majorHAnsi"/>
          <w:szCs w:val="22"/>
        </w:rPr>
        <w:t>trhu práce</w:t>
      </w:r>
      <w:r w:rsidR="00EF2D9F" w:rsidRPr="00A11FE0">
        <w:rPr>
          <w:rFonts w:asciiTheme="majorHAnsi" w:hAnsiTheme="majorHAnsi"/>
          <w:szCs w:val="22"/>
        </w:rPr>
        <w:t>,</w:t>
      </w:r>
      <w:r w:rsidR="00821009" w:rsidRPr="00A11FE0">
        <w:rPr>
          <w:rFonts w:asciiTheme="majorHAnsi" w:hAnsiTheme="majorHAnsi"/>
          <w:szCs w:val="22"/>
        </w:rPr>
        <w:t xml:space="preserve">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 xml:space="preserve">j </w:t>
      </w:r>
      <w:r w:rsidR="00BD5FD5">
        <w:rPr>
          <w:rFonts w:asciiTheme="majorHAnsi" w:hAnsiTheme="majorHAnsi"/>
          <w:szCs w:val="22"/>
        </w:rPr>
        <w:t>s</w:t>
      </w:r>
      <w:r w:rsidRPr="00A11FE0">
        <w:rPr>
          <w:rFonts w:asciiTheme="majorHAnsi" w:hAnsiTheme="majorHAnsi"/>
          <w:szCs w:val="22"/>
        </w:rPr>
        <w:t xml:space="preserve">labé prepojenie terciárneho vzdelávania </w:t>
      </w:r>
      <w:r w:rsidR="00BD5FD5">
        <w:rPr>
          <w:rFonts w:asciiTheme="majorHAnsi" w:hAnsiTheme="majorHAnsi"/>
          <w:szCs w:val="22"/>
        </w:rPr>
        <w:t>a </w:t>
      </w:r>
      <w:r w:rsidRPr="00A11FE0">
        <w:rPr>
          <w:rFonts w:asciiTheme="majorHAnsi" w:hAnsiTheme="majorHAnsi"/>
          <w:szCs w:val="22"/>
        </w:rPr>
        <w:t>trhu práce.</w:t>
      </w:r>
    </w:p>
    <w:p w:rsidR="00406C25"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Medzi najčastejšie príčiny tohto </w:t>
      </w:r>
      <w:r w:rsidR="00BD5FD5">
        <w:rPr>
          <w:rFonts w:asciiTheme="majorHAnsi" w:hAnsiTheme="majorHAnsi"/>
          <w:szCs w:val="22"/>
        </w:rPr>
        <w:t>s</w:t>
      </w:r>
      <w:r w:rsidRPr="00A11FE0">
        <w:rPr>
          <w:rFonts w:asciiTheme="majorHAnsi" w:hAnsiTheme="majorHAnsi"/>
          <w:szCs w:val="22"/>
        </w:rPr>
        <w:t xml:space="preserve">tavu patrí </w:t>
      </w:r>
      <w:r w:rsidR="000C134A">
        <w:rPr>
          <w:rFonts w:asciiTheme="majorHAnsi" w:hAnsiTheme="majorHAnsi"/>
          <w:szCs w:val="22"/>
        </w:rPr>
        <w:t xml:space="preserve">slabá </w:t>
      </w:r>
      <w:r w:rsidRPr="00A11FE0">
        <w:rPr>
          <w:rFonts w:asciiTheme="majorHAnsi" w:hAnsiTheme="majorHAnsi"/>
        </w:rPr>
        <w:t xml:space="preserve">motivácia </w:t>
      </w:r>
      <w:r w:rsidR="009038EB">
        <w:rPr>
          <w:rFonts w:asciiTheme="majorHAnsi" w:hAnsiTheme="majorHAnsi"/>
        </w:rPr>
        <w:t>zamestnávateľov</w:t>
      </w:r>
      <w:r w:rsidR="009038EB" w:rsidRPr="00A11FE0">
        <w:rPr>
          <w:rFonts w:asciiTheme="majorHAnsi" w:hAnsiTheme="majorHAnsi"/>
        </w:rPr>
        <w:t xml:space="preserve"> </w:t>
      </w:r>
      <w:r w:rsidRPr="00A11FE0">
        <w:rPr>
          <w:rFonts w:asciiTheme="majorHAnsi" w:hAnsiTheme="majorHAnsi"/>
        </w:rPr>
        <w:t>zamestnávať mladých ľudí</w:t>
      </w:r>
      <w:r w:rsidR="0062593E">
        <w:rPr>
          <w:rFonts w:asciiTheme="majorHAnsi" w:hAnsiTheme="majorHAnsi"/>
        </w:rPr>
        <w:t xml:space="preserve">, ktorých kvalifikačné predpoklady nezodpovedajú </w:t>
      </w:r>
      <w:r w:rsidR="009713C8">
        <w:rPr>
          <w:rFonts w:asciiTheme="majorHAnsi" w:hAnsiTheme="majorHAnsi"/>
        </w:rPr>
        <w:t>ich</w:t>
      </w:r>
      <w:r w:rsidR="0062593E">
        <w:rPr>
          <w:rFonts w:asciiTheme="majorHAnsi" w:hAnsiTheme="majorHAnsi"/>
        </w:rPr>
        <w:t xml:space="preserve"> požiadavkám. Je to</w:t>
      </w:r>
      <w:r w:rsidR="00C37AFC" w:rsidRPr="00A11FE0">
        <w:rPr>
          <w:rFonts w:asciiTheme="majorHAnsi" w:hAnsiTheme="majorHAnsi"/>
        </w:rPr>
        <w:t xml:space="preserve"> </w:t>
      </w:r>
      <w:r w:rsidR="009713C8">
        <w:rPr>
          <w:rFonts w:asciiTheme="majorHAnsi" w:hAnsiTheme="majorHAnsi"/>
        </w:rPr>
        <w:t xml:space="preserve">negatívne </w:t>
      </w:r>
      <w:r w:rsidRPr="00A11FE0">
        <w:rPr>
          <w:rFonts w:asciiTheme="majorHAnsi" w:hAnsiTheme="majorHAnsi"/>
        </w:rPr>
        <w:t>ovplyvňovan</w:t>
      </w:r>
      <w:r w:rsidR="00C37AFC" w:rsidRPr="00A11FE0">
        <w:rPr>
          <w:rFonts w:asciiTheme="majorHAnsi" w:hAnsiTheme="majorHAnsi"/>
        </w:rPr>
        <w:t>é</w:t>
      </w:r>
      <w:r w:rsidRPr="00A11FE0">
        <w:rPr>
          <w:rFonts w:asciiTheme="majorHAnsi" w:hAnsiTheme="majorHAnsi"/>
        </w:rPr>
        <w:t xml:space="preserve"> relatívne vysokými nákladmi práce v</w:t>
      </w:r>
      <w:r w:rsidR="0062593E">
        <w:rPr>
          <w:rFonts w:asciiTheme="majorHAnsi" w:hAnsiTheme="majorHAnsi"/>
        </w:rPr>
        <w:t> </w:t>
      </w:r>
      <w:r w:rsidRPr="00A11FE0">
        <w:rPr>
          <w:rFonts w:asciiTheme="majorHAnsi" w:hAnsiTheme="majorHAnsi"/>
        </w:rPr>
        <w:t xml:space="preserve">porovnaní </w:t>
      </w:r>
      <w:r w:rsidR="00BD5FD5">
        <w:rPr>
          <w:rFonts w:asciiTheme="majorHAnsi" w:hAnsiTheme="majorHAnsi"/>
        </w:rPr>
        <w:t>s </w:t>
      </w:r>
      <w:r w:rsidRPr="00A11FE0">
        <w:rPr>
          <w:rFonts w:asciiTheme="majorHAnsi" w:hAnsiTheme="majorHAnsi"/>
        </w:rPr>
        <w:t>očakávanou produktivitou</w:t>
      </w:r>
      <w:r w:rsidRPr="00A11FE0">
        <w:rPr>
          <w:rStyle w:val="Odkaznapoznmkupodiarou"/>
          <w:rFonts w:asciiTheme="majorHAnsi" w:hAnsiTheme="majorHAnsi"/>
          <w:szCs w:val="22"/>
        </w:rPr>
        <w:footnoteReference w:id="111"/>
      </w:r>
      <w:r w:rsidR="0062593E">
        <w:rPr>
          <w:rFonts w:asciiTheme="majorHAnsi" w:hAnsiTheme="majorHAnsi"/>
        </w:rPr>
        <w:t xml:space="preserve"> a potrebou dodatočných investícií do ďalšieho vzdelávania zo strany </w:t>
      </w:r>
      <w:r w:rsidR="009038EB">
        <w:rPr>
          <w:rFonts w:asciiTheme="majorHAnsi" w:hAnsiTheme="majorHAnsi"/>
        </w:rPr>
        <w:t xml:space="preserve">zamestnávateľov. </w:t>
      </w:r>
      <w:r w:rsidR="0062593E">
        <w:rPr>
          <w:rFonts w:asciiTheme="majorHAnsi" w:hAnsiTheme="majorHAnsi"/>
        </w:rPr>
        <w:t xml:space="preserve">Problémom je </w:t>
      </w:r>
      <w:r w:rsidR="00632869">
        <w:rPr>
          <w:rFonts w:asciiTheme="majorHAnsi" w:hAnsiTheme="majorHAnsi"/>
        </w:rPr>
        <w:t>neexistencia</w:t>
      </w:r>
      <w:r w:rsidR="00632869" w:rsidRPr="00A11FE0">
        <w:rPr>
          <w:rFonts w:asciiTheme="majorHAnsi" w:hAnsiTheme="majorHAnsi"/>
        </w:rPr>
        <w:t xml:space="preserve"> </w:t>
      </w:r>
      <w:r w:rsidR="009713C8">
        <w:rPr>
          <w:rFonts w:asciiTheme="majorHAnsi" w:hAnsiTheme="majorHAnsi"/>
        </w:rPr>
        <w:t>systému zainteresovania</w:t>
      </w:r>
      <w:r w:rsidRPr="00A11FE0">
        <w:rPr>
          <w:rFonts w:asciiTheme="majorHAnsi" w:hAnsiTheme="majorHAnsi"/>
        </w:rPr>
        <w:t xml:space="preserve"> firiem</w:t>
      </w:r>
      <w:r w:rsidR="009713C8">
        <w:rPr>
          <w:rFonts w:asciiTheme="majorHAnsi" w:hAnsiTheme="majorHAnsi"/>
        </w:rPr>
        <w:t xml:space="preserve"> a</w:t>
      </w:r>
      <w:r w:rsidR="007C7BFF">
        <w:rPr>
          <w:rFonts w:asciiTheme="majorHAnsi" w:hAnsiTheme="majorHAnsi"/>
        </w:rPr>
        <w:t> </w:t>
      </w:r>
      <w:r w:rsidR="009713C8">
        <w:rPr>
          <w:rFonts w:asciiTheme="majorHAnsi" w:hAnsiTheme="majorHAnsi"/>
        </w:rPr>
        <w:t xml:space="preserve">škôl </w:t>
      </w:r>
      <w:r w:rsidRPr="00A11FE0">
        <w:rPr>
          <w:rFonts w:asciiTheme="majorHAnsi" w:hAnsiTheme="majorHAnsi"/>
        </w:rPr>
        <w:t xml:space="preserve">v príprave učebných osnov </w:t>
      </w:r>
      <w:r w:rsidR="00BD5FD5">
        <w:rPr>
          <w:rFonts w:asciiTheme="majorHAnsi" w:hAnsiTheme="majorHAnsi"/>
        </w:rPr>
        <w:t>a </w:t>
      </w:r>
      <w:r w:rsidRPr="00A11FE0">
        <w:rPr>
          <w:rFonts w:asciiTheme="majorHAnsi" w:hAnsiTheme="majorHAnsi"/>
        </w:rPr>
        <w:t>financovaní odborného vzdelávania</w:t>
      </w:r>
      <w:r w:rsidR="0057409B">
        <w:rPr>
          <w:rFonts w:asciiTheme="majorHAnsi" w:hAnsiTheme="majorHAnsi"/>
        </w:rPr>
        <w:t>,</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labo fungujúci duálny </w:t>
      </w:r>
      <w:r w:rsidR="00BD5FD5">
        <w:rPr>
          <w:rFonts w:asciiTheme="majorHAnsi" w:hAnsiTheme="majorHAnsi"/>
        </w:rPr>
        <w:t>s</w:t>
      </w:r>
      <w:r w:rsidRPr="00A11FE0">
        <w:rPr>
          <w:rFonts w:asciiTheme="majorHAnsi" w:hAnsiTheme="majorHAnsi"/>
        </w:rPr>
        <w:t xml:space="preserve">ystém učňovského školstva, </w:t>
      </w:r>
      <w:r w:rsidR="00BD5FD5">
        <w:rPr>
          <w:rFonts w:asciiTheme="majorHAnsi" w:hAnsiTheme="majorHAnsi"/>
        </w:rPr>
        <w:t>k</w:t>
      </w:r>
      <w:r w:rsidRPr="00A11FE0">
        <w:rPr>
          <w:rFonts w:asciiTheme="majorHAnsi" w:hAnsiTheme="majorHAnsi"/>
        </w:rPr>
        <w:t xml:space="preserve">de </w:t>
      </w:r>
      <w:r w:rsidR="00BD5FD5">
        <w:rPr>
          <w:rFonts w:asciiTheme="majorHAnsi" w:hAnsiTheme="majorHAnsi"/>
        </w:rPr>
        <w:t>s</w:t>
      </w:r>
      <w:r w:rsidRPr="00A11FE0">
        <w:rPr>
          <w:rFonts w:asciiTheme="majorHAnsi" w:hAnsiTheme="majorHAnsi"/>
        </w:rPr>
        <w:t>a vyučovanie v</w:t>
      </w:r>
      <w:r w:rsidR="003239E1">
        <w:rPr>
          <w:rFonts w:asciiTheme="majorHAnsi" w:hAnsiTheme="majorHAnsi"/>
        </w:rPr>
        <w:t> </w:t>
      </w:r>
      <w:r w:rsidRPr="00A11FE0">
        <w:rPr>
          <w:rFonts w:asciiTheme="majorHAnsi" w:hAnsiTheme="majorHAnsi"/>
        </w:rPr>
        <w:t>školách</w:t>
      </w:r>
      <w:r w:rsidR="003239E1">
        <w:rPr>
          <w:rFonts w:asciiTheme="majorHAnsi" w:hAnsiTheme="majorHAnsi"/>
        </w:rPr>
        <w:t xml:space="preserve"> </w:t>
      </w:r>
      <w:r w:rsidR="00BD5FD5">
        <w:rPr>
          <w:rFonts w:asciiTheme="majorHAnsi" w:hAnsiTheme="majorHAnsi"/>
        </w:rPr>
        <w:t>s</w:t>
      </w:r>
      <w:r w:rsidRPr="00A11FE0">
        <w:rPr>
          <w:rFonts w:asciiTheme="majorHAnsi" w:hAnsiTheme="majorHAnsi"/>
        </w:rPr>
        <w:t xml:space="preserve">trieda </w:t>
      </w:r>
      <w:r w:rsidR="00BD5FD5">
        <w:rPr>
          <w:rFonts w:asciiTheme="majorHAnsi" w:hAnsiTheme="majorHAnsi"/>
        </w:rPr>
        <w:t>s </w:t>
      </w:r>
      <w:r w:rsidRPr="00A11FE0">
        <w:rPr>
          <w:rFonts w:asciiTheme="majorHAnsi" w:hAnsiTheme="majorHAnsi"/>
        </w:rPr>
        <w:t>výučbou priamo na pracovisku</w:t>
      </w:r>
      <w:r w:rsidR="0057409B">
        <w:rPr>
          <w:rFonts w:asciiTheme="majorHAnsi" w:hAnsiTheme="majorHAnsi"/>
        </w:rPr>
        <w:t>,</w:t>
      </w:r>
      <w:r w:rsidRPr="00A11FE0">
        <w:rPr>
          <w:rFonts w:asciiTheme="majorHAnsi" w:hAnsiTheme="majorHAnsi"/>
        </w:rPr>
        <w:t xml:space="preserve"> neefektívny </w:t>
      </w:r>
      <w:r w:rsidR="00BD5FD5">
        <w:rPr>
          <w:rFonts w:asciiTheme="majorHAnsi" w:hAnsiTheme="majorHAnsi"/>
        </w:rPr>
        <w:t>s</w:t>
      </w:r>
      <w:r w:rsidRPr="00A11FE0">
        <w:rPr>
          <w:rFonts w:asciiTheme="majorHAnsi" w:hAnsiTheme="majorHAnsi"/>
        </w:rPr>
        <w:t xml:space="preserve">ystém terciárneho vzdelávania, najmä </w:t>
      </w:r>
      <w:r w:rsidR="00BD5FD5">
        <w:rPr>
          <w:rFonts w:asciiTheme="majorHAnsi" w:hAnsiTheme="majorHAnsi"/>
        </w:rPr>
        <w:t>a</w:t>
      </w:r>
      <w:r w:rsidRPr="00A11FE0">
        <w:rPr>
          <w:rFonts w:asciiTheme="majorHAnsi" w:hAnsiTheme="majorHAnsi"/>
        </w:rPr>
        <w:t xml:space="preserve">bsencia </w:t>
      </w:r>
      <w:r w:rsidR="00BD5FD5">
        <w:rPr>
          <w:rFonts w:asciiTheme="majorHAnsi" w:hAnsiTheme="majorHAnsi"/>
        </w:rPr>
        <w:t>k</w:t>
      </w:r>
      <w:r w:rsidRPr="00A11FE0">
        <w:rPr>
          <w:rFonts w:asciiTheme="majorHAnsi" w:hAnsiTheme="majorHAnsi"/>
        </w:rPr>
        <w:t xml:space="preserve">ratších </w:t>
      </w:r>
      <w:r w:rsidR="00BD5FD5">
        <w:rPr>
          <w:rFonts w:asciiTheme="majorHAnsi" w:hAnsiTheme="majorHAnsi"/>
        </w:rPr>
        <w:t>a s </w:t>
      </w:r>
      <w:r w:rsidRPr="00A11FE0">
        <w:rPr>
          <w:rFonts w:asciiTheme="majorHAnsi" w:hAnsiTheme="majorHAnsi"/>
        </w:rPr>
        <w:t>praxou prepojených foriem štúdia</w:t>
      </w:r>
      <w:r w:rsidR="006F3339">
        <w:rPr>
          <w:rFonts w:asciiTheme="majorHAnsi" w:hAnsiTheme="majorHAnsi"/>
        </w:rPr>
        <w:t xml:space="preserve"> (bakalársky </w:t>
      </w:r>
      <w:r w:rsidR="00BD5FD5">
        <w:rPr>
          <w:rFonts w:asciiTheme="majorHAnsi" w:hAnsiTheme="majorHAnsi"/>
        </w:rPr>
        <w:t>s</w:t>
      </w:r>
      <w:r w:rsidR="006F3339">
        <w:rPr>
          <w:rFonts w:asciiTheme="majorHAnsi" w:hAnsiTheme="majorHAnsi"/>
        </w:rPr>
        <w:t>tupeň)</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nesúlad medzi počtom </w:t>
      </w:r>
      <w:r w:rsidR="00BD5FD5">
        <w:rPr>
          <w:rFonts w:asciiTheme="majorHAnsi" w:hAnsiTheme="majorHAnsi"/>
        </w:rPr>
        <w:t>a</w:t>
      </w:r>
      <w:r w:rsidRPr="00A11FE0">
        <w:rPr>
          <w:rFonts w:asciiTheme="majorHAnsi" w:hAnsiTheme="majorHAnsi"/>
        </w:rPr>
        <w:t xml:space="preserve">bsolventov študijných programov žiadaných trhom práce </w:t>
      </w:r>
      <w:r w:rsidR="00BD5FD5">
        <w:rPr>
          <w:rFonts w:asciiTheme="majorHAnsi" w:hAnsiTheme="majorHAnsi"/>
        </w:rPr>
        <w:t>a </w:t>
      </w:r>
      <w:r w:rsidRPr="00A11FE0">
        <w:rPr>
          <w:rFonts w:asciiTheme="majorHAnsi" w:hAnsiTheme="majorHAnsi"/>
        </w:rPr>
        <w:t xml:space="preserve">počtom </w:t>
      </w:r>
      <w:r w:rsidR="00BD5FD5">
        <w:rPr>
          <w:rFonts w:asciiTheme="majorHAnsi" w:hAnsiTheme="majorHAnsi"/>
        </w:rPr>
        <w:t>a</w:t>
      </w:r>
      <w:r w:rsidRPr="00A11FE0">
        <w:rPr>
          <w:rFonts w:asciiTheme="majorHAnsi" w:hAnsiTheme="majorHAnsi"/>
        </w:rPr>
        <w:t xml:space="preserve">bsolventov študijných programov, </w:t>
      </w:r>
      <w:r w:rsidR="00BD5FD5">
        <w:rPr>
          <w:rFonts w:asciiTheme="majorHAnsi" w:hAnsiTheme="majorHAnsi"/>
        </w:rPr>
        <w:t>k</w:t>
      </w:r>
      <w:r w:rsidRPr="00A11FE0">
        <w:rPr>
          <w:rFonts w:asciiTheme="majorHAnsi" w:hAnsiTheme="majorHAnsi"/>
        </w:rPr>
        <w:t>toré trh práce v </w:t>
      </w:r>
      <w:r w:rsidR="00BD5FD5">
        <w:rPr>
          <w:rFonts w:asciiTheme="majorHAnsi" w:hAnsiTheme="majorHAnsi"/>
        </w:rPr>
        <w:t>s</w:t>
      </w:r>
      <w:r w:rsidRPr="00A11FE0">
        <w:rPr>
          <w:rFonts w:asciiTheme="majorHAnsi" w:hAnsiTheme="majorHAnsi"/>
        </w:rPr>
        <w:t>účasnosti nevyžaduje vo väčšej miere</w:t>
      </w:r>
      <w:r w:rsidR="0057409B">
        <w:rPr>
          <w:rFonts w:asciiTheme="majorHAnsi" w:hAnsiTheme="majorHAnsi"/>
        </w:rPr>
        <w:t>. Ďalej k nim patrí</w:t>
      </w:r>
      <w:r w:rsidRPr="00A11FE0">
        <w:rPr>
          <w:rFonts w:asciiTheme="majorHAnsi" w:hAnsiTheme="majorHAnsi"/>
          <w:szCs w:val="22"/>
        </w:rPr>
        <w:t xml:space="preserve"> nízka účinnosť </w:t>
      </w:r>
      <w:r w:rsidR="00BD5FD5">
        <w:rPr>
          <w:rFonts w:asciiTheme="majorHAnsi" w:hAnsiTheme="majorHAnsi"/>
          <w:szCs w:val="22"/>
        </w:rPr>
        <w:t>k</w:t>
      </w:r>
      <w:r w:rsidRPr="00A11FE0">
        <w:rPr>
          <w:rFonts w:asciiTheme="majorHAnsi" w:hAnsiTheme="majorHAnsi"/>
          <w:szCs w:val="22"/>
        </w:rPr>
        <w:t xml:space="preserve">ariérneho poradenstva, </w:t>
      </w:r>
      <w:r w:rsidR="00BD5FD5">
        <w:rPr>
          <w:rFonts w:asciiTheme="majorHAnsi" w:hAnsiTheme="majorHAnsi"/>
          <w:szCs w:val="22"/>
        </w:rPr>
        <w:t>s</w:t>
      </w:r>
      <w:r w:rsidRPr="00A11FE0">
        <w:rPr>
          <w:rFonts w:asciiTheme="majorHAnsi" w:hAnsiTheme="majorHAnsi"/>
          <w:szCs w:val="22"/>
        </w:rPr>
        <w:t xml:space="preserve">ociálnych </w:t>
      </w:r>
      <w:r w:rsidR="00BD5FD5">
        <w:rPr>
          <w:rFonts w:asciiTheme="majorHAnsi" w:hAnsiTheme="majorHAnsi"/>
          <w:szCs w:val="22"/>
        </w:rPr>
        <w:t>a ak</w:t>
      </w:r>
      <w:r w:rsidRPr="00A11FE0">
        <w:rPr>
          <w:rFonts w:asciiTheme="majorHAnsi" w:hAnsiTheme="majorHAnsi"/>
          <w:szCs w:val="22"/>
        </w:rPr>
        <w:t>tivačných politík</w:t>
      </w:r>
      <w:r w:rsidR="0057409B">
        <w:rPr>
          <w:rFonts w:asciiTheme="majorHAnsi" w:hAnsiTheme="majorHAnsi"/>
          <w:szCs w:val="22"/>
        </w:rPr>
        <w:t xml:space="preserve"> a</w:t>
      </w:r>
      <w:r w:rsidR="00632869">
        <w:rPr>
          <w:rFonts w:asciiTheme="majorHAnsi" w:hAnsiTheme="majorHAnsi"/>
          <w:szCs w:val="22"/>
        </w:rPr>
        <w:t> </w:t>
      </w:r>
      <w:r w:rsidRPr="00A11FE0">
        <w:rPr>
          <w:rFonts w:asciiTheme="majorHAnsi" w:hAnsiTheme="majorHAnsi"/>
          <w:szCs w:val="22"/>
        </w:rPr>
        <w:t>územná mobilita mladých</w:t>
      </w:r>
      <w:r w:rsidR="005708DD">
        <w:rPr>
          <w:rFonts w:asciiTheme="majorHAnsi" w:hAnsiTheme="majorHAnsi"/>
          <w:szCs w:val="22"/>
        </w:rPr>
        <w:t>,</w:t>
      </w:r>
      <w:r w:rsidRPr="00A11FE0">
        <w:rPr>
          <w:rFonts w:asciiTheme="majorHAnsi" w:hAnsiTheme="majorHAnsi"/>
          <w:szCs w:val="22"/>
        </w:rPr>
        <w:t xml:space="preserve"> nedostatočná </w:t>
      </w:r>
      <w:r w:rsidR="00BD5FD5">
        <w:rPr>
          <w:rFonts w:asciiTheme="majorHAnsi" w:hAnsiTheme="majorHAnsi"/>
          <w:szCs w:val="22"/>
        </w:rPr>
        <w:t>s</w:t>
      </w:r>
      <w:r w:rsidRPr="00A11FE0">
        <w:rPr>
          <w:rFonts w:asciiTheme="majorHAnsi" w:hAnsiTheme="majorHAnsi"/>
          <w:szCs w:val="22"/>
        </w:rPr>
        <w:t xml:space="preserve">ieť zariadení </w:t>
      </w:r>
      <w:r w:rsidR="00BD5FD5">
        <w:rPr>
          <w:rFonts w:asciiTheme="majorHAnsi" w:hAnsiTheme="majorHAnsi"/>
          <w:szCs w:val="22"/>
        </w:rPr>
        <w:t>s</w:t>
      </w:r>
      <w:r w:rsidRPr="00A11FE0">
        <w:rPr>
          <w:rFonts w:asciiTheme="majorHAnsi" w:hAnsiTheme="majorHAnsi"/>
          <w:szCs w:val="22"/>
        </w:rPr>
        <w:t>tarostlivosti o dieťa do troch rokov veku</w:t>
      </w:r>
      <w:r w:rsidR="00EF2D9F" w:rsidRPr="00A11FE0">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 xml:space="preserve">vysoké príspevky zamestnávateľov na </w:t>
      </w:r>
      <w:r w:rsidR="00BD5FD5">
        <w:rPr>
          <w:rFonts w:asciiTheme="majorHAnsi" w:hAnsiTheme="majorHAnsi"/>
          <w:szCs w:val="22"/>
        </w:rPr>
        <w:t>s</w:t>
      </w:r>
      <w:r w:rsidRPr="00A11FE0">
        <w:rPr>
          <w:rFonts w:asciiTheme="majorHAnsi" w:hAnsiTheme="majorHAnsi"/>
          <w:szCs w:val="22"/>
        </w:rPr>
        <w:t>ociálne zabezpečenie pri nízko platenej práci.</w:t>
      </w:r>
    </w:p>
    <w:p w:rsidR="004E2F85" w:rsidRDefault="004E2F85" w:rsidP="00406C25">
      <w:pPr>
        <w:autoSpaceDE w:val="0"/>
        <w:autoSpaceDN w:val="0"/>
        <w:adjustRightInd w:val="0"/>
        <w:spacing w:after="0"/>
        <w:rPr>
          <w:rFonts w:asciiTheme="majorHAnsi" w:hAnsiTheme="majorHAnsi"/>
          <w:szCs w:val="22"/>
        </w:rPr>
      </w:pPr>
      <w:r w:rsidRPr="004E2F85">
        <w:rPr>
          <w:rFonts w:asciiTheme="majorHAnsi" w:hAnsiTheme="majorHAnsi"/>
          <w:szCs w:val="22"/>
        </w:rPr>
        <w:t xml:space="preserve">Zmierňovanie tohto stavu od 1. novembra 2013 </w:t>
      </w:r>
      <w:r w:rsidR="005708DD" w:rsidRPr="004E2F85">
        <w:rPr>
          <w:rFonts w:asciiTheme="majorHAnsi" w:hAnsiTheme="majorHAnsi"/>
          <w:szCs w:val="22"/>
        </w:rPr>
        <w:t xml:space="preserve">podporuje </w:t>
      </w:r>
      <w:r w:rsidRPr="004E2F85">
        <w:rPr>
          <w:rFonts w:asciiTheme="majorHAnsi" w:hAnsiTheme="majorHAnsi"/>
          <w:szCs w:val="22"/>
        </w:rPr>
        <w:t>štát najmä prostredníctvom odvodovej úľavy na sociálne a</w:t>
      </w:r>
      <w:r w:rsidR="00A05420">
        <w:rPr>
          <w:rFonts w:asciiTheme="majorHAnsi" w:hAnsiTheme="majorHAnsi"/>
          <w:szCs w:val="22"/>
        </w:rPr>
        <w:t> </w:t>
      </w:r>
      <w:r w:rsidRPr="004E2F85">
        <w:rPr>
          <w:rFonts w:asciiTheme="majorHAnsi" w:hAnsiTheme="majorHAnsi"/>
          <w:szCs w:val="22"/>
        </w:rPr>
        <w:t>zdravotné poistenie pre dlhodobo nezamestnané nízkopríjmové osoby, ktoré boli zamestnávateľom prijaté na pracovné miesto.</w:t>
      </w:r>
    </w:p>
    <w:p w:rsidR="00113E3E" w:rsidRDefault="008E7522" w:rsidP="008E7522">
      <w:pPr>
        <w:autoSpaceDE w:val="0"/>
        <w:autoSpaceDN w:val="0"/>
        <w:adjustRightInd w:val="0"/>
        <w:spacing w:after="0"/>
        <w:rPr>
          <w:rFonts w:asciiTheme="majorHAnsi" w:hAnsiTheme="majorHAnsi"/>
          <w:szCs w:val="22"/>
        </w:rPr>
      </w:pPr>
      <w:r w:rsidRPr="008E7522">
        <w:rPr>
          <w:rFonts w:asciiTheme="majorHAnsi" w:hAnsiTheme="majorHAnsi"/>
          <w:bCs/>
          <w:szCs w:val="22"/>
        </w:rPr>
        <w:t>Na</w:t>
      </w:r>
      <w:r w:rsidRPr="008E7522">
        <w:rPr>
          <w:rFonts w:asciiTheme="majorHAnsi" w:hAnsiTheme="majorHAnsi"/>
          <w:szCs w:val="22"/>
        </w:rPr>
        <w:t xml:space="preserve"> podporu zamestnanosti mladých ľudí je nevyhnutné zintenzívniť úsilie na riešenie vysokej nezamestnanosti mladých ľudí a realizovať aktivity vyplývajúce z Národného plánu implementácie Záruky pre mladých ľudí v SR, ktorý prerokovala a vzala na vedomie vláda SR dňa 5. 2. 2014. V apríli 2014 bol národný plán aktualizovaný o pripomienky </w:t>
      </w:r>
      <w:r w:rsidR="0073677C">
        <w:rPr>
          <w:rFonts w:asciiTheme="majorHAnsi" w:hAnsiTheme="majorHAnsi"/>
          <w:szCs w:val="22"/>
        </w:rPr>
        <w:t>EK</w:t>
      </w:r>
      <w:r w:rsidRPr="008E7522">
        <w:rPr>
          <w:rFonts w:asciiTheme="majorHAnsi" w:hAnsiTheme="majorHAnsi"/>
          <w:szCs w:val="22"/>
        </w:rPr>
        <w:t xml:space="preserve"> a návrh na zavedenie systému záruky pre mladých bol schválený prostredníctvom </w:t>
      </w:r>
      <w:r w:rsidR="005C7547">
        <w:rPr>
          <w:rFonts w:asciiTheme="majorHAnsi" w:hAnsiTheme="majorHAnsi"/>
          <w:szCs w:val="22"/>
        </w:rPr>
        <w:t>NPR</w:t>
      </w:r>
      <w:r w:rsidRPr="008E7522">
        <w:rPr>
          <w:rFonts w:asciiTheme="majorHAnsi" w:hAnsiTheme="majorHAnsi"/>
          <w:szCs w:val="22"/>
        </w:rPr>
        <w:t xml:space="preserve"> SR 2014. V rámci tohto plánu bude možné podporiť zamestnanosť mladých ľudí</w:t>
      </w:r>
      <w:r w:rsidR="00EE6AF8">
        <w:rPr>
          <w:rFonts w:asciiTheme="majorHAnsi" w:hAnsiTheme="majorHAnsi"/>
          <w:szCs w:val="22"/>
        </w:rPr>
        <w:t>,</w:t>
      </w:r>
      <w:r w:rsidRPr="008E7522">
        <w:rPr>
          <w:rFonts w:asciiTheme="majorHAnsi" w:hAnsiTheme="majorHAnsi"/>
          <w:szCs w:val="22"/>
        </w:rPr>
        <w:t xml:space="preserve"> najmä prostredníctvom dohodnutých reformných zmien v oblasti odborného vzdelávania a prípravy, trhu práce, včasnej intervencie a opatrení podporujúcich integráciu mladých ľudí na trh práce, vrátane programov na získanie praxe alebo odbornej kvalifikácie a zručností potrebných pre trh práce. Zároveň bude zabezpečená podpora pre projektové aktivity zamerané </w:t>
      </w:r>
      <w:r w:rsidRPr="008E7522">
        <w:rPr>
          <w:rFonts w:asciiTheme="majorHAnsi" w:hAnsiTheme="majorHAnsi"/>
          <w:bCs/>
          <w:szCs w:val="22"/>
        </w:rPr>
        <w:t xml:space="preserve">na </w:t>
      </w:r>
      <w:r w:rsidRPr="008E7522">
        <w:rPr>
          <w:rFonts w:asciiTheme="majorHAnsi" w:hAnsiTheme="majorHAnsi"/>
          <w:szCs w:val="22"/>
        </w:rPr>
        <w:t>ponuku zamestnania, ďalšieho vzdelávania, učňovskej prípravy alebo stáže</w:t>
      </w:r>
      <w:r w:rsidR="00EE6AF8">
        <w:rPr>
          <w:rFonts w:asciiTheme="majorHAnsi" w:hAnsiTheme="majorHAnsi"/>
          <w:szCs w:val="22"/>
        </w:rPr>
        <w:t>,</w:t>
      </w:r>
      <w:r w:rsidRPr="008E7522">
        <w:rPr>
          <w:rFonts w:asciiTheme="majorHAnsi" w:hAnsiTheme="majorHAnsi"/>
          <w:szCs w:val="22"/>
        </w:rPr>
        <w:t xml:space="preserve"> v zmysle Odporúčania Rady EÚ z 22. 4. 2013 o zavedení záruky pre mladých ľudí (2013/C 120/01)</w:t>
      </w:r>
      <w:r w:rsidR="00EE6AF8">
        <w:rPr>
          <w:rFonts w:asciiTheme="majorHAnsi" w:hAnsiTheme="majorHAnsi"/>
          <w:szCs w:val="22"/>
        </w:rPr>
        <w:t>, a</w:t>
      </w:r>
      <w:r w:rsidR="005C7547">
        <w:rPr>
          <w:rFonts w:asciiTheme="majorHAnsi" w:hAnsiTheme="majorHAnsi"/>
          <w:szCs w:val="22"/>
        </w:rPr>
        <w:t> </w:t>
      </w:r>
      <w:r w:rsidR="00EE6AF8">
        <w:rPr>
          <w:rFonts w:asciiTheme="majorHAnsi" w:hAnsiTheme="majorHAnsi"/>
          <w:szCs w:val="22"/>
        </w:rPr>
        <w:t>to</w:t>
      </w:r>
      <w:r w:rsidRPr="008E7522">
        <w:rPr>
          <w:rFonts w:asciiTheme="majorHAnsi" w:hAnsiTheme="majorHAnsi"/>
          <w:szCs w:val="22"/>
        </w:rPr>
        <w:t xml:space="preserve"> v spolupráci </w:t>
      </w:r>
      <w:r w:rsidRPr="008E7522">
        <w:rPr>
          <w:rFonts w:asciiTheme="majorHAnsi" w:hAnsiTheme="majorHAnsi"/>
          <w:bCs/>
          <w:szCs w:val="22"/>
        </w:rPr>
        <w:t>s</w:t>
      </w:r>
      <w:r w:rsidR="005C7547">
        <w:rPr>
          <w:rFonts w:asciiTheme="majorHAnsi" w:hAnsiTheme="majorHAnsi"/>
          <w:bCs/>
          <w:szCs w:val="22"/>
        </w:rPr>
        <w:t> </w:t>
      </w:r>
      <w:r w:rsidRPr="008E7522">
        <w:rPr>
          <w:rFonts w:asciiTheme="majorHAnsi" w:hAnsiTheme="majorHAnsi"/>
          <w:bCs/>
          <w:szCs w:val="22"/>
        </w:rPr>
        <w:t>partnermi</w:t>
      </w:r>
      <w:r w:rsidR="005C7547">
        <w:rPr>
          <w:rFonts w:asciiTheme="majorHAnsi" w:hAnsiTheme="majorHAnsi"/>
          <w:bCs/>
          <w:szCs w:val="22"/>
        </w:rPr>
        <w:t xml:space="preserve"> </w:t>
      </w:r>
      <w:r w:rsidRPr="008E7522">
        <w:rPr>
          <w:rFonts w:asciiTheme="majorHAnsi" w:hAnsiTheme="majorHAnsi"/>
          <w:bCs/>
          <w:szCs w:val="22"/>
        </w:rPr>
        <w:t>na základe Spoločného vyhlásenia Rady solidarity a rozvoja SR na podporu realizácie Záruky pre mladých v Slovenskej republike prijatého dňa 29. 1. 2014.</w:t>
      </w:r>
      <w:r w:rsidRPr="008E7522">
        <w:rPr>
          <w:rFonts w:asciiTheme="majorHAnsi" w:hAnsiTheme="majorHAnsi"/>
          <w:szCs w:val="22"/>
        </w:rPr>
        <w:t xml:space="preserve"> Osobitnú pozornosť bude potrebné zamerať najmä na mladých ľudí, ktorí nie sú zamestnaní, neštudujú, ani sa nezúčastňujú na odbornej príprave (tzv. NEET – not in employment, education or training).</w:t>
      </w:r>
    </w:p>
    <w:p w:rsidR="00113E3E" w:rsidRDefault="00113E3E">
      <w:pPr>
        <w:spacing w:before="0" w:after="0"/>
        <w:jc w:val="left"/>
        <w:rPr>
          <w:rFonts w:asciiTheme="majorHAnsi" w:hAnsiTheme="majorHAnsi"/>
          <w:szCs w:val="22"/>
        </w:rPr>
      </w:pPr>
      <w:r>
        <w:rPr>
          <w:rFonts w:asciiTheme="majorHAnsi" w:hAnsiTheme="majorHAnsi"/>
          <w:szCs w:val="22"/>
        </w:rPr>
        <w:br w:type="page"/>
      </w:r>
    </w:p>
    <w:p w:rsidR="00406C25" w:rsidRPr="00A11FE0" w:rsidRDefault="00406C25" w:rsidP="004A045F">
      <w:pPr>
        <w:pStyle w:val="Nadpis5"/>
        <w:numPr>
          <w:ilvl w:val="4"/>
          <w:numId w:val="2"/>
        </w:numPr>
        <w:ind w:left="1292"/>
      </w:pPr>
      <w:r w:rsidRPr="00A11FE0">
        <w:lastRenderedPageBreak/>
        <w:t xml:space="preserve">Účinnosť </w:t>
      </w:r>
      <w:r w:rsidR="00BD5FD5">
        <w:t>a </w:t>
      </w:r>
      <w:r w:rsidRPr="00A11FE0">
        <w:t xml:space="preserve">efektívnosť </w:t>
      </w:r>
      <w:r w:rsidR="00BD5FD5">
        <w:t>ak</w:t>
      </w:r>
      <w:r w:rsidRPr="00A11FE0">
        <w:t>tívnej politiky trhu práce (</w:t>
      </w:r>
      <w:r w:rsidR="00BD5FD5">
        <w:t>A</w:t>
      </w:r>
      <w:r w:rsidRPr="00A11FE0">
        <w:t>PTP)</w:t>
      </w:r>
    </w:p>
    <w:p w:rsidR="008E7522" w:rsidRPr="008E7522" w:rsidRDefault="0040530E" w:rsidP="008E7522">
      <w:pPr>
        <w:autoSpaceDE w:val="0"/>
        <w:autoSpaceDN w:val="0"/>
        <w:adjustRightInd w:val="0"/>
        <w:spacing w:after="0"/>
        <w:rPr>
          <w:rFonts w:asciiTheme="majorHAnsi" w:hAnsiTheme="majorHAnsi"/>
          <w:bCs/>
        </w:rPr>
      </w:pPr>
      <w:r>
        <w:rPr>
          <w:noProof/>
          <w:lang w:eastAsia="sk-SK"/>
        </w:rPr>
        <w:drawing>
          <wp:anchor distT="0" distB="0" distL="114300" distR="114300" simplePos="0" relativeHeight="251748352" behindDoc="0" locked="0" layoutInCell="1" allowOverlap="1" wp14:anchorId="44C37EDF" wp14:editId="1AE711AC">
            <wp:simplePos x="0" y="0"/>
            <wp:positionH relativeFrom="column">
              <wp:posOffset>2267585</wp:posOffset>
            </wp:positionH>
            <wp:positionV relativeFrom="paragraph">
              <wp:posOffset>231140</wp:posOffset>
            </wp:positionV>
            <wp:extent cx="3498850" cy="2400300"/>
            <wp:effectExtent l="0" t="0" r="0" b="0"/>
            <wp:wrapTight wrapText="bothSides">
              <wp:wrapPolygon edited="0">
                <wp:start x="0" y="0"/>
                <wp:lineTo x="0" y="21429"/>
                <wp:lineTo x="21522" y="21429"/>
                <wp:lineTo x="21522" y="0"/>
                <wp:lineTo x="0" y="0"/>
              </wp:wrapPolygon>
            </wp:wrapTight>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l="2765" t="4556" r="639" b="3616"/>
                    <a:stretch>
                      <a:fillRect/>
                    </a:stretch>
                  </pic:blipFill>
                  <pic:spPr bwMode="auto">
                    <a:xfrm>
                      <a:off x="0" y="0"/>
                      <a:ext cx="349885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6C25" w:rsidRPr="00A11FE0">
        <w:rPr>
          <w:rFonts w:asciiTheme="majorHAnsi" w:hAnsiTheme="majorHAnsi"/>
          <w:bCs/>
          <w:szCs w:val="22"/>
        </w:rPr>
        <w:t>Vo všeobecnosti platí, že vývoj počtu podporených osôb</w:t>
      </w:r>
      <w:r w:rsidR="00EF2D9F" w:rsidRPr="00A11FE0">
        <w:rPr>
          <w:rFonts w:asciiTheme="majorHAnsi" w:hAnsiTheme="majorHAnsi"/>
          <w:bCs/>
          <w:szCs w:val="22"/>
        </w:rPr>
        <w:t>,</w:t>
      </w:r>
      <w:r w:rsidR="00406C25" w:rsidRPr="00A11FE0">
        <w:rPr>
          <w:rFonts w:asciiTheme="majorHAnsi" w:hAnsiTheme="majorHAnsi"/>
          <w:bCs/>
          <w:szCs w:val="22"/>
        </w:rPr>
        <w:t xml:space="preserve"> resp. pracovných miest v</w:t>
      </w:r>
      <w:r w:rsidR="00E13D81">
        <w:rPr>
          <w:rFonts w:asciiTheme="majorHAnsi" w:hAnsiTheme="majorHAnsi"/>
          <w:bCs/>
          <w:szCs w:val="22"/>
        </w:rPr>
        <w:t> </w:t>
      </w:r>
      <w:r w:rsidR="00BD5FD5">
        <w:rPr>
          <w:rFonts w:asciiTheme="majorHAnsi" w:hAnsiTheme="majorHAnsi"/>
          <w:bCs/>
          <w:szCs w:val="22"/>
        </w:rPr>
        <w:t>S</w:t>
      </w:r>
      <w:r w:rsidR="00406C25" w:rsidRPr="00A11FE0">
        <w:rPr>
          <w:rFonts w:asciiTheme="majorHAnsi" w:hAnsiTheme="majorHAnsi"/>
          <w:bCs/>
          <w:szCs w:val="22"/>
        </w:rPr>
        <w:t>R</w:t>
      </w:r>
      <w:r w:rsidR="00E13D81">
        <w:rPr>
          <w:rFonts w:asciiTheme="majorHAnsi" w:hAnsiTheme="majorHAnsi"/>
          <w:bCs/>
          <w:szCs w:val="22"/>
        </w:rPr>
        <w:t xml:space="preserve"> </w:t>
      </w:r>
      <w:r w:rsidR="00406C25" w:rsidRPr="00A11FE0">
        <w:rPr>
          <w:rFonts w:asciiTheme="majorHAnsi" w:hAnsiTheme="majorHAnsi"/>
          <w:bCs/>
          <w:szCs w:val="22"/>
        </w:rPr>
        <w:t xml:space="preserve">výrazne </w:t>
      </w:r>
      <w:r w:rsidR="00BD5FD5">
        <w:rPr>
          <w:rFonts w:asciiTheme="majorHAnsi" w:hAnsiTheme="majorHAnsi"/>
          <w:bCs/>
          <w:szCs w:val="22"/>
        </w:rPr>
        <w:t>k</w:t>
      </w:r>
      <w:r w:rsidR="00406C25" w:rsidRPr="00A11FE0">
        <w:rPr>
          <w:rFonts w:asciiTheme="majorHAnsi" w:hAnsiTheme="majorHAnsi"/>
          <w:bCs/>
          <w:szCs w:val="22"/>
        </w:rPr>
        <w:t xml:space="preserve">olíše v závislosti od toho, </w:t>
      </w:r>
      <w:r w:rsidR="00BD5FD5">
        <w:rPr>
          <w:rFonts w:asciiTheme="majorHAnsi" w:hAnsiTheme="majorHAnsi"/>
          <w:bCs/>
          <w:szCs w:val="22"/>
        </w:rPr>
        <w:t>ak</w:t>
      </w:r>
      <w:r w:rsidR="00406C25" w:rsidRPr="00A11FE0">
        <w:rPr>
          <w:rFonts w:asciiTheme="majorHAnsi" w:hAnsiTheme="majorHAnsi"/>
          <w:bCs/>
          <w:szCs w:val="22"/>
        </w:rPr>
        <w:t>é finančne náročné opatrenia boli v danom roku preferované</w:t>
      </w:r>
      <w:r w:rsidR="00406C25" w:rsidRPr="00A11FE0">
        <w:rPr>
          <w:rStyle w:val="Odkaznapoznmkupodiarou"/>
          <w:rFonts w:asciiTheme="majorHAnsi" w:hAnsiTheme="majorHAnsi"/>
          <w:bCs/>
          <w:szCs w:val="22"/>
        </w:rPr>
        <w:footnoteReference w:id="112"/>
      </w:r>
      <w:r w:rsidR="00406C25" w:rsidRPr="00A11FE0">
        <w:rPr>
          <w:rFonts w:asciiTheme="majorHAnsi" w:hAnsiTheme="majorHAnsi"/>
          <w:bCs/>
          <w:szCs w:val="22"/>
        </w:rPr>
        <w:t xml:space="preserve">. Z uvedeného vyplýva, že rezort práce potrebuje zmeny na trhu práce predvídať </w:t>
      </w:r>
      <w:r w:rsidR="00BD5FD5">
        <w:rPr>
          <w:rFonts w:asciiTheme="majorHAnsi" w:hAnsiTheme="majorHAnsi"/>
          <w:bCs/>
          <w:szCs w:val="22"/>
        </w:rPr>
        <w:t>a </w:t>
      </w:r>
      <w:r w:rsidR="00406C25" w:rsidRPr="00A11FE0">
        <w:rPr>
          <w:rFonts w:asciiTheme="majorHAnsi" w:hAnsiTheme="majorHAnsi"/>
          <w:bCs/>
          <w:szCs w:val="22"/>
        </w:rPr>
        <w:t xml:space="preserve">neželané tendencie prostredníctvom </w:t>
      </w:r>
      <w:r w:rsidR="00BD5FD5">
        <w:rPr>
          <w:rFonts w:asciiTheme="majorHAnsi" w:hAnsiTheme="majorHAnsi"/>
          <w:bCs/>
          <w:szCs w:val="22"/>
        </w:rPr>
        <w:t>A</w:t>
      </w:r>
      <w:r w:rsidR="00406C25" w:rsidRPr="00A11FE0">
        <w:rPr>
          <w:rFonts w:asciiTheme="majorHAnsi" w:hAnsiTheme="majorHAnsi"/>
          <w:bCs/>
          <w:szCs w:val="22"/>
        </w:rPr>
        <w:t xml:space="preserve">PTP účinne </w:t>
      </w:r>
      <w:r w:rsidR="00BD5FD5">
        <w:rPr>
          <w:rFonts w:asciiTheme="majorHAnsi" w:hAnsiTheme="majorHAnsi"/>
          <w:bCs/>
          <w:szCs w:val="22"/>
        </w:rPr>
        <w:t>k</w:t>
      </w:r>
      <w:r w:rsidR="00406C25" w:rsidRPr="00A11FE0">
        <w:rPr>
          <w:rFonts w:asciiTheme="majorHAnsi" w:hAnsiTheme="majorHAnsi"/>
          <w:bCs/>
          <w:szCs w:val="22"/>
        </w:rPr>
        <w:t xml:space="preserve">origovať. </w:t>
      </w:r>
      <w:r w:rsidR="008E7522" w:rsidRPr="008E7522">
        <w:rPr>
          <w:rFonts w:asciiTheme="majorHAnsi" w:hAnsiTheme="majorHAnsi"/>
          <w:bCs/>
        </w:rPr>
        <w:t>Zároveň je potrebné zabezpečiť systémové a komplexné vyhodnotenie efektívnosti a účinnosti nástrojov APTP každoročným vyhodnocovaním ich uplatňovania, posúdiť ich vplyv na zlepšenie situácie na trhu práce, ako aj analyzovať čistú účinnosť a efektívnosť výdavkov jednotlivých aktívnych opatrení trhu práce (ďalej len „AOTP“), so zreteľom na neustále zlepšovanie politík trhu práce.</w:t>
      </w:r>
    </w:p>
    <w:p w:rsidR="00406C25" w:rsidRPr="00A11FE0" w:rsidRDefault="00406C25" w:rsidP="00406C25">
      <w:pPr>
        <w:autoSpaceDE w:val="0"/>
        <w:autoSpaceDN w:val="0"/>
        <w:adjustRightInd w:val="0"/>
        <w:spacing w:after="0"/>
        <w:rPr>
          <w:rFonts w:asciiTheme="majorHAnsi" w:hAnsiTheme="majorHAnsi"/>
          <w:bCs/>
          <w:szCs w:val="22"/>
        </w:rPr>
      </w:pPr>
      <w:r w:rsidRPr="00A11FE0">
        <w:rPr>
          <w:rFonts w:asciiTheme="majorHAnsi" w:hAnsiTheme="majorHAnsi"/>
          <w:bCs/>
          <w:szCs w:val="22"/>
        </w:rPr>
        <w:t xml:space="preserve">Zmierňovanie disparít na trhu práce štát realizuje </w:t>
      </w:r>
      <w:r w:rsidR="00BD5FD5">
        <w:rPr>
          <w:rFonts w:asciiTheme="majorHAnsi" w:hAnsiTheme="majorHAnsi"/>
          <w:bCs/>
          <w:szCs w:val="22"/>
        </w:rPr>
        <w:t>a</w:t>
      </w:r>
      <w:r w:rsidRPr="00A11FE0">
        <w:rPr>
          <w:rFonts w:asciiTheme="majorHAnsi" w:hAnsiTheme="majorHAnsi"/>
          <w:bCs/>
          <w:szCs w:val="22"/>
        </w:rPr>
        <w:t xml:space="preserve">j prostredníctvom </w:t>
      </w:r>
      <w:r w:rsidR="00BD5FD5">
        <w:rPr>
          <w:rFonts w:asciiTheme="majorHAnsi" w:hAnsiTheme="majorHAnsi"/>
          <w:bCs/>
          <w:szCs w:val="22"/>
        </w:rPr>
        <w:t>A</w:t>
      </w:r>
      <w:r w:rsidRPr="00A11FE0">
        <w:rPr>
          <w:rFonts w:asciiTheme="majorHAnsi" w:hAnsiTheme="majorHAnsi"/>
          <w:bCs/>
          <w:szCs w:val="22"/>
        </w:rPr>
        <w:t>PTP</w:t>
      </w:r>
      <w:r w:rsidRPr="00A11FE0">
        <w:rPr>
          <w:rStyle w:val="Odkaznapoznmkupodiarou"/>
          <w:rFonts w:asciiTheme="majorHAnsi" w:hAnsiTheme="majorHAnsi"/>
          <w:bCs/>
          <w:szCs w:val="22"/>
        </w:rPr>
        <w:footnoteReference w:id="113"/>
      </w:r>
      <w:r w:rsidRPr="00A11FE0">
        <w:rPr>
          <w:rFonts w:asciiTheme="majorHAnsi" w:hAnsiTheme="majorHAnsi"/>
          <w:bCs/>
          <w:szCs w:val="22"/>
        </w:rPr>
        <w:t>.</w:t>
      </w:r>
      <w:r w:rsidR="001D19CF">
        <w:rPr>
          <w:rFonts w:asciiTheme="majorHAnsi" w:hAnsiTheme="majorHAnsi"/>
          <w:bCs/>
          <w:szCs w:val="22"/>
        </w:rPr>
        <w:t xml:space="preserve"> </w:t>
      </w:r>
      <w:r w:rsidRPr="00A11FE0">
        <w:rPr>
          <w:rFonts w:asciiTheme="majorHAnsi" w:hAnsiTheme="majorHAnsi"/>
          <w:bCs/>
          <w:szCs w:val="22"/>
        </w:rPr>
        <w:t>Hodnota indexu výdavkov</w:t>
      </w:r>
      <w:r w:rsidRPr="00A11FE0">
        <w:rPr>
          <w:rStyle w:val="Odkaznapoznmkupodiarou"/>
          <w:rFonts w:asciiTheme="majorHAnsi" w:hAnsiTheme="majorHAnsi"/>
          <w:bCs/>
          <w:szCs w:val="22"/>
        </w:rPr>
        <w:footnoteReference w:id="114"/>
      </w:r>
      <w:r w:rsidRPr="00A11FE0">
        <w:rPr>
          <w:rFonts w:asciiTheme="majorHAnsi" w:hAnsiTheme="majorHAnsi"/>
          <w:bCs/>
          <w:szCs w:val="22"/>
        </w:rPr>
        <w:t xml:space="preserve"> na </w:t>
      </w:r>
      <w:r w:rsidR="00BD5FD5">
        <w:rPr>
          <w:rFonts w:asciiTheme="majorHAnsi" w:hAnsiTheme="majorHAnsi"/>
          <w:bCs/>
          <w:szCs w:val="22"/>
        </w:rPr>
        <w:t>A</w:t>
      </w:r>
      <w:r w:rsidRPr="00A11FE0">
        <w:rPr>
          <w:rFonts w:asciiTheme="majorHAnsi" w:hAnsiTheme="majorHAnsi"/>
          <w:bCs/>
          <w:szCs w:val="22"/>
        </w:rPr>
        <w:t>PTP (</w:t>
      </w:r>
      <w:r w:rsidR="00BD5FD5">
        <w:rPr>
          <w:rFonts w:asciiTheme="majorHAnsi" w:hAnsiTheme="majorHAnsi"/>
          <w:bCs/>
          <w:szCs w:val="22"/>
        </w:rPr>
        <w:t>k</w:t>
      </w:r>
      <w:r w:rsidRPr="00A11FE0">
        <w:rPr>
          <w:rFonts w:asciiTheme="majorHAnsi" w:hAnsiTheme="majorHAnsi"/>
          <w:bCs/>
          <w:szCs w:val="22"/>
        </w:rPr>
        <w:t>ategórie 2-7) má v</w:t>
      </w:r>
      <w:r w:rsidR="00E13D81">
        <w:rPr>
          <w:rFonts w:asciiTheme="majorHAnsi" w:hAnsiTheme="majorHAnsi"/>
          <w:bCs/>
          <w:szCs w:val="22"/>
        </w:rPr>
        <w:t> </w:t>
      </w:r>
      <w:r w:rsidR="00BD5FD5">
        <w:rPr>
          <w:rFonts w:asciiTheme="majorHAnsi" w:hAnsiTheme="majorHAnsi"/>
          <w:bCs/>
          <w:szCs w:val="22"/>
        </w:rPr>
        <w:t>S</w:t>
      </w:r>
      <w:r w:rsidRPr="00A11FE0">
        <w:rPr>
          <w:rFonts w:asciiTheme="majorHAnsi" w:hAnsiTheme="majorHAnsi"/>
          <w:bCs/>
          <w:szCs w:val="22"/>
        </w:rPr>
        <w:t>R</w:t>
      </w:r>
      <w:r w:rsidR="00E13D81">
        <w:rPr>
          <w:rFonts w:asciiTheme="majorHAnsi" w:hAnsiTheme="majorHAnsi"/>
          <w:bCs/>
          <w:szCs w:val="22"/>
        </w:rPr>
        <w:t xml:space="preserve"> </w:t>
      </w:r>
      <w:r w:rsidRPr="00A11FE0">
        <w:rPr>
          <w:rFonts w:asciiTheme="majorHAnsi" w:hAnsiTheme="majorHAnsi"/>
          <w:bCs/>
          <w:szCs w:val="22"/>
        </w:rPr>
        <w:t xml:space="preserve">od roku 2004 mierne rastúci trend. </w:t>
      </w:r>
      <w:r w:rsidR="00BD5FD5">
        <w:rPr>
          <w:rFonts w:asciiTheme="majorHAnsi" w:hAnsiTheme="majorHAnsi"/>
          <w:bCs/>
          <w:szCs w:val="22"/>
        </w:rPr>
        <w:t>S</w:t>
      </w:r>
      <w:r w:rsidRPr="00A11FE0">
        <w:rPr>
          <w:rFonts w:asciiTheme="majorHAnsi" w:hAnsiTheme="majorHAnsi"/>
          <w:bCs/>
          <w:szCs w:val="22"/>
        </w:rPr>
        <w:t xml:space="preserve">R vydáva na </w:t>
      </w:r>
      <w:r w:rsidR="00BD5FD5">
        <w:rPr>
          <w:rFonts w:asciiTheme="majorHAnsi" w:hAnsiTheme="majorHAnsi"/>
          <w:bCs/>
          <w:szCs w:val="22"/>
        </w:rPr>
        <w:t>ak</w:t>
      </w:r>
      <w:r w:rsidRPr="00A11FE0">
        <w:rPr>
          <w:rFonts w:asciiTheme="majorHAnsi" w:hAnsiTheme="majorHAnsi"/>
          <w:bCs/>
          <w:szCs w:val="22"/>
        </w:rPr>
        <w:t>tivovanie nezamestnaných</w:t>
      </w:r>
      <w:r w:rsidR="00C37AFC" w:rsidRPr="00A11FE0">
        <w:rPr>
          <w:rFonts w:asciiTheme="majorHAnsi" w:hAnsiTheme="majorHAnsi"/>
          <w:bCs/>
          <w:szCs w:val="22"/>
        </w:rPr>
        <w:t xml:space="preserve"> (</w:t>
      </w:r>
      <w:r w:rsidRPr="00A11FE0">
        <w:rPr>
          <w:rFonts w:asciiTheme="majorHAnsi" w:hAnsiTheme="majorHAnsi"/>
          <w:bCs/>
          <w:szCs w:val="22"/>
        </w:rPr>
        <w:t>vzhľadom na ich relatívne vysoký počet</w:t>
      </w:r>
      <w:r w:rsidR="00C37AFC" w:rsidRPr="00A11FE0">
        <w:rPr>
          <w:rFonts w:asciiTheme="majorHAnsi" w:hAnsiTheme="majorHAnsi"/>
          <w:bCs/>
          <w:szCs w:val="22"/>
        </w:rPr>
        <w:t>)</w:t>
      </w:r>
      <w:r w:rsidRPr="00A11FE0">
        <w:rPr>
          <w:rFonts w:asciiTheme="majorHAnsi" w:hAnsiTheme="majorHAnsi"/>
          <w:bCs/>
          <w:szCs w:val="22"/>
        </w:rPr>
        <w:t xml:space="preserve"> najmenej finančných prostriedkov </w:t>
      </w:r>
      <w:r w:rsidR="00BD5FD5">
        <w:rPr>
          <w:rFonts w:asciiTheme="majorHAnsi" w:hAnsiTheme="majorHAnsi"/>
          <w:bCs/>
          <w:szCs w:val="22"/>
        </w:rPr>
        <w:t>s</w:t>
      </w:r>
      <w:r w:rsidRPr="00A11FE0">
        <w:rPr>
          <w:rFonts w:asciiTheme="majorHAnsi" w:hAnsiTheme="majorHAnsi"/>
          <w:bCs/>
          <w:szCs w:val="22"/>
        </w:rPr>
        <w:t xml:space="preserve">pomedzi </w:t>
      </w:r>
      <w:r w:rsidR="00BD5FD5">
        <w:rPr>
          <w:rFonts w:asciiTheme="majorHAnsi" w:hAnsiTheme="majorHAnsi"/>
          <w:bCs/>
          <w:szCs w:val="22"/>
        </w:rPr>
        <w:t>k</w:t>
      </w:r>
      <w:r w:rsidRPr="00A11FE0">
        <w:rPr>
          <w:rFonts w:asciiTheme="majorHAnsi" w:hAnsiTheme="majorHAnsi"/>
          <w:bCs/>
          <w:szCs w:val="22"/>
        </w:rPr>
        <w:t>rajín V4</w:t>
      </w:r>
      <w:r w:rsidRPr="00A11FE0">
        <w:rPr>
          <w:rStyle w:val="Odkaznapoznmkupodiarou"/>
          <w:rFonts w:asciiTheme="majorHAnsi" w:hAnsiTheme="majorHAnsi"/>
          <w:bCs/>
          <w:szCs w:val="22"/>
        </w:rPr>
        <w:footnoteReference w:id="115"/>
      </w:r>
      <w:r w:rsidRPr="00A11FE0">
        <w:rPr>
          <w:rFonts w:asciiTheme="majorHAnsi" w:hAnsiTheme="majorHAnsi"/>
          <w:bCs/>
          <w:szCs w:val="22"/>
        </w:rPr>
        <w:t>.</w:t>
      </w:r>
    </w:p>
    <w:p w:rsidR="008E7522" w:rsidRPr="008E7522" w:rsidRDefault="00406C25" w:rsidP="008E7522">
      <w:pPr>
        <w:autoSpaceDE w:val="0"/>
        <w:autoSpaceDN w:val="0"/>
        <w:adjustRightInd w:val="0"/>
        <w:rPr>
          <w:rFonts w:asciiTheme="majorHAnsi" w:hAnsiTheme="majorHAnsi"/>
          <w:szCs w:val="22"/>
          <w:lang w:eastAsia="sk-SK"/>
        </w:rPr>
      </w:pPr>
      <w:r w:rsidRPr="00A11FE0">
        <w:rPr>
          <w:rFonts w:asciiTheme="majorHAnsi" w:hAnsiTheme="majorHAnsi"/>
          <w:szCs w:val="22"/>
          <w:lang w:eastAsia="sk-SK"/>
        </w:rPr>
        <w:t>Novela zákona o</w:t>
      </w:r>
      <w:r w:rsidR="00E13D81">
        <w:rPr>
          <w:rFonts w:asciiTheme="majorHAnsi" w:hAnsiTheme="majorHAnsi"/>
          <w:szCs w:val="22"/>
          <w:lang w:eastAsia="sk-SK"/>
        </w:rPr>
        <w:t> </w:t>
      </w:r>
      <w:r w:rsidR="00BD5FD5">
        <w:rPr>
          <w:rFonts w:asciiTheme="majorHAnsi" w:hAnsiTheme="majorHAnsi"/>
          <w:szCs w:val="22"/>
          <w:lang w:eastAsia="sk-SK"/>
        </w:rPr>
        <w:t>s</w:t>
      </w:r>
      <w:r w:rsidRPr="00A11FE0">
        <w:rPr>
          <w:rFonts w:asciiTheme="majorHAnsi" w:hAnsiTheme="majorHAnsi"/>
          <w:szCs w:val="22"/>
          <w:lang w:eastAsia="sk-SK"/>
        </w:rPr>
        <w:t>lužbách zamestnanosti (</w:t>
      </w:r>
      <w:r w:rsidR="00BD5FD5">
        <w:rPr>
          <w:rFonts w:asciiTheme="majorHAnsi" w:hAnsiTheme="majorHAnsi"/>
          <w:szCs w:val="22"/>
          <w:lang w:eastAsia="sk-SK"/>
        </w:rPr>
        <w:t>s </w:t>
      </w:r>
      <w:r w:rsidRPr="00A11FE0">
        <w:rPr>
          <w:rFonts w:asciiTheme="majorHAnsi" w:hAnsiTheme="majorHAnsi"/>
          <w:szCs w:val="22"/>
          <w:lang w:eastAsia="sk-SK"/>
        </w:rPr>
        <w:t xml:space="preserve">účinnosťou od 1. mája 2013) mení charakter väčšiny nástrojov </w:t>
      </w:r>
      <w:r w:rsidR="00BD5FD5">
        <w:rPr>
          <w:rFonts w:asciiTheme="majorHAnsi" w:hAnsiTheme="majorHAnsi"/>
          <w:szCs w:val="22"/>
          <w:lang w:eastAsia="sk-SK"/>
        </w:rPr>
        <w:t>A</w:t>
      </w:r>
      <w:r w:rsidRPr="00A11FE0">
        <w:rPr>
          <w:rFonts w:asciiTheme="majorHAnsi" w:hAnsiTheme="majorHAnsi"/>
          <w:szCs w:val="22"/>
          <w:lang w:eastAsia="sk-SK"/>
        </w:rPr>
        <w:t>OTP z obligatórnych</w:t>
      </w:r>
      <w:r w:rsidR="00EE1C6B">
        <w:rPr>
          <w:rFonts w:asciiTheme="majorHAnsi" w:hAnsiTheme="majorHAnsi"/>
          <w:szCs w:val="22"/>
          <w:lang w:eastAsia="sk-SK"/>
        </w:rPr>
        <w:t xml:space="preserve"> </w:t>
      </w:r>
      <w:r w:rsidRPr="00A11FE0">
        <w:rPr>
          <w:rFonts w:asciiTheme="majorHAnsi" w:hAnsiTheme="majorHAnsi"/>
          <w:szCs w:val="22"/>
          <w:lang w:eastAsia="sk-SK"/>
        </w:rPr>
        <w:t xml:space="preserve">na fakultatívne. </w:t>
      </w:r>
      <w:r w:rsidR="00BD5FD5">
        <w:rPr>
          <w:rFonts w:asciiTheme="majorHAnsi" w:hAnsiTheme="majorHAnsi"/>
          <w:szCs w:val="22"/>
          <w:lang w:eastAsia="sk-SK"/>
        </w:rPr>
        <w:t>S</w:t>
      </w:r>
      <w:r w:rsidRPr="00A11FE0">
        <w:rPr>
          <w:rFonts w:asciiTheme="majorHAnsi" w:hAnsiTheme="majorHAnsi"/>
          <w:szCs w:val="22"/>
          <w:lang w:eastAsia="sk-SK"/>
        </w:rPr>
        <w:t>pustením programov v</w:t>
      </w:r>
      <w:r w:rsidR="00AB3B24">
        <w:rPr>
          <w:rFonts w:asciiTheme="majorHAnsi" w:hAnsiTheme="majorHAnsi"/>
          <w:szCs w:val="22"/>
          <w:lang w:eastAsia="sk-SK"/>
        </w:rPr>
        <w:t> </w:t>
      </w:r>
      <w:r w:rsidRPr="00A11FE0">
        <w:rPr>
          <w:rFonts w:asciiTheme="majorHAnsi" w:hAnsiTheme="majorHAnsi"/>
          <w:szCs w:val="22"/>
          <w:lang w:eastAsia="sk-SK"/>
        </w:rPr>
        <w:t xml:space="preserve">rámci </w:t>
      </w:r>
      <w:r w:rsidR="00BD5FD5">
        <w:rPr>
          <w:rFonts w:asciiTheme="majorHAnsi" w:hAnsiTheme="majorHAnsi"/>
          <w:szCs w:val="22"/>
          <w:lang w:eastAsia="sk-SK"/>
        </w:rPr>
        <w:t>A</w:t>
      </w:r>
      <w:r w:rsidRPr="00A11FE0">
        <w:rPr>
          <w:rFonts w:asciiTheme="majorHAnsi" w:hAnsiTheme="majorHAnsi"/>
          <w:szCs w:val="22"/>
          <w:lang w:eastAsia="sk-SK"/>
        </w:rPr>
        <w:t xml:space="preserve">PTP </w:t>
      </w:r>
      <w:r w:rsidR="00BD5FD5">
        <w:rPr>
          <w:rFonts w:asciiTheme="majorHAnsi" w:hAnsiTheme="majorHAnsi"/>
          <w:szCs w:val="22"/>
          <w:lang w:eastAsia="sk-SK"/>
        </w:rPr>
        <w:t>s</w:t>
      </w:r>
      <w:r w:rsidRPr="00A11FE0">
        <w:rPr>
          <w:rFonts w:asciiTheme="majorHAnsi" w:hAnsiTheme="majorHAnsi"/>
          <w:szCs w:val="22"/>
          <w:lang w:eastAsia="sk-SK"/>
        </w:rPr>
        <w:t xml:space="preserve">a zvyšuje tiež dôraz na znevýhodnené </w:t>
      </w:r>
      <w:r w:rsidR="00BD5FD5">
        <w:rPr>
          <w:rFonts w:asciiTheme="majorHAnsi" w:hAnsiTheme="majorHAnsi"/>
          <w:szCs w:val="22"/>
          <w:lang w:eastAsia="sk-SK"/>
        </w:rPr>
        <w:t>s</w:t>
      </w:r>
      <w:r w:rsidRPr="00A11FE0">
        <w:rPr>
          <w:rFonts w:asciiTheme="majorHAnsi" w:hAnsiTheme="majorHAnsi"/>
          <w:szCs w:val="22"/>
          <w:lang w:eastAsia="sk-SK"/>
        </w:rPr>
        <w:t>kupiny uchádzačov o</w:t>
      </w:r>
      <w:r w:rsidR="008B2288">
        <w:rPr>
          <w:rFonts w:asciiTheme="majorHAnsi" w:hAnsiTheme="majorHAnsi"/>
          <w:szCs w:val="22"/>
          <w:lang w:eastAsia="sk-SK"/>
        </w:rPr>
        <w:t> </w:t>
      </w:r>
      <w:r w:rsidRPr="00A11FE0">
        <w:rPr>
          <w:rFonts w:asciiTheme="majorHAnsi" w:hAnsiTheme="majorHAnsi"/>
          <w:szCs w:val="22"/>
          <w:lang w:eastAsia="sk-SK"/>
        </w:rPr>
        <w:t xml:space="preserve">zamestnanie, </w:t>
      </w:r>
      <w:r w:rsidR="00BD5FD5">
        <w:rPr>
          <w:rFonts w:asciiTheme="majorHAnsi" w:hAnsiTheme="majorHAnsi"/>
          <w:szCs w:val="22"/>
          <w:lang w:eastAsia="sk-SK"/>
        </w:rPr>
        <w:t>s </w:t>
      </w:r>
      <w:r w:rsidRPr="00A11FE0">
        <w:rPr>
          <w:rFonts w:asciiTheme="majorHAnsi" w:hAnsiTheme="majorHAnsi"/>
          <w:szCs w:val="22"/>
          <w:lang w:eastAsia="sk-SK"/>
        </w:rPr>
        <w:t>cieľom zvýšiť zamestnanosť mladých uchádzačov</w:t>
      </w:r>
      <w:r w:rsidR="0096574B">
        <w:rPr>
          <w:rFonts w:asciiTheme="majorHAnsi" w:hAnsiTheme="majorHAnsi"/>
          <w:szCs w:val="22"/>
          <w:lang w:eastAsia="sk-SK"/>
        </w:rPr>
        <w:t xml:space="preserve"> o zamestnanie</w:t>
      </w:r>
      <w:r w:rsidRPr="00A11FE0">
        <w:rPr>
          <w:rFonts w:asciiTheme="majorHAnsi" w:hAnsiTheme="majorHAnsi"/>
          <w:szCs w:val="22"/>
          <w:lang w:eastAsia="sk-SK"/>
        </w:rPr>
        <w:t xml:space="preserve"> do 29 rokov </w:t>
      </w:r>
      <w:r w:rsidR="00BD5FD5">
        <w:rPr>
          <w:rFonts w:asciiTheme="majorHAnsi" w:hAnsiTheme="majorHAnsi"/>
          <w:szCs w:val="22"/>
          <w:lang w:eastAsia="sk-SK"/>
        </w:rPr>
        <w:t>a s</w:t>
      </w:r>
      <w:r w:rsidRPr="00A11FE0">
        <w:rPr>
          <w:rFonts w:asciiTheme="majorHAnsi" w:hAnsiTheme="majorHAnsi"/>
          <w:szCs w:val="22"/>
          <w:lang w:eastAsia="sk-SK"/>
        </w:rPr>
        <w:t xml:space="preserve">tarších ľudí nad 50 rokov. Novelou </w:t>
      </w:r>
      <w:r w:rsidR="00B27B8B">
        <w:rPr>
          <w:rFonts w:asciiTheme="majorHAnsi" w:hAnsiTheme="majorHAnsi"/>
          <w:szCs w:val="22"/>
          <w:lang w:eastAsia="sk-SK"/>
        </w:rPr>
        <w:t xml:space="preserve">tohto zákona </w:t>
      </w:r>
      <w:r w:rsidR="00BD5FD5">
        <w:rPr>
          <w:rFonts w:asciiTheme="majorHAnsi" w:hAnsiTheme="majorHAnsi"/>
          <w:szCs w:val="22"/>
          <w:lang w:eastAsia="sk-SK"/>
        </w:rPr>
        <w:t>s</w:t>
      </w:r>
      <w:r w:rsidRPr="00A11FE0">
        <w:rPr>
          <w:rFonts w:asciiTheme="majorHAnsi" w:hAnsiTheme="majorHAnsi"/>
          <w:szCs w:val="22"/>
          <w:lang w:eastAsia="sk-SK"/>
        </w:rPr>
        <w:t xml:space="preserve">a majú zároveň zlepšiť cielené individualizované </w:t>
      </w:r>
      <w:r w:rsidR="00BD5FD5">
        <w:rPr>
          <w:rFonts w:asciiTheme="majorHAnsi" w:hAnsiTheme="majorHAnsi"/>
          <w:szCs w:val="22"/>
          <w:lang w:eastAsia="sk-SK"/>
        </w:rPr>
        <w:t>s</w:t>
      </w:r>
      <w:r w:rsidRPr="00A11FE0">
        <w:rPr>
          <w:rFonts w:asciiTheme="majorHAnsi" w:hAnsiTheme="majorHAnsi"/>
          <w:szCs w:val="22"/>
          <w:lang w:eastAsia="sk-SK"/>
        </w:rPr>
        <w:t>lužby uchádzačom o</w:t>
      </w:r>
      <w:r w:rsidR="008B2288">
        <w:rPr>
          <w:rFonts w:asciiTheme="majorHAnsi" w:hAnsiTheme="majorHAnsi"/>
          <w:szCs w:val="22"/>
          <w:lang w:eastAsia="sk-SK"/>
        </w:rPr>
        <w:t> </w:t>
      </w:r>
      <w:r w:rsidRPr="00A11FE0">
        <w:rPr>
          <w:rFonts w:asciiTheme="majorHAnsi" w:hAnsiTheme="majorHAnsi"/>
          <w:szCs w:val="22"/>
          <w:lang w:eastAsia="sk-SK"/>
        </w:rPr>
        <w:t>zamestnanie</w:t>
      </w:r>
      <w:r w:rsidR="008B2288">
        <w:rPr>
          <w:rFonts w:asciiTheme="majorHAnsi" w:hAnsiTheme="majorHAnsi"/>
          <w:szCs w:val="22"/>
          <w:lang w:eastAsia="sk-SK"/>
        </w:rPr>
        <w:t xml:space="preserve"> </w:t>
      </w:r>
      <w:r w:rsidRPr="00A11FE0">
        <w:rPr>
          <w:rFonts w:asciiTheme="majorHAnsi" w:hAnsiTheme="majorHAnsi"/>
          <w:szCs w:val="22"/>
          <w:lang w:eastAsia="sk-SK"/>
        </w:rPr>
        <w:t>v</w:t>
      </w:r>
      <w:r w:rsidR="00285918">
        <w:rPr>
          <w:rFonts w:asciiTheme="majorHAnsi" w:hAnsiTheme="majorHAnsi"/>
          <w:szCs w:val="22"/>
          <w:lang w:eastAsia="sk-SK"/>
        </w:rPr>
        <w:t> </w:t>
      </w:r>
      <w:r w:rsidRPr="00A11FE0">
        <w:rPr>
          <w:rFonts w:asciiTheme="majorHAnsi" w:hAnsiTheme="majorHAnsi"/>
          <w:szCs w:val="22"/>
          <w:lang w:eastAsia="sk-SK"/>
        </w:rPr>
        <w:t>rôznych</w:t>
      </w:r>
      <w:r w:rsidR="00285918">
        <w:rPr>
          <w:rFonts w:asciiTheme="majorHAnsi" w:hAnsiTheme="majorHAnsi"/>
          <w:szCs w:val="22"/>
          <w:lang w:eastAsia="sk-SK"/>
        </w:rPr>
        <w:t xml:space="preserve"> </w:t>
      </w:r>
      <w:r w:rsidRPr="00A11FE0">
        <w:rPr>
          <w:rFonts w:asciiTheme="majorHAnsi" w:hAnsiTheme="majorHAnsi"/>
          <w:szCs w:val="22"/>
          <w:lang w:eastAsia="sk-SK"/>
        </w:rPr>
        <w:t>formách (vzdelávanie, odborné poradenstvo)</w:t>
      </w:r>
      <w:r w:rsidR="006F3339">
        <w:rPr>
          <w:rFonts w:asciiTheme="majorHAnsi" w:hAnsiTheme="majorHAnsi"/>
          <w:szCs w:val="22"/>
          <w:lang w:eastAsia="sk-SK"/>
        </w:rPr>
        <w:t xml:space="preserve">, </w:t>
      </w:r>
      <w:r w:rsidR="00BD5FD5">
        <w:rPr>
          <w:rFonts w:asciiTheme="majorHAnsi" w:hAnsiTheme="majorHAnsi"/>
          <w:szCs w:val="22"/>
          <w:lang w:eastAsia="sk-SK"/>
        </w:rPr>
        <w:t>k</w:t>
      </w:r>
      <w:r w:rsidR="006F3339">
        <w:rPr>
          <w:rFonts w:asciiTheme="majorHAnsi" w:hAnsiTheme="majorHAnsi"/>
          <w:szCs w:val="22"/>
          <w:lang w:eastAsia="sk-SK"/>
        </w:rPr>
        <w:t xml:space="preserve">toré budú </w:t>
      </w:r>
      <w:r w:rsidR="00440063">
        <w:rPr>
          <w:rFonts w:asciiTheme="majorHAnsi" w:hAnsiTheme="majorHAnsi"/>
          <w:szCs w:val="22"/>
          <w:lang w:eastAsia="sk-SK"/>
        </w:rPr>
        <w:t>u</w:t>
      </w:r>
      <w:r w:rsidR="006F3339">
        <w:rPr>
          <w:rFonts w:asciiTheme="majorHAnsi" w:hAnsiTheme="majorHAnsi"/>
          <w:szCs w:val="22"/>
          <w:lang w:eastAsia="sk-SK"/>
        </w:rPr>
        <w:t>možn</w:t>
      </w:r>
      <w:r w:rsidR="00440063">
        <w:rPr>
          <w:rFonts w:asciiTheme="majorHAnsi" w:hAnsiTheme="majorHAnsi"/>
          <w:szCs w:val="22"/>
          <w:lang w:eastAsia="sk-SK"/>
        </w:rPr>
        <w:t>en</w:t>
      </w:r>
      <w:r w:rsidR="006F3339">
        <w:rPr>
          <w:rFonts w:asciiTheme="majorHAnsi" w:hAnsiTheme="majorHAnsi"/>
          <w:szCs w:val="22"/>
          <w:lang w:eastAsia="sk-SK"/>
        </w:rPr>
        <w:t xml:space="preserve">é prostredníctvom posilňovania </w:t>
      </w:r>
      <w:r w:rsidR="00BD5FD5">
        <w:rPr>
          <w:rFonts w:asciiTheme="majorHAnsi" w:hAnsiTheme="majorHAnsi"/>
          <w:szCs w:val="22"/>
          <w:lang w:eastAsia="sk-SK"/>
        </w:rPr>
        <w:t>a </w:t>
      </w:r>
      <w:r w:rsidR="006F3339">
        <w:rPr>
          <w:rFonts w:asciiTheme="majorHAnsi" w:hAnsiTheme="majorHAnsi"/>
          <w:szCs w:val="22"/>
          <w:lang w:eastAsia="sk-SK"/>
        </w:rPr>
        <w:t xml:space="preserve">modernizácie verejných </w:t>
      </w:r>
      <w:r w:rsidR="00BD5FD5">
        <w:rPr>
          <w:rFonts w:asciiTheme="majorHAnsi" w:hAnsiTheme="majorHAnsi"/>
          <w:szCs w:val="22"/>
          <w:lang w:eastAsia="sk-SK"/>
        </w:rPr>
        <w:t>s</w:t>
      </w:r>
      <w:r w:rsidR="006F3339">
        <w:rPr>
          <w:rFonts w:asciiTheme="majorHAnsi" w:hAnsiTheme="majorHAnsi"/>
          <w:szCs w:val="22"/>
          <w:lang w:eastAsia="sk-SK"/>
        </w:rPr>
        <w:t>lužieb zamestnanosti</w:t>
      </w:r>
      <w:r w:rsidRPr="00A11FE0">
        <w:rPr>
          <w:rFonts w:asciiTheme="majorHAnsi" w:hAnsiTheme="majorHAnsi"/>
          <w:szCs w:val="22"/>
          <w:lang w:eastAsia="sk-SK"/>
        </w:rPr>
        <w:t>.</w:t>
      </w:r>
      <w:r w:rsidR="008E7522">
        <w:rPr>
          <w:rFonts w:asciiTheme="majorHAnsi" w:hAnsiTheme="majorHAnsi"/>
          <w:szCs w:val="22"/>
          <w:lang w:eastAsia="sk-SK"/>
        </w:rPr>
        <w:t xml:space="preserve"> </w:t>
      </w:r>
      <w:r w:rsidR="008E7522" w:rsidRPr="008E7522">
        <w:rPr>
          <w:rFonts w:asciiTheme="majorHAnsi" w:hAnsiTheme="majorHAnsi"/>
          <w:szCs w:val="22"/>
          <w:lang w:eastAsia="sk-SK"/>
        </w:rPr>
        <w:t>Na poskytovanie lepších klientskych odborných a</w:t>
      </w:r>
      <w:r w:rsidR="00113E3E">
        <w:rPr>
          <w:rFonts w:asciiTheme="majorHAnsi" w:hAnsiTheme="majorHAnsi"/>
          <w:szCs w:val="22"/>
          <w:lang w:eastAsia="sk-SK"/>
        </w:rPr>
        <w:t> </w:t>
      </w:r>
      <w:r w:rsidR="008E7522" w:rsidRPr="008E7522">
        <w:rPr>
          <w:rFonts w:asciiTheme="majorHAnsi" w:hAnsiTheme="majorHAnsi"/>
          <w:szCs w:val="22"/>
          <w:lang w:eastAsia="sk-SK"/>
        </w:rPr>
        <w:t>poradenských služieb bude potrebný dostatočný počet zamestnancov. Túto kapacitu by mohli úrady práce, sociálnych vecí a rodiny získať internou realokáciou a zefektívnením svojho fungovania. To bude možné docieliť aj vďaka centralizácii a</w:t>
      </w:r>
      <w:r w:rsidR="00AB3B24">
        <w:rPr>
          <w:rFonts w:asciiTheme="majorHAnsi" w:hAnsiTheme="majorHAnsi"/>
          <w:szCs w:val="22"/>
          <w:lang w:eastAsia="sk-SK"/>
        </w:rPr>
        <w:t> </w:t>
      </w:r>
      <w:r w:rsidR="008E7522" w:rsidRPr="008E7522">
        <w:rPr>
          <w:rFonts w:asciiTheme="majorHAnsi" w:hAnsiTheme="majorHAnsi"/>
          <w:szCs w:val="22"/>
          <w:lang w:eastAsia="sk-SK"/>
        </w:rPr>
        <w:t>zautomatizovaniu</w:t>
      </w:r>
      <w:r w:rsidR="00AB3B24">
        <w:rPr>
          <w:rFonts w:asciiTheme="majorHAnsi" w:hAnsiTheme="majorHAnsi"/>
          <w:szCs w:val="22"/>
          <w:lang w:eastAsia="sk-SK"/>
        </w:rPr>
        <w:t xml:space="preserve"> </w:t>
      </w:r>
      <w:r w:rsidR="008E7522" w:rsidRPr="008E7522">
        <w:rPr>
          <w:rFonts w:asciiTheme="majorHAnsi" w:hAnsiTheme="majorHAnsi"/>
          <w:szCs w:val="22"/>
          <w:lang w:eastAsia="sk-SK"/>
        </w:rPr>
        <w:t>administratívnych činností prostredníctvom informačného systému.</w:t>
      </w:r>
    </w:p>
    <w:p w:rsidR="00406C25" w:rsidRPr="00A11FE0" w:rsidRDefault="00406C25" w:rsidP="00406C25">
      <w:pPr>
        <w:autoSpaceDE w:val="0"/>
        <w:autoSpaceDN w:val="0"/>
        <w:adjustRightInd w:val="0"/>
        <w:spacing w:after="0"/>
        <w:rPr>
          <w:rFonts w:asciiTheme="majorHAnsi" w:hAnsiTheme="majorHAnsi"/>
          <w:szCs w:val="22"/>
          <w:lang w:eastAsia="sk-SK"/>
        </w:rPr>
      </w:pPr>
      <w:r w:rsidRPr="00A11FE0">
        <w:rPr>
          <w:rFonts w:asciiTheme="majorHAnsi" w:hAnsiTheme="majorHAnsi"/>
          <w:szCs w:val="22"/>
          <w:lang w:eastAsia="sk-SK"/>
        </w:rPr>
        <w:t xml:space="preserve">Zamestnanosť by bolo možné podporiť </w:t>
      </w:r>
      <w:r w:rsidR="00BD5FD5">
        <w:rPr>
          <w:rFonts w:asciiTheme="majorHAnsi" w:hAnsiTheme="majorHAnsi"/>
          <w:szCs w:val="22"/>
          <w:lang w:eastAsia="sk-SK"/>
        </w:rPr>
        <w:t>a</w:t>
      </w:r>
      <w:r w:rsidRPr="00A11FE0">
        <w:rPr>
          <w:rFonts w:asciiTheme="majorHAnsi" w:hAnsiTheme="majorHAnsi"/>
          <w:szCs w:val="22"/>
          <w:lang w:eastAsia="sk-SK"/>
        </w:rPr>
        <w:t>j pomocou finančn</w:t>
      </w:r>
      <w:r w:rsidR="00BC035E">
        <w:rPr>
          <w:rFonts w:asciiTheme="majorHAnsi" w:hAnsiTheme="majorHAnsi"/>
          <w:szCs w:val="22"/>
          <w:lang w:eastAsia="sk-SK"/>
        </w:rPr>
        <w:t>ého</w:t>
      </w:r>
      <w:r w:rsidRPr="00A11FE0">
        <w:rPr>
          <w:rFonts w:asciiTheme="majorHAnsi" w:hAnsiTheme="majorHAnsi"/>
          <w:szCs w:val="22"/>
          <w:lang w:eastAsia="sk-SK"/>
        </w:rPr>
        <w:t xml:space="preserve"> nástroj</w:t>
      </w:r>
      <w:r w:rsidR="00130425">
        <w:rPr>
          <w:rFonts w:asciiTheme="majorHAnsi" w:hAnsiTheme="majorHAnsi"/>
          <w:szCs w:val="22"/>
          <w:lang w:eastAsia="sk-SK"/>
        </w:rPr>
        <w:t>a, ktorý</w:t>
      </w:r>
      <w:r w:rsidRPr="00A11FE0">
        <w:rPr>
          <w:rFonts w:asciiTheme="majorHAnsi" w:hAnsiTheme="majorHAnsi"/>
          <w:szCs w:val="22"/>
          <w:lang w:eastAsia="sk-SK"/>
        </w:rPr>
        <w:t xml:space="preserve"> by </w:t>
      </w:r>
      <w:r w:rsidR="00BD5FD5">
        <w:rPr>
          <w:rFonts w:asciiTheme="majorHAnsi" w:hAnsiTheme="majorHAnsi"/>
          <w:szCs w:val="22"/>
          <w:lang w:eastAsia="sk-SK"/>
        </w:rPr>
        <w:t>s</w:t>
      </w:r>
      <w:r w:rsidRPr="00A11FE0">
        <w:rPr>
          <w:rFonts w:asciiTheme="majorHAnsi" w:hAnsiTheme="majorHAnsi"/>
          <w:szCs w:val="22"/>
          <w:lang w:eastAsia="sk-SK"/>
        </w:rPr>
        <w:t xml:space="preserve">a mohol zamerať na ten </w:t>
      </w:r>
      <w:r w:rsidR="00BD5FD5">
        <w:rPr>
          <w:rFonts w:asciiTheme="majorHAnsi" w:hAnsiTheme="majorHAnsi"/>
          <w:szCs w:val="22"/>
          <w:lang w:eastAsia="sk-SK"/>
        </w:rPr>
        <w:t>s</w:t>
      </w:r>
      <w:r w:rsidRPr="00A11FE0">
        <w:rPr>
          <w:rFonts w:asciiTheme="majorHAnsi" w:hAnsiTheme="majorHAnsi"/>
          <w:szCs w:val="22"/>
          <w:lang w:eastAsia="sk-SK"/>
        </w:rPr>
        <w:t xml:space="preserve">egment ekonomických </w:t>
      </w:r>
      <w:r w:rsidR="00BD5FD5">
        <w:rPr>
          <w:rFonts w:asciiTheme="majorHAnsi" w:hAnsiTheme="majorHAnsi"/>
          <w:szCs w:val="22"/>
          <w:lang w:eastAsia="sk-SK"/>
        </w:rPr>
        <w:t>ak</w:t>
      </w:r>
      <w:r w:rsidRPr="00A11FE0">
        <w:rPr>
          <w:rFonts w:asciiTheme="majorHAnsi" w:hAnsiTheme="majorHAnsi"/>
          <w:szCs w:val="22"/>
          <w:lang w:eastAsia="sk-SK"/>
        </w:rPr>
        <w:t xml:space="preserve">tivít, </w:t>
      </w:r>
      <w:r w:rsidR="00BD5FD5">
        <w:rPr>
          <w:rFonts w:asciiTheme="majorHAnsi" w:hAnsiTheme="majorHAnsi"/>
          <w:szCs w:val="22"/>
          <w:lang w:eastAsia="sk-SK"/>
        </w:rPr>
        <w:t>k</w:t>
      </w:r>
      <w:r w:rsidRPr="00A11FE0">
        <w:rPr>
          <w:rFonts w:asciiTheme="majorHAnsi" w:hAnsiTheme="majorHAnsi"/>
          <w:szCs w:val="22"/>
          <w:lang w:eastAsia="sk-SK"/>
        </w:rPr>
        <w:t xml:space="preserve">torých prevádzkové náklady </w:t>
      </w:r>
      <w:r w:rsidR="00BD5FD5">
        <w:rPr>
          <w:rFonts w:asciiTheme="majorHAnsi" w:hAnsiTheme="majorHAnsi"/>
          <w:szCs w:val="22"/>
          <w:lang w:eastAsia="sk-SK"/>
        </w:rPr>
        <w:t>s</w:t>
      </w:r>
      <w:r w:rsidR="00C84D06">
        <w:rPr>
          <w:rFonts w:asciiTheme="majorHAnsi" w:hAnsiTheme="majorHAnsi"/>
          <w:szCs w:val="22"/>
          <w:lang w:eastAsia="sk-SK"/>
        </w:rPr>
        <w:t>ú</w:t>
      </w:r>
      <w:r w:rsidRPr="00A11FE0">
        <w:rPr>
          <w:rFonts w:asciiTheme="majorHAnsi" w:hAnsiTheme="majorHAnsi"/>
          <w:szCs w:val="22"/>
          <w:lang w:eastAsia="sk-SK"/>
        </w:rPr>
        <w:t xml:space="preserve"> plne pokryté ich výnosmi, no </w:t>
      </w:r>
      <w:r w:rsidR="00BD5FD5">
        <w:rPr>
          <w:rFonts w:asciiTheme="majorHAnsi" w:hAnsiTheme="majorHAnsi"/>
          <w:szCs w:val="22"/>
          <w:lang w:eastAsia="sk-SK"/>
        </w:rPr>
        <w:t>k</w:t>
      </w:r>
      <w:r w:rsidRPr="00A11FE0">
        <w:rPr>
          <w:rFonts w:asciiTheme="majorHAnsi" w:hAnsiTheme="majorHAnsi"/>
          <w:szCs w:val="22"/>
          <w:lang w:eastAsia="sk-SK"/>
        </w:rPr>
        <w:t>omerčnú úroveň zisku neprinášajú</w:t>
      </w:r>
      <w:r w:rsidR="007F23C8" w:rsidRPr="00A11FE0">
        <w:rPr>
          <w:rFonts w:asciiTheme="majorHAnsi" w:hAnsiTheme="majorHAnsi"/>
          <w:szCs w:val="22"/>
          <w:lang w:eastAsia="sk-SK"/>
        </w:rPr>
        <w:t>,</w:t>
      </w:r>
      <w:r w:rsidRPr="00A11FE0">
        <w:rPr>
          <w:rFonts w:asciiTheme="majorHAnsi" w:hAnsiTheme="majorHAnsi"/>
          <w:szCs w:val="22"/>
          <w:lang w:eastAsia="sk-SK"/>
        </w:rPr>
        <w:t xml:space="preserve"> </w:t>
      </w:r>
      <w:r w:rsidR="00BD5FD5">
        <w:rPr>
          <w:rFonts w:asciiTheme="majorHAnsi" w:hAnsiTheme="majorHAnsi"/>
          <w:szCs w:val="22"/>
          <w:lang w:eastAsia="sk-SK"/>
        </w:rPr>
        <w:t>a </w:t>
      </w:r>
      <w:r w:rsidRPr="00A11FE0">
        <w:rPr>
          <w:rFonts w:asciiTheme="majorHAnsi" w:hAnsiTheme="majorHAnsi"/>
          <w:szCs w:val="22"/>
          <w:lang w:eastAsia="sk-SK"/>
        </w:rPr>
        <w:t>preto o</w:t>
      </w:r>
      <w:r w:rsidR="007D717C" w:rsidRPr="00A11FE0">
        <w:rPr>
          <w:rFonts w:asciiTheme="majorHAnsi" w:hAnsiTheme="majorHAnsi"/>
          <w:szCs w:val="22"/>
          <w:lang w:eastAsia="sk-SK"/>
        </w:rPr>
        <w:t> </w:t>
      </w:r>
      <w:r w:rsidRPr="00A11FE0">
        <w:rPr>
          <w:rFonts w:asciiTheme="majorHAnsi" w:hAnsiTheme="majorHAnsi"/>
          <w:szCs w:val="22"/>
          <w:lang w:eastAsia="sk-SK"/>
        </w:rPr>
        <w:t>ne</w:t>
      </w:r>
      <w:r w:rsidR="007D717C" w:rsidRPr="00A11FE0">
        <w:rPr>
          <w:rFonts w:asciiTheme="majorHAnsi" w:hAnsiTheme="majorHAnsi"/>
          <w:szCs w:val="22"/>
          <w:lang w:eastAsia="sk-SK"/>
        </w:rPr>
        <w:t xml:space="preserve"> </w:t>
      </w:r>
      <w:r w:rsidRPr="00A11FE0">
        <w:rPr>
          <w:rFonts w:asciiTheme="majorHAnsi" w:hAnsiTheme="majorHAnsi"/>
          <w:szCs w:val="22"/>
          <w:lang w:eastAsia="sk-SK"/>
        </w:rPr>
        <w:t xml:space="preserve">bežní investori nejavia záujem. Nástroj by bol </w:t>
      </w:r>
      <w:r w:rsidRPr="00A11FE0">
        <w:rPr>
          <w:rFonts w:asciiTheme="majorHAnsi" w:hAnsiTheme="majorHAnsi"/>
          <w:szCs w:val="22"/>
          <w:lang w:eastAsia="sk-SK"/>
        </w:rPr>
        <w:lastRenderedPageBreak/>
        <w:t xml:space="preserve">obzvlášť vhodný pre podporu zamestnanosti v zaostalejších regiónoch </w:t>
      </w:r>
      <w:r w:rsidR="00BD5FD5">
        <w:rPr>
          <w:rFonts w:asciiTheme="majorHAnsi" w:hAnsiTheme="majorHAnsi"/>
          <w:szCs w:val="22"/>
          <w:lang w:eastAsia="sk-SK"/>
        </w:rPr>
        <w:t>S</w:t>
      </w:r>
      <w:r w:rsidRPr="00A11FE0">
        <w:rPr>
          <w:rFonts w:asciiTheme="majorHAnsi" w:hAnsiTheme="majorHAnsi"/>
          <w:szCs w:val="22"/>
          <w:lang w:eastAsia="sk-SK"/>
        </w:rPr>
        <w:t xml:space="preserve">R, </w:t>
      </w:r>
      <w:r w:rsidR="00BD5FD5">
        <w:rPr>
          <w:rFonts w:asciiTheme="majorHAnsi" w:hAnsiTheme="majorHAnsi"/>
          <w:szCs w:val="22"/>
          <w:lang w:eastAsia="sk-SK"/>
        </w:rPr>
        <w:t>k</w:t>
      </w:r>
      <w:r w:rsidRPr="00A11FE0">
        <w:rPr>
          <w:rFonts w:asciiTheme="majorHAnsi" w:hAnsiTheme="majorHAnsi"/>
          <w:szCs w:val="22"/>
          <w:lang w:eastAsia="sk-SK"/>
        </w:rPr>
        <w:t>toré trpia nízkym záujmom investorov.</w:t>
      </w:r>
    </w:p>
    <w:p w:rsidR="00406C25" w:rsidRPr="00A11FE0" w:rsidRDefault="00406C25" w:rsidP="00C54C59">
      <w:pPr>
        <w:pStyle w:val="Nadpis5"/>
        <w:numPr>
          <w:ilvl w:val="4"/>
          <w:numId w:val="2"/>
        </w:numPr>
        <w:ind w:left="1292"/>
      </w:pPr>
      <w:r w:rsidRPr="00A11FE0">
        <w:t xml:space="preserve">Nízka mobilita pracovnej </w:t>
      </w:r>
      <w:r w:rsidR="00BD5FD5">
        <w:t>s</w:t>
      </w:r>
      <w:r w:rsidRPr="00A11FE0">
        <w:t>ily</w:t>
      </w:r>
    </w:p>
    <w:p w:rsidR="00406C25" w:rsidRPr="00A11FE0" w:rsidRDefault="00BD5FD5" w:rsidP="00406C25">
      <w:pPr>
        <w:autoSpaceDE w:val="0"/>
        <w:autoSpaceDN w:val="0"/>
        <w:adjustRightInd w:val="0"/>
        <w:spacing w:after="0"/>
        <w:rPr>
          <w:rFonts w:asciiTheme="majorHAnsi" w:hAnsiTheme="majorHAnsi"/>
          <w:szCs w:val="22"/>
        </w:rPr>
      </w:pPr>
      <w:r>
        <w:rPr>
          <w:rFonts w:asciiTheme="majorHAnsi" w:hAnsiTheme="majorHAnsi"/>
          <w:szCs w:val="22"/>
        </w:rPr>
        <w:t>S</w:t>
      </w:r>
      <w:r w:rsidR="00406C25" w:rsidRPr="00A11FE0">
        <w:rPr>
          <w:rFonts w:asciiTheme="majorHAnsi" w:hAnsiTheme="majorHAnsi"/>
          <w:szCs w:val="22"/>
        </w:rPr>
        <w:t xml:space="preserve">R má v porovnaní </w:t>
      </w:r>
      <w:r>
        <w:rPr>
          <w:rFonts w:asciiTheme="majorHAnsi" w:hAnsiTheme="majorHAnsi"/>
          <w:szCs w:val="22"/>
        </w:rPr>
        <w:t>s </w:t>
      </w:r>
      <w:r w:rsidR="00406C25" w:rsidRPr="00A11FE0">
        <w:rPr>
          <w:rFonts w:asciiTheme="majorHAnsi" w:hAnsiTheme="majorHAnsi"/>
          <w:szCs w:val="22"/>
        </w:rPr>
        <w:t xml:space="preserve">ostatnými </w:t>
      </w:r>
      <w:r>
        <w:rPr>
          <w:rFonts w:asciiTheme="majorHAnsi" w:hAnsiTheme="majorHAnsi"/>
          <w:szCs w:val="22"/>
        </w:rPr>
        <w:t>k</w:t>
      </w:r>
      <w:r w:rsidR="00406C25" w:rsidRPr="00A11FE0">
        <w:rPr>
          <w:rFonts w:asciiTheme="majorHAnsi" w:hAnsiTheme="majorHAnsi"/>
          <w:szCs w:val="22"/>
        </w:rPr>
        <w:t xml:space="preserve">rajinami EÚ nízku úroveň pracovnej mobility, </w:t>
      </w:r>
      <w:r>
        <w:rPr>
          <w:rFonts w:asciiTheme="majorHAnsi" w:hAnsiTheme="majorHAnsi"/>
          <w:szCs w:val="22"/>
        </w:rPr>
        <w:t>k</w:t>
      </w:r>
      <w:r w:rsidR="00406C25" w:rsidRPr="00A11FE0">
        <w:rPr>
          <w:rFonts w:asciiTheme="majorHAnsi" w:hAnsiTheme="majorHAnsi"/>
          <w:szCs w:val="22"/>
        </w:rPr>
        <w:t>torá je ovplyvnená nízkou cenou práce, vysokými priamymi nákladmi na cestovanie</w:t>
      </w:r>
      <w:r w:rsidR="00406C25" w:rsidRPr="00A11FE0">
        <w:rPr>
          <w:rStyle w:val="Odkaznapoznmkupodiarou"/>
          <w:rFonts w:asciiTheme="majorHAnsi" w:hAnsiTheme="majorHAnsi"/>
        </w:rPr>
        <w:footnoteReference w:id="116"/>
      </w:r>
      <w:r w:rsidR="00406C25" w:rsidRPr="00A11FE0">
        <w:rPr>
          <w:rFonts w:asciiTheme="majorHAnsi" w:hAnsiTheme="majorHAnsi"/>
          <w:szCs w:val="22"/>
        </w:rPr>
        <w:t>, nerozvinutým nájomným bývaním,</w:t>
      </w:r>
      <w:r w:rsidR="003E58BE">
        <w:rPr>
          <w:rFonts w:asciiTheme="majorHAnsi" w:hAnsiTheme="majorHAnsi"/>
          <w:szCs w:val="22"/>
        </w:rPr>
        <w:t xml:space="preserve"> </w:t>
      </w:r>
      <w:r w:rsidR="00406C25" w:rsidRPr="00A11FE0">
        <w:rPr>
          <w:rFonts w:asciiTheme="majorHAnsi" w:hAnsiTheme="majorHAnsi"/>
          <w:szCs w:val="22"/>
        </w:rPr>
        <w:t xml:space="preserve">vysokými nákladmi na bývanie </w:t>
      </w:r>
      <w:r>
        <w:rPr>
          <w:rFonts w:asciiTheme="majorHAnsi" w:hAnsiTheme="majorHAnsi"/>
          <w:szCs w:val="22"/>
        </w:rPr>
        <w:t>a </w:t>
      </w:r>
      <w:r w:rsidR="00406C25" w:rsidRPr="00A11FE0">
        <w:rPr>
          <w:rFonts w:asciiTheme="majorHAnsi" w:hAnsiTheme="majorHAnsi"/>
          <w:szCs w:val="22"/>
        </w:rPr>
        <w:t xml:space="preserve">nekvalitnými dopravnými </w:t>
      </w:r>
      <w:r>
        <w:rPr>
          <w:rFonts w:asciiTheme="majorHAnsi" w:hAnsiTheme="majorHAnsi"/>
          <w:szCs w:val="22"/>
        </w:rPr>
        <w:t>s</w:t>
      </w:r>
      <w:r w:rsidR="00406C25" w:rsidRPr="00A11FE0">
        <w:rPr>
          <w:rFonts w:asciiTheme="majorHAnsi" w:hAnsiTheme="majorHAnsi"/>
          <w:szCs w:val="22"/>
        </w:rPr>
        <w:t>lužbami.</w:t>
      </w:r>
    </w:p>
    <w:p w:rsidR="00406C25" w:rsidRPr="00A11FE0"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Najviac ľudí dochádza za prácou do hlavného mesta Bratislavy </w:t>
      </w:r>
      <w:r w:rsidR="00BD5FD5">
        <w:rPr>
          <w:rFonts w:asciiTheme="majorHAnsi" w:hAnsiTheme="majorHAnsi"/>
          <w:szCs w:val="22"/>
        </w:rPr>
        <w:t>a </w:t>
      </w:r>
      <w:r w:rsidRPr="00A11FE0">
        <w:rPr>
          <w:rFonts w:asciiTheme="majorHAnsi" w:hAnsiTheme="majorHAnsi"/>
          <w:szCs w:val="22"/>
        </w:rPr>
        <w:t xml:space="preserve">do najväčších miest na území ostatných </w:t>
      </w:r>
      <w:r w:rsidR="00BD5FD5">
        <w:rPr>
          <w:rFonts w:asciiTheme="majorHAnsi" w:hAnsiTheme="majorHAnsi"/>
          <w:szCs w:val="22"/>
        </w:rPr>
        <w:t>k</w:t>
      </w:r>
      <w:r w:rsidRPr="00A11FE0">
        <w:rPr>
          <w:rFonts w:asciiTheme="majorHAnsi" w:hAnsiTheme="majorHAnsi"/>
          <w:szCs w:val="22"/>
        </w:rPr>
        <w:t xml:space="preserve">rajov. Najviac dochádzajúcich pracujúcich zamestnávajú veľké firmy v oblasti </w:t>
      </w:r>
      <w:r w:rsidR="00BD5FD5">
        <w:rPr>
          <w:rFonts w:asciiTheme="majorHAnsi" w:hAnsiTheme="majorHAnsi"/>
          <w:szCs w:val="22"/>
        </w:rPr>
        <w:t>s</w:t>
      </w:r>
      <w:r w:rsidRPr="00A11FE0">
        <w:rPr>
          <w:rFonts w:asciiTheme="majorHAnsi" w:hAnsiTheme="majorHAnsi"/>
          <w:szCs w:val="22"/>
        </w:rPr>
        <w:t xml:space="preserve">tavebníctva </w:t>
      </w:r>
      <w:r w:rsidR="00BD5FD5">
        <w:rPr>
          <w:rFonts w:asciiTheme="majorHAnsi" w:hAnsiTheme="majorHAnsi"/>
          <w:szCs w:val="22"/>
        </w:rPr>
        <w:t>a </w:t>
      </w:r>
      <w:r w:rsidRPr="00A11FE0">
        <w:rPr>
          <w:rFonts w:asciiTheme="majorHAnsi" w:hAnsiTheme="majorHAnsi"/>
          <w:szCs w:val="22"/>
        </w:rPr>
        <w:t>finančníctva. Za regióny, v </w:t>
      </w:r>
      <w:r w:rsidR="00BD5FD5">
        <w:rPr>
          <w:rFonts w:asciiTheme="majorHAnsi" w:hAnsiTheme="majorHAnsi"/>
          <w:szCs w:val="22"/>
        </w:rPr>
        <w:t>k</w:t>
      </w:r>
      <w:r w:rsidRPr="00A11FE0">
        <w:rPr>
          <w:rFonts w:asciiTheme="majorHAnsi" w:hAnsiTheme="majorHAnsi"/>
          <w:szCs w:val="22"/>
        </w:rPr>
        <w:t xml:space="preserve">torých </w:t>
      </w:r>
      <w:r w:rsidR="00BD5FD5">
        <w:rPr>
          <w:rFonts w:asciiTheme="majorHAnsi" w:hAnsiTheme="majorHAnsi"/>
          <w:szCs w:val="22"/>
        </w:rPr>
        <w:t>s</w:t>
      </w:r>
      <w:r w:rsidR="006A1F31">
        <w:rPr>
          <w:rFonts w:asciiTheme="majorHAnsi" w:hAnsiTheme="majorHAnsi"/>
          <w:szCs w:val="22"/>
        </w:rPr>
        <w:t>a</w:t>
      </w:r>
      <w:r w:rsidRPr="00A11FE0">
        <w:rPr>
          <w:rFonts w:asciiTheme="majorHAnsi" w:hAnsiTheme="majorHAnsi"/>
          <w:szCs w:val="22"/>
        </w:rPr>
        <w:t xml:space="preserve"> očakáva rast pracovnej mobility</w:t>
      </w:r>
      <w:r w:rsidR="007F23C8" w:rsidRPr="00A11FE0">
        <w:rPr>
          <w:rFonts w:asciiTheme="majorHAnsi" w:hAnsiTheme="majorHAnsi"/>
          <w:szCs w:val="22"/>
        </w:rPr>
        <w:t>,</w:t>
      </w:r>
      <w:r w:rsidRPr="00A11FE0">
        <w:rPr>
          <w:rFonts w:asciiTheme="majorHAnsi" w:hAnsiTheme="majorHAnsi"/>
          <w:szCs w:val="22"/>
        </w:rPr>
        <w:t xml:space="preserve"> považujeme </w:t>
      </w:r>
      <w:r w:rsidR="00B27B8B">
        <w:rPr>
          <w:rFonts w:asciiTheme="majorHAnsi" w:hAnsiTheme="majorHAnsi"/>
          <w:szCs w:val="22"/>
        </w:rPr>
        <w:t>tie</w:t>
      </w:r>
      <w:r w:rsidRPr="00A11FE0">
        <w:rPr>
          <w:rFonts w:asciiTheme="majorHAnsi" w:hAnsiTheme="majorHAnsi"/>
          <w:szCs w:val="22"/>
        </w:rPr>
        <w:t xml:space="preserve">, </w:t>
      </w:r>
      <w:r w:rsidR="00BD5FD5">
        <w:rPr>
          <w:rFonts w:asciiTheme="majorHAnsi" w:hAnsiTheme="majorHAnsi"/>
          <w:szCs w:val="22"/>
        </w:rPr>
        <w:t>k</w:t>
      </w:r>
      <w:r w:rsidRPr="00A11FE0">
        <w:rPr>
          <w:rFonts w:asciiTheme="majorHAnsi" w:hAnsiTheme="majorHAnsi"/>
          <w:szCs w:val="22"/>
        </w:rPr>
        <w:t xml:space="preserve">toré </w:t>
      </w:r>
      <w:r w:rsidR="00BD5FD5">
        <w:rPr>
          <w:rFonts w:asciiTheme="majorHAnsi" w:hAnsiTheme="majorHAnsi"/>
          <w:szCs w:val="22"/>
        </w:rPr>
        <w:t>s</w:t>
      </w:r>
      <w:r w:rsidRPr="00A11FE0">
        <w:rPr>
          <w:rFonts w:asciiTheme="majorHAnsi" w:hAnsiTheme="majorHAnsi"/>
          <w:szCs w:val="22"/>
        </w:rPr>
        <w:t xml:space="preserve">usedia </w:t>
      </w:r>
      <w:r w:rsidR="00BD5FD5">
        <w:rPr>
          <w:rFonts w:asciiTheme="majorHAnsi" w:hAnsiTheme="majorHAnsi"/>
          <w:szCs w:val="22"/>
        </w:rPr>
        <w:t>s</w:t>
      </w:r>
      <w:r w:rsidRPr="00A11FE0">
        <w:rPr>
          <w:rFonts w:asciiTheme="majorHAnsi" w:hAnsiTheme="majorHAnsi"/>
          <w:szCs w:val="22"/>
        </w:rPr>
        <w:t>o</w:t>
      </w:r>
      <w:r w:rsidR="003E58BE">
        <w:rPr>
          <w:rFonts w:asciiTheme="majorHAnsi" w:hAnsiTheme="majorHAnsi"/>
          <w:szCs w:val="22"/>
        </w:rPr>
        <w:t xml:space="preserve"> </w:t>
      </w:r>
      <w:r w:rsidRPr="00A11FE0">
        <w:rPr>
          <w:rFonts w:asciiTheme="majorHAnsi" w:hAnsiTheme="majorHAnsi"/>
          <w:szCs w:val="22"/>
        </w:rPr>
        <w:t xml:space="preserve">vznikajúcimi </w:t>
      </w:r>
      <w:r w:rsidR="00BD5FD5">
        <w:rPr>
          <w:rFonts w:asciiTheme="majorHAnsi" w:hAnsiTheme="majorHAnsi"/>
          <w:szCs w:val="22"/>
        </w:rPr>
        <w:t>s</w:t>
      </w:r>
      <w:r w:rsidRPr="00A11FE0">
        <w:rPr>
          <w:rFonts w:asciiTheme="majorHAnsi" w:hAnsiTheme="majorHAnsi"/>
          <w:szCs w:val="22"/>
        </w:rPr>
        <w:t>ilnými ekonomickými centrami</w:t>
      </w:r>
      <w:r w:rsidR="00B27B8B">
        <w:rPr>
          <w:rFonts w:asciiTheme="majorHAnsi" w:hAnsiTheme="majorHAnsi"/>
          <w:szCs w:val="22"/>
        </w:rPr>
        <w:t>,</w:t>
      </w:r>
      <w:r w:rsidRPr="00A11FE0">
        <w:rPr>
          <w:rFonts w:asciiTheme="majorHAnsi" w:hAnsiTheme="majorHAnsi"/>
          <w:szCs w:val="22"/>
        </w:rPr>
        <w:t xml:space="preserve"> podporenými priamymi zahraničnými investíciami, </w:t>
      </w:r>
      <w:r w:rsidR="00BD5FD5">
        <w:rPr>
          <w:rFonts w:asciiTheme="majorHAnsi" w:hAnsiTheme="majorHAnsi"/>
          <w:szCs w:val="22"/>
        </w:rPr>
        <w:t>ak</w:t>
      </w:r>
      <w:r w:rsidRPr="00A11FE0">
        <w:rPr>
          <w:rFonts w:asciiTheme="majorHAnsi" w:hAnsiTheme="majorHAnsi"/>
          <w:szCs w:val="22"/>
        </w:rPr>
        <w:t xml:space="preserve">o Trnava či Žilina, </w:t>
      </w:r>
      <w:r w:rsidR="00BD5FD5">
        <w:rPr>
          <w:rFonts w:asciiTheme="majorHAnsi" w:hAnsiTheme="majorHAnsi"/>
          <w:szCs w:val="22"/>
        </w:rPr>
        <w:t>a</w:t>
      </w:r>
      <w:r w:rsidRPr="00A11FE0">
        <w:rPr>
          <w:rFonts w:asciiTheme="majorHAnsi" w:hAnsiTheme="majorHAnsi"/>
          <w:szCs w:val="22"/>
        </w:rPr>
        <w:t xml:space="preserve">le </w:t>
      </w:r>
      <w:r w:rsidR="00BD5FD5">
        <w:rPr>
          <w:rFonts w:asciiTheme="majorHAnsi" w:hAnsiTheme="majorHAnsi"/>
          <w:szCs w:val="22"/>
        </w:rPr>
        <w:t>a</w:t>
      </w:r>
      <w:r w:rsidRPr="00A11FE0">
        <w:rPr>
          <w:rFonts w:asciiTheme="majorHAnsi" w:hAnsiTheme="majorHAnsi"/>
          <w:szCs w:val="22"/>
        </w:rPr>
        <w:t>j</w:t>
      </w:r>
      <w:r w:rsidR="003E58BE">
        <w:rPr>
          <w:rFonts w:asciiTheme="majorHAnsi" w:hAnsiTheme="majorHAnsi"/>
          <w:szCs w:val="22"/>
        </w:rPr>
        <w:t xml:space="preserve"> </w:t>
      </w:r>
      <w:r w:rsidRPr="00A11FE0">
        <w:rPr>
          <w:rFonts w:asciiTheme="majorHAnsi" w:hAnsiTheme="majorHAnsi"/>
          <w:szCs w:val="22"/>
        </w:rPr>
        <w:t>celý región Považia.</w:t>
      </w:r>
    </w:p>
    <w:p w:rsidR="00406C25"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Podpora </w:t>
      </w:r>
      <w:r w:rsidR="00BD5FD5">
        <w:rPr>
          <w:rFonts w:asciiTheme="majorHAnsi" w:hAnsiTheme="majorHAnsi"/>
          <w:szCs w:val="22"/>
        </w:rPr>
        <w:t>a</w:t>
      </w:r>
      <w:r w:rsidRPr="00A11FE0">
        <w:rPr>
          <w:rFonts w:asciiTheme="majorHAnsi" w:hAnsiTheme="majorHAnsi"/>
          <w:szCs w:val="22"/>
        </w:rPr>
        <w:t xml:space="preserve"> zlacnenie hromadnej dopravy, investície do vedomostnej ekonomiky </w:t>
      </w:r>
      <w:r w:rsidR="00BD5FD5">
        <w:rPr>
          <w:rFonts w:asciiTheme="majorHAnsi" w:hAnsiTheme="majorHAnsi"/>
          <w:szCs w:val="22"/>
        </w:rPr>
        <w:t>a </w:t>
      </w:r>
      <w:r w:rsidRPr="00A11FE0">
        <w:rPr>
          <w:rFonts w:asciiTheme="majorHAnsi" w:hAnsiTheme="majorHAnsi"/>
          <w:szCs w:val="22"/>
        </w:rPr>
        <w:t xml:space="preserve">orientácia na produkciu </w:t>
      </w:r>
      <w:r w:rsidR="00BD5FD5">
        <w:rPr>
          <w:rFonts w:asciiTheme="majorHAnsi" w:hAnsiTheme="majorHAnsi"/>
          <w:szCs w:val="22"/>
        </w:rPr>
        <w:t>s </w:t>
      </w:r>
      <w:r w:rsidRPr="00A11FE0">
        <w:rPr>
          <w:rFonts w:asciiTheme="majorHAnsi" w:hAnsiTheme="majorHAnsi"/>
          <w:szCs w:val="22"/>
        </w:rPr>
        <w:t xml:space="preserve">vyššou pridanou hodnotou, povedú </w:t>
      </w:r>
      <w:r w:rsidR="00BD5FD5">
        <w:rPr>
          <w:rFonts w:asciiTheme="majorHAnsi" w:hAnsiTheme="majorHAnsi"/>
          <w:szCs w:val="22"/>
        </w:rPr>
        <w:t>k</w:t>
      </w:r>
      <w:r w:rsidRPr="00A11FE0">
        <w:rPr>
          <w:rFonts w:asciiTheme="majorHAnsi" w:hAnsiTheme="majorHAnsi"/>
          <w:szCs w:val="22"/>
        </w:rPr>
        <w:t xml:space="preserve"> rastu miezd </w:t>
      </w:r>
      <w:r w:rsidR="00BD5FD5">
        <w:rPr>
          <w:rFonts w:asciiTheme="majorHAnsi" w:hAnsiTheme="majorHAnsi"/>
          <w:szCs w:val="22"/>
        </w:rPr>
        <w:t>a </w:t>
      </w:r>
      <w:r w:rsidRPr="00A11FE0">
        <w:rPr>
          <w:rFonts w:asciiTheme="majorHAnsi" w:hAnsiTheme="majorHAnsi"/>
          <w:szCs w:val="22"/>
        </w:rPr>
        <w:t xml:space="preserve">vyššej </w:t>
      </w:r>
      <w:r w:rsidR="00BD5FD5">
        <w:rPr>
          <w:rFonts w:asciiTheme="majorHAnsi" w:hAnsiTheme="majorHAnsi"/>
          <w:szCs w:val="22"/>
        </w:rPr>
        <w:t>ak</w:t>
      </w:r>
      <w:r w:rsidRPr="00A11FE0">
        <w:rPr>
          <w:rFonts w:asciiTheme="majorHAnsi" w:hAnsiTheme="majorHAnsi"/>
          <w:szCs w:val="22"/>
        </w:rPr>
        <w:t xml:space="preserve">tivite zamestnancov, </w:t>
      </w:r>
      <w:r w:rsidR="00BD5FD5">
        <w:rPr>
          <w:rFonts w:asciiTheme="majorHAnsi" w:hAnsiTheme="majorHAnsi"/>
          <w:szCs w:val="22"/>
        </w:rPr>
        <w:t>k</w:t>
      </w:r>
      <w:r w:rsidRPr="00A11FE0">
        <w:rPr>
          <w:rFonts w:asciiTheme="majorHAnsi" w:hAnsiTheme="majorHAnsi"/>
          <w:szCs w:val="22"/>
        </w:rPr>
        <w:t xml:space="preserve">torá vyvolá </w:t>
      </w:r>
      <w:r w:rsidR="00BD5FD5">
        <w:rPr>
          <w:rFonts w:asciiTheme="majorHAnsi" w:hAnsiTheme="majorHAnsi"/>
          <w:szCs w:val="22"/>
        </w:rPr>
        <w:t>a</w:t>
      </w:r>
      <w:r w:rsidRPr="00A11FE0">
        <w:rPr>
          <w:rFonts w:asciiTheme="majorHAnsi" w:hAnsiTheme="majorHAnsi"/>
          <w:szCs w:val="22"/>
        </w:rPr>
        <w:t xml:space="preserve">j vyššiu pracovnú mobilitu. Významnú úlohu môže zohrať </w:t>
      </w:r>
      <w:r w:rsidR="00BD5FD5">
        <w:rPr>
          <w:rFonts w:asciiTheme="majorHAnsi" w:hAnsiTheme="majorHAnsi"/>
          <w:szCs w:val="22"/>
        </w:rPr>
        <w:t>a</w:t>
      </w:r>
      <w:r w:rsidRPr="00A11FE0">
        <w:rPr>
          <w:rFonts w:asciiTheme="majorHAnsi" w:hAnsiTheme="majorHAnsi"/>
          <w:szCs w:val="22"/>
        </w:rPr>
        <w:t xml:space="preserve">j tzv. práca z domu, </w:t>
      </w:r>
      <w:r w:rsidR="00BD5FD5">
        <w:rPr>
          <w:rFonts w:asciiTheme="majorHAnsi" w:hAnsiTheme="majorHAnsi"/>
          <w:szCs w:val="22"/>
        </w:rPr>
        <w:t>k</w:t>
      </w:r>
      <w:r w:rsidRPr="00A11FE0">
        <w:rPr>
          <w:rFonts w:asciiTheme="majorHAnsi" w:hAnsiTheme="majorHAnsi"/>
          <w:szCs w:val="22"/>
        </w:rPr>
        <w:t xml:space="preserve">torá eliminuje negatíva vysokej pracovnej mobility </w:t>
      </w:r>
      <w:r w:rsidR="00BD5FD5">
        <w:rPr>
          <w:rFonts w:asciiTheme="majorHAnsi" w:hAnsiTheme="majorHAnsi"/>
          <w:szCs w:val="22"/>
        </w:rPr>
        <w:t>a </w:t>
      </w:r>
      <w:r w:rsidRPr="00A11FE0">
        <w:rPr>
          <w:rFonts w:asciiTheme="majorHAnsi" w:hAnsiTheme="majorHAnsi"/>
          <w:szCs w:val="22"/>
        </w:rPr>
        <w:t xml:space="preserve">umožňuje zlepšiť podmienky zosúladenia pracovného </w:t>
      </w:r>
      <w:r w:rsidR="00BD5FD5">
        <w:rPr>
          <w:rFonts w:asciiTheme="majorHAnsi" w:hAnsiTheme="majorHAnsi"/>
          <w:szCs w:val="22"/>
        </w:rPr>
        <w:t>a</w:t>
      </w:r>
      <w:r w:rsidRPr="00A11FE0">
        <w:rPr>
          <w:rFonts w:asciiTheme="majorHAnsi" w:hAnsiTheme="majorHAnsi"/>
          <w:szCs w:val="22"/>
        </w:rPr>
        <w:t> osobného života rodičov maloletých detí.</w:t>
      </w:r>
    </w:p>
    <w:p w:rsidR="00100534" w:rsidRDefault="00100534" w:rsidP="00C54C59">
      <w:pPr>
        <w:pStyle w:val="Nadpis5"/>
        <w:numPr>
          <w:ilvl w:val="4"/>
          <w:numId w:val="2"/>
        </w:numPr>
        <w:ind w:left="1292"/>
      </w:pPr>
      <w:r>
        <w:t>Rodová segregácia a nerovnosť trhu práce</w:t>
      </w:r>
    </w:p>
    <w:p w:rsidR="00100534" w:rsidRPr="00100534" w:rsidRDefault="00100534" w:rsidP="00100534">
      <w:pPr>
        <w:pStyle w:val="Odsekzoznamu"/>
        <w:ind w:left="0"/>
        <w:rPr>
          <w:rFonts w:asciiTheme="majorHAnsi" w:hAnsiTheme="majorHAnsi"/>
        </w:rPr>
      </w:pPr>
      <w:r w:rsidRPr="00100534">
        <w:rPr>
          <w:rFonts w:asciiTheme="majorHAnsi" w:hAnsiTheme="majorHAnsi"/>
        </w:rPr>
        <w:t>Trh práce v SR patrí medzi rodovo</w:t>
      </w:r>
      <w:r w:rsidRPr="00100534">
        <w:rPr>
          <w:rFonts w:asciiTheme="majorHAnsi" w:hAnsiTheme="majorHAnsi"/>
          <w:b/>
        </w:rPr>
        <w:t xml:space="preserve"> </w:t>
      </w:r>
      <w:r w:rsidRPr="00100534">
        <w:rPr>
          <w:rFonts w:asciiTheme="majorHAnsi" w:hAnsiTheme="majorHAnsi"/>
        </w:rPr>
        <w:t>najsegregovanejšie trhy práce v Európe, t. j. ženy, napriek zvyšujúcemu sa podielu vo vedúcich a manažérskych pozíciách (31 % v roku 2011)</w:t>
      </w:r>
      <w:r w:rsidRPr="00A11FE0">
        <w:rPr>
          <w:vertAlign w:val="superscript"/>
        </w:rPr>
        <w:footnoteReference w:id="117"/>
      </w:r>
      <w:r w:rsidRPr="00100534">
        <w:rPr>
          <w:rFonts w:asciiTheme="majorHAnsi" w:hAnsiTheme="majorHAnsi"/>
        </w:rPr>
        <w:t>, pracujú výrazne častejšie na nižších pozíciách v porovnaní s mužmi. Stereotypné predstavy a predsudky o „práci vhodnej pre ženy“ sa odrážajú aj pri výbere študijných odborov, ako aj zamestnania. Takéto stereotypy sú najmarkantnejšie v podnikateľskej sfére, kde na jednu podnikateľku pripadajú traja muži – podnikatelia, alebo v oblastiach ako zdravotníctvo, sociálne služby a</w:t>
      </w:r>
      <w:r w:rsidR="00B27B8B">
        <w:rPr>
          <w:rFonts w:asciiTheme="majorHAnsi" w:hAnsiTheme="majorHAnsi"/>
        </w:rPr>
        <w:t> </w:t>
      </w:r>
      <w:r w:rsidRPr="00100534">
        <w:rPr>
          <w:rFonts w:asciiTheme="majorHAnsi" w:hAnsiTheme="majorHAnsi"/>
        </w:rPr>
        <w:t>školstvo</w:t>
      </w:r>
      <w:r w:rsidR="00B27B8B">
        <w:rPr>
          <w:rFonts w:asciiTheme="majorHAnsi" w:hAnsiTheme="majorHAnsi"/>
        </w:rPr>
        <w:t>, kde</w:t>
      </w:r>
      <w:r w:rsidRPr="00100534">
        <w:rPr>
          <w:rFonts w:asciiTheme="majorHAnsi" w:hAnsiTheme="majorHAnsi"/>
        </w:rPr>
        <w:t xml:space="preserve"> </w:t>
      </w:r>
      <w:r w:rsidR="00B27B8B" w:rsidRPr="00100534">
        <w:rPr>
          <w:rFonts w:asciiTheme="majorHAnsi" w:hAnsiTheme="majorHAnsi"/>
        </w:rPr>
        <w:t xml:space="preserve">ženy </w:t>
      </w:r>
      <w:r w:rsidRPr="00100534">
        <w:rPr>
          <w:rFonts w:asciiTheme="majorHAnsi" w:hAnsiTheme="majorHAnsi"/>
        </w:rPr>
        <w:t xml:space="preserve">tvoria až 80 % pracovnej sily, v sektore verejnej správy </w:t>
      </w:r>
      <w:r w:rsidR="00B27B8B">
        <w:rPr>
          <w:rFonts w:asciiTheme="majorHAnsi" w:hAnsiTheme="majorHAnsi"/>
        </w:rPr>
        <w:t xml:space="preserve">až </w:t>
      </w:r>
      <w:r w:rsidRPr="00100534">
        <w:rPr>
          <w:rFonts w:asciiTheme="majorHAnsi" w:hAnsiTheme="majorHAnsi"/>
        </w:rPr>
        <w:t>70 %. S rodovou segregáciou úzko súvisí rodový príjmový rozdiel, ktorý je v SR dlhodobo nad priemerom EÚ27 (20,5 % oproti 16,2 % v EÚ27).</w:t>
      </w:r>
    </w:p>
    <w:p w:rsidR="00100534" w:rsidRDefault="00100534" w:rsidP="00100534">
      <w:pPr>
        <w:rPr>
          <w:rFonts w:asciiTheme="majorHAnsi" w:hAnsiTheme="majorHAnsi"/>
        </w:rPr>
      </w:pPr>
      <w:r w:rsidRPr="00100534">
        <w:rPr>
          <w:rFonts w:asciiTheme="majorHAnsi" w:hAnsiTheme="majorHAnsi"/>
        </w:rPr>
        <w:t xml:space="preserve">Pomerne nízku zamestnanosť žien (hlavne nad 45 rokov) ovplyvňujú regionálne rozdiely a málo pracovných miest na menšie úväzky. K týmto negatívam prispieva aj nedostatok služieb starostlivosti o deti </w:t>
      </w:r>
      <w:r w:rsidR="008E7522" w:rsidRPr="008E7522">
        <w:rPr>
          <w:rFonts w:asciiTheme="majorHAnsi" w:hAnsiTheme="majorHAnsi"/>
        </w:rPr>
        <w:t xml:space="preserve">do troch rokov veku </w:t>
      </w:r>
      <w:r w:rsidRPr="00100534">
        <w:rPr>
          <w:rFonts w:asciiTheme="majorHAnsi" w:hAnsiTheme="majorHAnsi"/>
        </w:rPr>
        <w:t xml:space="preserve">a zhoršujúca sa dostupnosť </w:t>
      </w:r>
      <w:r w:rsidR="00AB3B24">
        <w:rPr>
          <w:rFonts w:asciiTheme="majorHAnsi" w:hAnsiTheme="majorHAnsi"/>
        </w:rPr>
        <w:t>MŠ</w:t>
      </w:r>
      <w:r w:rsidRPr="00100534">
        <w:rPr>
          <w:rFonts w:asciiTheme="majorHAnsi" w:hAnsiTheme="majorHAnsi"/>
        </w:rPr>
        <w:t xml:space="preserve"> od roku 2006</w:t>
      </w:r>
      <w:r w:rsidRPr="00A11FE0">
        <w:rPr>
          <w:rStyle w:val="Odkaznapoznmkupodiarou"/>
          <w:rFonts w:asciiTheme="majorHAnsi" w:hAnsiTheme="majorHAnsi"/>
        </w:rPr>
        <w:footnoteReference w:id="118"/>
      </w:r>
      <w:r w:rsidRPr="00100534">
        <w:rPr>
          <w:rFonts w:asciiTheme="majorHAnsi" w:hAnsiTheme="majorHAnsi"/>
        </w:rPr>
        <w:t>, ktorá umocňuje dopady rodového rozmeru rodičovstva na zamestnanosť žien. Podpora služieb pre zosúladenie rodinného a pracovného života preto zostáva jednou z priorít pre možnosť lepšieho začlenenia žien na trh práce a kariérny postup.</w:t>
      </w:r>
    </w:p>
    <w:p w:rsidR="004C3F62" w:rsidRPr="003F0750" w:rsidRDefault="004C3F62" w:rsidP="0007687F">
      <w:pPr>
        <w:pStyle w:val="Nadpis5"/>
        <w:numPr>
          <w:ilvl w:val="4"/>
          <w:numId w:val="2"/>
        </w:numPr>
        <w:ind w:left="1292"/>
      </w:pPr>
      <w:r w:rsidRPr="003F0750">
        <w:t>Nedostatočné zhodnocovanie kultúrneho a prírodného dedičstva</w:t>
      </w:r>
    </w:p>
    <w:p w:rsidR="004C3F62" w:rsidRPr="003F0750" w:rsidRDefault="004C3F62" w:rsidP="004C3F62">
      <w:pPr>
        <w:rPr>
          <w:rFonts w:asciiTheme="majorHAnsi" w:hAnsiTheme="majorHAnsi"/>
        </w:rPr>
      </w:pPr>
      <w:r w:rsidRPr="00A11FE0">
        <w:rPr>
          <w:rFonts w:asciiTheme="majorHAnsi" w:hAnsiTheme="majorHAnsi"/>
        </w:rPr>
        <w:t>Ochranu a rozvoj kultúrneho a prírodného dedičstva je SR povinná plniť podľa záväzkov z členstva v medzinárodných organizáciách</w:t>
      </w:r>
      <w:r w:rsidR="00B27B8B">
        <w:rPr>
          <w:rFonts w:asciiTheme="majorHAnsi" w:hAnsiTheme="majorHAnsi"/>
        </w:rPr>
        <w:t>,</w:t>
      </w:r>
      <w:r w:rsidRPr="00A11FE0">
        <w:rPr>
          <w:rFonts w:asciiTheme="majorHAnsi" w:hAnsiTheme="majorHAnsi"/>
        </w:rPr>
        <w:t xml:space="preserve"> ako UNESCO</w:t>
      </w:r>
      <w:r w:rsidRPr="00A11FE0">
        <w:rPr>
          <w:rFonts w:asciiTheme="majorHAnsi" w:hAnsiTheme="majorHAnsi"/>
          <w:vertAlign w:val="superscript"/>
        </w:rPr>
        <w:footnoteReference w:id="119"/>
      </w:r>
      <w:r w:rsidRPr="00A11FE0">
        <w:rPr>
          <w:rFonts w:asciiTheme="majorHAnsi" w:hAnsiTheme="majorHAnsi"/>
        </w:rPr>
        <w:t>, ICOMOS</w:t>
      </w:r>
      <w:r w:rsidRPr="00A11FE0">
        <w:rPr>
          <w:rFonts w:asciiTheme="majorHAnsi" w:hAnsiTheme="majorHAnsi"/>
          <w:vertAlign w:val="superscript"/>
        </w:rPr>
        <w:footnoteReference w:id="120"/>
      </w:r>
      <w:r w:rsidRPr="00A11FE0">
        <w:rPr>
          <w:rFonts w:asciiTheme="majorHAnsi" w:hAnsiTheme="majorHAnsi"/>
        </w:rPr>
        <w:t xml:space="preserve">, Rada </w:t>
      </w:r>
      <w:r>
        <w:rPr>
          <w:rFonts w:asciiTheme="majorHAnsi" w:hAnsiTheme="majorHAnsi"/>
        </w:rPr>
        <w:t>Eur</w:t>
      </w:r>
      <w:r w:rsidRPr="00A11FE0">
        <w:rPr>
          <w:rFonts w:asciiTheme="majorHAnsi" w:hAnsiTheme="majorHAnsi"/>
        </w:rPr>
        <w:t>ópy</w:t>
      </w:r>
      <w:r w:rsidRPr="00A11FE0">
        <w:rPr>
          <w:rFonts w:asciiTheme="majorHAnsi" w:hAnsiTheme="majorHAnsi"/>
          <w:vertAlign w:val="superscript"/>
        </w:rPr>
        <w:footnoteReference w:id="121"/>
      </w:r>
      <w:r w:rsidRPr="00A11FE0">
        <w:rPr>
          <w:rFonts w:asciiTheme="majorHAnsi" w:hAnsiTheme="majorHAnsi"/>
        </w:rPr>
        <w:t xml:space="preserve"> a podľa národnej Koncepcie ochrany pamiatkového fondu SR, na ktorú však nemá dostatok finančných prostriedkov. </w:t>
      </w:r>
      <w:r>
        <w:rPr>
          <w:rFonts w:asciiTheme="majorHAnsi" w:hAnsiTheme="majorHAnsi"/>
        </w:rPr>
        <w:t xml:space="preserve">Na Slovensku majú </w:t>
      </w:r>
      <w:r w:rsidRPr="00A11FE0">
        <w:rPr>
          <w:rFonts w:asciiTheme="majorHAnsi" w:hAnsiTheme="majorHAnsi"/>
        </w:rPr>
        <w:t>osobitné postavenie historické štruktúry a</w:t>
      </w:r>
      <w:r w:rsidR="00113E3E">
        <w:rPr>
          <w:rFonts w:asciiTheme="majorHAnsi" w:hAnsiTheme="majorHAnsi"/>
        </w:rPr>
        <w:t> </w:t>
      </w:r>
      <w:r w:rsidRPr="00A11FE0">
        <w:rPr>
          <w:rFonts w:asciiTheme="majorHAnsi" w:hAnsiTheme="majorHAnsi"/>
        </w:rPr>
        <w:t>objekty, najmä 18 mestských pamiatkových rezervácií, 10 pamiatkových rezervácií ľudovej architektúry, 86 pamiatkových zón, 70 pamiatkovo chránených parkov</w:t>
      </w:r>
      <w:r>
        <w:rPr>
          <w:rFonts w:asciiTheme="majorHAnsi" w:hAnsiTheme="majorHAnsi"/>
        </w:rPr>
        <w:t>,</w:t>
      </w:r>
      <w:r w:rsidRPr="00A11FE0">
        <w:rPr>
          <w:rFonts w:asciiTheme="majorHAnsi" w:hAnsiTheme="majorHAnsi"/>
        </w:rPr>
        <w:t xml:space="preserve"> 5 lokalít svetového kultúrneho dedičstva a</w:t>
      </w:r>
      <w:r>
        <w:rPr>
          <w:rFonts w:asciiTheme="majorHAnsi" w:hAnsiTheme="majorHAnsi"/>
        </w:rPr>
        <w:t> </w:t>
      </w:r>
      <w:r w:rsidRPr="00A11FE0">
        <w:rPr>
          <w:rFonts w:asciiTheme="majorHAnsi" w:hAnsiTheme="majorHAnsi"/>
        </w:rPr>
        <w:t xml:space="preserve">15 029 národných </w:t>
      </w:r>
      <w:r w:rsidRPr="00A11FE0">
        <w:rPr>
          <w:rFonts w:asciiTheme="majorHAnsi" w:hAnsiTheme="majorHAnsi"/>
        </w:rPr>
        <w:lastRenderedPageBreak/>
        <w:t>kultúrnych pamiatk</w:t>
      </w:r>
      <w:r>
        <w:rPr>
          <w:rFonts w:asciiTheme="majorHAnsi" w:hAnsiTheme="majorHAnsi"/>
        </w:rPr>
        <w:t>ových objektov</w:t>
      </w:r>
      <w:r>
        <w:rPr>
          <w:rStyle w:val="Odkaznapoznmkupodiarou"/>
          <w:rFonts w:asciiTheme="majorHAnsi" w:hAnsiTheme="majorHAnsi"/>
        </w:rPr>
        <w:footnoteReference w:id="122"/>
      </w:r>
      <w:r>
        <w:rPr>
          <w:rFonts w:asciiTheme="majorHAnsi" w:hAnsiTheme="majorHAnsi"/>
        </w:rPr>
        <w:t>. Z hľadiska vlastníckych vzťahov je</w:t>
      </w:r>
      <w:r w:rsidRPr="00A11FE0">
        <w:rPr>
          <w:rFonts w:asciiTheme="majorHAnsi" w:hAnsiTheme="majorHAnsi"/>
        </w:rPr>
        <w:t xml:space="preserve"> 5 185 (35 %) </w:t>
      </w:r>
      <w:r>
        <w:rPr>
          <w:rFonts w:asciiTheme="majorHAnsi" w:hAnsiTheme="majorHAnsi"/>
        </w:rPr>
        <w:t xml:space="preserve">pamiatkových objektov </w:t>
      </w:r>
      <w:r w:rsidRPr="00A11FE0">
        <w:rPr>
          <w:rFonts w:asciiTheme="majorHAnsi" w:hAnsiTheme="majorHAnsi"/>
        </w:rPr>
        <w:t>vo vlastníctve štátu, miest a obcí, 5 927 (39 %) je v</w:t>
      </w:r>
      <w:r>
        <w:rPr>
          <w:rFonts w:asciiTheme="majorHAnsi" w:hAnsiTheme="majorHAnsi"/>
        </w:rPr>
        <w:t> </w:t>
      </w:r>
      <w:r w:rsidRPr="00A11FE0">
        <w:rPr>
          <w:rFonts w:asciiTheme="majorHAnsi" w:hAnsiTheme="majorHAnsi"/>
        </w:rPr>
        <w:t>súkromnom vlastníctve a 3 917 (26 %) je majetk</w:t>
      </w:r>
      <w:r>
        <w:rPr>
          <w:rFonts w:asciiTheme="majorHAnsi" w:hAnsiTheme="majorHAnsi"/>
        </w:rPr>
        <w:t>om</w:t>
      </w:r>
      <w:r w:rsidRPr="00A11FE0">
        <w:rPr>
          <w:rFonts w:asciiTheme="majorHAnsi" w:hAnsiTheme="majorHAnsi"/>
        </w:rPr>
        <w:t xml:space="preserve"> cirkvi. Približne 30 % pamiatkových objektov je v súčasnosti v nevyhovujúcom stave</w:t>
      </w:r>
      <w:r w:rsidRPr="00A11FE0">
        <w:rPr>
          <w:rFonts w:asciiTheme="majorHAnsi" w:hAnsiTheme="majorHAnsi"/>
          <w:vertAlign w:val="superscript"/>
        </w:rPr>
        <w:footnoteReference w:id="123"/>
      </w:r>
      <w:r w:rsidRPr="00A11FE0">
        <w:rPr>
          <w:rFonts w:asciiTheme="majorHAnsi" w:hAnsiTheme="majorHAnsi"/>
        </w:rPr>
        <w:t>. Mnohé z týchto pamiatok nespĺňajú technologické štandardy pre vykonávanie základných kultúrnych a ekonomických funkcií. Hmotné a nehmotné kultúrne dedičstvo tvorí zdroj všetkých foriem umenia a je neoddeliteľnou súčasťou kultúrneho a</w:t>
      </w:r>
      <w:r>
        <w:rPr>
          <w:rFonts w:asciiTheme="majorHAnsi" w:hAnsiTheme="majorHAnsi"/>
        </w:rPr>
        <w:t> </w:t>
      </w:r>
      <w:r w:rsidRPr="00A11FE0">
        <w:rPr>
          <w:rFonts w:asciiTheme="majorHAnsi" w:hAnsiTheme="majorHAnsi"/>
        </w:rPr>
        <w:t>kreatívneho priemyslu. Ovplyvňuje kreativitu a</w:t>
      </w:r>
      <w:r>
        <w:rPr>
          <w:rFonts w:asciiTheme="majorHAnsi" w:hAnsiTheme="majorHAnsi"/>
        </w:rPr>
        <w:t> </w:t>
      </w:r>
      <w:r w:rsidRPr="00A11FE0">
        <w:rPr>
          <w:rFonts w:asciiTheme="majorHAnsi" w:hAnsiTheme="majorHAnsi"/>
        </w:rPr>
        <w:t>je pôvodom mnohých pamiatkových výrobkov a služieb.</w:t>
      </w:r>
      <w:r>
        <w:rPr>
          <w:rFonts w:asciiTheme="majorHAnsi" w:hAnsiTheme="majorHAnsi"/>
        </w:rPr>
        <w:t xml:space="preserve"> </w:t>
      </w:r>
      <w:r w:rsidRPr="003F0750">
        <w:rPr>
          <w:rFonts w:asciiTheme="majorHAnsi" w:hAnsiTheme="majorHAnsi"/>
        </w:rPr>
        <w:t xml:space="preserve">Ako najefektívnejšie podmienky pre kreativitu a inovácie sa ukazuje klastrový prístup. V mestských oblastiach sa nachádza množstvo nevyužitých, či nevhodne využívaných objektov (vrátane objektov kultúrneho dedičstva) a zároveň je tu vysoká koncentrácia organizácií a podnikov kultúrneho a kreatívneho sektora, ktoré majú potenciál  zvýšiť </w:t>
      </w:r>
      <w:r w:rsidR="00B27B8B">
        <w:rPr>
          <w:rFonts w:asciiTheme="majorHAnsi" w:hAnsiTheme="majorHAnsi"/>
        </w:rPr>
        <w:t xml:space="preserve">prostredníctvom </w:t>
      </w:r>
      <w:r w:rsidRPr="003F0750">
        <w:rPr>
          <w:rFonts w:asciiTheme="majorHAnsi" w:hAnsiTheme="majorHAnsi"/>
        </w:rPr>
        <w:t>produkci</w:t>
      </w:r>
      <w:r w:rsidR="00B27B8B">
        <w:rPr>
          <w:rFonts w:asciiTheme="majorHAnsi" w:hAnsiTheme="majorHAnsi"/>
        </w:rPr>
        <w:t>e</w:t>
      </w:r>
      <w:r w:rsidRPr="003F0750">
        <w:rPr>
          <w:rFonts w:asciiTheme="majorHAnsi" w:hAnsiTheme="majorHAnsi"/>
        </w:rPr>
        <w:t xml:space="preserve"> a spotreb</w:t>
      </w:r>
      <w:r w:rsidR="00B27B8B">
        <w:rPr>
          <w:rFonts w:asciiTheme="majorHAnsi" w:hAnsiTheme="majorHAnsi"/>
        </w:rPr>
        <w:t>y</w:t>
      </w:r>
      <w:r w:rsidRPr="003F0750">
        <w:rPr>
          <w:rFonts w:asciiTheme="majorHAnsi" w:hAnsiTheme="majorHAnsi"/>
        </w:rPr>
        <w:t xml:space="preserve"> inovatívnych produktov a</w:t>
      </w:r>
      <w:r w:rsidR="000919E5">
        <w:rPr>
          <w:rFonts w:asciiTheme="majorHAnsi" w:hAnsiTheme="majorHAnsi"/>
        </w:rPr>
        <w:t> </w:t>
      </w:r>
      <w:r w:rsidRPr="003F0750">
        <w:rPr>
          <w:rFonts w:asciiTheme="majorHAnsi" w:hAnsiTheme="majorHAnsi"/>
        </w:rPr>
        <w:t>služieb</w:t>
      </w:r>
      <w:r w:rsidR="000919E5">
        <w:rPr>
          <w:rFonts w:asciiTheme="majorHAnsi" w:hAnsiTheme="majorHAnsi"/>
        </w:rPr>
        <w:t xml:space="preserve"> regionálnu zamestnanosť</w:t>
      </w:r>
      <w:r w:rsidRPr="003F0750">
        <w:rPr>
          <w:rFonts w:asciiTheme="majorHAnsi" w:hAnsiTheme="majorHAnsi"/>
        </w:rPr>
        <w:t>.</w:t>
      </w:r>
    </w:p>
    <w:p w:rsidR="004D3937" w:rsidRPr="004D3937" w:rsidRDefault="004D3937" w:rsidP="00723936">
      <w:pPr>
        <w:pStyle w:val="Nadpis5"/>
        <w:numPr>
          <w:ilvl w:val="4"/>
          <w:numId w:val="2"/>
        </w:numPr>
        <w:ind w:left="1292"/>
      </w:pPr>
      <w:r w:rsidRPr="004D3937">
        <w:t>Nedostatočná diverzifikácia ekonomických aktivít na vidieku</w:t>
      </w:r>
    </w:p>
    <w:p w:rsidR="00130425" w:rsidRPr="004D3937" w:rsidRDefault="00130425" w:rsidP="00130425">
      <w:pPr>
        <w:autoSpaceDE w:val="0"/>
        <w:autoSpaceDN w:val="0"/>
        <w:adjustRightInd w:val="0"/>
        <w:spacing w:after="0"/>
        <w:rPr>
          <w:rFonts w:asciiTheme="majorHAnsi" w:hAnsiTheme="majorHAnsi"/>
          <w:szCs w:val="22"/>
        </w:rPr>
      </w:pPr>
      <w:r w:rsidRPr="004D3937">
        <w:rPr>
          <w:rFonts w:asciiTheme="majorHAnsi" w:hAnsiTheme="majorHAnsi"/>
          <w:szCs w:val="22"/>
        </w:rPr>
        <w:t>Podiel pracujúcich z</w:t>
      </w:r>
      <w:r>
        <w:rPr>
          <w:rFonts w:asciiTheme="majorHAnsi" w:hAnsiTheme="majorHAnsi"/>
          <w:szCs w:val="22"/>
        </w:rPr>
        <w:t> </w:t>
      </w:r>
      <w:r w:rsidRPr="004D3937">
        <w:rPr>
          <w:rFonts w:asciiTheme="majorHAnsi" w:hAnsiTheme="majorHAnsi"/>
          <w:szCs w:val="22"/>
        </w:rPr>
        <w:t>celkového</w:t>
      </w:r>
      <w:r>
        <w:rPr>
          <w:rFonts w:asciiTheme="majorHAnsi" w:hAnsiTheme="majorHAnsi"/>
          <w:szCs w:val="22"/>
        </w:rPr>
        <w:t xml:space="preserve"> </w:t>
      </w:r>
      <w:r w:rsidRPr="004D3937">
        <w:rPr>
          <w:rFonts w:asciiTheme="majorHAnsi" w:hAnsiTheme="majorHAnsi"/>
          <w:szCs w:val="22"/>
        </w:rPr>
        <w:t>počtu obyvateľov v</w:t>
      </w:r>
      <w:r>
        <w:rPr>
          <w:rFonts w:asciiTheme="majorHAnsi" w:hAnsiTheme="majorHAnsi"/>
          <w:szCs w:val="22"/>
        </w:rPr>
        <w:t> </w:t>
      </w:r>
      <w:r w:rsidRPr="004D3937">
        <w:rPr>
          <w:rFonts w:asciiTheme="majorHAnsi" w:hAnsiTheme="majorHAnsi"/>
          <w:szCs w:val="22"/>
        </w:rPr>
        <w:t>produktívnom</w:t>
      </w:r>
      <w:r>
        <w:rPr>
          <w:rFonts w:asciiTheme="majorHAnsi" w:hAnsiTheme="majorHAnsi"/>
          <w:szCs w:val="22"/>
        </w:rPr>
        <w:t xml:space="preserve"> </w:t>
      </w:r>
      <w:r w:rsidRPr="004D3937">
        <w:rPr>
          <w:rFonts w:asciiTheme="majorHAnsi" w:hAnsiTheme="majorHAnsi"/>
          <w:szCs w:val="22"/>
        </w:rPr>
        <w:t>veku príslušného regiónu (15-64 rokov) je vo vidieckych regiónoch podstatne nižší ako celoslovenský priemer.</w:t>
      </w:r>
      <w:r w:rsidR="004E2F85">
        <w:rPr>
          <w:rStyle w:val="Odkaznapoznmkupodiarou"/>
          <w:rFonts w:asciiTheme="majorHAnsi" w:hAnsiTheme="majorHAnsi"/>
          <w:szCs w:val="22"/>
        </w:rPr>
        <w:footnoteReference w:id="124"/>
      </w:r>
      <w:r w:rsidR="004E2F85" w:rsidRPr="004E2F85">
        <w:rPr>
          <w:rFonts w:asciiTheme="majorHAnsi" w:hAnsiTheme="majorHAnsi"/>
          <w:szCs w:val="22"/>
        </w:rPr>
        <w:t xml:space="preserve"> </w:t>
      </w:r>
      <w:r w:rsidR="004E2F85" w:rsidRPr="004D3937">
        <w:rPr>
          <w:rFonts w:asciiTheme="majorHAnsi" w:hAnsiTheme="majorHAnsi"/>
          <w:szCs w:val="22"/>
        </w:rPr>
        <w:t>Nižší podiel miery zamestnanosti vo vidieckych oblastiach vyplýva zo stále nedostatočnej ekonomickej infraštruktúry a</w:t>
      </w:r>
      <w:r w:rsidR="004E2F85">
        <w:rPr>
          <w:rFonts w:asciiTheme="majorHAnsi" w:hAnsiTheme="majorHAnsi"/>
          <w:szCs w:val="22"/>
        </w:rPr>
        <w:t> </w:t>
      </w:r>
      <w:r w:rsidR="004E2F85" w:rsidRPr="004D3937">
        <w:rPr>
          <w:rFonts w:asciiTheme="majorHAnsi" w:hAnsiTheme="majorHAnsi"/>
          <w:szCs w:val="22"/>
        </w:rPr>
        <w:t>nízkej</w:t>
      </w:r>
      <w:r w:rsidR="004E2F85">
        <w:rPr>
          <w:rFonts w:asciiTheme="majorHAnsi" w:hAnsiTheme="majorHAnsi"/>
          <w:szCs w:val="22"/>
        </w:rPr>
        <w:t xml:space="preserve"> </w:t>
      </w:r>
      <w:r w:rsidR="004E2F85" w:rsidRPr="004D3937">
        <w:rPr>
          <w:rFonts w:asciiTheme="majorHAnsi" w:hAnsiTheme="majorHAnsi"/>
          <w:szCs w:val="22"/>
        </w:rPr>
        <w:t>podnikateľskej hustoty vo vidieckych oblastiach. Zamestnanosť v</w:t>
      </w:r>
      <w:r w:rsidR="004E2F85">
        <w:rPr>
          <w:rFonts w:asciiTheme="majorHAnsi" w:hAnsiTheme="majorHAnsi"/>
          <w:szCs w:val="22"/>
        </w:rPr>
        <w:t> </w:t>
      </w:r>
      <w:r w:rsidR="004E2F85" w:rsidRPr="004D3937">
        <w:rPr>
          <w:rFonts w:asciiTheme="majorHAnsi" w:hAnsiTheme="majorHAnsi"/>
          <w:szCs w:val="22"/>
        </w:rPr>
        <w:t>terciárnom</w:t>
      </w:r>
      <w:r w:rsidR="004E2F85">
        <w:rPr>
          <w:rFonts w:asciiTheme="majorHAnsi" w:hAnsiTheme="majorHAnsi"/>
          <w:szCs w:val="22"/>
        </w:rPr>
        <w:t xml:space="preserve"> </w:t>
      </w:r>
      <w:r w:rsidR="004E2F85" w:rsidRPr="004D3937">
        <w:rPr>
          <w:rFonts w:asciiTheme="majorHAnsi" w:hAnsiTheme="majorHAnsi"/>
          <w:szCs w:val="22"/>
        </w:rPr>
        <w:t>sektore má na vidieku značný rastový potenciál.</w:t>
      </w:r>
    </w:p>
    <w:p w:rsidR="00130425" w:rsidRPr="004D3937" w:rsidRDefault="00130425" w:rsidP="00130425">
      <w:pPr>
        <w:autoSpaceDE w:val="0"/>
        <w:autoSpaceDN w:val="0"/>
        <w:adjustRightInd w:val="0"/>
        <w:spacing w:after="0"/>
        <w:rPr>
          <w:rFonts w:asciiTheme="majorHAnsi" w:hAnsiTheme="majorHAnsi"/>
          <w:szCs w:val="22"/>
        </w:rPr>
      </w:pPr>
      <w:r w:rsidRPr="004D3937">
        <w:rPr>
          <w:rFonts w:asciiTheme="majorHAnsi" w:hAnsiTheme="majorHAnsi"/>
          <w:szCs w:val="22"/>
        </w:rPr>
        <w:t>Miera nezamestnanosti vo vidieckych regiónoch bola v</w:t>
      </w:r>
      <w:r>
        <w:rPr>
          <w:rFonts w:asciiTheme="majorHAnsi" w:hAnsiTheme="majorHAnsi"/>
          <w:szCs w:val="22"/>
        </w:rPr>
        <w:t> </w:t>
      </w:r>
      <w:r w:rsidRPr="004D3937">
        <w:rPr>
          <w:rFonts w:asciiTheme="majorHAnsi" w:hAnsiTheme="majorHAnsi"/>
          <w:szCs w:val="22"/>
        </w:rPr>
        <w:t>r</w:t>
      </w:r>
      <w:r w:rsidR="00D4670D">
        <w:rPr>
          <w:rFonts w:asciiTheme="majorHAnsi" w:hAnsiTheme="majorHAnsi"/>
          <w:szCs w:val="22"/>
        </w:rPr>
        <w:t>oku</w:t>
      </w:r>
      <w:r w:rsidRPr="004D3937">
        <w:rPr>
          <w:rFonts w:asciiTheme="majorHAnsi" w:hAnsiTheme="majorHAnsi"/>
          <w:szCs w:val="22"/>
        </w:rPr>
        <w:t xml:space="preserve"> 2012 (17,8 %) vyššia</w:t>
      </w:r>
      <w:r w:rsidR="000919E5">
        <w:rPr>
          <w:rFonts w:asciiTheme="majorHAnsi" w:hAnsiTheme="majorHAnsi"/>
          <w:szCs w:val="22"/>
        </w:rPr>
        <w:t>,</w:t>
      </w:r>
      <w:r w:rsidRPr="004D3937">
        <w:rPr>
          <w:rFonts w:asciiTheme="majorHAnsi" w:hAnsiTheme="majorHAnsi"/>
          <w:szCs w:val="22"/>
        </w:rPr>
        <w:t xml:space="preserve"> ako </w:t>
      </w:r>
      <w:r>
        <w:rPr>
          <w:rFonts w:asciiTheme="majorHAnsi" w:hAnsiTheme="majorHAnsi"/>
          <w:szCs w:val="22"/>
        </w:rPr>
        <w:t xml:space="preserve">celková </w:t>
      </w:r>
      <w:r w:rsidRPr="004D3937">
        <w:rPr>
          <w:rFonts w:asciiTheme="majorHAnsi" w:hAnsiTheme="majorHAnsi"/>
          <w:szCs w:val="22"/>
        </w:rPr>
        <w:t>nezamestnanosť v</w:t>
      </w:r>
      <w:r>
        <w:rPr>
          <w:rFonts w:asciiTheme="majorHAnsi" w:hAnsiTheme="majorHAnsi"/>
          <w:szCs w:val="22"/>
        </w:rPr>
        <w:t> </w:t>
      </w:r>
      <w:r w:rsidRPr="004D3937">
        <w:rPr>
          <w:rFonts w:asciiTheme="majorHAnsi" w:hAnsiTheme="majorHAnsi"/>
          <w:szCs w:val="22"/>
        </w:rPr>
        <w:t>SR</w:t>
      </w:r>
      <w:r>
        <w:rPr>
          <w:rFonts w:asciiTheme="majorHAnsi" w:hAnsiTheme="majorHAnsi"/>
          <w:szCs w:val="22"/>
        </w:rPr>
        <w:t xml:space="preserve"> </w:t>
      </w:r>
      <w:r w:rsidRPr="004D3937">
        <w:rPr>
          <w:rFonts w:asciiTheme="majorHAnsi" w:hAnsiTheme="majorHAnsi"/>
          <w:szCs w:val="22"/>
        </w:rPr>
        <w:t>(14,0</w:t>
      </w:r>
      <w:r w:rsidR="00D4670D">
        <w:rPr>
          <w:rFonts w:asciiTheme="majorHAnsi" w:hAnsiTheme="majorHAnsi"/>
          <w:szCs w:val="22"/>
        </w:rPr>
        <w:t xml:space="preserve"> </w:t>
      </w:r>
      <w:r w:rsidRPr="004D3937">
        <w:rPr>
          <w:rFonts w:asciiTheme="majorHAnsi" w:hAnsiTheme="majorHAnsi"/>
          <w:szCs w:val="22"/>
        </w:rPr>
        <w:t>%). Hlavnými faktormi zvyšovania regionálnej polarizácie vidieckych regiónov boli štrukturálne ťažkosti veľkých, dominantných zamestnávateľských subjektov v</w:t>
      </w:r>
      <w:r>
        <w:rPr>
          <w:rFonts w:asciiTheme="majorHAnsi" w:hAnsiTheme="majorHAnsi"/>
          <w:szCs w:val="22"/>
        </w:rPr>
        <w:t> </w:t>
      </w:r>
      <w:r w:rsidRPr="004D3937">
        <w:rPr>
          <w:rFonts w:asciiTheme="majorHAnsi" w:hAnsiTheme="majorHAnsi"/>
          <w:szCs w:val="22"/>
        </w:rPr>
        <w:t>regióne, infraštrukturálna zaostalosť a</w:t>
      </w:r>
      <w:r>
        <w:rPr>
          <w:rFonts w:asciiTheme="majorHAnsi" w:hAnsiTheme="majorHAnsi"/>
          <w:szCs w:val="22"/>
        </w:rPr>
        <w:t> </w:t>
      </w:r>
      <w:r w:rsidRPr="004D3937">
        <w:rPr>
          <w:rFonts w:asciiTheme="majorHAnsi" w:hAnsiTheme="majorHAnsi"/>
          <w:szCs w:val="22"/>
        </w:rPr>
        <w:t xml:space="preserve">slabá integrácia </w:t>
      </w:r>
      <w:r>
        <w:rPr>
          <w:rFonts w:asciiTheme="majorHAnsi" w:hAnsiTheme="majorHAnsi"/>
          <w:szCs w:val="22"/>
        </w:rPr>
        <w:t>na</w:t>
      </w:r>
      <w:r w:rsidRPr="004D3937">
        <w:rPr>
          <w:rFonts w:asciiTheme="majorHAnsi" w:hAnsiTheme="majorHAnsi"/>
          <w:szCs w:val="22"/>
        </w:rPr>
        <w:t xml:space="preserve"> trh práce hendikepovaných a</w:t>
      </w:r>
      <w:r>
        <w:rPr>
          <w:rFonts w:asciiTheme="majorHAnsi" w:hAnsiTheme="majorHAnsi"/>
          <w:szCs w:val="22"/>
        </w:rPr>
        <w:t xml:space="preserve"> sociálne vylúčených </w:t>
      </w:r>
      <w:r w:rsidRPr="004D3937">
        <w:rPr>
          <w:rFonts w:asciiTheme="majorHAnsi" w:hAnsiTheme="majorHAnsi"/>
          <w:szCs w:val="22"/>
        </w:rPr>
        <w:t>skupí</w:t>
      </w:r>
      <w:r>
        <w:rPr>
          <w:rFonts w:asciiTheme="majorHAnsi" w:hAnsiTheme="majorHAnsi"/>
          <w:szCs w:val="22"/>
        </w:rPr>
        <w:t>n</w:t>
      </w:r>
      <w:r w:rsidRPr="004D3937">
        <w:rPr>
          <w:rFonts w:asciiTheme="majorHAnsi" w:hAnsiTheme="majorHAnsi"/>
          <w:szCs w:val="22"/>
        </w:rPr>
        <w:t>, ktoré sú väčšinou najviac zastúpené na vidieku. Špecifická miera nezamestnanosti mladých ľudí vo veku 15-24 rokov v</w:t>
      </w:r>
      <w:r>
        <w:rPr>
          <w:rFonts w:asciiTheme="majorHAnsi" w:hAnsiTheme="majorHAnsi"/>
          <w:szCs w:val="22"/>
        </w:rPr>
        <w:t> </w:t>
      </w:r>
      <w:r w:rsidRPr="004D3937">
        <w:rPr>
          <w:rFonts w:asciiTheme="majorHAnsi" w:hAnsiTheme="majorHAnsi"/>
          <w:szCs w:val="22"/>
        </w:rPr>
        <w:t>roku 2012 činila 34 % (na vidieku bola 39,1</w:t>
      </w:r>
      <w:r w:rsidR="00D4670D">
        <w:rPr>
          <w:rFonts w:asciiTheme="majorHAnsi" w:hAnsiTheme="majorHAnsi"/>
          <w:szCs w:val="22"/>
        </w:rPr>
        <w:t xml:space="preserve"> </w:t>
      </w:r>
      <w:r w:rsidRPr="004D3937">
        <w:rPr>
          <w:rFonts w:asciiTheme="majorHAnsi" w:hAnsiTheme="majorHAnsi"/>
          <w:szCs w:val="22"/>
        </w:rPr>
        <w:t>%).</w:t>
      </w:r>
    </w:p>
    <w:p w:rsidR="00130425" w:rsidRPr="00A11FE0" w:rsidRDefault="00130425" w:rsidP="00130425">
      <w:pPr>
        <w:autoSpaceDE w:val="0"/>
        <w:autoSpaceDN w:val="0"/>
        <w:adjustRightInd w:val="0"/>
        <w:spacing w:after="0"/>
        <w:rPr>
          <w:rFonts w:asciiTheme="majorHAnsi" w:hAnsiTheme="majorHAnsi"/>
          <w:szCs w:val="22"/>
        </w:rPr>
      </w:pPr>
      <w:r w:rsidRPr="004D3937">
        <w:rPr>
          <w:rFonts w:asciiTheme="majorHAnsi" w:hAnsiTheme="majorHAnsi"/>
          <w:szCs w:val="22"/>
        </w:rPr>
        <w:t xml:space="preserve">Oblasť </w:t>
      </w:r>
      <w:r w:rsidR="00507090">
        <w:rPr>
          <w:rFonts w:asciiTheme="majorHAnsi" w:hAnsiTheme="majorHAnsi"/>
          <w:szCs w:val="22"/>
        </w:rPr>
        <w:t>vytvárania</w:t>
      </w:r>
      <w:r w:rsidR="00507090" w:rsidRPr="004D3937">
        <w:rPr>
          <w:rFonts w:asciiTheme="majorHAnsi" w:hAnsiTheme="majorHAnsi"/>
          <w:szCs w:val="22"/>
        </w:rPr>
        <w:t xml:space="preserve"> </w:t>
      </w:r>
      <w:r w:rsidRPr="004D3937">
        <w:rPr>
          <w:rFonts w:asciiTheme="majorHAnsi" w:hAnsiTheme="majorHAnsi"/>
          <w:szCs w:val="22"/>
        </w:rPr>
        <w:t>pracovných miest</w:t>
      </w:r>
      <w:r>
        <w:rPr>
          <w:rFonts w:asciiTheme="majorHAnsi" w:hAnsiTheme="majorHAnsi"/>
          <w:szCs w:val="22"/>
        </w:rPr>
        <w:t>,</w:t>
      </w:r>
      <w:r w:rsidRPr="004D3937">
        <w:rPr>
          <w:rFonts w:asciiTheme="majorHAnsi" w:hAnsiTheme="majorHAnsi"/>
          <w:szCs w:val="22"/>
        </w:rPr>
        <w:t xml:space="preserve"> ako </w:t>
      </w:r>
      <w:r w:rsidR="00507090" w:rsidRPr="004D3937">
        <w:rPr>
          <w:rFonts w:asciiTheme="majorHAnsi" w:hAnsiTheme="majorHAnsi"/>
          <w:szCs w:val="22"/>
        </w:rPr>
        <w:t>jed</w:t>
      </w:r>
      <w:r w:rsidR="00507090">
        <w:rPr>
          <w:rFonts w:asciiTheme="majorHAnsi" w:hAnsiTheme="majorHAnsi"/>
          <w:szCs w:val="22"/>
        </w:rPr>
        <w:t>en</w:t>
      </w:r>
      <w:r w:rsidR="00507090" w:rsidRPr="004D3937">
        <w:rPr>
          <w:rFonts w:asciiTheme="majorHAnsi" w:hAnsiTheme="majorHAnsi"/>
          <w:szCs w:val="22"/>
        </w:rPr>
        <w:t xml:space="preserve"> </w:t>
      </w:r>
      <w:r w:rsidRPr="004D3937">
        <w:rPr>
          <w:rFonts w:asciiTheme="majorHAnsi" w:hAnsiTheme="majorHAnsi"/>
          <w:szCs w:val="22"/>
        </w:rPr>
        <w:t>z</w:t>
      </w:r>
      <w:r>
        <w:rPr>
          <w:rFonts w:asciiTheme="majorHAnsi" w:hAnsiTheme="majorHAnsi"/>
          <w:szCs w:val="22"/>
        </w:rPr>
        <w:t> </w:t>
      </w:r>
      <w:r w:rsidRPr="004D3937">
        <w:rPr>
          <w:rFonts w:asciiTheme="majorHAnsi" w:hAnsiTheme="majorHAnsi"/>
          <w:szCs w:val="22"/>
        </w:rPr>
        <w:t xml:space="preserve">hlavných cieľov </w:t>
      </w:r>
      <w:r w:rsidR="00992CAB">
        <w:rPr>
          <w:rFonts w:asciiTheme="majorHAnsi" w:hAnsiTheme="majorHAnsi"/>
          <w:szCs w:val="22"/>
        </w:rPr>
        <w:t>PRV</w:t>
      </w:r>
      <w:r>
        <w:rPr>
          <w:rFonts w:asciiTheme="majorHAnsi" w:hAnsiTheme="majorHAnsi"/>
          <w:szCs w:val="22"/>
        </w:rPr>
        <w:t>,</w:t>
      </w:r>
      <w:r w:rsidRPr="004D3937">
        <w:rPr>
          <w:rFonts w:asciiTheme="majorHAnsi" w:hAnsiTheme="majorHAnsi"/>
          <w:szCs w:val="22"/>
        </w:rPr>
        <w:t xml:space="preserve"> je prioritne riešená </w:t>
      </w:r>
      <w:r w:rsidR="00507090" w:rsidRPr="00507090">
        <w:rPr>
          <w:rFonts w:asciiTheme="majorHAnsi" w:hAnsiTheme="majorHAnsi"/>
          <w:szCs w:val="22"/>
        </w:rPr>
        <w:t>prostredníctvom podpory tvorby a</w:t>
      </w:r>
      <w:r w:rsidR="00113E3E">
        <w:rPr>
          <w:rFonts w:asciiTheme="majorHAnsi" w:hAnsiTheme="majorHAnsi"/>
          <w:szCs w:val="22"/>
        </w:rPr>
        <w:t> </w:t>
      </w:r>
      <w:r w:rsidR="00507090" w:rsidRPr="00507090">
        <w:rPr>
          <w:rFonts w:asciiTheme="majorHAnsi" w:hAnsiTheme="majorHAnsi"/>
          <w:szCs w:val="22"/>
        </w:rPr>
        <w:t>rozvoja nepoľnohospodárskych činností, a</w:t>
      </w:r>
      <w:r w:rsidR="00113E3E">
        <w:rPr>
          <w:rFonts w:asciiTheme="majorHAnsi" w:hAnsiTheme="majorHAnsi"/>
          <w:szCs w:val="22"/>
        </w:rPr>
        <w:t> </w:t>
      </w:r>
      <w:r w:rsidR="00507090" w:rsidRPr="00507090">
        <w:rPr>
          <w:rFonts w:asciiTheme="majorHAnsi" w:hAnsiTheme="majorHAnsi"/>
          <w:szCs w:val="22"/>
        </w:rPr>
        <w:t xml:space="preserve">to najmä poskytovaním </w:t>
      </w:r>
      <w:r w:rsidRPr="004D3937">
        <w:rPr>
          <w:rFonts w:asciiTheme="majorHAnsi" w:hAnsiTheme="majorHAnsi"/>
          <w:szCs w:val="22"/>
        </w:rPr>
        <w:t>služieb a</w:t>
      </w:r>
      <w:r>
        <w:rPr>
          <w:rFonts w:asciiTheme="majorHAnsi" w:hAnsiTheme="majorHAnsi"/>
          <w:szCs w:val="22"/>
        </w:rPr>
        <w:t> </w:t>
      </w:r>
      <w:r w:rsidR="00507090">
        <w:rPr>
          <w:rFonts w:asciiTheme="majorHAnsi" w:hAnsiTheme="majorHAnsi"/>
          <w:szCs w:val="22"/>
        </w:rPr>
        <w:t xml:space="preserve">spracovaním </w:t>
      </w:r>
      <w:r w:rsidRPr="004D3937">
        <w:rPr>
          <w:rFonts w:asciiTheme="majorHAnsi" w:hAnsiTheme="majorHAnsi"/>
          <w:szCs w:val="22"/>
        </w:rPr>
        <w:t>produktov nepoľnohospodárskeho charakteru,</w:t>
      </w:r>
      <w:r w:rsidR="00507090">
        <w:rPr>
          <w:rFonts w:asciiTheme="majorHAnsi" w:hAnsiTheme="majorHAnsi"/>
          <w:szCs w:val="22"/>
        </w:rPr>
        <w:t xml:space="preserve"> podporou relaxačných a rekreačných aktivít na vidieku, čím by </w:t>
      </w:r>
      <w:r w:rsidRPr="004D3937">
        <w:rPr>
          <w:rFonts w:asciiTheme="majorHAnsi" w:hAnsiTheme="majorHAnsi"/>
          <w:szCs w:val="22"/>
        </w:rPr>
        <w:t>malo dôjsť k</w:t>
      </w:r>
      <w:r>
        <w:rPr>
          <w:rFonts w:asciiTheme="majorHAnsi" w:hAnsiTheme="majorHAnsi"/>
          <w:szCs w:val="22"/>
        </w:rPr>
        <w:t> </w:t>
      </w:r>
      <w:r w:rsidRPr="004D3937">
        <w:rPr>
          <w:rFonts w:asciiTheme="majorHAnsi" w:hAnsiTheme="majorHAnsi"/>
          <w:szCs w:val="22"/>
        </w:rPr>
        <w:t>stabilizácii a</w:t>
      </w:r>
      <w:r>
        <w:rPr>
          <w:rFonts w:asciiTheme="majorHAnsi" w:hAnsiTheme="majorHAnsi"/>
          <w:szCs w:val="22"/>
        </w:rPr>
        <w:t> </w:t>
      </w:r>
      <w:r w:rsidRPr="004D3937">
        <w:rPr>
          <w:rFonts w:asciiTheme="majorHAnsi" w:hAnsiTheme="majorHAnsi"/>
          <w:szCs w:val="22"/>
        </w:rPr>
        <w:t>posilneniu vidieckej ekonomiky a</w:t>
      </w:r>
      <w:r>
        <w:rPr>
          <w:rFonts w:asciiTheme="majorHAnsi" w:hAnsiTheme="majorHAnsi"/>
          <w:szCs w:val="22"/>
        </w:rPr>
        <w:t> </w:t>
      </w:r>
      <w:r w:rsidRPr="004D3937">
        <w:rPr>
          <w:rFonts w:asciiTheme="majorHAnsi" w:hAnsiTheme="majorHAnsi"/>
          <w:szCs w:val="22"/>
        </w:rPr>
        <w:t>generovaniu nových pracovných miest.</w:t>
      </w:r>
      <w:r w:rsidR="00507090">
        <w:rPr>
          <w:rFonts w:asciiTheme="majorHAnsi" w:hAnsiTheme="majorHAnsi"/>
          <w:szCs w:val="22"/>
        </w:rPr>
        <w:t xml:space="preserve"> </w:t>
      </w:r>
      <w:r w:rsidR="00507090" w:rsidRPr="00507090">
        <w:rPr>
          <w:rFonts w:asciiTheme="majorHAnsi" w:hAnsiTheme="majorHAnsi"/>
          <w:szCs w:val="22"/>
        </w:rPr>
        <w:t>V</w:t>
      </w:r>
      <w:r w:rsidR="00113E3E">
        <w:rPr>
          <w:rFonts w:asciiTheme="majorHAnsi" w:hAnsiTheme="majorHAnsi"/>
          <w:szCs w:val="22"/>
        </w:rPr>
        <w:t> </w:t>
      </w:r>
      <w:r w:rsidR="00507090" w:rsidRPr="00507090">
        <w:rPr>
          <w:rFonts w:asciiTheme="majorHAnsi" w:hAnsiTheme="majorHAnsi"/>
          <w:szCs w:val="22"/>
        </w:rPr>
        <w:t xml:space="preserve">programovom období 2007 </w:t>
      </w:r>
      <w:r w:rsidR="007C7BFF">
        <w:rPr>
          <w:rFonts w:asciiTheme="majorHAnsi" w:hAnsiTheme="majorHAnsi"/>
          <w:szCs w:val="22"/>
        </w:rPr>
        <w:t>–</w:t>
      </w:r>
      <w:r w:rsidR="00507090" w:rsidRPr="00507090">
        <w:rPr>
          <w:rFonts w:asciiTheme="majorHAnsi" w:hAnsiTheme="majorHAnsi"/>
          <w:szCs w:val="22"/>
        </w:rPr>
        <w:t xml:space="preserve"> 2013</w:t>
      </w:r>
      <w:r w:rsidR="007C7BFF">
        <w:rPr>
          <w:rFonts w:asciiTheme="majorHAnsi" w:hAnsiTheme="majorHAnsi"/>
          <w:szCs w:val="22"/>
        </w:rPr>
        <w:t xml:space="preserve"> </w:t>
      </w:r>
      <w:r w:rsidR="00507090" w:rsidRPr="00507090">
        <w:rPr>
          <w:rFonts w:asciiTheme="majorHAnsi" w:hAnsiTheme="majorHAnsi"/>
          <w:szCs w:val="22"/>
        </w:rPr>
        <w:t>bolo prostredníctvom rozvoja nepoľnohospodárskych činností vytvorených približne 270 hrubých pracovných miest a</w:t>
      </w:r>
      <w:r w:rsidR="00113E3E">
        <w:rPr>
          <w:rFonts w:asciiTheme="majorHAnsi" w:hAnsiTheme="majorHAnsi"/>
          <w:szCs w:val="22"/>
        </w:rPr>
        <w:t> </w:t>
      </w:r>
      <w:r w:rsidR="00507090" w:rsidRPr="00507090">
        <w:rPr>
          <w:rFonts w:asciiTheme="majorHAnsi" w:hAnsiTheme="majorHAnsi"/>
          <w:szCs w:val="22"/>
        </w:rPr>
        <w:t>taktiež podporená vidiecka ekonomika, najmä v</w:t>
      </w:r>
      <w:r w:rsidR="00113E3E">
        <w:rPr>
          <w:rFonts w:asciiTheme="majorHAnsi" w:hAnsiTheme="majorHAnsi"/>
          <w:szCs w:val="22"/>
        </w:rPr>
        <w:t> </w:t>
      </w:r>
      <w:r w:rsidR="00507090" w:rsidRPr="00507090">
        <w:rPr>
          <w:rFonts w:asciiTheme="majorHAnsi" w:hAnsiTheme="majorHAnsi"/>
          <w:szCs w:val="22"/>
        </w:rPr>
        <w:t>oblasti cestovného ruchu a</w:t>
      </w:r>
      <w:r w:rsidR="00113E3E">
        <w:rPr>
          <w:rFonts w:asciiTheme="majorHAnsi" w:hAnsiTheme="majorHAnsi"/>
          <w:szCs w:val="22"/>
        </w:rPr>
        <w:t> </w:t>
      </w:r>
      <w:r w:rsidR="00507090" w:rsidRPr="00507090">
        <w:rPr>
          <w:rFonts w:asciiTheme="majorHAnsi" w:hAnsiTheme="majorHAnsi"/>
          <w:szCs w:val="22"/>
        </w:rPr>
        <w:t>bioplynových staníc</w:t>
      </w:r>
      <w:r w:rsidR="00507090">
        <w:rPr>
          <w:rFonts w:asciiTheme="majorHAnsi" w:hAnsiTheme="majorHAnsi"/>
          <w:szCs w:val="22"/>
        </w:rPr>
        <w:t>.</w:t>
      </w:r>
    </w:p>
    <w:p w:rsidR="00996677" w:rsidRPr="00AD4DD8" w:rsidRDefault="00996677" w:rsidP="00723936">
      <w:pPr>
        <w:pStyle w:val="Nadpis5"/>
        <w:numPr>
          <w:ilvl w:val="4"/>
          <w:numId w:val="2"/>
        </w:numPr>
        <w:ind w:left="1292"/>
      </w:pPr>
      <w:bookmarkStart w:id="187" w:name="_Toc372447916"/>
      <w:r w:rsidRPr="004D3937">
        <w:t xml:space="preserve">Územná </w:t>
      </w:r>
      <w:r w:rsidR="00BD5FD5" w:rsidRPr="004D3937">
        <w:t>k</w:t>
      </w:r>
      <w:r w:rsidRPr="004D3937">
        <w:t>oncentrácia</w:t>
      </w:r>
      <w:bookmarkEnd w:id="187"/>
    </w:p>
    <w:p w:rsidR="00143BC3" w:rsidRDefault="00996677" w:rsidP="00143BC3">
      <w:pPr>
        <w:rPr>
          <w:rFonts w:asciiTheme="majorHAnsi" w:hAnsiTheme="majorHAnsi"/>
          <w:noProof/>
          <w:szCs w:val="22"/>
        </w:rPr>
      </w:pPr>
      <w:r w:rsidRPr="00A11FE0">
        <w:rPr>
          <w:rFonts w:asciiTheme="majorHAnsi" w:hAnsiTheme="majorHAnsi"/>
          <w:szCs w:val="22"/>
        </w:rPr>
        <w:t xml:space="preserve">Z hľadiska lokalizácie </w:t>
      </w:r>
      <w:r w:rsidR="00BD5FD5">
        <w:rPr>
          <w:rFonts w:asciiTheme="majorHAnsi" w:hAnsiTheme="majorHAnsi"/>
          <w:szCs w:val="22"/>
        </w:rPr>
        <w:t>k</w:t>
      </w:r>
      <w:r w:rsidRPr="00A11FE0">
        <w:rPr>
          <w:rFonts w:asciiTheme="majorHAnsi" w:hAnsiTheme="majorHAnsi"/>
          <w:szCs w:val="22"/>
        </w:rPr>
        <w:t xml:space="preserve">ľúčových opatrení ESF zvýšiť mieru zamestnanosti prostredníctvom väčšej účasti mladých ľudí, </w:t>
      </w:r>
      <w:r w:rsidR="00BD5FD5">
        <w:rPr>
          <w:rFonts w:asciiTheme="majorHAnsi" w:hAnsiTheme="majorHAnsi"/>
          <w:szCs w:val="22"/>
        </w:rPr>
        <w:t>s</w:t>
      </w:r>
      <w:r w:rsidRPr="00A11FE0">
        <w:rPr>
          <w:rFonts w:asciiTheme="majorHAnsi" w:hAnsiTheme="majorHAnsi"/>
          <w:szCs w:val="22"/>
        </w:rPr>
        <w:t xml:space="preserve">tarších </w:t>
      </w:r>
      <w:r w:rsidR="00BD5FD5">
        <w:rPr>
          <w:rFonts w:asciiTheme="majorHAnsi" w:hAnsiTheme="majorHAnsi"/>
          <w:szCs w:val="22"/>
        </w:rPr>
        <w:t>a </w:t>
      </w:r>
      <w:r w:rsidRPr="00A11FE0">
        <w:rPr>
          <w:rFonts w:asciiTheme="majorHAnsi" w:hAnsiTheme="majorHAnsi"/>
          <w:szCs w:val="22"/>
        </w:rPr>
        <w:t xml:space="preserve">nízkokvalifikovaných </w:t>
      </w:r>
      <w:r w:rsidR="0096574B">
        <w:rPr>
          <w:rFonts w:asciiTheme="majorHAnsi" w:hAnsiTheme="majorHAnsi"/>
          <w:szCs w:val="22"/>
        </w:rPr>
        <w:t>osôb</w:t>
      </w:r>
      <w:r w:rsidR="000919E5">
        <w:rPr>
          <w:rFonts w:asciiTheme="majorHAnsi" w:hAnsiTheme="majorHAnsi"/>
          <w:szCs w:val="22"/>
        </w:rPr>
        <w:t>. V</w:t>
      </w:r>
      <w:r w:rsidRPr="00A11FE0">
        <w:rPr>
          <w:rFonts w:asciiTheme="majorHAnsi" w:hAnsiTheme="majorHAnsi"/>
          <w:szCs w:val="22"/>
        </w:rPr>
        <w:t xml:space="preserve"> podmienkach </w:t>
      </w:r>
      <w:r w:rsidR="00BD5FD5">
        <w:rPr>
          <w:rFonts w:asciiTheme="majorHAnsi" w:hAnsiTheme="majorHAnsi"/>
          <w:szCs w:val="22"/>
        </w:rPr>
        <w:t>S</w:t>
      </w:r>
      <w:r w:rsidR="00770318" w:rsidRPr="00A11FE0">
        <w:rPr>
          <w:rFonts w:asciiTheme="majorHAnsi" w:hAnsiTheme="majorHAnsi"/>
          <w:szCs w:val="22"/>
        </w:rPr>
        <w:t>R</w:t>
      </w:r>
      <w:r w:rsidRPr="00A11FE0">
        <w:rPr>
          <w:rFonts w:asciiTheme="majorHAnsi" w:hAnsiTheme="majorHAnsi"/>
          <w:szCs w:val="22"/>
        </w:rPr>
        <w:t xml:space="preserve"> </w:t>
      </w:r>
      <w:r w:rsidR="000919E5">
        <w:rPr>
          <w:rFonts w:asciiTheme="majorHAnsi" w:hAnsiTheme="majorHAnsi"/>
          <w:szCs w:val="22"/>
        </w:rPr>
        <w:t xml:space="preserve">sa to </w:t>
      </w:r>
      <w:r w:rsidRPr="00A11FE0">
        <w:rPr>
          <w:rFonts w:asciiTheme="majorHAnsi" w:hAnsiTheme="majorHAnsi"/>
          <w:szCs w:val="22"/>
        </w:rPr>
        <w:t xml:space="preserve">prakticky </w:t>
      </w:r>
      <w:r w:rsidR="000919E5">
        <w:rPr>
          <w:rFonts w:asciiTheme="majorHAnsi" w:hAnsiTheme="majorHAnsi"/>
          <w:szCs w:val="22"/>
        </w:rPr>
        <w:t xml:space="preserve">dotýka </w:t>
      </w:r>
      <w:r w:rsidRPr="00A11FE0">
        <w:rPr>
          <w:rFonts w:asciiTheme="majorHAnsi" w:hAnsiTheme="majorHAnsi"/>
          <w:szCs w:val="22"/>
        </w:rPr>
        <w:t>celé</w:t>
      </w:r>
      <w:r w:rsidR="000919E5">
        <w:rPr>
          <w:rFonts w:asciiTheme="majorHAnsi" w:hAnsiTheme="majorHAnsi"/>
          <w:szCs w:val="22"/>
        </w:rPr>
        <w:t>ho</w:t>
      </w:r>
      <w:r w:rsidRPr="00A11FE0">
        <w:rPr>
          <w:rFonts w:asciiTheme="majorHAnsi" w:hAnsiTheme="majorHAnsi"/>
          <w:szCs w:val="22"/>
        </w:rPr>
        <w:t xml:space="preserve"> jej územi</w:t>
      </w:r>
      <w:r w:rsidR="000919E5">
        <w:rPr>
          <w:rFonts w:asciiTheme="majorHAnsi" w:hAnsiTheme="majorHAnsi"/>
          <w:szCs w:val="22"/>
        </w:rPr>
        <w:t>a</w:t>
      </w:r>
      <w:r w:rsidRPr="00A11FE0">
        <w:rPr>
          <w:rFonts w:asciiTheme="majorHAnsi" w:hAnsiTheme="majorHAnsi"/>
          <w:szCs w:val="22"/>
        </w:rPr>
        <w:t xml:space="preserve">. </w:t>
      </w:r>
      <w:r w:rsidR="008D729A" w:rsidRPr="00A11FE0">
        <w:rPr>
          <w:rFonts w:asciiTheme="majorHAnsi" w:hAnsiTheme="majorHAnsi"/>
          <w:noProof/>
          <w:szCs w:val="22"/>
        </w:rPr>
        <w:t xml:space="preserve">Najlepšie predpoklady pre </w:t>
      </w:r>
      <w:r w:rsidR="00BD5FD5">
        <w:rPr>
          <w:rFonts w:asciiTheme="majorHAnsi" w:hAnsiTheme="majorHAnsi"/>
          <w:noProof/>
          <w:szCs w:val="22"/>
        </w:rPr>
        <w:t>a</w:t>
      </w:r>
      <w:r w:rsidR="008D729A" w:rsidRPr="00A11FE0">
        <w:rPr>
          <w:rFonts w:asciiTheme="majorHAnsi" w:hAnsiTheme="majorHAnsi"/>
          <w:noProof/>
          <w:szCs w:val="22"/>
        </w:rPr>
        <w:t xml:space="preserve">bsorpciu podporovaných investícií </w:t>
      </w:r>
      <w:r w:rsidR="009628DA">
        <w:rPr>
          <w:rFonts w:asciiTheme="majorHAnsi" w:hAnsiTheme="majorHAnsi"/>
          <w:noProof/>
          <w:szCs w:val="22"/>
        </w:rPr>
        <w:t>majú</w:t>
      </w:r>
      <w:r w:rsidR="008D729A" w:rsidRPr="00A11FE0">
        <w:rPr>
          <w:rFonts w:asciiTheme="majorHAnsi" w:hAnsiTheme="majorHAnsi"/>
          <w:noProof/>
          <w:szCs w:val="22"/>
        </w:rPr>
        <w:t xml:space="preserve"> mestské funkčné územia, centrá osídlenia, územia ťažísk osídlenia </w:t>
      </w:r>
      <w:r w:rsidR="008E4297">
        <w:rPr>
          <w:rFonts w:asciiTheme="majorHAnsi" w:hAnsiTheme="majorHAnsi"/>
          <w:noProof/>
          <w:szCs w:val="22"/>
        </w:rPr>
        <w:t>1.</w:t>
      </w:r>
      <w:r w:rsidR="008E4297" w:rsidRPr="00A11FE0">
        <w:rPr>
          <w:rFonts w:asciiTheme="majorHAnsi" w:hAnsiTheme="majorHAnsi"/>
          <w:noProof/>
          <w:szCs w:val="22"/>
        </w:rPr>
        <w:t xml:space="preserve"> </w:t>
      </w:r>
      <w:r w:rsidR="00BD5FD5">
        <w:rPr>
          <w:rFonts w:asciiTheme="majorHAnsi" w:hAnsiTheme="majorHAnsi"/>
          <w:noProof/>
          <w:szCs w:val="22"/>
        </w:rPr>
        <w:t>a</w:t>
      </w:r>
      <w:r w:rsidR="008E4297">
        <w:rPr>
          <w:rFonts w:asciiTheme="majorHAnsi" w:hAnsiTheme="majorHAnsi"/>
          <w:noProof/>
          <w:szCs w:val="22"/>
        </w:rPr>
        <w:t> 2.</w:t>
      </w:r>
      <w:r w:rsidR="008E4297" w:rsidRPr="00A11FE0">
        <w:rPr>
          <w:rFonts w:asciiTheme="majorHAnsi" w:hAnsiTheme="majorHAnsi"/>
          <w:noProof/>
          <w:szCs w:val="22"/>
        </w:rPr>
        <w:t xml:space="preserve"> </w:t>
      </w:r>
      <w:r w:rsidR="008D729A" w:rsidRPr="00A11FE0">
        <w:rPr>
          <w:rFonts w:asciiTheme="majorHAnsi" w:hAnsiTheme="majorHAnsi"/>
          <w:noProof/>
          <w:szCs w:val="22"/>
        </w:rPr>
        <w:t xml:space="preserve">úrovne, </w:t>
      </w:r>
      <w:r w:rsidR="00BD5FD5">
        <w:rPr>
          <w:rFonts w:asciiTheme="majorHAnsi" w:hAnsiTheme="majorHAnsi"/>
          <w:noProof/>
          <w:szCs w:val="22"/>
        </w:rPr>
        <w:t>ak</w:t>
      </w:r>
      <w:r w:rsidR="008D729A" w:rsidRPr="00A11FE0">
        <w:rPr>
          <w:rFonts w:asciiTheme="majorHAnsi" w:hAnsiTheme="majorHAnsi"/>
          <w:noProof/>
          <w:szCs w:val="22"/>
        </w:rPr>
        <w:t xml:space="preserve">o </w:t>
      </w:r>
      <w:r w:rsidR="00BD5FD5">
        <w:rPr>
          <w:rFonts w:asciiTheme="majorHAnsi" w:hAnsiTheme="majorHAnsi"/>
          <w:noProof/>
          <w:szCs w:val="22"/>
        </w:rPr>
        <w:t>a</w:t>
      </w:r>
      <w:r w:rsidR="008D729A" w:rsidRPr="00A11FE0">
        <w:rPr>
          <w:rFonts w:asciiTheme="majorHAnsi" w:hAnsiTheme="majorHAnsi"/>
          <w:noProof/>
          <w:szCs w:val="22"/>
        </w:rPr>
        <w:t>j miestne centrá ležiace na rozvojových osiach.</w:t>
      </w:r>
      <w:r w:rsidR="00143BC3" w:rsidRPr="00143BC3">
        <w:rPr>
          <w:rFonts w:asciiTheme="majorHAnsi" w:hAnsiTheme="majorHAnsi"/>
          <w:szCs w:val="22"/>
        </w:rPr>
        <w:t xml:space="preserve"> </w:t>
      </w:r>
      <w:r w:rsidR="00143BC3">
        <w:rPr>
          <w:rFonts w:asciiTheme="majorHAnsi" w:hAnsiTheme="majorHAnsi"/>
          <w:szCs w:val="22"/>
        </w:rPr>
        <w:t xml:space="preserve">Opatrenia pre EFRR na </w:t>
      </w:r>
      <w:r w:rsidR="00143BC3">
        <w:rPr>
          <w:rFonts w:asciiTheme="majorHAnsi" w:hAnsiTheme="majorHAnsi"/>
          <w:noProof/>
          <w:szCs w:val="22"/>
        </w:rPr>
        <w:t>podporu obnovy kultúrnej infraštruktúry budú orientované predovšetkým do mestských funkčných území, centier osídlenia 1. a 2. skupiny.</w:t>
      </w:r>
      <w:r w:rsidR="00143BC3">
        <w:rPr>
          <w:rFonts w:asciiTheme="majorHAnsi" w:hAnsiTheme="majorHAnsi"/>
          <w:szCs w:val="22"/>
        </w:rPr>
        <w:t xml:space="preserve"> Opatrenia pre EFRR na </w:t>
      </w:r>
      <w:r w:rsidR="00143BC3">
        <w:rPr>
          <w:rFonts w:asciiTheme="majorHAnsi" w:hAnsiTheme="majorHAnsi"/>
          <w:noProof/>
          <w:szCs w:val="22"/>
        </w:rPr>
        <w:t>investície do diverzifikácie miestnych hospodárstiev prostredníctvom ochrany a zhodnocovania kultúrneho dedičstva a krajiny by sa mali orientovať predovšetkým do centier osídlenia, do území ťažísk osídlenia 1. a 2. úrovne a do centier územia ostatných obcí.</w:t>
      </w:r>
    </w:p>
    <w:p w:rsidR="007D717C" w:rsidRDefault="00BD5FD5" w:rsidP="00996677">
      <w:pPr>
        <w:rPr>
          <w:rFonts w:asciiTheme="majorHAnsi" w:hAnsiTheme="majorHAnsi"/>
          <w:noProof/>
          <w:szCs w:val="22"/>
        </w:rPr>
      </w:pPr>
      <w:r>
        <w:rPr>
          <w:rFonts w:asciiTheme="majorHAnsi" w:hAnsiTheme="majorHAnsi"/>
          <w:noProof/>
          <w:szCs w:val="22"/>
        </w:rPr>
        <w:t>K</w:t>
      </w:r>
      <w:r w:rsidR="008D729A" w:rsidRPr="00A11FE0">
        <w:rPr>
          <w:rFonts w:asciiTheme="majorHAnsi" w:hAnsiTheme="majorHAnsi"/>
          <w:szCs w:val="22"/>
        </w:rPr>
        <w:t xml:space="preserve">ľúčové opatrenia EPFRV </w:t>
      </w:r>
      <w:r>
        <w:rPr>
          <w:rFonts w:asciiTheme="majorHAnsi" w:hAnsiTheme="majorHAnsi"/>
          <w:szCs w:val="22"/>
        </w:rPr>
        <w:t>a </w:t>
      </w:r>
      <w:r w:rsidR="008D729A" w:rsidRPr="00A11FE0">
        <w:rPr>
          <w:rFonts w:asciiTheme="majorHAnsi" w:hAnsiTheme="majorHAnsi"/>
          <w:szCs w:val="22"/>
        </w:rPr>
        <w:t>ENR</w:t>
      </w:r>
      <w:r w:rsidR="005810C3" w:rsidRPr="00A11FE0">
        <w:rPr>
          <w:rFonts w:asciiTheme="majorHAnsi" w:hAnsiTheme="majorHAnsi"/>
          <w:szCs w:val="22"/>
        </w:rPr>
        <w:t>F</w:t>
      </w:r>
      <w:r w:rsidR="008D729A" w:rsidRPr="00A11FE0">
        <w:rPr>
          <w:rFonts w:asciiTheme="majorHAnsi" w:hAnsiTheme="majorHAnsi"/>
          <w:szCs w:val="22"/>
        </w:rPr>
        <w:t xml:space="preserve"> </w:t>
      </w:r>
      <w:r w:rsidR="008D729A" w:rsidRPr="00A11FE0">
        <w:rPr>
          <w:rFonts w:asciiTheme="majorHAnsi" w:hAnsiTheme="majorHAnsi"/>
          <w:noProof/>
          <w:szCs w:val="22"/>
        </w:rPr>
        <w:t xml:space="preserve">podporujúce tvorbu pracovných miest vo vidieckych oblastiach </w:t>
      </w:r>
      <w:r w:rsidR="009628DA">
        <w:rPr>
          <w:rFonts w:asciiTheme="majorHAnsi" w:hAnsiTheme="majorHAnsi"/>
          <w:noProof/>
          <w:szCs w:val="22"/>
        </w:rPr>
        <w:t xml:space="preserve">je vhodné </w:t>
      </w:r>
      <w:r w:rsidR="008D729A" w:rsidRPr="00A11FE0">
        <w:rPr>
          <w:rFonts w:asciiTheme="majorHAnsi" w:hAnsiTheme="majorHAnsi"/>
          <w:noProof/>
          <w:szCs w:val="22"/>
        </w:rPr>
        <w:t>lokalizovať do územia ostatných obcí.</w:t>
      </w:r>
    </w:p>
    <w:p w:rsidR="00406C25" w:rsidRPr="00A11FE0" w:rsidRDefault="00406C25" w:rsidP="00723936">
      <w:pPr>
        <w:pStyle w:val="Nadpis4"/>
        <w:numPr>
          <w:ilvl w:val="3"/>
          <w:numId w:val="2"/>
        </w:numPr>
      </w:pPr>
      <w:bookmarkStart w:id="188" w:name="_Toc373169702"/>
      <w:r w:rsidRPr="00A11FE0">
        <w:lastRenderedPageBreak/>
        <w:t>TC</w:t>
      </w:r>
      <w:r w:rsidR="00665324">
        <w:t xml:space="preserve"> </w:t>
      </w:r>
      <w:r w:rsidRPr="00A11FE0">
        <w:t xml:space="preserve">9: Podpora </w:t>
      </w:r>
      <w:r w:rsidR="00BD5FD5">
        <w:t>s</w:t>
      </w:r>
      <w:r w:rsidRPr="00A11FE0">
        <w:t>ociálneho začlenenia</w:t>
      </w:r>
      <w:r w:rsidR="00AE6CAE" w:rsidRPr="00A11FE0">
        <w:t xml:space="preserve">, </w:t>
      </w:r>
      <w:r w:rsidRPr="00A11FE0">
        <w:t>boj proti chudobe</w:t>
      </w:r>
      <w:bookmarkEnd w:id="188"/>
      <w:r w:rsidR="00AE6CAE" w:rsidRPr="00A11FE0">
        <w:t xml:space="preserve"> </w:t>
      </w:r>
      <w:r w:rsidR="00BD5FD5">
        <w:t>a ak</w:t>
      </w:r>
      <w:r w:rsidR="00AE6CAE" w:rsidRPr="00A11FE0">
        <w:t>ejkoľvek diskriminácii</w:t>
      </w:r>
    </w:p>
    <w:p w:rsidR="00406C25" w:rsidRPr="00A11FE0" w:rsidRDefault="00D61E43" w:rsidP="00406C25">
      <w:pPr>
        <w:autoSpaceDE w:val="0"/>
        <w:autoSpaceDN w:val="0"/>
        <w:adjustRightInd w:val="0"/>
        <w:spacing w:after="0"/>
        <w:rPr>
          <w:rFonts w:asciiTheme="majorHAnsi" w:hAnsiTheme="majorHAnsi"/>
          <w:szCs w:val="22"/>
        </w:rPr>
      </w:pPr>
      <w:r>
        <w:rPr>
          <w:noProof/>
          <w:lang w:eastAsia="sk-SK"/>
        </w:rPr>
        <mc:AlternateContent>
          <mc:Choice Requires="wpg">
            <w:drawing>
              <wp:anchor distT="0" distB="0" distL="114300" distR="114300" simplePos="0" relativeHeight="251754496" behindDoc="0" locked="0" layoutInCell="1" allowOverlap="1" wp14:anchorId="2D9DB31A" wp14:editId="15ECA817">
                <wp:simplePos x="0" y="0"/>
                <wp:positionH relativeFrom="column">
                  <wp:posOffset>2963545</wp:posOffset>
                </wp:positionH>
                <wp:positionV relativeFrom="paragraph">
                  <wp:posOffset>157480</wp:posOffset>
                </wp:positionV>
                <wp:extent cx="3185795" cy="2464435"/>
                <wp:effectExtent l="0" t="0" r="0" b="0"/>
                <wp:wrapSquare wrapText="bothSides"/>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5795" cy="2464435"/>
                          <a:chOff x="0" y="0"/>
                          <a:chExt cx="2550160" cy="2628900"/>
                        </a:xfrm>
                      </wpg:grpSpPr>
                      <pic:pic xmlns:pic="http://schemas.openxmlformats.org/drawingml/2006/picture">
                        <pic:nvPicPr>
                          <pic:cNvPr id="25" name="Picture 4"/>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Text Box 17"/>
                        <wps:cNvSpPr txBox="1">
                          <a:spLocks noChangeArrowheads="1"/>
                        </wps:cNvSpPr>
                        <wps:spPr bwMode="auto">
                          <a:xfrm>
                            <a:off x="35560" y="2057400"/>
                            <a:ext cx="2514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508" w:rsidRPr="00954EFE" w:rsidRDefault="00007508" w:rsidP="00406C25">
                              <w:pPr>
                                <w:spacing w:before="0" w:after="0"/>
                                <w:rPr>
                                  <w:sz w:val="12"/>
                                  <w:szCs w:val="12"/>
                                </w:rPr>
                              </w:pPr>
                              <w:r w:rsidRPr="00954EFE">
                                <w:rPr>
                                  <w:sz w:val="12"/>
                                  <w:szCs w:val="12"/>
                                </w:rPr>
                                <w:t xml:space="preserve">MRCHSV – miera rizika chudoby </w:t>
                              </w:r>
                              <w:r>
                                <w:rPr>
                                  <w:sz w:val="12"/>
                                  <w:szCs w:val="12"/>
                                </w:rPr>
                                <w:t>a</w:t>
                              </w:r>
                              <w:r w:rsidRPr="00954EFE">
                                <w:rPr>
                                  <w:sz w:val="12"/>
                                  <w:szCs w:val="12"/>
                                </w:rPr>
                                <w:t xml:space="preserve">lebo </w:t>
                              </w:r>
                              <w:r>
                                <w:rPr>
                                  <w:sz w:val="12"/>
                                  <w:szCs w:val="12"/>
                                </w:rPr>
                                <w:t>s</w:t>
                              </w:r>
                              <w:r w:rsidRPr="00954EFE">
                                <w:rPr>
                                  <w:sz w:val="12"/>
                                  <w:szCs w:val="12"/>
                                </w:rPr>
                                <w:t xml:space="preserve">ociálneho vylúčenia (po </w:t>
                              </w:r>
                              <w:r>
                                <w:rPr>
                                  <w:sz w:val="12"/>
                                  <w:szCs w:val="12"/>
                                </w:rPr>
                                <w:t>s</w:t>
                              </w:r>
                              <w:r w:rsidRPr="00954EFE">
                                <w:rPr>
                                  <w:sz w:val="12"/>
                                  <w:szCs w:val="12"/>
                                </w:rPr>
                                <w:t>ociálnych transferoch)</w:t>
                              </w:r>
                            </w:p>
                            <w:p w:rsidR="00007508" w:rsidRPr="00954EFE" w:rsidRDefault="00007508" w:rsidP="00406C25">
                              <w:pPr>
                                <w:spacing w:before="0" w:after="0"/>
                                <w:rPr>
                                  <w:sz w:val="12"/>
                                  <w:szCs w:val="12"/>
                                </w:rPr>
                              </w:pPr>
                              <w:r w:rsidRPr="00954EFE">
                                <w:rPr>
                                  <w:sz w:val="12"/>
                                  <w:szCs w:val="12"/>
                                </w:rPr>
                                <w:t xml:space="preserve">MRCH  – miera rizika chudoby (po </w:t>
                              </w:r>
                              <w:r>
                                <w:rPr>
                                  <w:sz w:val="12"/>
                                  <w:szCs w:val="12"/>
                                </w:rPr>
                                <w:t>s</w:t>
                              </w:r>
                              <w:r w:rsidRPr="00954EFE">
                                <w:rPr>
                                  <w:sz w:val="12"/>
                                  <w:szCs w:val="12"/>
                                </w:rPr>
                                <w:t>ociálnych transferoch)</w:t>
                              </w:r>
                            </w:p>
                            <w:p w:rsidR="00007508" w:rsidRPr="00954EFE" w:rsidRDefault="00007508" w:rsidP="00406C25">
                              <w:pPr>
                                <w:spacing w:before="0" w:after="0"/>
                                <w:rPr>
                                  <w:sz w:val="12"/>
                                  <w:szCs w:val="12"/>
                                </w:rPr>
                              </w:pPr>
                              <w:r>
                                <w:rPr>
                                  <w:sz w:val="12"/>
                                  <w:szCs w:val="12"/>
                                </w:rPr>
                                <w:t xml:space="preserve">ZMD </w:t>
                              </w:r>
                              <w:r w:rsidRPr="00954EFE">
                                <w:rPr>
                                  <w:sz w:val="12"/>
                                  <w:szCs w:val="12"/>
                                </w:rPr>
                                <w:t xml:space="preserve">– závažná materiálna deprivácia </w:t>
                              </w:r>
                            </w:p>
                            <w:p w:rsidR="00007508" w:rsidRPr="00954EFE" w:rsidRDefault="00007508" w:rsidP="00406C25">
                              <w:pPr>
                                <w:spacing w:before="0" w:after="0"/>
                                <w:rPr>
                                  <w:sz w:val="12"/>
                                  <w:szCs w:val="12"/>
                                </w:rPr>
                              </w:pPr>
                              <w:r>
                                <w:rPr>
                                  <w:sz w:val="12"/>
                                  <w:szCs w:val="12"/>
                                </w:rPr>
                                <w:t xml:space="preserve">VNPI </w:t>
                              </w:r>
                              <w:r w:rsidRPr="00954EFE">
                                <w:rPr>
                                  <w:sz w:val="12"/>
                                  <w:szCs w:val="12"/>
                                </w:rPr>
                                <w:t>– veľmi nízka pracovná intenzita</w:t>
                              </w:r>
                            </w:p>
                            <w:p w:rsidR="00007508" w:rsidRPr="00954EFE" w:rsidRDefault="00007508" w:rsidP="00406C25">
                              <w:pPr>
                                <w:rPr>
                                  <w:sz w:val="12"/>
                                  <w:szCs w:val="12"/>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33.35pt;margin-top:12.4pt;width:250.85pt;height:194.05pt;z-index:251754496;mso-width-relative:margin;mso-height-relative:margin" coordsize="25501,262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23812;height:20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vMNfEAAAA2wAAAA8AAABkcnMvZG93bnJldi54bWxEj0FrAjEUhO8F/0N4gpdSsy5YZGsUEYRW&#10;KKWrtNfn5rlZ3bwsSdTtv28KBY/DzDfDzJe9bcWVfGgcK5iMMxDEldMN1wr2u83TDESIyBpbx6Tg&#10;hwIsF4OHORba3fiTrmWsRSrhUKACE2NXSBkqQxbD2HXEyTs6bzEm6WupPd5SuW1lnmXP0mLDacFg&#10;R2tD1bm8WAX52/Zj+n06mNyW79vHr90q+E2t1GjYr15AROrjPfxPv+rETeHvS/oBc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vMNfEAAAA2wAAAA8AAAAAAAAAAAAAAAAA&#10;nwIAAGRycy9kb3ducmV2LnhtbFBLBQYAAAAABAAEAPcAAACQAwAAAAA=&#10;">
                  <v:imagedata r:id="rId30" o:title=""/>
                  <v:path arrowok="t"/>
                </v:shape>
                <v:shapetype id="_x0000_t202" coordsize="21600,21600" o:spt="202" path="m,l,21600r21600,l21600,xe">
                  <v:stroke joinstyle="miter"/>
                  <v:path gradientshapeok="t" o:connecttype="rect"/>
                </v:shapetype>
                <v:shape id="Text Box 17" o:spid="_x0000_s1028" type="#_x0000_t202" style="position:absolute;left:355;top:20574;width:2514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007508" w:rsidRPr="00954EFE" w:rsidRDefault="00007508" w:rsidP="00406C25">
                        <w:pPr>
                          <w:spacing w:before="0" w:after="0"/>
                          <w:rPr>
                            <w:sz w:val="12"/>
                            <w:szCs w:val="12"/>
                          </w:rPr>
                        </w:pPr>
                        <w:r w:rsidRPr="00954EFE">
                          <w:rPr>
                            <w:sz w:val="12"/>
                            <w:szCs w:val="12"/>
                          </w:rPr>
                          <w:t xml:space="preserve">MRCHSV – miera rizika chudoby </w:t>
                        </w:r>
                        <w:r>
                          <w:rPr>
                            <w:sz w:val="12"/>
                            <w:szCs w:val="12"/>
                          </w:rPr>
                          <w:t>a</w:t>
                        </w:r>
                        <w:r w:rsidRPr="00954EFE">
                          <w:rPr>
                            <w:sz w:val="12"/>
                            <w:szCs w:val="12"/>
                          </w:rPr>
                          <w:t xml:space="preserve">lebo </w:t>
                        </w:r>
                        <w:r>
                          <w:rPr>
                            <w:sz w:val="12"/>
                            <w:szCs w:val="12"/>
                          </w:rPr>
                          <w:t>s</w:t>
                        </w:r>
                        <w:r w:rsidRPr="00954EFE">
                          <w:rPr>
                            <w:sz w:val="12"/>
                            <w:szCs w:val="12"/>
                          </w:rPr>
                          <w:t xml:space="preserve">ociálneho vylúčenia (po </w:t>
                        </w:r>
                        <w:r>
                          <w:rPr>
                            <w:sz w:val="12"/>
                            <w:szCs w:val="12"/>
                          </w:rPr>
                          <w:t>s</w:t>
                        </w:r>
                        <w:r w:rsidRPr="00954EFE">
                          <w:rPr>
                            <w:sz w:val="12"/>
                            <w:szCs w:val="12"/>
                          </w:rPr>
                          <w:t>ociálnych transferoch)</w:t>
                        </w:r>
                      </w:p>
                      <w:p w:rsidR="00007508" w:rsidRPr="00954EFE" w:rsidRDefault="00007508" w:rsidP="00406C25">
                        <w:pPr>
                          <w:spacing w:before="0" w:after="0"/>
                          <w:rPr>
                            <w:sz w:val="12"/>
                            <w:szCs w:val="12"/>
                          </w:rPr>
                        </w:pPr>
                        <w:r w:rsidRPr="00954EFE">
                          <w:rPr>
                            <w:sz w:val="12"/>
                            <w:szCs w:val="12"/>
                          </w:rPr>
                          <w:t xml:space="preserve">MRCH  – miera rizika chudoby (po </w:t>
                        </w:r>
                        <w:r>
                          <w:rPr>
                            <w:sz w:val="12"/>
                            <w:szCs w:val="12"/>
                          </w:rPr>
                          <w:t>s</w:t>
                        </w:r>
                        <w:r w:rsidRPr="00954EFE">
                          <w:rPr>
                            <w:sz w:val="12"/>
                            <w:szCs w:val="12"/>
                          </w:rPr>
                          <w:t>ociálnych transferoch)</w:t>
                        </w:r>
                      </w:p>
                      <w:p w:rsidR="00007508" w:rsidRPr="00954EFE" w:rsidRDefault="00007508" w:rsidP="00406C25">
                        <w:pPr>
                          <w:spacing w:before="0" w:after="0"/>
                          <w:rPr>
                            <w:sz w:val="12"/>
                            <w:szCs w:val="12"/>
                          </w:rPr>
                        </w:pPr>
                        <w:r>
                          <w:rPr>
                            <w:sz w:val="12"/>
                            <w:szCs w:val="12"/>
                          </w:rPr>
                          <w:t xml:space="preserve">ZMD </w:t>
                        </w:r>
                        <w:r w:rsidRPr="00954EFE">
                          <w:rPr>
                            <w:sz w:val="12"/>
                            <w:szCs w:val="12"/>
                          </w:rPr>
                          <w:t xml:space="preserve">– závažná materiálna deprivácia </w:t>
                        </w:r>
                      </w:p>
                      <w:p w:rsidR="00007508" w:rsidRPr="00954EFE" w:rsidRDefault="00007508" w:rsidP="00406C25">
                        <w:pPr>
                          <w:spacing w:before="0" w:after="0"/>
                          <w:rPr>
                            <w:sz w:val="12"/>
                            <w:szCs w:val="12"/>
                          </w:rPr>
                        </w:pPr>
                        <w:r>
                          <w:rPr>
                            <w:sz w:val="12"/>
                            <w:szCs w:val="12"/>
                          </w:rPr>
                          <w:t xml:space="preserve">VNPI </w:t>
                        </w:r>
                        <w:r w:rsidRPr="00954EFE">
                          <w:rPr>
                            <w:sz w:val="12"/>
                            <w:szCs w:val="12"/>
                          </w:rPr>
                          <w:t>– veľmi nízka pracovná intenzita</w:t>
                        </w:r>
                      </w:p>
                      <w:p w:rsidR="00007508" w:rsidRPr="00954EFE" w:rsidRDefault="00007508" w:rsidP="00406C25">
                        <w:pPr>
                          <w:rPr>
                            <w:sz w:val="12"/>
                            <w:szCs w:val="12"/>
                          </w:rPr>
                        </w:pPr>
                      </w:p>
                    </w:txbxContent>
                  </v:textbox>
                </v:shape>
                <w10:wrap type="square"/>
              </v:group>
            </w:pict>
          </mc:Fallback>
        </mc:AlternateContent>
      </w:r>
      <w:r w:rsidR="00BD5FD5">
        <w:rPr>
          <w:rFonts w:asciiTheme="majorHAnsi" w:hAnsiTheme="majorHAnsi"/>
          <w:szCs w:val="22"/>
        </w:rPr>
        <w:t>S</w:t>
      </w:r>
      <w:r w:rsidR="00406C25" w:rsidRPr="00A11FE0">
        <w:rPr>
          <w:rFonts w:asciiTheme="majorHAnsi" w:hAnsiTheme="majorHAnsi"/>
          <w:szCs w:val="22"/>
        </w:rPr>
        <w:t xml:space="preserve">ociálne vylúčenie </w:t>
      </w:r>
      <w:r w:rsidR="0096574B">
        <w:rPr>
          <w:rFonts w:asciiTheme="majorHAnsi" w:hAnsiTheme="majorHAnsi"/>
          <w:szCs w:val="22"/>
        </w:rPr>
        <w:t xml:space="preserve">môže viesť </w:t>
      </w:r>
      <w:r w:rsidR="00BD5FD5">
        <w:rPr>
          <w:rFonts w:asciiTheme="majorHAnsi" w:hAnsiTheme="majorHAnsi"/>
          <w:szCs w:val="22"/>
        </w:rPr>
        <w:t>k</w:t>
      </w:r>
      <w:r w:rsidR="00406C25" w:rsidRPr="00A11FE0">
        <w:rPr>
          <w:rFonts w:asciiTheme="majorHAnsi" w:hAnsiTheme="majorHAnsi"/>
          <w:szCs w:val="22"/>
        </w:rPr>
        <w:t xml:space="preserve"> chudobe na úrovni jednotlivca </w:t>
      </w:r>
      <w:r w:rsidR="00BD5FD5">
        <w:rPr>
          <w:rFonts w:asciiTheme="majorHAnsi" w:hAnsiTheme="majorHAnsi"/>
          <w:szCs w:val="22"/>
        </w:rPr>
        <w:t>a </w:t>
      </w:r>
      <w:r w:rsidR="00406C25" w:rsidRPr="00A11FE0">
        <w:rPr>
          <w:rFonts w:asciiTheme="majorHAnsi" w:hAnsiTheme="majorHAnsi"/>
          <w:szCs w:val="22"/>
        </w:rPr>
        <w:t xml:space="preserve">rodiny, </w:t>
      </w:r>
      <w:r w:rsidR="00BD5FD5">
        <w:rPr>
          <w:rFonts w:asciiTheme="majorHAnsi" w:hAnsiTheme="majorHAnsi"/>
          <w:szCs w:val="22"/>
        </w:rPr>
        <w:t>a </w:t>
      </w:r>
      <w:r w:rsidR="00406C25" w:rsidRPr="00A11FE0">
        <w:rPr>
          <w:rFonts w:asciiTheme="majorHAnsi" w:hAnsiTheme="majorHAnsi"/>
          <w:szCs w:val="22"/>
        </w:rPr>
        <w:t xml:space="preserve">tiež predstavuje ekonomické </w:t>
      </w:r>
      <w:r w:rsidR="00BD5FD5">
        <w:rPr>
          <w:rFonts w:asciiTheme="majorHAnsi" w:hAnsiTheme="majorHAnsi"/>
          <w:szCs w:val="22"/>
        </w:rPr>
        <w:t>a </w:t>
      </w:r>
      <w:r w:rsidR="00406C25" w:rsidRPr="00A11FE0">
        <w:rPr>
          <w:rFonts w:asciiTheme="majorHAnsi" w:hAnsiTheme="majorHAnsi"/>
          <w:szCs w:val="22"/>
        </w:rPr>
        <w:t xml:space="preserve">finančné náklady pre </w:t>
      </w:r>
      <w:r w:rsidR="00BD5FD5">
        <w:rPr>
          <w:rFonts w:asciiTheme="majorHAnsi" w:hAnsiTheme="majorHAnsi"/>
          <w:szCs w:val="22"/>
        </w:rPr>
        <w:t>s</w:t>
      </w:r>
      <w:r w:rsidR="00406C25" w:rsidRPr="00A11FE0">
        <w:rPr>
          <w:rFonts w:asciiTheme="majorHAnsi" w:hAnsiTheme="majorHAnsi"/>
          <w:szCs w:val="22"/>
        </w:rPr>
        <w:t xml:space="preserve">poločnosť. Vysoká miera dlhodobej nezamestnanosti je trvalým problémom </w:t>
      </w:r>
      <w:r w:rsidR="00BD5FD5">
        <w:rPr>
          <w:rFonts w:asciiTheme="majorHAnsi" w:hAnsiTheme="majorHAnsi"/>
          <w:szCs w:val="22"/>
        </w:rPr>
        <w:t>s</w:t>
      </w:r>
      <w:r w:rsidR="00406C25" w:rsidRPr="00A11FE0">
        <w:rPr>
          <w:rFonts w:asciiTheme="majorHAnsi" w:hAnsiTheme="majorHAnsi"/>
          <w:szCs w:val="22"/>
        </w:rPr>
        <w:t xml:space="preserve">lovenskej </w:t>
      </w:r>
      <w:r w:rsidR="00BD5FD5">
        <w:rPr>
          <w:rFonts w:asciiTheme="majorHAnsi" w:hAnsiTheme="majorHAnsi"/>
          <w:szCs w:val="22"/>
        </w:rPr>
        <w:t>s</w:t>
      </w:r>
      <w:r w:rsidR="00406C25" w:rsidRPr="00A11FE0">
        <w:rPr>
          <w:rFonts w:asciiTheme="majorHAnsi" w:hAnsiTheme="majorHAnsi"/>
          <w:szCs w:val="22"/>
        </w:rPr>
        <w:t>poločnosti</w:t>
      </w:r>
      <w:r w:rsidR="007F23C8" w:rsidRPr="00A11FE0">
        <w:rPr>
          <w:rFonts w:asciiTheme="majorHAnsi" w:hAnsiTheme="majorHAnsi"/>
          <w:szCs w:val="22"/>
        </w:rPr>
        <w:t xml:space="preserve"> </w:t>
      </w:r>
      <w:r w:rsidR="00BD5FD5">
        <w:rPr>
          <w:rFonts w:asciiTheme="majorHAnsi" w:hAnsiTheme="majorHAnsi"/>
          <w:szCs w:val="22"/>
        </w:rPr>
        <w:t>a </w:t>
      </w:r>
      <w:r w:rsidR="00406C25" w:rsidRPr="00A11FE0">
        <w:rPr>
          <w:rFonts w:asciiTheme="majorHAnsi" w:hAnsiTheme="majorHAnsi"/>
          <w:szCs w:val="22"/>
        </w:rPr>
        <w:t>prevládajúc</w:t>
      </w:r>
      <w:r w:rsidR="0099086C" w:rsidRPr="00A11FE0">
        <w:rPr>
          <w:rFonts w:asciiTheme="majorHAnsi" w:hAnsiTheme="majorHAnsi"/>
          <w:szCs w:val="22"/>
        </w:rPr>
        <w:t>ou</w:t>
      </w:r>
      <w:r w:rsidR="00406C25" w:rsidRPr="00A11FE0">
        <w:rPr>
          <w:rFonts w:asciiTheme="majorHAnsi" w:hAnsiTheme="majorHAnsi"/>
          <w:szCs w:val="22"/>
        </w:rPr>
        <w:t xml:space="preserve"> </w:t>
      </w:r>
      <w:r w:rsidR="0099086C" w:rsidRPr="00A11FE0">
        <w:rPr>
          <w:rFonts w:asciiTheme="majorHAnsi" w:hAnsiTheme="majorHAnsi"/>
          <w:szCs w:val="22"/>
        </w:rPr>
        <w:t xml:space="preserve">príčinou </w:t>
      </w:r>
      <w:r w:rsidR="00406C25" w:rsidRPr="00A11FE0">
        <w:rPr>
          <w:rFonts w:asciiTheme="majorHAnsi" w:hAnsiTheme="majorHAnsi"/>
          <w:szCs w:val="22"/>
        </w:rPr>
        <w:t xml:space="preserve">nízkej životnej úrovne, vylúčenia </w:t>
      </w:r>
      <w:r w:rsidR="00BD5FD5">
        <w:rPr>
          <w:rFonts w:asciiTheme="majorHAnsi" w:hAnsiTheme="majorHAnsi"/>
          <w:szCs w:val="22"/>
        </w:rPr>
        <w:t>a</w:t>
      </w:r>
      <w:r w:rsidR="00406C25" w:rsidRPr="00A11FE0">
        <w:rPr>
          <w:rFonts w:asciiTheme="majorHAnsi" w:hAnsiTheme="majorHAnsi"/>
          <w:szCs w:val="22"/>
        </w:rPr>
        <w:t> chudoby.</w:t>
      </w:r>
    </w:p>
    <w:p w:rsidR="00406C25" w:rsidRPr="00A11FE0"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Dlhodobo nezamestnaní </w:t>
      </w:r>
      <w:r w:rsidR="00BD5FD5">
        <w:rPr>
          <w:rFonts w:asciiTheme="majorHAnsi" w:hAnsiTheme="majorHAnsi"/>
          <w:szCs w:val="22"/>
        </w:rPr>
        <w:t>a </w:t>
      </w:r>
      <w:r w:rsidRPr="00A11FE0">
        <w:rPr>
          <w:rFonts w:asciiTheme="majorHAnsi" w:hAnsiTheme="majorHAnsi"/>
          <w:szCs w:val="22"/>
        </w:rPr>
        <w:t xml:space="preserve">iní znevýhodnení nezamestnaní </w:t>
      </w:r>
      <w:r w:rsidR="00BD5FD5">
        <w:rPr>
          <w:rFonts w:asciiTheme="majorHAnsi" w:hAnsiTheme="majorHAnsi"/>
          <w:szCs w:val="22"/>
        </w:rPr>
        <w:t>s</w:t>
      </w:r>
      <w:r w:rsidRPr="00A11FE0">
        <w:rPr>
          <w:rFonts w:asciiTheme="majorHAnsi" w:hAnsiTheme="majorHAnsi"/>
          <w:szCs w:val="22"/>
        </w:rPr>
        <w:t xml:space="preserve">a umiestňujú na trhu práce problematicky, pretože </w:t>
      </w:r>
      <w:r w:rsidR="004E2F85" w:rsidRPr="004E2F85">
        <w:rPr>
          <w:rFonts w:asciiTheme="majorHAnsi" w:hAnsiTheme="majorHAnsi"/>
          <w:szCs w:val="22"/>
        </w:rPr>
        <w:t>stratili pracovné návyky, ma</w:t>
      </w:r>
      <w:r w:rsidR="004E2F85">
        <w:rPr>
          <w:rFonts w:asciiTheme="majorHAnsi" w:hAnsiTheme="majorHAnsi"/>
          <w:szCs w:val="22"/>
        </w:rPr>
        <w:t>jú nevhodný kvalifikačný profil</w:t>
      </w:r>
      <w:r w:rsidR="004E2F85" w:rsidRPr="004E2F85">
        <w:rPr>
          <w:rFonts w:asciiTheme="majorHAnsi" w:hAnsiTheme="majorHAnsi"/>
          <w:szCs w:val="22"/>
        </w:rPr>
        <w:t xml:space="preserve">, </w:t>
      </w:r>
      <w:r w:rsidR="00B9507F">
        <w:rPr>
          <w:rFonts w:asciiTheme="majorHAnsi" w:hAnsiTheme="majorHAnsi"/>
          <w:szCs w:val="22"/>
        </w:rPr>
        <w:t xml:space="preserve">z čoho plynie, že majú </w:t>
      </w:r>
      <w:r w:rsidRPr="00A11FE0">
        <w:rPr>
          <w:rFonts w:asciiTheme="majorHAnsi" w:hAnsiTheme="majorHAnsi"/>
          <w:szCs w:val="22"/>
        </w:rPr>
        <w:t>nižšiu produktivitu práce v</w:t>
      </w:r>
      <w:r w:rsidR="007C7BFF">
        <w:rPr>
          <w:rFonts w:asciiTheme="majorHAnsi" w:hAnsiTheme="majorHAnsi"/>
          <w:szCs w:val="22"/>
        </w:rPr>
        <w:t> </w:t>
      </w:r>
      <w:r w:rsidRPr="00A11FE0">
        <w:rPr>
          <w:rFonts w:asciiTheme="majorHAnsi" w:hAnsiTheme="majorHAnsi"/>
          <w:szCs w:val="22"/>
        </w:rPr>
        <w:t>porovnaní</w:t>
      </w:r>
      <w:r w:rsidR="007C7BFF">
        <w:rPr>
          <w:rFonts w:asciiTheme="majorHAnsi" w:hAnsiTheme="majorHAnsi"/>
          <w:szCs w:val="22"/>
        </w:rPr>
        <w:t xml:space="preserve"> </w:t>
      </w:r>
      <w:r w:rsidR="00BD5FD5">
        <w:rPr>
          <w:rFonts w:asciiTheme="majorHAnsi" w:hAnsiTheme="majorHAnsi"/>
          <w:szCs w:val="22"/>
        </w:rPr>
        <w:t>s </w:t>
      </w:r>
      <w:r w:rsidRPr="00A11FE0">
        <w:rPr>
          <w:rFonts w:asciiTheme="majorHAnsi" w:hAnsiTheme="majorHAnsi"/>
          <w:szCs w:val="22"/>
        </w:rPr>
        <w:t xml:space="preserve">ostatnými uchádzačmi. </w:t>
      </w:r>
      <w:r w:rsidR="00BD5FD5">
        <w:rPr>
          <w:rFonts w:asciiTheme="majorHAnsi" w:hAnsiTheme="majorHAnsi"/>
          <w:szCs w:val="22"/>
        </w:rPr>
        <w:t>Ak</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a zamestnávateľ rozhodne zamestnať takúto osobu, vystavuje </w:t>
      </w:r>
      <w:r w:rsidR="00BD5FD5">
        <w:rPr>
          <w:rFonts w:asciiTheme="majorHAnsi" w:hAnsiTheme="majorHAnsi"/>
          <w:szCs w:val="22"/>
        </w:rPr>
        <w:t>s</w:t>
      </w:r>
      <w:r w:rsidRPr="00A11FE0">
        <w:rPr>
          <w:rFonts w:asciiTheme="majorHAnsi" w:hAnsiTheme="majorHAnsi"/>
          <w:szCs w:val="22"/>
        </w:rPr>
        <w:t xml:space="preserve">a riziku, že bude menej </w:t>
      </w:r>
      <w:r w:rsidR="00BD5FD5">
        <w:rPr>
          <w:rFonts w:asciiTheme="majorHAnsi" w:hAnsiTheme="majorHAnsi"/>
          <w:szCs w:val="22"/>
        </w:rPr>
        <w:t>k</w:t>
      </w:r>
      <w:r w:rsidRPr="00A11FE0">
        <w:rPr>
          <w:rFonts w:asciiTheme="majorHAnsi" w:hAnsiTheme="majorHAnsi"/>
          <w:szCs w:val="22"/>
        </w:rPr>
        <w:t xml:space="preserve">onkurencieschopný. Preto je tento problém väčšinou riešený formou dotácií, </w:t>
      </w:r>
      <w:r w:rsidR="00BD5FD5">
        <w:rPr>
          <w:rFonts w:asciiTheme="majorHAnsi" w:hAnsiTheme="majorHAnsi"/>
          <w:szCs w:val="22"/>
        </w:rPr>
        <w:t>k</w:t>
      </w:r>
      <w:r w:rsidRPr="00A11FE0">
        <w:rPr>
          <w:rFonts w:asciiTheme="majorHAnsi" w:hAnsiTheme="majorHAnsi"/>
          <w:szCs w:val="22"/>
        </w:rPr>
        <w:t xml:space="preserve">toré túto nerovnováhu </w:t>
      </w:r>
      <w:r w:rsidR="00BD5FD5">
        <w:rPr>
          <w:rFonts w:asciiTheme="majorHAnsi" w:hAnsiTheme="majorHAnsi"/>
          <w:szCs w:val="22"/>
        </w:rPr>
        <w:t>k</w:t>
      </w:r>
      <w:r w:rsidRPr="00A11FE0">
        <w:rPr>
          <w:rFonts w:asciiTheme="majorHAnsi" w:hAnsiTheme="majorHAnsi"/>
          <w:szCs w:val="22"/>
        </w:rPr>
        <w:t xml:space="preserve">ompenzujú. Problém však nastáva, </w:t>
      </w:r>
      <w:r w:rsidR="00BD5FD5">
        <w:rPr>
          <w:rFonts w:asciiTheme="majorHAnsi" w:hAnsiTheme="majorHAnsi"/>
          <w:szCs w:val="22"/>
        </w:rPr>
        <w:t>ak</w:t>
      </w:r>
      <w:r w:rsidRPr="00A11FE0">
        <w:rPr>
          <w:rFonts w:asciiTheme="majorHAnsi" w:hAnsiTheme="majorHAnsi"/>
          <w:szCs w:val="22"/>
        </w:rPr>
        <w:t xml:space="preserve"> je jej výška príliš vysoká. Vtedy</w:t>
      </w:r>
      <w:r w:rsidR="003E58BE">
        <w:rPr>
          <w:rFonts w:asciiTheme="majorHAnsi" w:hAnsiTheme="majorHAnsi"/>
          <w:szCs w:val="22"/>
        </w:rPr>
        <w:t xml:space="preserve"> </w:t>
      </w:r>
      <w:r w:rsidRPr="00A11FE0">
        <w:rPr>
          <w:rFonts w:asciiTheme="majorHAnsi" w:hAnsiTheme="majorHAnsi"/>
          <w:szCs w:val="22"/>
        </w:rPr>
        <w:t xml:space="preserve">dochádza </w:t>
      </w:r>
      <w:r w:rsidR="00BD5FD5">
        <w:rPr>
          <w:rFonts w:asciiTheme="majorHAnsi" w:hAnsiTheme="majorHAnsi"/>
          <w:szCs w:val="22"/>
        </w:rPr>
        <w:t>k </w:t>
      </w:r>
      <w:r w:rsidRPr="00A11FE0">
        <w:rPr>
          <w:rFonts w:asciiTheme="majorHAnsi" w:hAnsiTheme="majorHAnsi"/>
          <w:szCs w:val="22"/>
        </w:rPr>
        <w:t xml:space="preserve">zneužívaniu </w:t>
      </w:r>
      <w:r w:rsidR="00BD5FD5">
        <w:rPr>
          <w:rFonts w:asciiTheme="majorHAnsi" w:hAnsiTheme="majorHAnsi"/>
          <w:szCs w:val="22"/>
        </w:rPr>
        <w:t>s</w:t>
      </w:r>
      <w:r w:rsidRPr="00A11FE0">
        <w:rPr>
          <w:rFonts w:asciiTheme="majorHAnsi" w:hAnsiTheme="majorHAnsi"/>
          <w:szCs w:val="22"/>
        </w:rPr>
        <w:t xml:space="preserve">ystému </w:t>
      </w:r>
      <w:r w:rsidR="00BD5FD5">
        <w:rPr>
          <w:rFonts w:asciiTheme="majorHAnsi" w:hAnsiTheme="majorHAnsi"/>
          <w:szCs w:val="22"/>
        </w:rPr>
        <w:t>a </w:t>
      </w:r>
      <w:r w:rsidRPr="00A11FE0">
        <w:rPr>
          <w:rFonts w:asciiTheme="majorHAnsi" w:hAnsiTheme="majorHAnsi"/>
          <w:szCs w:val="22"/>
        </w:rPr>
        <w:t xml:space="preserve">deformovaniu trhu. </w:t>
      </w:r>
      <w:r w:rsidR="00BD5FD5">
        <w:rPr>
          <w:rFonts w:asciiTheme="majorHAnsi" w:hAnsiTheme="majorHAnsi"/>
          <w:szCs w:val="22"/>
        </w:rPr>
        <w:t>Ak </w:t>
      </w:r>
      <w:r w:rsidRPr="00A11FE0">
        <w:rPr>
          <w:rFonts w:asciiTheme="majorHAnsi" w:hAnsiTheme="majorHAnsi"/>
          <w:szCs w:val="22"/>
        </w:rPr>
        <w:t xml:space="preserve">je nastavená príliš nízko, je neúčinná </w:t>
      </w:r>
      <w:r w:rsidR="00BD5FD5">
        <w:rPr>
          <w:rFonts w:asciiTheme="majorHAnsi" w:hAnsiTheme="majorHAnsi"/>
          <w:szCs w:val="22"/>
        </w:rPr>
        <w:t>a </w:t>
      </w:r>
      <w:r w:rsidRPr="00A11FE0">
        <w:rPr>
          <w:rFonts w:asciiTheme="majorHAnsi" w:hAnsiTheme="majorHAnsi"/>
          <w:szCs w:val="22"/>
        </w:rPr>
        <w:t xml:space="preserve">zamestnávateľom </w:t>
      </w:r>
      <w:r w:rsidR="00BD5FD5">
        <w:rPr>
          <w:rFonts w:asciiTheme="majorHAnsi" w:hAnsiTheme="majorHAnsi"/>
          <w:szCs w:val="22"/>
        </w:rPr>
        <w:t>s</w:t>
      </w:r>
      <w:r w:rsidRPr="00A11FE0">
        <w:rPr>
          <w:rFonts w:asciiTheme="majorHAnsi" w:hAnsiTheme="majorHAnsi"/>
          <w:szCs w:val="22"/>
        </w:rPr>
        <w:t>a neoplatí zamestnávať znevýhodnené osoby</w:t>
      </w:r>
      <w:r w:rsidRPr="00A11FE0">
        <w:rPr>
          <w:rFonts w:asciiTheme="majorHAnsi" w:hAnsiTheme="majorHAnsi"/>
          <w:szCs w:val="22"/>
          <w:vertAlign w:val="superscript"/>
        </w:rPr>
        <w:footnoteReference w:id="125"/>
      </w:r>
      <w:r w:rsidRPr="00A11FE0">
        <w:rPr>
          <w:rFonts w:asciiTheme="majorHAnsi" w:hAnsiTheme="majorHAnsi"/>
          <w:szCs w:val="22"/>
        </w:rPr>
        <w:t>.</w:t>
      </w:r>
    </w:p>
    <w:p w:rsidR="00406C25" w:rsidRPr="00A11FE0"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Podľa EÚ </w:t>
      </w:r>
      <w:r w:rsidR="00BD5FD5">
        <w:rPr>
          <w:rFonts w:asciiTheme="majorHAnsi" w:hAnsiTheme="majorHAnsi"/>
          <w:szCs w:val="22"/>
        </w:rPr>
        <w:t>S</w:t>
      </w:r>
      <w:r w:rsidRPr="00A11FE0">
        <w:rPr>
          <w:rFonts w:asciiTheme="majorHAnsi" w:hAnsiTheme="majorHAnsi"/>
          <w:szCs w:val="22"/>
        </w:rPr>
        <w:t>ILC 201</w:t>
      </w:r>
      <w:r w:rsidR="00FF3341">
        <w:rPr>
          <w:rFonts w:asciiTheme="majorHAnsi" w:hAnsiTheme="majorHAnsi"/>
          <w:szCs w:val="22"/>
        </w:rPr>
        <w:t>2</w:t>
      </w:r>
      <w:r w:rsidRPr="00A11FE0">
        <w:rPr>
          <w:rFonts w:asciiTheme="majorHAnsi" w:hAnsiTheme="majorHAnsi"/>
          <w:szCs w:val="22"/>
        </w:rPr>
        <w:t xml:space="preserve"> bolo v </w:t>
      </w:r>
      <w:r w:rsidR="007C7BFF">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w:t>
      </w:r>
      <w:r w:rsidR="007C7BFF">
        <w:rPr>
          <w:rFonts w:asciiTheme="majorHAnsi" w:hAnsiTheme="majorHAnsi"/>
          <w:szCs w:val="22"/>
        </w:rPr>
        <w:t xml:space="preserve"> </w:t>
      </w:r>
      <w:r w:rsidRPr="00A11FE0">
        <w:rPr>
          <w:rFonts w:asciiTheme="majorHAnsi" w:hAnsiTheme="majorHAnsi"/>
          <w:szCs w:val="22"/>
        </w:rPr>
        <w:t>v riziku chudoby</w:t>
      </w:r>
      <w:r w:rsidR="000919E5">
        <w:rPr>
          <w:rFonts w:asciiTheme="majorHAnsi" w:hAnsiTheme="majorHAnsi"/>
          <w:szCs w:val="22"/>
        </w:rPr>
        <w:t>,</w:t>
      </w:r>
      <w:r w:rsidRPr="00A11FE0">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 xml:space="preserve">lebo </w:t>
      </w:r>
      <w:r w:rsidR="00BD5FD5">
        <w:rPr>
          <w:rFonts w:asciiTheme="majorHAnsi" w:hAnsiTheme="majorHAnsi"/>
          <w:szCs w:val="22"/>
        </w:rPr>
        <w:t>s</w:t>
      </w:r>
      <w:r w:rsidRPr="00A11FE0">
        <w:rPr>
          <w:rFonts w:asciiTheme="majorHAnsi" w:hAnsiTheme="majorHAnsi"/>
          <w:szCs w:val="22"/>
        </w:rPr>
        <w:t xml:space="preserve">ociálneho vylúčenia celkovo </w:t>
      </w:r>
      <w:r w:rsidR="00FF3341" w:rsidRPr="00A11FE0">
        <w:rPr>
          <w:rFonts w:asciiTheme="majorHAnsi" w:hAnsiTheme="majorHAnsi"/>
        </w:rPr>
        <w:t xml:space="preserve">1 </w:t>
      </w:r>
      <w:r w:rsidR="00FF3341">
        <w:rPr>
          <w:rFonts w:asciiTheme="majorHAnsi" w:hAnsiTheme="majorHAnsi"/>
        </w:rPr>
        <w:t>108</w:t>
      </w:r>
      <w:r w:rsidR="00C31DB6">
        <w:rPr>
          <w:rFonts w:asciiTheme="majorHAnsi" w:hAnsiTheme="majorHAnsi"/>
        </w:rPr>
        <w:t> </w:t>
      </w:r>
      <w:r w:rsidR="00FF3341">
        <w:rPr>
          <w:rFonts w:asciiTheme="majorHAnsi" w:hAnsiTheme="majorHAnsi"/>
        </w:rPr>
        <w:t>965</w:t>
      </w:r>
      <w:r w:rsidR="00C31DB6">
        <w:rPr>
          <w:rFonts w:asciiTheme="majorHAnsi" w:hAnsiTheme="majorHAnsi"/>
        </w:rPr>
        <w:t xml:space="preserve"> </w:t>
      </w:r>
      <w:r w:rsidRPr="00A11FE0">
        <w:rPr>
          <w:rFonts w:asciiTheme="majorHAnsi" w:hAnsiTheme="majorHAnsi"/>
          <w:szCs w:val="22"/>
        </w:rPr>
        <w:t xml:space="preserve">ľudí, čo predstavovalo </w:t>
      </w:r>
      <w:r w:rsidR="00FF3341" w:rsidRPr="00A11FE0">
        <w:rPr>
          <w:rFonts w:asciiTheme="majorHAnsi" w:hAnsiTheme="majorHAnsi"/>
        </w:rPr>
        <w:t>20,</w:t>
      </w:r>
      <w:r w:rsidR="00FF3341">
        <w:rPr>
          <w:rFonts w:asciiTheme="majorHAnsi" w:hAnsiTheme="majorHAnsi"/>
        </w:rPr>
        <w:t>5</w:t>
      </w:r>
      <w:r w:rsidR="00FF3341" w:rsidRPr="00A11FE0">
        <w:rPr>
          <w:rFonts w:asciiTheme="majorHAnsi" w:hAnsiTheme="majorHAnsi"/>
        </w:rPr>
        <w:t xml:space="preserve"> </w:t>
      </w:r>
      <w:r w:rsidRPr="00A11FE0">
        <w:rPr>
          <w:rFonts w:asciiTheme="majorHAnsi" w:hAnsiTheme="majorHAnsi"/>
          <w:szCs w:val="22"/>
        </w:rPr>
        <w:t>% na celkovom počte obyvateľov</w:t>
      </w:r>
      <w:r w:rsidRPr="00A11FE0">
        <w:rPr>
          <w:rStyle w:val="Odkaznapoznmkupodiarou"/>
          <w:rFonts w:asciiTheme="majorHAnsi" w:hAnsiTheme="majorHAnsi"/>
          <w:szCs w:val="22"/>
        </w:rPr>
        <w:footnoteReference w:id="126"/>
      </w:r>
      <w:r w:rsidRPr="00A11FE0">
        <w:rPr>
          <w:rFonts w:asciiTheme="majorHAnsi" w:hAnsiTheme="majorHAnsi"/>
          <w:szCs w:val="22"/>
        </w:rPr>
        <w:t>. Riziku chudoby</w:t>
      </w:r>
      <w:r w:rsidRPr="00A11FE0" w:rsidDel="00A14B3C">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ú vystavené</w:t>
      </w:r>
      <w:r w:rsidRPr="00A11FE0" w:rsidDel="00A14B3C">
        <w:rPr>
          <w:rFonts w:asciiTheme="majorHAnsi" w:hAnsiTheme="majorHAnsi"/>
          <w:szCs w:val="22"/>
        </w:rPr>
        <w:t xml:space="preserve"> </w:t>
      </w:r>
      <w:r w:rsidRPr="00A11FE0">
        <w:rPr>
          <w:rFonts w:asciiTheme="majorHAnsi" w:hAnsiTheme="majorHAnsi"/>
          <w:szCs w:val="22"/>
        </w:rPr>
        <w:t xml:space="preserve">najmä deti, mladí ľudia, osamelí rodičia, domácnosti </w:t>
      </w:r>
      <w:r w:rsidR="00BD5FD5">
        <w:rPr>
          <w:rFonts w:asciiTheme="majorHAnsi" w:hAnsiTheme="majorHAnsi"/>
          <w:szCs w:val="22"/>
        </w:rPr>
        <w:t>s </w:t>
      </w:r>
      <w:r w:rsidRPr="00A11FE0">
        <w:rPr>
          <w:rFonts w:asciiTheme="majorHAnsi" w:hAnsiTheme="majorHAnsi"/>
          <w:szCs w:val="22"/>
        </w:rPr>
        <w:t>nezaopatrenými</w:t>
      </w:r>
      <w:r w:rsidR="008B2288">
        <w:rPr>
          <w:rFonts w:asciiTheme="majorHAnsi" w:hAnsiTheme="majorHAnsi"/>
          <w:szCs w:val="22"/>
        </w:rPr>
        <w:t xml:space="preserve"> </w:t>
      </w:r>
      <w:r w:rsidRPr="00A11FE0">
        <w:rPr>
          <w:rFonts w:asciiTheme="majorHAnsi" w:hAnsiTheme="majorHAnsi"/>
          <w:szCs w:val="22"/>
        </w:rPr>
        <w:t xml:space="preserve">osobami, ľudia </w:t>
      </w:r>
      <w:r w:rsidR="00BD5FD5">
        <w:rPr>
          <w:rFonts w:asciiTheme="majorHAnsi" w:hAnsiTheme="majorHAnsi"/>
          <w:szCs w:val="22"/>
        </w:rPr>
        <w:t>s </w:t>
      </w:r>
      <w:r w:rsidRPr="00A11FE0">
        <w:rPr>
          <w:rFonts w:asciiTheme="majorHAnsi" w:hAnsiTheme="majorHAnsi"/>
          <w:szCs w:val="22"/>
        </w:rPr>
        <w:t xml:space="preserve">prisťahovaleckým pôvodom </w:t>
      </w:r>
      <w:r w:rsidR="00BD5FD5">
        <w:rPr>
          <w:rFonts w:asciiTheme="majorHAnsi" w:hAnsiTheme="majorHAnsi"/>
          <w:szCs w:val="22"/>
        </w:rPr>
        <w:t>a </w:t>
      </w:r>
      <w:r w:rsidRPr="00A11FE0">
        <w:rPr>
          <w:rFonts w:asciiTheme="majorHAnsi" w:hAnsiTheme="majorHAnsi"/>
          <w:szCs w:val="22"/>
        </w:rPr>
        <w:t xml:space="preserve">ľudia </w:t>
      </w:r>
      <w:r w:rsidR="00BD5FD5">
        <w:rPr>
          <w:rFonts w:asciiTheme="majorHAnsi" w:hAnsiTheme="majorHAnsi"/>
          <w:szCs w:val="22"/>
        </w:rPr>
        <w:t>s</w:t>
      </w:r>
      <w:r w:rsidRPr="00A11FE0">
        <w:rPr>
          <w:rFonts w:asciiTheme="majorHAnsi" w:hAnsiTheme="majorHAnsi"/>
          <w:szCs w:val="22"/>
        </w:rPr>
        <w:t xml:space="preserve">o zdravotným postihnutím. Navyše existujú celkom zrejmé rodové rozdiely, pričom ženy </w:t>
      </w:r>
      <w:r w:rsidR="00BD5FD5">
        <w:rPr>
          <w:rFonts w:asciiTheme="majorHAnsi" w:hAnsiTheme="majorHAnsi"/>
          <w:szCs w:val="22"/>
        </w:rPr>
        <w:t>s</w:t>
      </w:r>
      <w:r w:rsidRPr="00A11FE0">
        <w:rPr>
          <w:rFonts w:asciiTheme="majorHAnsi" w:hAnsiTheme="majorHAnsi"/>
          <w:szCs w:val="22"/>
        </w:rPr>
        <w:t xml:space="preserve">ú vo všeobecnosti viac ohrozené </w:t>
      </w:r>
      <w:r w:rsidR="00BD5FD5">
        <w:rPr>
          <w:rFonts w:asciiTheme="majorHAnsi" w:hAnsiTheme="majorHAnsi"/>
          <w:szCs w:val="22"/>
        </w:rPr>
        <w:t>ak</w:t>
      </w:r>
      <w:r w:rsidRPr="00A11FE0">
        <w:rPr>
          <w:rFonts w:asciiTheme="majorHAnsi" w:hAnsiTheme="majorHAnsi"/>
          <w:szCs w:val="22"/>
        </w:rPr>
        <w:t>o muži.</w:t>
      </w:r>
    </w:p>
    <w:p w:rsidR="00406C25" w:rsidRPr="00A11FE0"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Z</w:t>
      </w:r>
      <w:r w:rsidR="00113E3E">
        <w:rPr>
          <w:rFonts w:asciiTheme="majorHAnsi" w:hAnsiTheme="majorHAnsi"/>
          <w:szCs w:val="22"/>
        </w:rPr>
        <w:t> </w:t>
      </w:r>
      <w:r w:rsidRPr="00A11FE0">
        <w:rPr>
          <w:rFonts w:asciiTheme="majorHAnsi" w:hAnsiTheme="majorHAnsi"/>
          <w:szCs w:val="22"/>
        </w:rPr>
        <w:t xml:space="preserve">pohľadu príjmovej chudoby patrí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k</w:t>
      </w:r>
      <w:r w:rsidRPr="00A11FE0">
        <w:rPr>
          <w:rFonts w:asciiTheme="majorHAnsi" w:hAnsiTheme="majorHAnsi"/>
          <w:szCs w:val="22"/>
        </w:rPr>
        <w:t xml:space="preserve">u </w:t>
      </w:r>
      <w:r w:rsidR="00BD5FD5">
        <w:rPr>
          <w:rFonts w:asciiTheme="majorHAnsi" w:hAnsiTheme="majorHAnsi"/>
          <w:szCs w:val="22"/>
        </w:rPr>
        <w:t>k</w:t>
      </w:r>
      <w:r w:rsidRPr="00A11FE0">
        <w:rPr>
          <w:rFonts w:asciiTheme="majorHAnsi" w:hAnsiTheme="majorHAnsi"/>
          <w:szCs w:val="22"/>
        </w:rPr>
        <w:t xml:space="preserve">rajinám </w:t>
      </w:r>
      <w:r w:rsidR="00BD5FD5">
        <w:rPr>
          <w:rFonts w:asciiTheme="majorHAnsi" w:hAnsiTheme="majorHAnsi"/>
          <w:szCs w:val="22"/>
        </w:rPr>
        <w:t>s</w:t>
      </w:r>
      <w:r w:rsidRPr="00A11FE0">
        <w:rPr>
          <w:rFonts w:asciiTheme="majorHAnsi" w:hAnsiTheme="majorHAnsi"/>
          <w:szCs w:val="22"/>
        </w:rPr>
        <w:t> najnižšou mierou rizika chudoby v</w:t>
      </w:r>
      <w:r w:rsidR="00113E3E">
        <w:rPr>
          <w:rFonts w:asciiTheme="majorHAnsi" w:hAnsiTheme="majorHAnsi"/>
          <w:szCs w:val="22"/>
        </w:rPr>
        <w:t> </w:t>
      </w:r>
      <w:r w:rsidRPr="00A11FE0">
        <w:rPr>
          <w:rFonts w:asciiTheme="majorHAnsi" w:hAnsiTheme="majorHAnsi"/>
          <w:szCs w:val="22"/>
        </w:rPr>
        <w:t>rámci</w:t>
      </w:r>
      <w:r w:rsidR="00113E3E">
        <w:rPr>
          <w:rFonts w:asciiTheme="majorHAnsi" w:hAnsiTheme="majorHAnsi"/>
          <w:szCs w:val="22"/>
        </w:rPr>
        <w:t xml:space="preserve"> </w:t>
      </w:r>
      <w:r w:rsidRPr="00A11FE0">
        <w:rPr>
          <w:rFonts w:asciiTheme="majorHAnsi" w:hAnsiTheme="majorHAnsi"/>
          <w:szCs w:val="22"/>
        </w:rPr>
        <w:t>EÚ</w:t>
      </w:r>
      <w:r w:rsidRPr="00A11FE0">
        <w:rPr>
          <w:rStyle w:val="Odkaznapoznmkupodiarou"/>
          <w:rFonts w:asciiTheme="majorHAnsi" w:hAnsiTheme="majorHAnsi"/>
          <w:szCs w:val="22"/>
        </w:rPr>
        <w:footnoteReference w:id="127"/>
      </w:r>
      <w:r w:rsidRPr="00A11FE0">
        <w:rPr>
          <w:rFonts w:asciiTheme="majorHAnsi" w:hAnsiTheme="majorHAnsi"/>
          <w:szCs w:val="22"/>
        </w:rPr>
        <w:t xml:space="preserve">. Podľa EÚ </w:t>
      </w:r>
      <w:r w:rsidR="00BD5FD5">
        <w:rPr>
          <w:rFonts w:asciiTheme="majorHAnsi" w:hAnsiTheme="majorHAnsi"/>
          <w:szCs w:val="22"/>
        </w:rPr>
        <w:t>S</w:t>
      </w:r>
      <w:r w:rsidRPr="00A11FE0">
        <w:rPr>
          <w:rFonts w:asciiTheme="majorHAnsi" w:hAnsiTheme="majorHAnsi"/>
          <w:szCs w:val="22"/>
        </w:rPr>
        <w:t>ILC 201</w:t>
      </w:r>
      <w:r w:rsidR="00FF3341">
        <w:rPr>
          <w:rFonts w:asciiTheme="majorHAnsi" w:hAnsiTheme="majorHAnsi"/>
          <w:szCs w:val="22"/>
        </w:rPr>
        <w:t>2</w:t>
      </w:r>
      <w:r w:rsidRPr="00A11FE0">
        <w:rPr>
          <w:rFonts w:asciiTheme="majorHAnsi" w:hAnsiTheme="majorHAnsi"/>
          <w:szCs w:val="22"/>
        </w:rPr>
        <w:t xml:space="preserve"> bolo v</w:t>
      </w:r>
      <w:r w:rsidR="008E4297">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R ohrozených rizikom chudoby 13</w:t>
      </w:r>
      <w:r w:rsidR="00FF3341">
        <w:rPr>
          <w:rFonts w:asciiTheme="majorHAnsi" w:hAnsiTheme="majorHAnsi"/>
          <w:szCs w:val="22"/>
        </w:rPr>
        <w:t>,2</w:t>
      </w:r>
      <w:r w:rsidRPr="00A11FE0">
        <w:rPr>
          <w:rFonts w:asciiTheme="majorHAnsi" w:hAnsiTheme="majorHAnsi"/>
          <w:szCs w:val="22"/>
        </w:rPr>
        <w:t xml:space="preserve"> % obyvateľov. Naopak</w:t>
      </w:r>
      <w:r w:rsidR="000919E5">
        <w:rPr>
          <w:rFonts w:asciiTheme="majorHAnsi" w:hAnsiTheme="majorHAnsi"/>
          <w:szCs w:val="22"/>
        </w:rPr>
        <w:t>,</w:t>
      </w:r>
      <w:r w:rsidRPr="00A11FE0">
        <w:rPr>
          <w:rFonts w:asciiTheme="majorHAnsi" w:hAnsiTheme="majorHAnsi"/>
          <w:szCs w:val="22"/>
        </w:rPr>
        <w:t xml:space="preserve"> miera závažnej materiálnej deprivácie patrí v</w:t>
      </w:r>
      <w:r w:rsidR="00113E3E">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k </w:t>
      </w:r>
      <w:r w:rsidRPr="00A11FE0">
        <w:rPr>
          <w:rFonts w:asciiTheme="majorHAnsi" w:hAnsiTheme="majorHAnsi"/>
          <w:szCs w:val="22"/>
        </w:rPr>
        <w:t xml:space="preserve">najvyšším </w:t>
      </w:r>
      <w:r w:rsidR="00BD5FD5">
        <w:rPr>
          <w:rFonts w:asciiTheme="majorHAnsi" w:hAnsiTheme="majorHAnsi"/>
          <w:szCs w:val="22"/>
        </w:rPr>
        <w:t>s</w:t>
      </w:r>
      <w:r w:rsidRPr="00A11FE0">
        <w:rPr>
          <w:rFonts w:asciiTheme="majorHAnsi" w:hAnsiTheme="majorHAnsi"/>
          <w:szCs w:val="22"/>
        </w:rPr>
        <w:t xml:space="preserve">pomedzi všetkých </w:t>
      </w:r>
      <w:r w:rsidR="00BD5FD5">
        <w:rPr>
          <w:rFonts w:asciiTheme="majorHAnsi" w:hAnsiTheme="majorHAnsi"/>
          <w:szCs w:val="22"/>
        </w:rPr>
        <w:t>k</w:t>
      </w:r>
      <w:r w:rsidRPr="00A11FE0">
        <w:rPr>
          <w:rFonts w:asciiTheme="majorHAnsi" w:hAnsiTheme="majorHAnsi"/>
          <w:szCs w:val="22"/>
        </w:rPr>
        <w:t>rajín EÚ. V</w:t>
      </w:r>
      <w:r w:rsidR="00113E3E">
        <w:rPr>
          <w:rFonts w:asciiTheme="majorHAnsi" w:hAnsiTheme="majorHAnsi"/>
          <w:szCs w:val="22"/>
        </w:rPr>
        <w:t> </w:t>
      </w:r>
      <w:r w:rsidRPr="00A11FE0">
        <w:rPr>
          <w:rFonts w:asciiTheme="majorHAnsi" w:hAnsiTheme="majorHAnsi"/>
          <w:szCs w:val="22"/>
        </w:rPr>
        <w:t>roku 201</w:t>
      </w:r>
      <w:r w:rsidR="00FF3341">
        <w:rPr>
          <w:rFonts w:asciiTheme="majorHAnsi" w:hAnsiTheme="majorHAnsi"/>
          <w:szCs w:val="22"/>
        </w:rPr>
        <w:t>2</w:t>
      </w:r>
      <w:r w:rsidRPr="00A11FE0">
        <w:rPr>
          <w:rFonts w:asciiTheme="majorHAnsi" w:hAnsiTheme="majorHAnsi"/>
          <w:szCs w:val="22"/>
        </w:rPr>
        <w:t xml:space="preserve"> bolo 10,</w:t>
      </w:r>
      <w:r w:rsidR="00FF3341">
        <w:rPr>
          <w:rFonts w:asciiTheme="majorHAnsi" w:hAnsiTheme="majorHAnsi"/>
          <w:szCs w:val="22"/>
        </w:rPr>
        <w:t>5</w:t>
      </w:r>
      <w:r w:rsidRPr="00A11FE0">
        <w:rPr>
          <w:rFonts w:asciiTheme="majorHAnsi" w:hAnsiTheme="majorHAnsi"/>
          <w:szCs w:val="22"/>
        </w:rPr>
        <w:t xml:space="preserve"> % obyvateľstva </w:t>
      </w:r>
      <w:r w:rsidR="00BD5FD5">
        <w:rPr>
          <w:rFonts w:asciiTheme="majorHAnsi" w:hAnsiTheme="majorHAnsi"/>
          <w:szCs w:val="22"/>
        </w:rPr>
        <w:t>S</w:t>
      </w:r>
      <w:r w:rsidRPr="00A11FE0">
        <w:rPr>
          <w:rFonts w:asciiTheme="majorHAnsi" w:hAnsiTheme="majorHAnsi"/>
          <w:szCs w:val="22"/>
        </w:rPr>
        <w:t xml:space="preserve">R závažne materiálne deprivovaných. Miera veľmi nízkej pracovnej intenzity </w:t>
      </w:r>
      <w:r w:rsidR="00BD5FD5">
        <w:rPr>
          <w:rFonts w:asciiTheme="majorHAnsi" w:hAnsiTheme="majorHAnsi"/>
          <w:szCs w:val="22"/>
        </w:rPr>
        <w:t>s</w:t>
      </w:r>
      <w:r w:rsidRPr="00A11FE0">
        <w:rPr>
          <w:rFonts w:asciiTheme="majorHAnsi" w:hAnsiTheme="majorHAnsi"/>
          <w:szCs w:val="22"/>
        </w:rPr>
        <w:t xml:space="preserve">a podľa údajov EÚ </w:t>
      </w:r>
      <w:r w:rsidR="00BD5FD5">
        <w:rPr>
          <w:rFonts w:asciiTheme="majorHAnsi" w:hAnsiTheme="majorHAnsi"/>
          <w:szCs w:val="22"/>
        </w:rPr>
        <w:t>S</w:t>
      </w:r>
      <w:r w:rsidRPr="00A11FE0">
        <w:rPr>
          <w:rFonts w:asciiTheme="majorHAnsi" w:hAnsiTheme="majorHAnsi"/>
          <w:szCs w:val="22"/>
        </w:rPr>
        <w:t>ILC 201</w:t>
      </w:r>
      <w:r w:rsidR="00FF3341">
        <w:rPr>
          <w:rFonts w:asciiTheme="majorHAnsi" w:hAnsiTheme="majorHAnsi"/>
          <w:szCs w:val="22"/>
        </w:rPr>
        <w:t>2</w:t>
      </w:r>
      <w:r w:rsidRPr="00A11FE0">
        <w:rPr>
          <w:rFonts w:asciiTheme="majorHAnsi" w:hAnsiTheme="majorHAnsi"/>
          <w:szCs w:val="22"/>
        </w:rPr>
        <w:t xml:space="preserve"> nachádzala na úrovni </w:t>
      </w:r>
      <w:r w:rsidR="00FF3341">
        <w:rPr>
          <w:rFonts w:asciiTheme="majorHAnsi" w:hAnsiTheme="majorHAnsi"/>
        </w:rPr>
        <w:t>7</w:t>
      </w:r>
      <w:r w:rsidR="00FF3341" w:rsidRPr="00A11FE0">
        <w:rPr>
          <w:rFonts w:asciiTheme="majorHAnsi" w:hAnsiTheme="majorHAnsi"/>
        </w:rPr>
        <w:t>,</w:t>
      </w:r>
      <w:r w:rsidR="00FF3341">
        <w:rPr>
          <w:rFonts w:asciiTheme="majorHAnsi" w:hAnsiTheme="majorHAnsi"/>
        </w:rPr>
        <w:t>2</w:t>
      </w:r>
      <w:r w:rsidR="00FF3341" w:rsidRPr="00A11FE0">
        <w:rPr>
          <w:rFonts w:asciiTheme="majorHAnsi" w:hAnsiTheme="majorHAnsi"/>
        </w:rPr>
        <w:t xml:space="preserve"> </w:t>
      </w:r>
      <w:r w:rsidRPr="00A11FE0">
        <w:rPr>
          <w:rFonts w:asciiTheme="majorHAnsi" w:hAnsiTheme="majorHAnsi"/>
          <w:szCs w:val="22"/>
        </w:rPr>
        <w:t>%. V </w:t>
      </w:r>
      <w:r w:rsidR="00BD5FD5">
        <w:rPr>
          <w:rFonts w:asciiTheme="majorHAnsi" w:hAnsiTheme="majorHAnsi"/>
          <w:szCs w:val="22"/>
        </w:rPr>
        <w:t>s</w:t>
      </w:r>
      <w:r w:rsidRPr="00A11FE0">
        <w:rPr>
          <w:rFonts w:asciiTheme="majorHAnsi" w:hAnsiTheme="majorHAnsi"/>
          <w:szCs w:val="22"/>
        </w:rPr>
        <w:t xml:space="preserve">účasnosti je záchrannou </w:t>
      </w:r>
      <w:r w:rsidR="00BD5FD5">
        <w:rPr>
          <w:rFonts w:asciiTheme="majorHAnsi" w:hAnsiTheme="majorHAnsi"/>
          <w:szCs w:val="22"/>
        </w:rPr>
        <w:t>s</w:t>
      </w:r>
      <w:r w:rsidRPr="00A11FE0">
        <w:rPr>
          <w:rFonts w:asciiTheme="majorHAnsi" w:hAnsiTheme="majorHAnsi"/>
          <w:szCs w:val="22"/>
        </w:rPr>
        <w:t xml:space="preserve">ociálnou </w:t>
      </w:r>
      <w:r w:rsidR="00BD5FD5">
        <w:rPr>
          <w:rFonts w:asciiTheme="majorHAnsi" w:hAnsiTheme="majorHAnsi"/>
          <w:szCs w:val="22"/>
        </w:rPr>
        <w:t>s</w:t>
      </w:r>
      <w:r w:rsidRPr="00A11FE0">
        <w:rPr>
          <w:rFonts w:asciiTheme="majorHAnsi" w:hAnsiTheme="majorHAnsi"/>
          <w:szCs w:val="22"/>
        </w:rPr>
        <w:t xml:space="preserve">ieťou </w:t>
      </w:r>
      <w:r w:rsidR="00BD5FD5">
        <w:rPr>
          <w:rFonts w:asciiTheme="majorHAnsi" w:hAnsiTheme="majorHAnsi"/>
          <w:szCs w:val="22"/>
        </w:rPr>
        <w:t>s</w:t>
      </w:r>
      <w:r w:rsidRPr="00A11FE0">
        <w:rPr>
          <w:rFonts w:asciiTheme="majorHAnsi" w:hAnsiTheme="majorHAnsi"/>
          <w:szCs w:val="22"/>
        </w:rPr>
        <w:t xml:space="preserve">ystém pomoci v hmotnej núdzi. Dôležitým </w:t>
      </w:r>
      <w:r w:rsidR="00BD5FD5">
        <w:rPr>
          <w:rFonts w:asciiTheme="majorHAnsi" w:hAnsiTheme="majorHAnsi"/>
          <w:szCs w:val="22"/>
        </w:rPr>
        <w:t>as</w:t>
      </w:r>
      <w:r w:rsidRPr="00A11FE0">
        <w:rPr>
          <w:rFonts w:asciiTheme="majorHAnsi" w:hAnsiTheme="majorHAnsi"/>
          <w:szCs w:val="22"/>
        </w:rPr>
        <w:t xml:space="preserve">pektom tohto </w:t>
      </w:r>
      <w:r w:rsidR="00BD5FD5">
        <w:rPr>
          <w:rFonts w:asciiTheme="majorHAnsi" w:hAnsiTheme="majorHAnsi"/>
          <w:szCs w:val="22"/>
        </w:rPr>
        <w:t>s</w:t>
      </w:r>
      <w:r w:rsidRPr="00A11FE0">
        <w:rPr>
          <w:rFonts w:asciiTheme="majorHAnsi" w:hAnsiTheme="majorHAnsi"/>
          <w:szCs w:val="22"/>
        </w:rPr>
        <w:t xml:space="preserve">ystému je princíp </w:t>
      </w:r>
      <w:r w:rsidR="00BD5FD5">
        <w:rPr>
          <w:rFonts w:asciiTheme="majorHAnsi" w:hAnsiTheme="majorHAnsi"/>
          <w:szCs w:val="22"/>
        </w:rPr>
        <w:t>ak</w:t>
      </w:r>
      <w:r w:rsidRPr="00A11FE0">
        <w:rPr>
          <w:rFonts w:asciiTheme="majorHAnsi" w:hAnsiTheme="majorHAnsi"/>
          <w:szCs w:val="22"/>
        </w:rPr>
        <w:t xml:space="preserve">tivácie, zabezpečenia </w:t>
      </w:r>
      <w:r w:rsidR="00BD5FD5">
        <w:rPr>
          <w:rFonts w:asciiTheme="majorHAnsi" w:hAnsiTheme="majorHAnsi"/>
          <w:szCs w:val="22"/>
        </w:rPr>
        <w:t>a</w:t>
      </w:r>
      <w:r w:rsidRPr="00A11FE0">
        <w:rPr>
          <w:rFonts w:asciiTheme="majorHAnsi" w:hAnsiTheme="majorHAnsi"/>
          <w:szCs w:val="22"/>
        </w:rPr>
        <w:t xml:space="preserve">dresnosti, zásluhovosti </w:t>
      </w:r>
      <w:r w:rsidR="00BD5FD5">
        <w:rPr>
          <w:rFonts w:asciiTheme="majorHAnsi" w:hAnsiTheme="majorHAnsi"/>
          <w:szCs w:val="22"/>
        </w:rPr>
        <w:t>a </w:t>
      </w:r>
      <w:r w:rsidRPr="00A11FE0">
        <w:rPr>
          <w:rFonts w:asciiTheme="majorHAnsi" w:hAnsiTheme="majorHAnsi"/>
          <w:szCs w:val="22"/>
        </w:rPr>
        <w:t>ochrany. V</w:t>
      </w:r>
      <w:r w:rsidR="007D717C" w:rsidRPr="00A11FE0">
        <w:rPr>
          <w:rFonts w:asciiTheme="majorHAnsi" w:hAnsiTheme="majorHAnsi"/>
          <w:szCs w:val="22"/>
        </w:rPr>
        <w:t> </w:t>
      </w:r>
      <w:r w:rsidRPr="00A11FE0">
        <w:rPr>
          <w:rFonts w:asciiTheme="majorHAnsi" w:hAnsiTheme="majorHAnsi"/>
          <w:szCs w:val="22"/>
        </w:rPr>
        <w:t>roku</w:t>
      </w:r>
      <w:r w:rsidR="007D717C" w:rsidRPr="00A11FE0">
        <w:rPr>
          <w:rFonts w:asciiTheme="majorHAnsi" w:hAnsiTheme="majorHAnsi"/>
          <w:szCs w:val="22"/>
        </w:rPr>
        <w:t xml:space="preserve"> </w:t>
      </w:r>
      <w:r w:rsidRPr="00A11FE0">
        <w:rPr>
          <w:rFonts w:asciiTheme="majorHAnsi" w:hAnsiTheme="majorHAnsi"/>
          <w:szCs w:val="22"/>
        </w:rPr>
        <w:t>2012 bol priemerný mesačný počet poberateľov pomoci v</w:t>
      </w:r>
      <w:r w:rsidR="00C256F7">
        <w:rPr>
          <w:rFonts w:asciiTheme="majorHAnsi" w:hAnsiTheme="majorHAnsi"/>
          <w:szCs w:val="22"/>
        </w:rPr>
        <w:t> </w:t>
      </w:r>
      <w:r w:rsidRPr="00A11FE0">
        <w:rPr>
          <w:rFonts w:asciiTheme="majorHAnsi" w:hAnsiTheme="majorHAnsi"/>
          <w:szCs w:val="22"/>
        </w:rPr>
        <w:t>hmotnej</w:t>
      </w:r>
      <w:r w:rsidR="00C256F7">
        <w:rPr>
          <w:rFonts w:asciiTheme="majorHAnsi" w:hAnsiTheme="majorHAnsi"/>
          <w:szCs w:val="22"/>
        </w:rPr>
        <w:t xml:space="preserve"> </w:t>
      </w:r>
      <w:r w:rsidRPr="00A11FE0">
        <w:rPr>
          <w:rFonts w:asciiTheme="majorHAnsi" w:hAnsiTheme="majorHAnsi"/>
          <w:szCs w:val="22"/>
        </w:rPr>
        <w:t>núdzi 183 091. Za týmto účelom boli čerpané finančné prostriedky v</w:t>
      </w:r>
      <w:r w:rsidR="00113E3E">
        <w:rPr>
          <w:rFonts w:asciiTheme="majorHAnsi" w:hAnsiTheme="majorHAnsi"/>
          <w:szCs w:val="22"/>
        </w:rPr>
        <w:t> </w:t>
      </w:r>
      <w:r w:rsidRPr="00A11FE0">
        <w:rPr>
          <w:rFonts w:asciiTheme="majorHAnsi" w:hAnsiTheme="majorHAnsi"/>
          <w:szCs w:val="22"/>
        </w:rPr>
        <w:t xml:space="preserve">objeme cca 270 mil. </w:t>
      </w:r>
      <w:r w:rsidR="00992762">
        <w:rPr>
          <w:rFonts w:asciiTheme="majorHAnsi" w:hAnsiTheme="majorHAnsi"/>
          <w:szCs w:val="22"/>
        </w:rPr>
        <w:t>EUR</w:t>
      </w:r>
      <w:r w:rsidRPr="00A11FE0">
        <w:rPr>
          <w:rFonts w:asciiTheme="majorHAnsi" w:hAnsiTheme="majorHAnsi"/>
          <w:szCs w:val="22"/>
        </w:rPr>
        <w:t>. Priemerná mesačná výška pomoci v</w:t>
      </w:r>
      <w:r w:rsidR="00113E3E">
        <w:rPr>
          <w:rFonts w:asciiTheme="majorHAnsi" w:hAnsiTheme="majorHAnsi"/>
          <w:szCs w:val="22"/>
        </w:rPr>
        <w:t> </w:t>
      </w:r>
      <w:r w:rsidRPr="00A11FE0">
        <w:rPr>
          <w:rFonts w:asciiTheme="majorHAnsi" w:hAnsiTheme="majorHAnsi"/>
          <w:szCs w:val="22"/>
        </w:rPr>
        <w:t>hmotnej</w:t>
      </w:r>
      <w:r w:rsidR="00113E3E">
        <w:rPr>
          <w:rFonts w:asciiTheme="majorHAnsi" w:hAnsiTheme="majorHAnsi"/>
          <w:szCs w:val="22"/>
        </w:rPr>
        <w:t xml:space="preserve"> </w:t>
      </w:r>
      <w:r w:rsidRPr="00A11FE0">
        <w:rPr>
          <w:rFonts w:asciiTheme="majorHAnsi" w:hAnsiTheme="majorHAnsi"/>
          <w:szCs w:val="22"/>
        </w:rPr>
        <w:t xml:space="preserve">núdzi bola 122,89 </w:t>
      </w:r>
      <w:r w:rsidR="00992762">
        <w:rPr>
          <w:rFonts w:asciiTheme="majorHAnsi" w:hAnsiTheme="majorHAnsi"/>
          <w:szCs w:val="22"/>
        </w:rPr>
        <w:t>EUR</w:t>
      </w:r>
      <w:r w:rsidRPr="00A11FE0">
        <w:rPr>
          <w:rFonts w:asciiTheme="majorHAnsi" w:hAnsiTheme="majorHAnsi"/>
          <w:szCs w:val="22"/>
        </w:rPr>
        <w:t>.</w:t>
      </w:r>
    </w:p>
    <w:p w:rsidR="00406C25" w:rsidRPr="00A11FE0" w:rsidRDefault="00406C25" w:rsidP="002F2443">
      <w:pPr>
        <w:rPr>
          <w:rFonts w:asciiTheme="majorHAnsi" w:hAnsiTheme="majorHAnsi"/>
          <w:szCs w:val="22"/>
        </w:rPr>
      </w:pPr>
      <w:r w:rsidRPr="00A11FE0">
        <w:rPr>
          <w:rFonts w:asciiTheme="majorHAnsi" w:hAnsiTheme="majorHAnsi"/>
          <w:szCs w:val="22"/>
        </w:rPr>
        <w:t>V</w:t>
      </w:r>
      <w:r w:rsidR="00B32FF2">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s</w:t>
      </w:r>
      <w:r w:rsidRPr="00A11FE0">
        <w:rPr>
          <w:rFonts w:asciiTheme="majorHAnsi" w:hAnsiTheme="majorHAnsi"/>
          <w:szCs w:val="22"/>
        </w:rPr>
        <w:t>a v</w:t>
      </w:r>
      <w:r w:rsidR="00B32FF2">
        <w:rPr>
          <w:rFonts w:asciiTheme="majorHAnsi" w:hAnsiTheme="majorHAnsi"/>
          <w:szCs w:val="22"/>
        </w:rPr>
        <w:t> </w:t>
      </w:r>
      <w:r w:rsidRPr="00A11FE0">
        <w:rPr>
          <w:rFonts w:asciiTheme="majorHAnsi" w:hAnsiTheme="majorHAnsi"/>
          <w:szCs w:val="22"/>
        </w:rPr>
        <w:t>miere rizika chudoby prejavili regionálne disparity. Najnižšia miera rizika chudoby bola v</w:t>
      </w:r>
      <w:r w:rsidR="00C256F7">
        <w:rPr>
          <w:rFonts w:asciiTheme="majorHAnsi" w:hAnsiTheme="majorHAnsi"/>
          <w:szCs w:val="22"/>
        </w:rPr>
        <w:t> </w:t>
      </w:r>
      <w:r w:rsidRPr="00A11FE0">
        <w:rPr>
          <w:rFonts w:asciiTheme="majorHAnsi" w:hAnsiTheme="majorHAnsi"/>
          <w:szCs w:val="22"/>
        </w:rPr>
        <w:t>BSK</w:t>
      </w:r>
      <w:r w:rsidR="00C256F7">
        <w:rPr>
          <w:rFonts w:asciiTheme="majorHAnsi" w:hAnsiTheme="majorHAnsi"/>
          <w:szCs w:val="22"/>
        </w:rPr>
        <w:t xml:space="preserve"> </w:t>
      </w:r>
      <w:r w:rsidR="00BD5FD5">
        <w:rPr>
          <w:rFonts w:asciiTheme="majorHAnsi" w:hAnsiTheme="majorHAnsi"/>
          <w:szCs w:val="22"/>
        </w:rPr>
        <w:t>a </w:t>
      </w:r>
      <w:r w:rsidRPr="00A11FE0">
        <w:rPr>
          <w:rFonts w:asciiTheme="majorHAnsi" w:hAnsiTheme="majorHAnsi"/>
          <w:szCs w:val="22"/>
        </w:rPr>
        <w:t>najvyššia v</w:t>
      </w:r>
      <w:r w:rsidR="00B32FF2">
        <w:rPr>
          <w:rFonts w:asciiTheme="majorHAnsi" w:hAnsiTheme="majorHAnsi"/>
          <w:szCs w:val="22"/>
        </w:rPr>
        <w:t> </w:t>
      </w:r>
      <w:r w:rsidR="007D3C11" w:rsidDel="007D3C11">
        <w:rPr>
          <w:rFonts w:asciiTheme="majorHAnsi" w:hAnsiTheme="majorHAnsi"/>
          <w:szCs w:val="22"/>
        </w:rPr>
        <w:t xml:space="preserve"> </w:t>
      </w:r>
      <w:r w:rsidR="000919E5">
        <w:rPr>
          <w:rFonts w:asciiTheme="majorHAnsi" w:hAnsiTheme="majorHAnsi"/>
          <w:szCs w:val="22"/>
        </w:rPr>
        <w:t>PSK</w:t>
      </w:r>
      <w:r w:rsidRPr="00A11FE0">
        <w:rPr>
          <w:rFonts w:asciiTheme="majorHAnsi" w:hAnsiTheme="majorHAnsi"/>
          <w:szCs w:val="22"/>
        </w:rPr>
        <w:t>. Z</w:t>
      </w:r>
      <w:r w:rsidR="00B32FF2">
        <w:rPr>
          <w:rFonts w:asciiTheme="majorHAnsi" w:hAnsiTheme="majorHAnsi"/>
          <w:szCs w:val="22"/>
        </w:rPr>
        <w:t> </w:t>
      </w:r>
      <w:r w:rsidRPr="00A11FE0">
        <w:rPr>
          <w:rFonts w:asciiTheme="majorHAnsi" w:hAnsiTheme="majorHAnsi"/>
          <w:szCs w:val="22"/>
        </w:rPr>
        <w:t xml:space="preserve">hľadiska veku </w:t>
      </w:r>
      <w:r w:rsidR="00BD5FD5">
        <w:rPr>
          <w:rFonts w:asciiTheme="majorHAnsi" w:hAnsiTheme="majorHAnsi"/>
          <w:szCs w:val="22"/>
        </w:rPr>
        <w:t>a </w:t>
      </w:r>
      <w:r w:rsidRPr="00A11FE0">
        <w:rPr>
          <w:rFonts w:asciiTheme="majorHAnsi" w:hAnsiTheme="majorHAnsi"/>
          <w:szCs w:val="22"/>
        </w:rPr>
        <w:t>typu domácnosti boli rizikom chudoby najviac ohrozené deti vo veku 0</w:t>
      </w:r>
      <w:r w:rsidR="007D717C" w:rsidRPr="00A11FE0">
        <w:rPr>
          <w:rFonts w:asciiTheme="majorHAnsi" w:hAnsiTheme="majorHAnsi"/>
          <w:szCs w:val="22"/>
        </w:rPr>
        <w:t>-</w:t>
      </w:r>
      <w:r w:rsidRPr="00A11FE0">
        <w:rPr>
          <w:rFonts w:asciiTheme="majorHAnsi" w:hAnsiTheme="majorHAnsi"/>
          <w:szCs w:val="22"/>
        </w:rPr>
        <w:t xml:space="preserve">17 rokov, domácnosti </w:t>
      </w:r>
      <w:r w:rsidR="00BD5FD5">
        <w:rPr>
          <w:rFonts w:asciiTheme="majorHAnsi" w:hAnsiTheme="majorHAnsi"/>
          <w:szCs w:val="22"/>
        </w:rPr>
        <w:t>s </w:t>
      </w:r>
      <w:r w:rsidRPr="00A11FE0">
        <w:rPr>
          <w:rFonts w:asciiTheme="majorHAnsi" w:hAnsiTheme="majorHAnsi"/>
          <w:szCs w:val="22"/>
        </w:rPr>
        <w:t xml:space="preserve">vyšším počtom detí (3 </w:t>
      </w:r>
      <w:r w:rsidR="00BD5FD5">
        <w:rPr>
          <w:rFonts w:asciiTheme="majorHAnsi" w:hAnsiTheme="majorHAnsi"/>
          <w:szCs w:val="22"/>
        </w:rPr>
        <w:t>a </w:t>
      </w:r>
      <w:r w:rsidRPr="00A11FE0">
        <w:rPr>
          <w:rFonts w:asciiTheme="majorHAnsi" w:hAnsiTheme="majorHAnsi"/>
          <w:szCs w:val="22"/>
        </w:rPr>
        <w:t xml:space="preserve">viac) </w:t>
      </w:r>
      <w:r w:rsidR="00BD5FD5">
        <w:rPr>
          <w:rFonts w:asciiTheme="majorHAnsi" w:hAnsiTheme="majorHAnsi"/>
          <w:szCs w:val="22"/>
        </w:rPr>
        <w:t>a </w:t>
      </w:r>
      <w:r w:rsidRPr="00A11FE0">
        <w:rPr>
          <w:rFonts w:asciiTheme="majorHAnsi" w:hAnsiTheme="majorHAnsi"/>
          <w:szCs w:val="22"/>
        </w:rPr>
        <w:t>neúplné domácnosti.</w:t>
      </w:r>
    </w:p>
    <w:p w:rsidR="008E7522" w:rsidRPr="008E7522" w:rsidRDefault="00406C25" w:rsidP="008E7522">
      <w:pPr>
        <w:tabs>
          <w:tab w:val="left" w:pos="-1"/>
        </w:tabs>
        <w:spacing w:before="60" w:after="60"/>
        <w:rPr>
          <w:rFonts w:asciiTheme="majorHAnsi" w:hAnsiTheme="majorHAnsi"/>
        </w:rPr>
      </w:pPr>
      <w:r w:rsidRPr="00A11FE0">
        <w:rPr>
          <w:rFonts w:asciiTheme="majorHAnsi" w:hAnsiTheme="majorHAnsi"/>
        </w:rPr>
        <w:t xml:space="preserve">Ohrozenie </w:t>
      </w:r>
      <w:r w:rsidR="00BD5FD5">
        <w:rPr>
          <w:rFonts w:asciiTheme="majorHAnsi" w:hAnsiTheme="majorHAnsi"/>
        </w:rPr>
        <w:t>s</w:t>
      </w:r>
      <w:r w:rsidRPr="00A11FE0">
        <w:rPr>
          <w:rFonts w:asciiTheme="majorHAnsi" w:hAnsiTheme="majorHAnsi"/>
        </w:rPr>
        <w:t xml:space="preserve">ociálnym vylúčením </w:t>
      </w:r>
      <w:r w:rsidR="00BD5FD5">
        <w:rPr>
          <w:rFonts w:asciiTheme="majorHAnsi" w:hAnsiTheme="majorHAnsi"/>
        </w:rPr>
        <w:t>s</w:t>
      </w:r>
      <w:r w:rsidRPr="00A11FE0">
        <w:rPr>
          <w:rFonts w:asciiTheme="majorHAnsi" w:hAnsiTheme="majorHAnsi"/>
        </w:rPr>
        <w:t xml:space="preserve">a týka </w:t>
      </w:r>
      <w:r w:rsidR="00BD5FD5">
        <w:rPr>
          <w:rFonts w:asciiTheme="majorHAnsi" w:hAnsiTheme="majorHAnsi"/>
        </w:rPr>
        <w:t>a</w:t>
      </w:r>
      <w:r w:rsidRPr="00A11FE0">
        <w:rPr>
          <w:rFonts w:asciiTheme="majorHAnsi" w:hAnsiTheme="majorHAnsi"/>
        </w:rPr>
        <w:t xml:space="preserve">j osôb, </w:t>
      </w:r>
      <w:r w:rsidR="00BD5FD5">
        <w:rPr>
          <w:rFonts w:asciiTheme="majorHAnsi" w:hAnsiTheme="majorHAnsi"/>
        </w:rPr>
        <w:t>k</w:t>
      </w:r>
      <w:r w:rsidRPr="00A11FE0">
        <w:rPr>
          <w:rFonts w:asciiTheme="majorHAnsi" w:hAnsiTheme="majorHAnsi"/>
        </w:rPr>
        <w:t xml:space="preserve">torým </w:t>
      </w:r>
      <w:r w:rsidR="00BD5FD5">
        <w:rPr>
          <w:rFonts w:asciiTheme="majorHAnsi" w:hAnsiTheme="majorHAnsi"/>
        </w:rPr>
        <w:t>s</w:t>
      </w:r>
      <w:r w:rsidRPr="00A11FE0">
        <w:rPr>
          <w:rFonts w:asciiTheme="majorHAnsi" w:hAnsiTheme="majorHAnsi"/>
        </w:rPr>
        <w:t xml:space="preserve">ú poskytované </w:t>
      </w:r>
      <w:r w:rsidR="00BD5FD5">
        <w:rPr>
          <w:rFonts w:asciiTheme="majorHAnsi" w:hAnsiTheme="majorHAnsi"/>
        </w:rPr>
        <w:t>s</w:t>
      </w:r>
      <w:r w:rsidRPr="00A11FE0">
        <w:rPr>
          <w:rFonts w:asciiTheme="majorHAnsi" w:hAnsiTheme="majorHAnsi"/>
        </w:rPr>
        <w:t xml:space="preserve">ociálne </w:t>
      </w:r>
      <w:r w:rsidR="00BD5FD5">
        <w:rPr>
          <w:rFonts w:asciiTheme="majorHAnsi" w:hAnsiTheme="majorHAnsi"/>
        </w:rPr>
        <w:t>s</w:t>
      </w:r>
      <w:r w:rsidRPr="00A11FE0">
        <w:rPr>
          <w:rFonts w:asciiTheme="majorHAnsi" w:hAnsiTheme="majorHAnsi"/>
        </w:rPr>
        <w:t xml:space="preserve">lužby </w:t>
      </w:r>
      <w:r w:rsidR="00BD5FD5">
        <w:rPr>
          <w:rFonts w:asciiTheme="majorHAnsi" w:hAnsiTheme="majorHAnsi"/>
        </w:rPr>
        <w:t>a</w:t>
      </w:r>
      <w:r w:rsidRPr="00A11FE0">
        <w:rPr>
          <w:rFonts w:asciiTheme="majorHAnsi" w:hAnsiTheme="majorHAnsi"/>
        </w:rPr>
        <w:t xml:space="preserve">lebo náhradná </w:t>
      </w:r>
      <w:r w:rsidR="00BD5FD5">
        <w:rPr>
          <w:rFonts w:asciiTheme="majorHAnsi" w:hAnsiTheme="majorHAnsi"/>
        </w:rPr>
        <w:t>s</w:t>
      </w:r>
      <w:r w:rsidRPr="00A11FE0">
        <w:rPr>
          <w:rFonts w:asciiTheme="majorHAnsi" w:hAnsiTheme="majorHAnsi"/>
        </w:rPr>
        <w:t xml:space="preserve">tarostlivosť, hlavne detí, </w:t>
      </w:r>
      <w:r w:rsidR="00BD5FD5">
        <w:rPr>
          <w:rFonts w:asciiTheme="majorHAnsi" w:hAnsiTheme="majorHAnsi"/>
        </w:rPr>
        <w:t>k</w:t>
      </w:r>
      <w:r w:rsidRPr="00A11FE0">
        <w:rPr>
          <w:rFonts w:asciiTheme="majorHAnsi" w:hAnsiTheme="majorHAnsi"/>
        </w:rPr>
        <w:t xml:space="preserve">toré </w:t>
      </w:r>
      <w:r w:rsidR="00BD5FD5">
        <w:rPr>
          <w:rFonts w:asciiTheme="majorHAnsi" w:hAnsiTheme="majorHAnsi"/>
        </w:rPr>
        <w:t>s</w:t>
      </w:r>
      <w:r w:rsidRPr="00A11FE0">
        <w:rPr>
          <w:rFonts w:asciiTheme="majorHAnsi" w:hAnsiTheme="majorHAnsi"/>
        </w:rPr>
        <w:t>ú umiestnené v</w:t>
      </w:r>
      <w:r w:rsidR="00010D3B">
        <w:rPr>
          <w:rFonts w:asciiTheme="majorHAnsi" w:hAnsiTheme="majorHAnsi"/>
        </w:rPr>
        <w:t> </w:t>
      </w:r>
      <w:r w:rsidRPr="00A11FE0">
        <w:rPr>
          <w:rFonts w:asciiTheme="majorHAnsi" w:hAnsiTheme="majorHAnsi"/>
        </w:rPr>
        <w:t>inštitucionálnych zariadeniach. V</w:t>
      </w:r>
      <w:r w:rsidR="00C256F7">
        <w:rPr>
          <w:rFonts w:asciiTheme="majorHAnsi" w:hAnsiTheme="majorHAnsi"/>
        </w:rPr>
        <w:t> </w:t>
      </w:r>
      <w:r w:rsidRPr="00A11FE0">
        <w:rPr>
          <w:rFonts w:asciiTheme="majorHAnsi" w:hAnsiTheme="majorHAnsi"/>
        </w:rPr>
        <w:t>podmienkach</w:t>
      </w:r>
      <w:r w:rsidR="00C256F7">
        <w:rPr>
          <w:rFonts w:asciiTheme="majorHAnsi" w:hAnsiTheme="majorHAnsi"/>
        </w:rPr>
        <w:t xml:space="preserve"> </w:t>
      </w:r>
      <w:r w:rsidR="00BD5FD5">
        <w:rPr>
          <w:rFonts w:asciiTheme="majorHAnsi" w:hAnsiTheme="majorHAnsi"/>
        </w:rPr>
        <w:t>S</w:t>
      </w:r>
      <w:r w:rsidRPr="00A11FE0">
        <w:rPr>
          <w:rFonts w:asciiTheme="majorHAnsi" w:hAnsiTheme="majorHAnsi"/>
        </w:rPr>
        <w:t>R výrazne prevláda tradičný inštitucionálny model. Z</w:t>
      </w:r>
      <w:r w:rsidR="00010D3B">
        <w:rPr>
          <w:rFonts w:asciiTheme="majorHAnsi" w:hAnsiTheme="majorHAnsi"/>
        </w:rPr>
        <w:t> </w:t>
      </w:r>
      <w:r w:rsidRPr="00A11FE0">
        <w:rPr>
          <w:rFonts w:asciiTheme="majorHAnsi" w:hAnsiTheme="majorHAnsi"/>
        </w:rPr>
        <w:t xml:space="preserve">toho dôvodu je nevyhnutné postupne transformovať tento </w:t>
      </w:r>
      <w:r w:rsidR="00BD5FD5">
        <w:rPr>
          <w:rFonts w:asciiTheme="majorHAnsi" w:hAnsiTheme="majorHAnsi"/>
        </w:rPr>
        <w:t>s</w:t>
      </w:r>
      <w:r w:rsidRPr="00A11FE0">
        <w:rPr>
          <w:rFonts w:asciiTheme="majorHAnsi" w:hAnsiTheme="majorHAnsi"/>
        </w:rPr>
        <w:t xml:space="preserve">ystém </w:t>
      </w:r>
      <w:r w:rsidR="00BD5FD5">
        <w:rPr>
          <w:rFonts w:asciiTheme="majorHAnsi" w:hAnsiTheme="majorHAnsi"/>
        </w:rPr>
        <w:t>s</w:t>
      </w:r>
      <w:r w:rsidRPr="00A11FE0">
        <w:rPr>
          <w:rFonts w:asciiTheme="majorHAnsi" w:hAnsiTheme="majorHAnsi"/>
        </w:rPr>
        <w:t xml:space="preserve">merom </w:t>
      </w:r>
      <w:r w:rsidR="00BD5FD5">
        <w:rPr>
          <w:rFonts w:asciiTheme="majorHAnsi" w:hAnsiTheme="majorHAnsi"/>
        </w:rPr>
        <w:t>k </w:t>
      </w:r>
      <w:r w:rsidRPr="00A11FE0">
        <w:rPr>
          <w:rFonts w:asciiTheme="majorHAnsi" w:hAnsiTheme="majorHAnsi"/>
        </w:rPr>
        <w:t xml:space="preserve">rozvoju </w:t>
      </w:r>
      <w:r w:rsidR="00BD5FD5">
        <w:rPr>
          <w:rFonts w:asciiTheme="majorHAnsi" w:hAnsiTheme="majorHAnsi"/>
        </w:rPr>
        <w:t>s</w:t>
      </w:r>
      <w:r w:rsidRPr="00A11FE0">
        <w:rPr>
          <w:rFonts w:asciiTheme="majorHAnsi" w:hAnsiTheme="majorHAnsi"/>
        </w:rPr>
        <w:t xml:space="preserve">ystému </w:t>
      </w:r>
      <w:r w:rsidR="00BD5FD5">
        <w:rPr>
          <w:rFonts w:asciiTheme="majorHAnsi" w:hAnsiTheme="majorHAnsi"/>
        </w:rPr>
        <w:t>s</w:t>
      </w:r>
      <w:r w:rsidRPr="00A11FE0">
        <w:rPr>
          <w:rFonts w:asciiTheme="majorHAnsi" w:hAnsiTheme="majorHAnsi"/>
        </w:rPr>
        <w:t xml:space="preserve">ociálnych </w:t>
      </w:r>
      <w:r w:rsidR="00BD5FD5">
        <w:rPr>
          <w:rFonts w:asciiTheme="majorHAnsi" w:hAnsiTheme="majorHAnsi"/>
        </w:rPr>
        <w:t>s</w:t>
      </w:r>
      <w:r w:rsidRPr="00A11FE0">
        <w:rPr>
          <w:rFonts w:asciiTheme="majorHAnsi" w:hAnsiTheme="majorHAnsi"/>
        </w:rPr>
        <w:t xml:space="preserve">lužieb </w:t>
      </w:r>
      <w:r w:rsidR="00BD5FD5">
        <w:rPr>
          <w:rFonts w:asciiTheme="majorHAnsi" w:hAnsiTheme="majorHAnsi"/>
        </w:rPr>
        <w:t>a s</w:t>
      </w:r>
      <w:r w:rsidRPr="00A11FE0">
        <w:rPr>
          <w:rFonts w:asciiTheme="majorHAnsi" w:hAnsiTheme="majorHAnsi"/>
        </w:rPr>
        <w:t xml:space="preserve">ystému </w:t>
      </w:r>
      <w:r w:rsidRPr="00A11FE0">
        <w:rPr>
          <w:rFonts w:asciiTheme="majorHAnsi" w:hAnsiTheme="majorHAnsi"/>
        </w:rPr>
        <w:lastRenderedPageBreak/>
        <w:t xml:space="preserve">náhradnej </w:t>
      </w:r>
      <w:r w:rsidR="00BD5FD5">
        <w:rPr>
          <w:rFonts w:asciiTheme="majorHAnsi" w:hAnsiTheme="majorHAnsi"/>
        </w:rPr>
        <w:t>s</w:t>
      </w:r>
      <w:r w:rsidRPr="00A11FE0">
        <w:rPr>
          <w:rFonts w:asciiTheme="majorHAnsi" w:hAnsiTheme="majorHAnsi"/>
        </w:rPr>
        <w:t>tarostlivosti</w:t>
      </w:r>
      <w:r w:rsidR="00260304">
        <w:rPr>
          <w:rFonts w:asciiTheme="majorHAnsi" w:hAnsiTheme="majorHAnsi"/>
        </w:rPr>
        <w:t>, ktoré sú</w:t>
      </w:r>
      <w:r w:rsidRPr="00A11FE0">
        <w:rPr>
          <w:rFonts w:asciiTheme="majorHAnsi" w:hAnsiTheme="majorHAnsi"/>
        </w:rPr>
        <w:t xml:space="preserve"> založen</w:t>
      </w:r>
      <w:r w:rsidR="00260304">
        <w:rPr>
          <w:rFonts w:asciiTheme="majorHAnsi" w:hAnsiTheme="majorHAnsi"/>
        </w:rPr>
        <w:t>é</w:t>
      </w:r>
      <w:r w:rsidRPr="00A11FE0">
        <w:rPr>
          <w:rFonts w:asciiTheme="majorHAnsi" w:hAnsiTheme="majorHAnsi"/>
        </w:rPr>
        <w:t xml:space="preserve"> na </w:t>
      </w:r>
      <w:r w:rsidR="00BD5FD5">
        <w:rPr>
          <w:rFonts w:asciiTheme="majorHAnsi" w:hAnsiTheme="majorHAnsi"/>
        </w:rPr>
        <w:t>k</w:t>
      </w:r>
      <w:r w:rsidRPr="00A11FE0">
        <w:rPr>
          <w:rFonts w:asciiTheme="majorHAnsi" w:hAnsiTheme="majorHAnsi"/>
        </w:rPr>
        <w:t>omunitnej báze. Doposiaľ však deinštitucionalizácia</w:t>
      </w:r>
      <w:r w:rsidRPr="00A11FE0">
        <w:rPr>
          <w:rStyle w:val="Odkaznapoznmkupodiarou"/>
          <w:rFonts w:asciiTheme="majorHAnsi" w:hAnsiTheme="majorHAnsi"/>
        </w:rPr>
        <w:footnoteReference w:id="128"/>
      </w:r>
      <w:r w:rsidRPr="00A11FE0">
        <w:rPr>
          <w:rFonts w:asciiTheme="majorHAnsi" w:hAnsiTheme="majorHAnsi"/>
        </w:rPr>
        <w:t xml:space="preserve"> veľkokapacitných zariadení </w:t>
      </w:r>
      <w:r w:rsidR="00BD5FD5">
        <w:rPr>
          <w:rFonts w:asciiTheme="majorHAnsi" w:hAnsiTheme="majorHAnsi"/>
        </w:rPr>
        <w:t>a s</w:t>
      </w:r>
      <w:r w:rsidRPr="00A11FE0">
        <w:rPr>
          <w:rFonts w:asciiTheme="majorHAnsi" w:hAnsiTheme="majorHAnsi"/>
        </w:rPr>
        <w:t>lužieb prebieha pomaly</w:t>
      </w:r>
      <w:r w:rsidRPr="00A11FE0">
        <w:rPr>
          <w:rStyle w:val="Odkaznapoznmkupodiarou"/>
          <w:rFonts w:asciiTheme="majorHAnsi" w:hAnsiTheme="majorHAnsi"/>
        </w:rPr>
        <w:footnoteReference w:id="129"/>
      </w:r>
      <w:r w:rsidR="00381118" w:rsidRPr="00A11FE0">
        <w:rPr>
          <w:rFonts w:asciiTheme="majorHAnsi" w:hAnsiTheme="majorHAnsi"/>
        </w:rPr>
        <w:t>,</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omunitné </w:t>
      </w:r>
      <w:r w:rsidR="00BD5FD5">
        <w:rPr>
          <w:rFonts w:asciiTheme="majorHAnsi" w:hAnsiTheme="majorHAnsi"/>
        </w:rPr>
        <w:t>s</w:t>
      </w:r>
      <w:r w:rsidRPr="00A11FE0">
        <w:rPr>
          <w:rFonts w:asciiTheme="majorHAnsi" w:hAnsiTheme="majorHAnsi"/>
        </w:rPr>
        <w:t xml:space="preserve">lužby </w:t>
      </w:r>
      <w:r w:rsidR="00BD5FD5">
        <w:rPr>
          <w:rFonts w:asciiTheme="majorHAnsi" w:hAnsiTheme="majorHAnsi"/>
        </w:rPr>
        <w:t>s</w:t>
      </w:r>
      <w:r w:rsidRPr="00A11FE0">
        <w:rPr>
          <w:rFonts w:asciiTheme="majorHAnsi" w:hAnsiTheme="majorHAnsi"/>
        </w:rPr>
        <w:t xml:space="preserve">ú nedostatočne rozvinuté, vrátane </w:t>
      </w:r>
      <w:r w:rsidR="00BD5FD5">
        <w:rPr>
          <w:rFonts w:asciiTheme="majorHAnsi" w:hAnsiTheme="majorHAnsi"/>
        </w:rPr>
        <w:t>s</w:t>
      </w:r>
      <w:r w:rsidRPr="00A11FE0">
        <w:rPr>
          <w:rFonts w:asciiTheme="majorHAnsi" w:hAnsiTheme="majorHAnsi"/>
        </w:rPr>
        <w:t xml:space="preserve">lužieb na zosúladenie </w:t>
      </w:r>
      <w:r w:rsidR="00BD5FD5">
        <w:rPr>
          <w:rFonts w:asciiTheme="majorHAnsi" w:hAnsiTheme="majorHAnsi"/>
        </w:rPr>
        <w:t>s</w:t>
      </w:r>
      <w:r w:rsidRPr="00A11FE0">
        <w:rPr>
          <w:rFonts w:asciiTheme="majorHAnsi" w:hAnsiTheme="majorHAnsi"/>
        </w:rPr>
        <w:t xml:space="preserve">úkromného </w:t>
      </w:r>
      <w:r w:rsidR="00BD5FD5">
        <w:rPr>
          <w:rFonts w:asciiTheme="majorHAnsi" w:hAnsiTheme="majorHAnsi"/>
        </w:rPr>
        <w:t>a </w:t>
      </w:r>
      <w:r w:rsidRPr="00A11FE0">
        <w:rPr>
          <w:rFonts w:asciiTheme="majorHAnsi" w:hAnsiTheme="majorHAnsi"/>
        </w:rPr>
        <w:t>pracovného</w:t>
      </w:r>
      <w:r w:rsidR="007D717C" w:rsidRPr="00A11FE0">
        <w:rPr>
          <w:rFonts w:asciiTheme="majorHAnsi" w:hAnsiTheme="majorHAnsi"/>
        </w:rPr>
        <w:t xml:space="preserve"> </w:t>
      </w:r>
      <w:r w:rsidRPr="00A11FE0">
        <w:rPr>
          <w:rFonts w:asciiTheme="majorHAnsi" w:hAnsiTheme="majorHAnsi"/>
        </w:rPr>
        <w:t xml:space="preserve">života </w:t>
      </w:r>
      <w:r w:rsidR="008E7522" w:rsidRPr="008E7522">
        <w:rPr>
          <w:rFonts w:asciiTheme="majorHAnsi" w:hAnsiTheme="majorHAnsi"/>
        </w:rPr>
        <w:t>(zariadenia služieb starostlivosti o dieťa do troch rokov veku).</w:t>
      </w:r>
    </w:p>
    <w:p w:rsidR="00406C25" w:rsidRPr="00A11FE0" w:rsidRDefault="00BD5FD5" w:rsidP="00406C25">
      <w:pPr>
        <w:tabs>
          <w:tab w:val="left" w:pos="-1"/>
        </w:tabs>
        <w:spacing w:before="60" w:after="60"/>
        <w:rPr>
          <w:rFonts w:asciiTheme="majorHAnsi" w:hAnsiTheme="majorHAnsi"/>
        </w:rPr>
      </w:pPr>
      <w:r>
        <w:rPr>
          <w:rFonts w:asciiTheme="majorHAnsi" w:hAnsiTheme="majorHAnsi"/>
        </w:rPr>
        <w:t>S</w:t>
      </w:r>
      <w:r w:rsidR="00406C25" w:rsidRPr="00A11FE0">
        <w:rPr>
          <w:rFonts w:asciiTheme="majorHAnsi" w:hAnsiTheme="majorHAnsi"/>
        </w:rPr>
        <w:t xml:space="preserve">prievodným znakom chudoby </w:t>
      </w:r>
      <w:r>
        <w:rPr>
          <w:rFonts w:asciiTheme="majorHAnsi" w:hAnsiTheme="majorHAnsi"/>
        </w:rPr>
        <w:t>a s</w:t>
      </w:r>
      <w:r w:rsidR="00406C25" w:rsidRPr="00A11FE0">
        <w:rPr>
          <w:rFonts w:asciiTheme="majorHAnsi" w:hAnsiTheme="majorHAnsi"/>
        </w:rPr>
        <w:t xml:space="preserve">ociálneho vylúčenia je úroveň zdravotného </w:t>
      </w:r>
      <w:r>
        <w:rPr>
          <w:rFonts w:asciiTheme="majorHAnsi" w:hAnsiTheme="majorHAnsi"/>
        </w:rPr>
        <w:t>s</w:t>
      </w:r>
      <w:r w:rsidR="00406C25" w:rsidRPr="00A11FE0">
        <w:rPr>
          <w:rFonts w:asciiTheme="majorHAnsi" w:hAnsiTheme="majorHAnsi"/>
        </w:rPr>
        <w:t xml:space="preserve">tavu obyvateľstva. Zlý zdravotný </w:t>
      </w:r>
      <w:r>
        <w:rPr>
          <w:rFonts w:asciiTheme="majorHAnsi" w:hAnsiTheme="majorHAnsi"/>
        </w:rPr>
        <w:t>s</w:t>
      </w:r>
      <w:r w:rsidR="00406C25" w:rsidRPr="00A11FE0">
        <w:rPr>
          <w:rFonts w:asciiTheme="majorHAnsi" w:hAnsiTheme="majorHAnsi"/>
        </w:rPr>
        <w:t>tav je jednou z</w:t>
      </w:r>
      <w:r w:rsidR="00010D3B">
        <w:rPr>
          <w:rFonts w:asciiTheme="majorHAnsi" w:hAnsiTheme="majorHAnsi"/>
        </w:rPr>
        <w:t> </w:t>
      </w:r>
      <w:r w:rsidR="00406C25" w:rsidRPr="00A11FE0">
        <w:rPr>
          <w:rFonts w:asciiTheme="majorHAnsi" w:hAnsiTheme="majorHAnsi"/>
        </w:rPr>
        <w:t xml:space="preserve">príčin </w:t>
      </w:r>
      <w:r>
        <w:rPr>
          <w:rFonts w:asciiTheme="majorHAnsi" w:hAnsiTheme="majorHAnsi"/>
        </w:rPr>
        <w:t>s</w:t>
      </w:r>
      <w:r w:rsidR="00406C25" w:rsidRPr="00A11FE0">
        <w:rPr>
          <w:rFonts w:asciiTheme="majorHAnsi" w:hAnsiTheme="majorHAnsi"/>
        </w:rPr>
        <w:t xml:space="preserve">ociálneho vylúčenia </w:t>
      </w:r>
      <w:r>
        <w:rPr>
          <w:rFonts w:asciiTheme="majorHAnsi" w:hAnsiTheme="majorHAnsi"/>
        </w:rPr>
        <w:t>a </w:t>
      </w:r>
      <w:r w:rsidR="00406C25" w:rsidRPr="00A11FE0">
        <w:rPr>
          <w:rFonts w:asciiTheme="majorHAnsi" w:hAnsiTheme="majorHAnsi"/>
        </w:rPr>
        <w:t>chudoby (najmä z</w:t>
      </w:r>
      <w:r w:rsidR="00010D3B">
        <w:rPr>
          <w:rFonts w:asciiTheme="majorHAnsi" w:hAnsiTheme="majorHAnsi"/>
        </w:rPr>
        <w:t> </w:t>
      </w:r>
      <w:r w:rsidR="00406C25" w:rsidRPr="00A11FE0">
        <w:rPr>
          <w:rFonts w:asciiTheme="majorHAnsi" w:hAnsiTheme="majorHAnsi"/>
        </w:rPr>
        <w:t xml:space="preserve">dôvodu následnej </w:t>
      </w:r>
      <w:r>
        <w:rPr>
          <w:rFonts w:asciiTheme="majorHAnsi" w:hAnsiTheme="majorHAnsi"/>
        </w:rPr>
        <w:t>s</w:t>
      </w:r>
      <w:r w:rsidR="00406C25" w:rsidRPr="00A11FE0">
        <w:rPr>
          <w:rFonts w:asciiTheme="majorHAnsi" w:hAnsiTheme="majorHAnsi"/>
        </w:rPr>
        <w:t xml:space="preserve">traty príjmu </w:t>
      </w:r>
      <w:r>
        <w:rPr>
          <w:rFonts w:asciiTheme="majorHAnsi" w:hAnsiTheme="majorHAnsi"/>
        </w:rPr>
        <w:t>a</w:t>
      </w:r>
      <w:r w:rsidR="007D717C" w:rsidRPr="00A11FE0">
        <w:rPr>
          <w:rFonts w:asciiTheme="majorHAnsi" w:hAnsiTheme="majorHAnsi"/>
        </w:rPr>
        <w:t> </w:t>
      </w:r>
      <w:r w:rsidR="00406C25" w:rsidRPr="00A11FE0">
        <w:rPr>
          <w:rFonts w:asciiTheme="majorHAnsi" w:hAnsiTheme="majorHAnsi"/>
        </w:rPr>
        <w:t xml:space="preserve">nezamestnanosti). Na druhej </w:t>
      </w:r>
      <w:r>
        <w:rPr>
          <w:rFonts w:asciiTheme="majorHAnsi" w:hAnsiTheme="majorHAnsi"/>
        </w:rPr>
        <w:t>s</w:t>
      </w:r>
      <w:r w:rsidR="00406C25" w:rsidRPr="00A11FE0">
        <w:rPr>
          <w:rFonts w:asciiTheme="majorHAnsi" w:hAnsiTheme="majorHAnsi"/>
        </w:rPr>
        <w:t>trane</w:t>
      </w:r>
      <w:r w:rsidR="002B47CF" w:rsidRPr="00A11FE0">
        <w:rPr>
          <w:rFonts w:asciiTheme="majorHAnsi" w:hAnsiTheme="majorHAnsi"/>
        </w:rPr>
        <w:t>,</w:t>
      </w:r>
      <w:r w:rsidR="00406C25" w:rsidRPr="00A11FE0">
        <w:rPr>
          <w:rFonts w:asciiTheme="majorHAnsi" w:hAnsiTheme="majorHAnsi"/>
        </w:rPr>
        <w:t xml:space="preserve"> </w:t>
      </w:r>
      <w:r>
        <w:rPr>
          <w:rFonts w:asciiTheme="majorHAnsi" w:hAnsiTheme="majorHAnsi"/>
        </w:rPr>
        <w:t>s</w:t>
      </w:r>
      <w:r w:rsidR="00406C25" w:rsidRPr="00A11FE0">
        <w:rPr>
          <w:rFonts w:asciiTheme="majorHAnsi" w:hAnsiTheme="majorHAnsi"/>
        </w:rPr>
        <w:t xml:space="preserve">ociálne vylúčenie </w:t>
      </w:r>
      <w:r>
        <w:rPr>
          <w:rFonts w:asciiTheme="majorHAnsi" w:hAnsiTheme="majorHAnsi"/>
        </w:rPr>
        <w:t>a </w:t>
      </w:r>
      <w:r w:rsidR="00406C25" w:rsidRPr="00A11FE0">
        <w:rPr>
          <w:rFonts w:asciiTheme="majorHAnsi" w:hAnsiTheme="majorHAnsi"/>
        </w:rPr>
        <w:t xml:space="preserve">chudoba je zároveň príčinou zhoršovania zdravotného </w:t>
      </w:r>
      <w:r>
        <w:rPr>
          <w:rFonts w:asciiTheme="majorHAnsi" w:hAnsiTheme="majorHAnsi"/>
        </w:rPr>
        <w:t>s</w:t>
      </w:r>
      <w:r w:rsidR="00406C25" w:rsidRPr="00A11FE0">
        <w:rPr>
          <w:rFonts w:asciiTheme="majorHAnsi" w:hAnsiTheme="majorHAnsi"/>
        </w:rPr>
        <w:t>tavu obyvateľstva žijúceho v</w:t>
      </w:r>
      <w:r w:rsidR="00010D3B">
        <w:rPr>
          <w:rFonts w:asciiTheme="majorHAnsi" w:hAnsiTheme="majorHAnsi"/>
        </w:rPr>
        <w:t> </w:t>
      </w:r>
      <w:r w:rsidR="00406C25" w:rsidRPr="00A11FE0">
        <w:rPr>
          <w:rFonts w:asciiTheme="majorHAnsi" w:hAnsiTheme="majorHAnsi"/>
        </w:rPr>
        <w:t xml:space="preserve">riziku </w:t>
      </w:r>
      <w:r>
        <w:rPr>
          <w:rFonts w:asciiTheme="majorHAnsi" w:hAnsiTheme="majorHAnsi"/>
        </w:rPr>
        <w:t>s</w:t>
      </w:r>
      <w:r w:rsidR="00406C25" w:rsidRPr="00A11FE0">
        <w:rPr>
          <w:rFonts w:asciiTheme="majorHAnsi" w:hAnsiTheme="majorHAnsi"/>
        </w:rPr>
        <w:t xml:space="preserve">ociálneho vylúčenia </w:t>
      </w:r>
      <w:r>
        <w:rPr>
          <w:rFonts w:asciiTheme="majorHAnsi" w:hAnsiTheme="majorHAnsi"/>
        </w:rPr>
        <w:t>a</w:t>
      </w:r>
      <w:r w:rsidR="008B2288">
        <w:rPr>
          <w:rFonts w:asciiTheme="majorHAnsi" w:hAnsiTheme="majorHAnsi"/>
        </w:rPr>
        <w:t> </w:t>
      </w:r>
      <w:r w:rsidR="00406C25" w:rsidRPr="00A11FE0">
        <w:rPr>
          <w:rFonts w:asciiTheme="majorHAnsi" w:hAnsiTheme="majorHAnsi"/>
        </w:rPr>
        <w:t>chudoby</w:t>
      </w:r>
      <w:r w:rsidR="008B2288">
        <w:rPr>
          <w:rFonts w:asciiTheme="majorHAnsi" w:hAnsiTheme="majorHAnsi"/>
        </w:rPr>
        <w:t xml:space="preserve"> </w:t>
      </w:r>
      <w:r w:rsidR="00406C25" w:rsidRPr="00A11FE0">
        <w:rPr>
          <w:rFonts w:asciiTheme="majorHAnsi" w:hAnsiTheme="majorHAnsi"/>
        </w:rPr>
        <w:t xml:space="preserve">(zníženie zodpovednosti za vlastné zdravie, zníženie dostupnosti </w:t>
      </w:r>
      <w:r>
        <w:rPr>
          <w:rFonts w:asciiTheme="majorHAnsi" w:hAnsiTheme="majorHAnsi"/>
        </w:rPr>
        <w:t>k</w:t>
      </w:r>
      <w:r w:rsidR="00406C25" w:rsidRPr="00A11FE0">
        <w:rPr>
          <w:rFonts w:asciiTheme="majorHAnsi" w:hAnsiTheme="majorHAnsi"/>
        </w:rPr>
        <w:t xml:space="preserve">u </w:t>
      </w:r>
      <w:r>
        <w:rPr>
          <w:rFonts w:asciiTheme="majorHAnsi" w:hAnsiTheme="majorHAnsi"/>
        </w:rPr>
        <w:t>k</w:t>
      </w:r>
      <w:r w:rsidR="00406C25" w:rsidRPr="00A11FE0">
        <w:rPr>
          <w:rFonts w:asciiTheme="majorHAnsi" w:hAnsiTheme="majorHAnsi"/>
        </w:rPr>
        <w:t xml:space="preserve">valitnej zdravotnej </w:t>
      </w:r>
      <w:r>
        <w:rPr>
          <w:rFonts w:asciiTheme="majorHAnsi" w:hAnsiTheme="majorHAnsi"/>
        </w:rPr>
        <w:t>s</w:t>
      </w:r>
      <w:r w:rsidR="00406C25" w:rsidRPr="00A11FE0">
        <w:rPr>
          <w:rFonts w:asciiTheme="majorHAnsi" w:hAnsiTheme="majorHAnsi"/>
        </w:rPr>
        <w:t xml:space="preserve">tarostlivosti). Zdravé roky života obyvateľstva </w:t>
      </w:r>
      <w:r>
        <w:rPr>
          <w:rFonts w:asciiTheme="majorHAnsi" w:hAnsiTheme="majorHAnsi"/>
        </w:rPr>
        <w:t>S</w:t>
      </w:r>
      <w:r w:rsidR="00406C25" w:rsidRPr="00A11FE0">
        <w:rPr>
          <w:rFonts w:asciiTheme="majorHAnsi" w:hAnsiTheme="majorHAnsi"/>
        </w:rPr>
        <w:t>R pri narodení (muži-52,4</w:t>
      </w:r>
      <w:r w:rsidR="002B47CF" w:rsidRPr="00A11FE0">
        <w:rPr>
          <w:rFonts w:asciiTheme="majorHAnsi" w:hAnsiTheme="majorHAnsi"/>
        </w:rPr>
        <w:t>,</w:t>
      </w:r>
      <w:r w:rsidR="00406C25" w:rsidRPr="00A11FE0">
        <w:rPr>
          <w:rFonts w:asciiTheme="majorHAnsi" w:hAnsiTheme="majorHAnsi"/>
        </w:rPr>
        <w:t xml:space="preserve"> ženy-52,1)</w:t>
      </w:r>
      <w:r w:rsidR="000919E5">
        <w:rPr>
          <w:rFonts w:asciiTheme="majorHAnsi" w:hAnsiTheme="majorHAnsi"/>
        </w:rPr>
        <w:t>,</w:t>
      </w:r>
      <w:r w:rsidR="00406C25" w:rsidRPr="00A11FE0">
        <w:rPr>
          <w:rFonts w:asciiTheme="majorHAnsi" w:hAnsiTheme="majorHAnsi"/>
        </w:rPr>
        <w:t xml:space="preserve"> výrazne zaostávajú za hodnotami priemeru </w:t>
      </w:r>
      <w:r>
        <w:rPr>
          <w:rFonts w:asciiTheme="majorHAnsi" w:hAnsiTheme="majorHAnsi"/>
        </w:rPr>
        <w:t>k</w:t>
      </w:r>
      <w:r w:rsidR="00406C25" w:rsidRPr="00A11FE0">
        <w:rPr>
          <w:rFonts w:asciiTheme="majorHAnsi" w:hAnsiTheme="majorHAnsi"/>
        </w:rPr>
        <w:t>rajín OECD (muži-61,9</w:t>
      </w:r>
      <w:r w:rsidR="00D4670D">
        <w:rPr>
          <w:rFonts w:asciiTheme="majorHAnsi" w:hAnsiTheme="majorHAnsi"/>
        </w:rPr>
        <w:t>,</w:t>
      </w:r>
      <w:r w:rsidR="00406C25" w:rsidRPr="00A11FE0">
        <w:rPr>
          <w:rFonts w:asciiTheme="majorHAnsi" w:hAnsiTheme="majorHAnsi"/>
        </w:rPr>
        <w:t xml:space="preserve"> ženy</w:t>
      </w:r>
      <w:r w:rsidR="003876F0" w:rsidRPr="00A11FE0">
        <w:rPr>
          <w:rFonts w:asciiTheme="majorHAnsi" w:hAnsiTheme="majorHAnsi"/>
        </w:rPr>
        <w:t>-</w:t>
      </w:r>
      <w:r w:rsidR="00406C25" w:rsidRPr="00A11FE0">
        <w:rPr>
          <w:rFonts w:asciiTheme="majorHAnsi" w:hAnsiTheme="majorHAnsi"/>
        </w:rPr>
        <w:t>62,7)</w:t>
      </w:r>
      <w:r w:rsidR="00406C25" w:rsidRPr="00A11FE0">
        <w:rPr>
          <w:rStyle w:val="Odkaznapoznmkupodiarou"/>
          <w:rFonts w:asciiTheme="majorHAnsi" w:hAnsiTheme="majorHAnsi"/>
        </w:rPr>
        <w:footnoteReference w:id="130"/>
      </w:r>
      <w:r w:rsidR="00406C25" w:rsidRPr="00A11FE0">
        <w:rPr>
          <w:rFonts w:asciiTheme="majorHAnsi" w:hAnsiTheme="majorHAnsi"/>
        </w:rPr>
        <w:t xml:space="preserve">. </w:t>
      </w:r>
      <w:r>
        <w:rPr>
          <w:rFonts w:asciiTheme="majorHAnsi" w:hAnsiTheme="majorHAnsi"/>
        </w:rPr>
        <w:t>S</w:t>
      </w:r>
      <w:r w:rsidR="00406C25" w:rsidRPr="00A11FE0">
        <w:rPr>
          <w:rFonts w:asciiTheme="majorHAnsi" w:hAnsiTheme="majorHAnsi"/>
        </w:rPr>
        <w:t xml:space="preserve">R zaostáva </w:t>
      </w:r>
      <w:r>
        <w:rPr>
          <w:rFonts w:asciiTheme="majorHAnsi" w:hAnsiTheme="majorHAnsi"/>
        </w:rPr>
        <w:t>a</w:t>
      </w:r>
      <w:r w:rsidR="00406C25" w:rsidRPr="00A11FE0">
        <w:rPr>
          <w:rFonts w:asciiTheme="majorHAnsi" w:hAnsiTheme="majorHAnsi"/>
        </w:rPr>
        <w:t>j v</w:t>
      </w:r>
      <w:r w:rsidR="006B7142">
        <w:rPr>
          <w:rFonts w:asciiTheme="majorHAnsi" w:hAnsiTheme="majorHAnsi"/>
        </w:rPr>
        <w:t> </w:t>
      </w:r>
      <w:r w:rsidR="00406C25" w:rsidRPr="00A11FE0">
        <w:rPr>
          <w:rFonts w:asciiTheme="majorHAnsi" w:hAnsiTheme="majorHAnsi"/>
        </w:rPr>
        <w:t>očakávanej</w:t>
      </w:r>
      <w:r w:rsidR="006B7142">
        <w:rPr>
          <w:rFonts w:asciiTheme="majorHAnsi" w:hAnsiTheme="majorHAnsi"/>
        </w:rPr>
        <w:t xml:space="preserve"> </w:t>
      </w:r>
      <w:r w:rsidR="00406C25" w:rsidRPr="00A11FE0">
        <w:rPr>
          <w:rFonts w:asciiTheme="majorHAnsi" w:hAnsiTheme="majorHAnsi"/>
        </w:rPr>
        <w:t>dĺžke života pri narodení v</w:t>
      </w:r>
      <w:r w:rsidR="00113E3E">
        <w:rPr>
          <w:rFonts w:asciiTheme="majorHAnsi" w:hAnsiTheme="majorHAnsi"/>
        </w:rPr>
        <w:t> </w:t>
      </w:r>
      <w:r w:rsidR="00406C25" w:rsidRPr="00A11FE0">
        <w:rPr>
          <w:rFonts w:asciiTheme="majorHAnsi" w:hAnsiTheme="majorHAnsi"/>
        </w:rPr>
        <w:t xml:space="preserve">porovnaní </w:t>
      </w:r>
      <w:r>
        <w:rPr>
          <w:rFonts w:asciiTheme="majorHAnsi" w:hAnsiTheme="majorHAnsi"/>
        </w:rPr>
        <w:t>s </w:t>
      </w:r>
      <w:r w:rsidR="00406C25" w:rsidRPr="00A11FE0">
        <w:rPr>
          <w:rFonts w:asciiTheme="majorHAnsi" w:hAnsiTheme="majorHAnsi"/>
        </w:rPr>
        <w:t>priemerom</w:t>
      </w:r>
      <w:r w:rsidR="007D717C" w:rsidRPr="00A11FE0">
        <w:rPr>
          <w:rFonts w:asciiTheme="majorHAnsi" w:hAnsiTheme="majorHAnsi"/>
        </w:rPr>
        <w:t xml:space="preserve"> </w:t>
      </w:r>
      <w:r w:rsidR="00406C25" w:rsidRPr="00A11FE0">
        <w:rPr>
          <w:rFonts w:asciiTheme="majorHAnsi" w:hAnsiTheme="majorHAnsi"/>
        </w:rPr>
        <w:t xml:space="preserve">OECD </w:t>
      </w:r>
      <w:r>
        <w:rPr>
          <w:rFonts w:asciiTheme="majorHAnsi" w:hAnsiTheme="majorHAnsi"/>
        </w:rPr>
        <w:t>a</w:t>
      </w:r>
      <w:r w:rsidR="00406C25" w:rsidRPr="00A11FE0">
        <w:rPr>
          <w:rFonts w:asciiTheme="majorHAnsi" w:hAnsiTheme="majorHAnsi"/>
        </w:rPr>
        <w:t xml:space="preserve">j </w:t>
      </w:r>
      <w:r>
        <w:rPr>
          <w:rFonts w:asciiTheme="majorHAnsi" w:hAnsiTheme="majorHAnsi"/>
        </w:rPr>
        <w:t>s </w:t>
      </w:r>
      <w:r w:rsidR="00406C25" w:rsidRPr="00A11FE0">
        <w:rPr>
          <w:rFonts w:asciiTheme="majorHAnsi" w:hAnsiTheme="majorHAnsi"/>
        </w:rPr>
        <w:t xml:space="preserve">priemerom </w:t>
      </w:r>
      <w:r>
        <w:rPr>
          <w:rFonts w:asciiTheme="majorHAnsi" w:hAnsiTheme="majorHAnsi"/>
        </w:rPr>
        <w:t>k</w:t>
      </w:r>
      <w:r w:rsidR="00406C25" w:rsidRPr="00A11FE0">
        <w:rPr>
          <w:rFonts w:asciiTheme="majorHAnsi" w:hAnsiTheme="majorHAnsi"/>
        </w:rPr>
        <w:t>rajín V4.</w:t>
      </w:r>
    </w:p>
    <w:p w:rsidR="00406C25" w:rsidRPr="00A11FE0" w:rsidRDefault="00BD5FD5" w:rsidP="00406C25">
      <w:pPr>
        <w:rPr>
          <w:rFonts w:asciiTheme="majorHAnsi" w:hAnsiTheme="majorHAnsi"/>
        </w:rPr>
      </w:pPr>
      <w:r>
        <w:rPr>
          <w:rFonts w:asciiTheme="majorHAnsi" w:hAnsiTheme="majorHAnsi"/>
        </w:rPr>
        <w:t>K</w:t>
      </w:r>
      <w:r w:rsidR="00406C25" w:rsidRPr="00A11FE0">
        <w:rPr>
          <w:rFonts w:asciiTheme="majorHAnsi" w:hAnsiTheme="majorHAnsi"/>
        </w:rPr>
        <w:t xml:space="preserve">ľúčové problémy v oblasti </w:t>
      </w:r>
      <w:r>
        <w:rPr>
          <w:rFonts w:asciiTheme="majorHAnsi" w:hAnsiTheme="majorHAnsi"/>
        </w:rPr>
        <w:t>s</w:t>
      </w:r>
      <w:r w:rsidR="00406C25" w:rsidRPr="00A11FE0">
        <w:rPr>
          <w:rFonts w:asciiTheme="majorHAnsi" w:hAnsiTheme="majorHAnsi"/>
        </w:rPr>
        <w:t xml:space="preserve">ociálneho začlenenia </w:t>
      </w:r>
      <w:r>
        <w:rPr>
          <w:rFonts w:asciiTheme="majorHAnsi" w:hAnsiTheme="majorHAnsi"/>
        </w:rPr>
        <w:t>a </w:t>
      </w:r>
      <w:r w:rsidR="00406C25" w:rsidRPr="00A11FE0">
        <w:rPr>
          <w:rFonts w:asciiTheme="majorHAnsi" w:hAnsiTheme="majorHAnsi"/>
        </w:rPr>
        <w:t xml:space="preserve">boja proti chudobe, </w:t>
      </w:r>
      <w:r>
        <w:rPr>
          <w:rFonts w:asciiTheme="majorHAnsi" w:hAnsiTheme="majorHAnsi"/>
        </w:rPr>
        <w:t>k</w:t>
      </w:r>
      <w:r w:rsidR="00406C25" w:rsidRPr="00A11FE0">
        <w:rPr>
          <w:rFonts w:asciiTheme="majorHAnsi" w:hAnsiTheme="majorHAnsi"/>
        </w:rPr>
        <w:t xml:space="preserve">torým musí </w:t>
      </w:r>
      <w:r>
        <w:rPr>
          <w:rFonts w:asciiTheme="majorHAnsi" w:hAnsiTheme="majorHAnsi"/>
        </w:rPr>
        <w:t>S</w:t>
      </w:r>
      <w:r w:rsidR="00406C25" w:rsidRPr="00A11FE0">
        <w:rPr>
          <w:rFonts w:asciiTheme="majorHAnsi" w:hAnsiTheme="majorHAnsi"/>
        </w:rPr>
        <w:t xml:space="preserve">R v nasledujúcom období čeliť </w:t>
      </w:r>
      <w:r>
        <w:rPr>
          <w:rFonts w:asciiTheme="majorHAnsi" w:hAnsiTheme="majorHAnsi"/>
        </w:rPr>
        <w:t>s</w:t>
      </w:r>
      <w:r w:rsidR="00406C25" w:rsidRPr="00A11FE0">
        <w:rPr>
          <w:rFonts w:asciiTheme="majorHAnsi" w:hAnsiTheme="majorHAnsi"/>
        </w:rPr>
        <w:t xml:space="preserve">ú: chudoba </w:t>
      </w:r>
      <w:r>
        <w:rPr>
          <w:rFonts w:asciiTheme="majorHAnsi" w:hAnsiTheme="majorHAnsi"/>
        </w:rPr>
        <w:t>a s</w:t>
      </w:r>
      <w:r w:rsidR="00406C25" w:rsidRPr="00A11FE0">
        <w:rPr>
          <w:rFonts w:asciiTheme="majorHAnsi" w:hAnsiTheme="majorHAnsi"/>
        </w:rPr>
        <w:t>ociálne vylúčenie MR</w:t>
      </w:r>
      <w:r w:rsidR="004E2F85">
        <w:rPr>
          <w:rFonts w:asciiTheme="majorHAnsi" w:hAnsiTheme="majorHAnsi"/>
        </w:rPr>
        <w:t>K</w:t>
      </w:r>
      <w:r w:rsidR="00260304">
        <w:rPr>
          <w:rFonts w:asciiTheme="majorHAnsi" w:hAnsiTheme="majorHAnsi"/>
        </w:rPr>
        <w:t>,</w:t>
      </w:r>
      <w:r w:rsidR="00406C25" w:rsidRPr="00A11FE0">
        <w:rPr>
          <w:rFonts w:asciiTheme="majorHAnsi" w:hAnsiTheme="majorHAnsi"/>
        </w:rPr>
        <w:t xml:space="preserve"> riziko </w:t>
      </w:r>
      <w:r>
        <w:rPr>
          <w:rFonts w:asciiTheme="majorHAnsi" w:hAnsiTheme="majorHAnsi"/>
        </w:rPr>
        <w:t>s</w:t>
      </w:r>
      <w:r w:rsidR="00406C25" w:rsidRPr="00A11FE0">
        <w:rPr>
          <w:rFonts w:asciiTheme="majorHAnsi" w:hAnsiTheme="majorHAnsi"/>
        </w:rPr>
        <w:t>ociálneho vylúčenia o</w:t>
      </w:r>
      <w:r w:rsidR="00D50186">
        <w:rPr>
          <w:rFonts w:asciiTheme="majorHAnsi" w:hAnsiTheme="majorHAnsi"/>
        </w:rPr>
        <w:t>sôb</w:t>
      </w:r>
      <w:r w:rsidR="00406C25" w:rsidRPr="00A11FE0">
        <w:rPr>
          <w:rFonts w:asciiTheme="majorHAnsi" w:hAnsiTheme="majorHAnsi"/>
        </w:rPr>
        <w:t xml:space="preserve"> </w:t>
      </w:r>
      <w:r>
        <w:rPr>
          <w:rFonts w:asciiTheme="majorHAnsi" w:hAnsiTheme="majorHAnsi"/>
        </w:rPr>
        <w:t>s</w:t>
      </w:r>
      <w:r w:rsidR="00406C25" w:rsidRPr="00A11FE0">
        <w:rPr>
          <w:rFonts w:asciiTheme="majorHAnsi" w:hAnsiTheme="majorHAnsi"/>
        </w:rPr>
        <w:t>o zdravotným postihnutím</w:t>
      </w:r>
      <w:r w:rsidR="00260304">
        <w:rPr>
          <w:rFonts w:asciiTheme="majorHAnsi" w:hAnsiTheme="majorHAnsi"/>
        </w:rPr>
        <w:t>,</w:t>
      </w:r>
      <w:r w:rsidR="00406C25" w:rsidRPr="00A11FE0">
        <w:rPr>
          <w:rFonts w:asciiTheme="majorHAnsi" w:hAnsiTheme="majorHAnsi"/>
        </w:rPr>
        <w:t xml:space="preserve"> </w:t>
      </w:r>
      <w:r>
        <w:rPr>
          <w:rFonts w:asciiTheme="majorHAnsi" w:hAnsiTheme="majorHAnsi"/>
        </w:rPr>
        <w:t>s</w:t>
      </w:r>
      <w:r w:rsidR="00406C25" w:rsidRPr="00A11FE0">
        <w:rPr>
          <w:rFonts w:asciiTheme="majorHAnsi" w:hAnsiTheme="majorHAnsi"/>
        </w:rPr>
        <w:t>ociálna exklúzia vidieka</w:t>
      </w:r>
      <w:r w:rsidR="00260304">
        <w:rPr>
          <w:rFonts w:asciiTheme="majorHAnsi" w:hAnsiTheme="majorHAnsi"/>
        </w:rPr>
        <w:t>,</w:t>
      </w:r>
      <w:r w:rsidR="00406C25" w:rsidRPr="00A11FE0">
        <w:rPr>
          <w:rFonts w:asciiTheme="majorHAnsi" w:hAnsiTheme="majorHAnsi"/>
        </w:rPr>
        <w:t xml:space="preserve"> nízka úroveň </w:t>
      </w:r>
      <w:r>
        <w:rPr>
          <w:rFonts w:asciiTheme="majorHAnsi" w:hAnsiTheme="majorHAnsi"/>
        </w:rPr>
        <w:t>s</w:t>
      </w:r>
      <w:r w:rsidR="00406C25" w:rsidRPr="00A11FE0">
        <w:rPr>
          <w:rFonts w:asciiTheme="majorHAnsi" w:hAnsiTheme="majorHAnsi"/>
        </w:rPr>
        <w:t xml:space="preserve">ociálnej ekonomiky, nízka efektívnosť </w:t>
      </w:r>
      <w:r>
        <w:rPr>
          <w:rFonts w:asciiTheme="majorHAnsi" w:hAnsiTheme="majorHAnsi"/>
        </w:rPr>
        <w:t>s</w:t>
      </w:r>
      <w:r w:rsidR="00406C25" w:rsidRPr="00A11FE0">
        <w:rPr>
          <w:rFonts w:asciiTheme="majorHAnsi" w:hAnsiTheme="majorHAnsi"/>
        </w:rPr>
        <w:t xml:space="preserve">lovenského zdravotníctva </w:t>
      </w:r>
      <w:r>
        <w:rPr>
          <w:rFonts w:asciiTheme="majorHAnsi" w:hAnsiTheme="majorHAnsi"/>
        </w:rPr>
        <w:t>a </w:t>
      </w:r>
      <w:r w:rsidR="00406C25" w:rsidRPr="00A11FE0">
        <w:rPr>
          <w:rFonts w:asciiTheme="majorHAnsi" w:hAnsiTheme="majorHAnsi"/>
        </w:rPr>
        <w:t xml:space="preserve">úroveň verejného zdravia, deinštitucionalizácia </w:t>
      </w:r>
      <w:r>
        <w:rPr>
          <w:rFonts w:asciiTheme="majorHAnsi" w:hAnsiTheme="majorHAnsi"/>
        </w:rPr>
        <w:t>s</w:t>
      </w:r>
      <w:r w:rsidR="00406C25" w:rsidRPr="00A11FE0">
        <w:rPr>
          <w:rFonts w:asciiTheme="majorHAnsi" w:hAnsiTheme="majorHAnsi"/>
        </w:rPr>
        <w:t xml:space="preserve">ociálnej </w:t>
      </w:r>
      <w:r>
        <w:rPr>
          <w:rFonts w:asciiTheme="majorHAnsi" w:hAnsiTheme="majorHAnsi"/>
        </w:rPr>
        <w:t>s</w:t>
      </w:r>
      <w:r w:rsidR="00406C25" w:rsidRPr="00A11FE0">
        <w:rPr>
          <w:rFonts w:asciiTheme="majorHAnsi" w:hAnsiTheme="majorHAnsi"/>
        </w:rPr>
        <w:t xml:space="preserve">tarostlivosti </w:t>
      </w:r>
      <w:r>
        <w:rPr>
          <w:rFonts w:asciiTheme="majorHAnsi" w:hAnsiTheme="majorHAnsi"/>
        </w:rPr>
        <w:t>a</w:t>
      </w:r>
      <w:r w:rsidR="00406C25" w:rsidRPr="00A11FE0">
        <w:rPr>
          <w:rFonts w:asciiTheme="majorHAnsi" w:hAnsiTheme="majorHAnsi"/>
        </w:rPr>
        <w:t xml:space="preserve"> náhradnej </w:t>
      </w:r>
      <w:r>
        <w:rPr>
          <w:rFonts w:asciiTheme="majorHAnsi" w:hAnsiTheme="majorHAnsi"/>
        </w:rPr>
        <w:t>s</w:t>
      </w:r>
      <w:r w:rsidR="00406C25" w:rsidRPr="00A11FE0">
        <w:rPr>
          <w:rFonts w:asciiTheme="majorHAnsi" w:hAnsiTheme="majorHAnsi"/>
        </w:rPr>
        <w:t>tarostlivosti</w:t>
      </w:r>
      <w:r w:rsidR="0096574B">
        <w:rPr>
          <w:rFonts w:asciiTheme="majorHAnsi" w:hAnsiTheme="majorHAnsi"/>
        </w:rPr>
        <w:t xml:space="preserve"> a zvyšovanie profesionality výkonu sociálnej práce</w:t>
      </w:r>
      <w:r w:rsidR="00406C25" w:rsidRPr="00A11FE0">
        <w:rPr>
          <w:rFonts w:asciiTheme="majorHAnsi" w:hAnsiTheme="majorHAnsi"/>
        </w:rPr>
        <w:t>.</w:t>
      </w:r>
    </w:p>
    <w:p w:rsidR="00406C25" w:rsidRPr="00A11FE0" w:rsidRDefault="00406C25" w:rsidP="00723936">
      <w:pPr>
        <w:pStyle w:val="Nadpis5"/>
        <w:numPr>
          <w:ilvl w:val="4"/>
          <w:numId w:val="2"/>
        </w:numPr>
        <w:ind w:left="1292"/>
        <w:rPr>
          <w:rStyle w:val="FontStyle51"/>
          <w:rFonts w:asciiTheme="majorHAnsi" w:eastAsiaTheme="minorEastAsia" w:hAnsiTheme="majorHAnsi"/>
          <w:color w:val="auto"/>
          <w:szCs w:val="22"/>
        </w:rPr>
      </w:pPr>
      <w:r w:rsidRPr="00A11FE0">
        <w:rPr>
          <w:rStyle w:val="FontStyle51"/>
          <w:rFonts w:asciiTheme="majorHAnsi" w:hAnsiTheme="majorHAnsi"/>
          <w:szCs w:val="22"/>
        </w:rPr>
        <w:t xml:space="preserve">Chudoba </w:t>
      </w:r>
      <w:r w:rsidR="00BD5FD5">
        <w:rPr>
          <w:rStyle w:val="FontStyle51"/>
          <w:rFonts w:asciiTheme="majorHAnsi" w:hAnsiTheme="majorHAnsi"/>
          <w:szCs w:val="22"/>
        </w:rPr>
        <w:t>a s</w:t>
      </w:r>
      <w:r w:rsidRPr="00A11FE0">
        <w:rPr>
          <w:rStyle w:val="FontStyle51"/>
          <w:rFonts w:asciiTheme="majorHAnsi" w:hAnsiTheme="majorHAnsi"/>
          <w:szCs w:val="22"/>
        </w:rPr>
        <w:t>ociálne vylúčenie MRK</w:t>
      </w:r>
    </w:p>
    <w:p w:rsidR="00406C25" w:rsidRPr="00A11FE0" w:rsidRDefault="00406C25" w:rsidP="00406C25">
      <w:pPr>
        <w:rPr>
          <w:rFonts w:asciiTheme="majorHAnsi" w:hAnsiTheme="majorHAnsi"/>
          <w:szCs w:val="22"/>
        </w:rPr>
      </w:pPr>
      <w:r w:rsidRPr="00A11FE0">
        <w:rPr>
          <w:rFonts w:asciiTheme="majorHAnsi" w:hAnsiTheme="majorHAnsi"/>
          <w:color w:val="000000"/>
          <w:szCs w:val="22"/>
          <w:lang w:eastAsia="sk-SK"/>
        </w:rPr>
        <w:t xml:space="preserve">Najvýraznejším prejavom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 xml:space="preserve">ociálneho vylúčenia MRK je chudoba, </w:t>
      </w:r>
      <w:r w:rsidR="00BD5FD5">
        <w:rPr>
          <w:rFonts w:asciiTheme="majorHAnsi" w:hAnsiTheme="majorHAnsi"/>
          <w:color w:val="000000"/>
          <w:szCs w:val="22"/>
          <w:lang w:eastAsia="sk-SK"/>
        </w:rPr>
        <w:t>k</w:t>
      </w:r>
      <w:r w:rsidRPr="00A11FE0">
        <w:rPr>
          <w:rFonts w:asciiTheme="majorHAnsi" w:hAnsiTheme="majorHAnsi"/>
          <w:color w:val="000000"/>
          <w:szCs w:val="22"/>
          <w:lang w:eastAsia="sk-SK"/>
        </w:rPr>
        <w:t xml:space="preserve">torá nadobúda extrémne </w:t>
      </w:r>
      <w:r w:rsidR="00BD5FD5">
        <w:rPr>
          <w:rFonts w:asciiTheme="majorHAnsi" w:hAnsiTheme="majorHAnsi"/>
          <w:color w:val="000000"/>
          <w:szCs w:val="22"/>
          <w:lang w:eastAsia="sk-SK"/>
        </w:rPr>
        <w:t>a</w:t>
      </w:r>
      <w:r w:rsidRPr="00A11FE0">
        <w:rPr>
          <w:rFonts w:asciiTheme="majorHAnsi" w:hAnsiTheme="majorHAnsi"/>
          <w:color w:val="000000"/>
          <w:szCs w:val="22"/>
          <w:lang w:eastAsia="sk-SK"/>
        </w:rPr>
        <w:t xml:space="preserve"> zhoršujúce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 xml:space="preserve">a podoby, </w:t>
      </w:r>
      <w:r w:rsidR="00BD5FD5">
        <w:rPr>
          <w:rFonts w:asciiTheme="majorHAnsi" w:hAnsiTheme="majorHAnsi"/>
          <w:color w:val="000000"/>
          <w:szCs w:val="22"/>
          <w:lang w:eastAsia="sk-SK"/>
        </w:rPr>
        <w:t>k</w:t>
      </w:r>
      <w:r w:rsidRPr="00A11FE0">
        <w:rPr>
          <w:rFonts w:asciiTheme="majorHAnsi" w:hAnsiTheme="majorHAnsi"/>
          <w:color w:val="000000"/>
          <w:szCs w:val="22"/>
          <w:lang w:eastAsia="sk-SK"/>
        </w:rPr>
        <w:t xml:space="preserve">toré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a u</w:t>
      </w:r>
      <w:r w:rsidR="00010D3B">
        <w:rPr>
          <w:rFonts w:asciiTheme="majorHAnsi" w:hAnsiTheme="majorHAnsi"/>
          <w:color w:val="000000"/>
          <w:szCs w:val="22"/>
          <w:lang w:eastAsia="sk-SK"/>
        </w:rPr>
        <w:t> </w:t>
      </w:r>
      <w:r w:rsidRPr="00A11FE0">
        <w:rPr>
          <w:rFonts w:asciiTheme="majorHAnsi" w:hAnsiTheme="majorHAnsi"/>
          <w:color w:val="000000"/>
          <w:szCs w:val="22"/>
          <w:lang w:eastAsia="sk-SK"/>
        </w:rPr>
        <w:t>majoritnej populácie v</w:t>
      </w:r>
      <w:r w:rsidR="006B7142">
        <w:rPr>
          <w:rFonts w:asciiTheme="majorHAnsi" w:hAnsiTheme="majorHAnsi"/>
          <w:color w:val="000000"/>
          <w:szCs w:val="22"/>
          <w:lang w:eastAsia="sk-SK"/>
        </w:rPr>
        <w:t> </w:t>
      </w:r>
      <w:r w:rsidRPr="00A11FE0">
        <w:rPr>
          <w:rFonts w:asciiTheme="majorHAnsi" w:hAnsiTheme="majorHAnsi"/>
          <w:color w:val="000000"/>
          <w:szCs w:val="22"/>
          <w:lang w:eastAsia="sk-SK"/>
        </w:rPr>
        <w:t>marginalizovaných</w:t>
      </w:r>
      <w:r w:rsidR="006B7142">
        <w:rPr>
          <w:rFonts w:asciiTheme="majorHAnsi" w:hAnsiTheme="majorHAnsi"/>
          <w:color w:val="000000"/>
          <w:szCs w:val="22"/>
          <w:lang w:eastAsia="sk-SK"/>
        </w:rPr>
        <w:t xml:space="preserve"> </w:t>
      </w:r>
      <w:r w:rsidRPr="00A11FE0">
        <w:rPr>
          <w:rFonts w:asciiTheme="majorHAnsi" w:hAnsiTheme="majorHAnsi"/>
          <w:color w:val="000000"/>
          <w:szCs w:val="22"/>
          <w:lang w:eastAsia="sk-SK"/>
        </w:rPr>
        <w:t>územiach nevyskytujú. Podľa výskumného demografického centra</w:t>
      </w:r>
      <w:r w:rsidRPr="00A11FE0">
        <w:rPr>
          <w:rStyle w:val="Odkaznapoznmkupodiarou"/>
          <w:rFonts w:asciiTheme="majorHAnsi" w:hAnsiTheme="majorHAnsi"/>
          <w:color w:val="000000"/>
          <w:szCs w:val="22"/>
          <w:lang w:eastAsia="sk-SK"/>
        </w:rPr>
        <w:footnoteReference w:id="131"/>
      </w:r>
      <w:r w:rsidRPr="00A11FE0">
        <w:rPr>
          <w:rFonts w:asciiTheme="majorHAnsi" w:hAnsiTheme="majorHAnsi"/>
          <w:color w:val="000000"/>
          <w:szCs w:val="22"/>
          <w:lang w:eastAsia="sk-SK"/>
        </w:rPr>
        <w:t xml:space="preserve"> žilo v roku 2011 na území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 xml:space="preserve">R približne 440 000 Rómov (8 % celkovej populácie), </w:t>
      </w:r>
      <w:r w:rsidR="00BD5FD5">
        <w:rPr>
          <w:rFonts w:asciiTheme="majorHAnsi" w:hAnsiTheme="majorHAnsi"/>
          <w:color w:val="000000"/>
          <w:szCs w:val="22"/>
          <w:lang w:eastAsia="sk-SK"/>
        </w:rPr>
        <w:t>k</w:t>
      </w:r>
      <w:r w:rsidRPr="00A11FE0">
        <w:rPr>
          <w:rFonts w:asciiTheme="majorHAnsi" w:hAnsiTheme="majorHAnsi"/>
          <w:color w:val="000000"/>
          <w:szCs w:val="22"/>
          <w:lang w:eastAsia="sk-SK"/>
        </w:rPr>
        <w:t xml:space="preserve">torí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 xml:space="preserve">ú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ústredení najviac v</w:t>
      </w:r>
      <w:r w:rsidR="00010D3B">
        <w:rPr>
          <w:rFonts w:asciiTheme="majorHAnsi" w:hAnsiTheme="majorHAnsi"/>
          <w:color w:val="000000"/>
          <w:szCs w:val="22"/>
          <w:lang w:eastAsia="sk-SK"/>
        </w:rPr>
        <w:t> </w:t>
      </w:r>
      <w:r w:rsidR="00113E3E">
        <w:rPr>
          <w:rFonts w:asciiTheme="majorHAnsi" w:hAnsiTheme="majorHAnsi"/>
          <w:color w:val="000000"/>
          <w:szCs w:val="22"/>
          <w:lang w:eastAsia="sk-SK"/>
        </w:rPr>
        <w:t>P</w:t>
      </w:r>
      <w:r w:rsidR="00CA0F2F">
        <w:rPr>
          <w:rFonts w:asciiTheme="majorHAnsi" w:hAnsiTheme="majorHAnsi"/>
          <w:color w:val="000000"/>
          <w:szCs w:val="22"/>
          <w:lang w:eastAsia="sk-SK"/>
        </w:rPr>
        <w:t>S</w:t>
      </w:r>
      <w:r w:rsidR="00113E3E">
        <w:rPr>
          <w:rFonts w:asciiTheme="majorHAnsi" w:hAnsiTheme="majorHAnsi"/>
          <w:color w:val="000000"/>
          <w:szCs w:val="22"/>
          <w:lang w:eastAsia="sk-SK"/>
        </w:rPr>
        <w:t>K</w:t>
      </w:r>
      <w:r w:rsidRPr="00A11FE0">
        <w:rPr>
          <w:rFonts w:asciiTheme="majorHAnsi" w:hAnsiTheme="majorHAnsi"/>
          <w:color w:val="000000"/>
          <w:szCs w:val="22"/>
          <w:lang w:eastAsia="sk-SK"/>
        </w:rPr>
        <w:t xml:space="preserve">, </w:t>
      </w:r>
      <w:r w:rsidR="00113E3E">
        <w:rPr>
          <w:rFonts w:asciiTheme="majorHAnsi" w:hAnsiTheme="majorHAnsi"/>
          <w:color w:val="000000"/>
          <w:szCs w:val="22"/>
          <w:lang w:eastAsia="sk-SK"/>
        </w:rPr>
        <w:t>K</w:t>
      </w:r>
      <w:r w:rsidR="00CA0F2F">
        <w:rPr>
          <w:rFonts w:asciiTheme="majorHAnsi" w:hAnsiTheme="majorHAnsi"/>
          <w:color w:val="000000"/>
          <w:szCs w:val="22"/>
          <w:lang w:eastAsia="sk-SK"/>
        </w:rPr>
        <w:t>S</w:t>
      </w:r>
      <w:r w:rsidR="00113E3E">
        <w:rPr>
          <w:rFonts w:asciiTheme="majorHAnsi" w:hAnsiTheme="majorHAnsi"/>
          <w:color w:val="000000"/>
          <w:szCs w:val="22"/>
          <w:lang w:eastAsia="sk-SK"/>
        </w:rPr>
        <w:t>K</w:t>
      </w:r>
      <w:r w:rsidR="00113E3E" w:rsidRPr="00A11FE0">
        <w:rPr>
          <w:rFonts w:asciiTheme="majorHAnsi" w:hAnsiTheme="majorHAnsi"/>
          <w:color w:val="000000"/>
          <w:szCs w:val="22"/>
          <w:lang w:eastAsia="sk-SK"/>
        </w:rPr>
        <w:t xml:space="preserve"> </w:t>
      </w:r>
      <w:r w:rsidR="00BD5FD5">
        <w:rPr>
          <w:rFonts w:asciiTheme="majorHAnsi" w:hAnsiTheme="majorHAnsi"/>
          <w:color w:val="000000"/>
          <w:szCs w:val="22"/>
          <w:lang w:eastAsia="sk-SK"/>
        </w:rPr>
        <w:t>a </w:t>
      </w:r>
      <w:r w:rsidR="00113E3E">
        <w:rPr>
          <w:rFonts w:asciiTheme="majorHAnsi" w:hAnsiTheme="majorHAnsi"/>
          <w:color w:val="000000"/>
          <w:szCs w:val="22"/>
          <w:lang w:eastAsia="sk-SK"/>
        </w:rPr>
        <w:t>BBSK</w:t>
      </w:r>
      <w:r w:rsidRPr="00A11FE0">
        <w:rPr>
          <w:rFonts w:asciiTheme="majorHAnsi" w:hAnsiTheme="majorHAnsi"/>
          <w:color w:val="000000"/>
          <w:szCs w:val="22"/>
          <w:lang w:eastAsia="sk-SK"/>
        </w:rPr>
        <w:t xml:space="preserve">. </w:t>
      </w:r>
      <w:r w:rsidRPr="00A11FE0">
        <w:rPr>
          <w:rFonts w:asciiTheme="majorHAnsi" w:hAnsiTheme="majorHAnsi"/>
          <w:szCs w:val="22"/>
        </w:rPr>
        <w:t>V</w:t>
      </w:r>
      <w:r w:rsidR="00010D3B">
        <w:rPr>
          <w:rFonts w:asciiTheme="majorHAnsi" w:hAnsiTheme="majorHAnsi"/>
          <w:szCs w:val="22"/>
        </w:rPr>
        <w:t> </w:t>
      </w:r>
      <w:r w:rsidRPr="00A11FE0">
        <w:rPr>
          <w:rFonts w:asciiTheme="majorHAnsi" w:hAnsiTheme="majorHAnsi"/>
          <w:szCs w:val="22"/>
        </w:rPr>
        <w:t xml:space="preserve">roku 2030 budú Rómovia tvoriť 10 % populácie </w:t>
      </w:r>
      <w:r w:rsidR="00BD5FD5">
        <w:rPr>
          <w:rFonts w:asciiTheme="majorHAnsi" w:hAnsiTheme="majorHAnsi"/>
          <w:szCs w:val="22"/>
        </w:rPr>
        <w:t>S</w:t>
      </w:r>
      <w:r w:rsidR="007F23C8" w:rsidRPr="00A11FE0">
        <w:rPr>
          <w:rFonts w:asciiTheme="majorHAnsi" w:hAnsiTheme="majorHAnsi"/>
          <w:szCs w:val="22"/>
        </w:rPr>
        <w:t xml:space="preserve">R </w:t>
      </w:r>
      <w:r w:rsidR="00BD5FD5">
        <w:rPr>
          <w:rFonts w:asciiTheme="majorHAnsi" w:hAnsiTheme="majorHAnsi"/>
          <w:szCs w:val="22"/>
        </w:rPr>
        <w:t>a </w:t>
      </w:r>
      <w:r w:rsidRPr="00A11FE0">
        <w:rPr>
          <w:rFonts w:asciiTheme="majorHAnsi" w:hAnsiTheme="majorHAnsi"/>
          <w:szCs w:val="22"/>
        </w:rPr>
        <w:t>16</w:t>
      </w:r>
      <w:r w:rsidR="008B2288">
        <w:rPr>
          <w:rFonts w:asciiTheme="majorHAnsi" w:hAnsiTheme="majorHAnsi"/>
          <w:szCs w:val="22"/>
        </w:rPr>
        <w:t xml:space="preserve"> </w:t>
      </w:r>
      <w:r w:rsidRPr="00A11FE0">
        <w:rPr>
          <w:rFonts w:asciiTheme="majorHAnsi" w:hAnsiTheme="majorHAnsi"/>
          <w:szCs w:val="22"/>
        </w:rPr>
        <w:t>% populácie v</w:t>
      </w:r>
      <w:r w:rsidR="00C256F7">
        <w:rPr>
          <w:rFonts w:asciiTheme="majorHAnsi" w:hAnsiTheme="majorHAnsi"/>
          <w:szCs w:val="22"/>
        </w:rPr>
        <w:t> </w:t>
      </w:r>
      <w:r w:rsidRPr="00A11FE0">
        <w:rPr>
          <w:rFonts w:asciiTheme="majorHAnsi" w:hAnsiTheme="majorHAnsi"/>
          <w:szCs w:val="22"/>
        </w:rPr>
        <w:t xml:space="preserve">produktívnom, </w:t>
      </w:r>
      <w:r w:rsidR="00BD5FD5">
        <w:rPr>
          <w:rFonts w:asciiTheme="majorHAnsi" w:hAnsiTheme="majorHAnsi"/>
          <w:szCs w:val="22"/>
        </w:rPr>
        <w:t>a</w:t>
      </w:r>
      <w:r w:rsidRPr="00A11FE0">
        <w:rPr>
          <w:rFonts w:asciiTheme="majorHAnsi" w:hAnsiTheme="majorHAnsi"/>
          <w:szCs w:val="22"/>
        </w:rPr>
        <w:t xml:space="preserve">lebo školopovinnom veku. Podľa </w:t>
      </w:r>
      <w:r w:rsidR="0058382D" w:rsidRPr="00A11FE0">
        <w:rPr>
          <w:rFonts w:asciiTheme="majorHAnsi" w:hAnsiTheme="majorHAnsi"/>
          <w:szCs w:val="22"/>
        </w:rPr>
        <w:t>výberového</w:t>
      </w:r>
      <w:r w:rsidRPr="00A11FE0">
        <w:rPr>
          <w:rFonts w:asciiTheme="majorHAnsi" w:hAnsiTheme="majorHAnsi"/>
          <w:szCs w:val="22"/>
        </w:rPr>
        <w:t xml:space="preserve"> zisťovania UNDP na </w:t>
      </w:r>
      <w:r w:rsidR="00BD5FD5">
        <w:rPr>
          <w:rFonts w:asciiTheme="majorHAnsi" w:hAnsiTheme="majorHAnsi"/>
          <w:szCs w:val="22"/>
        </w:rPr>
        <w:t>S</w:t>
      </w:r>
      <w:r w:rsidRPr="00A11FE0">
        <w:rPr>
          <w:rFonts w:asciiTheme="majorHAnsi" w:hAnsiTheme="majorHAnsi"/>
          <w:szCs w:val="22"/>
        </w:rPr>
        <w:t>lovensku v</w:t>
      </w:r>
      <w:r w:rsidR="00010D3B">
        <w:rPr>
          <w:rFonts w:asciiTheme="majorHAnsi" w:hAnsiTheme="majorHAnsi"/>
          <w:szCs w:val="22"/>
        </w:rPr>
        <w:t> </w:t>
      </w:r>
      <w:r w:rsidRPr="00A11FE0">
        <w:rPr>
          <w:rFonts w:asciiTheme="majorHAnsi" w:hAnsiTheme="majorHAnsi"/>
          <w:szCs w:val="22"/>
        </w:rPr>
        <w:t xml:space="preserve">roku 2010 je miera zamestnanosti rómskych mužov 20 % </w:t>
      </w:r>
      <w:r w:rsidR="00BD5FD5">
        <w:rPr>
          <w:rFonts w:asciiTheme="majorHAnsi" w:hAnsiTheme="majorHAnsi"/>
          <w:szCs w:val="22"/>
        </w:rPr>
        <w:t>a </w:t>
      </w:r>
      <w:r w:rsidRPr="00A11FE0">
        <w:rPr>
          <w:rFonts w:asciiTheme="majorHAnsi" w:hAnsiTheme="majorHAnsi"/>
          <w:szCs w:val="22"/>
        </w:rPr>
        <w:t xml:space="preserve">žien 11 % </w:t>
      </w:r>
      <w:r w:rsidR="00BD5FD5">
        <w:rPr>
          <w:rFonts w:asciiTheme="majorHAnsi" w:hAnsiTheme="majorHAnsi"/>
          <w:szCs w:val="22"/>
        </w:rPr>
        <w:t>a </w:t>
      </w:r>
      <w:r w:rsidRPr="00A11FE0">
        <w:rPr>
          <w:rFonts w:asciiTheme="majorHAnsi" w:hAnsiTheme="majorHAnsi"/>
          <w:szCs w:val="22"/>
        </w:rPr>
        <w:t xml:space="preserve">miera nezamestnanosti rómskych mužov je 72 % </w:t>
      </w:r>
      <w:r w:rsidR="00BD5FD5">
        <w:rPr>
          <w:rFonts w:asciiTheme="majorHAnsi" w:hAnsiTheme="majorHAnsi"/>
          <w:szCs w:val="22"/>
        </w:rPr>
        <w:t>a </w:t>
      </w:r>
      <w:r w:rsidRPr="00A11FE0">
        <w:rPr>
          <w:rFonts w:asciiTheme="majorHAnsi" w:hAnsiTheme="majorHAnsi"/>
          <w:szCs w:val="22"/>
        </w:rPr>
        <w:t>žien 75 %</w:t>
      </w:r>
      <w:r w:rsidRPr="00A11FE0">
        <w:rPr>
          <w:rFonts w:asciiTheme="majorHAnsi" w:hAnsiTheme="majorHAnsi"/>
          <w:vertAlign w:val="superscript"/>
        </w:rPr>
        <w:footnoteReference w:id="132"/>
      </w:r>
      <w:r w:rsidRPr="00A11FE0">
        <w:rPr>
          <w:rFonts w:asciiTheme="majorHAnsi" w:hAnsiTheme="majorHAnsi"/>
          <w:szCs w:val="22"/>
        </w:rPr>
        <w:t>.</w:t>
      </w:r>
      <w:r w:rsidRPr="00A11FE0">
        <w:rPr>
          <w:rFonts w:asciiTheme="majorHAnsi" w:hAnsiTheme="majorHAnsi"/>
          <w:noProof/>
        </w:rPr>
        <w:t xml:space="preserve"> </w:t>
      </w:r>
      <w:r w:rsidRPr="00A11FE0">
        <w:rPr>
          <w:rFonts w:asciiTheme="majorHAnsi" w:hAnsiTheme="majorHAnsi"/>
          <w:color w:val="000000"/>
          <w:szCs w:val="22"/>
          <w:lang w:eastAsia="sk-SK"/>
        </w:rPr>
        <w:t>Priemerné náklady</w:t>
      </w:r>
      <w:r w:rsidRPr="00A11FE0">
        <w:rPr>
          <w:rStyle w:val="Odkaznapoznmkupodiarou"/>
          <w:rFonts w:asciiTheme="majorHAnsi" w:hAnsiTheme="majorHAnsi"/>
          <w:color w:val="000000"/>
          <w:szCs w:val="22"/>
          <w:lang w:eastAsia="sk-SK"/>
        </w:rPr>
        <w:footnoteReference w:id="133"/>
      </w:r>
      <w:r w:rsidRPr="00A11FE0">
        <w:rPr>
          <w:rFonts w:asciiTheme="majorHAnsi" w:hAnsiTheme="majorHAnsi"/>
          <w:color w:val="000000"/>
          <w:szCs w:val="22"/>
          <w:lang w:eastAsia="sk-SK"/>
        </w:rPr>
        <w:t xml:space="preserve"> plynúce z</w:t>
      </w:r>
      <w:r w:rsidR="007D717C" w:rsidRPr="00A11FE0">
        <w:rPr>
          <w:rFonts w:asciiTheme="majorHAnsi" w:hAnsiTheme="majorHAnsi"/>
          <w:color w:val="000000"/>
          <w:szCs w:val="22"/>
          <w:lang w:eastAsia="sk-SK"/>
        </w:rPr>
        <w:t> </w:t>
      </w:r>
      <w:r w:rsidRPr="00A11FE0">
        <w:rPr>
          <w:rFonts w:asciiTheme="majorHAnsi" w:hAnsiTheme="majorHAnsi"/>
          <w:color w:val="000000"/>
          <w:szCs w:val="22"/>
          <w:lang w:eastAsia="sk-SK"/>
        </w:rPr>
        <w:t>vylúčenia</w:t>
      </w:r>
      <w:r w:rsidR="007D717C" w:rsidRPr="00A11FE0">
        <w:rPr>
          <w:rFonts w:asciiTheme="majorHAnsi" w:hAnsiTheme="majorHAnsi"/>
          <w:color w:val="000000"/>
          <w:szCs w:val="22"/>
          <w:lang w:eastAsia="sk-SK"/>
        </w:rPr>
        <w:t xml:space="preserve"> </w:t>
      </w:r>
      <w:r w:rsidRPr="00A11FE0">
        <w:rPr>
          <w:rFonts w:asciiTheme="majorHAnsi" w:hAnsiTheme="majorHAnsi"/>
          <w:color w:val="000000"/>
          <w:szCs w:val="22"/>
          <w:lang w:eastAsia="sk-SK"/>
        </w:rPr>
        <w:t xml:space="preserve">Rómov </w:t>
      </w:r>
      <w:r w:rsidR="007F23C8" w:rsidRPr="00A11FE0">
        <w:rPr>
          <w:rFonts w:asciiTheme="majorHAnsi" w:hAnsiTheme="majorHAnsi"/>
          <w:color w:val="000000"/>
          <w:szCs w:val="22"/>
          <w:lang w:eastAsia="sk-SK"/>
        </w:rPr>
        <w:t>v</w:t>
      </w:r>
      <w:r w:rsidR="00010D3B">
        <w:rPr>
          <w:rFonts w:asciiTheme="majorHAnsi" w:hAnsiTheme="majorHAnsi"/>
          <w:color w:val="000000"/>
          <w:szCs w:val="22"/>
          <w:lang w:eastAsia="sk-SK"/>
        </w:rPr>
        <w:t> </w:t>
      </w:r>
      <w:r w:rsidR="00BD5FD5">
        <w:rPr>
          <w:rFonts w:asciiTheme="majorHAnsi" w:hAnsiTheme="majorHAnsi"/>
          <w:color w:val="000000"/>
          <w:szCs w:val="22"/>
          <w:lang w:eastAsia="sk-SK"/>
        </w:rPr>
        <w:t>S</w:t>
      </w:r>
      <w:r w:rsidR="007F23C8" w:rsidRPr="00A11FE0">
        <w:rPr>
          <w:rFonts w:asciiTheme="majorHAnsi" w:hAnsiTheme="majorHAnsi"/>
          <w:color w:val="000000"/>
          <w:szCs w:val="22"/>
          <w:lang w:eastAsia="sk-SK"/>
        </w:rPr>
        <w:t>R</w:t>
      </w:r>
      <w:r w:rsidRPr="00A11FE0">
        <w:rPr>
          <w:rFonts w:asciiTheme="majorHAnsi" w:hAnsiTheme="majorHAnsi"/>
          <w:color w:val="000000"/>
          <w:szCs w:val="22"/>
          <w:lang w:eastAsia="sk-SK"/>
        </w:rPr>
        <w:t xml:space="preserve">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ú odhadované na 7 % HDP v</w:t>
      </w:r>
      <w:r w:rsidR="00113E3E">
        <w:rPr>
          <w:rFonts w:asciiTheme="majorHAnsi" w:hAnsiTheme="majorHAnsi"/>
          <w:color w:val="000000"/>
          <w:szCs w:val="22"/>
          <w:lang w:eastAsia="sk-SK"/>
        </w:rPr>
        <w:t> </w:t>
      </w:r>
      <w:r w:rsidRPr="00A11FE0">
        <w:rPr>
          <w:rFonts w:asciiTheme="majorHAnsi" w:hAnsiTheme="majorHAnsi"/>
          <w:color w:val="000000"/>
          <w:szCs w:val="22"/>
          <w:lang w:eastAsia="sk-SK"/>
        </w:rPr>
        <w:t>roku 2008.</w:t>
      </w:r>
      <w:r w:rsidRPr="00A11FE0">
        <w:rPr>
          <w:rFonts w:asciiTheme="majorHAnsi" w:hAnsiTheme="majorHAnsi"/>
          <w:szCs w:val="22"/>
          <w:lang w:eastAsia="sk-SK"/>
        </w:rPr>
        <w:t xml:space="preserve"> </w:t>
      </w:r>
      <w:r w:rsidRPr="00A11FE0">
        <w:rPr>
          <w:rFonts w:asciiTheme="majorHAnsi" w:hAnsiTheme="majorHAnsi"/>
          <w:szCs w:val="22"/>
        </w:rPr>
        <w:t>V</w:t>
      </w:r>
      <w:r w:rsidR="00010D3B">
        <w:rPr>
          <w:rFonts w:asciiTheme="majorHAnsi" w:hAnsiTheme="majorHAnsi"/>
          <w:szCs w:val="22"/>
        </w:rPr>
        <w:t> </w:t>
      </w:r>
      <w:r w:rsidRPr="00A11FE0">
        <w:rPr>
          <w:rFonts w:asciiTheme="majorHAnsi" w:hAnsiTheme="majorHAnsi"/>
          <w:szCs w:val="22"/>
        </w:rPr>
        <w:t xml:space="preserve">rámci </w:t>
      </w:r>
      <w:r w:rsidR="00BD5FD5">
        <w:rPr>
          <w:rFonts w:asciiTheme="majorHAnsi" w:hAnsiTheme="majorHAnsi"/>
          <w:szCs w:val="22"/>
        </w:rPr>
        <w:t>ak</w:t>
      </w:r>
      <w:r w:rsidRPr="00A11FE0">
        <w:rPr>
          <w:rFonts w:asciiTheme="majorHAnsi" w:hAnsiTheme="majorHAnsi"/>
          <w:szCs w:val="22"/>
        </w:rPr>
        <w:t xml:space="preserve">tualizácie </w:t>
      </w:r>
      <w:r w:rsidR="00BD5FD5">
        <w:rPr>
          <w:rFonts w:asciiTheme="majorHAnsi" w:hAnsiTheme="majorHAnsi"/>
          <w:szCs w:val="22"/>
        </w:rPr>
        <w:t>A</w:t>
      </w:r>
      <w:r w:rsidRPr="00A11FE0">
        <w:rPr>
          <w:rFonts w:asciiTheme="majorHAnsi" w:hAnsiTheme="majorHAnsi"/>
          <w:szCs w:val="22"/>
        </w:rPr>
        <w:t xml:space="preserve">tlasu rómskych </w:t>
      </w:r>
      <w:r w:rsidR="00BD5FD5">
        <w:rPr>
          <w:rFonts w:asciiTheme="majorHAnsi" w:hAnsiTheme="majorHAnsi"/>
          <w:szCs w:val="22"/>
        </w:rPr>
        <w:t>k</w:t>
      </w:r>
      <w:r w:rsidRPr="00A11FE0">
        <w:rPr>
          <w:rFonts w:asciiTheme="majorHAnsi" w:hAnsiTheme="majorHAnsi"/>
          <w:szCs w:val="22"/>
        </w:rPr>
        <w:t>omunít (2013) bolo v 58</w:t>
      </w:r>
      <w:r w:rsidR="00B47037">
        <w:rPr>
          <w:rFonts w:asciiTheme="majorHAnsi" w:hAnsiTheme="majorHAnsi"/>
          <w:szCs w:val="22"/>
        </w:rPr>
        <w:t>4</w:t>
      </w:r>
      <w:r w:rsidRPr="00A11FE0">
        <w:rPr>
          <w:rFonts w:asciiTheme="majorHAnsi" w:hAnsiTheme="majorHAnsi"/>
          <w:szCs w:val="22"/>
        </w:rPr>
        <w:t xml:space="preserve"> obciach identifikovaných 804 </w:t>
      </w:r>
      <w:r w:rsidR="00BD5FD5">
        <w:rPr>
          <w:rFonts w:asciiTheme="majorHAnsi" w:hAnsiTheme="majorHAnsi"/>
          <w:szCs w:val="22"/>
        </w:rPr>
        <w:t>k</w:t>
      </w:r>
      <w:r w:rsidRPr="00A11FE0">
        <w:rPr>
          <w:rFonts w:asciiTheme="majorHAnsi" w:hAnsiTheme="majorHAnsi"/>
          <w:szCs w:val="22"/>
        </w:rPr>
        <w:t>oncentrácií, v</w:t>
      </w:r>
      <w:r w:rsidR="00010D3B">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 xml:space="preserve">torých je možné životné podmienky označiť za nedôstojné </w:t>
      </w:r>
      <w:r w:rsidR="00BD5FD5">
        <w:rPr>
          <w:rFonts w:asciiTheme="majorHAnsi" w:hAnsiTheme="majorHAnsi"/>
          <w:szCs w:val="22"/>
        </w:rPr>
        <w:t>a </w:t>
      </w:r>
      <w:r w:rsidRPr="00A11FE0">
        <w:rPr>
          <w:rFonts w:asciiTheme="majorHAnsi" w:hAnsiTheme="majorHAnsi"/>
          <w:szCs w:val="22"/>
        </w:rPr>
        <w:t xml:space="preserve">neprimerané. Obyvatelia týchto </w:t>
      </w:r>
      <w:r w:rsidR="00BD5FD5">
        <w:rPr>
          <w:rFonts w:asciiTheme="majorHAnsi" w:hAnsiTheme="majorHAnsi"/>
          <w:szCs w:val="22"/>
        </w:rPr>
        <w:t>k</w:t>
      </w:r>
      <w:r w:rsidRPr="00A11FE0">
        <w:rPr>
          <w:rFonts w:asciiTheme="majorHAnsi" w:hAnsiTheme="majorHAnsi"/>
          <w:szCs w:val="22"/>
        </w:rPr>
        <w:t xml:space="preserve">omunít, </w:t>
      </w:r>
      <w:r w:rsidR="00BD5FD5">
        <w:rPr>
          <w:rFonts w:asciiTheme="majorHAnsi" w:hAnsiTheme="majorHAnsi"/>
          <w:szCs w:val="22"/>
        </w:rPr>
        <w:t>k</w:t>
      </w:r>
      <w:r w:rsidRPr="00A11FE0">
        <w:rPr>
          <w:rFonts w:asciiTheme="majorHAnsi" w:hAnsiTheme="majorHAnsi"/>
          <w:szCs w:val="22"/>
        </w:rPr>
        <w:t xml:space="preserve">torých počet </w:t>
      </w:r>
      <w:r w:rsidR="00BD5FD5">
        <w:rPr>
          <w:rFonts w:asciiTheme="majorHAnsi" w:hAnsiTheme="majorHAnsi"/>
          <w:szCs w:val="22"/>
        </w:rPr>
        <w:t>s</w:t>
      </w:r>
      <w:r w:rsidRPr="00A11FE0">
        <w:rPr>
          <w:rFonts w:asciiTheme="majorHAnsi" w:hAnsiTheme="majorHAnsi"/>
          <w:szCs w:val="22"/>
        </w:rPr>
        <w:t>a v</w:t>
      </w:r>
      <w:r w:rsidR="00010D3B">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účasnosti odhaduje na približne 200 000, trpia materiálnym nedostatkom </w:t>
      </w:r>
      <w:r w:rsidR="00BD5FD5">
        <w:rPr>
          <w:rFonts w:asciiTheme="majorHAnsi" w:hAnsiTheme="majorHAnsi"/>
          <w:szCs w:val="22"/>
        </w:rPr>
        <w:t>a s</w:t>
      </w:r>
      <w:r w:rsidRPr="00A11FE0">
        <w:rPr>
          <w:rFonts w:asciiTheme="majorHAnsi" w:hAnsiTheme="majorHAnsi"/>
          <w:szCs w:val="22"/>
        </w:rPr>
        <w:t>ociálnou</w:t>
      </w:r>
      <w:r w:rsidR="008B2288">
        <w:rPr>
          <w:rFonts w:asciiTheme="majorHAnsi" w:hAnsiTheme="majorHAnsi"/>
          <w:szCs w:val="22"/>
        </w:rPr>
        <w:t xml:space="preserve"> </w:t>
      </w:r>
      <w:r w:rsidRPr="00A11FE0">
        <w:rPr>
          <w:rFonts w:asciiTheme="majorHAnsi" w:hAnsiTheme="majorHAnsi"/>
          <w:szCs w:val="22"/>
        </w:rPr>
        <w:t xml:space="preserve">depriváciou </w:t>
      </w:r>
      <w:r w:rsidR="00BD5FD5">
        <w:rPr>
          <w:rFonts w:asciiTheme="majorHAnsi" w:hAnsiTheme="majorHAnsi"/>
          <w:szCs w:val="22"/>
        </w:rPr>
        <w:t>a </w:t>
      </w:r>
      <w:r w:rsidRPr="00A11FE0">
        <w:rPr>
          <w:rFonts w:asciiTheme="majorHAnsi" w:hAnsiTheme="majorHAnsi"/>
          <w:szCs w:val="22"/>
        </w:rPr>
        <w:t>celkovo výrazne zníženými životnými príležitosťami.</w:t>
      </w:r>
    </w:p>
    <w:p w:rsidR="00FE7E18" w:rsidRPr="00A11FE0" w:rsidRDefault="00BD5FD5" w:rsidP="00FE7E18">
      <w:pPr>
        <w:rPr>
          <w:rFonts w:asciiTheme="majorHAnsi" w:hAnsiTheme="majorHAnsi"/>
          <w:color w:val="000000"/>
          <w:szCs w:val="22"/>
          <w:lang w:eastAsia="sk-SK"/>
        </w:rPr>
      </w:pPr>
      <w:r>
        <w:rPr>
          <w:rFonts w:asciiTheme="majorHAnsi" w:hAnsiTheme="majorHAnsi"/>
          <w:color w:val="000000"/>
          <w:szCs w:val="22"/>
          <w:lang w:eastAsia="sk-SK"/>
        </w:rPr>
        <w:t>Ak</w:t>
      </w:r>
      <w:r w:rsidR="00FE7E18" w:rsidRPr="00A11FE0">
        <w:rPr>
          <w:rFonts w:asciiTheme="majorHAnsi" w:hAnsiTheme="majorHAnsi"/>
          <w:color w:val="000000"/>
          <w:szCs w:val="22"/>
          <w:lang w:eastAsia="sk-SK"/>
        </w:rPr>
        <w:t>o ukázali viaceré výskumy, geografická poloha rómskych osídlení</w:t>
      </w:r>
      <w:r w:rsidR="00610F00">
        <w:rPr>
          <w:rFonts w:asciiTheme="majorHAnsi" w:hAnsiTheme="majorHAnsi"/>
          <w:color w:val="000000"/>
          <w:szCs w:val="22"/>
          <w:lang w:eastAsia="sk-SK"/>
        </w:rPr>
        <w:t xml:space="preserve"> a</w:t>
      </w:r>
      <w:r w:rsidR="00113E3E">
        <w:rPr>
          <w:rFonts w:asciiTheme="majorHAnsi" w:hAnsiTheme="majorHAnsi"/>
          <w:color w:val="000000"/>
          <w:szCs w:val="22"/>
          <w:lang w:eastAsia="sk-SK"/>
        </w:rPr>
        <w:t> </w:t>
      </w:r>
      <w:r w:rsidR="00FE7E18" w:rsidRPr="00A11FE0">
        <w:rPr>
          <w:rFonts w:asciiTheme="majorHAnsi" w:hAnsiTheme="majorHAnsi"/>
          <w:color w:val="000000"/>
          <w:szCs w:val="22"/>
          <w:lang w:eastAsia="sk-SK"/>
        </w:rPr>
        <w:t xml:space="preserve">obmedzené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 xml:space="preserve">ociálne </w:t>
      </w:r>
      <w:r>
        <w:rPr>
          <w:rFonts w:asciiTheme="majorHAnsi" w:hAnsiTheme="majorHAnsi"/>
          <w:color w:val="000000"/>
          <w:szCs w:val="22"/>
          <w:lang w:eastAsia="sk-SK"/>
        </w:rPr>
        <w:t>k</w:t>
      </w:r>
      <w:r w:rsidR="00FE7E18" w:rsidRPr="00A11FE0">
        <w:rPr>
          <w:rFonts w:asciiTheme="majorHAnsi" w:hAnsiTheme="majorHAnsi"/>
          <w:color w:val="000000"/>
          <w:szCs w:val="22"/>
          <w:lang w:eastAsia="sk-SK"/>
        </w:rPr>
        <w:t xml:space="preserve">ontakty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 xml:space="preserve">ú reálnou bariérou, </w:t>
      </w:r>
      <w:r>
        <w:rPr>
          <w:rFonts w:asciiTheme="majorHAnsi" w:hAnsiTheme="majorHAnsi"/>
          <w:color w:val="000000"/>
          <w:szCs w:val="22"/>
          <w:lang w:eastAsia="sk-SK"/>
        </w:rPr>
        <w:t>k</w:t>
      </w:r>
      <w:r w:rsidR="00FE7E18" w:rsidRPr="00A11FE0">
        <w:rPr>
          <w:rFonts w:asciiTheme="majorHAnsi" w:hAnsiTheme="majorHAnsi"/>
          <w:color w:val="000000"/>
          <w:szCs w:val="22"/>
          <w:lang w:eastAsia="sk-SK"/>
        </w:rPr>
        <w:t xml:space="preserve">torá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ťažuje ich plnohodnotnú participáciu na ekonomicko-</w:t>
      </w:r>
      <w:r>
        <w:rPr>
          <w:rFonts w:asciiTheme="majorHAnsi" w:hAnsiTheme="majorHAnsi"/>
          <w:color w:val="000000"/>
          <w:szCs w:val="22"/>
          <w:lang w:eastAsia="sk-SK"/>
        </w:rPr>
        <w:t>k</w:t>
      </w:r>
      <w:r w:rsidR="00FE7E18" w:rsidRPr="00A11FE0">
        <w:rPr>
          <w:rFonts w:asciiTheme="majorHAnsi" w:hAnsiTheme="majorHAnsi"/>
          <w:color w:val="000000"/>
          <w:szCs w:val="22"/>
          <w:lang w:eastAsia="sk-SK"/>
        </w:rPr>
        <w:t xml:space="preserve">ultúrnom živote </w:t>
      </w:r>
      <w:r w:rsidR="000919E5">
        <w:rPr>
          <w:rFonts w:asciiTheme="majorHAnsi" w:hAnsiTheme="majorHAnsi"/>
          <w:color w:val="000000"/>
          <w:szCs w:val="22"/>
          <w:lang w:eastAsia="sk-SK"/>
        </w:rPr>
        <w:t>v</w:t>
      </w:r>
      <w:r w:rsidR="00113E3E">
        <w:rPr>
          <w:rFonts w:asciiTheme="majorHAnsi" w:hAnsiTheme="majorHAnsi"/>
          <w:color w:val="000000"/>
          <w:szCs w:val="22"/>
          <w:lang w:eastAsia="sk-SK"/>
        </w:rPr>
        <w:t>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poločnosti. Jednou z</w:t>
      </w:r>
      <w:r w:rsidR="00010D3B">
        <w:rPr>
          <w:rFonts w:asciiTheme="majorHAnsi" w:hAnsiTheme="majorHAnsi"/>
          <w:color w:val="000000"/>
          <w:szCs w:val="22"/>
          <w:lang w:eastAsia="sk-SK"/>
        </w:rPr>
        <w:t> </w:t>
      </w:r>
      <w:r w:rsidR="00FE7E18" w:rsidRPr="00A11FE0">
        <w:rPr>
          <w:rFonts w:asciiTheme="majorHAnsi" w:hAnsiTheme="majorHAnsi"/>
          <w:color w:val="000000"/>
          <w:szCs w:val="22"/>
          <w:lang w:eastAsia="sk-SK"/>
        </w:rPr>
        <w:t xml:space="preserve">takýchto oblastí je </w:t>
      </w:r>
      <w:r>
        <w:rPr>
          <w:rFonts w:asciiTheme="majorHAnsi" w:hAnsiTheme="majorHAnsi"/>
          <w:color w:val="000000"/>
          <w:szCs w:val="22"/>
          <w:lang w:eastAsia="sk-SK"/>
        </w:rPr>
        <w:t>a</w:t>
      </w:r>
      <w:r w:rsidR="00FE7E18" w:rsidRPr="00A11FE0">
        <w:rPr>
          <w:rFonts w:asciiTheme="majorHAnsi" w:hAnsiTheme="majorHAnsi"/>
          <w:color w:val="000000"/>
          <w:szCs w:val="22"/>
          <w:lang w:eastAsia="sk-SK"/>
        </w:rPr>
        <w:t>j vzdelávanie</w:t>
      </w:r>
      <w:r w:rsidR="00FE7E18" w:rsidRPr="00A11FE0">
        <w:rPr>
          <w:rStyle w:val="Odkaznapoznmkupodiarou"/>
          <w:rFonts w:asciiTheme="majorHAnsi" w:hAnsiTheme="majorHAnsi"/>
          <w:color w:val="000000"/>
          <w:szCs w:val="22"/>
          <w:lang w:eastAsia="sk-SK"/>
        </w:rPr>
        <w:footnoteReference w:id="134"/>
      </w:r>
      <w:r w:rsidR="00FE7E18" w:rsidRPr="00A11FE0">
        <w:rPr>
          <w:rFonts w:asciiTheme="majorHAnsi" w:hAnsiTheme="majorHAnsi"/>
          <w:color w:val="000000"/>
          <w:szCs w:val="22"/>
          <w:lang w:eastAsia="sk-SK"/>
        </w:rPr>
        <w:t xml:space="preserve">. Problémom je nízka zaškolenosť detí zo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ociálne znevýhodneného prostredia v</w:t>
      </w:r>
      <w:r w:rsidR="00113E3E">
        <w:rPr>
          <w:rFonts w:asciiTheme="majorHAnsi" w:hAnsiTheme="majorHAnsi"/>
          <w:color w:val="000000"/>
          <w:szCs w:val="22"/>
          <w:lang w:eastAsia="sk-SK"/>
        </w:rPr>
        <w:t> </w:t>
      </w:r>
      <w:r w:rsidR="00113E3E" w:rsidRPr="00CA0F2F">
        <w:rPr>
          <w:rFonts w:asciiTheme="majorHAnsi" w:hAnsiTheme="majorHAnsi"/>
          <w:color w:val="000000"/>
          <w:szCs w:val="22"/>
          <w:lang w:eastAsia="sk-SK"/>
        </w:rPr>
        <w:t>MŠ</w:t>
      </w:r>
      <w:r w:rsidR="000919E5" w:rsidRPr="00CA0F2F">
        <w:rPr>
          <w:rFonts w:asciiTheme="majorHAnsi" w:hAnsiTheme="majorHAnsi"/>
          <w:color w:val="000000"/>
          <w:szCs w:val="22"/>
          <w:lang w:eastAsia="sk-SK"/>
        </w:rPr>
        <w:t>,</w:t>
      </w:r>
      <w:r w:rsidR="000919E5">
        <w:rPr>
          <w:rFonts w:asciiTheme="majorHAnsi" w:hAnsiTheme="majorHAnsi"/>
          <w:color w:val="000000"/>
          <w:szCs w:val="22"/>
          <w:lang w:eastAsia="sk-SK"/>
        </w:rPr>
        <w:t xml:space="preserve"> a</w:t>
      </w:r>
      <w:r w:rsidR="00113E3E">
        <w:rPr>
          <w:rFonts w:asciiTheme="majorHAnsi" w:hAnsiTheme="majorHAnsi"/>
          <w:color w:val="000000"/>
          <w:szCs w:val="22"/>
          <w:lang w:eastAsia="sk-SK"/>
        </w:rPr>
        <w:t> </w:t>
      </w:r>
      <w:r w:rsidR="000919E5">
        <w:rPr>
          <w:rFonts w:asciiTheme="majorHAnsi" w:hAnsiTheme="majorHAnsi"/>
          <w:color w:val="000000"/>
          <w:szCs w:val="22"/>
          <w:lang w:eastAsia="sk-SK"/>
        </w:rPr>
        <w:t>to</w:t>
      </w:r>
      <w:r w:rsidR="00FE7E18" w:rsidRPr="00A11FE0">
        <w:rPr>
          <w:rFonts w:asciiTheme="majorHAnsi" w:hAnsiTheme="majorHAnsi"/>
          <w:color w:val="000000"/>
          <w:szCs w:val="22"/>
          <w:lang w:eastAsia="sk-SK"/>
        </w:rPr>
        <w:t xml:space="preserve"> z</w:t>
      </w:r>
      <w:r w:rsidR="006B7142">
        <w:rPr>
          <w:rFonts w:asciiTheme="majorHAnsi" w:hAnsiTheme="majorHAnsi"/>
          <w:color w:val="000000"/>
          <w:szCs w:val="22"/>
          <w:lang w:eastAsia="sk-SK"/>
        </w:rPr>
        <w:t> </w:t>
      </w:r>
      <w:r w:rsidR="00FE7E18" w:rsidRPr="00A11FE0">
        <w:rPr>
          <w:rFonts w:asciiTheme="majorHAnsi" w:hAnsiTheme="majorHAnsi"/>
          <w:color w:val="000000"/>
          <w:szCs w:val="22"/>
          <w:lang w:eastAsia="sk-SK"/>
        </w:rPr>
        <w:t>dôvodu</w:t>
      </w:r>
      <w:r w:rsidR="006B7142">
        <w:rPr>
          <w:rFonts w:asciiTheme="majorHAnsi" w:hAnsiTheme="majorHAnsi"/>
          <w:color w:val="000000"/>
          <w:szCs w:val="22"/>
          <w:lang w:eastAsia="sk-SK"/>
        </w:rPr>
        <w:t xml:space="preserve"> </w:t>
      </w:r>
      <w:r w:rsidR="00FE7E18" w:rsidRPr="00A11FE0">
        <w:rPr>
          <w:rFonts w:asciiTheme="majorHAnsi" w:hAnsiTheme="majorHAnsi"/>
          <w:color w:val="000000"/>
          <w:szCs w:val="22"/>
          <w:lang w:eastAsia="sk-SK"/>
        </w:rPr>
        <w:t xml:space="preserve">nedostatku </w:t>
      </w:r>
      <w:r>
        <w:rPr>
          <w:rFonts w:asciiTheme="majorHAnsi" w:hAnsiTheme="majorHAnsi"/>
          <w:color w:val="000000"/>
          <w:szCs w:val="22"/>
          <w:lang w:eastAsia="sk-SK"/>
        </w:rPr>
        <w:t>k</w:t>
      </w:r>
      <w:r w:rsidR="00FE7E18" w:rsidRPr="00A11FE0">
        <w:rPr>
          <w:rFonts w:asciiTheme="majorHAnsi" w:hAnsiTheme="majorHAnsi"/>
          <w:color w:val="000000"/>
          <w:szCs w:val="22"/>
          <w:lang w:eastAsia="sk-SK"/>
        </w:rPr>
        <w:t xml:space="preserve">apacít zariadení, finančnej náročnosti </w:t>
      </w:r>
      <w:r>
        <w:rPr>
          <w:rFonts w:asciiTheme="majorHAnsi" w:hAnsiTheme="majorHAnsi"/>
          <w:color w:val="000000"/>
          <w:szCs w:val="22"/>
          <w:lang w:eastAsia="sk-SK"/>
        </w:rPr>
        <w:t>a </w:t>
      </w:r>
      <w:r w:rsidR="00FE7E18" w:rsidRPr="00A11FE0">
        <w:rPr>
          <w:rFonts w:asciiTheme="majorHAnsi" w:hAnsiTheme="majorHAnsi"/>
          <w:color w:val="000000"/>
          <w:szCs w:val="22"/>
          <w:lang w:eastAsia="sk-SK"/>
        </w:rPr>
        <w:t>nízkej informovanosti o</w:t>
      </w:r>
      <w:r w:rsidR="006B7142">
        <w:rPr>
          <w:rFonts w:asciiTheme="majorHAnsi" w:hAnsiTheme="majorHAnsi"/>
          <w:color w:val="000000"/>
          <w:szCs w:val="22"/>
          <w:lang w:eastAsia="sk-SK"/>
        </w:rPr>
        <w:t> </w:t>
      </w:r>
      <w:r w:rsidR="00FE7E18" w:rsidRPr="00A11FE0">
        <w:rPr>
          <w:rFonts w:asciiTheme="majorHAnsi" w:hAnsiTheme="majorHAnsi"/>
          <w:color w:val="000000"/>
          <w:szCs w:val="22"/>
          <w:lang w:eastAsia="sk-SK"/>
        </w:rPr>
        <w:t>prínose</w:t>
      </w:r>
      <w:r w:rsidR="006B7142">
        <w:rPr>
          <w:rFonts w:asciiTheme="majorHAnsi" w:hAnsiTheme="majorHAnsi"/>
          <w:color w:val="000000"/>
          <w:szCs w:val="22"/>
          <w:lang w:eastAsia="sk-SK"/>
        </w:rPr>
        <w:t xml:space="preserve"> </w:t>
      </w:r>
      <w:r w:rsidR="00FE7E18" w:rsidRPr="00A11FE0">
        <w:rPr>
          <w:rFonts w:asciiTheme="majorHAnsi" w:hAnsiTheme="majorHAnsi"/>
          <w:color w:val="000000"/>
          <w:szCs w:val="22"/>
          <w:lang w:eastAsia="sk-SK"/>
        </w:rPr>
        <w:t>vzdelávania v</w:t>
      </w:r>
      <w:r w:rsidR="00010D3B">
        <w:rPr>
          <w:rFonts w:asciiTheme="majorHAnsi" w:hAnsiTheme="majorHAnsi"/>
          <w:color w:val="000000"/>
          <w:szCs w:val="22"/>
          <w:lang w:eastAsia="sk-SK"/>
        </w:rPr>
        <w:t> </w:t>
      </w:r>
      <w:r w:rsidR="00113E3E">
        <w:rPr>
          <w:rFonts w:asciiTheme="majorHAnsi" w:hAnsiTheme="majorHAnsi"/>
          <w:color w:val="000000"/>
          <w:szCs w:val="22"/>
          <w:lang w:eastAsia="sk-SK"/>
        </w:rPr>
        <w:t>MŠ</w:t>
      </w:r>
      <w:r w:rsidR="00FE7E18" w:rsidRPr="00A11FE0">
        <w:rPr>
          <w:rFonts w:asciiTheme="majorHAnsi" w:hAnsiTheme="majorHAnsi"/>
          <w:color w:val="000000"/>
          <w:szCs w:val="22"/>
          <w:lang w:eastAsia="sk-SK"/>
        </w:rPr>
        <w:t xml:space="preserve">. Následne žiaci zo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ociálne</w:t>
      </w:r>
      <w:r w:rsidR="006B7142">
        <w:rPr>
          <w:rFonts w:asciiTheme="majorHAnsi" w:hAnsiTheme="majorHAnsi"/>
          <w:color w:val="000000"/>
          <w:szCs w:val="22"/>
          <w:lang w:eastAsia="sk-SK"/>
        </w:rPr>
        <w:t xml:space="preserve"> </w:t>
      </w:r>
      <w:r w:rsidR="00FE7E18" w:rsidRPr="00A11FE0">
        <w:rPr>
          <w:rFonts w:asciiTheme="majorHAnsi" w:hAnsiTheme="majorHAnsi"/>
          <w:color w:val="000000"/>
          <w:szCs w:val="22"/>
          <w:lang w:eastAsia="sk-SK"/>
        </w:rPr>
        <w:t xml:space="preserve">znevýhodneného prostredia často ukončujú </w:t>
      </w:r>
      <w:r w:rsidR="00113E3E" w:rsidRPr="00CA0F2F">
        <w:rPr>
          <w:rFonts w:asciiTheme="majorHAnsi" w:hAnsiTheme="majorHAnsi"/>
          <w:color w:val="000000"/>
          <w:szCs w:val="22"/>
          <w:lang w:eastAsia="sk-SK"/>
        </w:rPr>
        <w:t>ZŠ</w:t>
      </w:r>
      <w:r w:rsidR="00FE7E18" w:rsidRPr="00A11FE0">
        <w:rPr>
          <w:rFonts w:asciiTheme="majorHAnsi" w:hAnsiTheme="majorHAnsi"/>
          <w:color w:val="000000"/>
          <w:szCs w:val="22"/>
          <w:lang w:eastAsia="sk-SK"/>
        </w:rPr>
        <w:t xml:space="preserve"> v</w:t>
      </w:r>
      <w:r w:rsidR="008B2288">
        <w:rPr>
          <w:rFonts w:asciiTheme="majorHAnsi" w:hAnsiTheme="majorHAnsi"/>
          <w:color w:val="000000"/>
          <w:szCs w:val="22"/>
          <w:lang w:eastAsia="sk-SK"/>
        </w:rPr>
        <w:t> </w:t>
      </w:r>
      <w:r w:rsidR="00FE7E18" w:rsidRPr="00A11FE0">
        <w:rPr>
          <w:rFonts w:asciiTheme="majorHAnsi" w:hAnsiTheme="majorHAnsi"/>
          <w:color w:val="000000"/>
          <w:szCs w:val="22"/>
          <w:lang w:eastAsia="sk-SK"/>
        </w:rPr>
        <w:t>nižšom</w:t>
      </w:r>
      <w:r w:rsidR="008B2288">
        <w:rPr>
          <w:rFonts w:asciiTheme="majorHAnsi" w:hAnsiTheme="majorHAnsi"/>
          <w:color w:val="000000"/>
          <w:szCs w:val="22"/>
          <w:lang w:eastAsia="sk-SK"/>
        </w:rPr>
        <w:t xml:space="preserve"> </w:t>
      </w:r>
      <w:r>
        <w:rPr>
          <w:rFonts w:asciiTheme="majorHAnsi" w:hAnsiTheme="majorHAnsi"/>
          <w:color w:val="000000"/>
          <w:szCs w:val="22"/>
          <w:lang w:eastAsia="sk-SK"/>
        </w:rPr>
        <w:t>ak</w:t>
      </w:r>
      <w:r w:rsidR="00FE7E18" w:rsidRPr="00A11FE0">
        <w:rPr>
          <w:rFonts w:asciiTheme="majorHAnsi" w:hAnsiTheme="majorHAnsi"/>
          <w:color w:val="000000"/>
          <w:szCs w:val="22"/>
          <w:lang w:eastAsia="sk-SK"/>
        </w:rPr>
        <w:t>o deviatom ročníku, čo prehlbuje rozdiely v</w:t>
      </w:r>
      <w:r w:rsidR="006B7142">
        <w:rPr>
          <w:rFonts w:asciiTheme="majorHAnsi" w:hAnsiTheme="majorHAnsi"/>
          <w:color w:val="000000"/>
          <w:szCs w:val="22"/>
          <w:lang w:eastAsia="sk-SK"/>
        </w:rPr>
        <w:t> </w:t>
      </w:r>
      <w:r w:rsidR="00FE7E18" w:rsidRPr="00A11FE0">
        <w:rPr>
          <w:rFonts w:asciiTheme="majorHAnsi" w:hAnsiTheme="majorHAnsi"/>
          <w:color w:val="000000"/>
          <w:szCs w:val="22"/>
          <w:lang w:eastAsia="sk-SK"/>
        </w:rPr>
        <w:t>dosiahnutej</w:t>
      </w:r>
      <w:r w:rsidR="006B7142">
        <w:rPr>
          <w:rFonts w:asciiTheme="majorHAnsi" w:hAnsiTheme="majorHAnsi"/>
          <w:color w:val="000000"/>
          <w:szCs w:val="22"/>
          <w:lang w:eastAsia="sk-SK"/>
        </w:rPr>
        <w:t xml:space="preserve"> </w:t>
      </w:r>
      <w:r w:rsidR="00FE7E18" w:rsidRPr="00CA0F2F">
        <w:rPr>
          <w:rFonts w:asciiTheme="majorHAnsi" w:hAnsiTheme="majorHAnsi"/>
          <w:color w:val="000000"/>
          <w:szCs w:val="22"/>
          <w:lang w:eastAsia="sk-SK"/>
        </w:rPr>
        <w:t xml:space="preserve">vzdelanostnej úrovni </w:t>
      </w:r>
      <w:r w:rsidRPr="00CA0F2F">
        <w:rPr>
          <w:rFonts w:asciiTheme="majorHAnsi" w:hAnsiTheme="majorHAnsi"/>
          <w:color w:val="000000"/>
          <w:szCs w:val="22"/>
          <w:lang w:eastAsia="sk-SK"/>
        </w:rPr>
        <w:t>a</w:t>
      </w:r>
      <w:r w:rsidR="008B2288" w:rsidRPr="00CA0F2F">
        <w:rPr>
          <w:rFonts w:asciiTheme="majorHAnsi" w:hAnsiTheme="majorHAnsi"/>
          <w:color w:val="000000"/>
          <w:szCs w:val="22"/>
          <w:lang w:eastAsia="sk-SK"/>
        </w:rPr>
        <w:t> </w:t>
      </w:r>
      <w:r w:rsidRPr="00CA0F2F">
        <w:rPr>
          <w:rFonts w:asciiTheme="majorHAnsi" w:hAnsiTheme="majorHAnsi"/>
          <w:color w:val="000000"/>
          <w:szCs w:val="22"/>
          <w:lang w:eastAsia="sk-SK"/>
        </w:rPr>
        <w:t>k</w:t>
      </w:r>
      <w:r w:rsidR="00FE7E18" w:rsidRPr="00CA0F2F">
        <w:rPr>
          <w:rFonts w:asciiTheme="majorHAnsi" w:hAnsiTheme="majorHAnsi"/>
          <w:color w:val="000000"/>
          <w:szCs w:val="22"/>
          <w:lang w:eastAsia="sk-SK"/>
        </w:rPr>
        <w:t>ompetenciách</w:t>
      </w:r>
      <w:r w:rsidR="008B2288" w:rsidRPr="00CA0F2F">
        <w:rPr>
          <w:rFonts w:asciiTheme="majorHAnsi" w:hAnsiTheme="majorHAnsi"/>
          <w:color w:val="000000"/>
          <w:szCs w:val="22"/>
          <w:lang w:eastAsia="sk-SK"/>
        </w:rPr>
        <w:t xml:space="preserve"> </w:t>
      </w:r>
      <w:r w:rsidR="00FE7E18" w:rsidRPr="00CA0F2F">
        <w:rPr>
          <w:rFonts w:asciiTheme="majorHAnsi" w:hAnsiTheme="majorHAnsi"/>
          <w:color w:val="000000"/>
          <w:szCs w:val="22"/>
          <w:lang w:eastAsia="sk-SK"/>
        </w:rPr>
        <w:t xml:space="preserve">oproti majoritnej populácii. </w:t>
      </w:r>
      <w:r w:rsidRPr="00CA0F2F">
        <w:rPr>
          <w:rFonts w:asciiTheme="majorHAnsi" w:hAnsiTheme="majorHAnsi"/>
          <w:color w:val="000000"/>
          <w:szCs w:val="22"/>
          <w:lang w:eastAsia="sk-SK"/>
        </w:rPr>
        <w:t>K</w:t>
      </w:r>
      <w:r w:rsidR="00FE7E18" w:rsidRPr="00CA0F2F">
        <w:rPr>
          <w:rFonts w:asciiTheme="majorHAnsi" w:hAnsiTheme="majorHAnsi"/>
          <w:color w:val="000000"/>
          <w:szCs w:val="22"/>
          <w:lang w:eastAsia="sk-SK"/>
        </w:rPr>
        <w:t>omplexnosť problému dotvára miera zastúpenia rómskych detí v</w:t>
      </w:r>
      <w:r w:rsidR="00010D3B" w:rsidRPr="00CA0F2F">
        <w:rPr>
          <w:rFonts w:asciiTheme="majorHAnsi" w:hAnsiTheme="majorHAnsi"/>
          <w:color w:val="000000"/>
          <w:szCs w:val="22"/>
          <w:lang w:eastAsia="sk-SK"/>
        </w:rPr>
        <w:t> </w:t>
      </w:r>
      <w:r w:rsidR="00FE7E18" w:rsidRPr="00CA0F2F">
        <w:rPr>
          <w:rFonts w:asciiTheme="majorHAnsi" w:hAnsiTheme="majorHAnsi"/>
          <w:color w:val="000000"/>
          <w:szCs w:val="22"/>
          <w:lang w:eastAsia="sk-SK"/>
        </w:rPr>
        <w:t xml:space="preserve">špeciálnych </w:t>
      </w:r>
      <w:r w:rsidR="00113E3E" w:rsidRPr="00CA0F2F">
        <w:rPr>
          <w:rFonts w:asciiTheme="majorHAnsi" w:hAnsiTheme="majorHAnsi"/>
          <w:color w:val="000000"/>
          <w:szCs w:val="22"/>
          <w:lang w:eastAsia="sk-SK"/>
        </w:rPr>
        <w:t>ZŠ</w:t>
      </w:r>
      <w:r w:rsidR="00FE7E18" w:rsidRPr="00CA0F2F">
        <w:rPr>
          <w:rFonts w:asciiTheme="majorHAnsi" w:hAnsiTheme="majorHAnsi"/>
          <w:color w:val="000000"/>
          <w:szCs w:val="22"/>
          <w:lang w:eastAsia="sk-SK"/>
        </w:rPr>
        <w:t xml:space="preserve"> </w:t>
      </w:r>
      <w:r w:rsidRPr="00CA0F2F">
        <w:rPr>
          <w:rFonts w:asciiTheme="majorHAnsi" w:hAnsiTheme="majorHAnsi"/>
          <w:color w:val="000000"/>
          <w:szCs w:val="22"/>
          <w:lang w:eastAsia="sk-SK"/>
        </w:rPr>
        <w:t>a </w:t>
      </w:r>
      <w:r w:rsidR="00FE7E18" w:rsidRPr="00CA0F2F">
        <w:rPr>
          <w:rFonts w:asciiTheme="majorHAnsi" w:hAnsiTheme="majorHAnsi"/>
          <w:color w:val="000000"/>
          <w:szCs w:val="22"/>
          <w:lang w:eastAsia="sk-SK"/>
        </w:rPr>
        <w:t>v</w:t>
      </w:r>
      <w:r w:rsidR="00010D3B" w:rsidRPr="00CA0F2F">
        <w:rPr>
          <w:rFonts w:asciiTheme="majorHAnsi" w:hAnsiTheme="majorHAnsi"/>
          <w:color w:val="000000"/>
          <w:szCs w:val="22"/>
          <w:lang w:eastAsia="sk-SK"/>
        </w:rPr>
        <w:t> </w:t>
      </w:r>
      <w:r w:rsidR="00FE7E18" w:rsidRPr="00CA0F2F">
        <w:rPr>
          <w:rFonts w:asciiTheme="majorHAnsi" w:hAnsiTheme="majorHAnsi"/>
          <w:color w:val="000000"/>
          <w:szCs w:val="22"/>
          <w:lang w:eastAsia="sk-SK"/>
        </w:rPr>
        <w:t xml:space="preserve">špeciálnych triedach na bežných </w:t>
      </w:r>
      <w:r w:rsidR="00113E3E" w:rsidRPr="00CA0F2F">
        <w:rPr>
          <w:rFonts w:asciiTheme="majorHAnsi" w:hAnsiTheme="majorHAnsi"/>
          <w:color w:val="000000"/>
          <w:szCs w:val="22"/>
          <w:lang w:eastAsia="sk-SK"/>
        </w:rPr>
        <w:t>ZŠ</w:t>
      </w:r>
      <w:r w:rsidR="00FE7E18" w:rsidRPr="00CA0F2F">
        <w:rPr>
          <w:rFonts w:asciiTheme="majorHAnsi" w:hAnsiTheme="majorHAnsi"/>
          <w:color w:val="000000"/>
          <w:szCs w:val="22"/>
          <w:lang w:eastAsia="sk-SK"/>
        </w:rPr>
        <w:t>. Ukončenie vzdelania</w:t>
      </w:r>
      <w:r w:rsidR="00100534" w:rsidRPr="00CA0F2F">
        <w:rPr>
          <w:rFonts w:asciiTheme="majorHAnsi" w:hAnsiTheme="majorHAnsi"/>
          <w:color w:val="000000"/>
          <w:szCs w:val="22"/>
          <w:lang w:eastAsia="sk-SK"/>
        </w:rPr>
        <w:t xml:space="preserve"> poskytovaného špeciálnou </w:t>
      </w:r>
      <w:r w:rsidR="00113E3E" w:rsidRPr="00CA0F2F">
        <w:rPr>
          <w:rFonts w:asciiTheme="majorHAnsi" w:hAnsiTheme="majorHAnsi"/>
          <w:color w:val="000000"/>
          <w:szCs w:val="22"/>
          <w:lang w:eastAsia="sk-SK"/>
        </w:rPr>
        <w:t>ZŠ</w:t>
      </w:r>
      <w:r w:rsidR="00FE7E18" w:rsidRPr="00A11FE0">
        <w:rPr>
          <w:rFonts w:asciiTheme="majorHAnsi" w:hAnsiTheme="majorHAnsi"/>
          <w:color w:val="000000"/>
          <w:szCs w:val="22"/>
          <w:lang w:eastAsia="sk-SK"/>
        </w:rPr>
        <w:t xml:space="preserve"> vážne limituje možnosti ďalšieho </w:t>
      </w:r>
      <w:r w:rsidR="00FE7E18" w:rsidRPr="00A11FE0">
        <w:rPr>
          <w:rFonts w:asciiTheme="majorHAnsi" w:hAnsiTheme="majorHAnsi"/>
          <w:color w:val="000000"/>
          <w:szCs w:val="22"/>
          <w:lang w:eastAsia="sk-SK"/>
        </w:rPr>
        <w:lastRenderedPageBreak/>
        <w:t xml:space="preserve">vzdelávania </w:t>
      </w:r>
      <w:r>
        <w:rPr>
          <w:rFonts w:asciiTheme="majorHAnsi" w:hAnsiTheme="majorHAnsi"/>
          <w:color w:val="000000"/>
          <w:szCs w:val="22"/>
          <w:lang w:eastAsia="sk-SK"/>
        </w:rPr>
        <w:t>a </w:t>
      </w:r>
      <w:r w:rsidR="00FE7E18" w:rsidRPr="00A11FE0">
        <w:rPr>
          <w:rFonts w:asciiTheme="majorHAnsi" w:hAnsiTheme="majorHAnsi"/>
          <w:color w:val="000000"/>
          <w:szCs w:val="22"/>
          <w:lang w:eastAsia="sk-SK"/>
        </w:rPr>
        <w:t xml:space="preserve">uplatnenia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a na trhu práce. Jednou z</w:t>
      </w:r>
      <w:r w:rsidR="00010D3B">
        <w:rPr>
          <w:rFonts w:asciiTheme="majorHAnsi" w:hAnsiTheme="majorHAnsi"/>
          <w:color w:val="000000"/>
          <w:szCs w:val="22"/>
          <w:lang w:eastAsia="sk-SK"/>
        </w:rPr>
        <w:t> </w:t>
      </w:r>
      <w:r w:rsidR="00FE7E18" w:rsidRPr="00A11FE0">
        <w:rPr>
          <w:rFonts w:asciiTheme="majorHAnsi" w:hAnsiTheme="majorHAnsi"/>
          <w:color w:val="000000"/>
          <w:szCs w:val="22"/>
          <w:lang w:eastAsia="sk-SK"/>
        </w:rPr>
        <w:t>príčin umiestňovania detí bez mentálneho postihnutia do špeciálnych tried</w:t>
      </w:r>
      <w:r w:rsidR="000919E5">
        <w:rPr>
          <w:rFonts w:asciiTheme="majorHAnsi" w:hAnsiTheme="majorHAnsi"/>
          <w:color w:val="000000"/>
          <w:szCs w:val="22"/>
          <w:lang w:eastAsia="sk-SK"/>
        </w:rPr>
        <w:t>,</w:t>
      </w:r>
      <w:r w:rsidR="00FE7E18" w:rsidRPr="00A11FE0">
        <w:rPr>
          <w:rFonts w:asciiTheme="majorHAnsi" w:hAnsiTheme="majorHAnsi"/>
          <w:color w:val="000000"/>
          <w:szCs w:val="22"/>
          <w:lang w:eastAsia="sk-SK"/>
        </w:rPr>
        <w:t xml:space="preserve"> </w:t>
      </w:r>
      <w:r>
        <w:rPr>
          <w:rFonts w:asciiTheme="majorHAnsi" w:hAnsiTheme="majorHAnsi"/>
          <w:color w:val="000000"/>
          <w:szCs w:val="22"/>
          <w:lang w:eastAsia="sk-SK"/>
        </w:rPr>
        <w:t>a</w:t>
      </w:r>
      <w:r w:rsidR="00FE7E18" w:rsidRPr="00A11FE0">
        <w:rPr>
          <w:rFonts w:asciiTheme="majorHAnsi" w:hAnsiTheme="majorHAnsi"/>
          <w:color w:val="000000"/>
          <w:szCs w:val="22"/>
          <w:lang w:eastAsia="sk-SK"/>
        </w:rPr>
        <w:t>lebo špeciálnych škôl</w:t>
      </w:r>
      <w:r w:rsidR="000919E5">
        <w:rPr>
          <w:rFonts w:asciiTheme="majorHAnsi" w:hAnsiTheme="majorHAnsi"/>
          <w:color w:val="000000"/>
          <w:szCs w:val="22"/>
          <w:lang w:eastAsia="sk-SK"/>
        </w:rPr>
        <w:t>,</w:t>
      </w:r>
      <w:r w:rsidR="00FE7E18" w:rsidRPr="00A11FE0">
        <w:rPr>
          <w:rFonts w:asciiTheme="majorHAnsi" w:hAnsiTheme="majorHAnsi"/>
          <w:color w:val="000000"/>
          <w:szCs w:val="22"/>
          <w:lang w:eastAsia="sk-SK"/>
        </w:rPr>
        <w:t xml:space="preserve"> je </w:t>
      </w:r>
      <w:r>
        <w:rPr>
          <w:rFonts w:asciiTheme="majorHAnsi" w:hAnsiTheme="majorHAnsi"/>
          <w:color w:val="000000"/>
          <w:szCs w:val="22"/>
          <w:lang w:eastAsia="sk-SK"/>
        </w:rPr>
        <w:t>a</w:t>
      </w:r>
      <w:r w:rsidR="00FE7E18" w:rsidRPr="00A11FE0">
        <w:rPr>
          <w:rFonts w:asciiTheme="majorHAnsi" w:hAnsiTheme="majorHAnsi"/>
          <w:color w:val="000000"/>
          <w:szCs w:val="22"/>
          <w:lang w:eastAsia="sk-SK"/>
        </w:rPr>
        <w:t xml:space="preserve">j nedostatočná diagnostika pri zápise, nedostatočné ovládanie štátneho jazyka zo </w:t>
      </w:r>
      <w:r>
        <w:rPr>
          <w:rFonts w:asciiTheme="majorHAnsi" w:hAnsiTheme="majorHAnsi"/>
          <w:color w:val="000000"/>
          <w:szCs w:val="22"/>
          <w:lang w:eastAsia="sk-SK"/>
        </w:rPr>
        <w:t>s</w:t>
      </w:r>
      <w:r w:rsidR="00FE7E18" w:rsidRPr="00A11FE0">
        <w:rPr>
          <w:rFonts w:asciiTheme="majorHAnsi" w:hAnsiTheme="majorHAnsi"/>
          <w:color w:val="000000"/>
          <w:szCs w:val="22"/>
          <w:lang w:eastAsia="sk-SK"/>
        </w:rPr>
        <w:t xml:space="preserve">trany detí, </w:t>
      </w:r>
      <w:r>
        <w:rPr>
          <w:rFonts w:asciiTheme="majorHAnsi" w:hAnsiTheme="majorHAnsi"/>
          <w:color w:val="000000"/>
          <w:szCs w:val="22"/>
          <w:lang w:eastAsia="sk-SK"/>
        </w:rPr>
        <w:t>a</w:t>
      </w:r>
      <w:r w:rsidR="00FE7E18" w:rsidRPr="00A11FE0">
        <w:rPr>
          <w:rFonts w:asciiTheme="majorHAnsi" w:hAnsiTheme="majorHAnsi"/>
          <w:color w:val="000000"/>
          <w:szCs w:val="22"/>
          <w:lang w:eastAsia="sk-SK"/>
        </w:rPr>
        <w:t xml:space="preserve">le </w:t>
      </w:r>
      <w:r>
        <w:rPr>
          <w:rFonts w:asciiTheme="majorHAnsi" w:hAnsiTheme="majorHAnsi"/>
          <w:color w:val="000000"/>
          <w:szCs w:val="22"/>
          <w:lang w:eastAsia="sk-SK"/>
        </w:rPr>
        <w:t>a</w:t>
      </w:r>
      <w:r w:rsidR="00FE7E18" w:rsidRPr="00A11FE0">
        <w:rPr>
          <w:rFonts w:asciiTheme="majorHAnsi" w:hAnsiTheme="majorHAnsi"/>
          <w:color w:val="000000"/>
          <w:szCs w:val="22"/>
          <w:lang w:eastAsia="sk-SK"/>
        </w:rPr>
        <w:t>j nepoužívanie rómskeho jazyka pri testovaní</w:t>
      </w:r>
      <w:r w:rsidR="00260304">
        <w:rPr>
          <w:rFonts w:asciiTheme="majorHAnsi" w:hAnsiTheme="majorHAnsi"/>
          <w:color w:val="000000"/>
          <w:szCs w:val="22"/>
          <w:lang w:eastAsia="sk-SK"/>
        </w:rPr>
        <w:t>,</w:t>
      </w:r>
      <w:r w:rsidR="00FE7E18" w:rsidRPr="00A11FE0">
        <w:rPr>
          <w:rFonts w:asciiTheme="majorHAnsi" w:hAnsiTheme="majorHAnsi"/>
          <w:color w:val="000000"/>
          <w:szCs w:val="22"/>
          <w:lang w:eastAsia="sk-SK"/>
        </w:rPr>
        <w:t xml:space="preserve"> </w:t>
      </w:r>
      <w:r>
        <w:rPr>
          <w:rFonts w:asciiTheme="majorHAnsi" w:hAnsiTheme="majorHAnsi"/>
          <w:color w:val="000000"/>
          <w:szCs w:val="22"/>
          <w:lang w:eastAsia="sk-SK"/>
        </w:rPr>
        <w:t>a</w:t>
      </w:r>
      <w:r w:rsidR="00FE7E18" w:rsidRPr="00A11FE0">
        <w:rPr>
          <w:rFonts w:asciiTheme="majorHAnsi" w:hAnsiTheme="majorHAnsi"/>
          <w:color w:val="000000"/>
          <w:szCs w:val="22"/>
          <w:lang w:eastAsia="sk-SK"/>
        </w:rPr>
        <w:t>lebo iných odborných činnostiach v</w:t>
      </w:r>
      <w:r w:rsidR="00010D3B">
        <w:rPr>
          <w:rFonts w:asciiTheme="majorHAnsi" w:hAnsiTheme="majorHAnsi"/>
          <w:color w:val="000000"/>
          <w:szCs w:val="22"/>
          <w:lang w:eastAsia="sk-SK"/>
        </w:rPr>
        <w:t> </w:t>
      </w:r>
      <w:r w:rsidR="00FE7E18" w:rsidRPr="00A11FE0">
        <w:rPr>
          <w:rFonts w:asciiTheme="majorHAnsi" w:hAnsiTheme="majorHAnsi"/>
          <w:color w:val="000000"/>
          <w:szCs w:val="22"/>
          <w:lang w:eastAsia="sk-SK"/>
        </w:rPr>
        <w:t>rámci diagnostiky</w:t>
      </w:r>
      <w:r w:rsidR="00FE7E18" w:rsidRPr="00A11FE0">
        <w:rPr>
          <w:rStyle w:val="Odkaznapoznmkupodiarou"/>
          <w:rFonts w:asciiTheme="majorHAnsi" w:hAnsiTheme="majorHAnsi"/>
          <w:color w:val="000000"/>
          <w:szCs w:val="22"/>
          <w:lang w:eastAsia="sk-SK"/>
        </w:rPr>
        <w:footnoteReference w:id="135"/>
      </w:r>
      <w:r w:rsidR="00FE7E18" w:rsidRPr="00A11FE0">
        <w:rPr>
          <w:rFonts w:asciiTheme="majorHAnsi" w:hAnsiTheme="majorHAnsi"/>
          <w:color w:val="000000"/>
          <w:szCs w:val="22"/>
          <w:lang w:eastAsia="sk-SK"/>
        </w:rPr>
        <w:t>.</w:t>
      </w:r>
    </w:p>
    <w:p w:rsidR="00FE7E18" w:rsidRPr="00A11FE0" w:rsidRDefault="00FE7E18" w:rsidP="00FE7E18">
      <w:pPr>
        <w:rPr>
          <w:rFonts w:asciiTheme="majorHAnsi" w:hAnsiTheme="majorHAnsi"/>
          <w:color w:val="000000"/>
          <w:szCs w:val="22"/>
          <w:lang w:eastAsia="sk-SK"/>
        </w:rPr>
      </w:pPr>
      <w:r w:rsidRPr="00A11FE0">
        <w:rPr>
          <w:rFonts w:asciiTheme="majorHAnsi" w:hAnsiTheme="majorHAnsi"/>
          <w:color w:val="000000"/>
          <w:szCs w:val="22"/>
          <w:lang w:eastAsia="sk-SK"/>
        </w:rPr>
        <w:t xml:space="preserve">Pretrvávajúcim problémom ovplyvňujúcim </w:t>
      </w:r>
      <w:r w:rsidR="00BD5FD5">
        <w:rPr>
          <w:rFonts w:asciiTheme="majorHAnsi" w:hAnsiTheme="majorHAnsi"/>
          <w:color w:val="000000"/>
          <w:szCs w:val="22"/>
          <w:lang w:eastAsia="sk-SK"/>
        </w:rPr>
        <w:t>k</w:t>
      </w:r>
      <w:r w:rsidRPr="00A11FE0">
        <w:rPr>
          <w:rFonts w:asciiTheme="majorHAnsi" w:hAnsiTheme="majorHAnsi"/>
          <w:color w:val="000000"/>
          <w:szCs w:val="22"/>
          <w:lang w:eastAsia="sk-SK"/>
        </w:rPr>
        <w:t xml:space="preserve">valitu vzdelávania je </w:t>
      </w:r>
      <w:r w:rsidR="00BD5FD5">
        <w:rPr>
          <w:rFonts w:asciiTheme="majorHAnsi" w:hAnsiTheme="majorHAnsi"/>
          <w:color w:val="000000"/>
          <w:szCs w:val="22"/>
          <w:lang w:eastAsia="sk-SK"/>
        </w:rPr>
        <w:t>a</w:t>
      </w:r>
      <w:r w:rsidRPr="00A11FE0">
        <w:rPr>
          <w:rFonts w:asciiTheme="majorHAnsi" w:hAnsiTheme="majorHAnsi"/>
          <w:color w:val="000000"/>
          <w:szCs w:val="22"/>
          <w:lang w:eastAsia="sk-SK"/>
        </w:rPr>
        <w:t xml:space="preserve">j dvojzmenné </w:t>
      </w:r>
      <w:r w:rsidRPr="00CA0F2F">
        <w:rPr>
          <w:rFonts w:asciiTheme="majorHAnsi" w:hAnsiTheme="majorHAnsi"/>
          <w:color w:val="000000"/>
          <w:szCs w:val="22"/>
          <w:lang w:eastAsia="sk-SK"/>
        </w:rPr>
        <w:t>vyučovanie v</w:t>
      </w:r>
      <w:r w:rsidR="00C256F7" w:rsidRPr="00CA0F2F">
        <w:rPr>
          <w:rFonts w:asciiTheme="majorHAnsi" w:hAnsiTheme="majorHAnsi"/>
          <w:color w:val="000000"/>
          <w:szCs w:val="22"/>
          <w:lang w:eastAsia="sk-SK"/>
        </w:rPr>
        <w:t> </w:t>
      </w:r>
      <w:r w:rsidRPr="00CA0F2F">
        <w:rPr>
          <w:rFonts w:asciiTheme="majorHAnsi" w:hAnsiTheme="majorHAnsi"/>
          <w:color w:val="000000"/>
          <w:szCs w:val="22"/>
          <w:lang w:eastAsia="sk-SK"/>
        </w:rPr>
        <w:t>45</w:t>
      </w:r>
      <w:r w:rsidR="00C256F7" w:rsidRPr="00CA0F2F">
        <w:rPr>
          <w:rFonts w:asciiTheme="majorHAnsi" w:hAnsiTheme="majorHAnsi"/>
          <w:color w:val="000000"/>
          <w:szCs w:val="22"/>
          <w:lang w:eastAsia="sk-SK"/>
        </w:rPr>
        <w:t xml:space="preserve"> </w:t>
      </w:r>
      <w:r w:rsidR="00113E3E" w:rsidRPr="00CA0F2F">
        <w:rPr>
          <w:rFonts w:asciiTheme="majorHAnsi" w:hAnsiTheme="majorHAnsi"/>
          <w:color w:val="000000"/>
          <w:szCs w:val="22"/>
          <w:lang w:eastAsia="sk-SK"/>
        </w:rPr>
        <w:t>ZŠ</w:t>
      </w:r>
      <w:r w:rsidRPr="00CA0F2F">
        <w:rPr>
          <w:rFonts w:asciiTheme="majorHAnsi" w:hAnsiTheme="majorHAnsi"/>
          <w:color w:val="000000"/>
          <w:szCs w:val="22"/>
          <w:lang w:eastAsia="sk-SK"/>
        </w:rPr>
        <w:t xml:space="preserve"> (prevažne lokality </w:t>
      </w:r>
      <w:r w:rsidR="00BD5FD5" w:rsidRPr="00CA0F2F">
        <w:rPr>
          <w:rFonts w:asciiTheme="majorHAnsi" w:hAnsiTheme="majorHAnsi"/>
          <w:color w:val="000000"/>
          <w:szCs w:val="22"/>
          <w:lang w:eastAsia="sk-SK"/>
        </w:rPr>
        <w:t>s </w:t>
      </w:r>
      <w:r w:rsidRPr="00CA0F2F">
        <w:rPr>
          <w:rFonts w:asciiTheme="majorHAnsi" w:hAnsiTheme="majorHAnsi"/>
          <w:color w:val="000000"/>
          <w:szCs w:val="22"/>
          <w:lang w:eastAsia="sk-SK"/>
        </w:rPr>
        <w:t xml:space="preserve">vysokou </w:t>
      </w:r>
      <w:r w:rsidR="00BD5FD5" w:rsidRPr="00CA0F2F">
        <w:rPr>
          <w:rFonts w:asciiTheme="majorHAnsi" w:hAnsiTheme="majorHAnsi"/>
          <w:color w:val="000000"/>
          <w:szCs w:val="22"/>
          <w:lang w:eastAsia="sk-SK"/>
        </w:rPr>
        <w:t>k</w:t>
      </w:r>
      <w:r w:rsidRPr="00CA0F2F">
        <w:rPr>
          <w:rFonts w:asciiTheme="majorHAnsi" w:hAnsiTheme="majorHAnsi"/>
          <w:color w:val="000000"/>
          <w:szCs w:val="22"/>
          <w:lang w:eastAsia="sk-SK"/>
        </w:rPr>
        <w:t>oncentráciou MRK), čo je 2,02</w:t>
      </w:r>
      <w:r w:rsidR="00682D44" w:rsidRPr="00CA0F2F">
        <w:rPr>
          <w:rFonts w:asciiTheme="majorHAnsi" w:hAnsiTheme="majorHAnsi"/>
          <w:color w:val="000000"/>
          <w:szCs w:val="22"/>
          <w:lang w:eastAsia="sk-SK"/>
        </w:rPr>
        <w:t xml:space="preserve"> </w:t>
      </w:r>
      <w:r w:rsidRPr="00CA0F2F">
        <w:rPr>
          <w:rFonts w:asciiTheme="majorHAnsi" w:hAnsiTheme="majorHAnsi"/>
          <w:color w:val="000000"/>
          <w:szCs w:val="22"/>
          <w:lang w:eastAsia="sk-SK"/>
        </w:rPr>
        <w:t>% z</w:t>
      </w:r>
      <w:r w:rsidR="008B2288" w:rsidRPr="00CA0F2F">
        <w:rPr>
          <w:rFonts w:asciiTheme="majorHAnsi" w:hAnsiTheme="majorHAnsi"/>
          <w:color w:val="000000"/>
          <w:szCs w:val="22"/>
          <w:lang w:eastAsia="sk-SK"/>
        </w:rPr>
        <w:t> </w:t>
      </w:r>
      <w:r w:rsidRPr="00CA0F2F">
        <w:rPr>
          <w:rFonts w:asciiTheme="majorHAnsi" w:hAnsiTheme="majorHAnsi"/>
          <w:color w:val="000000"/>
          <w:szCs w:val="22"/>
          <w:lang w:eastAsia="sk-SK"/>
        </w:rPr>
        <w:t>celkového</w:t>
      </w:r>
      <w:r w:rsidR="008B2288" w:rsidRPr="00CA0F2F">
        <w:rPr>
          <w:rFonts w:asciiTheme="majorHAnsi" w:hAnsiTheme="majorHAnsi"/>
          <w:color w:val="000000"/>
          <w:szCs w:val="22"/>
          <w:lang w:eastAsia="sk-SK"/>
        </w:rPr>
        <w:t xml:space="preserve"> </w:t>
      </w:r>
      <w:r w:rsidRPr="00CA0F2F">
        <w:rPr>
          <w:rFonts w:asciiTheme="majorHAnsi" w:hAnsiTheme="majorHAnsi"/>
          <w:color w:val="000000"/>
          <w:szCs w:val="22"/>
          <w:lang w:eastAsia="sk-SK"/>
        </w:rPr>
        <w:t xml:space="preserve">počtu </w:t>
      </w:r>
      <w:r w:rsidR="00113E3E" w:rsidRPr="00CA0F2F">
        <w:rPr>
          <w:rFonts w:asciiTheme="majorHAnsi" w:hAnsiTheme="majorHAnsi"/>
          <w:color w:val="000000"/>
          <w:szCs w:val="22"/>
          <w:lang w:eastAsia="sk-SK"/>
        </w:rPr>
        <w:t>ZŠ</w:t>
      </w:r>
      <w:r w:rsidRPr="00CA0F2F">
        <w:rPr>
          <w:rStyle w:val="Odkaznapoznmkupodiarou"/>
          <w:rFonts w:asciiTheme="majorHAnsi" w:hAnsiTheme="majorHAnsi"/>
        </w:rPr>
        <w:t xml:space="preserve"> </w:t>
      </w:r>
      <w:r w:rsidRPr="00CA0F2F">
        <w:rPr>
          <w:rFonts w:asciiTheme="majorHAnsi" w:hAnsiTheme="majorHAnsi"/>
          <w:color w:val="000000"/>
          <w:szCs w:val="22"/>
          <w:lang w:eastAsia="sk-SK"/>
        </w:rPr>
        <w:t xml:space="preserve"> </w:t>
      </w:r>
      <w:r w:rsidR="00BD5FD5" w:rsidRPr="00CA0F2F">
        <w:rPr>
          <w:rFonts w:asciiTheme="majorHAnsi" w:hAnsiTheme="majorHAnsi"/>
          <w:color w:val="000000"/>
          <w:szCs w:val="22"/>
          <w:lang w:eastAsia="sk-SK"/>
        </w:rPr>
        <w:t>a </w:t>
      </w:r>
      <w:r w:rsidRPr="00CA0F2F">
        <w:rPr>
          <w:rFonts w:asciiTheme="majorHAnsi" w:hAnsiTheme="majorHAnsi"/>
          <w:color w:val="000000"/>
          <w:szCs w:val="22"/>
          <w:lang w:eastAsia="sk-SK"/>
        </w:rPr>
        <w:t>nedostatok</w:t>
      </w:r>
      <w:r w:rsidRPr="00A11FE0">
        <w:rPr>
          <w:rFonts w:asciiTheme="majorHAnsi" w:hAnsiTheme="majorHAnsi"/>
          <w:color w:val="000000"/>
          <w:szCs w:val="22"/>
          <w:lang w:eastAsia="sk-SK"/>
        </w:rPr>
        <w:t xml:space="preserve"> podporného </w:t>
      </w:r>
      <w:r w:rsidR="00BD5FD5">
        <w:rPr>
          <w:rFonts w:asciiTheme="majorHAnsi" w:hAnsiTheme="majorHAnsi"/>
          <w:color w:val="000000"/>
          <w:szCs w:val="22"/>
          <w:lang w:eastAsia="sk-SK"/>
        </w:rPr>
        <w:t>s</w:t>
      </w:r>
      <w:r w:rsidRPr="00A11FE0">
        <w:rPr>
          <w:rFonts w:asciiTheme="majorHAnsi" w:hAnsiTheme="majorHAnsi"/>
          <w:color w:val="000000"/>
          <w:szCs w:val="22"/>
          <w:lang w:eastAsia="sk-SK"/>
        </w:rPr>
        <w:t xml:space="preserve">ervisu pre zabezpečenie inkluzívneho vzdelávania (napr. </w:t>
      </w:r>
      <w:r w:rsidR="00BD5FD5">
        <w:rPr>
          <w:rFonts w:asciiTheme="majorHAnsi" w:hAnsiTheme="majorHAnsi"/>
          <w:color w:val="000000"/>
          <w:szCs w:val="22"/>
          <w:lang w:eastAsia="sk-SK"/>
        </w:rPr>
        <w:t>as</w:t>
      </w:r>
      <w:r w:rsidRPr="00A11FE0">
        <w:rPr>
          <w:rFonts w:asciiTheme="majorHAnsi" w:hAnsiTheme="majorHAnsi"/>
          <w:color w:val="000000"/>
          <w:szCs w:val="22"/>
          <w:lang w:eastAsia="sk-SK"/>
        </w:rPr>
        <w:t>istenti učiteľa, psychológ, logopéd)</w:t>
      </w:r>
      <w:r w:rsidRPr="00A11FE0">
        <w:rPr>
          <w:rStyle w:val="Odkaznapoznmkupodiarou"/>
          <w:rFonts w:asciiTheme="majorHAnsi" w:hAnsiTheme="majorHAnsi"/>
          <w:color w:val="000000"/>
          <w:szCs w:val="22"/>
          <w:lang w:eastAsia="sk-SK"/>
        </w:rPr>
        <w:footnoteReference w:id="136"/>
      </w:r>
      <w:r w:rsidRPr="00A11FE0">
        <w:rPr>
          <w:rFonts w:asciiTheme="majorHAnsi" w:hAnsiTheme="majorHAnsi"/>
          <w:color w:val="000000"/>
          <w:szCs w:val="22"/>
          <w:lang w:eastAsia="sk-SK"/>
        </w:rPr>
        <w:t>.</w:t>
      </w:r>
    </w:p>
    <w:p w:rsidR="00406C25" w:rsidRPr="00A11FE0" w:rsidRDefault="00406C25" w:rsidP="00406C25">
      <w:pPr>
        <w:rPr>
          <w:rFonts w:asciiTheme="majorHAnsi" w:hAnsiTheme="majorHAnsi"/>
          <w:szCs w:val="22"/>
        </w:rPr>
      </w:pPr>
      <w:r w:rsidRPr="00A11FE0">
        <w:rPr>
          <w:rFonts w:asciiTheme="majorHAnsi" w:hAnsiTheme="majorHAnsi"/>
          <w:szCs w:val="22"/>
        </w:rPr>
        <w:t>Marginalizácia na trhu práce, resp. vylúčenie Rómov z</w:t>
      </w:r>
      <w:r w:rsidR="00233E53">
        <w:rPr>
          <w:rFonts w:asciiTheme="majorHAnsi" w:hAnsiTheme="majorHAnsi"/>
          <w:szCs w:val="22"/>
        </w:rPr>
        <w:t> </w:t>
      </w:r>
      <w:r w:rsidRPr="00A11FE0">
        <w:rPr>
          <w:rFonts w:asciiTheme="majorHAnsi" w:hAnsiTheme="majorHAnsi"/>
          <w:szCs w:val="22"/>
        </w:rPr>
        <w:t>formálneho trhu práce je zapríčinen</w:t>
      </w:r>
      <w:r w:rsidR="000A31EC" w:rsidRPr="00A11FE0">
        <w:rPr>
          <w:rFonts w:asciiTheme="majorHAnsi" w:hAnsiTheme="majorHAnsi"/>
          <w:szCs w:val="22"/>
        </w:rPr>
        <w:t>á</w:t>
      </w:r>
      <w:r w:rsidR="002D091E" w:rsidRPr="00A11FE0">
        <w:rPr>
          <w:rFonts w:asciiTheme="majorHAnsi" w:hAnsiTheme="majorHAnsi"/>
          <w:szCs w:val="22"/>
        </w:rPr>
        <w:t>,</w:t>
      </w:r>
      <w:r w:rsidRPr="00A11FE0">
        <w:rPr>
          <w:rFonts w:asciiTheme="majorHAnsi" w:hAnsiTheme="majorHAnsi"/>
          <w:szCs w:val="22"/>
        </w:rPr>
        <w:t xml:space="preserve"> </w:t>
      </w:r>
      <w:r w:rsidR="00FE7E18" w:rsidRPr="00A11FE0">
        <w:rPr>
          <w:rFonts w:asciiTheme="majorHAnsi" w:hAnsiTheme="majorHAnsi"/>
          <w:szCs w:val="22"/>
        </w:rPr>
        <w:t xml:space="preserve">okrem nedostatočnej </w:t>
      </w:r>
      <w:r w:rsidR="00BD5FD5">
        <w:rPr>
          <w:rFonts w:asciiTheme="majorHAnsi" w:hAnsiTheme="majorHAnsi"/>
          <w:szCs w:val="22"/>
        </w:rPr>
        <w:t>k</w:t>
      </w:r>
      <w:r w:rsidR="00FE7E18" w:rsidRPr="00A11FE0">
        <w:rPr>
          <w:rFonts w:asciiTheme="majorHAnsi" w:hAnsiTheme="majorHAnsi"/>
          <w:szCs w:val="22"/>
        </w:rPr>
        <w:t>onkurencieschopnosti na trhu práce z</w:t>
      </w:r>
      <w:r w:rsidR="00233E53">
        <w:rPr>
          <w:rFonts w:asciiTheme="majorHAnsi" w:hAnsiTheme="majorHAnsi"/>
          <w:szCs w:val="22"/>
        </w:rPr>
        <w:t> </w:t>
      </w:r>
      <w:r w:rsidR="00FE7E18" w:rsidRPr="00A11FE0">
        <w:rPr>
          <w:rFonts w:asciiTheme="majorHAnsi" w:hAnsiTheme="majorHAnsi"/>
          <w:szCs w:val="22"/>
        </w:rPr>
        <w:t xml:space="preserve">dôvodu nízkej vzdelanostnej </w:t>
      </w:r>
      <w:r w:rsidR="00BD5FD5">
        <w:rPr>
          <w:rFonts w:asciiTheme="majorHAnsi" w:hAnsiTheme="majorHAnsi"/>
          <w:szCs w:val="22"/>
        </w:rPr>
        <w:t>a k</w:t>
      </w:r>
      <w:r w:rsidR="00FE7E18" w:rsidRPr="00A11FE0">
        <w:rPr>
          <w:rFonts w:asciiTheme="majorHAnsi" w:hAnsiTheme="majorHAnsi"/>
          <w:szCs w:val="22"/>
        </w:rPr>
        <w:t>valifikačnej</w:t>
      </w:r>
      <w:r w:rsidR="008B2288">
        <w:rPr>
          <w:rFonts w:asciiTheme="majorHAnsi" w:hAnsiTheme="majorHAnsi"/>
          <w:szCs w:val="22"/>
        </w:rPr>
        <w:t xml:space="preserve"> </w:t>
      </w:r>
      <w:r w:rsidR="00FE7E18" w:rsidRPr="00A11FE0">
        <w:rPr>
          <w:rFonts w:asciiTheme="majorHAnsi" w:hAnsiTheme="majorHAnsi"/>
          <w:szCs w:val="22"/>
        </w:rPr>
        <w:t xml:space="preserve">úrovne </w:t>
      </w:r>
      <w:r w:rsidR="00BD5FD5">
        <w:rPr>
          <w:rFonts w:asciiTheme="majorHAnsi" w:hAnsiTheme="majorHAnsi"/>
          <w:szCs w:val="22"/>
        </w:rPr>
        <w:t>a</w:t>
      </w:r>
      <w:r w:rsidR="002D091E" w:rsidRPr="00A11FE0">
        <w:rPr>
          <w:rFonts w:asciiTheme="majorHAnsi" w:hAnsiTheme="majorHAnsi"/>
          <w:szCs w:val="22"/>
        </w:rPr>
        <w:t> </w:t>
      </w:r>
      <w:r w:rsidR="00FE7E18" w:rsidRPr="00A11FE0">
        <w:rPr>
          <w:rFonts w:asciiTheme="majorHAnsi" w:hAnsiTheme="majorHAnsi"/>
          <w:szCs w:val="22"/>
        </w:rPr>
        <w:t>zručností</w:t>
      </w:r>
      <w:r w:rsidR="002D091E" w:rsidRPr="00A11FE0">
        <w:rPr>
          <w:rFonts w:asciiTheme="majorHAnsi" w:hAnsiTheme="majorHAnsi"/>
          <w:szCs w:val="22"/>
        </w:rPr>
        <w:t>,</w:t>
      </w:r>
      <w:r w:rsidR="00FE7E18" w:rsidRPr="00A11FE0">
        <w:rPr>
          <w:rFonts w:asciiTheme="majorHAnsi" w:hAnsiTheme="majorHAnsi"/>
          <w:szCs w:val="22"/>
        </w:rPr>
        <w:t xml:space="preserve"> </w:t>
      </w:r>
      <w:r w:rsidR="00BD5FD5">
        <w:rPr>
          <w:rFonts w:asciiTheme="majorHAnsi" w:hAnsiTheme="majorHAnsi"/>
          <w:szCs w:val="22"/>
        </w:rPr>
        <w:t>a</w:t>
      </w:r>
      <w:r w:rsidR="00FE7E18" w:rsidRPr="00A11FE0">
        <w:rPr>
          <w:rFonts w:asciiTheme="majorHAnsi" w:hAnsiTheme="majorHAnsi"/>
          <w:szCs w:val="22"/>
        </w:rPr>
        <w:t>j ďalšími faktormi</w:t>
      </w:r>
      <w:r w:rsidR="00260304">
        <w:rPr>
          <w:rFonts w:asciiTheme="majorHAnsi" w:hAnsiTheme="majorHAnsi"/>
          <w:szCs w:val="22"/>
        </w:rPr>
        <w:t>, a</w:t>
      </w:r>
      <w:r w:rsidR="00233E53">
        <w:rPr>
          <w:rFonts w:asciiTheme="majorHAnsi" w:hAnsiTheme="majorHAnsi"/>
          <w:szCs w:val="22"/>
        </w:rPr>
        <w:t> </w:t>
      </w:r>
      <w:r w:rsidR="00260304">
        <w:rPr>
          <w:rFonts w:asciiTheme="majorHAnsi" w:hAnsiTheme="majorHAnsi"/>
          <w:szCs w:val="22"/>
        </w:rPr>
        <w:t>to</w:t>
      </w:r>
      <w:r w:rsidRPr="00A11FE0">
        <w:rPr>
          <w:rFonts w:asciiTheme="majorHAnsi" w:hAnsiTheme="majorHAnsi"/>
          <w:szCs w:val="22"/>
        </w:rPr>
        <w:t>: prítomnosť</w:t>
      </w:r>
      <w:r w:rsidR="00260304">
        <w:rPr>
          <w:rFonts w:asciiTheme="majorHAnsi" w:hAnsiTheme="majorHAnsi"/>
          <w:szCs w:val="22"/>
        </w:rPr>
        <w:t>ou</w:t>
      </w:r>
      <w:r w:rsidRPr="00A11FE0">
        <w:rPr>
          <w:rFonts w:asciiTheme="majorHAnsi" w:hAnsiTheme="majorHAnsi"/>
          <w:szCs w:val="22"/>
        </w:rPr>
        <w:t xml:space="preserve"> diskriminácie voči rómskemu etniku zo </w:t>
      </w:r>
      <w:r w:rsidR="00BD5FD5">
        <w:rPr>
          <w:rFonts w:asciiTheme="majorHAnsi" w:hAnsiTheme="majorHAnsi"/>
          <w:szCs w:val="22"/>
        </w:rPr>
        <w:t>s</w:t>
      </w:r>
      <w:r w:rsidRPr="00A11FE0">
        <w:rPr>
          <w:rFonts w:asciiTheme="majorHAnsi" w:hAnsiTheme="majorHAnsi"/>
          <w:szCs w:val="22"/>
        </w:rPr>
        <w:t>trany majority (</w:t>
      </w:r>
      <w:r w:rsidR="00B47037">
        <w:rPr>
          <w:rFonts w:asciiTheme="majorHAnsi" w:hAnsiTheme="majorHAnsi"/>
          <w:szCs w:val="22"/>
        </w:rPr>
        <w:t>stereotyp</w:t>
      </w:r>
      <w:r w:rsidRPr="00A11FE0">
        <w:rPr>
          <w:rFonts w:asciiTheme="majorHAnsi" w:hAnsiTheme="majorHAnsi"/>
          <w:szCs w:val="22"/>
        </w:rPr>
        <w:t xml:space="preserve"> nespoľahlivých pracovníkov, bez pracovnej morálky, disciplíny </w:t>
      </w:r>
      <w:r w:rsidR="00BD5FD5">
        <w:rPr>
          <w:rFonts w:asciiTheme="majorHAnsi" w:hAnsiTheme="majorHAnsi"/>
          <w:szCs w:val="22"/>
        </w:rPr>
        <w:t>a </w:t>
      </w:r>
      <w:r w:rsidRPr="00A11FE0">
        <w:rPr>
          <w:rFonts w:asciiTheme="majorHAnsi" w:hAnsiTheme="majorHAnsi"/>
          <w:szCs w:val="22"/>
        </w:rPr>
        <w:t>motivácie</w:t>
      </w:r>
      <w:r w:rsidR="000A31EC" w:rsidRPr="00A11FE0">
        <w:rPr>
          <w:rFonts w:asciiTheme="majorHAnsi" w:hAnsiTheme="majorHAnsi"/>
          <w:szCs w:val="22"/>
        </w:rPr>
        <w:t xml:space="preserve">); </w:t>
      </w:r>
      <w:r w:rsidR="00260304" w:rsidRPr="00A11FE0">
        <w:rPr>
          <w:rFonts w:asciiTheme="majorHAnsi" w:hAnsiTheme="majorHAnsi"/>
          <w:szCs w:val="22"/>
        </w:rPr>
        <w:t>priestorov</w:t>
      </w:r>
      <w:r w:rsidR="00260304">
        <w:rPr>
          <w:rFonts w:asciiTheme="majorHAnsi" w:hAnsiTheme="majorHAnsi"/>
          <w:szCs w:val="22"/>
        </w:rPr>
        <w:t>ou</w:t>
      </w:r>
      <w:r w:rsidRPr="00A11FE0">
        <w:rPr>
          <w:rFonts w:asciiTheme="majorHAnsi" w:hAnsiTheme="majorHAnsi"/>
          <w:szCs w:val="22"/>
        </w:rPr>
        <w:t>/</w:t>
      </w:r>
      <w:r w:rsidR="00260304" w:rsidRPr="00A11FE0">
        <w:rPr>
          <w:rFonts w:asciiTheme="majorHAnsi" w:hAnsiTheme="majorHAnsi"/>
          <w:szCs w:val="22"/>
        </w:rPr>
        <w:t>geografick</w:t>
      </w:r>
      <w:r w:rsidR="00260304">
        <w:rPr>
          <w:rFonts w:asciiTheme="majorHAnsi" w:hAnsiTheme="majorHAnsi"/>
          <w:szCs w:val="22"/>
        </w:rPr>
        <w:t>ou</w:t>
      </w:r>
      <w:r w:rsidR="00260304" w:rsidRPr="00A11FE0">
        <w:rPr>
          <w:rFonts w:asciiTheme="majorHAnsi" w:hAnsiTheme="majorHAnsi"/>
          <w:szCs w:val="22"/>
        </w:rPr>
        <w:t xml:space="preserve"> lokalizáci</w:t>
      </w:r>
      <w:r w:rsidR="00260304">
        <w:rPr>
          <w:rFonts w:asciiTheme="majorHAnsi" w:hAnsiTheme="majorHAnsi"/>
          <w:szCs w:val="22"/>
        </w:rPr>
        <w:t>ou</w:t>
      </w:r>
      <w:r w:rsidR="00260304" w:rsidRPr="00A11FE0">
        <w:rPr>
          <w:rFonts w:asciiTheme="majorHAnsi" w:hAnsiTheme="majorHAnsi"/>
          <w:szCs w:val="22"/>
        </w:rPr>
        <w:t xml:space="preserve"> </w:t>
      </w:r>
      <w:r w:rsidR="000A31EC" w:rsidRPr="00A11FE0">
        <w:rPr>
          <w:rFonts w:asciiTheme="majorHAnsi" w:hAnsiTheme="majorHAnsi"/>
          <w:szCs w:val="22"/>
        </w:rPr>
        <w:t>(</w:t>
      </w:r>
      <w:r w:rsidR="00BD5FD5">
        <w:rPr>
          <w:rFonts w:asciiTheme="majorHAnsi" w:hAnsiTheme="majorHAnsi"/>
          <w:szCs w:val="22"/>
        </w:rPr>
        <w:t>k</w:t>
      </w:r>
      <w:r w:rsidRPr="00A11FE0">
        <w:rPr>
          <w:rFonts w:asciiTheme="majorHAnsi" w:hAnsiTheme="majorHAnsi"/>
          <w:szCs w:val="22"/>
        </w:rPr>
        <w:t>oncentrácia Rómov v</w:t>
      </w:r>
      <w:r w:rsidR="00113E3E">
        <w:rPr>
          <w:rFonts w:asciiTheme="majorHAnsi" w:hAnsiTheme="majorHAnsi"/>
          <w:szCs w:val="22"/>
        </w:rPr>
        <w:t> </w:t>
      </w:r>
      <w:r w:rsidRPr="00A11FE0">
        <w:rPr>
          <w:rFonts w:asciiTheme="majorHAnsi" w:hAnsiTheme="majorHAnsi"/>
          <w:szCs w:val="22"/>
        </w:rPr>
        <w:t xml:space="preserve">regiónoch </w:t>
      </w:r>
      <w:r w:rsidR="00BD5FD5">
        <w:rPr>
          <w:rFonts w:asciiTheme="majorHAnsi" w:hAnsiTheme="majorHAnsi"/>
          <w:szCs w:val="22"/>
        </w:rPr>
        <w:t>s </w:t>
      </w:r>
      <w:r w:rsidRPr="00A11FE0">
        <w:rPr>
          <w:rFonts w:asciiTheme="majorHAnsi" w:hAnsiTheme="majorHAnsi"/>
          <w:szCs w:val="22"/>
        </w:rPr>
        <w:t>najnižšou</w:t>
      </w:r>
      <w:r w:rsidR="00C256F7">
        <w:rPr>
          <w:rFonts w:asciiTheme="majorHAnsi" w:hAnsiTheme="majorHAnsi"/>
          <w:szCs w:val="22"/>
        </w:rPr>
        <w:t xml:space="preserve"> </w:t>
      </w:r>
      <w:r w:rsidRPr="00A11FE0">
        <w:rPr>
          <w:rFonts w:asciiTheme="majorHAnsi" w:hAnsiTheme="majorHAnsi"/>
          <w:szCs w:val="22"/>
        </w:rPr>
        <w:t xml:space="preserve">pracovnou </w:t>
      </w:r>
      <w:r w:rsidR="00BD5FD5">
        <w:rPr>
          <w:rFonts w:asciiTheme="majorHAnsi" w:hAnsiTheme="majorHAnsi"/>
          <w:szCs w:val="22"/>
        </w:rPr>
        <w:t>ak</w:t>
      </w:r>
      <w:r w:rsidRPr="00A11FE0">
        <w:rPr>
          <w:rFonts w:asciiTheme="majorHAnsi" w:hAnsiTheme="majorHAnsi"/>
          <w:szCs w:val="22"/>
        </w:rPr>
        <w:t>tivitou</w:t>
      </w:r>
      <w:r w:rsidR="000A31EC" w:rsidRPr="00A11FE0">
        <w:rPr>
          <w:rFonts w:asciiTheme="majorHAnsi" w:hAnsiTheme="majorHAnsi"/>
          <w:szCs w:val="22"/>
        </w:rPr>
        <w:t>);</w:t>
      </w:r>
      <w:r w:rsidRPr="00A11FE0">
        <w:rPr>
          <w:rFonts w:asciiTheme="majorHAnsi" w:hAnsiTheme="majorHAnsi"/>
          <w:szCs w:val="22"/>
        </w:rPr>
        <w:t xml:space="preserve"> nízky</w:t>
      </w:r>
      <w:r w:rsidR="00260304">
        <w:rPr>
          <w:rFonts w:asciiTheme="majorHAnsi" w:hAnsiTheme="majorHAnsi"/>
          <w:szCs w:val="22"/>
        </w:rPr>
        <w:t>m</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tatus</w:t>
      </w:r>
      <w:r w:rsidR="00260304">
        <w:rPr>
          <w:rFonts w:asciiTheme="majorHAnsi" w:hAnsiTheme="majorHAnsi"/>
          <w:szCs w:val="22"/>
        </w:rPr>
        <w:t>om</w:t>
      </w:r>
      <w:r w:rsidRPr="00A11FE0">
        <w:rPr>
          <w:rFonts w:asciiTheme="majorHAnsi" w:hAnsiTheme="majorHAnsi"/>
          <w:szCs w:val="22"/>
        </w:rPr>
        <w:t xml:space="preserve"> bývania, životných podmienok </w:t>
      </w:r>
      <w:r w:rsidR="00BD5FD5">
        <w:rPr>
          <w:rFonts w:asciiTheme="majorHAnsi" w:hAnsiTheme="majorHAnsi"/>
          <w:szCs w:val="22"/>
        </w:rPr>
        <w:t>a </w:t>
      </w:r>
      <w:r w:rsidRPr="00A11FE0">
        <w:rPr>
          <w:rFonts w:asciiTheme="majorHAnsi" w:hAnsiTheme="majorHAnsi"/>
          <w:szCs w:val="22"/>
        </w:rPr>
        <w:t>nevyhovujúci</w:t>
      </w:r>
      <w:r w:rsidR="00260304">
        <w:rPr>
          <w:rFonts w:asciiTheme="majorHAnsi" w:hAnsiTheme="majorHAnsi"/>
          <w:szCs w:val="22"/>
        </w:rPr>
        <w:t>m</w:t>
      </w:r>
      <w:r w:rsidRPr="00A11FE0">
        <w:rPr>
          <w:rFonts w:asciiTheme="majorHAnsi" w:hAnsiTheme="majorHAnsi"/>
          <w:szCs w:val="22"/>
        </w:rPr>
        <w:t xml:space="preserve"> zdravotný</w:t>
      </w:r>
      <w:r w:rsidR="00260304">
        <w:rPr>
          <w:rFonts w:asciiTheme="majorHAnsi" w:hAnsiTheme="majorHAnsi"/>
          <w:szCs w:val="22"/>
        </w:rPr>
        <w:t>m</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tav</w:t>
      </w:r>
      <w:r w:rsidR="00260304">
        <w:rPr>
          <w:rFonts w:asciiTheme="majorHAnsi" w:hAnsiTheme="majorHAnsi"/>
          <w:szCs w:val="22"/>
        </w:rPr>
        <w:t>om</w:t>
      </w:r>
      <w:r w:rsidR="000A31EC" w:rsidRPr="00A11FE0">
        <w:rPr>
          <w:rFonts w:asciiTheme="majorHAnsi" w:hAnsiTheme="majorHAnsi"/>
          <w:szCs w:val="22"/>
        </w:rPr>
        <w:t>;</w:t>
      </w:r>
      <w:r w:rsidRPr="00A11FE0">
        <w:rPr>
          <w:rFonts w:asciiTheme="majorHAnsi" w:hAnsiTheme="majorHAnsi"/>
          <w:szCs w:val="22"/>
        </w:rPr>
        <w:t xml:space="preserve"> </w:t>
      </w:r>
      <w:r w:rsidR="00260304" w:rsidRPr="00A11FE0">
        <w:rPr>
          <w:rFonts w:asciiTheme="majorHAnsi" w:hAnsiTheme="majorHAnsi"/>
          <w:szCs w:val="22"/>
        </w:rPr>
        <w:t>devastáci</w:t>
      </w:r>
      <w:r w:rsidR="00260304">
        <w:rPr>
          <w:rFonts w:asciiTheme="majorHAnsi" w:hAnsiTheme="majorHAnsi"/>
          <w:szCs w:val="22"/>
        </w:rPr>
        <w:t>ou</w:t>
      </w:r>
      <w:r w:rsidR="00260304" w:rsidRPr="00A11FE0">
        <w:rPr>
          <w:rFonts w:asciiTheme="majorHAnsi" w:hAnsiTheme="majorHAnsi"/>
          <w:szCs w:val="22"/>
        </w:rPr>
        <w:t xml:space="preserve"> </w:t>
      </w:r>
      <w:r w:rsidRPr="00A11FE0">
        <w:rPr>
          <w:rFonts w:asciiTheme="majorHAnsi" w:hAnsiTheme="majorHAnsi"/>
          <w:szCs w:val="22"/>
        </w:rPr>
        <w:t xml:space="preserve">ľudského </w:t>
      </w:r>
      <w:r w:rsidR="00BD5FD5">
        <w:rPr>
          <w:rFonts w:asciiTheme="majorHAnsi" w:hAnsiTheme="majorHAnsi"/>
          <w:szCs w:val="22"/>
        </w:rPr>
        <w:t>k</w:t>
      </w:r>
      <w:r w:rsidRPr="00A11FE0">
        <w:rPr>
          <w:rFonts w:asciiTheme="majorHAnsi" w:hAnsiTheme="majorHAnsi"/>
          <w:szCs w:val="22"/>
        </w:rPr>
        <w:t xml:space="preserve">apitálu </w:t>
      </w:r>
      <w:r w:rsidR="00BD5FD5">
        <w:rPr>
          <w:rFonts w:asciiTheme="majorHAnsi" w:hAnsiTheme="majorHAnsi"/>
          <w:szCs w:val="22"/>
        </w:rPr>
        <w:t>a </w:t>
      </w:r>
      <w:r w:rsidR="00260304">
        <w:rPr>
          <w:rFonts w:asciiTheme="majorHAnsi" w:hAnsiTheme="majorHAnsi"/>
          <w:szCs w:val="22"/>
        </w:rPr>
        <w:t>s</w:t>
      </w:r>
      <w:r w:rsidR="00260304" w:rsidRPr="00A11FE0">
        <w:rPr>
          <w:rFonts w:asciiTheme="majorHAnsi" w:hAnsiTheme="majorHAnsi"/>
          <w:szCs w:val="22"/>
        </w:rPr>
        <w:t>trat</w:t>
      </w:r>
      <w:r w:rsidR="00260304">
        <w:rPr>
          <w:rFonts w:asciiTheme="majorHAnsi" w:hAnsiTheme="majorHAnsi"/>
          <w:szCs w:val="22"/>
        </w:rPr>
        <w:t>ou</w:t>
      </w:r>
      <w:r w:rsidR="00260304" w:rsidRPr="00A11FE0">
        <w:rPr>
          <w:rFonts w:asciiTheme="majorHAnsi" w:hAnsiTheme="majorHAnsi"/>
          <w:szCs w:val="22"/>
        </w:rPr>
        <w:t xml:space="preserve"> </w:t>
      </w:r>
      <w:r w:rsidRPr="00A11FE0">
        <w:rPr>
          <w:rFonts w:asciiTheme="majorHAnsi" w:hAnsiTheme="majorHAnsi"/>
          <w:szCs w:val="22"/>
        </w:rPr>
        <w:t xml:space="preserve">pracovných návykov </w:t>
      </w:r>
      <w:r w:rsidR="00260304" w:rsidRPr="00A11FE0">
        <w:rPr>
          <w:rFonts w:asciiTheme="majorHAnsi" w:hAnsiTheme="majorHAnsi"/>
          <w:szCs w:val="22"/>
        </w:rPr>
        <w:t>zapríčinen</w:t>
      </w:r>
      <w:r w:rsidR="00260304">
        <w:rPr>
          <w:rFonts w:asciiTheme="majorHAnsi" w:hAnsiTheme="majorHAnsi"/>
          <w:szCs w:val="22"/>
        </w:rPr>
        <w:t>ou</w:t>
      </w:r>
      <w:r w:rsidR="00260304" w:rsidRPr="00A11FE0">
        <w:rPr>
          <w:rFonts w:asciiTheme="majorHAnsi" w:hAnsiTheme="majorHAnsi"/>
          <w:szCs w:val="22"/>
        </w:rPr>
        <w:t xml:space="preserve"> </w:t>
      </w:r>
      <w:r w:rsidRPr="00A11FE0">
        <w:rPr>
          <w:rFonts w:asciiTheme="majorHAnsi" w:hAnsiTheme="majorHAnsi"/>
          <w:szCs w:val="22"/>
        </w:rPr>
        <w:t>dlhodobou nezamestnanosťou.</w:t>
      </w:r>
    </w:p>
    <w:p w:rsidR="00406C25" w:rsidRPr="00A11FE0" w:rsidRDefault="00BD5FD5" w:rsidP="00406C25">
      <w:pPr>
        <w:rPr>
          <w:rFonts w:asciiTheme="majorHAnsi" w:hAnsiTheme="majorHAnsi"/>
          <w:color w:val="000000"/>
          <w:szCs w:val="22"/>
          <w:lang w:eastAsia="sk-SK"/>
        </w:rPr>
      </w:pPr>
      <w:r>
        <w:rPr>
          <w:rFonts w:asciiTheme="majorHAnsi" w:hAnsiTheme="majorHAnsi"/>
          <w:szCs w:val="22"/>
        </w:rPr>
        <w:t>S </w:t>
      </w:r>
      <w:r w:rsidR="00FE7E18" w:rsidRPr="00A11FE0">
        <w:rPr>
          <w:rFonts w:asciiTheme="majorHAnsi" w:hAnsiTheme="majorHAnsi"/>
          <w:szCs w:val="22"/>
        </w:rPr>
        <w:t xml:space="preserve">cieľom znižovania nerovností </w:t>
      </w:r>
      <w:r>
        <w:rPr>
          <w:rFonts w:asciiTheme="majorHAnsi" w:hAnsiTheme="majorHAnsi"/>
          <w:szCs w:val="22"/>
        </w:rPr>
        <w:t>a </w:t>
      </w:r>
      <w:r w:rsidR="00FE7E18" w:rsidRPr="00A11FE0">
        <w:rPr>
          <w:rFonts w:asciiTheme="majorHAnsi" w:hAnsiTheme="majorHAnsi"/>
          <w:szCs w:val="22"/>
        </w:rPr>
        <w:t xml:space="preserve">rozdielov medzi </w:t>
      </w:r>
      <w:r>
        <w:rPr>
          <w:rFonts w:asciiTheme="majorHAnsi" w:hAnsiTheme="majorHAnsi"/>
          <w:szCs w:val="22"/>
        </w:rPr>
        <w:t>s</w:t>
      </w:r>
      <w:r w:rsidR="00FE7E18" w:rsidRPr="00A11FE0">
        <w:rPr>
          <w:rFonts w:asciiTheme="majorHAnsi" w:hAnsiTheme="majorHAnsi"/>
          <w:szCs w:val="22"/>
        </w:rPr>
        <w:t xml:space="preserve">ociálne vylúčenými </w:t>
      </w:r>
      <w:r>
        <w:rPr>
          <w:rFonts w:asciiTheme="majorHAnsi" w:hAnsiTheme="majorHAnsi"/>
          <w:szCs w:val="22"/>
        </w:rPr>
        <w:t>a </w:t>
      </w:r>
      <w:r w:rsidR="00FE7E18" w:rsidRPr="00A11FE0">
        <w:rPr>
          <w:rFonts w:asciiTheme="majorHAnsi" w:hAnsiTheme="majorHAnsi"/>
          <w:szCs w:val="22"/>
        </w:rPr>
        <w:t xml:space="preserve">marginalizovanými </w:t>
      </w:r>
      <w:r>
        <w:rPr>
          <w:rFonts w:asciiTheme="majorHAnsi" w:hAnsiTheme="majorHAnsi"/>
          <w:szCs w:val="22"/>
        </w:rPr>
        <w:t>s</w:t>
      </w:r>
      <w:r w:rsidR="00FE7E18" w:rsidRPr="00A11FE0">
        <w:rPr>
          <w:rFonts w:asciiTheme="majorHAnsi" w:hAnsiTheme="majorHAnsi"/>
          <w:szCs w:val="22"/>
        </w:rPr>
        <w:t xml:space="preserve">kupinami rómskej populácie </w:t>
      </w:r>
      <w:r>
        <w:rPr>
          <w:rFonts w:asciiTheme="majorHAnsi" w:hAnsiTheme="majorHAnsi"/>
          <w:szCs w:val="22"/>
        </w:rPr>
        <w:t>a </w:t>
      </w:r>
      <w:r w:rsidR="00FE7E18" w:rsidRPr="00A11FE0">
        <w:rPr>
          <w:rFonts w:asciiTheme="majorHAnsi" w:hAnsiTheme="majorHAnsi"/>
          <w:szCs w:val="22"/>
        </w:rPr>
        <w:t xml:space="preserve">majoritou je nevyhnutné uplatňovať integrovaný </w:t>
      </w:r>
      <w:r>
        <w:rPr>
          <w:rFonts w:asciiTheme="majorHAnsi" w:hAnsiTheme="majorHAnsi"/>
          <w:szCs w:val="22"/>
        </w:rPr>
        <w:t>a k</w:t>
      </w:r>
      <w:r w:rsidR="00FE7E18" w:rsidRPr="00A11FE0">
        <w:rPr>
          <w:rFonts w:asciiTheme="majorHAnsi" w:hAnsiTheme="majorHAnsi"/>
          <w:szCs w:val="22"/>
        </w:rPr>
        <w:t>omplexný prístup v</w:t>
      </w:r>
      <w:r w:rsidR="00C256F7">
        <w:rPr>
          <w:rFonts w:asciiTheme="majorHAnsi" w:hAnsiTheme="majorHAnsi"/>
          <w:szCs w:val="22"/>
        </w:rPr>
        <w:t> </w:t>
      </w:r>
      <w:r w:rsidR="00FE7E18" w:rsidRPr="00A11FE0">
        <w:rPr>
          <w:rFonts w:asciiTheme="majorHAnsi" w:hAnsiTheme="majorHAnsi"/>
          <w:szCs w:val="22"/>
        </w:rPr>
        <w:t>lokalitách</w:t>
      </w:r>
      <w:r w:rsidR="00C256F7">
        <w:rPr>
          <w:rFonts w:asciiTheme="majorHAnsi" w:hAnsiTheme="majorHAnsi"/>
          <w:szCs w:val="22"/>
        </w:rPr>
        <w:t xml:space="preserve"> </w:t>
      </w:r>
      <w:r>
        <w:rPr>
          <w:rFonts w:asciiTheme="majorHAnsi" w:hAnsiTheme="majorHAnsi"/>
          <w:szCs w:val="22"/>
        </w:rPr>
        <w:t>s </w:t>
      </w:r>
      <w:r w:rsidR="00FE7E18" w:rsidRPr="00A11FE0">
        <w:rPr>
          <w:rFonts w:asciiTheme="majorHAnsi" w:hAnsiTheme="majorHAnsi"/>
          <w:szCs w:val="22"/>
        </w:rPr>
        <w:t>prítomnosťou</w:t>
      </w:r>
      <w:r w:rsidR="007D717C" w:rsidRPr="00A11FE0">
        <w:rPr>
          <w:rFonts w:asciiTheme="majorHAnsi" w:hAnsiTheme="majorHAnsi"/>
          <w:szCs w:val="22"/>
        </w:rPr>
        <w:t xml:space="preserve"> </w:t>
      </w:r>
      <w:r>
        <w:rPr>
          <w:rFonts w:asciiTheme="majorHAnsi" w:hAnsiTheme="majorHAnsi"/>
          <w:szCs w:val="22"/>
        </w:rPr>
        <w:t>s</w:t>
      </w:r>
      <w:r w:rsidR="00FE7E18" w:rsidRPr="00A11FE0">
        <w:rPr>
          <w:rFonts w:asciiTheme="majorHAnsi" w:hAnsiTheme="majorHAnsi"/>
          <w:szCs w:val="22"/>
        </w:rPr>
        <w:t xml:space="preserve">eparovaných </w:t>
      </w:r>
      <w:r>
        <w:rPr>
          <w:rFonts w:asciiTheme="majorHAnsi" w:hAnsiTheme="majorHAnsi"/>
          <w:szCs w:val="22"/>
        </w:rPr>
        <w:t>a s</w:t>
      </w:r>
      <w:r w:rsidR="00FE7E18" w:rsidRPr="00A11FE0">
        <w:rPr>
          <w:rFonts w:asciiTheme="majorHAnsi" w:hAnsiTheme="majorHAnsi"/>
          <w:szCs w:val="22"/>
        </w:rPr>
        <w:t xml:space="preserve">egregovaných </w:t>
      </w:r>
      <w:r w:rsidR="00682D44" w:rsidRPr="00A11FE0">
        <w:rPr>
          <w:rFonts w:asciiTheme="majorHAnsi" w:hAnsiTheme="majorHAnsi"/>
          <w:szCs w:val="22"/>
        </w:rPr>
        <w:t>MRK</w:t>
      </w:r>
      <w:r w:rsidR="00FE7E18" w:rsidRPr="00A11FE0">
        <w:rPr>
          <w:rFonts w:asciiTheme="majorHAnsi" w:hAnsiTheme="majorHAnsi"/>
          <w:szCs w:val="22"/>
        </w:rPr>
        <w:t xml:space="preserve">, </w:t>
      </w:r>
      <w:r>
        <w:rPr>
          <w:rFonts w:asciiTheme="majorHAnsi" w:hAnsiTheme="majorHAnsi"/>
          <w:szCs w:val="22"/>
        </w:rPr>
        <w:t>k</w:t>
      </w:r>
      <w:r w:rsidR="00FE7E18" w:rsidRPr="00A11FE0">
        <w:rPr>
          <w:rFonts w:asciiTheme="majorHAnsi" w:hAnsiTheme="majorHAnsi"/>
          <w:szCs w:val="22"/>
        </w:rPr>
        <w:t xml:space="preserve">torý umožní zlepšiť prístup </w:t>
      </w:r>
      <w:r>
        <w:rPr>
          <w:rFonts w:asciiTheme="majorHAnsi" w:hAnsiTheme="majorHAnsi"/>
          <w:szCs w:val="22"/>
        </w:rPr>
        <w:t>k</w:t>
      </w:r>
      <w:r w:rsidR="00FE7E18" w:rsidRPr="00A11FE0">
        <w:rPr>
          <w:rFonts w:asciiTheme="majorHAnsi" w:hAnsiTheme="majorHAnsi"/>
          <w:szCs w:val="22"/>
        </w:rPr>
        <w:t xml:space="preserve">u </w:t>
      </w:r>
      <w:r>
        <w:rPr>
          <w:rFonts w:asciiTheme="majorHAnsi" w:hAnsiTheme="majorHAnsi"/>
          <w:szCs w:val="22"/>
        </w:rPr>
        <w:t>k</w:t>
      </w:r>
      <w:r w:rsidR="00FE7E18" w:rsidRPr="00A11FE0">
        <w:rPr>
          <w:rFonts w:asciiTheme="majorHAnsi" w:hAnsiTheme="majorHAnsi"/>
          <w:szCs w:val="22"/>
        </w:rPr>
        <w:t xml:space="preserve">valitnému inkluzívnemu </w:t>
      </w:r>
      <w:r>
        <w:rPr>
          <w:rFonts w:asciiTheme="majorHAnsi" w:hAnsiTheme="majorHAnsi"/>
          <w:szCs w:val="22"/>
        </w:rPr>
        <w:t>a </w:t>
      </w:r>
      <w:r w:rsidR="00FE7E18" w:rsidRPr="00A11FE0">
        <w:rPr>
          <w:rFonts w:asciiTheme="majorHAnsi" w:hAnsiTheme="majorHAnsi"/>
          <w:szCs w:val="22"/>
        </w:rPr>
        <w:t>desegregovanému vzdelávaniu, znížiť podiel v</w:t>
      </w:r>
      <w:r w:rsidR="00B70961">
        <w:rPr>
          <w:rFonts w:asciiTheme="majorHAnsi" w:hAnsiTheme="majorHAnsi"/>
          <w:szCs w:val="22"/>
        </w:rPr>
        <w:t> </w:t>
      </w:r>
      <w:r w:rsidR="00FE7E18" w:rsidRPr="00A11FE0">
        <w:rPr>
          <w:rFonts w:asciiTheme="majorHAnsi" w:hAnsiTheme="majorHAnsi"/>
          <w:szCs w:val="22"/>
        </w:rPr>
        <w:t xml:space="preserve">miere nezamestnanosti, podporiť prístup </w:t>
      </w:r>
      <w:r>
        <w:rPr>
          <w:rFonts w:asciiTheme="majorHAnsi" w:hAnsiTheme="majorHAnsi"/>
          <w:szCs w:val="22"/>
        </w:rPr>
        <w:t>k</w:t>
      </w:r>
      <w:r w:rsidR="007D717C" w:rsidRPr="00A11FE0">
        <w:rPr>
          <w:rFonts w:asciiTheme="majorHAnsi" w:hAnsiTheme="majorHAnsi"/>
          <w:szCs w:val="22"/>
        </w:rPr>
        <w:t> </w:t>
      </w:r>
      <w:r>
        <w:rPr>
          <w:rFonts w:asciiTheme="majorHAnsi" w:hAnsiTheme="majorHAnsi"/>
          <w:szCs w:val="22"/>
        </w:rPr>
        <w:t>s</w:t>
      </w:r>
      <w:r w:rsidR="00FE7E18" w:rsidRPr="00A11FE0">
        <w:rPr>
          <w:rFonts w:asciiTheme="majorHAnsi" w:hAnsiTheme="majorHAnsi"/>
          <w:szCs w:val="22"/>
        </w:rPr>
        <w:t>ociálnej</w:t>
      </w:r>
      <w:r w:rsidR="007D717C" w:rsidRPr="00A11FE0">
        <w:rPr>
          <w:rFonts w:asciiTheme="majorHAnsi" w:hAnsiTheme="majorHAnsi"/>
          <w:szCs w:val="22"/>
        </w:rPr>
        <w:t xml:space="preserve"> </w:t>
      </w:r>
      <w:r w:rsidR="00FE7E18" w:rsidRPr="00A11FE0">
        <w:rPr>
          <w:rFonts w:asciiTheme="majorHAnsi" w:hAnsiTheme="majorHAnsi"/>
          <w:szCs w:val="22"/>
        </w:rPr>
        <w:t xml:space="preserve">infraštruktúre, zdravotnej </w:t>
      </w:r>
      <w:r>
        <w:rPr>
          <w:rFonts w:asciiTheme="majorHAnsi" w:hAnsiTheme="majorHAnsi"/>
          <w:szCs w:val="22"/>
        </w:rPr>
        <w:t>s</w:t>
      </w:r>
      <w:r w:rsidR="00FE7E18" w:rsidRPr="00A11FE0">
        <w:rPr>
          <w:rFonts w:asciiTheme="majorHAnsi" w:hAnsiTheme="majorHAnsi"/>
          <w:szCs w:val="22"/>
        </w:rPr>
        <w:t>tarostlivosti</w:t>
      </w:r>
      <w:r w:rsidR="00260304">
        <w:rPr>
          <w:rFonts w:asciiTheme="majorHAnsi" w:hAnsiTheme="majorHAnsi"/>
          <w:szCs w:val="22"/>
        </w:rPr>
        <w:t xml:space="preserve"> a</w:t>
      </w:r>
      <w:r w:rsidR="00113E3E">
        <w:rPr>
          <w:rFonts w:asciiTheme="majorHAnsi" w:hAnsiTheme="majorHAnsi"/>
          <w:szCs w:val="22"/>
        </w:rPr>
        <w:t> </w:t>
      </w:r>
      <w:r>
        <w:rPr>
          <w:rFonts w:asciiTheme="majorHAnsi" w:hAnsiTheme="majorHAnsi"/>
          <w:szCs w:val="22"/>
        </w:rPr>
        <w:t>k </w:t>
      </w:r>
      <w:r w:rsidR="00FE7E18" w:rsidRPr="00A11FE0">
        <w:rPr>
          <w:rFonts w:asciiTheme="majorHAnsi" w:hAnsiTheme="majorHAnsi"/>
          <w:szCs w:val="22"/>
        </w:rPr>
        <w:t>zvýšeniu hygienických štandardov bývania.</w:t>
      </w:r>
    </w:p>
    <w:p w:rsidR="00406C25" w:rsidRPr="00A11FE0" w:rsidRDefault="008E7522" w:rsidP="00723936">
      <w:pPr>
        <w:pStyle w:val="Nadpis5"/>
        <w:numPr>
          <w:ilvl w:val="4"/>
          <w:numId w:val="2"/>
        </w:numPr>
        <w:ind w:left="1292"/>
      </w:pPr>
      <w:r w:rsidRPr="008E7522">
        <w:t>Prevencia a eliminácia všetkým foriem diskriminácie</w:t>
      </w:r>
    </w:p>
    <w:p w:rsidR="00406C25" w:rsidRPr="00A11FE0" w:rsidRDefault="00406C25" w:rsidP="00406C25">
      <w:pPr>
        <w:autoSpaceDE w:val="0"/>
        <w:autoSpaceDN w:val="0"/>
        <w:adjustRightInd w:val="0"/>
        <w:spacing w:after="0"/>
        <w:rPr>
          <w:rFonts w:asciiTheme="majorHAnsi" w:hAnsiTheme="majorHAnsi"/>
          <w:szCs w:val="22"/>
        </w:rPr>
      </w:pPr>
      <w:r w:rsidRPr="00A11FE0">
        <w:rPr>
          <w:rFonts w:asciiTheme="majorHAnsi" w:hAnsiTheme="majorHAnsi"/>
          <w:szCs w:val="22"/>
        </w:rPr>
        <w:t xml:space="preserve">Rizikovou </w:t>
      </w:r>
      <w:r w:rsidR="00BD5FD5">
        <w:rPr>
          <w:rFonts w:asciiTheme="majorHAnsi" w:hAnsiTheme="majorHAnsi"/>
          <w:szCs w:val="22"/>
        </w:rPr>
        <w:t>s</w:t>
      </w:r>
      <w:r w:rsidRPr="00A11FE0">
        <w:rPr>
          <w:rFonts w:asciiTheme="majorHAnsi" w:hAnsiTheme="majorHAnsi"/>
          <w:szCs w:val="22"/>
        </w:rPr>
        <w:t xml:space="preserve">kupinou ohrozenou </w:t>
      </w:r>
      <w:r w:rsidR="00BD5FD5">
        <w:rPr>
          <w:rFonts w:asciiTheme="majorHAnsi" w:hAnsiTheme="majorHAnsi"/>
          <w:szCs w:val="22"/>
        </w:rPr>
        <w:t>s</w:t>
      </w:r>
      <w:r w:rsidRPr="00A11FE0">
        <w:rPr>
          <w:rFonts w:asciiTheme="majorHAnsi" w:hAnsiTheme="majorHAnsi"/>
          <w:szCs w:val="22"/>
        </w:rPr>
        <w:t xml:space="preserve">ociálnym vylúčením </w:t>
      </w:r>
      <w:r w:rsidR="00BD5FD5">
        <w:rPr>
          <w:rFonts w:asciiTheme="majorHAnsi" w:hAnsiTheme="majorHAnsi"/>
          <w:szCs w:val="22"/>
        </w:rPr>
        <w:t>s</w:t>
      </w:r>
      <w:r w:rsidRPr="00A11FE0">
        <w:rPr>
          <w:rFonts w:asciiTheme="majorHAnsi" w:hAnsiTheme="majorHAnsi"/>
          <w:szCs w:val="22"/>
        </w:rPr>
        <w:t xml:space="preserve">ú </w:t>
      </w:r>
      <w:r w:rsidR="00BD5FD5">
        <w:rPr>
          <w:rFonts w:asciiTheme="majorHAnsi" w:hAnsiTheme="majorHAnsi"/>
          <w:szCs w:val="22"/>
        </w:rPr>
        <w:t>a</w:t>
      </w:r>
      <w:r w:rsidRPr="00A11FE0">
        <w:rPr>
          <w:rFonts w:asciiTheme="majorHAnsi" w:hAnsiTheme="majorHAnsi"/>
          <w:szCs w:val="22"/>
        </w:rPr>
        <w:t>j o</w:t>
      </w:r>
      <w:r w:rsidR="00D50186">
        <w:rPr>
          <w:rFonts w:asciiTheme="majorHAnsi" w:hAnsiTheme="majorHAnsi"/>
          <w:szCs w:val="22"/>
        </w:rPr>
        <w:t>soby</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o zdravotným postihnutím, pre </w:t>
      </w:r>
      <w:r w:rsidR="00BD5FD5">
        <w:rPr>
          <w:rFonts w:asciiTheme="majorHAnsi" w:hAnsiTheme="majorHAnsi"/>
          <w:szCs w:val="22"/>
        </w:rPr>
        <w:t>k</w:t>
      </w:r>
      <w:r w:rsidRPr="00A11FE0">
        <w:rPr>
          <w:rFonts w:asciiTheme="majorHAnsi" w:hAnsiTheme="majorHAnsi"/>
          <w:szCs w:val="22"/>
        </w:rPr>
        <w:t>tor</w:t>
      </w:r>
      <w:r w:rsidR="00AF64F9">
        <w:rPr>
          <w:rFonts w:asciiTheme="majorHAnsi" w:hAnsiTheme="majorHAnsi"/>
          <w:szCs w:val="22"/>
        </w:rPr>
        <w:t>é</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a uplatňuje </w:t>
      </w:r>
      <w:r w:rsidR="00BD5FD5">
        <w:rPr>
          <w:rFonts w:asciiTheme="majorHAnsi" w:hAnsiTheme="majorHAnsi"/>
          <w:szCs w:val="22"/>
        </w:rPr>
        <w:t>k</w:t>
      </w:r>
      <w:r w:rsidRPr="00A11FE0">
        <w:rPr>
          <w:rFonts w:asciiTheme="majorHAnsi" w:hAnsiTheme="majorHAnsi"/>
          <w:bCs/>
        </w:rPr>
        <w:t>ompenzácia</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ociálneho dôsledku </w:t>
      </w:r>
      <w:r w:rsidR="000919E5">
        <w:rPr>
          <w:rFonts w:asciiTheme="majorHAnsi" w:hAnsiTheme="majorHAnsi"/>
          <w:szCs w:val="22"/>
        </w:rPr>
        <w:t>ťažkého zdravotného postihnutia (ďalej len „ŤZP“)</w:t>
      </w:r>
      <w:r w:rsidRPr="00A11FE0">
        <w:rPr>
          <w:rFonts w:asciiTheme="majorHAnsi" w:hAnsiTheme="majorHAnsi"/>
          <w:szCs w:val="22"/>
        </w:rPr>
        <w:t xml:space="preserve"> poskytovaním </w:t>
      </w:r>
      <w:r w:rsidRPr="00A11FE0">
        <w:rPr>
          <w:rFonts w:asciiTheme="majorHAnsi" w:hAnsiTheme="majorHAnsi"/>
          <w:bCs/>
        </w:rPr>
        <w:t>peňažných príspevkov</w:t>
      </w:r>
      <w:r w:rsidR="000919E5">
        <w:rPr>
          <w:rFonts w:asciiTheme="majorHAnsi" w:hAnsiTheme="majorHAnsi"/>
          <w:bCs/>
        </w:rPr>
        <w:t>,</w:t>
      </w:r>
      <w:r w:rsidRPr="00A11FE0">
        <w:rPr>
          <w:rFonts w:asciiTheme="majorHAnsi" w:hAnsiTheme="majorHAnsi"/>
          <w:b/>
          <w:bCs/>
        </w:rPr>
        <w:t xml:space="preserve"> </w:t>
      </w:r>
      <w:r w:rsidR="00BD5FD5">
        <w:rPr>
          <w:rFonts w:asciiTheme="majorHAnsi" w:hAnsiTheme="majorHAnsi"/>
          <w:szCs w:val="22"/>
        </w:rPr>
        <w:t>a</w:t>
      </w:r>
      <w:r w:rsidRPr="00A11FE0">
        <w:rPr>
          <w:rFonts w:asciiTheme="majorHAnsi" w:hAnsiTheme="majorHAnsi"/>
          <w:szCs w:val="22"/>
        </w:rPr>
        <w:t xml:space="preserve">lebo poskytovaním </w:t>
      </w:r>
      <w:r w:rsidR="00BD5FD5">
        <w:rPr>
          <w:rFonts w:asciiTheme="majorHAnsi" w:hAnsiTheme="majorHAnsi"/>
          <w:bCs/>
        </w:rPr>
        <w:t>s</w:t>
      </w:r>
      <w:r w:rsidRPr="00A11FE0">
        <w:rPr>
          <w:rFonts w:asciiTheme="majorHAnsi" w:hAnsiTheme="majorHAnsi"/>
          <w:bCs/>
        </w:rPr>
        <w:t xml:space="preserve">ociálnych </w:t>
      </w:r>
      <w:r w:rsidR="00BD5FD5">
        <w:rPr>
          <w:rFonts w:asciiTheme="majorHAnsi" w:hAnsiTheme="majorHAnsi"/>
          <w:bCs/>
        </w:rPr>
        <w:t>s</w:t>
      </w:r>
      <w:r w:rsidRPr="00A11FE0">
        <w:rPr>
          <w:rFonts w:asciiTheme="majorHAnsi" w:hAnsiTheme="majorHAnsi"/>
          <w:bCs/>
        </w:rPr>
        <w:t>lužieb</w:t>
      </w:r>
      <w:r w:rsidRPr="00A11FE0">
        <w:rPr>
          <w:rStyle w:val="Odkaznapoznmkupodiarou"/>
          <w:rFonts w:asciiTheme="majorHAnsi" w:hAnsiTheme="majorHAnsi"/>
          <w:bCs/>
        </w:rPr>
        <w:footnoteReference w:id="137"/>
      </w:r>
      <w:r w:rsidRPr="00A11FE0">
        <w:rPr>
          <w:rFonts w:asciiTheme="majorHAnsi" w:hAnsiTheme="majorHAnsi"/>
          <w:szCs w:val="22"/>
        </w:rPr>
        <w:t xml:space="preserve"> </w:t>
      </w:r>
      <w:r w:rsidR="00BD5FD5">
        <w:rPr>
          <w:rFonts w:asciiTheme="majorHAnsi" w:hAnsiTheme="majorHAnsi"/>
          <w:szCs w:val="22"/>
        </w:rPr>
        <w:t>s </w:t>
      </w:r>
      <w:r w:rsidRPr="00A11FE0">
        <w:rPr>
          <w:rFonts w:asciiTheme="majorHAnsi" w:hAnsiTheme="majorHAnsi"/>
          <w:szCs w:val="22"/>
        </w:rPr>
        <w:t xml:space="preserve">cieľom </w:t>
      </w:r>
      <w:r w:rsidRPr="00A11FE0">
        <w:rPr>
          <w:rFonts w:asciiTheme="majorHAnsi" w:hAnsiTheme="majorHAnsi"/>
          <w:bCs/>
        </w:rPr>
        <w:t xml:space="preserve">podpory </w:t>
      </w:r>
      <w:r w:rsidR="00BD5FD5">
        <w:rPr>
          <w:rFonts w:asciiTheme="majorHAnsi" w:hAnsiTheme="majorHAnsi"/>
          <w:bCs/>
        </w:rPr>
        <w:t>s</w:t>
      </w:r>
      <w:r w:rsidRPr="00A11FE0">
        <w:rPr>
          <w:rFonts w:asciiTheme="majorHAnsi" w:hAnsiTheme="majorHAnsi"/>
          <w:bCs/>
        </w:rPr>
        <w:t>ociálneho začlenenia</w:t>
      </w:r>
      <w:r w:rsidRPr="00A11FE0">
        <w:rPr>
          <w:rFonts w:asciiTheme="majorHAnsi" w:hAnsiTheme="majorHAnsi"/>
          <w:szCs w:val="22"/>
        </w:rPr>
        <w:t xml:space="preserve"> fyzickej osoby </w:t>
      </w:r>
      <w:r w:rsidR="00BD5FD5">
        <w:rPr>
          <w:rFonts w:asciiTheme="majorHAnsi" w:hAnsiTheme="majorHAnsi"/>
          <w:szCs w:val="22"/>
        </w:rPr>
        <w:t>s </w:t>
      </w:r>
      <w:r w:rsidR="00100534">
        <w:rPr>
          <w:rFonts w:asciiTheme="majorHAnsi" w:hAnsiTheme="majorHAnsi"/>
          <w:szCs w:val="22"/>
        </w:rPr>
        <w:t xml:space="preserve">ŤZP </w:t>
      </w:r>
      <w:r w:rsidRPr="00A11FE0">
        <w:rPr>
          <w:rFonts w:asciiTheme="majorHAnsi" w:hAnsiTheme="majorHAnsi"/>
          <w:szCs w:val="22"/>
        </w:rPr>
        <w:t xml:space="preserve">do </w:t>
      </w:r>
      <w:r w:rsidR="00BD5FD5">
        <w:rPr>
          <w:rFonts w:asciiTheme="majorHAnsi" w:hAnsiTheme="majorHAnsi"/>
          <w:szCs w:val="22"/>
        </w:rPr>
        <w:t>s</w:t>
      </w:r>
      <w:r w:rsidRPr="00A11FE0">
        <w:rPr>
          <w:rFonts w:asciiTheme="majorHAnsi" w:hAnsiTheme="majorHAnsi"/>
          <w:szCs w:val="22"/>
        </w:rPr>
        <w:t xml:space="preserve">poločnosti za jej </w:t>
      </w:r>
      <w:r w:rsidR="00BD5FD5">
        <w:rPr>
          <w:rFonts w:asciiTheme="majorHAnsi" w:hAnsiTheme="majorHAnsi"/>
          <w:bCs/>
        </w:rPr>
        <w:t>ak</w:t>
      </w:r>
      <w:r w:rsidRPr="00A11FE0">
        <w:rPr>
          <w:rFonts w:asciiTheme="majorHAnsi" w:hAnsiTheme="majorHAnsi"/>
          <w:bCs/>
        </w:rPr>
        <w:t>tívnej účasti</w:t>
      </w:r>
      <w:r w:rsidRPr="00A11FE0">
        <w:rPr>
          <w:rFonts w:asciiTheme="majorHAnsi" w:hAnsiTheme="majorHAnsi"/>
          <w:szCs w:val="22"/>
        </w:rPr>
        <w:t xml:space="preserve"> pri zachovaní jej </w:t>
      </w:r>
      <w:r w:rsidRPr="00A11FE0">
        <w:rPr>
          <w:rFonts w:asciiTheme="majorHAnsi" w:hAnsiTheme="majorHAnsi"/>
          <w:bCs/>
        </w:rPr>
        <w:t xml:space="preserve">ľudskej dôstojnosti </w:t>
      </w:r>
      <w:r w:rsidR="00BD5FD5">
        <w:rPr>
          <w:rFonts w:asciiTheme="majorHAnsi" w:hAnsiTheme="majorHAnsi"/>
          <w:bCs/>
        </w:rPr>
        <w:t>a</w:t>
      </w:r>
      <w:r w:rsidRPr="00A11FE0">
        <w:rPr>
          <w:rFonts w:asciiTheme="majorHAnsi" w:hAnsiTheme="majorHAnsi"/>
          <w:bCs/>
        </w:rPr>
        <w:t> v ustanovených oblastiach</w:t>
      </w:r>
      <w:r w:rsidRPr="00A11FE0">
        <w:rPr>
          <w:rFonts w:asciiTheme="majorHAnsi" w:hAnsiTheme="majorHAnsi"/>
          <w:szCs w:val="22"/>
        </w:rPr>
        <w:t>.</w:t>
      </w:r>
    </w:p>
    <w:p w:rsidR="00406C25" w:rsidRDefault="00BD5FD5" w:rsidP="00406C25">
      <w:pPr>
        <w:autoSpaceDE w:val="0"/>
        <w:autoSpaceDN w:val="0"/>
        <w:adjustRightInd w:val="0"/>
        <w:spacing w:after="0"/>
        <w:rPr>
          <w:rFonts w:asciiTheme="majorHAnsi" w:hAnsiTheme="majorHAnsi"/>
          <w:szCs w:val="22"/>
        </w:rPr>
      </w:pPr>
      <w:r>
        <w:rPr>
          <w:rFonts w:asciiTheme="majorHAnsi" w:hAnsiTheme="majorHAnsi"/>
          <w:szCs w:val="22"/>
        </w:rPr>
        <w:t>S</w:t>
      </w:r>
      <w:r w:rsidR="00406C25" w:rsidRPr="00A11FE0">
        <w:rPr>
          <w:rFonts w:asciiTheme="majorHAnsi" w:hAnsiTheme="majorHAnsi"/>
          <w:szCs w:val="22"/>
        </w:rPr>
        <w:t xml:space="preserve">R ratifikovala Dohovor OSN o právach osôb </w:t>
      </w:r>
      <w:r>
        <w:rPr>
          <w:rFonts w:asciiTheme="majorHAnsi" w:hAnsiTheme="majorHAnsi"/>
          <w:szCs w:val="22"/>
        </w:rPr>
        <w:t>s</w:t>
      </w:r>
      <w:r w:rsidR="00406C25" w:rsidRPr="00A11FE0">
        <w:rPr>
          <w:rFonts w:asciiTheme="majorHAnsi" w:hAnsiTheme="majorHAnsi"/>
          <w:szCs w:val="22"/>
        </w:rPr>
        <w:t>o zdravotným postihnutím</w:t>
      </w:r>
      <w:r w:rsidR="00406C25" w:rsidRPr="00A11FE0">
        <w:rPr>
          <w:rFonts w:asciiTheme="majorHAnsi" w:hAnsiTheme="majorHAnsi"/>
          <w:szCs w:val="22"/>
          <w:vertAlign w:val="superscript"/>
        </w:rPr>
        <w:footnoteReference w:id="138"/>
      </w:r>
      <w:r w:rsidR="00406C25" w:rsidRPr="00A11FE0">
        <w:rPr>
          <w:rFonts w:asciiTheme="majorHAnsi" w:hAnsiTheme="majorHAnsi"/>
          <w:szCs w:val="22"/>
        </w:rPr>
        <w:t xml:space="preserve">. Pre </w:t>
      </w:r>
      <w:r>
        <w:rPr>
          <w:rFonts w:asciiTheme="majorHAnsi" w:hAnsiTheme="majorHAnsi"/>
          <w:szCs w:val="22"/>
        </w:rPr>
        <w:t>S</w:t>
      </w:r>
      <w:r w:rsidR="00406C25" w:rsidRPr="00A11FE0">
        <w:rPr>
          <w:rFonts w:asciiTheme="majorHAnsi" w:hAnsiTheme="majorHAnsi"/>
          <w:szCs w:val="22"/>
        </w:rPr>
        <w:t xml:space="preserve">R to znamená zabezpečiť, </w:t>
      </w:r>
      <w:r>
        <w:rPr>
          <w:rFonts w:asciiTheme="majorHAnsi" w:hAnsiTheme="majorHAnsi"/>
          <w:szCs w:val="22"/>
        </w:rPr>
        <w:t>a</w:t>
      </w:r>
      <w:r w:rsidR="00406C25" w:rsidRPr="00A11FE0">
        <w:rPr>
          <w:rFonts w:asciiTheme="majorHAnsi" w:hAnsiTheme="majorHAnsi"/>
          <w:szCs w:val="22"/>
        </w:rPr>
        <w:t xml:space="preserve">by všetky právne predpisy, politiky </w:t>
      </w:r>
      <w:r>
        <w:rPr>
          <w:rFonts w:asciiTheme="majorHAnsi" w:hAnsiTheme="majorHAnsi"/>
          <w:szCs w:val="22"/>
        </w:rPr>
        <w:t>a </w:t>
      </w:r>
      <w:r w:rsidR="00406C25" w:rsidRPr="00A11FE0">
        <w:rPr>
          <w:rFonts w:asciiTheme="majorHAnsi" w:hAnsiTheme="majorHAnsi"/>
          <w:szCs w:val="22"/>
        </w:rPr>
        <w:t>programy na úrovni EÚ boli v</w:t>
      </w:r>
      <w:r w:rsidR="00136D7C">
        <w:rPr>
          <w:rFonts w:asciiTheme="majorHAnsi" w:hAnsiTheme="majorHAnsi"/>
          <w:szCs w:val="22"/>
        </w:rPr>
        <w:t> </w:t>
      </w:r>
      <w:r>
        <w:rPr>
          <w:rFonts w:asciiTheme="majorHAnsi" w:hAnsiTheme="majorHAnsi"/>
          <w:szCs w:val="22"/>
        </w:rPr>
        <w:t>s</w:t>
      </w:r>
      <w:r w:rsidR="00406C25" w:rsidRPr="00A11FE0">
        <w:rPr>
          <w:rFonts w:asciiTheme="majorHAnsi" w:hAnsiTheme="majorHAnsi"/>
          <w:szCs w:val="22"/>
        </w:rPr>
        <w:t xml:space="preserve">úlade </w:t>
      </w:r>
      <w:r>
        <w:rPr>
          <w:rFonts w:asciiTheme="majorHAnsi" w:hAnsiTheme="majorHAnsi"/>
          <w:szCs w:val="22"/>
        </w:rPr>
        <w:t>s</w:t>
      </w:r>
      <w:r w:rsidR="008B2288">
        <w:rPr>
          <w:rFonts w:asciiTheme="majorHAnsi" w:hAnsiTheme="majorHAnsi"/>
          <w:szCs w:val="22"/>
        </w:rPr>
        <w:t> </w:t>
      </w:r>
      <w:r w:rsidR="00406C25" w:rsidRPr="00A11FE0">
        <w:rPr>
          <w:rFonts w:asciiTheme="majorHAnsi" w:hAnsiTheme="majorHAnsi"/>
          <w:szCs w:val="22"/>
        </w:rPr>
        <w:t>ustanoveniami</w:t>
      </w:r>
      <w:r w:rsidR="008B2288">
        <w:rPr>
          <w:rFonts w:asciiTheme="majorHAnsi" w:hAnsiTheme="majorHAnsi"/>
          <w:szCs w:val="22"/>
        </w:rPr>
        <w:t xml:space="preserve"> </w:t>
      </w:r>
      <w:r w:rsidR="00406C25" w:rsidRPr="00A11FE0">
        <w:rPr>
          <w:rFonts w:asciiTheme="majorHAnsi" w:hAnsiTheme="majorHAnsi"/>
          <w:szCs w:val="22"/>
        </w:rPr>
        <w:t>dohovoru o</w:t>
      </w:r>
      <w:r w:rsidR="007D717C" w:rsidRPr="00A11FE0">
        <w:rPr>
          <w:rFonts w:asciiTheme="majorHAnsi" w:hAnsiTheme="majorHAnsi"/>
          <w:szCs w:val="22"/>
        </w:rPr>
        <w:t> </w:t>
      </w:r>
      <w:r w:rsidR="00406C25" w:rsidRPr="00A11FE0">
        <w:rPr>
          <w:rFonts w:asciiTheme="majorHAnsi" w:hAnsiTheme="majorHAnsi"/>
          <w:szCs w:val="22"/>
        </w:rPr>
        <w:t>právach</w:t>
      </w:r>
      <w:r w:rsidR="007D717C" w:rsidRPr="00A11FE0">
        <w:rPr>
          <w:rFonts w:asciiTheme="majorHAnsi" w:hAnsiTheme="majorHAnsi"/>
          <w:szCs w:val="22"/>
        </w:rPr>
        <w:t xml:space="preserve"> </w:t>
      </w:r>
      <w:r w:rsidR="00406C25" w:rsidRPr="00A11FE0">
        <w:rPr>
          <w:rFonts w:asciiTheme="majorHAnsi" w:hAnsiTheme="majorHAnsi"/>
          <w:szCs w:val="22"/>
        </w:rPr>
        <w:t xml:space="preserve">osôb </w:t>
      </w:r>
      <w:r>
        <w:rPr>
          <w:rFonts w:asciiTheme="majorHAnsi" w:hAnsiTheme="majorHAnsi"/>
          <w:szCs w:val="22"/>
        </w:rPr>
        <w:t>s</w:t>
      </w:r>
      <w:r w:rsidR="00406C25" w:rsidRPr="00A11FE0">
        <w:rPr>
          <w:rFonts w:asciiTheme="majorHAnsi" w:hAnsiTheme="majorHAnsi"/>
          <w:szCs w:val="22"/>
        </w:rPr>
        <w:t xml:space="preserve">o zdravotným postihnutím, </w:t>
      </w:r>
      <w:r>
        <w:rPr>
          <w:rFonts w:asciiTheme="majorHAnsi" w:hAnsiTheme="majorHAnsi"/>
          <w:szCs w:val="22"/>
        </w:rPr>
        <w:t>a </w:t>
      </w:r>
      <w:r w:rsidR="00406C25" w:rsidRPr="00A11FE0">
        <w:rPr>
          <w:rFonts w:asciiTheme="majorHAnsi" w:hAnsiTheme="majorHAnsi"/>
          <w:szCs w:val="22"/>
        </w:rPr>
        <w:t>to najmä v</w:t>
      </w:r>
      <w:r w:rsidR="00CB5015">
        <w:rPr>
          <w:rFonts w:asciiTheme="majorHAnsi" w:hAnsiTheme="majorHAnsi"/>
          <w:szCs w:val="22"/>
        </w:rPr>
        <w:t> </w:t>
      </w:r>
      <w:r w:rsidR="00406C25" w:rsidRPr="00A11FE0">
        <w:rPr>
          <w:rFonts w:asciiTheme="majorHAnsi" w:hAnsiTheme="majorHAnsi"/>
          <w:szCs w:val="22"/>
        </w:rPr>
        <w:t>oblastiach</w:t>
      </w:r>
      <w:r w:rsidR="00CB5015">
        <w:rPr>
          <w:rFonts w:asciiTheme="majorHAnsi" w:hAnsiTheme="majorHAnsi"/>
          <w:szCs w:val="22"/>
        </w:rPr>
        <w:t xml:space="preserve"> akými sú</w:t>
      </w:r>
      <w:r w:rsidR="00406C25" w:rsidRPr="00A11FE0">
        <w:rPr>
          <w:rFonts w:asciiTheme="majorHAnsi" w:hAnsiTheme="majorHAnsi"/>
          <w:szCs w:val="22"/>
        </w:rPr>
        <w:t xml:space="preserve">: prístup </w:t>
      </w:r>
      <w:r>
        <w:rPr>
          <w:rFonts w:asciiTheme="majorHAnsi" w:hAnsiTheme="majorHAnsi"/>
          <w:szCs w:val="22"/>
        </w:rPr>
        <w:t>k</w:t>
      </w:r>
      <w:r w:rsidR="00406C25" w:rsidRPr="00A11FE0">
        <w:rPr>
          <w:rFonts w:asciiTheme="majorHAnsi" w:hAnsiTheme="majorHAnsi"/>
          <w:szCs w:val="22"/>
        </w:rPr>
        <w:t xml:space="preserve">u vzdelávaniu, zamestnanosť, doprava, infraštruktúra </w:t>
      </w:r>
      <w:r>
        <w:rPr>
          <w:rFonts w:asciiTheme="majorHAnsi" w:hAnsiTheme="majorHAnsi"/>
          <w:szCs w:val="22"/>
        </w:rPr>
        <w:t>a </w:t>
      </w:r>
      <w:r w:rsidR="00406C25" w:rsidRPr="00A11FE0">
        <w:rPr>
          <w:rFonts w:asciiTheme="majorHAnsi" w:hAnsiTheme="majorHAnsi"/>
          <w:szCs w:val="22"/>
        </w:rPr>
        <w:t xml:space="preserve">budovy otvorené pre verejnosť, poskytnutie volebného práva, zlepšenie účasti na politickom živote </w:t>
      </w:r>
      <w:r>
        <w:rPr>
          <w:rFonts w:asciiTheme="majorHAnsi" w:hAnsiTheme="majorHAnsi"/>
          <w:szCs w:val="22"/>
        </w:rPr>
        <w:t>a </w:t>
      </w:r>
      <w:r w:rsidR="00406C25" w:rsidRPr="00A11FE0">
        <w:rPr>
          <w:rFonts w:asciiTheme="majorHAnsi" w:hAnsiTheme="majorHAnsi"/>
          <w:szCs w:val="22"/>
        </w:rPr>
        <w:t xml:space="preserve">zabezpečenie plnej </w:t>
      </w:r>
      <w:r>
        <w:rPr>
          <w:rFonts w:asciiTheme="majorHAnsi" w:hAnsiTheme="majorHAnsi"/>
          <w:szCs w:val="22"/>
        </w:rPr>
        <w:t>s</w:t>
      </w:r>
      <w:r w:rsidR="00406C25" w:rsidRPr="00A11FE0">
        <w:rPr>
          <w:rFonts w:asciiTheme="majorHAnsi" w:hAnsiTheme="majorHAnsi"/>
          <w:szCs w:val="22"/>
        </w:rPr>
        <w:t xml:space="preserve">pôsobilosti na právne úkony pre všetkých ľudí </w:t>
      </w:r>
      <w:r>
        <w:rPr>
          <w:rFonts w:asciiTheme="majorHAnsi" w:hAnsiTheme="majorHAnsi"/>
          <w:szCs w:val="22"/>
        </w:rPr>
        <w:t>s</w:t>
      </w:r>
      <w:r w:rsidR="00406C25" w:rsidRPr="00A11FE0">
        <w:rPr>
          <w:rFonts w:asciiTheme="majorHAnsi" w:hAnsiTheme="majorHAnsi"/>
          <w:szCs w:val="22"/>
        </w:rPr>
        <w:t>o zdravotným postihnutím, z</w:t>
      </w:r>
      <w:r w:rsidR="00406C25" w:rsidRPr="00A11FE0">
        <w:rPr>
          <w:rFonts w:asciiTheme="majorHAnsi" w:hAnsiTheme="majorHAnsi"/>
        </w:rPr>
        <w:t>lepšenie prístupu pre osoby</w:t>
      </w:r>
      <w:r w:rsidR="001D19CF">
        <w:rPr>
          <w:rFonts w:asciiTheme="majorHAnsi" w:hAnsiTheme="majorHAnsi"/>
        </w:rPr>
        <w:t xml:space="preserve"> </w:t>
      </w:r>
      <w:r>
        <w:rPr>
          <w:rFonts w:asciiTheme="majorHAnsi" w:hAnsiTheme="majorHAnsi"/>
        </w:rPr>
        <w:t>s</w:t>
      </w:r>
      <w:r w:rsidR="00406C25" w:rsidRPr="00A11FE0">
        <w:rPr>
          <w:rFonts w:asciiTheme="majorHAnsi" w:hAnsiTheme="majorHAnsi"/>
        </w:rPr>
        <w:t xml:space="preserve">o </w:t>
      </w:r>
      <w:r w:rsidR="00CB5015">
        <w:rPr>
          <w:rFonts w:asciiTheme="majorHAnsi" w:hAnsiTheme="majorHAnsi"/>
        </w:rPr>
        <w:t xml:space="preserve">zdravotným postihnutím </w:t>
      </w:r>
      <w:r w:rsidR="00406C25" w:rsidRPr="00A11FE0">
        <w:rPr>
          <w:rFonts w:asciiTheme="majorHAnsi" w:hAnsiTheme="majorHAnsi"/>
        </w:rPr>
        <w:t xml:space="preserve">pri rozvoji IKT produktov, </w:t>
      </w:r>
      <w:r>
        <w:rPr>
          <w:rFonts w:asciiTheme="majorHAnsi" w:hAnsiTheme="majorHAnsi"/>
        </w:rPr>
        <w:t>s</w:t>
      </w:r>
      <w:r w:rsidR="00406C25" w:rsidRPr="00A11FE0">
        <w:rPr>
          <w:rFonts w:asciiTheme="majorHAnsi" w:hAnsiTheme="majorHAnsi"/>
        </w:rPr>
        <w:t xml:space="preserve">lužieb </w:t>
      </w:r>
      <w:r>
        <w:rPr>
          <w:rFonts w:asciiTheme="majorHAnsi" w:hAnsiTheme="majorHAnsi"/>
        </w:rPr>
        <w:t>a </w:t>
      </w:r>
      <w:r w:rsidR="00406C25" w:rsidRPr="00A11FE0">
        <w:rPr>
          <w:rFonts w:asciiTheme="majorHAnsi" w:hAnsiTheme="majorHAnsi"/>
        </w:rPr>
        <w:t>e-commerce</w:t>
      </w:r>
      <w:r w:rsidR="00406C25" w:rsidRPr="00A11FE0">
        <w:rPr>
          <w:rFonts w:asciiTheme="majorHAnsi" w:hAnsiTheme="majorHAnsi"/>
          <w:szCs w:val="22"/>
        </w:rPr>
        <w:t>.</w:t>
      </w:r>
    </w:p>
    <w:p w:rsidR="008E7522" w:rsidRPr="00A11FE0" w:rsidRDefault="008E7522" w:rsidP="00406C25">
      <w:pPr>
        <w:autoSpaceDE w:val="0"/>
        <w:autoSpaceDN w:val="0"/>
        <w:adjustRightInd w:val="0"/>
        <w:spacing w:after="0"/>
        <w:rPr>
          <w:rFonts w:asciiTheme="majorHAnsi" w:hAnsiTheme="majorHAnsi"/>
          <w:szCs w:val="22"/>
        </w:rPr>
      </w:pPr>
      <w:r w:rsidRPr="008E7522">
        <w:rPr>
          <w:rFonts w:asciiTheme="majorHAnsi" w:hAnsiTheme="majorHAnsi"/>
          <w:szCs w:val="22"/>
        </w:rPr>
        <w:t>Diskriminačný prístup k</w:t>
      </w:r>
      <w:r w:rsidR="00AB3B24">
        <w:rPr>
          <w:rFonts w:asciiTheme="majorHAnsi" w:hAnsiTheme="majorHAnsi"/>
          <w:szCs w:val="22"/>
        </w:rPr>
        <w:t> </w:t>
      </w:r>
      <w:r w:rsidRPr="008E7522">
        <w:rPr>
          <w:rFonts w:asciiTheme="majorHAnsi" w:hAnsiTheme="majorHAnsi"/>
          <w:szCs w:val="22"/>
        </w:rPr>
        <w:t>niektorým skupinám obyvateľstva je jednou z</w:t>
      </w:r>
      <w:r w:rsidR="00AB3B24">
        <w:rPr>
          <w:rFonts w:asciiTheme="majorHAnsi" w:hAnsiTheme="majorHAnsi"/>
          <w:szCs w:val="22"/>
        </w:rPr>
        <w:t> </w:t>
      </w:r>
      <w:r w:rsidRPr="008E7522">
        <w:rPr>
          <w:rFonts w:asciiTheme="majorHAnsi" w:hAnsiTheme="majorHAnsi"/>
          <w:szCs w:val="22"/>
        </w:rPr>
        <w:t xml:space="preserve">príčin sociálneho vylúčenia. Hoci </w:t>
      </w:r>
      <w:r w:rsidR="002E48D5">
        <w:rPr>
          <w:rFonts w:asciiTheme="majorHAnsi" w:hAnsiTheme="majorHAnsi"/>
          <w:szCs w:val="22"/>
        </w:rPr>
        <w:t>sú</w:t>
      </w:r>
      <w:r w:rsidRPr="008E7522">
        <w:rPr>
          <w:rFonts w:asciiTheme="majorHAnsi" w:hAnsiTheme="majorHAnsi"/>
          <w:szCs w:val="22"/>
        </w:rPr>
        <w:t xml:space="preserve"> </w:t>
      </w:r>
      <w:r w:rsidR="002B3AD2">
        <w:rPr>
          <w:rFonts w:asciiTheme="majorHAnsi" w:hAnsiTheme="majorHAnsi"/>
          <w:szCs w:val="22"/>
        </w:rPr>
        <w:t>ne</w:t>
      </w:r>
      <w:r w:rsidRPr="008E7522">
        <w:rPr>
          <w:rFonts w:asciiTheme="majorHAnsi" w:hAnsiTheme="majorHAnsi"/>
          <w:szCs w:val="22"/>
        </w:rPr>
        <w:t>diskriminácia a</w:t>
      </w:r>
      <w:r w:rsidR="002B3AD2">
        <w:rPr>
          <w:rFonts w:asciiTheme="majorHAnsi" w:hAnsiTheme="majorHAnsi"/>
          <w:szCs w:val="22"/>
        </w:rPr>
        <w:t> </w:t>
      </w:r>
      <w:r w:rsidRPr="008E7522">
        <w:rPr>
          <w:rFonts w:asciiTheme="majorHAnsi" w:hAnsiTheme="majorHAnsi"/>
          <w:szCs w:val="22"/>
        </w:rPr>
        <w:t>rovnosť</w:t>
      </w:r>
      <w:r w:rsidR="002B3AD2">
        <w:rPr>
          <w:rFonts w:asciiTheme="majorHAnsi" w:hAnsiTheme="majorHAnsi"/>
          <w:szCs w:val="22"/>
        </w:rPr>
        <w:t xml:space="preserve"> medzi mužmi a</w:t>
      </w:r>
      <w:r w:rsidR="00AB3B24">
        <w:rPr>
          <w:rFonts w:asciiTheme="majorHAnsi" w:hAnsiTheme="majorHAnsi"/>
          <w:szCs w:val="22"/>
        </w:rPr>
        <w:t> </w:t>
      </w:r>
      <w:r w:rsidR="002B3AD2">
        <w:rPr>
          <w:rFonts w:asciiTheme="majorHAnsi" w:hAnsiTheme="majorHAnsi"/>
          <w:szCs w:val="22"/>
        </w:rPr>
        <w:t>ženami</w:t>
      </w:r>
      <w:r w:rsidRPr="008E7522">
        <w:rPr>
          <w:rFonts w:asciiTheme="majorHAnsi" w:hAnsiTheme="majorHAnsi"/>
          <w:szCs w:val="22"/>
        </w:rPr>
        <w:t xml:space="preserve"> definovan</w:t>
      </w:r>
      <w:r w:rsidR="002E48D5">
        <w:rPr>
          <w:rFonts w:asciiTheme="majorHAnsi" w:hAnsiTheme="majorHAnsi"/>
          <w:szCs w:val="22"/>
        </w:rPr>
        <w:t>é</w:t>
      </w:r>
      <w:r w:rsidRPr="008E7522">
        <w:rPr>
          <w:rFonts w:asciiTheme="majorHAnsi" w:hAnsiTheme="majorHAnsi"/>
          <w:szCs w:val="22"/>
        </w:rPr>
        <w:t xml:space="preserve"> ako horizontáln</w:t>
      </w:r>
      <w:r w:rsidR="00300859">
        <w:rPr>
          <w:rFonts w:asciiTheme="majorHAnsi" w:hAnsiTheme="majorHAnsi"/>
          <w:szCs w:val="22"/>
        </w:rPr>
        <w:t>e</w:t>
      </w:r>
      <w:r w:rsidRPr="008E7522">
        <w:rPr>
          <w:rFonts w:asciiTheme="majorHAnsi" w:hAnsiTheme="majorHAnsi"/>
          <w:szCs w:val="22"/>
        </w:rPr>
        <w:t xml:space="preserve"> princíp</w:t>
      </w:r>
      <w:r w:rsidR="00300859">
        <w:rPr>
          <w:rFonts w:asciiTheme="majorHAnsi" w:hAnsiTheme="majorHAnsi"/>
          <w:szCs w:val="22"/>
        </w:rPr>
        <w:t>y</w:t>
      </w:r>
      <w:r w:rsidRPr="008E7522">
        <w:rPr>
          <w:rFonts w:asciiTheme="majorHAnsi" w:hAnsiTheme="majorHAnsi"/>
          <w:szCs w:val="22"/>
        </w:rPr>
        <w:t xml:space="preserve">, popri </w:t>
      </w:r>
      <w:r w:rsidR="002E48D5">
        <w:rPr>
          <w:rFonts w:asciiTheme="majorHAnsi" w:hAnsiTheme="majorHAnsi"/>
          <w:szCs w:val="22"/>
        </w:rPr>
        <w:t>ich</w:t>
      </w:r>
      <w:r w:rsidRPr="008E7522">
        <w:rPr>
          <w:rFonts w:asciiTheme="majorHAnsi" w:hAnsiTheme="majorHAnsi"/>
          <w:szCs w:val="22"/>
        </w:rPr>
        <w:t xml:space="preserve"> prierezovom uplatňovaní je rovnako potrebné umožniť špecifickú a</w:t>
      </w:r>
      <w:r w:rsidR="00113E3E">
        <w:rPr>
          <w:rFonts w:asciiTheme="majorHAnsi" w:hAnsiTheme="majorHAnsi"/>
          <w:szCs w:val="22"/>
        </w:rPr>
        <w:t> </w:t>
      </w:r>
      <w:r w:rsidRPr="008E7522">
        <w:rPr>
          <w:rFonts w:asciiTheme="majorHAnsi" w:hAnsiTheme="majorHAnsi"/>
          <w:szCs w:val="22"/>
        </w:rPr>
        <w:t xml:space="preserve">cielenú podporu pre skupiny </w:t>
      </w:r>
      <w:r w:rsidRPr="008E7522">
        <w:rPr>
          <w:rFonts w:asciiTheme="majorHAnsi" w:hAnsiTheme="majorHAnsi"/>
          <w:szCs w:val="22"/>
        </w:rPr>
        <w:lastRenderedPageBreak/>
        <w:t>obyvateľstva ohrozené všetkými formami diskriminácie (z dôvodu etnicity, sexuálnej orientácie, pohlavia alebo veku).</w:t>
      </w:r>
    </w:p>
    <w:p w:rsidR="00406C25" w:rsidRPr="00A11FE0" w:rsidRDefault="00BD5FD5" w:rsidP="00723936">
      <w:pPr>
        <w:pStyle w:val="Nadpis5"/>
        <w:numPr>
          <w:ilvl w:val="4"/>
          <w:numId w:val="2"/>
        </w:numPr>
        <w:ind w:left="1292"/>
      </w:pPr>
      <w:r>
        <w:t>S</w:t>
      </w:r>
      <w:r w:rsidR="00406C25" w:rsidRPr="00A11FE0">
        <w:t>ociálna exklúzia na vidieku</w:t>
      </w:r>
    </w:p>
    <w:p w:rsidR="00406C25" w:rsidRPr="00A11FE0" w:rsidRDefault="00406C25" w:rsidP="00406C25">
      <w:pPr>
        <w:autoSpaceDE w:val="0"/>
        <w:autoSpaceDN w:val="0"/>
        <w:adjustRightInd w:val="0"/>
        <w:spacing w:after="0"/>
        <w:rPr>
          <w:rFonts w:asciiTheme="majorHAnsi" w:hAnsiTheme="majorHAnsi"/>
        </w:rPr>
      </w:pPr>
      <w:r w:rsidRPr="00A11FE0">
        <w:rPr>
          <w:rFonts w:asciiTheme="majorHAnsi" w:hAnsiTheme="majorHAnsi"/>
        </w:rPr>
        <w:t xml:space="preserve">V odľahlých vidieckych oblastiach </w:t>
      </w:r>
      <w:r w:rsidR="00BD5FD5">
        <w:rPr>
          <w:rFonts w:asciiTheme="majorHAnsi" w:hAnsiTheme="majorHAnsi"/>
        </w:rPr>
        <w:t>a </w:t>
      </w:r>
      <w:r w:rsidRPr="00A11FE0">
        <w:rPr>
          <w:rFonts w:asciiTheme="majorHAnsi" w:hAnsiTheme="majorHAnsi"/>
        </w:rPr>
        <w:t xml:space="preserve">v najmenších vidieckych </w:t>
      </w:r>
      <w:r w:rsidR="00BD5FD5">
        <w:rPr>
          <w:rFonts w:asciiTheme="majorHAnsi" w:hAnsiTheme="majorHAnsi"/>
        </w:rPr>
        <w:t>s</w:t>
      </w:r>
      <w:r w:rsidRPr="00A11FE0">
        <w:rPr>
          <w:rFonts w:asciiTheme="majorHAnsi" w:hAnsiTheme="majorHAnsi"/>
        </w:rPr>
        <w:t xml:space="preserve">ídlach dochádza </w:t>
      </w:r>
      <w:r w:rsidR="00BD5FD5">
        <w:rPr>
          <w:rFonts w:asciiTheme="majorHAnsi" w:hAnsiTheme="majorHAnsi"/>
        </w:rPr>
        <w:t>k</w:t>
      </w:r>
      <w:r w:rsidRPr="00A11FE0">
        <w:rPr>
          <w:rFonts w:asciiTheme="majorHAnsi" w:hAnsiTheme="majorHAnsi"/>
        </w:rPr>
        <w:t xml:space="preserve">u </w:t>
      </w:r>
      <w:r w:rsidR="00BD5FD5">
        <w:rPr>
          <w:rFonts w:asciiTheme="majorHAnsi" w:hAnsiTheme="majorHAnsi"/>
        </w:rPr>
        <w:t>k</w:t>
      </w:r>
      <w:r w:rsidR="00A603C8">
        <w:rPr>
          <w:rFonts w:asciiTheme="majorHAnsi" w:hAnsiTheme="majorHAnsi"/>
        </w:rPr>
        <w:t>o</w:t>
      </w:r>
      <w:r w:rsidRPr="00A11FE0">
        <w:rPr>
          <w:rFonts w:asciiTheme="majorHAnsi" w:hAnsiTheme="majorHAnsi"/>
        </w:rPr>
        <w:t xml:space="preserve">ncentrácii „neviditeľnej“ </w:t>
      </w:r>
      <w:r w:rsidR="00BD5FD5">
        <w:rPr>
          <w:rFonts w:asciiTheme="majorHAnsi" w:hAnsiTheme="majorHAnsi"/>
        </w:rPr>
        <w:t>s</w:t>
      </w:r>
      <w:r w:rsidRPr="00A11FE0">
        <w:rPr>
          <w:rFonts w:asciiTheme="majorHAnsi" w:hAnsiTheme="majorHAnsi"/>
        </w:rPr>
        <w:t xml:space="preserve">ociálnej exklúzie </w:t>
      </w:r>
      <w:r w:rsidR="00BD5FD5">
        <w:rPr>
          <w:rFonts w:asciiTheme="majorHAnsi" w:hAnsiTheme="majorHAnsi"/>
        </w:rPr>
        <w:t>a </w:t>
      </w:r>
      <w:r w:rsidRPr="00A11FE0">
        <w:rPr>
          <w:rFonts w:asciiTheme="majorHAnsi" w:hAnsiTheme="majorHAnsi"/>
        </w:rPr>
        <w:t>riziku reprodukcie exklúzie o</w:t>
      </w:r>
      <w:r w:rsidR="00113E3E">
        <w:rPr>
          <w:rFonts w:asciiTheme="majorHAnsi" w:hAnsiTheme="majorHAnsi"/>
        </w:rPr>
        <w:t> </w:t>
      </w:r>
      <w:r w:rsidRPr="00A11FE0">
        <w:rPr>
          <w:rFonts w:asciiTheme="majorHAnsi" w:hAnsiTheme="majorHAnsi"/>
        </w:rPr>
        <w:t xml:space="preserve">tzv. mäkké formy vylúčenia </w:t>
      </w:r>
      <w:r w:rsidR="000A31EC" w:rsidRPr="00A11FE0">
        <w:rPr>
          <w:rFonts w:asciiTheme="majorHAnsi" w:hAnsiTheme="majorHAnsi"/>
        </w:rPr>
        <w:t>(</w:t>
      </w:r>
      <w:r w:rsidRPr="00A11FE0">
        <w:rPr>
          <w:rFonts w:asciiTheme="majorHAnsi" w:hAnsiTheme="majorHAnsi"/>
        </w:rPr>
        <w:t xml:space="preserve">nízka občianska vybavenosť, nedostatočná dostupnosť zdravotníckej </w:t>
      </w:r>
      <w:r w:rsidR="00BD5FD5">
        <w:rPr>
          <w:rFonts w:asciiTheme="majorHAnsi" w:hAnsiTheme="majorHAnsi"/>
        </w:rPr>
        <w:t>s</w:t>
      </w:r>
      <w:r w:rsidRPr="00A11FE0">
        <w:rPr>
          <w:rFonts w:asciiTheme="majorHAnsi" w:hAnsiTheme="majorHAnsi"/>
        </w:rPr>
        <w:t xml:space="preserve">tarostlivosti, nízka </w:t>
      </w:r>
      <w:r w:rsidR="00BD5FD5">
        <w:rPr>
          <w:rFonts w:asciiTheme="majorHAnsi" w:hAnsiTheme="majorHAnsi"/>
        </w:rPr>
        <w:t>s</w:t>
      </w:r>
      <w:r w:rsidRPr="00A11FE0">
        <w:rPr>
          <w:rFonts w:asciiTheme="majorHAnsi" w:hAnsiTheme="majorHAnsi"/>
        </w:rPr>
        <w:t xml:space="preserve">ociálna infraštruktúra, </w:t>
      </w:r>
      <w:r w:rsidR="00BD5FD5">
        <w:rPr>
          <w:rFonts w:asciiTheme="majorHAnsi" w:hAnsiTheme="majorHAnsi"/>
        </w:rPr>
        <w:t>a</w:t>
      </w:r>
      <w:r w:rsidRPr="00A11FE0">
        <w:rPr>
          <w:rFonts w:asciiTheme="majorHAnsi" w:hAnsiTheme="majorHAnsi"/>
        </w:rPr>
        <w:t>tď.</w:t>
      </w:r>
      <w:r w:rsidR="000A31EC" w:rsidRPr="00A11FE0">
        <w:rPr>
          <w:rFonts w:asciiTheme="majorHAnsi" w:hAnsiTheme="majorHAnsi"/>
        </w:rPr>
        <w:t>)</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torá je typická pre malé vidiecke obce </w:t>
      </w:r>
      <w:r w:rsidR="00BD5FD5">
        <w:rPr>
          <w:rFonts w:asciiTheme="majorHAnsi" w:hAnsiTheme="majorHAnsi"/>
        </w:rPr>
        <w:t>a </w:t>
      </w:r>
      <w:r w:rsidRPr="00A11FE0">
        <w:rPr>
          <w:rFonts w:asciiTheme="majorHAnsi" w:hAnsiTheme="majorHAnsi"/>
        </w:rPr>
        <w:t xml:space="preserve">v makro pohľade pre regióny južného </w:t>
      </w:r>
      <w:r w:rsidR="00BD5FD5">
        <w:rPr>
          <w:rFonts w:asciiTheme="majorHAnsi" w:hAnsiTheme="majorHAnsi"/>
        </w:rPr>
        <w:t>a s</w:t>
      </w:r>
      <w:r w:rsidRPr="00A11FE0">
        <w:rPr>
          <w:rFonts w:asciiTheme="majorHAnsi" w:hAnsiTheme="majorHAnsi"/>
        </w:rPr>
        <w:t xml:space="preserve">everovýchodného </w:t>
      </w:r>
      <w:r w:rsidR="00BD5FD5">
        <w:rPr>
          <w:rFonts w:asciiTheme="majorHAnsi" w:hAnsiTheme="majorHAnsi"/>
        </w:rPr>
        <w:t>S</w:t>
      </w:r>
      <w:r w:rsidRPr="00A11FE0">
        <w:rPr>
          <w:rFonts w:asciiTheme="majorHAnsi" w:hAnsiTheme="majorHAnsi"/>
        </w:rPr>
        <w:t xml:space="preserve">lovenska. Za </w:t>
      </w:r>
      <w:r w:rsidRPr="00A11FE0">
        <w:rPr>
          <w:rFonts w:asciiTheme="majorHAnsi" w:hAnsiTheme="majorHAnsi"/>
          <w:bCs/>
        </w:rPr>
        <w:t>hlavné prekážky</w:t>
      </w:r>
      <w:r w:rsidRPr="00A11FE0">
        <w:rPr>
          <w:rFonts w:asciiTheme="majorHAnsi" w:hAnsiTheme="majorHAnsi"/>
        </w:rPr>
        <w:t xml:space="preserve"> </w:t>
      </w:r>
      <w:r w:rsidRPr="00A11FE0">
        <w:rPr>
          <w:rFonts w:asciiTheme="majorHAnsi" w:hAnsiTheme="majorHAnsi"/>
          <w:bCs/>
        </w:rPr>
        <w:t>rozvoja vidieka</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ú považované: negatívny demografický trend </w:t>
      </w:r>
      <w:r w:rsidR="00BD5FD5">
        <w:rPr>
          <w:rFonts w:asciiTheme="majorHAnsi" w:hAnsiTheme="majorHAnsi"/>
        </w:rPr>
        <w:t>a </w:t>
      </w:r>
      <w:r w:rsidRPr="00A11FE0">
        <w:rPr>
          <w:rFonts w:asciiTheme="majorHAnsi" w:hAnsiTheme="majorHAnsi"/>
        </w:rPr>
        <w:t xml:space="preserve">úbytok mladých ľudí v produktívnom veku, monosektorálna ekonomika, </w:t>
      </w:r>
      <w:r w:rsidR="00BD5FD5">
        <w:rPr>
          <w:rFonts w:asciiTheme="majorHAnsi" w:hAnsiTheme="majorHAnsi"/>
        </w:rPr>
        <w:t>s</w:t>
      </w:r>
      <w:r w:rsidRPr="00A11FE0">
        <w:rPr>
          <w:rFonts w:asciiTheme="majorHAnsi" w:hAnsiTheme="majorHAnsi"/>
        </w:rPr>
        <w:t xml:space="preserve">labá </w:t>
      </w:r>
      <w:r w:rsidR="00BD5FD5">
        <w:rPr>
          <w:rFonts w:asciiTheme="majorHAnsi" w:hAnsiTheme="majorHAnsi"/>
        </w:rPr>
        <w:t>a</w:t>
      </w:r>
      <w:r w:rsidRPr="00A11FE0">
        <w:rPr>
          <w:rFonts w:asciiTheme="majorHAnsi" w:hAnsiTheme="majorHAnsi"/>
        </w:rPr>
        <w:t xml:space="preserve">lebo nedostatočná infraštruktúra </w:t>
      </w:r>
      <w:r w:rsidR="00BD5FD5">
        <w:rPr>
          <w:rFonts w:asciiTheme="majorHAnsi" w:hAnsiTheme="majorHAnsi"/>
        </w:rPr>
        <w:t>a</w:t>
      </w:r>
      <w:r w:rsidRPr="00A11FE0">
        <w:rPr>
          <w:rFonts w:asciiTheme="majorHAnsi" w:hAnsiTheme="majorHAnsi"/>
        </w:rPr>
        <w:t xml:space="preserve"> zlá dostupnosť vrátane </w:t>
      </w:r>
      <w:r w:rsidR="00BD5FD5">
        <w:rPr>
          <w:rFonts w:asciiTheme="majorHAnsi" w:hAnsiTheme="majorHAnsi"/>
        </w:rPr>
        <w:t>k</w:t>
      </w:r>
      <w:r w:rsidRPr="00A11FE0">
        <w:rPr>
          <w:rFonts w:asciiTheme="majorHAnsi" w:hAnsiTheme="majorHAnsi"/>
        </w:rPr>
        <w:t xml:space="preserve">vality </w:t>
      </w:r>
      <w:r w:rsidR="00BD5FD5">
        <w:rPr>
          <w:rFonts w:asciiTheme="majorHAnsi" w:hAnsiTheme="majorHAnsi"/>
        </w:rPr>
        <w:t>a </w:t>
      </w:r>
      <w:r w:rsidRPr="00A11FE0">
        <w:rPr>
          <w:rFonts w:asciiTheme="majorHAnsi" w:hAnsiTheme="majorHAnsi"/>
        </w:rPr>
        <w:t xml:space="preserve">prístupu </w:t>
      </w:r>
      <w:r w:rsidR="00BD5FD5">
        <w:rPr>
          <w:rFonts w:asciiTheme="majorHAnsi" w:hAnsiTheme="majorHAnsi"/>
        </w:rPr>
        <w:t>k</w:t>
      </w:r>
      <w:r w:rsidRPr="00A11FE0">
        <w:rPr>
          <w:rFonts w:asciiTheme="majorHAnsi" w:hAnsiTheme="majorHAnsi"/>
        </w:rPr>
        <w:t xml:space="preserve"> širokopásmovému internetu, nízka úroveň vzdelanosti, zručnosti, podnikavosti </w:t>
      </w:r>
      <w:r w:rsidR="00BD5FD5">
        <w:rPr>
          <w:rFonts w:asciiTheme="majorHAnsi" w:hAnsiTheme="majorHAnsi"/>
        </w:rPr>
        <w:t>a </w:t>
      </w:r>
      <w:r w:rsidRPr="00A11FE0">
        <w:rPr>
          <w:rFonts w:asciiTheme="majorHAnsi" w:hAnsiTheme="majorHAnsi"/>
        </w:rPr>
        <w:t xml:space="preserve">inovácie, nerozvinutý </w:t>
      </w:r>
      <w:r w:rsidR="00BD5FD5">
        <w:rPr>
          <w:rFonts w:asciiTheme="majorHAnsi" w:hAnsiTheme="majorHAnsi"/>
        </w:rPr>
        <w:t>s</w:t>
      </w:r>
      <w:r w:rsidRPr="00A11FE0">
        <w:rPr>
          <w:rFonts w:asciiTheme="majorHAnsi" w:hAnsiTheme="majorHAnsi"/>
        </w:rPr>
        <w:t xml:space="preserve">ociálny </w:t>
      </w:r>
      <w:r w:rsidR="00BD5FD5">
        <w:rPr>
          <w:rFonts w:asciiTheme="majorHAnsi" w:hAnsiTheme="majorHAnsi"/>
        </w:rPr>
        <w:t>a </w:t>
      </w:r>
      <w:r w:rsidRPr="00A11FE0">
        <w:rPr>
          <w:rFonts w:asciiTheme="majorHAnsi" w:hAnsiTheme="majorHAnsi"/>
        </w:rPr>
        <w:t xml:space="preserve">inštitucionálny </w:t>
      </w:r>
      <w:r w:rsidR="00BD5FD5">
        <w:rPr>
          <w:rFonts w:asciiTheme="majorHAnsi" w:hAnsiTheme="majorHAnsi"/>
        </w:rPr>
        <w:t>k</w:t>
      </w:r>
      <w:r w:rsidRPr="00A11FE0">
        <w:rPr>
          <w:rFonts w:asciiTheme="majorHAnsi" w:hAnsiTheme="majorHAnsi"/>
        </w:rPr>
        <w:t>apitál. Navyše</w:t>
      </w:r>
      <w:r w:rsidR="00992CAB">
        <w:rPr>
          <w:rFonts w:asciiTheme="majorHAnsi" w:hAnsiTheme="majorHAnsi"/>
        </w:rPr>
        <w:t>,</w:t>
      </w:r>
      <w:r w:rsidRPr="00A11FE0">
        <w:rPr>
          <w:rFonts w:asciiTheme="majorHAnsi" w:hAnsiTheme="majorHAnsi"/>
        </w:rPr>
        <w:t xml:space="preserve"> v </w:t>
      </w:r>
      <w:r w:rsidR="00BD5FD5">
        <w:rPr>
          <w:rFonts w:asciiTheme="majorHAnsi" w:hAnsiTheme="majorHAnsi"/>
        </w:rPr>
        <w:t>k</w:t>
      </w:r>
      <w:r w:rsidRPr="00A11FE0">
        <w:rPr>
          <w:rFonts w:asciiTheme="majorHAnsi" w:hAnsiTheme="majorHAnsi"/>
        </w:rPr>
        <w:t xml:space="preserve">ontexte vidieka </w:t>
      </w:r>
      <w:r w:rsidR="00BD5FD5">
        <w:rPr>
          <w:rFonts w:asciiTheme="majorHAnsi" w:hAnsiTheme="majorHAnsi"/>
        </w:rPr>
        <w:t>S</w:t>
      </w:r>
      <w:r w:rsidRPr="00A11FE0">
        <w:rPr>
          <w:rFonts w:asciiTheme="majorHAnsi" w:hAnsiTheme="majorHAnsi"/>
        </w:rPr>
        <w:t xml:space="preserve">R je potrebné </w:t>
      </w:r>
      <w:r w:rsidR="00BD5FD5">
        <w:rPr>
          <w:rFonts w:asciiTheme="majorHAnsi" w:hAnsiTheme="majorHAnsi"/>
        </w:rPr>
        <w:t>k </w:t>
      </w:r>
      <w:r w:rsidRPr="00A11FE0">
        <w:rPr>
          <w:rFonts w:asciiTheme="majorHAnsi" w:hAnsiTheme="majorHAnsi"/>
        </w:rPr>
        <w:t xml:space="preserve">prekážkam priradiť </w:t>
      </w:r>
      <w:r w:rsidR="00BD5FD5">
        <w:rPr>
          <w:rFonts w:asciiTheme="majorHAnsi" w:hAnsiTheme="majorHAnsi"/>
        </w:rPr>
        <w:t>a</w:t>
      </w:r>
      <w:r w:rsidRPr="00A11FE0">
        <w:rPr>
          <w:rFonts w:asciiTheme="majorHAnsi" w:hAnsiTheme="majorHAnsi"/>
        </w:rPr>
        <w:t xml:space="preserve">j vysokú nezamestnanosť, nízke reálne príjmy, nedoriešené vlastnícke vzťahy </w:t>
      </w:r>
      <w:r w:rsidR="00BD5FD5">
        <w:rPr>
          <w:rFonts w:asciiTheme="majorHAnsi" w:hAnsiTheme="majorHAnsi"/>
        </w:rPr>
        <w:t>k </w:t>
      </w:r>
      <w:r w:rsidRPr="00A11FE0">
        <w:rPr>
          <w:rFonts w:asciiTheme="majorHAnsi" w:hAnsiTheme="majorHAnsi"/>
        </w:rPr>
        <w:t xml:space="preserve">pôde </w:t>
      </w:r>
      <w:r w:rsidR="00BD5FD5">
        <w:rPr>
          <w:rFonts w:asciiTheme="majorHAnsi" w:hAnsiTheme="majorHAnsi"/>
        </w:rPr>
        <w:t>a </w:t>
      </w:r>
      <w:r w:rsidRPr="00A11FE0">
        <w:rPr>
          <w:rFonts w:asciiTheme="majorHAnsi" w:hAnsiTheme="majorHAnsi"/>
        </w:rPr>
        <w:t>nehnuteľnému majetku</w:t>
      </w:r>
      <w:r w:rsidR="00CB5015">
        <w:rPr>
          <w:rFonts w:asciiTheme="majorHAnsi" w:hAnsiTheme="majorHAnsi"/>
        </w:rPr>
        <w:t>.</w:t>
      </w:r>
    </w:p>
    <w:p w:rsidR="00CB5015" w:rsidRPr="004D3937" w:rsidRDefault="00CB5015" w:rsidP="00CB5015">
      <w:pPr>
        <w:autoSpaceDE w:val="0"/>
        <w:autoSpaceDN w:val="0"/>
        <w:adjustRightInd w:val="0"/>
        <w:spacing w:after="0"/>
        <w:rPr>
          <w:rFonts w:asciiTheme="majorHAnsi" w:hAnsiTheme="majorHAnsi"/>
        </w:rPr>
      </w:pPr>
      <w:r w:rsidRPr="004D3937">
        <w:rPr>
          <w:rFonts w:asciiTheme="majorHAnsi" w:hAnsiTheme="majorHAnsi"/>
        </w:rPr>
        <w:t>Naplnenie potrieb zlepšovania kvality života na vidieku a</w:t>
      </w:r>
      <w:r>
        <w:rPr>
          <w:rFonts w:asciiTheme="majorHAnsi" w:hAnsiTheme="majorHAnsi"/>
        </w:rPr>
        <w:t> </w:t>
      </w:r>
      <w:r w:rsidRPr="004D3937">
        <w:rPr>
          <w:rFonts w:asciiTheme="majorHAnsi" w:hAnsiTheme="majorHAnsi"/>
        </w:rPr>
        <w:t>podpory</w:t>
      </w:r>
      <w:r>
        <w:rPr>
          <w:rFonts w:asciiTheme="majorHAnsi" w:hAnsiTheme="majorHAnsi"/>
        </w:rPr>
        <w:t xml:space="preserve"> </w:t>
      </w:r>
      <w:r w:rsidRPr="004D3937">
        <w:rPr>
          <w:rFonts w:asciiTheme="majorHAnsi" w:hAnsiTheme="majorHAnsi"/>
        </w:rPr>
        <w:t>rozvoja miestnych komunít/</w:t>
      </w:r>
      <w:r w:rsidR="004D0920">
        <w:rPr>
          <w:rFonts w:asciiTheme="majorHAnsi" w:hAnsiTheme="majorHAnsi"/>
        </w:rPr>
        <w:t>verejno</w:t>
      </w:r>
      <w:r w:rsidR="009424A6">
        <w:rPr>
          <w:rFonts w:asciiTheme="majorHAnsi" w:hAnsiTheme="majorHAnsi"/>
        </w:rPr>
        <w:t>-</w:t>
      </w:r>
      <w:r w:rsidR="004D0920">
        <w:rPr>
          <w:rFonts w:asciiTheme="majorHAnsi" w:hAnsiTheme="majorHAnsi"/>
        </w:rPr>
        <w:t>súkrom</w:t>
      </w:r>
      <w:r w:rsidR="00504F81">
        <w:rPr>
          <w:rFonts w:asciiTheme="majorHAnsi" w:hAnsiTheme="majorHAnsi"/>
        </w:rPr>
        <w:t>n</w:t>
      </w:r>
      <w:r w:rsidR="004D0920">
        <w:rPr>
          <w:rFonts w:asciiTheme="majorHAnsi" w:hAnsiTheme="majorHAnsi"/>
        </w:rPr>
        <w:t xml:space="preserve">ých </w:t>
      </w:r>
      <w:r w:rsidRPr="004D3937">
        <w:rPr>
          <w:rFonts w:asciiTheme="majorHAnsi" w:hAnsiTheme="majorHAnsi"/>
        </w:rPr>
        <w:t xml:space="preserve">partnerstiev vo vidieckych </w:t>
      </w:r>
      <w:r w:rsidR="004D0920">
        <w:rPr>
          <w:rFonts w:asciiTheme="majorHAnsi" w:hAnsiTheme="majorHAnsi"/>
        </w:rPr>
        <w:t>územiach</w:t>
      </w:r>
      <w:r w:rsidRPr="004D3937">
        <w:rPr>
          <w:rFonts w:asciiTheme="majorHAnsi" w:hAnsiTheme="majorHAnsi"/>
        </w:rPr>
        <w:t xml:space="preserve"> s</w:t>
      </w:r>
      <w:r>
        <w:rPr>
          <w:rFonts w:asciiTheme="majorHAnsi" w:hAnsiTheme="majorHAnsi"/>
        </w:rPr>
        <w:t> </w:t>
      </w:r>
      <w:r w:rsidRPr="004D3937">
        <w:rPr>
          <w:rFonts w:asciiTheme="majorHAnsi" w:hAnsiTheme="majorHAnsi"/>
        </w:rPr>
        <w:t>dôrazom</w:t>
      </w:r>
      <w:r>
        <w:rPr>
          <w:rFonts w:asciiTheme="majorHAnsi" w:hAnsiTheme="majorHAnsi"/>
        </w:rPr>
        <w:t xml:space="preserve"> </w:t>
      </w:r>
      <w:r w:rsidRPr="004D3937">
        <w:rPr>
          <w:rFonts w:asciiTheme="majorHAnsi" w:hAnsiTheme="majorHAnsi"/>
        </w:rPr>
        <w:t>na zachovanie miestneho kultúrneho a</w:t>
      </w:r>
      <w:r>
        <w:rPr>
          <w:rFonts w:asciiTheme="majorHAnsi" w:hAnsiTheme="majorHAnsi"/>
        </w:rPr>
        <w:t> </w:t>
      </w:r>
      <w:r w:rsidRPr="004D3937">
        <w:rPr>
          <w:rFonts w:asciiTheme="majorHAnsi" w:hAnsiTheme="majorHAnsi"/>
        </w:rPr>
        <w:t>historického</w:t>
      </w:r>
      <w:r>
        <w:rPr>
          <w:rFonts w:asciiTheme="majorHAnsi" w:hAnsiTheme="majorHAnsi"/>
        </w:rPr>
        <w:t xml:space="preserve"> </w:t>
      </w:r>
      <w:r w:rsidRPr="004D3937">
        <w:rPr>
          <w:rFonts w:asciiTheme="majorHAnsi" w:hAnsiTheme="majorHAnsi"/>
        </w:rPr>
        <w:t>rázu územia b</w:t>
      </w:r>
      <w:r>
        <w:rPr>
          <w:rFonts w:asciiTheme="majorHAnsi" w:hAnsiTheme="majorHAnsi"/>
        </w:rPr>
        <w:t>y malo byť</w:t>
      </w:r>
      <w:r w:rsidRPr="004D3937">
        <w:rPr>
          <w:rFonts w:asciiTheme="majorHAnsi" w:hAnsiTheme="majorHAnsi"/>
        </w:rPr>
        <w:t xml:space="preserve"> zabezpeč</w:t>
      </w:r>
      <w:r>
        <w:rPr>
          <w:rFonts w:asciiTheme="majorHAnsi" w:hAnsiTheme="majorHAnsi"/>
        </w:rPr>
        <w:t>ované</w:t>
      </w:r>
      <w:r w:rsidRPr="004D3937">
        <w:rPr>
          <w:rFonts w:asciiTheme="majorHAnsi" w:hAnsiTheme="majorHAnsi"/>
        </w:rPr>
        <w:t xml:space="preserve"> podporou činností na vytváranie podmienok pre základn</w:t>
      </w:r>
      <w:r>
        <w:rPr>
          <w:rFonts w:asciiTheme="majorHAnsi" w:hAnsiTheme="majorHAnsi"/>
        </w:rPr>
        <w:t>é</w:t>
      </w:r>
      <w:r w:rsidRPr="004D3937">
        <w:rPr>
          <w:rFonts w:asciiTheme="majorHAnsi" w:hAnsiTheme="majorHAnsi"/>
        </w:rPr>
        <w:t xml:space="preserve"> služ</w:t>
      </w:r>
      <w:r>
        <w:rPr>
          <w:rFonts w:asciiTheme="majorHAnsi" w:hAnsiTheme="majorHAnsi"/>
        </w:rPr>
        <w:t>by</w:t>
      </w:r>
      <w:r w:rsidRPr="004D3937">
        <w:rPr>
          <w:rFonts w:asciiTheme="majorHAnsi" w:hAnsiTheme="majorHAnsi"/>
        </w:rPr>
        <w:t xml:space="preserve"> na vidieku, zvyšovanie dostupnosti vidieka, využívanie kultúrno-historického a</w:t>
      </w:r>
      <w:r>
        <w:rPr>
          <w:rFonts w:asciiTheme="majorHAnsi" w:hAnsiTheme="majorHAnsi"/>
        </w:rPr>
        <w:t> </w:t>
      </w:r>
      <w:r w:rsidRPr="004D3937">
        <w:rPr>
          <w:rFonts w:asciiTheme="majorHAnsi" w:hAnsiTheme="majorHAnsi"/>
        </w:rPr>
        <w:t>prírodného</w:t>
      </w:r>
      <w:r>
        <w:rPr>
          <w:rFonts w:asciiTheme="majorHAnsi" w:hAnsiTheme="majorHAnsi"/>
        </w:rPr>
        <w:t xml:space="preserve"> </w:t>
      </w:r>
      <w:r w:rsidRPr="004D3937">
        <w:rPr>
          <w:rFonts w:asciiTheme="majorHAnsi" w:hAnsiTheme="majorHAnsi"/>
        </w:rPr>
        <w:t xml:space="preserve">potenciálu vrátane využívania </w:t>
      </w:r>
      <w:r>
        <w:rPr>
          <w:rFonts w:asciiTheme="majorHAnsi" w:hAnsiTheme="majorHAnsi"/>
        </w:rPr>
        <w:t>OZE</w:t>
      </w:r>
      <w:r w:rsidRPr="004D3937">
        <w:rPr>
          <w:rFonts w:asciiTheme="majorHAnsi" w:hAnsiTheme="majorHAnsi"/>
        </w:rPr>
        <w:t xml:space="preserve">, ktoré urýchlia </w:t>
      </w:r>
      <w:r w:rsidRPr="00F457E8">
        <w:rPr>
          <w:rFonts w:asciiTheme="majorHAnsi" w:hAnsiTheme="majorHAnsi"/>
        </w:rPr>
        <w:t>miestn</w:t>
      </w:r>
      <w:r>
        <w:rPr>
          <w:rFonts w:asciiTheme="majorHAnsi" w:hAnsiTheme="majorHAnsi"/>
        </w:rPr>
        <w:t>y</w:t>
      </w:r>
      <w:r w:rsidRPr="00F457E8">
        <w:rPr>
          <w:rFonts w:asciiTheme="majorHAnsi" w:hAnsiTheme="majorHAnsi"/>
        </w:rPr>
        <w:t xml:space="preserve"> ekonomick</w:t>
      </w:r>
      <w:r>
        <w:rPr>
          <w:rFonts w:asciiTheme="majorHAnsi" w:hAnsiTheme="majorHAnsi"/>
        </w:rPr>
        <w:t>ý</w:t>
      </w:r>
      <w:r w:rsidRPr="00F457E8">
        <w:rPr>
          <w:rFonts w:asciiTheme="majorHAnsi" w:hAnsiTheme="majorHAnsi"/>
        </w:rPr>
        <w:t xml:space="preserve"> rozvoj</w:t>
      </w:r>
      <w:r w:rsidRPr="004D3937">
        <w:rPr>
          <w:rFonts w:asciiTheme="majorHAnsi" w:hAnsiTheme="majorHAnsi"/>
        </w:rPr>
        <w:t xml:space="preserve"> založen</w:t>
      </w:r>
      <w:r>
        <w:rPr>
          <w:rFonts w:asciiTheme="majorHAnsi" w:hAnsiTheme="majorHAnsi"/>
        </w:rPr>
        <w:t>ý</w:t>
      </w:r>
      <w:r w:rsidRPr="004D3937">
        <w:rPr>
          <w:rFonts w:asciiTheme="majorHAnsi" w:hAnsiTheme="majorHAnsi"/>
        </w:rPr>
        <w:t xml:space="preserve"> na efektívnom využívaní endogénnych zdrojov. Podpora miestnych komunít prostredníctvom </w:t>
      </w:r>
      <w:r w:rsidR="00463411">
        <w:rPr>
          <w:rFonts w:asciiTheme="majorHAnsi" w:hAnsiTheme="majorHAnsi"/>
        </w:rPr>
        <w:t xml:space="preserve">nástroja </w:t>
      </w:r>
      <w:r w:rsidR="00992CAB">
        <w:rPr>
          <w:rFonts w:asciiTheme="majorHAnsi" w:hAnsiTheme="majorHAnsi"/>
        </w:rPr>
        <w:t>miestny rozvoj vedený komunitou (ďalej len „CLLD“),</w:t>
      </w:r>
      <w:r w:rsidR="00463411">
        <w:rPr>
          <w:rFonts w:asciiTheme="majorHAnsi" w:hAnsiTheme="majorHAnsi"/>
        </w:rPr>
        <w:t xml:space="preserve"> vrátane </w:t>
      </w:r>
      <w:r w:rsidRPr="004D3937">
        <w:rPr>
          <w:rFonts w:asciiTheme="majorHAnsi" w:hAnsiTheme="majorHAnsi"/>
        </w:rPr>
        <w:t>iniciatívy LEADER</w:t>
      </w:r>
      <w:r w:rsidR="0028007C">
        <w:rPr>
          <w:rStyle w:val="Odkaznapoznmkupodiarou"/>
          <w:rFonts w:asciiTheme="majorHAnsi" w:hAnsiTheme="majorHAnsi"/>
        </w:rPr>
        <w:footnoteReference w:id="139"/>
      </w:r>
      <w:r w:rsidRPr="004D3937">
        <w:rPr>
          <w:rFonts w:asciiTheme="majorHAnsi" w:hAnsiTheme="majorHAnsi"/>
        </w:rPr>
        <w:t xml:space="preserve"> b</w:t>
      </w:r>
      <w:r>
        <w:rPr>
          <w:rFonts w:asciiTheme="majorHAnsi" w:hAnsiTheme="majorHAnsi"/>
        </w:rPr>
        <w:t>y mala</w:t>
      </w:r>
      <w:r w:rsidRPr="004D3937">
        <w:rPr>
          <w:rFonts w:asciiTheme="majorHAnsi" w:hAnsiTheme="majorHAnsi"/>
        </w:rPr>
        <w:t xml:space="preserve"> zohrávať kľúčovú úlohu pri smerovaní subvencií</w:t>
      </w:r>
      <w:r>
        <w:rPr>
          <w:rFonts w:asciiTheme="majorHAnsi" w:hAnsiTheme="majorHAnsi"/>
        </w:rPr>
        <w:t xml:space="preserve">, ktoré budú pozitívne vplývať </w:t>
      </w:r>
      <w:r w:rsidRPr="004D3937">
        <w:rPr>
          <w:rFonts w:asciiTheme="majorHAnsi" w:hAnsiTheme="majorHAnsi"/>
        </w:rPr>
        <w:t>na hospodársky rast a</w:t>
      </w:r>
      <w:r w:rsidR="00330A5F">
        <w:rPr>
          <w:rFonts w:asciiTheme="majorHAnsi" w:hAnsiTheme="majorHAnsi"/>
        </w:rPr>
        <w:t> </w:t>
      </w:r>
      <w:r w:rsidRPr="004D3937">
        <w:rPr>
          <w:rFonts w:asciiTheme="majorHAnsi" w:hAnsiTheme="majorHAnsi"/>
        </w:rPr>
        <w:t>tvorbu pracovných miest na vidieku.</w:t>
      </w:r>
    </w:p>
    <w:p w:rsidR="00CB5015" w:rsidRPr="004D3937" w:rsidRDefault="00CB5015" w:rsidP="00CB5015">
      <w:pPr>
        <w:autoSpaceDE w:val="0"/>
        <w:autoSpaceDN w:val="0"/>
        <w:adjustRightInd w:val="0"/>
        <w:spacing w:after="0"/>
        <w:rPr>
          <w:rFonts w:asciiTheme="majorHAnsi" w:hAnsiTheme="majorHAnsi"/>
        </w:rPr>
      </w:pPr>
      <w:r w:rsidRPr="004D3937">
        <w:rPr>
          <w:rFonts w:asciiTheme="majorHAnsi" w:hAnsiTheme="majorHAnsi"/>
        </w:rPr>
        <w:t>Podporou rozvoja miestnych komunít, z</w:t>
      </w:r>
      <w:r>
        <w:rPr>
          <w:rFonts w:asciiTheme="majorHAnsi" w:hAnsiTheme="majorHAnsi"/>
        </w:rPr>
        <w:t> </w:t>
      </w:r>
      <w:r w:rsidR="00992CAB">
        <w:rPr>
          <w:rFonts w:asciiTheme="majorHAnsi" w:hAnsiTheme="majorHAnsi"/>
        </w:rPr>
        <w:t>PRV</w:t>
      </w:r>
      <w:r w:rsidRPr="004D3937">
        <w:rPr>
          <w:rFonts w:asciiTheme="majorHAnsi" w:hAnsiTheme="majorHAnsi"/>
        </w:rPr>
        <w:t xml:space="preserve"> 2007</w:t>
      </w:r>
      <w:r>
        <w:rPr>
          <w:rFonts w:asciiTheme="majorHAnsi" w:hAnsiTheme="majorHAnsi"/>
        </w:rPr>
        <w:t xml:space="preserve"> – </w:t>
      </w:r>
      <w:r w:rsidRPr="004D3937">
        <w:rPr>
          <w:rFonts w:asciiTheme="majorHAnsi" w:hAnsiTheme="majorHAnsi"/>
        </w:rPr>
        <w:t>2013</w:t>
      </w:r>
      <w:r>
        <w:rPr>
          <w:rFonts w:asciiTheme="majorHAnsi" w:hAnsiTheme="majorHAnsi"/>
        </w:rPr>
        <w:t xml:space="preserve"> </w:t>
      </w:r>
      <w:r w:rsidRPr="004D3937">
        <w:rPr>
          <w:rFonts w:asciiTheme="majorHAnsi" w:hAnsiTheme="majorHAnsi"/>
        </w:rPr>
        <w:t>cez prístup LEADER</w:t>
      </w:r>
      <w:r w:rsidR="00992CAB">
        <w:rPr>
          <w:rFonts w:asciiTheme="majorHAnsi" w:hAnsiTheme="majorHAnsi"/>
        </w:rPr>
        <w:t xml:space="preserve"> </w:t>
      </w:r>
      <w:r w:rsidRPr="004D3937">
        <w:rPr>
          <w:rFonts w:asciiTheme="majorHAnsi" w:hAnsiTheme="majorHAnsi"/>
        </w:rPr>
        <w:t>sa prispelo k</w:t>
      </w:r>
      <w:r>
        <w:rPr>
          <w:rFonts w:asciiTheme="majorHAnsi" w:hAnsiTheme="majorHAnsi"/>
        </w:rPr>
        <w:t> </w:t>
      </w:r>
      <w:r w:rsidRPr="004D3937">
        <w:rPr>
          <w:rFonts w:asciiTheme="majorHAnsi" w:hAnsiTheme="majorHAnsi"/>
        </w:rPr>
        <w:t>zlepšovaniu</w:t>
      </w:r>
      <w:r>
        <w:rPr>
          <w:rFonts w:asciiTheme="majorHAnsi" w:hAnsiTheme="majorHAnsi"/>
        </w:rPr>
        <w:t xml:space="preserve"> </w:t>
      </w:r>
      <w:r w:rsidRPr="004D3937">
        <w:rPr>
          <w:rFonts w:asciiTheme="majorHAnsi" w:hAnsiTheme="majorHAnsi"/>
        </w:rPr>
        <w:t xml:space="preserve">kvality života, zamestnanosti, </w:t>
      </w:r>
      <w:r w:rsidR="00156B07" w:rsidRPr="004D3937">
        <w:rPr>
          <w:rFonts w:asciiTheme="majorHAnsi" w:hAnsiTheme="majorHAnsi"/>
        </w:rPr>
        <w:t>rozvoj</w:t>
      </w:r>
      <w:r w:rsidR="00156B07">
        <w:rPr>
          <w:rFonts w:asciiTheme="majorHAnsi" w:hAnsiTheme="majorHAnsi"/>
        </w:rPr>
        <w:t>u</w:t>
      </w:r>
      <w:r w:rsidR="00156B07" w:rsidRPr="004D3937">
        <w:rPr>
          <w:rFonts w:asciiTheme="majorHAnsi" w:hAnsiTheme="majorHAnsi"/>
        </w:rPr>
        <w:t xml:space="preserve"> </w:t>
      </w:r>
      <w:r w:rsidRPr="004D3937">
        <w:rPr>
          <w:rFonts w:asciiTheme="majorHAnsi" w:hAnsiTheme="majorHAnsi"/>
        </w:rPr>
        <w:t>miestnych služieb a</w:t>
      </w:r>
      <w:r w:rsidR="00113E3E">
        <w:rPr>
          <w:rFonts w:asciiTheme="majorHAnsi" w:hAnsiTheme="majorHAnsi"/>
        </w:rPr>
        <w:t> </w:t>
      </w:r>
      <w:r w:rsidRPr="004D3937">
        <w:rPr>
          <w:rFonts w:asciiTheme="majorHAnsi" w:hAnsiTheme="majorHAnsi"/>
        </w:rPr>
        <w:t>obcí. Tým sa podpor</w:t>
      </w:r>
      <w:r>
        <w:rPr>
          <w:rFonts w:asciiTheme="majorHAnsi" w:hAnsiTheme="majorHAnsi"/>
        </w:rPr>
        <w:t>ilo</w:t>
      </w:r>
      <w:r w:rsidRPr="004D3937">
        <w:rPr>
          <w:rFonts w:asciiTheme="majorHAnsi" w:hAnsiTheme="majorHAnsi"/>
        </w:rPr>
        <w:t xml:space="preserve"> budovanie a</w:t>
      </w:r>
      <w:r>
        <w:rPr>
          <w:rFonts w:asciiTheme="majorHAnsi" w:hAnsiTheme="majorHAnsi"/>
        </w:rPr>
        <w:t> </w:t>
      </w:r>
      <w:r w:rsidRPr="004D3937">
        <w:rPr>
          <w:rFonts w:asciiTheme="majorHAnsi" w:hAnsiTheme="majorHAnsi"/>
        </w:rPr>
        <w:t>rozvoj</w:t>
      </w:r>
      <w:r>
        <w:rPr>
          <w:rFonts w:asciiTheme="majorHAnsi" w:hAnsiTheme="majorHAnsi"/>
        </w:rPr>
        <w:t xml:space="preserve"> </w:t>
      </w:r>
      <w:r w:rsidRPr="004D3937">
        <w:rPr>
          <w:rFonts w:asciiTheme="majorHAnsi" w:hAnsiTheme="majorHAnsi"/>
        </w:rPr>
        <w:t>miestnych partnerstiev</w:t>
      </w:r>
      <w:r>
        <w:rPr>
          <w:rFonts w:asciiTheme="majorHAnsi" w:hAnsiTheme="majorHAnsi"/>
        </w:rPr>
        <w:t xml:space="preserve"> a</w:t>
      </w:r>
      <w:r w:rsidR="00113E3E">
        <w:rPr>
          <w:rFonts w:asciiTheme="majorHAnsi" w:hAnsiTheme="majorHAnsi"/>
        </w:rPr>
        <w:t> </w:t>
      </w:r>
      <w:r w:rsidRPr="004D3937">
        <w:rPr>
          <w:rFonts w:asciiTheme="majorHAnsi" w:hAnsiTheme="majorHAnsi"/>
        </w:rPr>
        <w:t>využitie vnútorného rozvojového potenciálu vidieka. Podniky</w:t>
      </w:r>
      <w:r>
        <w:rPr>
          <w:rFonts w:asciiTheme="majorHAnsi" w:hAnsiTheme="majorHAnsi"/>
        </w:rPr>
        <w:t xml:space="preserve"> a</w:t>
      </w:r>
      <w:r w:rsidR="00113E3E">
        <w:rPr>
          <w:rFonts w:asciiTheme="majorHAnsi" w:hAnsiTheme="majorHAnsi"/>
        </w:rPr>
        <w:t> </w:t>
      </w:r>
      <w:r>
        <w:rPr>
          <w:rFonts w:asciiTheme="majorHAnsi" w:hAnsiTheme="majorHAnsi"/>
        </w:rPr>
        <w:t>miestne</w:t>
      </w:r>
      <w:r w:rsidRPr="004D3937">
        <w:rPr>
          <w:rFonts w:asciiTheme="majorHAnsi" w:hAnsiTheme="majorHAnsi"/>
        </w:rPr>
        <w:t xml:space="preserve"> komunity zapojené do partnerstva môžu pôsobiť motivačne a</w:t>
      </w:r>
      <w:r>
        <w:rPr>
          <w:rFonts w:asciiTheme="majorHAnsi" w:hAnsiTheme="majorHAnsi"/>
        </w:rPr>
        <w:t> </w:t>
      </w:r>
      <w:r w:rsidRPr="004D3937">
        <w:rPr>
          <w:rFonts w:asciiTheme="majorHAnsi" w:hAnsiTheme="majorHAnsi"/>
        </w:rPr>
        <w:t>tvoriť</w:t>
      </w:r>
      <w:r>
        <w:rPr>
          <w:rFonts w:asciiTheme="majorHAnsi" w:hAnsiTheme="majorHAnsi"/>
        </w:rPr>
        <w:t xml:space="preserve"> </w:t>
      </w:r>
      <w:r w:rsidRPr="004D3937">
        <w:rPr>
          <w:rFonts w:asciiTheme="majorHAnsi" w:hAnsiTheme="majorHAnsi"/>
        </w:rPr>
        <w:t>sociálny vzor pre iné komunity/obyvateľov na vidieku, preto je nutné zabezpečiť kontinuitu takto realizovaných a</w:t>
      </w:r>
      <w:r>
        <w:rPr>
          <w:rFonts w:asciiTheme="majorHAnsi" w:hAnsiTheme="majorHAnsi"/>
        </w:rPr>
        <w:t> </w:t>
      </w:r>
      <w:r w:rsidRPr="004D3937">
        <w:rPr>
          <w:rFonts w:asciiTheme="majorHAnsi" w:hAnsiTheme="majorHAnsi"/>
        </w:rPr>
        <w:t>už</w:t>
      </w:r>
      <w:r>
        <w:rPr>
          <w:rFonts w:asciiTheme="majorHAnsi" w:hAnsiTheme="majorHAnsi"/>
        </w:rPr>
        <w:t xml:space="preserve"> </w:t>
      </w:r>
      <w:r w:rsidRPr="004D3937">
        <w:rPr>
          <w:rFonts w:asciiTheme="majorHAnsi" w:hAnsiTheme="majorHAnsi"/>
        </w:rPr>
        <w:t>podporovaných aktivít.</w:t>
      </w:r>
    </w:p>
    <w:p w:rsidR="004D3937" w:rsidRDefault="004D3937" w:rsidP="004E7E29">
      <w:pPr>
        <w:autoSpaceDE w:val="0"/>
        <w:autoSpaceDN w:val="0"/>
        <w:adjustRightInd w:val="0"/>
        <w:spacing w:after="0"/>
        <w:rPr>
          <w:rFonts w:asciiTheme="majorHAnsi" w:hAnsiTheme="majorHAnsi"/>
        </w:rPr>
      </w:pPr>
      <w:r w:rsidRPr="004D3937">
        <w:rPr>
          <w:rFonts w:asciiTheme="majorHAnsi" w:hAnsiTheme="majorHAnsi"/>
        </w:rPr>
        <w:t>Pre rozvoj obcí a</w:t>
      </w:r>
      <w:r w:rsidR="000E5BBB">
        <w:rPr>
          <w:rFonts w:asciiTheme="majorHAnsi" w:hAnsiTheme="majorHAnsi"/>
        </w:rPr>
        <w:t> </w:t>
      </w:r>
      <w:r w:rsidRPr="004D3937">
        <w:rPr>
          <w:rFonts w:asciiTheme="majorHAnsi" w:hAnsiTheme="majorHAnsi"/>
        </w:rPr>
        <w:t xml:space="preserve">miestny rozvoj </w:t>
      </w:r>
      <w:r w:rsidR="00F70B2A">
        <w:rPr>
          <w:rFonts w:asciiTheme="majorHAnsi" w:hAnsiTheme="majorHAnsi"/>
        </w:rPr>
        <w:t>je potrebné smerovať</w:t>
      </w:r>
      <w:r w:rsidRPr="004D3937">
        <w:rPr>
          <w:rFonts w:asciiTheme="majorHAnsi" w:hAnsiTheme="majorHAnsi"/>
        </w:rPr>
        <w:t xml:space="preserve"> investície do drobnej infraštruktúry (rozvoj podnikania a</w:t>
      </w:r>
      <w:r w:rsidR="00621C50">
        <w:rPr>
          <w:rFonts w:asciiTheme="majorHAnsi" w:hAnsiTheme="majorHAnsi"/>
        </w:rPr>
        <w:t> vidieckeho cestovného ruchu</w:t>
      </w:r>
      <w:r w:rsidRPr="004D3937">
        <w:rPr>
          <w:rFonts w:asciiTheme="majorHAnsi" w:hAnsiTheme="majorHAnsi"/>
        </w:rPr>
        <w:t>), miestnych služieb, vytváranie podmienok pre komunitnú/podnikateľskú činnosť (využitie nevyužívaných objektov v</w:t>
      </w:r>
      <w:r w:rsidR="00FC30F5">
        <w:rPr>
          <w:rFonts w:asciiTheme="majorHAnsi" w:hAnsiTheme="majorHAnsi"/>
        </w:rPr>
        <w:t> </w:t>
      </w:r>
      <w:r w:rsidRPr="004D3937">
        <w:rPr>
          <w:rFonts w:asciiTheme="majorHAnsi" w:hAnsiTheme="majorHAnsi"/>
        </w:rPr>
        <w:t>obciach)</w:t>
      </w:r>
      <w:r w:rsidR="00463411">
        <w:rPr>
          <w:rFonts w:asciiTheme="majorHAnsi" w:hAnsiTheme="majorHAnsi"/>
        </w:rPr>
        <w:t xml:space="preserve"> a podporu miestnej zamestnanosti</w:t>
      </w:r>
      <w:r w:rsidR="00CB5015">
        <w:rPr>
          <w:rFonts w:asciiTheme="majorHAnsi" w:hAnsiTheme="majorHAnsi"/>
        </w:rPr>
        <w:t>.</w:t>
      </w:r>
    </w:p>
    <w:p w:rsidR="00406C25" w:rsidRPr="00A11FE0" w:rsidRDefault="00406C25" w:rsidP="00723936">
      <w:pPr>
        <w:pStyle w:val="Nadpis5"/>
        <w:numPr>
          <w:ilvl w:val="4"/>
          <w:numId w:val="2"/>
        </w:numPr>
        <w:ind w:left="1292"/>
      </w:pPr>
      <w:r w:rsidRPr="00A11FE0">
        <w:t xml:space="preserve">Nízka úroveň </w:t>
      </w:r>
      <w:r w:rsidR="00BD5FD5">
        <w:t>s</w:t>
      </w:r>
      <w:r w:rsidRPr="00A11FE0">
        <w:t>ociálnej ekonomiky</w:t>
      </w:r>
    </w:p>
    <w:p w:rsidR="00406C25" w:rsidRPr="00B4290D" w:rsidRDefault="00406C25" w:rsidP="003F0750">
      <w:pPr>
        <w:spacing w:after="0"/>
        <w:rPr>
          <w:rFonts w:asciiTheme="majorHAnsi" w:hAnsiTheme="majorHAnsi" w:cs="Calibri"/>
          <w:szCs w:val="22"/>
        </w:rPr>
      </w:pPr>
      <w:r w:rsidRPr="00A11FE0">
        <w:rPr>
          <w:rFonts w:asciiTheme="majorHAnsi" w:hAnsiTheme="majorHAnsi"/>
          <w:szCs w:val="22"/>
        </w:rPr>
        <w:t xml:space="preserve">Dosiaľ nevyužitý potenciál pre podporu zamestnávania dlhodobo nezamestnaných predstavuje oblasť </w:t>
      </w:r>
      <w:r w:rsidR="00BD5FD5">
        <w:rPr>
          <w:rFonts w:asciiTheme="majorHAnsi" w:hAnsiTheme="majorHAnsi"/>
          <w:szCs w:val="22"/>
        </w:rPr>
        <w:t>s</w:t>
      </w:r>
      <w:r w:rsidRPr="00A11FE0">
        <w:rPr>
          <w:rFonts w:asciiTheme="majorHAnsi" w:hAnsiTheme="majorHAnsi"/>
          <w:szCs w:val="22"/>
        </w:rPr>
        <w:t>ociálnej ekonomiky</w:t>
      </w:r>
      <w:r w:rsidR="000A31EC" w:rsidRPr="00A11FE0">
        <w:rPr>
          <w:rFonts w:asciiTheme="majorHAnsi" w:hAnsiTheme="majorHAnsi"/>
          <w:szCs w:val="22"/>
        </w:rPr>
        <w:t>, t. j.</w:t>
      </w:r>
      <w:r w:rsidRPr="00A11FE0">
        <w:rPr>
          <w:rFonts w:asciiTheme="majorHAnsi" w:hAnsiTheme="majorHAnsi"/>
          <w:szCs w:val="22"/>
        </w:rPr>
        <w:t xml:space="preserve"> takých ekonomických </w:t>
      </w:r>
      <w:r w:rsidR="00BD5FD5">
        <w:rPr>
          <w:rFonts w:asciiTheme="majorHAnsi" w:hAnsiTheme="majorHAnsi"/>
          <w:szCs w:val="22"/>
        </w:rPr>
        <w:t>ak</w:t>
      </w:r>
      <w:r w:rsidRPr="00A11FE0">
        <w:rPr>
          <w:rFonts w:asciiTheme="majorHAnsi" w:hAnsiTheme="majorHAnsi"/>
          <w:szCs w:val="22"/>
        </w:rPr>
        <w:t xml:space="preserve">tivít, </w:t>
      </w:r>
      <w:r w:rsidR="00BD5FD5">
        <w:rPr>
          <w:rFonts w:asciiTheme="majorHAnsi" w:hAnsiTheme="majorHAnsi"/>
          <w:szCs w:val="22"/>
        </w:rPr>
        <w:t>k</w:t>
      </w:r>
      <w:r w:rsidRPr="00A11FE0">
        <w:rPr>
          <w:rFonts w:asciiTheme="majorHAnsi" w:hAnsiTheme="majorHAnsi"/>
          <w:szCs w:val="22"/>
        </w:rPr>
        <w:t xml:space="preserve">toré prinášajú nefinančný </w:t>
      </w:r>
      <w:r w:rsidR="00BD5FD5">
        <w:rPr>
          <w:rFonts w:asciiTheme="majorHAnsi" w:hAnsiTheme="majorHAnsi"/>
          <w:szCs w:val="22"/>
        </w:rPr>
        <w:t>s</w:t>
      </w:r>
      <w:r w:rsidRPr="00A11FE0">
        <w:rPr>
          <w:rFonts w:asciiTheme="majorHAnsi" w:hAnsiTheme="majorHAnsi"/>
          <w:szCs w:val="22"/>
        </w:rPr>
        <w:t xml:space="preserve">poločenský prospech, nižšiu úroveň zisku, než je </w:t>
      </w:r>
      <w:r w:rsidR="00BD5FD5">
        <w:rPr>
          <w:rFonts w:asciiTheme="majorHAnsi" w:hAnsiTheme="majorHAnsi"/>
          <w:szCs w:val="22"/>
        </w:rPr>
        <w:t>k</w:t>
      </w:r>
      <w:r w:rsidRPr="00A11FE0">
        <w:rPr>
          <w:rFonts w:asciiTheme="majorHAnsi" w:hAnsiTheme="majorHAnsi"/>
          <w:szCs w:val="22"/>
        </w:rPr>
        <w:t xml:space="preserve">omerčne </w:t>
      </w:r>
      <w:r w:rsidR="00BD5FD5">
        <w:rPr>
          <w:rFonts w:asciiTheme="majorHAnsi" w:hAnsiTheme="majorHAnsi"/>
          <w:szCs w:val="22"/>
        </w:rPr>
        <w:t>ak</w:t>
      </w:r>
      <w:r w:rsidRPr="00A11FE0">
        <w:rPr>
          <w:rFonts w:asciiTheme="majorHAnsi" w:hAnsiTheme="majorHAnsi"/>
          <w:szCs w:val="22"/>
        </w:rPr>
        <w:t>ceptovaná. Medzi takéto pozitívne externality patrí práve i</w:t>
      </w:r>
      <w:r w:rsidR="00A8202E">
        <w:rPr>
          <w:rFonts w:asciiTheme="majorHAnsi" w:hAnsiTheme="majorHAnsi"/>
          <w:szCs w:val="22"/>
        </w:rPr>
        <w:t> </w:t>
      </w:r>
      <w:r w:rsidRPr="00A11FE0">
        <w:rPr>
          <w:rFonts w:asciiTheme="majorHAnsi" w:hAnsiTheme="majorHAnsi"/>
          <w:szCs w:val="22"/>
        </w:rPr>
        <w:t>podpora</w:t>
      </w:r>
      <w:r w:rsidR="00A8202E">
        <w:rPr>
          <w:rFonts w:asciiTheme="majorHAnsi" w:hAnsiTheme="majorHAnsi"/>
          <w:szCs w:val="22"/>
        </w:rPr>
        <w:t xml:space="preserve"> </w:t>
      </w:r>
      <w:r w:rsidRPr="00A11FE0">
        <w:rPr>
          <w:rFonts w:asciiTheme="majorHAnsi" w:hAnsiTheme="majorHAnsi"/>
          <w:szCs w:val="22"/>
        </w:rPr>
        <w:t>zamestnávania dlhodobo nezamestnaných</w:t>
      </w:r>
      <w:r w:rsidR="00290A7A" w:rsidRPr="00A11FE0">
        <w:rPr>
          <w:rFonts w:asciiTheme="majorHAnsi" w:hAnsiTheme="majorHAnsi"/>
          <w:szCs w:val="22"/>
        </w:rPr>
        <w:t>,</w:t>
      </w:r>
      <w:r w:rsidRPr="00A11FE0">
        <w:rPr>
          <w:rFonts w:asciiTheme="majorHAnsi" w:hAnsiTheme="majorHAnsi"/>
          <w:szCs w:val="22"/>
        </w:rPr>
        <w:t xml:space="preserve"> či marginalizovaných </w:t>
      </w:r>
      <w:r w:rsidR="00BD5FD5">
        <w:rPr>
          <w:rFonts w:asciiTheme="majorHAnsi" w:hAnsiTheme="majorHAnsi"/>
          <w:szCs w:val="22"/>
        </w:rPr>
        <w:t>s</w:t>
      </w:r>
      <w:r w:rsidRPr="00A11FE0">
        <w:rPr>
          <w:rFonts w:asciiTheme="majorHAnsi" w:hAnsiTheme="majorHAnsi"/>
          <w:szCs w:val="22"/>
        </w:rPr>
        <w:t xml:space="preserve">kupín. Na podporu </w:t>
      </w:r>
      <w:r w:rsidR="00BD5FD5">
        <w:rPr>
          <w:rFonts w:asciiTheme="majorHAnsi" w:hAnsiTheme="majorHAnsi"/>
          <w:szCs w:val="22"/>
        </w:rPr>
        <w:t>s</w:t>
      </w:r>
      <w:r w:rsidRPr="00A11FE0">
        <w:rPr>
          <w:rFonts w:asciiTheme="majorHAnsi" w:hAnsiTheme="majorHAnsi"/>
          <w:szCs w:val="22"/>
        </w:rPr>
        <w:t xml:space="preserve">ociálnej ekonomiky by </w:t>
      </w:r>
      <w:r w:rsidR="00BD5FD5">
        <w:rPr>
          <w:rFonts w:asciiTheme="majorHAnsi" w:hAnsiTheme="majorHAnsi"/>
          <w:szCs w:val="22"/>
        </w:rPr>
        <w:t>s</w:t>
      </w:r>
      <w:r w:rsidRPr="00A11FE0">
        <w:rPr>
          <w:rFonts w:asciiTheme="majorHAnsi" w:hAnsiTheme="majorHAnsi"/>
          <w:szCs w:val="22"/>
        </w:rPr>
        <w:t xml:space="preserve">a mal zamerať verejný </w:t>
      </w:r>
      <w:r w:rsidR="00BD5FD5">
        <w:rPr>
          <w:rFonts w:asciiTheme="majorHAnsi" w:hAnsiTheme="majorHAnsi"/>
          <w:szCs w:val="22"/>
        </w:rPr>
        <w:t>s</w:t>
      </w:r>
      <w:r w:rsidRPr="00A11FE0">
        <w:rPr>
          <w:rFonts w:asciiTheme="majorHAnsi" w:hAnsiTheme="majorHAnsi"/>
          <w:szCs w:val="22"/>
        </w:rPr>
        <w:t xml:space="preserve">ektor </w:t>
      </w:r>
      <w:r w:rsidR="00BD5FD5">
        <w:rPr>
          <w:rFonts w:asciiTheme="majorHAnsi" w:hAnsiTheme="majorHAnsi"/>
          <w:szCs w:val="22"/>
        </w:rPr>
        <w:t>a </w:t>
      </w:r>
      <w:r w:rsidRPr="00A11FE0">
        <w:rPr>
          <w:rFonts w:asciiTheme="majorHAnsi" w:hAnsiTheme="majorHAnsi"/>
          <w:szCs w:val="22"/>
        </w:rPr>
        <w:t xml:space="preserve">neziskový </w:t>
      </w:r>
      <w:r w:rsidR="00BD5FD5">
        <w:rPr>
          <w:rFonts w:asciiTheme="majorHAnsi" w:hAnsiTheme="majorHAnsi"/>
          <w:szCs w:val="22"/>
        </w:rPr>
        <w:t>s</w:t>
      </w:r>
      <w:r w:rsidRPr="00A11FE0">
        <w:rPr>
          <w:rFonts w:asciiTheme="majorHAnsi" w:hAnsiTheme="majorHAnsi"/>
          <w:szCs w:val="22"/>
        </w:rPr>
        <w:t xml:space="preserve">ektor. </w:t>
      </w:r>
      <w:r w:rsidR="00233E53" w:rsidRPr="003F0750">
        <w:rPr>
          <w:rFonts w:asciiTheme="majorHAnsi" w:hAnsiTheme="majorHAnsi" w:cs="Calibri"/>
          <w:szCs w:val="22"/>
        </w:rPr>
        <w:t>Medzi formy podpory sociálnej ekonomiky patrí i</w:t>
      </w:r>
      <w:r w:rsidR="000E5BBB">
        <w:rPr>
          <w:rFonts w:asciiTheme="majorHAnsi" w:hAnsiTheme="majorHAnsi" w:cs="Calibri"/>
          <w:szCs w:val="22"/>
        </w:rPr>
        <w:t> </w:t>
      </w:r>
      <w:r w:rsidR="00233E53" w:rsidRPr="003F0750">
        <w:rPr>
          <w:rFonts w:asciiTheme="majorHAnsi" w:hAnsiTheme="majorHAnsi" w:cs="Calibri"/>
          <w:szCs w:val="22"/>
        </w:rPr>
        <w:t xml:space="preserve">uplatňovanie sociálneho aspektu vo </w:t>
      </w:r>
      <w:r w:rsidR="00B73E5C">
        <w:rPr>
          <w:rFonts w:asciiTheme="majorHAnsi" w:hAnsiTheme="majorHAnsi" w:cs="Calibri"/>
          <w:szCs w:val="22"/>
        </w:rPr>
        <w:t>VO</w:t>
      </w:r>
      <w:r w:rsidR="00233E53" w:rsidRPr="003F0750">
        <w:rPr>
          <w:rFonts w:asciiTheme="majorHAnsi" w:hAnsiTheme="majorHAnsi" w:cs="Calibri"/>
          <w:szCs w:val="22"/>
        </w:rPr>
        <w:t xml:space="preserve"> financovaných z</w:t>
      </w:r>
      <w:r w:rsidR="000E5BBB">
        <w:rPr>
          <w:rFonts w:asciiTheme="majorHAnsi" w:hAnsiTheme="majorHAnsi" w:cs="Calibri"/>
          <w:szCs w:val="22"/>
        </w:rPr>
        <w:t> </w:t>
      </w:r>
      <w:r w:rsidR="00233E53" w:rsidRPr="003F0750">
        <w:rPr>
          <w:rFonts w:asciiTheme="majorHAnsi" w:hAnsiTheme="majorHAnsi" w:cs="Calibri"/>
          <w:szCs w:val="22"/>
        </w:rPr>
        <w:t>verejných zdrojov. Na podporu sociálnej ekonomiky by sa mal prioritne zamerať verejný sektor. Podpora subjektov sociálnej ekonomiky má vďaka rôznym dôvodom v</w:t>
      </w:r>
      <w:r w:rsidR="000E5BBB">
        <w:rPr>
          <w:rFonts w:asciiTheme="majorHAnsi" w:hAnsiTheme="majorHAnsi" w:cs="Calibri"/>
          <w:szCs w:val="22"/>
        </w:rPr>
        <w:t> </w:t>
      </w:r>
      <w:r w:rsidR="00233E53" w:rsidRPr="003F0750">
        <w:rPr>
          <w:rFonts w:asciiTheme="majorHAnsi" w:hAnsiTheme="majorHAnsi" w:cs="Calibri"/>
          <w:szCs w:val="22"/>
        </w:rPr>
        <w:t>prostredí SR negatívnu konotáciu, preto by mali byť presadzované riešenia, pri ktorých nemôže vznikať podozrenie na ohrozovanie hospodárskej súťaže a ovplyvňovanie trhu</w:t>
      </w:r>
      <w:r w:rsidR="008C2661">
        <w:rPr>
          <w:rFonts w:asciiTheme="majorHAnsi" w:hAnsiTheme="majorHAnsi" w:cs="Calibri"/>
          <w:szCs w:val="22"/>
        </w:rPr>
        <w:t>.</w:t>
      </w:r>
    </w:p>
    <w:p w:rsidR="00406C25" w:rsidRPr="00A11FE0" w:rsidRDefault="00406C25" w:rsidP="00723936">
      <w:pPr>
        <w:pStyle w:val="Nadpis6"/>
        <w:numPr>
          <w:ilvl w:val="5"/>
          <w:numId w:val="2"/>
        </w:numPr>
      </w:pPr>
      <w:r w:rsidRPr="00A11FE0">
        <w:lastRenderedPageBreak/>
        <w:t xml:space="preserve">Nízka efektívnosť </w:t>
      </w:r>
      <w:r w:rsidR="00BD5FD5">
        <w:t>s</w:t>
      </w:r>
      <w:r w:rsidRPr="00A11FE0">
        <w:t xml:space="preserve">lovenského zdravotníctva </w:t>
      </w:r>
      <w:r w:rsidR="00BD5FD5">
        <w:t>a </w:t>
      </w:r>
      <w:r w:rsidRPr="00A11FE0">
        <w:t>úroveň verejného zdravia</w:t>
      </w:r>
    </w:p>
    <w:p w:rsidR="00406C25" w:rsidRPr="00A11FE0" w:rsidRDefault="00406C25" w:rsidP="0003264B">
      <w:pPr>
        <w:pStyle w:val="Nadpis5"/>
        <w:numPr>
          <w:ilvl w:val="0"/>
          <w:numId w:val="0"/>
        </w:numPr>
        <w:spacing w:before="120"/>
        <w:rPr>
          <w:rFonts w:eastAsiaTheme="minorEastAsia"/>
          <w:color w:val="000000"/>
          <w:szCs w:val="22"/>
        </w:rPr>
      </w:pPr>
      <w:r w:rsidRPr="00A11FE0">
        <w:rPr>
          <w:rFonts w:eastAsiaTheme="minorEastAsia"/>
          <w:color w:val="000000"/>
          <w:szCs w:val="22"/>
        </w:rPr>
        <w:t xml:space="preserve">Hlavnými medicínskymi príčinami zlého zdravotného </w:t>
      </w:r>
      <w:r w:rsidR="00BD5FD5">
        <w:rPr>
          <w:rFonts w:eastAsiaTheme="minorEastAsia"/>
          <w:color w:val="000000"/>
          <w:szCs w:val="22"/>
        </w:rPr>
        <w:t>s</w:t>
      </w:r>
      <w:r w:rsidRPr="00A11FE0">
        <w:rPr>
          <w:rFonts w:eastAsiaTheme="minorEastAsia"/>
          <w:color w:val="000000"/>
          <w:szCs w:val="22"/>
        </w:rPr>
        <w:t xml:space="preserve">tavu obyvateľstva </w:t>
      </w:r>
      <w:r w:rsidR="00BD5FD5">
        <w:rPr>
          <w:rFonts w:eastAsiaTheme="minorEastAsia"/>
          <w:color w:val="000000"/>
          <w:szCs w:val="22"/>
        </w:rPr>
        <w:t>S</w:t>
      </w:r>
      <w:r w:rsidRPr="00A11FE0">
        <w:rPr>
          <w:rFonts w:eastAsiaTheme="minorEastAsia"/>
          <w:color w:val="000000"/>
          <w:szCs w:val="22"/>
        </w:rPr>
        <w:t>R</w:t>
      </w:r>
      <w:r w:rsidRPr="00A11FE0">
        <w:rPr>
          <w:rStyle w:val="Odkaznapoznmkupodiarou"/>
          <w:rFonts w:eastAsiaTheme="minorEastAsia"/>
          <w:color w:val="000000"/>
          <w:szCs w:val="22"/>
        </w:rPr>
        <w:footnoteReference w:id="140"/>
      </w:r>
      <w:r w:rsidRPr="00A11FE0">
        <w:rPr>
          <w:rFonts w:eastAsiaTheme="minorEastAsia"/>
          <w:color w:val="000000"/>
          <w:szCs w:val="22"/>
        </w:rPr>
        <w:t xml:space="preserve"> je nízka efektívnosť zdravotnej </w:t>
      </w:r>
      <w:r w:rsidR="00BD5FD5">
        <w:rPr>
          <w:rFonts w:eastAsiaTheme="minorEastAsia"/>
          <w:color w:val="000000"/>
          <w:szCs w:val="22"/>
        </w:rPr>
        <w:t>s</w:t>
      </w:r>
      <w:r w:rsidRPr="00A11FE0">
        <w:rPr>
          <w:rFonts w:eastAsiaTheme="minorEastAsia"/>
          <w:color w:val="000000"/>
          <w:szCs w:val="22"/>
        </w:rPr>
        <w:t xml:space="preserve">tarostlivosti, jej fragmentalizácia </w:t>
      </w:r>
      <w:r w:rsidR="00BD5FD5">
        <w:rPr>
          <w:rFonts w:eastAsiaTheme="minorEastAsia"/>
          <w:color w:val="000000"/>
          <w:szCs w:val="22"/>
        </w:rPr>
        <w:t>a </w:t>
      </w:r>
      <w:r w:rsidRPr="00A11FE0">
        <w:rPr>
          <w:rFonts w:eastAsiaTheme="minorEastAsia"/>
          <w:color w:val="000000"/>
          <w:szCs w:val="22"/>
        </w:rPr>
        <w:t xml:space="preserve">nedostatočná prevencia vzniku ochorení. Nízka efektívnosť </w:t>
      </w:r>
      <w:r w:rsidR="00BD5FD5">
        <w:rPr>
          <w:rFonts w:eastAsiaTheme="minorEastAsia"/>
          <w:color w:val="000000"/>
          <w:szCs w:val="22"/>
        </w:rPr>
        <w:t>s</w:t>
      </w:r>
      <w:r w:rsidRPr="00A11FE0">
        <w:rPr>
          <w:rFonts w:eastAsiaTheme="minorEastAsia"/>
          <w:color w:val="000000"/>
          <w:szCs w:val="22"/>
        </w:rPr>
        <w:t>lovenského zdravotníctva</w:t>
      </w:r>
      <w:r w:rsidR="002E1F05">
        <w:rPr>
          <w:rStyle w:val="Odkaznapoznmkupodiarou"/>
          <w:rFonts w:eastAsiaTheme="minorEastAsia"/>
          <w:color w:val="000000"/>
          <w:szCs w:val="22"/>
        </w:rPr>
        <w:footnoteReference w:id="141"/>
      </w:r>
      <w:r w:rsidRPr="00A11FE0">
        <w:rPr>
          <w:rFonts w:eastAsiaTheme="minorEastAsia"/>
          <w:color w:val="000000"/>
          <w:szCs w:val="22"/>
        </w:rPr>
        <w:t xml:space="preserve">, </w:t>
      </w:r>
      <w:r w:rsidR="00BD5FD5">
        <w:rPr>
          <w:rFonts w:eastAsiaTheme="minorEastAsia"/>
          <w:color w:val="000000"/>
          <w:szCs w:val="22"/>
        </w:rPr>
        <w:t>k</w:t>
      </w:r>
      <w:r w:rsidRPr="00A11FE0">
        <w:rPr>
          <w:rFonts w:eastAsiaTheme="minorEastAsia"/>
          <w:color w:val="000000"/>
          <w:szCs w:val="22"/>
        </w:rPr>
        <w:t>toré funguje v</w:t>
      </w:r>
      <w:r w:rsidR="000E5BBB">
        <w:rPr>
          <w:rFonts w:eastAsiaTheme="minorEastAsia"/>
          <w:color w:val="000000"/>
          <w:szCs w:val="22"/>
        </w:rPr>
        <w:t> </w:t>
      </w:r>
      <w:r w:rsidRPr="00A11FE0">
        <w:rPr>
          <w:rFonts w:eastAsiaTheme="minorEastAsia"/>
          <w:color w:val="000000"/>
          <w:szCs w:val="22"/>
        </w:rPr>
        <w:t xml:space="preserve">dlhodobo neudržateľnom nemocnične orientovanom modeli poskytovania zdravotnej </w:t>
      </w:r>
      <w:r w:rsidR="00BD5FD5">
        <w:rPr>
          <w:rFonts w:eastAsiaTheme="minorEastAsia"/>
          <w:color w:val="000000"/>
          <w:szCs w:val="22"/>
        </w:rPr>
        <w:t>s</w:t>
      </w:r>
      <w:r w:rsidRPr="00A11FE0">
        <w:rPr>
          <w:rFonts w:eastAsiaTheme="minorEastAsia"/>
          <w:color w:val="000000"/>
          <w:szCs w:val="22"/>
        </w:rPr>
        <w:t xml:space="preserve">tarostlivosti, bez </w:t>
      </w:r>
      <w:r w:rsidR="00BD5FD5">
        <w:rPr>
          <w:rFonts w:eastAsiaTheme="minorEastAsia"/>
          <w:color w:val="000000"/>
          <w:szCs w:val="22"/>
        </w:rPr>
        <w:t>k</w:t>
      </w:r>
      <w:r w:rsidRPr="00A11FE0">
        <w:rPr>
          <w:rFonts w:eastAsiaTheme="minorEastAsia"/>
          <w:color w:val="000000"/>
          <w:szCs w:val="22"/>
        </w:rPr>
        <w:t>oordinovaného prepájania exi</w:t>
      </w:r>
      <w:r w:rsidR="002E1F05">
        <w:rPr>
          <w:rFonts w:eastAsiaTheme="minorEastAsia"/>
          <w:color w:val="000000"/>
          <w:szCs w:val="22"/>
        </w:rPr>
        <w:t>s</w:t>
      </w:r>
      <w:r w:rsidRPr="00A11FE0">
        <w:rPr>
          <w:rFonts w:eastAsiaTheme="minorEastAsia"/>
          <w:color w:val="000000"/>
          <w:szCs w:val="22"/>
        </w:rPr>
        <w:t xml:space="preserve">tujúcich </w:t>
      </w:r>
      <w:r w:rsidR="00BD5FD5">
        <w:rPr>
          <w:rFonts w:eastAsiaTheme="minorEastAsia"/>
          <w:color w:val="000000"/>
          <w:szCs w:val="22"/>
        </w:rPr>
        <w:t>s</w:t>
      </w:r>
      <w:r w:rsidRPr="00A11FE0">
        <w:rPr>
          <w:rFonts w:eastAsiaTheme="minorEastAsia"/>
          <w:color w:val="000000"/>
          <w:szCs w:val="22"/>
        </w:rPr>
        <w:t xml:space="preserve">lužieb </w:t>
      </w:r>
      <w:r w:rsidR="00BD5FD5">
        <w:rPr>
          <w:rFonts w:eastAsiaTheme="minorEastAsia"/>
          <w:color w:val="000000"/>
          <w:szCs w:val="22"/>
        </w:rPr>
        <w:t>a s </w:t>
      </w:r>
      <w:r w:rsidRPr="00A11FE0">
        <w:rPr>
          <w:rFonts w:eastAsiaTheme="minorEastAsia"/>
          <w:color w:val="000000"/>
          <w:szCs w:val="22"/>
        </w:rPr>
        <w:t xml:space="preserve">malým dôrazom na prevenciu </w:t>
      </w:r>
      <w:r w:rsidR="00BD5FD5">
        <w:rPr>
          <w:rFonts w:eastAsiaTheme="minorEastAsia"/>
          <w:color w:val="000000"/>
          <w:szCs w:val="22"/>
        </w:rPr>
        <w:t>a </w:t>
      </w:r>
      <w:r w:rsidRPr="00A11FE0">
        <w:rPr>
          <w:rFonts w:eastAsiaTheme="minorEastAsia"/>
          <w:color w:val="000000"/>
          <w:szCs w:val="22"/>
        </w:rPr>
        <w:t xml:space="preserve">pôsobenie verejného zdravia, nedokáže účinne prispievať </w:t>
      </w:r>
      <w:r w:rsidR="00BD5FD5">
        <w:rPr>
          <w:rFonts w:eastAsiaTheme="minorEastAsia"/>
          <w:color w:val="000000"/>
          <w:szCs w:val="22"/>
        </w:rPr>
        <w:t>k </w:t>
      </w:r>
      <w:r w:rsidRPr="00A11FE0">
        <w:rPr>
          <w:rFonts w:eastAsiaTheme="minorEastAsia"/>
          <w:color w:val="000000"/>
          <w:szCs w:val="22"/>
        </w:rPr>
        <w:t xml:space="preserve">zlepšeniu zdravotného </w:t>
      </w:r>
      <w:r w:rsidR="00BD5FD5">
        <w:rPr>
          <w:rFonts w:eastAsiaTheme="minorEastAsia"/>
          <w:color w:val="000000"/>
          <w:szCs w:val="22"/>
        </w:rPr>
        <w:t>s</w:t>
      </w:r>
      <w:r w:rsidRPr="00A11FE0">
        <w:rPr>
          <w:rFonts w:eastAsiaTheme="minorEastAsia"/>
          <w:color w:val="000000"/>
          <w:szCs w:val="22"/>
        </w:rPr>
        <w:t xml:space="preserve">tavu obyvateľov </w:t>
      </w:r>
      <w:r w:rsidR="00BD5FD5">
        <w:rPr>
          <w:rFonts w:eastAsiaTheme="minorEastAsia"/>
          <w:color w:val="000000"/>
          <w:szCs w:val="22"/>
        </w:rPr>
        <w:t>S</w:t>
      </w:r>
      <w:r w:rsidRPr="00A11FE0">
        <w:rPr>
          <w:rFonts w:eastAsiaTheme="minorEastAsia"/>
          <w:color w:val="000000"/>
          <w:szCs w:val="22"/>
        </w:rPr>
        <w:t>R.</w:t>
      </w:r>
      <w:r w:rsidR="002E1F05">
        <w:rPr>
          <w:rFonts w:eastAsiaTheme="minorEastAsia"/>
          <w:color w:val="000000"/>
          <w:szCs w:val="22"/>
        </w:rPr>
        <w:t xml:space="preserve"> </w:t>
      </w:r>
      <w:r w:rsidR="002E1F05" w:rsidRPr="002E1F05">
        <w:rPr>
          <w:rFonts w:eastAsiaTheme="minorEastAsia"/>
          <w:color w:val="000000"/>
          <w:szCs w:val="22"/>
        </w:rPr>
        <w:t>Analýzu stavu slovenského zdravotníctva, kľúčové priority a</w:t>
      </w:r>
      <w:r w:rsidR="000E5BBB">
        <w:rPr>
          <w:rFonts w:eastAsiaTheme="minorEastAsia"/>
          <w:color w:val="000000"/>
          <w:szCs w:val="22"/>
        </w:rPr>
        <w:t> </w:t>
      </w:r>
      <w:r w:rsidR="002E1F05" w:rsidRPr="002E1F05">
        <w:rPr>
          <w:rFonts w:eastAsiaTheme="minorEastAsia"/>
          <w:color w:val="000000"/>
          <w:szCs w:val="22"/>
        </w:rPr>
        <w:t>hlavné nástroje zvýšenia efektívnosti slovenského zdravotníctva identifikuje Strategický rámec starostlivosti o</w:t>
      </w:r>
      <w:r w:rsidR="000E5BBB">
        <w:rPr>
          <w:rFonts w:eastAsiaTheme="minorEastAsia"/>
          <w:color w:val="000000"/>
          <w:szCs w:val="22"/>
        </w:rPr>
        <w:t> </w:t>
      </w:r>
      <w:r w:rsidR="002E1F05" w:rsidRPr="002E1F05">
        <w:rPr>
          <w:rFonts w:eastAsiaTheme="minorEastAsia"/>
          <w:color w:val="000000"/>
          <w:szCs w:val="22"/>
        </w:rPr>
        <w:t xml:space="preserve">zdravie </w:t>
      </w:r>
      <w:r w:rsidR="000E5BBB">
        <w:rPr>
          <w:rFonts w:eastAsiaTheme="minorEastAsia"/>
          <w:color w:val="000000"/>
          <w:szCs w:val="22"/>
        </w:rPr>
        <w:t>na</w:t>
      </w:r>
      <w:r w:rsidR="000E5BBB" w:rsidRPr="002E1F05">
        <w:rPr>
          <w:rFonts w:eastAsiaTheme="minorEastAsia"/>
          <w:color w:val="000000"/>
          <w:szCs w:val="22"/>
        </w:rPr>
        <w:t xml:space="preserve"> </w:t>
      </w:r>
      <w:r w:rsidR="002E1F05" w:rsidRPr="002E1F05">
        <w:rPr>
          <w:rFonts w:eastAsiaTheme="minorEastAsia"/>
          <w:color w:val="000000"/>
          <w:szCs w:val="22"/>
        </w:rPr>
        <w:t>roky 2014</w:t>
      </w:r>
      <w:r w:rsidR="000E5BBB">
        <w:rPr>
          <w:rFonts w:eastAsiaTheme="minorEastAsia"/>
          <w:color w:val="000000"/>
          <w:szCs w:val="22"/>
        </w:rPr>
        <w:t xml:space="preserve"> – </w:t>
      </w:r>
      <w:r w:rsidR="002E1F05" w:rsidRPr="002E1F05">
        <w:rPr>
          <w:rFonts w:eastAsiaTheme="minorEastAsia"/>
          <w:color w:val="000000"/>
          <w:szCs w:val="22"/>
        </w:rPr>
        <w:t>2030</w:t>
      </w:r>
      <w:r w:rsidR="002E1F05">
        <w:rPr>
          <w:rStyle w:val="Odkaznapoznmkupodiarou"/>
          <w:rFonts w:eastAsiaTheme="minorEastAsia"/>
          <w:color w:val="000000"/>
          <w:szCs w:val="22"/>
        </w:rPr>
        <w:footnoteReference w:id="142"/>
      </w:r>
      <w:r w:rsidR="002E1F05">
        <w:rPr>
          <w:rFonts w:eastAsiaTheme="minorEastAsia"/>
          <w:color w:val="000000"/>
          <w:szCs w:val="22"/>
        </w:rPr>
        <w:t>.</w:t>
      </w:r>
    </w:p>
    <w:p w:rsidR="00406C25" w:rsidRPr="00A11FE0" w:rsidRDefault="00406C25" w:rsidP="00723936">
      <w:pPr>
        <w:pStyle w:val="Nadpis5"/>
        <w:numPr>
          <w:ilvl w:val="4"/>
          <w:numId w:val="2"/>
        </w:numPr>
        <w:ind w:left="1292"/>
      </w:pPr>
      <w:r w:rsidRPr="00A11FE0">
        <w:t xml:space="preserve">Riziko </w:t>
      </w:r>
      <w:r w:rsidR="00BD5FD5">
        <w:t>s</w:t>
      </w:r>
      <w:r w:rsidRPr="00A11FE0">
        <w:t xml:space="preserve">ociálneho vylúčenia ľudí </w:t>
      </w:r>
      <w:r w:rsidR="00BD5FD5">
        <w:t>s </w:t>
      </w:r>
      <w:r w:rsidRPr="00A11FE0">
        <w:t>prisťahovaleckým pôvodom</w:t>
      </w:r>
    </w:p>
    <w:p w:rsidR="00406C25" w:rsidRPr="00A11FE0" w:rsidRDefault="00406C25" w:rsidP="00CA0F2F">
      <w:pPr>
        <w:rPr>
          <w:rFonts w:asciiTheme="majorHAnsi" w:hAnsiTheme="majorHAnsi"/>
        </w:rPr>
      </w:pPr>
      <w:r w:rsidRPr="00A11FE0">
        <w:rPr>
          <w:rFonts w:asciiTheme="majorHAnsi" w:hAnsiTheme="majorHAnsi"/>
        </w:rPr>
        <w:t xml:space="preserve">Pre </w:t>
      </w:r>
      <w:r w:rsidR="00BD5FD5">
        <w:rPr>
          <w:rFonts w:asciiTheme="majorHAnsi" w:hAnsiTheme="majorHAnsi"/>
        </w:rPr>
        <w:t>S</w:t>
      </w:r>
      <w:r w:rsidRPr="00A11FE0">
        <w:rPr>
          <w:rFonts w:asciiTheme="majorHAnsi" w:hAnsiTheme="majorHAnsi"/>
        </w:rPr>
        <w:t xml:space="preserve">R to znamená zrealizovať investície na podporu </w:t>
      </w:r>
      <w:r w:rsidR="00BD5FD5">
        <w:rPr>
          <w:rFonts w:asciiTheme="majorHAnsi" w:hAnsiTheme="majorHAnsi"/>
        </w:rPr>
        <w:t>ak</w:t>
      </w:r>
      <w:r w:rsidRPr="00A11FE0">
        <w:rPr>
          <w:rFonts w:asciiTheme="majorHAnsi" w:hAnsiTheme="majorHAnsi"/>
        </w:rPr>
        <w:t xml:space="preserve">tívneho začleňovania osôb, </w:t>
      </w:r>
      <w:r w:rsidR="00BD5FD5">
        <w:rPr>
          <w:rFonts w:asciiTheme="majorHAnsi" w:hAnsiTheme="majorHAnsi"/>
        </w:rPr>
        <w:t>k</w:t>
      </w:r>
      <w:r w:rsidRPr="00A11FE0">
        <w:rPr>
          <w:rFonts w:asciiTheme="majorHAnsi" w:hAnsiTheme="majorHAnsi"/>
        </w:rPr>
        <w:t>torým z</w:t>
      </w:r>
      <w:r w:rsidR="008B2288">
        <w:rPr>
          <w:rFonts w:asciiTheme="majorHAnsi" w:hAnsiTheme="majorHAnsi"/>
        </w:rPr>
        <w:t> </w:t>
      </w:r>
      <w:r w:rsidRPr="00A11FE0">
        <w:rPr>
          <w:rFonts w:asciiTheme="majorHAnsi" w:hAnsiTheme="majorHAnsi"/>
        </w:rPr>
        <w:t>rôznych</w:t>
      </w:r>
      <w:r w:rsidR="008B2288">
        <w:rPr>
          <w:rFonts w:asciiTheme="majorHAnsi" w:hAnsiTheme="majorHAnsi"/>
        </w:rPr>
        <w:t xml:space="preserve"> </w:t>
      </w:r>
      <w:r w:rsidRPr="00A11FE0">
        <w:rPr>
          <w:rFonts w:asciiTheme="majorHAnsi" w:hAnsiTheme="majorHAnsi"/>
        </w:rPr>
        <w:t xml:space="preserve">dôvodov hrozí </w:t>
      </w:r>
      <w:r w:rsidR="00BD5FD5">
        <w:rPr>
          <w:rFonts w:asciiTheme="majorHAnsi" w:hAnsiTheme="majorHAnsi"/>
        </w:rPr>
        <w:t>s</w:t>
      </w:r>
      <w:r w:rsidRPr="00A11FE0">
        <w:rPr>
          <w:rFonts w:asciiTheme="majorHAnsi" w:hAnsiTheme="majorHAnsi"/>
        </w:rPr>
        <w:t xml:space="preserve">ociálne vylúčenie, hlavne ľudia </w:t>
      </w:r>
      <w:r w:rsidR="00BD5FD5">
        <w:rPr>
          <w:rFonts w:asciiTheme="majorHAnsi" w:hAnsiTheme="majorHAnsi"/>
        </w:rPr>
        <w:t>s </w:t>
      </w:r>
      <w:r w:rsidRPr="00A11FE0">
        <w:rPr>
          <w:rFonts w:asciiTheme="majorHAnsi" w:hAnsiTheme="majorHAnsi"/>
        </w:rPr>
        <w:t>prisťahovaleckým pôvodom, žiadatelia o</w:t>
      </w:r>
      <w:r w:rsidR="00A8202E">
        <w:rPr>
          <w:rFonts w:asciiTheme="majorHAnsi" w:hAnsiTheme="majorHAnsi"/>
        </w:rPr>
        <w:t> </w:t>
      </w:r>
      <w:r w:rsidRPr="00A11FE0">
        <w:rPr>
          <w:rFonts w:asciiTheme="majorHAnsi" w:hAnsiTheme="majorHAnsi"/>
        </w:rPr>
        <w:t>udelenie</w:t>
      </w:r>
      <w:r w:rsidR="00A8202E">
        <w:rPr>
          <w:rFonts w:asciiTheme="majorHAnsi" w:hAnsiTheme="majorHAnsi"/>
        </w:rPr>
        <w:t xml:space="preserve"> </w:t>
      </w:r>
      <w:r w:rsidR="00BD5FD5">
        <w:rPr>
          <w:rFonts w:asciiTheme="majorHAnsi" w:hAnsiTheme="majorHAnsi"/>
        </w:rPr>
        <w:t>a</w:t>
      </w:r>
      <w:r w:rsidRPr="00A11FE0">
        <w:rPr>
          <w:rFonts w:asciiTheme="majorHAnsi" w:hAnsiTheme="majorHAnsi"/>
        </w:rPr>
        <w:t xml:space="preserve">zylu, </w:t>
      </w:r>
      <w:r w:rsidR="00BD5FD5">
        <w:rPr>
          <w:rFonts w:asciiTheme="majorHAnsi" w:hAnsiTheme="majorHAnsi"/>
        </w:rPr>
        <w:t>a</w:t>
      </w:r>
      <w:r w:rsidRPr="00A11FE0">
        <w:rPr>
          <w:rFonts w:asciiTheme="majorHAnsi" w:hAnsiTheme="majorHAnsi"/>
        </w:rPr>
        <w:t xml:space="preserve">zylanti </w:t>
      </w:r>
      <w:r w:rsidR="00992CAB">
        <w:rPr>
          <w:rFonts w:asciiTheme="majorHAnsi" w:hAnsiTheme="majorHAnsi"/>
        </w:rPr>
        <w:t>a</w:t>
      </w:r>
      <w:r w:rsidR="000E5BBB">
        <w:rPr>
          <w:rFonts w:asciiTheme="majorHAnsi" w:hAnsiTheme="majorHAnsi"/>
        </w:rPr>
        <w:t> </w:t>
      </w:r>
      <w:r w:rsidR="00BD5FD5">
        <w:rPr>
          <w:rFonts w:asciiTheme="majorHAnsi" w:hAnsiTheme="majorHAnsi"/>
        </w:rPr>
        <w:t>a</w:t>
      </w:r>
      <w:r w:rsidRPr="00A11FE0">
        <w:rPr>
          <w:rFonts w:asciiTheme="majorHAnsi" w:hAnsiTheme="majorHAnsi"/>
        </w:rPr>
        <w:t xml:space="preserve">j osoby, </w:t>
      </w:r>
      <w:r w:rsidR="00BD5FD5">
        <w:rPr>
          <w:rFonts w:asciiTheme="majorHAnsi" w:hAnsiTheme="majorHAnsi"/>
        </w:rPr>
        <w:t>k</w:t>
      </w:r>
      <w:r w:rsidRPr="00A11FE0">
        <w:rPr>
          <w:rFonts w:asciiTheme="majorHAnsi" w:hAnsiTheme="majorHAnsi"/>
        </w:rPr>
        <w:t>torým bola poskytnutá doplnková ochrana.</w:t>
      </w:r>
    </w:p>
    <w:p w:rsidR="00996677" w:rsidRPr="00A11FE0" w:rsidRDefault="00996677" w:rsidP="00723936">
      <w:pPr>
        <w:pStyle w:val="Nadpis5"/>
        <w:numPr>
          <w:ilvl w:val="4"/>
          <w:numId w:val="2"/>
        </w:numPr>
        <w:ind w:left="1292"/>
      </w:pPr>
      <w:bookmarkStart w:id="189" w:name="_Toc372447918"/>
      <w:r w:rsidRPr="00A11FE0">
        <w:t xml:space="preserve">Územná </w:t>
      </w:r>
      <w:r w:rsidR="00BD5FD5">
        <w:t>k</w:t>
      </w:r>
      <w:r w:rsidRPr="00A11FE0">
        <w:t>oncentrácia</w:t>
      </w:r>
      <w:bookmarkEnd w:id="189"/>
    </w:p>
    <w:p w:rsidR="00996677" w:rsidRPr="00A11FE0" w:rsidRDefault="002351F4" w:rsidP="00996677">
      <w:pPr>
        <w:rPr>
          <w:rFonts w:asciiTheme="majorHAnsi" w:hAnsiTheme="majorHAnsi"/>
          <w:szCs w:val="22"/>
        </w:rPr>
      </w:pPr>
      <w:r w:rsidRPr="00A11FE0">
        <w:rPr>
          <w:rFonts w:asciiTheme="majorHAnsi" w:hAnsiTheme="majorHAnsi"/>
          <w:noProof/>
          <w:szCs w:val="22"/>
        </w:rPr>
        <w:t xml:space="preserve">Opatrenia ESF zamerané na zvýšenie miery zamestnanosti </w:t>
      </w:r>
      <w:r w:rsidR="00BD5FD5">
        <w:rPr>
          <w:rFonts w:asciiTheme="majorHAnsi" w:hAnsiTheme="majorHAnsi"/>
          <w:noProof/>
          <w:szCs w:val="22"/>
        </w:rPr>
        <w:t>s</w:t>
      </w:r>
      <w:r w:rsidRPr="00A11FE0">
        <w:rPr>
          <w:rFonts w:asciiTheme="majorHAnsi" w:hAnsiTheme="majorHAnsi"/>
          <w:noProof/>
          <w:szCs w:val="22"/>
        </w:rPr>
        <w:t xml:space="preserve">a budú realizovať na celom území </w:t>
      </w:r>
      <w:r w:rsidR="00BD5FD5">
        <w:rPr>
          <w:rFonts w:asciiTheme="majorHAnsi" w:hAnsiTheme="majorHAnsi"/>
          <w:noProof/>
          <w:szCs w:val="22"/>
        </w:rPr>
        <w:t>S</w:t>
      </w:r>
      <w:r w:rsidRPr="00A11FE0">
        <w:rPr>
          <w:rFonts w:asciiTheme="majorHAnsi" w:hAnsiTheme="majorHAnsi"/>
          <w:noProof/>
          <w:szCs w:val="22"/>
        </w:rPr>
        <w:t xml:space="preserve">R. Najlepšie predpoklady pre </w:t>
      </w:r>
      <w:r w:rsidR="00BD5FD5">
        <w:rPr>
          <w:rFonts w:asciiTheme="majorHAnsi" w:hAnsiTheme="majorHAnsi"/>
          <w:noProof/>
          <w:szCs w:val="22"/>
        </w:rPr>
        <w:t>a</w:t>
      </w:r>
      <w:r w:rsidRPr="00A11FE0">
        <w:rPr>
          <w:rFonts w:asciiTheme="majorHAnsi" w:hAnsiTheme="majorHAnsi"/>
          <w:noProof/>
          <w:szCs w:val="22"/>
        </w:rPr>
        <w:t xml:space="preserve">bsorpciu podporovaných investícií </w:t>
      </w:r>
      <w:r w:rsidR="0063767D">
        <w:rPr>
          <w:rFonts w:asciiTheme="majorHAnsi" w:hAnsiTheme="majorHAnsi"/>
          <w:noProof/>
          <w:szCs w:val="22"/>
        </w:rPr>
        <w:t>majú</w:t>
      </w:r>
      <w:r w:rsidRPr="00A11FE0">
        <w:rPr>
          <w:rFonts w:asciiTheme="majorHAnsi" w:hAnsiTheme="majorHAnsi"/>
          <w:noProof/>
          <w:szCs w:val="22"/>
        </w:rPr>
        <w:t xml:space="preserve"> centrá, územia ťažísk osídlenia, </w:t>
      </w:r>
      <w:r w:rsidR="00BD5FD5">
        <w:rPr>
          <w:rFonts w:asciiTheme="majorHAnsi" w:hAnsiTheme="majorHAnsi"/>
          <w:noProof/>
          <w:szCs w:val="22"/>
        </w:rPr>
        <w:t>ak</w:t>
      </w:r>
      <w:r w:rsidRPr="00A11FE0">
        <w:rPr>
          <w:rFonts w:asciiTheme="majorHAnsi" w:hAnsiTheme="majorHAnsi"/>
          <w:noProof/>
          <w:szCs w:val="22"/>
        </w:rPr>
        <w:t xml:space="preserve">o </w:t>
      </w:r>
      <w:r w:rsidR="00BD5FD5">
        <w:rPr>
          <w:rFonts w:asciiTheme="majorHAnsi" w:hAnsiTheme="majorHAnsi"/>
          <w:noProof/>
          <w:szCs w:val="22"/>
        </w:rPr>
        <w:t>a</w:t>
      </w:r>
      <w:r w:rsidRPr="00A11FE0">
        <w:rPr>
          <w:rFonts w:asciiTheme="majorHAnsi" w:hAnsiTheme="majorHAnsi"/>
          <w:noProof/>
          <w:szCs w:val="22"/>
        </w:rPr>
        <w:t xml:space="preserve">j miestne centrá v území ostatných obcí ležiacich na rozvojových osiach. </w:t>
      </w:r>
      <w:r w:rsidR="0010675E">
        <w:rPr>
          <w:rFonts w:asciiTheme="majorHAnsi" w:hAnsiTheme="majorHAnsi"/>
          <w:noProof/>
          <w:szCs w:val="22"/>
        </w:rPr>
        <w:t xml:space="preserve">Opatrenia EFRR sa budú realizovať v mestskom aj vidieckom prostredí. </w:t>
      </w:r>
      <w:r w:rsidR="00BD5FD5">
        <w:rPr>
          <w:rFonts w:asciiTheme="majorHAnsi" w:hAnsiTheme="majorHAnsi"/>
          <w:noProof/>
          <w:szCs w:val="22"/>
        </w:rPr>
        <w:t>K</w:t>
      </w:r>
      <w:r w:rsidRPr="00A11FE0">
        <w:rPr>
          <w:rFonts w:asciiTheme="majorHAnsi" w:hAnsiTheme="majorHAnsi"/>
          <w:szCs w:val="22"/>
        </w:rPr>
        <w:t xml:space="preserve">ľúčové opatrenia EPFRV </w:t>
      </w:r>
      <w:r w:rsidR="00BD5FD5">
        <w:rPr>
          <w:rFonts w:asciiTheme="majorHAnsi" w:hAnsiTheme="majorHAnsi"/>
          <w:szCs w:val="22"/>
        </w:rPr>
        <w:t>a </w:t>
      </w:r>
      <w:r w:rsidRPr="00A11FE0">
        <w:rPr>
          <w:rFonts w:asciiTheme="majorHAnsi" w:hAnsiTheme="majorHAnsi"/>
          <w:szCs w:val="22"/>
        </w:rPr>
        <w:t>ENR</w:t>
      </w:r>
      <w:r w:rsidR="005810C3" w:rsidRPr="00A11FE0">
        <w:rPr>
          <w:rFonts w:asciiTheme="majorHAnsi" w:hAnsiTheme="majorHAnsi"/>
          <w:szCs w:val="22"/>
        </w:rPr>
        <w:t>F</w:t>
      </w:r>
      <w:r w:rsidRPr="00A11FE0">
        <w:rPr>
          <w:rFonts w:asciiTheme="majorHAnsi" w:hAnsiTheme="majorHAnsi"/>
          <w:szCs w:val="22"/>
        </w:rPr>
        <w:t xml:space="preserve"> </w:t>
      </w:r>
      <w:r w:rsidRPr="00A11FE0">
        <w:rPr>
          <w:rFonts w:asciiTheme="majorHAnsi" w:hAnsiTheme="majorHAnsi"/>
          <w:noProof/>
          <w:szCs w:val="22"/>
        </w:rPr>
        <w:t xml:space="preserve">vo vidieckych oblastiach </w:t>
      </w:r>
      <w:r w:rsidR="0063767D">
        <w:rPr>
          <w:rFonts w:asciiTheme="majorHAnsi" w:hAnsiTheme="majorHAnsi"/>
          <w:noProof/>
          <w:szCs w:val="22"/>
        </w:rPr>
        <w:t xml:space="preserve">je vhodné </w:t>
      </w:r>
      <w:r w:rsidRPr="00A11FE0">
        <w:rPr>
          <w:rFonts w:asciiTheme="majorHAnsi" w:hAnsiTheme="majorHAnsi"/>
          <w:noProof/>
          <w:szCs w:val="22"/>
        </w:rPr>
        <w:t xml:space="preserve">lokalizovať do územia ostatných obcí. Opatrenia na integráciu obyvateľov </w:t>
      </w:r>
      <w:r w:rsidR="00992CAB">
        <w:rPr>
          <w:rFonts w:asciiTheme="majorHAnsi" w:hAnsiTheme="majorHAnsi"/>
          <w:szCs w:val="22"/>
        </w:rPr>
        <w:t>MRK</w:t>
      </w:r>
      <w:r w:rsidRPr="00A11FE0">
        <w:rPr>
          <w:rFonts w:asciiTheme="majorHAnsi" w:hAnsiTheme="majorHAnsi"/>
          <w:szCs w:val="22"/>
        </w:rPr>
        <w:t xml:space="preserve"> </w:t>
      </w:r>
      <w:r w:rsidR="0063767D">
        <w:rPr>
          <w:rFonts w:asciiTheme="majorHAnsi" w:hAnsiTheme="majorHAnsi"/>
          <w:szCs w:val="22"/>
        </w:rPr>
        <w:t xml:space="preserve">by sa mali </w:t>
      </w:r>
      <w:r w:rsidRPr="00A11FE0">
        <w:rPr>
          <w:rFonts w:asciiTheme="majorHAnsi" w:hAnsiTheme="majorHAnsi"/>
          <w:szCs w:val="22"/>
        </w:rPr>
        <w:t>lokalizovať do území identifikovaných v</w:t>
      </w:r>
      <w:r w:rsidR="007D717C" w:rsidRPr="00A11FE0">
        <w:rPr>
          <w:rFonts w:asciiTheme="majorHAnsi" w:hAnsiTheme="majorHAnsi"/>
          <w:szCs w:val="22"/>
        </w:rPr>
        <w:t> </w:t>
      </w:r>
      <w:r w:rsidR="00BD5FD5">
        <w:rPr>
          <w:rFonts w:asciiTheme="majorHAnsi" w:hAnsiTheme="majorHAnsi"/>
          <w:szCs w:val="22"/>
        </w:rPr>
        <w:t>A</w:t>
      </w:r>
      <w:r w:rsidRPr="00A11FE0">
        <w:rPr>
          <w:rFonts w:asciiTheme="majorHAnsi" w:hAnsiTheme="majorHAnsi"/>
          <w:szCs w:val="22"/>
        </w:rPr>
        <w:t>tlase</w:t>
      </w:r>
      <w:r w:rsidR="007D717C" w:rsidRPr="00A11FE0">
        <w:rPr>
          <w:rFonts w:asciiTheme="majorHAnsi" w:hAnsiTheme="majorHAnsi"/>
          <w:szCs w:val="22"/>
        </w:rPr>
        <w:t xml:space="preserve"> </w:t>
      </w:r>
      <w:r w:rsidRPr="00A11FE0">
        <w:rPr>
          <w:rFonts w:asciiTheme="majorHAnsi" w:hAnsiTheme="majorHAnsi"/>
          <w:szCs w:val="22"/>
        </w:rPr>
        <w:t xml:space="preserve">rómskych </w:t>
      </w:r>
      <w:r w:rsidR="00BD5FD5">
        <w:rPr>
          <w:rFonts w:asciiTheme="majorHAnsi" w:hAnsiTheme="majorHAnsi"/>
          <w:szCs w:val="22"/>
        </w:rPr>
        <w:t>k</w:t>
      </w:r>
      <w:r w:rsidRPr="00A11FE0">
        <w:rPr>
          <w:rFonts w:asciiTheme="majorHAnsi" w:hAnsiTheme="majorHAnsi"/>
          <w:szCs w:val="22"/>
        </w:rPr>
        <w:t>omunít 2013.</w:t>
      </w:r>
    </w:p>
    <w:p w:rsidR="00406C25" w:rsidRPr="00A11FE0" w:rsidRDefault="00406C25" w:rsidP="00723936">
      <w:pPr>
        <w:pStyle w:val="Nadpis4"/>
        <w:numPr>
          <w:ilvl w:val="3"/>
          <w:numId w:val="2"/>
        </w:numPr>
      </w:pPr>
      <w:bookmarkStart w:id="190" w:name="_Toc373169703"/>
      <w:r w:rsidRPr="00A11FE0">
        <w:t>TC</w:t>
      </w:r>
      <w:r w:rsidR="00665324">
        <w:t xml:space="preserve"> </w:t>
      </w:r>
      <w:r w:rsidRPr="00A11FE0">
        <w:t xml:space="preserve">10: Investovanie do vzdelania, </w:t>
      </w:r>
      <w:r w:rsidR="007B1C1C" w:rsidRPr="00A11FE0">
        <w:t xml:space="preserve">školení </w:t>
      </w:r>
      <w:r w:rsidR="00BD5FD5">
        <w:t>a </w:t>
      </w:r>
      <w:r w:rsidR="007B1C1C" w:rsidRPr="00A11FE0">
        <w:t xml:space="preserve">odbornej prípravy, </w:t>
      </w:r>
      <w:r w:rsidR="00BD5FD5">
        <w:t>ak</w:t>
      </w:r>
      <w:r w:rsidR="007B1C1C" w:rsidRPr="00A11FE0">
        <w:t xml:space="preserve">o </w:t>
      </w:r>
      <w:r w:rsidR="00BD5FD5">
        <w:t>a</w:t>
      </w:r>
      <w:r w:rsidR="007B1C1C" w:rsidRPr="00A11FE0">
        <w:t xml:space="preserve">j </w:t>
      </w:r>
      <w:r w:rsidRPr="00A11FE0">
        <w:t xml:space="preserve">zručností </w:t>
      </w:r>
      <w:r w:rsidR="00BD5FD5">
        <w:t>a </w:t>
      </w:r>
      <w:r w:rsidRPr="00A11FE0">
        <w:t>celoživotného vzdelávania</w:t>
      </w:r>
      <w:bookmarkEnd w:id="190"/>
    </w:p>
    <w:p w:rsidR="00406C25" w:rsidRPr="00A11FE0" w:rsidRDefault="00406C25" w:rsidP="00406C25">
      <w:pPr>
        <w:rPr>
          <w:rFonts w:asciiTheme="majorHAnsi" w:hAnsiTheme="majorHAnsi"/>
          <w:szCs w:val="22"/>
        </w:rPr>
      </w:pPr>
      <w:r w:rsidRPr="00A11FE0">
        <w:rPr>
          <w:rFonts w:asciiTheme="majorHAnsi" w:hAnsiTheme="majorHAnsi"/>
        </w:rPr>
        <w:t xml:space="preserve">Hlavnou výzvou v oblasti vzdelávania je prepojenie obsahu vzdelávania </w:t>
      </w:r>
      <w:r w:rsidR="00BD5FD5">
        <w:rPr>
          <w:rFonts w:asciiTheme="majorHAnsi" w:hAnsiTheme="majorHAnsi"/>
        </w:rPr>
        <w:t>s </w:t>
      </w:r>
      <w:r w:rsidRPr="00A11FE0">
        <w:rPr>
          <w:rFonts w:asciiTheme="majorHAnsi" w:hAnsiTheme="majorHAnsi"/>
        </w:rPr>
        <w:t xml:space="preserve">potrebami trhu práce, </w:t>
      </w:r>
      <w:r w:rsidR="00BD5FD5">
        <w:rPr>
          <w:rFonts w:asciiTheme="majorHAnsi" w:hAnsiTheme="majorHAnsi"/>
        </w:rPr>
        <w:t>a </w:t>
      </w:r>
      <w:r w:rsidRPr="00A11FE0">
        <w:rPr>
          <w:rFonts w:asciiTheme="majorHAnsi" w:hAnsiTheme="majorHAnsi"/>
        </w:rPr>
        <w:t xml:space="preserve">to prostredníctvom </w:t>
      </w:r>
      <w:r w:rsidRPr="00A11FE0">
        <w:rPr>
          <w:rFonts w:asciiTheme="majorHAnsi" w:hAnsiTheme="majorHAnsi"/>
          <w:szCs w:val="22"/>
        </w:rPr>
        <w:t xml:space="preserve">zvýšenia </w:t>
      </w:r>
      <w:r w:rsidR="00BD5FD5">
        <w:rPr>
          <w:rFonts w:asciiTheme="majorHAnsi" w:hAnsiTheme="majorHAnsi"/>
          <w:szCs w:val="22"/>
        </w:rPr>
        <w:t>k</w:t>
      </w:r>
      <w:r w:rsidRPr="00A11FE0">
        <w:rPr>
          <w:rFonts w:asciiTheme="majorHAnsi" w:hAnsiTheme="majorHAnsi"/>
          <w:szCs w:val="22"/>
        </w:rPr>
        <w:t xml:space="preserve">vality vzdelávania na všetkých </w:t>
      </w:r>
      <w:r w:rsidR="00BD5FD5">
        <w:rPr>
          <w:rFonts w:asciiTheme="majorHAnsi" w:hAnsiTheme="majorHAnsi"/>
          <w:szCs w:val="22"/>
        </w:rPr>
        <w:t>s</w:t>
      </w:r>
      <w:r w:rsidRPr="00A11FE0">
        <w:rPr>
          <w:rFonts w:asciiTheme="majorHAnsi" w:hAnsiTheme="majorHAnsi"/>
          <w:szCs w:val="22"/>
        </w:rPr>
        <w:t xml:space="preserve">tupňoch škôl od predprimárneho vzdelávania </w:t>
      </w:r>
      <w:r w:rsidR="00BD5FD5">
        <w:rPr>
          <w:rFonts w:asciiTheme="majorHAnsi" w:hAnsiTheme="majorHAnsi"/>
          <w:szCs w:val="22"/>
        </w:rPr>
        <w:t>a</w:t>
      </w:r>
      <w:r w:rsidRPr="00A11FE0">
        <w:rPr>
          <w:rFonts w:asciiTheme="majorHAnsi" w:hAnsiTheme="majorHAnsi"/>
          <w:szCs w:val="22"/>
        </w:rPr>
        <w:t>ž po terciárne vrátane celoživotného vzdelávania</w:t>
      </w:r>
      <w:r w:rsidR="00992CAB">
        <w:rPr>
          <w:rFonts w:asciiTheme="majorHAnsi" w:hAnsiTheme="majorHAnsi"/>
          <w:szCs w:val="22"/>
        </w:rPr>
        <w:t>,</w:t>
      </w:r>
      <w:r w:rsidRPr="00A11FE0">
        <w:rPr>
          <w:rFonts w:asciiTheme="majorHAnsi" w:hAnsiTheme="majorHAnsi"/>
          <w:szCs w:val="22"/>
        </w:rPr>
        <w:t xml:space="preserve"> </w:t>
      </w:r>
      <w:r w:rsidR="00BD5FD5">
        <w:rPr>
          <w:rFonts w:asciiTheme="majorHAnsi" w:hAnsiTheme="majorHAnsi"/>
          <w:szCs w:val="22"/>
        </w:rPr>
        <w:t>s </w:t>
      </w:r>
      <w:r w:rsidRPr="00A11FE0">
        <w:rPr>
          <w:rFonts w:asciiTheme="majorHAnsi" w:hAnsiTheme="majorHAnsi"/>
          <w:szCs w:val="22"/>
        </w:rPr>
        <w:t>dôrazom na inkluzívny rozmer poskytovaného vzdelávania</w:t>
      </w:r>
      <w:r w:rsidR="004E7E29">
        <w:rPr>
          <w:rFonts w:asciiTheme="majorHAnsi" w:hAnsiTheme="majorHAnsi"/>
          <w:szCs w:val="22"/>
        </w:rPr>
        <w:t>, najmä pre MRK.</w:t>
      </w:r>
      <w:r w:rsidRPr="00A11FE0">
        <w:rPr>
          <w:rFonts w:asciiTheme="majorHAnsi" w:hAnsiTheme="majorHAnsi"/>
          <w:szCs w:val="22"/>
        </w:rPr>
        <w:t xml:space="preserve"> Je dôležité, </w:t>
      </w:r>
      <w:r w:rsidR="00BD5FD5">
        <w:rPr>
          <w:rFonts w:asciiTheme="majorHAnsi" w:hAnsiTheme="majorHAnsi"/>
          <w:szCs w:val="22"/>
        </w:rPr>
        <w:t>a</w:t>
      </w:r>
      <w:r w:rsidRPr="00A11FE0">
        <w:rPr>
          <w:rFonts w:asciiTheme="majorHAnsi" w:hAnsiTheme="majorHAnsi"/>
          <w:szCs w:val="22"/>
        </w:rPr>
        <w:t xml:space="preserve">by znevýhodnené </w:t>
      </w:r>
      <w:r w:rsidR="00BD5FD5">
        <w:rPr>
          <w:rFonts w:asciiTheme="majorHAnsi" w:hAnsiTheme="majorHAnsi"/>
          <w:szCs w:val="22"/>
        </w:rPr>
        <w:t>s</w:t>
      </w:r>
      <w:r w:rsidRPr="00A11FE0">
        <w:rPr>
          <w:rFonts w:asciiTheme="majorHAnsi" w:hAnsiTheme="majorHAnsi"/>
          <w:szCs w:val="22"/>
        </w:rPr>
        <w:t xml:space="preserve">kupiny mali rovnaký prístup </w:t>
      </w:r>
      <w:r w:rsidR="00BD5FD5">
        <w:rPr>
          <w:rFonts w:asciiTheme="majorHAnsi" w:hAnsiTheme="majorHAnsi"/>
          <w:szCs w:val="22"/>
        </w:rPr>
        <w:t>k </w:t>
      </w:r>
      <w:r w:rsidRPr="00A11FE0">
        <w:rPr>
          <w:rFonts w:asciiTheme="majorHAnsi" w:hAnsiTheme="majorHAnsi"/>
          <w:szCs w:val="22"/>
        </w:rPr>
        <w:t xml:space="preserve">vzdelaniu </w:t>
      </w:r>
      <w:r w:rsidR="00BD5FD5">
        <w:rPr>
          <w:rFonts w:asciiTheme="majorHAnsi" w:hAnsiTheme="majorHAnsi"/>
          <w:szCs w:val="22"/>
        </w:rPr>
        <w:t>a</w:t>
      </w:r>
      <w:r w:rsidRPr="00A11FE0">
        <w:rPr>
          <w:rFonts w:asciiTheme="majorHAnsi" w:hAnsiTheme="majorHAnsi"/>
          <w:szCs w:val="22"/>
        </w:rPr>
        <w:t xml:space="preserve"> následne </w:t>
      </w:r>
      <w:r w:rsidR="00BD5FD5">
        <w:rPr>
          <w:rFonts w:asciiTheme="majorHAnsi" w:hAnsiTheme="majorHAnsi"/>
          <w:szCs w:val="22"/>
        </w:rPr>
        <w:t>a</w:t>
      </w:r>
      <w:r w:rsidRPr="00A11FE0">
        <w:rPr>
          <w:rFonts w:asciiTheme="majorHAnsi" w:hAnsiTheme="majorHAnsi"/>
          <w:szCs w:val="22"/>
        </w:rPr>
        <w:t>j uplatneniu na trhu práce</w:t>
      </w:r>
      <w:r w:rsidR="004E7E29">
        <w:rPr>
          <w:rFonts w:asciiTheme="majorHAnsi" w:hAnsiTheme="majorHAnsi"/>
          <w:szCs w:val="22"/>
        </w:rPr>
        <w:t>.</w:t>
      </w:r>
    </w:p>
    <w:p w:rsidR="00406C25" w:rsidRPr="00A11FE0" w:rsidRDefault="00BD5FD5" w:rsidP="00723936">
      <w:pPr>
        <w:pStyle w:val="Nadpis5"/>
        <w:numPr>
          <w:ilvl w:val="4"/>
          <w:numId w:val="2"/>
        </w:numPr>
        <w:ind w:left="1292"/>
      </w:pPr>
      <w:r>
        <w:rPr>
          <w:szCs w:val="22"/>
        </w:rPr>
        <w:t>K</w:t>
      </w:r>
      <w:r w:rsidR="00406C25" w:rsidRPr="00A11FE0">
        <w:rPr>
          <w:szCs w:val="22"/>
        </w:rPr>
        <w:t>valita školského vzdelávania</w:t>
      </w:r>
    </w:p>
    <w:p w:rsidR="00406C25" w:rsidRPr="00A11FE0" w:rsidRDefault="00406C25" w:rsidP="00723936">
      <w:pPr>
        <w:pStyle w:val="Nadpis6"/>
        <w:numPr>
          <w:ilvl w:val="5"/>
          <w:numId w:val="2"/>
        </w:numPr>
      </w:pPr>
      <w:r w:rsidRPr="00A11FE0">
        <w:t>Materské školy</w:t>
      </w:r>
    </w:p>
    <w:p w:rsidR="00406C25" w:rsidRPr="00A11FE0" w:rsidRDefault="00BD5FD5" w:rsidP="00406C25">
      <w:pPr>
        <w:rPr>
          <w:rFonts w:asciiTheme="majorHAnsi" w:hAnsiTheme="majorHAnsi"/>
          <w:szCs w:val="22"/>
        </w:rPr>
      </w:pPr>
      <w:r>
        <w:rPr>
          <w:rFonts w:asciiTheme="majorHAnsi" w:hAnsiTheme="majorHAnsi"/>
          <w:szCs w:val="22"/>
        </w:rPr>
        <w:t>K</w:t>
      </w:r>
      <w:r w:rsidR="00406C25" w:rsidRPr="00A11FE0">
        <w:rPr>
          <w:rFonts w:asciiTheme="majorHAnsi" w:hAnsiTheme="majorHAnsi"/>
          <w:szCs w:val="22"/>
        </w:rPr>
        <w:t xml:space="preserve">valitné predprimárne vzdelávanie tvorí nenahraditeľný základ výchovy </w:t>
      </w:r>
      <w:r>
        <w:rPr>
          <w:rFonts w:asciiTheme="majorHAnsi" w:hAnsiTheme="majorHAnsi"/>
          <w:szCs w:val="22"/>
        </w:rPr>
        <w:t>k</w:t>
      </w:r>
      <w:r w:rsidR="00406C25" w:rsidRPr="00A11FE0">
        <w:rPr>
          <w:rFonts w:asciiTheme="majorHAnsi" w:hAnsiTheme="majorHAnsi"/>
          <w:szCs w:val="22"/>
        </w:rPr>
        <w:t xml:space="preserve">valitného ľudského potenciálu vedomostnej </w:t>
      </w:r>
      <w:r>
        <w:rPr>
          <w:rFonts w:asciiTheme="majorHAnsi" w:hAnsiTheme="majorHAnsi"/>
          <w:szCs w:val="22"/>
        </w:rPr>
        <w:t>s</w:t>
      </w:r>
      <w:r w:rsidR="00406C25" w:rsidRPr="00A11FE0">
        <w:rPr>
          <w:rFonts w:asciiTheme="majorHAnsi" w:hAnsiTheme="majorHAnsi"/>
          <w:szCs w:val="22"/>
        </w:rPr>
        <w:t>poločnosti. Na základe prognózy</w:t>
      </w:r>
      <w:r w:rsidR="00406C25" w:rsidRPr="00A11FE0">
        <w:rPr>
          <w:rStyle w:val="Odkaznapoznmkupodiarou"/>
          <w:rFonts w:asciiTheme="majorHAnsi" w:hAnsiTheme="majorHAnsi"/>
          <w:szCs w:val="22"/>
        </w:rPr>
        <w:footnoteReference w:id="143"/>
      </w:r>
      <w:r w:rsidR="00406C25" w:rsidRPr="00A11FE0">
        <w:rPr>
          <w:rFonts w:asciiTheme="majorHAnsi" w:hAnsiTheme="majorHAnsi"/>
          <w:szCs w:val="22"/>
        </w:rPr>
        <w:t xml:space="preserve"> v </w:t>
      </w:r>
      <w:r>
        <w:rPr>
          <w:rFonts w:asciiTheme="majorHAnsi" w:hAnsiTheme="majorHAnsi"/>
          <w:szCs w:val="22"/>
        </w:rPr>
        <w:t>s</w:t>
      </w:r>
      <w:r w:rsidR="00406C25" w:rsidRPr="00A11FE0">
        <w:rPr>
          <w:rFonts w:asciiTheme="majorHAnsi" w:hAnsiTheme="majorHAnsi"/>
          <w:szCs w:val="22"/>
        </w:rPr>
        <w:t xml:space="preserve">účasnosti prebieha fáza zvyšovania počtu detí, </w:t>
      </w:r>
      <w:r>
        <w:rPr>
          <w:rFonts w:asciiTheme="majorHAnsi" w:hAnsiTheme="majorHAnsi"/>
          <w:szCs w:val="22"/>
        </w:rPr>
        <w:t>k</w:t>
      </w:r>
      <w:r w:rsidR="00406C25" w:rsidRPr="00A11FE0">
        <w:rPr>
          <w:rFonts w:asciiTheme="majorHAnsi" w:hAnsiTheme="majorHAnsi"/>
          <w:szCs w:val="22"/>
        </w:rPr>
        <w:t xml:space="preserve">torá bude trvať do roku 2017. Vo všeobecnosti MŠ nie </w:t>
      </w:r>
      <w:r>
        <w:rPr>
          <w:rFonts w:asciiTheme="majorHAnsi" w:hAnsiTheme="majorHAnsi"/>
          <w:szCs w:val="22"/>
        </w:rPr>
        <w:t>s</w:t>
      </w:r>
      <w:r w:rsidR="00406C25" w:rsidRPr="00A11FE0">
        <w:rPr>
          <w:rFonts w:asciiTheme="majorHAnsi" w:hAnsiTheme="majorHAnsi"/>
          <w:szCs w:val="22"/>
        </w:rPr>
        <w:t>ú na nárast počtu detí dostatočne pripravené</w:t>
      </w:r>
      <w:r w:rsidR="00406C25" w:rsidRPr="00A11FE0">
        <w:rPr>
          <w:rStyle w:val="Odkaznapoznmkupodiarou"/>
          <w:rFonts w:asciiTheme="majorHAnsi" w:hAnsiTheme="majorHAnsi"/>
          <w:szCs w:val="22"/>
        </w:rPr>
        <w:footnoteReference w:id="144"/>
      </w:r>
      <w:r w:rsidR="00406C25" w:rsidRPr="00A11FE0">
        <w:rPr>
          <w:rFonts w:asciiTheme="majorHAnsi" w:hAnsiTheme="majorHAnsi"/>
          <w:szCs w:val="22"/>
        </w:rPr>
        <w:t>.</w:t>
      </w:r>
    </w:p>
    <w:p w:rsidR="00406C25" w:rsidRPr="00A11FE0" w:rsidRDefault="00406C25" w:rsidP="00406C25">
      <w:pPr>
        <w:rPr>
          <w:rFonts w:asciiTheme="majorHAnsi" w:hAnsiTheme="majorHAnsi"/>
          <w:szCs w:val="22"/>
        </w:rPr>
      </w:pPr>
      <w:r w:rsidRPr="00A11FE0">
        <w:rPr>
          <w:rFonts w:asciiTheme="majorHAnsi" w:hAnsiTheme="majorHAnsi"/>
          <w:szCs w:val="22"/>
        </w:rPr>
        <w:t>V</w:t>
      </w:r>
      <w:r w:rsidR="00F05143">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účasnosti</w:t>
      </w:r>
      <w:r w:rsidR="00F05143">
        <w:rPr>
          <w:rFonts w:asciiTheme="majorHAnsi" w:hAnsiTheme="majorHAnsi"/>
          <w:szCs w:val="22"/>
        </w:rPr>
        <w:t xml:space="preserve"> </w:t>
      </w:r>
      <w:r w:rsidRPr="00A11FE0">
        <w:rPr>
          <w:rFonts w:asciiTheme="majorHAnsi" w:hAnsiTheme="majorHAnsi"/>
          <w:szCs w:val="22"/>
        </w:rPr>
        <w:t>je hrubá zaškolenosť detí v</w:t>
      </w:r>
      <w:r w:rsidR="000E5BBB">
        <w:rPr>
          <w:rFonts w:asciiTheme="majorHAnsi" w:hAnsiTheme="majorHAnsi"/>
          <w:szCs w:val="22"/>
        </w:rPr>
        <w:t> </w:t>
      </w:r>
      <w:r w:rsidR="00D73024">
        <w:rPr>
          <w:rFonts w:asciiTheme="majorHAnsi" w:hAnsiTheme="majorHAnsi"/>
          <w:szCs w:val="22"/>
        </w:rPr>
        <w:t>MŠ</w:t>
      </w:r>
      <w:r w:rsidRPr="00A11FE0">
        <w:rPr>
          <w:rFonts w:asciiTheme="majorHAnsi" w:hAnsiTheme="majorHAnsi"/>
          <w:szCs w:val="22"/>
        </w:rPr>
        <w:t xml:space="preserve"> 87 %. V</w:t>
      </w:r>
      <w:r w:rsidR="00F05143">
        <w:rPr>
          <w:rFonts w:asciiTheme="majorHAnsi" w:hAnsiTheme="majorHAnsi"/>
          <w:szCs w:val="22"/>
        </w:rPr>
        <w:t> </w:t>
      </w:r>
      <w:r w:rsidRPr="00A11FE0">
        <w:rPr>
          <w:rFonts w:asciiTheme="majorHAnsi" w:hAnsiTheme="majorHAnsi"/>
          <w:szCs w:val="22"/>
        </w:rPr>
        <w:t>medzinárodnom</w:t>
      </w:r>
      <w:r w:rsidR="00F05143">
        <w:rPr>
          <w:rFonts w:asciiTheme="majorHAnsi" w:hAnsiTheme="majorHAnsi"/>
          <w:szCs w:val="22"/>
        </w:rPr>
        <w:t xml:space="preserve"> </w:t>
      </w:r>
      <w:r w:rsidRPr="00A11FE0">
        <w:rPr>
          <w:rFonts w:asciiTheme="majorHAnsi" w:hAnsiTheme="majorHAnsi"/>
          <w:szCs w:val="22"/>
        </w:rPr>
        <w:t xml:space="preserve">porovnaní máme nižšiu účasť na predškolskej výchove </w:t>
      </w:r>
      <w:r w:rsidR="00BD5FD5">
        <w:rPr>
          <w:rFonts w:asciiTheme="majorHAnsi" w:hAnsiTheme="majorHAnsi"/>
          <w:szCs w:val="22"/>
        </w:rPr>
        <w:t>ak</w:t>
      </w:r>
      <w:r w:rsidRPr="00A11FE0">
        <w:rPr>
          <w:rFonts w:asciiTheme="majorHAnsi" w:hAnsiTheme="majorHAnsi"/>
          <w:szCs w:val="22"/>
        </w:rPr>
        <w:t xml:space="preserve">o je priemer </w:t>
      </w:r>
      <w:r w:rsidR="00BD5FD5">
        <w:rPr>
          <w:rFonts w:asciiTheme="majorHAnsi" w:hAnsiTheme="majorHAnsi"/>
          <w:szCs w:val="22"/>
        </w:rPr>
        <w:t>k</w:t>
      </w:r>
      <w:r w:rsidRPr="00A11FE0">
        <w:rPr>
          <w:rFonts w:asciiTheme="majorHAnsi" w:hAnsiTheme="majorHAnsi"/>
          <w:szCs w:val="22"/>
        </w:rPr>
        <w:t xml:space="preserve">rajín EÚ. Miera participácie rómskych detí na predškolskom </w:t>
      </w:r>
      <w:r w:rsidRPr="00A11FE0">
        <w:rPr>
          <w:rFonts w:asciiTheme="majorHAnsi" w:hAnsiTheme="majorHAnsi"/>
          <w:szCs w:val="22"/>
        </w:rPr>
        <w:lastRenderedPageBreak/>
        <w:t>vzdelávaní je v</w:t>
      </w:r>
      <w:r w:rsidR="00F05143">
        <w:rPr>
          <w:rFonts w:asciiTheme="majorHAnsi" w:hAnsiTheme="majorHAnsi"/>
          <w:szCs w:val="22"/>
        </w:rPr>
        <w:t> </w:t>
      </w:r>
      <w:r w:rsidRPr="00A11FE0">
        <w:rPr>
          <w:rFonts w:asciiTheme="majorHAnsi" w:hAnsiTheme="majorHAnsi"/>
          <w:szCs w:val="22"/>
        </w:rPr>
        <w:t xml:space="preserve">porovnaní </w:t>
      </w:r>
      <w:r w:rsidR="00BD5FD5">
        <w:rPr>
          <w:rFonts w:asciiTheme="majorHAnsi" w:hAnsiTheme="majorHAnsi"/>
          <w:szCs w:val="22"/>
        </w:rPr>
        <w:t>s </w:t>
      </w:r>
      <w:r w:rsidRPr="00A11FE0">
        <w:rPr>
          <w:rFonts w:asciiTheme="majorHAnsi" w:hAnsiTheme="majorHAnsi"/>
          <w:szCs w:val="22"/>
        </w:rPr>
        <w:t>nerómskou populáciou v</w:t>
      </w:r>
      <w:r w:rsidR="00F05143">
        <w:rPr>
          <w:rFonts w:asciiTheme="majorHAnsi" w:hAnsiTheme="majorHAnsi"/>
          <w:szCs w:val="22"/>
        </w:rPr>
        <w:t> </w:t>
      </w:r>
      <w:r w:rsidRPr="00A11FE0">
        <w:rPr>
          <w:rFonts w:asciiTheme="majorHAnsi" w:hAnsiTheme="majorHAnsi"/>
          <w:szCs w:val="22"/>
        </w:rPr>
        <w:t xml:space="preserve">danej lokalite výrazne nižšia. Nedostatočné, resp. obmedzené </w:t>
      </w:r>
      <w:r w:rsidR="00BD5FD5">
        <w:rPr>
          <w:rFonts w:asciiTheme="majorHAnsi" w:hAnsiTheme="majorHAnsi"/>
          <w:szCs w:val="22"/>
        </w:rPr>
        <w:t>k</w:t>
      </w:r>
      <w:r w:rsidRPr="00A11FE0">
        <w:rPr>
          <w:rFonts w:asciiTheme="majorHAnsi" w:hAnsiTheme="majorHAnsi"/>
          <w:szCs w:val="22"/>
        </w:rPr>
        <w:t xml:space="preserve">apacity zariadení MŠ </w:t>
      </w:r>
      <w:r w:rsidR="00BD5FD5">
        <w:rPr>
          <w:rFonts w:asciiTheme="majorHAnsi" w:hAnsiTheme="majorHAnsi"/>
          <w:szCs w:val="22"/>
        </w:rPr>
        <w:t>s</w:t>
      </w:r>
      <w:r w:rsidRPr="00A11FE0">
        <w:rPr>
          <w:rFonts w:asciiTheme="majorHAnsi" w:hAnsiTheme="majorHAnsi"/>
          <w:szCs w:val="22"/>
        </w:rPr>
        <w:t xml:space="preserve">ú hlavnými dôvodmi </w:t>
      </w:r>
      <w:r w:rsidR="00BD5FD5">
        <w:rPr>
          <w:rFonts w:asciiTheme="majorHAnsi" w:hAnsiTheme="majorHAnsi"/>
          <w:szCs w:val="22"/>
        </w:rPr>
        <w:t>a</w:t>
      </w:r>
      <w:r w:rsidRPr="00A11FE0">
        <w:rPr>
          <w:rFonts w:asciiTheme="majorHAnsi" w:hAnsiTheme="majorHAnsi"/>
          <w:szCs w:val="22"/>
        </w:rPr>
        <w:t>bsencie detí z</w:t>
      </w:r>
      <w:r w:rsidR="00A8202E">
        <w:rPr>
          <w:rFonts w:asciiTheme="majorHAnsi" w:hAnsiTheme="majorHAnsi"/>
          <w:szCs w:val="22"/>
        </w:rPr>
        <w:t> </w:t>
      </w:r>
      <w:r w:rsidRPr="00A11FE0">
        <w:rPr>
          <w:rFonts w:asciiTheme="majorHAnsi" w:hAnsiTheme="majorHAnsi"/>
          <w:szCs w:val="22"/>
        </w:rPr>
        <w:t>prostredia</w:t>
      </w:r>
      <w:r w:rsidR="00A8202E">
        <w:rPr>
          <w:rFonts w:asciiTheme="majorHAnsi" w:hAnsiTheme="majorHAnsi"/>
          <w:szCs w:val="22"/>
        </w:rPr>
        <w:t xml:space="preserve"> </w:t>
      </w:r>
      <w:r w:rsidR="00992CAB">
        <w:rPr>
          <w:rFonts w:asciiTheme="majorHAnsi" w:hAnsiTheme="majorHAnsi"/>
          <w:szCs w:val="22"/>
        </w:rPr>
        <w:t>MRK</w:t>
      </w:r>
      <w:r w:rsidRPr="00A11FE0">
        <w:rPr>
          <w:rFonts w:asciiTheme="majorHAnsi" w:hAnsiTheme="majorHAnsi"/>
          <w:szCs w:val="22"/>
        </w:rPr>
        <w:t xml:space="preserve"> v</w:t>
      </w:r>
      <w:r w:rsidR="00F05143">
        <w:rPr>
          <w:rFonts w:asciiTheme="majorHAnsi" w:hAnsiTheme="majorHAnsi"/>
          <w:szCs w:val="22"/>
        </w:rPr>
        <w:t> </w:t>
      </w:r>
      <w:r w:rsidRPr="00A11FE0">
        <w:rPr>
          <w:rFonts w:asciiTheme="majorHAnsi" w:hAnsiTheme="majorHAnsi"/>
          <w:szCs w:val="22"/>
        </w:rPr>
        <w:t>škôlkach. Prejavom je miera zaškolenosti</w:t>
      </w:r>
      <w:r w:rsidRPr="00A11FE0">
        <w:rPr>
          <w:rStyle w:val="Odkaznapoznmkupodiarou"/>
          <w:rFonts w:asciiTheme="majorHAnsi" w:hAnsiTheme="majorHAnsi"/>
          <w:szCs w:val="22"/>
        </w:rPr>
        <w:footnoteReference w:id="145"/>
      </w:r>
      <w:r w:rsidRPr="00A11FE0">
        <w:rPr>
          <w:rFonts w:asciiTheme="majorHAnsi" w:hAnsiTheme="majorHAnsi"/>
          <w:szCs w:val="22"/>
        </w:rPr>
        <w:t xml:space="preserve"> (87 % vs. 53 % v prospech majoritnej populácie).</w:t>
      </w:r>
    </w:p>
    <w:p w:rsidR="00406C25" w:rsidRPr="00A11FE0" w:rsidRDefault="00406C25" w:rsidP="00406C25">
      <w:pPr>
        <w:rPr>
          <w:rFonts w:asciiTheme="majorHAnsi" w:hAnsiTheme="majorHAnsi"/>
          <w:szCs w:val="22"/>
        </w:rPr>
      </w:pPr>
      <w:r w:rsidRPr="00A11FE0">
        <w:rPr>
          <w:rFonts w:asciiTheme="majorHAnsi" w:hAnsiTheme="majorHAnsi"/>
        </w:rPr>
        <w:t xml:space="preserve">Podľa hodnotenia </w:t>
      </w:r>
      <w:r w:rsidR="00BD5FD5">
        <w:rPr>
          <w:rFonts w:asciiTheme="majorHAnsi" w:hAnsiTheme="majorHAnsi"/>
        </w:rPr>
        <w:t>k</w:t>
      </w:r>
      <w:r w:rsidRPr="00A11FE0">
        <w:rPr>
          <w:rFonts w:asciiTheme="majorHAnsi" w:hAnsiTheme="majorHAnsi"/>
        </w:rPr>
        <w:t>vality MŠ</w:t>
      </w:r>
      <w:r w:rsidR="00D73024">
        <w:rPr>
          <w:rFonts w:asciiTheme="majorHAnsi" w:hAnsiTheme="majorHAnsi"/>
        </w:rPr>
        <w:t>,</w:t>
      </w:r>
      <w:r w:rsidRPr="00A11FE0">
        <w:rPr>
          <w:rFonts w:asciiTheme="majorHAnsi" w:hAnsiTheme="majorHAnsi"/>
        </w:rPr>
        <w:t xml:space="preserve"> Štátna školská inšpekcia </w:t>
      </w:r>
      <w:r w:rsidR="00BD5FD5">
        <w:rPr>
          <w:rFonts w:asciiTheme="majorHAnsi" w:hAnsiTheme="majorHAnsi"/>
        </w:rPr>
        <w:t>k</w:t>
      </w:r>
      <w:r w:rsidRPr="00A11FE0">
        <w:rPr>
          <w:rFonts w:asciiTheme="majorHAnsi" w:hAnsiTheme="majorHAnsi"/>
        </w:rPr>
        <w:t>onštatuje, že napriek vytvoreným dobrým materiálno</w:t>
      </w:r>
      <w:r w:rsidR="00100534">
        <w:rPr>
          <w:rFonts w:asciiTheme="majorHAnsi" w:hAnsiTheme="majorHAnsi"/>
        </w:rPr>
        <w:t xml:space="preserve"> -</w:t>
      </w:r>
      <w:r w:rsidR="000E5BBB">
        <w:rPr>
          <w:rFonts w:asciiTheme="majorHAnsi" w:hAnsiTheme="majorHAnsi"/>
        </w:rPr>
        <w:t>–</w:t>
      </w:r>
      <w:r w:rsidRPr="00A11FE0">
        <w:rPr>
          <w:rFonts w:asciiTheme="majorHAnsi" w:hAnsiTheme="majorHAnsi"/>
        </w:rPr>
        <w:t xml:space="preserve"> technickým podmienkam </w:t>
      </w:r>
      <w:r w:rsidR="00BD5FD5">
        <w:rPr>
          <w:rFonts w:asciiTheme="majorHAnsi" w:hAnsiTheme="majorHAnsi"/>
        </w:rPr>
        <w:t>s</w:t>
      </w:r>
      <w:r w:rsidRPr="00A11FE0">
        <w:rPr>
          <w:rFonts w:asciiTheme="majorHAnsi" w:hAnsiTheme="majorHAnsi"/>
        </w:rPr>
        <w:t xml:space="preserve">a prejavili nedostatky </w:t>
      </w:r>
      <w:r w:rsidR="00D73024">
        <w:rPr>
          <w:rFonts w:asciiTheme="majorHAnsi" w:hAnsiTheme="majorHAnsi"/>
        </w:rPr>
        <w:t xml:space="preserve">spôsobené </w:t>
      </w:r>
      <w:r w:rsidRPr="00A11FE0">
        <w:rPr>
          <w:rFonts w:asciiTheme="majorHAnsi" w:hAnsiTheme="majorHAnsi"/>
        </w:rPr>
        <w:t xml:space="preserve">predovšetkým priemernou, </w:t>
      </w:r>
      <w:r w:rsidR="00BD5FD5">
        <w:rPr>
          <w:rFonts w:asciiTheme="majorHAnsi" w:hAnsiTheme="majorHAnsi"/>
        </w:rPr>
        <w:t>a</w:t>
      </w:r>
      <w:r w:rsidRPr="00A11FE0">
        <w:rPr>
          <w:rFonts w:asciiTheme="majorHAnsi" w:hAnsiTheme="majorHAnsi"/>
        </w:rPr>
        <w:t>lebo málo vyhovujúcou úrovňou inklúzie</w:t>
      </w:r>
      <w:r w:rsidR="00100534">
        <w:rPr>
          <w:rFonts w:asciiTheme="majorHAnsi" w:hAnsiTheme="majorHAnsi"/>
        </w:rPr>
        <w:t>,</w:t>
      </w:r>
      <w:r w:rsidRPr="00A11FE0">
        <w:rPr>
          <w:rFonts w:asciiTheme="majorHAnsi" w:hAnsiTheme="majorHAnsi"/>
        </w:rPr>
        <w:t xml:space="preserve"> IKT gramotnos</w:t>
      </w:r>
      <w:r w:rsidR="00100534">
        <w:rPr>
          <w:rFonts w:asciiTheme="majorHAnsi" w:hAnsiTheme="majorHAnsi"/>
        </w:rPr>
        <w:t>ti</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informačn</w:t>
      </w:r>
      <w:r w:rsidR="00100534">
        <w:rPr>
          <w:rFonts w:asciiTheme="majorHAnsi" w:hAnsiTheme="majorHAnsi"/>
        </w:rPr>
        <w:t>ých</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ompetenci</w:t>
      </w:r>
      <w:r w:rsidR="00100534">
        <w:rPr>
          <w:rFonts w:asciiTheme="majorHAnsi" w:hAnsiTheme="majorHAnsi"/>
        </w:rPr>
        <w:t>í</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úrovňou rozvoja </w:t>
      </w:r>
      <w:r w:rsidR="00BD5FD5">
        <w:rPr>
          <w:rFonts w:asciiTheme="majorHAnsi" w:hAnsiTheme="majorHAnsi"/>
        </w:rPr>
        <w:t>k</w:t>
      </w:r>
      <w:r w:rsidRPr="00A11FE0">
        <w:rPr>
          <w:rFonts w:asciiTheme="majorHAnsi" w:hAnsiTheme="majorHAnsi"/>
        </w:rPr>
        <w:t xml:space="preserve">ognitívnych </w:t>
      </w:r>
      <w:r w:rsidR="00BD5FD5">
        <w:rPr>
          <w:rFonts w:asciiTheme="majorHAnsi" w:hAnsiTheme="majorHAnsi"/>
        </w:rPr>
        <w:t>k</w:t>
      </w:r>
      <w:r w:rsidRPr="00A11FE0">
        <w:rPr>
          <w:rFonts w:asciiTheme="majorHAnsi" w:hAnsiTheme="majorHAnsi"/>
        </w:rPr>
        <w:t>ompetencií detí</w:t>
      </w:r>
      <w:r w:rsidR="00100534">
        <w:rPr>
          <w:rStyle w:val="Odkaznapoznmkupodiarou"/>
          <w:rFonts w:asciiTheme="majorHAnsi" w:hAnsiTheme="majorHAnsi"/>
        </w:rPr>
        <w:footnoteReference w:id="146"/>
      </w:r>
      <w:r w:rsidR="000E5BBB">
        <w:rPr>
          <w:rFonts w:asciiTheme="majorHAnsi" w:hAnsiTheme="majorHAnsi"/>
        </w:rPr>
        <w:t>.</w:t>
      </w:r>
    </w:p>
    <w:p w:rsidR="00406C25" w:rsidRPr="00A11FE0" w:rsidRDefault="00406C25" w:rsidP="00723936">
      <w:pPr>
        <w:pStyle w:val="Nadpis6"/>
        <w:numPr>
          <w:ilvl w:val="5"/>
          <w:numId w:val="2"/>
        </w:numPr>
      </w:pPr>
      <w:r w:rsidRPr="00A11FE0">
        <w:t xml:space="preserve">Základné </w:t>
      </w:r>
      <w:r w:rsidR="00BD5FD5">
        <w:t>a</w:t>
      </w:r>
      <w:r w:rsidRPr="00A11FE0">
        <w:t> </w:t>
      </w:r>
      <w:r w:rsidR="00BD5FD5">
        <w:t>s</w:t>
      </w:r>
      <w:r w:rsidRPr="00A11FE0">
        <w:t>tredné školy</w:t>
      </w:r>
    </w:p>
    <w:p w:rsidR="00406C25" w:rsidRPr="00A11FE0" w:rsidRDefault="00BD5FD5" w:rsidP="00723936">
      <w:pPr>
        <w:pStyle w:val="Nadpis7"/>
        <w:numPr>
          <w:ilvl w:val="6"/>
          <w:numId w:val="2"/>
        </w:numPr>
      </w:pPr>
      <w:r>
        <w:t>S</w:t>
      </w:r>
      <w:r w:rsidR="00406C25" w:rsidRPr="00A11FE0">
        <w:t xml:space="preserve">ieť základných </w:t>
      </w:r>
      <w:r>
        <w:t>a s</w:t>
      </w:r>
      <w:r w:rsidR="00406C25" w:rsidRPr="00A11FE0">
        <w:t>tredných škôl</w:t>
      </w:r>
    </w:p>
    <w:p w:rsidR="00406C25" w:rsidRPr="00A11FE0" w:rsidRDefault="00BD5FD5" w:rsidP="00406C25">
      <w:pPr>
        <w:rPr>
          <w:rFonts w:asciiTheme="majorHAnsi" w:hAnsiTheme="majorHAnsi"/>
        </w:rPr>
      </w:pPr>
      <w:r>
        <w:rPr>
          <w:rFonts w:asciiTheme="majorHAnsi" w:hAnsiTheme="majorHAnsi"/>
        </w:rPr>
        <w:t>S</w:t>
      </w:r>
      <w:r w:rsidR="00406C25" w:rsidRPr="00A11FE0">
        <w:rPr>
          <w:rFonts w:asciiTheme="majorHAnsi" w:hAnsiTheme="majorHAnsi"/>
        </w:rPr>
        <w:t xml:space="preserve">ieť základných škôl </w:t>
      </w:r>
      <w:r w:rsidR="00992CAB">
        <w:rPr>
          <w:rFonts w:asciiTheme="majorHAnsi" w:hAnsiTheme="majorHAnsi"/>
        </w:rPr>
        <w:t xml:space="preserve">(ďalej len „ZŠ“) </w:t>
      </w:r>
      <w:r w:rsidR="00406C25" w:rsidRPr="00A11FE0">
        <w:rPr>
          <w:rFonts w:asciiTheme="majorHAnsi" w:hAnsiTheme="majorHAnsi"/>
        </w:rPr>
        <w:t xml:space="preserve">bola pod vplyvom </w:t>
      </w:r>
      <w:r>
        <w:rPr>
          <w:rFonts w:asciiTheme="majorHAnsi" w:hAnsiTheme="majorHAnsi"/>
        </w:rPr>
        <w:t>k</w:t>
      </w:r>
      <w:r w:rsidR="00406C25" w:rsidRPr="00A11FE0">
        <w:rPr>
          <w:rFonts w:asciiTheme="majorHAnsi" w:hAnsiTheme="majorHAnsi"/>
        </w:rPr>
        <w:t xml:space="preserve">lesajúcej demografickej </w:t>
      </w:r>
      <w:r>
        <w:rPr>
          <w:rFonts w:asciiTheme="majorHAnsi" w:hAnsiTheme="majorHAnsi"/>
        </w:rPr>
        <w:t>k</w:t>
      </w:r>
      <w:r w:rsidR="00406C25" w:rsidRPr="00A11FE0">
        <w:rPr>
          <w:rFonts w:asciiTheme="majorHAnsi" w:hAnsiTheme="majorHAnsi"/>
        </w:rPr>
        <w:t xml:space="preserve">rivky čiastočne racionalizovaná </w:t>
      </w:r>
      <w:r>
        <w:rPr>
          <w:rFonts w:asciiTheme="majorHAnsi" w:hAnsiTheme="majorHAnsi"/>
        </w:rPr>
        <w:t>a</w:t>
      </w:r>
      <w:r w:rsidR="007D717C" w:rsidRPr="00A11FE0">
        <w:rPr>
          <w:rFonts w:asciiTheme="majorHAnsi" w:hAnsiTheme="majorHAnsi"/>
        </w:rPr>
        <w:t> </w:t>
      </w:r>
      <w:r w:rsidR="00406C25" w:rsidRPr="00A11FE0">
        <w:rPr>
          <w:rFonts w:asciiTheme="majorHAnsi" w:hAnsiTheme="majorHAnsi"/>
        </w:rPr>
        <w:t xml:space="preserve">v posledných 10 rokoch je relatívne </w:t>
      </w:r>
      <w:r>
        <w:rPr>
          <w:rFonts w:asciiTheme="majorHAnsi" w:hAnsiTheme="majorHAnsi"/>
        </w:rPr>
        <w:t>s</w:t>
      </w:r>
      <w:r w:rsidR="00406C25" w:rsidRPr="00A11FE0">
        <w:rPr>
          <w:rFonts w:asciiTheme="majorHAnsi" w:hAnsiTheme="majorHAnsi"/>
        </w:rPr>
        <w:t>tabilná. V</w:t>
      </w:r>
      <w:r w:rsidR="009963B3">
        <w:rPr>
          <w:rFonts w:asciiTheme="majorHAnsi" w:hAnsiTheme="majorHAnsi"/>
        </w:rPr>
        <w:t> </w:t>
      </w:r>
      <w:r>
        <w:rPr>
          <w:rFonts w:asciiTheme="majorHAnsi" w:hAnsiTheme="majorHAnsi"/>
        </w:rPr>
        <w:t>s</w:t>
      </w:r>
      <w:r w:rsidR="00406C25" w:rsidRPr="00A11FE0">
        <w:rPr>
          <w:rFonts w:asciiTheme="majorHAnsi" w:hAnsiTheme="majorHAnsi"/>
        </w:rPr>
        <w:t xml:space="preserve">účasnosti evidujeme školy </w:t>
      </w:r>
      <w:r>
        <w:rPr>
          <w:rFonts w:asciiTheme="majorHAnsi" w:hAnsiTheme="majorHAnsi"/>
        </w:rPr>
        <w:t>s </w:t>
      </w:r>
      <w:r w:rsidR="00406C25" w:rsidRPr="00A11FE0">
        <w:rPr>
          <w:rFonts w:asciiTheme="majorHAnsi" w:hAnsiTheme="majorHAnsi"/>
        </w:rPr>
        <w:t xml:space="preserve">počtom žiakov od 2 do 1008 žiakov, pričom </w:t>
      </w:r>
      <w:r w:rsidR="00D73024">
        <w:rPr>
          <w:rFonts w:asciiTheme="majorHAnsi" w:hAnsiTheme="majorHAnsi"/>
        </w:rPr>
        <w:t xml:space="preserve">v SR sa </w:t>
      </w:r>
      <w:r w:rsidR="00156B07">
        <w:rPr>
          <w:rFonts w:asciiTheme="majorHAnsi" w:hAnsiTheme="majorHAnsi"/>
        </w:rPr>
        <w:t>nachádza</w:t>
      </w:r>
      <w:r w:rsidR="00406C25" w:rsidRPr="00A11FE0">
        <w:rPr>
          <w:rFonts w:asciiTheme="majorHAnsi" w:hAnsiTheme="majorHAnsi"/>
        </w:rPr>
        <w:t xml:space="preserve"> </w:t>
      </w:r>
      <w:r>
        <w:rPr>
          <w:rFonts w:asciiTheme="majorHAnsi" w:hAnsiTheme="majorHAnsi"/>
        </w:rPr>
        <w:t>a</w:t>
      </w:r>
      <w:r w:rsidR="00406C25" w:rsidRPr="00A11FE0">
        <w:rPr>
          <w:rFonts w:asciiTheme="majorHAnsi" w:hAnsiTheme="majorHAnsi"/>
        </w:rPr>
        <w:t xml:space="preserve">ž 110 </w:t>
      </w:r>
      <w:r w:rsidR="00992CAB">
        <w:rPr>
          <w:rFonts w:asciiTheme="majorHAnsi" w:hAnsiTheme="majorHAnsi"/>
        </w:rPr>
        <w:t>ŽS</w:t>
      </w:r>
      <w:r w:rsidR="00406C25" w:rsidRPr="00A11FE0">
        <w:rPr>
          <w:rFonts w:asciiTheme="majorHAnsi" w:hAnsiTheme="majorHAnsi"/>
        </w:rPr>
        <w:t xml:space="preserve">, </w:t>
      </w:r>
      <w:r>
        <w:rPr>
          <w:rFonts w:asciiTheme="majorHAnsi" w:hAnsiTheme="majorHAnsi"/>
        </w:rPr>
        <w:t>k</w:t>
      </w:r>
      <w:r w:rsidR="00406C25" w:rsidRPr="00A11FE0">
        <w:rPr>
          <w:rFonts w:asciiTheme="majorHAnsi" w:hAnsiTheme="majorHAnsi"/>
        </w:rPr>
        <w:t xml:space="preserve">toré majú menej </w:t>
      </w:r>
      <w:r>
        <w:rPr>
          <w:rFonts w:asciiTheme="majorHAnsi" w:hAnsiTheme="majorHAnsi"/>
        </w:rPr>
        <w:t>ak</w:t>
      </w:r>
      <w:r w:rsidR="00406C25" w:rsidRPr="00A11FE0">
        <w:rPr>
          <w:rFonts w:asciiTheme="majorHAnsi" w:hAnsiTheme="majorHAnsi"/>
        </w:rPr>
        <w:t>o 13 žiakov</w:t>
      </w:r>
      <w:r w:rsidR="00406C25" w:rsidRPr="00A11FE0">
        <w:rPr>
          <w:rStyle w:val="Odkaznapoznmkupodiarou"/>
          <w:rFonts w:asciiTheme="majorHAnsi" w:hAnsiTheme="majorHAnsi"/>
        </w:rPr>
        <w:footnoteReference w:id="147"/>
      </w:r>
      <w:r w:rsidR="00406C25" w:rsidRPr="00A11FE0">
        <w:rPr>
          <w:rFonts w:asciiTheme="majorHAnsi" w:hAnsiTheme="majorHAnsi"/>
        </w:rPr>
        <w:t xml:space="preserve">. Počet žiakov na jedného učiteľa má od roku 2000 </w:t>
      </w:r>
      <w:r>
        <w:rPr>
          <w:rFonts w:asciiTheme="majorHAnsi" w:hAnsiTheme="majorHAnsi"/>
        </w:rPr>
        <w:t>k</w:t>
      </w:r>
      <w:r w:rsidR="00406C25" w:rsidRPr="00A11FE0">
        <w:rPr>
          <w:rFonts w:asciiTheme="majorHAnsi" w:hAnsiTheme="majorHAnsi"/>
        </w:rPr>
        <w:t>lesajúci charakter (15,4 žiaka na učiteľa v</w:t>
      </w:r>
      <w:r w:rsidR="009963B3">
        <w:rPr>
          <w:rFonts w:asciiTheme="majorHAnsi" w:hAnsiTheme="majorHAnsi"/>
        </w:rPr>
        <w:t> </w:t>
      </w:r>
      <w:r w:rsidR="00406C25" w:rsidRPr="00A11FE0">
        <w:rPr>
          <w:rFonts w:asciiTheme="majorHAnsi" w:hAnsiTheme="majorHAnsi"/>
        </w:rPr>
        <w:t>roku 2000, 12,2 žiaka na učiteľa v roku 2012).</w:t>
      </w:r>
    </w:p>
    <w:p w:rsidR="00406C25" w:rsidRPr="00A11FE0" w:rsidRDefault="00406C25" w:rsidP="00406C25">
      <w:pPr>
        <w:rPr>
          <w:rFonts w:asciiTheme="majorHAnsi" w:hAnsiTheme="majorHAnsi"/>
        </w:rPr>
      </w:pPr>
      <w:r w:rsidRPr="00A11FE0">
        <w:rPr>
          <w:rFonts w:asciiTheme="majorHAnsi" w:hAnsiTheme="majorHAnsi"/>
        </w:rPr>
        <w:t xml:space="preserve">Demografický vývoj, trend uprednostňovania všeobecného vzdelávania pred odborným, </w:t>
      </w:r>
      <w:r w:rsidR="00BD5FD5">
        <w:rPr>
          <w:rFonts w:asciiTheme="majorHAnsi" w:hAnsiTheme="majorHAnsi"/>
        </w:rPr>
        <w:t>a</w:t>
      </w:r>
      <w:r w:rsidRPr="00A11FE0">
        <w:rPr>
          <w:rFonts w:asciiTheme="majorHAnsi" w:hAnsiTheme="majorHAnsi"/>
        </w:rPr>
        <w:t xml:space="preserve">le </w:t>
      </w:r>
      <w:r w:rsidR="00BD5FD5">
        <w:rPr>
          <w:rFonts w:asciiTheme="majorHAnsi" w:hAnsiTheme="majorHAnsi"/>
        </w:rPr>
        <w:t>a</w:t>
      </w:r>
      <w:r w:rsidRPr="00A11FE0">
        <w:rPr>
          <w:rFonts w:asciiTheme="majorHAnsi" w:hAnsiTheme="majorHAnsi"/>
        </w:rPr>
        <w:t xml:space="preserve">j nedostatok informácií žiakov </w:t>
      </w:r>
      <w:r w:rsidR="00766948">
        <w:rPr>
          <w:rFonts w:asciiTheme="majorHAnsi" w:hAnsiTheme="majorHAnsi"/>
        </w:rPr>
        <w:t>ZŠ</w:t>
      </w:r>
      <w:r w:rsidR="00766948" w:rsidRPr="00A11FE0">
        <w:rPr>
          <w:rFonts w:asciiTheme="majorHAnsi" w:hAnsiTheme="majorHAnsi"/>
        </w:rPr>
        <w:t xml:space="preserve"> </w:t>
      </w:r>
      <w:r w:rsidRPr="00A11FE0">
        <w:rPr>
          <w:rFonts w:asciiTheme="majorHAnsi" w:hAnsiTheme="majorHAnsi"/>
        </w:rPr>
        <w:t>o</w:t>
      </w:r>
      <w:r w:rsidR="00A8202E">
        <w:rPr>
          <w:rFonts w:asciiTheme="majorHAnsi" w:hAnsiTheme="majorHAnsi"/>
        </w:rPr>
        <w:t> </w:t>
      </w:r>
      <w:r w:rsidRPr="00A11FE0">
        <w:rPr>
          <w:rFonts w:asciiTheme="majorHAnsi" w:hAnsiTheme="majorHAnsi"/>
        </w:rPr>
        <w:t>odbornom</w:t>
      </w:r>
      <w:r w:rsidR="00A8202E">
        <w:rPr>
          <w:rFonts w:asciiTheme="majorHAnsi" w:hAnsiTheme="majorHAnsi"/>
        </w:rPr>
        <w:t xml:space="preserve"> </w:t>
      </w:r>
      <w:r w:rsidRPr="00A11FE0">
        <w:rPr>
          <w:rFonts w:asciiTheme="majorHAnsi" w:hAnsiTheme="majorHAnsi"/>
        </w:rPr>
        <w:t xml:space="preserve">vzdelávaní </w:t>
      </w:r>
      <w:r w:rsidR="00BD5FD5">
        <w:rPr>
          <w:rFonts w:asciiTheme="majorHAnsi" w:hAnsiTheme="majorHAnsi"/>
        </w:rPr>
        <w:t>a </w:t>
      </w:r>
      <w:r w:rsidRPr="00A11FE0">
        <w:rPr>
          <w:rFonts w:asciiTheme="majorHAnsi" w:hAnsiTheme="majorHAnsi"/>
        </w:rPr>
        <w:t xml:space="preserve">príprave </w:t>
      </w:r>
      <w:r w:rsidR="00BD5FD5">
        <w:rPr>
          <w:rFonts w:asciiTheme="majorHAnsi" w:hAnsiTheme="majorHAnsi"/>
        </w:rPr>
        <w:t>s</w:t>
      </w:r>
      <w:r w:rsidRPr="00A11FE0">
        <w:rPr>
          <w:rFonts w:asciiTheme="majorHAnsi" w:hAnsiTheme="majorHAnsi"/>
        </w:rPr>
        <w:t xml:space="preserve">pôsobili </w:t>
      </w:r>
      <w:r w:rsidR="00BD5FD5">
        <w:rPr>
          <w:rFonts w:asciiTheme="majorHAnsi" w:hAnsiTheme="majorHAnsi"/>
        </w:rPr>
        <w:t>k</w:t>
      </w:r>
      <w:r w:rsidRPr="00A11FE0">
        <w:rPr>
          <w:rFonts w:asciiTheme="majorHAnsi" w:hAnsiTheme="majorHAnsi"/>
        </w:rPr>
        <w:t>lesajúci záujem o</w:t>
      </w:r>
      <w:r w:rsidR="00A8202E">
        <w:rPr>
          <w:rFonts w:asciiTheme="majorHAnsi" w:hAnsiTheme="majorHAnsi"/>
        </w:rPr>
        <w:t> </w:t>
      </w:r>
      <w:r w:rsidRPr="00A11FE0">
        <w:rPr>
          <w:rFonts w:asciiTheme="majorHAnsi" w:hAnsiTheme="majorHAnsi"/>
        </w:rPr>
        <w:t>odborné</w:t>
      </w:r>
      <w:r w:rsidR="00A8202E">
        <w:rPr>
          <w:rFonts w:asciiTheme="majorHAnsi" w:hAnsiTheme="majorHAnsi"/>
        </w:rPr>
        <w:t xml:space="preserve"> </w:t>
      </w:r>
      <w:r w:rsidRPr="00A11FE0">
        <w:rPr>
          <w:rFonts w:asciiTheme="majorHAnsi" w:hAnsiTheme="majorHAnsi"/>
        </w:rPr>
        <w:t xml:space="preserve">vzdelávanie </w:t>
      </w:r>
      <w:r w:rsidR="00BD5FD5">
        <w:rPr>
          <w:rFonts w:asciiTheme="majorHAnsi" w:hAnsiTheme="majorHAnsi"/>
        </w:rPr>
        <w:t>a </w:t>
      </w:r>
      <w:r w:rsidRPr="00A11FE0">
        <w:rPr>
          <w:rFonts w:asciiTheme="majorHAnsi" w:hAnsiTheme="majorHAnsi"/>
        </w:rPr>
        <w:t xml:space="preserve">pokles počtu žiakov nastupujúcich na </w:t>
      </w:r>
      <w:r w:rsidR="00BD5FD5">
        <w:rPr>
          <w:rFonts w:asciiTheme="majorHAnsi" w:hAnsiTheme="majorHAnsi"/>
        </w:rPr>
        <w:t>s</w:t>
      </w:r>
      <w:r w:rsidRPr="00A11FE0">
        <w:rPr>
          <w:rFonts w:asciiTheme="majorHAnsi" w:hAnsiTheme="majorHAnsi"/>
        </w:rPr>
        <w:t xml:space="preserve">tredné odborné školy. Gymnáziá </w:t>
      </w:r>
      <w:r w:rsidR="00BD5FD5">
        <w:rPr>
          <w:rFonts w:asciiTheme="majorHAnsi" w:hAnsiTheme="majorHAnsi"/>
        </w:rPr>
        <w:t>s</w:t>
      </w:r>
      <w:r w:rsidRPr="00A11FE0">
        <w:rPr>
          <w:rFonts w:asciiTheme="majorHAnsi" w:hAnsiTheme="majorHAnsi"/>
        </w:rPr>
        <w:t>ú jediným druhom škôl, v</w:t>
      </w:r>
      <w:r w:rsidR="00D1704C">
        <w:rPr>
          <w:rFonts w:asciiTheme="majorHAnsi" w:hAnsiTheme="majorHAnsi"/>
        </w:rPr>
        <w:t> </w:t>
      </w:r>
      <w:r w:rsidR="00BD5FD5">
        <w:rPr>
          <w:rFonts w:asciiTheme="majorHAnsi" w:hAnsiTheme="majorHAnsi"/>
        </w:rPr>
        <w:t>k</w:t>
      </w:r>
      <w:r w:rsidRPr="00A11FE0">
        <w:rPr>
          <w:rFonts w:asciiTheme="majorHAnsi" w:hAnsiTheme="majorHAnsi"/>
        </w:rPr>
        <w:t>torom</w:t>
      </w:r>
      <w:r w:rsidR="00D1704C">
        <w:rPr>
          <w:rFonts w:asciiTheme="majorHAnsi" w:hAnsiTheme="majorHAnsi"/>
        </w:rPr>
        <w:t xml:space="preserve"> </w:t>
      </w:r>
      <w:r w:rsidRPr="00A11FE0">
        <w:rPr>
          <w:rFonts w:asciiTheme="majorHAnsi" w:hAnsiTheme="majorHAnsi"/>
        </w:rPr>
        <w:t xml:space="preserve">počet žiakov rástol </w:t>
      </w:r>
      <w:r w:rsidR="00BD5FD5">
        <w:rPr>
          <w:rFonts w:asciiTheme="majorHAnsi" w:hAnsiTheme="majorHAnsi"/>
        </w:rPr>
        <w:t>a</w:t>
      </w:r>
      <w:r w:rsidRPr="00A11FE0">
        <w:rPr>
          <w:rFonts w:asciiTheme="majorHAnsi" w:hAnsiTheme="majorHAnsi"/>
        </w:rPr>
        <w:t xml:space="preserve">j pri </w:t>
      </w:r>
      <w:r w:rsidR="00BD5FD5">
        <w:rPr>
          <w:rFonts w:asciiTheme="majorHAnsi" w:hAnsiTheme="majorHAnsi"/>
        </w:rPr>
        <w:t>k</w:t>
      </w:r>
      <w:r w:rsidRPr="00A11FE0">
        <w:rPr>
          <w:rFonts w:asciiTheme="majorHAnsi" w:hAnsiTheme="majorHAnsi"/>
        </w:rPr>
        <w:t xml:space="preserve">lesajúcom demografickom vývoji. </w:t>
      </w:r>
      <w:r w:rsidR="00C2049F" w:rsidRPr="00A11FE0">
        <w:rPr>
          <w:rFonts w:asciiTheme="majorHAnsi" w:hAnsiTheme="majorHAnsi"/>
        </w:rPr>
        <w:t>V</w:t>
      </w:r>
      <w:r w:rsidR="00D1704C">
        <w:rPr>
          <w:rFonts w:asciiTheme="majorHAnsi" w:hAnsiTheme="majorHAnsi"/>
        </w:rPr>
        <w:t> </w:t>
      </w:r>
      <w:r w:rsidRPr="00A11FE0">
        <w:rPr>
          <w:rFonts w:asciiTheme="majorHAnsi" w:hAnsiTheme="majorHAnsi"/>
        </w:rPr>
        <w:t>roku</w:t>
      </w:r>
      <w:r w:rsidR="00D1704C">
        <w:rPr>
          <w:rFonts w:asciiTheme="majorHAnsi" w:hAnsiTheme="majorHAnsi"/>
        </w:rPr>
        <w:t xml:space="preserve"> </w:t>
      </w:r>
      <w:r w:rsidRPr="00A11FE0">
        <w:rPr>
          <w:rFonts w:asciiTheme="majorHAnsi" w:hAnsiTheme="majorHAnsi"/>
        </w:rPr>
        <w:t xml:space="preserve">2019 čaká gymnáziá fáza poklesu žiakov o cca. 30 % do </w:t>
      </w:r>
      <w:r w:rsidR="00D73024">
        <w:rPr>
          <w:rFonts w:asciiTheme="majorHAnsi" w:hAnsiTheme="majorHAnsi"/>
        </w:rPr>
        <w:t xml:space="preserve">roku </w:t>
      </w:r>
      <w:r w:rsidRPr="00A11FE0">
        <w:rPr>
          <w:rFonts w:asciiTheme="majorHAnsi" w:hAnsiTheme="majorHAnsi"/>
        </w:rPr>
        <w:t>2022. Záujem o </w:t>
      </w:r>
      <w:r w:rsidR="00BD5FD5">
        <w:rPr>
          <w:rFonts w:asciiTheme="majorHAnsi" w:hAnsiTheme="majorHAnsi"/>
        </w:rPr>
        <w:t>s</w:t>
      </w:r>
      <w:r w:rsidRPr="00A11FE0">
        <w:rPr>
          <w:rFonts w:asciiTheme="majorHAnsi" w:hAnsiTheme="majorHAnsi"/>
        </w:rPr>
        <w:t>tredné odborné školy</w:t>
      </w:r>
      <w:r w:rsidRPr="00A11FE0">
        <w:rPr>
          <w:rStyle w:val="Odkaznapoznmkupodiarou"/>
          <w:rFonts w:asciiTheme="majorHAnsi" w:hAnsiTheme="majorHAnsi"/>
        </w:rPr>
        <w:footnoteReference w:id="148"/>
      </w:r>
      <w:r w:rsidRPr="00A11FE0">
        <w:rPr>
          <w:rFonts w:asciiTheme="majorHAnsi" w:hAnsiTheme="majorHAnsi"/>
        </w:rPr>
        <w:t xml:space="preserve"> dosiahol horizont v</w:t>
      </w:r>
      <w:r w:rsidR="00D1704C">
        <w:rPr>
          <w:rFonts w:asciiTheme="majorHAnsi" w:hAnsiTheme="majorHAnsi"/>
        </w:rPr>
        <w:t> </w:t>
      </w:r>
      <w:r w:rsidRPr="00A11FE0">
        <w:rPr>
          <w:rFonts w:asciiTheme="majorHAnsi" w:hAnsiTheme="majorHAnsi"/>
        </w:rPr>
        <w:t xml:space="preserve">polovici 90-tych rokov, odvtedy prevláda </w:t>
      </w:r>
      <w:r w:rsidR="00BD5FD5">
        <w:rPr>
          <w:rFonts w:asciiTheme="majorHAnsi" w:hAnsiTheme="majorHAnsi"/>
        </w:rPr>
        <w:t>k</w:t>
      </w:r>
      <w:r w:rsidRPr="00A11FE0">
        <w:rPr>
          <w:rFonts w:asciiTheme="majorHAnsi" w:hAnsiTheme="majorHAnsi"/>
        </w:rPr>
        <w:t xml:space="preserve">lesajúca fáza, </w:t>
      </w:r>
      <w:r w:rsidR="00BD5FD5">
        <w:rPr>
          <w:rFonts w:asciiTheme="majorHAnsi" w:hAnsiTheme="majorHAnsi"/>
        </w:rPr>
        <w:t>k</w:t>
      </w:r>
      <w:r w:rsidRPr="00A11FE0">
        <w:rPr>
          <w:rFonts w:asciiTheme="majorHAnsi" w:hAnsiTheme="majorHAnsi"/>
        </w:rPr>
        <w:t xml:space="preserve">torá bude pokračovať približne do roku 2021, </w:t>
      </w:r>
      <w:r w:rsidR="00BD5FD5">
        <w:rPr>
          <w:rFonts w:asciiTheme="majorHAnsi" w:hAnsiTheme="majorHAnsi"/>
        </w:rPr>
        <w:t>k</w:t>
      </w:r>
      <w:r w:rsidRPr="00A11FE0">
        <w:rPr>
          <w:rFonts w:asciiTheme="majorHAnsi" w:hAnsiTheme="majorHAnsi"/>
        </w:rPr>
        <w:t xml:space="preserve">eď tieto školy bude opúšťať o 27 % </w:t>
      </w:r>
      <w:r w:rsidR="00BD5FD5">
        <w:rPr>
          <w:rFonts w:asciiTheme="majorHAnsi" w:hAnsiTheme="majorHAnsi"/>
        </w:rPr>
        <w:t>a</w:t>
      </w:r>
      <w:r w:rsidRPr="00A11FE0">
        <w:rPr>
          <w:rFonts w:asciiTheme="majorHAnsi" w:hAnsiTheme="majorHAnsi"/>
        </w:rPr>
        <w:t xml:space="preserve">bsolventov menej </w:t>
      </w:r>
      <w:r w:rsidR="00BD5FD5">
        <w:rPr>
          <w:rFonts w:asciiTheme="majorHAnsi" w:hAnsiTheme="majorHAnsi"/>
        </w:rPr>
        <w:t>ak</w:t>
      </w:r>
      <w:r w:rsidRPr="00A11FE0">
        <w:rPr>
          <w:rFonts w:asciiTheme="majorHAnsi" w:hAnsiTheme="majorHAnsi"/>
        </w:rPr>
        <w:t>o v</w:t>
      </w:r>
      <w:r w:rsidR="00D1704C">
        <w:rPr>
          <w:rFonts w:asciiTheme="majorHAnsi" w:hAnsiTheme="majorHAnsi"/>
        </w:rPr>
        <w:t> </w:t>
      </w:r>
      <w:r w:rsidR="00BD5FD5">
        <w:rPr>
          <w:rFonts w:asciiTheme="majorHAnsi" w:hAnsiTheme="majorHAnsi"/>
        </w:rPr>
        <w:t>s</w:t>
      </w:r>
      <w:r w:rsidRPr="00A11FE0">
        <w:rPr>
          <w:rFonts w:asciiTheme="majorHAnsi" w:hAnsiTheme="majorHAnsi"/>
        </w:rPr>
        <w:t>účasnosti.</w:t>
      </w:r>
    </w:p>
    <w:p w:rsidR="00406C25" w:rsidRPr="00A11FE0" w:rsidRDefault="00406C25" w:rsidP="00406C25">
      <w:pPr>
        <w:rPr>
          <w:rFonts w:asciiTheme="majorHAnsi" w:hAnsiTheme="majorHAnsi"/>
        </w:rPr>
      </w:pPr>
      <w:r w:rsidRPr="00A11FE0">
        <w:rPr>
          <w:rFonts w:asciiTheme="majorHAnsi" w:hAnsiTheme="majorHAnsi"/>
        </w:rPr>
        <w:t>Z</w:t>
      </w:r>
      <w:r w:rsidR="00D1704C">
        <w:rPr>
          <w:rFonts w:asciiTheme="majorHAnsi" w:hAnsiTheme="majorHAnsi"/>
        </w:rPr>
        <w:t> </w:t>
      </w:r>
      <w:r w:rsidRPr="00A11FE0">
        <w:rPr>
          <w:rFonts w:asciiTheme="majorHAnsi" w:hAnsiTheme="majorHAnsi"/>
        </w:rPr>
        <w:t xml:space="preserve">dlhodobého pohľadu </w:t>
      </w:r>
      <w:r w:rsidR="00BD5FD5">
        <w:rPr>
          <w:rFonts w:asciiTheme="majorHAnsi" w:hAnsiTheme="majorHAnsi"/>
        </w:rPr>
        <w:t>s</w:t>
      </w:r>
      <w:r w:rsidR="00393AD4" w:rsidRPr="00A11FE0">
        <w:rPr>
          <w:rFonts w:asciiTheme="majorHAnsi" w:hAnsiTheme="majorHAnsi"/>
        </w:rPr>
        <w:t>a</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ituáci</w:t>
      </w:r>
      <w:r w:rsidR="00393AD4" w:rsidRPr="00A11FE0">
        <w:rPr>
          <w:rFonts w:asciiTheme="majorHAnsi" w:hAnsiTheme="majorHAnsi"/>
        </w:rPr>
        <w:t>a</w:t>
      </w:r>
      <w:r w:rsidRPr="00A11FE0">
        <w:rPr>
          <w:rFonts w:asciiTheme="majorHAnsi" w:hAnsiTheme="majorHAnsi"/>
        </w:rPr>
        <w:t xml:space="preserve"> na </w:t>
      </w:r>
      <w:r w:rsidR="00766948">
        <w:rPr>
          <w:rFonts w:asciiTheme="majorHAnsi" w:hAnsiTheme="majorHAnsi"/>
        </w:rPr>
        <w:t>ZŠ</w:t>
      </w:r>
      <w:r w:rsidR="00766948" w:rsidRPr="00A11FE0">
        <w:rPr>
          <w:rFonts w:asciiTheme="majorHAnsi" w:hAnsiTheme="majorHAnsi"/>
        </w:rPr>
        <w:t xml:space="preserve"> </w:t>
      </w:r>
      <w:r w:rsidRPr="00A11FE0">
        <w:rPr>
          <w:rFonts w:asciiTheme="majorHAnsi" w:hAnsiTheme="majorHAnsi"/>
        </w:rPr>
        <w:t>postupne zlepšuj</w:t>
      </w:r>
      <w:r w:rsidR="00393AD4" w:rsidRPr="00A11FE0">
        <w:rPr>
          <w:rFonts w:asciiTheme="majorHAnsi" w:hAnsiTheme="majorHAnsi"/>
        </w:rPr>
        <w:t>e</w:t>
      </w:r>
      <w:r w:rsidRPr="00A11FE0">
        <w:rPr>
          <w:rFonts w:asciiTheme="majorHAnsi" w:hAnsiTheme="majorHAnsi"/>
        </w:rPr>
        <w:t>. Školy vo väčšine prípadov disponujú dostatkom prevádzkových priestorov</w:t>
      </w:r>
      <w:r w:rsidRPr="00A11FE0">
        <w:rPr>
          <w:rStyle w:val="Odkaznapoznmkupodiarou"/>
          <w:rFonts w:asciiTheme="majorHAnsi" w:hAnsiTheme="majorHAnsi"/>
        </w:rPr>
        <w:footnoteReference w:id="149"/>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toré podľa Štátnej školskej inšpekcie</w:t>
      </w:r>
      <w:r w:rsidRPr="00A11FE0">
        <w:rPr>
          <w:rStyle w:val="Odkaznapoznmkupodiarou"/>
          <w:rFonts w:asciiTheme="majorHAnsi" w:hAnsiTheme="majorHAnsi"/>
        </w:rPr>
        <w:footnoteReference w:id="150"/>
      </w:r>
      <w:r w:rsidRPr="00A11FE0">
        <w:rPr>
          <w:rFonts w:asciiTheme="majorHAnsi" w:hAnsiTheme="majorHAnsi"/>
        </w:rPr>
        <w:t xml:space="preserve"> zväčša vyhovujú požiadavkám výchovy </w:t>
      </w:r>
      <w:r w:rsidR="00BD5FD5">
        <w:rPr>
          <w:rFonts w:asciiTheme="majorHAnsi" w:hAnsiTheme="majorHAnsi"/>
        </w:rPr>
        <w:t>a </w:t>
      </w:r>
      <w:r w:rsidRPr="00A11FE0">
        <w:rPr>
          <w:rFonts w:asciiTheme="majorHAnsi" w:hAnsiTheme="majorHAnsi"/>
        </w:rPr>
        <w:t xml:space="preserve">vzdelávania. Výnimku tvoria ZŠ v oblastiach </w:t>
      </w:r>
      <w:r w:rsidR="00BD5FD5">
        <w:rPr>
          <w:rFonts w:asciiTheme="majorHAnsi" w:hAnsiTheme="majorHAnsi"/>
        </w:rPr>
        <w:t>s </w:t>
      </w:r>
      <w:r w:rsidRPr="00A11FE0">
        <w:rPr>
          <w:rFonts w:asciiTheme="majorHAnsi" w:hAnsiTheme="majorHAnsi"/>
        </w:rPr>
        <w:t>vysokou</w:t>
      </w:r>
      <w:r w:rsidR="008B2288">
        <w:rPr>
          <w:rFonts w:asciiTheme="majorHAnsi" w:hAnsiTheme="majorHAnsi"/>
        </w:rPr>
        <w:t xml:space="preserve"> </w:t>
      </w:r>
      <w:r w:rsidR="00BD5FD5">
        <w:rPr>
          <w:rFonts w:asciiTheme="majorHAnsi" w:hAnsiTheme="majorHAnsi"/>
        </w:rPr>
        <w:t>k</w:t>
      </w:r>
      <w:r w:rsidRPr="00A11FE0">
        <w:rPr>
          <w:rFonts w:asciiTheme="majorHAnsi" w:hAnsiTheme="majorHAnsi"/>
        </w:rPr>
        <w:t>oncentráciou MRK, v</w:t>
      </w:r>
      <w:r w:rsidR="007D717C" w:rsidRPr="00A11FE0">
        <w:rPr>
          <w:rFonts w:asciiTheme="majorHAnsi" w:hAnsiTheme="majorHAnsi"/>
        </w:rPr>
        <w:t> </w:t>
      </w:r>
      <w:r w:rsidR="00BD5FD5">
        <w:rPr>
          <w:rFonts w:asciiTheme="majorHAnsi" w:hAnsiTheme="majorHAnsi"/>
        </w:rPr>
        <w:t>k</w:t>
      </w:r>
      <w:r w:rsidRPr="00A11FE0">
        <w:rPr>
          <w:rFonts w:asciiTheme="majorHAnsi" w:hAnsiTheme="majorHAnsi"/>
        </w:rPr>
        <w:t>torých</w:t>
      </w:r>
      <w:r w:rsidR="007D717C" w:rsidRPr="00A11FE0">
        <w:rPr>
          <w:rFonts w:asciiTheme="majorHAnsi" w:hAnsiTheme="majorHAnsi"/>
        </w:rPr>
        <w:t xml:space="preserve"> </w:t>
      </w:r>
      <w:r w:rsidRPr="00A11FE0">
        <w:rPr>
          <w:rFonts w:asciiTheme="majorHAnsi" w:hAnsiTheme="majorHAnsi"/>
        </w:rPr>
        <w:t xml:space="preserve">je pretrvávajúcim problémom nedostatočná </w:t>
      </w:r>
      <w:r w:rsidR="00BD5FD5">
        <w:rPr>
          <w:rFonts w:asciiTheme="majorHAnsi" w:hAnsiTheme="majorHAnsi"/>
        </w:rPr>
        <w:t>k</w:t>
      </w:r>
      <w:r w:rsidRPr="00A11FE0">
        <w:rPr>
          <w:rFonts w:asciiTheme="majorHAnsi" w:hAnsiTheme="majorHAnsi"/>
        </w:rPr>
        <w:t>apacita ZŠ</w:t>
      </w:r>
      <w:r w:rsidR="00100534">
        <w:rPr>
          <w:rFonts w:asciiTheme="majorHAnsi" w:hAnsiTheme="majorHAnsi"/>
        </w:rPr>
        <w:t xml:space="preserve"> a </w:t>
      </w:r>
      <w:r w:rsidRPr="00A11FE0">
        <w:rPr>
          <w:rFonts w:asciiTheme="majorHAnsi" w:hAnsiTheme="majorHAnsi"/>
        </w:rPr>
        <w:t>fung</w:t>
      </w:r>
      <w:r w:rsidR="00100534">
        <w:rPr>
          <w:rFonts w:asciiTheme="majorHAnsi" w:hAnsiTheme="majorHAnsi"/>
        </w:rPr>
        <w:t xml:space="preserve">ovanie </w:t>
      </w:r>
      <w:r w:rsidRPr="00A11FE0">
        <w:rPr>
          <w:rFonts w:asciiTheme="majorHAnsi" w:hAnsiTheme="majorHAnsi"/>
        </w:rPr>
        <w:t>v</w:t>
      </w:r>
      <w:r w:rsidR="00E521D1">
        <w:rPr>
          <w:rFonts w:asciiTheme="majorHAnsi" w:hAnsiTheme="majorHAnsi"/>
        </w:rPr>
        <w:t> </w:t>
      </w:r>
      <w:r w:rsidRPr="00A11FE0">
        <w:rPr>
          <w:rFonts w:asciiTheme="majorHAnsi" w:hAnsiTheme="majorHAnsi"/>
        </w:rPr>
        <w:t xml:space="preserve">dvojzmennej prevádzke, čo napr. znemožňuje realizáciu inkluzívnej výchovy </w:t>
      </w:r>
      <w:r w:rsidR="00BD5FD5">
        <w:rPr>
          <w:rFonts w:asciiTheme="majorHAnsi" w:hAnsiTheme="majorHAnsi"/>
        </w:rPr>
        <w:t>a </w:t>
      </w:r>
      <w:r w:rsidRPr="00A11FE0">
        <w:rPr>
          <w:rFonts w:asciiTheme="majorHAnsi" w:hAnsiTheme="majorHAnsi"/>
        </w:rPr>
        <w:t xml:space="preserve">vzdelávania </w:t>
      </w:r>
      <w:r w:rsidR="00BD5FD5">
        <w:rPr>
          <w:rFonts w:asciiTheme="majorHAnsi" w:hAnsiTheme="majorHAnsi"/>
        </w:rPr>
        <w:t>a </w:t>
      </w:r>
      <w:r w:rsidRPr="00A11FE0">
        <w:rPr>
          <w:rFonts w:asciiTheme="majorHAnsi" w:hAnsiTheme="majorHAnsi"/>
        </w:rPr>
        <w:t>negatívne ovplyvňuje mieru predčasného ukončovania školskej dochádzky.</w:t>
      </w:r>
    </w:p>
    <w:p w:rsidR="00406C25" w:rsidRPr="00A11FE0" w:rsidRDefault="00BD5FD5" w:rsidP="00723936">
      <w:pPr>
        <w:pStyle w:val="Nadpis7"/>
        <w:numPr>
          <w:ilvl w:val="6"/>
          <w:numId w:val="2"/>
        </w:numPr>
      </w:pPr>
      <w:r>
        <w:t>K</w:t>
      </w:r>
      <w:r w:rsidR="00406C25" w:rsidRPr="00A11FE0">
        <w:t xml:space="preserve">valita vzdelávania na základných </w:t>
      </w:r>
      <w:r>
        <w:t>a</w:t>
      </w:r>
      <w:r w:rsidR="00406C25" w:rsidRPr="00A11FE0">
        <w:t> </w:t>
      </w:r>
      <w:r>
        <w:t>s</w:t>
      </w:r>
      <w:r w:rsidR="00406C25" w:rsidRPr="00A11FE0">
        <w:t>tredných školách</w:t>
      </w:r>
    </w:p>
    <w:p w:rsidR="00036B86" w:rsidRDefault="00BD5FD5" w:rsidP="008E7522">
      <w:pPr>
        <w:rPr>
          <w:rFonts w:asciiTheme="majorHAnsi" w:hAnsiTheme="majorHAnsi"/>
        </w:rPr>
      </w:pPr>
      <w:r>
        <w:rPr>
          <w:rFonts w:asciiTheme="majorHAnsi" w:hAnsiTheme="majorHAnsi"/>
        </w:rPr>
        <w:t>S</w:t>
      </w:r>
      <w:r w:rsidR="00406C25" w:rsidRPr="00A11FE0">
        <w:rPr>
          <w:rFonts w:asciiTheme="majorHAnsi" w:hAnsiTheme="majorHAnsi"/>
        </w:rPr>
        <w:t xml:space="preserve">ystém vzdelávania uprednostňuje encyklopedické vedomosti pred rozvíjaním praktických zručností </w:t>
      </w:r>
      <w:r>
        <w:rPr>
          <w:rFonts w:asciiTheme="majorHAnsi" w:hAnsiTheme="majorHAnsi"/>
        </w:rPr>
        <w:t>a </w:t>
      </w:r>
      <w:r w:rsidR="00406C25" w:rsidRPr="00A11FE0">
        <w:rPr>
          <w:rFonts w:asciiTheme="majorHAnsi" w:hAnsiTheme="majorHAnsi"/>
        </w:rPr>
        <w:t>postojov</w:t>
      </w:r>
      <w:r w:rsidR="007D717C" w:rsidRPr="00A11FE0">
        <w:rPr>
          <w:rFonts w:asciiTheme="majorHAnsi" w:hAnsiTheme="majorHAnsi"/>
        </w:rPr>
        <w:t xml:space="preserve"> </w:t>
      </w:r>
      <w:r w:rsidR="00406C25" w:rsidRPr="00A11FE0">
        <w:rPr>
          <w:rFonts w:asciiTheme="majorHAnsi" w:hAnsiTheme="majorHAnsi"/>
        </w:rPr>
        <w:t xml:space="preserve">žiakov. </w:t>
      </w:r>
      <w:r w:rsidR="00632869">
        <w:rPr>
          <w:rFonts w:asciiTheme="majorHAnsi" w:hAnsiTheme="majorHAnsi"/>
        </w:rPr>
        <w:t>Ž</w:t>
      </w:r>
      <w:r w:rsidR="00406C25" w:rsidRPr="00A11FE0">
        <w:rPr>
          <w:rFonts w:asciiTheme="majorHAnsi" w:hAnsiTheme="majorHAnsi"/>
        </w:rPr>
        <w:t xml:space="preserve">iaci nedokážu dostatočne </w:t>
      </w:r>
      <w:r w:rsidR="00632869" w:rsidRPr="00A11FE0">
        <w:rPr>
          <w:rFonts w:asciiTheme="majorHAnsi" w:hAnsiTheme="majorHAnsi"/>
        </w:rPr>
        <w:t xml:space="preserve">vedomosti </w:t>
      </w:r>
      <w:r w:rsidR="00406C25" w:rsidRPr="00A11FE0">
        <w:rPr>
          <w:rFonts w:asciiTheme="majorHAnsi" w:hAnsiTheme="majorHAnsi"/>
        </w:rPr>
        <w:t>využiť v</w:t>
      </w:r>
      <w:r w:rsidR="007D717C" w:rsidRPr="00A11FE0">
        <w:rPr>
          <w:rFonts w:asciiTheme="majorHAnsi" w:hAnsiTheme="majorHAnsi"/>
        </w:rPr>
        <w:t> </w:t>
      </w:r>
      <w:r w:rsidR="00406C25" w:rsidRPr="00A11FE0">
        <w:rPr>
          <w:rFonts w:asciiTheme="majorHAnsi" w:hAnsiTheme="majorHAnsi"/>
        </w:rPr>
        <w:t>praktickom</w:t>
      </w:r>
      <w:r w:rsidR="007D717C" w:rsidRPr="00A11FE0">
        <w:rPr>
          <w:rFonts w:asciiTheme="majorHAnsi" w:hAnsiTheme="majorHAnsi"/>
        </w:rPr>
        <w:t xml:space="preserve"> </w:t>
      </w:r>
      <w:r w:rsidR="00406C25" w:rsidRPr="00A11FE0">
        <w:rPr>
          <w:rFonts w:asciiTheme="majorHAnsi" w:hAnsiTheme="majorHAnsi"/>
        </w:rPr>
        <w:t xml:space="preserve">živote </w:t>
      </w:r>
      <w:r w:rsidR="009F1230">
        <w:rPr>
          <w:rFonts w:asciiTheme="majorHAnsi" w:hAnsiTheme="majorHAnsi"/>
        </w:rPr>
        <w:t>a </w:t>
      </w:r>
      <w:r w:rsidR="00406C25" w:rsidRPr="00A11FE0">
        <w:rPr>
          <w:rFonts w:asciiTheme="majorHAnsi" w:hAnsiTheme="majorHAnsi"/>
        </w:rPr>
        <w:t>v</w:t>
      </w:r>
      <w:r w:rsidR="00D1704C">
        <w:rPr>
          <w:rFonts w:asciiTheme="majorHAnsi" w:hAnsiTheme="majorHAnsi"/>
        </w:rPr>
        <w:t> </w:t>
      </w:r>
      <w:r w:rsidR="00406C25" w:rsidRPr="00A11FE0">
        <w:rPr>
          <w:rFonts w:asciiTheme="majorHAnsi" w:hAnsiTheme="majorHAnsi"/>
        </w:rPr>
        <w:t xml:space="preserve">medzinárodných meraniach dosahujú výsledky nižšie </w:t>
      </w:r>
      <w:r>
        <w:rPr>
          <w:rFonts w:asciiTheme="majorHAnsi" w:hAnsiTheme="majorHAnsi"/>
        </w:rPr>
        <w:t>ak</w:t>
      </w:r>
      <w:r w:rsidR="00406C25" w:rsidRPr="00A11FE0">
        <w:rPr>
          <w:rFonts w:asciiTheme="majorHAnsi" w:hAnsiTheme="majorHAnsi"/>
        </w:rPr>
        <w:t>o je priemer EÚ</w:t>
      </w:r>
      <w:r w:rsidR="00393AD4" w:rsidRPr="00A11FE0">
        <w:rPr>
          <w:rFonts w:asciiTheme="majorHAnsi" w:hAnsiTheme="majorHAnsi"/>
        </w:rPr>
        <w:t>.</w:t>
      </w:r>
      <w:r w:rsidR="00406C25" w:rsidRPr="00A11FE0">
        <w:rPr>
          <w:rFonts w:asciiTheme="majorHAnsi" w:hAnsiTheme="majorHAnsi"/>
        </w:rPr>
        <w:t xml:space="preserve"> </w:t>
      </w:r>
      <w:r>
        <w:rPr>
          <w:rFonts w:asciiTheme="majorHAnsi" w:hAnsiTheme="majorHAnsi"/>
        </w:rPr>
        <w:t>S</w:t>
      </w:r>
      <w:r w:rsidR="00406C25" w:rsidRPr="00A11FE0">
        <w:rPr>
          <w:rFonts w:asciiTheme="majorHAnsi" w:hAnsiTheme="majorHAnsi"/>
        </w:rPr>
        <w:t>R dlhodobo eviduje relatívn</w:t>
      </w:r>
      <w:r w:rsidR="00E95384">
        <w:rPr>
          <w:rFonts w:asciiTheme="majorHAnsi" w:hAnsiTheme="majorHAnsi"/>
        </w:rPr>
        <w:t>e</w:t>
      </w:r>
      <w:r w:rsidR="00406C25" w:rsidRPr="00A11FE0">
        <w:rPr>
          <w:rFonts w:asciiTheme="majorHAnsi" w:hAnsiTheme="majorHAnsi"/>
        </w:rPr>
        <w:t xml:space="preserve"> nízku úspešnosť 15-ročných žiakov v</w:t>
      </w:r>
      <w:r w:rsidR="008B2288">
        <w:rPr>
          <w:rFonts w:asciiTheme="majorHAnsi" w:hAnsiTheme="majorHAnsi"/>
        </w:rPr>
        <w:t> </w:t>
      </w:r>
      <w:r w:rsidR="00406C25" w:rsidRPr="00A11FE0">
        <w:rPr>
          <w:rFonts w:asciiTheme="majorHAnsi" w:hAnsiTheme="majorHAnsi"/>
        </w:rPr>
        <w:t>medzinárodných</w:t>
      </w:r>
      <w:r w:rsidR="008B2288">
        <w:rPr>
          <w:rFonts w:asciiTheme="majorHAnsi" w:hAnsiTheme="majorHAnsi"/>
        </w:rPr>
        <w:t xml:space="preserve"> </w:t>
      </w:r>
      <w:r w:rsidR="00406C25" w:rsidRPr="00A11FE0">
        <w:rPr>
          <w:rFonts w:asciiTheme="majorHAnsi" w:hAnsiTheme="majorHAnsi"/>
        </w:rPr>
        <w:t>meraniach PISA (2003 – 20</w:t>
      </w:r>
      <w:r w:rsidR="004E7E29">
        <w:rPr>
          <w:rFonts w:asciiTheme="majorHAnsi" w:hAnsiTheme="majorHAnsi"/>
        </w:rPr>
        <w:t>12</w:t>
      </w:r>
      <w:r w:rsidR="00406C25" w:rsidRPr="00A11FE0">
        <w:rPr>
          <w:rFonts w:asciiTheme="majorHAnsi" w:hAnsiTheme="majorHAnsi"/>
        </w:rPr>
        <w:t>)</w:t>
      </w:r>
      <w:r w:rsidR="00FF3341">
        <w:rPr>
          <w:rStyle w:val="Odkaznapoznmkupodiarou"/>
          <w:rFonts w:asciiTheme="majorHAnsi" w:hAnsiTheme="majorHAnsi"/>
        </w:rPr>
        <w:footnoteReference w:id="151"/>
      </w:r>
      <w:r w:rsidR="00406C25" w:rsidRPr="00A11FE0">
        <w:rPr>
          <w:rFonts w:asciiTheme="majorHAnsi" w:hAnsiTheme="majorHAnsi"/>
        </w:rPr>
        <w:t>.</w:t>
      </w:r>
      <w:r w:rsidR="004E7E29" w:rsidRPr="003F0750">
        <w:rPr>
          <w:rFonts w:asciiTheme="majorHAnsi" w:hAnsiTheme="majorHAnsi"/>
        </w:rPr>
        <w:t xml:space="preserve"> </w:t>
      </w:r>
      <w:r w:rsidR="00406C25" w:rsidRPr="00A11FE0">
        <w:rPr>
          <w:rFonts w:asciiTheme="majorHAnsi" w:hAnsiTheme="majorHAnsi"/>
        </w:rPr>
        <w:t xml:space="preserve">Zvýšenú pozornosť </w:t>
      </w:r>
      <w:r>
        <w:rPr>
          <w:rFonts w:asciiTheme="majorHAnsi" w:hAnsiTheme="majorHAnsi"/>
        </w:rPr>
        <w:t>s</w:t>
      </w:r>
      <w:r w:rsidR="00406C25" w:rsidRPr="00A11FE0">
        <w:rPr>
          <w:rFonts w:asciiTheme="majorHAnsi" w:hAnsiTheme="majorHAnsi"/>
        </w:rPr>
        <w:t xml:space="preserve">i vyžaduje predovšetkým oblasť matematickej, prírodovednej </w:t>
      </w:r>
      <w:r>
        <w:rPr>
          <w:rFonts w:asciiTheme="majorHAnsi" w:hAnsiTheme="majorHAnsi"/>
        </w:rPr>
        <w:t>a </w:t>
      </w:r>
      <w:r w:rsidR="00406C25" w:rsidRPr="00A11FE0">
        <w:rPr>
          <w:rFonts w:asciiTheme="majorHAnsi" w:hAnsiTheme="majorHAnsi"/>
        </w:rPr>
        <w:t>finančnej gramotnosti</w:t>
      </w:r>
      <w:r w:rsidR="0055646E">
        <w:rPr>
          <w:rFonts w:asciiTheme="majorHAnsi" w:hAnsiTheme="majorHAnsi"/>
        </w:rPr>
        <w:t>,</w:t>
      </w:r>
      <w:r w:rsidR="00406C25" w:rsidRPr="00A11FE0">
        <w:rPr>
          <w:rFonts w:asciiTheme="majorHAnsi" w:hAnsiTheme="majorHAnsi"/>
        </w:rPr>
        <w:t xml:space="preserve"> </w:t>
      </w:r>
      <w:r>
        <w:rPr>
          <w:rFonts w:asciiTheme="majorHAnsi" w:hAnsiTheme="majorHAnsi"/>
        </w:rPr>
        <w:t>ak</w:t>
      </w:r>
      <w:r w:rsidR="00406C25" w:rsidRPr="00A11FE0">
        <w:rPr>
          <w:rFonts w:asciiTheme="majorHAnsi" w:hAnsiTheme="majorHAnsi"/>
        </w:rPr>
        <w:t xml:space="preserve">o </w:t>
      </w:r>
      <w:r>
        <w:rPr>
          <w:rFonts w:asciiTheme="majorHAnsi" w:hAnsiTheme="majorHAnsi"/>
        </w:rPr>
        <w:t>a</w:t>
      </w:r>
      <w:r w:rsidR="00406C25" w:rsidRPr="00A11FE0">
        <w:rPr>
          <w:rFonts w:asciiTheme="majorHAnsi" w:hAnsiTheme="majorHAnsi"/>
        </w:rPr>
        <w:t xml:space="preserve">j rozvoj jazykových </w:t>
      </w:r>
      <w:r>
        <w:rPr>
          <w:rFonts w:asciiTheme="majorHAnsi" w:hAnsiTheme="majorHAnsi"/>
        </w:rPr>
        <w:t>a</w:t>
      </w:r>
      <w:r w:rsidR="00406C25" w:rsidRPr="00A11FE0">
        <w:rPr>
          <w:rFonts w:asciiTheme="majorHAnsi" w:hAnsiTheme="majorHAnsi"/>
        </w:rPr>
        <w:t xml:space="preserve"> IKT </w:t>
      </w:r>
      <w:r>
        <w:rPr>
          <w:rFonts w:asciiTheme="majorHAnsi" w:hAnsiTheme="majorHAnsi"/>
        </w:rPr>
        <w:t>k</w:t>
      </w:r>
      <w:r w:rsidR="00406C25" w:rsidRPr="00A11FE0">
        <w:rPr>
          <w:rFonts w:asciiTheme="majorHAnsi" w:hAnsiTheme="majorHAnsi"/>
        </w:rPr>
        <w:t>ompetencií žiakov.</w:t>
      </w:r>
    </w:p>
    <w:p w:rsidR="00036B86" w:rsidRPr="00906F4F" w:rsidRDefault="00036B86" w:rsidP="00036B86">
      <w:pPr>
        <w:rPr>
          <w:rFonts w:ascii="Calibri" w:hAnsi="Calibri"/>
          <w:szCs w:val="22"/>
        </w:rPr>
      </w:pPr>
      <w:r>
        <w:rPr>
          <w:rFonts w:ascii="Calibri" w:hAnsi="Calibri"/>
          <w:szCs w:val="22"/>
        </w:rPr>
        <w:t>V</w:t>
      </w:r>
      <w:r w:rsidR="000E5BBB">
        <w:rPr>
          <w:rFonts w:ascii="Calibri" w:hAnsi="Calibri"/>
          <w:szCs w:val="22"/>
        </w:rPr>
        <w:t> </w:t>
      </w:r>
      <w:r>
        <w:rPr>
          <w:rFonts w:ascii="Calibri" w:hAnsi="Calibri"/>
          <w:szCs w:val="22"/>
        </w:rPr>
        <w:t>zmysle platných právnych predpisov všetky deti v</w:t>
      </w:r>
      <w:r w:rsidR="000E5BBB">
        <w:rPr>
          <w:rFonts w:ascii="Calibri" w:hAnsi="Calibri"/>
          <w:szCs w:val="22"/>
        </w:rPr>
        <w:t> </w:t>
      </w:r>
      <w:r>
        <w:rPr>
          <w:rFonts w:ascii="Calibri" w:hAnsi="Calibri"/>
          <w:szCs w:val="22"/>
        </w:rPr>
        <w:t>školskom výchovno-vzdelávacom systéme SR majú rovnocenné postavenie, s</w:t>
      </w:r>
      <w:r w:rsidR="000E5BBB">
        <w:rPr>
          <w:rFonts w:ascii="Calibri" w:hAnsi="Calibri"/>
          <w:szCs w:val="22"/>
        </w:rPr>
        <w:t> </w:t>
      </w:r>
      <w:r>
        <w:rPr>
          <w:rFonts w:ascii="Calibri" w:hAnsi="Calibri"/>
          <w:szCs w:val="22"/>
        </w:rPr>
        <w:t>tými istými zaručenými právami a povinnosťami.</w:t>
      </w:r>
      <w:r>
        <w:t xml:space="preserve"> </w:t>
      </w:r>
      <w:r>
        <w:rPr>
          <w:rFonts w:ascii="Calibri" w:hAnsi="Calibri"/>
          <w:szCs w:val="22"/>
        </w:rPr>
        <w:t>V</w:t>
      </w:r>
      <w:r w:rsidR="000E5BBB">
        <w:rPr>
          <w:rFonts w:ascii="Calibri" w:hAnsi="Calibri"/>
          <w:szCs w:val="22"/>
        </w:rPr>
        <w:t> </w:t>
      </w:r>
      <w:r>
        <w:rPr>
          <w:rFonts w:ascii="Calibri" w:hAnsi="Calibri"/>
          <w:szCs w:val="22"/>
        </w:rPr>
        <w:t>reálnom živote sa však stretávame aj s nedostatkami v uplatňovaní týchto práv, predovšetkým v</w:t>
      </w:r>
      <w:r w:rsidR="000E5BBB">
        <w:rPr>
          <w:rFonts w:ascii="Calibri" w:hAnsi="Calibri"/>
          <w:szCs w:val="22"/>
        </w:rPr>
        <w:t> </w:t>
      </w:r>
      <w:r>
        <w:rPr>
          <w:rFonts w:ascii="Calibri" w:hAnsi="Calibri"/>
          <w:szCs w:val="22"/>
        </w:rPr>
        <w:t>lokalitách s</w:t>
      </w:r>
      <w:r w:rsidR="000E5BBB">
        <w:rPr>
          <w:rFonts w:ascii="Calibri" w:hAnsi="Calibri"/>
          <w:szCs w:val="22"/>
        </w:rPr>
        <w:t> </w:t>
      </w:r>
      <w:r>
        <w:rPr>
          <w:rFonts w:ascii="Calibri" w:hAnsi="Calibri"/>
          <w:szCs w:val="22"/>
        </w:rPr>
        <w:t xml:space="preserve">vysokou koncentráciou MRK, kde aj vplyvom demografického a geografického rozloženia obyvateľstva </w:t>
      </w:r>
      <w:r>
        <w:rPr>
          <w:rFonts w:ascii="Calibri" w:hAnsi="Calibri"/>
          <w:szCs w:val="22"/>
        </w:rPr>
        <w:lastRenderedPageBreak/>
        <w:t>dochádza k existencii tried len so žiakmi pochádzajúcimi z</w:t>
      </w:r>
      <w:r w:rsidR="000E5BBB">
        <w:rPr>
          <w:rFonts w:ascii="Calibri" w:hAnsi="Calibri"/>
          <w:szCs w:val="22"/>
        </w:rPr>
        <w:t> </w:t>
      </w:r>
      <w:r>
        <w:rPr>
          <w:rFonts w:ascii="Calibri" w:hAnsi="Calibri"/>
          <w:szCs w:val="22"/>
        </w:rPr>
        <w:t>MRK</w:t>
      </w:r>
      <w:r w:rsidR="000E5BBB">
        <w:rPr>
          <w:rFonts w:ascii="Calibri" w:hAnsi="Calibri"/>
          <w:szCs w:val="22"/>
        </w:rPr>
        <w:t>,</w:t>
      </w:r>
      <w:r>
        <w:rPr>
          <w:rFonts w:ascii="Calibri" w:hAnsi="Calibri"/>
          <w:szCs w:val="22"/>
        </w:rPr>
        <w:t xml:space="preserve"> resp. ich nesprávnemu zaraďovaniu do špeciálnych škôl a tried. Potvrdením týchto nedostatkov je aj rozhodnutie súdu</w:t>
      </w:r>
      <w:r>
        <w:rPr>
          <w:rStyle w:val="Odkaznapoznmkupodiarou"/>
          <w:rFonts w:ascii="Calibri" w:hAnsi="Calibri"/>
          <w:szCs w:val="22"/>
        </w:rPr>
        <w:footnoteReference w:id="152"/>
      </w:r>
      <w:r>
        <w:rPr>
          <w:rFonts w:ascii="Calibri" w:hAnsi="Calibri"/>
          <w:szCs w:val="22"/>
        </w:rPr>
        <w:t xml:space="preserve">, ktoré sa odvoláva na platný školský zákon, ktorý zakazuje diskrimináciu </w:t>
      </w:r>
      <w:r w:rsidR="000E5BBB">
        <w:rPr>
          <w:rFonts w:ascii="Calibri" w:hAnsi="Calibri"/>
          <w:szCs w:val="22"/>
        </w:rPr>
        <w:t>–</w:t>
      </w:r>
      <w:r>
        <w:rPr>
          <w:rFonts w:ascii="Calibri" w:hAnsi="Calibri"/>
          <w:szCs w:val="22"/>
        </w:rPr>
        <w:t xml:space="preserve"> segregáciu </w:t>
      </w:r>
      <w:r w:rsidRPr="00CA0F2F">
        <w:rPr>
          <w:rFonts w:ascii="Calibri" w:hAnsi="Calibri"/>
          <w:szCs w:val="22"/>
        </w:rPr>
        <w:t>vo vzdelávaní.</w:t>
      </w:r>
    </w:p>
    <w:p w:rsidR="008E7522" w:rsidRPr="008E7522" w:rsidRDefault="008E7522" w:rsidP="008E7522">
      <w:pPr>
        <w:rPr>
          <w:rFonts w:asciiTheme="majorHAnsi" w:hAnsiTheme="majorHAnsi"/>
        </w:rPr>
      </w:pPr>
      <w:r w:rsidRPr="008E7522">
        <w:rPr>
          <w:rFonts w:asciiTheme="majorHAnsi" w:hAnsiTheme="majorHAnsi"/>
        </w:rPr>
        <w:t>Vzdelávaciemu systému je vyčítané, že veľa žiakov zo sociálne znevýhodneného prostredia</w:t>
      </w:r>
      <w:r w:rsidR="002B3AD2">
        <w:rPr>
          <w:rFonts w:asciiTheme="majorHAnsi" w:hAnsiTheme="majorHAnsi"/>
        </w:rPr>
        <w:t>,</w:t>
      </w:r>
      <w:r w:rsidRPr="008E7522">
        <w:rPr>
          <w:rFonts w:asciiTheme="majorHAnsi" w:hAnsiTheme="majorHAnsi"/>
        </w:rPr>
        <w:t xml:space="preserve"> spravidla rómskych žiakov </w:t>
      </w:r>
      <w:r w:rsidR="002B3AD2">
        <w:rPr>
          <w:rFonts w:asciiTheme="majorHAnsi" w:hAnsiTheme="majorHAnsi"/>
        </w:rPr>
        <w:t>vzhľadom na to, že</w:t>
      </w:r>
      <w:r w:rsidRPr="008E7522">
        <w:rPr>
          <w:rFonts w:asciiTheme="majorHAnsi" w:hAnsiTheme="majorHAnsi"/>
        </w:rPr>
        <w:t xml:space="preserve"> tvoria rozhodujúci podiel žiakov zo sociálne znevýhodneného prostredia (ďalej len „SZP“)</w:t>
      </w:r>
      <w:r w:rsidR="002B3AD2">
        <w:rPr>
          <w:rFonts w:asciiTheme="majorHAnsi" w:hAnsiTheme="majorHAnsi"/>
        </w:rPr>
        <w:t>,</w:t>
      </w:r>
      <w:r w:rsidRPr="008E7522">
        <w:rPr>
          <w:rFonts w:asciiTheme="majorHAnsi" w:hAnsiTheme="majorHAnsi"/>
        </w:rPr>
        <w:t xml:space="preserve"> je vzdelávaných v špeciálnych školách alebo špeciálnych triedach. Zároveň žiaci zo </w:t>
      </w:r>
      <w:r w:rsidR="000E5BBB">
        <w:rPr>
          <w:rFonts w:asciiTheme="majorHAnsi" w:hAnsiTheme="majorHAnsi"/>
        </w:rPr>
        <w:t>SZP</w:t>
      </w:r>
      <w:r w:rsidRPr="008E7522">
        <w:rPr>
          <w:rFonts w:asciiTheme="majorHAnsi" w:hAnsiTheme="majorHAnsi"/>
        </w:rPr>
        <w:t xml:space="preserve"> často ukončujú </w:t>
      </w:r>
      <w:r w:rsidR="000E5BBB">
        <w:rPr>
          <w:rFonts w:asciiTheme="majorHAnsi" w:hAnsiTheme="majorHAnsi"/>
        </w:rPr>
        <w:t>ZŠ</w:t>
      </w:r>
      <w:r w:rsidRPr="008E7522">
        <w:rPr>
          <w:rFonts w:asciiTheme="majorHAnsi" w:hAnsiTheme="majorHAnsi"/>
        </w:rPr>
        <w:t xml:space="preserve"> v nižšom ako deviatom ročníku, čo negatívne ovplyvňuje mieru predčasného ukončovania školskej dochádzky a ich možnosť uplatniť sa v nadväzujúcom stupni vzdelávania a následne na pracovnom trhu. Mieru uplatňovania inkluzívneho modelu vzdelávania na školách ovplyvňuje nedostatočná pripravenosť škôl vo forme nedostatku asistentov učiteľa, odborných zamestnancov pôsobiacich priamo v</w:t>
      </w:r>
      <w:r w:rsidR="002B3AD2">
        <w:rPr>
          <w:rFonts w:asciiTheme="majorHAnsi" w:hAnsiTheme="majorHAnsi"/>
        </w:rPr>
        <w:t> </w:t>
      </w:r>
      <w:r w:rsidRPr="008E7522">
        <w:rPr>
          <w:rFonts w:asciiTheme="majorHAnsi" w:hAnsiTheme="majorHAnsi"/>
        </w:rPr>
        <w:t>školách</w:t>
      </w:r>
      <w:r w:rsidR="002B3AD2">
        <w:rPr>
          <w:rFonts w:asciiTheme="majorHAnsi" w:hAnsiTheme="majorHAnsi"/>
        </w:rPr>
        <w:t>,</w:t>
      </w:r>
      <w:r w:rsidRPr="008E7522">
        <w:rPr>
          <w:rFonts w:asciiTheme="majorHAnsi" w:hAnsiTheme="majorHAnsi"/>
        </w:rPr>
        <w:t xml:space="preserve"> ako aj nízkeho počtu debarierizovaných škôl</w:t>
      </w:r>
      <w:r w:rsidR="002B3AD2">
        <w:rPr>
          <w:rFonts w:asciiTheme="majorHAnsi" w:hAnsiTheme="majorHAnsi"/>
        </w:rPr>
        <w:t>,</w:t>
      </w:r>
      <w:r w:rsidRPr="008E7522">
        <w:rPr>
          <w:rFonts w:asciiTheme="majorHAnsi" w:hAnsiTheme="majorHAnsi"/>
        </w:rPr>
        <w:t xml:space="preserve"> či nedostatočnej priestorovej kapacity škôl, najmä v lokalitách s vysokou koncentráciou MRK, čím dochádza len k čiastočnej integrácii žiakov do hlavného vzdelávacieho prúdu.</w:t>
      </w:r>
    </w:p>
    <w:p w:rsidR="00406C25" w:rsidRPr="00A11FE0" w:rsidRDefault="009F1230" w:rsidP="00406C25">
      <w:pPr>
        <w:rPr>
          <w:rFonts w:asciiTheme="majorHAnsi" w:hAnsiTheme="majorHAnsi"/>
        </w:rPr>
      </w:pPr>
      <w:r>
        <w:rPr>
          <w:rFonts w:asciiTheme="majorHAnsi" w:hAnsiTheme="majorHAnsi"/>
        </w:rPr>
        <w:t>Hlavným problém o</w:t>
      </w:r>
      <w:r w:rsidR="00406C25" w:rsidRPr="00A11FE0">
        <w:rPr>
          <w:rFonts w:asciiTheme="majorHAnsi" w:hAnsiTheme="majorHAnsi"/>
        </w:rPr>
        <w:t>dborné</w:t>
      </w:r>
      <w:r>
        <w:rPr>
          <w:rFonts w:asciiTheme="majorHAnsi" w:hAnsiTheme="majorHAnsi"/>
        </w:rPr>
        <w:t>ho</w:t>
      </w:r>
      <w:r w:rsidR="00406C25" w:rsidRPr="00A11FE0">
        <w:rPr>
          <w:rFonts w:asciiTheme="majorHAnsi" w:hAnsiTheme="majorHAnsi"/>
        </w:rPr>
        <w:t xml:space="preserve"> vzdelávani</w:t>
      </w:r>
      <w:r>
        <w:rPr>
          <w:rFonts w:asciiTheme="majorHAnsi" w:hAnsiTheme="majorHAnsi"/>
        </w:rPr>
        <w:t>a</w:t>
      </w:r>
      <w:r w:rsidR="00406C25" w:rsidRPr="00A11FE0">
        <w:rPr>
          <w:rFonts w:asciiTheme="majorHAnsi" w:hAnsiTheme="majorHAnsi"/>
        </w:rPr>
        <w:t xml:space="preserve"> </w:t>
      </w:r>
      <w:r w:rsidR="00BD5FD5">
        <w:rPr>
          <w:rFonts w:asciiTheme="majorHAnsi" w:hAnsiTheme="majorHAnsi"/>
        </w:rPr>
        <w:t>a</w:t>
      </w:r>
      <w:r>
        <w:rPr>
          <w:rFonts w:asciiTheme="majorHAnsi" w:hAnsiTheme="majorHAnsi"/>
        </w:rPr>
        <w:t> </w:t>
      </w:r>
      <w:r w:rsidR="00406C25" w:rsidRPr="00A11FE0">
        <w:rPr>
          <w:rFonts w:asciiTheme="majorHAnsi" w:hAnsiTheme="majorHAnsi"/>
        </w:rPr>
        <w:t>príprav</w:t>
      </w:r>
      <w:r>
        <w:rPr>
          <w:rFonts w:asciiTheme="majorHAnsi" w:hAnsiTheme="majorHAnsi"/>
        </w:rPr>
        <w:t>y je, že nie je vytvorený systém prípravy kvalifikovanej pracovnej sily na potreby trhu práce.</w:t>
      </w:r>
      <w:r w:rsidR="00406C25" w:rsidRPr="00A11FE0">
        <w:rPr>
          <w:rFonts w:asciiTheme="majorHAnsi" w:hAnsiTheme="majorHAnsi"/>
        </w:rPr>
        <w:t xml:space="preserve"> Za posledné dva roky </w:t>
      </w:r>
      <w:r w:rsidR="00BD5FD5">
        <w:rPr>
          <w:rFonts w:asciiTheme="majorHAnsi" w:hAnsiTheme="majorHAnsi"/>
        </w:rPr>
        <w:t>s</w:t>
      </w:r>
      <w:r w:rsidR="00406C25" w:rsidRPr="00A11FE0">
        <w:rPr>
          <w:rFonts w:asciiTheme="majorHAnsi" w:hAnsiTheme="majorHAnsi"/>
        </w:rPr>
        <w:t xml:space="preserve">a znížil podiel žiakov </w:t>
      </w:r>
      <w:r w:rsidR="00BD5FD5">
        <w:rPr>
          <w:rFonts w:asciiTheme="majorHAnsi" w:hAnsiTheme="majorHAnsi"/>
        </w:rPr>
        <w:t>s</w:t>
      </w:r>
      <w:r w:rsidR="00406C25" w:rsidRPr="00A11FE0">
        <w:rPr>
          <w:rFonts w:asciiTheme="majorHAnsi" w:hAnsiTheme="majorHAnsi"/>
        </w:rPr>
        <w:t>tredných odborných škôl vykonávajúcich praktické vyučovanie priamo u</w:t>
      </w:r>
      <w:r w:rsidR="000E5BBB">
        <w:rPr>
          <w:rFonts w:asciiTheme="majorHAnsi" w:hAnsiTheme="majorHAnsi"/>
        </w:rPr>
        <w:t> </w:t>
      </w:r>
      <w:r w:rsidR="00406C25" w:rsidRPr="00A11FE0">
        <w:rPr>
          <w:rFonts w:asciiTheme="majorHAnsi" w:hAnsiTheme="majorHAnsi"/>
        </w:rPr>
        <w:t>zamestnávateľov z</w:t>
      </w:r>
      <w:r w:rsidR="000E5BBB">
        <w:rPr>
          <w:rFonts w:asciiTheme="majorHAnsi" w:hAnsiTheme="majorHAnsi"/>
        </w:rPr>
        <w:t> </w:t>
      </w:r>
      <w:r w:rsidR="00406C25" w:rsidRPr="00A11FE0">
        <w:rPr>
          <w:rFonts w:asciiTheme="majorHAnsi" w:hAnsiTheme="majorHAnsi"/>
        </w:rPr>
        <w:t>5,75 % na 3,8 %.</w:t>
      </w:r>
    </w:p>
    <w:p w:rsidR="00406C25" w:rsidRPr="00A11FE0" w:rsidRDefault="00BD5FD5" w:rsidP="00406C25">
      <w:pPr>
        <w:rPr>
          <w:rFonts w:asciiTheme="majorHAnsi" w:hAnsiTheme="majorHAnsi"/>
        </w:rPr>
      </w:pPr>
      <w:r>
        <w:rPr>
          <w:rFonts w:asciiTheme="majorHAnsi" w:hAnsiTheme="majorHAnsi"/>
        </w:rPr>
        <w:t>S</w:t>
      </w:r>
      <w:r w:rsidR="00406C25" w:rsidRPr="00A11FE0">
        <w:rPr>
          <w:rFonts w:asciiTheme="majorHAnsi" w:hAnsiTheme="majorHAnsi"/>
        </w:rPr>
        <w:t xml:space="preserve">o vzrastajúcou </w:t>
      </w:r>
      <w:r>
        <w:rPr>
          <w:rFonts w:asciiTheme="majorHAnsi" w:hAnsiTheme="majorHAnsi"/>
        </w:rPr>
        <w:t>a</w:t>
      </w:r>
      <w:r w:rsidR="00406C25" w:rsidRPr="00A11FE0">
        <w:rPr>
          <w:rFonts w:asciiTheme="majorHAnsi" w:hAnsiTheme="majorHAnsi"/>
        </w:rPr>
        <w:t xml:space="preserve">utonómiou </w:t>
      </w:r>
      <w:r>
        <w:rPr>
          <w:rFonts w:asciiTheme="majorHAnsi" w:hAnsiTheme="majorHAnsi"/>
        </w:rPr>
        <w:t>a s</w:t>
      </w:r>
      <w:r w:rsidR="00406C25" w:rsidRPr="00A11FE0">
        <w:rPr>
          <w:rFonts w:asciiTheme="majorHAnsi" w:hAnsiTheme="majorHAnsi"/>
        </w:rPr>
        <w:t xml:space="preserve">amostatnosťou škôl, </w:t>
      </w:r>
      <w:r w:rsidR="00061914">
        <w:rPr>
          <w:rFonts w:asciiTheme="majorHAnsi" w:hAnsiTheme="majorHAnsi"/>
        </w:rPr>
        <w:t xml:space="preserve">ktorá sa ukázala v prípade verejných škôl ako neefektívna, </w:t>
      </w:r>
      <w:r w:rsidR="00406C25" w:rsidRPr="00A11FE0">
        <w:rPr>
          <w:rFonts w:asciiTheme="majorHAnsi" w:hAnsiTheme="majorHAnsi"/>
        </w:rPr>
        <w:t xml:space="preserve">najmä pri tvorbe obsahu </w:t>
      </w:r>
      <w:r w:rsidR="007F7B9A" w:rsidRPr="00A11FE0">
        <w:rPr>
          <w:rFonts w:asciiTheme="majorHAnsi" w:hAnsiTheme="majorHAnsi"/>
        </w:rPr>
        <w:t>výchovy</w:t>
      </w:r>
      <w:r w:rsidR="00406C25" w:rsidRPr="00A11FE0">
        <w:rPr>
          <w:rFonts w:asciiTheme="majorHAnsi" w:hAnsiTheme="majorHAnsi"/>
        </w:rPr>
        <w:t xml:space="preserve"> </w:t>
      </w:r>
      <w:r>
        <w:rPr>
          <w:rFonts w:asciiTheme="majorHAnsi" w:hAnsiTheme="majorHAnsi"/>
        </w:rPr>
        <w:t>a </w:t>
      </w:r>
      <w:r w:rsidR="00406C25" w:rsidRPr="00A11FE0">
        <w:rPr>
          <w:rFonts w:asciiTheme="majorHAnsi" w:hAnsiTheme="majorHAnsi"/>
        </w:rPr>
        <w:t xml:space="preserve">vzdelávania, je potrebné nielen hodnotenie vzdelávacích </w:t>
      </w:r>
      <w:r w:rsidR="007F7B9A" w:rsidRPr="00A11FE0">
        <w:rPr>
          <w:rFonts w:asciiTheme="majorHAnsi" w:hAnsiTheme="majorHAnsi"/>
        </w:rPr>
        <w:t>výsledkov</w:t>
      </w:r>
      <w:r w:rsidR="00406C25" w:rsidRPr="00A11FE0">
        <w:rPr>
          <w:rFonts w:asciiTheme="majorHAnsi" w:hAnsiTheme="majorHAnsi"/>
        </w:rPr>
        <w:t xml:space="preserve"> žiakov, </w:t>
      </w:r>
      <w:r>
        <w:rPr>
          <w:rFonts w:asciiTheme="majorHAnsi" w:hAnsiTheme="majorHAnsi"/>
        </w:rPr>
        <w:t>a</w:t>
      </w:r>
      <w:r w:rsidR="00406C25" w:rsidRPr="00A11FE0">
        <w:rPr>
          <w:rFonts w:asciiTheme="majorHAnsi" w:hAnsiTheme="majorHAnsi"/>
        </w:rPr>
        <w:t xml:space="preserve">le </w:t>
      </w:r>
      <w:r>
        <w:rPr>
          <w:rFonts w:asciiTheme="majorHAnsi" w:hAnsiTheme="majorHAnsi"/>
        </w:rPr>
        <w:t>a</w:t>
      </w:r>
      <w:r w:rsidR="00406C25" w:rsidRPr="00A11FE0">
        <w:rPr>
          <w:rFonts w:asciiTheme="majorHAnsi" w:hAnsiTheme="majorHAnsi"/>
        </w:rPr>
        <w:t xml:space="preserve">j </w:t>
      </w:r>
      <w:r>
        <w:rPr>
          <w:rFonts w:asciiTheme="majorHAnsi" w:hAnsiTheme="majorHAnsi"/>
        </w:rPr>
        <w:t>k</w:t>
      </w:r>
      <w:r w:rsidR="00406C25" w:rsidRPr="00A11FE0">
        <w:rPr>
          <w:rFonts w:asciiTheme="majorHAnsi" w:hAnsiTheme="majorHAnsi"/>
        </w:rPr>
        <w:t xml:space="preserve">omplexné monitorovanie </w:t>
      </w:r>
      <w:r>
        <w:rPr>
          <w:rFonts w:asciiTheme="majorHAnsi" w:hAnsiTheme="majorHAnsi"/>
        </w:rPr>
        <w:t>a</w:t>
      </w:r>
      <w:r w:rsidR="00406C25" w:rsidRPr="00A11FE0">
        <w:rPr>
          <w:rFonts w:asciiTheme="majorHAnsi" w:hAnsiTheme="majorHAnsi"/>
        </w:rPr>
        <w:t xml:space="preserve"> vyhodnocovanie procesov, prostredníctvom </w:t>
      </w:r>
      <w:r>
        <w:rPr>
          <w:rFonts w:asciiTheme="majorHAnsi" w:hAnsiTheme="majorHAnsi"/>
        </w:rPr>
        <w:t>k</w:t>
      </w:r>
      <w:r w:rsidR="00406C25" w:rsidRPr="00A11FE0">
        <w:rPr>
          <w:rFonts w:asciiTheme="majorHAnsi" w:hAnsiTheme="majorHAnsi"/>
        </w:rPr>
        <w:t xml:space="preserve">torých </w:t>
      </w:r>
      <w:r>
        <w:rPr>
          <w:rFonts w:asciiTheme="majorHAnsi" w:hAnsiTheme="majorHAnsi"/>
        </w:rPr>
        <w:t>s</w:t>
      </w:r>
      <w:r w:rsidR="00406C25" w:rsidRPr="00A11FE0">
        <w:rPr>
          <w:rFonts w:asciiTheme="majorHAnsi" w:hAnsiTheme="majorHAnsi"/>
        </w:rPr>
        <w:t xml:space="preserve">a vzdelávacie výsledky </w:t>
      </w:r>
      <w:r>
        <w:rPr>
          <w:rFonts w:asciiTheme="majorHAnsi" w:hAnsiTheme="majorHAnsi"/>
        </w:rPr>
        <w:t>s</w:t>
      </w:r>
      <w:r w:rsidR="00406C25" w:rsidRPr="00A11FE0">
        <w:rPr>
          <w:rFonts w:asciiTheme="majorHAnsi" w:hAnsiTheme="majorHAnsi"/>
        </w:rPr>
        <w:t xml:space="preserve">trategicky plánujú </w:t>
      </w:r>
      <w:r>
        <w:rPr>
          <w:rFonts w:asciiTheme="majorHAnsi" w:hAnsiTheme="majorHAnsi"/>
        </w:rPr>
        <w:t>a </w:t>
      </w:r>
      <w:r w:rsidR="00406C25" w:rsidRPr="00A11FE0">
        <w:rPr>
          <w:rFonts w:asciiTheme="majorHAnsi" w:hAnsiTheme="majorHAnsi"/>
        </w:rPr>
        <w:t>dosahujú. V </w:t>
      </w:r>
      <w:r>
        <w:rPr>
          <w:rFonts w:asciiTheme="majorHAnsi" w:hAnsiTheme="majorHAnsi"/>
        </w:rPr>
        <w:t>s</w:t>
      </w:r>
      <w:r w:rsidR="00406C25" w:rsidRPr="00A11FE0">
        <w:rPr>
          <w:rFonts w:asciiTheme="majorHAnsi" w:hAnsiTheme="majorHAnsi"/>
        </w:rPr>
        <w:t xml:space="preserve">účasnosti takýto </w:t>
      </w:r>
      <w:r>
        <w:rPr>
          <w:rFonts w:asciiTheme="majorHAnsi" w:hAnsiTheme="majorHAnsi"/>
        </w:rPr>
        <w:t>s</w:t>
      </w:r>
      <w:r w:rsidR="00406C25" w:rsidRPr="00A11FE0">
        <w:rPr>
          <w:rFonts w:asciiTheme="majorHAnsi" w:hAnsiTheme="majorHAnsi"/>
        </w:rPr>
        <w:t>ystém prakticky neexistuje.</w:t>
      </w:r>
    </w:p>
    <w:p w:rsidR="00406C25" w:rsidRPr="00A11FE0" w:rsidRDefault="00406C25" w:rsidP="00406C25">
      <w:pPr>
        <w:rPr>
          <w:rFonts w:asciiTheme="majorHAnsi" w:hAnsiTheme="majorHAnsi"/>
        </w:rPr>
      </w:pPr>
      <w:r w:rsidRPr="00A11FE0">
        <w:rPr>
          <w:rFonts w:asciiTheme="majorHAnsi" w:hAnsiTheme="majorHAnsi"/>
        </w:rPr>
        <w:t>Na základe</w:t>
      </w:r>
      <w:r w:rsidR="00100534">
        <w:rPr>
          <w:rFonts w:asciiTheme="majorHAnsi" w:hAnsiTheme="majorHAnsi"/>
        </w:rPr>
        <w:t xml:space="preserve"> údajov z</w:t>
      </w:r>
      <w:r w:rsidR="000E5BBB">
        <w:rPr>
          <w:rFonts w:asciiTheme="majorHAnsi" w:hAnsiTheme="majorHAnsi"/>
        </w:rPr>
        <w:t> </w:t>
      </w:r>
      <w:r w:rsidR="00100534">
        <w:rPr>
          <w:rFonts w:asciiTheme="majorHAnsi" w:hAnsiTheme="majorHAnsi"/>
        </w:rPr>
        <w:t>činnosti</w:t>
      </w:r>
      <w:r w:rsidRPr="00A11FE0">
        <w:rPr>
          <w:rFonts w:asciiTheme="majorHAnsi" w:hAnsiTheme="majorHAnsi"/>
        </w:rPr>
        <w:t xml:space="preserve"> Štátnej školskej inšpekcie</w:t>
      </w:r>
      <w:r w:rsidRPr="00A11FE0">
        <w:rPr>
          <w:rStyle w:val="Odkaznapoznmkupodiarou"/>
          <w:rFonts w:asciiTheme="majorHAnsi" w:hAnsiTheme="majorHAnsi"/>
        </w:rPr>
        <w:t xml:space="preserve"> </w:t>
      </w:r>
      <w:r w:rsidR="0055646E">
        <w:rPr>
          <w:rFonts w:asciiTheme="majorHAnsi" w:hAnsiTheme="majorHAnsi"/>
        </w:rPr>
        <w:t xml:space="preserve">majú </w:t>
      </w:r>
      <w:r w:rsidRPr="00A11FE0">
        <w:rPr>
          <w:rFonts w:asciiTheme="majorHAnsi" w:hAnsiTheme="majorHAnsi"/>
        </w:rPr>
        <w:t xml:space="preserve">nedostatky školy vo vnútornom </w:t>
      </w:r>
      <w:r w:rsidR="00BD5FD5">
        <w:rPr>
          <w:rFonts w:asciiTheme="majorHAnsi" w:hAnsiTheme="majorHAnsi"/>
        </w:rPr>
        <w:t>s</w:t>
      </w:r>
      <w:r w:rsidRPr="00A11FE0">
        <w:rPr>
          <w:rFonts w:asciiTheme="majorHAnsi" w:hAnsiTheme="majorHAnsi"/>
        </w:rPr>
        <w:t xml:space="preserve">ystéme </w:t>
      </w:r>
      <w:r w:rsidR="00BD5FD5">
        <w:rPr>
          <w:rFonts w:asciiTheme="majorHAnsi" w:hAnsiTheme="majorHAnsi"/>
        </w:rPr>
        <w:t>k</w:t>
      </w:r>
      <w:r w:rsidRPr="00A11FE0">
        <w:rPr>
          <w:rFonts w:asciiTheme="majorHAnsi" w:hAnsiTheme="majorHAnsi"/>
        </w:rPr>
        <w:t xml:space="preserve">ontroly </w:t>
      </w:r>
      <w:r w:rsidR="00BD5FD5">
        <w:rPr>
          <w:rFonts w:asciiTheme="majorHAnsi" w:hAnsiTheme="majorHAnsi"/>
        </w:rPr>
        <w:t>a </w:t>
      </w:r>
      <w:r w:rsidRPr="00A11FE0">
        <w:rPr>
          <w:rFonts w:asciiTheme="majorHAnsi" w:hAnsiTheme="majorHAnsi"/>
        </w:rPr>
        <w:t>hodnotenia, v </w:t>
      </w:r>
      <w:r w:rsidR="00BD5FD5">
        <w:rPr>
          <w:rFonts w:asciiTheme="majorHAnsi" w:hAnsiTheme="majorHAnsi"/>
        </w:rPr>
        <w:t>k</w:t>
      </w:r>
      <w:r w:rsidRPr="00A11FE0">
        <w:rPr>
          <w:rFonts w:asciiTheme="majorHAnsi" w:hAnsiTheme="majorHAnsi"/>
        </w:rPr>
        <w:t xml:space="preserve">torom často chýbajú určené </w:t>
      </w:r>
      <w:r w:rsidR="00BD5FD5">
        <w:rPr>
          <w:rFonts w:asciiTheme="majorHAnsi" w:hAnsiTheme="majorHAnsi"/>
        </w:rPr>
        <w:t>s</w:t>
      </w:r>
      <w:r w:rsidRPr="00A11FE0">
        <w:rPr>
          <w:rFonts w:asciiTheme="majorHAnsi" w:hAnsiTheme="majorHAnsi"/>
        </w:rPr>
        <w:t xml:space="preserve">tratégie, priority, </w:t>
      </w:r>
      <w:r w:rsidR="00BD5FD5">
        <w:rPr>
          <w:rFonts w:asciiTheme="majorHAnsi" w:hAnsiTheme="majorHAnsi"/>
        </w:rPr>
        <w:t>k</w:t>
      </w:r>
      <w:r w:rsidRPr="00A11FE0">
        <w:rPr>
          <w:rFonts w:asciiTheme="majorHAnsi" w:hAnsiTheme="majorHAnsi"/>
        </w:rPr>
        <w:t xml:space="preserve">auzálna </w:t>
      </w:r>
      <w:r w:rsidR="00BD5FD5">
        <w:rPr>
          <w:rFonts w:asciiTheme="majorHAnsi" w:hAnsiTheme="majorHAnsi"/>
        </w:rPr>
        <w:t>a</w:t>
      </w:r>
      <w:r w:rsidRPr="00A11FE0">
        <w:rPr>
          <w:rFonts w:asciiTheme="majorHAnsi" w:hAnsiTheme="majorHAnsi"/>
        </w:rPr>
        <w:t>nalýza javov, nástroje hodnotenia</w:t>
      </w:r>
      <w:r w:rsidR="00100534">
        <w:rPr>
          <w:rStyle w:val="Odkaznapoznmkupodiarou"/>
          <w:rFonts w:asciiTheme="majorHAnsi" w:hAnsiTheme="majorHAnsi"/>
        </w:rPr>
        <w:footnoteReference w:id="153"/>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ústavne pretrváva nedostatok </w:t>
      </w:r>
      <w:r w:rsidR="00C2049F" w:rsidRPr="00A11FE0">
        <w:rPr>
          <w:rFonts w:asciiTheme="majorHAnsi" w:hAnsiTheme="majorHAnsi"/>
        </w:rPr>
        <w:t>finančných</w:t>
      </w:r>
      <w:r w:rsidRPr="00A11FE0">
        <w:rPr>
          <w:rFonts w:asciiTheme="majorHAnsi" w:hAnsiTheme="majorHAnsi"/>
        </w:rPr>
        <w:t xml:space="preserve"> prostriedkov na printovú </w:t>
      </w:r>
      <w:r w:rsidR="00BD5FD5">
        <w:rPr>
          <w:rFonts w:asciiTheme="majorHAnsi" w:hAnsiTheme="majorHAnsi"/>
        </w:rPr>
        <w:t>a </w:t>
      </w:r>
      <w:r w:rsidRPr="00A11FE0">
        <w:rPr>
          <w:rFonts w:asciiTheme="majorHAnsi" w:hAnsiTheme="majorHAnsi"/>
        </w:rPr>
        <w:t xml:space="preserve">digitálnu podobu </w:t>
      </w:r>
      <w:r w:rsidR="009F1230">
        <w:rPr>
          <w:rFonts w:asciiTheme="majorHAnsi" w:hAnsiTheme="majorHAnsi"/>
        </w:rPr>
        <w:t xml:space="preserve">kvalitných prakticky využiteľných </w:t>
      </w:r>
      <w:r w:rsidRPr="00A11FE0">
        <w:rPr>
          <w:rFonts w:asciiTheme="majorHAnsi" w:hAnsiTheme="majorHAnsi"/>
        </w:rPr>
        <w:t xml:space="preserve">učebníc, </w:t>
      </w:r>
      <w:r w:rsidR="00C2049F" w:rsidRPr="00A11FE0">
        <w:rPr>
          <w:rFonts w:asciiTheme="majorHAnsi" w:hAnsiTheme="majorHAnsi"/>
        </w:rPr>
        <w:t>učebných</w:t>
      </w:r>
      <w:r w:rsidRPr="00A11FE0">
        <w:rPr>
          <w:rFonts w:asciiTheme="majorHAnsi" w:hAnsiTheme="majorHAnsi"/>
        </w:rPr>
        <w:t xml:space="preserve"> textov </w:t>
      </w:r>
      <w:r w:rsidR="00BD5FD5">
        <w:rPr>
          <w:rFonts w:asciiTheme="majorHAnsi" w:hAnsiTheme="majorHAnsi"/>
        </w:rPr>
        <w:t>a </w:t>
      </w:r>
      <w:r w:rsidR="00C2049F" w:rsidRPr="00A11FE0">
        <w:rPr>
          <w:rFonts w:asciiTheme="majorHAnsi" w:hAnsiTheme="majorHAnsi"/>
        </w:rPr>
        <w:t>pracovných</w:t>
      </w:r>
      <w:r w:rsidRPr="00A11FE0">
        <w:rPr>
          <w:rFonts w:asciiTheme="majorHAnsi" w:hAnsiTheme="majorHAnsi"/>
        </w:rPr>
        <w:t xml:space="preserve"> zošitov. Proces </w:t>
      </w:r>
      <w:r w:rsidR="00BD5FD5">
        <w:rPr>
          <w:rFonts w:asciiTheme="majorHAnsi" w:hAnsiTheme="majorHAnsi"/>
        </w:rPr>
        <w:t>s</w:t>
      </w:r>
      <w:r w:rsidRPr="00A11FE0">
        <w:rPr>
          <w:rFonts w:asciiTheme="majorHAnsi" w:hAnsiTheme="majorHAnsi"/>
        </w:rPr>
        <w:t xml:space="preserve">chvaľovania učebníc, </w:t>
      </w:r>
      <w:r w:rsidR="00C2049F" w:rsidRPr="00A11FE0">
        <w:rPr>
          <w:rFonts w:asciiTheme="majorHAnsi" w:hAnsiTheme="majorHAnsi"/>
        </w:rPr>
        <w:t>učebných</w:t>
      </w:r>
      <w:r w:rsidRPr="00A11FE0">
        <w:rPr>
          <w:rFonts w:asciiTheme="majorHAnsi" w:hAnsiTheme="majorHAnsi"/>
        </w:rPr>
        <w:t xml:space="preserve"> textov </w:t>
      </w:r>
      <w:r w:rsidR="00BD5FD5">
        <w:rPr>
          <w:rFonts w:asciiTheme="majorHAnsi" w:hAnsiTheme="majorHAnsi"/>
        </w:rPr>
        <w:t>a</w:t>
      </w:r>
      <w:r w:rsidR="007D717C" w:rsidRPr="00A11FE0">
        <w:rPr>
          <w:rFonts w:asciiTheme="majorHAnsi" w:hAnsiTheme="majorHAnsi"/>
        </w:rPr>
        <w:t> </w:t>
      </w:r>
      <w:r w:rsidR="00C2049F" w:rsidRPr="00A11FE0">
        <w:rPr>
          <w:rFonts w:asciiTheme="majorHAnsi" w:hAnsiTheme="majorHAnsi"/>
        </w:rPr>
        <w:t>pracovných</w:t>
      </w:r>
      <w:r w:rsidRPr="00A11FE0">
        <w:rPr>
          <w:rFonts w:asciiTheme="majorHAnsi" w:hAnsiTheme="majorHAnsi"/>
        </w:rPr>
        <w:t xml:space="preserve"> zošitov je </w:t>
      </w:r>
      <w:r w:rsidR="00C2049F" w:rsidRPr="00A11FE0">
        <w:rPr>
          <w:rFonts w:asciiTheme="majorHAnsi" w:hAnsiTheme="majorHAnsi"/>
        </w:rPr>
        <w:t>zdĺhavý</w:t>
      </w:r>
      <w:r w:rsidRPr="00A11FE0">
        <w:rPr>
          <w:rFonts w:asciiTheme="majorHAnsi" w:hAnsiTheme="majorHAnsi"/>
        </w:rPr>
        <w:t xml:space="preserve"> </w:t>
      </w:r>
      <w:r w:rsidR="00BD5FD5">
        <w:rPr>
          <w:rFonts w:asciiTheme="majorHAnsi" w:hAnsiTheme="majorHAnsi"/>
        </w:rPr>
        <w:t>a a</w:t>
      </w:r>
      <w:r w:rsidRPr="00A11FE0">
        <w:rPr>
          <w:rFonts w:asciiTheme="majorHAnsi" w:hAnsiTheme="majorHAnsi"/>
        </w:rPr>
        <w:t xml:space="preserve">dministratívne </w:t>
      </w:r>
      <w:r w:rsidR="00C2049F" w:rsidRPr="00A11FE0">
        <w:rPr>
          <w:rFonts w:asciiTheme="majorHAnsi" w:hAnsiTheme="majorHAnsi"/>
        </w:rPr>
        <w:t>náročný</w:t>
      </w:r>
      <w:r w:rsidRPr="00A11FE0">
        <w:rPr>
          <w:rFonts w:asciiTheme="majorHAnsi" w:hAnsiTheme="majorHAnsi"/>
        </w:rPr>
        <w:t>.</w:t>
      </w:r>
    </w:p>
    <w:p w:rsidR="00406C25" w:rsidRPr="00A11FE0" w:rsidRDefault="00406C25" w:rsidP="00406C25">
      <w:pPr>
        <w:rPr>
          <w:rFonts w:asciiTheme="majorHAnsi" w:hAnsiTheme="majorHAnsi"/>
        </w:rPr>
      </w:pPr>
      <w:r w:rsidRPr="00A11FE0">
        <w:rPr>
          <w:rFonts w:asciiTheme="majorHAnsi" w:hAnsiTheme="majorHAnsi"/>
        </w:rPr>
        <w:t xml:space="preserve">Zároveň je potrebné vytvoriť predpoklady pre </w:t>
      </w:r>
      <w:r w:rsidR="008C2661">
        <w:rPr>
          <w:rFonts w:asciiTheme="majorHAnsi" w:hAnsiTheme="majorHAnsi"/>
        </w:rPr>
        <w:t>pôsobenie</w:t>
      </w:r>
      <w:r w:rsidR="008C2661" w:rsidRPr="00A11FE0">
        <w:rPr>
          <w:rFonts w:asciiTheme="majorHAnsi" w:hAnsiTheme="majorHAnsi"/>
        </w:rPr>
        <w:t xml:space="preserve"> </w:t>
      </w:r>
      <w:r w:rsidR="00FB3F77">
        <w:rPr>
          <w:rFonts w:asciiTheme="majorHAnsi" w:hAnsiTheme="majorHAnsi"/>
        </w:rPr>
        <w:t>profesijných</w:t>
      </w:r>
      <w:r w:rsidR="00FB3F77" w:rsidRPr="00A11FE0">
        <w:rPr>
          <w:rFonts w:asciiTheme="majorHAnsi" w:hAnsiTheme="majorHAnsi"/>
        </w:rPr>
        <w:t xml:space="preserve"> </w:t>
      </w:r>
      <w:r w:rsidRPr="00A11FE0">
        <w:rPr>
          <w:rFonts w:asciiTheme="majorHAnsi" w:hAnsiTheme="majorHAnsi"/>
        </w:rPr>
        <w:t xml:space="preserve">organizácií </w:t>
      </w:r>
      <w:r w:rsidR="00FB3F77">
        <w:rPr>
          <w:rFonts w:asciiTheme="majorHAnsi" w:hAnsiTheme="majorHAnsi"/>
        </w:rPr>
        <w:t xml:space="preserve">zriadených osobitným zákonom v rámci </w:t>
      </w:r>
      <w:r w:rsidRPr="00A11FE0">
        <w:rPr>
          <w:rFonts w:asciiTheme="majorHAnsi" w:hAnsiTheme="majorHAnsi"/>
        </w:rPr>
        <w:t>podpor</w:t>
      </w:r>
      <w:r w:rsidR="00FB3F77">
        <w:rPr>
          <w:rFonts w:asciiTheme="majorHAnsi" w:hAnsiTheme="majorHAnsi"/>
        </w:rPr>
        <w:t>y</w:t>
      </w:r>
      <w:r w:rsidRPr="00A11FE0">
        <w:rPr>
          <w:rFonts w:asciiTheme="majorHAnsi" w:hAnsiTheme="majorHAnsi"/>
        </w:rPr>
        <w:t xml:space="preserve"> duálneho </w:t>
      </w:r>
      <w:r w:rsidR="00BD5FD5">
        <w:rPr>
          <w:rFonts w:asciiTheme="majorHAnsi" w:hAnsiTheme="majorHAnsi"/>
        </w:rPr>
        <w:t>s</w:t>
      </w:r>
      <w:r w:rsidRPr="00A11FE0">
        <w:rPr>
          <w:rFonts w:asciiTheme="majorHAnsi" w:hAnsiTheme="majorHAnsi"/>
        </w:rPr>
        <w:t xml:space="preserve">ystému odborného vzdelávania </w:t>
      </w:r>
      <w:r w:rsidR="00BD5FD5">
        <w:rPr>
          <w:rFonts w:asciiTheme="majorHAnsi" w:hAnsiTheme="majorHAnsi"/>
        </w:rPr>
        <w:t>a </w:t>
      </w:r>
      <w:r w:rsidRPr="00A11FE0">
        <w:rPr>
          <w:rFonts w:asciiTheme="majorHAnsi" w:hAnsiTheme="majorHAnsi"/>
        </w:rPr>
        <w:t xml:space="preserve">prípravy </w:t>
      </w:r>
      <w:r w:rsidR="00FB3F77">
        <w:rPr>
          <w:rFonts w:asciiTheme="majorHAnsi" w:hAnsiTheme="majorHAnsi"/>
        </w:rPr>
        <w:t xml:space="preserve">mladých ľudí na povolanie. V oblastiach, kde takéto profesijné organizácie nepôsobia, je potrebné vytvoriť predpoklady na vznik nových organizácií, ktoré by v príslušných oblastiach pôsobili v rámci podpory duálneho systému odborného vzdelávania a prípravy mladých ľudí na povolanie. </w:t>
      </w:r>
      <w:r w:rsidRPr="00A11FE0">
        <w:rPr>
          <w:rFonts w:asciiTheme="majorHAnsi" w:hAnsiTheme="majorHAnsi"/>
        </w:rPr>
        <w:t>Ďalej je žiaduce vytvoriť mechanizmus pre zber dát o</w:t>
      </w:r>
      <w:r w:rsidR="000E5BBB">
        <w:rPr>
          <w:rFonts w:asciiTheme="majorHAnsi" w:hAnsiTheme="majorHAnsi"/>
        </w:rPr>
        <w:t> </w:t>
      </w:r>
      <w:r w:rsidRPr="00A11FE0">
        <w:rPr>
          <w:rFonts w:asciiTheme="majorHAnsi" w:hAnsiTheme="majorHAnsi"/>
        </w:rPr>
        <w:t xml:space="preserve">pracovných pozíciách (resp. nadväzujúcom odbore štúdia) </w:t>
      </w:r>
      <w:r w:rsidR="00BD5FD5">
        <w:rPr>
          <w:rFonts w:asciiTheme="majorHAnsi" w:hAnsiTheme="majorHAnsi"/>
        </w:rPr>
        <w:t>a</w:t>
      </w:r>
      <w:r w:rsidRPr="00A11FE0">
        <w:rPr>
          <w:rFonts w:asciiTheme="majorHAnsi" w:hAnsiTheme="majorHAnsi"/>
        </w:rPr>
        <w:t xml:space="preserve">bsolventov </w:t>
      </w:r>
      <w:r w:rsidR="00BD5FD5">
        <w:rPr>
          <w:rFonts w:asciiTheme="majorHAnsi" w:hAnsiTheme="majorHAnsi"/>
        </w:rPr>
        <w:t>s</w:t>
      </w:r>
      <w:r w:rsidRPr="00A11FE0">
        <w:rPr>
          <w:rFonts w:asciiTheme="majorHAnsi" w:hAnsiTheme="majorHAnsi"/>
        </w:rPr>
        <w:t xml:space="preserve">tredných škôl tri roky po ukončení </w:t>
      </w:r>
      <w:r w:rsidR="00BD5FD5">
        <w:rPr>
          <w:rFonts w:asciiTheme="majorHAnsi" w:hAnsiTheme="majorHAnsi"/>
        </w:rPr>
        <w:t>s</w:t>
      </w:r>
      <w:r w:rsidRPr="00A11FE0">
        <w:rPr>
          <w:rFonts w:asciiTheme="majorHAnsi" w:hAnsiTheme="majorHAnsi"/>
        </w:rPr>
        <w:t xml:space="preserve">trednej školy </w:t>
      </w:r>
      <w:r w:rsidR="00BD5FD5">
        <w:rPr>
          <w:rFonts w:asciiTheme="majorHAnsi" w:hAnsiTheme="majorHAnsi"/>
        </w:rPr>
        <w:t>a</w:t>
      </w:r>
      <w:r w:rsidR="00507F4D">
        <w:rPr>
          <w:rFonts w:asciiTheme="majorHAnsi" w:hAnsiTheme="majorHAnsi"/>
        </w:rPr>
        <w:t> vytvoriť mechanizmus, ktorý bude zabezpečovať interpretáciu týchto dát a </w:t>
      </w:r>
      <w:r w:rsidR="00992CAB">
        <w:rPr>
          <w:rFonts w:asciiTheme="majorHAnsi" w:hAnsiTheme="majorHAnsi"/>
        </w:rPr>
        <w:t>zabezpečovať</w:t>
      </w:r>
      <w:r w:rsidR="00507F4D">
        <w:rPr>
          <w:rFonts w:asciiTheme="majorHAnsi" w:hAnsiTheme="majorHAnsi"/>
        </w:rPr>
        <w:t xml:space="preserve"> </w:t>
      </w:r>
      <w:r w:rsidRPr="00A11FE0">
        <w:rPr>
          <w:rFonts w:asciiTheme="majorHAnsi" w:hAnsiTheme="majorHAnsi"/>
        </w:rPr>
        <w:t xml:space="preserve">národné </w:t>
      </w:r>
      <w:r w:rsidR="00BD5FD5">
        <w:rPr>
          <w:rFonts w:asciiTheme="majorHAnsi" w:hAnsiTheme="majorHAnsi"/>
        </w:rPr>
        <w:t>k</w:t>
      </w:r>
      <w:r w:rsidRPr="00A11FE0">
        <w:rPr>
          <w:rFonts w:asciiTheme="majorHAnsi" w:hAnsiTheme="majorHAnsi"/>
        </w:rPr>
        <w:t xml:space="preserve">now-how pre </w:t>
      </w:r>
      <w:r w:rsidR="00BD5FD5">
        <w:rPr>
          <w:rFonts w:asciiTheme="majorHAnsi" w:hAnsiTheme="majorHAnsi"/>
        </w:rPr>
        <w:t>a</w:t>
      </w:r>
      <w:r w:rsidRPr="00A11FE0">
        <w:rPr>
          <w:rFonts w:asciiTheme="majorHAnsi" w:hAnsiTheme="majorHAnsi"/>
        </w:rPr>
        <w:t xml:space="preserve">nticipáciu potrieb trhu práce na základe ďalších dát </w:t>
      </w:r>
      <w:r w:rsidR="00BD5FD5">
        <w:rPr>
          <w:rFonts w:asciiTheme="majorHAnsi" w:hAnsiTheme="majorHAnsi"/>
        </w:rPr>
        <w:t>a </w:t>
      </w:r>
      <w:r w:rsidRPr="00A11FE0">
        <w:rPr>
          <w:rFonts w:asciiTheme="majorHAnsi" w:hAnsiTheme="majorHAnsi"/>
        </w:rPr>
        <w:t>najmä</w:t>
      </w:r>
      <w:r w:rsidR="008B2288">
        <w:rPr>
          <w:rFonts w:asciiTheme="majorHAnsi" w:hAnsiTheme="majorHAnsi"/>
        </w:rPr>
        <w:t xml:space="preserve"> </w:t>
      </w:r>
      <w:r w:rsidRPr="00A11FE0">
        <w:rPr>
          <w:rFonts w:asciiTheme="majorHAnsi" w:hAnsiTheme="majorHAnsi"/>
        </w:rPr>
        <w:t xml:space="preserve">dotazníkového zisťovania dopytu zamestnávateľov po pracovnej </w:t>
      </w:r>
      <w:r w:rsidR="00BD5FD5">
        <w:rPr>
          <w:rFonts w:asciiTheme="majorHAnsi" w:hAnsiTheme="majorHAnsi"/>
        </w:rPr>
        <w:t>s</w:t>
      </w:r>
      <w:r w:rsidRPr="00A11FE0">
        <w:rPr>
          <w:rFonts w:asciiTheme="majorHAnsi" w:hAnsiTheme="majorHAnsi"/>
        </w:rPr>
        <w:t>ile.</w:t>
      </w:r>
    </w:p>
    <w:p w:rsidR="00406C25" w:rsidRPr="00A11FE0" w:rsidRDefault="00BD5FD5" w:rsidP="00723936">
      <w:pPr>
        <w:pStyle w:val="Nadpis7"/>
        <w:numPr>
          <w:ilvl w:val="6"/>
          <w:numId w:val="2"/>
        </w:numPr>
      </w:pPr>
      <w:r>
        <w:t>K</w:t>
      </w:r>
      <w:r w:rsidR="00406C25" w:rsidRPr="00A11FE0">
        <w:t xml:space="preserve">valita </w:t>
      </w:r>
      <w:r>
        <w:t>a </w:t>
      </w:r>
      <w:r w:rsidR="00406C25" w:rsidRPr="00A11FE0">
        <w:t xml:space="preserve">postavenie pedagogických </w:t>
      </w:r>
      <w:r>
        <w:t>a</w:t>
      </w:r>
      <w:r w:rsidR="00406C25" w:rsidRPr="00A11FE0">
        <w:t> odborných zamestnancov</w:t>
      </w:r>
    </w:p>
    <w:p w:rsidR="00406C25" w:rsidRPr="00A11FE0" w:rsidRDefault="00406C25" w:rsidP="00406C25">
      <w:pPr>
        <w:rPr>
          <w:rFonts w:asciiTheme="majorHAnsi" w:hAnsiTheme="majorHAnsi"/>
        </w:rPr>
      </w:pPr>
      <w:r w:rsidRPr="00A11FE0">
        <w:rPr>
          <w:rFonts w:asciiTheme="majorHAnsi" w:hAnsiTheme="majorHAnsi"/>
        </w:rPr>
        <w:t>Mladých učiteľov vo veku do 30 rokov pôsobí v</w:t>
      </w:r>
      <w:r w:rsidR="00343539">
        <w:rPr>
          <w:rFonts w:asciiTheme="majorHAnsi" w:hAnsiTheme="majorHAnsi"/>
        </w:rPr>
        <w:t> </w:t>
      </w:r>
      <w:r w:rsidRPr="00A11FE0">
        <w:rPr>
          <w:rFonts w:asciiTheme="majorHAnsi" w:hAnsiTheme="majorHAnsi"/>
        </w:rPr>
        <w:t>školách len 13,4</w:t>
      </w:r>
      <w:r w:rsidR="00BA46DA" w:rsidRPr="00A11FE0">
        <w:rPr>
          <w:rFonts w:asciiTheme="majorHAnsi" w:hAnsiTheme="majorHAnsi"/>
        </w:rPr>
        <w:t xml:space="preserve"> </w:t>
      </w:r>
      <w:r w:rsidRPr="00A11FE0">
        <w:rPr>
          <w:rFonts w:asciiTheme="majorHAnsi" w:hAnsiTheme="majorHAnsi"/>
        </w:rPr>
        <w:t>% z</w:t>
      </w:r>
      <w:r w:rsidR="000E566F">
        <w:rPr>
          <w:rFonts w:asciiTheme="majorHAnsi" w:hAnsiTheme="majorHAnsi"/>
        </w:rPr>
        <w:t> </w:t>
      </w:r>
      <w:r w:rsidRPr="00A11FE0">
        <w:rPr>
          <w:rFonts w:asciiTheme="majorHAnsi" w:hAnsiTheme="majorHAnsi"/>
        </w:rPr>
        <w:t xml:space="preserve">celkového počtu. </w:t>
      </w:r>
      <w:r w:rsidR="00100534">
        <w:rPr>
          <w:rFonts w:asciiTheme="majorHAnsi" w:hAnsiTheme="majorHAnsi"/>
        </w:rPr>
        <w:t xml:space="preserve">Medián </w:t>
      </w:r>
      <w:r w:rsidRPr="00A11FE0">
        <w:rPr>
          <w:rFonts w:asciiTheme="majorHAnsi" w:hAnsiTheme="majorHAnsi"/>
        </w:rPr>
        <w:t>vek</w:t>
      </w:r>
      <w:r w:rsidR="00100534">
        <w:rPr>
          <w:rFonts w:asciiTheme="majorHAnsi" w:hAnsiTheme="majorHAnsi"/>
        </w:rPr>
        <w:t>u</w:t>
      </w:r>
      <w:r w:rsidRPr="00A11FE0">
        <w:rPr>
          <w:rFonts w:asciiTheme="majorHAnsi" w:hAnsiTheme="majorHAnsi"/>
        </w:rPr>
        <w:t xml:space="preserve"> vysokoškolského pedagóga vo funkcii profesor je 61 rokov</w:t>
      </w:r>
      <w:r w:rsidR="00100534">
        <w:rPr>
          <w:rStyle w:val="Odkaznapoznmkupodiarou"/>
          <w:rFonts w:asciiTheme="majorHAnsi" w:hAnsiTheme="majorHAnsi"/>
        </w:rPr>
        <w:footnoteReference w:id="154"/>
      </w:r>
      <w:r w:rsidR="00CA0F2F">
        <w:rPr>
          <w:rFonts w:asciiTheme="majorHAnsi" w:hAnsiTheme="majorHAnsi"/>
        </w:rPr>
        <w:t>.</w:t>
      </w:r>
    </w:p>
    <w:p w:rsidR="00FF3341" w:rsidRDefault="00406C25" w:rsidP="00406C25">
      <w:pPr>
        <w:rPr>
          <w:rFonts w:asciiTheme="majorHAnsi" w:hAnsiTheme="majorHAnsi"/>
        </w:rPr>
      </w:pPr>
      <w:r w:rsidRPr="00A11FE0">
        <w:rPr>
          <w:rFonts w:asciiTheme="majorHAnsi" w:hAnsiTheme="majorHAnsi"/>
        </w:rPr>
        <w:t xml:space="preserve">Nedostatkom pri dosiahnutí vyššej </w:t>
      </w:r>
      <w:r w:rsidR="00BD5FD5">
        <w:rPr>
          <w:rFonts w:asciiTheme="majorHAnsi" w:hAnsiTheme="majorHAnsi"/>
        </w:rPr>
        <w:t>k</w:t>
      </w:r>
      <w:r w:rsidRPr="00A11FE0">
        <w:rPr>
          <w:rFonts w:asciiTheme="majorHAnsi" w:hAnsiTheme="majorHAnsi"/>
        </w:rPr>
        <w:t xml:space="preserve">vality poskytovaného vzdelávania je obsah, rozsah </w:t>
      </w:r>
      <w:r w:rsidR="00BD5FD5">
        <w:rPr>
          <w:rFonts w:asciiTheme="majorHAnsi" w:hAnsiTheme="majorHAnsi"/>
        </w:rPr>
        <w:t>a s</w:t>
      </w:r>
      <w:r w:rsidRPr="00A11FE0">
        <w:rPr>
          <w:rFonts w:asciiTheme="majorHAnsi" w:hAnsiTheme="majorHAnsi"/>
        </w:rPr>
        <w:t xml:space="preserve">pôsob </w:t>
      </w:r>
      <w:r w:rsidR="00BD5FD5">
        <w:rPr>
          <w:rFonts w:asciiTheme="majorHAnsi" w:hAnsiTheme="majorHAnsi"/>
        </w:rPr>
        <w:t>s</w:t>
      </w:r>
      <w:r w:rsidRPr="00A11FE0">
        <w:rPr>
          <w:rFonts w:asciiTheme="majorHAnsi" w:hAnsiTheme="majorHAnsi"/>
        </w:rPr>
        <w:t xml:space="preserve">tredoškolskej </w:t>
      </w:r>
      <w:r w:rsidR="00BD5FD5">
        <w:rPr>
          <w:rFonts w:asciiTheme="majorHAnsi" w:hAnsiTheme="majorHAnsi"/>
        </w:rPr>
        <w:t>a </w:t>
      </w:r>
      <w:r w:rsidRPr="00A11FE0">
        <w:rPr>
          <w:rFonts w:asciiTheme="majorHAnsi" w:hAnsiTheme="majorHAnsi"/>
        </w:rPr>
        <w:t xml:space="preserve">vysokoškolskej prípravy učiteľov, </w:t>
      </w:r>
      <w:r w:rsidR="00BD5FD5">
        <w:rPr>
          <w:rFonts w:asciiTheme="majorHAnsi" w:hAnsiTheme="majorHAnsi"/>
        </w:rPr>
        <w:t>k</w:t>
      </w:r>
      <w:r w:rsidRPr="00A11FE0">
        <w:rPr>
          <w:rFonts w:asciiTheme="majorHAnsi" w:hAnsiTheme="majorHAnsi"/>
        </w:rPr>
        <w:t>toré nezodpovedajú požiadavkám praxe. V</w:t>
      </w:r>
      <w:r w:rsidR="008B2288">
        <w:rPr>
          <w:rFonts w:asciiTheme="majorHAnsi" w:hAnsiTheme="majorHAnsi"/>
        </w:rPr>
        <w:t> </w:t>
      </w:r>
      <w:r w:rsidRPr="00A11FE0">
        <w:rPr>
          <w:rFonts w:asciiTheme="majorHAnsi" w:hAnsiTheme="majorHAnsi"/>
        </w:rPr>
        <w:t>rámci</w:t>
      </w:r>
      <w:r w:rsidR="008B2288">
        <w:rPr>
          <w:rFonts w:asciiTheme="majorHAnsi" w:hAnsiTheme="majorHAnsi"/>
        </w:rPr>
        <w:t xml:space="preserve"> </w:t>
      </w:r>
      <w:r w:rsidRPr="00A11FE0">
        <w:rPr>
          <w:rFonts w:asciiTheme="majorHAnsi" w:hAnsiTheme="majorHAnsi"/>
        </w:rPr>
        <w:lastRenderedPageBreak/>
        <w:t xml:space="preserve">prípravy na učiteľské povolanie </w:t>
      </w:r>
      <w:r w:rsidR="00BD5FD5">
        <w:rPr>
          <w:rFonts w:asciiTheme="majorHAnsi" w:hAnsiTheme="majorHAnsi"/>
        </w:rPr>
        <w:t>a</w:t>
      </w:r>
      <w:r w:rsidRPr="00A11FE0">
        <w:rPr>
          <w:rFonts w:asciiTheme="majorHAnsi" w:hAnsiTheme="majorHAnsi"/>
        </w:rPr>
        <w:t xml:space="preserve">bsentuje výraznejšie zastúpenie praktickej prípravy, </w:t>
      </w:r>
      <w:r w:rsidR="00BD5FD5">
        <w:rPr>
          <w:rFonts w:asciiTheme="majorHAnsi" w:hAnsiTheme="majorHAnsi"/>
        </w:rPr>
        <w:t>k</w:t>
      </w:r>
      <w:r w:rsidRPr="00A11FE0">
        <w:rPr>
          <w:rFonts w:asciiTheme="majorHAnsi" w:hAnsiTheme="majorHAnsi"/>
        </w:rPr>
        <w:t>torá odzrkadľuje reálne požiadavky učiteľského povolania.</w:t>
      </w:r>
    </w:p>
    <w:p w:rsidR="00406C25" w:rsidRDefault="00384B2F" w:rsidP="00406C25">
      <w:pPr>
        <w:rPr>
          <w:rFonts w:asciiTheme="majorHAnsi" w:hAnsiTheme="majorHAnsi"/>
        </w:rPr>
      </w:pPr>
      <w:r>
        <w:rPr>
          <w:noProof/>
          <w:lang w:eastAsia="sk-SK"/>
        </w:rPr>
        <w:drawing>
          <wp:anchor distT="0" distB="0" distL="114300" distR="114300" simplePos="0" relativeHeight="251750400" behindDoc="0" locked="0" layoutInCell="1" allowOverlap="1" wp14:anchorId="32F94450" wp14:editId="1FBE6F41">
            <wp:simplePos x="0" y="0"/>
            <wp:positionH relativeFrom="column">
              <wp:posOffset>3242945</wp:posOffset>
            </wp:positionH>
            <wp:positionV relativeFrom="paragraph">
              <wp:posOffset>1145540</wp:posOffset>
            </wp:positionV>
            <wp:extent cx="2557780" cy="2012950"/>
            <wp:effectExtent l="0" t="0" r="0" b="6350"/>
            <wp:wrapSquare wrapText="bothSides"/>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7780"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341" w:rsidRPr="00FF3341">
        <w:rPr>
          <w:rFonts w:asciiTheme="majorHAnsi" w:hAnsiTheme="majorHAnsi"/>
        </w:rPr>
        <w:t>Za účelom zvýšenia atraktivity učiteľského povolania a zlepšenia postavenia a kvality pedagogických a odborných zamestnancov</w:t>
      </w:r>
      <w:r w:rsidR="0055646E">
        <w:rPr>
          <w:rFonts w:asciiTheme="majorHAnsi" w:hAnsiTheme="majorHAnsi"/>
        </w:rPr>
        <w:t xml:space="preserve"> by sa malo</w:t>
      </w:r>
      <w:r w:rsidR="00FF3341" w:rsidRPr="00FF3341">
        <w:rPr>
          <w:rFonts w:asciiTheme="majorHAnsi" w:hAnsiTheme="majorHAnsi"/>
        </w:rPr>
        <w:t xml:space="preserve"> investovať do získavania profesijných kompetencií prostredníctvom kontinuálneho vzdelávania učiteľov už pôsobiacich v</w:t>
      </w:r>
      <w:r w:rsidR="00343539">
        <w:rPr>
          <w:rFonts w:asciiTheme="majorHAnsi" w:hAnsiTheme="majorHAnsi"/>
        </w:rPr>
        <w:t> </w:t>
      </w:r>
      <w:r w:rsidR="00FF3341" w:rsidRPr="00FF3341">
        <w:rPr>
          <w:rFonts w:asciiTheme="majorHAnsi" w:hAnsiTheme="majorHAnsi"/>
        </w:rPr>
        <w:t>systéme vzdelávania a skvalitnenia prípravy budúcich pedagogických a odborných zamestnancov s výraznejším prepojením na praktickú stránku výučby a inkluzívny rozmer vzdelávania. Súčasťou podpory</w:t>
      </w:r>
      <w:r w:rsidR="0055646E">
        <w:rPr>
          <w:rFonts w:asciiTheme="majorHAnsi" w:hAnsiTheme="majorHAnsi"/>
        </w:rPr>
        <w:t xml:space="preserve"> by malo byť </w:t>
      </w:r>
      <w:r w:rsidR="00FF3341" w:rsidRPr="00FF3341">
        <w:rPr>
          <w:rFonts w:asciiTheme="majorHAnsi" w:hAnsiTheme="majorHAnsi"/>
        </w:rPr>
        <w:t>aj zvýše</w:t>
      </w:r>
      <w:r w:rsidR="00343539">
        <w:rPr>
          <w:rFonts w:asciiTheme="majorHAnsi" w:hAnsiTheme="majorHAnsi"/>
        </w:rPr>
        <w:t>nie efektívnosti riadenia škôl.</w:t>
      </w:r>
    </w:p>
    <w:p w:rsidR="00406C25" w:rsidRPr="00A11FE0" w:rsidRDefault="00BD5FD5" w:rsidP="00723936">
      <w:pPr>
        <w:pStyle w:val="Nadpis5"/>
        <w:numPr>
          <w:ilvl w:val="4"/>
          <w:numId w:val="2"/>
        </w:numPr>
        <w:ind w:left="1292"/>
      </w:pPr>
      <w:r>
        <w:t>K</w:t>
      </w:r>
      <w:r w:rsidR="00406C25" w:rsidRPr="00A11FE0">
        <w:t>valita terciárneho vzdelávania</w:t>
      </w:r>
    </w:p>
    <w:p w:rsidR="00406C25" w:rsidRPr="00A11FE0" w:rsidRDefault="00406C25" w:rsidP="00406C25">
      <w:pPr>
        <w:rPr>
          <w:rFonts w:asciiTheme="majorHAnsi" w:hAnsiTheme="majorHAnsi"/>
        </w:rPr>
      </w:pPr>
      <w:r w:rsidRPr="00A11FE0">
        <w:rPr>
          <w:rFonts w:asciiTheme="majorHAnsi" w:hAnsiTheme="majorHAnsi"/>
        </w:rPr>
        <w:t xml:space="preserve">Počet </w:t>
      </w:r>
      <w:r w:rsidR="008E7522" w:rsidRPr="008E7522">
        <w:rPr>
          <w:rFonts w:asciiTheme="majorHAnsi" w:hAnsiTheme="majorHAnsi"/>
        </w:rPr>
        <w:t>vysokých škôl (ďalej len „VŠ“)</w:t>
      </w:r>
      <w:r w:rsidRPr="00A11FE0">
        <w:rPr>
          <w:rFonts w:asciiTheme="majorHAnsi" w:hAnsiTheme="majorHAnsi"/>
        </w:rPr>
        <w:t xml:space="preserve"> za posledných 20 rokov narástol z 11 na </w:t>
      </w:r>
      <w:r w:rsidR="00BD5FD5">
        <w:rPr>
          <w:rFonts w:asciiTheme="majorHAnsi" w:hAnsiTheme="majorHAnsi"/>
        </w:rPr>
        <w:t>s</w:t>
      </w:r>
      <w:r w:rsidRPr="00A11FE0">
        <w:rPr>
          <w:rFonts w:asciiTheme="majorHAnsi" w:hAnsiTheme="majorHAnsi"/>
        </w:rPr>
        <w:t>účasných 37</w:t>
      </w:r>
      <w:r w:rsidR="00992CAB">
        <w:rPr>
          <w:rFonts w:asciiTheme="majorHAnsi" w:hAnsiTheme="majorHAnsi"/>
        </w:rPr>
        <w:t>.</w:t>
      </w:r>
      <w:r w:rsidRPr="00A11FE0">
        <w:rPr>
          <w:rFonts w:asciiTheme="majorHAnsi" w:hAnsiTheme="majorHAnsi"/>
        </w:rPr>
        <w:t xml:space="preserve"> Počet študentov </w:t>
      </w:r>
      <w:r w:rsidR="00BD5FD5">
        <w:rPr>
          <w:rFonts w:asciiTheme="majorHAnsi" w:hAnsiTheme="majorHAnsi"/>
        </w:rPr>
        <w:t>s</w:t>
      </w:r>
      <w:r w:rsidRPr="00A11FE0">
        <w:rPr>
          <w:rFonts w:asciiTheme="majorHAnsi" w:hAnsiTheme="majorHAnsi"/>
        </w:rPr>
        <w:t>a zvýšil z</w:t>
      </w:r>
      <w:r w:rsidR="0055646E">
        <w:rPr>
          <w:rFonts w:asciiTheme="majorHAnsi" w:hAnsiTheme="majorHAnsi"/>
        </w:rPr>
        <w:t>o</w:t>
      </w:r>
      <w:r w:rsidRPr="00A11FE0">
        <w:rPr>
          <w:rFonts w:asciiTheme="majorHAnsi" w:hAnsiTheme="majorHAnsi"/>
        </w:rPr>
        <w:t> 63</w:t>
      </w:r>
      <w:r w:rsidR="0055646E">
        <w:rPr>
          <w:rFonts w:asciiTheme="majorHAnsi" w:hAnsiTheme="majorHAnsi"/>
        </w:rPr>
        <w:t xml:space="preserve"> tisíc</w:t>
      </w:r>
      <w:r w:rsidRPr="00A11FE0">
        <w:rPr>
          <w:rFonts w:asciiTheme="majorHAnsi" w:hAnsiTheme="majorHAnsi"/>
        </w:rPr>
        <w:t xml:space="preserve"> na takmer 250 tisíc. </w:t>
      </w:r>
      <w:r w:rsidR="008E7522" w:rsidRPr="008E7522">
        <w:rPr>
          <w:rFonts w:asciiTheme="majorHAnsi" w:hAnsiTheme="majorHAnsi"/>
        </w:rPr>
        <w:t>Súčasným problémom systému vzdelávania</w:t>
      </w:r>
      <w:r w:rsidR="002B3AD2">
        <w:rPr>
          <w:rFonts w:asciiTheme="majorHAnsi" w:hAnsiTheme="majorHAnsi"/>
        </w:rPr>
        <w:t>,</w:t>
      </w:r>
      <w:r w:rsidR="008E7522" w:rsidRPr="008E7522">
        <w:rPr>
          <w:rFonts w:asciiTheme="majorHAnsi" w:hAnsiTheme="majorHAnsi"/>
        </w:rPr>
        <w:t xml:space="preserve"> vo väzbe na inovačnú výkonnosť SR</w:t>
      </w:r>
      <w:r w:rsidR="002B3AD2">
        <w:rPr>
          <w:rFonts w:asciiTheme="majorHAnsi" w:hAnsiTheme="majorHAnsi"/>
        </w:rPr>
        <w:t>,</w:t>
      </w:r>
      <w:r w:rsidR="008E7522" w:rsidRPr="008E7522">
        <w:rPr>
          <w:rFonts w:asciiTheme="majorHAnsi" w:hAnsiTheme="majorHAnsi"/>
        </w:rPr>
        <w:t xml:space="preserve"> je najmä nízka kvalita, nesúlad s požiadavkami trhu práce, efektívnosť a otvorenosť terciárneho vzdelávania a pravidelná aktualizácia dlhodobého zámeru v oblasti vysokého školstva, s cieľom prispôsobovania sa politike rozvoja VŠ SR, ako aj potrebám spoločnosti a trhu</w:t>
      </w:r>
      <w:r w:rsidR="008E7522" w:rsidRPr="008E7522">
        <w:rPr>
          <w:rFonts w:asciiTheme="majorHAnsi" w:hAnsiTheme="majorHAnsi"/>
          <w:vertAlign w:val="superscript"/>
        </w:rPr>
        <w:footnoteReference w:id="155"/>
      </w:r>
      <w:r w:rsidR="000E5BBB">
        <w:rPr>
          <w:rFonts w:asciiTheme="majorHAnsi" w:hAnsiTheme="majorHAnsi"/>
        </w:rPr>
        <w:t xml:space="preserve">. </w:t>
      </w:r>
      <w:r w:rsidRPr="00A11FE0">
        <w:rPr>
          <w:rFonts w:asciiTheme="majorHAnsi" w:hAnsiTheme="majorHAnsi"/>
        </w:rPr>
        <w:t xml:space="preserve">Na fakulty </w:t>
      </w:r>
      <w:r w:rsidR="00BD5FD5">
        <w:rPr>
          <w:rFonts w:asciiTheme="majorHAnsi" w:hAnsiTheme="majorHAnsi"/>
        </w:rPr>
        <w:t>s</w:t>
      </w:r>
      <w:r w:rsidRPr="00A11FE0">
        <w:rPr>
          <w:rFonts w:asciiTheme="majorHAnsi" w:hAnsiTheme="majorHAnsi"/>
        </w:rPr>
        <w:t xml:space="preserve">poločensko-vedných odborov </w:t>
      </w:r>
      <w:r w:rsidR="00BD5FD5">
        <w:rPr>
          <w:rFonts w:asciiTheme="majorHAnsi" w:hAnsiTheme="majorHAnsi"/>
        </w:rPr>
        <w:t>s</w:t>
      </w:r>
      <w:r w:rsidRPr="00A11FE0">
        <w:rPr>
          <w:rFonts w:asciiTheme="majorHAnsi" w:hAnsiTheme="majorHAnsi"/>
        </w:rPr>
        <w:t xml:space="preserve">a hlási </w:t>
      </w:r>
      <w:r w:rsidR="00BD5FD5">
        <w:rPr>
          <w:rFonts w:asciiTheme="majorHAnsi" w:hAnsiTheme="majorHAnsi"/>
        </w:rPr>
        <w:t>s</w:t>
      </w:r>
      <w:r w:rsidRPr="00A11FE0">
        <w:rPr>
          <w:rFonts w:asciiTheme="majorHAnsi" w:hAnsiTheme="majorHAnsi"/>
        </w:rPr>
        <w:t xml:space="preserve">tále čoraz viac ľudí, hoci je trh profesiami právnikov, manažérov </w:t>
      </w:r>
      <w:r w:rsidR="00BD5FD5">
        <w:rPr>
          <w:rFonts w:asciiTheme="majorHAnsi" w:hAnsiTheme="majorHAnsi"/>
        </w:rPr>
        <w:t>a </w:t>
      </w:r>
      <w:r w:rsidRPr="00A11FE0">
        <w:rPr>
          <w:rFonts w:asciiTheme="majorHAnsi" w:hAnsiTheme="majorHAnsi"/>
        </w:rPr>
        <w:t xml:space="preserve">ostatných </w:t>
      </w:r>
      <w:r w:rsidR="00BD5FD5">
        <w:rPr>
          <w:rFonts w:asciiTheme="majorHAnsi" w:hAnsiTheme="majorHAnsi"/>
        </w:rPr>
        <w:t>a</w:t>
      </w:r>
      <w:r w:rsidRPr="00A11FE0">
        <w:rPr>
          <w:rFonts w:asciiTheme="majorHAnsi" w:hAnsiTheme="majorHAnsi"/>
        </w:rPr>
        <w:t xml:space="preserve">bsolventov týchto odborov presýtený </w:t>
      </w:r>
      <w:r w:rsidR="00BD5FD5">
        <w:rPr>
          <w:rFonts w:asciiTheme="majorHAnsi" w:hAnsiTheme="majorHAnsi"/>
        </w:rPr>
        <w:t>a </w:t>
      </w:r>
      <w:r w:rsidRPr="00A11FE0">
        <w:rPr>
          <w:rFonts w:asciiTheme="majorHAnsi" w:hAnsiTheme="majorHAnsi"/>
        </w:rPr>
        <w:t xml:space="preserve">trpí </w:t>
      </w:r>
      <w:r w:rsidR="00BD5FD5">
        <w:rPr>
          <w:rFonts w:asciiTheme="majorHAnsi" w:hAnsiTheme="majorHAnsi"/>
        </w:rPr>
        <w:t>ak</w:t>
      </w:r>
      <w:r w:rsidRPr="00A11FE0">
        <w:rPr>
          <w:rFonts w:asciiTheme="majorHAnsi" w:hAnsiTheme="majorHAnsi"/>
        </w:rPr>
        <w:t xml:space="preserve">útnym nedostatkom </w:t>
      </w:r>
      <w:r w:rsidR="00BD5FD5">
        <w:rPr>
          <w:rFonts w:asciiTheme="majorHAnsi" w:hAnsiTheme="majorHAnsi"/>
        </w:rPr>
        <w:t>a</w:t>
      </w:r>
      <w:r w:rsidRPr="00A11FE0">
        <w:rPr>
          <w:rFonts w:asciiTheme="majorHAnsi" w:hAnsiTheme="majorHAnsi"/>
        </w:rPr>
        <w:t xml:space="preserve">bsolventov odborov technického zamerania. Odlev mladých ľudí za </w:t>
      </w:r>
      <w:r w:rsidR="00BD5FD5">
        <w:rPr>
          <w:rFonts w:asciiTheme="majorHAnsi" w:hAnsiTheme="majorHAnsi"/>
        </w:rPr>
        <w:t>k</w:t>
      </w:r>
      <w:r w:rsidRPr="00A11FE0">
        <w:rPr>
          <w:rFonts w:asciiTheme="majorHAnsi" w:hAnsiTheme="majorHAnsi"/>
        </w:rPr>
        <w:t xml:space="preserve">valitnejším vzdelaním na zahraničné </w:t>
      </w:r>
      <w:r w:rsidR="00992CAB">
        <w:rPr>
          <w:rFonts w:asciiTheme="majorHAnsi" w:hAnsiTheme="majorHAnsi"/>
        </w:rPr>
        <w:t>VŠ</w:t>
      </w:r>
      <w:r w:rsidRPr="00A11FE0">
        <w:rPr>
          <w:rFonts w:asciiTheme="majorHAnsi" w:hAnsiTheme="majorHAnsi"/>
        </w:rPr>
        <w:t xml:space="preserve"> </w:t>
      </w:r>
      <w:r w:rsidR="00BD5FD5">
        <w:rPr>
          <w:rFonts w:asciiTheme="majorHAnsi" w:hAnsiTheme="majorHAnsi"/>
        </w:rPr>
        <w:t>a</w:t>
      </w:r>
      <w:r w:rsidRPr="00A11FE0">
        <w:rPr>
          <w:rFonts w:asciiTheme="majorHAnsi" w:hAnsiTheme="majorHAnsi"/>
        </w:rPr>
        <w:t xml:space="preserve"> univerzity </w:t>
      </w:r>
      <w:r w:rsidR="00BD5FD5">
        <w:rPr>
          <w:rFonts w:asciiTheme="majorHAnsi" w:hAnsiTheme="majorHAnsi"/>
        </w:rPr>
        <w:t>k</w:t>
      </w:r>
      <w:r w:rsidRPr="00A11FE0">
        <w:rPr>
          <w:rFonts w:asciiTheme="majorHAnsi" w:hAnsiTheme="majorHAnsi"/>
        </w:rPr>
        <w:t xml:space="preserve">ontinuálne rastie, napriek </w:t>
      </w:r>
      <w:r w:rsidR="00BD5FD5">
        <w:rPr>
          <w:rFonts w:asciiTheme="majorHAnsi" w:hAnsiTheme="majorHAnsi"/>
        </w:rPr>
        <w:t>s</w:t>
      </w:r>
      <w:r w:rsidRPr="00A11FE0">
        <w:rPr>
          <w:rFonts w:asciiTheme="majorHAnsi" w:hAnsiTheme="majorHAnsi"/>
        </w:rPr>
        <w:t xml:space="preserve">pomaleniu vyvolaného </w:t>
      </w:r>
      <w:r w:rsidR="00BD5FD5">
        <w:rPr>
          <w:rFonts w:asciiTheme="majorHAnsi" w:hAnsiTheme="majorHAnsi"/>
        </w:rPr>
        <w:t>k</w:t>
      </w:r>
      <w:r w:rsidRPr="00A11FE0">
        <w:rPr>
          <w:rFonts w:asciiTheme="majorHAnsi" w:hAnsiTheme="majorHAnsi"/>
        </w:rPr>
        <w:t>rízou</w:t>
      </w:r>
      <w:r w:rsidRPr="00A11FE0">
        <w:rPr>
          <w:rStyle w:val="Odkaznapoznmkupodiarou"/>
          <w:rFonts w:asciiTheme="majorHAnsi" w:hAnsiTheme="majorHAnsi"/>
        </w:rPr>
        <w:footnoteReference w:id="156"/>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poklesu 19-ročných obyvateľov od roku 2009 </w:t>
      </w:r>
      <w:r w:rsidR="00BD5FD5">
        <w:rPr>
          <w:rFonts w:asciiTheme="majorHAnsi" w:hAnsiTheme="majorHAnsi"/>
        </w:rPr>
        <w:t>a </w:t>
      </w:r>
      <w:r w:rsidRPr="00A11FE0">
        <w:rPr>
          <w:rFonts w:asciiTheme="majorHAnsi" w:hAnsiTheme="majorHAnsi"/>
        </w:rPr>
        <w:t xml:space="preserve">následne </w:t>
      </w:r>
      <w:r w:rsidR="00BD5FD5">
        <w:rPr>
          <w:rFonts w:asciiTheme="majorHAnsi" w:hAnsiTheme="majorHAnsi"/>
        </w:rPr>
        <w:t>a</w:t>
      </w:r>
      <w:r w:rsidRPr="00A11FE0">
        <w:rPr>
          <w:rFonts w:asciiTheme="majorHAnsi" w:hAnsiTheme="majorHAnsi"/>
        </w:rPr>
        <w:t>j novo</w:t>
      </w:r>
      <w:r w:rsidR="0055646E">
        <w:rPr>
          <w:rFonts w:asciiTheme="majorHAnsi" w:hAnsiTheme="majorHAnsi"/>
        </w:rPr>
        <w:t xml:space="preserve"> </w:t>
      </w:r>
      <w:r w:rsidRPr="00A11FE0">
        <w:rPr>
          <w:rFonts w:asciiTheme="majorHAnsi" w:hAnsiTheme="majorHAnsi"/>
        </w:rPr>
        <w:t>prijímaných študentov. Ročne štúdium v </w:t>
      </w:r>
      <w:r w:rsidR="00BD5FD5">
        <w:rPr>
          <w:rFonts w:asciiTheme="majorHAnsi" w:hAnsiTheme="majorHAnsi"/>
        </w:rPr>
        <w:t>S</w:t>
      </w:r>
      <w:r w:rsidRPr="00A11FE0">
        <w:rPr>
          <w:rFonts w:asciiTheme="majorHAnsi" w:hAnsiTheme="majorHAnsi"/>
        </w:rPr>
        <w:t xml:space="preserve">R </w:t>
      </w:r>
      <w:r w:rsidR="0055646E">
        <w:rPr>
          <w:rFonts w:asciiTheme="majorHAnsi" w:hAnsiTheme="majorHAnsi"/>
        </w:rPr>
        <w:t>u</w:t>
      </w:r>
      <w:r w:rsidR="00BD5FD5">
        <w:rPr>
          <w:rFonts w:asciiTheme="majorHAnsi" w:hAnsiTheme="majorHAnsi"/>
        </w:rPr>
        <w:t>k</w:t>
      </w:r>
      <w:r w:rsidRPr="00A11FE0">
        <w:rPr>
          <w:rFonts w:asciiTheme="majorHAnsi" w:hAnsiTheme="majorHAnsi"/>
        </w:rPr>
        <w:t xml:space="preserve">ončí vyše 70-tisíc </w:t>
      </w:r>
      <w:r w:rsidR="00BD5FD5">
        <w:rPr>
          <w:rFonts w:asciiTheme="majorHAnsi" w:hAnsiTheme="majorHAnsi"/>
        </w:rPr>
        <w:t>a</w:t>
      </w:r>
      <w:r w:rsidRPr="00A11FE0">
        <w:rPr>
          <w:rFonts w:asciiTheme="majorHAnsi" w:hAnsiTheme="majorHAnsi"/>
        </w:rPr>
        <w:t>bsolventov</w:t>
      </w:r>
      <w:r w:rsidR="00100534">
        <w:rPr>
          <w:rFonts w:asciiTheme="majorHAnsi" w:hAnsiTheme="majorHAnsi"/>
        </w:rPr>
        <w:t xml:space="preserve"> </w:t>
      </w:r>
      <w:r w:rsidR="00100534" w:rsidRPr="00E52D37">
        <w:rPr>
          <w:rFonts w:asciiTheme="majorHAnsi" w:hAnsiTheme="majorHAnsi"/>
        </w:rPr>
        <w:t>spolu v</w:t>
      </w:r>
      <w:r w:rsidR="00E521D1">
        <w:rPr>
          <w:rFonts w:asciiTheme="majorHAnsi" w:hAnsiTheme="majorHAnsi"/>
        </w:rPr>
        <w:t> </w:t>
      </w:r>
      <w:r w:rsidR="00100534" w:rsidRPr="00E52D37">
        <w:rPr>
          <w:rFonts w:asciiTheme="majorHAnsi" w:hAnsiTheme="majorHAnsi"/>
        </w:rPr>
        <w:t>dennej aj externej forme vo všetkých troch stupňoch vysokoškolského vzdelávania</w:t>
      </w:r>
      <w:r w:rsidRPr="00A11FE0">
        <w:rPr>
          <w:rFonts w:asciiTheme="majorHAnsi" w:hAnsiTheme="majorHAnsi"/>
        </w:rPr>
        <w:t>.</w:t>
      </w:r>
    </w:p>
    <w:p w:rsidR="008E7522" w:rsidRPr="008E7522" w:rsidRDefault="00406C25" w:rsidP="008E7522">
      <w:pPr>
        <w:rPr>
          <w:rFonts w:asciiTheme="majorHAnsi" w:hAnsiTheme="majorHAnsi"/>
        </w:rPr>
      </w:pPr>
      <w:r w:rsidRPr="00A11FE0">
        <w:rPr>
          <w:rFonts w:asciiTheme="majorHAnsi" w:hAnsiTheme="majorHAnsi"/>
        </w:rPr>
        <w:t xml:space="preserve">Zámerom je, </w:t>
      </w:r>
      <w:r w:rsidR="00BD5FD5">
        <w:rPr>
          <w:rFonts w:asciiTheme="majorHAnsi" w:hAnsiTheme="majorHAnsi"/>
        </w:rPr>
        <w:t>a</w:t>
      </w:r>
      <w:r w:rsidRPr="00A11FE0">
        <w:rPr>
          <w:rFonts w:asciiTheme="majorHAnsi" w:hAnsiTheme="majorHAnsi"/>
        </w:rPr>
        <w:t xml:space="preserve">by </w:t>
      </w:r>
      <w:r w:rsidR="00992CAB">
        <w:rPr>
          <w:rFonts w:asciiTheme="majorHAnsi" w:hAnsiTheme="majorHAnsi"/>
        </w:rPr>
        <w:t>VŠ</w:t>
      </w:r>
      <w:r w:rsidRPr="00A11FE0">
        <w:rPr>
          <w:rFonts w:asciiTheme="majorHAnsi" w:hAnsiTheme="majorHAnsi"/>
        </w:rPr>
        <w:t xml:space="preserve"> pri vytváraní študijných programov </w:t>
      </w:r>
      <w:r w:rsidR="00061914">
        <w:rPr>
          <w:rFonts w:asciiTheme="majorHAnsi" w:hAnsiTheme="majorHAnsi"/>
        </w:rPr>
        <w:t xml:space="preserve">trvale </w:t>
      </w:r>
      <w:r w:rsidR="00BD5FD5">
        <w:rPr>
          <w:rFonts w:asciiTheme="majorHAnsi" w:hAnsiTheme="majorHAnsi"/>
        </w:rPr>
        <w:t>k</w:t>
      </w:r>
      <w:r w:rsidRPr="00A11FE0">
        <w:rPr>
          <w:rFonts w:asciiTheme="majorHAnsi" w:hAnsiTheme="majorHAnsi"/>
        </w:rPr>
        <w:t xml:space="preserve">ládli </w:t>
      </w:r>
      <w:r w:rsidR="00061914">
        <w:rPr>
          <w:rFonts w:asciiTheme="majorHAnsi" w:hAnsiTheme="majorHAnsi"/>
        </w:rPr>
        <w:t>najvyšší</w:t>
      </w:r>
      <w:r w:rsidR="00061914" w:rsidRPr="00A11FE0">
        <w:rPr>
          <w:rFonts w:asciiTheme="majorHAnsi" w:hAnsiTheme="majorHAnsi"/>
        </w:rPr>
        <w:t xml:space="preserve"> </w:t>
      </w:r>
      <w:r w:rsidRPr="00A11FE0">
        <w:rPr>
          <w:rFonts w:asciiTheme="majorHAnsi" w:hAnsiTheme="majorHAnsi"/>
        </w:rPr>
        <w:t xml:space="preserve">dôraz na profil </w:t>
      </w:r>
      <w:r w:rsidR="00BD5FD5">
        <w:rPr>
          <w:rFonts w:asciiTheme="majorHAnsi" w:hAnsiTheme="majorHAnsi"/>
        </w:rPr>
        <w:t>a</w:t>
      </w:r>
      <w:r w:rsidRPr="00A11FE0">
        <w:rPr>
          <w:rFonts w:asciiTheme="majorHAnsi" w:hAnsiTheme="majorHAnsi"/>
        </w:rPr>
        <w:t xml:space="preserve">bsolventa </w:t>
      </w:r>
      <w:r w:rsidR="00BD5FD5">
        <w:rPr>
          <w:rFonts w:asciiTheme="majorHAnsi" w:hAnsiTheme="majorHAnsi"/>
        </w:rPr>
        <w:t>a </w:t>
      </w:r>
      <w:r w:rsidRPr="00A11FE0">
        <w:rPr>
          <w:rFonts w:asciiTheme="majorHAnsi" w:hAnsiTheme="majorHAnsi"/>
        </w:rPr>
        <w:t xml:space="preserve">výsledky vzdelávania. </w:t>
      </w:r>
      <w:r w:rsidR="008E7522" w:rsidRPr="008E7522">
        <w:rPr>
          <w:rFonts w:asciiTheme="majorHAnsi" w:hAnsiTheme="majorHAnsi"/>
        </w:rPr>
        <w:t>Od roku 2013 je vytvorené právne prostredie na tvorbu profesijne orientovaných bakalárskych študijných programov, ktorých absolventi by sa mohli uplatniť na trhu práce bez nevyhnutnosti pokračovania na druhom stupni štúdia</w:t>
      </w:r>
      <w:r w:rsidR="008E7522" w:rsidRPr="008E7522">
        <w:rPr>
          <w:rFonts w:asciiTheme="majorHAnsi" w:hAnsiTheme="majorHAnsi"/>
          <w:vertAlign w:val="superscript"/>
        </w:rPr>
        <w:footnoteReference w:id="157"/>
      </w:r>
      <w:r w:rsidR="008E7522" w:rsidRPr="008E7522">
        <w:rPr>
          <w:rFonts w:asciiTheme="majorHAnsi" w:hAnsiTheme="majorHAnsi"/>
        </w:rPr>
        <w:t xml:space="preserve">. V akademickom roku 2012/2013 prejavilo 89,8 % študentov </w:t>
      </w:r>
      <w:r w:rsidR="001E2900">
        <w:rPr>
          <w:rFonts w:asciiTheme="majorHAnsi" w:hAnsiTheme="majorHAnsi"/>
        </w:rPr>
        <w:t xml:space="preserve">záujem </w:t>
      </w:r>
      <w:r w:rsidR="008E7522" w:rsidRPr="008E7522">
        <w:rPr>
          <w:rFonts w:asciiTheme="majorHAnsi" w:hAnsiTheme="majorHAnsi"/>
        </w:rPr>
        <w:t>pokračovať v</w:t>
      </w:r>
      <w:r w:rsidR="000E5BBB">
        <w:rPr>
          <w:rFonts w:asciiTheme="majorHAnsi" w:hAnsiTheme="majorHAnsi"/>
        </w:rPr>
        <w:t> </w:t>
      </w:r>
      <w:r w:rsidR="008E7522" w:rsidRPr="008E7522">
        <w:rPr>
          <w:rFonts w:asciiTheme="majorHAnsi" w:hAnsiTheme="majorHAnsi"/>
        </w:rPr>
        <w:t xml:space="preserve">druhom stupni štúdia. Z uvedeného vyplýva, že prvý/bakalársky stupeň štúdia nie je stále považovaný za postačujúci na uplatnenie sa na trhu práce, a to ani zo strany študentov, ako aj zamestnávateľov. </w:t>
      </w:r>
      <w:r w:rsidRPr="00A11FE0">
        <w:rPr>
          <w:rFonts w:asciiTheme="majorHAnsi" w:hAnsiTheme="majorHAnsi"/>
        </w:rPr>
        <w:t>V</w:t>
      </w:r>
      <w:r w:rsidR="00343539">
        <w:rPr>
          <w:rFonts w:asciiTheme="majorHAnsi" w:hAnsiTheme="majorHAnsi"/>
        </w:rPr>
        <w:t> </w:t>
      </w:r>
      <w:r w:rsidRPr="00A11FE0">
        <w:rPr>
          <w:rFonts w:asciiTheme="majorHAnsi" w:hAnsiTheme="majorHAnsi"/>
        </w:rPr>
        <w:t xml:space="preserve">rámci </w:t>
      </w:r>
      <w:r w:rsidR="00BD5FD5">
        <w:rPr>
          <w:rFonts w:asciiTheme="majorHAnsi" w:hAnsiTheme="majorHAnsi"/>
        </w:rPr>
        <w:t>s</w:t>
      </w:r>
      <w:r w:rsidRPr="00A11FE0">
        <w:rPr>
          <w:rFonts w:asciiTheme="majorHAnsi" w:hAnsiTheme="majorHAnsi"/>
        </w:rPr>
        <w:t>nahy o</w:t>
      </w:r>
      <w:r w:rsidR="00CA0F2F">
        <w:rPr>
          <w:rFonts w:asciiTheme="majorHAnsi" w:hAnsiTheme="majorHAnsi"/>
        </w:rPr>
        <w:t> </w:t>
      </w:r>
      <w:r w:rsidRPr="00A11FE0">
        <w:rPr>
          <w:rFonts w:asciiTheme="majorHAnsi" w:hAnsiTheme="majorHAnsi"/>
        </w:rPr>
        <w:t>zvýšenie</w:t>
      </w:r>
      <w:r w:rsidR="00CA0F2F">
        <w:rPr>
          <w:rFonts w:asciiTheme="majorHAnsi" w:hAnsiTheme="majorHAnsi"/>
        </w:rPr>
        <w:t xml:space="preserve"> </w:t>
      </w:r>
      <w:r w:rsidR="00BD5FD5">
        <w:rPr>
          <w:rFonts w:asciiTheme="majorHAnsi" w:hAnsiTheme="majorHAnsi"/>
        </w:rPr>
        <w:t>k</w:t>
      </w:r>
      <w:r w:rsidRPr="00A11FE0">
        <w:rPr>
          <w:rFonts w:asciiTheme="majorHAnsi" w:hAnsiTheme="majorHAnsi"/>
        </w:rPr>
        <w:t xml:space="preserve">vality vysokoškolského vzdelávania </w:t>
      </w:r>
      <w:r w:rsidR="00BD5FD5">
        <w:rPr>
          <w:rFonts w:asciiTheme="majorHAnsi" w:hAnsiTheme="majorHAnsi"/>
        </w:rPr>
        <w:t>s</w:t>
      </w:r>
      <w:r w:rsidRPr="00A11FE0">
        <w:rPr>
          <w:rFonts w:asciiTheme="majorHAnsi" w:hAnsiTheme="majorHAnsi"/>
        </w:rPr>
        <w:t>a</w:t>
      </w:r>
      <w:r w:rsidR="0055646E">
        <w:rPr>
          <w:rFonts w:asciiTheme="majorHAnsi" w:hAnsiTheme="majorHAnsi"/>
        </w:rPr>
        <w:t xml:space="preserve"> ako</w:t>
      </w:r>
      <w:r w:rsidRPr="00A11FE0">
        <w:rPr>
          <w:rFonts w:asciiTheme="majorHAnsi" w:hAnsiTheme="majorHAnsi"/>
        </w:rPr>
        <w:t xml:space="preserve"> najvýznamnejš</w:t>
      </w:r>
      <w:r w:rsidR="0055646E">
        <w:rPr>
          <w:rFonts w:asciiTheme="majorHAnsi" w:hAnsiTheme="majorHAnsi"/>
        </w:rPr>
        <w:t>ie</w:t>
      </w:r>
      <w:r w:rsidRPr="00A11FE0">
        <w:rPr>
          <w:rFonts w:asciiTheme="majorHAnsi" w:hAnsiTheme="majorHAnsi"/>
        </w:rPr>
        <w:t xml:space="preserve"> nástroj</w:t>
      </w:r>
      <w:r w:rsidR="0055646E">
        <w:rPr>
          <w:rFonts w:asciiTheme="majorHAnsi" w:hAnsiTheme="majorHAnsi"/>
        </w:rPr>
        <w:t>e</w:t>
      </w:r>
      <w:r w:rsidRPr="00A11FE0">
        <w:rPr>
          <w:rFonts w:asciiTheme="majorHAnsi" w:hAnsiTheme="majorHAnsi"/>
        </w:rPr>
        <w:t xml:space="preserve"> predpoklad</w:t>
      </w:r>
      <w:r w:rsidR="0055646E">
        <w:rPr>
          <w:rFonts w:asciiTheme="majorHAnsi" w:hAnsiTheme="majorHAnsi"/>
        </w:rPr>
        <w:t>á</w:t>
      </w:r>
      <w:r w:rsidRPr="00A11FE0">
        <w:rPr>
          <w:rFonts w:asciiTheme="majorHAnsi" w:hAnsiTheme="majorHAnsi"/>
        </w:rPr>
        <w:t xml:space="preserve"> podpora podnikateľských, inovačných </w:t>
      </w:r>
      <w:r w:rsidR="00BD5FD5">
        <w:rPr>
          <w:rFonts w:asciiTheme="majorHAnsi" w:hAnsiTheme="majorHAnsi"/>
        </w:rPr>
        <w:t>a </w:t>
      </w:r>
      <w:r w:rsidRPr="00A11FE0">
        <w:rPr>
          <w:rFonts w:asciiTheme="majorHAnsi" w:hAnsiTheme="majorHAnsi"/>
        </w:rPr>
        <w:t>riešiteľských</w:t>
      </w:r>
      <w:r w:rsidR="007D717C" w:rsidRPr="00A11FE0">
        <w:rPr>
          <w:rFonts w:asciiTheme="majorHAnsi" w:hAnsiTheme="majorHAnsi"/>
        </w:rPr>
        <w:t xml:space="preserve"> </w:t>
      </w:r>
      <w:r w:rsidR="00BD5FD5">
        <w:rPr>
          <w:rFonts w:asciiTheme="majorHAnsi" w:hAnsiTheme="majorHAnsi"/>
        </w:rPr>
        <w:t>s</w:t>
      </w:r>
      <w:r w:rsidRPr="00A11FE0">
        <w:rPr>
          <w:rFonts w:asciiTheme="majorHAnsi" w:hAnsiTheme="majorHAnsi"/>
        </w:rPr>
        <w:t>chopností v</w:t>
      </w:r>
      <w:r w:rsidR="00343539">
        <w:rPr>
          <w:rFonts w:asciiTheme="majorHAnsi" w:hAnsiTheme="majorHAnsi"/>
        </w:rPr>
        <w:t> </w:t>
      </w:r>
      <w:r w:rsidRPr="00A11FE0">
        <w:rPr>
          <w:rFonts w:asciiTheme="majorHAnsi" w:hAnsiTheme="majorHAnsi"/>
        </w:rPr>
        <w:t>osnovách vyššieho vzdelávania</w:t>
      </w:r>
      <w:r w:rsidR="00ED6750">
        <w:rPr>
          <w:rFonts w:asciiTheme="majorHAnsi" w:hAnsiTheme="majorHAnsi"/>
        </w:rPr>
        <w:t>,</w:t>
      </w:r>
      <w:r w:rsidRPr="00A11FE0">
        <w:rPr>
          <w:rFonts w:asciiTheme="majorHAnsi" w:hAnsiTheme="majorHAnsi"/>
        </w:rPr>
        <w:t xml:space="preserve">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j projekt</w:t>
      </w:r>
      <w:r w:rsidR="0055646E">
        <w:rPr>
          <w:rFonts w:asciiTheme="majorHAnsi" w:hAnsiTheme="majorHAnsi"/>
        </w:rPr>
        <w:t>ov</w:t>
      </w:r>
      <w:r w:rsidRPr="00A11FE0">
        <w:rPr>
          <w:rFonts w:asciiTheme="majorHAnsi" w:hAnsiTheme="majorHAnsi"/>
        </w:rPr>
        <w:t xml:space="preserve"> na zmenu opisov študijných odborov podľa požiadaviek zamestnávateľov, organizovanie odborných praxí študentov </w:t>
      </w:r>
      <w:r w:rsidR="00BD5FD5">
        <w:rPr>
          <w:rFonts w:asciiTheme="majorHAnsi" w:hAnsiTheme="majorHAnsi"/>
        </w:rPr>
        <w:t>a </w:t>
      </w:r>
      <w:r w:rsidRPr="00A11FE0">
        <w:rPr>
          <w:rFonts w:asciiTheme="majorHAnsi" w:hAnsiTheme="majorHAnsi"/>
        </w:rPr>
        <w:t xml:space="preserve">odborných </w:t>
      </w:r>
      <w:r w:rsidR="00BD5FD5">
        <w:rPr>
          <w:rFonts w:asciiTheme="majorHAnsi" w:hAnsiTheme="majorHAnsi"/>
        </w:rPr>
        <w:t>s</w:t>
      </w:r>
      <w:r w:rsidRPr="00A11FE0">
        <w:rPr>
          <w:rFonts w:asciiTheme="majorHAnsi" w:hAnsiTheme="majorHAnsi"/>
        </w:rPr>
        <w:t xml:space="preserve">táží vysokoškolských učiteľov </w:t>
      </w:r>
      <w:r w:rsidR="00BD5FD5">
        <w:rPr>
          <w:rFonts w:asciiTheme="majorHAnsi" w:hAnsiTheme="majorHAnsi"/>
        </w:rPr>
        <w:t>a </w:t>
      </w:r>
      <w:r w:rsidRPr="00A11FE0">
        <w:rPr>
          <w:rFonts w:asciiTheme="majorHAnsi" w:hAnsiTheme="majorHAnsi"/>
        </w:rPr>
        <w:t>výskumných pracovníkov v</w:t>
      </w:r>
      <w:r w:rsidR="00504822">
        <w:rPr>
          <w:rFonts w:asciiTheme="majorHAnsi" w:hAnsiTheme="majorHAnsi"/>
        </w:rPr>
        <w:t> </w:t>
      </w:r>
      <w:r w:rsidRPr="00A11FE0">
        <w:rPr>
          <w:rFonts w:asciiTheme="majorHAnsi" w:hAnsiTheme="majorHAnsi"/>
        </w:rPr>
        <w:t>zamestnávateľskom</w:t>
      </w:r>
      <w:r w:rsidR="00504822">
        <w:rPr>
          <w:rFonts w:asciiTheme="majorHAnsi" w:hAnsiTheme="majorHAnsi"/>
        </w:rPr>
        <w:t xml:space="preserve"> </w:t>
      </w:r>
      <w:r w:rsidR="00BD5FD5">
        <w:rPr>
          <w:rFonts w:asciiTheme="majorHAnsi" w:hAnsiTheme="majorHAnsi"/>
        </w:rPr>
        <w:t>s</w:t>
      </w:r>
      <w:r w:rsidRPr="00A11FE0">
        <w:rPr>
          <w:rFonts w:asciiTheme="majorHAnsi" w:hAnsiTheme="majorHAnsi"/>
        </w:rPr>
        <w:t>ektore v</w:t>
      </w:r>
      <w:r w:rsidR="00343539">
        <w:rPr>
          <w:rFonts w:asciiTheme="majorHAnsi" w:hAnsiTheme="majorHAnsi"/>
        </w:rPr>
        <w:t> </w:t>
      </w:r>
      <w:r w:rsidR="00BD5FD5">
        <w:rPr>
          <w:rFonts w:asciiTheme="majorHAnsi" w:hAnsiTheme="majorHAnsi"/>
        </w:rPr>
        <w:t>s</w:t>
      </w:r>
      <w:r w:rsidRPr="00A11FE0">
        <w:rPr>
          <w:rFonts w:asciiTheme="majorHAnsi" w:hAnsiTheme="majorHAnsi"/>
        </w:rPr>
        <w:t>úlade</w:t>
      </w:r>
      <w:r w:rsidR="00504822">
        <w:rPr>
          <w:rFonts w:asciiTheme="majorHAnsi" w:hAnsiTheme="majorHAnsi"/>
        </w:rPr>
        <w:t xml:space="preserve"> </w:t>
      </w:r>
      <w:r w:rsidR="00BD5FD5">
        <w:rPr>
          <w:rFonts w:asciiTheme="majorHAnsi" w:hAnsiTheme="majorHAnsi"/>
        </w:rPr>
        <w:t>s </w:t>
      </w:r>
      <w:r w:rsidRPr="00A11FE0">
        <w:rPr>
          <w:rFonts w:asciiTheme="majorHAnsi" w:hAnsiTheme="majorHAnsi"/>
        </w:rPr>
        <w:t xml:space="preserve">cieľmi </w:t>
      </w:r>
      <w:r w:rsidR="00BD5FD5">
        <w:rPr>
          <w:rFonts w:asciiTheme="majorHAnsi" w:hAnsiTheme="majorHAnsi"/>
        </w:rPr>
        <w:t>a </w:t>
      </w:r>
      <w:r w:rsidRPr="00A11FE0">
        <w:rPr>
          <w:rFonts w:asciiTheme="majorHAnsi" w:hAnsiTheme="majorHAnsi"/>
        </w:rPr>
        <w:t>opatreniami</w:t>
      </w:r>
      <w:r w:rsidR="007D717C" w:rsidRPr="00A11FE0">
        <w:rPr>
          <w:rFonts w:asciiTheme="majorHAnsi" w:hAnsiTheme="majorHAnsi"/>
        </w:rPr>
        <w:t xml:space="preserve"> </w:t>
      </w:r>
      <w:r w:rsidRPr="00A11FE0">
        <w:rPr>
          <w:rFonts w:asciiTheme="majorHAnsi" w:hAnsiTheme="majorHAnsi"/>
        </w:rPr>
        <w:t xml:space="preserve">definovanými </w:t>
      </w:r>
      <w:r w:rsidR="0055646E">
        <w:rPr>
          <w:rFonts w:asciiTheme="majorHAnsi" w:hAnsiTheme="majorHAnsi"/>
        </w:rPr>
        <w:t>v stratégií RIS3</w:t>
      </w:r>
      <w:r w:rsidRPr="00A11FE0">
        <w:rPr>
          <w:rStyle w:val="Odkaznapoznmkupodiarou"/>
          <w:rFonts w:asciiTheme="majorHAnsi" w:hAnsiTheme="majorHAnsi"/>
        </w:rPr>
        <w:footnoteReference w:id="158"/>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polupráca </w:t>
      </w:r>
      <w:r w:rsidR="00BD5FD5">
        <w:rPr>
          <w:rFonts w:asciiTheme="majorHAnsi" w:hAnsiTheme="majorHAnsi"/>
        </w:rPr>
        <w:t>s</w:t>
      </w:r>
      <w:r w:rsidRPr="00A11FE0">
        <w:rPr>
          <w:rFonts w:asciiTheme="majorHAnsi" w:hAnsiTheme="majorHAnsi"/>
        </w:rPr>
        <w:t xml:space="preserve">o zamestnávateľmi je nevyhnutnou podmienkou zlepšenia </w:t>
      </w:r>
      <w:r w:rsidR="00BD5FD5">
        <w:rPr>
          <w:rFonts w:asciiTheme="majorHAnsi" w:hAnsiTheme="majorHAnsi"/>
        </w:rPr>
        <w:t>k</w:t>
      </w:r>
      <w:r w:rsidRPr="00A11FE0">
        <w:rPr>
          <w:rFonts w:asciiTheme="majorHAnsi" w:hAnsiTheme="majorHAnsi"/>
        </w:rPr>
        <w:t xml:space="preserve">vality vysokoškolských </w:t>
      </w:r>
      <w:r w:rsidR="00BD5FD5">
        <w:rPr>
          <w:rFonts w:asciiTheme="majorHAnsi" w:hAnsiTheme="majorHAnsi"/>
        </w:rPr>
        <w:t>a</w:t>
      </w:r>
      <w:r w:rsidRPr="00A11FE0">
        <w:rPr>
          <w:rFonts w:asciiTheme="majorHAnsi" w:hAnsiTheme="majorHAnsi"/>
        </w:rPr>
        <w:t xml:space="preserve">bsolventov </w:t>
      </w:r>
      <w:r w:rsidR="00BD5FD5">
        <w:rPr>
          <w:rFonts w:asciiTheme="majorHAnsi" w:hAnsiTheme="majorHAnsi"/>
        </w:rPr>
        <w:t>a</w:t>
      </w:r>
      <w:r w:rsidRPr="00A11FE0">
        <w:rPr>
          <w:rFonts w:asciiTheme="majorHAnsi" w:hAnsiTheme="majorHAnsi"/>
        </w:rPr>
        <w:t xml:space="preserve"> ich uplatnenia </w:t>
      </w:r>
      <w:r w:rsidR="00BD5FD5">
        <w:rPr>
          <w:rFonts w:asciiTheme="majorHAnsi" w:hAnsiTheme="majorHAnsi"/>
        </w:rPr>
        <w:t>s</w:t>
      </w:r>
      <w:r w:rsidRPr="00A11FE0">
        <w:rPr>
          <w:rFonts w:asciiTheme="majorHAnsi" w:hAnsiTheme="majorHAnsi"/>
        </w:rPr>
        <w:t>a na trhu práce.</w:t>
      </w:r>
      <w:r w:rsidR="008E7522">
        <w:rPr>
          <w:rFonts w:asciiTheme="majorHAnsi" w:hAnsiTheme="majorHAnsi"/>
        </w:rPr>
        <w:t xml:space="preserve"> </w:t>
      </w:r>
      <w:r w:rsidR="008E7522" w:rsidRPr="008E7522">
        <w:rPr>
          <w:rFonts w:asciiTheme="majorHAnsi" w:hAnsiTheme="majorHAnsi"/>
        </w:rPr>
        <w:t xml:space="preserve">Vysoké školstvo, v spolupráci so SAV a ostatnými výskumnými organizáciami, je základom VaV potenciálu krajiny a poskytuje spoločnosti ďalšie </w:t>
      </w:r>
      <w:r w:rsidR="008E7522" w:rsidRPr="008E7522">
        <w:rPr>
          <w:rFonts w:asciiTheme="majorHAnsi" w:hAnsiTheme="majorHAnsi"/>
        </w:rPr>
        <w:lastRenderedPageBreak/>
        <w:t>špecifické služby, obvykle súvisiace s jej rozvojom a s rozvojom regiónu, v ktorom je príslušná VŠ lokalizovaná</w:t>
      </w:r>
      <w:r w:rsidR="008E7522" w:rsidRPr="008E7522">
        <w:rPr>
          <w:rFonts w:asciiTheme="majorHAnsi" w:hAnsiTheme="majorHAnsi"/>
          <w:vertAlign w:val="superscript"/>
        </w:rPr>
        <w:footnoteReference w:id="159"/>
      </w:r>
      <w:r w:rsidR="008E7522" w:rsidRPr="008E7522">
        <w:rPr>
          <w:rFonts w:asciiTheme="majorHAnsi" w:hAnsiTheme="majorHAnsi"/>
        </w:rPr>
        <w:t>.</w:t>
      </w:r>
    </w:p>
    <w:p w:rsidR="00406C25" w:rsidRDefault="00BD5FD5" w:rsidP="00406C25">
      <w:pPr>
        <w:rPr>
          <w:rFonts w:asciiTheme="majorHAnsi" w:hAnsiTheme="majorHAnsi"/>
        </w:rPr>
      </w:pPr>
      <w:r>
        <w:rPr>
          <w:rFonts w:asciiTheme="majorHAnsi" w:hAnsiTheme="majorHAnsi"/>
        </w:rPr>
        <w:t>K</w:t>
      </w:r>
      <w:r w:rsidR="00406C25" w:rsidRPr="00A11FE0">
        <w:rPr>
          <w:rFonts w:asciiTheme="majorHAnsi" w:hAnsiTheme="majorHAnsi"/>
        </w:rPr>
        <w:t xml:space="preserve">apacity </w:t>
      </w:r>
      <w:r>
        <w:rPr>
          <w:rFonts w:asciiTheme="majorHAnsi" w:hAnsiTheme="majorHAnsi"/>
        </w:rPr>
        <w:t>s</w:t>
      </w:r>
      <w:r w:rsidR="00406C25" w:rsidRPr="00A11FE0">
        <w:rPr>
          <w:rFonts w:asciiTheme="majorHAnsi" w:hAnsiTheme="majorHAnsi"/>
        </w:rPr>
        <w:t xml:space="preserve">lovenského </w:t>
      </w:r>
      <w:r w:rsidR="00ED6750">
        <w:rPr>
          <w:rFonts w:asciiTheme="majorHAnsi" w:hAnsiTheme="majorHAnsi"/>
        </w:rPr>
        <w:t>VŠ</w:t>
      </w:r>
      <w:r w:rsidR="00406C25" w:rsidRPr="00A11FE0">
        <w:rPr>
          <w:rFonts w:asciiTheme="majorHAnsi" w:hAnsiTheme="majorHAnsi"/>
        </w:rPr>
        <w:t xml:space="preserve"> </w:t>
      </w:r>
      <w:r w:rsidR="00061914">
        <w:rPr>
          <w:rFonts w:asciiTheme="majorHAnsi" w:hAnsiTheme="majorHAnsi"/>
        </w:rPr>
        <w:t xml:space="preserve">sú predimenzované naviac s nevhodnou štruktúrou študijných odborov. </w:t>
      </w:r>
      <w:r w:rsidR="00406C25" w:rsidRPr="00A11FE0">
        <w:rPr>
          <w:rFonts w:asciiTheme="majorHAnsi" w:hAnsiTheme="majorHAnsi"/>
        </w:rPr>
        <w:t xml:space="preserve">Pre zabezpečenie inkluzívneho rozmeru vzdelávania </w:t>
      </w:r>
      <w:r>
        <w:rPr>
          <w:rFonts w:asciiTheme="majorHAnsi" w:hAnsiTheme="majorHAnsi"/>
        </w:rPr>
        <w:t>a </w:t>
      </w:r>
      <w:r w:rsidR="00406C25" w:rsidRPr="00A11FE0">
        <w:rPr>
          <w:rFonts w:asciiTheme="majorHAnsi" w:hAnsiTheme="majorHAnsi"/>
        </w:rPr>
        <w:t xml:space="preserve">prístupu znevýhodnených </w:t>
      </w:r>
      <w:r>
        <w:rPr>
          <w:rFonts w:asciiTheme="majorHAnsi" w:hAnsiTheme="majorHAnsi"/>
        </w:rPr>
        <w:t>s</w:t>
      </w:r>
      <w:r w:rsidR="00406C25" w:rsidRPr="00A11FE0">
        <w:rPr>
          <w:rFonts w:asciiTheme="majorHAnsi" w:hAnsiTheme="majorHAnsi"/>
        </w:rPr>
        <w:t xml:space="preserve">kupín </w:t>
      </w:r>
      <w:r>
        <w:rPr>
          <w:rFonts w:asciiTheme="majorHAnsi" w:hAnsiTheme="majorHAnsi"/>
        </w:rPr>
        <w:t>k </w:t>
      </w:r>
      <w:r w:rsidR="00406C25" w:rsidRPr="00A11FE0">
        <w:rPr>
          <w:rFonts w:asciiTheme="majorHAnsi" w:hAnsiTheme="majorHAnsi"/>
        </w:rPr>
        <w:t>vysokoškolskému</w:t>
      </w:r>
      <w:r w:rsidR="008B2288">
        <w:rPr>
          <w:rFonts w:asciiTheme="majorHAnsi" w:hAnsiTheme="majorHAnsi"/>
        </w:rPr>
        <w:t xml:space="preserve"> </w:t>
      </w:r>
      <w:r w:rsidR="00406C25" w:rsidRPr="00A11FE0">
        <w:rPr>
          <w:rFonts w:asciiTheme="majorHAnsi" w:hAnsiTheme="majorHAnsi"/>
        </w:rPr>
        <w:t xml:space="preserve">vzdelávaniu je však potrebné zamerať </w:t>
      </w:r>
      <w:r>
        <w:rPr>
          <w:rFonts w:asciiTheme="majorHAnsi" w:hAnsiTheme="majorHAnsi"/>
        </w:rPr>
        <w:t>s</w:t>
      </w:r>
      <w:r w:rsidR="00406C25" w:rsidRPr="00A11FE0">
        <w:rPr>
          <w:rFonts w:asciiTheme="majorHAnsi" w:hAnsiTheme="majorHAnsi"/>
        </w:rPr>
        <w:t xml:space="preserve">a na odstraňovanie bariér pri prístupe </w:t>
      </w:r>
      <w:r>
        <w:rPr>
          <w:rFonts w:asciiTheme="majorHAnsi" w:hAnsiTheme="majorHAnsi"/>
        </w:rPr>
        <w:t>k </w:t>
      </w:r>
      <w:r w:rsidR="00406C25" w:rsidRPr="00A11FE0">
        <w:rPr>
          <w:rFonts w:asciiTheme="majorHAnsi" w:hAnsiTheme="majorHAnsi"/>
        </w:rPr>
        <w:t xml:space="preserve">vzdelaniu. </w:t>
      </w:r>
      <w:r>
        <w:rPr>
          <w:rFonts w:asciiTheme="majorHAnsi" w:hAnsiTheme="majorHAnsi"/>
        </w:rPr>
        <w:t>S</w:t>
      </w:r>
      <w:r w:rsidR="00406C25" w:rsidRPr="00A11FE0">
        <w:rPr>
          <w:rFonts w:asciiTheme="majorHAnsi" w:hAnsiTheme="majorHAnsi"/>
        </w:rPr>
        <w:t xml:space="preserve">polu </w:t>
      </w:r>
      <w:r>
        <w:rPr>
          <w:rFonts w:asciiTheme="majorHAnsi" w:hAnsiTheme="majorHAnsi"/>
        </w:rPr>
        <w:t>s </w:t>
      </w:r>
      <w:r w:rsidR="00406C25" w:rsidRPr="00A11FE0">
        <w:rPr>
          <w:rFonts w:asciiTheme="majorHAnsi" w:hAnsiTheme="majorHAnsi"/>
        </w:rPr>
        <w:t xml:space="preserve">podielom populácie študujúcej v terciánom vzdelávaní </w:t>
      </w:r>
      <w:r>
        <w:rPr>
          <w:rFonts w:asciiTheme="majorHAnsi" w:hAnsiTheme="majorHAnsi"/>
        </w:rPr>
        <w:t>s</w:t>
      </w:r>
      <w:r w:rsidR="00406C25" w:rsidRPr="00A11FE0">
        <w:rPr>
          <w:rFonts w:asciiTheme="majorHAnsi" w:hAnsiTheme="majorHAnsi"/>
        </w:rPr>
        <w:t xml:space="preserve">a </w:t>
      </w:r>
      <w:r>
        <w:rPr>
          <w:rFonts w:asciiTheme="majorHAnsi" w:hAnsiTheme="majorHAnsi"/>
        </w:rPr>
        <w:t>k</w:t>
      </w:r>
      <w:r w:rsidR="00406C25" w:rsidRPr="00A11FE0">
        <w:rPr>
          <w:rFonts w:asciiTheme="majorHAnsi" w:hAnsiTheme="majorHAnsi"/>
        </w:rPr>
        <w:t xml:space="preserve">ontinuálne zvyšuje </w:t>
      </w:r>
      <w:r>
        <w:rPr>
          <w:rFonts w:asciiTheme="majorHAnsi" w:hAnsiTheme="majorHAnsi"/>
        </w:rPr>
        <w:t>a</w:t>
      </w:r>
      <w:r w:rsidR="00406C25" w:rsidRPr="00A11FE0">
        <w:rPr>
          <w:rFonts w:asciiTheme="majorHAnsi" w:hAnsiTheme="majorHAnsi"/>
        </w:rPr>
        <w:t xml:space="preserve">j rodový rozdiel v podiele študujúcich žien </w:t>
      </w:r>
      <w:r>
        <w:rPr>
          <w:rFonts w:asciiTheme="majorHAnsi" w:hAnsiTheme="majorHAnsi"/>
        </w:rPr>
        <w:t>a </w:t>
      </w:r>
      <w:r w:rsidR="00406C25" w:rsidRPr="00A11FE0">
        <w:rPr>
          <w:rFonts w:asciiTheme="majorHAnsi" w:hAnsiTheme="majorHAnsi"/>
        </w:rPr>
        <w:t>mužov</w:t>
      </w:r>
      <w:r w:rsidR="00406C25" w:rsidRPr="00A11FE0">
        <w:rPr>
          <w:rStyle w:val="Odkaznapoznmkupodiarou"/>
          <w:rFonts w:asciiTheme="majorHAnsi" w:hAnsiTheme="majorHAnsi"/>
        </w:rPr>
        <w:footnoteReference w:id="160"/>
      </w:r>
      <w:r w:rsidR="00406C25" w:rsidRPr="00A11FE0">
        <w:rPr>
          <w:rFonts w:asciiTheme="majorHAnsi" w:hAnsiTheme="majorHAnsi"/>
        </w:rPr>
        <w:t xml:space="preserve">. Matematické, vedecké </w:t>
      </w:r>
      <w:r>
        <w:rPr>
          <w:rFonts w:asciiTheme="majorHAnsi" w:hAnsiTheme="majorHAnsi"/>
        </w:rPr>
        <w:t>a </w:t>
      </w:r>
      <w:r w:rsidR="00406C25" w:rsidRPr="00A11FE0">
        <w:rPr>
          <w:rFonts w:asciiTheme="majorHAnsi" w:hAnsiTheme="majorHAnsi"/>
        </w:rPr>
        <w:t xml:space="preserve">technologické odbory (ISCED 5 – 6) </w:t>
      </w:r>
      <w:r>
        <w:rPr>
          <w:rFonts w:asciiTheme="majorHAnsi" w:hAnsiTheme="majorHAnsi"/>
        </w:rPr>
        <w:t>a</w:t>
      </w:r>
      <w:r w:rsidR="00406C25" w:rsidRPr="00A11FE0">
        <w:rPr>
          <w:rFonts w:asciiTheme="majorHAnsi" w:hAnsiTheme="majorHAnsi"/>
        </w:rPr>
        <w:t>bsolvovalo v roku 2011 približne 37</w:t>
      </w:r>
      <w:r w:rsidR="007B1C1C" w:rsidRPr="00A11FE0">
        <w:rPr>
          <w:rFonts w:asciiTheme="majorHAnsi" w:hAnsiTheme="majorHAnsi"/>
        </w:rPr>
        <w:t xml:space="preserve"> </w:t>
      </w:r>
      <w:r w:rsidR="00406C25" w:rsidRPr="00A11FE0">
        <w:rPr>
          <w:rFonts w:asciiTheme="majorHAnsi" w:hAnsiTheme="majorHAnsi"/>
        </w:rPr>
        <w:t xml:space="preserve">% mužov zo všetkých </w:t>
      </w:r>
      <w:r>
        <w:rPr>
          <w:rFonts w:asciiTheme="majorHAnsi" w:hAnsiTheme="majorHAnsi"/>
        </w:rPr>
        <w:t>a</w:t>
      </w:r>
      <w:r w:rsidR="00406C25" w:rsidRPr="00A11FE0">
        <w:rPr>
          <w:rFonts w:asciiTheme="majorHAnsi" w:hAnsiTheme="majorHAnsi"/>
        </w:rPr>
        <w:t xml:space="preserve">bsolventov vysokoškolského štúdia </w:t>
      </w:r>
      <w:r>
        <w:rPr>
          <w:rFonts w:asciiTheme="majorHAnsi" w:hAnsiTheme="majorHAnsi"/>
        </w:rPr>
        <w:t>a </w:t>
      </w:r>
      <w:r w:rsidR="00406C25" w:rsidRPr="00A11FE0">
        <w:rPr>
          <w:rFonts w:asciiTheme="majorHAnsi" w:hAnsiTheme="majorHAnsi"/>
        </w:rPr>
        <w:t xml:space="preserve">tento podiel je pomerne </w:t>
      </w:r>
      <w:r>
        <w:rPr>
          <w:rFonts w:asciiTheme="majorHAnsi" w:hAnsiTheme="majorHAnsi"/>
        </w:rPr>
        <w:t>s</w:t>
      </w:r>
      <w:r w:rsidR="00406C25" w:rsidRPr="00A11FE0">
        <w:rPr>
          <w:rFonts w:asciiTheme="majorHAnsi" w:hAnsiTheme="majorHAnsi"/>
        </w:rPr>
        <w:t>tabilný. U žien to bolo 11,6</w:t>
      </w:r>
      <w:r w:rsidR="007B1C1C" w:rsidRPr="00A11FE0">
        <w:rPr>
          <w:rFonts w:asciiTheme="majorHAnsi" w:hAnsiTheme="majorHAnsi"/>
        </w:rPr>
        <w:t xml:space="preserve"> </w:t>
      </w:r>
      <w:r w:rsidR="00406C25" w:rsidRPr="00A11FE0">
        <w:rPr>
          <w:rFonts w:asciiTheme="majorHAnsi" w:hAnsiTheme="majorHAnsi"/>
        </w:rPr>
        <w:t xml:space="preserve">% z </w:t>
      </w:r>
      <w:r>
        <w:rPr>
          <w:rFonts w:asciiTheme="majorHAnsi" w:hAnsiTheme="majorHAnsi"/>
        </w:rPr>
        <w:t>a</w:t>
      </w:r>
      <w:r w:rsidR="00406C25" w:rsidRPr="00A11FE0">
        <w:rPr>
          <w:rFonts w:asciiTheme="majorHAnsi" w:hAnsiTheme="majorHAnsi"/>
        </w:rPr>
        <w:t xml:space="preserve">bsolventiek ISCED 5 – 6 všetkých odborov </w:t>
      </w:r>
      <w:r>
        <w:rPr>
          <w:rFonts w:asciiTheme="majorHAnsi" w:hAnsiTheme="majorHAnsi"/>
        </w:rPr>
        <w:t>a </w:t>
      </w:r>
      <w:r w:rsidR="00406C25" w:rsidRPr="00A11FE0">
        <w:rPr>
          <w:rFonts w:asciiTheme="majorHAnsi" w:hAnsiTheme="majorHAnsi"/>
        </w:rPr>
        <w:t xml:space="preserve">podiel za ostatných desať rokov variuje medzi 16 – 11 % </w:t>
      </w:r>
      <w:r w:rsidR="00406C25" w:rsidRPr="00A11FE0">
        <w:rPr>
          <w:rFonts w:asciiTheme="majorHAnsi" w:hAnsiTheme="majorHAnsi"/>
          <w:vertAlign w:val="superscript"/>
        </w:rPr>
        <w:footnoteReference w:id="161"/>
      </w:r>
      <w:r w:rsidR="00406C25" w:rsidRPr="00A11FE0">
        <w:rPr>
          <w:rFonts w:asciiTheme="majorHAnsi" w:hAnsiTheme="majorHAnsi"/>
        </w:rPr>
        <w:t>.</w:t>
      </w:r>
    </w:p>
    <w:p w:rsidR="00870F42" w:rsidRPr="00E36655" w:rsidRDefault="00870F42" w:rsidP="00870F42">
      <w:pPr>
        <w:numPr>
          <w:ilvl w:val="5"/>
          <w:numId w:val="2"/>
        </w:numPr>
        <w:rPr>
          <w:rFonts w:asciiTheme="majorHAnsi" w:hAnsiTheme="majorHAnsi"/>
          <w:iCs/>
          <w:color w:val="244061" w:themeColor="accent1" w:themeShade="80"/>
        </w:rPr>
      </w:pPr>
      <w:r w:rsidRPr="00E36655">
        <w:rPr>
          <w:rFonts w:asciiTheme="majorHAnsi" w:hAnsiTheme="majorHAnsi"/>
          <w:iCs/>
          <w:color w:val="244061" w:themeColor="accent1" w:themeShade="80"/>
        </w:rPr>
        <w:t>Neefektívne financovanie vysokých škôl</w:t>
      </w:r>
    </w:p>
    <w:p w:rsidR="00870F42" w:rsidRPr="00870F42" w:rsidRDefault="00870F42" w:rsidP="00870F42">
      <w:pPr>
        <w:rPr>
          <w:rFonts w:asciiTheme="majorHAnsi" w:hAnsiTheme="majorHAnsi"/>
        </w:rPr>
      </w:pPr>
      <w:r w:rsidRPr="00870F42">
        <w:rPr>
          <w:rFonts w:asciiTheme="majorHAnsi" w:hAnsiTheme="majorHAnsi"/>
        </w:rPr>
        <w:t>V súčasnom systéme financovania absentuje výsledkovo orientované financovanie, ktoré by diferencovalo VŠ podľa kvalitatívnych parametrov. Nakoľko sa kvalita neprejaví v platoch učiteľov ,ani v lepšej možnosti profesijného uplatnenia (chýba iný nástroj pre udržanie kvalitných pedagógov), dochádza k znižovaniu počtu kvalitných a najmä mladých učiteľov VŠ, ako aj mladých výskumných pracovníkov. Dôsledkom je, že na VŠ učia profesori v dôchodkovom veku (nad 65 rokov ), učitelia VŠ majú viacero úväzkov na viacerých VŠ a namiesto vedeckej činnosti sa sústredia na externé vzdelávanie.</w:t>
      </w:r>
    </w:p>
    <w:p w:rsidR="00870F42" w:rsidRPr="00870F42" w:rsidRDefault="00870F42" w:rsidP="00870F42">
      <w:pPr>
        <w:rPr>
          <w:rFonts w:asciiTheme="majorHAnsi" w:hAnsiTheme="majorHAnsi"/>
        </w:rPr>
      </w:pPr>
      <w:r w:rsidRPr="00870F42">
        <w:rPr>
          <w:rFonts w:asciiTheme="majorHAnsi" w:hAnsiTheme="majorHAnsi"/>
        </w:rPr>
        <w:t>Zásadným problémom sú aj nízke výdavky na výskumnú činnosť tak pre VŠ, ako aj pre SAV a ďalšie výskumné organizácie a nestabilita nosnej grantovej schémy Agentúry na podporu výskumu a vývoja (ďalej len „APVV“), čo sa aj v</w:t>
      </w:r>
      <w:r w:rsidR="0058375C">
        <w:rPr>
          <w:rFonts w:asciiTheme="majorHAnsi" w:hAnsiTheme="majorHAnsi"/>
        </w:rPr>
        <w:t> </w:t>
      </w:r>
      <w:r w:rsidRPr="00870F42">
        <w:rPr>
          <w:rFonts w:asciiTheme="majorHAnsi" w:hAnsiTheme="majorHAnsi"/>
        </w:rPr>
        <w:t>roku 2011 prejavilo znížením dotácií z tohto zdroja, v prípade verejných VŠ o 38,1 %. Takýto systém financovania výskumných grantov ohrozuje stabilitu akademického prostredia, jeho diferencovanosť, ako aj samotnú podstatu VŠ vzdelávania. Zásadným problémom je však aj jednostranná orientácia na základný výskum, bez previazania na potreby hospodárskej praxe.</w:t>
      </w:r>
    </w:p>
    <w:p w:rsidR="00870F42" w:rsidRPr="00E36655" w:rsidRDefault="00870F42" w:rsidP="00870F42">
      <w:pPr>
        <w:numPr>
          <w:ilvl w:val="5"/>
          <w:numId w:val="2"/>
        </w:numPr>
        <w:rPr>
          <w:rFonts w:asciiTheme="majorHAnsi" w:hAnsiTheme="majorHAnsi"/>
          <w:iCs/>
          <w:color w:val="244061" w:themeColor="accent1" w:themeShade="80"/>
        </w:rPr>
      </w:pPr>
      <w:r w:rsidRPr="00E36655">
        <w:rPr>
          <w:rFonts w:asciiTheme="majorHAnsi" w:hAnsiTheme="majorHAnsi"/>
          <w:iCs/>
          <w:color w:val="244061" w:themeColor="accent1" w:themeShade="80"/>
        </w:rPr>
        <w:t>Doktorandi</w:t>
      </w:r>
    </w:p>
    <w:p w:rsidR="00870F42" w:rsidRPr="00A11FE0" w:rsidRDefault="00870F42" w:rsidP="00406C25">
      <w:pPr>
        <w:rPr>
          <w:rFonts w:asciiTheme="majorHAnsi" w:hAnsiTheme="majorHAnsi"/>
        </w:rPr>
      </w:pPr>
      <w:r w:rsidRPr="00870F42">
        <w:rPr>
          <w:rFonts w:asciiTheme="majorHAnsi" w:hAnsiTheme="majorHAnsi"/>
        </w:rPr>
        <w:t>V</w:t>
      </w:r>
      <w:r w:rsidR="0058375C">
        <w:rPr>
          <w:rFonts w:asciiTheme="majorHAnsi" w:hAnsiTheme="majorHAnsi"/>
        </w:rPr>
        <w:t> </w:t>
      </w:r>
      <w:r w:rsidRPr="00870F42">
        <w:rPr>
          <w:rFonts w:asciiTheme="majorHAnsi" w:hAnsiTheme="majorHAnsi"/>
        </w:rPr>
        <w:t>roku 2012/2013 podľa štatistickej ročenky školstva, vypracovanej Ústavom informácií a prognóz školstva, tvoril podiel doktorandov verejných, štátnych a</w:t>
      </w:r>
      <w:r w:rsidR="0058375C">
        <w:rPr>
          <w:rFonts w:asciiTheme="majorHAnsi" w:hAnsiTheme="majorHAnsi"/>
        </w:rPr>
        <w:t> </w:t>
      </w:r>
      <w:r w:rsidRPr="00870F42">
        <w:rPr>
          <w:rFonts w:asciiTheme="majorHAnsi" w:hAnsiTheme="majorHAnsi"/>
        </w:rPr>
        <w:t>súkromných VŠ v</w:t>
      </w:r>
      <w:r w:rsidR="0058375C">
        <w:rPr>
          <w:rFonts w:asciiTheme="majorHAnsi" w:hAnsiTheme="majorHAnsi"/>
        </w:rPr>
        <w:t> </w:t>
      </w:r>
      <w:r w:rsidRPr="00870F42">
        <w:rPr>
          <w:rFonts w:asciiTheme="majorHAnsi" w:hAnsiTheme="majorHAnsi"/>
        </w:rPr>
        <w:t xml:space="preserve">oboch formách štúdia </w:t>
      </w:r>
      <w:r w:rsidR="0058375C">
        <w:rPr>
          <w:rFonts w:asciiTheme="majorHAnsi" w:hAnsiTheme="majorHAnsi"/>
        </w:rPr>
        <w:br/>
      </w:r>
      <w:r w:rsidRPr="00870F42">
        <w:rPr>
          <w:rFonts w:asciiTheme="majorHAnsi" w:hAnsiTheme="majorHAnsi"/>
        </w:rPr>
        <w:t>5,35 % z</w:t>
      </w:r>
      <w:r w:rsidR="0058375C">
        <w:rPr>
          <w:rFonts w:asciiTheme="majorHAnsi" w:hAnsiTheme="majorHAnsi"/>
        </w:rPr>
        <w:t> </w:t>
      </w:r>
      <w:r w:rsidRPr="00870F42">
        <w:rPr>
          <w:rFonts w:asciiTheme="majorHAnsi" w:hAnsiTheme="majorHAnsi"/>
        </w:rPr>
        <w:t>celkového počtu študentov, bez ohľadu na občianstvo. Pozitívnymi prvkami inovačného rozvoja je vysoký podiel doktorandského štúdia (3,1 na 1 000 obyv. 25-34 ročných, avšak s</w:t>
      </w:r>
      <w:r w:rsidR="0058375C">
        <w:rPr>
          <w:rFonts w:asciiTheme="majorHAnsi" w:hAnsiTheme="majorHAnsi"/>
        </w:rPr>
        <w:t> </w:t>
      </w:r>
      <w:r w:rsidRPr="00870F42">
        <w:rPr>
          <w:rFonts w:asciiTheme="majorHAnsi" w:hAnsiTheme="majorHAnsi"/>
        </w:rPr>
        <w:t>nedostatočne zastúpenými technickými a</w:t>
      </w:r>
      <w:r w:rsidR="0058375C">
        <w:rPr>
          <w:rFonts w:asciiTheme="majorHAnsi" w:hAnsiTheme="majorHAnsi"/>
        </w:rPr>
        <w:t> </w:t>
      </w:r>
      <w:r w:rsidRPr="00870F42">
        <w:rPr>
          <w:rFonts w:asciiTheme="majorHAnsi" w:hAnsiTheme="majorHAnsi"/>
        </w:rPr>
        <w:t>prírodovednými smermi). SAV, ako externá vzdelávacia inštitúcia má podiel doktorandov k</w:t>
      </w:r>
      <w:r w:rsidR="0058375C">
        <w:rPr>
          <w:rFonts w:asciiTheme="majorHAnsi" w:hAnsiTheme="majorHAnsi"/>
        </w:rPr>
        <w:t> </w:t>
      </w:r>
      <w:r w:rsidRPr="00870F42">
        <w:rPr>
          <w:rFonts w:asciiTheme="majorHAnsi" w:hAnsiTheme="majorHAnsi"/>
        </w:rPr>
        <w:t>celkovému počtu vedeckých pracovníkov 25 % a</w:t>
      </w:r>
      <w:r w:rsidR="0058375C">
        <w:rPr>
          <w:rFonts w:asciiTheme="majorHAnsi" w:hAnsiTheme="majorHAnsi"/>
        </w:rPr>
        <w:t> </w:t>
      </w:r>
      <w:r w:rsidRPr="00870F42">
        <w:rPr>
          <w:rFonts w:asciiTheme="majorHAnsi" w:hAnsiTheme="majorHAnsi"/>
        </w:rPr>
        <w:t>k</w:t>
      </w:r>
      <w:r w:rsidR="0058375C">
        <w:rPr>
          <w:rFonts w:asciiTheme="majorHAnsi" w:hAnsiTheme="majorHAnsi"/>
        </w:rPr>
        <w:t> </w:t>
      </w:r>
      <w:r w:rsidRPr="00870F42">
        <w:rPr>
          <w:rFonts w:asciiTheme="majorHAnsi" w:hAnsiTheme="majorHAnsi"/>
        </w:rPr>
        <w:t>celkovému počtu zamestnancov 14 %. Trend nárastu počtu doktorandov však nemožno považovať za jednoznačne pozitívny. Väčšina fakúlt slovenských VŠ má veľký počet doktorandov (budúcich výskumných pracovníkov), avšak samotný výskum fakulty je relatívne nízky. Výnimky s</w:t>
      </w:r>
      <w:r w:rsidR="0058375C">
        <w:rPr>
          <w:rFonts w:asciiTheme="majorHAnsi" w:hAnsiTheme="majorHAnsi"/>
        </w:rPr>
        <w:t> </w:t>
      </w:r>
      <w:r w:rsidRPr="00870F42">
        <w:rPr>
          <w:rFonts w:asciiTheme="majorHAnsi" w:hAnsiTheme="majorHAnsi"/>
        </w:rPr>
        <w:t>pozitívnym pomerom počtu doktorandov k</w:t>
      </w:r>
      <w:r w:rsidR="0058375C">
        <w:rPr>
          <w:rFonts w:asciiTheme="majorHAnsi" w:hAnsiTheme="majorHAnsi"/>
        </w:rPr>
        <w:t> </w:t>
      </w:r>
      <w:r w:rsidRPr="00870F42">
        <w:rPr>
          <w:rFonts w:asciiTheme="majorHAnsi" w:hAnsiTheme="majorHAnsi"/>
        </w:rPr>
        <w:t>celkovej vedeckej produkcii však existujú v</w:t>
      </w:r>
      <w:r w:rsidR="0058375C">
        <w:rPr>
          <w:rFonts w:asciiTheme="majorHAnsi" w:hAnsiTheme="majorHAnsi"/>
        </w:rPr>
        <w:t> </w:t>
      </w:r>
      <w:r w:rsidRPr="00870F42">
        <w:rPr>
          <w:rFonts w:asciiTheme="majorHAnsi" w:hAnsiTheme="majorHAnsi"/>
        </w:rPr>
        <w:t>každej skupine fakúlt VŠ</w:t>
      </w:r>
      <w:r w:rsidR="006A2EF9">
        <w:rPr>
          <w:rFonts w:asciiTheme="majorHAnsi" w:hAnsiTheme="majorHAnsi"/>
        </w:rPr>
        <w:t xml:space="preserve">. </w:t>
      </w:r>
      <w:r w:rsidRPr="00870F42">
        <w:rPr>
          <w:rFonts w:asciiTheme="majorHAnsi" w:hAnsiTheme="majorHAnsi"/>
        </w:rPr>
        <w:t>Rozdiely sú však medzi VŠ značné a</w:t>
      </w:r>
      <w:r w:rsidR="0058375C">
        <w:rPr>
          <w:rFonts w:asciiTheme="majorHAnsi" w:hAnsiTheme="majorHAnsi"/>
        </w:rPr>
        <w:t> </w:t>
      </w:r>
      <w:r w:rsidRPr="00870F42">
        <w:rPr>
          <w:rFonts w:asciiTheme="majorHAnsi" w:hAnsiTheme="majorHAnsi"/>
        </w:rPr>
        <w:t>najviac sa prejavujú najmä v</w:t>
      </w:r>
      <w:r w:rsidR="0058375C">
        <w:rPr>
          <w:rFonts w:asciiTheme="majorHAnsi" w:hAnsiTheme="majorHAnsi"/>
        </w:rPr>
        <w:t> </w:t>
      </w:r>
      <w:r w:rsidRPr="00870F42">
        <w:rPr>
          <w:rFonts w:asciiTheme="majorHAnsi" w:hAnsiTheme="majorHAnsi"/>
        </w:rPr>
        <w:t>doktorandskom štúdiu. Pre ďalší rozvoj doktorandov a</w:t>
      </w:r>
      <w:r w:rsidR="0058375C">
        <w:rPr>
          <w:rFonts w:asciiTheme="majorHAnsi" w:hAnsiTheme="majorHAnsi"/>
        </w:rPr>
        <w:t> </w:t>
      </w:r>
      <w:r w:rsidRPr="00870F42">
        <w:rPr>
          <w:rFonts w:asciiTheme="majorHAnsi" w:hAnsiTheme="majorHAnsi"/>
        </w:rPr>
        <w:t>mladých výskumných pracovníkov sú nevyhnutné ďalšie investície na vytvorenie motivujúcich a</w:t>
      </w:r>
      <w:r w:rsidR="0058375C">
        <w:rPr>
          <w:rFonts w:asciiTheme="majorHAnsi" w:hAnsiTheme="majorHAnsi"/>
        </w:rPr>
        <w:t> </w:t>
      </w:r>
      <w:r w:rsidRPr="00870F42">
        <w:rPr>
          <w:rFonts w:asciiTheme="majorHAnsi" w:hAnsiTheme="majorHAnsi"/>
        </w:rPr>
        <w:t>atraktívnych</w:t>
      </w:r>
      <w:r w:rsidR="0058375C">
        <w:rPr>
          <w:rFonts w:asciiTheme="majorHAnsi" w:hAnsiTheme="majorHAnsi"/>
        </w:rPr>
        <w:t xml:space="preserve"> </w:t>
      </w:r>
      <w:r w:rsidRPr="00870F42">
        <w:rPr>
          <w:rFonts w:asciiTheme="majorHAnsi" w:hAnsiTheme="majorHAnsi"/>
        </w:rPr>
        <w:t>podmienok, ako aj systémové zmeny v</w:t>
      </w:r>
      <w:r w:rsidR="0058375C">
        <w:rPr>
          <w:rFonts w:asciiTheme="majorHAnsi" w:hAnsiTheme="majorHAnsi"/>
        </w:rPr>
        <w:t> </w:t>
      </w:r>
      <w:r w:rsidRPr="00870F42">
        <w:rPr>
          <w:rFonts w:asciiTheme="majorHAnsi" w:hAnsiTheme="majorHAnsi"/>
        </w:rPr>
        <w:t>ďalšom rozvoji VŠ.</w:t>
      </w:r>
    </w:p>
    <w:p w:rsidR="00406C25" w:rsidRPr="00A11FE0" w:rsidRDefault="00406C25" w:rsidP="00723936">
      <w:pPr>
        <w:pStyle w:val="Nadpis5"/>
        <w:numPr>
          <w:ilvl w:val="4"/>
          <w:numId w:val="2"/>
        </w:numPr>
        <w:ind w:left="1292"/>
      </w:pPr>
      <w:r w:rsidRPr="00A11FE0">
        <w:t>Intenzita ďalšieho vzdelávania</w:t>
      </w:r>
    </w:p>
    <w:p w:rsidR="00406C25" w:rsidRPr="00A11FE0" w:rsidRDefault="00406C25" w:rsidP="00406C25">
      <w:pPr>
        <w:rPr>
          <w:rFonts w:asciiTheme="majorHAnsi" w:hAnsiTheme="majorHAnsi"/>
          <w:szCs w:val="22"/>
        </w:rPr>
      </w:pPr>
      <w:r w:rsidRPr="00A11FE0">
        <w:rPr>
          <w:rFonts w:asciiTheme="majorHAnsi" w:hAnsiTheme="majorHAnsi"/>
          <w:szCs w:val="22"/>
        </w:rPr>
        <w:t xml:space="preserve">Na </w:t>
      </w:r>
      <w:r w:rsidR="00BD5FD5">
        <w:rPr>
          <w:rFonts w:asciiTheme="majorHAnsi" w:hAnsiTheme="majorHAnsi"/>
          <w:szCs w:val="22"/>
        </w:rPr>
        <w:t>S</w:t>
      </w:r>
      <w:r w:rsidRPr="00A11FE0">
        <w:rPr>
          <w:rFonts w:asciiTheme="majorHAnsi" w:hAnsiTheme="majorHAnsi"/>
          <w:szCs w:val="22"/>
        </w:rPr>
        <w:t xml:space="preserve">lovensku platí rovnaké zistenie </w:t>
      </w:r>
      <w:r w:rsidR="00BD5FD5">
        <w:rPr>
          <w:rFonts w:asciiTheme="majorHAnsi" w:hAnsiTheme="majorHAnsi"/>
          <w:szCs w:val="22"/>
        </w:rPr>
        <w:t>ak</w:t>
      </w:r>
      <w:r w:rsidRPr="00A11FE0">
        <w:rPr>
          <w:rFonts w:asciiTheme="majorHAnsi" w:hAnsiTheme="majorHAnsi"/>
          <w:szCs w:val="22"/>
        </w:rPr>
        <w:t>o v</w:t>
      </w:r>
      <w:r w:rsidR="00100534">
        <w:rPr>
          <w:rFonts w:asciiTheme="majorHAnsi" w:hAnsiTheme="majorHAnsi"/>
          <w:szCs w:val="22"/>
        </w:rPr>
        <w:t xml:space="preserve"> iných krajinách </w:t>
      </w:r>
      <w:r w:rsidR="00992762">
        <w:rPr>
          <w:rFonts w:asciiTheme="majorHAnsi" w:hAnsiTheme="majorHAnsi"/>
          <w:szCs w:val="22"/>
        </w:rPr>
        <w:t>E</w:t>
      </w:r>
      <w:r w:rsidR="00DC5F52">
        <w:rPr>
          <w:rFonts w:asciiTheme="majorHAnsi" w:hAnsiTheme="majorHAnsi"/>
          <w:szCs w:val="22"/>
        </w:rPr>
        <w:t>ur</w:t>
      </w:r>
      <w:r w:rsidRPr="00A11FE0">
        <w:rPr>
          <w:rFonts w:asciiTheme="majorHAnsi" w:hAnsiTheme="majorHAnsi"/>
          <w:szCs w:val="22"/>
        </w:rPr>
        <w:t>óp</w:t>
      </w:r>
      <w:r w:rsidR="00100534">
        <w:rPr>
          <w:rFonts w:asciiTheme="majorHAnsi" w:hAnsiTheme="majorHAnsi"/>
          <w:szCs w:val="22"/>
        </w:rPr>
        <w:t>y</w:t>
      </w:r>
      <w:r w:rsidRPr="00A11FE0">
        <w:rPr>
          <w:rFonts w:asciiTheme="majorHAnsi" w:hAnsiTheme="majorHAnsi"/>
          <w:szCs w:val="22"/>
        </w:rPr>
        <w:t xml:space="preserve">, že čím má človek vyšší </w:t>
      </w:r>
      <w:r w:rsidR="00BD5FD5">
        <w:rPr>
          <w:rFonts w:asciiTheme="majorHAnsi" w:hAnsiTheme="majorHAnsi"/>
          <w:szCs w:val="22"/>
        </w:rPr>
        <w:t>s</w:t>
      </w:r>
      <w:r w:rsidRPr="00A11FE0">
        <w:rPr>
          <w:rFonts w:asciiTheme="majorHAnsi" w:hAnsiTheme="majorHAnsi"/>
          <w:szCs w:val="22"/>
        </w:rPr>
        <w:t xml:space="preserve">tupeň vzdelania, tým </w:t>
      </w:r>
      <w:r w:rsidR="00BD5FD5">
        <w:rPr>
          <w:rFonts w:asciiTheme="majorHAnsi" w:hAnsiTheme="majorHAnsi"/>
          <w:szCs w:val="22"/>
        </w:rPr>
        <w:t>s</w:t>
      </w:r>
      <w:r w:rsidRPr="00A11FE0">
        <w:rPr>
          <w:rFonts w:asciiTheme="majorHAnsi" w:hAnsiTheme="majorHAnsi"/>
          <w:szCs w:val="22"/>
        </w:rPr>
        <w:t xml:space="preserve">a viac zapája do </w:t>
      </w:r>
      <w:r w:rsidR="00BD5FD5">
        <w:rPr>
          <w:rFonts w:asciiTheme="majorHAnsi" w:hAnsiTheme="majorHAnsi"/>
          <w:szCs w:val="22"/>
        </w:rPr>
        <w:t>ak</w:t>
      </w:r>
      <w:r w:rsidRPr="00A11FE0">
        <w:rPr>
          <w:rFonts w:asciiTheme="majorHAnsi" w:hAnsiTheme="majorHAnsi"/>
          <w:szCs w:val="22"/>
        </w:rPr>
        <w:t>tivít v</w:t>
      </w:r>
      <w:r w:rsidR="0058375C">
        <w:rPr>
          <w:rFonts w:asciiTheme="majorHAnsi" w:hAnsiTheme="majorHAnsi"/>
          <w:szCs w:val="22"/>
        </w:rPr>
        <w:t> </w:t>
      </w:r>
      <w:r w:rsidRPr="00A11FE0">
        <w:rPr>
          <w:rFonts w:asciiTheme="majorHAnsi" w:hAnsiTheme="majorHAnsi"/>
          <w:szCs w:val="22"/>
        </w:rPr>
        <w:t xml:space="preserve">ďalšom vzdelávaní. Ľudia, </w:t>
      </w:r>
      <w:r w:rsidR="00BD5FD5">
        <w:rPr>
          <w:rFonts w:asciiTheme="majorHAnsi" w:hAnsiTheme="majorHAnsi"/>
          <w:szCs w:val="22"/>
        </w:rPr>
        <w:t>k</w:t>
      </w:r>
      <w:r w:rsidRPr="00A11FE0">
        <w:rPr>
          <w:rFonts w:asciiTheme="majorHAnsi" w:hAnsiTheme="majorHAnsi"/>
          <w:szCs w:val="22"/>
        </w:rPr>
        <w:t xml:space="preserve">torí </w:t>
      </w:r>
      <w:r w:rsidR="00BD5FD5">
        <w:rPr>
          <w:rFonts w:asciiTheme="majorHAnsi" w:hAnsiTheme="majorHAnsi"/>
          <w:szCs w:val="22"/>
        </w:rPr>
        <w:t>s</w:t>
      </w:r>
      <w:r w:rsidRPr="00A11FE0">
        <w:rPr>
          <w:rFonts w:asciiTheme="majorHAnsi" w:hAnsiTheme="majorHAnsi"/>
          <w:szCs w:val="22"/>
        </w:rPr>
        <w:t xml:space="preserve">a najviac potrebujú ďalej vzdelávať, </w:t>
      </w:r>
      <w:r w:rsidR="00BD5FD5">
        <w:rPr>
          <w:rFonts w:asciiTheme="majorHAnsi" w:hAnsiTheme="majorHAnsi"/>
          <w:szCs w:val="22"/>
        </w:rPr>
        <w:t>s</w:t>
      </w:r>
      <w:r w:rsidRPr="00A11FE0">
        <w:rPr>
          <w:rFonts w:asciiTheme="majorHAnsi" w:hAnsiTheme="majorHAnsi"/>
          <w:szCs w:val="22"/>
        </w:rPr>
        <w:t xml:space="preserve">a nevzdelávajú </w:t>
      </w:r>
      <w:r w:rsidR="00BD5FD5">
        <w:rPr>
          <w:rFonts w:asciiTheme="majorHAnsi" w:hAnsiTheme="majorHAnsi"/>
          <w:szCs w:val="22"/>
        </w:rPr>
        <w:t>a</w:t>
      </w:r>
      <w:r w:rsidR="007D717C" w:rsidRPr="00A11FE0">
        <w:rPr>
          <w:rFonts w:asciiTheme="majorHAnsi" w:hAnsiTheme="majorHAnsi"/>
          <w:szCs w:val="22"/>
        </w:rPr>
        <w:t> </w:t>
      </w:r>
      <w:r w:rsidRPr="00A11FE0">
        <w:rPr>
          <w:rFonts w:asciiTheme="majorHAnsi" w:hAnsiTheme="majorHAnsi"/>
          <w:szCs w:val="22"/>
        </w:rPr>
        <w:t>naopak. Na celoživotnom vzdelávaní v </w:t>
      </w:r>
      <w:r w:rsidR="00BD5FD5">
        <w:rPr>
          <w:rFonts w:asciiTheme="majorHAnsi" w:hAnsiTheme="majorHAnsi"/>
          <w:szCs w:val="22"/>
        </w:rPr>
        <w:t>S</w:t>
      </w:r>
      <w:r w:rsidRPr="00A11FE0">
        <w:rPr>
          <w:rFonts w:asciiTheme="majorHAnsi" w:hAnsiTheme="majorHAnsi"/>
          <w:szCs w:val="22"/>
        </w:rPr>
        <w:t xml:space="preserve">R participuje necelých 5 % </w:t>
      </w:r>
      <w:r w:rsidRPr="00A11FE0">
        <w:rPr>
          <w:rFonts w:asciiTheme="majorHAnsi" w:hAnsiTheme="majorHAnsi"/>
          <w:szCs w:val="22"/>
        </w:rPr>
        <w:lastRenderedPageBreak/>
        <w:t xml:space="preserve">ekonomicky </w:t>
      </w:r>
      <w:r w:rsidR="00BD5FD5">
        <w:rPr>
          <w:rFonts w:asciiTheme="majorHAnsi" w:hAnsiTheme="majorHAnsi"/>
          <w:szCs w:val="22"/>
        </w:rPr>
        <w:t>ak</w:t>
      </w:r>
      <w:r w:rsidRPr="00A11FE0">
        <w:rPr>
          <w:rFonts w:asciiTheme="majorHAnsi" w:hAnsiTheme="majorHAnsi"/>
          <w:szCs w:val="22"/>
        </w:rPr>
        <w:t>tívnych obyvateľov (EAO) vo veku 25-64 rokov</w:t>
      </w:r>
      <w:r w:rsidRPr="00A11FE0">
        <w:rPr>
          <w:rStyle w:val="Odkaznapoznmkupodiarou"/>
          <w:rFonts w:asciiTheme="majorHAnsi" w:hAnsiTheme="majorHAnsi"/>
          <w:szCs w:val="22"/>
        </w:rPr>
        <w:footnoteReference w:id="162"/>
      </w:r>
      <w:r w:rsidRPr="00A11FE0">
        <w:rPr>
          <w:rFonts w:asciiTheme="majorHAnsi" w:hAnsiTheme="majorHAnsi"/>
          <w:szCs w:val="22"/>
        </w:rPr>
        <w:t>. Účasť dospelých na celoživotnom vzdelávaní v </w:t>
      </w:r>
      <w:r w:rsidR="00BD5FD5">
        <w:rPr>
          <w:rFonts w:asciiTheme="majorHAnsi" w:hAnsiTheme="majorHAnsi"/>
          <w:szCs w:val="22"/>
        </w:rPr>
        <w:t>S</w:t>
      </w:r>
      <w:r w:rsidRPr="00A11FE0">
        <w:rPr>
          <w:rFonts w:asciiTheme="majorHAnsi" w:hAnsiTheme="majorHAnsi"/>
          <w:szCs w:val="22"/>
        </w:rPr>
        <w:t>R bola v roku 2011 na úrovni 3,9 %, pričom v priemere za EÚ bola na úrovni 8,9 %.</w:t>
      </w:r>
    </w:p>
    <w:p w:rsidR="00406C25" w:rsidRPr="00A11FE0" w:rsidRDefault="00406C25" w:rsidP="00406C25">
      <w:pPr>
        <w:rPr>
          <w:rFonts w:asciiTheme="majorHAnsi" w:hAnsiTheme="majorHAnsi"/>
          <w:szCs w:val="22"/>
        </w:rPr>
      </w:pPr>
      <w:r w:rsidRPr="00A11FE0">
        <w:rPr>
          <w:rFonts w:asciiTheme="majorHAnsi" w:hAnsiTheme="majorHAnsi"/>
          <w:szCs w:val="22"/>
        </w:rPr>
        <w:t xml:space="preserve">Prekážkou účasti na ďalšom vzdelávaní je hlavne jeho nízka </w:t>
      </w:r>
      <w:r w:rsidR="00BD5FD5">
        <w:rPr>
          <w:rFonts w:asciiTheme="majorHAnsi" w:hAnsiTheme="majorHAnsi"/>
          <w:szCs w:val="22"/>
        </w:rPr>
        <w:t>ak</w:t>
      </w:r>
      <w:r w:rsidRPr="00A11FE0">
        <w:rPr>
          <w:rFonts w:asciiTheme="majorHAnsi" w:hAnsiTheme="majorHAnsi"/>
          <w:szCs w:val="22"/>
        </w:rPr>
        <w:t xml:space="preserve">ceptácia zamestnávateľmi, </w:t>
      </w:r>
      <w:r w:rsidR="00BD5FD5">
        <w:rPr>
          <w:rFonts w:asciiTheme="majorHAnsi" w:hAnsiTheme="majorHAnsi"/>
          <w:szCs w:val="22"/>
        </w:rPr>
        <w:t>k</w:t>
      </w:r>
      <w:r w:rsidRPr="00A11FE0">
        <w:rPr>
          <w:rFonts w:asciiTheme="majorHAnsi" w:hAnsiTheme="majorHAnsi"/>
          <w:szCs w:val="22"/>
        </w:rPr>
        <w:t>eďže výstup z</w:t>
      </w:r>
      <w:r w:rsidR="007D717C" w:rsidRPr="00A11FE0">
        <w:rPr>
          <w:rFonts w:asciiTheme="majorHAnsi" w:hAnsiTheme="majorHAnsi"/>
          <w:szCs w:val="22"/>
        </w:rPr>
        <w:t> </w:t>
      </w:r>
      <w:r w:rsidRPr="00A11FE0">
        <w:rPr>
          <w:rFonts w:asciiTheme="majorHAnsi" w:hAnsiTheme="majorHAnsi"/>
          <w:szCs w:val="22"/>
        </w:rPr>
        <w:t>ďalšieho</w:t>
      </w:r>
      <w:r w:rsidR="007D717C" w:rsidRPr="00A11FE0">
        <w:rPr>
          <w:rFonts w:asciiTheme="majorHAnsi" w:hAnsiTheme="majorHAnsi"/>
          <w:szCs w:val="22"/>
        </w:rPr>
        <w:t xml:space="preserve"> </w:t>
      </w:r>
      <w:r w:rsidRPr="00A11FE0">
        <w:rPr>
          <w:rFonts w:asciiTheme="majorHAnsi" w:hAnsiTheme="majorHAnsi"/>
          <w:szCs w:val="22"/>
        </w:rPr>
        <w:t xml:space="preserve">vzdelávania negarantuje </w:t>
      </w:r>
      <w:r w:rsidR="00BD5FD5">
        <w:rPr>
          <w:rFonts w:asciiTheme="majorHAnsi" w:hAnsiTheme="majorHAnsi"/>
          <w:szCs w:val="22"/>
        </w:rPr>
        <w:t>a</w:t>
      </w:r>
      <w:r w:rsidRPr="00A11FE0">
        <w:rPr>
          <w:rFonts w:asciiTheme="majorHAnsi" w:hAnsiTheme="majorHAnsi"/>
          <w:szCs w:val="22"/>
        </w:rPr>
        <w:t xml:space="preserve">ni vyšší plat </w:t>
      </w:r>
      <w:r w:rsidR="00BD5FD5">
        <w:rPr>
          <w:rFonts w:asciiTheme="majorHAnsi" w:hAnsiTheme="majorHAnsi"/>
          <w:szCs w:val="22"/>
        </w:rPr>
        <w:t>a a</w:t>
      </w:r>
      <w:r w:rsidRPr="00A11FE0">
        <w:rPr>
          <w:rFonts w:asciiTheme="majorHAnsi" w:hAnsiTheme="majorHAnsi"/>
          <w:szCs w:val="22"/>
        </w:rPr>
        <w:t xml:space="preserve">ni lepšiu zamestnateľnosť. </w:t>
      </w:r>
      <w:r w:rsidR="00ED6750">
        <w:rPr>
          <w:rFonts w:asciiTheme="majorHAnsi" w:hAnsiTheme="majorHAnsi"/>
          <w:szCs w:val="22"/>
        </w:rPr>
        <w:t>Tento výstup n</w:t>
      </w:r>
      <w:r w:rsidRPr="00A11FE0">
        <w:rPr>
          <w:rFonts w:asciiTheme="majorHAnsi" w:hAnsiTheme="majorHAnsi"/>
          <w:szCs w:val="22"/>
        </w:rPr>
        <w:t xml:space="preserve">ie je považovaný za rovnocenný </w:t>
      </w:r>
      <w:r w:rsidR="00BD5FD5">
        <w:rPr>
          <w:rFonts w:asciiTheme="majorHAnsi" w:hAnsiTheme="majorHAnsi"/>
          <w:szCs w:val="22"/>
        </w:rPr>
        <w:t>s </w:t>
      </w:r>
      <w:r w:rsidRPr="00A11FE0">
        <w:rPr>
          <w:rFonts w:asciiTheme="majorHAnsi" w:hAnsiTheme="majorHAnsi"/>
          <w:szCs w:val="22"/>
        </w:rPr>
        <w:t xml:space="preserve">diplomom či výučným listom, čo </w:t>
      </w:r>
      <w:r w:rsidR="00BD5FD5">
        <w:rPr>
          <w:rFonts w:asciiTheme="majorHAnsi" w:hAnsiTheme="majorHAnsi"/>
          <w:szCs w:val="22"/>
        </w:rPr>
        <w:t>s</w:t>
      </w:r>
      <w:r w:rsidRPr="00A11FE0">
        <w:rPr>
          <w:rFonts w:asciiTheme="majorHAnsi" w:hAnsiTheme="majorHAnsi"/>
          <w:szCs w:val="22"/>
        </w:rPr>
        <w:t xml:space="preserve">pôsobuje, že tejto forme vzdelávania nie je prikladaný náležitý význam </w:t>
      </w:r>
      <w:r w:rsidR="00BD5FD5">
        <w:rPr>
          <w:rFonts w:asciiTheme="majorHAnsi" w:hAnsiTheme="majorHAnsi"/>
          <w:szCs w:val="22"/>
        </w:rPr>
        <w:t>a </w:t>
      </w:r>
      <w:r w:rsidRPr="00A11FE0">
        <w:rPr>
          <w:rFonts w:asciiTheme="majorHAnsi" w:hAnsiTheme="majorHAnsi"/>
          <w:szCs w:val="22"/>
        </w:rPr>
        <w:t xml:space="preserve">dôležitosť. Ďalšou prekážkou je vytvorenie vhodných podmienok ďalšieho vzdelávania, </w:t>
      </w:r>
      <w:r w:rsidR="00BD5FD5">
        <w:rPr>
          <w:rFonts w:asciiTheme="majorHAnsi" w:hAnsiTheme="majorHAnsi"/>
          <w:szCs w:val="22"/>
        </w:rPr>
        <w:t>a </w:t>
      </w:r>
      <w:r w:rsidRPr="00A11FE0">
        <w:rPr>
          <w:rFonts w:asciiTheme="majorHAnsi" w:hAnsiTheme="majorHAnsi"/>
          <w:szCs w:val="22"/>
        </w:rPr>
        <w:t>to</w:t>
      </w:r>
      <w:r w:rsidR="007D717C" w:rsidRPr="00A11FE0">
        <w:rPr>
          <w:rFonts w:asciiTheme="majorHAnsi" w:hAnsiTheme="majorHAnsi"/>
          <w:szCs w:val="22"/>
        </w:rPr>
        <w:t xml:space="preserve"> </w:t>
      </w:r>
      <w:r w:rsidRPr="00A11FE0">
        <w:rPr>
          <w:rFonts w:asciiTheme="majorHAnsi" w:hAnsiTheme="majorHAnsi"/>
          <w:szCs w:val="22"/>
        </w:rPr>
        <w:t>časové hľadisko, dostupnosť do miesta vzdelávania, či forma poskytovaného vzdelávania.</w:t>
      </w:r>
    </w:p>
    <w:p w:rsidR="00406C25" w:rsidRPr="00A11FE0" w:rsidRDefault="00406C25" w:rsidP="00406C25">
      <w:pPr>
        <w:rPr>
          <w:rFonts w:asciiTheme="majorHAnsi" w:hAnsiTheme="majorHAnsi"/>
          <w:szCs w:val="22"/>
        </w:rPr>
      </w:pPr>
      <w:r w:rsidRPr="00A11FE0">
        <w:rPr>
          <w:rFonts w:asciiTheme="majorHAnsi" w:hAnsiTheme="majorHAnsi"/>
        </w:rPr>
        <w:t xml:space="preserve">Rovnováha na trhu práce je negatívne ovplyvňovaná </w:t>
      </w:r>
      <w:r w:rsidR="00BD5FD5">
        <w:rPr>
          <w:rFonts w:asciiTheme="majorHAnsi" w:hAnsiTheme="majorHAnsi"/>
        </w:rPr>
        <w:t>a</w:t>
      </w:r>
      <w:r w:rsidRPr="00A11FE0">
        <w:rPr>
          <w:rFonts w:asciiTheme="majorHAnsi" w:hAnsiTheme="majorHAnsi"/>
        </w:rPr>
        <w:t>j demografickým vývojom v</w:t>
      </w:r>
      <w:r w:rsidR="00343539">
        <w:rPr>
          <w:rFonts w:asciiTheme="majorHAnsi" w:hAnsiTheme="majorHAnsi"/>
        </w:rPr>
        <w:t> </w:t>
      </w:r>
      <w:r w:rsidR="00BD5FD5">
        <w:rPr>
          <w:rFonts w:asciiTheme="majorHAnsi" w:hAnsiTheme="majorHAnsi"/>
        </w:rPr>
        <w:t>S</w:t>
      </w:r>
      <w:r w:rsidRPr="00A11FE0">
        <w:rPr>
          <w:rFonts w:asciiTheme="majorHAnsi" w:hAnsiTheme="majorHAnsi"/>
        </w:rPr>
        <w:t xml:space="preserve">R. Ten je charakteristický poklesom pôrodnosti </w:t>
      </w:r>
      <w:r w:rsidR="00BD5FD5">
        <w:rPr>
          <w:rFonts w:asciiTheme="majorHAnsi" w:hAnsiTheme="majorHAnsi"/>
        </w:rPr>
        <w:t>a s</w:t>
      </w:r>
      <w:r w:rsidRPr="00A11FE0">
        <w:rPr>
          <w:rFonts w:asciiTheme="majorHAnsi" w:hAnsiTheme="majorHAnsi"/>
        </w:rPr>
        <w:t>tarnutím populácie. V</w:t>
      </w:r>
      <w:r w:rsidR="00343539">
        <w:rPr>
          <w:rFonts w:asciiTheme="majorHAnsi" w:hAnsiTheme="majorHAnsi"/>
        </w:rPr>
        <w:t> </w:t>
      </w:r>
      <w:r w:rsidR="00BD5FD5">
        <w:rPr>
          <w:rFonts w:asciiTheme="majorHAnsi" w:hAnsiTheme="majorHAnsi"/>
        </w:rPr>
        <w:t>s</w:t>
      </w:r>
      <w:r w:rsidRPr="00A11FE0">
        <w:rPr>
          <w:rFonts w:asciiTheme="majorHAnsi" w:hAnsiTheme="majorHAnsi"/>
        </w:rPr>
        <w:t xml:space="preserve">účasnosti existuje nedostatok pracovných </w:t>
      </w:r>
      <w:r w:rsidR="00BD5FD5">
        <w:rPr>
          <w:rFonts w:asciiTheme="majorHAnsi" w:hAnsiTheme="majorHAnsi"/>
        </w:rPr>
        <w:t>s</w:t>
      </w:r>
      <w:r w:rsidRPr="00A11FE0">
        <w:rPr>
          <w:rFonts w:asciiTheme="majorHAnsi" w:hAnsiTheme="majorHAnsi"/>
        </w:rPr>
        <w:t>íl v</w:t>
      </w:r>
      <w:r w:rsidR="00343539">
        <w:rPr>
          <w:rFonts w:asciiTheme="majorHAnsi" w:hAnsiTheme="majorHAnsi"/>
        </w:rPr>
        <w:t> </w:t>
      </w:r>
      <w:r w:rsidRPr="00A11FE0">
        <w:rPr>
          <w:rFonts w:asciiTheme="majorHAnsi" w:hAnsiTheme="majorHAnsi"/>
        </w:rPr>
        <w:t xml:space="preserve">niektorých profesiách, </w:t>
      </w:r>
      <w:r w:rsidR="00BD5FD5">
        <w:rPr>
          <w:rFonts w:asciiTheme="majorHAnsi" w:hAnsiTheme="majorHAnsi"/>
        </w:rPr>
        <w:t>k</w:t>
      </w:r>
      <w:r w:rsidRPr="00A11FE0">
        <w:rPr>
          <w:rFonts w:asciiTheme="majorHAnsi" w:hAnsiTheme="majorHAnsi"/>
        </w:rPr>
        <w:t xml:space="preserve">torý </w:t>
      </w:r>
      <w:r w:rsidR="00BD5FD5">
        <w:rPr>
          <w:rFonts w:asciiTheme="majorHAnsi" w:hAnsiTheme="majorHAnsi"/>
        </w:rPr>
        <w:t>s</w:t>
      </w:r>
      <w:r w:rsidRPr="00A11FE0">
        <w:rPr>
          <w:rFonts w:asciiTheme="majorHAnsi" w:hAnsiTheme="majorHAnsi"/>
        </w:rPr>
        <w:t xml:space="preserve">a bude ďalej prehlbovať. </w:t>
      </w:r>
      <w:r w:rsidR="0055646E">
        <w:rPr>
          <w:rFonts w:asciiTheme="majorHAnsi" w:hAnsiTheme="majorHAnsi"/>
        </w:rPr>
        <w:t>Formou celoživotného vzdelávania j</w:t>
      </w:r>
      <w:r w:rsidRPr="00A11FE0">
        <w:rPr>
          <w:rFonts w:asciiTheme="majorHAnsi" w:hAnsiTheme="majorHAnsi"/>
        </w:rPr>
        <w:t xml:space="preserve">e preto potrebné podporovať </w:t>
      </w:r>
      <w:r w:rsidR="00BD5FD5">
        <w:rPr>
          <w:rFonts w:asciiTheme="majorHAnsi" w:hAnsiTheme="majorHAnsi"/>
        </w:rPr>
        <w:t>a</w:t>
      </w:r>
      <w:r w:rsidRPr="00A11FE0">
        <w:rPr>
          <w:rFonts w:asciiTheme="majorHAnsi" w:hAnsiTheme="majorHAnsi"/>
        </w:rPr>
        <w:t xml:space="preserve">j doplnenie chýbajúcich </w:t>
      </w:r>
      <w:r w:rsidR="00BD5FD5">
        <w:rPr>
          <w:rFonts w:asciiTheme="majorHAnsi" w:hAnsiTheme="majorHAnsi"/>
        </w:rPr>
        <w:t>k</w:t>
      </w:r>
      <w:r w:rsidRPr="00A11FE0">
        <w:rPr>
          <w:rFonts w:asciiTheme="majorHAnsi" w:hAnsiTheme="majorHAnsi"/>
        </w:rPr>
        <w:t>ľúčových pracovných miest mladými pracovníkmi</w:t>
      </w:r>
      <w:r w:rsidR="0055646E">
        <w:rPr>
          <w:rFonts w:asciiTheme="majorHAnsi" w:hAnsiTheme="majorHAnsi"/>
        </w:rPr>
        <w:t>, a to</w:t>
      </w:r>
      <w:r w:rsidRPr="00A11FE0">
        <w:rPr>
          <w:rFonts w:asciiTheme="majorHAnsi" w:hAnsiTheme="majorHAnsi"/>
        </w:rPr>
        <w:t xml:space="preserve"> prostredníctvom motivačných programov,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 xml:space="preserve">j uplatnenie </w:t>
      </w:r>
      <w:r w:rsidR="00BD5FD5">
        <w:rPr>
          <w:rFonts w:asciiTheme="majorHAnsi" w:hAnsiTheme="majorHAnsi"/>
        </w:rPr>
        <w:t>s</w:t>
      </w:r>
      <w:r w:rsidRPr="00A11FE0">
        <w:rPr>
          <w:rFonts w:asciiTheme="majorHAnsi" w:hAnsiTheme="majorHAnsi"/>
        </w:rPr>
        <w:t xml:space="preserve">a </w:t>
      </w:r>
      <w:r w:rsidR="00BD5FD5">
        <w:rPr>
          <w:rFonts w:asciiTheme="majorHAnsi" w:hAnsiTheme="majorHAnsi"/>
        </w:rPr>
        <w:t>s</w:t>
      </w:r>
      <w:r w:rsidRPr="00A11FE0">
        <w:rPr>
          <w:rFonts w:asciiTheme="majorHAnsi" w:hAnsiTheme="majorHAnsi"/>
        </w:rPr>
        <w:t>tarších ľudí na trhu práce prostredníctvom získavania nových zručností.</w:t>
      </w:r>
      <w:r w:rsidRPr="00A11FE0">
        <w:rPr>
          <w:rFonts w:asciiTheme="majorHAnsi" w:hAnsiTheme="majorHAnsi"/>
          <w:szCs w:val="22"/>
        </w:rPr>
        <w:t xml:space="preserve"> Nosnou ideou pri všetkých </w:t>
      </w:r>
      <w:r w:rsidR="00BD5FD5">
        <w:rPr>
          <w:rFonts w:asciiTheme="majorHAnsi" w:hAnsiTheme="majorHAnsi"/>
          <w:szCs w:val="22"/>
        </w:rPr>
        <w:t>ak</w:t>
      </w:r>
      <w:r w:rsidRPr="00A11FE0">
        <w:rPr>
          <w:rFonts w:asciiTheme="majorHAnsi" w:hAnsiTheme="majorHAnsi"/>
          <w:szCs w:val="22"/>
        </w:rPr>
        <w:t xml:space="preserve">tivitách v oblasti celoživotného vzdelávania však musí byť jeho prepojenosť na potreby trhu práce </w:t>
      </w:r>
      <w:r w:rsidR="00BD5FD5">
        <w:rPr>
          <w:rFonts w:asciiTheme="majorHAnsi" w:hAnsiTheme="majorHAnsi"/>
          <w:szCs w:val="22"/>
        </w:rPr>
        <w:t>a </w:t>
      </w:r>
      <w:r w:rsidRPr="00A11FE0">
        <w:rPr>
          <w:rFonts w:asciiTheme="majorHAnsi" w:hAnsiTheme="majorHAnsi"/>
          <w:szCs w:val="22"/>
        </w:rPr>
        <w:t xml:space="preserve">požiadavky zamestnávateľov vrátane ich </w:t>
      </w:r>
      <w:r w:rsidR="00BD5FD5">
        <w:rPr>
          <w:rFonts w:asciiTheme="majorHAnsi" w:hAnsiTheme="majorHAnsi"/>
          <w:szCs w:val="22"/>
        </w:rPr>
        <w:t>s</w:t>
      </w:r>
      <w:r w:rsidRPr="00A11FE0">
        <w:rPr>
          <w:rFonts w:asciiTheme="majorHAnsi" w:hAnsiTheme="majorHAnsi"/>
          <w:szCs w:val="22"/>
        </w:rPr>
        <w:t xml:space="preserve">polupráce na poskytovaní vzdelávania, tvorbe jeho obsahu </w:t>
      </w:r>
      <w:r w:rsidR="00BD5FD5">
        <w:rPr>
          <w:rFonts w:asciiTheme="majorHAnsi" w:hAnsiTheme="majorHAnsi"/>
          <w:szCs w:val="22"/>
        </w:rPr>
        <w:t>a </w:t>
      </w:r>
      <w:r w:rsidRPr="00A11FE0">
        <w:rPr>
          <w:rFonts w:asciiTheme="majorHAnsi" w:hAnsiTheme="majorHAnsi"/>
          <w:szCs w:val="22"/>
        </w:rPr>
        <w:t xml:space="preserve">účasti na poradenstve pre dospelých. </w:t>
      </w:r>
      <w:r w:rsidR="00BD5FD5">
        <w:rPr>
          <w:rFonts w:asciiTheme="majorHAnsi" w:hAnsiTheme="majorHAnsi"/>
          <w:szCs w:val="22"/>
        </w:rPr>
        <w:t>S </w:t>
      </w:r>
      <w:r w:rsidRPr="00A11FE0">
        <w:rPr>
          <w:rFonts w:asciiTheme="majorHAnsi" w:hAnsiTheme="majorHAnsi"/>
          <w:szCs w:val="22"/>
        </w:rPr>
        <w:t xml:space="preserve">dôrazom na inkluzívny </w:t>
      </w:r>
      <w:r w:rsidR="00BD5FD5">
        <w:rPr>
          <w:rFonts w:asciiTheme="majorHAnsi" w:hAnsiTheme="majorHAnsi"/>
          <w:szCs w:val="22"/>
        </w:rPr>
        <w:t>as</w:t>
      </w:r>
      <w:r w:rsidRPr="00A11FE0">
        <w:rPr>
          <w:rFonts w:asciiTheme="majorHAnsi" w:hAnsiTheme="majorHAnsi"/>
          <w:szCs w:val="22"/>
        </w:rPr>
        <w:t xml:space="preserve">pekt vzdelávania je potrebné cielene zabezpečiť možnosti pre vzdelávanie </w:t>
      </w:r>
      <w:r w:rsidR="00BD5FD5">
        <w:rPr>
          <w:rFonts w:asciiTheme="majorHAnsi" w:hAnsiTheme="majorHAnsi"/>
          <w:szCs w:val="22"/>
        </w:rPr>
        <w:t>a </w:t>
      </w:r>
      <w:r w:rsidRPr="00A11FE0">
        <w:rPr>
          <w:rFonts w:asciiTheme="majorHAnsi" w:hAnsiTheme="majorHAnsi"/>
          <w:szCs w:val="22"/>
        </w:rPr>
        <w:t xml:space="preserve">odbornú prípravu osôb </w:t>
      </w:r>
      <w:r w:rsidR="00BD5FD5">
        <w:rPr>
          <w:rFonts w:asciiTheme="majorHAnsi" w:hAnsiTheme="majorHAnsi"/>
          <w:szCs w:val="22"/>
        </w:rPr>
        <w:t>s</w:t>
      </w:r>
      <w:r w:rsidRPr="00A11FE0">
        <w:rPr>
          <w:rFonts w:asciiTheme="majorHAnsi" w:hAnsiTheme="majorHAnsi"/>
          <w:szCs w:val="22"/>
        </w:rPr>
        <w:t xml:space="preserve">o zdravotným, </w:t>
      </w:r>
      <w:r w:rsidR="00BD5FD5">
        <w:rPr>
          <w:rFonts w:asciiTheme="majorHAnsi" w:hAnsiTheme="majorHAnsi"/>
          <w:szCs w:val="22"/>
        </w:rPr>
        <w:t>s</w:t>
      </w:r>
      <w:r w:rsidRPr="00A11FE0">
        <w:rPr>
          <w:rFonts w:asciiTheme="majorHAnsi" w:hAnsiTheme="majorHAnsi"/>
          <w:szCs w:val="22"/>
        </w:rPr>
        <w:t xml:space="preserve">ociálnym, </w:t>
      </w:r>
      <w:r w:rsidR="00BD5FD5">
        <w:rPr>
          <w:rFonts w:asciiTheme="majorHAnsi" w:hAnsiTheme="majorHAnsi"/>
          <w:szCs w:val="22"/>
        </w:rPr>
        <w:t>a</w:t>
      </w:r>
      <w:r w:rsidRPr="00A11FE0">
        <w:rPr>
          <w:rFonts w:asciiTheme="majorHAnsi" w:hAnsiTheme="majorHAnsi"/>
          <w:szCs w:val="22"/>
        </w:rPr>
        <w:t xml:space="preserve">lebo iným znevýhodnením za účelom začlenenia zraniteľných </w:t>
      </w:r>
      <w:r w:rsidR="00BD5FD5">
        <w:rPr>
          <w:rFonts w:asciiTheme="majorHAnsi" w:hAnsiTheme="majorHAnsi"/>
          <w:szCs w:val="22"/>
        </w:rPr>
        <w:t>s</w:t>
      </w:r>
      <w:r w:rsidRPr="00A11FE0">
        <w:rPr>
          <w:rFonts w:asciiTheme="majorHAnsi" w:hAnsiTheme="majorHAnsi"/>
          <w:szCs w:val="22"/>
        </w:rPr>
        <w:t xml:space="preserve">kupín obyvateľstva na trh práce </w:t>
      </w:r>
      <w:r w:rsidR="00BD5FD5">
        <w:rPr>
          <w:rFonts w:asciiTheme="majorHAnsi" w:hAnsiTheme="majorHAnsi"/>
          <w:szCs w:val="22"/>
        </w:rPr>
        <w:t>a </w:t>
      </w:r>
      <w:r w:rsidRPr="00A11FE0">
        <w:rPr>
          <w:rFonts w:asciiTheme="majorHAnsi" w:hAnsiTheme="majorHAnsi"/>
          <w:szCs w:val="22"/>
        </w:rPr>
        <w:t xml:space="preserve">do </w:t>
      </w:r>
      <w:r w:rsidR="00BD5FD5">
        <w:rPr>
          <w:rFonts w:asciiTheme="majorHAnsi" w:hAnsiTheme="majorHAnsi"/>
          <w:szCs w:val="22"/>
        </w:rPr>
        <w:t>s</w:t>
      </w:r>
      <w:r w:rsidRPr="00A11FE0">
        <w:rPr>
          <w:rFonts w:asciiTheme="majorHAnsi" w:hAnsiTheme="majorHAnsi"/>
          <w:szCs w:val="22"/>
        </w:rPr>
        <w:t>poločnosti.</w:t>
      </w:r>
    </w:p>
    <w:p w:rsidR="00406C25" w:rsidRPr="00A11FE0" w:rsidRDefault="00406C25" w:rsidP="00406C25">
      <w:pPr>
        <w:rPr>
          <w:rFonts w:asciiTheme="majorHAnsi" w:hAnsiTheme="majorHAnsi"/>
        </w:rPr>
      </w:pPr>
      <w:r w:rsidRPr="00A11FE0">
        <w:rPr>
          <w:rFonts w:asciiTheme="majorHAnsi" w:hAnsiTheme="majorHAnsi"/>
          <w:szCs w:val="22"/>
        </w:rPr>
        <w:t xml:space="preserve">Predpokladom </w:t>
      </w:r>
      <w:r w:rsidR="00BD5FD5">
        <w:rPr>
          <w:rFonts w:asciiTheme="majorHAnsi" w:hAnsiTheme="majorHAnsi"/>
          <w:szCs w:val="22"/>
        </w:rPr>
        <w:t>ak</w:t>
      </w:r>
      <w:r w:rsidRPr="00A11FE0">
        <w:rPr>
          <w:rFonts w:asciiTheme="majorHAnsi" w:hAnsiTheme="majorHAnsi"/>
          <w:szCs w:val="22"/>
        </w:rPr>
        <w:t xml:space="preserve">ceptácie výsledkov celoživotného vzdelávania zamestnávateľmi je dokončenie </w:t>
      </w:r>
      <w:r w:rsidR="00BD5FD5">
        <w:rPr>
          <w:rFonts w:asciiTheme="majorHAnsi" w:hAnsiTheme="majorHAnsi"/>
          <w:szCs w:val="22"/>
        </w:rPr>
        <w:t>a </w:t>
      </w:r>
      <w:r w:rsidRPr="00A11FE0">
        <w:rPr>
          <w:rFonts w:asciiTheme="majorHAnsi" w:hAnsiTheme="majorHAnsi"/>
          <w:szCs w:val="22"/>
        </w:rPr>
        <w:t xml:space="preserve">následná implementácia Národného </w:t>
      </w:r>
      <w:r w:rsidR="00BD5FD5">
        <w:rPr>
          <w:rFonts w:asciiTheme="majorHAnsi" w:hAnsiTheme="majorHAnsi"/>
          <w:szCs w:val="22"/>
        </w:rPr>
        <w:t>k</w:t>
      </w:r>
      <w:r w:rsidRPr="00A11FE0">
        <w:rPr>
          <w:rFonts w:asciiTheme="majorHAnsi" w:hAnsiTheme="majorHAnsi"/>
          <w:szCs w:val="22"/>
        </w:rPr>
        <w:t xml:space="preserve">valifikačného rámca </w:t>
      </w:r>
      <w:r w:rsidR="00BD5FD5">
        <w:rPr>
          <w:rFonts w:asciiTheme="majorHAnsi" w:hAnsiTheme="majorHAnsi"/>
          <w:szCs w:val="22"/>
        </w:rPr>
        <w:t>a ak</w:t>
      </w:r>
      <w:r w:rsidRPr="00A11FE0">
        <w:rPr>
          <w:rFonts w:asciiTheme="majorHAnsi" w:hAnsiTheme="majorHAnsi"/>
          <w:szCs w:val="22"/>
        </w:rPr>
        <w:t xml:space="preserve">tualizácia Národnej </w:t>
      </w:r>
      <w:r w:rsidR="00BD5FD5">
        <w:rPr>
          <w:rFonts w:asciiTheme="majorHAnsi" w:hAnsiTheme="majorHAnsi"/>
          <w:szCs w:val="22"/>
        </w:rPr>
        <w:t>s</w:t>
      </w:r>
      <w:r w:rsidRPr="00A11FE0">
        <w:rPr>
          <w:rFonts w:asciiTheme="majorHAnsi" w:hAnsiTheme="majorHAnsi"/>
          <w:szCs w:val="22"/>
        </w:rPr>
        <w:t xml:space="preserve">ústavy </w:t>
      </w:r>
      <w:r w:rsidR="00BD5FD5">
        <w:rPr>
          <w:rFonts w:asciiTheme="majorHAnsi" w:hAnsiTheme="majorHAnsi"/>
          <w:szCs w:val="22"/>
        </w:rPr>
        <w:t>k</w:t>
      </w:r>
      <w:r w:rsidRPr="00A11FE0">
        <w:rPr>
          <w:rFonts w:asciiTheme="majorHAnsi" w:hAnsiTheme="majorHAnsi"/>
          <w:szCs w:val="22"/>
        </w:rPr>
        <w:t xml:space="preserve">valifikácií </w:t>
      </w:r>
      <w:r w:rsidR="00870F42" w:rsidRPr="00870F42">
        <w:rPr>
          <w:rFonts w:asciiTheme="majorHAnsi" w:hAnsiTheme="majorHAnsi"/>
          <w:szCs w:val="22"/>
        </w:rPr>
        <w:t>v súlade s Európskym kvalifikačným rámcom a</w:t>
      </w:r>
      <w:r w:rsidR="0058375C">
        <w:rPr>
          <w:rFonts w:asciiTheme="majorHAnsi" w:hAnsiTheme="majorHAnsi"/>
          <w:szCs w:val="22"/>
        </w:rPr>
        <w:t> </w:t>
      </w:r>
      <w:r w:rsidRPr="00A11FE0">
        <w:rPr>
          <w:rFonts w:asciiTheme="majorHAnsi" w:hAnsiTheme="majorHAnsi"/>
          <w:szCs w:val="22"/>
        </w:rPr>
        <w:t>podľa požiadaviek trhu práce</w:t>
      </w:r>
      <w:r w:rsidR="0055646E">
        <w:rPr>
          <w:rFonts w:asciiTheme="majorHAnsi" w:hAnsiTheme="majorHAnsi"/>
          <w:szCs w:val="22"/>
        </w:rPr>
        <w:t xml:space="preserve">, ktoré sú v súčasnosti </w:t>
      </w:r>
      <w:r w:rsidRPr="00A11FE0">
        <w:rPr>
          <w:rFonts w:asciiTheme="majorHAnsi" w:hAnsiTheme="majorHAnsi"/>
        </w:rPr>
        <w:t>realizovan</w:t>
      </w:r>
      <w:r w:rsidR="0055646E">
        <w:rPr>
          <w:rFonts w:asciiTheme="majorHAnsi" w:hAnsiTheme="majorHAnsi"/>
        </w:rPr>
        <w:t>é prostredníctvom</w:t>
      </w:r>
      <w:r w:rsidRPr="00A11FE0">
        <w:rPr>
          <w:rFonts w:asciiTheme="majorHAnsi" w:hAnsiTheme="majorHAnsi"/>
        </w:rPr>
        <w:t xml:space="preserve"> národných projektov OP Vzdelávanie. Z</w:t>
      </w:r>
      <w:r w:rsidR="0058375C">
        <w:rPr>
          <w:rFonts w:asciiTheme="majorHAnsi" w:hAnsiTheme="majorHAnsi"/>
        </w:rPr>
        <w:t> </w:t>
      </w:r>
      <w:r w:rsidRPr="00A11FE0">
        <w:rPr>
          <w:rFonts w:asciiTheme="majorHAnsi" w:hAnsiTheme="majorHAnsi"/>
        </w:rPr>
        <w:t xml:space="preserve">hľadiska motivácie </w:t>
      </w:r>
      <w:r w:rsidR="00BD5FD5">
        <w:rPr>
          <w:rFonts w:asciiTheme="majorHAnsi" w:hAnsiTheme="majorHAnsi"/>
        </w:rPr>
        <w:t>a </w:t>
      </w:r>
      <w:r w:rsidRPr="00A11FE0">
        <w:rPr>
          <w:rFonts w:asciiTheme="majorHAnsi" w:hAnsiTheme="majorHAnsi"/>
        </w:rPr>
        <w:t xml:space="preserve">účasti dospelých na celoživotnom vzdelávaní je nevyhnutné zabezpečiť </w:t>
      </w:r>
      <w:r w:rsidR="00BD5FD5">
        <w:rPr>
          <w:rFonts w:asciiTheme="majorHAnsi" w:hAnsiTheme="majorHAnsi"/>
        </w:rPr>
        <w:t>k</w:t>
      </w:r>
      <w:r w:rsidRPr="00A11FE0">
        <w:rPr>
          <w:rFonts w:asciiTheme="majorHAnsi" w:hAnsiTheme="majorHAnsi"/>
        </w:rPr>
        <w:t>ontinuitu výstupov týchto projektov</w:t>
      </w:r>
      <w:r w:rsidR="0058375C">
        <w:rPr>
          <w:rFonts w:asciiTheme="majorHAnsi" w:hAnsiTheme="majorHAnsi"/>
        </w:rPr>
        <w:t>,</w:t>
      </w:r>
      <w:r w:rsidRPr="00A11FE0">
        <w:rPr>
          <w:rFonts w:asciiTheme="majorHAnsi" w:hAnsiTheme="majorHAnsi"/>
        </w:rPr>
        <w:t xml:space="preserve"> vrátane rozvoja </w:t>
      </w:r>
      <w:r w:rsidR="00BD5FD5">
        <w:rPr>
          <w:rFonts w:asciiTheme="majorHAnsi" w:hAnsiTheme="majorHAnsi"/>
        </w:rPr>
        <w:t>s</w:t>
      </w:r>
      <w:r w:rsidRPr="00A11FE0">
        <w:rPr>
          <w:rFonts w:asciiTheme="majorHAnsi" w:hAnsiTheme="majorHAnsi"/>
        </w:rPr>
        <w:t xml:space="preserve">ystému poradenstva pre dospelých </w:t>
      </w:r>
      <w:r w:rsidR="00BD5FD5">
        <w:rPr>
          <w:rFonts w:asciiTheme="majorHAnsi" w:hAnsiTheme="majorHAnsi"/>
        </w:rPr>
        <w:t>ak</w:t>
      </w:r>
      <w:r w:rsidRPr="00A11FE0">
        <w:rPr>
          <w:rFonts w:asciiTheme="majorHAnsi" w:hAnsiTheme="majorHAnsi"/>
        </w:rPr>
        <w:t xml:space="preserve">o nástroja lepšej uplatniteľnosti na trhu práce primárne pre osoby </w:t>
      </w:r>
      <w:r w:rsidR="00BD5FD5">
        <w:rPr>
          <w:rFonts w:asciiTheme="majorHAnsi" w:hAnsiTheme="majorHAnsi"/>
        </w:rPr>
        <w:t>s </w:t>
      </w:r>
      <w:r w:rsidRPr="00A11FE0">
        <w:rPr>
          <w:rFonts w:asciiTheme="majorHAnsi" w:hAnsiTheme="majorHAnsi"/>
        </w:rPr>
        <w:t xml:space="preserve">nízkou </w:t>
      </w:r>
      <w:r w:rsidR="00BD5FD5">
        <w:rPr>
          <w:rFonts w:asciiTheme="majorHAnsi" w:hAnsiTheme="majorHAnsi"/>
        </w:rPr>
        <w:t>k</w:t>
      </w:r>
      <w:r w:rsidRPr="00A11FE0">
        <w:rPr>
          <w:rFonts w:asciiTheme="majorHAnsi" w:hAnsiTheme="majorHAnsi"/>
        </w:rPr>
        <w:t xml:space="preserve">valifikáciou </w:t>
      </w:r>
      <w:r w:rsidR="00BD5FD5">
        <w:rPr>
          <w:rFonts w:asciiTheme="majorHAnsi" w:hAnsiTheme="majorHAnsi"/>
        </w:rPr>
        <w:t>a s</w:t>
      </w:r>
      <w:r w:rsidRPr="00A11FE0">
        <w:rPr>
          <w:rFonts w:asciiTheme="majorHAnsi" w:hAnsiTheme="majorHAnsi"/>
        </w:rPr>
        <w:t>tupňom vzdelania.</w:t>
      </w:r>
    </w:p>
    <w:p w:rsidR="004D3937" w:rsidRPr="004D3937" w:rsidRDefault="004D3937" w:rsidP="004D3937">
      <w:pPr>
        <w:rPr>
          <w:rFonts w:asciiTheme="majorHAnsi" w:hAnsiTheme="majorHAnsi"/>
        </w:rPr>
      </w:pPr>
      <w:r w:rsidRPr="004D3937">
        <w:rPr>
          <w:rFonts w:asciiTheme="majorHAnsi" w:hAnsiTheme="majorHAnsi"/>
        </w:rPr>
        <w:t>V oblasti rozvoja vidieka musí vzdelávanie smerovať k</w:t>
      </w:r>
      <w:r w:rsidR="00343539">
        <w:rPr>
          <w:rFonts w:asciiTheme="majorHAnsi" w:hAnsiTheme="majorHAnsi"/>
        </w:rPr>
        <w:t> </w:t>
      </w:r>
      <w:r w:rsidRPr="004D3937">
        <w:rPr>
          <w:rFonts w:asciiTheme="majorHAnsi" w:hAnsiTheme="majorHAnsi"/>
        </w:rPr>
        <w:t>prioritným oblastiam Spoločnej poľnoh</w:t>
      </w:r>
      <w:r>
        <w:rPr>
          <w:rFonts w:asciiTheme="majorHAnsi" w:hAnsiTheme="majorHAnsi"/>
        </w:rPr>
        <w:t>ospodárskej politiky najmä však</w:t>
      </w:r>
      <w:r w:rsidRPr="004D3937">
        <w:rPr>
          <w:rFonts w:asciiTheme="majorHAnsi" w:hAnsiTheme="majorHAnsi"/>
        </w:rPr>
        <w:t xml:space="preserve"> k</w:t>
      </w:r>
      <w:r w:rsidR="00343539">
        <w:rPr>
          <w:rFonts w:asciiTheme="majorHAnsi" w:hAnsiTheme="majorHAnsi"/>
        </w:rPr>
        <w:t> </w:t>
      </w:r>
      <w:r w:rsidRPr="004D3937">
        <w:rPr>
          <w:rFonts w:asciiTheme="majorHAnsi" w:hAnsiTheme="majorHAnsi"/>
        </w:rPr>
        <w:t>zvyšovaniu konkurencieschopnosti podniku, efektívnejšiemu riadeniu podniku, k</w:t>
      </w:r>
      <w:r w:rsidR="00343539">
        <w:rPr>
          <w:rFonts w:asciiTheme="majorHAnsi" w:hAnsiTheme="majorHAnsi"/>
        </w:rPr>
        <w:t> </w:t>
      </w:r>
      <w:r w:rsidRPr="004D3937">
        <w:rPr>
          <w:rFonts w:asciiTheme="majorHAnsi" w:hAnsiTheme="majorHAnsi"/>
        </w:rPr>
        <w:t>podpore zavádzania inovácií na úrovni podniku, k</w:t>
      </w:r>
      <w:r w:rsidR="00343539">
        <w:rPr>
          <w:rFonts w:asciiTheme="majorHAnsi" w:hAnsiTheme="majorHAnsi"/>
        </w:rPr>
        <w:t> </w:t>
      </w:r>
      <w:r w:rsidRPr="004D3937">
        <w:rPr>
          <w:rFonts w:asciiTheme="majorHAnsi" w:hAnsiTheme="majorHAnsi"/>
        </w:rPr>
        <w:t>lepšiemu využitiu prírodných zdrojov, ochrane životného prostredia, životných podmienok zvierat a</w:t>
      </w:r>
      <w:r w:rsidR="00343539">
        <w:rPr>
          <w:rFonts w:asciiTheme="majorHAnsi" w:hAnsiTheme="majorHAnsi"/>
        </w:rPr>
        <w:t> </w:t>
      </w:r>
      <w:r w:rsidRPr="004D3937">
        <w:rPr>
          <w:rFonts w:asciiTheme="majorHAnsi" w:hAnsiTheme="majorHAnsi"/>
        </w:rPr>
        <w:t>zlepšeniu kvality života</w:t>
      </w:r>
      <w:r w:rsidR="00815F1F">
        <w:rPr>
          <w:rFonts w:asciiTheme="majorHAnsi" w:hAnsiTheme="majorHAnsi"/>
        </w:rPr>
        <w:t xml:space="preserve">, </w:t>
      </w:r>
      <w:r w:rsidR="00815F1F" w:rsidRPr="00815F1F">
        <w:rPr>
          <w:rFonts w:asciiTheme="majorHAnsi" w:hAnsiTheme="majorHAnsi"/>
        </w:rPr>
        <w:t>ako aj k</w:t>
      </w:r>
      <w:r w:rsidR="0058375C">
        <w:rPr>
          <w:rFonts w:asciiTheme="majorHAnsi" w:hAnsiTheme="majorHAnsi"/>
        </w:rPr>
        <w:t> </w:t>
      </w:r>
      <w:r w:rsidR="00815F1F" w:rsidRPr="00815F1F">
        <w:rPr>
          <w:rFonts w:asciiTheme="majorHAnsi" w:hAnsiTheme="majorHAnsi"/>
        </w:rPr>
        <w:t xml:space="preserve">tým oblastiam, ktoré sú potrebné pre rozvoj </w:t>
      </w:r>
      <w:r w:rsidR="00896079">
        <w:rPr>
          <w:rFonts w:asciiTheme="majorHAnsi" w:hAnsiTheme="majorHAnsi"/>
        </w:rPr>
        <w:t>MSP</w:t>
      </w:r>
      <w:r w:rsidR="00815F1F" w:rsidRPr="00815F1F">
        <w:rPr>
          <w:rFonts w:asciiTheme="majorHAnsi" w:hAnsiTheme="majorHAnsi"/>
        </w:rPr>
        <w:t xml:space="preserve"> vo vidieckych oblastiach</w:t>
      </w:r>
      <w:r w:rsidRPr="004D3937">
        <w:rPr>
          <w:rFonts w:asciiTheme="majorHAnsi" w:hAnsiTheme="majorHAnsi"/>
        </w:rPr>
        <w:t>.</w:t>
      </w:r>
    </w:p>
    <w:p w:rsidR="00996677" w:rsidRPr="00A11FE0" w:rsidRDefault="00996677" w:rsidP="00723936">
      <w:pPr>
        <w:pStyle w:val="Nadpis5"/>
        <w:numPr>
          <w:ilvl w:val="4"/>
          <w:numId w:val="2"/>
        </w:numPr>
        <w:ind w:left="1292"/>
      </w:pPr>
      <w:bookmarkStart w:id="191" w:name="_Toc372447920"/>
      <w:r w:rsidRPr="00A11FE0">
        <w:t xml:space="preserve">Územná </w:t>
      </w:r>
      <w:r w:rsidR="00BD5FD5">
        <w:t>k</w:t>
      </w:r>
      <w:r w:rsidRPr="00A11FE0">
        <w:t>oncentrácia</w:t>
      </w:r>
      <w:bookmarkEnd w:id="191"/>
    </w:p>
    <w:p w:rsidR="00870F42" w:rsidRDefault="00BD5FD5" w:rsidP="00996677">
      <w:pPr>
        <w:rPr>
          <w:rFonts w:asciiTheme="majorHAnsi" w:hAnsiTheme="majorHAnsi"/>
          <w:noProof/>
          <w:szCs w:val="22"/>
        </w:rPr>
      </w:pPr>
      <w:r>
        <w:rPr>
          <w:rFonts w:asciiTheme="majorHAnsi" w:hAnsiTheme="majorHAnsi"/>
          <w:szCs w:val="22"/>
        </w:rPr>
        <w:t>K</w:t>
      </w:r>
      <w:r w:rsidR="00B95F57" w:rsidRPr="00A11FE0">
        <w:rPr>
          <w:rFonts w:asciiTheme="majorHAnsi" w:hAnsiTheme="majorHAnsi"/>
          <w:szCs w:val="22"/>
        </w:rPr>
        <w:t xml:space="preserve">ľúčové opatrenia ESF do </w:t>
      </w:r>
      <w:r w:rsidR="00B95F57" w:rsidRPr="00A11FE0">
        <w:rPr>
          <w:rFonts w:asciiTheme="majorHAnsi" w:hAnsiTheme="majorHAnsi"/>
          <w:noProof/>
          <w:szCs w:val="22"/>
        </w:rPr>
        <w:t xml:space="preserve">vzdelania, </w:t>
      </w:r>
      <w:r w:rsidR="00EC01F1" w:rsidRPr="00A11FE0">
        <w:rPr>
          <w:rFonts w:asciiTheme="majorHAnsi" w:hAnsiTheme="majorHAnsi"/>
          <w:noProof/>
          <w:szCs w:val="22"/>
        </w:rPr>
        <w:t xml:space="preserve">školení </w:t>
      </w:r>
      <w:r>
        <w:rPr>
          <w:rFonts w:asciiTheme="majorHAnsi" w:hAnsiTheme="majorHAnsi"/>
          <w:noProof/>
          <w:szCs w:val="22"/>
        </w:rPr>
        <w:t>a </w:t>
      </w:r>
      <w:r w:rsidR="00EC01F1" w:rsidRPr="00A11FE0">
        <w:rPr>
          <w:rFonts w:asciiTheme="majorHAnsi" w:hAnsiTheme="majorHAnsi"/>
          <w:noProof/>
          <w:szCs w:val="22"/>
        </w:rPr>
        <w:t xml:space="preserve">odbornej prípravy, </w:t>
      </w:r>
      <w:r>
        <w:rPr>
          <w:rFonts w:asciiTheme="majorHAnsi" w:hAnsiTheme="majorHAnsi"/>
          <w:noProof/>
          <w:szCs w:val="22"/>
        </w:rPr>
        <w:t>ak</w:t>
      </w:r>
      <w:r w:rsidR="00EC01F1" w:rsidRPr="00A11FE0">
        <w:rPr>
          <w:rFonts w:asciiTheme="majorHAnsi" w:hAnsiTheme="majorHAnsi"/>
          <w:noProof/>
          <w:szCs w:val="22"/>
        </w:rPr>
        <w:t xml:space="preserve">o </w:t>
      </w:r>
      <w:r>
        <w:rPr>
          <w:rFonts w:asciiTheme="majorHAnsi" w:hAnsiTheme="majorHAnsi"/>
          <w:noProof/>
          <w:szCs w:val="22"/>
        </w:rPr>
        <w:t>a</w:t>
      </w:r>
      <w:r w:rsidR="00EC01F1" w:rsidRPr="00A11FE0">
        <w:rPr>
          <w:rFonts w:asciiTheme="majorHAnsi" w:hAnsiTheme="majorHAnsi"/>
          <w:noProof/>
          <w:szCs w:val="22"/>
        </w:rPr>
        <w:t xml:space="preserve">j </w:t>
      </w:r>
      <w:r w:rsidR="00B95F57" w:rsidRPr="00A11FE0">
        <w:rPr>
          <w:rFonts w:asciiTheme="majorHAnsi" w:hAnsiTheme="majorHAnsi"/>
          <w:noProof/>
          <w:szCs w:val="22"/>
        </w:rPr>
        <w:t xml:space="preserve">zručností </w:t>
      </w:r>
      <w:r>
        <w:rPr>
          <w:rFonts w:asciiTheme="majorHAnsi" w:hAnsiTheme="majorHAnsi"/>
          <w:noProof/>
          <w:szCs w:val="22"/>
        </w:rPr>
        <w:t>a </w:t>
      </w:r>
      <w:r w:rsidR="00B95F57" w:rsidRPr="00A11FE0">
        <w:rPr>
          <w:rFonts w:asciiTheme="majorHAnsi" w:hAnsiTheme="majorHAnsi"/>
          <w:noProof/>
          <w:szCs w:val="22"/>
        </w:rPr>
        <w:t xml:space="preserve">celoživotného vzdelávania </w:t>
      </w:r>
      <w:r>
        <w:rPr>
          <w:rFonts w:asciiTheme="majorHAnsi" w:hAnsiTheme="majorHAnsi"/>
          <w:noProof/>
          <w:szCs w:val="22"/>
        </w:rPr>
        <w:t>a </w:t>
      </w:r>
      <w:r w:rsidR="00B95F57" w:rsidRPr="00A11FE0">
        <w:rPr>
          <w:rFonts w:asciiTheme="majorHAnsi" w:hAnsiTheme="majorHAnsi"/>
          <w:noProof/>
          <w:szCs w:val="22"/>
        </w:rPr>
        <w:t>investície EFRR do infraštruktúry v</w:t>
      </w:r>
      <w:r w:rsidR="00343539">
        <w:rPr>
          <w:rFonts w:asciiTheme="majorHAnsi" w:hAnsiTheme="majorHAnsi"/>
          <w:noProof/>
          <w:szCs w:val="22"/>
        </w:rPr>
        <w:t> </w:t>
      </w:r>
      <w:r w:rsidR="00B95F57" w:rsidRPr="00A11FE0">
        <w:rPr>
          <w:rFonts w:asciiTheme="majorHAnsi" w:hAnsiTheme="majorHAnsi"/>
          <w:noProof/>
          <w:szCs w:val="22"/>
        </w:rPr>
        <w:t xml:space="preserve">oblasti vzdelávania </w:t>
      </w:r>
      <w:r>
        <w:rPr>
          <w:rFonts w:asciiTheme="majorHAnsi" w:hAnsiTheme="majorHAnsi"/>
          <w:noProof/>
          <w:szCs w:val="22"/>
        </w:rPr>
        <w:t>a </w:t>
      </w:r>
      <w:r w:rsidR="00B95F57" w:rsidRPr="00A11FE0">
        <w:rPr>
          <w:rFonts w:asciiTheme="majorHAnsi" w:hAnsiTheme="majorHAnsi"/>
          <w:noProof/>
          <w:szCs w:val="22"/>
        </w:rPr>
        <w:t xml:space="preserve">odbornej prípravy </w:t>
      </w:r>
      <w:r w:rsidR="0055646E">
        <w:rPr>
          <w:rFonts w:asciiTheme="majorHAnsi" w:hAnsiTheme="majorHAnsi"/>
          <w:noProof/>
          <w:szCs w:val="22"/>
        </w:rPr>
        <w:t xml:space="preserve">je vhodné </w:t>
      </w:r>
      <w:r w:rsidR="00B95F57" w:rsidRPr="00A11FE0">
        <w:rPr>
          <w:rFonts w:asciiTheme="majorHAnsi" w:hAnsiTheme="majorHAnsi"/>
          <w:noProof/>
          <w:szCs w:val="22"/>
        </w:rPr>
        <w:t xml:space="preserve">orientovať do celého územia </w:t>
      </w:r>
      <w:r>
        <w:rPr>
          <w:rFonts w:asciiTheme="majorHAnsi" w:hAnsiTheme="majorHAnsi"/>
          <w:noProof/>
          <w:szCs w:val="22"/>
        </w:rPr>
        <w:t>S</w:t>
      </w:r>
      <w:r w:rsidR="00B95F57" w:rsidRPr="00A11FE0">
        <w:rPr>
          <w:rFonts w:asciiTheme="majorHAnsi" w:hAnsiTheme="majorHAnsi"/>
          <w:noProof/>
          <w:szCs w:val="22"/>
        </w:rPr>
        <w:t>R</w:t>
      </w:r>
      <w:r w:rsidR="00036B86">
        <w:rPr>
          <w:rFonts w:asciiTheme="majorHAnsi" w:hAnsiTheme="majorHAnsi"/>
          <w:noProof/>
          <w:szCs w:val="22"/>
        </w:rPr>
        <w:t>,</w:t>
      </w:r>
      <w:r w:rsidR="00036B86" w:rsidRPr="00036B86">
        <w:rPr>
          <w:rFonts w:ascii="Calibri" w:hAnsi="Calibri"/>
          <w:noProof/>
          <w:szCs w:val="22"/>
        </w:rPr>
        <w:t xml:space="preserve"> </w:t>
      </w:r>
      <w:r w:rsidR="00036B86">
        <w:rPr>
          <w:rFonts w:ascii="Calibri" w:hAnsi="Calibri"/>
          <w:noProof/>
          <w:szCs w:val="22"/>
        </w:rPr>
        <w:t>v prípade inkluzívneho vzdelávania</w:t>
      </w:r>
      <w:r w:rsidR="00036B86">
        <w:rPr>
          <w:rFonts w:asciiTheme="majorHAnsi" w:hAnsiTheme="majorHAnsi"/>
          <w:noProof/>
          <w:szCs w:val="22"/>
        </w:rPr>
        <w:t xml:space="preserve"> </w:t>
      </w:r>
      <w:r w:rsidR="00870F42" w:rsidRPr="00870F42">
        <w:rPr>
          <w:rFonts w:asciiTheme="majorHAnsi" w:hAnsiTheme="majorHAnsi"/>
          <w:noProof/>
          <w:szCs w:val="22"/>
        </w:rPr>
        <w:t>aj so zreteľom na potreby území zaradených v</w:t>
      </w:r>
      <w:r w:rsidR="0058375C">
        <w:rPr>
          <w:rFonts w:asciiTheme="majorHAnsi" w:hAnsiTheme="majorHAnsi"/>
          <w:noProof/>
          <w:szCs w:val="22"/>
        </w:rPr>
        <w:t> </w:t>
      </w:r>
      <w:r w:rsidR="00870F42" w:rsidRPr="00870F42">
        <w:rPr>
          <w:rFonts w:asciiTheme="majorHAnsi" w:hAnsiTheme="majorHAnsi"/>
          <w:noProof/>
          <w:szCs w:val="22"/>
        </w:rPr>
        <w:t>Atlase rómskych komunít 2013</w:t>
      </w:r>
      <w:r w:rsidR="00B95F57" w:rsidRPr="00A11FE0">
        <w:rPr>
          <w:rFonts w:asciiTheme="majorHAnsi" w:hAnsiTheme="majorHAnsi"/>
          <w:noProof/>
          <w:szCs w:val="22"/>
        </w:rPr>
        <w:t xml:space="preserve">. Najlepšie predpoklady pre </w:t>
      </w:r>
      <w:r>
        <w:rPr>
          <w:rFonts w:asciiTheme="majorHAnsi" w:hAnsiTheme="majorHAnsi"/>
          <w:noProof/>
          <w:szCs w:val="22"/>
        </w:rPr>
        <w:t>a</w:t>
      </w:r>
      <w:r w:rsidR="00B95F57" w:rsidRPr="00A11FE0">
        <w:rPr>
          <w:rFonts w:asciiTheme="majorHAnsi" w:hAnsiTheme="majorHAnsi"/>
          <w:noProof/>
          <w:szCs w:val="22"/>
        </w:rPr>
        <w:t>bsorpciu podporovaných investícií</w:t>
      </w:r>
      <w:r w:rsidR="0055646E">
        <w:rPr>
          <w:rFonts w:asciiTheme="majorHAnsi" w:hAnsiTheme="majorHAnsi"/>
          <w:noProof/>
          <w:szCs w:val="22"/>
        </w:rPr>
        <w:t xml:space="preserve"> majú</w:t>
      </w:r>
      <w:r w:rsidR="00B95F57" w:rsidRPr="00A11FE0">
        <w:rPr>
          <w:rFonts w:asciiTheme="majorHAnsi" w:hAnsiTheme="majorHAnsi"/>
          <w:noProof/>
          <w:szCs w:val="22"/>
        </w:rPr>
        <w:t xml:space="preserve"> centrá, územia ťažísk osídlenia, </w:t>
      </w:r>
      <w:r>
        <w:rPr>
          <w:rFonts w:asciiTheme="majorHAnsi" w:hAnsiTheme="majorHAnsi"/>
          <w:noProof/>
          <w:szCs w:val="22"/>
        </w:rPr>
        <w:t>ak</w:t>
      </w:r>
      <w:r w:rsidR="00B95F57" w:rsidRPr="00A11FE0">
        <w:rPr>
          <w:rFonts w:asciiTheme="majorHAnsi" w:hAnsiTheme="majorHAnsi"/>
          <w:noProof/>
          <w:szCs w:val="22"/>
        </w:rPr>
        <w:t xml:space="preserve">o </w:t>
      </w:r>
      <w:r>
        <w:rPr>
          <w:rFonts w:asciiTheme="majorHAnsi" w:hAnsiTheme="majorHAnsi"/>
          <w:noProof/>
          <w:szCs w:val="22"/>
        </w:rPr>
        <w:t>a</w:t>
      </w:r>
      <w:r w:rsidR="00B95F57" w:rsidRPr="00A11FE0">
        <w:rPr>
          <w:rFonts w:asciiTheme="majorHAnsi" w:hAnsiTheme="majorHAnsi"/>
          <w:noProof/>
          <w:szCs w:val="22"/>
        </w:rPr>
        <w:t>j miestne centrá v území ostatných obcí ležiacich na rozvojových osiach.</w:t>
      </w:r>
    </w:p>
    <w:p w:rsidR="00996677" w:rsidRPr="00A11FE0" w:rsidRDefault="00036B86" w:rsidP="00996677">
      <w:pPr>
        <w:rPr>
          <w:rFonts w:asciiTheme="majorHAnsi" w:hAnsiTheme="majorHAnsi"/>
          <w:noProof/>
          <w:szCs w:val="22"/>
        </w:rPr>
      </w:pPr>
      <w:r w:rsidRPr="00036B86">
        <w:rPr>
          <w:rFonts w:asciiTheme="majorHAnsi" w:hAnsiTheme="majorHAnsi"/>
          <w:noProof/>
          <w:szCs w:val="22"/>
        </w:rPr>
        <w:t>Najlepšie predpoklady pre absorpciu investícií z ESF do vzdelania, školení a odbornej prípravy, ako aj zručností a celoživotného vzdelávania zameraných na VVaI a investicií EFRR do infraštruktúry zameranej na podporu VVaI, budú mať mestské funkčné územia a centrá osídlenia 1. a 2. skupiny, ako aj územia ostatných obcí ležiacich na rozvojových osiach. Kľúčové opatrenia EPFRV a</w:t>
      </w:r>
      <w:r w:rsidR="0058375C">
        <w:rPr>
          <w:rFonts w:asciiTheme="majorHAnsi" w:hAnsiTheme="majorHAnsi"/>
          <w:noProof/>
          <w:szCs w:val="22"/>
        </w:rPr>
        <w:t> </w:t>
      </w:r>
      <w:r w:rsidRPr="00036B86">
        <w:rPr>
          <w:rFonts w:asciiTheme="majorHAnsi" w:hAnsiTheme="majorHAnsi"/>
          <w:noProof/>
          <w:szCs w:val="22"/>
        </w:rPr>
        <w:t>ENRF vo vidieckych oblastiach je vhodné lokalizovať do územia ostatných obcí.</w:t>
      </w:r>
    </w:p>
    <w:p w:rsidR="00406C25" w:rsidRPr="00A11FE0" w:rsidRDefault="00406C25" w:rsidP="00723936">
      <w:pPr>
        <w:keepNext/>
        <w:keepLines/>
        <w:numPr>
          <w:ilvl w:val="2"/>
          <w:numId w:val="2"/>
        </w:numPr>
        <w:spacing w:before="200" w:after="0"/>
        <w:outlineLvl w:val="2"/>
        <w:rPr>
          <w:rFonts w:asciiTheme="majorHAnsi" w:hAnsiTheme="majorHAnsi"/>
          <w:b/>
          <w:bCs/>
          <w:color w:val="4F81BD"/>
          <w:sz w:val="26"/>
        </w:rPr>
      </w:pPr>
      <w:bookmarkStart w:id="192" w:name="_Toc243474057"/>
      <w:bookmarkStart w:id="193" w:name="_Toc373169704"/>
      <w:r w:rsidRPr="00A11FE0">
        <w:rPr>
          <w:rFonts w:asciiTheme="majorHAnsi" w:hAnsiTheme="majorHAnsi"/>
          <w:b/>
          <w:bCs/>
          <w:color w:val="4F81BD"/>
          <w:sz w:val="26"/>
        </w:rPr>
        <w:lastRenderedPageBreak/>
        <w:t xml:space="preserve">Udržateľné </w:t>
      </w:r>
      <w:r w:rsidR="00BD5FD5">
        <w:rPr>
          <w:rFonts w:asciiTheme="majorHAnsi" w:hAnsiTheme="majorHAnsi"/>
          <w:b/>
          <w:bCs/>
          <w:color w:val="4F81BD"/>
          <w:sz w:val="26"/>
        </w:rPr>
        <w:t>a </w:t>
      </w:r>
      <w:r w:rsidRPr="00A11FE0">
        <w:rPr>
          <w:rFonts w:asciiTheme="majorHAnsi" w:hAnsiTheme="majorHAnsi"/>
          <w:b/>
          <w:bCs/>
          <w:color w:val="4F81BD"/>
          <w:sz w:val="26"/>
        </w:rPr>
        <w:t>efektívne využívanie prírodných zdrojov</w:t>
      </w:r>
      <w:bookmarkEnd w:id="192"/>
      <w:bookmarkEnd w:id="193"/>
    </w:p>
    <w:p w:rsidR="00406C25" w:rsidRPr="00A11FE0" w:rsidRDefault="00406C25" w:rsidP="00C74D2E">
      <w:pPr>
        <w:rPr>
          <w:rFonts w:asciiTheme="majorHAnsi" w:hAnsiTheme="majorHAnsi"/>
          <w:szCs w:val="22"/>
        </w:rPr>
      </w:pPr>
      <w:r w:rsidRPr="00A11FE0">
        <w:rPr>
          <w:rFonts w:asciiTheme="majorHAnsi" w:hAnsiTheme="majorHAnsi"/>
          <w:szCs w:val="22"/>
        </w:rPr>
        <w:t xml:space="preserve">Podpora udržateľného </w:t>
      </w:r>
      <w:r w:rsidR="00BD5FD5">
        <w:rPr>
          <w:rFonts w:asciiTheme="majorHAnsi" w:hAnsiTheme="majorHAnsi"/>
          <w:szCs w:val="22"/>
        </w:rPr>
        <w:t>a </w:t>
      </w:r>
      <w:r w:rsidRPr="00A11FE0">
        <w:rPr>
          <w:rFonts w:asciiTheme="majorHAnsi" w:hAnsiTheme="majorHAnsi"/>
          <w:szCs w:val="22"/>
        </w:rPr>
        <w:t xml:space="preserve">efektívneho využívania zdrojov predstavuje pre </w:t>
      </w:r>
      <w:r w:rsidR="00BD5FD5">
        <w:rPr>
          <w:rFonts w:asciiTheme="majorHAnsi" w:hAnsiTheme="majorHAnsi"/>
          <w:szCs w:val="22"/>
        </w:rPr>
        <w:t>S</w:t>
      </w:r>
      <w:r w:rsidRPr="00A11FE0">
        <w:rPr>
          <w:rFonts w:asciiTheme="majorHAnsi" w:hAnsiTheme="majorHAnsi"/>
          <w:szCs w:val="22"/>
        </w:rPr>
        <w:t xml:space="preserve">R, podobne </w:t>
      </w:r>
      <w:r w:rsidR="00BD5FD5">
        <w:rPr>
          <w:rFonts w:asciiTheme="majorHAnsi" w:hAnsiTheme="majorHAnsi"/>
          <w:szCs w:val="22"/>
        </w:rPr>
        <w:t>ak</w:t>
      </w:r>
      <w:r w:rsidRPr="00A11FE0">
        <w:rPr>
          <w:rFonts w:asciiTheme="majorHAnsi" w:hAnsiTheme="majorHAnsi"/>
          <w:szCs w:val="22"/>
        </w:rPr>
        <w:t xml:space="preserve">o pre celú EÚ, jednu z najdôležitejších ekonomických </w:t>
      </w:r>
      <w:r w:rsidR="00BD5FD5">
        <w:rPr>
          <w:rFonts w:asciiTheme="majorHAnsi" w:hAnsiTheme="majorHAnsi"/>
          <w:szCs w:val="22"/>
        </w:rPr>
        <w:t>a </w:t>
      </w:r>
      <w:r w:rsidRPr="00A11FE0">
        <w:rPr>
          <w:rFonts w:asciiTheme="majorHAnsi" w:hAnsiTheme="majorHAnsi"/>
          <w:szCs w:val="22"/>
        </w:rPr>
        <w:t xml:space="preserve">environmentálnych výziev, </w:t>
      </w:r>
      <w:r w:rsidR="00BD5FD5">
        <w:rPr>
          <w:rFonts w:asciiTheme="majorHAnsi" w:hAnsiTheme="majorHAnsi"/>
          <w:szCs w:val="22"/>
        </w:rPr>
        <w:t>k</w:t>
      </w:r>
      <w:r w:rsidRPr="00A11FE0">
        <w:rPr>
          <w:rFonts w:asciiTheme="majorHAnsi" w:hAnsiTheme="majorHAnsi"/>
          <w:szCs w:val="22"/>
        </w:rPr>
        <w:t xml:space="preserve">eďže prispieva </w:t>
      </w:r>
      <w:r w:rsidR="00BD5FD5">
        <w:rPr>
          <w:rFonts w:asciiTheme="majorHAnsi" w:hAnsiTheme="majorHAnsi"/>
          <w:szCs w:val="22"/>
        </w:rPr>
        <w:t>k</w:t>
      </w:r>
      <w:r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timulácii hospodárskeho rastu </w:t>
      </w:r>
      <w:r w:rsidR="00BD5FD5">
        <w:rPr>
          <w:rFonts w:asciiTheme="majorHAnsi" w:hAnsiTheme="majorHAnsi"/>
          <w:szCs w:val="22"/>
        </w:rPr>
        <w:t>a </w:t>
      </w:r>
      <w:r w:rsidRPr="00A11FE0">
        <w:rPr>
          <w:rFonts w:asciiTheme="majorHAnsi" w:hAnsiTheme="majorHAnsi"/>
          <w:szCs w:val="22"/>
        </w:rPr>
        <w:t xml:space="preserve">zároveň zabezpečuje, </w:t>
      </w:r>
      <w:r w:rsidR="00BD5FD5">
        <w:rPr>
          <w:rFonts w:asciiTheme="majorHAnsi" w:hAnsiTheme="majorHAnsi"/>
          <w:szCs w:val="22"/>
        </w:rPr>
        <w:t>a</w:t>
      </w:r>
      <w:r w:rsidRPr="00A11FE0">
        <w:rPr>
          <w:rFonts w:asciiTheme="majorHAnsi" w:hAnsiTheme="majorHAnsi"/>
          <w:szCs w:val="22"/>
        </w:rPr>
        <w:t xml:space="preserve">by </w:t>
      </w:r>
      <w:r w:rsidR="00BD5FD5">
        <w:rPr>
          <w:rFonts w:asciiTheme="majorHAnsi" w:hAnsiTheme="majorHAnsi"/>
          <w:szCs w:val="22"/>
        </w:rPr>
        <w:t>k</w:t>
      </w:r>
      <w:r w:rsidRPr="00A11FE0">
        <w:rPr>
          <w:rFonts w:asciiTheme="majorHAnsi" w:hAnsiTheme="majorHAnsi"/>
          <w:szCs w:val="22"/>
        </w:rPr>
        <w:t xml:space="preserve">valita tohto rastu viedla </w:t>
      </w:r>
      <w:r w:rsidR="00BD5FD5">
        <w:rPr>
          <w:rFonts w:asciiTheme="majorHAnsi" w:hAnsiTheme="majorHAnsi"/>
          <w:szCs w:val="22"/>
        </w:rPr>
        <w:t>k </w:t>
      </w:r>
      <w:r w:rsidRPr="00A11FE0">
        <w:rPr>
          <w:rFonts w:asciiTheme="majorHAnsi" w:hAnsiTheme="majorHAnsi"/>
          <w:szCs w:val="22"/>
        </w:rPr>
        <w:t>udržateľnej</w:t>
      </w:r>
      <w:r w:rsidR="008B2288">
        <w:rPr>
          <w:rFonts w:asciiTheme="majorHAnsi" w:hAnsiTheme="majorHAnsi"/>
          <w:szCs w:val="22"/>
        </w:rPr>
        <w:t xml:space="preserve"> </w:t>
      </w:r>
      <w:r w:rsidRPr="00A11FE0">
        <w:rPr>
          <w:rFonts w:asciiTheme="majorHAnsi" w:hAnsiTheme="majorHAnsi"/>
          <w:szCs w:val="22"/>
        </w:rPr>
        <w:t>budúcnosti</w:t>
      </w:r>
      <w:r w:rsidRPr="00A11FE0">
        <w:rPr>
          <w:rFonts w:asciiTheme="majorHAnsi" w:hAnsiTheme="majorHAnsi"/>
          <w:vertAlign w:val="superscript"/>
        </w:rPr>
        <w:footnoteReference w:id="163"/>
      </w:r>
      <w:r w:rsidRPr="00A11FE0">
        <w:rPr>
          <w:rFonts w:asciiTheme="majorHAnsi" w:hAnsiTheme="majorHAnsi"/>
          <w:szCs w:val="22"/>
        </w:rPr>
        <w:t>.</w:t>
      </w:r>
    </w:p>
    <w:p w:rsidR="00406C25" w:rsidRPr="00A11FE0" w:rsidRDefault="0055646E" w:rsidP="00406C25">
      <w:pPr>
        <w:rPr>
          <w:rFonts w:asciiTheme="majorHAnsi" w:hAnsiTheme="majorHAnsi"/>
        </w:rPr>
      </w:pPr>
      <w:r>
        <w:rPr>
          <w:rFonts w:asciiTheme="majorHAnsi" w:hAnsiTheme="majorHAnsi"/>
          <w:szCs w:val="22"/>
        </w:rPr>
        <w:t xml:space="preserve">Medzi </w:t>
      </w:r>
      <w:r w:rsidR="00BD5FD5">
        <w:rPr>
          <w:rFonts w:asciiTheme="majorHAnsi" w:hAnsiTheme="majorHAnsi"/>
        </w:rPr>
        <w:t>k</w:t>
      </w:r>
      <w:r w:rsidR="00406C25" w:rsidRPr="00A11FE0">
        <w:rPr>
          <w:rFonts w:asciiTheme="majorHAnsi" w:hAnsiTheme="majorHAnsi"/>
        </w:rPr>
        <w:t>ľúčové potreby v</w:t>
      </w:r>
      <w:r w:rsidR="00343539">
        <w:rPr>
          <w:rFonts w:asciiTheme="majorHAnsi" w:hAnsiTheme="majorHAnsi"/>
        </w:rPr>
        <w:t> </w:t>
      </w:r>
      <w:r w:rsidR="00406C25" w:rsidRPr="00A11FE0">
        <w:rPr>
          <w:rFonts w:asciiTheme="majorHAnsi" w:hAnsiTheme="majorHAnsi"/>
        </w:rPr>
        <w:t>tejto</w:t>
      </w:r>
      <w:r w:rsidR="00343539">
        <w:rPr>
          <w:rFonts w:asciiTheme="majorHAnsi" w:hAnsiTheme="majorHAnsi"/>
        </w:rPr>
        <w:t xml:space="preserve"> </w:t>
      </w:r>
      <w:r w:rsidR="00406C25" w:rsidRPr="00A11FE0">
        <w:rPr>
          <w:rFonts w:asciiTheme="majorHAnsi" w:hAnsiTheme="majorHAnsi"/>
        </w:rPr>
        <w:t xml:space="preserve">oblasti </w:t>
      </w:r>
      <w:r>
        <w:rPr>
          <w:rFonts w:asciiTheme="majorHAnsi" w:hAnsiTheme="majorHAnsi"/>
        </w:rPr>
        <w:t>patria</w:t>
      </w:r>
      <w:r w:rsidR="00406C25" w:rsidRPr="00A11FE0">
        <w:rPr>
          <w:rFonts w:asciiTheme="majorHAnsi" w:hAnsiTheme="majorHAnsi"/>
        </w:rPr>
        <w:t xml:space="preserve">: prechod na nízkouhlíkové hospodárstvo vo všetkých </w:t>
      </w:r>
      <w:r w:rsidR="00BD5FD5">
        <w:rPr>
          <w:rFonts w:asciiTheme="majorHAnsi" w:hAnsiTheme="majorHAnsi"/>
        </w:rPr>
        <w:t>s</w:t>
      </w:r>
      <w:r w:rsidR="00406C25" w:rsidRPr="00A11FE0">
        <w:rPr>
          <w:rFonts w:asciiTheme="majorHAnsi" w:hAnsiTheme="majorHAnsi"/>
        </w:rPr>
        <w:t xml:space="preserve">ektoroch, podpora prispôsobovania </w:t>
      </w:r>
      <w:r w:rsidR="00BD5FD5">
        <w:rPr>
          <w:rFonts w:asciiTheme="majorHAnsi" w:hAnsiTheme="majorHAnsi"/>
        </w:rPr>
        <w:t>s</w:t>
      </w:r>
      <w:r w:rsidR="00406C25" w:rsidRPr="00A11FE0">
        <w:rPr>
          <w:rFonts w:asciiTheme="majorHAnsi" w:hAnsiTheme="majorHAnsi"/>
        </w:rPr>
        <w:t xml:space="preserve">a zmenám </w:t>
      </w:r>
      <w:r w:rsidR="00BD5FD5">
        <w:rPr>
          <w:rFonts w:asciiTheme="majorHAnsi" w:hAnsiTheme="majorHAnsi"/>
        </w:rPr>
        <w:t>k</w:t>
      </w:r>
      <w:r w:rsidR="00406C25" w:rsidRPr="00A11FE0">
        <w:rPr>
          <w:rFonts w:asciiTheme="majorHAnsi" w:hAnsiTheme="majorHAnsi"/>
        </w:rPr>
        <w:t>límy, predchádzani</w:t>
      </w:r>
      <w:r w:rsidR="00571E69" w:rsidRPr="00A11FE0">
        <w:rPr>
          <w:rFonts w:asciiTheme="majorHAnsi" w:hAnsiTheme="majorHAnsi"/>
        </w:rPr>
        <w:t>e</w:t>
      </w:r>
      <w:r w:rsidR="00406C25" w:rsidRPr="00A11FE0">
        <w:rPr>
          <w:rFonts w:asciiTheme="majorHAnsi" w:hAnsiTheme="majorHAnsi"/>
        </w:rPr>
        <w:t xml:space="preserve"> </w:t>
      </w:r>
      <w:r w:rsidR="00BD5FD5">
        <w:rPr>
          <w:rFonts w:asciiTheme="majorHAnsi" w:hAnsiTheme="majorHAnsi"/>
        </w:rPr>
        <w:t>a </w:t>
      </w:r>
      <w:r w:rsidR="00406C25" w:rsidRPr="00A11FE0">
        <w:rPr>
          <w:rFonts w:asciiTheme="majorHAnsi" w:hAnsiTheme="majorHAnsi"/>
        </w:rPr>
        <w:t>riadeni</w:t>
      </w:r>
      <w:r w:rsidR="00974B1A" w:rsidRPr="00A11FE0">
        <w:rPr>
          <w:rFonts w:asciiTheme="majorHAnsi" w:hAnsiTheme="majorHAnsi"/>
        </w:rPr>
        <w:t>e</w:t>
      </w:r>
      <w:r w:rsidR="00406C25" w:rsidRPr="00A11FE0">
        <w:rPr>
          <w:rFonts w:asciiTheme="majorHAnsi" w:hAnsiTheme="majorHAnsi"/>
        </w:rPr>
        <w:t xml:space="preserve"> rizik</w:t>
      </w:r>
      <w:r w:rsidR="00974B1A" w:rsidRPr="00A11FE0">
        <w:rPr>
          <w:rFonts w:asciiTheme="majorHAnsi" w:hAnsiTheme="majorHAnsi"/>
        </w:rPr>
        <w:t>a</w:t>
      </w:r>
      <w:r w:rsidR="00406C25" w:rsidRPr="00A11FE0">
        <w:rPr>
          <w:rFonts w:asciiTheme="majorHAnsi" w:hAnsiTheme="majorHAnsi"/>
        </w:rPr>
        <w:t xml:space="preserve"> </w:t>
      </w:r>
      <w:r w:rsidR="00BD5FD5">
        <w:rPr>
          <w:rFonts w:asciiTheme="majorHAnsi" w:hAnsiTheme="majorHAnsi"/>
        </w:rPr>
        <w:t>a </w:t>
      </w:r>
      <w:r w:rsidR="00406C25" w:rsidRPr="00A11FE0">
        <w:rPr>
          <w:rFonts w:asciiTheme="majorHAnsi" w:hAnsiTheme="majorHAnsi"/>
        </w:rPr>
        <w:t xml:space="preserve">ochrana životného prostredia </w:t>
      </w:r>
      <w:r w:rsidR="00BD5FD5">
        <w:rPr>
          <w:rFonts w:asciiTheme="majorHAnsi" w:hAnsiTheme="majorHAnsi"/>
        </w:rPr>
        <w:t>a </w:t>
      </w:r>
      <w:r w:rsidR="00406C25" w:rsidRPr="00A11FE0">
        <w:rPr>
          <w:rFonts w:asciiTheme="majorHAnsi" w:hAnsiTheme="majorHAnsi"/>
        </w:rPr>
        <w:t>presadzovanie efektívneho využívania zdrojov.</w:t>
      </w:r>
    </w:p>
    <w:p w:rsidR="00406C25" w:rsidRPr="00A11FE0" w:rsidRDefault="00406C25" w:rsidP="00723936">
      <w:pPr>
        <w:keepNext/>
        <w:keepLines/>
        <w:numPr>
          <w:ilvl w:val="3"/>
          <w:numId w:val="2"/>
        </w:numPr>
        <w:spacing w:before="200" w:after="0"/>
        <w:outlineLvl w:val="3"/>
        <w:rPr>
          <w:rFonts w:asciiTheme="majorHAnsi" w:hAnsiTheme="majorHAnsi"/>
          <w:b/>
          <w:bCs/>
          <w:i/>
          <w:iCs/>
          <w:color w:val="4F81BD"/>
          <w:sz w:val="24"/>
        </w:rPr>
      </w:pPr>
      <w:bookmarkStart w:id="194" w:name="_Toc244305339"/>
      <w:bookmarkStart w:id="195" w:name="_Toc373169705"/>
      <w:r w:rsidRPr="00A11FE0">
        <w:rPr>
          <w:rFonts w:asciiTheme="majorHAnsi" w:hAnsiTheme="majorHAnsi"/>
          <w:b/>
          <w:bCs/>
          <w:i/>
          <w:iCs/>
          <w:color w:val="4F81BD"/>
          <w:sz w:val="24"/>
        </w:rPr>
        <w:t>TC</w:t>
      </w:r>
      <w:r w:rsidR="00665324">
        <w:rPr>
          <w:rFonts w:asciiTheme="majorHAnsi" w:hAnsiTheme="majorHAnsi"/>
          <w:b/>
          <w:bCs/>
          <w:i/>
          <w:iCs/>
          <w:color w:val="4F81BD"/>
          <w:sz w:val="24"/>
        </w:rPr>
        <w:t xml:space="preserve"> </w:t>
      </w:r>
      <w:r w:rsidRPr="00A11FE0">
        <w:rPr>
          <w:rFonts w:asciiTheme="majorHAnsi" w:hAnsiTheme="majorHAnsi"/>
          <w:b/>
          <w:bCs/>
          <w:i/>
          <w:iCs/>
          <w:color w:val="4F81BD"/>
          <w:sz w:val="24"/>
        </w:rPr>
        <w:t xml:space="preserve">4: Podpora prechodu na nízkouhlíkové hospodárstvo vo všetkých </w:t>
      </w:r>
      <w:r w:rsidR="00BD5FD5">
        <w:rPr>
          <w:rFonts w:asciiTheme="majorHAnsi" w:hAnsiTheme="majorHAnsi"/>
          <w:b/>
          <w:bCs/>
          <w:i/>
          <w:iCs/>
          <w:color w:val="4F81BD"/>
          <w:sz w:val="24"/>
        </w:rPr>
        <w:t>s</w:t>
      </w:r>
      <w:r w:rsidRPr="00A11FE0">
        <w:rPr>
          <w:rFonts w:asciiTheme="majorHAnsi" w:hAnsiTheme="majorHAnsi"/>
          <w:b/>
          <w:bCs/>
          <w:i/>
          <w:iCs/>
          <w:color w:val="4F81BD"/>
          <w:sz w:val="24"/>
        </w:rPr>
        <w:t>ektoroch</w:t>
      </w:r>
      <w:bookmarkEnd w:id="194"/>
      <w:bookmarkEnd w:id="195"/>
    </w:p>
    <w:p w:rsidR="00817AE1" w:rsidRDefault="0055646E" w:rsidP="00E36655">
      <w:pPr>
        <w:rPr>
          <w:rFonts w:asciiTheme="majorHAnsi" w:hAnsiTheme="majorHAnsi"/>
        </w:rPr>
      </w:pPr>
      <w:r w:rsidRPr="00343539">
        <w:rPr>
          <w:rFonts w:asciiTheme="majorHAnsi" w:hAnsiTheme="majorHAnsi"/>
        </w:rPr>
        <w:t>Politika tzv. zeleného rastu</w:t>
      </w:r>
      <w:r w:rsidR="0058375C">
        <w:rPr>
          <w:rFonts w:asciiTheme="majorHAnsi" w:hAnsiTheme="majorHAnsi"/>
        </w:rPr>
        <w:t>,</w:t>
      </w:r>
      <w:r w:rsidRPr="00343539">
        <w:rPr>
          <w:rFonts w:asciiTheme="majorHAnsi" w:hAnsiTheme="majorHAnsi"/>
        </w:rPr>
        <w:t xml:space="preserve"> </w:t>
      </w:r>
      <w:r>
        <w:rPr>
          <w:rFonts w:asciiTheme="majorHAnsi" w:hAnsiTheme="majorHAnsi"/>
        </w:rPr>
        <w:t>ak</w:t>
      </w:r>
      <w:r w:rsidRPr="00343539">
        <w:rPr>
          <w:rFonts w:asciiTheme="majorHAnsi" w:hAnsiTheme="majorHAnsi"/>
        </w:rPr>
        <w:t>o jedna z</w:t>
      </w:r>
      <w:r>
        <w:rPr>
          <w:rFonts w:asciiTheme="majorHAnsi" w:hAnsiTheme="majorHAnsi"/>
        </w:rPr>
        <w:t> </w:t>
      </w:r>
      <w:r w:rsidRPr="00343539">
        <w:rPr>
          <w:rFonts w:asciiTheme="majorHAnsi" w:hAnsiTheme="majorHAnsi"/>
        </w:rPr>
        <w:t xml:space="preserve">priorít </w:t>
      </w:r>
      <w:r w:rsidR="00DC3DE4">
        <w:rPr>
          <w:rFonts w:asciiTheme="majorHAnsi" w:hAnsiTheme="majorHAnsi"/>
        </w:rPr>
        <w:t>s</w:t>
      </w:r>
      <w:r w:rsidR="00DC3DE4" w:rsidRPr="00343539">
        <w:rPr>
          <w:rFonts w:asciiTheme="majorHAnsi" w:hAnsiTheme="majorHAnsi"/>
        </w:rPr>
        <w:t xml:space="preserve">tratégie </w:t>
      </w:r>
      <w:r w:rsidRPr="00343539">
        <w:rPr>
          <w:rFonts w:asciiTheme="majorHAnsi" w:hAnsiTheme="majorHAnsi"/>
        </w:rPr>
        <w:t xml:space="preserve">Európa 2020 </w:t>
      </w:r>
      <w:r>
        <w:rPr>
          <w:rFonts w:asciiTheme="majorHAnsi" w:hAnsiTheme="majorHAnsi"/>
        </w:rPr>
        <w:t>a</w:t>
      </w:r>
      <w:r w:rsidRPr="00343539">
        <w:rPr>
          <w:rFonts w:asciiTheme="majorHAnsi" w:hAnsiTheme="majorHAnsi"/>
        </w:rPr>
        <w:t>j OECD</w:t>
      </w:r>
      <w:r w:rsidR="0058375C">
        <w:rPr>
          <w:rFonts w:asciiTheme="majorHAnsi" w:hAnsiTheme="majorHAnsi"/>
        </w:rPr>
        <w:t>,</w:t>
      </w:r>
      <w:r w:rsidRPr="00343539">
        <w:rPr>
          <w:rFonts w:asciiTheme="majorHAnsi" w:hAnsiTheme="majorHAnsi"/>
        </w:rPr>
        <w:t xml:space="preserve"> je </w:t>
      </w:r>
      <w:r>
        <w:rPr>
          <w:rFonts w:asciiTheme="majorHAnsi" w:hAnsiTheme="majorHAnsi"/>
        </w:rPr>
        <w:t>s</w:t>
      </w:r>
      <w:r w:rsidRPr="00343539">
        <w:rPr>
          <w:rFonts w:asciiTheme="majorHAnsi" w:hAnsiTheme="majorHAnsi"/>
        </w:rPr>
        <w:t xml:space="preserve">merovaná na využívanie čistejších zdrojov energie, </w:t>
      </w:r>
      <w:r>
        <w:rPr>
          <w:rFonts w:asciiTheme="majorHAnsi" w:hAnsiTheme="majorHAnsi"/>
        </w:rPr>
        <w:t>k</w:t>
      </w:r>
      <w:r w:rsidRPr="00343539">
        <w:rPr>
          <w:rFonts w:asciiTheme="majorHAnsi" w:hAnsiTheme="majorHAnsi"/>
        </w:rPr>
        <w:t>toré zabránia environmentálnej degradáci</w:t>
      </w:r>
      <w:r w:rsidR="00616BE3">
        <w:rPr>
          <w:rFonts w:asciiTheme="majorHAnsi" w:hAnsiTheme="majorHAnsi"/>
        </w:rPr>
        <w:t>i</w:t>
      </w:r>
      <w:r w:rsidRPr="00343539">
        <w:rPr>
          <w:rFonts w:asciiTheme="majorHAnsi" w:hAnsiTheme="majorHAnsi"/>
        </w:rPr>
        <w:t xml:space="preserve">, prechod na nízko-uhlíkové hospodárstvo </w:t>
      </w:r>
      <w:r>
        <w:rPr>
          <w:rFonts w:asciiTheme="majorHAnsi" w:hAnsiTheme="majorHAnsi"/>
        </w:rPr>
        <w:t>a </w:t>
      </w:r>
      <w:r w:rsidRPr="00343539">
        <w:rPr>
          <w:rFonts w:asciiTheme="majorHAnsi" w:hAnsiTheme="majorHAnsi"/>
        </w:rPr>
        <w:t xml:space="preserve">postupné znižovanie emisií </w:t>
      </w:r>
      <w:r>
        <w:rPr>
          <w:rFonts w:asciiTheme="majorHAnsi" w:hAnsiTheme="majorHAnsi"/>
        </w:rPr>
        <w:t>s</w:t>
      </w:r>
      <w:r w:rsidRPr="00343539">
        <w:rPr>
          <w:rFonts w:asciiTheme="majorHAnsi" w:hAnsiTheme="majorHAnsi"/>
        </w:rPr>
        <w:t xml:space="preserve">kleníkových plynov </w:t>
      </w:r>
      <w:r>
        <w:rPr>
          <w:rFonts w:asciiTheme="majorHAnsi" w:hAnsiTheme="majorHAnsi"/>
        </w:rPr>
        <w:t>a</w:t>
      </w:r>
      <w:r w:rsidRPr="00343539">
        <w:rPr>
          <w:rFonts w:asciiTheme="majorHAnsi" w:hAnsiTheme="majorHAnsi"/>
        </w:rPr>
        <w:t>j znečistenia ovzdušia</w:t>
      </w:r>
      <w:r w:rsidR="00C75C16">
        <w:rPr>
          <w:rFonts w:asciiTheme="majorHAnsi" w:hAnsiTheme="majorHAnsi"/>
        </w:rPr>
        <w:t xml:space="preserve"> za </w:t>
      </w:r>
      <w:r w:rsidR="00C75C16" w:rsidRPr="00C75C16">
        <w:rPr>
          <w:rFonts w:asciiTheme="majorHAnsi" w:hAnsiTheme="majorHAnsi"/>
        </w:rPr>
        <w:t>účelom rozvoja biohospodárstva v</w:t>
      </w:r>
      <w:r w:rsidR="0058375C">
        <w:rPr>
          <w:rFonts w:asciiTheme="majorHAnsi" w:hAnsiTheme="majorHAnsi"/>
        </w:rPr>
        <w:t> </w:t>
      </w:r>
      <w:r w:rsidR="00C75C16" w:rsidRPr="00C75C16">
        <w:rPr>
          <w:rFonts w:asciiTheme="majorHAnsi" w:hAnsiTheme="majorHAnsi"/>
        </w:rPr>
        <w:t>zmysle oznámenia KOM(2012)60</w:t>
      </w:r>
      <w:r w:rsidRPr="00343539">
        <w:rPr>
          <w:rFonts w:asciiTheme="majorHAnsi" w:hAnsiTheme="majorHAnsi"/>
        </w:rPr>
        <w:t>. Približne 50 % celkových emisií v</w:t>
      </w:r>
      <w:r>
        <w:rPr>
          <w:rFonts w:asciiTheme="majorHAnsi" w:hAnsiTheme="majorHAnsi"/>
        </w:rPr>
        <w:t> </w:t>
      </w:r>
      <w:r w:rsidRPr="00343539">
        <w:rPr>
          <w:rFonts w:asciiTheme="majorHAnsi" w:hAnsiTheme="majorHAnsi"/>
        </w:rPr>
        <w:t>roku</w:t>
      </w:r>
      <w:r>
        <w:rPr>
          <w:rFonts w:asciiTheme="majorHAnsi" w:hAnsiTheme="majorHAnsi"/>
        </w:rPr>
        <w:t xml:space="preserve"> </w:t>
      </w:r>
      <w:r w:rsidRPr="00343539">
        <w:rPr>
          <w:rFonts w:asciiTheme="majorHAnsi" w:hAnsiTheme="majorHAnsi"/>
        </w:rPr>
        <w:t xml:space="preserve">2010 bolo produkovaných </w:t>
      </w:r>
      <w:r w:rsidR="00616BE3">
        <w:rPr>
          <w:rFonts w:asciiTheme="majorHAnsi" w:hAnsiTheme="majorHAnsi"/>
        </w:rPr>
        <w:t>podnikmi</w:t>
      </w:r>
      <w:r w:rsidRPr="00343539">
        <w:rPr>
          <w:rFonts w:asciiTheme="majorHAnsi" w:hAnsiTheme="majorHAnsi"/>
        </w:rPr>
        <w:t xml:space="preserve"> v</w:t>
      </w:r>
      <w:r>
        <w:rPr>
          <w:rFonts w:asciiTheme="majorHAnsi" w:hAnsiTheme="majorHAnsi"/>
        </w:rPr>
        <w:t> </w:t>
      </w:r>
      <w:r w:rsidR="00DC3DE4">
        <w:rPr>
          <w:rFonts w:asciiTheme="majorHAnsi" w:hAnsiTheme="majorHAnsi"/>
        </w:rPr>
        <w:t>systéme obchodovania s emisiami (ďalej len „ETS“)</w:t>
      </w:r>
      <w:r w:rsidRPr="00343539">
        <w:rPr>
          <w:rFonts w:asciiTheme="majorHAnsi" w:hAnsiTheme="majorHAnsi"/>
        </w:rPr>
        <w:t>. V</w:t>
      </w:r>
      <w:r>
        <w:rPr>
          <w:rFonts w:asciiTheme="majorHAnsi" w:hAnsiTheme="majorHAnsi"/>
        </w:rPr>
        <w:t> </w:t>
      </w:r>
      <w:r w:rsidRPr="00343539">
        <w:rPr>
          <w:rFonts w:asciiTheme="majorHAnsi" w:hAnsiTheme="majorHAnsi"/>
        </w:rPr>
        <w:t xml:space="preserve">rámci plnenia národných cieľov znižovania emisií </w:t>
      </w:r>
      <w:r>
        <w:rPr>
          <w:rFonts w:asciiTheme="majorHAnsi" w:hAnsiTheme="majorHAnsi"/>
        </w:rPr>
        <w:t>s</w:t>
      </w:r>
      <w:r w:rsidRPr="00343539">
        <w:rPr>
          <w:rFonts w:asciiTheme="majorHAnsi" w:hAnsiTheme="majorHAnsi"/>
        </w:rPr>
        <w:t xml:space="preserve">kleníkových plynov do roku 2020 bude </w:t>
      </w:r>
      <w:r>
        <w:rPr>
          <w:rFonts w:asciiTheme="majorHAnsi" w:hAnsiTheme="majorHAnsi"/>
        </w:rPr>
        <w:t>S</w:t>
      </w:r>
      <w:r w:rsidRPr="00343539">
        <w:rPr>
          <w:rFonts w:asciiTheme="majorHAnsi" w:hAnsiTheme="majorHAnsi"/>
        </w:rPr>
        <w:t xml:space="preserve">R naďalej </w:t>
      </w:r>
      <w:r>
        <w:rPr>
          <w:rFonts w:asciiTheme="majorHAnsi" w:hAnsiTheme="majorHAnsi"/>
        </w:rPr>
        <w:t>k</w:t>
      </w:r>
      <w:r w:rsidRPr="00343539">
        <w:rPr>
          <w:rFonts w:asciiTheme="majorHAnsi" w:hAnsiTheme="majorHAnsi"/>
        </w:rPr>
        <w:t>ontrolovať tvorbu emisií v</w:t>
      </w:r>
      <w:r>
        <w:rPr>
          <w:rFonts w:asciiTheme="majorHAnsi" w:hAnsiTheme="majorHAnsi"/>
        </w:rPr>
        <w:t> </w:t>
      </w:r>
      <w:r w:rsidRPr="00343539">
        <w:rPr>
          <w:rFonts w:asciiTheme="majorHAnsi" w:hAnsiTheme="majorHAnsi"/>
        </w:rPr>
        <w:t xml:space="preserve">prevádzkach zaradených do EÚ ETS </w:t>
      </w:r>
      <w:r>
        <w:rPr>
          <w:rFonts w:asciiTheme="majorHAnsi" w:hAnsiTheme="majorHAnsi"/>
        </w:rPr>
        <w:t>s</w:t>
      </w:r>
      <w:r w:rsidRPr="00343539">
        <w:rPr>
          <w:rFonts w:asciiTheme="majorHAnsi" w:hAnsiTheme="majorHAnsi"/>
        </w:rPr>
        <w:t xml:space="preserve">merom </w:t>
      </w:r>
      <w:r>
        <w:rPr>
          <w:rFonts w:asciiTheme="majorHAnsi" w:hAnsiTheme="majorHAnsi"/>
        </w:rPr>
        <w:t>k</w:t>
      </w:r>
      <w:r w:rsidRPr="00343539">
        <w:rPr>
          <w:rFonts w:asciiTheme="majorHAnsi" w:hAnsiTheme="majorHAnsi"/>
        </w:rPr>
        <w:t> definovanému cieľu zníženia o</w:t>
      </w:r>
      <w:r>
        <w:rPr>
          <w:rFonts w:asciiTheme="majorHAnsi" w:hAnsiTheme="majorHAnsi"/>
        </w:rPr>
        <w:t> </w:t>
      </w:r>
      <w:r w:rsidRPr="00343539">
        <w:rPr>
          <w:rFonts w:asciiTheme="majorHAnsi" w:hAnsiTheme="majorHAnsi"/>
        </w:rPr>
        <w:t>21 % v</w:t>
      </w:r>
      <w:r>
        <w:rPr>
          <w:rFonts w:asciiTheme="majorHAnsi" w:hAnsiTheme="majorHAnsi"/>
        </w:rPr>
        <w:t> </w:t>
      </w:r>
      <w:r w:rsidRPr="00343539">
        <w:rPr>
          <w:rFonts w:asciiTheme="majorHAnsi" w:hAnsiTheme="majorHAnsi"/>
        </w:rPr>
        <w:t xml:space="preserve">porovnaní </w:t>
      </w:r>
      <w:r>
        <w:rPr>
          <w:rFonts w:asciiTheme="majorHAnsi" w:hAnsiTheme="majorHAnsi"/>
        </w:rPr>
        <w:t>s </w:t>
      </w:r>
      <w:r w:rsidRPr="00343539">
        <w:rPr>
          <w:rFonts w:asciiTheme="majorHAnsi" w:hAnsiTheme="majorHAnsi"/>
        </w:rPr>
        <w:t>rokom 2005.</w:t>
      </w:r>
    </w:p>
    <w:p w:rsidR="00817AE1" w:rsidRDefault="005801AE" w:rsidP="00E36655">
      <w:pPr>
        <w:rPr>
          <w:rFonts w:asciiTheme="majorHAnsi" w:hAnsiTheme="majorHAnsi"/>
          <w:szCs w:val="22"/>
        </w:rPr>
      </w:pPr>
      <w:r w:rsidRPr="00817AE1">
        <w:rPr>
          <w:rFonts w:asciiTheme="majorHAnsi" w:hAnsiTheme="majorHAnsi"/>
        </w:rPr>
        <w:t>Emisie SR v</w:t>
      </w:r>
      <w:r w:rsidR="0058375C">
        <w:rPr>
          <w:rFonts w:asciiTheme="majorHAnsi" w:hAnsiTheme="majorHAnsi"/>
        </w:rPr>
        <w:t> </w:t>
      </w:r>
      <w:r w:rsidRPr="00817AE1">
        <w:rPr>
          <w:rFonts w:asciiTheme="majorHAnsi" w:hAnsiTheme="majorHAnsi"/>
        </w:rPr>
        <w:t>sektoroch mimo ETS (doprava, pôdohospodárstvo, obyvateľstvo, odpadové hospodárstvo, energetické a</w:t>
      </w:r>
      <w:r w:rsidR="0058375C">
        <w:rPr>
          <w:rFonts w:asciiTheme="majorHAnsi" w:hAnsiTheme="majorHAnsi"/>
        </w:rPr>
        <w:t> </w:t>
      </w:r>
      <w:r w:rsidRPr="00817AE1">
        <w:rPr>
          <w:rFonts w:asciiTheme="majorHAnsi" w:hAnsiTheme="majorHAnsi"/>
        </w:rPr>
        <w:t>priemyselné zdroje mimo ETS) sa môžu do roku 2020 pri dodržaní stanovených ročných limitov z</w:t>
      </w:r>
      <w:r>
        <w:rPr>
          <w:rFonts w:asciiTheme="majorHAnsi" w:hAnsiTheme="majorHAnsi"/>
        </w:rPr>
        <w:t>výšiť maximálne o </w:t>
      </w:r>
      <w:r w:rsidRPr="00817AE1">
        <w:rPr>
          <w:rFonts w:asciiTheme="majorHAnsi" w:hAnsiTheme="majorHAnsi"/>
        </w:rPr>
        <w:t>13</w:t>
      </w:r>
      <w:r>
        <w:rPr>
          <w:rFonts w:asciiTheme="majorHAnsi" w:hAnsiTheme="majorHAnsi"/>
        </w:rPr>
        <w:t xml:space="preserve"> </w:t>
      </w:r>
      <w:r w:rsidRPr="00817AE1">
        <w:rPr>
          <w:rFonts w:asciiTheme="majorHAnsi" w:hAnsiTheme="majorHAnsi"/>
        </w:rPr>
        <w:t>% v</w:t>
      </w:r>
      <w:r w:rsidR="0058375C">
        <w:rPr>
          <w:rFonts w:asciiTheme="majorHAnsi" w:hAnsiTheme="majorHAnsi"/>
        </w:rPr>
        <w:t> </w:t>
      </w:r>
      <w:r w:rsidRPr="00817AE1">
        <w:rPr>
          <w:rFonts w:asciiTheme="majorHAnsi" w:hAnsiTheme="majorHAnsi"/>
        </w:rPr>
        <w:t>porovnaní s</w:t>
      </w:r>
      <w:r w:rsidR="0058375C">
        <w:rPr>
          <w:rFonts w:asciiTheme="majorHAnsi" w:hAnsiTheme="majorHAnsi"/>
        </w:rPr>
        <w:t> </w:t>
      </w:r>
      <w:r w:rsidRPr="00817AE1">
        <w:rPr>
          <w:rFonts w:asciiTheme="majorHAnsi" w:hAnsiTheme="majorHAnsi"/>
        </w:rPr>
        <w:t>rokom 2005.</w:t>
      </w:r>
      <w:r>
        <w:rPr>
          <w:rFonts w:asciiTheme="majorHAnsi" w:hAnsiTheme="majorHAnsi"/>
        </w:rPr>
        <w:t xml:space="preserve"> </w:t>
      </w:r>
      <w:r w:rsidR="00153D47">
        <w:rPr>
          <w:noProof/>
          <w:lang w:eastAsia="sk-SK"/>
        </w:rPr>
        <w:drawing>
          <wp:anchor distT="0" distB="0" distL="114300" distR="114300" simplePos="0" relativeHeight="251756544" behindDoc="0" locked="0" layoutInCell="1" allowOverlap="1" wp14:anchorId="67BEE14F" wp14:editId="20D68598">
            <wp:simplePos x="0" y="0"/>
            <wp:positionH relativeFrom="column">
              <wp:posOffset>2189480</wp:posOffset>
            </wp:positionH>
            <wp:positionV relativeFrom="paragraph">
              <wp:posOffset>-1905</wp:posOffset>
            </wp:positionV>
            <wp:extent cx="3611245" cy="2894965"/>
            <wp:effectExtent l="0" t="0" r="8255" b="635"/>
            <wp:wrapSquare wrapText="bothSides"/>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l="7870" r="2805" b="5214"/>
                    <a:stretch>
                      <a:fillRect/>
                    </a:stretch>
                  </pic:blipFill>
                  <pic:spPr bwMode="auto">
                    <a:xfrm>
                      <a:off x="0" y="0"/>
                      <a:ext cx="3611245" cy="2894965"/>
                    </a:xfrm>
                    <a:prstGeom prst="rect">
                      <a:avLst/>
                    </a:prstGeom>
                    <a:noFill/>
                    <a:ln>
                      <a:noFill/>
                    </a:ln>
                  </pic:spPr>
                </pic:pic>
              </a:graphicData>
            </a:graphic>
            <wp14:sizeRelH relativeFrom="page">
              <wp14:pctWidth>0</wp14:pctWidth>
            </wp14:sizeRelH>
            <wp14:sizeRelV relativeFrom="page">
              <wp14:pctHeight>0</wp14:pctHeight>
            </wp14:sizeRelV>
          </wp:anchor>
        </w:drawing>
      </w:r>
      <w:r w:rsidR="00817AE1" w:rsidRPr="00817AE1">
        <w:rPr>
          <w:rFonts w:asciiTheme="majorHAnsi" w:hAnsiTheme="majorHAnsi"/>
          <w:szCs w:val="22"/>
        </w:rPr>
        <w:t xml:space="preserve">Aktuálne informácie o stave plnenia redukčných záväzkov SR sú uvedené v Ročnej správe SR 2014, predloženej EK v súlade s článkom 7 nariadenia </w:t>
      </w:r>
      <w:r w:rsidR="0058375C">
        <w:rPr>
          <w:rFonts w:asciiTheme="majorHAnsi" w:hAnsiTheme="majorHAnsi"/>
          <w:szCs w:val="22"/>
        </w:rPr>
        <w:br/>
      </w:r>
      <w:r w:rsidR="00817AE1" w:rsidRPr="00817AE1">
        <w:rPr>
          <w:rFonts w:asciiTheme="majorHAnsi" w:hAnsiTheme="majorHAnsi"/>
          <w:szCs w:val="22"/>
        </w:rPr>
        <w:t>č. 525/2013/EÚ.</w:t>
      </w:r>
      <w:r w:rsidR="00817AE1" w:rsidRPr="00817AE1" w:rsidDel="008F2FA3">
        <w:rPr>
          <w:rFonts w:asciiTheme="majorHAnsi" w:hAnsiTheme="majorHAnsi"/>
          <w:szCs w:val="22"/>
        </w:rPr>
        <w:t xml:space="preserve"> </w:t>
      </w:r>
      <w:r w:rsidR="00817AE1" w:rsidRPr="00817AE1">
        <w:rPr>
          <w:rFonts w:asciiTheme="majorHAnsi" w:hAnsiTheme="majorHAnsi"/>
          <w:szCs w:val="22"/>
        </w:rPr>
        <w:t>Podľa tejto správy celkové predbežné antropogénne</w:t>
      </w:r>
      <w:r w:rsidR="00817AE1">
        <w:rPr>
          <w:rStyle w:val="Odkaznapoznmkupodiarou"/>
          <w:rFonts w:asciiTheme="majorHAnsi" w:hAnsiTheme="majorHAnsi"/>
          <w:szCs w:val="22"/>
        </w:rPr>
        <w:footnoteReference w:id="164"/>
      </w:r>
      <w:r w:rsidR="00817AE1">
        <w:rPr>
          <w:rFonts w:asciiTheme="majorHAnsi" w:hAnsiTheme="majorHAnsi"/>
          <w:szCs w:val="22"/>
        </w:rPr>
        <w:t xml:space="preserve"> </w:t>
      </w:r>
      <w:r w:rsidR="00817AE1" w:rsidRPr="00817AE1">
        <w:rPr>
          <w:rFonts w:asciiTheme="majorHAnsi" w:hAnsiTheme="majorHAnsi"/>
          <w:szCs w:val="22"/>
        </w:rPr>
        <w:t>emisie skleníkových plynov za rok 2012 boli 42 719,88 Gg</w:t>
      </w:r>
      <w:r w:rsidR="00817AE1">
        <w:rPr>
          <w:rStyle w:val="Odkaznapoznmkupodiarou"/>
          <w:rFonts w:asciiTheme="majorHAnsi" w:hAnsiTheme="majorHAnsi"/>
          <w:szCs w:val="22"/>
        </w:rPr>
        <w:footnoteReference w:id="165"/>
      </w:r>
      <w:r w:rsidR="00817AE1" w:rsidRPr="00817AE1">
        <w:rPr>
          <w:rFonts w:asciiTheme="majorHAnsi" w:hAnsiTheme="majorHAnsi"/>
          <w:szCs w:val="22"/>
        </w:rPr>
        <w:t xml:space="preserve"> (vyjadrené ako CO</w:t>
      </w:r>
      <w:r w:rsidR="00817AE1" w:rsidRPr="00817AE1">
        <w:rPr>
          <w:rFonts w:asciiTheme="majorHAnsi" w:hAnsiTheme="majorHAnsi"/>
          <w:szCs w:val="22"/>
          <w:vertAlign w:val="subscript"/>
        </w:rPr>
        <w:t>2</w:t>
      </w:r>
      <w:r w:rsidR="00817AE1" w:rsidRPr="00817AE1">
        <w:rPr>
          <w:rFonts w:asciiTheme="majorHAnsi" w:hAnsiTheme="majorHAnsi"/>
          <w:szCs w:val="22"/>
        </w:rPr>
        <w:t xml:space="preserve"> ekvivalenty).</w:t>
      </w:r>
      <w:r w:rsidR="00817AE1">
        <w:rPr>
          <w:rFonts w:asciiTheme="majorHAnsi" w:hAnsiTheme="majorHAnsi"/>
          <w:szCs w:val="22"/>
        </w:rPr>
        <w:t xml:space="preserve"> </w:t>
      </w:r>
      <w:r w:rsidR="0055646E" w:rsidRPr="00FB5829">
        <w:rPr>
          <w:rFonts w:asciiTheme="majorHAnsi" w:hAnsiTheme="majorHAnsi"/>
          <w:szCs w:val="22"/>
        </w:rPr>
        <w:t xml:space="preserve">V porovnaní </w:t>
      </w:r>
      <w:r w:rsidR="0055646E">
        <w:rPr>
          <w:rFonts w:asciiTheme="majorHAnsi" w:hAnsiTheme="majorHAnsi"/>
          <w:szCs w:val="22"/>
        </w:rPr>
        <w:t>s </w:t>
      </w:r>
      <w:r w:rsidR="0055646E" w:rsidRPr="00FB5829">
        <w:rPr>
          <w:rFonts w:asciiTheme="majorHAnsi" w:hAnsiTheme="majorHAnsi"/>
          <w:szCs w:val="22"/>
        </w:rPr>
        <w:t xml:space="preserve">rokom 1990 teda </w:t>
      </w:r>
      <w:r w:rsidR="0055646E">
        <w:rPr>
          <w:rFonts w:asciiTheme="majorHAnsi" w:hAnsiTheme="majorHAnsi"/>
          <w:szCs w:val="22"/>
        </w:rPr>
        <w:t>k</w:t>
      </w:r>
      <w:r w:rsidR="0055646E" w:rsidRPr="00FB5829">
        <w:rPr>
          <w:rFonts w:asciiTheme="majorHAnsi" w:hAnsiTheme="majorHAnsi"/>
          <w:szCs w:val="22"/>
        </w:rPr>
        <w:t xml:space="preserve">lesli </w:t>
      </w:r>
      <w:r w:rsidR="00852C71">
        <w:rPr>
          <w:rFonts w:asciiTheme="majorHAnsi" w:hAnsiTheme="majorHAnsi"/>
          <w:szCs w:val="22"/>
        </w:rPr>
        <w:t>o</w:t>
      </w:r>
      <w:r w:rsidR="0058375C">
        <w:rPr>
          <w:rFonts w:asciiTheme="majorHAnsi" w:hAnsiTheme="majorHAnsi"/>
          <w:szCs w:val="22"/>
        </w:rPr>
        <w:t> </w:t>
      </w:r>
      <w:r w:rsidR="00852C71" w:rsidRPr="00852C71">
        <w:rPr>
          <w:rFonts w:asciiTheme="majorHAnsi" w:hAnsiTheme="majorHAnsi"/>
          <w:szCs w:val="22"/>
        </w:rPr>
        <w:t>41,4 %, medziročne poklesli o 4,4 % (oproti roku 2011)</w:t>
      </w:r>
      <w:r w:rsidR="0055646E" w:rsidRPr="00FB5829">
        <w:rPr>
          <w:rFonts w:asciiTheme="majorHAnsi" w:hAnsiTheme="majorHAnsi"/>
          <w:szCs w:val="22"/>
        </w:rPr>
        <w:t>.</w:t>
      </w:r>
    </w:p>
    <w:p w:rsidR="00817AE1" w:rsidRDefault="00817AE1" w:rsidP="00E36655">
      <w:pPr>
        <w:rPr>
          <w:rFonts w:asciiTheme="majorHAnsi" w:hAnsiTheme="majorHAnsi"/>
          <w:szCs w:val="22"/>
        </w:rPr>
      </w:pPr>
      <w:r w:rsidRPr="00817AE1">
        <w:rPr>
          <w:rFonts w:asciiTheme="majorHAnsi" w:hAnsiTheme="majorHAnsi"/>
          <w:szCs w:val="22"/>
        </w:rPr>
        <w:t xml:space="preserve">Po výraznejšom poklese v roku 2009, najmä v dôsledku hospodárskej krízy, je trend celkových antropogénnych emisií za roky 2010 až 2012 naďalej klesajúci a emisie stále nedosiahli úroveň spred roku 2009. Podľa aktuálneho hodnotenia prvého záväzného obdobia </w:t>
      </w:r>
      <w:r w:rsidR="001E2900">
        <w:rPr>
          <w:rFonts w:asciiTheme="majorHAnsi" w:hAnsiTheme="majorHAnsi"/>
          <w:szCs w:val="22"/>
        </w:rPr>
        <w:t>v</w:t>
      </w:r>
      <w:r w:rsidR="0058375C">
        <w:rPr>
          <w:rFonts w:asciiTheme="majorHAnsi" w:hAnsiTheme="majorHAnsi"/>
          <w:szCs w:val="22"/>
        </w:rPr>
        <w:t> </w:t>
      </w:r>
      <w:r w:rsidR="001E2900">
        <w:rPr>
          <w:rFonts w:asciiTheme="majorHAnsi" w:hAnsiTheme="majorHAnsi"/>
          <w:szCs w:val="22"/>
        </w:rPr>
        <w:t>zmysle</w:t>
      </w:r>
      <w:r w:rsidRPr="00817AE1">
        <w:rPr>
          <w:rFonts w:asciiTheme="majorHAnsi" w:hAnsiTheme="majorHAnsi"/>
          <w:szCs w:val="22"/>
        </w:rPr>
        <w:t xml:space="preserve"> Kjótskeho protokolu možno konštatovať, že SR svoj redukčný záväzok nielen splní, ale aj výrazne prekročí. Zatiaľ sa stále darí udržať tzv. decoupling, teda pomalší rast emisií v porovnaní s dynamikou rastu HDP. Intenzita znižovania uhlíkovej náročnosti bude, s ohľadom na limitovaný zostávajúci potenciál, stále nižšia a náklady na technologické redukčné opatrenia vyššie. V ďalšom období </w:t>
      </w:r>
      <w:r w:rsidR="001E2900">
        <w:rPr>
          <w:rFonts w:asciiTheme="majorHAnsi" w:hAnsiTheme="majorHAnsi"/>
          <w:szCs w:val="22"/>
        </w:rPr>
        <w:t xml:space="preserve">sa </w:t>
      </w:r>
      <w:r w:rsidRPr="00817AE1">
        <w:rPr>
          <w:rFonts w:asciiTheme="majorHAnsi" w:hAnsiTheme="majorHAnsi"/>
          <w:szCs w:val="22"/>
        </w:rPr>
        <w:t xml:space="preserve">preto </w:t>
      </w:r>
      <w:r w:rsidR="00153D47" w:rsidRPr="00817AE1">
        <w:rPr>
          <w:rFonts w:asciiTheme="majorHAnsi" w:hAnsiTheme="majorHAnsi"/>
          <w:szCs w:val="22"/>
        </w:rPr>
        <w:t xml:space="preserve">bude </w:t>
      </w:r>
      <w:r w:rsidRPr="00817AE1">
        <w:rPr>
          <w:rFonts w:asciiTheme="majorHAnsi" w:hAnsiTheme="majorHAnsi"/>
          <w:szCs w:val="22"/>
        </w:rPr>
        <w:t xml:space="preserve">potrebné </w:t>
      </w:r>
      <w:r w:rsidRPr="00817AE1">
        <w:rPr>
          <w:rFonts w:asciiTheme="majorHAnsi" w:hAnsiTheme="majorHAnsi"/>
          <w:szCs w:val="22"/>
        </w:rPr>
        <w:lastRenderedPageBreak/>
        <w:t>orientovať najmä na win-win opatrenia v oblasti zvyšovania energetickej efektívnosti a znižovania spotreby, hlavne v sektore obyvateľstva a služieb.</w:t>
      </w:r>
    </w:p>
    <w:p w:rsidR="006C0B38" w:rsidRDefault="00817AE1" w:rsidP="00E36655">
      <w:pPr>
        <w:rPr>
          <w:rFonts w:asciiTheme="majorHAnsi" w:hAnsiTheme="majorHAnsi"/>
          <w:szCs w:val="22"/>
        </w:rPr>
      </w:pPr>
      <w:r w:rsidRPr="00817AE1">
        <w:rPr>
          <w:rFonts w:asciiTheme="majorHAnsi" w:hAnsiTheme="majorHAnsi"/>
          <w:szCs w:val="22"/>
        </w:rPr>
        <w:t>Významným sektorom, v ktorom sa SR nedarí stabilizovať rast emisií skleníkových plynov, je sektor cestnej dopravy.</w:t>
      </w:r>
      <w:r>
        <w:rPr>
          <w:rFonts w:asciiTheme="majorHAnsi" w:hAnsiTheme="majorHAnsi"/>
          <w:szCs w:val="22"/>
        </w:rPr>
        <w:t xml:space="preserve"> </w:t>
      </w:r>
      <w:r w:rsidR="0055646E" w:rsidRPr="00FB5829">
        <w:rPr>
          <w:rFonts w:asciiTheme="majorHAnsi" w:hAnsiTheme="majorHAnsi"/>
          <w:szCs w:val="22"/>
        </w:rPr>
        <w:t>Podiel emisií v</w:t>
      </w:r>
      <w:r w:rsidR="0055646E">
        <w:rPr>
          <w:rFonts w:asciiTheme="majorHAnsi" w:hAnsiTheme="majorHAnsi"/>
          <w:szCs w:val="22"/>
        </w:rPr>
        <w:t> s</w:t>
      </w:r>
      <w:r w:rsidR="0055646E" w:rsidRPr="00FB5829">
        <w:rPr>
          <w:rFonts w:asciiTheme="majorHAnsi" w:hAnsiTheme="majorHAnsi"/>
          <w:szCs w:val="22"/>
        </w:rPr>
        <w:t xml:space="preserve">ektore energetiky, vrátane dopravy, na celkových emisiách </w:t>
      </w:r>
      <w:r w:rsidR="0055646E">
        <w:rPr>
          <w:rFonts w:asciiTheme="majorHAnsi" w:hAnsiTheme="majorHAnsi"/>
          <w:szCs w:val="22"/>
        </w:rPr>
        <w:t>s</w:t>
      </w:r>
      <w:r w:rsidR="0055646E" w:rsidRPr="00FB5829">
        <w:rPr>
          <w:rFonts w:asciiTheme="majorHAnsi" w:hAnsiTheme="majorHAnsi"/>
          <w:szCs w:val="22"/>
        </w:rPr>
        <w:t xml:space="preserve">kleníkových plynov v roku </w:t>
      </w:r>
      <w:r>
        <w:rPr>
          <w:rFonts w:asciiTheme="majorHAnsi" w:hAnsiTheme="majorHAnsi"/>
          <w:szCs w:val="22"/>
        </w:rPr>
        <w:t>2012</w:t>
      </w:r>
      <w:r w:rsidRPr="00FB5829">
        <w:rPr>
          <w:rFonts w:asciiTheme="majorHAnsi" w:hAnsiTheme="majorHAnsi"/>
          <w:szCs w:val="22"/>
        </w:rPr>
        <w:t xml:space="preserve"> </w:t>
      </w:r>
      <w:r w:rsidR="0055646E" w:rsidRPr="00FB5829">
        <w:rPr>
          <w:rFonts w:asciiTheme="majorHAnsi" w:hAnsiTheme="majorHAnsi"/>
          <w:szCs w:val="22"/>
        </w:rPr>
        <w:t>bol takmer 70</w:t>
      </w:r>
      <w:r w:rsidR="0055646E">
        <w:rPr>
          <w:rFonts w:asciiTheme="majorHAnsi" w:hAnsiTheme="majorHAnsi"/>
          <w:szCs w:val="22"/>
        </w:rPr>
        <w:t xml:space="preserve"> </w:t>
      </w:r>
      <w:r w:rsidR="0055646E" w:rsidRPr="00FB5829">
        <w:rPr>
          <w:rFonts w:asciiTheme="majorHAnsi" w:hAnsiTheme="majorHAnsi"/>
          <w:szCs w:val="22"/>
        </w:rPr>
        <w:t>%</w:t>
      </w:r>
      <w:r w:rsidR="006C0B38">
        <w:rPr>
          <w:rFonts w:asciiTheme="majorHAnsi" w:hAnsiTheme="majorHAnsi"/>
          <w:szCs w:val="22"/>
        </w:rPr>
        <w:t xml:space="preserve"> </w:t>
      </w:r>
      <w:r w:rsidR="006C0B38" w:rsidRPr="006C0B38">
        <w:rPr>
          <w:rFonts w:asciiTheme="majorHAnsi" w:hAnsiTheme="majorHAnsi"/>
          <w:szCs w:val="22"/>
        </w:rPr>
        <w:t>(vo vyjadrení na CO</w:t>
      </w:r>
      <w:r w:rsidR="006C0B38" w:rsidRPr="006C0B38">
        <w:rPr>
          <w:rFonts w:asciiTheme="majorHAnsi" w:hAnsiTheme="majorHAnsi"/>
          <w:szCs w:val="22"/>
          <w:vertAlign w:val="subscript"/>
        </w:rPr>
        <w:t>2</w:t>
      </w:r>
      <w:r w:rsidR="006C0B38" w:rsidRPr="006C0B38">
        <w:rPr>
          <w:rFonts w:asciiTheme="majorHAnsi" w:hAnsiTheme="majorHAnsi"/>
          <w:szCs w:val="22"/>
        </w:rPr>
        <w:t xml:space="preserve"> ekvivalenty), z toho</w:t>
      </w:r>
      <w:r w:rsidR="0055646E" w:rsidRPr="00FB5829">
        <w:rPr>
          <w:rFonts w:asciiTheme="majorHAnsi" w:hAnsiTheme="majorHAnsi"/>
          <w:szCs w:val="22"/>
        </w:rPr>
        <w:t xml:space="preserve"> emisie z</w:t>
      </w:r>
      <w:r w:rsidR="0055646E">
        <w:rPr>
          <w:rFonts w:asciiTheme="majorHAnsi" w:hAnsiTheme="majorHAnsi"/>
          <w:szCs w:val="22"/>
        </w:rPr>
        <w:t> </w:t>
      </w:r>
      <w:r w:rsidR="0055646E" w:rsidRPr="00FB5829">
        <w:rPr>
          <w:rFonts w:asciiTheme="majorHAnsi" w:hAnsiTheme="majorHAnsi"/>
          <w:szCs w:val="22"/>
        </w:rPr>
        <w:t>dopravy</w:t>
      </w:r>
      <w:r w:rsidR="0055646E">
        <w:rPr>
          <w:rFonts w:asciiTheme="majorHAnsi" w:hAnsiTheme="majorHAnsi"/>
          <w:szCs w:val="22"/>
        </w:rPr>
        <w:t xml:space="preserve"> </w:t>
      </w:r>
      <w:r w:rsidR="0055646E" w:rsidRPr="00FB5829">
        <w:rPr>
          <w:rFonts w:asciiTheme="majorHAnsi" w:hAnsiTheme="majorHAnsi"/>
          <w:szCs w:val="22"/>
        </w:rPr>
        <w:t xml:space="preserve">tvorili </w:t>
      </w:r>
      <w:r w:rsidR="006C0B38">
        <w:rPr>
          <w:rFonts w:asciiTheme="majorHAnsi" w:hAnsiTheme="majorHAnsi"/>
          <w:szCs w:val="22"/>
        </w:rPr>
        <w:t xml:space="preserve">22 </w:t>
      </w:r>
      <w:r w:rsidR="0055646E" w:rsidRPr="00FB5829">
        <w:rPr>
          <w:rFonts w:asciiTheme="majorHAnsi" w:hAnsiTheme="majorHAnsi"/>
          <w:szCs w:val="22"/>
        </w:rPr>
        <w:t xml:space="preserve">%. Zatiaľ čo podiel emisií zo </w:t>
      </w:r>
      <w:r w:rsidR="0055646E">
        <w:rPr>
          <w:rFonts w:asciiTheme="majorHAnsi" w:hAnsiTheme="majorHAnsi"/>
          <w:szCs w:val="22"/>
        </w:rPr>
        <w:t>s</w:t>
      </w:r>
      <w:r w:rsidR="0055646E" w:rsidRPr="00FB5829">
        <w:rPr>
          <w:rFonts w:asciiTheme="majorHAnsi" w:hAnsiTheme="majorHAnsi"/>
          <w:szCs w:val="22"/>
        </w:rPr>
        <w:t xml:space="preserve">tacionárnych zdrojov </w:t>
      </w:r>
      <w:r w:rsidR="0055646E">
        <w:rPr>
          <w:rFonts w:asciiTheme="majorHAnsi" w:hAnsiTheme="majorHAnsi"/>
          <w:szCs w:val="22"/>
        </w:rPr>
        <w:t>k</w:t>
      </w:r>
      <w:r w:rsidR="0055646E" w:rsidRPr="00FB5829">
        <w:rPr>
          <w:rFonts w:asciiTheme="majorHAnsi" w:hAnsiTheme="majorHAnsi"/>
          <w:szCs w:val="22"/>
        </w:rPr>
        <w:t>lesá, podiel emisií z</w:t>
      </w:r>
      <w:r w:rsidR="0055646E">
        <w:rPr>
          <w:rFonts w:asciiTheme="majorHAnsi" w:hAnsiTheme="majorHAnsi"/>
          <w:szCs w:val="22"/>
        </w:rPr>
        <w:t> </w:t>
      </w:r>
      <w:r w:rsidR="0055646E" w:rsidRPr="00FB5829">
        <w:rPr>
          <w:rFonts w:asciiTheme="majorHAnsi" w:hAnsiTheme="majorHAnsi"/>
          <w:szCs w:val="22"/>
        </w:rPr>
        <w:t xml:space="preserve">dopravy </w:t>
      </w:r>
      <w:r w:rsidR="0055646E">
        <w:rPr>
          <w:rFonts w:asciiTheme="majorHAnsi" w:hAnsiTheme="majorHAnsi"/>
          <w:szCs w:val="22"/>
        </w:rPr>
        <w:t>s</w:t>
      </w:r>
      <w:r w:rsidR="0055646E" w:rsidRPr="00FB5829">
        <w:rPr>
          <w:rFonts w:asciiTheme="majorHAnsi" w:hAnsiTheme="majorHAnsi"/>
          <w:szCs w:val="22"/>
        </w:rPr>
        <w:t>a neustále zvyšuje. Od roku 1990 vzrástli emisie z</w:t>
      </w:r>
      <w:r w:rsidR="0055646E">
        <w:rPr>
          <w:rFonts w:asciiTheme="majorHAnsi" w:hAnsiTheme="majorHAnsi"/>
          <w:szCs w:val="22"/>
        </w:rPr>
        <w:t> </w:t>
      </w:r>
      <w:r w:rsidR="0055646E" w:rsidRPr="00FB5829">
        <w:rPr>
          <w:rFonts w:asciiTheme="majorHAnsi" w:hAnsiTheme="majorHAnsi"/>
          <w:szCs w:val="22"/>
        </w:rPr>
        <w:t>dopravy o </w:t>
      </w:r>
      <w:r w:rsidR="006C0B38">
        <w:rPr>
          <w:rFonts w:asciiTheme="majorHAnsi" w:hAnsiTheme="majorHAnsi"/>
          <w:szCs w:val="22"/>
        </w:rPr>
        <w:t>31</w:t>
      </w:r>
      <w:r w:rsidR="006C0B38" w:rsidRPr="00FB5829">
        <w:rPr>
          <w:rFonts w:asciiTheme="majorHAnsi" w:hAnsiTheme="majorHAnsi"/>
          <w:szCs w:val="22"/>
        </w:rPr>
        <w:t> </w:t>
      </w:r>
      <w:r w:rsidR="0055646E" w:rsidRPr="00FB5829">
        <w:rPr>
          <w:rFonts w:asciiTheme="majorHAnsi" w:hAnsiTheme="majorHAnsi"/>
          <w:szCs w:val="22"/>
        </w:rPr>
        <w:t xml:space="preserve">%, </w:t>
      </w:r>
      <w:r w:rsidR="0055646E">
        <w:rPr>
          <w:rFonts w:asciiTheme="majorHAnsi" w:hAnsiTheme="majorHAnsi"/>
          <w:szCs w:val="22"/>
        </w:rPr>
        <w:t>k</w:t>
      </w:r>
      <w:r w:rsidR="0055646E" w:rsidRPr="00FB5829">
        <w:rPr>
          <w:rFonts w:asciiTheme="majorHAnsi" w:hAnsiTheme="majorHAnsi"/>
          <w:szCs w:val="22"/>
        </w:rPr>
        <w:t xml:space="preserve">eď v roku 1990 predstavovali len 9 %. </w:t>
      </w:r>
      <w:r w:rsidR="006C0B38" w:rsidRPr="006C0B38">
        <w:rPr>
          <w:rFonts w:asciiTheme="majorHAnsi" w:hAnsiTheme="majorHAnsi"/>
          <w:szCs w:val="22"/>
        </w:rPr>
        <w:t>Preto bude potrebné, aj s ohľadom na stanovený emisný cieľ SR do roku 2020 v sektoroch mimo EÚ ETS, venovať zvýšenú pozornosť zavádzaniu účinných politík a opatrení na zastavenie negatívneho vývoja tvorby emisií v cestnej doprave. Ďalšou problematickou oblasťou, kde sa nedarí nárast emisií skleníkových plynov účinne regulovať, je spaľovanie fosílnych palív v domácnostiach.</w:t>
      </w:r>
    </w:p>
    <w:p w:rsidR="00406C25" w:rsidRPr="00A11FE0" w:rsidRDefault="0055646E" w:rsidP="00DB17C1">
      <w:pPr>
        <w:spacing w:before="0" w:after="0"/>
        <w:rPr>
          <w:rFonts w:asciiTheme="majorHAnsi" w:hAnsiTheme="majorHAnsi"/>
        </w:rPr>
      </w:pPr>
      <w:r>
        <w:rPr>
          <w:rFonts w:asciiTheme="majorHAnsi" w:hAnsiTheme="majorHAnsi"/>
          <w:szCs w:val="22"/>
        </w:rPr>
        <w:t>A</w:t>
      </w:r>
      <w:r w:rsidRPr="00FB5829">
        <w:rPr>
          <w:rFonts w:asciiTheme="majorHAnsi" w:hAnsiTheme="majorHAnsi"/>
          <w:szCs w:val="22"/>
        </w:rPr>
        <w:t xml:space="preserve">nalýza trendov </w:t>
      </w:r>
      <w:r>
        <w:rPr>
          <w:rFonts w:asciiTheme="majorHAnsi" w:hAnsiTheme="majorHAnsi"/>
          <w:szCs w:val="22"/>
        </w:rPr>
        <w:t>a </w:t>
      </w:r>
      <w:r w:rsidRPr="00FB5829">
        <w:rPr>
          <w:rFonts w:asciiTheme="majorHAnsi" w:hAnsiTheme="majorHAnsi"/>
          <w:szCs w:val="22"/>
        </w:rPr>
        <w:t xml:space="preserve">projekcií emisií </w:t>
      </w:r>
      <w:r>
        <w:rPr>
          <w:rFonts w:asciiTheme="majorHAnsi" w:hAnsiTheme="majorHAnsi"/>
          <w:szCs w:val="22"/>
        </w:rPr>
        <w:t>k</w:t>
      </w:r>
      <w:r w:rsidRPr="00FB5829">
        <w:rPr>
          <w:rFonts w:asciiTheme="majorHAnsi" w:hAnsiTheme="majorHAnsi"/>
          <w:szCs w:val="22"/>
        </w:rPr>
        <w:t>rajín EÚ za rok 2012</w:t>
      </w:r>
      <w:r w:rsidRPr="00FB5829">
        <w:rPr>
          <w:rStyle w:val="Odkaznapoznmkupodiarou"/>
          <w:szCs w:val="22"/>
        </w:rPr>
        <w:footnoteReference w:id="166"/>
      </w:r>
      <w:r w:rsidRPr="00FB5829">
        <w:rPr>
          <w:rFonts w:asciiTheme="majorHAnsi" w:hAnsiTheme="majorHAnsi"/>
          <w:szCs w:val="22"/>
        </w:rPr>
        <w:t xml:space="preserve"> potvrdzuje, že </w:t>
      </w:r>
      <w:r>
        <w:rPr>
          <w:rFonts w:asciiTheme="majorHAnsi" w:hAnsiTheme="majorHAnsi"/>
          <w:szCs w:val="22"/>
        </w:rPr>
        <w:t>S</w:t>
      </w:r>
      <w:r w:rsidRPr="00FB5829">
        <w:rPr>
          <w:rFonts w:asciiTheme="majorHAnsi" w:hAnsiTheme="majorHAnsi"/>
          <w:szCs w:val="22"/>
        </w:rPr>
        <w:t xml:space="preserve">R by </w:t>
      </w:r>
      <w:r w:rsidR="00691150" w:rsidRPr="00FB5829">
        <w:rPr>
          <w:rFonts w:asciiTheme="majorHAnsi" w:hAnsiTheme="majorHAnsi"/>
          <w:szCs w:val="22"/>
        </w:rPr>
        <w:t>mal</w:t>
      </w:r>
      <w:r w:rsidR="00691150">
        <w:rPr>
          <w:rFonts w:asciiTheme="majorHAnsi" w:hAnsiTheme="majorHAnsi"/>
          <w:szCs w:val="22"/>
        </w:rPr>
        <w:t>a</w:t>
      </w:r>
      <w:r w:rsidR="00691150" w:rsidRPr="00FB5829">
        <w:rPr>
          <w:rFonts w:asciiTheme="majorHAnsi" w:hAnsiTheme="majorHAnsi"/>
          <w:szCs w:val="22"/>
        </w:rPr>
        <w:t xml:space="preserve"> </w:t>
      </w:r>
      <w:r>
        <w:rPr>
          <w:rFonts w:asciiTheme="majorHAnsi" w:hAnsiTheme="majorHAnsi"/>
          <w:szCs w:val="22"/>
        </w:rPr>
        <w:t>s</w:t>
      </w:r>
      <w:r w:rsidRPr="00FB5829">
        <w:rPr>
          <w:rFonts w:asciiTheme="majorHAnsi" w:hAnsiTheme="majorHAnsi"/>
          <w:szCs w:val="22"/>
        </w:rPr>
        <w:t xml:space="preserve">voj individuálny emisný cieľ do roku 2020 pre </w:t>
      </w:r>
      <w:r>
        <w:rPr>
          <w:rFonts w:asciiTheme="majorHAnsi" w:hAnsiTheme="majorHAnsi"/>
          <w:szCs w:val="22"/>
        </w:rPr>
        <w:t>s</w:t>
      </w:r>
      <w:r w:rsidRPr="00FB5829">
        <w:rPr>
          <w:rFonts w:asciiTheme="majorHAnsi" w:hAnsiTheme="majorHAnsi"/>
          <w:szCs w:val="22"/>
        </w:rPr>
        <w:t xml:space="preserve">ektory mimo </w:t>
      </w:r>
      <w:r>
        <w:rPr>
          <w:rFonts w:asciiTheme="majorHAnsi" w:hAnsiTheme="majorHAnsi"/>
          <w:szCs w:val="22"/>
        </w:rPr>
        <w:t>s</w:t>
      </w:r>
      <w:r w:rsidRPr="00FB5829">
        <w:rPr>
          <w:rFonts w:asciiTheme="majorHAnsi" w:hAnsiTheme="majorHAnsi"/>
          <w:szCs w:val="22"/>
        </w:rPr>
        <w:t xml:space="preserve">chémy ETS </w:t>
      </w:r>
      <w:r>
        <w:rPr>
          <w:rFonts w:asciiTheme="majorHAnsi" w:hAnsiTheme="majorHAnsi"/>
          <w:szCs w:val="22"/>
        </w:rPr>
        <w:t>s</w:t>
      </w:r>
      <w:r w:rsidRPr="00FB5829">
        <w:rPr>
          <w:rFonts w:asciiTheme="majorHAnsi" w:hAnsiTheme="majorHAnsi"/>
          <w:szCs w:val="22"/>
        </w:rPr>
        <w:t xml:space="preserve">plniť pomocou už zavedených politík </w:t>
      </w:r>
      <w:r>
        <w:rPr>
          <w:rFonts w:asciiTheme="majorHAnsi" w:hAnsiTheme="majorHAnsi"/>
          <w:szCs w:val="22"/>
        </w:rPr>
        <w:t>a</w:t>
      </w:r>
      <w:r w:rsidRPr="00FB5829">
        <w:rPr>
          <w:rFonts w:asciiTheme="majorHAnsi" w:hAnsiTheme="majorHAnsi"/>
          <w:szCs w:val="22"/>
        </w:rPr>
        <w:t> opatrení.</w:t>
      </w:r>
      <w:r w:rsidR="0014227C">
        <w:rPr>
          <w:rFonts w:asciiTheme="majorHAnsi" w:hAnsiTheme="majorHAnsi"/>
          <w:szCs w:val="22"/>
        </w:rPr>
        <w:t xml:space="preserve"> </w:t>
      </w:r>
      <w:r w:rsidR="00406C25" w:rsidRPr="00EF53D7">
        <w:rPr>
          <w:rFonts w:asciiTheme="majorHAnsi" w:hAnsiTheme="majorHAnsi"/>
        </w:rPr>
        <w:t>Od roku 2001 je možné hovoriť o</w:t>
      </w:r>
      <w:r w:rsidR="00BA7979" w:rsidRPr="00EF53D7">
        <w:rPr>
          <w:rFonts w:asciiTheme="majorHAnsi" w:hAnsiTheme="majorHAnsi"/>
        </w:rPr>
        <w:t> </w:t>
      </w:r>
      <w:r w:rsidR="00406C25" w:rsidRPr="00EF53D7">
        <w:rPr>
          <w:rFonts w:asciiTheme="majorHAnsi" w:hAnsiTheme="majorHAnsi"/>
        </w:rPr>
        <w:t>pozitívnom</w:t>
      </w:r>
      <w:r w:rsidR="00BA7979" w:rsidRPr="00EF53D7">
        <w:rPr>
          <w:rFonts w:asciiTheme="majorHAnsi" w:hAnsiTheme="majorHAnsi"/>
        </w:rPr>
        <w:t xml:space="preserve"> </w:t>
      </w:r>
      <w:r w:rsidR="00406C25" w:rsidRPr="00EF53D7">
        <w:rPr>
          <w:rFonts w:asciiTheme="majorHAnsi" w:hAnsiTheme="majorHAnsi"/>
        </w:rPr>
        <w:t>vývoji environmentálnej efektivity poľnohospodárstva</w:t>
      </w:r>
      <w:r w:rsidR="00DC3DE4">
        <w:rPr>
          <w:rFonts w:asciiTheme="majorHAnsi" w:hAnsiTheme="majorHAnsi"/>
        </w:rPr>
        <w:t>,</w:t>
      </w:r>
      <w:r w:rsidR="00406C25" w:rsidRPr="00EF53D7">
        <w:rPr>
          <w:rFonts w:asciiTheme="majorHAnsi" w:hAnsiTheme="majorHAnsi"/>
        </w:rPr>
        <w:t xml:space="preserve"> vzhľadom na emisie </w:t>
      </w:r>
      <w:r w:rsidR="00BD5FD5" w:rsidRPr="00EF53D7">
        <w:rPr>
          <w:rFonts w:asciiTheme="majorHAnsi" w:hAnsiTheme="majorHAnsi"/>
        </w:rPr>
        <w:t>s</w:t>
      </w:r>
      <w:r w:rsidR="00406C25" w:rsidRPr="00EF53D7">
        <w:rPr>
          <w:rFonts w:asciiTheme="majorHAnsi" w:hAnsiTheme="majorHAnsi"/>
        </w:rPr>
        <w:t>kleníkových plynov.</w:t>
      </w:r>
      <w:r w:rsidR="00DB17C1">
        <w:rPr>
          <w:rFonts w:asciiTheme="majorHAnsi" w:hAnsiTheme="majorHAnsi"/>
        </w:rPr>
        <w:t xml:space="preserve"> </w:t>
      </w:r>
      <w:r w:rsidR="00DB17C1" w:rsidRPr="00DB17C1">
        <w:rPr>
          <w:rFonts w:asciiTheme="majorHAnsi" w:hAnsiTheme="majorHAnsi"/>
        </w:rPr>
        <w:t>V</w:t>
      </w:r>
      <w:r w:rsidR="0058375C">
        <w:rPr>
          <w:rFonts w:asciiTheme="majorHAnsi" w:hAnsiTheme="majorHAnsi"/>
        </w:rPr>
        <w:t> </w:t>
      </w:r>
      <w:r w:rsidR="00DB17C1" w:rsidRPr="00DB17C1">
        <w:rPr>
          <w:rFonts w:asciiTheme="majorHAnsi" w:hAnsiTheme="majorHAnsi"/>
        </w:rPr>
        <w:t>porovnaní s</w:t>
      </w:r>
      <w:r w:rsidR="0058375C">
        <w:rPr>
          <w:rFonts w:asciiTheme="majorHAnsi" w:hAnsiTheme="majorHAnsi"/>
        </w:rPr>
        <w:t> </w:t>
      </w:r>
      <w:r w:rsidR="00DB17C1" w:rsidRPr="00DB17C1">
        <w:rPr>
          <w:rFonts w:asciiTheme="majorHAnsi" w:hAnsiTheme="majorHAnsi"/>
        </w:rPr>
        <w:t>ostatnými štátmi EÚ dosahuje SR najpriaznivejšie hodnoty emisií skleníkových plynov a</w:t>
      </w:r>
      <w:r w:rsidR="0058375C">
        <w:rPr>
          <w:rFonts w:asciiTheme="majorHAnsi" w:hAnsiTheme="majorHAnsi"/>
        </w:rPr>
        <w:t> </w:t>
      </w:r>
      <w:r w:rsidR="00DB17C1" w:rsidRPr="00DB17C1">
        <w:rPr>
          <w:rFonts w:asciiTheme="majorHAnsi" w:hAnsiTheme="majorHAnsi"/>
        </w:rPr>
        <w:t>amoniaku z</w:t>
      </w:r>
      <w:r w:rsidR="0058375C">
        <w:rPr>
          <w:rFonts w:asciiTheme="majorHAnsi" w:hAnsiTheme="majorHAnsi"/>
        </w:rPr>
        <w:t> </w:t>
      </w:r>
      <w:r w:rsidR="00DB17C1" w:rsidRPr="00DB17C1">
        <w:rPr>
          <w:rFonts w:asciiTheme="majorHAnsi" w:hAnsiTheme="majorHAnsi"/>
        </w:rPr>
        <w:t>poľnohospodárstva</w:t>
      </w:r>
      <w:r w:rsidR="00DB17C1">
        <w:rPr>
          <w:rStyle w:val="Odkaznapoznmkupodiarou"/>
          <w:rFonts w:asciiTheme="majorHAnsi" w:hAnsiTheme="majorHAnsi"/>
        </w:rPr>
        <w:footnoteReference w:id="167"/>
      </w:r>
      <w:r w:rsidR="00DB17C1">
        <w:rPr>
          <w:rFonts w:asciiTheme="majorHAnsi" w:hAnsiTheme="majorHAnsi"/>
        </w:rPr>
        <w:t xml:space="preserve">. </w:t>
      </w:r>
      <w:r w:rsidR="00DB17C1" w:rsidRPr="00DB17C1">
        <w:rPr>
          <w:rFonts w:asciiTheme="majorHAnsi" w:hAnsiTheme="majorHAnsi"/>
        </w:rPr>
        <w:t>Emisie do ovzdušia emitované poľnohospodárstvom historicky klesli na Slovensku najviac zo všetkých krajín OECD. Celková emisia amoniaku z</w:t>
      </w:r>
      <w:r w:rsidR="0058375C">
        <w:rPr>
          <w:rFonts w:asciiTheme="majorHAnsi" w:hAnsiTheme="majorHAnsi"/>
        </w:rPr>
        <w:t> </w:t>
      </w:r>
      <w:r w:rsidR="00DB17C1" w:rsidRPr="00DB17C1">
        <w:rPr>
          <w:rFonts w:asciiTheme="majorHAnsi" w:hAnsiTheme="majorHAnsi"/>
        </w:rPr>
        <w:t>poľnohospodárskej činnosti klesla v</w:t>
      </w:r>
      <w:r w:rsidR="0058375C">
        <w:rPr>
          <w:rFonts w:asciiTheme="majorHAnsi" w:hAnsiTheme="majorHAnsi"/>
        </w:rPr>
        <w:t> </w:t>
      </w:r>
      <w:r w:rsidR="00DB17C1" w:rsidRPr="00DB17C1">
        <w:rPr>
          <w:rFonts w:asciiTheme="majorHAnsi" w:hAnsiTheme="majorHAnsi"/>
        </w:rPr>
        <w:t xml:space="preserve">období 1990 </w:t>
      </w:r>
      <w:r w:rsidR="0058375C">
        <w:rPr>
          <w:rFonts w:asciiTheme="majorHAnsi" w:hAnsiTheme="majorHAnsi"/>
        </w:rPr>
        <w:t>–</w:t>
      </w:r>
      <w:r w:rsidR="00DB17C1" w:rsidRPr="00DB17C1">
        <w:rPr>
          <w:rFonts w:asciiTheme="majorHAnsi" w:hAnsiTheme="majorHAnsi"/>
        </w:rPr>
        <w:t xml:space="preserve"> 2011</w:t>
      </w:r>
      <w:r w:rsidR="0058375C">
        <w:rPr>
          <w:rFonts w:asciiTheme="majorHAnsi" w:hAnsiTheme="majorHAnsi"/>
        </w:rPr>
        <w:t xml:space="preserve"> </w:t>
      </w:r>
      <w:r w:rsidR="0058375C">
        <w:rPr>
          <w:rFonts w:asciiTheme="majorHAnsi" w:hAnsiTheme="majorHAnsi"/>
        </w:rPr>
        <w:br/>
      </w:r>
      <w:r w:rsidR="00DB17C1" w:rsidRPr="00DB17C1">
        <w:rPr>
          <w:rFonts w:asciiTheme="majorHAnsi" w:hAnsiTheme="majorHAnsi"/>
        </w:rPr>
        <w:t>o</w:t>
      </w:r>
      <w:r w:rsidR="0058375C">
        <w:rPr>
          <w:rFonts w:asciiTheme="majorHAnsi" w:hAnsiTheme="majorHAnsi"/>
        </w:rPr>
        <w:t> </w:t>
      </w:r>
      <w:r w:rsidR="00DB17C1" w:rsidRPr="00DB17C1">
        <w:rPr>
          <w:rFonts w:asciiTheme="majorHAnsi" w:hAnsiTheme="majorHAnsi"/>
        </w:rPr>
        <w:t>56 % (z úrovne 53 tis. ton v</w:t>
      </w:r>
      <w:r w:rsidR="0058375C">
        <w:rPr>
          <w:rFonts w:asciiTheme="majorHAnsi" w:hAnsiTheme="majorHAnsi"/>
        </w:rPr>
        <w:t> </w:t>
      </w:r>
      <w:r w:rsidR="00DB17C1" w:rsidRPr="00DB17C1">
        <w:rPr>
          <w:rFonts w:asciiTheme="majorHAnsi" w:hAnsiTheme="majorHAnsi"/>
        </w:rPr>
        <w:t>roku 1990, 30 tis. ton v</w:t>
      </w:r>
      <w:r w:rsidR="0058375C">
        <w:rPr>
          <w:rFonts w:asciiTheme="majorHAnsi" w:hAnsiTheme="majorHAnsi"/>
        </w:rPr>
        <w:t> </w:t>
      </w:r>
      <w:r w:rsidR="00DB17C1" w:rsidRPr="00DB17C1">
        <w:rPr>
          <w:rFonts w:asciiTheme="majorHAnsi" w:hAnsiTheme="majorHAnsi"/>
        </w:rPr>
        <w:t>roku 2000, 26 tis. ton v</w:t>
      </w:r>
      <w:r w:rsidR="0058375C">
        <w:rPr>
          <w:rFonts w:asciiTheme="majorHAnsi" w:hAnsiTheme="majorHAnsi"/>
        </w:rPr>
        <w:t> </w:t>
      </w:r>
      <w:r w:rsidR="00DB17C1" w:rsidRPr="00DB17C1">
        <w:rPr>
          <w:rFonts w:asciiTheme="majorHAnsi" w:hAnsiTheme="majorHAnsi"/>
        </w:rPr>
        <w:t>roku 2005 na úroveň 23 tis. ton v</w:t>
      </w:r>
      <w:r w:rsidR="0058375C">
        <w:rPr>
          <w:rFonts w:asciiTheme="majorHAnsi" w:hAnsiTheme="majorHAnsi"/>
        </w:rPr>
        <w:t> </w:t>
      </w:r>
      <w:r w:rsidR="00DB17C1" w:rsidRPr="00DB17C1">
        <w:rPr>
          <w:rFonts w:asciiTheme="majorHAnsi" w:hAnsiTheme="majorHAnsi"/>
        </w:rPr>
        <w:t>roku 2011).</w:t>
      </w:r>
      <w:r w:rsidR="00DB17C1">
        <w:rPr>
          <w:rFonts w:asciiTheme="majorHAnsi" w:hAnsiTheme="majorHAnsi"/>
        </w:rPr>
        <w:t xml:space="preserve"> </w:t>
      </w:r>
      <w:r w:rsidR="00406C25" w:rsidRPr="00EF53D7">
        <w:rPr>
          <w:rFonts w:asciiTheme="majorHAnsi" w:hAnsiTheme="majorHAnsi"/>
        </w:rPr>
        <w:t>Tento pokles emisií z</w:t>
      </w:r>
      <w:r w:rsidR="006A2728" w:rsidRPr="00EF53D7">
        <w:rPr>
          <w:rFonts w:asciiTheme="majorHAnsi" w:hAnsiTheme="majorHAnsi"/>
        </w:rPr>
        <w:t> </w:t>
      </w:r>
      <w:r w:rsidR="00406C25" w:rsidRPr="00EF53D7">
        <w:rPr>
          <w:rFonts w:asciiTheme="majorHAnsi" w:hAnsiTheme="majorHAnsi"/>
        </w:rPr>
        <w:t>poľnohospodárstva</w:t>
      </w:r>
      <w:r w:rsidR="006A2728" w:rsidRPr="00EF53D7">
        <w:rPr>
          <w:rFonts w:asciiTheme="majorHAnsi" w:hAnsiTheme="majorHAnsi"/>
        </w:rPr>
        <w:t xml:space="preserve"> </w:t>
      </w:r>
      <w:r w:rsidR="00406C25" w:rsidRPr="00EF53D7">
        <w:rPr>
          <w:rFonts w:asciiTheme="majorHAnsi" w:hAnsiTheme="majorHAnsi"/>
        </w:rPr>
        <w:t>je najmä dôsledkom</w:t>
      </w:r>
      <w:r w:rsidR="00DB17C1">
        <w:rPr>
          <w:rFonts w:asciiTheme="majorHAnsi" w:hAnsiTheme="majorHAnsi"/>
        </w:rPr>
        <w:t xml:space="preserve"> výrazného</w:t>
      </w:r>
      <w:r w:rsidR="00406C25" w:rsidRPr="00EF53D7">
        <w:rPr>
          <w:rFonts w:asciiTheme="majorHAnsi" w:hAnsiTheme="majorHAnsi"/>
        </w:rPr>
        <w:t xml:space="preserve"> zníženia </w:t>
      </w:r>
      <w:r w:rsidR="00BD5FD5" w:rsidRPr="00EF53D7">
        <w:rPr>
          <w:rFonts w:asciiTheme="majorHAnsi" w:hAnsiTheme="majorHAnsi"/>
        </w:rPr>
        <w:t>s</w:t>
      </w:r>
      <w:r w:rsidR="00406C25" w:rsidRPr="00EF53D7">
        <w:rPr>
          <w:rFonts w:asciiTheme="majorHAnsi" w:hAnsiTheme="majorHAnsi"/>
        </w:rPr>
        <w:t>tavov hospodárskych zvierat</w:t>
      </w:r>
      <w:r w:rsidR="00DB17C1">
        <w:rPr>
          <w:rFonts w:asciiTheme="majorHAnsi" w:hAnsiTheme="majorHAnsi"/>
        </w:rPr>
        <w:t xml:space="preserve"> </w:t>
      </w:r>
      <w:r w:rsidR="00DB17C1" w:rsidRPr="00DB17C1">
        <w:rPr>
          <w:rFonts w:asciiTheme="majorHAnsi" w:hAnsiTheme="majorHAnsi"/>
        </w:rPr>
        <w:t>(napr. stavy hovädzieho dobytka poklesli o</w:t>
      </w:r>
      <w:r w:rsidR="0058375C">
        <w:rPr>
          <w:rFonts w:asciiTheme="majorHAnsi" w:hAnsiTheme="majorHAnsi"/>
        </w:rPr>
        <w:t> </w:t>
      </w:r>
      <w:r w:rsidR="00DB17C1" w:rsidRPr="00DB17C1">
        <w:rPr>
          <w:rFonts w:asciiTheme="majorHAnsi" w:hAnsiTheme="majorHAnsi"/>
        </w:rPr>
        <w:t>71 % a</w:t>
      </w:r>
      <w:r w:rsidR="0058375C">
        <w:rPr>
          <w:rFonts w:asciiTheme="majorHAnsi" w:hAnsiTheme="majorHAnsi"/>
        </w:rPr>
        <w:t> </w:t>
      </w:r>
      <w:r w:rsidR="00DB17C1" w:rsidRPr="00DB17C1">
        <w:rPr>
          <w:rFonts w:asciiTheme="majorHAnsi" w:hAnsiTheme="majorHAnsi"/>
        </w:rPr>
        <w:t>stavy ošípaných poklesli o</w:t>
      </w:r>
      <w:r w:rsidR="0058375C">
        <w:rPr>
          <w:rFonts w:asciiTheme="majorHAnsi" w:hAnsiTheme="majorHAnsi"/>
        </w:rPr>
        <w:t> </w:t>
      </w:r>
      <w:r w:rsidR="00DB17C1" w:rsidRPr="00DB17C1">
        <w:rPr>
          <w:rFonts w:asciiTheme="majorHAnsi" w:hAnsiTheme="majorHAnsi"/>
        </w:rPr>
        <w:t>77 %)</w:t>
      </w:r>
      <w:r w:rsidR="00406C25" w:rsidRPr="00EF53D7">
        <w:rPr>
          <w:rFonts w:asciiTheme="majorHAnsi" w:hAnsiTheme="majorHAnsi"/>
        </w:rPr>
        <w:t xml:space="preserve"> </w:t>
      </w:r>
      <w:r w:rsidR="00BD5FD5" w:rsidRPr="00EF53D7">
        <w:rPr>
          <w:rFonts w:asciiTheme="majorHAnsi" w:hAnsiTheme="majorHAnsi"/>
        </w:rPr>
        <w:t>a</w:t>
      </w:r>
      <w:r w:rsidR="00DB17C1">
        <w:rPr>
          <w:rFonts w:asciiTheme="majorHAnsi" w:hAnsiTheme="majorHAnsi"/>
        </w:rPr>
        <w:t> </w:t>
      </w:r>
      <w:r w:rsidR="00406C25" w:rsidRPr="00EF53D7">
        <w:rPr>
          <w:rFonts w:asciiTheme="majorHAnsi" w:hAnsiTheme="majorHAnsi"/>
        </w:rPr>
        <w:t>úrovne</w:t>
      </w:r>
      <w:r w:rsidR="00DB17C1">
        <w:rPr>
          <w:rFonts w:asciiTheme="majorHAnsi" w:hAnsiTheme="majorHAnsi"/>
        </w:rPr>
        <w:t xml:space="preserve"> zníženia</w:t>
      </w:r>
      <w:r w:rsidR="00BA7979" w:rsidRPr="00EF53D7">
        <w:rPr>
          <w:rFonts w:asciiTheme="majorHAnsi" w:hAnsiTheme="majorHAnsi"/>
        </w:rPr>
        <w:t xml:space="preserve"> </w:t>
      </w:r>
      <w:r w:rsidR="00406C25" w:rsidRPr="00EF53D7">
        <w:rPr>
          <w:rFonts w:asciiTheme="majorHAnsi" w:hAnsiTheme="majorHAnsi"/>
        </w:rPr>
        <w:t xml:space="preserve">hnojenia priemyselnými hnojivami. </w:t>
      </w:r>
      <w:r w:rsidR="00BD5FD5" w:rsidRPr="00EF53D7">
        <w:rPr>
          <w:rFonts w:asciiTheme="majorHAnsi" w:hAnsiTheme="majorHAnsi"/>
        </w:rPr>
        <w:t>S</w:t>
      </w:r>
      <w:r w:rsidR="00406C25" w:rsidRPr="00EF53D7">
        <w:rPr>
          <w:rFonts w:asciiTheme="majorHAnsi" w:hAnsiTheme="majorHAnsi"/>
        </w:rPr>
        <w:t xml:space="preserve">ektor využívania pôdy </w:t>
      </w:r>
      <w:r w:rsidR="00BD5FD5" w:rsidRPr="00EF53D7">
        <w:rPr>
          <w:rFonts w:asciiTheme="majorHAnsi" w:hAnsiTheme="majorHAnsi"/>
        </w:rPr>
        <w:t>a</w:t>
      </w:r>
      <w:r w:rsidR="00BA7979" w:rsidRPr="00EF53D7">
        <w:rPr>
          <w:rFonts w:asciiTheme="majorHAnsi" w:hAnsiTheme="majorHAnsi"/>
        </w:rPr>
        <w:t> </w:t>
      </w:r>
      <w:r w:rsidR="00406C25" w:rsidRPr="00EF53D7">
        <w:rPr>
          <w:rFonts w:asciiTheme="majorHAnsi" w:hAnsiTheme="majorHAnsi"/>
        </w:rPr>
        <w:t>lesníctvo</w:t>
      </w:r>
      <w:r w:rsidR="00BA7979" w:rsidRPr="00EF53D7">
        <w:rPr>
          <w:rFonts w:asciiTheme="majorHAnsi" w:hAnsiTheme="majorHAnsi"/>
        </w:rPr>
        <w:t xml:space="preserve"> </w:t>
      </w:r>
      <w:r w:rsidR="00406C25" w:rsidRPr="00EF53D7">
        <w:rPr>
          <w:rFonts w:asciiTheme="majorHAnsi" w:hAnsiTheme="majorHAnsi"/>
        </w:rPr>
        <w:t>má negatívnu emisnú bilanciu</w:t>
      </w:r>
      <w:r w:rsidR="00775772" w:rsidRPr="00EF53D7">
        <w:rPr>
          <w:rFonts w:asciiTheme="majorHAnsi" w:hAnsiTheme="majorHAnsi"/>
        </w:rPr>
        <w:t>.</w:t>
      </w:r>
      <w:r w:rsidR="00406C25" w:rsidRPr="00EF53D7">
        <w:rPr>
          <w:rFonts w:asciiTheme="majorHAnsi" w:hAnsiTheme="majorHAnsi"/>
        </w:rPr>
        <w:t xml:space="preserve"> </w:t>
      </w:r>
      <w:r w:rsidR="00775772" w:rsidRPr="00EF53D7">
        <w:rPr>
          <w:rFonts w:asciiTheme="majorHAnsi" w:hAnsiTheme="majorHAnsi"/>
        </w:rPr>
        <w:t>Z</w:t>
      </w:r>
      <w:r w:rsidR="00406C25" w:rsidRPr="00EF53D7">
        <w:rPr>
          <w:rFonts w:asciiTheme="majorHAnsi" w:hAnsiTheme="majorHAnsi"/>
        </w:rPr>
        <w:t xml:space="preserve">áchyty </w:t>
      </w:r>
      <w:r w:rsidR="00BD5FD5" w:rsidRPr="00EF53D7">
        <w:rPr>
          <w:rFonts w:asciiTheme="majorHAnsi" w:hAnsiTheme="majorHAnsi"/>
        </w:rPr>
        <w:t>s</w:t>
      </w:r>
      <w:r w:rsidR="00406C25" w:rsidRPr="00EF53D7">
        <w:rPr>
          <w:rFonts w:asciiTheme="majorHAnsi" w:hAnsiTheme="majorHAnsi"/>
        </w:rPr>
        <w:t>ú teda vyššie</w:t>
      </w:r>
      <w:r w:rsidR="00DC3DE4">
        <w:rPr>
          <w:rFonts w:asciiTheme="majorHAnsi" w:hAnsiTheme="majorHAnsi"/>
        </w:rPr>
        <w:t>,</w:t>
      </w:r>
      <w:r w:rsidR="00406C25" w:rsidRPr="00EF53D7">
        <w:rPr>
          <w:rFonts w:asciiTheme="majorHAnsi" w:hAnsiTheme="majorHAnsi"/>
        </w:rPr>
        <w:t xml:space="preserve"> </w:t>
      </w:r>
      <w:r w:rsidR="00BD5FD5" w:rsidRPr="00EF53D7">
        <w:rPr>
          <w:rFonts w:asciiTheme="majorHAnsi" w:hAnsiTheme="majorHAnsi"/>
        </w:rPr>
        <w:t>ak</w:t>
      </w:r>
      <w:r w:rsidR="00406C25" w:rsidRPr="00EF53D7">
        <w:rPr>
          <w:rFonts w:asciiTheme="majorHAnsi" w:hAnsiTheme="majorHAnsi"/>
        </w:rPr>
        <w:t xml:space="preserve">o emisie z niektorých činností. Do roku 2004 zostávali pomerne </w:t>
      </w:r>
      <w:r w:rsidR="00BD5FD5" w:rsidRPr="00EF53D7">
        <w:rPr>
          <w:rFonts w:asciiTheme="majorHAnsi" w:hAnsiTheme="majorHAnsi"/>
        </w:rPr>
        <w:t>s</w:t>
      </w:r>
      <w:r w:rsidR="00406C25" w:rsidRPr="00EF53D7">
        <w:rPr>
          <w:rFonts w:asciiTheme="majorHAnsi" w:hAnsiTheme="majorHAnsi"/>
        </w:rPr>
        <w:t>tabilne na úrovni</w:t>
      </w:r>
      <w:r w:rsidR="008569A0">
        <w:rPr>
          <w:rFonts w:asciiTheme="majorHAnsi" w:hAnsiTheme="majorHAnsi"/>
        </w:rPr>
        <w:t xml:space="preserve"> </w:t>
      </w:r>
      <w:r w:rsidR="00406C25" w:rsidRPr="00EF53D7">
        <w:rPr>
          <w:rFonts w:asciiTheme="majorHAnsi" w:hAnsiTheme="majorHAnsi"/>
        </w:rPr>
        <w:t>8</w:t>
      </w:r>
      <w:r w:rsidR="00BA7979" w:rsidRPr="00EF53D7">
        <w:rPr>
          <w:rFonts w:asciiTheme="majorHAnsi" w:hAnsiTheme="majorHAnsi"/>
        </w:rPr>
        <w:t>-</w:t>
      </w:r>
      <w:r w:rsidR="00406C25" w:rsidRPr="00EF53D7">
        <w:rPr>
          <w:rFonts w:asciiTheme="majorHAnsi" w:hAnsiTheme="majorHAnsi"/>
        </w:rPr>
        <w:t xml:space="preserve">10 % </w:t>
      </w:r>
      <w:r w:rsidR="00FF4BA2" w:rsidRPr="00EF53D7">
        <w:rPr>
          <w:rFonts w:asciiTheme="majorHAnsi" w:hAnsiTheme="majorHAnsi"/>
        </w:rPr>
        <w:t>celkových</w:t>
      </w:r>
      <w:r w:rsidR="00406C25" w:rsidRPr="00EF53D7">
        <w:rPr>
          <w:rFonts w:asciiTheme="majorHAnsi" w:hAnsiTheme="majorHAnsi"/>
        </w:rPr>
        <w:t xml:space="preserve"> emisií </w:t>
      </w:r>
      <w:r w:rsidR="00BD5FD5" w:rsidRPr="00EF53D7">
        <w:rPr>
          <w:rFonts w:asciiTheme="majorHAnsi" w:hAnsiTheme="majorHAnsi"/>
        </w:rPr>
        <w:t>s</w:t>
      </w:r>
      <w:r w:rsidR="00A2327E" w:rsidRPr="00EF53D7">
        <w:rPr>
          <w:rFonts w:asciiTheme="majorHAnsi" w:hAnsiTheme="majorHAnsi"/>
        </w:rPr>
        <w:t>kleníkových</w:t>
      </w:r>
      <w:r w:rsidR="00406C25" w:rsidRPr="00EF53D7">
        <w:rPr>
          <w:rFonts w:asciiTheme="majorHAnsi" w:hAnsiTheme="majorHAnsi"/>
        </w:rPr>
        <w:t xml:space="preserve"> plynov. V</w:t>
      </w:r>
      <w:r w:rsidR="00BA7979" w:rsidRPr="00EF53D7">
        <w:rPr>
          <w:rFonts w:asciiTheme="majorHAnsi" w:hAnsiTheme="majorHAnsi"/>
        </w:rPr>
        <w:t> </w:t>
      </w:r>
      <w:r w:rsidR="00406C25" w:rsidRPr="00EF53D7">
        <w:rPr>
          <w:rFonts w:asciiTheme="majorHAnsi" w:hAnsiTheme="majorHAnsi"/>
        </w:rPr>
        <w:t>roku</w:t>
      </w:r>
      <w:r w:rsidR="00BA7979" w:rsidRPr="00EF53D7">
        <w:rPr>
          <w:rFonts w:asciiTheme="majorHAnsi" w:hAnsiTheme="majorHAnsi"/>
        </w:rPr>
        <w:t xml:space="preserve"> </w:t>
      </w:r>
      <w:r w:rsidR="00406C25" w:rsidRPr="00EF53D7">
        <w:rPr>
          <w:rFonts w:asciiTheme="majorHAnsi" w:hAnsiTheme="majorHAnsi"/>
        </w:rPr>
        <w:t xml:space="preserve">2004 </w:t>
      </w:r>
      <w:r w:rsidR="00BD5FD5" w:rsidRPr="00EF53D7">
        <w:rPr>
          <w:rFonts w:asciiTheme="majorHAnsi" w:hAnsiTheme="majorHAnsi"/>
        </w:rPr>
        <w:t>s</w:t>
      </w:r>
      <w:r w:rsidR="00406C25" w:rsidRPr="00EF53D7">
        <w:rPr>
          <w:rFonts w:asciiTheme="majorHAnsi" w:hAnsiTheme="majorHAnsi"/>
        </w:rPr>
        <w:t>a pohlcovanie znížilo z</w:t>
      </w:r>
      <w:r w:rsidR="00BA7979" w:rsidRPr="00EF53D7">
        <w:rPr>
          <w:rFonts w:asciiTheme="majorHAnsi" w:hAnsiTheme="majorHAnsi"/>
        </w:rPr>
        <w:t> </w:t>
      </w:r>
      <w:r w:rsidR="00406C25" w:rsidRPr="00EF53D7">
        <w:rPr>
          <w:rFonts w:asciiTheme="majorHAnsi" w:hAnsiTheme="majorHAnsi"/>
        </w:rPr>
        <w:t>dôvodu</w:t>
      </w:r>
      <w:r w:rsidR="00BA7979" w:rsidRPr="00EF53D7">
        <w:rPr>
          <w:rFonts w:asciiTheme="majorHAnsi" w:hAnsiTheme="majorHAnsi"/>
        </w:rPr>
        <w:t xml:space="preserve"> </w:t>
      </w:r>
      <w:r w:rsidR="00FF4BA2" w:rsidRPr="00EF53D7">
        <w:rPr>
          <w:rFonts w:asciiTheme="majorHAnsi" w:hAnsiTheme="majorHAnsi"/>
        </w:rPr>
        <w:t>zvýšeného</w:t>
      </w:r>
      <w:r w:rsidR="00406C25" w:rsidRPr="00EF53D7">
        <w:rPr>
          <w:rFonts w:asciiTheme="majorHAnsi" w:hAnsiTheme="majorHAnsi"/>
        </w:rPr>
        <w:t xml:space="preserve"> </w:t>
      </w:r>
      <w:r w:rsidR="00FF4BA2" w:rsidRPr="00EF53D7">
        <w:rPr>
          <w:rFonts w:asciiTheme="majorHAnsi" w:hAnsiTheme="majorHAnsi"/>
        </w:rPr>
        <w:t>výskytu</w:t>
      </w:r>
      <w:r w:rsidR="00406C25" w:rsidRPr="00EF53D7">
        <w:rPr>
          <w:rFonts w:asciiTheme="majorHAnsi" w:hAnsiTheme="majorHAnsi"/>
        </w:rPr>
        <w:t xml:space="preserve"> škodcov </w:t>
      </w:r>
      <w:r w:rsidR="00BD5FD5" w:rsidRPr="00EF53D7">
        <w:rPr>
          <w:rFonts w:asciiTheme="majorHAnsi" w:hAnsiTheme="majorHAnsi"/>
        </w:rPr>
        <w:t>a</w:t>
      </w:r>
      <w:r w:rsidR="00BA7979" w:rsidRPr="00EF53D7">
        <w:rPr>
          <w:rFonts w:asciiTheme="majorHAnsi" w:hAnsiTheme="majorHAnsi"/>
        </w:rPr>
        <w:t> </w:t>
      </w:r>
      <w:r w:rsidR="00FF4BA2" w:rsidRPr="00EF53D7">
        <w:rPr>
          <w:rFonts w:asciiTheme="majorHAnsi" w:hAnsiTheme="majorHAnsi"/>
        </w:rPr>
        <w:t>nepriaznivých</w:t>
      </w:r>
      <w:r w:rsidR="00BA7979" w:rsidRPr="00EF53D7">
        <w:rPr>
          <w:rFonts w:asciiTheme="majorHAnsi" w:hAnsiTheme="majorHAnsi"/>
        </w:rPr>
        <w:t xml:space="preserve"> </w:t>
      </w:r>
      <w:r w:rsidR="00FF4BA2" w:rsidRPr="00EF53D7">
        <w:rPr>
          <w:rFonts w:asciiTheme="majorHAnsi" w:hAnsiTheme="majorHAnsi"/>
        </w:rPr>
        <w:t>poveternostných</w:t>
      </w:r>
      <w:r w:rsidR="00406C25" w:rsidRPr="00EF53D7">
        <w:rPr>
          <w:rFonts w:asciiTheme="majorHAnsi" w:hAnsiTheme="majorHAnsi"/>
        </w:rPr>
        <w:t xml:space="preserve"> podmienok.</w:t>
      </w:r>
      <w:r w:rsidR="00406C25" w:rsidRPr="00A11FE0">
        <w:rPr>
          <w:rFonts w:asciiTheme="majorHAnsi" w:hAnsiTheme="majorHAnsi"/>
        </w:rPr>
        <w:t xml:space="preserve"> </w:t>
      </w:r>
      <w:r w:rsidR="00190B98" w:rsidRPr="00190B98">
        <w:rPr>
          <w:rFonts w:asciiTheme="majorHAnsi" w:hAnsiTheme="majorHAnsi"/>
        </w:rPr>
        <w:t>V</w:t>
      </w:r>
      <w:r w:rsidR="00BA7979">
        <w:rPr>
          <w:rFonts w:asciiTheme="majorHAnsi" w:hAnsiTheme="majorHAnsi"/>
        </w:rPr>
        <w:t> </w:t>
      </w:r>
      <w:r w:rsidR="00190B98" w:rsidRPr="00190B98">
        <w:rPr>
          <w:rFonts w:asciiTheme="majorHAnsi" w:hAnsiTheme="majorHAnsi"/>
        </w:rPr>
        <w:t>procesoch</w:t>
      </w:r>
      <w:r w:rsidR="00BA7979">
        <w:rPr>
          <w:rFonts w:asciiTheme="majorHAnsi" w:hAnsiTheme="majorHAnsi"/>
        </w:rPr>
        <w:t xml:space="preserve"> </w:t>
      </w:r>
      <w:r w:rsidR="00BD5FD5">
        <w:rPr>
          <w:rFonts w:asciiTheme="majorHAnsi" w:hAnsiTheme="majorHAnsi"/>
        </w:rPr>
        <w:t>s</w:t>
      </w:r>
      <w:r w:rsidR="00190B98" w:rsidRPr="00190B98">
        <w:rPr>
          <w:rFonts w:asciiTheme="majorHAnsi" w:hAnsiTheme="majorHAnsi"/>
        </w:rPr>
        <w:t xml:space="preserve">ekvestrácie </w:t>
      </w:r>
      <w:r w:rsidR="00BD5FD5">
        <w:rPr>
          <w:rFonts w:asciiTheme="majorHAnsi" w:hAnsiTheme="majorHAnsi"/>
        </w:rPr>
        <w:t>s</w:t>
      </w:r>
      <w:r w:rsidR="00190B98" w:rsidRPr="00190B98">
        <w:rPr>
          <w:rFonts w:asciiTheme="majorHAnsi" w:hAnsiTheme="majorHAnsi"/>
        </w:rPr>
        <w:t xml:space="preserve">ú teda lesy nezastupiteľné </w:t>
      </w:r>
      <w:r w:rsidR="00BD5FD5">
        <w:rPr>
          <w:rFonts w:asciiTheme="majorHAnsi" w:hAnsiTheme="majorHAnsi"/>
        </w:rPr>
        <w:t>a </w:t>
      </w:r>
      <w:r w:rsidR="00190B98" w:rsidRPr="00190B98">
        <w:rPr>
          <w:rFonts w:asciiTheme="majorHAnsi" w:hAnsiTheme="majorHAnsi"/>
        </w:rPr>
        <w:t>ich potenciál ukladania uhlíka do dreva vysoko prekračuje potenciál pestovania plodín. Celková zásoba uhlíka v</w:t>
      </w:r>
      <w:r w:rsidR="00BA7979">
        <w:rPr>
          <w:rFonts w:asciiTheme="majorHAnsi" w:hAnsiTheme="majorHAnsi"/>
        </w:rPr>
        <w:t> </w:t>
      </w:r>
      <w:r w:rsidR="00190B98" w:rsidRPr="00190B98">
        <w:rPr>
          <w:rFonts w:asciiTheme="majorHAnsi" w:hAnsiTheme="majorHAnsi"/>
        </w:rPr>
        <w:t>drevnej</w:t>
      </w:r>
      <w:r w:rsidR="00BA7979">
        <w:rPr>
          <w:rFonts w:asciiTheme="majorHAnsi" w:hAnsiTheme="majorHAnsi"/>
        </w:rPr>
        <w:t xml:space="preserve"> </w:t>
      </w:r>
      <w:r w:rsidR="00190B98" w:rsidRPr="00190B98">
        <w:rPr>
          <w:rFonts w:asciiTheme="majorHAnsi" w:hAnsiTheme="majorHAnsi"/>
        </w:rPr>
        <w:t>biomase dosiahla v</w:t>
      </w:r>
      <w:r w:rsidR="00BA7979">
        <w:rPr>
          <w:rFonts w:asciiTheme="majorHAnsi" w:hAnsiTheme="majorHAnsi"/>
        </w:rPr>
        <w:t> </w:t>
      </w:r>
      <w:r w:rsidR="00190B98" w:rsidRPr="00190B98">
        <w:rPr>
          <w:rFonts w:asciiTheme="majorHAnsi" w:hAnsiTheme="majorHAnsi"/>
        </w:rPr>
        <w:t>r</w:t>
      </w:r>
      <w:r w:rsidR="00EF53D7">
        <w:rPr>
          <w:rFonts w:asciiTheme="majorHAnsi" w:hAnsiTheme="majorHAnsi"/>
        </w:rPr>
        <w:t xml:space="preserve">oku </w:t>
      </w:r>
      <w:r w:rsidR="00190B98" w:rsidRPr="00190B98">
        <w:rPr>
          <w:rFonts w:asciiTheme="majorHAnsi" w:hAnsiTheme="majorHAnsi"/>
        </w:rPr>
        <w:t xml:space="preserve">2011 227,9 mil. ton uhlíka. Posilnenie </w:t>
      </w:r>
      <w:r w:rsidR="00BD5FD5">
        <w:rPr>
          <w:rFonts w:asciiTheme="majorHAnsi" w:hAnsiTheme="majorHAnsi"/>
        </w:rPr>
        <w:t>s</w:t>
      </w:r>
      <w:r w:rsidR="00190B98" w:rsidRPr="00190B98">
        <w:rPr>
          <w:rFonts w:asciiTheme="majorHAnsi" w:hAnsiTheme="majorHAnsi"/>
        </w:rPr>
        <w:t xml:space="preserve">ekvestrácie </w:t>
      </w:r>
      <w:r w:rsidR="00BD5FD5">
        <w:rPr>
          <w:rFonts w:asciiTheme="majorHAnsi" w:hAnsiTheme="majorHAnsi"/>
        </w:rPr>
        <w:t>s</w:t>
      </w:r>
      <w:r w:rsidR="00190B98" w:rsidRPr="00190B98">
        <w:rPr>
          <w:rFonts w:asciiTheme="majorHAnsi" w:hAnsiTheme="majorHAnsi"/>
        </w:rPr>
        <w:t xml:space="preserve">a dosiahne predovšetkým zlepšenou </w:t>
      </w:r>
      <w:r w:rsidR="00BD5FD5">
        <w:rPr>
          <w:rFonts w:asciiTheme="majorHAnsi" w:hAnsiTheme="majorHAnsi"/>
        </w:rPr>
        <w:t>s</w:t>
      </w:r>
      <w:r w:rsidR="00190B98" w:rsidRPr="00190B98">
        <w:rPr>
          <w:rFonts w:asciiTheme="majorHAnsi" w:hAnsiTheme="majorHAnsi"/>
        </w:rPr>
        <w:t>tarostlivosťou o</w:t>
      </w:r>
      <w:r w:rsidR="006A2728">
        <w:rPr>
          <w:rFonts w:asciiTheme="majorHAnsi" w:hAnsiTheme="majorHAnsi"/>
        </w:rPr>
        <w:t> </w:t>
      </w:r>
      <w:r w:rsidR="00190B98" w:rsidRPr="00190B98">
        <w:rPr>
          <w:rFonts w:asciiTheme="majorHAnsi" w:hAnsiTheme="majorHAnsi"/>
        </w:rPr>
        <w:t>zdravotný</w:t>
      </w:r>
      <w:r w:rsidR="006A2728">
        <w:rPr>
          <w:rFonts w:asciiTheme="majorHAnsi" w:hAnsiTheme="majorHAnsi"/>
        </w:rPr>
        <w:t xml:space="preserve"> </w:t>
      </w:r>
      <w:r w:rsidR="00BD5FD5">
        <w:rPr>
          <w:rFonts w:asciiTheme="majorHAnsi" w:hAnsiTheme="majorHAnsi"/>
        </w:rPr>
        <w:t>s</w:t>
      </w:r>
      <w:r w:rsidR="00190B98" w:rsidRPr="00190B98">
        <w:rPr>
          <w:rFonts w:asciiTheme="majorHAnsi" w:hAnsiTheme="majorHAnsi"/>
        </w:rPr>
        <w:t xml:space="preserve">tav lesov </w:t>
      </w:r>
      <w:r w:rsidR="00BD5FD5">
        <w:rPr>
          <w:rFonts w:asciiTheme="majorHAnsi" w:hAnsiTheme="majorHAnsi"/>
        </w:rPr>
        <w:t>a s</w:t>
      </w:r>
      <w:r w:rsidR="00190B98" w:rsidRPr="00190B98">
        <w:rPr>
          <w:rFonts w:asciiTheme="majorHAnsi" w:hAnsiTheme="majorHAnsi"/>
        </w:rPr>
        <w:t>ystematickou</w:t>
      </w:r>
      <w:r w:rsidR="008B2288">
        <w:rPr>
          <w:rFonts w:asciiTheme="majorHAnsi" w:hAnsiTheme="majorHAnsi"/>
        </w:rPr>
        <w:t xml:space="preserve"> </w:t>
      </w:r>
      <w:r w:rsidR="00190B98" w:rsidRPr="00190B98">
        <w:rPr>
          <w:rFonts w:asciiTheme="majorHAnsi" w:hAnsiTheme="majorHAnsi"/>
        </w:rPr>
        <w:t xml:space="preserve">obnovou lesa. </w:t>
      </w:r>
      <w:r w:rsidR="00406C25" w:rsidRPr="00A11FE0">
        <w:rPr>
          <w:rFonts w:asciiTheme="majorHAnsi" w:hAnsiTheme="majorHAnsi"/>
        </w:rPr>
        <w:t xml:space="preserve">Najväčší nárast emisií </w:t>
      </w:r>
      <w:r w:rsidR="00BD5FD5">
        <w:rPr>
          <w:rFonts w:asciiTheme="majorHAnsi" w:hAnsiTheme="majorHAnsi"/>
        </w:rPr>
        <w:t>s</w:t>
      </w:r>
      <w:r w:rsidR="00406C25" w:rsidRPr="00A11FE0">
        <w:rPr>
          <w:rFonts w:asciiTheme="majorHAnsi" w:hAnsiTheme="majorHAnsi"/>
        </w:rPr>
        <w:t xml:space="preserve">kleníkových plynov </w:t>
      </w:r>
      <w:r w:rsidR="00BD5FD5">
        <w:rPr>
          <w:rFonts w:asciiTheme="majorHAnsi" w:hAnsiTheme="majorHAnsi"/>
        </w:rPr>
        <w:t>s</w:t>
      </w:r>
      <w:r w:rsidR="00406C25" w:rsidRPr="00A11FE0">
        <w:rPr>
          <w:rFonts w:asciiTheme="majorHAnsi" w:hAnsiTheme="majorHAnsi"/>
        </w:rPr>
        <w:t>a očakáva v </w:t>
      </w:r>
      <w:r w:rsidR="00BD5FD5">
        <w:rPr>
          <w:rFonts w:asciiTheme="majorHAnsi" w:hAnsiTheme="majorHAnsi"/>
        </w:rPr>
        <w:t>s</w:t>
      </w:r>
      <w:r w:rsidR="00406C25" w:rsidRPr="00A11FE0">
        <w:rPr>
          <w:rFonts w:asciiTheme="majorHAnsi" w:hAnsiTheme="majorHAnsi"/>
        </w:rPr>
        <w:t>ektore dopravy.</w:t>
      </w:r>
    </w:p>
    <w:p w:rsidR="00406C25" w:rsidRDefault="00406C25" w:rsidP="00406C25">
      <w:pPr>
        <w:rPr>
          <w:rFonts w:asciiTheme="majorHAnsi" w:hAnsiTheme="majorHAnsi"/>
        </w:rPr>
      </w:pPr>
      <w:r w:rsidRPr="00A11FE0">
        <w:rPr>
          <w:rFonts w:asciiTheme="majorHAnsi" w:hAnsiTheme="majorHAnsi"/>
        </w:rPr>
        <w:t xml:space="preserve">Napriek dynamickému zlepšovaniu energetickej efektívnosti má </w:t>
      </w:r>
      <w:r w:rsidR="00BD5FD5">
        <w:rPr>
          <w:rFonts w:asciiTheme="majorHAnsi" w:hAnsiTheme="majorHAnsi"/>
        </w:rPr>
        <w:t>S</w:t>
      </w:r>
      <w:r w:rsidR="00571E69" w:rsidRPr="00A11FE0">
        <w:rPr>
          <w:rFonts w:asciiTheme="majorHAnsi" w:hAnsiTheme="majorHAnsi"/>
        </w:rPr>
        <w:t>R</w:t>
      </w:r>
      <w:r w:rsidRPr="00A11FE0">
        <w:rPr>
          <w:rFonts w:asciiTheme="majorHAnsi" w:hAnsiTheme="majorHAnsi"/>
        </w:rPr>
        <w:t xml:space="preserve"> piatu najvyššiu energetickú náročnosť, </w:t>
      </w:r>
      <w:r w:rsidR="00BD5FD5">
        <w:rPr>
          <w:rFonts w:asciiTheme="majorHAnsi" w:hAnsiTheme="majorHAnsi"/>
        </w:rPr>
        <w:t>k</w:t>
      </w:r>
      <w:r w:rsidRPr="00A11FE0">
        <w:rPr>
          <w:rFonts w:asciiTheme="majorHAnsi" w:hAnsiTheme="majorHAnsi"/>
        </w:rPr>
        <w:t xml:space="preserve">torá prevyšuje priemernú úroveň EÚ 27 približne trikrát. Podľa </w:t>
      </w:r>
      <w:r w:rsidR="00BD5FD5">
        <w:rPr>
          <w:rFonts w:asciiTheme="majorHAnsi" w:hAnsiTheme="majorHAnsi"/>
        </w:rPr>
        <w:t>s</w:t>
      </w:r>
      <w:r w:rsidRPr="00A11FE0">
        <w:rPr>
          <w:rFonts w:asciiTheme="majorHAnsi" w:hAnsiTheme="majorHAnsi"/>
        </w:rPr>
        <w:t>mernice 2012/27/EÚ o</w:t>
      </w:r>
      <w:r w:rsidR="006A2728">
        <w:rPr>
          <w:rFonts w:asciiTheme="majorHAnsi" w:hAnsiTheme="majorHAnsi"/>
        </w:rPr>
        <w:t> </w:t>
      </w:r>
      <w:r w:rsidRPr="00A11FE0">
        <w:rPr>
          <w:rFonts w:asciiTheme="majorHAnsi" w:hAnsiTheme="majorHAnsi"/>
        </w:rPr>
        <w:t>energetickej</w:t>
      </w:r>
      <w:r w:rsidR="006A2728">
        <w:rPr>
          <w:rFonts w:asciiTheme="majorHAnsi" w:hAnsiTheme="majorHAnsi"/>
        </w:rPr>
        <w:t xml:space="preserve"> </w:t>
      </w:r>
      <w:r w:rsidRPr="00A11FE0">
        <w:rPr>
          <w:rFonts w:asciiTheme="majorHAnsi" w:hAnsiTheme="majorHAnsi"/>
        </w:rPr>
        <w:t xml:space="preserve">efektívnosti </w:t>
      </w:r>
      <w:r w:rsidR="00BD5FD5">
        <w:rPr>
          <w:rFonts w:asciiTheme="majorHAnsi" w:hAnsiTheme="majorHAnsi"/>
        </w:rPr>
        <w:t>s</w:t>
      </w:r>
      <w:r w:rsidRPr="00A11FE0">
        <w:rPr>
          <w:rFonts w:asciiTheme="majorHAnsi" w:hAnsiTheme="majorHAnsi"/>
        </w:rPr>
        <w:t xml:space="preserve">i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s</w:t>
      </w:r>
      <w:r w:rsidRPr="00A11FE0">
        <w:rPr>
          <w:rFonts w:asciiTheme="majorHAnsi" w:hAnsiTheme="majorHAnsi"/>
        </w:rPr>
        <w:t>tanovila na roky 2014</w:t>
      </w:r>
      <w:r w:rsidR="00EC01F1" w:rsidRPr="00A11FE0">
        <w:rPr>
          <w:rFonts w:asciiTheme="majorHAnsi" w:hAnsiTheme="majorHAnsi"/>
        </w:rPr>
        <w:t xml:space="preserve"> </w:t>
      </w:r>
      <w:r w:rsidR="004066AF">
        <w:rPr>
          <w:rFonts w:asciiTheme="majorHAnsi" w:hAnsiTheme="majorHAnsi"/>
        </w:rPr>
        <w:t>–</w:t>
      </w:r>
      <w:r w:rsidR="00EC01F1" w:rsidRPr="00A11FE0">
        <w:rPr>
          <w:rFonts w:asciiTheme="majorHAnsi" w:hAnsiTheme="majorHAnsi"/>
        </w:rPr>
        <w:t xml:space="preserve"> </w:t>
      </w:r>
      <w:r w:rsidRPr="00A11FE0">
        <w:rPr>
          <w:rFonts w:asciiTheme="majorHAnsi" w:hAnsiTheme="majorHAnsi"/>
        </w:rPr>
        <w:t xml:space="preserve">2020 </w:t>
      </w:r>
      <w:r w:rsidR="004066AF">
        <w:rPr>
          <w:rFonts w:asciiTheme="majorHAnsi" w:hAnsiTheme="majorHAnsi"/>
        </w:rPr>
        <w:t>národný indikatívny</w:t>
      </w:r>
      <w:r w:rsidR="004066AF" w:rsidRPr="00A11FE0">
        <w:rPr>
          <w:rFonts w:asciiTheme="majorHAnsi" w:hAnsiTheme="majorHAnsi"/>
        </w:rPr>
        <w:t xml:space="preserve"> </w:t>
      </w:r>
      <w:r w:rsidRPr="00A11FE0">
        <w:rPr>
          <w:rFonts w:asciiTheme="majorHAnsi" w:hAnsiTheme="majorHAnsi"/>
        </w:rPr>
        <w:t>cieľ úspor energie</w:t>
      </w:r>
      <w:r w:rsidR="00DC3DE4">
        <w:rPr>
          <w:rFonts w:asciiTheme="majorHAnsi" w:hAnsiTheme="majorHAnsi"/>
        </w:rPr>
        <w:t>,</w:t>
      </w:r>
      <w:r w:rsidRPr="00A11FE0">
        <w:rPr>
          <w:rFonts w:asciiTheme="majorHAnsi" w:hAnsiTheme="majorHAnsi"/>
        </w:rPr>
        <w:t xml:space="preserve"> vyjadrený v</w:t>
      </w:r>
      <w:r w:rsidR="0058375C">
        <w:rPr>
          <w:rFonts w:asciiTheme="majorHAnsi" w:hAnsiTheme="majorHAnsi"/>
        </w:rPr>
        <w:t> </w:t>
      </w:r>
      <w:r w:rsidRPr="00A11FE0">
        <w:rPr>
          <w:rFonts w:asciiTheme="majorHAnsi" w:hAnsiTheme="majorHAnsi"/>
        </w:rPr>
        <w:t xml:space="preserve">znížení </w:t>
      </w:r>
      <w:r w:rsidR="00BD5FD5">
        <w:rPr>
          <w:rFonts w:asciiTheme="majorHAnsi" w:hAnsiTheme="majorHAnsi"/>
        </w:rPr>
        <w:t>k</w:t>
      </w:r>
      <w:r w:rsidRPr="00A11FE0">
        <w:rPr>
          <w:rFonts w:asciiTheme="majorHAnsi" w:hAnsiTheme="majorHAnsi"/>
        </w:rPr>
        <w:t xml:space="preserve">onečnej energetickej </w:t>
      </w:r>
      <w:r w:rsidR="00BD5FD5">
        <w:rPr>
          <w:rFonts w:asciiTheme="majorHAnsi" w:hAnsiTheme="majorHAnsi"/>
        </w:rPr>
        <w:t>s</w:t>
      </w:r>
      <w:r w:rsidRPr="00A11FE0">
        <w:rPr>
          <w:rFonts w:asciiTheme="majorHAnsi" w:hAnsiTheme="majorHAnsi"/>
        </w:rPr>
        <w:t>potreby vo výške 130 690 TJ, čo predstavuje zh</w:t>
      </w:r>
      <w:r w:rsidR="00DC3DE4">
        <w:rPr>
          <w:rFonts w:asciiTheme="majorHAnsi" w:hAnsiTheme="majorHAnsi"/>
        </w:rPr>
        <w:t>r</w:t>
      </w:r>
      <w:r w:rsidRPr="00A11FE0">
        <w:rPr>
          <w:rFonts w:asciiTheme="majorHAnsi" w:hAnsiTheme="majorHAnsi"/>
        </w:rPr>
        <w:t xml:space="preserve">uba </w:t>
      </w:r>
      <w:r w:rsidR="00870F42" w:rsidRPr="00870F42">
        <w:rPr>
          <w:rFonts w:asciiTheme="majorHAnsi" w:hAnsiTheme="majorHAnsi"/>
        </w:rPr>
        <w:t>20 </w:t>
      </w:r>
      <w:r w:rsidR="00870F42">
        <w:rPr>
          <w:rFonts w:asciiTheme="majorHAnsi" w:hAnsiTheme="majorHAnsi"/>
        </w:rPr>
        <w:t>%</w:t>
      </w:r>
      <w:r w:rsidR="001E2900">
        <w:rPr>
          <w:rFonts w:asciiTheme="majorHAnsi" w:hAnsiTheme="majorHAnsi"/>
        </w:rPr>
        <w:t xml:space="preserve"> </w:t>
      </w:r>
      <w:r w:rsidRPr="00A11FE0">
        <w:rPr>
          <w:rFonts w:asciiTheme="majorHAnsi" w:hAnsiTheme="majorHAnsi"/>
        </w:rPr>
        <w:t xml:space="preserve">zníženia </w:t>
      </w:r>
      <w:r w:rsidR="00BD5FD5">
        <w:rPr>
          <w:rFonts w:asciiTheme="majorHAnsi" w:hAnsiTheme="majorHAnsi"/>
        </w:rPr>
        <w:t>s</w:t>
      </w:r>
      <w:r w:rsidRPr="00A11FE0">
        <w:rPr>
          <w:rFonts w:asciiTheme="majorHAnsi" w:hAnsiTheme="majorHAnsi"/>
        </w:rPr>
        <w:t>potreby primárnych energetických zdrojov</w:t>
      </w:r>
      <w:r w:rsidRPr="00A11FE0">
        <w:rPr>
          <w:rFonts w:asciiTheme="majorHAnsi" w:hAnsiTheme="majorHAnsi"/>
          <w:vertAlign w:val="superscript"/>
        </w:rPr>
        <w:footnoteReference w:id="168"/>
      </w:r>
      <w:r w:rsidRPr="00A11FE0">
        <w:rPr>
          <w:rFonts w:asciiTheme="majorHAnsi" w:hAnsiTheme="majorHAnsi"/>
        </w:rPr>
        <w:t>.</w:t>
      </w:r>
    </w:p>
    <w:p w:rsidR="00731C04" w:rsidRPr="00731C04" w:rsidRDefault="004066AF" w:rsidP="00731C04">
      <w:pPr>
        <w:rPr>
          <w:rFonts w:asciiTheme="majorHAnsi" w:hAnsiTheme="majorHAnsi"/>
        </w:rPr>
      </w:pPr>
      <w:r>
        <w:rPr>
          <w:rFonts w:asciiTheme="majorHAnsi" w:hAnsiTheme="majorHAnsi"/>
        </w:rPr>
        <w:t xml:space="preserve">Z pohľadu energetickej efektívnosti má v podmienkach </w:t>
      </w:r>
      <w:r w:rsidR="00BD5FD5">
        <w:rPr>
          <w:rFonts w:asciiTheme="majorHAnsi" w:hAnsiTheme="majorHAnsi"/>
        </w:rPr>
        <w:t>S</w:t>
      </w:r>
      <w:r>
        <w:rPr>
          <w:rFonts w:asciiTheme="majorHAnsi" w:hAnsiTheme="majorHAnsi"/>
        </w:rPr>
        <w:t xml:space="preserve">R najvyšší potenciál úspor energie oblasť verejných </w:t>
      </w:r>
      <w:r w:rsidR="00BD5FD5">
        <w:rPr>
          <w:rFonts w:asciiTheme="majorHAnsi" w:hAnsiTheme="majorHAnsi"/>
        </w:rPr>
        <w:t>a </w:t>
      </w:r>
      <w:r>
        <w:rPr>
          <w:rFonts w:asciiTheme="majorHAnsi" w:hAnsiTheme="majorHAnsi"/>
        </w:rPr>
        <w:t>obytných budov, priemysel</w:t>
      </w:r>
      <w:r w:rsidR="00061914">
        <w:rPr>
          <w:rFonts w:asciiTheme="majorHAnsi" w:hAnsiTheme="majorHAnsi"/>
        </w:rPr>
        <w:t>,</w:t>
      </w:r>
      <w:r w:rsidR="00BD5FD5">
        <w:rPr>
          <w:rFonts w:asciiTheme="majorHAnsi" w:hAnsiTheme="majorHAnsi"/>
        </w:rPr>
        <w:t> </w:t>
      </w:r>
      <w:r>
        <w:rPr>
          <w:rFonts w:asciiTheme="majorHAnsi" w:hAnsiTheme="majorHAnsi"/>
        </w:rPr>
        <w:t xml:space="preserve">dodávka tepla prostredníctvom </w:t>
      </w:r>
      <w:r w:rsidR="00BD5FD5">
        <w:rPr>
          <w:rFonts w:asciiTheme="majorHAnsi" w:hAnsiTheme="majorHAnsi"/>
        </w:rPr>
        <w:t>s</w:t>
      </w:r>
      <w:r>
        <w:rPr>
          <w:rFonts w:asciiTheme="majorHAnsi" w:hAnsiTheme="majorHAnsi"/>
        </w:rPr>
        <w:t>ystémov centralizovaného zásobovania teplom</w:t>
      </w:r>
      <w:r w:rsidR="00DC3DE4">
        <w:rPr>
          <w:rFonts w:asciiTheme="majorHAnsi" w:hAnsiTheme="majorHAnsi"/>
        </w:rPr>
        <w:t>,</w:t>
      </w:r>
      <w:r>
        <w:rPr>
          <w:rFonts w:asciiTheme="majorHAnsi" w:hAnsiTheme="majorHAnsi"/>
        </w:rPr>
        <w:t xml:space="preserve"> </w:t>
      </w:r>
      <w:r w:rsidR="00BD5FD5">
        <w:rPr>
          <w:rFonts w:asciiTheme="majorHAnsi" w:hAnsiTheme="majorHAnsi"/>
        </w:rPr>
        <w:t>ak</w:t>
      </w:r>
      <w:r>
        <w:rPr>
          <w:rFonts w:asciiTheme="majorHAnsi" w:hAnsiTheme="majorHAnsi"/>
        </w:rPr>
        <w:t xml:space="preserve">o </w:t>
      </w:r>
      <w:r w:rsidR="00BD5FD5">
        <w:rPr>
          <w:rFonts w:asciiTheme="majorHAnsi" w:hAnsiTheme="majorHAnsi"/>
        </w:rPr>
        <w:t>a</w:t>
      </w:r>
      <w:r>
        <w:rPr>
          <w:rFonts w:asciiTheme="majorHAnsi" w:hAnsiTheme="majorHAnsi"/>
        </w:rPr>
        <w:t xml:space="preserve">j </w:t>
      </w:r>
      <w:r w:rsidR="00BD5FD5">
        <w:rPr>
          <w:rFonts w:asciiTheme="majorHAnsi" w:hAnsiTheme="majorHAnsi"/>
        </w:rPr>
        <w:t>ak</w:t>
      </w:r>
      <w:r>
        <w:rPr>
          <w:rFonts w:asciiTheme="majorHAnsi" w:hAnsiTheme="majorHAnsi"/>
        </w:rPr>
        <w:t xml:space="preserve">tivity zamerané na podporu propagácie udržateľnej energetiky na národnej, regionálnej </w:t>
      </w:r>
      <w:r w:rsidR="00BD5FD5">
        <w:rPr>
          <w:rFonts w:asciiTheme="majorHAnsi" w:hAnsiTheme="majorHAnsi"/>
        </w:rPr>
        <w:t>a</w:t>
      </w:r>
      <w:r w:rsidR="00055A0B">
        <w:rPr>
          <w:rFonts w:asciiTheme="majorHAnsi" w:hAnsiTheme="majorHAnsi"/>
        </w:rPr>
        <w:t> miestnej</w:t>
      </w:r>
      <w:r>
        <w:rPr>
          <w:rFonts w:asciiTheme="majorHAnsi" w:hAnsiTheme="majorHAnsi"/>
        </w:rPr>
        <w:t xml:space="preserve"> úrovni.</w:t>
      </w:r>
      <w:r w:rsidR="00731C04">
        <w:rPr>
          <w:rFonts w:asciiTheme="majorHAnsi" w:hAnsiTheme="majorHAnsi"/>
        </w:rPr>
        <w:t xml:space="preserve"> </w:t>
      </w:r>
      <w:r w:rsidR="00731C04" w:rsidRPr="00731C04">
        <w:rPr>
          <w:rFonts w:asciiTheme="majorHAnsi" w:hAnsiTheme="majorHAnsi"/>
        </w:rPr>
        <w:t>V</w:t>
      </w:r>
      <w:r w:rsidR="00EE379A">
        <w:rPr>
          <w:rFonts w:asciiTheme="majorHAnsi" w:hAnsiTheme="majorHAnsi"/>
        </w:rPr>
        <w:t> </w:t>
      </w:r>
      <w:r w:rsidR="00731C04" w:rsidRPr="00731C04">
        <w:rPr>
          <w:rFonts w:asciiTheme="majorHAnsi" w:hAnsiTheme="majorHAnsi"/>
        </w:rPr>
        <w:t>rámci Akčného plánu energetickej efektívnosti na roky 2014 – 2016 sú naplánované opatrenia, ktoré budú predstavovať úspory vo forme primárnych energetických zdrojov v</w:t>
      </w:r>
      <w:r w:rsidR="00EE379A">
        <w:rPr>
          <w:rFonts w:asciiTheme="majorHAnsi" w:hAnsiTheme="majorHAnsi"/>
        </w:rPr>
        <w:t> </w:t>
      </w:r>
      <w:r w:rsidR="00731C04" w:rsidRPr="00731C04">
        <w:rPr>
          <w:rFonts w:asciiTheme="majorHAnsi" w:hAnsiTheme="majorHAnsi"/>
        </w:rPr>
        <w:t>celkovom objeme 4,45 TWh. Z</w:t>
      </w:r>
      <w:r w:rsidR="00EE379A">
        <w:rPr>
          <w:rFonts w:asciiTheme="majorHAnsi" w:hAnsiTheme="majorHAnsi"/>
        </w:rPr>
        <w:t> </w:t>
      </w:r>
      <w:r w:rsidR="00731C04" w:rsidRPr="00731C04">
        <w:rPr>
          <w:rFonts w:asciiTheme="majorHAnsi" w:hAnsiTheme="majorHAnsi"/>
        </w:rPr>
        <w:t>fondov EŠIF, pri projekcii celého programového obdobia, je možné stanoviť potenciál úspor energie nasledovne:</w:t>
      </w:r>
    </w:p>
    <w:p w:rsidR="00731C04" w:rsidRPr="00E36655" w:rsidRDefault="00731C04" w:rsidP="00F32A95">
      <w:pPr>
        <w:pStyle w:val="Odsekzoznamu"/>
        <w:numPr>
          <w:ilvl w:val="0"/>
          <w:numId w:val="74"/>
        </w:numPr>
        <w:spacing w:before="0" w:after="0"/>
        <w:rPr>
          <w:rFonts w:asciiTheme="majorHAnsi" w:hAnsiTheme="majorHAnsi"/>
        </w:rPr>
      </w:pPr>
      <w:r w:rsidRPr="00E36655">
        <w:rPr>
          <w:rFonts w:asciiTheme="majorHAnsi" w:hAnsiTheme="majorHAnsi"/>
        </w:rPr>
        <w:t>verejné budovy (430 GWh/rok),</w:t>
      </w:r>
    </w:p>
    <w:p w:rsidR="00E24712" w:rsidRDefault="00731C04" w:rsidP="00F32A95">
      <w:pPr>
        <w:pStyle w:val="Odsekzoznamu"/>
        <w:numPr>
          <w:ilvl w:val="0"/>
          <w:numId w:val="74"/>
        </w:numPr>
        <w:spacing w:before="0" w:after="0"/>
        <w:rPr>
          <w:rFonts w:asciiTheme="majorHAnsi" w:hAnsiTheme="majorHAnsi"/>
        </w:rPr>
      </w:pPr>
      <w:r w:rsidRPr="00731C04">
        <w:rPr>
          <w:rFonts w:asciiTheme="majorHAnsi" w:hAnsiTheme="majorHAnsi"/>
        </w:rPr>
        <w:t>priemysel (350 GWh/rok)</w:t>
      </w:r>
      <w:r w:rsidR="00E24712">
        <w:rPr>
          <w:rFonts w:asciiTheme="majorHAnsi" w:hAnsiTheme="majorHAnsi"/>
        </w:rPr>
        <w:t>,</w:t>
      </w:r>
    </w:p>
    <w:p w:rsidR="00E24712" w:rsidRPr="00E36655" w:rsidRDefault="00731C04" w:rsidP="00F32A95">
      <w:pPr>
        <w:pStyle w:val="Odsekzoznamu"/>
        <w:numPr>
          <w:ilvl w:val="0"/>
          <w:numId w:val="74"/>
        </w:numPr>
        <w:spacing w:before="0" w:after="0"/>
        <w:ind w:left="714" w:hanging="357"/>
        <w:rPr>
          <w:rFonts w:asciiTheme="majorHAnsi" w:hAnsiTheme="majorHAnsi"/>
        </w:rPr>
      </w:pPr>
      <w:r w:rsidRPr="00945775">
        <w:rPr>
          <w:rFonts w:asciiTheme="majorHAnsi" w:hAnsiTheme="majorHAnsi"/>
        </w:rPr>
        <w:t>zásobovanie teplom (1 000 GWh/rok)</w:t>
      </w:r>
      <w:r w:rsidR="00435D38" w:rsidRPr="00945775">
        <w:rPr>
          <w:rFonts w:asciiTheme="majorHAnsi" w:hAnsiTheme="majorHAnsi"/>
        </w:rPr>
        <w:t>,</w:t>
      </w:r>
    </w:p>
    <w:p w:rsidR="004066AF" w:rsidRPr="00E36655" w:rsidRDefault="00067F9F" w:rsidP="00F32A95">
      <w:pPr>
        <w:pStyle w:val="Odsekzoznamu"/>
        <w:numPr>
          <w:ilvl w:val="0"/>
          <w:numId w:val="74"/>
        </w:numPr>
        <w:spacing w:before="0" w:after="0"/>
        <w:ind w:left="714" w:hanging="357"/>
        <w:rPr>
          <w:rFonts w:asciiTheme="majorHAnsi" w:hAnsiTheme="majorHAnsi"/>
        </w:rPr>
      </w:pPr>
      <w:r w:rsidRPr="00E36655">
        <w:rPr>
          <w:rFonts w:asciiTheme="majorHAnsi" w:hAnsiTheme="majorHAnsi"/>
        </w:rPr>
        <w:lastRenderedPageBreak/>
        <w:t>sektor bývania - bytové domy (475 GWh)</w:t>
      </w:r>
      <w:r w:rsidR="00731C04" w:rsidRPr="00E36655">
        <w:rPr>
          <w:rFonts w:asciiTheme="majorHAnsi" w:hAnsiTheme="majorHAnsi"/>
        </w:rPr>
        <w:t>.</w:t>
      </w:r>
    </w:p>
    <w:p w:rsidR="00145E20" w:rsidRPr="008412A0" w:rsidRDefault="00406C25" w:rsidP="00E36655">
      <w:pPr>
        <w:spacing w:before="240"/>
        <w:rPr>
          <w:rFonts w:asciiTheme="majorHAnsi" w:hAnsiTheme="majorHAnsi"/>
        </w:rPr>
      </w:pPr>
      <w:r w:rsidRPr="00A11FE0">
        <w:rPr>
          <w:rFonts w:asciiTheme="majorHAnsi" w:hAnsiTheme="majorHAnsi"/>
        </w:rPr>
        <w:t>Zníženie emisií CO</w:t>
      </w:r>
      <w:r w:rsidRPr="00A11FE0">
        <w:rPr>
          <w:rFonts w:asciiTheme="majorHAnsi" w:hAnsiTheme="majorHAnsi"/>
          <w:vertAlign w:val="subscript"/>
        </w:rPr>
        <w:t>2</w:t>
      </w:r>
      <w:r w:rsidRPr="00A11FE0">
        <w:rPr>
          <w:rFonts w:asciiTheme="majorHAnsi" w:hAnsiTheme="majorHAnsi"/>
        </w:rPr>
        <w:t xml:space="preserve"> zabezpečí </w:t>
      </w:r>
      <w:r w:rsidR="00BD5FD5">
        <w:rPr>
          <w:rFonts w:asciiTheme="majorHAnsi" w:hAnsiTheme="majorHAnsi"/>
        </w:rPr>
        <w:t>a</w:t>
      </w:r>
      <w:r w:rsidR="004066AF">
        <w:rPr>
          <w:rFonts w:asciiTheme="majorHAnsi" w:hAnsiTheme="majorHAnsi"/>
        </w:rPr>
        <w:t xml:space="preserve">j </w:t>
      </w:r>
      <w:r w:rsidRPr="00A11FE0">
        <w:rPr>
          <w:rFonts w:asciiTheme="majorHAnsi" w:hAnsiTheme="majorHAnsi"/>
        </w:rPr>
        <w:t xml:space="preserve">vyššie využívanie obnoviteľných zdrojov energie </w:t>
      </w:r>
      <w:r w:rsidR="00DC3DE4">
        <w:rPr>
          <w:rFonts w:asciiTheme="majorHAnsi" w:hAnsiTheme="majorHAnsi"/>
        </w:rPr>
        <w:t>(ďalej len „OZE“)</w:t>
      </w:r>
      <w:r w:rsidRPr="00A11FE0">
        <w:rPr>
          <w:rFonts w:asciiTheme="majorHAnsi" w:hAnsiTheme="majorHAnsi"/>
        </w:rPr>
        <w:t xml:space="preserve"> na úkor fosílnych palív. </w:t>
      </w:r>
      <w:r w:rsidR="00D30845">
        <w:rPr>
          <w:rFonts w:asciiTheme="majorHAnsi" w:hAnsiTheme="majorHAnsi"/>
        </w:rPr>
        <w:t xml:space="preserve">Podľa </w:t>
      </w:r>
      <w:r w:rsidR="00BD5FD5">
        <w:rPr>
          <w:rFonts w:asciiTheme="majorHAnsi" w:hAnsiTheme="majorHAnsi"/>
        </w:rPr>
        <w:t>s</w:t>
      </w:r>
      <w:r w:rsidR="00D30845">
        <w:rPr>
          <w:rFonts w:asciiTheme="majorHAnsi" w:hAnsiTheme="majorHAnsi"/>
        </w:rPr>
        <w:t xml:space="preserve">mernice 2009/28/ES má </w:t>
      </w:r>
      <w:r w:rsidR="00BD5FD5">
        <w:rPr>
          <w:rFonts w:asciiTheme="majorHAnsi" w:hAnsiTheme="majorHAnsi"/>
        </w:rPr>
        <w:t>S</w:t>
      </w:r>
      <w:r w:rsidR="00D30845">
        <w:rPr>
          <w:rFonts w:asciiTheme="majorHAnsi" w:hAnsiTheme="majorHAnsi"/>
        </w:rPr>
        <w:t>R z</w:t>
      </w:r>
      <w:r w:rsidRPr="00A11FE0">
        <w:rPr>
          <w:rFonts w:asciiTheme="majorHAnsi" w:hAnsiTheme="majorHAnsi"/>
        </w:rPr>
        <w:t>áväz</w:t>
      </w:r>
      <w:r w:rsidR="00D30845">
        <w:rPr>
          <w:rFonts w:asciiTheme="majorHAnsi" w:hAnsiTheme="majorHAnsi"/>
        </w:rPr>
        <w:t>ný cieľ</w:t>
      </w:r>
      <w:r w:rsidRPr="00A11FE0">
        <w:rPr>
          <w:rFonts w:asciiTheme="majorHAnsi" w:hAnsiTheme="majorHAnsi"/>
        </w:rPr>
        <w:t xml:space="preserve"> 14 % OZE na hrubej </w:t>
      </w:r>
      <w:r w:rsidR="00BD5FD5">
        <w:rPr>
          <w:rFonts w:asciiTheme="majorHAnsi" w:hAnsiTheme="majorHAnsi"/>
        </w:rPr>
        <w:t>k</w:t>
      </w:r>
      <w:r w:rsidRPr="00A11FE0">
        <w:rPr>
          <w:rFonts w:asciiTheme="majorHAnsi" w:hAnsiTheme="majorHAnsi"/>
        </w:rPr>
        <w:t xml:space="preserve">onečnej energetickej </w:t>
      </w:r>
      <w:r w:rsidR="00BD5FD5">
        <w:rPr>
          <w:rFonts w:asciiTheme="majorHAnsi" w:hAnsiTheme="majorHAnsi"/>
        </w:rPr>
        <w:t>s</w:t>
      </w:r>
      <w:r w:rsidRPr="00A11FE0">
        <w:rPr>
          <w:rFonts w:asciiTheme="majorHAnsi" w:hAnsiTheme="majorHAnsi"/>
        </w:rPr>
        <w:t>potrebe</w:t>
      </w:r>
      <w:r w:rsidR="00D30845">
        <w:rPr>
          <w:rFonts w:asciiTheme="majorHAnsi" w:hAnsiTheme="majorHAnsi"/>
        </w:rPr>
        <w:t xml:space="preserve">. Priebežný cieľ pre roky 2011 – 2012 vo výške 8,2 % bol </w:t>
      </w:r>
      <w:r w:rsidR="00BD5FD5">
        <w:rPr>
          <w:rFonts w:asciiTheme="majorHAnsi" w:hAnsiTheme="majorHAnsi"/>
        </w:rPr>
        <w:t>s</w:t>
      </w:r>
      <w:r w:rsidR="00D30845">
        <w:rPr>
          <w:rFonts w:asciiTheme="majorHAnsi" w:hAnsiTheme="majorHAnsi"/>
        </w:rPr>
        <w:t>plnený.</w:t>
      </w:r>
      <w:r w:rsidRPr="00A11FE0">
        <w:rPr>
          <w:rFonts w:asciiTheme="majorHAnsi" w:hAnsiTheme="majorHAnsi"/>
        </w:rPr>
        <w:t xml:space="preserve"> </w:t>
      </w:r>
      <w:r w:rsidR="00271F5A">
        <w:rPr>
          <w:rFonts w:asciiTheme="majorHAnsi" w:hAnsiTheme="majorHAnsi"/>
        </w:rPr>
        <w:t xml:space="preserve">V zmysle týchto opatrení </w:t>
      </w:r>
      <w:r w:rsidR="00055A0B">
        <w:rPr>
          <w:rFonts w:asciiTheme="majorHAnsi" w:hAnsiTheme="majorHAnsi"/>
        </w:rPr>
        <w:t>by mala byť</w:t>
      </w:r>
      <w:r w:rsidR="00271F5A">
        <w:rPr>
          <w:rFonts w:asciiTheme="majorHAnsi" w:hAnsiTheme="majorHAnsi"/>
        </w:rPr>
        <w:t xml:space="preserve"> podpora </w:t>
      </w:r>
      <w:r w:rsidR="00BD5FD5">
        <w:rPr>
          <w:rFonts w:asciiTheme="majorHAnsi" w:hAnsiTheme="majorHAnsi"/>
        </w:rPr>
        <w:t>s</w:t>
      </w:r>
      <w:r w:rsidR="00271F5A">
        <w:rPr>
          <w:rFonts w:asciiTheme="majorHAnsi" w:hAnsiTheme="majorHAnsi"/>
        </w:rPr>
        <w:t xml:space="preserve">merovaná najmä do oblasti výroby tepla z OZE </w:t>
      </w:r>
      <w:r w:rsidR="00BD5FD5">
        <w:rPr>
          <w:rFonts w:asciiTheme="majorHAnsi" w:hAnsiTheme="majorHAnsi"/>
        </w:rPr>
        <w:t>a </w:t>
      </w:r>
      <w:r w:rsidR="00271F5A">
        <w:rPr>
          <w:rFonts w:asciiTheme="majorHAnsi" w:hAnsiTheme="majorHAnsi"/>
        </w:rPr>
        <w:t xml:space="preserve">na inovatívne </w:t>
      </w:r>
      <w:r w:rsidR="00BD5FD5">
        <w:rPr>
          <w:rFonts w:asciiTheme="majorHAnsi" w:hAnsiTheme="majorHAnsi"/>
        </w:rPr>
        <w:t>a </w:t>
      </w:r>
      <w:r w:rsidR="00271F5A">
        <w:rPr>
          <w:rFonts w:asciiTheme="majorHAnsi" w:hAnsiTheme="majorHAnsi"/>
        </w:rPr>
        <w:t>perspektívne technológie využívajúce OZ</w:t>
      </w:r>
      <w:r w:rsidR="00DC3DE4">
        <w:rPr>
          <w:rFonts w:asciiTheme="majorHAnsi" w:hAnsiTheme="majorHAnsi"/>
        </w:rPr>
        <w:t>E</w:t>
      </w:r>
      <w:r w:rsidR="00271F5A">
        <w:rPr>
          <w:rFonts w:asciiTheme="majorHAnsi" w:hAnsiTheme="majorHAnsi"/>
        </w:rPr>
        <w:t xml:space="preserve">, </w:t>
      </w:r>
      <w:r w:rsidR="00190B98">
        <w:rPr>
          <w:rFonts w:asciiTheme="majorHAnsi" w:hAnsiTheme="majorHAnsi"/>
        </w:rPr>
        <w:t xml:space="preserve">vrátane využívania energie biomasy, </w:t>
      </w:r>
      <w:r w:rsidR="00BD5FD5">
        <w:rPr>
          <w:rFonts w:asciiTheme="majorHAnsi" w:hAnsiTheme="majorHAnsi"/>
        </w:rPr>
        <w:t>k</w:t>
      </w:r>
      <w:r w:rsidR="00190B98">
        <w:rPr>
          <w:rFonts w:asciiTheme="majorHAnsi" w:hAnsiTheme="majorHAnsi"/>
        </w:rPr>
        <w:t xml:space="preserve">torá vzniká </w:t>
      </w:r>
      <w:r w:rsidR="00BD5FD5">
        <w:rPr>
          <w:rFonts w:asciiTheme="majorHAnsi" w:hAnsiTheme="majorHAnsi"/>
        </w:rPr>
        <w:t>ak</w:t>
      </w:r>
      <w:r w:rsidR="00190B98">
        <w:rPr>
          <w:rFonts w:asciiTheme="majorHAnsi" w:hAnsiTheme="majorHAnsi"/>
        </w:rPr>
        <w:t xml:space="preserve">o vedľajší produkt </w:t>
      </w:r>
      <w:r w:rsidR="00BD5FD5">
        <w:rPr>
          <w:rFonts w:asciiTheme="majorHAnsi" w:hAnsiTheme="majorHAnsi"/>
        </w:rPr>
        <w:t>a</w:t>
      </w:r>
      <w:r w:rsidR="00190B98">
        <w:rPr>
          <w:rFonts w:asciiTheme="majorHAnsi" w:hAnsiTheme="majorHAnsi"/>
        </w:rPr>
        <w:t xml:space="preserve">lebo odpad z poľnohospodárskej činnosti </w:t>
      </w:r>
      <w:r w:rsidR="00BD5FD5">
        <w:rPr>
          <w:rFonts w:asciiTheme="majorHAnsi" w:hAnsiTheme="majorHAnsi"/>
        </w:rPr>
        <w:t>a</w:t>
      </w:r>
      <w:r w:rsidR="00DC3DE4">
        <w:rPr>
          <w:rFonts w:asciiTheme="majorHAnsi" w:hAnsiTheme="majorHAnsi"/>
        </w:rPr>
        <w:t> </w:t>
      </w:r>
      <w:r w:rsidR="00BD5FD5">
        <w:rPr>
          <w:rFonts w:asciiTheme="majorHAnsi" w:hAnsiTheme="majorHAnsi"/>
        </w:rPr>
        <w:t>s</w:t>
      </w:r>
      <w:r w:rsidR="00190B98">
        <w:rPr>
          <w:rFonts w:asciiTheme="majorHAnsi" w:hAnsiTheme="majorHAnsi"/>
        </w:rPr>
        <w:t>pracovania</w:t>
      </w:r>
      <w:r w:rsidR="00DC3DE4">
        <w:rPr>
          <w:rFonts w:asciiTheme="majorHAnsi" w:hAnsiTheme="majorHAnsi"/>
        </w:rPr>
        <w:t>,</w:t>
      </w:r>
      <w:r w:rsidR="00190B98">
        <w:rPr>
          <w:rFonts w:asciiTheme="majorHAnsi" w:hAnsiTheme="majorHAnsi"/>
        </w:rPr>
        <w:t xml:space="preserve"> </w:t>
      </w:r>
      <w:r w:rsidR="00BD5FD5">
        <w:rPr>
          <w:rFonts w:asciiTheme="majorHAnsi" w:hAnsiTheme="majorHAnsi"/>
        </w:rPr>
        <w:t>a</w:t>
      </w:r>
      <w:r w:rsidR="00190B98">
        <w:rPr>
          <w:rFonts w:asciiTheme="majorHAnsi" w:hAnsiTheme="majorHAnsi"/>
        </w:rPr>
        <w:t>lebo lesnej výroby</w:t>
      </w:r>
      <w:r w:rsidRPr="00A11FE0">
        <w:rPr>
          <w:rFonts w:asciiTheme="majorHAnsi" w:hAnsiTheme="majorHAnsi"/>
        </w:rPr>
        <w:t xml:space="preserve">. </w:t>
      </w:r>
      <w:r w:rsidR="00271F5A">
        <w:rPr>
          <w:rFonts w:asciiTheme="majorHAnsi" w:hAnsiTheme="majorHAnsi"/>
        </w:rPr>
        <w:t xml:space="preserve">To zabezpečí </w:t>
      </w:r>
      <w:r w:rsidR="00BD5FD5">
        <w:rPr>
          <w:rFonts w:asciiTheme="majorHAnsi" w:hAnsiTheme="majorHAnsi"/>
        </w:rPr>
        <w:t>k</w:t>
      </w:r>
      <w:r w:rsidR="00271F5A">
        <w:rPr>
          <w:rFonts w:asciiTheme="majorHAnsi" w:hAnsiTheme="majorHAnsi"/>
        </w:rPr>
        <w:t xml:space="preserve">onkurencieschopnosť výroby tepla z OZE, zníženie energie z fosílnych palív </w:t>
      </w:r>
      <w:r w:rsidR="00BD5FD5">
        <w:rPr>
          <w:rFonts w:asciiTheme="majorHAnsi" w:hAnsiTheme="majorHAnsi"/>
        </w:rPr>
        <w:t>a </w:t>
      </w:r>
      <w:r w:rsidR="00271F5A">
        <w:rPr>
          <w:rFonts w:asciiTheme="majorHAnsi" w:hAnsiTheme="majorHAnsi"/>
        </w:rPr>
        <w:t>zníženie emisií CO</w:t>
      </w:r>
      <w:r w:rsidR="00271F5A" w:rsidRPr="00620D27">
        <w:rPr>
          <w:rFonts w:asciiTheme="majorHAnsi" w:hAnsiTheme="majorHAnsi"/>
          <w:vertAlign w:val="subscript"/>
        </w:rPr>
        <w:t>2</w:t>
      </w:r>
      <w:r w:rsidR="00271F5A">
        <w:rPr>
          <w:rFonts w:asciiTheme="majorHAnsi" w:hAnsiTheme="majorHAnsi"/>
        </w:rPr>
        <w:t xml:space="preserve">. </w:t>
      </w:r>
      <w:r w:rsidR="00EA1590" w:rsidRPr="00EA1590">
        <w:rPr>
          <w:rFonts w:asciiTheme="majorHAnsi" w:hAnsiTheme="majorHAnsi"/>
        </w:rPr>
        <w:t>Pri využívaní biomasy budú podporované len nízkoemisné zariadenia.</w:t>
      </w:r>
      <w:r w:rsidR="00EA1590">
        <w:rPr>
          <w:rFonts w:asciiTheme="majorHAnsi" w:hAnsiTheme="majorHAnsi"/>
        </w:rPr>
        <w:t xml:space="preserve"> </w:t>
      </w:r>
      <w:r w:rsidR="00271F5A">
        <w:rPr>
          <w:rFonts w:asciiTheme="majorHAnsi" w:hAnsiTheme="majorHAnsi"/>
        </w:rPr>
        <w:t xml:space="preserve">V roku 2020 </w:t>
      </w:r>
      <w:r w:rsidR="00BD5FD5">
        <w:rPr>
          <w:rFonts w:asciiTheme="majorHAnsi" w:hAnsiTheme="majorHAnsi"/>
        </w:rPr>
        <w:t>s</w:t>
      </w:r>
      <w:r w:rsidR="00271F5A">
        <w:rPr>
          <w:rFonts w:asciiTheme="majorHAnsi" w:hAnsiTheme="majorHAnsi"/>
        </w:rPr>
        <w:t>a n</w:t>
      </w:r>
      <w:r w:rsidRPr="00A11FE0">
        <w:rPr>
          <w:rFonts w:asciiTheme="majorHAnsi" w:hAnsiTheme="majorHAnsi"/>
        </w:rPr>
        <w:t xml:space="preserve">a výrobe tepla </w:t>
      </w:r>
      <w:r w:rsidR="00271F5A">
        <w:rPr>
          <w:rFonts w:asciiTheme="majorHAnsi" w:hAnsiTheme="majorHAnsi"/>
        </w:rPr>
        <w:t>budú</w:t>
      </w:r>
      <w:r w:rsidR="00271F5A" w:rsidRPr="00A11FE0">
        <w:rPr>
          <w:rFonts w:asciiTheme="majorHAnsi" w:hAnsiTheme="majorHAnsi"/>
        </w:rPr>
        <w:t xml:space="preserve"> </w:t>
      </w:r>
      <w:r w:rsidRPr="00A11FE0">
        <w:rPr>
          <w:rFonts w:asciiTheme="majorHAnsi" w:hAnsiTheme="majorHAnsi"/>
        </w:rPr>
        <w:t>OZE podieľať 14,6</w:t>
      </w:r>
      <w:r w:rsidR="0026769D" w:rsidRPr="00A11FE0">
        <w:rPr>
          <w:rFonts w:asciiTheme="majorHAnsi" w:hAnsiTheme="majorHAnsi"/>
        </w:rPr>
        <w:t xml:space="preserve"> </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podiel výroby elektriny OZE je plánovaný na 24</w:t>
      </w:r>
      <w:r w:rsidR="0026769D" w:rsidRPr="00A11FE0">
        <w:rPr>
          <w:rFonts w:asciiTheme="majorHAnsi" w:hAnsiTheme="majorHAnsi"/>
        </w:rPr>
        <w:t> </w:t>
      </w:r>
      <w:r w:rsidRPr="00A11FE0">
        <w:rPr>
          <w:rFonts w:asciiTheme="majorHAnsi" w:hAnsiTheme="majorHAnsi"/>
        </w:rPr>
        <w:t>%. V</w:t>
      </w:r>
      <w:r w:rsidR="00E24712">
        <w:rPr>
          <w:rFonts w:asciiTheme="majorHAnsi" w:hAnsiTheme="majorHAnsi"/>
        </w:rPr>
        <w:t> </w:t>
      </w:r>
      <w:r w:rsidRPr="00A11FE0">
        <w:rPr>
          <w:rFonts w:asciiTheme="majorHAnsi" w:hAnsiTheme="majorHAnsi"/>
        </w:rPr>
        <w:t xml:space="preserve">roku </w:t>
      </w:r>
      <w:r w:rsidR="00EA1590" w:rsidRPr="00A11FE0">
        <w:rPr>
          <w:rFonts w:asciiTheme="majorHAnsi" w:hAnsiTheme="majorHAnsi"/>
        </w:rPr>
        <w:t>20</w:t>
      </w:r>
      <w:r w:rsidR="00EA1590">
        <w:rPr>
          <w:rFonts w:asciiTheme="majorHAnsi" w:hAnsiTheme="majorHAnsi"/>
        </w:rPr>
        <w:t>12</w:t>
      </w:r>
      <w:r w:rsidR="00EA1590" w:rsidRPr="00A11FE0">
        <w:rPr>
          <w:rFonts w:asciiTheme="majorHAnsi" w:hAnsiTheme="majorHAnsi"/>
        </w:rPr>
        <w:t xml:space="preserve"> </w:t>
      </w:r>
      <w:r w:rsidRPr="00A11FE0">
        <w:rPr>
          <w:rFonts w:asciiTheme="majorHAnsi" w:hAnsiTheme="majorHAnsi"/>
        </w:rPr>
        <w:t xml:space="preserve">predstavoval podiel výroby tepla </w:t>
      </w:r>
      <w:r w:rsidR="00EA1590">
        <w:rPr>
          <w:rFonts w:asciiTheme="majorHAnsi" w:hAnsiTheme="majorHAnsi"/>
        </w:rPr>
        <w:t xml:space="preserve">8,7 </w:t>
      </w:r>
      <w:r w:rsidRPr="00A11FE0">
        <w:rPr>
          <w:rFonts w:asciiTheme="majorHAnsi" w:hAnsiTheme="majorHAnsi"/>
        </w:rPr>
        <w:t>%</w:t>
      </w:r>
      <w:r w:rsidR="00A50D70">
        <w:rPr>
          <w:rStyle w:val="Odkaznapoznmkupodiarou"/>
          <w:rFonts w:asciiTheme="majorHAnsi" w:hAnsiTheme="majorHAnsi"/>
        </w:rPr>
        <w:footnoteReference w:id="169"/>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podiel výroby elektriny </w:t>
      </w:r>
      <w:r w:rsidR="00EA1590">
        <w:rPr>
          <w:rFonts w:asciiTheme="majorHAnsi" w:hAnsiTheme="majorHAnsi"/>
        </w:rPr>
        <w:t>20,1</w:t>
      </w:r>
      <w:r w:rsidR="0026769D" w:rsidRPr="00A11FE0">
        <w:rPr>
          <w:rFonts w:asciiTheme="majorHAnsi" w:hAnsiTheme="majorHAnsi"/>
        </w:rPr>
        <w:t xml:space="preserve"> </w:t>
      </w:r>
      <w:r w:rsidRPr="00A11FE0">
        <w:rPr>
          <w:rFonts w:asciiTheme="majorHAnsi" w:hAnsiTheme="majorHAnsi"/>
        </w:rPr>
        <w:t>%</w:t>
      </w:r>
      <w:r w:rsidR="00A50D70">
        <w:rPr>
          <w:rStyle w:val="Odkaznapoznmkupodiarou"/>
          <w:rFonts w:asciiTheme="majorHAnsi" w:hAnsiTheme="majorHAnsi"/>
        </w:rPr>
        <w:footnoteReference w:id="170"/>
      </w:r>
      <w:r w:rsidRPr="00A11FE0">
        <w:rPr>
          <w:rFonts w:asciiTheme="majorHAnsi" w:hAnsiTheme="majorHAnsi"/>
        </w:rPr>
        <w:t>. Podiel elektriny z</w:t>
      </w:r>
      <w:r w:rsidR="00E24712">
        <w:rPr>
          <w:rFonts w:asciiTheme="majorHAnsi" w:hAnsiTheme="majorHAnsi"/>
        </w:rPr>
        <w:t> </w:t>
      </w:r>
      <w:r w:rsidRPr="00A11FE0">
        <w:rPr>
          <w:rFonts w:asciiTheme="majorHAnsi" w:hAnsiTheme="majorHAnsi"/>
        </w:rPr>
        <w:t xml:space="preserve">OZE </w:t>
      </w:r>
      <w:r w:rsidR="00BD5FD5">
        <w:rPr>
          <w:rFonts w:asciiTheme="majorHAnsi" w:hAnsiTheme="majorHAnsi"/>
        </w:rPr>
        <w:t>s</w:t>
      </w:r>
      <w:r w:rsidRPr="00A11FE0">
        <w:rPr>
          <w:rFonts w:asciiTheme="majorHAnsi" w:hAnsiTheme="majorHAnsi"/>
        </w:rPr>
        <w:t xml:space="preserve">a postupne zvyšuje vďaka podpornému mechanizmu pevných výkupných cien (taríf), </w:t>
      </w:r>
      <w:r w:rsidR="00BD5FD5">
        <w:rPr>
          <w:rFonts w:asciiTheme="majorHAnsi" w:hAnsiTheme="majorHAnsi"/>
        </w:rPr>
        <w:t>k</w:t>
      </w:r>
      <w:r w:rsidRPr="00A11FE0">
        <w:rPr>
          <w:rFonts w:asciiTheme="majorHAnsi" w:hAnsiTheme="majorHAnsi"/>
        </w:rPr>
        <w:t>torý nadobudol účinnosť v</w:t>
      </w:r>
      <w:r w:rsidR="00E24712">
        <w:rPr>
          <w:rFonts w:asciiTheme="majorHAnsi" w:hAnsiTheme="majorHAnsi"/>
        </w:rPr>
        <w:t> </w:t>
      </w:r>
      <w:r w:rsidRPr="00A11FE0">
        <w:rPr>
          <w:rFonts w:asciiTheme="majorHAnsi" w:hAnsiTheme="majorHAnsi"/>
        </w:rPr>
        <w:t xml:space="preserve">roku 2009. Uvedený mechanizmus však zvyšuje ceny elektriny pre priemysel </w:t>
      </w:r>
      <w:r w:rsidR="00BD5FD5">
        <w:rPr>
          <w:rFonts w:asciiTheme="majorHAnsi" w:hAnsiTheme="majorHAnsi"/>
        </w:rPr>
        <w:t>a</w:t>
      </w:r>
      <w:r w:rsidRPr="00A11FE0">
        <w:rPr>
          <w:rFonts w:asciiTheme="majorHAnsi" w:hAnsiTheme="majorHAnsi"/>
        </w:rPr>
        <w:t xml:space="preserve"> ostatných </w:t>
      </w:r>
      <w:r w:rsidR="00BD5FD5">
        <w:rPr>
          <w:rFonts w:asciiTheme="majorHAnsi" w:hAnsiTheme="majorHAnsi"/>
        </w:rPr>
        <w:t>k</w:t>
      </w:r>
      <w:r w:rsidRPr="00A11FE0">
        <w:rPr>
          <w:rFonts w:asciiTheme="majorHAnsi" w:hAnsiTheme="majorHAnsi"/>
        </w:rPr>
        <w:t xml:space="preserve">onečných odberateľov </w:t>
      </w:r>
      <w:r w:rsidR="00BD5FD5">
        <w:rPr>
          <w:rFonts w:asciiTheme="majorHAnsi" w:hAnsiTheme="majorHAnsi"/>
        </w:rPr>
        <w:t>a </w:t>
      </w:r>
      <w:r w:rsidRPr="00A11FE0">
        <w:rPr>
          <w:rFonts w:asciiTheme="majorHAnsi" w:hAnsiTheme="majorHAnsi"/>
        </w:rPr>
        <w:t xml:space="preserve">preto </w:t>
      </w:r>
      <w:r w:rsidR="00145E20" w:rsidRPr="00145E20">
        <w:rPr>
          <w:rFonts w:asciiTheme="majorHAnsi" w:hAnsiTheme="majorHAnsi"/>
        </w:rPr>
        <w:t xml:space="preserve">je možné očakávať jeho modifikáciu, ktorá postupne do roku 2020 obmedzí podporu výroby elektriny z OZE z dôvodu vyspelosti týchto technológií. </w:t>
      </w:r>
      <w:r w:rsidR="0096632D" w:rsidRPr="008412A0">
        <w:rPr>
          <w:rFonts w:asciiTheme="majorHAnsi" w:hAnsiTheme="majorHAnsi"/>
        </w:rPr>
        <w:t>Obmedzenie podpory bude závisieť od plnenia cieľov pre jednotlivé technológie a bude založené na znižovaní výhod pre tieto technológie tak, aby sa výroba elektriny z nich stávala trhovo orientovanou. </w:t>
      </w:r>
      <w:r w:rsidR="00145E20" w:rsidRPr="00145E20">
        <w:rPr>
          <w:rFonts w:asciiTheme="majorHAnsi" w:hAnsiTheme="majorHAnsi"/>
        </w:rPr>
        <w:t>Dosiahnutie závä</w:t>
      </w:r>
      <w:r w:rsidR="00145E20" w:rsidRPr="00145E20">
        <w:rPr>
          <w:rFonts w:asciiTheme="majorHAnsi" w:hAnsiTheme="majorHAnsi" w:hint="eastAsia"/>
        </w:rPr>
        <w:t xml:space="preserve">zného cieľa </w:t>
      </w:r>
      <w:r w:rsidR="00145E20" w:rsidRPr="00145E20">
        <w:rPr>
          <w:rFonts w:asciiTheme="majorHAnsi" w:hAnsiTheme="majorHAnsi"/>
        </w:rPr>
        <w:t xml:space="preserve">v roku </w:t>
      </w:r>
      <w:r w:rsidR="00145E20" w:rsidRPr="0096632D">
        <w:rPr>
          <w:rFonts w:asciiTheme="majorHAnsi" w:hAnsiTheme="majorHAnsi"/>
        </w:rPr>
        <w:t>2020 si však vyžaduje zachovanie finančnej podpory a</w:t>
      </w:r>
      <w:r w:rsidR="00E24712" w:rsidRPr="0096632D">
        <w:rPr>
          <w:rFonts w:asciiTheme="majorHAnsi" w:hAnsiTheme="majorHAnsi"/>
        </w:rPr>
        <w:t> </w:t>
      </w:r>
      <w:r w:rsidR="00145E20" w:rsidRPr="0096632D">
        <w:rPr>
          <w:rFonts w:asciiTheme="majorHAnsi" w:hAnsiTheme="majorHAnsi"/>
        </w:rPr>
        <w:t xml:space="preserve">plnenie opatrení v zmysle Národného akčného plánu </w:t>
      </w:r>
      <w:r w:rsidR="00145E20" w:rsidRPr="008412A0">
        <w:rPr>
          <w:rFonts w:asciiTheme="majorHAnsi" w:hAnsiTheme="majorHAnsi"/>
        </w:rPr>
        <w:t>pre obnoviteľné z</w:t>
      </w:r>
      <w:r w:rsidR="00145E20" w:rsidRPr="00691C8F">
        <w:rPr>
          <w:rFonts w:asciiTheme="majorHAnsi" w:hAnsiTheme="majorHAnsi"/>
        </w:rPr>
        <w:t>droje.</w:t>
      </w:r>
      <w:r w:rsidR="0096632D" w:rsidRPr="00691C8F">
        <w:rPr>
          <w:rFonts w:asciiTheme="majorHAnsi" w:hAnsiTheme="majorHAnsi"/>
        </w:rPr>
        <w:t xml:space="preserve"> Uplatní sa princíp, kto získa finančnú podporu vo forme investičnej</w:t>
      </w:r>
      <w:r w:rsidR="0096632D" w:rsidRPr="008412A0">
        <w:rPr>
          <w:rFonts w:asciiTheme="majorHAnsi" w:hAnsiTheme="majorHAnsi"/>
        </w:rPr>
        <w:t xml:space="preserve"> pomoci na výstavbu zariadenia, nebude môcť čerpať prevádzkovú finančnú pomoc prostredníctvom mechanizmu výkupných cien.</w:t>
      </w:r>
    </w:p>
    <w:p w:rsidR="00B23B3E" w:rsidRPr="00A11FE0" w:rsidRDefault="00B23B3E" w:rsidP="00406C25">
      <w:pPr>
        <w:rPr>
          <w:rFonts w:asciiTheme="majorHAnsi" w:hAnsiTheme="majorHAnsi"/>
        </w:rPr>
      </w:pPr>
      <w:r>
        <w:rPr>
          <w:rFonts w:asciiTheme="majorHAnsi" w:hAnsiTheme="majorHAnsi"/>
        </w:rPr>
        <w:t>Dôraz bude kladený aj na podporu zavádzania inovatívnych a</w:t>
      </w:r>
      <w:r w:rsidR="00E24712">
        <w:rPr>
          <w:rFonts w:asciiTheme="majorHAnsi" w:hAnsiTheme="majorHAnsi"/>
        </w:rPr>
        <w:t> </w:t>
      </w:r>
      <w:r>
        <w:rPr>
          <w:rFonts w:asciiTheme="majorHAnsi" w:hAnsiTheme="majorHAnsi"/>
        </w:rPr>
        <w:t>perspektívnych technológií v</w:t>
      </w:r>
      <w:r w:rsidR="00E24712">
        <w:rPr>
          <w:rFonts w:asciiTheme="majorHAnsi" w:hAnsiTheme="majorHAnsi"/>
        </w:rPr>
        <w:t> </w:t>
      </w:r>
      <w:r>
        <w:rPr>
          <w:rFonts w:asciiTheme="majorHAnsi" w:hAnsiTheme="majorHAnsi"/>
        </w:rPr>
        <w:t>oblasti</w:t>
      </w:r>
      <w:r w:rsidR="00E24712">
        <w:rPr>
          <w:rFonts w:asciiTheme="majorHAnsi" w:hAnsiTheme="majorHAnsi"/>
        </w:rPr>
        <w:t xml:space="preserve"> </w:t>
      </w:r>
      <w:r>
        <w:rPr>
          <w:rFonts w:asciiTheme="majorHAnsi" w:hAnsiTheme="majorHAnsi"/>
        </w:rPr>
        <w:t>energetiky (napr. technológie využívajúce OZE) v</w:t>
      </w:r>
      <w:r w:rsidR="00E24712">
        <w:rPr>
          <w:rFonts w:asciiTheme="majorHAnsi" w:hAnsiTheme="majorHAnsi"/>
        </w:rPr>
        <w:t> </w:t>
      </w:r>
      <w:r>
        <w:rPr>
          <w:rFonts w:asciiTheme="majorHAnsi" w:hAnsiTheme="majorHAnsi"/>
        </w:rPr>
        <w:t>súlade s</w:t>
      </w:r>
      <w:r w:rsidR="00BF55EF">
        <w:rPr>
          <w:rFonts w:asciiTheme="majorHAnsi" w:hAnsiTheme="majorHAnsi"/>
        </w:rPr>
        <w:t> </w:t>
      </w:r>
      <w:r>
        <w:rPr>
          <w:rFonts w:asciiTheme="majorHAnsi" w:hAnsiTheme="majorHAnsi"/>
        </w:rPr>
        <w:t>RIS3</w:t>
      </w:r>
      <w:r w:rsidR="00BF55EF">
        <w:rPr>
          <w:rFonts w:asciiTheme="majorHAnsi" w:hAnsiTheme="majorHAnsi"/>
        </w:rPr>
        <w:t xml:space="preserve"> </w:t>
      </w:r>
      <w:r>
        <w:rPr>
          <w:rFonts w:asciiTheme="majorHAnsi" w:hAnsiTheme="majorHAnsi"/>
        </w:rPr>
        <w:t>a</w:t>
      </w:r>
      <w:r w:rsidR="00E24712">
        <w:rPr>
          <w:rFonts w:asciiTheme="majorHAnsi" w:hAnsiTheme="majorHAnsi"/>
        </w:rPr>
        <w:t> </w:t>
      </w:r>
      <w:r>
        <w:rPr>
          <w:rFonts w:asciiTheme="majorHAnsi" w:hAnsiTheme="majorHAnsi"/>
        </w:rPr>
        <w:t>s</w:t>
      </w:r>
      <w:r w:rsidR="00E24712">
        <w:rPr>
          <w:rFonts w:asciiTheme="majorHAnsi" w:hAnsiTheme="majorHAnsi"/>
        </w:rPr>
        <w:t> </w:t>
      </w:r>
      <w:r>
        <w:rPr>
          <w:rFonts w:asciiTheme="majorHAnsi" w:hAnsiTheme="majorHAnsi"/>
        </w:rPr>
        <w:t>ohľadom na ciele stanovené v strategickom pláne energetických technológií</w:t>
      </w:r>
      <w:r>
        <w:rPr>
          <w:rStyle w:val="Odkaznapoznmkupodiarou"/>
          <w:rFonts w:asciiTheme="majorHAnsi" w:hAnsiTheme="majorHAnsi"/>
        </w:rPr>
        <w:footnoteReference w:id="171"/>
      </w:r>
      <w:r>
        <w:rPr>
          <w:rFonts w:asciiTheme="majorHAnsi" w:hAnsiTheme="majorHAnsi"/>
        </w:rPr>
        <w:t>.</w:t>
      </w:r>
    </w:p>
    <w:p w:rsidR="00406C25" w:rsidRPr="00A11FE0" w:rsidRDefault="00406C25" w:rsidP="00723936">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Nízka ener</w:t>
      </w:r>
      <w:r w:rsidR="00F457E8">
        <w:rPr>
          <w:rFonts w:asciiTheme="majorHAnsi" w:hAnsiTheme="majorHAnsi"/>
          <w:color w:val="243F60"/>
        </w:rPr>
        <w:t>getická efektívnosť v priemysle</w:t>
      </w:r>
    </w:p>
    <w:p w:rsidR="00055A0B" w:rsidRPr="00BD7167" w:rsidRDefault="00055A0B" w:rsidP="00055A0B">
      <w:pPr>
        <w:rPr>
          <w:rFonts w:asciiTheme="majorHAnsi" w:hAnsiTheme="majorHAnsi"/>
        </w:rPr>
      </w:pPr>
      <w:r w:rsidRPr="00BD7167">
        <w:rPr>
          <w:rFonts w:asciiTheme="majorHAnsi" w:hAnsiTheme="majorHAnsi"/>
        </w:rPr>
        <w:t>Priemysel je jedným z</w:t>
      </w:r>
      <w:r>
        <w:rPr>
          <w:rFonts w:asciiTheme="majorHAnsi" w:hAnsiTheme="majorHAnsi"/>
        </w:rPr>
        <w:t> </w:t>
      </w:r>
      <w:r w:rsidRPr="00BD7167">
        <w:rPr>
          <w:rFonts w:asciiTheme="majorHAnsi" w:hAnsiTheme="majorHAnsi"/>
        </w:rPr>
        <w:t xml:space="preserve">najvýznamnejších </w:t>
      </w:r>
      <w:r>
        <w:rPr>
          <w:rFonts w:asciiTheme="majorHAnsi" w:hAnsiTheme="majorHAnsi"/>
        </w:rPr>
        <w:t>s</w:t>
      </w:r>
      <w:r w:rsidRPr="00E77853">
        <w:rPr>
          <w:rFonts w:asciiTheme="majorHAnsi" w:hAnsiTheme="majorHAnsi"/>
        </w:rPr>
        <w:t xml:space="preserve">ektorov národného hospodárstva </w:t>
      </w:r>
      <w:r>
        <w:rPr>
          <w:rFonts w:asciiTheme="majorHAnsi" w:hAnsiTheme="majorHAnsi"/>
        </w:rPr>
        <w:t>S</w:t>
      </w:r>
      <w:r w:rsidRPr="00BD7167">
        <w:rPr>
          <w:rFonts w:asciiTheme="majorHAnsi" w:hAnsiTheme="majorHAnsi"/>
        </w:rPr>
        <w:t>R, v</w:t>
      </w:r>
      <w:r>
        <w:rPr>
          <w:rFonts w:asciiTheme="majorHAnsi" w:hAnsiTheme="majorHAnsi"/>
        </w:rPr>
        <w:t> k</w:t>
      </w:r>
      <w:r w:rsidRPr="00E77853">
        <w:rPr>
          <w:rFonts w:asciiTheme="majorHAnsi" w:hAnsiTheme="majorHAnsi"/>
        </w:rPr>
        <w:t xml:space="preserve">torom bola znížená energetická náročnosť. Tento </w:t>
      </w:r>
      <w:r>
        <w:rPr>
          <w:rFonts w:asciiTheme="majorHAnsi" w:hAnsiTheme="majorHAnsi"/>
        </w:rPr>
        <w:t>as</w:t>
      </w:r>
      <w:r w:rsidRPr="00E77853">
        <w:rPr>
          <w:rFonts w:asciiTheme="majorHAnsi" w:hAnsiTheme="majorHAnsi"/>
        </w:rPr>
        <w:t xml:space="preserve">pekt bol dosiahnutý najmä zavádzaním nových inovatívnych technológií </w:t>
      </w:r>
      <w:r>
        <w:rPr>
          <w:rFonts w:asciiTheme="majorHAnsi" w:hAnsiTheme="majorHAnsi"/>
        </w:rPr>
        <w:t>a </w:t>
      </w:r>
      <w:r w:rsidRPr="00BD7167">
        <w:rPr>
          <w:rFonts w:asciiTheme="majorHAnsi" w:hAnsiTheme="majorHAnsi"/>
        </w:rPr>
        <w:t xml:space="preserve">zvyšovaním podielu priemyselných odvetví </w:t>
      </w:r>
      <w:r>
        <w:rPr>
          <w:rFonts w:asciiTheme="majorHAnsi" w:hAnsiTheme="majorHAnsi"/>
        </w:rPr>
        <w:t>s </w:t>
      </w:r>
      <w:r w:rsidRPr="00E77853">
        <w:rPr>
          <w:rFonts w:asciiTheme="majorHAnsi" w:hAnsiTheme="majorHAnsi"/>
        </w:rPr>
        <w:t xml:space="preserve">vyššou pridanou hodnotou. Povinné využívanie </w:t>
      </w:r>
      <w:r>
        <w:rPr>
          <w:rFonts w:asciiTheme="majorHAnsi" w:hAnsiTheme="majorHAnsi"/>
        </w:rPr>
        <w:t>s</w:t>
      </w:r>
      <w:r w:rsidRPr="00BD7167">
        <w:rPr>
          <w:rFonts w:asciiTheme="majorHAnsi" w:hAnsiTheme="majorHAnsi"/>
        </w:rPr>
        <w:t xml:space="preserve">ystému energetických </w:t>
      </w:r>
      <w:r>
        <w:rPr>
          <w:rFonts w:asciiTheme="majorHAnsi" w:hAnsiTheme="majorHAnsi"/>
        </w:rPr>
        <w:t>a</w:t>
      </w:r>
      <w:r w:rsidRPr="00BD7167">
        <w:rPr>
          <w:rFonts w:asciiTheme="majorHAnsi" w:hAnsiTheme="majorHAnsi"/>
        </w:rPr>
        <w:t xml:space="preserve">uditov </w:t>
      </w:r>
      <w:r>
        <w:rPr>
          <w:rFonts w:asciiTheme="majorHAnsi" w:hAnsiTheme="majorHAnsi"/>
        </w:rPr>
        <w:t>a a</w:t>
      </w:r>
      <w:r w:rsidRPr="00BD7167">
        <w:rPr>
          <w:rFonts w:asciiTheme="majorHAnsi" w:hAnsiTheme="majorHAnsi"/>
        </w:rPr>
        <w:t>plikácia nízkonákladových opatrení</w:t>
      </w:r>
      <w:r w:rsidR="00DC3DE4">
        <w:rPr>
          <w:rFonts w:asciiTheme="majorHAnsi" w:hAnsiTheme="majorHAnsi"/>
        </w:rPr>
        <w:t>,</w:t>
      </w:r>
      <w:r w:rsidRPr="00BD7167">
        <w:rPr>
          <w:rFonts w:asciiTheme="majorHAnsi" w:hAnsiTheme="majorHAnsi"/>
        </w:rPr>
        <w:t xml:space="preserve"> identifikovaných v</w:t>
      </w:r>
      <w:r>
        <w:rPr>
          <w:rFonts w:asciiTheme="majorHAnsi" w:hAnsiTheme="majorHAnsi"/>
        </w:rPr>
        <w:t> </w:t>
      </w:r>
      <w:r w:rsidRPr="00BD7167">
        <w:rPr>
          <w:rFonts w:asciiTheme="majorHAnsi" w:hAnsiTheme="majorHAnsi"/>
        </w:rPr>
        <w:t>týchto</w:t>
      </w:r>
      <w:r>
        <w:rPr>
          <w:rFonts w:asciiTheme="majorHAnsi" w:hAnsiTheme="majorHAnsi"/>
        </w:rPr>
        <w:t xml:space="preserve"> a</w:t>
      </w:r>
      <w:r w:rsidRPr="00BD7167">
        <w:rPr>
          <w:rFonts w:asciiTheme="majorHAnsi" w:hAnsiTheme="majorHAnsi"/>
        </w:rPr>
        <w:t>uditoch</w:t>
      </w:r>
      <w:r w:rsidR="00DC3DE4">
        <w:rPr>
          <w:rFonts w:asciiTheme="majorHAnsi" w:hAnsiTheme="majorHAnsi"/>
        </w:rPr>
        <w:t>,</w:t>
      </w:r>
      <w:r w:rsidRPr="00BD7167">
        <w:rPr>
          <w:rFonts w:asciiTheme="majorHAnsi" w:hAnsiTheme="majorHAnsi"/>
        </w:rPr>
        <w:t xml:space="preserve"> taktiež významne ovplyvnila zníženie </w:t>
      </w:r>
      <w:r>
        <w:rPr>
          <w:rFonts w:asciiTheme="majorHAnsi" w:hAnsiTheme="majorHAnsi"/>
        </w:rPr>
        <w:t>s</w:t>
      </w:r>
      <w:r w:rsidRPr="00BD7167">
        <w:rPr>
          <w:rFonts w:asciiTheme="majorHAnsi" w:hAnsiTheme="majorHAnsi"/>
        </w:rPr>
        <w:t>potreby energie v</w:t>
      </w:r>
      <w:r>
        <w:rPr>
          <w:rFonts w:asciiTheme="majorHAnsi" w:hAnsiTheme="majorHAnsi"/>
        </w:rPr>
        <w:t> </w:t>
      </w:r>
      <w:r w:rsidRPr="00BD7167">
        <w:rPr>
          <w:rFonts w:asciiTheme="majorHAnsi" w:hAnsiTheme="majorHAnsi"/>
        </w:rPr>
        <w:t xml:space="preserve">priemysle. Napriek uvedeným </w:t>
      </w:r>
      <w:r>
        <w:rPr>
          <w:rFonts w:asciiTheme="majorHAnsi" w:hAnsiTheme="majorHAnsi"/>
        </w:rPr>
        <w:t>ak</w:t>
      </w:r>
      <w:r w:rsidRPr="00BD7167">
        <w:rPr>
          <w:rFonts w:asciiTheme="majorHAnsi" w:hAnsiTheme="majorHAnsi"/>
        </w:rPr>
        <w:t>tivitám je podiel priemyslu (zhruba 40</w:t>
      </w:r>
      <w:r>
        <w:rPr>
          <w:rFonts w:asciiTheme="majorHAnsi" w:hAnsiTheme="majorHAnsi"/>
        </w:rPr>
        <w:t xml:space="preserve"> </w:t>
      </w:r>
      <w:r w:rsidRPr="00BD7167">
        <w:rPr>
          <w:rFonts w:asciiTheme="majorHAnsi" w:hAnsiTheme="majorHAnsi"/>
        </w:rPr>
        <w:t xml:space="preserve">%) na </w:t>
      </w:r>
      <w:r>
        <w:rPr>
          <w:rFonts w:asciiTheme="majorHAnsi" w:hAnsiTheme="majorHAnsi"/>
        </w:rPr>
        <w:t>k</w:t>
      </w:r>
      <w:r w:rsidRPr="00BD7167">
        <w:rPr>
          <w:rFonts w:asciiTheme="majorHAnsi" w:hAnsiTheme="majorHAnsi"/>
        </w:rPr>
        <w:t xml:space="preserve">onečnej energetickej </w:t>
      </w:r>
      <w:r>
        <w:rPr>
          <w:rFonts w:asciiTheme="majorHAnsi" w:hAnsiTheme="majorHAnsi"/>
        </w:rPr>
        <w:t>s</w:t>
      </w:r>
      <w:r w:rsidRPr="00BD7167">
        <w:rPr>
          <w:rFonts w:asciiTheme="majorHAnsi" w:hAnsiTheme="majorHAnsi"/>
        </w:rPr>
        <w:t>potrebe v</w:t>
      </w:r>
      <w:r>
        <w:rPr>
          <w:rFonts w:asciiTheme="majorHAnsi" w:hAnsiTheme="majorHAnsi"/>
        </w:rPr>
        <w:t> S</w:t>
      </w:r>
      <w:r w:rsidRPr="00BD7167">
        <w:rPr>
          <w:rFonts w:asciiTheme="majorHAnsi" w:hAnsiTheme="majorHAnsi"/>
        </w:rPr>
        <w:t>R pomerne vysoký</w:t>
      </w:r>
      <w:r w:rsidR="00DC3DE4">
        <w:rPr>
          <w:rFonts w:asciiTheme="majorHAnsi" w:hAnsiTheme="majorHAnsi"/>
        </w:rPr>
        <w:t>,</w:t>
      </w:r>
      <w:r w:rsidRPr="00BD7167">
        <w:rPr>
          <w:rFonts w:asciiTheme="majorHAnsi" w:hAnsiTheme="majorHAnsi"/>
        </w:rPr>
        <w:t xml:space="preserve"> v</w:t>
      </w:r>
      <w:r>
        <w:rPr>
          <w:rFonts w:asciiTheme="majorHAnsi" w:hAnsiTheme="majorHAnsi"/>
        </w:rPr>
        <w:t> </w:t>
      </w:r>
      <w:r w:rsidRPr="00BD7167">
        <w:rPr>
          <w:rFonts w:asciiTheme="majorHAnsi" w:hAnsiTheme="majorHAnsi"/>
        </w:rPr>
        <w:t xml:space="preserve">porovnaní </w:t>
      </w:r>
      <w:r>
        <w:rPr>
          <w:rFonts w:asciiTheme="majorHAnsi" w:hAnsiTheme="majorHAnsi"/>
        </w:rPr>
        <w:t>s </w:t>
      </w:r>
      <w:r w:rsidRPr="00BD7167">
        <w:rPr>
          <w:rFonts w:asciiTheme="majorHAnsi" w:hAnsiTheme="majorHAnsi"/>
        </w:rPr>
        <w:t>prieme</w:t>
      </w:r>
      <w:r w:rsidRPr="0034284D">
        <w:rPr>
          <w:rFonts w:asciiTheme="majorHAnsi" w:hAnsiTheme="majorHAnsi"/>
        </w:rPr>
        <w:t xml:space="preserve">rnou hodnotou </w:t>
      </w:r>
      <w:r w:rsidR="00DC3DE4" w:rsidRPr="0034284D">
        <w:rPr>
          <w:rFonts w:asciiTheme="majorHAnsi" w:hAnsiTheme="majorHAnsi"/>
        </w:rPr>
        <w:t>E</w:t>
      </w:r>
      <w:r w:rsidR="00DC3DE4">
        <w:rPr>
          <w:rFonts w:asciiTheme="majorHAnsi" w:hAnsiTheme="majorHAnsi"/>
        </w:rPr>
        <w:t>Ú</w:t>
      </w:r>
      <w:r w:rsidRPr="0034284D">
        <w:rPr>
          <w:rFonts w:asciiTheme="majorHAnsi" w:hAnsiTheme="majorHAnsi"/>
        </w:rPr>
        <w:t>-27 (</w:t>
      </w:r>
      <w:r>
        <w:rPr>
          <w:rFonts w:asciiTheme="majorHAnsi" w:hAnsiTheme="majorHAnsi"/>
        </w:rPr>
        <w:t>približne</w:t>
      </w:r>
      <w:r w:rsidRPr="0034284D">
        <w:rPr>
          <w:rFonts w:asciiTheme="majorHAnsi" w:hAnsiTheme="majorHAnsi"/>
        </w:rPr>
        <w:t xml:space="preserve"> 26</w:t>
      </w:r>
      <w:r>
        <w:rPr>
          <w:rFonts w:asciiTheme="majorHAnsi" w:hAnsiTheme="majorHAnsi"/>
        </w:rPr>
        <w:t xml:space="preserve"> </w:t>
      </w:r>
      <w:r w:rsidRPr="0034284D">
        <w:rPr>
          <w:rFonts w:asciiTheme="majorHAnsi" w:hAnsiTheme="majorHAnsi"/>
        </w:rPr>
        <w:t>%).</w:t>
      </w:r>
    </w:p>
    <w:p w:rsidR="00B07B93" w:rsidRPr="00B07B93" w:rsidRDefault="00055A0B" w:rsidP="00B07B93">
      <w:pPr>
        <w:rPr>
          <w:rFonts w:asciiTheme="majorHAnsi" w:hAnsiTheme="majorHAnsi"/>
        </w:rPr>
      </w:pPr>
      <w:r>
        <w:rPr>
          <w:rFonts w:asciiTheme="majorHAnsi" w:hAnsiTheme="majorHAnsi"/>
        </w:rPr>
        <w:t>A</w:t>
      </w:r>
      <w:r w:rsidRPr="009E19EE">
        <w:rPr>
          <w:rFonts w:asciiTheme="majorHAnsi" w:hAnsiTheme="majorHAnsi"/>
        </w:rPr>
        <w:t xml:space="preserve">j </w:t>
      </w:r>
      <w:r>
        <w:rPr>
          <w:rFonts w:asciiTheme="majorHAnsi" w:hAnsiTheme="majorHAnsi"/>
        </w:rPr>
        <w:t>k</w:t>
      </w:r>
      <w:r w:rsidRPr="009E19EE">
        <w:rPr>
          <w:rFonts w:asciiTheme="majorHAnsi" w:hAnsiTheme="majorHAnsi"/>
        </w:rPr>
        <w:t xml:space="preserve">eď na základe </w:t>
      </w:r>
      <w:r>
        <w:rPr>
          <w:rFonts w:asciiTheme="majorHAnsi" w:hAnsiTheme="majorHAnsi"/>
        </w:rPr>
        <w:t>s</w:t>
      </w:r>
      <w:r w:rsidRPr="009E19EE">
        <w:rPr>
          <w:rFonts w:asciiTheme="majorHAnsi" w:hAnsiTheme="majorHAnsi"/>
        </w:rPr>
        <w:t>poločných E</w:t>
      </w:r>
      <w:r>
        <w:rPr>
          <w:rFonts w:asciiTheme="majorHAnsi" w:hAnsiTheme="majorHAnsi"/>
        </w:rPr>
        <w:t>Ú</w:t>
      </w:r>
      <w:r w:rsidRPr="009E19EE">
        <w:rPr>
          <w:rFonts w:asciiTheme="majorHAnsi" w:hAnsiTheme="majorHAnsi"/>
        </w:rPr>
        <w:t xml:space="preserve"> </w:t>
      </w:r>
      <w:r>
        <w:rPr>
          <w:rFonts w:asciiTheme="majorHAnsi" w:hAnsiTheme="majorHAnsi"/>
        </w:rPr>
        <w:t xml:space="preserve">ukazovateľov </w:t>
      </w:r>
      <w:r w:rsidRPr="009E19EE">
        <w:rPr>
          <w:rFonts w:asciiTheme="majorHAnsi" w:hAnsiTheme="majorHAnsi"/>
        </w:rPr>
        <w:t>pre plnenie úspor energie</w:t>
      </w:r>
      <w:r w:rsidR="00DC3DE4">
        <w:rPr>
          <w:rFonts w:asciiTheme="majorHAnsi" w:hAnsiTheme="majorHAnsi"/>
        </w:rPr>
        <w:t>,</w:t>
      </w:r>
      <w:r w:rsidRPr="009E19EE">
        <w:rPr>
          <w:rFonts w:asciiTheme="majorHAnsi" w:hAnsiTheme="majorHAnsi"/>
        </w:rPr>
        <w:t xml:space="preserve"> podľa národn</w:t>
      </w:r>
      <w:r w:rsidR="006855AF">
        <w:rPr>
          <w:rFonts w:asciiTheme="majorHAnsi" w:hAnsiTheme="majorHAnsi"/>
        </w:rPr>
        <w:t>ého</w:t>
      </w:r>
      <w:r w:rsidRPr="009E19EE">
        <w:rPr>
          <w:rFonts w:asciiTheme="majorHAnsi" w:hAnsiTheme="majorHAnsi"/>
        </w:rPr>
        <w:t xml:space="preserve"> </w:t>
      </w:r>
      <w:r>
        <w:rPr>
          <w:rFonts w:asciiTheme="majorHAnsi" w:hAnsiTheme="majorHAnsi"/>
        </w:rPr>
        <w:t>ak</w:t>
      </w:r>
      <w:r w:rsidRPr="009E19EE">
        <w:rPr>
          <w:rFonts w:asciiTheme="majorHAnsi" w:hAnsiTheme="majorHAnsi"/>
        </w:rPr>
        <w:t>čn</w:t>
      </w:r>
      <w:r w:rsidR="006855AF">
        <w:rPr>
          <w:rFonts w:asciiTheme="majorHAnsi" w:hAnsiTheme="majorHAnsi"/>
        </w:rPr>
        <w:t>ého</w:t>
      </w:r>
      <w:r w:rsidRPr="009E19EE">
        <w:rPr>
          <w:rFonts w:asciiTheme="majorHAnsi" w:hAnsiTheme="majorHAnsi"/>
        </w:rPr>
        <w:t xml:space="preserve"> plán</w:t>
      </w:r>
      <w:r w:rsidR="006855AF">
        <w:rPr>
          <w:rFonts w:asciiTheme="majorHAnsi" w:hAnsiTheme="majorHAnsi"/>
        </w:rPr>
        <w:t>u</w:t>
      </w:r>
      <w:r w:rsidRPr="009E19EE">
        <w:rPr>
          <w:rFonts w:asciiTheme="majorHAnsi" w:hAnsiTheme="majorHAnsi"/>
        </w:rPr>
        <w:t xml:space="preserve"> </w:t>
      </w:r>
      <w:r>
        <w:rPr>
          <w:rFonts w:asciiTheme="majorHAnsi" w:hAnsiTheme="majorHAnsi"/>
        </w:rPr>
        <w:t>S</w:t>
      </w:r>
      <w:r w:rsidRPr="009E19EE">
        <w:rPr>
          <w:rFonts w:asciiTheme="majorHAnsi" w:hAnsiTheme="majorHAnsi"/>
        </w:rPr>
        <w:t xml:space="preserve">R </w:t>
      </w:r>
      <w:r>
        <w:rPr>
          <w:rFonts w:asciiTheme="majorHAnsi" w:hAnsiTheme="majorHAnsi"/>
        </w:rPr>
        <w:t>s</w:t>
      </w:r>
      <w:r w:rsidRPr="009E19EE">
        <w:rPr>
          <w:rFonts w:asciiTheme="majorHAnsi" w:hAnsiTheme="majorHAnsi"/>
        </w:rPr>
        <w:t>plnila plánované úspory energie pre roky 2008</w:t>
      </w:r>
      <w:r>
        <w:rPr>
          <w:rFonts w:asciiTheme="majorHAnsi" w:hAnsiTheme="majorHAnsi"/>
        </w:rPr>
        <w:t xml:space="preserve"> – </w:t>
      </w:r>
      <w:r w:rsidRPr="009E19EE">
        <w:rPr>
          <w:rFonts w:asciiTheme="majorHAnsi" w:hAnsiTheme="majorHAnsi"/>
        </w:rPr>
        <w:t xml:space="preserve">2010, pri hodnotení </w:t>
      </w:r>
      <w:r>
        <w:rPr>
          <w:rFonts w:asciiTheme="majorHAnsi" w:hAnsiTheme="majorHAnsi"/>
        </w:rPr>
        <w:t>Ak</w:t>
      </w:r>
      <w:r w:rsidRPr="009E19EE">
        <w:rPr>
          <w:rFonts w:asciiTheme="majorHAnsi" w:hAnsiTheme="majorHAnsi"/>
        </w:rPr>
        <w:t xml:space="preserve">čného plánu energetickej efektívnosti </w:t>
      </w:r>
      <w:r>
        <w:rPr>
          <w:rFonts w:asciiTheme="majorHAnsi" w:hAnsiTheme="majorHAnsi"/>
        </w:rPr>
        <w:t>S</w:t>
      </w:r>
      <w:r w:rsidRPr="009E19EE">
        <w:rPr>
          <w:rFonts w:asciiTheme="majorHAnsi" w:hAnsiTheme="majorHAnsi"/>
        </w:rPr>
        <w:t>R na roky 2008</w:t>
      </w:r>
      <w:r>
        <w:rPr>
          <w:rFonts w:asciiTheme="majorHAnsi" w:hAnsiTheme="majorHAnsi"/>
        </w:rPr>
        <w:t xml:space="preserve"> – </w:t>
      </w:r>
      <w:r w:rsidRPr="009E19EE">
        <w:rPr>
          <w:rFonts w:asciiTheme="majorHAnsi" w:hAnsiTheme="majorHAnsi"/>
        </w:rPr>
        <w:t>2010</w:t>
      </w:r>
      <w:r>
        <w:rPr>
          <w:rFonts w:asciiTheme="majorHAnsi" w:hAnsiTheme="majorHAnsi"/>
        </w:rPr>
        <w:t xml:space="preserve"> </w:t>
      </w:r>
      <w:r w:rsidRPr="009E19EE">
        <w:rPr>
          <w:rFonts w:asciiTheme="majorHAnsi" w:hAnsiTheme="majorHAnsi"/>
        </w:rPr>
        <w:t>boli z</w:t>
      </w:r>
      <w:r>
        <w:rPr>
          <w:rFonts w:asciiTheme="majorHAnsi" w:hAnsiTheme="majorHAnsi"/>
        </w:rPr>
        <w:t> </w:t>
      </w:r>
      <w:r w:rsidRPr="009E19EE">
        <w:rPr>
          <w:rFonts w:asciiTheme="majorHAnsi" w:hAnsiTheme="majorHAnsi"/>
        </w:rPr>
        <w:t xml:space="preserve">dvoch rôznych finančných mechanizmov identifikované </w:t>
      </w:r>
      <w:r>
        <w:rPr>
          <w:rFonts w:asciiTheme="majorHAnsi" w:hAnsiTheme="majorHAnsi"/>
        </w:rPr>
        <w:t>k</w:t>
      </w:r>
      <w:r w:rsidRPr="009E19EE">
        <w:rPr>
          <w:rFonts w:asciiTheme="majorHAnsi" w:hAnsiTheme="majorHAnsi"/>
        </w:rPr>
        <w:t>onkrétne projekty na zlepšovanie energetickej efektívnosti v</w:t>
      </w:r>
      <w:r>
        <w:rPr>
          <w:rFonts w:asciiTheme="majorHAnsi" w:hAnsiTheme="majorHAnsi"/>
        </w:rPr>
        <w:t> </w:t>
      </w:r>
      <w:r w:rsidRPr="009E19EE">
        <w:rPr>
          <w:rFonts w:asciiTheme="majorHAnsi" w:hAnsiTheme="majorHAnsi"/>
        </w:rPr>
        <w:t>priemysle</w:t>
      </w:r>
      <w:r>
        <w:rPr>
          <w:rFonts w:asciiTheme="majorHAnsi" w:hAnsiTheme="majorHAnsi"/>
        </w:rPr>
        <w:t xml:space="preserve"> s </w:t>
      </w:r>
      <w:r w:rsidRPr="009E19EE">
        <w:rPr>
          <w:rFonts w:asciiTheme="majorHAnsi" w:hAnsiTheme="majorHAnsi"/>
        </w:rPr>
        <w:t>úsporou energie zhruba 650 TJ</w:t>
      </w:r>
      <w:r>
        <w:rPr>
          <w:rFonts w:asciiTheme="majorHAnsi" w:hAnsiTheme="majorHAnsi"/>
        </w:rPr>
        <w:t>, a</w:t>
      </w:r>
      <w:r w:rsidR="00E24712">
        <w:rPr>
          <w:rFonts w:asciiTheme="majorHAnsi" w:hAnsiTheme="majorHAnsi"/>
        </w:rPr>
        <w:t> </w:t>
      </w:r>
      <w:r>
        <w:rPr>
          <w:rFonts w:asciiTheme="majorHAnsi" w:hAnsiTheme="majorHAnsi"/>
        </w:rPr>
        <w:t>to</w:t>
      </w:r>
      <w:r w:rsidRPr="009E19EE">
        <w:rPr>
          <w:rFonts w:asciiTheme="majorHAnsi" w:hAnsiTheme="majorHAnsi"/>
        </w:rPr>
        <w:t xml:space="preserve"> </w:t>
      </w:r>
      <w:r>
        <w:rPr>
          <w:rFonts w:asciiTheme="majorHAnsi" w:hAnsiTheme="majorHAnsi"/>
        </w:rPr>
        <w:t>s </w:t>
      </w:r>
      <w:r w:rsidRPr="009E19EE">
        <w:rPr>
          <w:rFonts w:asciiTheme="majorHAnsi" w:hAnsiTheme="majorHAnsi"/>
        </w:rPr>
        <w:t xml:space="preserve">celkovou investičnou náročnosťou </w:t>
      </w:r>
      <w:r>
        <w:rPr>
          <w:rFonts w:asciiTheme="majorHAnsi" w:hAnsiTheme="majorHAnsi"/>
        </w:rPr>
        <w:t>približne</w:t>
      </w:r>
      <w:r w:rsidRPr="009E19EE">
        <w:rPr>
          <w:rFonts w:asciiTheme="majorHAnsi" w:hAnsiTheme="majorHAnsi"/>
        </w:rPr>
        <w:t xml:space="preserve"> 26,4 mil. EUR, čo predstavuje zhruba 55</w:t>
      </w:r>
      <w:r>
        <w:rPr>
          <w:rFonts w:asciiTheme="majorHAnsi" w:hAnsiTheme="majorHAnsi"/>
        </w:rPr>
        <w:t xml:space="preserve"> </w:t>
      </w:r>
      <w:r w:rsidRPr="00E77853">
        <w:rPr>
          <w:rFonts w:asciiTheme="majorHAnsi" w:hAnsiTheme="majorHAnsi"/>
        </w:rPr>
        <w:t>%</w:t>
      </w:r>
      <w:r>
        <w:rPr>
          <w:rFonts w:asciiTheme="majorHAnsi" w:hAnsiTheme="majorHAnsi"/>
        </w:rPr>
        <w:t xml:space="preserve"> </w:t>
      </w:r>
      <w:r w:rsidRPr="009E19EE">
        <w:rPr>
          <w:rFonts w:asciiTheme="majorHAnsi" w:hAnsiTheme="majorHAnsi"/>
        </w:rPr>
        <w:t>plánovaných úspor v</w:t>
      </w:r>
      <w:r w:rsidR="00E24712">
        <w:rPr>
          <w:rFonts w:asciiTheme="majorHAnsi" w:hAnsiTheme="majorHAnsi"/>
        </w:rPr>
        <w:t> </w:t>
      </w:r>
      <w:r w:rsidRPr="009E19EE">
        <w:rPr>
          <w:rFonts w:asciiTheme="majorHAnsi" w:hAnsiTheme="majorHAnsi"/>
        </w:rPr>
        <w:t>priemysle. V</w:t>
      </w:r>
      <w:r w:rsidR="00E24712">
        <w:rPr>
          <w:rFonts w:asciiTheme="majorHAnsi" w:hAnsiTheme="majorHAnsi"/>
        </w:rPr>
        <w:t> </w:t>
      </w:r>
      <w:r>
        <w:rPr>
          <w:rFonts w:asciiTheme="majorHAnsi" w:hAnsiTheme="majorHAnsi"/>
        </w:rPr>
        <w:t>Ak</w:t>
      </w:r>
      <w:r w:rsidRPr="009E19EE">
        <w:rPr>
          <w:rFonts w:asciiTheme="majorHAnsi" w:hAnsiTheme="majorHAnsi"/>
        </w:rPr>
        <w:t xml:space="preserve">čnom pláne energetickej efektívnosti </w:t>
      </w:r>
      <w:r>
        <w:rPr>
          <w:rFonts w:asciiTheme="majorHAnsi" w:hAnsiTheme="majorHAnsi"/>
        </w:rPr>
        <w:t>S</w:t>
      </w:r>
      <w:r w:rsidRPr="009E19EE">
        <w:rPr>
          <w:rFonts w:asciiTheme="majorHAnsi" w:hAnsiTheme="majorHAnsi"/>
        </w:rPr>
        <w:t>R na roky 2011</w:t>
      </w:r>
      <w:r>
        <w:rPr>
          <w:rFonts w:asciiTheme="majorHAnsi" w:hAnsiTheme="majorHAnsi"/>
        </w:rPr>
        <w:t xml:space="preserve"> – </w:t>
      </w:r>
      <w:r w:rsidRPr="009E19EE">
        <w:rPr>
          <w:rFonts w:asciiTheme="majorHAnsi" w:hAnsiTheme="majorHAnsi"/>
        </w:rPr>
        <w:t>2013</w:t>
      </w:r>
      <w:r>
        <w:rPr>
          <w:rFonts w:asciiTheme="majorHAnsi" w:hAnsiTheme="majorHAnsi"/>
        </w:rPr>
        <w:t xml:space="preserve"> </w:t>
      </w:r>
      <w:r w:rsidRPr="009E19EE">
        <w:rPr>
          <w:rFonts w:asciiTheme="majorHAnsi" w:hAnsiTheme="majorHAnsi"/>
        </w:rPr>
        <w:t>je plánovaná úspora energie v</w:t>
      </w:r>
      <w:r>
        <w:rPr>
          <w:rFonts w:asciiTheme="majorHAnsi" w:hAnsiTheme="majorHAnsi"/>
        </w:rPr>
        <w:t> </w:t>
      </w:r>
      <w:r w:rsidRPr="009E19EE">
        <w:rPr>
          <w:rFonts w:asciiTheme="majorHAnsi" w:hAnsiTheme="majorHAnsi"/>
        </w:rPr>
        <w:t>priemysle vo výške 2 490 TJ,</w:t>
      </w:r>
      <w:r w:rsidR="004643E8">
        <w:rPr>
          <w:rFonts w:asciiTheme="majorHAnsi" w:hAnsiTheme="majorHAnsi"/>
        </w:rPr>
        <w:t xml:space="preserve"> </w:t>
      </w:r>
      <w:r w:rsidRPr="009E19EE">
        <w:rPr>
          <w:rFonts w:asciiTheme="majorHAnsi" w:hAnsiTheme="majorHAnsi"/>
        </w:rPr>
        <w:t xml:space="preserve">čo predstavuje </w:t>
      </w:r>
      <w:r>
        <w:rPr>
          <w:rFonts w:asciiTheme="majorHAnsi" w:hAnsiTheme="majorHAnsi"/>
        </w:rPr>
        <w:t>as</w:t>
      </w:r>
      <w:r w:rsidRPr="009E19EE">
        <w:rPr>
          <w:rFonts w:asciiTheme="majorHAnsi" w:hAnsiTheme="majorHAnsi"/>
        </w:rPr>
        <w:t>i dvojnásobok úspor energie požadovaných v</w:t>
      </w:r>
      <w:r>
        <w:rPr>
          <w:rFonts w:asciiTheme="majorHAnsi" w:hAnsiTheme="majorHAnsi"/>
        </w:rPr>
        <w:t> </w:t>
      </w:r>
      <w:r w:rsidRPr="009E19EE">
        <w:rPr>
          <w:rFonts w:asciiTheme="majorHAnsi" w:hAnsiTheme="majorHAnsi"/>
        </w:rPr>
        <w:t xml:space="preserve">prvom </w:t>
      </w:r>
      <w:r>
        <w:rPr>
          <w:rFonts w:asciiTheme="majorHAnsi" w:hAnsiTheme="majorHAnsi"/>
        </w:rPr>
        <w:t>ak</w:t>
      </w:r>
      <w:r w:rsidRPr="009E19EE">
        <w:rPr>
          <w:rFonts w:asciiTheme="majorHAnsi" w:hAnsiTheme="majorHAnsi"/>
        </w:rPr>
        <w:t xml:space="preserve">čnom pláne. Pri návrhu </w:t>
      </w:r>
      <w:r>
        <w:rPr>
          <w:rFonts w:asciiTheme="majorHAnsi" w:hAnsiTheme="majorHAnsi"/>
        </w:rPr>
        <w:t>Ak</w:t>
      </w:r>
      <w:r w:rsidRPr="009E19EE">
        <w:rPr>
          <w:rFonts w:asciiTheme="majorHAnsi" w:hAnsiTheme="majorHAnsi"/>
        </w:rPr>
        <w:t xml:space="preserve">čného plánu energetickej efektívnosti </w:t>
      </w:r>
      <w:r>
        <w:rPr>
          <w:rFonts w:asciiTheme="majorHAnsi" w:hAnsiTheme="majorHAnsi"/>
        </w:rPr>
        <w:t>S</w:t>
      </w:r>
      <w:r w:rsidRPr="009E19EE">
        <w:rPr>
          <w:rFonts w:asciiTheme="majorHAnsi" w:hAnsiTheme="majorHAnsi"/>
        </w:rPr>
        <w:t>R na roky 2014</w:t>
      </w:r>
      <w:r w:rsidR="00062F95">
        <w:rPr>
          <w:rFonts w:asciiTheme="majorHAnsi" w:hAnsiTheme="majorHAnsi"/>
        </w:rPr>
        <w:t xml:space="preserve"> </w:t>
      </w:r>
      <w:r w:rsidR="00E24712">
        <w:rPr>
          <w:rFonts w:asciiTheme="majorHAnsi" w:hAnsiTheme="majorHAnsi"/>
        </w:rPr>
        <w:t>–</w:t>
      </w:r>
      <w:r w:rsidR="00062F95">
        <w:rPr>
          <w:rFonts w:asciiTheme="majorHAnsi" w:hAnsiTheme="majorHAnsi"/>
        </w:rPr>
        <w:t xml:space="preserve"> </w:t>
      </w:r>
      <w:r w:rsidRPr="009E19EE">
        <w:rPr>
          <w:rFonts w:asciiTheme="majorHAnsi" w:hAnsiTheme="majorHAnsi"/>
        </w:rPr>
        <w:t xml:space="preserve">2016 </w:t>
      </w:r>
      <w:r>
        <w:rPr>
          <w:rFonts w:asciiTheme="majorHAnsi" w:hAnsiTheme="majorHAnsi"/>
        </w:rPr>
        <w:t>s</w:t>
      </w:r>
      <w:r w:rsidRPr="009E19EE">
        <w:rPr>
          <w:rFonts w:asciiTheme="majorHAnsi" w:hAnsiTheme="majorHAnsi"/>
        </w:rPr>
        <w:t>a navrhuje ročná úspora energie v</w:t>
      </w:r>
      <w:r>
        <w:rPr>
          <w:rFonts w:asciiTheme="majorHAnsi" w:hAnsiTheme="majorHAnsi"/>
        </w:rPr>
        <w:t> </w:t>
      </w:r>
      <w:r w:rsidRPr="009E19EE">
        <w:rPr>
          <w:rFonts w:asciiTheme="majorHAnsi" w:hAnsiTheme="majorHAnsi"/>
        </w:rPr>
        <w:t>priemysle</w:t>
      </w:r>
      <w:r>
        <w:rPr>
          <w:rFonts w:asciiTheme="majorHAnsi" w:hAnsiTheme="majorHAnsi"/>
        </w:rPr>
        <w:t xml:space="preserve"> </w:t>
      </w:r>
      <w:r w:rsidRPr="009E19EE">
        <w:rPr>
          <w:rFonts w:asciiTheme="majorHAnsi" w:hAnsiTheme="majorHAnsi"/>
        </w:rPr>
        <w:t xml:space="preserve">na úrovni druhého </w:t>
      </w:r>
      <w:r>
        <w:rPr>
          <w:rFonts w:asciiTheme="majorHAnsi" w:hAnsiTheme="majorHAnsi"/>
        </w:rPr>
        <w:t>ak</w:t>
      </w:r>
      <w:r w:rsidRPr="009E19EE">
        <w:rPr>
          <w:rFonts w:asciiTheme="majorHAnsi" w:hAnsiTheme="majorHAnsi"/>
        </w:rPr>
        <w:t xml:space="preserve">čného plánu energetickej efektívnosti, čo predstavuje </w:t>
      </w:r>
      <w:r>
        <w:rPr>
          <w:rFonts w:asciiTheme="majorHAnsi" w:hAnsiTheme="majorHAnsi"/>
        </w:rPr>
        <w:t>k</w:t>
      </w:r>
      <w:r w:rsidRPr="009E19EE">
        <w:rPr>
          <w:rFonts w:asciiTheme="majorHAnsi" w:hAnsiTheme="majorHAnsi"/>
        </w:rPr>
        <w:t xml:space="preserve">aždoročné zníženie </w:t>
      </w:r>
      <w:r>
        <w:rPr>
          <w:rFonts w:asciiTheme="majorHAnsi" w:hAnsiTheme="majorHAnsi"/>
        </w:rPr>
        <w:lastRenderedPageBreak/>
        <w:t>k</w:t>
      </w:r>
      <w:r w:rsidRPr="009E19EE">
        <w:rPr>
          <w:rFonts w:asciiTheme="majorHAnsi" w:hAnsiTheme="majorHAnsi"/>
        </w:rPr>
        <w:t xml:space="preserve">onečnej energetickej </w:t>
      </w:r>
      <w:r>
        <w:rPr>
          <w:rFonts w:asciiTheme="majorHAnsi" w:hAnsiTheme="majorHAnsi"/>
        </w:rPr>
        <w:t>s</w:t>
      </w:r>
      <w:r w:rsidRPr="009E19EE">
        <w:rPr>
          <w:rFonts w:asciiTheme="majorHAnsi" w:hAnsiTheme="majorHAnsi"/>
        </w:rPr>
        <w:t>potreby v</w:t>
      </w:r>
      <w:r>
        <w:rPr>
          <w:rFonts w:asciiTheme="majorHAnsi" w:hAnsiTheme="majorHAnsi"/>
        </w:rPr>
        <w:t> </w:t>
      </w:r>
      <w:r w:rsidRPr="009E19EE">
        <w:rPr>
          <w:rFonts w:asciiTheme="majorHAnsi" w:hAnsiTheme="majorHAnsi"/>
        </w:rPr>
        <w:t>priemysle vo výške zhruba 2 000 TJ (1,5</w:t>
      </w:r>
      <w:r>
        <w:rPr>
          <w:rFonts w:asciiTheme="majorHAnsi" w:hAnsiTheme="majorHAnsi"/>
        </w:rPr>
        <w:t xml:space="preserve"> </w:t>
      </w:r>
      <w:r w:rsidRPr="009E19EE">
        <w:rPr>
          <w:rFonts w:asciiTheme="majorHAnsi" w:hAnsiTheme="majorHAnsi"/>
        </w:rPr>
        <w:t>% z</w:t>
      </w:r>
      <w:r>
        <w:rPr>
          <w:rFonts w:asciiTheme="majorHAnsi" w:hAnsiTheme="majorHAnsi"/>
        </w:rPr>
        <w:t> </w:t>
      </w:r>
      <w:r w:rsidRPr="009E19EE">
        <w:rPr>
          <w:rFonts w:asciiTheme="majorHAnsi" w:hAnsiTheme="majorHAnsi"/>
        </w:rPr>
        <w:t>priemernej</w:t>
      </w:r>
      <w:r>
        <w:rPr>
          <w:rFonts w:asciiTheme="majorHAnsi" w:hAnsiTheme="majorHAnsi"/>
        </w:rPr>
        <w:t xml:space="preserve"> ko</w:t>
      </w:r>
      <w:r w:rsidRPr="009E19EE">
        <w:rPr>
          <w:rFonts w:asciiTheme="majorHAnsi" w:hAnsiTheme="majorHAnsi"/>
        </w:rPr>
        <w:t xml:space="preserve">nečnej energetickej </w:t>
      </w:r>
      <w:r>
        <w:rPr>
          <w:rFonts w:asciiTheme="majorHAnsi" w:hAnsiTheme="majorHAnsi"/>
        </w:rPr>
        <w:t>s</w:t>
      </w:r>
      <w:r w:rsidRPr="009E19EE">
        <w:rPr>
          <w:rFonts w:asciiTheme="majorHAnsi" w:hAnsiTheme="majorHAnsi"/>
        </w:rPr>
        <w:t>potreby priemyslu v rokoch 2010</w:t>
      </w:r>
      <w:r>
        <w:rPr>
          <w:rFonts w:asciiTheme="majorHAnsi" w:hAnsiTheme="majorHAnsi"/>
        </w:rPr>
        <w:t xml:space="preserve"> – </w:t>
      </w:r>
      <w:r w:rsidRPr="009E19EE">
        <w:rPr>
          <w:rFonts w:asciiTheme="majorHAnsi" w:hAnsiTheme="majorHAnsi"/>
        </w:rPr>
        <w:t>2012)</w:t>
      </w:r>
      <w:r>
        <w:rPr>
          <w:rFonts w:asciiTheme="majorHAnsi" w:hAnsiTheme="majorHAnsi"/>
        </w:rPr>
        <w:t>.</w:t>
      </w:r>
    </w:p>
    <w:p w:rsidR="00B07B93" w:rsidRPr="00B07B93" w:rsidRDefault="00B07B93" w:rsidP="001E2900">
      <w:pPr>
        <w:keepNext/>
        <w:keepLines/>
        <w:numPr>
          <w:ilvl w:val="4"/>
          <w:numId w:val="2"/>
        </w:numPr>
        <w:spacing w:before="200" w:after="0"/>
        <w:outlineLvl w:val="4"/>
        <w:rPr>
          <w:rFonts w:asciiTheme="majorHAnsi" w:hAnsiTheme="majorHAnsi"/>
          <w:color w:val="243F60"/>
        </w:rPr>
      </w:pPr>
      <w:r w:rsidRPr="00B07B93">
        <w:rPr>
          <w:rFonts w:asciiTheme="majorHAnsi" w:hAnsiTheme="majorHAnsi"/>
          <w:color w:val="243F60"/>
        </w:rPr>
        <w:t>Nízka energetická efektívnosť v pôdohospodárstve</w:t>
      </w:r>
    </w:p>
    <w:p w:rsidR="00B07B93" w:rsidRPr="00041368" w:rsidRDefault="00B07B93" w:rsidP="00B07B93">
      <w:pPr>
        <w:rPr>
          <w:rFonts w:asciiTheme="majorHAnsi" w:hAnsiTheme="majorHAnsi"/>
        </w:rPr>
      </w:pPr>
      <w:r w:rsidRPr="00041368">
        <w:rPr>
          <w:rFonts w:asciiTheme="majorHAnsi" w:hAnsiTheme="majorHAnsi"/>
        </w:rPr>
        <w:t>V</w:t>
      </w:r>
      <w:r w:rsidR="007A0FC0">
        <w:rPr>
          <w:rFonts w:asciiTheme="majorHAnsi" w:hAnsiTheme="majorHAnsi"/>
        </w:rPr>
        <w:t> </w:t>
      </w:r>
      <w:r w:rsidRPr="00041368">
        <w:rPr>
          <w:rFonts w:asciiTheme="majorHAnsi" w:hAnsiTheme="majorHAnsi"/>
        </w:rPr>
        <w:t xml:space="preserve">zmysle Akčného plánu energetickej efektívnosti na roky 2011 – 2013, bol podiel pôdohospodárstva na konečnej energetickej spotrebe SR počas sledovaných rokov 2001 – 2009 najnižší, avšak aj najstabilnejší. Podľa indikátorovej sektorovej správy o vplyve pôdohospodárstva </w:t>
      </w:r>
      <w:r w:rsidR="00760AC7" w:rsidRPr="00041368">
        <w:rPr>
          <w:rFonts w:asciiTheme="majorHAnsi" w:hAnsiTheme="majorHAnsi"/>
        </w:rPr>
        <w:t>n</w:t>
      </w:r>
      <w:r w:rsidRPr="00041368">
        <w:rPr>
          <w:rFonts w:asciiTheme="majorHAnsi" w:hAnsiTheme="majorHAnsi"/>
        </w:rPr>
        <w:t xml:space="preserve">a životné prostredie z roku 2010, ktorú vypracovala Slovenská agentúra životného prostredia, sa v poľnohospodárstve po roku 2001 začal prejavovať pozitívny trend environmentálnej efektivity vo vzťahu k spotrebe palív a energie. </w:t>
      </w:r>
      <w:r w:rsidRPr="00041368">
        <w:rPr>
          <w:rFonts w:ascii="Calibri" w:eastAsia="Calibri" w:hAnsi="Calibri"/>
          <w:szCs w:val="22"/>
        </w:rPr>
        <w:t>V</w:t>
      </w:r>
      <w:r w:rsidR="007A0FC0">
        <w:rPr>
          <w:rFonts w:ascii="Calibri" w:eastAsia="Calibri" w:hAnsi="Calibri"/>
          <w:szCs w:val="22"/>
        </w:rPr>
        <w:t> </w:t>
      </w:r>
      <w:r w:rsidRPr="00041368">
        <w:rPr>
          <w:rFonts w:ascii="Calibri" w:eastAsia="Calibri" w:hAnsi="Calibri"/>
          <w:szCs w:val="22"/>
        </w:rPr>
        <w:t xml:space="preserve">roku 2011 bolo v poľnohospodárstve a lesníctve využitých </w:t>
      </w:r>
      <w:r w:rsidR="001E2900" w:rsidRPr="00041368">
        <w:rPr>
          <w:rFonts w:ascii="Calibri" w:eastAsia="Calibri" w:hAnsi="Calibri"/>
          <w:szCs w:val="22"/>
        </w:rPr>
        <w:br/>
      </w:r>
      <w:r w:rsidRPr="008C7D2A">
        <w:rPr>
          <w:rFonts w:ascii="Calibri" w:eastAsia="Calibri" w:hAnsi="Calibri"/>
          <w:szCs w:val="22"/>
        </w:rPr>
        <w:t>157 kToe energie, čo v prepoč</w:t>
      </w:r>
      <w:r w:rsidRPr="008D6A6D">
        <w:rPr>
          <w:rFonts w:ascii="Calibri" w:eastAsia="Calibri" w:hAnsi="Calibri"/>
          <w:szCs w:val="22"/>
        </w:rPr>
        <w:t xml:space="preserve">te na 1 ha využívanej poľnohospodárskej pôdy znamená spotrebu </w:t>
      </w:r>
      <w:r w:rsidR="001E2900" w:rsidRPr="008D6A6D">
        <w:rPr>
          <w:rFonts w:ascii="Calibri" w:eastAsia="Calibri" w:hAnsi="Calibri"/>
          <w:szCs w:val="22"/>
        </w:rPr>
        <w:br/>
      </w:r>
      <w:r w:rsidRPr="005801AE">
        <w:rPr>
          <w:rFonts w:ascii="Calibri" w:eastAsia="Calibri" w:hAnsi="Calibri"/>
          <w:szCs w:val="22"/>
        </w:rPr>
        <w:t xml:space="preserve">40,6 kg olejového ekvivalentu. V potravinárstve bola spotrebovaná energia 121 kToe. </w:t>
      </w:r>
      <w:r w:rsidRPr="005801AE">
        <w:rPr>
          <w:rFonts w:ascii="Calibri" w:eastAsia="MS Mincho" w:hAnsi="Calibri" w:cs="Arial"/>
          <w:szCs w:val="22"/>
        </w:rPr>
        <w:t>V zmysle návrhu energetickej politiky SR je možné v</w:t>
      </w:r>
      <w:r w:rsidR="007A0FC0">
        <w:rPr>
          <w:rFonts w:ascii="Calibri" w:eastAsia="MS Mincho" w:hAnsi="Calibri" w:cs="Arial"/>
          <w:szCs w:val="22"/>
        </w:rPr>
        <w:t> </w:t>
      </w:r>
      <w:r w:rsidRPr="005801AE">
        <w:rPr>
          <w:rFonts w:ascii="Calibri" w:eastAsia="MS Mincho" w:hAnsi="Calibri" w:cs="Arial"/>
          <w:szCs w:val="22"/>
        </w:rPr>
        <w:t>pôdohospodárstve očakávať pokles spotreby energie zavádzaním nových technológií a</w:t>
      </w:r>
      <w:r w:rsidR="007A0FC0">
        <w:rPr>
          <w:rFonts w:ascii="Calibri" w:eastAsia="MS Mincho" w:hAnsi="Calibri" w:cs="Arial"/>
          <w:szCs w:val="22"/>
        </w:rPr>
        <w:t> </w:t>
      </w:r>
      <w:r w:rsidRPr="005801AE">
        <w:rPr>
          <w:rFonts w:ascii="Calibri" w:eastAsia="MS Mincho" w:hAnsi="Calibri" w:cs="Arial"/>
          <w:szCs w:val="22"/>
        </w:rPr>
        <w:t>zvyšovaním podielu „samozásobovania“ energiou.</w:t>
      </w:r>
      <w:r w:rsidRPr="005801AE">
        <w:rPr>
          <w:rFonts w:ascii="Calibri" w:hAnsi="Calibri"/>
          <w:szCs w:val="22"/>
        </w:rPr>
        <w:t xml:space="preserve"> </w:t>
      </w:r>
      <w:r w:rsidRPr="00041368">
        <w:rPr>
          <w:rFonts w:asciiTheme="majorHAnsi" w:hAnsiTheme="majorHAnsi"/>
        </w:rPr>
        <w:t>Pre splnenie stanovených cieľov úspor energie a zníženia konečnej energetickej spotreby SR je potrebné podporiť investície do energeticky efektívnejších technológií a hospodárnejších budov aj v sektore pôdohospodárstva.</w:t>
      </w:r>
    </w:p>
    <w:p w:rsidR="00406C25" w:rsidRPr="00A11FE0" w:rsidRDefault="00406C25" w:rsidP="001E2900">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Neudržateľná doprava</w:t>
      </w:r>
    </w:p>
    <w:p w:rsidR="00406C25" w:rsidRPr="00A11FE0" w:rsidRDefault="00406C25" w:rsidP="00406C25">
      <w:pPr>
        <w:tabs>
          <w:tab w:val="num" w:pos="720"/>
        </w:tabs>
        <w:rPr>
          <w:rFonts w:asciiTheme="majorHAnsi" w:hAnsiTheme="majorHAnsi"/>
        </w:rPr>
      </w:pPr>
      <w:r w:rsidRPr="00A11FE0">
        <w:rPr>
          <w:rFonts w:asciiTheme="majorHAnsi" w:hAnsiTheme="majorHAnsi"/>
        </w:rPr>
        <w:t xml:space="preserve">Hlavným </w:t>
      </w:r>
      <w:r w:rsidR="00BD5FD5">
        <w:rPr>
          <w:rFonts w:asciiTheme="majorHAnsi" w:hAnsiTheme="majorHAnsi"/>
        </w:rPr>
        <w:t>s</w:t>
      </w:r>
      <w:r w:rsidRPr="00A11FE0">
        <w:rPr>
          <w:rFonts w:asciiTheme="majorHAnsi" w:hAnsiTheme="majorHAnsi"/>
        </w:rPr>
        <w:t>ektorom, v</w:t>
      </w:r>
      <w:r w:rsidR="007A0FC0">
        <w:rPr>
          <w:rFonts w:asciiTheme="majorHAnsi" w:hAnsiTheme="majorHAnsi"/>
        </w:rPr>
        <w:t> </w:t>
      </w:r>
      <w:r w:rsidR="00BD5FD5">
        <w:rPr>
          <w:rFonts w:asciiTheme="majorHAnsi" w:hAnsiTheme="majorHAnsi"/>
        </w:rPr>
        <w:t>k</w:t>
      </w:r>
      <w:r w:rsidRPr="00A11FE0">
        <w:rPr>
          <w:rFonts w:asciiTheme="majorHAnsi" w:hAnsiTheme="majorHAnsi"/>
        </w:rPr>
        <w:t xml:space="preserve">torom </w:t>
      </w:r>
      <w:r w:rsidR="00BD5FD5">
        <w:rPr>
          <w:rFonts w:asciiTheme="majorHAnsi" w:hAnsiTheme="majorHAnsi"/>
        </w:rPr>
        <w:t>s</w:t>
      </w:r>
      <w:r w:rsidRPr="00A11FE0">
        <w:rPr>
          <w:rFonts w:asciiTheme="majorHAnsi" w:hAnsiTheme="majorHAnsi"/>
        </w:rPr>
        <w:t xml:space="preserve">a </w:t>
      </w:r>
      <w:r w:rsidR="00BD5FD5">
        <w:rPr>
          <w:rFonts w:asciiTheme="majorHAnsi" w:hAnsiTheme="majorHAnsi"/>
        </w:rPr>
        <w:t>S</w:t>
      </w:r>
      <w:r w:rsidRPr="00A11FE0">
        <w:rPr>
          <w:rFonts w:asciiTheme="majorHAnsi" w:hAnsiTheme="majorHAnsi"/>
        </w:rPr>
        <w:t xml:space="preserve">R nedarí </w:t>
      </w:r>
      <w:r w:rsidR="00BD5FD5">
        <w:rPr>
          <w:rFonts w:asciiTheme="majorHAnsi" w:hAnsiTheme="majorHAnsi"/>
        </w:rPr>
        <w:t>s</w:t>
      </w:r>
      <w:r w:rsidRPr="00A11FE0">
        <w:rPr>
          <w:rFonts w:asciiTheme="majorHAnsi" w:hAnsiTheme="majorHAnsi"/>
        </w:rPr>
        <w:t>tabilizovať rast podstatného objemu</w:t>
      </w:r>
      <w:r w:rsidRPr="00A11FE0">
        <w:rPr>
          <w:rFonts w:asciiTheme="majorHAnsi" w:hAnsiTheme="majorHAnsi"/>
          <w:vertAlign w:val="superscript"/>
        </w:rPr>
        <w:footnoteReference w:id="172"/>
      </w:r>
      <w:r w:rsidRPr="00A11FE0">
        <w:rPr>
          <w:rFonts w:asciiTheme="majorHAnsi" w:hAnsiTheme="majorHAnsi"/>
        </w:rPr>
        <w:t xml:space="preserve"> emisií </w:t>
      </w:r>
      <w:r w:rsidR="00BD5FD5">
        <w:rPr>
          <w:rFonts w:asciiTheme="majorHAnsi" w:hAnsiTheme="majorHAnsi"/>
        </w:rPr>
        <w:t>s</w:t>
      </w:r>
      <w:r w:rsidRPr="00A11FE0">
        <w:rPr>
          <w:rFonts w:asciiTheme="majorHAnsi" w:hAnsiTheme="majorHAnsi"/>
        </w:rPr>
        <w:t xml:space="preserve">kleníkových plynov, je </w:t>
      </w:r>
      <w:r w:rsidR="00BD5FD5">
        <w:rPr>
          <w:rFonts w:asciiTheme="majorHAnsi" w:hAnsiTheme="majorHAnsi"/>
        </w:rPr>
        <w:t>s</w:t>
      </w:r>
      <w:r w:rsidRPr="00A11FE0">
        <w:rPr>
          <w:rFonts w:asciiTheme="majorHAnsi" w:hAnsiTheme="majorHAnsi"/>
        </w:rPr>
        <w:t xml:space="preserve">ektor cestnej dopravy v dôsledku rozmachu individuálnej </w:t>
      </w:r>
      <w:r w:rsidR="00BD5FD5">
        <w:rPr>
          <w:rFonts w:asciiTheme="majorHAnsi" w:hAnsiTheme="majorHAnsi"/>
        </w:rPr>
        <w:t>a</w:t>
      </w:r>
      <w:r w:rsidRPr="00A11FE0">
        <w:rPr>
          <w:rFonts w:asciiTheme="majorHAnsi" w:hAnsiTheme="majorHAnsi"/>
        </w:rPr>
        <w:t>utomobilovej dopravy</w:t>
      </w:r>
      <w:r w:rsidRPr="00A11FE0">
        <w:rPr>
          <w:rFonts w:asciiTheme="majorHAnsi" w:hAnsiTheme="majorHAnsi"/>
          <w:vertAlign w:val="superscript"/>
        </w:rPr>
        <w:footnoteReference w:id="173"/>
      </w:r>
      <w:r w:rsidR="008C2661">
        <w:rPr>
          <w:rFonts w:asciiTheme="majorHAnsi" w:hAnsiTheme="majorHAnsi"/>
        </w:rPr>
        <w:t xml:space="preserve">, </w:t>
      </w:r>
      <w:r w:rsidR="008C2661" w:rsidRPr="00A00106">
        <w:rPr>
          <w:rFonts w:asciiTheme="majorHAnsi" w:hAnsiTheme="majorHAnsi"/>
        </w:rPr>
        <w:t>zastaranej verejnej dopravy a</w:t>
      </w:r>
      <w:r w:rsidR="007A0FC0">
        <w:rPr>
          <w:rFonts w:asciiTheme="majorHAnsi" w:hAnsiTheme="majorHAnsi"/>
        </w:rPr>
        <w:t> </w:t>
      </w:r>
      <w:r w:rsidR="008C2661" w:rsidRPr="00A00106">
        <w:rPr>
          <w:rFonts w:asciiTheme="majorHAnsi" w:hAnsiTheme="majorHAnsi"/>
        </w:rPr>
        <w:t>nedostatočného využívania nemotorovej dopravy, predovšetkým cyklo-dopravy</w:t>
      </w:r>
      <w:r w:rsidRPr="00A11FE0">
        <w:rPr>
          <w:rFonts w:asciiTheme="majorHAnsi" w:hAnsiTheme="majorHAnsi"/>
        </w:rPr>
        <w:t>. Od roku 1990 podiel emisií z</w:t>
      </w:r>
      <w:r w:rsidR="007A0FC0">
        <w:rPr>
          <w:rFonts w:asciiTheme="majorHAnsi" w:hAnsiTheme="majorHAnsi"/>
        </w:rPr>
        <w:t> </w:t>
      </w:r>
      <w:r w:rsidRPr="00A11FE0">
        <w:rPr>
          <w:rFonts w:asciiTheme="majorHAnsi" w:hAnsiTheme="majorHAnsi"/>
        </w:rPr>
        <w:t>dopravy na celkových emisiách vzrástol o</w:t>
      </w:r>
      <w:r w:rsidR="007A0FC0">
        <w:rPr>
          <w:rFonts w:asciiTheme="majorHAnsi" w:hAnsiTheme="majorHAnsi"/>
        </w:rPr>
        <w:t> </w:t>
      </w:r>
      <w:r w:rsidRPr="00A11FE0">
        <w:rPr>
          <w:rFonts w:asciiTheme="majorHAnsi" w:hAnsiTheme="majorHAnsi"/>
        </w:rPr>
        <w:t>11,5 %.</w:t>
      </w:r>
    </w:p>
    <w:p w:rsidR="00406C25" w:rsidRPr="00A11FE0" w:rsidRDefault="00406C25" w:rsidP="001E2900">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 xml:space="preserve">Nízka energetická efektívnosť budov </w:t>
      </w:r>
      <w:r w:rsidR="00BD5FD5">
        <w:rPr>
          <w:rFonts w:asciiTheme="majorHAnsi" w:hAnsiTheme="majorHAnsi"/>
          <w:color w:val="243F60"/>
        </w:rPr>
        <w:t>a</w:t>
      </w:r>
      <w:r w:rsidR="00E30201">
        <w:rPr>
          <w:rFonts w:asciiTheme="majorHAnsi" w:hAnsiTheme="majorHAnsi"/>
          <w:color w:val="243F60"/>
        </w:rPr>
        <w:t> </w:t>
      </w:r>
      <w:r w:rsidR="00BD5FD5">
        <w:rPr>
          <w:rFonts w:asciiTheme="majorHAnsi" w:hAnsiTheme="majorHAnsi"/>
          <w:color w:val="243F60"/>
        </w:rPr>
        <w:t>s</w:t>
      </w:r>
      <w:r w:rsidRPr="00A11FE0">
        <w:rPr>
          <w:rFonts w:asciiTheme="majorHAnsi" w:hAnsiTheme="majorHAnsi"/>
          <w:color w:val="243F60"/>
        </w:rPr>
        <w:t>lužieb</w:t>
      </w:r>
    </w:p>
    <w:p w:rsidR="00406C25" w:rsidRDefault="00406C25" w:rsidP="00406C25">
      <w:pPr>
        <w:rPr>
          <w:rFonts w:asciiTheme="majorHAnsi" w:hAnsiTheme="majorHAnsi"/>
        </w:rPr>
      </w:pPr>
      <w:r w:rsidRPr="00A11FE0">
        <w:rPr>
          <w:rFonts w:asciiTheme="majorHAnsi" w:hAnsiTheme="majorHAnsi"/>
        </w:rPr>
        <w:t xml:space="preserve">Na </w:t>
      </w:r>
      <w:r w:rsidR="00BD5FD5">
        <w:rPr>
          <w:rFonts w:asciiTheme="majorHAnsi" w:hAnsiTheme="majorHAnsi"/>
        </w:rPr>
        <w:t>k</w:t>
      </w:r>
      <w:r w:rsidRPr="00A11FE0">
        <w:rPr>
          <w:rFonts w:asciiTheme="majorHAnsi" w:hAnsiTheme="majorHAnsi"/>
        </w:rPr>
        <w:t xml:space="preserve">onečnú energetickú </w:t>
      </w:r>
      <w:r w:rsidR="00BD5FD5">
        <w:rPr>
          <w:rFonts w:asciiTheme="majorHAnsi" w:hAnsiTheme="majorHAnsi"/>
        </w:rPr>
        <w:t>s</w:t>
      </w:r>
      <w:r w:rsidRPr="00A11FE0">
        <w:rPr>
          <w:rFonts w:asciiTheme="majorHAnsi" w:hAnsiTheme="majorHAnsi"/>
        </w:rPr>
        <w:t xml:space="preserve">potrebu domácností, </w:t>
      </w:r>
      <w:r w:rsidR="00BD5FD5">
        <w:rPr>
          <w:rFonts w:asciiTheme="majorHAnsi" w:hAnsiTheme="majorHAnsi"/>
        </w:rPr>
        <w:t>s</w:t>
      </w:r>
      <w:r w:rsidRPr="00A11FE0">
        <w:rPr>
          <w:rFonts w:asciiTheme="majorHAnsi" w:hAnsiTheme="majorHAnsi"/>
        </w:rPr>
        <w:t xml:space="preserve">ektoru obchodu </w:t>
      </w:r>
      <w:r w:rsidR="00BD5FD5">
        <w:rPr>
          <w:rFonts w:asciiTheme="majorHAnsi" w:hAnsiTheme="majorHAnsi"/>
        </w:rPr>
        <w:t>a s</w:t>
      </w:r>
      <w:r w:rsidRPr="00A11FE0">
        <w:rPr>
          <w:rFonts w:asciiTheme="majorHAnsi" w:hAnsiTheme="majorHAnsi"/>
        </w:rPr>
        <w:t>lužieb</w:t>
      </w:r>
      <w:r w:rsidR="00775772" w:rsidRPr="00A11FE0">
        <w:rPr>
          <w:rFonts w:asciiTheme="majorHAnsi" w:hAnsiTheme="majorHAnsi"/>
        </w:rPr>
        <w:t>,</w:t>
      </w:r>
      <w:r w:rsidRPr="00A11FE0">
        <w:rPr>
          <w:rFonts w:asciiTheme="majorHAnsi" w:hAnsiTheme="majorHAnsi"/>
        </w:rPr>
        <w:t xml:space="preserve"> vrátane </w:t>
      </w:r>
      <w:r w:rsidR="00BD5FD5">
        <w:rPr>
          <w:rFonts w:asciiTheme="majorHAnsi" w:hAnsiTheme="majorHAnsi"/>
        </w:rPr>
        <w:t>s</w:t>
      </w:r>
      <w:r w:rsidRPr="00A11FE0">
        <w:rPr>
          <w:rFonts w:asciiTheme="majorHAnsi" w:hAnsiTheme="majorHAnsi"/>
        </w:rPr>
        <w:t>lužieb poskytovaných verejnými inštitúciami</w:t>
      </w:r>
      <w:r w:rsidR="00775772" w:rsidRPr="00A11FE0">
        <w:rPr>
          <w:rFonts w:asciiTheme="majorHAnsi" w:hAnsiTheme="majorHAnsi"/>
        </w:rPr>
        <w:t>,</w:t>
      </w:r>
      <w:r w:rsidRPr="00A11FE0">
        <w:rPr>
          <w:rFonts w:asciiTheme="majorHAnsi" w:hAnsiTheme="majorHAnsi"/>
        </w:rPr>
        <w:t xml:space="preserve"> má </w:t>
      </w:r>
      <w:r w:rsidR="00BD5FD5">
        <w:rPr>
          <w:rFonts w:asciiTheme="majorHAnsi" w:hAnsiTheme="majorHAnsi"/>
        </w:rPr>
        <w:t>s</w:t>
      </w:r>
      <w:r w:rsidRPr="00A11FE0">
        <w:rPr>
          <w:rFonts w:asciiTheme="majorHAnsi" w:hAnsiTheme="majorHAnsi"/>
        </w:rPr>
        <w:t>potreba budov najväčší vplyv. Podiel energeticky hospodárnych budov v </w:t>
      </w:r>
      <w:r w:rsidR="00BD5FD5">
        <w:rPr>
          <w:rFonts w:asciiTheme="majorHAnsi" w:hAnsiTheme="majorHAnsi"/>
        </w:rPr>
        <w:t>S</w:t>
      </w:r>
      <w:r w:rsidRPr="00A11FE0">
        <w:rPr>
          <w:rFonts w:asciiTheme="majorHAnsi" w:hAnsiTheme="majorHAnsi"/>
        </w:rPr>
        <w:t>R je nízky. V</w:t>
      </w:r>
      <w:r w:rsidR="007A0FC0">
        <w:rPr>
          <w:rFonts w:asciiTheme="majorHAnsi" w:hAnsiTheme="majorHAnsi"/>
        </w:rPr>
        <w:t> </w:t>
      </w:r>
      <w:r w:rsidRPr="00A11FE0">
        <w:rPr>
          <w:rFonts w:asciiTheme="majorHAnsi" w:hAnsiTheme="majorHAnsi"/>
        </w:rPr>
        <w:t>období</w:t>
      </w:r>
      <w:r w:rsidR="007A0FC0">
        <w:rPr>
          <w:rFonts w:asciiTheme="majorHAnsi" w:hAnsiTheme="majorHAnsi"/>
        </w:rPr>
        <w:t xml:space="preserve"> </w:t>
      </w:r>
      <w:r w:rsidRPr="00A11FE0">
        <w:rPr>
          <w:rFonts w:asciiTheme="majorHAnsi" w:hAnsiTheme="majorHAnsi"/>
        </w:rPr>
        <w:t xml:space="preserve">2008 </w:t>
      </w:r>
      <w:r w:rsidR="006A2728">
        <w:rPr>
          <w:rFonts w:asciiTheme="majorHAnsi" w:hAnsiTheme="majorHAnsi"/>
        </w:rPr>
        <w:t>–</w:t>
      </w:r>
      <w:r w:rsidRPr="00A11FE0">
        <w:rPr>
          <w:rFonts w:asciiTheme="majorHAnsi" w:hAnsiTheme="majorHAnsi"/>
        </w:rPr>
        <w:t xml:space="preserve"> 2010</w:t>
      </w:r>
      <w:r w:rsidR="006A2728">
        <w:rPr>
          <w:rFonts w:asciiTheme="majorHAnsi" w:hAnsiTheme="majorHAnsi"/>
        </w:rPr>
        <w:t xml:space="preserve"> </w:t>
      </w:r>
      <w:r w:rsidR="00BD5FD5">
        <w:rPr>
          <w:rFonts w:asciiTheme="majorHAnsi" w:hAnsiTheme="majorHAnsi"/>
        </w:rPr>
        <w:t>s</w:t>
      </w:r>
      <w:r w:rsidRPr="00A11FE0">
        <w:rPr>
          <w:rFonts w:asciiTheme="majorHAnsi" w:hAnsiTheme="majorHAnsi"/>
        </w:rPr>
        <w:t xml:space="preserve">a zlepšením tepelno-technických vlastností budov ušetrilo cca 10 GWh (hodnota </w:t>
      </w:r>
      <w:r w:rsidR="00BD5FD5">
        <w:rPr>
          <w:rFonts w:asciiTheme="majorHAnsi" w:hAnsiTheme="majorHAnsi"/>
        </w:rPr>
        <w:t>s</w:t>
      </w:r>
      <w:r w:rsidRPr="00A11FE0">
        <w:rPr>
          <w:rFonts w:asciiTheme="majorHAnsi" w:hAnsiTheme="majorHAnsi"/>
        </w:rPr>
        <w:t xml:space="preserve">tanovená na základe 9 343 certifikátov). Inštalácia individuálnych meradiel tepla </w:t>
      </w:r>
      <w:r w:rsidR="00BD5FD5">
        <w:rPr>
          <w:rFonts w:asciiTheme="majorHAnsi" w:hAnsiTheme="majorHAnsi"/>
        </w:rPr>
        <w:t>a</w:t>
      </w:r>
      <w:r w:rsidR="007D717C" w:rsidRPr="00A11FE0">
        <w:rPr>
          <w:rFonts w:asciiTheme="majorHAnsi" w:hAnsiTheme="majorHAnsi"/>
        </w:rPr>
        <w:t> </w:t>
      </w:r>
      <w:r w:rsidRPr="00A11FE0">
        <w:rPr>
          <w:rFonts w:asciiTheme="majorHAnsi" w:hAnsiTheme="majorHAnsi"/>
        </w:rPr>
        <w:t>termoregulačných</w:t>
      </w:r>
      <w:r w:rsidR="007D717C" w:rsidRPr="00A11FE0">
        <w:rPr>
          <w:rFonts w:asciiTheme="majorHAnsi" w:hAnsiTheme="majorHAnsi"/>
        </w:rPr>
        <w:t xml:space="preserve"> </w:t>
      </w:r>
      <w:r w:rsidRPr="00A11FE0">
        <w:rPr>
          <w:rFonts w:asciiTheme="majorHAnsi" w:hAnsiTheme="majorHAnsi"/>
        </w:rPr>
        <w:t xml:space="preserve">ventilov na vykurovacích telesách taktiež prispieva </w:t>
      </w:r>
      <w:r w:rsidR="00BD5FD5">
        <w:rPr>
          <w:rFonts w:asciiTheme="majorHAnsi" w:hAnsiTheme="majorHAnsi"/>
        </w:rPr>
        <w:t>k </w:t>
      </w:r>
      <w:r w:rsidRPr="00A11FE0">
        <w:rPr>
          <w:rFonts w:asciiTheme="majorHAnsi" w:hAnsiTheme="majorHAnsi"/>
        </w:rPr>
        <w:t xml:space="preserve">zníženiu </w:t>
      </w:r>
      <w:r w:rsidR="00BD5FD5">
        <w:rPr>
          <w:rFonts w:asciiTheme="majorHAnsi" w:hAnsiTheme="majorHAnsi"/>
        </w:rPr>
        <w:t>s</w:t>
      </w:r>
      <w:r w:rsidRPr="00A11FE0">
        <w:rPr>
          <w:rFonts w:asciiTheme="majorHAnsi" w:hAnsiTheme="majorHAnsi"/>
        </w:rPr>
        <w:t>potreby tepla</w:t>
      </w:r>
      <w:r w:rsidR="00603F10" w:rsidRPr="00A11FE0">
        <w:rPr>
          <w:rFonts w:asciiTheme="majorHAnsi" w:hAnsiTheme="majorHAnsi"/>
        </w:rPr>
        <w:t>.</w:t>
      </w:r>
      <w:r w:rsidRPr="00A11FE0">
        <w:rPr>
          <w:rFonts w:asciiTheme="majorHAnsi" w:hAnsiTheme="majorHAnsi"/>
        </w:rPr>
        <w:t xml:space="preserve"> Do </w:t>
      </w:r>
      <w:r w:rsidR="00BD5FD5">
        <w:rPr>
          <w:rFonts w:asciiTheme="majorHAnsi" w:hAnsiTheme="majorHAnsi"/>
        </w:rPr>
        <w:t>k</w:t>
      </w:r>
      <w:r w:rsidRPr="00A11FE0">
        <w:rPr>
          <w:rFonts w:asciiTheme="majorHAnsi" w:hAnsiTheme="majorHAnsi"/>
        </w:rPr>
        <w:t xml:space="preserve">onca roku 2011 </w:t>
      </w:r>
      <w:r w:rsidR="00BD5FD5">
        <w:rPr>
          <w:rFonts w:asciiTheme="majorHAnsi" w:hAnsiTheme="majorHAnsi"/>
        </w:rPr>
        <w:t>s</w:t>
      </w:r>
      <w:r w:rsidRPr="00A11FE0">
        <w:rPr>
          <w:rFonts w:asciiTheme="majorHAnsi" w:hAnsiTheme="majorHAnsi"/>
        </w:rPr>
        <w:t xml:space="preserve">a obnovilo zhruba 32 % fondu bytových budov postavených po r. 1992. Do roku 2020 bude zateplená </w:t>
      </w:r>
      <w:r w:rsidR="00BD5FD5">
        <w:rPr>
          <w:rFonts w:asciiTheme="majorHAnsi" w:hAnsiTheme="majorHAnsi"/>
        </w:rPr>
        <w:t>as</w:t>
      </w:r>
      <w:r w:rsidRPr="00A11FE0">
        <w:rPr>
          <w:rFonts w:asciiTheme="majorHAnsi" w:hAnsiTheme="majorHAnsi"/>
        </w:rPr>
        <w:t>i polovica existujúcich budov. Podpora b</w:t>
      </w:r>
      <w:r w:rsidR="00055A0B">
        <w:rPr>
          <w:rFonts w:asciiTheme="majorHAnsi" w:hAnsiTheme="majorHAnsi"/>
        </w:rPr>
        <w:t>y mala byť</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merovaná</w:t>
      </w:r>
      <w:r w:rsidR="002D308A">
        <w:rPr>
          <w:rFonts w:asciiTheme="majorHAnsi" w:hAnsiTheme="majorHAnsi"/>
        </w:rPr>
        <w:t xml:space="preserve"> najmä</w:t>
      </w:r>
      <w:r w:rsidRPr="00A11FE0">
        <w:rPr>
          <w:rFonts w:asciiTheme="majorHAnsi" w:hAnsiTheme="majorHAnsi"/>
        </w:rPr>
        <w:t xml:space="preserve"> do významnej obnovy</w:t>
      </w:r>
      <w:r w:rsidR="002D308A">
        <w:rPr>
          <w:rFonts w:asciiTheme="majorHAnsi" w:hAnsiTheme="majorHAnsi"/>
        </w:rPr>
        <w:t xml:space="preserve"> </w:t>
      </w:r>
      <w:r w:rsidR="002D308A" w:rsidRPr="002D308A">
        <w:rPr>
          <w:rFonts w:asciiTheme="majorHAnsi" w:hAnsiTheme="majorHAnsi"/>
        </w:rPr>
        <w:t>bytových domov a verejných budov, t. j. budov, u ktorých sa predpokladá najväčší potenciál úspor energie (najmä administratívne budovy, školské budovy a budovy, v ktorých sa poskytuje zdravotná starostlivosť)</w:t>
      </w:r>
      <w:r w:rsidR="001E2900">
        <w:rPr>
          <w:rFonts w:asciiTheme="majorHAnsi" w:hAnsiTheme="majorHAnsi"/>
        </w:rPr>
        <w:t>, a</w:t>
      </w:r>
      <w:r w:rsidR="007A0FC0">
        <w:rPr>
          <w:rFonts w:asciiTheme="majorHAnsi" w:hAnsiTheme="majorHAnsi"/>
        </w:rPr>
        <w:t> </w:t>
      </w:r>
      <w:r w:rsidR="001E2900">
        <w:rPr>
          <w:rFonts w:asciiTheme="majorHAnsi" w:hAnsiTheme="majorHAnsi"/>
        </w:rPr>
        <w:t>to</w:t>
      </w:r>
      <w:r w:rsidR="002D308A" w:rsidRPr="002D308A">
        <w:rPr>
          <w:rFonts w:asciiTheme="majorHAnsi" w:hAnsiTheme="majorHAnsi"/>
        </w:rPr>
        <w:t xml:space="preserve"> v zmysle pripravovanej dlhodobej stratégie na mobilizáciu investícií do obnovy vnútroštátneho fondu obytných aj komerčných budov, a</w:t>
      </w:r>
      <w:r w:rsidR="001E2900">
        <w:rPr>
          <w:rFonts w:asciiTheme="majorHAnsi" w:hAnsiTheme="majorHAnsi"/>
        </w:rPr>
        <w:t>ko aj</w:t>
      </w:r>
      <w:r w:rsidR="002D308A" w:rsidRPr="002D308A">
        <w:rPr>
          <w:rFonts w:asciiTheme="majorHAnsi" w:hAnsiTheme="majorHAnsi"/>
        </w:rPr>
        <w:t xml:space="preserve"> verejných aj súkromných</w:t>
      </w:r>
      <w:r w:rsidR="001E2900">
        <w:rPr>
          <w:rFonts w:asciiTheme="majorHAnsi" w:hAnsiTheme="majorHAnsi"/>
        </w:rPr>
        <w:t xml:space="preserve"> budov</w:t>
      </w:r>
      <w:r w:rsidR="002D308A" w:rsidRPr="002D308A">
        <w:rPr>
          <w:rFonts w:asciiTheme="majorHAnsi" w:hAnsiTheme="majorHAnsi"/>
        </w:rPr>
        <w:t>, podľa čl. 4 smernice 2012/27/EÚ o energetickej efektívnosti</w:t>
      </w:r>
      <w:r w:rsidR="002D308A">
        <w:rPr>
          <w:rFonts w:asciiTheme="majorHAnsi" w:hAnsiTheme="majorHAnsi"/>
        </w:rPr>
        <w:t xml:space="preserve">. </w:t>
      </w:r>
      <w:r w:rsidR="002D308A" w:rsidRPr="002D308A">
        <w:rPr>
          <w:rFonts w:asciiTheme="majorHAnsi" w:hAnsiTheme="majorHAnsi"/>
        </w:rPr>
        <w:t>Významné zníženie externých dodávok energie, ktoré napomôže zníženiu emisií skleníkových plynov sa dosiahne implementáciou projektov, ktoré kombinujú úsporu energie na spotrebu tepla a využívanie OZE</w:t>
      </w:r>
      <w:r w:rsidR="001E2900">
        <w:rPr>
          <w:rFonts w:asciiTheme="majorHAnsi" w:hAnsiTheme="majorHAnsi"/>
        </w:rPr>
        <w:t>,</w:t>
      </w:r>
      <w:r w:rsidR="002D308A" w:rsidRPr="002D308A">
        <w:rPr>
          <w:rFonts w:asciiTheme="majorHAnsi" w:hAnsiTheme="majorHAnsi"/>
        </w:rPr>
        <w:t xml:space="preserve"> najmä pre svoju spotrebu.</w:t>
      </w:r>
      <w:r w:rsidRPr="00A11FE0">
        <w:rPr>
          <w:rFonts w:asciiTheme="majorHAnsi" w:hAnsiTheme="majorHAnsi"/>
        </w:rPr>
        <w:t xml:space="preserve"> </w:t>
      </w:r>
      <w:r w:rsidR="00EC298E">
        <w:rPr>
          <w:rFonts w:asciiTheme="majorHAnsi" w:hAnsiTheme="majorHAnsi"/>
        </w:rPr>
        <w:t>V</w:t>
      </w:r>
      <w:r w:rsidR="00145E20" w:rsidRPr="00145E20">
        <w:rPr>
          <w:rFonts w:asciiTheme="majorHAnsi" w:hAnsiTheme="majorHAnsi"/>
        </w:rPr>
        <w:t>yužívanie energetických služieb</w:t>
      </w:r>
      <w:r w:rsidR="00145E20">
        <w:rPr>
          <w:rFonts w:asciiTheme="majorHAnsi" w:hAnsiTheme="majorHAnsi"/>
        </w:rPr>
        <w:t xml:space="preserve"> </w:t>
      </w:r>
      <w:r w:rsidR="00145E20" w:rsidRPr="00145E20">
        <w:rPr>
          <w:rFonts w:asciiTheme="majorHAnsi" w:hAnsiTheme="majorHAnsi"/>
        </w:rPr>
        <w:t xml:space="preserve">(EPC – Energy Performance Contracting) </w:t>
      </w:r>
      <w:r w:rsidR="00EC298E">
        <w:rPr>
          <w:rFonts w:asciiTheme="majorHAnsi" w:hAnsiTheme="majorHAnsi"/>
        </w:rPr>
        <w:t xml:space="preserve">je plánované v zmysle výsledkov analýz v rámci národného projektu „Podpora nástrojov na zavádzanie a optimalizáciu opatrení v oblasti energetickej efektívnosti verejných budov“. EPC bude prioritizované v budovách, v ktorých energetický audit potvrdí vhodnosť tejto metódy. </w:t>
      </w:r>
    </w:p>
    <w:p w:rsidR="002D308A" w:rsidRDefault="002D308A" w:rsidP="00406C25">
      <w:pPr>
        <w:rPr>
          <w:rFonts w:asciiTheme="majorHAnsi" w:hAnsiTheme="majorHAnsi"/>
        </w:rPr>
      </w:pPr>
      <w:r w:rsidRPr="002D308A">
        <w:rPr>
          <w:rFonts w:asciiTheme="majorHAnsi" w:hAnsiTheme="majorHAnsi"/>
        </w:rPr>
        <w:lastRenderedPageBreak/>
        <w:t>Dôraz bude kladený najmä na to, aby sa jednotlivé navrhované opatrenia navzájom dopĺňali, s cieľom dosiahnuť optimálne využitie potenciálu úspor energie. Prioritou je zníženie spotreby energie a následne pokrytie nevyhnutnej spotreby z účinných systémov</w:t>
      </w:r>
      <w:r w:rsidR="002116F1">
        <w:rPr>
          <w:rFonts w:asciiTheme="majorHAnsi" w:hAnsiTheme="majorHAnsi"/>
        </w:rPr>
        <w:t xml:space="preserve"> centrálneho zásobovania teplom (ďalej len „</w:t>
      </w:r>
      <w:r w:rsidRPr="002D308A">
        <w:rPr>
          <w:rFonts w:asciiTheme="majorHAnsi" w:hAnsiTheme="majorHAnsi"/>
        </w:rPr>
        <w:t>CZT</w:t>
      </w:r>
      <w:r w:rsidR="002116F1">
        <w:rPr>
          <w:rFonts w:asciiTheme="majorHAnsi" w:hAnsiTheme="majorHAnsi"/>
        </w:rPr>
        <w:t>“),</w:t>
      </w:r>
      <w:r w:rsidRPr="002D308A">
        <w:rPr>
          <w:rFonts w:asciiTheme="majorHAnsi" w:hAnsiTheme="majorHAnsi"/>
        </w:rPr>
        <w:t xml:space="preserve"> alebo prostredníctvom inštalácie zariadení na využívanie OZE priamo v budove alebo jej tesnej blízkosti</w:t>
      </w:r>
      <w:r>
        <w:rPr>
          <w:rFonts w:asciiTheme="majorHAnsi" w:hAnsiTheme="majorHAnsi"/>
        </w:rPr>
        <w:t>.</w:t>
      </w:r>
    </w:p>
    <w:p w:rsidR="00D02033" w:rsidRPr="005F6B4A" w:rsidRDefault="00D02033" w:rsidP="00D02033">
      <w:pPr>
        <w:rPr>
          <w:rFonts w:eastAsia="Times New Roman"/>
          <w:szCs w:val="22"/>
        </w:rPr>
      </w:pPr>
      <w:r w:rsidRPr="00E77853">
        <w:rPr>
          <w:rFonts w:asciiTheme="majorHAnsi" w:hAnsiTheme="majorHAnsi"/>
        </w:rPr>
        <w:t xml:space="preserve">Vzhľadom na požiadavky </w:t>
      </w:r>
      <w:r w:rsidR="00BD5FD5">
        <w:rPr>
          <w:rFonts w:asciiTheme="majorHAnsi" w:hAnsiTheme="majorHAnsi"/>
        </w:rPr>
        <w:t>s</w:t>
      </w:r>
      <w:r w:rsidRPr="009E33B7">
        <w:rPr>
          <w:rFonts w:asciiTheme="majorHAnsi" w:hAnsiTheme="majorHAnsi"/>
        </w:rPr>
        <w:t>mernice 2010/31/EÚ o energetickej hospodárnosti budov</w:t>
      </w:r>
      <w:r w:rsidR="00DC3DE4">
        <w:rPr>
          <w:rFonts w:asciiTheme="majorHAnsi" w:hAnsiTheme="majorHAnsi"/>
        </w:rPr>
        <w:t>,</w:t>
      </w:r>
      <w:r w:rsidRPr="009E33B7">
        <w:rPr>
          <w:rFonts w:asciiTheme="majorHAnsi" w:hAnsiTheme="majorHAnsi"/>
        </w:rPr>
        <w:t xml:space="preserve"> by mali všetky nové verejné budovy postavené od roku 2019 </w:t>
      </w:r>
      <w:r w:rsidR="00BD5FD5">
        <w:rPr>
          <w:rFonts w:asciiTheme="majorHAnsi" w:hAnsiTheme="majorHAnsi"/>
        </w:rPr>
        <w:t>a </w:t>
      </w:r>
      <w:r w:rsidRPr="009E33B7">
        <w:rPr>
          <w:rFonts w:asciiTheme="majorHAnsi" w:hAnsiTheme="majorHAnsi"/>
        </w:rPr>
        <w:t xml:space="preserve">všetky budovy postavené od roku 2021, </w:t>
      </w:r>
      <w:r w:rsidR="00BD5FD5">
        <w:rPr>
          <w:rFonts w:asciiTheme="majorHAnsi" w:hAnsiTheme="majorHAnsi"/>
        </w:rPr>
        <w:t>s</w:t>
      </w:r>
      <w:r w:rsidRPr="009E33B7">
        <w:rPr>
          <w:rFonts w:asciiTheme="majorHAnsi" w:hAnsiTheme="majorHAnsi"/>
        </w:rPr>
        <w:t xml:space="preserve">pĺňať požiadavky budov </w:t>
      </w:r>
      <w:r w:rsidR="00BD5FD5">
        <w:rPr>
          <w:rFonts w:asciiTheme="majorHAnsi" w:hAnsiTheme="majorHAnsi"/>
        </w:rPr>
        <w:t>s </w:t>
      </w:r>
      <w:r w:rsidRPr="009E33B7">
        <w:rPr>
          <w:rFonts w:asciiTheme="majorHAnsi" w:hAnsiTheme="majorHAnsi"/>
        </w:rPr>
        <w:t xml:space="preserve">takmer nulovou </w:t>
      </w:r>
      <w:r w:rsidR="00BD5FD5">
        <w:rPr>
          <w:rFonts w:asciiTheme="majorHAnsi" w:hAnsiTheme="majorHAnsi"/>
        </w:rPr>
        <w:t>s</w:t>
      </w:r>
      <w:r w:rsidRPr="009E33B7">
        <w:rPr>
          <w:rFonts w:asciiTheme="majorHAnsi" w:hAnsiTheme="majorHAnsi"/>
        </w:rPr>
        <w:t xml:space="preserve">potrebou energie. Predmetné požiadavky </w:t>
      </w:r>
      <w:r w:rsidR="00BD5FD5">
        <w:rPr>
          <w:rFonts w:asciiTheme="majorHAnsi" w:hAnsiTheme="majorHAnsi"/>
        </w:rPr>
        <w:t>s</w:t>
      </w:r>
      <w:r w:rsidRPr="009E33B7">
        <w:rPr>
          <w:rFonts w:asciiTheme="majorHAnsi" w:hAnsiTheme="majorHAnsi"/>
        </w:rPr>
        <w:t xml:space="preserve">ú zohľadnené </w:t>
      </w:r>
      <w:r w:rsidR="00BD5FD5">
        <w:rPr>
          <w:rFonts w:asciiTheme="majorHAnsi" w:hAnsiTheme="majorHAnsi"/>
        </w:rPr>
        <w:t>a</w:t>
      </w:r>
      <w:r w:rsidRPr="009E33B7">
        <w:rPr>
          <w:rFonts w:asciiTheme="majorHAnsi" w:hAnsiTheme="majorHAnsi"/>
        </w:rPr>
        <w:t>j v</w:t>
      </w:r>
      <w:r w:rsidR="006A2728">
        <w:rPr>
          <w:rFonts w:asciiTheme="majorHAnsi" w:hAnsiTheme="majorHAnsi"/>
        </w:rPr>
        <w:t> </w:t>
      </w:r>
      <w:r w:rsidRPr="009E33B7">
        <w:rPr>
          <w:rFonts w:asciiTheme="majorHAnsi" w:hAnsiTheme="majorHAnsi"/>
        </w:rPr>
        <w:t>Národnom</w:t>
      </w:r>
      <w:r w:rsidR="006A2728">
        <w:rPr>
          <w:rFonts w:asciiTheme="majorHAnsi" w:hAnsiTheme="majorHAnsi"/>
        </w:rPr>
        <w:t xml:space="preserve"> </w:t>
      </w:r>
      <w:r w:rsidRPr="009E33B7">
        <w:rPr>
          <w:rFonts w:asciiTheme="majorHAnsi" w:hAnsiTheme="majorHAnsi"/>
        </w:rPr>
        <w:t xml:space="preserve">pláne na zvyšovanie počtu budov </w:t>
      </w:r>
      <w:r w:rsidR="00BD5FD5">
        <w:rPr>
          <w:rFonts w:asciiTheme="majorHAnsi" w:hAnsiTheme="majorHAnsi"/>
        </w:rPr>
        <w:t>s </w:t>
      </w:r>
      <w:r w:rsidRPr="009E33B7">
        <w:rPr>
          <w:rFonts w:asciiTheme="majorHAnsi" w:hAnsiTheme="majorHAnsi"/>
        </w:rPr>
        <w:t xml:space="preserve">takmer nulovou </w:t>
      </w:r>
      <w:r w:rsidR="00BD5FD5">
        <w:rPr>
          <w:rFonts w:asciiTheme="majorHAnsi" w:hAnsiTheme="majorHAnsi"/>
        </w:rPr>
        <w:t>s</w:t>
      </w:r>
      <w:r w:rsidRPr="009E33B7">
        <w:rPr>
          <w:rFonts w:asciiTheme="majorHAnsi" w:hAnsiTheme="majorHAnsi"/>
        </w:rPr>
        <w:t>potrebou energie</w:t>
      </w:r>
      <w:r w:rsidRPr="005F6B4A">
        <w:rPr>
          <w:rFonts w:eastAsia="Times New Roman"/>
          <w:szCs w:val="22"/>
          <w:vertAlign w:val="superscript"/>
        </w:rPr>
        <w:footnoteReference w:id="174"/>
      </w:r>
      <w:r w:rsidR="008B2288">
        <w:rPr>
          <w:rFonts w:eastAsia="Times New Roman"/>
          <w:szCs w:val="22"/>
        </w:rPr>
        <w:t>.</w:t>
      </w:r>
    </w:p>
    <w:p w:rsidR="00406C25" w:rsidRPr="00A11FE0" w:rsidRDefault="00406C25" w:rsidP="00406C25">
      <w:pPr>
        <w:rPr>
          <w:rFonts w:asciiTheme="majorHAnsi" w:hAnsiTheme="majorHAnsi"/>
        </w:rPr>
      </w:pPr>
      <w:r w:rsidRPr="00A11FE0">
        <w:rPr>
          <w:rFonts w:asciiTheme="majorHAnsi" w:hAnsiTheme="majorHAnsi"/>
        </w:rPr>
        <w:t xml:space="preserve">Podľa </w:t>
      </w:r>
      <w:r w:rsidR="00BD5FD5">
        <w:rPr>
          <w:rFonts w:asciiTheme="majorHAnsi" w:hAnsiTheme="majorHAnsi"/>
        </w:rPr>
        <w:t>s</w:t>
      </w:r>
      <w:r w:rsidRPr="00A11FE0">
        <w:rPr>
          <w:rFonts w:asciiTheme="majorHAnsi" w:hAnsiTheme="majorHAnsi"/>
        </w:rPr>
        <w:t>mernice 2012/27/EÚ o</w:t>
      </w:r>
      <w:r w:rsidR="009E33B7">
        <w:rPr>
          <w:rFonts w:asciiTheme="majorHAnsi" w:hAnsiTheme="majorHAnsi"/>
        </w:rPr>
        <w:t> </w:t>
      </w:r>
      <w:r w:rsidRPr="00A11FE0">
        <w:rPr>
          <w:rFonts w:asciiTheme="majorHAnsi" w:hAnsiTheme="majorHAnsi"/>
        </w:rPr>
        <w:t xml:space="preserve">energetickej efektívnosti bude potrebné od roku 2014 zabezpečiť obnovu </w:t>
      </w:r>
      <w:r w:rsidR="00832A0E">
        <w:rPr>
          <w:rFonts w:asciiTheme="majorHAnsi" w:hAnsiTheme="majorHAnsi"/>
        </w:rPr>
        <w:t xml:space="preserve">verejných </w:t>
      </w:r>
      <w:r w:rsidRPr="00A11FE0">
        <w:rPr>
          <w:rFonts w:asciiTheme="majorHAnsi" w:hAnsiTheme="majorHAnsi"/>
        </w:rPr>
        <w:t xml:space="preserve">budov. </w:t>
      </w:r>
      <w:r w:rsidR="00D02033">
        <w:rPr>
          <w:rFonts w:asciiTheme="majorHAnsi" w:hAnsiTheme="majorHAnsi"/>
        </w:rPr>
        <w:t xml:space="preserve">Táto obnova </w:t>
      </w:r>
      <w:r w:rsidR="00BD5FD5">
        <w:rPr>
          <w:rFonts w:asciiTheme="majorHAnsi" w:hAnsiTheme="majorHAnsi"/>
        </w:rPr>
        <w:t>s</w:t>
      </w:r>
      <w:r w:rsidR="00D02033">
        <w:rPr>
          <w:rFonts w:asciiTheme="majorHAnsi" w:hAnsiTheme="majorHAnsi"/>
        </w:rPr>
        <w:t xml:space="preserve">a bude týkať budov, </w:t>
      </w:r>
      <w:r w:rsidR="00BD5FD5">
        <w:rPr>
          <w:rFonts w:asciiTheme="majorHAnsi" w:hAnsiTheme="majorHAnsi"/>
        </w:rPr>
        <w:t>k</w:t>
      </w:r>
      <w:r w:rsidR="00D02033">
        <w:rPr>
          <w:rFonts w:asciiTheme="majorHAnsi" w:hAnsiTheme="majorHAnsi"/>
        </w:rPr>
        <w:t>toré nespĺňajú minimálne požiadavky na energetickú hospodárnosť budov</w:t>
      </w:r>
      <w:r w:rsidR="00DC3DE4">
        <w:rPr>
          <w:rFonts w:asciiTheme="majorHAnsi" w:hAnsiTheme="majorHAnsi"/>
        </w:rPr>
        <w:t>,</w:t>
      </w:r>
      <w:r w:rsidR="00D02033">
        <w:rPr>
          <w:rFonts w:asciiTheme="majorHAnsi" w:hAnsiTheme="majorHAnsi"/>
        </w:rPr>
        <w:t xml:space="preserve"> podľa </w:t>
      </w:r>
      <w:r w:rsidR="00BD5FD5">
        <w:rPr>
          <w:rFonts w:asciiTheme="majorHAnsi" w:hAnsiTheme="majorHAnsi"/>
        </w:rPr>
        <w:t>s</w:t>
      </w:r>
      <w:r w:rsidR="00D02033">
        <w:rPr>
          <w:rFonts w:asciiTheme="majorHAnsi" w:hAnsiTheme="majorHAnsi"/>
        </w:rPr>
        <w:t xml:space="preserve">mernice 2010/31/EÚ o energetickej hospodárnosti budov. </w:t>
      </w:r>
      <w:r w:rsidRPr="00A11FE0">
        <w:rPr>
          <w:rFonts w:asciiTheme="majorHAnsi" w:hAnsiTheme="majorHAnsi"/>
        </w:rPr>
        <w:t xml:space="preserve">Ročne bude potrebné obnoviť toľko budov, </w:t>
      </w:r>
      <w:r w:rsidR="00BD5FD5">
        <w:rPr>
          <w:rFonts w:asciiTheme="majorHAnsi" w:hAnsiTheme="majorHAnsi"/>
        </w:rPr>
        <w:t>k</w:t>
      </w:r>
      <w:r w:rsidRPr="00A11FE0">
        <w:rPr>
          <w:rFonts w:asciiTheme="majorHAnsi" w:hAnsiTheme="majorHAnsi"/>
        </w:rPr>
        <w:t>toré zodpovedajú 3</w:t>
      </w:r>
      <w:r w:rsidR="004E11CC" w:rsidRPr="00A11FE0">
        <w:rPr>
          <w:rFonts w:asciiTheme="majorHAnsi" w:hAnsiTheme="majorHAnsi"/>
        </w:rPr>
        <w:t> </w:t>
      </w:r>
      <w:r w:rsidRPr="00A11FE0">
        <w:rPr>
          <w:rFonts w:asciiTheme="majorHAnsi" w:hAnsiTheme="majorHAnsi"/>
        </w:rPr>
        <w:t>% celkovej podlahovej plochy budov nad 500 m</w:t>
      </w:r>
      <w:r w:rsidRPr="00A11FE0">
        <w:rPr>
          <w:rFonts w:asciiTheme="majorHAnsi" w:hAnsiTheme="majorHAnsi"/>
          <w:vertAlign w:val="superscript"/>
        </w:rPr>
        <w:t>2</w:t>
      </w:r>
      <w:r w:rsidRPr="00A11FE0">
        <w:rPr>
          <w:rFonts w:asciiTheme="majorHAnsi" w:hAnsiTheme="majorHAnsi"/>
        </w:rPr>
        <w:t>, neskôr nad 250 m</w:t>
      </w:r>
      <w:r w:rsidRPr="00A11FE0">
        <w:rPr>
          <w:rFonts w:asciiTheme="majorHAnsi" w:hAnsiTheme="majorHAnsi"/>
          <w:vertAlign w:val="superscript"/>
        </w:rPr>
        <w:t>2</w:t>
      </w:r>
      <w:r w:rsidRPr="00A11FE0">
        <w:rPr>
          <w:rFonts w:asciiTheme="majorHAnsi" w:hAnsiTheme="majorHAnsi"/>
        </w:rPr>
        <w:t>.</w:t>
      </w:r>
    </w:p>
    <w:p w:rsidR="00406C25" w:rsidRPr="00A11FE0" w:rsidRDefault="00406C25" w:rsidP="002116F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Neefektívne zásobovanie teplom</w:t>
      </w:r>
    </w:p>
    <w:p w:rsidR="00406C25" w:rsidRPr="00A11FE0" w:rsidRDefault="00406C25" w:rsidP="00406C25">
      <w:pPr>
        <w:rPr>
          <w:rFonts w:asciiTheme="majorHAnsi" w:hAnsiTheme="majorHAnsi"/>
        </w:rPr>
      </w:pPr>
      <w:r w:rsidRPr="00A11FE0">
        <w:rPr>
          <w:rFonts w:asciiTheme="majorHAnsi" w:hAnsiTheme="majorHAnsi"/>
        </w:rPr>
        <w:t>Emisie z</w:t>
      </w:r>
      <w:r w:rsidR="009E33B7">
        <w:rPr>
          <w:rFonts w:asciiTheme="majorHAnsi" w:hAnsiTheme="majorHAnsi"/>
        </w:rPr>
        <w:t> </w:t>
      </w:r>
      <w:r w:rsidR="00A2327E" w:rsidRPr="00A11FE0">
        <w:rPr>
          <w:rFonts w:asciiTheme="majorHAnsi" w:hAnsiTheme="majorHAnsi"/>
        </w:rPr>
        <w:t>výroby</w:t>
      </w:r>
      <w:r w:rsidRPr="00A11FE0">
        <w:rPr>
          <w:rFonts w:asciiTheme="majorHAnsi" w:hAnsiTheme="majorHAnsi"/>
        </w:rPr>
        <w:t xml:space="preserve"> elektriny </w:t>
      </w:r>
      <w:r w:rsidR="00BD5FD5">
        <w:rPr>
          <w:rFonts w:asciiTheme="majorHAnsi" w:hAnsiTheme="majorHAnsi"/>
        </w:rPr>
        <w:t>a </w:t>
      </w:r>
      <w:r w:rsidRPr="00A11FE0">
        <w:rPr>
          <w:rFonts w:asciiTheme="majorHAnsi" w:hAnsiTheme="majorHAnsi"/>
        </w:rPr>
        <w:t>tepla predstavujú 24 % emisií CO</w:t>
      </w:r>
      <w:r w:rsidRPr="00A11FE0">
        <w:rPr>
          <w:rFonts w:asciiTheme="majorHAnsi" w:hAnsiTheme="majorHAnsi"/>
          <w:vertAlign w:val="subscript"/>
        </w:rPr>
        <w:t>2</w:t>
      </w:r>
      <w:r w:rsidRPr="00A11FE0">
        <w:rPr>
          <w:rFonts w:asciiTheme="majorHAnsi" w:hAnsiTheme="majorHAnsi"/>
        </w:rPr>
        <w:t xml:space="preserve"> zo </w:t>
      </w:r>
      <w:r w:rsidR="00BD5FD5">
        <w:rPr>
          <w:rFonts w:asciiTheme="majorHAnsi" w:hAnsiTheme="majorHAnsi"/>
        </w:rPr>
        <w:t>s</w:t>
      </w:r>
      <w:r w:rsidRPr="00A11FE0">
        <w:rPr>
          <w:rFonts w:asciiTheme="majorHAnsi" w:hAnsiTheme="majorHAnsi"/>
        </w:rPr>
        <w:t xml:space="preserve">paľovania palív. Od roku 1990 do roku 2008 </w:t>
      </w:r>
      <w:r w:rsidR="00BD5FD5">
        <w:rPr>
          <w:rFonts w:asciiTheme="majorHAnsi" w:hAnsiTheme="majorHAnsi"/>
        </w:rPr>
        <w:t>k</w:t>
      </w:r>
      <w:r w:rsidRPr="00A11FE0">
        <w:rPr>
          <w:rFonts w:asciiTheme="majorHAnsi" w:hAnsiTheme="majorHAnsi"/>
        </w:rPr>
        <w:t>lesli o</w:t>
      </w:r>
      <w:r w:rsidR="009E33B7">
        <w:rPr>
          <w:rFonts w:asciiTheme="majorHAnsi" w:hAnsiTheme="majorHAnsi"/>
        </w:rPr>
        <w:t> </w:t>
      </w:r>
      <w:r w:rsidRPr="00A11FE0">
        <w:rPr>
          <w:rFonts w:asciiTheme="majorHAnsi" w:hAnsiTheme="majorHAnsi"/>
        </w:rPr>
        <w:t xml:space="preserve">viac </w:t>
      </w:r>
      <w:r w:rsidR="00BD5FD5">
        <w:rPr>
          <w:rFonts w:asciiTheme="majorHAnsi" w:hAnsiTheme="majorHAnsi"/>
        </w:rPr>
        <w:t>ak</w:t>
      </w:r>
      <w:r w:rsidRPr="00A11FE0">
        <w:rPr>
          <w:rFonts w:asciiTheme="majorHAnsi" w:hAnsiTheme="majorHAnsi"/>
        </w:rPr>
        <w:t xml:space="preserve">o 34 %. Produkcia elektriny </w:t>
      </w:r>
      <w:r w:rsidR="00BD5FD5">
        <w:rPr>
          <w:rFonts w:asciiTheme="majorHAnsi" w:hAnsiTheme="majorHAnsi"/>
        </w:rPr>
        <w:t>a </w:t>
      </w:r>
      <w:r w:rsidRPr="00A11FE0">
        <w:rPr>
          <w:rFonts w:asciiTheme="majorHAnsi" w:hAnsiTheme="majorHAnsi"/>
        </w:rPr>
        <w:t>tepla však v</w:t>
      </w:r>
      <w:r w:rsidR="009E33B7">
        <w:rPr>
          <w:rFonts w:asciiTheme="majorHAnsi" w:hAnsiTheme="majorHAnsi"/>
        </w:rPr>
        <w:t> </w:t>
      </w:r>
      <w:r w:rsidRPr="00A11FE0">
        <w:rPr>
          <w:rFonts w:asciiTheme="majorHAnsi" w:hAnsiTheme="majorHAnsi"/>
        </w:rPr>
        <w:t xml:space="preserve">tomto období nijako </w:t>
      </w:r>
      <w:r w:rsidR="00A2327E" w:rsidRPr="00A11FE0">
        <w:rPr>
          <w:rFonts w:asciiTheme="majorHAnsi" w:hAnsiTheme="majorHAnsi"/>
        </w:rPr>
        <w:t>významne</w:t>
      </w:r>
      <w:r w:rsidRPr="00A11FE0">
        <w:rPr>
          <w:rFonts w:asciiTheme="majorHAnsi" w:hAnsiTheme="majorHAnsi"/>
        </w:rPr>
        <w:t xml:space="preserve"> neklesla</w:t>
      </w:r>
      <w:r w:rsidRPr="00A11FE0">
        <w:rPr>
          <w:rFonts w:asciiTheme="majorHAnsi" w:hAnsiTheme="majorHAnsi"/>
          <w:vertAlign w:val="superscript"/>
        </w:rPr>
        <w:footnoteReference w:id="175"/>
      </w:r>
      <w:r w:rsidRPr="00A11FE0">
        <w:rPr>
          <w:rFonts w:asciiTheme="majorHAnsi" w:hAnsiTheme="majorHAnsi"/>
        </w:rPr>
        <w:t>.</w:t>
      </w:r>
    </w:p>
    <w:p w:rsidR="008C2661" w:rsidRPr="00A11FE0" w:rsidRDefault="00BD5FD5" w:rsidP="008C2661">
      <w:pPr>
        <w:rPr>
          <w:rFonts w:asciiTheme="majorHAnsi" w:hAnsiTheme="majorHAnsi"/>
          <w:szCs w:val="22"/>
        </w:rPr>
      </w:pPr>
      <w:r>
        <w:rPr>
          <w:rFonts w:asciiTheme="majorHAnsi" w:hAnsiTheme="majorHAnsi"/>
          <w:szCs w:val="22"/>
        </w:rPr>
        <w:t>S</w:t>
      </w:r>
      <w:r w:rsidR="00406C25" w:rsidRPr="00A11FE0">
        <w:rPr>
          <w:rFonts w:asciiTheme="majorHAnsi" w:hAnsiTheme="majorHAnsi"/>
          <w:szCs w:val="22"/>
        </w:rPr>
        <w:t>R je charakterizovan</w:t>
      </w:r>
      <w:r w:rsidR="005044A2" w:rsidRPr="00A11FE0">
        <w:rPr>
          <w:rFonts w:asciiTheme="majorHAnsi" w:hAnsiTheme="majorHAnsi"/>
          <w:szCs w:val="22"/>
        </w:rPr>
        <w:t>á</w:t>
      </w:r>
      <w:r w:rsidR="00406C25" w:rsidRPr="00A11FE0">
        <w:rPr>
          <w:rFonts w:asciiTheme="majorHAnsi" w:hAnsiTheme="majorHAnsi"/>
          <w:szCs w:val="22"/>
        </w:rPr>
        <w:t xml:space="preserve"> rozvinutým </w:t>
      </w:r>
      <w:r>
        <w:rPr>
          <w:rFonts w:asciiTheme="majorHAnsi" w:hAnsiTheme="majorHAnsi"/>
          <w:szCs w:val="22"/>
        </w:rPr>
        <w:t>s</w:t>
      </w:r>
      <w:r w:rsidR="00406C25" w:rsidRPr="00A11FE0">
        <w:rPr>
          <w:rFonts w:asciiTheme="majorHAnsi" w:hAnsiTheme="majorHAnsi"/>
          <w:szCs w:val="22"/>
        </w:rPr>
        <w:t xml:space="preserve">ystémom </w:t>
      </w:r>
      <w:r w:rsidR="00DC3DE4">
        <w:rPr>
          <w:rFonts w:asciiTheme="majorHAnsi" w:hAnsiTheme="majorHAnsi"/>
          <w:szCs w:val="22"/>
        </w:rPr>
        <w:t>CZT</w:t>
      </w:r>
      <w:r w:rsidR="00406C25" w:rsidRPr="00A11FE0">
        <w:rPr>
          <w:rFonts w:asciiTheme="majorHAnsi" w:hAnsiTheme="majorHAnsi"/>
          <w:szCs w:val="22"/>
        </w:rPr>
        <w:t xml:space="preserve">, </w:t>
      </w:r>
      <w:r>
        <w:rPr>
          <w:rFonts w:asciiTheme="majorHAnsi" w:hAnsiTheme="majorHAnsi"/>
          <w:szCs w:val="22"/>
        </w:rPr>
        <w:t>k</w:t>
      </w:r>
      <w:r w:rsidR="00406C25" w:rsidRPr="00A11FE0">
        <w:rPr>
          <w:rFonts w:asciiTheme="majorHAnsi" w:hAnsiTheme="majorHAnsi"/>
          <w:szCs w:val="22"/>
        </w:rPr>
        <w:t xml:space="preserve">torý pokrýva viac </w:t>
      </w:r>
      <w:r>
        <w:rPr>
          <w:rFonts w:asciiTheme="majorHAnsi" w:hAnsiTheme="majorHAnsi"/>
          <w:szCs w:val="22"/>
        </w:rPr>
        <w:t>ak</w:t>
      </w:r>
      <w:r w:rsidR="00406C25" w:rsidRPr="00A11FE0">
        <w:rPr>
          <w:rFonts w:asciiTheme="majorHAnsi" w:hAnsiTheme="majorHAnsi"/>
          <w:szCs w:val="22"/>
        </w:rPr>
        <w:t xml:space="preserve">o 30 % celkovej </w:t>
      </w:r>
      <w:r>
        <w:rPr>
          <w:rFonts w:asciiTheme="majorHAnsi" w:hAnsiTheme="majorHAnsi"/>
          <w:szCs w:val="22"/>
        </w:rPr>
        <w:t>s</w:t>
      </w:r>
      <w:r w:rsidR="00406C25" w:rsidRPr="00A11FE0">
        <w:rPr>
          <w:rFonts w:asciiTheme="majorHAnsi" w:hAnsiTheme="majorHAnsi"/>
          <w:szCs w:val="22"/>
        </w:rPr>
        <w:t xml:space="preserve">potreby tepla. Do </w:t>
      </w:r>
      <w:r>
        <w:rPr>
          <w:rFonts w:asciiTheme="majorHAnsi" w:hAnsiTheme="majorHAnsi"/>
          <w:szCs w:val="22"/>
        </w:rPr>
        <w:t>s</w:t>
      </w:r>
      <w:r w:rsidR="00406C25" w:rsidRPr="00A11FE0">
        <w:rPr>
          <w:rFonts w:asciiTheme="majorHAnsi" w:hAnsiTheme="majorHAnsi"/>
          <w:szCs w:val="22"/>
        </w:rPr>
        <w:t>ystémov CZT je teplo dodávané prevažne z</w:t>
      </w:r>
      <w:r w:rsidR="00B37993">
        <w:rPr>
          <w:rFonts w:asciiTheme="majorHAnsi" w:hAnsiTheme="majorHAnsi"/>
          <w:szCs w:val="22"/>
        </w:rPr>
        <w:t> </w:t>
      </w:r>
      <w:r>
        <w:rPr>
          <w:rFonts w:asciiTheme="majorHAnsi" w:hAnsiTheme="majorHAnsi"/>
          <w:szCs w:val="22"/>
        </w:rPr>
        <w:t>k</w:t>
      </w:r>
      <w:r w:rsidR="00406C25" w:rsidRPr="00A11FE0">
        <w:rPr>
          <w:rFonts w:asciiTheme="majorHAnsi" w:hAnsiTheme="majorHAnsi"/>
          <w:szCs w:val="22"/>
        </w:rPr>
        <w:t>ombinovanej</w:t>
      </w:r>
      <w:r w:rsidR="008B2288">
        <w:rPr>
          <w:rFonts w:asciiTheme="majorHAnsi" w:hAnsiTheme="majorHAnsi"/>
          <w:szCs w:val="22"/>
        </w:rPr>
        <w:t xml:space="preserve"> </w:t>
      </w:r>
      <w:r w:rsidR="00406C25" w:rsidRPr="00A11FE0">
        <w:rPr>
          <w:rFonts w:asciiTheme="majorHAnsi" w:hAnsiTheme="majorHAnsi"/>
          <w:szCs w:val="22"/>
        </w:rPr>
        <w:t xml:space="preserve">výroby elektriny </w:t>
      </w:r>
      <w:r>
        <w:rPr>
          <w:rFonts w:asciiTheme="majorHAnsi" w:hAnsiTheme="majorHAnsi"/>
          <w:szCs w:val="22"/>
        </w:rPr>
        <w:t>a </w:t>
      </w:r>
      <w:r w:rsidR="00406C25" w:rsidRPr="00A11FE0">
        <w:rPr>
          <w:rFonts w:asciiTheme="majorHAnsi" w:hAnsiTheme="majorHAnsi"/>
          <w:szCs w:val="22"/>
        </w:rPr>
        <w:t xml:space="preserve">tepla </w:t>
      </w:r>
      <w:r w:rsidR="00DC3DE4">
        <w:rPr>
          <w:rFonts w:asciiTheme="majorHAnsi" w:hAnsiTheme="majorHAnsi"/>
          <w:szCs w:val="22"/>
        </w:rPr>
        <w:t>(ďalej len „KVET“)</w:t>
      </w:r>
      <w:r w:rsidR="00406C25" w:rsidRPr="00A11FE0">
        <w:rPr>
          <w:rFonts w:asciiTheme="majorHAnsi" w:hAnsiTheme="majorHAnsi"/>
          <w:szCs w:val="22"/>
        </w:rPr>
        <w:t>. Ostatná výroba tepla je zabezpečovaná hlavne v</w:t>
      </w:r>
      <w:r w:rsidR="005044A2" w:rsidRPr="00A11FE0">
        <w:rPr>
          <w:rFonts w:asciiTheme="majorHAnsi" w:hAnsiTheme="majorHAnsi"/>
          <w:szCs w:val="22"/>
        </w:rPr>
        <w:t> </w:t>
      </w:r>
      <w:r w:rsidR="00406C25" w:rsidRPr="00A11FE0">
        <w:rPr>
          <w:rFonts w:asciiTheme="majorHAnsi" w:hAnsiTheme="majorHAnsi"/>
          <w:szCs w:val="22"/>
        </w:rPr>
        <w:t>lokálnych</w:t>
      </w:r>
      <w:r w:rsidR="005044A2" w:rsidRPr="00A11FE0">
        <w:rPr>
          <w:rFonts w:asciiTheme="majorHAnsi" w:hAnsiTheme="majorHAnsi"/>
          <w:szCs w:val="22"/>
        </w:rPr>
        <w:t>,</w:t>
      </w:r>
      <w:r w:rsidR="00406C25" w:rsidRPr="00A11FE0">
        <w:rPr>
          <w:rFonts w:asciiTheme="majorHAnsi" w:hAnsiTheme="majorHAnsi"/>
          <w:szCs w:val="22"/>
        </w:rPr>
        <w:t xml:space="preserve"> resp. okrskových zdrojoch tepla (</w:t>
      </w:r>
      <w:r>
        <w:rPr>
          <w:rFonts w:asciiTheme="majorHAnsi" w:hAnsiTheme="majorHAnsi"/>
          <w:szCs w:val="22"/>
        </w:rPr>
        <w:t>k</w:t>
      </w:r>
      <w:r w:rsidR="00406C25" w:rsidRPr="00A11FE0">
        <w:rPr>
          <w:rFonts w:asciiTheme="majorHAnsi" w:hAnsiTheme="majorHAnsi"/>
          <w:szCs w:val="22"/>
        </w:rPr>
        <w:t xml:space="preserve">otolne, výhrevne) </w:t>
      </w:r>
      <w:r>
        <w:rPr>
          <w:rFonts w:asciiTheme="majorHAnsi" w:hAnsiTheme="majorHAnsi"/>
          <w:szCs w:val="22"/>
        </w:rPr>
        <w:t>s </w:t>
      </w:r>
      <w:r w:rsidR="00406C25" w:rsidRPr="00A11FE0">
        <w:rPr>
          <w:rFonts w:asciiTheme="majorHAnsi" w:hAnsiTheme="majorHAnsi"/>
          <w:szCs w:val="22"/>
        </w:rPr>
        <w:t>vlastnými rozvodmi tepla.</w:t>
      </w:r>
      <w:r w:rsidR="000E7AA9">
        <w:rPr>
          <w:rFonts w:asciiTheme="majorHAnsi" w:hAnsiTheme="majorHAnsi"/>
          <w:szCs w:val="22"/>
        </w:rPr>
        <w:t xml:space="preserve"> </w:t>
      </w:r>
      <w:r w:rsidR="008C2661" w:rsidRPr="00417D20">
        <w:rPr>
          <w:rFonts w:asciiTheme="majorHAnsi" w:hAnsiTheme="majorHAnsi"/>
          <w:szCs w:val="22"/>
        </w:rPr>
        <w:t>Zastarané lokálne zdroje tepla</w:t>
      </w:r>
      <w:r w:rsidR="00D04DFB">
        <w:rPr>
          <w:rFonts w:asciiTheme="majorHAnsi" w:hAnsiTheme="majorHAnsi"/>
          <w:szCs w:val="22"/>
        </w:rPr>
        <w:t>,</w:t>
      </w:r>
      <w:r w:rsidR="008C2661" w:rsidRPr="00417D20">
        <w:rPr>
          <w:rFonts w:asciiTheme="majorHAnsi" w:hAnsiTheme="majorHAnsi"/>
          <w:szCs w:val="22"/>
        </w:rPr>
        <w:t xml:space="preserve"> vrátane kúrenísk spaľujúcich biomasu</w:t>
      </w:r>
      <w:r w:rsidR="00D04DFB">
        <w:rPr>
          <w:rFonts w:asciiTheme="majorHAnsi" w:hAnsiTheme="majorHAnsi"/>
          <w:szCs w:val="22"/>
        </w:rPr>
        <w:t>,</w:t>
      </w:r>
      <w:r w:rsidR="008C2661" w:rsidRPr="00417D20">
        <w:rPr>
          <w:rFonts w:asciiTheme="majorHAnsi" w:hAnsiTheme="majorHAnsi"/>
          <w:szCs w:val="22"/>
        </w:rPr>
        <w:t xml:space="preserve"> alebo tuhé fosílne palivá</w:t>
      </w:r>
      <w:r w:rsidR="00D04DFB">
        <w:rPr>
          <w:rFonts w:asciiTheme="majorHAnsi" w:hAnsiTheme="majorHAnsi"/>
          <w:szCs w:val="22"/>
        </w:rPr>
        <w:t>,</w:t>
      </w:r>
      <w:r w:rsidR="008C2661" w:rsidRPr="00417D20">
        <w:rPr>
          <w:rFonts w:asciiTheme="majorHAnsi" w:hAnsiTheme="majorHAnsi"/>
          <w:szCs w:val="22"/>
        </w:rPr>
        <w:t xml:space="preserve"> spôsobujú v</w:t>
      </w:r>
      <w:r w:rsidR="00AF018A">
        <w:rPr>
          <w:rFonts w:asciiTheme="majorHAnsi" w:hAnsiTheme="majorHAnsi"/>
          <w:szCs w:val="22"/>
        </w:rPr>
        <w:t> </w:t>
      </w:r>
      <w:r w:rsidR="008C2661" w:rsidRPr="00417D20">
        <w:rPr>
          <w:rFonts w:asciiTheme="majorHAnsi" w:hAnsiTheme="majorHAnsi"/>
          <w:szCs w:val="22"/>
        </w:rPr>
        <w:t>súčasnosti vo vykurovacej sezóne výrazné zhoršenie kvality ovzdušia.</w:t>
      </w:r>
    </w:p>
    <w:p w:rsidR="00055A0B" w:rsidRPr="009E33B7" w:rsidRDefault="00055A0B" w:rsidP="00055A0B">
      <w:pPr>
        <w:rPr>
          <w:rFonts w:asciiTheme="majorHAnsi" w:hAnsiTheme="majorHAnsi"/>
          <w:szCs w:val="22"/>
        </w:rPr>
      </w:pPr>
      <w:r w:rsidRPr="00E77853">
        <w:rPr>
          <w:rFonts w:asciiTheme="majorHAnsi" w:hAnsiTheme="majorHAnsi"/>
          <w:szCs w:val="22"/>
        </w:rPr>
        <w:t xml:space="preserve">Rekonštrukcia technicky </w:t>
      </w:r>
      <w:r>
        <w:rPr>
          <w:rFonts w:asciiTheme="majorHAnsi" w:hAnsiTheme="majorHAnsi"/>
          <w:szCs w:val="22"/>
        </w:rPr>
        <w:t>a </w:t>
      </w:r>
      <w:r w:rsidRPr="009E33B7">
        <w:rPr>
          <w:rFonts w:asciiTheme="majorHAnsi" w:hAnsiTheme="majorHAnsi"/>
          <w:szCs w:val="22"/>
        </w:rPr>
        <w:t xml:space="preserve">ekonomicky zastaraných rozvodov tepla </w:t>
      </w:r>
      <w:r>
        <w:rPr>
          <w:rFonts w:asciiTheme="majorHAnsi" w:hAnsiTheme="majorHAnsi"/>
          <w:szCs w:val="22"/>
        </w:rPr>
        <w:t>a </w:t>
      </w:r>
      <w:r w:rsidRPr="009E33B7">
        <w:rPr>
          <w:rFonts w:asciiTheme="majorHAnsi" w:hAnsiTheme="majorHAnsi"/>
          <w:szCs w:val="22"/>
        </w:rPr>
        <w:t xml:space="preserve">prípadne </w:t>
      </w:r>
      <w:r>
        <w:rPr>
          <w:rFonts w:asciiTheme="majorHAnsi" w:hAnsiTheme="majorHAnsi"/>
          <w:szCs w:val="22"/>
        </w:rPr>
        <w:t>a</w:t>
      </w:r>
      <w:r w:rsidRPr="009E33B7">
        <w:rPr>
          <w:rFonts w:asciiTheme="majorHAnsi" w:hAnsiTheme="majorHAnsi"/>
          <w:szCs w:val="22"/>
        </w:rPr>
        <w:t xml:space="preserve">j zmena </w:t>
      </w:r>
      <w:r>
        <w:rPr>
          <w:rFonts w:asciiTheme="majorHAnsi" w:hAnsiTheme="majorHAnsi"/>
          <w:szCs w:val="22"/>
        </w:rPr>
        <w:t>s</w:t>
      </w:r>
      <w:r w:rsidRPr="009E33B7">
        <w:rPr>
          <w:rFonts w:asciiTheme="majorHAnsi" w:hAnsiTheme="majorHAnsi"/>
          <w:szCs w:val="22"/>
        </w:rPr>
        <w:t>pôsobu zásobovania teplom zo štvor</w:t>
      </w:r>
      <w:r>
        <w:rPr>
          <w:rFonts w:asciiTheme="majorHAnsi" w:hAnsiTheme="majorHAnsi"/>
          <w:szCs w:val="22"/>
        </w:rPr>
        <w:t>r</w:t>
      </w:r>
      <w:r w:rsidRPr="009E33B7">
        <w:rPr>
          <w:rFonts w:asciiTheme="majorHAnsi" w:hAnsiTheme="majorHAnsi"/>
          <w:szCs w:val="22"/>
        </w:rPr>
        <w:t xml:space="preserve">úrkových </w:t>
      </w:r>
      <w:r>
        <w:rPr>
          <w:rFonts w:asciiTheme="majorHAnsi" w:hAnsiTheme="majorHAnsi"/>
          <w:szCs w:val="22"/>
        </w:rPr>
        <w:t>s</w:t>
      </w:r>
      <w:r w:rsidRPr="009E33B7">
        <w:rPr>
          <w:rFonts w:asciiTheme="majorHAnsi" w:hAnsiTheme="majorHAnsi"/>
          <w:szCs w:val="22"/>
        </w:rPr>
        <w:t xml:space="preserve">ystémov na dvojrúrkové </w:t>
      </w:r>
      <w:r>
        <w:rPr>
          <w:rFonts w:asciiTheme="majorHAnsi" w:hAnsiTheme="majorHAnsi"/>
          <w:szCs w:val="22"/>
        </w:rPr>
        <w:t>s k</w:t>
      </w:r>
      <w:r w:rsidRPr="009E33B7">
        <w:rPr>
          <w:rFonts w:asciiTheme="majorHAnsi" w:hAnsiTheme="majorHAnsi"/>
          <w:szCs w:val="22"/>
        </w:rPr>
        <w:t xml:space="preserve">ompaktnými domovými odovzdávacími </w:t>
      </w:r>
      <w:r>
        <w:rPr>
          <w:rFonts w:asciiTheme="majorHAnsi" w:hAnsiTheme="majorHAnsi"/>
          <w:szCs w:val="22"/>
        </w:rPr>
        <w:t>s</w:t>
      </w:r>
      <w:r w:rsidRPr="009E33B7">
        <w:rPr>
          <w:rFonts w:asciiTheme="majorHAnsi" w:hAnsiTheme="majorHAnsi"/>
          <w:szCs w:val="22"/>
        </w:rPr>
        <w:t xml:space="preserve">tanicami tepla </w:t>
      </w:r>
      <w:r>
        <w:rPr>
          <w:rFonts w:asciiTheme="majorHAnsi" w:hAnsiTheme="majorHAnsi"/>
          <w:szCs w:val="22"/>
        </w:rPr>
        <w:t>s</w:t>
      </w:r>
      <w:r w:rsidRPr="009E33B7">
        <w:rPr>
          <w:rFonts w:asciiTheme="majorHAnsi" w:hAnsiTheme="majorHAnsi"/>
          <w:szCs w:val="22"/>
        </w:rPr>
        <w:t>i vyžiada v najbližšom období zvýšenie investičných nákladov</w:t>
      </w:r>
      <w:r>
        <w:rPr>
          <w:rFonts w:asciiTheme="majorHAnsi" w:hAnsiTheme="majorHAnsi"/>
          <w:szCs w:val="22"/>
        </w:rPr>
        <w:t>, a</w:t>
      </w:r>
      <w:r w:rsidR="00AF018A">
        <w:rPr>
          <w:rFonts w:asciiTheme="majorHAnsi" w:hAnsiTheme="majorHAnsi"/>
          <w:szCs w:val="22"/>
        </w:rPr>
        <w:t> </w:t>
      </w:r>
      <w:r>
        <w:rPr>
          <w:rFonts w:asciiTheme="majorHAnsi" w:hAnsiTheme="majorHAnsi"/>
          <w:szCs w:val="22"/>
        </w:rPr>
        <w:t>to</w:t>
      </w:r>
      <w:r w:rsidRPr="009E33B7">
        <w:rPr>
          <w:rFonts w:asciiTheme="majorHAnsi" w:hAnsiTheme="majorHAnsi"/>
          <w:szCs w:val="22"/>
        </w:rPr>
        <w:t xml:space="preserve"> najmä z dôvodu výrazného zníženia odberu tepla za posledných 10 rokov. </w:t>
      </w:r>
      <w:r w:rsidR="000E7AA9">
        <w:rPr>
          <w:rFonts w:asciiTheme="majorHAnsi" w:hAnsiTheme="majorHAnsi"/>
          <w:szCs w:val="22"/>
        </w:rPr>
        <w:t xml:space="preserve">Rovnako bude potrebné investovať do moderných, nízkoemisných technológií spaľovania biomasy a fosílnych palív, najmä tuhých, v zariadeniach na </w:t>
      </w:r>
      <w:r w:rsidR="000E7AA9" w:rsidRPr="002116F1">
        <w:rPr>
          <w:rFonts w:asciiTheme="majorHAnsi" w:hAnsiTheme="majorHAnsi"/>
          <w:szCs w:val="22"/>
        </w:rPr>
        <w:t>vysokoúčinnú</w:t>
      </w:r>
      <w:r w:rsidR="000E7AA9">
        <w:rPr>
          <w:rFonts w:asciiTheme="majorHAnsi" w:hAnsiTheme="majorHAnsi"/>
          <w:szCs w:val="22"/>
        </w:rPr>
        <w:t xml:space="preserve"> </w:t>
      </w:r>
      <w:r w:rsidR="00D04DFB">
        <w:rPr>
          <w:rFonts w:asciiTheme="majorHAnsi" w:hAnsiTheme="majorHAnsi"/>
          <w:szCs w:val="22"/>
        </w:rPr>
        <w:t>KVET</w:t>
      </w:r>
      <w:r w:rsidR="000E7AA9">
        <w:rPr>
          <w:rFonts w:asciiTheme="majorHAnsi" w:hAnsiTheme="majorHAnsi"/>
          <w:szCs w:val="22"/>
        </w:rPr>
        <w:t xml:space="preserve">. </w:t>
      </w:r>
      <w:r>
        <w:rPr>
          <w:rFonts w:asciiTheme="majorHAnsi" w:hAnsiTheme="majorHAnsi"/>
          <w:szCs w:val="22"/>
        </w:rPr>
        <w:t>R</w:t>
      </w:r>
      <w:r w:rsidRPr="009E33B7">
        <w:rPr>
          <w:rFonts w:asciiTheme="majorHAnsi" w:hAnsiTheme="majorHAnsi"/>
          <w:szCs w:val="22"/>
        </w:rPr>
        <w:t>ekonštrukci</w:t>
      </w:r>
      <w:r>
        <w:rPr>
          <w:rFonts w:asciiTheme="majorHAnsi" w:hAnsiTheme="majorHAnsi"/>
          <w:szCs w:val="22"/>
        </w:rPr>
        <w:t>ou</w:t>
      </w:r>
      <w:r w:rsidRPr="009E33B7">
        <w:rPr>
          <w:rFonts w:asciiTheme="majorHAnsi" w:hAnsiTheme="majorHAnsi"/>
          <w:szCs w:val="22"/>
        </w:rPr>
        <w:t xml:space="preserve"> </w:t>
      </w:r>
      <w:r>
        <w:rPr>
          <w:rFonts w:asciiTheme="majorHAnsi" w:hAnsiTheme="majorHAnsi"/>
          <w:szCs w:val="22"/>
        </w:rPr>
        <w:t>a </w:t>
      </w:r>
      <w:r w:rsidRPr="009E33B7">
        <w:rPr>
          <w:rFonts w:asciiTheme="majorHAnsi" w:hAnsiTheme="majorHAnsi"/>
          <w:szCs w:val="22"/>
        </w:rPr>
        <w:t>modernizáci</w:t>
      </w:r>
      <w:r>
        <w:rPr>
          <w:rFonts w:asciiTheme="majorHAnsi" w:hAnsiTheme="majorHAnsi"/>
          <w:szCs w:val="22"/>
        </w:rPr>
        <w:t>ou</w:t>
      </w:r>
      <w:r w:rsidRPr="009E33B7">
        <w:rPr>
          <w:rFonts w:asciiTheme="majorHAnsi" w:hAnsiTheme="majorHAnsi"/>
          <w:szCs w:val="22"/>
        </w:rPr>
        <w:t xml:space="preserve"> rozvodov tepla bude možné cenu tepla zo </w:t>
      </w:r>
      <w:r>
        <w:rPr>
          <w:rFonts w:asciiTheme="majorHAnsi" w:hAnsiTheme="majorHAnsi"/>
          <w:szCs w:val="22"/>
        </w:rPr>
        <w:t>s</w:t>
      </w:r>
      <w:r w:rsidRPr="009E33B7">
        <w:rPr>
          <w:rFonts w:asciiTheme="majorHAnsi" w:hAnsiTheme="majorHAnsi"/>
          <w:szCs w:val="22"/>
        </w:rPr>
        <w:t xml:space="preserve">ystémov CZT udržať na primeranej úrovni </w:t>
      </w:r>
      <w:r>
        <w:rPr>
          <w:rFonts w:asciiTheme="majorHAnsi" w:hAnsiTheme="majorHAnsi"/>
          <w:szCs w:val="22"/>
        </w:rPr>
        <w:t>a </w:t>
      </w:r>
      <w:r w:rsidRPr="009E33B7">
        <w:rPr>
          <w:rFonts w:asciiTheme="majorHAnsi" w:hAnsiTheme="majorHAnsi"/>
          <w:szCs w:val="22"/>
        </w:rPr>
        <w:t xml:space="preserve">zabrániť tak nekoordinovanému odpájaniu </w:t>
      </w:r>
      <w:r>
        <w:rPr>
          <w:rFonts w:asciiTheme="majorHAnsi" w:hAnsiTheme="majorHAnsi"/>
          <w:szCs w:val="22"/>
        </w:rPr>
        <w:t>s</w:t>
      </w:r>
      <w:r w:rsidRPr="009E33B7">
        <w:rPr>
          <w:rFonts w:asciiTheme="majorHAnsi" w:hAnsiTheme="majorHAnsi"/>
          <w:szCs w:val="22"/>
        </w:rPr>
        <w:t xml:space="preserve">a odberateľov zo </w:t>
      </w:r>
      <w:r>
        <w:rPr>
          <w:rFonts w:asciiTheme="majorHAnsi" w:hAnsiTheme="majorHAnsi"/>
          <w:szCs w:val="22"/>
        </w:rPr>
        <w:t>s</w:t>
      </w:r>
      <w:r w:rsidRPr="009E33B7">
        <w:rPr>
          <w:rFonts w:asciiTheme="majorHAnsi" w:hAnsiTheme="majorHAnsi"/>
          <w:szCs w:val="22"/>
        </w:rPr>
        <w:t>ystémov CZT. V</w:t>
      </w:r>
      <w:r w:rsidR="00AF018A">
        <w:rPr>
          <w:rFonts w:asciiTheme="majorHAnsi" w:hAnsiTheme="majorHAnsi"/>
          <w:szCs w:val="22"/>
        </w:rPr>
        <w:t> </w:t>
      </w:r>
      <w:r w:rsidRPr="009E33B7">
        <w:rPr>
          <w:rFonts w:asciiTheme="majorHAnsi" w:hAnsiTheme="majorHAnsi"/>
          <w:szCs w:val="22"/>
        </w:rPr>
        <w:t xml:space="preserve">opačnom prípade by totiž cena tepla pre odberateľov CZT mohla neúmerne rásť, čo by mohlo následne </w:t>
      </w:r>
      <w:r>
        <w:rPr>
          <w:rFonts w:asciiTheme="majorHAnsi" w:hAnsiTheme="majorHAnsi"/>
          <w:szCs w:val="22"/>
        </w:rPr>
        <w:t>s</w:t>
      </w:r>
      <w:r w:rsidRPr="009E33B7">
        <w:rPr>
          <w:rFonts w:asciiTheme="majorHAnsi" w:hAnsiTheme="majorHAnsi"/>
          <w:szCs w:val="22"/>
        </w:rPr>
        <w:t xml:space="preserve">pôsobiť </w:t>
      </w:r>
      <w:r>
        <w:rPr>
          <w:rFonts w:asciiTheme="majorHAnsi" w:hAnsiTheme="majorHAnsi"/>
          <w:szCs w:val="22"/>
        </w:rPr>
        <w:t>k</w:t>
      </w:r>
      <w:r w:rsidRPr="009E33B7">
        <w:rPr>
          <w:rFonts w:asciiTheme="majorHAnsi" w:hAnsiTheme="majorHAnsi"/>
          <w:szCs w:val="22"/>
        </w:rPr>
        <w:t xml:space="preserve">olaps celého </w:t>
      </w:r>
      <w:r>
        <w:rPr>
          <w:rFonts w:asciiTheme="majorHAnsi" w:hAnsiTheme="majorHAnsi"/>
          <w:szCs w:val="22"/>
        </w:rPr>
        <w:t>s</w:t>
      </w:r>
      <w:r w:rsidRPr="009E33B7">
        <w:rPr>
          <w:rFonts w:asciiTheme="majorHAnsi" w:hAnsiTheme="majorHAnsi"/>
          <w:szCs w:val="22"/>
        </w:rPr>
        <w:t xml:space="preserve">ystému CZT </w:t>
      </w:r>
      <w:r>
        <w:rPr>
          <w:rFonts w:asciiTheme="majorHAnsi" w:hAnsiTheme="majorHAnsi"/>
          <w:szCs w:val="22"/>
        </w:rPr>
        <w:t>s </w:t>
      </w:r>
      <w:r w:rsidRPr="009E33B7">
        <w:rPr>
          <w:rFonts w:asciiTheme="majorHAnsi" w:hAnsiTheme="majorHAnsi"/>
          <w:szCs w:val="22"/>
        </w:rPr>
        <w:t>negatívnymi dopadmi na životné prostredie</w:t>
      </w:r>
      <w:r>
        <w:rPr>
          <w:rFonts w:asciiTheme="majorHAnsi" w:hAnsiTheme="majorHAnsi"/>
          <w:szCs w:val="22"/>
        </w:rPr>
        <w:t>,</w:t>
      </w:r>
      <w:r w:rsidRPr="009E33B7">
        <w:rPr>
          <w:rFonts w:asciiTheme="majorHAnsi" w:hAnsiTheme="majorHAnsi"/>
          <w:szCs w:val="22"/>
        </w:rPr>
        <w:t xml:space="preserve"> </w:t>
      </w:r>
      <w:r>
        <w:rPr>
          <w:rFonts w:asciiTheme="majorHAnsi" w:hAnsiTheme="majorHAnsi"/>
          <w:szCs w:val="22"/>
        </w:rPr>
        <w:t>ak</w:t>
      </w:r>
      <w:r w:rsidRPr="009E33B7">
        <w:rPr>
          <w:rFonts w:asciiTheme="majorHAnsi" w:hAnsiTheme="majorHAnsi"/>
          <w:szCs w:val="22"/>
        </w:rPr>
        <w:t xml:space="preserve">o </w:t>
      </w:r>
      <w:r>
        <w:rPr>
          <w:rFonts w:asciiTheme="majorHAnsi" w:hAnsiTheme="majorHAnsi"/>
          <w:szCs w:val="22"/>
        </w:rPr>
        <w:t>a</w:t>
      </w:r>
      <w:r w:rsidRPr="009E33B7">
        <w:rPr>
          <w:rFonts w:asciiTheme="majorHAnsi" w:hAnsiTheme="majorHAnsi"/>
          <w:szCs w:val="22"/>
        </w:rPr>
        <w:t xml:space="preserve">j nepriaznivými </w:t>
      </w:r>
      <w:r>
        <w:rPr>
          <w:rFonts w:asciiTheme="majorHAnsi" w:hAnsiTheme="majorHAnsi"/>
          <w:szCs w:val="22"/>
        </w:rPr>
        <w:t>s</w:t>
      </w:r>
      <w:r w:rsidRPr="009E33B7">
        <w:rPr>
          <w:rFonts w:asciiTheme="majorHAnsi" w:hAnsiTheme="majorHAnsi"/>
          <w:szCs w:val="22"/>
        </w:rPr>
        <w:t>ociálnymi dôsledkami.</w:t>
      </w:r>
    </w:p>
    <w:p w:rsidR="00406C25" w:rsidRPr="00A11FE0" w:rsidRDefault="00406C25" w:rsidP="002116F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 xml:space="preserve">Nízky podiel obnoviteľných zdrojov v energetickom mixe </w:t>
      </w:r>
      <w:r w:rsidR="00BD5FD5">
        <w:rPr>
          <w:rFonts w:asciiTheme="majorHAnsi" w:hAnsiTheme="majorHAnsi"/>
          <w:color w:val="243F60"/>
        </w:rPr>
        <w:t>a </w:t>
      </w:r>
      <w:r w:rsidRPr="00A11FE0">
        <w:rPr>
          <w:rFonts w:asciiTheme="majorHAnsi" w:hAnsiTheme="majorHAnsi"/>
          <w:color w:val="243F60"/>
        </w:rPr>
        <w:t xml:space="preserve">nízky podiel </w:t>
      </w:r>
      <w:r w:rsidR="00BD5FD5">
        <w:rPr>
          <w:rFonts w:asciiTheme="majorHAnsi" w:hAnsiTheme="majorHAnsi"/>
          <w:color w:val="243F60"/>
        </w:rPr>
        <w:t>K</w:t>
      </w:r>
      <w:r w:rsidRPr="00A11FE0">
        <w:rPr>
          <w:rFonts w:asciiTheme="majorHAnsi" w:hAnsiTheme="majorHAnsi"/>
          <w:color w:val="243F60"/>
        </w:rPr>
        <w:t>VET</w:t>
      </w:r>
    </w:p>
    <w:p w:rsidR="00D02033" w:rsidRDefault="00406C25" w:rsidP="00406C25">
      <w:pPr>
        <w:rPr>
          <w:rFonts w:asciiTheme="majorHAnsi" w:hAnsiTheme="majorHAnsi"/>
        </w:rPr>
      </w:pPr>
      <w:r w:rsidRPr="00A11FE0">
        <w:rPr>
          <w:rFonts w:asciiTheme="majorHAnsi" w:hAnsiTheme="majorHAnsi"/>
        </w:rPr>
        <w:t>V</w:t>
      </w:r>
      <w:r w:rsidR="0011451D">
        <w:rPr>
          <w:rFonts w:asciiTheme="majorHAnsi" w:hAnsiTheme="majorHAnsi"/>
        </w:rPr>
        <w:t> </w:t>
      </w:r>
      <w:r w:rsidRPr="00A11FE0">
        <w:rPr>
          <w:rFonts w:asciiTheme="majorHAnsi" w:hAnsiTheme="majorHAnsi"/>
        </w:rPr>
        <w:t xml:space="preserve">roku 2012 bolo využívanie OZE na úrovni 50 PJ, čo predstavuje </w:t>
      </w:r>
      <w:r w:rsidR="00821FB5">
        <w:rPr>
          <w:rFonts w:asciiTheme="majorHAnsi" w:hAnsiTheme="majorHAnsi"/>
        </w:rPr>
        <w:t>10,4</w:t>
      </w:r>
      <w:r w:rsidR="00821FB5" w:rsidRPr="00A11FE0">
        <w:rPr>
          <w:rFonts w:asciiTheme="majorHAnsi" w:hAnsiTheme="majorHAnsi"/>
        </w:rPr>
        <w:t xml:space="preserve"> </w:t>
      </w:r>
      <w:r w:rsidRPr="00A11FE0">
        <w:rPr>
          <w:rFonts w:asciiTheme="majorHAnsi" w:hAnsiTheme="majorHAnsi"/>
        </w:rPr>
        <w:t>% z</w:t>
      </w:r>
      <w:r w:rsidR="0011451D">
        <w:rPr>
          <w:rFonts w:asciiTheme="majorHAnsi" w:hAnsiTheme="majorHAnsi"/>
        </w:rPr>
        <w:t> </w:t>
      </w:r>
      <w:r w:rsidRPr="00A11FE0">
        <w:rPr>
          <w:rFonts w:asciiTheme="majorHAnsi" w:hAnsiTheme="majorHAnsi"/>
        </w:rPr>
        <w:t xml:space="preserve">hrubej </w:t>
      </w:r>
      <w:r w:rsidR="00BD5FD5">
        <w:rPr>
          <w:rFonts w:asciiTheme="majorHAnsi" w:hAnsiTheme="majorHAnsi"/>
        </w:rPr>
        <w:t>k</w:t>
      </w:r>
      <w:r w:rsidRPr="00A11FE0">
        <w:rPr>
          <w:rFonts w:asciiTheme="majorHAnsi" w:hAnsiTheme="majorHAnsi"/>
        </w:rPr>
        <w:t xml:space="preserve">onečnej energetickej </w:t>
      </w:r>
      <w:r w:rsidR="00BD5FD5">
        <w:rPr>
          <w:rFonts w:asciiTheme="majorHAnsi" w:hAnsiTheme="majorHAnsi"/>
        </w:rPr>
        <w:t>s</w:t>
      </w:r>
      <w:r w:rsidRPr="00A11FE0">
        <w:rPr>
          <w:rFonts w:asciiTheme="majorHAnsi" w:hAnsiTheme="majorHAnsi"/>
        </w:rPr>
        <w:t xml:space="preserve">potreby. </w:t>
      </w:r>
      <w:r w:rsidR="00BD5FD5">
        <w:rPr>
          <w:rFonts w:asciiTheme="majorHAnsi" w:hAnsiTheme="majorHAnsi"/>
        </w:rPr>
        <w:t>A</w:t>
      </w:r>
      <w:r w:rsidRPr="00A11FE0">
        <w:rPr>
          <w:rFonts w:asciiTheme="majorHAnsi" w:hAnsiTheme="majorHAnsi"/>
        </w:rPr>
        <w:t xml:space="preserve">j napriek rastu využívania OZE v posledných rokoch, ich podiel zostáva </w:t>
      </w:r>
      <w:r w:rsidR="00BD5FD5">
        <w:rPr>
          <w:rFonts w:asciiTheme="majorHAnsi" w:hAnsiTheme="majorHAnsi"/>
        </w:rPr>
        <w:t>s</w:t>
      </w:r>
      <w:r w:rsidRPr="00A11FE0">
        <w:rPr>
          <w:rFonts w:asciiTheme="majorHAnsi" w:hAnsiTheme="majorHAnsi"/>
        </w:rPr>
        <w:t>tále nízky</w:t>
      </w:r>
      <w:r w:rsidR="00D04DFB">
        <w:rPr>
          <w:rFonts w:asciiTheme="majorHAnsi" w:hAnsiTheme="majorHAnsi"/>
        </w:rPr>
        <w:t>,</w:t>
      </w:r>
      <w:r w:rsidRPr="00A11FE0">
        <w:rPr>
          <w:rFonts w:asciiTheme="majorHAnsi" w:hAnsiTheme="majorHAnsi"/>
        </w:rPr>
        <w:t xml:space="preserve"> v porovnaní </w:t>
      </w:r>
      <w:r w:rsidR="00BD5FD5">
        <w:rPr>
          <w:rFonts w:asciiTheme="majorHAnsi" w:hAnsiTheme="majorHAnsi"/>
        </w:rPr>
        <w:t>s </w:t>
      </w:r>
      <w:r w:rsidRPr="00A11FE0">
        <w:rPr>
          <w:rFonts w:asciiTheme="majorHAnsi" w:hAnsiTheme="majorHAnsi"/>
        </w:rPr>
        <w:t xml:space="preserve">vysokým importom fosílnych palív. Na dosiahnutie záväzného cieľa v OZE 14 % </w:t>
      </w:r>
      <w:r w:rsidR="00BD5FD5">
        <w:rPr>
          <w:rFonts w:asciiTheme="majorHAnsi" w:hAnsiTheme="majorHAnsi"/>
        </w:rPr>
        <w:t>s</w:t>
      </w:r>
      <w:r w:rsidRPr="00A11FE0">
        <w:rPr>
          <w:rFonts w:asciiTheme="majorHAnsi" w:hAnsiTheme="majorHAnsi"/>
        </w:rPr>
        <w:t xml:space="preserve">a musí využívanie OZE zvýšiť na úroveň 80 PJ. Na základe Národného </w:t>
      </w:r>
      <w:r w:rsidR="00BD5FD5">
        <w:rPr>
          <w:rFonts w:asciiTheme="majorHAnsi" w:hAnsiTheme="majorHAnsi"/>
        </w:rPr>
        <w:t>ak</w:t>
      </w:r>
      <w:r w:rsidRPr="00A11FE0">
        <w:rPr>
          <w:rFonts w:asciiTheme="majorHAnsi" w:hAnsiTheme="majorHAnsi"/>
        </w:rPr>
        <w:t xml:space="preserve">čného plánu pre energiu z OZE </w:t>
      </w:r>
      <w:r w:rsidR="00BD5FD5">
        <w:rPr>
          <w:rFonts w:asciiTheme="majorHAnsi" w:hAnsiTheme="majorHAnsi"/>
        </w:rPr>
        <w:t>s</w:t>
      </w:r>
      <w:r w:rsidRPr="00A11FE0">
        <w:rPr>
          <w:rFonts w:asciiTheme="majorHAnsi" w:hAnsiTheme="majorHAnsi"/>
        </w:rPr>
        <w:t>a očakáva významný nárast využívania OZE v </w:t>
      </w:r>
      <w:r w:rsidR="00BD5FD5">
        <w:rPr>
          <w:rFonts w:asciiTheme="majorHAnsi" w:hAnsiTheme="majorHAnsi"/>
        </w:rPr>
        <w:t>s</w:t>
      </w:r>
      <w:r w:rsidRPr="00A11FE0">
        <w:rPr>
          <w:rFonts w:asciiTheme="majorHAnsi" w:hAnsiTheme="majorHAnsi"/>
        </w:rPr>
        <w:t>ektore tepla. Doterajšie využívanie OZE v </w:t>
      </w:r>
      <w:r w:rsidR="00BD5FD5">
        <w:rPr>
          <w:rFonts w:asciiTheme="majorHAnsi" w:hAnsiTheme="majorHAnsi"/>
        </w:rPr>
        <w:t>s</w:t>
      </w:r>
      <w:r w:rsidRPr="00A11FE0">
        <w:rPr>
          <w:rFonts w:asciiTheme="majorHAnsi" w:hAnsiTheme="majorHAnsi"/>
        </w:rPr>
        <w:t>ektore tepla vykazovalo len mierny nárast, pretože vyčlenené finančné prostriedky na tieto projekty boli nedostatočné.</w:t>
      </w:r>
      <w:r w:rsidR="00037660">
        <w:rPr>
          <w:rFonts w:asciiTheme="majorHAnsi" w:hAnsiTheme="majorHAnsi"/>
        </w:rPr>
        <w:t xml:space="preserve"> </w:t>
      </w:r>
      <w:r w:rsidRPr="00A11FE0">
        <w:rPr>
          <w:rFonts w:asciiTheme="majorHAnsi" w:hAnsiTheme="majorHAnsi"/>
        </w:rPr>
        <w:t>Projekty využívajúce napríklad geotermálnu energiu v centrálnom zásobovaní teplom</w:t>
      </w:r>
      <w:r w:rsidR="00D04DFB">
        <w:rPr>
          <w:rFonts w:asciiTheme="majorHAnsi" w:hAnsiTheme="majorHAnsi"/>
        </w:rPr>
        <w:t>,</w:t>
      </w:r>
      <w:r w:rsidR="00190B98" w:rsidRPr="00190B98">
        <w:rPr>
          <w:rFonts w:asciiTheme="majorHAnsi" w:hAnsiTheme="majorHAnsi"/>
        </w:rPr>
        <w:t xml:space="preserve"> </w:t>
      </w:r>
      <w:r w:rsidR="00BD5FD5">
        <w:rPr>
          <w:rFonts w:asciiTheme="majorHAnsi" w:hAnsiTheme="majorHAnsi"/>
        </w:rPr>
        <w:t>a</w:t>
      </w:r>
      <w:r w:rsidR="00190B98" w:rsidRPr="00190B98">
        <w:rPr>
          <w:rFonts w:asciiTheme="majorHAnsi" w:hAnsiTheme="majorHAnsi"/>
        </w:rPr>
        <w:t xml:space="preserve">lebo v rámci </w:t>
      </w:r>
      <w:r w:rsidR="00BD5FD5">
        <w:rPr>
          <w:rFonts w:asciiTheme="majorHAnsi" w:hAnsiTheme="majorHAnsi"/>
        </w:rPr>
        <w:t>s</w:t>
      </w:r>
      <w:r w:rsidR="00190B98" w:rsidRPr="00190B98">
        <w:rPr>
          <w:rFonts w:asciiTheme="majorHAnsi" w:hAnsiTheme="majorHAnsi"/>
        </w:rPr>
        <w:t>kleníkového hospodárstva</w:t>
      </w:r>
      <w:r w:rsidR="00D04DFB">
        <w:rPr>
          <w:rFonts w:asciiTheme="majorHAnsi" w:hAnsiTheme="majorHAnsi"/>
        </w:rPr>
        <w:t>,</w:t>
      </w:r>
      <w:r w:rsidR="00190B98" w:rsidRPr="00190B98">
        <w:rPr>
          <w:rFonts w:asciiTheme="majorHAnsi" w:hAnsiTheme="majorHAnsi"/>
        </w:rPr>
        <w:t xml:space="preserve"> </w:t>
      </w:r>
      <w:r w:rsidR="005044A2" w:rsidRPr="00A11FE0">
        <w:rPr>
          <w:rFonts w:asciiTheme="majorHAnsi" w:hAnsiTheme="majorHAnsi"/>
        </w:rPr>
        <w:t>majú</w:t>
      </w:r>
      <w:r w:rsidR="00037660">
        <w:rPr>
          <w:rFonts w:asciiTheme="majorHAnsi" w:hAnsiTheme="majorHAnsi"/>
        </w:rPr>
        <w:t xml:space="preserve"> </w:t>
      </w:r>
      <w:r w:rsidRPr="00A11FE0">
        <w:rPr>
          <w:rFonts w:asciiTheme="majorHAnsi" w:hAnsiTheme="majorHAnsi"/>
        </w:rPr>
        <w:t>dlhodob</w:t>
      </w:r>
      <w:r w:rsidR="005044A2" w:rsidRPr="00A11FE0">
        <w:rPr>
          <w:rFonts w:asciiTheme="majorHAnsi" w:hAnsiTheme="majorHAnsi"/>
        </w:rPr>
        <w:t>ú</w:t>
      </w:r>
      <w:r w:rsidRPr="00A11FE0">
        <w:rPr>
          <w:rFonts w:asciiTheme="majorHAnsi" w:hAnsiTheme="majorHAnsi"/>
        </w:rPr>
        <w:t xml:space="preserve"> návratnosť </w:t>
      </w:r>
      <w:r w:rsidR="00BD5FD5">
        <w:rPr>
          <w:rFonts w:asciiTheme="majorHAnsi" w:hAnsiTheme="majorHAnsi"/>
        </w:rPr>
        <w:t>a </w:t>
      </w:r>
      <w:r w:rsidRPr="00A11FE0">
        <w:rPr>
          <w:rFonts w:asciiTheme="majorHAnsi" w:hAnsiTheme="majorHAnsi"/>
        </w:rPr>
        <w:t xml:space="preserve">vyžadujú značné objemy </w:t>
      </w:r>
      <w:r w:rsidRPr="00A11FE0">
        <w:rPr>
          <w:rFonts w:asciiTheme="majorHAnsi" w:hAnsiTheme="majorHAnsi"/>
        </w:rPr>
        <w:lastRenderedPageBreak/>
        <w:t xml:space="preserve">financovania, </w:t>
      </w:r>
      <w:r w:rsidR="00BD5FD5">
        <w:rPr>
          <w:rFonts w:asciiTheme="majorHAnsi" w:hAnsiTheme="majorHAnsi"/>
        </w:rPr>
        <w:t>k</w:t>
      </w:r>
      <w:r w:rsidRPr="00A11FE0">
        <w:rPr>
          <w:rFonts w:asciiTheme="majorHAnsi" w:hAnsiTheme="majorHAnsi"/>
        </w:rPr>
        <w:t xml:space="preserve">toré nie </w:t>
      </w:r>
      <w:r w:rsidR="00BD5FD5">
        <w:rPr>
          <w:rFonts w:asciiTheme="majorHAnsi" w:hAnsiTheme="majorHAnsi"/>
        </w:rPr>
        <w:t>s</w:t>
      </w:r>
      <w:r w:rsidRPr="00A11FE0">
        <w:rPr>
          <w:rFonts w:asciiTheme="majorHAnsi" w:hAnsiTheme="majorHAnsi"/>
        </w:rPr>
        <w:t xml:space="preserve">ú na trhu dostupné, respektíve </w:t>
      </w:r>
      <w:r w:rsidR="00BD5FD5">
        <w:rPr>
          <w:rFonts w:asciiTheme="majorHAnsi" w:hAnsiTheme="majorHAnsi"/>
        </w:rPr>
        <w:t>s</w:t>
      </w:r>
      <w:r w:rsidRPr="00A11FE0">
        <w:rPr>
          <w:rFonts w:asciiTheme="majorHAnsi" w:hAnsiTheme="majorHAnsi"/>
        </w:rPr>
        <w:t xml:space="preserve">ú dostupné za podmienok, za </w:t>
      </w:r>
      <w:r w:rsidR="00BD5FD5">
        <w:rPr>
          <w:rFonts w:asciiTheme="majorHAnsi" w:hAnsiTheme="majorHAnsi"/>
        </w:rPr>
        <w:t>k</w:t>
      </w:r>
      <w:r w:rsidRPr="00A11FE0">
        <w:rPr>
          <w:rFonts w:asciiTheme="majorHAnsi" w:hAnsiTheme="majorHAnsi"/>
        </w:rPr>
        <w:t>torých je realizácia takýchto projektov neefektívna. V oblasti výroby elektriny z</w:t>
      </w:r>
      <w:r w:rsidR="00134782">
        <w:rPr>
          <w:rFonts w:asciiTheme="majorHAnsi" w:hAnsiTheme="majorHAnsi"/>
        </w:rPr>
        <w:t> </w:t>
      </w:r>
      <w:r w:rsidRPr="00A11FE0">
        <w:rPr>
          <w:rFonts w:asciiTheme="majorHAnsi" w:hAnsiTheme="majorHAnsi"/>
        </w:rPr>
        <w:t>OZE</w:t>
      </w:r>
      <w:r w:rsidR="00134782">
        <w:rPr>
          <w:rFonts w:asciiTheme="majorHAnsi" w:hAnsiTheme="majorHAnsi"/>
        </w:rPr>
        <w:t xml:space="preserve"> </w:t>
      </w:r>
      <w:r w:rsidR="00055A0B">
        <w:rPr>
          <w:rFonts w:asciiTheme="majorHAnsi" w:hAnsiTheme="majorHAnsi"/>
        </w:rPr>
        <w:t xml:space="preserve">budú </w:t>
      </w:r>
      <w:r w:rsidRPr="00A11FE0">
        <w:rPr>
          <w:rFonts w:asciiTheme="majorHAnsi" w:hAnsiTheme="majorHAnsi"/>
        </w:rPr>
        <w:t xml:space="preserve">prioritou technológie, </w:t>
      </w:r>
      <w:r w:rsidR="00BD5FD5">
        <w:rPr>
          <w:rFonts w:asciiTheme="majorHAnsi" w:hAnsiTheme="majorHAnsi"/>
        </w:rPr>
        <w:t>k</w:t>
      </w:r>
      <w:r w:rsidRPr="00A11FE0">
        <w:rPr>
          <w:rFonts w:asciiTheme="majorHAnsi" w:hAnsiTheme="majorHAnsi"/>
        </w:rPr>
        <w:t xml:space="preserve">toré </w:t>
      </w:r>
      <w:r w:rsidR="00BD5FD5">
        <w:rPr>
          <w:rFonts w:asciiTheme="majorHAnsi" w:hAnsiTheme="majorHAnsi"/>
        </w:rPr>
        <w:t>s</w:t>
      </w:r>
      <w:r w:rsidRPr="00A11FE0">
        <w:rPr>
          <w:rFonts w:asciiTheme="majorHAnsi" w:hAnsiTheme="majorHAnsi"/>
        </w:rPr>
        <w:t xml:space="preserve">a budú vyznačovať inovatívnym riešením </w:t>
      </w:r>
      <w:r w:rsidR="00BD5FD5">
        <w:rPr>
          <w:rFonts w:asciiTheme="majorHAnsi" w:hAnsiTheme="majorHAnsi"/>
        </w:rPr>
        <w:t>s </w:t>
      </w:r>
      <w:r w:rsidRPr="00A11FE0">
        <w:rPr>
          <w:rFonts w:asciiTheme="majorHAnsi" w:hAnsiTheme="majorHAnsi"/>
        </w:rPr>
        <w:t>pozitívnym</w:t>
      </w:r>
      <w:r w:rsidR="00C63B72">
        <w:rPr>
          <w:rFonts w:asciiTheme="majorHAnsi" w:hAnsiTheme="majorHAnsi"/>
        </w:rPr>
        <w:t xml:space="preserve"> </w:t>
      </w:r>
      <w:r w:rsidRPr="00A11FE0">
        <w:rPr>
          <w:rFonts w:asciiTheme="majorHAnsi" w:hAnsiTheme="majorHAnsi"/>
        </w:rPr>
        <w:t xml:space="preserve">dopadom na </w:t>
      </w:r>
      <w:r w:rsidR="00BD5FD5">
        <w:rPr>
          <w:rFonts w:asciiTheme="majorHAnsi" w:hAnsiTheme="majorHAnsi"/>
        </w:rPr>
        <w:t>s</w:t>
      </w:r>
      <w:r w:rsidRPr="00A11FE0">
        <w:rPr>
          <w:rFonts w:asciiTheme="majorHAnsi" w:hAnsiTheme="majorHAnsi"/>
        </w:rPr>
        <w:t xml:space="preserve">tabilitu elektrizačnej </w:t>
      </w:r>
      <w:r w:rsidR="00BD5FD5">
        <w:rPr>
          <w:rFonts w:asciiTheme="majorHAnsi" w:hAnsiTheme="majorHAnsi"/>
        </w:rPr>
        <w:t>s</w:t>
      </w:r>
      <w:r w:rsidRPr="00A11FE0">
        <w:rPr>
          <w:rFonts w:asciiTheme="majorHAnsi" w:hAnsiTheme="majorHAnsi"/>
        </w:rPr>
        <w:t xml:space="preserve">ústavy. Efektívnosť podpory </w:t>
      </w:r>
      <w:r w:rsidR="00BD5FD5">
        <w:rPr>
          <w:rFonts w:asciiTheme="majorHAnsi" w:hAnsiTheme="majorHAnsi"/>
        </w:rPr>
        <w:t>s</w:t>
      </w:r>
      <w:r w:rsidRPr="00A11FE0">
        <w:rPr>
          <w:rFonts w:asciiTheme="majorHAnsi" w:hAnsiTheme="majorHAnsi"/>
        </w:rPr>
        <w:t xml:space="preserve">a bude dosahovať tým, že </w:t>
      </w:r>
      <w:r w:rsidR="00BD5FD5">
        <w:rPr>
          <w:rFonts w:asciiTheme="majorHAnsi" w:hAnsiTheme="majorHAnsi"/>
        </w:rPr>
        <w:t>s</w:t>
      </w:r>
      <w:r w:rsidRPr="00A11FE0">
        <w:rPr>
          <w:rFonts w:asciiTheme="majorHAnsi" w:hAnsiTheme="majorHAnsi"/>
        </w:rPr>
        <w:t xml:space="preserve">a zabráni prekrývaniu viacerých podporných nástrojov </w:t>
      </w:r>
      <w:r w:rsidR="00BD5FD5">
        <w:rPr>
          <w:rFonts w:asciiTheme="majorHAnsi" w:hAnsiTheme="majorHAnsi"/>
        </w:rPr>
        <w:t>a </w:t>
      </w:r>
      <w:r w:rsidRPr="00A11FE0">
        <w:rPr>
          <w:rFonts w:asciiTheme="majorHAnsi" w:hAnsiTheme="majorHAnsi"/>
        </w:rPr>
        <w:t xml:space="preserve">podporené projekty nebudú zvyšovať </w:t>
      </w:r>
      <w:r w:rsidR="00BD5FD5">
        <w:rPr>
          <w:rFonts w:asciiTheme="majorHAnsi" w:hAnsiTheme="majorHAnsi"/>
        </w:rPr>
        <w:t>k</w:t>
      </w:r>
      <w:r w:rsidRPr="00A11FE0">
        <w:rPr>
          <w:rFonts w:asciiTheme="majorHAnsi" w:hAnsiTheme="majorHAnsi"/>
        </w:rPr>
        <w:t xml:space="preserve">oncové ceny </w:t>
      </w:r>
      <w:r w:rsidR="00A2327E" w:rsidRPr="00A11FE0">
        <w:rPr>
          <w:rFonts w:asciiTheme="majorHAnsi" w:hAnsiTheme="majorHAnsi"/>
        </w:rPr>
        <w:t>elektriny.</w:t>
      </w:r>
    </w:p>
    <w:p w:rsidR="00D02033" w:rsidRPr="0011451D" w:rsidRDefault="00D02033" w:rsidP="00D02033">
      <w:pPr>
        <w:rPr>
          <w:rFonts w:asciiTheme="majorHAnsi" w:hAnsiTheme="majorHAnsi"/>
        </w:rPr>
      </w:pPr>
      <w:r w:rsidRPr="00E77853">
        <w:rPr>
          <w:rFonts w:asciiTheme="majorHAnsi" w:hAnsiTheme="majorHAnsi"/>
        </w:rPr>
        <w:t>V oblasti výroby tepla b</w:t>
      </w:r>
      <w:r w:rsidR="00055A0B">
        <w:rPr>
          <w:rFonts w:asciiTheme="majorHAnsi" w:hAnsiTheme="majorHAnsi"/>
        </w:rPr>
        <w:t>y mali byť</w:t>
      </w:r>
      <w:r w:rsidRPr="00E77853">
        <w:rPr>
          <w:rFonts w:asciiTheme="majorHAnsi" w:hAnsiTheme="majorHAnsi"/>
        </w:rPr>
        <w:t xml:space="preserve"> podporované </w:t>
      </w:r>
      <w:r w:rsidR="005554EF">
        <w:rPr>
          <w:rFonts w:asciiTheme="majorHAnsi" w:hAnsiTheme="majorHAnsi"/>
        </w:rPr>
        <w:t xml:space="preserve">výlučne nízkoemisné </w:t>
      </w:r>
      <w:r w:rsidRPr="00E77853">
        <w:rPr>
          <w:rFonts w:asciiTheme="majorHAnsi" w:hAnsiTheme="majorHAnsi"/>
        </w:rPr>
        <w:t>zariadenia využívajúce</w:t>
      </w:r>
      <w:r w:rsidR="00821FB5">
        <w:rPr>
          <w:rFonts w:asciiTheme="majorHAnsi" w:hAnsiTheme="majorHAnsi"/>
        </w:rPr>
        <w:t xml:space="preserve"> OZE</w:t>
      </w:r>
      <w:r w:rsidRPr="00E77853">
        <w:rPr>
          <w:rFonts w:asciiTheme="majorHAnsi" w:hAnsiTheme="majorHAnsi"/>
        </w:rPr>
        <w:t xml:space="preserve"> </w:t>
      </w:r>
      <w:r w:rsidR="00821FB5">
        <w:rPr>
          <w:rFonts w:asciiTheme="majorHAnsi" w:hAnsiTheme="majorHAnsi"/>
        </w:rPr>
        <w:t xml:space="preserve">(napr. </w:t>
      </w:r>
      <w:r w:rsidRPr="00E77853">
        <w:rPr>
          <w:rFonts w:asciiTheme="majorHAnsi" w:hAnsiTheme="majorHAnsi"/>
        </w:rPr>
        <w:t>biomasu, geotermálnu energiu</w:t>
      </w:r>
      <w:r w:rsidR="00821FB5">
        <w:rPr>
          <w:rFonts w:asciiTheme="majorHAnsi" w:hAnsiTheme="majorHAnsi"/>
        </w:rPr>
        <w:t xml:space="preserve">, </w:t>
      </w:r>
      <w:r w:rsidR="00821FB5" w:rsidRPr="00821FB5">
        <w:rPr>
          <w:rFonts w:asciiTheme="majorHAnsi" w:hAnsiTheme="majorHAnsi"/>
        </w:rPr>
        <w:t>hydrotermálnu energiu, aerotermálnu energiu</w:t>
      </w:r>
      <w:r w:rsidRPr="00E77853">
        <w:rPr>
          <w:rFonts w:asciiTheme="majorHAnsi" w:hAnsiTheme="majorHAnsi"/>
        </w:rPr>
        <w:t xml:space="preserve"> </w:t>
      </w:r>
      <w:r w:rsidR="00BD5FD5">
        <w:rPr>
          <w:rFonts w:asciiTheme="majorHAnsi" w:hAnsiTheme="majorHAnsi"/>
        </w:rPr>
        <w:t>a </w:t>
      </w:r>
      <w:r w:rsidR="00821FB5">
        <w:rPr>
          <w:rFonts w:asciiTheme="majorHAnsi" w:hAnsiTheme="majorHAnsi"/>
        </w:rPr>
        <w:t xml:space="preserve">solárnu </w:t>
      </w:r>
      <w:r w:rsidRPr="0011451D">
        <w:rPr>
          <w:rFonts w:asciiTheme="majorHAnsi" w:hAnsiTheme="majorHAnsi"/>
        </w:rPr>
        <w:t>energiu</w:t>
      </w:r>
      <w:r w:rsidR="00821FB5">
        <w:rPr>
          <w:rFonts w:asciiTheme="majorHAnsi" w:hAnsiTheme="majorHAnsi"/>
        </w:rPr>
        <w:t>)</w:t>
      </w:r>
      <w:r w:rsidR="002116F1">
        <w:rPr>
          <w:rFonts w:asciiTheme="majorHAnsi" w:hAnsiTheme="majorHAnsi"/>
        </w:rPr>
        <w:t>.</w:t>
      </w:r>
      <w:r w:rsidR="00821FB5">
        <w:rPr>
          <w:rFonts w:asciiTheme="majorHAnsi" w:hAnsiTheme="majorHAnsi"/>
        </w:rPr>
        <w:t xml:space="preserve"> V </w:t>
      </w:r>
      <w:r w:rsidR="005554EF">
        <w:rPr>
          <w:rFonts w:asciiTheme="majorHAnsi" w:hAnsiTheme="majorHAnsi"/>
        </w:rPr>
        <w:t>súlade so strategický</w:t>
      </w:r>
      <w:r w:rsidR="002B3958">
        <w:rPr>
          <w:rFonts w:asciiTheme="majorHAnsi" w:hAnsiTheme="majorHAnsi"/>
        </w:rPr>
        <w:t>m</w:t>
      </w:r>
      <w:r w:rsidR="005554EF">
        <w:rPr>
          <w:rFonts w:asciiTheme="majorHAnsi" w:hAnsiTheme="majorHAnsi"/>
        </w:rPr>
        <w:t xml:space="preserve"> dokumentom pre redukciu PM</w:t>
      </w:r>
      <w:r w:rsidR="005554EF" w:rsidRPr="00285DC7">
        <w:rPr>
          <w:rFonts w:asciiTheme="majorHAnsi" w:hAnsiTheme="majorHAnsi"/>
          <w:vertAlign w:val="subscript"/>
        </w:rPr>
        <w:t>10</w:t>
      </w:r>
      <w:r w:rsidR="005554EF">
        <w:rPr>
          <w:rStyle w:val="Odkaznapoznmkupodiarou"/>
          <w:rFonts w:asciiTheme="majorHAnsi" w:hAnsiTheme="majorHAnsi"/>
        </w:rPr>
        <w:footnoteReference w:id="176"/>
      </w:r>
      <w:r w:rsidR="002B61FB">
        <w:rPr>
          <w:rFonts w:asciiTheme="majorHAnsi" w:hAnsiTheme="majorHAnsi"/>
        </w:rPr>
        <w:t xml:space="preserve"> majú byť pri výrobe elektriny </w:t>
      </w:r>
      <w:r w:rsidR="00F20171">
        <w:rPr>
          <w:rFonts w:asciiTheme="majorHAnsi" w:hAnsiTheme="majorHAnsi"/>
        </w:rPr>
        <w:t xml:space="preserve">využívané OZE </w:t>
      </w:r>
      <w:r w:rsidR="002B61FB">
        <w:rPr>
          <w:rFonts w:asciiTheme="majorHAnsi" w:hAnsiTheme="majorHAnsi"/>
        </w:rPr>
        <w:t>bez produkcie emisií PM</w:t>
      </w:r>
      <w:r w:rsidR="00285DC7" w:rsidRPr="00285DC7">
        <w:rPr>
          <w:rFonts w:asciiTheme="majorHAnsi" w:hAnsiTheme="majorHAnsi"/>
          <w:vertAlign w:val="subscript"/>
        </w:rPr>
        <w:t>10</w:t>
      </w:r>
      <w:r w:rsidR="002B61FB">
        <w:rPr>
          <w:rFonts w:asciiTheme="majorHAnsi" w:hAnsiTheme="majorHAnsi"/>
        </w:rPr>
        <w:t xml:space="preserve"> (napr. </w:t>
      </w:r>
      <w:r w:rsidR="002B61FB" w:rsidRPr="002B61FB">
        <w:rPr>
          <w:rFonts w:asciiTheme="majorHAnsi" w:hAnsiTheme="majorHAnsi"/>
        </w:rPr>
        <w:t>veterná energia, slnečná energia, vodná energia, bioplyn</w:t>
      </w:r>
      <w:r w:rsidR="002B61FB" w:rsidRPr="00945775">
        <w:rPr>
          <w:rFonts w:asciiTheme="majorHAnsi" w:hAnsiTheme="majorHAnsi"/>
        </w:rPr>
        <w:t>)</w:t>
      </w:r>
      <w:r w:rsidR="005429FD">
        <w:rPr>
          <w:rFonts w:asciiTheme="majorHAnsi" w:hAnsiTheme="majorHAnsi"/>
        </w:rPr>
        <w:t>, a to</w:t>
      </w:r>
      <w:r w:rsidR="000B12BC" w:rsidRPr="00E36655">
        <w:rPr>
          <w:rFonts w:ascii="Calibri" w:eastAsia="MS Mincho" w:hAnsi="Calibri"/>
        </w:rPr>
        <w:t xml:space="preserve"> za predpokladu, že táto podpora bude založená  na strategických koncepciách v oblasti energetiky, ktoré sú v súlade s príslušnými právnymi predpismi EÚ, vrátane environmentálneho </w:t>
      </w:r>
      <w:r w:rsidR="002116F1" w:rsidRPr="00E36655">
        <w:rPr>
          <w:rFonts w:ascii="Calibri" w:eastAsia="MS Mincho" w:hAnsi="Calibri"/>
        </w:rPr>
        <w:t>„</w:t>
      </w:r>
      <w:r w:rsidR="000B12BC" w:rsidRPr="00E36655">
        <w:rPr>
          <w:rFonts w:ascii="Calibri" w:eastAsia="MS Mincho" w:hAnsi="Calibri"/>
        </w:rPr>
        <w:t>acquis</w:t>
      </w:r>
      <w:r w:rsidR="002116F1" w:rsidRPr="00E36655">
        <w:rPr>
          <w:rFonts w:ascii="Calibri" w:eastAsia="MS Mincho" w:hAnsi="Calibri"/>
        </w:rPr>
        <w:t>“</w:t>
      </w:r>
      <w:r w:rsidR="000B12BC" w:rsidRPr="00E36655">
        <w:rPr>
          <w:rFonts w:ascii="Calibri" w:eastAsia="MS Mincho" w:hAnsi="Calibri"/>
        </w:rPr>
        <w:t xml:space="preserve"> (Rámcová smernica o vode, SEA smernica, smernica o biotopoch)</w:t>
      </w:r>
      <w:r w:rsidR="002B61FB" w:rsidRPr="00945775">
        <w:rPr>
          <w:rFonts w:asciiTheme="majorHAnsi" w:hAnsiTheme="majorHAnsi"/>
        </w:rPr>
        <w:t>.</w:t>
      </w:r>
      <w:r w:rsidR="000B12BC" w:rsidRPr="00945775">
        <w:rPr>
          <w:rFonts w:asciiTheme="majorHAnsi" w:hAnsiTheme="majorHAnsi"/>
        </w:rPr>
        <w:t xml:space="preserve"> </w:t>
      </w:r>
      <w:r w:rsidR="002B61FB" w:rsidRPr="00945775">
        <w:rPr>
          <w:rFonts w:asciiTheme="majorHAnsi" w:hAnsiTheme="majorHAnsi"/>
        </w:rPr>
        <w:t>Z</w:t>
      </w:r>
      <w:r w:rsidR="002B61FB" w:rsidRPr="00041368">
        <w:rPr>
          <w:rFonts w:asciiTheme="majorHAnsi" w:hAnsiTheme="majorHAnsi"/>
        </w:rPr>
        <w:t> </w:t>
      </w:r>
      <w:r w:rsidR="002B61FB" w:rsidRPr="002B61FB">
        <w:rPr>
          <w:rFonts w:asciiTheme="majorHAnsi" w:hAnsiTheme="majorHAnsi"/>
        </w:rPr>
        <w:t>pohľadu inovatívnosti sa uvažuje s podporou výroby biometánu</w:t>
      </w:r>
      <w:r w:rsidR="002116F1">
        <w:rPr>
          <w:rFonts w:asciiTheme="majorHAnsi" w:hAnsiTheme="majorHAnsi"/>
        </w:rPr>
        <w:t>,</w:t>
      </w:r>
      <w:r w:rsidR="002B61FB" w:rsidRPr="002B61FB">
        <w:rPr>
          <w:rFonts w:asciiTheme="majorHAnsi" w:hAnsiTheme="majorHAnsi"/>
        </w:rPr>
        <w:t xml:space="preserve"> ako alternatívneho paliva v sektore dopravy</w:t>
      </w:r>
      <w:r w:rsidRPr="0011451D">
        <w:rPr>
          <w:rFonts w:asciiTheme="majorHAnsi" w:hAnsiTheme="majorHAnsi"/>
        </w:rPr>
        <w:t>.</w:t>
      </w:r>
    </w:p>
    <w:p w:rsidR="00D02033" w:rsidRPr="00134782" w:rsidRDefault="00D02033" w:rsidP="00D02033">
      <w:pPr>
        <w:rPr>
          <w:rFonts w:asciiTheme="majorHAnsi" w:hAnsiTheme="majorHAnsi"/>
        </w:rPr>
      </w:pPr>
      <w:r w:rsidRPr="0011451D">
        <w:rPr>
          <w:rFonts w:asciiTheme="majorHAnsi" w:hAnsiTheme="majorHAnsi"/>
        </w:rPr>
        <w:t xml:space="preserve">Záväzný cieľ 10 % v oblasti dopravy </w:t>
      </w:r>
      <w:r w:rsidR="00BD5FD5">
        <w:rPr>
          <w:rFonts w:asciiTheme="majorHAnsi" w:hAnsiTheme="majorHAnsi"/>
        </w:rPr>
        <w:t>s</w:t>
      </w:r>
      <w:r w:rsidRPr="0011451D">
        <w:rPr>
          <w:rFonts w:asciiTheme="majorHAnsi" w:hAnsiTheme="majorHAnsi"/>
        </w:rPr>
        <w:t xml:space="preserve">a napĺňa povinným primiešavaním biopalív, </w:t>
      </w:r>
      <w:r w:rsidR="00BD5FD5">
        <w:rPr>
          <w:rFonts w:asciiTheme="majorHAnsi" w:hAnsiTheme="majorHAnsi"/>
        </w:rPr>
        <w:t>k</w:t>
      </w:r>
      <w:r w:rsidRPr="0011451D">
        <w:rPr>
          <w:rFonts w:asciiTheme="majorHAnsi" w:hAnsiTheme="majorHAnsi"/>
        </w:rPr>
        <w:t xml:space="preserve">toré </w:t>
      </w:r>
      <w:r w:rsidR="00BD5FD5">
        <w:rPr>
          <w:rFonts w:asciiTheme="majorHAnsi" w:hAnsiTheme="majorHAnsi"/>
        </w:rPr>
        <w:t>s</w:t>
      </w:r>
      <w:r w:rsidRPr="0011451D">
        <w:rPr>
          <w:rFonts w:asciiTheme="majorHAnsi" w:hAnsiTheme="majorHAnsi"/>
        </w:rPr>
        <w:t xml:space="preserve">pĺňajú </w:t>
      </w:r>
      <w:r w:rsidR="00BD5FD5">
        <w:rPr>
          <w:rFonts w:asciiTheme="majorHAnsi" w:hAnsiTheme="majorHAnsi"/>
        </w:rPr>
        <w:t>k</w:t>
      </w:r>
      <w:r w:rsidRPr="0011451D">
        <w:rPr>
          <w:rFonts w:asciiTheme="majorHAnsi" w:hAnsiTheme="majorHAnsi"/>
        </w:rPr>
        <w:t xml:space="preserve">ritériá udržateľnosti. Tieto </w:t>
      </w:r>
      <w:r w:rsidR="00BD5FD5">
        <w:rPr>
          <w:rFonts w:asciiTheme="majorHAnsi" w:hAnsiTheme="majorHAnsi"/>
        </w:rPr>
        <w:t>k</w:t>
      </w:r>
      <w:r w:rsidRPr="0011451D">
        <w:rPr>
          <w:rFonts w:asciiTheme="majorHAnsi" w:hAnsiTheme="majorHAnsi"/>
        </w:rPr>
        <w:t>ritériá boli zavedené v roku 2011. V</w:t>
      </w:r>
      <w:r w:rsidR="00945775">
        <w:rPr>
          <w:rFonts w:asciiTheme="majorHAnsi" w:hAnsiTheme="majorHAnsi"/>
        </w:rPr>
        <w:t> </w:t>
      </w:r>
      <w:r w:rsidRPr="0011451D">
        <w:rPr>
          <w:rFonts w:asciiTheme="majorHAnsi" w:hAnsiTheme="majorHAnsi"/>
        </w:rPr>
        <w:t xml:space="preserve">roku 2012 podiel OZE, vrátane biopalív </w:t>
      </w:r>
      <w:r w:rsidR="00BD5FD5">
        <w:rPr>
          <w:rFonts w:asciiTheme="majorHAnsi" w:hAnsiTheme="majorHAnsi"/>
        </w:rPr>
        <w:t>s</w:t>
      </w:r>
      <w:r w:rsidRPr="00134782">
        <w:rPr>
          <w:rFonts w:asciiTheme="majorHAnsi" w:hAnsiTheme="majorHAnsi"/>
        </w:rPr>
        <w:t>p</w:t>
      </w:r>
      <w:r w:rsidR="00037660">
        <w:rPr>
          <w:rFonts w:asciiTheme="majorHAnsi" w:hAnsiTheme="majorHAnsi"/>
        </w:rPr>
        <w:t>ĺ</w:t>
      </w:r>
      <w:r w:rsidRPr="00134782">
        <w:rPr>
          <w:rFonts w:asciiTheme="majorHAnsi" w:hAnsiTheme="majorHAnsi"/>
        </w:rPr>
        <w:t>ň</w:t>
      </w:r>
      <w:r w:rsidR="00037660">
        <w:rPr>
          <w:rFonts w:asciiTheme="majorHAnsi" w:hAnsiTheme="majorHAnsi"/>
        </w:rPr>
        <w:t>a</w:t>
      </w:r>
      <w:r w:rsidRPr="00134782">
        <w:rPr>
          <w:rFonts w:asciiTheme="majorHAnsi" w:hAnsiTheme="majorHAnsi"/>
        </w:rPr>
        <w:t xml:space="preserve">júcich </w:t>
      </w:r>
      <w:r w:rsidR="00BD5FD5">
        <w:rPr>
          <w:rFonts w:asciiTheme="majorHAnsi" w:hAnsiTheme="majorHAnsi"/>
        </w:rPr>
        <w:t>k</w:t>
      </w:r>
      <w:r w:rsidRPr="00134782">
        <w:rPr>
          <w:rFonts w:asciiTheme="majorHAnsi" w:hAnsiTheme="majorHAnsi"/>
        </w:rPr>
        <w:t>ritériá udržateľnosti, v</w:t>
      </w:r>
      <w:r w:rsidR="00945775">
        <w:rPr>
          <w:rFonts w:asciiTheme="majorHAnsi" w:hAnsiTheme="majorHAnsi"/>
        </w:rPr>
        <w:t> </w:t>
      </w:r>
      <w:r w:rsidRPr="00134782">
        <w:rPr>
          <w:rFonts w:asciiTheme="majorHAnsi" w:hAnsiTheme="majorHAnsi"/>
        </w:rPr>
        <w:t>doprave</w:t>
      </w:r>
      <w:r w:rsidR="00945775">
        <w:rPr>
          <w:rFonts w:asciiTheme="majorHAnsi" w:hAnsiTheme="majorHAnsi"/>
        </w:rPr>
        <w:t xml:space="preserve"> </w:t>
      </w:r>
      <w:r w:rsidRPr="00134782">
        <w:rPr>
          <w:rFonts w:asciiTheme="majorHAnsi" w:hAnsiTheme="majorHAnsi"/>
        </w:rPr>
        <w:t>dosiahol 4,5 %. Plnenie cieľa v nasledujúci</w:t>
      </w:r>
      <w:r w:rsidR="00653D8B">
        <w:rPr>
          <w:rFonts w:asciiTheme="majorHAnsi" w:hAnsiTheme="majorHAnsi"/>
        </w:rPr>
        <w:t>ch</w:t>
      </w:r>
      <w:r w:rsidRPr="00134782">
        <w:rPr>
          <w:rFonts w:asciiTheme="majorHAnsi" w:hAnsiTheme="majorHAnsi"/>
        </w:rPr>
        <w:t xml:space="preserve"> rokoch </w:t>
      </w:r>
      <w:r w:rsidR="00BD5FD5">
        <w:rPr>
          <w:rFonts w:asciiTheme="majorHAnsi" w:hAnsiTheme="majorHAnsi"/>
        </w:rPr>
        <w:t>s</w:t>
      </w:r>
      <w:r w:rsidRPr="00134782">
        <w:rPr>
          <w:rFonts w:asciiTheme="majorHAnsi" w:hAnsiTheme="majorHAnsi"/>
        </w:rPr>
        <w:t xml:space="preserve">a dosiahne </w:t>
      </w:r>
      <w:r w:rsidR="00BD5FD5">
        <w:rPr>
          <w:rFonts w:asciiTheme="majorHAnsi" w:hAnsiTheme="majorHAnsi"/>
        </w:rPr>
        <w:t>a</w:t>
      </w:r>
      <w:r w:rsidRPr="00134782">
        <w:rPr>
          <w:rFonts w:asciiTheme="majorHAnsi" w:hAnsiTheme="majorHAnsi"/>
        </w:rPr>
        <w:t xml:space="preserve">j biopalivami, </w:t>
      </w:r>
      <w:r w:rsidR="00BD5FD5">
        <w:rPr>
          <w:rFonts w:asciiTheme="majorHAnsi" w:hAnsiTheme="majorHAnsi"/>
        </w:rPr>
        <w:t>k</w:t>
      </w:r>
      <w:r w:rsidRPr="00134782">
        <w:rPr>
          <w:rFonts w:asciiTheme="majorHAnsi" w:hAnsiTheme="majorHAnsi"/>
        </w:rPr>
        <w:t>toré</w:t>
      </w:r>
      <w:r w:rsidRPr="00D02033">
        <w:rPr>
          <w:rFonts w:asciiTheme="majorHAnsi" w:hAnsiTheme="majorHAnsi"/>
        </w:rPr>
        <w:t xml:space="preserve"> je možné viacnásobne zarátať.</w:t>
      </w:r>
    </w:p>
    <w:p w:rsidR="00406C25" w:rsidRDefault="00A2327E" w:rsidP="00406C25">
      <w:pPr>
        <w:rPr>
          <w:rFonts w:asciiTheme="majorHAnsi" w:hAnsiTheme="majorHAnsi"/>
        </w:rPr>
      </w:pPr>
      <w:r w:rsidRPr="00A11FE0">
        <w:rPr>
          <w:rFonts w:asciiTheme="majorHAnsi" w:hAnsiTheme="majorHAnsi"/>
        </w:rPr>
        <w:t>V</w:t>
      </w:r>
      <w:r w:rsidR="00134782">
        <w:rPr>
          <w:rFonts w:asciiTheme="majorHAnsi" w:hAnsiTheme="majorHAnsi"/>
        </w:rPr>
        <w:t> </w:t>
      </w:r>
      <w:r w:rsidR="00BD5FD5">
        <w:rPr>
          <w:rFonts w:asciiTheme="majorHAnsi" w:hAnsiTheme="majorHAnsi"/>
        </w:rPr>
        <w:t>s</w:t>
      </w:r>
      <w:r w:rsidR="00406C25" w:rsidRPr="00A11FE0">
        <w:rPr>
          <w:rFonts w:asciiTheme="majorHAnsi" w:hAnsiTheme="majorHAnsi"/>
        </w:rPr>
        <w:t>účasnosti</w:t>
      </w:r>
      <w:r w:rsidR="00134782">
        <w:rPr>
          <w:rFonts w:asciiTheme="majorHAnsi" w:hAnsiTheme="majorHAnsi"/>
        </w:rPr>
        <w:t xml:space="preserve"> </w:t>
      </w:r>
      <w:r w:rsidR="00BD5FD5">
        <w:rPr>
          <w:rFonts w:asciiTheme="majorHAnsi" w:hAnsiTheme="majorHAnsi"/>
        </w:rPr>
        <w:t>s</w:t>
      </w:r>
      <w:r w:rsidR="00406C25" w:rsidRPr="00A11FE0">
        <w:rPr>
          <w:rFonts w:asciiTheme="majorHAnsi" w:hAnsiTheme="majorHAnsi"/>
        </w:rPr>
        <w:t>a v</w:t>
      </w:r>
      <w:r w:rsidR="00134782">
        <w:rPr>
          <w:rFonts w:asciiTheme="majorHAnsi" w:hAnsiTheme="majorHAnsi"/>
        </w:rPr>
        <w:t> </w:t>
      </w:r>
      <w:r w:rsidR="00BD5FD5">
        <w:rPr>
          <w:rFonts w:asciiTheme="majorHAnsi" w:hAnsiTheme="majorHAnsi"/>
        </w:rPr>
        <w:t>S</w:t>
      </w:r>
      <w:r w:rsidR="00406C25" w:rsidRPr="00A11FE0">
        <w:rPr>
          <w:rFonts w:asciiTheme="majorHAnsi" w:hAnsiTheme="majorHAnsi"/>
        </w:rPr>
        <w:t>R</w:t>
      </w:r>
      <w:r w:rsidR="00134782">
        <w:rPr>
          <w:rFonts w:asciiTheme="majorHAnsi" w:hAnsiTheme="majorHAnsi"/>
        </w:rPr>
        <w:t xml:space="preserve"> </w:t>
      </w:r>
      <w:r w:rsidR="00406C25" w:rsidRPr="00A11FE0">
        <w:rPr>
          <w:rFonts w:asciiTheme="majorHAnsi" w:hAnsiTheme="majorHAnsi"/>
        </w:rPr>
        <w:t xml:space="preserve">zhruba 20 % elektriny vyrába vysoko účinnou </w:t>
      </w:r>
      <w:r w:rsidR="00BD5FD5">
        <w:rPr>
          <w:rFonts w:asciiTheme="majorHAnsi" w:hAnsiTheme="majorHAnsi"/>
        </w:rPr>
        <w:t>k</w:t>
      </w:r>
      <w:r w:rsidR="00406C25" w:rsidRPr="00A11FE0">
        <w:rPr>
          <w:rFonts w:asciiTheme="majorHAnsi" w:hAnsiTheme="majorHAnsi"/>
        </w:rPr>
        <w:t xml:space="preserve">ombinovanou výrobou. Podiel jednotlivých druhov palív použitých na </w:t>
      </w:r>
      <w:r w:rsidR="00BD5FD5">
        <w:rPr>
          <w:rFonts w:asciiTheme="majorHAnsi" w:hAnsiTheme="majorHAnsi"/>
        </w:rPr>
        <w:t>K</w:t>
      </w:r>
      <w:r w:rsidR="00406C25" w:rsidRPr="00A11FE0">
        <w:rPr>
          <w:rFonts w:asciiTheme="majorHAnsi" w:hAnsiTheme="majorHAnsi"/>
        </w:rPr>
        <w:t xml:space="preserve">VET zostáva približne zachovaný. Od roku 2007 </w:t>
      </w:r>
      <w:r w:rsidR="00BD5FD5">
        <w:rPr>
          <w:rFonts w:asciiTheme="majorHAnsi" w:hAnsiTheme="majorHAnsi"/>
        </w:rPr>
        <w:t>s</w:t>
      </w:r>
      <w:r w:rsidR="00406C25" w:rsidRPr="00A11FE0">
        <w:rPr>
          <w:rFonts w:asciiTheme="majorHAnsi" w:hAnsiTheme="majorHAnsi"/>
        </w:rPr>
        <w:t xml:space="preserve">a postupne zvyšuje podiel drevnej štiepky, čo je </w:t>
      </w:r>
      <w:r w:rsidR="00BD5FD5">
        <w:rPr>
          <w:rFonts w:asciiTheme="majorHAnsi" w:hAnsiTheme="majorHAnsi"/>
        </w:rPr>
        <w:t>s </w:t>
      </w:r>
      <w:r w:rsidR="00406C25" w:rsidRPr="00A11FE0">
        <w:rPr>
          <w:rFonts w:asciiTheme="majorHAnsi" w:hAnsiTheme="majorHAnsi"/>
        </w:rPr>
        <w:t xml:space="preserve">pôsobené najmä environmentálnou politikou znižovania emisií oxidov </w:t>
      </w:r>
      <w:r w:rsidR="00BD5FD5">
        <w:rPr>
          <w:rFonts w:asciiTheme="majorHAnsi" w:hAnsiTheme="majorHAnsi"/>
        </w:rPr>
        <w:t>s</w:t>
      </w:r>
      <w:r w:rsidR="00406C25" w:rsidRPr="00A11FE0">
        <w:rPr>
          <w:rFonts w:asciiTheme="majorHAnsi" w:hAnsiTheme="majorHAnsi"/>
        </w:rPr>
        <w:t xml:space="preserve">íry, </w:t>
      </w:r>
      <w:r w:rsidR="00BD5FD5">
        <w:rPr>
          <w:rFonts w:asciiTheme="majorHAnsi" w:hAnsiTheme="majorHAnsi"/>
        </w:rPr>
        <w:t>a</w:t>
      </w:r>
      <w:r w:rsidR="00406C25" w:rsidRPr="00A11FE0">
        <w:rPr>
          <w:rFonts w:asciiTheme="majorHAnsi" w:hAnsiTheme="majorHAnsi"/>
        </w:rPr>
        <w:t xml:space="preserve">le </w:t>
      </w:r>
      <w:r w:rsidR="00BD5FD5">
        <w:rPr>
          <w:rFonts w:asciiTheme="majorHAnsi" w:hAnsiTheme="majorHAnsi"/>
        </w:rPr>
        <w:t>a</w:t>
      </w:r>
      <w:r w:rsidR="00406C25" w:rsidRPr="00A11FE0">
        <w:rPr>
          <w:rFonts w:asciiTheme="majorHAnsi" w:hAnsiTheme="majorHAnsi"/>
        </w:rPr>
        <w:t xml:space="preserve">j národnou podmienkou podpory výroby elektriny z biomasy len v zariadení na </w:t>
      </w:r>
      <w:r w:rsidR="00BD5FD5">
        <w:rPr>
          <w:rFonts w:asciiTheme="majorHAnsi" w:hAnsiTheme="majorHAnsi"/>
        </w:rPr>
        <w:t>k</w:t>
      </w:r>
      <w:r w:rsidR="00406C25" w:rsidRPr="00A11FE0">
        <w:rPr>
          <w:rFonts w:asciiTheme="majorHAnsi" w:hAnsiTheme="majorHAnsi"/>
        </w:rPr>
        <w:t xml:space="preserve">ombinovanú výrobu. Napriek pokroku v oblasti vysoko účinnej </w:t>
      </w:r>
      <w:r w:rsidR="00BD5FD5">
        <w:rPr>
          <w:rFonts w:asciiTheme="majorHAnsi" w:hAnsiTheme="majorHAnsi"/>
        </w:rPr>
        <w:t>k</w:t>
      </w:r>
      <w:r w:rsidR="00406C25" w:rsidRPr="00A11FE0">
        <w:rPr>
          <w:rFonts w:asciiTheme="majorHAnsi" w:hAnsiTheme="majorHAnsi"/>
        </w:rPr>
        <w:t xml:space="preserve">ombinovanej výroby do roku 2007 </w:t>
      </w:r>
      <w:r w:rsidR="00BD5FD5">
        <w:rPr>
          <w:rFonts w:asciiTheme="majorHAnsi" w:hAnsiTheme="majorHAnsi"/>
        </w:rPr>
        <w:t>s</w:t>
      </w:r>
      <w:r w:rsidR="00406C25" w:rsidRPr="00A11FE0">
        <w:rPr>
          <w:rFonts w:asciiTheme="majorHAnsi" w:hAnsiTheme="majorHAnsi"/>
        </w:rPr>
        <w:t xml:space="preserve">a podiel výroby elektriny vyrobenej vysoko účinnou </w:t>
      </w:r>
      <w:r w:rsidR="00BD5FD5">
        <w:rPr>
          <w:rFonts w:asciiTheme="majorHAnsi" w:hAnsiTheme="majorHAnsi"/>
        </w:rPr>
        <w:t>k</w:t>
      </w:r>
      <w:r w:rsidR="00406C25" w:rsidRPr="00A11FE0">
        <w:rPr>
          <w:rFonts w:asciiTheme="majorHAnsi" w:hAnsiTheme="majorHAnsi"/>
        </w:rPr>
        <w:t>ombinovanou výrobou znižuje</w:t>
      </w:r>
      <w:r w:rsidR="00055A0B">
        <w:rPr>
          <w:rFonts w:asciiTheme="majorHAnsi" w:hAnsiTheme="majorHAnsi"/>
        </w:rPr>
        <w:t>,</w:t>
      </w:r>
      <w:r w:rsidR="00406C25" w:rsidRPr="00A11FE0">
        <w:rPr>
          <w:rFonts w:asciiTheme="majorHAnsi" w:hAnsiTheme="majorHAnsi"/>
        </w:rPr>
        <w:t xml:space="preserve"> najmä v</w:t>
      </w:r>
      <w:r w:rsidR="00945775">
        <w:rPr>
          <w:rFonts w:asciiTheme="majorHAnsi" w:hAnsiTheme="majorHAnsi"/>
        </w:rPr>
        <w:t> </w:t>
      </w:r>
      <w:r w:rsidR="00BD5FD5">
        <w:rPr>
          <w:rFonts w:asciiTheme="majorHAnsi" w:hAnsiTheme="majorHAnsi"/>
        </w:rPr>
        <w:t>s</w:t>
      </w:r>
      <w:r w:rsidR="00406C25" w:rsidRPr="00A11FE0">
        <w:rPr>
          <w:rFonts w:asciiTheme="majorHAnsi" w:hAnsiTheme="majorHAnsi"/>
        </w:rPr>
        <w:t xml:space="preserve">úvislosti </w:t>
      </w:r>
      <w:r w:rsidR="00BD5FD5">
        <w:rPr>
          <w:rFonts w:asciiTheme="majorHAnsi" w:hAnsiTheme="majorHAnsi"/>
        </w:rPr>
        <w:t>s </w:t>
      </w:r>
      <w:r w:rsidR="00406C25" w:rsidRPr="00A11FE0">
        <w:rPr>
          <w:rFonts w:asciiTheme="majorHAnsi" w:hAnsiTheme="majorHAnsi"/>
        </w:rPr>
        <w:t>poklesom</w:t>
      </w:r>
      <w:r w:rsidR="007D717C" w:rsidRPr="00A11FE0">
        <w:rPr>
          <w:rFonts w:asciiTheme="majorHAnsi" w:hAnsiTheme="majorHAnsi"/>
        </w:rPr>
        <w:t xml:space="preserve"> </w:t>
      </w:r>
      <w:r w:rsidR="00406C25" w:rsidRPr="00A11FE0">
        <w:rPr>
          <w:rFonts w:asciiTheme="majorHAnsi" w:hAnsiTheme="majorHAnsi"/>
        </w:rPr>
        <w:t>dopytu po využiteľnom teple.</w:t>
      </w:r>
    </w:p>
    <w:p w:rsidR="003A305E" w:rsidRPr="00E36655" w:rsidRDefault="003A305E" w:rsidP="00E36655">
      <w:pPr>
        <w:keepNext/>
        <w:keepLines/>
        <w:numPr>
          <w:ilvl w:val="4"/>
          <w:numId w:val="2"/>
        </w:numPr>
        <w:spacing w:before="200" w:after="0"/>
        <w:outlineLvl w:val="4"/>
        <w:rPr>
          <w:rFonts w:asciiTheme="majorHAnsi" w:hAnsiTheme="majorHAnsi"/>
          <w:color w:val="244061" w:themeColor="accent1" w:themeShade="80"/>
        </w:rPr>
      </w:pPr>
      <w:r w:rsidRPr="00E36655">
        <w:rPr>
          <w:rFonts w:asciiTheme="majorHAnsi" w:hAnsiTheme="majorHAnsi"/>
          <w:color w:val="244061" w:themeColor="accent1" w:themeShade="80"/>
        </w:rPr>
        <w:t>Potenciál pôdohospodárstva vo využívaní OZE</w:t>
      </w:r>
    </w:p>
    <w:p w:rsidR="00173FFA" w:rsidRPr="00832815" w:rsidRDefault="00760AC7" w:rsidP="00173FFA">
      <w:pPr>
        <w:rPr>
          <w:sz w:val="20"/>
          <w:szCs w:val="20"/>
        </w:rPr>
      </w:pPr>
      <w:r>
        <w:rPr>
          <w:rFonts w:asciiTheme="majorHAnsi" w:hAnsiTheme="majorHAnsi"/>
        </w:rPr>
        <w:t>N</w:t>
      </w:r>
      <w:r w:rsidR="003A305E" w:rsidRPr="003A305E">
        <w:rPr>
          <w:rFonts w:asciiTheme="majorHAnsi" w:hAnsiTheme="majorHAnsi"/>
        </w:rPr>
        <w:t>ajväčší podiel z</w:t>
      </w:r>
      <w:r w:rsidR="00945775">
        <w:rPr>
          <w:rFonts w:asciiTheme="majorHAnsi" w:hAnsiTheme="majorHAnsi"/>
        </w:rPr>
        <w:t> </w:t>
      </w:r>
      <w:r w:rsidR="003A305E" w:rsidRPr="003A305E">
        <w:rPr>
          <w:rFonts w:asciiTheme="majorHAnsi" w:hAnsiTheme="majorHAnsi"/>
        </w:rPr>
        <w:t xml:space="preserve">potenciálu OZE </w:t>
      </w:r>
      <w:r w:rsidR="003A305E">
        <w:rPr>
          <w:rFonts w:asciiTheme="majorHAnsi" w:hAnsiTheme="majorHAnsi"/>
        </w:rPr>
        <w:t>v</w:t>
      </w:r>
      <w:r w:rsidR="00945775">
        <w:rPr>
          <w:rFonts w:asciiTheme="majorHAnsi" w:hAnsiTheme="majorHAnsi"/>
        </w:rPr>
        <w:t> </w:t>
      </w:r>
      <w:r w:rsidR="003A305E">
        <w:rPr>
          <w:rFonts w:asciiTheme="majorHAnsi" w:hAnsiTheme="majorHAnsi"/>
        </w:rPr>
        <w:t>SR</w:t>
      </w:r>
      <w:r w:rsidR="003A305E" w:rsidRPr="003A305E">
        <w:rPr>
          <w:rFonts w:asciiTheme="majorHAnsi" w:hAnsiTheme="majorHAnsi"/>
        </w:rPr>
        <w:t xml:space="preserve"> predstavuje biomasa (42</w:t>
      </w:r>
      <w:r w:rsidR="003A305E">
        <w:rPr>
          <w:rFonts w:asciiTheme="majorHAnsi" w:hAnsiTheme="majorHAnsi"/>
        </w:rPr>
        <w:t xml:space="preserve"> </w:t>
      </w:r>
      <w:r w:rsidR="003A305E" w:rsidRPr="003A305E">
        <w:rPr>
          <w:rFonts w:asciiTheme="majorHAnsi" w:hAnsiTheme="majorHAnsi"/>
        </w:rPr>
        <w:t>%</w:t>
      </w:r>
      <w:r>
        <w:rPr>
          <w:rFonts w:asciiTheme="majorHAnsi" w:hAnsiTheme="majorHAnsi"/>
        </w:rPr>
        <w:t>)</w:t>
      </w:r>
      <w:r w:rsidR="002116F1">
        <w:rPr>
          <w:rFonts w:asciiTheme="majorHAnsi" w:hAnsiTheme="majorHAnsi"/>
        </w:rPr>
        <w:t>,</w:t>
      </w:r>
      <w:r>
        <w:rPr>
          <w:rFonts w:asciiTheme="majorHAnsi" w:hAnsiTheme="majorHAnsi"/>
        </w:rPr>
        <w:t xml:space="preserve"> pričom celkový</w:t>
      </w:r>
      <w:r w:rsidR="003A305E" w:rsidRPr="003A305E">
        <w:rPr>
          <w:rFonts w:asciiTheme="majorHAnsi" w:hAnsiTheme="majorHAnsi"/>
        </w:rPr>
        <w:t xml:space="preserve"> potenciál biomasy dosahuje ročne v</w:t>
      </w:r>
      <w:r w:rsidR="00945775">
        <w:rPr>
          <w:rFonts w:asciiTheme="majorHAnsi" w:hAnsiTheme="majorHAnsi"/>
        </w:rPr>
        <w:t> </w:t>
      </w:r>
      <w:r w:rsidR="003A305E" w:rsidRPr="003A305E">
        <w:rPr>
          <w:rFonts w:asciiTheme="majorHAnsi" w:hAnsiTheme="majorHAnsi"/>
        </w:rPr>
        <w:t>energetickom</w:t>
      </w:r>
      <w:r w:rsidR="00945775">
        <w:rPr>
          <w:rFonts w:asciiTheme="majorHAnsi" w:hAnsiTheme="majorHAnsi"/>
        </w:rPr>
        <w:t xml:space="preserve"> </w:t>
      </w:r>
      <w:r w:rsidR="003A305E" w:rsidRPr="003A305E">
        <w:rPr>
          <w:rFonts w:asciiTheme="majorHAnsi" w:hAnsiTheme="majorHAnsi"/>
        </w:rPr>
        <w:t xml:space="preserve">vyjadrení 147 PJ. </w:t>
      </w:r>
      <w:r>
        <w:rPr>
          <w:rFonts w:asciiTheme="majorHAnsi" w:hAnsiTheme="majorHAnsi"/>
        </w:rPr>
        <w:t>Z</w:t>
      </w:r>
      <w:r w:rsidR="00945775">
        <w:rPr>
          <w:rFonts w:asciiTheme="majorHAnsi" w:hAnsiTheme="majorHAnsi"/>
        </w:rPr>
        <w:t> </w:t>
      </w:r>
      <w:r w:rsidR="003A305E" w:rsidRPr="003A305E">
        <w:rPr>
          <w:rFonts w:asciiTheme="majorHAnsi" w:hAnsiTheme="majorHAnsi"/>
        </w:rPr>
        <w:t>hľadiska</w:t>
      </w:r>
      <w:r w:rsidR="00945775">
        <w:rPr>
          <w:rFonts w:asciiTheme="majorHAnsi" w:hAnsiTheme="majorHAnsi"/>
        </w:rPr>
        <w:t xml:space="preserve"> </w:t>
      </w:r>
      <w:r w:rsidR="003A305E" w:rsidRPr="003A305E">
        <w:rPr>
          <w:rFonts w:asciiTheme="majorHAnsi" w:hAnsiTheme="majorHAnsi"/>
        </w:rPr>
        <w:t>využiteľného potenciálu najvýznamnejším OZE</w:t>
      </w:r>
      <w:r>
        <w:rPr>
          <w:rFonts w:asciiTheme="majorHAnsi" w:hAnsiTheme="majorHAnsi"/>
        </w:rPr>
        <w:t xml:space="preserve"> je</w:t>
      </w:r>
      <w:r w:rsidR="003A305E" w:rsidRPr="003A305E">
        <w:rPr>
          <w:rFonts w:asciiTheme="majorHAnsi" w:hAnsiTheme="majorHAnsi"/>
        </w:rPr>
        <w:t xml:space="preserve"> lesná biomasa</w:t>
      </w:r>
      <w:r w:rsidR="002116F1">
        <w:rPr>
          <w:rFonts w:asciiTheme="majorHAnsi" w:hAnsiTheme="majorHAnsi"/>
        </w:rPr>
        <w:t>,</w:t>
      </w:r>
      <w:r w:rsidR="003A305E" w:rsidRPr="003A305E">
        <w:rPr>
          <w:rFonts w:asciiTheme="majorHAnsi" w:hAnsiTheme="majorHAnsi"/>
        </w:rPr>
        <w:t xml:space="preserve"> vrátane odpadov vznikajúcich pri jej spracovaní. V</w:t>
      </w:r>
      <w:r w:rsidR="00945775">
        <w:rPr>
          <w:rFonts w:asciiTheme="majorHAnsi" w:hAnsiTheme="majorHAnsi"/>
        </w:rPr>
        <w:t> </w:t>
      </w:r>
      <w:r w:rsidR="003A305E" w:rsidRPr="003A305E">
        <w:rPr>
          <w:rFonts w:asciiTheme="majorHAnsi" w:hAnsiTheme="majorHAnsi"/>
        </w:rPr>
        <w:t>roku</w:t>
      </w:r>
      <w:r w:rsidR="00945775">
        <w:rPr>
          <w:rFonts w:asciiTheme="majorHAnsi" w:hAnsiTheme="majorHAnsi"/>
        </w:rPr>
        <w:t xml:space="preserve"> </w:t>
      </w:r>
      <w:r w:rsidR="003A305E" w:rsidRPr="003A305E">
        <w:rPr>
          <w:rFonts w:asciiTheme="majorHAnsi" w:hAnsiTheme="majorHAnsi"/>
        </w:rPr>
        <w:t xml:space="preserve">2010 </w:t>
      </w:r>
      <w:r w:rsidR="002116F1" w:rsidRPr="003A305E">
        <w:rPr>
          <w:rFonts w:asciiTheme="majorHAnsi" w:hAnsiTheme="majorHAnsi"/>
        </w:rPr>
        <w:t xml:space="preserve">dosiahla </w:t>
      </w:r>
      <w:r w:rsidR="003A305E" w:rsidRPr="003A305E">
        <w:rPr>
          <w:rFonts w:asciiTheme="majorHAnsi" w:hAnsiTheme="majorHAnsi"/>
        </w:rPr>
        <w:t>produkcia drevnej biomasy 740 KToe (52,7</w:t>
      </w:r>
      <w:r w:rsidR="003A305E">
        <w:rPr>
          <w:rFonts w:asciiTheme="majorHAnsi" w:hAnsiTheme="majorHAnsi"/>
        </w:rPr>
        <w:t xml:space="preserve"> </w:t>
      </w:r>
      <w:r w:rsidR="003A305E" w:rsidRPr="003A305E">
        <w:rPr>
          <w:rFonts w:asciiTheme="majorHAnsi" w:hAnsiTheme="majorHAnsi"/>
        </w:rPr>
        <w:t>% z</w:t>
      </w:r>
      <w:r w:rsidR="00945775">
        <w:rPr>
          <w:rFonts w:asciiTheme="majorHAnsi" w:hAnsiTheme="majorHAnsi"/>
        </w:rPr>
        <w:t> </w:t>
      </w:r>
      <w:r w:rsidR="003A305E" w:rsidRPr="003A305E">
        <w:rPr>
          <w:rFonts w:asciiTheme="majorHAnsi" w:hAnsiTheme="majorHAnsi"/>
        </w:rPr>
        <w:t>celkovej produkcie OZE v</w:t>
      </w:r>
      <w:r w:rsidR="00945775">
        <w:rPr>
          <w:rFonts w:asciiTheme="majorHAnsi" w:hAnsiTheme="majorHAnsi"/>
        </w:rPr>
        <w:t> </w:t>
      </w:r>
      <w:r w:rsidR="003A305E" w:rsidRPr="003A305E">
        <w:rPr>
          <w:rFonts w:asciiTheme="majorHAnsi" w:hAnsiTheme="majorHAnsi"/>
        </w:rPr>
        <w:t>SR). V</w:t>
      </w:r>
      <w:r w:rsidR="00945775">
        <w:rPr>
          <w:rFonts w:asciiTheme="majorHAnsi" w:hAnsiTheme="majorHAnsi"/>
        </w:rPr>
        <w:t> </w:t>
      </w:r>
      <w:r w:rsidR="003A305E" w:rsidRPr="003A305E">
        <w:rPr>
          <w:rFonts w:asciiTheme="majorHAnsi" w:hAnsiTheme="majorHAnsi"/>
        </w:rPr>
        <w:t>porovnaní s</w:t>
      </w:r>
      <w:r w:rsidR="00945775">
        <w:rPr>
          <w:rFonts w:asciiTheme="majorHAnsi" w:hAnsiTheme="majorHAnsi"/>
        </w:rPr>
        <w:t> </w:t>
      </w:r>
      <w:r w:rsidR="003A305E" w:rsidRPr="003A305E">
        <w:rPr>
          <w:rFonts w:asciiTheme="majorHAnsi" w:hAnsiTheme="majorHAnsi"/>
        </w:rPr>
        <w:t>rokom</w:t>
      </w:r>
      <w:r w:rsidR="00945775">
        <w:rPr>
          <w:rFonts w:asciiTheme="majorHAnsi" w:hAnsiTheme="majorHAnsi"/>
        </w:rPr>
        <w:t xml:space="preserve"> </w:t>
      </w:r>
      <w:r w:rsidR="003A305E" w:rsidRPr="003A305E">
        <w:rPr>
          <w:rFonts w:asciiTheme="majorHAnsi" w:hAnsiTheme="majorHAnsi"/>
        </w:rPr>
        <w:t>2007 došlo k</w:t>
      </w:r>
      <w:r w:rsidR="00945775">
        <w:rPr>
          <w:rFonts w:asciiTheme="majorHAnsi" w:hAnsiTheme="majorHAnsi"/>
        </w:rPr>
        <w:t> </w:t>
      </w:r>
      <w:r w:rsidR="003A305E" w:rsidRPr="003A305E">
        <w:rPr>
          <w:rFonts w:asciiTheme="majorHAnsi" w:hAnsiTheme="majorHAnsi"/>
        </w:rPr>
        <w:t>zvýšeniu</w:t>
      </w:r>
      <w:r w:rsidR="00945775">
        <w:rPr>
          <w:rFonts w:asciiTheme="majorHAnsi" w:hAnsiTheme="majorHAnsi"/>
        </w:rPr>
        <w:t xml:space="preserve"> </w:t>
      </w:r>
      <w:r w:rsidR="003A305E" w:rsidRPr="003A305E">
        <w:rPr>
          <w:rFonts w:asciiTheme="majorHAnsi" w:hAnsiTheme="majorHAnsi"/>
        </w:rPr>
        <w:t>produkcie obnoviteľnej energie z</w:t>
      </w:r>
      <w:r w:rsidR="00945775">
        <w:rPr>
          <w:rFonts w:asciiTheme="majorHAnsi" w:hAnsiTheme="majorHAnsi"/>
        </w:rPr>
        <w:t> </w:t>
      </w:r>
      <w:r w:rsidR="003A305E" w:rsidRPr="003A305E">
        <w:rPr>
          <w:rFonts w:asciiTheme="majorHAnsi" w:hAnsiTheme="majorHAnsi"/>
        </w:rPr>
        <w:t>lesníctva</w:t>
      </w:r>
      <w:r w:rsidR="00945775">
        <w:rPr>
          <w:rFonts w:asciiTheme="majorHAnsi" w:hAnsiTheme="majorHAnsi"/>
        </w:rPr>
        <w:t xml:space="preserve"> </w:t>
      </w:r>
      <w:r w:rsidR="00E732D1" w:rsidRPr="00906F4F">
        <w:rPr>
          <w:rFonts w:asciiTheme="majorHAnsi" w:hAnsiTheme="majorHAnsi"/>
        </w:rPr>
        <w:t>o 53 %</w:t>
      </w:r>
      <w:r w:rsidR="00E732D1" w:rsidRPr="00906F4F">
        <w:rPr>
          <w:rStyle w:val="Odkaznapoznmkupodiarou"/>
          <w:rFonts w:asciiTheme="majorHAnsi" w:hAnsiTheme="majorHAnsi"/>
        </w:rPr>
        <w:footnoteReference w:id="177"/>
      </w:r>
      <w:r w:rsidR="00E732D1" w:rsidRPr="00906F4F">
        <w:rPr>
          <w:rFonts w:asciiTheme="majorHAnsi" w:hAnsiTheme="majorHAnsi"/>
        </w:rPr>
        <w:t>. Celková produkcia obnoviteľnej energie z</w:t>
      </w:r>
      <w:r w:rsidR="00945775" w:rsidRPr="00906F4F">
        <w:rPr>
          <w:rFonts w:asciiTheme="majorHAnsi" w:hAnsiTheme="majorHAnsi"/>
        </w:rPr>
        <w:t> </w:t>
      </w:r>
      <w:r w:rsidR="00E732D1" w:rsidRPr="00906F4F">
        <w:rPr>
          <w:rFonts w:asciiTheme="majorHAnsi" w:hAnsiTheme="majorHAnsi"/>
          <w:bCs/>
        </w:rPr>
        <w:t>poľnohospodárstva</w:t>
      </w:r>
      <w:r w:rsidR="00945775" w:rsidRPr="00906F4F">
        <w:rPr>
          <w:rFonts w:asciiTheme="majorHAnsi" w:hAnsiTheme="majorHAnsi"/>
          <w:bCs/>
        </w:rPr>
        <w:t xml:space="preserve"> </w:t>
      </w:r>
      <w:r w:rsidR="00E732D1" w:rsidRPr="00906F4F">
        <w:rPr>
          <w:rFonts w:asciiTheme="majorHAnsi" w:hAnsiTheme="majorHAnsi"/>
        </w:rPr>
        <w:t>dosiahla v roku 2010 úroveň 143,3 kToe (10,2 % z celkovej produkcie OZE v SR), čo je v</w:t>
      </w:r>
      <w:r w:rsidR="00945775" w:rsidRPr="00906F4F">
        <w:rPr>
          <w:rFonts w:asciiTheme="majorHAnsi" w:hAnsiTheme="majorHAnsi"/>
        </w:rPr>
        <w:t> </w:t>
      </w:r>
      <w:r w:rsidR="00E732D1" w:rsidRPr="00906F4F">
        <w:rPr>
          <w:rFonts w:asciiTheme="majorHAnsi" w:hAnsiTheme="majorHAnsi"/>
        </w:rPr>
        <w:t>porovnaní</w:t>
      </w:r>
      <w:r w:rsidR="00945775" w:rsidRPr="00906F4F">
        <w:rPr>
          <w:rFonts w:asciiTheme="majorHAnsi" w:hAnsiTheme="majorHAnsi"/>
        </w:rPr>
        <w:t xml:space="preserve"> </w:t>
      </w:r>
      <w:r w:rsidR="00E732D1" w:rsidRPr="00906F4F">
        <w:rPr>
          <w:rFonts w:asciiTheme="majorHAnsi" w:hAnsiTheme="majorHAnsi"/>
        </w:rPr>
        <w:t>s</w:t>
      </w:r>
      <w:r w:rsidR="00945775" w:rsidRPr="00906F4F">
        <w:rPr>
          <w:rFonts w:asciiTheme="majorHAnsi" w:hAnsiTheme="majorHAnsi"/>
        </w:rPr>
        <w:t> </w:t>
      </w:r>
      <w:r w:rsidR="00E732D1" w:rsidRPr="00906F4F">
        <w:rPr>
          <w:rFonts w:asciiTheme="majorHAnsi" w:hAnsiTheme="majorHAnsi"/>
        </w:rPr>
        <w:t>rokom</w:t>
      </w:r>
      <w:r w:rsidR="00945775" w:rsidRPr="00906F4F">
        <w:rPr>
          <w:rFonts w:asciiTheme="majorHAnsi" w:hAnsiTheme="majorHAnsi"/>
        </w:rPr>
        <w:t xml:space="preserve"> </w:t>
      </w:r>
      <w:r w:rsidR="00E732D1" w:rsidRPr="00906F4F">
        <w:rPr>
          <w:rFonts w:asciiTheme="majorHAnsi" w:hAnsiTheme="majorHAnsi"/>
        </w:rPr>
        <w:t>2007 nárast o</w:t>
      </w:r>
      <w:r w:rsidR="00945775" w:rsidRPr="00906F4F">
        <w:rPr>
          <w:rFonts w:asciiTheme="majorHAnsi" w:hAnsiTheme="majorHAnsi"/>
        </w:rPr>
        <w:t> </w:t>
      </w:r>
      <w:r w:rsidR="00E732D1" w:rsidRPr="00906F4F">
        <w:rPr>
          <w:rFonts w:asciiTheme="majorHAnsi" w:hAnsiTheme="majorHAnsi"/>
        </w:rPr>
        <w:t>2</w:t>
      </w:r>
      <w:r w:rsidR="00173FFA" w:rsidRPr="00906F4F">
        <w:rPr>
          <w:rFonts w:asciiTheme="majorHAnsi" w:hAnsiTheme="majorHAnsi"/>
        </w:rPr>
        <w:t>6</w:t>
      </w:r>
      <w:r w:rsidR="00E732D1" w:rsidRPr="00906F4F">
        <w:rPr>
          <w:rFonts w:asciiTheme="majorHAnsi" w:hAnsiTheme="majorHAnsi"/>
        </w:rPr>
        <w:t xml:space="preserve">0 %. Celkový potenciál biomasy, ktorý je približne štyrikrát väčší ako potenciál vodnej </w:t>
      </w:r>
      <w:r w:rsidR="00E732D1" w:rsidRPr="00906F4F">
        <w:rPr>
          <w:rFonts w:asciiTheme="majorHAnsi" w:hAnsiTheme="majorHAnsi"/>
          <w:bCs/>
        </w:rPr>
        <w:t>energie</w:t>
      </w:r>
      <w:r w:rsidR="00D41AC0">
        <w:rPr>
          <w:rFonts w:asciiTheme="majorHAnsi" w:hAnsiTheme="majorHAnsi"/>
          <w:bCs/>
        </w:rPr>
        <w:t>,</w:t>
      </w:r>
      <w:r w:rsidR="00E732D1" w:rsidRPr="00906F4F">
        <w:rPr>
          <w:rFonts w:asciiTheme="majorHAnsi" w:hAnsiTheme="majorHAnsi"/>
          <w:bCs/>
        </w:rPr>
        <w:t xml:space="preserve"> </w:t>
      </w:r>
      <w:r w:rsidR="006A31EB">
        <w:rPr>
          <w:rFonts w:asciiTheme="majorHAnsi" w:hAnsiTheme="majorHAnsi"/>
          <w:bCs/>
        </w:rPr>
        <w:t xml:space="preserve">sa </w:t>
      </w:r>
      <w:r w:rsidR="00173FFA" w:rsidRPr="00906F4F">
        <w:rPr>
          <w:rFonts w:asciiTheme="majorHAnsi" w:hAnsiTheme="majorHAnsi"/>
          <w:bCs/>
        </w:rPr>
        <w:t xml:space="preserve">aj napriek rastúcemu trendu v súčasnosti využíva stále nedostatočne, len na úrovni okolo 30 % </w:t>
      </w:r>
      <w:r w:rsidR="00173FFA" w:rsidRPr="00C865B9">
        <w:rPr>
          <w:rFonts w:asciiTheme="majorHAnsi" w:hAnsiTheme="majorHAnsi" w:cstheme="majorHAnsi"/>
          <w:bCs/>
          <w:vertAlign w:val="superscript"/>
        </w:rPr>
        <w:footnoteReference w:id="178"/>
      </w:r>
      <w:r w:rsidR="00173FFA" w:rsidRPr="00C865B9">
        <w:rPr>
          <w:rFonts w:asciiTheme="majorHAnsi" w:hAnsiTheme="majorHAnsi" w:cstheme="majorHAnsi"/>
          <w:bCs/>
        </w:rPr>
        <w:t xml:space="preserve">. Je preto vhodné podporiť nízko emisné technológie využívajúce vysoký potenciál biomasy </w:t>
      </w:r>
      <w:r w:rsidR="00D76BBB" w:rsidRPr="00C865B9">
        <w:rPr>
          <w:rFonts w:asciiTheme="majorHAnsi" w:hAnsiTheme="majorHAnsi" w:cstheme="majorHAnsi"/>
          <w:bCs/>
        </w:rPr>
        <w:t>z poľnohospodárstva a lesníctva za predpokladu splnenia</w:t>
      </w:r>
      <w:r w:rsidR="00D76BBB" w:rsidRPr="00C865B9">
        <w:rPr>
          <w:rFonts w:asciiTheme="majorHAnsi" w:hAnsiTheme="majorHAnsi" w:cstheme="majorHAnsi"/>
        </w:rPr>
        <w:t xml:space="preserve"> k</w:t>
      </w:r>
      <w:r w:rsidR="00D76BBB" w:rsidRPr="00C865B9">
        <w:rPr>
          <w:rFonts w:asciiTheme="majorHAnsi" w:hAnsiTheme="majorHAnsi" w:cstheme="majorHAnsi"/>
          <w:bCs/>
        </w:rPr>
        <w:t xml:space="preserve">ritérií udržateľného využívania biomasy v regiónoch Slovenska, ktoré budú vypracované </w:t>
      </w:r>
      <w:r w:rsidR="00D76BBB" w:rsidRPr="00AB2F1D">
        <w:rPr>
          <w:rFonts w:asciiTheme="majorHAnsi" w:hAnsiTheme="majorHAnsi" w:cstheme="majorHAnsi"/>
          <w:bCs/>
        </w:rPr>
        <w:t>na národnej úrovni</w:t>
      </w:r>
      <w:r w:rsidR="00D76BBB" w:rsidRPr="00CB204C">
        <w:rPr>
          <w:rFonts w:asciiTheme="majorHAnsi" w:hAnsiTheme="majorHAnsi" w:cstheme="majorHAnsi"/>
          <w:bCs/>
        </w:rPr>
        <w:t xml:space="preserve"> v súlade s odporúčaniami správy Komisie Rade a EP o požiadavkách trvalej udržateľnosti na používanie zdrojov tuhej a plynnej biomasy pri výrobe elektriny, tepla a chladu COM(2010) 11 final a so zohľadnením pracovného dokumentu útvarov Komisie SWD(2014) 25</w:t>
      </w:r>
      <w:r w:rsidR="00D76BBB" w:rsidRPr="00765951">
        <w:rPr>
          <w:rFonts w:asciiTheme="majorHAnsi" w:hAnsiTheme="majorHAnsi" w:cstheme="majorHAnsi"/>
          <w:bCs/>
        </w:rPr>
        <w:t>9 final</w:t>
      </w:r>
      <w:r w:rsidR="0088332F" w:rsidRPr="00C865B9">
        <w:rPr>
          <w:rStyle w:val="Odkaznapoznmkupodiarou"/>
          <w:rFonts w:asciiTheme="majorHAnsi" w:hAnsiTheme="majorHAnsi" w:cstheme="majorHAnsi"/>
          <w:bCs/>
        </w:rPr>
        <w:footnoteReference w:id="179"/>
      </w:r>
      <w:r w:rsidR="00D76BBB" w:rsidRPr="00C865B9">
        <w:rPr>
          <w:rFonts w:asciiTheme="majorHAnsi" w:hAnsiTheme="majorHAnsi" w:cstheme="majorHAnsi"/>
        </w:rPr>
        <w:t>.</w:t>
      </w:r>
      <w:r w:rsidR="00D76BBB">
        <w:t xml:space="preserve"> </w:t>
      </w:r>
      <w:r w:rsidR="00D76BBB" w:rsidRPr="00BD4F97">
        <w:rPr>
          <w:rFonts w:asciiTheme="majorHAnsi" w:hAnsiTheme="majorHAnsi"/>
          <w:bCs/>
        </w:rPr>
        <w:t xml:space="preserve">Kritériá udržateľného využitia biomasy v regiónoch Slovenska budú pripravené na národnej úrovni pred poskytnutím akejkoľvek podpory pre využitie biomasy, ktorá je v </w:t>
      </w:r>
      <w:r w:rsidR="00D76BBB" w:rsidRPr="00BD4F97">
        <w:rPr>
          <w:rFonts w:asciiTheme="majorHAnsi" w:hAnsiTheme="majorHAnsi"/>
          <w:bCs/>
        </w:rPr>
        <w:lastRenderedPageBreak/>
        <w:t>rámci jednotlivých programov podmienená rešpektovaním týchto kritérií. Tento dokument by mal poskytnúť odôvodnenie, vrátane projekcií (so zdrojmi údajov) a vyznačiť oblasti na Slovensku, kde vývoj trhu by mohol byť naďalej vhodný pre podporu z EÚ fondov na využitie biomasy, zohľadňujúc taktiež vplyvy na kvalitu ovzdušia. Tento dokument bude poskytnutý verejnosti na pripomienkovanie a EK na vedomie.</w:t>
      </w:r>
    </w:p>
    <w:p w:rsidR="00E732D1" w:rsidRPr="00041368" w:rsidRDefault="00E732D1" w:rsidP="00E732D1">
      <w:pPr>
        <w:rPr>
          <w:rFonts w:asciiTheme="majorHAnsi" w:hAnsiTheme="majorHAnsi"/>
        </w:rPr>
      </w:pPr>
      <w:r w:rsidRPr="00906F4F">
        <w:rPr>
          <w:rFonts w:asciiTheme="majorHAnsi" w:hAnsiTheme="majorHAnsi"/>
        </w:rPr>
        <w:t>Rýchlorastúce dreviny aj viacročné energetické plodiny určené predovšetkým na spaľovanie sa javia ako výhodné, a</w:t>
      </w:r>
      <w:r w:rsidR="00945775" w:rsidRPr="00906F4F">
        <w:rPr>
          <w:rFonts w:asciiTheme="majorHAnsi" w:hAnsiTheme="majorHAnsi"/>
        </w:rPr>
        <w:t xml:space="preserve"> to </w:t>
      </w:r>
      <w:r w:rsidRPr="00906F4F">
        <w:rPr>
          <w:rFonts w:asciiTheme="majorHAnsi" w:hAnsiTheme="majorHAnsi"/>
        </w:rPr>
        <w:t>predovšetkým kvôli relatívne nízkym nákladom na ich vysokú produkciu a</w:t>
      </w:r>
      <w:r w:rsidR="00945775" w:rsidRPr="00906F4F">
        <w:rPr>
          <w:rFonts w:asciiTheme="majorHAnsi" w:hAnsiTheme="majorHAnsi"/>
        </w:rPr>
        <w:t xml:space="preserve"> tiež </w:t>
      </w:r>
      <w:r w:rsidRPr="00906F4F">
        <w:rPr>
          <w:rFonts w:asciiTheme="majorHAnsi" w:hAnsiTheme="majorHAnsi"/>
        </w:rPr>
        <w:t>svojim optimálnym pokrytím pôdy pomáhajú v</w:t>
      </w:r>
      <w:r w:rsidR="00945775" w:rsidRPr="00906F4F">
        <w:rPr>
          <w:rFonts w:asciiTheme="majorHAnsi" w:hAnsiTheme="majorHAnsi"/>
        </w:rPr>
        <w:t> </w:t>
      </w:r>
      <w:r w:rsidRPr="00906F4F">
        <w:rPr>
          <w:rFonts w:asciiTheme="majorHAnsi" w:hAnsiTheme="majorHAnsi"/>
        </w:rPr>
        <w:t>boji proti vytrvalým burinám. Centrálny register plôch porastov rýchlorastúcich drevín za rok 2012 evidoval výmeru 240 ha rýchlorastúcich drevín (0,012 % z</w:t>
      </w:r>
      <w:r w:rsidR="00945775" w:rsidRPr="00906F4F">
        <w:rPr>
          <w:rFonts w:asciiTheme="majorHAnsi" w:hAnsiTheme="majorHAnsi"/>
        </w:rPr>
        <w:t> </w:t>
      </w:r>
      <w:r w:rsidRPr="00906F4F">
        <w:rPr>
          <w:rFonts w:asciiTheme="majorHAnsi" w:hAnsiTheme="majorHAnsi"/>
        </w:rPr>
        <w:t>využitej poľnohospodárskej pôdy).</w:t>
      </w:r>
    </w:p>
    <w:p w:rsidR="00CB178F" w:rsidRPr="00E732D1" w:rsidRDefault="00CB178F" w:rsidP="00E732D1">
      <w:pPr>
        <w:keepNext/>
        <w:keepLines/>
        <w:numPr>
          <w:ilvl w:val="4"/>
          <w:numId w:val="2"/>
        </w:numPr>
        <w:spacing w:before="200" w:after="0"/>
        <w:outlineLvl w:val="4"/>
        <w:rPr>
          <w:rFonts w:asciiTheme="majorHAnsi" w:hAnsiTheme="majorHAnsi"/>
          <w:color w:val="243F60"/>
        </w:rPr>
      </w:pPr>
      <w:r w:rsidRPr="00E732D1">
        <w:rPr>
          <w:rFonts w:asciiTheme="majorHAnsi" w:hAnsiTheme="majorHAnsi"/>
          <w:color w:val="243F60"/>
        </w:rPr>
        <w:t>Zvyšovanie informovanosti a vzdelanostnej úrovne pri zavádzaní nízkouhlíkových stratégií</w:t>
      </w:r>
    </w:p>
    <w:p w:rsidR="00CB178F" w:rsidRDefault="00CB178F" w:rsidP="00CB178F">
      <w:pPr>
        <w:rPr>
          <w:rFonts w:asciiTheme="majorHAnsi" w:hAnsiTheme="majorHAnsi"/>
        </w:rPr>
      </w:pPr>
      <w:r>
        <w:rPr>
          <w:rFonts w:asciiTheme="majorHAnsi" w:hAnsiTheme="majorHAnsi"/>
        </w:rPr>
        <w:t xml:space="preserve">V oblasti energetiky pre splnenie cieľov </w:t>
      </w:r>
      <w:r w:rsidR="00D04DFB">
        <w:rPr>
          <w:rFonts w:asciiTheme="majorHAnsi" w:hAnsiTheme="majorHAnsi"/>
        </w:rPr>
        <w:t>s</w:t>
      </w:r>
      <w:r>
        <w:rPr>
          <w:rFonts w:asciiTheme="majorHAnsi" w:hAnsiTheme="majorHAnsi"/>
        </w:rPr>
        <w:t>tratégie Európa 2020</w:t>
      </w:r>
      <w:r w:rsidR="00D04DFB">
        <w:rPr>
          <w:rFonts w:asciiTheme="majorHAnsi" w:hAnsiTheme="majorHAnsi"/>
        </w:rPr>
        <w:t xml:space="preserve"> bude potrebné</w:t>
      </w:r>
      <w:r>
        <w:rPr>
          <w:rFonts w:asciiTheme="majorHAnsi" w:hAnsiTheme="majorHAnsi"/>
        </w:rPr>
        <w:t xml:space="preserve"> zvyšovať úroveň vzdelania odborníkov v energetike a súvisiacich odboroch ako aj primerané povedomie laickej verejnosti. Je potrebné zvyšovať informovanosť v oblasti energetickej efektívnosti pre verejnosť od detí až po odborníkov, podporiť rozvoj informovanosti a vzdelávania laickej i odbornej verejnosti v oblasti energetickej efektívnosti, podporiť realizáciu informačných kampaní v oblasti energetickej efektívnosti a podporiť realizáciu projektov poradenstva a vzdelávania zamestnancov štátnej správy a miestnej samosprávy v oblasti energetickej efektívnosti</w:t>
      </w:r>
      <w:r w:rsidR="00D04DFB">
        <w:rPr>
          <w:rFonts w:asciiTheme="majorHAnsi" w:hAnsiTheme="majorHAnsi"/>
        </w:rPr>
        <w:t>,</w:t>
      </w:r>
      <w:r>
        <w:rPr>
          <w:rFonts w:asciiTheme="majorHAnsi" w:hAnsiTheme="majorHAnsi"/>
        </w:rPr>
        <w:t xml:space="preserve"> s cieľom monitorovania a hodnotenia úspor energetickej efektívnosti.</w:t>
      </w:r>
    </w:p>
    <w:p w:rsidR="00CB178F" w:rsidRDefault="00CB178F" w:rsidP="00CB178F">
      <w:pPr>
        <w:rPr>
          <w:rFonts w:asciiTheme="majorHAnsi" w:hAnsiTheme="majorHAnsi"/>
        </w:rPr>
      </w:pPr>
      <w:r>
        <w:rPr>
          <w:rFonts w:asciiTheme="majorHAnsi" w:hAnsiTheme="majorHAnsi"/>
        </w:rPr>
        <w:t>Dôležitým faktorom v podmienkach SR je absencia lokálnych a regionálnych akčných plánov zameraných na trvalo udržateľnú energetiku. Výnimkou sú len koncepcie rozvoja obce v oblasti tepelnej energetiky</w:t>
      </w:r>
      <w:r>
        <w:rPr>
          <w:rStyle w:val="Odkaznapoznmkupodiarou"/>
          <w:rFonts w:asciiTheme="majorHAnsi" w:hAnsiTheme="majorHAnsi"/>
        </w:rPr>
        <w:footnoteReference w:id="180"/>
      </w:r>
      <w:r>
        <w:rPr>
          <w:rFonts w:asciiTheme="majorHAnsi" w:hAnsiTheme="majorHAnsi"/>
        </w:rPr>
        <w:t>. V súvislosti so zmenami dopytu po využiteľnom teple by mali rozhodujúcu úlohu pri stabilizácii trhu s teplom zohr</w:t>
      </w:r>
      <w:r w:rsidR="00D04DFB">
        <w:rPr>
          <w:rFonts w:asciiTheme="majorHAnsi" w:hAnsiTheme="majorHAnsi"/>
        </w:rPr>
        <w:t>ávať</w:t>
      </w:r>
      <w:r>
        <w:rPr>
          <w:rFonts w:asciiTheme="majorHAnsi" w:hAnsiTheme="majorHAnsi"/>
        </w:rPr>
        <w:t xml:space="preserve"> obce</w:t>
      </w:r>
      <w:r w:rsidR="00D04DFB">
        <w:rPr>
          <w:rFonts w:asciiTheme="majorHAnsi" w:hAnsiTheme="majorHAnsi"/>
        </w:rPr>
        <w:t>, a</w:t>
      </w:r>
      <w:r w:rsidR="005C6393">
        <w:rPr>
          <w:rFonts w:asciiTheme="majorHAnsi" w:hAnsiTheme="majorHAnsi"/>
        </w:rPr>
        <w:t> </w:t>
      </w:r>
      <w:r w:rsidR="00D04DFB">
        <w:rPr>
          <w:rFonts w:asciiTheme="majorHAnsi" w:hAnsiTheme="majorHAnsi"/>
        </w:rPr>
        <w:t>to</w:t>
      </w:r>
      <w:r>
        <w:rPr>
          <w:rFonts w:asciiTheme="majorHAnsi" w:hAnsiTheme="majorHAnsi"/>
        </w:rPr>
        <w:t xml:space="preserve"> účinnejším využívaním územných a</w:t>
      </w:r>
      <w:r w:rsidR="005C6393">
        <w:rPr>
          <w:rFonts w:asciiTheme="majorHAnsi" w:hAnsiTheme="majorHAnsi"/>
        </w:rPr>
        <w:t> </w:t>
      </w:r>
      <w:r>
        <w:rPr>
          <w:rFonts w:asciiTheme="majorHAnsi" w:hAnsiTheme="majorHAnsi"/>
        </w:rPr>
        <w:t>stavebných konaní pri zabezpečovaní ekonomicky prijateľného a environmentálne akceptovateľného spôsobu dodávky tepla na základe spracovaných, resp. aktualizovaných koncepcií rozvoja tepelnej energetiky.</w:t>
      </w:r>
    </w:p>
    <w:p w:rsidR="005603A4" w:rsidRPr="00A11FE0" w:rsidRDefault="005603A4" w:rsidP="00CB178F">
      <w:pPr>
        <w:rPr>
          <w:rFonts w:asciiTheme="majorHAnsi" w:hAnsiTheme="majorHAnsi"/>
        </w:rPr>
      </w:pPr>
      <w:r w:rsidRPr="005603A4">
        <w:rPr>
          <w:rFonts w:asciiTheme="majorHAnsi" w:hAnsiTheme="majorHAnsi"/>
        </w:rPr>
        <w:t>Personálne a</w:t>
      </w:r>
      <w:r w:rsidR="005C6393">
        <w:rPr>
          <w:rFonts w:asciiTheme="majorHAnsi" w:hAnsiTheme="majorHAnsi"/>
        </w:rPr>
        <w:t> </w:t>
      </w:r>
      <w:r w:rsidRPr="005603A4">
        <w:rPr>
          <w:rFonts w:asciiTheme="majorHAnsi" w:hAnsiTheme="majorHAnsi"/>
        </w:rPr>
        <w:t>finančné kapacity miest a</w:t>
      </w:r>
      <w:r w:rsidR="005C6393">
        <w:rPr>
          <w:rFonts w:asciiTheme="majorHAnsi" w:hAnsiTheme="majorHAnsi"/>
        </w:rPr>
        <w:t> </w:t>
      </w:r>
      <w:r w:rsidRPr="005603A4">
        <w:rPr>
          <w:rFonts w:asciiTheme="majorHAnsi" w:hAnsiTheme="majorHAnsi"/>
        </w:rPr>
        <w:t>obcí na prípravu a</w:t>
      </w:r>
      <w:r w:rsidR="005C6393">
        <w:rPr>
          <w:rFonts w:asciiTheme="majorHAnsi" w:hAnsiTheme="majorHAnsi"/>
        </w:rPr>
        <w:t> </w:t>
      </w:r>
      <w:r w:rsidRPr="005603A4">
        <w:rPr>
          <w:rFonts w:asciiTheme="majorHAnsi" w:hAnsiTheme="majorHAnsi"/>
        </w:rPr>
        <w:t>implementáciu akčných plánov v</w:t>
      </w:r>
      <w:r w:rsidR="005C6393">
        <w:rPr>
          <w:rFonts w:asciiTheme="majorHAnsi" w:hAnsiTheme="majorHAnsi"/>
        </w:rPr>
        <w:t> </w:t>
      </w:r>
      <w:r w:rsidRPr="005603A4">
        <w:rPr>
          <w:rFonts w:asciiTheme="majorHAnsi" w:hAnsiTheme="majorHAnsi"/>
        </w:rPr>
        <w:t>oblasti</w:t>
      </w:r>
      <w:r w:rsidR="005C6393">
        <w:rPr>
          <w:rFonts w:asciiTheme="majorHAnsi" w:hAnsiTheme="majorHAnsi"/>
        </w:rPr>
        <w:t xml:space="preserve"> </w:t>
      </w:r>
      <w:r w:rsidRPr="005603A4">
        <w:rPr>
          <w:rFonts w:asciiTheme="majorHAnsi" w:hAnsiTheme="majorHAnsi"/>
        </w:rPr>
        <w:t>zásobovania energiou nie sú dostatočné. Doteraz využilo možnosti vyplývajúce z</w:t>
      </w:r>
      <w:r w:rsidR="005C6393">
        <w:rPr>
          <w:rFonts w:asciiTheme="majorHAnsi" w:hAnsiTheme="majorHAnsi"/>
        </w:rPr>
        <w:t> </w:t>
      </w:r>
      <w:r w:rsidRPr="005603A4">
        <w:rPr>
          <w:rFonts w:asciiTheme="majorHAnsi" w:hAnsiTheme="majorHAnsi"/>
        </w:rPr>
        <w:t>pristúpenia</w:t>
      </w:r>
      <w:r w:rsidR="005C6393">
        <w:rPr>
          <w:rFonts w:asciiTheme="majorHAnsi" w:hAnsiTheme="majorHAnsi"/>
        </w:rPr>
        <w:t xml:space="preserve"> </w:t>
      </w:r>
      <w:r w:rsidRPr="005603A4">
        <w:rPr>
          <w:rFonts w:asciiTheme="majorHAnsi" w:hAnsiTheme="majorHAnsi"/>
        </w:rPr>
        <w:t>k</w:t>
      </w:r>
      <w:r w:rsidR="005C6393">
        <w:rPr>
          <w:rFonts w:asciiTheme="majorHAnsi" w:hAnsiTheme="majorHAnsi"/>
        </w:rPr>
        <w:t> </w:t>
      </w:r>
      <w:r w:rsidRPr="005603A4">
        <w:rPr>
          <w:rFonts w:asciiTheme="majorHAnsi" w:hAnsiTheme="majorHAnsi"/>
        </w:rPr>
        <w:t>európskemu Dohovoru starostov a</w:t>
      </w:r>
      <w:r w:rsidR="005C6393">
        <w:rPr>
          <w:rFonts w:asciiTheme="majorHAnsi" w:hAnsiTheme="majorHAnsi"/>
        </w:rPr>
        <w:t> </w:t>
      </w:r>
      <w:r w:rsidRPr="005603A4">
        <w:rPr>
          <w:rFonts w:asciiTheme="majorHAnsi" w:hAnsiTheme="majorHAnsi"/>
        </w:rPr>
        <w:t>primátorov, v</w:t>
      </w:r>
      <w:r w:rsidR="005C6393">
        <w:rPr>
          <w:rFonts w:asciiTheme="majorHAnsi" w:hAnsiTheme="majorHAnsi"/>
        </w:rPr>
        <w:t> </w:t>
      </w:r>
      <w:r w:rsidRPr="005603A4">
        <w:rPr>
          <w:rFonts w:asciiTheme="majorHAnsi" w:hAnsiTheme="majorHAnsi"/>
        </w:rPr>
        <w:t>rámci ktorého sa stanovuje záväzok k miestnemu udržateľnému energetickému rozvoju, 13 obcí a</w:t>
      </w:r>
      <w:r w:rsidR="005C6393">
        <w:rPr>
          <w:rFonts w:asciiTheme="majorHAnsi" w:hAnsiTheme="majorHAnsi"/>
        </w:rPr>
        <w:t> </w:t>
      </w:r>
      <w:r w:rsidRPr="005603A4">
        <w:rPr>
          <w:rFonts w:asciiTheme="majorHAnsi" w:hAnsiTheme="majorHAnsi"/>
        </w:rPr>
        <w:t>miest. Z</w:t>
      </w:r>
      <w:r w:rsidR="005C6393">
        <w:rPr>
          <w:rFonts w:asciiTheme="majorHAnsi" w:hAnsiTheme="majorHAnsi"/>
        </w:rPr>
        <w:t> </w:t>
      </w:r>
      <w:r w:rsidRPr="005603A4">
        <w:rPr>
          <w:rFonts w:asciiTheme="majorHAnsi" w:hAnsiTheme="majorHAnsi"/>
        </w:rPr>
        <w:t>toho 3 mestá majú vypracované akčné plány trvalo udržateľného energetického rozvoja (ďalej len „AP“), ktoré sú schválené EK a</w:t>
      </w:r>
      <w:r w:rsidR="005C6393">
        <w:rPr>
          <w:rFonts w:asciiTheme="majorHAnsi" w:hAnsiTheme="majorHAnsi"/>
        </w:rPr>
        <w:t> </w:t>
      </w:r>
      <w:r w:rsidRPr="005603A4">
        <w:rPr>
          <w:rFonts w:asciiTheme="majorHAnsi" w:hAnsiTheme="majorHAnsi"/>
        </w:rPr>
        <w:t>jeden je v</w:t>
      </w:r>
      <w:r w:rsidR="005C6393">
        <w:rPr>
          <w:rFonts w:asciiTheme="majorHAnsi" w:hAnsiTheme="majorHAnsi"/>
        </w:rPr>
        <w:t> </w:t>
      </w:r>
      <w:r w:rsidRPr="005603A4">
        <w:rPr>
          <w:rFonts w:asciiTheme="majorHAnsi" w:hAnsiTheme="majorHAnsi"/>
        </w:rPr>
        <w:t>štádiu</w:t>
      </w:r>
      <w:r w:rsidR="005C6393">
        <w:rPr>
          <w:rFonts w:asciiTheme="majorHAnsi" w:hAnsiTheme="majorHAnsi"/>
        </w:rPr>
        <w:t xml:space="preserve"> </w:t>
      </w:r>
      <w:r w:rsidRPr="005603A4">
        <w:rPr>
          <w:rFonts w:asciiTheme="majorHAnsi" w:hAnsiTheme="majorHAnsi"/>
        </w:rPr>
        <w:t>prípravy. Preto je potrebné intenzívnejšie podporiť vypracovanie a</w:t>
      </w:r>
      <w:r w:rsidR="005C6393">
        <w:rPr>
          <w:rFonts w:asciiTheme="majorHAnsi" w:hAnsiTheme="majorHAnsi"/>
        </w:rPr>
        <w:t> </w:t>
      </w:r>
      <w:r w:rsidRPr="005603A4">
        <w:rPr>
          <w:rFonts w:asciiTheme="majorHAnsi" w:hAnsiTheme="majorHAnsi"/>
        </w:rPr>
        <w:t>implementáciu plánov udržateľnej energetiky a</w:t>
      </w:r>
      <w:r w:rsidR="005C6393">
        <w:rPr>
          <w:rFonts w:asciiTheme="majorHAnsi" w:hAnsiTheme="majorHAnsi"/>
        </w:rPr>
        <w:t> </w:t>
      </w:r>
      <w:r w:rsidRPr="005603A4">
        <w:rPr>
          <w:rFonts w:asciiTheme="majorHAnsi" w:hAnsiTheme="majorHAnsi"/>
        </w:rPr>
        <w:t>rozvoja energetických služieb na miestnej</w:t>
      </w:r>
      <w:r w:rsidR="002116F1">
        <w:rPr>
          <w:rFonts w:asciiTheme="majorHAnsi" w:hAnsiTheme="majorHAnsi"/>
        </w:rPr>
        <w:t>,</w:t>
      </w:r>
      <w:r w:rsidRPr="005603A4">
        <w:rPr>
          <w:rFonts w:asciiTheme="majorHAnsi" w:hAnsiTheme="majorHAnsi"/>
        </w:rPr>
        <w:t xml:space="preserve"> alebo regionálnej úrovni. Súčasťou plánov spracovaných s</w:t>
      </w:r>
      <w:r w:rsidR="005C6393">
        <w:rPr>
          <w:rFonts w:asciiTheme="majorHAnsi" w:hAnsiTheme="majorHAnsi"/>
        </w:rPr>
        <w:t> </w:t>
      </w:r>
      <w:r w:rsidRPr="005603A4">
        <w:rPr>
          <w:rFonts w:asciiTheme="majorHAnsi" w:hAnsiTheme="majorHAnsi"/>
        </w:rPr>
        <w:t>využitím metodiky AP udržateľného energetického rozvoja používanej v</w:t>
      </w:r>
      <w:r w:rsidR="005C6393">
        <w:rPr>
          <w:rFonts w:asciiTheme="majorHAnsi" w:hAnsiTheme="majorHAnsi"/>
        </w:rPr>
        <w:t> </w:t>
      </w:r>
      <w:r w:rsidRPr="005603A4">
        <w:rPr>
          <w:rFonts w:asciiTheme="majorHAnsi" w:hAnsiTheme="majorHAnsi"/>
        </w:rPr>
        <w:t>rámci Dohovoru starostov a</w:t>
      </w:r>
      <w:r w:rsidR="005C6393">
        <w:rPr>
          <w:rFonts w:asciiTheme="majorHAnsi" w:hAnsiTheme="majorHAnsi"/>
        </w:rPr>
        <w:t> </w:t>
      </w:r>
      <w:r w:rsidRPr="005603A4">
        <w:rPr>
          <w:rFonts w:asciiTheme="majorHAnsi" w:hAnsiTheme="majorHAnsi"/>
        </w:rPr>
        <w:t xml:space="preserve">primátorov bude komplexné posúdenie stavu </w:t>
      </w:r>
      <w:r w:rsidR="00145E20" w:rsidRPr="005603A4">
        <w:rPr>
          <w:rFonts w:asciiTheme="majorHAnsi" w:hAnsiTheme="majorHAnsi"/>
        </w:rPr>
        <w:t xml:space="preserve">zásobovania </w:t>
      </w:r>
      <w:r w:rsidR="00145E20">
        <w:rPr>
          <w:rFonts w:asciiTheme="majorHAnsi" w:hAnsiTheme="majorHAnsi"/>
        </w:rPr>
        <w:t xml:space="preserve">a spotreby </w:t>
      </w:r>
      <w:r w:rsidR="00145E20" w:rsidRPr="005603A4">
        <w:rPr>
          <w:rFonts w:asciiTheme="majorHAnsi" w:hAnsiTheme="majorHAnsi"/>
        </w:rPr>
        <w:t>všetký</w:t>
      </w:r>
      <w:r w:rsidR="00145E20">
        <w:rPr>
          <w:rFonts w:asciiTheme="majorHAnsi" w:hAnsiTheme="majorHAnsi"/>
        </w:rPr>
        <w:t>ch</w:t>
      </w:r>
      <w:r w:rsidR="00145E20" w:rsidRPr="005603A4">
        <w:rPr>
          <w:rFonts w:asciiTheme="majorHAnsi" w:hAnsiTheme="majorHAnsi"/>
        </w:rPr>
        <w:t xml:space="preserve"> dostupný</w:t>
      </w:r>
      <w:r w:rsidR="00145E20">
        <w:rPr>
          <w:rFonts w:asciiTheme="majorHAnsi" w:hAnsiTheme="majorHAnsi"/>
        </w:rPr>
        <w:t>ch</w:t>
      </w:r>
      <w:r w:rsidR="00145E20" w:rsidRPr="005603A4">
        <w:rPr>
          <w:rFonts w:asciiTheme="majorHAnsi" w:hAnsiTheme="majorHAnsi"/>
        </w:rPr>
        <w:t xml:space="preserve"> for</w:t>
      </w:r>
      <w:r w:rsidR="00145E20">
        <w:rPr>
          <w:rFonts w:asciiTheme="majorHAnsi" w:hAnsiTheme="majorHAnsi"/>
        </w:rPr>
        <w:t>iem</w:t>
      </w:r>
      <w:r w:rsidR="00145E20" w:rsidRPr="005603A4">
        <w:rPr>
          <w:rFonts w:asciiTheme="majorHAnsi" w:hAnsiTheme="majorHAnsi"/>
        </w:rPr>
        <w:t xml:space="preserve"> </w:t>
      </w:r>
      <w:r w:rsidRPr="005603A4">
        <w:rPr>
          <w:rFonts w:asciiTheme="majorHAnsi" w:hAnsiTheme="majorHAnsi"/>
        </w:rPr>
        <w:t>využiteľnej energie, vrátane energie používanej v</w:t>
      </w:r>
      <w:r w:rsidR="005C6393">
        <w:rPr>
          <w:rFonts w:asciiTheme="majorHAnsi" w:hAnsiTheme="majorHAnsi"/>
        </w:rPr>
        <w:t> </w:t>
      </w:r>
      <w:r w:rsidRPr="005603A4">
        <w:rPr>
          <w:rFonts w:asciiTheme="majorHAnsi" w:hAnsiTheme="majorHAnsi"/>
        </w:rPr>
        <w:t>doprave. Dôraz by mal byť kladený najmä na energetickú efektívnosť a</w:t>
      </w:r>
      <w:r w:rsidR="005C6393">
        <w:rPr>
          <w:rFonts w:asciiTheme="majorHAnsi" w:hAnsiTheme="majorHAnsi"/>
        </w:rPr>
        <w:t> </w:t>
      </w:r>
      <w:r w:rsidRPr="005603A4">
        <w:rPr>
          <w:rFonts w:asciiTheme="majorHAnsi" w:hAnsiTheme="majorHAnsi"/>
        </w:rPr>
        <w:t>využitie potenciálu VÚ KVET v</w:t>
      </w:r>
      <w:r w:rsidR="005C6393">
        <w:rPr>
          <w:rFonts w:asciiTheme="majorHAnsi" w:hAnsiTheme="majorHAnsi"/>
        </w:rPr>
        <w:t> </w:t>
      </w:r>
      <w:r w:rsidRPr="005603A4">
        <w:rPr>
          <w:rFonts w:asciiTheme="majorHAnsi" w:hAnsiTheme="majorHAnsi"/>
        </w:rPr>
        <w:t>súlade s</w:t>
      </w:r>
      <w:r w:rsidR="005C6393">
        <w:rPr>
          <w:rFonts w:asciiTheme="majorHAnsi" w:hAnsiTheme="majorHAnsi"/>
        </w:rPr>
        <w:t> </w:t>
      </w:r>
      <w:r w:rsidRPr="005603A4">
        <w:rPr>
          <w:rFonts w:asciiTheme="majorHAnsi" w:hAnsiTheme="majorHAnsi"/>
        </w:rPr>
        <w:t>požiadavkami</w:t>
      </w:r>
      <w:r w:rsidR="005C6393">
        <w:rPr>
          <w:rFonts w:asciiTheme="majorHAnsi" w:hAnsiTheme="majorHAnsi"/>
        </w:rPr>
        <w:t xml:space="preserve"> </w:t>
      </w:r>
      <w:r w:rsidRPr="005603A4">
        <w:rPr>
          <w:rFonts w:asciiTheme="majorHAnsi" w:hAnsiTheme="majorHAnsi"/>
        </w:rPr>
        <w:t>smernice 2012/27/E</w:t>
      </w:r>
      <w:r>
        <w:rPr>
          <w:rFonts w:asciiTheme="majorHAnsi" w:hAnsiTheme="majorHAnsi"/>
        </w:rPr>
        <w:t>Ú</w:t>
      </w:r>
      <w:r w:rsidRPr="005603A4">
        <w:rPr>
          <w:rFonts w:asciiTheme="majorHAnsi" w:hAnsiTheme="majorHAnsi"/>
        </w:rPr>
        <w:t xml:space="preserve"> o</w:t>
      </w:r>
      <w:r w:rsidR="005C6393">
        <w:rPr>
          <w:rFonts w:asciiTheme="majorHAnsi" w:hAnsiTheme="majorHAnsi"/>
        </w:rPr>
        <w:t> </w:t>
      </w:r>
      <w:r>
        <w:rPr>
          <w:rFonts w:asciiTheme="majorHAnsi" w:hAnsiTheme="majorHAnsi"/>
        </w:rPr>
        <w:t xml:space="preserve">energetickej efektívnosti, </w:t>
      </w:r>
      <w:r w:rsidRPr="005603A4">
        <w:rPr>
          <w:rFonts w:asciiTheme="majorHAnsi" w:hAnsiTheme="majorHAnsi"/>
        </w:rPr>
        <w:t>efektívne využívanie OZE a</w:t>
      </w:r>
      <w:r w:rsidR="005C6393">
        <w:rPr>
          <w:rFonts w:asciiTheme="majorHAnsi" w:hAnsiTheme="majorHAnsi"/>
        </w:rPr>
        <w:t> </w:t>
      </w:r>
      <w:r w:rsidRPr="005603A4">
        <w:rPr>
          <w:rFonts w:asciiTheme="majorHAnsi" w:hAnsiTheme="majorHAnsi"/>
        </w:rPr>
        <w:t>ochrana životného prostredia, najmä v</w:t>
      </w:r>
      <w:r w:rsidR="005C6393">
        <w:rPr>
          <w:rFonts w:asciiTheme="majorHAnsi" w:hAnsiTheme="majorHAnsi"/>
        </w:rPr>
        <w:t> </w:t>
      </w:r>
      <w:r w:rsidRPr="005603A4">
        <w:rPr>
          <w:rFonts w:asciiTheme="majorHAnsi" w:hAnsiTheme="majorHAnsi"/>
        </w:rPr>
        <w:t>oblasti znižovania produkcie emisií skleníkových plynov a</w:t>
      </w:r>
      <w:r w:rsidR="005C6393">
        <w:rPr>
          <w:rFonts w:asciiTheme="majorHAnsi" w:hAnsiTheme="majorHAnsi"/>
        </w:rPr>
        <w:t> </w:t>
      </w:r>
      <w:r w:rsidRPr="005603A4">
        <w:rPr>
          <w:rFonts w:asciiTheme="majorHAnsi" w:hAnsiTheme="majorHAnsi"/>
        </w:rPr>
        <w:t>emisií znečisťujúcich látok do ovzdušia. Rámcom pre výber a</w:t>
      </w:r>
      <w:r w:rsidR="005C6393">
        <w:rPr>
          <w:rFonts w:asciiTheme="majorHAnsi" w:hAnsiTheme="majorHAnsi"/>
        </w:rPr>
        <w:t> </w:t>
      </w:r>
      <w:r w:rsidRPr="005603A4">
        <w:rPr>
          <w:rFonts w:asciiTheme="majorHAnsi" w:hAnsiTheme="majorHAnsi"/>
        </w:rPr>
        <w:t>implementáciu nákladovo-efektívnych opatrení bude Nízkouhlíková stratégia rozvoja SR do roku 2030, ktorej vypracovanie sa plánuje do konca roka 2015. Plnenie cieľov pre oblasť znižovania emisií skleníkových plynov, zvyšovania podielu OZE a</w:t>
      </w:r>
      <w:r w:rsidR="005C6393">
        <w:rPr>
          <w:rFonts w:asciiTheme="majorHAnsi" w:hAnsiTheme="majorHAnsi"/>
        </w:rPr>
        <w:t> </w:t>
      </w:r>
      <w:r w:rsidRPr="005603A4">
        <w:rPr>
          <w:rFonts w:asciiTheme="majorHAnsi" w:hAnsiTheme="majorHAnsi"/>
        </w:rPr>
        <w:t>zvyšovania energetickej efektívnosti bude zahŕňať všetky odvetvia, ktoré významnou mierou ovplyvňujú produkciu skleníkových plynov v</w:t>
      </w:r>
      <w:r w:rsidR="005C6393">
        <w:rPr>
          <w:rFonts w:asciiTheme="majorHAnsi" w:hAnsiTheme="majorHAnsi"/>
        </w:rPr>
        <w:t> </w:t>
      </w:r>
      <w:r w:rsidRPr="005603A4">
        <w:rPr>
          <w:rFonts w:asciiTheme="majorHAnsi" w:hAnsiTheme="majorHAnsi"/>
        </w:rPr>
        <w:t>SR, vrátane sektora dopravy</w:t>
      </w:r>
      <w:r>
        <w:rPr>
          <w:rFonts w:asciiTheme="majorHAnsi" w:hAnsiTheme="majorHAnsi"/>
        </w:rPr>
        <w:t>.</w:t>
      </w:r>
    </w:p>
    <w:p w:rsidR="00996677" w:rsidRPr="00A11FE0" w:rsidRDefault="00996677" w:rsidP="002116F1">
      <w:pPr>
        <w:pStyle w:val="Nadpis5"/>
        <w:numPr>
          <w:ilvl w:val="4"/>
          <w:numId w:val="2"/>
        </w:numPr>
        <w:ind w:left="1292"/>
      </w:pPr>
      <w:bookmarkStart w:id="196" w:name="_Toc372447923"/>
      <w:r w:rsidRPr="00A11FE0">
        <w:lastRenderedPageBreak/>
        <w:t xml:space="preserve">Územná </w:t>
      </w:r>
      <w:r w:rsidR="00BD5FD5">
        <w:t>k</w:t>
      </w:r>
      <w:r w:rsidRPr="00A11FE0">
        <w:t>oncentrácia</w:t>
      </w:r>
      <w:bookmarkEnd w:id="196"/>
    </w:p>
    <w:p w:rsidR="00013678" w:rsidRPr="00A11FE0" w:rsidRDefault="00996677" w:rsidP="00145436">
      <w:pPr>
        <w:rPr>
          <w:rFonts w:asciiTheme="majorHAnsi" w:hAnsiTheme="majorHAnsi"/>
          <w:bCs/>
        </w:rPr>
      </w:pPr>
      <w:r w:rsidRPr="00A11FE0">
        <w:rPr>
          <w:rFonts w:asciiTheme="majorHAnsi" w:hAnsiTheme="majorHAnsi"/>
          <w:bCs/>
        </w:rPr>
        <w:t>Pre zabezpečenie čo najefektívnejšieho riešenia tematického cieľa</w:t>
      </w:r>
      <w:r w:rsidR="00610F00">
        <w:rPr>
          <w:rFonts w:asciiTheme="majorHAnsi" w:hAnsiTheme="majorHAnsi"/>
          <w:bCs/>
        </w:rPr>
        <w:t>,</w:t>
      </w:r>
      <w:r w:rsidRPr="00A11FE0">
        <w:rPr>
          <w:rFonts w:asciiTheme="majorHAnsi" w:hAnsiTheme="majorHAnsi"/>
          <w:bCs/>
        </w:rPr>
        <w:t xml:space="preserve"> je z hľadiska územnej </w:t>
      </w:r>
      <w:r w:rsidR="00BD5FD5">
        <w:rPr>
          <w:rFonts w:asciiTheme="majorHAnsi" w:hAnsiTheme="majorHAnsi"/>
          <w:bCs/>
        </w:rPr>
        <w:t>k</w:t>
      </w:r>
      <w:r w:rsidRPr="00A11FE0">
        <w:rPr>
          <w:rFonts w:asciiTheme="majorHAnsi" w:hAnsiTheme="majorHAnsi"/>
          <w:bCs/>
        </w:rPr>
        <w:t xml:space="preserve">oncentrácie </w:t>
      </w:r>
      <w:r w:rsidR="00BD5FD5">
        <w:rPr>
          <w:rFonts w:asciiTheme="majorHAnsi" w:hAnsiTheme="majorHAnsi"/>
          <w:bCs/>
        </w:rPr>
        <w:t>k</w:t>
      </w:r>
      <w:r w:rsidRPr="00A11FE0">
        <w:rPr>
          <w:rFonts w:asciiTheme="majorHAnsi" w:hAnsiTheme="majorHAnsi"/>
          <w:bCs/>
        </w:rPr>
        <w:t xml:space="preserve">ľúčových opatrení pre EFRR </w:t>
      </w:r>
      <w:r w:rsidR="00145436" w:rsidRPr="00A11FE0">
        <w:rPr>
          <w:rFonts w:asciiTheme="majorHAnsi" w:hAnsiTheme="majorHAnsi"/>
          <w:szCs w:val="22"/>
        </w:rPr>
        <w:t xml:space="preserve">zameraných na </w:t>
      </w:r>
      <w:r w:rsidR="00145436" w:rsidRPr="00A11FE0">
        <w:rPr>
          <w:rFonts w:asciiTheme="majorHAnsi" w:hAnsiTheme="majorHAnsi"/>
          <w:noProof/>
          <w:szCs w:val="22"/>
        </w:rPr>
        <w:t xml:space="preserve">energetickú efektívnosť </w:t>
      </w:r>
      <w:r w:rsidR="00BD5FD5">
        <w:rPr>
          <w:rFonts w:asciiTheme="majorHAnsi" w:hAnsiTheme="majorHAnsi"/>
          <w:noProof/>
          <w:szCs w:val="22"/>
        </w:rPr>
        <w:t>a </w:t>
      </w:r>
      <w:r w:rsidR="00145436" w:rsidRPr="00A11FE0">
        <w:rPr>
          <w:rFonts w:asciiTheme="majorHAnsi" w:hAnsiTheme="majorHAnsi"/>
          <w:noProof/>
          <w:szCs w:val="22"/>
        </w:rPr>
        <w:t xml:space="preserve">vykurovanie </w:t>
      </w:r>
      <w:r w:rsidR="00BD5FD5">
        <w:rPr>
          <w:rFonts w:asciiTheme="majorHAnsi" w:hAnsiTheme="majorHAnsi"/>
          <w:noProof/>
          <w:szCs w:val="22"/>
        </w:rPr>
        <w:t>a</w:t>
      </w:r>
      <w:r w:rsidR="00C63B72">
        <w:rPr>
          <w:rFonts w:asciiTheme="majorHAnsi" w:hAnsiTheme="majorHAnsi"/>
          <w:noProof/>
          <w:szCs w:val="22"/>
        </w:rPr>
        <w:t> </w:t>
      </w:r>
      <w:r w:rsidR="00170290">
        <w:rPr>
          <w:rFonts w:asciiTheme="majorHAnsi" w:hAnsiTheme="majorHAnsi"/>
          <w:noProof/>
          <w:szCs w:val="22"/>
        </w:rPr>
        <w:t>chladenie</w:t>
      </w:r>
      <w:r w:rsidR="00C63B72">
        <w:rPr>
          <w:rFonts w:asciiTheme="majorHAnsi" w:hAnsiTheme="majorHAnsi"/>
          <w:noProof/>
          <w:szCs w:val="22"/>
        </w:rPr>
        <w:t xml:space="preserve"> </w:t>
      </w:r>
      <w:r w:rsidR="00145436" w:rsidRPr="00A11FE0">
        <w:rPr>
          <w:rFonts w:asciiTheme="majorHAnsi" w:hAnsiTheme="majorHAnsi"/>
          <w:noProof/>
          <w:szCs w:val="22"/>
        </w:rPr>
        <w:t>vo verejných budovách</w:t>
      </w:r>
      <w:r w:rsidR="00724449">
        <w:rPr>
          <w:rFonts w:asciiTheme="majorHAnsi" w:hAnsiTheme="majorHAnsi"/>
          <w:noProof/>
          <w:szCs w:val="22"/>
        </w:rPr>
        <w:t xml:space="preserve"> a obytných budovách (len v rámci budov)</w:t>
      </w:r>
      <w:r w:rsidR="00CB178F">
        <w:rPr>
          <w:rFonts w:asciiTheme="majorHAnsi" w:hAnsiTheme="majorHAnsi"/>
          <w:noProof/>
          <w:szCs w:val="22"/>
        </w:rPr>
        <w:t xml:space="preserve"> o energetickej hospodárstnosti budov</w:t>
      </w:r>
      <w:r w:rsidR="00145436" w:rsidRPr="00A11FE0">
        <w:rPr>
          <w:rFonts w:asciiTheme="majorHAnsi" w:hAnsiTheme="majorHAnsi"/>
          <w:noProof/>
          <w:szCs w:val="22"/>
        </w:rPr>
        <w:t xml:space="preserve">, využívanie </w:t>
      </w:r>
      <w:r w:rsidR="005C6393">
        <w:rPr>
          <w:rFonts w:asciiTheme="majorHAnsi" w:hAnsiTheme="majorHAnsi"/>
          <w:noProof/>
          <w:szCs w:val="22"/>
        </w:rPr>
        <w:t>OZE</w:t>
      </w:r>
      <w:r w:rsidR="00145436" w:rsidRPr="00A11FE0">
        <w:rPr>
          <w:rFonts w:asciiTheme="majorHAnsi" w:hAnsiTheme="majorHAnsi"/>
          <w:noProof/>
          <w:szCs w:val="22"/>
        </w:rPr>
        <w:t xml:space="preserve"> v podnikoch, integrované nízkouhlíkové </w:t>
      </w:r>
      <w:r w:rsidR="00BD5FD5">
        <w:rPr>
          <w:rFonts w:asciiTheme="majorHAnsi" w:hAnsiTheme="majorHAnsi"/>
          <w:noProof/>
          <w:szCs w:val="22"/>
        </w:rPr>
        <w:t>s</w:t>
      </w:r>
      <w:r w:rsidR="00145436" w:rsidRPr="00A11FE0">
        <w:rPr>
          <w:rFonts w:asciiTheme="majorHAnsi" w:hAnsiTheme="majorHAnsi"/>
          <w:noProof/>
          <w:szCs w:val="22"/>
        </w:rPr>
        <w:t xml:space="preserve">tratégie </w:t>
      </w:r>
      <w:r w:rsidR="00BD5FD5">
        <w:rPr>
          <w:rFonts w:asciiTheme="majorHAnsi" w:hAnsiTheme="majorHAnsi"/>
          <w:noProof/>
          <w:szCs w:val="22"/>
        </w:rPr>
        <w:t>a ak</w:t>
      </w:r>
      <w:r w:rsidR="00145436" w:rsidRPr="00A11FE0">
        <w:rPr>
          <w:rFonts w:asciiTheme="majorHAnsi" w:hAnsiTheme="majorHAnsi"/>
          <w:noProof/>
          <w:szCs w:val="22"/>
        </w:rPr>
        <w:t xml:space="preserve">čné plány týkajúce </w:t>
      </w:r>
      <w:r w:rsidR="00BD5FD5">
        <w:rPr>
          <w:rFonts w:asciiTheme="majorHAnsi" w:hAnsiTheme="majorHAnsi"/>
          <w:noProof/>
          <w:szCs w:val="22"/>
        </w:rPr>
        <w:t>s</w:t>
      </w:r>
      <w:r w:rsidR="00145436" w:rsidRPr="00A11FE0">
        <w:rPr>
          <w:rFonts w:asciiTheme="majorHAnsi" w:hAnsiTheme="majorHAnsi"/>
          <w:noProof/>
          <w:szCs w:val="22"/>
        </w:rPr>
        <w:t>a udržateľných energií pre</w:t>
      </w:r>
      <w:r w:rsidR="00037660">
        <w:rPr>
          <w:rFonts w:asciiTheme="majorHAnsi" w:hAnsiTheme="majorHAnsi"/>
          <w:noProof/>
          <w:szCs w:val="22"/>
        </w:rPr>
        <w:t xml:space="preserve"> </w:t>
      </w:r>
      <w:r w:rsidR="00145436" w:rsidRPr="00A11FE0">
        <w:rPr>
          <w:rFonts w:asciiTheme="majorHAnsi" w:hAnsiTheme="majorHAnsi"/>
          <w:noProof/>
          <w:szCs w:val="22"/>
        </w:rPr>
        <w:t>mestské oblasti</w:t>
      </w:r>
      <w:r w:rsidR="00D04DFB">
        <w:rPr>
          <w:rFonts w:asciiTheme="majorHAnsi" w:hAnsiTheme="majorHAnsi"/>
          <w:noProof/>
          <w:szCs w:val="22"/>
        </w:rPr>
        <w:t xml:space="preserve"> a</w:t>
      </w:r>
      <w:r w:rsidR="005C6393">
        <w:rPr>
          <w:rFonts w:asciiTheme="majorHAnsi" w:hAnsiTheme="majorHAnsi"/>
          <w:noProof/>
          <w:szCs w:val="22"/>
        </w:rPr>
        <w:t> </w:t>
      </w:r>
      <w:r w:rsidR="00D04DFB">
        <w:rPr>
          <w:rFonts w:asciiTheme="majorHAnsi" w:hAnsiTheme="majorHAnsi"/>
          <w:noProof/>
          <w:szCs w:val="22"/>
        </w:rPr>
        <w:t>z</w:t>
      </w:r>
      <w:r w:rsidR="00D04DFB" w:rsidRPr="00F35154">
        <w:rPr>
          <w:rFonts w:asciiTheme="majorHAnsi" w:hAnsiTheme="majorHAnsi"/>
          <w:noProof/>
          <w:szCs w:val="22"/>
        </w:rPr>
        <w:t>vyšovanie</w:t>
      </w:r>
      <w:r w:rsidR="005C6393">
        <w:rPr>
          <w:rFonts w:asciiTheme="majorHAnsi" w:hAnsiTheme="majorHAnsi"/>
          <w:noProof/>
          <w:szCs w:val="22"/>
        </w:rPr>
        <w:t xml:space="preserve"> </w:t>
      </w:r>
      <w:r w:rsidR="00D04DFB" w:rsidRPr="00F35154">
        <w:rPr>
          <w:rFonts w:asciiTheme="majorHAnsi" w:hAnsiTheme="majorHAnsi"/>
          <w:noProof/>
          <w:szCs w:val="22"/>
        </w:rPr>
        <w:t>informovanosti a vzdelanostnej úrovne pri zavádzaní nízkouhlíkových stratégií</w:t>
      </w:r>
      <w:r w:rsidR="00456826">
        <w:rPr>
          <w:rFonts w:asciiTheme="majorHAnsi" w:hAnsiTheme="majorHAnsi"/>
          <w:noProof/>
          <w:szCs w:val="22"/>
        </w:rPr>
        <w:t>,</w:t>
      </w:r>
      <w:r w:rsidR="00055A0B">
        <w:rPr>
          <w:rFonts w:asciiTheme="majorHAnsi" w:hAnsiTheme="majorHAnsi"/>
          <w:noProof/>
          <w:szCs w:val="22"/>
        </w:rPr>
        <w:t xml:space="preserve"> vhodné</w:t>
      </w:r>
      <w:r w:rsidR="00145436" w:rsidRPr="00A11FE0">
        <w:rPr>
          <w:rFonts w:asciiTheme="majorHAnsi" w:hAnsiTheme="majorHAnsi"/>
          <w:noProof/>
          <w:szCs w:val="22"/>
        </w:rPr>
        <w:t xml:space="preserve"> lokalizovať </w:t>
      </w:r>
      <w:r w:rsidR="00055A0B">
        <w:rPr>
          <w:rFonts w:asciiTheme="majorHAnsi" w:hAnsiTheme="majorHAnsi"/>
          <w:noProof/>
          <w:szCs w:val="22"/>
        </w:rPr>
        <w:t xml:space="preserve">investície </w:t>
      </w:r>
      <w:r w:rsidR="00145436" w:rsidRPr="00A11FE0">
        <w:rPr>
          <w:rFonts w:asciiTheme="majorHAnsi" w:hAnsiTheme="majorHAnsi"/>
          <w:noProof/>
          <w:szCs w:val="22"/>
        </w:rPr>
        <w:t xml:space="preserve">predovšetkým do najviac urbanizovaných území mestských funkčných území, centier osídlenia </w:t>
      </w:r>
      <w:r w:rsidR="00BD5FD5">
        <w:rPr>
          <w:rFonts w:asciiTheme="majorHAnsi" w:hAnsiTheme="majorHAnsi"/>
          <w:noProof/>
          <w:szCs w:val="22"/>
        </w:rPr>
        <w:t>a </w:t>
      </w:r>
      <w:r w:rsidR="00145436" w:rsidRPr="00A11FE0">
        <w:rPr>
          <w:rFonts w:asciiTheme="majorHAnsi" w:hAnsiTheme="majorHAnsi"/>
          <w:noProof/>
          <w:szCs w:val="22"/>
        </w:rPr>
        <w:t xml:space="preserve">území ťažísk osídlenia 1. </w:t>
      </w:r>
      <w:r w:rsidR="00BD5FD5">
        <w:rPr>
          <w:rFonts w:asciiTheme="majorHAnsi" w:hAnsiTheme="majorHAnsi"/>
          <w:noProof/>
          <w:szCs w:val="22"/>
        </w:rPr>
        <w:t>a </w:t>
      </w:r>
      <w:r w:rsidR="00145436" w:rsidRPr="00A11FE0">
        <w:rPr>
          <w:rFonts w:asciiTheme="majorHAnsi" w:hAnsiTheme="majorHAnsi"/>
          <w:noProof/>
          <w:szCs w:val="22"/>
        </w:rPr>
        <w:t xml:space="preserve">2. úrovne. Opatrenia na integrované nízkouhlíkové </w:t>
      </w:r>
      <w:r w:rsidR="00BD5FD5">
        <w:rPr>
          <w:rFonts w:asciiTheme="majorHAnsi" w:hAnsiTheme="majorHAnsi"/>
          <w:noProof/>
          <w:szCs w:val="22"/>
        </w:rPr>
        <w:t>s</w:t>
      </w:r>
      <w:r w:rsidR="00145436" w:rsidRPr="00A11FE0">
        <w:rPr>
          <w:rFonts w:asciiTheme="majorHAnsi" w:hAnsiTheme="majorHAnsi"/>
          <w:noProof/>
          <w:szCs w:val="22"/>
        </w:rPr>
        <w:t xml:space="preserve">tratégie </w:t>
      </w:r>
      <w:r w:rsidR="00BD5FD5">
        <w:rPr>
          <w:rFonts w:asciiTheme="majorHAnsi" w:hAnsiTheme="majorHAnsi"/>
          <w:noProof/>
          <w:szCs w:val="22"/>
        </w:rPr>
        <w:t>a ak</w:t>
      </w:r>
      <w:r w:rsidR="00145436" w:rsidRPr="00A11FE0">
        <w:rPr>
          <w:rFonts w:asciiTheme="majorHAnsi" w:hAnsiTheme="majorHAnsi"/>
          <w:noProof/>
          <w:szCs w:val="22"/>
        </w:rPr>
        <w:t>čné plány</w:t>
      </w:r>
      <w:r w:rsidR="00055A0B">
        <w:rPr>
          <w:rFonts w:asciiTheme="majorHAnsi" w:hAnsiTheme="majorHAnsi"/>
          <w:noProof/>
          <w:szCs w:val="22"/>
        </w:rPr>
        <w:t xml:space="preserve"> je vhodné</w:t>
      </w:r>
      <w:r w:rsidR="00486582" w:rsidRPr="00486582">
        <w:rPr>
          <w:rFonts w:asciiTheme="majorHAnsi" w:hAnsiTheme="majorHAnsi"/>
          <w:noProof/>
          <w:szCs w:val="22"/>
        </w:rPr>
        <w:t xml:space="preserve"> </w:t>
      </w:r>
      <w:r w:rsidR="00BD5FD5">
        <w:rPr>
          <w:rFonts w:asciiTheme="majorHAnsi" w:hAnsiTheme="majorHAnsi"/>
          <w:noProof/>
          <w:szCs w:val="22"/>
        </w:rPr>
        <w:t>k</w:t>
      </w:r>
      <w:r w:rsidR="00145436" w:rsidRPr="00A11FE0">
        <w:rPr>
          <w:rFonts w:asciiTheme="majorHAnsi" w:hAnsiTheme="majorHAnsi"/>
          <w:noProof/>
          <w:szCs w:val="22"/>
        </w:rPr>
        <w:t xml:space="preserve">oncentrovať </w:t>
      </w:r>
      <w:r w:rsidR="00410C6B">
        <w:rPr>
          <w:rFonts w:asciiTheme="majorHAnsi" w:hAnsiTheme="majorHAnsi"/>
          <w:noProof/>
          <w:szCs w:val="22"/>
        </w:rPr>
        <w:t>na celom území SR</w:t>
      </w:r>
      <w:r w:rsidR="00145436" w:rsidRPr="00A11FE0">
        <w:rPr>
          <w:rFonts w:asciiTheme="majorHAnsi" w:hAnsiTheme="majorHAnsi"/>
          <w:noProof/>
          <w:szCs w:val="22"/>
        </w:rPr>
        <w:t xml:space="preserve">. Do týchto lokalít </w:t>
      </w:r>
      <w:r w:rsidR="00055A0B">
        <w:rPr>
          <w:rFonts w:asciiTheme="majorHAnsi" w:hAnsiTheme="majorHAnsi"/>
          <w:noProof/>
          <w:szCs w:val="22"/>
        </w:rPr>
        <w:t xml:space="preserve">sa majú </w:t>
      </w:r>
      <w:r w:rsidR="00145436" w:rsidRPr="00A11FE0">
        <w:rPr>
          <w:rFonts w:asciiTheme="majorHAnsi" w:hAnsiTheme="majorHAnsi"/>
          <w:noProof/>
          <w:szCs w:val="22"/>
        </w:rPr>
        <w:t xml:space="preserve">orientovať </w:t>
      </w:r>
      <w:r w:rsidR="00BD5FD5">
        <w:rPr>
          <w:rFonts w:asciiTheme="majorHAnsi" w:hAnsiTheme="majorHAnsi"/>
          <w:noProof/>
          <w:szCs w:val="22"/>
        </w:rPr>
        <w:t>a</w:t>
      </w:r>
      <w:r w:rsidR="00145436" w:rsidRPr="00A11FE0">
        <w:rPr>
          <w:rFonts w:asciiTheme="majorHAnsi" w:hAnsiTheme="majorHAnsi"/>
          <w:noProof/>
          <w:szCs w:val="22"/>
        </w:rPr>
        <w:t xml:space="preserve">j opatrenia </w:t>
      </w:r>
      <w:r w:rsidR="00BD5FD5">
        <w:rPr>
          <w:rFonts w:asciiTheme="majorHAnsi" w:hAnsiTheme="majorHAnsi"/>
          <w:szCs w:val="22"/>
        </w:rPr>
        <w:t>s</w:t>
      </w:r>
      <w:r w:rsidR="00145436" w:rsidRPr="00A11FE0">
        <w:rPr>
          <w:rFonts w:asciiTheme="majorHAnsi" w:hAnsiTheme="majorHAnsi"/>
          <w:szCs w:val="22"/>
        </w:rPr>
        <w:t xml:space="preserve">pojené </w:t>
      </w:r>
      <w:r w:rsidR="00BD5FD5">
        <w:rPr>
          <w:rFonts w:asciiTheme="majorHAnsi" w:hAnsiTheme="majorHAnsi"/>
          <w:szCs w:val="22"/>
        </w:rPr>
        <w:t>s </w:t>
      </w:r>
      <w:r w:rsidR="00145436" w:rsidRPr="00A11FE0">
        <w:rPr>
          <w:rFonts w:asciiTheme="majorHAnsi" w:hAnsiTheme="majorHAnsi"/>
          <w:szCs w:val="22"/>
        </w:rPr>
        <w:t>nízkouhlíkovým hospodárstvom v </w:t>
      </w:r>
      <w:r w:rsidR="00BD5FD5">
        <w:rPr>
          <w:rFonts w:asciiTheme="majorHAnsi" w:hAnsiTheme="majorHAnsi"/>
          <w:szCs w:val="22"/>
        </w:rPr>
        <w:t>s</w:t>
      </w:r>
      <w:r w:rsidR="00145436" w:rsidRPr="00A11FE0">
        <w:rPr>
          <w:rFonts w:asciiTheme="majorHAnsi" w:hAnsiTheme="majorHAnsi"/>
          <w:szCs w:val="22"/>
        </w:rPr>
        <w:t xml:space="preserve">úvislosti </w:t>
      </w:r>
      <w:r w:rsidR="00BD5FD5">
        <w:rPr>
          <w:rFonts w:asciiTheme="majorHAnsi" w:hAnsiTheme="majorHAnsi"/>
          <w:szCs w:val="22"/>
        </w:rPr>
        <w:t>s </w:t>
      </w:r>
      <w:r w:rsidR="00145436" w:rsidRPr="00A11FE0">
        <w:rPr>
          <w:rFonts w:asciiTheme="majorHAnsi" w:hAnsiTheme="majorHAnsi"/>
          <w:szCs w:val="22"/>
        </w:rPr>
        <w:t>dopravou,</w:t>
      </w:r>
      <w:r w:rsidR="0066054C">
        <w:rPr>
          <w:rFonts w:asciiTheme="majorHAnsi" w:hAnsiTheme="majorHAnsi"/>
          <w:szCs w:val="22"/>
        </w:rPr>
        <w:t xml:space="preserve"> </w:t>
      </w:r>
      <w:r w:rsidR="00BD5FD5">
        <w:rPr>
          <w:rFonts w:asciiTheme="majorHAnsi" w:hAnsiTheme="majorHAnsi"/>
          <w:szCs w:val="22"/>
        </w:rPr>
        <w:t>ak</w:t>
      </w:r>
      <w:r w:rsidR="00145436" w:rsidRPr="00A11FE0">
        <w:rPr>
          <w:rFonts w:asciiTheme="majorHAnsi" w:hAnsiTheme="majorHAnsi"/>
          <w:szCs w:val="22"/>
        </w:rPr>
        <w:t xml:space="preserve">o </w:t>
      </w:r>
      <w:r w:rsidR="00BD5FD5">
        <w:rPr>
          <w:rFonts w:asciiTheme="majorHAnsi" w:hAnsiTheme="majorHAnsi"/>
          <w:szCs w:val="22"/>
        </w:rPr>
        <w:t>a</w:t>
      </w:r>
      <w:r w:rsidR="00145436" w:rsidRPr="00A11FE0">
        <w:rPr>
          <w:rFonts w:asciiTheme="majorHAnsi" w:hAnsiTheme="majorHAnsi"/>
          <w:szCs w:val="22"/>
        </w:rPr>
        <w:t xml:space="preserve">j príslušných rozvojových osí, </w:t>
      </w:r>
      <w:r w:rsidR="00BD5FD5">
        <w:rPr>
          <w:rFonts w:asciiTheme="majorHAnsi" w:hAnsiTheme="majorHAnsi"/>
          <w:szCs w:val="22"/>
        </w:rPr>
        <w:t>k</w:t>
      </w:r>
      <w:r w:rsidR="00145436" w:rsidRPr="00A11FE0">
        <w:rPr>
          <w:rFonts w:asciiTheme="majorHAnsi" w:hAnsiTheme="majorHAnsi"/>
          <w:szCs w:val="22"/>
        </w:rPr>
        <w:t xml:space="preserve">de </w:t>
      </w:r>
      <w:r w:rsidR="00BD5FD5">
        <w:rPr>
          <w:rFonts w:asciiTheme="majorHAnsi" w:hAnsiTheme="majorHAnsi"/>
          <w:szCs w:val="22"/>
        </w:rPr>
        <w:t>s</w:t>
      </w:r>
      <w:r w:rsidR="00145436" w:rsidRPr="00A11FE0">
        <w:rPr>
          <w:rFonts w:asciiTheme="majorHAnsi" w:hAnsiTheme="majorHAnsi"/>
          <w:szCs w:val="22"/>
        </w:rPr>
        <w:t xml:space="preserve">a predpokladá najvyššia dopravná záťaž. </w:t>
      </w:r>
      <w:r w:rsidR="00BD5FD5">
        <w:rPr>
          <w:rFonts w:asciiTheme="majorHAnsi" w:hAnsiTheme="majorHAnsi"/>
          <w:noProof/>
          <w:szCs w:val="22"/>
        </w:rPr>
        <w:t>K</w:t>
      </w:r>
      <w:r w:rsidR="00145436" w:rsidRPr="00A11FE0">
        <w:rPr>
          <w:rFonts w:asciiTheme="majorHAnsi" w:hAnsiTheme="majorHAnsi"/>
          <w:szCs w:val="22"/>
        </w:rPr>
        <w:t xml:space="preserve">ľúčové opatrenia EPFRV </w:t>
      </w:r>
      <w:r w:rsidR="00145436" w:rsidRPr="00A11FE0">
        <w:rPr>
          <w:rFonts w:asciiTheme="majorHAnsi" w:hAnsiTheme="majorHAnsi"/>
          <w:noProof/>
          <w:szCs w:val="22"/>
        </w:rPr>
        <w:t>vo vidieckych oblastiach</w:t>
      </w:r>
      <w:r w:rsidR="00055A0B">
        <w:rPr>
          <w:rFonts w:asciiTheme="majorHAnsi" w:hAnsiTheme="majorHAnsi"/>
          <w:noProof/>
          <w:szCs w:val="22"/>
        </w:rPr>
        <w:t xml:space="preserve"> je vhodné</w:t>
      </w:r>
      <w:r w:rsidR="00145436" w:rsidRPr="00A11FE0">
        <w:rPr>
          <w:rFonts w:asciiTheme="majorHAnsi" w:hAnsiTheme="majorHAnsi"/>
          <w:noProof/>
          <w:szCs w:val="22"/>
        </w:rPr>
        <w:t xml:space="preserve"> lokalizovať do územia ostatných obcí.</w:t>
      </w:r>
    </w:p>
    <w:p w:rsidR="00406C25" w:rsidRPr="00A11FE0" w:rsidRDefault="00406C25" w:rsidP="001A0A68">
      <w:pPr>
        <w:keepNext/>
        <w:keepLines/>
        <w:numPr>
          <w:ilvl w:val="3"/>
          <w:numId w:val="2"/>
        </w:numPr>
        <w:spacing w:before="200" w:after="0"/>
        <w:outlineLvl w:val="3"/>
        <w:rPr>
          <w:rFonts w:asciiTheme="majorHAnsi" w:hAnsiTheme="majorHAnsi"/>
          <w:b/>
          <w:bCs/>
          <w:i/>
          <w:iCs/>
          <w:color w:val="4F81BD"/>
          <w:sz w:val="24"/>
        </w:rPr>
      </w:pPr>
      <w:bookmarkStart w:id="197" w:name="_Toc244305340"/>
      <w:bookmarkStart w:id="198" w:name="_Toc373169706"/>
      <w:r w:rsidRPr="00A11FE0">
        <w:rPr>
          <w:rFonts w:asciiTheme="majorHAnsi" w:hAnsiTheme="majorHAnsi"/>
          <w:b/>
          <w:bCs/>
          <w:i/>
          <w:iCs/>
          <w:color w:val="4F81BD"/>
          <w:sz w:val="24"/>
        </w:rPr>
        <w:t>TC</w:t>
      </w:r>
      <w:r w:rsidR="00665324">
        <w:rPr>
          <w:rFonts w:asciiTheme="majorHAnsi" w:hAnsiTheme="majorHAnsi"/>
          <w:b/>
          <w:bCs/>
          <w:i/>
          <w:iCs/>
          <w:color w:val="4F81BD"/>
          <w:sz w:val="24"/>
        </w:rPr>
        <w:t xml:space="preserve"> </w:t>
      </w:r>
      <w:r w:rsidRPr="00A11FE0">
        <w:rPr>
          <w:rFonts w:asciiTheme="majorHAnsi" w:hAnsiTheme="majorHAnsi"/>
          <w:b/>
          <w:bCs/>
          <w:i/>
          <w:iCs/>
          <w:color w:val="4F81BD"/>
          <w:sz w:val="24"/>
        </w:rPr>
        <w:t xml:space="preserve">5: Podpora prispôsobovania </w:t>
      </w:r>
      <w:r w:rsidR="00BD5FD5">
        <w:rPr>
          <w:rFonts w:asciiTheme="majorHAnsi" w:hAnsiTheme="majorHAnsi"/>
          <w:b/>
          <w:bCs/>
          <w:i/>
          <w:iCs/>
          <w:color w:val="4F81BD"/>
          <w:sz w:val="24"/>
        </w:rPr>
        <w:t>s</w:t>
      </w:r>
      <w:r w:rsidRPr="00A11FE0">
        <w:rPr>
          <w:rFonts w:asciiTheme="majorHAnsi" w:hAnsiTheme="majorHAnsi"/>
          <w:b/>
          <w:bCs/>
          <w:i/>
          <w:iCs/>
          <w:color w:val="4F81BD"/>
          <w:sz w:val="24"/>
        </w:rPr>
        <w:t>a zmen</w:t>
      </w:r>
      <w:r w:rsidR="00D33729">
        <w:rPr>
          <w:rFonts w:asciiTheme="majorHAnsi" w:hAnsiTheme="majorHAnsi"/>
          <w:b/>
          <w:bCs/>
          <w:i/>
          <w:iCs/>
          <w:color w:val="4F81BD"/>
          <w:sz w:val="24"/>
        </w:rPr>
        <w:t>e</w:t>
      </w:r>
      <w:r w:rsidRPr="00A11FE0">
        <w:rPr>
          <w:rFonts w:asciiTheme="majorHAnsi" w:hAnsiTheme="majorHAnsi"/>
          <w:b/>
          <w:bCs/>
          <w:i/>
          <w:iCs/>
          <w:color w:val="4F81BD"/>
          <w:sz w:val="24"/>
        </w:rPr>
        <w:t xml:space="preserve"> </w:t>
      </w:r>
      <w:r w:rsidR="00BD5FD5">
        <w:rPr>
          <w:rFonts w:asciiTheme="majorHAnsi" w:hAnsiTheme="majorHAnsi"/>
          <w:b/>
          <w:bCs/>
          <w:i/>
          <w:iCs/>
          <w:color w:val="4F81BD"/>
          <w:sz w:val="24"/>
        </w:rPr>
        <w:t>k</w:t>
      </w:r>
      <w:r w:rsidRPr="00A11FE0">
        <w:rPr>
          <w:rFonts w:asciiTheme="majorHAnsi" w:hAnsiTheme="majorHAnsi"/>
          <w:b/>
          <w:bCs/>
          <w:i/>
          <w:iCs/>
          <w:color w:val="4F81BD"/>
          <w:sz w:val="24"/>
        </w:rPr>
        <w:t xml:space="preserve">límy, </w:t>
      </w:r>
      <w:r w:rsidR="00D33729" w:rsidRPr="00A11FE0">
        <w:rPr>
          <w:rFonts w:asciiTheme="majorHAnsi" w:hAnsiTheme="majorHAnsi"/>
          <w:b/>
          <w:bCs/>
          <w:i/>
          <w:iCs/>
          <w:color w:val="4F81BD"/>
          <w:sz w:val="24"/>
        </w:rPr>
        <w:t>predchádzani</w:t>
      </w:r>
      <w:r w:rsidR="00D33729">
        <w:rPr>
          <w:rFonts w:asciiTheme="majorHAnsi" w:hAnsiTheme="majorHAnsi"/>
          <w:b/>
          <w:bCs/>
          <w:i/>
          <w:iCs/>
          <w:color w:val="4F81BD"/>
          <w:sz w:val="24"/>
        </w:rPr>
        <w:t>e</w:t>
      </w:r>
      <w:r w:rsidR="00D33729" w:rsidRPr="00A11FE0">
        <w:rPr>
          <w:rFonts w:asciiTheme="majorHAnsi" w:hAnsiTheme="majorHAnsi"/>
          <w:b/>
          <w:bCs/>
          <w:i/>
          <w:iCs/>
          <w:color w:val="4F81BD"/>
          <w:sz w:val="24"/>
        </w:rPr>
        <w:t xml:space="preserve"> </w:t>
      </w:r>
      <w:r w:rsidR="00BD5FD5">
        <w:rPr>
          <w:rFonts w:asciiTheme="majorHAnsi" w:hAnsiTheme="majorHAnsi"/>
          <w:b/>
          <w:bCs/>
          <w:i/>
          <w:iCs/>
          <w:color w:val="4F81BD"/>
          <w:sz w:val="24"/>
        </w:rPr>
        <w:t>a </w:t>
      </w:r>
      <w:r w:rsidR="00D33729" w:rsidRPr="00A11FE0">
        <w:rPr>
          <w:rFonts w:asciiTheme="majorHAnsi" w:hAnsiTheme="majorHAnsi"/>
          <w:b/>
          <w:bCs/>
          <w:i/>
          <w:iCs/>
          <w:color w:val="4F81BD"/>
          <w:sz w:val="24"/>
        </w:rPr>
        <w:t>riadeni</w:t>
      </w:r>
      <w:r w:rsidR="00D33729">
        <w:rPr>
          <w:rFonts w:asciiTheme="majorHAnsi" w:hAnsiTheme="majorHAnsi"/>
          <w:b/>
          <w:bCs/>
          <w:i/>
          <w:iCs/>
          <w:color w:val="4F81BD"/>
          <w:sz w:val="24"/>
        </w:rPr>
        <w:t>e</w:t>
      </w:r>
      <w:r w:rsidR="00D33729" w:rsidRPr="00A11FE0">
        <w:rPr>
          <w:rFonts w:asciiTheme="majorHAnsi" w:hAnsiTheme="majorHAnsi"/>
          <w:b/>
          <w:bCs/>
          <w:i/>
          <w:iCs/>
          <w:color w:val="4F81BD"/>
          <w:sz w:val="24"/>
        </w:rPr>
        <w:t xml:space="preserve"> </w:t>
      </w:r>
      <w:r w:rsidRPr="00A11FE0">
        <w:rPr>
          <w:rFonts w:asciiTheme="majorHAnsi" w:hAnsiTheme="majorHAnsi"/>
          <w:b/>
          <w:bCs/>
          <w:i/>
          <w:iCs/>
          <w:color w:val="4F81BD"/>
          <w:sz w:val="24"/>
        </w:rPr>
        <w:t>rizika</w:t>
      </w:r>
      <w:bookmarkEnd w:id="197"/>
      <w:bookmarkEnd w:id="198"/>
    </w:p>
    <w:p w:rsidR="00406C25" w:rsidRPr="00A11FE0" w:rsidRDefault="00406C25" w:rsidP="00406C25">
      <w:pPr>
        <w:rPr>
          <w:rFonts w:asciiTheme="majorHAnsi" w:hAnsiTheme="majorHAnsi"/>
        </w:rPr>
      </w:pPr>
      <w:r w:rsidRPr="00A11FE0">
        <w:rPr>
          <w:rFonts w:asciiTheme="majorHAnsi" w:hAnsiTheme="majorHAnsi"/>
        </w:rPr>
        <w:t xml:space="preserve">Napriek tomu, že </w:t>
      </w:r>
      <w:r w:rsidR="00BD5FD5">
        <w:rPr>
          <w:rFonts w:asciiTheme="majorHAnsi" w:hAnsiTheme="majorHAnsi"/>
        </w:rPr>
        <w:t>S</w:t>
      </w:r>
      <w:r w:rsidRPr="00A11FE0">
        <w:rPr>
          <w:rFonts w:asciiTheme="majorHAnsi" w:hAnsiTheme="majorHAnsi"/>
        </w:rPr>
        <w:t xml:space="preserve">R nepatrí medzi najviac ohrozené regióny v oblasti zmeny </w:t>
      </w:r>
      <w:r w:rsidR="00BD5FD5">
        <w:rPr>
          <w:rFonts w:asciiTheme="majorHAnsi" w:hAnsiTheme="majorHAnsi"/>
        </w:rPr>
        <w:t>k</w:t>
      </w:r>
      <w:r w:rsidRPr="00A11FE0">
        <w:rPr>
          <w:rFonts w:asciiTheme="majorHAnsi" w:hAnsiTheme="majorHAnsi"/>
        </w:rPr>
        <w:t>límy</w:t>
      </w:r>
      <w:r w:rsidRPr="00A11FE0">
        <w:rPr>
          <w:rFonts w:asciiTheme="majorHAnsi" w:hAnsiTheme="majorHAnsi"/>
          <w:vertAlign w:val="superscript"/>
        </w:rPr>
        <w:footnoteReference w:id="181"/>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ú v posledných rokoch evidované </w:t>
      </w:r>
      <w:r w:rsidR="00BD5FD5">
        <w:rPr>
          <w:rFonts w:asciiTheme="majorHAnsi" w:hAnsiTheme="majorHAnsi"/>
        </w:rPr>
        <w:t>a</w:t>
      </w:r>
      <w:r w:rsidRPr="00A11FE0">
        <w:rPr>
          <w:rFonts w:asciiTheme="majorHAnsi" w:hAnsiTheme="majorHAnsi"/>
        </w:rPr>
        <w:t xml:space="preserve"> pozorované </w:t>
      </w:r>
      <w:r w:rsidR="00BD5FD5">
        <w:rPr>
          <w:rFonts w:asciiTheme="majorHAnsi" w:hAnsiTheme="majorHAnsi"/>
        </w:rPr>
        <w:t>s</w:t>
      </w:r>
      <w:r w:rsidRPr="00A11FE0">
        <w:rPr>
          <w:rFonts w:asciiTheme="majorHAnsi" w:hAnsiTheme="majorHAnsi"/>
        </w:rPr>
        <w:t>tále významnejšie extrémne výkyvy počasia</w:t>
      </w:r>
      <w:r w:rsidR="00945895">
        <w:rPr>
          <w:rFonts w:asciiTheme="majorHAnsi" w:hAnsiTheme="majorHAnsi"/>
        </w:rPr>
        <w:t>,</w:t>
      </w:r>
      <w:r w:rsidR="00190B98">
        <w:rPr>
          <w:rFonts w:asciiTheme="majorHAnsi" w:hAnsiTheme="majorHAnsi"/>
        </w:rPr>
        <w:t xml:space="preserve"> napr. nárazové dažde</w:t>
      </w:r>
      <w:r w:rsidR="00D04DFB">
        <w:rPr>
          <w:rFonts w:asciiTheme="majorHAnsi" w:hAnsiTheme="majorHAnsi"/>
        </w:rPr>
        <w:t>,</w:t>
      </w:r>
      <w:r w:rsidR="00190B98">
        <w:rPr>
          <w:rFonts w:asciiTheme="majorHAnsi" w:hAnsiTheme="majorHAnsi"/>
        </w:rPr>
        <w:t xml:space="preserve"> </w:t>
      </w:r>
      <w:r w:rsidR="00BD5FD5">
        <w:rPr>
          <w:rFonts w:asciiTheme="majorHAnsi" w:hAnsiTheme="majorHAnsi"/>
        </w:rPr>
        <w:t>a</w:t>
      </w:r>
      <w:r w:rsidR="00190B98">
        <w:rPr>
          <w:rFonts w:asciiTheme="majorHAnsi" w:hAnsiTheme="majorHAnsi"/>
        </w:rPr>
        <w:t xml:space="preserve">lebo dlhotrvajúce </w:t>
      </w:r>
      <w:r w:rsidR="00BD5FD5">
        <w:rPr>
          <w:rFonts w:asciiTheme="majorHAnsi" w:hAnsiTheme="majorHAnsi"/>
        </w:rPr>
        <w:t>s</w:t>
      </w:r>
      <w:r w:rsidR="00190B98">
        <w:rPr>
          <w:rFonts w:asciiTheme="majorHAnsi" w:hAnsiTheme="majorHAnsi"/>
        </w:rPr>
        <w:t>uchá</w:t>
      </w:r>
      <w:r w:rsidR="008B1FAC" w:rsidRPr="00A11FE0">
        <w:rPr>
          <w:rFonts w:asciiTheme="majorHAnsi" w:hAnsiTheme="majorHAnsi"/>
        </w:rPr>
        <w:t>.</w:t>
      </w:r>
      <w:r w:rsidRPr="00A11FE0">
        <w:rPr>
          <w:rFonts w:asciiTheme="majorHAnsi" w:hAnsiTheme="majorHAnsi"/>
          <w:noProof/>
        </w:rPr>
        <w:t xml:space="preserve"> </w:t>
      </w:r>
      <w:r w:rsidR="00945895" w:rsidRPr="00A11FE0">
        <w:rPr>
          <w:rFonts w:asciiTheme="majorHAnsi" w:hAnsiTheme="majorHAnsi"/>
        </w:rPr>
        <w:t>Zmen</w:t>
      </w:r>
      <w:r w:rsidR="00945895">
        <w:rPr>
          <w:rFonts w:asciiTheme="majorHAnsi" w:hAnsiTheme="majorHAnsi"/>
        </w:rPr>
        <w:t>u</w:t>
      </w:r>
      <w:r w:rsidR="00945895" w:rsidRPr="00A11FE0">
        <w:rPr>
          <w:rFonts w:asciiTheme="majorHAnsi" w:hAnsiTheme="majorHAnsi"/>
        </w:rPr>
        <w:t xml:space="preserve"> </w:t>
      </w:r>
      <w:r w:rsidR="00BD5FD5">
        <w:rPr>
          <w:rFonts w:asciiTheme="majorHAnsi" w:hAnsiTheme="majorHAnsi"/>
        </w:rPr>
        <w:t>k</w:t>
      </w:r>
      <w:r w:rsidRPr="00A11FE0">
        <w:rPr>
          <w:rFonts w:asciiTheme="majorHAnsi" w:hAnsiTheme="majorHAnsi"/>
        </w:rPr>
        <w:t>límy v</w:t>
      </w:r>
      <w:r w:rsidR="005C6393">
        <w:rPr>
          <w:rFonts w:asciiTheme="majorHAnsi" w:hAnsiTheme="majorHAnsi"/>
        </w:rPr>
        <w:t> </w:t>
      </w:r>
      <w:r w:rsidR="00BD5FD5">
        <w:rPr>
          <w:rFonts w:asciiTheme="majorHAnsi" w:hAnsiTheme="majorHAnsi"/>
        </w:rPr>
        <w:t>S</w:t>
      </w:r>
      <w:r w:rsidRPr="00A11FE0">
        <w:rPr>
          <w:rFonts w:asciiTheme="majorHAnsi" w:hAnsiTheme="majorHAnsi"/>
        </w:rPr>
        <w:t xml:space="preserve">R zachytáva 6 </w:t>
      </w:r>
      <w:r w:rsidR="00BD5FD5">
        <w:rPr>
          <w:rFonts w:asciiTheme="majorHAnsi" w:hAnsiTheme="majorHAnsi"/>
        </w:rPr>
        <w:t>s</w:t>
      </w:r>
      <w:r w:rsidRPr="00A11FE0">
        <w:rPr>
          <w:rFonts w:asciiTheme="majorHAnsi" w:hAnsiTheme="majorHAnsi"/>
        </w:rPr>
        <w:t xml:space="preserve">kupín indikátorov, </w:t>
      </w:r>
      <w:r w:rsidR="00BD5FD5">
        <w:rPr>
          <w:rFonts w:asciiTheme="majorHAnsi" w:hAnsiTheme="majorHAnsi"/>
        </w:rPr>
        <w:t>k</w:t>
      </w:r>
      <w:r w:rsidRPr="00A11FE0">
        <w:rPr>
          <w:rFonts w:asciiTheme="majorHAnsi" w:hAnsiTheme="majorHAnsi"/>
        </w:rPr>
        <w:t>toré poukazujú na dlhodobé</w:t>
      </w:r>
      <w:r w:rsidR="008B1FAC" w:rsidRPr="00A11FE0">
        <w:rPr>
          <w:rFonts w:asciiTheme="majorHAnsi" w:hAnsiTheme="majorHAnsi"/>
        </w:rPr>
        <w:t>,</w:t>
      </w:r>
      <w:r w:rsidRPr="00A11FE0">
        <w:rPr>
          <w:rFonts w:asciiTheme="majorHAnsi" w:hAnsiTheme="majorHAnsi"/>
        </w:rPr>
        <w:t xml:space="preserve"> prevažne zhoršujúce </w:t>
      </w:r>
      <w:r w:rsidR="00BD5FD5">
        <w:rPr>
          <w:rFonts w:asciiTheme="majorHAnsi" w:hAnsiTheme="majorHAnsi"/>
        </w:rPr>
        <w:t>s</w:t>
      </w:r>
      <w:r w:rsidRPr="00A11FE0">
        <w:rPr>
          <w:rFonts w:asciiTheme="majorHAnsi" w:hAnsiTheme="majorHAnsi"/>
        </w:rPr>
        <w:t xml:space="preserve">a trendy. Tieto trendy </w:t>
      </w:r>
      <w:r w:rsidR="00BD5FD5">
        <w:rPr>
          <w:rFonts w:asciiTheme="majorHAnsi" w:hAnsiTheme="majorHAnsi"/>
        </w:rPr>
        <w:t>s</w:t>
      </w:r>
      <w:r w:rsidRPr="00A11FE0">
        <w:rPr>
          <w:rFonts w:asciiTheme="majorHAnsi" w:hAnsiTheme="majorHAnsi"/>
        </w:rPr>
        <w:t>a dajú ovplyvniť hlavne mitigačnými opatreniami</w:t>
      </w:r>
      <w:r w:rsidR="00970D45" w:rsidRPr="00A11FE0">
        <w:rPr>
          <w:rFonts w:asciiTheme="majorHAnsi" w:hAnsiTheme="majorHAnsi"/>
          <w:vertAlign w:val="superscript"/>
        </w:rPr>
        <w:footnoteReference w:id="182"/>
      </w:r>
      <w:r w:rsidRPr="00A11FE0">
        <w:rPr>
          <w:rFonts w:asciiTheme="majorHAnsi" w:hAnsiTheme="majorHAnsi"/>
        </w:rPr>
        <w:t xml:space="preserve">. </w:t>
      </w:r>
      <w:r w:rsidR="00BD5FD5">
        <w:rPr>
          <w:rFonts w:asciiTheme="majorHAnsi" w:hAnsiTheme="majorHAnsi"/>
        </w:rPr>
        <w:t>S </w:t>
      </w:r>
      <w:r w:rsidRPr="00A11FE0">
        <w:rPr>
          <w:rFonts w:asciiTheme="majorHAnsi" w:hAnsiTheme="majorHAnsi"/>
        </w:rPr>
        <w:t xml:space="preserve">cieľom minimalizovať riziká </w:t>
      </w:r>
      <w:r w:rsidR="00BD5FD5">
        <w:rPr>
          <w:rFonts w:asciiTheme="majorHAnsi" w:hAnsiTheme="majorHAnsi"/>
        </w:rPr>
        <w:t>a </w:t>
      </w:r>
      <w:r w:rsidRPr="00A11FE0">
        <w:rPr>
          <w:rFonts w:asciiTheme="majorHAnsi" w:hAnsiTheme="majorHAnsi"/>
        </w:rPr>
        <w:t xml:space="preserve">negatívne </w:t>
      </w:r>
      <w:r w:rsidR="00656725">
        <w:rPr>
          <w:rFonts w:asciiTheme="majorHAnsi" w:hAnsiTheme="majorHAnsi"/>
        </w:rPr>
        <w:t>dôsledky</w:t>
      </w:r>
      <w:r w:rsidR="00656725" w:rsidRPr="00A11FE0">
        <w:rPr>
          <w:rFonts w:asciiTheme="majorHAnsi" w:hAnsiTheme="majorHAnsi"/>
        </w:rPr>
        <w:t xml:space="preserve"> </w:t>
      </w:r>
      <w:r w:rsidRPr="00A11FE0">
        <w:rPr>
          <w:rFonts w:asciiTheme="majorHAnsi" w:hAnsiTheme="majorHAnsi"/>
        </w:rPr>
        <w:t xml:space="preserve">zmeny </w:t>
      </w:r>
      <w:r w:rsidR="00BD5FD5">
        <w:rPr>
          <w:rFonts w:asciiTheme="majorHAnsi" w:hAnsiTheme="majorHAnsi"/>
        </w:rPr>
        <w:t>k</w:t>
      </w:r>
      <w:r w:rsidRPr="00A11FE0">
        <w:rPr>
          <w:rFonts w:asciiTheme="majorHAnsi" w:hAnsiTheme="majorHAnsi"/>
        </w:rPr>
        <w:t xml:space="preserve">límy na </w:t>
      </w:r>
      <w:r w:rsidR="00BD5FD5">
        <w:rPr>
          <w:rFonts w:asciiTheme="majorHAnsi" w:hAnsiTheme="majorHAnsi"/>
        </w:rPr>
        <w:t>k</w:t>
      </w:r>
      <w:r w:rsidRPr="00A11FE0">
        <w:rPr>
          <w:rFonts w:asciiTheme="majorHAnsi" w:hAnsiTheme="majorHAnsi"/>
        </w:rPr>
        <w:t xml:space="preserve">valitu života ľudí </w:t>
      </w:r>
      <w:r w:rsidR="00BD5FD5">
        <w:rPr>
          <w:rFonts w:asciiTheme="majorHAnsi" w:hAnsiTheme="majorHAnsi"/>
        </w:rPr>
        <w:t>a </w:t>
      </w:r>
      <w:r w:rsidRPr="00A11FE0">
        <w:rPr>
          <w:rFonts w:asciiTheme="majorHAnsi" w:hAnsiTheme="majorHAnsi"/>
        </w:rPr>
        <w:t>hospodársky rast</w:t>
      </w:r>
      <w:r w:rsidR="00055A0B">
        <w:rPr>
          <w:rFonts w:asciiTheme="majorHAnsi" w:hAnsiTheme="majorHAnsi"/>
        </w:rPr>
        <w:t xml:space="preserve"> je</w:t>
      </w:r>
      <w:r w:rsidRPr="00A11FE0">
        <w:rPr>
          <w:rFonts w:asciiTheme="majorHAnsi" w:hAnsiTheme="majorHAnsi"/>
        </w:rPr>
        <w:t xml:space="preserve"> potrebné uplatňovať </w:t>
      </w:r>
      <w:r w:rsidR="00BD5FD5">
        <w:rPr>
          <w:rFonts w:asciiTheme="majorHAnsi" w:hAnsiTheme="majorHAnsi"/>
        </w:rPr>
        <w:t>a</w:t>
      </w:r>
      <w:r w:rsidRPr="00A11FE0">
        <w:rPr>
          <w:rFonts w:asciiTheme="majorHAnsi" w:hAnsiTheme="majorHAnsi"/>
        </w:rPr>
        <w:t xml:space="preserve">j </w:t>
      </w:r>
      <w:r w:rsidR="00BD5FD5">
        <w:rPr>
          <w:rFonts w:asciiTheme="majorHAnsi" w:hAnsiTheme="majorHAnsi"/>
        </w:rPr>
        <w:t>s</w:t>
      </w:r>
      <w:r w:rsidRPr="00A11FE0">
        <w:rPr>
          <w:rFonts w:asciiTheme="majorHAnsi" w:hAnsiTheme="majorHAnsi"/>
        </w:rPr>
        <w:t xml:space="preserve">úbor </w:t>
      </w:r>
      <w:r w:rsidR="00BD5FD5">
        <w:rPr>
          <w:rFonts w:asciiTheme="majorHAnsi" w:hAnsiTheme="majorHAnsi"/>
        </w:rPr>
        <w:t>a</w:t>
      </w:r>
      <w:r w:rsidRPr="00A11FE0">
        <w:rPr>
          <w:rFonts w:asciiTheme="majorHAnsi" w:hAnsiTheme="majorHAnsi"/>
        </w:rPr>
        <w:t>daptačných opatrení</w:t>
      </w:r>
      <w:r w:rsidR="00970D45" w:rsidRPr="00A11FE0">
        <w:rPr>
          <w:rFonts w:asciiTheme="majorHAnsi" w:hAnsiTheme="majorHAnsi"/>
          <w:vertAlign w:val="superscript"/>
        </w:rPr>
        <w:footnoteReference w:id="183"/>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R v tejto </w:t>
      </w:r>
      <w:r w:rsidR="00BD5FD5">
        <w:rPr>
          <w:rFonts w:asciiTheme="majorHAnsi" w:hAnsiTheme="majorHAnsi"/>
        </w:rPr>
        <w:t>s</w:t>
      </w:r>
      <w:r w:rsidRPr="00A11FE0">
        <w:rPr>
          <w:rFonts w:asciiTheme="majorHAnsi" w:hAnsiTheme="majorHAnsi"/>
        </w:rPr>
        <w:t xml:space="preserve">úvislosti </w:t>
      </w:r>
      <w:r w:rsidR="0000031F">
        <w:rPr>
          <w:rFonts w:asciiTheme="majorHAnsi" w:hAnsiTheme="majorHAnsi"/>
        </w:rPr>
        <w:t>schválila</w:t>
      </w:r>
      <w:r w:rsidR="0000031F"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tratégiu </w:t>
      </w:r>
      <w:r w:rsidR="00BD5FD5">
        <w:rPr>
          <w:rFonts w:asciiTheme="majorHAnsi" w:hAnsiTheme="majorHAnsi"/>
        </w:rPr>
        <w:t>a</w:t>
      </w:r>
      <w:r w:rsidRPr="00A11FE0">
        <w:rPr>
          <w:rFonts w:asciiTheme="majorHAnsi" w:hAnsiTheme="majorHAnsi"/>
        </w:rPr>
        <w:t xml:space="preserve">daptácie na nepriaznivé dôsledky zmeny </w:t>
      </w:r>
      <w:r w:rsidR="00BD5FD5">
        <w:rPr>
          <w:rFonts w:asciiTheme="majorHAnsi" w:hAnsiTheme="majorHAnsi"/>
        </w:rPr>
        <w:t>k</w:t>
      </w:r>
      <w:r w:rsidRPr="00A11FE0">
        <w:rPr>
          <w:rFonts w:asciiTheme="majorHAnsi" w:hAnsiTheme="majorHAnsi"/>
        </w:rPr>
        <w:t xml:space="preserve">límy </w:t>
      </w:r>
      <w:r w:rsidR="00BD5FD5">
        <w:rPr>
          <w:rFonts w:asciiTheme="majorHAnsi" w:hAnsiTheme="majorHAnsi"/>
        </w:rPr>
        <w:t>a</w:t>
      </w:r>
      <w:r w:rsidR="005C6393">
        <w:rPr>
          <w:rFonts w:asciiTheme="majorHAnsi" w:hAnsiTheme="majorHAnsi"/>
        </w:rPr>
        <w:t> </w:t>
      </w:r>
      <w:r w:rsidR="0000031F">
        <w:rPr>
          <w:rFonts w:asciiTheme="majorHAnsi" w:hAnsiTheme="majorHAnsi"/>
        </w:rPr>
        <w:t>pripravila</w:t>
      </w:r>
      <w:r w:rsidR="005C6393">
        <w:rPr>
          <w:rFonts w:asciiTheme="majorHAnsi" w:hAnsiTheme="majorHAnsi"/>
        </w:rPr>
        <w:t xml:space="preserve"> </w:t>
      </w:r>
      <w:r w:rsidRPr="00A11FE0">
        <w:rPr>
          <w:rFonts w:asciiTheme="majorHAnsi" w:hAnsiTheme="majorHAnsi"/>
        </w:rPr>
        <w:t>Metodiku hodnotenia vybraných rizík</w:t>
      </w:r>
      <w:r w:rsidR="003B3887">
        <w:rPr>
          <w:rFonts w:asciiTheme="majorHAnsi" w:hAnsiTheme="majorHAnsi"/>
        </w:rPr>
        <w:t xml:space="preserve"> </w:t>
      </w:r>
      <w:r w:rsidRPr="00A11FE0">
        <w:rPr>
          <w:rFonts w:asciiTheme="majorHAnsi" w:hAnsiTheme="majorHAnsi"/>
        </w:rPr>
        <w:t>na vnútroštátnej úrovni</w:t>
      </w:r>
      <w:r w:rsidRPr="00A11FE0">
        <w:rPr>
          <w:rFonts w:asciiTheme="majorHAnsi" w:hAnsiTheme="majorHAnsi"/>
          <w:vertAlign w:val="superscript"/>
        </w:rPr>
        <w:footnoteReference w:id="184"/>
      </w:r>
      <w:r w:rsidRPr="00A11FE0">
        <w:rPr>
          <w:rFonts w:asciiTheme="majorHAnsi" w:hAnsiTheme="majorHAnsi"/>
        </w:rPr>
        <w:t xml:space="preserve"> v </w:t>
      </w:r>
      <w:r w:rsidR="00BD5FD5">
        <w:rPr>
          <w:rFonts w:asciiTheme="majorHAnsi" w:hAnsiTheme="majorHAnsi"/>
        </w:rPr>
        <w:t>k</w:t>
      </w:r>
      <w:r w:rsidRPr="00A11FE0">
        <w:rPr>
          <w:rFonts w:asciiTheme="majorHAnsi" w:hAnsiTheme="majorHAnsi"/>
        </w:rPr>
        <w:t xml:space="preserve">ontexte </w:t>
      </w:r>
      <w:r w:rsidR="00BD5FD5">
        <w:rPr>
          <w:rFonts w:asciiTheme="majorHAnsi" w:hAnsiTheme="majorHAnsi"/>
        </w:rPr>
        <w:t>s</w:t>
      </w:r>
      <w:r w:rsidRPr="00A11FE0">
        <w:rPr>
          <w:rFonts w:asciiTheme="majorHAnsi" w:hAnsiTheme="majorHAnsi"/>
        </w:rPr>
        <w:t xml:space="preserve"> ostatnými </w:t>
      </w:r>
      <w:r w:rsidR="00BD5FD5">
        <w:rPr>
          <w:rFonts w:asciiTheme="majorHAnsi" w:hAnsiTheme="majorHAnsi"/>
        </w:rPr>
        <w:t>s</w:t>
      </w:r>
      <w:r w:rsidRPr="00A11FE0">
        <w:rPr>
          <w:rFonts w:asciiTheme="majorHAnsi" w:hAnsiTheme="majorHAnsi"/>
        </w:rPr>
        <w:t>trategickými dokumentmi</w:t>
      </w:r>
      <w:r w:rsidRPr="00A11FE0">
        <w:rPr>
          <w:rFonts w:asciiTheme="majorHAnsi" w:hAnsiTheme="majorHAnsi"/>
          <w:vertAlign w:val="superscript"/>
        </w:rPr>
        <w:footnoteReference w:id="185"/>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ľúčovými problémami v oblasti prispôsobovania </w:t>
      </w:r>
      <w:r w:rsidR="00BD5FD5">
        <w:rPr>
          <w:rFonts w:asciiTheme="majorHAnsi" w:hAnsiTheme="majorHAnsi"/>
        </w:rPr>
        <w:t>s</w:t>
      </w:r>
      <w:r w:rsidRPr="00A11FE0">
        <w:rPr>
          <w:rFonts w:asciiTheme="majorHAnsi" w:hAnsiTheme="majorHAnsi"/>
        </w:rPr>
        <w:t xml:space="preserve">a </w:t>
      </w:r>
      <w:r w:rsidR="00945895" w:rsidRPr="00A11FE0">
        <w:rPr>
          <w:rFonts w:asciiTheme="majorHAnsi" w:hAnsiTheme="majorHAnsi"/>
        </w:rPr>
        <w:t>zmen</w:t>
      </w:r>
      <w:r w:rsidR="00945895">
        <w:rPr>
          <w:rFonts w:asciiTheme="majorHAnsi" w:hAnsiTheme="majorHAnsi"/>
        </w:rPr>
        <w:t>e</w:t>
      </w:r>
      <w:r w:rsidR="00945895"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límy, predchádzania </w:t>
      </w:r>
      <w:r w:rsidR="00BD5FD5">
        <w:rPr>
          <w:rFonts w:asciiTheme="majorHAnsi" w:hAnsiTheme="majorHAnsi"/>
        </w:rPr>
        <w:t>a </w:t>
      </w:r>
      <w:r w:rsidRPr="00A11FE0">
        <w:rPr>
          <w:rFonts w:asciiTheme="majorHAnsi" w:hAnsiTheme="majorHAnsi"/>
        </w:rPr>
        <w:t xml:space="preserve">riadenia rizika </w:t>
      </w:r>
      <w:r w:rsidR="00BD5FD5">
        <w:rPr>
          <w:rFonts w:asciiTheme="majorHAnsi" w:hAnsiTheme="majorHAnsi"/>
        </w:rPr>
        <w:t>s</w:t>
      </w:r>
      <w:r w:rsidRPr="00A11FE0">
        <w:rPr>
          <w:rFonts w:asciiTheme="majorHAnsi" w:hAnsiTheme="majorHAnsi"/>
        </w:rPr>
        <w:t>ú:</w:t>
      </w:r>
    </w:p>
    <w:p w:rsidR="00406C25" w:rsidRPr="00A11FE0" w:rsidRDefault="00406C25" w:rsidP="00CD70BE">
      <w:pPr>
        <w:numPr>
          <w:ilvl w:val="0"/>
          <w:numId w:val="4"/>
        </w:numPr>
        <w:contextualSpacing/>
        <w:rPr>
          <w:rFonts w:asciiTheme="majorHAnsi" w:hAnsiTheme="majorHAnsi"/>
          <w:iCs/>
        </w:rPr>
      </w:pPr>
      <w:r w:rsidRPr="00A11FE0">
        <w:rPr>
          <w:rFonts w:asciiTheme="majorHAnsi" w:hAnsiTheme="majorHAnsi"/>
        </w:rPr>
        <w:t xml:space="preserve">Investície na prispôsobenie </w:t>
      </w:r>
      <w:r w:rsidR="00BD5FD5">
        <w:rPr>
          <w:rFonts w:asciiTheme="majorHAnsi" w:hAnsiTheme="majorHAnsi"/>
        </w:rPr>
        <w:t>s</w:t>
      </w:r>
      <w:r w:rsidRPr="00A11FE0">
        <w:rPr>
          <w:rFonts w:asciiTheme="majorHAnsi" w:hAnsiTheme="majorHAnsi"/>
        </w:rPr>
        <w:t xml:space="preserve">a zmene </w:t>
      </w:r>
      <w:r w:rsidR="00BD5FD5">
        <w:rPr>
          <w:rFonts w:asciiTheme="majorHAnsi" w:hAnsiTheme="majorHAnsi"/>
        </w:rPr>
        <w:t>k</w:t>
      </w:r>
      <w:r w:rsidRPr="00A11FE0">
        <w:rPr>
          <w:rFonts w:asciiTheme="majorHAnsi" w:hAnsiTheme="majorHAnsi"/>
        </w:rPr>
        <w:t xml:space="preserve">límy v oblastiach: </w:t>
      </w:r>
      <w:r w:rsidR="008B1FAC" w:rsidRPr="00A11FE0">
        <w:rPr>
          <w:rFonts w:asciiTheme="majorHAnsi" w:hAnsiTheme="majorHAnsi"/>
        </w:rPr>
        <w:t>p</w:t>
      </w:r>
      <w:r w:rsidRPr="00A11FE0">
        <w:rPr>
          <w:rFonts w:asciiTheme="majorHAnsi" w:hAnsiTheme="majorHAnsi"/>
          <w:iCs/>
        </w:rPr>
        <w:t xml:space="preserve">oľnohospodárstvo, </w:t>
      </w:r>
      <w:r w:rsidR="008B1FAC" w:rsidRPr="00A11FE0">
        <w:rPr>
          <w:rFonts w:asciiTheme="majorHAnsi" w:hAnsiTheme="majorHAnsi"/>
          <w:iCs/>
        </w:rPr>
        <w:t>l</w:t>
      </w:r>
      <w:r w:rsidRPr="00A11FE0">
        <w:rPr>
          <w:rFonts w:asciiTheme="majorHAnsi" w:hAnsiTheme="majorHAnsi"/>
          <w:iCs/>
        </w:rPr>
        <w:t xml:space="preserve">esné hospodárstvo, </w:t>
      </w:r>
      <w:r w:rsidR="008B1FAC" w:rsidRPr="00A11FE0">
        <w:rPr>
          <w:rFonts w:asciiTheme="majorHAnsi" w:hAnsiTheme="majorHAnsi"/>
          <w:iCs/>
        </w:rPr>
        <w:t>v</w:t>
      </w:r>
      <w:r w:rsidRPr="00A11FE0">
        <w:rPr>
          <w:rFonts w:asciiTheme="majorHAnsi" w:hAnsiTheme="majorHAnsi"/>
          <w:iCs/>
        </w:rPr>
        <w:t xml:space="preserve">odné hospodárstvo, </w:t>
      </w:r>
      <w:r w:rsidR="008B1FAC" w:rsidRPr="00A11FE0">
        <w:rPr>
          <w:rFonts w:asciiTheme="majorHAnsi" w:hAnsiTheme="majorHAnsi"/>
          <w:iCs/>
        </w:rPr>
        <w:t>b</w:t>
      </w:r>
      <w:r w:rsidRPr="00A11FE0">
        <w:rPr>
          <w:rFonts w:asciiTheme="majorHAnsi" w:hAnsiTheme="majorHAnsi"/>
          <w:iCs/>
        </w:rPr>
        <w:t xml:space="preserve">iodiverzita, </w:t>
      </w:r>
      <w:r w:rsidR="008B1FAC" w:rsidRPr="00A11FE0">
        <w:rPr>
          <w:rFonts w:asciiTheme="majorHAnsi" w:hAnsiTheme="majorHAnsi"/>
          <w:iCs/>
        </w:rPr>
        <w:t>d</w:t>
      </w:r>
      <w:r w:rsidRPr="00A11FE0">
        <w:rPr>
          <w:rFonts w:asciiTheme="majorHAnsi" w:hAnsiTheme="majorHAnsi"/>
          <w:iCs/>
        </w:rPr>
        <w:t xml:space="preserve">oprava, </w:t>
      </w:r>
      <w:r w:rsidR="00BD5FD5">
        <w:rPr>
          <w:rFonts w:asciiTheme="majorHAnsi" w:hAnsiTheme="majorHAnsi"/>
          <w:iCs/>
        </w:rPr>
        <w:t>s</w:t>
      </w:r>
      <w:r w:rsidRPr="00A11FE0">
        <w:rPr>
          <w:rFonts w:asciiTheme="majorHAnsi" w:hAnsiTheme="majorHAnsi"/>
          <w:iCs/>
        </w:rPr>
        <w:t xml:space="preserve">ektor energetiky, </w:t>
      </w:r>
      <w:r w:rsidR="008B1FAC" w:rsidRPr="00A11FE0">
        <w:rPr>
          <w:rFonts w:asciiTheme="majorHAnsi" w:hAnsiTheme="majorHAnsi"/>
          <w:iCs/>
        </w:rPr>
        <w:t>g</w:t>
      </w:r>
      <w:r w:rsidRPr="00A11FE0">
        <w:rPr>
          <w:rFonts w:asciiTheme="majorHAnsi" w:hAnsiTheme="majorHAnsi"/>
          <w:iCs/>
        </w:rPr>
        <w:t xml:space="preserve">eológia </w:t>
      </w:r>
      <w:r w:rsidR="00BD5FD5">
        <w:rPr>
          <w:rFonts w:asciiTheme="majorHAnsi" w:hAnsiTheme="majorHAnsi"/>
          <w:iCs/>
        </w:rPr>
        <w:t>a </w:t>
      </w:r>
      <w:r w:rsidRPr="00A11FE0">
        <w:rPr>
          <w:rFonts w:asciiTheme="majorHAnsi" w:hAnsiTheme="majorHAnsi"/>
          <w:iCs/>
        </w:rPr>
        <w:t>prírodné zdroje</w:t>
      </w:r>
      <w:r w:rsidR="00970D45" w:rsidRPr="00A11FE0">
        <w:rPr>
          <w:rFonts w:asciiTheme="majorHAnsi" w:hAnsiTheme="majorHAnsi"/>
          <w:iCs/>
        </w:rPr>
        <w:t>;</w:t>
      </w:r>
    </w:p>
    <w:p w:rsidR="00406C25" w:rsidRPr="00A11FE0" w:rsidRDefault="00616BE3" w:rsidP="00CD70BE">
      <w:pPr>
        <w:numPr>
          <w:ilvl w:val="0"/>
          <w:numId w:val="4"/>
        </w:numPr>
        <w:contextualSpacing/>
        <w:rPr>
          <w:rFonts w:asciiTheme="majorHAnsi" w:hAnsiTheme="majorHAnsi"/>
        </w:rPr>
      </w:pPr>
      <w:r w:rsidRPr="00616BE3">
        <w:rPr>
          <w:rFonts w:asciiTheme="majorHAnsi" w:hAnsiTheme="majorHAnsi"/>
        </w:rPr>
        <w:t>Riešenie osobitných rizík, zabezpečenie prevencie, pripravenosti a</w:t>
      </w:r>
      <w:r w:rsidR="00BE2632">
        <w:rPr>
          <w:rFonts w:asciiTheme="majorHAnsi" w:hAnsiTheme="majorHAnsi"/>
        </w:rPr>
        <w:t> </w:t>
      </w:r>
      <w:r w:rsidRPr="00616BE3">
        <w:rPr>
          <w:rFonts w:asciiTheme="majorHAnsi" w:hAnsiTheme="majorHAnsi"/>
        </w:rPr>
        <w:t xml:space="preserve">odolnosti proti </w:t>
      </w:r>
      <w:r w:rsidR="005D2203">
        <w:rPr>
          <w:rFonts w:asciiTheme="majorHAnsi" w:hAnsiTheme="majorHAnsi"/>
        </w:rPr>
        <w:t>mimoriadnym udalostiam</w:t>
      </w:r>
      <w:r w:rsidRPr="00616BE3">
        <w:rPr>
          <w:rFonts w:asciiTheme="majorHAnsi" w:hAnsiTheme="majorHAnsi"/>
        </w:rPr>
        <w:t xml:space="preserve">, vyvíjanie systémov zvládania </w:t>
      </w:r>
      <w:r w:rsidR="005D2203">
        <w:rPr>
          <w:rFonts w:asciiTheme="majorHAnsi" w:hAnsiTheme="majorHAnsi"/>
        </w:rPr>
        <w:t>mimoriadnych udalostí</w:t>
      </w:r>
      <w:r w:rsidRPr="00616BE3">
        <w:rPr>
          <w:rFonts w:asciiTheme="majorHAnsi" w:hAnsiTheme="majorHAnsi"/>
        </w:rPr>
        <w:t xml:space="preserve">, ako aj nástrojov </w:t>
      </w:r>
      <w:r w:rsidR="005F31D4" w:rsidRPr="005F31D4">
        <w:rPr>
          <w:rFonts w:asciiTheme="majorHAnsi" w:hAnsiTheme="majorHAnsi"/>
        </w:rPr>
        <w:t xml:space="preserve">na zvýšenie efektívnosti manažmentu </w:t>
      </w:r>
      <w:r w:rsidR="00036013">
        <w:rPr>
          <w:rFonts w:asciiTheme="majorHAnsi" w:hAnsiTheme="majorHAnsi"/>
        </w:rPr>
        <w:t>rizík a zabezpečenie zníženia rizík</w:t>
      </w:r>
      <w:r w:rsidR="005F31D4" w:rsidRPr="005F31D4">
        <w:rPr>
          <w:rFonts w:asciiTheme="majorHAnsi" w:hAnsiTheme="majorHAnsi"/>
        </w:rPr>
        <w:t xml:space="preserve"> súvisiacich so zmenou klímy</w:t>
      </w:r>
      <w:r w:rsidRPr="00616BE3">
        <w:rPr>
          <w:rFonts w:asciiTheme="majorHAnsi" w:hAnsiTheme="majorHAnsi"/>
        </w:rPr>
        <w:t>;</w:t>
      </w:r>
    </w:p>
    <w:p w:rsidR="00406C25" w:rsidRPr="00A11FE0" w:rsidRDefault="00406C25" w:rsidP="00CD70BE">
      <w:pPr>
        <w:numPr>
          <w:ilvl w:val="0"/>
          <w:numId w:val="4"/>
        </w:numPr>
        <w:autoSpaceDE w:val="0"/>
        <w:autoSpaceDN w:val="0"/>
        <w:adjustRightInd w:val="0"/>
        <w:spacing w:after="0"/>
        <w:contextualSpacing/>
        <w:rPr>
          <w:rFonts w:asciiTheme="majorHAnsi" w:hAnsiTheme="majorHAnsi"/>
        </w:rPr>
      </w:pPr>
      <w:r w:rsidRPr="00A11FE0">
        <w:rPr>
          <w:rFonts w:asciiTheme="majorHAnsi" w:hAnsiTheme="majorHAnsi"/>
        </w:rPr>
        <w:t xml:space="preserve">V oblasti zmeny </w:t>
      </w:r>
      <w:r w:rsidR="00BD5FD5">
        <w:rPr>
          <w:rFonts w:asciiTheme="majorHAnsi" w:hAnsiTheme="majorHAnsi"/>
        </w:rPr>
        <w:t>k</w:t>
      </w:r>
      <w:r w:rsidRPr="00A11FE0">
        <w:rPr>
          <w:rFonts w:asciiTheme="majorHAnsi" w:hAnsiTheme="majorHAnsi"/>
        </w:rPr>
        <w:t xml:space="preserve">límy by mal podpornú úlohu zohrávať trh práce </w:t>
      </w:r>
      <w:r w:rsidR="00BD5FD5">
        <w:rPr>
          <w:rFonts w:asciiTheme="majorHAnsi" w:hAnsiTheme="majorHAnsi"/>
        </w:rPr>
        <w:t>a </w:t>
      </w:r>
      <w:r w:rsidRPr="00A11FE0">
        <w:rPr>
          <w:rFonts w:asciiTheme="majorHAnsi" w:hAnsiTheme="majorHAnsi"/>
        </w:rPr>
        <w:t xml:space="preserve">vzdelávací </w:t>
      </w:r>
      <w:r w:rsidR="00BD5FD5">
        <w:rPr>
          <w:rFonts w:asciiTheme="majorHAnsi" w:hAnsiTheme="majorHAnsi"/>
        </w:rPr>
        <w:t>s</w:t>
      </w:r>
      <w:r w:rsidRPr="00A11FE0">
        <w:rPr>
          <w:rFonts w:asciiTheme="majorHAnsi" w:hAnsiTheme="majorHAnsi"/>
        </w:rPr>
        <w:t>ystém, najmä v </w:t>
      </w:r>
      <w:r w:rsidR="00BD5FD5">
        <w:rPr>
          <w:rFonts w:asciiTheme="majorHAnsi" w:hAnsiTheme="majorHAnsi"/>
        </w:rPr>
        <w:t>s</w:t>
      </w:r>
      <w:r w:rsidRPr="00A11FE0">
        <w:rPr>
          <w:rFonts w:asciiTheme="majorHAnsi" w:hAnsiTheme="majorHAnsi"/>
        </w:rPr>
        <w:t xml:space="preserve">úvislosti </w:t>
      </w:r>
      <w:r w:rsidR="00BD5FD5">
        <w:rPr>
          <w:rFonts w:asciiTheme="majorHAnsi" w:hAnsiTheme="majorHAnsi"/>
        </w:rPr>
        <w:t>s</w:t>
      </w:r>
      <w:r w:rsidRPr="00A11FE0">
        <w:rPr>
          <w:rFonts w:asciiTheme="majorHAnsi" w:hAnsiTheme="majorHAnsi"/>
        </w:rPr>
        <w:t xml:space="preserve"> potrebou prispôsobovania trhu práce </w:t>
      </w:r>
      <w:r w:rsidR="00BD5FD5">
        <w:rPr>
          <w:rFonts w:asciiTheme="majorHAnsi" w:hAnsiTheme="majorHAnsi"/>
        </w:rPr>
        <w:t>s</w:t>
      </w:r>
      <w:r w:rsidRPr="00A11FE0">
        <w:rPr>
          <w:rFonts w:asciiTheme="majorHAnsi" w:hAnsiTheme="majorHAnsi"/>
        </w:rPr>
        <w:t xml:space="preserve">merom </w:t>
      </w:r>
      <w:r w:rsidR="00BD5FD5">
        <w:rPr>
          <w:rFonts w:asciiTheme="majorHAnsi" w:hAnsiTheme="majorHAnsi"/>
        </w:rPr>
        <w:t>k</w:t>
      </w:r>
      <w:r w:rsidR="005C6393">
        <w:rPr>
          <w:rFonts w:asciiTheme="majorHAnsi" w:hAnsiTheme="majorHAnsi"/>
        </w:rPr>
        <w:t> </w:t>
      </w:r>
      <w:r w:rsidRPr="00A11FE0">
        <w:rPr>
          <w:rFonts w:asciiTheme="majorHAnsi" w:hAnsiTheme="majorHAnsi"/>
        </w:rPr>
        <w:t>udržateľnosti, orientácii na vytváranie zelených pracovných miest, resp. „ozeleňovanie“ existujúcich pracovných miest</w:t>
      </w:r>
      <w:r w:rsidRPr="00A11FE0">
        <w:rPr>
          <w:rFonts w:asciiTheme="majorHAnsi" w:hAnsiTheme="majorHAnsi"/>
          <w:vertAlign w:val="superscript"/>
        </w:rPr>
        <w:footnoteReference w:id="186"/>
      </w:r>
      <w:r w:rsidRPr="00A11FE0">
        <w:rPr>
          <w:rFonts w:asciiTheme="majorHAnsi" w:hAnsiTheme="majorHAnsi"/>
        </w:rPr>
        <w:t>.</w:t>
      </w:r>
    </w:p>
    <w:p w:rsidR="00406C25" w:rsidRPr="00A11FE0" w:rsidRDefault="00406C25"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 xml:space="preserve">Investície na prispôsobenie </w:t>
      </w:r>
      <w:r w:rsidR="00BD5FD5">
        <w:rPr>
          <w:rFonts w:asciiTheme="majorHAnsi" w:hAnsiTheme="majorHAnsi"/>
          <w:color w:val="243F60"/>
        </w:rPr>
        <w:t>s</w:t>
      </w:r>
      <w:r w:rsidRPr="00A11FE0">
        <w:rPr>
          <w:rFonts w:asciiTheme="majorHAnsi" w:hAnsiTheme="majorHAnsi"/>
          <w:color w:val="243F60"/>
        </w:rPr>
        <w:t xml:space="preserve">a zmene </w:t>
      </w:r>
      <w:r w:rsidR="00BD5FD5">
        <w:rPr>
          <w:rFonts w:asciiTheme="majorHAnsi" w:hAnsiTheme="majorHAnsi"/>
          <w:color w:val="243F60"/>
        </w:rPr>
        <w:t>k</w:t>
      </w:r>
      <w:r w:rsidRPr="00A11FE0">
        <w:rPr>
          <w:rFonts w:asciiTheme="majorHAnsi" w:hAnsiTheme="majorHAnsi"/>
          <w:color w:val="243F60"/>
        </w:rPr>
        <w:t>límy</w:t>
      </w:r>
    </w:p>
    <w:p w:rsidR="00406C25" w:rsidRPr="00A11FE0" w:rsidRDefault="00406C25" w:rsidP="004B6F41">
      <w:pPr>
        <w:keepNext/>
        <w:keepLines/>
        <w:numPr>
          <w:ilvl w:val="5"/>
          <w:numId w:val="2"/>
        </w:numPr>
        <w:spacing w:before="200" w:after="0"/>
        <w:outlineLvl w:val="5"/>
        <w:rPr>
          <w:rFonts w:asciiTheme="majorHAnsi" w:hAnsiTheme="majorHAnsi"/>
          <w:i/>
          <w:iCs/>
          <w:color w:val="243F60"/>
        </w:rPr>
      </w:pPr>
      <w:r w:rsidRPr="00A11FE0">
        <w:rPr>
          <w:rFonts w:asciiTheme="majorHAnsi" w:hAnsiTheme="majorHAnsi"/>
          <w:i/>
          <w:iCs/>
          <w:color w:val="243F60"/>
        </w:rPr>
        <w:t xml:space="preserve">Poľnohospodárstvo </w:t>
      </w:r>
      <w:r w:rsidR="00BD5FD5">
        <w:rPr>
          <w:rFonts w:asciiTheme="majorHAnsi" w:hAnsiTheme="majorHAnsi"/>
          <w:i/>
          <w:iCs/>
          <w:color w:val="243F60"/>
        </w:rPr>
        <w:t>a </w:t>
      </w:r>
      <w:r w:rsidRPr="00A11FE0">
        <w:rPr>
          <w:rFonts w:asciiTheme="majorHAnsi" w:hAnsiTheme="majorHAnsi"/>
          <w:i/>
          <w:iCs/>
          <w:color w:val="243F60"/>
        </w:rPr>
        <w:t>lesné hospodárstvo</w:t>
      </w:r>
    </w:p>
    <w:p w:rsidR="00D04DFB" w:rsidRPr="00F35154" w:rsidRDefault="00D04DFB" w:rsidP="00D04DFB">
      <w:pPr>
        <w:rPr>
          <w:rFonts w:asciiTheme="majorHAnsi" w:hAnsiTheme="majorHAnsi"/>
        </w:rPr>
      </w:pPr>
      <w:r w:rsidRPr="00F35154">
        <w:rPr>
          <w:rFonts w:asciiTheme="majorHAnsi" w:hAnsiTheme="majorHAnsi"/>
        </w:rPr>
        <w:t xml:space="preserve">Poľnohospodárstvo reaguje na zmenu klímy veľmi citlivo, najmä na extrémy počasia, akými sú suchá, silné búrky a záplavy. Faktory, ktoré spájajú globálne zmeny </w:t>
      </w:r>
      <w:r w:rsidR="003A6FA4">
        <w:rPr>
          <w:rFonts w:asciiTheme="majorHAnsi" w:hAnsiTheme="majorHAnsi"/>
        </w:rPr>
        <w:t xml:space="preserve">klímy </w:t>
      </w:r>
      <w:r w:rsidRPr="00F35154">
        <w:rPr>
          <w:rFonts w:asciiTheme="majorHAnsi" w:hAnsiTheme="majorHAnsi"/>
        </w:rPr>
        <w:t>a poľnohospodársku produkciu sú:</w:t>
      </w:r>
    </w:p>
    <w:p w:rsidR="00D04DFB" w:rsidRPr="00F35154" w:rsidRDefault="00D04DFB" w:rsidP="00CD70BE">
      <w:pPr>
        <w:pStyle w:val="Odsekzoznamu"/>
        <w:numPr>
          <w:ilvl w:val="0"/>
          <w:numId w:val="63"/>
        </w:numPr>
        <w:rPr>
          <w:rFonts w:asciiTheme="majorHAnsi" w:hAnsiTheme="majorHAnsi"/>
        </w:rPr>
      </w:pPr>
      <w:r w:rsidRPr="00F35154">
        <w:rPr>
          <w:rFonts w:asciiTheme="majorHAnsi" w:hAnsiTheme="majorHAnsi"/>
        </w:rPr>
        <w:t>nárast priemernej teploty vzduchu,</w:t>
      </w:r>
    </w:p>
    <w:p w:rsidR="00D04DFB" w:rsidRPr="00F35154" w:rsidRDefault="00D04DFB" w:rsidP="00CD70BE">
      <w:pPr>
        <w:pStyle w:val="Odsekzoznamu"/>
        <w:numPr>
          <w:ilvl w:val="0"/>
          <w:numId w:val="63"/>
        </w:numPr>
        <w:rPr>
          <w:rFonts w:asciiTheme="majorHAnsi" w:hAnsiTheme="majorHAnsi"/>
        </w:rPr>
      </w:pPr>
      <w:r w:rsidRPr="00F35154">
        <w:rPr>
          <w:rFonts w:asciiTheme="majorHAnsi" w:hAnsiTheme="majorHAnsi"/>
        </w:rPr>
        <w:t>zmeny úhrnov a rozloženia atmosférických zrážok,</w:t>
      </w:r>
    </w:p>
    <w:p w:rsidR="00D04DFB" w:rsidRPr="00F35154" w:rsidRDefault="00D04DFB" w:rsidP="00CD70BE">
      <w:pPr>
        <w:pStyle w:val="Odsekzoznamu"/>
        <w:numPr>
          <w:ilvl w:val="0"/>
          <w:numId w:val="63"/>
        </w:numPr>
        <w:rPr>
          <w:rFonts w:asciiTheme="majorHAnsi" w:hAnsiTheme="majorHAnsi"/>
        </w:rPr>
      </w:pPr>
      <w:r w:rsidRPr="00F35154">
        <w:rPr>
          <w:rFonts w:asciiTheme="majorHAnsi" w:hAnsiTheme="majorHAnsi"/>
        </w:rPr>
        <w:t>stúpajúca koncentrácia CO</w:t>
      </w:r>
      <w:r w:rsidRPr="00F35154">
        <w:rPr>
          <w:rFonts w:asciiTheme="majorHAnsi" w:hAnsiTheme="majorHAnsi"/>
          <w:vertAlign w:val="subscript"/>
        </w:rPr>
        <w:t>2</w:t>
      </w:r>
      <w:r w:rsidRPr="00F35154">
        <w:rPr>
          <w:rFonts w:asciiTheme="majorHAnsi" w:hAnsiTheme="majorHAnsi"/>
        </w:rPr>
        <w:t>,</w:t>
      </w:r>
    </w:p>
    <w:p w:rsidR="00D04DFB" w:rsidRPr="00F35154" w:rsidRDefault="00D04DFB" w:rsidP="00CD70BE">
      <w:pPr>
        <w:pStyle w:val="Odsekzoznamu"/>
        <w:numPr>
          <w:ilvl w:val="0"/>
          <w:numId w:val="63"/>
        </w:numPr>
        <w:rPr>
          <w:rFonts w:asciiTheme="majorHAnsi" w:hAnsiTheme="majorHAnsi"/>
        </w:rPr>
      </w:pPr>
      <w:r w:rsidRPr="00F35154">
        <w:rPr>
          <w:rFonts w:asciiTheme="majorHAnsi" w:hAnsiTheme="majorHAnsi"/>
        </w:rPr>
        <w:lastRenderedPageBreak/>
        <w:t>úroveň znečistenia ovzdušia (napr. troposférickým ozónom, PM 2,5 a PM10),</w:t>
      </w:r>
    </w:p>
    <w:p w:rsidR="00D04DFB" w:rsidRPr="00F35154" w:rsidRDefault="00D04DFB" w:rsidP="00CD70BE">
      <w:pPr>
        <w:pStyle w:val="Odsekzoznamu"/>
        <w:numPr>
          <w:ilvl w:val="0"/>
          <w:numId w:val="63"/>
        </w:numPr>
        <w:rPr>
          <w:rFonts w:asciiTheme="majorHAnsi" w:hAnsiTheme="majorHAnsi"/>
        </w:rPr>
      </w:pPr>
      <w:r w:rsidRPr="00F35154">
        <w:rPr>
          <w:rFonts w:asciiTheme="majorHAnsi" w:hAnsiTheme="majorHAnsi"/>
        </w:rPr>
        <w:t>zmena v klimatickej variabilite a výskyt extrémnych udalostí.</w:t>
      </w:r>
    </w:p>
    <w:p w:rsidR="00D04DFB" w:rsidRPr="00F35154" w:rsidRDefault="00D04DFB" w:rsidP="00D04DFB">
      <w:pPr>
        <w:rPr>
          <w:rFonts w:asciiTheme="majorHAnsi" w:hAnsiTheme="majorHAnsi"/>
        </w:rPr>
      </w:pPr>
      <w:r w:rsidRPr="00F35154">
        <w:rPr>
          <w:rFonts w:asciiTheme="majorHAnsi" w:hAnsiTheme="majorHAnsi"/>
        </w:rPr>
        <w:t xml:space="preserve">Predpokladané globálne zmeny </w:t>
      </w:r>
      <w:r w:rsidR="003A6FA4">
        <w:rPr>
          <w:rFonts w:asciiTheme="majorHAnsi" w:hAnsiTheme="majorHAnsi"/>
        </w:rPr>
        <w:t xml:space="preserve">klímy </w:t>
      </w:r>
      <w:r w:rsidRPr="00F35154">
        <w:rPr>
          <w:rFonts w:asciiTheme="majorHAnsi" w:hAnsiTheme="majorHAnsi"/>
        </w:rPr>
        <w:t>sa budú v</w:t>
      </w:r>
      <w:r w:rsidR="005C6393">
        <w:rPr>
          <w:rFonts w:asciiTheme="majorHAnsi" w:hAnsiTheme="majorHAnsi"/>
        </w:rPr>
        <w:t> </w:t>
      </w:r>
      <w:r w:rsidRPr="00F35154">
        <w:rPr>
          <w:rFonts w:asciiTheme="majorHAnsi" w:hAnsiTheme="majorHAnsi"/>
        </w:rPr>
        <w:t>podmienkach SR premietať hlavne do zmeny teplotnej a</w:t>
      </w:r>
      <w:r w:rsidR="005C6393">
        <w:rPr>
          <w:rFonts w:asciiTheme="majorHAnsi" w:hAnsiTheme="majorHAnsi"/>
        </w:rPr>
        <w:t> </w:t>
      </w:r>
      <w:r w:rsidRPr="00F35154">
        <w:rPr>
          <w:rFonts w:asciiTheme="majorHAnsi" w:hAnsiTheme="majorHAnsi"/>
        </w:rPr>
        <w:t>vlahovej zabezpečenosti rastlinnej výroby, zmeny fenologických pomerov, zmeny fyzikálnych a</w:t>
      </w:r>
      <w:r w:rsidR="005C6393">
        <w:rPr>
          <w:rFonts w:asciiTheme="majorHAnsi" w:hAnsiTheme="majorHAnsi"/>
        </w:rPr>
        <w:t> </w:t>
      </w:r>
      <w:r w:rsidRPr="00F35154">
        <w:rPr>
          <w:rFonts w:asciiTheme="majorHAnsi" w:hAnsiTheme="majorHAnsi"/>
        </w:rPr>
        <w:t>chemických vlastností pôd, zmeny podmienok prezimovania a</w:t>
      </w:r>
      <w:r w:rsidR="005C6393">
        <w:rPr>
          <w:rFonts w:asciiTheme="majorHAnsi" w:hAnsiTheme="majorHAnsi"/>
        </w:rPr>
        <w:t> </w:t>
      </w:r>
      <w:r w:rsidRPr="00F35154">
        <w:rPr>
          <w:rFonts w:asciiTheme="majorHAnsi" w:hAnsiTheme="majorHAnsi"/>
        </w:rPr>
        <w:t>zmeny vo výskyte chorôb, škodcov a</w:t>
      </w:r>
      <w:r w:rsidR="005C6393">
        <w:rPr>
          <w:rFonts w:asciiTheme="majorHAnsi" w:hAnsiTheme="majorHAnsi"/>
        </w:rPr>
        <w:t> </w:t>
      </w:r>
      <w:r w:rsidRPr="00F35154">
        <w:rPr>
          <w:rFonts w:asciiTheme="majorHAnsi" w:hAnsiTheme="majorHAnsi"/>
        </w:rPr>
        <w:t>burín. Zvýšené teploty a</w:t>
      </w:r>
      <w:r w:rsidR="005C6393">
        <w:rPr>
          <w:rFonts w:asciiTheme="majorHAnsi" w:hAnsiTheme="majorHAnsi"/>
        </w:rPr>
        <w:t> </w:t>
      </w:r>
      <w:r w:rsidRPr="00F35154">
        <w:rPr>
          <w:rFonts w:asciiTheme="majorHAnsi" w:hAnsiTheme="majorHAnsi"/>
        </w:rPr>
        <w:t>atmosférické zrážky môžu podporiť rast úrod v</w:t>
      </w:r>
      <w:r w:rsidR="005C6393">
        <w:rPr>
          <w:rFonts w:asciiTheme="majorHAnsi" w:hAnsiTheme="majorHAnsi"/>
        </w:rPr>
        <w:t> </w:t>
      </w:r>
      <w:r w:rsidRPr="00F35154">
        <w:rPr>
          <w:rFonts w:asciiTheme="majorHAnsi" w:hAnsiTheme="majorHAnsi"/>
        </w:rPr>
        <w:t>jednej oblasti, ale môžu tiež vytvoriť zóny sucha a zvýšiť riziko erózie na inom mieste. Pôda môže absorbovať CO</w:t>
      </w:r>
      <w:r w:rsidRPr="00F35154">
        <w:rPr>
          <w:rFonts w:asciiTheme="majorHAnsi" w:hAnsiTheme="majorHAnsi"/>
          <w:vertAlign w:val="subscript"/>
        </w:rPr>
        <w:t>2</w:t>
      </w:r>
      <w:r w:rsidRPr="00F35154">
        <w:rPr>
          <w:rFonts w:asciiTheme="majorHAnsi" w:hAnsiTheme="majorHAnsi"/>
        </w:rPr>
        <w:t xml:space="preserve"> z atmosféry (sekvestrácia uhlíka), a tak zmierniť globálne otepľovanie, ale zvýšené teploty môžu podporiť aj rozklad biomasy, a</w:t>
      </w:r>
      <w:r w:rsidR="005C6393">
        <w:rPr>
          <w:rFonts w:asciiTheme="majorHAnsi" w:hAnsiTheme="majorHAnsi"/>
        </w:rPr>
        <w:t> </w:t>
      </w:r>
      <w:r w:rsidRPr="00F35154">
        <w:rPr>
          <w:rFonts w:asciiTheme="majorHAnsi" w:hAnsiTheme="majorHAnsi"/>
        </w:rPr>
        <w:t>tak zvýšiť emisie CO</w:t>
      </w:r>
      <w:r w:rsidRPr="00F35154">
        <w:rPr>
          <w:rFonts w:asciiTheme="majorHAnsi" w:hAnsiTheme="majorHAnsi"/>
          <w:vertAlign w:val="subscript"/>
        </w:rPr>
        <w:t>2</w:t>
      </w:r>
      <w:r w:rsidRPr="00F35154">
        <w:rPr>
          <w:rFonts w:asciiTheme="majorHAnsi" w:hAnsiTheme="majorHAnsi"/>
        </w:rPr>
        <w:t>, oxidu dusného a</w:t>
      </w:r>
      <w:r w:rsidR="005C6393">
        <w:rPr>
          <w:rFonts w:asciiTheme="majorHAnsi" w:hAnsiTheme="majorHAnsi"/>
        </w:rPr>
        <w:t> </w:t>
      </w:r>
      <w:r w:rsidRPr="00F35154">
        <w:rPr>
          <w:rFonts w:asciiTheme="majorHAnsi" w:hAnsiTheme="majorHAnsi"/>
        </w:rPr>
        <w:t>metánu.</w:t>
      </w:r>
    </w:p>
    <w:p w:rsidR="00D04DFB" w:rsidRPr="00F35154" w:rsidRDefault="00D04DFB" w:rsidP="00D04DFB">
      <w:pPr>
        <w:rPr>
          <w:rFonts w:asciiTheme="majorHAnsi" w:hAnsiTheme="majorHAnsi"/>
        </w:rPr>
      </w:pPr>
      <w:r w:rsidRPr="00F35154">
        <w:rPr>
          <w:rFonts w:asciiTheme="majorHAnsi" w:hAnsiTheme="majorHAnsi"/>
        </w:rPr>
        <w:t xml:space="preserve">Klimatické scenáre predpokladajú očakávané zmeny </w:t>
      </w:r>
      <w:r w:rsidR="003A6FA4">
        <w:rPr>
          <w:rFonts w:asciiTheme="majorHAnsi" w:hAnsiTheme="majorHAnsi"/>
        </w:rPr>
        <w:t>klímy</w:t>
      </w:r>
      <w:r w:rsidR="005C6393">
        <w:rPr>
          <w:rFonts w:asciiTheme="majorHAnsi" w:hAnsiTheme="majorHAnsi"/>
        </w:rPr>
        <w:t xml:space="preserve"> </w:t>
      </w:r>
      <w:r w:rsidRPr="00F35154">
        <w:rPr>
          <w:rFonts w:asciiTheme="majorHAnsi" w:hAnsiTheme="majorHAnsi"/>
        </w:rPr>
        <w:t>do roku 2100</w:t>
      </w:r>
      <w:r w:rsidRPr="00BA185A">
        <w:rPr>
          <w:rFonts w:asciiTheme="majorHAnsi" w:hAnsiTheme="majorHAnsi"/>
          <w:vertAlign w:val="superscript"/>
        </w:rPr>
        <w:footnoteReference w:id="187"/>
      </w:r>
      <w:r w:rsidRPr="00F35154">
        <w:rPr>
          <w:rFonts w:asciiTheme="majorHAnsi" w:hAnsiTheme="majorHAnsi"/>
          <w:vertAlign w:val="superscript"/>
        </w:rPr>
        <w:t xml:space="preserve"> </w:t>
      </w:r>
      <w:r w:rsidRPr="00F35154">
        <w:rPr>
          <w:rFonts w:asciiTheme="majorHAnsi" w:hAnsiTheme="majorHAnsi"/>
        </w:rPr>
        <w:t>prostredníctvom ktorých sa ovplyvnia aj vlastnosti pôd SR, napr.: zvýšením podielu pôd trpiacich suchom (potreba budovania závlahových sústav a</w:t>
      </w:r>
      <w:r w:rsidR="005C6393">
        <w:rPr>
          <w:rFonts w:asciiTheme="majorHAnsi" w:hAnsiTheme="majorHAnsi"/>
        </w:rPr>
        <w:t> </w:t>
      </w:r>
      <w:r w:rsidRPr="00F35154">
        <w:rPr>
          <w:rFonts w:asciiTheme="majorHAnsi" w:hAnsiTheme="majorHAnsi"/>
        </w:rPr>
        <w:t>retenčných</w:t>
      </w:r>
      <w:r w:rsidR="005C6393">
        <w:rPr>
          <w:rFonts w:asciiTheme="majorHAnsi" w:hAnsiTheme="majorHAnsi"/>
        </w:rPr>
        <w:t xml:space="preserve"> </w:t>
      </w:r>
      <w:r w:rsidRPr="00F35154">
        <w:rPr>
          <w:rFonts w:asciiTheme="majorHAnsi" w:hAnsiTheme="majorHAnsi"/>
        </w:rPr>
        <w:t>nádrží na povrchovú vodu), rozšírením ohrozenosti pôd častejšími a</w:t>
      </w:r>
      <w:r w:rsidR="005C6393">
        <w:rPr>
          <w:rFonts w:asciiTheme="majorHAnsi" w:hAnsiTheme="majorHAnsi"/>
        </w:rPr>
        <w:t> </w:t>
      </w:r>
      <w:r w:rsidRPr="00F35154">
        <w:rPr>
          <w:rFonts w:asciiTheme="majorHAnsi" w:hAnsiTheme="majorHAnsi"/>
        </w:rPr>
        <w:t>intenzívnejšími lokálnymi splachmi pôdy a</w:t>
      </w:r>
      <w:r w:rsidR="005C6393">
        <w:rPr>
          <w:rFonts w:asciiTheme="majorHAnsi" w:hAnsiTheme="majorHAnsi"/>
        </w:rPr>
        <w:t> </w:t>
      </w:r>
      <w:r w:rsidRPr="00F35154">
        <w:rPr>
          <w:rFonts w:asciiTheme="majorHAnsi" w:hAnsiTheme="majorHAnsi"/>
        </w:rPr>
        <w:t>záplavami. Ochrana pôdy, poľnohospodárstvo a</w:t>
      </w:r>
      <w:r w:rsidR="005C6393">
        <w:rPr>
          <w:rFonts w:asciiTheme="majorHAnsi" w:hAnsiTheme="majorHAnsi"/>
        </w:rPr>
        <w:t> </w:t>
      </w:r>
      <w:r w:rsidRPr="00F35154">
        <w:rPr>
          <w:rFonts w:asciiTheme="majorHAnsi" w:hAnsiTheme="majorHAnsi"/>
        </w:rPr>
        <w:t>ochrana krajiny pred extrémami vodného režimu sa nezaobídu bez preventívnych opatrení na zníženie následkov záplav a zamokrenia.</w:t>
      </w:r>
    </w:p>
    <w:p w:rsidR="00D04DFB" w:rsidRPr="00F35154" w:rsidRDefault="00D04DFB" w:rsidP="00D04DFB">
      <w:pPr>
        <w:rPr>
          <w:rFonts w:asciiTheme="majorHAnsi" w:hAnsiTheme="majorHAnsi"/>
        </w:rPr>
      </w:pPr>
      <w:r w:rsidRPr="00F35154">
        <w:rPr>
          <w:rFonts w:asciiTheme="majorHAnsi" w:hAnsiTheme="majorHAnsi"/>
        </w:rPr>
        <w:t>Rovnaká situácia je prítomná aj v lesnom hospodárstve, zmeny teplotných a vlahových podmienok, vlastností pôd lesných porastov, ako aj zvyšujúci sa výskyt chorôb a škodcov v lesoch sa prejavuje zhoršujúcim sa zdravotným stavom lesa. Viac ako 50 % lesov je v</w:t>
      </w:r>
      <w:r w:rsidR="005C6393">
        <w:rPr>
          <w:rFonts w:asciiTheme="majorHAnsi" w:hAnsiTheme="majorHAnsi"/>
        </w:rPr>
        <w:t> </w:t>
      </w:r>
      <w:r w:rsidRPr="00F35154">
        <w:rPr>
          <w:rFonts w:asciiTheme="majorHAnsi" w:hAnsiTheme="majorHAnsi"/>
        </w:rPr>
        <w:t>stred</w:t>
      </w:r>
      <w:r w:rsidR="000D3D07">
        <w:rPr>
          <w:rFonts w:asciiTheme="majorHAnsi" w:hAnsiTheme="majorHAnsi"/>
        </w:rPr>
        <w:t>n</w:t>
      </w:r>
      <w:r w:rsidRPr="00F35154">
        <w:rPr>
          <w:rFonts w:asciiTheme="majorHAnsi" w:hAnsiTheme="majorHAnsi"/>
        </w:rPr>
        <w:t>om a</w:t>
      </w:r>
      <w:r w:rsidR="005C6393">
        <w:rPr>
          <w:rFonts w:asciiTheme="majorHAnsi" w:hAnsiTheme="majorHAnsi"/>
        </w:rPr>
        <w:t> </w:t>
      </w:r>
      <w:r w:rsidRPr="00F35154">
        <w:rPr>
          <w:rFonts w:asciiTheme="majorHAnsi" w:hAnsiTheme="majorHAnsi"/>
        </w:rPr>
        <w:t>vyššom stupni poškodenia</w:t>
      </w:r>
      <w:r w:rsidR="00F6104B">
        <w:rPr>
          <w:rFonts w:asciiTheme="majorHAnsi" w:hAnsiTheme="majorHAnsi"/>
        </w:rPr>
        <w:t>,</w:t>
      </w:r>
      <w:r w:rsidRPr="00F35154">
        <w:rPr>
          <w:rFonts w:asciiTheme="majorHAnsi" w:hAnsiTheme="majorHAnsi"/>
        </w:rPr>
        <w:t xml:space="preserve"> o čom svedčí objem náhodných ťažieb, ktorých výška pravidelne presahuje 50 % celkového objemu ťažieb dreva (napr.</w:t>
      </w:r>
      <w:r>
        <w:rPr>
          <w:rFonts w:asciiTheme="majorHAnsi" w:hAnsiTheme="majorHAnsi"/>
        </w:rPr>
        <w:t>: v</w:t>
      </w:r>
      <w:r w:rsidR="005C6393">
        <w:rPr>
          <w:rFonts w:asciiTheme="majorHAnsi" w:hAnsiTheme="majorHAnsi"/>
        </w:rPr>
        <w:t> </w:t>
      </w:r>
      <w:r w:rsidRPr="001A4331">
        <w:rPr>
          <w:rFonts w:asciiTheme="majorHAnsi" w:hAnsiTheme="majorHAnsi"/>
        </w:rPr>
        <w:t>r. 2011 to bolo až 52 %</w:t>
      </w:r>
      <w:r w:rsidRPr="00F35154">
        <w:rPr>
          <w:rFonts w:asciiTheme="majorHAnsi" w:hAnsiTheme="majorHAnsi"/>
        </w:rPr>
        <w:t>). Pre stabilizáciu podmienok na lesnej pôde je potrebné sa zamerať na podporu obnovných a preventívnych opatrení na lesnej pôde</w:t>
      </w:r>
      <w:r w:rsidR="000E45B9">
        <w:rPr>
          <w:rFonts w:asciiTheme="majorHAnsi" w:hAnsiTheme="majorHAnsi"/>
        </w:rPr>
        <w:t>,</w:t>
      </w:r>
      <w:r w:rsidR="00E24893" w:rsidRPr="00E24893">
        <w:rPr>
          <w:rFonts w:asciiTheme="majorHAnsi" w:hAnsiTheme="majorHAnsi"/>
        </w:rPr>
        <w:t xml:space="preserve"> </w:t>
      </w:r>
      <w:r w:rsidR="000E45B9" w:rsidRPr="000E45B9">
        <w:rPr>
          <w:rFonts w:asciiTheme="majorHAnsi" w:hAnsiTheme="majorHAnsi"/>
        </w:rPr>
        <w:t>ako aj na zavádzanie šetrných postupov pri obhospodarovaní lesa, ekologických postupov pri náhodných ťažbách, aby neviedli k ďalšiemu poškodeniu lesných ekosystémov. Zdravotný stav lesov SR je rovnako ohrozený lesnými požiarmi. Na území SR za posledné roky (2003</w:t>
      </w:r>
      <w:r w:rsidR="005C6393">
        <w:rPr>
          <w:rFonts w:asciiTheme="majorHAnsi" w:hAnsiTheme="majorHAnsi"/>
        </w:rPr>
        <w:t xml:space="preserve"> – </w:t>
      </w:r>
      <w:r w:rsidR="000E45B9" w:rsidRPr="000E45B9">
        <w:rPr>
          <w:rFonts w:asciiTheme="majorHAnsi" w:hAnsiTheme="majorHAnsi"/>
        </w:rPr>
        <w:t>2012) vypuklo 3</w:t>
      </w:r>
      <w:r w:rsidR="005C6393">
        <w:rPr>
          <w:rFonts w:asciiTheme="majorHAnsi" w:hAnsiTheme="majorHAnsi"/>
        </w:rPr>
        <w:t xml:space="preserve"> </w:t>
      </w:r>
      <w:r w:rsidR="000E45B9" w:rsidRPr="000E45B9">
        <w:rPr>
          <w:rFonts w:asciiTheme="majorHAnsi" w:hAnsiTheme="majorHAnsi"/>
        </w:rPr>
        <w:t>626 požiarov, ktoré spôsobili priamu škodu v lesoch vo výške 10 665 079 E</w:t>
      </w:r>
      <w:r w:rsidR="00D41AC0">
        <w:rPr>
          <w:rFonts w:asciiTheme="majorHAnsi" w:hAnsiTheme="majorHAnsi"/>
        </w:rPr>
        <w:t>UR</w:t>
      </w:r>
      <w:r w:rsidR="000E45B9" w:rsidRPr="000E45B9">
        <w:rPr>
          <w:rFonts w:asciiTheme="majorHAnsi" w:hAnsiTheme="majorHAnsi"/>
        </w:rPr>
        <w:t xml:space="preserve">. V poslednom roku 2013 to bolo len v rámci štátnych lesov 453 požiarov za toto obdobie. Náklady na hasenie lesných požiarov </w:t>
      </w:r>
      <w:r w:rsidR="000E45B9" w:rsidRPr="004274FF">
        <w:rPr>
          <w:rFonts w:asciiTheme="majorHAnsi" w:hAnsiTheme="majorHAnsi"/>
        </w:rPr>
        <w:t>finančne zaťažujú</w:t>
      </w:r>
      <w:r w:rsidR="001A0A68" w:rsidRPr="004274FF">
        <w:rPr>
          <w:rFonts w:asciiTheme="majorHAnsi" w:hAnsiTheme="majorHAnsi"/>
        </w:rPr>
        <w:t>,</w:t>
      </w:r>
      <w:r w:rsidR="000E45B9" w:rsidRPr="004274FF">
        <w:rPr>
          <w:rFonts w:asciiTheme="majorHAnsi" w:hAnsiTheme="majorHAnsi"/>
        </w:rPr>
        <w:t xml:space="preserve"> ale aj sťažujú možnosti obhospodarovania lesov</w:t>
      </w:r>
      <w:r w:rsidR="00760AC7" w:rsidRPr="004274FF">
        <w:rPr>
          <w:rFonts w:asciiTheme="majorHAnsi" w:hAnsiTheme="majorHAnsi"/>
        </w:rPr>
        <w:t xml:space="preserve">. </w:t>
      </w:r>
      <w:r w:rsidR="000E45B9" w:rsidRPr="004274FF">
        <w:rPr>
          <w:rFonts w:asciiTheme="majorHAnsi" w:hAnsiTheme="majorHAnsi"/>
        </w:rPr>
        <w:t>SR, podobne ako iné štáty v</w:t>
      </w:r>
      <w:r w:rsidR="005C6393" w:rsidRPr="004274FF">
        <w:rPr>
          <w:rFonts w:asciiTheme="majorHAnsi" w:hAnsiTheme="majorHAnsi"/>
        </w:rPr>
        <w:t> </w:t>
      </w:r>
      <w:r w:rsidR="000E45B9" w:rsidRPr="004274FF">
        <w:rPr>
          <w:rFonts w:asciiTheme="majorHAnsi" w:hAnsiTheme="majorHAnsi"/>
        </w:rPr>
        <w:t>stredoeurópskom</w:t>
      </w:r>
      <w:r w:rsidR="005C6393" w:rsidRPr="004274FF">
        <w:rPr>
          <w:rFonts w:asciiTheme="majorHAnsi" w:hAnsiTheme="majorHAnsi"/>
        </w:rPr>
        <w:t xml:space="preserve"> </w:t>
      </w:r>
      <w:r w:rsidR="000E45B9" w:rsidRPr="004274FF">
        <w:rPr>
          <w:rFonts w:asciiTheme="majorHAnsi" w:hAnsiTheme="majorHAnsi"/>
        </w:rPr>
        <w:t>priestore, má nadpriemerne prepojený systém individuálnej a kolektívnej rekreácie s prírodným prostredím. Úzke prepojenie s lesom je aj vo vzťahu k</w:t>
      </w:r>
      <w:r w:rsidR="005C6393" w:rsidRPr="004274FF">
        <w:rPr>
          <w:rFonts w:asciiTheme="majorHAnsi" w:hAnsiTheme="majorHAnsi"/>
        </w:rPr>
        <w:t> </w:t>
      </w:r>
      <w:r w:rsidR="000E45B9" w:rsidRPr="004274FF">
        <w:rPr>
          <w:rFonts w:asciiTheme="majorHAnsi" w:hAnsiTheme="majorHAnsi"/>
        </w:rPr>
        <w:t>intravilánu a extravilánu jednotlivých obcí. Preto je nevyhnutné v podmienkach SR podporovať protipožiarnu ochranu, ktorá predchádza týmto následkom</w:t>
      </w:r>
      <w:r w:rsidR="00133857" w:rsidRPr="004274FF">
        <w:rPr>
          <w:rFonts w:ascii="Calibri" w:eastAsia="MS Mincho" w:hAnsi="Calibri"/>
        </w:rPr>
        <w:t xml:space="preserve">, avšak </w:t>
      </w:r>
      <w:r w:rsidR="0083011B" w:rsidRPr="004274FF">
        <w:rPr>
          <w:rFonts w:ascii="Calibri" w:eastAsia="MS Mincho" w:hAnsi="Calibri"/>
        </w:rPr>
        <w:t>len v určitých</w:t>
      </w:r>
      <w:r w:rsidR="00133857" w:rsidRPr="004274FF">
        <w:rPr>
          <w:rFonts w:ascii="Calibri" w:eastAsia="MS Mincho" w:hAnsi="Calibri"/>
        </w:rPr>
        <w:t xml:space="preserve"> oblast</w:t>
      </w:r>
      <w:r w:rsidR="0083011B" w:rsidRPr="004274FF">
        <w:rPr>
          <w:rFonts w:ascii="Calibri" w:eastAsia="MS Mincho" w:hAnsi="Calibri"/>
        </w:rPr>
        <w:t>iach</w:t>
      </w:r>
      <w:r w:rsidR="00133857" w:rsidRPr="004274FF">
        <w:rPr>
          <w:rFonts w:ascii="Calibri" w:eastAsia="MS Mincho" w:hAnsi="Calibri"/>
        </w:rPr>
        <w:t xml:space="preserve">, </w:t>
      </w:r>
      <w:r w:rsidR="0083011B" w:rsidRPr="004274FF">
        <w:rPr>
          <w:rFonts w:ascii="Calibri" w:eastAsia="MS Mincho" w:hAnsi="Calibri"/>
        </w:rPr>
        <w:t>berúc do úvahy</w:t>
      </w:r>
      <w:r w:rsidR="00133857" w:rsidRPr="004274FF">
        <w:rPr>
          <w:rFonts w:ascii="Calibri" w:eastAsia="MS Mincho" w:hAnsi="Calibri"/>
        </w:rPr>
        <w:t xml:space="preserve"> rozsah ohrozenia lesný</w:t>
      </w:r>
      <w:r w:rsidR="0083011B" w:rsidRPr="004274FF">
        <w:rPr>
          <w:rFonts w:ascii="Calibri" w:eastAsia="MS Mincho" w:hAnsi="Calibri"/>
        </w:rPr>
        <w:t>mi</w:t>
      </w:r>
      <w:r w:rsidR="00133857" w:rsidRPr="004274FF">
        <w:rPr>
          <w:rFonts w:ascii="Calibri" w:eastAsia="MS Mincho" w:hAnsi="Calibri"/>
        </w:rPr>
        <w:t xml:space="preserve"> požiar</w:t>
      </w:r>
      <w:r w:rsidR="0083011B" w:rsidRPr="004274FF">
        <w:rPr>
          <w:rFonts w:ascii="Calibri" w:eastAsia="MS Mincho" w:hAnsi="Calibri"/>
        </w:rPr>
        <w:t xml:space="preserve">mi </w:t>
      </w:r>
      <w:r w:rsidR="00133857" w:rsidRPr="004274FF">
        <w:rPr>
          <w:rFonts w:ascii="Calibri" w:eastAsia="MS Mincho" w:hAnsi="Calibri"/>
        </w:rPr>
        <w:t xml:space="preserve"> a</w:t>
      </w:r>
      <w:r w:rsidR="0083011B" w:rsidRPr="004274FF">
        <w:rPr>
          <w:rFonts w:ascii="Calibri" w:eastAsia="MS Mincho" w:hAnsi="Calibri"/>
        </w:rPr>
        <w:t> veľkú sumu  finančných</w:t>
      </w:r>
      <w:r w:rsidR="00133857" w:rsidRPr="004274FF">
        <w:rPr>
          <w:rFonts w:ascii="Calibri" w:eastAsia="MS Mincho" w:hAnsi="Calibri"/>
        </w:rPr>
        <w:t xml:space="preserve"> prostriedkov </w:t>
      </w:r>
      <w:r w:rsidR="0083011B" w:rsidRPr="004274FF">
        <w:rPr>
          <w:rFonts w:ascii="Calibri" w:eastAsia="MS Mincho" w:hAnsi="Calibri"/>
        </w:rPr>
        <w:t xml:space="preserve">už investovaných </w:t>
      </w:r>
      <w:r w:rsidR="00133857" w:rsidRPr="004274FF">
        <w:rPr>
          <w:rFonts w:ascii="Calibri" w:eastAsia="MS Mincho" w:hAnsi="Calibri"/>
        </w:rPr>
        <w:t>v programovom období 2007 – 2013. Z tohto dôvodu</w:t>
      </w:r>
      <w:r w:rsidR="0083011B" w:rsidRPr="004274FF">
        <w:rPr>
          <w:rFonts w:ascii="Calibri" w:eastAsia="MS Mincho" w:hAnsi="Calibri"/>
        </w:rPr>
        <w:t>, ako i</w:t>
      </w:r>
      <w:r w:rsidR="00133857" w:rsidRPr="004274FF">
        <w:rPr>
          <w:rFonts w:ascii="Calibri" w:eastAsia="MS Mincho" w:hAnsi="Calibri"/>
        </w:rPr>
        <w:t xml:space="preserve"> vzhľadom </w:t>
      </w:r>
      <w:r w:rsidR="0083011B" w:rsidRPr="004274FF">
        <w:rPr>
          <w:rFonts w:ascii="Calibri" w:eastAsia="MS Mincho" w:hAnsi="Calibri"/>
        </w:rPr>
        <w:t>na</w:t>
      </w:r>
      <w:r w:rsidR="00133857" w:rsidRPr="004274FF">
        <w:rPr>
          <w:rFonts w:ascii="Calibri" w:eastAsia="MS Mincho" w:hAnsi="Calibri"/>
        </w:rPr>
        <w:t xml:space="preserve"> zistenia </w:t>
      </w:r>
      <w:r w:rsidR="0083011B" w:rsidRPr="004274FF">
        <w:rPr>
          <w:rFonts w:ascii="Calibri" w:eastAsia="MS Mincho" w:hAnsi="Calibri"/>
        </w:rPr>
        <w:t>O</w:t>
      </w:r>
      <w:r w:rsidR="00133857" w:rsidRPr="004274FF">
        <w:rPr>
          <w:rFonts w:ascii="Calibri" w:eastAsia="MS Mincho" w:hAnsi="Calibri"/>
        </w:rPr>
        <w:t>sobitnej správy</w:t>
      </w:r>
      <w:r w:rsidR="0083011B" w:rsidRPr="004274FF">
        <w:rPr>
          <w:rFonts w:ascii="Calibri" w:eastAsia="MS Mincho" w:hAnsi="Calibri"/>
        </w:rPr>
        <w:t xml:space="preserve"> Európskeho d</w:t>
      </w:r>
      <w:r w:rsidR="00133857" w:rsidRPr="004274FF">
        <w:rPr>
          <w:rFonts w:ascii="Calibri" w:eastAsia="MS Mincho" w:hAnsi="Calibri"/>
        </w:rPr>
        <w:t xml:space="preserve">vora audítorov č. 24/2014: „Je podpora </w:t>
      </w:r>
      <w:r w:rsidR="0083011B" w:rsidRPr="004274FF">
        <w:rPr>
          <w:rFonts w:ascii="Calibri" w:eastAsia="MS Mincho" w:hAnsi="Calibri"/>
        </w:rPr>
        <w:t xml:space="preserve">EÚ na </w:t>
      </w:r>
      <w:r w:rsidR="00133857" w:rsidRPr="004274FF">
        <w:rPr>
          <w:rFonts w:ascii="Calibri" w:eastAsia="MS Mincho" w:hAnsi="Calibri"/>
        </w:rPr>
        <w:t>prevenci</w:t>
      </w:r>
      <w:r w:rsidR="0083011B" w:rsidRPr="004274FF">
        <w:rPr>
          <w:rFonts w:ascii="Calibri" w:eastAsia="MS Mincho" w:hAnsi="Calibri"/>
        </w:rPr>
        <w:t>u</w:t>
      </w:r>
      <w:r w:rsidR="00133857" w:rsidRPr="004274FF">
        <w:rPr>
          <w:rFonts w:ascii="Calibri" w:eastAsia="MS Mincho" w:hAnsi="Calibri"/>
        </w:rPr>
        <w:t xml:space="preserve"> a</w:t>
      </w:r>
      <w:r w:rsidR="0083011B" w:rsidRPr="004274FF">
        <w:rPr>
          <w:rFonts w:ascii="Calibri" w:eastAsia="MS Mincho" w:hAnsi="Calibri"/>
        </w:rPr>
        <w:t> </w:t>
      </w:r>
      <w:r w:rsidR="00133857" w:rsidRPr="004274FF">
        <w:rPr>
          <w:rFonts w:ascii="Calibri" w:eastAsia="MS Mincho" w:hAnsi="Calibri"/>
        </w:rPr>
        <w:t>obnov</w:t>
      </w:r>
      <w:r w:rsidR="0083011B" w:rsidRPr="004274FF">
        <w:rPr>
          <w:rFonts w:ascii="Calibri" w:eastAsia="MS Mincho" w:hAnsi="Calibri"/>
        </w:rPr>
        <w:t>u  škôd v </w:t>
      </w:r>
      <w:r w:rsidR="00133857" w:rsidRPr="004274FF">
        <w:rPr>
          <w:rFonts w:ascii="Calibri" w:eastAsia="MS Mincho" w:hAnsi="Calibri"/>
        </w:rPr>
        <w:t>leso</w:t>
      </w:r>
      <w:r w:rsidR="0083011B" w:rsidRPr="004274FF">
        <w:rPr>
          <w:rFonts w:ascii="Calibri" w:eastAsia="MS Mincho" w:hAnsi="Calibri"/>
        </w:rPr>
        <w:t>ch spôsobených</w:t>
      </w:r>
      <w:r w:rsidR="00133857" w:rsidRPr="004274FF">
        <w:rPr>
          <w:rFonts w:ascii="Calibri" w:eastAsia="MS Mincho" w:hAnsi="Calibri"/>
        </w:rPr>
        <w:t xml:space="preserve"> požiarmi a prírodnými katastrofami dobre riadená?“, sa </w:t>
      </w:r>
      <w:r w:rsidR="0083011B" w:rsidRPr="004274FF">
        <w:rPr>
          <w:rFonts w:ascii="Calibri" w:eastAsia="MS Mincho" w:hAnsi="Calibri"/>
        </w:rPr>
        <w:t>proti</w:t>
      </w:r>
      <w:r w:rsidR="00133857" w:rsidRPr="004274FF">
        <w:rPr>
          <w:rFonts w:ascii="Calibri" w:eastAsia="MS Mincho" w:hAnsi="Calibri"/>
        </w:rPr>
        <w:t>požiarn</w:t>
      </w:r>
      <w:r w:rsidR="004274FF">
        <w:rPr>
          <w:rFonts w:ascii="Calibri" w:eastAsia="MS Mincho" w:hAnsi="Calibri"/>
        </w:rPr>
        <w:t>e</w:t>
      </w:r>
      <w:r w:rsidR="00133857" w:rsidRPr="004274FF">
        <w:rPr>
          <w:rFonts w:ascii="Calibri" w:eastAsia="MS Mincho" w:hAnsi="Calibri"/>
        </w:rPr>
        <w:t xml:space="preserve"> lesn</w:t>
      </w:r>
      <w:r w:rsidR="0083011B" w:rsidRPr="004274FF">
        <w:rPr>
          <w:rFonts w:ascii="Calibri" w:eastAsia="MS Mincho" w:hAnsi="Calibri"/>
        </w:rPr>
        <w:t>é</w:t>
      </w:r>
      <w:r w:rsidR="004274FF">
        <w:rPr>
          <w:rFonts w:ascii="Calibri" w:eastAsia="MS Mincho" w:hAnsi="Calibri"/>
        </w:rPr>
        <w:t xml:space="preserve"> </w:t>
      </w:r>
      <w:r w:rsidR="00133857" w:rsidRPr="004274FF">
        <w:rPr>
          <w:rFonts w:ascii="Calibri" w:eastAsia="MS Mincho" w:hAnsi="Calibri"/>
        </w:rPr>
        <w:t>cest</w:t>
      </w:r>
      <w:r w:rsidR="0083011B" w:rsidRPr="004274FF">
        <w:rPr>
          <w:rFonts w:ascii="Calibri" w:eastAsia="MS Mincho" w:hAnsi="Calibri"/>
        </w:rPr>
        <w:t>y</w:t>
      </w:r>
      <w:r w:rsidR="00133857" w:rsidRPr="004274FF">
        <w:rPr>
          <w:rFonts w:ascii="Calibri" w:eastAsia="MS Mincho" w:hAnsi="Calibri"/>
        </w:rPr>
        <w:t xml:space="preserve"> považuj</w:t>
      </w:r>
      <w:r w:rsidR="0083011B" w:rsidRPr="004274FF">
        <w:rPr>
          <w:rFonts w:ascii="Calibri" w:eastAsia="MS Mincho" w:hAnsi="Calibri"/>
        </w:rPr>
        <w:t>ú</w:t>
      </w:r>
      <w:r w:rsidR="00133857" w:rsidRPr="004274FF">
        <w:rPr>
          <w:rFonts w:ascii="Calibri" w:eastAsia="MS Mincho" w:hAnsi="Calibri"/>
        </w:rPr>
        <w:t xml:space="preserve"> za oprávnen</w:t>
      </w:r>
      <w:r w:rsidR="0083011B" w:rsidRPr="004274FF">
        <w:rPr>
          <w:rFonts w:ascii="Calibri" w:eastAsia="MS Mincho" w:hAnsi="Calibri"/>
        </w:rPr>
        <w:t>é</w:t>
      </w:r>
      <w:r w:rsidR="00133857" w:rsidRPr="004274FF">
        <w:rPr>
          <w:rFonts w:ascii="Calibri" w:eastAsia="MS Mincho" w:hAnsi="Calibri"/>
        </w:rPr>
        <w:t xml:space="preserve"> len v prípade investícii </w:t>
      </w:r>
      <w:r w:rsidR="0083011B" w:rsidRPr="004274FF">
        <w:rPr>
          <w:rFonts w:ascii="Calibri" w:eastAsia="MS Mincho" w:hAnsi="Calibri"/>
        </w:rPr>
        <w:t>do</w:t>
      </w:r>
      <w:r w:rsidR="00133857" w:rsidRPr="004274FF">
        <w:rPr>
          <w:rFonts w:ascii="Calibri" w:eastAsia="MS Mincho" w:hAnsi="Calibri"/>
        </w:rPr>
        <w:t xml:space="preserve"> úseko</w:t>
      </w:r>
      <w:r w:rsidR="0083011B" w:rsidRPr="004274FF">
        <w:rPr>
          <w:rFonts w:ascii="Calibri" w:eastAsia="MS Mincho" w:hAnsi="Calibri"/>
        </w:rPr>
        <w:t>v</w:t>
      </w:r>
      <w:r w:rsidR="00133857" w:rsidRPr="004274FF">
        <w:rPr>
          <w:rFonts w:ascii="Calibri" w:eastAsia="MS Mincho" w:hAnsi="Calibri"/>
        </w:rPr>
        <w:t xml:space="preserve">, ktoré sú potrebné na napojenie sa na </w:t>
      </w:r>
      <w:r w:rsidR="0083011B" w:rsidRPr="004274FF">
        <w:rPr>
          <w:rFonts w:ascii="Calibri" w:eastAsia="MS Mincho" w:hAnsi="Calibri"/>
        </w:rPr>
        <w:t xml:space="preserve">existujúcu </w:t>
      </w:r>
      <w:r w:rsidR="00133857" w:rsidRPr="004274FF">
        <w:rPr>
          <w:rFonts w:ascii="Calibri" w:eastAsia="MS Mincho" w:hAnsi="Calibri"/>
        </w:rPr>
        <w:t>sieť  lesných ciest a</w:t>
      </w:r>
      <w:r w:rsidR="0083011B" w:rsidRPr="004274FF">
        <w:rPr>
          <w:rFonts w:ascii="Calibri" w:eastAsia="MS Mincho" w:hAnsi="Calibri"/>
        </w:rPr>
        <w:t xml:space="preserve"> do</w:t>
      </w:r>
      <w:r w:rsidR="00133857" w:rsidRPr="004274FF">
        <w:rPr>
          <w:rFonts w:ascii="Calibri" w:eastAsia="MS Mincho" w:hAnsi="Calibri"/>
        </w:rPr>
        <w:t xml:space="preserve"> obnov</w:t>
      </w:r>
      <w:r w:rsidR="0083011B" w:rsidRPr="004274FF">
        <w:rPr>
          <w:rFonts w:ascii="Calibri" w:eastAsia="MS Mincho" w:hAnsi="Calibri"/>
        </w:rPr>
        <w:t>y</w:t>
      </w:r>
      <w:r w:rsidR="00133857" w:rsidRPr="004274FF">
        <w:rPr>
          <w:rFonts w:ascii="Calibri" w:eastAsia="MS Mincho" w:hAnsi="Calibri"/>
        </w:rPr>
        <w:t xml:space="preserve"> siet</w:t>
      </w:r>
      <w:r w:rsidR="002112EB" w:rsidRPr="004274FF">
        <w:rPr>
          <w:rFonts w:ascii="Calibri" w:eastAsia="MS Mincho" w:hAnsi="Calibri"/>
        </w:rPr>
        <w:t>e</w:t>
      </w:r>
      <w:r w:rsidR="00133857" w:rsidRPr="004274FF">
        <w:rPr>
          <w:rFonts w:ascii="Calibri" w:eastAsia="MS Mincho" w:hAnsi="Calibri"/>
        </w:rPr>
        <w:t xml:space="preserve"> lesných ciest </w:t>
      </w:r>
      <w:r w:rsidR="002112EB" w:rsidRPr="004274FF">
        <w:rPr>
          <w:rFonts w:ascii="Calibri" w:eastAsia="MS Mincho" w:hAnsi="Calibri"/>
        </w:rPr>
        <w:t xml:space="preserve">a sú </w:t>
      </w:r>
      <w:r w:rsidR="00133857" w:rsidRPr="004274FF">
        <w:rPr>
          <w:rFonts w:ascii="Calibri" w:eastAsia="MS Mincho" w:hAnsi="Calibri"/>
        </w:rPr>
        <w:t xml:space="preserve"> v súlade so zásadami nákladovej efektívnosti a udržateľnosti. Nové alebo rekonštruované cesty môžu byť oprávnené iba vtedy</w:t>
      </w:r>
      <w:r w:rsidR="0045695F" w:rsidRPr="004274FF">
        <w:rPr>
          <w:rFonts w:ascii="Calibri" w:eastAsia="MS Mincho" w:hAnsi="Calibri"/>
        </w:rPr>
        <w:t>,</w:t>
      </w:r>
      <w:r w:rsidR="00133857" w:rsidRPr="004274FF">
        <w:rPr>
          <w:rFonts w:ascii="Calibri" w:eastAsia="MS Mincho" w:hAnsi="Calibri"/>
        </w:rPr>
        <w:t xml:space="preserve"> ak sú </w:t>
      </w:r>
      <w:r w:rsidR="002112EB" w:rsidRPr="004274FF">
        <w:rPr>
          <w:rFonts w:ascii="Calibri" w:eastAsia="MS Mincho" w:hAnsi="Calibri"/>
        </w:rPr>
        <w:t xml:space="preserve">napojené </w:t>
      </w:r>
      <w:r w:rsidR="00133857" w:rsidRPr="004274FF">
        <w:rPr>
          <w:rFonts w:ascii="Calibri" w:eastAsia="MS Mincho" w:hAnsi="Calibri"/>
        </w:rPr>
        <w:t>na existujúc</w:t>
      </w:r>
      <w:r w:rsidR="002112EB" w:rsidRPr="004274FF">
        <w:rPr>
          <w:rFonts w:ascii="Calibri" w:eastAsia="MS Mincho" w:hAnsi="Calibri"/>
        </w:rPr>
        <w:t xml:space="preserve">u sieť </w:t>
      </w:r>
      <w:r w:rsidR="00133857" w:rsidRPr="004274FF">
        <w:rPr>
          <w:rFonts w:ascii="Calibri" w:eastAsia="MS Mincho" w:hAnsi="Calibri"/>
        </w:rPr>
        <w:t xml:space="preserve"> lesn</w:t>
      </w:r>
      <w:r w:rsidR="002112EB" w:rsidRPr="004274FF">
        <w:rPr>
          <w:rFonts w:ascii="Calibri" w:eastAsia="MS Mincho" w:hAnsi="Calibri"/>
        </w:rPr>
        <w:t>ých</w:t>
      </w:r>
      <w:r w:rsidR="006A783F" w:rsidRPr="004274FF">
        <w:rPr>
          <w:rFonts w:ascii="Calibri" w:eastAsia="MS Mincho" w:hAnsi="Calibri"/>
        </w:rPr>
        <w:t xml:space="preserve"> ciest</w:t>
      </w:r>
      <w:r w:rsidR="00133857" w:rsidRPr="004274FF">
        <w:rPr>
          <w:rFonts w:ascii="Calibri" w:eastAsia="MS Mincho" w:hAnsi="Calibri"/>
        </w:rPr>
        <w:t xml:space="preserve"> alebo </w:t>
      </w:r>
      <w:r w:rsidR="006A783F" w:rsidRPr="004274FF">
        <w:rPr>
          <w:rFonts w:ascii="Calibri" w:eastAsia="MS Mincho" w:hAnsi="Calibri"/>
        </w:rPr>
        <w:t xml:space="preserve">sú jej </w:t>
      </w:r>
      <w:r w:rsidR="00133857" w:rsidRPr="004274FF">
        <w:rPr>
          <w:rFonts w:ascii="Calibri" w:eastAsia="MS Mincho" w:hAnsi="Calibri"/>
        </w:rPr>
        <w:t xml:space="preserve"> súčasť</w:t>
      </w:r>
      <w:r w:rsidR="006A783F" w:rsidRPr="004274FF">
        <w:rPr>
          <w:rFonts w:ascii="Calibri" w:eastAsia="MS Mincho" w:hAnsi="Calibri"/>
        </w:rPr>
        <w:t>ou</w:t>
      </w:r>
      <w:r w:rsidRPr="004274FF">
        <w:rPr>
          <w:rFonts w:asciiTheme="majorHAnsi" w:hAnsiTheme="majorHAnsi"/>
        </w:rPr>
        <w:t>.</w:t>
      </w:r>
    </w:p>
    <w:p w:rsidR="0057104A" w:rsidRDefault="0057104A" w:rsidP="00D04DFB">
      <w:pPr>
        <w:rPr>
          <w:rFonts w:asciiTheme="majorHAnsi" w:hAnsiTheme="majorHAnsi"/>
        </w:rPr>
      </w:pPr>
      <w:r w:rsidRPr="00BD4F97">
        <w:rPr>
          <w:rFonts w:ascii="Calibri" w:eastAsia="MS Mincho" w:hAnsi="Calibri"/>
        </w:rPr>
        <w:t xml:space="preserve">Tieto oblasti sú v SR taxatívne určené všeobecne záväzným právnym predpisom – vyhláškou MP SR č. 453/2006 Z. z. o hospodárskej úprave lesov a ochrane lesa. Sprístupňovanie lesov predstavuje najvyššiu prioritu lesného hospodárstva SR, keďže pre podniky hospodáriace v lesoch predstavujú lesné cesty základ obhospodarovania lesov. Preto popri investíciách do protipožiarnych lesných ciest je potrebné podporiť aj investície do lesných ciest kategórií 1L a 2L, ktoré slúžia pre odvoz dreva, prístup hasičskej techniky a technologických vozidiel so súčasným zohľadňovaním cieľov ochrany </w:t>
      </w:r>
      <w:r w:rsidRPr="00BD4F97">
        <w:rPr>
          <w:rFonts w:ascii="Calibri" w:eastAsia="MS Mincho" w:hAnsi="Calibri"/>
        </w:rPr>
        <w:lastRenderedPageBreak/>
        <w:t>biodiverzity. Predovšetkým je potrebné podporiť investície do rekonštrukcie a prestavby lesných ciest z najnižšej kategórie na vyššiu, t. j. z ciest 3L na kategóriu 2L alebo 1L.</w:t>
      </w:r>
    </w:p>
    <w:p w:rsidR="00D04DFB" w:rsidRPr="00F35154" w:rsidRDefault="00D04DFB" w:rsidP="00D04DFB">
      <w:pPr>
        <w:rPr>
          <w:rFonts w:asciiTheme="majorHAnsi" w:hAnsiTheme="majorHAnsi"/>
        </w:rPr>
      </w:pPr>
      <w:r w:rsidRPr="00F35154">
        <w:rPr>
          <w:rFonts w:asciiTheme="majorHAnsi" w:hAnsiTheme="majorHAnsi"/>
        </w:rPr>
        <w:t>Závlahové systémy sú na poľnohospodárskej pôde vybudované na výmere 321 tis. ha. Vývoj klimatických podmienok v Strednej Európe, vrátane SR, signalizuje zvýšenú spotrebu vody aj pri pestovaní poľných plodín a</w:t>
      </w:r>
      <w:r w:rsidR="005C6393">
        <w:rPr>
          <w:rFonts w:asciiTheme="majorHAnsi" w:hAnsiTheme="majorHAnsi"/>
        </w:rPr>
        <w:t> </w:t>
      </w:r>
      <w:r w:rsidRPr="00F35154">
        <w:rPr>
          <w:rFonts w:asciiTheme="majorHAnsi" w:hAnsiTheme="majorHAnsi"/>
        </w:rPr>
        <w:t>v</w:t>
      </w:r>
      <w:r w:rsidR="005C6393">
        <w:rPr>
          <w:rFonts w:asciiTheme="majorHAnsi" w:hAnsiTheme="majorHAnsi"/>
        </w:rPr>
        <w:t> </w:t>
      </w:r>
      <w:r w:rsidRPr="00F35154">
        <w:rPr>
          <w:rFonts w:asciiTheme="majorHAnsi" w:hAnsiTheme="majorHAnsi"/>
        </w:rPr>
        <w:t>širšom význame aj pre zachovanie súčasných krajinných ekosystémov. Pre pokračovanie poľnohospodárstva bude nevyhnuté zvýšenie využívania závlah a</w:t>
      </w:r>
      <w:r w:rsidR="005C6393">
        <w:rPr>
          <w:rFonts w:asciiTheme="majorHAnsi" w:hAnsiTheme="majorHAnsi"/>
        </w:rPr>
        <w:t> </w:t>
      </w:r>
      <w:r w:rsidRPr="00F35154">
        <w:rPr>
          <w:rFonts w:asciiTheme="majorHAnsi" w:hAnsiTheme="majorHAnsi"/>
        </w:rPr>
        <w:t>pr</w:t>
      </w:r>
      <w:r w:rsidR="005C6393">
        <w:rPr>
          <w:rFonts w:asciiTheme="majorHAnsi" w:hAnsiTheme="majorHAnsi"/>
        </w:rPr>
        <w:t>e</w:t>
      </w:r>
      <w:r w:rsidRPr="00F35154">
        <w:rPr>
          <w:rFonts w:asciiTheme="majorHAnsi" w:hAnsiTheme="majorHAnsi"/>
        </w:rPr>
        <w:t xml:space="preserve"> udržanie krajinných ekosystémov predovšetkým zvyšovanie retencie vody v</w:t>
      </w:r>
      <w:r w:rsidR="005C6393">
        <w:rPr>
          <w:rFonts w:asciiTheme="majorHAnsi" w:hAnsiTheme="majorHAnsi"/>
        </w:rPr>
        <w:t> </w:t>
      </w:r>
      <w:r w:rsidRPr="00F35154">
        <w:rPr>
          <w:rFonts w:asciiTheme="majorHAnsi" w:hAnsiTheme="majorHAnsi"/>
        </w:rPr>
        <w:t>pôde a</w:t>
      </w:r>
      <w:r w:rsidR="005C6393">
        <w:rPr>
          <w:rFonts w:asciiTheme="majorHAnsi" w:hAnsiTheme="majorHAnsi"/>
        </w:rPr>
        <w:t> </w:t>
      </w:r>
      <w:r w:rsidRPr="00F35154">
        <w:rPr>
          <w:rFonts w:asciiTheme="majorHAnsi" w:hAnsiTheme="majorHAnsi"/>
        </w:rPr>
        <w:t>v</w:t>
      </w:r>
      <w:r w:rsidR="005C6393">
        <w:rPr>
          <w:rFonts w:asciiTheme="majorHAnsi" w:hAnsiTheme="majorHAnsi"/>
        </w:rPr>
        <w:t> </w:t>
      </w:r>
      <w:r w:rsidRPr="00F35154">
        <w:rPr>
          <w:rFonts w:asciiTheme="majorHAnsi" w:hAnsiTheme="majorHAnsi"/>
        </w:rPr>
        <w:t>krajine a</w:t>
      </w:r>
      <w:r w:rsidR="005C6393">
        <w:rPr>
          <w:rFonts w:asciiTheme="majorHAnsi" w:hAnsiTheme="majorHAnsi"/>
        </w:rPr>
        <w:t> </w:t>
      </w:r>
      <w:r w:rsidRPr="00F35154">
        <w:rPr>
          <w:rFonts w:asciiTheme="majorHAnsi" w:hAnsiTheme="majorHAnsi"/>
        </w:rPr>
        <w:t>predchádzanie znečisteniu vôd.</w:t>
      </w:r>
    </w:p>
    <w:p w:rsidR="00D04DFB" w:rsidRPr="00F35154" w:rsidRDefault="00D04DFB" w:rsidP="00D04DFB">
      <w:pPr>
        <w:rPr>
          <w:rFonts w:asciiTheme="majorHAnsi" w:hAnsiTheme="majorHAnsi"/>
        </w:rPr>
      </w:pPr>
      <w:r w:rsidRPr="00F35154">
        <w:rPr>
          <w:rFonts w:asciiTheme="majorHAnsi" w:hAnsiTheme="majorHAnsi"/>
        </w:rPr>
        <w:t>Výskumný ústav pôdoznalectva a ochrany pôdy (ďalej len „VÚPOP“) v</w:t>
      </w:r>
      <w:r w:rsidR="005C6393">
        <w:rPr>
          <w:rFonts w:asciiTheme="majorHAnsi" w:hAnsiTheme="majorHAnsi"/>
        </w:rPr>
        <w:t> </w:t>
      </w:r>
      <w:r w:rsidRPr="00F35154">
        <w:rPr>
          <w:rFonts w:asciiTheme="majorHAnsi" w:hAnsiTheme="majorHAnsi"/>
        </w:rPr>
        <w:t>r. 2008 vypracoval dlhodobú prognózu rozšírenia výmery pôdy pod závlahami a</w:t>
      </w:r>
      <w:r w:rsidR="005C6393">
        <w:rPr>
          <w:rFonts w:asciiTheme="majorHAnsi" w:hAnsiTheme="majorHAnsi"/>
        </w:rPr>
        <w:t> </w:t>
      </w:r>
      <w:r w:rsidRPr="00F35154">
        <w:rPr>
          <w:rFonts w:asciiTheme="majorHAnsi" w:hAnsiTheme="majorHAnsi"/>
        </w:rPr>
        <w:t>vyčlenenie závlahových oblastí (viď nasledujúca tabuľka). Prognóza bola vykonaná na základe klimatických kritérií, pričom ako determinujúce kritérium bola zvolená evapotranspirácia, resp. pomer aktuálnej a</w:t>
      </w:r>
      <w:r w:rsidR="005C6393">
        <w:rPr>
          <w:rFonts w:asciiTheme="majorHAnsi" w:hAnsiTheme="majorHAnsi"/>
        </w:rPr>
        <w:t> </w:t>
      </w:r>
      <w:r w:rsidRPr="00F35154">
        <w:rPr>
          <w:rFonts w:asciiTheme="majorHAnsi" w:hAnsiTheme="majorHAnsi"/>
        </w:rPr>
        <w:t>potenciálnej evapotranspirácie za určené obdobie, tzv. relatívna evapotranspirácia (ET/ET0). Závlahové oblasti sú vyčlenené izočiarou relatívnej evapotranspirácie hodnoty 0,7, ktorá ohraničuje klimatické oblasti suché a</w:t>
      </w:r>
      <w:r w:rsidR="005C6393">
        <w:rPr>
          <w:rFonts w:asciiTheme="majorHAnsi" w:hAnsiTheme="majorHAnsi"/>
        </w:rPr>
        <w:t> </w:t>
      </w:r>
      <w:r w:rsidRPr="00F35154">
        <w:rPr>
          <w:rFonts w:asciiTheme="majorHAnsi" w:hAnsiTheme="majorHAnsi"/>
        </w:rPr>
        <w:t>mierne suché podľa klimatologickej klasifikácie.</w:t>
      </w:r>
    </w:p>
    <w:p w:rsidR="00D04DFB" w:rsidRPr="00F35154" w:rsidRDefault="00D04DFB" w:rsidP="00D04DFB">
      <w:pPr>
        <w:spacing w:after="0"/>
        <w:jc w:val="left"/>
        <w:rPr>
          <w:rFonts w:asciiTheme="majorHAnsi" w:hAnsiTheme="majorHAnsi"/>
        </w:rPr>
      </w:pPr>
      <w:r w:rsidRPr="00F35154">
        <w:rPr>
          <w:rFonts w:asciiTheme="majorHAnsi" w:hAnsiTheme="majorHAnsi"/>
        </w:rPr>
        <w:t>Odhad požadovanej výmery pôdy SR pod závlahami</w:t>
      </w:r>
    </w:p>
    <w:p w:rsidR="00A129F3" w:rsidRDefault="00A129F3" w:rsidP="00A129F3">
      <w:pPr>
        <w:spacing w:after="0"/>
        <w:jc w:val="left"/>
        <w:rPr>
          <w:rFonts w:asciiTheme="majorHAnsi" w:eastAsia="Times New Roman" w:hAnsiTheme="majorHAnsi"/>
        </w:rPr>
      </w:pPr>
      <w:r>
        <w:rPr>
          <w:noProof/>
          <w:lang w:eastAsia="sk-SK"/>
        </w:rPr>
        <w:drawing>
          <wp:anchor distT="0" distB="0" distL="114300" distR="114300" simplePos="0" relativeHeight="251784192" behindDoc="1" locked="0" layoutInCell="1" allowOverlap="1" wp14:anchorId="60CFCF4A" wp14:editId="1F503721">
            <wp:simplePos x="0" y="0"/>
            <wp:positionH relativeFrom="column">
              <wp:posOffset>-36920</wp:posOffset>
            </wp:positionH>
            <wp:positionV relativeFrom="paragraph">
              <wp:posOffset>93980</wp:posOffset>
            </wp:positionV>
            <wp:extent cx="5965825" cy="1565910"/>
            <wp:effectExtent l="0" t="0" r="0" b="0"/>
            <wp:wrapNone/>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65825" cy="1565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29F3" w:rsidRDefault="00A129F3" w:rsidP="00A129F3">
      <w:pPr>
        <w:rPr>
          <w:rFonts w:asciiTheme="majorHAnsi" w:hAnsiTheme="majorHAnsi"/>
        </w:rPr>
      </w:pPr>
    </w:p>
    <w:p w:rsidR="00A129F3" w:rsidRDefault="00A129F3" w:rsidP="00A129F3">
      <w:pPr>
        <w:rPr>
          <w:rFonts w:asciiTheme="majorHAnsi" w:hAnsiTheme="majorHAnsi"/>
        </w:rPr>
      </w:pPr>
    </w:p>
    <w:p w:rsidR="00A129F3" w:rsidRDefault="00A129F3" w:rsidP="00A129F3">
      <w:pPr>
        <w:rPr>
          <w:rFonts w:asciiTheme="majorHAnsi" w:hAnsiTheme="majorHAnsi"/>
        </w:rPr>
      </w:pPr>
    </w:p>
    <w:p w:rsidR="00A129F3" w:rsidRDefault="00A129F3" w:rsidP="00A129F3">
      <w:pPr>
        <w:rPr>
          <w:rFonts w:asciiTheme="majorHAnsi" w:hAnsiTheme="majorHAnsi"/>
        </w:rPr>
      </w:pPr>
    </w:p>
    <w:p w:rsidR="00A129F3" w:rsidRDefault="00A129F3" w:rsidP="00A129F3">
      <w:pPr>
        <w:rPr>
          <w:rFonts w:asciiTheme="majorHAnsi" w:hAnsiTheme="majorHAnsi"/>
        </w:rPr>
      </w:pPr>
    </w:p>
    <w:p w:rsidR="00A129F3" w:rsidRDefault="00A129F3" w:rsidP="00A129F3">
      <w:pPr>
        <w:rPr>
          <w:rFonts w:asciiTheme="majorHAnsi" w:eastAsia="Times New Roman" w:hAnsiTheme="majorHAnsi"/>
          <w:sz w:val="18"/>
          <w:szCs w:val="18"/>
        </w:rPr>
      </w:pPr>
    </w:p>
    <w:p w:rsidR="00D04DFB" w:rsidRPr="00A4237C" w:rsidRDefault="00D04DFB" w:rsidP="00BF55EF">
      <w:pPr>
        <w:rPr>
          <w:rFonts w:asciiTheme="majorHAnsi" w:eastAsia="Times New Roman" w:hAnsiTheme="majorHAnsi"/>
          <w:i/>
          <w:sz w:val="16"/>
          <w:szCs w:val="16"/>
        </w:rPr>
      </w:pPr>
      <w:r w:rsidRPr="00A4237C">
        <w:rPr>
          <w:rFonts w:asciiTheme="majorHAnsi" w:eastAsia="Times New Roman" w:hAnsiTheme="majorHAnsi"/>
          <w:i/>
          <w:sz w:val="16"/>
          <w:szCs w:val="16"/>
        </w:rPr>
        <w:t>Zdroj: VÚPOP</w:t>
      </w:r>
    </w:p>
    <w:p w:rsidR="00D04DFB" w:rsidRPr="00F35154" w:rsidRDefault="00D04DFB" w:rsidP="00D04DFB">
      <w:pPr>
        <w:rPr>
          <w:rFonts w:asciiTheme="majorHAnsi" w:eastAsia="Times New Roman" w:hAnsiTheme="majorHAnsi"/>
          <w:i/>
          <w:sz w:val="18"/>
          <w:szCs w:val="18"/>
        </w:rPr>
      </w:pPr>
      <w:r w:rsidRPr="00F35154">
        <w:rPr>
          <w:rFonts w:asciiTheme="majorHAnsi" w:eastAsia="Times New Roman" w:hAnsiTheme="majorHAnsi"/>
          <w:i/>
          <w:sz w:val="18"/>
          <w:szCs w:val="18"/>
        </w:rPr>
        <w:t xml:space="preserve">Pozn.: I. </w:t>
      </w:r>
      <w:r w:rsidR="00BF55EF">
        <w:rPr>
          <w:rFonts w:asciiTheme="majorHAnsi" w:eastAsia="Times New Roman" w:hAnsiTheme="majorHAnsi"/>
          <w:i/>
          <w:sz w:val="18"/>
          <w:szCs w:val="18"/>
        </w:rPr>
        <w:t>–</w:t>
      </w:r>
      <w:r w:rsidRPr="00F35154">
        <w:rPr>
          <w:rFonts w:asciiTheme="majorHAnsi" w:eastAsia="Times New Roman" w:hAnsiTheme="majorHAnsi"/>
          <w:i/>
          <w:sz w:val="18"/>
          <w:szCs w:val="18"/>
        </w:rPr>
        <w:t xml:space="preserve"> Podunajská</w:t>
      </w:r>
      <w:r w:rsidR="00BF55EF">
        <w:rPr>
          <w:rFonts w:asciiTheme="majorHAnsi" w:eastAsia="Times New Roman" w:hAnsiTheme="majorHAnsi"/>
          <w:i/>
          <w:sz w:val="18"/>
          <w:szCs w:val="18"/>
        </w:rPr>
        <w:t xml:space="preserve"> </w:t>
      </w:r>
      <w:r w:rsidRPr="00F35154">
        <w:rPr>
          <w:rFonts w:asciiTheme="majorHAnsi" w:eastAsia="Times New Roman" w:hAnsiTheme="majorHAnsi"/>
          <w:i/>
          <w:sz w:val="18"/>
          <w:szCs w:val="18"/>
        </w:rPr>
        <w:t xml:space="preserve">nížina </w:t>
      </w:r>
      <w:r w:rsidR="00BF55EF">
        <w:rPr>
          <w:rFonts w:asciiTheme="majorHAnsi" w:eastAsia="Times New Roman" w:hAnsiTheme="majorHAnsi"/>
          <w:i/>
          <w:sz w:val="18"/>
          <w:szCs w:val="18"/>
        </w:rPr>
        <w:t>–</w:t>
      </w:r>
      <w:r w:rsidRPr="00F35154">
        <w:rPr>
          <w:rFonts w:asciiTheme="majorHAnsi" w:eastAsia="Times New Roman" w:hAnsiTheme="majorHAnsi"/>
          <w:i/>
          <w:sz w:val="18"/>
          <w:szCs w:val="18"/>
        </w:rPr>
        <w:t xml:space="preserve"> Juh (Hurbanovo); II. </w:t>
      </w:r>
      <w:r w:rsidR="00BF55EF">
        <w:rPr>
          <w:rFonts w:asciiTheme="majorHAnsi" w:eastAsia="Times New Roman" w:hAnsiTheme="majorHAnsi"/>
          <w:i/>
          <w:sz w:val="18"/>
          <w:szCs w:val="18"/>
        </w:rPr>
        <w:t>–</w:t>
      </w:r>
      <w:r w:rsidRPr="00F35154">
        <w:rPr>
          <w:rFonts w:asciiTheme="majorHAnsi" w:eastAsia="Times New Roman" w:hAnsiTheme="majorHAnsi"/>
          <w:i/>
          <w:sz w:val="18"/>
          <w:szCs w:val="18"/>
        </w:rPr>
        <w:t xml:space="preserve"> Podunajská</w:t>
      </w:r>
      <w:r w:rsidR="00BF55EF">
        <w:rPr>
          <w:rFonts w:asciiTheme="majorHAnsi" w:eastAsia="Times New Roman" w:hAnsiTheme="majorHAnsi"/>
          <w:i/>
          <w:sz w:val="18"/>
          <w:szCs w:val="18"/>
        </w:rPr>
        <w:t xml:space="preserve"> </w:t>
      </w:r>
      <w:r w:rsidRPr="00F35154">
        <w:rPr>
          <w:rFonts w:asciiTheme="majorHAnsi" w:eastAsia="Times New Roman" w:hAnsiTheme="majorHAnsi"/>
          <w:i/>
          <w:sz w:val="18"/>
          <w:szCs w:val="18"/>
        </w:rPr>
        <w:t xml:space="preserve">nížina </w:t>
      </w:r>
      <w:r w:rsidR="00BF55EF">
        <w:rPr>
          <w:rFonts w:asciiTheme="majorHAnsi" w:eastAsia="Times New Roman" w:hAnsiTheme="majorHAnsi"/>
          <w:i/>
          <w:sz w:val="18"/>
          <w:szCs w:val="18"/>
        </w:rPr>
        <w:t>–</w:t>
      </w:r>
      <w:r w:rsidRPr="00F35154">
        <w:rPr>
          <w:rFonts w:asciiTheme="majorHAnsi" w:eastAsia="Times New Roman" w:hAnsiTheme="majorHAnsi"/>
          <w:i/>
          <w:sz w:val="18"/>
          <w:szCs w:val="18"/>
        </w:rPr>
        <w:t xml:space="preserve"> Sever</w:t>
      </w:r>
      <w:r w:rsidR="00BF55EF">
        <w:rPr>
          <w:rFonts w:asciiTheme="majorHAnsi" w:eastAsia="Times New Roman" w:hAnsiTheme="majorHAnsi"/>
          <w:i/>
          <w:sz w:val="18"/>
          <w:szCs w:val="18"/>
        </w:rPr>
        <w:t xml:space="preserve"> </w:t>
      </w:r>
      <w:r w:rsidRPr="00F35154">
        <w:rPr>
          <w:rFonts w:asciiTheme="majorHAnsi" w:eastAsia="Times New Roman" w:hAnsiTheme="majorHAnsi"/>
          <w:i/>
          <w:sz w:val="18"/>
          <w:szCs w:val="18"/>
        </w:rPr>
        <w:t xml:space="preserve">(Jaslovské Bohunice); III. </w:t>
      </w:r>
      <w:r w:rsidR="00BF55EF">
        <w:rPr>
          <w:rFonts w:asciiTheme="majorHAnsi" w:eastAsia="Times New Roman" w:hAnsiTheme="majorHAnsi"/>
          <w:i/>
          <w:sz w:val="18"/>
          <w:szCs w:val="18"/>
        </w:rPr>
        <w:t>–</w:t>
      </w:r>
      <w:r w:rsidRPr="00F35154">
        <w:rPr>
          <w:rFonts w:asciiTheme="majorHAnsi" w:eastAsia="Times New Roman" w:hAnsiTheme="majorHAnsi"/>
          <w:i/>
          <w:sz w:val="18"/>
          <w:szCs w:val="18"/>
        </w:rPr>
        <w:t xml:space="preserve"> Záhorská</w:t>
      </w:r>
      <w:r w:rsidR="00BF55EF">
        <w:rPr>
          <w:rFonts w:asciiTheme="majorHAnsi" w:eastAsia="Times New Roman" w:hAnsiTheme="majorHAnsi"/>
          <w:i/>
          <w:sz w:val="18"/>
          <w:szCs w:val="18"/>
        </w:rPr>
        <w:t xml:space="preserve"> </w:t>
      </w:r>
      <w:r w:rsidRPr="00F35154">
        <w:rPr>
          <w:rFonts w:asciiTheme="majorHAnsi" w:eastAsia="Times New Roman" w:hAnsiTheme="majorHAnsi"/>
          <w:i/>
          <w:sz w:val="18"/>
          <w:szCs w:val="18"/>
        </w:rPr>
        <w:t xml:space="preserve">nížina (Malacky); IV. </w:t>
      </w:r>
      <w:r w:rsidR="00BF55EF">
        <w:rPr>
          <w:rFonts w:asciiTheme="majorHAnsi" w:eastAsia="Times New Roman" w:hAnsiTheme="majorHAnsi"/>
          <w:i/>
          <w:sz w:val="18"/>
          <w:szCs w:val="18"/>
        </w:rPr>
        <w:t>–</w:t>
      </w:r>
      <w:r w:rsidRPr="00F35154">
        <w:rPr>
          <w:rFonts w:asciiTheme="majorHAnsi" w:eastAsia="Times New Roman" w:hAnsiTheme="majorHAnsi"/>
          <w:i/>
          <w:sz w:val="18"/>
          <w:szCs w:val="18"/>
        </w:rPr>
        <w:t xml:space="preserve"> Juhoslovenské</w:t>
      </w:r>
      <w:r w:rsidR="00BF55EF">
        <w:rPr>
          <w:rFonts w:asciiTheme="majorHAnsi" w:eastAsia="Times New Roman" w:hAnsiTheme="majorHAnsi"/>
          <w:i/>
          <w:sz w:val="18"/>
          <w:szCs w:val="18"/>
        </w:rPr>
        <w:t xml:space="preserve"> </w:t>
      </w:r>
      <w:r w:rsidRPr="00F35154">
        <w:rPr>
          <w:rFonts w:asciiTheme="majorHAnsi" w:eastAsia="Times New Roman" w:hAnsiTheme="majorHAnsi"/>
          <w:i/>
          <w:sz w:val="18"/>
          <w:szCs w:val="18"/>
        </w:rPr>
        <w:t xml:space="preserve">kotliny (Boľkovce); V. </w:t>
      </w:r>
      <w:r w:rsidR="00BF55EF">
        <w:rPr>
          <w:rFonts w:asciiTheme="majorHAnsi" w:eastAsia="Times New Roman" w:hAnsiTheme="majorHAnsi"/>
          <w:i/>
          <w:sz w:val="18"/>
          <w:szCs w:val="18"/>
        </w:rPr>
        <w:t>–</w:t>
      </w:r>
      <w:r w:rsidRPr="00F35154">
        <w:rPr>
          <w:rFonts w:asciiTheme="majorHAnsi" w:eastAsia="Times New Roman" w:hAnsiTheme="majorHAnsi"/>
          <w:i/>
          <w:sz w:val="18"/>
          <w:szCs w:val="18"/>
        </w:rPr>
        <w:t xml:space="preserve"> Východoslovenská</w:t>
      </w:r>
      <w:r w:rsidR="00BF55EF">
        <w:rPr>
          <w:rFonts w:asciiTheme="majorHAnsi" w:eastAsia="Times New Roman" w:hAnsiTheme="majorHAnsi"/>
          <w:i/>
          <w:sz w:val="18"/>
          <w:szCs w:val="18"/>
        </w:rPr>
        <w:t xml:space="preserve"> </w:t>
      </w:r>
      <w:r w:rsidRPr="00F35154">
        <w:rPr>
          <w:rFonts w:asciiTheme="majorHAnsi" w:eastAsia="Times New Roman" w:hAnsiTheme="majorHAnsi"/>
          <w:i/>
          <w:sz w:val="18"/>
          <w:szCs w:val="18"/>
        </w:rPr>
        <w:t>nížina (Michalovce); VI. - Košická kotlina (Košice)</w:t>
      </w:r>
    </w:p>
    <w:p w:rsidR="00D04DFB" w:rsidRPr="00F35154" w:rsidRDefault="00D04DFB" w:rsidP="00D04DFB">
      <w:pPr>
        <w:rPr>
          <w:rFonts w:asciiTheme="majorHAnsi" w:hAnsiTheme="majorHAnsi"/>
        </w:rPr>
      </w:pPr>
      <w:r w:rsidRPr="00F35154">
        <w:rPr>
          <w:rFonts w:asciiTheme="majorHAnsi" w:hAnsiTheme="majorHAnsi"/>
        </w:rPr>
        <w:t>Podľa prognózy VÚPOP</w:t>
      </w:r>
      <w:r w:rsidR="00A912B7">
        <w:rPr>
          <w:rFonts w:asciiTheme="majorHAnsi" w:hAnsiTheme="majorHAnsi"/>
        </w:rPr>
        <w:t>,</w:t>
      </w:r>
      <w:r w:rsidRPr="00F35154">
        <w:rPr>
          <w:rFonts w:asciiTheme="majorHAnsi" w:hAnsiTheme="majorHAnsi"/>
        </w:rPr>
        <w:t xml:space="preserve"> by v</w:t>
      </w:r>
      <w:r w:rsidR="00BF55EF">
        <w:rPr>
          <w:rFonts w:asciiTheme="majorHAnsi" w:hAnsiTheme="majorHAnsi"/>
        </w:rPr>
        <w:t> </w:t>
      </w:r>
      <w:r w:rsidRPr="00F35154">
        <w:rPr>
          <w:rFonts w:asciiTheme="majorHAnsi" w:hAnsiTheme="majorHAnsi"/>
        </w:rPr>
        <w:t>priebehu</w:t>
      </w:r>
      <w:r w:rsidR="00BF55EF">
        <w:rPr>
          <w:rFonts w:asciiTheme="majorHAnsi" w:hAnsiTheme="majorHAnsi"/>
        </w:rPr>
        <w:t xml:space="preserve"> </w:t>
      </w:r>
      <w:r w:rsidRPr="00F35154">
        <w:rPr>
          <w:rFonts w:asciiTheme="majorHAnsi" w:hAnsiTheme="majorHAnsi"/>
        </w:rPr>
        <w:t>nasledujúcich rokov mala potreba závlahovej vody v</w:t>
      </w:r>
      <w:r w:rsidR="00A912B7">
        <w:rPr>
          <w:rFonts w:asciiTheme="majorHAnsi" w:hAnsiTheme="majorHAnsi"/>
        </w:rPr>
        <w:t> </w:t>
      </w:r>
      <w:r w:rsidRPr="00F35154">
        <w:rPr>
          <w:rFonts w:asciiTheme="majorHAnsi" w:hAnsiTheme="majorHAnsi"/>
        </w:rPr>
        <w:t>hlavných závlahových oblastiach narastať na približne 300 mil. m</w:t>
      </w:r>
      <w:r w:rsidRPr="00F35154">
        <w:rPr>
          <w:rFonts w:asciiTheme="majorHAnsi" w:hAnsiTheme="majorHAnsi"/>
          <w:vertAlign w:val="superscript"/>
        </w:rPr>
        <w:t>3</w:t>
      </w:r>
      <w:r w:rsidRPr="00F35154">
        <w:rPr>
          <w:rFonts w:asciiTheme="majorHAnsi" w:hAnsiTheme="majorHAnsi"/>
        </w:rPr>
        <w:t xml:space="preserve"> (dlhodobo až na 500 mil. m</w:t>
      </w:r>
      <w:r w:rsidRPr="00F35154">
        <w:rPr>
          <w:rFonts w:asciiTheme="majorHAnsi" w:hAnsiTheme="majorHAnsi"/>
          <w:vertAlign w:val="superscript"/>
        </w:rPr>
        <w:t>3</w:t>
      </w:r>
      <w:r w:rsidRPr="00F35154">
        <w:rPr>
          <w:rFonts w:asciiTheme="majorHAnsi" w:hAnsiTheme="majorHAnsi"/>
        </w:rPr>
        <w:t>), pričom odhadovaný nárast bude určovaný dostupnými zdrojmi financovania na budovanie a</w:t>
      </w:r>
      <w:r w:rsidR="00A912B7">
        <w:rPr>
          <w:rFonts w:asciiTheme="majorHAnsi" w:hAnsiTheme="majorHAnsi"/>
        </w:rPr>
        <w:t> </w:t>
      </w:r>
      <w:r w:rsidRPr="00F35154">
        <w:rPr>
          <w:rFonts w:asciiTheme="majorHAnsi" w:hAnsiTheme="majorHAnsi"/>
        </w:rPr>
        <w:t>prevádzkovanie</w:t>
      </w:r>
      <w:r w:rsidR="00A912B7">
        <w:rPr>
          <w:rFonts w:asciiTheme="majorHAnsi" w:hAnsiTheme="majorHAnsi"/>
        </w:rPr>
        <w:t xml:space="preserve"> </w:t>
      </w:r>
      <w:r w:rsidRPr="00F35154">
        <w:rPr>
          <w:rFonts w:asciiTheme="majorHAnsi" w:hAnsiTheme="majorHAnsi"/>
        </w:rPr>
        <w:t>závlah, a to v závislosti od potreby zavlažovania v</w:t>
      </w:r>
      <w:r w:rsidR="00A912B7">
        <w:rPr>
          <w:rFonts w:asciiTheme="majorHAnsi" w:hAnsiTheme="majorHAnsi"/>
        </w:rPr>
        <w:t> </w:t>
      </w:r>
      <w:r w:rsidRPr="00F35154">
        <w:rPr>
          <w:rFonts w:asciiTheme="majorHAnsi" w:hAnsiTheme="majorHAnsi"/>
        </w:rPr>
        <w:t>dôsledku deficitu zrážok. Budúcnosť závlahového hospodárstva sa bude orientovať na budovanie súkromných zavlažovacích systémov.</w:t>
      </w:r>
    </w:p>
    <w:p w:rsidR="00D04DFB" w:rsidRPr="00F35154" w:rsidRDefault="00D04DFB" w:rsidP="00D04DFB">
      <w:pPr>
        <w:rPr>
          <w:rFonts w:asciiTheme="majorHAnsi" w:hAnsiTheme="majorHAnsi"/>
        </w:rPr>
      </w:pPr>
      <w:r w:rsidRPr="00F35154">
        <w:rPr>
          <w:rFonts w:asciiTheme="majorHAnsi" w:hAnsiTheme="majorHAnsi"/>
        </w:rPr>
        <w:t xml:space="preserve">Na druhej strane sa predpokladá, že v dôsledku </w:t>
      </w:r>
      <w:r w:rsidR="00A00D2A" w:rsidRPr="00F35154">
        <w:rPr>
          <w:rFonts w:asciiTheme="majorHAnsi" w:hAnsiTheme="majorHAnsi"/>
        </w:rPr>
        <w:t>zm</w:t>
      </w:r>
      <w:r w:rsidR="00A00D2A">
        <w:rPr>
          <w:rFonts w:asciiTheme="majorHAnsi" w:hAnsiTheme="majorHAnsi"/>
        </w:rPr>
        <w:t>eny</w:t>
      </w:r>
      <w:r w:rsidR="00A00D2A" w:rsidRPr="00F35154">
        <w:rPr>
          <w:rFonts w:asciiTheme="majorHAnsi" w:hAnsiTheme="majorHAnsi"/>
        </w:rPr>
        <w:t xml:space="preserve"> </w:t>
      </w:r>
      <w:r w:rsidRPr="00F35154">
        <w:rPr>
          <w:rFonts w:asciiTheme="majorHAnsi" w:hAnsiTheme="majorHAnsi"/>
        </w:rPr>
        <w:t xml:space="preserve">klímy bude dochádzať k intenzívnejším záplavám na miestnej úrovni a zamokreniu poľnohospodárskej </w:t>
      </w:r>
      <w:r w:rsidRPr="00832815">
        <w:rPr>
          <w:rFonts w:asciiTheme="majorHAnsi" w:hAnsiTheme="majorHAnsi"/>
        </w:rPr>
        <w:t xml:space="preserve">pôdy. </w:t>
      </w:r>
      <w:r w:rsidR="00E732D1" w:rsidRPr="00CD70BE">
        <w:rPr>
          <w:rFonts w:asciiTheme="majorHAnsi" w:hAnsiTheme="majorHAnsi"/>
        </w:rPr>
        <w:t>Zachytávanie vôd v krajine, vrátane prívalových dažďov, možno realizovať aj vytvorením podmienok pre väčšiu schopnosť zadržiavania vody v</w:t>
      </w:r>
      <w:r w:rsidR="00170F2F" w:rsidRPr="00CD70BE">
        <w:rPr>
          <w:rFonts w:asciiTheme="majorHAnsi" w:hAnsiTheme="majorHAnsi"/>
        </w:rPr>
        <w:t> </w:t>
      </w:r>
      <w:r w:rsidR="00E732D1" w:rsidRPr="00CD70BE">
        <w:rPr>
          <w:rFonts w:asciiTheme="majorHAnsi" w:hAnsiTheme="majorHAnsi"/>
        </w:rPr>
        <w:t>krajine prostredníctvom prírode bližších prvkov a</w:t>
      </w:r>
      <w:r w:rsidR="00170F2F" w:rsidRPr="00CD70BE">
        <w:rPr>
          <w:rFonts w:asciiTheme="majorHAnsi" w:hAnsiTheme="majorHAnsi"/>
        </w:rPr>
        <w:t> </w:t>
      </w:r>
      <w:r w:rsidR="00E732D1" w:rsidRPr="00CD70BE">
        <w:rPr>
          <w:rFonts w:asciiTheme="majorHAnsi" w:hAnsiTheme="majorHAnsi"/>
        </w:rPr>
        <w:t>postupov (vrátane na poľnohospodárskych a</w:t>
      </w:r>
      <w:r w:rsidR="00170F2F" w:rsidRPr="00CD70BE">
        <w:rPr>
          <w:rFonts w:asciiTheme="majorHAnsi" w:hAnsiTheme="majorHAnsi"/>
        </w:rPr>
        <w:t> </w:t>
      </w:r>
      <w:r w:rsidR="00E732D1" w:rsidRPr="00CD70BE">
        <w:rPr>
          <w:rFonts w:asciiTheme="majorHAnsi" w:hAnsiTheme="majorHAnsi"/>
        </w:rPr>
        <w:t>lesných pôdach), pripadne melioračných kanálov, s</w:t>
      </w:r>
      <w:r w:rsidR="00170F2F" w:rsidRPr="00CD70BE">
        <w:rPr>
          <w:rFonts w:asciiTheme="majorHAnsi" w:hAnsiTheme="majorHAnsi"/>
        </w:rPr>
        <w:t> </w:t>
      </w:r>
      <w:r w:rsidR="00E732D1" w:rsidRPr="00CD70BE">
        <w:rPr>
          <w:rFonts w:asciiTheme="majorHAnsi" w:hAnsiTheme="majorHAnsi"/>
        </w:rPr>
        <w:t>následnou úpravou ich využívania, prispôsobením hospodárenia v lesoch a pod.</w:t>
      </w:r>
      <w:r w:rsidRPr="00CD70BE">
        <w:rPr>
          <w:rFonts w:asciiTheme="majorHAnsi" w:hAnsiTheme="majorHAnsi"/>
        </w:rPr>
        <w:t xml:space="preserve"> </w:t>
      </w:r>
      <w:r w:rsidRPr="00832815">
        <w:rPr>
          <w:rFonts w:asciiTheme="majorHAnsi" w:hAnsiTheme="majorHAnsi"/>
        </w:rPr>
        <w:t>Využitím týchto foriem bude výrazným spôsobom posilnená aj oblasť ochrany biodiverzity a</w:t>
      </w:r>
      <w:r w:rsidR="00170F2F" w:rsidRPr="00832815">
        <w:rPr>
          <w:rFonts w:asciiTheme="majorHAnsi" w:hAnsiTheme="majorHAnsi"/>
        </w:rPr>
        <w:t> </w:t>
      </w:r>
      <w:r w:rsidRPr="00832815">
        <w:rPr>
          <w:rFonts w:asciiTheme="majorHAnsi" w:hAnsiTheme="majorHAnsi"/>
        </w:rPr>
        <w:t>oblasť klimatických zmien</w:t>
      </w:r>
      <w:r w:rsidRPr="00F35154">
        <w:rPr>
          <w:rFonts w:asciiTheme="majorHAnsi" w:hAnsiTheme="majorHAnsi"/>
        </w:rPr>
        <w:t xml:space="preserve"> (mokrade viažu na seba najviac C0</w:t>
      </w:r>
      <w:r w:rsidRPr="00F35154">
        <w:rPr>
          <w:rFonts w:asciiTheme="majorHAnsi" w:hAnsiTheme="majorHAnsi"/>
          <w:vertAlign w:val="subscript"/>
        </w:rPr>
        <w:t>2</w:t>
      </w:r>
      <w:r w:rsidRPr="00F35154">
        <w:rPr>
          <w:rFonts w:asciiTheme="majorHAnsi" w:hAnsiTheme="majorHAnsi"/>
        </w:rPr>
        <w:t>). Hydromelioračné kanály a čerpacie stanice</w:t>
      </w:r>
      <w:r w:rsidR="006F0653">
        <w:rPr>
          <w:rFonts w:asciiTheme="majorHAnsi" w:hAnsiTheme="majorHAnsi"/>
        </w:rPr>
        <w:t xml:space="preserve"> však</w:t>
      </w:r>
      <w:r w:rsidRPr="00F35154">
        <w:rPr>
          <w:rFonts w:asciiTheme="majorHAnsi" w:hAnsiTheme="majorHAnsi"/>
        </w:rPr>
        <w:t xml:space="preserve"> zohrávajú významnú úlohu v</w:t>
      </w:r>
      <w:r w:rsidR="00170F2F">
        <w:rPr>
          <w:rFonts w:asciiTheme="majorHAnsi" w:hAnsiTheme="majorHAnsi"/>
        </w:rPr>
        <w:t> </w:t>
      </w:r>
      <w:r w:rsidRPr="00F35154">
        <w:rPr>
          <w:rFonts w:asciiTheme="majorHAnsi" w:hAnsiTheme="majorHAnsi"/>
        </w:rPr>
        <w:t>prevencii pred škodami na poľnohospodárskej produkcii, spôsobenými záplavami a zamokrením poľnohospodárskej pôdy, ale aj v poľnohospodárskej krajine. Proti vodnej erózii, ako dôsledku intenzívnych (prívalových) dažďov a prúdov stekajúcej vody a následnej degradácie pôdy sú účinné</w:t>
      </w:r>
      <w:r w:rsidR="006F0653">
        <w:rPr>
          <w:rFonts w:asciiTheme="majorHAnsi" w:hAnsiTheme="majorHAnsi"/>
        </w:rPr>
        <w:t xml:space="preserve"> aj ďalšie</w:t>
      </w:r>
      <w:r w:rsidRPr="00F35154">
        <w:rPr>
          <w:rFonts w:asciiTheme="majorHAnsi" w:hAnsiTheme="majorHAnsi"/>
        </w:rPr>
        <w:t xml:space="preserve"> hydromelioračné prostriedky</w:t>
      </w:r>
      <w:r w:rsidR="006F0653">
        <w:rPr>
          <w:rFonts w:asciiTheme="majorHAnsi" w:hAnsiTheme="majorHAnsi"/>
        </w:rPr>
        <w:t xml:space="preserve"> </w:t>
      </w:r>
      <w:r w:rsidRPr="00F35154">
        <w:rPr>
          <w:rFonts w:asciiTheme="majorHAnsi" w:hAnsiTheme="majorHAnsi"/>
        </w:rPr>
        <w:t>(napr.: protierózne priekopy).</w:t>
      </w:r>
    </w:p>
    <w:p w:rsidR="00D04DFB" w:rsidRDefault="00D04DFB" w:rsidP="00D04DFB">
      <w:pPr>
        <w:rPr>
          <w:rFonts w:asciiTheme="majorHAnsi" w:hAnsiTheme="majorHAnsi"/>
        </w:rPr>
      </w:pPr>
      <w:r w:rsidRPr="00F35154">
        <w:rPr>
          <w:rFonts w:asciiTheme="majorHAnsi" w:hAnsiTheme="majorHAnsi"/>
        </w:rPr>
        <w:t xml:space="preserve">Na hydromelioračných zariadeniach dochádza postupom času k ich opotrebovaniu a zvyšujú sa nároky na zabezpečenie ich prevádzkyschopnosti tým viac, že mnohé zariadenia sa využívajú aj po dosiahnutí ich plánovanej životnosti (40 rokov). Pre udržanie funkčnosti a zabezpečenie ich </w:t>
      </w:r>
      <w:r w:rsidRPr="00F35154">
        <w:rPr>
          <w:rFonts w:asciiTheme="majorHAnsi" w:hAnsiTheme="majorHAnsi"/>
        </w:rPr>
        <w:lastRenderedPageBreak/>
        <w:t>ochranného účinku je nevyhnutné investovať do ich opráv, rekonštrukcie, modernizácie a dostavby. Vo vhodných stanovištných podmienkach je ekonomicky výhodnejšie prebudovať existujúce odvodnenia, na regulovaný odvodňovací systém s retardáciou odtoku.</w:t>
      </w:r>
    </w:p>
    <w:p w:rsidR="0057104A" w:rsidRPr="00F35154" w:rsidRDefault="0057104A" w:rsidP="00D04DFB">
      <w:pPr>
        <w:rPr>
          <w:rFonts w:asciiTheme="majorHAnsi" w:hAnsiTheme="majorHAnsi"/>
        </w:rPr>
      </w:pPr>
      <w:r w:rsidRPr="00BD4F97">
        <w:rPr>
          <w:rFonts w:ascii="Calibri" w:eastAsia="MS Mincho" w:hAnsi="Calibri"/>
        </w:rPr>
        <w:t xml:space="preserve">Podľa smernice Európskeho parlamentu a Rady 2000/60/ES, ktorou sa stanovuje rámec pôsobnosti pre opatrenia Spoločenstva v oblasti vodného hospodárstva sa vyžaduje, aby každá investícia, ktorá môže spôsobiť riziko dosiahnutia dobrého ekologického stavu vodného útvaru bola vyhodnotená </w:t>
      </w:r>
      <w:r w:rsidR="00361CFB">
        <w:rPr>
          <w:rFonts w:ascii="Calibri" w:eastAsia="MS Mincho" w:hAnsi="Calibri"/>
        </w:rPr>
        <w:br/>
      </w:r>
      <w:r w:rsidRPr="00BD4F97">
        <w:rPr>
          <w:rFonts w:ascii="Calibri" w:eastAsia="MS Mincho" w:hAnsi="Calibri"/>
        </w:rPr>
        <w:t>a aby bolo implementované iba najlepšie environmentálne riešenie bez toho, aby bola využitá výnimka z dobrého ekologického stavu v prípade vyššieho verejného záujmu investície. Projekty rekonštrukcie odvodňovacích kanálov budú preto posúdené, individuálne a kumulatívne, podľa smernice Európskeho parlamentu a Rady 2000/60/ES a to predovšetkým s jej článkami 4.7, 8 a 9, ako i dodržanie ostatných povinných podmienok, ktoré z nej vyplývajú a bude zvolené najlepšie environmentálne riešenie pre daný cieľ (berúc do úvahy problém sucha). Projekty budú oprávnené len v prípade predloženia dôkazu o posúdení v súlade s vyššie uvedenými článkami, so smernicou o povodniach a plánmi povodňového riadenia.</w:t>
      </w:r>
    </w:p>
    <w:p w:rsidR="00D04DFB" w:rsidRPr="00F35154" w:rsidRDefault="00D04DFB" w:rsidP="00D04DFB">
      <w:pPr>
        <w:rPr>
          <w:rFonts w:asciiTheme="majorHAnsi" w:hAnsiTheme="majorHAnsi"/>
        </w:rPr>
      </w:pPr>
      <w:r w:rsidRPr="00F35154">
        <w:rPr>
          <w:rFonts w:asciiTheme="majorHAnsi" w:hAnsiTheme="majorHAnsi"/>
        </w:rPr>
        <w:t>Pri pohľade na možný vývoj produkcie odvetvia sa v</w:t>
      </w:r>
      <w:r w:rsidR="00170F2F">
        <w:rPr>
          <w:rFonts w:asciiTheme="majorHAnsi" w:hAnsiTheme="majorHAnsi"/>
        </w:rPr>
        <w:t> </w:t>
      </w:r>
      <w:r w:rsidRPr="00F35154">
        <w:rPr>
          <w:rFonts w:asciiTheme="majorHAnsi" w:hAnsiTheme="majorHAnsi"/>
        </w:rPr>
        <w:t>roku 2050 pravdepodobne dostavia negatívne dôsledky zmeny klímy v poklese produkcie o 5</w:t>
      </w:r>
      <w:r w:rsidR="00BF55EF">
        <w:rPr>
          <w:rFonts w:asciiTheme="majorHAnsi" w:hAnsiTheme="majorHAnsi"/>
        </w:rPr>
        <w:t>-</w:t>
      </w:r>
      <w:r w:rsidRPr="00F35154">
        <w:rPr>
          <w:rFonts w:asciiTheme="majorHAnsi" w:hAnsiTheme="majorHAnsi"/>
        </w:rPr>
        <w:t>10 % v závislosti na intenzite zmeny klímy. Pre zmiernenie uvedených dôsledkov zmeny klímy je potrebná realizácia opatrení správneho riadenia vodného a pôdneho režimu v poľnohospodárstve, vrátane zvýšenia efektívnosti využívania vody prostredníctvom mitigačných a adaptačných opatrení. V tejto súvislosti je vhodné využiť výsledky projektov pozemkových úprav, v rámci ktorých sa navrhujú komunikačné, vodohospodárske, protierózne a ekologické zariadenia a opatrenia.</w:t>
      </w:r>
    </w:p>
    <w:p w:rsidR="00406C25" w:rsidRPr="00A11FE0" w:rsidRDefault="00406C25" w:rsidP="00406C25">
      <w:pPr>
        <w:rPr>
          <w:rFonts w:asciiTheme="majorHAnsi" w:hAnsiTheme="majorHAnsi"/>
        </w:rPr>
      </w:pPr>
      <w:r w:rsidRPr="00A11FE0">
        <w:rPr>
          <w:rFonts w:asciiTheme="majorHAnsi" w:hAnsiTheme="majorHAnsi"/>
        </w:rPr>
        <w:t xml:space="preserve">Dôsledky zmeny </w:t>
      </w:r>
      <w:r w:rsidR="00BD5FD5">
        <w:rPr>
          <w:rFonts w:asciiTheme="majorHAnsi" w:hAnsiTheme="majorHAnsi"/>
        </w:rPr>
        <w:t>k</w:t>
      </w:r>
      <w:r w:rsidRPr="00A11FE0">
        <w:rPr>
          <w:rFonts w:asciiTheme="majorHAnsi" w:hAnsiTheme="majorHAnsi"/>
        </w:rPr>
        <w:t xml:space="preserve">límy na lesné ekosystémy </w:t>
      </w:r>
      <w:r w:rsidR="00BD5FD5">
        <w:rPr>
          <w:rFonts w:asciiTheme="majorHAnsi" w:hAnsiTheme="majorHAnsi"/>
        </w:rPr>
        <w:t>a </w:t>
      </w:r>
      <w:r w:rsidRPr="00A11FE0">
        <w:rPr>
          <w:rFonts w:asciiTheme="majorHAnsi" w:hAnsiTheme="majorHAnsi"/>
        </w:rPr>
        <w:t xml:space="preserve">lesné hospodárstvo </w:t>
      </w:r>
      <w:r w:rsidR="00BD5FD5">
        <w:rPr>
          <w:rFonts w:asciiTheme="majorHAnsi" w:hAnsiTheme="majorHAnsi"/>
        </w:rPr>
        <w:t>s</w:t>
      </w:r>
      <w:r w:rsidRPr="00A11FE0">
        <w:rPr>
          <w:rFonts w:asciiTheme="majorHAnsi" w:hAnsiTheme="majorHAnsi"/>
        </w:rPr>
        <w:t>a prejavia najmä v zmene bioklimatických podmienok o</w:t>
      </w:r>
      <w:r w:rsidR="00F76D86">
        <w:rPr>
          <w:rFonts w:asciiTheme="majorHAnsi" w:hAnsiTheme="majorHAnsi"/>
        </w:rPr>
        <w:t> </w:t>
      </w:r>
      <w:r w:rsidRPr="00A11FE0">
        <w:rPr>
          <w:rFonts w:asciiTheme="majorHAnsi" w:hAnsiTheme="majorHAnsi"/>
        </w:rPr>
        <w:t xml:space="preserve">1-2 vegetačné </w:t>
      </w:r>
      <w:r w:rsidR="00BD5FD5">
        <w:rPr>
          <w:rFonts w:asciiTheme="majorHAnsi" w:hAnsiTheme="majorHAnsi"/>
        </w:rPr>
        <w:t>s</w:t>
      </w:r>
      <w:r w:rsidRPr="00A11FE0">
        <w:rPr>
          <w:rFonts w:asciiTheme="majorHAnsi" w:hAnsiTheme="majorHAnsi"/>
        </w:rPr>
        <w:t>tupne, zmene rastových podmienok lesných drevín</w:t>
      </w:r>
      <w:r w:rsidR="00BF55C6">
        <w:rPr>
          <w:rFonts w:asciiTheme="majorHAnsi" w:hAnsiTheme="majorHAnsi"/>
        </w:rPr>
        <w:t xml:space="preserve"> a</w:t>
      </w:r>
      <w:r w:rsidR="00170F2F">
        <w:rPr>
          <w:rFonts w:asciiTheme="majorHAnsi" w:hAnsiTheme="majorHAnsi"/>
        </w:rPr>
        <w:t> </w:t>
      </w:r>
      <w:r w:rsidRPr="00A11FE0">
        <w:rPr>
          <w:rFonts w:asciiTheme="majorHAnsi" w:hAnsiTheme="majorHAnsi"/>
        </w:rPr>
        <w:t>v</w:t>
      </w:r>
      <w:r w:rsidR="007F2C41" w:rsidRPr="00A11FE0">
        <w:rPr>
          <w:rFonts w:asciiTheme="majorHAnsi" w:hAnsiTheme="majorHAnsi"/>
        </w:rPr>
        <w:t> </w:t>
      </w:r>
      <w:r w:rsidRPr="00A11FE0">
        <w:rPr>
          <w:rFonts w:asciiTheme="majorHAnsi" w:hAnsiTheme="majorHAnsi"/>
        </w:rPr>
        <w:t>pôsobení</w:t>
      </w:r>
      <w:r w:rsidR="00BD5FD5">
        <w:rPr>
          <w:rFonts w:asciiTheme="majorHAnsi" w:hAnsiTheme="majorHAnsi"/>
        </w:rPr>
        <w:t> </w:t>
      </w:r>
      <w:r w:rsidRPr="00A11FE0">
        <w:rPr>
          <w:rFonts w:asciiTheme="majorHAnsi" w:hAnsiTheme="majorHAnsi"/>
        </w:rPr>
        <w:t>biotických škodlivých činiteľov</w:t>
      </w:r>
      <w:r w:rsidR="00BF55C6">
        <w:rPr>
          <w:rFonts w:asciiTheme="majorHAnsi" w:hAnsiTheme="majorHAnsi"/>
        </w:rPr>
        <w:t>.</w:t>
      </w:r>
      <w:r w:rsidRPr="00A11FE0">
        <w:rPr>
          <w:rFonts w:asciiTheme="majorHAnsi" w:hAnsiTheme="majorHAnsi"/>
        </w:rPr>
        <w:t xml:space="preserve"> </w:t>
      </w:r>
      <w:r w:rsidR="00BF55C6">
        <w:rPr>
          <w:rFonts w:asciiTheme="majorHAnsi" w:hAnsiTheme="majorHAnsi"/>
        </w:rPr>
        <w:t>P</w:t>
      </w:r>
      <w:r w:rsidRPr="00A11FE0">
        <w:rPr>
          <w:rFonts w:asciiTheme="majorHAnsi" w:hAnsiTheme="majorHAnsi"/>
        </w:rPr>
        <w:t xml:space="preserve">oškodenie </w:t>
      </w:r>
      <w:r w:rsidR="00BD5FD5">
        <w:rPr>
          <w:rFonts w:asciiTheme="majorHAnsi" w:hAnsiTheme="majorHAnsi"/>
        </w:rPr>
        <w:t>s</w:t>
      </w:r>
      <w:r w:rsidRPr="00A11FE0">
        <w:rPr>
          <w:rFonts w:asciiTheme="majorHAnsi" w:hAnsiTheme="majorHAnsi"/>
        </w:rPr>
        <w:t xml:space="preserve">nehom </w:t>
      </w:r>
      <w:r w:rsidR="00BD5FD5">
        <w:rPr>
          <w:rFonts w:asciiTheme="majorHAnsi" w:hAnsiTheme="majorHAnsi"/>
        </w:rPr>
        <w:t>s</w:t>
      </w:r>
      <w:r w:rsidRPr="00A11FE0">
        <w:rPr>
          <w:rFonts w:asciiTheme="majorHAnsi" w:hAnsiTheme="majorHAnsi"/>
        </w:rPr>
        <w:t xml:space="preserve">a rozšíri do vyšších nadmorských výšok (6.-8. Lvs) </w:t>
      </w:r>
      <w:r w:rsidR="00BD5FD5">
        <w:rPr>
          <w:rFonts w:asciiTheme="majorHAnsi" w:hAnsiTheme="majorHAnsi"/>
        </w:rPr>
        <w:t>a </w:t>
      </w:r>
      <w:r w:rsidRPr="00A11FE0">
        <w:rPr>
          <w:rFonts w:asciiTheme="majorHAnsi" w:hAnsiTheme="majorHAnsi"/>
        </w:rPr>
        <w:t>zmen</w:t>
      </w:r>
      <w:r w:rsidR="00BF55C6">
        <w:rPr>
          <w:rFonts w:asciiTheme="majorHAnsi" w:hAnsiTheme="majorHAnsi"/>
        </w:rPr>
        <w:t>ou</w:t>
      </w:r>
      <w:r w:rsidRPr="00A11FE0">
        <w:rPr>
          <w:rFonts w:asciiTheme="majorHAnsi" w:hAnsiTheme="majorHAnsi"/>
        </w:rPr>
        <w:t xml:space="preserve"> časovo</w:t>
      </w:r>
      <w:r w:rsidR="00D04DFB">
        <w:rPr>
          <w:rFonts w:asciiTheme="majorHAnsi" w:hAnsiTheme="majorHAnsi"/>
        </w:rPr>
        <w:t>-</w:t>
      </w:r>
      <w:r w:rsidRPr="00A11FE0">
        <w:rPr>
          <w:rFonts w:asciiTheme="majorHAnsi" w:hAnsiTheme="majorHAnsi"/>
        </w:rPr>
        <w:t>priestorového pôsobenia biotických škodcov</w:t>
      </w:r>
      <w:r w:rsidR="00BF55C6">
        <w:rPr>
          <w:rFonts w:asciiTheme="majorHAnsi" w:hAnsiTheme="majorHAnsi"/>
        </w:rPr>
        <w:t xml:space="preserve"> sa </w:t>
      </w:r>
      <w:r w:rsidRPr="00A11FE0">
        <w:rPr>
          <w:rFonts w:asciiTheme="majorHAnsi" w:hAnsiTheme="majorHAnsi"/>
        </w:rPr>
        <w:t>očakáva postupná invázia nových škodcov najmä z</w:t>
      </w:r>
      <w:r w:rsidR="00F76D86">
        <w:rPr>
          <w:rFonts w:asciiTheme="majorHAnsi" w:hAnsiTheme="majorHAnsi"/>
        </w:rPr>
        <w:t> </w:t>
      </w:r>
      <w:r w:rsidRPr="00A11FE0">
        <w:rPr>
          <w:rFonts w:asciiTheme="majorHAnsi" w:hAnsiTheme="majorHAnsi"/>
        </w:rPr>
        <w:t>oblasti</w:t>
      </w:r>
      <w:r w:rsidR="00F76D86">
        <w:rPr>
          <w:rFonts w:asciiTheme="majorHAnsi" w:hAnsiTheme="majorHAnsi"/>
        </w:rPr>
        <w:t xml:space="preserve"> </w:t>
      </w:r>
      <w:r w:rsidRPr="00A11FE0">
        <w:rPr>
          <w:rFonts w:asciiTheme="majorHAnsi" w:hAnsiTheme="majorHAnsi"/>
        </w:rPr>
        <w:t xml:space="preserve">Balkánu. V prípade, že </w:t>
      </w:r>
      <w:r w:rsidR="00BD5FD5">
        <w:rPr>
          <w:rFonts w:asciiTheme="majorHAnsi" w:hAnsiTheme="majorHAnsi"/>
        </w:rPr>
        <w:t>s</w:t>
      </w:r>
      <w:r w:rsidRPr="00A11FE0">
        <w:rPr>
          <w:rFonts w:asciiTheme="majorHAnsi" w:hAnsiTheme="majorHAnsi"/>
        </w:rPr>
        <w:t xml:space="preserve">a nebudú realizovať vhodné </w:t>
      </w:r>
      <w:r w:rsidR="00BD5FD5">
        <w:rPr>
          <w:rFonts w:asciiTheme="majorHAnsi" w:hAnsiTheme="majorHAnsi"/>
        </w:rPr>
        <w:t>a</w:t>
      </w:r>
      <w:r w:rsidRPr="00A11FE0">
        <w:rPr>
          <w:rFonts w:asciiTheme="majorHAnsi" w:hAnsiTheme="majorHAnsi"/>
        </w:rPr>
        <w:t>daptačné opatrenia</w:t>
      </w:r>
      <w:r w:rsidR="00CC2C80" w:rsidRPr="00A11FE0">
        <w:rPr>
          <w:rFonts w:asciiTheme="majorHAnsi" w:hAnsiTheme="majorHAnsi"/>
        </w:rPr>
        <w:t>,</w:t>
      </w:r>
      <w:r w:rsidRPr="00A11FE0">
        <w:rPr>
          <w:rFonts w:asciiTheme="majorHAnsi" w:hAnsiTheme="majorHAnsi"/>
        </w:rPr>
        <w:t xml:space="preserve"> podľa modelových prepočtov by </w:t>
      </w:r>
      <w:r w:rsidR="00BD5FD5">
        <w:rPr>
          <w:rFonts w:asciiTheme="majorHAnsi" w:hAnsiTheme="majorHAnsi"/>
        </w:rPr>
        <w:t>s</w:t>
      </w:r>
      <w:r w:rsidRPr="00A11FE0">
        <w:rPr>
          <w:rFonts w:asciiTheme="majorHAnsi" w:hAnsiTheme="majorHAnsi"/>
        </w:rPr>
        <w:t>a škody na produkcii lesného hospodárstva mohli zvýšiť o</w:t>
      </w:r>
      <w:r w:rsidR="00170F2F">
        <w:rPr>
          <w:rFonts w:asciiTheme="majorHAnsi" w:hAnsiTheme="majorHAnsi"/>
        </w:rPr>
        <w:t> </w:t>
      </w:r>
      <w:r w:rsidRPr="00A11FE0">
        <w:rPr>
          <w:rFonts w:asciiTheme="majorHAnsi" w:hAnsiTheme="majorHAnsi"/>
        </w:rPr>
        <w:t>5,5</w:t>
      </w:r>
      <w:r w:rsidR="00571E69" w:rsidRPr="00A11FE0">
        <w:rPr>
          <w:rFonts w:asciiTheme="majorHAnsi" w:hAnsiTheme="majorHAnsi"/>
        </w:rPr>
        <w:t xml:space="preserve"> </w:t>
      </w:r>
      <w:r w:rsidRPr="00A11FE0">
        <w:rPr>
          <w:rFonts w:asciiTheme="majorHAnsi" w:hAnsiTheme="majorHAnsi"/>
        </w:rPr>
        <w:t xml:space="preserve">% (132 mil. </w:t>
      </w:r>
      <w:r w:rsidR="00992762">
        <w:rPr>
          <w:rFonts w:asciiTheme="majorHAnsi" w:hAnsiTheme="majorHAnsi"/>
        </w:rPr>
        <w:t>E</w:t>
      </w:r>
      <w:r w:rsidR="00BF55C6">
        <w:rPr>
          <w:rFonts w:asciiTheme="majorHAnsi" w:hAnsiTheme="majorHAnsi"/>
        </w:rPr>
        <w:t>U</w:t>
      </w:r>
      <w:r w:rsidR="00992762">
        <w:rPr>
          <w:rFonts w:asciiTheme="majorHAnsi" w:hAnsiTheme="majorHAnsi"/>
        </w:rPr>
        <w:t>R</w:t>
      </w:r>
      <w:r w:rsidRPr="00A11FE0">
        <w:rPr>
          <w:rFonts w:asciiTheme="majorHAnsi" w:hAnsiTheme="majorHAnsi"/>
        </w:rPr>
        <w:t>, pokles zamestnanosti o cca. 3</w:t>
      </w:r>
      <w:r w:rsidR="00CC2C80" w:rsidRPr="00A11FE0">
        <w:rPr>
          <w:rFonts w:asciiTheme="majorHAnsi" w:hAnsiTheme="majorHAnsi"/>
        </w:rPr>
        <w:t xml:space="preserve"> </w:t>
      </w:r>
      <w:r w:rsidRPr="00A11FE0">
        <w:rPr>
          <w:rFonts w:asciiTheme="majorHAnsi" w:hAnsiTheme="majorHAnsi"/>
        </w:rPr>
        <w:t>000 ľudí).</w:t>
      </w:r>
    </w:p>
    <w:p w:rsidR="00406C25" w:rsidRPr="00A11FE0" w:rsidRDefault="00406C25" w:rsidP="004B6F41">
      <w:pPr>
        <w:keepNext/>
        <w:keepLines/>
        <w:numPr>
          <w:ilvl w:val="5"/>
          <w:numId w:val="2"/>
        </w:numPr>
        <w:spacing w:before="200" w:after="0"/>
        <w:outlineLvl w:val="5"/>
        <w:rPr>
          <w:rFonts w:asciiTheme="majorHAnsi" w:hAnsiTheme="majorHAnsi"/>
          <w:i/>
          <w:iCs/>
          <w:color w:val="243F60"/>
        </w:rPr>
      </w:pPr>
      <w:r w:rsidRPr="00A11FE0">
        <w:rPr>
          <w:rFonts w:asciiTheme="majorHAnsi" w:hAnsiTheme="majorHAnsi"/>
          <w:i/>
          <w:iCs/>
          <w:color w:val="243F60"/>
        </w:rPr>
        <w:t>Vodné hospodárstvo</w:t>
      </w:r>
    </w:p>
    <w:p w:rsidR="00406C25" w:rsidRPr="00832815" w:rsidRDefault="00406C25" w:rsidP="00406C25">
      <w:pPr>
        <w:rPr>
          <w:rFonts w:asciiTheme="majorHAnsi" w:hAnsiTheme="majorHAnsi"/>
        </w:rPr>
      </w:pPr>
      <w:r w:rsidRPr="00A11FE0">
        <w:rPr>
          <w:rFonts w:asciiTheme="majorHAnsi" w:hAnsiTheme="majorHAnsi"/>
        </w:rPr>
        <w:t>Tak</w:t>
      </w:r>
      <w:r w:rsidR="00D04DFB">
        <w:rPr>
          <w:rFonts w:asciiTheme="majorHAnsi" w:hAnsiTheme="majorHAnsi"/>
        </w:rPr>
        <w:t>,</w:t>
      </w:r>
      <w:r w:rsidRPr="00A11FE0">
        <w:rPr>
          <w:rFonts w:asciiTheme="majorHAnsi" w:hAnsiTheme="majorHAnsi"/>
        </w:rPr>
        <w:t xml:space="preserve"> </w:t>
      </w:r>
      <w:r w:rsidR="00BD5FD5">
        <w:rPr>
          <w:rFonts w:asciiTheme="majorHAnsi" w:hAnsiTheme="majorHAnsi"/>
        </w:rPr>
        <w:t>ak</w:t>
      </w:r>
      <w:r w:rsidRPr="00A11FE0">
        <w:rPr>
          <w:rFonts w:asciiTheme="majorHAnsi" w:hAnsiTheme="majorHAnsi"/>
        </w:rPr>
        <w:t xml:space="preserve">o je uvedené v Pláne pre </w:t>
      </w:r>
      <w:r w:rsidR="00BF55C6">
        <w:rPr>
          <w:rFonts w:asciiTheme="majorHAnsi" w:hAnsiTheme="majorHAnsi"/>
        </w:rPr>
        <w:t xml:space="preserve">Európu </w:t>
      </w:r>
      <w:r w:rsidRPr="00A11FE0">
        <w:rPr>
          <w:rFonts w:asciiTheme="majorHAnsi" w:hAnsiTheme="majorHAnsi"/>
        </w:rPr>
        <w:t>efektívne využívajúcu zdroje</w:t>
      </w:r>
      <w:r w:rsidRPr="00A11FE0">
        <w:rPr>
          <w:rFonts w:asciiTheme="majorHAnsi" w:hAnsiTheme="majorHAnsi"/>
          <w:vertAlign w:val="superscript"/>
        </w:rPr>
        <w:footnoteReference w:id="188"/>
      </w:r>
      <w:r w:rsidRPr="00A11FE0">
        <w:rPr>
          <w:rFonts w:asciiTheme="majorHAnsi" w:hAnsiTheme="majorHAnsi"/>
        </w:rPr>
        <w:t xml:space="preserve">, zmena </w:t>
      </w:r>
      <w:r w:rsidR="00BD5FD5">
        <w:rPr>
          <w:rFonts w:asciiTheme="majorHAnsi" w:hAnsiTheme="majorHAnsi"/>
        </w:rPr>
        <w:t>k</w:t>
      </w:r>
      <w:r w:rsidRPr="00A11FE0">
        <w:rPr>
          <w:rFonts w:asciiTheme="majorHAnsi" w:hAnsiTheme="majorHAnsi"/>
        </w:rPr>
        <w:t xml:space="preserve">límy pravdepodobne povedie </w:t>
      </w:r>
      <w:r w:rsidR="00BD5FD5">
        <w:rPr>
          <w:rFonts w:asciiTheme="majorHAnsi" w:hAnsiTheme="majorHAnsi"/>
        </w:rPr>
        <w:t>k </w:t>
      </w:r>
      <w:r w:rsidRPr="00A11FE0">
        <w:rPr>
          <w:rFonts w:asciiTheme="majorHAnsi" w:hAnsiTheme="majorHAnsi"/>
        </w:rPr>
        <w:t xml:space="preserve">zvýšeniu nedostatku vody,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 xml:space="preserve">j intenzity </w:t>
      </w:r>
      <w:r w:rsidR="00BD5FD5">
        <w:rPr>
          <w:rFonts w:asciiTheme="majorHAnsi" w:hAnsiTheme="majorHAnsi"/>
        </w:rPr>
        <w:t>a </w:t>
      </w:r>
      <w:r w:rsidRPr="00A11FE0">
        <w:rPr>
          <w:rFonts w:asciiTheme="majorHAnsi" w:hAnsiTheme="majorHAnsi"/>
        </w:rPr>
        <w:t xml:space="preserve">frekvencie záplav, čo zároveň predstavuje jeden z najvýznamnejších problémov vodného hospodárstva v rámci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S</w:t>
      </w:r>
      <w:r w:rsidRPr="00A11FE0">
        <w:rPr>
          <w:rFonts w:asciiTheme="majorHAnsi" w:hAnsiTheme="majorHAnsi"/>
        </w:rPr>
        <w:t>triedanie takých extrémov počasia</w:t>
      </w:r>
      <w:r w:rsidR="00CC2C80" w:rsidRPr="00A11FE0">
        <w:rPr>
          <w:rFonts w:asciiTheme="majorHAnsi" w:hAnsiTheme="majorHAnsi"/>
        </w:rPr>
        <w:t>,</w:t>
      </w:r>
      <w:r w:rsidRPr="00A11FE0">
        <w:rPr>
          <w:rFonts w:asciiTheme="majorHAnsi" w:hAnsiTheme="majorHAnsi"/>
        </w:rPr>
        <w:t xml:space="preserve"> </w:t>
      </w:r>
      <w:r w:rsidR="00BD5FD5">
        <w:rPr>
          <w:rFonts w:asciiTheme="majorHAnsi" w:hAnsiTheme="majorHAnsi"/>
        </w:rPr>
        <w:t>ak</w:t>
      </w:r>
      <w:r w:rsidRPr="00A11FE0">
        <w:rPr>
          <w:rFonts w:asciiTheme="majorHAnsi" w:hAnsiTheme="majorHAnsi"/>
        </w:rPr>
        <w:t xml:space="preserve">o dlhotrvajúce </w:t>
      </w:r>
      <w:r w:rsidR="00BD5FD5">
        <w:rPr>
          <w:rFonts w:asciiTheme="majorHAnsi" w:hAnsiTheme="majorHAnsi"/>
        </w:rPr>
        <w:t>s</w:t>
      </w:r>
      <w:r w:rsidRPr="00A11FE0">
        <w:rPr>
          <w:rFonts w:asciiTheme="majorHAnsi" w:hAnsiTheme="majorHAnsi"/>
        </w:rPr>
        <w:t xml:space="preserve">uchá </w:t>
      </w:r>
      <w:r w:rsidR="00BD5FD5">
        <w:rPr>
          <w:rFonts w:asciiTheme="majorHAnsi" w:hAnsiTheme="majorHAnsi"/>
        </w:rPr>
        <w:t>a </w:t>
      </w:r>
      <w:r w:rsidRPr="00A11FE0">
        <w:rPr>
          <w:rFonts w:asciiTheme="majorHAnsi" w:hAnsiTheme="majorHAnsi"/>
        </w:rPr>
        <w:t xml:space="preserve">povodne, bude mať negatívny dopad na </w:t>
      </w:r>
      <w:r w:rsidR="00BD5FD5">
        <w:rPr>
          <w:rFonts w:asciiTheme="majorHAnsi" w:hAnsiTheme="majorHAnsi"/>
        </w:rPr>
        <w:t>k</w:t>
      </w:r>
      <w:r w:rsidRPr="00A11FE0">
        <w:rPr>
          <w:rFonts w:asciiTheme="majorHAnsi" w:hAnsiTheme="majorHAnsi"/>
        </w:rPr>
        <w:t xml:space="preserve">valitu </w:t>
      </w:r>
      <w:r w:rsidR="00BD5FD5">
        <w:rPr>
          <w:rFonts w:asciiTheme="majorHAnsi" w:hAnsiTheme="majorHAnsi"/>
        </w:rPr>
        <w:t>a </w:t>
      </w:r>
      <w:r w:rsidRPr="00A11FE0">
        <w:rPr>
          <w:rFonts w:asciiTheme="majorHAnsi" w:hAnsiTheme="majorHAnsi"/>
        </w:rPr>
        <w:t xml:space="preserve">množstvo zásob vody vo vodných útvaroch, čo povedie </w:t>
      </w:r>
      <w:r w:rsidR="00BD5FD5">
        <w:rPr>
          <w:rFonts w:asciiTheme="majorHAnsi" w:hAnsiTheme="majorHAnsi"/>
        </w:rPr>
        <w:t>k </w:t>
      </w:r>
      <w:r w:rsidRPr="00A11FE0">
        <w:rPr>
          <w:rFonts w:asciiTheme="majorHAnsi" w:hAnsiTheme="majorHAnsi"/>
        </w:rPr>
        <w:t>zmenám v</w:t>
      </w:r>
      <w:r w:rsidR="00C63B72">
        <w:rPr>
          <w:rFonts w:asciiTheme="majorHAnsi" w:hAnsiTheme="majorHAnsi"/>
        </w:rPr>
        <w:t> </w:t>
      </w:r>
      <w:r w:rsidRPr="00A11FE0">
        <w:rPr>
          <w:rFonts w:asciiTheme="majorHAnsi" w:hAnsiTheme="majorHAnsi"/>
        </w:rPr>
        <w:t>hydrologickej</w:t>
      </w:r>
      <w:r w:rsidR="00C63B72">
        <w:rPr>
          <w:rFonts w:asciiTheme="majorHAnsi" w:hAnsiTheme="majorHAnsi"/>
        </w:rPr>
        <w:t xml:space="preserve"> </w:t>
      </w:r>
      <w:r w:rsidRPr="00A11FE0">
        <w:rPr>
          <w:rFonts w:asciiTheme="majorHAnsi" w:hAnsiTheme="majorHAnsi"/>
        </w:rPr>
        <w:t>bilancii vodných zdrojov. Výsledkom môže byť pokles zásob vôd v</w:t>
      </w:r>
      <w:r w:rsidR="00170F2F">
        <w:rPr>
          <w:rFonts w:asciiTheme="majorHAnsi" w:hAnsiTheme="majorHAnsi"/>
        </w:rPr>
        <w:t> </w:t>
      </w:r>
      <w:r w:rsidR="00BD5FD5">
        <w:rPr>
          <w:rFonts w:asciiTheme="majorHAnsi" w:hAnsiTheme="majorHAnsi"/>
        </w:rPr>
        <w:t>k</w:t>
      </w:r>
      <w:r w:rsidRPr="00A11FE0">
        <w:rPr>
          <w:rFonts w:asciiTheme="majorHAnsi" w:hAnsiTheme="majorHAnsi"/>
        </w:rPr>
        <w:t xml:space="preserve">rajine, zvýšenie variability priemerných ročných prietokov </w:t>
      </w:r>
      <w:r w:rsidR="00BD5FD5">
        <w:rPr>
          <w:rFonts w:asciiTheme="majorHAnsi" w:hAnsiTheme="majorHAnsi"/>
        </w:rPr>
        <w:t>a </w:t>
      </w:r>
      <w:r w:rsidRPr="00A11FE0">
        <w:rPr>
          <w:rFonts w:asciiTheme="majorHAnsi" w:hAnsiTheme="majorHAnsi"/>
        </w:rPr>
        <w:t xml:space="preserve">prehĺbenie odtokových extrémov. Bez realizácie opatrení využívajúcich </w:t>
      </w:r>
      <w:r w:rsidR="00BD5FD5">
        <w:rPr>
          <w:rFonts w:asciiTheme="majorHAnsi" w:hAnsiTheme="majorHAnsi"/>
        </w:rPr>
        <w:t>k</w:t>
      </w:r>
      <w:r w:rsidRPr="00A11FE0">
        <w:rPr>
          <w:rFonts w:asciiTheme="majorHAnsi" w:hAnsiTheme="majorHAnsi"/>
        </w:rPr>
        <w:t xml:space="preserve">ombináciu </w:t>
      </w:r>
      <w:r w:rsidR="0014227C">
        <w:rPr>
          <w:rFonts w:asciiTheme="majorHAnsi" w:hAnsiTheme="majorHAnsi"/>
        </w:rPr>
        <w:t>technických opatrení na ohrozených úsekoch vodných toko</w:t>
      </w:r>
      <w:r w:rsidR="00BF55C6">
        <w:rPr>
          <w:rFonts w:asciiTheme="majorHAnsi" w:hAnsiTheme="majorHAnsi"/>
        </w:rPr>
        <w:t>v</w:t>
      </w:r>
      <w:r w:rsidR="0014227C">
        <w:rPr>
          <w:rFonts w:asciiTheme="majorHAnsi" w:hAnsiTheme="majorHAnsi"/>
        </w:rPr>
        <w:t xml:space="preserve"> </w:t>
      </w:r>
      <w:r w:rsidR="00BD5FD5">
        <w:rPr>
          <w:rFonts w:asciiTheme="majorHAnsi" w:hAnsiTheme="majorHAnsi"/>
        </w:rPr>
        <w:t>a </w:t>
      </w:r>
      <w:r w:rsidRPr="00A11FE0">
        <w:rPr>
          <w:rFonts w:asciiTheme="majorHAnsi" w:hAnsiTheme="majorHAnsi"/>
        </w:rPr>
        <w:t>zelenej infraštruktúry</w:t>
      </w:r>
      <w:r w:rsidR="0014227C">
        <w:rPr>
          <w:rFonts w:asciiTheme="majorHAnsi" w:hAnsiTheme="majorHAnsi"/>
        </w:rPr>
        <w:t xml:space="preserve"> v</w:t>
      </w:r>
      <w:r w:rsidR="00170F2F">
        <w:rPr>
          <w:rFonts w:asciiTheme="majorHAnsi" w:hAnsiTheme="majorHAnsi"/>
        </w:rPr>
        <w:t> </w:t>
      </w:r>
      <w:r w:rsidR="00BD5FD5">
        <w:rPr>
          <w:rFonts w:asciiTheme="majorHAnsi" w:hAnsiTheme="majorHAnsi"/>
        </w:rPr>
        <w:t>k</w:t>
      </w:r>
      <w:r w:rsidR="0014227C">
        <w:rPr>
          <w:rFonts w:asciiTheme="majorHAnsi" w:hAnsiTheme="majorHAnsi"/>
        </w:rPr>
        <w:t>rajine</w:t>
      </w:r>
      <w:r w:rsidRPr="00A11FE0">
        <w:rPr>
          <w:rFonts w:asciiTheme="majorHAnsi" w:hAnsiTheme="majorHAnsi"/>
          <w:vertAlign w:val="superscript"/>
        </w:rPr>
        <w:footnoteReference w:id="189"/>
      </w:r>
      <w:r w:rsidRPr="00A11FE0">
        <w:rPr>
          <w:rFonts w:asciiTheme="majorHAnsi" w:hAnsiTheme="majorHAnsi"/>
        </w:rPr>
        <w:t xml:space="preserve"> možno očakávať, že najmä oblasti </w:t>
      </w:r>
      <w:r w:rsidR="00BD5FD5">
        <w:rPr>
          <w:rFonts w:asciiTheme="majorHAnsi" w:hAnsiTheme="majorHAnsi"/>
        </w:rPr>
        <w:t>s</w:t>
      </w:r>
      <w:r w:rsidRPr="00A11FE0">
        <w:rPr>
          <w:rFonts w:asciiTheme="majorHAnsi" w:hAnsiTheme="majorHAnsi"/>
        </w:rPr>
        <w:t xml:space="preserve"> nedostatkom zásob podzemných zdrojov vôd budú intenzívnejšie čeliť negatívnym dôsledkom zmeny </w:t>
      </w:r>
      <w:r w:rsidR="00BD5FD5">
        <w:rPr>
          <w:rFonts w:asciiTheme="majorHAnsi" w:hAnsiTheme="majorHAnsi"/>
        </w:rPr>
        <w:t>k</w:t>
      </w:r>
      <w:r w:rsidRPr="00A11FE0">
        <w:rPr>
          <w:rFonts w:asciiTheme="majorHAnsi" w:hAnsiTheme="majorHAnsi"/>
        </w:rPr>
        <w:t xml:space="preserve">límy, </w:t>
      </w:r>
      <w:r w:rsidR="00BD5FD5">
        <w:rPr>
          <w:rFonts w:asciiTheme="majorHAnsi" w:hAnsiTheme="majorHAnsi"/>
        </w:rPr>
        <w:t>k</w:t>
      </w:r>
      <w:r w:rsidRPr="00A11FE0">
        <w:rPr>
          <w:rFonts w:asciiTheme="majorHAnsi" w:hAnsiTheme="majorHAnsi"/>
        </w:rPr>
        <w:t xml:space="preserve">toré </w:t>
      </w:r>
      <w:r w:rsidR="00BD5FD5">
        <w:rPr>
          <w:rFonts w:asciiTheme="majorHAnsi" w:hAnsiTheme="majorHAnsi"/>
        </w:rPr>
        <w:t>s</w:t>
      </w:r>
      <w:r w:rsidRPr="00A11FE0">
        <w:rPr>
          <w:rFonts w:asciiTheme="majorHAnsi" w:hAnsiTheme="majorHAnsi"/>
        </w:rPr>
        <w:t xml:space="preserve">pôsobujú škody nielen na majetku obyvateľstva, </w:t>
      </w:r>
      <w:r w:rsidR="00BD5FD5">
        <w:rPr>
          <w:rFonts w:asciiTheme="majorHAnsi" w:hAnsiTheme="majorHAnsi"/>
        </w:rPr>
        <w:t>a</w:t>
      </w:r>
      <w:r w:rsidRPr="00A11FE0">
        <w:rPr>
          <w:rFonts w:asciiTheme="majorHAnsi" w:hAnsiTheme="majorHAnsi"/>
        </w:rPr>
        <w:t xml:space="preserve">le </w:t>
      </w:r>
      <w:r w:rsidR="00BD5FD5">
        <w:rPr>
          <w:rFonts w:asciiTheme="majorHAnsi" w:hAnsiTheme="majorHAnsi"/>
        </w:rPr>
        <w:t>a</w:t>
      </w:r>
      <w:r w:rsidRPr="00A11FE0">
        <w:rPr>
          <w:rFonts w:asciiTheme="majorHAnsi" w:hAnsiTheme="majorHAnsi"/>
        </w:rPr>
        <w:t>j na poľnohospodárskej produkcii</w:t>
      </w:r>
      <w:r w:rsidR="00F52AA3" w:rsidRPr="00A11FE0">
        <w:rPr>
          <w:rFonts w:asciiTheme="majorHAnsi" w:hAnsiTheme="majorHAnsi"/>
        </w:rPr>
        <w:t xml:space="preserve"> </w:t>
      </w:r>
      <w:r w:rsidR="00BD5FD5">
        <w:rPr>
          <w:rFonts w:asciiTheme="majorHAnsi" w:hAnsiTheme="majorHAnsi"/>
        </w:rPr>
        <w:t>a k</w:t>
      </w:r>
      <w:r w:rsidRPr="00A11FE0">
        <w:rPr>
          <w:rFonts w:asciiTheme="majorHAnsi" w:hAnsiTheme="majorHAnsi"/>
        </w:rPr>
        <w:t xml:space="preserve">valite poľnohospodárskej </w:t>
      </w:r>
      <w:r w:rsidR="00BD5FD5">
        <w:rPr>
          <w:rFonts w:asciiTheme="majorHAnsi" w:hAnsiTheme="majorHAnsi"/>
        </w:rPr>
        <w:t>a </w:t>
      </w:r>
      <w:r w:rsidRPr="00A11FE0">
        <w:rPr>
          <w:rFonts w:asciiTheme="majorHAnsi" w:hAnsiTheme="majorHAnsi"/>
        </w:rPr>
        <w:t>lesnej pôdy. Dobre naplánovaný manažment preventívnych</w:t>
      </w:r>
      <w:r w:rsidR="00F52AA3" w:rsidRPr="00A11FE0">
        <w:rPr>
          <w:rFonts w:asciiTheme="majorHAnsi" w:hAnsiTheme="majorHAnsi"/>
        </w:rPr>
        <w:t xml:space="preserve"> </w:t>
      </w:r>
      <w:r w:rsidRPr="00A11FE0">
        <w:rPr>
          <w:rFonts w:asciiTheme="majorHAnsi" w:hAnsiTheme="majorHAnsi"/>
        </w:rPr>
        <w:t xml:space="preserve">protipovodňových opatrení </w:t>
      </w:r>
      <w:r w:rsidR="00BD5FD5">
        <w:rPr>
          <w:rFonts w:asciiTheme="majorHAnsi" w:hAnsiTheme="majorHAnsi"/>
        </w:rPr>
        <w:t>s </w:t>
      </w:r>
      <w:r w:rsidRPr="00A11FE0">
        <w:rPr>
          <w:rFonts w:asciiTheme="majorHAnsi" w:hAnsiTheme="majorHAnsi"/>
        </w:rPr>
        <w:t xml:space="preserve">maximálnym využitím možností, </w:t>
      </w:r>
      <w:r w:rsidR="00BD5FD5">
        <w:rPr>
          <w:rFonts w:asciiTheme="majorHAnsi" w:hAnsiTheme="majorHAnsi"/>
        </w:rPr>
        <w:t>k</w:t>
      </w:r>
      <w:r w:rsidRPr="00A11FE0">
        <w:rPr>
          <w:rFonts w:asciiTheme="majorHAnsi" w:hAnsiTheme="majorHAnsi"/>
        </w:rPr>
        <w:t>toré poskytujú opatrenia podporujúce zelenú infraštruktúru</w:t>
      </w:r>
      <w:r w:rsidR="00BF55C6">
        <w:rPr>
          <w:rFonts w:asciiTheme="majorHAnsi" w:hAnsiTheme="majorHAnsi"/>
        </w:rPr>
        <w:t>, ako aj</w:t>
      </w:r>
      <w:r w:rsidR="00BD5FD5">
        <w:rPr>
          <w:rFonts w:asciiTheme="majorHAnsi" w:hAnsiTheme="majorHAnsi"/>
        </w:rPr>
        <w:t> </w:t>
      </w:r>
      <w:r w:rsidRPr="00A11FE0">
        <w:rPr>
          <w:rFonts w:asciiTheme="majorHAnsi" w:hAnsiTheme="majorHAnsi"/>
        </w:rPr>
        <w:t xml:space="preserve">vhodne navrhnutá </w:t>
      </w:r>
      <w:r w:rsidR="00BD5FD5">
        <w:rPr>
          <w:rFonts w:asciiTheme="majorHAnsi" w:hAnsiTheme="majorHAnsi"/>
        </w:rPr>
        <w:t>s</w:t>
      </w:r>
      <w:r w:rsidRPr="00A11FE0">
        <w:rPr>
          <w:rFonts w:asciiTheme="majorHAnsi" w:hAnsiTheme="majorHAnsi"/>
        </w:rPr>
        <w:t>ivá infraštruktúra umožňujúca riadenie odtoku vody z</w:t>
      </w:r>
      <w:r w:rsidR="00D04DFB">
        <w:rPr>
          <w:rFonts w:asciiTheme="majorHAnsi" w:hAnsiTheme="majorHAnsi"/>
        </w:rPr>
        <w:t> </w:t>
      </w:r>
      <w:r w:rsidR="00BD5FD5">
        <w:rPr>
          <w:rFonts w:asciiTheme="majorHAnsi" w:hAnsiTheme="majorHAnsi"/>
        </w:rPr>
        <w:t>k</w:t>
      </w:r>
      <w:r w:rsidRPr="00A11FE0">
        <w:rPr>
          <w:rFonts w:asciiTheme="majorHAnsi" w:hAnsiTheme="majorHAnsi"/>
        </w:rPr>
        <w:t>rajiny</w:t>
      </w:r>
      <w:r w:rsidR="00D04DFB">
        <w:rPr>
          <w:rFonts w:asciiTheme="majorHAnsi" w:hAnsiTheme="majorHAnsi"/>
        </w:rPr>
        <w:t>,</w:t>
      </w:r>
      <w:r w:rsidRPr="00A11FE0">
        <w:rPr>
          <w:rFonts w:asciiTheme="majorHAnsi" w:hAnsiTheme="majorHAnsi"/>
        </w:rPr>
        <w:t xml:space="preserve"> môže významne prispieť </w:t>
      </w:r>
      <w:r w:rsidR="00BD5FD5">
        <w:rPr>
          <w:rFonts w:asciiTheme="majorHAnsi" w:hAnsiTheme="majorHAnsi"/>
        </w:rPr>
        <w:t>k </w:t>
      </w:r>
      <w:r w:rsidRPr="00A11FE0">
        <w:rPr>
          <w:rFonts w:asciiTheme="majorHAnsi" w:hAnsiTheme="majorHAnsi"/>
        </w:rPr>
        <w:t>elimináci</w:t>
      </w:r>
      <w:r w:rsidR="00BF55C6">
        <w:rPr>
          <w:rFonts w:asciiTheme="majorHAnsi" w:hAnsiTheme="majorHAnsi"/>
        </w:rPr>
        <w:t>i</w:t>
      </w:r>
      <w:r w:rsidRPr="00A11FE0">
        <w:rPr>
          <w:rFonts w:asciiTheme="majorHAnsi" w:hAnsiTheme="majorHAnsi"/>
        </w:rPr>
        <w:t xml:space="preserve"> prejavov zmien </w:t>
      </w:r>
      <w:r w:rsidR="00BD5FD5">
        <w:rPr>
          <w:rFonts w:asciiTheme="majorHAnsi" w:hAnsiTheme="majorHAnsi"/>
        </w:rPr>
        <w:t>k</w:t>
      </w:r>
      <w:r w:rsidRPr="00A11FE0">
        <w:rPr>
          <w:rFonts w:asciiTheme="majorHAnsi" w:hAnsiTheme="majorHAnsi"/>
        </w:rPr>
        <w:t>límy</w:t>
      </w:r>
      <w:r w:rsidR="00BF55C6">
        <w:rPr>
          <w:rFonts w:asciiTheme="majorHAnsi" w:hAnsiTheme="majorHAnsi"/>
        </w:rPr>
        <w:t>,</w:t>
      </w:r>
      <w:r w:rsidRPr="00A11FE0">
        <w:rPr>
          <w:rFonts w:asciiTheme="majorHAnsi" w:hAnsiTheme="majorHAnsi"/>
        </w:rPr>
        <w:t xml:space="preserve"> zabezpečen</w:t>
      </w:r>
      <w:r w:rsidR="00BF55C6">
        <w:rPr>
          <w:rFonts w:asciiTheme="majorHAnsi" w:hAnsiTheme="majorHAnsi"/>
        </w:rPr>
        <w:t>iu</w:t>
      </w:r>
      <w:r w:rsidRPr="00A11FE0">
        <w:rPr>
          <w:rFonts w:asciiTheme="majorHAnsi" w:hAnsiTheme="majorHAnsi"/>
        </w:rPr>
        <w:t xml:space="preserve"> dostatočného množstva vody nielen pre potreby obyvateľstva, </w:t>
      </w:r>
      <w:r w:rsidR="00BD5FD5">
        <w:rPr>
          <w:rFonts w:asciiTheme="majorHAnsi" w:hAnsiTheme="majorHAnsi"/>
        </w:rPr>
        <w:t>a</w:t>
      </w:r>
      <w:r w:rsidRPr="00A11FE0">
        <w:rPr>
          <w:rFonts w:asciiTheme="majorHAnsi" w:hAnsiTheme="majorHAnsi"/>
        </w:rPr>
        <w:t>le taktiež prisp</w:t>
      </w:r>
      <w:r w:rsidR="00BF55C6">
        <w:rPr>
          <w:rFonts w:asciiTheme="majorHAnsi" w:hAnsiTheme="majorHAnsi"/>
        </w:rPr>
        <w:t>ieť</w:t>
      </w:r>
      <w:r w:rsidRPr="00A11FE0">
        <w:rPr>
          <w:rFonts w:asciiTheme="majorHAnsi" w:hAnsiTheme="majorHAnsi"/>
        </w:rPr>
        <w:t xml:space="preserve"> </w:t>
      </w:r>
      <w:r w:rsidR="00BD5FD5">
        <w:rPr>
          <w:rFonts w:asciiTheme="majorHAnsi" w:hAnsiTheme="majorHAnsi"/>
        </w:rPr>
        <w:t>k s</w:t>
      </w:r>
      <w:r w:rsidRPr="00A11FE0">
        <w:rPr>
          <w:rFonts w:asciiTheme="majorHAnsi" w:hAnsiTheme="majorHAnsi"/>
        </w:rPr>
        <w:t>tabilite dotknutých ekosystémov.</w:t>
      </w:r>
      <w:r w:rsidR="00292DE6">
        <w:rPr>
          <w:rFonts w:asciiTheme="majorHAnsi" w:hAnsiTheme="majorHAnsi"/>
        </w:rPr>
        <w:t xml:space="preserve"> </w:t>
      </w:r>
      <w:r w:rsidR="00292DE6" w:rsidRPr="00292DE6">
        <w:rPr>
          <w:rFonts w:asciiTheme="majorHAnsi" w:hAnsiTheme="majorHAnsi"/>
        </w:rPr>
        <w:t xml:space="preserve">Opatrenia na ochranu pred povodňami budú realizované </w:t>
      </w:r>
      <w:r w:rsidR="00292DE6" w:rsidRPr="00292DE6">
        <w:rPr>
          <w:rFonts w:asciiTheme="majorHAnsi" w:hAnsiTheme="majorHAnsi"/>
        </w:rPr>
        <w:lastRenderedPageBreak/>
        <w:t>podľa Plánov manažmentu povodňového rizika, a to s prihliadnutím na charakteristiky dotknutého územia a s cieľom zabezpečiť čo najefektívnejšiu ochranu pred povodňami. Zároveň by sa mali brať do úvahy trasy postupu povodní a oblasti s retenčným potenciálom, ktoré majú potenciál zadržať povodňovú vlnu, napr. prirodzené záplavové oblasti (inundačné územia). Akýkoľvek stavebný projekt musí byť v súlade s požiadavkami Rámcovej smernice o vode. Vo vzťahu k projektom na zníženie povodňového rizika, je potrebné uplatniť strategický prístup, a to tak, že budú zabezpečené a plne zohľadnené vplyvy na životné prostredie a Plány manažmentu povodňového rizika budú koordinované s Plánmi manažmentu povodí. Pre každý projekt, ktorý modifikuje hydromorfologické vlastnosti vodných útvarov, ktoré spôsobujú zhoršenie stavu, má byť čo najskôr v plánovacom procese vykonaná náležitá analýza v súlade s</w:t>
      </w:r>
      <w:r w:rsidR="00170F2F">
        <w:rPr>
          <w:rFonts w:asciiTheme="majorHAnsi" w:hAnsiTheme="majorHAnsi"/>
        </w:rPr>
        <w:t> </w:t>
      </w:r>
      <w:r w:rsidR="00292DE6" w:rsidRPr="00292DE6">
        <w:rPr>
          <w:rFonts w:asciiTheme="majorHAnsi" w:hAnsiTheme="majorHAnsi"/>
        </w:rPr>
        <w:t xml:space="preserve">požiadavkami čl. 4 ods. 7 Rámcovej smernice o vode. To by malo zahŕňať analýzu alternatív (lepšia environmentálna voľba), stanovenie nevyhnutných </w:t>
      </w:r>
      <w:r w:rsidR="00292DE6" w:rsidRPr="00832815">
        <w:rPr>
          <w:rFonts w:asciiTheme="majorHAnsi" w:hAnsiTheme="majorHAnsi"/>
        </w:rPr>
        <w:t xml:space="preserve">opatrení na zmierňovanie vplyvov a zdôvodnenie významu z hľadiska vyššieho verejného záujmu. </w:t>
      </w:r>
      <w:r w:rsidR="0096632D" w:rsidRPr="0096632D">
        <w:rPr>
          <w:rFonts w:asciiTheme="majorHAnsi" w:hAnsiTheme="majorHAnsi"/>
        </w:rPr>
        <w:t>Prírodné opatrenia manažmentu povodňového rizika by mali byť považované za prioritné pred projektmi sivej infraštruktúry na prevenciu a ochranu pred povodňami ako lepšia environmentálna voľba (alebo ako doplňujúca s cieľom minimalizovania dopadov sivej infraštruktúry) za predpokladu, že sú rovnako účinné alebo účinnejšie z pohľadu napĺňania cieľov podľa čl. 1 smernice o hodnotení a manažmente povodňových rizík.</w:t>
      </w:r>
    </w:p>
    <w:p w:rsidR="00406C25" w:rsidRPr="00832815" w:rsidRDefault="00406C25" w:rsidP="004B6F41">
      <w:pPr>
        <w:keepNext/>
        <w:keepLines/>
        <w:numPr>
          <w:ilvl w:val="5"/>
          <w:numId w:val="2"/>
        </w:numPr>
        <w:spacing w:before="200" w:after="0"/>
        <w:outlineLvl w:val="5"/>
        <w:rPr>
          <w:rFonts w:asciiTheme="majorHAnsi" w:hAnsiTheme="majorHAnsi"/>
          <w:i/>
          <w:iCs/>
          <w:color w:val="243F60"/>
        </w:rPr>
      </w:pPr>
      <w:r w:rsidRPr="00832815">
        <w:rPr>
          <w:rFonts w:asciiTheme="majorHAnsi" w:hAnsiTheme="majorHAnsi"/>
          <w:i/>
          <w:iCs/>
          <w:color w:val="243F60"/>
        </w:rPr>
        <w:t>Biodiverzita</w:t>
      </w:r>
    </w:p>
    <w:p w:rsidR="00406C25" w:rsidRPr="00136867" w:rsidRDefault="00406C25" w:rsidP="00406C25">
      <w:pPr>
        <w:rPr>
          <w:rFonts w:asciiTheme="majorHAnsi" w:hAnsiTheme="majorHAnsi"/>
          <w:strike/>
          <w:szCs w:val="22"/>
        </w:rPr>
      </w:pPr>
      <w:r w:rsidRPr="00A11FE0">
        <w:rPr>
          <w:rFonts w:asciiTheme="majorHAnsi" w:hAnsiTheme="majorHAnsi"/>
        </w:rPr>
        <w:t xml:space="preserve">Biodiverzita hlavných ekosystémov (lesné, poľnohospodárske, vodné) </w:t>
      </w:r>
      <w:r w:rsidR="00BD5FD5">
        <w:rPr>
          <w:rFonts w:asciiTheme="majorHAnsi" w:hAnsiTheme="majorHAnsi"/>
        </w:rPr>
        <w:t>s</w:t>
      </w:r>
      <w:r w:rsidRPr="00A11FE0">
        <w:rPr>
          <w:rFonts w:asciiTheme="majorHAnsi" w:hAnsiTheme="majorHAnsi"/>
        </w:rPr>
        <w:t xml:space="preserve">ignalizuje mierne negatívny trend. </w:t>
      </w:r>
      <w:r w:rsidR="00BD5FD5">
        <w:rPr>
          <w:rFonts w:asciiTheme="majorHAnsi" w:hAnsiTheme="majorHAnsi"/>
        </w:rPr>
        <w:t>K</w:t>
      </w:r>
      <w:r w:rsidR="007F2C41" w:rsidRPr="00A11FE0">
        <w:rPr>
          <w:rFonts w:asciiTheme="majorHAnsi" w:hAnsiTheme="majorHAnsi"/>
        </w:rPr>
        <w:t> </w:t>
      </w:r>
      <w:r w:rsidRPr="00A11FE0">
        <w:rPr>
          <w:rFonts w:asciiTheme="majorHAnsi" w:hAnsiTheme="majorHAnsi"/>
        </w:rPr>
        <w:t>jej</w:t>
      </w:r>
      <w:r w:rsidR="007F2C41" w:rsidRPr="00A11FE0">
        <w:rPr>
          <w:rFonts w:asciiTheme="majorHAnsi" w:hAnsiTheme="majorHAnsi"/>
        </w:rPr>
        <w:t xml:space="preserve"> </w:t>
      </w:r>
      <w:r w:rsidRPr="00A11FE0">
        <w:rPr>
          <w:rFonts w:asciiTheme="majorHAnsi" w:hAnsiTheme="majorHAnsi"/>
        </w:rPr>
        <w:t>ďalšiemu zhoršeniu môže dôjsť v</w:t>
      </w:r>
      <w:r w:rsidR="00141F9E">
        <w:rPr>
          <w:rFonts w:asciiTheme="majorHAnsi" w:hAnsiTheme="majorHAnsi"/>
        </w:rPr>
        <w:t> </w:t>
      </w:r>
      <w:r w:rsidRPr="00A11FE0">
        <w:rPr>
          <w:rFonts w:asciiTheme="majorHAnsi" w:hAnsiTheme="majorHAnsi"/>
        </w:rPr>
        <w:t xml:space="preserve">dôsledku zvýšenej intenzity využívania </w:t>
      </w:r>
      <w:r w:rsidR="00BD5FD5">
        <w:rPr>
          <w:rFonts w:asciiTheme="majorHAnsi" w:hAnsiTheme="majorHAnsi"/>
        </w:rPr>
        <w:t>k</w:t>
      </w:r>
      <w:r w:rsidRPr="00A11FE0">
        <w:rPr>
          <w:rFonts w:asciiTheme="majorHAnsi" w:hAnsiTheme="majorHAnsi"/>
        </w:rPr>
        <w:t xml:space="preserve">rajiny, zmeny </w:t>
      </w:r>
      <w:r w:rsidR="00BD5FD5">
        <w:rPr>
          <w:rFonts w:asciiTheme="majorHAnsi" w:hAnsiTheme="majorHAnsi"/>
        </w:rPr>
        <w:t>k</w:t>
      </w:r>
      <w:r w:rsidRPr="00A11FE0">
        <w:rPr>
          <w:rFonts w:asciiTheme="majorHAnsi" w:hAnsiTheme="majorHAnsi"/>
        </w:rPr>
        <w:t xml:space="preserve">límy </w:t>
      </w:r>
      <w:r w:rsidR="00BD5FD5">
        <w:rPr>
          <w:rFonts w:asciiTheme="majorHAnsi" w:hAnsiTheme="majorHAnsi"/>
        </w:rPr>
        <w:t>a </w:t>
      </w:r>
      <w:r w:rsidRPr="00A11FE0">
        <w:rPr>
          <w:rFonts w:asciiTheme="majorHAnsi" w:hAnsiTheme="majorHAnsi"/>
        </w:rPr>
        <w:t xml:space="preserve">vodných pomerov </w:t>
      </w:r>
      <w:r w:rsidR="00BD5FD5">
        <w:rPr>
          <w:rFonts w:asciiTheme="majorHAnsi" w:hAnsiTheme="majorHAnsi"/>
        </w:rPr>
        <w:t>a </w:t>
      </w:r>
      <w:r w:rsidRPr="00A11FE0">
        <w:rPr>
          <w:rFonts w:asciiTheme="majorHAnsi" w:hAnsiTheme="majorHAnsi"/>
        </w:rPr>
        <w:t xml:space="preserve">rozširovania nepôvodných druhov. Invázne druhy vytláčajú pôvodné druhy </w:t>
      </w:r>
      <w:r w:rsidR="00BD5FD5">
        <w:rPr>
          <w:rFonts w:asciiTheme="majorHAnsi" w:hAnsiTheme="majorHAnsi"/>
        </w:rPr>
        <w:t>a </w:t>
      </w:r>
      <w:r w:rsidRPr="00A11FE0">
        <w:rPr>
          <w:rFonts w:asciiTheme="majorHAnsi" w:hAnsiTheme="majorHAnsi"/>
        </w:rPr>
        <w:t xml:space="preserve">menia druhové zastúpenie, čo môže viesť </w:t>
      </w:r>
      <w:r w:rsidR="00BD5FD5">
        <w:rPr>
          <w:rFonts w:asciiTheme="majorHAnsi" w:hAnsiTheme="majorHAnsi"/>
        </w:rPr>
        <w:t>k </w:t>
      </w:r>
      <w:r w:rsidRPr="00A11FE0">
        <w:rPr>
          <w:rFonts w:asciiTheme="majorHAnsi" w:hAnsiTheme="majorHAnsi"/>
        </w:rPr>
        <w:t>rozpadu ekosystémov.</w:t>
      </w:r>
      <w:r w:rsidR="00136867">
        <w:rPr>
          <w:rFonts w:asciiTheme="majorHAnsi" w:hAnsiTheme="majorHAnsi"/>
        </w:rPr>
        <w:t xml:space="preserve"> Podľa údajov Aktualizovanej národnej stratégie pre ochranu biodiverzity</w:t>
      </w:r>
      <w:r w:rsidR="00493A6C">
        <w:rPr>
          <w:rFonts w:asciiTheme="majorHAnsi" w:hAnsiTheme="majorHAnsi"/>
        </w:rPr>
        <w:t xml:space="preserve"> do roku 2020</w:t>
      </w:r>
      <w:r w:rsidR="00136867">
        <w:rPr>
          <w:rStyle w:val="Odkaznapoznmkupodiarou"/>
          <w:rFonts w:asciiTheme="majorHAnsi" w:hAnsiTheme="majorHAnsi"/>
        </w:rPr>
        <w:footnoteReference w:id="190"/>
      </w:r>
      <w:r w:rsidR="00D04DFB">
        <w:rPr>
          <w:rFonts w:asciiTheme="majorHAnsi" w:hAnsiTheme="majorHAnsi"/>
        </w:rPr>
        <w:t>,</w:t>
      </w:r>
      <w:r w:rsidR="00136867">
        <w:rPr>
          <w:rFonts w:asciiTheme="majorHAnsi" w:hAnsiTheme="majorHAnsi"/>
        </w:rPr>
        <w:t xml:space="preserve"> </w:t>
      </w:r>
      <w:r w:rsidR="00493A6C">
        <w:rPr>
          <w:rFonts w:asciiTheme="majorHAnsi" w:hAnsiTheme="majorHAnsi" w:cs="Calibri"/>
          <w:szCs w:val="22"/>
        </w:rPr>
        <w:t>o</w:t>
      </w:r>
      <w:r w:rsidR="00136867" w:rsidRPr="003F0750">
        <w:rPr>
          <w:rFonts w:asciiTheme="majorHAnsi" w:hAnsiTheme="majorHAnsi" w:cs="Calibri"/>
          <w:szCs w:val="22"/>
        </w:rPr>
        <w:t>hrozenosť nižších rastlín v</w:t>
      </w:r>
      <w:r w:rsidR="00E53448">
        <w:rPr>
          <w:rFonts w:asciiTheme="majorHAnsi" w:hAnsiTheme="majorHAnsi" w:cs="Calibri"/>
          <w:szCs w:val="22"/>
        </w:rPr>
        <w:t> </w:t>
      </w:r>
      <w:r w:rsidR="00136867" w:rsidRPr="003F0750">
        <w:rPr>
          <w:rFonts w:asciiTheme="majorHAnsi" w:hAnsiTheme="majorHAnsi" w:cs="Calibri"/>
          <w:szCs w:val="22"/>
        </w:rPr>
        <w:t>SR predstavuje v</w:t>
      </w:r>
      <w:r w:rsidR="00E53448">
        <w:rPr>
          <w:rFonts w:asciiTheme="majorHAnsi" w:hAnsiTheme="majorHAnsi" w:cs="Calibri"/>
          <w:szCs w:val="22"/>
        </w:rPr>
        <w:t> </w:t>
      </w:r>
      <w:r w:rsidR="00136867" w:rsidRPr="003F0750">
        <w:rPr>
          <w:rFonts w:asciiTheme="majorHAnsi" w:hAnsiTheme="majorHAnsi" w:cs="Calibri"/>
          <w:szCs w:val="22"/>
        </w:rPr>
        <w:t>súčasnosti</w:t>
      </w:r>
      <w:r w:rsidR="00E53448">
        <w:rPr>
          <w:rFonts w:asciiTheme="majorHAnsi" w:hAnsiTheme="majorHAnsi" w:cs="Calibri"/>
          <w:szCs w:val="22"/>
        </w:rPr>
        <w:t xml:space="preserve"> </w:t>
      </w:r>
      <w:r w:rsidR="00136867" w:rsidRPr="003F0750">
        <w:rPr>
          <w:rFonts w:asciiTheme="majorHAnsi" w:hAnsiTheme="majorHAnsi" w:cs="Calibri"/>
          <w:szCs w:val="22"/>
        </w:rPr>
        <w:t>16,3 %. Ohrozenosť vyšších rastlín tvorí 40,3 % z</w:t>
      </w:r>
      <w:r w:rsidR="00E53448">
        <w:rPr>
          <w:rFonts w:asciiTheme="majorHAnsi" w:hAnsiTheme="majorHAnsi" w:cs="Calibri"/>
          <w:szCs w:val="22"/>
        </w:rPr>
        <w:t> </w:t>
      </w:r>
      <w:r w:rsidR="00136867" w:rsidRPr="003F0750">
        <w:rPr>
          <w:rFonts w:asciiTheme="majorHAnsi" w:hAnsiTheme="majorHAnsi" w:cs="Calibri"/>
          <w:szCs w:val="22"/>
        </w:rPr>
        <w:t>celkového počtu 3 352 druhov. Ohrozenosť bezstavovcov v</w:t>
      </w:r>
      <w:r w:rsidR="00E53448">
        <w:rPr>
          <w:rFonts w:asciiTheme="majorHAnsi" w:hAnsiTheme="majorHAnsi" w:cs="Calibri"/>
          <w:szCs w:val="22"/>
        </w:rPr>
        <w:t> </w:t>
      </w:r>
      <w:r w:rsidR="00136867" w:rsidRPr="003F0750">
        <w:rPr>
          <w:rFonts w:asciiTheme="majorHAnsi" w:hAnsiTheme="majorHAnsi" w:cs="Calibri"/>
          <w:szCs w:val="22"/>
        </w:rPr>
        <w:t>SR predstavuje v</w:t>
      </w:r>
      <w:r w:rsidR="00E53448">
        <w:rPr>
          <w:rFonts w:asciiTheme="majorHAnsi" w:hAnsiTheme="majorHAnsi" w:cs="Calibri"/>
          <w:szCs w:val="22"/>
        </w:rPr>
        <w:t> </w:t>
      </w:r>
      <w:r w:rsidR="00136867" w:rsidRPr="003F0750">
        <w:rPr>
          <w:rFonts w:asciiTheme="majorHAnsi" w:hAnsiTheme="majorHAnsi" w:cs="Calibri"/>
          <w:szCs w:val="22"/>
        </w:rPr>
        <w:t>súčasnosti okolo 8,4 %</w:t>
      </w:r>
      <w:r w:rsidR="00493A6C">
        <w:rPr>
          <w:rFonts w:asciiTheme="majorHAnsi" w:hAnsiTheme="majorHAnsi" w:cs="Calibri"/>
          <w:szCs w:val="22"/>
        </w:rPr>
        <w:t>.</w:t>
      </w:r>
      <w:r w:rsidR="00136867" w:rsidRPr="003F0750">
        <w:rPr>
          <w:rFonts w:asciiTheme="majorHAnsi" w:hAnsiTheme="majorHAnsi" w:cs="Calibri"/>
          <w:szCs w:val="22"/>
        </w:rPr>
        <w:t xml:space="preserve"> Čo sa týka stavovcov, tých je ohrozených až 59 %</w:t>
      </w:r>
      <w:r w:rsidR="00493A6C">
        <w:rPr>
          <w:rFonts w:asciiTheme="majorHAnsi" w:hAnsiTheme="majorHAnsi" w:cs="Calibri"/>
          <w:szCs w:val="22"/>
        </w:rPr>
        <w:t>.</w:t>
      </w:r>
      <w:r w:rsidR="00136867" w:rsidRPr="003F0750">
        <w:rPr>
          <w:rFonts w:asciiTheme="majorHAnsi" w:hAnsiTheme="majorHAnsi" w:cs="Calibri"/>
          <w:szCs w:val="22"/>
        </w:rPr>
        <w:t xml:space="preserve"> Ohrozených je aj 70 % druhov rýb, všetky druhy obojživelníkov, takmer 92 % druhov plazov, 46 % hniezdiacich druhov vtákov a 69 % druhov cicavcov.</w:t>
      </w:r>
    </w:p>
    <w:p w:rsidR="00406C25" w:rsidRDefault="00406C25" w:rsidP="00406C25">
      <w:pPr>
        <w:rPr>
          <w:rFonts w:asciiTheme="majorHAnsi" w:hAnsiTheme="majorHAnsi"/>
        </w:rPr>
      </w:pPr>
      <w:r w:rsidRPr="00A11FE0">
        <w:rPr>
          <w:rFonts w:asciiTheme="majorHAnsi" w:hAnsiTheme="majorHAnsi"/>
        </w:rPr>
        <w:t xml:space="preserve">Vo vzťahu </w:t>
      </w:r>
      <w:r w:rsidR="00BD5FD5">
        <w:rPr>
          <w:rFonts w:asciiTheme="majorHAnsi" w:hAnsiTheme="majorHAnsi"/>
        </w:rPr>
        <w:t>k </w:t>
      </w:r>
      <w:r w:rsidRPr="00A11FE0">
        <w:rPr>
          <w:rFonts w:asciiTheme="majorHAnsi" w:hAnsiTheme="majorHAnsi"/>
        </w:rPr>
        <w:t xml:space="preserve">biodiverzite </w:t>
      </w:r>
      <w:r w:rsidR="00BD5FD5">
        <w:rPr>
          <w:rFonts w:asciiTheme="majorHAnsi" w:hAnsiTheme="majorHAnsi"/>
        </w:rPr>
        <w:t>s</w:t>
      </w:r>
      <w:r w:rsidRPr="00A11FE0">
        <w:rPr>
          <w:rFonts w:asciiTheme="majorHAnsi" w:hAnsiTheme="majorHAnsi"/>
        </w:rPr>
        <w:t xml:space="preserve">ú identifikované poľnohospodárske pôdy </w:t>
      </w:r>
      <w:r w:rsidR="00BD5FD5">
        <w:rPr>
          <w:rFonts w:asciiTheme="majorHAnsi" w:hAnsiTheme="majorHAnsi"/>
        </w:rPr>
        <w:t>s </w:t>
      </w:r>
      <w:r w:rsidRPr="00A11FE0">
        <w:rPr>
          <w:rFonts w:asciiTheme="majorHAnsi" w:hAnsiTheme="majorHAnsi"/>
        </w:rPr>
        <w:t xml:space="preserve">vysokou prírodnou hodnotou, </w:t>
      </w:r>
      <w:r w:rsidR="00BD5FD5">
        <w:rPr>
          <w:rFonts w:asciiTheme="majorHAnsi" w:hAnsiTheme="majorHAnsi"/>
        </w:rPr>
        <w:t>k</w:t>
      </w:r>
      <w:r w:rsidRPr="00A11FE0">
        <w:rPr>
          <w:rFonts w:asciiTheme="majorHAnsi" w:hAnsiTheme="majorHAnsi"/>
        </w:rPr>
        <w:t xml:space="preserve">toré prispievajú </w:t>
      </w:r>
      <w:r w:rsidR="00BD5FD5">
        <w:rPr>
          <w:rFonts w:asciiTheme="majorHAnsi" w:hAnsiTheme="majorHAnsi"/>
        </w:rPr>
        <w:t>k </w:t>
      </w:r>
      <w:r w:rsidRPr="00A11FE0">
        <w:rPr>
          <w:rFonts w:asciiTheme="majorHAnsi" w:hAnsiTheme="majorHAnsi"/>
        </w:rPr>
        <w:t xml:space="preserve">rozmanitosti druhov rastlín </w:t>
      </w:r>
      <w:r w:rsidR="00BD5FD5">
        <w:rPr>
          <w:rFonts w:asciiTheme="majorHAnsi" w:hAnsiTheme="majorHAnsi"/>
        </w:rPr>
        <w:t>a </w:t>
      </w:r>
      <w:r w:rsidRPr="00A11FE0">
        <w:rPr>
          <w:rFonts w:asciiTheme="majorHAnsi" w:hAnsiTheme="majorHAnsi"/>
        </w:rPr>
        <w:t>živočíchov</w:t>
      </w:r>
      <w:r w:rsidRPr="00A11FE0">
        <w:rPr>
          <w:rFonts w:asciiTheme="majorHAnsi" w:hAnsiTheme="majorHAnsi"/>
          <w:vertAlign w:val="superscript"/>
        </w:rPr>
        <w:footnoteReference w:id="191"/>
      </w:r>
      <w:r w:rsidRPr="00A11FE0">
        <w:rPr>
          <w:rFonts w:asciiTheme="majorHAnsi" w:hAnsiTheme="majorHAnsi"/>
        </w:rPr>
        <w:t xml:space="preserve">. </w:t>
      </w:r>
      <w:r w:rsidR="00BD5FD5">
        <w:rPr>
          <w:rFonts w:asciiTheme="majorHAnsi" w:hAnsiTheme="majorHAnsi"/>
        </w:rPr>
        <w:t>K s</w:t>
      </w:r>
      <w:r w:rsidRPr="00A11FE0">
        <w:rPr>
          <w:rFonts w:asciiTheme="majorHAnsi" w:hAnsiTheme="majorHAnsi"/>
        </w:rPr>
        <w:t>ekvestráci</w:t>
      </w:r>
      <w:r w:rsidR="00F52AA3" w:rsidRPr="00A11FE0">
        <w:rPr>
          <w:rFonts w:asciiTheme="majorHAnsi" w:hAnsiTheme="majorHAnsi"/>
        </w:rPr>
        <w:t>i</w:t>
      </w:r>
      <w:r w:rsidRPr="00A11FE0">
        <w:rPr>
          <w:rFonts w:asciiTheme="majorHAnsi" w:hAnsiTheme="majorHAnsi"/>
        </w:rPr>
        <w:t xml:space="preserve"> CO</w:t>
      </w:r>
      <w:r w:rsidRPr="00A11FE0">
        <w:rPr>
          <w:rFonts w:asciiTheme="majorHAnsi" w:hAnsiTheme="majorHAnsi"/>
          <w:vertAlign w:val="subscript"/>
        </w:rPr>
        <w:t>2</w:t>
      </w:r>
      <w:r w:rsidRPr="00A11FE0">
        <w:rPr>
          <w:rFonts w:asciiTheme="majorHAnsi" w:hAnsiTheme="majorHAnsi"/>
        </w:rPr>
        <w:t xml:space="preserve"> významne prispievajú lesné ekosystémy, </w:t>
      </w:r>
      <w:r w:rsidR="00BD5FD5">
        <w:rPr>
          <w:rFonts w:asciiTheme="majorHAnsi" w:hAnsiTheme="majorHAnsi"/>
        </w:rPr>
        <w:t>k</w:t>
      </w:r>
      <w:r w:rsidRPr="00A11FE0">
        <w:rPr>
          <w:rFonts w:asciiTheme="majorHAnsi" w:hAnsiTheme="majorHAnsi"/>
        </w:rPr>
        <w:t xml:space="preserve">toré na území </w:t>
      </w:r>
      <w:r w:rsidR="00BD5FD5">
        <w:rPr>
          <w:rFonts w:asciiTheme="majorHAnsi" w:hAnsiTheme="majorHAnsi"/>
        </w:rPr>
        <w:t>S</w:t>
      </w:r>
      <w:r w:rsidRPr="00A11FE0">
        <w:rPr>
          <w:rFonts w:asciiTheme="majorHAnsi" w:hAnsiTheme="majorHAnsi"/>
        </w:rPr>
        <w:t>R zaberajú 50</w:t>
      </w:r>
      <w:r w:rsidR="001E240E" w:rsidRPr="00A11FE0">
        <w:rPr>
          <w:rFonts w:asciiTheme="majorHAnsi" w:hAnsiTheme="majorHAnsi"/>
        </w:rPr>
        <w:t xml:space="preserve"> </w:t>
      </w:r>
      <w:r w:rsidRPr="00A11FE0">
        <w:rPr>
          <w:rFonts w:asciiTheme="majorHAnsi" w:hAnsiTheme="majorHAnsi"/>
        </w:rPr>
        <w:t>% plochy.</w:t>
      </w:r>
      <w:r w:rsidR="00930998">
        <w:rPr>
          <w:rFonts w:asciiTheme="majorHAnsi" w:hAnsiTheme="majorHAnsi"/>
        </w:rPr>
        <w:t xml:space="preserve"> </w:t>
      </w:r>
      <w:r w:rsidR="00930998" w:rsidRPr="00930998">
        <w:rPr>
          <w:rFonts w:asciiTheme="majorHAnsi" w:hAnsiTheme="majorHAnsi"/>
        </w:rPr>
        <w:t>K biodiverzite rovnako prispieva realizácia lesníckych postupov zlučiteľných s</w:t>
      </w:r>
      <w:r w:rsidR="00141F9E">
        <w:rPr>
          <w:rFonts w:asciiTheme="majorHAnsi" w:hAnsiTheme="majorHAnsi"/>
        </w:rPr>
        <w:t> </w:t>
      </w:r>
      <w:r w:rsidR="00930998" w:rsidRPr="00930998">
        <w:rPr>
          <w:rFonts w:asciiTheme="majorHAnsi" w:hAnsiTheme="majorHAnsi"/>
        </w:rPr>
        <w:t>ochranou a</w:t>
      </w:r>
      <w:r w:rsidR="00141F9E">
        <w:rPr>
          <w:rFonts w:asciiTheme="majorHAnsi" w:hAnsiTheme="majorHAnsi"/>
        </w:rPr>
        <w:t> </w:t>
      </w:r>
      <w:r w:rsidR="00930998" w:rsidRPr="00930998">
        <w:rPr>
          <w:rFonts w:asciiTheme="majorHAnsi" w:hAnsiTheme="majorHAnsi"/>
        </w:rPr>
        <w:t>zlepšením životného prostredia, na zachovanie lesných ekosystémov s</w:t>
      </w:r>
      <w:r w:rsidR="00141F9E">
        <w:rPr>
          <w:rFonts w:asciiTheme="majorHAnsi" w:hAnsiTheme="majorHAnsi"/>
        </w:rPr>
        <w:t> </w:t>
      </w:r>
      <w:r w:rsidR="00930998" w:rsidRPr="00930998">
        <w:rPr>
          <w:rFonts w:asciiTheme="majorHAnsi" w:hAnsiTheme="majorHAnsi"/>
        </w:rPr>
        <w:t xml:space="preserve">vysokou prírodnou hodnotou, ochrana a podpora genetických zdrojov, zriaďovanie nových génových základní pre dlhodobé uchovanie pôvodného (autochtónneho) genofondu lesných drevín </w:t>
      </w:r>
      <w:r w:rsidR="00930998" w:rsidRPr="00930998">
        <w:rPr>
          <w:rFonts w:asciiTheme="majorHAnsi" w:hAnsiTheme="majorHAnsi"/>
          <w:i/>
        </w:rPr>
        <w:t>in situ</w:t>
      </w:r>
      <w:r w:rsidR="00930998" w:rsidRPr="00930998">
        <w:rPr>
          <w:rFonts w:asciiTheme="majorHAnsi" w:hAnsiTheme="majorHAnsi"/>
        </w:rPr>
        <w:t>. Realizácia týchto, ako aj iných záväzkov je automaticky premietnutá do programov starostlivosti o lesy (lesné hospodárske plány</w:t>
      </w:r>
      <w:r w:rsidR="00930998">
        <w:rPr>
          <w:rFonts w:asciiTheme="majorHAnsi" w:hAnsiTheme="majorHAnsi"/>
        </w:rPr>
        <w:t>).</w:t>
      </w:r>
    </w:p>
    <w:p w:rsidR="00082089" w:rsidRPr="006A7C8F" w:rsidRDefault="00082089" w:rsidP="00406C25">
      <w:pPr>
        <w:rPr>
          <w:rFonts w:asciiTheme="majorHAnsi" w:hAnsiTheme="majorHAnsi"/>
        </w:rPr>
      </w:pPr>
      <w:r w:rsidRPr="006A7C8F">
        <w:rPr>
          <w:rFonts w:asciiTheme="majorHAnsi" w:hAnsiTheme="majorHAnsi"/>
        </w:rPr>
        <w:t xml:space="preserve">Na lesnej pôde </w:t>
      </w:r>
      <w:r w:rsidR="00BD5FD5" w:rsidRPr="006A7C8F">
        <w:rPr>
          <w:rFonts w:asciiTheme="majorHAnsi" w:hAnsiTheme="majorHAnsi"/>
        </w:rPr>
        <w:t>s</w:t>
      </w:r>
      <w:r w:rsidRPr="006A7C8F">
        <w:rPr>
          <w:rFonts w:asciiTheme="majorHAnsi" w:hAnsiTheme="majorHAnsi"/>
        </w:rPr>
        <w:t xml:space="preserve">a </w:t>
      </w:r>
      <w:r w:rsidR="00BD5FD5" w:rsidRPr="00C20F3A">
        <w:rPr>
          <w:rFonts w:asciiTheme="majorHAnsi" w:hAnsiTheme="majorHAnsi"/>
        </w:rPr>
        <w:t>k</w:t>
      </w:r>
      <w:r w:rsidRPr="00DC5F52">
        <w:rPr>
          <w:rFonts w:asciiTheme="majorHAnsi" w:hAnsiTheme="majorHAnsi"/>
        </w:rPr>
        <w:t> zachova</w:t>
      </w:r>
      <w:r w:rsidRPr="00B46F8C">
        <w:rPr>
          <w:rFonts w:asciiTheme="majorHAnsi" w:hAnsiTheme="majorHAnsi"/>
        </w:rPr>
        <w:t>niu biodiverzity prisp</w:t>
      </w:r>
      <w:r w:rsidR="007165EB">
        <w:rPr>
          <w:rFonts w:asciiTheme="majorHAnsi" w:hAnsiTheme="majorHAnsi"/>
        </w:rPr>
        <w:t>i</w:t>
      </w:r>
      <w:r w:rsidRPr="00B46F8C">
        <w:rPr>
          <w:rFonts w:asciiTheme="majorHAnsi" w:hAnsiTheme="majorHAnsi"/>
        </w:rPr>
        <w:t>e</w:t>
      </w:r>
      <w:r w:rsidR="006A7C8F" w:rsidRPr="00CD0FE0">
        <w:rPr>
          <w:rFonts w:asciiTheme="majorHAnsi" w:hAnsiTheme="majorHAnsi"/>
        </w:rPr>
        <w:t>va</w:t>
      </w:r>
      <w:r w:rsidRPr="007E4745">
        <w:rPr>
          <w:rFonts w:asciiTheme="majorHAnsi" w:hAnsiTheme="majorHAnsi"/>
        </w:rPr>
        <w:t xml:space="preserve"> </w:t>
      </w:r>
      <w:r w:rsidR="00BD5FD5" w:rsidRPr="008F29E2">
        <w:rPr>
          <w:rFonts w:asciiTheme="majorHAnsi" w:hAnsiTheme="majorHAnsi"/>
        </w:rPr>
        <w:t>ak</w:t>
      </w:r>
      <w:r w:rsidRPr="0028113B">
        <w:rPr>
          <w:rFonts w:asciiTheme="majorHAnsi" w:hAnsiTheme="majorHAnsi"/>
        </w:rPr>
        <w:t xml:space="preserve">tivitami na zlepšenie zdravotného </w:t>
      </w:r>
      <w:r w:rsidR="00BD5FD5" w:rsidRPr="0028113B">
        <w:rPr>
          <w:rFonts w:asciiTheme="majorHAnsi" w:hAnsiTheme="majorHAnsi"/>
        </w:rPr>
        <w:t>s</w:t>
      </w:r>
      <w:r w:rsidRPr="00321B07">
        <w:rPr>
          <w:rFonts w:asciiTheme="majorHAnsi" w:hAnsiTheme="majorHAnsi"/>
        </w:rPr>
        <w:t>tavu lesov, obnov</w:t>
      </w:r>
      <w:r w:rsidR="006A7C8F" w:rsidRPr="00321B07">
        <w:rPr>
          <w:rFonts w:asciiTheme="majorHAnsi" w:hAnsiTheme="majorHAnsi"/>
        </w:rPr>
        <w:t>u</w:t>
      </w:r>
      <w:r w:rsidRPr="00321B07">
        <w:rPr>
          <w:rFonts w:asciiTheme="majorHAnsi" w:hAnsiTheme="majorHAnsi"/>
        </w:rPr>
        <w:t xml:space="preserve"> lesov </w:t>
      </w:r>
      <w:r w:rsidR="00BD5FD5" w:rsidRPr="00321B07">
        <w:rPr>
          <w:rFonts w:asciiTheme="majorHAnsi" w:hAnsiTheme="majorHAnsi"/>
        </w:rPr>
        <w:t>a </w:t>
      </w:r>
      <w:r w:rsidRPr="00321B07">
        <w:rPr>
          <w:rFonts w:asciiTheme="majorHAnsi" w:hAnsiTheme="majorHAnsi"/>
        </w:rPr>
        <w:t>podpor</w:t>
      </w:r>
      <w:r w:rsidR="006A7C8F" w:rsidRPr="00321B07">
        <w:rPr>
          <w:rFonts w:asciiTheme="majorHAnsi" w:hAnsiTheme="majorHAnsi"/>
        </w:rPr>
        <w:t>u</w:t>
      </w:r>
      <w:r w:rsidRPr="00321B07">
        <w:rPr>
          <w:rFonts w:asciiTheme="majorHAnsi" w:hAnsiTheme="majorHAnsi"/>
        </w:rPr>
        <w:t xml:space="preserve"> </w:t>
      </w:r>
      <w:r w:rsidR="00BD5FD5" w:rsidRPr="00321B07">
        <w:rPr>
          <w:rFonts w:asciiTheme="majorHAnsi" w:hAnsiTheme="majorHAnsi"/>
        </w:rPr>
        <w:t>k</w:t>
      </w:r>
      <w:r w:rsidRPr="00321B07">
        <w:rPr>
          <w:rFonts w:asciiTheme="majorHAnsi" w:hAnsiTheme="majorHAnsi"/>
        </w:rPr>
        <w:t xml:space="preserve">onverzie </w:t>
      </w:r>
      <w:r w:rsidR="00BD5FD5" w:rsidRPr="00321B07">
        <w:rPr>
          <w:rFonts w:asciiTheme="majorHAnsi" w:hAnsiTheme="majorHAnsi"/>
        </w:rPr>
        <w:t>s</w:t>
      </w:r>
      <w:r w:rsidRPr="00321B07">
        <w:rPr>
          <w:rFonts w:asciiTheme="majorHAnsi" w:hAnsiTheme="majorHAnsi"/>
        </w:rPr>
        <w:t xml:space="preserve">mrečín (vo vysokom </w:t>
      </w:r>
      <w:r w:rsidR="00BD5FD5" w:rsidRPr="00321B07">
        <w:rPr>
          <w:rFonts w:asciiTheme="majorHAnsi" w:hAnsiTheme="majorHAnsi"/>
        </w:rPr>
        <w:t>s</w:t>
      </w:r>
      <w:r w:rsidRPr="00321B07">
        <w:rPr>
          <w:rFonts w:asciiTheme="majorHAnsi" w:hAnsiTheme="majorHAnsi"/>
        </w:rPr>
        <w:t xml:space="preserve">tupni rozpadu) na lesy zmiešané </w:t>
      </w:r>
      <w:r w:rsidR="00BD5FD5" w:rsidRPr="00E509C1">
        <w:rPr>
          <w:rFonts w:asciiTheme="majorHAnsi" w:hAnsiTheme="majorHAnsi"/>
        </w:rPr>
        <w:t>s </w:t>
      </w:r>
      <w:r w:rsidRPr="00665324">
        <w:rPr>
          <w:rFonts w:asciiTheme="majorHAnsi" w:hAnsiTheme="majorHAnsi"/>
        </w:rPr>
        <w:t>ekologicky</w:t>
      </w:r>
      <w:r w:rsidR="00C63B72" w:rsidRPr="00AE41E2">
        <w:rPr>
          <w:rFonts w:asciiTheme="majorHAnsi" w:hAnsiTheme="majorHAnsi"/>
        </w:rPr>
        <w:t xml:space="preserve"> </w:t>
      </w:r>
      <w:r w:rsidRPr="00AE41E2">
        <w:rPr>
          <w:rFonts w:asciiTheme="majorHAnsi" w:hAnsiTheme="majorHAnsi"/>
        </w:rPr>
        <w:t xml:space="preserve">vhodnou </w:t>
      </w:r>
      <w:r w:rsidR="00BD5FD5" w:rsidRPr="0030532E">
        <w:rPr>
          <w:rFonts w:asciiTheme="majorHAnsi" w:hAnsiTheme="majorHAnsi"/>
        </w:rPr>
        <w:t>a </w:t>
      </w:r>
      <w:r w:rsidRPr="0030532E">
        <w:rPr>
          <w:rFonts w:asciiTheme="majorHAnsi" w:hAnsiTheme="majorHAnsi"/>
        </w:rPr>
        <w:t>proporcionálnou drevinovou štruktúrou</w:t>
      </w:r>
      <w:r w:rsidR="00930998">
        <w:rPr>
          <w:rFonts w:asciiTheme="majorHAnsi" w:hAnsiTheme="majorHAnsi"/>
        </w:rPr>
        <w:t xml:space="preserve">, </w:t>
      </w:r>
      <w:r w:rsidR="00930998" w:rsidRPr="00930998">
        <w:rPr>
          <w:rFonts w:asciiTheme="majorHAnsi" w:hAnsiTheme="majorHAnsi"/>
        </w:rPr>
        <w:t>ako aj zlepšovaním postupov pri obhospodarovaní lesa, najmä zavádzaním šetrných postupov pri náhodných ťažbách</w:t>
      </w:r>
      <w:r w:rsidRPr="0030532E">
        <w:rPr>
          <w:rFonts w:asciiTheme="majorHAnsi" w:hAnsiTheme="majorHAnsi"/>
        </w:rPr>
        <w:t>.</w:t>
      </w:r>
    </w:p>
    <w:p w:rsidR="00406C25" w:rsidRPr="006A7C8F" w:rsidRDefault="00406C25" w:rsidP="004B6F41">
      <w:pPr>
        <w:keepNext/>
        <w:keepLines/>
        <w:numPr>
          <w:ilvl w:val="5"/>
          <w:numId w:val="2"/>
        </w:numPr>
        <w:spacing w:before="200" w:after="0"/>
        <w:outlineLvl w:val="5"/>
        <w:rPr>
          <w:rFonts w:asciiTheme="majorHAnsi" w:hAnsiTheme="majorHAnsi"/>
          <w:i/>
          <w:iCs/>
          <w:color w:val="243F60"/>
        </w:rPr>
      </w:pPr>
      <w:r w:rsidRPr="006A7C8F">
        <w:rPr>
          <w:rFonts w:asciiTheme="majorHAnsi" w:hAnsiTheme="majorHAnsi"/>
          <w:i/>
          <w:iCs/>
          <w:color w:val="243F60"/>
        </w:rPr>
        <w:lastRenderedPageBreak/>
        <w:t>Doprava</w:t>
      </w:r>
    </w:p>
    <w:p w:rsidR="00406C25" w:rsidRPr="00A11FE0" w:rsidRDefault="00406C25" w:rsidP="00406C25">
      <w:pPr>
        <w:rPr>
          <w:rFonts w:asciiTheme="majorHAnsi" w:hAnsiTheme="majorHAnsi"/>
        </w:rPr>
      </w:pPr>
      <w:r w:rsidRPr="006A7C8F">
        <w:rPr>
          <w:rFonts w:asciiTheme="majorHAnsi" w:hAnsiTheme="majorHAnsi"/>
        </w:rPr>
        <w:t>Extrémne prejavy počasia</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pôsobujú vážne </w:t>
      </w:r>
      <w:r w:rsidR="00BD5FD5">
        <w:rPr>
          <w:rFonts w:asciiTheme="majorHAnsi" w:hAnsiTheme="majorHAnsi"/>
        </w:rPr>
        <w:t>k</w:t>
      </w:r>
      <w:r w:rsidRPr="00A11FE0">
        <w:rPr>
          <w:rFonts w:asciiTheme="majorHAnsi" w:hAnsiTheme="majorHAnsi"/>
        </w:rPr>
        <w:t>omplikácie u</w:t>
      </w:r>
      <w:r w:rsidR="00141F9E">
        <w:rPr>
          <w:rFonts w:asciiTheme="majorHAnsi" w:hAnsiTheme="majorHAnsi"/>
        </w:rPr>
        <w:t> </w:t>
      </w:r>
      <w:r w:rsidRPr="00A11FE0">
        <w:rPr>
          <w:rFonts w:asciiTheme="majorHAnsi" w:hAnsiTheme="majorHAnsi"/>
        </w:rPr>
        <w:t xml:space="preserve">takmer </w:t>
      </w:r>
      <w:r w:rsidR="003E6F9E" w:rsidRPr="00A11FE0">
        <w:rPr>
          <w:rFonts w:asciiTheme="majorHAnsi" w:hAnsiTheme="majorHAnsi"/>
        </w:rPr>
        <w:t>všetkých</w:t>
      </w:r>
      <w:r w:rsidRPr="00A11FE0">
        <w:rPr>
          <w:rFonts w:asciiTheme="majorHAnsi" w:hAnsiTheme="majorHAnsi"/>
        </w:rPr>
        <w:t xml:space="preserve"> druhov dopravy. Tie vedú </w:t>
      </w:r>
      <w:r w:rsidR="00BD5FD5">
        <w:rPr>
          <w:rFonts w:asciiTheme="majorHAnsi" w:hAnsiTheme="majorHAnsi"/>
        </w:rPr>
        <w:t>k </w:t>
      </w:r>
      <w:r w:rsidR="003E6F9E" w:rsidRPr="00A11FE0">
        <w:rPr>
          <w:rFonts w:asciiTheme="majorHAnsi" w:hAnsiTheme="majorHAnsi"/>
        </w:rPr>
        <w:t>zvýšeniu</w:t>
      </w:r>
      <w:r w:rsidR="007F2C41" w:rsidRPr="00A11FE0">
        <w:rPr>
          <w:rFonts w:asciiTheme="majorHAnsi" w:hAnsiTheme="majorHAnsi"/>
        </w:rPr>
        <w:t xml:space="preserve"> </w:t>
      </w:r>
      <w:r w:rsidR="00181612" w:rsidRPr="00A11FE0">
        <w:rPr>
          <w:rFonts w:asciiTheme="majorHAnsi" w:hAnsiTheme="majorHAnsi"/>
        </w:rPr>
        <w:t>preprav</w:t>
      </w:r>
      <w:r w:rsidR="00181612">
        <w:rPr>
          <w:rFonts w:asciiTheme="majorHAnsi" w:hAnsiTheme="majorHAnsi"/>
        </w:rPr>
        <w:t xml:space="preserve">ného </w:t>
      </w:r>
      <w:r w:rsidRPr="00A11FE0">
        <w:rPr>
          <w:rFonts w:asciiTheme="majorHAnsi" w:hAnsiTheme="majorHAnsi"/>
        </w:rPr>
        <w:t xml:space="preserve">času tovarov, predĺženiu času cestovania </w:t>
      </w:r>
      <w:r w:rsidR="00BD5FD5">
        <w:rPr>
          <w:rFonts w:asciiTheme="majorHAnsi" w:hAnsiTheme="majorHAnsi"/>
        </w:rPr>
        <w:t>a </w:t>
      </w:r>
      <w:r w:rsidR="003E6F9E" w:rsidRPr="00A11FE0">
        <w:rPr>
          <w:rFonts w:asciiTheme="majorHAnsi" w:hAnsiTheme="majorHAnsi"/>
        </w:rPr>
        <w:t>zvýšeniu</w:t>
      </w:r>
      <w:r w:rsidRPr="00A11FE0">
        <w:rPr>
          <w:rFonts w:asciiTheme="majorHAnsi" w:hAnsiTheme="majorHAnsi"/>
        </w:rPr>
        <w:t xml:space="preserve"> pravdepodobnosti nehôd.</w:t>
      </w:r>
    </w:p>
    <w:p w:rsidR="00406C25" w:rsidRPr="00A11FE0" w:rsidRDefault="00406C25" w:rsidP="00406C25">
      <w:pPr>
        <w:rPr>
          <w:rFonts w:asciiTheme="majorHAnsi" w:hAnsiTheme="majorHAnsi"/>
        </w:rPr>
      </w:pPr>
      <w:r w:rsidRPr="00A11FE0">
        <w:rPr>
          <w:rFonts w:asciiTheme="majorHAnsi" w:hAnsiTheme="majorHAnsi"/>
        </w:rPr>
        <w:t xml:space="preserve">Otázka bezpečnosti dopravy, </w:t>
      </w:r>
      <w:r w:rsidR="00BD5FD5">
        <w:rPr>
          <w:rFonts w:asciiTheme="majorHAnsi" w:hAnsiTheme="majorHAnsi"/>
        </w:rPr>
        <w:t>a</w:t>
      </w:r>
      <w:r w:rsidRPr="00A11FE0">
        <w:rPr>
          <w:rFonts w:asciiTheme="majorHAnsi" w:hAnsiTheme="majorHAnsi"/>
        </w:rPr>
        <w:t xml:space="preserve">j vo vzťahu </w:t>
      </w:r>
      <w:r w:rsidR="00BD5FD5">
        <w:rPr>
          <w:rFonts w:asciiTheme="majorHAnsi" w:hAnsiTheme="majorHAnsi"/>
        </w:rPr>
        <w:t>k </w:t>
      </w:r>
      <w:r w:rsidR="003E6F9E" w:rsidRPr="00A11FE0">
        <w:rPr>
          <w:rFonts w:asciiTheme="majorHAnsi" w:hAnsiTheme="majorHAnsi"/>
        </w:rPr>
        <w:t>očakávaným</w:t>
      </w:r>
      <w:r w:rsidRPr="00A11FE0">
        <w:rPr>
          <w:rFonts w:asciiTheme="majorHAnsi" w:hAnsiTheme="majorHAnsi"/>
        </w:rPr>
        <w:t xml:space="preserve"> </w:t>
      </w:r>
      <w:r w:rsidR="00656725">
        <w:rPr>
          <w:rFonts w:asciiTheme="majorHAnsi" w:hAnsiTheme="majorHAnsi"/>
        </w:rPr>
        <w:t>dôsle</w:t>
      </w:r>
      <w:r w:rsidR="00E60EFC">
        <w:rPr>
          <w:rFonts w:asciiTheme="majorHAnsi" w:hAnsiTheme="majorHAnsi"/>
        </w:rPr>
        <w:t>d</w:t>
      </w:r>
      <w:r w:rsidR="00656725">
        <w:rPr>
          <w:rFonts w:asciiTheme="majorHAnsi" w:hAnsiTheme="majorHAnsi"/>
        </w:rPr>
        <w:t>kom</w:t>
      </w:r>
      <w:r w:rsidR="00656725" w:rsidRPr="00A11FE0">
        <w:rPr>
          <w:rFonts w:asciiTheme="majorHAnsi" w:hAnsiTheme="majorHAnsi"/>
        </w:rPr>
        <w:t xml:space="preserve"> </w:t>
      </w:r>
      <w:r w:rsidRPr="00A11FE0">
        <w:rPr>
          <w:rFonts w:asciiTheme="majorHAnsi" w:hAnsiTheme="majorHAnsi"/>
        </w:rPr>
        <w:t xml:space="preserve">zmeny </w:t>
      </w:r>
      <w:r w:rsidR="00BD5FD5">
        <w:rPr>
          <w:rFonts w:asciiTheme="majorHAnsi" w:hAnsiTheme="majorHAnsi"/>
        </w:rPr>
        <w:t>k</w:t>
      </w:r>
      <w:r w:rsidRPr="00A11FE0">
        <w:rPr>
          <w:rFonts w:asciiTheme="majorHAnsi" w:hAnsiTheme="majorHAnsi"/>
        </w:rPr>
        <w:t xml:space="preserve">límy, úzko </w:t>
      </w:r>
      <w:r w:rsidR="00BD5FD5">
        <w:rPr>
          <w:rFonts w:asciiTheme="majorHAnsi" w:hAnsiTheme="majorHAnsi"/>
        </w:rPr>
        <w:t>s</w:t>
      </w:r>
      <w:r w:rsidRPr="00A11FE0">
        <w:rPr>
          <w:rFonts w:asciiTheme="majorHAnsi" w:hAnsiTheme="majorHAnsi"/>
        </w:rPr>
        <w:t xml:space="preserve">úvisí </w:t>
      </w:r>
      <w:r w:rsidR="00BD5FD5">
        <w:rPr>
          <w:rFonts w:asciiTheme="majorHAnsi" w:hAnsiTheme="majorHAnsi"/>
        </w:rPr>
        <w:t>s</w:t>
      </w:r>
      <w:r w:rsidR="00C63B72">
        <w:rPr>
          <w:rFonts w:asciiTheme="majorHAnsi" w:hAnsiTheme="majorHAnsi"/>
        </w:rPr>
        <w:t> </w:t>
      </w:r>
      <w:r w:rsidRPr="00A11FE0">
        <w:rPr>
          <w:rFonts w:asciiTheme="majorHAnsi" w:hAnsiTheme="majorHAnsi"/>
        </w:rPr>
        <w:t>realizáciou</w:t>
      </w:r>
      <w:r w:rsidR="00C63B72">
        <w:rPr>
          <w:rFonts w:asciiTheme="majorHAnsi" w:hAnsiTheme="majorHAnsi"/>
        </w:rPr>
        <w:t xml:space="preserve"> </w:t>
      </w:r>
      <w:r w:rsidR="007459ED" w:rsidRPr="00A11FE0">
        <w:rPr>
          <w:rFonts w:asciiTheme="majorHAnsi" w:hAnsiTheme="majorHAnsi"/>
        </w:rPr>
        <w:t>Inteligentných</w:t>
      </w:r>
      <w:r w:rsidRPr="00A11FE0">
        <w:rPr>
          <w:rFonts w:asciiTheme="majorHAnsi" w:hAnsiTheme="majorHAnsi"/>
        </w:rPr>
        <w:t xml:space="preserve"> </w:t>
      </w:r>
      <w:r w:rsidR="003E6F9E" w:rsidRPr="00A11FE0">
        <w:rPr>
          <w:rFonts w:asciiTheme="majorHAnsi" w:hAnsiTheme="majorHAnsi"/>
        </w:rPr>
        <w:t>dopravných</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ystémov. Ďalším opatrením v</w:t>
      </w:r>
      <w:r w:rsidR="00F76D86">
        <w:rPr>
          <w:rFonts w:asciiTheme="majorHAnsi" w:hAnsiTheme="majorHAnsi"/>
        </w:rPr>
        <w:t> </w:t>
      </w:r>
      <w:r w:rsidRPr="00A11FE0">
        <w:rPr>
          <w:rFonts w:asciiTheme="majorHAnsi" w:hAnsiTheme="majorHAnsi"/>
        </w:rPr>
        <w:t xml:space="preserve">tejto oblasti je </w:t>
      </w:r>
      <w:r w:rsidR="003E6F9E" w:rsidRPr="00A11FE0">
        <w:rPr>
          <w:rFonts w:asciiTheme="majorHAnsi" w:hAnsiTheme="majorHAnsi"/>
        </w:rPr>
        <w:t>výraznejšia</w:t>
      </w:r>
      <w:r w:rsidRPr="00A11FE0">
        <w:rPr>
          <w:rFonts w:asciiTheme="majorHAnsi" w:hAnsiTheme="majorHAnsi"/>
        </w:rPr>
        <w:t xml:space="preserve"> edukačná </w:t>
      </w:r>
      <w:r w:rsidR="00BD5FD5">
        <w:rPr>
          <w:rFonts w:asciiTheme="majorHAnsi" w:hAnsiTheme="majorHAnsi"/>
        </w:rPr>
        <w:t>a </w:t>
      </w:r>
      <w:r w:rsidRPr="00A11FE0">
        <w:rPr>
          <w:rFonts w:asciiTheme="majorHAnsi" w:hAnsiTheme="majorHAnsi"/>
        </w:rPr>
        <w:t xml:space="preserve">osvetová činnosť (médiá, školy, </w:t>
      </w:r>
      <w:r w:rsidR="00BD5FD5">
        <w:rPr>
          <w:rFonts w:asciiTheme="majorHAnsi" w:hAnsiTheme="majorHAnsi"/>
        </w:rPr>
        <w:t>a</w:t>
      </w:r>
      <w:r w:rsidRPr="00A11FE0">
        <w:rPr>
          <w:rFonts w:asciiTheme="majorHAnsi" w:hAnsiTheme="majorHAnsi"/>
        </w:rPr>
        <w:t>utoškoly)</w:t>
      </w:r>
      <w:r w:rsidR="00D04DFB">
        <w:rPr>
          <w:rFonts w:asciiTheme="majorHAnsi" w:hAnsiTheme="majorHAnsi"/>
        </w:rPr>
        <w:t>,</w:t>
      </w:r>
      <w:r w:rsidRPr="00A11FE0">
        <w:rPr>
          <w:rFonts w:asciiTheme="majorHAnsi" w:hAnsiTheme="majorHAnsi"/>
        </w:rPr>
        <w:t xml:space="preserve"> zameraná na informovanosť o</w:t>
      </w:r>
      <w:r w:rsidR="00F76D86">
        <w:rPr>
          <w:rFonts w:asciiTheme="majorHAnsi" w:hAnsiTheme="majorHAnsi"/>
        </w:rPr>
        <w:t> </w:t>
      </w:r>
      <w:r w:rsidRPr="00A11FE0">
        <w:rPr>
          <w:rFonts w:asciiTheme="majorHAnsi" w:hAnsiTheme="majorHAnsi"/>
        </w:rPr>
        <w:t>rizikách extrémov počasia.</w:t>
      </w:r>
    </w:p>
    <w:p w:rsidR="00406C25" w:rsidRPr="00A11FE0" w:rsidRDefault="00BD5FD5" w:rsidP="004B6F41">
      <w:pPr>
        <w:keepNext/>
        <w:keepLines/>
        <w:numPr>
          <w:ilvl w:val="5"/>
          <w:numId w:val="2"/>
        </w:numPr>
        <w:spacing w:before="200" w:after="0"/>
        <w:outlineLvl w:val="5"/>
        <w:rPr>
          <w:rFonts w:asciiTheme="majorHAnsi" w:hAnsiTheme="majorHAnsi"/>
          <w:i/>
          <w:iCs/>
          <w:color w:val="243F60"/>
        </w:rPr>
      </w:pPr>
      <w:r>
        <w:rPr>
          <w:rFonts w:asciiTheme="majorHAnsi" w:hAnsiTheme="majorHAnsi"/>
          <w:i/>
          <w:iCs/>
          <w:color w:val="243F60"/>
        </w:rPr>
        <w:t>S</w:t>
      </w:r>
      <w:r w:rsidR="00406C25" w:rsidRPr="00A11FE0">
        <w:rPr>
          <w:rFonts w:asciiTheme="majorHAnsi" w:hAnsiTheme="majorHAnsi"/>
          <w:i/>
          <w:iCs/>
          <w:color w:val="243F60"/>
        </w:rPr>
        <w:t>ektor energetiky</w:t>
      </w:r>
    </w:p>
    <w:p w:rsidR="00406C25" w:rsidRPr="00A11FE0" w:rsidRDefault="00406C25" w:rsidP="00406C25">
      <w:pPr>
        <w:rPr>
          <w:rFonts w:asciiTheme="majorHAnsi" w:hAnsiTheme="majorHAnsi"/>
        </w:rPr>
      </w:pPr>
      <w:r w:rsidRPr="00A11FE0">
        <w:rPr>
          <w:rFonts w:asciiTheme="majorHAnsi" w:hAnsiTheme="majorHAnsi"/>
        </w:rPr>
        <w:t xml:space="preserve">Pri hornom odhade dopadov zmeny </w:t>
      </w:r>
      <w:r w:rsidR="00BD5FD5">
        <w:rPr>
          <w:rFonts w:asciiTheme="majorHAnsi" w:hAnsiTheme="majorHAnsi"/>
        </w:rPr>
        <w:t>k</w:t>
      </w:r>
      <w:r w:rsidRPr="00A11FE0">
        <w:rPr>
          <w:rFonts w:asciiTheme="majorHAnsi" w:hAnsiTheme="majorHAnsi"/>
        </w:rPr>
        <w:t xml:space="preserve">límy (vyšší vplyv na ekonomiku) dôjde bez </w:t>
      </w:r>
      <w:r w:rsidR="003E12FD">
        <w:rPr>
          <w:rFonts w:asciiTheme="majorHAnsi" w:hAnsiTheme="majorHAnsi"/>
        </w:rPr>
        <w:t>a</w:t>
      </w:r>
      <w:r w:rsidR="003E12FD" w:rsidRPr="00A11FE0">
        <w:rPr>
          <w:rFonts w:asciiTheme="majorHAnsi" w:hAnsiTheme="majorHAnsi"/>
        </w:rPr>
        <w:t>daptačných</w:t>
      </w:r>
      <w:r w:rsidRPr="00A11FE0">
        <w:rPr>
          <w:rFonts w:asciiTheme="majorHAnsi" w:hAnsiTheme="majorHAnsi"/>
        </w:rPr>
        <w:t xml:space="preserve"> opatrení v</w:t>
      </w:r>
      <w:r w:rsidR="007F2C41" w:rsidRPr="00A11FE0">
        <w:rPr>
          <w:rFonts w:asciiTheme="majorHAnsi" w:hAnsiTheme="majorHAnsi"/>
        </w:rPr>
        <w:t> </w:t>
      </w:r>
      <w:r w:rsidRPr="00A11FE0">
        <w:rPr>
          <w:rFonts w:asciiTheme="majorHAnsi" w:hAnsiTheme="majorHAnsi"/>
        </w:rPr>
        <w:t>horizonte</w:t>
      </w:r>
      <w:r w:rsidR="007F2C41" w:rsidRPr="00A11FE0">
        <w:rPr>
          <w:rFonts w:asciiTheme="majorHAnsi" w:hAnsiTheme="majorHAnsi"/>
        </w:rPr>
        <w:t xml:space="preserve"> </w:t>
      </w:r>
      <w:r w:rsidRPr="00A11FE0">
        <w:rPr>
          <w:rFonts w:asciiTheme="majorHAnsi" w:hAnsiTheme="majorHAnsi"/>
        </w:rPr>
        <w:t xml:space="preserve">do roku 2050 </w:t>
      </w:r>
      <w:r w:rsidR="00BD5FD5">
        <w:rPr>
          <w:rFonts w:asciiTheme="majorHAnsi" w:hAnsiTheme="majorHAnsi"/>
        </w:rPr>
        <w:t>k </w:t>
      </w:r>
      <w:r w:rsidRPr="00A11FE0">
        <w:rPr>
          <w:rFonts w:asciiTheme="majorHAnsi" w:hAnsiTheme="majorHAnsi"/>
        </w:rPr>
        <w:t>poklesu produkcie v</w:t>
      </w:r>
      <w:r w:rsidR="00141F9E">
        <w:rPr>
          <w:rFonts w:asciiTheme="majorHAnsi" w:hAnsiTheme="majorHAnsi"/>
        </w:rPr>
        <w:t> </w:t>
      </w:r>
      <w:r w:rsidR="00BD5FD5">
        <w:rPr>
          <w:rFonts w:asciiTheme="majorHAnsi" w:hAnsiTheme="majorHAnsi"/>
        </w:rPr>
        <w:t>s</w:t>
      </w:r>
      <w:r w:rsidRPr="00A11FE0">
        <w:rPr>
          <w:rFonts w:asciiTheme="majorHAnsi" w:hAnsiTheme="majorHAnsi"/>
        </w:rPr>
        <w:t>ektore energetik</w:t>
      </w:r>
      <w:r w:rsidR="00D70FE5" w:rsidRPr="00A11FE0">
        <w:rPr>
          <w:rFonts w:asciiTheme="majorHAnsi" w:hAnsiTheme="majorHAnsi"/>
        </w:rPr>
        <w:t>y</w:t>
      </w:r>
      <w:r w:rsidRPr="00A11FE0">
        <w:rPr>
          <w:rFonts w:asciiTheme="majorHAnsi" w:hAnsiTheme="majorHAnsi"/>
        </w:rPr>
        <w:t xml:space="preserve"> o</w:t>
      </w:r>
      <w:r w:rsidR="00F76D86">
        <w:rPr>
          <w:rFonts w:asciiTheme="majorHAnsi" w:hAnsiTheme="majorHAnsi"/>
        </w:rPr>
        <w:t> </w:t>
      </w:r>
      <w:r w:rsidRPr="00A11FE0">
        <w:rPr>
          <w:rFonts w:asciiTheme="majorHAnsi" w:hAnsiTheme="majorHAnsi"/>
        </w:rPr>
        <w:t xml:space="preserve">4,6 mld. </w:t>
      </w:r>
      <w:r w:rsidR="00992762">
        <w:rPr>
          <w:rFonts w:asciiTheme="majorHAnsi" w:hAnsiTheme="majorHAnsi"/>
        </w:rPr>
        <w:t>EUR</w:t>
      </w:r>
      <w:r w:rsidRPr="00A11FE0">
        <w:rPr>
          <w:rFonts w:asciiTheme="majorHAnsi" w:hAnsiTheme="majorHAnsi"/>
        </w:rPr>
        <w:t>, teda o</w:t>
      </w:r>
      <w:r w:rsidR="00545422">
        <w:rPr>
          <w:rFonts w:asciiTheme="majorHAnsi" w:hAnsiTheme="majorHAnsi"/>
        </w:rPr>
        <w:t> </w:t>
      </w:r>
      <w:r w:rsidRPr="00A11FE0">
        <w:rPr>
          <w:rFonts w:asciiTheme="majorHAnsi" w:hAnsiTheme="majorHAnsi"/>
        </w:rPr>
        <w:t>takmer</w:t>
      </w:r>
      <w:r w:rsidR="00545422">
        <w:rPr>
          <w:rFonts w:asciiTheme="majorHAnsi" w:hAnsiTheme="majorHAnsi"/>
        </w:rPr>
        <w:t xml:space="preserve"> </w:t>
      </w:r>
      <w:r w:rsidRPr="00A11FE0">
        <w:rPr>
          <w:rFonts w:asciiTheme="majorHAnsi" w:hAnsiTheme="majorHAnsi"/>
        </w:rPr>
        <w:t xml:space="preserve">dvojnásobok oproti dolnému </w:t>
      </w:r>
      <w:r w:rsidR="00BD5FD5">
        <w:rPr>
          <w:rFonts w:asciiTheme="majorHAnsi" w:hAnsiTheme="majorHAnsi"/>
        </w:rPr>
        <w:t>s</w:t>
      </w:r>
      <w:r w:rsidRPr="00A11FE0">
        <w:rPr>
          <w:rFonts w:asciiTheme="majorHAnsi" w:hAnsiTheme="majorHAnsi"/>
        </w:rPr>
        <w:t>cenáru. V</w:t>
      </w:r>
      <w:r w:rsidR="00F76D86">
        <w:rPr>
          <w:rFonts w:asciiTheme="majorHAnsi" w:hAnsiTheme="majorHAnsi"/>
        </w:rPr>
        <w:t> </w:t>
      </w:r>
      <w:r w:rsidRPr="00A11FE0">
        <w:rPr>
          <w:rFonts w:asciiTheme="majorHAnsi" w:hAnsiTheme="majorHAnsi"/>
        </w:rPr>
        <w:t>relatívnom vyjadrení je to pokles produkcie o</w:t>
      </w:r>
      <w:r w:rsidR="001E240E" w:rsidRPr="00A11FE0">
        <w:rPr>
          <w:rFonts w:asciiTheme="majorHAnsi" w:hAnsiTheme="majorHAnsi"/>
        </w:rPr>
        <w:t> </w:t>
      </w:r>
      <w:r w:rsidRPr="00A11FE0">
        <w:rPr>
          <w:rFonts w:asciiTheme="majorHAnsi" w:hAnsiTheme="majorHAnsi"/>
        </w:rPr>
        <w:t>takmer</w:t>
      </w:r>
      <w:r w:rsidR="001E240E" w:rsidRPr="00A11FE0">
        <w:rPr>
          <w:rFonts w:asciiTheme="majorHAnsi" w:hAnsiTheme="majorHAnsi"/>
        </w:rPr>
        <w:t xml:space="preserve"> </w:t>
      </w:r>
      <w:r w:rsidRPr="00A11FE0">
        <w:rPr>
          <w:rFonts w:asciiTheme="majorHAnsi" w:hAnsiTheme="majorHAnsi"/>
        </w:rPr>
        <w:t>11 %</w:t>
      </w:r>
      <w:r w:rsidR="0014227C">
        <w:rPr>
          <w:rStyle w:val="Odkaznapoznmkupodiarou"/>
          <w:rFonts w:asciiTheme="majorHAnsi" w:hAnsiTheme="majorHAnsi"/>
        </w:rPr>
        <w:footnoteReference w:id="192"/>
      </w:r>
      <w:r w:rsidRPr="00A11FE0">
        <w:rPr>
          <w:rFonts w:asciiTheme="majorHAnsi" w:hAnsiTheme="majorHAnsi"/>
        </w:rPr>
        <w:t>.</w:t>
      </w:r>
    </w:p>
    <w:p w:rsidR="00406C25" w:rsidRPr="00A11FE0" w:rsidRDefault="00406C25" w:rsidP="004B6F41">
      <w:pPr>
        <w:keepNext/>
        <w:keepLines/>
        <w:numPr>
          <w:ilvl w:val="5"/>
          <w:numId w:val="2"/>
        </w:numPr>
        <w:spacing w:before="200" w:after="0"/>
        <w:outlineLvl w:val="5"/>
        <w:rPr>
          <w:rFonts w:asciiTheme="majorHAnsi" w:hAnsiTheme="majorHAnsi"/>
          <w:i/>
          <w:iCs/>
          <w:color w:val="243F60"/>
        </w:rPr>
      </w:pPr>
      <w:r w:rsidRPr="00A11FE0">
        <w:rPr>
          <w:rFonts w:asciiTheme="majorHAnsi" w:hAnsiTheme="majorHAnsi"/>
          <w:i/>
          <w:iCs/>
          <w:color w:val="243F60"/>
        </w:rPr>
        <w:t xml:space="preserve">Geológia </w:t>
      </w:r>
      <w:r w:rsidR="00BD5FD5">
        <w:rPr>
          <w:rFonts w:asciiTheme="majorHAnsi" w:hAnsiTheme="majorHAnsi"/>
          <w:i/>
          <w:iCs/>
          <w:color w:val="243F60"/>
        </w:rPr>
        <w:t>a </w:t>
      </w:r>
      <w:r w:rsidRPr="00A11FE0">
        <w:rPr>
          <w:rFonts w:asciiTheme="majorHAnsi" w:hAnsiTheme="majorHAnsi"/>
          <w:i/>
          <w:iCs/>
          <w:color w:val="243F60"/>
        </w:rPr>
        <w:t>prírodné zdroje</w:t>
      </w:r>
    </w:p>
    <w:p w:rsidR="00406C25" w:rsidRDefault="00406C25" w:rsidP="00406C25">
      <w:pPr>
        <w:rPr>
          <w:rFonts w:asciiTheme="majorHAnsi" w:hAnsiTheme="majorHAnsi"/>
        </w:rPr>
      </w:pPr>
      <w:r w:rsidRPr="00A11FE0">
        <w:rPr>
          <w:rFonts w:asciiTheme="majorHAnsi" w:hAnsiTheme="majorHAnsi"/>
          <w:szCs w:val="22"/>
        </w:rPr>
        <w:t>Jeden z</w:t>
      </w:r>
      <w:r w:rsidR="00141F9E">
        <w:rPr>
          <w:rFonts w:asciiTheme="majorHAnsi" w:hAnsiTheme="majorHAnsi"/>
          <w:szCs w:val="22"/>
        </w:rPr>
        <w:t> </w:t>
      </w:r>
      <w:r w:rsidRPr="00A11FE0">
        <w:rPr>
          <w:rFonts w:asciiTheme="majorHAnsi" w:hAnsiTheme="majorHAnsi"/>
          <w:szCs w:val="22"/>
        </w:rPr>
        <w:t xml:space="preserve">najvýznamnejších prejavov exogénnych geodynamických procesov predstavujú </w:t>
      </w:r>
      <w:r w:rsidR="00BD5FD5">
        <w:rPr>
          <w:rFonts w:asciiTheme="majorHAnsi" w:hAnsiTheme="majorHAnsi"/>
          <w:szCs w:val="22"/>
        </w:rPr>
        <w:t>s</w:t>
      </w:r>
      <w:r w:rsidRPr="00A11FE0">
        <w:rPr>
          <w:rFonts w:asciiTheme="majorHAnsi" w:hAnsiTheme="majorHAnsi"/>
          <w:szCs w:val="22"/>
        </w:rPr>
        <w:t>vahové deformácie (najmä zosuvy). Na základe údajov z </w:t>
      </w:r>
      <w:r w:rsidR="00BD5FD5">
        <w:rPr>
          <w:rFonts w:asciiTheme="majorHAnsi" w:hAnsiTheme="majorHAnsi"/>
          <w:szCs w:val="22"/>
        </w:rPr>
        <w:t>A</w:t>
      </w:r>
      <w:r w:rsidRPr="00A11FE0">
        <w:rPr>
          <w:rFonts w:asciiTheme="majorHAnsi" w:hAnsiTheme="majorHAnsi"/>
          <w:szCs w:val="22"/>
        </w:rPr>
        <w:t xml:space="preserve">tlasu máp </w:t>
      </w:r>
      <w:r w:rsidR="00BD5FD5">
        <w:rPr>
          <w:rFonts w:asciiTheme="majorHAnsi" w:hAnsiTheme="majorHAnsi"/>
          <w:szCs w:val="22"/>
        </w:rPr>
        <w:t>s</w:t>
      </w:r>
      <w:r w:rsidRPr="00A11FE0">
        <w:rPr>
          <w:rFonts w:asciiTheme="majorHAnsi" w:hAnsiTheme="majorHAnsi"/>
          <w:szCs w:val="22"/>
        </w:rPr>
        <w:t xml:space="preserve">tability </w:t>
      </w:r>
      <w:r w:rsidR="00BD5FD5">
        <w:rPr>
          <w:rFonts w:asciiTheme="majorHAnsi" w:hAnsiTheme="majorHAnsi"/>
          <w:szCs w:val="22"/>
        </w:rPr>
        <w:t>s</w:t>
      </w:r>
      <w:r w:rsidRPr="00A11FE0">
        <w:rPr>
          <w:rFonts w:asciiTheme="majorHAnsi" w:hAnsiTheme="majorHAnsi"/>
          <w:szCs w:val="22"/>
        </w:rPr>
        <w:t xml:space="preserve">vahov </w:t>
      </w:r>
      <w:r w:rsidR="00BD5FD5">
        <w:rPr>
          <w:rFonts w:asciiTheme="majorHAnsi" w:hAnsiTheme="majorHAnsi"/>
          <w:szCs w:val="22"/>
        </w:rPr>
        <w:t>S</w:t>
      </w:r>
      <w:r w:rsidRPr="00A11FE0">
        <w:rPr>
          <w:rFonts w:asciiTheme="majorHAnsi" w:hAnsiTheme="majorHAnsi"/>
          <w:szCs w:val="22"/>
        </w:rPr>
        <w:t>R</w:t>
      </w:r>
      <w:r w:rsidRPr="00A11FE0">
        <w:rPr>
          <w:rFonts w:asciiTheme="majorHAnsi" w:hAnsiTheme="majorHAnsi"/>
          <w:szCs w:val="22"/>
          <w:vertAlign w:val="superscript"/>
        </w:rPr>
        <w:footnoteReference w:id="193"/>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a v</w:t>
      </w:r>
      <w:r w:rsidR="00141F9E">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R nachádza </w:t>
      </w:r>
      <w:r w:rsidR="004643E8">
        <w:rPr>
          <w:rFonts w:asciiTheme="majorHAnsi" w:hAnsiTheme="majorHAnsi"/>
          <w:szCs w:val="22"/>
        </w:rPr>
        <w:br/>
      </w:r>
      <w:r w:rsidRPr="00A11FE0">
        <w:rPr>
          <w:rFonts w:asciiTheme="majorHAnsi" w:hAnsiTheme="majorHAnsi"/>
          <w:szCs w:val="22"/>
        </w:rPr>
        <w:t xml:space="preserve">21 190 </w:t>
      </w:r>
      <w:r w:rsidR="00BD5FD5">
        <w:rPr>
          <w:rFonts w:asciiTheme="majorHAnsi" w:hAnsiTheme="majorHAnsi"/>
          <w:szCs w:val="22"/>
        </w:rPr>
        <w:t>s</w:t>
      </w:r>
      <w:r w:rsidRPr="00A11FE0">
        <w:rPr>
          <w:rFonts w:asciiTheme="majorHAnsi" w:hAnsiTheme="majorHAnsi"/>
          <w:szCs w:val="22"/>
        </w:rPr>
        <w:t xml:space="preserve">vahových deformácií. Porušujú územie </w:t>
      </w:r>
      <w:r w:rsidR="00BD5FD5">
        <w:rPr>
          <w:rFonts w:asciiTheme="majorHAnsi" w:hAnsiTheme="majorHAnsi"/>
          <w:szCs w:val="22"/>
        </w:rPr>
        <w:t>s </w:t>
      </w:r>
      <w:r w:rsidRPr="00A11FE0">
        <w:rPr>
          <w:rFonts w:asciiTheme="majorHAnsi" w:hAnsiTheme="majorHAnsi"/>
          <w:szCs w:val="22"/>
        </w:rPr>
        <w:t xml:space="preserve">rozlohou 257,5 tis. ha, čo predstavuje 5,25 % rozlohy </w:t>
      </w:r>
      <w:r w:rsidR="00BD5FD5">
        <w:rPr>
          <w:rFonts w:asciiTheme="majorHAnsi" w:hAnsiTheme="majorHAnsi"/>
          <w:szCs w:val="22"/>
        </w:rPr>
        <w:t>S</w:t>
      </w:r>
      <w:r w:rsidR="00F52AA3" w:rsidRPr="00A11FE0">
        <w:rPr>
          <w:rFonts w:asciiTheme="majorHAnsi" w:hAnsiTheme="majorHAnsi"/>
          <w:szCs w:val="22"/>
        </w:rPr>
        <w:t>R</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vahové deformácie ohrozujú 98,8 </w:t>
      </w:r>
      <w:r w:rsidR="00BD5FD5">
        <w:rPr>
          <w:rFonts w:asciiTheme="majorHAnsi" w:hAnsiTheme="majorHAnsi"/>
          <w:szCs w:val="22"/>
        </w:rPr>
        <w:t>k</w:t>
      </w:r>
      <w:r w:rsidRPr="00A11FE0">
        <w:rPr>
          <w:rFonts w:asciiTheme="majorHAnsi" w:hAnsiTheme="majorHAnsi"/>
          <w:szCs w:val="22"/>
        </w:rPr>
        <w:t xml:space="preserve">m diaľnic </w:t>
      </w:r>
      <w:r w:rsidR="00BD5FD5">
        <w:rPr>
          <w:rFonts w:asciiTheme="majorHAnsi" w:hAnsiTheme="majorHAnsi"/>
          <w:szCs w:val="22"/>
        </w:rPr>
        <w:t>a </w:t>
      </w:r>
      <w:r w:rsidRPr="00A11FE0">
        <w:rPr>
          <w:rFonts w:asciiTheme="majorHAnsi" w:hAnsiTheme="majorHAnsi"/>
          <w:szCs w:val="22"/>
        </w:rPr>
        <w:t xml:space="preserve">ciest I. triedy, 571 </w:t>
      </w:r>
      <w:r w:rsidR="00BD5FD5">
        <w:rPr>
          <w:rFonts w:asciiTheme="majorHAnsi" w:hAnsiTheme="majorHAnsi"/>
          <w:szCs w:val="22"/>
        </w:rPr>
        <w:t>k</w:t>
      </w:r>
      <w:r w:rsidRPr="00A11FE0">
        <w:rPr>
          <w:rFonts w:asciiTheme="majorHAnsi" w:hAnsiTheme="majorHAnsi"/>
          <w:szCs w:val="22"/>
        </w:rPr>
        <w:t xml:space="preserve">m ciest II. </w:t>
      </w:r>
      <w:r w:rsidR="00BD5FD5">
        <w:rPr>
          <w:rFonts w:asciiTheme="majorHAnsi" w:hAnsiTheme="majorHAnsi"/>
          <w:szCs w:val="22"/>
        </w:rPr>
        <w:t>a </w:t>
      </w:r>
      <w:r w:rsidRPr="00A11FE0">
        <w:rPr>
          <w:rFonts w:asciiTheme="majorHAnsi" w:hAnsiTheme="majorHAnsi"/>
          <w:szCs w:val="22"/>
        </w:rPr>
        <w:t xml:space="preserve">III. triedy, 62 </w:t>
      </w:r>
      <w:r w:rsidR="00BD5FD5">
        <w:rPr>
          <w:rFonts w:asciiTheme="majorHAnsi" w:hAnsiTheme="majorHAnsi"/>
          <w:szCs w:val="22"/>
        </w:rPr>
        <w:t>k</w:t>
      </w:r>
      <w:r w:rsidRPr="00A11FE0">
        <w:rPr>
          <w:rFonts w:asciiTheme="majorHAnsi" w:hAnsiTheme="majorHAnsi"/>
          <w:szCs w:val="22"/>
        </w:rPr>
        <w:t xml:space="preserve">m železníc, 11 </w:t>
      </w:r>
      <w:r w:rsidR="00BD5FD5">
        <w:rPr>
          <w:rFonts w:asciiTheme="majorHAnsi" w:hAnsiTheme="majorHAnsi"/>
          <w:szCs w:val="22"/>
        </w:rPr>
        <w:t>k</w:t>
      </w:r>
      <w:r w:rsidRPr="00A11FE0">
        <w:rPr>
          <w:rFonts w:asciiTheme="majorHAnsi" w:hAnsiTheme="majorHAnsi"/>
          <w:szCs w:val="22"/>
        </w:rPr>
        <w:t xml:space="preserve">m nadzemných vedení, 3,5 </w:t>
      </w:r>
      <w:r w:rsidR="00BD5FD5">
        <w:rPr>
          <w:rFonts w:asciiTheme="majorHAnsi" w:hAnsiTheme="majorHAnsi"/>
          <w:szCs w:val="22"/>
        </w:rPr>
        <w:t>k</w:t>
      </w:r>
      <w:r w:rsidRPr="00A11FE0">
        <w:rPr>
          <w:rFonts w:asciiTheme="majorHAnsi" w:hAnsiTheme="majorHAnsi"/>
          <w:szCs w:val="22"/>
        </w:rPr>
        <w:t xml:space="preserve">m ropovodov, 101 </w:t>
      </w:r>
      <w:r w:rsidR="00BD5FD5">
        <w:rPr>
          <w:rFonts w:asciiTheme="majorHAnsi" w:hAnsiTheme="majorHAnsi"/>
          <w:szCs w:val="22"/>
        </w:rPr>
        <w:t>k</w:t>
      </w:r>
      <w:r w:rsidRPr="00A11FE0">
        <w:rPr>
          <w:rFonts w:asciiTheme="majorHAnsi" w:hAnsiTheme="majorHAnsi"/>
          <w:szCs w:val="22"/>
        </w:rPr>
        <w:t xml:space="preserve">m plynovodov, 291 </w:t>
      </w:r>
      <w:r w:rsidR="00BD5FD5">
        <w:rPr>
          <w:rFonts w:asciiTheme="majorHAnsi" w:hAnsiTheme="majorHAnsi"/>
          <w:szCs w:val="22"/>
        </w:rPr>
        <w:t>k</w:t>
      </w:r>
      <w:r w:rsidRPr="00A11FE0">
        <w:rPr>
          <w:rFonts w:asciiTheme="majorHAnsi" w:hAnsiTheme="majorHAnsi"/>
          <w:szCs w:val="22"/>
        </w:rPr>
        <w:t xml:space="preserve">m vodovodov </w:t>
      </w:r>
      <w:r w:rsidR="00BD5FD5">
        <w:rPr>
          <w:rFonts w:asciiTheme="majorHAnsi" w:hAnsiTheme="majorHAnsi"/>
          <w:szCs w:val="22"/>
        </w:rPr>
        <w:t>a </w:t>
      </w:r>
      <w:r w:rsidRPr="00A11FE0">
        <w:rPr>
          <w:rFonts w:asciiTheme="majorHAnsi" w:hAnsiTheme="majorHAnsi"/>
          <w:szCs w:val="22"/>
        </w:rPr>
        <w:t xml:space="preserve">takmer 30 000 pozemných </w:t>
      </w:r>
      <w:r w:rsidR="00BD5FD5">
        <w:rPr>
          <w:rFonts w:asciiTheme="majorHAnsi" w:hAnsiTheme="majorHAnsi"/>
          <w:szCs w:val="22"/>
        </w:rPr>
        <w:t>s</w:t>
      </w:r>
      <w:r w:rsidRPr="00A11FE0">
        <w:rPr>
          <w:rFonts w:asciiTheme="majorHAnsi" w:hAnsiTheme="majorHAnsi"/>
          <w:szCs w:val="22"/>
        </w:rPr>
        <w:t xml:space="preserve">tavieb. </w:t>
      </w:r>
      <w:r w:rsidRPr="00A11FE0">
        <w:rPr>
          <w:rFonts w:asciiTheme="majorHAnsi" w:hAnsiTheme="majorHAnsi"/>
        </w:rPr>
        <w:t>V</w:t>
      </w:r>
      <w:r w:rsidR="00141F9E">
        <w:rPr>
          <w:rFonts w:asciiTheme="majorHAnsi" w:hAnsiTheme="majorHAnsi"/>
        </w:rPr>
        <w:t>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s</w:t>
      </w:r>
      <w:r w:rsidRPr="00A11FE0">
        <w:rPr>
          <w:rFonts w:asciiTheme="majorHAnsi" w:hAnsiTheme="majorHAnsi"/>
        </w:rPr>
        <w:t xml:space="preserve">a nachádzajú viaceré uzavreté </w:t>
      </w:r>
      <w:r w:rsidR="00BD5FD5">
        <w:rPr>
          <w:rFonts w:asciiTheme="majorHAnsi" w:hAnsiTheme="majorHAnsi"/>
        </w:rPr>
        <w:t>a </w:t>
      </w:r>
      <w:r w:rsidRPr="00A11FE0">
        <w:rPr>
          <w:rFonts w:asciiTheme="majorHAnsi" w:hAnsiTheme="majorHAnsi"/>
        </w:rPr>
        <w:t>opustené</w:t>
      </w:r>
      <w:r w:rsidR="00C63B72">
        <w:rPr>
          <w:rFonts w:asciiTheme="majorHAnsi" w:hAnsiTheme="majorHAnsi"/>
        </w:rPr>
        <w:t xml:space="preserve"> </w:t>
      </w:r>
      <w:r w:rsidRPr="00A11FE0">
        <w:rPr>
          <w:rFonts w:asciiTheme="majorHAnsi" w:hAnsiTheme="majorHAnsi"/>
        </w:rPr>
        <w:t xml:space="preserve">úložiská ťažobných odpadov, </w:t>
      </w:r>
      <w:r w:rsidR="00BD5FD5">
        <w:rPr>
          <w:rFonts w:asciiTheme="majorHAnsi" w:hAnsiTheme="majorHAnsi"/>
        </w:rPr>
        <w:t>k</w:t>
      </w:r>
      <w:r w:rsidRPr="00A11FE0">
        <w:rPr>
          <w:rFonts w:asciiTheme="majorHAnsi" w:hAnsiTheme="majorHAnsi"/>
        </w:rPr>
        <w:t>toré vzhľadom na uložený materiál predstavujú dlhodobé riziko z</w:t>
      </w:r>
      <w:r w:rsidR="00141F9E">
        <w:rPr>
          <w:rFonts w:asciiTheme="majorHAnsi" w:hAnsiTheme="majorHAnsi"/>
        </w:rPr>
        <w:t> </w:t>
      </w:r>
      <w:r w:rsidRPr="00A11FE0">
        <w:rPr>
          <w:rFonts w:asciiTheme="majorHAnsi" w:hAnsiTheme="majorHAnsi"/>
        </w:rPr>
        <w:t xml:space="preserve">hľadiska vplyvu na zdravie ľudí </w:t>
      </w:r>
      <w:r w:rsidR="00BD5FD5">
        <w:rPr>
          <w:rFonts w:asciiTheme="majorHAnsi" w:hAnsiTheme="majorHAnsi"/>
        </w:rPr>
        <w:t>a </w:t>
      </w:r>
      <w:r w:rsidRPr="00A11FE0">
        <w:rPr>
          <w:rFonts w:asciiTheme="majorHAnsi" w:hAnsiTheme="majorHAnsi"/>
        </w:rPr>
        <w:t xml:space="preserve">na </w:t>
      </w:r>
      <w:r w:rsidR="00BD5FD5">
        <w:rPr>
          <w:rFonts w:asciiTheme="majorHAnsi" w:hAnsiTheme="majorHAnsi"/>
        </w:rPr>
        <w:t>s</w:t>
      </w:r>
      <w:r w:rsidRPr="00A11FE0">
        <w:rPr>
          <w:rFonts w:asciiTheme="majorHAnsi" w:hAnsiTheme="majorHAnsi"/>
        </w:rPr>
        <w:t xml:space="preserve">tav životného prostredia </w:t>
      </w:r>
      <w:r w:rsidR="00BD5FD5">
        <w:rPr>
          <w:rFonts w:asciiTheme="majorHAnsi" w:hAnsiTheme="majorHAnsi"/>
        </w:rPr>
        <w:t>a </w:t>
      </w:r>
      <w:r w:rsidRPr="00A11FE0">
        <w:rPr>
          <w:rFonts w:asciiTheme="majorHAnsi" w:hAnsiTheme="majorHAnsi"/>
        </w:rPr>
        <w:t xml:space="preserve">pri </w:t>
      </w:r>
      <w:r w:rsidR="00BD5FD5">
        <w:rPr>
          <w:rFonts w:asciiTheme="majorHAnsi" w:hAnsiTheme="majorHAnsi"/>
        </w:rPr>
        <w:t>k</w:t>
      </w:r>
      <w:r w:rsidRPr="00A11FE0">
        <w:rPr>
          <w:rFonts w:asciiTheme="majorHAnsi" w:hAnsiTheme="majorHAnsi"/>
        </w:rPr>
        <w:t>torých hrozí v prípade zaliatia úložiska počas prívalových dažďov</w:t>
      </w:r>
      <w:r w:rsidR="00D70FE5" w:rsidRPr="00A11FE0">
        <w:rPr>
          <w:rFonts w:asciiTheme="majorHAnsi" w:hAnsiTheme="majorHAnsi"/>
        </w:rPr>
        <w:t>,</w:t>
      </w:r>
      <w:r w:rsidRPr="00A11FE0">
        <w:rPr>
          <w:rFonts w:asciiTheme="majorHAnsi" w:hAnsiTheme="majorHAnsi"/>
        </w:rPr>
        <w:t xml:space="preserve"> či</w:t>
      </w:r>
      <w:r w:rsidR="00545422">
        <w:rPr>
          <w:rFonts w:asciiTheme="majorHAnsi" w:hAnsiTheme="majorHAnsi"/>
        </w:rPr>
        <w:t xml:space="preserve"> </w:t>
      </w:r>
      <w:r w:rsidRPr="00A11FE0">
        <w:rPr>
          <w:rFonts w:asciiTheme="majorHAnsi" w:hAnsiTheme="majorHAnsi"/>
        </w:rPr>
        <w:t>miestnych povodní</w:t>
      </w:r>
      <w:r w:rsidR="00D04DFB">
        <w:rPr>
          <w:rFonts w:asciiTheme="majorHAnsi" w:hAnsiTheme="majorHAnsi"/>
        </w:rPr>
        <w:t>,</w:t>
      </w:r>
      <w:r w:rsidRPr="00A11FE0">
        <w:rPr>
          <w:rFonts w:asciiTheme="majorHAnsi" w:hAnsiTheme="majorHAnsi"/>
        </w:rPr>
        <w:t xml:space="preserve"> riziko uvoľnenia vyplavením rizikových látok.</w:t>
      </w:r>
    </w:p>
    <w:p w:rsidR="00406C25" w:rsidRPr="00A11FE0" w:rsidRDefault="00406C25"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 xml:space="preserve">Riešenie osobitných rizík, zabezpečenie </w:t>
      </w:r>
      <w:r w:rsidR="00C5070F">
        <w:rPr>
          <w:rFonts w:asciiTheme="majorHAnsi" w:hAnsiTheme="majorHAnsi"/>
          <w:color w:val="243F60"/>
        </w:rPr>
        <w:t xml:space="preserve">predchádzaniu vzniku </w:t>
      </w:r>
      <w:r w:rsidR="00BD5FD5">
        <w:rPr>
          <w:rFonts w:asciiTheme="majorHAnsi" w:hAnsiTheme="majorHAnsi"/>
          <w:color w:val="243F60"/>
        </w:rPr>
        <w:t>k</w:t>
      </w:r>
      <w:r w:rsidRPr="00A11FE0">
        <w:rPr>
          <w:rFonts w:asciiTheme="majorHAnsi" w:hAnsiTheme="majorHAnsi"/>
          <w:color w:val="243F60"/>
        </w:rPr>
        <w:t xml:space="preserve">atastrof </w:t>
      </w:r>
      <w:r w:rsidR="00BD5FD5">
        <w:rPr>
          <w:rFonts w:asciiTheme="majorHAnsi" w:hAnsiTheme="majorHAnsi"/>
          <w:color w:val="243F60"/>
        </w:rPr>
        <w:t>a </w:t>
      </w:r>
      <w:r w:rsidRPr="00A11FE0">
        <w:rPr>
          <w:rFonts w:asciiTheme="majorHAnsi" w:hAnsiTheme="majorHAnsi"/>
          <w:color w:val="243F60"/>
        </w:rPr>
        <w:t xml:space="preserve">vyvíjanie </w:t>
      </w:r>
      <w:r w:rsidR="00BD5FD5">
        <w:rPr>
          <w:rFonts w:asciiTheme="majorHAnsi" w:hAnsiTheme="majorHAnsi"/>
          <w:color w:val="243F60"/>
        </w:rPr>
        <w:t>s</w:t>
      </w:r>
      <w:r w:rsidRPr="00A11FE0">
        <w:rPr>
          <w:rFonts w:asciiTheme="majorHAnsi" w:hAnsiTheme="majorHAnsi"/>
          <w:color w:val="243F60"/>
        </w:rPr>
        <w:t xml:space="preserve">ystémov zvládania </w:t>
      </w:r>
      <w:r w:rsidR="00BD5FD5">
        <w:rPr>
          <w:rFonts w:asciiTheme="majorHAnsi" w:hAnsiTheme="majorHAnsi"/>
          <w:color w:val="243F60"/>
        </w:rPr>
        <w:t>k</w:t>
      </w:r>
      <w:r w:rsidRPr="00A11FE0">
        <w:rPr>
          <w:rFonts w:asciiTheme="majorHAnsi" w:hAnsiTheme="majorHAnsi"/>
          <w:color w:val="243F60"/>
        </w:rPr>
        <w:t>atastrof</w:t>
      </w:r>
    </w:p>
    <w:p w:rsidR="00406C25" w:rsidRDefault="00406C25" w:rsidP="004B6F41">
      <w:pPr>
        <w:keepNext/>
        <w:keepLines/>
        <w:numPr>
          <w:ilvl w:val="5"/>
          <w:numId w:val="2"/>
        </w:numPr>
        <w:spacing w:before="200" w:after="0"/>
        <w:outlineLvl w:val="5"/>
        <w:rPr>
          <w:rFonts w:asciiTheme="majorHAnsi" w:hAnsiTheme="majorHAnsi"/>
          <w:i/>
          <w:iCs/>
          <w:color w:val="243F60"/>
        </w:rPr>
      </w:pPr>
      <w:r w:rsidRPr="00A11FE0">
        <w:rPr>
          <w:rFonts w:asciiTheme="majorHAnsi" w:hAnsiTheme="majorHAnsi"/>
          <w:i/>
          <w:iCs/>
          <w:color w:val="243F60"/>
        </w:rPr>
        <w:t>Ochrana pred povodňami</w:t>
      </w:r>
    </w:p>
    <w:p w:rsidR="00406C25" w:rsidRPr="00A11FE0" w:rsidRDefault="00406C25" w:rsidP="002C7372">
      <w:pPr>
        <w:autoSpaceDE w:val="0"/>
        <w:autoSpaceDN w:val="0"/>
        <w:adjustRightInd w:val="0"/>
        <w:spacing w:after="0"/>
        <w:rPr>
          <w:rFonts w:asciiTheme="majorHAnsi" w:hAnsiTheme="majorHAnsi"/>
        </w:rPr>
      </w:pPr>
      <w:r w:rsidRPr="00A11FE0">
        <w:rPr>
          <w:rFonts w:asciiTheme="majorHAnsi" w:hAnsiTheme="majorHAnsi"/>
        </w:rPr>
        <w:t>Pri predbežnom hodnotení</w:t>
      </w:r>
      <w:r w:rsidRPr="00A11FE0">
        <w:rPr>
          <w:rFonts w:asciiTheme="majorHAnsi" w:hAnsiTheme="majorHAnsi"/>
          <w:vertAlign w:val="superscript"/>
        </w:rPr>
        <w:footnoteReference w:id="194"/>
      </w:r>
      <w:r w:rsidRPr="00A11FE0">
        <w:rPr>
          <w:rFonts w:asciiTheme="majorHAnsi" w:hAnsiTheme="majorHAnsi"/>
        </w:rPr>
        <w:t xml:space="preserve"> povodňového rizika bolo </w:t>
      </w:r>
      <w:r w:rsidR="00A5602B" w:rsidRPr="00A11FE0">
        <w:rPr>
          <w:rFonts w:asciiTheme="majorHAnsi" w:hAnsiTheme="majorHAnsi"/>
        </w:rPr>
        <w:t>v</w:t>
      </w:r>
      <w:r w:rsidR="00900D3D">
        <w:rPr>
          <w:rFonts w:asciiTheme="majorHAnsi" w:hAnsiTheme="majorHAnsi"/>
        </w:rPr>
        <w:t> </w:t>
      </w:r>
      <w:r w:rsidR="00BD5FD5">
        <w:rPr>
          <w:rFonts w:asciiTheme="majorHAnsi" w:hAnsiTheme="majorHAnsi"/>
        </w:rPr>
        <w:t>S</w:t>
      </w:r>
      <w:r w:rsidR="00A5602B" w:rsidRPr="00A11FE0">
        <w:rPr>
          <w:rFonts w:asciiTheme="majorHAnsi" w:hAnsiTheme="majorHAnsi"/>
        </w:rPr>
        <w:t>R</w:t>
      </w:r>
      <w:r w:rsidRPr="00A11FE0">
        <w:rPr>
          <w:rFonts w:asciiTheme="majorHAnsi" w:hAnsiTheme="majorHAnsi"/>
        </w:rPr>
        <w:t xml:space="preserve"> identifikovaných 559 geografických oblastí </w:t>
      </w:r>
      <w:r w:rsidR="00BD5FD5">
        <w:rPr>
          <w:rFonts w:asciiTheme="majorHAnsi" w:hAnsiTheme="majorHAnsi"/>
        </w:rPr>
        <w:t>s </w:t>
      </w:r>
      <w:r w:rsidRPr="00A11FE0">
        <w:rPr>
          <w:rFonts w:asciiTheme="majorHAnsi" w:hAnsiTheme="majorHAnsi"/>
        </w:rPr>
        <w:t>významnými povodňovými rizikami pri vodných tokoch dĺžky 1 286,5 </w:t>
      </w:r>
      <w:r w:rsidR="00BD5FD5">
        <w:rPr>
          <w:rFonts w:asciiTheme="majorHAnsi" w:hAnsiTheme="majorHAnsi"/>
        </w:rPr>
        <w:t>k</w:t>
      </w:r>
      <w:r w:rsidRPr="00A11FE0">
        <w:rPr>
          <w:rFonts w:asciiTheme="majorHAnsi" w:hAnsiTheme="majorHAnsi"/>
        </w:rPr>
        <w:t>m, z toho je 378 geografických oblastí, v </w:t>
      </w:r>
      <w:r w:rsidR="00BD5FD5">
        <w:rPr>
          <w:rFonts w:asciiTheme="majorHAnsi" w:hAnsiTheme="majorHAnsi"/>
        </w:rPr>
        <w:t>k</w:t>
      </w:r>
      <w:r w:rsidRPr="00A11FE0">
        <w:rPr>
          <w:rFonts w:asciiTheme="majorHAnsi" w:hAnsiTheme="majorHAnsi"/>
        </w:rPr>
        <w:t xml:space="preserve">torých existuje potenciálne významné povodňové riziko </w:t>
      </w:r>
      <w:r w:rsidR="00BD5FD5">
        <w:rPr>
          <w:rFonts w:asciiTheme="majorHAnsi" w:hAnsiTheme="majorHAnsi"/>
        </w:rPr>
        <w:t>a</w:t>
      </w:r>
      <w:r w:rsidRPr="00A11FE0">
        <w:rPr>
          <w:rFonts w:asciiTheme="majorHAnsi" w:hAnsiTheme="majorHAnsi"/>
        </w:rPr>
        <w:t> 181 geografických oblastí, v </w:t>
      </w:r>
      <w:r w:rsidR="00BD5FD5">
        <w:rPr>
          <w:rFonts w:asciiTheme="majorHAnsi" w:hAnsiTheme="majorHAnsi"/>
        </w:rPr>
        <w:t>k</w:t>
      </w:r>
      <w:r w:rsidRPr="00A11FE0">
        <w:rPr>
          <w:rFonts w:asciiTheme="majorHAnsi" w:hAnsiTheme="majorHAnsi"/>
        </w:rPr>
        <w:t>torých možno predpokladať jeho pravdepodobný výskyt</w:t>
      </w:r>
      <w:r w:rsidRPr="00A11FE0">
        <w:rPr>
          <w:rFonts w:asciiTheme="majorHAnsi" w:hAnsiTheme="majorHAnsi"/>
          <w:vertAlign w:val="superscript"/>
        </w:rPr>
        <w:footnoteReference w:id="195"/>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onkrétne opatrenia na ochranu pred povodňami v oblastiach </w:t>
      </w:r>
      <w:r w:rsidR="00BD5FD5">
        <w:rPr>
          <w:rFonts w:asciiTheme="majorHAnsi" w:hAnsiTheme="majorHAnsi"/>
        </w:rPr>
        <w:t>s </w:t>
      </w:r>
      <w:r w:rsidRPr="00A11FE0">
        <w:rPr>
          <w:rFonts w:asciiTheme="majorHAnsi" w:hAnsiTheme="majorHAnsi"/>
        </w:rPr>
        <w:t xml:space="preserve">identifikovaným povodňovým rizikom budú predmetom plánov manažmentu povodňových rizík </w:t>
      </w:r>
      <w:r w:rsidR="00BD5FD5">
        <w:rPr>
          <w:rFonts w:asciiTheme="majorHAnsi" w:hAnsiTheme="majorHAnsi"/>
        </w:rPr>
        <w:t>a </w:t>
      </w:r>
      <w:r w:rsidRPr="00A11FE0">
        <w:rPr>
          <w:rFonts w:asciiTheme="majorHAnsi" w:hAnsiTheme="majorHAnsi"/>
        </w:rPr>
        <w:t xml:space="preserve">budú zahrnuté do </w:t>
      </w:r>
      <w:r w:rsidR="00BD5FD5">
        <w:rPr>
          <w:rFonts w:asciiTheme="majorHAnsi" w:hAnsiTheme="majorHAnsi"/>
        </w:rPr>
        <w:t>ak</w:t>
      </w:r>
      <w:r w:rsidRPr="00A11FE0">
        <w:rPr>
          <w:rFonts w:asciiTheme="majorHAnsi" w:hAnsiTheme="majorHAnsi"/>
        </w:rPr>
        <w:t>tualizovaných plánov manažmentu povodí. Významnú úlohu zohráva tiež zohľadnenie povodňových rizík v</w:t>
      </w:r>
      <w:r w:rsidR="00900D3D">
        <w:rPr>
          <w:rFonts w:asciiTheme="majorHAnsi" w:hAnsiTheme="majorHAnsi"/>
        </w:rPr>
        <w:t> </w:t>
      </w:r>
      <w:r w:rsidRPr="00A11FE0">
        <w:rPr>
          <w:rFonts w:asciiTheme="majorHAnsi" w:hAnsiTheme="majorHAnsi"/>
        </w:rPr>
        <w:t xml:space="preserve">územnom plánovaní </w:t>
      </w:r>
      <w:r w:rsidR="00BD5FD5">
        <w:rPr>
          <w:rFonts w:asciiTheme="majorHAnsi" w:hAnsiTheme="majorHAnsi"/>
        </w:rPr>
        <w:t>a</w:t>
      </w:r>
      <w:r w:rsidRPr="00A11FE0">
        <w:rPr>
          <w:rFonts w:asciiTheme="majorHAnsi" w:hAnsiTheme="majorHAnsi"/>
        </w:rPr>
        <w:t> pri povoľovaní výstavby</w:t>
      </w:r>
      <w:r w:rsidR="00D04DFB">
        <w:rPr>
          <w:rFonts w:asciiTheme="majorHAnsi" w:hAnsiTheme="majorHAnsi"/>
        </w:rPr>
        <w:t>,</w:t>
      </w:r>
      <w:r w:rsidRPr="00A11FE0">
        <w:rPr>
          <w:rFonts w:asciiTheme="majorHAnsi" w:hAnsiTheme="majorHAnsi"/>
        </w:rPr>
        <w:t xml:space="preserve"> </w:t>
      </w:r>
      <w:r w:rsidR="00BD5FD5">
        <w:rPr>
          <w:rFonts w:asciiTheme="majorHAnsi" w:hAnsiTheme="majorHAnsi"/>
        </w:rPr>
        <w:t>s </w:t>
      </w:r>
      <w:r w:rsidRPr="00A11FE0">
        <w:rPr>
          <w:rFonts w:asciiTheme="majorHAnsi" w:hAnsiTheme="majorHAnsi"/>
        </w:rPr>
        <w:t xml:space="preserve">cieľom jej realizácie na bezpečných miestach,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 xml:space="preserve">j vhodné využívanie </w:t>
      </w:r>
      <w:r w:rsidR="00BD5FD5">
        <w:rPr>
          <w:rFonts w:asciiTheme="majorHAnsi" w:hAnsiTheme="majorHAnsi"/>
        </w:rPr>
        <w:t>k</w:t>
      </w:r>
      <w:r w:rsidRPr="00A11FE0">
        <w:rPr>
          <w:rFonts w:asciiTheme="majorHAnsi" w:hAnsiTheme="majorHAnsi"/>
        </w:rPr>
        <w:t>rajiny</w:t>
      </w:r>
      <w:r w:rsidR="00D70FE5" w:rsidRPr="00A11FE0">
        <w:rPr>
          <w:rFonts w:asciiTheme="majorHAnsi" w:hAnsiTheme="majorHAnsi"/>
        </w:rPr>
        <w:t>,</w:t>
      </w:r>
      <w:r w:rsidRPr="00A11FE0">
        <w:rPr>
          <w:rFonts w:asciiTheme="majorHAnsi" w:hAnsiTheme="majorHAnsi"/>
        </w:rPr>
        <w:t xml:space="preserve"> racionálne hospodárenie </w:t>
      </w:r>
      <w:r w:rsidR="00BD5FD5">
        <w:rPr>
          <w:rFonts w:asciiTheme="majorHAnsi" w:hAnsiTheme="majorHAnsi"/>
        </w:rPr>
        <w:t>a </w:t>
      </w:r>
      <w:r w:rsidRPr="00A11FE0">
        <w:rPr>
          <w:rFonts w:asciiTheme="majorHAnsi" w:hAnsiTheme="majorHAnsi"/>
        </w:rPr>
        <w:t xml:space="preserve">preventívne opatrenia v lesoch </w:t>
      </w:r>
      <w:r w:rsidR="00BD5FD5">
        <w:rPr>
          <w:rFonts w:asciiTheme="majorHAnsi" w:hAnsiTheme="majorHAnsi"/>
        </w:rPr>
        <w:t>a</w:t>
      </w:r>
      <w:r w:rsidRPr="00A11FE0">
        <w:rPr>
          <w:rFonts w:asciiTheme="majorHAnsi" w:hAnsiTheme="majorHAnsi"/>
        </w:rPr>
        <w:t> na poľnohospodárskej pôde</w:t>
      </w:r>
      <w:r w:rsidR="00082089">
        <w:rPr>
          <w:rFonts w:asciiTheme="majorHAnsi" w:hAnsiTheme="majorHAnsi"/>
        </w:rPr>
        <w:t xml:space="preserve">, </w:t>
      </w:r>
      <w:r w:rsidR="00BD5FD5">
        <w:rPr>
          <w:rFonts w:asciiTheme="majorHAnsi" w:hAnsiTheme="majorHAnsi"/>
        </w:rPr>
        <w:t>k</w:t>
      </w:r>
      <w:r w:rsidR="00082089">
        <w:rPr>
          <w:rFonts w:asciiTheme="majorHAnsi" w:hAnsiTheme="majorHAnsi"/>
        </w:rPr>
        <w:t xml:space="preserve">toré plnia významnú úlohu v prevencii pred škodami na produkcii </w:t>
      </w:r>
      <w:r w:rsidR="00BD5FD5">
        <w:rPr>
          <w:rFonts w:asciiTheme="majorHAnsi" w:hAnsiTheme="majorHAnsi"/>
        </w:rPr>
        <w:t>s</w:t>
      </w:r>
      <w:r w:rsidR="00082089">
        <w:rPr>
          <w:rFonts w:asciiTheme="majorHAnsi" w:hAnsiTheme="majorHAnsi"/>
        </w:rPr>
        <w:t xml:space="preserve">pôsobenými záplavami </w:t>
      </w:r>
      <w:r w:rsidR="00BD5FD5">
        <w:rPr>
          <w:rFonts w:asciiTheme="majorHAnsi" w:hAnsiTheme="majorHAnsi"/>
        </w:rPr>
        <w:t>a </w:t>
      </w:r>
      <w:r w:rsidR="00082089">
        <w:rPr>
          <w:rFonts w:asciiTheme="majorHAnsi" w:hAnsiTheme="majorHAnsi"/>
        </w:rPr>
        <w:t>zamokrením pôdy</w:t>
      </w:r>
      <w:r w:rsidRPr="00A11FE0">
        <w:rPr>
          <w:rFonts w:asciiTheme="majorHAnsi" w:hAnsiTheme="majorHAnsi"/>
        </w:rPr>
        <w:t>.</w:t>
      </w:r>
      <w:r w:rsidR="005C6873">
        <w:rPr>
          <w:rFonts w:asciiTheme="majorHAnsi" w:hAnsiTheme="majorHAnsi"/>
        </w:rPr>
        <w:t xml:space="preserve"> </w:t>
      </w:r>
      <w:r w:rsidR="005C6873" w:rsidRPr="0093031E">
        <w:rPr>
          <w:rFonts w:asciiTheme="majorHAnsi" w:hAnsiTheme="majorHAnsi"/>
        </w:rPr>
        <w:t>Možnosť využitia máp povodňového ohrozenia a</w:t>
      </w:r>
      <w:r w:rsidR="005C6873">
        <w:rPr>
          <w:rFonts w:asciiTheme="majorHAnsi" w:hAnsiTheme="majorHAnsi"/>
        </w:rPr>
        <w:t> </w:t>
      </w:r>
      <w:r w:rsidR="005C6873" w:rsidRPr="0093031E">
        <w:rPr>
          <w:rFonts w:asciiTheme="majorHAnsi" w:hAnsiTheme="majorHAnsi"/>
        </w:rPr>
        <w:t>máp povodňového rizika</w:t>
      </w:r>
      <w:r w:rsidR="001A0A68">
        <w:rPr>
          <w:rFonts w:asciiTheme="majorHAnsi" w:hAnsiTheme="majorHAnsi"/>
        </w:rPr>
        <w:t>,</w:t>
      </w:r>
      <w:r w:rsidR="005C6873" w:rsidRPr="0093031E">
        <w:rPr>
          <w:rFonts w:asciiTheme="majorHAnsi" w:hAnsiTheme="majorHAnsi"/>
        </w:rPr>
        <w:t xml:space="preserve"> ako ostatných podkladov v</w:t>
      </w:r>
      <w:r w:rsidR="005C6873">
        <w:rPr>
          <w:rFonts w:asciiTheme="majorHAnsi" w:hAnsiTheme="majorHAnsi"/>
        </w:rPr>
        <w:t> </w:t>
      </w:r>
      <w:r w:rsidR="005C6873" w:rsidRPr="0093031E">
        <w:rPr>
          <w:rFonts w:asciiTheme="majorHAnsi" w:hAnsiTheme="majorHAnsi"/>
        </w:rPr>
        <w:t>územnoplánovacej činnosti a</w:t>
      </w:r>
      <w:r w:rsidR="005C6873">
        <w:rPr>
          <w:rFonts w:asciiTheme="majorHAnsi" w:hAnsiTheme="majorHAnsi"/>
        </w:rPr>
        <w:t> </w:t>
      </w:r>
      <w:r w:rsidR="005C6873" w:rsidRPr="0093031E">
        <w:rPr>
          <w:rFonts w:asciiTheme="majorHAnsi" w:hAnsiTheme="majorHAnsi"/>
        </w:rPr>
        <w:t>pri príprave územnoplánovacej dokumentácie vytvára predpoklad pre zmiernenie rizík škôd spôsobených povodňami</w:t>
      </w:r>
      <w:r w:rsidR="005C6873">
        <w:rPr>
          <w:rFonts w:asciiTheme="majorHAnsi" w:hAnsiTheme="majorHAnsi"/>
        </w:rPr>
        <w:t>.</w:t>
      </w:r>
    </w:p>
    <w:p w:rsidR="00406C25" w:rsidRPr="00A11FE0" w:rsidRDefault="00BD5FD5" w:rsidP="004B6F41">
      <w:pPr>
        <w:keepNext/>
        <w:keepLines/>
        <w:numPr>
          <w:ilvl w:val="5"/>
          <w:numId w:val="2"/>
        </w:numPr>
        <w:spacing w:before="200" w:after="0"/>
        <w:outlineLvl w:val="5"/>
        <w:rPr>
          <w:rFonts w:asciiTheme="majorHAnsi" w:hAnsiTheme="majorHAnsi"/>
          <w:i/>
          <w:iCs/>
          <w:color w:val="243F60"/>
        </w:rPr>
      </w:pPr>
      <w:r>
        <w:rPr>
          <w:rFonts w:asciiTheme="majorHAnsi" w:hAnsiTheme="majorHAnsi"/>
          <w:i/>
          <w:iCs/>
          <w:color w:val="243F60"/>
        </w:rPr>
        <w:lastRenderedPageBreak/>
        <w:t>S</w:t>
      </w:r>
      <w:r w:rsidR="00406C25" w:rsidRPr="00A11FE0">
        <w:rPr>
          <w:rFonts w:asciiTheme="majorHAnsi" w:hAnsiTheme="majorHAnsi"/>
          <w:i/>
          <w:iCs/>
          <w:color w:val="243F60"/>
        </w:rPr>
        <w:t>lužby v</w:t>
      </w:r>
      <w:r w:rsidR="00900D3D">
        <w:rPr>
          <w:rFonts w:asciiTheme="majorHAnsi" w:hAnsiTheme="majorHAnsi"/>
          <w:i/>
          <w:iCs/>
          <w:color w:val="243F60"/>
        </w:rPr>
        <w:t> </w:t>
      </w:r>
      <w:r w:rsidR="00406C25" w:rsidRPr="00A11FE0">
        <w:rPr>
          <w:rFonts w:asciiTheme="majorHAnsi" w:hAnsiTheme="majorHAnsi"/>
          <w:i/>
          <w:iCs/>
          <w:color w:val="243F60"/>
        </w:rPr>
        <w:t>oblasti prevencie</w:t>
      </w:r>
      <w:r w:rsidR="005C6873">
        <w:rPr>
          <w:rFonts w:asciiTheme="majorHAnsi" w:hAnsiTheme="majorHAnsi"/>
          <w:i/>
          <w:iCs/>
          <w:color w:val="243F60"/>
        </w:rPr>
        <w:t xml:space="preserve"> a</w:t>
      </w:r>
      <w:r w:rsidR="005C6873" w:rsidRPr="00A11FE0">
        <w:rPr>
          <w:rFonts w:asciiTheme="majorHAnsi" w:hAnsiTheme="majorHAnsi"/>
          <w:i/>
          <w:iCs/>
          <w:color w:val="243F60"/>
        </w:rPr>
        <w:t xml:space="preserve"> </w:t>
      </w:r>
      <w:r w:rsidR="00406C25" w:rsidRPr="00A11FE0">
        <w:rPr>
          <w:rFonts w:asciiTheme="majorHAnsi" w:hAnsiTheme="majorHAnsi"/>
          <w:i/>
          <w:iCs/>
          <w:color w:val="243F60"/>
        </w:rPr>
        <w:t xml:space="preserve">pripravenosti </w:t>
      </w:r>
      <w:r w:rsidR="005C6873">
        <w:rPr>
          <w:rFonts w:asciiTheme="majorHAnsi" w:hAnsiTheme="majorHAnsi"/>
          <w:i/>
          <w:iCs/>
          <w:color w:val="243F60"/>
        </w:rPr>
        <w:t>na zvládanie mimoriadnych udalostí</w:t>
      </w:r>
      <w:r w:rsidR="00406C25" w:rsidRPr="00A11FE0">
        <w:rPr>
          <w:rFonts w:asciiTheme="majorHAnsi" w:hAnsiTheme="majorHAnsi"/>
          <w:i/>
          <w:iCs/>
          <w:color w:val="243F60"/>
        </w:rPr>
        <w:t xml:space="preserve"> </w:t>
      </w:r>
      <w:r w:rsidR="00141F9E">
        <w:rPr>
          <w:rFonts w:asciiTheme="majorHAnsi" w:hAnsiTheme="majorHAnsi"/>
          <w:i/>
          <w:iCs/>
          <w:color w:val="243F60"/>
        </w:rPr>
        <w:br/>
      </w:r>
      <w:r w:rsidR="00406C25" w:rsidRPr="00A11FE0">
        <w:rPr>
          <w:rFonts w:asciiTheme="majorHAnsi" w:hAnsiTheme="majorHAnsi"/>
          <w:i/>
          <w:iCs/>
          <w:color w:val="243F60"/>
        </w:rPr>
        <w:t>(v dôsledku zmeny</w:t>
      </w:r>
      <w:r w:rsidR="00A24F2B">
        <w:rPr>
          <w:rFonts w:asciiTheme="majorHAnsi" w:hAnsiTheme="majorHAnsi"/>
          <w:i/>
          <w:iCs/>
          <w:color w:val="243F60"/>
        </w:rPr>
        <w:t xml:space="preserve"> klímy</w:t>
      </w:r>
      <w:r w:rsidR="00406C25" w:rsidRPr="00A11FE0">
        <w:rPr>
          <w:rFonts w:asciiTheme="majorHAnsi" w:hAnsiTheme="majorHAnsi"/>
          <w:i/>
          <w:iCs/>
          <w:color w:val="243F60"/>
        </w:rPr>
        <w:t>)</w:t>
      </w:r>
    </w:p>
    <w:p w:rsidR="009767BA" w:rsidRDefault="000A03AA" w:rsidP="00406C25">
      <w:pPr>
        <w:rPr>
          <w:rFonts w:asciiTheme="majorHAnsi" w:hAnsiTheme="majorHAnsi"/>
        </w:rPr>
      </w:pPr>
      <w:r w:rsidRPr="000A03AA">
        <w:rPr>
          <w:rFonts w:asciiTheme="majorHAnsi" w:hAnsiTheme="majorHAnsi"/>
        </w:rPr>
        <w:t>Služby v</w:t>
      </w:r>
      <w:r w:rsidR="00E72330">
        <w:rPr>
          <w:rFonts w:asciiTheme="majorHAnsi" w:hAnsiTheme="majorHAnsi"/>
        </w:rPr>
        <w:t> </w:t>
      </w:r>
      <w:r w:rsidRPr="000A03AA">
        <w:rPr>
          <w:rFonts w:asciiTheme="majorHAnsi" w:hAnsiTheme="majorHAnsi"/>
        </w:rPr>
        <w:t>oblasti bezpečnosti, prevencie a</w:t>
      </w:r>
      <w:r w:rsidR="00E72330">
        <w:rPr>
          <w:rFonts w:asciiTheme="majorHAnsi" w:hAnsiTheme="majorHAnsi"/>
        </w:rPr>
        <w:t> </w:t>
      </w:r>
      <w:r w:rsidR="005C6873">
        <w:rPr>
          <w:rFonts w:asciiTheme="majorHAnsi" w:hAnsiTheme="majorHAnsi"/>
        </w:rPr>
        <w:t>riadenia</w:t>
      </w:r>
      <w:r w:rsidR="005C6873" w:rsidRPr="000A03AA">
        <w:rPr>
          <w:rFonts w:asciiTheme="majorHAnsi" w:hAnsiTheme="majorHAnsi"/>
        </w:rPr>
        <w:t xml:space="preserve"> </w:t>
      </w:r>
      <w:r w:rsidRPr="000A03AA">
        <w:rPr>
          <w:rFonts w:asciiTheme="majorHAnsi" w:hAnsiTheme="majorHAnsi"/>
        </w:rPr>
        <w:t xml:space="preserve">rizík sú služby zamerané na </w:t>
      </w:r>
      <w:r w:rsidR="005C6873">
        <w:rPr>
          <w:rFonts w:asciiTheme="majorHAnsi" w:hAnsiTheme="majorHAnsi"/>
        </w:rPr>
        <w:t>ochranu obyvateľstva</w:t>
      </w:r>
      <w:r w:rsidRPr="000A03AA">
        <w:rPr>
          <w:rFonts w:asciiTheme="majorHAnsi" w:hAnsiTheme="majorHAnsi"/>
        </w:rPr>
        <w:t xml:space="preserve">, </w:t>
      </w:r>
      <w:r w:rsidR="005C6873" w:rsidRPr="000A03AA">
        <w:rPr>
          <w:rFonts w:asciiTheme="majorHAnsi" w:hAnsiTheme="majorHAnsi"/>
        </w:rPr>
        <w:t>ekosystém</w:t>
      </w:r>
      <w:r w:rsidR="005C6873">
        <w:rPr>
          <w:rFonts w:asciiTheme="majorHAnsi" w:hAnsiTheme="majorHAnsi"/>
        </w:rPr>
        <w:t>ov</w:t>
      </w:r>
      <w:r w:rsidRPr="000A03AA">
        <w:rPr>
          <w:rFonts w:asciiTheme="majorHAnsi" w:hAnsiTheme="majorHAnsi"/>
        </w:rPr>
        <w:t>, sociálnu a</w:t>
      </w:r>
      <w:r w:rsidR="00E72330">
        <w:rPr>
          <w:rFonts w:asciiTheme="majorHAnsi" w:hAnsiTheme="majorHAnsi"/>
        </w:rPr>
        <w:t> </w:t>
      </w:r>
      <w:r w:rsidRPr="000A03AA">
        <w:rPr>
          <w:rFonts w:asciiTheme="majorHAnsi" w:hAnsiTheme="majorHAnsi"/>
        </w:rPr>
        <w:t>ekonomickú</w:t>
      </w:r>
      <w:r w:rsidR="00E72330">
        <w:rPr>
          <w:rFonts w:asciiTheme="majorHAnsi" w:hAnsiTheme="majorHAnsi"/>
        </w:rPr>
        <w:t xml:space="preserve"> </w:t>
      </w:r>
      <w:r w:rsidRPr="000A03AA">
        <w:rPr>
          <w:rFonts w:asciiTheme="majorHAnsi" w:hAnsiTheme="majorHAnsi"/>
        </w:rPr>
        <w:t>infraštruktúru a</w:t>
      </w:r>
      <w:r w:rsidR="00E72330">
        <w:rPr>
          <w:rFonts w:asciiTheme="majorHAnsi" w:hAnsiTheme="majorHAnsi"/>
        </w:rPr>
        <w:t> </w:t>
      </w:r>
      <w:r w:rsidRPr="000A03AA">
        <w:rPr>
          <w:rFonts w:asciiTheme="majorHAnsi" w:hAnsiTheme="majorHAnsi"/>
        </w:rPr>
        <w:t>predstavujú podporný nástroj pre účely riadenia intervencie a</w:t>
      </w:r>
      <w:r w:rsidR="00E72330">
        <w:rPr>
          <w:rFonts w:asciiTheme="majorHAnsi" w:hAnsiTheme="majorHAnsi"/>
        </w:rPr>
        <w:t> </w:t>
      </w:r>
      <w:r w:rsidRPr="000A03AA">
        <w:rPr>
          <w:rFonts w:asciiTheme="majorHAnsi" w:hAnsiTheme="majorHAnsi"/>
        </w:rPr>
        <w:t xml:space="preserve">odstraňovania následkov </w:t>
      </w:r>
      <w:r w:rsidR="00F20171">
        <w:rPr>
          <w:rFonts w:asciiTheme="majorHAnsi" w:hAnsiTheme="majorHAnsi"/>
        </w:rPr>
        <w:t>mimoriadnych udalostí</w:t>
      </w:r>
      <w:r w:rsidR="00D04DFB">
        <w:rPr>
          <w:rFonts w:asciiTheme="majorHAnsi" w:hAnsiTheme="majorHAnsi"/>
        </w:rPr>
        <w:t>,</w:t>
      </w:r>
      <w:r w:rsidRPr="000A03AA">
        <w:rPr>
          <w:rFonts w:asciiTheme="majorHAnsi" w:hAnsiTheme="majorHAnsi"/>
        </w:rPr>
        <w:t xml:space="preserve"> s</w:t>
      </w:r>
      <w:r w:rsidR="00E72330">
        <w:rPr>
          <w:rFonts w:asciiTheme="majorHAnsi" w:hAnsiTheme="majorHAnsi"/>
        </w:rPr>
        <w:t> </w:t>
      </w:r>
      <w:r w:rsidRPr="000A03AA">
        <w:rPr>
          <w:rFonts w:asciiTheme="majorHAnsi" w:hAnsiTheme="majorHAnsi"/>
        </w:rPr>
        <w:t>ohľadom na prispôsobovanie sa zmene klímy a</w:t>
      </w:r>
      <w:r w:rsidR="00E72330">
        <w:rPr>
          <w:rFonts w:asciiTheme="majorHAnsi" w:hAnsiTheme="majorHAnsi"/>
        </w:rPr>
        <w:t> </w:t>
      </w:r>
      <w:r w:rsidRPr="000A03AA">
        <w:rPr>
          <w:rFonts w:asciiTheme="majorHAnsi" w:hAnsiTheme="majorHAnsi"/>
        </w:rPr>
        <w:t>posilnenie vnútornej bezpečnosti.</w:t>
      </w:r>
    </w:p>
    <w:p w:rsidR="00406C25" w:rsidRPr="00A11FE0" w:rsidRDefault="000A03AA" w:rsidP="00406C25">
      <w:pPr>
        <w:rPr>
          <w:rFonts w:asciiTheme="majorHAnsi" w:hAnsiTheme="majorHAnsi"/>
          <w:szCs w:val="22"/>
        </w:rPr>
      </w:pPr>
      <w:r w:rsidRPr="000A03AA">
        <w:rPr>
          <w:rFonts w:asciiTheme="majorHAnsi" w:hAnsiTheme="majorHAnsi"/>
        </w:rPr>
        <w:t xml:space="preserve">Pri budovaní systému manažmentu </w:t>
      </w:r>
      <w:r w:rsidR="00F20171">
        <w:rPr>
          <w:rFonts w:asciiTheme="majorHAnsi" w:hAnsiTheme="majorHAnsi"/>
        </w:rPr>
        <w:t>mimoriadnych udalostí</w:t>
      </w:r>
      <w:r w:rsidR="00F20171" w:rsidRPr="000A03AA">
        <w:rPr>
          <w:rFonts w:asciiTheme="majorHAnsi" w:hAnsiTheme="majorHAnsi"/>
        </w:rPr>
        <w:t xml:space="preserve"> </w:t>
      </w:r>
      <w:r w:rsidRPr="000A03AA">
        <w:rPr>
          <w:rFonts w:asciiTheme="majorHAnsi" w:hAnsiTheme="majorHAnsi"/>
        </w:rPr>
        <w:t>v</w:t>
      </w:r>
      <w:r w:rsidR="00E72330">
        <w:rPr>
          <w:rFonts w:asciiTheme="majorHAnsi" w:hAnsiTheme="majorHAnsi"/>
        </w:rPr>
        <w:t> </w:t>
      </w:r>
      <w:r w:rsidRPr="000A03AA">
        <w:rPr>
          <w:rFonts w:asciiTheme="majorHAnsi" w:hAnsiTheme="majorHAnsi"/>
        </w:rPr>
        <w:t>súčasnosti absentuje komplexný prístup, ktorý by integroval všetky zložky, dostupné prostriedky, viazal ich na riziká a</w:t>
      </w:r>
      <w:r w:rsidR="00E72330">
        <w:rPr>
          <w:rFonts w:asciiTheme="majorHAnsi" w:hAnsiTheme="majorHAnsi"/>
        </w:rPr>
        <w:t> </w:t>
      </w:r>
      <w:r w:rsidRPr="000A03AA">
        <w:rPr>
          <w:rFonts w:asciiTheme="majorHAnsi" w:hAnsiTheme="majorHAnsi"/>
        </w:rPr>
        <w:t>systematicky znižoval tak ich dopad na krajinu, jej infraštruktúru a</w:t>
      </w:r>
      <w:r w:rsidR="00E72330">
        <w:rPr>
          <w:rFonts w:asciiTheme="majorHAnsi" w:hAnsiTheme="majorHAnsi"/>
        </w:rPr>
        <w:t> </w:t>
      </w:r>
      <w:r w:rsidRPr="000A03AA">
        <w:rPr>
          <w:rFonts w:asciiTheme="majorHAnsi" w:hAnsiTheme="majorHAnsi"/>
        </w:rPr>
        <w:t>potenciál pre udržateľný rozvoj. Celkový objem škôd spôsobených povodňami v</w:t>
      </w:r>
      <w:r w:rsidR="00E72330">
        <w:rPr>
          <w:rFonts w:asciiTheme="majorHAnsi" w:hAnsiTheme="majorHAnsi"/>
        </w:rPr>
        <w:t> </w:t>
      </w:r>
      <w:r w:rsidRPr="000A03AA">
        <w:rPr>
          <w:rFonts w:asciiTheme="majorHAnsi" w:hAnsiTheme="majorHAnsi"/>
        </w:rPr>
        <w:t>rokoch 1996</w:t>
      </w:r>
      <w:r w:rsidR="00E72330">
        <w:rPr>
          <w:rFonts w:asciiTheme="majorHAnsi" w:hAnsiTheme="majorHAnsi"/>
        </w:rPr>
        <w:t xml:space="preserve"> – </w:t>
      </w:r>
      <w:r w:rsidRPr="000A03AA">
        <w:rPr>
          <w:rFonts w:asciiTheme="majorHAnsi" w:hAnsiTheme="majorHAnsi"/>
        </w:rPr>
        <w:t>2010 presahuje 1,4 mld. EUR, pričom z</w:t>
      </w:r>
      <w:r w:rsidR="00E72330">
        <w:rPr>
          <w:rFonts w:asciiTheme="majorHAnsi" w:hAnsiTheme="majorHAnsi"/>
        </w:rPr>
        <w:t> </w:t>
      </w:r>
      <w:r w:rsidRPr="000A03AA">
        <w:rPr>
          <w:rFonts w:asciiTheme="majorHAnsi" w:hAnsiTheme="majorHAnsi"/>
        </w:rPr>
        <w:t>dôvodu nejednotnej metodiky táto suma nezahŕňa škody na poľnohospodárskej pôde a</w:t>
      </w:r>
      <w:r w:rsidR="00E72330">
        <w:rPr>
          <w:rFonts w:asciiTheme="majorHAnsi" w:hAnsiTheme="majorHAnsi"/>
        </w:rPr>
        <w:t> </w:t>
      </w:r>
      <w:r w:rsidRPr="000A03AA">
        <w:rPr>
          <w:rFonts w:asciiTheme="majorHAnsi" w:hAnsiTheme="majorHAnsi"/>
        </w:rPr>
        <w:t>produkcii. Problémom v</w:t>
      </w:r>
      <w:r w:rsidR="00E72330">
        <w:rPr>
          <w:rFonts w:asciiTheme="majorHAnsi" w:hAnsiTheme="majorHAnsi"/>
        </w:rPr>
        <w:t> </w:t>
      </w:r>
      <w:r w:rsidRPr="000A03AA">
        <w:rPr>
          <w:rFonts w:asciiTheme="majorHAnsi" w:hAnsiTheme="majorHAnsi"/>
        </w:rPr>
        <w:t>súčasnej infraštruktúre krízového manažmentu je absencia komplexných informácií o</w:t>
      </w:r>
      <w:r w:rsidR="00E72330">
        <w:rPr>
          <w:rFonts w:asciiTheme="majorHAnsi" w:hAnsiTheme="majorHAnsi"/>
        </w:rPr>
        <w:t> </w:t>
      </w:r>
      <w:r w:rsidRPr="000A03AA">
        <w:rPr>
          <w:rFonts w:asciiTheme="majorHAnsi" w:hAnsiTheme="majorHAnsi"/>
        </w:rPr>
        <w:t>vzniku rizík, stave a</w:t>
      </w:r>
      <w:r w:rsidR="00E72330">
        <w:rPr>
          <w:rFonts w:asciiTheme="majorHAnsi" w:hAnsiTheme="majorHAnsi"/>
        </w:rPr>
        <w:t> </w:t>
      </w:r>
      <w:r w:rsidRPr="000A03AA">
        <w:rPr>
          <w:rFonts w:asciiTheme="majorHAnsi" w:hAnsiTheme="majorHAnsi"/>
        </w:rPr>
        <w:t>priebehu mimoriadnych udalostí a</w:t>
      </w:r>
      <w:r w:rsidR="00E72330">
        <w:rPr>
          <w:rFonts w:asciiTheme="majorHAnsi" w:hAnsiTheme="majorHAnsi"/>
        </w:rPr>
        <w:t> </w:t>
      </w:r>
      <w:r w:rsidRPr="000A03AA">
        <w:rPr>
          <w:rFonts w:asciiTheme="majorHAnsi" w:hAnsiTheme="majorHAnsi"/>
        </w:rPr>
        <w:t>krízových situácií, ale aj stav intervenčných kapacít vo vzťahu k</w:t>
      </w:r>
      <w:r w:rsidR="00E72330">
        <w:rPr>
          <w:rFonts w:asciiTheme="majorHAnsi" w:hAnsiTheme="majorHAnsi"/>
        </w:rPr>
        <w:t> </w:t>
      </w:r>
      <w:r w:rsidRPr="000A03AA">
        <w:rPr>
          <w:rFonts w:asciiTheme="majorHAnsi" w:hAnsiTheme="majorHAnsi"/>
        </w:rPr>
        <w:t xml:space="preserve">potrebám </w:t>
      </w:r>
      <w:r w:rsidR="004E45BE" w:rsidRPr="000A03AA">
        <w:rPr>
          <w:rFonts w:asciiTheme="majorHAnsi" w:hAnsiTheme="majorHAnsi"/>
        </w:rPr>
        <w:t>vyplývajúci</w:t>
      </w:r>
      <w:r w:rsidR="004E45BE">
        <w:rPr>
          <w:rFonts w:asciiTheme="majorHAnsi" w:hAnsiTheme="majorHAnsi"/>
        </w:rPr>
        <w:t>m</w:t>
      </w:r>
      <w:r w:rsidR="004E45BE" w:rsidRPr="000A03AA">
        <w:rPr>
          <w:rFonts w:asciiTheme="majorHAnsi" w:hAnsiTheme="majorHAnsi"/>
        </w:rPr>
        <w:t xml:space="preserve"> </w:t>
      </w:r>
      <w:r w:rsidRPr="000A03AA">
        <w:rPr>
          <w:rFonts w:asciiTheme="majorHAnsi" w:hAnsiTheme="majorHAnsi"/>
        </w:rPr>
        <w:t>z</w:t>
      </w:r>
      <w:r w:rsidR="00D04DFB">
        <w:rPr>
          <w:rFonts w:asciiTheme="majorHAnsi" w:hAnsiTheme="majorHAnsi"/>
        </w:rPr>
        <w:t> </w:t>
      </w:r>
      <w:r w:rsidRPr="000A03AA">
        <w:rPr>
          <w:rFonts w:asciiTheme="majorHAnsi" w:hAnsiTheme="majorHAnsi"/>
        </w:rPr>
        <w:t>rizík</w:t>
      </w:r>
      <w:r w:rsidR="00D04DFB">
        <w:rPr>
          <w:rFonts w:asciiTheme="majorHAnsi" w:hAnsiTheme="majorHAnsi"/>
        </w:rPr>
        <w:t xml:space="preserve">, ako </w:t>
      </w:r>
      <w:r w:rsidRPr="000A03AA">
        <w:rPr>
          <w:rFonts w:asciiTheme="majorHAnsi" w:hAnsiTheme="majorHAnsi"/>
        </w:rPr>
        <w:t>a</w:t>
      </w:r>
      <w:r w:rsidR="00D04DFB">
        <w:rPr>
          <w:rFonts w:asciiTheme="majorHAnsi" w:hAnsiTheme="majorHAnsi"/>
        </w:rPr>
        <w:t xml:space="preserve">j </w:t>
      </w:r>
      <w:r w:rsidRPr="000A03AA">
        <w:rPr>
          <w:rFonts w:asciiTheme="majorHAnsi" w:hAnsiTheme="majorHAnsi"/>
        </w:rPr>
        <w:t>dostupnos</w:t>
      </w:r>
      <w:r w:rsidR="00E72330">
        <w:rPr>
          <w:rFonts w:asciiTheme="majorHAnsi" w:hAnsiTheme="majorHAnsi"/>
        </w:rPr>
        <w:t>ť</w:t>
      </w:r>
      <w:r w:rsidRPr="000A03AA">
        <w:rPr>
          <w:rFonts w:asciiTheme="majorHAnsi" w:hAnsiTheme="majorHAnsi"/>
        </w:rPr>
        <w:t xml:space="preserve"> nástrojov</w:t>
      </w:r>
      <w:r w:rsidR="001E1A27">
        <w:rPr>
          <w:rFonts w:asciiTheme="majorHAnsi" w:hAnsiTheme="majorHAnsi"/>
        </w:rPr>
        <w:t xml:space="preserve"> </w:t>
      </w:r>
      <w:r w:rsidR="005C6873">
        <w:rPr>
          <w:rFonts w:asciiTheme="majorHAnsi" w:hAnsiTheme="majorHAnsi"/>
        </w:rPr>
        <w:t>na zvýšenie efektívnosti komplexného manažmentu mimoriadnych udalostí ovplyvnených zmenou klímy</w:t>
      </w:r>
      <w:r w:rsidRPr="000A03AA">
        <w:rPr>
          <w:rFonts w:asciiTheme="majorHAnsi" w:hAnsiTheme="majorHAnsi"/>
        </w:rPr>
        <w:t>. V</w:t>
      </w:r>
      <w:r w:rsidR="00E72330">
        <w:rPr>
          <w:rFonts w:asciiTheme="majorHAnsi" w:hAnsiTheme="majorHAnsi"/>
        </w:rPr>
        <w:t> </w:t>
      </w:r>
      <w:r w:rsidRPr="000A03AA">
        <w:rPr>
          <w:rFonts w:asciiTheme="majorHAnsi" w:hAnsiTheme="majorHAnsi"/>
        </w:rPr>
        <w:t>prípade zvýšenia ich dostupnosti a</w:t>
      </w:r>
      <w:r w:rsidR="00E72330">
        <w:rPr>
          <w:rFonts w:asciiTheme="majorHAnsi" w:hAnsiTheme="majorHAnsi"/>
        </w:rPr>
        <w:t> </w:t>
      </w:r>
      <w:r w:rsidRPr="000A03AA">
        <w:rPr>
          <w:rFonts w:asciiTheme="majorHAnsi" w:hAnsiTheme="majorHAnsi"/>
        </w:rPr>
        <w:t>optimalizácie stavu je možné znížiť straty na životoch</w:t>
      </w:r>
      <w:r w:rsidR="005C6873">
        <w:rPr>
          <w:rFonts w:asciiTheme="majorHAnsi" w:hAnsiTheme="majorHAnsi"/>
        </w:rPr>
        <w:t xml:space="preserve"> obyvateľov a ich</w:t>
      </w:r>
      <w:r w:rsidR="005C6873" w:rsidRPr="000A03AA">
        <w:rPr>
          <w:rFonts w:asciiTheme="majorHAnsi" w:hAnsiTheme="majorHAnsi"/>
        </w:rPr>
        <w:t xml:space="preserve"> zdrav</w:t>
      </w:r>
      <w:r w:rsidR="005C6873">
        <w:rPr>
          <w:rFonts w:asciiTheme="majorHAnsi" w:hAnsiTheme="majorHAnsi"/>
        </w:rPr>
        <w:t>ia,</w:t>
      </w:r>
      <w:r w:rsidR="00E72330">
        <w:rPr>
          <w:rFonts w:asciiTheme="majorHAnsi" w:hAnsiTheme="majorHAnsi"/>
        </w:rPr>
        <w:t> </w:t>
      </w:r>
      <w:r w:rsidRPr="000A03AA">
        <w:rPr>
          <w:rFonts w:asciiTheme="majorHAnsi" w:hAnsiTheme="majorHAnsi"/>
        </w:rPr>
        <w:t>škody na majetku obyvateľov a</w:t>
      </w:r>
      <w:r w:rsidR="00E72330">
        <w:rPr>
          <w:rFonts w:asciiTheme="majorHAnsi" w:hAnsiTheme="majorHAnsi"/>
        </w:rPr>
        <w:t> </w:t>
      </w:r>
      <w:r w:rsidRPr="000A03AA">
        <w:rPr>
          <w:rFonts w:asciiTheme="majorHAnsi" w:hAnsiTheme="majorHAnsi"/>
        </w:rPr>
        <w:t>podnikateľských subjektov, ako aj na životnom prostredí a</w:t>
      </w:r>
      <w:r w:rsidR="00E72330">
        <w:rPr>
          <w:rFonts w:asciiTheme="majorHAnsi" w:hAnsiTheme="majorHAnsi"/>
        </w:rPr>
        <w:t> </w:t>
      </w:r>
      <w:r w:rsidRPr="000A03AA">
        <w:rPr>
          <w:rFonts w:asciiTheme="majorHAnsi" w:hAnsiTheme="majorHAnsi"/>
        </w:rPr>
        <w:t>kultúrnych hodnotách.</w:t>
      </w:r>
      <w:r w:rsidR="005C6873">
        <w:rPr>
          <w:rFonts w:asciiTheme="majorHAnsi" w:hAnsiTheme="majorHAnsi"/>
        </w:rPr>
        <w:t xml:space="preserve"> </w:t>
      </w:r>
      <w:r w:rsidR="005C6873" w:rsidRPr="005C6873">
        <w:rPr>
          <w:rFonts w:asciiTheme="majorHAnsi" w:hAnsiTheme="majorHAnsi"/>
        </w:rPr>
        <w:t>Mapové podklady alebo iné dokumenty v oblasti prevencie rizík a adaptácie na zmenu klímy budú využité ako ostatné podklady v rámci územnoplánovacej činnosti a pri príprave územnoplánovacej dokumentácie v súlade s legislatívou SR</w:t>
      </w:r>
      <w:r w:rsidR="005C6873">
        <w:rPr>
          <w:rFonts w:asciiTheme="majorHAnsi" w:hAnsiTheme="majorHAnsi"/>
        </w:rPr>
        <w:t>.</w:t>
      </w:r>
    </w:p>
    <w:p w:rsidR="00406C25" w:rsidRPr="00A11FE0" w:rsidRDefault="00406C25" w:rsidP="004B6F41">
      <w:pPr>
        <w:keepNext/>
        <w:keepLines/>
        <w:numPr>
          <w:ilvl w:val="6"/>
          <w:numId w:val="2"/>
        </w:numPr>
        <w:spacing w:before="200" w:after="0"/>
        <w:outlineLvl w:val="6"/>
        <w:rPr>
          <w:rFonts w:asciiTheme="majorHAnsi" w:hAnsiTheme="majorHAnsi"/>
          <w:i/>
          <w:iCs/>
          <w:color w:val="404040"/>
        </w:rPr>
      </w:pPr>
      <w:r w:rsidRPr="00A11FE0">
        <w:rPr>
          <w:rFonts w:asciiTheme="majorHAnsi" w:hAnsiTheme="majorHAnsi"/>
          <w:i/>
          <w:iCs/>
          <w:color w:val="404040"/>
        </w:rPr>
        <w:t xml:space="preserve">Infraštruktúra </w:t>
      </w:r>
      <w:r w:rsidR="00BD5FD5">
        <w:rPr>
          <w:rFonts w:asciiTheme="majorHAnsi" w:hAnsiTheme="majorHAnsi"/>
          <w:i/>
          <w:iCs/>
          <w:color w:val="404040"/>
        </w:rPr>
        <w:t>k</w:t>
      </w:r>
      <w:r w:rsidRPr="00A11FE0">
        <w:rPr>
          <w:rFonts w:asciiTheme="majorHAnsi" w:hAnsiTheme="majorHAnsi"/>
          <w:i/>
          <w:iCs/>
          <w:color w:val="404040"/>
        </w:rPr>
        <w:t xml:space="preserve">rízového manažmentu verejnej </w:t>
      </w:r>
      <w:r w:rsidR="00BD5FD5">
        <w:rPr>
          <w:rFonts w:asciiTheme="majorHAnsi" w:hAnsiTheme="majorHAnsi"/>
          <w:i/>
          <w:iCs/>
          <w:color w:val="404040"/>
        </w:rPr>
        <w:t>s</w:t>
      </w:r>
      <w:r w:rsidRPr="00A11FE0">
        <w:rPr>
          <w:rFonts w:asciiTheme="majorHAnsi" w:hAnsiTheme="majorHAnsi"/>
          <w:i/>
          <w:iCs/>
          <w:color w:val="404040"/>
        </w:rPr>
        <w:t>právy</w:t>
      </w:r>
    </w:p>
    <w:p w:rsidR="006A7C8F" w:rsidRPr="001C1202" w:rsidRDefault="006A7C8F" w:rsidP="006A7C8F">
      <w:pPr>
        <w:rPr>
          <w:rFonts w:asciiTheme="majorHAnsi" w:hAnsiTheme="majorHAnsi"/>
          <w:szCs w:val="22"/>
        </w:rPr>
      </w:pPr>
      <w:r w:rsidRPr="001C1202">
        <w:rPr>
          <w:rFonts w:asciiTheme="majorHAnsi" w:hAnsiTheme="majorHAnsi"/>
          <w:szCs w:val="22"/>
        </w:rPr>
        <w:t>Rastúci počet mimoriadnych udalostí</w:t>
      </w:r>
      <w:r w:rsidR="00D04DFB">
        <w:rPr>
          <w:rFonts w:asciiTheme="majorHAnsi" w:hAnsiTheme="majorHAnsi"/>
          <w:szCs w:val="22"/>
        </w:rPr>
        <w:t>,</w:t>
      </w:r>
      <w:r w:rsidRPr="001C1202">
        <w:rPr>
          <w:rFonts w:asciiTheme="majorHAnsi" w:hAnsiTheme="majorHAnsi"/>
          <w:szCs w:val="22"/>
        </w:rPr>
        <w:t xml:space="preserve"> súvisiacich s</w:t>
      </w:r>
      <w:r w:rsidR="00A24F2B">
        <w:rPr>
          <w:rFonts w:asciiTheme="majorHAnsi" w:hAnsiTheme="majorHAnsi"/>
          <w:szCs w:val="22"/>
        </w:rPr>
        <w:t>o</w:t>
      </w:r>
      <w:r w:rsidRPr="001C1202">
        <w:rPr>
          <w:rFonts w:asciiTheme="majorHAnsi" w:hAnsiTheme="majorHAnsi"/>
          <w:szCs w:val="22"/>
        </w:rPr>
        <w:t xml:space="preserve"> zmenami </w:t>
      </w:r>
      <w:r w:rsidR="00A24F2B">
        <w:rPr>
          <w:rFonts w:asciiTheme="majorHAnsi" w:hAnsiTheme="majorHAnsi"/>
          <w:szCs w:val="22"/>
        </w:rPr>
        <w:t xml:space="preserve">klímy </w:t>
      </w:r>
      <w:r w:rsidRPr="001C1202">
        <w:rPr>
          <w:rFonts w:asciiTheme="majorHAnsi" w:hAnsiTheme="majorHAnsi"/>
          <w:szCs w:val="22"/>
        </w:rPr>
        <w:t>a komplexnými rizikami, ich dopad na ekosystémy, sociálnu a spoločenskú infraštruktúru a na národný potenciál pre udržateľný rast si vyžaduje optimalizáciu adaptačných a intervenčných stratégií a optimalizáciu dostupnosti nástrojov na ich implementáciu. V záujme posilnenia odolnosti krajiny a jej infraštruktúry voči identifikovaným rizikám, schopnosti SR garantovať verejné služby v krízových situáciách a zapojiť sa do pomoci iným členským štátom</w:t>
      </w:r>
      <w:r w:rsidR="00D04DFB">
        <w:rPr>
          <w:rFonts w:asciiTheme="majorHAnsi" w:hAnsiTheme="majorHAnsi"/>
          <w:szCs w:val="22"/>
        </w:rPr>
        <w:t xml:space="preserve"> EÚ</w:t>
      </w:r>
      <w:r w:rsidRPr="001C1202">
        <w:rPr>
          <w:rFonts w:asciiTheme="majorHAnsi" w:hAnsiTheme="majorHAnsi"/>
          <w:szCs w:val="22"/>
        </w:rPr>
        <w:t xml:space="preserve"> pri </w:t>
      </w:r>
      <w:r w:rsidR="00F20171">
        <w:rPr>
          <w:rFonts w:asciiTheme="majorHAnsi" w:hAnsiTheme="majorHAnsi"/>
          <w:szCs w:val="22"/>
        </w:rPr>
        <w:t>mimoriadnych udalostiach</w:t>
      </w:r>
      <w:r w:rsidR="00F20171" w:rsidRPr="001C1202">
        <w:rPr>
          <w:rFonts w:asciiTheme="majorHAnsi" w:hAnsiTheme="majorHAnsi"/>
          <w:szCs w:val="22"/>
        </w:rPr>
        <w:t xml:space="preserve"> </w:t>
      </w:r>
      <w:r w:rsidRPr="001C1202">
        <w:rPr>
          <w:rFonts w:asciiTheme="majorHAnsi" w:hAnsiTheme="majorHAnsi"/>
          <w:szCs w:val="22"/>
        </w:rPr>
        <w:t xml:space="preserve">je potrebné investovať do optimalizácie infraštruktúry </w:t>
      </w:r>
      <w:r w:rsidR="005C6873">
        <w:rPr>
          <w:rFonts w:asciiTheme="majorHAnsi" w:hAnsiTheme="majorHAnsi"/>
          <w:szCs w:val="22"/>
        </w:rPr>
        <w:t>vzhľadom na</w:t>
      </w:r>
      <w:r w:rsidRPr="001C1202">
        <w:rPr>
          <w:rFonts w:asciiTheme="majorHAnsi" w:hAnsiTheme="majorHAnsi"/>
          <w:szCs w:val="22"/>
        </w:rPr>
        <w:t xml:space="preserve"> prevenciu</w:t>
      </w:r>
      <w:r w:rsidR="005C6873">
        <w:rPr>
          <w:rFonts w:asciiTheme="majorHAnsi" w:hAnsiTheme="majorHAnsi"/>
          <w:szCs w:val="22"/>
        </w:rPr>
        <w:t xml:space="preserve"> a</w:t>
      </w:r>
      <w:r w:rsidR="005C6873" w:rsidRPr="001C1202">
        <w:rPr>
          <w:rFonts w:asciiTheme="majorHAnsi" w:hAnsiTheme="majorHAnsi"/>
          <w:szCs w:val="22"/>
        </w:rPr>
        <w:t xml:space="preserve"> </w:t>
      </w:r>
      <w:r w:rsidRPr="001C1202">
        <w:rPr>
          <w:rFonts w:asciiTheme="majorHAnsi" w:hAnsiTheme="majorHAnsi"/>
          <w:szCs w:val="22"/>
        </w:rPr>
        <w:t xml:space="preserve">pripravenosť, </w:t>
      </w:r>
      <w:r w:rsidR="005C6873">
        <w:rPr>
          <w:rFonts w:asciiTheme="majorHAnsi" w:hAnsiTheme="majorHAnsi"/>
          <w:szCs w:val="22"/>
        </w:rPr>
        <w:t xml:space="preserve">voči </w:t>
      </w:r>
      <w:r w:rsidRPr="001C1202">
        <w:rPr>
          <w:rFonts w:asciiTheme="majorHAnsi" w:hAnsiTheme="majorHAnsi"/>
          <w:szCs w:val="22"/>
        </w:rPr>
        <w:t>nežiaduci</w:t>
      </w:r>
      <w:r w:rsidR="005C6873">
        <w:rPr>
          <w:rFonts w:asciiTheme="majorHAnsi" w:hAnsiTheme="majorHAnsi"/>
          <w:szCs w:val="22"/>
        </w:rPr>
        <w:t>m</w:t>
      </w:r>
      <w:r w:rsidRPr="001C1202">
        <w:rPr>
          <w:rFonts w:asciiTheme="majorHAnsi" w:hAnsiTheme="majorHAnsi"/>
          <w:szCs w:val="22"/>
        </w:rPr>
        <w:t xml:space="preserve"> udalostia</w:t>
      </w:r>
      <w:r w:rsidR="005C6873">
        <w:rPr>
          <w:rFonts w:asciiTheme="majorHAnsi" w:hAnsiTheme="majorHAnsi"/>
          <w:szCs w:val="22"/>
        </w:rPr>
        <w:t>m</w:t>
      </w:r>
      <w:r w:rsidRPr="001C1202">
        <w:rPr>
          <w:rFonts w:asciiTheme="majorHAnsi" w:hAnsiTheme="majorHAnsi"/>
          <w:szCs w:val="22"/>
        </w:rPr>
        <w:t>.</w:t>
      </w:r>
    </w:p>
    <w:p w:rsidR="00141F9E" w:rsidRDefault="00141F9E" w:rsidP="003F0750">
      <w:pPr>
        <w:spacing w:before="0" w:after="0"/>
        <w:rPr>
          <w:rFonts w:asciiTheme="majorHAnsi" w:hAnsiTheme="majorHAnsi"/>
          <w:szCs w:val="22"/>
        </w:rPr>
      </w:pPr>
      <w:r>
        <w:rPr>
          <w:noProof/>
          <w:lang w:eastAsia="sk-SK"/>
        </w:rPr>
        <w:drawing>
          <wp:inline distT="0" distB="0" distL="0" distR="0" wp14:anchorId="635FC062" wp14:editId="6B644FCF">
            <wp:extent cx="5495925" cy="2533650"/>
            <wp:effectExtent l="0" t="0" r="0" b="0"/>
            <wp:docPr id="1" name="Graf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A31D3" w:rsidRPr="005A31D3" w:rsidRDefault="006A7C8F" w:rsidP="002C7372">
      <w:pPr>
        <w:spacing w:before="240" w:after="0"/>
        <w:rPr>
          <w:rFonts w:asciiTheme="majorHAnsi" w:hAnsiTheme="majorHAnsi"/>
          <w:szCs w:val="22"/>
        </w:rPr>
      </w:pPr>
      <w:r w:rsidRPr="001C1202">
        <w:rPr>
          <w:rFonts w:asciiTheme="majorHAnsi" w:hAnsiTheme="majorHAnsi"/>
          <w:szCs w:val="22"/>
        </w:rPr>
        <w:t>Problémom v</w:t>
      </w:r>
      <w:r w:rsidR="009F26FD">
        <w:rPr>
          <w:rFonts w:asciiTheme="majorHAnsi" w:hAnsiTheme="majorHAnsi"/>
          <w:szCs w:val="22"/>
        </w:rPr>
        <w:t> </w:t>
      </w:r>
      <w:r w:rsidRPr="001C1202">
        <w:rPr>
          <w:rFonts w:asciiTheme="majorHAnsi" w:hAnsiTheme="majorHAnsi"/>
          <w:szCs w:val="22"/>
        </w:rPr>
        <w:t>súčasnej infraštruktúre krízového manažmentu je absencia komplexných informácií o vzniku rizík, stave a priebehu mimoriadnych udalostí a krízových situácií, ale aj stav intervenčných kapacít vo vzťahu k potrebám vyplývajúcich z rizík. V prípade zvýšenia ich dostupnosti a optimalizácie stavu je možné znížiť straty na životoch, zdraví a škody na majetku obyvateľov a podnikateľských subjektov, ako aj na životnom prostredí a kultúrnych hodnotách.</w:t>
      </w:r>
    </w:p>
    <w:p w:rsidR="00406C25" w:rsidRPr="00A11FE0" w:rsidRDefault="00BD5FD5" w:rsidP="004B6F41">
      <w:pPr>
        <w:keepNext/>
        <w:keepLines/>
        <w:numPr>
          <w:ilvl w:val="6"/>
          <w:numId w:val="2"/>
        </w:numPr>
        <w:spacing w:before="200" w:after="0"/>
        <w:outlineLvl w:val="6"/>
        <w:rPr>
          <w:rFonts w:asciiTheme="majorHAnsi" w:hAnsiTheme="majorHAnsi"/>
          <w:i/>
          <w:iCs/>
          <w:color w:val="404040"/>
        </w:rPr>
      </w:pPr>
      <w:r>
        <w:rPr>
          <w:rFonts w:asciiTheme="majorHAnsi" w:hAnsiTheme="majorHAnsi"/>
          <w:i/>
          <w:iCs/>
          <w:color w:val="404040"/>
        </w:rPr>
        <w:lastRenderedPageBreak/>
        <w:t>S</w:t>
      </w:r>
      <w:r w:rsidR="00406C25" w:rsidRPr="00A11FE0">
        <w:rPr>
          <w:rFonts w:asciiTheme="majorHAnsi" w:hAnsiTheme="majorHAnsi"/>
          <w:i/>
          <w:iCs/>
          <w:color w:val="404040"/>
        </w:rPr>
        <w:t xml:space="preserve">ystém monitoringu, varovania, predpovedných </w:t>
      </w:r>
      <w:r>
        <w:rPr>
          <w:rFonts w:asciiTheme="majorHAnsi" w:hAnsiTheme="majorHAnsi"/>
          <w:i/>
          <w:iCs/>
          <w:color w:val="404040"/>
        </w:rPr>
        <w:t>s</w:t>
      </w:r>
      <w:r w:rsidR="00406C25" w:rsidRPr="00A11FE0">
        <w:rPr>
          <w:rFonts w:asciiTheme="majorHAnsi" w:hAnsiTheme="majorHAnsi"/>
          <w:i/>
          <w:iCs/>
          <w:color w:val="404040"/>
        </w:rPr>
        <w:t xml:space="preserve">lužieb </w:t>
      </w:r>
      <w:r>
        <w:rPr>
          <w:rFonts w:asciiTheme="majorHAnsi" w:hAnsiTheme="majorHAnsi"/>
          <w:i/>
          <w:iCs/>
          <w:color w:val="404040"/>
        </w:rPr>
        <w:t>a </w:t>
      </w:r>
      <w:r w:rsidR="00406C25" w:rsidRPr="00A11FE0">
        <w:rPr>
          <w:rFonts w:asciiTheme="majorHAnsi" w:hAnsiTheme="majorHAnsi"/>
          <w:i/>
          <w:iCs/>
          <w:color w:val="404040"/>
        </w:rPr>
        <w:t xml:space="preserve">intervenčné </w:t>
      </w:r>
      <w:r>
        <w:rPr>
          <w:rFonts w:asciiTheme="majorHAnsi" w:hAnsiTheme="majorHAnsi"/>
          <w:i/>
          <w:iCs/>
          <w:color w:val="404040"/>
        </w:rPr>
        <w:t>k</w:t>
      </w:r>
      <w:r w:rsidR="00406C25" w:rsidRPr="00A11FE0">
        <w:rPr>
          <w:rFonts w:asciiTheme="majorHAnsi" w:hAnsiTheme="majorHAnsi"/>
          <w:i/>
          <w:iCs/>
          <w:color w:val="404040"/>
        </w:rPr>
        <w:t>apacity záchranných zložiek</w:t>
      </w:r>
    </w:p>
    <w:p w:rsidR="00141F9E" w:rsidRDefault="00BD5FD5" w:rsidP="002C7372">
      <w:pPr>
        <w:rPr>
          <w:rFonts w:asciiTheme="majorHAnsi" w:hAnsiTheme="majorHAnsi"/>
        </w:rPr>
      </w:pPr>
      <w:r>
        <w:rPr>
          <w:rFonts w:asciiTheme="majorHAnsi" w:hAnsiTheme="majorHAnsi"/>
        </w:rPr>
        <w:t>K</w:t>
      </w:r>
      <w:r w:rsidR="00406C25" w:rsidRPr="00A11FE0">
        <w:rPr>
          <w:rFonts w:asciiTheme="majorHAnsi" w:hAnsiTheme="majorHAnsi"/>
        </w:rPr>
        <w:t xml:space="preserve">oncepcia technického zabezpečenia vyrozumenia </w:t>
      </w:r>
      <w:r>
        <w:rPr>
          <w:rFonts w:asciiTheme="majorHAnsi" w:hAnsiTheme="majorHAnsi"/>
        </w:rPr>
        <w:t>a </w:t>
      </w:r>
      <w:r w:rsidR="00406C25" w:rsidRPr="00A11FE0">
        <w:rPr>
          <w:rFonts w:asciiTheme="majorHAnsi" w:hAnsiTheme="majorHAnsi"/>
        </w:rPr>
        <w:t>varovania obyvateľstva v</w:t>
      </w:r>
      <w:r w:rsidR="00900D3D">
        <w:rPr>
          <w:rFonts w:asciiTheme="majorHAnsi" w:hAnsiTheme="majorHAnsi"/>
        </w:rPr>
        <w:t> </w:t>
      </w:r>
      <w:r>
        <w:rPr>
          <w:rFonts w:asciiTheme="majorHAnsi" w:hAnsiTheme="majorHAnsi"/>
        </w:rPr>
        <w:t>S</w:t>
      </w:r>
      <w:r w:rsidR="00406C25" w:rsidRPr="00A11FE0">
        <w:rPr>
          <w:rFonts w:asciiTheme="majorHAnsi" w:hAnsiTheme="majorHAnsi"/>
        </w:rPr>
        <w:t xml:space="preserve">R po roku 2014 považuje varovaciu </w:t>
      </w:r>
      <w:r>
        <w:rPr>
          <w:rFonts w:asciiTheme="majorHAnsi" w:hAnsiTheme="majorHAnsi"/>
        </w:rPr>
        <w:t>s</w:t>
      </w:r>
      <w:r w:rsidR="00406C25" w:rsidRPr="00A11FE0">
        <w:rPr>
          <w:rFonts w:asciiTheme="majorHAnsi" w:hAnsiTheme="majorHAnsi"/>
        </w:rPr>
        <w:t xml:space="preserve">ieť </w:t>
      </w:r>
      <w:r>
        <w:rPr>
          <w:rFonts w:asciiTheme="majorHAnsi" w:hAnsiTheme="majorHAnsi"/>
        </w:rPr>
        <w:t>s</w:t>
      </w:r>
      <w:r w:rsidR="00406C25" w:rsidRPr="00A11FE0">
        <w:rPr>
          <w:rFonts w:asciiTheme="majorHAnsi" w:hAnsiTheme="majorHAnsi"/>
        </w:rPr>
        <w:t xml:space="preserve">irén civilnej ochrany za hlavný prostriedok varovania. Na území, </w:t>
      </w:r>
      <w:r>
        <w:rPr>
          <w:rFonts w:asciiTheme="majorHAnsi" w:hAnsiTheme="majorHAnsi"/>
        </w:rPr>
        <w:t>k</w:t>
      </w:r>
      <w:r w:rsidR="00406C25" w:rsidRPr="00A11FE0">
        <w:rPr>
          <w:rFonts w:asciiTheme="majorHAnsi" w:hAnsiTheme="majorHAnsi"/>
        </w:rPr>
        <w:t xml:space="preserve">toré nie je pokryté výstražným </w:t>
      </w:r>
      <w:r>
        <w:rPr>
          <w:rFonts w:asciiTheme="majorHAnsi" w:hAnsiTheme="majorHAnsi"/>
        </w:rPr>
        <w:t>s</w:t>
      </w:r>
      <w:r w:rsidR="00406C25" w:rsidRPr="00A11FE0">
        <w:rPr>
          <w:rFonts w:asciiTheme="majorHAnsi" w:hAnsiTheme="majorHAnsi"/>
        </w:rPr>
        <w:t xml:space="preserve">ignálom </w:t>
      </w:r>
      <w:r>
        <w:rPr>
          <w:rFonts w:asciiTheme="majorHAnsi" w:hAnsiTheme="majorHAnsi"/>
        </w:rPr>
        <w:t>s</w:t>
      </w:r>
      <w:r w:rsidR="00406C25" w:rsidRPr="00A11FE0">
        <w:rPr>
          <w:rFonts w:asciiTheme="majorHAnsi" w:hAnsiTheme="majorHAnsi"/>
        </w:rPr>
        <w:t xml:space="preserve">irén budú na varovanie obyvateľstva masívne využívané verejné </w:t>
      </w:r>
      <w:r>
        <w:rPr>
          <w:rFonts w:asciiTheme="majorHAnsi" w:hAnsiTheme="majorHAnsi"/>
        </w:rPr>
        <w:t>k</w:t>
      </w:r>
      <w:r w:rsidR="00406C25" w:rsidRPr="00A11FE0">
        <w:rPr>
          <w:rFonts w:asciiTheme="majorHAnsi" w:hAnsiTheme="majorHAnsi"/>
        </w:rPr>
        <w:t xml:space="preserve">omunikačné </w:t>
      </w:r>
      <w:r>
        <w:rPr>
          <w:rFonts w:asciiTheme="majorHAnsi" w:hAnsiTheme="majorHAnsi"/>
        </w:rPr>
        <w:t>s</w:t>
      </w:r>
      <w:r w:rsidR="00406C25" w:rsidRPr="00A11FE0">
        <w:rPr>
          <w:rFonts w:asciiTheme="majorHAnsi" w:hAnsiTheme="majorHAnsi"/>
        </w:rPr>
        <w:t xml:space="preserve">iete, masovokomunikačné prostriedky </w:t>
      </w:r>
      <w:r>
        <w:rPr>
          <w:rFonts w:asciiTheme="majorHAnsi" w:hAnsiTheme="majorHAnsi"/>
        </w:rPr>
        <w:t>a </w:t>
      </w:r>
      <w:r w:rsidR="00406C25" w:rsidRPr="00A11FE0">
        <w:rPr>
          <w:rFonts w:asciiTheme="majorHAnsi" w:hAnsiTheme="majorHAnsi"/>
        </w:rPr>
        <w:t>miestne bezdrôtové rozhlasy.</w:t>
      </w:r>
    </w:p>
    <w:p w:rsidR="002F0D56" w:rsidRDefault="006120EA" w:rsidP="002C7372">
      <w:pPr>
        <w:rPr>
          <w:rFonts w:asciiTheme="majorHAnsi" w:hAnsiTheme="majorHAnsi"/>
        </w:rPr>
      </w:pPr>
      <w:r>
        <w:rPr>
          <w:rFonts w:asciiTheme="majorHAnsi" w:hAnsiTheme="majorHAnsi"/>
        </w:rPr>
        <w:t xml:space="preserve">Služba </w:t>
      </w:r>
      <w:r w:rsidR="00A4237C">
        <w:rPr>
          <w:rFonts w:asciiTheme="majorHAnsi" w:hAnsiTheme="majorHAnsi"/>
        </w:rPr>
        <w:t>„</w:t>
      </w:r>
      <w:r>
        <w:rPr>
          <w:rFonts w:asciiTheme="majorHAnsi" w:hAnsiTheme="majorHAnsi"/>
        </w:rPr>
        <w:t>cell broadcasting</w:t>
      </w:r>
      <w:r w:rsidR="00A4237C">
        <w:rPr>
          <w:rFonts w:asciiTheme="majorHAnsi" w:hAnsiTheme="majorHAnsi"/>
        </w:rPr>
        <w:t>“</w:t>
      </w:r>
      <w:r>
        <w:rPr>
          <w:rFonts w:asciiTheme="majorHAnsi" w:hAnsiTheme="majorHAnsi"/>
        </w:rPr>
        <w:t xml:space="preserve"> (automatické doručovanie správ na mobilné telefóny, ktoré sú v dosahu staníc mobilných sietí na ohrozenom území), v kombinácii so sieťou sirén, predstavuje veľmi účinný a finančne efektívny prostriedok prvotného varovania obyvateľstva. Jeho využitím sa významne skvalitní systém varovania, ako i spôsob splnenia podmienky viacjazyčnosti správ. Jedným zo systémov monitoringu, varovania a predpovedných služieb je projekt povodňového varovného a</w:t>
      </w:r>
      <w:r w:rsidR="00597BDD">
        <w:rPr>
          <w:rFonts w:asciiTheme="majorHAnsi" w:hAnsiTheme="majorHAnsi"/>
        </w:rPr>
        <w:t> </w:t>
      </w:r>
      <w:r>
        <w:rPr>
          <w:rFonts w:asciiTheme="majorHAnsi" w:hAnsiTheme="majorHAnsi"/>
        </w:rPr>
        <w:t>predpovedného systému (ďalej aj “POVAPSYS”), ktorý je realizovaný v rámci programového obdobia 2007 – 2013 Slovenským hydrometeorologickým ústavom (ďalej len „SHMÚ“), na ktorý nadviažu ďalšie pripravované opatrenia. Cieľovým stavom je dostupnosť a interoperabilita jednotlivých systémov monitoringu, varovania predpovedných služieb v režime online a intervencie, ako predpoklad na zabezpečenie štandardnej kvality intervenčných kapacít a služieb záchranných zložiek. Z pohľadu obyvateľov je cieľom, aby na trvale obývanom území bola vždy možnosť doručiť občanovi varovnú informáciu minimálne jedným technickým prostriedkom.</w:t>
      </w:r>
    </w:p>
    <w:p w:rsidR="00406C25" w:rsidRDefault="00406C25" w:rsidP="004B6F41">
      <w:pPr>
        <w:keepNext/>
        <w:keepLines/>
        <w:numPr>
          <w:ilvl w:val="6"/>
          <w:numId w:val="2"/>
        </w:numPr>
        <w:spacing w:before="200" w:after="0"/>
        <w:outlineLvl w:val="6"/>
        <w:rPr>
          <w:rFonts w:asciiTheme="majorHAnsi" w:hAnsiTheme="majorHAnsi"/>
          <w:i/>
          <w:iCs/>
          <w:color w:val="404040"/>
        </w:rPr>
      </w:pPr>
      <w:r w:rsidRPr="00A11FE0">
        <w:rPr>
          <w:rFonts w:asciiTheme="majorHAnsi" w:hAnsiTheme="majorHAnsi"/>
          <w:i/>
          <w:iCs/>
          <w:color w:val="404040"/>
        </w:rPr>
        <w:t xml:space="preserve">Príprava na civilnú ochranu </w:t>
      </w:r>
      <w:r w:rsidR="00BD5FD5">
        <w:rPr>
          <w:rFonts w:asciiTheme="majorHAnsi" w:hAnsiTheme="majorHAnsi"/>
          <w:i/>
          <w:iCs/>
          <w:color w:val="404040"/>
        </w:rPr>
        <w:t>a </w:t>
      </w:r>
      <w:r w:rsidRPr="00A11FE0">
        <w:rPr>
          <w:rFonts w:asciiTheme="majorHAnsi" w:hAnsiTheme="majorHAnsi"/>
          <w:i/>
          <w:iCs/>
          <w:color w:val="404040"/>
        </w:rPr>
        <w:t xml:space="preserve">manažment </w:t>
      </w:r>
      <w:r w:rsidR="00BD5FD5">
        <w:rPr>
          <w:rFonts w:asciiTheme="majorHAnsi" w:hAnsiTheme="majorHAnsi"/>
          <w:i/>
          <w:iCs/>
          <w:color w:val="404040"/>
        </w:rPr>
        <w:t>k</w:t>
      </w:r>
      <w:r w:rsidRPr="00A11FE0">
        <w:rPr>
          <w:rFonts w:asciiTheme="majorHAnsi" w:hAnsiTheme="majorHAnsi"/>
          <w:i/>
          <w:iCs/>
          <w:color w:val="404040"/>
        </w:rPr>
        <w:t xml:space="preserve">rízových </w:t>
      </w:r>
      <w:r w:rsidR="00BD5FD5">
        <w:rPr>
          <w:rFonts w:asciiTheme="majorHAnsi" w:hAnsiTheme="majorHAnsi"/>
          <w:i/>
          <w:iCs/>
          <w:color w:val="404040"/>
        </w:rPr>
        <w:t>s</w:t>
      </w:r>
      <w:r w:rsidRPr="00A11FE0">
        <w:rPr>
          <w:rFonts w:asciiTheme="majorHAnsi" w:hAnsiTheme="majorHAnsi"/>
          <w:i/>
          <w:iCs/>
          <w:color w:val="404040"/>
        </w:rPr>
        <w:t>ituácií</w:t>
      </w:r>
    </w:p>
    <w:p w:rsidR="00CA1B36" w:rsidRPr="003F0750" w:rsidRDefault="00CA1B36" w:rsidP="002C7372">
      <w:pPr>
        <w:keepNext/>
        <w:keepLines/>
        <w:spacing w:after="0"/>
        <w:outlineLvl w:val="6"/>
        <w:rPr>
          <w:rFonts w:asciiTheme="majorHAnsi" w:hAnsiTheme="majorHAnsi"/>
          <w:i/>
          <w:iCs/>
        </w:rPr>
      </w:pPr>
      <w:r w:rsidRPr="00DD004C">
        <w:rPr>
          <w:rFonts w:asciiTheme="majorHAnsi" w:hAnsiTheme="majorHAnsi"/>
        </w:rPr>
        <w:t>P</w:t>
      </w:r>
      <w:r w:rsidR="006120EA" w:rsidRPr="006120EA">
        <w:rPr>
          <w:rFonts w:asciiTheme="majorHAnsi" w:hAnsiTheme="majorHAnsi"/>
        </w:rPr>
        <w:t>ríprava v oblasti krízového manažmentu</w:t>
      </w:r>
      <w:r w:rsidR="006120EA" w:rsidRPr="006120EA">
        <w:rPr>
          <w:rFonts w:asciiTheme="majorHAnsi" w:hAnsiTheme="majorHAnsi"/>
          <w:vertAlign w:val="superscript"/>
        </w:rPr>
        <w:footnoteReference w:id="196"/>
      </w:r>
      <w:r w:rsidR="006120EA" w:rsidRPr="006120EA">
        <w:rPr>
          <w:rFonts w:asciiTheme="majorHAnsi" w:hAnsiTheme="majorHAnsi"/>
        </w:rPr>
        <w:t xml:space="preserve"> je nejednotná a pri komplexnom ohrození, alebo mimoriadnej udalosti sa to prejavuje na súčinnosti, rozhodovaní a výkone opatrení jednotlivých orgánov krízového riadenia aj vo vzťahu k obyvateľstvu. Roztrieštenosť vzdelávacieho procesu má za následok neadekvátnu prípravu odborných kapacít krízového manažmentu na krízové situácie a ich riešenie. Obsah vzdelávania nereflektuje</w:t>
      </w:r>
      <w:r w:rsidR="001B2AA6">
        <w:rPr>
          <w:rFonts w:asciiTheme="majorHAnsi" w:hAnsiTheme="majorHAnsi"/>
        </w:rPr>
        <w:t xml:space="preserve"> na</w:t>
      </w:r>
      <w:r w:rsidR="006120EA" w:rsidRPr="006120EA">
        <w:rPr>
          <w:rFonts w:asciiTheme="majorHAnsi" w:hAnsiTheme="majorHAnsi"/>
        </w:rPr>
        <w:t xml:space="preserve"> súčasné potreby a požiadavky.</w:t>
      </w:r>
      <w:r w:rsidR="001B2AA6">
        <w:rPr>
          <w:rFonts w:asciiTheme="majorHAnsi" w:hAnsiTheme="majorHAnsi"/>
        </w:rPr>
        <w:t xml:space="preserve"> V</w:t>
      </w:r>
      <w:r w:rsidR="006120EA" w:rsidRPr="006120EA">
        <w:rPr>
          <w:rFonts w:asciiTheme="majorHAnsi" w:hAnsiTheme="majorHAnsi"/>
        </w:rPr>
        <w:t> príprave na manažment krízových situácií</w:t>
      </w:r>
      <w:r w:rsidR="001B2AA6">
        <w:rPr>
          <w:rFonts w:asciiTheme="majorHAnsi" w:hAnsiTheme="majorHAnsi"/>
        </w:rPr>
        <w:t xml:space="preserve"> je nedostatočne</w:t>
      </w:r>
      <w:r w:rsidR="006120EA" w:rsidRPr="006120EA">
        <w:rPr>
          <w:rFonts w:asciiTheme="majorHAnsi" w:hAnsiTheme="majorHAnsi"/>
        </w:rPr>
        <w:t xml:space="preserve"> zohľadnené prepojenie národných systémov </w:t>
      </w:r>
      <w:r w:rsidR="001B2AA6">
        <w:rPr>
          <w:rFonts w:asciiTheme="majorHAnsi" w:hAnsiTheme="majorHAnsi"/>
        </w:rPr>
        <w:t>riadenia</w:t>
      </w:r>
      <w:r w:rsidR="001B2AA6" w:rsidRPr="006120EA">
        <w:rPr>
          <w:rFonts w:asciiTheme="majorHAnsi" w:hAnsiTheme="majorHAnsi"/>
        </w:rPr>
        <w:t xml:space="preserve"> </w:t>
      </w:r>
      <w:r w:rsidR="006120EA" w:rsidRPr="006120EA">
        <w:rPr>
          <w:rFonts w:asciiTheme="majorHAnsi" w:hAnsiTheme="majorHAnsi"/>
        </w:rPr>
        <w:t xml:space="preserve">s dobrovoľníckymi záchrannými systémami a službami, združeniami a dobrovoľníckymi centrami v oblasti prevencie a intervencie, ako aj monitorovacími a varovnými systémami. Nedostatočné je zvyšovanie povedomia širokej verejnosti v oblasti predchádzania </w:t>
      </w:r>
      <w:r w:rsidR="00CE1647">
        <w:rPr>
          <w:rFonts w:asciiTheme="majorHAnsi" w:hAnsiTheme="majorHAnsi"/>
        </w:rPr>
        <w:t>mimoriadnych udalostí</w:t>
      </w:r>
      <w:r w:rsidR="00CE1647" w:rsidRPr="006120EA">
        <w:rPr>
          <w:rFonts w:asciiTheme="majorHAnsi" w:hAnsiTheme="majorHAnsi"/>
        </w:rPr>
        <w:t xml:space="preserve"> </w:t>
      </w:r>
      <w:r w:rsidR="006120EA" w:rsidRPr="006120EA">
        <w:rPr>
          <w:rFonts w:asciiTheme="majorHAnsi" w:hAnsiTheme="majorHAnsi"/>
        </w:rPr>
        <w:t xml:space="preserve">a rozvoja ich zručností pri plánovaní miestnych opatrení (na úrovni komunít) voči rizikám, ktoré zvyšuje sebestačnosť komunít v prípade krízových situácií a ich odolnosť voči </w:t>
      </w:r>
      <w:r w:rsidR="00CE1647">
        <w:rPr>
          <w:rFonts w:asciiTheme="majorHAnsi" w:hAnsiTheme="majorHAnsi"/>
        </w:rPr>
        <w:t>mimoriadnym udalostiam</w:t>
      </w:r>
      <w:r w:rsidR="006120EA" w:rsidRPr="006120EA">
        <w:rPr>
          <w:rFonts w:asciiTheme="majorHAnsi" w:hAnsiTheme="majorHAnsi"/>
        </w:rPr>
        <w:t>.</w:t>
      </w:r>
    </w:p>
    <w:p w:rsidR="00996677" w:rsidRPr="00A11FE0" w:rsidRDefault="00996677" w:rsidP="004B6F41">
      <w:pPr>
        <w:pStyle w:val="Nadpis5"/>
        <w:numPr>
          <w:ilvl w:val="4"/>
          <w:numId w:val="2"/>
        </w:numPr>
        <w:ind w:left="1292"/>
      </w:pPr>
      <w:bookmarkStart w:id="199" w:name="_Toc372447925"/>
      <w:r w:rsidRPr="00A11FE0">
        <w:t xml:space="preserve">Územná </w:t>
      </w:r>
      <w:r w:rsidR="00BD5FD5">
        <w:t>k</w:t>
      </w:r>
      <w:r w:rsidRPr="00A11FE0">
        <w:t>oncentrácia</w:t>
      </w:r>
      <w:bookmarkEnd w:id="199"/>
    </w:p>
    <w:p w:rsidR="00996677" w:rsidRPr="00A11FE0" w:rsidRDefault="00996677" w:rsidP="00996677">
      <w:pPr>
        <w:rPr>
          <w:rFonts w:asciiTheme="majorHAnsi" w:hAnsiTheme="majorHAnsi"/>
        </w:rPr>
      </w:pPr>
      <w:r w:rsidRPr="00A11FE0">
        <w:rPr>
          <w:rFonts w:asciiTheme="majorHAnsi" w:hAnsiTheme="majorHAnsi"/>
        </w:rPr>
        <w:t xml:space="preserve">Problematika zmeny </w:t>
      </w:r>
      <w:r w:rsidR="00BD5FD5">
        <w:rPr>
          <w:rFonts w:asciiTheme="majorHAnsi" w:hAnsiTheme="majorHAnsi"/>
        </w:rPr>
        <w:t>k</w:t>
      </w:r>
      <w:r w:rsidRPr="00A11FE0">
        <w:rPr>
          <w:rFonts w:asciiTheme="majorHAnsi" w:hAnsiTheme="majorHAnsi"/>
        </w:rPr>
        <w:t xml:space="preserve">límy je úzko prepojená </w:t>
      </w:r>
      <w:r w:rsidR="00BD5FD5">
        <w:rPr>
          <w:rFonts w:asciiTheme="majorHAnsi" w:hAnsiTheme="majorHAnsi"/>
        </w:rPr>
        <w:t>s </w:t>
      </w:r>
      <w:r w:rsidRPr="00A11FE0">
        <w:rPr>
          <w:rFonts w:asciiTheme="majorHAnsi" w:hAnsiTheme="majorHAnsi"/>
        </w:rPr>
        <w:t>problematikou nízkouhlíkového hospodárstva</w:t>
      </w:r>
      <w:r w:rsidR="00506B9A" w:rsidRPr="00A11FE0">
        <w:rPr>
          <w:rFonts w:asciiTheme="majorHAnsi" w:hAnsiTheme="majorHAnsi"/>
        </w:rPr>
        <w:t>,</w:t>
      </w:r>
      <w:r w:rsidRPr="00A11FE0">
        <w:rPr>
          <w:rFonts w:asciiTheme="majorHAnsi" w:hAnsiTheme="majorHAnsi"/>
        </w:rPr>
        <w:t xml:space="preserve"> </w:t>
      </w:r>
      <w:r w:rsidR="006A7C8F">
        <w:rPr>
          <w:rFonts w:asciiTheme="majorHAnsi" w:hAnsiTheme="majorHAnsi"/>
        </w:rPr>
        <w:t>vzhľadom na to, že</w:t>
      </w:r>
      <w:r w:rsidRPr="00A11FE0">
        <w:rPr>
          <w:rFonts w:asciiTheme="majorHAnsi" w:hAnsiTheme="majorHAnsi"/>
        </w:rPr>
        <w:t xml:space="preserve"> nasmerované investície do najviac zaťažených oblastí by mali zmierňovať negatívne následky </w:t>
      </w:r>
      <w:r w:rsidR="00BD5FD5">
        <w:rPr>
          <w:rFonts w:asciiTheme="majorHAnsi" w:hAnsiTheme="majorHAnsi"/>
        </w:rPr>
        <w:t>s</w:t>
      </w:r>
      <w:r w:rsidRPr="00A11FE0">
        <w:rPr>
          <w:rFonts w:asciiTheme="majorHAnsi" w:hAnsiTheme="majorHAnsi"/>
        </w:rPr>
        <w:t xml:space="preserve">pôsobené zmenou </w:t>
      </w:r>
      <w:r w:rsidR="00BD5FD5">
        <w:rPr>
          <w:rFonts w:asciiTheme="majorHAnsi" w:hAnsiTheme="majorHAnsi"/>
        </w:rPr>
        <w:t>k</w:t>
      </w:r>
      <w:r w:rsidRPr="00A11FE0">
        <w:rPr>
          <w:rFonts w:asciiTheme="majorHAnsi" w:hAnsiTheme="majorHAnsi"/>
        </w:rPr>
        <w:t xml:space="preserve">límy </w:t>
      </w:r>
      <w:r w:rsidR="00BD5FD5">
        <w:rPr>
          <w:rFonts w:asciiTheme="majorHAnsi" w:hAnsiTheme="majorHAnsi"/>
        </w:rPr>
        <w:t>a </w:t>
      </w:r>
      <w:r w:rsidRPr="00A11FE0">
        <w:rPr>
          <w:rFonts w:asciiTheme="majorHAnsi" w:hAnsiTheme="majorHAnsi"/>
        </w:rPr>
        <w:t xml:space="preserve">za optimálnych podmienok zmeny </w:t>
      </w:r>
      <w:r w:rsidR="00BD5FD5">
        <w:rPr>
          <w:rFonts w:asciiTheme="majorHAnsi" w:hAnsiTheme="majorHAnsi"/>
        </w:rPr>
        <w:t>s</w:t>
      </w:r>
      <w:r w:rsidRPr="00A11FE0">
        <w:rPr>
          <w:rFonts w:asciiTheme="majorHAnsi" w:hAnsiTheme="majorHAnsi"/>
        </w:rPr>
        <w:t>pomaliť.</w:t>
      </w:r>
      <w:r w:rsidR="00E8120F" w:rsidRPr="00A11FE0">
        <w:rPr>
          <w:rFonts w:asciiTheme="majorHAnsi" w:hAnsiTheme="majorHAnsi"/>
        </w:rPr>
        <w:t xml:space="preserve"> </w:t>
      </w:r>
      <w:r w:rsidR="00E8120F" w:rsidRPr="00A11FE0">
        <w:rPr>
          <w:rFonts w:asciiTheme="majorHAnsi" w:hAnsiTheme="majorHAnsi"/>
          <w:szCs w:val="22"/>
        </w:rPr>
        <w:t xml:space="preserve">Opatrenia pre EFRR </w:t>
      </w:r>
      <w:r w:rsidR="00BD5FD5">
        <w:rPr>
          <w:rFonts w:asciiTheme="majorHAnsi" w:hAnsiTheme="majorHAnsi"/>
          <w:szCs w:val="22"/>
        </w:rPr>
        <w:t>a K</w:t>
      </w:r>
      <w:r w:rsidR="00E8120F" w:rsidRPr="00A11FE0">
        <w:rPr>
          <w:rFonts w:asciiTheme="majorHAnsi" w:hAnsiTheme="majorHAnsi"/>
          <w:szCs w:val="22"/>
        </w:rPr>
        <w:t xml:space="preserve">ohézny fond EÚ </w:t>
      </w:r>
      <w:r w:rsidR="00E8120F" w:rsidRPr="00A11FE0">
        <w:rPr>
          <w:rFonts w:asciiTheme="majorHAnsi" w:hAnsiTheme="majorHAnsi"/>
          <w:noProof/>
          <w:szCs w:val="22"/>
        </w:rPr>
        <w:t xml:space="preserve">na prispôsobenie </w:t>
      </w:r>
      <w:r w:rsidR="00BD5FD5">
        <w:rPr>
          <w:rFonts w:asciiTheme="majorHAnsi" w:hAnsiTheme="majorHAnsi"/>
          <w:noProof/>
          <w:szCs w:val="22"/>
        </w:rPr>
        <w:t>s</w:t>
      </w:r>
      <w:r w:rsidR="00E8120F" w:rsidRPr="00A11FE0">
        <w:rPr>
          <w:rFonts w:asciiTheme="majorHAnsi" w:hAnsiTheme="majorHAnsi"/>
          <w:noProof/>
          <w:szCs w:val="22"/>
        </w:rPr>
        <w:t xml:space="preserve">a zmene </w:t>
      </w:r>
      <w:r w:rsidR="00BD5FD5">
        <w:rPr>
          <w:rFonts w:asciiTheme="majorHAnsi" w:hAnsiTheme="majorHAnsi"/>
          <w:noProof/>
          <w:szCs w:val="22"/>
        </w:rPr>
        <w:t>k</w:t>
      </w:r>
      <w:r w:rsidR="00E8120F" w:rsidRPr="00A11FE0">
        <w:rPr>
          <w:rFonts w:asciiTheme="majorHAnsi" w:hAnsiTheme="majorHAnsi"/>
          <w:noProof/>
          <w:szCs w:val="22"/>
        </w:rPr>
        <w:t xml:space="preserve">límy </w:t>
      </w:r>
      <w:r w:rsidR="00BD5FD5">
        <w:rPr>
          <w:rFonts w:asciiTheme="majorHAnsi" w:hAnsiTheme="majorHAnsi"/>
          <w:noProof/>
          <w:szCs w:val="22"/>
        </w:rPr>
        <w:t>a </w:t>
      </w:r>
      <w:r w:rsidR="00E8120F" w:rsidRPr="00A11FE0">
        <w:rPr>
          <w:rFonts w:asciiTheme="majorHAnsi" w:hAnsiTheme="majorHAnsi"/>
          <w:noProof/>
          <w:szCs w:val="22"/>
        </w:rPr>
        <w:t xml:space="preserve">predchádzaniu rizikám je potrebné lokalizovať prakticky do celého územia </w:t>
      </w:r>
      <w:r w:rsidR="00BD5FD5">
        <w:rPr>
          <w:rFonts w:asciiTheme="majorHAnsi" w:hAnsiTheme="majorHAnsi"/>
          <w:noProof/>
          <w:szCs w:val="22"/>
        </w:rPr>
        <w:t>S</w:t>
      </w:r>
      <w:r w:rsidR="00E8120F" w:rsidRPr="00A11FE0">
        <w:rPr>
          <w:rFonts w:asciiTheme="majorHAnsi" w:hAnsiTheme="majorHAnsi"/>
          <w:noProof/>
          <w:szCs w:val="22"/>
        </w:rPr>
        <w:t xml:space="preserve">R, predovšetkým do území </w:t>
      </w:r>
      <w:r w:rsidR="00BD5FD5">
        <w:rPr>
          <w:rFonts w:asciiTheme="majorHAnsi" w:hAnsiTheme="majorHAnsi"/>
          <w:noProof/>
          <w:szCs w:val="22"/>
        </w:rPr>
        <w:t>s </w:t>
      </w:r>
      <w:r w:rsidR="00E8120F" w:rsidRPr="00A11FE0">
        <w:rPr>
          <w:rFonts w:asciiTheme="majorHAnsi" w:hAnsiTheme="majorHAnsi"/>
          <w:noProof/>
          <w:szCs w:val="22"/>
        </w:rPr>
        <w:t xml:space="preserve">najväčšími potenciálnymi rizikami. </w:t>
      </w:r>
      <w:r w:rsidR="00BD5FD5">
        <w:rPr>
          <w:rFonts w:asciiTheme="majorHAnsi" w:hAnsiTheme="majorHAnsi"/>
          <w:noProof/>
          <w:szCs w:val="22"/>
        </w:rPr>
        <w:t>K</w:t>
      </w:r>
      <w:r w:rsidR="00E8120F" w:rsidRPr="00A11FE0">
        <w:rPr>
          <w:rFonts w:asciiTheme="majorHAnsi" w:hAnsiTheme="majorHAnsi"/>
          <w:szCs w:val="22"/>
        </w:rPr>
        <w:t xml:space="preserve">ľúčové opatrenia EPFRV </w:t>
      </w:r>
      <w:r w:rsidR="00E8120F" w:rsidRPr="00A11FE0">
        <w:rPr>
          <w:rFonts w:asciiTheme="majorHAnsi" w:hAnsiTheme="majorHAnsi"/>
          <w:noProof/>
          <w:szCs w:val="22"/>
        </w:rPr>
        <w:t>vo vidieckych oblastiach</w:t>
      </w:r>
      <w:r w:rsidR="006A7C8F">
        <w:rPr>
          <w:rFonts w:asciiTheme="majorHAnsi" w:hAnsiTheme="majorHAnsi"/>
          <w:noProof/>
          <w:szCs w:val="22"/>
        </w:rPr>
        <w:t xml:space="preserve"> je vhodné</w:t>
      </w:r>
      <w:r w:rsidR="00E8120F" w:rsidRPr="00A11FE0">
        <w:rPr>
          <w:rFonts w:asciiTheme="majorHAnsi" w:hAnsiTheme="majorHAnsi"/>
          <w:noProof/>
          <w:szCs w:val="22"/>
        </w:rPr>
        <w:t xml:space="preserve"> lokalizovať do územia ostatných obcí.</w:t>
      </w:r>
    </w:p>
    <w:p w:rsidR="00406C25" w:rsidRPr="00A11FE0" w:rsidRDefault="00406C25" w:rsidP="004B6F41">
      <w:pPr>
        <w:keepNext/>
        <w:keepLines/>
        <w:numPr>
          <w:ilvl w:val="3"/>
          <w:numId w:val="2"/>
        </w:numPr>
        <w:spacing w:before="200" w:after="0"/>
        <w:outlineLvl w:val="3"/>
        <w:rPr>
          <w:rFonts w:asciiTheme="majorHAnsi" w:hAnsiTheme="majorHAnsi"/>
          <w:b/>
          <w:bCs/>
          <w:i/>
          <w:iCs/>
          <w:color w:val="4F81BD"/>
          <w:sz w:val="24"/>
        </w:rPr>
      </w:pPr>
      <w:bookmarkStart w:id="200" w:name="_Toc244305341"/>
      <w:bookmarkStart w:id="201" w:name="_Toc373169707"/>
      <w:r w:rsidRPr="00A11FE0">
        <w:rPr>
          <w:rFonts w:asciiTheme="majorHAnsi" w:hAnsiTheme="majorHAnsi"/>
          <w:b/>
          <w:bCs/>
          <w:i/>
          <w:iCs/>
          <w:color w:val="4F81BD"/>
          <w:sz w:val="24"/>
        </w:rPr>
        <w:t>TC</w:t>
      </w:r>
      <w:r w:rsidR="00665324">
        <w:rPr>
          <w:rFonts w:asciiTheme="majorHAnsi" w:hAnsiTheme="majorHAnsi"/>
          <w:b/>
          <w:bCs/>
          <w:i/>
          <w:iCs/>
          <w:color w:val="4F81BD"/>
          <w:sz w:val="24"/>
        </w:rPr>
        <w:t xml:space="preserve"> </w:t>
      </w:r>
      <w:r w:rsidRPr="00A11FE0">
        <w:rPr>
          <w:rFonts w:asciiTheme="majorHAnsi" w:hAnsiTheme="majorHAnsi"/>
          <w:b/>
          <w:bCs/>
          <w:i/>
          <w:iCs/>
          <w:color w:val="4F81BD"/>
          <w:sz w:val="24"/>
        </w:rPr>
        <w:t xml:space="preserve">6: </w:t>
      </w:r>
      <w:r w:rsidR="000A0AFF" w:rsidRPr="00A11FE0">
        <w:rPr>
          <w:rFonts w:asciiTheme="majorHAnsi" w:hAnsiTheme="majorHAnsi"/>
          <w:b/>
          <w:bCs/>
          <w:i/>
          <w:iCs/>
          <w:color w:val="4F81BD"/>
          <w:sz w:val="24"/>
        </w:rPr>
        <w:t xml:space="preserve">Zachovanie </w:t>
      </w:r>
      <w:r w:rsidR="00BD5FD5">
        <w:rPr>
          <w:rFonts w:asciiTheme="majorHAnsi" w:hAnsiTheme="majorHAnsi"/>
          <w:b/>
          <w:bCs/>
          <w:i/>
          <w:iCs/>
          <w:color w:val="4F81BD"/>
          <w:sz w:val="24"/>
        </w:rPr>
        <w:t>a </w:t>
      </w:r>
      <w:r w:rsidR="000A0AFF" w:rsidRPr="00A11FE0">
        <w:rPr>
          <w:rFonts w:asciiTheme="majorHAnsi" w:hAnsiTheme="majorHAnsi"/>
          <w:b/>
          <w:bCs/>
          <w:i/>
          <w:iCs/>
          <w:color w:val="4F81BD"/>
          <w:sz w:val="24"/>
        </w:rPr>
        <w:t>o</w:t>
      </w:r>
      <w:r w:rsidRPr="00A11FE0">
        <w:rPr>
          <w:rFonts w:asciiTheme="majorHAnsi" w:hAnsiTheme="majorHAnsi"/>
          <w:b/>
          <w:bCs/>
          <w:i/>
          <w:iCs/>
          <w:color w:val="4F81BD"/>
          <w:sz w:val="24"/>
        </w:rPr>
        <w:t xml:space="preserve">chrana životného prostredia </w:t>
      </w:r>
      <w:r w:rsidR="00BD5FD5">
        <w:rPr>
          <w:rFonts w:asciiTheme="majorHAnsi" w:hAnsiTheme="majorHAnsi"/>
          <w:b/>
          <w:bCs/>
          <w:i/>
          <w:iCs/>
          <w:color w:val="4F81BD"/>
          <w:sz w:val="24"/>
        </w:rPr>
        <w:t>a </w:t>
      </w:r>
      <w:r w:rsidR="000A0AFF" w:rsidRPr="00A11FE0">
        <w:rPr>
          <w:rFonts w:asciiTheme="majorHAnsi" w:hAnsiTheme="majorHAnsi"/>
          <w:b/>
          <w:bCs/>
          <w:i/>
          <w:iCs/>
          <w:color w:val="4F81BD"/>
          <w:sz w:val="24"/>
        </w:rPr>
        <w:t xml:space="preserve">podpora </w:t>
      </w:r>
      <w:r w:rsidRPr="00A11FE0">
        <w:rPr>
          <w:rFonts w:asciiTheme="majorHAnsi" w:hAnsiTheme="majorHAnsi"/>
          <w:b/>
          <w:bCs/>
          <w:i/>
          <w:iCs/>
          <w:color w:val="4F81BD"/>
          <w:sz w:val="24"/>
        </w:rPr>
        <w:t>efektívneho využívania zdrojov</w:t>
      </w:r>
      <w:bookmarkEnd w:id="200"/>
      <w:bookmarkEnd w:id="201"/>
    </w:p>
    <w:p w:rsidR="00406C25" w:rsidRPr="00A11FE0" w:rsidRDefault="006A7C8F" w:rsidP="002C7372">
      <w:pPr>
        <w:spacing w:after="0"/>
        <w:rPr>
          <w:rFonts w:asciiTheme="majorHAnsi" w:hAnsiTheme="majorHAnsi"/>
        </w:rPr>
      </w:pPr>
      <w:r>
        <w:rPr>
          <w:rFonts w:asciiTheme="majorHAnsi" w:hAnsiTheme="majorHAnsi"/>
        </w:rPr>
        <w:t>Medzi k</w:t>
      </w:r>
      <w:r w:rsidR="00406C25" w:rsidRPr="00A11FE0">
        <w:rPr>
          <w:rFonts w:asciiTheme="majorHAnsi" w:hAnsiTheme="majorHAnsi"/>
        </w:rPr>
        <w:t>ľúčov</w:t>
      </w:r>
      <w:r>
        <w:rPr>
          <w:rFonts w:asciiTheme="majorHAnsi" w:hAnsiTheme="majorHAnsi"/>
        </w:rPr>
        <w:t>é</w:t>
      </w:r>
      <w:r w:rsidR="00406C25" w:rsidRPr="00A11FE0">
        <w:rPr>
          <w:rFonts w:asciiTheme="majorHAnsi" w:hAnsiTheme="majorHAnsi"/>
        </w:rPr>
        <w:t xml:space="preserve"> problém</w:t>
      </w:r>
      <w:r>
        <w:rPr>
          <w:rFonts w:asciiTheme="majorHAnsi" w:hAnsiTheme="majorHAnsi"/>
        </w:rPr>
        <w:t>y</w:t>
      </w:r>
      <w:r w:rsidR="00406C25" w:rsidRPr="00A11FE0">
        <w:rPr>
          <w:rFonts w:asciiTheme="majorHAnsi" w:hAnsiTheme="majorHAnsi"/>
        </w:rPr>
        <w:t xml:space="preserve"> v</w:t>
      </w:r>
      <w:r w:rsidR="00597BDD">
        <w:rPr>
          <w:rFonts w:asciiTheme="majorHAnsi" w:hAnsiTheme="majorHAnsi"/>
        </w:rPr>
        <w:t> </w:t>
      </w:r>
      <w:r w:rsidR="00406C25" w:rsidRPr="00A11FE0">
        <w:rPr>
          <w:rFonts w:asciiTheme="majorHAnsi" w:hAnsiTheme="majorHAnsi"/>
        </w:rPr>
        <w:t>tejto</w:t>
      </w:r>
      <w:r w:rsidR="00597BDD">
        <w:rPr>
          <w:rFonts w:asciiTheme="majorHAnsi" w:hAnsiTheme="majorHAnsi"/>
        </w:rPr>
        <w:t xml:space="preserve"> </w:t>
      </w:r>
      <w:r w:rsidR="00406C25" w:rsidRPr="00A11FE0">
        <w:rPr>
          <w:rFonts w:asciiTheme="majorHAnsi" w:hAnsiTheme="majorHAnsi"/>
        </w:rPr>
        <w:t xml:space="preserve">oblasti </w:t>
      </w:r>
      <w:r>
        <w:rPr>
          <w:rFonts w:asciiTheme="majorHAnsi" w:hAnsiTheme="majorHAnsi"/>
        </w:rPr>
        <w:t>patrí</w:t>
      </w:r>
      <w:r w:rsidR="00571E69" w:rsidRPr="00A11FE0">
        <w:rPr>
          <w:rFonts w:asciiTheme="majorHAnsi" w:hAnsiTheme="majorHAnsi"/>
        </w:rPr>
        <w:t>: n</w:t>
      </w:r>
      <w:r w:rsidR="00406C25" w:rsidRPr="00A11FE0">
        <w:rPr>
          <w:rFonts w:asciiTheme="majorHAnsi" w:hAnsiTheme="majorHAnsi"/>
        </w:rPr>
        <w:t xml:space="preserve">edostatočná ochrana </w:t>
      </w:r>
      <w:r w:rsidR="00BD5FD5">
        <w:rPr>
          <w:rFonts w:asciiTheme="majorHAnsi" w:hAnsiTheme="majorHAnsi"/>
        </w:rPr>
        <w:t>a </w:t>
      </w:r>
      <w:r w:rsidR="00406C25" w:rsidRPr="00A11FE0">
        <w:rPr>
          <w:rFonts w:asciiTheme="majorHAnsi" w:hAnsiTheme="majorHAnsi"/>
        </w:rPr>
        <w:t>nevyvážené využívanie vôd</w:t>
      </w:r>
      <w:r>
        <w:rPr>
          <w:rFonts w:asciiTheme="majorHAnsi" w:hAnsiTheme="majorHAnsi"/>
        </w:rPr>
        <w:t>,</w:t>
      </w:r>
      <w:r w:rsidR="00571E69" w:rsidRPr="00A11FE0">
        <w:rPr>
          <w:rFonts w:asciiTheme="majorHAnsi" w:hAnsiTheme="majorHAnsi"/>
        </w:rPr>
        <w:t xml:space="preserve"> n</w:t>
      </w:r>
      <w:r w:rsidR="00406C25" w:rsidRPr="00A11FE0">
        <w:rPr>
          <w:rFonts w:asciiTheme="majorHAnsi" w:hAnsiTheme="majorHAnsi"/>
        </w:rPr>
        <w:t xml:space="preserve">edostatočná recyklácia </w:t>
      </w:r>
      <w:r w:rsidR="00BD5FD5">
        <w:rPr>
          <w:rFonts w:asciiTheme="majorHAnsi" w:hAnsiTheme="majorHAnsi"/>
        </w:rPr>
        <w:t>a </w:t>
      </w:r>
      <w:r w:rsidR="00406C25" w:rsidRPr="00A11FE0">
        <w:rPr>
          <w:rFonts w:asciiTheme="majorHAnsi" w:hAnsiTheme="majorHAnsi"/>
        </w:rPr>
        <w:t>energetické zhodnocovanie odpadov</w:t>
      </w:r>
      <w:r>
        <w:rPr>
          <w:rFonts w:asciiTheme="majorHAnsi" w:hAnsiTheme="majorHAnsi"/>
        </w:rPr>
        <w:t>,</w:t>
      </w:r>
      <w:r w:rsidR="00571E69" w:rsidRPr="00A11FE0">
        <w:rPr>
          <w:rFonts w:asciiTheme="majorHAnsi" w:hAnsiTheme="majorHAnsi"/>
        </w:rPr>
        <w:t xml:space="preserve"> n</w:t>
      </w:r>
      <w:r w:rsidR="00406C25" w:rsidRPr="00A11FE0">
        <w:rPr>
          <w:rFonts w:asciiTheme="majorHAnsi" w:hAnsiTheme="majorHAnsi"/>
        </w:rPr>
        <w:t xml:space="preserve">edostatočné zhodnocovanie </w:t>
      </w:r>
      <w:r w:rsidR="00BD5FD5">
        <w:rPr>
          <w:rFonts w:asciiTheme="majorHAnsi" w:hAnsiTheme="majorHAnsi"/>
        </w:rPr>
        <w:lastRenderedPageBreak/>
        <w:t>k</w:t>
      </w:r>
      <w:r w:rsidR="00406C25" w:rsidRPr="00A11FE0">
        <w:rPr>
          <w:rFonts w:asciiTheme="majorHAnsi" w:hAnsiTheme="majorHAnsi"/>
        </w:rPr>
        <w:t xml:space="preserve">ultúrneho </w:t>
      </w:r>
      <w:r w:rsidR="00BD5FD5">
        <w:rPr>
          <w:rFonts w:asciiTheme="majorHAnsi" w:hAnsiTheme="majorHAnsi"/>
        </w:rPr>
        <w:t>a </w:t>
      </w:r>
      <w:r w:rsidR="00406C25" w:rsidRPr="00A11FE0">
        <w:rPr>
          <w:rFonts w:asciiTheme="majorHAnsi" w:hAnsiTheme="majorHAnsi"/>
        </w:rPr>
        <w:t>prírodného dedičstva</w:t>
      </w:r>
      <w:r>
        <w:rPr>
          <w:rFonts w:asciiTheme="majorHAnsi" w:hAnsiTheme="majorHAnsi"/>
        </w:rPr>
        <w:t>,</w:t>
      </w:r>
      <w:r w:rsidR="00571E69" w:rsidRPr="00A11FE0">
        <w:rPr>
          <w:rFonts w:asciiTheme="majorHAnsi" w:hAnsiTheme="majorHAnsi"/>
        </w:rPr>
        <w:t xml:space="preserve"> n</w:t>
      </w:r>
      <w:r w:rsidR="00406C25" w:rsidRPr="00A11FE0">
        <w:rPr>
          <w:rFonts w:asciiTheme="majorHAnsi" w:hAnsiTheme="majorHAnsi"/>
        </w:rPr>
        <w:t>edostatočná ochrana biodiverzity</w:t>
      </w:r>
      <w:r>
        <w:rPr>
          <w:rFonts w:asciiTheme="majorHAnsi" w:hAnsiTheme="majorHAnsi"/>
        </w:rPr>
        <w:t>,</w:t>
      </w:r>
      <w:r w:rsidR="00571E69" w:rsidRPr="00A11FE0">
        <w:rPr>
          <w:rFonts w:asciiTheme="majorHAnsi" w:hAnsiTheme="majorHAnsi"/>
        </w:rPr>
        <w:t xml:space="preserve"> p</w:t>
      </w:r>
      <w:r w:rsidR="00406C25" w:rsidRPr="00A11FE0">
        <w:rPr>
          <w:rFonts w:asciiTheme="majorHAnsi" w:hAnsiTheme="majorHAnsi"/>
        </w:rPr>
        <w:t>roblémy v oblasti ovzdušia</w:t>
      </w:r>
      <w:r>
        <w:rPr>
          <w:rFonts w:asciiTheme="majorHAnsi" w:hAnsiTheme="majorHAnsi"/>
        </w:rPr>
        <w:t>,</w:t>
      </w:r>
      <w:r w:rsidR="00571E69" w:rsidRPr="00A11FE0">
        <w:rPr>
          <w:rFonts w:asciiTheme="majorHAnsi" w:hAnsiTheme="majorHAnsi"/>
        </w:rPr>
        <w:t xml:space="preserve"> e</w:t>
      </w:r>
      <w:r w:rsidR="00406C25" w:rsidRPr="00A11FE0">
        <w:rPr>
          <w:rFonts w:asciiTheme="majorHAnsi" w:hAnsiTheme="majorHAnsi"/>
        </w:rPr>
        <w:t>xistencia environmentálnych záťaží</w:t>
      </w:r>
      <w:r w:rsidR="00571E69" w:rsidRPr="00A11FE0">
        <w:rPr>
          <w:rFonts w:asciiTheme="majorHAnsi" w:hAnsiTheme="majorHAnsi"/>
        </w:rPr>
        <w:t>.</w:t>
      </w:r>
    </w:p>
    <w:p w:rsidR="00406C25" w:rsidRPr="003F0750" w:rsidRDefault="00406C25" w:rsidP="004B6F41">
      <w:pPr>
        <w:pStyle w:val="Nadpis5"/>
        <w:numPr>
          <w:ilvl w:val="4"/>
          <w:numId w:val="2"/>
        </w:numPr>
        <w:ind w:left="1292"/>
      </w:pPr>
      <w:r w:rsidRPr="003F0750">
        <w:t xml:space="preserve">Nedostatočná ochrana </w:t>
      </w:r>
      <w:r w:rsidR="00BD5FD5" w:rsidRPr="003F0750">
        <w:t>a</w:t>
      </w:r>
      <w:r w:rsidRPr="003F0750">
        <w:t> nevyvážené využívanie vôd</w:t>
      </w:r>
    </w:p>
    <w:p w:rsidR="00406C25" w:rsidRPr="00A11FE0" w:rsidRDefault="00BD5FD5" w:rsidP="006C5E93">
      <w:pPr>
        <w:spacing w:after="0"/>
        <w:rPr>
          <w:rFonts w:asciiTheme="majorHAnsi" w:hAnsiTheme="majorHAnsi"/>
          <w:b/>
        </w:rPr>
      </w:pPr>
      <w:r>
        <w:rPr>
          <w:rFonts w:asciiTheme="majorHAnsi" w:hAnsiTheme="majorHAnsi"/>
        </w:rPr>
        <w:t>S</w:t>
      </w:r>
      <w:r w:rsidR="00406C25" w:rsidRPr="00A11FE0">
        <w:rPr>
          <w:rFonts w:asciiTheme="majorHAnsi" w:hAnsiTheme="majorHAnsi"/>
        </w:rPr>
        <w:t xml:space="preserve">mernica Rady 91/271/EHS </w:t>
      </w:r>
      <w:r>
        <w:rPr>
          <w:rFonts w:asciiTheme="majorHAnsi" w:hAnsiTheme="majorHAnsi"/>
        </w:rPr>
        <w:t>s</w:t>
      </w:r>
      <w:r w:rsidR="00406C25" w:rsidRPr="00A11FE0">
        <w:rPr>
          <w:rFonts w:asciiTheme="majorHAnsi" w:hAnsiTheme="majorHAnsi"/>
        </w:rPr>
        <w:t xml:space="preserve">tanovuje požiadavky na odvádzanie </w:t>
      </w:r>
      <w:r>
        <w:rPr>
          <w:rFonts w:asciiTheme="majorHAnsi" w:hAnsiTheme="majorHAnsi"/>
        </w:rPr>
        <w:t>a </w:t>
      </w:r>
      <w:r w:rsidR="00406C25" w:rsidRPr="00A11FE0">
        <w:rPr>
          <w:rFonts w:asciiTheme="majorHAnsi" w:hAnsiTheme="majorHAnsi"/>
        </w:rPr>
        <w:t xml:space="preserve">čistenie </w:t>
      </w:r>
      <w:r>
        <w:rPr>
          <w:rFonts w:asciiTheme="majorHAnsi" w:hAnsiTheme="majorHAnsi"/>
        </w:rPr>
        <w:t>k</w:t>
      </w:r>
      <w:r w:rsidR="00406C25" w:rsidRPr="00A11FE0">
        <w:rPr>
          <w:rFonts w:asciiTheme="majorHAnsi" w:hAnsiTheme="majorHAnsi"/>
        </w:rPr>
        <w:t xml:space="preserve">omunálnych odpadových vôd pre </w:t>
      </w:r>
      <w:r>
        <w:rPr>
          <w:rFonts w:asciiTheme="majorHAnsi" w:hAnsiTheme="majorHAnsi"/>
        </w:rPr>
        <w:t>a</w:t>
      </w:r>
      <w:r w:rsidR="00406C25" w:rsidRPr="00A11FE0">
        <w:rPr>
          <w:rFonts w:asciiTheme="majorHAnsi" w:hAnsiTheme="majorHAnsi"/>
        </w:rPr>
        <w:t>glomerácie nad 2 000 ekvivalentných obyvateľov</w:t>
      </w:r>
      <w:r w:rsidR="00020604" w:rsidRPr="00A11FE0">
        <w:rPr>
          <w:rFonts w:asciiTheme="majorHAnsi" w:hAnsiTheme="majorHAnsi"/>
        </w:rPr>
        <w:t xml:space="preserve"> </w:t>
      </w:r>
      <w:r w:rsidR="00543E1C">
        <w:rPr>
          <w:rFonts w:asciiTheme="majorHAnsi" w:hAnsiTheme="majorHAnsi"/>
        </w:rPr>
        <w:t>(ďalej len „EO“)</w:t>
      </w:r>
      <w:r w:rsidR="00406C25" w:rsidRPr="00A11FE0">
        <w:rPr>
          <w:rFonts w:asciiTheme="majorHAnsi" w:hAnsiTheme="majorHAnsi"/>
        </w:rPr>
        <w:t xml:space="preserve">, </w:t>
      </w:r>
      <w:r>
        <w:rPr>
          <w:rFonts w:asciiTheme="majorHAnsi" w:hAnsiTheme="majorHAnsi"/>
        </w:rPr>
        <w:t>k</w:t>
      </w:r>
      <w:r w:rsidR="00406C25" w:rsidRPr="00A11FE0">
        <w:rPr>
          <w:rFonts w:asciiTheme="majorHAnsi" w:hAnsiTheme="majorHAnsi"/>
        </w:rPr>
        <w:t xml:space="preserve">torých </w:t>
      </w:r>
      <w:r>
        <w:rPr>
          <w:rFonts w:asciiTheme="majorHAnsi" w:hAnsiTheme="majorHAnsi"/>
        </w:rPr>
        <w:t>s</w:t>
      </w:r>
      <w:r w:rsidR="00406C25" w:rsidRPr="00A11FE0">
        <w:rPr>
          <w:rFonts w:asciiTheme="majorHAnsi" w:hAnsiTheme="majorHAnsi"/>
        </w:rPr>
        <w:t xml:space="preserve">plnenie je záväzkom </w:t>
      </w:r>
      <w:r>
        <w:rPr>
          <w:rFonts w:asciiTheme="majorHAnsi" w:hAnsiTheme="majorHAnsi"/>
        </w:rPr>
        <w:t>S</w:t>
      </w:r>
      <w:r w:rsidR="00406C25" w:rsidRPr="00A11FE0">
        <w:rPr>
          <w:rFonts w:asciiTheme="majorHAnsi" w:hAnsiTheme="majorHAnsi"/>
        </w:rPr>
        <w:t xml:space="preserve">R voči EÚ do 31. 12. 2015, </w:t>
      </w:r>
      <w:r>
        <w:rPr>
          <w:rFonts w:asciiTheme="majorHAnsi" w:hAnsiTheme="majorHAnsi"/>
        </w:rPr>
        <w:t>a</w:t>
      </w:r>
      <w:r w:rsidR="00406C25" w:rsidRPr="00A11FE0">
        <w:rPr>
          <w:rFonts w:asciiTheme="majorHAnsi" w:hAnsiTheme="majorHAnsi"/>
        </w:rPr>
        <w:t xml:space="preserve">le </w:t>
      </w:r>
      <w:r>
        <w:rPr>
          <w:rFonts w:asciiTheme="majorHAnsi" w:hAnsiTheme="majorHAnsi"/>
        </w:rPr>
        <w:t>k</w:t>
      </w:r>
      <w:r w:rsidR="00406C25" w:rsidRPr="00A11FE0">
        <w:rPr>
          <w:rFonts w:asciiTheme="majorHAnsi" w:hAnsiTheme="majorHAnsi"/>
        </w:rPr>
        <w:t xml:space="preserve">toré je však finančne </w:t>
      </w:r>
      <w:r>
        <w:rPr>
          <w:rFonts w:asciiTheme="majorHAnsi" w:hAnsiTheme="majorHAnsi"/>
        </w:rPr>
        <w:t>a </w:t>
      </w:r>
      <w:r w:rsidR="00406C25" w:rsidRPr="00A11FE0">
        <w:rPr>
          <w:rFonts w:asciiTheme="majorHAnsi" w:hAnsiTheme="majorHAnsi"/>
        </w:rPr>
        <w:t xml:space="preserve">počtom </w:t>
      </w:r>
      <w:r>
        <w:rPr>
          <w:rFonts w:asciiTheme="majorHAnsi" w:hAnsiTheme="majorHAnsi"/>
        </w:rPr>
        <w:t>s</w:t>
      </w:r>
      <w:r w:rsidR="00406C25" w:rsidRPr="00A11FE0">
        <w:rPr>
          <w:rFonts w:asciiTheme="majorHAnsi" w:hAnsiTheme="majorHAnsi"/>
        </w:rPr>
        <w:t>tavieb mimoriadne náročné.</w:t>
      </w:r>
      <w:r w:rsidR="00020604" w:rsidRPr="00A11FE0">
        <w:rPr>
          <w:rFonts w:asciiTheme="majorHAnsi" w:hAnsiTheme="majorHAnsi"/>
        </w:rPr>
        <w:t xml:space="preserve"> </w:t>
      </w:r>
      <w:r w:rsidR="00406C25" w:rsidRPr="00A11FE0">
        <w:rPr>
          <w:rFonts w:asciiTheme="majorHAnsi" w:hAnsiTheme="majorHAnsi"/>
        </w:rPr>
        <w:t xml:space="preserve">Z Národného programu </w:t>
      </w:r>
      <w:r>
        <w:rPr>
          <w:rFonts w:asciiTheme="majorHAnsi" w:hAnsiTheme="majorHAnsi"/>
        </w:rPr>
        <w:t>S</w:t>
      </w:r>
      <w:r w:rsidR="00406C25" w:rsidRPr="00A11FE0">
        <w:rPr>
          <w:rFonts w:asciiTheme="majorHAnsi" w:hAnsiTheme="majorHAnsi"/>
        </w:rPr>
        <w:t xml:space="preserve">R pre vykonávanie </w:t>
      </w:r>
      <w:r>
        <w:rPr>
          <w:rFonts w:asciiTheme="majorHAnsi" w:hAnsiTheme="majorHAnsi"/>
        </w:rPr>
        <w:t>s</w:t>
      </w:r>
      <w:r w:rsidR="00406C25" w:rsidRPr="00A11FE0">
        <w:rPr>
          <w:rFonts w:asciiTheme="majorHAnsi" w:hAnsiTheme="majorHAnsi"/>
        </w:rPr>
        <w:t xml:space="preserve">mernice Rady 91/271/EHS vyplýva, že </w:t>
      </w:r>
      <w:r>
        <w:rPr>
          <w:rFonts w:asciiTheme="majorHAnsi" w:hAnsiTheme="majorHAnsi"/>
        </w:rPr>
        <w:t>k </w:t>
      </w:r>
      <w:r w:rsidR="00406C25" w:rsidRPr="00A11FE0">
        <w:rPr>
          <w:rFonts w:asciiTheme="majorHAnsi" w:hAnsiTheme="majorHAnsi"/>
        </w:rPr>
        <w:t xml:space="preserve">31. 12. 2010 bolo vyhovujúcim </w:t>
      </w:r>
      <w:r>
        <w:rPr>
          <w:rFonts w:asciiTheme="majorHAnsi" w:hAnsiTheme="majorHAnsi"/>
        </w:rPr>
        <w:t>s</w:t>
      </w:r>
      <w:r w:rsidR="00406C25" w:rsidRPr="00A11FE0">
        <w:rPr>
          <w:rFonts w:asciiTheme="majorHAnsi" w:hAnsiTheme="majorHAnsi"/>
        </w:rPr>
        <w:t xml:space="preserve">pôsobom </w:t>
      </w:r>
      <w:r w:rsidR="00506B9A" w:rsidRPr="00A11FE0">
        <w:rPr>
          <w:rFonts w:asciiTheme="majorHAnsi" w:hAnsiTheme="majorHAnsi"/>
        </w:rPr>
        <w:t xml:space="preserve">odstránené </w:t>
      </w:r>
      <w:r w:rsidR="00406C25" w:rsidRPr="00A11FE0">
        <w:rPr>
          <w:rFonts w:asciiTheme="majorHAnsi" w:hAnsiTheme="majorHAnsi"/>
        </w:rPr>
        <w:t>znečistenie zodpovedajúce 83,21 % z celkového znečistenia produkovaného v </w:t>
      </w:r>
      <w:r>
        <w:rPr>
          <w:rFonts w:asciiTheme="majorHAnsi" w:hAnsiTheme="majorHAnsi"/>
        </w:rPr>
        <w:t>a</w:t>
      </w:r>
      <w:r w:rsidR="00406C25" w:rsidRPr="00A11FE0">
        <w:rPr>
          <w:rFonts w:asciiTheme="majorHAnsi" w:hAnsiTheme="majorHAnsi"/>
        </w:rPr>
        <w:t>glomeráciách nad 2 000 EO (</w:t>
      </w:r>
      <w:r>
        <w:rPr>
          <w:rFonts w:asciiTheme="majorHAnsi" w:hAnsiTheme="majorHAnsi"/>
        </w:rPr>
        <w:t>s</w:t>
      </w:r>
      <w:r w:rsidR="00406C25" w:rsidRPr="00A11FE0">
        <w:rPr>
          <w:rFonts w:asciiTheme="majorHAnsi" w:hAnsiTheme="majorHAnsi"/>
        </w:rPr>
        <w:t xml:space="preserve">ekundárne čistenie, t. j. 4 343 tisíc EO z celkových 5 215 tisíc EO). Nebol dosiahnutý </w:t>
      </w:r>
      <w:r>
        <w:rPr>
          <w:rFonts w:asciiTheme="majorHAnsi" w:hAnsiTheme="majorHAnsi"/>
        </w:rPr>
        <w:t>s</w:t>
      </w:r>
      <w:r w:rsidR="00406C25" w:rsidRPr="00A11FE0">
        <w:rPr>
          <w:rFonts w:asciiTheme="majorHAnsi" w:hAnsiTheme="majorHAnsi"/>
        </w:rPr>
        <w:t xml:space="preserve">úlad </w:t>
      </w:r>
      <w:r>
        <w:rPr>
          <w:rFonts w:asciiTheme="majorHAnsi" w:hAnsiTheme="majorHAnsi"/>
        </w:rPr>
        <w:t>s </w:t>
      </w:r>
      <w:r w:rsidR="00406C25" w:rsidRPr="00A11FE0">
        <w:rPr>
          <w:rFonts w:asciiTheme="majorHAnsi" w:hAnsiTheme="majorHAnsi"/>
        </w:rPr>
        <w:t xml:space="preserve">požiadavkami </w:t>
      </w:r>
      <w:r>
        <w:rPr>
          <w:rFonts w:asciiTheme="majorHAnsi" w:hAnsiTheme="majorHAnsi"/>
        </w:rPr>
        <w:t>s</w:t>
      </w:r>
      <w:r w:rsidR="00406C25" w:rsidRPr="00A11FE0">
        <w:rPr>
          <w:rFonts w:asciiTheme="majorHAnsi" w:hAnsiTheme="majorHAnsi"/>
        </w:rPr>
        <w:t>mernice v</w:t>
      </w:r>
      <w:r w:rsidR="004177CE" w:rsidRPr="00A11FE0">
        <w:rPr>
          <w:rFonts w:asciiTheme="majorHAnsi" w:hAnsiTheme="majorHAnsi"/>
        </w:rPr>
        <w:t> </w:t>
      </w:r>
      <w:r>
        <w:rPr>
          <w:rFonts w:asciiTheme="majorHAnsi" w:hAnsiTheme="majorHAnsi"/>
        </w:rPr>
        <w:t>a</w:t>
      </w:r>
      <w:r w:rsidR="00406C25" w:rsidRPr="00A11FE0">
        <w:rPr>
          <w:rFonts w:asciiTheme="majorHAnsi" w:hAnsiTheme="majorHAnsi"/>
        </w:rPr>
        <w:t>glomeráciách nad 10 000 EO.</w:t>
      </w:r>
      <w:r w:rsidR="00543E1C">
        <w:rPr>
          <w:rFonts w:asciiTheme="majorHAnsi" w:hAnsiTheme="majorHAnsi"/>
        </w:rPr>
        <w:t xml:space="preserve"> </w:t>
      </w:r>
      <w:r>
        <w:rPr>
          <w:rFonts w:asciiTheme="majorHAnsi" w:hAnsiTheme="majorHAnsi"/>
        </w:rPr>
        <w:t>K</w:t>
      </w:r>
      <w:r w:rsidR="00406C25" w:rsidRPr="00A11FE0">
        <w:rPr>
          <w:rFonts w:asciiTheme="majorHAnsi" w:hAnsiTheme="majorHAnsi"/>
        </w:rPr>
        <w:t xml:space="preserve">u </w:t>
      </w:r>
      <w:r>
        <w:rPr>
          <w:rFonts w:asciiTheme="majorHAnsi" w:hAnsiTheme="majorHAnsi"/>
        </w:rPr>
        <w:t>k</w:t>
      </w:r>
      <w:r w:rsidR="00406C25" w:rsidRPr="00A11FE0">
        <w:rPr>
          <w:rFonts w:asciiTheme="majorHAnsi" w:hAnsiTheme="majorHAnsi"/>
        </w:rPr>
        <w:t>oncu</w:t>
      </w:r>
      <w:r w:rsidR="006A7C8F">
        <w:rPr>
          <w:rFonts w:asciiTheme="majorHAnsi" w:hAnsiTheme="majorHAnsi"/>
        </w:rPr>
        <w:t xml:space="preserve"> tohto</w:t>
      </w:r>
      <w:r w:rsidR="00406C25" w:rsidRPr="00A11FE0">
        <w:rPr>
          <w:rFonts w:asciiTheme="majorHAnsi" w:hAnsiTheme="majorHAnsi"/>
        </w:rPr>
        <w:t xml:space="preserve"> rok</w:t>
      </w:r>
      <w:r w:rsidR="00E23CDD" w:rsidRPr="00A11FE0">
        <w:rPr>
          <w:rFonts w:asciiTheme="majorHAnsi" w:hAnsiTheme="majorHAnsi"/>
        </w:rPr>
        <w:t>a</w:t>
      </w:r>
      <w:r w:rsidR="00406C25" w:rsidRPr="00A11FE0">
        <w:rPr>
          <w:rFonts w:asciiTheme="majorHAnsi" w:hAnsiTheme="majorHAnsi"/>
        </w:rPr>
        <w:t xml:space="preserve"> bolo v </w:t>
      </w:r>
      <w:r>
        <w:rPr>
          <w:rFonts w:asciiTheme="majorHAnsi" w:hAnsiTheme="majorHAnsi"/>
        </w:rPr>
        <w:t>s</w:t>
      </w:r>
      <w:r w:rsidR="00406C25" w:rsidRPr="00A11FE0">
        <w:rPr>
          <w:rFonts w:asciiTheme="majorHAnsi" w:hAnsiTheme="majorHAnsi"/>
        </w:rPr>
        <w:t>úlade len 51,51 % vyprodukovaného znečistenia z </w:t>
      </w:r>
      <w:r>
        <w:rPr>
          <w:rFonts w:asciiTheme="majorHAnsi" w:hAnsiTheme="majorHAnsi"/>
        </w:rPr>
        <w:t>a</w:t>
      </w:r>
      <w:r w:rsidR="00406C25" w:rsidRPr="00A11FE0">
        <w:rPr>
          <w:rFonts w:asciiTheme="majorHAnsi" w:hAnsiTheme="majorHAnsi"/>
        </w:rPr>
        <w:t>glomerácií nad 10 000 EO (t.</w:t>
      </w:r>
      <w:r w:rsidR="00BB2282">
        <w:rPr>
          <w:rFonts w:asciiTheme="majorHAnsi" w:hAnsiTheme="majorHAnsi"/>
        </w:rPr>
        <w:t xml:space="preserve"> </w:t>
      </w:r>
      <w:r w:rsidR="00406C25" w:rsidRPr="00A11FE0">
        <w:rPr>
          <w:rFonts w:asciiTheme="majorHAnsi" w:hAnsiTheme="majorHAnsi"/>
        </w:rPr>
        <w:t xml:space="preserve">j. 2 105 tisíc EO z celkových 4 087 tisíc EO). Požiadavkám EÚ teda vyhovovalo 43 </w:t>
      </w:r>
      <w:r w:rsidR="00543E1C">
        <w:rPr>
          <w:rFonts w:asciiTheme="majorHAnsi" w:hAnsiTheme="majorHAnsi"/>
        </w:rPr>
        <w:t>čistiarní odpadových vôd (ďalej len „ČOV“)</w:t>
      </w:r>
      <w:r w:rsidR="00406C25" w:rsidRPr="00A11FE0">
        <w:rPr>
          <w:rFonts w:asciiTheme="majorHAnsi" w:hAnsiTheme="majorHAnsi"/>
        </w:rPr>
        <w:t xml:space="preserve"> z celkového počtu 88 ČOV v tejto </w:t>
      </w:r>
      <w:r>
        <w:rPr>
          <w:rFonts w:asciiTheme="majorHAnsi" w:hAnsiTheme="majorHAnsi"/>
        </w:rPr>
        <w:t>k</w:t>
      </w:r>
      <w:r w:rsidR="00406C25" w:rsidRPr="00A11FE0">
        <w:rPr>
          <w:rFonts w:asciiTheme="majorHAnsi" w:hAnsiTheme="majorHAnsi"/>
        </w:rPr>
        <w:t xml:space="preserve">ategórii </w:t>
      </w:r>
      <w:r>
        <w:rPr>
          <w:rFonts w:asciiTheme="majorHAnsi" w:hAnsiTheme="majorHAnsi"/>
        </w:rPr>
        <w:t>a</w:t>
      </w:r>
      <w:r w:rsidR="00406C25" w:rsidRPr="00A11FE0">
        <w:rPr>
          <w:rFonts w:asciiTheme="majorHAnsi" w:hAnsiTheme="majorHAnsi"/>
        </w:rPr>
        <w:t xml:space="preserve">glomerácií. </w:t>
      </w:r>
      <w:r w:rsidR="00E23CDD" w:rsidRPr="00A11FE0">
        <w:rPr>
          <w:rFonts w:asciiTheme="majorHAnsi" w:hAnsiTheme="majorHAnsi"/>
          <w:bCs/>
        </w:rPr>
        <w:t>Č</w:t>
      </w:r>
      <w:r w:rsidR="00406C25" w:rsidRPr="00A11FE0">
        <w:rPr>
          <w:rFonts w:asciiTheme="majorHAnsi" w:hAnsiTheme="majorHAnsi"/>
          <w:bCs/>
        </w:rPr>
        <w:t xml:space="preserve">asť </w:t>
      </w:r>
      <w:r>
        <w:rPr>
          <w:rFonts w:asciiTheme="majorHAnsi" w:hAnsiTheme="majorHAnsi"/>
          <w:bCs/>
        </w:rPr>
        <w:t>a</w:t>
      </w:r>
      <w:r w:rsidR="00406C25" w:rsidRPr="00A11FE0">
        <w:rPr>
          <w:rFonts w:asciiTheme="majorHAnsi" w:hAnsiTheme="majorHAnsi"/>
          <w:bCs/>
        </w:rPr>
        <w:t xml:space="preserve">glomerácií </w:t>
      </w:r>
      <w:r w:rsidR="00C759C1">
        <w:rPr>
          <w:rFonts w:asciiTheme="majorHAnsi" w:hAnsiTheme="majorHAnsi"/>
          <w:bCs/>
        </w:rPr>
        <w:t xml:space="preserve">nad 2000 EO </w:t>
      </w:r>
      <w:r w:rsidR="00406C25" w:rsidRPr="00A11FE0">
        <w:rPr>
          <w:rFonts w:asciiTheme="majorHAnsi" w:hAnsiTheme="majorHAnsi"/>
          <w:bCs/>
        </w:rPr>
        <w:t>bola vyriešená v rámci programového obdobia 2004 – 2006</w:t>
      </w:r>
      <w:r w:rsidR="00C759C1">
        <w:rPr>
          <w:rFonts w:asciiTheme="majorHAnsi" w:hAnsiTheme="majorHAnsi"/>
          <w:bCs/>
        </w:rPr>
        <w:t xml:space="preserve"> a 2007 </w:t>
      </w:r>
      <w:r w:rsidR="00597BDD">
        <w:rPr>
          <w:rFonts w:asciiTheme="majorHAnsi" w:hAnsiTheme="majorHAnsi"/>
          <w:bCs/>
        </w:rPr>
        <w:t>–</w:t>
      </w:r>
      <w:r w:rsidR="00C759C1">
        <w:rPr>
          <w:rFonts w:asciiTheme="majorHAnsi" w:hAnsiTheme="majorHAnsi"/>
          <w:bCs/>
        </w:rPr>
        <w:t xml:space="preserve"> 2013</w:t>
      </w:r>
      <w:r w:rsidR="00406C25" w:rsidRPr="00A11FE0">
        <w:rPr>
          <w:rFonts w:asciiTheme="majorHAnsi" w:hAnsiTheme="majorHAnsi"/>
          <w:bCs/>
        </w:rPr>
        <w:t>.</w:t>
      </w:r>
      <w:r w:rsidR="00C759C1">
        <w:rPr>
          <w:rFonts w:asciiTheme="majorHAnsi" w:hAnsiTheme="majorHAnsi"/>
          <w:bCs/>
        </w:rPr>
        <w:t xml:space="preserve"> </w:t>
      </w:r>
      <w:r w:rsidR="00C759C1" w:rsidRPr="00C759C1">
        <w:rPr>
          <w:rFonts w:asciiTheme="majorHAnsi" w:hAnsiTheme="majorHAnsi"/>
        </w:rPr>
        <w:t>Predpokladaný počet aglomerácií nad 2 000 EO, ktoré budú riešené prostredníctvom podpory z EŠIF je 64, avšak ich skutočný počet bude závisieť od konkrétnych aglomerácií, ktorým bude podpora poskytnutá a výšky investičných nákladov. Uvedený odhad sa týka aglomerácií, ktoré nespĺňajú požiadavky smernice Rady 91/271/EHS, najmä z kategórie 2 000 – 10 000 EO</w:t>
      </w:r>
      <w:r w:rsidR="00406C25" w:rsidRPr="00A11FE0">
        <w:rPr>
          <w:rFonts w:asciiTheme="majorHAnsi" w:hAnsiTheme="majorHAnsi"/>
          <w:bCs/>
        </w:rPr>
        <w:t xml:space="preserve"> </w:t>
      </w:r>
      <w:r w:rsidR="00C759C1" w:rsidRPr="00C759C1">
        <w:rPr>
          <w:rFonts w:asciiTheme="majorHAnsi" w:hAnsiTheme="majorHAnsi"/>
          <w:bCs/>
        </w:rPr>
        <w:t>Tým bude zabezpečené napojenie na verejnú kanalizáciu s čistením komunálnych odpadových vôd pre 173 205 EO.</w:t>
      </w:r>
    </w:p>
    <w:p w:rsidR="006A7C8F" w:rsidRDefault="00BD5FD5" w:rsidP="006A7C8F">
      <w:pPr>
        <w:rPr>
          <w:rFonts w:asciiTheme="majorHAnsi" w:hAnsiTheme="majorHAnsi"/>
        </w:rPr>
      </w:pPr>
      <w:r>
        <w:rPr>
          <w:rFonts w:asciiTheme="majorHAnsi" w:hAnsiTheme="majorHAnsi"/>
        </w:rPr>
        <w:t>Ak</w:t>
      </w:r>
      <w:r w:rsidR="00406C25" w:rsidRPr="00A11FE0">
        <w:rPr>
          <w:rFonts w:asciiTheme="majorHAnsi" w:hAnsiTheme="majorHAnsi"/>
        </w:rPr>
        <w:t xml:space="preserve">tivity z oblasti odvádzania </w:t>
      </w:r>
      <w:r>
        <w:rPr>
          <w:rFonts w:asciiTheme="majorHAnsi" w:hAnsiTheme="majorHAnsi"/>
        </w:rPr>
        <w:t>a </w:t>
      </w:r>
      <w:r w:rsidR="00406C25" w:rsidRPr="00A11FE0">
        <w:rPr>
          <w:rFonts w:asciiTheme="majorHAnsi" w:hAnsiTheme="majorHAnsi"/>
        </w:rPr>
        <w:t xml:space="preserve">čistenia odpadových vôd </w:t>
      </w:r>
      <w:r>
        <w:rPr>
          <w:rFonts w:asciiTheme="majorHAnsi" w:hAnsiTheme="majorHAnsi"/>
        </w:rPr>
        <w:t>s</w:t>
      </w:r>
      <w:r w:rsidR="00406C25" w:rsidRPr="00A11FE0">
        <w:rPr>
          <w:rFonts w:asciiTheme="majorHAnsi" w:hAnsiTheme="majorHAnsi"/>
        </w:rPr>
        <w:t xml:space="preserve">ú prioritami Vodného plánu </w:t>
      </w:r>
      <w:r>
        <w:rPr>
          <w:rFonts w:asciiTheme="majorHAnsi" w:hAnsiTheme="majorHAnsi"/>
        </w:rPr>
        <w:t>S</w:t>
      </w:r>
      <w:r w:rsidR="00406C25" w:rsidRPr="00A11FE0">
        <w:rPr>
          <w:rFonts w:asciiTheme="majorHAnsi" w:hAnsiTheme="majorHAnsi"/>
        </w:rPr>
        <w:t xml:space="preserve">lovenska, </w:t>
      </w:r>
      <w:r>
        <w:rPr>
          <w:rFonts w:asciiTheme="majorHAnsi" w:hAnsiTheme="majorHAnsi"/>
        </w:rPr>
        <w:t>k</w:t>
      </w:r>
      <w:r w:rsidR="00406C25" w:rsidRPr="00A11FE0">
        <w:rPr>
          <w:rFonts w:asciiTheme="majorHAnsi" w:hAnsiTheme="majorHAnsi"/>
        </w:rPr>
        <w:t xml:space="preserve">torý zahŕňa Plány manažmentu </w:t>
      </w:r>
      <w:r>
        <w:rPr>
          <w:rFonts w:asciiTheme="majorHAnsi" w:hAnsiTheme="majorHAnsi"/>
        </w:rPr>
        <w:t>s</w:t>
      </w:r>
      <w:r w:rsidR="00406C25" w:rsidRPr="00A11FE0">
        <w:rPr>
          <w:rFonts w:asciiTheme="majorHAnsi" w:hAnsiTheme="majorHAnsi"/>
        </w:rPr>
        <w:t xml:space="preserve">právneho územia povodia Dunaja </w:t>
      </w:r>
      <w:r>
        <w:rPr>
          <w:rFonts w:asciiTheme="majorHAnsi" w:hAnsiTheme="majorHAnsi"/>
        </w:rPr>
        <w:t>a s</w:t>
      </w:r>
      <w:r w:rsidR="00406C25" w:rsidRPr="00A11FE0">
        <w:rPr>
          <w:rFonts w:asciiTheme="majorHAnsi" w:hAnsiTheme="majorHAnsi"/>
        </w:rPr>
        <w:t xml:space="preserve">právneho územia povodia Visly. </w:t>
      </w:r>
      <w:r w:rsidR="006A7C8F">
        <w:rPr>
          <w:rFonts w:asciiTheme="majorHAnsi" w:hAnsiTheme="majorHAnsi"/>
        </w:rPr>
        <w:t xml:space="preserve">Dôsledkom vypúšťania nedostatočne čistených, alebo nečistených odpadových vôd z bodových zdrojov znečistenia (aglomerácií, priemyslu a poľnohospodárstva) je znečistenie povrchových vôd živinami. V zmysle smernice Rady 91/271/EHS je celé územie Slovenska určené za citlivé územie, kde sa vyžaduje prísnejšia technológia čistenia pre všetky stredne veľké a veľké </w:t>
      </w:r>
      <w:r w:rsidR="00543E1C">
        <w:rPr>
          <w:rFonts w:asciiTheme="majorHAnsi" w:hAnsiTheme="majorHAnsi"/>
        </w:rPr>
        <w:t>ČOV</w:t>
      </w:r>
      <w:r w:rsidR="006A7C8F">
        <w:rPr>
          <w:rFonts w:asciiTheme="majorHAnsi" w:hAnsiTheme="majorHAnsi"/>
        </w:rPr>
        <w:t>. Znamená to, že aglomerácia nad 10 000 EO musia byť vybavené odstraňovaním živín.</w:t>
      </w:r>
    </w:p>
    <w:p w:rsidR="00406C25" w:rsidRDefault="006A7C8F" w:rsidP="006A7C8F">
      <w:pPr>
        <w:rPr>
          <w:rFonts w:asciiTheme="majorHAnsi" w:hAnsiTheme="majorHAnsi"/>
          <w:szCs w:val="22"/>
        </w:rPr>
      </w:pPr>
      <w:r>
        <w:rPr>
          <w:rFonts w:asciiTheme="majorHAnsi" w:hAnsiTheme="majorHAnsi"/>
        </w:rPr>
        <w:t>Na dosiahnutie zníženia znečistenia povrchových vôd živinami</w:t>
      </w:r>
      <w:r w:rsidR="00543E1C">
        <w:rPr>
          <w:rFonts w:asciiTheme="majorHAnsi" w:hAnsiTheme="majorHAnsi"/>
        </w:rPr>
        <w:t>,</w:t>
      </w:r>
      <w:r>
        <w:rPr>
          <w:rFonts w:asciiTheme="majorHAnsi" w:hAnsiTheme="majorHAnsi"/>
        </w:rPr>
        <w:t xml:space="preserve"> minimálne na úroveň kompatibilnú s kritériami dobrého ekologického stavu/potenciálu</w:t>
      </w:r>
      <w:r w:rsidR="00543E1C">
        <w:rPr>
          <w:rFonts w:asciiTheme="majorHAnsi" w:hAnsiTheme="majorHAnsi"/>
        </w:rPr>
        <w:t>,</w:t>
      </w:r>
      <w:r>
        <w:rPr>
          <w:rFonts w:asciiTheme="majorHAnsi" w:hAnsiTheme="majorHAnsi"/>
        </w:rPr>
        <w:t xml:space="preserve"> je preto potrebné realizovať opatrenia v tejto oblasti, ako aj v oblasti odkanalizovania a čistenia odpadových vôd v aglomeráciách nad 2000 EO, a</w:t>
      </w:r>
      <w:r w:rsidR="00597BDD">
        <w:rPr>
          <w:rFonts w:asciiTheme="majorHAnsi" w:hAnsiTheme="majorHAnsi"/>
        </w:rPr>
        <w:t> </w:t>
      </w:r>
      <w:r>
        <w:rPr>
          <w:rFonts w:asciiTheme="majorHAnsi" w:hAnsiTheme="majorHAnsi"/>
        </w:rPr>
        <w:t xml:space="preserve">zároveň aj v aglomeráciách pod 2000 EO v chránených vodohospodárskych oblastiach, kde bol identifikovaný zlý stav vôd. </w:t>
      </w:r>
      <w:r w:rsidR="00406C25" w:rsidRPr="00A11FE0">
        <w:rPr>
          <w:rFonts w:asciiTheme="majorHAnsi" w:hAnsiTheme="majorHAnsi"/>
        </w:rPr>
        <w:t xml:space="preserve">Z Vodného plánu </w:t>
      </w:r>
      <w:r w:rsidR="00BD5FD5">
        <w:rPr>
          <w:rFonts w:asciiTheme="majorHAnsi" w:hAnsiTheme="majorHAnsi"/>
        </w:rPr>
        <w:t>S</w:t>
      </w:r>
      <w:r w:rsidR="00406C25" w:rsidRPr="00A11FE0">
        <w:rPr>
          <w:rFonts w:asciiTheme="majorHAnsi" w:hAnsiTheme="majorHAnsi"/>
        </w:rPr>
        <w:t xml:space="preserve">lovenska vyplýva, že </w:t>
      </w:r>
      <w:r w:rsidR="00BD5FD5">
        <w:rPr>
          <w:rFonts w:asciiTheme="majorHAnsi" w:hAnsiTheme="majorHAnsi"/>
        </w:rPr>
        <w:t>S</w:t>
      </w:r>
      <w:r w:rsidR="00406C25" w:rsidRPr="00A11FE0">
        <w:rPr>
          <w:rFonts w:asciiTheme="majorHAnsi" w:hAnsiTheme="majorHAnsi"/>
        </w:rPr>
        <w:t>R</w:t>
      </w:r>
      <w:r>
        <w:rPr>
          <w:rFonts w:asciiTheme="majorHAnsi" w:hAnsiTheme="majorHAnsi"/>
        </w:rPr>
        <w:t xml:space="preserve"> v súčasnosti </w:t>
      </w:r>
      <w:r w:rsidR="00406C25" w:rsidRPr="00A11FE0">
        <w:rPr>
          <w:rFonts w:asciiTheme="majorHAnsi" w:hAnsiTheme="majorHAnsi"/>
        </w:rPr>
        <w:t xml:space="preserve">nedosahuje dobrý </w:t>
      </w:r>
      <w:r w:rsidR="00BD5FD5">
        <w:rPr>
          <w:rFonts w:asciiTheme="majorHAnsi" w:hAnsiTheme="majorHAnsi"/>
        </w:rPr>
        <w:t>s</w:t>
      </w:r>
      <w:r w:rsidR="00406C25" w:rsidRPr="00A11FE0">
        <w:rPr>
          <w:rFonts w:asciiTheme="majorHAnsi" w:hAnsiTheme="majorHAnsi"/>
        </w:rPr>
        <w:t xml:space="preserve">tav cca v 36 % vodných útvarov </w:t>
      </w:r>
      <w:r w:rsidR="00BD5FD5">
        <w:rPr>
          <w:rFonts w:asciiTheme="majorHAnsi" w:hAnsiTheme="majorHAnsi"/>
        </w:rPr>
        <w:t>a</w:t>
      </w:r>
      <w:r w:rsidR="00406C25" w:rsidRPr="00A11FE0">
        <w:rPr>
          <w:rFonts w:asciiTheme="majorHAnsi" w:hAnsiTheme="majorHAnsi"/>
        </w:rPr>
        <w:t xml:space="preserve"> dobrý chemický </w:t>
      </w:r>
      <w:r w:rsidR="00BD5FD5">
        <w:rPr>
          <w:rFonts w:asciiTheme="majorHAnsi" w:hAnsiTheme="majorHAnsi"/>
        </w:rPr>
        <w:t>s</w:t>
      </w:r>
      <w:r w:rsidR="00406C25" w:rsidRPr="00A11FE0">
        <w:rPr>
          <w:rFonts w:asciiTheme="majorHAnsi" w:hAnsiTheme="majorHAnsi"/>
        </w:rPr>
        <w:t xml:space="preserve">tav na dĺžku toku cca v 10 – 11 % útvarov. Okrem nich, </w:t>
      </w:r>
      <w:r w:rsidR="00BD5FD5">
        <w:rPr>
          <w:rFonts w:asciiTheme="majorHAnsi" w:hAnsiTheme="majorHAnsi"/>
        </w:rPr>
        <w:t>k</w:t>
      </w:r>
      <w:r w:rsidR="00406C25" w:rsidRPr="00A11FE0">
        <w:rPr>
          <w:rFonts w:asciiTheme="majorHAnsi" w:hAnsiTheme="majorHAnsi"/>
        </w:rPr>
        <w:t xml:space="preserve"> dosiahnutiu dobrého </w:t>
      </w:r>
      <w:r w:rsidR="00BD5FD5">
        <w:rPr>
          <w:rFonts w:asciiTheme="majorHAnsi" w:hAnsiTheme="majorHAnsi"/>
        </w:rPr>
        <w:t>s</w:t>
      </w:r>
      <w:r w:rsidR="00406C25" w:rsidRPr="00A11FE0">
        <w:rPr>
          <w:rFonts w:asciiTheme="majorHAnsi" w:hAnsiTheme="majorHAnsi"/>
        </w:rPr>
        <w:t xml:space="preserve">tavu vôd prispejú </w:t>
      </w:r>
      <w:r w:rsidR="00BD5FD5">
        <w:rPr>
          <w:rFonts w:asciiTheme="majorHAnsi" w:hAnsiTheme="majorHAnsi"/>
        </w:rPr>
        <w:t>a</w:t>
      </w:r>
      <w:r w:rsidR="00406C25" w:rsidRPr="00A11FE0">
        <w:rPr>
          <w:rFonts w:asciiTheme="majorHAnsi" w:hAnsiTheme="majorHAnsi"/>
        </w:rPr>
        <w:t xml:space="preserve">j </w:t>
      </w:r>
      <w:r w:rsidR="00406C25" w:rsidRPr="00A11FE0">
        <w:rPr>
          <w:rFonts w:asciiTheme="majorHAnsi" w:hAnsiTheme="majorHAnsi"/>
          <w:szCs w:val="22"/>
        </w:rPr>
        <w:t xml:space="preserve">opatrenia na zabezpečenie pozdĺžnej </w:t>
      </w:r>
      <w:r w:rsidR="00BD5FD5">
        <w:rPr>
          <w:rFonts w:asciiTheme="majorHAnsi" w:hAnsiTheme="majorHAnsi"/>
          <w:szCs w:val="22"/>
        </w:rPr>
        <w:t>k</w:t>
      </w:r>
      <w:r w:rsidR="00406C25" w:rsidRPr="00A11FE0">
        <w:rPr>
          <w:rFonts w:asciiTheme="majorHAnsi" w:hAnsiTheme="majorHAnsi"/>
          <w:szCs w:val="22"/>
        </w:rPr>
        <w:t xml:space="preserve">ontinuity riek </w:t>
      </w:r>
      <w:r w:rsidR="00BD5FD5">
        <w:rPr>
          <w:rFonts w:asciiTheme="majorHAnsi" w:hAnsiTheme="majorHAnsi"/>
          <w:szCs w:val="22"/>
        </w:rPr>
        <w:t>a </w:t>
      </w:r>
      <w:r w:rsidR="00406C25" w:rsidRPr="00A11FE0">
        <w:rPr>
          <w:rFonts w:asciiTheme="majorHAnsi" w:hAnsiTheme="majorHAnsi"/>
          <w:szCs w:val="22"/>
        </w:rPr>
        <w:t>biotopov</w:t>
      </w:r>
      <w:r w:rsidR="00DC4453">
        <w:rPr>
          <w:rFonts w:asciiTheme="majorHAnsi" w:hAnsiTheme="majorHAnsi"/>
          <w:szCs w:val="22"/>
        </w:rPr>
        <w:t xml:space="preserve"> </w:t>
      </w:r>
      <w:r w:rsidR="00406C25" w:rsidRPr="00A11FE0">
        <w:rPr>
          <w:rFonts w:asciiTheme="majorHAnsi" w:hAnsiTheme="majorHAnsi"/>
          <w:szCs w:val="22"/>
        </w:rPr>
        <w:t xml:space="preserve">odstránením ich narušenia </w:t>
      </w:r>
      <w:r w:rsidR="00BD5FD5">
        <w:rPr>
          <w:rFonts w:asciiTheme="majorHAnsi" w:hAnsiTheme="majorHAnsi"/>
          <w:szCs w:val="22"/>
        </w:rPr>
        <w:t>s</w:t>
      </w:r>
      <w:r w:rsidR="00406C25" w:rsidRPr="00A11FE0">
        <w:rPr>
          <w:rFonts w:asciiTheme="majorHAnsi" w:hAnsiTheme="majorHAnsi"/>
          <w:szCs w:val="22"/>
        </w:rPr>
        <w:t xml:space="preserve">pôsobeného vodnými </w:t>
      </w:r>
      <w:r w:rsidR="00BD5FD5">
        <w:rPr>
          <w:rFonts w:asciiTheme="majorHAnsi" w:hAnsiTheme="majorHAnsi"/>
          <w:szCs w:val="22"/>
        </w:rPr>
        <w:t>s</w:t>
      </w:r>
      <w:r w:rsidR="00406C25" w:rsidRPr="00A11FE0">
        <w:rPr>
          <w:rFonts w:asciiTheme="majorHAnsi" w:hAnsiTheme="majorHAnsi"/>
          <w:szCs w:val="22"/>
        </w:rPr>
        <w:t xml:space="preserve">tavbami, zabezpečenie laterálnej </w:t>
      </w:r>
      <w:r w:rsidR="00BD5FD5">
        <w:rPr>
          <w:rFonts w:asciiTheme="majorHAnsi" w:hAnsiTheme="majorHAnsi"/>
          <w:szCs w:val="22"/>
        </w:rPr>
        <w:t>s</w:t>
      </w:r>
      <w:r w:rsidR="00406C25" w:rsidRPr="00A11FE0">
        <w:rPr>
          <w:rFonts w:asciiTheme="majorHAnsi" w:hAnsiTheme="majorHAnsi"/>
          <w:szCs w:val="22"/>
        </w:rPr>
        <w:t xml:space="preserve">pojitosti mokradí </w:t>
      </w:r>
      <w:r w:rsidR="00BD5FD5">
        <w:rPr>
          <w:rFonts w:asciiTheme="majorHAnsi" w:hAnsiTheme="majorHAnsi"/>
          <w:szCs w:val="22"/>
        </w:rPr>
        <w:t>a </w:t>
      </w:r>
      <w:r w:rsidR="00406C25" w:rsidRPr="00A11FE0">
        <w:rPr>
          <w:rFonts w:asciiTheme="majorHAnsi" w:hAnsiTheme="majorHAnsi"/>
          <w:szCs w:val="22"/>
        </w:rPr>
        <w:t xml:space="preserve">inundácií </w:t>
      </w:r>
      <w:r w:rsidR="00BD5FD5">
        <w:rPr>
          <w:rFonts w:asciiTheme="majorHAnsi" w:hAnsiTheme="majorHAnsi"/>
          <w:szCs w:val="22"/>
        </w:rPr>
        <w:t>s </w:t>
      </w:r>
      <w:r w:rsidR="00406C25" w:rsidRPr="00A11FE0">
        <w:rPr>
          <w:rFonts w:asciiTheme="majorHAnsi" w:hAnsiTheme="majorHAnsi"/>
          <w:szCs w:val="22"/>
        </w:rPr>
        <w:t xml:space="preserve">vodným tokom, monitorovanie vôd </w:t>
      </w:r>
      <w:r w:rsidR="00BD5FD5">
        <w:rPr>
          <w:rFonts w:asciiTheme="majorHAnsi" w:hAnsiTheme="majorHAnsi"/>
          <w:szCs w:val="22"/>
        </w:rPr>
        <w:t>a </w:t>
      </w:r>
      <w:r w:rsidR="00406C25" w:rsidRPr="00A11FE0">
        <w:rPr>
          <w:rFonts w:asciiTheme="majorHAnsi" w:hAnsiTheme="majorHAnsi"/>
          <w:szCs w:val="22"/>
        </w:rPr>
        <w:t>pod.</w:t>
      </w:r>
    </w:p>
    <w:p w:rsidR="006A7C8F" w:rsidRPr="00A11FE0" w:rsidRDefault="006A7C8F" w:rsidP="006A7C8F">
      <w:pPr>
        <w:rPr>
          <w:rFonts w:asciiTheme="majorHAnsi" w:hAnsiTheme="majorHAnsi"/>
        </w:rPr>
      </w:pPr>
      <w:r w:rsidRPr="00A11FE0">
        <w:rPr>
          <w:rFonts w:asciiTheme="majorHAnsi" w:hAnsiTheme="majorHAnsi"/>
        </w:rPr>
        <w:t>Z hľadiska bezproblémového zásobovani</w:t>
      </w:r>
      <w:r>
        <w:rPr>
          <w:rFonts w:asciiTheme="majorHAnsi" w:hAnsiTheme="majorHAnsi"/>
        </w:rPr>
        <w:t>a</w:t>
      </w:r>
      <w:r w:rsidRPr="00A11FE0">
        <w:rPr>
          <w:rFonts w:asciiTheme="majorHAnsi" w:hAnsiTheme="majorHAnsi"/>
        </w:rPr>
        <w:t xml:space="preserve"> obyvateľov pitnou vodou bez negatívnych dopadov na životné prostredie</w:t>
      </w:r>
      <w:r w:rsidR="00543E1C">
        <w:rPr>
          <w:rFonts w:asciiTheme="majorHAnsi" w:hAnsiTheme="majorHAnsi"/>
        </w:rPr>
        <w:t>,</w:t>
      </w:r>
      <w:r w:rsidRPr="00A11FE0">
        <w:rPr>
          <w:rFonts w:asciiTheme="majorHAnsi" w:hAnsiTheme="majorHAnsi"/>
        </w:rPr>
        <w:t xml:space="preserve"> je nevyhnutné zabezpečiť odstraňovanie nedostatkov </w:t>
      </w:r>
      <w:r>
        <w:rPr>
          <w:rFonts w:asciiTheme="majorHAnsi" w:hAnsiTheme="majorHAnsi"/>
        </w:rPr>
        <w:t xml:space="preserve">v úpravniach povrchových vôd a podzemných vôd, </w:t>
      </w:r>
      <w:r w:rsidRPr="00A11FE0">
        <w:rPr>
          <w:rFonts w:asciiTheme="majorHAnsi" w:hAnsiTheme="majorHAnsi"/>
        </w:rPr>
        <w:t xml:space="preserve">vo vodovodných radoch, najmä porúch na prívodoch vody, </w:t>
      </w:r>
      <w:r>
        <w:rPr>
          <w:rFonts w:asciiTheme="majorHAnsi" w:hAnsiTheme="majorHAnsi"/>
        </w:rPr>
        <w:t>a</w:t>
      </w:r>
      <w:r w:rsidRPr="00A11FE0">
        <w:rPr>
          <w:rFonts w:asciiTheme="majorHAnsi" w:hAnsiTheme="majorHAnsi"/>
        </w:rPr>
        <w:t xml:space="preserve">le </w:t>
      </w:r>
      <w:r>
        <w:rPr>
          <w:rFonts w:asciiTheme="majorHAnsi" w:hAnsiTheme="majorHAnsi"/>
        </w:rPr>
        <w:t>a</w:t>
      </w:r>
      <w:r w:rsidRPr="00A11FE0">
        <w:rPr>
          <w:rFonts w:asciiTheme="majorHAnsi" w:hAnsiTheme="majorHAnsi"/>
        </w:rPr>
        <w:t xml:space="preserve">j na vodovodných </w:t>
      </w:r>
      <w:r>
        <w:rPr>
          <w:rFonts w:asciiTheme="majorHAnsi" w:hAnsiTheme="majorHAnsi"/>
        </w:rPr>
        <w:t>s</w:t>
      </w:r>
      <w:r w:rsidRPr="00A11FE0">
        <w:rPr>
          <w:rFonts w:asciiTheme="majorHAnsi" w:hAnsiTheme="majorHAnsi"/>
        </w:rPr>
        <w:t>ieťach.</w:t>
      </w:r>
    </w:p>
    <w:p w:rsidR="00643E9E" w:rsidRDefault="006A7C8F" w:rsidP="00643E9E">
      <w:pPr>
        <w:rPr>
          <w:rFonts w:asciiTheme="majorHAnsi" w:hAnsiTheme="majorHAnsi"/>
        </w:rPr>
      </w:pPr>
      <w:r>
        <w:rPr>
          <w:rFonts w:asciiTheme="majorHAnsi" w:hAnsiTheme="majorHAnsi"/>
        </w:rPr>
        <w:t xml:space="preserve">V rámci sektora poľnohospodárstva, kontamináciu podzemnej a povrchovej vody dusičnanmi a inými znečisťujúcimi látkami spôsobuje najmä intenzívne hospodárenie na pôde a chovné </w:t>
      </w:r>
      <w:r w:rsidR="00543E1C">
        <w:rPr>
          <w:rFonts w:asciiTheme="majorHAnsi" w:hAnsiTheme="majorHAnsi"/>
        </w:rPr>
        <w:t>zariadenie</w:t>
      </w:r>
      <w:r>
        <w:rPr>
          <w:rFonts w:asciiTheme="majorHAnsi" w:hAnsiTheme="majorHAnsi"/>
        </w:rPr>
        <w:t>. SR s určitými problémami uplatňuje na 33 % svojho územia Akčný plán ochrany území ohrozených dusičnanmi (Program poľnohospodárskych činností vo vyhlásených zraniteľných oblastiach), a</w:t>
      </w:r>
      <w:r w:rsidR="00597BDD">
        <w:rPr>
          <w:rFonts w:asciiTheme="majorHAnsi" w:hAnsiTheme="majorHAnsi"/>
        </w:rPr>
        <w:t> </w:t>
      </w:r>
      <w:r>
        <w:rPr>
          <w:rFonts w:asciiTheme="majorHAnsi" w:hAnsiTheme="majorHAnsi"/>
        </w:rPr>
        <w:t>to v zmysle smernice EÚ o</w:t>
      </w:r>
      <w:r w:rsidR="00597BDD">
        <w:rPr>
          <w:rFonts w:asciiTheme="majorHAnsi" w:hAnsiTheme="majorHAnsi"/>
        </w:rPr>
        <w:t> </w:t>
      </w:r>
      <w:r>
        <w:rPr>
          <w:rFonts w:asciiTheme="majorHAnsi" w:hAnsiTheme="majorHAnsi"/>
        </w:rPr>
        <w:t>dusičnanoch. Výmera zraniteľných oblastí z</w:t>
      </w:r>
      <w:r w:rsidR="00597BDD">
        <w:rPr>
          <w:rFonts w:asciiTheme="majorHAnsi" w:hAnsiTheme="majorHAnsi"/>
        </w:rPr>
        <w:t> </w:t>
      </w:r>
      <w:r>
        <w:rPr>
          <w:rFonts w:asciiTheme="majorHAnsi" w:hAnsiTheme="majorHAnsi"/>
        </w:rPr>
        <w:t>hľadiska ochrany vodných zdrojov na území SR je 2 232 810,41 ha, čo predstavuje 45,53 % výmery územia SR.</w:t>
      </w:r>
    </w:p>
    <w:p w:rsidR="00643E9E" w:rsidRPr="00643E9E" w:rsidRDefault="00643E9E" w:rsidP="00643E9E">
      <w:pPr>
        <w:rPr>
          <w:rFonts w:asciiTheme="majorHAnsi" w:hAnsiTheme="majorHAnsi"/>
        </w:rPr>
      </w:pPr>
      <w:r w:rsidRPr="00643E9E">
        <w:rPr>
          <w:rFonts w:asciiTheme="majorHAnsi" w:hAnsiTheme="majorHAnsi"/>
        </w:rPr>
        <w:t xml:space="preserve">Stav znečistenia vôd z poľnohospodárskych činností sa zlepšuje, pričom na danom stave (ustálený trend) sa pozitívne prejavuje ochranný účinok implementácie podpôr ekologického </w:t>
      </w:r>
      <w:r w:rsidRPr="00643E9E">
        <w:rPr>
          <w:rFonts w:asciiTheme="majorHAnsi" w:hAnsiTheme="majorHAnsi"/>
        </w:rPr>
        <w:lastRenderedPageBreak/>
        <w:t>poľnohospodárstva, účinných agro-environmentálnych schém a ostatných udržateľných systémov hospodárenia na pôde, ktoré minimalizujú znečistenie povrchových a podzemných vôd dusičnanmi, rezíduami pesticídov a ostatnými kontaminantmi z poľnohospodárskej činnosti (akými napr. sú presné hnojenie, integrovaná ochrana rastlín, zmeny v systémoch ustajnenia zvierat, bezpečné skladovanie a aplikácia hospodárskych a priemyselných hnojív a pesticídov, predĺženie obdobia rastlinného pokryvu pôdy a pestovanie medziplodín na elimináciu vyplavovania dusičnanov a pod.).</w:t>
      </w:r>
    </w:p>
    <w:p w:rsidR="002F2443" w:rsidRPr="003F0750" w:rsidRDefault="00643E9E" w:rsidP="004B6F41">
      <w:pPr>
        <w:pStyle w:val="Nadpis5"/>
        <w:numPr>
          <w:ilvl w:val="4"/>
          <w:numId w:val="2"/>
        </w:numPr>
        <w:ind w:left="1292"/>
        <w:rPr>
          <w:rStyle w:val="FontStyle51"/>
          <w:rFonts w:asciiTheme="majorHAnsi" w:eastAsiaTheme="minorEastAsia" w:hAnsiTheme="majorHAnsi"/>
          <w:color w:val="auto"/>
          <w:szCs w:val="22"/>
        </w:rPr>
      </w:pPr>
      <w:r w:rsidRPr="003F0750">
        <w:rPr>
          <w:rStyle w:val="FontStyle51"/>
          <w:rFonts w:asciiTheme="majorHAnsi" w:hAnsiTheme="majorHAnsi"/>
          <w:szCs w:val="22"/>
        </w:rPr>
        <w:t>Nedostatočná recyklácia a zhodnocovanie odpadov</w:t>
      </w:r>
    </w:p>
    <w:p w:rsidR="00406C25" w:rsidRPr="00A11FE0" w:rsidRDefault="00406C25" w:rsidP="002F2443">
      <w:pPr>
        <w:rPr>
          <w:rFonts w:asciiTheme="majorHAnsi" w:hAnsiTheme="majorHAnsi"/>
        </w:rPr>
      </w:pPr>
      <w:r w:rsidRPr="00A11FE0">
        <w:rPr>
          <w:rFonts w:asciiTheme="majorHAnsi" w:hAnsiTheme="majorHAnsi"/>
        </w:rPr>
        <w:t>V</w:t>
      </w:r>
      <w:r w:rsidR="00900D3D">
        <w:rPr>
          <w:rFonts w:asciiTheme="majorHAnsi" w:hAnsiTheme="majorHAnsi"/>
        </w:rPr>
        <w:t> </w:t>
      </w:r>
      <w:r w:rsidRPr="00A11FE0">
        <w:rPr>
          <w:rFonts w:asciiTheme="majorHAnsi" w:hAnsiTheme="majorHAnsi"/>
        </w:rPr>
        <w:t>roku 2011 vzniklo v</w:t>
      </w:r>
      <w:r w:rsidR="00983072">
        <w:rPr>
          <w:rFonts w:asciiTheme="majorHAnsi" w:hAnsiTheme="majorHAnsi"/>
        </w:rPr>
        <w:t> </w:t>
      </w:r>
      <w:r w:rsidR="00BD5FD5">
        <w:rPr>
          <w:rFonts w:asciiTheme="majorHAnsi" w:hAnsiTheme="majorHAnsi"/>
        </w:rPr>
        <w:t>S</w:t>
      </w:r>
      <w:r w:rsidRPr="00A11FE0">
        <w:rPr>
          <w:rFonts w:asciiTheme="majorHAnsi" w:hAnsiTheme="majorHAnsi"/>
        </w:rPr>
        <w:t>R celkom 10 835 784,69 ton odpadov, z</w:t>
      </w:r>
      <w:r w:rsidR="00900D3D">
        <w:rPr>
          <w:rFonts w:asciiTheme="majorHAnsi" w:hAnsiTheme="majorHAnsi"/>
        </w:rPr>
        <w:t> </w:t>
      </w:r>
      <w:r w:rsidRPr="00A11FE0">
        <w:rPr>
          <w:rFonts w:asciiTheme="majorHAnsi" w:hAnsiTheme="majorHAnsi"/>
        </w:rPr>
        <w:t xml:space="preserve">toho bolo 379 628,73 ton nebezpečných odpadov </w:t>
      </w:r>
      <w:r w:rsidR="00BD5FD5">
        <w:rPr>
          <w:rFonts w:asciiTheme="majorHAnsi" w:hAnsiTheme="majorHAnsi"/>
        </w:rPr>
        <w:t>a </w:t>
      </w:r>
      <w:r w:rsidRPr="00A11FE0">
        <w:rPr>
          <w:rFonts w:asciiTheme="majorHAnsi" w:hAnsiTheme="majorHAnsi"/>
        </w:rPr>
        <w:t xml:space="preserve">1 766 990,48 ton </w:t>
      </w:r>
      <w:r w:rsidR="00BD5FD5">
        <w:rPr>
          <w:rFonts w:asciiTheme="majorHAnsi" w:hAnsiTheme="majorHAnsi"/>
        </w:rPr>
        <w:t>k</w:t>
      </w:r>
      <w:r w:rsidRPr="00A11FE0">
        <w:rPr>
          <w:rFonts w:asciiTheme="majorHAnsi" w:hAnsiTheme="majorHAnsi"/>
        </w:rPr>
        <w:t xml:space="preserve">omunálnych odpadov. Produkcia </w:t>
      </w:r>
      <w:r w:rsidR="00BD5FD5">
        <w:rPr>
          <w:rFonts w:asciiTheme="majorHAnsi" w:hAnsiTheme="majorHAnsi"/>
        </w:rPr>
        <w:t>k</w:t>
      </w:r>
      <w:r w:rsidRPr="00A11FE0">
        <w:rPr>
          <w:rFonts w:asciiTheme="majorHAnsi" w:hAnsiTheme="majorHAnsi"/>
        </w:rPr>
        <w:t>omunálnych odpadov predstavuje v</w:t>
      </w:r>
      <w:r w:rsidR="007F2C41" w:rsidRPr="00A11FE0">
        <w:rPr>
          <w:rFonts w:asciiTheme="majorHAnsi" w:hAnsiTheme="majorHAnsi"/>
        </w:rPr>
        <w:t> </w:t>
      </w:r>
      <w:r w:rsidRPr="00A11FE0">
        <w:rPr>
          <w:rFonts w:asciiTheme="majorHAnsi" w:hAnsiTheme="majorHAnsi"/>
        </w:rPr>
        <w:t>priemere</w:t>
      </w:r>
      <w:r w:rsidR="007F2C41" w:rsidRPr="00A11FE0">
        <w:rPr>
          <w:rFonts w:asciiTheme="majorHAnsi" w:hAnsiTheme="majorHAnsi"/>
        </w:rPr>
        <w:t xml:space="preserve"> </w:t>
      </w:r>
      <w:r w:rsidRPr="00A11FE0">
        <w:rPr>
          <w:rFonts w:asciiTheme="majorHAnsi" w:hAnsiTheme="majorHAnsi"/>
        </w:rPr>
        <w:t xml:space="preserve">327 </w:t>
      </w:r>
      <w:r w:rsidR="00BD5FD5">
        <w:rPr>
          <w:rFonts w:asciiTheme="majorHAnsi" w:hAnsiTheme="majorHAnsi"/>
        </w:rPr>
        <w:t>k</w:t>
      </w:r>
      <w:r w:rsidRPr="00A11FE0">
        <w:rPr>
          <w:rFonts w:asciiTheme="majorHAnsi" w:hAnsiTheme="majorHAnsi"/>
        </w:rPr>
        <w:t xml:space="preserve">g na obyvateľa </w:t>
      </w:r>
      <w:r w:rsidR="00BD5FD5">
        <w:rPr>
          <w:rFonts w:asciiTheme="majorHAnsi" w:hAnsiTheme="majorHAnsi"/>
        </w:rPr>
        <w:t>a </w:t>
      </w:r>
      <w:r w:rsidRPr="00A11FE0">
        <w:rPr>
          <w:rFonts w:asciiTheme="majorHAnsi" w:hAnsiTheme="majorHAnsi"/>
        </w:rPr>
        <w:t>je v</w:t>
      </w:r>
      <w:r w:rsidR="00983072">
        <w:rPr>
          <w:rFonts w:asciiTheme="majorHAnsi" w:hAnsiTheme="majorHAnsi"/>
        </w:rPr>
        <w:t> </w:t>
      </w:r>
      <w:r w:rsidRPr="00A11FE0">
        <w:rPr>
          <w:rFonts w:asciiTheme="majorHAnsi" w:hAnsiTheme="majorHAnsi"/>
        </w:rPr>
        <w:t>tejto oblasti pod priemernou úrovňou EÚ27.</w:t>
      </w:r>
    </w:p>
    <w:p w:rsidR="00406C25" w:rsidRPr="00A11FE0" w:rsidRDefault="005B6332" w:rsidP="00406C25">
      <w:pPr>
        <w:rPr>
          <w:rFonts w:asciiTheme="majorHAnsi" w:hAnsiTheme="majorHAnsi"/>
        </w:rPr>
      </w:pPr>
      <w:r w:rsidRPr="00A11FE0">
        <w:rPr>
          <w:rFonts w:asciiTheme="majorHAnsi" w:hAnsiTheme="majorHAnsi"/>
        </w:rPr>
        <w:t>V</w:t>
      </w:r>
      <w:r w:rsidR="00983072">
        <w:rPr>
          <w:rFonts w:asciiTheme="majorHAnsi" w:hAnsiTheme="majorHAnsi"/>
        </w:rPr>
        <w:t> </w:t>
      </w:r>
      <w:r w:rsidR="00406C25" w:rsidRPr="00A11FE0">
        <w:rPr>
          <w:rFonts w:asciiTheme="majorHAnsi" w:hAnsiTheme="majorHAnsi"/>
        </w:rPr>
        <w:t xml:space="preserve">oblasti nakladania </w:t>
      </w:r>
      <w:r w:rsidR="00BD5FD5">
        <w:rPr>
          <w:rFonts w:asciiTheme="majorHAnsi" w:hAnsiTheme="majorHAnsi"/>
        </w:rPr>
        <w:t>s k</w:t>
      </w:r>
      <w:r w:rsidR="00406C25" w:rsidRPr="00A11FE0">
        <w:rPr>
          <w:rFonts w:asciiTheme="majorHAnsi" w:hAnsiTheme="majorHAnsi"/>
        </w:rPr>
        <w:t xml:space="preserve">omunálnymi odpadmi dominuje </w:t>
      </w:r>
      <w:r w:rsidR="00BD5FD5">
        <w:rPr>
          <w:rFonts w:asciiTheme="majorHAnsi" w:hAnsiTheme="majorHAnsi"/>
        </w:rPr>
        <w:t>s</w:t>
      </w:r>
      <w:r w:rsidR="00406C25" w:rsidRPr="00A11FE0">
        <w:rPr>
          <w:rFonts w:asciiTheme="majorHAnsi" w:hAnsiTheme="majorHAnsi"/>
        </w:rPr>
        <w:t xml:space="preserve">kládkovanie </w:t>
      </w:r>
      <w:r w:rsidR="00BD5FD5">
        <w:rPr>
          <w:rFonts w:asciiTheme="majorHAnsi" w:hAnsiTheme="majorHAnsi"/>
        </w:rPr>
        <w:t>s </w:t>
      </w:r>
      <w:r w:rsidR="00406C25" w:rsidRPr="00A11FE0">
        <w:rPr>
          <w:rFonts w:asciiTheme="majorHAnsi" w:hAnsiTheme="majorHAnsi"/>
        </w:rPr>
        <w:t>takmer 75</w:t>
      </w:r>
      <w:r w:rsidR="00797B5C" w:rsidRPr="00A11FE0">
        <w:rPr>
          <w:rFonts w:asciiTheme="majorHAnsi" w:hAnsiTheme="majorHAnsi"/>
        </w:rPr>
        <w:t xml:space="preserve"> </w:t>
      </w:r>
      <w:r w:rsidR="00406C25" w:rsidRPr="00A11FE0">
        <w:rPr>
          <w:rFonts w:asciiTheme="majorHAnsi" w:hAnsiTheme="majorHAnsi"/>
        </w:rPr>
        <w:t xml:space="preserve">% podielom. </w:t>
      </w:r>
      <w:r w:rsidR="0024769D" w:rsidRPr="00A11FE0">
        <w:rPr>
          <w:rFonts w:asciiTheme="majorHAnsi" w:hAnsiTheme="majorHAnsi"/>
        </w:rPr>
        <w:t>V</w:t>
      </w:r>
      <w:r w:rsidR="00406C25" w:rsidRPr="00A11FE0">
        <w:rPr>
          <w:rFonts w:asciiTheme="majorHAnsi" w:hAnsiTheme="majorHAnsi"/>
        </w:rPr>
        <w:t xml:space="preserve">ýznamný podiel </w:t>
      </w:r>
      <w:r w:rsidR="0024769D" w:rsidRPr="00A11FE0">
        <w:rPr>
          <w:rFonts w:asciiTheme="majorHAnsi" w:hAnsiTheme="majorHAnsi"/>
        </w:rPr>
        <w:t xml:space="preserve">dosahuje </w:t>
      </w:r>
      <w:r w:rsidR="00406C25" w:rsidRPr="00A11FE0">
        <w:rPr>
          <w:rFonts w:asciiTheme="majorHAnsi" w:hAnsiTheme="majorHAnsi"/>
        </w:rPr>
        <w:t xml:space="preserve">energetické zhodnocovanie (cca 10,27 %), recyklácia </w:t>
      </w:r>
      <w:r w:rsidR="00BD5FD5">
        <w:rPr>
          <w:rFonts w:asciiTheme="majorHAnsi" w:hAnsiTheme="majorHAnsi"/>
        </w:rPr>
        <w:t>a</w:t>
      </w:r>
      <w:r w:rsidR="00406C25" w:rsidRPr="00A11FE0">
        <w:rPr>
          <w:rFonts w:asciiTheme="majorHAnsi" w:hAnsiTheme="majorHAnsi"/>
        </w:rPr>
        <w:t xml:space="preserve">lebo </w:t>
      </w:r>
      <w:r w:rsidR="00BD5FD5">
        <w:rPr>
          <w:rFonts w:asciiTheme="majorHAnsi" w:hAnsiTheme="majorHAnsi"/>
        </w:rPr>
        <w:t>s</w:t>
      </w:r>
      <w:r w:rsidR="00406C25" w:rsidRPr="00A11FE0">
        <w:rPr>
          <w:rFonts w:asciiTheme="majorHAnsi" w:hAnsiTheme="majorHAnsi"/>
        </w:rPr>
        <w:t>pätné získavanie organických látok</w:t>
      </w:r>
      <w:r w:rsidR="006A7C8F">
        <w:rPr>
          <w:rFonts w:asciiTheme="majorHAnsi" w:hAnsiTheme="majorHAnsi"/>
        </w:rPr>
        <w:t xml:space="preserve"> formou</w:t>
      </w:r>
      <w:r w:rsidR="00406C25" w:rsidRPr="00A11FE0">
        <w:rPr>
          <w:rFonts w:asciiTheme="majorHAnsi" w:hAnsiTheme="majorHAnsi"/>
        </w:rPr>
        <w:t xml:space="preserve"> </w:t>
      </w:r>
      <w:r w:rsidR="00BD5FD5">
        <w:rPr>
          <w:rFonts w:asciiTheme="majorHAnsi" w:hAnsiTheme="majorHAnsi"/>
        </w:rPr>
        <w:t>k</w:t>
      </w:r>
      <w:r w:rsidR="00406C25" w:rsidRPr="00A11FE0">
        <w:rPr>
          <w:rFonts w:asciiTheme="majorHAnsi" w:hAnsiTheme="majorHAnsi"/>
        </w:rPr>
        <w:t>ompostovani</w:t>
      </w:r>
      <w:r w:rsidR="006A7C8F">
        <w:rPr>
          <w:rFonts w:asciiTheme="majorHAnsi" w:hAnsiTheme="majorHAnsi"/>
        </w:rPr>
        <w:t>a</w:t>
      </w:r>
      <w:r w:rsidR="00EA7608">
        <w:rPr>
          <w:rFonts w:asciiTheme="majorHAnsi" w:hAnsiTheme="majorHAnsi"/>
        </w:rPr>
        <w:t xml:space="preserve"> </w:t>
      </w:r>
      <w:r w:rsidR="00BD5FD5">
        <w:rPr>
          <w:rFonts w:asciiTheme="majorHAnsi" w:hAnsiTheme="majorHAnsi"/>
        </w:rPr>
        <w:t>a </w:t>
      </w:r>
      <w:r w:rsidR="00406C25" w:rsidRPr="00A11FE0">
        <w:rPr>
          <w:rFonts w:asciiTheme="majorHAnsi" w:hAnsiTheme="majorHAnsi"/>
        </w:rPr>
        <w:t>zhodnocovani</w:t>
      </w:r>
      <w:r w:rsidR="006A7C8F">
        <w:rPr>
          <w:rFonts w:asciiTheme="majorHAnsi" w:hAnsiTheme="majorHAnsi"/>
        </w:rPr>
        <w:t>a</w:t>
      </w:r>
      <w:r w:rsidR="00406C25" w:rsidRPr="00A11FE0">
        <w:rPr>
          <w:rFonts w:asciiTheme="majorHAnsi" w:hAnsiTheme="majorHAnsi"/>
        </w:rPr>
        <w:t xml:space="preserve"> plastov (cca 5,65 %) </w:t>
      </w:r>
      <w:r w:rsidR="00BD5FD5">
        <w:rPr>
          <w:rFonts w:asciiTheme="majorHAnsi" w:hAnsiTheme="majorHAnsi"/>
        </w:rPr>
        <w:t>a </w:t>
      </w:r>
      <w:r w:rsidR="00406C25" w:rsidRPr="00A11FE0">
        <w:rPr>
          <w:rFonts w:asciiTheme="majorHAnsi" w:hAnsiTheme="majorHAnsi"/>
        </w:rPr>
        <w:t>recykláci</w:t>
      </w:r>
      <w:r w:rsidR="00543E1C">
        <w:rPr>
          <w:rFonts w:asciiTheme="majorHAnsi" w:hAnsiTheme="majorHAnsi"/>
        </w:rPr>
        <w:t>e</w:t>
      </w:r>
      <w:r w:rsidR="00406C25" w:rsidRPr="00A11FE0">
        <w:rPr>
          <w:rFonts w:asciiTheme="majorHAnsi" w:hAnsiTheme="majorHAnsi"/>
        </w:rPr>
        <w:t xml:space="preserve"> </w:t>
      </w:r>
      <w:r w:rsidR="00BD5FD5">
        <w:rPr>
          <w:rFonts w:asciiTheme="majorHAnsi" w:hAnsiTheme="majorHAnsi"/>
        </w:rPr>
        <w:t>a</w:t>
      </w:r>
      <w:r w:rsidR="00406C25" w:rsidRPr="00A11FE0">
        <w:rPr>
          <w:rFonts w:asciiTheme="majorHAnsi" w:hAnsiTheme="majorHAnsi"/>
        </w:rPr>
        <w:t xml:space="preserve">lebo </w:t>
      </w:r>
      <w:r w:rsidR="00BD5FD5">
        <w:rPr>
          <w:rFonts w:asciiTheme="majorHAnsi" w:hAnsiTheme="majorHAnsi"/>
        </w:rPr>
        <w:t>s</w:t>
      </w:r>
      <w:r w:rsidR="00406C25" w:rsidRPr="00A11FE0">
        <w:rPr>
          <w:rFonts w:asciiTheme="majorHAnsi" w:hAnsiTheme="majorHAnsi"/>
        </w:rPr>
        <w:t>pätné</w:t>
      </w:r>
      <w:r w:rsidR="00543E1C">
        <w:rPr>
          <w:rFonts w:asciiTheme="majorHAnsi" w:hAnsiTheme="majorHAnsi"/>
        </w:rPr>
        <w:t>ho</w:t>
      </w:r>
      <w:r w:rsidR="00406C25" w:rsidRPr="00A11FE0">
        <w:rPr>
          <w:rFonts w:asciiTheme="majorHAnsi" w:hAnsiTheme="majorHAnsi"/>
        </w:rPr>
        <w:t xml:space="preserve"> získavani</w:t>
      </w:r>
      <w:r w:rsidR="00543E1C">
        <w:rPr>
          <w:rFonts w:asciiTheme="majorHAnsi" w:hAnsiTheme="majorHAnsi"/>
        </w:rPr>
        <w:t>a</w:t>
      </w:r>
      <w:r w:rsidR="00406C25" w:rsidRPr="00A11FE0">
        <w:rPr>
          <w:rFonts w:asciiTheme="majorHAnsi" w:hAnsiTheme="majorHAnsi"/>
        </w:rPr>
        <w:t xml:space="preserve"> iných </w:t>
      </w:r>
      <w:r w:rsidR="00BD5FD5">
        <w:rPr>
          <w:rFonts w:asciiTheme="majorHAnsi" w:hAnsiTheme="majorHAnsi"/>
        </w:rPr>
        <w:t>a</w:t>
      </w:r>
      <w:r w:rsidR="00406C25" w:rsidRPr="00A11FE0">
        <w:rPr>
          <w:rFonts w:asciiTheme="majorHAnsi" w:hAnsiTheme="majorHAnsi"/>
        </w:rPr>
        <w:t>norganických materiálov (cca 3,58 %)</w:t>
      </w:r>
      <w:r w:rsidR="004278A5">
        <w:rPr>
          <w:rStyle w:val="Odkaznapoznmkupodiarou"/>
          <w:rFonts w:asciiTheme="majorHAnsi" w:hAnsiTheme="majorHAnsi"/>
        </w:rPr>
        <w:footnoteReference w:id="197"/>
      </w:r>
      <w:r w:rsidR="00406C25" w:rsidRPr="00A11FE0">
        <w:rPr>
          <w:rFonts w:asciiTheme="majorHAnsi" w:hAnsiTheme="majorHAnsi"/>
        </w:rPr>
        <w:t>.</w:t>
      </w:r>
    </w:p>
    <w:p w:rsidR="00406C25" w:rsidRPr="00A11FE0" w:rsidRDefault="00BD5FD5" w:rsidP="00406C25">
      <w:pPr>
        <w:rPr>
          <w:rFonts w:asciiTheme="majorHAnsi" w:hAnsiTheme="majorHAnsi"/>
        </w:rPr>
      </w:pPr>
      <w:r>
        <w:rPr>
          <w:rFonts w:asciiTheme="majorHAnsi" w:hAnsiTheme="majorHAnsi"/>
        </w:rPr>
        <w:t>S</w:t>
      </w:r>
      <w:r w:rsidR="00406C25" w:rsidRPr="00A11FE0">
        <w:rPr>
          <w:rFonts w:asciiTheme="majorHAnsi" w:hAnsiTheme="majorHAnsi"/>
        </w:rPr>
        <w:t xml:space="preserve">trategickým cieľom odpadového hospodárstva </w:t>
      </w:r>
      <w:r>
        <w:rPr>
          <w:rFonts w:asciiTheme="majorHAnsi" w:hAnsiTheme="majorHAnsi"/>
        </w:rPr>
        <w:t>S</w:t>
      </w:r>
      <w:r w:rsidR="00406C25" w:rsidRPr="00A11FE0">
        <w:rPr>
          <w:rFonts w:asciiTheme="majorHAnsi" w:hAnsiTheme="majorHAnsi"/>
        </w:rPr>
        <w:t xml:space="preserve">R </w:t>
      </w:r>
      <w:r w:rsidR="00786A20" w:rsidRPr="00A11FE0">
        <w:rPr>
          <w:rFonts w:asciiTheme="majorHAnsi" w:hAnsiTheme="majorHAnsi"/>
        </w:rPr>
        <w:t xml:space="preserve">je </w:t>
      </w:r>
      <w:r w:rsidR="00406C25" w:rsidRPr="00A11FE0">
        <w:rPr>
          <w:rFonts w:asciiTheme="majorHAnsi" w:hAnsiTheme="majorHAnsi"/>
        </w:rPr>
        <w:t xml:space="preserve">odklonenie </w:t>
      </w:r>
      <w:r>
        <w:rPr>
          <w:rFonts w:asciiTheme="majorHAnsi" w:hAnsiTheme="majorHAnsi"/>
        </w:rPr>
        <w:t>s</w:t>
      </w:r>
      <w:r w:rsidR="00406C25" w:rsidRPr="00A11FE0">
        <w:rPr>
          <w:rFonts w:asciiTheme="majorHAnsi" w:hAnsiTheme="majorHAnsi"/>
        </w:rPr>
        <w:t xml:space="preserve">a od </w:t>
      </w:r>
      <w:r>
        <w:rPr>
          <w:rFonts w:asciiTheme="majorHAnsi" w:hAnsiTheme="majorHAnsi"/>
        </w:rPr>
        <w:t>s</w:t>
      </w:r>
      <w:r w:rsidR="00406C25" w:rsidRPr="00A11FE0">
        <w:rPr>
          <w:rFonts w:asciiTheme="majorHAnsi" w:hAnsiTheme="majorHAnsi"/>
        </w:rPr>
        <w:t>kládkovania odpadov. Uvedený cieľ vyplýva z</w:t>
      </w:r>
      <w:r w:rsidR="00983072">
        <w:rPr>
          <w:rFonts w:asciiTheme="majorHAnsi" w:hAnsiTheme="majorHAnsi"/>
        </w:rPr>
        <w:t> </w:t>
      </w:r>
      <w:r w:rsidR="00406C25" w:rsidRPr="00A11FE0">
        <w:rPr>
          <w:rFonts w:asciiTheme="majorHAnsi" w:hAnsiTheme="majorHAnsi"/>
        </w:rPr>
        <w:t xml:space="preserve">rámcovej </w:t>
      </w:r>
      <w:r>
        <w:rPr>
          <w:rFonts w:asciiTheme="majorHAnsi" w:hAnsiTheme="majorHAnsi"/>
        </w:rPr>
        <w:t>s</w:t>
      </w:r>
      <w:r w:rsidR="00406C25" w:rsidRPr="00A11FE0">
        <w:rPr>
          <w:rFonts w:asciiTheme="majorHAnsi" w:hAnsiTheme="majorHAnsi"/>
        </w:rPr>
        <w:t>mernice o</w:t>
      </w:r>
      <w:r w:rsidR="004E4FDE">
        <w:rPr>
          <w:rFonts w:asciiTheme="majorHAnsi" w:hAnsiTheme="majorHAnsi"/>
        </w:rPr>
        <w:t> </w:t>
      </w:r>
      <w:r w:rsidR="00406C25" w:rsidRPr="00A11FE0">
        <w:rPr>
          <w:rFonts w:asciiTheme="majorHAnsi" w:hAnsiTheme="majorHAnsi"/>
        </w:rPr>
        <w:t>odpade</w:t>
      </w:r>
      <w:r w:rsidR="00406C25" w:rsidRPr="00A11FE0">
        <w:rPr>
          <w:rFonts w:asciiTheme="majorHAnsi" w:hAnsiTheme="majorHAnsi"/>
          <w:vertAlign w:val="superscript"/>
        </w:rPr>
        <w:footnoteReference w:id="198"/>
      </w:r>
      <w:r w:rsidR="00406C25" w:rsidRPr="00A11FE0">
        <w:rPr>
          <w:rFonts w:asciiTheme="majorHAnsi" w:hAnsiTheme="majorHAnsi"/>
        </w:rPr>
        <w:t xml:space="preserve"> </w:t>
      </w:r>
      <w:r>
        <w:rPr>
          <w:rFonts w:asciiTheme="majorHAnsi" w:hAnsiTheme="majorHAnsi"/>
        </w:rPr>
        <w:t>a </w:t>
      </w:r>
      <w:r w:rsidR="00406C25" w:rsidRPr="00A11FE0">
        <w:rPr>
          <w:rFonts w:asciiTheme="majorHAnsi" w:hAnsiTheme="majorHAnsi"/>
        </w:rPr>
        <w:t xml:space="preserve">zo </w:t>
      </w:r>
      <w:r>
        <w:rPr>
          <w:rFonts w:asciiTheme="majorHAnsi" w:hAnsiTheme="majorHAnsi"/>
        </w:rPr>
        <w:t>s</w:t>
      </w:r>
      <w:r w:rsidR="00406C25" w:rsidRPr="00A11FE0">
        <w:rPr>
          <w:rFonts w:asciiTheme="majorHAnsi" w:hAnsiTheme="majorHAnsi"/>
        </w:rPr>
        <w:t>mernice o</w:t>
      </w:r>
      <w:r w:rsidR="00983072">
        <w:rPr>
          <w:rFonts w:asciiTheme="majorHAnsi" w:hAnsiTheme="majorHAnsi"/>
        </w:rPr>
        <w:t> </w:t>
      </w:r>
      <w:r>
        <w:rPr>
          <w:rFonts w:asciiTheme="majorHAnsi" w:hAnsiTheme="majorHAnsi"/>
        </w:rPr>
        <w:t>s</w:t>
      </w:r>
      <w:r w:rsidR="00406C25" w:rsidRPr="00A11FE0">
        <w:rPr>
          <w:rFonts w:asciiTheme="majorHAnsi" w:hAnsiTheme="majorHAnsi"/>
        </w:rPr>
        <w:t>kládkach odpadov</w:t>
      </w:r>
      <w:r w:rsidR="00406C25" w:rsidRPr="00A11FE0">
        <w:rPr>
          <w:rFonts w:asciiTheme="majorHAnsi" w:hAnsiTheme="majorHAnsi"/>
          <w:vertAlign w:val="superscript"/>
        </w:rPr>
        <w:footnoteReference w:id="199"/>
      </w:r>
      <w:r w:rsidR="00406C25" w:rsidRPr="00A11FE0">
        <w:rPr>
          <w:rFonts w:asciiTheme="majorHAnsi" w:hAnsiTheme="majorHAnsi"/>
        </w:rPr>
        <w:t>. V</w:t>
      </w:r>
      <w:r w:rsidR="00DC4453">
        <w:rPr>
          <w:rFonts w:asciiTheme="majorHAnsi" w:hAnsiTheme="majorHAnsi"/>
        </w:rPr>
        <w:t> </w:t>
      </w:r>
      <w:r w:rsidR="00406C25" w:rsidRPr="00A11FE0">
        <w:rPr>
          <w:rFonts w:asciiTheme="majorHAnsi" w:hAnsiTheme="majorHAnsi"/>
        </w:rPr>
        <w:t>zmysle</w:t>
      </w:r>
      <w:r w:rsidR="00DC4453">
        <w:rPr>
          <w:rFonts w:asciiTheme="majorHAnsi" w:hAnsiTheme="majorHAnsi"/>
        </w:rPr>
        <w:t xml:space="preserve"> </w:t>
      </w:r>
      <w:r w:rsidR="00406C25" w:rsidRPr="00A11FE0">
        <w:rPr>
          <w:rFonts w:asciiTheme="majorHAnsi" w:hAnsiTheme="majorHAnsi"/>
        </w:rPr>
        <w:t>požiadaviek rámcovej</w:t>
      </w:r>
      <w:r w:rsidR="007F2C41" w:rsidRPr="00A11FE0">
        <w:rPr>
          <w:rFonts w:asciiTheme="majorHAnsi" w:hAnsiTheme="majorHAnsi"/>
        </w:rPr>
        <w:t xml:space="preserve"> </w:t>
      </w:r>
      <w:r>
        <w:rPr>
          <w:rFonts w:asciiTheme="majorHAnsi" w:hAnsiTheme="majorHAnsi"/>
        </w:rPr>
        <w:t>s</w:t>
      </w:r>
      <w:r w:rsidR="00406C25" w:rsidRPr="00A11FE0">
        <w:rPr>
          <w:rFonts w:asciiTheme="majorHAnsi" w:hAnsiTheme="majorHAnsi"/>
        </w:rPr>
        <w:t>mernice o</w:t>
      </w:r>
      <w:r w:rsidR="00983072">
        <w:rPr>
          <w:rFonts w:asciiTheme="majorHAnsi" w:hAnsiTheme="majorHAnsi"/>
        </w:rPr>
        <w:t> </w:t>
      </w:r>
      <w:r w:rsidR="00406C25" w:rsidRPr="00A11FE0">
        <w:rPr>
          <w:rFonts w:asciiTheme="majorHAnsi" w:hAnsiTheme="majorHAnsi"/>
        </w:rPr>
        <w:t xml:space="preserve">odpade </w:t>
      </w:r>
      <w:r>
        <w:rPr>
          <w:rFonts w:asciiTheme="majorHAnsi" w:hAnsiTheme="majorHAnsi"/>
        </w:rPr>
        <w:t>s</w:t>
      </w:r>
      <w:r w:rsidR="00406C25" w:rsidRPr="00A11FE0">
        <w:rPr>
          <w:rFonts w:asciiTheme="majorHAnsi" w:hAnsiTheme="majorHAnsi"/>
        </w:rPr>
        <w:t xml:space="preserve">i </w:t>
      </w:r>
      <w:r>
        <w:rPr>
          <w:rFonts w:asciiTheme="majorHAnsi" w:hAnsiTheme="majorHAnsi"/>
        </w:rPr>
        <w:t>S</w:t>
      </w:r>
      <w:r w:rsidR="00406C25" w:rsidRPr="00A11FE0">
        <w:rPr>
          <w:rFonts w:asciiTheme="majorHAnsi" w:hAnsiTheme="majorHAnsi"/>
        </w:rPr>
        <w:t xml:space="preserve">R </w:t>
      </w:r>
      <w:r>
        <w:rPr>
          <w:rFonts w:asciiTheme="majorHAnsi" w:hAnsiTheme="majorHAnsi"/>
        </w:rPr>
        <w:t>s</w:t>
      </w:r>
      <w:r w:rsidR="00406C25" w:rsidRPr="00A11FE0">
        <w:rPr>
          <w:rFonts w:asciiTheme="majorHAnsi" w:hAnsiTheme="majorHAnsi"/>
        </w:rPr>
        <w:t>tanovila</w:t>
      </w:r>
      <w:r w:rsidR="006A7C8F">
        <w:rPr>
          <w:rFonts w:asciiTheme="majorHAnsi" w:hAnsiTheme="majorHAnsi"/>
        </w:rPr>
        <w:t xml:space="preserve"> ako</w:t>
      </w:r>
      <w:r w:rsidR="00406C25" w:rsidRPr="00A11FE0">
        <w:rPr>
          <w:rFonts w:asciiTheme="majorHAnsi" w:hAnsiTheme="majorHAnsi"/>
        </w:rPr>
        <w:t xml:space="preserve"> cieľ do roku 2015 zvýšiť prípravu na opätovné použitie </w:t>
      </w:r>
      <w:r>
        <w:rPr>
          <w:rFonts w:asciiTheme="majorHAnsi" w:hAnsiTheme="majorHAnsi"/>
        </w:rPr>
        <w:t>a </w:t>
      </w:r>
      <w:r w:rsidR="00406C25" w:rsidRPr="00A11FE0">
        <w:rPr>
          <w:rFonts w:asciiTheme="majorHAnsi" w:hAnsiTheme="majorHAnsi"/>
        </w:rPr>
        <w:t>recykláciu</w:t>
      </w:r>
      <w:r w:rsidR="007F2C41" w:rsidRPr="00A11FE0">
        <w:rPr>
          <w:rFonts w:asciiTheme="majorHAnsi" w:hAnsiTheme="majorHAnsi"/>
        </w:rPr>
        <w:t xml:space="preserve"> </w:t>
      </w:r>
      <w:r w:rsidR="00406C25" w:rsidRPr="00A11FE0">
        <w:rPr>
          <w:rFonts w:asciiTheme="majorHAnsi" w:hAnsiTheme="majorHAnsi"/>
        </w:rPr>
        <w:t>odpadu z</w:t>
      </w:r>
      <w:r w:rsidR="00983072">
        <w:rPr>
          <w:rFonts w:asciiTheme="majorHAnsi" w:hAnsiTheme="majorHAnsi"/>
        </w:rPr>
        <w:t> </w:t>
      </w:r>
      <w:r w:rsidR="00406C25" w:rsidRPr="00A11FE0">
        <w:rPr>
          <w:rFonts w:asciiTheme="majorHAnsi" w:hAnsiTheme="majorHAnsi"/>
        </w:rPr>
        <w:t>domácností na najmenej 35 % hmotnosti vzniknutých odpadov. Podob</w:t>
      </w:r>
      <w:r w:rsidR="00797B5C" w:rsidRPr="00A11FE0">
        <w:rPr>
          <w:rFonts w:asciiTheme="majorHAnsi" w:hAnsiTheme="majorHAnsi"/>
        </w:rPr>
        <w:t>n</w:t>
      </w:r>
      <w:r w:rsidR="00406C25" w:rsidRPr="00A11FE0">
        <w:rPr>
          <w:rFonts w:asciiTheme="majorHAnsi" w:hAnsiTheme="majorHAnsi"/>
        </w:rPr>
        <w:t xml:space="preserve">e náročné bude </w:t>
      </w:r>
      <w:r>
        <w:rPr>
          <w:rFonts w:asciiTheme="majorHAnsi" w:hAnsiTheme="majorHAnsi"/>
        </w:rPr>
        <w:t>s</w:t>
      </w:r>
      <w:r w:rsidR="00406C25" w:rsidRPr="00A11FE0">
        <w:rPr>
          <w:rFonts w:asciiTheme="majorHAnsi" w:hAnsiTheme="majorHAnsi"/>
        </w:rPr>
        <w:t xml:space="preserve">plnenie požiadaviek </w:t>
      </w:r>
      <w:r>
        <w:rPr>
          <w:rFonts w:asciiTheme="majorHAnsi" w:hAnsiTheme="majorHAnsi"/>
        </w:rPr>
        <w:t>s</w:t>
      </w:r>
      <w:r w:rsidR="00406C25" w:rsidRPr="00A11FE0">
        <w:rPr>
          <w:rFonts w:asciiTheme="majorHAnsi" w:hAnsiTheme="majorHAnsi"/>
        </w:rPr>
        <w:t>mernice o</w:t>
      </w:r>
      <w:r w:rsidR="00983072">
        <w:rPr>
          <w:rFonts w:asciiTheme="majorHAnsi" w:hAnsiTheme="majorHAnsi"/>
        </w:rPr>
        <w:t> </w:t>
      </w:r>
      <w:r>
        <w:rPr>
          <w:rFonts w:asciiTheme="majorHAnsi" w:hAnsiTheme="majorHAnsi"/>
        </w:rPr>
        <w:t>s</w:t>
      </w:r>
      <w:r w:rsidR="00406C25" w:rsidRPr="00A11FE0">
        <w:rPr>
          <w:rFonts w:asciiTheme="majorHAnsi" w:hAnsiTheme="majorHAnsi"/>
        </w:rPr>
        <w:t xml:space="preserve">kládkach odpadov týkajúcich </w:t>
      </w:r>
      <w:r>
        <w:rPr>
          <w:rFonts w:asciiTheme="majorHAnsi" w:hAnsiTheme="majorHAnsi"/>
        </w:rPr>
        <w:t>s</w:t>
      </w:r>
      <w:r w:rsidR="00406C25" w:rsidRPr="00A11FE0">
        <w:rPr>
          <w:rFonts w:asciiTheme="majorHAnsi" w:hAnsiTheme="majorHAnsi"/>
        </w:rPr>
        <w:t>a zníženia množstv</w:t>
      </w:r>
      <w:r w:rsidR="00797B5C" w:rsidRPr="00A11FE0">
        <w:rPr>
          <w:rFonts w:asciiTheme="majorHAnsi" w:hAnsiTheme="majorHAnsi"/>
        </w:rPr>
        <w:t>a</w:t>
      </w:r>
      <w:r w:rsidR="00406C25" w:rsidRPr="00A11FE0">
        <w:rPr>
          <w:rFonts w:asciiTheme="majorHAnsi" w:hAnsiTheme="majorHAnsi"/>
        </w:rPr>
        <w:t xml:space="preserve"> </w:t>
      </w:r>
      <w:r>
        <w:rPr>
          <w:rFonts w:asciiTheme="majorHAnsi" w:hAnsiTheme="majorHAnsi"/>
        </w:rPr>
        <w:t>s</w:t>
      </w:r>
      <w:r w:rsidR="00406C25" w:rsidRPr="00A11FE0">
        <w:rPr>
          <w:rFonts w:asciiTheme="majorHAnsi" w:hAnsiTheme="majorHAnsi"/>
        </w:rPr>
        <w:t xml:space="preserve">kládkovaných biologicky rozložiteľných </w:t>
      </w:r>
      <w:r>
        <w:rPr>
          <w:rFonts w:asciiTheme="majorHAnsi" w:hAnsiTheme="majorHAnsi"/>
        </w:rPr>
        <w:t>k</w:t>
      </w:r>
      <w:r w:rsidR="00406C25" w:rsidRPr="00A11FE0">
        <w:rPr>
          <w:rFonts w:asciiTheme="majorHAnsi" w:hAnsiTheme="majorHAnsi"/>
        </w:rPr>
        <w:t>omunálnych odpadov.</w:t>
      </w:r>
      <w:r w:rsidR="00B05739">
        <w:rPr>
          <w:rFonts w:asciiTheme="majorHAnsi" w:hAnsiTheme="majorHAnsi"/>
        </w:rPr>
        <w:t xml:space="preserve"> </w:t>
      </w:r>
      <w:r w:rsidR="00D66ACF" w:rsidRPr="00D66ACF">
        <w:rPr>
          <w:rFonts w:asciiTheme="majorHAnsi" w:hAnsiTheme="majorHAnsi"/>
        </w:rPr>
        <w:t>V oblasti odpadového hospodárstva budú v súlade s hlavnými odporúčaniami uvedenými v dokumente „Roadmap for Slovakia</w:t>
      </w:r>
      <w:r w:rsidR="00D66ACF">
        <w:rPr>
          <w:rFonts w:asciiTheme="majorHAnsi" w:hAnsiTheme="majorHAnsi"/>
        </w:rPr>
        <w:t>“</w:t>
      </w:r>
      <w:r w:rsidR="00D66ACF">
        <w:rPr>
          <w:rStyle w:val="Odkaznapoznmkupodiarou"/>
          <w:rFonts w:asciiTheme="majorHAnsi" w:hAnsiTheme="majorHAnsi"/>
        </w:rPr>
        <w:footnoteReference w:id="200"/>
      </w:r>
      <w:r w:rsidR="00D66ACF">
        <w:rPr>
          <w:rFonts w:asciiTheme="majorHAnsi" w:hAnsiTheme="majorHAnsi"/>
        </w:rPr>
        <w:t xml:space="preserve"> podporované </w:t>
      </w:r>
      <w:r w:rsidR="00D66ACF" w:rsidRPr="00320856">
        <w:rPr>
          <w:rFonts w:asciiTheme="majorHAnsi" w:hAnsiTheme="majorHAnsi"/>
        </w:rPr>
        <w:t>akti</w:t>
      </w:r>
      <w:r w:rsidR="00D66ACF">
        <w:rPr>
          <w:rFonts w:asciiTheme="majorHAnsi" w:hAnsiTheme="majorHAnsi"/>
        </w:rPr>
        <w:t>vity</w:t>
      </w:r>
      <w:r w:rsidR="00D66ACF" w:rsidRPr="00320856">
        <w:rPr>
          <w:rFonts w:asciiTheme="majorHAnsi" w:hAnsiTheme="majorHAnsi"/>
        </w:rPr>
        <w:t xml:space="preserve"> zamerané na predchádzani</w:t>
      </w:r>
      <w:r w:rsidR="00D66ACF">
        <w:rPr>
          <w:rFonts w:asciiTheme="majorHAnsi" w:hAnsiTheme="majorHAnsi"/>
        </w:rPr>
        <w:t>e</w:t>
      </w:r>
      <w:r w:rsidR="00D66ACF" w:rsidRPr="00320856">
        <w:rPr>
          <w:rFonts w:asciiTheme="majorHAnsi" w:hAnsiTheme="majorHAnsi"/>
        </w:rPr>
        <w:t xml:space="preserve"> vzniku biologicky rozložiteľných komunálnych odpadov, podporu triedeného zberu komunálnych odpadov</w:t>
      </w:r>
      <w:r w:rsidR="00293F43">
        <w:rPr>
          <w:rFonts w:asciiTheme="majorHAnsi" w:hAnsiTheme="majorHAnsi"/>
        </w:rPr>
        <w:t>,</w:t>
      </w:r>
      <w:r w:rsidR="00D66ACF" w:rsidRPr="00320856">
        <w:rPr>
          <w:rFonts w:asciiTheme="majorHAnsi" w:hAnsiTheme="majorHAnsi"/>
        </w:rPr>
        <w:t xml:space="preserve"> ako aj podporu zhodnocovania so zameraním na recykláciu odpadov, </w:t>
      </w:r>
      <w:r w:rsidR="00D66ACF">
        <w:rPr>
          <w:rFonts w:asciiTheme="majorHAnsi" w:hAnsiTheme="majorHAnsi"/>
        </w:rPr>
        <w:t xml:space="preserve">a to </w:t>
      </w:r>
      <w:r w:rsidR="00D66ACF" w:rsidRPr="00320856">
        <w:rPr>
          <w:rFonts w:asciiTheme="majorHAnsi" w:hAnsiTheme="majorHAnsi"/>
        </w:rPr>
        <w:t>s cieľom znížiť množstvo komunálneho odpadu zneškodňovaného skládkovaním</w:t>
      </w:r>
      <w:r w:rsidR="00D66ACF">
        <w:rPr>
          <w:rFonts w:asciiTheme="majorHAnsi" w:hAnsiTheme="majorHAnsi"/>
        </w:rPr>
        <w:t>.</w:t>
      </w:r>
    </w:p>
    <w:p w:rsidR="00406C25" w:rsidRDefault="00406C25" w:rsidP="00406C25">
      <w:pPr>
        <w:rPr>
          <w:rFonts w:asciiTheme="majorHAnsi" w:hAnsiTheme="majorHAnsi"/>
        </w:rPr>
      </w:pPr>
      <w:r w:rsidRPr="00A11FE0">
        <w:rPr>
          <w:rFonts w:asciiTheme="majorHAnsi" w:hAnsiTheme="majorHAnsi"/>
        </w:rPr>
        <w:t>Hierarchia odpadového hospodárstva definovaná v</w:t>
      </w:r>
      <w:r w:rsidR="00983072">
        <w:rPr>
          <w:rFonts w:asciiTheme="majorHAnsi" w:hAnsiTheme="majorHAnsi"/>
        </w:rPr>
        <w:t> </w:t>
      </w:r>
      <w:r w:rsidRPr="00A11FE0">
        <w:rPr>
          <w:rFonts w:asciiTheme="majorHAnsi" w:hAnsiTheme="majorHAnsi"/>
        </w:rPr>
        <w:t xml:space="preserve">rámcovej </w:t>
      </w:r>
      <w:r w:rsidR="00BD5FD5">
        <w:rPr>
          <w:rFonts w:asciiTheme="majorHAnsi" w:hAnsiTheme="majorHAnsi"/>
        </w:rPr>
        <w:t>s</w:t>
      </w:r>
      <w:r w:rsidRPr="00A11FE0">
        <w:rPr>
          <w:rFonts w:asciiTheme="majorHAnsi" w:hAnsiTheme="majorHAnsi"/>
        </w:rPr>
        <w:t>mernici o</w:t>
      </w:r>
      <w:r w:rsidR="00983072">
        <w:rPr>
          <w:rFonts w:asciiTheme="majorHAnsi" w:hAnsiTheme="majorHAnsi"/>
        </w:rPr>
        <w:t> </w:t>
      </w:r>
      <w:r w:rsidRPr="00A11FE0">
        <w:rPr>
          <w:rFonts w:asciiTheme="majorHAnsi" w:hAnsiTheme="majorHAnsi"/>
        </w:rPr>
        <w:t xml:space="preserve">odpade je </w:t>
      </w:r>
      <w:r w:rsidR="00BD5FD5">
        <w:rPr>
          <w:rFonts w:asciiTheme="majorHAnsi" w:hAnsiTheme="majorHAnsi"/>
        </w:rPr>
        <w:t>a</w:t>
      </w:r>
      <w:r w:rsidRPr="00A11FE0">
        <w:rPr>
          <w:rFonts w:asciiTheme="majorHAnsi" w:hAnsiTheme="majorHAnsi"/>
        </w:rPr>
        <w:t xml:space="preserve">plikovaná do právneho poriadku </w:t>
      </w:r>
      <w:r w:rsidR="00BD5FD5">
        <w:rPr>
          <w:rFonts w:asciiTheme="majorHAnsi" w:hAnsiTheme="majorHAnsi"/>
        </w:rPr>
        <w:t>S</w:t>
      </w:r>
      <w:r w:rsidRPr="00A11FE0">
        <w:rPr>
          <w:rFonts w:asciiTheme="majorHAnsi" w:hAnsiTheme="majorHAnsi"/>
        </w:rPr>
        <w:t>R zákonom o</w:t>
      </w:r>
      <w:r w:rsidR="00983072">
        <w:rPr>
          <w:rFonts w:asciiTheme="majorHAnsi" w:hAnsiTheme="majorHAnsi"/>
        </w:rPr>
        <w:t> </w:t>
      </w:r>
      <w:r w:rsidRPr="00A11FE0">
        <w:rPr>
          <w:rFonts w:asciiTheme="majorHAnsi" w:hAnsiTheme="majorHAnsi"/>
        </w:rPr>
        <w:t>odpadoch</w:t>
      </w:r>
      <w:r w:rsidRPr="00A11FE0">
        <w:rPr>
          <w:rFonts w:asciiTheme="majorHAnsi" w:hAnsiTheme="majorHAnsi"/>
          <w:vertAlign w:val="superscript"/>
        </w:rPr>
        <w:footnoteReference w:id="201"/>
      </w:r>
      <w:r w:rsidRPr="00A11FE0">
        <w:rPr>
          <w:rFonts w:asciiTheme="majorHAnsi" w:hAnsiTheme="majorHAnsi"/>
        </w:rPr>
        <w:t xml:space="preserve">. Predchádzanie vzniku odpadov, zvýšenie miery opätovného použitia </w:t>
      </w:r>
      <w:r w:rsidR="00BD5FD5">
        <w:rPr>
          <w:rFonts w:asciiTheme="majorHAnsi" w:hAnsiTheme="majorHAnsi"/>
        </w:rPr>
        <w:t>a</w:t>
      </w:r>
      <w:r w:rsidR="007F2C41" w:rsidRPr="00A11FE0">
        <w:rPr>
          <w:rFonts w:asciiTheme="majorHAnsi" w:hAnsiTheme="majorHAnsi"/>
        </w:rPr>
        <w:t> </w:t>
      </w:r>
      <w:r w:rsidRPr="00A11FE0">
        <w:rPr>
          <w:rFonts w:asciiTheme="majorHAnsi" w:hAnsiTheme="majorHAnsi"/>
        </w:rPr>
        <w:t>recyklácie</w:t>
      </w:r>
      <w:r w:rsidR="007F2C41" w:rsidRPr="00A11FE0">
        <w:rPr>
          <w:rFonts w:asciiTheme="majorHAnsi" w:hAnsiTheme="majorHAnsi"/>
        </w:rPr>
        <w:t xml:space="preserve"> </w:t>
      </w:r>
      <w:r w:rsidRPr="00A11FE0">
        <w:rPr>
          <w:rFonts w:asciiTheme="majorHAnsi" w:hAnsiTheme="majorHAnsi"/>
        </w:rPr>
        <w:t xml:space="preserve">odpadov prispieva </w:t>
      </w:r>
      <w:r w:rsidR="00BD5FD5">
        <w:rPr>
          <w:rFonts w:asciiTheme="majorHAnsi" w:hAnsiTheme="majorHAnsi"/>
        </w:rPr>
        <w:t>k </w:t>
      </w:r>
      <w:r w:rsidRPr="00A11FE0">
        <w:rPr>
          <w:rFonts w:asciiTheme="majorHAnsi" w:hAnsiTheme="majorHAnsi"/>
        </w:rPr>
        <w:t xml:space="preserve">efektívnemu využívaniu </w:t>
      </w:r>
      <w:r w:rsidR="00BD5FD5">
        <w:rPr>
          <w:rFonts w:asciiTheme="majorHAnsi" w:hAnsiTheme="majorHAnsi"/>
        </w:rPr>
        <w:t>a </w:t>
      </w:r>
      <w:r w:rsidRPr="00A11FE0">
        <w:rPr>
          <w:rFonts w:asciiTheme="majorHAnsi" w:hAnsiTheme="majorHAnsi"/>
        </w:rPr>
        <w:t>šetreniu prírodných zdrojov</w:t>
      </w:r>
      <w:r w:rsidR="00543E1C">
        <w:rPr>
          <w:rFonts w:asciiTheme="majorHAnsi" w:hAnsiTheme="majorHAnsi"/>
        </w:rPr>
        <w:t>,</w:t>
      </w:r>
      <w:r w:rsidRPr="00A11FE0">
        <w:rPr>
          <w:rFonts w:asciiTheme="majorHAnsi" w:hAnsiTheme="majorHAnsi"/>
        </w:rPr>
        <w:t xml:space="preserve"> v</w:t>
      </w:r>
      <w:r w:rsidR="00983072">
        <w:rPr>
          <w:rFonts w:asciiTheme="majorHAnsi" w:hAnsiTheme="majorHAnsi"/>
        </w:rPr>
        <w:t> </w:t>
      </w:r>
      <w:r w:rsidR="00BD5FD5">
        <w:rPr>
          <w:rFonts w:asciiTheme="majorHAnsi" w:hAnsiTheme="majorHAnsi"/>
        </w:rPr>
        <w:t>s</w:t>
      </w:r>
      <w:r w:rsidRPr="00A11FE0">
        <w:rPr>
          <w:rFonts w:asciiTheme="majorHAnsi" w:hAnsiTheme="majorHAnsi"/>
        </w:rPr>
        <w:t>úlade</w:t>
      </w:r>
      <w:r w:rsidR="00EA7608">
        <w:rPr>
          <w:rFonts w:asciiTheme="majorHAnsi" w:hAnsiTheme="majorHAnsi"/>
        </w:rPr>
        <w:t xml:space="preserve"> </w:t>
      </w:r>
      <w:r w:rsidR="00BD5FD5">
        <w:rPr>
          <w:rFonts w:asciiTheme="majorHAnsi" w:hAnsiTheme="majorHAnsi"/>
        </w:rPr>
        <w:t>s </w:t>
      </w:r>
      <w:r w:rsidRPr="00A11FE0">
        <w:rPr>
          <w:rFonts w:asciiTheme="majorHAnsi" w:hAnsiTheme="majorHAnsi"/>
        </w:rPr>
        <w:t xml:space="preserve">cieľmi </w:t>
      </w:r>
      <w:r w:rsidR="00BD5FD5">
        <w:rPr>
          <w:rFonts w:asciiTheme="majorHAnsi" w:hAnsiTheme="majorHAnsi"/>
        </w:rPr>
        <w:t>s</w:t>
      </w:r>
      <w:r w:rsidRPr="00A11FE0">
        <w:rPr>
          <w:rFonts w:asciiTheme="majorHAnsi" w:hAnsiTheme="majorHAnsi"/>
        </w:rPr>
        <w:t xml:space="preserve">tanovenými v dokumente „Plán pre </w:t>
      </w:r>
      <w:r w:rsidR="00992762">
        <w:rPr>
          <w:rFonts w:asciiTheme="majorHAnsi" w:hAnsiTheme="majorHAnsi"/>
        </w:rPr>
        <w:t>E</w:t>
      </w:r>
      <w:r w:rsidR="006A7C8F">
        <w:rPr>
          <w:rFonts w:asciiTheme="majorHAnsi" w:hAnsiTheme="majorHAnsi"/>
        </w:rPr>
        <w:t>ur</w:t>
      </w:r>
      <w:r w:rsidRPr="00A11FE0">
        <w:rPr>
          <w:rFonts w:asciiTheme="majorHAnsi" w:hAnsiTheme="majorHAnsi"/>
        </w:rPr>
        <w:t>ópu efektívne využívajúcu prírodné zdroje”</w:t>
      </w:r>
      <w:r w:rsidRPr="00A11FE0">
        <w:rPr>
          <w:rFonts w:asciiTheme="majorHAnsi" w:hAnsiTheme="majorHAnsi"/>
          <w:vertAlign w:val="superscript"/>
        </w:rPr>
        <w:footnoteReference w:id="202"/>
      </w:r>
      <w:r w:rsidRPr="00A11FE0">
        <w:rPr>
          <w:rFonts w:asciiTheme="majorHAnsi" w:hAnsiTheme="majorHAnsi"/>
        </w:rPr>
        <w:t>.</w:t>
      </w:r>
    </w:p>
    <w:p w:rsidR="00E25983" w:rsidRPr="00A11FE0" w:rsidRDefault="00E25983" w:rsidP="00406C25">
      <w:pPr>
        <w:rPr>
          <w:rFonts w:asciiTheme="majorHAnsi" w:hAnsiTheme="majorHAnsi"/>
        </w:rPr>
      </w:pPr>
      <w:r w:rsidRPr="00E25983">
        <w:rPr>
          <w:rFonts w:asciiTheme="majorHAnsi" w:hAnsiTheme="majorHAnsi"/>
        </w:rPr>
        <w:t>V súlade s rozvojom biohospodárstva v zmysle oznámenia KOM(2012)60 sa bude podporovať využívanie odpadu a zvyškov z poľnohospodárskej a lesnej prvovýroby</w:t>
      </w:r>
      <w:r w:rsidR="00293F43">
        <w:rPr>
          <w:rFonts w:asciiTheme="majorHAnsi" w:hAnsiTheme="majorHAnsi"/>
        </w:rPr>
        <w:t>,</w:t>
      </w:r>
      <w:r w:rsidRPr="00E25983">
        <w:rPr>
          <w:rFonts w:asciiTheme="majorHAnsi" w:hAnsiTheme="majorHAnsi"/>
        </w:rPr>
        <w:t xml:space="preserve"> ako alternatívnych zdrojov energie</w:t>
      </w:r>
      <w:r>
        <w:rPr>
          <w:rFonts w:asciiTheme="majorHAnsi" w:hAnsiTheme="majorHAnsi"/>
        </w:rPr>
        <w:t>.</w:t>
      </w:r>
    </w:p>
    <w:p w:rsidR="00406C25" w:rsidRPr="00A11FE0" w:rsidRDefault="00406C25"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Nedostatočná ochrana biodiverzity</w:t>
      </w:r>
    </w:p>
    <w:p w:rsidR="00CA4B4E" w:rsidRDefault="00CA4B4E" w:rsidP="00CA4B4E">
      <w:pPr>
        <w:rPr>
          <w:rFonts w:asciiTheme="majorHAnsi" w:hAnsiTheme="majorHAnsi"/>
        </w:rPr>
      </w:pPr>
      <w:r>
        <w:rPr>
          <w:rFonts w:asciiTheme="majorHAnsi" w:hAnsiTheme="majorHAnsi"/>
        </w:rPr>
        <w:t>B</w:t>
      </w:r>
      <w:r w:rsidR="00406C25" w:rsidRPr="00A11FE0">
        <w:rPr>
          <w:rFonts w:asciiTheme="majorHAnsi" w:hAnsiTheme="majorHAnsi"/>
        </w:rPr>
        <w:t xml:space="preserve">iodiverzita je nevyhnutná pre existenciu ľudského života </w:t>
      </w:r>
      <w:r w:rsidR="00BD5FD5">
        <w:rPr>
          <w:rFonts w:asciiTheme="majorHAnsi" w:hAnsiTheme="majorHAnsi"/>
        </w:rPr>
        <w:t>a </w:t>
      </w:r>
      <w:r w:rsidR="00406C25" w:rsidRPr="00A11FE0">
        <w:rPr>
          <w:rFonts w:asciiTheme="majorHAnsi" w:hAnsiTheme="majorHAnsi"/>
        </w:rPr>
        <w:t xml:space="preserve">dobré životné podmienky </w:t>
      </w:r>
      <w:r w:rsidR="00BD5FD5">
        <w:rPr>
          <w:rFonts w:asciiTheme="majorHAnsi" w:hAnsiTheme="majorHAnsi"/>
        </w:rPr>
        <w:t>s</w:t>
      </w:r>
      <w:r w:rsidR="00406C25" w:rsidRPr="00A11FE0">
        <w:rPr>
          <w:rFonts w:asciiTheme="majorHAnsi" w:hAnsiTheme="majorHAnsi"/>
        </w:rPr>
        <w:t>poločnost</w:t>
      </w:r>
      <w:r w:rsidR="00CF5EF6" w:rsidRPr="00A11FE0">
        <w:rPr>
          <w:rFonts w:asciiTheme="majorHAnsi" w:hAnsiTheme="majorHAnsi"/>
        </w:rPr>
        <w:t>i</w:t>
      </w:r>
      <w:r w:rsidR="00406C25" w:rsidRPr="00A11FE0">
        <w:rPr>
          <w:rFonts w:asciiTheme="majorHAnsi" w:hAnsiTheme="majorHAnsi"/>
        </w:rPr>
        <w:t xml:space="preserve">, </w:t>
      </w:r>
      <w:r w:rsidR="00BD5FD5">
        <w:rPr>
          <w:rFonts w:asciiTheme="majorHAnsi" w:hAnsiTheme="majorHAnsi"/>
        </w:rPr>
        <w:t>a </w:t>
      </w:r>
      <w:r w:rsidR="00406C25" w:rsidRPr="00A11FE0">
        <w:rPr>
          <w:rFonts w:asciiTheme="majorHAnsi" w:hAnsiTheme="majorHAnsi"/>
        </w:rPr>
        <w:t xml:space="preserve">to priamo </w:t>
      </w:r>
      <w:r w:rsidR="00BD5FD5">
        <w:rPr>
          <w:rFonts w:asciiTheme="majorHAnsi" w:hAnsiTheme="majorHAnsi"/>
        </w:rPr>
        <w:t>a</w:t>
      </w:r>
      <w:r w:rsidR="00406C25" w:rsidRPr="00A11FE0">
        <w:rPr>
          <w:rFonts w:asciiTheme="majorHAnsi" w:hAnsiTheme="majorHAnsi"/>
        </w:rPr>
        <w:t xml:space="preserve">j nepriamo prostredníctvom ekosystémových </w:t>
      </w:r>
      <w:r w:rsidR="00BD5FD5">
        <w:rPr>
          <w:rFonts w:asciiTheme="majorHAnsi" w:hAnsiTheme="majorHAnsi"/>
        </w:rPr>
        <w:t>s</w:t>
      </w:r>
      <w:r w:rsidR="00406C25" w:rsidRPr="00A11FE0">
        <w:rPr>
          <w:rFonts w:asciiTheme="majorHAnsi" w:hAnsiTheme="majorHAnsi"/>
        </w:rPr>
        <w:t xml:space="preserve">lužieb, </w:t>
      </w:r>
      <w:r w:rsidR="00BD5FD5">
        <w:rPr>
          <w:rFonts w:asciiTheme="majorHAnsi" w:hAnsiTheme="majorHAnsi"/>
        </w:rPr>
        <w:t>k</w:t>
      </w:r>
      <w:r w:rsidR="00406C25" w:rsidRPr="00A11FE0">
        <w:rPr>
          <w:rFonts w:asciiTheme="majorHAnsi" w:hAnsiTheme="majorHAnsi"/>
        </w:rPr>
        <w:t>toré poskytuje</w:t>
      </w:r>
      <w:r w:rsidR="00406C25" w:rsidRPr="00A11FE0">
        <w:rPr>
          <w:rFonts w:asciiTheme="majorHAnsi" w:hAnsiTheme="majorHAnsi"/>
          <w:vertAlign w:val="superscript"/>
        </w:rPr>
        <w:footnoteReference w:id="203"/>
      </w:r>
      <w:r w:rsidR="00406C25" w:rsidRPr="00A11FE0">
        <w:rPr>
          <w:rFonts w:asciiTheme="majorHAnsi" w:hAnsiTheme="majorHAnsi"/>
        </w:rPr>
        <w:t xml:space="preserve">. </w:t>
      </w:r>
      <w:r>
        <w:rPr>
          <w:rFonts w:asciiTheme="majorHAnsi" w:hAnsiTheme="majorHAnsi"/>
        </w:rPr>
        <w:t>V </w:t>
      </w:r>
      <w:r w:rsidR="00BD5FD5">
        <w:rPr>
          <w:rFonts w:asciiTheme="majorHAnsi" w:hAnsiTheme="majorHAnsi"/>
        </w:rPr>
        <w:t>s</w:t>
      </w:r>
      <w:r>
        <w:rPr>
          <w:rFonts w:asciiTheme="majorHAnsi" w:hAnsiTheme="majorHAnsi"/>
        </w:rPr>
        <w:t xml:space="preserve">úvislosti </w:t>
      </w:r>
      <w:r w:rsidR="00BD5FD5">
        <w:rPr>
          <w:rFonts w:asciiTheme="majorHAnsi" w:hAnsiTheme="majorHAnsi"/>
        </w:rPr>
        <w:lastRenderedPageBreak/>
        <w:t>s </w:t>
      </w:r>
      <w:r>
        <w:rPr>
          <w:rFonts w:asciiTheme="majorHAnsi" w:hAnsiTheme="majorHAnsi"/>
        </w:rPr>
        <w:t>ochranou prírody</w:t>
      </w:r>
      <w:r w:rsidR="00543E1C">
        <w:rPr>
          <w:rFonts w:asciiTheme="majorHAnsi" w:hAnsiTheme="majorHAnsi"/>
        </w:rPr>
        <w:t>,</w:t>
      </w:r>
      <w:r>
        <w:rPr>
          <w:rFonts w:asciiTheme="majorHAnsi" w:hAnsiTheme="majorHAnsi"/>
        </w:rPr>
        <w:t xml:space="preserve"> bolo na </w:t>
      </w:r>
      <w:r w:rsidR="00BD5FD5">
        <w:rPr>
          <w:rFonts w:asciiTheme="majorHAnsi" w:hAnsiTheme="majorHAnsi"/>
        </w:rPr>
        <w:t>S</w:t>
      </w:r>
      <w:r>
        <w:rPr>
          <w:rFonts w:asciiTheme="majorHAnsi" w:hAnsiTheme="majorHAnsi"/>
        </w:rPr>
        <w:t>lovensku</w:t>
      </w:r>
      <w:r w:rsidRPr="00A11FE0">
        <w:rPr>
          <w:rFonts w:asciiTheme="majorHAnsi" w:hAnsiTheme="majorHAnsi"/>
        </w:rPr>
        <w:t xml:space="preserve"> vymedzených 9 národných parkov, 14 chránených </w:t>
      </w:r>
      <w:r w:rsidR="00BD5FD5">
        <w:rPr>
          <w:rFonts w:asciiTheme="majorHAnsi" w:hAnsiTheme="majorHAnsi"/>
        </w:rPr>
        <w:t>k</w:t>
      </w:r>
      <w:r w:rsidRPr="00A11FE0">
        <w:rPr>
          <w:rFonts w:asciiTheme="majorHAnsi" w:hAnsiTheme="majorHAnsi"/>
        </w:rPr>
        <w:t xml:space="preserve">rajinných oblastí, 610 prírodných rezervácií, 166 chránených </w:t>
      </w:r>
      <w:r w:rsidR="00BD5FD5">
        <w:rPr>
          <w:rFonts w:asciiTheme="majorHAnsi" w:hAnsiTheme="majorHAnsi"/>
        </w:rPr>
        <w:t>a</w:t>
      </w:r>
      <w:r w:rsidRPr="00A11FE0">
        <w:rPr>
          <w:rFonts w:asciiTheme="majorHAnsi" w:hAnsiTheme="majorHAnsi"/>
        </w:rPr>
        <w:t xml:space="preserve">reálov </w:t>
      </w:r>
      <w:r w:rsidR="00BD5FD5">
        <w:rPr>
          <w:rFonts w:asciiTheme="majorHAnsi" w:hAnsiTheme="majorHAnsi"/>
        </w:rPr>
        <w:t>a </w:t>
      </w:r>
      <w:r w:rsidRPr="00A11FE0">
        <w:rPr>
          <w:rFonts w:asciiTheme="majorHAnsi" w:hAnsiTheme="majorHAnsi"/>
        </w:rPr>
        <w:t>vyše 300 prírodných pamiatok. Z</w:t>
      </w:r>
      <w:r w:rsidR="004468B6">
        <w:rPr>
          <w:rFonts w:asciiTheme="majorHAnsi" w:hAnsiTheme="majorHAnsi"/>
        </w:rPr>
        <w:t> </w:t>
      </w:r>
      <w:r w:rsidRPr="00A11FE0">
        <w:rPr>
          <w:rFonts w:asciiTheme="majorHAnsi" w:hAnsiTheme="majorHAnsi"/>
        </w:rPr>
        <w:t xml:space="preserve">tejto národnej </w:t>
      </w:r>
      <w:r w:rsidR="00BD5FD5">
        <w:rPr>
          <w:rFonts w:asciiTheme="majorHAnsi" w:hAnsiTheme="majorHAnsi"/>
        </w:rPr>
        <w:t>s</w:t>
      </w:r>
      <w:r w:rsidRPr="00A11FE0">
        <w:rPr>
          <w:rFonts w:asciiTheme="majorHAnsi" w:hAnsiTheme="majorHAnsi"/>
        </w:rPr>
        <w:t>iete chránených území značnú</w:t>
      </w:r>
      <w:r>
        <w:rPr>
          <w:rFonts w:asciiTheme="majorHAnsi" w:hAnsiTheme="majorHAnsi"/>
        </w:rPr>
        <w:t xml:space="preserve"> </w:t>
      </w:r>
      <w:r w:rsidRPr="00A11FE0">
        <w:rPr>
          <w:rFonts w:asciiTheme="majorHAnsi" w:hAnsiTheme="majorHAnsi"/>
        </w:rPr>
        <w:t>časť</w:t>
      </w:r>
      <w:r>
        <w:rPr>
          <w:rFonts w:asciiTheme="majorHAnsi" w:hAnsiTheme="majorHAnsi"/>
        </w:rPr>
        <w:t xml:space="preserve"> </w:t>
      </w:r>
      <w:r w:rsidRPr="00A11FE0">
        <w:rPr>
          <w:rFonts w:asciiTheme="majorHAnsi" w:hAnsiTheme="majorHAnsi"/>
        </w:rPr>
        <w:t>v</w:t>
      </w:r>
      <w:r w:rsidR="004468B6">
        <w:rPr>
          <w:rFonts w:asciiTheme="majorHAnsi" w:hAnsiTheme="majorHAnsi"/>
        </w:rPr>
        <w:t> </w:t>
      </w:r>
      <w:r w:rsidRPr="00A11FE0">
        <w:rPr>
          <w:rFonts w:asciiTheme="majorHAnsi" w:hAnsiTheme="majorHAnsi"/>
        </w:rPr>
        <w:t xml:space="preserve">rámci </w:t>
      </w:r>
      <w:r w:rsidR="00C20F3A">
        <w:rPr>
          <w:rFonts w:asciiTheme="majorHAnsi" w:hAnsiTheme="majorHAnsi"/>
        </w:rPr>
        <w:t>eur</w:t>
      </w:r>
      <w:r w:rsidRPr="00A11FE0">
        <w:rPr>
          <w:rFonts w:asciiTheme="majorHAnsi" w:hAnsiTheme="majorHAnsi"/>
        </w:rPr>
        <w:t xml:space="preserve">ópskej </w:t>
      </w:r>
      <w:r w:rsidR="00BD5FD5">
        <w:rPr>
          <w:rFonts w:asciiTheme="majorHAnsi" w:hAnsiTheme="majorHAnsi"/>
        </w:rPr>
        <w:t>s</w:t>
      </w:r>
      <w:r w:rsidRPr="00A11FE0">
        <w:rPr>
          <w:rFonts w:asciiTheme="majorHAnsi" w:hAnsiTheme="majorHAnsi"/>
        </w:rPr>
        <w:t xml:space="preserve">ústavy Natura 2000 prekrýva 473 území </w:t>
      </w:r>
      <w:r w:rsidR="00C20F3A">
        <w:rPr>
          <w:rFonts w:asciiTheme="majorHAnsi" w:hAnsiTheme="majorHAnsi"/>
        </w:rPr>
        <w:t>e</w:t>
      </w:r>
      <w:r w:rsidR="003D1F28">
        <w:rPr>
          <w:rFonts w:asciiTheme="majorHAnsi" w:hAnsiTheme="majorHAnsi"/>
        </w:rPr>
        <w:t>ur</w:t>
      </w:r>
      <w:r w:rsidRPr="00A11FE0">
        <w:rPr>
          <w:rFonts w:asciiTheme="majorHAnsi" w:hAnsiTheme="majorHAnsi"/>
        </w:rPr>
        <w:t xml:space="preserve">ópskeho významu (11,9 %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a </w:t>
      </w:r>
      <w:r w:rsidRPr="00A11FE0">
        <w:rPr>
          <w:rFonts w:asciiTheme="majorHAnsi" w:hAnsiTheme="majorHAnsi"/>
        </w:rPr>
        <w:t xml:space="preserve">41 chránených vtáčích území (26,2 %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 xml:space="preserve">j 2 lokality </w:t>
      </w:r>
      <w:r w:rsidR="00BD5FD5">
        <w:rPr>
          <w:rFonts w:asciiTheme="majorHAnsi" w:hAnsiTheme="majorHAnsi"/>
        </w:rPr>
        <w:t>s</w:t>
      </w:r>
      <w:r w:rsidRPr="00A11FE0">
        <w:rPr>
          <w:rFonts w:asciiTheme="majorHAnsi" w:hAnsiTheme="majorHAnsi"/>
        </w:rPr>
        <w:t xml:space="preserve">vetového prírodného dedičstva, 14 ramsarských lokalít </w:t>
      </w:r>
      <w:r w:rsidR="00BD5FD5">
        <w:rPr>
          <w:rFonts w:asciiTheme="majorHAnsi" w:hAnsiTheme="majorHAnsi"/>
        </w:rPr>
        <w:t>a </w:t>
      </w:r>
      <w:r w:rsidRPr="00A11FE0">
        <w:rPr>
          <w:rFonts w:asciiTheme="majorHAnsi" w:hAnsiTheme="majorHAnsi"/>
        </w:rPr>
        <w:t>3 geoparky.</w:t>
      </w:r>
    </w:p>
    <w:p w:rsidR="00A129F3" w:rsidRDefault="00A129F3" w:rsidP="00A129F3">
      <w:pPr>
        <w:rPr>
          <w:rFonts w:ascii="Calibri" w:hAnsi="Calibri" w:cs="Calibri"/>
        </w:rPr>
      </w:pPr>
      <w:r>
        <w:rPr>
          <w:rFonts w:ascii="Calibri" w:hAnsi="Calibri" w:cs="Calibri"/>
        </w:rPr>
        <w:t>Prevažná časť území sústavy Natura 2000 sa dotýka poľnohospodárskej a lesnej pôdy.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1310"/>
        <w:gridCol w:w="1312"/>
        <w:gridCol w:w="1312"/>
        <w:gridCol w:w="1311"/>
        <w:gridCol w:w="1312"/>
        <w:gridCol w:w="1205"/>
      </w:tblGrid>
      <w:tr w:rsidR="00A129F3" w:rsidRPr="00B53952" w:rsidTr="00BA185A">
        <w:tc>
          <w:tcPr>
            <w:tcW w:w="1310"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Natura 2000</w:t>
            </w:r>
          </w:p>
        </w:tc>
        <w:tc>
          <w:tcPr>
            <w:tcW w:w="1310"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Počet</w:t>
            </w:r>
          </w:p>
        </w:tc>
        <w:tc>
          <w:tcPr>
            <w:tcW w:w="1312"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Rozloha (ha)</w:t>
            </w:r>
          </w:p>
        </w:tc>
        <w:tc>
          <w:tcPr>
            <w:tcW w:w="1312"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Výmera p.p</w:t>
            </w:r>
          </w:p>
        </w:tc>
        <w:tc>
          <w:tcPr>
            <w:tcW w:w="1311"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Podiel (%)</w:t>
            </w:r>
          </w:p>
        </w:tc>
        <w:tc>
          <w:tcPr>
            <w:tcW w:w="1312"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Výmera l.p.</w:t>
            </w:r>
          </w:p>
        </w:tc>
        <w:tc>
          <w:tcPr>
            <w:tcW w:w="1205"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Podiel (%)</w:t>
            </w:r>
          </w:p>
        </w:tc>
      </w:tr>
      <w:tr w:rsidR="00A129F3" w:rsidRPr="00B53952" w:rsidTr="00BA185A">
        <w:tc>
          <w:tcPr>
            <w:tcW w:w="1310"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CHVÚ</w:t>
            </w:r>
          </w:p>
        </w:tc>
        <w:tc>
          <w:tcPr>
            <w:tcW w:w="1310"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41</w:t>
            </w:r>
          </w:p>
        </w:tc>
        <w:tc>
          <w:tcPr>
            <w:tcW w:w="1312"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1 282 811</w:t>
            </w:r>
          </w:p>
        </w:tc>
        <w:tc>
          <w:tcPr>
            <w:tcW w:w="1312"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365 102</w:t>
            </w:r>
          </w:p>
        </w:tc>
        <w:tc>
          <w:tcPr>
            <w:tcW w:w="1311"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28,4</w:t>
            </w:r>
          </w:p>
        </w:tc>
        <w:tc>
          <w:tcPr>
            <w:tcW w:w="1312"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828 110</w:t>
            </w:r>
          </w:p>
        </w:tc>
        <w:tc>
          <w:tcPr>
            <w:tcW w:w="1205"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64,3</w:t>
            </w:r>
          </w:p>
        </w:tc>
      </w:tr>
      <w:tr w:rsidR="00A129F3" w:rsidRPr="00B53952" w:rsidTr="00BA185A">
        <w:tc>
          <w:tcPr>
            <w:tcW w:w="1310" w:type="dxa"/>
            <w:tcBorders>
              <w:top w:val="single" w:sz="4" w:space="0" w:color="auto"/>
              <w:left w:val="single" w:sz="4" w:space="0" w:color="auto"/>
              <w:bottom w:val="single" w:sz="4" w:space="0" w:color="auto"/>
              <w:right w:val="single" w:sz="4" w:space="0" w:color="auto"/>
            </w:tcBorders>
          </w:tcPr>
          <w:p w:rsidR="00A129F3" w:rsidRPr="00E809F4" w:rsidRDefault="00A129F3" w:rsidP="00A129F3">
            <w:pPr>
              <w:spacing w:before="0" w:after="0"/>
              <w:rPr>
                <w:rFonts w:ascii="Calibri" w:hAnsi="Calibri" w:cs="Calibri"/>
                <w:sz w:val="20"/>
                <w:szCs w:val="20"/>
              </w:rPr>
            </w:pPr>
            <w:r w:rsidRPr="00E809F4">
              <w:rPr>
                <w:rFonts w:ascii="Calibri" w:hAnsi="Calibri" w:cs="Calibri"/>
                <w:sz w:val="20"/>
                <w:szCs w:val="20"/>
              </w:rPr>
              <w:t>ÚEV</w:t>
            </w:r>
          </w:p>
        </w:tc>
        <w:tc>
          <w:tcPr>
            <w:tcW w:w="1310"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473</w:t>
            </w:r>
          </w:p>
        </w:tc>
        <w:tc>
          <w:tcPr>
            <w:tcW w:w="1312"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584 353</w:t>
            </w:r>
          </w:p>
        </w:tc>
        <w:tc>
          <w:tcPr>
            <w:tcW w:w="1312"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58 640</w:t>
            </w:r>
          </w:p>
        </w:tc>
        <w:tc>
          <w:tcPr>
            <w:tcW w:w="1311"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10,0</w:t>
            </w:r>
          </w:p>
        </w:tc>
        <w:tc>
          <w:tcPr>
            <w:tcW w:w="1312"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503 926</w:t>
            </w:r>
          </w:p>
        </w:tc>
        <w:tc>
          <w:tcPr>
            <w:tcW w:w="1205" w:type="dxa"/>
            <w:tcBorders>
              <w:top w:val="single" w:sz="4" w:space="0" w:color="auto"/>
              <w:left w:val="single" w:sz="4" w:space="0" w:color="auto"/>
              <w:bottom w:val="single" w:sz="4" w:space="0" w:color="auto"/>
              <w:right w:val="single" w:sz="4" w:space="0" w:color="auto"/>
            </w:tcBorders>
            <w:vAlign w:val="center"/>
          </w:tcPr>
          <w:p w:rsidR="00A129F3" w:rsidRPr="00E809F4" w:rsidRDefault="00A129F3" w:rsidP="00A129F3">
            <w:pPr>
              <w:spacing w:before="0" w:after="0"/>
              <w:jc w:val="center"/>
              <w:rPr>
                <w:rFonts w:ascii="Calibri" w:hAnsi="Calibri" w:cs="Calibri"/>
                <w:sz w:val="20"/>
                <w:szCs w:val="20"/>
              </w:rPr>
            </w:pPr>
            <w:r w:rsidRPr="00E809F4">
              <w:rPr>
                <w:rFonts w:ascii="Calibri" w:hAnsi="Calibri" w:cs="Calibri"/>
                <w:sz w:val="20"/>
                <w:szCs w:val="20"/>
              </w:rPr>
              <w:t>86,2</w:t>
            </w:r>
          </w:p>
        </w:tc>
      </w:tr>
    </w:tbl>
    <w:p w:rsidR="00406C25" w:rsidRDefault="00CA4B4E" w:rsidP="00406C25">
      <w:pPr>
        <w:rPr>
          <w:rFonts w:asciiTheme="majorHAnsi" w:hAnsiTheme="majorHAnsi"/>
        </w:rPr>
      </w:pPr>
      <w:r>
        <w:rPr>
          <w:rFonts w:asciiTheme="majorHAnsi" w:hAnsiTheme="majorHAnsi"/>
        </w:rPr>
        <w:t xml:space="preserve">Zo </w:t>
      </w:r>
      <w:r w:rsidR="00BD5FD5">
        <w:rPr>
          <w:rFonts w:asciiTheme="majorHAnsi" w:hAnsiTheme="majorHAnsi"/>
        </w:rPr>
        <w:t>s</w:t>
      </w:r>
      <w:r>
        <w:rPr>
          <w:rFonts w:asciiTheme="majorHAnsi" w:hAnsiTheme="majorHAnsi"/>
        </w:rPr>
        <w:t>právy</w:t>
      </w:r>
      <w:r w:rsidRPr="002E0042">
        <w:rPr>
          <w:rFonts w:asciiTheme="majorHAnsi" w:hAnsiTheme="majorHAnsi"/>
        </w:rPr>
        <w:t xml:space="preserve"> o</w:t>
      </w:r>
      <w:r w:rsidR="004468B6">
        <w:rPr>
          <w:rFonts w:asciiTheme="majorHAnsi" w:hAnsiTheme="majorHAnsi"/>
        </w:rPr>
        <w:t> </w:t>
      </w:r>
      <w:r w:rsidR="00BD5FD5">
        <w:rPr>
          <w:rFonts w:asciiTheme="majorHAnsi" w:hAnsiTheme="majorHAnsi"/>
        </w:rPr>
        <w:t>s</w:t>
      </w:r>
      <w:r w:rsidRPr="002E0042">
        <w:rPr>
          <w:rFonts w:asciiTheme="majorHAnsi" w:hAnsiTheme="majorHAnsi"/>
        </w:rPr>
        <w:t xml:space="preserve">tave území, druhov </w:t>
      </w:r>
      <w:r w:rsidR="00BD5FD5">
        <w:rPr>
          <w:rFonts w:asciiTheme="majorHAnsi" w:hAnsiTheme="majorHAnsi"/>
        </w:rPr>
        <w:t>a </w:t>
      </w:r>
      <w:r w:rsidRPr="002E0042">
        <w:rPr>
          <w:rFonts w:asciiTheme="majorHAnsi" w:hAnsiTheme="majorHAnsi"/>
        </w:rPr>
        <w:t xml:space="preserve">biotopov </w:t>
      </w:r>
      <w:r w:rsidR="00C20F3A">
        <w:rPr>
          <w:rFonts w:asciiTheme="majorHAnsi" w:hAnsiTheme="majorHAnsi"/>
        </w:rPr>
        <w:t>e</w:t>
      </w:r>
      <w:r w:rsidR="003D1F28">
        <w:rPr>
          <w:rFonts w:asciiTheme="majorHAnsi" w:hAnsiTheme="majorHAnsi"/>
        </w:rPr>
        <w:t>ur</w:t>
      </w:r>
      <w:r w:rsidRPr="002E0042">
        <w:rPr>
          <w:rFonts w:asciiTheme="majorHAnsi" w:hAnsiTheme="majorHAnsi"/>
        </w:rPr>
        <w:t>ópskeho významu z</w:t>
      </w:r>
      <w:r w:rsidR="004468B6">
        <w:rPr>
          <w:rFonts w:asciiTheme="majorHAnsi" w:hAnsiTheme="majorHAnsi"/>
        </w:rPr>
        <w:t> </w:t>
      </w:r>
      <w:r w:rsidRPr="002E0042">
        <w:rPr>
          <w:rFonts w:asciiTheme="majorHAnsi" w:hAnsiTheme="majorHAnsi"/>
        </w:rPr>
        <w:t xml:space="preserve">prílohy I, II, IV </w:t>
      </w:r>
      <w:r w:rsidR="00BD5FD5">
        <w:rPr>
          <w:rFonts w:asciiTheme="majorHAnsi" w:hAnsiTheme="majorHAnsi"/>
        </w:rPr>
        <w:t>a </w:t>
      </w:r>
      <w:r w:rsidRPr="002E0042">
        <w:rPr>
          <w:rFonts w:asciiTheme="majorHAnsi" w:hAnsiTheme="majorHAnsi"/>
        </w:rPr>
        <w:t xml:space="preserve">V </w:t>
      </w:r>
      <w:r w:rsidR="00BD5FD5">
        <w:rPr>
          <w:rFonts w:asciiTheme="majorHAnsi" w:hAnsiTheme="majorHAnsi"/>
        </w:rPr>
        <w:t>s</w:t>
      </w:r>
      <w:r w:rsidRPr="002E0042">
        <w:rPr>
          <w:rFonts w:asciiTheme="majorHAnsi" w:hAnsiTheme="majorHAnsi"/>
        </w:rPr>
        <w:t>mernice o</w:t>
      </w:r>
      <w:r w:rsidR="00DC4453">
        <w:rPr>
          <w:rFonts w:asciiTheme="majorHAnsi" w:hAnsiTheme="majorHAnsi"/>
        </w:rPr>
        <w:t> </w:t>
      </w:r>
      <w:r w:rsidRPr="002E0042">
        <w:rPr>
          <w:rFonts w:asciiTheme="majorHAnsi" w:hAnsiTheme="majorHAnsi"/>
        </w:rPr>
        <w:t xml:space="preserve">biotopoch za predchádzajúce 6-ročné obdobie </w:t>
      </w:r>
      <w:r>
        <w:rPr>
          <w:rFonts w:asciiTheme="majorHAnsi" w:hAnsiTheme="majorHAnsi"/>
        </w:rPr>
        <w:t>(na základe</w:t>
      </w:r>
      <w:r w:rsidRPr="002E0042">
        <w:rPr>
          <w:rFonts w:asciiTheme="majorHAnsi" w:hAnsiTheme="majorHAnsi"/>
        </w:rPr>
        <w:t xml:space="preserve"> článku 17 </w:t>
      </w:r>
      <w:r w:rsidR="00BD5FD5">
        <w:rPr>
          <w:rFonts w:asciiTheme="majorHAnsi" w:hAnsiTheme="majorHAnsi"/>
        </w:rPr>
        <w:t>s</w:t>
      </w:r>
      <w:r w:rsidRPr="002E0042">
        <w:rPr>
          <w:rFonts w:asciiTheme="majorHAnsi" w:hAnsiTheme="majorHAnsi"/>
        </w:rPr>
        <w:t>mernice o</w:t>
      </w:r>
      <w:r>
        <w:rPr>
          <w:rFonts w:asciiTheme="majorHAnsi" w:hAnsiTheme="majorHAnsi"/>
        </w:rPr>
        <w:t> </w:t>
      </w:r>
      <w:r w:rsidRPr="002E0042">
        <w:rPr>
          <w:rFonts w:asciiTheme="majorHAnsi" w:hAnsiTheme="majorHAnsi"/>
        </w:rPr>
        <w:t>biotopoch</w:t>
      </w:r>
      <w:r>
        <w:rPr>
          <w:rFonts w:asciiTheme="majorHAnsi" w:hAnsiTheme="majorHAnsi"/>
        </w:rPr>
        <w:t xml:space="preserve">) </w:t>
      </w:r>
      <w:r w:rsidRPr="002E0042">
        <w:rPr>
          <w:rFonts w:asciiTheme="majorHAnsi" w:hAnsiTheme="majorHAnsi"/>
        </w:rPr>
        <w:t xml:space="preserve">vyplynulo, že zo 66 hodnotených typov biotopov, 50 rastlín </w:t>
      </w:r>
      <w:r w:rsidR="00BD5FD5">
        <w:rPr>
          <w:rFonts w:asciiTheme="majorHAnsi" w:hAnsiTheme="majorHAnsi"/>
        </w:rPr>
        <w:t>a</w:t>
      </w:r>
      <w:r w:rsidR="004468B6">
        <w:rPr>
          <w:rFonts w:asciiTheme="majorHAnsi" w:hAnsiTheme="majorHAnsi"/>
        </w:rPr>
        <w:t> </w:t>
      </w:r>
      <w:r w:rsidRPr="002E0042">
        <w:rPr>
          <w:rFonts w:asciiTheme="majorHAnsi" w:hAnsiTheme="majorHAnsi"/>
        </w:rPr>
        <w:t xml:space="preserve">150 živočíchov </w:t>
      </w:r>
      <w:r w:rsidR="00C20F3A">
        <w:rPr>
          <w:rFonts w:asciiTheme="majorHAnsi" w:hAnsiTheme="majorHAnsi"/>
        </w:rPr>
        <w:t>eur</w:t>
      </w:r>
      <w:r w:rsidRPr="002E0042">
        <w:rPr>
          <w:rFonts w:asciiTheme="majorHAnsi" w:hAnsiTheme="majorHAnsi"/>
        </w:rPr>
        <w:t>ópskeho významu je</w:t>
      </w:r>
      <w:r>
        <w:rPr>
          <w:rFonts w:asciiTheme="majorHAnsi" w:hAnsiTheme="majorHAnsi"/>
        </w:rPr>
        <w:t xml:space="preserve"> iba </w:t>
      </w:r>
      <w:r w:rsidRPr="002E0042">
        <w:rPr>
          <w:rFonts w:asciiTheme="majorHAnsi" w:hAnsiTheme="majorHAnsi"/>
        </w:rPr>
        <w:t>19 % v</w:t>
      </w:r>
      <w:r w:rsidR="004468B6">
        <w:rPr>
          <w:rFonts w:asciiTheme="majorHAnsi" w:hAnsiTheme="majorHAnsi"/>
        </w:rPr>
        <w:t> </w:t>
      </w:r>
      <w:r w:rsidRPr="002E0042">
        <w:rPr>
          <w:rFonts w:asciiTheme="majorHAnsi" w:hAnsiTheme="majorHAnsi"/>
        </w:rPr>
        <w:t xml:space="preserve">priaznivom </w:t>
      </w:r>
      <w:r w:rsidR="00BD5FD5">
        <w:rPr>
          <w:rFonts w:asciiTheme="majorHAnsi" w:hAnsiTheme="majorHAnsi"/>
        </w:rPr>
        <w:t>s</w:t>
      </w:r>
      <w:r w:rsidRPr="002E0042">
        <w:rPr>
          <w:rFonts w:asciiTheme="majorHAnsi" w:hAnsiTheme="majorHAnsi"/>
        </w:rPr>
        <w:t>tave, 34 % v</w:t>
      </w:r>
      <w:r w:rsidR="004468B6">
        <w:rPr>
          <w:rFonts w:asciiTheme="majorHAnsi" w:hAnsiTheme="majorHAnsi"/>
        </w:rPr>
        <w:t> </w:t>
      </w:r>
      <w:r w:rsidRPr="002E0042">
        <w:rPr>
          <w:rFonts w:asciiTheme="majorHAnsi" w:hAnsiTheme="majorHAnsi"/>
        </w:rPr>
        <w:t>nevyhovujúcom, 18 % v</w:t>
      </w:r>
      <w:r w:rsidR="004468B6">
        <w:rPr>
          <w:rFonts w:asciiTheme="majorHAnsi" w:hAnsiTheme="majorHAnsi"/>
        </w:rPr>
        <w:t> </w:t>
      </w:r>
      <w:r w:rsidRPr="002E0042">
        <w:rPr>
          <w:rFonts w:asciiTheme="majorHAnsi" w:hAnsiTheme="majorHAnsi"/>
        </w:rPr>
        <w:t xml:space="preserve">zlom </w:t>
      </w:r>
      <w:r w:rsidR="00BD5FD5">
        <w:rPr>
          <w:rFonts w:asciiTheme="majorHAnsi" w:hAnsiTheme="majorHAnsi"/>
        </w:rPr>
        <w:t>s</w:t>
      </w:r>
      <w:r w:rsidRPr="002E0042">
        <w:rPr>
          <w:rFonts w:asciiTheme="majorHAnsi" w:hAnsiTheme="majorHAnsi"/>
        </w:rPr>
        <w:t xml:space="preserve">tave </w:t>
      </w:r>
      <w:r w:rsidR="00BD5FD5">
        <w:rPr>
          <w:rFonts w:asciiTheme="majorHAnsi" w:hAnsiTheme="majorHAnsi"/>
        </w:rPr>
        <w:t>a s</w:t>
      </w:r>
      <w:r w:rsidRPr="002E0042">
        <w:rPr>
          <w:rFonts w:asciiTheme="majorHAnsi" w:hAnsiTheme="majorHAnsi"/>
        </w:rPr>
        <w:t>tav 29 % je neznámy.</w:t>
      </w:r>
      <w:r>
        <w:rPr>
          <w:rFonts w:asciiTheme="majorHAnsi" w:hAnsiTheme="majorHAnsi"/>
        </w:rPr>
        <w:t xml:space="preserve"> </w:t>
      </w:r>
      <w:r w:rsidR="00406C25" w:rsidRPr="00A11FE0">
        <w:rPr>
          <w:rFonts w:asciiTheme="majorHAnsi" w:hAnsiTheme="majorHAnsi"/>
        </w:rPr>
        <w:t xml:space="preserve">Pre ochranu biodiverzity je </w:t>
      </w:r>
      <w:r>
        <w:rPr>
          <w:rFonts w:asciiTheme="majorHAnsi" w:hAnsiTheme="majorHAnsi"/>
        </w:rPr>
        <w:t xml:space="preserve">preto </w:t>
      </w:r>
      <w:r w:rsidR="00406C25" w:rsidRPr="00A11FE0">
        <w:rPr>
          <w:rFonts w:asciiTheme="majorHAnsi" w:hAnsiTheme="majorHAnsi"/>
        </w:rPr>
        <w:t xml:space="preserve">potrebné </w:t>
      </w:r>
      <w:r>
        <w:rPr>
          <w:rFonts w:asciiTheme="majorHAnsi" w:hAnsiTheme="majorHAnsi"/>
        </w:rPr>
        <w:t xml:space="preserve">realizovať </w:t>
      </w:r>
      <w:r w:rsidR="00BD5FD5">
        <w:rPr>
          <w:rFonts w:asciiTheme="majorHAnsi" w:hAnsiTheme="majorHAnsi"/>
        </w:rPr>
        <w:t>s</w:t>
      </w:r>
      <w:r>
        <w:rPr>
          <w:rFonts w:asciiTheme="majorHAnsi" w:hAnsiTheme="majorHAnsi"/>
        </w:rPr>
        <w:t xml:space="preserve">ystematický monitoring (potreby pre efektívnu ochranu biodiverzity založené na vedeckých podkladoch), </w:t>
      </w:r>
      <w:r w:rsidR="00406C25" w:rsidRPr="00A11FE0">
        <w:rPr>
          <w:rFonts w:asciiTheme="majorHAnsi" w:hAnsiTheme="majorHAnsi"/>
        </w:rPr>
        <w:t xml:space="preserve">posilniť </w:t>
      </w:r>
      <w:r>
        <w:rPr>
          <w:rFonts w:asciiTheme="majorHAnsi" w:hAnsiTheme="majorHAnsi"/>
        </w:rPr>
        <w:t xml:space="preserve">ochranu </w:t>
      </w:r>
      <w:r w:rsidR="00406C25" w:rsidRPr="00A11FE0">
        <w:rPr>
          <w:rFonts w:asciiTheme="majorHAnsi" w:hAnsiTheme="majorHAnsi"/>
        </w:rPr>
        <w:t>chránen</w:t>
      </w:r>
      <w:r>
        <w:rPr>
          <w:rFonts w:asciiTheme="majorHAnsi" w:hAnsiTheme="majorHAnsi"/>
        </w:rPr>
        <w:t>ých</w:t>
      </w:r>
      <w:r w:rsidR="00406C25" w:rsidRPr="00A11FE0">
        <w:rPr>
          <w:rFonts w:asciiTheme="majorHAnsi" w:hAnsiTheme="majorHAnsi"/>
        </w:rPr>
        <w:t xml:space="preserve"> územ</w:t>
      </w:r>
      <w:r>
        <w:rPr>
          <w:rFonts w:asciiTheme="majorHAnsi" w:hAnsiTheme="majorHAnsi"/>
        </w:rPr>
        <w:t>í</w:t>
      </w:r>
      <w:r w:rsidR="00406C25" w:rsidRPr="00A11FE0">
        <w:rPr>
          <w:rFonts w:asciiTheme="majorHAnsi" w:hAnsiTheme="majorHAnsi"/>
        </w:rPr>
        <w:t xml:space="preserve">, </w:t>
      </w:r>
      <w:r>
        <w:rPr>
          <w:rFonts w:asciiTheme="majorHAnsi" w:hAnsiTheme="majorHAnsi"/>
        </w:rPr>
        <w:t>najmä</w:t>
      </w:r>
      <w:r w:rsidRPr="00A11FE0">
        <w:rPr>
          <w:rFonts w:asciiTheme="majorHAnsi" w:hAnsiTheme="majorHAnsi"/>
        </w:rPr>
        <w:t xml:space="preserve"> </w:t>
      </w:r>
      <w:r w:rsidR="00BD5FD5">
        <w:rPr>
          <w:rFonts w:asciiTheme="majorHAnsi" w:hAnsiTheme="majorHAnsi"/>
        </w:rPr>
        <w:t>s</w:t>
      </w:r>
      <w:r w:rsidR="00406C25" w:rsidRPr="00A11FE0">
        <w:rPr>
          <w:rFonts w:asciiTheme="majorHAnsi" w:hAnsiTheme="majorHAnsi"/>
        </w:rPr>
        <w:t>ústav</w:t>
      </w:r>
      <w:r>
        <w:rPr>
          <w:rFonts w:asciiTheme="majorHAnsi" w:hAnsiTheme="majorHAnsi"/>
        </w:rPr>
        <w:t>u</w:t>
      </w:r>
      <w:r w:rsidR="00406C25" w:rsidRPr="00A11FE0">
        <w:rPr>
          <w:rFonts w:asciiTheme="majorHAnsi" w:hAnsiTheme="majorHAnsi"/>
        </w:rPr>
        <w:t xml:space="preserve"> Natura 2000 </w:t>
      </w:r>
      <w:r w:rsidR="00BD5FD5">
        <w:rPr>
          <w:rFonts w:asciiTheme="majorHAnsi" w:hAnsiTheme="majorHAnsi"/>
        </w:rPr>
        <w:t>a </w:t>
      </w:r>
      <w:r w:rsidR="00406C25" w:rsidRPr="00A11FE0">
        <w:rPr>
          <w:rFonts w:asciiTheme="majorHAnsi" w:hAnsiTheme="majorHAnsi"/>
        </w:rPr>
        <w:t>medzinárodne chránen</w:t>
      </w:r>
      <w:r>
        <w:rPr>
          <w:rFonts w:asciiTheme="majorHAnsi" w:hAnsiTheme="majorHAnsi"/>
        </w:rPr>
        <w:t>é</w:t>
      </w:r>
      <w:r w:rsidR="00406C25" w:rsidRPr="00A11FE0">
        <w:rPr>
          <w:rFonts w:asciiTheme="majorHAnsi" w:hAnsiTheme="majorHAnsi"/>
        </w:rPr>
        <w:t xml:space="preserve"> územ</w:t>
      </w:r>
      <w:r>
        <w:rPr>
          <w:rFonts w:asciiTheme="majorHAnsi" w:hAnsiTheme="majorHAnsi"/>
        </w:rPr>
        <w:t>ia</w:t>
      </w:r>
      <w:r w:rsidR="00406C25" w:rsidRPr="00A11FE0">
        <w:rPr>
          <w:rFonts w:asciiTheme="majorHAnsi" w:hAnsiTheme="majorHAnsi"/>
        </w:rPr>
        <w:t xml:space="preserve">, posilniť </w:t>
      </w:r>
      <w:r>
        <w:rPr>
          <w:rFonts w:asciiTheme="majorHAnsi" w:hAnsiTheme="majorHAnsi"/>
        </w:rPr>
        <w:t xml:space="preserve">budovanie </w:t>
      </w:r>
      <w:r w:rsidR="00406C25" w:rsidRPr="00A11FE0">
        <w:rPr>
          <w:rFonts w:asciiTheme="majorHAnsi" w:hAnsiTheme="majorHAnsi"/>
        </w:rPr>
        <w:t>zelen</w:t>
      </w:r>
      <w:r>
        <w:rPr>
          <w:rFonts w:asciiTheme="majorHAnsi" w:hAnsiTheme="majorHAnsi"/>
        </w:rPr>
        <w:t xml:space="preserve">ej </w:t>
      </w:r>
      <w:r w:rsidR="00406C25" w:rsidRPr="00A11FE0">
        <w:rPr>
          <w:rFonts w:asciiTheme="majorHAnsi" w:hAnsiTheme="majorHAnsi"/>
        </w:rPr>
        <w:t>infraštruktúr</w:t>
      </w:r>
      <w:r>
        <w:rPr>
          <w:rFonts w:asciiTheme="majorHAnsi" w:hAnsiTheme="majorHAnsi"/>
        </w:rPr>
        <w:t>y</w:t>
      </w:r>
      <w:r w:rsidR="00406C25" w:rsidRPr="00A11FE0">
        <w:rPr>
          <w:rFonts w:asciiTheme="majorHAnsi" w:hAnsiTheme="majorHAnsi"/>
        </w:rPr>
        <w:t xml:space="preserve"> </w:t>
      </w:r>
      <w:r w:rsidR="00BD5FD5">
        <w:rPr>
          <w:rFonts w:asciiTheme="majorHAnsi" w:hAnsiTheme="majorHAnsi"/>
        </w:rPr>
        <w:t>a </w:t>
      </w:r>
      <w:r w:rsidR="00406C25" w:rsidRPr="00A11FE0">
        <w:rPr>
          <w:rFonts w:asciiTheme="majorHAnsi" w:hAnsiTheme="majorHAnsi"/>
        </w:rPr>
        <w:t xml:space="preserve">realizovať ďalšie opatrenia na zlepšenie </w:t>
      </w:r>
      <w:r w:rsidR="00BD5FD5">
        <w:rPr>
          <w:rFonts w:asciiTheme="majorHAnsi" w:hAnsiTheme="majorHAnsi"/>
        </w:rPr>
        <w:t>s</w:t>
      </w:r>
      <w:r w:rsidR="00406C25" w:rsidRPr="00A11FE0">
        <w:rPr>
          <w:rFonts w:asciiTheme="majorHAnsi" w:hAnsiTheme="majorHAnsi"/>
        </w:rPr>
        <w:t xml:space="preserve">tavu biotopov, druhov </w:t>
      </w:r>
      <w:r w:rsidR="00BD5FD5">
        <w:rPr>
          <w:rFonts w:asciiTheme="majorHAnsi" w:hAnsiTheme="majorHAnsi"/>
        </w:rPr>
        <w:t>a</w:t>
      </w:r>
      <w:r w:rsidR="00406C25" w:rsidRPr="00A11FE0">
        <w:rPr>
          <w:rFonts w:asciiTheme="majorHAnsi" w:hAnsiTheme="majorHAnsi"/>
        </w:rPr>
        <w:t xml:space="preserve"> vybraných ekosystémov. Po prijatí pripravovanej legislatívy EÚ budú </w:t>
      </w:r>
      <w:r w:rsidR="00BD5FD5">
        <w:rPr>
          <w:rFonts w:asciiTheme="majorHAnsi" w:hAnsiTheme="majorHAnsi"/>
        </w:rPr>
        <w:t>ak</w:t>
      </w:r>
      <w:r w:rsidR="00406C25" w:rsidRPr="00A11FE0">
        <w:rPr>
          <w:rFonts w:asciiTheme="majorHAnsi" w:hAnsiTheme="majorHAnsi"/>
        </w:rPr>
        <w:t xml:space="preserve">tuálne </w:t>
      </w:r>
      <w:r w:rsidR="00BD5FD5">
        <w:rPr>
          <w:rFonts w:asciiTheme="majorHAnsi" w:hAnsiTheme="majorHAnsi"/>
        </w:rPr>
        <w:t>a</w:t>
      </w:r>
      <w:r w:rsidR="00406C25" w:rsidRPr="00A11FE0">
        <w:rPr>
          <w:rFonts w:asciiTheme="majorHAnsi" w:hAnsiTheme="majorHAnsi"/>
        </w:rPr>
        <w:t>j opatrenia pre elimináciu inváznych nepôvodných druhov. Prínosom je realizácia multifun</w:t>
      </w:r>
      <w:r w:rsidR="00723AA3" w:rsidRPr="00A11FE0">
        <w:rPr>
          <w:rFonts w:asciiTheme="majorHAnsi" w:hAnsiTheme="majorHAnsi"/>
        </w:rPr>
        <w:t>k</w:t>
      </w:r>
      <w:r w:rsidR="00406C25" w:rsidRPr="00A11FE0">
        <w:rPr>
          <w:rFonts w:asciiTheme="majorHAnsi" w:hAnsiTheme="majorHAnsi"/>
        </w:rPr>
        <w:t xml:space="preserve">čných opatrení, </w:t>
      </w:r>
      <w:r w:rsidR="00BD5FD5">
        <w:rPr>
          <w:rFonts w:asciiTheme="majorHAnsi" w:hAnsiTheme="majorHAnsi"/>
        </w:rPr>
        <w:t>k</w:t>
      </w:r>
      <w:r w:rsidR="00406C25" w:rsidRPr="00A11FE0">
        <w:rPr>
          <w:rFonts w:asciiTheme="majorHAnsi" w:hAnsiTheme="majorHAnsi"/>
        </w:rPr>
        <w:t xml:space="preserve">toré </w:t>
      </w:r>
      <w:r w:rsidR="00BD5FD5">
        <w:rPr>
          <w:rFonts w:asciiTheme="majorHAnsi" w:hAnsiTheme="majorHAnsi"/>
        </w:rPr>
        <w:t>s</w:t>
      </w:r>
      <w:r w:rsidR="00406C25" w:rsidRPr="00A11FE0">
        <w:rPr>
          <w:rFonts w:asciiTheme="majorHAnsi" w:hAnsiTheme="majorHAnsi"/>
        </w:rPr>
        <w:t xml:space="preserve">účasne prispievajú </w:t>
      </w:r>
      <w:r w:rsidR="00BD5FD5">
        <w:rPr>
          <w:rFonts w:asciiTheme="majorHAnsi" w:hAnsiTheme="majorHAnsi"/>
        </w:rPr>
        <w:t>k </w:t>
      </w:r>
      <w:r w:rsidR="00406C25" w:rsidRPr="00A11FE0">
        <w:rPr>
          <w:rFonts w:asciiTheme="majorHAnsi" w:hAnsiTheme="majorHAnsi"/>
        </w:rPr>
        <w:t xml:space="preserve">riešeniu ďalších problémov (zdravotný </w:t>
      </w:r>
      <w:r w:rsidR="00BD5FD5">
        <w:rPr>
          <w:rFonts w:asciiTheme="majorHAnsi" w:hAnsiTheme="majorHAnsi"/>
        </w:rPr>
        <w:t>s</w:t>
      </w:r>
      <w:r w:rsidR="00406C25" w:rsidRPr="00A11FE0">
        <w:rPr>
          <w:rFonts w:asciiTheme="majorHAnsi" w:hAnsiTheme="majorHAnsi"/>
        </w:rPr>
        <w:t xml:space="preserve">tav obyvateľstva, povodne, zmena </w:t>
      </w:r>
      <w:r w:rsidR="00BD5FD5">
        <w:rPr>
          <w:rFonts w:asciiTheme="majorHAnsi" w:hAnsiTheme="majorHAnsi"/>
        </w:rPr>
        <w:t>k</w:t>
      </w:r>
      <w:r w:rsidR="00406C25" w:rsidRPr="00A11FE0">
        <w:rPr>
          <w:rFonts w:asciiTheme="majorHAnsi" w:hAnsiTheme="majorHAnsi"/>
        </w:rPr>
        <w:t xml:space="preserve">límy </w:t>
      </w:r>
      <w:r w:rsidR="00BD5FD5">
        <w:rPr>
          <w:rFonts w:asciiTheme="majorHAnsi" w:hAnsiTheme="majorHAnsi"/>
        </w:rPr>
        <w:t>a </w:t>
      </w:r>
      <w:r w:rsidR="00406C25" w:rsidRPr="00A11FE0">
        <w:rPr>
          <w:rFonts w:asciiTheme="majorHAnsi" w:hAnsiTheme="majorHAnsi"/>
        </w:rPr>
        <w:t>i.).</w:t>
      </w:r>
    </w:p>
    <w:p w:rsidR="00A129F3" w:rsidRDefault="00082089" w:rsidP="00A129F3">
      <w:pPr>
        <w:ind w:left="34"/>
        <w:rPr>
          <w:rFonts w:asciiTheme="majorHAnsi" w:hAnsiTheme="majorHAnsi"/>
        </w:rPr>
      </w:pPr>
      <w:r>
        <w:rPr>
          <w:rFonts w:asciiTheme="majorHAnsi" w:hAnsiTheme="majorHAnsi"/>
        </w:rPr>
        <w:t>V </w:t>
      </w:r>
      <w:r w:rsidR="00BD5FD5">
        <w:rPr>
          <w:rFonts w:asciiTheme="majorHAnsi" w:hAnsiTheme="majorHAnsi"/>
        </w:rPr>
        <w:t>s</w:t>
      </w:r>
      <w:r>
        <w:rPr>
          <w:rFonts w:asciiTheme="majorHAnsi" w:hAnsiTheme="majorHAnsi"/>
        </w:rPr>
        <w:t xml:space="preserve">úvislosti </w:t>
      </w:r>
      <w:r w:rsidR="00BD5FD5">
        <w:rPr>
          <w:rFonts w:asciiTheme="majorHAnsi" w:hAnsiTheme="majorHAnsi"/>
        </w:rPr>
        <w:t>s</w:t>
      </w:r>
      <w:r>
        <w:rPr>
          <w:rFonts w:asciiTheme="majorHAnsi" w:hAnsiTheme="majorHAnsi"/>
        </w:rPr>
        <w:t xml:space="preserve">o zachovaním biodiverzity je </w:t>
      </w:r>
      <w:r w:rsidR="00BD5FD5">
        <w:rPr>
          <w:rFonts w:asciiTheme="majorHAnsi" w:hAnsiTheme="majorHAnsi"/>
        </w:rPr>
        <w:t>k</w:t>
      </w:r>
      <w:r>
        <w:rPr>
          <w:rFonts w:asciiTheme="majorHAnsi" w:hAnsiTheme="majorHAnsi"/>
        </w:rPr>
        <w:t xml:space="preserve">ľúčové </w:t>
      </w:r>
      <w:r w:rsidR="00BD5FD5">
        <w:rPr>
          <w:rFonts w:asciiTheme="majorHAnsi" w:hAnsiTheme="majorHAnsi"/>
        </w:rPr>
        <w:t>a</w:t>
      </w:r>
      <w:r>
        <w:rPr>
          <w:rFonts w:asciiTheme="majorHAnsi" w:hAnsiTheme="majorHAnsi"/>
        </w:rPr>
        <w:t xml:space="preserve">j vymedzenie poľnohospodárskych </w:t>
      </w:r>
      <w:r w:rsidR="00BD5FD5">
        <w:rPr>
          <w:rFonts w:asciiTheme="majorHAnsi" w:hAnsiTheme="majorHAnsi"/>
        </w:rPr>
        <w:t>a </w:t>
      </w:r>
      <w:r>
        <w:rPr>
          <w:rFonts w:asciiTheme="majorHAnsi" w:hAnsiTheme="majorHAnsi"/>
        </w:rPr>
        <w:t xml:space="preserve">lesných území </w:t>
      </w:r>
      <w:r w:rsidR="00BD5FD5">
        <w:rPr>
          <w:rFonts w:asciiTheme="majorHAnsi" w:hAnsiTheme="majorHAnsi"/>
        </w:rPr>
        <w:t>s </w:t>
      </w:r>
      <w:r>
        <w:rPr>
          <w:rFonts w:asciiTheme="majorHAnsi" w:hAnsiTheme="majorHAnsi"/>
        </w:rPr>
        <w:t xml:space="preserve">vysokou prírodnou hodnotou (HNV), ich </w:t>
      </w:r>
      <w:r w:rsidR="00BD5FD5">
        <w:rPr>
          <w:rFonts w:asciiTheme="majorHAnsi" w:hAnsiTheme="majorHAnsi"/>
        </w:rPr>
        <w:t>s</w:t>
      </w:r>
      <w:r>
        <w:rPr>
          <w:rFonts w:asciiTheme="majorHAnsi" w:hAnsiTheme="majorHAnsi"/>
        </w:rPr>
        <w:t xml:space="preserve">ystematická ochrana, monitorovanie zmien </w:t>
      </w:r>
      <w:r w:rsidR="00BD5FD5">
        <w:rPr>
          <w:rFonts w:asciiTheme="majorHAnsi" w:hAnsiTheme="majorHAnsi"/>
        </w:rPr>
        <w:t>a </w:t>
      </w:r>
      <w:r>
        <w:rPr>
          <w:rFonts w:asciiTheme="majorHAnsi" w:hAnsiTheme="majorHAnsi"/>
        </w:rPr>
        <w:t>zvýšenie</w:t>
      </w:r>
      <w:r w:rsidR="00DC4453">
        <w:rPr>
          <w:rFonts w:asciiTheme="majorHAnsi" w:hAnsiTheme="majorHAnsi"/>
        </w:rPr>
        <w:t xml:space="preserve"> </w:t>
      </w:r>
      <w:r>
        <w:rPr>
          <w:rFonts w:asciiTheme="majorHAnsi" w:hAnsiTheme="majorHAnsi"/>
        </w:rPr>
        <w:t xml:space="preserve">informovanosti o ich význame. </w:t>
      </w:r>
      <w:r w:rsidR="00A129F3" w:rsidRPr="00CD2CA9">
        <w:rPr>
          <w:rFonts w:asciiTheme="majorHAnsi" w:eastAsia="Times New Roman" w:hAnsiTheme="majorHAnsi"/>
        </w:rPr>
        <w:t>Rozloha území s</w:t>
      </w:r>
      <w:r w:rsidR="00A129F3">
        <w:rPr>
          <w:rFonts w:asciiTheme="majorHAnsi" w:eastAsia="Times New Roman" w:hAnsiTheme="majorHAnsi"/>
        </w:rPr>
        <w:t> </w:t>
      </w:r>
      <w:r w:rsidR="00A129F3" w:rsidRPr="00CD2CA9">
        <w:rPr>
          <w:rFonts w:asciiTheme="majorHAnsi" w:eastAsia="Times New Roman" w:hAnsiTheme="majorHAnsi"/>
        </w:rPr>
        <w:t>vysokou prírodnou hodnotou predstavuje 662 000 ha poľnohospodárskej pôdy a</w:t>
      </w:r>
      <w:r w:rsidR="00A129F3">
        <w:rPr>
          <w:rFonts w:asciiTheme="majorHAnsi" w:eastAsia="Times New Roman" w:hAnsiTheme="majorHAnsi"/>
        </w:rPr>
        <w:t> </w:t>
      </w:r>
      <w:r w:rsidR="00A129F3" w:rsidRPr="00CD2CA9">
        <w:rPr>
          <w:rFonts w:asciiTheme="majorHAnsi" w:eastAsia="Times New Roman" w:hAnsiTheme="majorHAnsi"/>
        </w:rPr>
        <w:t>1 270 000 ha lesnej pôdy.</w:t>
      </w:r>
    </w:p>
    <w:p w:rsidR="00082089" w:rsidRDefault="00BD5FD5" w:rsidP="00082089">
      <w:pPr>
        <w:ind w:left="34"/>
        <w:rPr>
          <w:rFonts w:asciiTheme="majorHAnsi" w:hAnsiTheme="majorHAnsi"/>
        </w:rPr>
      </w:pPr>
      <w:r>
        <w:rPr>
          <w:rFonts w:asciiTheme="majorHAnsi" w:hAnsiTheme="majorHAnsi"/>
        </w:rPr>
        <w:t>K </w:t>
      </w:r>
      <w:r w:rsidR="00082089">
        <w:rPr>
          <w:rFonts w:asciiTheme="majorHAnsi" w:hAnsiTheme="majorHAnsi"/>
        </w:rPr>
        <w:t xml:space="preserve">zachovaniu biodiverzity okrem </w:t>
      </w:r>
      <w:r>
        <w:rPr>
          <w:rFonts w:asciiTheme="majorHAnsi" w:hAnsiTheme="majorHAnsi"/>
        </w:rPr>
        <w:t>A</w:t>
      </w:r>
      <w:r w:rsidR="00082089">
        <w:rPr>
          <w:rFonts w:asciiTheme="majorHAnsi" w:hAnsiTheme="majorHAnsi"/>
        </w:rPr>
        <w:t xml:space="preserve">EP, ekologického poľnohospodárstva </w:t>
      </w:r>
      <w:r w:rsidR="00A129F3">
        <w:rPr>
          <w:rFonts w:asciiTheme="majorHAnsi" w:eastAsia="Times New Roman" w:hAnsiTheme="majorHAnsi"/>
        </w:rPr>
        <w:t xml:space="preserve">(realizovaného na výmere 8% LPIS poľnohospodárskej pôdy, čo predstavuje 150 000 ha) </w:t>
      </w:r>
      <w:r>
        <w:rPr>
          <w:rFonts w:asciiTheme="majorHAnsi" w:hAnsiTheme="majorHAnsi"/>
        </w:rPr>
        <w:t>a </w:t>
      </w:r>
      <w:r w:rsidR="00082089">
        <w:rPr>
          <w:rFonts w:asciiTheme="majorHAnsi" w:hAnsiTheme="majorHAnsi"/>
        </w:rPr>
        <w:t>platieb Natura 2000</w:t>
      </w:r>
      <w:r w:rsidR="00543E1C">
        <w:rPr>
          <w:rFonts w:asciiTheme="majorHAnsi" w:hAnsiTheme="majorHAnsi"/>
        </w:rPr>
        <w:t>,</w:t>
      </w:r>
      <w:r w:rsidR="00082089">
        <w:rPr>
          <w:rFonts w:asciiTheme="majorHAnsi" w:hAnsiTheme="majorHAnsi"/>
        </w:rPr>
        <w:t xml:space="preserve"> nepriamo prispieva </w:t>
      </w:r>
      <w:r>
        <w:rPr>
          <w:rFonts w:asciiTheme="majorHAnsi" w:hAnsiTheme="majorHAnsi"/>
        </w:rPr>
        <w:t>a</w:t>
      </w:r>
      <w:r w:rsidR="00082089">
        <w:rPr>
          <w:rFonts w:asciiTheme="majorHAnsi" w:hAnsiTheme="majorHAnsi"/>
        </w:rPr>
        <w:t xml:space="preserve">j podpora </w:t>
      </w:r>
      <w:r w:rsidR="00A129F3">
        <w:rPr>
          <w:rFonts w:asciiTheme="majorHAnsi" w:eastAsia="Times New Roman" w:hAnsiTheme="majorHAnsi"/>
        </w:rPr>
        <w:t xml:space="preserve">znevýhodnených oblastí </w:t>
      </w:r>
      <w:r w:rsidR="00A129F3">
        <w:rPr>
          <w:rFonts w:asciiTheme="majorHAnsi" w:hAnsiTheme="majorHAnsi"/>
        </w:rPr>
        <w:t>LFA (ANC)</w:t>
      </w:r>
      <w:r w:rsidR="00082089">
        <w:rPr>
          <w:rFonts w:asciiTheme="majorHAnsi" w:hAnsiTheme="majorHAnsi"/>
        </w:rPr>
        <w:t xml:space="preserve">, </w:t>
      </w:r>
      <w:r>
        <w:rPr>
          <w:rFonts w:asciiTheme="majorHAnsi" w:hAnsiTheme="majorHAnsi"/>
        </w:rPr>
        <w:t>k</w:t>
      </w:r>
      <w:r w:rsidR="00082089">
        <w:rPr>
          <w:rFonts w:asciiTheme="majorHAnsi" w:hAnsiTheme="majorHAnsi"/>
        </w:rPr>
        <w:t xml:space="preserve">de </w:t>
      </w:r>
      <w:r>
        <w:rPr>
          <w:rFonts w:asciiTheme="majorHAnsi" w:hAnsiTheme="majorHAnsi"/>
        </w:rPr>
        <w:t>s</w:t>
      </w:r>
      <w:r w:rsidR="00082089">
        <w:rPr>
          <w:rFonts w:asciiTheme="majorHAnsi" w:hAnsiTheme="majorHAnsi"/>
        </w:rPr>
        <w:t xml:space="preserve">a pokračovaním poľnohospodárskej činnosti zabezpečuje </w:t>
      </w:r>
      <w:r w:rsidR="00154311">
        <w:rPr>
          <w:rFonts w:asciiTheme="majorHAnsi" w:eastAsia="Times New Roman" w:hAnsiTheme="majorHAnsi"/>
        </w:rPr>
        <w:t>starostlivosť o</w:t>
      </w:r>
      <w:r w:rsidR="004468B6">
        <w:rPr>
          <w:rFonts w:asciiTheme="majorHAnsi" w:eastAsia="Times New Roman" w:hAnsiTheme="majorHAnsi"/>
        </w:rPr>
        <w:t> </w:t>
      </w:r>
      <w:r w:rsidR="00154311">
        <w:rPr>
          <w:rFonts w:asciiTheme="majorHAnsi" w:eastAsia="Times New Roman" w:hAnsiTheme="majorHAnsi"/>
        </w:rPr>
        <w:t>krajinu. Výmera poľnohospodárskej pôdy zaradená v znevýhodnených oblastiach je 1 225 763 ha (64% LPIS pôdy)</w:t>
      </w:r>
      <w:r w:rsidR="00154311">
        <w:rPr>
          <w:rFonts w:asciiTheme="majorHAnsi" w:hAnsiTheme="majorHAnsi"/>
        </w:rPr>
        <w:t xml:space="preserve">. </w:t>
      </w:r>
      <w:r>
        <w:rPr>
          <w:rFonts w:asciiTheme="majorHAnsi" w:hAnsiTheme="majorHAnsi"/>
        </w:rPr>
        <w:t>A</w:t>
      </w:r>
      <w:r w:rsidR="00082089">
        <w:rPr>
          <w:rFonts w:asciiTheme="majorHAnsi" w:hAnsiTheme="majorHAnsi"/>
        </w:rPr>
        <w:t>ž 60</w:t>
      </w:r>
      <w:r w:rsidR="00317D61">
        <w:rPr>
          <w:rFonts w:asciiTheme="majorHAnsi" w:hAnsiTheme="majorHAnsi"/>
        </w:rPr>
        <w:t xml:space="preserve"> </w:t>
      </w:r>
      <w:r w:rsidR="00082089">
        <w:rPr>
          <w:rFonts w:asciiTheme="majorHAnsi" w:hAnsiTheme="majorHAnsi"/>
        </w:rPr>
        <w:t xml:space="preserve">% plôch </w:t>
      </w:r>
      <w:r>
        <w:rPr>
          <w:rFonts w:asciiTheme="majorHAnsi" w:hAnsiTheme="majorHAnsi"/>
        </w:rPr>
        <w:t>s a</w:t>
      </w:r>
      <w:r w:rsidR="00082089">
        <w:rPr>
          <w:rFonts w:asciiTheme="majorHAnsi" w:hAnsiTheme="majorHAnsi"/>
        </w:rPr>
        <w:t xml:space="preserve">gro-environmentálnymi </w:t>
      </w:r>
      <w:r>
        <w:rPr>
          <w:rFonts w:asciiTheme="majorHAnsi" w:hAnsiTheme="majorHAnsi"/>
        </w:rPr>
        <w:t>s</w:t>
      </w:r>
      <w:r w:rsidR="00082089">
        <w:rPr>
          <w:rFonts w:asciiTheme="majorHAnsi" w:hAnsiTheme="majorHAnsi"/>
        </w:rPr>
        <w:t xml:space="preserve">chémami </w:t>
      </w:r>
      <w:r>
        <w:rPr>
          <w:rFonts w:asciiTheme="majorHAnsi" w:hAnsiTheme="majorHAnsi"/>
        </w:rPr>
        <w:t>s</w:t>
      </w:r>
      <w:r w:rsidR="00082089">
        <w:rPr>
          <w:rFonts w:asciiTheme="majorHAnsi" w:hAnsiTheme="majorHAnsi"/>
        </w:rPr>
        <w:t xml:space="preserve">a prekrýva </w:t>
      </w:r>
      <w:r>
        <w:rPr>
          <w:rFonts w:asciiTheme="majorHAnsi" w:hAnsiTheme="majorHAnsi"/>
        </w:rPr>
        <w:t>s </w:t>
      </w:r>
      <w:r w:rsidR="00082089">
        <w:rPr>
          <w:rFonts w:asciiTheme="majorHAnsi" w:hAnsiTheme="majorHAnsi"/>
        </w:rPr>
        <w:t xml:space="preserve">plochami LFA </w:t>
      </w:r>
      <w:r>
        <w:rPr>
          <w:rFonts w:asciiTheme="majorHAnsi" w:hAnsiTheme="majorHAnsi"/>
        </w:rPr>
        <w:t>a </w:t>
      </w:r>
      <w:r w:rsidR="00082089">
        <w:rPr>
          <w:rFonts w:asciiTheme="majorHAnsi" w:hAnsiTheme="majorHAnsi"/>
        </w:rPr>
        <w:t xml:space="preserve">obe podporované činnosti </w:t>
      </w:r>
      <w:r>
        <w:rPr>
          <w:rFonts w:asciiTheme="majorHAnsi" w:hAnsiTheme="majorHAnsi"/>
        </w:rPr>
        <w:t>s</w:t>
      </w:r>
      <w:r w:rsidR="00082089">
        <w:rPr>
          <w:rFonts w:asciiTheme="majorHAnsi" w:hAnsiTheme="majorHAnsi"/>
        </w:rPr>
        <w:t xml:space="preserve">ynergicky prispievajú </w:t>
      </w:r>
      <w:r>
        <w:rPr>
          <w:rFonts w:asciiTheme="majorHAnsi" w:hAnsiTheme="majorHAnsi"/>
        </w:rPr>
        <w:t>k </w:t>
      </w:r>
      <w:r w:rsidR="00082089">
        <w:rPr>
          <w:rFonts w:asciiTheme="majorHAnsi" w:hAnsiTheme="majorHAnsi"/>
        </w:rPr>
        <w:t xml:space="preserve">biodiverzite. Túto pozitívnu </w:t>
      </w:r>
      <w:r>
        <w:rPr>
          <w:rFonts w:asciiTheme="majorHAnsi" w:hAnsiTheme="majorHAnsi"/>
        </w:rPr>
        <w:t>s</w:t>
      </w:r>
      <w:r w:rsidR="00082089">
        <w:rPr>
          <w:rFonts w:asciiTheme="majorHAnsi" w:hAnsiTheme="majorHAnsi"/>
        </w:rPr>
        <w:t xml:space="preserve">ynergiu je potrebné </w:t>
      </w:r>
      <w:r>
        <w:rPr>
          <w:rFonts w:asciiTheme="majorHAnsi" w:hAnsiTheme="majorHAnsi"/>
        </w:rPr>
        <w:t>k</w:t>
      </w:r>
      <w:r w:rsidR="00082089">
        <w:rPr>
          <w:rFonts w:asciiTheme="majorHAnsi" w:hAnsiTheme="majorHAnsi"/>
        </w:rPr>
        <w:t xml:space="preserve">ontinuálne </w:t>
      </w:r>
      <w:r>
        <w:rPr>
          <w:rFonts w:asciiTheme="majorHAnsi" w:hAnsiTheme="majorHAnsi"/>
        </w:rPr>
        <w:t>a </w:t>
      </w:r>
      <w:r w:rsidR="00082089">
        <w:rPr>
          <w:rFonts w:asciiTheme="majorHAnsi" w:hAnsiTheme="majorHAnsi"/>
        </w:rPr>
        <w:t xml:space="preserve">vo väčšej miere podporovať </w:t>
      </w:r>
      <w:r>
        <w:rPr>
          <w:rFonts w:asciiTheme="majorHAnsi" w:hAnsiTheme="majorHAnsi"/>
        </w:rPr>
        <w:t>a</w:t>
      </w:r>
      <w:r w:rsidR="00082089">
        <w:rPr>
          <w:rFonts w:asciiTheme="majorHAnsi" w:hAnsiTheme="majorHAnsi"/>
        </w:rPr>
        <w:t>j v</w:t>
      </w:r>
      <w:r w:rsidR="00EA7608">
        <w:rPr>
          <w:rFonts w:asciiTheme="majorHAnsi" w:hAnsiTheme="majorHAnsi"/>
        </w:rPr>
        <w:t> </w:t>
      </w:r>
      <w:r w:rsidR="00082089">
        <w:rPr>
          <w:rFonts w:asciiTheme="majorHAnsi" w:hAnsiTheme="majorHAnsi"/>
        </w:rPr>
        <w:t xml:space="preserve"> PRV</w:t>
      </w:r>
      <w:r w:rsidR="00653D8B">
        <w:rPr>
          <w:rFonts w:asciiTheme="majorHAnsi" w:hAnsiTheme="majorHAnsi"/>
        </w:rPr>
        <w:t xml:space="preserve"> SR 2014 </w:t>
      </w:r>
      <w:r w:rsidR="002F29B8">
        <w:rPr>
          <w:rFonts w:asciiTheme="majorHAnsi" w:hAnsiTheme="majorHAnsi"/>
        </w:rPr>
        <w:t>–</w:t>
      </w:r>
      <w:r w:rsidR="00653D8B">
        <w:rPr>
          <w:rFonts w:asciiTheme="majorHAnsi" w:hAnsiTheme="majorHAnsi"/>
        </w:rPr>
        <w:t xml:space="preserve"> 2020</w:t>
      </w:r>
      <w:r w:rsidR="00082089">
        <w:rPr>
          <w:rFonts w:asciiTheme="majorHAnsi" w:hAnsiTheme="majorHAnsi"/>
        </w:rPr>
        <w:t>.</w:t>
      </w:r>
    </w:p>
    <w:p w:rsidR="00406C25" w:rsidRPr="00A11FE0" w:rsidRDefault="00406C25"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 xml:space="preserve">Problémy v oblasti </w:t>
      </w:r>
      <w:r w:rsidR="00BD5FD5">
        <w:rPr>
          <w:rFonts w:asciiTheme="majorHAnsi" w:hAnsiTheme="majorHAnsi"/>
          <w:color w:val="243F60"/>
        </w:rPr>
        <w:t>k</w:t>
      </w:r>
      <w:r w:rsidRPr="00A11FE0">
        <w:rPr>
          <w:rFonts w:asciiTheme="majorHAnsi" w:hAnsiTheme="majorHAnsi"/>
          <w:color w:val="243F60"/>
        </w:rPr>
        <w:t>vality ovzdušia</w:t>
      </w:r>
    </w:p>
    <w:p w:rsidR="00406C25" w:rsidRPr="00A11FE0" w:rsidRDefault="00406C25" w:rsidP="00406C25">
      <w:pPr>
        <w:rPr>
          <w:rFonts w:asciiTheme="majorHAnsi" w:hAnsiTheme="majorHAnsi"/>
        </w:rPr>
      </w:pPr>
      <w:r w:rsidRPr="00A11FE0">
        <w:rPr>
          <w:rFonts w:asciiTheme="majorHAnsi" w:hAnsiTheme="majorHAnsi"/>
        </w:rPr>
        <w:t xml:space="preserve">Na základe pravidelne vykonávaných </w:t>
      </w:r>
      <w:r w:rsidR="00BD5FD5">
        <w:rPr>
          <w:rFonts w:asciiTheme="majorHAnsi" w:hAnsiTheme="majorHAnsi"/>
        </w:rPr>
        <w:t>a</w:t>
      </w:r>
      <w:r w:rsidRPr="00A11FE0">
        <w:rPr>
          <w:rFonts w:asciiTheme="majorHAnsi" w:hAnsiTheme="majorHAnsi"/>
        </w:rPr>
        <w:t xml:space="preserve">nalýz </w:t>
      </w:r>
      <w:r w:rsidR="00BD5FD5">
        <w:rPr>
          <w:rFonts w:asciiTheme="majorHAnsi" w:hAnsiTheme="majorHAnsi"/>
        </w:rPr>
        <w:t>s</w:t>
      </w:r>
      <w:r w:rsidRPr="00A11FE0">
        <w:rPr>
          <w:rFonts w:asciiTheme="majorHAnsi" w:hAnsiTheme="majorHAnsi"/>
        </w:rPr>
        <w:t xml:space="preserve">tavu </w:t>
      </w:r>
      <w:r w:rsidR="00BD5FD5">
        <w:rPr>
          <w:rFonts w:asciiTheme="majorHAnsi" w:hAnsiTheme="majorHAnsi"/>
        </w:rPr>
        <w:t>k</w:t>
      </w:r>
      <w:r w:rsidR="00203D2B">
        <w:rPr>
          <w:rFonts w:asciiTheme="majorHAnsi" w:hAnsiTheme="majorHAnsi"/>
        </w:rPr>
        <w:t>v</w:t>
      </w:r>
      <w:r w:rsidRPr="00A11FE0">
        <w:rPr>
          <w:rFonts w:asciiTheme="majorHAnsi" w:hAnsiTheme="majorHAnsi"/>
        </w:rPr>
        <w:t>ality ovzdušia v </w:t>
      </w:r>
      <w:r w:rsidR="00BD5FD5">
        <w:rPr>
          <w:rFonts w:asciiTheme="majorHAnsi" w:hAnsiTheme="majorHAnsi"/>
        </w:rPr>
        <w:t>S</w:t>
      </w:r>
      <w:r w:rsidRPr="00A11FE0">
        <w:rPr>
          <w:rFonts w:asciiTheme="majorHAnsi" w:hAnsiTheme="majorHAnsi"/>
        </w:rPr>
        <w:t>R</w:t>
      </w:r>
      <w:r w:rsidRPr="00A11FE0">
        <w:rPr>
          <w:rFonts w:asciiTheme="majorHAnsi" w:hAnsiTheme="majorHAnsi"/>
          <w:vertAlign w:val="superscript"/>
        </w:rPr>
        <w:footnoteReference w:id="204"/>
      </w:r>
      <w:r w:rsidRPr="00A11FE0">
        <w:rPr>
          <w:rFonts w:asciiTheme="majorHAnsi" w:hAnsiTheme="majorHAnsi"/>
        </w:rPr>
        <w:t xml:space="preserve"> možno </w:t>
      </w:r>
      <w:r w:rsidR="00BD5FD5">
        <w:rPr>
          <w:rFonts w:asciiTheme="majorHAnsi" w:hAnsiTheme="majorHAnsi"/>
        </w:rPr>
        <w:t>k</w:t>
      </w:r>
      <w:r w:rsidRPr="00A11FE0">
        <w:rPr>
          <w:rFonts w:asciiTheme="majorHAnsi" w:hAnsiTheme="majorHAnsi"/>
        </w:rPr>
        <w:t xml:space="preserve">onštatovať pretrvávajúcu nepriaznivú </w:t>
      </w:r>
      <w:r w:rsidR="00BD5FD5">
        <w:rPr>
          <w:rFonts w:asciiTheme="majorHAnsi" w:hAnsiTheme="majorHAnsi"/>
        </w:rPr>
        <w:t>s</w:t>
      </w:r>
      <w:r w:rsidRPr="00A11FE0">
        <w:rPr>
          <w:rFonts w:asciiTheme="majorHAnsi" w:hAnsiTheme="majorHAnsi"/>
        </w:rPr>
        <w:t xml:space="preserve">ituáciu v oblasti </w:t>
      </w:r>
      <w:r w:rsidR="00BD5FD5">
        <w:rPr>
          <w:rFonts w:asciiTheme="majorHAnsi" w:hAnsiTheme="majorHAnsi"/>
        </w:rPr>
        <w:t>k</w:t>
      </w:r>
      <w:r w:rsidRPr="00A11FE0">
        <w:rPr>
          <w:rFonts w:asciiTheme="majorHAnsi" w:hAnsiTheme="majorHAnsi"/>
        </w:rPr>
        <w:t xml:space="preserve">vality ovzdušia, </w:t>
      </w:r>
      <w:r w:rsidR="00BD5FD5">
        <w:rPr>
          <w:rFonts w:asciiTheme="majorHAnsi" w:hAnsiTheme="majorHAnsi"/>
        </w:rPr>
        <w:t>a </w:t>
      </w:r>
      <w:r w:rsidRPr="00A11FE0">
        <w:rPr>
          <w:rFonts w:asciiTheme="majorHAnsi" w:hAnsiTheme="majorHAnsi"/>
        </w:rPr>
        <w:t xml:space="preserve">to </w:t>
      </w:r>
      <w:r w:rsidR="00BD5FD5">
        <w:rPr>
          <w:rFonts w:asciiTheme="majorHAnsi" w:hAnsiTheme="majorHAnsi"/>
        </w:rPr>
        <w:t>a</w:t>
      </w:r>
      <w:r w:rsidRPr="00A11FE0">
        <w:rPr>
          <w:rFonts w:asciiTheme="majorHAnsi" w:hAnsiTheme="majorHAnsi"/>
        </w:rPr>
        <w:t xml:space="preserve">j napriek postupne </w:t>
      </w:r>
      <w:r w:rsidR="00BD5FD5">
        <w:rPr>
          <w:rFonts w:asciiTheme="majorHAnsi" w:hAnsiTheme="majorHAnsi"/>
        </w:rPr>
        <w:t>k</w:t>
      </w:r>
      <w:r w:rsidRPr="00A11FE0">
        <w:rPr>
          <w:rFonts w:asciiTheme="majorHAnsi" w:hAnsiTheme="majorHAnsi"/>
        </w:rPr>
        <w:t xml:space="preserve">lesajúcemu trendu v celkovom množstve emisií znečisťujúcich látok </w:t>
      </w:r>
      <w:r w:rsidR="00CB7461">
        <w:rPr>
          <w:rFonts w:asciiTheme="majorHAnsi" w:hAnsiTheme="majorHAnsi"/>
        </w:rPr>
        <w:t xml:space="preserve"> do </w:t>
      </w:r>
      <w:r w:rsidRPr="00A11FE0">
        <w:rPr>
          <w:rFonts w:asciiTheme="majorHAnsi" w:hAnsiTheme="majorHAnsi"/>
        </w:rPr>
        <w:t>ovzduš</w:t>
      </w:r>
      <w:r w:rsidR="00CB7461">
        <w:rPr>
          <w:rFonts w:asciiTheme="majorHAnsi" w:hAnsiTheme="majorHAnsi"/>
        </w:rPr>
        <w:t>ia</w:t>
      </w:r>
      <w:r w:rsidRPr="00A11FE0">
        <w:rPr>
          <w:rFonts w:asciiTheme="majorHAnsi" w:hAnsiTheme="majorHAnsi"/>
        </w:rPr>
        <w:t xml:space="preserve">. Najvýznamnejším identifikovaným problémom je znečistenie ovzdušia </w:t>
      </w:r>
      <w:r w:rsidR="00BD5FD5">
        <w:rPr>
          <w:rFonts w:asciiTheme="majorHAnsi" w:hAnsiTheme="majorHAnsi"/>
        </w:rPr>
        <w:t>s</w:t>
      </w:r>
      <w:r w:rsidRPr="00A11FE0">
        <w:rPr>
          <w:rFonts w:asciiTheme="majorHAnsi" w:hAnsiTheme="majorHAnsi"/>
        </w:rPr>
        <w:t xml:space="preserve">uspendovanými časticami tuhých látok (PM10, </w:t>
      </w:r>
      <w:r w:rsidR="00BD5FD5">
        <w:rPr>
          <w:rFonts w:asciiTheme="majorHAnsi" w:hAnsiTheme="majorHAnsi"/>
        </w:rPr>
        <w:t>a</w:t>
      </w:r>
      <w:r w:rsidRPr="00A11FE0">
        <w:rPr>
          <w:rFonts w:asciiTheme="majorHAnsi" w:hAnsiTheme="majorHAnsi"/>
        </w:rPr>
        <w:t xml:space="preserve">j PM2,5). Vládou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s</w:t>
      </w:r>
      <w:r w:rsidRPr="00A11FE0">
        <w:rPr>
          <w:rFonts w:asciiTheme="majorHAnsi" w:hAnsiTheme="majorHAnsi"/>
        </w:rPr>
        <w:t xml:space="preserve">chválená </w:t>
      </w:r>
      <w:r w:rsidR="00BD5FD5">
        <w:rPr>
          <w:rFonts w:asciiTheme="majorHAnsi" w:hAnsiTheme="majorHAnsi"/>
        </w:rPr>
        <w:t>S</w:t>
      </w:r>
      <w:r w:rsidRPr="00A11FE0">
        <w:rPr>
          <w:rFonts w:asciiTheme="majorHAnsi" w:hAnsiTheme="majorHAnsi"/>
        </w:rPr>
        <w:t>tratégia pre redukciu PM10</w:t>
      </w:r>
      <w:r w:rsidR="008B140E">
        <w:rPr>
          <w:rStyle w:val="Odkaznapoznmkupodiarou"/>
          <w:rFonts w:asciiTheme="majorHAnsi" w:hAnsiTheme="majorHAnsi"/>
        </w:rPr>
        <w:footnoteReference w:id="205"/>
      </w:r>
      <w:r w:rsidRPr="00A11FE0">
        <w:rPr>
          <w:rFonts w:asciiTheme="majorHAnsi" w:hAnsiTheme="majorHAnsi"/>
        </w:rPr>
        <w:t xml:space="preserve"> nadväzuje na </w:t>
      </w:r>
      <w:r w:rsidR="00BD5FD5">
        <w:rPr>
          <w:rFonts w:asciiTheme="majorHAnsi" w:hAnsiTheme="majorHAnsi"/>
        </w:rPr>
        <w:t>s</w:t>
      </w:r>
      <w:r w:rsidRPr="00A11FE0">
        <w:rPr>
          <w:rFonts w:asciiTheme="majorHAnsi" w:hAnsiTheme="majorHAnsi"/>
        </w:rPr>
        <w:t xml:space="preserve">mernicu </w:t>
      </w:r>
      <w:r w:rsidR="00992762">
        <w:rPr>
          <w:rFonts w:asciiTheme="majorHAnsi" w:hAnsiTheme="majorHAnsi"/>
        </w:rPr>
        <w:t>E</w:t>
      </w:r>
      <w:r w:rsidR="00C20F3A">
        <w:rPr>
          <w:rFonts w:asciiTheme="majorHAnsi" w:hAnsiTheme="majorHAnsi"/>
        </w:rPr>
        <w:t>ur</w:t>
      </w:r>
      <w:r w:rsidRPr="00A11FE0">
        <w:rPr>
          <w:rFonts w:asciiTheme="majorHAnsi" w:hAnsiTheme="majorHAnsi"/>
        </w:rPr>
        <w:t xml:space="preserve">ópskeho parlamentu </w:t>
      </w:r>
      <w:r w:rsidR="00BD5FD5">
        <w:rPr>
          <w:rFonts w:asciiTheme="majorHAnsi" w:hAnsiTheme="majorHAnsi"/>
        </w:rPr>
        <w:t>a </w:t>
      </w:r>
      <w:r w:rsidRPr="00A11FE0">
        <w:rPr>
          <w:rFonts w:asciiTheme="majorHAnsi" w:hAnsiTheme="majorHAnsi"/>
        </w:rPr>
        <w:t>Rady 2008/50/ES o</w:t>
      </w:r>
      <w:r w:rsidR="004468B6">
        <w:rPr>
          <w:rFonts w:asciiTheme="majorHAnsi" w:hAnsiTheme="majorHAnsi"/>
        </w:rPr>
        <w:t> </w:t>
      </w:r>
      <w:r w:rsidR="00BD5FD5">
        <w:rPr>
          <w:rFonts w:asciiTheme="majorHAnsi" w:hAnsiTheme="majorHAnsi"/>
        </w:rPr>
        <w:t>k</w:t>
      </w:r>
      <w:r w:rsidRPr="00A11FE0">
        <w:rPr>
          <w:rFonts w:asciiTheme="majorHAnsi" w:hAnsiTheme="majorHAnsi"/>
        </w:rPr>
        <w:t xml:space="preserve">valite okolitého ovzdušia </w:t>
      </w:r>
      <w:r w:rsidR="00BD5FD5">
        <w:rPr>
          <w:rFonts w:asciiTheme="majorHAnsi" w:hAnsiTheme="majorHAnsi"/>
        </w:rPr>
        <w:t>a </w:t>
      </w:r>
      <w:r w:rsidRPr="00A11FE0">
        <w:rPr>
          <w:rFonts w:asciiTheme="majorHAnsi" w:hAnsiTheme="majorHAnsi"/>
        </w:rPr>
        <w:t>čistejšom ovzduší v</w:t>
      </w:r>
      <w:r w:rsidR="00DC4453">
        <w:rPr>
          <w:rFonts w:asciiTheme="majorHAnsi" w:hAnsiTheme="majorHAnsi"/>
        </w:rPr>
        <w:t> </w:t>
      </w:r>
      <w:r w:rsidR="00992762">
        <w:rPr>
          <w:rFonts w:asciiTheme="majorHAnsi" w:hAnsiTheme="majorHAnsi"/>
        </w:rPr>
        <w:t>E</w:t>
      </w:r>
      <w:r w:rsidR="00C20F3A">
        <w:rPr>
          <w:rFonts w:asciiTheme="majorHAnsi" w:hAnsiTheme="majorHAnsi"/>
        </w:rPr>
        <w:t>ur</w:t>
      </w:r>
      <w:r w:rsidRPr="00A11FE0">
        <w:rPr>
          <w:rFonts w:asciiTheme="majorHAnsi" w:hAnsiTheme="majorHAnsi"/>
        </w:rPr>
        <w:t xml:space="preserve">ópe. </w:t>
      </w:r>
      <w:r w:rsidR="004F7EB1">
        <w:rPr>
          <w:rFonts w:asciiTheme="majorHAnsi" w:hAnsiTheme="majorHAnsi"/>
        </w:rPr>
        <w:t>Obsahuje prierezové opatrenia na zníženie koncentrácie častíc PM</w:t>
      </w:r>
      <w:r w:rsidR="004F7EB1" w:rsidRPr="00DA17A0">
        <w:rPr>
          <w:rFonts w:asciiTheme="majorHAnsi" w:hAnsiTheme="majorHAnsi"/>
          <w:vertAlign w:val="subscript"/>
        </w:rPr>
        <w:t>10</w:t>
      </w:r>
      <w:r w:rsidR="004F7EB1">
        <w:rPr>
          <w:rFonts w:asciiTheme="majorHAnsi" w:hAnsiTheme="majorHAnsi"/>
        </w:rPr>
        <w:t>, ktoré je potrebné realizovať vo viacerých oblastiach, napr. v</w:t>
      </w:r>
      <w:r w:rsidR="004468B6">
        <w:rPr>
          <w:rFonts w:asciiTheme="majorHAnsi" w:hAnsiTheme="majorHAnsi"/>
        </w:rPr>
        <w:t> </w:t>
      </w:r>
      <w:r w:rsidR="004F7EB1">
        <w:rPr>
          <w:rFonts w:asciiTheme="majorHAnsi" w:hAnsiTheme="majorHAnsi"/>
        </w:rPr>
        <w:t>oblasti</w:t>
      </w:r>
      <w:r w:rsidR="004468B6">
        <w:rPr>
          <w:rFonts w:asciiTheme="majorHAnsi" w:hAnsiTheme="majorHAnsi"/>
        </w:rPr>
        <w:t xml:space="preserve"> </w:t>
      </w:r>
      <w:r w:rsidR="004F7EB1">
        <w:rPr>
          <w:rFonts w:asciiTheme="majorHAnsi" w:hAnsiTheme="majorHAnsi"/>
        </w:rPr>
        <w:t xml:space="preserve">tepelnej energetiky (lokálne vykurovanie), dopravy, pôdohospodárstva (hospodárenie na pôde), ako aj pri stavebnej činnosti. </w:t>
      </w:r>
      <w:r w:rsidRPr="00A11FE0">
        <w:rPr>
          <w:rFonts w:asciiTheme="majorHAnsi" w:hAnsiTheme="majorHAnsi"/>
        </w:rPr>
        <w:t>Okrem znečistenia ovzdušia prachovými časticami PM (</w:t>
      </w:r>
      <w:r w:rsidR="00BD5FD5">
        <w:rPr>
          <w:rFonts w:asciiTheme="majorHAnsi" w:hAnsiTheme="majorHAnsi"/>
        </w:rPr>
        <w:t>s</w:t>
      </w:r>
      <w:r w:rsidRPr="00A11FE0">
        <w:rPr>
          <w:rFonts w:asciiTheme="majorHAnsi" w:hAnsiTheme="majorHAnsi"/>
        </w:rPr>
        <w:t xml:space="preserve">pôsobujúcich tzv. primárnu prašnosť) je potrebné znižovať </w:t>
      </w:r>
      <w:r w:rsidR="00BD5FD5">
        <w:rPr>
          <w:rFonts w:asciiTheme="majorHAnsi" w:hAnsiTheme="majorHAnsi"/>
        </w:rPr>
        <w:t>a</w:t>
      </w:r>
      <w:r w:rsidRPr="00A11FE0">
        <w:rPr>
          <w:rFonts w:asciiTheme="majorHAnsi" w:hAnsiTheme="majorHAnsi"/>
        </w:rPr>
        <w:t xml:space="preserve">j znečistenie ovzdušia </w:t>
      </w:r>
      <w:r w:rsidRPr="00A11FE0">
        <w:rPr>
          <w:rFonts w:asciiTheme="majorHAnsi" w:hAnsiTheme="majorHAnsi"/>
        </w:rPr>
        <w:lastRenderedPageBreak/>
        <w:t>ďalšími znečisťujúcimi látkami (napr. oxidy dusíka, oxidy</w:t>
      </w:r>
      <w:r w:rsidR="001E17CD">
        <w:rPr>
          <w:rFonts w:asciiTheme="majorHAnsi" w:hAnsiTheme="majorHAnsi"/>
        </w:rPr>
        <w:t xml:space="preserve"> </w:t>
      </w:r>
      <w:r w:rsidR="00BD5FD5">
        <w:rPr>
          <w:rFonts w:asciiTheme="majorHAnsi" w:hAnsiTheme="majorHAnsi"/>
        </w:rPr>
        <w:t>s</w:t>
      </w:r>
      <w:r w:rsidRPr="00A11FE0">
        <w:rPr>
          <w:rFonts w:asciiTheme="majorHAnsi" w:hAnsiTheme="majorHAnsi"/>
        </w:rPr>
        <w:t xml:space="preserve">íry, </w:t>
      </w:r>
      <w:r w:rsidR="00BD5FD5">
        <w:rPr>
          <w:rFonts w:asciiTheme="majorHAnsi" w:hAnsiTheme="majorHAnsi"/>
        </w:rPr>
        <w:t>a</w:t>
      </w:r>
      <w:r w:rsidRPr="00A11FE0">
        <w:rPr>
          <w:rFonts w:asciiTheme="majorHAnsi" w:hAnsiTheme="majorHAnsi"/>
        </w:rPr>
        <w:t xml:space="preserve">moniak </w:t>
      </w:r>
      <w:r w:rsidR="00BD5FD5">
        <w:rPr>
          <w:rFonts w:asciiTheme="majorHAnsi" w:hAnsiTheme="majorHAnsi"/>
        </w:rPr>
        <w:t>a</w:t>
      </w:r>
      <w:r w:rsidRPr="00A11FE0">
        <w:rPr>
          <w:rFonts w:asciiTheme="majorHAnsi" w:hAnsiTheme="majorHAnsi"/>
        </w:rPr>
        <w:t>tď.</w:t>
      </w:r>
      <w:r w:rsidR="00027D15" w:rsidRPr="00A11FE0">
        <w:rPr>
          <w:rFonts w:asciiTheme="majorHAnsi" w:hAnsiTheme="majorHAnsi"/>
        </w:rPr>
        <w:t>)</w:t>
      </w:r>
      <w:r w:rsidRPr="00A11FE0">
        <w:rPr>
          <w:rFonts w:asciiTheme="majorHAnsi" w:hAnsiTheme="majorHAnsi"/>
        </w:rPr>
        <w:t xml:space="preserve">, </w:t>
      </w:r>
      <w:r w:rsidR="00BD5FD5">
        <w:rPr>
          <w:rFonts w:asciiTheme="majorHAnsi" w:hAnsiTheme="majorHAnsi"/>
        </w:rPr>
        <w:t>k</w:t>
      </w:r>
      <w:r w:rsidRPr="00A11FE0">
        <w:rPr>
          <w:rFonts w:asciiTheme="majorHAnsi" w:hAnsiTheme="majorHAnsi"/>
        </w:rPr>
        <w:t xml:space="preserve">toré prispievajú </w:t>
      </w:r>
      <w:r w:rsidR="00BD5FD5">
        <w:rPr>
          <w:rFonts w:asciiTheme="majorHAnsi" w:hAnsiTheme="majorHAnsi"/>
        </w:rPr>
        <w:t>k s</w:t>
      </w:r>
      <w:r w:rsidRPr="00A11FE0">
        <w:rPr>
          <w:rFonts w:asciiTheme="majorHAnsi" w:hAnsiTheme="majorHAnsi"/>
        </w:rPr>
        <w:t xml:space="preserve">ekundárnej prašnosti. Problematika </w:t>
      </w:r>
      <w:r w:rsidR="00BD5FD5">
        <w:rPr>
          <w:rFonts w:asciiTheme="majorHAnsi" w:hAnsiTheme="majorHAnsi"/>
        </w:rPr>
        <w:t>k</w:t>
      </w:r>
      <w:r w:rsidRPr="00A11FE0">
        <w:rPr>
          <w:rFonts w:asciiTheme="majorHAnsi" w:hAnsiTheme="majorHAnsi"/>
        </w:rPr>
        <w:t xml:space="preserve">vality ovzdušia </w:t>
      </w:r>
      <w:r w:rsidR="00BD5FD5">
        <w:rPr>
          <w:rFonts w:asciiTheme="majorHAnsi" w:hAnsiTheme="majorHAnsi"/>
        </w:rPr>
        <w:t>s </w:t>
      </w:r>
      <w:r w:rsidRPr="00A11FE0">
        <w:rPr>
          <w:rFonts w:asciiTheme="majorHAnsi" w:hAnsiTheme="majorHAnsi"/>
        </w:rPr>
        <w:t xml:space="preserve">dôrazom na škodlivé </w:t>
      </w:r>
      <w:r w:rsidR="00BD5FD5">
        <w:rPr>
          <w:rFonts w:asciiTheme="majorHAnsi" w:hAnsiTheme="majorHAnsi"/>
        </w:rPr>
        <w:t>k</w:t>
      </w:r>
      <w:r w:rsidRPr="00A11FE0">
        <w:rPr>
          <w:rFonts w:asciiTheme="majorHAnsi" w:hAnsiTheme="majorHAnsi"/>
        </w:rPr>
        <w:t xml:space="preserve">oncentrácie prachových častíc v ovzduší je obsiahnutá </w:t>
      </w:r>
      <w:r w:rsidR="00BD5FD5">
        <w:rPr>
          <w:rFonts w:asciiTheme="majorHAnsi" w:hAnsiTheme="majorHAnsi"/>
        </w:rPr>
        <w:t>a</w:t>
      </w:r>
      <w:r w:rsidRPr="00A11FE0">
        <w:rPr>
          <w:rFonts w:asciiTheme="majorHAnsi" w:hAnsiTheme="majorHAnsi"/>
        </w:rPr>
        <w:t xml:space="preserve">j v Pláne pre </w:t>
      </w:r>
      <w:r w:rsidR="00992762">
        <w:rPr>
          <w:rFonts w:asciiTheme="majorHAnsi" w:hAnsiTheme="majorHAnsi"/>
        </w:rPr>
        <w:t>E</w:t>
      </w:r>
      <w:r w:rsidR="00C20F3A">
        <w:rPr>
          <w:rFonts w:asciiTheme="majorHAnsi" w:hAnsiTheme="majorHAnsi"/>
        </w:rPr>
        <w:t>ur</w:t>
      </w:r>
      <w:r w:rsidRPr="00A11FE0">
        <w:rPr>
          <w:rFonts w:asciiTheme="majorHAnsi" w:hAnsiTheme="majorHAnsi"/>
        </w:rPr>
        <w:t>ópu efektívne využívajúcu zdroje</w:t>
      </w:r>
      <w:r w:rsidRPr="00A11FE0">
        <w:rPr>
          <w:rFonts w:asciiTheme="majorHAnsi" w:hAnsiTheme="majorHAnsi"/>
          <w:vertAlign w:val="superscript"/>
        </w:rPr>
        <w:footnoteReference w:id="206"/>
      </w:r>
      <w:r w:rsidRPr="00A11FE0">
        <w:rPr>
          <w:rFonts w:asciiTheme="majorHAnsi" w:hAnsiTheme="majorHAnsi"/>
        </w:rPr>
        <w:t>.</w:t>
      </w:r>
    </w:p>
    <w:p w:rsidR="00406C25" w:rsidRPr="00A11FE0" w:rsidRDefault="00406C25" w:rsidP="00406C25">
      <w:pPr>
        <w:rPr>
          <w:rFonts w:asciiTheme="majorHAnsi" w:hAnsiTheme="majorHAnsi"/>
        </w:rPr>
      </w:pPr>
      <w:r w:rsidRPr="00A11FE0">
        <w:rPr>
          <w:rFonts w:asciiTheme="majorHAnsi" w:hAnsiTheme="majorHAnsi"/>
        </w:rPr>
        <w:t>Z </w:t>
      </w:r>
      <w:r w:rsidR="00BD5FD5">
        <w:rPr>
          <w:rFonts w:asciiTheme="majorHAnsi" w:hAnsiTheme="majorHAnsi"/>
        </w:rPr>
        <w:t>a</w:t>
      </w:r>
      <w:r w:rsidRPr="00A11FE0">
        <w:rPr>
          <w:rFonts w:asciiTheme="majorHAnsi" w:hAnsiTheme="majorHAnsi"/>
        </w:rPr>
        <w:t xml:space="preserve">nalýzy vývojových trendov emisií základných znečisťujúcich látok do r. 2011 možno </w:t>
      </w:r>
      <w:r w:rsidR="00BD5FD5">
        <w:rPr>
          <w:rFonts w:asciiTheme="majorHAnsi" w:hAnsiTheme="majorHAnsi"/>
        </w:rPr>
        <w:t>k</w:t>
      </w:r>
      <w:r w:rsidRPr="00A11FE0">
        <w:rPr>
          <w:rFonts w:asciiTheme="majorHAnsi" w:hAnsiTheme="majorHAnsi"/>
        </w:rPr>
        <w:t xml:space="preserve">onštatovať, že na znečistení tuhými znečisťujúcimi látkami </w:t>
      </w:r>
      <w:r w:rsidR="00BD5FD5">
        <w:rPr>
          <w:rFonts w:asciiTheme="majorHAnsi" w:hAnsiTheme="majorHAnsi"/>
        </w:rPr>
        <w:t>s</w:t>
      </w:r>
      <w:r w:rsidRPr="00A11FE0">
        <w:rPr>
          <w:rFonts w:asciiTheme="majorHAnsi" w:hAnsiTheme="majorHAnsi"/>
        </w:rPr>
        <w:t xml:space="preserve">a dlhodobo výrazne podieľajú práve malé zdroje znečistenia. Zastaranosť tepelných zdrojov </w:t>
      </w:r>
      <w:r w:rsidR="00BD5FD5">
        <w:rPr>
          <w:rFonts w:asciiTheme="majorHAnsi" w:hAnsiTheme="majorHAnsi"/>
        </w:rPr>
        <w:t>a </w:t>
      </w:r>
      <w:r w:rsidRPr="00A11FE0">
        <w:rPr>
          <w:rFonts w:asciiTheme="majorHAnsi" w:hAnsiTheme="majorHAnsi"/>
        </w:rPr>
        <w:t xml:space="preserve">nevhodná palivová základňa </w:t>
      </w:r>
      <w:r w:rsidR="00BD5FD5">
        <w:rPr>
          <w:rFonts w:asciiTheme="majorHAnsi" w:hAnsiTheme="majorHAnsi"/>
        </w:rPr>
        <w:t>s</w:t>
      </w:r>
      <w:r w:rsidRPr="00A11FE0">
        <w:rPr>
          <w:rFonts w:asciiTheme="majorHAnsi" w:hAnsiTheme="majorHAnsi"/>
        </w:rPr>
        <w:t xml:space="preserve">ú významné faktory </w:t>
      </w:r>
      <w:r w:rsidR="00BD5FD5">
        <w:rPr>
          <w:rFonts w:asciiTheme="majorHAnsi" w:hAnsiTheme="majorHAnsi"/>
        </w:rPr>
        <w:t>a</w:t>
      </w:r>
      <w:r w:rsidRPr="00A11FE0">
        <w:rPr>
          <w:rFonts w:asciiTheme="majorHAnsi" w:hAnsiTheme="majorHAnsi"/>
        </w:rPr>
        <w:t>j v prípade znečistenia ďalšími znečisťujúcimi látkami (</w:t>
      </w:r>
      <w:r w:rsidR="00BD5FD5">
        <w:rPr>
          <w:rFonts w:asciiTheme="majorHAnsi" w:hAnsiTheme="majorHAnsi"/>
        </w:rPr>
        <w:t>S</w:t>
      </w:r>
      <w:r w:rsidRPr="00A11FE0">
        <w:rPr>
          <w:rFonts w:asciiTheme="majorHAnsi" w:hAnsiTheme="majorHAnsi"/>
        </w:rPr>
        <w:t xml:space="preserve">O2, NOx </w:t>
      </w:r>
      <w:r w:rsidR="00BD5FD5">
        <w:rPr>
          <w:rFonts w:asciiTheme="majorHAnsi" w:hAnsiTheme="majorHAnsi"/>
        </w:rPr>
        <w:t>a</w:t>
      </w:r>
      <w:r w:rsidRPr="00A11FE0">
        <w:rPr>
          <w:rFonts w:asciiTheme="majorHAnsi" w:hAnsiTheme="majorHAnsi"/>
        </w:rPr>
        <w:t xml:space="preserve"> najmä CO). </w:t>
      </w:r>
      <w:r w:rsidR="00CB7461" w:rsidRPr="00CB7461">
        <w:rPr>
          <w:rFonts w:asciiTheme="majorHAnsi" w:hAnsiTheme="majorHAnsi"/>
        </w:rPr>
        <w:t xml:space="preserve">Pozornosť je potrebné venovať aj ostatným zdrojom znečisťovania ovzdušia. </w:t>
      </w:r>
      <w:r w:rsidRPr="00A11FE0">
        <w:rPr>
          <w:rFonts w:asciiTheme="majorHAnsi" w:hAnsiTheme="majorHAnsi"/>
        </w:rPr>
        <w:t xml:space="preserve">Zvyšujúcu </w:t>
      </w:r>
      <w:r w:rsidR="00BD5FD5">
        <w:rPr>
          <w:rFonts w:asciiTheme="majorHAnsi" w:hAnsiTheme="majorHAnsi"/>
        </w:rPr>
        <w:t>s</w:t>
      </w:r>
      <w:r w:rsidRPr="00A11FE0">
        <w:rPr>
          <w:rFonts w:asciiTheme="majorHAnsi" w:hAnsiTheme="majorHAnsi"/>
        </w:rPr>
        <w:t xml:space="preserve">a úroveň </w:t>
      </w:r>
      <w:r w:rsidR="00BD5FD5">
        <w:rPr>
          <w:rFonts w:asciiTheme="majorHAnsi" w:hAnsiTheme="majorHAnsi"/>
        </w:rPr>
        <w:t>k</w:t>
      </w:r>
      <w:r w:rsidRPr="00A11FE0">
        <w:rPr>
          <w:rFonts w:asciiTheme="majorHAnsi" w:hAnsiTheme="majorHAnsi"/>
        </w:rPr>
        <w:t xml:space="preserve">vality ovzdušia možno zabezpečiť uplatňovaním zásad </w:t>
      </w:r>
      <w:r w:rsidR="00BD5FD5">
        <w:rPr>
          <w:rFonts w:asciiTheme="majorHAnsi" w:hAnsiTheme="majorHAnsi"/>
        </w:rPr>
        <w:t>a </w:t>
      </w:r>
      <w:r w:rsidRPr="00A11FE0">
        <w:rPr>
          <w:rFonts w:asciiTheme="majorHAnsi" w:hAnsiTheme="majorHAnsi"/>
        </w:rPr>
        <w:t xml:space="preserve">pravidiel pre používanie BAT (Best </w:t>
      </w:r>
      <w:r w:rsidR="00BD5FD5">
        <w:rPr>
          <w:rFonts w:asciiTheme="majorHAnsi" w:hAnsiTheme="majorHAnsi"/>
        </w:rPr>
        <w:t>A</w:t>
      </w:r>
      <w:r w:rsidRPr="00A11FE0">
        <w:rPr>
          <w:rFonts w:asciiTheme="majorHAnsi" w:hAnsiTheme="majorHAnsi"/>
        </w:rPr>
        <w:t>vailable Techniques – najlepšia dostupná technika).</w:t>
      </w:r>
    </w:p>
    <w:p w:rsidR="00406C25" w:rsidRPr="00A11FE0" w:rsidRDefault="00406C25" w:rsidP="00406C25">
      <w:pPr>
        <w:rPr>
          <w:rFonts w:asciiTheme="majorHAnsi" w:hAnsiTheme="majorHAnsi"/>
        </w:rPr>
      </w:pPr>
      <w:r w:rsidRPr="00A11FE0">
        <w:rPr>
          <w:rFonts w:asciiTheme="majorHAnsi" w:hAnsiTheme="majorHAnsi"/>
        </w:rPr>
        <w:t xml:space="preserve">Na celkových emisiách znečisťujúcich látok </w:t>
      </w:r>
      <w:r w:rsidR="00027D15" w:rsidRPr="00A11FE0">
        <w:rPr>
          <w:rFonts w:asciiTheme="majorHAnsi" w:hAnsiTheme="majorHAnsi"/>
        </w:rPr>
        <w:t xml:space="preserve">má </w:t>
      </w:r>
      <w:r w:rsidRPr="00A11FE0">
        <w:rPr>
          <w:rFonts w:asciiTheme="majorHAnsi" w:hAnsiTheme="majorHAnsi"/>
        </w:rPr>
        <w:t>významný podiel doprav</w:t>
      </w:r>
      <w:r w:rsidR="00027D15" w:rsidRPr="00A11FE0">
        <w:rPr>
          <w:rFonts w:asciiTheme="majorHAnsi" w:hAnsiTheme="majorHAnsi"/>
        </w:rPr>
        <w:t>a</w:t>
      </w:r>
      <w:r w:rsidR="005B6332" w:rsidRPr="00A11FE0">
        <w:rPr>
          <w:rStyle w:val="Odkaznapoznmkupodiarou"/>
          <w:rFonts w:asciiTheme="majorHAnsi" w:hAnsiTheme="majorHAnsi"/>
        </w:rPr>
        <w:footnoteReference w:id="207"/>
      </w:r>
      <w:r w:rsidRPr="00A11FE0">
        <w:rPr>
          <w:rFonts w:asciiTheme="majorHAnsi" w:hAnsiTheme="majorHAnsi"/>
        </w:rPr>
        <w:t xml:space="preserve">. V prípade verejnej dopravy je hlavným problémom zastaranosť vozového parku </w:t>
      </w:r>
      <w:r w:rsidR="00BD5FD5">
        <w:rPr>
          <w:rFonts w:asciiTheme="majorHAnsi" w:hAnsiTheme="majorHAnsi"/>
        </w:rPr>
        <w:t>a </w:t>
      </w:r>
      <w:r w:rsidRPr="00A11FE0">
        <w:rPr>
          <w:rFonts w:asciiTheme="majorHAnsi" w:hAnsiTheme="majorHAnsi"/>
        </w:rPr>
        <w:t xml:space="preserve">používanie </w:t>
      </w:r>
      <w:r w:rsidR="00BD5FD5">
        <w:rPr>
          <w:rFonts w:asciiTheme="majorHAnsi" w:hAnsiTheme="majorHAnsi"/>
        </w:rPr>
        <w:t>a</w:t>
      </w:r>
      <w:r w:rsidRPr="00A11FE0">
        <w:rPr>
          <w:rFonts w:asciiTheme="majorHAnsi" w:hAnsiTheme="majorHAnsi"/>
        </w:rPr>
        <w:t xml:space="preserve">utobusov na dieselový pohon. Okrem znečistenia emisiami výfukových plynov je významná </w:t>
      </w:r>
      <w:r w:rsidR="00BD5FD5">
        <w:rPr>
          <w:rFonts w:asciiTheme="majorHAnsi" w:hAnsiTheme="majorHAnsi"/>
        </w:rPr>
        <w:t>a</w:t>
      </w:r>
      <w:r w:rsidRPr="00A11FE0">
        <w:rPr>
          <w:rFonts w:asciiTheme="majorHAnsi" w:hAnsiTheme="majorHAnsi"/>
        </w:rPr>
        <w:t xml:space="preserve">j druhotná prašnosť v blízkosti </w:t>
      </w:r>
      <w:r w:rsidR="00BD5FD5">
        <w:rPr>
          <w:rFonts w:asciiTheme="majorHAnsi" w:hAnsiTheme="majorHAnsi"/>
        </w:rPr>
        <w:t>k</w:t>
      </w:r>
      <w:r w:rsidRPr="00A11FE0">
        <w:rPr>
          <w:rFonts w:asciiTheme="majorHAnsi" w:hAnsiTheme="majorHAnsi"/>
        </w:rPr>
        <w:t>omunikáci</w:t>
      </w:r>
      <w:r w:rsidR="00027D15" w:rsidRPr="00A11FE0">
        <w:rPr>
          <w:rFonts w:asciiTheme="majorHAnsi" w:hAnsiTheme="majorHAnsi"/>
        </w:rPr>
        <w:t>í</w:t>
      </w:r>
      <w:r w:rsidRPr="00A11FE0">
        <w:rPr>
          <w:rFonts w:asciiTheme="majorHAnsi" w:hAnsiTheme="majorHAnsi"/>
        </w:rPr>
        <w:t xml:space="preserve"> (zimný posyp </w:t>
      </w:r>
      <w:r w:rsidR="00BD5FD5">
        <w:rPr>
          <w:rFonts w:asciiTheme="majorHAnsi" w:hAnsiTheme="majorHAnsi"/>
        </w:rPr>
        <w:t>a </w:t>
      </w:r>
      <w:r w:rsidRPr="00A11FE0">
        <w:rPr>
          <w:rFonts w:asciiTheme="majorHAnsi" w:hAnsiTheme="majorHAnsi"/>
        </w:rPr>
        <w:t>iné znečistenie).</w:t>
      </w:r>
    </w:p>
    <w:p w:rsidR="00406C25" w:rsidRPr="00A11FE0" w:rsidRDefault="00406C25"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Existencia environmentálnych záťaží</w:t>
      </w:r>
    </w:p>
    <w:p w:rsidR="00406C25" w:rsidRPr="00A11FE0" w:rsidRDefault="00BD5FD5" w:rsidP="00406C25">
      <w:pPr>
        <w:rPr>
          <w:rFonts w:asciiTheme="majorHAnsi" w:hAnsiTheme="majorHAnsi"/>
        </w:rPr>
      </w:pPr>
      <w:r>
        <w:rPr>
          <w:rFonts w:asciiTheme="majorHAnsi" w:hAnsiTheme="majorHAnsi"/>
        </w:rPr>
        <w:t>S</w:t>
      </w:r>
      <w:r w:rsidR="00406C25" w:rsidRPr="00A11FE0">
        <w:rPr>
          <w:rFonts w:asciiTheme="majorHAnsi" w:hAnsiTheme="majorHAnsi"/>
        </w:rPr>
        <w:t>ystematickou inventarizáciou environmentálnych záťaží bolo zistené, že cca 1</w:t>
      </w:r>
      <w:r w:rsidR="004468B6">
        <w:rPr>
          <w:rFonts w:asciiTheme="majorHAnsi" w:hAnsiTheme="majorHAnsi"/>
        </w:rPr>
        <w:t xml:space="preserve"> </w:t>
      </w:r>
      <w:r w:rsidR="00406C25" w:rsidRPr="00A11FE0">
        <w:rPr>
          <w:rFonts w:asciiTheme="majorHAnsi" w:hAnsiTheme="majorHAnsi"/>
        </w:rPr>
        <w:t xml:space="preserve">200 lokalít predstavuje nebezpečenstvo pre zdravie človeka </w:t>
      </w:r>
      <w:r>
        <w:rPr>
          <w:rFonts w:asciiTheme="majorHAnsi" w:hAnsiTheme="majorHAnsi"/>
        </w:rPr>
        <w:t>a </w:t>
      </w:r>
      <w:r w:rsidR="00406C25" w:rsidRPr="00A11FE0">
        <w:rPr>
          <w:rFonts w:asciiTheme="majorHAnsi" w:hAnsiTheme="majorHAnsi"/>
        </w:rPr>
        <w:t>životné prostredie, z</w:t>
      </w:r>
      <w:r w:rsidR="004468B6">
        <w:rPr>
          <w:rFonts w:asciiTheme="majorHAnsi" w:hAnsiTheme="majorHAnsi"/>
        </w:rPr>
        <w:t> </w:t>
      </w:r>
      <w:r w:rsidR="00406C25" w:rsidRPr="00A11FE0">
        <w:rPr>
          <w:rFonts w:asciiTheme="majorHAnsi" w:hAnsiTheme="majorHAnsi"/>
        </w:rPr>
        <w:t>toho cca 250 je vysoko rizikových. Register environmentálnych záťaží</w:t>
      </w:r>
      <w:r w:rsidR="00406C25" w:rsidRPr="00A11FE0">
        <w:rPr>
          <w:rFonts w:asciiTheme="majorHAnsi" w:hAnsiTheme="majorHAnsi"/>
          <w:vertAlign w:val="superscript"/>
        </w:rPr>
        <w:footnoteReference w:id="208"/>
      </w:r>
      <w:r w:rsidR="00406C25" w:rsidRPr="00A11FE0">
        <w:rPr>
          <w:rFonts w:asciiTheme="majorHAnsi" w:hAnsiTheme="majorHAnsi"/>
        </w:rPr>
        <w:t xml:space="preserve">, </w:t>
      </w:r>
      <w:r>
        <w:rPr>
          <w:rFonts w:asciiTheme="majorHAnsi" w:hAnsiTheme="majorHAnsi"/>
        </w:rPr>
        <w:t>k</w:t>
      </w:r>
      <w:r w:rsidR="00406C25" w:rsidRPr="00A11FE0">
        <w:rPr>
          <w:rFonts w:asciiTheme="majorHAnsi" w:hAnsiTheme="majorHAnsi"/>
        </w:rPr>
        <w:t xml:space="preserve">torý je </w:t>
      </w:r>
      <w:r>
        <w:rPr>
          <w:rFonts w:asciiTheme="majorHAnsi" w:hAnsiTheme="majorHAnsi"/>
        </w:rPr>
        <w:t>s</w:t>
      </w:r>
      <w:r w:rsidR="00406C25" w:rsidRPr="00A11FE0">
        <w:rPr>
          <w:rFonts w:asciiTheme="majorHAnsi" w:hAnsiTheme="majorHAnsi"/>
        </w:rPr>
        <w:t xml:space="preserve">účasťou Informačného </w:t>
      </w:r>
      <w:r>
        <w:rPr>
          <w:rFonts w:asciiTheme="majorHAnsi" w:hAnsiTheme="majorHAnsi"/>
        </w:rPr>
        <w:t>s</w:t>
      </w:r>
      <w:r w:rsidR="00406C25" w:rsidRPr="00A11FE0">
        <w:rPr>
          <w:rFonts w:asciiTheme="majorHAnsi" w:hAnsiTheme="majorHAnsi"/>
        </w:rPr>
        <w:t xml:space="preserve">ystému environmentálnych záťaží, obsahuje </w:t>
      </w:r>
      <w:r>
        <w:rPr>
          <w:rFonts w:asciiTheme="majorHAnsi" w:hAnsiTheme="majorHAnsi"/>
        </w:rPr>
        <w:t>k </w:t>
      </w:r>
      <w:r w:rsidR="00406C25" w:rsidRPr="00A11FE0">
        <w:rPr>
          <w:rFonts w:asciiTheme="majorHAnsi" w:hAnsiTheme="majorHAnsi"/>
        </w:rPr>
        <w:t xml:space="preserve">1. </w:t>
      </w:r>
      <w:r w:rsidR="00E77070">
        <w:rPr>
          <w:rFonts w:asciiTheme="majorHAnsi" w:hAnsiTheme="majorHAnsi"/>
        </w:rPr>
        <w:t>4.</w:t>
      </w:r>
      <w:r w:rsidR="00E77070" w:rsidRPr="00A11FE0">
        <w:rPr>
          <w:rFonts w:asciiTheme="majorHAnsi" w:hAnsiTheme="majorHAnsi"/>
        </w:rPr>
        <w:t xml:space="preserve"> </w:t>
      </w:r>
      <w:r w:rsidR="00406C25" w:rsidRPr="00A11FE0">
        <w:rPr>
          <w:rFonts w:asciiTheme="majorHAnsi" w:hAnsiTheme="majorHAnsi"/>
        </w:rPr>
        <w:t>2013 1960 záznamov</w:t>
      </w:r>
      <w:r w:rsidR="00A2327E" w:rsidRPr="00A11FE0">
        <w:rPr>
          <w:rFonts w:asciiTheme="majorHAnsi" w:hAnsiTheme="majorHAnsi"/>
        </w:rPr>
        <w:t>.</w:t>
      </w:r>
    </w:p>
    <w:p w:rsidR="00406C25" w:rsidRPr="00A11FE0" w:rsidRDefault="00406C25" w:rsidP="00406C25">
      <w:pPr>
        <w:rPr>
          <w:rFonts w:asciiTheme="majorHAnsi" w:hAnsiTheme="majorHAnsi"/>
        </w:rPr>
      </w:pPr>
      <w:r w:rsidRPr="00A11FE0">
        <w:rPr>
          <w:rFonts w:asciiTheme="majorHAnsi" w:hAnsiTheme="majorHAnsi"/>
        </w:rPr>
        <w:t xml:space="preserve">Vláda </w:t>
      </w:r>
      <w:r w:rsidR="00BD5FD5">
        <w:rPr>
          <w:rFonts w:asciiTheme="majorHAnsi" w:hAnsiTheme="majorHAnsi"/>
        </w:rPr>
        <w:t>S</w:t>
      </w:r>
      <w:r w:rsidRPr="00A11FE0">
        <w:rPr>
          <w:rFonts w:asciiTheme="majorHAnsi" w:hAnsiTheme="majorHAnsi"/>
        </w:rPr>
        <w:t xml:space="preserve">R dňa 3. </w:t>
      </w:r>
      <w:r w:rsidR="00E77070">
        <w:rPr>
          <w:rFonts w:asciiTheme="majorHAnsi" w:hAnsiTheme="majorHAnsi"/>
        </w:rPr>
        <w:t>3.</w:t>
      </w:r>
      <w:r w:rsidR="00E77070" w:rsidRPr="00A11FE0">
        <w:rPr>
          <w:rFonts w:asciiTheme="majorHAnsi" w:hAnsiTheme="majorHAnsi"/>
        </w:rPr>
        <w:t xml:space="preserve"> </w:t>
      </w:r>
      <w:r w:rsidRPr="00A11FE0">
        <w:rPr>
          <w:rFonts w:asciiTheme="majorHAnsi" w:hAnsiTheme="majorHAnsi"/>
        </w:rPr>
        <w:t xml:space="preserve">2010 </w:t>
      </w:r>
      <w:r w:rsidR="00BD5FD5">
        <w:rPr>
          <w:rFonts w:asciiTheme="majorHAnsi" w:hAnsiTheme="majorHAnsi"/>
        </w:rPr>
        <w:t>s</w:t>
      </w:r>
      <w:r w:rsidRPr="00A11FE0">
        <w:rPr>
          <w:rFonts w:asciiTheme="majorHAnsi" w:hAnsiTheme="majorHAnsi"/>
        </w:rPr>
        <w:t xml:space="preserve">chválila </w:t>
      </w:r>
      <w:r w:rsidR="00BD5FD5">
        <w:rPr>
          <w:rFonts w:asciiTheme="majorHAnsi" w:hAnsiTheme="majorHAnsi"/>
        </w:rPr>
        <w:t>s</w:t>
      </w:r>
      <w:r w:rsidRPr="00A11FE0">
        <w:rPr>
          <w:rFonts w:asciiTheme="majorHAnsi" w:hAnsiTheme="majorHAnsi"/>
        </w:rPr>
        <w:t xml:space="preserve">trategický dokument pre </w:t>
      </w:r>
      <w:r w:rsidR="00BD5FD5">
        <w:rPr>
          <w:rFonts w:asciiTheme="majorHAnsi" w:hAnsiTheme="majorHAnsi"/>
        </w:rPr>
        <w:t>s</w:t>
      </w:r>
      <w:r w:rsidRPr="00A11FE0">
        <w:rPr>
          <w:rFonts w:asciiTheme="majorHAnsi" w:hAnsiTheme="majorHAnsi"/>
        </w:rPr>
        <w:t xml:space="preserve">ystematické odstraňovanie environmentálnych záťaží </w:t>
      </w:r>
      <w:r w:rsidR="00027D15" w:rsidRPr="00A11FE0">
        <w:rPr>
          <w:rFonts w:asciiTheme="majorHAnsi" w:hAnsiTheme="majorHAnsi"/>
        </w:rPr>
        <w:t>„</w:t>
      </w:r>
      <w:r w:rsidRPr="00A11FE0">
        <w:rPr>
          <w:rFonts w:asciiTheme="majorHAnsi" w:hAnsiTheme="majorHAnsi"/>
        </w:rPr>
        <w:t xml:space="preserve">Štátny program </w:t>
      </w:r>
      <w:r w:rsidR="00BD5FD5">
        <w:rPr>
          <w:rFonts w:asciiTheme="majorHAnsi" w:hAnsiTheme="majorHAnsi"/>
        </w:rPr>
        <w:t>s</w:t>
      </w:r>
      <w:r w:rsidRPr="00A11FE0">
        <w:rPr>
          <w:rFonts w:asciiTheme="majorHAnsi" w:hAnsiTheme="majorHAnsi"/>
        </w:rPr>
        <w:t>anácie environmentálnych záťaží 2010 – 2015</w:t>
      </w:r>
      <w:r w:rsidR="00027D15" w:rsidRPr="00A11FE0">
        <w:rPr>
          <w:rFonts w:asciiTheme="majorHAnsi" w:hAnsiTheme="majorHAnsi"/>
        </w:rPr>
        <w:t>“</w:t>
      </w:r>
      <w:r w:rsidR="00DC4453">
        <w:rPr>
          <w:rFonts w:asciiTheme="majorHAnsi" w:hAnsiTheme="majorHAnsi"/>
        </w:rPr>
        <w:t xml:space="preserve"> </w:t>
      </w:r>
      <w:r w:rsidR="00BD5FD5">
        <w:rPr>
          <w:rFonts w:asciiTheme="majorHAnsi" w:hAnsiTheme="majorHAnsi"/>
        </w:rPr>
        <w:t>a </w:t>
      </w:r>
      <w:r w:rsidRPr="00A11FE0">
        <w:rPr>
          <w:rFonts w:asciiTheme="majorHAnsi" w:hAnsiTheme="majorHAnsi"/>
        </w:rPr>
        <w:t>zároveň</w:t>
      </w:r>
      <w:r w:rsidR="00DC4453">
        <w:rPr>
          <w:rFonts w:asciiTheme="majorHAnsi" w:hAnsiTheme="majorHAnsi"/>
        </w:rPr>
        <w:t xml:space="preserve"> </w:t>
      </w:r>
      <w:r w:rsidRPr="00A11FE0">
        <w:rPr>
          <w:rFonts w:asciiTheme="majorHAnsi" w:hAnsiTheme="majorHAnsi"/>
        </w:rPr>
        <w:t xml:space="preserve">podnikla </w:t>
      </w:r>
      <w:r w:rsidR="00BD5FD5">
        <w:rPr>
          <w:rFonts w:asciiTheme="majorHAnsi" w:hAnsiTheme="majorHAnsi"/>
        </w:rPr>
        <w:t>k</w:t>
      </w:r>
      <w:r w:rsidRPr="00A11FE0">
        <w:rPr>
          <w:rFonts w:asciiTheme="majorHAnsi" w:hAnsiTheme="majorHAnsi"/>
        </w:rPr>
        <w:t>roky na úpravu národnej legislatívy na úseku environmentálnych záťaží prijatím novely zákona č. 569/2007 Z. z. o</w:t>
      </w:r>
      <w:r w:rsidR="004468B6">
        <w:rPr>
          <w:rFonts w:asciiTheme="majorHAnsi" w:hAnsiTheme="majorHAnsi"/>
        </w:rPr>
        <w:t> </w:t>
      </w:r>
      <w:r w:rsidRPr="00A11FE0">
        <w:rPr>
          <w:rFonts w:asciiTheme="majorHAnsi" w:hAnsiTheme="majorHAnsi"/>
        </w:rPr>
        <w:t xml:space="preserve">geologických prácach (geologický zákon) v znení neskorších predpisov </w:t>
      </w:r>
      <w:r w:rsidR="00BD5FD5">
        <w:rPr>
          <w:rFonts w:asciiTheme="majorHAnsi" w:hAnsiTheme="majorHAnsi"/>
        </w:rPr>
        <w:t>a </w:t>
      </w:r>
      <w:r w:rsidRPr="00A11FE0">
        <w:rPr>
          <w:rFonts w:asciiTheme="majorHAnsi" w:hAnsiTheme="majorHAnsi"/>
        </w:rPr>
        <w:t>zákona č. 409/2011 Z. z. o</w:t>
      </w:r>
      <w:r w:rsidR="004468B6">
        <w:rPr>
          <w:rFonts w:asciiTheme="majorHAnsi" w:hAnsiTheme="majorHAnsi"/>
        </w:rPr>
        <w:t> </w:t>
      </w:r>
      <w:r w:rsidRPr="00A11FE0">
        <w:rPr>
          <w:rFonts w:asciiTheme="majorHAnsi" w:hAnsiTheme="majorHAnsi"/>
        </w:rPr>
        <w:t xml:space="preserve">niektorých opatreniach na úseku environmentálnej záťaže </w:t>
      </w:r>
      <w:r w:rsidR="00BD5FD5">
        <w:rPr>
          <w:rFonts w:asciiTheme="majorHAnsi" w:hAnsiTheme="majorHAnsi"/>
        </w:rPr>
        <w:t>a </w:t>
      </w:r>
      <w:r w:rsidRPr="00A11FE0">
        <w:rPr>
          <w:rFonts w:asciiTheme="majorHAnsi" w:hAnsiTheme="majorHAnsi"/>
        </w:rPr>
        <w:t xml:space="preserve">o zmene </w:t>
      </w:r>
      <w:r w:rsidR="00BD5FD5">
        <w:rPr>
          <w:rFonts w:asciiTheme="majorHAnsi" w:hAnsiTheme="majorHAnsi"/>
        </w:rPr>
        <w:t>a </w:t>
      </w:r>
      <w:r w:rsidRPr="00A11FE0">
        <w:rPr>
          <w:rFonts w:asciiTheme="majorHAnsi" w:hAnsiTheme="majorHAnsi"/>
        </w:rPr>
        <w:t>doplnení niektorých zákonov.</w:t>
      </w:r>
    </w:p>
    <w:p w:rsidR="00996677" w:rsidRPr="00A11FE0" w:rsidRDefault="00996677" w:rsidP="004B6F41">
      <w:pPr>
        <w:pStyle w:val="Nadpis5"/>
        <w:numPr>
          <w:ilvl w:val="4"/>
          <w:numId w:val="2"/>
        </w:numPr>
        <w:ind w:left="1292"/>
      </w:pPr>
      <w:bookmarkStart w:id="202" w:name="_Toc372447927"/>
      <w:r w:rsidRPr="00A11FE0">
        <w:t xml:space="preserve">Územná </w:t>
      </w:r>
      <w:r w:rsidR="00BD5FD5">
        <w:t>k</w:t>
      </w:r>
      <w:r w:rsidRPr="00A11FE0">
        <w:t>oncentrácia</w:t>
      </w:r>
      <w:bookmarkEnd w:id="202"/>
    </w:p>
    <w:p w:rsidR="00252EFF" w:rsidRPr="00A11FE0" w:rsidRDefault="00252EFF" w:rsidP="00252EFF">
      <w:pPr>
        <w:rPr>
          <w:rFonts w:asciiTheme="majorHAnsi" w:hAnsiTheme="majorHAnsi"/>
          <w:szCs w:val="22"/>
        </w:rPr>
      </w:pPr>
      <w:r w:rsidRPr="00A11FE0">
        <w:rPr>
          <w:rFonts w:asciiTheme="majorHAnsi" w:hAnsiTheme="majorHAnsi"/>
          <w:szCs w:val="22"/>
        </w:rPr>
        <w:t xml:space="preserve">Prostredníctvom </w:t>
      </w:r>
      <w:r w:rsidR="00653D8B">
        <w:rPr>
          <w:rFonts w:asciiTheme="majorHAnsi" w:hAnsiTheme="majorHAnsi"/>
          <w:szCs w:val="22"/>
        </w:rPr>
        <w:t>KF</w:t>
      </w:r>
      <w:r w:rsidRPr="00A11FE0">
        <w:rPr>
          <w:rFonts w:asciiTheme="majorHAnsi" w:hAnsiTheme="majorHAnsi"/>
          <w:szCs w:val="22"/>
        </w:rPr>
        <w:t xml:space="preserve"> budú podporované </w:t>
      </w:r>
      <w:r w:rsidR="00BD5FD5">
        <w:rPr>
          <w:rFonts w:asciiTheme="majorHAnsi" w:hAnsiTheme="majorHAnsi"/>
          <w:szCs w:val="22"/>
        </w:rPr>
        <w:t>ak</w:t>
      </w:r>
      <w:r w:rsidRPr="00A11FE0">
        <w:rPr>
          <w:rFonts w:asciiTheme="majorHAnsi" w:hAnsiTheme="majorHAnsi"/>
          <w:szCs w:val="22"/>
        </w:rPr>
        <w:t xml:space="preserve">tivity vyplývajúce z požiadaviek </w:t>
      </w:r>
      <w:r w:rsidR="00BD5FD5">
        <w:rPr>
          <w:rFonts w:asciiTheme="majorHAnsi" w:hAnsiTheme="majorHAnsi"/>
          <w:szCs w:val="22"/>
        </w:rPr>
        <w:t>s</w:t>
      </w:r>
      <w:r w:rsidRPr="00A11FE0">
        <w:rPr>
          <w:rFonts w:asciiTheme="majorHAnsi" w:hAnsiTheme="majorHAnsi"/>
          <w:szCs w:val="22"/>
        </w:rPr>
        <w:t>tanovených v</w:t>
      </w:r>
      <w:r w:rsidR="007F2C41" w:rsidRPr="00A11FE0">
        <w:rPr>
          <w:rFonts w:asciiTheme="majorHAnsi" w:hAnsiTheme="majorHAnsi"/>
          <w:szCs w:val="22"/>
        </w:rPr>
        <w:t> </w:t>
      </w:r>
      <w:r w:rsidRPr="00A11FE0">
        <w:rPr>
          <w:rFonts w:asciiTheme="majorHAnsi" w:hAnsiTheme="majorHAnsi"/>
          <w:szCs w:val="22"/>
        </w:rPr>
        <w:t>právnych</w:t>
      </w:r>
      <w:r w:rsidR="007F2C41" w:rsidRPr="00A11FE0">
        <w:rPr>
          <w:rFonts w:asciiTheme="majorHAnsi" w:hAnsiTheme="majorHAnsi"/>
          <w:szCs w:val="22"/>
        </w:rPr>
        <w:t xml:space="preserve"> </w:t>
      </w:r>
      <w:r w:rsidRPr="00A11FE0">
        <w:rPr>
          <w:rFonts w:asciiTheme="majorHAnsi" w:hAnsiTheme="majorHAnsi"/>
          <w:szCs w:val="22"/>
        </w:rPr>
        <w:t xml:space="preserve">predpisoch EÚ v oblasti životného prostredia, </w:t>
      </w:r>
      <w:r w:rsidR="00BD5FD5">
        <w:rPr>
          <w:rFonts w:asciiTheme="majorHAnsi" w:hAnsiTheme="majorHAnsi"/>
          <w:szCs w:val="22"/>
        </w:rPr>
        <w:t>s</w:t>
      </w:r>
      <w:r w:rsidRPr="00A11FE0">
        <w:rPr>
          <w:rFonts w:asciiTheme="majorHAnsi" w:hAnsiTheme="majorHAnsi"/>
          <w:szCs w:val="22"/>
        </w:rPr>
        <w:t xml:space="preserve">plnenie </w:t>
      </w:r>
      <w:r w:rsidR="00BD5FD5">
        <w:rPr>
          <w:rFonts w:asciiTheme="majorHAnsi" w:hAnsiTheme="majorHAnsi"/>
          <w:szCs w:val="22"/>
        </w:rPr>
        <w:t>k</w:t>
      </w:r>
      <w:r w:rsidRPr="00A11FE0">
        <w:rPr>
          <w:rFonts w:asciiTheme="majorHAnsi" w:hAnsiTheme="majorHAnsi"/>
          <w:szCs w:val="22"/>
        </w:rPr>
        <w:t xml:space="preserve">torých je potrebné zabezpečiť na národnej úrovni. </w:t>
      </w:r>
      <w:r w:rsidR="00BD5FD5">
        <w:rPr>
          <w:rFonts w:asciiTheme="majorHAnsi" w:hAnsiTheme="majorHAnsi"/>
          <w:szCs w:val="22"/>
        </w:rPr>
        <w:t>Ak</w:t>
      </w:r>
      <w:r w:rsidRPr="00A11FE0">
        <w:rPr>
          <w:rFonts w:asciiTheme="majorHAnsi" w:hAnsiTheme="majorHAnsi"/>
          <w:szCs w:val="22"/>
        </w:rPr>
        <w:t>tivity financovan</w:t>
      </w:r>
      <w:r w:rsidR="00FE4249">
        <w:rPr>
          <w:rFonts w:asciiTheme="majorHAnsi" w:hAnsiTheme="majorHAnsi"/>
          <w:szCs w:val="22"/>
        </w:rPr>
        <w:t>é z </w:t>
      </w:r>
      <w:r w:rsidR="00BD5FD5">
        <w:rPr>
          <w:rFonts w:asciiTheme="majorHAnsi" w:hAnsiTheme="majorHAnsi"/>
          <w:szCs w:val="22"/>
        </w:rPr>
        <w:t>K</w:t>
      </w:r>
      <w:r w:rsidR="00FE4249">
        <w:rPr>
          <w:rFonts w:asciiTheme="majorHAnsi" w:hAnsiTheme="majorHAnsi"/>
          <w:szCs w:val="22"/>
        </w:rPr>
        <w:t xml:space="preserve">F budú preto lokalizované </w:t>
      </w:r>
      <w:r w:rsidRPr="00A11FE0">
        <w:rPr>
          <w:rFonts w:asciiTheme="majorHAnsi" w:hAnsiTheme="majorHAnsi"/>
          <w:noProof/>
          <w:szCs w:val="22"/>
        </w:rPr>
        <w:t xml:space="preserve">do celého územia </w:t>
      </w:r>
      <w:r w:rsidR="00BD5FD5">
        <w:rPr>
          <w:rFonts w:asciiTheme="majorHAnsi" w:hAnsiTheme="majorHAnsi"/>
          <w:noProof/>
          <w:szCs w:val="22"/>
        </w:rPr>
        <w:t>S</w:t>
      </w:r>
      <w:r w:rsidRPr="00A11FE0">
        <w:rPr>
          <w:rFonts w:asciiTheme="majorHAnsi" w:hAnsiTheme="majorHAnsi"/>
          <w:noProof/>
          <w:szCs w:val="22"/>
        </w:rPr>
        <w:t>R.</w:t>
      </w:r>
      <w:r w:rsidRPr="00A11FE0">
        <w:rPr>
          <w:rFonts w:asciiTheme="majorHAnsi" w:hAnsiTheme="majorHAnsi"/>
          <w:szCs w:val="22"/>
        </w:rPr>
        <w:t xml:space="preserve"> Zároveň pre väčšinu </w:t>
      </w:r>
      <w:r w:rsidR="00BD5FD5">
        <w:rPr>
          <w:rFonts w:asciiTheme="majorHAnsi" w:hAnsiTheme="majorHAnsi"/>
          <w:szCs w:val="22"/>
        </w:rPr>
        <w:t>ak</w:t>
      </w:r>
      <w:r w:rsidRPr="00A11FE0">
        <w:rPr>
          <w:rFonts w:asciiTheme="majorHAnsi" w:hAnsiTheme="majorHAnsi"/>
          <w:szCs w:val="22"/>
        </w:rPr>
        <w:t>tivít v</w:t>
      </w:r>
      <w:r w:rsidR="004468B6">
        <w:rPr>
          <w:rFonts w:asciiTheme="majorHAnsi" w:hAnsiTheme="majorHAnsi"/>
          <w:szCs w:val="22"/>
        </w:rPr>
        <w:t> </w:t>
      </w:r>
      <w:r w:rsidRPr="00A11FE0">
        <w:rPr>
          <w:rFonts w:asciiTheme="majorHAnsi" w:hAnsiTheme="majorHAnsi"/>
          <w:szCs w:val="22"/>
        </w:rPr>
        <w:t xml:space="preserve">oblasti environmentálnej infraštruktúry </w:t>
      </w:r>
      <w:r w:rsidR="00BD5FD5">
        <w:rPr>
          <w:rFonts w:asciiTheme="majorHAnsi" w:hAnsiTheme="majorHAnsi"/>
          <w:szCs w:val="22"/>
        </w:rPr>
        <w:t>a </w:t>
      </w:r>
      <w:r w:rsidRPr="00A11FE0">
        <w:rPr>
          <w:rFonts w:asciiTheme="majorHAnsi" w:hAnsiTheme="majorHAnsi"/>
          <w:szCs w:val="22"/>
        </w:rPr>
        <w:t>ochrany</w:t>
      </w:r>
      <w:r w:rsidR="00DC4453">
        <w:rPr>
          <w:rFonts w:asciiTheme="majorHAnsi" w:hAnsiTheme="majorHAnsi"/>
          <w:szCs w:val="22"/>
        </w:rPr>
        <w:t xml:space="preserve"> </w:t>
      </w:r>
      <w:r w:rsidRPr="00A11FE0">
        <w:rPr>
          <w:rFonts w:asciiTheme="majorHAnsi" w:hAnsiTheme="majorHAnsi"/>
          <w:szCs w:val="22"/>
        </w:rPr>
        <w:t xml:space="preserve">životného prostredia nie je relevantné členenie podľa </w:t>
      </w:r>
      <w:r w:rsidR="00BD5FD5">
        <w:rPr>
          <w:rFonts w:asciiTheme="majorHAnsi" w:hAnsiTheme="majorHAnsi"/>
          <w:szCs w:val="22"/>
        </w:rPr>
        <w:t>a</w:t>
      </w:r>
      <w:r w:rsidRPr="00A11FE0">
        <w:rPr>
          <w:rFonts w:asciiTheme="majorHAnsi" w:hAnsiTheme="majorHAnsi"/>
          <w:szCs w:val="22"/>
        </w:rPr>
        <w:t xml:space="preserve">dministratívnych hraníc. Lokalizácia </w:t>
      </w:r>
      <w:r w:rsidR="00BD5FD5">
        <w:rPr>
          <w:rFonts w:asciiTheme="majorHAnsi" w:hAnsiTheme="majorHAnsi"/>
          <w:szCs w:val="22"/>
        </w:rPr>
        <w:t>ak</w:t>
      </w:r>
      <w:r w:rsidRPr="00A11FE0">
        <w:rPr>
          <w:rFonts w:asciiTheme="majorHAnsi" w:hAnsiTheme="majorHAnsi"/>
          <w:szCs w:val="22"/>
        </w:rPr>
        <w:t xml:space="preserve">tivít v oblasti vodného hospodárstva vychádza z Vodného plánu </w:t>
      </w:r>
      <w:r w:rsidR="00BD5FD5">
        <w:rPr>
          <w:rFonts w:asciiTheme="majorHAnsi" w:hAnsiTheme="majorHAnsi"/>
          <w:szCs w:val="22"/>
        </w:rPr>
        <w:t>S</w:t>
      </w:r>
      <w:r w:rsidRPr="00A11FE0">
        <w:rPr>
          <w:rFonts w:asciiTheme="majorHAnsi" w:hAnsiTheme="majorHAnsi"/>
          <w:szCs w:val="22"/>
        </w:rPr>
        <w:t xml:space="preserve">lovenska </w:t>
      </w:r>
      <w:r w:rsidR="00BD5FD5">
        <w:rPr>
          <w:rFonts w:asciiTheme="majorHAnsi" w:hAnsiTheme="majorHAnsi"/>
          <w:szCs w:val="22"/>
        </w:rPr>
        <w:t>a </w:t>
      </w:r>
      <w:r w:rsidRPr="00A11FE0">
        <w:rPr>
          <w:rFonts w:asciiTheme="majorHAnsi" w:hAnsiTheme="majorHAnsi"/>
          <w:szCs w:val="22"/>
        </w:rPr>
        <w:t xml:space="preserve">Plánov manažmentov povodní </w:t>
      </w:r>
      <w:r w:rsidR="00BD5FD5">
        <w:rPr>
          <w:rFonts w:asciiTheme="majorHAnsi" w:hAnsiTheme="majorHAnsi"/>
          <w:szCs w:val="22"/>
        </w:rPr>
        <w:t>s</w:t>
      </w:r>
      <w:r w:rsidRPr="00A11FE0">
        <w:rPr>
          <w:rFonts w:asciiTheme="majorHAnsi" w:hAnsiTheme="majorHAnsi"/>
          <w:szCs w:val="22"/>
        </w:rPr>
        <w:t xml:space="preserve">právneho územia povodia Dunaja </w:t>
      </w:r>
      <w:r w:rsidR="00BD5FD5">
        <w:rPr>
          <w:rFonts w:asciiTheme="majorHAnsi" w:hAnsiTheme="majorHAnsi"/>
          <w:szCs w:val="22"/>
        </w:rPr>
        <w:t>a </w:t>
      </w:r>
      <w:r w:rsidRPr="00A11FE0">
        <w:rPr>
          <w:rFonts w:asciiTheme="majorHAnsi" w:hAnsiTheme="majorHAnsi"/>
          <w:szCs w:val="22"/>
        </w:rPr>
        <w:t xml:space="preserve">Visly. V oblasti odvádzania </w:t>
      </w:r>
      <w:r w:rsidR="00BD5FD5">
        <w:rPr>
          <w:rFonts w:asciiTheme="majorHAnsi" w:hAnsiTheme="majorHAnsi"/>
          <w:szCs w:val="22"/>
        </w:rPr>
        <w:t>a </w:t>
      </w:r>
      <w:r w:rsidRPr="00A11FE0">
        <w:rPr>
          <w:rFonts w:asciiTheme="majorHAnsi" w:hAnsiTheme="majorHAnsi"/>
          <w:szCs w:val="22"/>
        </w:rPr>
        <w:t xml:space="preserve">čistenia </w:t>
      </w:r>
      <w:r w:rsidR="00BD5FD5">
        <w:rPr>
          <w:rFonts w:asciiTheme="majorHAnsi" w:hAnsiTheme="majorHAnsi"/>
          <w:szCs w:val="22"/>
        </w:rPr>
        <w:t>k</w:t>
      </w:r>
      <w:r w:rsidRPr="00A11FE0">
        <w:rPr>
          <w:rFonts w:asciiTheme="majorHAnsi" w:hAnsiTheme="majorHAnsi"/>
          <w:szCs w:val="22"/>
        </w:rPr>
        <w:t xml:space="preserve">omunálnych odpadových vôd bude podpora zameraná prioritne na </w:t>
      </w:r>
      <w:r w:rsidR="00BD5FD5">
        <w:rPr>
          <w:rFonts w:asciiTheme="majorHAnsi" w:hAnsiTheme="majorHAnsi"/>
          <w:szCs w:val="22"/>
        </w:rPr>
        <w:t>a</w:t>
      </w:r>
      <w:r w:rsidRPr="00A11FE0">
        <w:rPr>
          <w:rFonts w:asciiTheme="majorHAnsi" w:hAnsiTheme="majorHAnsi"/>
          <w:szCs w:val="22"/>
        </w:rPr>
        <w:t xml:space="preserve">glomerácie uvedené v Národnom programe </w:t>
      </w:r>
      <w:r w:rsidR="00BD5FD5">
        <w:rPr>
          <w:rFonts w:asciiTheme="majorHAnsi" w:hAnsiTheme="majorHAnsi"/>
          <w:szCs w:val="22"/>
        </w:rPr>
        <w:t>S</w:t>
      </w:r>
      <w:r w:rsidRPr="00A11FE0">
        <w:rPr>
          <w:rFonts w:asciiTheme="majorHAnsi" w:hAnsiTheme="majorHAnsi"/>
          <w:szCs w:val="22"/>
        </w:rPr>
        <w:t xml:space="preserve">R pre vykonávanie </w:t>
      </w:r>
      <w:r w:rsidR="00BD5FD5">
        <w:rPr>
          <w:rFonts w:asciiTheme="majorHAnsi" w:hAnsiTheme="majorHAnsi"/>
          <w:szCs w:val="22"/>
        </w:rPr>
        <w:t>s</w:t>
      </w:r>
      <w:r w:rsidRPr="00A11FE0">
        <w:rPr>
          <w:rFonts w:asciiTheme="majorHAnsi" w:hAnsiTheme="majorHAnsi"/>
          <w:szCs w:val="22"/>
        </w:rPr>
        <w:t xml:space="preserve">mernice Rady 91/271/EHS. Ochranu ovzdušia podobne nie je možné vymedziť podľa regiónov, </w:t>
      </w:r>
      <w:r w:rsidR="00BD5FD5">
        <w:rPr>
          <w:rFonts w:asciiTheme="majorHAnsi" w:hAnsiTheme="majorHAnsi"/>
          <w:szCs w:val="22"/>
        </w:rPr>
        <w:t>k</w:t>
      </w:r>
      <w:r w:rsidRPr="00A11FE0">
        <w:rPr>
          <w:rFonts w:asciiTheme="majorHAnsi" w:hAnsiTheme="majorHAnsi"/>
          <w:szCs w:val="22"/>
        </w:rPr>
        <w:t xml:space="preserve">eďže vplyv znečistenia ovzdušia </w:t>
      </w:r>
      <w:r w:rsidR="00BD5FD5">
        <w:rPr>
          <w:rFonts w:asciiTheme="majorHAnsi" w:hAnsiTheme="majorHAnsi"/>
          <w:szCs w:val="22"/>
        </w:rPr>
        <w:t>s</w:t>
      </w:r>
      <w:r w:rsidRPr="00A11FE0">
        <w:rPr>
          <w:rFonts w:asciiTheme="majorHAnsi" w:hAnsiTheme="majorHAnsi"/>
          <w:szCs w:val="22"/>
        </w:rPr>
        <w:t xml:space="preserve">a vzhľadom na rozptyl emisií prejavuje na celom území </w:t>
      </w:r>
      <w:r w:rsidR="00BD5FD5">
        <w:rPr>
          <w:rFonts w:asciiTheme="majorHAnsi" w:hAnsiTheme="majorHAnsi"/>
          <w:szCs w:val="22"/>
        </w:rPr>
        <w:t>S</w:t>
      </w:r>
      <w:r w:rsidRPr="00A11FE0">
        <w:rPr>
          <w:rFonts w:asciiTheme="majorHAnsi" w:hAnsiTheme="majorHAnsi"/>
          <w:szCs w:val="22"/>
        </w:rPr>
        <w:t xml:space="preserve">R. Priority z hľadiska ochrany </w:t>
      </w:r>
      <w:r w:rsidR="00BD5FD5">
        <w:rPr>
          <w:rFonts w:asciiTheme="majorHAnsi" w:hAnsiTheme="majorHAnsi"/>
          <w:szCs w:val="22"/>
        </w:rPr>
        <w:t>a </w:t>
      </w:r>
      <w:r w:rsidRPr="00A11FE0">
        <w:rPr>
          <w:rFonts w:asciiTheme="majorHAnsi" w:hAnsiTheme="majorHAnsi"/>
          <w:szCs w:val="22"/>
        </w:rPr>
        <w:t xml:space="preserve">obnovy biodiverzity vychádzajú najmä zo </w:t>
      </w:r>
      <w:r w:rsidR="00BD5FD5">
        <w:rPr>
          <w:rFonts w:asciiTheme="majorHAnsi" w:hAnsiTheme="majorHAnsi"/>
          <w:szCs w:val="22"/>
        </w:rPr>
        <w:t>s</w:t>
      </w:r>
      <w:r w:rsidRPr="00A11FE0">
        <w:rPr>
          <w:rFonts w:asciiTheme="majorHAnsi" w:hAnsiTheme="majorHAnsi"/>
          <w:szCs w:val="22"/>
        </w:rPr>
        <w:t xml:space="preserve">chváleného Prioritného </w:t>
      </w:r>
      <w:r w:rsidR="00BD5FD5">
        <w:rPr>
          <w:rFonts w:asciiTheme="majorHAnsi" w:hAnsiTheme="majorHAnsi"/>
          <w:szCs w:val="22"/>
        </w:rPr>
        <w:t>ak</w:t>
      </w:r>
      <w:r w:rsidRPr="00A11FE0">
        <w:rPr>
          <w:rFonts w:asciiTheme="majorHAnsi" w:hAnsiTheme="majorHAnsi"/>
          <w:szCs w:val="22"/>
        </w:rPr>
        <w:t>čného rámca financovania Natura 2000 v</w:t>
      </w:r>
      <w:r w:rsidR="004468B6">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Ak</w:t>
      </w:r>
      <w:r w:rsidRPr="00A11FE0">
        <w:rPr>
          <w:rFonts w:asciiTheme="majorHAnsi" w:hAnsiTheme="majorHAnsi"/>
          <w:szCs w:val="22"/>
        </w:rPr>
        <w:t xml:space="preserve">tivity </w:t>
      </w:r>
      <w:r w:rsidR="00BD5FD5">
        <w:rPr>
          <w:rFonts w:asciiTheme="majorHAnsi" w:hAnsiTheme="majorHAnsi"/>
          <w:szCs w:val="22"/>
        </w:rPr>
        <w:t>s</w:t>
      </w:r>
      <w:r w:rsidRPr="00A11FE0">
        <w:rPr>
          <w:rFonts w:asciiTheme="majorHAnsi" w:hAnsiTheme="majorHAnsi"/>
          <w:szCs w:val="22"/>
        </w:rPr>
        <w:t xml:space="preserve">a týkajú celého územia </w:t>
      </w:r>
      <w:r w:rsidR="00BD5FD5">
        <w:rPr>
          <w:rFonts w:asciiTheme="majorHAnsi" w:hAnsiTheme="majorHAnsi"/>
          <w:szCs w:val="22"/>
        </w:rPr>
        <w:t>S</w:t>
      </w:r>
      <w:r w:rsidRPr="00A11FE0">
        <w:rPr>
          <w:rFonts w:asciiTheme="majorHAnsi" w:hAnsiTheme="majorHAnsi"/>
          <w:szCs w:val="22"/>
        </w:rPr>
        <w:t xml:space="preserve">lovenska, </w:t>
      </w:r>
      <w:r w:rsidR="00BD5FD5">
        <w:rPr>
          <w:rFonts w:asciiTheme="majorHAnsi" w:hAnsiTheme="majorHAnsi"/>
          <w:szCs w:val="22"/>
        </w:rPr>
        <w:t>k</w:t>
      </w:r>
      <w:r w:rsidRPr="00A11FE0">
        <w:rPr>
          <w:rFonts w:asciiTheme="majorHAnsi" w:hAnsiTheme="majorHAnsi"/>
          <w:szCs w:val="22"/>
        </w:rPr>
        <w:t xml:space="preserve">eďže hranice chránených území nerešpektujú územnosprávne členenie </w:t>
      </w:r>
      <w:r w:rsidR="00BD5FD5">
        <w:rPr>
          <w:rFonts w:asciiTheme="majorHAnsi" w:hAnsiTheme="majorHAnsi"/>
          <w:szCs w:val="22"/>
        </w:rPr>
        <w:t>S</w:t>
      </w:r>
      <w:r w:rsidRPr="00A11FE0">
        <w:rPr>
          <w:rFonts w:asciiTheme="majorHAnsi" w:hAnsiTheme="majorHAnsi"/>
          <w:szCs w:val="22"/>
        </w:rPr>
        <w:t xml:space="preserve">R. Východiskom pre územnú </w:t>
      </w:r>
      <w:r w:rsidR="00BD5FD5">
        <w:rPr>
          <w:rFonts w:asciiTheme="majorHAnsi" w:hAnsiTheme="majorHAnsi"/>
          <w:szCs w:val="22"/>
        </w:rPr>
        <w:t>k</w:t>
      </w:r>
      <w:r w:rsidRPr="00A11FE0">
        <w:rPr>
          <w:rFonts w:asciiTheme="majorHAnsi" w:hAnsiTheme="majorHAnsi"/>
          <w:szCs w:val="22"/>
        </w:rPr>
        <w:t xml:space="preserve">oncentráciu </w:t>
      </w:r>
      <w:r w:rsidR="00F5309E">
        <w:rPr>
          <w:rFonts w:asciiTheme="majorHAnsi" w:hAnsiTheme="majorHAnsi"/>
          <w:szCs w:val="22"/>
        </w:rPr>
        <w:t>podpory</w:t>
      </w:r>
      <w:r w:rsidR="00F5309E" w:rsidRPr="00A11FE0">
        <w:rPr>
          <w:rFonts w:asciiTheme="majorHAnsi" w:hAnsiTheme="majorHAnsi"/>
          <w:szCs w:val="22"/>
        </w:rPr>
        <w:t xml:space="preserve"> </w:t>
      </w:r>
      <w:r w:rsidRPr="00A11FE0">
        <w:rPr>
          <w:rFonts w:asciiTheme="majorHAnsi" w:hAnsiTheme="majorHAnsi"/>
          <w:szCs w:val="22"/>
        </w:rPr>
        <w:t xml:space="preserve">v oblasti </w:t>
      </w:r>
      <w:r w:rsidR="00BD5FD5">
        <w:rPr>
          <w:rFonts w:asciiTheme="majorHAnsi" w:hAnsiTheme="majorHAnsi"/>
          <w:szCs w:val="22"/>
        </w:rPr>
        <w:t>s</w:t>
      </w:r>
      <w:r w:rsidRPr="00A11FE0">
        <w:rPr>
          <w:rFonts w:asciiTheme="majorHAnsi" w:hAnsiTheme="majorHAnsi"/>
          <w:szCs w:val="22"/>
        </w:rPr>
        <w:t>anácie environmentálnych záťaží je inventarizácia environmentálnych záťaží v</w:t>
      </w:r>
      <w:r w:rsidR="004468B6">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lastRenderedPageBreak/>
        <w:t>a s</w:t>
      </w:r>
      <w:r w:rsidRPr="00A11FE0">
        <w:rPr>
          <w:rFonts w:asciiTheme="majorHAnsi" w:hAnsiTheme="majorHAnsi"/>
          <w:szCs w:val="22"/>
        </w:rPr>
        <w:t>tanovenie priorít pri ich odstraňovaní v </w:t>
      </w:r>
      <w:r w:rsidR="00BD5FD5">
        <w:rPr>
          <w:rFonts w:asciiTheme="majorHAnsi" w:hAnsiTheme="majorHAnsi"/>
          <w:szCs w:val="22"/>
        </w:rPr>
        <w:t>s</w:t>
      </w:r>
      <w:r w:rsidRPr="00A11FE0">
        <w:rPr>
          <w:rFonts w:asciiTheme="majorHAnsi" w:hAnsiTheme="majorHAnsi"/>
          <w:szCs w:val="22"/>
        </w:rPr>
        <w:t xml:space="preserve">úlade </w:t>
      </w:r>
      <w:r w:rsidR="00BD5FD5">
        <w:rPr>
          <w:rFonts w:asciiTheme="majorHAnsi" w:hAnsiTheme="majorHAnsi"/>
          <w:szCs w:val="22"/>
        </w:rPr>
        <w:t>s</w:t>
      </w:r>
      <w:r w:rsidRPr="00A11FE0">
        <w:rPr>
          <w:rFonts w:asciiTheme="majorHAnsi" w:hAnsiTheme="majorHAnsi"/>
          <w:szCs w:val="22"/>
        </w:rPr>
        <w:t xml:space="preserve">o Štátnym programom </w:t>
      </w:r>
      <w:r w:rsidR="00BD5FD5">
        <w:rPr>
          <w:rFonts w:asciiTheme="majorHAnsi" w:hAnsiTheme="majorHAnsi"/>
          <w:szCs w:val="22"/>
        </w:rPr>
        <w:t>s</w:t>
      </w:r>
      <w:r w:rsidRPr="00A11FE0">
        <w:rPr>
          <w:rFonts w:asciiTheme="majorHAnsi" w:hAnsiTheme="majorHAnsi"/>
          <w:szCs w:val="22"/>
        </w:rPr>
        <w:t xml:space="preserve">anácie environmentálnych záťaží. Územné priority z hľadiska odpadového hospodárstva budú vychádzať z platného Programu odpadového hospodárstva </w:t>
      </w:r>
      <w:r w:rsidR="00BD5FD5">
        <w:rPr>
          <w:rFonts w:asciiTheme="majorHAnsi" w:hAnsiTheme="majorHAnsi"/>
          <w:szCs w:val="22"/>
        </w:rPr>
        <w:t>S</w:t>
      </w:r>
      <w:r w:rsidRPr="00A11FE0">
        <w:rPr>
          <w:rFonts w:asciiTheme="majorHAnsi" w:hAnsiTheme="majorHAnsi"/>
          <w:szCs w:val="22"/>
        </w:rPr>
        <w:t>lovenskej republiky, vypracovaného na národnej úrovni, z </w:t>
      </w:r>
      <w:r w:rsidR="00BD5FD5">
        <w:rPr>
          <w:rFonts w:asciiTheme="majorHAnsi" w:hAnsiTheme="majorHAnsi"/>
          <w:szCs w:val="22"/>
        </w:rPr>
        <w:t>k</w:t>
      </w:r>
      <w:r w:rsidRPr="00A11FE0">
        <w:rPr>
          <w:rFonts w:asciiTheme="majorHAnsi" w:hAnsiTheme="majorHAnsi"/>
          <w:szCs w:val="22"/>
        </w:rPr>
        <w:t xml:space="preserve">torého následne vychádzajú Programy odpadového hospodárstva </w:t>
      </w:r>
      <w:r w:rsidR="00BD5FD5">
        <w:rPr>
          <w:rFonts w:asciiTheme="majorHAnsi" w:hAnsiTheme="majorHAnsi"/>
          <w:szCs w:val="22"/>
        </w:rPr>
        <w:t>k</w:t>
      </w:r>
      <w:r w:rsidRPr="00A11FE0">
        <w:rPr>
          <w:rFonts w:asciiTheme="majorHAnsi" w:hAnsiTheme="majorHAnsi"/>
          <w:szCs w:val="22"/>
        </w:rPr>
        <w:t>rajov.</w:t>
      </w:r>
    </w:p>
    <w:p w:rsidR="00143BC3" w:rsidRDefault="00252EFF" w:rsidP="00252EFF">
      <w:pPr>
        <w:rPr>
          <w:rFonts w:asciiTheme="majorHAnsi" w:hAnsiTheme="majorHAnsi" w:cs="Calibri"/>
          <w:noProof/>
          <w:szCs w:val="22"/>
        </w:rPr>
      </w:pPr>
      <w:r w:rsidRPr="00A11FE0">
        <w:rPr>
          <w:rFonts w:asciiTheme="majorHAnsi" w:hAnsiTheme="majorHAnsi"/>
          <w:szCs w:val="22"/>
        </w:rPr>
        <w:t xml:space="preserve">Opatrenia pre EFRR na </w:t>
      </w:r>
      <w:r w:rsidRPr="00A11FE0">
        <w:rPr>
          <w:rFonts w:asciiTheme="majorHAnsi" w:hAnsiTheme="majorHAnsi"/>
          <w:noProof/>
          <w:szCs w:val="22"/>
        </w:rPr>
        <w:t xml:space="preserve">investície do efektívnych dodávok vody, vrátane nových investícií do znižovania úniku vody </w:t>
      </w:r>
      <w:r w:rsidR="00BD5FD5">
        <w:rPr>
          <w:rFonts w:asciiTheme="majorHAnsi" w:hAnsiTheme="majorHAnsi"/>
          <w:noProof/>
          <w:szCs w:val="22"/>
        </w:rPr>
        <w:t>a </w:t>
      </w:r>
      <w:r w:rsidRPr="00A11FE0">
        <w:rPr>
          <w:rFonts w:asciiTheme="majorHAnsi" w:hAnsiTheme="majorHAnsi"/>
          <w:noProof/>
          <w:szCs w:val="22"/>
        </w:rPr>
        <w:t xml:space="preserve">rekonštrukcie </w:t>
      </w:r>
      <w:r w:rsidR="00BD5FD5">
        <w:rPr>
          <w:rFonts w:asciiTheme="majorHAnsi" w:hAnsiTheme="majorHAnsi"/>
          <w:noProof/>
          <w:szCs w:val="22"/>
        </w:rPr>
        <w:t>s</w:t>
      </w:r>
      <w:r w:rsidRPr="00A11FE0">
        <w:rPr>
          <w:rFonts w:asciiTheme="majorHAnsi" w:hAnsiTheme="majorHAnsi"/>
          <w:noProof/>
          <w:szCs w:val="22"/>
        </w:rPr>
        <w:t xml:space="preserve">tokovej </w:t>
      </w:r>
      <w:r w:rsidR="00BD5FD5">
        <w:rPr>
          <w:rFonts w:asciiTheme="majorHAnsi" w:hAnsiTheme="majorHAnsi"/>
          <w:noProof/>
          <w:szCs w:val="22"/>
        </w:rPr>
        <w:t>s</w:t>
      </w:r>
      <w:r w:rsidRPr="00A11FE0">
        <w:rPr>
          <w:rFonts w:asciiTheme="majorHAnsi" w:hAnsiTheme="majorHAnsi"/>
          <w:noProof/>
          <w:szCs w:val="22"/>
        </w:rPr>
        <w:t xml:space="preserve">iete, investície do opatrení na zníženie znečistenia ovzdušia </w:t>
      </w:r>
      <w:r w:rsidR="00BD5FD5">
        <w:rPr>
          <w:rFonts w:asciiTheme="majorHAnsi" w:hAnsiTheme="majorHAnsi"/>
          <w:noProof/>
          <w:szCs w:val="22"/>
        </w:rPr>
        <w:t>s</w:t>
      </w:r>
      <w:r w:rsidRPr="00A11FE0">
        <w:rPr>
          <w:rFonts w:asciiTheme="majorHAnsi" w:hAnsiTheme="majorHAnsi"/>
          <w:noProof/>
          <w:szCs w:val="22"/>
        </w:rPr>
        <w:t xml:space="preserve">úvisiaceho </w:t>
      </w:r>
      <w:r w:rsidR="00BD5FD5">
        <w:rPr>
          <w:rFonts w:asciiTheme="majorHAnsi" w:hAnsiTheme="majorHAnsi"/>
          <w:noProof/>
          <w:szCs w:val="22"/>
        </w:rPr>
        <w:t>s </w:t>
      </w:r>
      <w:r w:rsidRPr="00A11FE0">
        <w:rPr>
          <w:rFonts w:asciiTheme="majorHAnsi" w:hAnsiTheme="majorHAnsi"/>
          <w:noProof/>
          <w:szCs w:val="22"/>
        </w:rPr>
        <w:t xml:space="preserve">dopravou </w:t>
      </w:r>
      <w:r w:rsidR="00BD5FD5">
        <w:rPr>
          <w:rFonts w:asciiTheme="majorHAnsi" w:hAnsiTheme="majorHAnsi"/>
          <w:noProof/>
          <w:szCs w:val="22"/>
        </w:rPr>
        <w:t>s</w:t>
      </w:r>
      <w:r w:rsidRPr="00A11FE0">
        <w:rPr>
          <w:rFonts w:asciiTheme="majorHAnsi" w:hAnsiTheme="majorHAnsi"/>
          <w:noProof/>
          <w:szCs w:val="22"/>
        </w:rPr>
        <w:t xml:space="preserve">a budú </w:t>
      </w:r>
      <w:r w:rsidR="00BD5FD5">
        <w:rPr>
          <w:rFonts w:asciiTheme="majorHAnsi" w:hAnsiTheme="majorHAnsi"/>
          <w:noProof/>
          <w:szCs w:val="22"/>
        </w:rPr>
        <w:t>k</w:t>
      </w:r>
      <w:r w:rsidRPr="00A11FE0">
        <w:rPr>
          <w:rFonts w:asciiTheme="majorHAnsi" w:hAnsiTheme="majorHAnsi"/>
          <w:noProof/>
          <w:szCs w:val="22"/>
        </w:rPr>
        <w:t xml:space="preserve">oncentrovať predovšetkým do mestských funkčných území, centier osídlenia 1. </w:t>
      </w:r>
      <w:r w:rsidR="00BD5FD5">
        <w:rPr>
          <w:rFonts w:asciiTheme="majorHAnsi" w:hAnsiTheme="majorHAnsi"/>
          <w:noProof/>
          <w:szCs w:val="22"/>
        </w:rPr>
        <w:t>a </w:t>
      </w:r>
      <w:r w:rsidRPr="00A11FE0">
        <w:rPr>
          <w:rFonts w:asciiTheme="majorHAnsi" w:hAnsiTheme="majorHAnsi"/>
          <w:noProof/>
          <w:szCs w:val="22"/>
        </w:rPr>
        <w:t xml:space="preserve">2. </w:t>
      </w:r>
      <w:r w:rsidR="00BD5FD5">
        <w:rPr>
          <w:rFonts w:asciiTheme="majorHAnsi" w:hAnsiTheme="majorHAnsi"/>
          <w:noProof/>
          <w:szCs w:val="22"/>
        </w:rPr>
        <w:t>s</w:t>
      </w:r>
      <w:r w:rsidRPr="00A11FE0">
        <w:rPr>
          <w:rFonts w:asciiTheme="majorHAnsi" w:hAnsiTheme="majorHAnsi"/>
          <w:noProof/>
          <w:szCs w:val="22"/>
        </w:rPr>
        <w:t xml:space="preserve">kupiny, </w:t>
      </w:r>
      <w:r w:rsidR="00BD5FD5">
        <w:rPr>
          <w:rFonts w:asciiTheme="majorHAnsi" w:hAnsiTheme="majorHAnsi"/>
          <w:noProof/>
          <w:szCs w:val="22"/>
        </w:rPr>
        <w:t>ak</w:t>
      </w:r>
      <w:r w:rsidRPr="00A11FE0">
        <w:rPr>
          <w:rFonts w:asciiTheme="majorHAnsi" w:hAnsiTheme="majorHAnsi"/>
          <w:noProof/>
          <w:szCs w:val="22"/>
        </w:rPr>
        <w:t xml:space="preserve">o </w:t>
      </w:r>
      <w:r w:rsidR="00BD5FD5">
        <w:rPr>
          <w:rFonts w:asciiTheme="majorHAnsi" w:hAnsiTheme="majorHAnsi"/>
          <w:noProof/>
          <w:szCs w:val="22"/>
        </w:rPr>
        <w:t>a</w:t>
      </w:r>
      <w:r w:rsidRPr="00A11FE0">
        <w:rPr>
          <w:rFonts w:asciiTheme="majorHAnsi" w:hAnsiTheme="majorHAnsi"/>
          <w:noProof/>
          <w:szCs w:val="22"/>
        </w:rPr>
        <w:t xml:space="preserve">j do prímestských pásiem ťažísk osídlenia prvej úrovne </w:t>
      </w:r>
      <w:r w:rsidR="00BD5FD5">
        <w:rPr>
          <w:rFonts w:asciiTheme="majorHAnsi" w:hAnsiTheme="majorHAnsi"/>
          <w:noProof/>
          <w:szCs w:val="22"/>
        </w:rPr>
        <w:t>a </w:t>
      </w:r>
      <w:r w:rsidRPr="00A11FE0">
        <w:rPr>
          <w:rFonts w:asciiTheme="majorHAnsi" w:hAnsiTheme="majorHAnsi"/>
          <w:noProof/>
          <w:szCs w:val="22"/>
        </w:rPr>
        <w:t xml:space="preserve">do územia ostatných obcí, </w:t>
      </w:r>
      <w:r w:rsidR="00BD5FD5">
        <w:rPr>
          <w:rFonts w:asciiTheme="majorHAnsi" w:hAnsiTheme="majorHAnsi"/>
          <w:noProof/>
          <w:szCs w:val="22"/>
        </w:rPr>
        <w:t>ak</w:t>
      </w:r>
      <w:r w:rsidRPr="00A11FE0">
        <w:rPr>
          <w:rFonts w:asciiTheme="majorHAnsi" w:hAnsiTheme="majorHAnsi"/>
          <w:noProof/>
          <w:szCs w:val="22"/>
        </w:rPr>
        <w:t xml:space="preserve">o </w:t>
      </w:r>
      <w:r w:rsidR="00BD5FD5">
        <w:rPr>
          <w:rFonts w:asciiTheme="majorHAnsi" w:hAnsiTheme="majorHAnsi"/>
          <w:noProof/>
          <w:szCs w:val="22"/>
        </w:rPr>
        <w:t>a</w:t>
      </w:r>
      <w:r w:rsidRPr="00A11FE0">
        <w:rPr>
          <w:rFonts w:asciiTheme="majorHAnsi" w:hAnsiTheme="majorHAnsi"/>
          <w:noProof/>
          <w:szCs w:val="22"/>
        </w:rPr>
        <w:t xml:space="preserve">j vodohospodárskymi </w:t>
      </w:r>
      <w:r w:rsidR="00BD5FD5">
        <w:rPr>
          <w:rFonts w:asciiTheme="majorHAnsi" w:hAnsiTheme="majorHAnsi"/>
          <w:noProof/>
          <w:szCs w:val="22"/>
        </w:rPr>
        <w:t>a</w:t>
      </w:r>
      <w:r w:rsidRPr="00A11FE0">
        <w:rPr>
          <w:rFonts w:asciiTheme="majorHAnsi" w:hAnsiTheme="majorHAnsi"/>
          <w:noProof/>
          <w:szCs w:val="22"/>
        </w:rPr>
        <w:t>glomeráciami.</w:t>
      </w:r>
      <w:r w:rsidRPr="00A11FE0">
        <w:rPr>
          <w:rFonts w:asciiTheme="majorHAnsi" w:hAnsiTheme="majorHAnsi"/>
          <w:szCs w:val="22"/>
        </w:rPr>
        <w:t xml:space="preserve"> Opatrenia pre EFRR na </w:t>
      </w:r>
      <w:r w:rsidRPr="00A11FE0">
        <w:rPr>
          <w:rFonts w:asciiTheme="majorHAnsi" w:hAnsiTheme="majorHAnsi"/>
          <w:noProof/>
          <w:szCs w:val="22"/>
        </w:rPr>
        <w:t>podporu udržateľného integrovaného rozvoja miest</w:t>
      </w:r>
      <w:r w:rsidR="00143BC3">
        <w:rPr>
          <w:rFonts w:asciiTheme="majorHAnsi" w:hAnsiTheme="majorHAnsi"/>
          <w:noProof/>
          <w:szCs w:val="22"/>
        </w:rPr>
        <w:t xml:space="preserve"> a</w:t>
      </w:r>
      <w:r w:rsidR="004468B6">
        <w:rPr>
          <w:rFonts w:asciiTheme="majorHAnsi" w:hAnsiTheme="majorHAnsi"/>
          <w:noProof/>
          <w:szCs w:val="22"/>
        </w:rPr>
        <w:t> </w:t>
      </w:r>
      <w:r w:rsidRPr="00A11FE0">
        <w:rPr>
          <w:rFonts w:asciiTheme="majorHAnsi" w:hAnsiTheme="majorHAnsi"/>
          <w:noProof/>
          <w:szCs w:val="22"/>
        </w:rPr>
        <w:t xml:space="preserve">obnovy </w:t>
      </w:r>
      <w:r w:rsidR="00BD5FD5">
        <w:rPr>
          <w:rFonts w:asciiTheme="majorHAnsi" w:hAnsiTheme="majorHAnsi"/>
          <w:noProof/>
          <w:szCs w:val="22"/>
        </w:rPr>
        <w:t>k</w:t>
      </w:r>
      <w:r w:rsidRPr="00A11FE0">
        <w:rPr>
          <w:rFonts w:asciiTheme="majorHAnsi" w:hAnsiTheme="majorHAnsi"/>
          <w:noProof/>
          <w:szCs w:val="22"/>
        </w:rPr>
        <w:t xml:space="preserve">ontaminovaných miest budú orientované predovšetkým do mestských funkčných území, centier osídlenia 1. </w:t>
      </w:r>
      <w:r w:rsidR="00BD5FD5">
        <w:rPr>
          <w:rFonts w:asciiTheme="majorHAnsi" w:hAnsiTheme="majorHAnsi"/>
          <w:noProof/>
          <w:szCs w:val="22"/>
        </w:rPr>
        <w:t>a </w:t>
      </w:r>
      <w:r w:rsidRPr="00A11FE0">
        <w:rPr>
          <w:rFonts w:asciiTheme="majorHAnsi" w:hAnsiTheme="majorHAnsi"/>
          <w:noProof/>
          <w:szCs w:val="22"/>
        </w:rPr>
        <w:t xml:space="preserve">2. </w:t>
      </w:r>
      <w:r w:rsidR="00BD5FD5">
        <w:rPr>
          <w:rFonts w:asciiTheme="majorHAnsi" w:hAnsiTheme="majorHAnsi"/>
          <w:noProof/>
          <w:szCs w:val="22"/>
        </w:rPr>
        <w:t>s</w:t>
      </w:r>
      <w:r w:rsidRPr="00A11FE0">
        <w:rPr>
          <w:rFonts w:asciiTheme="majorHAnsi" w:hAnsiTheme="majorHAnsi"/>
          <w:noProof/>
          <w:szCs w:val="22"/>
        </w:rPr>
        <w:t>kupiny.</w:t>
      </w:r>
    </w:p>
    <w:p w:rsidR="00996677" w:rsidRPr="00A11FE0" w:rsidRDefault="00252EFF" w:rsidP="00252EFF">
      <w:pPr>
        <w:rPr>
          <w:rFonts w:asciiTheme="majorHAnsi" w:hAnsiTheme="majorHAnsi"/>
        </w:rPr>
      </w:pPr>
      <w:r w:rsidRPr="00A11FE0">
        <w:rPr>
          <w:rFonts w:asciiTheme="majorHAnsi" w:hAnsiTheme="majorHAnsi" w:cs="Calibri"/>
          <w:noProof/>
          <w:szCs w:val="22"/>
        </w:rPr>
        <w:t xml:space="preserve">Opatrenia EPFRV pre ochranu </w:t>
      </w:r>
      <w:r w:rsidR="00BD5FD5">
        <w:rPr>
          <w:rFonts w:asciiTheme="majorHAnsi" w:hAnsiTheme="majorHAnsi" w:cs="Calibri"/>
          <w:noProof/>
          <w:szCs w:val="22"/>
        </w:rPr>
        <w:t>a </w:t>
      </w:r>
      <w:r w:rsidRPr="00A11FE0">
        <w:rPr>
          <w:rFonts w:asciiTheme="majorHAnsi" w:hAnsiTheme="majorHAnsi" w:cs="Calibri"/>
          <w:noProof/>
          <w:szCs w:val="22"/>
        </w:rPr>
        <w:t xml:space="preserve">zachovanie biologickej diverzity budú prioritne </w:t>
      </w:r>
      <w:r w:rsidR="00BD5FD5">
        <w:rPr>
          <w:rFonts w:asciiTheme="majorHAnsi" w:hAnsiTheme="majorHAnsi" w:cs="Calibri"/>
          <w:noProof/>
          <w:szCs w:val="22"/>
        </w:rPr>
        <w:t>s</w:t>
      </w:r>
      <w:r w:rsidRPr="00A11FE0">
        <w:rPr>
          <w:rFonts w:asciiTheme="majorHAnsi" w:hAnsiTheme="majorHAnsi" w:cs="Calibri"/>
          <w:noProof/>
          <w:szCs w:val="22"/>
        </w:rPr>
        <w:t xml:space="preserve">merované do vymedzených území NATURA 2000 </w:t>
      </w:r>
      <w:r w:rsidR="00BD5FD5">
        <w:rPr>
          <w:rFonts w:asciiTheme="majorHAnsi" w:hAnsiTheme="majorHAnsi" w:cs="Calibri"/>
          <w:noProof/>
          <w:szCs w:val="22"/>
        </w:rPr>
        <w:t>a </w:t>
      </w:r>
      <w:r w:rsidRPr="00A11FE0">
        <w:rPr>
          <w:rFonts w:asciiTheme="majorHAnsi" w:hAnsiTheme="majorHAnsi" w:cs="Calibri"/>
          <w:noProof/>
          <w:szCs w:val="22"/>
        </w:rPr>
        <w:t xml:space="preserve">do oblastí </w:t>
      </w:r>
      <w:r w:rsidR="00BD5FD5">
        <w:rPr>
          <w:rFonts w:asciiTheme="majorHAnsi" w:hAnsiTheme="majorHAnsi" w:cs="Calibri"/>
          <w:noProof/>
          <w:szCs w:val="22"/>
        </w:rPr>
        <w:t>s </w:t>
      </w:r>
      <w:r w:rsidRPr="00A11FE0">
        <w:rPr>
          <w:rFonts w:asciiTheme="majorHAnsi" w:hAnsiTheme="majorHAnsi" w:cs="Calibri"/>
          <w:noProof/>
          <w:szCs w:val="22"/>
        </w:rPr>
        <w:t xml:space="preserve">vysokou prírodnou hodnotou. V oblasti ochrany pôdy </w:t>
      </w:r>
      <w:r w:rsidR="00BD5FD5">
        <w:rPr>
          <w:rFonts w:asciiTheme="majorHAnsi" w:hAnsiTheme="majorHAnsi" w:cs="Calibri"/>
          <w:noProof/>
          <w:szCs w:val="22"/>
        </w:rPr>
        <w:t>a</w:t>
      </w:r>
      <w:r w:rsidRPr="00A11FE0">
        <w:rPr>
          <w:rFonts w:asciiTheme="majorHAnsi" w:hAnsiTheme="majorHAnsi" w:cs="Calibri"/>
          <w:noProof/>
          <w:szCs w:val="22"/>
        </w:rPr>
        <w:t xml:space="preserve"> vôd prioritne do oblastí </w:t>
      </w:r>
      <w:r w:rsidR="00BD5FD5">
        <w:rPr>
          <w:rFonts w:asciiTheme="majorHAnsi" w:hAnsiTheme="majorHAnsi" w:cs="Calibri"/>
          <w:noProof/>
          <w:szCs w:val="22"/>
        </w:rPr>
        <w:t>s</w:t>
      </w:r>
      <w:r w:rsidRPr="00A11FE0">
        <w:rPr>
          <w:rFonts w:asciiTheme="majorHAnsi" w:hAnsiTheme="majorHAnsi" w:cs="Calibri"/>
          <w:noProof/>
          <w:szCs w:val="22"/>
        </w:rPr>
        <w:t xml:space="preserve">o zvýšenou mierou erózie </w:t>
      </w:r>
      <w:r w:rsidR="00BD5FD5">
        <w:rPr>
          <w:rFonts w:asciiTheme="majorHAnsi" w:hAnsiTheme="majorHAnsi" w:cs="Calibri"/>
          <w:noProof/>
          <w:szCs w:val="22"/>
        </w:rPr>
        <w:t>a </w:t>
      </w:r>
      <w:r w:rsidRPr="00A11FE0">
        <w:rPr>
          <w:rFonts w:asciiTheme="majorHAnsi" w:hAnsiTheme="majorHAnsi" w:cs="Calibri"/>
          <w:noProof/>
          <w:szCs w:val="22"/>
        </w:rPr>
        <w:t xml:space="preserve">znečistenia vôd </w:t>
      </w:r>
      <w:r w:rsidR="00796118">
        <w:rPr>
          <w:rFonts w:asciiTheme="majorHAnsi" w:hAnsiTheme="majorHAnsi" w:cs="Calibri"/>
          <w:noProof/>
          <w:szCs w:val="22"/>
        </w:rPr>
        <w:t>z </w:t>
      </w:r>
      <w:r w:rsidRPr="00A11FE0">
        <w:rPr>
          <w:rFonts w:asciiTheme="majorHAnsi" w:hAnsiTheme="majorHAnsi" w:cs="Calibri"/>
          <w:noProof/>
          <w:szCs w:val="22"/>
        </w:rPr>
        <w:t xml:space="preserve">poľnohospodárskych činností. Opatrenia EPFRV pre zachovanie poľnohospodárstva v oblastiach </w:t>
      </w:r>
      <w:r w:rsidR="00BD5FD5">
        <w:rPr>
          <w:rFonts w:asciiTheme="majorHAnsi" w:hAnsiTheme="majorHAnsi" w:cs="Calibri"/>
          <w:noProof/>
          <w:szCs w:val="22"/>
        </w:rPr>
        <w:t>s</w:t>
      </w:r>
      <w:r w:rsidRPr="00A11FE0">
        <w:rPr>
          <w:rFonts w:asciiTheme="majorHAnsi" w:hAnsiTheme="majorHAnsi" w:cs="Calibri"/>
          <w:noProof/>
          <w:szCs w:val="22"/>
        </w:rPr>
        <w:t xml:space="preserve"> prírodnými, </w:t>
      </w:r>
      <w:r w:rsidR="00BD5FD5">
        <w:rPr>
          <w:rFonts w:asciiTheme="majorHAnsi" w:hAnsiTheme="majorHAnsi" w:cs="Calibri"/>
          <w:noProof/>
          <w:szCs w:val="22"/>
        </w:rPr>
        <w:t>a</w:t>
      </w:r>
      <w:r w:rsidRPr="00A11FE0">
        <w:rPr>
          <w:rFonts w:asciiTheme="majorHAnsi" w:hAnsiTheme="majorHAnsi" w:cs="Calibri"/>
          <w:noProof/>
          <w:szCs w:val="22"/>
        </w:rPr>
        <w:t xml:space="preserve">lebo inými špecifickými obmedzeniami budú </w:t>
      </w:r>
      <w:r w:rsidR="00BD5FD5">
        <w:rPr>
          <w:rFonts w:asciiTheme="majorHAnsi" w:hAnsiTheme="majorHAnsi" w:cs="Calibri"/>
          <w:noProof/>
          <w:szCs w:val="22"/>
        </w:rPr>
        <w:t>s</w:t>
      </w:r>
      <w:r w:rsidRPr="00A11FE0">
        <w:rPr>
          <w:rFonts w:asciiTheme="majorHAnsi" w:hAnsiTheme="majorHAnsi" w:cs="Calibri"/>
          <w:noProof/>
          <w:szCs w:val="22"/>
        </w:rPr>
        <w:t>merované do presne definovaných oblastí.</w:t>
      </w:r>
    </w:p>
    <w:p w:rsidR="000A264B" w:rsidRPr="00A11FE0" w:rsidRDefault="000A264B" w:rsidP="004B6F41">
      <w:pPr>
        <w:keepNext/>
        <w:keepLines/>
        <w:numPr>
          <w:ilvl w:val="2"/>
          <w:numId w:val="2"/>
        </w:numPr>
        <w:spacing w:before="200" w:after="0"/>
        <w:outlineLvl w:val="2"/>
        <w:rPr>
          <w:rFonts w:asciiTheme="majorHAnsi" w:hAnsiTheme="majorHAnsi"/>
          <w:b/>
          <w:bCs/>
          <w:color w:val="4F81BD"/>
          <w:sz w:val="26"/>
        </w:rPr>
      </w:pPr>
      <w:bookmarkStart w:id="203" w:name="_Toc243474058"/>
      <w:bookmarkStart w:id="204" w:name="_Toc373169708"/>
      <w:r w:rsidRPr="00A11FE0">
        <w:rPr>
          <w:rFonts w:asciiTheme="majorHAnsi" w:hAnsiTheme="majorHAnsi"/>
          <w:b/>
          <w:bCs/>
          <w:color w:val="4F81BD"/>
          <w:sz w:val="26"/>
        </w:rPr>
        <w:t xml:space="preserve">Moderná </w:t>
      </w:r>
      <w:r w:rsidR="00BD5FD5">
        <w:rPr>
          <w:rFonts w:asciiTheme="majorHAnsi" w:hAnsiTheme="majorHAnsi"/>
          <w:b/>
          <w:bCs/>
          <w:color w:val="4F81BD"/>
          <w:sz w:val="26"/>
        </w:rPr>
        <w:t>a</w:t>
      </w:r>
      <w:r w:rsidRPr="00A11FE0">
        <w:rPr>
          <w:rFonts w:asciiTheme="majorHAnsi" w:hAnsiTheme="majorHAnsi"/>
          <w:b/>
          <w:bCs/>
          <w:color w:val="4F81BD"/>
          <w:sz w:val="26"/>
        </w:rPr>
        <w:t xml:space="preserve"> profesionálna verejná </w:t>
      </w:r>
      <w:r w:rsidR="00BD5FD5">
        <w:rPr>
          <w:rFonts w:asciiTheme="majorHAnsi" w:hAnsiTheme="majorHAnsi"/>
          <w:b/>
          <w:bCs/>
          <w:color w:val="4F81BD"/>
          <w:sz w:val="26"/>
        </w:rPr>
        <w:t>s</w:t>
      </w:r>
      <w:r w:rsidRPr="00A11FE0">
        <w:rPr>
          <w:rFonts w:asciiTheme="majorHAnsi" w:hAnsiTheme="majorHAnsi"/>
          <w:b/>
          <w:bCs/>
          <w:color w:val="4F81BD"/>
          <w:sz w:val="26"/>
        </w:rPr>
        <w:t>práva</w:t>
      </w:r>
      <w:bookmarkEnd w:id="203"/>
      <w:bookmarkEnd w:id="204"/>
    </w:p>
    <w:p w:rsidR="000A264B" w:rsidRPr="00A11FE0" w:rsidRDefault="000A264B" w:rsidP="000A264B">
      <w:pPr>
        <w:rPr>
          <w:rFonts w:asciiTheme="majorHAnsi" w:hAnsiTheme="majorHAnsi"/>
        </w:rPr>
      </w:pPr>
      <w:r w:rsidRPr="00A11FE0">
        <w:rPr>
          <w:rFonts w:asciiTheme="majorHAnsi" w:hAnsiTheme="majorHAnsi"/>
        </w:rPr>
        <w:t xml:space="preserve">Verejná </w:t>
      </w:r>
      <w:r w:rsidR="00BD5FD5">
        <w:rPr>
          <w:rFonts w:asciiTheme="majorHAnsi" w:hAnsiTheme="majorHAnsi"/>
        </w:rPr>
        <w:t>s</w:t>
      </w:r>
      <w:r w:rsidRPr="00A11FE0">
        <w:rPr>
          <w:rFonts w:asciiTheme="majorHAnsi" w:hAnsiTheme="majorHAnsi"/>
        </w:rPr>
        <w:t>práva je tvorcom legislatívneho prostredia</w:t>
      </w:r>
      <w:r w:rsidR="00E60F38">
        <w:rPr>
          <w:rFonts w:asciiTheme="majorHAnsi" w:hAnsiTheme="majorHAnsi"/>
        </w:rPr>
        <w:t>, garantom a vykonávateľom práva</w:t>
      </w:r>
      <w:r w:rsidRPr="00A11FE0">
        <w:rPr>
          <w:rFonts w:asciiTheme="majorHAnsi" w:hAnsiTheme="majorHAnsi"/>
        </w:rPr>
        <w:t xml:space="preserve"> </w:t>
      </w:r>
      <w:r w:rsidR="00BD5FD5">
        <w:rPr>
          <w:rFonts w:asciiTheme="majorHAnsi" w:hAnsiTheme="majorHAnsi"/>
        </w:rPr>
        <w:t>a</w:t>
      </w:r>
      <w:r w:rsidR="00E60F38">
        <w:rPr>
          <w:rFonts w:asciiTheme="majorHAnsi" w:hAnsiTheme="majorHAnsi"/>
        </w:rPr>
        <w:t> tvorcom a</w:t>
      </w:r>
      <w:r w:rsidR="004468B6">
        <w:rPr>
          <w:rFonts w:asciiTheme="majorHAnsi" w:hAnsiTheme="majorHAnsi"/>
        </w:rPr>
        <w:t> </w:t>
      </w:r>
      <w:r w:rsidR="00E60F38">
        <w:rPr>
          <w:rFonts w:asciiTheme="majorHAnsi" w:hAnsiTheme="majorHAnsi"/>
        </w:rPr>
        <w:t>vykonávateľom</w:t>
      </w:r>
      <w:r w:rsidR="004468B6">
        <w:rPr>
          <w:rFonts w:asciiTheme="majorHAnsi" w:hAnsiTheme="majorHAnsi"/>
        </w:rPr>
        <w:t xml:space="preserve"> </w:t>
      </w:r>
      <w:r w:rsidRPr="00A11FE0">
        <w:rPr>
          <w:rFonts w:asciiTheme="majorHAnsi" w:hAnsiTheme="majorHAnsi"/>
        </w:rPr>
        <w:t xml:space="preserve">politík, </w:t>
      </w:r>
      <w:r w:rsidR="00BD5FD5">
        <w:rPr>
          <w:rFonts w:asciiTheme="majorHAnsi" w:hAnsiTheme="majorHAnsi"/>
        </w:rPr>
        <w:t>k</w:t>
      </w:r>
      <w:r w:rsidRPr="00A11FE0">
        <w:rPr>
          <w:rFonts w:asciiTheme="majorHAnsi" w:hAnsiTheme="majorHAnsi"/>
        </w:rPr>
        <w:t xml:space="preserve">torými priamo </w:t>
      </w:r>
      <w:r w:rsidR="00BD5FD5">
        <w:rPr>
          <w:rFonts w:asciiTheme="majorHAnsi" w:hAnsiTheme="majorHAnsi"/>
        </w:rPr>
        <w:t>a</w:t>
      </w:r>
      <w:r w:rsidRPr="00A11FE0">
        <w:rPr>
          <w:rFonts w:asciiTheme="majorHAnsi" w:hAnsiTheme="majorHAnsi"/>
        </w:rPr>
        <w:t xml:space="preserve">lebo nepriamo ovplyvňuje </w:t>
      </w:r>
      <w:r w:rsidR="00BD5FD5">
        <w:rPr>
          <w:rFonts w:asciiTheme="majorHAnsi" w:hAnsiTheme="majorHAnsi"/>
        </w:rPr>
        <w:t>k</w:t>
      </w:r>
      <w:r w:rsidRPr="00A11FE0">
        <w:rPr>
          <w:rFonts w:asciiTheme="majorHAnsi" w:hAnsiTheme="majorHAnsi"/>
        </w:rPr>
        <w:t>valitu života ľudí v</w:t>
      </w:r>
      <w:r w:rsidR="00914F83">
        <w:rPr>
          <w:rFonts w:asciiTheme="majorHAnsi" w:hAnsiTheme="majorHAnsi"/>
        </w:rPr>
        <w:t>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a </w:t>
      </w:r>
      <w:r w:rsidR="009E53DB" w:rsidRPr="00A11FE0">
        <w:rPr>
          <w:rFonts w:asciiTheme="majorHAnsi" w:hAnsiTheme="majorHAnsi"/>
        </w:rPr>
        <w:t xml:space="preserve">zároveň </w:t>
      </w:r>
      <w:r w:rsidRPr="00A11FE0">
        <w:rPr>
          <w:rFonts w:asciiTheme="majorHAnsi" w:hAnsiTheme="majorHAnsi"/>
        </w:rPr>
        <w:t>je najväčším zamestnávateľom</w:t>
      </w:r>
      <w:r w:rsidRPr="00A11FE0">
        <w:rPr>
          <w:rFonts w:asciiTheme="majorHAnsi" w:hAnsiTheme="majorHAnsi"/>
          <w:vertAlign w:val="superscript"/>
        </w:rPr>
        <w:footnoteReference w:id="209"/>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vlastníkom najrozsiahlejšieho dlhodobého majetku v ekonomike</w:t>
      </w:r>
      <w:r w:rsidRPr="00A11FE0">
        <w:rPr>
          <w:rFonts w:asciiTheme="majorHAnsi" w:hAnsiTheme="majorHAnsi"/>
          <w:vertAlign w:val="superscript"/>
        </w:rPr>
        <w:footnoteReference w:id="210"/>
      </w:r>
      <w:r w:rsidRPr="00A11FE0">
        <w:rPr>
          <w:rFonts w:asciiTheme="majorHAnsi" w:hAnsiTheme="majorHAnsi"/>
        </w:rPr>
        <w:t xml:space="preserve">. Štandardná </w:t>
      </w:r>
      <w:r w:rsidR="00BD5FD5">
        <w:rPr>
          <w:rFonts w:asciiTheme="majorHAnsi" w:hAnsiTheme="majorHAnsi"/>
        </w:rPr>
        <w:t>k</w:t>
      </w:r>
      <w:r w:rsidRPr="00A11FE0">
        <w:rPr>
          <w:rFonts w:asciiTheme="majorHAnsi" w:hAnsiTheme="majorHAnsi"/>
        </w:rPr>
        <w:t xml:space="preserve">valita </w:t>
      </w:r>
      <w:r w:rsidR="00BD5FD5">
        <w:rPr>
          <w:rFonts w:asciiTheme="majorHAnsi" w:hAnsiTheme="majorHAnsi"/>
        </w:rPr>
        <w:t>s</w:t>
      </w:r>
      <w:r w:rsidRPr="00A11FE0">
        <w:rPr>
          <w:rFonts w:asciiTheme="majorHAnsi" w:hAnsiTheme="majorHAnsi"/>
        </w:rPr>
        <w:t xml:space="preserve">lužieb verejnej </w:t>
      </w:r>
      <w:r w:rsidR="00BD5FD5">
        <w:rPr>
          <w:rFonts w:asciiTheme="majorHAnsi" w:hAnsiTheme="majorHAnsi"/>
        </w:rPr>
        <w:t>s</w:t>
      </w:r>
      <w:r w:rsidRPr="00A11FE0">
        <w:rPr>
          <w:rFonts w:asciiTheme="majorHAnsi" w:hAnsiTheme="majorHAnsi"/>
        </w:rPr>
        <w:t>právy</w:t>
      </w:r>
      <w:r w:rsidR="00271145">
        <w:rPr>
          <w:rFonts w:asciiTheme="majorHAnsi" w:hAnsiTheme="majorHAnsi"/>
        </w:rPr>
        <w:t xml:space="preserve"> a</w:t>
      </w:r>
      <w:r w:rsidR="00914F83">
        <w:rPr>
          <w:rFonts w:asciiTheme="majorHAnsi" w:hAnsiTheme="majorHAnsi"/>
        </w:rPr>
        <w:t> </w:t>
      </w:r>
      <w:r w:rsidR="00271145" w:rsidRPr="009E2545">
        <w:rPr>
          <w:rFonts w:asciiTheme="majorHAnsi" w:hAnsiTheme="majorHAnsi"/>
        </w:rPr>
        <w:t>poskytovanie</w:t>
      </w:r>
      <w:r w:rsidR="00914F83">
        <w:rPr>
          <w:rFonts w:asciiTheme="majorHAnsi" w:hAnsiTheme="majorHAnsi"/>
        </w:rPr>
        <w:t xml:space="preserve"> </w:t>
      </w:r>
      <w:r w:rsidR="00271145" w:rsidRPr="009E2545">
        <w:rPr>
          <w:rFonts w:asciiTheme="majorHAnsi" w:hAnsiTheme="majorHAnsi"/>
        </w:rPr>
        <w:t>kvalitatívne lepších služieb pre občanov a podnikateľské subjekty</w:t>
      </w:r>
      <w:r w:rsidR="00271145">
        <w:rPr>
          <w:rFonts w:asciiTheme="majorHAnsi" w:hAnsiTheme="majorHAnsi"/>
        </w:rPr>
        <w:t xml:space="preserve"> sú</w:t>
      </w:r>
      <w:r w:rsidRPr="00A11FE0">
        <w:rPr>
          <w:rFonts w:asciiTheme="majorHAnsi" w:hAnsiTheme="majorHAnsi"/>
        </w:rPr>
        <w:t xml:space="preserve"> najdôležitejším </w:t>
      </w:r>
      <w:r w:rsidR="00271145">
        <w:rPr>
          <w:rFonts w:asciiTheme="majorHAnsi" w:hAnsiTheme="majorHAnsi"/>
        </w:rPr>
        <w:t xml:space="preserve">aspektom </w:t>
      </w:r>
      <w:r w:rsidRPr="00A11FE0">
        <w:rPr>
          <w:rFonts w:asciiTheme="majorHAnsi" w:hAnsiTheme="majorHAnsi"/>
        </w:rPr>
        <w:t xml:space="preserve">realizácie </w:t>
      </w:r>
      <w:r w:rsidR="00BD5FD5">
        <w:rPr>
          <w:rFonts w:asciiTheme="majorHAnsi" w:hAnsiTheme="majorHAnsi"/>
        </w:rPr>
        <w:t>ak</w:t>
      </w:r>
      <w:r w:rsidRPr="00A11FE0">
        <w:rPr>
          <w:rFonts w:asciiTheme="majorHAnsi" w:hAnsiTheme="majorHAnsi"/>
        </w:rPr>
        <w:t xml:space="preserve">ejkoľvek štrukturálnej zmeny </w:t>
      </w:r>
      <w:r w:rsidR="00BD5FD5">
        <w:rPr>
          <w:rFonts w:asciiTheme="majorHAnsi" w:hAnsiTheme="majorHAnsi"/>
        </w:rPr>
        <w:t>s</w:t>
      </w:r>
      <w:r w:rsidRPr="00A11FE0">
        <w:rPr>
          <w:rFonts w:asciiTheme="majorHAnsi" w:hAnsiTheme="majorHAnsi"/>
        </w:rPr>
        <w:t xml:space="preserve">merujúcej </w:t>
      </w:r>
      <w:r w:rsidR="00BD5FD5">
        <w:rPr>
          <w:rFonts w:asciiTheme="majorHAnsi" w:hAnsiTheme="majorHAnsi"/>
        </w:rPr>
        <w:t>k </w:t>
      </w:r>
      <w:r w:rsidRPr="00A11FE0">
        <w:rPr>
          <w:rFonts w:asciiTheme="majorHAnsi" w:hAnsiTheme="majorHAnsi"/>
        </w:rPr>
        <w:t xml:space="preserve">inteligentnému rastu na </w:t>
      </w:r>
      <w:r w:rsidR="00DC5F52">
        <w:rPr>
          <w:rFonts w:asciiTheme="majorHAnsi" w:hAnsiTheme="majorHAnsi"/>
        </w:rPr>
        <w:t>eur</w:t>
      </w:r>
      <w:r w:rsidRPr="00A11FE0">
        <w:rPr>
          <w:rFonts w:asciiTheme="majorHAnsi" w:hAnsiTheme="majorHAnsi"/>
        </w:rPr>
        <w:t xml:space="preserve">ópskej, národnej </w:t>
      </w:r>
      <w:r w:rsidR="00BD5FD5">
        <w:rPr>
          <w:rFonts w:asciiTheme="majorHAnsi" w:hAnsiTheme="majorHAnsi"/>
        </w:rPr>
        <w:t>a</w:t>
      </w:r>
      <w:r w:rsidRPr="00A11FE0">
        <w:rPr>
          <w:rFonts w:asciiTheme="majorHAnsi" w:hAnsiTheme="majorHAnsi"/>
        </w:rPr>
        <w:t> regionálnej úrovni.</w:t>
      </w:r>
    </w:p>
    <w:p w:rsidR="00271145" w:rsidRDefault="00271145" w:rsidP="000A264B">
      <w:pPr>
        <w:rPr>
          <w:rFonts w:asciiTheme="majorHAnsi" w:hAnsiTheme="majorHAnsi"/>
        </w:rPr>
      </w:pPr>
      <w:r w:rsidRPr="00BB05BC">
        <w:rPr>
          <w:rFonts w:asciiTheme="majorHAnsi" w:hAnsiTheme="majorHAnsi"/>
        </w:rPr>
        <w:t xml:space="preserve">Ako </w:t>
      </w:r>
      <w:r w:rsidRPr="00A11FE0">
        <w:rPr>
          <w:rFonts w:asciiTheme="majorHAnsi" w:hAnsiTheme="majorHAnsi"/>
        </w:rPr>
        <w:t>kľúčov</w:t>
      </w:r>
      <w:r>
        <w:rPr>
          <w:rFonts w:asciiTheme="majorHAnsi" w:hAnsiTheme="majorHAnsi"/>
        </w:rPr>
        <w:t>á potreba v</w:t>
      </w:r>
      <w:r w:rsidR="004468B6">
        <w:rPr>
          <w:rFonts w:asciiTheme="majorHAnsi" w:hAnsiTheme="majorHAnsi"/>
        </w:rPr>
        <w:t> </w:t>
      </w:r>
      <w:r>
        <w:rPr>
          <w:rFonts w:asciiTheme="majorHAnsi" w:hAnsiTheme="majorHAnsi"/>
        </w:rPr>
        <w:t>tejto</w:t>
      </w:r>
      <w:r w:rsidR="004468B6">
        <w:rPr>
          <w:rFonts w:asciiTheme="majorHAnsi" w:hAnsiTheme="majorHAnsi"/>
        </w:rPr>
        <w:t xml:space="preserve"> </w:t>
      </w:r>
      <w:r>
        <w:rPr>
          <w:rFonts w:asciiTheme="majorHAnsi" w:hAnsiTheme="majorHAnsi"/>
        </w:rPr>
        <w:t xml:space="preserve">oblasti bola </w:t>
      </w:r>
      <w:r w:rsidRPr="00A11FE0">
        <w:rPr>
          <w:rFonts w:asciiTheme="majorHAnsi" w:hAnsiTheme="majorHAnsi"/>
        </w:rPr>
        <w:t>identifikovan</w:t>
      </w:r>
      <w:r>
        <w:rPr>
          <w:rFonts w:asciiTheme="majorHAnsi" w:hAnsiTheme="majorHAnsi"/>
        </w:rPr>
        <w:t>á s</w:t>
      </w:r>
      <w:r w:rsidRPr="009E2545">
        <w:rPr>
          <w:rFonts w:asciiTheme="majorHAnsi" w:hAnsiTheme="majorHAnsi"/>
        </w:rPr>
        <w:t>chopnosť poskytovať verejné služby na miestnej, regionálnej a</w:t>
      </w:r>
      <w:r w:rsidR="004468B6">
        <w:rPr>
          <w:rFonts w:asciiTheme="majorHAnsi" w:hAnsiTheme="majorHAnsi"/>
        </w:rPr>
        <w:t> </w:t>
      </w:r>
      <w:r w:rsidRPr="009E2545">
        <w:rPr>
          <w:rFonts w:asciiTheme="majorHAnsi" w:hAnsiTheme="majorHAnsi"/>
        </w:rPr>
        <w:t>národnej úrovni, ktoré budú prispôsobené potrebám občanov</w:t>
      </w:r>
      <w:r>
        <w:rPr>
          <w:rFonts w:asciiTheme="majorHAnsi" w:hAnsiTheme="majorHAnsi"/>
        </w:rPr>
        <w:t xml:space="preserve"> a</w:t>
      </w:r>
      <w:r w:rsidR="00983072">
        <w:rPr>
          <w:rFonts w:asciiTheme="majorHAnsi" w:hAnsiTheme="majorHAnsi"/>
        </w:rPr>
        <w:t> </w:t>
      </w:r>
      <w:r>
        <w:rPr>
          <w:rFonts w:asciiTheme="majorHAnsi" w:hAnsiTheme="majorHAnsi"/>
        </w:rPr>
        <w:t xml:space="preserve">podnikateľov, </w:t>
      </w:r>
      <w:r w:rsidRPr="009E2545">
        <w:rPr>
          <w:rFonts w:asciiTheme="majorHAnsi" w:hAnsiTheme="majorHAnsi"/>
        </w:rPr>
        <w:t xml:space="preserve">ktoré stimulujú </w:t>
      </w:r>
      <w:r>
        <w:rPr>
          <w:rFonts w:asciiTheme="majorHAnsi" w:hAnsiTheme="majorHAnsi"/>
        </w:rPr>
        <w:t xml:space="preserve">ich </w:t>
      </w:r>
      <w:r w:rsidRPr="009E2545">
        <w:rPr>
          <w:rFonts w:asciiTheme="majorHAnsi" w:hAnsiTheme="majorHAnsi"/>
        </w:rPr>
        <w:t xml:space="preserve">aktívnu účasť </w:t>
      </w:r>
      <w:r w:rsidRPr="00BB05BC">
        <w:rPr>
          <w:rFonts w:asciiTheme="majorHAnsi" w:hAnsiTheme="majorHAnsi"/>
        </w:rPr>
        <w:t>na verejnej správe</w:t>
      </w:r>
      <w:r>
        <w:rPr>
          <w:rFonts w:asciiTheme="majorHAnsi" w:hAnsiTheme="majorHAnsi"/>
        </w:rPr>
        <w:t xml:space="preserve"> a </w:t>
      </w:r>
      <w:r w:rsidRPr="009E2545">
        <w:rPr>
          <w:rFonts w:asciiTheme="majorHAnsi" w:hAnsiTheme="majorHAnsi"/>
        </w:rPr>
        <w:t>podpor</w:t>
      </w:r>
      <w:r>
        <w:rPr>
          <w:rFonts w:asciiTheme="majorHAnsi" w:hAnsiTheme="majorHAnsi"/>
        </w:rPr>
        <w:t xml:space="preserve">ujú </w:t>
      </w:r>
      <w:r w:rsidRPr="009E2545">
        <w:rPr>
          <w:rFonts w:asciiTheme="majorHAnsi" w:hAnsiTheme="majorHAnsi"/>
        </w:rPr>
        <w:t>tvorbu pracovných miest, sociálnu inklúziu a udržateľný rast.</w:t>
      </w:r>
    </w:p>
    <w:p w:rsidR="005D62A0" w:rsidRDefault="005D62A0" w:rsidP="000A264B">
      <w:pPr>
        <w:rPr>
          <w:rFonts w:asciiTheme="majorHAnsi" w:hAnsiTheme="majorHAnsi"/>
        </w:rPr>
      </w:pPr>
      <w:r w:rsidRPr="005D62A0">
        <w:rPr>
          <w:rFonts w:asciiTheme="majorHAnsi" w:hAnsiTheme="majorHAnsi"/>
        </w:rPr>
        <w:t>V</w:t>
      </w:r>
      <w:r w:rsidR="00983072">
        <w:rPr>
          <w:rFonts w:asciiTheme="majorHAnsi" w:hAnsiTheme="majorHAnsi"/>
        </w:rPr>
        <w:t> </w:t>
      </w:r>
      <w:r w:rsidRPr="005D62A0">
        <w:rPr>
          <w:rFonts w:asciiTheme="majorHAnsi" w:hAnsiTheme="majorHAnsi"/>
        </w:rPr>
        <w:t>súčasnosti existuje nedostatočná intenzita a</w:t>
      </w:r>
      <w:r w:rsidR="00983072">
        <w:rPr>
          <w:rFonts w:asciiTheme="majorHAnsi" w:hAnsiTheme="majorHAnsi"/>
        </w:rPr>
        <w:t> </w:t>
      </w:r>
      <w:r w:rsidRPr="005D62A0">
        <w:rPr>
          <w:rFonts w:asciiTheme="majorHAnsi" w:hAnsiTheme="majorHAnsi"/>
        </w:rPr>
        <w:t>kvalita spolupráce verejného sektora so sociálnymi a ekonomickými partnermi, občianskou spoločnosťou a partnermi na miestnej úrovni pri zabezpečovaní efektívneho výkonu verejných služieb vo vybraných oblastiach</w:t>
      </w:r>
      <w:r w:rsidR="00184209">
        <w:rPr>
          <w:rFonts w:asciiTheme="majorHAnsi" w:hAnsiTheme="majorHAnsi"/>
        </w:rPr>
        <w:t xml:space="preserve">. </w:t>
      </w:r>
      <w:r w:rsidR="00B90E4F">
        <w:rPr>
          <w:rFonts w:asciiTheme="majorHAnsi" w:hAnsiTheme="majorHAnsi"/>
        </w:rPr>
        <w:t>Je potrebné</w:t>
      </w:r>
      <w:r w:rsidRPr="005D62A0">
        <w:rPr>
          <w:rFonts w:asciiTheme="majorHAnsi" w:hAnsiTheme="majorHAnsi"/>
        </w:rPr>
        <w:t xml:space="preserve"> posilniť verejný dohľad občianskej spoločnosti nad výkonom verejných služieb. Aktívna občianska spoločnosť v</w:t>
      </w:r>
      <w:r w:rsidR="00983072">
        <w:rPr>
          <w:rFonts w:asciiTheme="majorHAnsi" w:hAnsiTheme="majorHAnsi"/>
        </w:rPr>
        <w:t> </w:t>
      </w:r>
      <w:r w:rsidRPr="005D62A0">
        <w:rPr>
          <w:rFonts w:asciiTheme="majorHAnsi" w:hAnsiTheme="majorHAnsi"/>
        </w:rPr>
        <w:t>partnerstve s</w:t>
      </w:r>
      <w:r w:rsidR="00983072">
        <w:rPr>
          <w:rFonts w:asciiTheme="majorHAnsi" w:hAnsiTheme="majorHAnsi"/>
        </w:rPr>
        <w:t> </w:t>
      </w:r>
      <w:r w:rsidRPr="005D62A0">
        <w:rPr>
          <w:rFonts w:asciiTheme="majorHAnsi" w:hAnsiTheme="majorHAnsi"/>
        </w:rPr>
        <w:t>verejnou správou bude dohliadať nad nakladaním s</w:t>
      </w:r>
      <w:r w:rsidR="00983072">
        <w:rPr>
          <w:rFonts w:asciiTheme="majorHAnsi" w:hAnsiTheme="majorHAnsi"/>
        </w:rPr>
        <w:t> </w:t>
      </w:r>
      <w:r w:rsidRPr="005D62A0">
        <w:rPr>
          <w:rFonts w:asciiTheme="majorHAnsi" w:hAnsiTheme="majorHAnsi"/>
        </w:rPr>
        <w:t>verejnými prostriedkami a</w:t>
      </w:r>
      <w:r w:rsidR="00983072">
        <w:rPr>
          <w:rFonts w:asciiTheme="majorHAnsi" w:hAnsiTheme="majorHAnsi"/>
        </w:rPr>
        <w:t> </w:t>
      </w:r>
      <w:r w:rsidRPr="005D62A0">
        <w:rPr>
          <w:rFonts w:asciiTheme="majorHAnsi" w:hAnsiTheme="majorHAnsi"/>
        </w:rPr>
        <w:t>využívať pri tom otvorené a</w:t>
      </w:r>
      <w:r w:rsidR="00983072">
        <w:rPr>
          <w:rFonts w:asciiTheme="majorHAnsi" w:hAnsiTheme="majorHAnsi"/>
        </w:rPr>
        <w:t> </w:t>
      </w:r>
      <w:r w:rsidRPr="005D62A0">
        <w:rPr>
          <w:rFonts w:asciiTheme="majorHAnsi" w:hAnsiTheme="majorHAnsi"/>
        </w:rPr>
        <w:t>dostupné dáta z</w:t>
      </w:r>
      <w:r w:rsidR="00983072">
        <w:rPr>
          <w:rFonts w:asciiTheme="majorHAnsi" w:hAnsiTheme="majorHAnsi"/>
        </w:rPr>
        <w:t> </w:t>
      </w:r>
      <w:r w:rsidRPr="005D62A0">
        <w:rPr>
          <w:rFonts w:asciiTheme="majorHAnsi" w:hAnsiTheme="majorHAnsi"/>
        </w:rPr>
        <w:t xml:space="preserve">prostredia verejnej správy. Vytvorí sa sieť neštátnych poskytovateľov verejných služieb, budú podporené </w:t>
      </w:r>
      <w:r w:rsidR="00953FFE">
        <w:rPr>
          <w:rFonts w:asciiTheme="majorHAnsi" w:hAnsiTheme="majorHAnsi"/>
        </w:rPr>
        <w:t>sociálne inovácie a</w:t>
      </w:r>
      <w:r w:rsidR="004468B6">
        <w:rPr>
          <w:rFonts w:asciiTheme="majorHAnsi" w:hAnsiTheme="majorHAnsi"/>
        </w:rPr>
        <w:t> </w:t>
      </w:r>
      <w:r w:rsidRPr="005D62A0">
        <w:rPr>
          <w:rFonts w:asciiTheme="majorHAnsi" w:hAnsiTheme="majorHAnsi"/>
        </w:rPr>
        <w:t>inovácie</w:t>
      </w:r>
      <w:r w:rsidR="004468B6">
        <w:rPr>
          <w:rFonts w:asciiTheme="majorHAnsi" w:hAnsiTheme="majorHAnsi"/>
        </w:rPr>
        <w:t xml:space="preserve"> </w:t>
      </w:r>
      <w:r w:rsidRPr="005D62A0">
        <w:rPr>
          <w:rFonts w:asciiTheme="majorHAnsi" w:hAnsiTheme="majorHAnsi"/>
        </w:rPr>
        <w:t>vo verejných službách s</w:t>
      </w:r>
      <w:r w:rsidR="00983072">
        <w:rPr>
          <w:rFonts w:asciiTheme="majorHAnsi" w:hAnsiTheme="majorHAnsi"/>
        </w:rPr>
        <w:t> </w:t>
      </w:r>
      <w:r w:rsidRPr="005D62A0">
        <w:rPr>
          <w:rFonts w:asciiTheme="majorHAnsi" w:hAnsiTheme="majorHAnsi"/>
        </w:rPr>
        <w:t>dôrazom na ich dostupnosť a</w:t>
      </w:r>
      <w:r w:rsidR="00983072">
        <w:rPr>
          <w:rFonts w:asciiTheme="majorHAnsi" w:hAnsiTheme="majorHAnsi"/>
        </w:rPr>
        <w:t> </w:t>
      </w:r>
      <w:r w:rsidRPr="005D62A0">
        <w:rPr>
          <w:rFonts w:asciiTheme="majorHAnsi" w:hAnsiTheme="majorHAnsi"/>
        </w:rPr>
        <w:t>efektívnosť v</w:t>
      </w:r>
      <w:r w:rsidR="00983072">
        <w:rPr>
          <w:rFonts w:asciiTheme="majorHAnsi" w:hAnsiTheme="majorHAnsi"/>
        </w:rPr>
        <w:t> </w:t>
      </w:r>
      <w:r w:rsidRPr="005D62A0">
        <w:rPr>
          <w:rFonts w:asciiTheme="majorHAnsi" w:hAnsiTheme="majorHAnsi"/>
        </w:rPr>
        <w:t>odpovedi na potreby ich prijímateľov.</w:t>
      </w:r>
    </w:p>
    <w:p w:rsidR="00E60F38" w:rsidRPr="00271145" w:rsidRDefault="00E60F38" w:rsidP="000A264B">
      <w:pPr>
        <w:rPr>
          <w:rFonts w:asciiTheme="majorHAnsi" w:hAnsiTheme="majorHAnsi"/>
        </w:rPr>
      </w:pPr>
      <w:r w:rsidRPr="00E60F38">
        <w:rPr>
          <w:rFonts w:asciiTheme="majorHAnsi" w:hAnsiTheme="majorHAnsi"/>
        </w:rPr>
        <w:t>Dôležitou súčasťou štrukturálnych zmien smerujúci</w:t>
      </w:r>
      <w:r w:rsidR="00D872AA">
        <w:rPr>
          <w:rFonts w:asciiTheme="majorHAnsi" w:hAnsiTheme="majorHAnsi"/>
        </w:rPr>
        <w:t>ch</w:t>
      </w:r>
      <w:r w:rsidRPr="00E60F38">
        <w:rPr>
          <w:rFonts w:asciiTheme="majorHAnsi" w:hAnsiTheme="majorHAnsi"/>
        </w:rPr>
        <w:t xml:space="preserve"> k</w:t>
      </w:r>
      <w:r w:rsidR="004468B6">
        <w:rPr>
          <w:rFonts w:asciiTheme="majorHAnsi" w:hAnsiTheme="majorHAnsi"/>
        </w:rPr>
        <w:t> </w:t>
      </w:r>
      <w:r w:rsidRPr="00E60F38">
        <w:rPr>
          <w:rFonts w:asciiTheme="majorHAnsi" w:hAnsiTheme="majorHAnsi"/>
        </w:rPr>
        <w:t>inteligentnému, udržateľnému a</w:t>
      </w:r>
      <w:r w:rsidR="004468B6">
        <w:rPr>
          <w:rFonts w:asciiTheme="majorHAnsi" w:hAnsiTheme="majorHAnsi"/>
        </w:rPr>
        <w:t> </w:t>
      </w:r>
      <w:r w:rsidRPr="00E60F38">
        <w:rPr>
          <w:rFonts w:asciiTheme="majorHAnsi" w:hAnsiTheme="majorHAnsi"/>
        </w:rPr>
        <w:t>inkluzívnemu</w:t>
      </w:r>
      <w:r w:rsidR="004468B6">
        <w:rPr>
          <w:rFonts w:asciiTheme="majorHAnsi" w:hAnsiTheme="majorHAnsi"/>
        </w:rPr>
        <w:t xml:space="preserve"> </w:t>
      </w:r>
      <w:r w:rsidRPr="00E60F38">
        <w:rPr>
          <w:rFonts w:asciiTheme="majorHAnsi" w:hAnsiTheme="majorHAnsi"/>
        </w:rPr>
        <w:t>rastu je v</w:t>
      </w:r>
      <w:r w:rsidR="004468B6">
        <w:rPr>
          <w:rFonts w:asciiTheme="majorHAnsi" w:hAnsiTheme="majorHAnsi"/>
        </w:rPr>
        <w:t> </w:t>
      </w:r>
      <w:r w:rsidRPr="00E60F38">
        <w:rPr>
          <w:rFonts w:asciiTheme="majorHAnsi" w:hAnsiTheme="majorHAnsi"/>
        </w:rPr>
        <w:t>rámci</w:t>
      </w:r>
      <w:r w:rsidR="004468B6">
        <w:rPr>
          <w:rFonts w:asciiTheme="majorHAnsi" w:hAnsiTheme="majorHAnsi"/>
        </w:rPr>
        <w:t xml:space="preserve"> </w:t>
      </w:r>
      <w:r w:rsidRPr="00E60F38">
        <w:rPr>
          <w:rFonts w:asciiTheme="majorHAnsi" w:hAnsiTheme="majorHAnsi"/>
        </w:rPr>
        <w:t>modernej a</w:t>
      </w:r>
      <w:r w:rsidR="004468B6">
        <w:rPr>
          <w:rFonts w:asciiTheme="majorHAnsi" w:hAnsiTheme="majorHAnsi"/>
        </w:rPr>
        <w:t> </w:t>
      </w:r>
      <w:r w:rsidRPr="00E60F38">
        <w:rPr>
          <w:rFonts w:asciiTheme="majorHAnsi" w:hAnsiTheme="majorHAnsi"/>
        </w:rPr>
        <w:t>profesionálnej</w:t>
      </w:r>
      <w:r w:rsidR="004468B6">
        <w:rPr>
          <w:rFonts w:asciiTheme="majorHAnsi" w:hAnsiTheme="majorHAnsi"/>
        </w:rPr>
        <w:t xml:space="preserve"> </w:t>
      </w:r>
      <w:r w:rsidRPr="00E60F38">
        <w:rPr>
          <w:rFonts w:asciiTheme="majorHAnsi" w:hAnsiTheme="majorHAnsi"/>
        </w:rPr>
        <w:t>verejnej správy aj moderné a</w:t>
      </w:r>
      <w:r w:rsidR="004468B6">
        <w:rPr>
          <w:rFonts w:asciiTheme="majorHAnsi" w:hAnsiTheme="majorHAnsi"/>
        </w:rPr>
        <w:t> </w:t>
      </w:r>
      <w:r w:rsidRPr="00E60F38">
        <w:rPr>
          <w:rFonts w:asciiTheme="majorHAnsi" w:hAnsiTheme="majorHAnsi"/>
        </w:rPr>
        <w:t>profesionálne</w:t>
      </w:r>
      <w:r w:rsidR="004468B6">
        <w:rPr>
          <w:rFonts w:asciiTheme="majorHAnsi" w:hAnsiTheme="majorHAnsi"/>
        </w:rPr>
        <w:t xml:space="preserve"> </w:t>
      </w:r>
      <w:r w:rsidRPr="00E60F38">
        <w:rPr>
          <w:rFonts w:asciiTheme="majorHAnsi" w:hAnsiTheme="majorHAnsi"/>
        </w:rPr>
        <w:t>súdnictvo. V</w:t>
      </w:r>
      <w:r w:rsidR="004468B6">
        <w:rPr>
          <w:rFonts w:asciiTheme="majorHAnsi" w:hAnsiTheme="majorHAnsi"/>
        </w:rPr>
        <w:t> </w:t>
      </w:r>
      <w:r w:rsidRPr="00E60F38">
        <w:rPr>
          <w:rFonts w:asciiTheme="majorHAnsi" w:hAnsiTheme="majorHAnsi"/>
        </w:rPr>
        <w:t>oblasti</w:t>
      </w:r>
      <w:r w:rsidR="004468B6">
        <w:rPr>
          <w:rFonts w:asciiTheme="majorHAnsi" w:hAnsiTheme="majorHAnsi"/>
        </w:rPr>
        <w:t xml:space="preserve"> </w:t>
      </w:r>
      <w:r w:rsidRPr="00E60F38">
        <w:rPr>
          <w:rFonts w:asciiTheme="majorHAnsi" w:hAnsiTheme="majorHAnsi"/>
        </w:rPr>
        <w:t>súdnictva je potrebné zlepšiť efektívnosť a</w:t>
      </w:r>
      <w:r w:rsidR="004468B6">
        <w:rPr>
          <w:rFonts w:asciiTheme="majorHAnsi" w:hAnsiTheme="majorHAnsi"/>
        </w:rPr>
        <w:t> </w:t>
      </w:r>
      <w:r w:rsidRPr="00E60F38">
        <w:rPr>
          <w:rFonts w:asciiTheme="majorHAnsi" w:hAnsiTheme="majorHAnsi"/>
        </w:rPr>
        <w:t>kvalitu</w:t>
      </w:r>
      <w:r w:rsidR="004468B6">
        <w:rPr>
          <w:rFonts w:asciiTheme="majorHAnsi" w:hAnsiTheme="majorHAnsi"/>
        </w:rPr>
        <w:t xml:space="preserve"> </w:t>
      </w:r>
      <w:r w:rsidRPr="00E60F38">
        <w:rPr>
          <w:rFonts w:asciiTheme="majorHAnsi" w:hAnsiTheme="majorHAnsi"/>
        </w:rPr>
        <w:t>občianskych súdnych konaní, zabezpečiť lepšiu vykonateľnosť súdnych rozhodnutí a</w:t>
      </w:r>
      <w:r w:rsidR="004468B6">
        <w:rPr>
          <w:rFonts w:asciiTheme="majorHAnsi" w:hAnsiTheme="majorHAnsi"/>
        </w:rPr>
        <w:t> </w:t>
      </w:r>
      <w:r w:rsidRPr="00E60F38">
        <w:rPr>
          <w:rFonts w:asciiTheme="majorHAnsi" w:hAnsiTheme="majorHAnsi"/>
        </w:rPr>
        <w:t>propagovať</w:t>
      </w:r>
      <w:r w:rsidR="004468B6">
        <w:rPr>
          <w:rFonts w:asciiTheme="majorHAnsi" w:hAnsiTheme="majorHAnsi"/>
        </w:rPr>
        <w:t xml:space="preserve"> </w:t>
      </w:r>
      <w:r w:rsidRPr="00E60F38">
        <w:rPr>
          <w:rFonts w:asciiTheme="majorHAnsi" w:hAnsiTheme="majorHAnsi"/>
        </w:rPr>
        <w:t>mechanizmy alternatívneho riešenia sporov a</w:t>
      </w:r>
      <w:r w:rsidR="004468B6">
        <w:rPr>
          <w:rFonts w:asciiTheme="majorHAnsi" w:hAnsiTheme="majorHAnsi"/>
        </w:rPr>
        <w:t> </w:t>
      </w:r>
      <w:r w:rsidRPr="00E60F38">
        <w:rPr>
          <w:rFonts w:asciiTheme="majorHAnsi" w:hAnsiTheme="majorHAnsi"/>
        </w:rPr>
        <w:t>v</w:t>
      </w:r>
      <w:r w:rsidR="004468B6">
        <w:rPr>
          <w:rFonts w:asciiTheme="majorHAnsi" w:hAnsiTheme="majorHAnsi"/>
        </w:rPr>
        <w:t> </w:t>
      </w:r>
      <w:r w:rsidRPr="00E60F38">
        <w:rPr>
          <w:rFonts w:asciiTheme="majorHAnsi" w:hAnsiTheme="majorHAnsi"/>
        </w:rPr>
        <w:t>neposlednom</w:t>
      </w:r>
      <w:r w:rsidR="004468B6">
        <w:rPr>
          <w:rFonts w:asciiTheme="majorHAnsi" w:hAnsiTheme="majorHAnsi"/>
        </w:rPr>
        <w:t xml:space="preserve"> </w:t>
      </w:r>
      <w:r w:rsidRPr="00E60F38">
        <w:rPr>
          <w:rFonts w:asciiTheme="majorHAnsi" w:hAnsiTheme="majorHAnsi"/>
        </w:rPr>
        <w:t>rade modernizovať infraštruktúru a</w:t>
      </w:r>
      <w:r w:rsidR="004468B6">
        <w:rPr>
          <w:rFonts w:asciiTheme="majorHAnsi" w:hAnsiTheme="majorHAnsi"/>
        </w:rPr>
        <w:t> </w:t>
      </w:r>
      <w:r w:rsidRPr="00E60F38">
        <w:rPr>
          <w:rFonts w:asciiTheme="majorHAnsi" w:hAnsiTheme="majorHAnsi"/>
        </w:rPr>
        <w:t>organizáciu</w:t>
      </w:r>
      <w:r w:rsidR="004468B6">
        <w:rPr>
          <w:rFonts w:asciiTheme="majorHAnsi" w:hAnsiTheme="majorHAnsi"/>
        </w:rPr>
        <w:t xml:space="preserve"> </w:t>
      </w:r>
      <w:r w:rsidRPr="00E60F38">
        <w:rPr>
          <w:rFonts w:asciiTheme="majorHAnsi" w:hAnsiTheme="majorHAnsi"/>
        </w:rPr>
        <w:t>súdov</w:t>
      </w:r>
      <w:r>
        <w:rPr>
          <w:rFonts w:asciiTheme="majorHAnsi" w:hAnsiTheme="majorHAnsi"/>
        </w:rPr>
        <w:t>.</w:t>
      </w:r>
    </w:p>
    <w:p w:rsidR="000A264B" w:rsidRDefault="000A264B" w:rsidP="000A264B">
      <w:pPr>
        <w:rPr>
          <w:rFonts w:asciiTheme="majorHAnsi" w:hAnsiTheme="majorHAnsi"/>
        </w:rPr>
      </w:pPr>
      <w:r w:rsidRPr="00A11FE0">
        <w:rPr>
          <w:rFonts w:asciiTheme="majorHAnsi" w:hAnsiTheme="majorHAnsi"/>
        </w:rPr>
        <w:lastRenderedPageBreak/>
        <w:t xml:space="preserve">Na základe ukazovateľa dlhodobej udržateľnosti verejných financií (GAP) </w:t>
      </w:r>
      <w:r w:rsidR="00BD5FD5">
        <w:rPr>
          <w:rFonts w:asciiTheme="majorHAnsi" w:hAnsiTheme="majorHAnsi"/>
        </w:rPr>
        <w:t>s</w:t>
      </w:r>
      <w:r w:rsidRPr="00A11FE0">
        <w:rPr>
          <w:rFonts w:asciiTheme="majorHAnsi" w:hAnsiTheme="majorHAnsi"/>
        </w:rPr>
        <w:t xml:space="preserve">a pri nezmenených politikách považuje </w:t>
      </w:r>
      <w:r w:rsidR="00BD5FD5">
        <w:rPr>
          <w:rFonts w:asciiTheme="majorHAnsi" w:hAnsiTheme="majorHAnsi"/>
        </w:rPr>
        <w:t>s</w:t>
      </w:r>
      <w:r w:rsidRPr="00A11FE0">
        <w:rPr>
          <w:rFonts w:asciiTheme="majorHAnsi" w:hAnsiTheme="majorHAnsi"/>
        </w:rPr>
        <w:t xml:space="preserve">účasná pozícia </w:t>
      </w:r>
      <w:r w:rsidR="00BD5FD5">
        <w:rPr>
          <w:rFonts w:asciiTheme="majorHAnsi" w:hAnsiTheme="majorHAnsi"/>
        </w:rPr>
        <w:t>S</w:t>
      </w:r>
      <w:r w:rsidRPr="00A11FE0">
        <w:rPr>
          <w:rFonts w:asciiTheme="majorHAnsi" w:hAnsiTheme="majorHAnsi"/>
        </w:rPr>
        <w:t>R za jednoznačne neudržateľnú</w:t>
      </w:r>
      <w:r w:rsidRPr="00A11FE0">
        <w:rPr>
          <w:rFonts w:asciiTheme="majorHAnsi" w:hAnsiTheme="majorHAnsi"/>
          <w:vertAlign w:val="superscript"/>
        </w:rPr>
        <w:footnoteReference w:id="211"/>
      </w:r>
      <w:r w:rsidRPr="00A11FE0">
        <w:rPr>
          <w:rFonts w:asciiTheme="majorHAnsi" w:hAnsiTheme="majorHAnsi"/>
        </w:rPr>
        <w:t xml:space="preserve">. </w:t>
      </w:r>
      <w:r w:rsidR="00BD5FD5">
        <w:rPr>
          <w:rFonts w:asciiTheme="majorHAnsi" w:hAnsiTheme="majorHAnsi"/>
        </w:rPr>
        <w:t>K </w:t>
      </w:r>
      <w:r w:rsidRPr="00A11FE0">
        <w:rPr>
          <w:rFonts w:asciiTheme="majorHAnsi" w:hAnsiTheme="majorHAnsi"/>
        </w:rPr>
        <w:t xml:space="preserve">tomu, </w:t>
      </w:r>
      <w:r w:rsidR="00BD5FD5">
        <w:rPr>
          <w:rFonts w:asciiTheme="majorHAnsi" w:hAnsiTheme="majorHAnsi"/>
        </w:rPr>
        <w:t>a</w:t>
      </w:r>
      <w:r w:rsidRPr="00A11FE0">
        <w:rPr>
          <w:rFonts w:asciiTheme="majorHAnsi" w:hAnsiTheme="majorHAnsi"/>
        </w:rPr>
        <w:t>by dlh v nasledujúcich dekádach nenarástol nad úroveň horného limitu</w:t>
      </w:r>
      <w:r w:rsidRPr="00A11FE0">
        <w:rPr>
          <w:rFonts w:asciiTheme="majorHAnsi" w:hAnsiTheme="majorHAnsi"/>
          <w:vertAlign w:val="superscript"/>
        </w:rPr>
        <w:footnoteReference w:id="212"/>
      </w:r>
      <w:r w:rsidR="009E53DB" w:rsidRPr="00A11FE0">
        <w:rPr>
          <w:rFonts w:asciiTheme="majorHAnsi" w:hAnsiTheme="majorHAnsi"/>
        </w:rPr>
        <w:t>,</w:t>
      </w:r>
      <w:r w:rsidRPr="00A11FE0">
        <w:rPr>
          <w:rFonts w:asciiTheme="majorHAnsi" w:hAnsiTheme="majorHAnsi"/>
        </w:rPr>
        <w:t xml:space="preserve"> je potrebné zrealizovať štrukturálne zmeny</w:t>
      </w:r>
      <w:r w:rsidR="00ED675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trvalo zvýšiť príjmy na jednej </w:t>
      </w:r>
      <w:r w:rsidR="00BD5FD5">
        <w:rPr>
          <w:rFonts w:asciiTheme="majorHAnsi" w:hAnsiTheme="majorHAnsi"/>
        </w:rPr>
        <w:t>s</w:t>
      </w:r>
      <w:r w:rsidRPr="00A11FE0">
        <w:rPr>
          <w:rFonts w:asciiTheme="majorHAnsi" w:hAnsiTheme="majorHAnsi"/>
        </w:rPr>
        <w:t>trane</w:t>
      </w:r>
      <w:r w:rsidR="00ED6750">
        <w:rPr>
          <w:rFonts w:asciiTheme="majorHAnsi" w:hAnsiTheme="majorHAnsi"/>
        </w:rPr>
        <w:t>,</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znížiť výdavky verejných financií na </w:t>
      </w:r>
      <w:r w:rsidR="00BD5FD5">
        <w:rPr>
          <w:rFonts w:asciiTheme="majorHAnsi" w:hAnsiTheme="majorHAnsi"/>
        </w:rPr>
        <w:t>s</w:t>
      </w:r>
      <w:r w:rsidRPr="00A11FE0">
        <w:rPr>
          <w:rFonts w:asciiTheme="majorHAnsi" w:hAnsiTheme="majorHAnsi"/>
        </w:rPr>
        <w:t xml:space="preserve">trane druhej. Táto úloha </w:t>
      </w:r>
      <w:r w:rsidR="00BD5FD5">
        <w:rPr>
          <w:rFonts w:asciiTheme="majorHAnsi" w:hAnsiTheme="majorHAnsi"/>
        </w:rPr>
        <w:t>s</w:t>
      </w:r>
      <w:r w:rsidRPr="00A11FE0">
        <w:rPr>
          <w:rFonts w:asciiTheme="majorHAnsi" w:hAnsiTheme="majorHAnsi"/>
        </w:rPr>
        <w:t xml:space="preserve">a dá </w:t>
      </w:r>
      <w:r w:rsidR="00BD5FD5">
        <w:rPr>
          <w:rFonts w:asciiTheme="majorHAnsi" w:hAnsiTheme="majorHAnsi"/>
        </w:rPr>
        <w:t>s</w:t>
      </w:r>
      <w:r w:rsidRPr="00A11FE0">
        <w:rPr>
          <w:rFonts w:asciiTheme="majorHAnsi" w:hAnsiTheme="majorHAnsi"/>
        </w:rPr>
        <w:t xml:space="preserve">plniť jedine prostredníctvom zásadnej </w:t>
      </w:r>
      <w:r w:rsidR="00BD5FD5">
        <w:rPr>
          <w:rFonts w:asciiTheme="majorHAnsi" w:hAnsiTheme="majorHAnsi"/>
        </w:rPr>
        <w:t>a</w:t>
      </w:r>
      <w:r w:rsidRPr="00A11FE0">
        <w:rPr>
          <w:rFonts w:asciiTheme="majorHAnsi" w:hAnsiTheme="majorHAnsi"/>
        </w:rPr>
        <w:t> </w:t>
      </w:r>
      <w:r w:rsidR="00BD5FD5">
        <w:rPr>
          <w:rFonts w:asciiTheme="majorHAnsi" w:hAnsiTheme="majorHAnsi"/>
        </w:rPr>
        <w:t>k</w:t>
      </w:r>
      <w:r w:rsidRPr="00A11FE0">
        <w:rPr>
          <w:rFonts w:asciiTheme="majorHAnsi" w:hAnsiTheme="majorHAnsi"/>
        </w:rPr>
        <w:t xml:space="preserve">omplexnej reformy verejnej </w:t>
      </w:r>
      <w:r w:rsidR="00BD5FD5">
        <w:rPr>
          <w:rFonts w:asciiTheme="majorHAnsi" w:hAnsiTheme="majorHAnsi"/>
        </w:rPr>
        <w:t>s</w:t>
      </w:r>
      <w:r w:rsidRPr="00A11FE0">
        <w:rPr>
          <w:rFonts w:asciiTheme="majorHAnsi" w:hAnsiTheme="majorHAnsi"/>
        </w:rPr>
        <w:t xml:space="preserve">právy, pričom piliermi pre dosiahnutie tohto cieľa je zvyšovanie inštitucionálnych </w:t>
      </w:r>
      <w:r w:rsidR="00BD5FD5">
        <w:rPr>
          <w:rFonts w:asciiTheme="majorHAnsi" w:hAnsiTheme="majorHAnsi"/>
        </w:rPr>
        <w:t>k</w:t>
      </w:r>
      <w:r w:rsidRPr="00A11FE0">
        <w:rPr>
          <w:rFonts w:asciiTheme="majorHAnsi" w:hAnsiTheme="majorHAnsi"/>
        </w:rPr>
        <w:t xml:space="preserve">apacít </w:t>
      </w:r>
      <w:r w:rsidR="00BD5FD5">
        <w:rPr>
          <w:rFonts w:asciiTheme="majorHAnsi" w:hAnsiTheme="majorHAnsi"/>
        </w:rPr>
        <w:t>a </w:t>
      </w:r>
      <w:r w:rsidRPr="00A11FE0">
        <w:rPr>
          <w:rFonts w:asciiTheme="majorHAnsi" w:hAnsiTheme="majorHAnsi"/>
        </w:rPr>
        <w:t xml:space="preserve"> efektivity verejnej </w:t>
      </w:r>
      <w:r w:rsidR="00BD5FD5">
        <w:rPr>
          <w:rFonts w:asciiTheme="majorHAnsi" w:hAnsiTheme="majorHAnsi"/>
        </w:rPr>
        <w:t>s</w:t>
      </w:r>
      <w:r w:rsidRPr="00A11FE0">
        <w:rPr>
          <w:rFonts w:asciiTheme="majorHAnsi" w:hAnsiTheme="majorHAnsi"/>
        </w:rPr>
        <w:t xml:space="preserve">právy </w:t>
      </w:r>
      <w:r w:rsidR="00BD5FD5">
        <w:rPr>
          <w:rFonts w:asciiTheme="majorHAnsi" w:hAnsiTheme="majorHAnsi"/>
        </w:rPr>
        <w:t>a </w:t>
      </w:r>
      <w:r w:rsidRPr="00A11FE0">
        <w:rPr>
          <w:rFonts w:asciiTheme="majorHAnsi" w:hAnsiTheme="majorHAnsi"/>
        </w:rPr>
        <w:t xml:space="preserve">zavedenie inteligentnej elektronickej verejnej </w:t>
      </w:r>
      <w:r w:rsidR="00BD5FD5">
        <w:rPr>
          <w:rFonts w:asciiTheme="majorHAnsi" w:hAnsiTheme="majorHAnsi"/>
        </w:rPr>
        <w:t>s</w:t>
      </w:r>
      <w:r w:rsidRPr="00A11FE0">
        <w:rPr>
          <w:rFonts w:asciiTheme="majorHAnsi" w:hAnsiTheme="majorHAnsi"/>
        </w:rPr>
        <w:t>právy.</w:t>
      </w:r>
    </w:p>
    <w:p w:rsidR="000A264B" w:rsidRPr="00A11FE0" w:rsidRDefault="000A264B" w:rsidP="004B6F41">
      <w:pPr>
        <w:keepNext/>
        <w:keepLines/>
        <w:numPr>
          <w:ilvl w:val="3"/>
          <w:numId w:val="2"/>
        </w:numPr>
        <w:spacing w:before="200" w:after="0"/>
        <w:outlineLvl w:val="3"/>
        <w:rPr>
          <w:rFonts w:asciiTheme="majorHAnsi" w:hAnsiTheme="majorHAnsi"/>
          <w:b/>
          <w:bCs/>
          <w:i/>
          <w:iCs/>
          <w:color w:val="4F81BD"/>
          <w:sz w:val="24"/>
        </w:rPr>
      </w:pPr>
      <w:bookmarkStart w:id="205" w:name="_Toc373169709"/>
      <w:r w:rsidRPr="00A11FE0">
        <w:rPr>
          <w:rFonts w:asciiTheme="majorHAnsi" w:hAnsiTheme="majorHAnsi"/>
          <w:b/>
          <w:bCs/>
          <w:i/>
          <w:iCs/>
          <w:color w:val="4F81BD"/>
          <w:sz w:val="24"/>
        </w:rPr>
        <w:t>TC</w:t>
      </w:r>
      <w:r w:rsidR="00665324">
        <w:rPr>
          <w:rFonts w:asciiTheme="majorHAnsi" w:hAnsiTheme="majorHAnsi"/>
          <w:b/>
          <w:bCs/>
          <w:i/>
          <w:iCs/>
          <w:color w:val="4F81BD"/>
          <w:sz w:val="24"/>
        </w:rPr>
        <w:t xml:space="preserve"> </w:t>
      </w:r>
      <w:r w:rsidRPr="00A11FE0">
        <w:rPr>
          <w:rFonts w:asciiTheme="majorHAnsi" w:hAnsiTheme="majorHAnsi"/>
          <w:b/>
          <w:bCs/>
          <w:i/>
          <w:iCs/>
          <w:color w:val="4F81BD"/>
          <w:sz w:val="24"/>
        </w:rPr>
        <w:t xml:space="preserve">11: </w:t>
      </w:r>
      <w:r w:rsidR="000A0AFF" w:rsidRPr="00A11FE0">
        <w:rPr>
          <w:rFonts w:asciiTheme="majorHAnsi" w:hAnsiTheme="majorHAnsi"/>
          <w:b/>
          <w:bCs/>
          <w:i/>
          <w:iCs/>
          <w:color w:val="4F81BD"/>
          <w:sz w:val="24"/>
        </w:rPr>
        <w:t xml:space="preserve">Posilnenie </w:t>
      </w:r>
      <w:r w:rsidRPr="00A11FE0">
        <w:rPr>
          <w:rFonts w:asciiTheme="majorHAnsi" w:hAnsiTheme="majorHAnsi"/>
          <w:b/>
          <w:bCs/>
          <w:i/>
          <w:iCs/>
          <w:color w:val="4F81BD"/>
          <w:sz w:val="24"/>
        </w:rPr>
        <w:t xml:space="preserve">inštitucionálnych </w:t>
      </w:r>
      <w:r w:rsidR="00BD5FD5">
        <w:rPr>
          <w:rFonts w:asciiTheme="majorHAnsi" w:hAnsiTheme="majorHAnsi"/>
          <w:b/>
          <w:bCs/>
          <w:i/>
          <w:iCs/>
          <w:color w:val="4F81BD"/>
          <w:sz w:val="24"/>
        </w:rPr>
        <w:t>k</w:t>
      </w:r>
      <w:r w:rsidRPr="00A11FE0">
        <w:rPr>
          <w:rFonts w:asciiTheme="majorHAnsi" w:hAnsiTheme="majorHAnsi"/>
          <w:b/>
          <w:bCs/>
          <w:i/>
          <w:iCs/>
          <w:color w:val="4F81BD"/>
          <w:sz w:val="24"/>
        </w:rPr>
        <w:t xml:space="preserve">apacít </w:t>
      </w:r>
      <w:r w:rsidR="000A0AFF" w:rsidRPr="00A11FE0">
        <w:rPr>
          <w:rFonts w:asciiTheme="majorHAnsi" w:hAnsiTheme="majorHAnsi"/>
          <w:b/>
          <w:bCs/>
          <w:i/>
          <w:iCs/>
          <w:color w:val="4F81BD"/>
          <w:sz w:val="24"/>
        </w:rPr>
        <w:t xml:space="preserve">orgánov verejnej </w:t>
      </w:r>
      <w:r w:rsidR="00BD5FD5">
        <w:rPr>
          <w:rFonts w:asciiTheme="majorHAnsi" w:hAnsiTheme="majorHAnsi"/>
          <w:b/>
          <w:bCs/>
          <w:i/>
          <w:iCs/>
          <w:color w:val="4F81BD"/>
          <w:sz w:val="24"/>
        </w:rPr>
        <w:t>s</w:t>
      </w:r>
      <w:r w:rsidR="000A0AFF" w:rsidRPr="00A11FE0">
        <w:rPr>
          <w:rFonts w:asciiTheme="majorHAnsi" w:hAnsiTheme="majorHAnsi"/>
          <w:b/>
          <w:bCs/>
          <w:i/>
          <w:iCs/>
          <w:color w:val="4F81BD"/>
          <w:sz w:val="24"/>
        </w:rPr>
        <w:t xml:space="preserve">právy </w:t>
      </w:r>
      <w:r w:rsidR="00BD5FD5">
        <w:rPr>
          <w:rFonts w:asciiTheme="majorHAnsi" w:hAnsiTheme="majorHAnsi"/>
          <w:b/>
          <w:bCs/>
          <w:i/>
          <w:iCs/>
          <w:color w:val="4F81BD"/>
          <w:sz w:val="24"/>
        </w:rPr>
        <w:t>a </w:t>
      </w:r>
      <w:r w:rsidR="000A0AFF" w:rsidRPr="00A11FE0">
        <w:rPr>
          <w:rFonts w:asciiTheme="majorHAnsi" w:hAnsiTheme="majorHAnsi"/>
          <w:b/>
          <w:bCs/>
          <w:i/>
          <w:iCs/>
          <w:color w:val="4F81BD"/>
          <w:sz w:val="24"/>
        </w:rPr>
        <w:t xml:space="preserve">zainteresovaných </w:t>
      </w:r>
      <w:r w:rsidR="00BD5FD5">
        <w:rPr>
          <w:rFonts w:asciiTheme="majorHAnsi" w:hAnsiTheme="majorHAnsi"/>
          <w:b/>
          <w:bCs/>
          <w:i/>
          <w:iCs/>
          <w:color w:val="4F81BD"/>
          <w:sz w:val="24"/>
        </w:rPr>
        <w:t>s</w:t>
      </w:r>
      <w:r w:rsidR="000A0AFF" w:rsidRPr="00A11FE0">
        <w:rPr>
          <w:rFonts w:asciiTheme="majorHAnsi" w:hAnsiTheme="majorHAnsi"/>
          <w:b/>
          <w:bCs/>
          <w:i/>
          <w:iCs/>
          <w:color w:val="4F81BD"/>
          <w:sz w:val="24"/>
        </w:rPr>
        <w:t xml:space="preserve">trán </w:t>
      </w:r>
      <w:r w:rsidR="00BD5FD5">
        <w:rPr>
          <w:rFonts w:asciiTheme="majorHAnsi" w:hAnsiTheme="majorHAnsi"/>
          <w:b/>
          <w:bCs/>
          <w:i/>
          <w:iCs/>
          <w:color w:val="4F81BD"/>
          <w:sz w:val="24"/>
        </w:rPr>
        <w:t>a </w:t>
      </w:r>
      <w:r w:rsidRPr="00A11FE0">
        <w:rPr>
          <w:rFonts w:asciiTheme="majorHAnsi" w:hAnsiTheme="majorHAnsi"/>
          <w:b/>
          <w:bCs/>
          <w:i/>
          <w:iCs/>
          <w:color w:val="4F81BD"/>
          <w:sz w:val="24"/>
        </w:rPr>
        <w:t xml:space="preserve">efektivity verejnej </w:t>
      </w:r>
      <w:r w:rsidR="00BD5FD5">
        <w:rPr>
          <w:rFonts w:asciiTheme="majorHAnsi" w:hAnsiTheme="majorHAnsi"/>
          <w:b/>
          <w:bCs/>
          <w:i/>
          <w:iCs/>
          <w:color w:val="4F81BD"/>
          <w:sz w:val="24"/>
        </w:rPr>
        <w:t>s</w:t>
      </w:r>
      <w:r w:rsidRPr="00A11FE0">
        <w:rPr>
          <w:rFonts w:asciiTheme="majorHAnsi" w:hAnsiTheme="majorHAnsi"/>
          <w:b/>
          <w:bCs/>
          <w:i/>
          <w:iCs/>
          <w:color w:val="4F81BD"/>
          <w:sz w:val="24"/>
        </w:rPr>
        <w:t>právy</w:t>
      </w:r>
      <w:bookmarkEnd w:id="205"/>
    </w:p>
    <w:p w:rsidR="000A264B" w:rsidRPr="00A11FE0" w:rsidRDefault="000A264B" w:rsidP="000A264B">
      <w:pPr>
        <w:rPr>
          <w:rFonts w:asciiTheme="majorHAnsi" w:hAnsiTheme="majorHAnsi"/>
        </w:rPr>
      </w:pPr>
      <w:r w:rsidRPr="00A11FE0">
        <w:rPr>
          <w:rFonts w:asciiTheme="majorHAnsi" w:hAnsiTheme="majorHAnsi"/>
        </w:rPr>
        <w:t xml:space="preserve">Na základe </w:t>
      </w:r>
      <w:r w:rsidR="00BD5FD5">
        <w:rPr>
          <w:rFonts w:asciiTheme="majorHAnsi" w:hAnsiTheme="majorHAnsi"/>
        </w:rPr>
        <w:t>a</w:t>
      </w:r>
      <w:r w:rsidRPr="00A11FE0">
        <w:rPr>
          <w:rFonts w:asciiTheme="majorHAnsi" w:hAnsiTheme="majorHAnsi"/>
        </w:rPr>
        <w:t xml:space="preserve">nalýzy ukazovateľov </w:t>
      </w:r>
      <w:r w:rsidR="00BD5FD5">
        <w:rPr>
          <w:rFonts w:asciiTheme="majorHAnsi" w:hAnsiTheme="majorHAnsi"/>
        </w:rPr>
        <w:t>S</w:t>
      </w:r>
      <w:r w:rsidRPr="00A11FE0">
        <w:rPr>
          <w:rFonts w:asciiTheme="majorHAnsi" w:hAnsiTheme="majorHAnsi"/>
        </w:rPr>
        <w:t xml:space="preserve">vetovej banky, </w:t>
      </w:r>
      <w:r w:rsidR="00BD5FD5">
        <w:rPr>
          <w:rFonts w:asciiTheme="majorHAnsi" w:hAnsiTheme="majorHAnsi"/>
        </w:rPr>
        <w:t>k</w:t>
      </w:r>
      <w:r w:rsidRPr="00A11FE0">
        <w:rPr>
          <w:rFonts w:asciiTheme="majorHAnsi" w:hAnsiTheme="majorHAnsi"/>
        </w:rPr>
        <w:t xml:space="preserve">toré hodnotia </w:t>
      </w:r>
      <w:r w:rsidR="00BD5FD5">
        <w:rPr>
          <w:rFonts w:asciiTheme="majorHAnsi" w:hAnsiTheme="majorHAnsi"/>
        </w:rPr>
        <w:t>k</w:t>
      </w:r>
      <w:r w:rsidRPr="00A11FE0">
        <w:rPr>
          <w:rFonts w:asciiTheme="majorHAnsi" w:hAnsiTheme="majorHAnsi"/>
        </w:rPr>
        <w:t xml:space="preserve">valitu verejnej </w:t>
      </w:r>
      <w:r w:rsidR="00BD5FD5">
        <w:rPr>
          <w:rFonts w:asciiTheme="majorHAnsi" w:hAnsiTheme="majorHAnsi"/>
        </w:rPr>
        <w:t>s</w:t>
      </w:r>
      <w:r w:rsidR="005D62A0">
        <w:rPr>
          <w:rFonts w:asciiTheme="majorHAnsi" w:hAnsiTheme="majorHAnsi"/>
        </w:rPr>
        <w:t>p</w:t>
      </w:r>
      <w:r w:rsidRPr="00A11FE0">
        <w:rPr>
          <w:rFonts w:asciiTheme="majorHAnsi" w:hAnsiTheme="majorHAnsi"/>
        </w:rPr>
        <w:t>rávy</w:t>
      </w:r>
      <w:r w:rsidR="001656EE">
        <w:rPr>
          <w:rFonts w:asciiTheme="majorHAnsi" w:hAnsiTheme="majorHAnsi"/>
        </w:rPr>
        <w:t xml:space="preserve"> (ďalej len „VS“)</w:t>
      </w:r>
      <w:r w:rsidRPr="00A11FE0">
        <w:rPr>
          <w:rFonts w:asciiTheme="majorHAnsi" w:hAnsiTheme="majorHAnsi"/>
          <w:vertAlign w:val="superscript"/>
        </w:rPr>
        <w:footnoteReference w:id="213"/>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R patrí medzi najmenej vyspelé </w:t>
      </w:r>
      <w:r w:rsidR="00BD5FD5">
        <w:rPr>
          <w:rFonts w:asciiTheme="majorHAnsi" w:hAnsiTheme="majorHAnsi"/>
        </w:rPr>
        <w:t>k</w:t>
      </w:r>
      <w:r w:rsidRPr="00A11FE0">
        <w:rPr>
          <w:rFonts w:asciiTheme="majorHAnsi" w:hAnsiTheme="majorHAnsi"/>
        </w:rPr>
        <w:t xml:space="preserve">rajiny EÚ. V roku 2010 </w:t>
      </w:r>
      <w:r w:rsidR="00BD5FD5">
        <w:rPr>
          <w:rFonts w:asciiTheme="majorHAnsi" w:hAnsiTheme="majorHAnsi"/>
        </w:rPr>
        <w:t>a </w:t>
      </w:r>
      <w:r w:rsidRPr="00A11FE0">
        <w:rPr>
          <w:rFonts w:asciiTheme="majorHAnsi" w:hAnsiTheme="majorHAnsi"/>
        </w:rPr>
        <w:t xml:space="preserve">2011 patrila </w:t>
      </w:r>
      <w:r w:rsidR="00BD5FD5">
        <w:rPr>
          <w:rFonts w:asciiTheme="majorHAnsi" w:hAnsiTheme="majorHAnsi"/>
        </w:rPr>
        <w:t>S</w:t>
      </w:r>
      <w:r w:rsidRPr="00A11FE0">
        <w:rPr>
          <w:rFonts w:asciiTheme="majorHAnsi" w:hAnsiTheme="majorHAnsi"/>
        </w:rPr>
        <w:t xml:space="preserve">R medzi 27 </w:t>
      </w:r>
      <w:r w:rsidR="00BD5FD5">
        <w:rPr>
          <w:rFonts w:asciiTheme="majorHAnsi" w:hAnsiTheme="majorHAnsi"/>
        </w:rPr>
        <w:t>k</w:t>
      </w:r>
      <w:r w:rsidRPr="00A11FE0">
        <w:rPr>
          <w:rFonts w:asciiTheme="majorHAnsi" w:hAnsiTheme="majorHAnsi"/>
        </w:rPr>
        <w:t xml:space="preserve">rajinami EÚ 9. pozícia od </w:t>
      </w:r>
      <w:r w:rsidR="00BD5FD5">
        <w:rPr>
          <w:rFonts w:asciiTheme="majorHAnsi" w:hAnsiTheme="majorHAnsi"/>
        </w:rPr>
        <w:t>k</w:t>
      </w:r>
      <w:r w:rsidRPr="00A11FE0">
        <w:rPr>
          <w:rFonts w:asciiTheme="majorHAnsi" w:hAnsiTheme="majorHAnsi"/>
        </w:rPr>
        <w:t xml:space="preserve">onca. Od roku 1996 </w:t>
      </w:r>
      <w:r w:rsidR="00BD5FD5">
        <w:rPr>
          <w:rFonts w:asciiTheme="majorHAnsi" w:hAnsiTheme="majorHAnsi"/>
        </w:rPr>
        <w:t>s</w:t>
      </w:r>
      <w:r w:rsidRPr="00A11FE0">
        <w:rPr>
          <w:rFonts w:asciiTheme="majorHAnsi" w:hAnsiTheme="majorHAnsi"/>
        </w:rPr>
        <w:t xml:space="preserve">a zlepšuje postavenie </w:t>
      </w:r>
      <w:r w:rsidR="00BD5FD5">
        <w:rPr>
          <w:rFonts w:asciiTheme="majorHAnsi" w:hAnsiTheme="majorHAnsi"/>
        </w:rPr>
        <w:t>S</w:t>
      </w:r>
      <w:r w:rsidRPr="00A11FE0">
        <w:rPr>
          <w:rFonts w:asciiTheme="majorHAnsi" w:hAnsiTheme="majorHAnsi"/>
        </w:rPr>
        <w:t xml:space="preserve">R v oblasti otvorenosti, </w:t>
      </w:r>
      <w:r w:rsidR="00BD5FD5">
        <w:rPr>
          <w:rFonts w:asciiTheme="majorHAnsi" w:hAnsiTheme="majorHAnsi"/>
        </w:rPr>
        <w:t>k</w:t>
      </w:r>
      <w:r w:rsidRPr="00A11FE0">
        <w:rPr>
          <w:rFonts w:asciiTheme="majorHAnsi" w:hAnsiTheme="majorHAnsi"/>
        </w:rPr>
        <w:t xml:space="preserve">vality regulácie, politickej </w:t>
      </w:r>
      <w:r w:rsidR="00BD5FD5">
        <w:rPr>
          <w:rFonts w:asciiTheme="majorHAnsi" w:hAnsiTheme="majorHAnsi"/>
        </w:rPr>
        <w:t>s</w:t>
      </w:r>
      <w:r w:rsidRPr="00A11FE0">
        <w:rPr>
          <w:rFonts w:asciiTheme="majorHAnsi" w:hAnsiTheme="majorHAnsi"/>
        </w:rPr>
        <w:t xml:space="preserve">tability </w:t>
      </w:r>
      <w:r w:rsidR="00BD5FD5">
        <w:rPr>
          <w:rFonts w:asciiTheme="majorHAnsi" w:hAnsiTheme="majorHAnsi"/>
        </w:rPr>
        <w:t>a </w:t>
      </w:r>
      <w:r w:rsidRPr="00A11FE0">
        <w:rPr>
          <w:rFonts w:asciiTheme="majorHAnsi" w:hAnsiTheme="majorHAnsi"/>
        </w:rPr>
        <w:t xml:space="preserve">pomalšie vo vymožiteľnosti práva. </w:t>
      </w:r>
      <w:r w:rsidR="00BD5FD5">
        <w:rPr>
          <w:rFonts w:asciiTheme="majorHAnsi" w:hAnsiTheme="majorHAnsi"/>
        </w:rPr>
        <w:t>S</w:t>
      </w:r>
      <w:r w:rsidRPr="00A11FE0">
        <w:rPr>
          <w:rFonts w:asciiTheme="majorHAnsi" w:hAnsiTheme="majorHAnsi"/>
        </w:rPr>
        <w:t xml:space="preserve">R výrazne zaostáva v oblasti </w:t>
      </w:r>
      <w:r w:rsidR="00BD5FD5">
        <w:rPr>
          <w:rFonts w:asciiTheme="majorHAnsi" w:hAnsiTheme="majorHAnsi"/>
        </w:rPr>
        <w:t>k</w:t>
      </w:r>
      <w:r w:rsidRPr="00A11FE0">
        <w:rPr>
          <w:rFonts w:asciiTheme="majorHAnsi" w:hAnsiTheme="majorHAnsi"/>
        </w:rPr>
        <w:t xml:space="preserve">ontroly </w:t>
      </w:r>
      <w:r w:rsidR="00BD5FD5">
        <w:rPr>
          <w:rFonts w:asciiTheme="majorHAnsi" w:hAnsiTheme="majorHAnsi"/>
        </w:rPr>
        <w:t>k</w:t>
      </w:r>
      <w:r w:rsidRPr="00A11FE0">
        <w:rPr>
          <w:rFonts w:asciiTheme="majorHAnsi" w:hAnsiTheme="majorHAnsi"/>
        </w:rPr>
        <w:t xml:space="preserve">orupcie (66 zo 100) </w:t>
      </w:r>
      <w:r w:rsidR="00BD5FD5">
        <w:rPr>
          <w:rFonts w:asciiTheme="majorHAnsi" w:hAnsiTheme="majorHAnsi"/>
        </w:rPr>
        <w:t>a </w:t>
      </w:r>
      <w:r w:rsidRPr="00A11FE0">
        <w:rPr>
          <w:rFonts w:asciiTheme="majorHAnsi" w:hAnsiTheme="majorHAnsi"/>
        </w:rPr>
        <w:t xml:space="preserve">efektívnosti </w:t>
      </w:r>
      <w:r w:rsidR="001656EE">
        <w:rPr>
          <w:rFonts w:asciiTheme="majorHAnsi" w:hAnsiTheme="majorHAnsi"/>
        </w:rPr>
        <w:t>VS</w:t>
      </w:r>
      <w:r w:rsidRPr="00A11FE0">
        <w:rPr>
          <w:rFonts w:asciiTheme="majorHAnsi" w:hAnsiTheme="majorHAnsi"/>
        </w:rPr>
        <w:t xml:space="preserve"> (76 zo 100), </w:t>
      </w:r>
      <w:r w:rsidR="00BD5FD5">
        <w:rPr>
          <w:rFonts w:asciiTheme="majorHAnsi" w:hAnsiTheme="majorHAnsi"/>
        </w:rPr>
        <w:t>k</w:t>
      </w:r>
      <w:r w:rsidRPr="00A11FE0">
        <w:rPr>
          <w:rFonts w:asciiTheme="majorHAnsi" w:hAnsiTheme="majorHAnsi"/>
        </w:rPr>
        <w:t xml:space="preserve">toré majú </w:t>
      </w:r>
      <w:r w:rsidR="00BD5FD5">
        <w:rPr>
          <w:rFonts w:asciiTheme="majorHAnsi" w:hAnsiTheme="majorHAnsi"/>
        </w:rPr>
        <w:t>s</w:t>
      </w:r>
      <w:r w:rsidRPr="00A11FE0">
        <w:rPr>
          <w:rFonts w:asciiTheme="majorHAnsi" w:hAnsiTheme="majorHAnsi"/>
        </w:rPr>
        <w:t xml:space="preserve">tagnujúcu </w:t>
      </w:r>
      <w:r w:rsidR="00BD5FD5">
        <w:rPr>
          <w:rFonts w:asciiTheme="majorHAnsi" w:hAnsiTheme="majorHAnsi"/>
        </w:rPr>
        <w:t>a</w:t>
      </w:r>
      <w:r w:rsidRPr="00A11FE0">
        <w:rPr>
          <w:rFonts w:asciiTheme="majorHAnsi" w:hAnsiTheme="majorHAnsi"/>
        </w:rPr>
        <w:t xml:space="preserve">lebo zhoršujúcu </w:t>
      </w:r>
      <w:r w:rsidR="00BD5FD5">
        <w:rPr>
          <w:rFonts w:asciiTheme="majorHAnsi" w:hAnsiTheme="majorHAnsi"/>
        </w:rPr>
        <w:t>s</w:t>
      </w:r>
      <w:r w:rsidRPr="00A11FE0">
        <w:rPr>
          <w:rFonts w:asciiTheme="majorHAnsi" w:hAnsiTheme="majorHAnsi"/>
        </w:rPr>
        <w:t xml:space="preserve">a tendenciu. Ide o dve najpodstatnejšie oblasti, </w:t>
      </w:r>
      <w:r w:rsidR="00BD5FD5">
        <w:rPr>
          <w:rFonts w:asciiTheme="majorHAnsi" w:hAnsiTheme="majorHAnsi"/>
        </w:rPr>
        <w:t>k</w:t>
      </w:r>
      <w:r w:rsidRPr="00A11FE0">
        <w:rPr>
          <w:rFonts w:asciiTheme="majorHAnsi" w:hAnsiTheme="majorHAnsi"/>
        </w:rPr>
        <w:t xml:space="preserve">toré odzrkadľujú celkovú </w:t>
      </w:r>
      <w:r w:rsidR="00BD5FD5">
        <w:rPr>
          <w:rFonts w:asciiTheme="majorHAnsi" w:hAnsiTheme="majorHAnsi"/>
        </w:rPr>
        <w:t>k</w:t>
      </w:r>
      <w:r w:rsidRPr="00A11FE0">
        <w:rPr>
          <w:rFonts w:asciiTheme="majorHAnsi" w:hAnsiTheme="majorHAnsi"/>
        </w:rPr>
        <w:t xml:space="preserve">valitu </w:t>
      </w:r>
      <w:r w:rsidR="00BD5FD5">
        <w:rPr>
          <w:rFonts w:asciiTheme="majorHAnsi" w:hAnsiTheme="majorHAnsi"/>
        </w:rPr>
        <w:t>a</w:t>
      </w:r>
      <w:r w:rsidRPr="00A11FE0">
        <w:rPr>
          <w:rFonts w:asciiTheme="majorHAnsi" w:hAnsiTheme="majorHAnsi"/>
        </w:rPr>
        <w:t xml:space="preserve"> finančnú náročnosť obsluhy </w:t>
      </w:r>
      <w:r w:rsidR="001656EE">
        <w:rPr>
          <w:rFonts w:asciiTheme="majorHAnsi" w:hAnsiTheme="majorHAnsi"/>
        </w:rPr>
        <w:t>VS</w:t>
      </w:r>
      <w:r w:rsidRPr="00A11FE0">
        <w:rPr>
          <w:rFonts w:asciiTheme="majorHAnsi" w:hAnsiTheme="majorHAnsi"/>
        </w:rPr>
        <w:t>.</w:t>
      </w:r>
    </w:p>
    <w:p w:rsidR="000A264B" w:rsidRPr="00A11FE0" w:rsidRDefault="00D61E43" w:rsidP="000A264B">
      <w:pPr>
        <w:rPr>
          <w:rFonts w:asciiTheme="majorHAnsi" w:hAnsiTheme="majorHAnsi"/>
        </w:rPr>
      </w:pPr>
      <w:r>
        <w:rPr>
          <w:noProof/>
          <w:lang w:eastAsia="sk-SK"/>
        </w:rPr>
        <mc:AlternateContent>
          <mc:Choice Requires="wpg">
            <w:drawing>
              <wp:anchor distT="0" distB="0" distL="114300" distR="114300" simplePos="0" relativeHeight="251765760" behindDoc="0" locked="0" layoutInCell="1" allowOverlap="1" wp14:anchorId="02569ABC" wp14:editId="4F7ACC61">
                <wp:simplePos x="0" y="0"/>
                <wp:positionH relativeFrom="column">
                  <wp:posOffset>3190240</wp:posOffset>
                </wp:positionH>
                <wp:positionV relativeFrom="paragraph">
                  <wp:posOffset>16510</wp:posOffset>
                </wp:positionV>
                <wp:extent cx="2628900" cy="3594735"/>
                <wp:effectExtent l="0" t="0" r="0" b="5715"/>
                <wp:wrapSquare wrapText="bothSides"/>
                <wp:docPr id="1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3594735"/>
                          <a:chOff x="0" y="0"/>
                          <a:chExt cx="3475990" cy="4688205"/>
                        </a:xfrm>
                      </wpg:grpSpPr>
                      <pic:pic xmlns:pic="http://schemas.openxmlformats.org/drawingml/2006/picture">
                        <pic:nvPicPr>
                          <pic:cNvPr id="20" name="Picture 11"/>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75990" cy="2514600"/>
                          </a:xfrm>
                          <a:prstGeom prst="rect">
                            <a:avLst/>
                          </a:prstGeom>
                          <a:noFill/>
                          <a:ln>
                            <a:noFill/>
                          </a:ln>
                        </pic:spPr>
                      </pic:pic>
                      <pic:pic xmlns:pic="http://schemas.openxmlformats.org/drawingml/2006/picture">
                        <pic:nvPicPr>
                          <pic:cNvPr id="21" name="Picture 12"/>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2566035"/>
                            <a:ext cx="3429000" cy="21221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F2B9354" id="Skupina 1" o:spid="_x0000_s1026" style="position:absolute;margin-left:251.2pt;margin-top:1.3pt;width:207pt;height:283.05pt;z-index:251765760;mso-width-relative:margin;mso-height-relative:margin" coordsize="34759,468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">
                <v:shape id="Picture 11" o:spid="_x0000_s1027" type="#_x0000_t75" style="position:absolute;width:34759;height:25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">
                  <v:imagedata r:id="rId37" o:title=""/>
                  <v:path arrowok="t"/>
                </v:shape>
                <v:shape id="Picture 12" o:spid="_x0000_s1028" type="#_x0000_t75" style="position:absolute;top:25660;width:34290;height:21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">
                  <v:imagedata r:id="rId38" o:title=""/>
                  <v:path arrowok="t"/>
                </v:shape>
                <w10:wrap type="square"/>
              </v:group>
            </w:pict>
          </mc:Fallback>
        </mc:AlternateContent>
      </w:r>
      <w:r w:rsidR="000A264B" w:rsidRPr="00A11FE0">
        <w:rPr>
          <w:rFonts w:asciiTheme="majorHAnsi" w:hAnsiTheme="majorHAnsi"/>
        </w:rPr>
        <w:t xml:space="preserve">Efektívnosť </w:t>
      </w:r>
      <w:r w:rsidR="001656EE">
        <w:rPr>
          <w:rFonts w:asciiTheme="majorHAnsi" w:hAnsiTheme="majorHAnsi"/>
        </w:rPr>
        <w:t>VS</w:t>
      </w:r>
      <w:r w:rsidR="000A264B" w:rsidRPr="00A11FE0">
        <w:rPr>
          <w:rFonts w:asciiTheme="majorHAnsi" w:hAnsiTheme="majorHAnsi"/>
        </w:rPr>
        <w:t xml:space="preserve"> je </w:t>
      </w:r>
      <w:r w:rsidR="00BD5FD5">
        <w:rPr>
          <w:rFonts w:asciiTheme="majorHAnsi" w:hAnsiTheme="majorHAnsi"/>
        </w:rPr>
        <w:t>k</w:t>
      </w:r>
      <w:r w:rsidR="000A264B" w:rsidRPr="00A11FE0">
        <w:rPr>
          <w:rFonts w:asciiTheme="majorHAnsi" w:hAnsiTheme="majorHAnsi"/>
        </w:rPr>
        <w:t xml:space="preserve">omplexným ukazovateľom, </w:t>
      </w:r>
      <w:r w:rsidR="00BD5FD5">
        <w:rPr>
          <w:rFonts w:asciiTheme="majorHAnsi" w:hAnsiTheme="majorHAnsi"/>
        </w:rPr>
        <w:t>k</w:t>
      </w:r>
      <w:r w:rsidR="000A264B" w:rsidRPr="00A11FE0">
        <w:rPr>
          <w:rFonts w:asciiTheme="majorHAnsi" w:hAnsiTheme="majorHAnsi"/>
        </w:rPr>
        <w:t xml:space="preserve">torý hodnotí finančnú efektívnosť (vzťah výdavkov </w:t>
      </w:r>
      <w:r w:rsidR="00BD5FD5">
        <w:rPr>
          <w:rFonts w:asciiTheme="majorHAnsi" w:hAnsiTheme="majorHAnsi"/>
        </w:rPr>
        <w:t>a </w:t>
      </w:r>
      <w:r w:rsidR="000A264B" w:rsidRPr="00A11FE0">
        <w:rPr>
          <w:rFonts w:asciiTheme="majorHAnsi" w:hAnsiTheme="majorHAnsi"/>
        </w:rPr>
        <w:t xml:space="preserve">príjmov rozpočtu VS), </w:t>
      </w:r>
      <w:r w:rsidR="00BD5FD5">
        <w:rPr>
          <w:rFonts w:asciiTheme="majorHAnsi" w:hAnsiTheme="majorHAnsi"/>
        </w:rPr>
        <w:t>k</w:t>
      </w:r>
      <w:r w:rsidR="000A264B" w:rsidRPr="00A11FE0">
        <w:rPr>
          <w:rFonts w:asciiTheme="majorHAnsi" w:hAnsiTheme="majorHAnsi"/>
        </w:rPr>
        <w:t xml:space="preserve">valitu vybraných poskytovaných </w:t>
      </w:r>
      <w:r w:rsidR="00BD5FD5">
        <w:rPr>
          <w:rFonts w:asciiTheme="majorHAnsi" w:hAnsiTheme="majorHAnsi"/>
        </w:rPr>
        <w:t>s</w:t>
      </w:r>
      <w:r w:rsidR="000A264B" w:rsidRPr="00A11FE0">
        <w:rPr>
          <w:rFonts w:asciiTheme="majorHAnsi" w:hAnsiTheme="majorHAnsi"/>
        </w:rPr>
        <w:t xml:space="preserve">lužieb (vzdelávanie, zdravie, doprava) </w:t>
      </w:r>
      <w:r w:rsidR="00BD5FD5">
        <w:rPr>
          <w:rFonts w:asciiTheme="majorHAnsi" w:hAnsiTheme="majorHAnsi"/>
        </w:rPr>
        <w:t>a </w:t>
      </w:r>
      <w:r w:rsidR="000A264B" w:rsidRPr="00A11FE0">
        <w:rPr>
          <w:rFonts w:asciiTheme="majorHAnsi" w:hAnsiTheme="majorHAnsi"/>
        </w:rPr>
        <w:t xml:space="preserve">hospodárskej politiky. Nadpriemerne vysoký je podiel výdavkov </w:t>
      </w:r>
      <w:r w:rsidR="001656EE">
        <w:rPr>
          <w:rFonts w:asciiTheme="majorHAnsi" w:hAnsiTheme="majorHAnsi"/>
        </w:rPr>
        <w:t>VS</w:t>
      </w:r>
      <w:r w:rsidR="000A264B" w:rsidRPr="00A11FE0">
        <w:rPr>
          <w:rFonts w:asciiTheme="majorHAnsi" w:hAnsiTheme="majorHAnsi"/>
        </w:rPr>
        <w:t xml:space="preserve"> na </w:t>
      </w:r>
      <w:r w:rsidR="00BD5FD5">
        <w:rPr>
          <w:rFonts w:asciiTheme="majorHAnsi" w:hAnsiTheme="majorHAnsi"/>
        </w:rPr>
        <w:t>s</w:t>
      </w:r>
      <w:r w:rsidR="000A264B" w:rsidRPr="00A11FE0">
        <w:rPr>
          <w:rFonts w:asciiTheme="majorHAnsi" w:hAnsiTheme="majorHAnsi"/>
        </w:rPr>
        <w:t xml:space="preserve">potrebu tovarov </w:t>
      </w:r>
      <w:r w:rsidR="00BD5FD5">
        <w:rPr>
          <w:rFonts w:asciiTheme="majorHAnsi" w:hAnsiTheme="majorHAnsi"/>
        </w:rPr>
        <w:t>a</w:t>
      </w:r>
      <w:r w:rsidR="000A264B" w:rsidRPr="00A11FE0">
        <w:rPr>
          <w:rFonts w:asciiTheme="majorHAnsi" w:hAnsiTheme="majorHAnsi"/>
        </w:rPr>
        <w:t> </w:t>
      </w:r>
      <w:r w:rsidR="00BD5FD5">
        <w:rPr>
          <w:rFonts w:asciiTheme="majorHAnsi" w:hAnsiTheme="majorHAnsi"/>
        </w:rPr>
        <w:t>s</w:t>
      </w:r>
      <w:r w:rsidR="000A264B" w:rsidRPr="00A11FE0">
        <w:rPr>
          <w:rFonts w:asciiTheme="majorHAnsi" w:hAnsiTheme="majorHAnsi"/>
        </w:rPr>
        <w:t xml:space="preserve">lužieb </w:t>
      </w:r>
      <w:r w:rsidR="001656EE">
        <w:rPr>
          <w:rFonts w:asciiTheme="majorHAnsi" w:hAnsiTheme="majorHAnsi"/>
        </w:rPr>
        <w:t>VS</w:t>
      </w:r>
      <w:r w:rsidR="000A264B" w:rsidRPr="00A11FE0">
        <w:rPr>
          <w:rFonts w:asciiTheme="majorHAnsi" w:hAnsiTheme="majorHAnsi"/>
        </w:rPr>
        <w:t xml:space="preserve"> (cca. 50 %)</w:t>
      </w:r>
      <w:r w:rsidR="000A264B" w:rsidRPr="00A11FE0">
        <w:rPr>
          <w:rFonts w:asciiTheme="majorHAnsi" w:hAnsiTheme="majorHAnsi"/>
          <w:vertAlign w:val="superscript"/>
        </w:rPr>
        <w:footnoteReference w:id="214"/>
      </w:r>
      <w:r w:rsidR="000A264B" w:rsidRPr="00A11FE0">
        <w:rPr>
          <w:rFonts w:asciiTheme="majorHAnsi" w:hAnsiTheme="majorHAnsi"/>
        </w:rPr>
        <w:t>, z </w:t>
      </w:r>
      <w:r w:rsidR="00BD5FD5">
        <w:rPr>
          <w:rFonts w:asciiTheme="majorHAnsi" w:hAnsiTheme="majorHAnsi"/>
        </w:rPr>
        <w:t>k</w:t>
      </w:r>
      <w:r w:rsidR="000A264B" w:rsidRPr="00A11FE0">
        <w:rPr>
          <w:rFonts w:asciiTheme="majorHAnsi" w:hAnsiTheme="majorHAnsi"/>
        </w:rPr>
        <w:t xml:space="preserve">torých najväčšia časť je určená na chod </w:t>
      </w:r>
      <w:r w:rsidR="00BD5FD5">
        <w:rPr>
          <w:rFonts w:asciiTheme="majorHAnsi" w:hAnsiTheme="majorHAnsi"/>
        </w:rPr>
        <w:t>s</w:t>
      </w:r>
      <w:r w:rsidR="000A264B" w:rsidRPr="00A11FE0">
        <w:rPr>
          <w:rFonts w:asciiTheme="majorHAnsi" w:hAnsiTheme="majorHAnsi"/>
        </w:rPr>
        <w:t xml:space="preserve">amotnej </w:t>
      </w:r>
      <w:r w:rsidR="001656EE">
        <w:rPr>
          <w:rFonts w:asciiTheme="majorHAnsi" w:hAnsiTheme="majorHAnsi"/>
        </w:rPr>
        <w:t>VS</w:t>
      </w:r>
      <w:r w:rsidR="000A264B" w:rsidRPr="00A11FE0">
        <w:rPr>
          <w:rFonts w:asciiTheme="majorHAnsi" w:hAnsiTheme="majorHAnsi"/>
        </w:rPr>
        <w:t xml:space="preserve">. Vďaka rozpočtovým </w:t>
      </w:r>
      <w:r w:rsidR="00BD5FD5">
        <w:rPr>
          <w:rFonts w:asciiTheme="majorHAnsi" w:hAnsiTheme="majorHAnsi"/>
        </w:rPr>
        <w:t>s</w:t>
      </w:r>
      <w:r w:rsidR="000A264B" w:rsidRPr="00A11FE0">
        <w:rPr>
          <w:rFonts w:asciiTheme="majorHAnsi" w:hAnsiTheme="majorHAnsi"/>
        </w:rPr>
        <w:t xml:space="preserve">tropom </w:t>
      </w:r>
      <w:r w:rsidR="00BD5FD5">
        <w:rPr>
          <w:rFonts w:asciiTheme="majorHAnsi" w:hAnsiTheme="majorHAnsi"/>
        </w:rPr>
        <w:t>s</w:t>
      </w:r>
      <w:r w:rsidR="000A264B" w:rsidRPr="00A11FE0">
        <w:rPr>
          <w:rFonts w:asciiTheme="majorHAnsi" w:hAnsiTheme="majorHAnsi"/>
        </w:rPr>
        <w:t>a darí udržiavať tento podiel</w:t>
      </w:r>
      <w:r w:rsidR="000A0AFF" w:rsidRPr="00A11FE0">
        <w:rPr>
          <w:rFonts w:asciiTheme="majorHAnsi" w:hAnsiTheme="majorHAnsi"/>
        </w:rPr>
        <w:t xml:space="preserve"> </w:t>
      </w:r>
      <w:r w:rsidR="000A264B" w:rsidRPr="00A11FE0">
        <w:rPr>
          <w:rFonts w:asciiTheme="majorHAnsi" w:hAnsiTheme="majorHAnsi"/>
        </w:rPr>
        <w:t xml:space="preserve">na relatívne </w:t>
      </w:r>
      <w:r w:rsidR="00BD5FD5">
        <w:rPr>
          <w:rFonts w:asciiTheme="majorHAnsi" w:hAnsiTheme="majorHAnsi"/>
        </w:rPr>
        <w:t>s</w:t>
      </w:r>
      <w:r w:rsidR="000A264B" w:rsidRPr="00A11FE0">
        <w:rPr>
          <w:rFonts w:asciiTheme="majorHAnsi" w:hAnsiTheme="majorHAnsi"/>
        </w:rPr>
        <w:t xml:space="preserve">tabilizovanej úrovni. </w:t>
      </w:r>
      <w:r w:rsidR="00BD5FD5">
        <w:rPr>
          <w:rFonts w:asciiTheme="majorHAnsi" w:hAnsiTheme="majorHAnsi"/>
        </w:rPr>
        <w:t>S </w:t>
      </w:r>
      <w:r w:rsidR="000A264B" w:rsidRPr="00A11FE0">
        <w:rPr>
          <w:rFonts w:asciiTheme="majorHAnsi" w:hAnsiTheme="majorHAnsi"/>
        </w:rPr>
        <w:t>pribúdajúcim počtom transakcií G2P</w:t>
      </w:r>
      <w:r w:rsidR="000A264B" w:rsidRPr="00A11FE0">
        <w:rPr>
          <w:rFonts w:asciiTheme="majorHAnsi" w:hAnsiTheme="majorHAnsi"/>
          <w:vertAlign w:val="superscript"/>
        </w:rPr>
        <w:footnoteReference w:id="215"/>
      </w:r>
      <w:r w:rsidR="000A264B" w:rsidRPr="00A11FE0">
        <w:rPr>
          <w:rFonts w:asciiTheme="majorHAnsi" w:hAnsiTheme="majorHAnsi"/>
        </w:rPr>
        <w:t xml:space="preserve"> </w:t>
      </w:r>
      <w:r w:rsidR="00BD5FD5">
        <w:rPr>
          <w:rFonts w:asciiTheme="majorHAnsi" w:hAnsiTheme="majorHAnsi"/>
        </w:rPr>
        <w:t>s</w:t>
      </w:r>
      <w:r w:rsidR="000A264B" w:rsidRPr="00A11FE0">
        <w:rPr>
          <w:rFonts w:asciiTheme="majorHAnsi" w:hAnsiTheme="majorHAnsi"/>
        </w:rPr>
        <w:t xml:space="preserve">a </w:t>
      </w:r>
      <w:r w:rsidR="00BD5FD5">
        <w:rPr>
          <w:rFonts w:asciiTheme="majorHAnsi" w:hAnsiTheme="majorHAnsi"/>
        </w:rPr>
        <w:t>k</w:t>
      </w:r>
      <w:r w:rsidR="000A264B" w:rsidRPr="00A11FE0">
        <w:rPr>
          <w:rFonts w:asciiTheme="majorHAnsi" w:hAnsiTheme="majorHAnsi"/>
        </w:rPr>
        <w:t xml:space="preserve">valita </w:t>
      </w:r>
      <w:r w:rsidR="00BD5FD5">
        <w:rPr>
          <w:rFonts w:asciiTheme="majorHAnsi" w:hAnsiTheme="majorHAnsi"/>
        </w:rPr>
        <w:t>s</w:t>
      </w:r>
      <w:r w:rsidR="000A264B" w:rsidRPr="00A11FE0">
        <w:rPr>
          <w:rFonts w:asciiTheme="majorHAnsi" w:hAnsiTheme="majorHAnsi"/>
        </w:rPr>
        <w:t>lužieb v</w:t>
      </w:r>
      <w:r w:rsidR="001656EE">
        <w:rPr>
          <w:rFonts w:asciiTheme="majorHAnsi" w:hAnsiTheme="majorHAnsi"/>
        </w:rPr>
        <w:t> </w:t>
      </w:r>
      <w:r w:rsidR="00BD5FD5">
        <w:rPr>
          <w:rFonts w:asciiTheme="majorHAnsi" w:hAnsiTheme="majorHAnsi"/>
        </w:rPr>
        <w:t>S</w:t>
      </w:r>
      <w:r w:rsidR="000A264B" w:rsidRPr="00A11FE0">
        <w:rPr>
          <w:rFonts w:asciiTheme="majorHAnsi" w:hAnsiTheme="majorHAnsi"/>
        </w:rPr>
        <w:t>R zhoršuje</w:t>
      </w:r>
      <w:r w:rsidR="000A264B" w:rsidRPr="00A11FE0">
        <w:rPr>
          <w:rFonts w:asciiTheme="majorHAnsi" w:hAnsiTheme="majorHAnsi"/>
          <w:vertAlign w:val="superscript"/>
        </w:rPr>
        <w:footnoteReference w:id="216"/>
      </w:r>
      <w:r w:rsidR="000A264B" w:rsidRPr="00A11FE0">
        <w:rPr>
          <w:rFonts w:asciiTheme="majorHAnsi" w:hAnsiTheme="majorHAnsi"/>
        </w:rPr>
        <w:t>.</w:t>
      </w:r>
    </w:p>
    <w:p w:rsidR="000A264B" w:rsidRPr="00A11FE0" w:rsidRDefault="000A264B" w:rsidP="000A264B">
      <w:pPr>
        <w:rPr>
          <w:rFonts w:asciiTheme="majorHAnsi" w:hAnsiTheme="majorHAnsi"/>
        </w:rPr>
      </w:pPr>
      <w:r w:rsidRPr="00A11FE0">
        <w:rPr>
          <w:rFonts w:asciiTheme="majorHAnsi" w:hAnsiTheme="majorHAnsi"/>
        </w:rPr>
        <w:t xml:space="preserve">Nízka úroveň </w:t>
      </w:r>
      <w:r w:rsidR="00BD5FD5">
        <w:rPr>
          <w:rFonts w:asciiTheme="majorHAnsi" w:hAnsiTheme="majorHAnsi"/>
        </w:rPr>
        <w:t>k</w:t>
      </w:r>
      <w:r w:rsidRPr="00A11FE0">
        <w:rPr>
          <w:rFonts w:asciiTheme="majorHAnsi" w:hAnsiTheme="majorHAnsi"/>
        </w:rPr>
        <w:t xml:space="preserve">vality </w:t>
      </w:r>
      <w:r w:rsidR="00BD5FD5">
        <w:rPr>
          <w:rFonts w:asciiTheme="majorHAnsi" w:hAnsiTheme="majorHAnsi"/>
        </w:rPr>
        <w:t>s</w:t>
      </w:r>
      <w:r w:rsidRPr="00A11FE0">
        <w:rPr>
          <w:rFonts w:asciiTheme="majorHAnsi" w:hAnsiTheme="majorHAnsi"/>
        </w:rPr>
        <w:t xml:space="preserve">lužieb </w:t>
      </w:r>
      <w:r w:rsidR="001656EE">
        <w:rPr>
          <w:rFonts w:asciiTheme="majorHAnsi" w:hAnsiTheme="majorHAnsi"/>
        </w:rPr>
        <w:t>VS</w:t>
      </w:r>
      <w:r w:rsidRPr="00A11FE0">
        <w:rPr>
          <w:rFonts w:asciiTheme="majorHAnsi" w:hAnsiTheme="majorHAnsi"/>
        </w:rPr>
        <w:t xml:space="preserve"> </w:t>
      </w:r>
      <w:r w:rsidR="00BD5FD5">
        <w:rPr>
          <w:rFonts w:asciiTheme="majorHAnsi" w:hAnsiTheme="majorHAnsi"/>
        </w:rPr>
        <w:t>s</w:t>
      </w:r>
      <w:r w:rsidRPr="00A11FE0">
        <w:rPr>
          <w:rFonts w:asciiTheme="majorHAnsi" w:hAnsiTheme="majorHAnsi"/>
        </w:rPr>
        <w:t xml:space="preserve">a prejavuje obmedzenou </w:t>
      </w:r>
      <w:r w:rsidR="00892FBC" w:rsidRPr="00A11FE0">
        <w:rPr>
          <w:rFonts w:asciiTheme="majorHAnsi" w:hAnsiTheme="majorHAnsi"/>
        </w:rPr>
        <w:t xml:space="preserve">účasťou </w:t>
      </w:r>
      <w:r w:rsidR="00BD5FD5">
        <w:rPr>
          <w:rFonts w:asciiTheme="majorHAnsi" w:hAnsiTheme="majorHAnsi"/>
        </w:rPr>
        <w:t>S</w:t>
      </w:r>
      <w:r w:rsidRPr="00A11FE0">
        <w:rPr>
          <w:rFonts w:asciiTheme="majorHAnsi" w:hAnsiTheme="majorHAnsi"/>
        </w:rPr>
        <w:t xml:space="preserve">R na cezhraničných </w:t>
      </w:r>
      <w:r w:rsidR="00BD5FD5">
        <w:rPr>
          <w:rFonts w:asciiTheme="majorHAnsi" w:hAnsiTheme="majorHAnsi"/>
        </w:rPr>
        <w:t>s</w:t>
      </w:r>
      <w:r w:rsidRPr="00A11FE0">
        <w:rPr>
          <w:rFonts w:asciiTheme="majorHAnsi" w:hAnsiTheme="majorHAnsi"/>
        </w:rPr>
        <w:t xml:space="preserve">lužbách </w:t>
      </w:r>
      <w:r w:rsidR="00BD5FD5">
        <w:rPr>
          <w:rFonts w:asciiTheme="majorHAnsi" w:hAnsiTheme="majorHAnsi"/>
        </w:rPr>
        <w:t>a </w:t>
      </w:r>
      <w:r w:rsidRPr="00A11FE0">
        <w:rPr>
          <w:rFonts w:asciiTheme="majorHAnsi" w:hAnsiTheme="majorHAnsi"/>
        </w:rPr>
        <w:t xml:space="preserve">bráni hlbšej integrácii do jednotného </w:t>
      </w:r>
      <w:r w:rsidR="00C20F3A">
        <w:rPr>
          <w:rFonts w:asciiTheme="majorHAnsi" w:hAnsiTheme="majorHAnsi"/>
        </w:rPr>
        <w:t>e</w:t>
      </w:r>
      <w:r w:rsidR="006A7C8F">
        <w:rPr>
          <w:rFonts w:asciiTheme="majorHAnsi" w:hAnsiTheme="majorHAnsi"/>
        </w:rPr>
        <w:t>ur</w:t>
      </w:r>
      <w:r w:rsidRPr="00A11FE0">
        <w:rPr>
          <w:rFonts w:asciiTheme="majorHAnsi" w:hAnsiTheme="majorHAnsi"/>
        </w:rPr>
        <w:t xml:space="preserve">ópskeho digitálneho trhu. Implementácia </w:t>
      </w:r>
      <w:r w:rsidR="00BD5FD5">
        <w:rPr>
          <w:rFonts w:asciiTheme="majorHAnsi" w:hAnsiTheme="majorHAnsi"/>
        </w:rPr>
        <w:t>s</w:t>
      </w:r>
      <w:r w:rsidRPr="00A11FE0">
        <w:rPr>
          <w:rFonts w:asciiTheme="majorHAnsi" w:hAnsiTheme="majorHAnsi"/>
        </w:rPr>
        <w:t>tratégie vo</w:t>
      </w:r>
      <w:r w:rsidR="00AC0A22" w:rsidRPr="00A11FE0">
        <w:rPr>
          <w:rFonts w:asciiTheme="majorHAnsi" w:hAnsiTheme="majorHAnsi"/>
        </w:rPr>
        <w:t xml:space="preserve"> </w:t>
      </w:r>
      <w:r w:rsidRPr="00A11FE0">
        <w:rPr>
          <w:rFonts w:asciiTheme="majorHAnsi" w:hAnsiTheme="majorHAnsi"/>
        </w:rPr>
        <w:t xml:space="preserve">vzťahu </w:t>
      </w:r>
      <w:r w:rsidR="00BD5FD5">
        <w:rPr>
          <w:rFonts w:asciiTheme="majorHAnsi" w:hAnsiTheme="majorHAnsi"/>
        </w:rPr>
        <w:t>k</w:t>
      </w:r>
      <w:r w:rsidRPr="00A11FE0">
        <w:rPr>
          <w:rFonts w:asciiTheme="majorHAnsi" w:hAnsiTheme="majorHAnsi"/>
        </w:rPr>
        <w:t xml:space="preserve"> medzinárodnej interoperabilite </w:t>
      </w:r>
      <w:r w:rsidR="00BD5FD5">
        <w:rPr>
          <w:rFonts w:asciiTheme="majorHAnsi" w:hAnsiTheme="majorHAnsi"/>
        </w:rPr>
        <w:t>s</w:t>
      </w:r>
      <w:r w:rsidRPr="00A11FE0">
        <w:rPr>
          <w:rFonts w:asciiTheme="majorHAnsi" w:hAnsiTheme="majorHAnsi"/>
        </w:rPr>
        <w:t xml:space="preserve">lužieb </w:t>
      </w:r>
      <w:r w:rsidR="00BD5FD5">
        <w:rPr>
          <w:rFonts w:asciiTheme="majorHAnsi" w:hAnsiTheme="majorHAnsi"/>
        </w:rPr>
        <w:t>a </w:t>
      </w:r>
      <w:r w:rsidRPr="00A11FE0">
        <w:rPr>
          <w:rFonts w:asciiTheme="majorHAnsi" w:hAnsiTheme="majorHAnsi"/>
        </w:rPr>
        <w:t xml:space="preserve">hlbšia cezhraničná </w:t>
      </w:r>
      <w:r w:rsidR="00BD5FD5">
        <w:rPr>
          <w:rFonts w:asciiTheme="majorHAnsi" w:hAnsiTheme="majorHAnsi"/>
        </w:rPr>
        <w:t>a</w:t>
      </w:r>
      <w:r w:rsidRPr="00A11FE0">
        <w:rPr>
          <w:rFonts w:asciiTheme="majorHAnsi" w:hAnsiTheme="majorHAnsi"/>
        </w:rPr>
        <w:t xml:space="preserve">dministratívna </w:t>
      </w:r>
      <w:r w:rsidR="00BD5FD5">
        <w:rPr>
          <w:rFonts w:asciiTheme="majorHAnsi" w:hAnsiTheme="majorHAnsi"/>
        </w:rPr>
        <w:t>s</w:t>
      </w:r>
      <w:r w:rsidRPr="00A11FE0">
        <w:rPr>
          <w:rFonts w:asciiTheme="majorHAnsi" w:hAnsiTheme="majorHAnsi"/>
        </w:rPr>
        <w:t xml:space="preserve">polupráca napreduje v porovnaní </w:t>
      </w:r>
      <w:r w:rsidR="00BD5FD5">
        <w:rPr>
          <w:rFonts w:asciiTheme="majorHAnsi" w:hAnsiTheme="majorHAnsi"/>
        </w:rPr>
        <w:t>s </w:t>
      </w:r>
      <w:r w:rsidRPr="00A11FE0">
        <w:rPr>
          <w:rFonts w:asciiTheme="majorHAnsi" w:hAnsiTheme="majorHAnsi"/>
        </w:rPr>
        <w:t xml:space="preserve">ostatnými </w:t>
      </w:r>
      <w:r w:rsidR="00BD5FD5">
        <w:rPr>
          <w:rFonts w:asciiTheme="majorHAnsi" w:hAnsiTheme="majorHAnsi"/>
        </w:rPr>
        <w:t>k</w:t>
      </w:r>
      <w:r w:rsidRPr="00A11FE0">
        <w:rPr>
          <w:rFonts w:asciiTheme="majorHAnsi" w:hAnsiTheme="majorHAnsi"/>
        </w:rPr>
        <w:t xml:space="preserve">rajinami (napr. V4) len pomaly. </w:t>
      </w:r>
      <w:r w:rsidR="009F3A26" w:rsidRPr="009F3A26">
        <w:rPr>
          <w:rFonts w:asciiTheme="majorHAnsi" w:hAnsiTheme="majorHAnsi"/>
        </w:rPr>
        <w:t>Interoperabilitou sa rozumie poskytovanie služieb občanom a podnikateľským subjektom s</w:t>
      </w:r>
      <w:r w:rsidR="00A45659">
        <w:rPr>
          <w:rFonts w:asciiTheme="majorHAnsi" w:hAnsiTheme="majorHAnsi"/>
        </w:rPr>
        <w:t> </w:t>
      </w:r>
      <w:r w:rsidR="009F3A26" w:rsidRPr="009F3A26">
        <w:rPr>
          <w:rFonts w:asciiTheme="majorHAnsi" w:hAnsiTheme="majorHAnsi"/>
        </w:rPr>
        <w:t>cieľom maximalizovať</w:t>
      </w:r>
      <w:r w:rsidR="00A45659">
        <w:rPr>
          <w:rFonts w:asciiTheme="majorHAnsi" w:hAnsiTheme="majorHAnsi"/>
        </w:rPr>
        <w:t xml:space="preserve"> </w:t>
      </w:r>
      <w:r w:rsidR="009F3A26" w:rsidRPr="009F3A26">
        <w:rPr>
          <w:rFonts w:asciiTheme="majorHAnsi" w:hAnsiTheme="majorHAnsi"/>
        </w:rPr>
        <w:t>spoločenský</w:t>
      </w:r>
      <w:r w:rsidR="00A45659">
        <w:rPr>
          <w:rFonts w:asciiTheme="majorHAnsi" w:hAnsiTheme="majorHAnsi"/>
        </w:rPr>
        <w:t xml:space="preserve"> </w:t>
      </w:r>
      <w:r w:rsidR="009F3A26" w:rsidRPr="009F3A26">
        <w:rPr>
          <w:rFonts w:asciiTheme="majorHAnsi" w:hAnsiTheme="majorHAnsi"/>
        </w:rPr>
        <w:t>a</w:t>
      </w:r>
      <w:r w:rsidR="00A45659">
        <w:rPr>
          <w:rFonts w:asciiTheme="majorHAnsi" w:hAnsiTheme="majorHAnsi"/>
        </w:rPr>
        <w:t> </w:t>
      </w:r>
      <w:r w:rsidR="009F3A26" w:rsidRPr="009F3A26">
        <w:rPr>
          <w:rFonts w:asciiTheme="majorHAnsi" w:hAnsiTheme="majorHAnsi"/>
        </w:rPr>
        <w:t>ekonomický</w:t>
      </w:r>
      <w:r w:rsidR="00A45659">
        <w:rPr>
          <w:rFonts w:asciiTheme="majorHAnsi" w:hAnsiTheme="majorHAnsi"/>
        </w:rPr>
        <w:t xml:space="preserve"> </w:t>
      </w:r>
      <w:r w:rsidR="009F3A26" w:rsidRPr="009F3A26">
        <w:rPr>
          <w:rFonts w:asciiTheme="majorHAnsi" w:hAnsiTheme="majorHAnsi"/>
        </w:rPr>
        <w:t>potenciál</w:t>
      </w:r>
      <w:r w:rsidR="00A45659">
        <w:rPr>
          <w:rFonts w:asciiTheme="majorHAnsi" w:hAnsiTheme="majorHAnsi"/>
        </w:rPr>
        <w:t xml:space="preserve"> </w:t>
      </w:r>
      <w:r w:rsidR="009F3A26" w:rsidRPr="009F3A26">
        <w:rPr>
          <w:rFonts w:asciiTheme="majorHAnsi" w:hAnsiTheme="majorHAnsi"/>
        </w:rPr>
        <w:t>informačných</w:t>
      </w:r>
      <w:r w:rsidR="00A45659">
        <w:rPr>
          <w:rFonts w:asciiTheme="majorHAnsi" w:hAnsiTheme="majorHAnsi"/>
        </w:rPr>
        <w:t xml:space="preserve"> </w:t>
      </w:r>
      <w:r w:rsidR="009F3A26" w:rsidRPr="009F3A26">
        <w:rPr>
          <w:rFonts w:asciiTheme="majorHAnsi" w:hAnsiTheme="majorHAnsi"/>
        </w:rPr>
        <w:t>a</w:t>
      </w:r>
      <w:r w:rsidR="00A45659">
        <w:rPr>
          <w:rFonts w:asciiTheme="majorHAnsi" w:hAnsiTheme="majorHAnsi"/>
        </w:rPr>
        <w:t> </w:t>
      </w:r>
      <w:r w:rsidR="009F3A26" w:rsidRPr="009F3A26">
        <w:rPr>
          <w:rFonts w:asciiTheme="majorHAnsi" w:hAnsiTheme="majorHAnsi"/>
        </w:rPr>
        <w:t>komunikačných</w:t>
      </w:r>
      <w:r w:rsidR="00A45659">
        <w:rPr>
          <w:rFonts w:asciiTheme="majorHAnsi" w:hAnsiTheme="majorHAnsi"/>
        </w:rPr>
        <w:t xml:space="preserve"> </w:t>
      </w:r>
      <w:r w:rsidR="009F3A26" w:rsidRPr="009F3A26">
        <w:rPr>
          <w:rFonts w:asciiTheme="majorHAnsi" w:hAnsiTheme="majorHAnsi"/>
        </w:rPr>
        <w:t>technológií a</w:t>
      </w:r>
      <w:r w:rsidR="00A45659">
        <w:rPr>
          <w:rFonts w:asciiTheme="majorHAnsi" w:hAnsiTheme="majorHAnsi"/>
        </w:rPr>
        <w:t> </w:t>
      </w:r>
      <w:r w:rsidR="009F3A26" w:rsidRPr="009F3A26">
        <w:rPr>
          <w:rFonts w:asciiTheme="majorHAnsi" w:hAnsiTheme="majorHAnsi"/>
        </w:rPr>
        <w:t>vytvoriť</w:t>
      </w:r>
      <w:r w:rsidR="00A45659">
        <w:rPr>
          <w:rFonts w:asciiTheme="majorHAnsi" w:hAnsiTheme="majorHAnsi"/>
        </w:rPr>
        <w:t xml:space="preserve"> </w:t>
      </w:r>
      <w:r w:rsidR="009F3A26" w:rsidRPr="009F3A26">
        <w:rPr>
          <w:rFonts w:asciiTheme="majorHAnsi" w:hAnsiTheme="majorHAnsi"/>
        </w:rPr>
        <w:t>spoločný</w:t>
      </w:r>
      <w:r w:rsidR="00A45659">
        <w:rPr>
          <w:rFonts w:asciiTheme="majorHAnsi" w:hAnsiTheme="majorHAnsi"/>
        </w:rPr>
        <w:t xml:space="preserve"> </w:t>
      </w:r>
      <w:r w:rsidR="009F3A26" w:rsidRPr="009F3A26">
        <w:rPr>
          <w:rFonts w:asciiTheme="majorHAnsi" w:hAnsiTheme="majorHAnsi"/>
        </w:rPr>
        <w:t>prístup pre</w:t>
      </w:r>
      <w:r w:rsidR="00A45659">
        <w:rPr>
          <w:rFonts w:asciiTheme="majorHAnsi" w:hAnsiTheme="majorHAnsi"/>
        </w:rPr>
        <w:t xml:space="preserve"> </w:t>
      </w:r>
      <w:r w:rsidR="009F3A26" w:rsidRPr="009F3A26">
        <w:rPr>
          <w:rFonts w:asciiTheme="majorHAnsi" w:hAnsiTheme="majorHAnsi"/>
        </w:rPr>
        <w:t>orgány</w:t>
      </w:r>
      <w:r w:rsidR="00A45659">
        <w:rPr>
          <w:rFonts w:asciiTheme="majorHAnsi" w:hAnsiTheme="majorHAnsi"/>
        </w:rPr>
        <w:t xml:space="preserve"> </w:t>
      </w:r>
      <w:r w:rsidR="001656EE">
        <w:rPr>
          <w:rFonts w:asciiTheme="majorHAnsi" w:hAnsiTheme="majorHAnsi"/>
        </w:rPr>
        <w:t>VS</w:t>
      </w:r>
      <w:r w:rsidR="009F3A26" w:rsidRPr="009F3A26">
        <w:rPr>
          <w:rFonts w:asciiTheme="majorHAnsi" w:hAnsiTheme="majorHAnsi"/>
        </w:rPr>
        <w:t xml:space="preserve"> okolitých členských štátov, aby tak</w:t>
      </w:r>
      <w:r w:rsidR="00A45659">
        <w:rPr>
          <w:rFonts w:asciiTheme="majorHAnsi" w:hAnsiTheme="majorHAnsi"/>
        </w:rPr>
        <w:t xml:space="preserve"> </w:t>
      </w:r>
      <w:r w:rsidR="009F3A26" w:rsidRPr="009F3A26">
        <w:rPr>
          <w:rFonts w:asciiTheme="majorHAnsi" w:hAnsiTheme="majorHAnsi"/>
        </w:rPr>
        <w:t>v</w:t>
      </w:r>
      <w:r w:rsidR="00A45659">
        <w:rPr>
          <w:rFonts w:asciiTheme="majorHAnsi" w:hAnsiTheme="majorHAnsi"/>
        </w:rPr>
        <w:t> </w:t>
      </w:r>
      <w:r w:rsidR="009F3A26" w:rsidRPr="009F3A26">
        <w:rPr>
          <w:rFonts w:asciiTheme="majorHAnsi" w:hAnsiTheme="majorHAnsi"/>
        </w:rPr>
        <w:t>súlade</w:t>
      </w:r>
      <w:r w:rsidR="00A45659">
        <w:rPr>
          <w:rFonts w:asciiTheme="majorHAnsi" w:hAnsiTheme="majorHAnsi"/>
        </w:rPr>
        <w:t xml:space="preserve"> </w:t>
      </w:r>
      <w:r w:rsidR="009F3A26" w:rsidRPr="009F3A26">
        <w:rPr>
          <w:rFonts w:asciiTheme="majorHAnsi" w:hAnsiTheme="majorHAnsi"/>
        </w:rPr>
        <w:t>s </w:t>
      </w:r>
      <w:r w:rsidR="00992762">
        <w:rPr>
          <w:rFonts w:asciiTheme="majorHAnsi" w:hAnsiTheme="majorHAnsi"/>
        </w:rPr>
        <w:t>E</w:t>
      </w:r>
      <w:r w:rsidR="00C20F3A">
        <w:rPr>
          <w:rFonts w:asciiTheme="majorHAnsi" w:hAnsiTheme="majorHAnsi"/>
        </w:rPr>
        <w:t>ur</w:t>
      </w:r>
      <w:r w:rsidR="009F3A26" w:rsidRPr="009F3A26">
        <w:rPr>
          <w:rFonts w:asciiTheme="majorHAnsi" w:hAnsiTheme="majorHAnsi"/>
        </w:rPr>
        <w:t>ópskou stratégiou interoperability</w:t>
      </w:r>
      <w:r w:rsidR="00A45659">
        <w:rPr>
          <w:rFonts w:asciiTheme="majorHAnsi" w:hAnsiTheme="majorHAnsi"/>
        </w:rPr>
        <w:t xml:space="preserve"> </w:t>
      </w:r>
      <w:r w:rsidR="009F3A26" w:rsidRPr="009F3A26">
        <w:rPr>
          <w:rFonts w:asciiTheme="majorHAnsi" w:hAnsiTheme="majorHAnsi"/>
        </w:rPr>
        <w:t>(EIS)</w:t>
      </w:r>
      <w:r w:rsidR="00A45659">
        <w:rPr>
          <w:rFonts w:asciiTheme="majorHAnsi" w:hAnsiTheme="majorHAnsi"/>
        </w:rPr>
        <w:t xml:space="preserve"> </w:t>
      </w:r>
      <w:r w:rsidR="009F3A26" w:rsidRPr="009F3A26">
        <w:rPr>
          <w:rFonts w:asciiTheme="majorHAnsi" w:hAnsiTheme="majorHAnsi"/>
        </w:rPr>
        <w:t>a</w:t>
      </w:r>
      <w:r w:rsidR="00A45659">
        <w:rPr>
          <w:rFonts w:asciiTheme="majorHAnsi" w:hAnsiTheme="majorHAnsi"/>
        </w:rPr>
        <w:t> </w:t>
      </w:r>
      <w:r w:rsidR="00992762">
        <w:rPr>
          <w:rFonts w:asciiTheme="majorHAnsi" w:hAnsiTheme="majorHAnsi"/>
        </w:rPr>
        <w:t>E</w:t>
      </w:r>
      <w:r w:rsidR="006A7C8F">
        <w:rPr>
          <w:rFonts w:asciiTheme="majorHAnsi" w:hAnsiTheme="majorHAnsi"/>
        </w:rPr>
        <w:t>ur</w:t>
      </w:r>
      <w:r w:rsidR="009F3A26" w:rsidRPr="009F3A26">
        <w:rPr>
          <w:rFonts w:asciiTheme="majorHAnsi" w:hAnsiTheme="majorHAnsi"/>
        </w:rPr>
        <w:t>ópskym</w:t>
      </w:r>
      <w:r w:rsidR="00A45659">
        <w:rPr>
          <w:rFonts w:asciiTheme="majorHAnsi" w:hAnsiTheme="majorHAnsi"/>
        </w:rPr>
        <w:t xml:space="preserve"> </w:t>
      </w:r>
      <w:r w:rsidR="009F3A26" w:rsidRPr="009F3A26">
        <w:rPr>
          <w:rFonts w:asciiTheme="majorHAnsi" w:hAnsiTheme="majorHAnsi"/>
        </w:rPr>
        <w:t>rámcom interoperability</w:t>
      </w:r>
      <w:r w:rsidR="00A45659">
        <w:rPr>
          <w:rFonts w:asciiTheme="majorHAnsi" w:hAnsiTheme="majorHAnsi"/>
        </w:rPr>
        <w:t xml:space="preserve"> </w:t>
      </w:r>
      <w:r w:rsidR="009F3A26" w:rsidRPr="009F3A26">
        <w:rPr>
          <w:rFonts w:asciiTheme="majorHAnsi" w:hAnsiTheme="majorHAnsi"/>
        </w:rPr>
        <w:t>(EIF) pomohla</w:t>
      </w:r>
      <w:r w:rsidR="00A45659">
        <w:rPr>
          <w:rFonts w:asciiTheme="majorHAnsi" w:hAnsiTheme="majorHAnsi"/>
        </w:rPr>
        <w:t xml:space="preserve"> </w:t>
      </w:r>
      <w:r w:rsidR="009F3A26" w:rsidRPr="009F3A26">
        <w:rPr>
          <w:rFonts w:asciiTheme="majorHAnsi" w:hAnsiTheme="majorHAnsi"/>
        </w:rPr>
        <w:t>občanom</w:t>
      </w:r>
      <w:r w:rsidR="00A45659">
        <w:rPr>
          <w:rFonts w:asciiTheme="majorHAnsi" w:hAnsiTheme="majorHAnsi"/>
        </w:rPr>
        <w:t xml:space="preserve"> </w:t>
      </w:r>
      <w:r w:rsidR="009F3A26" w:rsidRPr="009F3A26">
        <w:rPr>
          <w:rFonts w:asciiTheme="majorHAnsi" w:hAnsiTheme="majorHAnsi"/>
        </w:rPr>
        <w:t>a podnikom plne využívať jednotný</w:t>
      </w:r>
      <w:r w:rsidR="00A45659">
        <w:rPr>
          <w:rFonts w:asciiTheme="majorHAnsi" w:hAnsiTheme="majorHAnsi"/>
        </w:rPr>
        <w:t xml:space="preserve"> </w:t>
      </w:r>
      <w:r w:rsidR="009F3A26" w:rsidRPr="009F3A26">
        <w:rPr>
          <w:rFonts w:asciiTheme="majorHAnsi" w:hAnsiTheme="majorHAnsi"/>
        </w:rPr>
        <w:t>trh</w:t>
      </w:r>
      <w:r w:rsidR="00A45659">
        <w:rPr>
          <w:rFonts w:asciiTheme="majorHAnsi" w:hAnsiTheme="majorHAnsi"/>
        </w:rPr>
        <w:t xml:space="preserve"> </w:t>
      </w:r>
      <w:r w:rsidR="009F3A26" w:rsidRPr="009F3A26">
        <w:rPr>
          <w:rFonts w:asciiTheme="majorHAnsi" w:hAnsiTheme="majorHAnsi"/>
        </w:rPr>
        <w:t xml:space="preserve">EÚ. </w:t>
      </w:r>
      <w:r w:rsidRPr="00A11FE0">
        <w:rPr>
          <w:rFonts w:asciiTheme="majorHAnsi" w:hAnsiTheme="majorHAnsi"/>
        </w:rPr>
        <w:lastRenderedPageBreak/>
        <w:t xml:space="preserve">Dôvodom je nízka úroveň interoperability informačných </w:t>
      </w:r>
      <w:r w:rsidR="00BD5FD5">
        <w:rPr>
          <w:rFonts w:asciiTheme="majorHAnsi" w:hAnsiTheme="majorHAnsi"/>
        </w:rPr>
        <w:t>s</w:t>
      </w:r>
      <w:r w:rsidRPr="00A11FE0">
        <w:rPr>
          <w:rFonts w:asciiTheme="majorHAnsi" w:hAnsiTheme="majorHAnsi"/>
        </w:rPr>
        <w:t>ystémov</w:t>
      </w:r>
      <w:r w:rsidR="009F3A26">
        <w:rPr>
          <w:rFonts w:asciiTheme="majorHAnsi" w:hAnsiTheme="majorHAnsi"/>
        </w:rPr>
        <w:t>, ako prostriedkov na reformu</w:t>
      </w:r>
      <w:r w:rsidRPr="00A11FE0">
        <w:rPr>
          <w:rFonts w:asciiTheme="majorHAnsi" w:hAnsiTheme="majorHAnsi"/>
        </w:rPr>
        <w:t xml:space="preserve"> verejnej </w:t>
      </w:r>
      <w:r w:rsidR="00BD5FD5">
        <w:rPr>
          <w:rFonts w:asciiTheme="majorHAnsi" w:hAnsiTheme="majorHAnsi"/>
        </w:rPr>
        <w:t>s</w:t>
      </w:r>
      <w:r w:rsidRPr="00A11FE0">
        <w:rPr>
          <w:rFonts w:asciiTheme="majorHAnsi" w:hAnsiTheme="majorHAnsi"/>
        </w:rPr>
        <w:t xml:space="preserve">právy, </w:t>
      </w:r>
      <w:r w:rsidR="00BD5FD5">
        <w:rPr>
          <w:rFonts w:asciiTheme="majorHAnsi" w:hAnsiTheme="majorHAnsi"/>
        </w:rPr>
        <w:t>a</w:t>
      </w:r>
      <w:r w:rsidRPr="00A11FE0">
        <w:rPr>
          <w:rFonts w:asciiTheme="majorHAnsi" w:hAnsiTheme="majorHAnsi"/>
        </w:rPr>
        <w:t xml:space="preserve">dministratívnych procesov </w:t>
      </w:r>
      <w:r w:rsidR="00BD5FD5">
        <w:rPr>
          <w:rFonts w:asciiTheme="majorHAnsi" w:hAnsiTheme="majorHAnsi"/>
        </w:rPr>
        <w:t>a s</w:t>
      </w:r>
      <w:r w:rsidRPr="00A11FE0">
        <w:rPr>
          <w:rFonts w:asciiTheme="majorHAnsi" w:hAnsiTheme="majorHAnsi"/>
        </w:rPr>
        <w:t xml:space="preserve">lužieb verejnej </w:t>
      </w:r>
      <w:r w:rsidR="00BD5FD5">
        <w:rPr>
          <w:rFonts w:asciiTheme="majorHAnsi" w:hAnsiTheme="majorHAnsi"/>
        </w:rPr>
        <w:t>s</w:t>
      </w:r>
      <w:r w:rsidRPr="00A11FE0">
        <w:rPr>
          <w:rFonts w:asciiTheme="majorHAnsi" w:hAnsiTheme="majorHAnsi"/>
        </w:rPr>
        <w:t>právy na vnútroštátnej úrovni</w:t>
      </w:r>
      <w:r w:rsidRPr="00A11FE0">
        <w:rPr>
          <w:rFonts w:asciiTheme="majorHAnsi" w:hAnsiTheme="majorHAnsi"/>
          <w:vertAlign w:val="superscript"/>
        </w:rPr>
        <w:footnoteReference w:id="217"/>
      </w:r>
      <w:r w:rsidRPr="00A11FE0">
        <w:rPr>
          <w:rFonts w:asciiTheme="majorHAnsi" w:hAnsiTheme="majorHAnsi"/>
        </w:rPr>
        <w:t>.</w:t>
      </w:r>
    </w:p>
    <w:p w:rsidR="000A264B" w:rsidRPr="00A11FE0" w:rsidRDefault="000A264B" w:rsidP="000A264B">
      <w:pPr>
        <w:rPr>
          <w:rFonts w:asciiTheme="majorHAnsi" w:hAnsiTheme="majorHAnsi"/>
        </w:rPr>
      </w:pPr>
      <w:r w:rsidRPr="00A11FE0">
        <w:rPr>
          <w:rFonts w:asciiTheme="majorHAnsi" w:hAnsiTheme="majorHAnsi"/>
        </w:rPr>
        <w:t xml:space="preserve">Medzi </w:t>
      </w:r>
      <w:r w:rsidR="00BD5FD5">
        <w:rPr>
          <w:rFonts w:asciiTheme="majorHAnsi" w:hAnsiTheme="majorHAnsi"/>
        </w:rPr>
        <w:t>k</w:t>
      </w:r>
      <w:r w:rsidRPr="00A11FE0">
        <w:rPr>
          <w:rFonts w:asciiTheme="majorHAnsi" w:hAnsiTheme="majorHAnsi"/>
        </w:rPr>
        <w:t xml:space="preserve">ľúčové problémy v oblasti zvyšovania inštitucionálnych </w:t>
      </w:r>
      <w:r w:rsidR="00BD5FD5">
        <w:rPr>
          <w:rFonts w:asciiTheme="majorHAnsi" w:hAnsiTheme="majorHAnsi"/>
        </w:rPr>
        <w:t>k</w:t>
      </w:r>
      <w:r w:rsidRPr="00A11FE0">
        <w:rPr>
          <w:rFonts w:asciiTheme="majorHAnsi" w:hAnsiTheme="majorHAnsi"/>
        </w:rPr>
        <w:t xml:space="preserve">apacít </w:t>
      </w:r>
      <w:r w:rsidR="00BD5FD5">
        <w:rPr>
          <w:rFonts w:asciiTheme="majorHAnsi" w:hAnsiTheme="majorHAnsi"/>
        </w:rPr>
        <w:t>a</w:t>
      </w:r>
      <w:r w:rsidR="00953FFE">
        <w:rPr>
          <w:rFonts w:asciiTheme="majorHAnsi" w:hAnsiTheme="majorHAnsi"/>
        </w:rPr>
        <w:t> </w:t>
      </w:r>
      <w:r w:rsidRPr="00A11FE0">
        <w:rPr>
          <w:rFonts w:asciiTheme="majorHAnsi" w:hAnsiTheme="majorHAnsi"/>
        </w:rPr>
        <w:t xml:space="preserve">efektivity </w:t>
      </w:r>
      <w:r w:rsidR="001656EE">
        <w:rPr>
          <w:rFonts w:asciiTheme="majorHAnsi" w:hAnsiTheme="majorHAnsi"/>
        </w:rPr>
        <w:t>VS</w:t>
      </w:r>
      <w:r w:rsidRPr="00A11FE0">
        <w:rPr>
          <w:rFonts w:asciiTheme="majorHAnsi" w:hAnsiTheme="majorHAnsi"/>
        </w:rPr>
        <w:t xml:space="preserve"> patria opatrenia zvyšujúce </w:t>
      </w:r>
      <w:r w:rsidR="00BD5FD5">
        <w:rPr>
          <w:rFonts w:asciiTheme="majorHAnsi" w:hAnsiTheme="majorHAnsi"/>
        </w:rPr>
        <w:t>k</w:t>
      </w:r>
      <w:r w:rsidRPr="00A11FE0">
        <w:rPr>
          <w:rFonts w:asciiTheme="majorHAnsi" w:hAnsiTheme="majorHAnsi"/>
        </w:rPr>
        <w:t xml:space="preserve">valitu verejných </w:t>
      </w:r>
      <w:r w:rsidR="00BD5FD5">
        <w:rPr>
          <w:rFonts w:asciiTheme="majorHAnsi" w:hAnsiTheme="majorHAnsi"/>
        </w:rPr>
        <w:t>s</w:t>
      </w:r>
      <w:r w:rsidRPr="00A11FE0">
        <w:rPr>
          <w:rFonts w:asciiTheme="majorHAnsi" w:hAnsiTheme="majorHAnsi"/>
        </w:rPr>
        <w:t>lužieb, integráci</w:t>
      </w:r>
      <w:r w:rsidR="001C477D">
        <w:rPr>
          <w:rFonts w:asciiTheme="majorHAnsi" w:hAnsiTheme="majorHAnsi"/>
        </w:rPr>
        <w:t>u</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optimalizáci</w:t>
      </w:r>
      <w:r w:rsidR="001C477D">
        <w:rPr>
          <w:rFonts w:asciiTheme="majorHAnsi" w:hAnsiTheme="majorHAnsi"/>
        </w:rPr>
        <w:t>u</w:t>
      </w:r>
      <w:r w:rsidRPr="00A11FE0">
        <w:rPr>
          <w:rFonts w:asciiTheme="majorHAnsi" w:hAnsiTheme="majorHAnsi"/>
        </w:rPr>
        <w:t xml:space="preserve"> procesov, posilňujúce </w:t>
      </w:r>
      <w:r w:rsidR="00BD5FD5">
        <w:rPr>
          <w:rFonts w:asciiTheme="majorHAnsi" w:hAnsiTheme="majorHAnsi"/>
        </w:rPr>
        <w:t>a</w:t>
      </w:r>
      <w:r w:rsidRPr="00A11FE0">
        <w:rPr>
          <w:rFonts w:asciiTheme="majorHAnsi" w:hAnsiTheme="majorHAnsi"/>
        </w:rPr>
        <w:t xml:space="preserve">nalytické </w:t>
      </w:r>
      <w:r w:rsidR="00BD5FD5">
        <w:rPr>
          <w:rFonts w:asciiTheme="majorHAnsi" w:hAnsiTheme="majorHAnsi"/>
        </w:rPr>
        <w:t>k</w:t>
      </w:r>
      <w:r w:rsidRPr="00A11FE0">
        <w:rPr>
          <w:rFonts w:asciiTheme="majorHAnsi" w:hAnsiTheme="majorHAnsi"/>
        </w:rPr>
        <w:t xml:space="preserve">apacity pre rozvoj politík </w:t>
      </w:r>
      <w:r w:rsidR="00BD5FD5">
        <w:rPr>
          <w:rFonts w:asciiTheme="majorHAnsi" w:hAnsiTheme="majorHAnsi"/>
        </w:rPr>
        <w:t>a </w:t>
      </w:r>
      <w:r w:rsidRPr="00A11FE0">
        <w:rPr>
          <w:rFonts w:asciiTheme="majorHAnsi" w:hAnsiTheme="majorHAnsi"/>
        </w:rPr>
        <w:t xml:space="preserve">zvyšujúce </w:t>
      </w:r>
      <w:r w:rsidR="006855AF" w:rsidRPr="00A11FE0">
        <w:rPr>
          <w:rFonts w:asciiTheme="majorHAnsi" w:hAnsiTheme="majorHAnsi"/>
        </w:rPr>
        <w:t>efektivit</w:t>
      </w:r>
      <w:r w:rsidR="006855AF">
        <w:rPr>
          <w:rFonts w:asciiTheme="majorHAnsi" w:hAnsiTheme="majorHAnsi"/>
        </w:rPr>
        <w:t>u</w:t>
      </w:r>
      <w:r w:rsidR="006855AF" w:rsidRPr="00A11FE0">
        <w:rPr>
          <w:rFonts w:asciiTheme="majorHAnsi" w:hAnsiTheme="majorHAnsi"/>
        </w:rPr>
        <w:t xml:space="preserve"> </w:t>
      </w:r>
      <w:r w:rsidRPr="00A11FE0">
        <w:rPr>
          <w:rFonts w:asciiTheme="majorHAnsi" w:hAnsiTheme="majorHAnsi"/>
        </w:rPr>
        <w:t>vynaložených výdavkov, zlepšujúce riadenie ľudských zdrojov,</w:t>
      </w:r>
      <w:r w:rsidR="006968F8">
        <w:rPr>
          <w:rFonts w:asciiTheme="majorHAnsi" w:hAnsiTheme="majorHAnsi"/>
        </w:rPr>
        <w:t xml:space="preserve"> </w:t>
      </w:r>
      <w:r w:rsidR="006968F8" w:rsidRPr="006968F8">
        <w:rPr>
          <w:rFonts w:asciiTheme="majorHAnsi" w:hAnsiTheme="majorHAnsi"/>
        </w:rPr>
        <w:t>zlepšujúce vymožiteľnosť práva</w:t>
      </w:r>
      <w:r w:rsidRPr="00A11FE0">
        <w:rPr>
          <w:rFonts w:asciiTheme="majorHAnsi" w:hAnsiTheme="majorHAnsi"/>
        </w:rPr>
        <w:t xml:space="preserve">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 xml:space="preserve">j úzka </w:t>
      </w:r>
      <w:r w:rsidR="00BD5FD5">
        <w:rPr>
          <w:rFonts w:asciiTheme="majorHAnsi" w:hAnsiTheme="majorHAnsi"/>
        </w:rPr>
        <w:t>s</w:t>
      </w:r>
      <w:r w:rsidRPr="00A11FE0">
        <w:rPr>
          <w:rFonts w:asciiTheme="majorHAnsi" w:hAnsiTheme="majorHAnsi"/>
        </w:rPr>
        <w:t xml:space="preserve">polupráca </w:t>
      </w:r>
      <w:r w:rsidR="00BD5FD5">
        <w:rPr>
          <w:rFonts w:asciiTheme="majorHAnsi" w:hAnsiTheme="majorHAnsi"/>
        </w:rPr>
        <w:t>s</w:t>
      </w:r>
      <w:r w:rsidRPr="00A11FE0">
        <w:rPr>
          <w:rFonts w:asciiTheme="majorHAnsi" w:hAnsiTheme="majorHAnsi"/>
        </w:rPr>
        <w:t xml:space="preserve">o </w:t>
      </w:r>
      <w:r w:rsidR="00BD5FD5">
        <w:rPr>
          <w:rFonts w:asciiTheme="majorHAnsi" w:hAnsiTheme="majorHAnsi"/>
        </w:rPr>
        <w:t>s</w:t>
      </w:r>
      <w:r w:rsidRPr="00A11FE0">
        <w:rPr>
          <w:rFonts w:asciiTheme="majorHAnsi" w:hAnsiTheme="majorHAnsi"/>
        </w:rPr>
        <w:t xml:space="preserve">ociálnymi partnermi, podnikateľským </w:t>
      </w:r>
      <w:r w:rsidR="00BD5FD5">
        <w:rPr>
          <w:rFonts w:asciiTheme="majorHAnsi" w:hAnsiTheme="majorHAnsi"/>
        </w:rPr>
        <w:t>s</w:t>
      </w:r>
      <w:r w:rsidRPr="00A11FE0">
        <w:rPr>
          <w:rFonts w:asciiTheme="majorHAnsi" w:hAnsiTheme="majorHAnsi"/>
        </w:rPr>
        <w:t xml:space="preserve">ektorom </w:t>
      </w:r>
      <w:r w:rsidR="00BD5FD5">
        <w:rPr>
          <w:rFonts w:asciiTheme="majorHAnsi" w:hAnsiTheme="majorHAnsi"/>
        </w:rPr>
        <w:t>a </w:t>
      </w:r>
      <w:r w:rsidRPr="00A11FE0">
        <w:rPr>
          <w:rFonts w:asciiTheme="majorHAnsi" w:hAnsiTheme="majorHAnsi"/>
        </w:rPr>
        <w:t xml:space="preserve">občianskou </w:t>
      </w:r>
      <w:r w:rsidR="00BD5FD5">
        <w:rPr>
          <w:rFonts w:asciiTheme="majorHAnsi" w:hAnsiTheme="majorHAnsi"/>
        </w:rPr>
        <w:t>s</w:t>
      </w:r>
      <w:r w:rsidRPr="00A11FE0">
        <w:rPr>
          <w:rFonts w:asciiTheme="majorHAnsi" w:hAnsiTheme="majorHAnsi"/>
        </w:rPr>
        <w:t xml:space="preserve">poločnosťou na monitorovaní </w:t>
      </w:r>
      <w:r w:rsidR="00BD5FD5">
        <w:rPr>
          <w:rFonts w:asciiTheme="majorHAnsi" w:hAnsiTheme="majorHAnsi"/>
        </w:rPr>
        <w:t>a </w:t>
      </w:r>
      <w:r w:rsidRPr="00A11FE0">
        <w:rPr>
          <w:rFonts w:asciiTheme="majorHAnsi" w:hAnsiTheme="majorHAnsi"/>
        </w:rPr>
        <w:t>implementácii verejných politík. V</w:t>
      </w:r>
      <w:r w:rsidR="00953FFE">
        <w:rPr>
          <w:rFonts w:asciiTheme="majorHAnsi" w:hAnsiTheme="majorHAnsi"/>
        </w:rPr>
        <w:t> </w:t>
      </w:r>
      <w:r w:rsidRPr="00A11FE0">
        <w:rPr>
          <w:rFonts w:asciiTheme="majorHAnsi" w:hAnsiTheme="majorHAnsi"/>
        </w:rPr>
        <w:t xml:space="preserve">oblasti posilňovania efektívnosti orgánov </w:t>
      </w:r>
      <w:r w:rsidR="001656EE">
        <w:rPr>
          <w:rFonts w:asciiTheme="majorHAnsi" w:hAnsiTheme="majorHAnsi"/>
        </w:rPr>
        <w:t>VS</w:t>
      </w:r>
      <w:r w:rsidRPr="00A11FE0">
        <w:rPr>
          <w:rFonts w:asciiTheme="majorHAnsi" w:hAnsiTheme="majorHAnsi"/>
        </w:rPr>
        <w:t xml:space="preserve"> pri implementácii politík patria medzi hlavné problémy: boj proti </w:t>
      </w:r>
      <w:r w:rsidR="00BD5FD5">
        <w:rPr>
          <w:rFonts w:asciiTheme="majorHAnsi" w:hAnsiTheme="majorHAnsi"/>
        </w:rPr>
        <w:t>k</w:t>
      </w:r>
      <w:r w:rsidRPr="00A11FE0">
        <w:rPr>
          <w:rFonts w:asciiTheme="majorHAnsi" w:hAnsiTheme="majorHAnsi"/>
        </w:rPr>
        <w:t xml:space="preserve">orupcii </w:t>
      </w:r>
      <w:r w:rsidR="00BD5FD5">
        <w:rPr>
          <w:rFonts w:asciiTheme="majorHAnsi" w:hAnsiTheme="majorHAnsi"/>
        </w:rPr>
        <w:t>a </w:t>
      </w:r>
      <w:r w:rsidRPr="00A11FE0">
        <w:rPr>
          <w:rFonts w:asciiTheme="majorHAnsi" w:hAnsiTheme="majorHAnsi"/>
        </w:rPr>
        <w:t>posilňovanie</w:t>
      </w:r>
      <w:r w:rsidR="007F2C41" w:rsidRPr="00A11FE0">
        <w:rPr>
          <w:rFonts w:asciiTheme="majorHAnsi" w:hAnsiTheme="majorHAnsi"/>
        </w:rPr>
        <w:t xml:space="preserve"> </w:t>
      </w:r>
      <w:r w:rsidRPr="00A11FE0">
        <w:rPr>
          <w:rFonts w:asciiTheme="majorHAnsi" w:hAnsiTheme="majorHAnsi"/>
        </w:rPr>
        <w:t xml:space="preserve">efektívnosti </w:t>
      </w:r>
      <w:r w:rsidR="00BD5FD5">
        <w:rPr>
          <w:rFonts w:asciiTheme="majorHAnsi" w:hAnsiTheme="majorHAnsi"/>
        </w:rPr>
        <w:t>a </w:t>
      </w:r>
      <w:r w:rsidRPr="00A11FE0">
        <w:rPr>
          <w:rFonts w:asciiTheme="majorHAnsi" w:hAnsiTheme="majorHAnsi"/>
        </w:rPr>
        <w:t xml:space="preserve">nezávislosti </w:t>
      </w:r>
      <w:r w:rsidR="00BD5FD5">
        <w:rPr>
          <w:rFonts w:asciiTheme="majorHAnsi" w:hAnsiTheme="majorHAnsi"/>
        </w:rPr>
        <w:t>s</w:t>
      </w:r>
      <w:r w:rsidRPr="00A11FE0">
        <w:rPr>
          <w:rFonts w:asciiTheme="majorHAnsi" w:hAnsiTheme="majorHAnsi"/>
        </w:rPr>
        <w:t xml:space="preserve">údnictva </w:t>
      </w:r>
      <w:r w:rsidR="00BD5FD5">
        <w:rPr>
          <w:rFonts w:asciiTheme="majorHAnsi" w:hAnsiTheme="majorHAnsi"/>
        </w:rPr>
        <w:t>a </w:t>
      </w:r>
      <w:r w:rsidRPr="00A11FE0">
        <w:rPr>
          <w:rFonts w:asciiTheme="majorHAnsi" w:hAnsiTheme="majorHAnsi"/>
        </w:rPr>
        <w:t>polície</w:t>
      </w:r>
      <w:r w:rsidR="001864D9" w:rsidRPr="00A11FE0">
        <w:rPr>
          <w:rFonts w:asciiTheme="majorHAnsi" w:hAnsiTheme="majorHAnsi"/>
        </w:rPr>
        <w:t>,</w:t>
      </w:r>
      <w:r w:rsidRPr="00A11FE0">
        <w:rPr>
          <w:rFonts w:asciiTheme="majorHAnsi" w:hAnsiTheme="majorHAnsi"/>
        </w:rPr>
        <w:t xml:space="preserve"> </w:t>
      </w:r>
      <w:r w:rsidR="00BD5FD5">
        <w:rPr>
          <w:rFonts w:asciiTheme="majorHAnsi" w:hAnsiTheme="majorHAnsi"/>
        </w:rPr>
        <w:t>ak</w:t>
      </w:r>
      <w:r w:rsidRPr="00A11FE0">
        <w:rPr>
          <w:rFonts w:asciiTheme="majorHAnsi" w:hAnsiTheme="majorHAnsi"/>
        </w:rPr>
        <w:t xml:space="preserve">o </w:t>
      </w:r>
      <w:r w:rsidR="00BD5FD5">
        <w:rPr>
          <w:rFonts w:asciiTheme="majorHAnsi" w:hAnsiTheme="majorHAnsi"/>
        </w:rPr>
        <w:t>a</w:t>
      </w:r>
      <w:r w:rsidRPr="00A11FE0">
        <w:rPr>
          <w:rFonts w:asciiTheme="majorHAnsi" w:hAnsiTheme="majorHAnsi"/>
        </w:rPr>
        <w:t xml:space="preserve">j vymožiteľnosti práva, zlepšenie efektívnosti finančnej </w:t>
      </w:r>
      <w:r w:rsidR="00BD5FD5">
        <w:rPr>
          <w:rFonts w:asciiTheme="majorHAnsi" w:hAnsiTheme="majorHAnsi"/>
        </w:rPr>
        <w:t>s</w:t>
      </w:r>
      <w:r w:rsidRPr="00A11FE0">
        <w:rPr>
          <w:rFonts w:asciiTheme="majorHAnsi" w:hAnsiTheme="majorHAnsi"/>
        </w:rPr>
        <w:t xml:space="preserve">právy </w:t>
      </w:r>
      <w:r w:rsidR="00BD5FD5">
        <w:rPr>
          <w:rFonts w:asciiTheme="majorHAnsi" w:hAnsiTheme="majorHAnsi"/>
        </w:rPr>
        <w:t>a s</w:t>
      </w:r>
      <w:r w:rsidRPr="00A11FE0">
        <w:rPr>
          <w:rFonts w:asciiTheme="majorHAnsi" w:hAnsiTheme="majorHAnsi"/>
        </w:rPr>
        <w:t xml:space="preserve">právy daní, zvýšenie výkonnosti </w:t>
      </w:r>
      <w:r w:rsidR="00BD5FD5">
        <w:rPr>
          <w:rFonts w:asciiTheme="majorHAnsi" w:hAnsiTheme="majorHAnsi"/>
        </w:rPr>
        <w:t>a k</w:t>
      </w:r>
      <w:r w:rsidRPr="00A11FE0">
        <w:rPr>
          <w:rFonts w:asciiTheme="majorHAnsi" w:hAnsiTheme="majorHAnsi"/>
        </w:rPr>
        <w:t xml:space="preserve">vality colných orgánov, zlepšenie efektívnosti </w:t>
      </w:r>
      <w:r w:rsidR="002F29B8">
        <w:rPr>
          <w:rFonts w:asciiTheme="majorHAnsi" w:hAnsiTheme="majorHAnsi"/>
        </w:rPr>
        <w:t>VO</w:t>
      </w:r>
      <w:r w:rsidRPr="00A11FE0">
        <w:rPr>
          <w:rFonts w:asciiTheme="majorHAnsi" w:hAnsiTheme="majorHAnsi"/>
        </w:rPr>
        <w:t xml:space="preserve"> </w:t>
      </w:r>
      <w:r w:rsidR="00BD5FD5">
        <w:rPr>
          <w:rFonts w:asciiTheme="majorHAnsi" w:hAnsiTheme="majorHAnsi"/>
        </w:rPr>
        <w:t>a</w:t>
      </w:r>
      <w:r w:rsidR="00DC4453">
        <w:rPr>
          <w:rFonts w:asciiTheme="majorHAnsi" w:hAnsiTheme="majorHAnsi"/>
        </w:rPr>
        <w:t> </w:t>
      </w:r>
      <w:r w:rsidRPr="00A11FE0">
        <w:rPr>
          <w:rFonts w:asciiTheme="majorHAnsi" w:hAnsiTheme="majorHAnsi"/>
        </w:rPr>
        <w:t>posilnenie</w:t>
      </w:r>
      <w:r w:rsidR="00DC4453">
        <w:rPr>
          <w:rFonts w:asciiTheme="majorHAnsi" w:hAnsiTheme="majorHAnsi"/>
        </w:rPr>
        <w:t xml:space="preserve"> </w:t>
      </w:r>
      <w:r w:rsidRPr="00A11FE0">
        <w:rPr>
          <w:rFonts w:asciiTheme="majorHAnsi" w:hAnsiTheme="majorHAnsi"/>
        </w:rPr>
        <w:t xml:space="preserve">transparentnosti </w:t>
      </w:r>
      <w:r w:rsidR="00BD5FD5">
        <w:rPr>
          <w:rFonts w:asciiTheme="majorHAnsi" w:hAnsiTheme="majorHAnsi"/>
        </w:rPr>
        <w:t>a </w:t>
      </w:r>
      <w:r w:rsidRPr="00A11FE0">
        <w:rPr>
          <w:rFonts w:asciiTheme="majorHAnsi" w:hAnsiTheme="majorHAnsi"/>
        </w:rPr>
        <w:t xml:space="preserve">budovanie </w:t>
      </w:r>
      <w:r w:rsidR="00BD5FD5">
        <w:rPr>
          <w:rFonts w:asciiTheme="majorHAnsi" w:hAnsiTheme="majorHAnsi"/>
        </w:rPr>
        <w:t>k</w:t>
      </w:r>
      <w:r w:rsidRPr="00A11FE0">
        <w:rPr>
          <w:rFonts w:asciiTheme="majorHAnsi" w:hAnsiTheme="majorHAnsi"/>
        </w:rPr>
        <w:t xml:space="preserve">apacít nositeľov politík zamestnanosti, vzdelávania, </w:t>
      </w:r>
      <w:r w:rsidR="00BD5FD5">
        <w:rPr>
          <w:rFonts w:asciiTheme="majorHAnsi" w:hAnsiTheme="majorHAnsi"/>
        </w:rPr>
        <w:t>s</w:t>
      </w:r>
      <w:r w:rsidRPr="00A11FE0">
        <w:rPr>
          <w:rFonts w:asciiTheme="majorHAnsi" w:hAnsiTheme="majorHAnsi"/>
        </w:rPr>
        <w:t xml:space="preserve">ociálnych politík </w:t>
      </w:r>
      <w:r w:rsidR="00BD5FD5">
        <w:rPr>
          <w:rFonts w:asciiTheme="majorHAnsi" w:hAnsiTheme="majorHAnsi"/>
        </w:rPr>
        <w:t>a s</w:t>
      </w:r>
      <w:r w:rsidRPr="00A11FE0">
        <w:rPr>
          <w:rFonts w:asciiTheme="majorHAnsi" w:hAnsiTheme="majorHAnsi"/>
        </w:rPr>
        <w:t xml:space="preserve">ektorových </w:t>
      </w:r>
      <w:r w:rsidR="00BD5FD5">
        <w:rPr>
          <w:rFonts w:asciiTheme="majorHAnsi" w:hAnsiTheme="majorHAnsi"/>
        </w:rPr>
        <w:t>a </w:t>
      </w:r>
      <w:r w:rsidRPr="00A11FE0">
        <w:rPr>
          <w:rFonts w:asciiTheme="majorHAnsi" w:hAnsiTheme="majorHAnsi"/>
        </w:rPr>
        <w:t xml:space="preserve">územných </w:t>
      </w:r>
      <w:r w:rsidR="00BD5FD5">
        <w:rPr>
          <w:rFonts w:asciiTheme="majorHAnsi" w:hAnsiTheme="majorHAnsi"/>
        </w:rPr>
        <w:t>s</w:t>
      </w:r>
      <w:r w:rsidRPr="00A11FE0">
        <w:rPr>
          <w:rFonts w:asciiTheme="majorHAnsi" w:hAnsiTheme="majorHAnsi"/>
        </w:rPr>
        <w:t>tratégií.</w:t>
      </w:r>
    </w:p>
    <w:p w:rsidR="000A264B" w:rsidRPr="00A11FE0" w:rsidRDefault="000A264B"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 xml:space="preserve">Štruktúra </w:t>
      </w:r>
      <w:r w:rsidR="00BD5FD5">
        <w:rPr>
          <w:rFonts w:asciiTheme="majorHAnsi" w:hAnsiTheme="majorHAnsi"/>
          <w:color w:val="243F60"/>
        </w:rPr>
        <w:t>a </w:t>
      </w:r>
      <w:r w:rsidRPr="00A11FE0">
        <w:rPr>
          <w:rFonts w:asciiTheme="majorHAnsi" w:hAnsiTheme="majorHAnsi"/>
          <w:color w:val="243F60"/>
        </w:rPr>
        <w:t xml:space="preserve">infraštruktúra verejnej </w:t>
      </w:r>
      <w:r w:rsidR="00BD5FD5">
        <w:rPr>
          <w:rFonts w:asciiTheme="majorHAnsi" w:hAnsiTheme="majorHAnsi"/>
          <w:color w:val="243F60"/>
        </w:rPr>
        <w:t>s</w:t>
      </w:r>
      <w:r w:rsidRPr="00A11FE0">
        <w:rPr>
          <w:rFonts w:asciiTheme="majorHAnsi" w:hAnsiTheme="majorHAnsi"/>
          <w:color w:val="243F60"/>
        </w:rPr>
        <w:t>právy</w:t>
      </w:r>
    </w:p>
    <w:p w:rsidR="000A264B" w:rsidRPr="00A11FE0" w:rsidRDefault="000A264B" w:rsidP="000A264B">
      <w:pPr>
        <w:rPr>
          <w:rFonts w:asciiTheme="majorHAnsi" w:hAnsiTheme="majorHAnsi"/>
        </w:rPr>
      </w:pPr>
      <w:r w:rsidRPr="00A11FE0">
        <w:rPr>
          <w:rFonts w:asciiTheme="majorHAnsi" w:hAnsiTheme="majorHAnsi"/>
        </w:rPr>
        <w:t xml:space="preserve">Neudržateľný vývoj verejných financií priamo </w:t>
      </w:r>
      <w:r w:rsidR="00BD5FD5">
        <w:rPr>
          <w:rFonts w:asciiTheme="majorHAnsi" w:hAnsiTheme="majorHAnsi"/>
        </w:rPr>
        <w:t>s</w:t>
      </w:r>
      <w:r w:rsidRPr="00A11FE0">
        <w:rPr>
          <w:rFonts w:asciiTheme="majorHAnsi" w:hAnsiTheme="majorHAnsi"/>
        </w:rPr>
        <w:t xml:space="preserve">úvisí </w:t>
      </w:r>
      <w:r w:rsidR="00BD5FD5">
        <w:rPr>
          <w:rFonts w:asciiTheme="majorHAnsi" w:hAnsiTheme="majorHAnsi"/>
        </w:rPr>
        <w:t>s</w:t>
      </w:r>
      <w:r w:rsidRPr="00A11FE0">
        <w:rPr>
          <w:rFonts w:asciiTheme="majorHAnsi" w:hAnsiTheme="majorHAnsi"/>
        </w:rPr>
        <w:t xml:space="preserve"> nedostatočne </w:t>
      </w:r>
      <w:r w:rsidRPr="00A11FE0">
        <w:rPr>
          <w:rFonts w:asciiTheme="majorHAnsi" w:hAnsiTheme="majorHAnsi" w:cs="Calibri"/>
        </w:rPr>
        <w:t>regulovanou</w:t>
      </w:r>
      <w:r w:rsidRPr="00A11FE0">
        <w:rPr>
          <w:rFonts w:asciiTheme="majorHAnsi" w:hAnsiTheme="majorHAnsi" w:cs="Calibri"/>
          <w:vertAlign w:val="superscript"/>
        </w:rPr>
        <w:footnoteReference w:id="218"/>
      </w:r>
      <w:r w:rsidRPr="00A11FE0">
        <w:rPr>
          <w:rFonts w:asciiTheme="majorHAnsi" w:hAnsiTheme="majorHAnsi" w:cs="Calibri"/>
        </w:rPr>
        <w:t xml:space="preserve"> „evolúciou“ </w:t>
      </w:r>
      <w:r w:rsidR="001656EE">
        <w:rPr>
          <w:rFonts w:asciiTheme="majorHAnsi" w:hAnsiTheme="majorHAnsi" w:cs="Calibri"/>
        </w:rPr>
        <w:t>VS</w:t>
      </w:r>
      <w:r w:rsidRPr="00A11FE0">
        <w:rPr>
          <w:rFonts w:asciiTheme="majorHAnsi" w:hAnsiTheme="majorHAnsi" w:cs="Calibri"/>
        </w:rPr>
        <w:t xml:space="preserve"> v posledných dvoch dekádach, </w:t>
      </w:r>
      <w:r w:rsidR="00BD5FD5">
        <w:rPr>
          <w:rFonts w:asciiTheme="majorHAnsi" w:hAnsiTheme="majorHAnsi" w:cs="Calibri"/>
        </w:rPr>
        <w:t>k</w:t>
      </w:r>
      <w:r w:rsidRPr="00A11FE0">
        <w:rPr>
          <w:rFonts w:asciiTheme="majorHAnsi" w:hAnsiTheme="majorHAnsi" w:cs="Calibri"/>
        </w:rPr>
        <w:t xml:space="preserve">torú možno </w:t>
      </w:r>
      <w:r w:rsidR="00BD5FD5">
        <w:rPr>
          <w:rFonts w:asciiTheme="majorHAnsi" w:hAnsiTheme="majorHAnsi" w:cs="Calibri"/>
        </w:rPr>
        <w:t>s</w:t>
      </w:r>
      <w:r w:rsidRPr="00A11FE0">
        <w:rPr>
          <w:rFonts w:asciiTheme="majorHAnsi" w:hAnsiTheme="majorHAnsi" w:cs="Calibri"/>
        </w:rPr>
        <w:t xml:space="preserve">tručne charakterizovať </w:t>
      </w:r>
      <w:r w:rsidR="00BD5FD5">
        <w:rPr>
          <w:rFonts w:asciiTheme="majorHAnsi" w:hAnsiTheme="majorHAnsi" w:cs="Calibri"/>
        </w:rPr>
        <w:t>ak</w:t>
      </w:r>
      <w:r w:rsidRPr="00A11FE0">
        <w:rPr>
          <w:rFonts w:asciiTheme="majorHAnsi" w:hAnsiTheme="majorHAnsi" w:cs="Calibri"/>
        </w:rPr>
        <w:t>o</w:t>
      </w:r>
      <w:r w:rsidRPr="00A11FE0">
        <w:rPr>
          <w:rFonts w:asciiTheme="majorHAnsi" w:hAnsiTheme="majorHAnsi"/>
        </w:rPr>
        <w:t xml:space="preserve"> obdobie rastu </w:t>
      </w:r>
      <w:r w:rsidR="00BD5FD5">
        <w:rPr>
          <w:rFonts w:asciiTheme="majorHAnsi" w:hAnsiTheme="majorHAnsi"/>
        </w:rPr>
        <w:t>k</w:t>
      </w:r>
      <w:r w:rsidRPr="00A11FE0">
        <w:rPr>
          <w:rFonts w:asciiTheme="majorHAnsi" w:hAnsiTheme="majorHAnsi"/>
        </w:rPr>
        <w:t xml:space="preserve">vantity </w:t>
      </w:r>
      <w:r w:rsidR="00BD5FD5">
        <w:rPr>
          <w:rFonts w:asciiTheme="majorHAnsi" w:hAnsiTheme="majorHAnsi"/>
        </w:rPr>
        <w:t>a </w:t>
      </w:r>
      <w:r w:rsidRPr="00A11FE0">
        <w:rPr>
          <w:rFonts w:asciiTheme="majorHAnsi" w:hAnsiTheme="majorHAnsi"/>
        </w:rPr>
        <w:t xml:space="preserve">poklesu </w:t>
      </w:r>
      <w:r w:rsidR="00BD5FD5">
        <w:rPr>
          <w:rFonts w:asciiTheme="majorHAnsi" w:hAnsiTheme="majorHAnsi"/>
        </w:rPr>
        <w:t>k</w:t>
      </w:r>
      <w:r w:rsidRPr="00A11FE0">
        <w:rPr>
          <w:rFonts w:asciiTheme="majorHAnsi" w:hAnsiTheme="majorHAnsi"/>
        </w:rPr>
        <w:t xml:space="preserve">vality </w:t>
      </w:r>
      <w:r w:rsidR="001656EE">
        <w:rPr>
          <w:rFonts w:asciiTheme="majorHAnsi" w:hAnsiTheme="majorHAnsi"/>
        </w:rPr>
        <w:t>VS</w:t>
      </w:r>
      <w:r w:rsidRPr="00A11FE0">
        <w:rPr>
          <w:rFonts w:asciiTheme="majorHAnsi" w:hAnsiTheme="majorHAnsi"/>
        </w:rPr>
        <w:t>.</w:t>
      </w:r>
    </w:p>
    <w:p w:rsidR="000A264B" w:rsidRPr="00A11FE0" w:rsidRDefault="00B21602" w:rsidP="0006393E">
      <w:pPr>
        <w:rPr>
          <w:rFonts w:asciiTheme="majorHAnsi" w:hAnsiTheme="majorHAnsi"/>
        </w:rPr>
      </w:pPr>
      <w:r>
        <w:rPr>
          <w:rFonts w:asciiTheme="majorHAnsi" w:hAnsiTheme="majorHAnsi"/>
          <w:szCs w:val="22"/>
        </w:rPr>
        <w:t xml:space="preserve">Výsledkom je </w:t>
      </w:r>
      <w:r w:rsidR="000A264B" w:rsidRPr="00A11FE0">
        <w:rPr>
          <w:rFonts w:asciiTheme="majorHAnsi" w:hAnsiTheme="majorHAnsi"/>
          <w:szCs w:val="22"/>
        </w:rPr>
        <w:t xml:space="preserve">netransparentná organizačná </w:t>
      </w:r>
      <w:r w:rsidR="000A264B" w:rsidRPr="001656EE">
        <w:rPr>
          <w:rFonts w:asciiTheme="majorHAnsi" w:hAnsiTheme="majorHAnsi"/>
          <w:szCs w:val="22"/>
        </w:rPr>
        <w:t xml:space="preserve">štruktúra VS, </w:t>
      </w:r>
      <w:r w:rsidR="00BD5FD5" w:rsidRPr="001656EE">
        <w:rPr>
          <w:rFonts w:asciiTheme="majorHAnsi" w:hAnsiTheme="majorHAnsi"/>
          <w:szCs w:val="22"/>
        </w:rPr>
        <w:t>k</w:t>
      </w:r>
      <w:r w:rsidR="000A264B" w:rsidRPr="001656EE">
        <w:rPr>
          <w:rFonts w:asciiTheme="majorHAnsi" w:hAnsiTheme="majorHAnsi"/>
          <w:szCs w:val="22"/>
        </w:rPr>
        <w:t>torú</w:t>
      </w:r>
      <w:r w:rsidR="000A264B" w:rsidRPr="00A11FE0">
        <w:rPr>
          <w:rFonts w:asciiTheme="majorHAnsi" w:hAnsiTheme="majorHAnsi"/>
          <w:szCs w:val="22"/>
        </w:rPr>
        <w:t xml:space="preserve"> tvorí viac </w:t>
      </w:r>
      <w:r w:rsidR="00BD5FD5">
        <w:rPr>
          <w:rFonts w:asciiTheme="majorHAnsi" w:hAnsiTheme="majorHAnsi"/>
          <w:szCs w:val="22"/>
        </w:rPr>
        <w:t>ak</w:t>
      </w:r>
      <w:r w:rsidR="000A264B" w:rsidRPr="00A11FE0">
        <w:rPr>
          <w:rFonts w:asciiTheme="majorHAnsi" w:hAnsiTheme="majorHAnsi"/>
          <w:szCs w:val="22"/>
        </w:rPr>
        <w:t xml:space="preserve">o 7 tisíc inštitúcií </w:t>
      </w:r>
      <w:r w:rsidR="001656EE">
        <w:rPr>
          <w:rFonts w:asciiTheme="majorHAnsi" w:hAnsiTheme="majorHAnsi"/>
          <w:szCs w:val="22"/>
        </w:rPr>
        <w:t>VS</w:t>
      </w:r>
      <w:r w:rsidR="000A264B" w:rsidRPr="00A11FE0">
        <w:rPr>
          <w:rFonts w:asciiTheme="majorHAnsi" w:hAnsiTheme="majorHAnsi"/>
          <w:szCs w:val="22"/>
          <w:vertAlign w:val="superscript"/>
        </w:rPr>
        <w:footnoteReference w:id="219"/>
      </w:r>
      <w:r w:rsidR="008F109F" w:rsidRPr="00A11FE0">
        <w:rPr>
          <w:rFonts w:asciiTheme="majorHAnsi" w:hAnsiTheme="majorHAnsi"/>
          <w:szCs w:val="22"/>
        </w:rPr>
        <w:t xml:space="preserve"> </w:t>
      </w:r>
      <w:r w:rsidR="00BD5FD5">
        <w:rPr>
          <w:rFonts w:asciiTheme="majorHAnsi" w:hAnsiTheme="majorHAnsi"/>
          <w:szCs w:val="22"/>
        </w:rPr>
        <w:t>s </w:t>
      </w:r>
      <w:r w:rsidR="000A264B" w:rsidRPr="00A11FE0">
        <w:rPr>
          <w:rFonts w:asciiTheme="majorHAnsi" w:hAnsiTheme="majorHAnsi"/>
          <w:szCs w:val="22"/>
        </w:rPr>
        <w:t>približne 349 tisíc zamestnancami (z toho</w:t>
      </w:r>
      <w:r w:rsidR="00A45659">
        <w:rPr>
          <w:rFonts w:asciiTheme="majorHAnsi" w:hAnsiTheme="majorHAnsi"/>
          <w:szCs w:val="22"/>
        </w:rPr>
        <w:t xml:space="preserve"> </w:t>
      </w:r>
      <w:r w:rsidR="000A264B" w:rsidRPr="00A11FE0">
        <w:rPr>
          <w:rFonts w:asciiTheme="majorHAnsi" w:hAnsiTheme="majorHAnsi"/>
          <w:szCs w:val="22"/>
        </w:rPr>
        <w:t>približne 180 tisíc v </w:t>
      </w:r>
      <w:r w:rsidR="00BD5FD5">
        <w:rPr>
          <w:rFonts w:asciiTheme="majorHAnsi" w:hAnsiTheme="majorHAnsi"/>
          <w:szCs w:val="22"/>
        </w:rPr>
        <w:t>s</w:t>
      </w:r>
      <w:r w:rsidR="000A264B" w:rsidRPr="00A11FE0">
        <w:rPr>
          <w:rFonts w:asciiTheme="majorHAnsi" w:hAnsiTheme="majorHAnsi"/>
          <w:szCs w:val="22"/>
        </w:rPr>
        <w:t xml:space="preserve">amospráve) </w:t>
      </w:r>
      <w:r w:rsidR="00BD5FD5">
        <w:rPr>
          <w:rFonts w:asciiTheme="majorHAnsi" w:hAnsiTheme="majorHAnsi"/>
          <w:szCs w:val="22"/>
        </w:rPr>
        <w:t>a </w:t>
      </w:r>
      <w:r w:rsidR="000A264B" w:rsidRPr="00A11FE0">
        <w:rPr>
          <w:rFonts w:asciiTheme="majorHAnsi" w:hAnsiTheme="majorHAnsi"/>
          <w:szCs w:val="22"/>
        </w:rPr>
        <w:t xml:space="preserve">množstvom redundantných </w:t>
      </w:r>
      <w:r w:rsidR="00BD5FD5">
        <w:rPr>
          <w:rFonts w:asciiTheme="majorHAnsi" w:hAnsiTheme="majorHAnsi"/>
          <w:szCs w:val="22"/>
        </w:rPr>
        <w:t>a </w:t>
      </w:r>
      <w:r w:rsidR="000A264B" w:rsidRPr="00A11FE0">
        <w:rPr>
          <w:rFonts w:asciiTheme="majorHAnsi" w:hAnsiTheme="majorHAnsi"/>
          <w:szCs w:val="22"/>
        </w:rPr>
        <w:t>ťažko merateľných procesov.</w:t>
      </w:r>
      <w:r w:rsidR="00AC0A22" w:rsidRPr="00A11FE0">
        <w:rPr>
          <w:rFonts w:asciiTheme="majorHAnsi" w:hAnsiTheme="majorHAnsi"/>
        </w:rPr>
        <w:t xml:space="preserve"> N</w:t>
      </w:r>
      <w:r w:rsidR="000A264B" w:rsidRPr="00A11FE0">
        <w:rPr>
          <w:rFonts w:asciiTheme="majorHAnsi" w:hAnsiTheme="majorHAnsi"/>
        </w:rPr>
        <w:t>ásledk</w:t>
      </w:r>
      <w:r w:rsidR="00AC0A22" w:rsidRPr="00A11FE0">
        <w:rPr>
          <w:rFonts w:asciiTheme="majorHAnsi" w:hAnsiTheme="majorHAnsi"/>
        </w:rPr>
        <w:t>om</w:t>
      </w:r>
      <w:r w:rsidR="000A264B" w:rsidRPr="00A11FE0">
        <w:rPr>
          <w:rFonts w:asciiTheme="majorHAnsi" w:hAnsiTheme="majorHAnsi"/>
        </w:rPr>
        <w:t xml:space="preserve"> </w:t>
      </w:r>
      <w:r w:rsidR="00BD5FD5">
        <w:rPr>
          <w:rFonts w:asciiTheme="majorHAnsi" w:hAnsiTheme="majorHAnsi"/>
        </w:rPr>
        <w:t>s</w:t>
      </w:r>
      <w:r w:rsidR="00AC0A22" w:rsidRPr="00A11FE0">
        <w:rPr>
          <w:rFonts w:asciiTheme="majorHAnsi" w:hAnsiTheme="majorHAnsi"/>
        </w:rPr>
        <w:t>ú niel</w:t>
      </w:r>
      <w:r w:rsidR="000A264B" w:rsidRPr="00A11FE0">
        <w:rPr>
          <w:rFonts w:asciiTheme="majorHAnsi" w:hAnsiTheme="majorHAnsi"/>
        </w:rPr>
        <w:t>en</w:t>
      </w:r>
      <w:r w:rsidR="005D62A0" w:rsidRPr="005D62A0">
        <w:t xml:space="preserve"> </w:t>
      </w:r>
      <w:r w:rsidR="005D62A0" w:rsidRPr="005D62A0">
        <w:rPr>
          <w:rFonts w:asciiTheme="majorHAnsi" w:hAnsiTheme="majorHAnsi"/>
        </w:rPr>
        <w:t>komplikácie pre občana</w:t>
      </w:r>
      <w:r w:rsidR="00ED6750">
        <w:rPr>
          <w:rFonts w:asciiTheme="majorHAnsi" w:hAnsiTheme="majorHAnsi"/>
        </w:rPr>
        <w:t>,</w:t>
      </w:r>
      <w:r w:rsidR="005D62A0" w:rsidRPr="005D62A0">
        <w:rPr>
          <w:rFonts w:asciiTheme="majorHAnsi" w:hAnsiTheme="majorHAnsi"/>
        </w:rPr>
        <w:t xml:space="preserve"> ale aj</w:t>
      </w:r>
      <w:r w:rsidR="000A264B" w:rsidRPr="00A11FE0">
        <w:rPr>
          <w:rFonts w:asciiTheme="majorHAnsi" w:hAnsiTheme="majorHAnsi"/>
        </w:rPr>
        <w:t xml:space="preserve"> zvýšenie výdavkov štátnej </w:t>
      </w:r>
      <w:r w:rsidR="00BD5FD5">
        <w:rPr>
          <w:rFonts w:asciiTheme="majorHAnsi" w:hAnsiTheme="majorHAnsi"/>
        </w:rPr>
        <w:t>s</w:t>
      </w:r>
      <w:r w:rsidR="000A264B" w:rsidRPr="00A11FE0">
        <w:rPr>
          <w:rFonts w:asciiTheme="majorHAnsi" w:hAnsiTheme="majorHAnsi"/>
        </w:rPr>
        <w:t xml:space="preserve">právy, z dôvodu priestorovej rozdrobenosti, neprehľadnosti inštitúcií </w:t>
      </w:r>
      <w:r w:rsidR="00BD5FD5">
        <w:rPr>
          <w:rFonts w:asciiTheme="majorHAnsi" w:hAnsiTheme="majorHAnsi"/>
        </w:rPr>
        <w:t>a s</w:t>
      </w:r>
      <w:r w:rsidR="000A264B" w:rsidRPr="00A11FE0">
        <w:rPr>
          <w:rFonts w:asciiTheme="majorHAnsi" w:hAnsiTheme="majorHAnsi"/>
        </w:rPr>
        <w:t xml:space="preserve">lužieb </w:t>
      </w:r>
      <w:r w:rsidR="001656EE">
        <w:rPr>
          <w:rFonts w:asciiTheme="majorHAnsi" w:hAnsiTheme="majorHAnsi"/>
        </w:rPr>
        <w:t>VS</w:t>
      </w:r>
      <w:r w:rsidR="000A264B" w:rsidRPr="00A11FE0">
        <w:rPr>
          <w:rFonts w:asciiTheme="majorHAnsi" w:hAnsiTheme="majorHAnsi"/>
        </w:rPr>
        <w:t>.</w:t>
      </w:r>
    </w:p>
    <w:p w:rsidR="00E3425F" w:rsidRPr="00E77853" w:rsidRDefault="00E3425F" w:rsidP="00E3425F">
      <w:pPr>
        <w:rPr>
          <w:rFonts w:asciiTheme="majorHAnsi" w:hAnsiTheme="majorHAnsi"/>
        </w:rPr>
      </w:pPr>
      <w:r w:rsidRPr="00E77853">
        <w:rPr>
          <w:rFonts w:asciiTheme="majorHAnsi" w:hAnsiTheme="majorHAnsi"/>
        </w:rPr>
        <w:t xml:space="preserve">Kým v roku 2001 bežné výdavky </w:t>
      </w:r>
      <w:r w:rsidR="001656EE">
        <w:rPr>
          <w:rFonts w:asciiTheme="majorHAnsi" w:hAnsiTheme="majorHAnsi"/>
        </w:rPr>
        <w:t>VS</w:t>
      </w:r>
      <w:r w:rsidRPr="00E77853">
        <w:rPr>
          <w:rFonts w:asciiTheme="majorHAnsi" w:hAnsiTheme="majorHAnsi"/>
        </w:rPr>
        <w:t xml:space="preserve"> boli na úrovni 7 mld. </w:t>
      </w:r>
      <w:r w:rsidR="00992762">
        <w:rPr>
          <w:rFonts w:asciiTheme="majorHAnsi" w:hAnsiTheme="majorHAnsi"/>
        </w:rPr>
        <w:t xml:space="preserve">EUR </w:t>
      </w:r>
      <w:r w:rsidRPr="00E77853">
        <w:rPr>
          <w:rFonts w:asciiTheme="majorHAnsi" w:hAnsiTheme="majorHAnsi"/>
        </w:rPr>
        <w:t xml:space="preserve">(63 % celkových výdavkov), k decembru 2015 dosiahnu 27 mld. </w:t>
      </w:r>
      <w:r w:rsidR="00992762">
        <w:rPr>
          <w:rFonts w:asciiTheme="majorHAnsi" w:hAnsiTheme="majorHAnsi"/>
        </w:rPr>
        <w:t xml:space="preserve">EUR </w:t>
      </w:r>
      <w:r w:rsidRPr="00E77853">
        <w:rPr>
          <w:rFonts w:asciiTheme="majorHAnsi" w:hAnsiTheme="majorHAnsi"/>
        </w:rPr>
        <w:t xml:space="preserve">a budú tvoriť 96 % celkových výdavkov </w:t>
      </w:r>
      <w:r w:rsidR="001656EE">
        <w:rPr>
          <w:rFonts w:asciiTheme="majorHAnsi" w:hAnsiTheme="majorHAnsi"/>
        </w:rPr>
        <w:t>VS</w:t>
      </w:r>
      <w:r w:rsidRPr="00E77853">
        <w:rPr>
          <w:rFonts w:asciiTheme="majorHAnsi" w:hAnsiTheme="majorHAnsi"/>
          <w:vertAlign w:val="superscript"/>
        </w:rPr>
        <w:footnoteReference w:id="220"/>
      </w:r>
      <w:r w:rsidRPr="00E77853">
        <w:rPr>
          <w:rFonts w:asciiTheme="majorHAnsi" w:hAnsiTheme="majorHAnsi"/>
        </w:rPr>
        <w:t xml:space="preserve">. Rastúci podiel bežných prevádzkových výdavkov odčerpáva kapitálové výdavky určené na financovanie dlhodobých rozvojových potrieb a je aj podstatným zdrojom neefektívnosti služieb </w:t>
      </w:r>
      <w:r w:rsidR="001656EE">
        <w:rPr>
          <w:rFonts w:asciiTheme="majorHAnsi" w:hAnsiTheme="majorHAnsi"/>
        </w:rPr>
        <w:t>VS</w:t>
      </w:r>
      <w:r w:rsidRPr="00E77853">
        <w:rPr>
          <w:rFonts w:asciiTheme="majorHAnsi" w:hAnsiTheme="majorHAnsi"/>
        </w:rPr>
        <w:t>. Dôkazom je napríklad výpadok investícií do rozvoja a obnovy infraštruktúry vedy, vzdelávania, dopravy v posledných dvoch dekádach</w:t>
      </w:r>
      <w:r w:rsidRPr="00E77853">
        <w:rPr>
          <w:rFonts w:asciiTheme="majorHAnsi" w:hAnsiTheme="majorHAnsi"/>
          <w:vertAlign w:val="superscript"/>
        </w:rPr>
        <w:footnoteReference w:id="221"/>
      </w:r>
      <w:r w:rsidRPr="00E77853">
        <w:rPr>
          <w:rFonts w:asciiTheme="majorHAnsi" w:hAnsiTheme="majorHAnsi"/>
        </w:rPr>
        <w:t xml:space="preserve">. Súčasný rozvoj týchto infraštruktúr je realizovaný výlučne vďaka </w:t>
      </w:r>
      <w:r w:rsidRPr="002F29B8">
        <w:rPr>
          <w:rFonts w:asciiTheme="majorHAnsi" w:hAnsiTheme="majorHAnsi"/>
        </w:rPr>
        <w:t>ŠF a KF,</w:t>
      </w:r>
      <w:r w:rsidRPr="00E77853">
        <w:rPr>
          <w:rFonts w:asciiTheme="majorHAnsi" w:hAnsiTheme="majorHAnsi"/>
        </w:rPr>
        <w:t xml:space="preserve"> čo len podčiarkuje nedostatočnú schopnosť </w:t>
      </w:r>
      <w:r w:rsidR="001656EE">
        <w:rPr>
          <w:rFonts w:asciiTheme="majorHAnsi" w:hAnsiTheme="majorHAnsi"/>
        </w:rPr>
        <w:t>VS</w:t>
      </w:r>
      <w:r w:rsidRPr="00E77853">
        <w:rPr>
          <w:rFonts w:asciiTheme="majorHAnsi" w:hAnsiTheme="majorHAnsi"/>
        </w:rPr>
        <w:t xml:space="preserve"> vytvárať vlastné investičné zdroje.</w:t>
      </w:r>
    </w:p>
    <w:p w:rsidR="000A264B" w:rsidRPr="00A11FE0" w:rsidRDefault="000A264B"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 xml:space="preserve">Nízka interoperabilita procesov </w:t>
      </w:r>
      <w:r w:rsidR="00BD5FD5">
        <w:rPr>
          <w:rFonts w:asciiTheme="majorHAnsi" w:hAnsiTheme="majorHAnsi"/>
          <w:color w:val="243F60"/>
        </w:rPr>
        <w:t>a</w:t>
      </w:r>
      <w:r w:rsidRPr="00A11FE0">
        <w:rPr>
          <w:rFonts w:asciiTheme="majorHAnsi" w:hAnsiTheme="majorHAnsi"/>
          <w:color w:val="243F60"/>
        </w:rPr>
        <w:t xml:space="preserve"> efektivita </w:t>
      </w:r>
      <w:r w:rsidR="00BD5FD5">
        <w:rPr>
          <w:rFonts w:asciiTheme="majorHAnsi" w:hAnsiTheme="majorHAnsi"/>
          <w:color w:val="243F60"/>
        </w:rPr>
        <w:t>s</w:t>
      </w:r>
      <w:r w:rsidRPr="00A11FE0">
        <w:rPr>
          <w:rFonts w:asciiTheme="majorHAnsi" w:hAnsiTheme="majorHAnsi"/>
          <w:color w:val="243F60"/>
        </w:rPr>
        <w:t xml:space="preserve">lužieb verejnej </w:t>
      </w:r>
      <w:r w:rsidR="00BD5FD5">
        <w:rPr>
          <w:rFonts w:asciiTheme="majorHAnsi" w:hAnsiTheme="majorHAnsi"/>
          <w:color w:val="243F60"/>
        </w:rPr>
        <w:t>s</w:t>
      </w:r>
      <w:r w:rsidRPr="00A11FE0">
        <w:rPr>
          <w:rFonts w:asciiTheme="majorHAnsi" w:hAnsiTheme="majorHAnsi"/>
          <w:color w:val="243F60"/>
        </w:rPr>
        <w:t>právy</w:t>
      </w:r>
    </w:p>
    <w:p w:rsidR="000A264B" w:rsidRPr="00A11FE0" w:rsidRDefault="000A264B" w:rsidP="000A264B">
      <w:pPr>
        <w:rPr>
          <w:rFonts w:asciiTheme="majorHAnsi" w:hAnsiTheme="majorHAnsi"/>
          <w:noProof/>
        </w:rPr>
      </w:pPr>
      <w:r w:rsidRPr="00A11FE0">
        <w:rPr>
          <w:rFonts w:asciiTheme="majorHAnsi" w:hAnsiTheme="majorHAnsi"/>
          <w:noProof/>
        </w:rPr>
        <w:t xml:space="preserve">Procesy vo </w:t>
      </w:r>
      <w:r w:rsidR="001656EE">
        <w:rPr>
          <w:rFonts w:asciiTheme="majorHAnsi" w:hAnsiTheme="majorHAnsi"/>
          <w:noProof/>
        </w:rPr>
        <w:t>VS</w:t>
      </w:r>
      <w:r w:rsidRPr="00A11FE0">
        <w:rPr>
          <w:rFonts w:asciiTheme="majorHAnsi" w:hAnsiTheme="majorHAnsi"/>
          <w:noProof/>
        </w:rPr>
        <w:t xml:space="preserve"> </w:t>
      </w:r>
      <w:r w:rsidR="00BD5FD5">
        <w:rPr>
          <w:rFonts w:asciiTheme="majorHAnsi" w:hAnsiTheme="majorHAnsi"/>
          <w:noProof/>
        </w:rPr>
        <w:t>k</w:t>
      </w:r>
      <w:r w:rsidRPr="00A11FE0">
        <w:rPr>
          <w:rFonts w:asciiTheme="majorHAnsi" w:hAnsiTheme="majorHAnsi"/>
          <w:noProof/>
        </w:rPr>
        <w:t xml:space="preserve">opírujú hierarchickú organizačnú štruktúru </w:t>
      </w:r>
      <w:r w:rsidR="001656EE">
        <w:rPr>
          <w:rFonts w:asciiTheme="majorHAnsi" w:hAnsiTheme="majorHAnsi"/>
          <w:noProof/>
        </w:rPr>
        <w:t>VS</w:t>
      </w:r>
      <w:r w:rsidRPr="00A11FE0">
        <w:rPr>
          <w:rFonts w:asciiTheme="majorHAnsi" w:hAnsiTheme="majorHAnsi"/>
          <w:noProof/>
        </w:rPr>
        <w:t xml:space="preserve">. </w:t>
      </w:r>
      <w:r w:rsidR="00BD5FD5">
        <w:rPr>
          <w:rFonts w:asciiTheme="majorHAnsi" w:hAnsiTheme="majorHAnsi"/>
          <w:noProof/>
        </w:rPr>
        <w:t>S</w:t>
      </w:r>
      <w:r w:rsidRPr="00A11FE0">
        <w:rPr>
          <w:rFonts w:asciiTheme="majorHAnsi" w:hAnsiTheme="majorHAnsi"/>
          <w:noProof/>
        </w:rPr>
        <w:t xml:space="preserve">ú budované vertikálne </w:t>
      </w:r>
      <w:r w:rsidR="00BD5FD5">
        <w:rPr>
          <w:rFonts w:asciiTheme="majorHAnsi" w:hAnsiTheme="majorHAnsi"/>
          <w:noProof/>
        </w:rPr>
        <w:t>s </w:t>
      </w:r>
      <w:r w:rsidRPr="00A11FE0">
        <w:rPr>
          <w:rFonts w:asciiTheme="majorHAnsi" w:hAnsiTheme="majorHAnsi"/>
          <w:noProof/>
        </w:rPr>
        <w:t xml:space="preserve">minimálnym podielom </w:t>
      </w:r>
      <w:r w:rsidR="00183EE4">
        <w:rPr>
          <w:rFonts w:asciiTheme="majorHAnsi" w:hAnsiTheme="majorHAnsi"/>
          <w:noProof/>
        </w:rPr>
        <w:t>spoločne využívaných</w:t>
      </w:r>
      <w:r w:rsidRPr="00A11FE0">
        <w:rPr>
          <w:rFonts w:asciiTheme="majorHAnsi" w:hAnsiTheme="majorHAnsi"/>
          <w:noProof/>
        </w:rPr>
        <w:t xml:space="preserve">, horizontálne integrovaných procesov medzi rezortmi. Inštitúcie zabezpečujú vo vlastnej réžii okrem všetkých odborných, </w:t>
      </w:r>
      <w:r w:rsidR="00BD5FD5">
        <w:rPr>
          <w:rFonts w:asciiTheme="majorHAnsi" w:hAnsiTheme="majorHAnsi"/>
          <w:noProof/>
        </w:rPr>
        <w:t>a</w:t>
      </w:r>
      <w:r w:rsidRPr="00A11FE0">
        <w:rPr>
          <w:rFonts w:asciiTheme="majorHAnsi" w:hAnsiTheme="majorHAnsi"/>
          <w:noProof/>
        </w:rPr>
        <w:t xml:space="preserve">gendovo špecifických procesov </w:t>
      </w:r>
      <w:r w:rsidR="00BD5FD5">
        <w:rPr>
          <w:rFonts w:asciiTheme="majorHAnsi" w:hAnsiTheme="majorHAnsi"/>
          <w:noProof/>
        </w:rPr>
        <w:t>a</w:t>
      </w:r>
      <w:r w:rsidRPr="00A11FE0">
        <w:rPr>
          <w:rFonts w:asciiTheme="majorHAnsi" w:hAnsiTheme="majorHAnsi"/>
          <w:noProof/>
        </w:rPr>
        <w:t xml:space="preserve">j prierezové </w:t>
      </w:r>
      <w:r w:rsidR="00BD5FD5">
        <w:rPr>
          <w:rFonts w:asciiTheme="majorHAnsi" w:hAnsiTheme="majorHAnsi"/>
          <w:noProof/>
        </w:rPr>
        <w:t>a </w:t>
      </w:r>
      <w:r w:rsidRPr="00A11FE0">
        <w:rPr>
          <w:rFonts w:asciiTheme="majorHAnsi" w:hAnsiTheme="majorHAnsi"/>
          <w:noProof/>
        </w:rPr>
        <w:t xml:space="preserve">podporné procesy (napr. evidencie, </w:t>
      </w:r>
      <w:r w:rsidR="00BD5FD5">
        <w:rPr>
          <w:rFonts w:asciiTheme="majorHAnsi" w:hAnsiTheme="majorHAnsi"/>
          <w:noProof/>
        </w:rPr>
        <w:t>s</w:t>
      </w:r>
      <w:r w:rsidRPr="00A11FE0">
        <w:rPr>
          <w:rFonts w:asciiTheme="majorHAnsi" w:hAnsiTheme="majorHAnsi"/>
          <w:noProof/>
        </w:rPr>
        <w:t xml:space="preserve">práva majetku, IT, personalistika, obstarávanie, </w:t>
      </w:r>
      <w:r w:rsidR="00BD5FD5">
        <w:rPr>
          <w:rFonts w:asciiTheme="majorHAnsi" w:hAnsiTheme="majorHAnsi"/>
          <w:noProof/>
        </w:rPr>
        <w:t>a </w:t>
      </w:r>
      <w:r w:rsidRPr="00A11FE0">
        <w:rPr>
          <w:rFonts w:asciiTheme="majorHAnsi" w:hAnsiTheme="majorHAnsi"/>
          <w:noProof/>
        </w:rPr>
        <w:t xml:space="preserve">pod.). Výsledkom je multiplicita procesov, </w:t>
      </w:r>
      <w:r w:rsidR="00BD5FD5">
        <w:rPr>
          <w:rFonts w:asciiTheme="majorHAnsi" w:hAnsiTheme="majorHAnsi"/>
          <w:noProof/>
        </w:rPr>
        <w:t>a</w:t>
      </w:r>
      <w:r w:rsidRPr="00A11FE0">
        <w:rPr>
          <w:rFonts w:asciiTheme="majorHAnsi" w:hAnsiTheme="majorHAnsi"/>
          <w:noProof/>
        </w:rPr>
        <w:t xml:space="preserve">lokácie zdrojov rozpočtu </w:t>
      </w:r>
      <w:r w:rsidR="001656EE">
        <w:rPr>
          <w:rFonts w:asciiTheme="majorHAnsi" w:hAnsiTheme="majorHAnsi"/>
          <w:noProof/>
        </w:rPr>
        <w:t>VS</w:t>
      </w:r>
      <w:r w:rsidRPr="00A11FE0">
        <w:rPr>
          <w:rFonts w:asciiTheme="majorHAnsi" w:hAnsiTheme="majorHAnsi"/>
          <w:noProof/>
        </w:rPr>
        <w:t xml:space="preserve"> </w:t>
      </w:r>
      <w:r w:rsidR="00BD5FD5">
        <w:rPr>
          <w:rFonts w:asciiTheme="majorHAnsi" w:hAnsiTheme="majorHAnsi"/>
          <w:noProof/>
        </w:rPr>
        <w:t>a a</w:t>
      </w:r>
      <w:r w:rsidRPr="00A11FE0">
        <w:rPr>
          <w:rFonts w:asciiTheme="majorHAnsi" w:hAnsiTheme="majorHAnsi"/>
          <w:noProof/>
        </w:rPr>
        <w:t>bsenci</w:t>
      </w:r>
      <w:r w:rsidR="003917BE" w:rsidRPr="00A11FE0">
        <w:rPr>
          <w:rFonts w:asciiTheme="majorHAnsi" w:hAnsiTheme="majorHAnsi"/>
          <w:noProof/>
        </w:rPr>
        <w:t>a</w:t>
      </w:r>
      <w:r w:rsidRPr="00A11FE0">
        <w:rPr>
          <w:rFonts w:asciiTheme="majorHAnsi" w:hAnsiTheme="majorHAnsi"/>
          <w:noProof/>
        </w:rPr>
        <w:t xml:space="preserve"> pro-</w:t>
      </w:r>
      <w:r w:rsidR="00BD5FD5">
        <w:rPr>
          <w:rFonts w:asciiTheme="majorHAnsi" w:hAnsiTheme="majorHAnsi"/>
          <w:noProof/>
        </w:rPr>
        <w:t>k</w:t>
      </w:r>
      <w:r w:rsidRPr="00A11FE0">
        <w:rPr>
          <w:rFonts w:asciiTheme="majorHAnsi" w:hAnsiTheme="majorHAnsi"/>
          <w:noProof/>
        </w:rPr>
        <w:t>lientského prístupu voči</w:t>
      </w:r>
      <w:r w:rsidR="00343233">
        <w:rPr>
          <w:rFonts w:asciiTheme="majorHAnsi" w:hAnsiTheme="majorHAnsi"/>
          <w:noProof/>
        </w:rPr>
        <w:t xml:space="preserve"> občanom a</w:t>
      </w:r>
      <w:r w:rsidR="00953FFE">
        <w:rPr>
          <w:rFonts w:asciiTheme="majorHAnsi" w:hAnsiTheme="majorHAnsi"/>
          <w:noProof/>
        </w:rPr>
        <w:t> </w:t>
      </w:r>
      <w:r w:rsidR="00343233">
        <w:rPr>
          <w:rFonts w:asciiTheme="majorHAnsi" w:hAnsiTheme="majorHAnsi"/>
          <w:noProof/>
        </w:rPr>
        <w:t>voči</w:t>
      </w:r>
      <w:r w:rsidRPr="00A11FE0">
        <w:rPr>
          <w:rFonts w:asciiTheme="majorHAnsi" w:hAnsiTheme="majorHAnsi"/>
          <w:noProof/>
        </w:rPr>
        <w:t xml:space="preserve"> </w:t>
      </w:r>
      <w:r w:rsidR="00BD5FD5">
        <w:rPr>
          <w:rFonts w:asciiTheme="majorHAnsi" w:hAnsiTheme="majorHAnsi"/>
          <w:noProof/>
        </w:rPr>
        <w:t>s</w:t>
      </w:r>
      <w:r w:rsidRPr="00A11FE0">
        <w:rPr>
          <w:rFonts w:asciiTheme="majorHAnsi" w:hAnsiTheme="majorHAnsi"/>
          <w:noProof/>
        </w:rPr>
        <w:t>ocio-ekonomickým partnerom.</w:t>
      </w:r>
      <w:r w:rsidR="001314CA">
        <w:rPr>
          <w:rFonts w:asciiTheme="majorHAnsi" w:hAnsiTheme="majorHAnsi"/>
          <w:noProof/>
        </w:rPr>
        <w:t xml:space="preserve"> </w:t>
      </w:r>
      <w:r w:rsidR="001314CA" w:rsidRPr="001314CA">
        <w:rPr>
          <w:rFonts w:asciiTheme="majorHAnsi" w:hAnsiTheme="majorHAnsi"/>
          <w:noProof/>
        </w:rPr>
        <w:t xml:space="preserve">Problematickým je taktiež riešenie životných situácií, kedy občan a podnikateľ naďalej navštevuje viacero úradov a predkladá viacero </w:t>
      </w:r>
      <w:r w:rsidR="001314CA" w:rsidRPr="001314CA">
        <w:rPr>
          <w:rFonts w:asciiTheme="majorHAnsi" w:hAnsiTheme="majorHAnsi"/>
          <w:noProof/>
        </w:rPr>
        <w:lastRenderedPageBreak/>
        <w:t>druhov dokumentov, výsledkom čoho je nízka miera transparentnosti postupu úradov</w:t>
      </w:r>
      <w:r w:rsidR="00D872AA">
        <w:rPr>
          <w:rFonts w:asciiTheme="majorHAnsi" w:hAnsiTheme="majorHAnsi"/>
          <w:noProof/>
        </w:rPr>
        <w:t xml:space="preserve">, </w:t>
      </w:r>
      <w:r w:rsidR="001314CA" w:rsidRPr="001314CA">
        <w:rPr>
          <w:rFonts w:asciiTheme="majorHAnsi" w:hAnsiTheme="majorHAnsi"/>
          <w:noProof/>
        </w:rPr>
        <w:t>a</w:t>
      </w:r>
      <w:r w:rsidR="00D872AA">
        <w:rPr>
          <w:rFonts w:asciiTheme="majorHAnsi" w:hAnsiTheme="majorHAnsi"/>
          <w:noProof/>
        </w:rPr>
        <w:t>ko aj</w:t>
      </w:r>
      <w:r w:rsidR="001314CA" w:rsidRPr="001314CA">
        <w:rPr>
          <w:rFonts w:asciiTheme="majorHAnsi" w:hAnsiTheme="majorHAnsi"/>
          <w:noProof/>
        </w:rPr>
        <w:t>  nízke úspory času a výdavkov občanov a podnikateľov.</w:t>
      </w:r>
    </w:p>
    <w:p w:rsidR="005F1421" w:rsidRPr="005F1421" w:rsidRDefault="000A264B" w:rsidP="005F1421">
      <w:pPr>
        <w:rPr>
          <w:rFonts w:asciiTheme="majorHAnsi" w:hAnsiTheme="majorHAnsi"/>
        </w:rPr>
      </w:pPr>
      <w:r w:rsidRPr="00A11FE0">
        <w:rPr>
          <w:rFonts w:asciiTheme="majorHAnsi" w:hAnsiTheme="majorHAnsi"/>
        </w:rPr>
        <w:t xml:space="preserve">Zavedenie inteligentnej </w:t>
      </w:r>
      <w:r w:rsidR="001656EE">
        <w:rPr>
          <w:rFonts w:asciiTheme="majorHAnsi" w:hAnsiTheme="majorHAnsi"/>
        </w:rPr>
        <w:t>VS</w:t>
      </w:r>
      <w:r w:rsidRPr="00A11FE0">
        <w:rPr>
          <w:rFonts w:asciiTheme="majorHAnsi" w:hAnsiTheme="majorHAnsi"/>
        </w:rPr>
        <w:t xml:space="preserve"> bude </w:t>
      </w:r>
      <w:r w:rsidR="00BD5FD5">
        <w:rPr>
          <w:rFonts w:asciiTheme="majorHAnsi" w:hAnsiTheme="majorHAnsi"/>
        </w:rPr>
        <w:t>s</w:t>
      </w:r>
      <w:r w:rsidRPr="00A11FE0">
        <w:rPr>
          <w:rFonts w:asciiTheme="majorHAnsi" w:hAnsiTheme="majorHAnsi"/>
        </w:rPr>
        <w:t xml:space="preserve">účasťou </w:t>
      </w:r>
      <w:r w:rsidR="00BD5FD5">
        <w:rPr>
          <w:rFonts w:asciiTheme="majorHAnsi" w:hAnsiTheme="majorHAnsi"/>
        </w:rPr>
        <w:t>s</w:t>
      </w:r>
      <w:r w:rsidRPr="00A11FE0">
        <w:rPr>
          <w:rFonts w:asciiTheme="majorHAnsi" w:hAnsiTheme="majorHAnsi"/>
        </w:rPr>
        <w:t>ystematického prístupu</w:t>
      </w:r>
      <w:r w:rsidR="003B05C2">
        <w:rPr>
          <w:rFonts w:asciiTheme="majorHAnsi" w:hAnsiTheme="majorHAnsi"/>
        </w:rPr>
        <w:t xml:space="preserve"> </w:t>
      </w:r>
      <w:r w:rsidR="00BD5FD5">
        <w:rPr>
          <w:rFonts w:asciiTheme="majorHAnsi" w:hAnsiTheme="majorHAnsi"/>
        </w:rPr>
        <w:t>s</w:t>
      </w:r>
      <w:r w:rsidR="001314CA">
        <w:rPr>
          <w:rFonts w:asciiTheme="majorHAnsi" w:hAnsiTheme="majorHAnsi"/>
        </w:rPr>
        <w:t> </w:t>
      </w:r>
      <w:r w:rsidRPr="00A11FE0">
        <w:rPr>
          <w:rFonts w:asciiTheme="majorHAnsi" w:hAnsiTheme="majorHAnsi"/>
        </w:rPr>
        <w:t xml:space="preserve">cieľom znížiť </w:t>
      </w:r>
      <w:r w:rsidR="00BD5FD5">
        <w:rPr>
          <w:rFonts w:asciiTheme="majorHAnsi" w:hAnsiTheme="majorHAnsi"/>
        </w:rPr>
        <w:t>a</w:t>
      </w:r>
      <w:r w:rsidRPr="00A11FE0">
        <w:rPr>
          <w:rFonts w:asciiTheme="majorHAnsi" w:hAnsiTheme="majorHAnsi"/>
        </w:rPr>
        <w:t xml:space="preserve">dministratívnu záťaž pre občanov </w:t>
      </w:r>
      <w:r w:rsidR="00BD5FD5">
        <w:rPr>
          <w:rFonts w:asciiTheme="majorHAnsi" w:hAnsiTheme="majorHAnsi"/>
        </w:rPr>
        <w:t>a</w:t>
      </w:r>
      <w:r w:rsidR="001314CA">
        <w:rPr>
          <w:rFonts w:asciiTheme="majorHAnsi" w:hAnsiTheme="majorHAnsi"/>
        </w:rPr>
        <w:t> </w:t>
      </w:r>
      <w:r w:rsidRPr="00A11FE0">
        <w:rPr>
          <w:rFonts w:asciiTheme="majorHAnsi" w:hAnsiTheme="majorHAnsi"/>
        </w:rPr>
        <w:t>podnikateľov.</w:t>
      </w:r>
      <w:r w:rsidR="005F1421" w:rsidRPr="005F1421">
        <w:rPr>
          <w:rFonts w:ascii="Cambria" w:hAnsi="Cambria"/>
          <w:color w:val="FF0000"/>
          <w:szCs w:val="22"/>
        </w:rPr>
        <w:t xml:space="preserve"> </w:t>
      </w:r>
      <w:r w:rsidR="005F1421" w:rsidRPr="005F1421">
        <w:rPr>
          <w:rFonts w:asciiTheme="majorHAnsi" w:hAnsiTheme="majorHAnsi"/>
        </w:rPr>
        <w:t xml:space="preserve">Systematickým prístupom sa myslí použitie vhodných nástrojov na organizačnú a procesnú prípravu </w:t>
      </w:r>
      <w:r w:rsidR="00E3425F" w:rsidRPr="00E3425F">
        <w:rPr>
          <w:rFonts w:asciiTheme="majorHAnsi" w:hAnsiTheme="majorHAnsi"/>
        </w:rPr>
        <w:t xml:space="preserve">(vypracované mapy procesov) </w:t>
      </w:r>
      <w:r w:rsidR="005F1421" w:rsidRPr="005F1421">
        <w:rPr>
          <w:rFonts w:asciiTheme="majorHAnsi" w:hAnsiTheme="majorHAnsi"/>
        </w:rPr>
        <w:t xml:space="preserve">subjektov </w:t>
      </w:r>
      <w:r w:rsidR="001656EE">
        <w:rPr>
          <w:rFonts w:asciiTheme="majorHAnsi" w:hAnsiTheme="majorHAnsi"/>
        </w:rPr>
        <w:t>VS</w:t>
      </w:r>
      <w:r w:rsidR="005F1421" w:rsidRPr="005F1421">
        <w:rPr>
          <w:rFonts w:asciiTheme="majorHAnsi" w:hAnsiTheme="majorHAnsi"/>
        </w:rPr>
        <w:t xml:space="preserve"> pre implementáciu nástrojov prispievajúcich k riešeniu potrieb občanov a podnikateľov (t.</w:t>
      </w:r>
      <w:r w:rsidR="00A45659">
        <w:rPr>
          <w:rFonts w:asciiTheme="majorHAnsi" w:hAnsiTheme="majorHAnsi"/>
        </w:rPr>
        <w:t xml:space="preserve"> </w:t>
      </w:r>
      <w:r w:rsidR="005F1421" w:rsidRPr="005F1421">
        <w:rPr>
          <w:rFonts w:asciiTheme="majorHAnsi" w:hAnsiTheme="majorHAnsi"/>
        </w:rPr>
        <w:t xml:space="preserve">j. na základe identifikácie ich potrieb, analýzy ich vzniku, návrhu možných scenárov riešenia, </w:t>
      </w:r>
      <w:r w:rsidR="005666D1" w:rsidRPr="005F1421">
        <w:rPr>
          <w:rFonts w:asciiTheme="majorHAnsi" w:hAnsiTheme="majorHAnsi"/>
        </w:rPr>
        <w:t>identifikác</w:t>
      </w:r>
      <w:r w:rsidR="005666D1">
        <w:rPr>
          <w:rFonts w:asciiTheme="majorHAnsi" w:hAnsiTheme="majorHAnsi"/>
        </w:rPr>
        <w:t>ie</w:t>
      </w:r>
      <w:r w:rsidR="005666D1" w:rsidRPr="005F1421">
        <w:rPr>
          <w:rFonts w:asciiTheme="majorHAnsi" w:hAnsiTheme="majorHAnsi"/>
        </w:rPr>
        <w:t xml:space="preserve"> </w:t>
      </w:r>
      <w:r w:rsidR="005F1421" w:rsidRPr="005F1421">
        <w:rPr>
          <w:rFonts w:asciiTheme="majorHAnsi" w:hAnsiTheme="majorHAnsi"/>
        </w:rPr>
        <w:t>najvhodnejšej alternatívy odstránenia príčin daných potrieb až po implementáciu a vyhodnotenie vybraného riešenia</w:t>
      </w:r>
      <w:r w:rsidR="006855AF">
        <w:rPr>
          <w:rFonts w:asciiTheme="majorHAnsi" w:hAnsiTheme="majorHAnsi"/>
        </w:rPr>
        <w:t>)</w:t>
      </w:r>
      <w:r w:rsidR="005F1421" w:rsidRPr="005F1421">
        <w:rPr>
          <w:rFonts w:asciiTheme="majorHAnsi" w:hAnsiTheme="majorHAnsi"/>
        </w:rPr>
        <w:t>.</w:t>
      </w:r>
      <w:r w:rsidR="00C53966">
        <w:rPr>
          <w:rFonts w:asciiTheme="majorHAnsi" w:hAnsiTheme="majorHAnsi"/>
        </w:rPr>
        <w:t xml:space="preserve"> </w:t>
      </w:r>
      <w:r w:rsidR="00C53966" w:rsidRPr="00C53966">
        <w:rPr>
          <w:rFonts w:asciiTheme="majorHAnsi" w:hAnsiTheme="majorHAnsi"/>
        </w:rPr>
        <w:t xml:space="preserve">Výsledky zavedenia inteligentnej </w:t>
      </w:r>
      <w:r w:rsidR="001656EE">
        <w:rPr>
          <w:rFonts w:asciiTheme="majorHAnsi" w:hAnsiTheme="majorHAnsi"/>
        </w:rPr>
        <w:t>VS</w:t>
      </w:r>
      <w:r w:rsidR="00C53966" w:rsidRPr="00C53966">
        <w:rPr>
          <w:rFonts w:asciiTheme="majorHAnsi" w:hAnsiTheme="majorHAnsi"/>
        </w:rPr>
        <w:t xml:space="preserve"> budú zohľadňovať aj praktické aspekty fungovania podnikateľského prostredia, ako napr. zvýšenie transparentnosti a</w:t>
      </w:r>
      <w:r w:rsidR="00492DD0">
        <w:rPr>
          <w:rFonts w:asciiTheme="majorHAnsi" w:hAnsiTheme="majorHAnsi"/>
        </w:rPr>
        <w:t> </w:t>
      </w:r>
      <w:r w:rsidR="00C53966" w:rsidRPr="00C53966">
        <w:rPr>
          <w:rFonts w:asciiTheme="majorHAnsi" w:hAnsiTheme="majorHAnsi"/>
        </w:rPr>
        <w:t>dostupnosti</w:t>
      </w:r>
      <w:r w:rsidR="00492DD0">
        <w:rPr>
          <w:rFonts w:asciiTheme="majorHAnsi" w:hAnsiTheme="majorHAnsi"/>
        </w:rPr>
        <w:t xml:space="preserve"> </w:t>
      </w:r>
      <w:r w:rsidR="00C53966" w:rsidRPr="00C53966">
        <w:rPr>
          <w:rFonts w:asciiTheme="majorHAnsi" w:hAnsiTheme="majorHAnsi"/>
        </w:rPr>
        <w:t>verejných služieb prostredníctvom zníženia nákladov na ich získanie, skrátenia času na ich vybavenie a</w:t>
      </w:r>
      <w:r w:rsidR="00492DD0">
        <w:rPr>
          <w:rFonts w:asciiTheme="majorHAnsi" w:hAnsiTheme="majorHAnsi"/>
        </w:rPr>
        <w:t> </w:t>
      </w:r>
      <w:r w:rsidR="00C53966" w:rsidRPr="00C53966">
        <w:rPr>
          <w:rFonts w:asciiTheme="majorHAnsi" w:hAnsiTheme="majorHAnsi"/>
        </w:rPr>
        <w:t>priblíženia služieb klientom s</w:t>
      </w:r>
      <w:r w:rsidR="00492DD0">
        <w:rPr>
          <w:rFonts w:asciiTheme="majorHAnsi" w:hAnsiTheme="majorHAnsi"/>
        </w:rPr>
        <w:t> </w:t>
      </w:r>
      <w:r w:rsidR="00C53966" w:rsidRPr="00C53966">
        <w:rPr>
          <w:rFonts w:asciiTheme="majorHAnsi" w:hAnsiTheme="majorHAnsi"/>
        </w:rPr>
        <w:t>dôrazom na ich potreby</w:t>
      </w:r>
      <w:r w:rsidR="00C53966">
        <w:rPr>
          <w:rFonts w:asciiTheme="majorHAnsi" w:hAnsiTheme="majorHAnsi"/>
        </w:rPr>
        <w:t>.</w:t>
      </w:r>
    </w:p>
    <w:p w:rsidR="000A264B" w:rsidRPr="00A11FE0" w:rsidRDefault="000A0FAF" w:rsidP="000A264B">
      <w:pPr>
        <w:rPr>
          <w:rFonts w:asciiTheme="majorHAnsi" w:hAnsiTheme="majorHAnsi"/>
        </w:rPr>
      </w:pPr>
      <w:r w:rsidRPr="000A0FAF">
        <w:rPr>
          <w:rFonts w:asciiTheme="majorHAnsi" w:hAnsiTheme="majorHAnsi"/>
        </w:rPr>
        <w:t>Pre zabezpečenie úzkeho prepojenia aktivity TC2 (e</w:t>
      </w:r>
      <w:r w:rsidR="00665324">
        <w:rPr>
          <w:rFonts w:asciiTheme="majorHAnsi" w:hAnsiTheme="majorHAnsi"/>
        </w:rPr>
        <w:t>-</w:t>
      </w:r>
      <w:r w:rsidRPr="000A0FAF">
        <w:rPr>
          <w:rFonts w:asciiTheme="majorHAnsi" w:hAnsiTheme="majorHAnsi"/>
        </w:rPr>
        <w:t>Government) a</w:t>
      </w:r>
      <w:r w:rsidR="00665324">
        <w:rPr>
          <w:rFonts w:asciiTheme="majorHAnsi" w:hAnsiTheme="majorHAnsi"/>
        </w:rPr>
        <w:t> </w:t>
      </w:r>
      <w:r w:rsidRPr="000A0FAF">
        <w:rPr>
          <w:rFonts w:asciiTheme="majorHAnsi" w:hAnsiTheme="majorHAnsi"/>
        </w:rPr>
        <w:t>TC11 (redizajn procesov) budú relevantné projekty riadené koordinovaným spôsobom</w:t>
      </w:r>
      <w:r w:rsidR="009E2A02">
        <w:rPr>
          <w:rStyle w:val="Odkaznapoznmkupodiarou"/>
          <w:rFonts w:asciiTheme="majorHAnsi" w:hAnsiTheme="majorHAnsi"/>
        </w:rPr>
        <w:footnoteReference w:id="222"/>
      </w:r>
      <w:r w:rsidR="00E76510">
        <w:rPr>
          <w:rFonts w:asciiTheme="majorHAnsi" w:hAnsiTheme="majorHAnsi"/>
        </w:rPr>
        <w:t>, a to s cieľom zabezpečenia komplementarity</w:t>
      </w:r>
      <w:r w:rsidRPr="000A0FAF">
        <w:rPr>
          <w:rFonts w:asciiTheme="majorHAnsi" w:hAnsiTheme="majorHAnsi"/>
        </w:rPr>
        <w:t>.</w:t>
      </w:r>
    </w:p>
    <w:p w:rsidR="000A264B" w:rsidRPr="00A11FE0" w:rsidRDefault="000A264B" w:rsidP="000A264B">
      <w:pPr>
        <w:rPr>
          <w:rFonts w:asciiTheme="majorHAnsi" w:hAnsiTheme="majorHAnsi"/>
          <w:noProof/>
        </w:rPr>
      </w:pPr>
      <w:r w:rsidRPr="00A11FE0">
        <w:rPr>
          <w:rFonts w:asciiTheme="majorHAnsi" w:hAnsiTheme="majorHAnsi"/>
          <w:noProof/>
        </w:rPr>
        <w:t xml:space="preserve">Hlavným nástrojom pre zvýšenie </w:t>
      </w:r>
      <w:r w:rsidR="00BD5FD5">
        <w:rPr>
          <w:rFonts w:asciiTheme="majorHAnsi" w:hAnsiTheme="majorHAnsi"/>
          <w:noProof/>
        </w:rPr>
        <w:t>k</w:t>
      </w:r>
      <w:r w:rsidRPr="00A11FE0">
        <w:rPr>
          <w:rFonts w:asciiTheme="majorHAnsi" w:hAnsiTheme="majorHAnsi"/>
          <w:noProof/>
        </w:rPr>
        <w:t xml:space="preserve">vality riadenia procesov vo verejnej </w:t>
      </w:r>
      <w:r w:rsidR="00BD5FD5">
        <w:rPr>
          <w:rFonts w:asciiTheme="majorHAnsi" w:hAnsiTheme="majorHAnsi"/>
          <w:noProof/>
        </w:rPr>
        <w:t>s</w:t>
      </w:r>
      <w:r w:rsidRPr="00A11FE0">
        <w:rPr>
          <w:rFonts w:asciiTheme="majorHAnsi" w:hAnsiTheme="majorHAnsi"/>
          <w:noProof/>
        </w:rPr>
        <w:t xml:space="preserve">práve je programové rozpočtovanie </w:t>
      </w:r>
      <w:r w:rsidR="00BD5FD5">
        <w:rPr>
          <w:rFonts w:asciiTheme="majorHAnsi" w:hAnsiTheme="majorHAnsi"/>
          <w:noProof/>
        </w:rPr>
        <w:t>s </w:t>
      </w:r>
      <w:r w:rsidRPr="00A11FE0">
        <w:rPr>
          <w:rFonts w:asciiTheme="majorHAnsi" w:hAnsiTheme="majorHAnsi"/>
          <w:noProof/>
        </w:rPr>
        <w:t xml:space="preserve">dôrazom na výsledky </w:t>
      </w:r>
      <w:r w:rsidR="00BD5FD5">
        <w:rPr>
          <w:rFonts w:asciiTheme="majorHAnsi" w:hAnsiTheme="majorHAnsi"/>
          <w:noProof/>
        </w:rPr>
        <w:t>a </w:t>
      </w:r>
      <w:r w:rsidRPr="00A11FE0">
        <w:rPr>
          <w:rFonts w:asciiTheme="majorHAnsi" w:hAnsiTheme="majorHAnsi"/>
          <w:noProof/>
        </w:rPr>
        <w:t xml:space="preserve">výstupy namiesto vstupov. Reforma riadenia verejných financií však nie je ukončená </w:t>
      </w:r>
      <w:r w:rsidR="00BD5FD5">
        <w:rPr>
          <w:rFonts w:asciiTheme="majorHAnsi" w:hAnsiTheme="majorHAnsi"/>
          <w:noProof/>
        </w:rPr>
        <w:t>a</w:t>
      </w:r>
      <w:r w:rsidRPr="00A11FE0">
        <w:rPr>
          <w:rFonts w:asciiTheme="majorHAnsi" w:hAnsiTheme="majorHAnsi"/>
          <w:noProof/>
        </w:rPr>
        <w:t> v </w:t>
      </w:r>
      <w:r w:rsidR="00BD5FD5">
        <w:rPr>
          <w:rFonts w:asciiTheme="majorHAnsi" w:hAnsiTheme="majorHAnsi"/>
          <w:noProof/>
        </w:rPr>
        <w:t>s</w:t>
      </w:r>
      <w:r w:rsidRPr="00A11FE0">
        <w:rPr>
          <w:rFonts w:asciiTheme="majorHAnsi" w:hAnsiTheme="majorHAnsi"/>
          <w:noProof/>
        </w:rPr>
        <w:t xml:space="preserve">účasnosti programové rozpočtovanie predstavuje pre </w:t>
      </w:r>
      <w:r w:rsidR="00BD5FD5">
        <w:rPr>
          <w:rFonts w:asciiTheme="majorHAnsi" w:hAnsiTheme="majorHAnsi"/>
          <w:noProof/>
        </w:rPr>
        <w:t>s</w:t>
      </w:r>
      <w:r w:rsidRPr="00A11FE0">
        <w:rPr>
          <w:rFonts w:asciiTheme="majorHAnsi" w:hAnsiTheme="majorHAnsi"/>
          <w:noProof/>
        </w:rPr>
        <w:t xml:space="preserve">právcov </w:t>
      </w:r>
      <w:r w:rsidR="00BD5FD5">
        <w:rPr>
          <w:rFonts w:asciiTheme="majorHAnsi" w:hAnsiTheme="majorHAnsi"/>
          <w:noProof/>
        </w:rPr>
        <w:t>k</w:t>
      </w:r>
      <w:r w:rsidRPr="00A11FE0">
        <w:rPr>
          <w:rFonts w:asciiTheme="majorHAnsi" w:hAnsiTheme="majorHAnsi"/>
          <w:noProof/>
        </w:rPr>
        <w:t xml:space="preserve">apitol </w:t>
      </w:r>
      <w:r w:rsidR="00BD5FD5">
        <w:rPr>
          <w:rFonts w:asciiTheme="majorHAnsi" w:hAnsiTheme="majorHAnsi"/>
          <w:noProof/>
        </w:rPr>
        <w:t>s</w:t>
      </w:r>
      <w:r w:rsidRPr="00A11FE0">
        <w:rPr>
          <w:rFonts w:asciiTheme="majorHAnsi" w:hAnsiTheme="majorHAnsi"/>
          <w:noProof/>
        </w:rPr>
        <w:t xml:space="preserve">kôr </w:t>
      </w:r>
      <w:r w:rsidR="00BD5FD5">
        <w:rPr>
          <w:rFonts w:asciiTheme="majorHAnsi" w:hAnsiTheme="majorHAnsi"/>
          <w:noProof/>
        </w:rPr>
        <w:t>a</w:t>
      </w:r>
      <w:r w:rsidRPr="00A11FE0">
        <w:rPr>
          <w:rFonts w:asciiTheme="majorHAnsi" w:hAnsiTheme="majorHAnsi"/>
          <w:noProof/>
        </w:rPr>
        <w:t xml:space="preserve">dministratívnu záťaž </w:t>
      </w:r>
      <w:r w:rsidR="00BD5FD5">
        <w:rPr>
          <w:rFonts w:asciiTheme="majorHAnsi" w:hAnsiTheme="majorHAnsi"/>
          <w:noProof/>
        </w:rPr>
        <w:t>ak</w:t>
      </w:r>
      <w:r w:rsidRPr="00A11FE0">
        <w:rPr>
          <w:rFonts w:asciiTheme="majorHAnsi" w:hAnsiTheme="majorHAnsi"/>
          <w:noProof/>
        </w:rPr>
        <w:t>o užitočný nástroj</w:t>
      </w:r>
      <w:r w:rsidRPr="00A11FE0">
        <w:rPr>
          <w:rFonts w:asciiTheme="majorHAnsi" w:hAnsiTheme="majorHAnsi"/>
          <w:noProof/>
          <w:vertAlign w:val="superscript"/>
        </w:rPr>
        <w:footnoteReference w:id="223"/>
      </w:r>
      <w:r w:rsidRPr="00A11FE0">
        <w:rPr>
          <w:rFonts w:asciiTheme="majorHAnsi" w:hAnsiTheme="majorHAnsi"/>
          <w:noProof/>
        </w:rPr>
        <w:t>.</w:t>
      </w:r>
    </w:p>
    <w:p w:rsidR="000A264B" w:rsidRPr="00A11FE0" w:rsidRDefault="000A264B" w:rsidP="000A264B">
      <w:pPr>
        <w:rPr>
          <w:rFonts w:asciiTheme="majorHAnsi" w:hAnsiTheme="majorHAnsi"/>
          <w:noProof/>
          <w:color w:val="FF0000"/>
        </w:rPr>
      </w:pPr>
      <w:r w:rsidRPr="00A11FE0">
        <w:rPr>
          <w:rFonts w:asciiTheme="majorHAnsi" w:hAnsiTheme="majorHAnsi"/>
          <w:noProof/>
        </w:rPr>
        <w:t xml:space="preserve">Zmena </w:t>
      </w:r>
      <w:r w:rsidR="00BD5FD5">
        <w:rPr>
          <w:rFonts w:asciiTheme="majorHAnsi" w:hAnsiTheme="majorHAnsi"/>
          <w:noProof/>
        </w:rPr>
        <w:t>s</w:t>
      </w:r>
      <w:r w:rsidRPr="00A11FE0">
        <w:rPr>
          <w:rFonts w:asciiTheme="majorHAnsi" w:hAnsiTheme="majorHAnsi"/>
          <w:noProof/>
        </w:rPr>
        <w:t>účasného</w:t>
      </w:r>
      <w:r w:rsidR="00123EDA" w:rsidRPr="00A11FE0">
        <w:rPr>
          <w:rFonts w:asciiTheme="majorHAnsi" w:hAnsiTheme="majorHAnsi"/>
          <w:noProof/>
        </w:rPr>
        <w:t>,</w:t>
      </w:r>
      <w:r w:rsidRPr="00A11FE0">
        <w:rPr>
          <w:rFonts w:asciiTheme="majorHAnsi" w:hAnsiTheme="majorHAnsi"/>
          <w:noProof/>
        </w:rPr>
        <w:t xml:space="preserve"> prevažne hierarchicky organizovaného poskytovania </w:t>
      </w:r>
      <w:r w:rsidR="00BD5FD5">
        <w:rPr>
          <w:rFonts w:asciiTheme="majorHAnsi" w:hAnsiTheme="majorHAnsi"/>
          <w:noProof/>
        </w:rPr>
        <w:t>s</w:t>
      </w:r>
      <w:r w:rsidRPr="00A11FE0">
        <w:rPr>
          <w:rFonts w:asciiTheme="majorHAnsi" w:hAnsiTheme="majorHAnsi"/>
          <w:noProof/>
        </w:rPr>
        <w:t xml:space="preserve">lužieb na model horizontálne integrovaných </w:t>
      </w:r>
      <w:r w:rsidR="00BD5FD5">
        <w:rPr>
          <w:rFonts w:asciiTheme="majorHAnsi" w:hAnsiTheme="majorHAnsi"/>
          <w:noProof/>
        </w:rPr>
        <w:t>s</w:t>
      </w:r>
      <w:r w:rsidRPr="00A11FE0">
        <w:rPr>
          <w:rFonts w:asciiTheme="majorHAnsi" w:hAnsiTheme="majorHAnsi"/>
          <w:noProof/>
        </w:rPr>
        <w:t xml:space="preserve">lužieb, rozvoj výsledkovo orientovanej </w:t>
      </w:r>
      <w:r w:rsidR="00BD5FD5">
        <w:rPr>
          <w:rFonts w:asciiTheme="majorHAnsi" w:hAnsiTheme="majorHAnsi"/>
          <w:noProof/>
        </w:rPr>
        <w:t>k</w:t>
      </w:r>
      <w:r w:rsidRPr="00A11FE0">
        <w:rPr>
          <w:rFonts w:asciiTheme="majorHAnsi" w:hAnsiTheme="majorHAnsi"/>
          <w:noProof/>
        </w:rPr>
        <w:t xml:space="preserve">ultúry vo </w:t>
      </w:r>
      <w:r w:rsidR="001656EE">
        <w:rPr>
          <w:rFonts w:asciiTheme="majorHAnsi" w:hAnsiTheme="majorHAnsi"/>
          <w:noProof/>
        </w:rPr>
        <w:t>VS</w:t>
      </w:r>
      <w:r w:rsidRPr="00A11FE0">
        <w:rPr>
          <w:rFonts w:asciiTheme="majorHAnsi" w:hAnsiTheme="majorHAnsi"/>
          <w:noProof/>
        </w:rPr>
        <w:t xml:space="preserve"> je odpoveďou na </w:t>
      </w:r>
      <w:r w:rsidR="00BD5FD5">
        <w:rPr>
          <w:rFonts w:asciiTheme="majorHAnsi" w:hAnsiTheme="majorHAnsi"/>
          <w:noProof/>
        </w:rPr>
        <w:t>s</w:t>
      </w:r>
      <w:r w:rsidRPr="00A11FE0">
        <w:rPr>
          <w:rFonts w:asciiTheme="majorHAnsi" w:hAnsiTheme="majorHAnsi"/>
          <w:noProof/>
        </w:rPr>
        <w:t xml:space="preserve">účasné výzvy, </w:t>
      </w:r>
      <w:r w:rsidR="00BD5FD5">
        <w:rPr>
          <w:rFonts w:asciiTheme="majorHAnsi" w:hAnsiTheme="majorHAnsi"/>
          <w:noProof/>
        </w:rPr>
        <w:t>k</w:t>
      </w:r>
      <w:r w:rsidRPr="00A11FE0">
        <w:rPr>
          <w:rFonts w:asciiTheme="majorHAnsi" w:hAnsiTheme="majorHAnsi"/>
          <w:noProof/>
        </w:rPr>
        <w:t xml:space="preserve">torými </w:t>
      </w:r>
      <w:r w:rsidR="00BD5FD5">
        <w:rPr>
          <w:rFonts w:asciiTheme="majorHAnsi" w:hAnsiTheme="majorHAnsi"/>
          <w:noProof/>
        </w:rPr>
        <w:t>s</w:t>
      </w:r>
      <w:r w:rsidRPr="00A11FE0">
        <w:rPr>
          <w:rFonts w:asciiTheme="majorHAnsi" w:hAnsiTheme="majorHAnsi"/>
          <w:noProof/>
        </w:rPr>
        <w:t xml:space="preserve">ú narastajúca </w:t>
      </w:r>
      <w:r w:rsidR="00BD5FD5">
        <w:rPr>
          <w:rFonts w:asciiTheme="majorHAnsi" w:hAnsiTheme="majorHAnsi"/>
          <w:noProof/>
        </w:rPr>
        <w:t>k</w:t>
      </w:r>
      <w:r w:rsidRPr="00A11FE0">
        <w:rPr>
          <w:rFonts w:asciiTheme="majorHAnsi" w:hAnsiTheme="majorHAnsi"/>
          <w:noProof/>
        </w:rPr>
        <w:t xml:space="preserve">omplexita </w:t>
      </w:r>
      <w:r w:rsidR="00BD5FD5">
        <w:rPr>
          <w:rFonts w:asciiTheme="majorHAnsi" w:hAnsiTheme="majorHAnsi"/>
          <w:noProof/>
        </w:rPr>
        <w:t>a </w:t>
      </w:r>
      <w:r w:rsidRPr="00A11FE0">
        <w:rPr>
          <w:rFonts w:asciiTheme="majorHAnsi" w:hAnsiTheme="majorHAnsi"/>
          <w:noProof/>
        </w:rPr>
        <w:t>tempo zmien v</w:t>
      </w:r>
      <w:r w:rsidR="00492DD0">
        <w:rPr>
          <w:rFonts w:asciiTheme="majorHAnsi" w:hAnsiTheme="majorHAnsi"/>
          <w:noProof/>
        </w:rPr>
        <w:t> </w:t>
      </w:r>
      <w:r w:rsidRPr="00A11FE0">
        <w:rPr>
          <w:rFonts w:asciiTheme="majorHAnsi" w:hAnsiTheme="majorHAnsi"/>
          <w:noProof/>
        </w:rPr>
        <w:t xml:space="preserve">rámci obmedzených zdrojov, chýbajúca efektívne budovaná </w:t>
      </w:r>
      <w:r w:rsidR="00BD5FD5">
        <w:rPr>
          <w:rFonts w:asciiTheme="majorHAnsi" w:hAnsiTheme="majorHAnsi"/>
          <w:noProof/>
        </w:rPr>
        <w:t>s</w:t>
      </w:r>
      <w:r w:rsidRPr="00A11FE0">
        <w:rPr>
          <w:rFonts w:asciiTheme="majorHAnsi" w:hAnsiTheme="majorHAnsi"/>
          <w:noProof/>
        </w:rPr>
        <w:t>ieť „one-</w:t>
      </w:r>
      <w:r w:rsidR="00BD5FD5">
        <w:rPr>
          <w:rFonts w:asciiTheme="majorHAnsi" w:hAnsiTheme="majorHAnsi"/>
          <w:noProof/>
        </w:rPr>
        <w:t>s</w:t>
      </w:r>
      <w:r w:rsidRPr="00A11FE0">
        <w:rPr>
          <w:rFonts w:asciiTheme="majorHAnsi" w:hAnsiTheme="majorHAnsi"/>
          <w:noProof/>
        </w:rPr>
        <w:t xml:space="preserve">top </w:t>
      </w:r>
      <w:r w:rsidR="00BD5FD5">
        <w:rPr>
          <w:rFonts w:asciiTheme="majorHAnsi" w:hAnsiTheme="majorHAnsi"/>
          <w:noProof/>
        </w:rPr>
        <w:t>s</w:t>
      </w:r>
      <w:r w:rsidRPr="00A11FE0">
        <w:rPr>
          <w:rFonts w:asciiTheme="majorHAnsi" w:hAnsiTheme="majorHAnsi"/>
          <w:noProof/>
        </w:rPr>
        <w:t xml:space="preserve">hop“ pre všetky elektronické, </w:t>
      </w:r>
      <w:r w:rsidR="00BD5FD5">
        <w:rPr>
          <w:rFonts w:asciiTheme="majorHAnsi" w:hAnsiTheme="majorHAnsi"/>
          <w:noProof/>
        </w:rPr>
        <w:t>a</w:t>
      </w:r>
      <w:r w:rsidRPr="00A11FE0">
        <w:rPr>
          <w:rFonts w:asciiTheme="majorHAnsi" w:hAnsiTheme="majorHAnsi"/>
          <w:noProof/>
        </w:rPr>
        <w:t xml:space="preserve">le </w:t>
      </w:r>
      <w:r w:rsidR="00BD5FD5">
        <w:rPr>
          <w:rFonts w:asciiTheme="majorHAnsi" w:hAnsiTheme="majorHAnsi"/>
          <w:noProof/>
        </w:rPr>
        <w:t>a</w:t>
      </w:r>
      <w:r w:rsidRPr="00A11FE0">
        <w:rPr>
          <w:rFonts w:asciiTheme="majorHAnsi" w:hAnsiTheme="majorHAnsi"/>
          <w:noProof/>
        </w:rPr>
        <w:t xml:space="preserve">j </w:t>
      </w:r>
      <w:r w:rsidR="00BD5FD5">
        <w:rPr>
          <w:rFonts w:asciiTheme="majorHAnsi" w:hAnsiTheme="majorHAnsi"/>
          <w:noProof/>
        </w:rPr>
        <w:t>as</w:t>
      </w:r>
      <w:r w:rsidRPr="00A11FE0">
        <w:rPr>
          <w:rFonts w:asciiTheme="majorHAnsi" w:hAnsiTheme="majorHAnsi"/>
          <w:noProof/>
        </w:rPr>
        <w:t xml:space="preserve">istované </w:t>
      </w:r>
      <w:r w:rsidR="00BD5FD5">
        <w:rPr>
          <w:rFonts w:asciiTheme="majorHAnsi" w:hAnsiTheme="majorHAnsi"/>
          <w:noProof/>
        </w:rPr>
        <w:t>s</w:t>
      </w:r>
      <w:r w:rsidRPr="00A11FE0">
        <w:rPr>
          <w:rFonts w:asciiTheme="majorHAnsi" w:hAnsiTheme="majorHAnsi"/>
          <w:noProof/>
        </w:rPr>
        <w:t xml:space="preserve">lužby verejnej </w:t>
      </w:r>
      <w:r w:rsidR="00BD5FD5">
        <w:rPr>
          <w:rFonts w:asciiTheme="majorHAnsi" w:hAnsiTheme="majorHAnsi"/>
          <w:noProof/>
        </w:rPr>
        <w:t>s</w:t>
      </w:r>
      <w:r w:rsidRPr="00A11FE0">
        <w:rPr>
          <w:rFonts w:asciiTheme="majorHAnsi" w:hAnsiTheme="majorHAnsi"/>
          <w:noProof/>
        </w:rPr>
        <w:t>právy na jednom mieste, izolácia dát v</w:t>
      </w:r>
      <w:r w:rsidR="001656EE">
        <w:rPr>
          <w:rFonts w:asciiTheme="majorHAnsi" w:hAnsiTheme="majorHAnsi"/>
          <w:noProof/>
        </w:rPr>
        <w:t> </w:t>
      </w:r>
      <w:r w:rsidRPr="00A11FE0">
        <w:rPr>
          <w:rFonts w:asciiTheme="majorHAnsi" w:hAnsiTheme="majorHAnsi"/>
          <w:noProof/>
        </w:rPr>
        <w:t>rezortných</w:t>
      </w:r>
      <w:r w:rsidR="001656EE">
        <w:rPr>
          <w:rFonts w:asciiTheme="majorHAnsi" w:hAnsiTheme="majorHAnsi"/>
          <w:noProof/>
        </w:rPr>
        <w:t xml:space="preserve"> </w:t>
      </w:r>
      <w:r w:rsidR="00BD5FD5">
        <w:rPr>
          <w:rFonts w:asciiTheme="majorHAnsi" w:hAnsiTheme="majorHAnsi"/>
          <w:noProof/>
        </w:rPr>
        <w:t>s</w:t>
      </w:r>
      <w:r w:rsidRPr="00A11FE0">
        <w:rPr>
          <w:rFonts w:asciiTheme="majorHAnsi" w:hAnsiTheme="majorHAnsi"/>
          <w:noProof/>
        </w:rPr>
        <w:t xml:space="preserve">ystémoch </w:t>
      </w:r>
      <w:r w:rsidR="00BD5FD5">
        <w:rPr>
          <w:rFonts w:asciiTheme="majorHAnsi" w:hAnsiTheme="majorHAnsi"/>
          <w:noProof/>
        </w:rPr>
        <w:t>a </w:t>
      </w:r>
      <w:r w:rsidRPr="00A11FE0">
        <w:rPr>
          <w:rFonts w:asciiTheme="majorHAnsi" w:hAnsiTheme="majorHAnsi"/>
          <w:noProof/>
        </w:rPr>
        <w:t>ich nedostatočná interoperabilita.</w:t>
      </w:r>
    </w:p>
    <w:p w:rsidR="000A264B" w:rsidRPr="00A11FE0" w:rsidRDefault="000A264B" w:rsidP="000A264B">
      <w:pPr>
        <w:rPr>
          <w:rFonts w:asciiTheme="majorHAnsi" w:hAnsiTheme="majorHAnsi"/>
        </w:rPr>
      </w:pPr>
      <w:r w:rsidRPr="00A11FE0">
        <w:rPr>
          <w:rFonts w:asciiTheme="majorHAnsi" w:hAnsiTheme="majorHAnsi"/>
        </w:rPr>
        <w:t xml:space="preserve">Racionalizácia štruktúry </w:t>
      </w:r>
      <w:r w:rsidR="001656EE">
        <w:rPr>
          <w:rFonts w:asciiTheme="majorHAnsi" w:hAnsiTheme="majorHAnsi"/>
        </w:rPr>
        <w:t>VS</w:t>
      </w:r>
      <w:r w:rsidRPr="00A11FE0">
        <w:rPr>
          <w:rFonts w:asciiTheme="majorHAnsi" w:hAnsiTheme="majorHAnsi"/>
        </w:rPr>
        <w:t xml:space="preserve"> prostredníctvom budovania tzv. „one-</w:t>
      </w:r>
      <w:r w:rsidR="00BD5FD5">
        <w:rPr>
          <w:rFonts w:asciiTheme="majorHAnsi" w:hAnsiTheme="majorHAnsi"/>
        </w:rPr>
        <w:t>s</w:t>
      </w:r>
      <w:r w:rsidRPr="00A11FE0">
        <w:rPr>
          <w:rFonts w:asciiTheme="majorHAnsi" w:hAnsiTheme="majorHAnsi"/>
        </w:rPr>
        <w:t>top-</w:t>
      </w:r>
      <w:r w:rsidR="00BD5FD5">
        <w:rPr>
          <w:rFonts w:asciiTheme="majorHAnsi" w:hAnsiTheme="majorHAnsi"/>
        </w:rPr>
        <w:t>s</w:t>
      </w:r>
      <w:r w:rsidRPr="00A11FE0">
        <w:rPr>
          <w:rFonts w:asciiTheme="majorHAnsi" w:hAnsiTheme="majorHAnsi"/>
        </w:rPr>
        <w:t xml:space="preserve">hopov“, </w:t>
      </w:r>
      <w:r w:rsidR="00BD5FD5">
        <w:rPr>
          <w:rFonts w:asciiTheme="majorHAnsi" w:hAnsiTheme="majorHAnsi"/>
        </w:rPr>
        <w:t>a</w:t>
      </w:r>
      <w:r w:rsidRPr="00A11FE0">
        <w:rPr>
          <w:rFonts w:asciiTheme="majorHAnsi" w:hAnsiTheme="majorHAnsi"/>
        </w:rPr>
        <w:t>lebo „</w:t>
      </w:r>
      <w:r w:rsidR="00BD5FD5">
        <w:rPr>
          <w:rFonts w:asciiTheme="majorHAnsi" w:hAnsiTheme="majorHAnsi"/>
        </w:rPr>
        <w:t>s</w:t>
      </w:r>
      <w:r w:rsidRPr="00A11FE0">
        <w:rPr>
          <w:rFonts w:asciiTheme="majorHAnsi" w:hAnsiTheme="majorHAnsi"/>
        </w:rPr>
        <w:t>poločných úradovní“, v </w:t>
      </w:r>
      <w:r w:rsidR="00BD5FD5">
        <w:rPr>
          <w:rFonts w:asciiTheme="majorHAnsi" w:hAnsiTheme="majorHAnsi"/>
        </w:rPr>
        <w:t>k</w:t>
      </w:r>
      <w:r w:rsidRPr="00A11FE0">
        <w:rPr>
          <w:rFonts w:asciiTheme="majorHAnsi" w:hAnsiTheme="majorHAnsi"/>
        </w:rPr>
        <w:t xml:space="preserve">torých </w:t>
      </w:r>
      <w:r w:rsidR="00BD5FD5">
        <w:rPr>
          <w:rFonts w:asciiTheme="majorHAnsi" w:hAnsiTheme="majorHAnsi"/>
        </w:rPr>
        <w:t>s</w:t>
      </w:r>
      <w:r w:rsidRPr="00A11FE0">
        <w:rPr>
          <w:rFonts w:asciiTheme="majorHAnsi" w:hAnsiTheme="majorHAnsi"/>
        </w:rPr>
        <w:t xml:space="preserve">ú poskytované všetky </w:t>
      </w:r>
      <w:r w:rsidR="00BD5FD5">
        <w:rPr>
          <w:rFonts w:asciiTheme="majorHAnsi" w:hAnsiTheme="majorHAnsi"/>
        </w:rPr>
        <w:t>s</w:t>
      </w:r>
      <w:r w:rsidRPr="00A11FE0">
        <w:rPr>
          <w:rFonts w:asciiTheme="majorHAnsi" w:hAnsiTheme="majorHAnsi"/>
        </w:rPr>
        <w:t>lužby na jednom mieste pro</w:t>
      </w:r>
      <w:r w:rsidR="00603CD3">
        <w:rPr>
          <w:rFonts w:asciiTheme="majorHAnsi" w:hAnsiTheme="majorHAnsi"/>
        </w:rPr>
        <w:t>-</w:t>
      </w:r>
      <w:r w:rsidRPr="00A11FE0">
        <w:rPr>
          <w:rFonts w:asciiTheme="majorHAnsi" w:hAnsiTheme="majorHAnsi"/>
        </w:rPr>
        <w:t xml:space="preserve">klientským </w:t>
      </w:r>
      <w:r w:rsidR="00BD5FD5">
        <w:rPr>
          <w:rFonts w:asciiTheme="majorHAnsi" w:hAnsiTheme="majorHAnsi"/>
        </w:rPr>
        <w:t>s</w:t>
      </w:r>
      <w:r w:rsidRPr="00A11FE0">
        <w:rPr>
          <w:rFonts w:asciiTheme="majorHAnsi" w:hAnsiTheme="majorHAnsi"/>
        </w:rPr>
        <w:t xml:space="preserve">pôsobom na báze životných </w:t>
      </w:r>
      <w:r w:rsidR="00BD5FD5">
        <w:rPr>
          <w:rFonts w:asciiTheme="majorHAnsi" w:hAnsiTheme="majorHAnsi"/>
        </w:rPr>
        <w:t>s</w:t>
      </w:r>
      <w:r w:rsidRPr="00A11FE0">
        <w:rPr>
          <w:rFonts w:asciiTheme="majorHAnsi" w:hAnsiTheme="majorHAnsi"/>
        </w:rPr>
        <w:t xml:space="preserve">ituácií je celosvetovo implementovaným </w:t>
      </w:r>
      <w:r w:rsidR="00BD5FD5">
        <w:rPr>
          <w:rFonts w:asciiTheme="majorHAnsi" w:hAnsiTheme="majorHAnsi"/>
        </w:rPr>
        <w:t>k</w:t>
      </w:r>
      <w:r w:rsidRPr="00A11FE0">
        <w:rPr>
          <w:rFonts w:asciiTheme="majorHAnsi" w:hAnsiTheme="majorHAnsi"/>
        </w:rPr>
        <w:t xml:space="preserve">onceptom </w:t>
      </w:r>
      <w:r w:rsidR="00BD5FD5">
        <w:rPr>
          <w:rFonts w:asciiTheme="majorHAnsi" w:hAnsiTheme="majorHAnsi"/>
        </w:rPr>
        <w:t>a </w:t>
      </w:r>
      <w:r w:rsidRPr="00A11FE0">
        <w:rPr>
          <w:rFonts w:asciiTheme="majorHAnsi" w:hAnsiTheme="majorHAnsi"/>
        </w:rPr>
        <w:t xml:space="preserve">je </w:t>
      </w:r>
      <w:r w:rsidR="00BD5FD5">
        <w:rPr>
          <w:rFonts w:asciiTheme="majorHAnsi" w:hAnsiTheme="majorHAnsi"/>
        </w:rPr>
        <w:t>a</w:t>
      </w:r>
      <w:r w:rsidRPr="00A11FE0">
        <w:rPr>
          <w:rFonts w:asciiTheme="majorHAnsi" w:hAnsiTheme="majorHAnsi"/>
        </w:rPr>
        <w:t xml:space="preserve">j </w:t>
      </w:r>
      <w:r w:rsidR="00BD5FD5">
        <w:rPr>
          <w:rFonts w:asciiTheme="majorHAnsi" w:hAnsiTheme="majorHAnsi"/>
        </w:rPr>
        <w:t>s</w:t>
      </w:r>
      <w:r w:rsidRPr="00A11FE0">
        <w:rPr>
          <w:rFonts w:asciiTheme="majorHAnsi" w:hAnsiTheme="majorHAnsi"/>
        </w:rPr>
        <w:t xml:space="preserve">účasťou </w:t>
      </w:r>
      <w:r w:rsidR="00BD5FD5">
        <w:rPr>
          <w:rFonts w:asciiTheme="majorHAnsi" w:hAnsiTheme="majorHAnsi"/>
        </w:rPr>
        <w:t>s</w:t>
      </w:r>
      <w:r w:rsidRPr="00A11FE0">
        <w:rPr>
          <w:rFonts w:asciiTheme="majorHAnsi" w:hAnsiTheme="majorHAnsi"/>
        </w:rPr>
        <w:t xml:space="preserve">poločnej </w:t>
      </w:r>
      <w:r w:rsidR="00C20F3A">
        <w:rPr>
          <w:rFonts w:asciiTheme="majorHAnsi" w:hAnsiTheme="majorHAnsi"/>
        </w:rPr>
        <w:t>e</w:t>
      </w:r>
      <w:r w:rsidR="006A7C8F">
        <w:rPr>
          <w:rFonts w:asciiTheme="majorHAnsi" w:hAnsiTheme="majorHAnsi"/>
        </w:rPr>
        <w:t>ur</w:t>
      </w:r>
      <w:r w:rsidRPr="00A11FE0">
        <w:rPr>
          <w:rFonts w:asciiTheme="majorHAnsi" w:hAnsiTheme="majorHAnsi"/>
        </w:rPr>
        <w:t xml:space="preserve">ópskej </w:t>
      </w:r>
      <w:r w:rsidR="00BD5FD5">
        <w:rPr>
          <w:rFonts w:asciiTheme="majorHAnsi" w:hAnsiTheme="majorHAnsi"/>
        </w:rPr>
        <w:t>s</w:t>
      </w:r>
      <w:r w:rsidRPr="00A11FE0">
        <w:rPr>
          <w:rFonts w:asciiTheme="majorHAnsi" w:hAnsiTheme="majorHAnsi"/>
        </w:rPr>
        <w:t xml:space="preserve">tratégie. </w:t>
      </w:r>
      <w:r w:rsidR="009E2A02">
        <w:rPr>
          <w:rFonts w:asciiTheme="majorHAnsi" w:hAnsiTheme="majorHAnsi"/>
        </w:rPr>
        <w:t>P</w:t>
      </w:r>
      <w:r w:rsidRPr="00A11FE0">
        <w:rPr>
          <w:rFonts w:asciiTheme="majorHAnsi" w:hAnsiTheme="majorHAnsi"/>
        </w:rPr>
        <w:t xml:space="preserve">rincíp </w:t>
      </w:r>
      <w:r w:rsidR="00BD5FD5">
        <w:rPr>
          <w:rFonts w:asciiTheme="majorHAnsi" w:hAnsiTheme="majorHAnsi"/>
        </w:rPr>
        <w:t>s</w:t>
      </w:r>
      <w:r w:rsidRPr="00A11FE0">
        <w:rPr>
          <w:rFonts w:asciiTheme="majorHAnsi" w:hAnsiTheme="majorHAnsi"/>
        </w:rPr>
        <w:t xml:space="preserve">počíva v rozdelení procesov vo </w:t>
      </w:r>
      <w:r w:rsidR="001656EE">
        <w:rPr>
          <w:rFonts w:asciiTheme="majorHAnsi" w:hAnsiTheme="majorHAnsi"/>
        </w:rPr>
        <w:t>VS</w:t>
      </w:r>
      <w:r w:rsidRPr="00A11FE0">
        <w:rPr>
          <w:rFonts w:asciiTheme="majorHAnsi" w:hAnsiTheme="majorHAnsi"/>
        </w:rPr>
        <w:t xml:space="preserve"> na procesy </w:t>
      </w:r>
      <w:r w:rsidR="00BD5FD5">
        <w:rPr>
          <w:rFonts w:asciiTheme="majorHAnsi" w:hAnsiTheme="majorHAnsi"/>
        </w:rPr>
        <w:t>s </w:t>
      </w:r>
      <w:r w:rsidRPr="00A11FE0">
        <w:rPr>
          <w:rFonts w:asciiTheme="majorHAnsi" w:hAnsiTheme="majorHAnsi"/>
        </w:rPr>
        <w:t xml:space="preserve">priamou interakciou </w:t>
      </w:r>
      <w:r w:rsidR="00BD5FD5">
        <w:rPr>
          <w:rFonts w:asciiTheme="majorHAnsi" w:hAnsiTheme="majorHAnsi"/>
        </w:rPr>
        <w:t>s </w:t>
      </w:r>
      <w:r w:rsidRPr="00A11FE0">
        <w:rPr>
          <w:rFonts w:asciiTheme="majorHAnsi" w:hAnsiTheme="majorHAnsi"/>
        </w:rPr>
        <w:t xml:space="preserve">verejnosťou – tzv. </w:t>
      </w:r>
      <w:r w:rsidR="00183EE4">
        <w:rPr>
          <w:rFonts w:asciiTheme="majorHAnsi" w:hAnsiTheme="majorHAnsi"/>
        </w:rPr>
        <w:t>„</w:t>
      </w:r>
      <w:r w:rsidRPr="00A11FE0">
        <w:rPr>
          <w:rFonts w:asciiTheme="majorHAnsi" w:hAnsiTheme="majorHAnsi"/>
        </w:rPr>
        <w:t>front-office</w:t>
      </w:r>
      <w:r w:rsidR="00183EE4">
        <w:rPr>
          <w:rFonts w:asciiTheme="majorHAnsi" w:hAnsiTheme="majorHAnsi"/>
        </w:rPr>
        <w:t>“</w:t>
      </w:r>
      <w:r w:rsidRPr="00A11FE0">
        <w:rPr>
          <w:rFonts w:asciiTheme="majorHAnsi" w:hAnsiTheme="majorHAnsi"/>
        </w:rPr>
        <w:t xml:space="preserve"> </w:t>
      </w:r>
      <w:r w:rsidR="00BD5FD5">
        <w:rPr>
          <w:rFonts w:asciiTheme="majorHAnsi" w:hAnsiTheme="majorHAnsi"/>
        </w:rPr>
        <w:t>a </w:t>
      </w:r>
      <w:r w:rsidRPr="00A11FE0">
        <w:rPr>
          <w:rFonts w:asciiTheme="majorHAnsi" w:hAnsiTheme="majorHAnsi"/>
        </w:rPr>
        <w:t xml:space="preserve">ostatné procesy – tzv. „back-office“, ich štandardizácie </w:t>
      </w:r>
      <w:r w:rsidR="00BD5FD5">
        <w:rPr>
          <w:rFonts w:asciiTheme="majorHAnsi" w:hAnsiTheme="majorHAnsi"/>
        </w:rPr>
        <w:t>a</w:t>
      </w:r>
      <w:r w:rsidRPr="00A11FE0">
        <w:rPr>
          <w:rFonts w:asciiTheme="majorHAnsi" w:hAnsiTheme="majorHAnsi"/>
        </w:rPr>
        <w:t xml:space="preserve"> centralizácie tak, </w:t>
      </w:r>
      <w:r w:rsidR="00BD5FD5">
        <w:rPr>
          <w:rFonts w:asciiTheme="majorHAnsi" w:hAnsiTheme="majorHAnsi"/>
        </w:rPr>
        <w:t>a</w:t>
      </w:r>
      <w:r w:rsidRPr="00A11FE0">
        <w:rPr>
          <w:rFonts w:asciiTheme="majorHAnsi" w:hAnsiTheme="majorHAnsi"/>
        </w:rPr>
        <w:t xml:space="preserve">by verejnosť mala prístup </w:t>
      </w:r>
      <w:r w:rsidR="00BD5FD5">
        <w:rPr>
          <w:rFonts w:asciiTheme="majorHAnsi" w:hAnsiTheme="majorHAnsi"/>
        </w:rPr>
        <w:t>k</w:t>
      </w:r>
      <w:r w:rsidRPr="00A11FE0">
        <w:rPr>
          <w:rFonts w:asciiTheme="majorHAnsi" w:hAnsiTheme="majorHAnsi"/>
        </w:rPr>
        <w:t xml:space="preserve">u všetkým </w:t>
      </w:r>
      <w:r w:rsidR="00BD5FD5">
        <w:rPr>
          <w:rFonts w:asciiTheme="majorHAnsi" w:hAnsiTheme="majorHAnsi"/>
        </w:rPr>
        <w:t>s</w:t>
      </w:r>
      <w:r w:rsidRPr="00A11FE0">
        <w:rPr>
          <w:rFonts w:asciiTheme="majorHAnsi" w:hAnsiTheme="majorHAnsi"/>
        </w:rPr>
        <w:t xml:space="preserve">lužbám verejnej </w:t>
      </w:r>
      <w:r w:rsidR="00BD5FD5">
        <w:rPr>
          <w:rFonts w:asciiTheme="majorHAnsi" w:hAnsiTheme="majorHAnsi"/>
        </w:rPr>
        <w:t>s</w:t>
      </w:r>
      <w:r w:rsidRPr="00A11FE0">
        <w:rPr>
          <w:rFonts w:asciiTheme="majorHAnsi" w:hAnsiTheme="majorHAnsi"/>
        </w:rPr>
        <w:t xml:space="preserve">právy na jednom mieste </w:t>
      </w:r>
      <w:r w:rsidR="00BD5FD5">
        <w:rPr>
          <w:rFonts w:asciiTheme="majorHAnsi" w:hAnsiTheme="majorHAnsi"/>
        </w:rPr>
        <w:t>a </w:t>
      </w:r>
      <w:r w:rsidRPr="00A11FE0">
        <w:rPr>
          <w:rFonts w:asciiTheme="majorHAnsi" w:hAnsiTheme="majorHAnsi"/>
        </w:rPr>
        <w:t>v tom istom čase.</w:t>
      </w:r>
    </w:p>
    <w:p w:rsidR="000A264B" w:rsidRPr="00A11FE0" w:rsidRDefault="000A264B" w:rsidP="004B6F41">
      <w:pPr>
        <w:keepNext/>
        <w:keepLines/>
        <w:numPr>
          <w:ilvl w:val="4"/>
          <w:numId w:val="2"/>
        </w:numPr>
        <w:spacing w:before="200" w:after="0"/>
        <w:outlineLvl w:val="4"/>
        <w:rPr>
          <w:rFonts w:asciiTheme="majorHAnsi" w:hAnsiTheme="majorHAnsi"/>
          <w:color w:val="243F60"/>
        </w:rPr>
      </w:pPr>
      <w:r w:rsidRPr="00A11FE0">
        <w:rPr>
          <w:rFonts w:asciiTheme="majorHAnsi" w:hAnsiTheme="majorHAnsi"/>
          <w:color w:val="243F60"/>
        </w:rPr>
        <w:t>Zabezpečovanie ďalšieho vzdelávania</w:t>
      </w:r>
    </w:p>
    <w:p w:rsidR="00A678A6" w:rsidRPr="00A11FE0" w:rsidRDefault="00A678A6" w:rsidP="00A678A6">
      <w:pPr>
        <w:rPr>
          <w:rFonts w:asciiTheme="majorHAnsi" w:hAnsiTheme="majorHAnsi"/>
        </w:rPr>
      </w:pPr>
      <w:r w:rsidRPr="00A11FE0">
        <w:rPr>
          <w:rFonts w:asciiTheme="majorHAnsi" w:hAnsiTheme="majorHAnsi"/>
        </w:rPr>
        <w:t xml:space="preserve">Jednotný </w:t>
      </w:r>
      <w:r>
        <w:rPr>
          <w:rFonts w:asciiTheme="majorHAnsi" w:hAnsiTheme="majorHAnsi"/>
        </w:rPr>
        <w:t>s</w:t>
      </w:r>
      <w:r w:rsidRPr="00A11FE0">
        <w:rPr>
          <w:rFonts w:asciiTheme="majorHAnsi" w:hAnsiTheme="majorHAnsi"/>
        </w:rPr>
        <w:t xml:space="preserve">ystém celoživotného vzdelávania zamestnancov </w:t>
      </w:r>
      <w:r w:rsidR="001656EE">
        <w:rPr>
          <w:rFonts w:asciiTheme="majorHAnsi" w:hAnsiTheme="majorHAnsi"/>
        </w:rPr>
        <w:t>VS</w:t>
      </w:r>
      <w:r w:rsidR="00D872AA">
        <w:rPr>
          <w:rFonts w:asciiTheme="majorHAnsi" w:hAnsiTheme="majorHAnsi"/>
        </w:rPr>
        <w:t>,</w:t>
      </w:r>
      <w:r w:rsidR="008B6990">
        <w:rPr>
          <w:rFonts w:asciiTheme="majorHAnsi" w:hAnsiTheme="majorHAnsi"/>
        </w:rPr>
        <w:t xml:space="preserve"> vrátane justície</w:t>
      </w:r>
      <w:r w:rsidR="00D872AA">
        <w:rPr>
          <w:rFonts w:asciiTheme="majorHAnsi" w:hAnsiTheme="majorHAnsi"/>
        </w:rPr>
        <w:t>,</w:t>
      </w:r>
      <w:r w:rsidRPr="00A11FE0">
        <w:rPr>
          <w:rFonts w:asciiTheme="majorHAnsi" w:hAnsiTheme="majorHAnsi"/>
        </w:rPr>
        <w:t xml:space="preserve"> z</w:t>
      </w:r>
      <w:r>
        <w:rPr>
          <w:rFonts w:asciiTheme="majorHAnsi" w:hAnsiTheme="majorHAnsi"/>
        </w:rPr>
        <w:t> </w:t>
      </w:r>
      <w:r w:rsidRPr="00A11FE0">
        <w:rPr>
          <w:rFonts w:asciiTheme="majorHAnsi" w:hAnsiTheme="majorHAnsi"/>
        </w:rPr>
        <w:t>hľadiska štruktúry druhov vzdelávania, rámcového vymedzenia ich obsahu, účastníkov i</w:t>
      </w:r>
      <w:r>
        <w:rPr>
          <w:rFonts w:asciiTheme="majorHAnsi" w:hAnsiTheme="majorHAnsi"/>
        </w:rPr>
        <w:t> </w:t>
      </w:r>
      <w:r w:rsidRPr="00A11FE0">
        <w:rPr>
          <w:rFonts w:asciiTheme="majorHAnsi" w:hAnsiTheme="majorHAnsi"/>
        </w:rPr>
        <w:t xml:space="preserve">metód </w:t>
      </w:r>
      <w:r>
        <w:rPr>
          <w:rFonts w:asciiTheme="majorHAnsi" w:hAnsiTheme="majorHAnsi"/>
        </w:rPr>
        <w:t>a </w:t>
      </w:r>
      <w:r w:rsidRPr="00A11FE0">
        <w:rPr>
          <w:rFonts w:asciiTheme="majorHAnsi" w:hAnsiTheme="majorHAnsi"/>
        </w:rPr>
        <w:t xml:space="preserve">foriem vzdelávania je predpokladom rastu odbornej </w:t>
      </w:r>
      <w:r>
        <w:rPr>
          <w:rFonts w:asciiTheme="majorHAnsi" w:hAnsiTheme="majorHAnsi"/>
        </w:rPr>
        <w:t>a</w:t>
      </w:r>
      <w:r w:rsidRPr="00A11FE0">
        <w:rPr>
          <w:rFonts w:asciiTheme="majorHAnsi" w:hAnsiTheme="majorHAnsi"/>
        </w:rPr>
        <w:t> </w:t>
      </w:r>
      <w:r>
        <w:rPr>
          <w:rFonts w:asciiTheme="majorHAnsi" w:hAnsiTheme="majorHAnsi"/>
        </w:rPr>
        <w:t>k</w:t>
      </w:r>
      <w:r w:rsidRPr="00A11FE0">
        <w:rPr>
          <w:rFonts w:asciiTheme="majorHAnsi" w:hAnsiTheme="majorHAnsi"/>
        </w:rPr>
        <w:t xml:space="preserve">valifikačnej úrovne zamestnancov, štandardizácie </w:t>
      </w:r>
      <w:r>
        <w:rPr>
          <w:rFonts w:asciiTheme="majorHAnsi" w:hAnsiTheme="majorHAnsi"/>
        </w:rPr>
        <w:t>a </w:t>
      </w:r>
      <w:r w:rsidRPr="00A11FE0">
        <w:rPr>
          <w:rFonts w:asciiTheme="majorHAnsi" w:hAnsiTheme="majorHAnsi"/>
        </w:rPr>
        <w:t xml:space="preserve">zvyšovania </w:t>
      </w:r>
      <w:r>
        <w:rPr>
          <w:rFonts w:asciiTheme="majorHAnsi" w:hAnsiTheme="majorHAnsi"/>
        </w:rPr>
        <w:t>k</w:t>
      </w:r>
      <w:r w:rsidRPr="00A11FE0">
        <w:rPr>
          <w:rFonts w:asciiTheme="majorHAnsi" w:hAnsiTheme="majorHAnsi"/>
        </w:rPr>
        <w:t xml:space="preserve">vality </w:t>
      </w:r>
      <w:r>
        <w:rPr>
          <w:rFonts w:asciiTheme="majorHAnsi" w:hAnsiTheme="majorHAnsi"/>
        </w:rPr>
        <w:t>s</w:t>
      </w:r>
      <w:r w:rsidRPr="00A11FE0">
        <w:rPr>
          <w:rFonts w:asciiTheme="majorHAnsi" w:hAnsiTheme="majorHAnsi"/>
        </w:rPr>
        <w:t xml:space="preserve">lužieb </w:t>
      </w:r>
      <w:r w:rsidR="001656EE">
        <w:rPr>
          <w:rFonts w:asciiTheme="majorHAnsi" w:hAnsiTheme="majorHAnsi"/>
        </w:rPr>
        <w:t>VS</w:t>
      </w:r>
      <w:r w:rsidRPr="00A11FE0">
        <w:rPr>
          <w:rFonts w:asciiTheme="majorHAnsi" w:hAnsiTheme="majorHAnsi"/>
        </w:rPr>
        <w:t>. V </w:t>
      </w:r>
      <w:r>
        <w:rPr>
          <w:rFonts w:asciiTheme="majorHAnsi" w:hAnsiTheme="majorHAnsi"/>
        </w:rPr>
        <w:t>s</w:t>
      </w:r>
      <w:r w:rsidRPr="00A11FE0">
        <w:rPr>
          <w:rFonts w:asciiTheme="majorHAnsi" w:hAnsiTheme="majorHAnsi"/>
        </w:rPr>
        <w:t xml:space="preserve">účasnosti tento </w:t>
      </w:r>
      <w:r>
        <w:rPr>
          <w:rFonts w:asciiTheme="majorHAnsi" w:hAnsiTheme="majorHAnsi"/>
        </w:rPr>
        <w:t>s</w:t>
      </w:r>
      <w:r w:rsidRPr="00A11FE0">
        <w:rPr>
          <w:rFonts w:asciiTheme="majorHAnsi" w:hAnsiTheme="majorHAnsi"/>
        </w:rPr>
        <w:t xml:space="preserve">ystém vo </w:t>
      </w:r>
      <w:r w:rsidR="001656EE">
        <w:rPr>
          <w:rFonts w:asciiTheme="majorHAnsi" w:hAnsiTheme="majorHAnsi"/>
        </w:rPr>
        <w:t>VS</w:t>
      </w:r>
      <w:r w:rsidRPr="00A11FE0">
        <w:rPr>
          <w:rFonts w:asciiTheme="majorHAnsi" w:hAnsiTheme="majorHAnsi"/>
        </w:rPr>
        <w:t xml:space="preserve"> </w:t>
      </w:r>
      <w:r>
        <w:rPr>
          <w:rFonts w:asciiTheme="majorHAnsi" w:hAnsiTheme="majorHAnsi"/>
        </w:rPr>
        <w:t>a</w:t>
      </w:r>
      <w:r w:rsidRPr="00A11FE0">
        <w:rPr>
          <w:rFonts w:asciiTheme="majorHAnsi" w:hAnsiTheme="majorHAnsi"/>
        </w:rPr>
        <w:t>bsentuje.</w:t>
      </w:r>
    </w:p>
    <w:p w:rsidR="00A678A6" w:rsidRDefault="00A678A6" w:rsidP="00A678A6">
      <w:pPr>
        <w:rPr>
          <w:rFonts w:asciiTheme="majorHAnsi" w:hAnsiTheme="majorHAnsi"/>
        </w:rPr>
      </w:pPr>
      <w:r w:rsidRPr="00A11FE0">
        <w:rPr>
          <w:rFonts w:asciiTheme="majorHAnsi" w:hAnsiTheme="majorHAnsi"/>
        </w:rPr>
        <w:t xml:space="preserve">Pri zabezpečovaní ďalšieho </w:t>
      </w:r>
      <w:r w:rsidR="00E26459" w:rsidRPr="00A11FE0">
        <w:rPr>
          <w:rFonts w:asciiTheme="majorHAnsi" w:hAnsiTheme="majorHAnsi"/>
        </w:rPr>
        <w:t>vzdelávani</w:t>
      </w:r>
      <w:r w:rsidR="00E26459">
        <w:rPr>
          <w:rFonts w:asciiTheme="majorHAnsi" w:hAnsiTheme="majorHAnsi"/>
        </w:rPr>
        <w:t>a</w:t>
      </w:r>
      <w:r w:rsidR="00E26459" w:rsidRPr="00A11FE0">
        <w:rPr>
          <w:rFonts w:asciiTheme="majorHAnsi" w:hAnsiTheme="majorHAnsi"/>
        </w:rPr>
        <w:t xml:space="preserve"> </w:t>
      </w:r>
      <w:r w:rsidRPr="00A11FE0">
        <w:rPr>
          <w:rFonts w:asciiTheme="majorHAnsi" w:hAnsiTheme="majorHAnsi"/>
        </w:rPr>
        <w:t xml:space="preserve">zamestnancov miestnych orgánov štátnej </w:t>
      </w:r>
      <w:r>
        <w:rPr>
          <w:rFonts w:asciiTheme="majorHAnsi" w:hAnsiTheme="majorHAnsi"/>
        </w:rPr>
        <w:t>s</w:t>
      </w:r>
      <w:r w:rsidRPr="00A11FE0">
        <w:rPr>
          <w:rFonts w:asciiTheme="majorHAnsi" w:hAnsiTheme="majorHAnsi"/>
        </w:rPr>
        <w:t xml:space="preserve">právy je zjavná ich rôznorodá úroveň </w:t>
      </w:r>
      <w:r>
        <w:rPr>
          <w:rFonts w:asciiTheme="majorHAnsi" w:hAnsiTheme="majorHAnsi"/>
        </w:rPr>
        <w:t>a</w:t>
      </w:r>
      <w:r w:rsidRPr="00A11FE0">
        <w:rPr>
          <w:rFonts w:asciiTheme="majorHAnsi" w:hAnsiTheme="majorHAnsi"/>
        </w:rPr>
        <w:t xml:space="preserve"> disproporcia vo výške použitých finančných prostriedkov. Ústredné orgány </w:t>
      </w:r>
      <w:r w:rsidRPr="00A11FE0">
        <w:rPr>
          <w:rFonts w:asciiTheme="majorHAnsi" w:hAnsiTheme="majorHAnsi"/>
        </w:rPr>
        <w:lastRenderedPageBreak/>
        <w:t xml:space="preserve">štátnej </w:t>
      </w:r>
      <w:r>
        <w:rPr>
          <w:rFonts w:asciiTheme="majorHAnsi" w:hAnsiTheme="majorHAnsi"/>
        </w:rPr>
        <w:t>s</w:t>
      </w:r>
      <w:r w:rsidRPr="00A11FE0">
        <w:rPr>
          <w:rFonts w:asciiTheme="majorHAnsi" w:hAnsiTheme="majorHAnsi"/>
        </w:rPr>
        <w:t xml:space="preserve">právy na ďalšie vzdelávanie predmetných zamestnancov využívali predovšetkým vzdelávacie inštitúcie vo </w:t>
      </w:r>
      <w:r>
        <w:rPr>
          <w:rFonts w:asciiTheme="majorHAnsi" w:hAnsiTheme="majorHAnsi"/>
        </w:rPr>
        <w:t>s</w:t>
      </w:r>
      <w:r w:rsidRPr="00A11FE0">
        <w:rPr>
          <w:rFonts w:asciiTheme="majorHAnsi" w:hAnsiTheme="majorHAnsi"/>
        </w:rPr>
        <w:t>vojej zriaďovateľskej pôsobnosti, prípadne vzdelávacie inštitúcie v</w:t>
      </w:r>
      <w:r>
        <w:rPr>
          <w:rFonts w:asciiTheme="majorHAnsi" w:hAnsiTheme="majorHAnsi"/>
        </w:rPr>
        <w:t> </w:t>
      </w:r>
      <w:r w:rsidRPr="00A11FE0">
        <w:rPr>
          <w:rFonts w:asciiTheme="majorHAnsi" w:hAnsiTheme="majorHAnsi"/>
        </w:rPr>
        <w:t>pôsobnosti</w:t>
      </w:r>
      <w:r>
        <w:rPr>
          <w:rFonts w:asciiTheme="majorHAnsi" w:hAnsiTheme="majorHAnsi"/>
        </w:rPr>
        <w:t xml:space="preserve"> </w:t>
      </w:r>
      <w:r w:rsidRPr="00A11FE0">
        <w:rPr>
          <w:rFonts w:asciiTheme="majorHAnsi" w:hAnsiTheme="majorHAnsi"/>
        </w:rPr>
        <w:t xml:space="preserve">iných ústredných orgánov štátnej </w:t>
      </w:r>
      <w:r>
        <w:rPr>
          <w:rFonts w:asciiTheme="majorHAnsi" w:hAnsiTheme="majorHAnsi"/>
        </w:rPr>
        <w:t>s</w:t>
      </w:r>
      <w:r w:rsidRPr="00A11FE0">
        <w:rPr>
          <w:rFonts w:asciiTheme="majorHAnsi" w:hAnsiTheme="majorHAnsi"/>
        </w:rPr>
        <w:t xml:space="preserve">právy na zmluvnom základe, </w:t>
      </w:r>
      <w:r>
        <w:rPr>
          <w:rFonts w:asciiTheme="majorHAnsi" w:hAnsiTheme="majorHAnsi"/>
        </w:rPr>
        <w:t>a</w:t>
      </w:r>
      <w:r w:rsidRPr="00A11FE0">
        <w:rPr>
          <w:rFonts w:asciiTheme="majorHAnsi" w:hAnsiTheme="majorHAnsi"/>
        </w:rPr>
        <w:t xml:space="preserve">le </w:t>
      </w:r>
      <w:r>
        <w:rPr>
          <w:rFonts w:asciiTheme="majorHAnsi" w:hAnsiTheme="majorHAnsi"/>
        </w:rPr>
        <w:t>a</w:t>
      </w:r>
      <w:r w:rsidRPr="00A11FE0">
        <w:rPr>
          <w:rFonts w:asciiTheme="majorHAnsi" w:hAnsiTheme="majorHAnsi"/>
        </w:rPr>
        <w:t xml:space="preserve">j ponuky iných </w:t>
      </w:r>
      <w:r>
        <w:rPr>
          <w:rFonts w:asciiTheme="majorHAnsi" w:hAnsiTheme="majorHAnsi"/>
        </w:rPr>
        <w:t>sú</w:t>
      </w:r>
      <w:r w:rsidRPr="00A11FE0">
        <w:rPr>
          <w:rFonts w:asciiTheme="majorHAnsi" w:hAnsiTheme="majorHAnsi"/>
        </w:rPr>
        <w:t xml:space="preserve">kromných vzdelávacích inštitúcií </w:t>
      </w:r>
      <w:r>
        <w:rPr>
          <w:rFonts w:asciiTheme="majorHAnsi" w:hAnsiTheme="majorHAnsi"/>
        </w:rPr>
        <w:t>a a</w:t>
      </w:r>
      <w:r w:rsidRPr="00A11FE0">
        <w:rPr>
          <w:rFonts w:asciiTheme="majorHAnsi" w:hAnsiTheme="majorHAnsi"/>
        </w:rPr>
        <w:t>gentúr.</w:t>
      </w:r>
    </w:p>
    <w:p w:rsidR="00A678A6" w:rsidRPr="00E3425F" w:rsidRDefault="00A678A6" w:rsidP="00A678A6">
      <w:pPr>
        <w:rPr>
          <w:rFonts w:asciiTheme="majorHAnsi" w:hAnsiTheme="majorHAnsi"/>
        </w:rPr>
      </w:pPr>
      <w:r w:rsidRPr="00E3425F">
        <w:rPr>
          <w:rFonts w:asciiTheme="majorHAnsi" w:hAnsiTheme="majorHAnsi"/>
        </w:rPr>
        <w:t xml:space="preserve">Pre prípravu kvalitných riešení sú rovnako potrebné aj odborné kapacity </w:t>
      </w:r>
      <w:r w:rsidR="001656EE">
        <w:rPr>
          <w:rFonts w:asciiTheme="majorHAnsi" w:hAnsiTheme="majorHAnsi"/>
        </w:rPr>
        <w:t>VS</w:t>
      </w:r>
      <w:r w:rsidRPr="00E3425F">
        <w:rPr>
          <w:rFonts w:asciiTheme="majorHAnsi" w:hAnsiTheme="majorHAnsi"/>
        </w:rPr>
        <w:t xml:space="preserve">, ktoré tieto riešenia pripravujú (napr. z 13 ministerstiev má analytické jednotky </w:t>
      </w:r>
      <w:r w:rsidR="004C527A">
        <w:rPr>
          <w:rFonts w:asciiTheme="majorHAnsi" w:hAnsiTheme="majorHAnsi"/>
        </w:rPr>
        <w:t>8</w:t>
      </w:r>
      <w:r w:rsidR="004C527A" w:rsidRPr="00E3425F">
        <w:rPr>
          <w:rFonts w:asciiTheme="majorHAnsi" w:hAnsiTheme="majorHAnsi"/>
        </w:rPr>
        <w:t xml:space="preserve"> </w:t>
      </w:r>
      <w:r w:rsidRPr="00E3425F">
        <w:rPr>
          <w:rFonts w:asciiTheme="majorHAnsi" w:hAnsiTheme="majorHAnsi"/>
        </w:rPr>
        <w:t xml:space="preserve">ministerstiev). Doterajšie skúsenosti ukazujú, že jednotlivé ministerstvá zodpovedné za realizáciu štrukturálnych politík nemusia vždy disponovať dostatočným odborným potenciálom vo všetkých oblastiach. Často absentuje koncepčné myslenie a predkladané opatrenia nie sú vždy dostatočne analyticky rozpracované, čo znižuje kvalitu predkladaných riešení, čo môže mať aj za následok </w:t>
      </w:r>
      <w:r w:rsidR="00E26459" w:rsidRPr="00E3425F">
        <w:rPr>
          <w:rFonts w:asciiTheme="majorHAnsi" w:hAnsiTheme="majorHAnsi"/>
        </w:rPr>
        <w:t>vytvoreni</w:t>
      </w:r>
      <w:r w:rsidR="00E26459">
        <w:rPr>
          <w:rFonts w:asciiTheme="majorHAnsi" w:hAnsiTheme="majorHAnsi"/>
        </w:rPr>
        <w:t>e</w:t>
      </w:r>
      <w:r w:rsidR="00E26459" w:rsidRPr="00E3425F">
        <w:rPr>
          <w:rFonts w:asciiTheme="majorHAnsi" w:hAnsiTheme="majorHAnsi"/>
        </w:rPr>
        <w:t xml:space="preserve"> </w:t>
      </w:r>
      <w:r w:rsidRPr="00E3425F">
        <w:rPr>
          <w:rFonts w:asciiTheme="majorHAnsi" w:hAnsiTheme="majorHAnsi"/>
        </w:rPr>
        <w:t>potenciálneho priestoru pre nesprávne a lobisticky ovplyvnené rozhodnutia. Pre úspešnú implementáciu zmien v oblastiach organizovania, riadenia, implementácie systémov riadenia, merania výkonnosti, tvorby politík a stratégií, hodnotenie dopadov, postupov programovania rozpočtov, monitorovania a</w:t>
      </w:r>
      <w:r w:rsidR="001656EE">
        <w:rPr>
          <w:rFonts w:asciiTheme="majorHAnsi" w:hAnsiTheme="majorHAnsi"/>
        </w:rPr>
        <w:t> </w:t>
      </w:r>
      <w:r w:rsidRPr="00E3425F">
        <w:rPr>
          <w:rFonts w:asciiTheme="majorHAnsi" w:hAnsiTheme="majorHAnsi"/>
        </w:rPr>
        <w:t>hodnotenia je potrebná odborná príprava pracovníkov v týchto oblastiach. Zároveň je potrebné ďalšie vzdelávanie pracovníkov v špecializovaných oblastiach potrebných pre kvalitné poskytovanie služieb občanom.</w:t>
      </w:r>
    </w:p>
    <w:p w:rsidR="00A678A6" w:rsidRPr="00E3425F" w:rsidRDefault="00A678A6" w:rsidP="00A678A6">
      <w:pPr>
        <w:rPr>
          <w:rFonts w:asciiTheme="majorHAnsi" w:hAnsiTheme="majorHAnsi"/>
        </w:rPr>
      </w:pPr>
      <w:r w:rsidRPr="00E3425F">
        <w:rPr>
          <w:rFonts w:asciiTheme="majorHAnsi" w:hAnsiTheme="majorHAnsi"/>
        </w:rPr>
        <w:t>Na zlepšovanie podnikateľského prostredia a celkové zvýšenie efektívnosti služieb má vplyv transparentné a nekorupčné prostredie, ktoré podporuje hospodársky rast, prispieva k transparentnosti a rovnosti príležitostí v ekonomike a v konečnom dôsledku podporuje kvalitu života občanov. V súčasnosti v SR nie je nastavený systém legislatívnej a inštitucionálnej ochrany oznamovateľov korupčného správania. Efektívny boj s korupciou znamená zvýšenie transparentnosti a zúženie priestoru pre nekalé aktivity pri nakladaní s majetkom štátu, verejnej správy a pri verejnom obstarávaní. Kritickými oblasťami sú nestabilné právne prostredie, prieťahy v súdnom konaní, kvalita súdneho personálu, kvalita súdnych rozhodnutí, meranie výkonnosti sudcov a súdov a zvýšenie podielu ukladania alternatívnych</w:t>
      </w:r>
      <w:r w:rsidR="00A3381F">
        <w:rPr>
          <w:rFonts w:asciiTheme="majorHAnsi" w:hAnsiTheme="majorHAnsi"/>
        </w:rPr>
        <w:t xml:space="preserve"> spôsobov riešenia sporov</w:t>
      </w:r>
      <w:r w:rsidRPr="00E3425F">
        <w:rPr>
          <w:rFonts w:asciiTheme="majorHAnsi" w:hAnsiTheme="majorHAnsi"/>
        </w:rPr>
        <w:t>.</w:t>
      </w:r>
    </w:p>
    <w:p w:rsidR="00A678A6" w:rsidRPr="003F0750" w:rsidRDefault="00A678A6" w:rsidP="004B6F41">
      <w:pPr>
        <w:keepNext/>
        <w:keepLines/>
        <w:numPr>
          <w:ilvl w:val="4"/>
          <w:numId w:val="2"/>
        </w:numPr>
        <w:spacing w:before="200" w:after="0"/>
        <w:outlineLvl w:val="4"/>
        <w:rPr>
          <w:color w:val="243F60"/>
        </w:rPr>
      </w:pPr>
      <w:r w:rsidRPr="003F0750">
        <w:rPr>
          <w:rFonts w:asciiTheme="majorHAnsi" w:hAnsiTheme="majorHAnsi"/>
          <w:color w:val="243F60"/>
        </w:rPr>
        <w:t>Územná koncentrácia</w:t>
      </w:r>
    </w:p>
    <w:p w:rsidR="00A678A6" w:rsidRPr="00A11FE0" w:rsidRDefault="00A678A6" w:rsidP="00A678A6">
      <w:pPr>
        <w:rPr>
          <w:rFonts w:asciiTheme="majorHAnsi" w:hAnsiTheme="majorHAnsi"/>
        </w:rPr>
      </w:pPr>
      <w:r w:rsidRPr="00A11FE0">
        <w:rPr>
          <w:rFonts w:asciiTheme="majorHAnsi" w:hAnsiTheme="majorHAnsi"/>
        </w:rPr>
        <w:t xml:space="preserve">Nakoľko ide o problematiku </w:t>
      </w:r>
      <w:r>
        <w:rPr>
          <w:rFonts w:asciiTheme="majorHAnsi" w:hAnsiTheme="majorHAnsi"/>
        </w:rPr>
        <w:t>reformy</w:t>
      </w:r>
      <w:r w:rsidRPr="00A11FE0">
        <w:rPr>
          <w:rFonts w:asciiTheme="majorHAnsi" w:hAnsiTheme="majorHAnsi"/>
        </w:rPr>
        <w:t xml:space="preserve"> </w:t>
      </w:r>
      <w:r w:rsidR="001656EE">
        <w:rPr>
          <w:rFonts w:asciiTheme="majorHAnsi" w:hAnsiTheme="majorHAnsi"/>
        </w:rPr>
        <w:t>VS</w:t>
      </w:r>
      <w:r w:rsidRPr="00A11FE0">
        <w:rPr>
          <w:rFonts w:asciiTheme="majorHAnsi" w:hAnsiTheme="majorHAnsi"/>
        </w:rPr>
        <w:t xml:space="preserve"> na všetkých úrovniach, územne ju možno charakterizovať </w:t>
      </w:r>
      <w:r>
        <w:rPr>
          <w:rFonts w:asciiTheme="majorHAnsi" w:hAnsiTheme="majorHAnsi"/>
        </w:rPr>
        <w:t>ak</w:t>
      </w:r>
      <w:r w:rsidRPr="00A11FE0">
        <w:rPr>
          <w:rFonts w:asciiTheme="majorHAnsi" w:hAnsiTheme="majorHAnsi"/>
        </w:rPr>
        <w:t xml:space="preserve">o celoplošnú. </w:t>
      </w:r>
      <w:r>
        <w:rPr>
          <w:rFonts w:asciiTheme="majorHAnsi" w:hAnsiTheme="majorHAnsi" w:cs="Calibri"/>
          <w:szCs w:val="22"/>
        </w:rPr>
        <w:t>K</w:t>
      </w:r>
      <w:r w:rsidRPr="00A11FE0">
        <w:rPr>
          <w:rFonts w:asciiTheme="majorHAnsi" w:hAnsiTheme="majorHAnsi" w:cs="Calibri"/>
          <w:szCs w:val="22"/>
        </w:rPr>
        <w:t>ľúčové opatrenia ESF zamerané na i</w:t>
      </w:r>
      <w:r w:rsidRPr="00A11FE0">
        <w:rPr>
          <w:rFonts w:asciiTheme="majorHAnsi" w:hAnsiTheme="majorHAnsi"/>
          <w:noProof/>
          <w:szCs w:val="22"/>
        </w:rPr>
        <w:t xml:space="preserve">nvestície do inštitucionálnych </w:t>
      </w:r>
      <w:r>
        <w:rPr>
          <w:rFonts w:asciiTheme="majorHAnsi" w:hAnsiTheme="majorHAnsi"/>
          <w:noProof/>
          <w:szCs w:val="22"/>
        </w:rPr>
        <w:t>k</w:t>
      </w:r>
      <w:r w:rsidRPr="00A11FE0">
        <w:rPr>
          <w:rFonts w:asciiTheme="majorHAnsi" w:hAnsiTheme="majorHAnsi"/>
          <w:noProof/>
          <w:szCs w:val="22"/>
        </w:rPr>
        <w:t xml:space="preserve">apacít </w:t>
      </w:r>
      <w:r>
        <w:rPr>
          <w:rFonts w:asciiTheme="majorHAnsi" w:hAnsiTheme="majorHAnsi"/>
          <w:noProof/>
          <w:szCs w:val="22"/>
        </w:rPr>
        <w:t>a </w:t>
      </w:r>
      <w:r w:rsidRPr="00A11FE0">
        <w:rPr>
          <w:rFonts w:asciiTheme="majorHAnsi" w:hAnsiTheme="majorHAnsi"/>
          <w:noProof/>
          <w:szCs w:val="22"/>
        </w:rPr>
        <w:t xml:space="preserve">do efektívnosti </w:t>
      </w:r>
      <w:r w:rsidR="001656EE">
        <w:rPr>
          <w:rFonts w:asciiTheme="majorHAnsi" w:hAnsiTheme="majorHAnsi"/>
          <w:noProof/>
          <w:szCs w:val="22"/>
        </w:rPr>
        <w:t>VS</w:t>
      </w:r>
      <w:r w:rsidRPr="00A11FE0">
        <w:rPr>
          <w:rFonts w:asciiTheme="majorHAnsi" w:hAnsiTheme="majorHAnsi"/>
          <w:noProof/>
          <w:szCs w:val="22"/>
        </w:rPr>
        <w:t xml:space="preserve"> </w:t>
      </w:r>
      <w:r>
        <w:rPr>
          <w:rFonts w:asciiTheme="majorHAnsi" w:hAnsiTheme="majorHAnsi"/>
          <w:noProof/>
          <w:szCs w:val="22"/>
        </w:rPr>
        <w:t>a </w:t>
      </w:r>
      <w:r w:rsidRPr="00A11FE0">
        <w:rPr>
          <w:rFonts w:asciiTheme="majorHAnsi" w:hAnsiTheme="majorHAnsi"/>
          <w:noProof/>
          <w:szCs w:val="22"/>
        </w:rPr>
        <w:t xml:space="preserve">verejných </w:t>
      </w:r>
      <w:r>
        <w:rPr>
          <w:rFonts w:asciiTheme="majorHAnsi" w:hAnsiTheme="majorHAnsi"/>
          <w:noProof/>
          <w:szCs w:val="22"/>
        </w:rPr>
        <w:t>s</w:t>
      </w:r>
      <w:r w:rsidRPr="00A11FE0">
        <w:rPr>
          <w:rFonts w:asciiTheme="majorHAnsi" w:hAnsiTheme="majorHAnsi"/>
          <w:noProof/>
          <w:szCs w:val="22"/>
        </w:rPr>
        <w:t xml:space="preserve">lužieb </w:t>
      </w:r>
      <w:r>
        <w:rPr>
          <w:rFonts w:asciiTheme="majorHAnsi" w:hAnsiTheme="majorHAnsi"/>
          <w:noProof/>
          <w:szCs w:val="22"/>
        </w:rPr>
        <w:t>s</w:t>
      </w:r>
      <w:r w:rsidRPr="00A11FE0">
        <w:rPr>
          <w:rFonts w:asciiTheme="majorHAnsi" w:hAnsiTheme="majorHAnsi"/>
          <w:noProof/>
          <w:szCs w:val="22"/>
        </w:rPr>
        <w:t xml:space="preserve">o zreteľom na reformy, lepšiu reguláciu </w:t>
      </w:r>
      <w:r>
        <w:rPr>
          <w:rFonts w:asciiTheme="majorHAnsi" w:hAnsiTheme="majorHAnsi"/>
          <w:noProof/>
          <w:szCs w:val="22"/>
        </w:rPr>
        <w:t>a </w:t>
      </w:r>
      <w:r w:rsidRPr="00A11FE0">
        <w:rPr>
          <w:rFonts w:asciiTheme="majorHAnsi" w:hAnsiTheme="majorHAnsi"/>
          <w:noProof/>
          <w:szCs w:val="22"/>
        </w:rPr>
        <w:t xml:space="preserve">dobrú </w:t>
      </w:r>
      <w:r>
        <w:rPr>
          <w:rFonts w:asciiTheme="majorHAnsi" w:hAnsiTheme="majorHAnsi"/>
          <w:noProof/>
          <w:szCs w:val="22"/>
        </w:rPr>
        <w:t>s</w:t>
      </w:r>
      <w:r w:rsidRPr="00A11FE0">
        <w:rPr>
          <w:rFonts w:asciiTheme="majorHAnsi" w:hAnsiTheme="majorHAnsi"/>
          <w:noProof/>
          <w:szCs w:val="22"/>
        </w:rPr>
        <w:t xml:space="preserve">právu vecí verejných </w:t>
      </w:r>
      <w:r>
        <w:rPr>
          <w:rFonts w:asciiTheme="majorHAnsi" w:hAnsiTheme="majorHAnsi"/>
          <w:noProof/>
          <w:szCs w:val="22"/>
        </w:rPr>
        <w:t>a </w:t>
      </w:r>
      <w:r>
        <w:rPr>
          <w:rFonts w:asciiTheme="majorHAnsi" w:hAnsiTheme="majorHAnsi" w:cs="Calibri"/>
          <w:szCs w:val="22"/>
        </w:rPr>
        <w:t>k</w:t>
      </w:r>
      <w:r w:rsidRPr="00A11FE0">
        <w:rPr>
          <w:rFonts w:asciiTheme="majorHAnsi" w:hAnsiTheme="majorHAnsi" w:cs="Calibri"/>
          <w:szCs w:val="22"/>
        </w:rPr>
        <w:t>ľúčové opatrenia ESF zamerané na b</w:t>
      </w:r>
      <w:r w:rsidRPr="00A11FE0">
        <w:rPr>
          <w:rFonts w:asciiTheme="majorHAnsi" w:hAnsiTheme="majorHAnsi"/>
          <w:noProof/>
          <w:szCs w:val="22"/>
        </w:rPr>
        <w:t xml:space="preserve">udovanie </w:t>
      </w:r>
      <w:r>
        <w:rPr>
          <w:rFonts w:asciiTheme="majorHAnsi" w:hAnsiTheme="majorHAnsi"/>
          <w:noProof/>
          <w:szCs w:val="22"/>
        </w:rPr>
        <w:t>k</w:t>
      </w:r>
      <w:r w:rsidRPr="00A11FE0">
        <w:rPr>
          <w:rFonts w:asciiTheme="majorHAnsi" w:hAnsiTheme="majorHAnsi"/>
          <w:noProof/>
          <w:szCs w:val="22"/>
        </w:rPr>
        <w:t xml:space="preserve">apacít zainteresovaných </w:t>
      </w:r>
      <w:r>
        <w:rPr>
          <w:rFonts w:asciiTheme="majorHAnsi" w:hAnsiTheme="majorHAnsi"/>
          <w:noProof/>
          <w:szCs w:val="22"/>
        </w:rPr>
        <w:t>s</w:t>
      </w:r>
      <w:r w:rsidRPr="00A11FE0">
        <w:rPr>
          <w:rFonts w:asciiTheme="majorHAnsi" w:hAnsiTheme="majorHAnsi"/>
          <w:noProof/>
          <w:szCs w:val="22"/>
        </w:rPr>
        <w:t xml:space="preserve">trán, </w:t>
      </w:r>
      <w:r>
        <w:rPr>
          <w:rFonts w:asciiTheme="majorHAnsi" w:hAnsiTheme="majorHAnsi"/>
          <w:noProof/>
          <w:szCs w:val="22"/>
        </w:rPr>
        <w:t>k</w:t>
      </w:r>
      <w:r w:rsidRPr="00A11FE0">
        <w:rPr>
          <w:rFonts w:asciiTheme="majorHAnsi" w:hAnsiTheme="majorHAnsi"/>
          <w:noProof/>
          <w:szCs w:val="22"/>
        </w:rPr>
        <w:t xml:space="preserve">toré pôsobia v oblasti politiky zamestnanosti, vzdelávania, zdravotnej </w:t>
      </w:r>
      <w:r>
        <w:rPr>
          <w:rFonts w:asciiTheme="majorHAnsi" w:hAnsiTheme="majorHAnsi"/>
          <w:noProof/>
          <w:szCs w:val="22"/>
        </w:rPr>
        <w:t>s</w:t>
      </w:r>
      <w:r w:rsidRPr="00A11FE0">
        <w:rPr>
          <w:rFonts w:asciiTheme="majorHAnsi" w:hAnsiTheme="majorHAnsi"/>
          <w:noProof/>
          <w:szCs w:val="22"/>
        </w:rPr>
        <w:t xml:space="preserve">tarostlivosti </w:t>
      </w:r>
      <w:r>
        <w:rPr>
          <w:rFonts w:asciiTheme="majorHAnsi" w:hAnsiTheme="majorHAnsi"/>
          <w:noProof/>
          <w:szCs w:val="22"/>
        </w:rPr>
        <w:t>a s</w:t>
      </w:r>
      <w:r w:rsidRPr="00A11FE0">
        <w:rPr>
          <w:rFonts w:asciiTheme="majorHAnsi" w:hAnsiTheme="majorHAnsi"/>
          <w:noProof/>
          <w:szCs w:val="22"/>
        </w:rPr>
        <w:t xml:space="preserve">ociálnej politiky, </w:t>
      </w:r>
      <w:r>
        <w:rPr>
          <w:rFonts w:asciiTheme="majorHAnsi" w:hAnsiTheme="majorHAnsi"/>
          <w:noProof/>
          <w:szCs w:val="22"/>
        </w:rPr>
        <w:t>ak</w:t>
      </w:r>
      <w:r w:rsidRPr="00A11FE0">
        <w:rPr>
          <w:rFonts w:asciiTheme="majorHAnsi" w:hAnsiTheme="majorHAnsi"/>
          <w:noProof/>
          <w:szCs w:val="22"/>
        </w:rPr>
        <w:t xml:space="preserve">o </w:t>
      </w:r>
      <w:r>
        <w:rPr>
          <w:rFonts w:asciiTheme="majorHAnsi" w:hAnsiTheme="majorHAnsi"/>
          <w:noProof/>
          <w:szCs w:val="22"/>
        </w:rPr>
        <w:t>a</w:t>
      </w:r>
      <w:r w:rsidRPr="00A11FE0">
        <w:rPr>
          <w:rFonts w:asciiTheme="majorHAnsi" w:hAnsiTheme="majorHAnsi"/>
          <w:noProof/>
          <w:szCs w:val="22"/>
        </w:rPr>
        <w:t xml:space="preserve">j odvetvových </w:t>
      </w:r>
      <w:r>
        <w:rPr>
          <w:rFonts w:asciiTheme="majorHAnsi" w:hAnsiTheme="majorHAnsi"/>
          <w:noProof/>
          <w:szCs w:val="22"/>
        </w:rPr>
        <w:t>a </w:t>
      </w:r>
      <w:r w:rsidRPr="00A11FE0">
        <w:rPr>
          <w:rFonts w:asciiTheme="majorHAnsi" w:hAnsiTheme="majorHAnsi"/>
          <w:noProof/>
          <w:szCs w:val="22"/>
        </w:rPr>
        <w:t xml:space="preserve">územných zväzkov na účely podnietenia reforiem na vnútroštátnej, regionálnej </w:t>
      </w:r>
      <w:r>
        <w:rPr>
          <w:rFonts w:asciiTheme="majorHAnsi" w:hAnsiTheme="majorHAnsi"/>
          <w:noProof/>
          <w:szCs w:val="22"/>
        </w:rPr>
        <w:t>a </w:t>
      </w:r>
      <w:r w:rsidRPr="00A11FE0">
        <w:rPr>
          <w:rFonts w:asciiTheme="majorHAnsi" w:hAnsiTheme="majorHAnsi"/>
          <w:noProof/>
          <w:szCs w:val="22"/>
        </w:rPr>
        <w:t xml:space="preserve">miestnej úrovni </w:t>
      </w:r>
      <w:r w:rsidR="00A3381F">
        <w:rPr>
          <w:rFonts w:asciiTheme="majorHAnsi" w:hAnsiTheme="majorHAnsi"/>
          <w:noProof/>
          <w:szCs w:val="22"/>
        </w:rPr>
        <w:t xml:space="preserve">je potrebné </w:t>
      </w:r>
      <w:r w:rsidRPr="00A11FE0">
        <w:rPr>
          <w:rFonts w:asciiTheme="majorHAnsi" w:hAnsiTheme="majorHAnsi"/>
          <w:noProof/>
          <w:szCs w:val="22"/>
        </w:rPr>
        <w:t xml:space="preserve">orientovať predovšetkým do miest Bratislava, </w:t>
      </w:r>
      <w:r>
        <w:rPr>
          <w:rFonts w:asciiTheme="majorHAnsi" w:hAnsiTheme="majorHAnsi"/>
          <w:noProof/>
          <w:szCs w:val="22"/>
        </w:rPr>
        <w:t>K</w:t>
      </w:r>
      <w:r w:rsidRPr="00A11FE0">
        <w:rPr>
          <w:rFonts w:asciiTheme="majorHAnsi" w:hAnsiTheme="majorHAnsi"/>
          <w:noProof/>
          <w:szCs w:val="22"/>
        </w:rPr>
        <w:t xml:space="preserve">ošice, centier osídlenia </w:t>
      </w:r>
      <w:r>
        <w:rPr>
          <w:rFonts w:asciiTheme="majorHAnsi" w:hAnsiTheme="majorHAnsi"/>
          <w:noProof/>
          <w:szCs w:val="22"/>
        </w:rPr>
        <w:t>a </w:t>
      </w:r>
      <w:r w:rsidRPr="00A11FE0">
        <w:rPr>
          <w:rFonts w:asciiTheme="majorHAnsi" w:hAnsiTheme="majorHAnsi"/>
          <w:noProof/>
          <w:szCs w:val="22"/>
        </w:rPr>
        <w:t>do ostatných miestnych centier.</w:t>
      </w:r>
    </w:p>
    <w:p w:rsidR="00B720F4" w:rsidRPr="00A11FE0" w:rsidRDefault="00B720F4" w:rsidP="004B6F41">
      <w:pPr>
        <w:keepNext/>
        <w:keepLines/>
        <w:numPr>
          <w:ilvl w:val="2"/>
          <w:numId w:val="2"/>
        </w:numPr>
        <w:spacing w:before="200" w:after="0"/>
        <w:outlineLvl w:val="2"/>
        <w:rPr>
          <w:rFonts w:asciiTheme="majorHAnsi" w:hAnsiTheme="majorHAnsi"/>
          <w:b/>
          <w:bCs/>
          <w:color w:val="4F81BD"/>
          <w:sz w:val="26"/>
        </w:rPr>
      </w:pPr>
      <w:bookmarkStart w:id="206" w:name="_Toc373169711"/>
      <w:r w:rsidRPr="00A11FE0">
        <w:rPr>
          <w:rFonts w:asciiTheme="majorHAnsi" w:hAnsiTheme="majorHAnsi"/>
          <w:b/>
          <w:bCs/>
          <w:color w:val="4F81BD"/>
          <w:sz w:val="26"/>
        </w:rPr>
        <w:t xml:space="preserve">Zdôvodnenie transferu 3 % </w:t>
      </w:r>
      <w:r w:rsidR="00BD5FD5">
        <w:rPr>
          <w:rFonts w:asciiTheme="majorHAnsi" w:hAnsiTheme="majorHAnsi"/>
          <w:b/>
          <w:bCs/>
          <w:color w:val="4F81BD"/>
          <w:sz w:val="26"/>
        </w:rPr>
        <w:t>a</w:t>
      </w:r>
      <w:r w:rsidRPr="00A11FE0">
        <w:rPr>
          <w:rFonts w:asciiTheme="majorHAnsi" w:hAnsiTheme="majorHAnsi"/>
          <w:b/>
          <w:bCs/>
          <w:color w:val="4F81BD"/>
          <w:sz w:val="26"/>
        </w:rPr>
        <w:t>lokácie z</w:t>
      </w:r>
      <w:r w:rsidR="001E08E8">
        <w:rPr>
          <w:rFonts w:asciiTheme="majorHAnsi" w:hAnsiTheme="majorHAnsi"/>
          <w:b/>
          <w:bCs/>
          <w:color w:val="4F81BD"/>
          <w:sz w:val="26"/>
        </w:rPr>
        <w:t> </w:t>
      </w:r>
      <w:r w:rsidRPr="00A11FE0">
        <w:rPr>
          <w:rFonts w:asciiTheme="majorHAnsi" w:hAnsiTheme="majorHAnsi"/>
          <w:b/>
          <w:bCs/>
          <w:color w:val="4F81BD"/>
          <w:sz w:val="26"/>
        </w:rPr>
        <w:t>menej</w:t>
      </w:r>
      <w:r w:rsidR="001E08E8">
        <w:rPr>
          <w:rFonts w:asciiTheme="majorHAnsi" w:hAnsiTheme="majorHAnsi"/>
          <w:b/>
          <w:bCs/>
          <w:color w:val="4F81BD"/>
          <w:sz w:val="26"/>
        </w:rPr>
        <w:t xml:space="preserve"> </w:t>
      </w:r>
      <w:r w:rsidRPr="00A11FE0">
        <w:rPr>
          <w:rFonts w:asciiTheme="majorHAnsi" w:hAnsiTheme="majorHAnsi"/>
          <w:b/>
          <w:bCs/>
          <w:color w:val="4F81BD"/>
          <w:sz w:val="26"/>
        </w:rPr>
        <w:t xml:space="preserve">rozvinutých regiónov do Bratislavského </w:t>
      </w:r>
      <w:r w:rsidR="002826BC">
        <w:rPr>
          <w:rFonts w:asciiTheme="majorHAnsi" w:hAnsiTheme="majorHAnsi"/>
          <w:b/>
          <w:bCs/>
          <w:color w:val="4F81BD"/>
          <w:sz w:val="26"/>
        </w:rPr>
        <w:t xml:space="preserve">samosprávneho </w:t>
      </w:r>
      <w:r w:rsidR="00BD5FD5">
        <w:rPr>
          <w:rFonts w:asciiTheme="majorHAnsi" w:hAnsiTheme="majorHAnsi"/>
          <w:b/>
          <w:bCs/>
          <w:color w:val="4F81BD"/>
          <w:sz w:val="26"/>
        </w:rPr>
        <w:t>k</w:t>
      </w:r>
      <w:r w:rsidRPr="00A11FE0">
        <w:rPr>
          <w:rFonts w:asciiTheme="majorHAnsi" w:hAnsiTheme="majorHAnsi"/>
          <w:b/>
          <w:bCs/>
          <w:color w:val="4F81BD"/>
          <w:sz w:val="26"/>
        </w:rPr>
        <w:t>raja</w:t>
      </w:r>
      <w:bookmarkEnd w:id="206"/>
    </w:p>
    <w:p w:rsidR="004E2940" w:rsidRPr="004E2940" w:rsidRDefault="004E2940" w:rsidP="004E2940">
      <w:pPr>
        <w:rPr>
          <w:rFonts w:asciiTheme="majorHAnsi" w:hAnsiTheme="majorHAnsi" w:cs="Cambria"/>
          <w:szCs w:val="22"/>
        </w:rPr>
      </w:pPr>
      <w:r w:rsidRPr="004E2940">
        <w:rPr>
          <w:rFonts w:asciiTheme="majorHAnsi" w:eastAsiaTheme="majorEastAsia" w:hAnsiTheme="majorHAnsi" w:cs="Cambria"/>
          <w:iCs/>
          <w:szCs w:val="22"/>
        </w:rPr>
        <w:t>B</w:t>
      </w:r>
      <w:r w:rsidR="00D872AA">
        <w:rPr>
          <w:rFonts w:asciiTheme="majorHAnsi" w:eastAsiaTheme="majorEastAsia" w:hAnsiTheme="majorHAnsi" w:cs="Cambria"/>
          <w:iCs/>
          <w:szCs w:val="22"/>
        </w:rPr>
        <w:t>SK</w:t>
      </w:r>
      <w:r w:rsidRPr="004E2940">
        <w:rPr>
          <w:rFonts w:asciiTheme="majorHAnsi" w:eastAsiaTheme="majorEastAsia" w:hAnsiTheme="majorHAnsi" w:cs="Cambria"/>
          <w:iCs/>
          <w:szCs w:val="22"/>
        </w:rPr>
        <w:t xml:space="preserve"> je na úrovni NUTS 2 jeden zo štyroch regiónov Slovenska, ktorý presahuje HDP na obyvateľa 90 % (176 %, 2010)</w:t>
      </w:r>
      <w:r w:rsidRPr="0090414A">
        <w:rPr>
          <w:rFonts w:asciiTheme="majorHAnsi" w:eastAsiaTheme="majorEastAsia" w:hAnsiTheme="majorHAnsi" w:cs="Cambria"/>
          <w:iCs/>
          <w:szCs w:val="22"/>
          <w:vertAlign w:val="superscript"/>
        </w:rPr>
        <w:footnoteReference w:id="224"/>
      </w:r>
      <w:r w:rsidRPr="004E2940">
        <w:rPr>
          <w:rFonts w:asciiTheme="majorHAnsi" w:eastAsiaTheme="majorEastAsia" w:hAnsiTheme="majorHAnsi" w:cs="Cambria"/>
          <w:iCs/>
          <w:szCs w:val="22"/>
        </w:rPr>
        <w:t xml:space="preserve"> priemeru EÚ</w:t>
      </w:r>
      <w:r w:rsidR="00EF5ED2">
        <w:rPr>
          <w:rFonts w:asciiTheme="majorHAnsi" w:eastAsiaTheme="majorEastAsia" w:hAnsiTheme="majorHAnsi" w:cs="Cambria"/>
          <w:iCs/>
          <w:szCs w:val="22"/>
        </w:rPr>
        <w:t xml:space="preserve"> </w:t>
      </w:r>
      <w:r w:rsidR="00EF5ED2" w:rsidRPr="004E2940">
        <w:rPr>
          <w:rFonts w:asciiTheme="majorHAnsi" w:eastAsiaTheme="majorEastAsia" w:hAnsiTheme="majorHAnsi" w:cs="Cambria"/>
          <w:iCs/>
          <w:szCs w:val="22"/>
        </w:rPr>
        <w:t>podľa PPS</w:t>
      </w:r>
      <w:r w:rsidRPr="004E2940">
        <w:rPr>
          <w:rFonts w:asciiTheme="majorHAnsi" w:eastAsiaTheme="majorEastAsia" w:hAnsiTheme="majorHAnsi" w:cs="Cambria"/>
          <w:iCs/>
          <w:szCs w:val="22"/>
        </w:rPr>
        <w:t>. Výkonnosť regiónu je spôsobená najmä prítomnosťou hlavného mesta, avšak na rozdiel od ostatných metropolitných regiónov EÚ (napr. Praha, Berlín, Viedeň) súčasťou BSK sú aj tri okresy, a to Malacky, Pezinok a Senec s 31 %</w:t>
      </w:r>
      <w:r w:rsidRPr="0090414A">
        <w:rPr>
          <w:rFonts w:asciiTheme="majorHAnsi" w:hAnsiTheme="majorHAnsi"/>
          <w:szCs w:val="22"/>
          <w:vertAlign w:val="superscript"/>
        </w:rPr>
        <w:footnoteReference w:id="225"/>
      </w:r>
      <w:r w:rsidRPr="004E2940">
        <w:rPr>
          <w:rFonts w:asciiTheme="majorHAnsi" w:eastAsiaTheme="majorEastAsia" w:hAnsiTheme="majorHAnsi" w:cs="Cambria"/>
          <w:iCs/>
          <w:szCs w:val="22"/>
        </w:rPr>
        <w:t xml:space="preserve"> zastúpením obyvateľstva a viac ako 4-krát väčšou rozlohou územia ako je mesto Bratislava. Z</w:t>
      </w:r>
      <w:r w:rsidRPr="004E2940">
        <w:rPr>
          <w:rFonts w:asciiTheme="majorHAnsi" w:hAnsiTheme="majorHAnsi" w:cs="Cambria"/>
          <w:szCs w:val="22"/>
        </w:rPr>
        <w:t>abezpečenie</w:t>
      </w:r>
      <w:r w:rsidRPr="004E2940">
        <w:rPr>
          <w:rFonts w:asciiTheme="majorHAnsi" w:eastAsiaTheme="majorEastAsia" w:hAnsiTheme="majorHAnsi" w:cs="Cambria"/>
          <w:iCs/>
          <w:szCs w:val="22"/>
        </w:rPr>
        <w:t xml:space="preserve"> požiadavky vyváženého polycentrického rozvoja je potrebné predovšetkým v</w:t>
      </w:r>
      <w:r w:rsidRPr="004E2940">
        <w:rPr>
          <w:rFonts w:asciiTheme="majorHAnsi" w:hAnsiTheme="majorHAnsi" w:cs="Cambria"/>
          <w:szCs w:val="22"/>
        </w:rPr>
        <w:t> kontexte eliminácie neúmerného rastu vnútorných tok</w:t>
      </w:r>
      <w:r w:rsidRPr="004E2940">
        <w:rPr>
          <w:rFonts w:asciiTheme="majorHAnsi" w:eastAsiaTheme="majorEastAsia" w:hAnsiTheme="majorHAnsi" w:cs="Cambria"/>
          <w:iCs/>
          <w:szCs w:val="22"/>
        </w:rPr>
        <w:t>ov, vnútornej migrácie obyvateľov za prácou a</w:t>
      </w:r>
      <w:r w:rsidRPr="004E2940">
        <w:rPr>
          <w:rFonts w:asciiTheme="majorHAnsi" w:hAnsiTheme="majorHAnsi" w:cs="Cambria"/>
          <w:szCs w:val="22"/>
        </w:rPr>
        <w:t> službami, ktoré by pri neorganizovanom priestorovom náraste v území mohli viesť ku krízovým situáciám.</w:t>
      </w:r>
      <w:r w:rsidRPr="004E2940">
        <w:rPr>
          <w:rFonts w:asciiTheme="majorHAnsi" w:eastAsiaTheme="majorEastAsia" w:hAnsiTheme="majorHAnsi" w:cs="Cambria"/>
          <w:iCs/>
          <w:szCs w:val="22"/>
        </w:rPr>
        <w:t xml:space="preserve"> Cieľavedomý prístup k</w:t>
      </w:r>
      <w:r w:rsidRPr="004E2940">
        <w:rPr>
          <w:rFonts w:asciiTheme="majorHAnsi" w:hAnsiTheme="majorHAnsi" w:cs="Cambria"/>
          <w:szCs w:val="22"/>
        </w:rPr>
        <w:t> riadeniu rozvoja v území BSK si vyžaduje rešpektovať a podporovať existujúce prirodze</w:t>
      </w:r>
      <w:r w:rsidRPr="004E2940">
        <w:rPr>
          <w:rFonts w:asciiTheme="majorHAnsi" w:eastAsiaTheme="majorEastAsia" w:hAnsiTheme="majorHAnsi" w:cs="Cambria"/>
          <w:iCs/>
          <w:szCs w:val="22"/>
        </w:rPr>
        <w:t>né centrá a</w:t>
      </w:r>
      <w:r w:rsidRPr="004E2940">
        <w:rPr>
          <w:rFonts w:asciiTheme="majorHAnsi" w:hAnsiTheme="majorHAnsi" w:cs="Cambria"/>
          <w:szCs w:val="22"/>
        </w:rPr>
        <w:t xml:space="preserve"> usmerňovať novo vznikajúce subcentrá, ktorým je nevyhnutné určiť ich postavenie </w:t>
      </w:r>
      <w:r w:rsidRPr="004E2940">
        <w:rPr>
          <w:rFonts w:asciiTheme="majorHAnsi" w:hAnsiTheme="majorHAnsi" w:cs="Cambria"/>
          <w:szCs w:val="22"/>
        </w:rPr>
        <w:lastRenderedPageBreak/>
        <w:t>v sídelnom systéme. Medzi iným si to vyžaduje stanoviť požadovanú priestorovú štruktúru všetkých aktivít tak, aby vznikali hierarchicky usporiadané územia s príslušnou</w:t>
      </w:r>
      <w:r w:rsidRPr="004E2940">
        <w:rPr>
          <w:rFonts w:asciiTheme="majorHAnsi" w:eastAsiaTheme="majorEastAsia" w:hAnsiTheme="majorHAnsi" w:cs="Cambria"/>
          <w:iCs/>
          <w:szCs w:val="22"/>
        </w:rPr>
        <w:t xml:space="preserve"> funkčnou komplexnosťou</w:t>
      </w:r>
      <w:r w:rsidRPr="0090414A">
        <w:rPr>
          <w:rFonts w:asciiTheme="majorHAnsi" w:hAnsiTheme="majorHAnsi" w:cs="Cambria"/>
          <w:szCs w:val="22"/>
          <w:vertAlign w:val="superscript"/>
        </w:rPr>
        <w:footnoteReference w:id="226"/>
      </w:r>
      <w:r w:rsidRPr="004E2940">
        <w:rPr>
          <w:rFonts w:asciiTheme="majorHAnsi" w:hAnsiTheme="majorHAnsi" w:cs="Cambria"/>
          <w:szCs w:val="22"/>
        </w:rPr>
        <w:t xml:space="preserve">. </w:t>
      </w:r>
      <w:r w:rsidR="0090414A">
        <w:rPr>
          <w:rFonts w:asciiTheme="majorHAnsi" w:hAnsiTheme="majorHAnsi" w:cs="Cambria"/>
          <w:szCs w:val="22"/>
        </w:rPr>
        <w:t>V</w:t>
      </w:r>
      <w:r w:rsidR="00793682">
        <w:rPr>
          <w:rFonts w:asciiTheme="majorHAnsi" w:hAnsiTheme="majorHAnsi" w:cs="Cambria"/>
          <w:szCs w:val="22"/>
        </w:rPr>
        <w:t> </w:t>
      </w:r>
      <w:r w:rsidRPr="004E2940">
        <w:rPr>
          <w:rFonts w:asciiTheme="majorHAnsi" w:hAnsiTheme="majorHAnsi" w:cs="Cambria"/>
          <w:szCs w:val="22"/>
        </w:rPr>
        <w:t>uplynulých</w:t>
      </w:r>
      <w:r w:rsidR="00793682">
        <w:rPr>
          <w:rFonts w:asciiTheme="majorHAnsi" w:hAnsiTheme="majorHAnsi" w:cs="Cambria"/>
          <w:szCs w:val="22"/>
        </w:rPr>
        <w:t xml:space="preserve"> </w:t>
      </w:r>
      <w:r w:rsidRPr="004E2940">
        <w:rPr>
          <w:rFonts w:asciiTheme="majorHAnsi" w:hAnsiTheme="majorHAnsi" w:cs="Cambria"/>
          <w:szCs w:val="22"/>
        </w:rPr>
        <w:t xml:space="preserve">rokoch intenzívnejú v okolí mesta Bratislava suburbanizačné tendencie, ktoré sa v rámci kraja prejavujú migráciou za bývaním a hospodárskymi aktivitami. </w:t>
      </w:r>
      <w:r w:rsidRPr="004E2940">
        <w:rPr>
          <w:rFonts w:asciiTheme="majorHAnsi" w:eastAsiaTheme="majorEastAsia" w:hAnsiTheme="majorHAnsi" w:cs="Cambria"/>
          <w:iCs/>
          <w:szCs w:val="22"/>
        </w:rPr>
        <w:t>Napriek tomu, že sa v</w:t>
      </w:r>
      <w:r w:rsidRPr="004E2940">
        <w:rPr>
          <w:rFonts w:asciiTheme="majorHAnsi" w:hAnsiTheme="majorHAnsi" w:cs="Cambria"/>
          <w:szCs w:val="22"/>
        </w:rPr>
        <w:t xml:space="preserve"> suburbanizačne </w:t>
      </w:r>
      <w:r w:rsidRPr="004E2940">
        <w:rPr>
          <w:rFonts w:asciiTheme="majorHAnsi" w:eastAsiaTheme="majorEastAsia" w:hAnsiTheme="majorHAnsi" w:cs="Cambria"/>
          <w:iCs/>
          <w:szCs w:val="22"/>
        </w:rPr>
        <w:t>vyvíjajúcich obciach vytvárajú nové pracovné príležitosti, nepokrývajú požiadavky rezidentného obyvateľstva. Navyše množstvo nového ekonomicky aktívneho obyvateľstva je naďalej orientované na prácu v</w:t>
      </w:r>
      <w:r w:rsidRPr="004E2940">
        <w:rPr>
          <w:rFonts w:asciiTheme="majorHAnsi" w:hAnsiTheme="majorHAnsi" w:cs="Cambria"/>
          <w:szCs w:val="22"/>
        </w:rPr>
        <w:t> centrách kraja, predovšetkým v meste Bratislava.</w:t>
      </w:r>
    </w:p>
    <w:p w:rsidR="004E2940" w:rsidRPr="0090414A" w:rsidRDefault="004E2940" w:rsidP="00CD70BE">
      <w:pPr>
        <w:pStyle w:val="Nadpis4"/>
        <w:numPr>
          <w:ilvl w:val="3"/>
          <w:numId w:val="52"/>
        </w:numPr>
        <w:rPr>
          <w:b w:val="0"/>
          <w:bCs w:val="0"/>
          <w:sz w:val="22"/>
          <w:szCs w:val="22"/>
        </w:rPr>
      </w:pPr>
      <w:r w:rsidRPr="0090414A">
        <w:rPr>
          <w:b w:val="0"/>
          <w:bCs w:val="0"/>
          <w:sz w:val="22"/>
          <w:szCs w:val="22"/>
        </w:rPr>
        <w:t>Podnikateľské prostredie priaznivé pre inovácie</w:t>
      </w:r>
    </w:p>
    <w:p w:rsidR="004E2940" w:rsidRPr="0090414A" w:rsidRDefault="004E2940" w:rsidP="004E2940">
      <w:pPr>
        <w:rPr>
          <w:rFonts w:asciiTheme="majorHAnsi" w:hAnsiTheme="majorHAnsi"/>
          <w:szCs w:val="22"/>
        </w:rPr>
      </w:pPr>
      <w:r w:rsidRPr="0090414A">
        <w:rPr>
          <w:rFonts w:asciiTheme="majorHAnsi" w:hAnsiTheme="majorHAnsi" w:cs="Cambria"/>
          <w:szCs w:val="22"/>
        </w:rPr>
        <w:t>Vďaka vysokej koncentrácii akademickej a vedeckej obce, diverzifikácii hospodárstva v celom riešenom území, či atraktívnej polohe v rámci otvorenej Európy, no najmä prostredníctvom celkového rastu dopytu spoločnosti po kvalite a variabilite služieb sa v BSK začínajú postupne rozvíjať služby inovatívneho charakteru. Vzhľadom na postupnú informatizáciu spoločnosti tak prakticky vo všetkých sektoroch hospodárstva BSK dochádza k významnej zmene štruktúry ekonomiky v prospech terciárneho a čiastočne i kvartérneho sektora.</w:t>
      </w:r>
    </w:p>
    <w:p w:rsidR="004E2940" w:rsidRPr="0090414A" w:rsidRDefault="004E2940" w:rsidP="00CD70BE">
      <w:pPr>
        <w:pStyle w:val="Nadpis5"/>
        <w:numPr>
          <w:ilvl w:val="4"/>
          <w:numId w:val="52"/>
        </w:numPr>
        <w:ind w:left="1292"/>
        <w:rPr>
          <w:szCs w:val="22"/>
        </w:rPr>
      </w:pPr>
      <w:r w:rsidRPr="0090414A">
        <w:rPr>
          <w:szCs w:val="22"/>
        </w:rPr>
        <w:t>TC1: Posilnenie výskumu, technologického rozvoja a inovácií</w:t>
      </w:r>
    </w:p>
    <w:p w:rsidR="004E2940" w:rsidRPr="0090414A" w:rsidRDefault="004E2940" w:rsidP="004E2940">
      <w:pPr>
        <w:spacing w:after="0"/>
        <w:rPr>
          <w:rFonts w:asciiTheme="majorHAnsi" w:hAnsiTheme="majorHAnsi"/>
          <w:szCs w:val="22"/>
          <w:lang w:eastAsia="en-GB"/>
        </w:rPr>
      </w:pPr>
      <w:r w:rsidRPr="0090414A">
        <w:rPr>
          <w:rFonts w:asciiTheme="majorHAnsi" w:hAnsiTheme="majorHAnsi"/>
          <w:szCs w:val="22"/>
          <w:lang w:eastAsia="en-GB"/>
        </w:rPr>
        <w:t xml:space="preserve">V BSK sa nachádza až 75 % výskumného potenciálu a naopak 70 % priemyselnej základne je mimo tohto regiónu. Medzinárodné porovnávania ukazujú, že výkonnosť </w:t>
      </w:r>
      <w:r w:rsidR="006A4C6F">
        <w:rPr>
          <w:rFonts w:asciiTheme="majorHAnsi" w:hAnsiTheme="majorHAnsi"/>
          <w:szCs w:val="22"/>
          <w:lang w:eastAsia="en-GB"/>
        </w:rPr>
        <w:t>VaV</w:t>
      </w:r>
      <w:r w:rsidRPr="0090414A">
        <w:rPr>
          <w:rFonts w:asciiTheme="majorHAnsi" w:hAnsiTheme="majorHAnsi"/>
          <w:szCs w:val="22"/>
          <w:lang w:eastAsia="en-GB"/>
        </w:rPr>
        <w:t xml:space="preserve"> v BSK je slabá a má obdobné štrukturálne problémy, ako aj ostatné regióny SR, ktoré mu následne nedovoľujú zapájať sa adekvátnym spôsobom do ERA. Inovácie sú pre ekonomiku čoraz významnejším fenoménom, pričom dôležitými komoditami sa stávajú aj aktivity založené na duševnom vlastníctve. Vysoká podnikateľská aktivita a sústredenie </w:t>
      </w:r>
      <w:r w:rsidR="006A4C6F">
        <w:rPr>
          <w:rFonts w:asciiTheme="majorHAnsi" w:hAnsiTheme="majorHAnsi"/>
          <w:szCs w:val="22"/>
          <w:lang w:eastAsia="en-GB"/>
        </w:rPr>
        <w:t>VaV</w:t>
      </w:r>
      <w:r w:rsidRPr="0090414A">
        <w:rPr>
          <w:rFonts w:asciiTheme="majorHAnsi" w:hAnsiTheme="majorHAnsi"/>
          <w:szCs w:val="22"/>
          <w:lang w:eastAsia="en-GB"/>
        </w:rPr>
        <w:t xml:space="preserve"> kapacít v BSK vytvára vhodné podmienky pre vznik podnikov s vysokou technologickou úrovňou a poznatkovo intenzívnymi službami</w:t>
      </w:r>
      <w:r w:rsidRPr="0090414A">
        <w:rPr>
          <w:rStyle w:val="Odkaznapoznmkupodiarou"/>
          <w:rFonts w:asciiTheme="majorHAnsi" w:hAnsiTheme="majorHAnsi"/>
          <w:szCs w:val="22"/>
          <w:lang w:eastAsia="en-GB"/>
        </w:rPr>
        <w:footnoteReference w:id="227"/>
      </w:r>
      <w:r w:rsidRPr="0090414A">
        <w:rPr>
          <w:rFonts w:asciiTheme="majorHAnsi" w:hAnsiTheme="majorHAnsi"/>
          <w:szCs w:val="22"/>
          <w:lang w:eastAsia="en-GB"/>
        </w:rPr>
        <w:t xml:space="preserve"> aj vzhľadom na zavádzanie prvkov znalostnej ekonomiky a realizáciu nadnárodných rozvojových iniciatív prostredníctvom Dunajskej stratégie</w:t>
      </w:r>
      <w:r w:rsidRPr="0090414A">
        <w:rPr>
          <w:rStyle w:val="Odkaznapoznmkupodiarou"/>
          <w:rFonts w:asciiTheme="majorHAnsi" w:hAnsiTheme="majorHAnsi"/>
          <w:szCs w:val="22"/>
          <w:lang w:eastAsia="en-GB"/>
        </w:rPr>
        <w:footnoteReference w:id="228"/>
      </w:r>
      <w:r w:rsidRPr="0090414A">
        <w:rPr>
          <w:rFonts w:asciiTheme="majorHAnsi" w:hAnsiTheme="majorHAnsi"/>
          <w:szCs w:val="22"/>
          <w:lang w:eastAsia="en-GB"/>
        </w:rPr>
        <w:t xml:space="preserve">. V tomto smere BSK vytvára prostredie pre testovanie inovatívnych podnikateľských konceptov a prenos výsledkov </w:t>
      </w:r>
      <w:r w:rsidR="006A4C6F">
        <w:rPr>
          <w:rFonts w:asciiTheme="majorHAnsi" w:hAnsiTheme="majorHAnsi"/>
          <w:szCs w:val="22"/>
          <w:lang w:eastAsia="en-GB"/>
        </w:rPr>
        <w:t>VaV</w:t>
      </w:r>
      <w:r w:rsidRPr="0090414A">
        <w:rPr>
          <w:rFonts w:asciiTheme="majorHAnsi" w:hAnsiTheme="majorHAnsi"/>
          <w:szCs w:val="22"/>
          <w:lang w:eastAsia="en-GB"/>
        </w:rPr>
        <w:t xml:space="preserve"> procesu do komerčnej praxe. Systémová podpora podnikov v BSK má preto zásadný význam pre rozvoj inovačného potenciálu tohto regiónu, ako kľúčového ekonomického centra štátu, a tým aj pre zabezpečenie „spillover efektov“, tzn. prenosu/replikability inovácií, know-how a výsledkov aplikovaného </w:t>
      </w:r>
      <w:r w:rsidR="006A4C6F">
        <w:rPr>
          <w:rFonts w:asciiTheme="majorHAnsi" w:hAnsiTheme="majorHAnsi"/>
          <w:szCs w:val="22"/>
          <w:lang w:eastAsia="en-GB"/>
        </w:rPr>
        <w:t>VaV</w:t>
      </w:r>
      <w:r w:rsidRPr="0090414A">
        <w:rPr>
          <w:rFonts w:asciiTheme="majorHAnsi" w:hAnsiTheme="majorHAnsi"/>
          <w:szCs w:val="22"/>
          <w:lang w:eastAsia="en-GB"/>
        </w:rPr>
        <w:t xml:space="preserve"> realizovaného inštitúciami a podnikmi na území BSK do ostatných regiónov Slovenska. V prípade plánovaného využitia finančných nástrojov na podporu MSP je ich ekonomická realizovateľnosť v komerčných podmienkach bez zahrnutia BSK veľmi problematická</w:t>
      </w:r>
      <w:r w:rsidRPr="0090414A">
        <w:rPr>
          <w:rStyle w:val="Odkaznapoznmkupodiarou"/>
          <w:rFonts w:asciiTheme="majorHAnsi" w:hAnsiTheme="majorHAnsi"/>
          <w:szCs w:val="22"/>
          <w:lang w:eastAsia="en-GB"/>
        </w:rPr>
        <w:footnoteReference w:id="229"/>
      </w:r>
      <w:r w:rsidRPr="0090414A">
        <w:rPr>
          <w:rFonts w:asciiTheme="majorHAnsi" w:hAnsiTheme="majorHAnsi"/>
          <w:szCs w:val="22"/>
          <w:lang w:eastAsia="en-GB"/>
        </w:rPr>
        <w:t>.</w:t>
      </w:r>
      <w:r w:rsidRPr="0090414A">
        <w:rPr>
          <w:rFonts w:asciiTheme="majorHAnsi" w:hAnsiTheme="majorHAnsi" w:cs="Cambria"/>
          <w:szCs w:val="22"/>
        </w:rPr>
        <w:t xml:space="preserve"> Dôležitosť podpory </w:t>
      </w:r>
      <w:r w:rsidR="00957B6D">
        <w:rPr>
          <w:rFonts w:asciiTheme="majorHAnsi" w:hAnsiTheme="majorHAnsi" w:cs="Cambria"/>
          <w:szCs w:val="22"/>
        </w:rPr>
        <w:t>VŠ</w:t>
      </w:r>
      <w:r w:rsidRPr="0090414A">
        <w:rPr>
          <w:rFonts w:asciiTheme="majorHAnsi" w:hAnsiTheme="majorHAnsi" w:cs="Cambria"/>
          <w:szCs w:val="22"/>
        </w:rPr>
        <w:t xml:space="preserve"> v BSK vychádza aj z toho, že viac ako 75 % študentov oboch najväčších slovenských univerzít pochádza z regiónov SR</w:t>
      </w:r>
      <w:r w:rsidRPr="0090414A">
        <w:rPr>
          <w:rStyle w:val="Odkaznapoznmkupodiarou"/>
          <w:rFonts w:asciiTheme="majorHAnsi" w:hAnsiTheme="majorHAnsi" w:cs="Cambria"/>
          <w:szCs w:val="22"/>
        </w:rPr>
        <w:footnoteReference w:id="230"/>
      </w:r>
      <w:r w:rsidRPr="0090414A">
        <w:rPr>
          <w:rFonts w:asciiTheme="majorHAnsi" w:hAnsiTheme="majorHAnsi" w:cs="Cambria"/>
          <w:szCs w:val="22"/>
        </w:rPr>
        <w:t xml:space="preserve"> mimo územia BSK, čo znamená, že vzdelávacie aktivity, vrátane prípravy novej generácie výskumných pracovníkov a pracovníkov pre kľúčové priemyselné odvetvia, majú výrazný dopad aj na menej rozvinuté regióny SR. </w:t>
      </w:r>
      <w:r w:rsidRPr="0090414A">
        <w:rPr>
          <w:rFonts w:asciiTheme="majorHAnsi" w:hAnsiTheme="majorHAnsi"/>
          <w:szCs w:val="22"/>
          <w:lang w:eastAsia="en-GB"/>
        </w:rPr>
        <w:t xml:space="preserve">Vedecké tímy </w:t>
      </w:r>
      <w:r w:rsidRPr="0090414A">
        <w:rPr>
          <w:rFonts w:asciiTheme="majorHAnsi" w:hAnsiTheme="majorHAnsi"/>
          <w:szCs w:val="22"/>
          <w:lang w:eastAsia="en-GB"/>
        </w:rPr>
        <w:lastRenderedPageBreak/>
        <w:t>z výskumných inštitúcií v Bratislave spolupracujú s hospodárskou praxou, ktorej značná časť sa nachádza aj mimo územia BSK a majú veľký význam pre slovenské hospodárstvo ako také, či už ide o automobilový priemysel, strojárstvo, energetiku a ďalšie. Bratislavské vzdelávacie inštitúcie vzdelávajú podstatnú časť celoslovenského počtu študentov</w:t>
      </w:r>
      <w:r w:rsidR="00A973A7">
        <w:rPr>
          <w:rFonts w:asciiTheme="majorHAnsi" w:hAnsiTheme="majorHAnsi"/>
          <w:szCs w:val="22"/>
          <w:lang w:eastAsia="en-GB"/>
        </w:rPr>
        <w:t>,</w:t>
      </w:r>
      <w:r w:rsidRPr="0090414A">
        <w:rPr>
          <w:rFonts w:asciiTheme="majorHAnsi" w:hAnsiTheme="majorHAnsi"/>
          <w:szCs w:val="22"/>
          <w:lang w:eastAsia="en-GB"/>
        </w:rPr>
        <w:t xml:space="preserve"> ktorú vyžaduje aj priemysel na to, aby bol konkurencieschopný</w:t>
      </w:r>
      <w:r w:rsidRPr="0090414A">
        <w:rPr>
          <w:rStyle w:val="Odkaznapoznmkupodiarou"/>
          <w:rFonts w:asciiTheme="majorHAnsi" w:hAnsiTheme="majorHAnsi"/>
          <w:szCs w:val="22"/>
          <w:lang w:eastAsia="en-GB"/>
        </w:rPr>
        <w:footnoteReference w:id="231"/>
      </w:r>
      <w:r w:rsidRPr="0090414A">
        <w:rPr>
          <w:rFonts w:asciiTheme="majorHAnsi" w:hAnsiTheme="majorHAnsi"/>
          <w:szCs w:val="22"/>
          <w:lang w:eastAsia="en-GB"/>
        </w:rPr>
        <w:t xml:space="preserve"> aj v regiónoch mimo BSK.</w:t>
      </w:r>
    </w:p>
    <w:p w:rsidR="004E2940" w:rsidRPr="0090414A" w:rsidRDefault="004E2940" w:rsidP="004E2940">
      <w:pPr>
        <w:rPr>
          <w:rFonts w:asciiTheme="majorHAnsi" w:hAnsiTheme="majorHAnsi"/>
          <w:szCs w:val="22"/>
          <w:lang w:eastAsia="en-GB"/>
        </w:rPr>
      </w:pPr>
      <w:r w:rsidRPr="0090414A">
        <w:rPr>
          <w:rFonts w:asciiTheme="majorHAnsi" w:hAnsiTheme="majorHAnsi"/>
          <w:szCs w:val="22"/>
          <w:lang w:eastAsia="en-GB"/>
        </w:rPr>
        <w:t>V</w:t>
      </w:r>
      <w:r w:rsidR="00793682">
        <w:rPr>
          <w:rFonts w:asciiTheme="majorHAnsi" w:hAnsiTheme="majorHAnsi"/>
          <w:szCs w:val="22"/>
          <w:lang w:eastAsia="en-GB"/>
        </w:rPr>
        <w:t> </w:t>
      </w:r>
      <w:r w:rsidRPr="0090414A">
        <w:rPr>
          <w:rFonts w:asciiTheme="majorHAnsi" w:hAnsiTheme="majorHAnsi"/>
          <w:szCs w:val="22"/>
          <w:lang w:eastAsia="en-GB"/>
        </w:rPr>
        <w:t>programovom</w:t>
      </w:r>
      <w:r w:rsidR="00793682">
        <w:rPr>
          <w:rFonts w:asciiTheme="majorHAnsi" w:hAnsiTheme="majorHAnsi"/>
          <w:szCs w:val="22"/>
          <w:lang w:eastAsia="en-GB"/>
        </w:rPr>
        <w:t xml:space="preserve"> </w:t>
      </w:r>
      <w:r w:rsidRPr="0090414A">
        <w:rPr>
          <w:rFonts w:asciiTheme="majorHAnsi" w:hAnsiTheme="majorHAnsi"/>
          <w:szCs w:val="22"/>
          <w:lang w:eastAsia="en-GB"/>
        </w:rPr>
        <w:t xml:space="preserve">období 2007 – 2013 bol v oblasti </w:t>
      </w:r>
      <w:r w:rsidR="000E25FF">
        <w:rPr>
          <w:rFonts w:asciiTheme="majorHAnsi" w:hAnsiTheme="majorHAnsi"/>
          <w:szCs w:val="22"/>
          <w:lang w:eastAsia="en-GB"/>
        </w:rPr>
        <w:t>VaV</w:t>
      </w:r>
      <w:r w:rsidRPr="0090414A">
        <w:rPr>
          <w:rFonts w:asciiTheme="majorHAnsi" w:hAnsiTheme="majorHAnsi"/>
          <w:szCs w:val="22"/>
          <w:lang w:eastAsia="en-GB"/>
        </w:rPr>
        <w:t xml:space="preserve"> podporený vznik rôznych typov výskumných centier (centrá excelentnosti, kompetenčné centrá, univerzitné vedecké parky, výskumné centrá národného významu). V programovom období 2014 – 2020 bude potrebné podporené centrá – po ich kvalitatívnom zhodnotení – konsolidovať a združiť do väčších interdisciplinárnych celkov.</w:t>
      </w:r>
    </w:p>
    <w:p w:rsidR="000E25FF" w:rsidRPr="0090414A" w:rsidRDefault="004E2940" w:rsidP="004E2940">
      <w:pPr>
        <w:rPr>
          <w:rFonts w:asciiTheme="majorHAnsi" w:hAnsiTheme="majorHAnsi"/>
          <w:szCs w:val="22"/>
          <w:lang w:eastAsia="en-GB"/>
        </w:rPr>
      </w:pPr>
      <w:r w:rsidRPr="0090414A">
        <w:rPr>
          <w:rFonts w:asciiTheme="majorHAnsi" w:hAnsiTheme="majorHAnsi"/>
          <w:szCs w:val="22"/>
          <w:lang w:eastAsia="en-GB"/>
        </w:rPr>
        <w:t xml:space="preserve">Základným zámerom plánovaných aktivít v BSK je odstránenie uvedených problémov a umožnenie efektívnej spolupráce </w:t>
      </w:r>
      <w:r w:rsidR="00151A40">
        <w:rPr>
          <w:rFonts w:asciiTheme="majorHAnsi" w:hAnsiTheme="majorHAnsi"/>
          <w:szCs w:val="22"/>
          <w:lang w:eastAsia="en-GB"/>
        </w:rPr>
        <w:t>v oblasti odborných vedomostí, rozvoja technických zručností a inovácií</w:t>
      </w:r>
      <w:r w:rsidR="00151A40">
        <w:rPr>
          <w:rStyle w:val="Odkaznapoznmkupodiarou"/>
          <w:rFonts w:asciiTheme="majorHAnsi" w:hAnsiTheme="majorHAnsi"/>
          <w:szCs w:val="22"/>
          <w:lang w:eastAsia="en-GB"/>
        </w:rPr>
        <w:footnoteReference w:id="232"/>
      </w:r>
      <w:r w:rsidR="00151A40">
        <w:rPr>
          <w:rFonts w:asciiTheme="majorHAnsi" w:hAnsiTheme="majorHAnsi"/>
          <w:szCs w:val="22"/>
          <w:lang w:eastAsia="en-GB"/>
        </w:rPr>
        <w:t xml:space="preserve"> a </w:t>
      </w:r>
      <w:r w:rsidR="006A4C6F">
        <w:rPr>
          <w:rFonts w:asciiTheme="majorHAnsi" w:hAnsiTheme="majorHAnsi"/>
          <w:szCs w:val="22"/>
          <w:lang w:eastAsia="en-GB"/>
        </w:rPr>
        <w:t>VaV</w:t>
      </w:r>
      <w:r w:rsidRPr="0090414A">
        <w:rPr>
          <w:rFonts w:asciiTheme="majorHAnsi" w:hAnsiTheme="majorHAnsi"/>
          <w:szCs w:val="22"/>
          <w:lang w:eastAsia="en-GB"/>
        </w:rPr>
        <w:t xml:space="preserve"> základne v BSK s ostatnými regiónmi Slovenska so špeciálnym dôrazom na spoluprácu s priemyselnými subjektmi v kľúčových priemyselných odvetviach identifikovaných v stratégii RIS3. Pre potreby realizácie cieľov stratégie RIS3 je nutné posilniť vzdelávacie, výskumné, inovačné a podnikateľské kapacity najväčších výskumne orientovaných univerzít </w:t>
      </w:r>
      <w:r w:rsidR="00154311">
        <w:rPr>
          <w:rFonts w:asciiTheme="majorHAnsi" w:hAnsiTheme="majorHAnsi"/>
          <w:szCs w:val="22"/>
          <w:lang w:eastAsia="en-GB"/>
        </w:rPr>
        <w:t xml:space="preserve">na Slovensku a organizácií SAV, </w:t>
      </w:r>
      <w:r w:rsidR="00151A40">
        <w:rPr>
          <w:rFonts w:asciiTheme="majorHAnsi" w:hAnsiTheme="majorHAnsi"/>
          <w:szCs w:val="22"/>
          <w:lang w:eastAsia="en-GB"/>
        </w:rPr>
        <w:t>a vznikajúcich centier odborného vzdelávania a prípravy</w:t>
      </w:r>
      <w:r w:rsidR="00151A40">
        <w:rPr>
          <w:rStyle w:val="Odkaznapoznmkupodiarou"/>
          <w:rFonts w:asciiTheme="majorHAnsi" w:hAnsiTheme="majorHAnsi"/>
          <w:szCs w:val="22"/>
          <w:lang w:eastAsia="en-GB"/>
        </w:rPr>
        <w:footnoteReference w:id="233"/>
      </w:r>
      <w:r w:rsidR="00151A40">
        <w:rPr>
          <w:rFonts w:asciiTheme="majorHAnsi" w:hAnsiTheme="majorHAnsi"/>
          <w:szCs w:val="22"/>
          <w:lang w:eastAsia="en-GB"/>
        </w:rPr>
        <w:t xml:space="preserve"> schopných zavádzať inovácie </w:t>
      </w:r>
      <w:r w:rsidRPr="0090414A">
        <w:rPr>
          <w:rFonts w:asciiTheme="majorHAnsi" w:hAnsiTheme="majorHAnsi"/>
          <w:szCs w:val="22"/>
          <w:lang w:eastAsia="en-GB"/>
        </w:rPr>
        <w:t>na Slovensku, ktoré sídlia v BSK tak, aby boli výrazne viacej medzinárodne angažované do medzinárodnej vedecko-technickej spolupráce a viac prepojené s hospodárskou praxou.</w:t>
      </w:r>
    </w:p>
    <w:p w:rsidR="004E2940" w:rsidRPr="0090414A" w:rsidRDefault="004E2940" w:rsidP="00691C8F">
      <w:pPr>
        <w:pStyle w:val="Nadpis5"/>
        <w:numPr>
          <w:ilvl w:val="4"/>
          <w:numId w:val="52"/>
        </w:numPr>
        <w:ind w:left="1292"/>
        <w:rPr>
          <w:szCs w:val="22"/>
        </w:rPr>
      </w:pPr>
      <w:r w:rsidRPr="0090414A">
        <w:rPr>
          <w:szCs w:val="22"/>
        </w:rPr>
        <w:t>TC3: Zvýšenie konkurencieschopnosti MSP, sektora poľnohospodárstva (v prípade EPFRV) a sektora rybárstva a akvakultúry (v prípade ENRF)</w:t>
      </w:r>
    </w:p>
    <w:p w:rsidR="004E2940" w:rsidRPr="0090414A" w:rsidRDefault="004E2940" w:rsidP="004E2940">
      <w:pPr>
        <w:spacing w:after="0"/>
        <w:rPr>
          <w:rFonts w:asciiTheme="majorHAnsi" w:hAnsiTheme="majorHAnsi" w:cs="Cambria"/>
          <w:bCs/>
          <w:szCs w:val="22"/>
        </w:rPr>
      </w:pPr>
      <w:r w:rsidRPr="0090414A">
        <w:rPr>
          <w:rFonts w:asciiTheme="majorHAnsi" w:hAnsiTheme="majorHAnsi" w:cs="Cambria"/>
          <w:bCs/>
          <w:szCs w:val="22"/>
        </w:rPr>
        <w:t>V</w:t>
      </w:r>
      <w:r w:rsidR="00CC3F6B">
        <w:rPr>
          <w:rFonts w:asciiTheme="majorHAnsi" w:hAnsiTheme="majorHAnsi" w:cs="Cambria"/>
          <w:bCs/>
          <w:szCs w:val="22"/>
        </w:rPr>
        <w:t> </w:t>
      </w:r>
      <w:r w:rsidRPr="0090414A">
        <w:rPr>
          <w:rFonts w:asciiTheme="majorHAnsi" w:hAnsiTheme="majorHAnsi" w:cs="Cambria"/>
          <w:bCs/>
          <w:szCs w:val="22"/>
        </w:rPr>
        <w:t>BSK je sústredená viac ako 1/3 z</w:t>
      </w:r>
      <w:r w:rsidR="00793682">
        <w:rPr>
          <w:rFonts w:asciiTheme="majorHAnsi" w:hAnsiTheme="majorHAnsi" w:cs="Cambria"/>
          <w:bCs/>
          <w:szCs w:val="22"/>
        </w:rPr>
        <w:t> </w:t>
      </w:r>
      <w:r w:rsidRPr="0090414A">
        <w:rPr>
          <w:rFonts w:asciiTheme="majorHAnsi" w:hAnsiTheme="majorHAnsi" w:cs="Cambria"/>
          <w:bCs/>
          <w:szCs w:val="22"/>
        </w:rPr>
        <w:t>celkového počtu MSP</w:t>
      </w:r>
      <w:r w:rsidRPr="0090414A">
        <w:rPr>
          <w:rStyle w:val="Odkaznapoznmkupodiarou"/>
          <w:rFonts w:asciiTheme="majorHAnsi" w:hAnsiTheme="majorHAnsi" w:cs="Cambria"/>
          <w:bCs/>
          <w:szCs w:val="22"/>
        </w:rPr>
        <w:footnoteReference w:id="234"/>
      </w:r>
      <w:r w:rsidRPr="0090414A">
        <w:rPr>
          <w:rFonts w:asciiTheme="majorHAnsi" w:hAnsiTheme="majorHAnsi" w:cs="Cambria"/>
          <w:bCs/>
          <w:szCs w:val="22"/>
        </w:rPr>
        <w:t>. MSP v BSK vytvárajú viac ako 30 % celkových tržieb a takmer 1/3 (32,6 %) vytvorenej pridanej hodnoty sektora (2011). V podnikoch na území BSK sú vytvorené pracovné miesta pre 1/5 (20,1 %) pracujúcich na Slovensku (2012). V kraji sa prejavuje vysoká miera podnikateľskej aktivity, v</w:t>
      </w:r>
      <w:r w:rsidR="00793682">
        <w:rPr>
          <w:rFonts w:asciiTheme="majorHAnsi" w:hAnsiTheme="majorHAnsi" w:cs="Cambria"/>
          <w:bCs/>
          <w:szCs w:val="22"/>
        </w:rPr>
        <w:t> </w:t>
      </w:r>
      <w:r w:rsidRPr="0090414A">
        <w:rPr>
          <w:rFonts w:asciiTheme="majorHAnsi" w:hAnsiTheme="majorHAnsi" w:cs="Cambria"/>
          <w:bCs/>
          <w:szCs w:val="22"/>
        </w:rPr>
        <w:t>r</w:t>
      </w:r>
      <w:r w:rsidR="0090414A">
        <w:rPr>
          <w:rFonts w:asciiTheme="majorHAnsi" w:hAnsiTheme="majorHAnsi" w:cs="Cambria"/>
          <w:bCs/>
          <w:szCs w:val="22"/>
        </w:rPr>
        <w:t>oku</w:t>
      </w:r>
      <w:r w:rsidRPr="0090414A">
        <w:rPr>
          <w:rFonts w:asciiTheme="majorHAnsi" w:hAnsiTheme="majorHAnsi" w:cs="Cambria"/>
          <w:bCs/>
          <w:szCs w:val="22"/>
        </w:rPr>
        <w:t xml:space="preserve"> 2012 bolo na území BSK zaregistrovaných </w:t>
      </w:r>
      <w:r w:rsidR="00793682">
        <w:rPr>
          <w:rFonts w:asciiTheme="majorHAnsi" w:hAnsiTheme="majorHAnsi" w:cs="Cambria"/>
          <w:bCs/>
          <w:szCs w:val="22"/>
        </w:rPr>
        <w:br/>
      </w:r>
      <w:r w:rsidRPr="0090414A">
        <w:rPr>
          <w:rFonts w:asciiTheme="majorHAnsi" w:hAnsiTheme="majorHAnsi" w:cs="Cambria"/>
          <w:bCs/>
          <w:szCs w:val="22"/>
        </w:rPr>
        <w:t>38,9 % zo všetkých novovzniknutých podnikov v SR. Pôsobí tu viac ako ¼ priemyselných podnikov s vysokou technologickou úrovňou výroby (high tech), viac ako 1/5 priemyselných podnikov so stredne vysokou technologickou úrovňou výroby a takmer ½ podnikov poskytujúcich poznatkovo intenzívne služby</w:t>
      </w:r>
      <w:r w:rsidR="006A4C6F">
        <w:rPr>
          <w:rStyle w:val="Odkaznapoznmkupodiarou"/>
          <w:rFonts w:asciiTheme="majorHAnsi" w:hAnsiTheme="majorHAnsi"/>
          <w:bCs/>
          <w:szCs w:val="22"/>
        </w:rPr>
        <w:footnoteReference w:id="235"/>
      </w:r>
      <w:r w:rsidRPr="0090414A">
        <w:rPr>
          <w:rFonts w:asciiTheme="majorHAnsi" w:hAnsiTheme="majorHAnsi" w:cs="Cambria"/>
          <w:bCs/>
          <w:szCs w:val="22"/>
        </w:rPr>
        <w:t>. V rámci high tech odvetví až ½ z celkového množstva podnikov s vysokou technologickou úrovňou a poznatkovo intenzívnymi službami vzniká v</w:t>
      </w:r>
      <w:r w:rsidR="00CC3F6B">
        <w:rPr>
          <w:rFonts w:asciiTheme="majorHAnsi" w:hAnsiTheme="majorHAnsi" w:cs="Cambria"/>
          <w:bCs/>
          <w:szCs w:val="22"/>
        </w:rPr>
        <w:t> </w:t>
      </w:r>
      <w:r w:rsidRPr="0090414A">
        <w:rPr>
          <w:rFonts w:asciiTheme="majorHAnsi" w:hAnsiTheme="majorHAnsi" w:cs="Cambria"/>
          <w:bCs/>
          <w:szCs w:val="22"/>
        </w:rPr>
        <w:t xml:space="preserve">BSK </w:t>
      </w:r>
      <w:r w:rsidRPr="0090414A">
        <w:rPr>
          <w:rStyle w:val="Odkaznapoznmkupodiarou"/>
          <w:rFonts w:asciiTheme="majorHAnsi" w:hAnsiTheme="majorHAnsi" w:cs="Cambria"/>
          <w:bCs/>
          <w:szCs w:val="22"/>
        </w:rPr>
        <w:footnoteReference w:id="236"/>
      </w:r>
      <w:r w:rsidRPr="0090414A">
        <w:rPr>
          <w:rFonts w:asciiTheme="majorHAnsi" w:hAnsiTheme="majorHAnsi" w:cs="Cambria"/>
          <w:bCs/>
          <w:szCs w:val="22"/>
        </w:rPr>
        <w:t>.</w:t>
      </w:r>
    </w:p>
    <w:p w:rsidR="004E2940" w:rsidRPr="0090414A" w:rsidRDefault="004E2940" w:rsidP="004E2940">
      <w:pPr>
        <w:spacing w:after="0"/>
        <w:rPr>
          <w:rFonts w:asciiTheme="majorHAnsi" w:hAnsiTheme="majorHAnsi" w:cs="Cambria"/>
          <w:bCs/>
          <w:szCs w:val="22"/>
        </w:rPr>
      </w:pPr>
      <w:r w:rsidRPr="0090414A">
        <w:rPr>
          <w:rFonts w:asciiTheme="majorHAnsi" w:hAnsiTheme="majorHAnsi" w:cs="Cambria"/>
          <w:bCs/>
          <w:szCs w:val="22"/>
        </w:rPr>
        <w:t xml:space="preserve">V dôsledku výrazného obmedzenia podpory z programov politiky súdržnosti EÚ v predchádzajúcom období, ako aj inej systémovej podpory, nedochádza v podnikateľskom sektore k zavádzaniu inovácií, využívaniu výsledkov </w:t>
      </w:r>
      <w:r w:rsidR="006A4C6F">
        <w:rPr>
          <w:rFonts w:asciiTheme="majorHAnsi" w:hAnsiTheme="majorHAnsi" w:cs="Cambria"/>
          <w:bCs/>
          <w:szCs w:val="22"/>
        </w:rPr>
        <w:t>VaV</w:t>
      </w:r>
      <w:r w:rsidRPr="0090414A">
        <w:rPr>
          <w:rFonts w:asciiTheme="majorHAnsi" w:hAnsiTheme="majorHAnsi" w:cs="Cambria"/>
          <w:bCs/>
          <w:szCs w:val="22"/>
        </w:rPr>
        <w:t xml:space="preserve"> procesu a pokračuje ekonomická stagnácia a marginalizácia podnikov (najmä MSP). </w:t>
      </w:r>
      <w:r w:rsidR="009424A6">
        <w:rPr>
          <w:rFonts w:asciiTheme="majorHAnsi" w:hAnsiTheme="majorHAnsi" w:cs="Cambria"/>
          <w:bCs/>
          <w:szCs w:val="22"/>
        </w:rPr>
        <w:t>V r. 2011 len 51,8 % MSP v kraji dosiahlo kladný hospodársky výsledok (vrátane nulového hospodárskeho výsledku), čo bola najnižšia hodnota spomedzi všetkých krajov SR</w:t>
      </w:r>
      <w:r w:rsidR="009424A6">
        <w:rPr>
          <w:rStyle w:val="Odkaznapoznmkupodiarou"/>
          <w:rFonts w:asciiTheme="majorHAnsi" w:hAnsiTheme="majorHAnsi"/>
          <w:bCs/>
          <w:szCs w:val="22"/>
        </w:rPr>
        <w:footnoteReference w:id="237"/>
      </w:r>
      <w:r w:rsidR="009424A6">
        <w:rPr>
          <w:rFonts w:asciiTheme="majorHAnsi" w:hAnsiTheme="majorHAnsi" w:cs="Cambria"/>
          <w:bCs/>
          <w:szCs w:val="22"/>
        </w:rPr>
        <w:t xml:space="preserve">. </w:t>
      </w:r>
      <w:r w:rsidRPr="0090414A">
        <w:rPr>
          <w:rFonts w:asciiTheme="majorHAnsi" w:hAnsiTheme="majorHAnsi" w:cs="Cambria"/>
          <w:bCs/>
          <w:szCs w:val="22"/>
        </w:rPr>
        <w:t xml:space="preserve">V BSK sa prejavuje výrazná medzera vo financovaní mikropodnikov a začínajúcich podnikov. Podľa </w:t>
      </w:r>
      <w:r w:rsidR="00A1775B">
        <w:rPr>
          <w:rFonts w:asciiTheme="majorHAnsi" w:hAnsiTheme="majorHAnsi" w:cs="Cambria"/>
          <w:bCs/>
          <w:szCs w:val="22"/>
        </w:rPr>
        <w:t xml:space="preserve">vykonaného </w:t>
      </w:r>
      <w:r w:rsidRPr="0090414A">
        <w:rPr>
          <w:rFonts w:asciiTheme="majorHAnsi" w:hAnsiTheme="majorHAnsi" w:cs="Cambria"/>
          <w:bCs/>
          <w:szCs w:val="22"/>
        </w:rPr>
        <w:t>prieskumu</w:t>
      </w:r>
      <w:r w:rsidR="00A1775B">
        <w:rPr>
          <w:rStyle w:val="Odkaznapoznmkupodiarou"/>
          <w:rFonts w:asciiTheme="majorHAnsi" w:hAnsiTheme="majorHAnsi"/>
          <w:bCs/>
          <w:szCs w:val="22"/>
        </w:rPr>
        <w:footnoteReference w:id="238"/>
      </w:r>
      <w:r w:rsidRPr="0090414A">
        <w:rPr>
          <w:rFonts w:asciiTheme="majorHAnsi" w:hAnsiTheme="majorHAnsi" w:cs="Cambria"/>
          <w:bCs/>
          <w:szCs w:val="22"/>
        </w:rPr>
        <w:t xml:space="preserve"> </w:t>
      </w:r>
      <w:r w:rsidR="00A1775B">
        <w:rPr>
          <w:rFonts w:asciiTheme="majorHAnsi" w:hAnsiTheme="majorHAnsi" w:cs="Cambria"/>
          <w:bCs/>
          <w:szCs w:val="22"/>
        </w:rPr>
        <w:t xml:space="preserve">bolo </w:t>
      </w:r>
      <w:r w:rsidRPr="0090414A">
        <w:rPr>
          <w:rFonts w:asciiTheme="majorHAnsi" w:hAnsiTheme="majorHAnsi" w:cs="Cambria"/>
          <w:bCs/>
          <w:szCs w:val="22"/>
        </w:rPr>
        <w:t>v prípade žiadosti o</w:t>
      </w:r>
      <w:r w:rsidR="00793682">
        <w:rPr>
          <w:rFonts w:asciiTheme="majorHAnsi" w:hAnsiTheme="majorHAnsi" w:cs="Cambria"/>
          <w:bCs/>
          <w:szCs w:val="22"/>
        </w:rPr>
        <w:t> </w:t>
      </w:r>
      <w:r w:rsidRPr="0090414A">
        <w:rPr>
          <w:rFonts w:asciiTheme="majorHAnsi" w:hAnsiTheme="majorHAnsi" w:cs="Cambria"/>
          <w:bCs/>
          <w:szCs w:val="22"/>
        </w:rPr>
        <w:t>úver úspešných len 5,1 % podnikateľov</w:t>
      </w:r>
      <w:r w:rsidRPr="0090414A">
        <w:rPr>
          <w:rStyle w:val="Odkaznapoznmkupodiarou"/>
          <w:rFonts w:asciiTheme="majorHAnsi" w:hAnsiTheme="majorHAnsi" w:cs="Cambria"/>
          <w:bCs/>
          <w:szCs w:val="22"/>
        </w:rPr>
        <w:footnoteReference w:id="239"/>
      </w:r>
      <w:r w:rsidRPr="0090414A">
        <w:rPr>
          <w:rFonts w:asciiTheme="majorHAnsi" w:hAnsiTheme="majorHAnsi" w:cs="Cambria"/>
          <w:bCs/>
          <w:szCs w:val="22"/>
        </w:rPr>
        <w:t xml:space="preserve">, čo je </w:t>
      </w:r>
      <w:r w:rsidRPr="0090414A">
        <w:rPr>
          <w:rFonts w:asciiTheme="majorHAnsi" w:hAnsiTheme="majorHAnsi" w:cs="Cambria"/>
          <w:bCs/>
          <w:szCs w:val="22"/>
        </w:rPr>
        <w:lastRenderedPageBreak/>
        <w:t>najnižšia úspešnosť zo všetkých samosprávnych krajov SR. V porovnaní s r</w:t>
      </w:r>
      <w:r w:rsidR="0090414A">
        <w:rPr>
          <w:rFonts w:asciiTheme="majorHAnsi" w:hAnsiTheme="majorHAnsi" w:cs="Cambria"/>
          <w:bCs/>
          <w:szCs w:val="22"/>
        </w:rPr>
        <w:t>okom</w:t>
      </w:r>
      <w:r w:rsidRPr="0090414A">
        <w:rPr>
          <w:rFonts w:asciiTheme="majorHAnsi" w:hAnsiTheme="majorHAnsi" w:cs="Cambria"/>
          <w:bCs/>
          <w:szCs w:val="22"/>
        </w:rPr>
        <w:t xml:space="preserve"> 2008 konštatovalo výrazné zhoršenie podmienok financovania až 12,9 % respondentov, čo bol najvyšší podiel zo všetkých samosprávnych krajov.</w:t>
      </w:r>
    </w:p>
    <w:p w:rsidR="004E2940" w:rsidRPr="00A413E4" w:rsidRDefault="004E2940" w:rsidP="004E2940">
      <w:pPr>
        <w:spacing w:after="0"/>
        <w:rPr>
          <w:rFonts w:asciiTheme="majorHAnsi" w:hAnsiTheme="majorHAnsi" w:cs="Cambria"/>
          <w:bCs/>
          <w:szCs w:val="22"/>
        </w:rPr>
      </w:pPr>
      <w:r w:rsidRPr="003A1245">
        <w:rPr>
          <w:rFonts w:asciiTheme="majorHAnsi" w:hAnsiTheme="majorHAnsi" w:cs="Cambria"/>
          <w:bCs/>
          <w:szCs w:val="22"/>
        </w:rPr>
        <w:t>Výrazné zastúpenie podnikov v BSK predstavuje významný absorpčný potenciál pre aplikáciu finančných nástrojov. Podľa analýzy finančnej medzery MSP predstavuje absorpčný potenciál BSK pre úverový nástroj 144,2 mil. EUR. Zahrnutím tohto regiónu by sa absorpčný potenciál úverového nástroja realizovaného na národnej úrovni zväčšil až o 20,7 %. V</w:t>
      </w:r>
      <w:r w:rsidR="00793682">
        <w:rPr>
          <w:rFonts w:asciiTheme="majorHAnsi" w:hAnsiTheme="majorHAnsi" w:cs="Cambria"/>
          <w:bCs/>
          <w:szCs w:val="22"/>
        </w:rPr>
        <w:t> </w:t>
      </w:r>
      <w:r w:rsidRPr="003A1245">
        <w:rPr>
          <w:rFonts w:asciiTheme="majorHAnsi" w:hAnsiTheme="majorHAnsi" w:cs="Cambria"/>
          <w:bCs/>
          <w:szCs w:val="22"/>
        </w:rPr>
        <w:t xml:space="preserve">prípade stredných podnikov predstavuje zväčšenie absorpčného potenciálu až 31 %. Vylúčenie BSK z podpory </w:t>
      </w:r>
      <w:r w:rsidRPr="00A413E4">
        <w:rPr>
          <w:rFonts w:asciiTheme="majorHAnsi" w:hAnsiTheme="majorHAnsi" w:cs="Cambria"/>
          <w:bCs/>
          <w:szCs w:val="22"/>
        </w:rPr>
        <w:t>spôsobovalo veľké problémy pri nastavovaní kritérií udržateľnosti jednotlivých finančných nástrojov iniciatívy JEREMIE, ako aj ich atraktivity pre komerčných sprostredkovateľov, čo prispelo k</w:t>
      </w:r>
      <w:r w:rsidR="00793682">
        <w:rPr>
          <w:rFonts w:asciiTheme="majorHAnsi" w:hAnsiTheme="majorHAnsi" w:cs="Cambria"/>
          <w:bCs/>
          <w:szCs w:val="22"/>
        </w:rPr>
        <w:t> </w:t>
      </w:r>
      <w:r w:rsidRPr="00A413E4">
        <w:rPr>
          <w:rFonts w:asciiTheme="majorHAnsi" w:hAnsiTheme="majorHAnsi" w:cs="Cambria"/>
          <w:bCs/>
          <w:szCs w:val="22"/>
        </w:rPr>
        <w:t>výraznému oneskoreniu spustenia tejto iniciatívy v SR.</w:t>
      </w:r>
    </w:p>
    <w:p w:rsidR="004E2940" w:rsidRPr="003A1245" w:rsidRDefault="004E2940" w:rsidP="004E2940">
      <w:pPr>
        <w:spacing w:after="0"/>
        <w:rPr>
          <w:rFonts w:asciiTheme="majorHAnsi" w:hAnsiTheme="majorHAnsi" w:cs="Cambria"/>
          <w:szCs w:val="22"/>
        </w:rPr>
      </w:pPr>
      <w:r w:rsidRPr="00A413E4">
        <w:rPr>
          <w:rFonts w:asciiTheme="majorHAnsi" w:hAnsiTheme="majorHAnsi" w:cs="Cambria"/>
          <w:bCs/>
          <w:szCs w:val="22"/>
        </w:rPr>
        <w:t xml:space="preserve">Vzhľadom na uvedené špecifiká BSK, podpora by mala byť realizovaná najmä prostredníctvom finančných nástrojov, ktorých cieľom je zlepšiť prístup MSP k financiám, a to najmä začínajúcich podnikov, ktorých vznik prebieha s vysokou intenzitou. </w:t>
      </w:r>
      <w:r w:rsidR="00A025BD">
        <w:rPr>
          <w:rFonts w:asciiTheme="majorHAnsi" w:hAnsiTheme="majorHAnsi" w:cs="Cambria"/>
          <w:bCs/>
          <w:szCs w:val="22"/>
        </w:rPr>
        <w:t xml:space="preserve">Nakoľko podpora len vo forme finančnej pomoci spravidla nedokáže zabezpečiť dlhodobý rast konkurencieschopnosti </w:t>
      </w:r>
      <w:r w:rsidRPr="00A413E4">
        <w:rPr>
          <w:rFonts w:asciiTheme="majorHAnsi" w:hAnsiTheme="majorHAnsi" w:cs="Cambria"/>
          <w:bCs/>
          <w:szCs w:val="22"/>
        </w:rPr>
        <w:t>MSP</w:t>
      </w:r>
      <w:r w:rsidR="00A025BD">
        <w:rPr>
          <w:rFonts w:asciiTheme="majorHAnsi" w:hAnsiTheme="majorHAnsi" w:cs="Cambria"/>
          <w:bCs/>
          <w:szCs w:val="22"/>
        </w:rPr>
        <w:t>,</w:t>
      </w:r>
      <w:r w:rsidRPr="00A413E4">
        <w:rPr>
          <w:rFonts w:asciiTheme="majorHAnsi" w:hAnsiTheme="majorHAnsi" w:cs="Cambria"/>
          <w:bCs/>
          <w:szCs w:val="22"/>
        </w:rPr>
        <w:t xml:space="preserve"> bude vytvorené podnikateľské centrum, ktoré bude fungovať ako one-stop-shop</w:t>
      </w:r>
      <w:r w:rsidR="00AC0AF9">
        <w:rPr>
          <w:rStyle w:val="Odkaznapoznmkupodiarou"/>
          <w:rFonts w:asciiTheme="majorHAnsi" w:hAnsiTheme="majorHAnsi"/>
          <w:bCs/>
          <w:szCs w:val="22"/>
        </w:rPr>
        <w:footnoteReference w:id="240"/>
      </w:r>
      <w:r w:rsidRPr="00A413E4">
        <w:rPr>
          <w:rFonts w:asciiTheme="majorHAnsi" w:hAnsiTheme="majorHAnsi" w:cs="Cambria"/>
          <w:bCs/>
          <w:szCs w:val="22"/>
        </w:rPr>
        <w:t xml:space="preserve"> štruktúra zabezpečujúca kombinované služby (informovanie, poradenstvo, financovanie, kontakty, priestory, zariadenia, administratívne a organizačné služby) s cieľom dlhodobej podpory najmä začínajúcich, ale aj existujúcich MSP. Vytvorenie podnikateľského centra v BSK predstavuje model, ktorý bude následne zavedený v ostatných regiónoch SR. </w:t>
      </w:r>
      <w:r w:rsidR="00A1775B" w:rsidRPr="00EF155F">
        <w:rPr>
          <w:rFonts w:asciiTheme="majorHAnsi" w:hAnsiTheme="majorHAnsi"/>
          <w:szCs w:val="22"/>
        </w:rPr>
        <w:t>Oproti parciálne vybudovaným inkubátorom zameraným na podporu úzko definovanej skupiny inkubátorových firiem, budú centrá (a v rámci nich inkubátory) existovať ako súčasť konceptu one-stop-shop v rá</w:t>
      </w:r>
      <w:r w:rsidR="00A1775B">
        <w:rPr>
          <w:rFonts w:asciiTheme="majorHAnsi" w:hAnsiTheme="majorHAnsi"/>
          <w:szCs w:val="22"/>
        </w:rPr>
        <w:t>mci jednej prepojenej štruktúry</w:t>
      </w:r>
      <w:r w:rsidR="00A1775B">
        <w:rPr>
          <w:rStyle w:val="Odkaznapoznmkupodiarou"/>
          <w:szCs w:val="22"/>
        </w:rPr>
        <w:footnoteReference w:id="241"/>
      </w:r>
      <w:r w:rsidR="00A1775B">
        <w:rPr>
          <w:rFonts w:asciiTheme="majorHAnsi" w:hAnsiTheme="majorHAnsi"/>
          <w:szCs w:val="22"/>
        </w:rPr>
        <w:t xml:space="preserve">. </w:t>
      </w:r>
      <w:r w:rsidRPr="00A413E4">
        <w:rPr>
          <w:rFonts w:asciiTheme="majorHAnsi" w:hAnsiTheme="majorHAnsi" w:cs="Cambria"/>
          <w:bCs/>
          <w:szCs w:val="22"/>
        </w:rPr>
        <w:t>MSP budú z</w:t>
      </w:r>
      <w:r w:rsidR="00122C65">
        <w:rPr>
          <w:rFonts w:asciiTheme="majorHAnsi" w:hAnsiTheme="majorHAnsi" w:cs="Cambria"/>
          <w:bCs/>
          <w:szCs w:val="22"/>
        </w:rPr>
        <w:t>ároveň podporené poradenskými</w:t>
      </w:r>
      <w:r w:rsidRPr="00A413E4">
        <w:rPr>
          <w:rFonts w:asciiTheme="majorHAnsi" w:hAnsiTheme="majorHAnsi" w:cs="Cambria"/>
          <w:bCs/>
          <w:szCs w:val="22"/>
        </w:rPr>
        <w:t xml:space="preserve"> službami v oblasti zavádzania inovácií (najmä netechnologických inovácií v sektore služieb), využívania výsledkov vedecko-výskumného procesu a testovania inovatívnych podnikateľských konceptov a zámerov na domácom a zahraničných trhoch. Výsledky týchto aktivít môžu byť následne prenesené prostredníctvom firemných sietí, dodávateľských reťazcov, projektovej spolupráce, prípadne inými spôsobmi do ostatných regiónov SR, čím bude vytvorený „spillover efekt“ transferu </w:t>
      </w:r>
      <w:r w:rsidRPr="003A1245">
        <w:rPr>
          <w:rFonts w:asciiTheme="majorHAnsi" w:hAnsiTheme="majorHAnsi" w:cs="Cambria"/>
          <w:bCs/>
          <w:szCs w:val="22"/>
        </w:rPr>
        <w:t xml:space="preserve">potenciálu kľúčového ekonomického centra štátu. </w:t>
      </w:r>
      <w:r w:rsidRPr="003A1245">
        <w:rPr>
          <w:rFonts w:asciiTheme="majorHAnsi" w:hAnsiTheme="majorHAnsi"/>
          <w:szCs w:val="22"/>
        </w:rPr>
        <w:t>Z pohľadu disperzie hospodárskych aktivít do územia regiónu, ako aj podpory rozvoja regionálnych a subregionálnych centier, je žiaduce venovať zvýšenú podporu malému a strednému podnikaniu vo všetkých sektoroch hospodárstva,</w:t>
      </w:r>
      <w:r w:rsidR="003A1245">
        <w:rPr>
          <w:rFonts w:asciiTheme="majorHAnsi" w:hAnsiTheme="majorHAnsi"/>
          <w:szCs w:val="22"/>
        </w:rPr>
        <w:t xml:space="preserve"> </w:t>
      </w:r>
      <w:r w:rsidRPr="003A1245">
        <w:rPr>
          <w:rFonts w:asciiTheme="majorHAnsi" w:hAnsiTheme="majorHAnsi"/>
          <w:szCs w:val="22"/>
        </w:rPr>
        <w:t>so sústredením sa na miestne špecifiká, danosti, podmienky a potenciály.</w:t>
      </w:r>
    </w:p>
    <w:p w:rsidR="004E2940" w:rsidRPr="003A1245" w:rsidRDefault="004E2940" w:rsidP="00CD70BE">
      <w:pPr>
        <w:pStyle w:val="Nadpis4"/>
        <w:numPr>
          <w:ilvl w:val="3"/>
          <w:numId w:val="52"/>
        </w:numPr>
        <w:rPr>
          <w:b w:val="0"/>
          <w:bCs w:val="0"/>
          <w:sz w:val="22"/>
          <w:szCs w:val="22"/>
        </w:rPr>
      </w:pPr>
      <w:r w:rsidRPr="003A1245">
        <w:rPr>
          <w:b w:val="0"/>
          <w:bCs w:val="0"/>
          <w:sz w:val="22"/>
          <w:szCs w:val="22"/>
        </w:rPr>
        <w:t xml:space="preserve"> Infraštruktúra pre hospodársky rast a tvorbu pracovných miest</w:t>
      </w:r>
    </w:p>
    <w:p w:rsidR="004E2940" w:rsidRPr="003A1245" w:rsidRDefault="009F723A" w:rsidP="00671A61">
      <w:pPr>
        <w:spacing w:after="0"/>
        <w:rPr>
          <w:rFonts w:asciiTheme="majorHAnsi" w:hAnsiTheme="majorHAnsi" w:cs="Cambria"/>
          <w:szCs w:val="22"/>
        </w:rPr>
      </w:pPr>
      <w:r w:rsidRPr="004B6F41">
        <w:rPr>
          <w:rFonts w:asciiTheme="majorHAnsi" w:hAnsiTheme="majorHAnsi"/>
          <w:szCs w:val="22"/>
        </w:rPr>
        <w:t>Lokalizácia aktivít založených na endogénnom potenciáli BSK dôležitých pre hospodársky rast a</w:t>
      </w:r>
      <w:r w:rsidR="00793682">
        <w:rPr>
          <w:rFonts w:asciiTheme="majorHAnsi" w:hAnsiTheme="majorHAnsi"/>
          <w:szCs w:val="22"/>
        </w:rPr>
        <w:t> </w:t>
      </w:r>
      <w:r w:rsidRPr="004B6F41">
        <w:rPr>
          <w:rFonts w:asciiTheme="majorHAnsi" w:hAnsiTheme="majorHAnsi"/>
          <w:szCs w:val="22"/>
        </w:rPr>
        <w:t>zamestnanosť</w:t>
      </w:r>
      <w:r w:rsidR="00793682">
        <w:rPr>
          <w:rFonts w:asciiTheme="majorHAnsi" w:hAnsiTheme="majorHAnsi"/>
          <w:szCs w:val="22"/>
        </w:rPr>
        <w:t xml:space="preserve"> </w:t>
      </w:r>
      <w:r w:rsidRPr="004B6F41">
        <w:rPr>
          <w:rFonts w:asciiTheme="majorHAnsi" w:hAnsiTheme="majorHAnsi"/>
          <w:szCs w:val="22"/>
        </w:rPr>
        <w:t xml:space="preserve">výrazne mení štruktúru a intenzitu dopravy. Na túto zmenu musí reagovať aj koncepcia dopravnej infraštruktúry regiónu, ktorá bude schopná riešiť špecifické potreby prepravy </w:t>
      </w:r>
      <w:r w:rsidRPr="004B6F41">
        <w:rPr>
          <w:rFonts w:asciiTheme="majorHAnsi" w:hAnsiTheme="majorHAnsi"/>
          <w:szCs w:val="22"/>
        </w:rPr>
        <w:lastRenderedPageBreak/>
        <w:t>a dopravy. Nedostatočné využitie potenciálu dopravnej siete znižuje mieru ekonomickej interakcie endogénnych zdrojov regiónu. Udržateľný model mobility v regióne preto vyžaduje intervencie do interoperability pre rôzne druhy dopravy, do bezpečnosti pre najohrozenejšie skupiny účastníkov cestnej premávky, do kapacity schopnej zabezpečiť plynulosť dopravy pri vysokej intenzite dopravy a do inteligentnej dopravy poskytujúcej informácie účastníkom cestnej premávky.</w:t>
      </w:r>
    </w:p>
    <w:p w:rsidR="004E2940" w:rsidRPr="003A1245" w:rsidRDefault="004E2940" w:rsidP="0058251A">
      <w:pPr>
        <w:pStyle w:val="Nadpis5"/>
        <w:numPr>
          <w:ilvl w:val="4"/>
          <w:numId w:val="52"/>
        </w:numPr>
        <w:ind w:left="1292"/>
        <w:rPr>
          <w:szCs w:val="22"/>
        </w:rPr>
      </w:pPr>
      <w:r w:rsidRPr="003A1245">
        <w:rPr>
          <w:szCs w:val="22"/>
        </w:rPr>
        <w:t>TC7: Podpora udržateľnej dopravy a odstraňovanie prekážok v kľúčových sieťových infraštruktúrach</w:t>
      </w:r>
    </w:p>
    <w:p w:rsidR="009F723A" w:rsidRPr="004B6F41" w:rsidRDefault="002975BE" w:rsidP="009F723A">
      <w:pPr>
        <w:spacing w:after="0"/>
        <w:rPr>
          <w:rFonts w:asciiTheme="majorHAnsi" w:hAnsiTheme="majorHAnsi" w:cs="Cambria"/>
          <w:szCs w:val="22"/>
        </w:rPr>
      </w:pPr>
      <w:r>
        <w:rPr>
          <w:rFonts w:asciiTheme="majorHAnsi" w:hAnsiTheme="majorHAnsi" w:cs="Cambria"/>
          <w:szCs w:val="22"/>
        </w:rPr>
        <w:t>Výrazný presun tranzitnej dopravy na národne významné prepravné koridory vytvoril potrebu zabezpečiť na regionálnej úrovni prepravnú obsluhu územia nákladnými vozidlami modernizáciou ciest II. a</w:t>
      </w:r>
      <w:r w:rsidR="0058251A">
        <w:rPr>
          <w:rFonts w:asciiTheme="majorHAnsi" w:hAnsiTheme="majorHAnsi" w:cs="Cambria"/>
          <w:szCs w:val="22"/>
        </w:rPr>
        <w:t xml:space="preserve"> prípadne </w:t>
      </w:r>
      <w:r>
        <w:rPr>
          <w:rFonts w:asciiTheme="majorHAnsi" w:hAnsiTheme="majorHAnsi" w:cs="Cambria"/>
          <w:szCs w:val="22"/>
        </w:rPr>
        <w:t xml:space="preserve">III. triedy tam, kde obmedzenie nákladnej dopravy z ekonomického hľadiska nie je vhodné. </w:t>
      </w:r>
      <w:r w:rsidR="009F723A">
        <w:rPr>
          <w:rFonts w:asciiTheme="majorHAnsi" w:hAnsiTheme="majorHAnsi" w:cs="Cambria"/>
          <w:szCs w:val="22"/>
        </w:rPr>
        <w:t>V</w:t>
      </w:r>
      <w:r w:rsidR="004E2940" w:rsidRPr="003A1245">
        <w:rPr>
          <w:rFonts w:asciiTheme="majorHAnsi" w:hAnsiTheme="majorHAnsi" w:cs="Cambria"/>
          <w:szCs w:val="22"/>
        </w:rPr>
        <w:t>yhodnoteni</w:t>
      </w:r>
      <w:r w:rsidR="009F723A">
        <w:rPr>
          <w:rFonts w:asciiTheme="majorHAnsi" w:hAnsiTheme="majorHAnsi" w:cs="Cambria"/>
          <w:szCs w:val="22"/>
        </w:rPr>
        <w:t>e</w:t>
      </w:r>
      <w:r w:rsidR="004E2940" w:rsidRPr="003A1245">
        <w:rPr>
          <w:rFonts w:asciiTheme="majorHAnsi" w:hAnsiTheme="majorHAnsi" w:cs="Cambria"/>
          <w:szCs w:val="22"/>
        </w:rPr>
        <w:t xml:space="preserve"> stavu cestnej infraštruktúry v BSK v roku 2012 </w:t>
      </w:r>
      <w:r w:rsidR="009F723A">
        <w:rPr>
          <w:rFonts w:asciiTheme="majorHAnsi" w:hAnsiTheme="majorHAnsi" w:cs="Cambria"/>
          <w:szCs w:val="22"/>
        </w:rPr>
        <w:t>identifikovalo</w:t>
      </w:r>
      <w:r w:rsidR="004E2940" w:rsidRPr="003A1245">
        <w:rPr>
          <w:rFonts w:asciiTheme="majorHAnsi" w:hAnsiTheme="majorHAnsi" w:cs="Cambria"/>
          <w:szCs w:val="22"/>
        </w:rPr>
        <w:t xml:space="preserve"> z celkovej dĺžky ciest II. triedy v správe BSK až 76,9 % v nepriaznivom stave (t. j. nevyhovujúci a havarijný stav)</w:t>
      </w:r>
      <w:r w:rsidR="004E2940" w:rsidRPr="003A1245">
        <w:rPr>
          <w:rStyle w:val="Odkaznapoznmkupodiarou"/>
          <w:rFonts w:asciiTheme="majorHAnsi" w:hAnsiTheme="majorHAnsi" w:cs="Cambria"/>
          <w:szCs w:val="22"/>
        </w:rPr>
        <w:footnoteReference w:id="242"/>
      </w:r>
      <w:r w:rsidR="004E2940" w:rsidRPr="003A1245">
        <w:rPr>
          <w:rFonts w:asciiTheme="majorHAnsi" w:hAnsiTheme="majorHAnsi" w:cs="Cambria"/>
          <w:szCs w:val="22"/>
        </w:rPr>
        <w:t>. Pri cestách III. triedy z celkovej dĺžky v správe BSK vykazuje nepriaznivý stav dokonca až 87,7 % ciest. Tento nepriaznivý stav je spôsobený nadmernou záťažou cestnej premávky z dôvodu hlavného medziregionálneho a nadnárodného dopravného koridoru. Tomuto stavu neprispieva ani priemerný počet osobných vozidiel na obyvateľa, ktorý prevyšuje slovenský priemer počtu vozidiel na obyvateľa o 54 % a dosiahol tak 0,5 vozidla na jedného obyvateľa v BSK v roku 2012. Cestná sieť nie je zároveň prispôsobená tomuto trendu, keďže v súčasnosti je len jedna cesta II. triedy z ôsmich priamo napojená na dostatočne rozvinutú sieť TEN-T v</w:t>
      </w:r>
      <w:r w:rsidR="009F723A">
        <w:rPr>
          <w:rFonts w:asciiTheme="majorHAnsi" w:hAnsiTheme="majorHAnsi" w:cs="Cambria"/>
          <w:szCs w:val="22"/>
        </w:rPr>
        <w:t> </w:t>
      </w:r>
      <w:r w:rsidR="004E2940" w:rsidRPr="003A1245">
        <w:rPr>
          <w:rFonts w:asciiTheme="majorHAnsi" w:hAnsiTheme="majorHAnsi" w:cs="Cambria"/>
          <w:szCs w:val="22"/>
        </w:rPr>
        <w:t>BSK</w:t>
      </w:r>
      <w:r w:rsidR="009F723A">
        <w:rPr>
          <w:rFonts w:asciiTheme="majorHAnsi" w:hAnsiTheme="majorHAnsi" w:cs="Cambria"/>
          <w:szCs w:val="22"/>
        </w:rPr>
        <w:t>.</w:t>
      </w:r>
      <w:r w:rsidR="009F723A" w:rsidRPr="004B6F41">
        <w:rPr>
          <w:rFonts w:asciiTheme="majorHAnsi" w:hAnsiTheme="majorHAnsi" w:cs="Cambria"/>
          <w:szCs w:val="22"/>
        </w:rPr>
        <w:t xml:space="preserve"> Intenzita dopravy na tejto kategórii ciest prevyšuje až trojnásobok</w:t>
      </w:r>
      <w:r w:rsidR="00583D94">
        <w:rPr>
          <w:rFonts w:asciiTheme="majorHAnsi" w:hAnsiTheme="majorHAnsi" w:cs="Cambria"/>
          <w:szCs w:val="22"/>
        </w:rPr>
        <w:t xml:space="preserve"> </w:t>
      </w:r>
      <w:r w:rsidR="009F723A" w:rsidRPr="00CD2DC4">
        <w:rPr>
          <w:rFonts w:asciiTheme="majorHAnsi" w:hAnsiTheme="majorHAnsi" w:cs="Cambria"/>
          <w:szCs w:val="22"/>
          <w:vertAlign w:val="superscript"/>
        </w:rPr>
        <w:footnoteReference w:id="243"/>
      </w:r>
      <w:r w:rsidR="009F723A" w:rsidRPr="004B6F41">
        <w:rPr>
          <w:rFonts w:asciiTheme="majorHAnsi" w:hAnsiTheme="majorHAnsi" w:cs="Cambria"/>
          <w:szCs w:val="22"/>
        </w:rPr>
        <w:t xml:space="preserve"> priemernej intenzity Slovenska, napriek tomu oblasť regionálnych ciest nebola podporená v programovom období 2007 – 2013.</w:t>
      </w:r>
    </w:p>
    <w:p w:rsidR="002975BE" w:rsidRDefault="002975BE" w:rsidP="002975BE">
      <w:pPr>
        <w:spacing w:after="0"/>
        <w:rPr>
          <w:rFonts w:asciiTheme="majorHAnsi" w:hAnsiTheme="majorHAnsi" w:cs="Cambria"/>
          <w:szCs w:val="22"/>
        </w:rPr>
      </w:pPr>
      <w:r>
        <w:rPr>
          <w:rFonts w:asciiTheme="majorHAnsi" w:hAnsiTheme="majorHAnsi" w:cs="Cambria"/>
          <w:szCs w:val="22"/>
        </w:rPr>
        <w:t xml:space="preserve">Nosnú časť integrovaného dopravného systému BSK tvorí koľajová doprava, ktorej dostupnosť sa zvyšuje budovaním komplementárnej infraštruktúry </w:t>
      </w:r>
      <w:r w:rsidR="00793682">
        <w:rPr>
          <w:rFonts w:asciiTheme="majorHAnsi" w:hAnsiTheme="majorHAnsi" w:cs="Cambria"/>
          <w:szCs w:val="22"/>
        </w:rPr>
        <w:t>VOD</w:t>
      </w:r>
      <w:r>
        <w:rPr>
          <w:rFonts w:asciiTheme="majorHAnsi" w:hAnsiTheme="majorHAnsi" w:cs="Cambria"/>
          <w:szCs w:val="22"/>
        </w:rPr>
        <w:t xml:space="preserve"> a harmonizáciou výkonov poskytovateľov dopravy. Zabezpečenie väzieb na koľajovú dopravu, ktoré sú tvorené infraštruktúrou </w:t>
      </w:r>
      <w:r w:rsidR="00793682">
        <w:rPr>
          <w:rFonts w:asciiTheme="majorHAnsi" w:hAnsiTheme="majorHAnsi" w:cs="Cambria"/>
          <w:szCs w:val="22"/>
        </w:rPr>
        <w:t>VOD</w:t>
      </w:r>
      <w:r>
        <w:rPr>
          <w:rFonts w:asciiTheme="majorHAnsi" w:hAnsiTheme="majorHAnsi" w:cs="Cambria"/>
          <w:szCs w:val="22"/>
        </w:rPr>
        <w:t xml:space="preserve"> (ako napr. integrované terminály, prestupné zastávky, informačné systémy) a nemotorovej dopravy, zvyšuje účinnosť </w:t>
      </w:r>
      <w:r w:rsidR="00793682">
        <w:rPr>
          <w:rFonts w:asciiTheme="majorHAnsi" w:hAnsiTheme="majorHAnsi" w:cs="Cambria"/>
          <w:szCs w:val="22"/>
        </w:rPr>
        <w:t>IDS</w:t>
      </w:r>
      <w:r>
        <w:rPr>
          <w:rFonts w:asciiTheme="majorHAnsi" w:hAnsiTheme="majorHAnsi" w:cs="Cambria"/>
          <w:szCs w:val="22"/>
        </w:rPr>
        <w:t xml:space="preserve">, jeho konkurencieschopnosť a atraktívnosť. Nárast individuálnej dopravy na úkor </w:t>
      </w:r>
      <w:r w:rsidR="00334025">
        <w:rPr>
          <w:rFonts w:asciiTheme="majorHAnsi" w:hAnsiTheme="majorHAnsi" w:cs="Cambria"/>
          <w:szCs w:val="22"/>
        </w:rPr>
        <w:t>VOD</w:t>
      </w:r>
      <w:r>
        <w:rPr>
          <w:rFonts w:asciiTheme="majorHAnsi" w:hAnsiTheme="majorHAnsi" w:cs="Cambria"/>
          <w:szCs w:val="22"/>
        </w:rPr>
        <w:t>, výskyt kongescií na vstupoch do hl. mesta SR Bratislavy a neefektívnej dochádzky za prácou zhoršuje kvalitu ovzdušia a dennú mobilitu obyvateľov.</w:t>
      </w:r>
    </w:p>
    <w:p w:rsidR="004E2940" w:rsidRPr="003E3C2A" w:rsidRDefault="004E2940" w:rsidP="004E2940">
      <w:pPr>
        <w:spacing w:after="0"/>
        <w:rPr>
          <w:rFonts w:asciiTheme="majorHAnsi" w:hAnsiTheme="majorHAnsi" w:cs="Cambria"/>
          <w:szCs w:val="22"/>
        </w:rPr>
      </w:pPr>
      <w:r w:rsidRPr="003E3C2A">
        <w:rPr>
          <w:rFonts w:asciiTheme="majorHAnsi" w:hAnsiTheme="majorHAnsi" w:cs="Cambria"/>
          <w:szCs w:val="22"/>
        </w:rPr>
        <w:t>Vzhľadom na potrebu postupného vyraďovania konvenčne poháňaných automobilov z premávky v mestách, bude najmä v Bratislave a jej periférii výzvou pre budúce obdobie podporovať rozsiahlejšie využívanie bicyklov, pešej chôdze a </w:t>
      </w:r>
      <w:r w:rsidR="00334025">
        <w:rPr>
          <w:rFonts w:asciiTheme="majorHAnsi" w:hAnsiTheme="majorHAnsi" w:cs="Cambria"/>
          <w:szCs w:val="22"/>
        </w:rPr>
        <w:t>VOD</w:t>
      </w:r>
      <w:r w:rsidRPr="003E3C2A">
        <w:rPr>
          <w:rFonts w:asciiTheme="majorHAnsi" w:hAnsiTheme="majorHAnsi" w:cs="Cambria"/>
          <w:szCs w:val="22"/>
        </w:rPr>
        <w:t>.</w:t>
      </w:r>
    </w:p>
    <w:p w:rsidR="004E2940" w:rsidRPr="003E3C2A" w:rsidRDefault="004E2940" w:rsidP="0058251A">
      <w:pPr>
        <w:pStyle w:val="Nadpis4"/>
        <w:numPr>
          <w:ilvl w:val="3"/>
          <w:numId w:val="52"/>
        </w:numPr>
        <w:rPr>
          <w:b w:val="0"/>
          <w:bCs w:val="0"/>
          <w:sz w:val="22"/>
          <w:szCs w:val="22"/>
        </w:rPr>
      </w:pPr>
      <w:r w:rsidRPr="003E3C2A">
        <w:rPr>
          <w:b w:val="0"/>
          <w:bCs w:val="0"/>
          <w:sz w:val="22"/>
          <w:szCs w:val="22"/>
        </w:rPr>
        <w:t>Rozvoj ľudského kapitálu a zlepšenie účasti na trhu práce</w:t>
      </w:r>
    </w:p>
    <w:p w:rsidR="00870F42" w:rsidRDefault="004E2940" w:rsidP="004E2940">
      <w:pPr>
        <w:spacing w:after="0"/>
        <w:rPr>
          <w:rFonts w:asciiTheme="majorHAnsi" w:hAnsiTheme="majorHAnsi" w:cstheme="majorHAnsi"/>
          <w:szCs w:val="22"/>
        </w:rPr>
      </w:pPr>
      <w:r w:rsidRPr="003E3C2A">
        <w:rPr>
          <w:rFonts w:asciiTheme="majorHAnsi" w:hAnsiTheme="majorHAnsi" w:cs="Cambria"/>
          <w:szCs w:val="22"/>
        </w:rPr>
        <w:t xml:space="preserve">Tempo hospodárskeho </w:t>
      </w:r>
      <w:r w:rsidR="00EA111E">
        <w:rPr>
          <w:rFonts w:asciiTheme="majorHAnsi" w:hAnsiTheme="majorHAnsi" w:cs="Cambria"/>
          <w:szCs w:val="22"/>
        </w:rPr>
        <w:t xml:space="preserve">rastu </w:t>
      </w:r>
      <w:r w:rsidRPr="003E3C2A">
        <w:rPr>
          <w:rFonts w:asciiTheme="majorHAnsi" w:hAnsiTheme="majorHAnsi" w:cs="Cambria"/>
          <w:szCs w:val="22"/>
        </w:rPr>
        <w:t>BSK, ktor</w:t>
      </w:r>
      <w:r w:rsidR="00EA111E">
        <w:rPr>
          <w:rFonts w:asciiTheme="majorHAnsi" w:hAnsiTheme="majorHAnsi" w:cs="Cambria"/>
          <w:szCs w:val="22"/>
        </w:rPr>
        <w:t>é</w:t>
      </w:r>
      <w:r w:rsidRPr="003E3C2A">
        <w:rPr>
          <w:rFonts w:asciiTheme="majorHAnsi" w:hAnsiTheme="majorHAnsi" w:cs="Cambria"/>
          <w:szCs w:val="22"/>
        </w:rPr>
        <w:t xml:space="preserve"> v roku 2010 dosiah</w:t>
      </w:r>
      <w:r w:rsidR="00EA111E">
        <w:rPr>
          <w:rFonts w:asciiTheme="majorHAnsi" w:hAnsiTheme="majorHAnsi" w:cs="Cambria"/>
          <w:szCs w:val="22"/>
        </w:rPr>
        <w:t>lo</w:t>
      </w:r>
      <w:r w:rsidRPr="003E3C2A">
        <w:rPr>
          <w:rFonts w:asciiTheme="majorHAnsi" w:hAnsiTheme="majorHAnsi" w:cs="Cambria"/>
          <w:szCs w:val="22"/>
        </w:rPr>
        <w:t xml:space="preserve"> </w:t>
      </w:r>
      <w:r w:rsidR="00EA111E">
        <w:rPr>
          <w:rFonts w:asciiTheme="majorHAnsi" w:hAnsiTheme="majorHAnsi" w:cs="Cambria"/>
          <w:szCs w:val="22"/>
        </w:rPr>
        <w:t>188</w:t>
      </w:r>
      <w:r w:rsidRPr="003E3C2A">
        <w:rPr>
          <w:rFonts w:asciiTheme="majorHAnsi" w:hAnsiTheme="majorHAnsi" w:cs="Cambria"/>
          <w:szCs w:val="22"/>
        </w:rPr>
        <w:t xml:space="preserve"> %</w:t>
      </w:r>
      <w:r w:rsidRPr="003E3C2A">
        <w:rPr>
          <w:rStyle w:val="Odkaznapoznmkupodiarou"/>
          <w:rFonts w:asciiTheme="majorHAnsi" w:hAnsiTheme="majorHAnsi" w:cs="Cambria"/>
          <w:szCs w:val="22"/>
        </w:rPr>
        <w:footnoteReference w:id="244"/>
      </w:r>
      <w:r w:rsidRPr="003E3C2A">
        <w:rPr>
          <w:rFonts w:asciiTheme="majorHAnsi" w:hAnsiTheme="majorHAnsi" w:cs="Cambria"/>
          <w:szCs w:val="22"/>
        </w:rPr>
        <w:t xml:space="preserve"> ročn</w:t>
      </w:r>
      <w:r w:rsidR="00EA111E">
        <w:rPr>
          <w:rFonts w:asciiTheme="majorHAnsi" w:hAnsiTheme="majorHAnsi" w:cs="Cambria"/>
          <w:szCs w:val="22"/>
        </w:rPr>
        <w:t>ého</w:t>
      </w:r>
      <w:r w:rsidRPr="003E3C2A">
        <w:rPr>
          <w:rFonts w:asciiTheme="majorHAnsi" w:hAnsiTheme="majorHAnsi" w:cs="Cambria"/>
          <w:szCs w:val="22"/>
        </w:rPr>
        <w:t xml:space="preserve"> h</w:t>
      </w:r>
      <w:r w:rsidR="00EA111E">
        <w:rPr>
          <w:rFonts w:asciiTheme="majorHAnsi" w:hAnsiTheme="majorHAnsi" w:cs="Cambria"/>
          <w:szCs w:val="22"/>
        </w:rPr>
        <w:t>rubého</w:t>
      </w:r>
      <w:r w:rsidRPr="003E3C2A">
        <w:rPr>
          <w:rFonts w:asciiTheme="majorHAnsi" w:hAnsiTheme="majorHAnsi" w:cs="Cambria"/>
          <w:szCs w:val="22"/>
        </w:rPr>
        <w:t xml:space="preserve"> </w:t>
      </w:r>
      <w:r w:rsidR="00EA111E">
        <w:rPr>
          <w:rFonts w:asciiTheme="majorHAnsi" w:hAnsiTheme="majorHAnsi" w:cs="Cambria"/>
          <w:szCs w:val="22"/>
        </w:rPr>
        <w:t>domáceho</w:t>
      </w:r>
      <w:r w:rsidRPr="003E3C2A">
        <w:rPr>
          <w:rFonts w:asciiTheme="majorHAnsi" w:hAnsiTheme="majorHAnsi" w:cs="Cambria"/>
          <w:szCs w:val="22"/>
        </w:rPr>
        <w:t xml:space="preserve"> </w:t>
      </w:r>
      <w:r w:rsidR="00EA111E">
        <w:rPr>
          <w:rFonts w:asciiTheme="majorHAnsi" w:hAnsiTheme="majorHAnsi" w:cs="Cambria"/>
          <w:szCs w:val="22"/>
        </w:rPr>
        <w:t xml:space="preserve">produktu na obyvateľa podľa PPS </w:t>
      </w:r>
      <w:r w:rsidRPr="003E3C2A">
        <w:rPr>
          <w:rFonts w:asciiTheme="majorHAnsi" w:hAnsiTheme="majorHAnsi" w:cs="Cambria"/>
          <w:szCs w:val="22"/>
        </w:rPr>
        <w:t>v porovnaní s rokom 2001 a ročné čisté investície do dlhodobého majetku narástli na 240 %</w:t>
      </w:r>
      <w:r w:rsidRPr="003E3C2A">
        <w:rPr>
          <w:rStyle w:val="Odkaznapoznmkupodiarou"/>
          <w:rFonts w:asciiTheme="majorHAnsi" w:hAnsiTheme="majorHAnsi" w:cs="Cambria"/>
          <w:szCs w:val="22"/>
        </w:rPr>
        <w:footnoteReference w:id="245"/>
      </w:r>
      <w:r w:rsidRPr="003E3C2A">
        <w:rPr>
          <w:rFonts w:asciiTheme="majorHAnsi" w:hAnsiTheme="majorHAnsi" w:cs="Cambria"/>
          <w:szCs w:val="22"/>
        </w:rPr>
        <w:t xml:space="preserve"> v porovnaní s rokom 2001, výrazne prehĺbil</w:t>
      </w:r>
      <w:r w:rsidR="00EA111E">
        <w:rPr>
          <w:rFonts w:asciiTheme="majorHAnsi" w:hAnsiTheme="majorHAnsi" w:cs="Cambria"/>
          <w:szCs w:val="22"/>
        </w:rPr>
        <w:t>i</w:t>
      </w:r>
      <w:r w:rsidRPr="003E3C2A">
        <w:rPr>
          <w:rFonts w:asciiTheme="majorHAnsi" w:hAnsiTheme="majorHAnsi" w:cs="Cambria"/>
          <w:szCs w:val="22"/>
        </w:rPr>
        <w:t xml:space="preserve"> rozdielny stupeň rozvoja</w:t>
      </w:r>
      <w:r w:rsidRPr="003E3C2A">
        <w:rPr>
          <w:rFonts w:asciiTheme="majorHAnsi" w:hAnsiTheme="majorHAnsi" w:cs="Cambria"/>
          <w:b/>
          <w:szCs w:val="22"/>
        </w:rPr>
        <w:t xml:space="preserve"> </w:t>
      </w:r>
      <w:r w:rsidRPr="003E3C2A">
        <w:rPr>
          <w:rFonts w:asciiTheme="majorHAnsi" w:hAnsiTheme="majorHAnsi" w:cs="Cambria"/>
          <w:szCs w:val="22"/>
        </w:rPr>
        <w:t xml:space="preserve">súkromného a verejného sektora. </w:t>
      </w:r>
      <w:r w:rsidR="00EA111E">
        <w:rPr>
          <w:rFonts w:asciiTheme="majorHAnsi" w:hAnsiTheme="majorHAnsi" w:cstheme="majorHAnsi"/>
          <w:szCs w:val="22"/>
        </w:rPr>
        <w:t>Dynamický rast súkromného sektora ovplyvňuje demografický vývoj (napr. migračné saldo, prirodzený prírastok, nárast poproduktívneho obyvateľstva) a vývoj na trhu práce (napr. požiadavky na nové zručnosti, internacionalizácia, celoživotné vzdelávanie), čo si vyžaduje štrukturálne zmeny systémov vzdelávania a sociálnych služieb, ktoré výrazne vplývajú na mieru rozvoja ľudského kapitálu v regióne.</w:t>
      </w:r>
    </w:p>
    <w:p w:rsidR="00870F42" w:rsidRPr="00870F42" w:rsidRDefault="00870F42" w:rsidP="00870F42">
      <w:pPr>
        <w:spacing w:after="0"/>
        <w:rPr>
          <w:rFonts w:asciiTheme="majorHAnsi" w:hAnsiTheme="majorHAnsi" w:cstheme="majorHAnsi"/>
          <w:szCs w:val="22"/>
        </w:rPr>
      </w:pPr>
      <w:r w:rsidRPr="00870F42">
        <w:rPr>
          <w:rFonts w:asciiTheme="majorHAnsi" w:hAnsiTheme="majorHAnsi" w:cstheme="majorHAnsi"/>
          <w:szCs w:val="22"/>
        </w:rPr>
        <w:t>Na Slovensku dochádza za svojou prácou do iného kraja približne 12 % zamestnancov. Z</w:t>
      </w:r>
      <w:r w:rsidR="006504B0">
        <w:rPr>
          <w:rFonts w:asciiTheme="majorHAnsi" w:hAnsiTheme="majorHAnsi" w:cstheme="majorHAnsi"/>
          <w:szCs w:val="22"/>
        </w:rPr>
        <w:t> </w:t>
      </w:r>
      <w:r w:rsidRPr="00870F42">
        <w:rPr>
          <w:rFonts w:asciiTheme="majorHAnsi" w:hAnsiTheme="majorHAnsi" w:cstheme="majorHAnsi"/>
          <w:szCs w:val="22"/>
        </w:rPr>
        <w:t>toho 57 % predstavuje dochádzanie za prácou do B</w:t>
      </w:r>
      <w:r w:rsidR="00CD2DC4">
        <w:rPr>
          <w:rFonts w:asciiTheme="majorHAnsi" w:hAnsiTheme="majorHAnsi" w:cstheme="majorHAnsi"/>
          <w:szCs w:val="22"/>
        </w:rPr>
        <w:t>SK</w:t>
      </w:r>
      <w:r w:rsidRPr="00870F42">
        <w:rPr>
          <w:rFonts w:asciiTheme="majorHAnsi" w:hAnsiTheme="majorHAnsi" w:cstheme="majorHAnsi"/>
          <w:szCs w:val="22"/>
          <w:vertAlign w:val="superscript"/>
        </w:rPr>
        <w:footnoteReference w:id="246"/>
      </w:r>
      <w:r w:rsidRPr="00870F42">
        <w:rPr>
          <w:rFonts w:asciiTheme="majorHAnsi" w:hAnsiTheme="majorHAnsi" w:cstheme="majorHAnsi"/>
          <w:szCs w:val="22"/>
        </w:rPr>
        <w:t xml:space="preserve">. Dôvodom sú vyššie mzdy, väčšie možnosti uplatnenia </w:t>
      </w:r>
      <w:r w:rsidRPr="00870F42">
        <w:rPr>
          <w:rFonts w:asciiTheme="majorHAnsi" w:hAnsiTheme="majorHAnsi" w:cstheme="majorHAnsi"/>
          <w:szCs w:val="22"/>
        </w:rPr>
        <w:lastRenderedPageBreak/>
        <w:t>sa a</w:t>
      </w:r>
      <w:r w:rsidR="006504B0">
        <w:rPr>
          <w:rFonts w:asciiTheme="majorHAnsi" w:hAnsiTheme="majorHAnsi" w:cstheme="majorHAnsi"/>
          <w:szCs w:val="22"/>
        </w:rPr>
        <w:t> </w:t>
      </w:r>
      <w:r w:rsidRPr="00870F42">
        <w:rPr>
          <w:rFonts w:asciiTheme="majorHAnsi" w:hAnsiTheme="majorHAnsi" w:cstheme="majorHAnsi"/>
          <w:szCs w:val="22"/>
        </w:rPr>
        <w:t>veľkí a</w:t>
      </w:r>
      <w:r w:rsidR="006504B0">
        <w:rPr>
          <w:rFonts w:asciiTheme="majorHAnsi" w:hAnsiTheme="majorHAnsi" w:cstheme="majorHAnsi"/>
          <w:szCs w:val="22"/>
        </w:rPr>
        <w:t> </w:t>
      </w:r>
      <w:r w:rsidRPr="00870F42">
        <w:rPr>
          <w:rFonts w:asciiTheme="majorHAnsi" w:hAnsiTheme="majorHAnsi" w:cstheme="majorHAnsi"/>
          <w:szCs w:val="22"/>
        </w:rPr>
        <w:t xml:space="preserve">stabilní zamestnávatelia. Taktiež je tu najväčší počet študentov </w:t>
      </w:r>
      <w:r w:rsidR="006504B0">
        <w:rPr>
          <w:rFonts w:asciiTheme="majorHAnsi" w:hAnsiTheme="majorHAnsi" w:cstheme="majorHAnsi"/>
          <w:szCs w:val="22"/>
        </w:rPr>
        <w:t>VŠ</w:t>
      </w:r>
      <w:r w:rsidRPr="00870F42">
        <w:rPr>
          <w:rFonts w:asciiTheme="majorHAnsi" w:hAnsiTheme="majorHAnsi" w:cstheme="majorHAnsi"/>
          <w:szCs w:val="22"/>
        </w:rPr>
        <w:t>, ktorí v</w:t>
      </w:r>
      <w:r w:rsidR="006504B0">
        <w:rPr>
          <w:rFonts w:asciiTheme="majorHAnsi" w:hAnsiTheme="majorHAnsi" w:cstheme="majorHAnsi"/>
          <w:szCs w:val="22"/>
        </w:rPr>
        <w:t> </w:t>
      </w:r>
      <w:r w:rsidRPr="00870F42">
        <w:rPr>
          <w:rFonts w:asciiTheme="majorHAnsi" w:hAnsiTheme="majorHAnsi" w:cstheme="majorHAnsi"/>
          <w:szCs w:val="22"/>
        </w:rPr>
        <w:t>meste po škole zostávajú pracovať. B</w:t>
      </w:r>
      <w:r w:rsidR="00CD2DC4">
        <w:rPr>
          <w:rFonts w:asciiTheme="majorHAnsi" w:hAnsiTheme="majorHAnsi" w:cstheme="majorHAnsi"/>
          <w:szCs w:val="22"/>
        </w:rPr>
        <w:t>SK</w:t>
      </w:r>
      <w:r w:rsidRPr="00870F42">
        <w:rPr>
          <w:rFonts w:asciiTheme="majorHAnsi" w:hAnsiTheme="majorHAnsi" w:cstheme="majorHAnsi"/>
          <w:szCs w:val="22"/>
        </w:rPr>
        <w:t xml:space="preserve"> je považovaný za viac rozvinutý región, avšak poskytuje príležitosti vzdelávania a zamestnania pre ľudí z menej rozvinutých regiónov.</w:t>
      </w:r>
    </w:p>
    <w:p w:rsidR="004E2940" w:rsidRPr="003E3C2A" w:rsidRDefault="004E2940" w:rsidP="004E2940">
      <w:pPr>
        <w:spacing w:after="0"/>
        <w:rPr>
          <w:rFonts w:asciiTheme="majorHAnsi" w:hAnsiTheme="majorHAnsi" w:cs="Cambria"/>
          <w:szCs w:val="22"/>
        </w:rPr>
      </w:pPr>
      <w:r w:rsidRPr="003E3C2A">
        <w:rPr>
          <w:rFonts w:asciiTheme="majorHAnsi" w:hAnsiTheme="majorHAnsi" w:cs="Cambria"/>
          <w:szCs w:val="22"/>
        </w:rPr>
        <w:t>Od roku 2006 sledujeme na úrovni BSK prirodzený prírastok obyvateľstva. Migračné saldo sa pohybuje v kladnej polohe po celé obdobie 2001 – 2011. Na druhej strane, podľa tejto prognózy</w:t>
      </w:r>
      <w:r w:rsidR="003F5F9E">
        <w:rPr>
          <w:rStyle w:val="Odkaznapoznmkupodiarou"/>
          <w:rFonts w:asciiTheme="majorHAnsi" w:hAnsiTheme="majorHAnsi"/>
          <w:szCs w:val="22"/>
        </w:rPr>
        <w:footnoteReference w:id="247"/>
      </w:r>
      <w:r w:rsidRPr="003E3C2A">
        <w:rPr>
          <w:rFonts w:asciiTheme="majorHAnsi" w:hAnsiTheme="majorHAnsi" w:cs="Cambria"/>
          <w:szCs w:val="22"/>
        </w:rPr>
        <w:t xml:space="preserve">, sa očakáva postupný pokles obyvateľstva v produktívnom veku (15-65 rokov) </w:t>
      </w:r>
      <w:r w:rsidR="003F5F9E">
        <w:rPr>
          <w:rFonts w:asciiTheme="majorHAnsi" w:hAnsiTheme="majorHAnsi" w:cs="Cambria"/>
          <w:szCs w:val="22"/>
        </w:rPr>
        <w:t xml:space="preserve">do roku 2025, ktorý sa najvýraznejšie prejaví v hlavnom meste SR, v Bratislave, kde nastane pokles o 8,5 % oproti roku 2011 </w:t>
      </w:r>
      <w:r w:rsidRPr="003E3C2A">
        <w:rPr>
          <w:rFonts w:asciiTheme="majorHAnsi" w:hAnsiTheme="majorHAnsi" w:cs="Cambria"/>
          <w:szCs w:val="22"/>
        </w:rPr>
        <w:t>a pomerne prudký nárast obyvateľstva v poproduktívnom veku (+65)</w:t>
      </w:r>
      <w:r w:rsidR="00D52564">
        <w:rPr>
          <w:rFonts w:asciiTheme="majorHAnsi" w:hAnsiTheme="majorHAnsi" w:cs="Cambria"/>
          <w:szCs w:val="22"/>
        </w:rPr>
        <w:t xml:space="preserve"> do roku 2025</w:t>
      </w:r>
      <w:r w:rsidRPr="003E3C2A">
        <w:rPr>
          <w:rFonts w:asciiTheme="majorHAnsi" w:hAnsiTheme="majorHAnsi" w:cs="Cambria"/>
          <w:szCs w:val="22"/>
        </w:rPr>
        <w:t>. Vzhľadom na predlžujúcu sa vekovú hranicu odchodu do starobného dôchodku a starnutie populácie, ako aj neustále sa zvyšujúce nároky na potrebu vzdelávania sa s ohľadom na požiadavky trhu práce, je ďalšie vzdelávanie dospelých, ako súčasť celoživotného vzdelávania, kľúčovým faktorom rozvoja slovenskej spoločnosti.</w:t>
      </w:r>
    </w:p>
    <w:p w:rsidR="004E2940" w:rsidRPr="003E3C2A" w:rsidRDefault="004E2940" w:rsidP="00CD70BE">
      <w:pPr>
        <w:pStyle w:val="Nadpis5"/>
        <w:numPr>
          <w:ilvl w:val="4"/>
          <w:numId w:val="52"/>
        </w:numPr>
        <w:ind w:left="1292"/>
        <w:rPr>
          <w:szCs w:val="22"/>
        </w:rPr>
      </w:pPr>
      <w:r w:rsidRPr="003E3C2A">
        <w:rPr>
          <w:szCs w:val="22"/>
        </w:rPr>
        <w:t>TC8: Podpora udržateľnosti a kvality zamestnanosti a mobility pracovnej sily</w:t>
      </w:r>
    </w:p>
    <w:p w:rsidR="00E84125" w:rsidRDefault="004E2940" w:rsidP="004E2940">
      <w:pPr>
        <w:spacing w:after="0"/>
        <w:rPr>
          <w:rFonts w:asciiTheme="majorHAnsi" w:hAnsiTheme="majorHAnsi" w:cs="Cambria"/>
          <w:szCs w:val="22"/>
        </w:rPr>
      </w:pPr>
      <w:r w:rsidRPr="003E3C2A">
        <w:rPr>
          <w:rFonts w:asciiTheme="majorHAnsi" w:hAnsiTheme="majorHAnsi" w:cs="Cambria"/>
          <w:szCs w:val="22"/>
        </w:rPr>
        <w:t>Počet pracujúcich žien v BSK postupne klesá od roku 2008 z hodnoty 158,9 tis. na 150,8 tis. v roku 2012. Nesúlad medzi súkromným a pracovným životom pri rastúcom prirodzenom prírastku z -1,57 v roku 2001 na úroveň 2,91 v roku 2012</w:t>
      </w:r>
      <w:r w:rsidRPr="003E3C2A">
        <w:rPr>
          <w:rStyle w:val="Odkaznapoznmkupodiarou"/>
          <w:rFonts w:asciiTheme="majorHAnsi" w:hAnsiTheme="majorHAnsi" w:cs="Cambria"/>
          <w:szCs w:val="22"/>
        </w:rPr>
        <w:footnoteReference w:id="248"/>
      </w:r>
      <w:r w:rsidRPr="003E3C2A">
        <w:rPr>
          <w:rFonts w:asciiTheme="majorHAnsi" w:hAnsiTheme="majorHAnsi" w:cs="Cambria"/>
          <w:szCs w:val="22"/>
        </w:rPr>
        <w:t xml:space="preserve"> vytvára dodatočné náklady v prípade dlhotrvajúceho obdobia zotrvania na rodičovskej dovolenke, na úkor pôvodnej produktivity. </w:t>
      </w:r>
      <w:r w:rsidR="004D7A79">
        <w:rPr>
          <w:rFonts w:asciiTheme="majorHAnsi" w:hAnsiTheme="majorHAnsi" w:cs="Cambria"/>
          <w:szCs w:val="22"/>
        </w:rPr>
        <w:t>Negatívny ekonomický dopad sa výrazne prejavuje práve v dynamicky rastúcom regióne s nedostatočným nárastom kapacít zariadení starostlivosti o deti.</w:t>
      </w:r>
    </w:p>
    <w:p w:rsidR="00716BAA" w:rsidRPr="00A3491D" w:rsidRDefault="00716BAA" w:rsidP="00716BAA">
      <w:pPr>
        <w:spacing w:after="0"/>
        <w:rPr>
          <w:rFonts w:asciiTheme="majorHAnsi" w:hAnsiTheme="majorHAnsi" w:cs="Cambria"/>
          <w:szCs w:val="22"/>
        </w:rPr>
      </w:pPr>
      <w:r w:rsidRPr="00A3491D">
        <w:rPr>
          <w:rFonts w:asciiTheme="majorHAnsi" w:hAnsiTheme="majorHAnsi" w:cs="Cambria"/>
          <w:szCs w:val="22"/>
        </w:rPr>
        <w:t>V rámci BSK je kľúčové podporiť služby starostlivosti o dieťa do veku troch rokov, a to za účelom zvýšenia dostupnosti kvalitných, udržateľných a cenovo dostupných riešení predovšetkým v oblasti poskytovania služieb starostlivosti o deti s cieľom zvýšiť mieru zamestnanosti aj iných regiónov</w:t>
      </w:r>
      <w:r w:rsidR="00CD2DC4">
        <w:rPr>
          <w:rFonts w:asciiTheme="majorHAnsi" w:hAnsiTheme="majorHAnsi" w:cs="Cambria"/>
          <w:szCs w:val="22"/>
        </w:rPr>
        <w:t>, a</w:t>
      </w:r>
      <w:r w:rsidR="006504B0">
        <w:rPr>
          <w:rFonts w:asciiTheme="majorHAnsi" w:hAnsiTheme="majorHAnsi" w:cs="Cambria"/>
          <w:szCs w:val="22"/>
        </w:rPr>
        <w:t> </w:t>
      </w:r>
      <w:r w:rsidR="00CD2DC4">
        <w:rPr>
          <w:rFonts w:asciiTheme="majorHAnsi" w:hAnsiTheme="majorHAnsi" w:cs="Cambria"/>
          <w:szCs w:val="22"/>
        </w:rPr>
        <w:t>to</w:t>
      </w:r>
      <w:r w:rsidRPr="00A3491D">
        <w:rPr>
          <w:rFonts w:asciiTheme="majorHAnsi" w:hAnsiTheme="majorHAnsi" w:cs="Cambria"/>
          <w:szCs w:val="22"/>
        </w:rPr>
        <w:t xml:space="preserve"> v nadväznosti na možnosti uplatnenia sa na trhu práce v</w:t>
      </w:r>
      <w:r w:rsidR="006504B0">
        <w:rPr>
          <w:rFonts w:asciiTheme="majorHAnsi" w:hAnsiTheme="majorHAnsi" w:cs="Cambria"/>
          <w:szCs w:val="22"/>
        </w:rPr>
        <w:t> </w:t>
      </w:r>
      <w:r w:rsidRPr="00A3491D">
        <w:rPr>
          <w:rFonts w:asciiTheme="majorHAnsi" w:hAnsiTheme="majorHAnsi" w:cs="Cambria"/>
          <w:szCs w:val="22"/>
        </w:rPr>
        <w:t>BSK.</w:t>
      </w:r>
    </w:p>
    <w:p w:rsidR="00870F42" w:rsidRPr="00870F42" w:rsidRDefault="00A928DA" w:rsidP="00870F42">
      <w:pPr>
        <w:spacing w:after="0"/>
        <w:rPr>
          <w:rFonts w:asciiTheme="majorHAnsi" w:hAnsiTheme="majorHAnsi" w:cs="Cambria"/>
          <w:szCs w:val="22"/>
        </w:rPr>
      </w:pPr>
      <w:r w:rsidRPr="00F35154">
        <w:rPr>
          <w:rFonts w:asciiTheme="majorHAnsi" w:hAnsiTheme="majorHAnsi" w:cs="Cambria"/>
          <w:szCs w:val="22"/>
        </w:rPr>
        <w:t xml:space="preserve">Z regionálneho pohľadu má </w:t>
      </w:r>
      <w:r w:rsidRPr="00FA76F4">
        <w:rPr>
          <w:rFonts w:asciiTheme="majorHAnsi" w:hAnsiTheme="majorHAnsi" w:cs="Cambria"/>
          <w:szCs w:val="22"/>
        </w:rPr>
        <w:t>BSK</w:t>
      </w:r>
      <w:r w:rsidRPr="00CC57D2">
        <w:rPr>
          <w:rFonts w:asciiTheme="majorHAnsi" w:hAnsiTheme="majorHAnsi" w:cs="Cambria"/>
          <w:szCs w:val="22"/>
        </w:rPr>
        <w:t xml:space="preserve"> </w:t>
      </w:r>
      <w:r w:rsidRPr="00F35154">
        <w:rPr>
          <w:rFonts w:asciiTheme="majorHAnsi" w:hAnsiTheme="majorHAnsi" w:cs="Cambria"/>
          <w:szCs w:val="22"/>
        </w:rPr>
        <w:t>významný potenciál</w:t>
      </w:r>
      <w:r w:rsidRPr="00E06838">
        <w:rPr>
          <w:rFonts w:asciiTheme="majorHAnsi" w:hAnsiTheme="majorHAnsi" w:cs="Cambria"/>
          <w:szCs w:val="22"/>
        </w:rPr>
        <w:t xml:space="preserve"> </w:t>
      </w:r>
      <w:r>
        <w:rPr>
          <w:rFonts w:asciiTheme="majorHAnsi" w:hAnsiTheme="majorHAnsi" w:cs="Cambria"/>
          <w:szCs w:val="22"/>
        </w:rPr>
        <w:t>v oblasti kultúrneho a kreatívneho sektoru (ďalej len „</w:t>
      </w:r>
      <w:r w:rsidRPr="00CC6087">
        <w:rPr>
          <w:rFonts w:asciiTheme="majorHAnsi" w:hAnsiTheme="majorHAnsi" w:cs="Cambria"/>
          <w:szCs w:val="22"/>
        </w:rPr>
        <w:t>KKS</w:t>
      </w:r>
      <w:r>
        <w:rPr>
          <w:rFonts w:asciiTheme="majorHAnsi" w:hAnsiTheme="majorHAnsi" w:cs="Cambria"/>
          <w:szCs w:val="22"/>
        </w:rPr>
        <w:t>“)</w:t>
      </w:r>
      <w:r w:rsidRPr="00CC57D2">
        <w:rPr>
          <w:rFonts w:asciiTheme="majorHAnsi" w:hAnsiTheme="majorHAnsi" w:cs="Cambria"/>
          <w:szCs w:val="22"/>
        </w:rPr>
        <w:t xml:space="preserve">, </w:t>
      </w:r>
      <w:r>
        <w:rPr>
          <w:rFonts w:asciiTheme="majorHAnsi" w:hAnsiTheme="majorHAnsi" w:cs="Cambria"/>
          <w:szCs w:val="22"/>
        </w:rPr>
        <w:t>v rámci ktorého</w:t>
      </w:r>
      <w:r w:rsidRPr="00CC57D2">
        <w:rPr>
          <w:rFonts w:asciiTheme="majorHAnsi" w:hAnsiTheme="majorHAnsi" w:cs="Cambria"/>
          <w:szCs w:val="22"/>
        </w:rPr>
        <w:t xml:space="preserve"> sa</w:t>
      </w:r>
      <w:r>
        <w:rPr>
          <w:rFonts w:asciiTheme="majorHAnsi" w:hAnsiTheme="majorHAnsi" w:cs="Cambria"/>
          <w:szCs w:val="22"/>
        </w:rPr>
        <w:t xml:space="preserve"> </w:t>
      </w:r>
      <w:r w:rsidRPr="0027516C">
        <w:rPr>
          <w:rFonts w:asciiTheme="majorHAnsi" w:hAnsiTheme="majorHAnsi" w:cs="Cambria"/>
          <w:szCs w:val="22"/>
        </w:rPr>
        <w:t xml:space="preserve">podniky a organizácie </w:t>
      </w:r>
      <w:r>
        <w:rPr>
          <w:rFonts w:asciiTheme="majorHAnsi" w:hAnsiTheme="majorHAnsi" w:cs="Cambria"/>
          <w:szCs w:val="22"/>
        </w:rPr>
        <w:t xml:space="preserve">rozvíjajúce svoje aktivity </w:t>
      </w:r>
      <w:r w:rsidRPr="00F35154">
        <w:rPr>
          <w:rFonts w:asciiTheme="majorHAnsi" w:hAnsiTheme="majorHAnsi" w:cs="Cambria"/>
          <w:szCs w:val="22"/>
        </w:rPr>
        <w:t>značne koncentrujú v priestore a mohli by intenzívne vytvárať klastre</w:t>
      </w:r>
      <w:r>
        <w:rPr>
          <w:rFonts w:asciiTheme="majorHAnsi" w:hAnsiTheme="majorHAnsi" w:cs="Cambria"/>
          <w:szCs w:val="22"/>
        </w:rPr>
        <w:t xml:space="preserve"> s ostatnými regiónmi SR (napr. s</w:t>
      </w:r>
      <w:r w:rsidR="006504B0">
        <w:rPr>
          <w:rFonts w:asciiTheme="majorHAnsi" w:hAnsiTheme="majorHAnsi" w:cs="Cambria"/>
          <w:szCs w:val="22"/>
        </w:rPr>
        <w:t> </w:t>
      </w:r>
      <w:r>
        <w:rPr>
          <w:rFonts w:asciiTheme="majorHAnsi" w:hAnsiTheme="majorHAnsi" w:cs="Cambria"/>
          <w:szCs w:val="22"/>
        </w:rPr>
        <w:t>Európskym hlavným mestom</w:t>
      </w:r>
      <w:r w:rsidRPr="00EF3132">
        <w:rPr>
          <w:rFonts w:asciiTheme="majorHAnsi" w:hAnsiTheme="majorHAnsi" w:cs="Cambria"/>
          <w:szCs w:val="22"/>
        </w:rPr>
        <w:t xml:space="preserve"> kultúry</w:t>
      </w:r>
      <w:r>
        <w:rPr>
          <w:rFonts w:asciiTheme="majorHAnsi" w:hAnsiTheme="majorHAnsi" w:cs="Cambria"/>
          <w:szCs w:val="22"/>
        </w:rPr>
        <w:t xml:space="preserve"> – Košice, v</w:t>
      </w:r>
      <w:r w:rsidR="006504B0">
        <w:rPr>
          <w:rFonts w:asciiTheme="majorHAnsi" w:hAnsiTheme="majorHAnsi" w:cs="Cambria"/>
          <w:szCs w:val="22"/>
        </w:rPr>
        <w:t> </w:t>
      </w:r>
      <w:r>
        <w:rPr>
          <w:rFonts w:asciiTheme="majorHAnsi" w:hAnsiTheme="majorHAnsi" w:cs="Cambria"/>
          <w:szCs w:val="22"/>
        </w:rPr>
        <w:t>ktorom výrazne dominuje oblasť</w:t>
      </w:r>
      <w:r w:rsidRPr="003A1714">
        <w:rPr>
          <w:rFonts w:asciiTheme="majorHAnsi" w:hAnsiTheme="majorHAnsi" w:cs="Cambria"/>
          <w:szCs w:val="22"/>
        </w:rPr>
        <w:t xml:space="preserve"> ľ</w:t>
      </w:r>
      <w:r>
        <w:rPr>
          <w:rFonts w:asciiTheme="majorHAnsi" w:hAnsiTheme="majorHAnsi" w:cs="Cambria"/>
          <w:szCs w:val="22"/>
        </w:rPr>
        <w:t>udského kapitálu a</w:t>
      </w:r>
      <w:r w:rsidR="006504B0">
        <w:rPr>
          <w:rFonts w:asciiTheme="majorHAnsi" w:hAnsiTheme="majorHAnsi" w:cs="Cambria"/>
          <w:szCs w:val="22"/>
        </w:rPr>
        <w:t> </w:t>
      </w:r>
      <w:r>
        <w:rPr>
          <w:rFonts w:asciiTheme="majorHAnsi" w:hAnsiTheme="majorHAnsi" w:cs="Cambria"/>
          <w:szCs w:val="22"/>
        </w:rPr>
        <w:t>oblasť</w:t>
      </w:r>
      <w:r w:rsidRPr="003A1714">
        <w:rPr>
          <w:rFonts w:asciiTheme="majorHAnsi" w:hAnsiTheme="majorHAnsi" w:cs="Cambria"/>
          <w:szCs w:val="22"/>
        </w:rPr>
        <w:t xml:space="preserve"> regulačných opatrení na podporu kreativity</w:t>
      </w:r>
      <w:r>
        <w:rPr>
          <w:rFonts w:asciiTheme="majorHAnsi" w:hAnsiTheme="majorHAnsi" w:cs="Cambria"/>
          <w:szCs w:val="22"/>
        </w:rPr>
        <w:t>)</w:t>
      </w:r>
      <w:r w:rsidRPr="00F35154">
        <w:rPr>
          <w:rFonts w:asciiTheme="majorHAnsi" w:hAnsiTheme="majorHAnsi" w:cs="Cambria"/>
          <w:szCs w:val="22"/>
        </w:rPr>
        <w:t>. Približne 42,5 % všetkých podnikov KKS má sídlo v BSK, z toho 91 % priamo v meste Bratislava. Tiež sa tu nachádza väč</w:t>
      </w:r>
      <w:r w:rsidRPr="00CC57D2">
        <w:rPr>
          <w:rFonts w:asciiTheme="majorHAnsi" w:hAnsiTheme="majorHAnsi" w:cs="Cambria"/>
          <w:szCs w:val="22"/>
        </w:rPr>
        <w:t>šina umeleckých škôl a </w:t>
      </w:r>
      <w:r>
        <w:rPr>
          <w:rFonts w:asciiTheme="majorHAnsi" w:hAnsiTheme="majorHAnsi" w:cs="Cambria"/>
          <w:szCs w:val="22"/>
        </w:rPr>
        <w:t>VŠ</w:t>
      </w:r>
      <w:r w:rsidRPr="00F35154">
        <w:rPr>
          <w:rFonts w:asciiTheme="majorHAnsi" w:hAnsiTheme="majorHAnsi" w:cs="Cambria"/>
          <w:szCs w:val="22"/>
        </w:rPr>
        <w:t xml:space="preserve"> s umeleckými a kreatívnymi disciplínami. </w:t>
      </w:r>
      <w:r w:rsidRPr="00CC57D2">
        <w:rPr>
          <w:rFonts w:asciiTheme="majorHAnsi" w:hAnsiTheme="majorHAnsi" w:cs="Cambria"/>
          <w:szCs w:val="22"/>
        </w:rPr>
        <w:t xml:space="preserve">Pre zabezpečenie podpory </w:t>
      </w:r>
      <w:r>
        <w:rPr>
          <w:rFonts w:asciiTheme="majorHAnsi" w:hAnsiTheme="majorHAnsi" w:cs="Cambria"/>
          <w:szCs w:val="22"/>
        </w:rPr>
        <w:t>tvorby pracovných miest v</w:t>
      </w:r>
      <w:r w:rsidR="006504B0">
        <w:rPr>
          <w:rFonts w:asciiTheme="majorHAnsi" w:hAnsiTheme="majorHAnsi" w:cs="Cambria"/>
          <w:szCs w:val="22"/>
        </w:rPr>
        <w:t> </w:t>
      </w:r>
      <w:r>
        <w:rPr>
          <w:rFonts w:asciiTheme="majorHAnsi" w:hAnsiTheme="majorHAnsi" w:cs="Cambria"/>
          <w:szCs w:val="22"/>
        </w:rPr>
        <w:t xml:space="preserve">KKS </w:t>
      </w:r>
      <w:r w:rsidRPr="00CC57D2">
        <w:rPr>
          <w:rFonts w:asciiTheme="majorHAnsi" w:hAnsiTheme="majorHAnsi" w:cs="Cambria"/>
          <w:szCs w:val="22"/>
        </w:rPr>
        <w:t>je potrebné</w:t>
      </w:r>
      <w:r w:rsidRPr="00F35154">
        <w:rPr>
          <w:rFonts w:asciiTheme="majorHAnsi" w:hAnsiTheme="majorHAnsi" w:cs="Cambria"/>
          <w:szCs w:val="22"/>
        </w:rPr>
        <w:t xml:space="preserve"> vybudovať úplne nový typ fyzickej </w:t>
      </w:r>
      <w:r w:rsidRPr="00832815">
        <w:rPr>
          <w:rFonts w:asciiTheme="majorHAnsi" w:hAnsiTheme="majorHAnsi" w:cs="Cambria"/>
          <w:szCs w:val="22"/>
        </w:rPr>
        <w:t xml:space="preserve">infraštruktúry </w:t>
      </w:r>
      <w:r w:rsidRPr="00E77070">
        <w:rPr>
          <w:rFonts w:asciiTheme="majorHAnsi" w:hAnsiTheme="majorHAnsi" w:cs="Cambria"/>
          <w:szCs w:val="22"/>
        </w:rPr>
        <w:t>(napr. kreatívne centrá,</w:t>
      </w:r>
      <w:r w:rsidR="005672AE">
        <w:rPr>
          <w:rFonts w:asciiTheme="majorHAnsi" w:hAnsiTheme="majorHAnsi" w:cs="Cambria"/>
          <w:szCs w:val="22"/>
        </w:rPr>
        <w:t xml:space="preserve"> </w:t>
      </w:r>
      <w:r w:rsidRPr="00E77070">
        <w:rPr>
          <w:rFonts w:asciiTheme="majorHAnsi" w:hAnsiTheme="majorHAnsi" w:cs="Cambria"/>
          <w:szCs w:val="22"/>
        </w:rPr>
        <w:t xml:space="preserve">a pod.), </w:t>
      </w:r>
      <w:r w:rsidRPr="00832815">
        <w:rPr>
          <w:rFonts w:asciiTheme="majorHAnsi" w:hAnsiTheme="majorHAnsi" w:cs="Cambria"/>
          <w:szCs w:val="22"/>
        </w:rPr>
        <w:t>ako miesta priaznivé pre tvorbu, testovanie a inovácie v službách. S tým súvisí aj systematická podpora aktivít na podporu zamestnávania a investície do samozamestnávania (samostatne zárobkovo činné osoby alebo slobodní umelci) a MSP.</w:t>
      </w:r>
    </w:p>
    <w:p w:rsidR="004E2940" w:rsidRPr="001920C5" w:rsidRDefault="004E2940" w:rsidP="00CD70BE">
      <w:pPr>
        <w:pStyle w:val="Nadpis5"/>
        <w:numPr>
          <w:ilvl w:val="4"/>
          <w:numId w:val="52"/>
        </w:numPr>
        <w:ind w:left="1292"/>
        <w:rPr>
          <w:szCs w:val="22"/>
        </w:rPr>
      </w:pPr>
      <w:r w:rsidRPr="001920C5">
        <w:rPr>
          <w:szCs w:val="22"/>
        </w:rPr>
        <w:t>TC9: Podpora sociálneho začlenenia, boj proti chudobe a akejkoľvek diskriminácií</w:t>
      </w:r>
    </w:p>
    <w:p w:rsidR="004E2940" w:rsidRPr="001920C5" w:rsidRDefault="00716BAA" w:rsidP="004E2940">
      <w:pPr>
        <w:spacing w:after="0"/>
        <w:rPr>
          <w:rFonts w:asciiTheme="majorHAnsi" w:hAnsiTheme="majorHAnsi" w:cs="Cambria"/>
          <w:szCs w:val="22"/>
        </w:rPr>
      </w:pPr>
      <w:r w:rsidRPr="004B6F41">
        <w:rPr>
          <w:rFonts w:asciiTheme="majorHAnsi" w:hAnsiTheme="majorHAnsi" w:cs="Cambria"/>
          <w:szCs w:val="22"/>
        </w:rPr>
        <w:t>V prípade zdravotného postihnutia, staroby a detí v náhradnej starostlivosti často dochádza k sociálnemu vylúčeniu, spôsobenému nedokonalým systémom poskytovania sociálnych služieb a náhradnej starostlivosti o deti. Vysoká miera inštitucionalizácie sociálnych služieb a náhradnej starostlivosti v BSK nie je schopná sledovať základné riešenie, ktorým je sociálna inklúzia prijímateľov sociálnych služieb a osôb v</w:t>
      </w:r>
      <w:r w:rsidR="003A0D43">
        <w:rPr>
          <w:rFonts w:asciiTheme="majorHAnsi" w:hAnsiTheme="majorHAnsi" w:cs="Cambria"/>
          <w:szCs w:val="22"/>
        </w:rPr>
        <w:t> </w:t>
      </w:r>
      <w:r w:rsidRPr="004B6F41">
        <w:rPr>
          <w:rFonts w:asciiTheme="majorHAnsi" w:hAnsiTheme="majorHAnsi" w:cs="Cambria"/>
          <w:szCs w:val="22"/>
        </w:rPr>
        <w:t xml:space="preserve">náhradnej starostlivosti do spoločnosti v plnom rozsahu. </w:t>
      </w:r>
      <w:r w:rsidR="004E2940" w:rsidRPr="001920C5">
        <w:rPr>
          <w:rFonts w:asciiTheme="majorHAnsi" w:hAnsiTheme="majorHAnsi" w:cs="Cambria"/>
          <w:szCs w:val="22"/>
        </w:rPr>
        <w:t xml:space="preserve">Dynamický hospodársky rozvoj </w:t>
      </w:r>
      <w:r>
        <w:rPr>
          <w:rFonts w:asciiTheme="majorHAnsi" w:hAnsiTheme="majorHAnsi" w:cs="Cambria"/>
          <w:szCs w:val="22"/>
        </w:rPr>
        <w:t xml:space="preserve">navyše </w:t>
      </w:r>
      <w:r w:rsidR="004E2940" w:rsidRPr="001920C5">
        <w:rPr>
          <w:rFonts w:asciiTheme="majorHAnsi" w:hAnsiTheme="majorHAnsi" w:cs="Cambria"/>
          <w:szCs w:val="22"/>
        </w:rPr>
        <w:t>značne ovplyv</w:t>
      </w:r>
      <w:r>
        <w:rPr>
          <w:rFonts w:asciiTheme="majorHAnsi" w:hAnsiTheme="majorHAnsi" w:cs="Cambria"/>
          <w:szCs w:val="22"/>
        </w:rPr>
        <w:t>ňuje</w:t>
      </w:r>
      <w:r w:rsidR="004E2940" w:rsidRPr="001920C5">
        <w:rPr>
          <w:rFonts w:asciiTheme="majorHAnsi" w:hAnsiTheme="majorHAnsi" w:cs="Cambria"/>
          <w:szCs w:val="22"/>
        </w:rPr>
        <w:t xml:space="preserve"> cenovú hladinu základných životných potrieb obyvateľov v BSK (napr. v roku 2012 výdavky domácností za nájomné bývanie v BSK boli o 85,2 % vyššie ako priemer SR, dopravné služby boli vyššie o 15 % ako priemer SR a výdavky na potraviny boli vyššie o 13 % ako priemer SR)</w:t>
      </w:r>
      <w:r w:rsidR="004E2940" w:rsidRPr="002F29B8">
        <w:rPr>
          <w:sz w:val="16"/>
          <w:szCs w:val="16"/>
          <w:vertAlign w:val="superscript"/>
        </w:rPr>
        <w:footnoteReference w:id="249"/>
      </w:r>
      <w:r w:rsidR="004E2940" w:rsidRPr="001920C5">
        <w:rPr>
          <w:rFonts w:asciiTheme="majorHAnsi" w:hAnsiTheme="majorHAnsi" w:cs="Cambria"/>
          <w:szCs w:val="22"/>
        </w:rPr>
        <w:t xml:space="preserve">, čo si vyžaduje výrazne vyššie investície </w:t>
      </w:r>
      <w:r>
        <w:rPr>
          <w:rFonts w:asciiTheme="majorHAnsi" w:hAnsiTheme="majorHAnsi" w:cs="Cambria"/>
          <w:szCs w:val="22"/>
        </w:rPr>
        <w:t xml:space="preserve">do </w:t>
      </w:r>
      <w:r w:rsidRPr="004B6F41">
        <w:rPr>
          <w:rFonts w:asciiTheme="majorHAnsi" w:hAnsiTheme="majorHAnsi" w:cs="Cambria"/>
          <w:szCs w:val="22"/>
        </w:rPr>
        <w:t xml:space="preserve">oblasti služieb </w:t>
      </w:r>
      <w:r w:rsidRPr="004B6F41">
        <w:rPr>
          <w:rFonts w:asciiTheme="majorHAnsi" w:hAnsiTheme="majorHAnsi" w:cs="Cambria"/>
          <w:szCs w:val="22"/>
        </w:rPr>
        <w:lastRenderedPageBreak/>
        <w:t>zabezpečujúcich sociálnu inklúziu, samostatnosť a plnohodnotný život zväčša nízkopríjmovej časti populácie. Tieto opatrenia majú</w:t>
      </w:r>
      <w:r>
        <w:rPr>
          <w:rFonts w:asciiTheme="majorHAnsi" w:hAnsiTheme="majorHAnsi" w:cs="Cambria"/>
          <w:szCs w:val="22"/>
        </w:rPr>
        <w:t xml:space="preserve"> podporiť</w:t>
      </w:r>
      <w:r w:rsidRPr="004B6F41">
        <w:rPr>
          <w:rFonts w:asciiTheme="majorHAnsi" w:hAnsiTheme="majorHAnsi" w:cs="Cambria"/>
          <w:szCs w:val="22"/>
        </w:rPr>
        <w:t xml:space="preserve"> </w:t>
      </w:r>
      <w:r w:rsidR="004E2940" w:rsidRPr="001920C5">
        <w:rPr>
          <w:rFonts w:asciiTheme="majorHAnsi" w:hAnsiTheme="majorHAnsi" w:cs="Cambria"/>
          <w:szCs w:val="22"/>
        </w:rPr>
        <w:t>zotrvanie v domácom prostredí, nezávislý život, aktivitu a sociálnu participáciu osôb ohrozených sociálnym vylúčením, alebo osôb s obmedzenými schopnosťami sa spoločensky začleniť a samostatne riešiť svoje problémy. Z hľadiska prognózy vekovej štruktúry obyvateľstva bude podiel poproduktívneho obyvateľstva na celkovom počte obyvateľov BSK do roku 2025 na úrovni 21,8 %</w:t>
      </w:r>
      <w:r w:rsidR="004E2940" w:rsidRPr="001920C5">
        <w:rPr>
          <w:rStyle w:val="Odkaznapoznmkupodiarou"/>
          <w:rFonts w:asciiTheme="majorHAnsi" w:hAnsiTheme="majorHAnsi" w:cs="Cambria"/>
          <w:szCs w:val="22"/>
        </w:rPr>
        <w:footnoteReference w:id="250"/>
      </w:r>
      <w:r w:rsidR="004E2940" w:rsidRPr="001920C5">
        <w:rPr>
          <w:rFonts w:asciiTheme="majorHAnsi" w:hAnsiTheme="majorHAnsi" w:cs="Cambria"/>
          <w:szCs w:val="22"/>
        </w:rPr>
        <w:t>, čo predstavuje nárast o 8 %</w:t>
      </w:r>
      <w:r w:rsidR="00805A37">
        <w:rPr>
          <w:rFonts w:asciiTheme="majorHAnsi" w:hAnsiTheme="majorHAnsi" w:cs="Cambria"/>
          <w:szCs w:val="22"/>
        </w:rPr>
        <w:t xml:space="preserve"> oproti roku 2011</w:t>
      </w:r>
      <w:r w:rsidR="004E2940" w:rsidRPr="001920C5">
        <w:rPr>
          <w:rFonts w:asciiTheme="majorHAnsi" w:hAnsiTheme="majorHAnsi" w:cs="Cambria"/>
          <w:szCs w:val="22"/>
        </w:rPr>
        <w:t>. Zmena vekovej štruktúry obyvateľstva, vysoké náklady na životné potreby a vývoj sociálno-patologických javov v metropolitnom regióne bude zvyšovať riziko sociálneho vylúčenia obyvateľstva a vytvárať tak zvýšený dopyt po sociálnych službách</w:t>
      </w:r>
      <w:r w:rsidR="008C66EA">
        <w:rPr>
          <w:rFonts w:asciiTheme="majorHAnsi" w:hAnsiTheme="majorHAnsi" w:cs="Cambria"/>
          <w:szCs w:val="22"/>
        </w:rPr>
        <w:t xml:space="preserve"> za účelom riešeni</w:t>
      </w:r>
      <w:r w:rsidR="00EE299A">
        <w:rPr>
          <w:rFonts w:asciiTheme="majorHAnsi" w:hAnsiTheme="majorHAnsi" w:cs="Cambria"/>
          <w:szCs w:val="22"/>
        </w:rPr>
        <w:t>a</w:t>
      </w:r>
      <w:r w:rsidR="008C66EA">
        <w:rPr>
          <w:rFonts w:asciiTheme="majorHAnsi" w:hAnsiTheme="majorHAnsi" w:cs="Cambria"/>
          <w:szCs w:val="22"/>
        </w:rPr>
        <w:t xml:space="preserve"> nepriaznivej sociálnej situácie z dôvodu ťažkého zdravotného postihnutia, nepriaznivého zdravotného stavu alebo z dôvodu dovŕšenia dôchodkového veku</w:t>
      </w:r>
      <w:r w:rsidR="004E2940" w:rsidRPr="001920C5">
        <w:rPr>
          <w:rFonts w:asciiTheme="majorHAnsi" w:hAnsiTheme="majorHAnsi" w:cs="Cambria"/>
          <w:szCs w:val="22"/>
        </w:rPr>
        <w:t>.</w:t>
      </w:r>
      <w:r w:rsidR="008C66EA">
        <w:rPr>
          <w:rFonts w:asciiTheme="majorHAnsi" w:hAnsiTheme="majorHAnsi" w:cs="Cambria"/>
          <w:szCs w:val="22"/>
        </w:rPr>
        <w:t xml:space="preserve"> </w:t>
      </w:r>
      <w:r w:rsidR="008C66EA" w:rsidRPr="008C66EA">
        <w:rPr>
          <w:rFonts w:asciiTheme="majorHAnsi" w:hAnsiTheme="majorHAnsi" w:cs="Calibri"/>
          <w:szCs w:val="22"/>
        </w:rPr>
        <w:t xml:space="preserve">Potreba podpory deinštitucionalizácie náhradnej starostlivosti, ktorá sa realizuje na celom území SR, vývoj sociálno-patologických javov (napr. kriminalita, drogová závislosť, </w:t>
      </w:r>
      <w:r w:rsidR="00ED6750">
        <w:rPr>
          <w:rFonts w:asciiTheme="majorHAnsi" w:hAnsiTheme="majorHAnsi" w:cs="Calibri"/>
          <w:szCs w:val="22"/>
        </w:rPr>
        <w:t>a pod.</w:t>
      </w:r>
      <w:r w:rsidR="008C66EA" w:rsidRPr="008C66EA">
        <w:rPr>
          <w:rFonts w:asciiTheme="majorHAnsi" w:hAnsiTheme="majorHAnsi" w:cs="Calibri"/>
          <w:szCs w:val="22"/>
        </w:rPr>
        <w:t>) v</w:t>
      </w:r>
      <w:r w:rsidR="00EE299A">
        <w:rPr>
          <w:rFonts w:asciiTheme="majorHAnsi" w:hAnsiTheme="majorHAnsi" w:cs="Calibri"/>
          <w:szCs w:val="22"/>
        </w:rPr>
        <w:t> </w:t>
      </w:r>
      <w:r w:rsidR="008C66EA" w:rsidRPr="008C66EA">
        <w:rPr>
          <w:rFonts w:asciiTheme="majorHAnsi" w:hAnsiTheme="majorHAnsi" w:cs="Calibri"/>
          <w:szCs w:val="22"/>
        </w:rPr>
        <w:t>BSK si vyžaduje výraznú podporu zmien sociálnoprávnej ochrany detí a</w:t>
      </w:r>
      <w:r w:rsidR="00EE299A">
        <w:rPr>
          <w:rFonts w:asciiTheme="majorHAnsi" w:hAnsiTheme="majorHAnsi" w:cs="Calibri"/>
          <w:szCs w:val="22"/>
        </w:rPr>
        <w:t> </w:t>
      </w:r>
      <w:r w:rsidR="008C66EA" w:rsidRPr="008C66EA">
        <w:rPr>
          <w:rFonts w:asciiTheme="majorHAnsi" w:hAnsiTheme="majorHAnsi" w:cs="Calibri"/>
          <w:szCs w:val="22"/>
        </w:rPr>
        <w:t>sociálnej</w:t>
      </w:r>
      <w:r w:rsidR="00EE299A">
        <w:rPr>
          <w:rFonts w:asciiTheme="majorHAnsi" w:hAnsiTheme="majorHAnsi" w:cs="Calibri"/>
          <w:szCs w:val="22"/>
        </w:rPr>
        <w:t xml:space="preserve"> </w:t>
      </w:r>
      <w:r w:rsidR="008C66EA" w:rsidRPr="008C66EA">
        <w:rPr>
          <w:rFonts w:asciiTheme="majorHAnsi" w:hAnsiTheme="majorHAnsi" w:cs="Calibri"/>
          <w:szCs w:val="22"/>
        </w:rPr>
        <w:t>kurately v</w:t>
      </w:r>
      <w:r>
        <w:rPr>
          <w:rFonts w:asciiTheme="majorHAnsi" w:hAnsiTheme="majorHAnsi" w:cs="Calibri"/>
          <w:szCs w:val="22"/>
        </w:rPr>
        <w:t> tomto kraji</w:t>
      </w:r>
      <w:r w:rsidR="008C66EA" w:rsidRPr="008C66EA">
        <w:rPr>
          <w:rFonts w:asciiTheme="majorHAnsi" w:hAnsiTheme="majorHAnsi" w:cs="Calibri"/>
          <w:szCs w:val="22"/>
        </w:rPr>
        <w:t>.</w:t>
      </w:r>
      <w:r w:rsidR="00870F42" w:rsidRPr="00870F42">
        <w:rPr>
          <w:rFonts w:asciiTheme="majorHAnsi" w:hAnsiTheme="majorHAnsi" w:cs="Calibri"/>
          <w:szCs w:val="22"/>
        </w:rPr>
        <w:t xml:space="preserve"> Podpora aktívneho začleňovania, deinštitucionalizácie, prevencie a</w:t>
      </w:r>
      <w:r w:rsidR="003A0D43">
        <w:rPr>
          <w:rFonts w:asciiTheme="majorHAnsi" w:hAnsiTheme="majorHAnsi" w:cs="Calibri"/>
          <w:szCs w:val="22"/>
        </w:rPr>
        <w:t> </w:t>
      </w:r>
      <w:r w:rsidR="00870F42" w:rsidRPr="00870F42">
        <w:rPr>
          <w:rFonts w:asciiTheme="majorHAnsi" w:hAnsiTheme="majorHAnsi" w:cs="Calibri"/>
          <w:szCs w:val="22"/>
        </w:rPr>
        <w:t>eliminácie násilia, služieb starostlivosti o</w:t>
      </w:r>
      <w:r w:rsidR="003A0D43">
        <w:rPr>
          <w:rFonts w:asciiTheme="majorHAnsi" w:hAnsiTheme="majorHAnsi" w:cs="Calibri"/>
          <w:szCs w:val="22"/>
        </w:rPr>
        <w:t> </w:t>
      </w:r>
      <w:r w:rsidR="00870F42" w:rsidRPr="00870F42">
        <w:rPr>
          <w:rFonts w:asciiTheme="majorHAnsi" w:hAnsiTheme="majorHAnsi" w:cs="Calibri"/>
          <w:szCs w:val="22"/>
        </w:rPr>
        <w:t>dieťa aj v rámci BSK predstavujú prínos pre celú spoločnosť a priamo ovplyvňujú zamestnateľnosť, resp. zamestnanosť osôb na trhu práce, čo vedie k</w:t>
      </w:r>
      <w:r w:rsidR="003A0D43">
        <w:rPr>
          <w:rFonts w:asciiTheme="majorHAnsi" w:hAnsiTheme="majorHAnsi" w:cs="Calibri"/>
          <w:szCs w:val="22"/>
        </w:rPr>
        <w:t> </w:t>
      </w:r>
      <w:r w:rsidR="00870F42" w:rsidRPr="00870F42">
        <w:rPr>
          <w:rFonts w:asciiTheme="majorHAnsi" w:hAnsiTheme="majorHAnsi" w:cs="Calibri"/>
          <w:szCs w:val="22"/>
        </w:rPr>
        <w:t>zvyšovaniu</w:t>
      </w:r>
      <w:r w:rsidR="003A0D43">
        <w:rPr>
          <w:rFonts w:asciiTheme="majorHAnsi" w:hAnsiTheme="majorHAnsi" w:cs="Calibri"/>
          <w:szCs w:val="22"/>
        </w:rPr>
        <w:t xml:space="preserve"> </w:t>
      </w:r>
      <w:r w:rsidR="00870F42" w:rsidRPr="00870F42">
        <w:rPr>
          <w:rFonts w:asciiTheme="majorHAnsi" w:hAnsiTheme="majorHAnsi" w:cs="Calibri"/>
          <w:szCs w:val="22"/>
        </w:rPr>
        <w:t>hospodárskeho rastu a</w:t>
      </w:r>
      <w:r w:rsidR="003A0D43">
        <w:rPr>
          <w:rFonts w:asciiTheme="majorHAnsi" w:hAnsiTheme="majorHAnsi" w:cs="Calibri"/>
          <w:szCs w:val="22"/>
        </w:rPr>
        <w:t> </w:t>
      </w:r>
      <w:r w:rsidR="00870F42" w:rsidRPr="00870F42">
        <w:rPr>
          <w:rFonts w:asciiTheme="majorHAnsi" w:hAnsiTheme="majorHAnsi" w:cs="Calibri"/>
          <w:szCs w:val="22"/>
        </w:rPr>
        <w:t>konkurencieschopnosti SR.</w:t>
      </w:r>
    </w:p>
    <w:p w:rsidR="004E2940" w:rsidRPr="001920C5" w:rsidRDefault="004E2940" w:rsidP="00CD70BE">
      <w:pPr>
        <w:pStyle w:val="Nadpis5"/>
        <w:numPr>
          <w:ilvl w:val="4"/>
          <w:numId w:val="52"/>
        </w:numPr>
        <w:ind w:left="1292"/>
        <w:rPr>
          <w:szCs w:val="22"/>
        </w:rPr>
      </w:pPr>
      <w:r w:rsidRPr="001920C5">
        <w:rPr>
          <w:szCs w:val="22"/>
        </w:rPr>
        <w:t>TC10: Investovanie do vzdelania, školení a odbornej prípravy, ako aj zručností a celoživotného vzdelávania</w:t>
      </w:r>
    </w:p>
    <w:p w:rsidR="00716BAA" w:rsidRPr="00CD2DC4" w:rsidRDefault="004E2940" w:rsidP="004E2940">
      <w:pPr>
        <w:spacing w:after="0"/>
        <w:rPr>
          <w:rFonts w:asciiTheme="majorHAnsi" w:hAnsiTheme="majorHAnsi" w:cs="Cambria"/>
          <w:szCs w:val="22"/>
        </w:rPr>
      </w:pPr>
      <w:r w:rsidRPr="001920C5">
        <w:rPr>
          <w:rFonts w:asciiTheme="majorHAnsi" w:hAnsiTheme="majorHAnsi" w:cs="Cambria"/>
          <w:szCs w:val="22"/>
        </w:rPr>
        <w:t xml:space="preserve">Zaostávanie spoločenského pokroku podmieneného investíciami </w:t>
      </w:r>
      <w:r w:rsidR="00D62B2C">
        <w:rPr>
          <w:rFonts w:asciiTheme="majorHAnsi" w:hAnsiTheme="majorHAnsi" w:cs="Cambria"/>
          <w:szCs w:val="22"/>
        </w:rPr>
        <w:t xml:space="preserve">najmä </w:t>
      </w:r>
      <w:r w:rsidRPr="001920C5">
        <w:rPr>
          <w:rFonts w:asciiTheme="majorHAnsi" w:hAnsiTheme="majorHAnsi" w:cs="Cambria"/>
          <w:szCs w:val="22"/>
        </w:rPr>
        <w:t xml:space="preserve">do verejnej infraštruktúry vzdelávania </w:t>
      </w:r>
      <w:r w:rsidR="00716BAA" w:rsidRPr="004B6F41">
        <w:rPr>
          <w:rFonts w:asciiTheme="majorHAnsi" w:hAnsiTheme="majorHAnsi" w:cs="Cambria"/>
          <w:szCs w:val="22"/>
        </w:rPr>
        <w:t>malo za následok nedostatočné využívanie ľudského kapitálu v BSK prejavujúce sa nízkou mierou účasti detí na predprimárnej výchove (70,1 %)</w:t>
      </w:r>
      <w:r w:rsidR="00716BAA" w:rsidRPr="00620D27">
        <w:rPr>
          <w:rFonts w:asciiTheme="majorHAnsi" w:hAnsiTheme="majorHAnsi" w:cs="Cambria"/>
          <w:szCs w:val="22"/>
          <w:vertAlign w:val="superscript"/>
        </w:rPr>
        <w:footnoteReference w:id="251"/>
      </w:r>
      <w:r w:rsidR="00716BAA" w:rsidRPr="004B6F41">
        <w:rPr>
          <w:rFonts w:asciiTheme="majorHAnsi" w:hAnsiTheme="majorHAnsi" w:cs="Cambria"/>
          <w:szCs w:val="22"/>
        </w:rPr>
        <w:t xml:space="preserve">, zhoršujúcimi sa výsledkami v medzinárodných porovnaniach kvality vzdelávania, </w:t>
      </w:r>
      <w:r w:rsidRPr="001920C5">
        <w:rPr>
          <w:rFonts w:asciiTheme="majorHAnsi" w:hAnsiTheme="majorHAnsi" w:cs="Cambria"/>
          <w:szCs w:val="22"/>
        </w:rPr>
        <w:t>dlhodobou nezamestnanosťou (2,49 %</w:t>
      </w:r>
      <w:r w:rsidRPr="001920C5">
        <w:rPr>
          <w:rStyle w:val="Odkaznapoznmkupodiarou"/>
          <w:rFonts w:asciiTheme="majorHAnsi" w:hAnsiTheme="majorHAnsi" w:cs="Cambria"/>
          <w:szCs w:val="22"/>
        </w:rPr>
        <w:footnoteReference w:id="252"/>
      </w:r>
      <w:r w:rsidRPr="001920C5">
        <w:rPr>
          <w:rFonts w:asciiTheme="majorHAnsi" w:hAnsiTheme="majorHAnsi" w:cs="Cambria"/>
          <w:szCs w:val="22"/>
        </w:rPr>
        <w:t xml:space="preserve"> v roku 2012), nízkou mierou participácie obyvateľov SR na celoživotnom vzdelávaní (na úrovni 3,1 %</w:t>
      </w:r>
      <w:r w:rsidRPr="001920C5">
        <w:rPr>
          <w:rStyle w:val="Odkaznapoznmkupodiarou"/>
          <w:rFonts w:asciiTheme="majorHAnsi" w:hAnsiTheme="majorHAnsi" w:cs="Cambria"/>
          <w:szCs w:val="22"/>
        </w:rPr>
        <w:footnoteReference w:id="253"/>
      </w:r>
      <w:r w:rsidR="007B7E75">
        <w:rPr>
          <w:rFonts w:asciiTheme="majorHAnsi" w:hAnsiTheme="majorHAnsi" w:cs="Cambria"/>
          <w:szCs w:val="22"/>
        </w:rPr>
        <w:t xml:space="preserve"> v roku 2012</w:t>
      </w:r>
      <w:r w:rsidRPr="001920C5">
        <w:rPr>
          <w:rFonts w:asciiTheme="majorHAnsi" w:hAnsiTheme="majorHAnsi" w:cs="Cambria"/>
          <w:szCs w:val="22"/>
        </w:rPr>
        <w:t>) a nezamestnanosťou mladých, ktorá</w:t>
      </w:r>
      <w:r w:rsidR="008C66EA">
        <w:rPr>
          <w:rFonts w:asciiTheme="majorHAnsi" w:hAnsiTheme="majorHAnsi" w:cs="Cambria"/>
          <w:szCs w:val="22"/>
        </w:rPr>
        <w:t xml:space="preserve"> v BSK (17,5</w:t>
      </w:r>
      <w:r w:rsidR="006039F0">
        <w:rPr>
          <w:rFonts w:asciiTheme="majorHAnsi" w:hAnsiTheme="majorHAnsi" w:cs="Cambria"/>
          <w:szCs w:val="22"/>
        </w:rPr>
        <w:t xml:space="preserve"> </w:t>
      </w:r>
      <w:r w:rsidR="008C66EA">
        <w:rPr>
          <w:rFonts w:asciiTheme="majorHAnsi" w:hAnsiTheme="majorHAnsi" w:cs="Cambria"/>
          <w:szCs w:val="22"/>
        </w:rPr>
        <w:t>% v roku 2012) dosahuje približne polovicu celoslovenskej úrovne</w:t>
      </w:r>
      <w:r w:rsidR="007B7E75">
        <w:rPr>
          <w:rFonts w:asciiTheme="majorHAnsi" w:hAnsiTheme="majorHAnsi" w:cs="Cambria"/>
          <w:szCs w:val="22"/>
        </w:rPr>
        <w:t xml:space="preserve"> </w:t>
      </w:r>
      <w:r w:rsidR="007B7E75" w:rsidRPr="007B7E75">
        <w:rPr>
          <w:rFonts w:asciiTheme="majorHAnsi" w:hAnsiTheme="majorHAnsi" w:cs="Cambria"/>
          <w:szCs w:val="22"/>
        </w:rPr>
        <w:t>(34</w:t>
      </w:r>
      <w:r w:rsidR="003876F0">
        <w:rPr>
          <w:rFonts w:asciiTheme="majorHAnsi" w:hAnsiTheme="majorHAnsi" w:cs="Cambria"/>
          <w:szCs w:val="22"/>
        </w:rPr>
        <w:t xml:space="preserve"> </w:t>
      </w:r>
      <w:r w:rsidR="007B7E75" w:rsidRPr="007B7E75">
        <w:rPr>
          <w:rFonts w:asciiTheme="majorHAnsi" w:hAnsiTheme="majorHAnsi" w:cs="Cambria"/>
          <w:szCs w:val="22"/>
        </w:rPr>
        <w:t>% v roku 2012)</w:t>
      </w:r>
      <w:r w:rsidRPr="001920C5">
        <w:rPr>
          <w:rStyle w:val="Odkaznapoznmkupodiarou"/>
          <w:rFonts w:asciiTheme="majorHAnsi" w:hAnsiTheme="majorHAnsi" w:cs="Cambria"/>
          <w:szCs w:val="22"/>
        </w:rPr>
        <w:footnoteReference w:id="254"/>
      </w:r>
      <w:r w:rsidRPr="001920C5">
        <w:rPr>
          <w:rFonts w:asciiTheme="majorHAnsi" w:hAnsiTheme="majorHAnsi" w:cs="Cambria"/>
          <w:szCs w:val="22"/>
        </w:rPr>
        <w:t xml:space="preserve">. Uvedené problémy sú spôsobené najmä </w:t>
      </w:r>
      <w:r w:rsidR="00A92C19">
        <w:rPr>
          <w:rFonts w:asciiTheme="majorHAnsi" w:hAnsiTheme="majorHAnsi" w:cs="Cambria"/>
          <w:szCs w:val="22"/>
        </w:rPr>
        <w:t xml:space="preserve">upadajúcim systémom vzdelávania a oprávneným </w:t>
      </w:r>
      <w:r w:rsidRPr="001920C5">
        <w:rPr>
          <w:rFonts w:asciiTheme="majorHAnsi" w:hAnsiTheme="majorHAnsi" w:cs="Cambria"/>
          <w:szCs w:val="22"/>
        </w:rPr>
        <w:t>tlakom súkromného sektora na úroveň vedomostí, inovácií a</w:t>
      </w:r>
      <w:r w:rsidR="00696029">
        <w:rPr>
          <w:rFonts w:asciiTheme="majorHAnsi" w:hAnsiTheme="majorHAnsi" w:cs="Cambria"/>
          <w:szCs w:val="22"/>
        </w:rPr>
        <w:t> </w:t>
      </w:r>
      <w:r w:rsidRPr="001920C5">
        <w:rPr>
          <w:rFonts w:asciiTheme="majorHAnsi" w:hAnsiTheme="majorHAnsi" w:cs="Cambria"/>
          <w:szCs w:val="22"/>
        </w:rPr>
        <w:t>kreativity</w:t>
      </w:r>
      <w:r w:rsidR="00696029">
        <w:rPr>
          <w:rFonts w:asciiTheme="majorHAnsi" w:hAnsiTheme="majorHAnsi" w:cs="Cambria"/>
          <w:szCs w:val="22"/>
        </w:rPr>
        <w:t>.</w:t>
      </w:r>
      <w:r w:rsidR="00716BAA">
        <w:rPr>
          <w:rFonts w:asciiTheme="majorHAnsi" w:hAnsiTheme="majorHAnsi" w:cs="Cambria"/>
          <w:szCs w:val="22"/>
        </w:rPr>
        <w:t xml:space="preserve"> </w:t>
      </w:r>
      <w:r w:rsidR="00716BAA" w:rsidRPr="004B6F41">
        <w:rPr>
          <w:rFonts w:asciiTheme="majorHAnsi" w:hAnsiTheme="majorHAnsi" w:cs="Cambria"/>
          <w:szCs w:val="22"/>
        </w:rPr>
        <w:t>V BSK sa problém prehĺbil aj v programovom období 2007 – 2013, počas ktorého boli vynaložené minimálne finančné prostriedky na predprimárny, primárny a sekundárny stupeň vzdelávania</w:t>
      </w:r>
      <w:r w:rsidR="00CD2DC4">
        <w:rPr>
          <w:rFonts w:asciiTheme="majorHAnsi" w:hAnsiTheme="majorHAnsi" w:cs="Cambria"/>
          <w:szCs w:val="22"/>
        </w:rPr>
        <w:t xml:space="preserve"> </w:t>
      </w:r>
      <w:r w:rsidR="00716BAA" w:rsidRPr="00620D27">
        <w:rPr>
          <w:rFonts w:asciiTheme="majorHAnsi" w:hAnsiTheme="majorHAnsi" w:cs="Cambria"/>
          <w:szCs w:val="22"/>
          <w:vertAlign w:val="superscript"/>
        </w:rPr>
        <w:footnoteReference w:id="255"/>
      </w:r>
      <w:r w:rsidR="00CD2DC4">
        <w:rPr>
          <w:rFonts w:asciiTheme="majorHAnsi" w:hAnsiTheme="majorHAnsi" w:cs="Cambria"/>
          <w:szCs w:val="22"/>
        </w:rPr>
        <w:t>.</w:t>
      </w:r>
    </w:p>
    <w:p w:rsidR="004E2940" w:rsidRDefault="00716BAA" w:rsidP="004E2940">
      <w:pPr>
        <w:spacing w:after="0"/>
        <w:rPr>
          <w:rFonts w:asciiTheme="majorHAnsi" w:hAnsiTheme="majorHAnsi" w:cs="Cambria"/>
          <w:szCs w:val="22"/>
        </w:rPr>
      </w:pPr>
      <w:r w:rsidRPr="004B6F41">
        <w:rPr>
          <w:rFonts w:asciiTheme="majorHAnsi" w:hAnsiTheme="majorHAnsi" w:cs="Cambria"/>
          <w:szCs w:val="22"/>
        </w:rPr>
        <w:t>Investície do vzdelávania v BSK sú založené na využívaní</w:t>
      </w:r>
      <w:r w:rsidRPr="00D75BF6">
        <w:rPr>
          <w:rFonts w:ascii="Times New Roman" w:eastAsia="MS Mincho" w:hAnsi="Times New Roman"/>
          <w:sz w:val="24"/>
        </w:rPr>
        <w:t xml:space="preserve"> </w:t>
      </w:r>
      <w:r w:rsidR="004E2940" w:rsidRPr="001920C5">
        <w:rPr>
          <w:rFonts w:asciiTheme="majorHAnsi" w:hAnsiTheme="majorHAnsi" w:cs="Cambria"/>
          <w:szCs w:val="22"/>
        </w:rPr>
        <w:t>pozitívnych urbanizačných efektov, ktoré umožňujú tvorbu špecializovanej infraštruktúry (centrá odborného vzdelávania a prípravy), špecializovaných služieb (celoživotné vzdelávanie starších), nových odvetví a znalostí (odborná prax na technologicky vyspelých zariadeniach). „</w:t>
      </w:r>
      <w:r w:rsidR="004E2940" w:rsidRPr="001920C5">
        <w:rPr>
          <w:rFonts w:asciiTheme="majorHAnsi" w:hAnsiTheme="majorHAnsi"/>
          <w:szCs w:val="22"/>
        </w:rPr>
        <w:t xml:space="preserve">Spillover efekt“ na menej rozvinuté regióny </w:t>
      </w:r>
      <w:r w:rsidR="004E2940" w:rsidRPr="001920C5">
        <w:rPr>
          <w:rFonts w:asciiTheme="majorHAnsi" w:hAnsiTheme="majorHAnsi" w:cs="Cambria"/>
          <w:szCs w:val="22"/>
        </w:rPr>
        <w:t>sa prejaví v poskytovaní služieb, ktoré ich budú môcť následne využívať bez vstupných nákladov, čo bude zvyšovať ich konkurencieschopnosť a možnosť investovať zdroje do iných potrebných oblastí hospodárstva. Navyše podpora centier odborného vzdelávania a prípravy je súčasťou národnej iniciatívy podpory systému duálneho vzdelávania na stredných odborných školách, ktoré budú poskytovať na najvyššej úrovni odborné vzdelávanie pre žiakov a celoživotné vzdelávanie pre pedagógov celého Slovenska</w:t>
      </w:r>
      <w:r w:rsidR="000E25FF">
        <w:rPr>
          <w:rFonts w:asciiTheme="majorHAnsi" w:hAnsiTheme="majorHAnsi" w:cs="Cambria"/>
          <w:szCs w:val="22"/>
        </w:rPr>
        <w:t xml:space="preserve"> </w:t>
      </w:r>
      <w:r w:rsidR="00A973A7">
        <w:rPr>
          <w:rFonts w:asciiTheme="majorHAnsi" w:hAnsiTheme="majorHAnsi" w:cs="Cambria"/>
          <w:szCs w:val="22"/>
        </w:rPr>
        <w:t xml:space="preserve">podmienené povinným partnerstvom </w:t>
      </w:r>
      <w:r w:rsidR="000E25FF">
        <w:rPr>
          <w:rFonts w:asciiTheme="majorHAnsi" w:hAnsiTheme="majorHAnsi" w:cs="Cambria"/>
          <w:szCs w:val="22"/>
        </w:rPr>
        <w:t>súkromného sektora</w:t>
      </w:r>
      <w:r w:rsidR="004E2940" w:rsidRPr="001920C5">
        <w:rPr>
          <w:rFonts w:asciiTheme="majorHAnsi" w:hAnsiTheme="majorHAnsi" w:cs="Cambria"/>
          <w:szCs w:val="22"/>
        </w:rPr>
        <w:t>.</w:t>
      </w:r>
    </w:p>
    <w:p w:rsidR="00870F42" w:rsidRPr="00870F42" w:rsidRDefault="00870F42" w:rsidP="00870F42">
      <w:pPr>
        <w:spacing w:after="0"/>
        <w:rPr>
          <w:rFonts w:asciiTheme="majorHAnsi" w:hAnsiTheme="majorHAnsi" w:cs="Cambria"/>
          <w:szCs w:val="22"/>
        </w:rPr>
      </w:pPr>
      <w:r w:rsidRPr="00870F42">
        <w:rPr>
          <w:rFonts w:asciiTheme="majorHAnsi" w:hAnsiTheme="majorHAnsi" w:cs="Cambria"/>
          <w:szCs w:val="22"/>
        </w:rPr>
        <w:lastRenderedPageBreak/>
        <w:t xml:space="preserve">Ciele stanovené pre jednotlivé oblasti vzdelávania sú kľúčové z pohľadu vzdelávacieho systému SR ako celku, nakoľko zosúladenie vzdelávania s potrebami trhu práce je nutné uskutočňovať bez ohľadu na územné vymedzenie. Nedostatočná previazanosť výstupov vzdelávania s požiadavkami praxe je </w:t>
      </w:r>
      <w:r w:rsidR="00EA6D44">
        <w:rPr>
          <w:rFonts w:asciiTheme="majorHAnsi" w:hAnsiTheme="majorHAnsi" w:cs="Cambria"/>
          <w:szCs w:val="22"/>
        </w:rPr>
        <w:t>zdôrazňovaná</w:t>
      </w:r>
      <w:r w:rsidRPr="00870F42">
        <w:rPr>
          <w:rFonts w:asciiTheme="majorHAnsi" w:hAnsiTheme="majorHAnsi" w:cs="Cambria"/>
          <w:szCs w:val="22"/>
        </w:rPr>
        <w:t xml:space="preserve"> zo strany zamestnávateľov na celom území SR</w:t>
      </w:r>
      <w:r w:rsidRPr="00870F42">
        <w:rPr>
          <w:rFonts w:asciiTheme="majorHAnsi" w:hAnsiTheme="majorHAnsi" w:cs="Cambria"/>
          <w:szCs w:val="22"/>
          <w:vertAlign w:val="superscript"/>
        </w:rPr>
        <w:footnoteReference w:id="256"/>
      </w:r>
      <w:r w:rsidRPr="00870F42">
        <w:rPr>
          <w:rFonts w:asciiTheme="majorHAnsi" w:hAnsiTheme="majorHAnsi" w:cs="Cambria"/>
          <w:szCs w:val="22"/>
        </w:rPr>
        <w:t xml:space="preserve">. Kľúčové </w:t>
      </w:r>
      <w:r w:rsidR="00EA6D44">
        <w:rPr>
          <w:rFonts w:asciiTheme="majorHAnsi" w:hAnsiTheme="majorHAnsi" w:cs="Cambria"/>
          <w:szCs w:val="22"/>
        </w:rPr>
        <w:t>znalosti</w:t>
      </w:r>
      <w:r w:rsidRPr="00870F42">
        <w:rPr>
          <w:rFonts w:asciiTheme="majorHAnsi" w:hAnsiTheme="majorHAnsi" w:cs="Cambria"/>
          <w:szCs w:val="22"/>
        </w:rPr>
        <w:t xml:space="preserve"> ako IKT, cudzie jazyky, ekonomické zručnosti potrebné na uplatnenie na trhu práce získavajú žiaci už na ZŠ. Výsledky žiakov v</w:t>
      </w:r>
      <w:r w:rsidR="003A0D43">
        <w:rPr>
          <w:rFonts w:asciiTheme="majorHAnsi" w:hAnsiTheme="majorHAnsi" w:cs="Cambria"/>
          <w:szCs w:val="22"/>
        </w:rPr>
        <w:t> </w:t>
      </w:r>
      <w:r w:rsidRPr="00870F42">
        <w:rPr>
          <w:rFonts w:asciiTheme="majorHAnsi" w:hAnsiTheme="majorHAnsi" w:cs="Cambria"/>
          <w:szCs w:val="22"/>
        </w:rPr>
        <w:t>PISA testovaní sú priemerné s klesajúcou tendenciou, a to bez ohľadu na územný kontext</w:t>
      </w:r>
      <w:r w:rsidRPr="00870F42">
        <w:rPr>
          <w:rFonts w:asciiTheme="majorHAnsi" w:hAnsiTheme="majorHAnsi" w:cs="Cambria"/>
          <w:szCs w:val="22"/>
          <w:vertAlign w:val="superscript"/>
        </w:rPr>
        <w:footnoteReference w:id="257"/>
      </w:r>
      <w:r w:rsidR="003A0D43">
        <w:rPr>
          <w:rFonts w:asciiTheme="majorHAnsi" w:hAnsiTheme="majorHAnsi" w:cs="Cambria"/>
          <w:szCs w:val="22"/>
        </w:rPr>
        <w:t>.</w:t>
      </w:r>
    </w:p>
    <w:p w:rsidR="00870F42" w:rsidRPr="001920C5" w:rsidRDefault="00870F42" w:rsidP="004E2940">
      <w:pPr>
        <w:spacing w:after="0"/>
        <w:rPr>
          <w:rFonts w:asciiTheme="majorHAnsi" w:hAnsiTheme="majorHAnsi" w:cs="Cambria"/>
          <w:szCs w:val="22"/>
        </w:rPr>
      </w:pPr>
      <w:r w:rsidRPr="00870F42">
        <w:rPr>
          <w:rFonts w:asciiTheme="majorHAnsi" w:hAnsiTheme="majorHAnsi" w:cs="Cambria"/>
          <w:szCs w:val="22"/>
        </w:rPr>
        <w:t>Koordinovaný systém účasti zamestnávateľskej sféry v</w:t>
      </w:r>
      <w:r w:rsidR="003A0D43">
        <w:rPr>
          <w:rFonts w:asciiTheme="majorHAnsi" w:hAnsiTheme="majorHAnsi" w:cs="Cambria"/>
          <w:szCs w:val="22"/>
        </w:rPr>
        <w:t> </w:t>
      </w:r>
      <w:r w:rsidRPr="00870F42">
        <w:rPr>
          <w:rFonts w:asciiTheme="majorHAnsi" w:hAnsiTheme="majorHAnsi" w:cs="Cambria"/>
          <w:szCs w:val="22"/>
        </w:rPr>
        <w:t>odbornom vzdelávaní musí byť zabezpečený plošne so zohľadnením regionálnych špecifík a</w:t>
      </w:r>
      <w:r w:rsidR="003A0D43">
        <w:rPr>
          <w:rFonts w:asciiTheme="majorHAnsi" w:hAnsiTheme="majorHAnsi" w:cs="Cambria"/>
          <w:szCs w:val="22"/>
        </w:rPr>
        <w:t> </w:t>
      </w:r>
      <w:r w:rsidRPr="00870F42">
        <w:rPr>
          <w:rFonts w:asciiTheme="majorHAnsi" w:hAnsiTheme="majorHAnsi" w:cs="Cambria"/>
          <w:szCs w:val="22"/>
        </w:rPr>
        <w:t xml:space="preserve">potrieb. Prostredníctvom </w:t>
      </w:r>
      <w:r w:rsidR="003A0D43">
        <w:rPr>
          <w:rFonts w:asciiTheme="majorHAnsi" w:hAnsiTheme="majorHAnsi" w:cs="Cambria"/>
          <w:szCs w:val="22"/>
        </w:rPr>
        <w:t>VŠ</w:t>
      </w:r>
      <w:r w:rsidRPr="00870F42">
        <w:rPr>
          <w:rFonts w:asciiTheme="majorHAnsi" w:hAnsiTheme="majorHAnsi" w:cs="Cambria"/>
          <w:szCs w:val="22"/>
        </w:rPr>
        <w:t xml:space="preserve"> v</w:t>
      </w:r>
      <w:r w:rsidR="003A0D43">
        <w:rPr>
          <w:rFonts w:asciiTheme="majorHAnsi" w:hAnsiTheme="majorHAnsi" w:cs="Cambria"/>
          <w:szCs w:val="22"/>
        </w:rPr>
        <w:t> </w:t>
      </w:r>
      <w:r w:rsidRPr="00870F42">
        <w:rPr>
          <w:rFonts w:asciiTheme="majorHAnsi" w:hAnsiTheme="majorHAnsi" w:cs="Cambria"/>
          <w:szCs w:val="22"/>
        </w:rPr>
        <w:t>BSK získavajú VŠ vzdelanie ľudia z</w:t>
      </w:r>
      <w:r w:rsidR="003A0D43">
        <w:rPr>
          <w:rFonts w:asciiTheme="majorHAnsi" w:hAnsiTheme="majorHAnsi" w:cs="Cambria"/>
          <w:szCs w:val="22"/>
        </w:rPr>
        <w:t> </w:t>
      </w:r>
      <w:r w:rsidRPr="00870F42">
        <w:rPr>
          <w:rFonts w:asciiTheme="majorHAnsi" w:hAnsiTheme="majorHAnsi" w:cs="Cambria"/>
          <w:szCs w:val="22"/>
        </w:rPr>
        <w:t>celého územia SR, teda tieto VŠ pokrývajú vzdelávacie potreby pre celú SR. V</w:t>
      </w:r>
      <w:r w:rsidR="003A0D43">
        <w:rPr>
          <w:rFonts w:asciiTheme="majorHAnsi" w:hAnsiTheme="majorHAnsi" w:cs="Cambria"/>
          <w:szCs w:val="22"/>
        </w:rPr>
        <w:t> </w:t>
      </w:r>
      <w:r w:rsidRPr="00870F42">
        <w:rPr>
          <w:rFonts w:asciiTheme="majorHAnsi" w:hAnsiTheme="majorHAnsi" w:cs="Cambria"/>
          <w:szCs w:val="22"/>
        </w:rPr>
        <w:t>B</w:t>
      </w:r>
      <w:r w:rsidR="00716BAA">
        <w:rPr>
          <w:rFonts w:asciiTheme="majorHAnsi" w:hAnsiTheme="majorHAnsi" w:cs="Cambria"/>
          <w:szCs w:val="22"/>
        </w:rPr>
        <w:t>ratislave</w:t>
      </w:r>
      <w:r w:rsidRPr="00870F42">
        <w:rPr>
          <w:rFonts w:asciiTheme="majorHAnsi" w:hAnsiTheme="majorHAnsi" w:cs="Cambria"/>
          <w:szCs w:val="22"/>
        </w:rPr>
        <w:t xml:space="preserve"> je z</w:t>
      </w:r>
      <w:r w:rsidR="003A0D43">
        <w:rPr>
          <w:rFonts w:asciiTheme="majorHAnsi" w:hAnsiTheme="majorHAnsi" w:cs="Cambria"/>
          <w:szCs w:val="22"/>
        </w:rPr>
        <w:t> </w:t>
      </w:r>
      <w:r w:rsidRPr="00870F42">
        <w:rPr>
          <w:rFonts w:asciiTheme="majorHAnsi" w:hAnsiTheme="majorHAnsi" w:cs="Cambria"/>
          <w:szCs w:val="22"/>
        </w:rPr>
        <w:t>regionálneho aspektu zastúpených najviac VŠ. Podľa údajov z</w:t>
      </w:r>
      <w:r w:rsidR="003A0D43">
        <w:rPr>
          <w:rFonts w:asciiTheme="majorHAnsi" w:hAnsiTheme="majorHAnsi" w:cs="Cambria"/>
          <w:szCs w:val="22"/>
        </w:rPr>
        <w:t> </w:t>
      </w:r>
      <w:r w:rsidR="003A0D43" w:rsidRPr="00870F42">
        <w:rPr>
          <w:rFonts w:asciiTheme="majorHAnsi" w:hAnsiTheme="majorHAnsi" w:cs="Cambria"/>
          <w:szCs w:val="22"/>
        </w:rPr>
        <w:t>centrálneho</w:t>
      </w:r>
      <w:r w:rsidR="003A0D43">
        <w:rPr>
          <w:rFonts w:asciiTheme="majorHAnsi" w:hAnsiTheme="majorHAnsi" w:cs="Cambria"/>
          <w:szCs w:val="22"/>
        </w:rPr>
        <w:t xml:space="preserve"> </w:t>
      </w:r>
      <w:r w:rsidRPr="00870F42">
        <w:rPr>
          <w:rFonts w:asciiTheme="majorHAnsi" w:hAnsiTheme="majorHAnsi" w:cs="Cambria"/>
          <w:szCs w:val="22"/>
        </w:rPr>
        <w:t>registra študentov k</w:t>
      </w:r>
      <w:r w:rsidR="003A0D43">
        <w:rPr>
          <w:rFonts w:asciiTheme="majorHAnsi" w:hAnsiTheme="majorHAnsi" w:cs="Cambria"/>
          <w:szCs w:val="22"/>
        </w:rPr>
        <w:t> </w:t>
      </w:r>
      <w:r w:rsidRPr="00870F42">
        <w:rPr>
          <w:rFonts w:asciiTheme="majorHAnsi" w:hAnsiTheme="majorHAnsi" w:cs="Cambria"/>
          <w:szCs w:val="22"/>
        </w:rPr>
        <w:t>31. 10. 2012 predstavoval podiel študentov dennej formy štúdia na verejných a</w:t>
      </w:r>
      <w:r w:rsidR="003A0D43">
        <w:rPr>
          <w:rFonts w:asciiTheme="majorHAnsi" w:hAnsiTheme="majorHAnsi" w:cs="Cambria"/>
          <w:szCs w:val="22"/>
        </w:rPr>
        <w:t> </w:t>
      </w:r>
      <w:r w:rsidRPr="00870F42">
        <w:rPr>
          <w:rFonts w:asciiTheme="majorHAnsi" w:hAnsiTheme="majorHAnsi" w:cs="Cambria"/>
          <w:szCs w:val="22"/>
        </w:rPr>
        <w:t>štátnych VŠ pochádzajúcich z</w:t>
      </w:r>
      <w:r w:rsidR="003A0D43">
        <w:rPr>
          <w:rFonts w:asciiTheme="majorHAnsi" w:hAnsiTheme="majorHAnsi" w:cs="Cambria"/>
          <w:szCs w:val="22"/>
        </w:rPr>
        <w:t> </w:t>
      </w:r>
      <w:r w:rsidRPr="00870F42">
        <w:rPr>
          <w:rFonts w:asciiTheme="majorHAnsi" w:hAnsiTheme="majorHAnsi" w:cs="Cambria"/>
          <w:szCs w:val="22"/>
        </w:rPr>
        <w:t>územia mimo B</w:t>
      </w:r>
      <w:r w:rsidR="00716BAA">
        <w:rPr>
          <w:rFonts w:asciiTheme="majorHAnsi" w:hAnsiTheme="majorHAnsi" w:cs="Cambria"/>
          <w:szCs w:val="22"/>
        </w:rPr>
        <w:t>ratislavy</w:t>
      </w:r>
      <w:r w:rsidRPr="00870F42">
        <w:rPr>
          <w:rFonts w:asciiTheme="majorHAnsi" w:hAnsiTheme="majorHAnsi" w:cs="Cambria"/>
          <w:szCs w:val="22"/>
        </w:rPr>
        <w:t xml:space="preserve"> až 76,1 %. Študenti nadobudnuté znalosti a</w:t>
      </w:r>
      <w:r w:rsidR="003A0D43">
        <w:rPr>
          <w:rFonts w:asciiTheme="majorHAnsi" w:hAnsiTheme="majorHAnsi" w:cs="Cambria"/>
          <w:szCs w:val="22"/>
        </w:rPr>
        <w:t> </w:t>
      </w:r>
      <w:r w:rsidR="00EA6D44">
        <w:rPr>
          <w:rFonts w:asciiTheme="majorHAnsi" w:hAnsiTheme="majorHAnsi" w:cs="Cambria"/>
          <w:szCs w:val="22"/>
        </w:rPr>
        <w:t>zručnosti</w:t>
      </w:r>
      <w:r w:rsidRPr="00870F42">
        <w:rPr>
          <w:rFonts w:asciiTheme="majorHAnsi" w:hAnsiTheme="majorHAnsi" w:cs="Cambria"/>
          <w:szCs w:val="22"/>
        </w:rPr>
        <w:t xml:space="preserve"> po ukončení štúdia prenášajú do menej rozvinutých regiónov.</w:t>
      </w:r>
    </w:p>
    <w:p w:rsidR="004E2940" w:rsidRPr="001920C5" w:rsidRDefault="004E2940" w:rsidP="00CD70BE">
      <w:pPr>
        <w:pStyle w:val="Nadpis4"/>
        <w:numPr>
          <w:ilvl w:val="3"/>
          <w:numId w:val="52"/>
        </w:numPr>
        <w:rPr>
          <w:b w:val="0"/>
          <w:bCs w:val="0"/>
          <w:sz w:val="22"/>
          <w:szCs w:val="22"/>
        </w:rPr>
      </w:pPr>
      <w:r w:rsidRPr="001920C5">
        <w:rPr>
          <w:b w:val="0"/>
          <w:bCs w:val="0"/>
          <w:sz w:val="22"/>
          <w:szCs w:val="22"/>
        </w:rPr>
        <w:t>Udržateľné a efektívne využívanie prírodných zdrojov</w:t>
      </w:r>
    </w:p>
    <w:p w:rsidR="004E2940" w:rsidRPr="001920C5" w:rsidRDefault="004E2940" w:rsidP="004E2940">
      <w:pPr>
        <w:spacing w:after="0"/>
        <w:rPr>
          <w:rFonts w:asciiTheme="majorHAnsi" w:hAnsiTheme="majorHAnsi" w:cs="Cambria"/>
          <w:szCs w:val="22"/>
        </w:rPr>
      </w:pPr>
      <w:r w:rsidRPr="001920C5">
        <w:rPr>
          <w:rFonts w:asciiTheme="majorHAnsi" w:hAnsiTheme="majorHAnsi" w:cs="Cambria"/>
          <w:szCs w:val="22"/>
        </w:rPr>
        <w:t>Hlavné zdroje znečistenia ovzdušia pochádzajú z bodových zdrojov priemyselnej prevádzky (Slovnaft, Volkswagen, Holcim a iné), ale aj z mobilných zdrojov – automobilová doprava. Zdroje znečistenia sú sústredené najmä na území okresov BSK.</w:t>
      </w:r>
    </w:p>
    <w:p w:rsidR="004E2940" w:rsidRPr="001920C5" w:rsidRDefault="004E2940" w:rsidP="00CD70BE">
      <w:pPr>
        <w:pStyle w:val="Nadpis5"/>
        <w:numPr>
          <w:ilvl w:val="4"/>
          <w:numId w:val="52"/>
        </w:numPr>
        <w:ind w:left="1292"/>
        <w:rPr>
          <w:szCs w:val="22"/>
        </w:rPr>
      </w:pPr>
      <w:r w:rsidRPr="001920C5">
        <w:rPr>
          <w:szCs w:val="22"/>
        </w:rPr>
        <w:t>TC4: Podpora prechodu na nízkouhlíkové hospodárstvo vo všetkých sektoroch</w:t>
      </w:r>
    </w:p>
    <w:p w:rsidR="004E2940" w:rsidRPr="001920C5" w:rsidRDefault="004E2940" w:rsidP="004E2940">
      <w:pPr>
        <w:spacing w:after="0"/>
        <w:rPr>
          <w:rFonts w:asciiTheme="majorHAnsi" w:hAnsiTheme="majorHAnsi" w:cs="Cambria"/>
          <w:szCs w:val="22"/>
        </w:rPr>
      </w:pPr>
      <w:r w:rsidRPr="001920C5">
        <w:rPr>
          <w:rFonts w:asciiTheme="majorHAnsi" w:hAnsiTheme="majorHAnsi" w:cs="Cambria"/>
          <w:szCs w:val="22"/>
        </w:rPr>
        <w:t>V oblasti bývania je jedným z dôležitých pilierov zvýšenia jeho kvality a dostupnosti obnova existujúceho bytového fondu, s cieľom znižovania energetickej náročnosti, zvýšenia bezpečnosti bytových domov a zachovania bytového fondu, a to prednostne v bytoch postavených hromadnými spôsobmi výstavby, s dôrazom na byty postavené panelovou technológiou. V období rokov 1955 až 1992 bolo touto technológiou na Slovensku postavených cca 757 tis. bytov, z toho viac ako 20 % sa nachádza na území BSK (155 tis. bytov). Z tohto množstva bolo doteraz obnovených približne 20 až 25 % bytov, čo znamená, že cca 75 % bytov potrebuje ďalšie finančné prostriedky na obnovu. V absolútnom vyjadrení to predstavuje takmer 120 tis. bytov na území BSK.</w:t>
      </w:r>
    </w:p>
    <w:p w:rsidR="004E2940" w:rsidRPr="001920C5" w:rsidRDefault="004E2940" w:rsidP="004E2940">
      <w:pPr>
        <w:rPr>
          <w:rFonts w:asciiTheme="majorHAnsi" w:hAnsiTheme="majorHAnsi" w:cs="Cambria"/>
          <w:szCs w:val="22"/>
        </w:rPr>
      </w:pPr>
      <w:r w:rsidRPr="001920C5">
        <w:rPr>
          <w:rFonts w:asciiTheme="majorHAnsi" w:hAnsiTheme="majorHAnsi" w:cs="Cambria"/>
          <w:szCs w:val="22"/>
        </w:rPr>
        <w:t>Nemalý význam pre udržateľné a efektívne využívanie prírodných zdrojov má aj podpora výstavby zariadení na výrobu elektriny pomocou malých obnoviteľných zdrojov energie ako sú fotovoltické elektrárne (ďalej len „FVE“), FVE na ohrev vody, malé veterné turbíny. Ďalej ide o výstavbu zariadení na výrobu tepla s využitím obnoviteľných zdrojov energie (ďalej len „OZE“), ako slnečné kolektory, kotl</w:t>
      </w:r>
      <w:r w:rsidR="00D80235">
        <w:rPr>
          <w:rFonts w:asciiTheme="majorHAnsi" w:hAnsiTheme="majorHAnsi" w:cs="Cambria"/>
          <w:szCs w:val="22"/>
        </w:rPr>
        <w:t>e</w:t>
      </w:r>
      <w:r w:rsidRPr="001920C5">
        <w:rPr>
          <w:rFonts w:asciiTheme="majorHAnsi" w:hAnsiTheme="majorHAnsi" w:cs="Cambria"/>
          <w:szCs w:val="22"/>
        </w:rPr>
        <w:t xml:space="preserve"> na biomasu a tepelné čerpadlá.</w:t>
      </w:r>
      <w:r w:rsidR="00D66ACF">
        <w:rPr>
          <w:rFonts w:asciiTheme="majorHAnsi" w:hAnsiTheme="majorHAnsi" w:cs="Cambria"/>
          <w:szCs w:val="22"/>
        </w:rPr>
        <w:t xml:space="preserve"> </w:t>
      </w:r>
      <w:r w:rsidR="00D66ACF" w:rsidRPr="00D66ACF">
        <w:rPr>
          <w:rFonts w:asciiTheme="majorHAnsi" w:hAnsiTheme="majorHAnsi" w:cs="Cambria"/>
          <w:szCs w:val="22"/>
        </w:rPr>
        <w:t>Podporovať sa budú systémy výroby elektriny alebo tepla v malom zdroji na využívanie OZE s uprednostňovaním maximalizácie spotreby v mieste výroby. Podpora malých zariadení na využívanie OZE pre bytové domy bude možná len po predložení energetického auditu, v ktorom budú zohľadnené opatrenia na úsporu energie realizované z prostriedkov EŠIF, alebo vlastnými prostriedkami. Malé zdroje OZE sa plánujú podporovať najmä pre rodinné domy.</w:t>
      </w:r>
      <w:r w:rsidRPr="001920C5">
        <w:rPr>
          <w:rFonts w:asciiTheme="majorHAnsi" w:hAnsiTheme="majorHAnsi" w:cs="Cambria"/>
          <w:szCs w:val="22"/>
        </w:rPr>
        <w:t xml:space="preserve"> Opatrenia zamerané na zvýšenie podielu OZE na hrubej konečnej spotrebe energie na úroveň stanovených cieľov je nevyhnutné uplatniť na celom území SR. Cieľová skupina predstavuje cca 856 tis. obývaných bytov v rodinných domoch, z čoho BSK predstavuje cca 65 tis., t. j. 7,6 %. Podiel územia BSK predstavuje 4,2 % z</w:t>
      </w:r>
      <w:r w:rsidR="001D69C6">
        <w:rPr>
          <w:rFonts w:asciiTheme="majorHAnsi" w:hAnsiTheme="majorHAnsi" w:cs="Cambria"/>
          <w:szCs w:val="22"/>
        </w:rPr>
        <w:t> </w:t>
      </w:r>
      <w:r w:rsidRPr="001920C5">
        <w:rPr>
          <w:rFonts w:asciiTheme="majorHAnsi" w:hAnsiTheme="majorHAnsi" w:cs="Cambria"/>
          <w:szCs w:val="22"/>
        </w:rPr>
        <w:t>územia SR.</w:t>
      </w:r>
      <w:r w:rsidR="00D66ACF">
        <w:rPr>
          <w:rFonts w:asciiTheme="majorHAnsi" w:hAnsiTheme="majorHAnsi" w:cs="Cambria"/>
          <w:szCs w:val="22"/>
        </w:rPr>
        <w:t xml:space="preserve"> </w:t>
      </w:r>
      <w:r w:rsidR="00D66ACF" w:rsidRPr="009B787F">
        <w:rPr>
          <w:rFonts w:asciiTheme="majorHAnsi" w:hAnsiTheme="majorHAnsi"/>
        </w:rPr>
        <w:t>Podporu inštalácie zariadení v BSK je z dôvodu geografickej polohy mimoriadne vhodné orientovať najmä na využitie slnečnej energie a energie okolitého prostredia tepelnými čerpadlami.</w:t>
      </w:r>
    </w:p>
    <w:p w:rsidR="004E2940" w:rsidRPr="001920C5" w:rsidRDefault="004E2940" w:rsidP="004E2940">
      <w:pPr>
        <w:rPr>
          <w:rFonts w:asciiTheme="majorHAnsi" w:hAnsiTheme="majorHAnsi" w:cs="Cambria"/>
          <w:szCs w:val="22"/>
        </w:rPr>
      </w:pPr>
      <w:r w:rsidRPr="001920C5">
        <w:rPr>
          <w:rFonts w:asciiTheme="majorHAnsi" w:hAnsiTheme="majorHAnsi" w:cs="Cambria"/>
          <w:szCs w:val="22"/>
        </w:rPr>
        <w:t xml:space="preserve">Postupné nahrádzanie klasických zdrojov rozptýlenou výrobou z obnoviteľných zdrojov zmenšuje uhlíkovú stopu energetiky a prispieva k znižovaniu emisií skleníkových plynov a tiež zmenšuje </w:t>
      </w:r>
      <w:r w:rsidRPr="001920C5">
        <w:rPr>
          <w:rFonts w:asciiTheme="majorHAnsi" w:hAnsiTheme="majorHAnsi" w:cs="Cambria"/>
          <w:szCs w:val="22"/>
        </w:rPr>
        <w:lastRenderedPageBreak/>
        <w:t xml:space="preserve">závislosť na dovoze primárnych zdrojov energie. </w:t>
      </w:r>
      <w:r w:rsidR="00647483">
        <w:rPr>
          <w:rFonts w:asciiTheme="majorHAnsi" w:hAnsiTheme="majorHAnsi" w:cs="Cambria"/>
          <w:szCs w:val="22"/>
        </w:rPr>
        <w:t>Inovatívne riešenie spočíva v</w:t>
      </w:r>
      <w:r w:rsidR="001D69C6">
        <w:rPr>
          <w:rFonts w:asciiTheme="majorHAnsi" w:hAnsiTheme="majorHAnsi" w:cs="Cambria"/>
          <w:szCs w:val="22"/>
        </w:rPr>
        <w:t> </w:t>
      </w:r>
      <w:r w:rsidRPr="001920C5">
        <w:rPr>
          <w:rFonts w:asciiTheme="majorHAnsi" w:hAnsiTheme="majorHAnsi" w:cs="Cambria"/>
          <w:szCs w:val="22"/>
        </w:rPr>
        <w:t>nastavení podmienok výstavby malých zdrojov a kritérií finančnej podpory</w:t>
      </w:r>
      <w:r w:rsidR="00C0763F">
        <w:rPr>
          <w:rFonts w:asciiTheme="majorHAnsi" w:hAnsiTheme="majorHAnsi" w:cs="Cambria"/>
          <w:szCs w:val="22"/>
        </w:rPr>
        <w:t>, ktoré motivuje občanov</w:t>
      </w:r>
      <w:r w:rsidRPr="001920C5">
        <w:rPr>
          <w:rFonts w:asciiTheme="majorHAnsi" w:hAnsiTheme="majorHAnsi" w:cs="Cambria"/>
          <w:szCs w:val="22"/>
        </w:rPr>
        <w:t xml:space="preserve"> kryť si len vlastnú spotrebu, čím sa minimalizuje riziko </w:t>
      </w:r>
      <w:r w:rsidR="00C0763F" w:rsidRPr="001920C5">
        <w:rPr>
          <w:rFonts w:asciiTheme="majorHAnsi" w:hAnsiTheme="majorHAnsi" w:cs="Cambria"/>
          <w:szCs w:val="22"/>
        </w:rPr>
        <w:t>spätné</w:t>
      </w:r>
      <w:r w:rsidR="00C0763F">
        <w:rPr>
          <w:rFonts w:asciiTheme="majorHAnsi" w:hAnsiTheme="majorHAnsi" w:cs="Cambria"/>
          <w:szCs w:val="22"/>
        </w:rPr>
        <w:t>ho</w:t>
      </w:r>
      <w:r w:rsidR="00C0763F" w:rsidRPr="001920C5">
        <w:rPr>
          <w:rFonts w:asciiTheme="majorHAnsi" w:hAnsiTheme="majorHAnsi" w:cs="Cambria"/>
          <w:szCs w:val="22"/>
        </w:rPr>
        <w:t xml:space="preserve"> </w:t>
      </w:r>
      <w:r w:rsidRPr="001920C5">
        <w:rPr>
          <w:rFonts w:asciiTheme="majorHAnsi" w:hAnsiTheme="majorHAnsi" w:cs="Cambria"/>
          <w:szCs w:val="22"/>
        </w:rPr>
        <w:t>toku výkonu z odberných uzlov do distribučnej sústavy</w:t>
      </w:r>
      <w:r w:rsidRPr="001920C5">
        <w:rPr>
          <w:rStyle w:val="Odkaznapoznmkupodiarou"/>
          <w:rFonts w:asciiTheme="majorHAnsi" w:hAnsiTheme="majorHAnsi" w:cs="Cambria"/>
          <w:szCs w:val="22"/>
        </w:rPr>
        <w:footnoteReference w:id="258"/>
      </w:r>
      <w:r w:rsidRPr="001920C5">
        <w:rPr>
          <w:rFonts w:asciiTheme="majorHAnsi" w:hAnsiTheme="majorHAnsi" w:cs="Cambria"/>
          <w:szCs w:val="22"/>
        </w:rPr>
        <w:t>.</w:t>
      </w:r>
      <w:r w:rsidR="00C0763F" w:rsidRPr="00C0763F">
        <w:rPr>
          <w:rFonts w:asciiTheme="majorHAnsi" w:hAnsiTheme="majorHAnsi" w:cs="Cambria"/>
          <w:szCs w:val="22"/>
        </w:rPr>
        <w:t xml:space="preserve"> </w:t>
      </w:r>
      <w:r w:rsidR="00C0763F">
        <w:rPr>
          <w:rFonts w:asciiTheme="majorHAnsi" w:hAnsiTheme="majorHAnsi" w:cs="Cambria"/>
          <w:szCs w:val="22"/>
        </w:rPr>
        <w:t>Dané riešenie má pozitívny dosah na stabilitu sústavy.</w:t>
      </w:r>
    </w:p>
    <w:p w:rsidR="004E2940" w:rsidRPr="001920C5" w:rsidRDefault="004E2940" w:rsidP="004E2940">
      <w:pPr>
        <w:rPr>
          <w:rFonts w:asciiTheme="majorHAnsi" w:hAnsiTheme="majorHAnsi" w:cs="Cambria"/>
          <w:szCs w:val="22"/>
        </w:rPr>
      </w:pPr>
      <w:r w:rsidRPr="001920C5">
        <w:rPr>
          <w:rFonts w:asciiTheme="majorHAnsi" w:hAnsiTheme="majorHAnsi" w:cs="Cambria"/>
          <w:szCs w:val="22"/>
        </w:rPr>
        <w:t>Plánovaná alokácia pre BSK zabezpečí rovnomerné umiestnenie OZE v distribučnej sústave SR</w:t>
      </w:r>
      <w:r w:rsidR="00D80235">
        <w:rPr>
          <w:rFonts w:asciiTheme="majorHAnsi" w:hAnsiTheme="majorHAnsi" w:cs="Cambria"/>
          <w:szCs w:val="22"/>
        </w:rPr>
        <w:t xml:space="preserve"> a</w:t>
      </w:r>
      <w:r w:rsidRPr="001920C5">
        <w:rPr>
          <w:rFonts w:asciiTheme="majorHAnsi" w:hAnsiTheme="majorHAnsi" w:cs="Cambria"/>
          <w:szCs w:val="22"/>
        </w:rPr>
        <w:t xml:space="preserve"> tým nebude dochádzať k nežiaducej koncentrácii zdrojov do ostatných regiónov. Zároveň bude zabezpečená rovnosť príležitostí pre všetkých obyvateľov SR na výrobe zelenej energie.</w:t>
      </w:r>
    </w:p>
    <w:p w:rsidR="004E2940" w:rsidRPr="001920C5" w:rsidRDefault="004E2940" w:rsidP="00CD70BE">
      <w:pPr>
        <w:pStyle w:val="Nadpis4"/>
        <w:numPr>
          <w:ilvl w:val="3"/>
          <w:numId w:val="52"/>
        </w:numPr>
        <w:rPr>
          <w:b w:val="0"/>
          <w:bCs w:val="0"/>
          <w:sz w:val="22"/>
          <w:szCs w:val="22"/>
        </w:rPr>
      </w:pPr>
      <w:r w:rsidRPr="001920C5">
        <w:rPr>
          <w:b w:val="0"/>
          <w:bCs w:val="0"/>
          <w:sz w:val="22"/>
          <w:szCs w:val="22"/>
        </w:rPr>
        <w:t>Moderná a profesionálna verejná správa</w:t>
      </w:r>
    </w:p>
    <w:p w:rsidR="004E2940" w:rsidRPr="001920C5" w:rsidRDefault="004E2940" w:rsidP="00CD70BE">
      <w:pPr>
        <w:pStyle w:val="Nadpis5"/>
        <w:numPr>
          <w:ilvl w:val="4"/>
          <w:numId w:val="52"/>
        </w:numPr>
        <w:ind w:left="1292"/>
        <w:rPr>
          <w:szCs w:val="22"/>
        </w:rPr>
      </w:pPr>
      <w:r w:rsidRPr="001920C5">
        <w:rPr>
          <w:szCs w:val="22"/>
        </w:rPr>
        <w:t>TC11: Posilnenie inštitucionálnych kapacít orgánov verejnej správy a zainteresovaných strán a efektivity verejnej správy</w:t>
      </w:r>
    </w:p>
    <w:p w:rsidR="004E2940" w:rsidRPr="001920C5" w:rsidRDefault="004E2940" w:rsidP="004E2940">
      <w:pPr>
        <w:rPr>
          <w:rFonts w:asciiTheme="majorHAnsi" w:hAnsiTheme="majorHAnsi" w:cs="Cambria"/>
          <w:szCs w:val="22"/>
        </w:rPr>
      </w:pPr>
      <w:r w:rsidRPr="001920C5">
        <w:rPr>
          <w:rFonts w:asciiTheme="majorHAnsi" w:hAnsiTheme="majorHAnsi" w:cs="Cambria"/>
          <w:szCs w:val="22"/>
        </w:rPr>
        <w:t xml:space="preserve">Na území BSK budú podporované aktivity v súlade so základnými východiskami reformy </w:t>
      </w:r>
      <w:r w:rsidR="001D69C6">
        <w:rPr>
          <w:rFonts w:asciiTheme="majorHAnsi" w:hAnsiTheme="majorHAnsi" w:cs="Cambria"/>
          <w:szCs w:val="22"/>
        </w:rPr>
        <w:t xml:space="preserve">VS </w:t>
      </w:r>
      <w:r w:rsidRPr="001920C5">
        <w:rPr>
          <w:rFonts w:asciiTheme="majorHAnsi" w:hAnsiTheme="majorHAnsi" w:cs="Cambria"/>
          <w:szCs w:val="22"/>
        </w:rPr>
        <w:t xml:space="preserve">v SR a akčným plánom pre BSK. Aktivity budú smerovať k optimalizácii politík, systémov a procesov v kontexte podpory implementácie reformy </w:t>
      </w:r>
      <w:r w:rsidR="001D69C6">
        <w:rPr>
          <w:rFonts w:asciiTheme="majorHAnsi" w:hAnsiTheme="majorHAnsi" w:cs="Cambria"/>
          <w:szCs w:val="22"/>
        </w:rPr>
        <w:t>VS</w:t>
      </w:r>
      <w:r w:rsidRPr="001920C5">
        <w:rPr>
          <w:rFonts w:asciiTheme="majorHAnsi" w:hAnsiTheme="majorHAnsi" w:cs="Cambria"/>
          <w:szCs w:val="22"/>
        </w:rPr>
        <w:t xml:space="preserve">, komplementárne s aktivitami realizovanými na ostatnom území SR. Prispievať tak budú k plneniu cieľa národnej reformy </w:t>
      </w:r>
      <w:r w:rsidR="001D69C6">
        <w:rPr>
          <w:rFonts w:asciiTheme="majorHAnsi" w:hAnsiTheme="majorHAnsi" w:cs="Cambria"/>
          <w:szCs w:val="22"/>
        </w:rPr>
        <w:t>VS</w:t>
      </w:r>
      <w:r w:rsidRPr="001920C5">
        <w:rPr>
          <w:rFonts w:asciiTheme="majorHAnsi" w:hAnsiTheme="majorHAnsi" w:cs="Cambria"/>
          <w:szCs w:val="22"/>
        </w:rPr>
        <w:t xml:space="preserve">, ktorým je proklientsky orientovaná, transparentná </w:t>
      </w:r>
      <w:r w:rsidR="001D69C6">
        <w:rPr>
          <w:rFonts w:asciiTheme="majorHAnsi" w:hAnsiTheme="majorHAnsi" w:cs="Cambria"/>
          <w:szCs w:val="22"/>
        </w:rPr>
        <w:t>VS</w:t>
      </w:r>
      <w:r w:rsidRPr="001920C5">
        <w:rPr>
          <w:rFonts w:asciiTheme="majorHAnsi" w:hAnsiTheme="majorHAnsi" w:cs="Cambria"/>
          <w:szCs w:val="22"/>
        </w:rPr>
        <w:t>, poskytujúca svoje služby rýchlo, efektívne a kvalitne, v záujme podpory udržateľného rastu, tvorby pracovných miest a sociálnej inklúzie.</w:t>
      </w:r>
    </w:p>
    <w:p w:rsidR="004E2940" w:rsidRPr="001920C5" w:rsidRDefault="004E2940" w:rsidP="004E2940">
      <w:pPr>
        <w:rPr>
          <w:rFonts w:asciiTheme="majorHAnsi" w:hAnsiTheme="majorHAnsi" w:cs="Cambria"/>
          <w:szCs w:val="22"/>
        </w:rPr>
      </w:pPr>
      <w:r w:rsidRPr="001920C5">
        <w:rPr>
          <w:rFonts w:asciiTheme="majorHAnsi" w:hAnsiTheme="majorHAnsi" w:cs="Cambria"/>
          <w:szCs w:val="22"/>
        </w:rPr>
        <w:t xml:space="preserve">Vzhľadom na rozsah plánovanej reformy </w:t>
      </w:r>
      <w:r w:rsidR="001D69C6">
        <w:rPr>
          <w:rFonts w:asciiTheme="majorHAnsi" w:hAnsiTheme="majorHAnsi" w:cs="Cambria"/>
          <w:szCs w:val="22"/>
        </w:rPr>
        <w:t xml:space="preserve">VS </w:t>
      </w:r>
      <w:r w:rsidRPr="001920C5">
        <w:rPr>
          <w:rFonts w:asciiTheme="majorHAnsi" w:hAnsiTheme="majorHAnsi" w:cs="Cambria"/>
          <w:szCs w:val="22"/>
        </w:rPr>
        <w:t xml:space="preserve">a jej horizontálny charakter, je potrebné zvýšiť kvalitu a efektivitu služieb </w:t>
      </w:r>
      <w:r w:rsidR="001D69C6">
        <w:rPr>
          <w:rFonts w:asciiTheme="majorHAnsi" w:hAnsiTheme="majorHAnsi" w:cs="Cambria"/>
          <w:szCs w:val="22"/>
        </w:rPr>
        <w:t>VS</w:t>
      </w:r>
      <w:r w:rsidRPr="001920C5">
        <w:rPr>
          <w:rFonts w:asciiTheme="majorHAnsi" w:hAnsiTheme="majorHAnsi" w:cs="Cambria"/>
          <w:szCs w:val="22"/>
        </w:rPr>
        <w:t xml:space="preserve"> vo všetkých segmentoch </w:t>
      </w:r>
      <w:r w:rsidR="001D69C6">
        <w:rPr>
          <w:rFonts w:asciiTheme="majorHAnsi" w:hAnsiTheme="majorHAnsi" w:cs="Cambria"/>
          <w:szCs w:val="22"/>
        </w:rPr>
        <w:t>VS</w:t>
      </w:r>
      <w:r w:rsidRPr="001920C5">
        <w:rPr>
          <w:rFonts w:asciiTheme="majorHAnsi" w:hAnsiTheme="majorHAnsi" w:cs="Cambria"/>
          <w:szCs w:val="22"/>
        </w:rPr>
        <w:t xml:space="preserve"> na celom území SR jednotne. Posilnením všetkých relevantných partnerov (inštitucionálnych, sociálnych a ekonomických, občiansk</w:t>
      </w:r>
      <w:r w:rsidR="009D175B">
        <w:rPr>
          <w:rFonts w:asciiTheme="majorHAnsi" w:hAnsiTheme="majorHAnsi" w:cs="Cambria"/>
          <w:szCs w:val="22"/>
        </w:rPr>
        <w:t>ej</w:t>
      </w:r>
      <w:r w:rsidRPr="001920C5">
        <w:rPr>
          <w:rFonts w:asciiTheme="majorHAnsi" w:hAnsiTheme="majorHAnsi" w:cs="Cambria"/>
          <w:szCs w:val="22"/>
        </w:rPr>
        <w:t xml:space="preserve"> spoločnos</w:t>
      </w:r>
      <w:r w:rsidR="009D175B">
        <w:rPr>
          <w:rFonts w:asciiTheme="majorHAnsi" w:hAnsiTheme="majorHAnsi" w:cs="Cambria"/>
          <w:szCs w:val="22"/>
        </w:rPr>
        <w:t>ti</w:t>
      </w:r>
      <w:r w:rsidRPr="001920C5">
        <w:rPr>
          <w:rFonts w:asciiTheme="majorHAnsi" w:hAnsiTheme="majorHAnsi" w:cs="Cambria"/>
          <w:szCs w:val="22"/>
        </w:rPr>
        <w:t xml:space="preserve">) pri tvorbe politík a rozvoji služieb, ktoré sa ich týkajú, vytvorením jednotného systému správy </w:t>
      </w:r>
      <w:r w:rsidR="008A7AEF" w:rsidRPr="001920C5">
        <w:rPr>
          <w:rFonts w:asciiTheme="majorHAnsi" w:hAnsiTheme="majorHAnsi" w:cs="Cambria"/>
          <w:szCs w:val="22"/>
        </w:rPr>
        <w:t>vec</w:t>
      </w:r>
      <w:r w:rsidR="008A7AEF">
        <w:rPr>
          <w:rFonts w:asciiTheme="majorHAnsi" w:hAnsiTheme="majorHAnsi" w:cs="Cambria"/>
          <w:szCs w:val="22"/>
        </w:rPr>
        <w:t>í</w:t>
      </w:r>
      <w:r w:rsidR="008A7AEF" w:rsidRPr="001920C5">
        <w:rPr>
          <w:rFonts w:asciiTheme="majorHAnsi" w:hAnsiTheme="majorHAnsi" w:cs="Cambria"/>
          <w:szCs w:val="22"/>
        </w:rPr>
        <w:t xml:space="preserve"> </w:t>
      </w:r>
      <w:r w:rsidRPr="001920C5">
        <w:rPr>
          <w:rFonts w:asciiTheme="majorHAnsi" w:hAnsiTheme="majorHAnsi" w:cs="Cambria"/>
          <w:szCs w:val="22"/>
        </w:rPr>
        <w:t xml:space="preserve">verejných bude dosiahnutý rozvoj a zabezpečovaná implementácia pro-rastovej politiky na základe synergií a harmonickej interakcie na všetkých úrovniach </w:t>
      </w:r>
      <w:r w:rsidR="001D69C6">
        <w:rPr>
          <w:rFonts w:asciiTheme="majorHAnsi" w:hAnsiTheme="majorHAnsi" w:cs="Cambria"/>
          <w:szCs w:val="22"/>
        </w:rPr>
        <w:t>VS</w:t>
      </w:r>
      <w:r w:rsidRPr="001920C5">
        <w:rPr>
          <w:rFonts w:asciiTheme="majorHAnsi" w:hAnsiTheme="majorHAnsi" w:cs="Cambria"/>
          <w:szCs w:val="22"/>
        </w:rPr>
        <w:t xml:space="preserve"> od centrálnej až po miestnu, vrátane politík a služieb garantovaných samosprávami. V súvislosti s týmto, nie je možné realizovať reformu </w:t>
      </w:r>
      <w:r w:rsidR="001D69C6">
        <w:rPr>
          <w:rFonts w:asciiTheme="majorHAnsi" w:hAnsiTheme="majorHAnsi" w:cs="Cambria"/>
          <w:szCs w:val="22"/>
        </w:rPr>
        <w:t>VS</w:t>
      </w:r>
      <w:r w:rsidRPr="001920C5">
        <w:rPr>
          <w:rFonts w:asciiTheme="majorHAnsi" w:hAnsiTheme="majorHAnsi" w:cs="Cambria"/>
          <w:szCs w:val="22"/>
        </w:rPr>
        <w:t xml:space="preserve"> bez zapojenia subjektov v BSK a vytvárať tak duálny systém správy vecí verejných.</w:t>
      </w:r>
    </w:p>
    <w:p w:rsidR="004E2940" w:rsidRPr="001920C5" w:rsidRDefault="004E2940" w:rsidP="004E2940">
      <w:pPr>
        <w:rPr>
          <w:rFonts w:asciiTheme="majorHAnsi" w:hAnsiTheme="majorHAnsi" w:cs="Cambria"/>
          <w:szCs w:val="22"/>
        </w:rPr>
      </w:pPr>
      <w:r w:rsidRPr="001920C5">
        <w:rPr>
          <w:rFonts w:asciiTheme="majorHAnsi" w:hAnsiTheme="majorHAnsi" w:cs="Cambria"/>
          <w:szCs w:val="22"/>
        </w:rPr>
        <w:t>Zároveň je potrebné brať do úvahy aj skutočnosť, že časť kompetencií štátnej správy bola delegovaná na miestnu (špecializovanú) štátnu správu, ktorej služby a kvalitu je taktiež potrebné optimalizovať vo všetkých prioritných oblastiach reformy.</w:t>
      </w:r>
    </w:p>
    <w:p w:rsidR="004E2940" w:rsidRPr="001920C5" w:rsidRDefault="004E2940" w:rsidP="004E2940">
      <w:pPr>
        <w:rPr>
          <w:rFonts w:asciiTheme="majorHAnsi" w:hAnsiTheme="majorHAnsi" w:cs="Cambria"/>
          <w:szCs w:val="22"/>
        </w:rPr>
      </w:pPr>
      <w:r w:rsidRPr="001920C5">
        <w:rPr>
          <w:rFonts w:asciiTheme="majorHAnsi" w:hAnsiTheme="majorHAnsi" w:cs="Cambria"/>
          <w:szCs w:val="22"/>
        </w:rPr>
        <w:t>Zároveň bude podpora v</w:t>
      </w:r>
      <w:r w:rsidR="001D69C6">
        <w:rPr>
          <w:rFonts w:asciiTheme="majorHAnsi" w:hAnsiTheme="majorHAnsi" w:cs="Cambria"/>
          <w:szCs w:val="22"/>
        </w:rPr>
        <w:t> </w:t>
      </w:r>
      <w:r w:rsidRPr="001920C5">
        <w:rPr>
          <w:rFonts w:asciiTheme="majorHAnsi" w:hAnsiTheme="majorHAnsi" w:cs="Cambria"/>
          <w:szCs w:val="22"/>
        </w:rPr>
        <w:t>BSK smerovaná aj na orgány a inštitúcie štátnej správy pôsobiace výhradne na území BSK. Vzájomná spolupráca všetkých relevantných partnerov na území BSK je kľúčovým predpokladom pre zabezpečenie koordinácie medzi aktivitami realizovanými na území menej rozvinutých regiónov a viac rozvinutého regiónu. Zohľadnené budú špecifické podmienky podpory BSK, no zároveň budú brané do úvahy aj špecifiká tohto regiónu, jeho potreby, požiadavky dotvoriť politiky služieb voči špecifickým cieľovým skupinám a pod. Vzájomnou koordináciou bude dosiahnutá plná a jednotná optimalizácia so službami zavedenými na ostatnom území SR.</w:t>
      </w:r>
    </w:p>
    <w:p w:rsidR="004E2940" w:rsidRPr="001F7BFD" w:rsidRDefault="004E2940" w:rsidP="00CD70BE">
      <w:pPr>
        <w:pStyle w:val="Nadpis4"/>
        <w:numPr>
          <w:ilvl w:val="3"/>
          <w:numId w:val="52"/>
        </w:numPr>
        <w:rPr>
          <w:b w:val="0"/>
          <w:bCs w:val="0"/>
          <w:sz w:val="22"/>
          <w:szCs w:val="22"/>
        </w:rPr>
      </w:pPr>
      <w:r w:rsidRPr="001F7BFD">
        <w:rPr>
          <w:b w:val="0"/>
          <w:bCs w:val="0"/>
          <w:sz w:val="22"/>
          <w:szCs w:val="22"/>
        </w:rPr>
        <w:t>Plánované využitie finančných nástrojov v Bratislavskom samosprávnom kraji</w:t>
      </w:r>
    </w:p>
    <w:p w:rsidR="004E2940" w:rsidRPr="001F7BFD" w:rsidRDefault="004E2940" w:rsidP="004E2940">
      <w:pPr>
        <w:rPr>
          <w:rFonts w:asciiTheme="majorHAnsi" w:hAnsiTheme="majorHAnsi" w:cs="Cambria"/>
          <w:szCs w:val="22"/>
        </w:rPr>
      </w:pPr>
      <w:r w:rsidRPr="001F7BFD">
        <w:rPr>
          <w:rFonts w:asciiTheme="majorHAnsi" w:hAnsiTheme="majorHAnsi" w:cs="Cambria"/>
          <w:szCs w:val="22"/>
        </w:rPr>
        <w:t xml:space="preserve">Opodstatnenosť a efektívnosť využitia prostriedkov formou finančných nástrojov v BSK spočíva v dvoch hlavných aspektoch. Prvým aspektom je využitie finančných nástrojov pri </w:t>
      </w:r>
      <w:r w:rsidR="007017D6" w:rsidRPr="001F7BFD">
        <w:rPr>
          <w:rFonts w:asciiTheme="majorHAnsi" w:hAnsiTheme="majorHAnsi" w:cs="Cambria"/>
          <w:szCs w:val="22"/>
        </w:rPr>
        <w:t>implementáci</w:t>
      </w:r>
      <w:r w:rsidR="007017D6">
        <w:rPr>
          <w:rFonts w:asciiTheme="majorHAnsi" w:hAnsiTheme="majorHAnsi" w:cs="Cambria"/>
          <w:szCs w:val="22"/>
        </w:rPr>
        <w:t xml:space="preserve">i </w:t>
      </w:r>
      <w:r w:rsidRPr="001F7BFD">
        <w:rPr>
          <w:rFonts w:asciiTheme="majorHAnsi" w:hAnsiTheme="majorHAnsi" w:cs="Cambria"/>
          <w:szCs w:val="22"/>
        </w:rPr>
        <w:t>tých aktivít, pri ktorých bude preukázané efektívnejšie využitie finančných prostriedkov z EŠIF takouto formou podpory, v porovnaní s nenávratnou formou podpory v oblastiach ako podnikateľské prostredie priaznivé pre inovácie (TC1, TC3), infraštruktúra pre hospodársky rast a tvorbu pracovných miest (TC7), rozvoj ľudského kapitálu a zlepšenie účasti na trhu práce (TC8, TC9 a</w:t>
      </w:r>
      <w:r w:rsidR="001F7BFD">
        <w:rPr>
          <w:rFonts w:asciiTheme="majorHAnsi" w:hAnsiTheme="majorHAnsi" w:cs="Cambria"/>
          <w:szCs w:val="22"/>
        </w:rPr>
        <w:t> </w:t>
      </w:r>
      <w:r w:rsidRPr="001F7BFD">
        <w:rPr>
          <w:rFonts w:asciiTheme="majorHAnsi" w:hAnsiTheme="majorHAnsi" w:cs="Cambria"/>
          <w:szCs w:val="22"/>
        </w:rPr>
        <w:t xml:space="preserve">TC10), udržateľné a efektívne využívanie prírodných zdrojov (TC4) a posilnenie inštitucionálnych kapacít orgánov </w:t>
      </w:r>
      <w:r w:rsidR="001D69C6">
        <w:rPr>
          <w:rFonts w:asciiTheme="majorHAnsi" w:hAnsiTheme="majorHAnsi" w:cs="Cambria"/>
          <w:szCs w:val="22"/>
        </w:rPr>
        <w:t>VS</w:t>
      </w:r>
      <w:r w:rsidRPr="001F7BFD">
        <w:rPr>
          <w:rFonts w:asciiTheme="majorHAnsi" w:hAnsiTheme="majorHAnsi" w:cs="Cambria"/>
          <w:szCs w:val="22"/>
        </w:rPr>
        <w:t xml:space="preserve"> a zainteresovaných strán a efektivity </w:t>
      </w:r>
      <w:r w:rsidR="001D69C6">
        <w:rPr>
          <w:rFonts w:asciiTheme="majorHAnsi" w:hAnsiTheme="majorHAnsi" w:cs="Cambria"/>
          <w:szCs w:val="22"/>
        </w:rPr>
        <w:t>VS</w:t>
      </w:r>
      <w:r w:rsidRPr="001F7BFD">
        <w:rPr>
          <w:rFonts w:asciiTheme="majorHAnsi" w:hAnsiTheme="majorHAnsi" w:cs="Cambria"/>
          <w:szCs w:val="22"/>
        </w:rPr>
        <w:t xml:space="preserve"> (TC11), pri ktorých dochádza k pozitívnemu vplyvu aj na </w:t>
      </w:r>
      <w:r w:rsidRPr="001F7BFD">
        <w:rPr>
          <w:rFonts w:asciiTheme="majorHAnsi" w:hAnsiTheme="majorHAnsi" w:cs="Cambria"/>
          <w:szCs w:val="22"/>
        </w:rPr>
        <w:lastRenderedPageBreak/>
        <w:t>menej rozvinuté regióny. Pri ekonomicky životaschopných projektoch, kde sa predpokladá návratnosť prostriedkov, alebo úspora nákladov, predstavujú finančné nástroje vhodnejšiu formu podpory, ktorá vedie len k minimálnej, prípadne žiadnej deformácii trhu a nenarúša tak hospodársku súťaž, čo je obzvlášť dôležité v tak rozvinutom regióne, ako je BSK.</w:t>
      </w:r>
    </w:p>
    <w:p w:rsidR="004E2940" w:rsidRPr="001F7BFD" w:rsidRDefault="004E2940" w:rsidP="004E2940">
      <w:pPr>
        <w:rPr>
          <w:rFonts w:asciiTheme="majorHAnsi" w:hAnsiTheme="majorHAnsi" w:cs="Cambria"/>
          <w:szCs w:val="22"/>
        </w:rPr>
      </w:pPr>
      <w:r w:rsidRPr="001F7BFD">
        <w:rPr>
          <w:rFonts w:asciiTheme="majorHAnsi" w:hAnsiTheme="majorHAnsi" w:cs="Cambria"/>
          <w:szCs w:val="22"/>
        </w:rPr>
        <w:t>Druhým aspektom je atraktivita BSK z pohľadu súkromného kapitálu, pre ktorý je tento región menej rizikový v porovnaní s ostatnými regiónmi, a teda z toho vyplývajúca možnosť väčšieho pákového efektu zdrojov. To má za následok zvýšenie objemu zdrojov nielen pre samotný BSK, ale aj pre celé územie SR, čím sa zvýši efektivita prostriedkov z EŠIF. Pritiahnutie dodatočného kapitálu je potrebné aj vzhľadom na nedostatočný objem prostriedkov z EŠIF na pokrytie všetkých investičných potrieb.</w:t>
      </w:r>
    </w:p>
    <w:p w:rsidR="004E2940" w:rsidRPr="001F7BFD" w:rsidRDefault="004E2940" w:rsidP="004E2940">
      <w:pPr>
        <w:spacing w:before="0" w:after="0"/>
        <w:rPr>
          <w:rFonts w:asciiTheme="majorHAnsi" w:hAnsiTheme="majorHAnsi"/>
          <w:szCs w:val="22"/>
        </w:rPr>
      </w:pPr>
      <w:r w:rsidRPr="001F7BFD">
        <w:rPr>
          <w:rFonts w:asciiTheme="majorHAnsi" w:hAnsiTheme="majorHAnsi" w:cs="Cambria"/>
          <w:szCs w:val="22"/>
        </w:rPr>
        <w:t xml:space="preserve">Využitie finančných nástrojov v BSK, príslušné oblasti podpory, konkrétne aktivity, vhodný objem prostriedkov a podmienky implementácie konkrétnych finančných nástrojov, vrátane možného znásobenia alokovaných prostriedkov a ich kombinácie s inými formami podpory, budú vychádzať z výsledkov dodatočného ex ante hodnotenia pre finančné nástroje pre celé územie SR, vyžadovaného legislatívou pre programové obdobie 2014 – 2020. V súčasnosti je na území BSK identifikovaných viacero projektov, ako sú napr. diaľnice, obchvaty, rýchlostné cesty, zvyšovanie energetickej efektívnosti v budovách a v podnikoch, využitie </w:t>
      </w:r>
      <w:r w:rsidR="001D69C6">
        <w:rPr>
          <w:rFonts w:asciiTheme="majorHAnsi" w:hAnsiTheme="majorHAnsi" w:cs="Cambria"/>
          <w:szCs w:val="22"/>
        </w:rPr>
        <w:t>OZE</w:t>
      </w:r>
      <w:r w:rsidRPr="001F7BFD">
        <w:rPr>
          <w:rFonts w:asciiTheme="majorHAnsi" w:hAnsiTheme="majorHAnsi" w:cs="Cambria"/>
          <w:szCs w:val="22"/>
        </w:rPr>
        <w:t xml:space="preserve">, podpora malého a stredného podnikania, spracovanie odpadov, revitalizácia mestských častí a pod. Podľa predbežných analýz je potenciál pre finančné nástroje v BSK, najmä v investičných oblastiach ako infraštruktúra, energetika, odpadové hospodárstvo, MSP, </w:t>
      </w:r>
      <w:r w:rsidR="001D69C6">
        <w:rPr>
          <w:rFonts w:asciiTheme="majorHAnsi" w:hAnsiTheme="majorHAnsi" w:cs="Cambria"/>
          <w:szCs w:val="22"/>
        </w:rPr>
        <w:t>VaI</w:t>
      </w:r>
      <w:r w:rsidRPr="001F7BFD">
        <w:rPr>
          <w:rFonts w:asciiTheme="majorHAnsi" w:hAnsiTheme="majorHAnsi" w:cs="Cambria"/>
          <w:szCs w:val="22"/>
        </w:rPr>
        <w:t xml:space="preserve"> a mestský rozvoj.</w:t>
      </w:r>
    </w:p>
    <w:p w:rsidR="00A41015" w:rsidRDefault="00A41015" w:rsidP="00D1453B">
      <w:pPr>
        <w:pStyle w:val="Nadpis2"/>
        <w:numPr>
          <w:ilvl w:val="1"/>
          <w:numId w:val="2"/>
        </w:numPr>
      </w:pPr>
      <w:bookmarkStart w:id="207" w:name="_Toc377406470"/>
      <w:bookmarkStart w:id="208" w:name="_Toc377406476"/>
      <w:bookmarkStart w:id="209" w:name="_Toc377406477"/>
      <w:bookmarkStart w:id="210" w:name="_Toc377406478"/>
      <w:bookmarkStart w:id="211" w:name="_Toc378168356"/>
      <w:bookmarkStart w:id="212" w:name="_Toc490655219"/>
      <w:bookmarkEnd w:id="207"/>
      <w:bookmarkEnd w:id="208"/>
      <w:bookmarkEnd w:id="209"/>
      <w:bookmarkEnd w:id="210"/>
      <w:r w:rsidRPr="00A11FE0">
        <w:t xml:space="preserve">Zhrnutie </w:t>
      </w:r>
      <w:r w:rsidR="00BD5FD5">
        <w:t>k</w:t>
      </w:r>
      <w:r w:rsidRPr="00A11FE0">
        <w:t xml:space="preserve">ľúčových záverov ex </w:t>
      </w:r>
      <w:r w:rsidR="00BD5FD5">
        <w:t>a</w:t>
      </w:r>
      <w:r w:rsidRPr="00A11FE0">
        <w:t>nte hodnotenia PD</w:t>
      </w:r>
      <w:bookmarkEnd w:id="211"/>
      <w:bookmarkEnd w:id="212"/>
    </w:p>
    <w:p w:rsidR="0021713D" w:rsidRPr="00CB7030" w:rsidRDefault="0021713D" w:rsidP="00671A61">
      <w:pPr>
        <w:spacing w:after="240"/>
        <w:rPr>
          <w:rFonts w:asciiTheme="majorHAnsi" w:hAnsiTheme="majorHAnsi"/>
          <w:lang w:eastAsia="cs-CZ"/>
        </w:rPr>
      </w:pPr>
      <w:r>
        <w:rPr>
          <w:rFonts w:asciiTheme="majorHAnsi" w:hAnsiTheme="majorHAnsi"/>
          <w:lang w:eastAsia="cs-CZ"/>
        </w:rPr>
        <w:t>PD SR</w:t>
      </w:r>
      <w:r w:rsidRPr="00CB7030">
        <w:rPr>
          <w:rFonts w:asciiTheme="majorHAnsi" w:hAnsiTheme="majorHAnsi"/>
          <w:lang w:eastAsia="cs-CZ"/>
        </w:rPr>
        <w:t xml:space="preserve"> predstavuje logicky štruktúrovaný, metodicky podložený a komplexný prístup ku problematike definovania národných priorít a spôsobu, akým sa budú s pomocou EŠIF napĺňať. Ex ante hodnotenie PD </w:t>
      </w:r>
      <w:r>
        <w:rPr>
          <w:rFonts w:asciiTheme="majorHAnsi" w:hAnsiTheme="majorHAnsi"/>
          <w:lang w:eastAsia="cs-CZ"/>
        </w:rPr>
        <w:t xml:space="preserve">SR </w:t>
      </w:r>
      <w:r w:rsidRPr="00CB7030">
        <w:rPr>
          <w:rFonts w:asciiTheme="majorHAnsi" w:hAnsiTheme="majorHAnsi"/>
          <w:lang w:eastAsia="cs-CZ"/>
        </w:rPr>
        <w:t>sa sústredilo na päť hlavných okruhov koncepčných otázok:</w:t>
      </w:r>
    </w:p>
    <w:tbl>
      <w:tblPr>
        <w:tblStyle w:val="Mriekatabuky"/>
        <w:tblW w:w="5000" w:type="pct"/>
        <w:tblLook w:val="04A0" w:firstRow="1" w:lastRow="0" w:firstColumn="1" w:lastColumn="0" w:noHBand="0" w:noVBand="1"/>
      </w:tblPr>
      <w:tblGrid>
        <w:gridCol w:w="3960"/>
        <w:gridCol w:w="5326"/>
      </w:tblGrid>
      <w:tr w:rsidR="0021713D" w:rsidRPr="008466FA" w:rsidTr="00671A61">
        <w:trPr>
          <w:tblHeader/>
        </w:trPr>
        <w:tc>
          <w:tcPr>
            <w:tcW w:w="2132" w:type="pct"/>
            <w:vAlign w:val="center"/>
          </w:tcPr>
          <w:p w:rsidR="0021713D" w:rsidRPr="00CB7030" w:rsidRDefault="0021713D" w:rsidP="00671A61">
            <w:pPr>
              <w:spacing w:before="0" w:after="0"/>
              <w:jc w:val="center"/>
              <w:rPr>
                <w:rStyle w:val="FontStyle51"/>
                <w:rFonts w:asciiTheme="majorHAnsi" w:hAnsiTheme="majorHAnsi"/>
                <w:b/>
                <w:sz w:val="20"/>
                <w:szCs w:val="20"/>
              </w:rPr>
            </w:pPr>
            <w:r w:rsidRPr="00CB7030">
              <w:rPr>
                <w:rStyle w:val="FontStyle51"/>
                <w:rFonts w:asciiTheme="majorHAnsi" w:hAnsiTheme="majorHAnsi"/>
                <w:sz w:val="20"/>
                <w:szCs w:val="20"/>
              </w:rPr>
              <w:t>OKRUH</w:t>
            </w:r>
          </w:p>
        </w:tc>
        <w:tc>
          <w:tcPr>
            <w:tcW w:w="2868" w:type="pct"/>
            <w:vAlign w:val="center"/>
          </w:tcPr>
          <w:p w:rsidR="0021713D" w:rsidRPr="00CB7030" w:rsidRDefault="0021713D" w:rsidP="00671A61">
            <w:pPr>
              <w:spacing w:before="0" w:after="0"/>
              <w:jc w:val="center"/>
              <w:rPr>
                <w:rStyle w:val="FontStyle51"/>
                <w:rFonts w:asciiTheme="majorHAnsi" w:hAnsiTheme="majorHAnsi"/>
                <w:b/>
                <w:sz w:val="20"/>
                <w:szCs w:val="20"/>
              </w:rPr>
            </w:pPr>
            <w:r w:rsidRPr="00CB7030">
              <w:rPr>
                <w:rStyle w:val="FontStyle51"/>
                <w:rFonts w:asciiTheme="majorHAnsi" w:hAnsiTheme="majorHAnsi"/>
                <w:sz w:val="20"/>
                <w:szCs w:val="20"/>
              </w:rPr>
              <w:t>HODNOTENIE</w:t>
            </w:r>
          </w:p>
        </w:tc>
      </w:tr>
      <w:tr w:rsidR="0021713D" w:rsidRPr="008466FA" w:rsidTr="00671A61">
        <w:tc>
          <w:tcPr>
            <w:tcW w:w="2132" w:type="pct"/>
          </w:tcPr>
          <w:p w:rsidR="0021713D" w:rsidRPr="00CB7030" w:rsidRDefault="0021713D" w:rsidP="00671A61">
            <w:pPr>
              <w:spacing w:before="0" w:after="0"/>
              <w:rPr>
                <w:rStyle w:val="FontStyle51"/>
                <w:rFonts w:asciiTheme="majorHAnsi" w:hAnsiTheme="majorHAnsi"/>
                <w:i/>
                <w:sz w:val="20"/>
                <w:szCs w:val="20"/>
              </w:rPr>
            </w:pPr>
            <w:r w:rsidRPr="00CB7030">
              <w:rPr>
                <w:rStyle w:val="FontStyle51"/>
                <w:rFonts w:asciiTheme="majorHAnsi" w:hAnsiTheme="majorHAnsi"/>
                <w:i/>
                <w:sz w:val="20"/>
                <w:szCs w:val="20"/>
              </w:rPr>
              <w:t>Je PD</w:t>
            </w:r>
            <w:r>
              <w:rPr>
                <w:rStyle w:val="FontStyle51"/>
                <w:rFonts w:asciiTheme="majorHAnsi" w:hAnsiTheme="majorHAnsi"/>
                <w:i/>
                <w:sz w:val="20"/>
                <w:szCs w:val="20"/>
              </w:rPr>
              <w:t xml:space="preserve"> SR</w:t>
            </w:r>
            <w:r w:rsidRPr="00CB7030">
              <w:rPr>
                <w:rStyle w:val="FontStyle51"/>
                <w:rFonts w:asciiTheme="majorHAnsi" w:hAnsiTheme="majorHAnsi"/>
                <w:i/>
                <w:sz w:val="20"/>
                <w:szCs w:val="20"/>
              </w:rPr>
              <w:t xml:space="preserve"> v tejto forme dokumentom, ktorý jasne analyzuje problémy a na základe analýz navrhuje najvhodnejšie riešenia?</w:t>
            </w:r>
          </w:p>
        </w:tc>
        <w:tc>
          <w:tcPr>
            <w:tcW w:w="2868" w:type="pct"/>
          </w:tcPr>
          <w:p w:rsidR="0021713D" w:rsidRPr="00CB7030" w:rsidRDefault="0021713D" w:rsidP="00671A61">
            <w:pPr>
              <w:spacing w:before="0" w:after="0"/>
              <w:rPr>
                <w:rStyle w:val="FontStyle51"/>
                <w:rFonts w:asciiTheme="majorHAnsi" w:hAnsiTheme="majorHAnsi"/>
                <w:sz w:val="20"/>
                <w:szCs w:val="20"/>
              </w:rPr>
            </w:pPr>
            <w:r w:rsidRPr="00CB7030">
              <w:rPr>
                <w:rStyle w:val="FontStyle51"/>
                <w:rFonts w:asciiTheme="majorHAnsi" w:hAnsiTheme="majorHAnsi"/>
                <w:sz w:val="20"/>
                <w:szCs w:val="20"/>
              </w:rPr>
              <w:t>Súlad medzi zameraním a</w:t>
            </w:r>
            <w:r w:rsidR="001D69C6">
              <w:rPr>
                <w:rStyle w:val="FontStyle51"/>
                <w:rFonts w:asciiTheme="majorHAnsi" w:hAnsiTheme="majorHAnsi"/>
                <w:sz w:val="20"/>
                <w:szCs w:val="20"/>
              </w:rPr>
              <w:t> </w:t>
            </w:r>
            <w:r w:rsidRPr="00CB7030">
              <w:rPr>
                <w:rStyle w:val="FontStyle51"/>
                <w:rFonts w:asciiTheme="majorHAnsi" w:hAnsiTheme="majorHAnsi"/>
                <w:sz w:val="20"/>
                <w:szCs w:val="20"/>
              </w:rPr>
              <w:t>rozsahom analýz je vhodný a</w:t>
            </w:r>
            <w:r w:rsidR="001D69C6">
              <w:rPr>
                <w:rStyle w:val="FontStyle51"/>
                <w:rFonts w:asciiTheme="majorHAnsi" w:hAnsiTheme="majorHAnsi"/>
                <w:sz w:val="20"/>
                <w:szCs w:val="20"/>
              </w:rPr>
              <w:t> </w:t>
            </w:r>
            <w:r w:rsidRPr="00CB7030">
              <w:rPr>
                <w:rStyle w:val="FontStyle51"/>
                <w:rFonts w:asciiTheme="majorHAnsi" w:hAnsiTheme="majorHAnsi"/>
                <w:sz w:val="20"/>
                <w:szCs w:val="20"/>
              </w:rPr>
              <w:t>postačujúci</w:t>
            </w:r>
            <w:r w:rsidR="001D69C6">
              <w:rPr>
                <w:rStyle w:val="FontStyle51"/>
                <w:rFonts w:asciiTheme="majorHAnsi" w:hAnsiTheme="majorHAnsi"/>
                <w:sz w:val="20"/>
                <w:szCs w:val="20"/>
              </w:rPr>
              <w:t xml:space="preserve"> </w:t>
            </w:r>
            <w:r w:rsidRPr="00CB7030">
              <w:rPr>
                <w:rStyle w:val="FontStyle51"/>
                <w:rFonts w:asciiTheme="majorHAnsi" w:hAnsiTheme="majorHAnsi"/>
                <w:sz w:val="20"/>
                <w:szCs w:val="20"/>
              </w:rPr>
              <w:t>a navrhované riešenia sú v nich dobre ukotvené.</w:t>
            </w:r>
          </w:p>
        </w:tc>
      </w:tr>
      <w:tr w:rsidR="0021713D" w:rsidRPr="008466FA" w:rsidTr="00671A61">
        <w:tc>
          <w:tcPr>
            <w:tcW w:w="2132" w:type="pct"/>
          </w:tcPr>
          <w:p w:rsidR="0021713D" w:rsidRPr="00CB7030" w:rsidRDefault="0021713D" w:rsidP="00671A61">
            <w:pPr>
              <w:spacing w:before="0" w:after="0"/>
              <w:rPr>
                <w:rStyle w:val="FontStyle51"/>
                <w:rFonts w:asciiTheme="majorHAnsi" w:hAnsiTheme="majorHAnsi"/>
                <w:i/>
                <w:sz w:val="20"/>
                <w:szCs w:val="20"/>
              </w:rPr>
            </w:pPr>
            <w:r w:rsidRPr="00CB7030">
              <w:rPr>
                <w:rFonts w:asciiTheme="majorHAnsi" w:hAnsiTheme="majorHAnsi"/>
                <w:i/>
                <w:sz w:val="20"/>
                <w:szCs w:val="20"/>
              </w:rPr>
              <w:t xml:space="preserve">Bude PD </w:t>
            </w:r>
            <w:r>
              <w:rPr>
                <w:rFonts w:asciiTheme="majorHAnsi" w:hAnsiTheme="majorHAnsi"/>
                <w:i/>
                <w:sz w:val="20"/>
                <w:szCs w:val="20"/>
              </w:rPr>
              <w:t xml:space="preserve">SR </w:t>
            </w:r>
            <w:r w:rsidRPr="00CB7030">
              <w:rPr>
                <w:rFonts w:asciiTheme="majorHAnsi" w:hAnsiTheme="majorHAnsi"/>
                <w:i/>
                <w:sz w:val="20"/>
                <w:szCs w:val="20"/>
              </w:rPr>
              <w:t>efektívna v tom, že jej jasné a dobre definované ciele môžu byť realisticky dosiahnuté?</w:t>
            </w:r>
          </w:p>
        </w:tc>
        <w:tc>
          <w:tcPr>
            <w:tcW w:w="2868" w:type="pct"/>
          </w:tcPr>
          <w:p w:rsidR="0021713D" w:rsidRPr="00CB7030" w:rsidRDefault="0021713D" w:rsidP="00671A61">
            <w:pPr>
              <w:spacing w:before="0" w:after="0"/>
              <w:rPr>
                <w:rStyle w:val="FontStyle51"/>
                <w:rFonts w:asciiTheme="majorHAnsi" w:hAnsiTheme="majorHAnsi"/>
                <w:sz w:val="20"/>
                <w:szCs w:val="20"/>
              </w:rPr>
            </w:pPr>
            <w:r w:rsidRPr="00CB7030">
              <w:rPr>
                <w:rStyle w:val="FontStyle51"/>
                <w:rFonts w:asciiTheme="majorHAnsi" w:hAnsiTheme="majorHAnsi"/>
                <w:sz w:val="20"/>
                <w:szCs w:val="20"/>
              </w:rPr>
              <w:t>Ciele sú dostatočne odôvodnené a definované. Ich dosiah</w:t>
            </w:r>
            <w:r>
              <w:rPr>
                <w:rStyle w:val="FontStyle51"/>
                <w:rFonts w:asciiTheme="majorHAnsi" w:hAnsiTheme="majorHAnsi"/>
                <w:sz w:val="20"/>
                <w:szCs w:val="20"/>
              </w:rPr>
              <w:t>n</w:t>
            </w:r>
            <w:r w:rsidRPr="00CB7030">
              <w:rPr>
                <w:rStyle w:val="FontStyle51"/>
                <w:rFonts w:asciiTheme="majorHAnsi" w:hAnsiTheme="majorHAnsi"/>
                <w:sz w:val="20"/>
                <w:szCs w:val="20"/>
              </w:rPr>
              <w:t>uteľnosť je ale založená na dobrej implementácii, absorpčnej kapacite a mechanizmoch koordinácie. V týchto oblastiach existujú značné riziká.</w:t>
            </w:r>
          </w:p>
        </w:tc>
      </w:tr>
      <w:tr w:rsidR="0021713D" w:rsidRPr="008466FA" w:rsidTr="00671A61">
        <w:tc>
          <w:tcPr>
            <w:tcW w:w="2132" w:type="pct"/>
          </w:tcPr>
          <w:p w:rsidR="0021713D" w:rsidRPr="00CB7030" w:rsidRDefault="0021713D" w:rsidP="00671A61">
            <w:pPr>
              <w:spacing w:before="0" w:after="0"/>
              <w:rPr>
                <w:rStyle w:val="FontStyle51"/>
                <w:rFonts w:asciiTheme="majorHAnsi" w:hAnsiTheme="majorHAnsi"/>
                <w:i/>
                <w:sz w:val="20"/>
                <w:szCs w:val="20"/>
              </w:rPr>
            </w:pPr>
            <w:r w:rsidRPr="00CB7030">
              <w:rPr>
                <w:rFonts w:asciiTheme="majorHAnsi" w:hAnsiTheme="majorHAnsi"/>
                <w:i/>
                <w:sz w:val="20"/>
                <w:szCs w:val="20"/>
              </w:rPr>
              <w:t xml:space="preserve">Bude mať </w:t>
            </w:r>
            <w:r>
              <w:rPr>
                <w:rFonts w:asciiTheme="majorHAnsi" w:hAnsiTheme="majorHAnsi"/>
                <w:i/>
                <w:sz w:val="20"/>
                <w:szCs w:val="20"/>
              </w:rPr>
              <w:t>PD SR</w:t>
            </w:r>
            <w:r w:rsidRPr="00CB7030">
              <w:rPr>
                <w:rFonts w:asciiTheme="majorHAnsi" w:hAnsiTheme="majorHAnsi"/>
                <w:i/>
                <w:sz w:val="20"/>
                <w:szCs w:val="20"/>
              </w:rPr>
              <w:t xml:space="preserve"> plánované dopady a vytvorí a</w:t>
            </w:r>
            <w:r w:rsidR="001D69C6">
              <w:rPr>
                <w:rFonts w:asciiTheme="majorHAnsi" w:hAnsiTheme="majorHAnsi"/>
                <w:i/>
                <w:sz w:val="20"/>
                <w:szCs w:val="20"/>
              </w:rPr>
              <w:t> </w:t>
            </w:r>
            <w:r w:rsidRPr="00CB7030">
              <w:rPr>
                <w:rFonts w:asciiTheme="majorHAnsi" w:hAnsiTheme="majorHAnsi"/>
                <w:i/>
                <w:sz w:val="20"/>
                <w:szCs w:val="20"/>
              </w:rPr>
              <w:t>podporí potrebné zmeny v ekonomickej, sociálnej a environmentálnej oblasti?</w:t>
            </w:r>
          </w:p>
        </w:tc>
        <w:tc>
          <w:tcPr>
            <w:tcW w:w="2868" w:type="pct"/>
          </w:tcPr>
          <w:p w:rsidR="0021713D" w:rsidRPr="00CB7030" w:rsidRDefault="0021713D" w:rsidP="00671A61">
            <w:pPr>
              <w:spacing w:before="0" w:after="0"/>
              <w:rPr>
                <w:rStyle w:val="FontStyle51"/>
                <w:rFonts w:asciiTheme="majorHAnsi" w:hAnsiTheme="majorHAnsi"/>
                <w:sz w:val="20"/>
                <w:szCs w:val="20"/>
              </w:rPr>
            </w:pPr>
            <w:r w:rsidRPr="00CB7030">
              <w:rPr>
                <w:rStyle w:val="FontStyle51"/>
                <w:rFonts w:asciiTheme="majorHAnsi" w:hAnsiTheme="majorHAnsi"/>
                <w:sz w:val="20"/>
                <w:szCs w:val="20"/>
              </w:rPr>
              <w:t>Plánované intervencie majú predpoklad podporiť ciele inteligentného, udržateľného a</w:t>
            </w:r>
            <w:r w:rsidR="001D69C6">
              <w:rPr>
                <w:rStyle w:val="FontStyle51"/>
                <w:rFonts w:asciiTheme="majorHAnsi" w:hAnsiTheme="majorHAnsi"/>
                <w:sz w:val="20"/>
                <w:szCs w:val="20"/>
              </w:rPr>
              <w:t> </w:t>
            </w:r>
            <w:r w:rsidRPr="00CB7030">
              <w:rPr>
                <w:rStyle w:val="FontStyle51"/>
                <w:rFonts w:asciiTheme="majorHAnsi" w:hAnsiTheme="majorHAnsi"/>
                <w:sz w:val="20"/>
                <w:szCs w:val="20"/>
              </w:rPr>
              <w:t>inkluzívneho rastu. Problémom môže byť hĺbka zmien počas implementácie a</w:t>
            </w:r>
            <w:r w:rsidR="001D69C6">
              <w:rPr>
                <w:rStyle w:val="FontStyle51"/>
                <w:rFonts w:asciiTheme="majorHAnsi" w:hAnsiTheme="majorHAnsi"/>
                <w:sz w:val="20"/>
                <w:szCs w:val="20"/>
              </w:rPr>
              <w:t> </w:t>
            </w:r>
            <w:r w:rsidRPr="00CB7030">
              <w:rPr>
                <w:rStyle w:val="FontStyle51"/>
                <w:rFonts w:asciiTheme="majorHAnsi" w:hAnsiTheme="majorHAnsi"/>
                <w:sz w:val="20"/>
                <w:szCs w:val="20"/>
              </w:rPr>
              <w:t>udržateľnosť plánovaných trendov.</w:t>
            </w:r>
          </w:p>
        </w:tc>
      </w:tr>
      <w:tr w:rsidR="0021713D" w:rsidRPr="008466FA" w:rsidTr="00671A61">
        <w:tc>
          <w:tcPr>
            <w:tcW w:w="2132" w:type="pct"/>
          </w:tcPr>
          <w:p w:rsidR="0021713D" w:rsidRPr="00CB7030" w:rsidRDefault="0021713D" w:rsidP="00671A61">
            <w:pPr>
              <w:spacing w:before="0" w:after="0"/>
              <w:rPr>
                <w:rFonts w:asciiTheme="majorHAnsi" w:hAnsiTheme="majorHAnsi"/>
                <w:i/>
                <w:sz w:val="20"/>
                <w:szCs w:val="20"/>
              </w:rPr>
            </w:pPr>
            <w:r w:rsidRPr="00CB7030">
              <w:rPr>
                <w:rFonts w:asciiTheme="majorHAnsi" w:hAnsiTheme="majorHAnsi"/>
                <w:i/>
                <w:sz w:val="20"/>
                <w:szCs w:val="20"/>
              </w:rPr>
              <w:t>Zaisťuje PD</w:t>
            </w:r>
            <w:r>
              <w:rPr>
                <w:rFonts w:asciiTheme="majorHAnsi" w:hAnsiTheme="majorHAnsi"/>
                <w:i/>
                <w:sz w:val="20"/>
                <w:szCs w:val="20"/>
              </w:rPr>
              <w:t xml:space="preserve"> SR</w:t>
            </w:r>
            <w:r w:rsidRPr="00CB7030">
              <w:rPr>
                <w:rFonts w:asciiTheme="majorHAnsi" w:hAnsiTheme="majorHAnsi"/>
                <w:i/>
                <w:sz w:val="20"/>
                <w:szCs w:val="20"/>
              </w:rPr>
              <w:t xml:space="preserve"> efektívny rámec pre koordináciu intervencií a synergický efekt?</w:t>
            </w:r>
          </w:p>
        </w:tc>
        <w:tc>
          <w:tcPr>
            <w:tcW w:w="2868" w:type="pct"/>
          </w:tcPr>
          <w:p w:rsidR="0021713D" w:rsidRPr="00CB7030" w:rsidRDefault="0021713D" w:rsidP="00671A61">
            <w:pPr>
              <w:spacing w:before="0" w:after="0"/>
              <w:rPr>
                <w:rStyle w:val="FontStyle51"/>
                <w:rFonts w:asciiTheme="majorHAnsi" w:hAnsiTheme="majorHAnsi"/>
                <w:sz w:val="20"/>
                <w:szCs w:val="20"/>
              </w:rPr>
            </w:pPr>
            <w:r w:rsidRPr="00CB7030">
              <w:rPr>
                <w:rStyle w:val="FontStyle51"/>
                <w:rFonts w:asciiTheme="majorHAnsi" w:hAnsiTheme="majorHAnsi"/>
                <w:sz w:val="20"/>
                <w:szCs w:val="20"/>
              </w:rPr>
              <w:t xml:space="preserve">Regionálny dopad intervencií a ich koordinácia smerom ku synergickým efektom je identifikovaná ako najväčšia výzva pre </w:t>
            </w:r>
            <w:r>
              <w:rPr>
                <w:rStyle w:val="FontStyle51"/>
                <w:rFonts w:asciiTheme="majorHAnsi" w:hAnsiTheme="majorHAnsi"/>
                <w:sz w:val="20"/>
                <w:szCs w:val="20"/>
              </w:rPr>
              <w:t xml:space="preserve">proces </w:t>
            </w:r>
            <w:r w:rsidRPr="00CB7030">
              <w:rPr>
                <w:rStyle w:val="FontStyle51"/>
                <w:rFonts w:asciiTheme="majorHAnsi" w:hAnsiTheme="majorHAnsi"/>
                <w:sz w:val="20"/>
                <w:szCs w:val="20"/>
              </w:rPr>
              <w:t>efektívne</w:t>
            </w:r>
            <w:r>
              <w:rPr>
                <w:rStyle w:val="FontStyle51"/>
                <w:rFonts w:asciiTheme="majorHAnsi" w:hAnsiTheme="majorHAnsi"/>
                <w:sz w:val="20"/>
                <w:szCs w:val="20"/>
              </w:rPr>
              <w:t>j</w:t>
            </w:r>
            <w:r w:rsidRPr="00CB7030">
              <w:rPr>
                <w:rStyle w:val="FontStyle51"/>
                <w:rFonts w:asciiTheme="majorHAnsi" w:hAnsiTheme="majorHAnsi"/>
                <w:sz w:val="20"/>
                <w:szCs w:val="20"/>
              </w:rPr>
              <w:t xml:space="preserve"> implement</w:t>
            </w:r>
            <w:r>
              <w:rPr>
                <w:rStyle w:val="FontStyle51"/>
                <w:rFonts w:asciiTheme="majorHAnsi" w:hAnsiTheme="majorHAnsi"/>
                <w:sz w:val="20"/>
                <w:szCs w:val="20"/>
              </w:rPr>
              <w:t>ácie</w:t>
            </w:r>
            <w:r w:rsidRPr="00CB7030">
              <w:rPr>
                <w:rStyle w:val="FontStyle51"/>
                <w:rFonts w:asciiTheme="majorHAnsi" w:hAnsiTheme="majorHAnsi"/>
                <w:sz w:val="20"/>
                <w:szCs w:val="20"/>
              </w:rPr>
              <w:t xml:space="preserve"> PD</w:t>
            </w:r>
            <w:r>
              <w:rPr>
                <w:rStyle w:val="FontStyle51"/>
                <w:rFonts w:asciiTheme="majorHAnsi" w:hAnsiTheme="majorHAnsi"/>
                <w:sz w:val="20"/>
                <w:szCs w:val="20"/>
              </w:rPr>
              <w:t xml:space="preserve"> SR</w:t>
            </w:r>
            <w:r w:rsidRPr="00CB7030">
              <w:rPr>
                <w:rStyle w:val="FontStyle51"/>
                <w:rFonts w:asciiTheme="majorHAnsi" w:hAnsiTheme="majorHAnsi"/>
                <w:sz w:val="20"/>
                <w:szCs w:val="20"/>
              </w:rPr>
              <w:t>.</w:t>
            </w:r>
          </w:p>
        </w:tc>
      </w:tr>
      <w:tr w:rsidR="0021713D" w:rsidRPr="008466FA" w:rsidTr="00671A61">
        <w:tc>
          <w:tcPr>
            <w:tcW w:w="2132" w:type="pct"/>
          </w:tcPr>
          <w:p w:rsidR="0021713D" w:rsidRPr="00CB7030" w:rsidRDefault="0021713D" w:rsidP="00671A61">
            <w:pPr>
              <w:spacing w:before="0" w:after="0"/>
              <w:rPr>
                <w:rFonts w:asciiTheme="majorHAnsi" w:hAnsiTheme="majorHAnsi"/>
                <w:i/>
                <w:sz w:val="20"/>
                <w:szCs w:val="20"/>
              </w:rPr>
            </w:pPr>
            <w:r w:rsidRPr="00CB7030">
              <w:rPr>
                <w:rFonts w:asciiTheme="majorHAnsi" w:hAnsiTheme="majorHAnsi"/>
                <w:i/>
                <w:sz w:val="20"/>
                <w:szCs w:val="20"/>
              </w:rPr>
              <w:t>Sú tematické ciele v</w:t>
            </w:r>
            <w:r w:rsidR="002F29B8">
              <w:rPr>
                <w:rFonts w:asciiTheme="majorHAnsi" w:hAnsiTheme="majorHAnsi"/>
                <w:i/>
                <w:sz w:val="20"/>
                <w:szCs w:val="20"/>
              </w:rPr>
              <w:t> </w:t>
            </w:r>
            <w:r w:rsidRPr="00CB7030">
              <w:rPr>
                <w:rFonts w:asciiTheme="majorHAnsi" w:hAnsiTheme="majorHAnsi"/>
                <w:i/>
                <w:sz w:val="20"/>
                <w:szCs w:val="20"/>
              </w:rPr>
              <w:t>súlade</w:t>
            </w:r>
            <w:r w:rsidR="002F29B8">
              <w:rPr>
                <w:rFonts w:asciiTheme="majorHAnsi" w:hAnsiTheme="majorHAnsi"/>
                <w:i/>
                <w:sz w:val="20"/>
                <w:szCs w:val="20"/>
              </w:rPr>
              <w:t xml:space="preserve"> </w:t>
            </w:r>
            <w:r w:rsidRPr="00CB7030">
              <w:rPr>
                <w:rFonts w:asciiTheme="majorHAnsi" w:hAnsiTheme="majorHAnsi"/>
                <w:i/>
                <w:sz w:val="20"/>
                <w:szCs w:val="20"/>
              </w:rPr>
              <w:t>s</w:t>
            </w:r>
            <w:r w:rsidR="002F29B8">
              <w:rPr>
                <w:rFonts w:asciiTheme="majorHAnsi" w:hAnsiTheme="majorHAnsi"/>
                <w:i/>
                <w:sz w:val="20"/>
                <w:szCs w:val="20"/>
              </w:rPr>
              <w:t> </w:t>
            </w:r>
            <w:r w:rsidRPr="00CB7030">
              <w:rPr>
                <w:rFonts w:asciiTheme="majorHAnsi" w:hAnsiTheme="majorHAnsi"/>
                <w:i/>
                <w:sz w:val="20"/>
                <w:szCs w:val="20"/>
              </w:rPr>
              <w:t>prioritami financovania a</w:t>
            </w:r>
            <w:r w:rsidR="002F29B8">
              <w:rPr>
                <w:rFonts w:asciiTheme="majorHAnsi" w:hAnsiTheme="majorHAnsi"/>
                <w:i/>
                <w:sz w:val="20"/>
                <w:szCs w:val="20"/>
              </w:rPr>
              <w:t> </w:t>
            </w:r>
            <w:r w:rsidRPr="00CB7030">
              <w:rPr>
                <w:rFonts w:asciiTheme="majorHAnsi" w:hAnsiTheme="majorHAnsi"/>
                <w:i/>
                <w:sz w:val="20"/>
                <w:szCs w:val="20"/>
              </w:rPr>
              <w:t>existuje</w:t>
            </w:r>
            <w:r w:rsidR="002F29B8">
              <w:rPr>
                <w:rFonts w:asciiTheme="majorHAnsi" w:hAnsiTheme="majorHAnsi"/>
                <w:i/>
                <w:sz w:val="20"/>
                <w:szCs w:val="20"/>
              </w:rPr>
              <w:t xml:space="preserve"> </w:t>
            </w:r>
            <w:r w:rsidRPr="00CB7030">
              <w:rPr>
                <w:rFonts w:asciiTheme="majorHAnsi" w:hAnsiTheme="majorHAnsi"/>
                <w:i/>
                <w:sz w:val="20"/>
                <w:szCs w:val="20"/>
              </w:rPr>
              <w:t>súlad medzi plánovanými finančnými alokáciami a</w:t>
            </w:r>
            <w:r w:rsidR="001D69C6">
              <w:rPr>
                <w:rFonts w:asciiTheme="majorHAnsi" w:hAnsiTheme="majorHAnsi"/>
                <w:i/>
                <w:sz w:val="20"/>
                <w:szCs w:val="20"/>
              </w:rPr>
              <w:t> </w:t>
            </w:r>
            <w:r w:rsidRPr="00CB7030">
              <w:rPr>
                <w:rFonts w:asciiTheme="majorHAnsi" w:hAnsiTheme="majorHAnsi"/>
                <w:i/>
                <w:sz w:val="20"/>
                <w:szCs w:val="20"/>
              </w:rPr>
              <w:t>tematickými</w:t>
            </w:r>
            <w:r w:rsidR="001D69C6">
              <w:rPr>
                <w:rFonts w:asciiTheme="majorHAnsi" w:hAnsiTheme="majorHAnsi"/>
                <w:i/>
                <w:sz w:val="20"/>
                <w:szCs w:val="20"/>
              </w:rPr>
              <w:t xml:space="preserve"> </w:t>
            </w:r>
            <w:r w:rsidRPr="00CB7030">
              <w:rPr>
                <w:rFonts w:asciiTheme="majorHAnsi" w:hAnsiTheme="majorHAnsi"/>
                <w:i/>
                <w:sz w:val="20"/>
                <w:szCs w:val="20"/>
              </w:rPr>
              <w:t>cieľmi?</w:t>
            </w:r>
          </w:p>
        </w:tc>
        <w:tc>
          <w:tcPr>
            <w:tcW w:w="2868" w:type="pct"/>
          </w:tcPr>
          <w:p w:rsidR="0021713D" w:rsidRPr="00CB7030" w:rsidRDefault="0021713D" w:rsidP="00671A61">
            <w:pPr>
              <w:spacing w:before="0" w:after="0"/>
              <w:rPr>
                <w:rStyle w:val="FontStyle51"/>
                <w:rFonts w:asciiTheme="majorHAnsi" w:hAnsiTheme="majorHAnsi"/>
                <w:sz w:val="20"/>
                <w:szCs w:val="20"/>
              </w:rPr>
            </w:pPr>
            <w:r w:rsidRPr="00CB7030">
              <w:rPr>
                <w:rStyle w:val="FontStyle51"/>
                <w:rFonts w:asciiTheme="majorHAnsi" w:hAnsiTheme="majorHAnsi"/>
                <w:sz w:val="20"/>
                <w:szCs w:val="20"/>
              </w:rPr>
              <w:t xml:space="preserve">Tematické ciele sú </w:t>
            </w:r>
            <w:r w:rsidRPr="001638B3">
              <w:rPr>
                <w:rStyle w:val="FontStyle51"/>
                <w:rFonts w:asciiTheme="majorHAnsi" w:hAnsiTheme="majorHAnsi"/>
                <w:sz w:val="20"/>
                <w:szCs w:val="20"/>
              </w:rPr>
              <w:t xml:space="preserve">v súlade </w:t>
            </w:r>
            <w:r w:rsidRPr="00CB7030">
              <w:rPr>
                <w:rStyle w:val="FontStyle51"/>
                <w:rFonts w:asciiTheme="majorHAnsi" w:hAnsiTheme="majorHAnsi"/>
                <w:sz w:val="20"/>
                <w:szCs w:val="20"/>
              </w:rPr>
              <w:t>s prioritami financovania</w:t>
            </w:r>
            <w:r w:rsidR="001D69C6">
              <w:rPr>
                <w:rStyle w:val="FontStyle51"/>
                <w:rFonts w:asciiTheme="majorHAnsi" w:hAnsiTheme="majorHAnsi"/>
                <w:sz w:val="20"/>
                <w:szCs w:val="20"/>
              </w:rPr>
              <w:t xml:space="preserve"> </w:t>
            </w:r>
            <w:r w:rsidRPr="00CB7030">
              <w:rPr>
                <w:rStyle w:val="FontStyle51"/>
                <w:rFonts w:asciiTheme="majorHAnsi" w:hAnsiTheme="majorHAnsi"/>
                <w:sz w:val="20"/>
                <w:szCs w:val="20"/>
              </w:rPr>
              <w:t xml:space="preserve">podľa </w:t>
            </w:r>
            <w:r>
              <w:rPr>
                <w:rStyle w:val="FontStyle51"/>
                <w:rFonts w:asciiTheme="majorHAnsi" w:hAnsiTheme="majorHAnsi"/>
                <w:sz w:val="20"/>
                <w:szCs w:val="20"/>
              </w:rPr>
              <w:t>e</w:t>
            </w:r>
            <w:r w:rsidRPr="007B73B9">
              <w:rPr>
                <w:rStyle w:val="FontStyle51"/>
                <w:rFonts w:asciiTheme="majorHAnsi" w:hAnsiTheme="majorHAnsi"/>
                <w:sz w:val="20"/>
                <w:szCs w:val="20"/>
              </w:rPr>
              <w:t xml:space="preserve">x ante </w:t>
            </w:r>
            <w:r w:rsidRPr="00CB7030">
              <w:rPr>
                <w:rStyle w:val="FontStyle51"/>
                <w:rFonts w:asciiTheme="majorHAnsi" w:hAnsiTheme="majorHAnsi"/>
                <w:sz w:val="20"/>
                <w:szCs w:val="20"/>
              </w:rPr>
              <w:t>hodnotenia reflektujú finančné alokácie náročnosť jednotlivých tematických cieľov.</w:t>
            </w:r>
          </w:p>
        </w:tc>
      </w:tr>
    </w:tbl>
    <w:p w:rsidR="0021713D" w:rsidRPr="00CB7030" w:rsidRDefault="0021713D" w:rsidP="003F0750">
      <w:pPr>
        <w:spacing w:before="240"/>
        <w:rPr>
          <w:rFonts w:asciiTheme="majorHAnsi" w:hAnsiTheme="majorHAnsi"/>
          <w:szCs w:val="22"/>
          <w:lang w:eastAsia="cs-CZ"/>
        </w:rPr>
      </w:pPr>
      <w:r w:rsidRPr="00CB7030">
        <w:rPr>
          <w:rFonts w:asciiTheme="majorHAnsi" w:hAnsiTheme="majorHAnsi"/>
          <w:lang w:eastAsia="cs-CZ"/>
        </w:rPr>
        <w:t>Kým v hlavných smeroch hodnotená PD</w:t>
      </w:r>
      <w:r>
        <w:rPr>
          <w:rFonts w:asciiTheme="majorHAnsi" w:hAnsiTheme="majorHAnsi"/>
          <w:lang w:eastAsia="cs-CZ"/>
        </w:rPr>
        <w:t xml:space="preserve"> SR</w:t>
      </w:r>
      <w:r w:rsidRPr="00CB7030">
        <w:rPr>
          <w:rFonts w:asciiTheme="majorHAnsi" w:hAnsiTheme="majorHAnsi"/>
          <w:lang w:eastAsia="cs-CZ"/>
        </w:rPr>
        <w:t xml:space="preserve"> je dokument, ktorý je v zhode s cieľmi </w:t>
      </w:r>
      <w:r w:rsidR="001E6314">
        <w:rPr>
          <w:rFonts w:asciiTheme="majorHAnsi" w:hAnsiTheme="majorHAnsi"/>
          <w:lang w:eastAsia="cs-CZ"/>
        </w:rPr>
        <w:t>s</w:t>
      </w:r>
      <w:r w:rsidR="001E6314" w:rsidRPr="00CB7030">
        <w:rPr>
          <w:rFonts w:asciiTheme="majorHAnsi" w:hAnsiTheme="majorHAnsi"/>
          <w:lang w:eastAsia="cs-CZ"/>
        </w:rPr>
        <w:t xml:space="preserve">tratégie </w:t>
      </w:r>
      <w:r>
        <w:rPr>
          <w:rFonts w:asciiTheme="majorHAnsi" w:hAnsiTheme="majorHAnsi"/>
          <w:lang w:eastAsia="cs-CZ"/>
        </w:rPr>
        <w:t>Eur</w:t>
      </w:r>
      <w:r w:rsidRPr="00CB7030">
        <w:rPr>
          <w:rFonts w:asciiTheme="majorHAnsi" w:hAnsiTheme="majorHAnsi"/>
          <w:lang w:eastAsia="cs-CZ"/>
        </w:rPr>
        <w:t xml:space="preserve">ópa 2020, existuje niekoľko </w:t>
      </w:r>
      <w:r w:rsidRPr="00CB7030">
        <w:rPr>
          <w:rFonts w:asciiTheme="majorHAnsi" w:hAnsiTheme="majorHAnsi"/>
          <w:szCs w:val="22"/>
          <w:lang w:eastAsia="cs-CZ"/>
        </w:rPr>
        <w:t xml:space="preserve">problémových oblastí a rizík, ktorým bude </w:t>
      </w:r>
      <w:r>
        <w:rPr>
          <w:rFonts w:asciiTheme="majorHAnsi" w:hAnsiTheme="majorHAnsi"/>
          <w:szCs w:val="22"/>
          <w:lang w:eastAsia="cs-CZ"/>
        </w:rPr>
        <w:t>po</w:t>
      </w:r>
      <w:r w:rsidRPr="00CB7030">
        <w:rPr>
          <w:rFonts w:asciiTheme="majorHAnsi" w:hAnsiTheme="majorHAnsi"/>
          <w:szCs w:val="22"/>
          <w:lang w:eastAsia="cs-CZ"/>
        </w:rPr>
        <w:t>treb</w:t>
      </w:r>
      <w:r>
        <w:rPr>
          <w:rFonts w:asciiTheme="majorHAnsi" w:hAnsiTheme="majorHAnsi"/>
          <w:szCs w:val="22"/>
          <w:lang w:eastAsia="cs-CZ"/>
        </w:rPr>
        <w:t>né</w:t>
      </w:r>
      <w:r w:rsidRPr="00CB7030">
        <w:rPr>
          <w:rFonts w:asciiTheme="majorHAnsi" w:hAnsiTheme="majorHAnsi"/>
          <w:szCs w:val="22"/>
          <w:lang w:eastAsia="cs-CZ"/>
        </w:rPr>
        <w:t xml:space="preserve"> venovať zvýšenú pozornosť v záverečnej fáze prípravy</w:t>
      </w:r>
      <w:r>
        <w:rPr>
          <w:rFonts w:asciiTheme="majorHAnsi" w:hAnsiTheme="majorHAnsi"/>
          <w:szCs w:val="22"/>
          <w:lang w:eastAsia="cs-CZ"/>
        </w:rPr>
        <w:t xml:space="preserve"> na implementáciu</w:t>
      </w:r>
      <w:r w:rsidRPr="00CB7030">
        <w:rPr>
          <w:rFonts w:asciiTheme="majorHAnsi" w:hAnsiTheme="majorHAnsi"/>
          <w:szCs w:val="22"/>
          <w:lang w:eastAsia="cs-CZ"/>
        </w:rPr>
        <w:t xml:space="preserve"> EŠIF a následne </w:t>
      </w:r>
      <w:r>
        <w:rPr>
          <w:rFonts w:asciiTheme="majorHAnsi" w:hAnsiTheme="majorHAnsi"/>
          <w:szCs w:val="22"/>
          <w:lang w:eastAsia="cs-CZ"/>
        </w:rPr>
        <w:t xml:space="preserve">aj </w:t>
      </w:r>
      <w:r w:rsidRPr="00CB7030">
        <w:rPr>
          <w:rFonts w:asciiTheme="majorHAnsi" w:hAnsiTheme="majorHAnsi"/>
          <w:szCs w:val="22"/>
          <w:lang w:eastAsia="cs-CZ"/>
        </w:rPr>
        <w:t>v implementačnej fáze.</w:t>
      </w:r>
    </w:p>
    <w:p w:rsidR="0021713D" w:rsidRPr="00CB7030" w:rsidRDefault="0021713D" w:rsidP="0021713D">
      <w:pPr>
        <w:rPr>
          <w:rFonts w:asciiTheme="majorHAnsi" w:hAnsiTheme="majorHAnsi"/>
          <w:szCs w:val="22"/>
          <w:lang w:eastAsia="cs-CZ"/>
        </w:rPr>
      </w:pPr>
      <w:r w:rsidRPr="00831162">
        <w:rPr>
          <w:rFonts w:asciiTheme="majorHAnsi" w:hAnsiTheme="majorHAnsi"/>
          <w:i/>
          <w:szCs w:val="22"/>
          <w:lang w:eastAsia="cs-CZ"/>
        </w:rPr>
        <w:t>Inteligentný rast</w:t>
      </w:r>
      <w:r w:rsidRPr="00CB7030">
        <w:rPr>
          <w:rFonts w:asciiTheme="majorHAnsi" w:hAnsiTheme="majorHAnsi"/>
          <w:szCs w:val="22"/>
          <w:lang w:eastAsia="cs-CZ"/>
        </w:rPr>
        <w:t>: Identifikácia priorít sa v</w:t>
      </w:r>
      <w:r>
        <w:rPr>
          <w:rFonts w:asciiTheme="majorHAnsi" w:hAnsiTheme="majorHAnsi"/>
          <w:szCs w:val="22"/>
          <w:lang w:eastAsia="cs-CZ"/>
        </w:rPr>
        <w:t> </w:t>
      </w:r>
      <w:r w:rsidRPr="00CB7030">
        <w:rPr>
          <w:rFonts w:asciiTheme="majorHAnsi" w:hAnsiTheme="majorHAnsi"/>
          <w:szCs w:val="22"/>
          <w:lang w:eastAsia="cs-CZ"/>
        </w:rPr>
        <w:t>PD</w:t>
      </w:r>
      <w:r>
        <w:rPr>
          <w:rFonts w:asciiTheme="majorHAnsi" w:hAnsiTheme="majorHAnsi"/>
          <w:szCs w:val="22"/>
          <w:lang w:eastAsia="cs-CZ"/>
        </w:rPr>
        <w:t xml:space="preserve"> SR</w:t>
      </w:r>
      <w:r w:rsidRPr="00CB7030">
        <w:rPr>
          <w:rFonts w:asciiTheme="majorHAnsi" w:hAnsiTheme="majorHAnsi"/>
          <w:szCs w:val="22"/>
          <w:lang w:eastAsia="cs-CZ"/>
        </w:rPr>
        <w:t xml:space="preserve"> týka hlavne sektorov výskumu, vývoja a inovácií, kde je potrebné venovať viac pozornosti predovšetkým stanoveniu a následnému rozvoju kľúčových odvetví. Dôležitým problémom je realizácia prepojenia </w:t>
      </w:r>
      <w:r w:rsidR="001D69C6">
        <w:rPr>
          <w:rFonts w:asciiTheme="majorHAnsi" w:hAnsiTheme="majorHAnsi"/>
          <w:szCs w:val="22"/>
          <w:lang w:eastAsia="cs-CZ"/>
        </w:rPr>
        <w:t>VaI</w:t>
      </w:r>
      <w:r w:rsidRPr="00CB7030">
        <w:rPr>
          <w:rFonts w:asciiTheme="majorHAnsi" w:hAnsiTheme="majorHAnsi"/>
          <w:szCs w:val="22"/>
          <w:lang w:eastAsia="cs-CZ"/>
        </w:rPr>
        <w:t xml:space="preserve"> s</w:t>
      </w:r>
      <w:r w:rsidR="001D69C6">
        <w:rPr>
          <w:rFonts w:asciiTheme="majorHAnsi" w:hAnsiTheme="majorHAnsi"/>
          <w:szCs w:val="22"/>
          <w:lang w:eastAsia="cs-CZ"/>
        </w:rPr>
        <w:t> </w:t>
      </w:r>
      <w:r w:rsidRPr="00CB7030">
        <w:rPr>
          <w:rFonts w:asciiTheme="majorHAnsi" w:hAnsiTheme="majorHAnsi"/>
          <w:szCs w:val="22"/>
          <w:lang w:eastAsia="cs-CZ"/>
        </w:rPr>
        <w:t>podporou vzdelávania. Viac ako polovica výskumnej základne a</w:t>
      </w:r>
      <w:r>
        <w:rPr>
          <w:rFonts w:asciiTheme="majorHAnsi" w:hAnsiTheme="majorHAnsi"/>
          <w:szCs w:val="22"/>
          <w:lang w:eastAsia="cs-CZ"/>
        </w:rPr>
        <w:t> </w:t>
      </w:r>
      <w:r w:rsidRPr="00CB7030">
        <w:rPr>
          <w:rFonts w:asciiTheme="majorHAnsi" w:hAnsiTheme="majorHAnsi"/>
          <w:szCs w:val="22"/>
          <w:lang w:eastAsia="cs-CZ"/>
        </w:rPr>
        <w:t>70</w:t>
      </w:r>
      <w:r>
        <w:rPr>
          <w:rFonts w:asciiTheme="majorHAnsi" w:hAnsiTheme="majorHAnsi"/>
          <w:szCs w:val="22"/>
          <w:lang w:eastAsia="cs-CZ"/>
        </w:rPr>
        <w:t xml:space="preserve"> </w:t>
      </w:r>
      <w:r w:rsidRPr="00CB7030">
        <w:rPr>
          <w:rFonts w:asciiTheme="majorHAnsi" w:hAnsiTheme="majorHAnsi"/>
          <w:szCs w:val="22"/>
          <w:lang w:eastAsia="cs-CZ"/>
        </w:rPr>
        <w:t xml:space="preserve">% výstupu </w:t>
      </w:r>
      <w:r w:rsidR="001D69C6">
        <w:rPr>
          <w:rFonts w:asciiTheme="majorHAnsi" w:hAnsiTheme="majorHAnsi"/>
          <w:szCs w:val="22"/>
          <w:lang w:eastAsia="cs-CZ"/>
        </w:rPr>
        <w:t>VaV</w:t>
      </w:r>
      <w:r w:rsidRPr="00CB7030">
        <w:rPr>
          <w:rFonts w:asciiTheme="majorHAnsi" w:hAnsiTheme="majorHAnsi"/>
          <w:szCs w:val="22"/>
          <w:lang w:eastAsia="cs-CZ"/>
        </w:rPr>
        <w:t xml:space="preserve"> sa koncentruje v</w:t>
      </w:r>
      <w:r>
        <w:rPr>
          <w:rFonts w:asciiTheme="majorHAnsi" w:hAnsiTheme="majorHAnsi"/>
          <w:szCs w:val="22"/>
          <w:lang w:eastAsia="cs-CZ"/>
        </w:rPr>
        <w:t xml:space="preserve"> BSK </w:t>
      </w:r>
      <w:r w:rsidRPr="00CB7030">
        <w:rPr>
          <w:rFonts w:asciiTheme="majorHAnsi" w:hAnsiTheme="majorHAnsi"/>
          <w:szCs w:val="22"/>
          <w:lang w:eastAsia="cs-CZ"/>
        </w:rPr>
        <w:t>a</w:t>
      </w:r>
      <w:r>
        <w:rPr>
          <w:rFonts w:asciiTheme="majorHAnsi" w:hAnsiTheme="majorHAnsi"/>
          <w:szCs w:val="22"/>
          <w:lang w:eastAsia="cs-CZ"/>
        </w:rPr>
        <w:t> </w:t>
      </w:r>
      <w:r w:rsidRPr="00CB7030">
        <w:rPr>
          <w:rFonts w:asciiTheme="majorHAnsi" w:hAnsiTheme="majorHAnsi"/>
          <w:szCs w:val="22"/>
          <w:lang w:eastAsia="cs-CZ"/>
        </w:rPr>
        <w:t>PD</w:t>
      </w:r>
      <w:r>
        <w:rPr>
          <w:rFonts w:asciiTheme="majorHAnsi" w:hAnsiTheme="majorHAnsi"/>
          <w:szCs w:val="22"/>
          <w:lang w:eastAsia="cs-CZ"/>
        </w:rPr>
        <w:t xml:space="preserve"> SR</w:t>
      </w:r>
      <w:r w:rsidRPr="00CB7030">
        <w:rPr>
          <w:rFonts w:asciiTheme="majorHAnsi" w:hAnsiTheme="majorHAnsi"/>
          <w:szCs w:val="22"/>
          <w:lang w:eastAsia="cs-CZ"/>
        </w:rPr>
        <w:t xml:space="preserve"> definuje dôležitosť potreby </w:t>
      </w:r>
      <w:r w:rsidRPr="00CB7030">
        <w:rPr>
          <w:rFonts w:asciiTheme="majorHAnsi" w:hAnsiTheme="majorHAnsi"/>
          <w:szCs w:val="22"/>
          <w:lang w:eastAsia="cs-CZ"/>
        </w:rPr>
        <w:lastRenderedPageBreak/>
        <w:t>presunu 3 % z</w:t>
      </w:r>
      <w:r w:rsidR="001D69C6">
        <w:rPr>
          <w:rFonts w:asciiTheme="majorHAnsi" w:hAnsiTheme="majorHAnsi"/>
          <w:szCs w:val="22"/>
          <w:lang w:eastAsia="cs-CZ"/>
        </w:rPr>
        <w:t> </w:t>
      </w:r>
      <w:r w:rsidRPr="00CB7030">
        <w:rPr>
          <w:rFonts w:asciiTheme="majorHAnsi" w:hAnsiTheme="majorHAnsi"/>
          <w:szCs w:val="22"/>
          <w:lang w:eastAsia="cs-CZ"/>
        </w:rPr>
        <w:t xml:space="preserve">celkovej národnej alokácie medzi kategóriami regiónov, ale </w:t>
      </w:r>
      <w:r>
        <w:rPr>
          <w:rFonts w:asciiTheme="majorHAnsi" w:hAnsiTheme="majorHAnsi"/>
          <w:szCs w:val="22"/>
          <w:lang w:eastAsia="cs-CZ"/>
        </w:rPr>
        <w:t xml:space="preserve">v rámci </w:t>
      </w:r>
      <w:r w:rsidRPr="00CB7030">
        <w:rPr>
          <w:rFonts w:asciiTheme="majorHAnsi" w:hAnsiTheme="majorHAnsi"/>
          <w:szCs w:val="22"/>
          <w:lang w:eastAsia="cs-CZ"/>
        </w:rPr>
        <w:t>PD</w:t>
      </w:r>
      <w:r>
        <w:rPr>
          <w:rFonts w:asciiTheme="majorHAnsi" w:hAnsiTheme="majorHAnsi"/>
          <w:szCs w:val="22"/>
          <w:lang w:eastAsia="cs-CZ"/>
        </w:rPr>
        <w:t xml:space="preserve"> SR</w:t>
      </w:r>
      <w:r w:rsidRPr="00CB7030">
        <w:rPr>
          <w:rFonts w:asciiTheme="majorHAnsi" w:hAnsiTheme="majorHAnsi"/>
          <w:szCs w:val="22"/>
          <w:lang w:eastAsia="cs-CZ"/>
        </w:rPr>
        <w:t xml:space="preserve"> by </w:t>
      </w:r>
      <w:r>
        <w:rPr>
          <w:rFonts w:asciiTheme="majorHAnsi" w:hAnsiTheme="majorHAnsi"/>
          <w:szCs w:val="22"/>
          <w:lang w:eastAsia="cs-CZ"/>
        </w:rPr>
        <w:t>bol nápomocný</w:t>
      </w:r>
      <w:r w:rsidRPr="00CB7030">
        <w:rPr>
          <w:rFonts w:asciiTheme="majorHAnsi" w:hAnsiTheme="majorHAnsi"/>
          <w:szCs w:val="22"/>
          <w:lang w:eastAsia="cs-CZ"/>
        </w:rPr>
        <w:t xml:space="preserve"> presnejší popis kľúčových oblastí, ktoré budú predmetom </w:t>
      </w:r>
      <w:r>
        <w:rPr>
          <w:rFonts w:asciiTheme="majorHAnsi" w:hAnsiTheme="majorHAnsi"/>
          <w:szCs w:val="22"/>
          <w:lang w:eastAsia="cs-CZ"/>
        </w:rPr>
        <w:t xml:space="preserve">tejto </w:t>
      </w:r>
      <w:r w:rsidRPr="00CB7030">
        <w:rPr>
          <w:rFonts w:asciiTheme="majorHAnsi" w:hAnsiTheme="majorHAnsi"/>
          <w:szCs w:val="22"/>
          <w:lang w:eastAsia="cs-CZ"/>
        </w:rPr>
        <w:t>podpory. PD</w:t>
      </w:r>
      <w:r>
        <w:rPr>
          <w:rFonts w:asciiTheme="majorHAnsi" w:hAnsiTheme="majorHAnsi"/>
          <w:szCs w:val="22"/>
          <w:lang w:eastAsia="cs-CZ"/>
        </w:rPr>
        <w:t xml:space="preserve"> SR</w:t>
      </w:r>
      <w:r w:rsidRPr="00CB7030">
        <w:rPr>
          <w:rFonts w:asciiTheme="majorHAnsi" w:hAnsiTheme="majorHAnsi"/>
          <w:szCs w:val="22"/>
          <w:lang w:eastAsia="cs-CZ"/>
        </w:rPr>
        <w:t xml:space="preserve"> sa zameriava na možnosti prepojení medzi EŠIF a</w:t>
      </w:r>
      <w:r w:rsidR="001D69C6">
        <w:rPr>
          <w:rFonts w:asciiTheme="majorHAnsi" w:hAnsiTheme="majorHAnsi"/>
          <w:szCs w:val="22"/>
          <w:lang w:eastAsia="cs-CZ"/>
        </w:rPr>
        <w:t> </w:t>
      </w:r>
      <w:r w:rsidRPr="00CB7030">
        <w:rPr>
          <w:rFonts w:asciiTheme="majorHAnsi" w:hAnsiTheme="majorHAnsi"/>
          <w:szCs w:val="22"/>
          <w:lang w:eastAsia="cs-CZ"/>
        </w:rPr>
        <w:t xml:space="preserve">inými zdrojmi financovania, ako </w:t>
      </w:r>
      <w:r>
        <w:rPr>
          <w:rFonts w:asciiTheme="majorHAnsi" w:hAnsiTheme="majorHAnsi"/>
          <w:szCs w:val="22"/>
          <w:lang w:eastAsia="cs-CZ"/>
        </w:rPr>
        <w:t>sú zdroje z</w:t>
      </w:r>
      <w:r w:rsidR="001D69C6">
        <w:rPr>
          <w:rFonts w:asciiTheme="majorHAnsi" w:hAnsiTheme="majorHAnsi"/>
          <w:szCs w:val="22"/>
          <w:lang w:eastAsia="cs-CZ"/>
        </w:rPr>
        <w:t> </w:t>
      </w:r>
      <w:r w:rsidRPr="00CB7030">
        <w:rPr>
          <w:rFonts w:asciiTheme="majorHAnsi" w:hAnsiTheme="majorHAnsi"/>
          <w:szCs w:val="22"/>
          <w:lang w:eastAsia="cs-CZ"/>
        </w:rPr>
        <w:t xml:space="preserve">EÚ (napr. fondy pre </w:t>
      </w:r>
      <w:r w:rsidR="001D69C6">
        <w:rPr>
          <w:rFonts w:asciiTheme="majorHAnsi" w:hAnsiTheme="majorHAnsi"/>
          <w:szCs w:val="22"/>
          <w:lang w:eastAsia="cs-CZ"/>
        </w:rPr>
        <w:t>VaV</w:t>
      </w:r>
      <w:r w:rsidRPr="00CB7030">
        <w:rPr>
          <w:rFonts w:asciiTheme="majorHAnsi" w:hAnsiTheme="majorHAnsi"/>
          <w:szCs w:val="22"/>
          <w:lang w:eastAsia="cs-CZ"/>
        </w:rPr>
        <w:t>) a</w:t>
      </w:r>
      <w:r w:rsidR="001D69C6">
        <w:rPr>
          <w:rFonts w:asciiTheme="majorHAnsi" w:hAnsiTheme="majorHAnsi"/>
          <w:szCs w:val="22"/>
          <w:lang w:eastAsia="cs-CZ"/>
        </w:rPr>
        <w:t> </w:t>
      </w:r>
      <w:r w:rsidRPr="00CB7030">
        <w:rPr>
          <w:rFonts w:asciiTheme="majorHAnsi" w:hAnsiTheme="majorHAnsi"/>
          <w:szCs w:val="22"/>
          <w:lang w:eastAsia="cs-CZ"/>
        </w:rPr>
        <w:t>súkromné investície, ale neposkytuje ucelenejšiu informáciu</w:t>
      </w:r>
      <w:r>
        <w:rPr>
          <w:rFonts w:asciiTheme="majorHAnsi" w:hAnsiTheme="majorHAnsi"/>
          <w:szCs w:val="22"/>
          <w:lang w:eastAsia="cs-CZ"/>
        </w:rPr>
        <w:t xml:space="preserve"> o</w:t>
      </w:r>
      <w:r w:rsidR="001D69C6">
        <w:rPr>
          <w:rFonts w:asciiTheme="majorHAnsi" w:hAnsiTheme="majorHAnsi"/>
          <w:szCs w:val="22"/>
          <w:lang w:eastAsia="cs-CZ"/>
        </w:rPr>
        <w:t> </w:t>
      </w:r>
      <w:r>
        <w:rPr>
          <w:rFonts w:asciiTheme="majorHAnsi" w:hAnsiTheme="majorHAnsi"/>
          <w:szCs w:val="22"/>
          <w:lang w:eastAsia="cs-CZ"/>
        </w:rPr>
        <w:t>tom</w:t>
      </w:r>
      <w:r w:rsidRPr="00CB7030">
        <w:rPr>
          <w:rFonts w:asciiTheme="majorHAnsi" w:hAnsiTheme="majorHAnsi"/>
          <w:szCs w:val="22"/>
          <w:lang w:eastAsia="cs-CZ"/>
        </w:rPr>
        <w:t>, ako tieto prepojenia stimulovať a</w:t>
      </w:r>
      <w:r w:rsidR="001D69C6">
        <w:rPr>
          <w:rFonts w:asciiTheme="majorHAnsi" w:hAnsiTheme="majorHAnsi"/>
          <w:szCs w:val="22"/>
          <w:lang w:eastAsia="cs-CZ"/>
        </w:rPr>
        <w:t> </w:t>
      </w:r>
      <w:r w:rsidRPr="00CB7030">
        <w:rPr>
          <w:rFonts w:asciiTheme="majorHAnsi" w:hAnsiTheme="majorHAnsi"/>
          <w:szCs w:val="22"/>
          <w:lang w:eastAsia="cs-CZ"/>
        </w:rPr>
        <w:t>zabezpečiť. Plán postupného znižovania rozpočtových príspevkov, ktoré by mali kompenzovať súkromné investície</w:t>
      </w:r>
      <w:r w:rsidR="00500CA1">
        <w:rPr>
          <w:rFonts w:asciiTheme="majorHAnsi" w:hAnsiTheme="majorHAnsi"/>
          <w:szCs w:val="22"/>
          <w:lang w:eastAsia="cs-CZ"/>
        </w:rPr>
        <w:t>,</w:t>
      </w:r>
      <w:r w:rsidRPr="00CB7030">
        <w:rPr>
          <w:rFonts w:asciiTheme="majorHAnsi" w:hAnsiTheme="majorHAnsi"/>
          <w:szCs w:val="22"/>
          <w:lang w:eastAsia="cs-CZ"/>
        </w:rPr>
        <w:t xml:space="preserve"> v</w:t>
      </w:r>
      <w:r w:rsidR="001D69C6">
        <w:rPr>
          <w:rFonts w:asciiTheme="majorHAnsi" w:hAnsiTheme="majorHAnsi"/>
          <w:szCs w:val="22"/>
          <w:lang w:eastAsia="cs-CZ"/>
        </w:rPr>
        <w:t> </w:t>
      </w:r>
      <w:r w:rsidRPr="00CB7030">
        <w:rPr>
          <w:rFonts w:asciiTheme="majorHAnsi" w:hAnsiTheme="majorHAnsi"/>
          <w:szCs w:val="22"/>
          <w:lang w:eastAsia="cs-CZ"/>
        </w:rPr>
        <w:t xml:space="preserve">sebe skrýva značné riziká. Naplnenie </w:t>
      </w:r>
      <w:r w:rsidRPr="0003264B">
        <w:rPr>
          <w:rFonts w:asciiTheme="majorHAnsi" w:hAnsiTheme="majorHAnsi"/>
          <w:szCs w:val="22"/>
          <w:lang w:eastAsia="cs-CZ"/>
        </w:rPr>
        <w:t>cieľa investovať 1</w:t>
      </w:r>
      <w:r w:rsidR="009F46C1" w:rsidRPr="00671A61">
        <w:rPr>
          <w:rFonts w:asciiTheme="majorHAnsi" w:hAnsiTheme="majorHAnsi"/>
          <w:szCs w:val="22"/>
          <w:lang w:eastAsia="cs-CZ"/>
        </w:rPr>
        <w:t>,2</w:t>
      </w:r>
      <w:r w:rsidRPr="0003264B">
        <w:rPr>
          <w:rFonts w:asciiTheme="majorHAnsi" w:hAnsiTheme="majorHAnsi"/>
          <w:szCs w:val="22"/>
          <w:lang w:eastAsia="cs-CZ"/>
        </w:rPr>
        <w:t xml:space="preserve"> % </w:t>
      </w:r>
      <w:r w:rsidRPr="00CB7030">
        <w:rPr>
          <w:rFonts w:asciiTheme="majorHAnsi" w:hAnsiTheme="majorHAnsi"/>
          <w:szCs w:val="22"/>
          <w:lang w:eastAsia="cs-CZ"/>
        </w:rPr>
        <w:t xml:space="preserve">HDP do </w:t>
      </w:r>
      <w:r w:rsidR="001D69C6">
        <w:rPr>
          <w:rFonts w:asciiTheme="majorHAnsi" w:hAnsiTheme="majorHAnsi"/>
          <w:szCs w:val="22"/>
          <w:lang w:eastAsia="cs-CZ"/>
        </w:rPr>
        <w:t>VaV</w:t>
      </w:r>
      <w:r w:rsidRPr="00CB7030">
        <w:rPr>
          <w:rFonts w:asciiTheme="majorHAnsi" w:hAnsiTheme="majorHAnsi"/>
          <w:szCs w:val="22"/>
          <w:lang w:eastAsia="cs-CZ"/>
        </w:rPr>
        <w:t xml:space="preserve"> (do roku 2020) je rizikové. Nie je jasné</w:t>
      </w:r>
      <w:r>
        <w:rPr>
          <w:rFonts w:asciiTheme="majorHAnsi" w:hAnsiTheme="majorHAnsi"/>
          <w:szCs w:val="22"/>
          <w:lang w:eastAsia="cs-CZ"/>
        </w:rPr>
        <w:t>,</w:t>
      </w:r>
      <w:r w:rsidRPr="00CB7030">
        <w:rPr>
          <w:rFonts w:asciiTheme="majorHAnsi" w:hAnsiTheme="majorHAnsi"/>
          <w:szCs w:val="22"/>
          <w:lang w:eastAsia="cs-CZ"/>
        </w:rPr>
        <w:t xml:space="preserve"> ako sa podarí naplniť objem plánovaných súkromných investícií, ktoré by mali byť v</w:t>
      </w:r>
      <w:r w:rsidR="001D69C6">
        <w:rPr>
          <w:rFonts w:asciiTheme="majorHAnsi" w:hAnsiTheme="majorHAnsi"/>
          <w:szCs w:val="22"/>
          <w:lang w:eastAsia="cs-CZ"/>
        </w:rPr>
        <w:t> </w:t>
      </w:r>
      <w:r w:rsidRPr="00CB7030">
        <w:rPr>
          <w:rFonts w:asciiTheme="majorHAnsi" w:hAnsiTheme="majorHAnsi"/>
          <w:szCs w:val="22"/>
          <w:lang w:eastAsia="cs-CZ"/>
        </w:rPr>
        <w:t xml:space="preserve">procese stimulované, pričom </w:t>
      </w:r>
      <w:r>
        <w:rPr>
          <w:rFonts w:asciiTheme="majorHAnsi" w:hAnsiTheme="majorHAnsi"/>
          <w:szCs w:val="22"/>
          <w:lang w:eastAsia="cs-CZ"/>
        </w:rPr>
        <w:t>RIS</w:t>
      </w:r>
      <w:r w:rsidRPr="00CB7030">
        <w:rPr>
          <w:rFonts w:asciiTheme="majorHAnsi" w:hAnsiTheme="majorHAnsi"/>
          <w:szCs w:val="22"/>
          <w:lang w:eastAsia="cs-CZ"/>
        </w:rPr>
        <w:t>3 hovorí o 1,2</w:t>
      </w:r>
      <w:r>
        <w:rPr>
          <w:rFonts w:asciiTheme="majorHAnsi" w:hAnsiTheme="majorHAnsi"/>
          <w:szCs w:val="22"/>
          <w:lang w:eastAsia="cs-CZ"/>
        </w:rPr>
        <w:t xml:space="preserve"> </w:t>
      </w:r>
      <w:r w:rsidRPr="00CB7030">
        <w:rPr>
          <w:rFonts w:asciiTheme="majorHAnsi" w:hAnsiTheme="majorHAnsi"/>
          <w:szCs w:val="22"/>
          <w:lang w:eastAsia="cs-CZ"/>
        </w:rPr>
        <w:t>% HDP, z</w:t>
      </w:r>
      <w:r w:rsidR="009F46C1">
        <w:rPr>
          <w:rFonts w:asciiTheme="majorHAnsi" w:hAnsiTheme="majorHAnsi"/>
          <w:szCs w:val="22"/>
          <w:lang w:eastAsia="cs-CZ"/>
        </w:rPr>
        <w:t> </w:t>
      </w:r>
      <w:r w:rsidRPr="00CB7030">
        <w:rPr>
          <w:rFonts w:asciiTheme="majorHAnsi" w:hAnsiTheme="majorHAnsi"/>
          <w:szCs w:val="22"/>
          <w:lang w:eastAsia="cs-CZ"/>
        </w:rPr>
        <w:t>toho až 2/3 zo súkromných zdrojov.</w:t>
      </w:r>
    </w:p>
    <w:p w:rsidR="0021713D" w:rsidRPr="00CB7030" w:rsidRDefault="0021713D" w:rsidP="0021713D">
      <w:pPr>
        <w:rPr>
          <w:rFonts w:asciiTheme="majorHAnsi" w:hAnsiTheme="majorHAnsi"/>
          <w:szCs w:val="22"/>
          <w:lang w:eastAsia="cs-CZ"/>
        </w:rPr>
      </w:pPr>
      <w:r w:rsidRPr="009056D8">
        <w:rPr>
          <w:rFonts w:asciiTheme="majorHAnsi" w:hAnsiTheme="majorHAnsi"/>
          <w:i/>
          <w:szCs w:val="22"/>
          <w:lang w:eastAsia="cs-CZ"/>
        </w:rPr>
        <w:t>Udržateľný rast</w:t>
      </w:r>
      <w:r w:rsidRPr="00CB7030">
        <w:rPr>
          <w:rFonts w:asciiTheme="majorHAnsi" w:hAnsiTheme="majorHAnsi"/>
          <w:szCs w:val="22"/>
          <w:lang w:eastAsia="cs-CZ"/>
        </w:rPr>
        <w:t>: PD</w:t>
      </w:r>
      <w:r>
        <w:rPr>
          <w:rFonts w:asciiTheme="majorHAnsi" w:hAnsiTheme="majorHAnsi"/>
          <w:szCs w:val="22"/>
          <w:lang w:eastAsia="cs-CZ"/>
        </w:rPr>
        <w:t xml:space="preserve"> SR</w:t>
      </w:r>
      <w:r w:rsidRPr="00CB7030">
        <w:rPr>
          <w:rFonts w:asciiTheme="majorHAnsi" w:hAnsiTheme="majorHAnsi"/>
          <w:szCs w:val="22"/>
          <w:lang w:eastAsia="cs-CZ"/>
        </w:rPr>
        <w:t xml:space="preserve"> smeruje k</w:t>
      </w:r>
      <w:r w:rsidR="009F46C1">
        <w:rPr>
          <w:rFonts w:asciiTheme="majorHAnsi" w:hAnsiTheme="majorHAnsi"/>
          <w:szCs w:val="22"/>
          <w:lang w:eastAsia="cs-CZ"/>
        </w:rPr>
        <w:t> </w:t>
      </w:r>
      <w:r w:rsidRPr="00CB7030">
        <w:rPr>
          <w:rFonts w:asciiTheme="majorHAnsi" w:hAnsiTheme="majorHAnsi"/>
          <w:szCs w:val="22"/>
          <w:lang w:eastAsia="cs-CZ"/>
        </w:rPr>
        <w:t>naplneniu energeticko – klimatických cieľov tak</w:t>
      </w:r>
      <w:r>
        <w:rPr>
          <w:rFonts w:asciiTheme="majorHAnsi" w:hAnsiTheme="majorHAnsi"/>
          <w:szCs w:val="22"/>
          <w:lang w:eastAsia="cs-CZ"/>
        </w:rPr>
        <w:t>,</w:t>
      </w:r>
      <w:r w:rsidRPr="00CB7030">
        <w:rPr>
          <w:rFonts w:asciiTheme="majorHAnsi" w:hAnsiTheme="majorHAnsi"/>
          <w:szCs w:val="22"/>
          <w:lang w:eastAsia="cs-CZ"/>
        </w:rPr>
        <w:t xml:space="preserve"> ako sú záväzné do roku 2020. Výzvou bude naplnenie cieľov v</w:t>
      </w:r>
      <w:r w:rsidR="009F46C1">
        <w:rPr>
          <w:rFonts w:asciiTheme="majorHAnsi" w:hAnsiTheme="majorHAnsi"/>
          <w:szCs w:val="22"/>
          <w:lang w:eastAsia="cs-CZ"/>
        </w:rPr>
        <w:t> </w:t>
      </w:r>
      <w:r w:rsidRPr="00CB7030">
        <w:rPr>
          <w:rFonts w:asciiTheme="majorHAnsi" w:hAnsiTheme="majorHAnsi"/>
          <w:szCs w:val="22"/>
          <w:lang w:eastAsia="cs-CZ"/>
        </w:rPr>
        <w:t>manažmente odpadov (hlavne v znížení skládkovania a</w:t>
      </w:r>
      <w:r w:rsidR="009F46C1">
        <w:rPr>
          <w:rFonts w:asciiTheme="majorHAnsi" w:hAnsiTheme="majorHAnsi"/>
          <w:szCs w:val="22"/>
          <w:lang w:eastAsia="cs-CZ"/>
        </w:rPr>
        <w:t> </w:t>
      </w:r>
      <w:r w:rsidRPr="00CB7030">
        <w:rPr>
          <w:rFonts w:asciiTheme="majorHAnsi" w:hAnsiTheme="majorHAnsi"/>
          <w:szCs w:val="22"/>
          <w:lang w:eastAsia="cs-CZ"/>
        </w:rPr>
        <w:t xml:space="preserve">recyklácii komunálneho odpadu). Chýba lepšie prepojenie tejto problematiky ako prierezovej témy, ktorá sa netýka len ochrany životného prostredia, ale aj </w:t>
      </w:r>
      <w:r w:rsidR="009F46C1">
        <w:rPr>
          <w:rFonts w:asciiTheme="majorHAnsi" w:hAnsiTheme="majorHAnsi"/>
          <w:szCs w:val="22"/>
          <w:lang w:eastAsia="cs-CZ"/>
        </w:rPr>
        <w:t>VaV</w:t>
      </w:r>
      <w:r w:rsidRPr="00CB7030">
        <w:rPr>
          <w:rFonts w:asciiTheme="majorHAnsi" w:hAnsiTheme="majorHAnsi"/>
          <w:szCs w:val="22"/>
          <w:lang w:eastAsia="cs-CZ"/>
        </w:rPr>
        <w:t>, eko</w:t>
      </w:r>
      <w:r w:rsidR="009F46C1">
        <w:rPr>
          <w:rFonts w:asciiTheme="majorHAnsi" w:hAnsiTheme="majorHAnsi"/>
          <w:szCs w:val="22"/>
          <w:lang w:eastAsia="cs-CZ"/>
        </w:rPr>
        <w:t>-</w:t>
      </w:r>
      <w:r w:rsidRPr="00CB7030">
        <w:rPr>
          <w:rFonts w:asciiTheme="majorHAnsi" w:hAnsiTheme="majorHAnsi"/>
          <w:szCs w:val="22"/>
          <w:lang w:eastAsia="cs-CZ"/>
        </w:rPr>
        <w:t>inovácií, dopravy, nízkouhlíkovej ekonomiky, spotreby a</w:t>
      </w:r>
      <w:r w:rsidR="009F46C1">
        <w:rPr>
          <w:rFonts w:asciiTheme="majorHAnsi" w:hAnsiTheme="majorHAnsi"/>
          <w:szCs w:val="22"/>
          <w:lang w:eastAsia="cs-CZ"/>
        </w:rPr>
        <w:t> </w:t>
      </w:r>
      <w:r w:rsidRPr="00CB7030">
        <w:rPr>
          <w:rFonts w:asciiTheme="majorHAnsi" w:hAnsiTheme="majorHAnsi"/>
          <w:szCs w:val="22"/>
          <w:lang w:eastAsia="cs-CZ"/>
        </w:rPr>
        <w:t>preventívn</w:t>
      </w:r>
      <w:r>
        <w:rPr>
          <w:rFonts w:asciiTheme="majorHAnsi" w:hAnsiTheme="majorHAnsi"/>
          <w:szCs w:val="22"/>
          <w:lang w:eastAsia="cs-CZ"/>
        </w:rPr>
        <w:t>eho</w:t>
      </w:r>
      <w:r w:rsidRPr="00CB7030">
        <w:rPr>
          <w:rFonts w:asciiTheme="majorHAnsi" w:hAnsiTheme="majorHAnsi"/>
          <w:szCs w:val="22"/>
          <w:lang w:eastAsia="cs-CZ"/>
        </w:rPr>
        <w:t xml:space="preserve"> prístup</w:t>
      </w:r>
      <w:r>
        <w:rPr>
          <w:rFonts w:asciiTheme="majorHAnsi" w:hAnsiTheme="majorHAnsi"/>
          <w:szCs w:val="22"/>
          <w:lang w:eastAsia="cs-CZ"/>
        </w:rPr>
        <w:t>u</w:t>
      </w:r>
      <w:r w:rsidRPr="00CB7030">
        <w:rPr>
          <w:rFonts w:asciiTheme="majorHAnsi" w:hAnsiTheme="majorHAnsi"/>
          <w:szCs w:val="22"/>
          <w:lang w:eastAsia="cs-CZ"/>
        </w:rPr>
        <w:t xml:space="preserve"> </w:t>
      </w:r>
      <w:r w:rsidR="00F1319D">
        <w:rPr>
          <w:rFonts w:asciiTheme="majorHAnsi" w:hAnsiTheme="majorHAnsi"/>
          <w:szCs w:val="22"/>
          <w:lang w:eastAsia="cs-CZ"/>
        </w:rPr>
        <w:t>k</w:t>
      </w:r>
      <w:r w:rsidR="009F46C1">
        <w:rPr>
          <w:rFonts w:asciiTheme="majorHAnsi" w:hAnsiTheme="majorHAnsi"/>
          <w:szCs w:val="22"/>
          <w:lang w:eastAsia="cs-CZ"/>
        </w:rPr>
        <w:t> </w:t>
      </w:r>
      <w:r w:rsidRPr="00CB7030">
        <w:rPr>
          <w:rFonts w:asciiTheme="majorHAnsi" w:hAnsiTheme="majorHAnsi"/>
          <w:szCs w:val="22"/>
          <w:lang w:eastAsia="cs-CZ"/>
        </w:rPr>
        <w:t>trhu práce (napr. zelené pracovné miesta). Pri implementácii bude dôležité zvýrazniť úlohu udržateľného rastu</w:t>
      </w:r>
      <w:r>
        <w:rPr>
          <w:rFonts w:asciiTheme="majorHAnsi" w:hAnsiTheme="majorHAnsi"/>
          <w:szCs w:val="22"/>
          <w:lang w:eastAsia="cs-CZ"/>
        </w:rPr>
        <w:t>,</w:t>
      </w:r>
      <w:r w:rsidRPr="00CB7030">
        <w:rPr>
          <w:rFonts w:asciiTheme="majorHAnsi" w:hAnsiTheme="majorHAnsi"/>
          <w:szCs w:val="22"/>
          <w:lang w:eastAsia="cs-CZ"/>
        </w:rPr>
        <w:t xml:space="preserve"> ako kompetetívnej výhody v dlhšom časovom horizonte. Dôležitou oblasťou bude silnejšia podpora zavádzania ekonomických nástrojov a</w:t>
      </w:r>
      <w:r w:rsidR="009F46C1">
        <w:rPr>
          <w:rFonts w:asciiTheme="majorHAnsi" w:hAnsiTheme="majorHAnsi"/>
          <w:szCs w:val="22"/>
          <w:lang w:eastAsia="cs-CZ"/>
        </w:rPr>
        <w:t> </w:t>
      </w:r>
      <w:r w:rsidRPr="00CB7030">
        <w:rPr>
          <w:rFonts w:asciiTheme="majorHAnsi" w:hAnsiTheme="majorHAnsi"/>
          <w:szCs w:val="22"/>
          <w:lang w:eastAsia="cs-CZ"/>
        </w:rPr>
        <w:t xml:space="preserve">princípu </w:t>
      </w:r>
      <w:r>
        <w:rPr>
          <w:rFonts w:asciiTheme="majorHAnsi" w:hAnsiTheme="majorHAnsi"/>
          <w:szCs w:val="22"/>
          <w:lang w:eastAsia="cs-CZ"/>
        </w:rPr>
        <w:t>„</w:t>
      </w:r>
      <w:r w:rsidRPr="00CB7030">
        <w:rPr>
          <w:rFonts w:asciiTheme="majorHAnsi" w:hAnsiTheme="majorHAnsi"/>
          <w:szCs w:val="22"/>
          <w:lang w:eastAsia="cs-CZ"/>
        </w:rPr>
        <w:t>znečisťovateľ platí</w:t>
      </w:r>
      <w:r>
        <w:rPr>
          <w:rFonts w:asciiTheme="majorHAnsi" w:hAnsiTheme="majorHAnsi"/>
          <w:szCs w:val="22"/>
          <w:lang w:eastAsia="cs-CZ"/>
        </w:rPr>
        <w:t>“</w:t>
      </w:r>
      <w:r w:rsidRPr="00CB7030">
        <w:rPr>
          <w:rFonts w:asciiTheme="majorHAnsi" w:hAnsiTheme="majorHAnsi"/>
          <w:szCs w:val="22"/>
          <w:lang w:eastAsia="cs-CZ"/>
        </w:rPr>
        <w:t>. Kľúčovou výzvou je prepojenie plánovaných opatrení s</w:t>
      </w:r>
      <w:r w:rsidR="009F46C1">
        <w:rPr>
          <w:rFonts w:asciiTheme="majorHAnsi" w:hAnsiTheme="majorHAnsi"/>
          <w:szCs w:val="22"/>
          <w:lang w:eastAsia="cs-CZ"/>
        </w:rPr>
        <w:t> </w:t>
      </w:r>
      <w:r w:rsidRPr="00CB7030">
        <w:rPr>
          <w:rFonts w:asciiTheme="majorHAnsi" w:hAnsiTheme="majorHAnsi"/>
          <w:szCs w:val="22"/>
          <w:lang w:eastAsia="cs-CZ"/>
        </w:rPr>
        <w:t>regionálnym rozvojom a</w:t>
      </w:r>
      <w:r w:rsidR="009F46C1">
        <w:rPr>
          <w:rFonts w:asciiTheme="majorHAnsi" w:hAnsiTheme="majorHAnsi"/>
          <w:szCs w:val="22"/>
          <w:lang w:eastAsia="cs-CZ"/>
        </w:rPr>
        <w:t> </w:t>
      </w:r>
      <w:r w:rsidRPr="00CB7030">
        <w:rPr>
          <w:rFonts w:asciiTheme="majorHAnsi" w:hAnsiTheme="majorHAnsi"/>
          <w:szCs w:val="22"/>
          <w:lang w:eastAsia="cs-CZ"/>
        </w:rPr>
        <w:t>sociálnou ink</w:t>
      </w:r>
      <w:r>
        <w:rPr>
          <w:rFonts w:asciiTheme="majorHAnsi" w:hAnsiTheme="majorHAnsi"/>
          <w:szCs w:val="22"/>
          <w:lang w:eastAsia="cs-CZ"/>
        </w:rPr>
        <w:t>l</w:t>
      </w:r>
      <w:r w:rsidRPr="00CB7030">
        <w:rPr>
          <w:rFonts w:asciiTheme="majorHAnsi" w:hAnsiTheme="majorHAnsi"/>
          <w:szCs w:val="22"/>
          <w:lang w:eastAsia="cs-CZ"/>
        </w:rPr>
        <w:t>úziou marginalizovaných oblastí</w:t>
      </w:r>
      <w:r>
        <w:rPr>
          <w:rFonts w:asciiTheme="majorHAnsi" w:hAnsiTheme="majorHAnsi"/>
          <w:szCs w:val="22"/>
          <w:lang w:eastAsia="cs-CZ"/>
        </w:rPr>
        <w:t xml:space="preserve"> s cieľom zabezpečenia</w:t>
      </w:r>
      <w:r w:rsidRPr="00CB7030">
        <w:rPr>
          <w:rFonts w:asciiTheme="majorHAnsi" w:hAnsiTheme="majorHAnsi"/>
          <w:szCs w:val="22"/>
          <w:lang w:eastAsia="cs-CZ"/>
        </w:rPr>
        <w:t xml:space="preserve"> lepšie</w:t>
      </w:r>
      <w:r>
        <w:rPr>
          <w:rFonts w:asciiTheme="majorHAnsi" w:hAnsiTheme="majorHAnsi"/>
          <w:szCs w:val="22"/>
          <w:lang w:eastAsia="cs-CZ"/>
        </w:rPr>
        <w:t>ho</w:t>
      </w:r>
      <w:r w:rsidRPr="00CB7030">
        <w:rPr>
          <w:rFonts w:asciiTheme="majorHAnsi" w:hAnsiTheme="majorHAnsi"/>
          <w:szCs w:val="22"/>
          <w:lang w:eastAsia="cs-CZ"/>
        </w:rPr>
        <w:t xml:space="preserve"> vytvárani</w:t>
      </w:r>
      <w:r>
        <w:rPr>
          <w:rFonts w:asciiTheme="majorHAnsi" w:hAnsiTheme="majorHAnsi"/>
          <w:szCs w:val="22"/>
          <w:lang w:eastAsia="cs-CZ"/>
        </w:rPr>
        <w:t>a</w:t>
      </w:r>
      <w:r w:rsidRPr="00CB7030">
        <w:rPr>
          <w:rFonts w:asciiTheme="majorHAnsi" w:hAnsiTheme="majorHAnsi"/>
          <w:szCs w:val="22"/>
          <w:lang w:eastAsia="cs-CZ"/>
        </w:rPr>
        <w:t xml:space="preserve"> prepojení </w:t>
      </w:r>
      <w:r>
        <w:rPr>
          <w:rFonts w:asciiTheme="majorHAnsi" w:hAnsiTheme="majorHAnsi"/>
          <w:szCs w:val="22"/>
          <w:lang w:eastAsia="cs-CZ"/>
        </w:rPr>
        <w:t xml:space="preserve">jednotlivých </w:t>
      </w:r>
      <w:r w:rsidRPr="00CB7030">
        <w:rPr>
          <w:rFonts w:asciiTheme="majorHAnsi" w:hAnsiTheme="majorHAnsi"/>
          <w:szCs w:val="22"/>
          <w:lang w:eastAsia="cs-CZ"/>
        </w:rPr>
        <w:t xml:space="preserve">opatrení </w:t>
      </w:r>
      <w:r>
        <w:rPr>
          <w:rFonts w:asciiTheme="majorHAnsi" w:hAnsiTheme="majorHAnsi"/>
          <w:szCs w:val="22"/>
          <w:lang w:eastAsia="cs-CZ"/>
        </w:rPr>
        <w:t>týkajúcich sa</w:t>
      </w:r>
      <w:r w:rsidRPr="00CB7030">
        <w:rPr>
          <w:rFonts w:asciiTheme="majorHAnsi" w:hAnsiTheme="majorHAnsi"/>
          <w:szCs w:val="22"/>
          <w:lang w:eastAsia="cs-CZ"/>
        </w:rPr>
        <w:t xml:space="preserve"> regionáln</w:t>
      </w:r>
      <w:r>
        <w:rPr>
          <w:rFonts w:asciiTheme="majorHAnsi" w:hAnsiTheme="majorHAnsi"/>
          <w:szCs w:val="22"/>
          <w:lang w:eastAsia="cs-CZ"/>
        </w:rPr>
        <w:t>eho</w:t>
      </w:r>
      <w:r w:rsidRPr="00CB7030">
        <w:rPr>
          <w:rFonts w:asciiTheme="majorHAnsi" w:hAnsiTheme="majorHAnsi"/>
          <w:szCs w:val="22"/>
          <w:lang w:eastAsia="cs-CZ"/>
        </w:rPr>
        <w:t xml:space="preserve"> rozvoj</w:t>
      </w:r>
      <w:r>
        <w:rPr>
          <w:rFonts w:asciiTheme="majorHAnsi" w:hAnsiTheme="majorHAnsi"/>
          <w:szCs w:val="22"/>
          <w:lang w:eastAsia="cs-CZ"/>
        </w:rPr>
        <w:t>a</w:t>
      </w:r>
      <w:r w:rsidRPr="00CB7030">
        <w:rPr>
          <w:rFonts w:asciiTheme="majorHAnsi" w:hAnsiTheme="majorHAnsi"/>
          <w:szCs w:val="22"/>
          <w:lang w:eastAsia="cs-CZ"/>
        </w:rPr>
        <w:t xml:space="preserve"> a trh</w:t>
      </w:r>
      <w:r>
        <w:rPr>
          <w:rFonts w:asciiTheme="majorHAnsi" w:hAnsiTheme="majorHAnsi"/>
          <w:szCs w:val="22"/>
          <w:lang w:eastAsia="cs-CZ"/>
        </w:rPr>
        <w:t>u</w:t>
      </w:r>
      <w:r w:rsidRPr="00CB7030">
        <w:rPr>
          <w:rFonts w:asciiTheme="majorHAnsi" w:hAnsiTheme="majorHAnsi"/>
          <w:szCs w:val="22"/>
          <w:lang w:eastAsia="cs-CZ"/>
        </w:rPr>
        <w:t xml:space="preserve"> práce.</w:t>
      </w:r>
    </w:p>
    <w:p w:rsidR="0021713D" w:rsidRPr="00CB7030" w:rsidRDefault="0021713D" w:rsidP="0021713D">
      <w:pPr>
        <w:rPr>
          <w:rFonts w:asciiTheme="majorHAnsi" w:hAnsiTheme="majorHAnsi"/>
          <w:szCs w:val="22"/>
          <w:lang w:eastAsia="cs-CZ"/>
        </w:rPr>
      </w:pPr>
      <w:r w:rsidRPr="009056D8">
        <w:rPr>
          <w:rFonts w:asciiTheme="majorHAnsi" w:hAnsiTheme="majorHAnsi"/>
          <w:i/>
          <w:szCs w:val="22"/>
          <w:lang w:eastAsia="cs-CZ"/>
        </w:rPr>
        <w:t>Inkluzívny rast</w:t>
      </w:r>
      <w:r w:rsidRPr="00CB7030">
        <w:rPr>
          <w:rFonts w:asciiTheme="majorHAnsi" w:hAnsiTheme="majorHAnsi"/>
          <w:szCs w:val="22"/>
          <w:lang w:eastAsia="cs-CZ"/>
        </w:rPr>
        <w:t>: Priorit</w:t>
      </w:r>
      <w:r w:rsidR="00F1319D">
        <w:rPr>
          <w:rFonts w:asciiTheme="majorHAnsi" w:hAnsiTheme="majorHAnsi"/>
          <w:szCs w:val="22"/>
          <w:lang w:eastAsia="cs-CZ"/>
        </w:rPr>
        <w:t>ou</w:t>
      </w:r>
      <w:r w:rsidRPr="00CB7030">
        <w:rPr>
          <w:rFonts w:asciiTheme="majorHAnsi" w:hAnsiTheme="majorHAnsi"/>
          <w:szCs w:val="22"/>
          <w:lang w:eastAsia="cs-CZ"/>
        </w:rPr>
        <w:t xml:space="preserve"> </w:t>
      </w:r>
      <w:r>
        <w:rPr>
          <w:rFonts w:asciiTheme="majorHAnsi" w:hAnsiTheme="majorHAnsi"/>
          <w:szCs w:val="22"/>
          <w:lang w:eastAsia="cs-CZ"/>
        </w:rPr>
        <w:t>SR</w:t>
      </w:r>
      <w:r w:rsidRPr="00CB7030">
        <w:rPr>
          <w:rFonts w:asciiTheme="majorHAnsi" w:hAnsiTheme="majorHAnsi"/>
          <w:szCs w:val="22"/>
          <w:lang w:eastAsia="cs-CZ"/>
        </w:rPr>
        <w:t xml:space="preserve"> je nárast konkurencieschopnej ekonomiky s</w:t>
      </w:r>
      <w:r w:rsidR="009F46C1">
        <w:rPr>
          <w:rFonts w:asciiTheme="majorHAnsi" w:hAnsiTheme="majorHAnsi"/>
          <w:szCs w:val="22"/>
          <w:lang w:eastAsia="cs-CZ"/>
        </w:rPr>
        <w:t> </w:t>
      </w:r>
      <w:r w:rsidRPr="00CB7030">
        <w:rPr>
          <w:rFonts w:asciiTheme="majorHAnsi" w:hAnsiTheme="majorHAnsi"/>
          <w:szCs w:val="22"/>
          <w:lang w:eastAsia="cs-CZ"/>
        </w:rPr>
        <w:t>dôrazom na jej znalostnú časť a</w:t>
      </w:r>
      <w:r w:rsidR="009F46C1">
        <w:rPr>
          <w:rFonts w:asciiTheme="majorHAnsi" w:hAnsiTheme="majorHAnsi"/>
          <w:szCs w:val="22"/>
          <w:lang w:eastAsia="cs-CZ"/>
        </w:rPr>
        <w:t> </w:t>
      </w:r>
      <w:r w:rsidRPr="00CB7030">
        <w:rPr>
          <w:rFonts w:asciiTheme="majorHAnsi" w:hAnsiTheme="majorHAnsi"/>
          <w:szCs w:val="22"/>
          <w:lang w:eastAsia="cs-CZ"/>
        </w:rPr>
        <w:t>produktivitu práce s</w:t>
      </w:r>
      <w:r w:rsidR="009F46C1">
        <w:rPr>
          <w:rFonts w:asciiTheme="majorHAnsi" w:hAnsiTheme="majorHAnsi"/>
          <w:szCs w:val="22"/>
          <w:lang w:eastAsia="cs-CZ"/>
        </w:rPr>
        <w:t> </w:t>
      </w:r>
      <w:r w:rsidRPr="00CB7030">
        <w:rPr>
          <w:rFonts w:asciiTheme="majorHAnsi" w:hAnsiTheme="majorHAnsi"/>
          <w:szCs w:val="22"/>
          <w:lang w:eastAsia="cs-CZ"/>
        </w:rPr>
        <w:t>čo najvyššou pridanou hodnotou. Zárove</w:t>
      </w:r>
      <w:r>
        <w:rPr>
          <w:rFonts w:asciiTheme="majorHAnsi" w:hAnsiTheme="majorHAnsi"/>
          <w:szCs w:val="22"/>
          <w:lang w:eastAsia="cs-CZ"/>
        </w:rPr>
        <w:t>ň SR</w:t>
      </w:r>
      <w:r w:rsidRPr="00CB7030">
        <w:rPr>
          <w:rFonts w:asciiTheme="majorHAnsi" w:hAnsiTheme="majorHAnsi"/>
          <w:szCs w:val="22"/>
          <w:lang w:eastAsia="cs-CZ"/>
        </w:rPr>
        <w:t xml:space="preserve"> čelí závažnému problému dlhodobo nezamestnaných ľudí s</w:t>
      </w:r>
      <w:r w:rsidR="009F46C1">
        <w:rPr>
          <w:rFonts w:asciiTheme="majorHAnsi" w:hAnsiTheme="majorHAnsi"/>
          <w:szCs w:val="22"/>
          <w:lang w:eastAsia="cs-CZ"/>
        </w:rPr>
        <w:t> </w:t>
      </w:r>
      <w:r w:rsidRPr="00CB7030">
        <w:rPr>
          <w:rFonts w:asciiTheme="majorHAnsi" w:hAnsiTheme="majorHAnsi"/>
          <w:szCs w:val="22"/>
          <w:lang w:eastAsia="cs-CZ"/>
        </w:rPr>
        <w:t>nízkou kvalifikáciou. Ako podporné a</w:t>
      </w:r>
      <w:r w:rsidR="009F46C1">
        <w:rPr>
          <w:rFonts w:asciiTheme="majorHAnsi" w:hAnsiTheme="majorHAnsi"/>
          <w:szCs w:val="22"/>
          <w:lang w:eastAsia="cs-CZ"/>
        </w:rPr>
        <w:t> </w:t>
      </w:r>
      <w:r w:rsidRPr="00CB7030">
        <w:rPr>
          <w:rFonts w:asciiTheme="majorHAnsi" w:hAnsiTheme="majorHAnsi"/>
          <w:szCs w:val="22"/>
          <w:lang w:eastAsia="cs-CZ"/>
        </w:rPr>
        <w:t>dočasné opatrenie preto treba zvážiť, akým spôsobom využiť projekty na vytváranie návykov a</w:t>
      </w:r>
      <w:r w:rsidR="009F46C1">
        <w:rPr>
          <w:rFonts w:asciiTheme="majorHAnsi" w:hAnsiTheme="majorHAnsi"/>
          <w:szCs w:val="22"/>
          <w:lang w:eastAsia="cs-CZ"/>
        </w:rPr>
        <w:t> </w:t>
      </w:r>
      <w:r w:rsidRPr="00CB7030">
        <w:rPr>
          <w:rFonts w:asciiTheme="majorHAnsi" w:hAnsiTheme="majorHAnsi"/>
          <w:szCs w:val="22"/>
          <w:lang w:eastAsia="cs-CZ"/>
        </w:rPr>
        <w:t xml:space="preserve">začlenenie ľudí do trhu práce. V nadväzujúcich </w:t>
      </w:r>
      <w:r w:rsidR="00BE44F3">
        <w:rPr>
          <w:rFonts w:asciiTheme="majorHAnsi" w:hAnsiTheme="majorHAnsi"/>
          <w:szCs w:val="22"/>
          <w:lang w:eastAsia="cs-CZ"/>
        </w:rPr>
        <w:t xml:space="preserve">programoch </w:t>
      </w:r>
      <w:r>
        <w:rPr>
          <w:rFonts w:asciiTheme="majorHAnsi" w:hAnsiTheme="majorHAnsi"/>
          <w:szCs w:val="22"/>
          <w:lang w:eastAsia="cs-CZ"/>
        </w:rPr>
        <w:t xml:space="preserve">na roky 2014 – 2020 </w:t>
      </w:r>
      <w:r w:rsidRPr="00CB7030">
        <w:rPr>
          <w:rFonts w:asciiTheme="majorHAnsi" w:hAnsiTheme="majorHAnsi"/>
          <w:szCs w:val="22"/>
          <w:lang w:eastAsia="cs-CZ"/>
        </w:rPr>
        <w:t>by bolo potrebné rozpracovať dopady plánovaných opatrení</w:t>
      </w:r>
      <w:r w:rsidR="007B1727">
        <w:rPr>
          <w:rFonts w:asciiTheme="majorHAnsi" w:hAnsiTheme="majorHAnsi"/>
          <w:szCs w:val="22"/>
          <w:lang w:eastAsia="cs-CZ"/>
        </w:rPr>
        <w:t xml:space="preserve"> na ľudské zdroje</w:t>
      </w:r>
      <w:r w:rsidR="00F1319D">
        <w:rPr>
          <w:rFonts w:asciiTheme="majorHAnsi" w:hAnsiTheme="majorHAnsi"/>
          <w:szCs w:val="22"/>
          <w:lang w:eastAsia="cs-CZ"/>
        </w:rPr>
        <w:t>.</w:t>
      </w:r>
      <w:r w:rsidR="007B1727">
        <w:rPr>
          <w:rFonts w:asciiTheme="majorHAnsi" w:hAnsiTheme="majorHAnsi"/>
          <w:szCs w:val="22"/>
          <w:lang w:eastAsia="cs-CZ"/>
        </w:rPr>
        <w:t xml:space="preserve"> </w:t>
      </w:r>
      <w:r w:rsidRPr="00CB7030">
        <w:rPr>
          <w:rFonts w:asciiTheme="majorHAnsi" w:hAnsiTheme="majorHAnsi"/>
          <w:szCs w:val="22"/>
          <w:lang w:eastAsia="cs-CZ"/>
        </w:rPr>
        <w:t>Napríklad</w:t>
      </w:r>
      <w:r>
        <w:rPr>
          <w:rFonts w:asciiTheme="majorHAnsi" w:hAnsiTheme="majorHAnsi"/>
          <w:szCs w:val="22"/>
          <w:lang w:eastAsia="cs-CZ"/>
        </w:rPr>
        <w:t>,</w:t>
      </w:r>
      <w:r w:rsidRPr="00CB7030">
        <w:rPr>
          <w:rFonts w:asciiTheme="majorHAnsi" w:hAnsiTheme="majorHAnsi"/>
          <w:szCs w:val="22"/>
          <w:lang w:eastAsia="cs-CZ"/>
        </w:rPr>
        <w:t xml:space="preserve"> v</w:t>
      </w:r>
      <w:r w:rsidR="009F46C1">
        <w:rPr>
          <w:rFonts w:asciiTheme="majorHAnsi" w:hAnsiTheme="majorHAnsi"/>
          <w:szCs w:val="22"/>
          <w:lang w:eastAsia="cs-CZ"/>
        </w:rPr>
        <w:t> </w:t>
      </w:r>
      <w:r w:rsidRPr="00CB7030">
        <w:rPr>
          <w:rFonts w:asciiTheme="majorHAnsi" w:hAnsiTheme="majorHAnsi"/>
          <w:szCs w:val="22"/>
          <w:lang w:eastAsia="cs-CZ"/>
        </w:rPr>
        <w:t>oblasti</w:t>
      </w:r>
      <w:r w:rsidR="009F46C1">
        <w:rPr>
          <w:rFonts w:asciiTheme="majorHAnsi" w:hAnsiTheme="majorHAnsi"/>
          <w:szCs w:val="22"/>
          <w:lang w:eastAsia="cs-CZ"/>
        </w:rPr>
        <w:t xml:space="preserve"> VS</w:t>
      </w:r>
      <w:r w:rsidRPr="00CB7030">
        <w:rPr>
          <w:rFonts w:asciiTheme="majorHAnsi" w:hAnsiTheme="majorHAnsi"/>
          <w:szCs w:val="22"/>
          <w:lang w:eastAsia="cs-CZ"/>
        </w:rPr>
        <w:t xml:space="preserve"> povedú plánované opatrenia zamerané na zvyšovanie výkonnosti k</w:t>
      </w:r>
      <w:r w:rsidR="009F46C1">
        <w:rPr>
          <w:rFonts w:asciiTheme="majorHAnsi" w:hAnsiTheme="majorHAnsi"/>
          <w:szCs w:val="22"/>
          <w:lang w:eastAsia="cs-CZ"/>
        </w:rPr>
        <w:t> </w:t>
      </w:r>
      <w:r w:rsidRPr="00CB7030">
        <w:rPr>
          <w:rFonts w:asciiTheme="majorHAnsi" w:hAnsiTheme="majorHAnsi"/>
          <w:szCs w:val="22"/>
          <w:lang w:eastAsia="cs-CZ"/>
        </w:rPr>
        <w:t xml:space="preserve">zníženiu celkovej zamestnanosti. Dotkne sa predovšetkým starších pracovníkov, ktorí dnes tvoria väčšinu zamestnancov </w:t>
      </w:r>
      <w:r w:rsidR="009F46C1">
        <w:rPr>
          <w:rFonts w:asciiTheme="majorHAnsi" w:hAnsiTheme="majorHAnsi"/>
          <w:szCs w:val="22"/>
          <w:lang w:eastAsia="cs-CZ"/>
        </w:rPr>
        <w:t>VS</w:t>
      </w:r>
      <w:r w:rsidRPr="00CB7030">
        <w:rPr>
          <w:rFonts w:asciiTheme="majorHAnsi" w:hAnsiTheme="majorHAnsi"/>
          <w:szCs w:val="22"/>
          <w:lang w:eastAsia="cs-CZ"/>
        </w:rPr>
        <w:t>. Tvorba pracovných miest by mala byť prierezovou prioritou. Intervencie by mali byť realizované takým spôsobom, aby primárne a</w:t>
      </w:r>
      <w:r w:rsidR="009F46C1">
        <w:rPr>
          <w:rFonts w:asciiTheme="majorHAnsi" w:hAnsiTheme="majorHAnsi"/>
          <w:szCs w:val="22"/>
          <w:lang w:eastAsia="cs-CZ"/>
        </w:rPr>
        <w:t> </w:t>
      </w:r>
      <w:r w:rsidRPr="00CB7030">
        <w:rPr>
          <w:rFonts w:asciiTheme="majorHAnsi" w:hAnsiTheme="majorHAnsi"/>
          <w:szCs w:val="22"/>
          <w:lang w:eastAsia="cs-CZ"/>
        </w:rPr>
        <w:t>tam, kde je to možné, vytvárali pracovné miesta. Pr</w:t>
      </w:r>
      <w:r>
        <w:rPr>
          <w:rFonts w:asciiTheme="majorHAnsi" w:hAnsiTheme="majorHAnsi"/>
          <w:szCs w:val="22"/>
          <w:lang w:eastAsia="cs-CZ"/>
        </w:rPr>
        <w:t>e</w:t>
      </w:r>
      <w:r w:rsidRPr="00CB7030">
        <w:rPr>
          <w:rFonts w:asciiTheme="majorHAnsi" w:hAnsiTheme="majorHAnsi"/>
          <w:szCs w:val="22"/>
          <w:lang w:eastAsia="cs-CZ"/>
        </w:rPr>
        <w:t xml:space="preserve"> napĺňan</w:t>
      </w:r>
      <w:r>
        <w:rPr>
          <w:rFonts w:asciiTheme="majorHAnsi" w:hAnsiTheme="majorHAnsi"/>
          <w:szCs w:val="22"/>
          <w:lang w:eastAsia="cs-CZ"/>
        </w:rPr>
        <w:t>ie</w:t>
      </w:r>
      <w:r w:rsidRPr="00CB7030">
        <w:rPr>
          <w:rFonts w:asciiTheme="majorHAnsi" w:hAnsiTheme="majorHAnsi"/>
          <w:szCs w:val="22"/>
          <w:lang w:eastAsia="cs-CZ"/>
        </w:rPr>
        <w:t xml:space="preserve"> cieľa inkluzívneho rastu bude problémom hlavne regionálny rozmer. Navrhované intervencie bude potre</w:t>
      </w:r>
      <w:r>
        <w:rPr>
          <w:rFonts w:asciiTheme="majorHAnsi" w:hAnsiTheme="majorHAnsi"/>
          <w:szCs w:val="22"/>
          <w:lang w:eastAsia="cs-CZ"/>
        </w:rPr>
        <w:t>bné v </w:t>
      </w:r>
      <w:r w:rsidR="00A45C23">
        <w:rPr>
          <w:rFonts w:asciiTheme="majorHAnsi" w:hAnsiTheme="majorHAnsi"/>
          <w:szCs w:val="22"/>
          <w:lang w:eastAsia="cs-CZ"/>
        </w:rPr>
        <w:t xml:space="preserve">programoch </w:t>
      </w:r>
      <w:r>
        <w:rPr>
          <w:rFonts w:asciiTheme="majorHAnsi" w:hAnsiTheme="majorHAnsi"/>
          <w:szCs w:val="22"/>
          <w:lang w:eastAsia="cs-CZ"/>
        </w:rPr>
        <w:t xml:space="preserve">na roky 2014 </w:t>
      </w:r>
      <w:r w:rsidR="009F46C1">
        <w:rPr>
          <w:rFonts w:asciiTheme="majorHAnsi" w:hAnsiTheme="majorHAnsi"/>
          <w:szCs w:val="22"/>
          <w:lang w:eastAsia="cs-CZ"/>
        </w:rPr>
        <w:t>–</w:t>
      </w:r>
      <w:r>
        <w:rPr>
          <w:rFonts w:asciiTheme="majorHAnsi" w:hAnsiTheme="majorHAnsi"/>
          <w:szCs w:val="22"/>
          <w:lang w:eastAsia="cs-CZ"/>
        </w:rPr>
        <w:t xml:space="preserve"> 2020</w:t>
      </w:r>
      <w:r w:rsidR="009F46C1">
        <w:rPr>
          <w:rFonts w:asciiTheme="majorHAnsi" w:hAnsiTheme="majorHAnsi"/>
          <w:szCs w:val="22"/>
          <w:lang w:eastAsia="cs-CZ"/>
        </w:rPr>
        <w:t xml:space="preserve"> </w:t>
      </w:r>
      <w:r w:rsidRPr="00CB7030">
        <w:rPr>
          <w:rFonts w:asciiTheme="majorHAnsi" w:hAnsiTheme="majorHAnsi"/>
          <w:szCs w:val="22"/>
          <w:lang w:eastAsia="cs-CZ"/>
        </w:rPr>
        <w:t>realizovať tak, aby sa prioritne zamerali na zmierňovanie regionálnych disparít v SR a</w:t>
      </w:r>
      <w:r w:rsidR="006B5CFF">
        <w:rPr>
          <w:rFonts w:asciiTheme="majorHAnsi" w:hAnsiTheme="majorHAnsi"/>
          <w:szCs w:val="22"/>
          <w:lang w:eastAsia="cs-CZ"/>
        </w:rPr>
        <w:t> </w:t>
      </w:r>
      <w:r w:rsidRPr="00CB7030">
        <w:rPr>
          <w:rFonts w:asciiTheme="majorHAnsi" w:hAnsiTheme="majorHAnsi"/>
          <w:szCs w:val="22"/>
          <w:lang w:eastAsia="cs-CZ"/>
        </w:rPr>
        <w:t>diferencovaného prístupu k</w:t>
      </w:r>
      <w:r w:rsidR="009F46C1">
        <w:rPr>
          <w:rFonts w:asciiTheme="majorHAnsi" w:hAnsiTheme="majorHAnsi"/>
          <w:szCs w:val="22"/>
          <w:lang w:eastAsia="cs-CZ"/>
        </w:rPr>
        <w:t> </w:t>
      </w:r>
      <w:r w:rsidRPr="00CB7030">
        <w:rPr>
          <w:rFonts w:asciiTheme="majorHAnsi" w:hAnsiTheme="majorHAnsi"/>
          <w:szCs w:val="22"/>
          <w:lang w:eastAsia="cs-CZ"/>
        </w:rPr>
        <w:t xml:space="preserve">jednotlivým typom regiónov. Nadväzujúce </w:t>
      </w:r>
      <w:r w:rsidR="00A45C23">
        <w:rPr>
          <w:rFonts w:asciiTheme="majorHAnsi" w:hAnsiTheme="majorHAnsi"/>
          <w:szCs w:val="22"/>
          <w:lang w:eastAsia="cs-CZ"/>
        </w:rPr>
        <w:t xml:space="preserve">programy </w:t>
      </w:r>
      <w:r w:rsidRPr="00CB7030">
        <w:rPr>
          <w:rFonts w:asciiTheme="majorHAnsi" w:hAnsiTheme="majorHAnsi"/>
          <w:szCs w:val="22"/>
          <w:lang w:eastAsia="cs-CZ"/>
        </w:rPr>
        <w:t>by tiež mali obsahovať samostatnú analýzu regionálnych problémov, identifikáciu rozvojových možností regiónov a</w:t>
      </w:r>
      <w:r w:rsidR="009F46C1">
        <w:rPr>
          <w:rFonts w:asciiTheme="majorHAnsi" w:hAnsiTheme="majorHAnsi"/>
          <w:szCs w:val="22"/>
          <w:lang w:eastAsia="cs-CZ"/>
        </w:rPr>
        <w:t> </w:t>
      </w:r>
      <w:r w:rsidRPr="00CB7030">
        <w:rPr>
          <w:rFonts w:asciiTheme="majorHAnsi" w:hAnsiTheme="majorHAnsi"/>
          <w:szCs w:val="22"/>
          <w:lang w:eastAsia="cs-CZ"/>
        </w:rPr>
        <w:t>regionálne diferencované stratégie.</w:t>
      </w:r>
    </w:p>
    <w:p w:rsidR="0021713D" w:rsidRPr="00CB7030" w:rsidRDefault="0021713D" w:rsidP="0021713D">
      <w:pPr>
        <w:rPr>
          <w:rFonts w:asciiTheme="majorHAnsi" w:hAnsiTheme="majorHAnsi"/>
          <w:szCs w:val="22"/>
          <w:lang w:eastAsia="cs-CZ"/>
        </w:rPr>
      </w:pPr>
      <w:r w:rsidRPr="00CB7030">
        <w:rPr>
          <w:rFonts w:asciiTheme="majorHAnsi" w:hAnsiTheme="majorHAnsi"/>
          <w:szCs w:val="22"/>
          <w:lang w:eastAsia="cs-CZ"/>
        </w:rPr>
        <w:t>Teritoriálna dimenzia PD</w:t>
      </w:r>
      <w:r>
        <w:rPr>
          <w:rFonts w:asciiTheme="majorHAnsi" w:hAnsiTheme="majorHAnsi"/>
          <w:szCs w:val="22"/>
          <w:lang w:eastAsia="cs-CZ"/>
        </w:rPr>
        <w:t xml:space="preserve"> SR</w:t>
      </w:r>
      <w:r w:rsidRPr="00CB7030">
        <w:rPr>
          <w:rFonts w:asciiTheme="majorHAnsi" w:hAnsiTheme="majorHAnsi"/>
          <w:szCs w:val="22"/>
          <w:lang w:eastAsia="cs-CZ"/>
        </w:rPr>
        <w:t xml:space="preserve"> je navrhnutá na základe územnej koncentrácie intervencií do jednotlivých typov centier osídlenia (systém KURS). Tento systém by bolo potrebné v</w:t>
      </w:r>
      <w:r>
        <w:rPr>
          <w:rFonts w:asciiTheme="majorHAnsi" w:hAnsiTheme="majorHAnsi"/>
          <w:szCs w:val="22"/>
          <w:lang w:eastAsia="cs-CZ"/>
        </w:rPr>
        <w:t> </w:t>
      </w:r>
      <w:r w:rsidR="00A45C23">
        <w:rPr>
          <w:rFonts w:asciiTheme="majorHAnsi" w:hAnsiTheme="majorHAnsi"/>
          <w:szCs w:val="22"/>
          <w:lang w:eastAsia="cs-CZ"/>
        </w:rPr>
        <w:t xml:space="preserve">programoch </w:t>
      </w:r>
      <w:r>
        <w:rPr>
          <w:rFonts w:asciiTheme="majorHAnsi" w:hAnsiTheme="majorHAnsi"/>
          <w:szCs w:val="22"/>
          <w:lang w:eastAsia="cs-CZ"/>
        </w:rPr>
        <w:t xml:space="preserve">na roky 2014 </w:t>
      </w:r>
      <w:r w:rsidR="006B5CFF">
        <w:rPr>
          <w:rFonts w:asciiTheme="majorHAnsi" w:hAnsiTheme="majorHAnsi"/>
          <w:szCs w:val="22"/>
          <w:lang w:eastAsia="cs-CZ"/>
        </w:rPr>
        <w:t>–</w:t>
      </w:r>
      <w:r>
        <w:rPr>
          <w:rFonts w:asciiTheme="majorHAnsi" w:hAnsiTheme="majorHAnsi"/>
          <w:szCs w:val="22"/>
          <w:lang w:eastAsia="cs-CZ"/>
        </w:rPr>
        <w:t xml:space="preserve"> 2020</w:t>
      </w:r>
      <w:r w:rsidRPr="00CB7030">
        <w:rPr>
          <w:rFonts w:asciiTheme="majorHAnsi" w:hAnsiTheme="majorHAnsi"/>
          <w:szCs w:val="22"/>
          <w:lang w:eastAsia="cs-CZ"/>
        </w:rPr>
        <w:t xml:space="preserve"> rozpracovať na regionálne cielené tematické ciele. Integrovaný prístup k</w:t>
      </w:r>
      <w:r w:rsidR="00561EA9">
        <w:rPr>
          <w:rFonts w:asciiTheme="majorHAnsi" w:hAnsiTheme="majorHAnsi"/>
          <w:szCs w:val="22"/>
          <w:lang w:eastAsia="cs-CZ"/>
        </w:rPr>
        <w:t> </w:t>
      </w:r>
      <w:r w:rsidRPr="00CB7030">
        <w:rPr>
          <w:rFonts w:asciiTheme="majorHAnsi" w:hAnsiTheme="majorHAnsi"/>
          <w:szCs w:val="22"/>
          <w:lang w:eastAsia="cs-CZ"/>
        </w:rPr>
        <w:t>územnému rozvoju je založený na zapojení regionálnych a</w:t>
      </w:r>
      <w:r w:rsidR="00561EA9">
        <w:rPr>
          <w:rFonts w:asciiTheme="majorHAnsi" w:hAnsiTheme="majorHAnsi"/>
          <w:szCs w:val="22"/>
          <w:lang w:eastAsia="cs-CZ"/>
        </w:rPr>
        <w:t> </w:t>
      </w:r>
      <w:r>
        <w:rPr>
          <w:rFonts w:asciiTheme="majorHAnsi" w:hAnsiTheme="majorHAnsi"/>
          <w:szCs w:val="22"/>
          <w:lang w:eastAsia="cs-CZ"/>
        </w:rPr>
        <w:t>miestnych</w:t>
      </w:r>
      <w:r w:rsidRPr="00CB7030">
        <w:rPr>
          <w:rFonts w:asciiTheme="majorHAnsi" w:hAnsiTheme="majorHAnsi"/>
          <w:szCs w:val="22"/>
          <w:lang w:eastAsia="cs-CZ"/>
        </w:rPr>
        <w:t xml:space="preserve"> aktérov do riešenia problémov, čo je dôležitý prvok endogénneho rozvoja. Dve kľúčové výzvy pre </w:t>
      </w:r>
      <w:r>
        <w:rPr>
          <w:rFonts w:asciiTheme="majorHAnsi" w:hAnsiTheme="majorHAnsi"/>
          <w:szCs w:val="22"/>
          <w:lang w:eastAsia="cs-CZ"/>
        </w:rPr>
        <w:t>SR</w:t>
      </w:r>
      <w:r w:rsidRPr="00CE5A9E" w:rsidDel="00CE5A9E">
        <w:rPr>
          <w:rFonts w:asciiTheme="majorHAnsi" w:hAnsiTheme="majorHAnsi"/>
          <w:szCs w:val="22"/>
          <w:lang w:eastAsia="cs-CZ"/>
        </w:rPr>
        <w:t xml:space="preserve"> </w:t>
      </w:r>
      <w:r w:rsidRPr="00CB7030">
        <w:rPr>
          <w:rFonts w:asciiTheme="majorHAnsi" w:hAnsiTheme="majorHAnsi"/>
          <w:szCs w:val="22"/>
          <w:lang w:eastAsia="cs-CZ"/>
        </w:rPr>
        <w:t>budú v</w:t>
      </w:r>
      <w:r>
        <w:rPr>
          <w:rFonts w:asciiTheme="majorHAnsi" w:hAnsiTheme="majorHAnsi"/>
          <w:szCs w:val="22"/>
          <w:lang w:eastAsia="cs-CZ"/>
        </w:rPr>
        <w:t xml:space="preserve"> oblasti </w:t>
      </w:r>
      <w:r w:rsidRPr="00CB7030">
        <w:rPr>
          <w:rFonts w:asciiTheme="majorHAnsi" w:hAnsiTheme="majorHAnsi"/>
          <w:szCs w:val="22"/>
          <w:lang w:eastAsia="cs-CZ"/>
        </w:rPr>
        <w:t>zamestnanosti mladých ľudí a</w:t>
      </w:r>
      <w:r w:rsidR="00561EA9">
        <w:rPr>
          <w:rFonts w:asciiTheme="majorHAnsi" w:hAnsiTheme="majorHAnsi"/>
          <w:szCs w:val="22"/>
          <w:lang w:eastAsia="cs-CZ"/>
        </w:rPr>
        <w:t> </w:t>
      </w:r>
      <w:r w:rsidRPr="00CB7030">
        <w:rPr>
          <w:rFonts w:asciiTheme="majorHAnsi" w:hAnsiTheme="majorHAnsi"/>
          <w:szCs w:val="22"/>
          <w:lang w:eastAsia="cs-CZ"/>
        </w:rPr>
        <w:t>v</w:t>
      </w:r>
      <w:r w:rsidR="009056D8">
        <w:rPr>
          <w:rFonts w:asciiTheme="majorHAnsi" w:hAnsiTheme="majorHAnsi"/>
          <w:szCs w:val="22"/>
          <w:lang w:eastAsia="cs-CZ"/>
        </w:rPr>
        <w:t xml:space="preserve"> oblasti </w:t>
      </w:r>
      <w:r w:rsidR="00561EA9">
        <w:rPr>
          <w:rFonts w:asciiTheme="majorHAnsi" w:hAnsiTheme="majorHAnsi"/>
          <w:szCs w:val="22"/>
          <w:lang w:eastAsia="cs-CZ"/>
        </w:rPr>
        <w:t>integrovaného</w:t>
      </w:r>
      <w:r w:rsidR="00561EA9" w:rsidRPr="00CB7030">
        <w:rPr>
          <w:rFonts w:asciiTheme="majorHAnsi" w:hAnsiTheme="majorHAnsi"/>
          <w:szCs w:val="22"/>
          <w:lang w:eastAsia="cs-CZ"/>
        </w:rPr>
        <w:t xml:space="preserve"> </w:t>
      </w:r>
      <w:r w:rsidRPr="00CB7030">
        <w:rPr>
          <w:rFonts w:asciiTheme="majorHAnsi" w:hAnsiTheme="majorHAnsi"/>
          <w:szCs w:val="22"/>
          <w:lang w:eastAsia="cs-CZ"/>
        </w:rPr>
        <w:t>prístup</w:t>
      </w:r>
      <w:r>
        <w:rPr>
          <w:rFonts w:asciiTheme="majorHAnsi" w:hAnsiTheme="majorHAnsi"/>
          <w:szCs w:val="22"/>
          <w:lang w:eastAsia="cs-CZ"/>
        </w:rPr>
        <w:t>u</w:t>
      </w:r>
      <w:r w:rsidRPr="00CB7030">
        <w:rPr>
          <w:rFonts w:asciiTheme="majorHAnsi" w:hAnsiTheme="majorHAnsi"/>
          <w:szCs w:val="22"/>
          <w:lang w:eastAsia="cs-CZ"/>
        </w:rPr>
        <w:t xml:space="preserve"> k</w:t>
      </w:r>
      <w:r w:rsidR="00561EA9">
        <w:rPr>
          <w:rFonts w:asciiTheme="majorHAnsi" w:hAnsiTheme="majorHAnsi"/>
          <w:szCs w:val="22"/>
          <w:lang w:eastAsia="cs-CZ"/>
        </w:rPr>
        <w:t> </w:t>
      </w:r>
      <w:r w:rsidRPr="00CB7030">
        <w:rPr>
          <w:rFonts w:asciiTheme="majorHAnsi" w:hAnsiTheme="majorHAnsi"/>
          <w:szCs w:val="22"/>
          <w:lang w:eastAsia="cs-CZ"/>
        </w:rPr>
        <w:t>inklúzii MRK. PD</w:t>
      </w:r>
      <w:r>
        <w:rPr>
          <w:rFonts w:asciiTheme="majorHAnsi" w:hAnsiTheme="majorHAnsi"/>
          <w:szCs w:val="22"/>
          <w:lang w:eastAsia="cs-CZ"/>
        </w:rPr>
        <w:t xml:space="preserve"> SR</w:t>
      </w:r>
      <w:r w:rsidRPr="00CB7030">
        <w:rPr>
          <w:rFonts w:asciiTheme="majorHAnsi" w:hAnsiTheme="majorHAnsi"/>
          <w:szCs w:val="22"/>
          <w:lang w:eastAsia="cs-CZ"/>
        </w:rPr>
        <w:t xml:space="preserve"> tieto priority identifikuje, ale súčasné nastavenie môže čeliť problémom pri </w:t>
      </w:r>
      <w:r>
        <w:rPr>
          <w:rFonts w:asciiTheme="majorHAnsi" w:hAnsiTheme="majorHAnsi"/>
          <w:szCs w:val="22"/>
          <w:lang w:eastAsia="cs-CZ"/>
        </w:rPr>
        <w:t xml:space="preserve">záujme </w:t>
      </w:r>
      <w:r w:rsidRPr="00CB7030">
        <w:rPr>
          <w:rFonts w:asciiTheme="majorHAnsi" w:hAnsiTheme="majorHAnsi"/>
          <w:szCs w:val="22"/>
          <w:lang w:eastAsia="cs-CZ"/>
        </w:rPr>
        <w:t>zvyšova</w:t>
      </w:r>
      <w:r>
        <w:rPr>
          <w:rFonts w:asciiTheme="majorHAnsi" w:hAnsiTheme="majorHAnsi"/>
          <w:szCs w:val="22"/>
          <w:lang w:eastAsia="cs-CZ"/>
        </w:rPr>
        <w:t>ť</w:t>
      </w:r>
      <w:r w:rsidRPr="00CB7030">
        <w:rPr>
          <w:rFonts w:asciiTheme="majorHAnsi" w:hAnsiTheme="majorHAnsi"/>
          <w:szCs w:val="22"/>
          <w:lang w:eastAsia="cs-CZ"/>
        </w:rPr>
        <w:t xml:space="preserve"> zamestnanos</w:t>
      </w:r>
      <w:r>
        <w:rPr>
          <w:rFonts w:asciiTheme="majorHAnsi" w:hAnsiTheme="majorHAnsi"/>
          <w:szCs w:val="22"/>
          <w:lang w:eastAsia="cs-CZ"/>
        </w:rPr>
        <w:t>ť</w:t>
      </w:r>
      <w:r w:rsidRPr="00CB7030">
        <w:rPr>
          <w:rFonts w:asciiTheme="majorHAnsi" w:hAnsiTheme="majorHAnsi"/>
          <w:szCs w:val="22"/>
          <w:lang w:eastAsia="cs-CZ"/>
        </w:rPr>
        <w:t>, najmä u</w:t>
      </w:r>
      <w:r w:rsidR="00561EA9">
        <w:rPr>
          <w:rFonts w:asciiTheme="majorHAnsi" w:hAnsiTheme="majorHAnsi"/>
          <w:szCs w:val="22"/>
          <w:lang w:eastAsia="cs-CZ"/>
        </w:rPr>
        <w:t> </w:t>
      </w:r>
      <w:r w:rsidRPr="00CB7030">
        <w:rPr>
          <w:rFonts w:asciiTheme="majorHAnsi" w:hAnsiTheme="majorHAnsi"/>
          <w:szCs w:val="22"/>
          <w:lang w:eastAsia="cs-CZ"/>
        </w:rPr>
        <w:t>znevýhodnených skupín (najmä Rómovia, mladí ľudia, dlhodobo nezamestnaní, obyvatelia v</w:t>
      </w:r>
      <w:r w:rsidR="00561EA9">
        <w:rPr>
          <w:rFonts w:asciiTheme="majorHAnsi" w:hAnsiTheme="majorHAnsi"/>
          <w:szCs w:val="22"/>
          <w:lang w:eastAsia="cs-CZ"/>
        </w:rPr>
        <w:t> </w:t>
      </w:r>
      <w:r w:rsidRPr="00CB7030">
        <w:rPr>
          <w:rFonts w:asciiTheme="majorHAnsi" w:hAnsiTheme="majorHAnsi"/>
          <w:szCs w:val="22"/>
          <w:lang w:eastAsia="cs-CZ"/>
        </w:rPr>
        <w:t>regiónoch s</w:t>
      </w:r>
      <w:r w:rsidR="00561EA9">
        <w:rPr>
          <w:rFonts w:asciiTheme="majorHAnsi" w:hAnsiTheme="majorHAnsi"/>
          <w:szCs w:val="22"/>
          <w:lang w:eastAsia="cs-CZ"/>
        </w:rPr>
        <w:t> </w:t>
      </w:r>
      <w:r w:rsidRPr="00CB7030">
        <w:rPr>
          <w:rFonts w:asciiTheme="majorHAnsi" w:hAnsiTheme="majorHAnsi"/>
          <w:szCs w:val="22"/>
          <w:lang w:eastAsia="cs-CZ"/>
        </w:rPr>
        <w:t>vysokou mierou nezamestnanosti). Pre naplnenie cieľa zvýšenia zamestnanosti treba zvážiť, akým spôsobom pri každ</w:t>
      </w:r>
      <w:r>
        <w:rPr>
          <w:rFonts w:asciiTheme="majorHAnsi" w:hAnsiTheme="majorHAnsi"/>
          <w:szCs w:val="22"/>
          <w:lang w:eastAsia="cs-CZ"/>
        </w:rPr>
        <w:t>ej operácii</w:t>
      </w:r>
      <w:r w:rsidRPr="00CB7030">
        <w:rPr>
          <w:rFonts w:asciiTheme="majorHAnsi" w:hAnsiTheme="majorHAnsi"/>
          <w:szCs w:val="22"/>
          <w:lang w:eastAsia="cs-CZ"/>
        </w:rPr>
        <w:t xml:space="preserve"> </w:t>
      </w:r>
      <w:r>
        <w:rPr>
          <w:rFonts w:asciiTheme="majorHAnsi" w:hAnsiTheme="majorHAnsi"/>
          <w:szCs w:val="22"/>
          <w:lang w:eastAsia="cs-CZ"/>
        </w:rPr>
        <w:t xml:space="preserve">v rámci </w:t>
      </w:r>
      <w:r w:rsidR="00A45C23">
        <w:rPr>
          <w:rFonts w:asciiTheme="majorHAnsi" w:hAnsiTheme="majorHAnsi"/>
          <w:szCs w:val="22"/>
          <w:lang w:eastAsia="cs-CZ"/>
        </w:rPr>
        <w:t xml:space="preserve">programov </w:t>
      </w:r>
      <w:r>
        <w:rPr>
          <w:rFonts w:asciiTheme="majorHAnsi" w:hAnsiTheme="majorHAnsi"/>
          <w:szCs w:val="22"/>
          <w:lang w:eastAsia="cs-CZ"/>
        </w:rPr>
        <w:t xml:space="preserve">na roky 2014 – 2020 </w:t>
      </w:r>
      <w:r w:rsidRPr="00CB7030">
        <w:rPr>
          <w:rFonts w:asciiTheme="majorHAnsi" w:hAnsiTheme="majorHAnsi"/>
          <w:szCs w:val="22"/>
          <w:lang w:eastAsia="cs-CZ"/>
        </w:rPr>
        <w:t>stanoviť zamestnanosť</w:t>
      </w:r>
      <w:r>
        <w:rPr>
          <w:rFonts w:asciiTheme="majorHAnsi" w:hAnsiTheme="majorHAnsi"/>
          <w:szCs w:val="22"/>
          <w:lang w:eastAsia="cs-CZ"/>
        </w:rPr>
        <w:t>,</w:t>
      </w:r>
      <w:r w:rsidRPr="00CB7030">
        <w:rPr>
          <w:rFonts w:asciiTheme="majorHAnsi" w:hAnsiTheme="majorHAnsi"/>
          <w:szCs w:val="22"/>
          <w:lang w:eastAsia="cs-CZ"/>
        </w:rPr>
        <w:t xml:space="preserve"> ako jedno z</w:t>
      </w:r>
      <w:r w:rsidR="00561EA9">
        <w:rPr>
          <w:rFonts w:asciiTheme="majorHAnsi" w:hAnsiTheme="majorHAnsi"/>
          <w:szCs w:val="22"/>
          <w:lang w:eastAsia="cs-CZ"/>
        </w:rPr>
        <w:t> </w:t>
      </w:r>
      <w:r w:rsidRPr="00CB7030">
        <w:rPr>
          <w:rFonts w:asciiTheme="majorHAnsi" w:hAnsiTheme="majorHAnsi"/>
          <w:szCs w:val="22"/>
          <w:lang w:eastAsia="cs-CZ"/>
        </w:rPr>
        <w:t>hlavných kritérií. Možnosťou je plánované zapracovanie sociálneho aspektu pri verejnom obstarávaní</w:t>
      </w:r>
      <w:r>
        <w:rPr>
          <w:rFonts w:asciiTheme="majorHAnsi" w:hAnsiTheme="majorHAnsi"/>
          <w:szCs w:val="22"/>
          <w:lang w:eastAsia="cs-CZ"/>
        </w:rPr>
        <w:t>, a</w:t>
      </w:r>
      <w:r w:rsidR="00561EA9">
        <w:rPr>
          <w:rFonts w:asciiTheme="majorHAnsi" w:hAnsiTheme="majorHAnsi"/>
          <w:szCs w:val="22"/>
          <w:lang w:eastAsia="cs-CZ"/>
        </w:rPr>
        <w:t> </w:t>
      </w:r>
      <w:r>
        <w:rPr>
          <w:rFonts w:asciiTheme="majorHAnsi" w:hAnsiTheme="majorHAnsi"/>
          <w:szCs w:val="22"/>
          <w:lang w:eastAsia="cs-CZ"/>
        </w:rPr>
        <w:t>to</w:t>
      </w:r>
      <w:r w:rsidRPr="00CB7030">
        <w:rPr>
          <w:rFonts w:asciiTheme="majorHAnsi" w:hAnsiTheme="majorHAnsi"/>
          <w:szCs w:val="22"/>
          <w:lang w:eastAsia="cs-CZ"/>
        </w:rPr>
        <w:t xml:space="preserve"> prostredníctvom ustanovenia o</w:t>
      </w:r>
      <w:r w:rsidR="00561EA9">
        <w:rPr>
          <w:rFonts w:asciiTheme="majorHAnsi" w:hAnsiTheme="majorHAnsi"/>
          <w:szCs w:val="22"/>
          <w:lang w:eastAsia="cs-CZ"/>
        </w:rPr>
        <w:t> </w:t>
      </w:r>
      <w:r w:rsidRPr="00CB7030">
        <w:rPr>
          <w:rFonts w:asciiTheme="majorHAnsi" w:hAnsiTheme="majorHAnsi"/>
          <w:szCs w:val="22"/>
          <w:lang w:eastAsia="cs-CZ"/>
        </w:rPr>
        <w:t xml:space="preserve">plnení zákaziek na podporu zamestnávania </w:t>
      </w:r>
      <w:r w:rsidR="00561EA9">
        <w:rPr>
          <w:rFonts w:asciiTheme="majorHAnsi" w:hAnsiTheme="majorHAnsi"/>
          <w:szCs w:val="22"/>
          <w:lang w:eastAsia="cs-CZ"/>
        </w:rPr>
        <w:t>MRK</w:t>
      </w:r>
      <w:r w:rsidRPr="00CB7030">
        <w:rPr>
          <w:rFonts w:asciiTheme="majorHAnsi" w:hAnsiTheme="majorHAnsi"/>
          <w:szCs w:val="22"/>
          <w:lang w:eastAsia="cs-CZ"/>
        </w:rPr>
        <w:t>. Ex ante hodnotenie identifikuje udržateľnosť vytvorených pracovných miest po skončení financovania</w:t>
      </w:r>
      <w:r>
        <w:rPr>
          <w:rFonts w:asciiTheme="majorHAnsi" w:hAnsiTheme="majorHAnsi"/>
          <w:szCs w:val="22"/>
          <w:lang w:eastAsia="cs-CZ"/>
        </w:rPr>
        <w:t>,</w:t>
      </w:r>
      <w:r w:rsidRPr="00CB7030">
        <w:rPr>
          <w:rFonts w:asciiTheme="majorHAnsi" w:hAnsiTheme="majorHAnsi"/>
          <w:szCs w:val="22"/>
          <w:lang w:eastAsia="cs-CZ"/>
        </w:rPr>
        <w:t xml:space="preserve"> ako kľúčovú výzvu pri implementácii.</w:t>
      </w:r>
    </w:p>
    <w:p w:rsidR="0021713D" w:rsidRPr="00CB7030" w:rsidRDefault="0021713D" w:rsidP="0021713D">
      <w:pPr>
        <w:rPr>
          <w:rFonts w:asciiTheme="majorHAnsi" w:hAnsiTheme="majorHAnsi"/>
          <w:szCs w:val="22"/>
          <w:lang w:eastAsia="cs-CZ"/>
        </w:rPr>
      </w:pPr>
      <w:r w:rsidRPr="00CB7030">
        <w:rPr>
          <w:rFonts w:asciiTheme="majorHAnsi" w:hAnsiTheme="majorHAnsi"/>
          <w:szCs w:val="22"/>
          <w:lang w:eastAsia="cs-CZ"/>
        </w:rPr>
        <w:t xml:space="preserve">Hodnotenie modelom HERMIN, zamerané na kvantifikáciu efektov čerpania </w:t>
      </w:r>
      <w:r>
        <w:rPr>
          <w:rFonts w:asciiTheme="majorHAnsi" w:hAnsiTheme="majorHAnsi"/>
          <w:szCs w:val="22"/>
          <w:lang w:eastAsia="cs-CZ"/>
        </w:rPr>
        <w:t>SR</w:t>
      </w:r>
      <w:r w:rsidRPr="00CE5A9E" w:rsidDel="00CE5A9E">
        <w:rPr>
          <w:rFonts w:asciiTheme="majorHAnsi" w:hAnsiTheme="majorHAnsi"/>
          <w:szCs w:val="22"/>
          <w:lang w:eastAsia="cs-CZ"/>
        </w:rPr>
        <w:t xml:space="preserve"> </w:t>
      </w:r>
      <w:r w:rsidRPr="00CB7030">
        <w:rPr>
          <w:rFonts w:asciiTheme="majorHAnsi" w:hAnsiTheme="majorHAnsi"/>
          <w:szCs w:val="22"/>
          <w:lang w:eastAsia="cs-CZ"/>
        </w:rPr>
        <w:t>z</w:t>
      </w:r>
      <w:r w:rsidR="00561EA9">
        <w:rPr>
          <w:rFonts w:asciiTheme="majorHAnsi" w:hAnsiTheme="majorHAnsi"/>
          <w:szCs w:val="22"/>
          <w:lang w:eastAsia="cs-CZ"/>
        </w:rPr>
        <w:t> </w:t>
      </w:r>
      <w:r w:rsidRPr="00CB7030">
        <w:rPr>
          <w:rFonts w:asciiTheme="majorHAnsi" w:hAnsiTheme="majorHAnsi"/>
          <w:szCs w:val="22"/>
          <w:lang w:eastAsia="cs-CZ"/>
        </w:rPr>
        <w:t>prostriedkov EŠIF v</w:t>
      </w:r>
      <w:r w:rsidR="00561EA9">
        <w:rPr>
          <w:rFonts w:asciiTheme="majorHAnsi" w:hAnsiTheme="majorHAnsi"/>
          <w:szCs w:val="22"/>
          <w:lang w:eastAsia="cs-CZ"/>
        </w:rPr>
        <w:t xml:space="preserve"> programovom </w:t>
      </w:r>
      <w:r w:rsidRPr="00CB7030">
        <w:rPr>
          <w:rFonts w:asciiTheme="majorHAnsi" w:hAnsiTheme="majorHAnsi"/>
          <w:szCs w:val="22"/>
          <w:lang w:eastAsia="cs-CZ"/>
        </w:rPr>
        <w:t>období 2014</w:t>
      </w:r>
      <w:r>
        <w:rPr>
          <w:rFonts w:asciiTheme="majorHAnsi" w:hAnsiTheme="majorHAnsi"/>
          <w:szCs w:val="22"/>
          <w:lang w:eastAsia="cs-CZ"/>
        </w:rPr>
        <w:t xml:space="preserve"> </w:t>
      </w:r>
      <w:r w:rsidR="006B5CFF">
        <w:rPr>
          <w:rFonts w:asciiTheme="majorHAnsi" w:hAnsiTheme="majorHAnsi"/>
          <w:szCs w:val="22"/>
          <w:lang w:eastAsia="cs-CZ"/>
        </w:rPr>
        <w:t>–</w:t>
      </w:r>
      <w:r>
        <w:rPr>
          <w:rFonts w:asciiTheme="majorHAnsi" w:hAnsiTheme="majorHAnsi"/>
          <w:szCs w:val="22"/>
          <w:lang w:eastAsia="cs-CZ"/>
        </w:rPr>
        <w:t xml:space="preserve"> </w:t>
      </w:r>
      <w:r w:rsidRPr="00CB7030">
        <w:rPr>
          <w:rFonts w:asciiTheme="majorHAnsi" w:hAnsiTheme="majorHAnsi"/>
          <w:szCs w:val="22"/>
          <w:lang w:eastAsia="cs-CZ"/>
        </w:rPr>
        <w:t xml:space="preserve">2020 poskytuje ex ante hodnoteniu odhad predpokladaných vplyvov </w:t>
      </w:r>
      <w:r w:rsidRPr="00CB7030">
        <w:rPr>
          <w:rFonts w:asciiTheme="majorHAnsi" w:hAnsiTheme="majorHAnsi"/>
          <w:szCs w:val="22"/>
          <w:lang w:eastAsia="cs-CZ"/>
        </w:rPr>
        <w:lastRenderedPageBreak/>
        <w:t>a dopadov (z dôvodu veľmi hrubých údajov o</w:t>
      </w:r>
      <w:r w:rsidR="00561EA9">
        <w:rPr>
          <w:rFonts w:asciiTheme="majorHAnsi" w:hAnsiTheme="majorHAnsi"/>
          <w:szCs w:val="22"/>
          <w:lang w:eastAsia="cs-CZ"/>
        </w:rPr>
        <w:t> </w:t>
      </w:r>
      <w:r w:rsidRPr="00CB7030">
        <w:rPr>
          <w:rFonts w:asciiTheme="majorHAnsi" w:hAnsiTheme="majorHAnsi"/>
          <w:szCs w:val="22"/>
          <w:lang w:eastAsia="cs-CZ"/>
        </w:rPr>
        <w:t>alokácii prostriedkov je doplnená o</w:t>
      </w:r>
      <w:r w:rsidR="00561EA9">
        <w:rPr>
          <w:rFonts w:asciiTheme="majorHAnsi" w:hAnsiTheme="majorHAnsi"/>
          <w:szCs w:val="22"/>
          <w:lang w:eastAsia="cs-CZ"/>
        </w:rPr>
        <w:t> </w:t>
      </w:r>
      <w:r w:rsidRPr="00CB7030">
        <w:rPr>
          <w:rFonts w:asciiTheme="majorHAnsi" w:hAnsiTheme="majorHAnsi"/>
          <w:szCs w:val="22"/>
          <w:lang w:eastAsia="cs-CZ"/>
        </w:rPr>
        <w:t>viaceré predpoklady). Podľa odhadu bude dodatočný HDP za celé obdobie 14,3 % a kumulatívny multiplikátor na úrovni 1,6 čo sa nevymyká štandardnej úrovni kohéznych krajín. Nepriaznivejšie sú signály z</w:t>
      </w:r>
      <w:r w:rsidR="00561EA9">
        <w:rPr>
          <w:rFonts w:asciiTheme="majorHAnsi" w:hAnsiTheme="majorHAnsi"/>
          <w:szCs w:val="22"/>
          <w:lang w:eastAsia="cs-CZ"/>
        </w:rPr>
        <w:t> </w:t>
      </w:r>
      <w:r w:rsidRPr="00CB7030">
        <w:rPr>
          <w:rFonts w:asciiTheme="majorHAnsi" w:hAnsiTheme="majorHAnsi"/>
          <w:szCs w:val="22"/>
          <w:lang w:eastAsia="cs-CZ"/>
        </w:rPr>
        <w:t>pohľadu vývoja detailnejších ukazovateľov. Ex ante hodnotenie prichádza k záveru, že vplyvom čerpania prostriedkov z</w:t>
      </w:r>
      <w:r w:rsidR="00561EA9">
        <w:rPr>
          <w:rFonts w:asciiTheme="majorHAnsi" w:hAnsiTheme="majorHAnsi"/>
          <w:szCs w:val="22"/>
          <w:lang w:eastAsia="cs-CZ"/>
        </w:rPr>
        <w:t> </w:t>
      </w:r>
      <w:r w:rsidRPr="00CB7030">
        <w:rPr>
          <w:rFonts w:asciiTheme="majorHAnsi" w:hAnsiTheme="majorHAnsi"/>
          <w:szCs w:val="22"/>
          <w:lang w:eastAsia="cs-CZ"/>
        </w:rPr>
        <w:t>EŠIF sa bude dariť zvyšovať zamestnanosť, avšak za cenu klesajúcej dynamiky produktivity a</w:t>
      </w:r>
      <w:r w:rsidR="00561EA9">
        <w:rPr>
          <w:rFonts w:asciiTheme="majorHAnsi" w:hAnsiTheme="majorHAnsi"/>
          <w:szCs w:val="22"/>
          <w:lang w:eastAsia="cs-CZ"/>
        </w:rPr>
        <w:t> </w:t>
      </w:r>
      <w:r w:rsidRPr="00CB7030">
        <w:rPr>
          <w:rFonts w:asciiTheme="majorHAnsi" w:hAnsiTheme="majorHAnsi"/>
          <w:szCs w:val="22"/>
          <w:lang w:eastAsia="cs-CZ"/>
        </w:rPr>
        <w:t>reálnej</w:t>
      </w:r>
      <w:r w:rsidR="00561EA9">
        <w:rPr>
          <w:rFonts w:asciiTheme="majorHAnsi" w:hAnsiTheme="majorHAnsi"/>
          <w:szCs w:val="22"/>
          <w:lang w:eastAsia="cs-CZ"/>
        </w:rPr>
        <w:t xml:space="preserve"> </w:t>
      </w:r>
      <w:r w:rsidRPr="00CB7030">
        <w:rPr>
          <w:rFonts w:asciiTheme="majorHAnsi" w:hAnsiTheme="majorHAnsi"/>
          <w:szCs w:val="22"/>
          <w:lang w:eastAsia="cs-CZ"/>
        </w:rPr>
        <w:t>mzdy, t</w:t>
      </w:r>
      <w:r>
        <w:rPr>
          <w:rFonts w:asciiTheme="majorHAnsi" w:hAnsiTheme="majorHAnsi"/>
          <w:szCs w:val="22"/>
          <w:lang w:eastAsia="cs-CZ"/>
        </w:rPr>
        <w:t>eda</w:t>
      </w:r>
      <w:r w:rsidRPr="00CB7030">
        <w:rPr>
          <w:rFonts w:asciiTheme="majorHAnsi" w:hAnsiTheme="majorHAnsi"/>
          <w:szCs w:val="22"/>
          <w:lang w:eastAsia="cs-CZ"/>
        </w:rPr>
        <w:t xml:space="preserve"> za cenu reálnej konvergencie. Prírastok kapitálu bez výraznej dynamiky môže signalizovať, že investície do dopravnej infraštruktúry v horizonte prognózy nevyvolajú masívne sekundárne investície do produkcie. Podobne môžu stagnovať aj dodatočné daňové príjmy. Pri použití alokácií z EŠIF v navrhovanej štruktúre </w:t>
      </w:r>
      <w:r>
        <w:rPr>
          <w:rFonts w:asciiTheme="majorHAnsi" w:hAnsiTheme="majorHAnsi"/>
          <w:szCs w:val="22"/>
          <w:lang w:eastAsia="cs-CZ"/>
        </w:rPr>
        <w:t xml:space="preserve">sa </w:t>
      </w:r>
      <w:r w:rsidRPr="00CB7030">
        <w:rPr>
          <w:rFonts w:asciiTheme="majorHAnsi" w:hAnsiTheme="majorHAnsi"/>
          <w:szCs w:val="22"/>
          <w:lang w:eastAsia="cs-CZ"/>
        </w:rPr>
        <w:t xml:space="preserve">predpokladá priemerný medziročný </w:t>
      </w:r>
      <w:r w:rsidR="00DE1206">
        <w:rPr>
          <w:rFonts w:asciiTheme="majorHAnsi" w:hAnsiTheme="majorHAnsi"/>
          <w:szCs w:val="22"/>
          <w:lang w:eastAsia="cs-CZ"/>
        </w:rPr>
        <w:t>prírastok</w:t>
      </w:r>
      <w:r w:rsidR="00DE1206" w:rsidRPr="00CB7030">
        <w:rPr>
          <w:rFonts w:asciiTheme="majorHAnsi" w:hAnsiTheme="majorHAnsi"/>
          <w:szCs w:val="22"/>
          <w:lang w:eastAsia="cs-CZ"/>
        </w:rPr>
        <w:t xml:space="preserve"> </w:t>
      </w:r>
      <w:r w:rsidRPr="00CB7030">
        <w:rPr>
          <w:rFonts w:asciiTheme="majorHAnsi" w:hAnsiTheme="majorHAnsi"/>
          <w:szCs w:val="22"/>
          <w:lang w:eastAsia="cs-CZ"/>
        </w:rPr>
        <w:t>tempa rastu HDP v stálych cenách vo výške 1,6 % v období rokov 2014 až 2016. V nasledujúcich dvoch sledovaných obdobiach sa priemerný medziročný prírastok tempa rastu HDP zvýši na 1,7</w:t>
      </w:r>
      <w:r>
        <w:rPr>
          <w:rFonts w:asciiTheme="majorHAnsi" w:hAnsiTheme="majorHAnsi"/>
          <w:szCs w:val="22"/>
          <w:lang w:eastAsia="cs-CZ"/>
        </w:rPr>
        <w:t xml:space="preserve"> </w:t>
      </w:r>
      <w:r w:rsidRPr="00CB7030">
        <w:rPr>
          <w:rFonts w:asciiTheme="majorHAnsi" w:hAnsiTheme="majorHAnsi"/>
          <w:szCs w:val="22"/>
          <w:lang w:eastAsia="cs-CZ"/>
        </w:rPr>
        <w:t>% a</w:t>
      </w:r>
      <w:r w:rsidR="00561EA9">
        <w:rPr>
          <w:rFonts w:asciiTheme="majorHAnsi" w:hAnsiTheme="majorHAnsi"/>
          <w:szCs w:val="22"/>
          <w:lang w:eastAsia="cs-CZ"/>
        </w:rPr>
        <w:t> </w:t>
      </w:r>
      <w:r w:rsidRPr="00CB7030">
        <w:rPr>
          <w:rFonts w:asciiTheme="majorHAnsi" w:hAnsiTheme="majorHAnsi"/>
          <w:szCs w:val="22"/>
          <w:lang w:eastAsia="cs-CZ"/>
        </w:rPr>
        <w:t>1,8</w:t>
      </w:r>
      <w:r>
        <w:rPr>
          <w:rFonts w:asciiTheme="majorHAnsi" w:hAnsiTheme="majorHAnsi"/>
          <w:szCs w:val="22"/>
          <w:lang w:eastAsia="cs-CZ"/>
        </w:rPr>
        <w:t xml:space="preserve"> </w:t>
      </w:r>
      <w:r w:rsidRPr="00CB7030">
        <w:rPr>
          <w:rFonts w:asciiTheme="majorHAnsi" w:hAnsiTheme="majorHAnsi"/>
          <w:szCs w:val="22"/>
          <w:lang w:eastAsia="cs-CZ"/>
        </w:rPr>
        <w:t>% v porovnaní so základným scenárom.</w:t>
      </w:r>
    </w:p>
    <w:p w:rsidR="0021713D" w:rsidRPr="00CB7030" w:rsidRDefault="0021713D" w:rsidP="0021713D">
      <w:pPr>
        <w:rPr>
          <w:rFonts w:asciiTheme="majorHAnsi" w:hAnsiTheme="majorHAnsi"/>
          <w:szCs w:val="22"/>
          <w:lang w:eastAsia="cs-CZ"/>
        </w:rPr>
      </w:pPr>
      <w:r w:rsidRPr="00CB7030">
        <w:rPr>
          <w:rFonts w:asciiTheme="majorHAnsi" w:hAnsiTheme="majorHAnsi"/>
          <w:szCs w:val="22"/>
          <w:lang w:eastAsia="cs-CZ"/>
        </w:rPr>
        <w:t>Dôležitým faktorom pre úspešnú realizáciu plánovaných opatrení bude jasné rozdelenie kompetencií a</w:t>
      </w:r>
      <w:r w:rsidR="00561EA9">
        <w:rPr>
          <w:rFonts w:asciiTheme="majorHAnsi" w:hAnsiTheme="majorHAnsi"/>
          <w:szCs w:val="22"/>
          <w:lang w:eastAsia="cs-CZ"/>
        </w:rPr>
        <w:t> </w:t>
      </w:r>
      <w:r w:rsidRPr="00CB7030">
        <w:rPr>
          <w:rFonts w:asciiTheme="majorHAnsi" w:hAnsiTheme="majorHAnsi"/>
          <w:szCs w:val="22"/>
          <w:lang w:eastAsia="cs-CZ"/>
        </w:rPr>
        <w:t>hierarchie rozhodovania medzi VÚC, mestami, partnerstvom na úrovni regiónu (RI</w:t>
      </w:r>
      <w:r>
        <w:rPr>
          <w:rFonts w:asciiTheme="majorHAnsi" w:hAnsiTheme="majorHAnsi"/>
          <w:szCs w:val="22"/>
          <w:lang w:eastAsia="cs-CZ"/>
        </w:rPr>
        <w:t>Ú</w:t>
      </w:r>
      <w:r w:rsidRPr="00CB7030">
        <w:rPr>
          <w:rFonts w:asciiTheme="majorHAnsi" w:hAnsiTheme="majorHAnsi"/>
          <w:szCs w:val="22"/>
          <w:lang w:eastAsia="cs-CZ"/>
        </w:rPr>
        <w:t>S) a</w:t>
      </w:r>
      <w:r w:rsidR="00561EA9">
        <w:rPr>
          <w:rFonts w:asciiTheme="majorHAnsi" w:hAnsiTheme="majorHAnsi"/>
          <w:szCs w:val="22"/>
          <w:lang w:eastAsia="cs-CZ"/>
        </w:rPr>
        <w:t> </w:t>
      </w:r>
      <w:r w:rsidRPr="00CB7030">
        <w:rPr>
          <w:rFonts w:asciiTheme="majorHAnsi" w:hAnsiTheme="majorHAnsi"/>
          <w:szCs w:val="22"/>
          <w:lang w:eastAsia="cs-CZ"/>
        </w:rPr>
        <w:t>riadiacim</w:t>
      </w:r>
      <w:r w:rsidR="00561EA9">
        <w:rPr>
          <w:rFonts w:asciiTheme="majorHAnsi" w:hAnsiTheme="majorHAnsi"/>
          <w:szCs w:val="22"/>
          <w:lang w:eastAsia="cs-CZ"/>
        </w:rPr>
        <w:t xml:space="preserve"> </w:t>
      </w:r>
      <w:r w:rsidRPr="00CB7030">
        <w:rPr>
          <w:rFonts w:asciiTheme="majorHAnsi" w:hAnsiTheme="majorHAnsi"/>
          <w:szCs w:val="22"/>
          <w:lang w:eastAsia="cs-CZ"/>
        </w:rPr>
        <w:t xml:space="preserve">orgánom </w:t>
      </w:r>
      <w:r w:rsidR="005C290A">
        <w:rPr>
          <w:rFonts w:asciiTheme="majorHAnsi" w:hAnsiTheme="majorHAnsi"/>
          <w:szCs w:val="22"/>
          <w:lang w:eastAsia="cs-CZ"/>
        </w:rPr>
        <w:t>Integrovaného regionálneho operačného programu (ďalej len „</w:t>
      </w:r>
      <w:r w:rsidRPr="00CB7030">
        <w:rPr>
          <w:rFonts w:asciiTheme="majorHAnsi" w:hAnsiTheme="majorHAnsi"/>
          <w:szCs w:val="22"/>
          <w:lang w:eastAsia="cs-CZ"/>
        </w:rPr>
        <w:t>IROP</w:t>
      </w:r>
      <w:r w:rsidR="005C290A">
        <w:rPr>
          <w:rFonts w:asciiTheme="majorHAnsi" w:hAnsiTheme="majorHAnsi"/>
          <w:szCs w:val="22"/>
          <w:lang w:eastAsia="cs-CZ"/>
        </w:rPr>
        <w:t>“)</w:t>
      </w:r>
      <w:r w:rsidRPr="00CB7030">
        <w:rPr>
          <w:rFonts w:asciiTheme="majorHAnsi" w:hAnsiTheme="majorHAnsi"/>
          <w:szCs w:val="22"/>
          <w:lang w:eastAsia="cs-CZ"/>
        </w:rPr>
        <w:t>. Kvantifikácie efektov čerpania EŠIF</w:t>
      </w:r>
      <w:r>
        <w:rPr>
          <w:rFonts w:asciiTheme="majorHAnsi" w:hAnsiTheme="majorHAnsi"/>
          <w:szCs w:val="22"/>
          <w:lang w:eastAsia="cs-CZ"/>
        </w:rPr>
        <w:t>,</w:t>
      </w:r>
      <w:r w:rsidRPr="00CB7030">
        <w:rPr>
          <w:rFonts w:asciiTheme="majorHAnsi" w:hAnsiTheme="majorHAnsi"/>
          <w:szCs w:val="22"/>
          <w:lang w:eastAsia="cs-CZ"/>
        </w:rPr>
        <w:t xml:space="preserve"> spolu s ďalšími identifikovanými problematickými oblasťami </w:t>
      </w:r>
      <w:r w:rsidR="009056D8" w:rsidRPr="00CB7030">
        <w:rPr>
          <w:rFonts w:asciiTheme="majorHAnsi" w:hAnsiTheme="majorHAnsi"/>
          <w:szCs w:val="22"/>
          <w:lang w:eastAsia="cs-CZ"/>
        </w:rPr>
        <w:t>upozorňuj</w:t>
      </w:r>
      <w:r w:rsidR="009056D8">
        <w:rPr>
          <w:rFonts w:asciiTheme="majorHAnsi" w:hAnsiTheme="majorHAnsi"/>
          <w:szCs w:val="22"/>
          <w:lang w:eastAsia="cs-CZ"/>
        </w:rPr>
        <w:t>ú</w:t>
      </w:r>
      <w:r w:rsidR="009056D8" w:rsidRPr="00CB7030">
        <w:rPr>
          <w:rFonts w:asciiTheme="majorHAnsi" w:hAnsiTheme="majorHAnsi"/>
          <w:szCs w:val="22"/>
          <w:lang w:eastAsia="cs-CZ"/>
        </w:rPr>
        <w:t xml:space="preserve"> </w:t>
      </w:r>
      <w:r w:rsidRPr="00CB7030">
        <w:rPr>
          <w:rFonts w:asciiTheme="majorHAnsi" w:hAnsiTheme="majorHAnsi"/>
          <w:szCs w:val="22"/>
          <w:lang w:eastAsia="cs-CZ"/>
        </w:rPr>
        <w:t xml:space="preserve">na potrebu silného riadenia a koordinovania procesu implementácie. V tomto kontexte je hlavným odporúčaním ex ante hodnotenia implementácia </w:t>
      </w:r>
      <w:r>
        <w:rPr>
          <w:rFonts w:asciiTheme="majorHAnsi" w:hAnsiTheme="majorHAnsi"/>
          <w:szCs w:val="22"/>
          <w:lang w:eastAsia="cs-CZ"/>
        </w:rPr>
        <w:t xml:space="preserve">efektívneho </w:t>
      </w:r>
      <w:r w:rsidRPr="00CB7030">
        <w:rPr>
          <w:rFonts w:asciiTheme="majorHAnsi" w:hAnsiTheme="majorHAnsi"/>
          <w:szCs w:val="22"/>
          <w:lang w:eastAsia="cs-CZ"/>
        </w:rPr>
        <w:t xml:space="preserve">systému hodnotenia, ktorý by priebežne vyhodnocoval (na základe definovaných </w:t>
      </w:r>
      <w:r w:rsidR="00561EA9">
        <w:rPr>
          <w:rFonts w:asciiTheme="majorHAnsi" w:hAnsiTheme="majorHAnsi"/>
          <w:szCs w:val="22"/>
          <w:lang w:eastAsia="cs-CZ"/>
        </w:rPr>
        <w:t xml:space="preserve">merateľných </w:t>
      </w:r>
      <w:r>
        <w:rPr>
          <w:rFonts w:asciiTheme="majorHAnsi" w:hAnsiTheme="majorHAnsi"/>
          <w:szCs w:val="22"/>
          <w:lang w:eastAsia="cs-CZ"/>
        </w:rPr>
        <w:t>ukazovateľov a vybraných štatistických údajov</w:t>
      </w:r>
      <w:r w:rsidRPr="00CB7030">
        <w:rPr>
          <w:rFonts w:asciiTheme="majorHAnsi" w:hAnsiTheme="majorHAnsi"/>
          <w:szCs w:val="22"/>
          <w:lang w:eastAsia="cs-CZ"/>
        </w:rPr>
        <w:t xml:space="preserve">) mieru napĺňania cieľov plánovaných intervencií, </w:t>
      </w:r>
      <w:r>
        <w:rPr>
          <w:rFonts w:asciiTheme="majorHAnsi" w:hAnsiTheme="majorHAnsi"/>
          <w:szCs w:val="22"/>
          <w:lang w:eastAsia="cs-CZ"/>
        </w:rPr>
        <w:t xml:space="preserve">dopady poskytovaných intervencií, </w:t>
      </w:r>
      <w:r w:rsidRPr="00CB7030">
        <w:rPr>
          <w:rFonts w:asciiTheme="majorHAnsi" w:hAnsiTheme="majorHAnsi"/>
          <w:szCs w:val="22"/>
          <w:lang w:eastAsia="cs-CZ"/>
        </w:rPr>
        <w:t xml:space="preserve">pomáhal koordinovať synergické efekty medzi jednotlivými opatreniami a zároveň podporoval </w:t>
      </w:r>
      <w:r w:rsidRPr="00CB7030">
        <w:rPr>
          <w:rFonts w:asciiTheme="majorHAnsi" w:hAnsiTheme="majorHAnsi"/>
          <w:lang w:eastAsia="cs-CZ"/>
        </w:rPr>
        <w:t>udržateľnos</w:t>
      </w:r>
      <w:r>
        <w:rPr>
          <w:rFonts w:asciiTheme="majorHAnsi" w:hAnsiTheme="majorHAnsi"/>
          <w:lang w:eastAsia="cs-CZ"/>
        </w:rPr>
        <w:t>ť</w:t>
      </w:r>
      <w:r w:rsidRPr="00CB7030">
        <w:rPr>
          <w:rFonts w:asciiTheme="majorHAnsi" w:hAnsiTheme="majorHAnsi"/>
          <w:lang w:eastAsia="cs-CZ"/>
        </w:rPr>
        <w:t xml:space="preserve"> opatrení </w:t>
      </w:r>
      <w:r>
        <w:rPr>
          <w:rFonts w:asciiTheme="majorHAnsi" w:hAnsiTheme="majorHAnsi"/>
          <w:lang w:eastAsia="cs-CZ"/>
        </w:rPr>
        <w:t xml:space="preserve">aj </w:t>
      </w:r>
      <w:r w:rsidRPr="00CB7030">
        <w:rPr>
          <w:rFonts w:asciiTheme="majorHAnsi" w:hAnsiTheme="majorHAnsi"/>
          <w:lang w:eastAsia="cs-CZ"/>
        </w:rPr>
        <w:t>po skončení ich financovania.</w:t>
      </w:r>
    </w:p>
    <w:p w:rsidR="00894D52" w:rsidRPr="00A11FE0" w:rsidRDefault="00894D52" w:rsidP="00D1453B">
      <w:pPr>
        <w:pStyle w:val="Nadpis2"/>
        <w:numPr>
          <w:ilvl w:val="1"/>
          <w:numId w:val="2"/>
        </w:numPr>
        <w:rPr>
          <w:lang w:eastAsia="cs-CZ"/>
        </w:rPr>
      </w:pPr>
      <w:bookmarkStart w:id="213" w:name="_Toc377406483"/>
      <w:bookmarkStart w:id="214" w:name="_Toc372468997"/>
      <w:bookmarkStart w:id="215" w:name="_Toc372972837"/>
      <w:bookmarkStart w:id="216" w:name="_Toc373497066"/>
      <w:bookmarkStart w:id="217" w:name="_Toc378168357"/>
      <w:bookmarkStart w:id="218" w:name="_Toc490655220"/>
      <w:bookmarkEnd w:id="213"/>
      <w:r w:rsidRPr="00A11FE0">
        <w:rPr>
          <w:lang w:eastAsia="cs-CZ"/>
        </w:rPr>
        <w:t xml:space="preserve">Zhrnutie vybraných tematických cieľov </w:t>
      </w:r>
      <w:r w:rsidR="00BD5FD5">
        <w:rPr>
          <w:lang w:eastAsia="cs-CZ"/>
        </w:rPr>
        <w:t>a </w:t>
      </w:r>
      <w:r w:rsidRPr="00A11FE0">
        <w:rPr>
          <w:lang w:eastAsia="cs-CZ"/>
        </w:rPr>
        <w:t xml:space="preserve">zhrnutia hlavných výsledkov očakávaných pre </w:t>
      </w:r>
      <w:r w:rsidR="00BD5FD5">
        <w:rPr>
          <w:lang w:eastAsia="cs-CZ"/>
        </w:rPr>
        <w:t>k</w:t>
      </w:r>
      <w:r w:rsidRPr="00A11FE0">
        <w:rPr>
          <w:lang w:eastAsia="cs-CZ"/>
        </w:rPr>
        <w:t xml:space="preserve">aždý z EŠIF v prípade </w:t>
      </w:r>
      <w:r w:rsidR="00BD5FD5">
        <w:rPr>
          <w:lang w:eastAsia="cs-CZ"/>
        </w:rPr>
        <w:t>k</w:t>
      </w:r>
      <w:r w:rsidRPr="00A11FE0">
        <w:rPr>
          <w:lang w:eastAsia="cs-CZ"/>
        </w:rPr>
        <w:t>aždého z vybraných tematických cieľov</w:t>
      </w:r>
      <w:bookmarkEnd w:id="214"/>
      <w:bookmarkEnd w:id="215"/>
      <w:bookmarkEnd w:id="216"/>
      <w:bookmarkEnd w:id="217"/>
      <w:bookmarkEnd w:id="218"/>
    </w:p>
    <w:p w:rsidR="00894D52" w:rsidRPr="00A11FE0" w:rsidRDefault="00894D52" w:rsidP="00D1453B">
      <w:pPr>
        <w:pStyle w:val="Nadpis3"/>
        <w:numPr>
          <w:ilvl w:val="2"/>
          <w:numId w:val="2"/>
        </w:numPr>
        <w:rPr>
          <w:lang w:eastAsia="cs-CZ"/>
        </w:rPr>
      </w:pPr>
      <w:bookmarkStart w:id="219" w:name="_Toc372468998"/>
      <w:bookmarkStart w:id="220" w:name="_Toc372972838"/>
      <w:bookmarkStart w:id="221" w:name="_Toc373497067"/>
      <w:r w:rsidRPr="00A11FE0">
        <w:rPr>
          <w:lang w:eastAsia="cs-CZ"/>
        </w:rPr>
        <w:t>Národná priorita: Podnikateľské prostredie priaznivé pre inovácie</w:t>
      </w:r>
      <w:bookmarkEnd w:id="219"/>
      <w:bookmarkEnd w:id="220"/>
      <w:bookmarkEnd w:id="221"/>
    </w:p>
    <w:p w:rsidR="00A678A6" w:rsidRPr="00A678A6" w:rsidRDefault="00A678A6" w:rsidP="00D1453B">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bookmarkStart w:id="222" w:name="_Toc372468999"/>
      <w:bookmarkStart w:id="223" w:name="_Toc372972839"/>
      <w:bookmarkStart w:id="224" w:name="_Toc373497068"/>
      <w:r w:rsidRPr="00A678A6">
        <w:rPr>
          <w:rFonts w:asciiTheme="majorHAnsi" w:eastAsiaTheme="majorEastAsia" w:hAnsiTheme="majorHAnsi"/>
          <w:b/>
          <w:bCs/>
          <w:i/>
          <w:iCs/>
          <w:color w:val="4F81BD" w:themeColor="accent1"/>
          <w:sz w:val="24"/>
          <w:lang w:eastAsia="cs-CZ"/>
        </w:rPr>
        <w:t>TC 1: Posilnenie výskumu, technologického rozvoja a inovácií</w:t>
      </w:r>
    </w:p>
    <w:p w:rsidR="00A678A6" w:rsidRPr="00A678A6" w:rsidRDefault="00A678A6" w:rsidP="00D1453B">
      <w:pPr>
        <w:keepNext/>
        <w:keepLines/>
        <w:numPr>
          <w:ilvl w:val="4"/>
          <w:numId w:val="2"/>
        </w:numPr>
        <w:spacing w:before="200" w:after="0"/>
        <w:outlineLvl w:val="4"/>
        <w:rPr>
          <w:rFonts w:asciiTheme="majorHAnsi" w:eastAsiaTheme="majorEastAsia" w:hAnsiTheme="majorHAnsi"/>
          <w:color w:val="243F60" w:themeColor="accent1" w:themeShade="7F"/>
        </w:rPr>
      </w:pPr>
      <w:r w:rsidRPr="00A678A6">
        <w:rPr>
          <w:rFonts w:asciiTheme="majorHAnsi" w:eastAsiaTheme="majorEastAsia" w:hAnsiTheme="majorHAnsi"/>
          <w:color w:val="243F60" w:themeColor="accent1" w:themeShade="7F"/>
        </w:rPr>
        <w:t>Východiskový stav</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SR má z dôvodu nedostatočného financovania v priebehu ostatných dvadsiatich rokov „technologickú“ medzeru vo vybavení výskumných inštitúcií pre potreby </w:t>
      </w:r>
      <w:r w:rsidR="00D85CAE">
        <w:rPr>
          <w:rFonts w:asciiTheme="majorHAnsi" w:hAnsiTheme="majorHAnsi"/>
          <w:szCs w:val="22"/>
          <w:lang w:eastAsia="cs-CZ"/>
        </w:rPr>
        <w:t>VVaI</w:t>
      </w:r>
      <w:r w:rsidRPr="00A678A6">
        <w:rPr>
          <w:rFonts w:asciiTheme="majorHAnsi" w:hAnsiTheme="majorHAnsi"/>
          <w:szCs w:val="22"/>
          <w:lang w:eastAsia="cs-CZ"/>
        </w:rPr>
        <w:t>. V</w:t>
      </w:r>
      <w:r w:rsidR="006B5CFF">
        <w:rPr>
          <w:rFonts w:asciiTheme="majorHAnsi" w:hAnsiTheme="majorHAnsi"/>
          <w:szCs w:val="22"/>
          <w:lang w:eastAsia="cs-CZ"/>
        </w:rPr>
        <w:t> </w:t>
      </w:r>
      <w:r w:rsidRPr="00A678A6">
        <w:rPr>
          <w:rFonts w:asciiTheme="majorHAnsi" w:hAnsiTheme="majorHAnsi"/>
          <w:szCs w:val="22"/>
          <w:lang w:eastAsia="cs-CZ"/>
        </w:rPr>
        <w:t xml:space="preserve">programovom období 2007 – 2013 bola cielenými aktivitami </w:t>
      </w:r>
      <w:r w:rsidR="00E86FD5" w:rsidRPr="00A678A6">
        <w:rPr>
          <w:rFonts w:asciiTheme="majorHAnsi" w:hAnsiTheme="majorHAnsi"/>
          <w:szCs w:val="22"/>
          <w:lang w:eastAsia="cs-CZ"/>
        </w:rPr>
        <w:t xml:space="preserve">zmiernená </w:t>
      </w:r>
      <w:r w:rsidRPr="00A678A6">
        <w:rPr>
          <w:rFonts w:asciiTheme="majorHAnsi" w:hAnsiTheme="majorHAnsi"/>
          <w:szCs w:val="22"/>
          <w:lang w:eastAsia="cs-CZ"/>
        </w:rPr>
        <w:t>technologická medzera</w:t>
      </w:r>
      <w:r w:rsidR="00E86FD5">
        <w:rPr>
          <w:rFonts w:asciiTheme="majorHAnsi" w:hAnsiTheme="majorHAnsi"/>
          <w:szCs w:val="22"/>
          <w:lang w:eastAsia="cs-CZ"/>
        </w:rPr>
        <w:t xml:space="preserve"> najmä vo verejných VaV inštitúciách</w:t>
      </w:r>
      <w:r w:rsidRPr="00A678A6">
        <w:rPr>
          <w:rFonts w:asciiTheme="majorHAnsi" w:hAnsiTheme="majorHAnsi"/>
          <w:szCs w:val="22"/>
          <w:lang w:eastAsia="cs-CZ"/>
        </w:rPr>
        <w:t xml:space="preserve">, ale aj napriek tomu je to potrebné vnímať len ako prvú etapu jej odstraňovania. Na tieto aktivity je nevyhnutné nadviazať aj aktivity v programovom období 2014 – 2020. Dôležitým aspektom podpory VVaI aktivít je ich pokračujúca podpora aj v rámci </w:t>
      </w:r>
      <w:r w:rsidR="00D85CAE">
        <w:rPr>
          <w:rFonts w:asciiTheme="majorHAnsi" w:hAnsiTheme="majorHAnsi"/>
          <w:szCs w:val="22"/>
          <w:lang w:eastAsia="cs-CZ"/>
        </w:rPr>
        <w:t>BSK</w:t>
      </w:r>
      <w:r w:rsidRPr="00A678A6">
        <w:rPr>
          <w:rFonts w:asciiTheme="majorHAnsi" w:hAnsiTheme="majorHAnsi"/>
          <w:szCs w:val="22"/>
          <w:vertAlign w:val="superscript"/>
          <w:lang w:eastAsia="cs-CZ"/>
        </w:rPr>
        <w:footnoteReference w:id="259"/>
      </w:r>
      <w:r w:rsidR="00500CA1">
        <w:rPr>
          <w:rFonts w:asciiTheme="majorHAnsi" w:hAnsiTheme="majorHAnsi"/>
          <w:szCs w:val="22"/>
          <w:lang w:eastAsia="cs-CZ"/>
        </w:rPr>
        <w:t>.</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V programovom období 2007 – 2013 bola oblasť inovácií podporovaná v rámci viacerých OP</w:t>
      </w:r>
      <w:r w:rsidRPr="00A678A6">
        <w:rPr>
          <w:rFonts w:asciiTheme="majorHAnsi" w:hAnsiTheme="majorHAnsi"/>
          <w:szCs w:val="22"/>
          <w:vertAlign w:val="superscript"/>
          <w:lang w:eastAsia="cs-CZ"/>
        </w:rPr>
        <w:footnoteReference w:id="260"/>
      </w:r>
      <w:r w:rsidRPr="00A678A6">
        <w:rPr>
          <w:rFonts w:asciiTheme="majorHAnsi" w:hAnsiTheme="majorHAnsi"/>
          <w:szCs w:val="22"/>
          <w:lang w:eastAsia="cs-CZ"/>
        </w:rPr>
        <w:t>. Ich kľúčovým spoločným nedostatkom, ktorý bráni potrebnej intenzite čerpania</w:t>
      </w:r>
      <w:r w:rsidR="00BD7D10">
        <w:rPr>
          <w:rFonts w:asciiTheme="majorHAnsi" w:hAnsiTheme="majorHAnsi"/>
          <w:szCs w:val="22"/>
          <w:lang w:eastAsia="cs-CZ"/>
        </w:rPr>
        <w:t>,</w:t>
      </w:r>
      <w:r w:rsidRPr="00A678A6">
        <w:rPr>
          <w:rFonts w:asciiTheme="majorHAnsi" w:hAnsiTheme="majorHAnsi"/>
          <w:szCs w:val="22"/>
          <w:lang w:eastAsia="cs-CZ"/>
        </w:rPr>
        <w:t xml:space="preserve"> je komplikovaný a netransparentný systém implementácie, vrátane </w:t>
      </w:r>
      <w:r w:rsidR="002F29B8">
        <w:rPr>
          <w:rFonts w:asciiTheme="majorHAnsi" w:hAnsiTheme="majorHAnsi"/>
          <w:szCs w:val="22"/>
          <w:lang w:eastAsia="cs-CZ"/>
        </w:rPr>
        <w:t>VO</w:t>
      </w:r>
      <w:r w:rsidRPr="00A678A6">
        <w:rPr>
          <w:rFonts w:asciiTheme="majorHAnsi" w:hAnsiTheme="majorHAnsi"/>
          <w:szCs w:val="22"/>
          <w:lang w:eastAsia="cs-CZ"/>
        </w:rPr>
        <w:t xml:space="preserve"> a nedostatočná kvalita strednodobých stratégií. Špecifickými problematickými oblasťami, ktoré bránia dosiahnutiu vyššej účinnosti </w:t>
      </w:r>
      <w:r w:rsidR="00500CA1">
        <w:rPr>
          <w:rFonts w:asciiTheme="majorHAnsi" w:hAnsiTheme="majorHAnsi"/>
          <w:szCs w:val="22"/>
          <w:lang w:eastAsia="cs-CZ"/>
        </w:rPr>
        <w:t>podpory,</w:t>
      </w:r>
      <w:r w:rsidR="00500CA1" w:rsidRPr="00A678A6">
        <w:rPr>
          <w:rFonts w:asciiTheme="majorHAnsi" w:hAnsiTheme="majorHAnsi"/>
          <w:szCs w:val="22"/>
          <w:lang w:eastAsia="cs-CZ"/>
        </w:rPr>
        <w:t xml:space="preserve"> </w:t>
      </w:r>
      <w:r w:rsidRPr="00A678A6">
        <w:rPr>
          <w:rFonts w:asciiTheme="majorHAnsi" w:hAnsiTheme="majorHAnsi"/>
          <w:szCs w:val="22"/>
          <w:lang w:eastAsia="cs-CZ"/>
        </w:rPr>
        <w:t xml:space="preserve">sú najmä nastavenie súčasných pravidiel OP Výskum a vývoj, ktoré znemožňujú používanie výsledkov projektov na komerčné účely. V oblasti podpory inovácií zameraných primárne v OP </w:t>
      </w:r>
      <w:r w:rsidRPr="00A678A6">
        <w:rPr>
          <w:rFonts w:asciiTheme="majorHAnsi" w:hAnsiTheme="majorHAnsi"/>
          <w:szCs w:val="22"/>
          <w:lang w:eastAsia="cs-CZ"/>
        </w:rPr>
        <w:lastRenderedPageBreak/>
        <w:t>Konkurencieschopnosť a hospodársky rast absentuje komplexnejší a účinnejší prístup k firemným inováciám a ich preferovanie</w:t>
      </w:r>
      <w:r w:rsidRPr="00A678A6">
        <w:rPr>
          <w:rFonts w:asciiTheme="majorHAnsi" w:hAnsiTheme="majorHAnsi"/>
          <w:szCs w:val="22"/>
          <w:vertAlign w:val="superscript"/>
          <w:lang w:eastAsia="cs-CZ"/>
        </w:rPr>
        <w:footnoteReference w:id="261"/>
      </w:r>
      <w:r w:rsidRPr="00A678A6">
        <w:rPr>
          <w:rFonts w:asciiTheme="majorHAnsi" w:hAnsiTheme="majorHAnsi"/>
          <w:szCs w:val="22"/>
          <w:lang w:eastAsia="cs-CZ"/>
        </w:rPr>
        <w:t>.</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Hlavným problémom SR je nízka výkonnosť </w:t>
      </w:r>
      <w:r w:rsidR="00E76C98">
        <w:rPr>
          <w:rFonts w:asciiTheme="majorHAnsi" w:hAnsiTheme="majorHAnsi"/>
          <w:szCs w:val="22"/>
          <w:lang w:eastAsia="cs-CZ"/>
        </w:rPr>
        <w:t xml:space="preserve">verejných inštitúcií </w:t>
      </w:r>
      <w:r w:rsidR="007B26BF">
        <w:rPr>
          <w:rFonts w:asciiTheme="majorHAnsi" w:hAnsiTheme="majorHAnsi"/>
          <w:szCs w:val="22"/>
          <w:lang w:eastAsia="cs-CZ"/>
        </w:rPr>
        <w:t>VaV</w:t>
      </w:r>
      <w:r w:rsidRPr="00A678A6">
        <w:rPr>
          <w:rFonts w:asciiTheme="majorHAnsi" w:hAnsiTheme="majorHAnsi"/>
          <w:szCs w:val="22"/>
          <w:lang w:eastAsia="cs-CZ"/>
        </w:rPr>
        <w:t xml:space="preserve"> a nedostatočná previazanosť s potrebami praxe, slabá miera internacionalizácie, nedostatočný legislatívny rámec ochrany duševného vlastníctva. Taktiež je problémom aj nedostatočná spolupráca medzi akademickým a súkromným sektorom, nízka miera investovania zo strany súkromného sektora do inovácií, nízky dopad na ekonomiku krajiny, nízka úroveň financovania a fragmentácia vecného zamerania. Významný vplyv má aj štruktúra podnikov SR</w:t>
      </w:r>
      <w:r w:rsidR="00CB2F60">
        <w:rPr>
          <w:rFonts w:asciiTheme="majorHAnsi" w:hAnsiTheme="majorHAnsi"/>
          <w:szCs w:val="22"/>
          <w:lang w:eastAsia="cs-CZ"/>
        </w:rPr>
        <w:t>,</w:t>
      </w:r>
      <w:r w:rsidRPr="00A678A6">
        <w:rPr>
          <w:rFonts w:asciiTheme="majorHAnsi" w:hAnsiTheme="majorHAnsi"/>
          <w:szCs w:val="22"/>
          <w:lang w:eastAsia="cs-CZ"/>
        </w:rPr>
        <w:t xml:space="preserve"> ktorá je tvorená z 96,7 % mikropodnikmi, ako aj prebiehajúci proces prepadu podnikov z väčších veľkostných kategórii do kategórie mikropodnikov (marginalizácia), v dôsledku ktorého sa počet podnikov nad 10 zamestnancov medzi rokmi 2008 a 2012 zredukoval viac ako o polovicu</w:t>
      </w:r>
      <w:r w:rsidRPr="00A678A6">
        <w:rPr>
          <w:rFonts w:asciiTheme="majorHAnsi" w:hAnsiTheme="majorHAnsi"/>
          <w:szCs w:val="22"/>
          <w:vertAlign w:val="superscript"/>
          <w:lang w:eastAsia="cs-CZ"/>
        </w:rPr>
        <w:footnoteReference w:id="262"/>
      </w:r>
      <w:r w:rsidRPr="00A678A6">
        <w:rPr>
          <w:rFonts w:asciiTheme="majorHAnsi" w:hAnsiTheme="majorHAnsi"/>
          <w:szCs w:val="22"/>
          <w:lang w:eastAsia="cs-CZ"/>
        </w:rPr>
        <w:t>.</w:t>
      </w:r>
    </w:p>
    <w:p w:rsidR="00A678A6" w:rsidRPr="00A678A6" w:rsidRDefault="00A678A6" w:rsidP="006F002B">
      <w:pPr>
        <w:keepNext/>
        <w:keepLines/>
        <w:numPr>
          <w:ilvl w:val="4"/>
          <w:numId w:val="2"/>
        </w:numPr>
        <w:spacing w:before="200" w:after="0"/>
        <w:outlineLvl w:val="4"/>
        <w:rPr>
          <w:rFonts w:asciiTheme="majorHAnsi" w:eastAsiaTheme="majorEastAsia" w:hAnsiTheme="majorHAnsi"/>
          <w:color w:val="243F60" w:themeColor="accent1" w:themeShade="7F"/>
        </w:rPr>
      </w:pPr>
      <w:r w:rsidRPr="00A678A6">
        <w:rPr>
          <w:rFonts w:asciiTheme="majorHAnsi" w:eastAsiaTheme="majorEastAsia" w:hAnsiTheme="majorHAnsi"/>
          <w:color w:val="243F60" w:themeColor="accent1" w:themeShade="7F"/>
        </w:rPr>
        <w:t>Zdôvodnenie výberu</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SR patrí do skupiny tzv. miernych inovátorov s druhou najnižšou inovačnou výkonnosťou v skupine</w:t>
      </w:r>
      <w:r w:rsidRPr="00A678A6">
        <w:rPr>
          <w:rFonts w:asciiTheme="majorHAnsi" w:hAnsiTheme="majorHAnsi"/>
          <w:szCs w:val="22"/>
          <w:vertAlign w:val="superscript"/>
          <w:lang w:eastAsia="cs-CZ"/>
        </w:rPr>
        <w:footnoteReference w:id="263"/>
      </w:r>
      <w:r w:rsidRPr="00A678A6">
        <w:rPr>
          <w:rFonts w:asciiTheme="majorHAnsi" w:hAnsiTheme="majorHAnsi"/>
          <w:szCs w:val="22"/>
          <w:lang w:eastAsia="cs-CZ"/>
        </w:rPr>
        <w:t>.</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V nadväznosti na plnenie cieľov stratégie Európa 2020 je v podmienkach SR nevyhnutné zabezpečiť kvalitnú infraštruktúru a efektívny systém rozvoja </w:t>
      </w:r>
      <w:r w:rsidR="00656725">
        <w:rPr>
          <w:rFonts w:asciiTheme="majorHAnsi" w:hAnsiTheme="majorHAnsi"/>
          <w:szCs w:val="22"/>
          <w:lang w:eastAsia="cs-CZ"/>
        </w:rPr>
        <w:t>VVaI</w:t>
      </w:r>
      <w:r w:rsidRPr="00A678A6">
        <w:rPr>
          <w:rFonts w:asciiTheme="majorHAnsi" w:hAnsiTheme="majorHAnsi"/>
          <w:szCs w:val="22"/>
          <w:lang w:eastAsia="cs-CZ"/>
        </w:rPr>
        <w:t>, kvalitných ľudských zdrojov, účinných nástrojov pre inovácie a zabezpečenie podpory riešení inovačných projektov v súlade s</w:t>
      </w:r>
      <w:r w:rsidR="00C21FE7">
        <w:rPr>
          <w:rFonts w:asciiTheme="majorHAnsi" w:hAnsiTheme="majorHAnsi"/>
          <w:szCs w:val="22"/>
          <w:lang w:eastAsia="cs-CZ"/>
        </w:rPr>
        <w:t xml:space="preserve"> </w:t>
      </w:r>
      <w:r w:rsidRPr="00C21FE7">
        <w:rPr>
          <w:rFonts w:asciiTheme="majorHAnsi" w:hAnsiTheme="majorHAnsi"/>
          <w:szCs w:val="22"/>
          <w:lang w:eastAsia="cs-CZ"/>
        </w:rPr>
        <w:t>RIS3</w:t>
      </w:r>
      <w:r w:rsidRPr="00A678A6">
        <w:rPr>
          <w:rFonts w:asciiTheme="majorHAnsi" w:hAnsiTheme="majorHAnsi"/>
          <w:szCs w:val="22"/>
          <w:vertAlign w:val="superscript"/>
          <w:lang w:eastAsia="cs-CZ"/>
        </w:rPr>
        <w:t xml:space="preserve"> </w:t>
      </w:r>
      <w:r w:rsidRPr="00A678A6">
        <w:rPr>
          <w:rFonts w:asciiTheme="majorHAnsi" w:hAnsiTheme="majorHAnsi"/>
          <w:szCs w:val="22"/>
          <w:vertAlign w:val="superscript"/>
          <w:lang w:eastAsia="cs-CZ"/>
        </w:rPr>
        <w:footnoteReference w:id="264"/>
      </w:r>
      <w:r w:rsidRPr="00A678A6">
        <w:rPr>
          <w:rFonts w:asciiTheme="majorHAnsi" w:hAnsiTheme="majorHAnsi"/>
          <w:szCs w:val="22"/>
          <w:lang w:eastAsia="cs-CZ"/>
        </w:rPr>
        <w:t>, ktorých výsledky budú uplatniteľné na trhu.</w:t>
      </w:r>
    </w:p>
    <w:p w:rsidR="00154311" w:rsidRPr="00A678A6" w:rsidRDefault="00A678A6" w:rsidP="00154311">
      <w:pPr>
        <w:spacing w:before="0" w:after="0"/>
        <w:rPr>
          <w:rFonts w:asciiTheme="majorHAnsi" w:hAnsiTheme="majorHAnsi"/>
          <w:szCs w:val="22"/>
          <w:lang w:eastAsia="cs-CZ"/>
        </w:rPr>
      </w:pPr>
      <w:r w:rsidRPr="00A678A6">
        <w:rPr>
          <w:rFonts w:asciiTheme="majorHAnsi" w:hAnsiTheme="majorHAnsi"/>
          <w:szCs w:val="22"/>
          <w:lang w:eastAsia="cs-CZ"/>
        </w:rPr>
        <w:t>V súlade so špecifickými odporúčaniami Rady pre krajiny</w:t>
      </w:r>
      <w:r w:rsidRPr="00A678A6">
        <w:rPr>
          <w:rFonts w:asciiTheme="majorHAnsi" w:hAnsiTheme="majorHAnsi"/>
          <w:szCs w:val="22"/>
          <w:vertAlign w:val="superscript"/>
          <w:lang w:eastAsia="cs-CZ"/>
        </w:rPr>
        <w:footnoteReference w:id="265"/>
      </w:r>
      <w:r w:rsidRPr="00A678A6">
        <w:rPr>
          <w:rFonts w:asciiTheme="majorHAnsi" w:hAnsiTheme="majorHAnsi"/>
          <w:szCs w:val="22"/>
          <w:lang w:eastAsia="cs-CZ"/>
        </w:rPr>
        <w:t xml:space="preserve"> je potrebné zlepšiť kvalitu vysokoškolského vzdelávania a spolupráce medzi podnikmi, výskumnou komunitou a vzdelávacími inštitúciami, ktoré napomôžu pri rozvíjaní dobre fungujúceho „vedomostného trojuholníka“ a zvýšení výkonnosti systému </w:t>
      </w:r>
      <w:r w:rsidR="00BD7D10">
        <w:rPr>
          <w:rFonts w:asciiTheme="majorHAnsi" w:hAnsiTheme="majorHAnsi"/>
          <w:szCs w:val="22"/>
          <w:lang w:eastAsia="cs-CZ"/>
        </w:rPr>
        <w:t>VVaI</w:t>
      </w:r>
      <w:r w:rsidRPr="00A678A6">
        <w:rPr>
          <w:rFonts w:asciiTheme="majorHAnsi" w:hAnsiTheme="majorHAnsi"/>
          <w:szCs w:val="22"/>
          <w:lang w:eastAsia="cs-CZ"/>
        </w:rPr>
        <w:t>, ako aj stimulácii súkromných investícií do VVaI s cieľom zvýšenia inovačnej výkonnosti slovenského hospodárstva.</w:t>
      </w:r>
      <w:r w:rsidR="00154311">
        <w:rPr>
          <w:rFonts w:asciiTheme="majorHAnsi" w:hAnsiTheme="majorHAnsi"/>
          <w:szCs w:val="22"/>
          <w:lang w:eastAsia="cs-CZ"/>
        </w:rPr>
        <w:t xml:space="preserve"> Je potrebné zabezpečiť nástroje pre vytvorenie funkčného systému od excelentného výskumu k inováciám v súlade s RIS3. Je potrebné významne podporovať kvalitný VaV, pretože ten je nevyhnutnou podmienkou technicky pokročilých inovácií. Je tiež nevyhnutné pokračovať v dobudovaní kvalitnej VVaI infraštruktúry, príprave kvalitných ľudských zdrojov, vytvoriť atraktívne a motivačné prostredie pre tretí stupeň vzdelávania a následné uplatnenie mladých vedeckých pracovníkov vo VVaI subjektoch.</w:t>
      </w:r>
    </w:p>
    <w:p w:rsid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Vo vzťahu k plneniu cieľov NPR je potrebné zvýšiť výdavky </w:t>
      </w:r>
      <w:r w:rsidR="00656725">
        <w:rPr>
          <w:rFonts w:asciiTheme="majorHAnsi" w:hAnsiTheme="majorHAnsi"/>
          <w:szCs w:val="22"/>
          <w:lang w:eastAsia="cs-CZ"/>
        </w:rPr>
        <w:t>VaV</w:t>
      </w:r>
      <w:r w:rsidRPr="00A678A6">
        <w:rPr>
          <w:rFonts w:asciiTheme="majorHAnsi" w:hAnsiTheme="majorHAnsi"/>
          <w:szCs w:val="22"/>
          <w:lang w:eastAsia="cs-CZ"/>
        </w:rPr>
        <w:t xml:space="preserve"> – do roku 2020 na úroveň 1,2 % HDP. Pre plnenie cieľov RIS3 je potrebné ukotviť kľúčové priemyselné odvetvia, ktoré zvyšujú pridanú hodnotu</w:t>
      </w:r>
      <w:r w:rsidR="00BD7D10">
        <w:rPr>
          <w:rFonts w:asciiTheme="majorHAnsi" w:hAnsiTheme="majorHAnsi"/>
          <w:szCs w:val="22"/>
          <w:lang w:eastAsia="cs-CZ"/>
        </w:rPr>
        <w:t>,</w:t>
      </w:r>
      <w:r w:rsidRPr="00A678A6">
        <w:rPr>
          <w:rFonts w:asciiTheme="majorHAnsi" w:hAnsiTheme="majorHAnsi"/>
          <w:szCs w:val="22"/>
          <w:lang w:eastAsia="cs-CZ"/>
        </w:rPr>
        <w:t xml:space="preserve"> a to prostredníctvom spolupráce miestnych dodávateľských reťazcov a podporiť ich vzájomné sieťovanie, vytvoriť dynamickú, otvorenú a inkluzívnu inovatívnu spoločnosť. Taktiež je potrebné uskutočniť reformu systému VVaI smerom k zefektívneniu inštitucionálneho usporiadania </w:t>
      </w:r>
      <w:r w:rsidR="00A92C19">
        <w:rPr>
          <w:rFonts w:asciiTheme="majorHAnsi" w:hAnsiTheme="majorHAnsi"/>
          <w:szCs w:val="22"/>
          <w:lang w:eastAsia="cs-CZ"/>
        </w:rPr>
        <w:t xml:space="preserve">verejnej </w:t>
      </w:r>
      <w:r w:rsidRPr="00A678A6">
        <w:rPr>
          <w:rFonts w:asciiTheme="majorHAnsi" w:hAnsiTheme="majorHAnsi"/>
          <w:szCs w:val="22"/>
          <w:lang w:eastAsia="cs-CZ"/>
        </w:rPr>
        <w:t xml:space="preserve">VaI základne. Rovnako je potrebné podporovať efektívny prenos vedomostí a vedeckých poznatkov z verejných inštitúcií do súkromného sektora, ako aj zavádzanie rôznych typov inovácií do praxe a budovanie </w:t>
      </w:r>
      <w:r w:rsidR="007B26BF">
        <w:rPr>
          <w:rFonts w:asciiTheme="majorHAnsi" w:hAnsiTheme="majorHAnsi"/>
          <w:szCs w:val="22"/>
          <w:lang w:eastAsia="cs-CZ"/>
        </w:rPr>
        <w:t>VaI</w:t>
      </w:r>
      <w:r w:rsidRPr="00A678A6">
        <w:rPr>
          <w:rFonts w:asciiTheme="majorHAnsi" w:hAnsiTheme="majorHAnsi"/>
          <w:szCs w:val="22"/>
          <w:lang w:eastAsia="cs-CZ"/>
        </w:rPr>
        <w:t xml:space="preserve"> kapacít v slovenských podnikoch. Taktiež je nevyhnutné zabezpečiť vytvorenie podmienok spolupráce súkromného</w:t>
      </w:r>
      <w:r w:rsidR="00FD7658">
        <w:rPr>
          <w:rFonts w:asciiTheme="majorHAnsi" w:hAnsiTheme="majorHAnsi"/>
          <w:szCs w:val="22"/>
          <w:lang w:eastAsia="cs-CZ"/>
        </w:rPr>
        <w:t xml:space="preserve"> </w:t>
      </w:r>
      <w:r w:rsidRPr="00A678A6">
        <w:rPr>
          <w:rFonts w:asciiTheme="majorHAnsi" w:hAnsiTheme="majorHAnsi"/>
          <w:szCs w:val="22"/>
          <w:lang w:eastAsia="cs-CZ"/>
        </w:rPr>
        <w:t>sektora</w:t>
      </w:r>
      <w:r w:rsidR="00122C65">
        <w:rPr>
          <w:rFonts w:asciiTheme="majorHAnsi" w:hAnsiTheme="majorHAnsi"/>
          <w:szCs w:val="22"/>
          <w:lang w:eastAsia="cs-CZ"/>
        </w:rPr>
        <w:t>, alebo</w:t>
      </w:r>
      <w:r w:rsidRPr="00A678A6">
        <w:rPr>
          <w:rFonts w:asciiTheme="majorHAnsi" w:hAnsiTheme="majorHAnsi"/>
          <w:szCs w:val="22"/>
          <w:lang w:eastAsia="cs-CZ"/>
        </w:rPr>
        <w:t> </w:t>
      </w:r>
      <w:r w:rsidR="00122C65">
        <w:rPr>
          <w:rFonts w:asciiTheme="majorHAnsi" w:hAnsiTheme="majorHAnsi"/>
          <w:szCs w:val="22"/>
          <w:lang w:eastAsia="cs-CZ"/>
        </w:rPr>
        <w:t>neziskového sektora</w:t>
      </w:r>
      <w:r w:rsidR="00122C65" w:rsidRPr="00A678A6">
        <w:rPr>
          <w:rFonts w:asciiTheme="majorHAnsi" w:hAnsiTheme="majorHAnsi"/>
          <w:szCs w:val="22"/>
          <w:lang w:eastAsia="cs-CZ"/>
        </w:rPr>
        <w:t xml:space="preserve"> </w:t>
      </w:r>
      <w:r w:rsidR="00122C65">
        <w:rPr>
          <w:rFonts w:asciiTheme="majorHAnsi" w:hAnsiTheme="majorHAnsi"/>
          <w:szCs w:val="22"/>
          <w:lang w:eastAsia="cs-CZ"/>
        </w:rPr>
        <w:t>a</w:t>
      </w:r>
      <w:r w:rsidR="00692E86">
        <w:rPr>
          <w:rFonts w:asciiTheme="majorHAnsi" w:hAnsiTheme="majorHAnsi"/>
          <w:szCs w:val="22"/>
          <w:lang w:eastAsia="cs-CZ"/>
        </w:rPr>
        <w:t> </w:t>
      </w:r>
      <w:r w:rsidRPr="00A678A6">
        <w:rPr>
          <w:rFonts w:asciiTheme="majorHAnsi" w:hAnsiTheme="majorHAnsi"/>
          <w:szCs w:val="22"/>
          <w:lang w:eastAsia="cs-CZ"/>
        </w:rPr>
        <w:t>verejných výskumných organizácií</w:t>
      </w:r>
      <w:r w:rsidR="00122C65">
        <w:rPr>
          <w:rFonts w:asciiTheme="majorHAnsi" w:hAnsiTheme="majorHAnsi"/>
          <w:szCs w:val="22"/>
          <w:lang w:eastAsia="cs-CZ"/>
        </w:rPr>
        <w:t>,</w:t>
      </w:r>
      <w:r w:rsidRPr="00A678A6">
        <w:rPr>
          <w:rFonts w:asciiTheme="majorHAnsi" w:hAnsiTheme="majorHAnsi"/>
          <w:szCs w:val="22"/>
          <w:lang w:eastAsia="cs-CZ"/>
        </w:rPr>
        <w:t xml:space="preserve"> podporovať vznik inovatívnych start-up, spin-off a klastrov prostredníctvom administratívnej podpory transferu technológií z verejných inštitúcií a prepojením VaV a technologických inkubátorov.</w:t>
      </w:r>
    </w:p>
    <w:p w:rsidR="00154311" w:rsidRPr="00A678A6" w:rsidRDefault="00154311" w:rsidP="00154311">
      <w:pPr>
        <w:rPr>
          <w:rFonts w:asciiTheme="majorHAnsi" w:hAnsiTheme="majorHAnsi"/>
          <w:szCs w:val="22"/>
          <w:lang w:eastAsia="cs-CZ"/>
        </w:rPr>
      </w:pPr>
      <w:r>
        <w:rPr>
          <w:rFonts w:asciiTheme="majorHAnsi" w:hAnsiTheme="majorHAnsi"/>
          <w:szCs w:val="22"/>
          <w:lang w:eastAsia="cs-CZ"/>
        </w:rPr>
        <w:lastRenderedPageBreak/>
        <w:t>V rámci programov podpory VaI je potrebné vytvoriť účinné a vzájomne prepojené nástroje na podporu spolupráce výskumnej a podnikateľskej sféry, kde programy koordinované podnikateľskými subjektmi budú v partnerstve s výskumnou sférou a naopak v súlade s RIS3. Zefektívniť inštitucionálne usporiadanie VaI základne, zrealizovať spoločnú akreditáciu všetkých výskumných subjektov v SR a na základe výsledkov akreditácie sprehľadniť a zobjektivizovať systém inštitucionálnej podpory všetkých výskumných inštitúcií na Slovensku.</w:t>
      </w:r>
    </w:p>
    <w:p w:rsidR="00A678A6" w:rsidRPr="00A678A6" w:rsidRDefault="00A678A6" w:rsidP="00A678A6">
      <w:pPr>
        <w:rPr>
          <w:rFonts w:asciiTheme="majorHAnsi" w:hAnsiTheme="majorHAnsi"/>
          <w:sz w:val="20"/>
          <w:lang w:eastAsia="cs-CZ"/>
        </w:rPr>
      </w:pPr>
      <w:r w:rsidRPr="00A678A6">
        <w:rPr>
          <w:rFonts w:asciiTheme="majorHAnsi" w:hAnsiTheme="majorHAnsi"/>
          <w:szCs w:val="22"/>
          <w:lang w:eastAsia="cs-CZ"/>
        </w:rPr>
        <w:t>Vo vidieckych oblastiach je potrebné posilniť hospodársky rast využívaním poradenských služieb a podpory vzdelávania poradcov pre oblasť inovácií. Prenosom poznatkov prostredníctvom poradenstva pre subjekty pôsobiace vo vidieckom území sa zabezpečí zvýšenie hospodárskej a environmentálnej výkonnosti ich podnikania. Je potrebné zvýšiť poľnohospodársku produktivitu a udržateľnosť posilnením prepojenia poznatkov výskumu s faktormi vidieka, a</w:t>
      </w:r>
      <w:r w:rsidR="00692E86">
        <w:rPr>
          <w:rFonts w:asciiTheme="majorHAnsi" w:hAnsiTheme="majorHAnsi"/>
          <w:szCs w:val="22"/>
          <w:lang w:eastAsia="cs-CZ"/>
        </w:rPr>
        <w:t> </w:t>
      </w:r>
      <w:r w:rsidRPr="00A678A6">
        <w:rPr>
          <w:rFonts w:asciiTheme="majorHAnsi" w:hAnsiTheme="majorHAnsi"/>
          <w:szCs w:val="22"/>
          <w:lang w:eastAsia="cs-CZ"/>
        </w:rPr>
        <w:t>to v súlade s cieľmi Európskeho inovačného partnerstva (EIP) pre produktivitu a udržateľnosť poľnohospodárstva.</w:t>
      </w:r>
    </w:p>
    <w:p w:rsidR="00A678A6" w:rsidRPr="00A678A6" w:rsidRDefault="00A678A6" w:rsidP="006F002B">
      <w:pPr>
        <w:keepNext/>
        <w:keepLines/>
        <w:numPr>
          <w:ilvl w:val="4"/>
          <w:numId w:val="2"/>
        </w:numPr>
        <w:spacing w:before="200" w:after="0"/>
        <w:outlineLvl w:val="4"/>
        <w:rPr>
          <w:rFonts w:asciiTheme="majorHAnsi" w:eastAsiaTheme="majorEastAsia" w:hAnsiTheme="majorHAnsi"/>
          <w:color w:val="243F60" w:themeColor="accent1" w:themeShade="7F"/>
        </w:rPr>
      </w:pPr>
      <w:r w:rsidRPr="00A678A6">
        <w:rPr>
          <w:rFonts w:asciiTheme="majorHAnsi" w:eastAsiaTheme="majorEastAsia" w:hAnsiTheme="majorHAnsi"/>
          <w:color w:val="243F60" w:themeColor="accent1" w:themeShade="7F"/>
        </w:rPr>
        <w:t>Očakávané výsledky</w:t>
      </w:r>
    </w:p>
    <w:p w:rsidR="00A678A6" w:rsidRPr="00A678A6" w:rsidRDefault="00A678A6" w:rsidP="00671A61">
      <w:pPr>
        <w:spacing w:after="240"/>
        <w:rPr>
          <w:rFonts w:asciiTheme="majorHAnsi" w:hAnsiTheme="majorHAnsi"/>
          <w:szCs w:val="22"/>
          <w:lang w:eastAsia="cs-CZ"/>
        </w:rPr>
      </w:pPr>
      <w:r w:rsidRPr="00A678A6">
        <w:rPr>
          <w:rFonts w:asciiTheme="majorHAnsi" w:hAnsiTheme="majorHAnsi"/>
          <w:szCs w:val="22"/>
          <w:lang w:eastAsia="cs-CZ"/>
        </w:rPr>
        <w:t>Cieľovým stavom je podpora budovania 1. a 3. piliera stratégie NPR a</w:t>
      </w:r>
      <w:r w:rsidR="00692E86">
        <w:rPr>
          <w:rFonts w:asciiTheme="majorHAnsi" w:hAnsiTheme="majorHAnsi"/>
          <w:szCs w:val="22"/>
          <w:lang w:eastAsia="cs-CZ"/>
        </w:rPr>
        <w:t> </w:t>
      </w:r>
      <w:r w:rsidRPr="00A678A6">
        <w:rPr>
          <w:rFonts w:asciiTheme="majorHAnsi" w:hAnsiTheme="majorHAnsi"/>
          <w:szCs w:val="22"/>
          <w:lang w:eastAsia="cs-CZ"/>
        </w:rPr>
        <w:t xml:space="preserve">vytvorenie priaznivého prostredia, ktoré bude motivovať aktérov intenzívne inovovať. Jeho prejavom bude zvýšená </w:t>
      </w:r>
      <w:r w:rsidR="007B26BF">
        <w:rPr>
          <w:rFonts w:asciiTheme="majorHAnsi" w:hAnsiTheme="majorHAnsi"/>
          <w:szCs w:val="22"/>
          <w:lang w:eastAsia="cs-CZ"/>
        </w:rPr>
        <w:t>VVaI</w:t>
      </w:r>
      <w:r w:rsidRPr="00A678A6">
        <w:rPr>
          <w:rFonts w:asciiTheme="majorHAnsi" w:hAnsiTheme="majorHAnsi"/>
          <w:szCs w:val="22"/>
          <w:lang w:eastAsia="cs-CZ"/>
        </w:rPr>
        <w:t xml:space="preserve"> výkonnosť SR a účinná transformácia do zvýšenej konkurenčnej schopnosti a tvorby nových atraktívnych pracovných miest vo všetkých regiónoch SR. Podporou EŠIF v zmysle RIS3, a to v definovaných oblastiach špecializácie</w:t>
      </w:r>
      <w:r w:rsidRPr="00A678A6">
        <w:rPr>
          <w:rFonts w:asciiTheme="majorHAnsi" w:hAnsiTheme="majorHAnsi"/>
          <w:szCs w:val="22"/>
          <w:vertAlign w:val="superscript"/>
          <w:lang w:eastAsia="cs-CZ"/>
        </w:rPr>
        <w:footnoteReference w:id="266"/>
      </w:r>
      <w:r w:rsidRPr="00A678A6">
        <w:rPr>
          <w:rFonts w:asciiTheme="majorHAnsi" w:hAnsiTheme="majorHAnsi"/>
          <w:szCs w:val="22"/>
          <w:lang w:eastAsia="cs-CZ"/>
        </w:rPr>
        <w:t xml:space="preserve"> z hľadiska dostupných </w:t>
      </w:r>
      <w:r w:rsidR="007B26BF">
        <w:rPr>
          <w:rFonts w:asciiTheme="majorHAnsi" w:hAnsiTheme="majorHAnsi"/>
          <w:szCs w:val="22"/>
          <w:lang w:eastAsia="cs-CZ"/>
        </w:rPr>
        <w:t>VaV</w:t>
      </w:r>
      <w:r w:rsidRPr="00A678A6">
        <w:rPr>
          <w:rFonts w:asciiTheme="majorHAnsi" w:hAnsiTheme="majorHAnsi"/>
          <w:szCs w:val="22"/>
          <w:lang w:eastAsia="cs-CZ"/>
        </w:rPr>
        <w:t xml:space="preserve"> kapacít sa dosiahne pozitívny efekt aj pri riešení celospoločenských tém, akými sú uplatnenie mladých ľudí v meniacich sa podmienkach, starnutie obyvateľstva a kvalita života, marginalizované skupiny a sociálna inklúzia, znižovanie emisií, ochrana a lepšie využívanie prírodných zdrojov (hlavne pôdy, vody a lesov), adaptácia na zmenu klímy a pod.</w:t>
      </w:r>
    </w:p>
    <w:p w:rsidR="00A678A6" w:rsidRPr="00A678A6" w:rsidRDefault="00A678A6" w:rsidP="00A678A6">
      <w:pPr>
        <w:spacing w:before="0" w:after="0"/>
        <w:rPr>
          <w:rFonts w:asciiTheme="majorHAnsi" w:hAnsiTheme="majorHAnsi"/>
          <w:b/>
          <w:szCs w:val="22"/>
          <w:lang w:eastAsia="cs-CZ"/>
        </w:rPr>
      </w:pPr>
      <w:r w:rsidRPr="00A678A6">
        <w:rPr>
          <w:rFonts w:asciiTheme="majorHAnsi" w:hAnsiTheme="majorHAnsi"/>
          <w:b/>
          <w:szCs w:val="22"/>
          <w:lang w:eastAsia="cs-CZ"/>
        </w:rPr>
        <w:t>Investície</w:t>
      </w:r>
      <w:r w:rsidR="00692E86">
        <w:rPr>
          <w:rFonts w:asciiTheme="majorHAnsi" w:hAnsiTheme="majorHAnsi"/>
          <w:b/>
          <w:szCs w:val="22"/>
          <w:lang w:eastAsia="cs-CZ"/>
        </w:rPr>
        <w:t xml:space="preserve"> </w:t>
      </w:r>
      <w:r w:rsidRPr="00A678A6">
        <w:rPr>
          <w:rFonts w:asciiTheme="majorHAnsi" w:hAnsiTheme="majorHAnsi"/>
          <w:b/>
          <w:szCs w:val="22"/>
          <w:lang w:eastAsia="cs-CZ"/>
        </w:rPr>
        <w:t>EFRR</w:t>
      </w:r>
    </w:p>
    <w:p w:rsidR="00A678A6" w:rsidRPr="00A678A6" w:rsidRDefault="00A92C19" w:rsidP="00CD70BE">
      <w:pPr>
        <w:numPr>
          <w:ilvl w:val="0"/>
          <w:numId w:val="8"/>
        </w:numPr>
        <w:spacing w:before="0" w:after="0"/>
        <w:contextualSpacing/>
        <w:rPr>
          <w:rFonts w:asciiTheme="majorHAnsi" w:hAnsiTheme="majorHAnsi"/>
          <w:b/>
          <w:szCs w:val="22"/>
        </w:rPr>
      </w:pPr>
      <w:r>
        <w:rPr>
          <w:rFonts w:asciiTheme="majorHAnsi" w:hAnsiTheme="majorHAnsi"/>
          <w:szCs w:val="22"/>
        </w:rPr>
        <w:t>do</w:t>
      </w:r>
      <w:r w:rsidR="00A678A6" w:rsidRPr="00A678A6">
        <w:rPr>
          <w:rFonts w:asciiTheme="majorHAnsi" w:hAnsiTheme="majorHAnsi"/>
          <w:szCs w:val="22"/>
        </w:rPr>
        <w:t xml:space="preserve">budovanie infraštruktúry </w:t>
      </w:r>
      <w:r w:rsidR="00BD7D10">
        <w:rPr>
          <w:rFonts w:asciiTheme="majorHAnsi" w:hAnsiTheme="majorHAnsi"/>
          <w:szCs w:val="22"/>
        </w:rPr>
        <w:t>VVaI</w:t>
      </w:r>
      <w:r w:rsidR="00A678A6" w:rsidRPr="00A678A6">
        <w:rPr>
          <w:rFonts w:asciiTheme="majorHAnsi" w:hAnsiTheme="majorHAnsi"/>
          <w:b/>
          <w:szCs w:val="22"/>
        </w:rPr>
        <w:t xml:space="preserve"> </w:t>
      </w:r>
      <w:r w:rsidR="00A678A6" w:rsidRPr="00A678A6">
        <w:rPr>
          <w:rFonts w:asciiTheme="majorHAnsi" w:hAnsiTheme="majorHAnsi"/>
          <w:szCs w:val="22"/>
        </w:rPr>
        <w:t>efektívne využívanej akademickým, súkromným a neziskovým sektorom;</w:t>
      </w:r>
    </w:p>
    <w:p w:rsidR="00A678A6" w:rsidRPr="00A678A6"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posilňovanie excelentnosti výskumu;</w:t>
      </w:r>
    </w:p>
    <w:p w:rsidR="00A678A6" w:rsidRPr="00A678A6"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zvýšenie podielu zmluvného výskumu, aplikovaného výskumu, vývoja a vedecko-technických služieb;</w:t>
      </w:r>
    </w:p>
    <w:p w:rsidR="00A678A6" w:rsidRPr="007B26BF"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zlepšenie ochrany a využívania duševného vlastníctva a</w:t>
      </w:r>
      <w:r w:rsidR="007B26BF">
        <w:rPr>
          <w:rFonts w:asciiTheme="majorHAnsi" w:hAnsiTheme="majorHAnsi"/>
          <w:szCs w:val="22"/>
        </w:rPr>
        <w:t xml:space="preserve"> zvýšenie počtu </w:t>
      </w:r>
      <w:r w:rsidR="007B26BF" w:rsidRPr="00A678A6">
        <w:rPr>
          <w:rFonts w:asciiTheme="majorHAnsi" w:hAnsiTheme="majorHAnsi"/>
          <w:szCs w:val="22"/>
        </w:rPr>
        <w:t>patentov</w:t>
      </w:r>
      <w:r w:rsidR="007B26BF">
        <w:rPr>
          <w:rFonts w:asciiTheme="majorHAnsi" w:hAnsiTheme="majorHAnsi"/>
          <w:szCs w:val="22"/>
        </w:rPr>
        <w:t>ých prihlášok</w:t>
      </w:r>
      <w:r w:rsidRPr="00A678A6">
        <w:rPr>
          <w:rFonts w:asciiTheme="majorHAnsi" w:hAnsiTheme="majorHAnsi"/>
          <w:szCs w:val="22"/>
        </w:rPr>
        <w:t>;</w:t>
      </w:r>
    </w:p>
    <w:p w:rsidR="007B26BF" w:rsidRPr="00A678A6" w:rsidRDefault="007B26BF" w:rsidP="00CD70BE">
      <w:pPr>
        <w:numPr>
          <w:ilvl w:val="0"/>
          <w:numId w:val="8"/>
        </w:numPr>
        <w:spacing w:before="0" w:after="0"/>
        <w:contextualSpacing/>
        <w:rPr>
          <w:rFonts w:asciiTheme="majorHAnsi" w:hAnsiTheme="majorHAnsi"/>
          <w:b/>
          <w:szCs w:val="22"/>
        </w:rPr>
      </w:pPr>
      <w:r>
        <w:rPr>
          <w:rFonts w:asciiTheme="majorHAnsi" w:hAnsiTheme="majorHAnsi"/>
          <w:szCs w:val="22"/>
        </w:rPr>
        <w:t>nárast publikačnej činnosti;</w:t>
      </w:r>
    </w:p>
    <w:p w:rsidR="00A678A6" w:rsidRPr="00A678A6"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optimalizácia a výkonnostne orientované procesy podpory VVaI;</w:t>
      </w:r>
    </w:p>
    <w:p w:rsidR="00A678A6" w:rsidRPr="00A678A6"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zvýšenie súkromných investícií výdavkov do akademickej vedy a výskumu prostredníctvom vytvárania partnerstiev medzi inštitúciami VaV a priemyslom;</w:t>
      </w:r>
    </w:p>
    <w:p w:rsidR="00A678A6" w:rsidRPr="00A678A6"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zvýšenie spolupráce a výmeny poznatkov s </w:t>
      </w:r>
      <w:r w:rsidR="007B26BF">
        <w:rPr>
          <w:rFonts w:asciiTheme="majorHAnsi" w:hAnsiTheme="majorHAnsi"/>
          <w:szCs w:val="22"/>
        </w:rPr>
        <w:t>VaV</w:t>
      </w:r>
      <w:r w:rsidRPr="00A678A6">
        <w:rPr>
          <w:rFonts w:asciiTheme="majorHAnsi" w:hAnsiTheme="majorHAnsi"/>
          <w:szCs w:val="22"/>
        </w:rPr>
        <w:t xml:space="preserve"> inštitúciami v rámci ERA</w:t>
      </w:r>
      <w:r w:rsidR="006B5CFF">
        <w:rPr>
          <w:rFonts w:asciiTheme="majorHAnsi" w:hAnsiTheme="majorHAnsi"/>
          <w:szCs w:val="22"/>
        </w:rPr>
        <w:t xml:space="preserve"> a európskych programov a iniciatív v oblasti VaI (napr. Horizont 2020)</w:t>
      </w:r>
      <w:r w:rsidRPr="00A678A6">
        <w:rPr>
          <w:rFonts w:asciiTheme="majorHAnsi" w:hAnsiTheme="majorHAnsi"/>
          <w:szCs w:val="22"/>
        </w:rPr>
        <w:t>;</w:t>
      </w:r>
    </w:p>
    <w:p w:rsidR="00A678A6" w:rsidRPr="003F0750"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 xml:space="preserve">zvýšenie </w:t>
      </w:r>
      <w:r w:rsidR="00BD7D10">
        <w:rPr>
          <w:rFonts w:asciiTheme="majorHAnsi" w:hAnsiTheme="majorHAnsi"/>
          <w:szCs w:val="22"/>
        </w:rPr>
        <w:t>VaI</w:t>
      </w:r>
      <w:r w:rsidR="007B26BF">
        <w:rPr>
          <w:rFonts w:asciiTheme="majorHAnsi" w:hAnsiTheme="majorHAnsi"/>
          <w:szCs w:val="22"/>
        </w:rPr>
        <w:t xml:space="preserve"> aktivít</w:t>
      </w:r>
      <w:r w:rsidRPr="00A678A6">
        <w:rPr>
          <w:rFonts w:asciiTheme="majorHAnsi" w:hAnsiTheme="majorHAnsi"/>
          <w:szCs w:val="22"/>
        </w:rPr>
        <w:t xml:space="preserve"> v oblasti energetiky</w:t>
      </w:r>
      <w:r w:rsidR="007B26BF">
        <w:rPr>
          <w:rStyle w:val="Odkaznapoznmkupodiarou"/>
          <w:rFonts w:asciiTheme="majorHAnsi" w:hAnsiTheme="majorHAnsi"/>
          <w:szCs w:val="22"/>
        </w:rPr>
        <w:footnoteReference w:id="267"/>
      </w:r>
      <w:r w:rsidRPr="00A678A6">
        <w:rPr>
          <w:rFonts w:asciiTheme="majorHAnsi" w:hAnsiTheme="majorHAnsi"/>
          <w:szCs w:val="22"/>
        </w:rPr>
        <w:t>;</w:t>
      </w:r>
    </w:p>
    <w:p w:rsidR="00154311" w:rsidRPr="003F0750" w:rsidRDefault="00154311" w:rsidP="00CD70BE">
      <w:pPr>
        <w:numPr>
          <w:ilvl w:val="0"/>
          <w:numId w:val="8"/>
        </w:numPr>
        <w:spacing w:before="0" w:after="0"/>
        <w:contextualSpacing/>
        <w:rPr>
          <w:rFonts w:asciiTheme="majorHAnsi" w:hAnsiTheme="majorHAnsi"/>
          <w:szCs w:val="22"/>
        </w:rPr>
      </w:pPr>
      <w:r w:rsidRPr="00F35154">
        <w:rPr>
          <w:rFonts w:asciiTheme="majorHAnsi" w:hAnsiTheme="majorHAnsi"/>
          <w:szCs w:val="22"/>
        </w:rPr>
        <w:t>zvýšenie VaI</w:t>
      </w:r>
      <w:r w:rsidR="007B26BF">
        <w:rPr>
          <w:rFonts w:asciiTheme="majorHAnsi" w:hAnsiTheme="majorHAnsi"/>
          <w:szCs w:val="22"/>
        </w:rPr>
        <w:t xml:space="preserve"> aktivít</w:t>
      </w:r>
      <w:r w:rsidRPr="00C85677">
        <w:rPr>
          <w:rFonts w:asciiTheme="majorHAnsi" w:hAnsiTheme="majorHAnsi"/>
          <w:szCs w:val="22"/>
        </w:rPr>
        <w:t xml:space="preserve"> </w:t>
      </w:r>
      <w:r w:rsidR="007B26BF">
        <w:rPr>
          <w:rFonts w:asciiTheme="majorHAnsi" w:hAnsiTheme="majorHAnsi"/>
          <w:szCs w:val="22"/>
        </w:rPr>
        <w:t>v</w:t>
      </w:r>
      <w:r w:rsidR="00692E86">
        <w:rPr>
          <w:rFonts w:asciiTheme="majorHAnsi" w:hAnsiTheme="majorHAnsi"/>
          <w:szCs w:val="22"/>
        </w:rPr>
        <w:t> </w:t>
      </w:r>
      <w:r w:rsidRPr="00C85677">
        <w:rPr>
          <w:rFonts w:asciiTheme="majorHAnsi" w:hAnsiTheme="majorHAnsi"/>
          <w:szCs w:val="22"/>
        </w:rPr>
        <w:t>životnom prostred</w:t>
      </w:r>
      <w:r>
        <w:rPr>
          <w:rFonts w:asciiTheme="majorHAnsi" w:hAnsiTheme="majorHAnsi"/>
          <w:szCs w:val="22"/>
        </w:rPr>
        <w:t xml:space="preserve">í a uľahčenie rozvoja nových inovatívnych technológií </w:t>
      </w:r>
      <w:r w:rsidR="007B26BF">
        <w:rPr>
          <w:rFonts w:asciiTheme="majorHAnsi" w:hAnsiTheme="majorHAnsi"/>
          <w:szCs w:val="22"/>
        </w:rPr>
        <w:t xml:space="preserve">(eko-inovácie) </w:t>
      </w:r>
      <w:r>
        <w:rPr>
          <w:rFonts w:asciiTheme="majorHAnsi" w:hAnsiTheme="majorHAnsi"/>
          <w:szCs w:val="22"/>
        </w:rPr>
        <w:t>s cieľom zvýšenia efektívneho využívania zdrojov;</w:t>
      </w:r>
    </w:p>
    <w:p w:rsidR="00A678A6" w:rsidRPr="00A678A6"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zvýšenie počtu spolupracujúcich podnikov v dodávateľskom reťazci prostredníctvom vytvárania sietí, klastrov a inovačných centier, vrátane spolupráce MSP s veľkými podnikmi;</w:t>
      </w:r>
    </w:p>
    <w:p w:rsidR="00A678A6" w:rsidRPr="00A678A6"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zvýšenie konkurencieschopnosti súkromného sektora v oblasti inovácií v medzinárodnom priestore, aj formou technologických upgradeov;</w:t>
      </w:r>
    </w:p>
    <w:p w:rsidR="00A678A6" w:rsidRPr="00C327AA" w:rsidRDefault="00A678A6" w:rsidP="00CD70BE">
      <w:pPr>
        <w:numPr>
          <w:ilvl w:val="0"/>
          <w:numId w:val="8"/>
        </w:numPr>
        <w:spacing w:before="0" w:after="0"/>
        <w:contextualSpacing/>
        <w:rPr>
          <w:rFonts w:asciiTheme="majorHAnsi" w:hAnsiTheme="majorHAnsi"/>
          <w:b/>
          <w:szCs w:val="22"/>
        </w:rPr>
      </w:pPr>
      <w:r w:rsidRPr="00A678A6">
        <w:rPr>
          <w:rFonts w:asciiTheme="majorHAnsi" w:hAnsiTheme="majorHAnsi"/>
          <w:szCs w:val="22"/>
        </w:rPr>
        <w:t>zvýšenie udržateľných pracovných príležitostí pre tvorivých, zručných a vzdelaných ľudí</w:t>
      </w:r>
      <w:r w:rsidR="007B26BF">
        <w:rPr>
          <w:rFonts w:asciiTheme="majorHAnsi" w:hAnsiTheme="majorHAnsi"/>
          <w:szCs w:val="22"/>
        </w:rPr>
        <w:t xml:space="preserve"> vo VaI;</w:t>
      </w:r>
    </w:p>
    <w:p w:rsidR="007B26BF" w:rsidRPr="00A678A6" w:rsidRDefault="007B26BF" w:rsidP="00CD70BE">
      <w:pPr>
        <w:numPr>
          <w:ilvl w:val="0"/>
          <w:numId w:val="8"/>
        </w:numPr>
        <w:spacing w:before="0" w:after="0"/>
        <w:contextualSpacing/>
        <w:rPr>
          <w:rFonts w:asciiTheme="majorHAnsi" w:hAnsiTheme="majorHAnsi"/>
          <w:b/>
          <w:szCs w:val="22"/>
        </w:rPr>
      </w:pPr>
      <w:r>
        <w:rPr>
          <w:rFonts w:asciiTheme="majorHAnsi" w:hAnsiTheme="majorHAnsi"/>
          <w:szCs w:val="22"/>
        </w:rPr>
        <w:lastRenderedPageBreak/>
        <w:t>zvýšenie medzinárodnej mobility slovenských pracovníkov VaV a absolventov vysokých škôl.</w:t>
      </w:r>
    </w:p>
    <w:p w:rsidR="00A678A6" w:rsidRPr="00A678A6" w:rsidRDefault="00A678A6" w:rsidP="00A678A6">
      <w:pPr>
        <w:rPr>
          <w:rFonts w:asciiTheme="majorHAnsi" w:hAnsiTheme="majorHAnsi"/>
          <w:b/>
          <w:szCs w:val="22"/>
          <w:lang w:eastAsia="cs-CZ"/>
        </w:rPr>
      </w:pPr>
      <w:r w:rsidRPr="00A678A6">
        <w:rPr>
          <w:rFonts w:asciiTheme="majorHAnsi" w:hAnsiTheme="majorHAnsi"/>
          <w:b/>
          <w:szCs w:val="22"/>
          <w:lang w:eastAsia="cs-CZ"/>
        </w:rPr>
        <w:t>Investície</w:t>
      </w:r>
      <w:r w:rsidR="00692E86">
        <w:rPr>
          <w:rFonts w:asciiTheme="majorHAnsi" w:hAnsiTheme="majorHAnsi"/>
          <w:b/>
          <w:szCs w:val="22"/>
          <w:lang w:eastAsia="cs-CZ"/>
        </w:rPr>
        <w:t xml:space="preserve"> </w:t>
      </w:r>
      <w:r w:rsidRPr="00A678A6">
        <w:rPr>
          <w:rFonts w:asciiTheme="majorHAnsi" w:hAnsiTheme="majorHAnsi"/>
          <w:b/>
          <w:szCs w:val="22"/>
          <w:lang w:eastAsia="cs-CZ"/>
        </w:rPr>
        <w:t>EPFRV</w:t>
      </w:r>
    </w:p>
    <w:p w:rsidR="00A678A6" w:rsidRPr="00A678A6" w:rsidRDefault="00A678A6" w:rsidP="00CD70BE">
      <w:pPr>
        <w:numPr>
          <w:ilvl w:val="0"/>
          <w:numId w:val="9"/>
        </w:numPr>
        <w:spacing w:before="0" w:after="0"/>
        <w:contextualSpacing/>
        <w:rPr>
          <w:rFonts w:asciiTheme="majorHAnsi" w:hAnsiTheme="majorHAnsi"/>
          <w:szCs w:val="22"/>
        </w:rPr>
      </w:pPr>
      <w:r w:rsidRPr="00A678A6">
        <w:rPr>
          <w:rFonts w:asciiTheme="majorHAnsi" w:hAnsiTheme="majorHAnsi"/>
          <w:szCs w:val="22"/>
        </w:rPr>
        <w:t>dostupný poradenský systém pre vidiecke subjekty;</w:t>
      </w:r>
    </w:p>
    <w:p w:rsidR="00A678A6" w:rsidRPr="00A678A6" w:rsidRDefault="00A678A6" w:rsidP="00CD70BE">
      <w:pPr>
        <w:numPr>
          <w:ilvl w:val="0"/>
          <w:numId w:val="9"/>
        </w:numPr>
        <w:spacing w:before="0" w:after="0"/>
        <w:contextualSpacing/>
        <w:rPr>
          <w:rFonts w:asciiTheme="majorHAnsi" w:hAnsiTheme="majorHAnsi"/>
          <w:b/>
          <w:szCs w:val="22"/>
        </w:rPr>
      </w:pPr>
      <w:r w:rsidRPr="00A678A6">
        <w:rPr>
          <w:rFonts w:asciiTheme="majorHAnsi" w:hAnsiTheme="majorHAnsi"/>
          <w:szCs w:val="22"/>
        </w:rPr>
        <w:t>posilnenie inovačnej kapacity a spolupráce aktérov v rámci „znalostného trojuholníka“ vzdelávanie-výskum-</w:t>
      </w:r>
      <w:r w:rsidR="00E86FD5">
        <w:rPr>
          <w:rFonts w:asciiTheme="majorHAnsi" w:hAnsiTheme="majorHAnsi"/>
          <w:szCs w:val="22"/>
        </w:rPr>
        <w:t>inovácie</w:t>
      </w:r>
      <w:r w:rsidR="00E86FD5" w:rsidRPr="00A678A6">
        <w:rPr>
          <w:rFonts w:asciiTheme="majorHAnsi" w:hAnsiTheme="majorHAnsi"/>
          <w:szCs w:val="22"/>
        </w:rPr>
        <w:t xml:space="preserve"> </w:t>
      </w:r>
      <w:r w:rsidRPr="00A678A6">
        <w:rPr>
          <w:rFonts w:asciiTheme="majorHAnsi" w:hAnsiTheme="majorHAnsi"/>
          <w:szCs w:val="22"/>
        </w:rPr>
        <w:t>s podnikateľskou praxou;</w:t>
      </w:r>
    </w:p>
    <w:p w:rsidR="00A678A6" w:rsidRPr="00A678A6" w:rsidRDefault="00A678A6" w:rsidP="00CD70BE">
      <w:pPr>
        <w:numPr>
          <w:ilvl w:val="0"/>
          <w:numId w:val="9"/>
        </w:numPr>
        <w:spacing w:before="0" w:after="0"/>
        <w:contextualSpacing/>
        <w:rPr>
          <w:rFonts w:asciiTheme="majorHAnsi" w:hAnsiTheme="majorHAnsi"/>
          <w:b/>
          <w:szCs w:val="22"/>
        </w:rPr>
      </w:pPr>
      <w:r w:rsidRPr="00A678A6">
        <w:rPr>
          <w:rFonts w:asciiTheme="majorHAnsi" w:hAnsiTheme="majorHAnsi"/>
          <w:szCs w:val="22"/>
        </w:rPr>
        <w:t>posilnenie prepojenia poľnohospodárstva, potravinárstva a lesného hospodárstva s </w:t>
      </w:r>
      <w:r w:rsidR="00BD7D10">
        <w:rPr>
          <w:rFonts w:asciiTheme="majorHAnsi" w:hAnsiTheme="majorHAnsi"/>
          <w:szCs w:val="22"/>
        </w:rPr>
        <w:t>VaI</w:t>
      </w:r>
      <w:r w:rsidRPr="00A678A6">
        <w:rPr>
          <w:rFonts w:asciiTheme="majorHAnsi" w:hAnsiTheme="majorHAnsi"/>
          <w:szCs w:val="22"/>
        </w:rPr>
        <w:t xml:space="preserve"> prostredníctvom spolupráce, prenosu znalostí;</w:t>
      </w:r>
    </w:p>
    <w:p w:rsidR="00A678A6" w:rsidRPr="00A678A6" w:rsidRDefault="00A678A6" w:rsidP="00CD70BE">
      <w:pPr>
        <w:numPr>
          <w:ilvl w:val="0"/>
          <w:numId w:val="9"/>
        </w:numPr>
        <w:spacing w:before="0" w:after="0"/>
        <w:contextualSpacing/>
        <w:rPr>
          <w:rFonts w:asciiTheme="majorHAnsi" w:hAnsiTheme="majorHAnsi"/>
          <w:b/>
          <w:szCs w:val="22"/>
        </w:rPr>
      </w:pPr>
      <w:r w:rsidRPr="00A678A6">
        <w:rPr>
          <w:rFonts w:asciiTheme="majorHAnsi" w:hAnsiTheme="majorHAnsi"/>
          <w:szCs w:val="22"/>
        </w:rPr>
        <w:t>vytvorenie podmienok pre zakladanie operačných skupín v rámci EIP pre produktivitu a udržateľnosť poľnohospodárstva.</w:t>
      </w:r>
    </w:p>
    <w:p w:rsidR="00A678A6" w:rsidRPr="00A678A6" w:rsidRDefault="00A678A6" w:rsidP="006F002B">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2: Zlepšenie prístupu k informáciám a IKT a zlepšenie ich využívania a kvality</w:t>
      </w:r>
    </w:p>
    <w:p w:rsidR="00A678A6" w:rsidRPr="00A678A6" w:rsidRDefault="00A678A6" w:rsidP="006F002B">
      <w:pPr>
        <w:keepNext/>
        <w:keepLines/>
        <w:numPr>
          <w:ilvl w:val="4"/>
          <w:numId w:val="2"/>
        </w:numPr>
        <w:spacing w:before="200" w:after="0"/>
        <w:ind w:left="1418" w:hanging="113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SR patrí k najrýchlejšie rastúcim exportérom služieb v oblasti IKT v EÚ a sektor IKT zamestnáva v SR čoraz viac ľudí. V súčasnosti sú v realizácii projekty, ktoré zabezpečia poskytovanie elektronických služieb verejnej správy na transakčnej úrovni. </w:t>
      </w:r>
      <w:r w:rsidR="00C068A2" w:rsidRPr="00C068A2">
        <w:rPr>
          <w:rFonts w:asciiTheme="majorHAnsi" w:hAnsiTheme="majorHAnsi" w:cs="Calibri"/>
          <w:szCs w:val="22"/>
        </w:rPr>
        <w:t>Dňa 2.</w:t>
      </w:r>
      <w:r w:rsidR="00500CA1">
        <w:rPr>
          <w:rFonts w:asciiTheme="majorHAnsi" w:hAnsiTheme="majorHAnsi" w:cs="Calibri"/>
          <w:szCs w:val="22"/>
        </w:rPr>
        <w:t xml:space="preserve"> </w:t>
      </w:r>
      <w:r w:rsidR="00C068A2" w:rsidRPr="00C068A2">
        <w:rPr>
          <w:rFonts w:asciiTheme="majorHAnsi" w:hAnsiTheme="majorHAnsi" w:cs="Calibri"/>
          <w:szCs w:val="22"/>
        </w:rPr>
        <w:t>12.</w:t>
      </w:r>
      <w:r w:rsidR="00500CA1">
        <w:rPr>
          <w:rFonts w:asciiTheme="majorHAnsi" w:hAnsiTheme="majorHAnsi" w:cs="Calibri"/>
          <w:szCs w:val="22"/>
        </w:rPr>
        <w:t xml:space="preserve"> </w:t>
      </w:r>
      <w:r w:rsidR="00C068A2" w:rsidRPr="00C068A2">
        <w:rPr>
          <w:rFonts w:asciiTheme="majorHAnsi" w:hAnsiTheme="majorHAnsi" w:cs="Calibri"/>
          <w:szCs w:val="22"/>
        </w:rPr>
        <w:t>2013 sa začala vydávať eID karta, čím je umožnená autentifikácia a</w:t>
      </w:r>
      <w:r w:rsidR="00AF0238">
        <w:rPr>
          <w:rFonts w:asciiTheme="majorHAnsi" w:hAnsiTheme="majorHAnsi" w:cs="Calibri"/>
          <w:szCs w:val="22"/>
        </w:rPr>
        <w:t> </w:t>
      </w:r>
      <w:r w:rsidR="00C068A2" w:rsidRPr="00C068A2">
        <w:rPr>
          <w:rFonts w:asciiTheme="majorHAnsi" w:hAnsiTheme="majorHAnsi" w:cs="Calibri"/>
          <w:szCs w:val="22"/>
        </w:rPr>
        <w:t xml:space="preserve">autorizácia občana. </w:t>
      </w:r>
      <w:r w:rsidRPr="00A678A6">
        <w:rPr>
          <w:rFonts w:asciiTheme="majorHAnsi" w:hAnsiTheme="majorHAnsi"/>
          <w:szCs w:val="22"/>
          <w:lang w:eastAsia="cs-CZ"/>
        </w:rPr>
        <w:t>Centralizujú sa základné registre a implementujú sa spoločné moduly ústredného portálu verejnej správy, ktoré budú predstavovať jednotný bod prístupu k elektronickým službám verejnej správy. Tieto služby budú taktiež asistovane poskytované na integrovaných obslužných miestach. Implementácia takto rozsiahlej zmeny informatizácie verejnej správy neprebieha bezproblémovo, ale Slovensko získalo cenné skúsenosti a vybudovalo potrebné kapacity a kompetencie nutné pre ďalšie zlepšovanie procesu informatizácie.</w:t>
      </w:r>
    </w:p>
    <w:p w:rsidR="00A678A6" w:rsidRPr="00A678A6" w:rsidRDefault="00A678A6" w:rsidP="00A678A6">
      <w:pPr>
        <w:rPr>
          <w:rFonts w:asciiTheme="majorHAnsi" w:hAnsiTheme="majorHAnsi"/>
          <w:sz w:val="20"/>
          <w:lang w:eastAsia="cs-CZ"/>
        </w:rPr>
      </w:pPr>
      <w:r w:rsidRPr="00A678A6">
        <w:rPr>
          <w:rFonts w:asciiTheme="majorHAnsi" w:hAnsiTheme="majorHAnsi"/>
          <w:szCs w:val="22"/>
          <w:lang w:eastAsia="cs-CZ"/>
        </w:rPr>
        <w:t xml:space="preserve">Jednou z aktivít pre zabezpečenie pokrytia širokopásmovým internetom v programovom období 2007 </w:t>
      </w:r>
      <w:r w:rsidR="0042426B" w:rsidRPr="00A678A6">
        <w:rPr>
          <w:rFonts w:asciiTheme="majorHAnsi" w:hAnsiTheme="majorHAnsi"/>
          <w:szCs w:val="22"/>
          <w:lang w:eastAsia="cs-CZ"/>
        </w:rPr>
        <w:t>–</w:t>
      </w:r>
      <w:r w:rsidR="00500CA1" w:rsidRPr="00A678A6">
        <w:rPr>
          <w:rFonts w:asciiTheme="majorHAnsi" w:hAnsiTheme="majorHAnsi"/>
          <w:szCs w:val="22"/>
          <w:lang w:eastAsia="cs-CZ"/>
        </w:rPr>
        <w:t xml:space="preserve"> </w:t>
      </w:r>
      <w:r w:rsidRPr="00A678A6">
        <w:rPr>
          <w:rFonts w:asciiTheme="majorHAnsi" w:hAnsiTheme="majorHAnsi"/>
          <w:szCs w:val="22"/>
          <w:lang w:eastAsia="cs-CZ"/>
        </w:rPr>
        <w:t>2013 bolo opatrenie OP Informatizácia spoločnosti (OP IS, prioritná os 3) smerované na pokrývanie bielych a šedých miest. Toto opatrenie sa však realizovalo len v rozsahu prípravy projektovej dokumentácie. V programovom období 2007 – 2013 bolo z PRV SR alokovaných cca 6,6 mil. EUR verejných zdrojov na investície do tzv. bielych miest, ktoré sa nachádzajú na území PSK a </w:t>
      </w:r>
      <w:r w:rsidR="00C651A7" w:rsidRPr="00A678A6" w:rsidDel="00C651A7">
        <w:rPr>
          <w:rFonts w:asciiTheme="majorHAnsi" w:hAnsiTheme="majorHAnsi"/>
          <w:szCs w:val="22"/>
          <w:lang w:eastAsia="cs-CZ"/>
        </w:rPr>
        <w:t xml:space="preserve"> </w:t>
      </w:r>
      <w:r w:rsidRPr="00A678A6">
        <w:rPr>
          <w:rFonts w:asciiTheme="majorHAnsi" w:hAnsiTheme="majorHAnsi"/>
          <w:szCs w:val="22"/>
          <w:lang w:eastAsia="cs-CZ"/>
        </w:rPr>
        <w:t>BBSK. Predpokladá sa, že internet v dôsledku týchto investícií pokryje v oprávnených obciach min. 15 000 obyvateľov</w:t>
      </w:r>
      <w:r w:rsidRPr="00A678A6">
        <w:rPr>
          <w:rFonts w:asciiTheme="majorHAnsi" w:hAnsiTheme="majorHAnsi"/>
          <w:sz w:val="20"/>
          <w:lang w:eastAsia="cs-CZ"/>
        </w:rPr>
        <w:t>.</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A678A6">
      <w:pPr>
        <w:rPr>
          <w:rFonts w:asciiTheme="majorHAnsi" w:hAnsiTheme="majorHAnsi"/>
          <w:szCs w:val="22"/>
          <w:vertAlign w:val="superscript"/>
          <w:lang w:eastAsia="cs-CZ"/>
        </w:rPr>
      </w:pPr>
      <w:r w:rsidRPr="00A678A6">
        <w:rPr>
          <w:rFonts w:asciiTheme="majorHAnsi" w:hAnsiTheme="majorHAnsi"/>
          <w:szCs w:val="22"/>
          <w:lang w:eastAsia="cs-CZ"/>
        </w:rPr>
        <w:t xml:space="preserve">V nadväznosti na plnenie cieľov </w:t>
      </w:r>
      <w:r w:rsidR="00BD7D10">
        <w:rPr>
          <w:rFonts w:asciiTheme="majorHAnsi" w:hAnsiTheme="majorHAnsi"/>
          <w:szCs w:val="22"/>
          <w:lang w:eastAsia="cs-CZ"/>
        </w:rPr>
        <w:t>s</w:t>
      </w:r>
      <w:r w:rsidR="00BD7D10" w:rsidRPr="00A678A6">
        <w:rPr>
          <w:rFonts w:asciiTheme="majorHAnsi" w:hAnsiTheme="majorHAnsi"/>
          <w:szCs w:val="22"/>
          <w:lang w:eastAsia="cs-CZ"/>
        </w:rPr>
        <w:t xml:space="preserve">tratégie </w:t>
      </w:r>
      <w:r w:rsidRPr="00A678A6">
        <w:rPr>
          <w:rFonts w:asciiTheme="majorHAnsi" w:hAnsiTheme="majorHAnsi"/>
          <w:szCs w:val="22"/>
          <w:lang w:eastAsia="cs-CZ"/>
        </w:rPr>
        <w:t>Európa 2020 a NPR je v podmienkach SR potrebné zabezpečiť rozvoj služieb podporený príležitosťou, ktorú prinášajú nové technológie (sociálne siete, inteligentné mobilné zariadenia, otvorené a prelinkované dáta a pod.). Cieľom je aj zníženie výdavkov inštitúcií verejnej správy, ako aj poskytovanie služieb verejnej správy v oveľa vyššom štandarde.</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V súlade s Digitálnou agendou</w:t>
      </w:r>
      <w:r w:rsidRPr="00A678A6">
        <w:rPr>
          <w:rFonts w:asciiTheme="majorHAnsi" w:hAnsiTheme="majorHAnsi"/>
          <w:szCs w:val="22"/>
          <w:vertAlign w:val="superscript"/>
          <w:lang w:eastAsia="cs-CZ"/>
        </w:rPr>
        <w:footnoteReference w:id="268"/>
      </w:r>
      <w:r w:rsidRPr="00A678A6">
        <w:rPr>
          <w:rFonts w:asciiTheme="majorHAnsi" w:hAnsiTheme="majorHAnsi"/>
          <w:szCs w:val="22"/>
          <w:lang w:eastAsia="cs-CZ"/>
        </w:rPr>
        <w:t xml:space="preserve"> je nevyhnutné zabezpečiť stimuláciu súkromných investícií v oblasti </w:t>
      </w:r>
      <w:r w:rsidR="00BD7D10">
        <w:rPr>
          <w:rFonts w:asciiTheme="majorHAnsi" w:hAnsiTheme="majorHAnsi"/>
          <w:szCs w:val="22"/>
          <w:lang w:eastAsia="cs-CZ"/>
        </w:rPr>
        <w:t>VaI</w:t>
      </w:r>
      <w:r w:rsidRPr="00A678A6">
        <w:rPr>
          <w:rFonts w:asciiTheme="majorHAnsi" w:hAnsiTheme="majorHAnsi"/>
          <w:szCs w:val="22"/>
          <w:lang w:eastAsia="cs-CZ"/>
        </w:rPr>
        <w:t>, zaviesť riešenia širokopásmového internetu tak, aby sa IKT mohlo využívať vo všetkých sektoroch priemyslu so zameraním na normy a otvorené platformy pre nové výrobky a služby. Je potrebné zabezpečiť vytvorenie spoločnej infraštruktúry pre výskum IKT a inovačné zoskupenia s cieľom rozvíjať elektronickú infraštruktúru, a to najmä medzi verejnou správou, podnikateľským prostredím a vedeckým sektorom.</w:t>
      </w:r>
    </w:p>
    <w:p w:rsidR="00A678A6" w:rsidRDefault="00A678A6" w:rsidP="003F0750">
      <w:pPr>
        <w:spacing w:before="0" w:after="0"/>
        <w:rPr>
          <w:rFonts w:asciiTheme="majorHAnsi" w:hAnsiTheme="majorHAnsi"/>
          <w:szCs w:val="22"/>
          <w:lang w:eastAsia="cs-CZ"/>
        </w:rPr>
      </w:pPr>
      <w:r w:rsidRPr="00A678A6">
        <w:rPr>
          <w:rFonts w:asciiTheme="majorHAnsi" w:hAnsiTheme="majorHAnsi"/>
          <w:szCs w:val="22"/>
          <w:lang w:eastAsia="cs-CZ"/>
        </w:rPr>
        <w:t>Zároveň je potrebné podporiť priority a ciele v súlade so Strategickým dokumentom pre oblasť rastu digitálnych služieb a</w:t>
      </w:r>
      <w:r w:rsidR="00183EE4">
        <w:rPr>
          <w:rFonts w:asciiTheme="majorHAnsi" w:hAnsiTheme="majorHAnsi"/>
          <w:szCs w:val="22"/>
          <w:lang w:eastAsia="cs-CZ"/>
        </w:rPr>
        <w:t xml:space="preserve"> oblasť </w:t>
      </w:r>
      <w:r w:rsidRPr="00A678A6">
        <w:rPr>
          <w:rFonts w:asciiTheme="majorHAnsi" w:hAnsiTheme="majorHAnsi"/>
          <w:szCs w:val="22"/>
          <w:lang w:eastAsia="cs-CZ"/>
        </w:rPr>
        <w:t>infraštruktúry prístupovej siete novej generácie</w:t>
      </w:r>
      <w:r w:rsidRPr="00A678A6">
        <w:rPr>
          <w:rFonts w:asciiTheme="majorHAnsi" w:hAnsiTheme="majorHAnsi"/>
          <w:sz w:val="20"/>
          <w:vertAlign w:val="superscript"/>
          <w:lang w:eastAsia="cs-CZ"/>
        </w:rPr>
        <w:footnoteReference w:id="269"/>
      </w:r>
      <w:r w:rsidRPr="00A678A6">
        <w:rPr>
          <w:rFonts w:asciiTheme="majorHAnsi" w:hAnsiTheme="majorHAnsi"/>
          <w:szCs w:val="22"/>
          <w:lang w:eastAsia="cs-CZ"/>
        </w:rPr>
        <w:t xml:space="preserve"> zamerané na zlepšenie služieb občanom a podnikateľom v oblastiach rozvoja elektronických služieb, využívania otvorených dát, podpory podnikov v digitálnej ekonomike a podpory e-inklúzie. Základným predpokladom pre </w:t>
      </w:r>
      <w:r w:rsidRPr="00A678A6">
        <w:rPr>
          <w:rFonts w:asciiTheme="majorHAnsi" w:hAnsiTheme="majorHAnsi"/>
          <w:szCs w:val="22"/>
          <w:lang w:eastAsia="cs-CZ"/>
        </w:rPr>
        <w:lastRenderedPageBreak/>
        <w:t xml:space="preserve">fungovanie informačnej spoločnosti je aj budovanie infraštruktúry širokopásmového internetu a pokrytia oblastí ako aj územia, v ktorom je možné využiť rýchlosť prenosu dát aspoň 30 Mbit/s. </w:t>
      </w:r>
      <w:r w:rsidR="00990000" w:rsidRPr="00990000">
        <w:rPr>
          <w:rFonts w:asciiTheme="majorHAnsi" w:hAnsiTheme="majorHAnsi"/>
          <w:szCs w:val="22"/>
          <w:lang w:eastAsia="cs-CZ"/>
        </w:rPr>
        <w:t>Infraštruktúra širokopásmového internetu bude budovaná plne v súlade so Strategickým dokumentom pre oblasť rastu digitálnych služieb a</w:t>
      </w:r>
      <w:r w:rsidR="00692E86">
        <w:rPr>
          <w:rFonts w:asciiTheme="majorHAnsi" w:hAnsiTheme="majorHAnsi"/>
          <w:szCs w:val="22"/>
          <w:lang w:eastAsia="cs-CZ"/>
        </w:rPr>
        <w:t> </w:t>
      </w:r>
      <w:r w:rsidR="00990000" w:rsidRPr="00990000">
        <w:rPr>
          <w:rFonts w:asciiTheme="majorHAnsi" w:hAnsiTheme="majorHAnsi"/>
          <w:szCs w:val="22"/>
          <w:lang w:eastAsia="cs-CZ"/>
        </w:rPr>
        <w:t xml:space="preserve">oblasť infraštruktúry prístupovej siete novej generácie (2014 </w:t>
      </w:r>
      <w:r w:rsidR="00692E86">
        <w:rPr>
          <w:rFonts w:asciiTheme="majorHAnsi" w:hAnsiTheme="majorHAnsi"/>
          <w:szCs w:val="22"/>
          <w:lang w:eastAsia="cs-CZ"/>
        </w:rPr>
        <w:t>–</w:t>
      </w:r>
      <w:r w:rsidR="00990000" w:rsidRPr="00990000">
        <w:rPr>
          <w:rFonts w:asciiTheme="majorHAnsi" w:hAnsiTheme="majorHAnsi"/>
          <w:szCs w:val="22"/>
          <w:lang w:eastAsia="cs-CZ"/>
        </w:rPr>
        <w:t xml:space="preserve"> 2020)</w:t>
      </w:r>
      <w:r w:rsidR="00C327AA">
        <w:rPr>
          <w:rStyle w:val="Odkaznapoznmkupodiarou"/>
          <w:rFonts w:asciiTheme="majorHAnsi" w:hAnsiTheme="majorHAnsi"/>
          <w:szCs w:val="22"/>
          <w:lang w:eastAsia="cs-CZ"/>
        </w:rPr>
        <w:footnoteReference w:id="270"/>
      </w:r>
      <w:r w:rsidR="00990000" w:rsidRPr="00990000">
        <w:rPr>
          <w:rFonts w:asciiTheme="majorHAnsi" w:hAnsiTheme="majorHAnsi"/>
          <w:szCs w:val="22"/>
          <w:lang w:eastAsia="cs-CZ"/>
        </w:rPr>
        <w:t>.</w:t>
      </w:r>
      <w:r w:rsidR="00990000" w:rsidRPr="00990000">
        <w:rPr>
          <w:rFonts w:asciiTheme="majorHAnsi" w:hAnsiTheme="majorHAnsi"/>
          <w:szCs w:val="22"/>
          <w:vertAlign w:val="superscript"/>
          <w:lang w:eastAsia="cs-CZ"/>
        </w:rPr>
        <w:t xml:space="preserve"> </w:t>
      </w:r>
      <w:r w:rsidR="00990000">
        <w:rPr>
          <w:rFonts w:asciiTheme="majorHAnsi" w:hAnsiTheme="majorHAnsi"/>
          <w:szCs w:val="22"/>
          <w:vertAlign w:val="superscript"/>
          <w:lang w:eastAsia="cs-CZ"/>
        </w:rPr>
        <w:t xml:space="preserve"> </w:t>
      </w:r>
      <w:r w:rsidRPr="00A678A6">
        <w:rPr>
          <w:rFonts w:asciiTheme="majorHAnsi" w:hAnsiTheme="majorHAnsi"/>
          <w:szCs w:val="22"/>
          <w:lang w:eastAsia="cs-CZ"/>
        </w:rPr>
        <w:t>V súvislosti so špecifickými odporúčaniami Rady pre SR</w:t>
      </w:r>
      <w:r w:rsidRPr="00A678A6">
        <w:rPr>
          <w:rFonts w:asciiTheme="majorHAnsi" w:hAnsiTheme="majorHAnsi"/>
          <w:szCs w:val="22"/>
          <w:vertAlign w:val="superscript"/>
          <w:lang w:eastAsia="cs-CZ"/>
        </w:rPr>
        <w:footnoteReference w:id="271"/>
      </w:r>
      <w:r w:rsidRPr="00A678A6">
        <w:rPr>
          <w:rFonts w:asciiTheme="majorHAnsi" w:hAnsiTheme="majorHAnsi"/>
          <w:szCs w:val="22"/>
          <w:lang w:eastAsia="cs-CZ"/>
        </w:rPr>
        <w:t xml:space="preserve"> by za účelom zvýšenia nákladovej účinnosti sektora zdravotnej starostlivosti mali byť investície smerované aj do elektronického zdravotníctva</w:t>
      </w:r>
      <w:r w:rsidRPr="00A678A6">
        <w:rPr>
          <w:rFonts w:asciiTheme="majorHAnsi" w:hAnsiTheme="majorHAnsi"/>
          <w:szCs w:val="22"/>
          <w:vertAlign w:val="superscript"/>
          <w:lang w:eastAsia="cs-CZ"/>
        </w:rPr>
        <w:footnoteReference w:id="272"/>
      </w:r>
      <w:r w:rsidRPr="00A678A6">
        <w:rPr>
          <w:rFonts w:asciiTheme="majorHAnsi" w:hAnsiTheme="majorHAnsi"/>
          <w:szCs w:val="22"/>
          <w:lang w:eastAsia="cs-CZ"/>
        </w:rPr>
        <w:t xml:space="preserve">. Zároveň bude potrebné </w:t>
      </w:r>
      <w:r w:rsidR="00183EE4" w:rsidRPr="00A678A6">
        <w:rPr>
          <w:rFonts w:asciiTheme="majorHAnsi" w:hAnsiTheme="majorHAnsi"/>
          <w:szCs w:val="22"/>
          <w:lang w:eastAsia="cs-CZ"/>
        </w:rPr>
        <w:t xml:space="preserve">sa </w:t>
      </w:r>
      <w:r w:rsidRPr="00A678A6">
        <w:rPr>
          <w:rFonts w:asciiTheme="majorHAnsi" w:hAnsiTheme="majorHAnsi"/>
          <w:szCs w:val="22"/>
          <w:lang w:eastAsia="cs-CZ"/>
        </w:rPr>
        <w:t xml:space="preserve">zamerať aj na vývoj produktov a služieb IKT, </w:t>
      </w:r>
      <w:r w:rsidR="00E86FD5">
        <w:rPr>
          <w:rFonts w:asciiTheme="majorHAnsi" w:hAnsiTheme="majorHAnsi"/>
          <w:szCs w:val="22"/>
          <w:lang w:eastAsia="cs-CZ"/>
        </w:rPr>
        <w:t>e-business, e-com</w:t>
      </w:r>
      <w:r w:rsidR="00183EE4">
        <w:rPr>
          <w:rFonts w:asciiTheme="majorHAnsi" w:hAnsiTheme="majorHAnsi"/>
          <w:szCs w:val="22"/>
          <w:lang w:eastAsia="cs-CZ"/>
        </w:rPr>
        <w:t>m</w:t>
      </w:r>
      <w:r w:rsidR="00E86FD5">
        <w:rPr>
          <w:rFonts w:asciiTheme="majorHAnsi" w:hAnsiTheme="majorHAnsi"/>
          <w:szCs w:val="22"/>
          <w:lang w:eastAsia="cs-CZ"/>
        </w:rPr>
        <w:t xml:space="preserve">erce, zlepšovanie procesov, zlepšovanie bezpečnosti informačných systémov, napr. </w:t>
      </w:r>
      <w:r w:rsidRPr="00A678A6">
        <w:rPr>
          <w:rFonts w:asciiTheme="majorHAnsi" w:hAnsiTheme="majorHAnsi"/>
          <w:szCs w:val="22"/>
          <w:lang w:eastAsia="cs-CZ"/>
        </w:rPr>
        <w:t xml:space="preserve">predovšetkým v oblasti </w:t>
      </w:r>
      <w:r w:rsidR="00E86FD5">
        <w:rPr>
          <w:rFonts w:asciiTheme="majorHAnsi" w:hAnsiTheme="majorHAnsi"/>
          <w:szCs w:val="22"/>
          <w:lang w:eastAsia="cs-CZ"/>
        </w:rPr>
        <w:t xml:space="preserve">priemyslu, </w:t>
      </w:r>
      <w:r w:rsidRPr="00A678A6">
        <w:rPr>
          <w:rFonts w:asciiTheme="majorHAnsi" w:hAnsiTheme="majorHAnsi"/>
          <w:szCs w:val="22"/>
          <w:lang w:eastAsia="cs-CZ"/>
        </w:rPr>
        <w:t>poznatkovo intenzívnych služieb, IKT technológií inteligentnej priemyselnej dopravy, technológií pre inteligentný manažment spotreby a </w:t>
      </w:r>
      <w:r w:rsidR="00E83AD1">
        <w:rPr>
          <w:rFonts w:asciiTheme="majorHAnsi" w:hAnsiTheme="majorHAnsi"/>
          <w:szCs w:val="22"/>
          <w:lang w:eastAsia="cs-CZ"/>
        </w:rPr>
        <w:t>z</w:t>
      </w:r>
      <w:r w:rsidR="00E83AD1" w:rsidRPr="00E83AD1">
        <w:rPr>
          <w:rFonts w:asciiTheme="majorHAnsi" w:hAnsiTheme="majorHAnsi"/>
          <w:szCs w:val="22"/>
          <w:lang w:eastAsia="cs-CZ"/>
        </w:rPr>
        <w:t>nalostne intenzívn</w:t>
      </w:r>
      <w:r w:rsidR="00E83AD1">
        <w:rPr>
          <w:rFonts w:asciiTheme="majorHAnsi" w:hAnsiTheme="majorHAnsi"/>
          <w:szCs w:val="22"/>
          <w:lang w:eastAsia="cs-CZ"/>
        </w:rPr>
        <w:t>ych</w:t>
      </w:r>
      <w:r w:rsidR="00E83AD1" w:rsidRPr="00E83AD1">
        <w:rPr>
          <w:rFonts w:asciiTheme="majorHAnsi" w:hAnsiTheme="majorHAnsi"/>
          <w:szCs w:val="22"/>
          <w:lang w:eastAsia="cs-CZ"/>
        </w:rPr>
        <w:t xml:space="preserve"> služ</w:t>
      </w:r>
      <w:r w:rsidR="00E83AD1">
        <w:rPr>
          <w:rFonts w:asciiTheme="majorHAnsi" w:hAnsiTheme="majorHAnsi"/>
          <w:szCs w:val="22"/>
          <w:lang w:eastAsia="cs-CZ"/>
        </w:rPr>
        <w:t>ie</w:t>
      </w:r>
      <w:r w:rsidR="00E83AD1" w:rsidRPr="00E83AD1">
        <w:rPr>
          <w:rFonts w:asciiTheme="majorHAnsi" w:hAnsiTheme="majorHAnsi"/>
          <w:szCs w:val="22"/>
          <w:lang w:eastAsia="cs-CZ"/>
        </w:rPr>
        <w:t>b pre podniky (</w:t>
      </w:r>
      <w:r w:rsidRPr="00E83AD1">
        <w:rPr>
          <w:rFonts w:asciiTheme="majorHAnsi" w:hAnsiTheme="majorHAnsi"/>
          <w:szCs w:val="22"/>
          <w:lang w:eastAsia="cs-CZ"/>
        </w:rPr>
        <w:t>KIBS</w:t>
      </w:r>
      <w:r w:rsidR="00E83AD1" w:rsidRPr="00E83AD1">
        <w:rPr>
          <w:rFonts w:asciiTheme="majorHAnsi" w:hAnsiTheme="majorHAnsi"/>
          <w:szCs w:val="22"/>
          <w:lang w:eastAsia="cs-CZ"/>
        </w:rPr>
        <w:t>)</w:t>
      </w:r>
      <w:r w:rsidRPr="00E83AD1">
        <w:rPr>
          <w:rFonts w:asciiTheme="majorHAnsi" w:hAnsiTheme="majorHAnsi"/>
          <w:szCs w:val="22"/>
          <w:lang w:eastAsia="cs-CZ"/>
        </w:rPr>
        <w:t xml:space="preserve"> za účelom zvýšenia ich podielu na tvorbe HDP a zvýšenia KIBS na celkovej pr</w:t>
      </w:r>
      <w:r w:rsidRPr="00A678A6">
        <w:rPr>
          <w:rFonts w:asciiTheme="majorHAnsi" w:hAnsiTheme="majorHAnsi"/>
          <w:szCs w:val="22"/>
          <w:lang w:eastAsia="cs-CZ"/>
        </w:rPr>
        <w:t>odukcii podnikateľského sektora.</w:t>
      </w:r>
    </w:p>
    <w:p w:rsidR="007B7E75" w:rsidRPr="007B7E75" w:rsidRDefault="007B7E75" w:rsidP="003F0750">
      <w:pPr>
        <w:spacing w:before="0" w:after="0"/>
        <w:rPr>
          <w:rFonts w:asciiTheme="majorHAnsi" w:hAnsiTheme="majorHAnsi"/>
          <w:szCs w:val="22"/>
          <w:lang w:eastAsia="cs-CZ"/>
        </w:rPr>
      </w:pPr>
      <w:r w:rsidRPr="007B7E75">
        <w:rPr>
          <w:rFonts w:asciiTheme="majorHAnsi" w:hAnsiTheme="majorHAnsi"/>
          <w:szCs w:val="22"/>
          <w:lang w:eastAsia="cs-CZ"/>
        </w:rPr>
        <w:t>Komplementárnym spôsobom bude prispievať k implementáci</w:t>
      </w:r>
      <w:r w:rsidR="00BD7D10">
        <w:rPr>
          <w:rFonts w:asciiTheme="majorHAnsi" w:hAnsiTheme="majorHAnsi"/>
          <w:szCs w:val="22"/>
          <w:lang w:eastAsia="cs-CZ"/>
        </w:rPr>
        <w:t xml:space="preserve">i </w:t>
      </w:r>
      <w:r w:rsidRPr="007B7E75">
        <w:rPr>
          <w:rFonts w:asciiTheme="majorHAnsi" w:hAnsiTheme="majorHAnsi"/>
          <w:szCs w:val="22"/>
          <w:lang w:eastAsia="cs-CZ"/>
        </w:rPr>
        <w:t>stratégie RIS3.</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A678A6">
      <w:pPr>
        <w:rPr>
          <w:rFonts w:asciiTheme="majorHAnsi" w:hAnsiTheme="majorHAnsi"/>
          <w:szCs w:val="22"/>
          <w:lang w:eastAsia="cs-CZ"/>
        </w:rPr>
      </w:pPr>
      <w:r w:rsidRPr="00A678A6">
        <w:rPr>
          <w:rFonts w:asciiTheme="majorHAnsi" w:hAnsiTheme="majorHAnsi"/>
          <w:b/>
          <w:szCs w:val="22"/>
          <w:lang w:eastAsia="cs-CZ"/>
        </w:rPr>
        <w:t>Investície EFRR</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kvality, štandardu a dostupnosti služieb e-Governmentu pre podnikateľov;</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kvality, štandardu a dostupnosti služieb e-Governmentu pre občanov;</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celkovej dostupnosti dát verejnej správy vo forme otvorených dát a podpora princípov otvoreného riadenia;</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inovačnej kapacity podnikateľov v </w:t>
      </w:r>
      <w:r w:rsidR="00183EE4">
        <w:rPr>
          <w:rFonts w:asciiTheme="majorHAnsi" w:hAnsiTheme="majorHAnsi"/>
          <w:szCs w:val="22"/>
        </w:rPr>
        <w:t>DE</w:t>
      </w:r>
      <w:r w:rsidRPr="00A678A6">
        <w:rPr>
          <w:rFonts w:asciiTheme="majorHAnsi" w:hAnsiTheme="majorHAnsi"/>
          <w:szCs w:val="22"/>
        </w:rPr>
        <w:t>;</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zlepšenie digitálnych zručností a inklúzie znevýhodnených jednotlivcov do digitálneho trhu;</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umožnenie modernizácie, racionalizácie a rozvoj analytických kapacít verejnej správy prostredníctvom IKT;</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racionalizácie prevádzky informačných systémov pomocou e-Government cloudu;</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kybernetickej bezpečnosti v spoločnosti;</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pokrytia širokopásmovým internetom v</w:t>
      </w:r>
      <w:r w:rsidR="00692E86">
        <w:rPr>
          <w:rFonts w:asciiTheme="majorHAnsi" w:hAnsiTheme="majorHAnsi"/>
          <w:szCs w:val="22"/>
        </w:rPr>
        <w:t> </w:t>
      </w:r>
      <w:r w:rsidRPr="00A678A6">
        <w:rPr>
          <w:rFonts w:asciiTheme="majorHAnsi" w:hAnsiTheme="majorHAnsi"/>
          <w:szCs w:val="22"/>
        </w:rPr>
        <w:t>bielych a</w:t>
      </w:r>
      <w:r w:rsidR="00692E86">
        <w:rPr>
          <w:rFonts w:asciiTheme="majorHAnsi" w:hAnsiTheme="majorHAnsi"/>
          <w:szCs w:val="22"/>
        </w:rPr>
        <w:t> </w:t>
      </w:r>
      <w:r w:rsidRPr="00A678A6">
        <w:rPr>
          <w:rFonts w:asciiTheme="majorHAnsi" w:hAnsiTheme="majorHAnsi"/>
          <w:szCs w:val="22"/>
        </w:rPr>
        <w:t>šedých miestach, vrátane vidieckych oblastí s pripojením nad 30 Mbit/s do roku 2020.</w:t>
      </w:r>
    </w:p>
    <w:p w:rsidR="00A678A6" w:rsidRPr="00A678A6" w:rsidRDefault="00A678A6" w:rsidP="00692E86">
      <w:pPr>
        <w:rPr>
          <w:rFonts w:asciiTheme="majorHAnsi" w:hAnsiTheme="majorHAnsi"/>
          <w:b/>
          <w:sz w:val="20"/>
          <w:lang w:eastAsia="cs-CZ"/>
        </w:rPr>
      </w:pPr>
      <w:r w:rsidRPr="00A678A6">
        <w:rPr>
          <w:rFonts w:asciiTheme="majorHAnsi" w:hAnsiTheme="majorHAnsi"/>
          <w:b/>
          <w:szCs w:val="22"/>
          <w:lang w:eastAsia="cs-CZ"/>
        </w:rPr>
        <w:t>Investície EPFRV</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Podpora projektov tzv. poslednej míle v obciach do 500 obyvateľov s cieľom zvýšenia pokrytia širokopásmovým internetom (s pripojením nad 30 Mbit/s vo vidieckych oblastiach do roku 2020);</w:t>
      </w:r>
    </w:p>
    <w:p w:rsidR="00A678A6" w:rsidRPr="00A678A6" w:rsidRDefault="00A678A6" w:rsidP="00CD70BE">
      <w:pPr>
        <w:numPr>
          <w:ilvl w:val="0"/>
          <w:numId w:val="10"/>
        </w:numPr>
        <w:spacing w:before="0" w:after="0"/>
        <w:contextualSpacing/>
        <w:rPr>
          <w:rFonts w:asciiTheme="majorHAnsi" w:hAnsiTheme="majorHAnsi"/>
          <w:szCs w:val="22"/>
        </w:rPr>
      </w:pPr>
      <w:r w:rsidRPr="00A678A6">
        <w:rPr>
          <w:rFonts w:asciiTheme="majorHAnsi" w:hAnsiTheme="majorHAnsi"/>
          <w:szCs w:val="22"/>
        </w:rPr>
        <w:t>zvýšenie IKT produktov a služieb využívaných v hospodárstve a komunitách na vidieku, podpora e-commerce a zvýšenie dopytu po IKT.</w:t>
      </w:r>
    </w:p>
    <w:p w:rsidR="00A678A6" w:rsidRPr="00A678A6" w:rsidRDefault="00A678A6" w:rsidP="006F002B">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3: Zvýšenie konkurencieschopnosti MSP, sektora poľnohospodárstva (v prípade EPFRV) a sektora rybárstva a akvakultúry (v prípade ENRF)</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MSP sú v súčasnosti ohrozené pretrvávajúcou ekonomickou krízou a zároveň prebiehajúcimi zmenami v podnikateľskom prostredí. V dôsledku toho je dlhodobo zastavený ich rast. Podniky dosahujú nízku mieru prežitia</w:t>
      </w:r>
      <w:r w:rsidRPr="00A678A6">
        <w:rPr>
          <w:rFonts w:asciiTheme="majorHAnsi" w:hAnsiTheme="majorHAnsi"/>
          <w:szCs w:val="22"/>
          <w:vertAlign w:val="superscript"/>
          <w:lang w:eastAsia="cs-CZ"/>
        </w:rPr>
        <w:footnoteReference w:id="273"/>
      </w:r>
      <w:r w:rsidRPr="00A678A6">
        <w:rPr>
          <w:rFonts w:asciiTheme="majorHAnsi" w:hAnsiTheme="majorHAnsi"/>
          <w:szCs w:val="22"/>
          <w:lang w:eastAsia="cs-CZ"/>
        </w:rPr>
        <w:t xml:space="preserve"> a prebieha ich marginalizácia spojená s útlmom podnikateľských </w:t>
      </w:r>
      <w:r w:rsidRPr="00A678A6">
        <w:rPr>
          <w:rFonts w:asciiTheme="majorHAnsi" w:hAnsiTheme="majorHAnsi"/>
          <w:szCs w:val="22"/>
          <w:lang w:eastAsia="cs-CZ"/>
        </w:rPr>
        <w:lastRenderedPageBreak/>
        <w:t>aktivít, znižovaním počtu pracovných miest a ohrozením ich ekonomickej udržateľnosti. Zároveň sa zvyšuje zameranie na sektor služieb</w:t>
      </w:r>
      <w:r w:rsidRPr="00A678A6">
        <w:rPr>
          <w:rFonts w:asciiTheme="majorHAnsi" w:hAnsiTheme="majorHAnsi"/>
          <w:szCs w:val="22"/>
          <w:vertAlign w:val="superscript"/>
          <w:lang w:eastAsia="cs-CZ"/>
        </w:rPr>
        <w:footnoteReference w:id="274"/>
      </w:r>
      <w:r w:rsidRPr="00A678A6">
        <w:rPr>
          <w:rFonts w:asciiTheme="majorHAnsi" w:hAnsiTheme="majorHAnsi"/>
          <w:szCs w:val="22"/>
          <w:lang w:eastAsia="cs-CZ"/>
        </w:rPr>
        <w:t>.</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Kľúčovým problémom SR je nízka konkurencieschopnosť a flexibilita MSP spôsobená aj nedostatočnými zdrojmi financovania a podpory inovatívnych firiem. V ekonomickej štruktúre MSP prevládajú odvetvia služieb s nižšou poznatkovou náročnosťou. Medzi hlavné problémy patrí aj nízka kapitalizácia, klesajúca ziskovosť MSP spojená s nižšou tvorbou daňových príjmov a nedostatočný prístup MSP k finančným zdrojom.</w:t>
      </w:r>
    </w:p>
    <w:p w:rsidR="00A678A6" w:rsidRDefault="00A678A6" w:rsidP="00A678A6">
      <w:pPr>
        <w:suppressAutoHyphens/>
        <w:autoSpaceDN w:val="0"/>
        <w:spacing w:before="0"/>
        <w:textAlignment w:val="baseline"/>
        <w:rPr>
          <w:rFonts w:asciiTheme="majorHAnsi" w:eastAsia="SimSun" w:hAnsiTheme="majorHAnsi"/>
          <w:kern w:val="3"/>
          <w:szCs w:val="22"/>
          <w:lang w:eastAsia="zh-CN" w:bidi="hi-IN"/>
        </w:rPr>
      </w:pPr>
      <w:r w:rsidRPr="00A678A6">
        <w:rPr>
          <w:rFonts w:asciiTheme="majorHAnsi" w:eastAsia="SimSun" w:hAnsiTheme="majorHAnsi"/>
          <w:kern w:val="3"/>
          <w:szCs w:val="22"/>
          <w:lang w:eastAsia="zh-CN" w:bidi="hi-IN"/>
        </w:rPr>
        <w:t xml:space="preserve">Pre slovenské poľnohospodárstvo je charakteristická nízka pridaná hodnota a nízke príjmy na hektár poľnohospodárskej pôdy v porovnaní s ostatnými štátmi EÚ. </w:t>
      </w:r>
      <w:r w:rsidRPr="00A678A6">
        <w:rPr>
          <w:rFonts w:asciiTheme="majorHAnsi" w:eastAsia="SimSun" w:hAnsiTheme="majorHAnsi" w:cs="Mangal"/>
          <w:kern w:val="3"/>
          <w:szCs w:val="22"/>
          <w:lang w:eastAsia="zh-CN" w:bidi="hi-IN"/>
        </w:rPr>
        <w:t>Hospodárenie podnikov je stratové, klesá produkcia rastlinnej, ale najmä živočíšnej výroby.</w:t>
      </w:r>
      <w:r w:rsidRPr="00A678A6">
        <w:rPr>
          <w:rFonts w:asciiTheme="majorHAnsi" w:eastAsia="SimSun" w:hAnsiTheme="majorHAnsi" w:cs="Mangal"/>
          <w:kern w:val="3"/>
          <w:sz w:val="24"/>
          <w:lang w:eastAsia="zh-CN" w:bidi="hi-IN"/>
        </w:rPr>
        <w:t xml:space="preserve"> </w:t>
      </w:r>
      <w:r w:rsidRPr="00A678A6">
        <w:rPr>
          <w:rFonts w:asciiTheme="majorHAnsi" w:eastAsia="SimSun" w:hAnsiTheme="majorHAnsi" w:cs="Mangal"/>
          <w:kern w:val="3"/>
          <w:szCs w:val="22"/>
          <w:lang w:eastAsia="zh-CN" w:bidi="hi-IN"/>
        </w:rPr>
        <w:t>Orientácia smerom k primárnej produkcii, spôsobujúca výkyvy na svetových komoditných trhoch, výrazne ovplyvňuje príjmy slovenských poľnohospodárov. V snahe znížiť náklady dochádza k znižovaniu počtu pracovníkov a ďalšiemu poklesu produkcie.</w:t>
      </w:r>
      <w:r w:rsidRPr="00A678A6">
        <w:rPr>
          <w:rFonts w:asciiTheme="majorHAnsi" w:eastAsia="SimSun" w:hAnsiTheme="majorHAnsi"/>
          <w:kern w:val="3"/>
          <w:szCs w:val="22"/>
          <w:lang w:eastAsia="zh-CN" w:bidi="hi-IN"/>
        </w:rPr>
        <w:t xml:space="preserve"> Pridaná hodnota z adaptácie na medzinárodné štandardy obchodovania s poľnohospodárskymi a potravinárskymi výrobkami sa pri súčasnom rozdrobení ponuky prvovýrobcov a spracovateľov stráca v prospech nadnárodných spoločností, zatiaľ čo miestny dopyt po čerstvých a spracovaných potravinách je pokrytý dovozom.</w:t>
      </w:r>
    </w:p>
    <w:p w:rsidR="004F5A63" w:rsidRPr="004F5A63" w:rsidRDefault="004F5A63" w:rsidP="00A678A6">
      <w:pPr>
        <w:suppressAutoHyphens/>
        <w:autoSpaceDN w:val="0"/>
        <w:spacing w:before="0"/>
        <w:textAlignment w:val="baseline"/>
        <w:rPr>
          <w:rFonts w:asciiTheme="majorHAnsi" w:eastAsia="SimSun" w:hAnsiTheme="majorHAnsi" w:cs="Mangal"/>
          <w:kern w:val="3"/>
          <w:szCs w:val="22"/>
          <w:lang w:eastAsia="zh-CN" w:bidi="hi-IN"/>
        </w:rPr>
      </w:pPr>
      <w:r w:rsidRPr="004F5A63">
        <w:rPr>
          <w:rFonts w:asciiTheme="majorHAnsi" w:hAnsiTheme="majorHAnsi" w:cs="Calibri"/>
          <w:szCs w:val="22"/>
        </w:rPr>
        <w:t>Poľnohospodárstvo ohrozujú okrem normálnych (bežných) rizík najmä katastrofické riziká, ktoré majú síce nízku frekvenciu, ale spôsobujú obrovské škody veľkému počtu poľnohospodárskych subjektov v</w:t>
      </w:r>
      <w:r w:rsidR="004428ED">
        <w:rPr>
          <w:rFonts w:asciiTheme="majorHAnsi" w:hAnsiTheme="majorHAnsi" w:cs="Calibri"/>
          <w:szCs w:val="22"/>
        </w:rPr>
        <w:t> </w:t>
      </w:r>
      <w:r w:rsidRPr="004F5A63">
        <w:rPr>
          <w:rFonts w:asciiTheme="majorHAnsi" w:hAnsiTheme="majorHAnsi" w:cs="Calibri"/>
          <w:szCs w:val="22"/>
        </w:rPr>
        <w:t xml:space="preserve">regióne, resp. krajine. Typické pre odvetvie poľnohospodárstva sú väčšinou prírodné </w:t>
      </w:r>
      <w:r w:rsidR="00BA2E1C">
        <w:rPr>
          <w:rFonts w:asciiTheme="majorHAnsi" w:hAnsiTheme="majorHAnsi" w:cs="Calibri"/>
          <w:szCs w:val="22"/>
        </w:rPr>
        <w:t>mimoriadne udalosti</w:t>
      </w:r>
      <w:r w:rsidR="00BA2E1C" w:rsidRPr="00671A61">
        <w:rPr>
          <w:rStyle w:val="Odkaznapoznmkupodiarou"/>
          <w:rFonts w:asciiTheme="majorHAnsi" w:hAnsiTheme="majorHAnsi"/>
          <w:sz w:val="16"/>
          <w:szCs w:val="16"/>
        </w:rPr>
        <w:footnoteReference w:id="275"/>
      </w:r>
      <w:r w:rsidRPr="004F5A63">
        <w:rPr>
          <w:rFonts w:asciiTheme="majorHAnsi" w:hAnsiTheme="majorHAnsi" w:cs="Calibri"/>
          <w:szCs w:val="22"/>
        </w:rPr>
        <w:t>: klimatické udalosti (krupobitie, povodne,</w:t>
      </w:r>
      <w:r w:rsidR="00A8556B">
        <w:rPr>
          <w:rFonts w:asciiTheme="majorHAnsi" w:hAnsiTheme="majorHAnsi" w:cs="Calibri"/>
          <w:szCs w:val="22"/>
        </w:rPr>
        <w:t xml:space="preserve"> </w:t>
      </w:r>
      <w:r w:rsidR="00A8556B" w:rsidRPr="00A8556B">
        <w:rPr>
          <w:rFonts w:asciiTheme="majorHAnsi" w:hAnsiTheme="majorHAnsi" w:cs="Calibri"/>
          <w:szCs w:val="22"/>
        </w:rPr>
        <w:t xml:space="preserve">podmáčanie a zaplavenie pôdy, dlhotrvajúce </w:t>
      </w:r>
      <w:r w:rsidRPr="004F5A63">
        <w:rPr>
          <w:rFonts w:asciiTheme="majorHAnsi" w:hAnsiTheme="majorHAnsi" w:cs="Calibri"/>
          <w:szCs w:val="22"/>
        </w:rPr>
        <w:t>sucho, búrky a</w:t>
      </w:r>
      <w:r w:rsidR="00692E86">
        <w:rPr>
          <w:rFonts w:asciiTheme="majorHAnsi" w:hAnsiTheme="majorHAnsi" w:cs="Calibri"/>
          <w:szCs w:val="22"/>
        </w:rPr>
        <w:t> </w:t>
      </w:r>
      <w:r w:rsidRPr="004F5A63">
        <w:rPr>
          <w:rFonts w:asciiTheme="majorHAnsi" w:hAnsiTheme="majorHAnsi" w:cs="Calibri"/>
          <w:szCs w:val="22"/>
        </w:rPr>
        <w:t>ďalšie), poškodenie spôsobené škodcami (slimáky, hmyz a</w:t>
      </w:r>
      <w:r w:rsidR="00692E86">
        <w:rPr>
          <w:rFonts w:asciiTheme="majorHAnsi" w:hAnsiTheme="majorHAnsi" w:cs="Calibri"/>
          <w:szCs w:val="22"/>
        </w:rPr>
        <w:t> </w:t>
      </w:r>
      <w:r w:rsidRPr="004F5A63">
        <w:rPr>
          <w:rFonts w:asciiTheme="majorHAnsi" w:hAnsiTheme="majorHAnsi" w:cs="Calibri"/>
          <w:szCs w:val="22"/>
        </w:rPr>
        <w:t>ďalšie) a</w:t>
      </w:r>
      <w:r w:rsidR="004428ED">
        <w:rPr>
          <w:rFonts w:asciiTheme="majorHAnsi" w:hAnsiTheme="majorHAnsi" w:cs="Calibri"/>
          <w:szCs w:val="22"/>
        </w:rPr>
        <w:t> </w:t>
      </w:r>
      <w:r w:rsidRPr="004F5A63">
        <w:rPr>
          <w:rFonts w:asciiTheme="majorHAnsi" w:hAnsiTheme="majorHAnsi" w:cs="Calibri"/>
          <w:szCs w:val="22"/>
        </w:rPr>
        <w:t>choroby/epizootické (slintačka a</w:t>
      </w:r>
      <w:r w:rsidR="004428ED">
        <w:rPr>
          <w:rFonts w:asciiTheme="majorHAnsi" w:hAnsiTheme="majorHAnsi" w:cs="Calibri"/>
          <w:szCs w:val="22"/>
        </w:rPr>
        <w:t> </w:t>
      </w:r>
      <w:r w:rsidRPr="004F5A63">
        <w:rPr>
          <w:rFonts w:asciiTheme="majorHAnsi" w:hAnsiTheme="majorHAnsi" w:cs="Calibri"/>
          <w:szCs w:val="22"/>
        </w:rPr>
        <w:t>krívačka, mor ošípaných a</w:t>
      </w:r>
      <w:r w:rsidR="004428ED">
        <w:rPr>
          <w:rFonts w:asciiTheme="majorHAnsi" w:hAnsiTheme="majorHAnsi" w:cs="Calibri"/>
          <w:szCs w:val="22"/>
        </w:rPr>
        <w:t> </w:t>
      </w:r>
      <w:r w:rsidRPr="004F5A63">
        <w:rPr>
          <w:rFonts w:asciiTheme="majorHAnsi" w:hAnsiTheme="majorHAnsi" w:cs="Calibri"/>
          <w:szCs w:val="22"/>
        </w:rPr>
        <w:t>ďalšie). Vzhľadom na ich katastrofálny charakter (nízka pravdepodobnosť, ale vysoké škody) je ich ťažké riadiť na úrovni podniku alebo prostredníctvom trhových nástrojov. Katastrofické riziká v</w:t>
      </w:r>
      <w:r w:rsidR="004428ED">
        <w:rPr>
          <w:rFonts w:asciiTheme="majorHAnsi" w:hAnsiTheme="majorHAnsi" w:cs="Calibri"/>
          <w:szCs w:val="22"/>
        </w:rPr>
        <w:t> </w:t>
      </w:r>
      <w:r w:rsidRPr="004F5A63">
        <w:rPr>
          <w:rFonts w:asciiTheme="majorHAnsi" w:hAnsiTheme="majorHAnsi" w:cs="Calibri"/>
          <w:szCs w:val="22"/>
        </w:rPr>
        <w:t xml:space="preserve">poľnohospodárstve sa nedajú </w:t>
      </w:r>
      <w:r w:rsidR="00ED6CFF" w:rsidRPr="004F5A63">
        <w:rPr>
          <w:rFonts w:asciiTheme="majorHAnsi" w:hAnsiTheme="majorHAnsi" w:cs="Calibri"/>
          <w:szCs w:val="22"/>
        </w:rPr>
        <w:t>komerčn</w:t>
      </w:r>
      <w:r w:rsidR="00ED6CFF">
        <w:rPr>
          <w:rFonts w:asciiTheme="majorHAnsi" w:hAnsiTheme="majorHAnsi" w:cs="Calibri"/>
          <w:szCs w:val="22"/>
        </w:rPr>
        <w:t>e</w:t>
      </w:r>
      <w:r w:rsidR="00ED6CFF" w:rsidRPr="004F5A63">
        <w:rPr>
          <w:rFonts w:asciiTheme="majorHAnsi" w:hAnsiTheme="majorHAnsi" w:cs="Calibri"/>
          <w:szCs w:val="22"/>
        </w:rPr>
        <w:t xml:space="preserve"> </w:t>
      </w:r>
      <w:r w:rsidRPr="004F5A63">
        <w:rPr>
          <w:rFonts w:asciiTheme="majorHAnsi" w:hAnsiTheme="majorHAnsi" w:cs="Calibri"/>
          <w:szCs w:val="22"/>
        </w:rPr>
        <w:t>poistiť (napr. sucho a</w:t>
      </w:r>
      <w:r w:rsidR="004428ED">
        <w:rPr>
          <w:rFonts w:asciiTheme="majorHAnsi" w:hAnsiTheme="majorHAnsi" w:cs="Calibri"/>
          <w:szCs w:val="22"/>
        </w:rPr>
        <w:t> </w:t>
      </w:r>
      <w:r w:rsidRPr="004F5A63">
        <w:rPr>
          <w:rFonts w:asciiTheme="majorHAnsi" w:hAnsiTheme="majorHAnsi" w:cs="Calibri"/>
          <w:szCs w:val="22"/>
        </w:rPr>
        <w:t>niektoré choroby a</w:t>
      </w:r>
      <w:r w:rsidR="004428ED">
        <w:rPr>
          <w:rFonts w:asciiTheme="majorHAnsi" w:hAnsiTheme="majorHAnsi" w:cs="Calibri"/>
          <w:szCs w:val="22"/>
        </w:rPr>
        <w:t> </w:t>
      </w:r>
      <w:r w:rsidRPr="004F5A63">
        <w:rPr>
          <w:rFonts w:asciiTheme="majorHAnsi" w:hAnsiTheme="majorHAnsi" w:cs="Calibri"/>
          <w:szCs w:val="22"/>
        </w:rPr>
        <w:t>hromadné nákazy zvierat).</w:t>
      </w:r>
    </w:p>
    <w:p w:rsidR="00A678A6" w:rsidRPr="00A678A6" w:rsidRDefault="00A678A6" w:rsidP="00A678A6">
      <w:pPr>
        <w:rPr>
          <w:rFonts w:asciiTheme="majorHAnsi" w:hAnsiTheme="majorHAnsi"/>
          <w:sz w:val="20"/>
          <w:lang w:eastAsia="cs-CZ"/>
        </w:rPr>
      </w:pPr>
      <w:r w:rsidRPr="00A678A6">
        <w:rPr>
          <w:rFonts w:asciiTheme="majorHAnsi" w:hAnsiTheme="majorHAnsi"/>
          <w:szCs w:val="22"/>
          <w:lang w:eastAsia="cs-CZ"/>
        </w:rPr>
        <w:t>V akvakultúre a v</w:t>
      </w:r>
      <w:r w:rsidR="00692E86">
        <w:rPr>
          <w:rFonts w:asciiTheme="majorHAnsi" w:hAnsiTheme="majorHAnsi"/>
          <w:szCs w:val="22"/>
          <w:lang w:eastAsia="cs-CZ"/>
        </w:rPr>
        <w:t> </w:t>
      </w:r>
      <w:r w:rsidRPr="00A678A6">
        <w:rPr>
          <w:rFonts w:asciiTheme="majorHAnsi" w:hAnsiTheme="majorHAnsi"/>
          <w:szCs w:val="22"/>
          <w:lang w:eastAsia="cs-CZ"/>
        </w:rPr>
        <w:t>spracovaní rýb majú tiež zastúpenie MSP, ktoré disponujú obmedzenými zdrojmi financovania a vykazujú nízku konkurencieschopnosť na trhu. Rybníky a rybochovné zariadenia sa nachádzajú predovšetkým na vidieku, kde vytvárajú pracovné miesta najmä pre obyvateľov vidieka.</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V nadväznosti na plnenie cieľov </w:t>
      </w:r>
      <w:r w:rsidR="00C651A7">
        <w:rPr>
          <w:rFonts w:asciiTheme="majorHAnsi" w:hAnsiTheme="majorHAnsi"/>
          <w:szCs w:val="22"/>
          <w:lang w:eastAsia="cs-CZ"/>
        </w:rPr>
        <w:t>s</w:t>
      </w:r>
      <w:r w:rsidR="00C651A7" w:rsidRPr="00A678A6">
        <w:rPr>
          <w:rFonts w:asciiTheme="majorHAnsi" w:hAnsiTheme="majorHAnsi"/>
          <w:szCs w:val="22"/>
          <w:lang w:eastAsia="cs-CZ"/>
        </w:rPr>
        <w:t xml:space="preserve">tratégie </w:t>
      </w:r>
      <w:r w:rsidRPr="00A678A6">
        <w:rPr>
          <w:rFonts w:asciiTheme="majorHAnsi" w:hAnsiTheme="majorHAnsi"/>
          <w:szCs w:val="22"/>
          <w:lang w:eastAsia="cs-CZ"/>
        </w:rPr>
        <w:t xml:space="preserve">Európa 2020, ako aj 1. a 3. pilier stratégie NPR je potrebné zlepšiť podnikateľské prostredie, t. j zlepšiť pozíciu SR v rebríčku Doing bussiness minimálne o 15 miest do roku 2025 a pokračovať v znižovaní </w:t>
      </w:r>
      <w:r w:rsidRPr="00C21FE7">
        <w:rPr>
          <w:rFonts w:asciiTheme="majorHAnsi" w:hAnsiTheme="majorHAnsi"/>
          <w:szCs w:val="22"/>
          <w:lang w:eastAsia="cs-CZ"/>
        </w:rPr>
        <w:t>AZ</w:t>
      </w:r>
      <w:r w:rsidRPr="00A678A6">
        <w:rPr>
          <w:rFonts w:asciiTheme="majorHAnsi" w:hAnsiTheme="majorHAnsi"/>
          <w:szCs w:val="22"/>
          <w:lang w:eastAsia="cs-CZ"/>
        </w:rPr>
        <w:t xml:space="preserve"> podnikania tak, aby SR v tzv. integrovanom indikátore regulácie trhov OECD (PMR – Product Market Regulation indicator) dosiahla hodnotu priemeru krajín OECD (1,45). Takisto je potrebné zlepšiť postavenie Slovenska v </w:t>
      </w:r>
      <w:r w:rsidRPr="00893E58">
        <w:rPr>
          <w:rFonts w:asciiTheme="majorHAnsi" w:hAnsiTheme="majorHAnsi"/>
          <w:szCs w:val="22"/>
          <w:lang w:eastAsia="cs-CZ"/>
        </w:rPr>
        <w:t>hodnotení SBA, ktoré</w:t>
      </w:r>
      <w:r w:rsidRPr="00A678A6">
        <w:rPr>
          <w:rFonts w:asciiTheme="majorHAnsi" w:hAnsiTheme="majorHAnsi"/>
          <w:szCs w:val="22"/>
          <w:lang w:eastAsia="cs-CZ"/>
        </w:rPr>
        <w:t xml:space="preserve"> je takmer vo všetkých oblastiach pod priemerom, aspoň na úroveň priemeru krajín EÚ</w:t>
      </w:r>
      <w:r w:rsidRPr="00A678A6">
        <w:rPr>
          <w:rFonts w:asciiTheme="majorHAnsi" w:hAnsiTheme="majorHAnsi"/>
          <w:szCs w:val="22"/>
          <w:vertAlign w:val="superscript"/>
          <w:lang w:eastAsia="cs-CZ"/>
        </w:rPr>
        <w:footnoteReference w:id="276"/>
      </w:r>
      <w:r w:rsidRPr="00A678A6">
        <w:rPr>
          <w:rFonts w:asciiTheme="majorHAnsi" w:hAnsiTheme="majorHAnsi"/>
          <w:szCs w:val="22"/>
          <w:lang w:eastAsia="cs-CZ"/>
        </w:rPr>
        <w:t>. S ohľadom na dosiahnutie cieľov RIS3 existuje potenciál hlavne v kategóriách MSP (nad 10 zamestnancov). Je preto potrebné prekonať systémové bariéry rozvoja MSP</w:t>
      </w:r>
      <w:r w:rsidR="009424A6">
        <w:rPr>
          <w:rFonts w:asciiTheme="majorHAnsi" w:hAnsiTheme="majorHAnsi"/>
          <w:szCs w:val="22"/>
          <w:lang w:eastAsia="cs-CZ"/>
        </w:rPr>
        <w:t xml:space="preserve"> a </w:t>
      </w:r>
      <w:r w:rsidRPr="00A678A6">
        <w:rPr>
          <w:rFonts w:asciiTheme="majorHAnsi" w:hAnsiTheme="majorHAnsi"/>
          <w:szCs w:val="22"/>
          <w:lang w:eastAsia="cs-CZ"/>
        </w:rPr>
        <w:t>zamera</w:t>
      </w:r>
      <w:r w:rsidR="009424A6">
        <w:rPr>
          <w:rFonts w:asciiTheme="majorHAnsi" w:hAnsiTheme="majorHAnsi"/>
          <w:szCs w:val="22"/>
          <w:lang w:eastAsia="cs-CZ"/>
        </w:rPr>
        <w:t>ť sa</w:t>
      </w:r>
      <w:r w:rsidRPr="00A678A6">
        <w:rPr>
          <w:rFonts w:asciiTheme="majorHAnsi" w:hAnsiTheme="majorHAnsi"/>
          <w:szCs w:val="22"/>
          <w:lang w:eastAsia="cs-CZ"/>
        </w:rPr>
        <w:t xml:space="preserve"> na zlepšenie podmienok pre rozbeh podnikania a pre expanziu podnikateľských aktivít. Je takisto potrebné eliminovať nedostupnosť informácií v prostredí MSP. Riešením v tomto smere je vytváranie komplexných poradenských inštitúcií typu one-stop-shop. Len takto bude možné stimulovať rast podnikov z kategórie mikropodniku a vytvárať potenciál pre zavádzanie inovácií, vrátane netechnologických inovácií v odvetví služieb, zlepšenia energetickej efektívnosti a využívania OZE, ako aj v oblasti </w:t>
      </w:r>
      <w:r w:rsidR="00BD7D10">
        <w:rPr>
          <w:rFonts w:asciiTheme="majorHAnsi" w:hAnsiTheme="majorHAnsi"/>
          <w:szCs w:val="22"/>
          <w:lang w:eastAsia="cs-CZ"/>
        </w:rPr>
        <w:t>VaI</w:t>
      </w:r>
      <w:r w:rsidRPr="00A678A6">
        <w:rPr>
          <w:rFonts w:asciiTheme="majorHAnsi" w:hAnsiTheme="majorHAnsi"/>
          <w:szCs w:val="22"/>
          <w:lang w:eastAsia="cs-CZ"/>
        </w:rPr>
        <w:t xml:space="preserve"> zameraných na aplikáciu nových technológií s cieľom prispôsobovania sa zmenám klímy. Zároveň je potrebné vytvárať podmienky pre zvyšovanie inovačnej výkonnosti MSP.</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lastRenderedPageBreak/>
        <w:t>Pre akvakultúru a spracovanie rýb je dôležité posilnenie konkurencieschopnosti prostredníctvom modernizácie výroby, zvyšovania pridanej hodnoty, budovania nových rybochovných zariadení, zavádzania inovácií a rozvíjania doplnkových aktivít v rámci diverzifikácie činností. Dôležitou súčasťou je aj zvýšenie informovanosti spotrebiteľa, zlepšenie imidžu produktov akvakultúry, ako aj celého sektora.</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V sektore poľnohospodárstva je</w:t>
      </w:r>
      <w:r w:rsidR="004E45B4">
        <w:rPr>
          <w:rFonts w:asciiTheme="majorHAnsi" w:hAnsiTheme="majorHAnsi"/>
          <w:szCs w:val="22"/>
          <w:lang w:eastAsia="cs-CZ"/>
        </w:rPr>
        <w:t xml:space="preserve"> </w:t>
      </w:r>
      <w:r w:rsidR="004E45B4" w:rsidRPr="004E45B4">
        <w:rPr>
          <w:rFonts w:asciiTheme="majorHAnsi" w:hAnsiTheme="majorHAnsi"/>
          <w:szCs w:val="22"/>
          <w:lang w:eastAsia="cs-CZ"/>
        </w:rPr>
        <w:t>v</w:t>
      </w:r>
      <w:r w:rsidR="002E1D1A">
        <w:rPr>
          <w:rFonts w:asciiTheme="majorHAnsi" w:hAnsiTheme="majorHAnsi"/>
          <w:szCs w:val="22"/>
          <w:lang w:eastAsia="cs-CZ"/>
        </w:rPr>
        <w:t> </w:t>
      </w:r>
      <w:r w:rsidR="004E45B4" w:rsidRPr="004E45B4">
        <w:rPr>
          <w:rFonts w:asciiTheme="majorHAnsi" w:hAnsiTheme="majorHAnsi"/>
          <w:szCs w:val="22"/>
          <w:lang w:eastAsia="cs-CZ"/>
        </w:rPr>
        <w:t>súlade s</w:t>
      </w:r>
      <w:r w:rsidR="002E1D1A">
        <w:rPr>
          <w:rFonts w:asciiTheme="majorHAnsi" w:hAnsiTheme="majorHAnsi"/>
          <w:szCs w:val="22"/>
          <w:lang w:eastAsia="cs-CZ"/>
        </w:rPr>
        <w:t> </w:t>
      </w:r>
      <w:r w:rsidR="004E45B4" w:rsidRPr="004E45B4">
        <w:rPr>
          <w:rFonts w:asciiTheme="majorHAnsi" w:hAnsiTheme="majorHAnsi"/>
          <w:szCs w:val="22"/>
          <w:lang w:eastAsia="cs-CZ"/>
        </w:rPr>
        <w:t>rozvojom biohospodárstva v</w:t>
      </w:r>
      <w:r w:rsidR="002E1D1A">
        <w:rPr>
          <w:rFonts w:asciiTheme="majorHAnsi" w:hAnsiTheme="majorHAnsi"/>
          <w:szCs w:val="22"/>
          <w:lang w:eastAsia="cs-CZ"/>
        </w:rPr>
        <w:t> </w:t>
      </w:r>
      <w:r w:rsidR="004E45B4" w:rsidRPr="004E45B4">
        <w:rPr>
          <w:rFonts w:asciiTheme="majorHAnsi" w:hAnsiTheme="majorHAnsi"/>
          <w:szCs w:val="22"/>
          <w:lang w:eastAsia="cs-CZ"/>
        </w:rPr>
        <w:t xml:space="preserve">zmysle oznámenia KOM(2012)60 </w:t>
      </w:r>
      <w:r w:rsidRPr="00A678A6">
        <w:rPr>
          <w:rFonts w:asciiTheme="majorHAnsi" w:hAnsiTheme="majorHAnsi"/>
          <w:szCs w:val="22"/>
          <w:lang w:eastAsia="cs-CZ"/>
        </w:rPr>
        <w:t>potrebné zvýšiť efektivitu všetkých výrobných faktorov a dosiahnuť nárast pridanej hodnoty poľnohospodárskych podnikov vrátane diverzifikácie činnosti.</w:t>
      </w:r>
      <w:r w:rsidRPr="00A678A6">
        <w:rPr>
          <w:rFonts w:asciiTheme="majorHAnsi" w:hAnsiTheme="majorHAnsi"/>
          <w:sz w:val="20"/>
          <w:lang w:eastAsia="cs-CZ"/>
        </w:rPr>
        <w:t xml:space="preserve"> </w:t>
      </w:r>
      <w:r w:rsidRPr="00A678A6">
        <w:rPr>
          <w:rFonts w:asciiTheme="majorHAnsi" w:hAnsiTheme="majorHAnsi"/>
          <w:szCs w:val="22"/>
          <w:lang w:eastAsia="cs-CZ"/>
        </w:rPr>
        <w:t>Taktiež je potrebné podporiť vstup do odvetvia malý</w:t>
      </w:r>
      <w:r w:rsidR="00AE25E5">
        <w:rPr>
          <w:rFonts w:asciiTheme="majorHAnsi" w:hAnsiTheme="majorHAnsi"/>
          <w:szCs w:val="22"/>
          <w:lang w:eastAsia="cs-CZ"/>
        </w:rPr>
        <w:t>m poľnohospodárskym</w:t>
      </w:r>
      <w:r w:rsidRPr="00A678A6">
        <w:rPr>
          <w:rFonts w:asciiTheme="majorHAnsi" w:hAnsiTheme="majorHAnsi"/>
          <w:szCs w:val="22"/>
          <w:lang w:eastAsia="cs-CZ"/>
        </w:rPr>
        <w:t xml:space="preserve"> podniko</w:t>
      </w:r>
      <w:r w:rsidR="005D5322">
        <w:rPr>
          <w:rFonts w:asciiTheme="majorHAnsi" w:hAnsiTheme="majorHAnsi"/>
          <w:szCs w:val="22"/>
          <w:lang w:eastAsia="cs-CZ"/>
        </w:rPr>
        <w:t>m</w:t>
      </w:r>
      <w:r w:rsidRPr="00A678A6">
        <w:rPr>
          <w:rFonts w:asciiTheme="majorHAnsi" w:hAnsiTheme="majorHAnsi"/>
          <w:szCs w:val="22"/>
          <w:lang w:eastAsia="cs-CZ"/>
        </w:rPr>
        <w:t xml:space="preserve"> a mladý</w:t>
      </w:r>
      <w:r w:rsidR="005D5322">
        <w:rPr>
          <w:rFonts w:asciiTheme="majorHAnsi" w:hAnsiTheme="majorHAnsi"/>
          <w:szCs w:val="22"/>
          <w:lang w:eastAsia="cs-CZ"/>
        </w:rPr>
        <w:t>m</w:t>
      </w:r>
      <w:r w:rsidRPr="00A678A6">
        <w:rPr>
          <w:rFonts w:asciiTheme="majorHAnsi" w:hAnsiTheme="majorHAnsi"/>
          <w:szCs w:val="22"/>
          <w:lang w:eastAsia="cs-CZ"/>
        </w:rPr>
        <w:t xml:space="preserve"> farmáro</w:t>
      </w:r>
      <w:r w:rsidR="005D5322">
        <w:rPr>
          <w:rFonts w:asciiTheme="majorHAnsi" w:hAnsiTheme="majorHAnsi"/>
          <w:szCs w:val="22"/>
          <w:lang w:eastAsia="cs-CZ"/>
        </w:rPr>
        <w:t>m</w:t>
      </w:r>
      <w:r w:rsidRPr="00A678A6">
        <w:rPr>
          <w:rFonts w:asciiTheme="majorHAnsi" w:hAnsiTheme="majorHAnsi"/>
          <w:szCs w:val="22"/>
          <w:lang w:eastAsia="cs-CZ"/>
        </w:rPr>
        <w:t>, ktorí majú väčší potenciál pre zavádzanie inovácií, ako aj nových spôsobov predaja a diverzifikácie aktivít v primárnej poľnohospodárskej produkcii. Zároveň je potrebné podporiť hospodárenie na vlastnej pôde, čomu predchádza usporiadanie vlastníctva a konsolidácia pôdy, čím sa zlepší jej dostupnosť pre potenciálnych záujemcov o hospodárenie na pôde. Pre domácich výrobcov potravín je kľúčové udržať si pozíciu na domácom trhu, pričom z hľadiska udržania obratu sa zvyšuje význam miestnych a regionálnych trhov.</w:t>
      </w:r>
      <w:r w:rsidRPr="00A678A6">
        <w:rPr>
          <w:rFonts w:asciiTheme="majorHAnsi" w:hAnsiTheme="majorHAnsi"/>
          <w:sz w:val="20"/>
          <w:lang w:eastAsia="cs-CZ"/>
        </w:rPr>
        <w:t xml:space="preserve"> </w:t>
      </w:r>
      <w:r w:rsidRPr="00A678A6">
        <w:rPr>
          <w:rFonts w:asciiTheme="majorHAnsi" w:hAnsiTheme="majorHAnsi"/>
          <w:szCs w:val="22"/>
          <w:lang w:eastAsia="cs-CZ"/>
        </w:rPr>
        <w:t xml:space="preserve">Je žiaduce zvýšiť podiel domácej produkcie s vyššou pridanou hodnotou (vyššia forma spracovania), ako aj prostredníctvom vyššej kvality výrobkov, inovácií, regionálnych a miestnych špecialít, produktov ekologického poľnohospodárstva a pod. Podpora životných podmienok zvierat vytvorí </w:t>
      </w:r>
      <w:r w:rsidR="00876279" w:rsidRPr="00A678A6">
        <w:rPr>
          <w:rFonts w:asciiTheme="majorHAnsi" w:hAnsiTheme="majorHAnsi"/>
          <w:szCs w:val="22"/>
          <w:lang w:eastAsia="cs-CZ"/>
        </w:rPr>
        <w:t>príležitost</w:t>
      </w:r>
      <w:r w:rsidR="00876279">
        <w:rPr>
          <w:rFonts w:asciiTheme="majorHAnsi" w:hAnsiTheme="majorHAnsi"/>
          <w:szCs w:val="22"/>
          <w:lang w:eastAsia="cs-CZ"/>
        </w:rPr>
        <w:t xml:space="preserve">i </w:t>
      </w:r>
      <w:r w:rsidRPr="00A678A6">
        <w:rPr>
          <w:rFonts w:asciiTheme="majorHAnsi" w:hAnsiTheme="majorHAnsi"/>
          <w:szCs w:val="22"/>
          <w:lang w:eastAsia="cs-CZ"/>
        </w:rPr>
        <w:t>pre propagáciu živočíšnych produktov vyššej kvality.</w:t>
      </w:r>
    </w:p>
    <w:p w:rsidR="00A678A6" w:rsidRDefault="00A678A6" w:rsidP="00A678A6">
      <w:pPr>
        <w:rPr>
          <w:rFonts w:asciiTheme="majorHAnsi" w:hAnsiTheme="majorHAnsi"/>
          <w:szCs w:val="22"/>
          <w:lang w:eastAsia="cs-CZ"/>
        </w:rPr>
      </w:pPr>
      <w:r w:rsidRPr="00A678A6">
        <w:rPr>
          <w:rFonts w:asciiTheme="majorHAnsi" w:hAnsiTheme="majorHAnsi"/>
          <w:szCs w:val="22"/>
          <w:lang w:eastAsia="cs-CZ"/>
        </w:rPr>
        <w:t>V rámci podpory organizácie potravinového reťazca je potrebné zabezpečiť spoluprácu subjektov a pokročilej vertikálnej integrácie. V kontexte vertikálnej integrácie je nevyhnutné zvýšiť aj využiteľnosť všetkých domácich spracovateľských kapacít vrátane konzervárenských a mraziarenských</w:t>
      </w:r>
      <w:r w:rsidRPr="00A678A6">
        <w:rPr>
          <w:rFonts w:asciiTheme="majorHAnsi" w:hAnsiTheme="majorHAnsi"/>
          <w:szCs w:val="22"/>
          <w:vertAlign w:val="superscript"/>
          <w:lang w:eastAsia="cs-CZ"/>
        </w:rPr>
        <w:footnoteReference w:id="277"/>
      </w:r>
      <w:r w:rsidRPr="00A678A6">
        <w:rPr>
          <w:rFonts w:asciiTheme="majorHAnsi" w:hAnsiTheme="majorHAnsi"/>
          <w:szCs w:val="22"/>
          <w:lang w:eastAsia="cs-CZ"/>
        </w:rPr>
        <w:t>. Je</w:t>
      </w:r>
      <w:r w:rsidRPr="00A678A6">
        <w:rPr>
          <w:rFonts w:asciiTheme="majorHAnsi" w:hAnsiTheme="majorHAnsi"/>
          <w:color w:val="FF0000"/>
          <w:szCs w:val="22"/>
          <w:lang w:eastAsia="cs-CZ"/>
        </w:rPr>
        <w:t xml:space="preserve"> </w:t>
      </w:r>
      <w:r w:rsidRPr="00A678A6">
        <w:rPr>
          <w:rFonts w:asciiTheme="majorHAnsi" w:hAnsiTheme="majorHAnsi"/>
          <w:szCs w:val="22"/>
          <w:lang w:eastAsia="cs-CZ"/>
        </w:rPr>
        <w:t>žiaduce podporovať organizácie krátkeho reťazca, resp. priameho predaja farmárskych výrobkov.</w:t>
      </w:r>
    </w:p>
    <w:p w:rsidR="004F5A63" w:rsidRDefault="004F5A63" w:rsidP="003F0750">
      <w:pPr>
        <w:spacing w:before="0" w:after="0"/>
        <w:rPr>
          <w:rFonts w:asciiTheme="majorHAnsi" w:hAnsiTheme="majorHAnsi" w:cs="Calibri"/>
          <w:szCs w:val="22"/>
        </w:rPr>
      </w:pPr>
      <w:r w:rsidRPr="004F5A63">
        <w:rPr>
          <w:rFonts w:asciiTheme="majorHAnsi" w:hAnsiTheme="majorHAnsi" w:cs="Calibri"/>
          <w:szCs w:val="22"/>
        </w:rPr>
        <w:t>Za účelom minimalizácie škôd v</w:t>
      </w:r>
      <w:r w:rsidR="000820FE">
        <w:rPr>
          <w:rFonts w:asciiTheme="majorHAnsi" w:hAnsiTheme="majorHAnsi" w:cs="Calibri"/>
          <w:szCs w:val="22"/>
        </w:rPr>
        <w:t> </w:t>
      </w:r>
      <w:r w:rsidRPr="004F5A63">
        <w:rPr>
          <w:rFonts w:asciiTheme="majorHAnsi" w:hAnsiTheme="majorHAnsi" w:cs="Calibri"/>
          <w:szCs w:val="22"/>
        </w:rPr>
        <w:t xml:space="preserve">dôsledku </w:t>
      </w:r>
      <w:r w:rsidR="00BA2E1C">
        <w:rPr>
          <w:rFonts w:asciiTheme="majorHAnsi" w:hAnsiTheme="majorHAnsi" w:cs="Calibri"/>
          <w:szCs w:val="22"/>
        </w:rPr>
        <w:t>mimoriadnych udalostí</w:t>
      </w:r>
      <w:r w:rsidR="00BA2E1C" w:rsidRPr="004F5A63">
        <w:rPr>
          <w:rFonts w:asciiTheme="majorHAnsi" w:hAnsiTheme="majorHAnsi" w:cs="Calibri"/>
          <w:szCs w:val="22"/>
        </w:rPr>
        <w:t xml:space="preserve"> </w:t>
      </w:r>
      <w:r w:rsidRPr="004F5A63">
        <w:rPr>
          <w:rFonts w:asciiTheme="majorHAnsi" w:hAnsiTheme="majorHAnsi" w:cs="Calibri"/>
          <w:szCs w:val="22"/>
        </w:rPr>
        <w:t>v</w:t>
      </w:r>
      <w:r w:rsidR="000820FE">
        <w:rPr>
          <w:rFonts w:asciiTheme="majorHAnsi" w:hAnsiTheme="majorHAnsi" w:cs="Calibri"/>
          <w:szCs w:val="22"/>
        </w:rPr>
        <w:t> </w:t>
      </w:r>
      <w:r w:rsidRPr="004F5A63">
        <w:rPr>
          <w:rFonts w:asciiTheme="majorHAnsi" w:hAnsiTheme="majorHAnsi" w:cs="Calibri"/>
          <w:szCs w:val="22"/>
        </w:rPr>
        <w:t>poľnohospodárstve je potrebné zaviesť nový systém poistenia poľnohospodárskych rizík vo forme vzájomných fondov, ktorý môže byť alternatívou k</w:t>
      </w:r>
      <w:r w:rsidR="000820FE">
        <w:rPr>
          <w:rFonts w:asciiTheme="majorHAnsi" w:hAnsiTheme="majorHAnsi" w:cs="Calibri"/>
          <w:szCs w:val="22"/>
        </w:rPr>
        <w:t> </w:t>
      </w:r>
      <w:r w:rsidRPr="004F5A63">
        <w:rPr>
          <w:rFonts w:asciiTheme="majorHAnsi" w:hAnsiTheme="majorHAnsi" w:cs="Calibri"/>
          <w:szCs w:val="22"/>
        </w:rPr>
        <w:t>súčasnému systému komerčného poistenia, pretože do poistného krytia sa dostanú aj nepoistiteľné rizika (napr. sucho a</w:t>
      </w:r>
      <w:r w:rsidR="000820FE">
        <w:rPr>
          <w:rFonts w:asciiTheme="majorHAnsi" w:hAnsiTheme="majorHAnsi" w:cs="Calibri"/>
          <w:szCs w:val="22"/>
        </w:rPr>
        <w:t> </w:t>
      </w:r>
      <w:r w:rsidRPr="004F5A63">
        <w:rPr>
          <w:rFonts w:asciiTheme="majorHAnsi" w:hAnsiTheme="majorHAnsi" w:cs="Calibri"/>
          <w:szCs w:val="22"/>
        </w:rPr>
        <w:t>niektoré choroby), ktoré žiadna komerčná poisťovňa nepoisťuje. Tým sa odstránia medzery v</w:t>
      </w:r>
      <w:r w:rsidR="000820FE">
        <w:rPr>
          <w:rFonts w:asciiTheme="majorHAnsi" w:hAnsiTheme="majorHAnsi" w:cs="Calibri"/>
          <w:szCs w:val="22"/>
        </w:rPr>
        <w:t> </w:t>
      </w:r>
      <w:r w:rsidRPr="004F5A63">
        <w:rPr>
          <w:rFonts w:asciiTheme="majorHAnsi" w:hAnsiTheme="majorHAnsi" w:cs="Calibri"/>
          <w:szCs w:val="22"/>
        </w:rPr>
        <w:t>poistení nepoistiteľných rizík v</w:t>
      </w:r>
      <w:r w:rsidR="000820FE">
        <w:rPr>
          <w:rFonts w:asciiTheme="majorHAnsi" w:hAnsiTheme="majorHAnsi" w:cs="Calibri"/>
          <w:szCs w:val="22"/>
        </w:rPr>
        <w:t> </w:t>
      </w:r>
      <w:r w:rsidRPr="004F5A63">
        <w:rPr>
          <w:rFonts w:asciiTheme="majorHAnsi" w:hAnsiTheme="majorHAnsi" w:cs="Calibri"/>
          <w:szCs w:val="22"/>
        </w:rPr>
        <w:t>sektore. Súčasne sa dosiahne zatraktívnenie a</w:t>
      </w:r>
      <w:r w:rsidR="000820FE">
        <w:rPr>
          <w:rFonts w:asciiTheme="majorHAnsi" w:hAnsiTheme="majorHAnsi" w:cs="Calibri"/>
          <w:szCs w:val="22"/>
        </w:rPr>
        <w:t> </w:t>
      </w:r>
      <w:r w:rsidRPr="004F5A63">
        <w:rPr>
          <w:rFonts w:asciiTheme="majorHAnsi" w:hAnsiTheme="majorHAnsi" w:cs="Calibri"/>
          <w:szCs w:val="22"/>
        </w:rPr>
        <w:t>oživenie poistenia poľnohospodárskych rizík u</w:t>
      </w:r>
      <w:r w:rsidR="000820FE">
        <w:rPr>
          <w:rFonts w:asciiTheme="majorHAnsi" w:hAnsiTheme="majorHAnsi" w:cs="Calibri"/>
          <w:szCs w:val="22"/>
        </w:rPr>
        <w:t> </w:t>
      </w:r>
      <w:r w:rsidRPr="004F5A63">
        <w:rPr>
          <w:rFonts w:asciiTheme="majorHAnsi" w:hAnsiTheme="majorHAnsi" w:cs="Calibri"/>
          <w:szCs w:val="22"/>
        </w:rPr>
        <w:t>poľnohospodárov z</w:t>
      </w:r>
      <w:r w:rsidR="000820FE">
        <w:rPr>
          <w:rFonts w:asciiTheme="majorHAnsi" w:hAnsiTheme="majorHAnsi" w:cs="Calibri"/>
          <w:szCs w:val="22"/>
        </w:rPr>
        <w:t> </w:t>
      </w:r>
      <w:r w:rsidRPr="004F5A63">
        <w:rPr>
          <w:rFonts w:asciiTheme="majorHAnsi" w:hAnsiTheme="majorHAnsi" w:cs="Calibri"/>
          <w:szCs w:val="22"/>
        </w:rPr>
        <w:t>dôvodov rozširovania rozsahu poistiteľných rizík a</w:t>
      </w:r>
      <w:r w:rsidR="000820FE">
        <w:rPr>
          <w:rFonts w:asciiTheme="majorHAnsi" w:hAnsiTheme="majorHAnsi" w:cs="Calibri"/>
          <w:szCs w:val="22"/>
        </w:rPr>
        <w:t> </w:t>
      </w:r>
      <w:r w:rsidRPr="004F5A63">
        <w:rPr>
          <w:rFonts w:asciiTheme="majorHAnsi" w:hAnsiTheme="majorHAnsi" w:cs="Calibri"/>
          <w:szCs w:val="22"/>
        </w:rPr>
        <w:t>nárastu podpory z</w:t>
      </w:r>
      <w:r w:rsidR="002E1D1A">
        <w:rPr>
          <w:rFonts w:asciiTheme="majorHAnsi" w:hAnsiTheme="majorHAnsi" w:cs="Calibri"/>
          <w:szCs w:val="22"/>
        </w:rPr>
        <w:t> </w:t>
      </w:r>
      <w:r w:rsidRPr="004F5A63">
        <w:rPr>
          <w:rFonts w:asciiTheme="majorHAnsi" w:hAnsiTheme="majorHAnsi" w:cs="Calibri"/>
          <w:szCs w:val="22"/>
        </w:rPr>
        <w:t>verejných zdrojov.</w:t>
      </w:r>
      <w:r w:rsidR="007A5CF1">
        <w:rPr>
          <w:rFonts w:asciiTheme="majorHAnsi" w:hAnsiTheme="majorHAnsi" w:cs="Calibri"/>
          <w:szCs w:val="22"/>
        </w:rPr>
        <w:t xml:space="preserve"> </w:t>
      </w:r>
      <w:r w:rsidR="007A5CF1" w:rsidRPr="007A5CF1">
        <w:rPr>
          <w:rFonts w:asciiTheme="majorHAnsi" w:hAnsiTheme="majorHAnsi" w:cs="Calibri"/>
          <w:szCs w:val="22"/>
        </w:rPr>
        <w:t xml:space="preserve">Komplementárne je potrebné podporiť aj preventívne investície pred hlavnými rizikami, ktoré prináša zmena </w:t>
      </w:r>
      <w:r w:rsidR="00A24F2B">
        <w:rPr>
          <w:rFonts w:asciiTheme="majorHAnsi" w:hAnsiTheme="majorHAnsi" w:cs="Calibri"/>
          <w:szCs w:val="22"/>
        </w:rPr>
        <w:t xml:space="preserve">klímy </w:t>
      </w:r>
      <w:r w:rsidR="007A5CF1" w:rsidRPr="007A5CF1">
        <w:rPr>
          <w:rFonts w:asciiTheme="majorHAnsi" w:hAnsiTheme="majorHAnsi" w:cs="Calibri"/>
          <w:szCs w:val="22"/>
        </w:rPr>
        <w:t>ako zmena teplotnej a vlahovej zabezpečenosti a výkyvy úhrnu zrážok počas vegetačného obdobia</w:t>
      </w:r>
      <w:r w:rsidR="007A5CF1">
        <w:rPr>
          <w:rFonts w:asciiTheme="majorHAnsi" w:hAnsiTheme="majorHAnsi" w:cs="Calibri"/>
          <w:szCs w:val="22"/>
        </w:rPr>
        <w:t>.</w:t>
      </w:r>
    </w:p>
    <w:p w:rsidR="007B7E75" w:rsidRPr="007B7E75" w:rsidRDefault="007B7E75" w:rsidP="003F0750">
      <w:pPr>
        <w:spacing w:before="0" w:after="0"/>
        <w:rPr>
          <w:rFonts w:asciiTheme="majorHAnsi" w:hAnsiTheme="majorHAnsi" w:cs="Calibri"/>
          <w:szCs w:val="22"/>
        </w:rPr>
      </w:pPr>
      <w:r w:rsidRPr="007B7E75">
        <w:rPr>
          <w:rFonts w:asciiTheme="majorHAnsi" w:hAnsiTheme="majorHAnsi" w:cs="Calibri"/>
          <w:szCs w:val="22"/>
        </w:rPr>
        <w:t>Komplementárnym spôsobom bude prispievať k</w:t>
      </w:r>
      <w:r w:rsidR="00BD7D10">
        <w:rPr>
          <w:rFonts w:asciiTheme="majorHAnsi" w:hAnsiTheme="majorHAnsi" w:cs="Calibri"/>
          <w:szCs w:val="22"/>
        </w:rPr>
        <w:t> </w:t>
      </w:r>
      <w:r w:rsidRPr="007B7E75">
        <w:rPr>
          <w:rFonts w:asciiTheme="majorHAnsi" w:hAnsiTheme="majorHAnsi" w:cs="Calibri"/>
          <w:szCs w:val="22"/>
        </w:rPr>
        <w:t>implementáci</w:t>
      </w:r>
      <w:r w:rsidR="00BD7D10">
        <w:rPr>
          <w:rFonts w:asciiTheme="majorHAnsi" w:hAnsiTheme="majorHAnsi" w:cs="Calibri"/>
          <w:szCs w:val="22"/>
        </w:rPr>
        <w:t xml:space="preserve">i </w:t>
      </w:r>
      <w:r w:rsidRPr="007B7E75">
        <w:rPr>
          <w:rFonts w:asciiTheme="majorHAnsi" w:hAnsiTheme="majorHAnsi" w:cs="Calibri"/>
          <w:szCs w:val="22"/>
        </w:rPr>
        <w:t>stratégie RIS3.</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A678A6">
      <w:pPr>
        <w:rPr>
          <w:rFonts w:asciiTheme="majorHAnsi" w:hAnsiTheme="majorHAnsi"/>
          <w:szCs w:val="22"/>
          <w:lang w:eastAsia="cs-CZ"/>
        </w:rPr>
      </w:pPr>
      <w:r w:rsidRPr="00A678A6">
        <w:rPr>
          <w:rFonts w:asciiTheme="majorHAnsi" w:hAnsiTheme="majorHAnsi"/>
          <w:b/>
          <w:szCs w:val="22"/>
          <w:lang w:eastAsia="cs-CZ"/>
        </w:rPr>
        <w:t>Investície EFRR</w:t>
      </w:r>
    </w:p>
    <w:p w:rsidR="00A678A6" w:rsidRPr="00A678A6" w:rsidRDefault="00A678A6" w:rsidP="00302664">
      <w:pPr>
        <w:numPr>
          <w:ilvl w:val="0"/>
          <w:numId w:val="11"/>
        </w:numPr>
        <w:spacing w:before="0" w:after="0"/>
        <w:contextualSpacing/>
        <w:rPr>
          <w:rFonts w:asciiTheme="majorHAnsi" w:hAnsiTheme="majorHAnsi"/>
          <w:szCs w:val="22"/>
        </w:rPr>
      </w:pPr>
      <w:r w:rsidRPr="00A678A6">
        <w:rPr>
          <w:rFonts w:asciiTheme="majorHAnsi" w:hAnsiTheme="majorHAnsi"/>
          <w:szCs w:val="22"/>
        </w:rPr>
        <w:t>zvýšenie podielu MSP v oblasti inovácií na trhu;</w:t>
      </w:r>
    </w:p>
    <w:p w:rsidR="00A678A6" w:rsidRPr="00A678A6" w:rsidRDefault="00A678A6" w:rsidP="00302664">
      <w:pPr>
        <w:numPr>
          <w:ilvl w:val="0"/>
          <w:numId w:val="11"/>
        </w:numPr>
        <w:spacing w:before="0" w:after="0"/>
        <w:contextualSpacing/>
        <w:rPr>
          <w:rFonts w:asciiTheme="majorHAnsi" w:hAnsiTheme="majorHAnsi"/>
          <w:szCs w:val="22"/>
        </w:rPr>
      </w:pPr>
      <w:r w:rsidRPr="00A678A6">
        <w:rPr>
          <w:rFonts w:asciiTheme="majorHAnsi" w:hAnsiTheme="majorHAnsi"/>
          <w:szCs w:val="22"/>
        </w:rPr>
        <w:t>zvýšenie dostupnosti MSP k financiám/rizikovému kapitálu;</w:t>
      </w:r>
    </w:p>
    <w:p w:rsidR="00A678A6" w:rsidRPr="00A678A6" w:rsidRDefault="00A678A6" w:rsidP="00302664">
      <w:pPr>
        <w:numPr>
          <w:ilvl w:val="0"/>
          <w:numId w:val="11"/>
        </w:numPr>
        <w:spacing w:before="0" w:after="0"/>
        <w:contextualSpacing/>
        <w:rPr>
          <w:rFonts w:asciiTheme="majorHAnsi" w:hAnsiTheme="majorHAnsi"/>
          <w:szCs w:val="22"/>
        </w:rPr>
      </w:pPr>
      <w:r w:rsidRPr="00A678A6">
        <w:rPr>
          <w:rFonts w:asciiTheme="majorHAnsi" w:hAnsiTheme="majorHAnsi"/>
          <w:szCs w:val="22"/>
        </w:rPr>
        <w:t>zvýšenie miery prežitia MSP;</w:t>
      </w:r>
    </w:p>
    <w:p w:rsidR="00A678A6" w:rsidRPr="00A678A6" w:rsidRDefault="00A678A6" w:rsidP="00302664">
      <w:pPr>
        <w:numPr>
          <w:ilvl w:val="0"/>
          <w:numId w:val="11"/>
        </w:numPr>
        <w:spacing w:before="0" w:after="0"/>
        <w:contextualSpacing/>
        <w:rPr>
          <w:rFonts w:asciiTheme="majorHAnsi" w:hAnsiTheme="majorHAnsi"/>
          <w:szCs w:val="22"/>
        </w:rPr>
      </w:pPr>
      <w:r w:rsidRPr="00A678A6">
        <w:rPr>
          <w:rFonts w:asciiTheme="majorHAnsi" w:hAnsiTheme="majorHAnsi"/>
          <w:szCs w:val="22"/>
        </w:rPr>
        <w:t>zvýšenie počtu podnikov nad 10 zamestnancov;</w:t>
      </w:r>
    </w:p>
    <w:p w:rsidR="00A678A6" w:rsidRPr="00A678A6" w:rsidRDefault="00A678A6" w:rsidP="00302664">
      <w:pPr>
        <w:numPr>
          <w:ilvl w:val="0"/>
          <w:numId w:val="11"/>
        </w:numPr>
        <w:spacing w:before="0" w:after="0"/>
        <w:contextualSpacing/>
        <w:rPr>
          <w:rFonts w:asciiTheme="majorHAnsi" w:hAnsiTheme="majorHAnsi"/>
          <w:szCs w:val="22"/>
        </w:rPr>
      </w:pPr>
      <w:r w:rsidRPr="00A678A6">
        <w:rPr>
          <w:rFonts w:asciiTheme="majorHAnsi" w:hAnsiTheme="majorHAnsi"/>
          <w:szCs w:val="22"/>
        </w:rPr>
        <w:t>zvýšenie motivácie MSP investovať do rozvojového potenciálu s cieľom zvýšenia konkurencieschopnosti na globálnom trhu;</w:t>
      </w:r>
    </w:p>
    <w:p w:rsidR="00A678A6" w:rsidRPr="00A678A6" w:rsidRDefault="00A678A6" w:rsidP="00302664">
      <w:pPr>
        <w:numPr>
          <w:ilvl w:val="0"/>
          <w:numId w:val="11"/>
        </w:numPr>
        <w:spacing w:before="0" w:after="0"/>
        <w:contextualSpacing/>
        <w:rPr>
          <w:rFonts w:asciiTheme="majorHAnsi" w:hAnsiTheme="majorHAnsi"/>
          <w:szCs w:val="22"/>
        </w:rPr>
      </w:pPr>
      <w:r w:rsidRPr="00A678A6">
        <w:rPr>
          <w:rFonts w:asciiTheme="majorHAnsi" w:hAnsiTheme="majorHAnsi"/>
          <w:szCs w:val="22"/>
        </w:rPr>
        <w:t>tvorba nových pracovných miest pre kvalifikovanú pracovnú silu;</w:t>
      </w:r>
    </w:p>
    <w:p w:rsidR="00A678A6" w:rsidRPr="00A678A6" w:rsidRDefault="00A678A6" w:rsidP="00302664">
      <w:pPr>
        <w:numPr>
          <w:ilvl w:val="0"/>
          <w:numId w:val="11"/>
        </w:numPr>
        <w:spacing w:before="0" w:after="0"/>
        <w:contextualSpacing/>
        <w:rPr>
          <w:rFonts w:asciiTheme="majorHAnsi" w:hAnsiTheme="majorHAnsi"/>
          <w:szCs w:val="22"/>
        </w:rPr>
      </w:pPr>
      <w:r w:rsidRPr="00A678A6">
        <w:rPr>
          <w:rFonts w:asciiTheme="majorHAnsi" w:hAnsiTheme="majorHAnsi"/>
          <w:szCs w:val="22"/>
        </w:rPr>
        <w:t>zvýšenie podielu MSP na zahraničnej obchodnej výmene.</w:t>
      </w:r>
    </w:p>
    <w:p w:rsidR="00A678A6" w:rsidRPr="00A678A6" w:rsidRDefault="00A678A6" w:rsidP="00A678A6">
      <w:pPr>
        <w:rPr>
          <w:rFonts w:asciiTheme="majorHAnsi" w:hAnsiTheme="majorHAnsi"/>
          <w:szCs w:val="22"/>
          <w:lang w:eastAsia="cs-CZ"/>
        </w:rPr>
      </w:pPr>
      <w:r w:rsidRPr="00A678A6">
        <w:rPr>
          <w:rFonts w:asciiTheme="majorHAnsi" w:hAnsiTheme="majorHAnsi"/>
          <w:b/>
          <w:szCs w:val="22"/>
          <w:lang w:eastAsia="cs-CZ"/>
        </w:rPr>
        <w:t>Investície ENRF</w:t>
      </w:r>
    </w:p>
    <w:p w:rsidR="00A678A6" w:rsidRPr="00A678A6" w:rsidRDefault="00A678A6" w:rsidP="00302664">
      <w:pPr>
        <w:numPr>
          <w:ilvl w:val="0"/>
          <w:numId w:val="12"/>
        </w:numPr>
        <w:spacing w:before="0" w:after="0"/>
        <w:contextualSpacing/>
        <w:rPr>
          <w:rFonts w:asciiTheme="majorHAnsi" w:hAnsiTheme="majorHAnsi"/>
          <w:szCs w:val="22"/>
        </w:rPr>
      </w:pPr>
      <w:r w:rsidRPr="00A678A6">
        <w:rPr>
          <w:rFonts w:asciiTheme="majorHAnsi" w:hAnsiTheme="majorHAnsi"/>
          <w:szCs w:val="22"/>
        </w:rPr>
        <w:lastRenderedPageBreak/>
        <w:t>zvýšenie produkcie v akvakultúre a spracovaní rýb;</w:t>
      </w:r>
    </w:p>
    <w:p w:rsidR="00A678A6" w:rsidRPr="00A678A6" w:rsidRDefault="00A678A6" w:rsidP="00302664">
      <w:pPr>
        <w:numPr>
          <w:ilvl w:val="0"/>
          <w:numId w:val="12"/>
        </w:numPr>
        <w:spacing w:before="0" w:after="0"/>
        <w:contextualSpacing/>
        <w:rPr>
          <w:rFonts w:asciiTheme="majorHAnsi" w:hAnsiTheme="majorHAnsi"/>
          <w:szCs w:val="22"/>
        </w:rPr>
      </w:pPr>
      <w:r w:rsidRPr="00A678A6">
        <w:rPr>
          <w:rFonts w:asciiTheme="majorHAnsi" w:hAnsiTheme="majorHAnsi"/>
          <w:szCs w:val="22"/>
        </w:rPr>
        <w:t>vznik a rozvoj lokálnych trhov prostredníctvom podpory priameho predaja;</w:t>
      </w:r>
    </w:p>
    <w:p w:rsidR="00A678A6" w:rsidRPr="00A678A6" w:rsidRDefault="00A678A6" w:rsidP="00302664">
      <w:pPr>
        <w:numPr>
          <w:ilvl w:val="0"/>
          <w:numId w:val="12"/>
        </w:numPr>
        <w:spacing w:before="0" w:after="0"/>
        <w:contextualSpacing/>
        <w:rPr>
          <w:rFonts w:asciiTheme="majorHAnsi" w:hAnsiTheme="majorHAnsi"/>
          <w:szCs w:val="22"/>
        </w:rPr>
      </w:pPr>
      <w:r w:rsidRPr="00A678A6">
        <w:rPr>
          <w:rFonts w:asciiTheme="majorHAnsi" w:hAnsiTheme="majorHAnsi"/>
          <w:szCs w:val="22"/>
        </w:rPr>
        <w:t>rozvoj doplnkových foriem príjmu prostredníctvom diverzifikácie činností subjektov akvakultúry;</w:t>
      </w:r>
    </w:p>
    <w:p w:rsidR="00A678A6" w:rsidRPr="00A678A6" w:rsidRDefault="00A678A6" w:rsidP="00302664">
      <w:pPr>
        <w:numPr>
          <w:ilvl w:val="0"/>
          <w:numId w:val="12"/>
        </w:numPr>
        <w:spacing w:before="0" w:after="0"/>
        <w:contextualSpacing/>
        <w:rPr>
          <w:rFonts w:asciiTheme="majorHAnsi" w:hAnsiTheme="majorHAnsi"/>
          <w:szCs w:val="22"/>
        </w:rPr>
      </w:pPr>
      <w:r w:rsidRPr="00A678A6">
        <w:rPr>
          <w:rFonts w:asciiTheme="majorHAnsi" w:hAnsiTheme="majorHAnsi"/>
          <w:szCs w:val="22"/>
        </w:rPr>
        <w:t>zvýšenie domácej spotreby rýb na obyvateľa.</w:t>
      </w:r>
    </w:p>
    <w:p w:rsidR="00A678A6" w:rsidRPr="00A678A6" w:rsidRDefault="00A678A6" w:rsidP="00671A61">
      <w:pPr>
        <w:spacing w:before="240"/>
        <w:rPr>
          <w:rFonts w:asciiTheme="majorHAnsi" w:hAnsiTheme="majorHAnsi"/>
          <w:szCs w:val="22"/>
          <w:lang w:eastAsia="cs-CZ"/>
        </w:rPr>
      </w:pPr>
      <w:r w:rsidRPr="00A678A6">
        <w:rPr>
          <w:rFonts w:asciiTheme="majorHAnsi" w:hAnsiTheme="majorHAnsi"/>
          <w:b/>
          <w:szCs w:val="22"/>
          <w:lang w:eastAsia="cs-CZ"/>
        </w:rPr>
        <w:t>Investície EPFRV</w:t>
      </w:r>
    </w:p>
    <w:p w:rsidR="00A678A6" w:rsidRPr="00A678A6" w:rsidRDefault="00A678A6" w:rsidP="00302664">
      <w:pPr>
        <w:numPr>
          <w:ilvl w:val="0"/>
          <w:numId w:val="13"/>
        </w:numPr>
        <w:spacing w:before="0" w:after="0"/>
        <w:contextualSpacing/>
        <w:rPr>
          <w:rFonts w:asciiTheme="majorHAnsi" w:hAnsiTheme="majorHAnsi"/>
          <w:szCs w:val="22"/>
        </w:rPr>
      </w:pPr>
      <w:r w:rsidRPr="00A678A6">
        <w:rPr>
          <w:rFonts w:asciiTheme="majorHAnsi" w:hAnsiTheme="majorHAnsi"/>
          <w:szCs w:val="22"/>
        </w:rPr>
        <w:t>zvýšenie ekonomickej výkonnosti poľnohospodárskych podnikov a uľahčenie ich reštrukturalizácie a modernizácie, najmä z hľadiska zvýšenia ich účasti na trhu a poľnohospodárska diverzifikácia;</w:t>
      </w:r>
    </w:p>
    <w:p w:rsidR="00A678A6" w:rsidRPr="00A678A6" w:rsidRDefault="00A678A6" w:rsidP="00302664">
      <w:pPr>
        <w:numPr>
          <w:ilvl w:val="0"/>
          <w:numId w:val="13"/>
        </w:numPr>
        <w:spacing w:before="0" w:after="0"/>
        <w:contextualSpacing/>
        <w:rPr>
          <w:rFonts w:asciiTheme="majorHAnsi" w:hAnsiTheme="majorHAnsi"/>
          <w:szCs w:val="22"/>
        </w:rPr>
      </w:pPr>
      <w:r w:rsidRPr="00A678A6">
        <w:rPr>
          <w:rFonts w:asciiTheme="majorHAnsi" w:hAnsiTheme="majorHAnsi"/>
          <w:szCs w:val="22"/>
        </w:rPr>
        <w:t xml:space="preserve">uľahčenie generačnej výmeny </w:t>
      </w:r>
      <w:r w:rsidR="006B6E77">
        <w:rPr>
          <w:rFonts w:asciiTheme="majorHAnsi" w:hAnsiTheme="majorHAnsi"/>
          <w:szCs w:val="22"/>
        </w:rPr>
        <w:t xml:space="preserve">prostredníctvom podpory mladých farmárov </w:t>
      </w:r>
      <w:r w:rsidRPr="00A678A6">
        <w:rPr>
          <w:rFonts w:asciiTheme="majorHAnsi" w:hAnsiTheme="majorHAnsi"/>
          <w:szCs w:val="22"/>
        </w:rPr>
        <w:t>v sektore poľnohospodárstva;</w:t>
      </w:r>
    </w:p>
    <w:p w:rsidR="0063747C" w:rsidRDefault="00A678A6" w:rsidP="00302664">
      <w:pPr>
        <w:numPr>
          <w:ilvl w:val="0"/>
          <w:numId w:val="13"/>
        </w:numPr>
        <w:spacing w:before="0" w:after="0"/>
        <w:contextualSpacing/>
        <w:rPr>
          <w:rFonts w:asciiTheme="majorHAnsi" w:hAnsiTheme="majorHAnsi"/>
          <w:szCs w:val="22"/>
        </w:rPr>
      </w:pPr>
      <w:r w:rsidRPr="00A678A6">
        <w:rPr>
          <w:rFonts w:asciiTheme="majorHAnsi" w:hAnsiTheme="majorHAnsi"/>
          <w:szCs w:val="22"/>
        </w:rPr>
        <w:t>zvýšenie konkurencieschopnosti prvovýrobcov prostredníctvom ich lepšej integrácie do agropotravinárskeho reťazca</w:t>
      </w:r>
      <w:r w:rsidR="00BD7D10">
        <w:rPr>
          <w:rFonts w:asciiTheme="majorHAnsi" w:hAnsiTheme="majorHAnsi"/>
          <w:szCs w:val="22"/>
        </w:rPr>
        <w:t>;</w:t>
      </w:r>
      <w:r w:rsidRPr="00A678A6">
        <w:rPr>
          <w:rFonts w:asciiTheme="majorHAnsi" w:hAnsiTheme="majorHAnsi"/>
          <w:szCs w:val="22"/>
        </w:rPr>
        <w:t xml:space="preserve"> </w:t>
      </w:r>
    </w:p>
    <w:p w:rsidR="00A678A6" w:rsidRPr="00A678A6" w:rsidRDefault="00A678A6" w:rsidP="00302664">
      <w:pPr>
        <w:numPr>
          <w:ilvl w:val="0"/>
          <w:numId w:val="13"/>
        </w:numPr>
        <w:spacing w:before="0" w:after="0"/>
        <w:contextualSpacing/>
        <w:rPr>
          <w:rFonts w:asciiTheme="majorHAnsi" w:hAnsiTheme="majorHAnsi"/>
          <w:szCs w:val="22"/>
        </w:rPr>
      </w:pPr>
      <w:r w:rsidRPr="00A678A6">
        <w:rPr>
          <w:rFonts w:asciiTheme="majorHAnsi" w:hAnsiTheme="majorHAnsi"/>
          <w:szCs w:val="22"/>
        </w:rPr>
        <w:t>vyššia produktivita prostredníctvom pridávania hodnoty poľnohospodárskym produktom;</w:t>
      </w:r>
    </w:p>
    <w:p w:rsidR="00A678A6" w:rsidRPr="00A678A6" w:rsidRDefault="00A678A6" w:rsidP="00302664">
      <w:pPr>
        <w:numPr>
          <w:ilvl w:val="0"/>
          <w:numId w:val="13"/>
        </w:numPr>
        <w:spacing w:before="0" w:after="0"/>
        <w:contextualSpacing/>
        <w:rPr>
          <w:rFonts w:asciiTheme="majorHAnsi" w:hAnsiTheme="majorHAnsi"/>
          <w:szCs w:val="22"/>
        </w:rPr>
      </w:pPr>
      <w:r w:rsidRPr="00A678A6">
        <w:rPr>
          <w:rFonts w:asciiTheme="majorHAnsi" w:hAnsiTheme="majorHAnsi"/>
          <w:szCs w:val="22"/>
        </w:rPr>
        <w:t>zvýšenie propagácie na miestnych trhoch a tvorba krátkych zásobovacích reťazcov;</w:t>
      </w:r>
    </w:p>
    <w:p w:rsidR="00A678A6" w:rsidRDefault="00A678A6" w:rsidP="00302664">
      <w:pPr>
        <w:numPr>
          <w:ilvl w:val="0"/>
          <w:numId w:val="13"/>
        </w:numPr>
        <w:spacing w:before="0" w:after="0"/>
        <w:contextualSpacing/>
        <w:rPr>
          <w:rFonts w:asciiTheme="majorHAnsi" w:hAnsiTheme="majorHAnsi"/>
          <w:szCs w:val="22"/>
        </w:rPr>
      </w:pPr>
      <w:r w:rsidRPr="00A678A6">
        <w:rPr>
          <w:rFonts w:asciiTheme="majorHAnsi" w:hAnsiTheme="majorHAnsi"/>
          <w:szCs w:val="22"/>
        </w:rPr>
        <w:t>zvýšenie trhových príležitostí živočíšnych produktov vyššej kvality, prostredníctvom podpory životných podmienok zvierat;</w:t>
      </w:r>
    </w:p>
    <w:p w:rsidR="004F5A63" w:rsidRDefault="004F5A63" w:rsidP="00302664">
      <w:pPr>
        <w:numPr>
          <w:ilvl w:val="0"/>
          <w:numId w:val="13"/>
        </w:numPr>
        <w:spacing w:before="0" w:after="0"/>
        <w:contextualSpacing/>
        <w:rPr>
          <w:rFonts w:asciiTheme="majorHAnsi" w:hAnsiTheme="majorHAnsi"/>
          <w:szCs w:val="22"/>
        </w:rPr>
      </w:pPr>
      <w:r w:rsidRPr="003F0750">
        <w:rPr>
          <w:rFonts w:asciiTheme="majorHAnsi" w:hAnsiTheme="majorHAnsi"/>
          <w:szCs w:val="22"/>
        </w:rPr>
        <w:t>zavedenie efektívneho a</w:t>
      </w:r>
      <w:r w:rsidR="000820FE">
        <w:rPr>
          <w:rFonts w:asciiTheme="majorHAnsi" w:hAnsiTheme="majorHAnsi"/>
          <w:szCs w:val="22"/>
        </w:rPr>
        <w:t> </w:t>
      </w:r>
      <w:r w:rsidRPr="003F0750">
        <w:rPr>
          <w:rFonts w:asciiTheme="majorHAnsi" w:hAnsiTheme="majorHAnsi"/>
          <w:szCs w:val="22"/>
        </w:rPr>
        <w:t>funkčného systému riadenia rizika v</w:t>
      </w:r>
      <w:r w:rsidR="000820FE">
        <w:rPr>
          <w:rFonts w:asciiTheme="majorHAnsi" w:hAnsiTheme="majorHAnsi"/>
          <w:szCs w:val="22"/>
        </w:rPr>
        <w:t> </w:t>
      </w:r>
      <w:r w:rsidRPr="003F0750">
        <w:rPr>
          <w:rFonts w:asciiTheme="majorHAnsi" w:hAnsiTheme="majorHAnsi"/>
          <w:szCs w:val="22"/>
        </w:rPr>
        <w:t>poľnohospodárstve</w:t>
      </w:r>
      <w:r w:rsidR="000820FE">
        <w:rPr>
          <w:rFonts w:asciiTheme="majorHAnsi" w:hAnsiTheme="majorHAnsi"/>
          <w:szCs w:val="22"/>
        </w:rPr>
        <w:t>;</w:t>
      </w:r>
    </w:p>
    <w:p w:rsidR="00CF04E7" w:rsidRPr="00A678A6" w:rsidRDefault="00CF04E7" w:rsidP="00302664">
      <w:pPr>
        <w:numPr>
          <w:ilvl w:val="0"/>
          <w:numId w:val="13"/>
        </w:numPr>
        <w:spacing w:before="0" w:after="0"/>
        <w:contextualSpacing/>
        <w:rPr>
          <w:rFonts w:asciiTheme="majorHAnsi" w:hAnsiTheme="majorHAnsi"/>
          <w:szCs w:val="22"/>
        </w:rPr>
      </w:pPr>
      <w:r w:rsidRPr="00CF04E7">
        <w:rPr>
          <w:rFonts w:asciiTheme="majorHAnsi" w:hAnsiTheme="majorHAnsi"/>
          <w:szCs w:val="22"/>
        </w:rPr>
        <w:t>zníženie negatívnych dôsledkov sucha ako aj zamokrenia a zaplavenia pôdy na poľnohospodársku produkciu</w:t>
      </w:r>
      <w:r>
        <w:rPr>
          <w:rFonts w:asciiTheme="majorHAnsi" w:hAnsiTheme="majorHAnsi"/>
          <w:szCs w:val="22"/>
        </w:rPr>
        <w:t>;</w:t>
      </w:r>
    </w:p>
    <w:p w:rsidR="00A678A6" w:rsidRPr="00A678A6" w:rsidRDefault="00A678A6" w:rsidP="00302664">
      <w:pPr>
        <w:numPr>
          <w:ilvl w:val="0"/>
          <w:numId w:val="13"/>
        </w:numPr>
        <w:spacing w:before="0" w:after="0"/>
        <w:contextualSpacing/>
        <w:rPr>
          <w:rFonts w:asciiTheme="majorHAnsi" w:hAnsiTheme="majorHAnsi"/>
          <w:szCs w:val="22"/>
        </w:rPr>
      </w:pPr>
      <w:r w:rsidRPr="00A678A6">
        <w:rPr>
          <w:rFonts w:asciiTheme="majorHAnsi" w:hAnsiTheme="majorHAnsi"/>
          <w:szCs w:val="22"/>
        </w:rPr>
        <w:t>zvýšenie podielu domácej produkcie na trhu SR.</w:t>
      </w:r>
    </w:p>
    <w:p w:rsidR="00A678A6" w:rsidRPr="00A678A6" w:rsidRDefault="00A678A6" w:rsidP="006F002B">
      <w:pPr>
        <w:keepNext/>
        <w:keepLines/>
        <w:numPr>
          <w:ilvl w:val="2"/>
          <w:numId w:val="2"/>
        </w:numPr>
        <w:spacing w:before="200" w:after="0"/>
        <w:outlineLvl w:val="2"/>
        <w:rPr>
          <w:rFonts w:asciiTheme="majorHAnsi" w:eastAsiaTheme="majorEastAsia" w:hAnsiTheme="majorHAnsi"/>
          <w:b/>
          <w:bCs/>
          <w:color w:val="4F81BD" w:themeColor="accent1"/>
          <w:sz w:val="26"/>
          <w:lang w:eastAsia="cs-CZ"/>
        </w:rPr>
      </w:pPr>
      <w:r w:rsidRPr="00A678A6">
        <w:rPr>
          <w:rFonts w:asciiTheme="majorHAnsi" w:eastAsiaTheme="majorEastAsia" w:hAnsiTheme="majorHAnsi"/>
          <w:b/>
          <w:bCs/>
          <w:color w:val="4F81BD" w:themeColor="accent1"/>
          <w:sz w:val="26"/>
          <w:lang w:eastAsia="cs-CZ"/>
        </w:rPr>
        <w:t>Národná priorita: Infraštruktúra pre hospodársky rast a zamestnanosť</w:t>
      </w:r>
    </w:p>
    <w:p w:rsidR="00A678A6" w:rsidRPr="00A678A6" w:rsidRDefault="00A678A6" w:rsidP="006F002B">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7: Podpora udržateľnej dopravy a odstraňovanie prekážok v kľúčových sieťových infraštruktúrach</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autoSpaceDE w:val="0"/>
        <w:autoSpaceDN w:val="0"/>
        <w:adjustRightInd w:val="0"/>
        <w:spacing w:after="0"/>
        <w:rPr>
          <w:rFonts w:asciiTheme="majorHAnsi" w:hAnsiTheme="majorHAnsi" w:cs="Franklin Gothic Book"/>
          <w:szCs w:val="22"/>
        </w:rPr>
      </w:pPr>
      <w:r w:rsidRPr="00A678A6">
        <w:rPr>
          <w:rFonts w:asciiTheme="majorHAnsi" w:hAnsiTheme="majorHAnsi" w:cs="Franklin Gothic Book"/>
          <w:szCs w:val="22"/>
        </w:rPr>
        <w:t>Kľúčovým problémom SR je neexistujúca alebo nekvalitná dopravná infraštruktúra, najmä železničnej a cestnej dopravy a nedostatočná bezpečnosť, spoľahlivosť, prístupnosť a efektívnosť dopravy. Hlavnou príčinou tohto stavu sú vysoké náklady na realizáciu dopravných stavieb na jednej strane a nedostatok verejných zdrojov na ich údržbu a rozvoj na strane druhej.</w:t>
      </w:r>
    </w:p>
    <w:p w:rsidR="00A678A6" w:rsidRPr="00A678A6" w:rsidRDefault="00A678A6" w:rsidP="00A678A6">
      <w:pPr>
        <w:autoSpaceDE w:val="0"/>
        <w:autoSpaceDN w:val="0"/>
        <w:adjustRightInd w:val="0"/>
        <w:spacing w:after="0"/>
        <w:rPr>
          <w:rFonts w:asciiTheme="majorHAnsi" w:hAnsiTheme="majorHAnsi" w:cs="Franklin Gothic Book"/>
          <w:szCs w:val="22"/>
        </w:rPr>
      </w:pPr>
      <w:r w:rsidRPr="00A678A6">
        <w:rPr>
          <w:rFonts w:asciiTheme="majorHAnsi" w:hAnsiTheme="majorHAnsi" w:cs="Franklin Gothic Book"/>
          <w:szCs w:val="22"/>
        </w:rPr>
        <w:t>Dopravná infraštruktúra je v SR v mnohých prípadoch trasovaná v náročných terénnych podmienkach s množstvom tunelov a mostných objektov, ktorých realizácia je mimoriadne technicky a finančne náročná. Vzhľadom na prírodné podmienky SR dochádza aj ku konfliktom so sieťou sústavy chránených území. Uvedené aspekty sa prirodzene negatívne premietajú aj do nákladov na realizáciu infraštruktúrnych investícií.</w:t>
      </w:r>
    </w:p>
    <w:p w:rsidR="00A678A6" w:rsidRPr="00A678A6" w:rsidRDefault="00A678A6" w:rsidP="00A678A6">
      <w:pPr>
        <w:autoSpaceDE w:val="0"/>
        <w:autoSpaceDN w:val="0"/>
        <w:adjustRightInd w:val="0"/>
        <w:spacing w:after="0"/>
        <w:rPr>
          <w:rFonts w:asciiTheme="majorHAnsi" w:hAnsiTheme="majorHAnsi" w:cs="Franklin Gothic Book"/>
          <w:szCs w:val="22"/>
        </w:rPr>
      </w:pPr>
      <w:r w:rsidRPr="00A678A6">
        <w:rPr>
          <w:rFonts w:asciiTheme="majorHAnsi" w:hAnsiTheme="majorHAnsi" w:cs="Franklin Gothic Book"/>
          <w:szCs w:val="22"/>
        </w:rPr>
        <w:t>Pokrok dosiahnutý pri budovaní dopravnej infraštruktúry v súčasnosti výrazne zaostáva za dynamikou rozvoja ekonomiky a rastom prepravných nárokov, čím dopravná infraštruktúra v SR nepodporuje, ale skôr brzdí hospodársky rast, ako aj integráciu slabších regiónov do širších územných a hospodárskych vzťahov.</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 xml:space="preserve">Cieľovým stavom je podpora budovania 4. piliera stratégie NPR, ktorý prispeje k zvýšeniu kvality života v SR, a to z dôvodu, že dobrý stav cestnej a železničnej siete je dôležitý pre zlepšenie dostupnosti hospodárskych centier a sídiel a zvýšenie konkurencieschopnosti SR. V oblasti cestnej a železničnej infraštruktúry je z hľadiska environmentálnej efektívnosti dopravy potrebné zamerať sa najmä na realizáciu projektov smerujúcich k podpore udržateľnej regionálnej a mestskej mobility. Ekologizáciou vozového parku verejnej osobnej dopravy a podporou budovania infraštruktúry pre </w:t>
      </w:r>
      <w:r w:rsidRPr="00A678A6">
        <w:rPr>
          <w:rFonts w:asciiTheme="majorHAnsi" w:hAnsiTheme="majorHAnsi" w:cs="Franklin Gothic Book"/>
          <w:color w:val="000000"/>
          <w:szCs w:val="22"/>
        </w:rPr>
        <w:lastRenderedPageBreak/>
        <w:t xml:space="preserve">integrované systémy mestskej dopravy je možné prispieť k prioritám </w:t>
      </w:r>
      <w:r w:rsidR="00BD7D10">
        <w:rPr>
          <w:rFonts w:asciiTheme="majorHAnsi" w:hAnsiTheme="majorHAnsi" w:cs="Franklin Gothic Book"/>
          <w:color w:val="000000"/>
          <w:szCs w:val="22"/>
        </w:rPr>
        <w:t>s</w:t>
      </w:r>
      <w:r w:rsidR="00BD7D10" w:rsidRPr="00A678A6">
        <w:rPr>
          <w:rFonts w:asciiTheme="majorHAnsi" w:hAnsiTheme="majorHAnsi" w:cs="Franklin Gothic Book"/>
          <w:color w:val="000000"/>
          <w:szCs w:val="22"/>
        </w:rPr>
        <w:t xml:space="preserve">tratégie </w:t>
      </w:r>
      <w:r w:rsidRPr="00A678A6">
        <w:rPr>
          <w:rFonts w:asciiTheme="majorHAnsi" w:hAnsiTheme="majorHAnsi" w:cs="Franklin Gothic Book"/>
          <w:color w:val="000000"/>
          <w:szCs w:val="22"/>
        </w:rPr>
        <w:t>Európa 2020 v oblasti znižovania emisií skleníkových plynov a zvyšovania podielu alternatívnych zdrojov energie a energetickej efektívnosti dopravného systému SR. Strategický základ pre realizáciu aktivít a projektov predstavuje Strategický plán rozvoja dopravnej infraštruktúry SR do roku 2020, ktorý identifikuje kľúčové úzke miesta v dopravnom systéme SR a navrhuje opatrenia na ich odstránenie</w:t>
      </w:r>
      <w:r w:rsidR="00BD7D10">
        <w:rPr>
          <w:rFonts w:asciiTheme="majorHAnsi" w:hAnsiTheme="majorHAnsi" w:cs="Franklin Gothic Book"/>
          <w:color w:val="000000"/>
          <w:szCs w:val="22"/>
        </w:rPr>
        <w:t>. I</w:t>
      </w:r>
      <w:r w:rsidRPr="00A678A6">
        <w:rPr>
          <w:rFonts w:asciiTheme="majorHAnsi" w:hAnsiTheme="majorHAnsi" w:cs="Franklin Gothic Book"/>
          <w:color w:val="000000"/>
          <w:szCs w:val="22"/>
        </w:rPr>
        <w:t xml:space="preserve">mplementáciou </w:t>
      </w:r>
      <w:r w:rsidR="00BD7D10">
        <w:rPr>
          <w:rFonts w:asciiTheme="majorHAnsi" w:hAnsiTheme="majorHAnsi" w:cs="Franklin Gothic Book"/>
          <w:color w:val="000000"/>
          <w:szCs w:val="22"/>
        </w:rPr>
        <w:t xml:space="preserve">týchto opatrení </w:t>
      </w:r>
      <w:r w:rsidRPr="00A678A6">
        <w:rPr>
          <w:rFonts w:asciiTheme="majorHAnsi" w:hAnsiTheme="majorHAnsi" w:cs="Franklin Gothic Book"/>
          <w:color w:val="000000"/>
          <w:szCs w:val="22"/>
        </w:rPr>
        <w:t>sa významným spôsobom prispeje k zlepšeniu existujúceho stavu z dopravného, hospodárskeho, či environmentálneho hľadiska.</w:t>
      </w:r>
      <w:r w:rsidR="005209D5">
        <w:rPr>
          <w:rFonts w:asciiTheme="majorHAnsi" w:hAnsiTheme="majorHAnsi" w:cs="Franklin Gothic Book"/>
          <w:color w:val="000000"/>
          <w:szCs w:val="22"/>
        </w:rPr>
        <w:t xml:space="preserve"> </w:t>
      </w:r>
      <w:r w:rsidRPr="00A678A6">
        <w:rPr>
          <w:rFonts w:asciiTheme="majorHAnsi" w:hAnsiTheme="majorHAnsi"/>
          <w:szCs w:val="22"/>
          <w:lang w:eastAsia="cs-CZ"/>
        </w:rPr>
        <w:t>Strategický základ pre investície na podporu regionálnych ciest predstavuje Strategický plán rozvoja a údržby ciest na úrovni regiónov.</w:t>
      </w:r>
    </w:p>
    <w:p w:rsidR="00A678A6" w:rsidRPr="00A678A6" w:rsidRDefault="00A678A6" w:rsidP="00A678A6">
      <w:pPr>
        <w:rPr>
          <w:rFonts w:asciiTheme="majorHAnsi" w:hAnsiTheme="majorHAnsi"/>
          <w:szCs w:val="22"/>
        </w:rPr>
      </w:pPr>
      <w:r w:rsidRPr="00A678A6">
        <w:rPr>
          <w:rFonts w:asciiTheme="majorHAnsi" w:hAnsiTheme="majorHAnsi"/>
          <w:szCs w:val="22"/>
          <w:lang w:eastAsia="cs-CZ"/>
        </w:rPr>
        <w:t>V podmienkach SR je potrebné zabezpečiť výstavbu a modernizáciu dopravnej infraštruktúry v schválených trasách multimodálnych koridorov (sieť TEN-T) a dobudovať dopravnú infraštruktúru medzinárodného významu za účelom napojenia infraštruktúry SR na európsku dopravnú sieť, ako aj za účelom zvyšovania dostupnosti regiónov SR. V rámci zvyšovania dostupnosti regiónov a zabezpečenia hospodárskej, sociálnej a územnej súdržnosti regiónov je potrebné modernizovať a podporiť opatrenia na zvýšenie bezpečnosti regionálnych ciest, t. j. ciest II. a III. triedy v kontexte zlepšovania konektivity na TEN-T sieť a centrá hospodársk</w:t>
      </w:r>
      <w:r w:rsidR="00730EE3">
        <w:rPr>
          <w:rFonts w:asciiTheme="majorHAnsi" w:hAnsiTheme="majorHAnsi"/>
          <w:szCs w:val="22"/>
          <w:lang w:eastAsia="cs-CZ"/>
        </w:rPr>
        <w:t>eho významu</w:t>
      </w:r>
      <w:r w:rsidRPr="00A678A6">
        <w:rPr>
          <w:rFonts w:asciiTheme="majorHAnsi" w:hAnsiTheme="majorHAnsi"/>
          <w:szCs w:val="22"/>
          <w:lang w:eastAsia="cs-CZ"/>
        </w:rPr>
        <w:t>.</w:t>
      </w:r>
      <w:r w:rsidRPr="00A678A6">
        <w:rPr>
          <w:rFonts w:asciiTheme="majorHAnsi" w:hAnsiTheme="majorHAnsi"/>
          <w:sz w:val="24"/>
          <w:lang w:eastAsia="sk-SK"/>
        </w:rPr>
        <w:t xml:space="preserve"> </w:t>
      </w:r>
      <w:r w:rsidRPr="00A678A6">
        <w:rPr>
          <w:rFonts w:asciiTheme="majorHAnsi" w:hAnsiTheme="majorHAnsi"/>
          <w:szCs w:val="22"/>
        </w:rPr>
        <w:t>Intervenčné zásahy sa budú prioritne sústreďovať na modernizáciu a rozvoj ciest II. triedy. Cesty III. triedy budú podporované len vo výnimočných a odôvodnených prípadoch, kedy pri absencii cestnej infraštruktúry vyššej kategórie v danom území, plnia cesty III. triedy funkciu spojnice na sieť TEN-T, resp. k centrám hospodársk</w:t>
      </w:r>
      <w:r w:rsidR="00730EE3">
        <w:rPr>
          <w:rFonts w:asciiTheme="majorHAnsi" w:hAnsiTheme="majorHAnsi"/>
          <w:szCs w:val="22"/>
        </w:rPr>
        <w:t>eho významu</w:t>
      </w:r>
      <w:r w:rsidRPr="00A678A6">
        <w:rPr>
          <w:rFonts w:asciiTheme="majorHAnsi" w:hAnsiTheme="majorHAnsi"/>
          <w:szCs w:val="22"/>
        </w:rPr>
        <w:t>.</w:t>
      </w:r>
      <w:r w:rsidR="00970C83">
        <w:rPr>
          <w:rFonts w:asciiTheme="majorHAnsi" w:hAnsiTheme="majorHAnsi"/>
          <w:szCs w:val="22"/>
        </w:rPr>
        <w:t xml:space="preserve"> </w:t>
      </w:r>
      <w:r w:rsidR="00970C83" w:rsidRPr="00970C83">
        <w:rPr>
          <w:rFonts w:asciiTheme="majorHAnsi" w:hAnsiTheme="majorHAnsi"/>
          <w:szCs w:val="22"/>
        </w:rPr>
        <w:t xml:space="preserve">Súčasný stav </w:t>
      </w:r>
      <w:r w:rsidR="00D80235">
        <w:rPr>
          <w:rFonts w:asciiTheme="majorHAnsi" w:hAnsiTheme="majorHAnsi"/>
          <w:szCs w:val="22"/>
        </w:rPr>
        <w:t>v</w:t>
      </w:r>
      <w:r w:rsidR="00264A9C">
        <w:rPr>
          <w:rFonts w:asciiTheme="majorHAnsi" w:hAnsiTheme="majorHAnsi"/>
          <w:szCs w:val="22"/>
        </w:rPr>
        <w:t> </w:t>
      </w:r>
      <w:r w:rsidR="00D80235">
        <w:rPr>
          <w:rFonts w:asciiTheme="majorHAnsi" w:hAnsiTheme="majorHAnsi"/>
          <w:szCs w:val="22"/>
        </w:rPr>
        <w:t>SR</w:t>
      </w:r>
      <w:r w:rsidR="00970C83" w:rsidRPr="00970C83">
        <w:rPr>
          <w:rFonts w:asciiTheme="majorHAnsi" w:hAnsiTheme="majorHAnsi"/>
          <w:szCs w:val="22"/>
        </w:rPr>
        <w:t xml:space="preserve"> v</w:t>
      </w:r>
      <w:r w:rsidR="00264A9C">
        <w:rPr>
          <w:rFonts w:asciiTheme="majorHAnsi" w:hAnsiTheme="majorHAnsi"/>
          <w:szCs w:val="22"/>
        </w:rPr>
        <w:t> </w:t>
      </w:r>
      <w:r w:rsidR="00970C83" w:rsidRPr="00970C83">
        <w:rPr>
          <w:rFonts w:asciiTheme="majorHAnsi" w:hAnsiTheme="majorHAnsi"/>
          <w:szCs w:val="22"/>
        </w:rPr>
        <w:t>oblasti poskytovania dopravných informácií a</w:t>
      </w:r>
      <w:r w:rsidR="00264A9C">
        <w:rPr>
          <w:rFonts w:asciiTheme="majorHAnsi" w:hAnsiTheme="majorHAnsi"/>
          <w:szCs w:val="22"/>
        </w:rPr>
        <w:t> </w:t>
      </w:r>
      <w:r w:rsidR="00970C83" w:rsidRPr="00970C83">
        <w:rPr>
          <w:rFonts w:asciiTheme="majorHAnsi" w:hAnsiTheme="majorHAnsi"/>
          <w:szCs w:val="22"/>
        </w:rPr>
        <w:t>využívania dopravnej telematiky je v</w:t>
      </w:r>
      <w:r w:rsidR="00264A9C">
        <w:rPr>
          <w:rFonts w:asciiTheme="majorHAnsi" w:hAnsiTheme="majorHAnsi"/>
          <w:szCs w:val="22"/>
        </w:rPr>
        <w:t> </w:t>
      </w:r>
      <w:r w:rsidR="00264A9C" w:rsidRPr="00970C83">
        <w:rPr>
          <w:rFonts w:asciiTheme="majorHAnsi" w:hAnsiTheme="majorHAnsi"/>
          <w:szCs w:val="22"/>
        </w:rPr>
        <w:t>začiatkoch</w:t>
      </w:r>
      <w:r w:rsidR="00264A9C">
        <w:rPr>
          <w:rFonts w:asciiTheme="majorHAnsi" w:hAnsiTheme="majorHAnsi"/>
          <w:szCs w:val="22"/>
        </w:rPr>
        <w:t xml:space="preserve"> </w:t>
      </w:r>
      <w:r w:rsidR="00970C83" w:rsidRPr="00970C83">
        <w:rPr>
          <w:rFonts w:asciiTheme="majorHAnsi" w:hAnsiTheme="majorHAnsi"/>
          <w:szCs w:val="22"/>
        </w:rPr>
        <w:t>svojho rozvoja. Na cestách absentuje dopravná telematika a technologické zariadenia, ktoré by umožnili monitorovanie prevádzkových podmienok, ako aj vykonávanie reálneho manažmentu dopravy. Implementácia moderných technológií sa pritom môže významným spôsobom podieľať na intenzifikácii kapacity existujúcej cestnej siete, zmierniť kongescie a</w:t>
      </w:r>
      <w:r w:rsidR="00264A9C">
        <w:rPr>
          <w:rFonts w:asciiTheme="majorHAnsi" w:hAnsiTheme="majorHAnsi"/>
          <w:szCs w:val="22"/>
        </w:rPr>
        <w:t> </w:t>
      </w:r>
      <w:r w:rsidR="00970C83" w:rsidRPr="00970C83">
        <w:rPr>
          <w:rFonts w:asciiTheme="majorHAnsi" w:hAnsiTheme="majorHAnsi"/>
          <w:szCs w:val="22"/>
        </w:rPr>
        <w:t>zlepšiť bezpečnosť a</w:t>
      </w:r>
      <w:r w:rsidR="00264A9C">
        <w:rPr>
          <w:rFonts w:asciiTheme="majorHAnsi" w:hAnsiTheme="majorHAnsi"/>
          <w:szCs w:val="22"/>
        </w:rPr>
        <w:t> </w:t>
      </w:r>
      <w:r w:rsidR="00970C83" w:rsidRPr="00970C83">
        <w:rPr>
          <w:rFonts w:asciiTheme="majorHAnsi" w:hAnsiTheme="majorHAnsi"/>
          <w:szCs w:val="22"/>
        </w:rPr>
        <w:t>plynulosť</w:t>
      </w:r>
      <w:r w:rsidR="00264A9C">
        <w:rPr>
          <w:rFonts w:asciiTheme="majorHAnsi" w:hAnsiTheme="majorHAnsi"/>
          <w:szCs w:val="22"/>
        </w:rPr>
        <w:t xml:space="preserve"> </w:t>
      </w:r>
      <w:r w:rsidR="00970C83" w:rsidRPr="00970C83">
        <w:rPr>
          <w:rFonts w:asciiTheme="majorHAnsi" w:hAnsiTheme="majorHAnsi"/>
          <w:szCs w:val="22"/>
        </w:rPr>
        <w:t>cestnej premávky. Dopravná telematika (premenné dopravné značenia, riadiace a dohľadové systémy, meteo stanice, CCTV kamery) bude nasadzovaná najmä v najzaťaženejších úsekoch a</w:t>
      </w:r>
      <w:r w:rsidR="00264A9C">
        <w:rPr>
          <w:rFonts w:asciiTheme="majorHAnsi" w:hAnsiTheme="majorHAnsi"/>
          <w:szCs w:val="22"/>
        </w:rPr>
        <w:t> </w:t>
      </w:r>
      <w:r w:rsidR="00970C83" w:rsidRPr="00970C83">
        <w:rPr>
          <w:rFonts w:asciiTheme="majorHAnsi" w:hAnsiTheme="majorHAnsi"/>
          <w:szCs w:val="22"/>
        </w:rPr>
        <w:t>v</w:t>
      </w:r>
      <w:r w:rsidR="00264A9C">
        <w:rPr>
          <w:rFonts w:asciiTheme="majorHAnsi" w:hAnsiTheme="majorHAnsi"/>
          <w:szCs w:val="22"/>
        </w:rPr>
        <w:t> </w:t>
      </w:r>
      <w:r w:rsidR="00970C83" w:rsidRPr="00970C83">
        <w:rPr>
          <w:rFonts w:asciiTheme="majorHAnsi" w:hAnsiTheme="majorHAnsi"/>
          <w:szCs w:val="22"/>
        </w:rPr>
        <w:t>kritických</w:t>
      </w:r>
      <w:r w:rsidR="00264A9C">
        <w:rPr>
          <w:rFonts w:asciiTheme="majorHAnsi" w:hAnsiTheme="majorHAnsi"/>
          <w:szCs w:val="22"/>
        </w:rPr>
        <w:t xml:space="preserve"> </w:t>
      </w:r>
      <w:r w:rsidR="00970C83" w:rsidRPr="00970C83">
        <w:rPr>
          <w:rFonts w:asciiTheme="majorHAnsi" w:hAnsiTheme="majorHAnsi"/>
          <w:szCs w:val="22"/>
        </w:rPr>
        <w:t>nehodových lokalitách, či už na extravilánových úsekoch, ako aj v</w:t>
      </w:r>
      <w:r w:rsidR="00264A9C">
        <w:rPr>
          <w:rFonts w:asciiTheme="majorHAnsi" w:hAnsiTheme="majorHAnsi"/>
          <w:szCs w:val="22"/>
        </w:rPr>
        <w:t> </w:t>
      </w:r>
      <w:r w:rsidR="00970C83" w:rsidRPr="00970C83">
        <w:rPr>
          <w:rFonts w:asciiTheme="majorHAnsi" w:hAnsiTheme="majorHAnsi"/>
          <w:szCs w:val="22"/>
        </w:rPr>
        <w:t>intraviláne miest a</w:t>
      </w:r>
      <w:r w:rsidR="00264A9C">
        <w:rPr>
          <w:rFonts w:asciiTheme="majorHAnsi" w:hAnsiTheme="majorHAnsi"/>
          <w:szCs w:val="22"/>
        </w:rPr>
        <w:t> </w:t>
      </w:r>
      <w:r w:rsidR="00970C83" w:rsidRPr="00970C83">
        <w:rPr>
          <w:rFonts w:asciiTheme="majorHAnsi" w:hAnsiTheme="majorHAnsi"/>
          <w:szCs w:val="22"/>
        </w:rPr>
        <w:t>obcí, na ktorých sa zo strednodobého hľadiska nepredpokladá investičná výstavba</w:t>
      </w:r>
      <w:r w:rsidR="0013405E">
        <w:rPr>
          <w:rStyle w:val="Odkaznapoznmkupodiarou"/>
          <w:rFonts w:asciiTheme="majorHAnsi" w:hAnsiTheme="majorHAnsi"/>
          <w:szCs w:val="22"/>
        </w:rPr>
        <w:footnoteReference w:id="278"/>
      </w:r>
      <w:r w:rsidR="00970C83" w:rsidRPr="00970C83">
        <w:rPr>
          <w:rFonts w:asciiTheme="majorHAnsi" w:hAnsiTheme="majorHAnsi"/>
          <w:szCs w:val="22"/>
        </w:rPr>
        <w:t>.</w:t>
      </w:r>
    </w:p>
    <w:p w:rsidR="00A678A6" w:rsidRDefault="00A678A6" w:rsidP="003F0750">
      <w:pPr>
        <w:autoSpaceDE w:val="0"/>
        <w:autoSpaceDN w:val="0"/>
        <w:adjustRightInd w:val="0"/>
        <w:spacing w:before="0" w:after="0"/>
        <w:rPr>
          <w:rFonts w:asciiTheme="majorHAnsi" w:hAnsiTheme="majorHAnsi" w:cs="Franklin Gothic Book"/>
          <w:color w:val="000000"/>
          <w:szCs w:val="22"/>
        </w:rPr>
      </w:pPr>
      <w:r w:rsidRPr="00A678A6">
        <w:rPr>
          <w:rFonts w:asciiTheme="majorHAnsi" w:hAnsiTheme="majorHAnsi" w:cs="Franklin Gothic Book"/>
          <w:color w:val="000000"/>
          <w:szCs w:val="22"/>
        </w:rPr>
        <w:t>Z dôvodu potreby zvýšenia konkurencieschopnosti železničnej dopravy je nevyhnutné vytvoriť komplexný a interoperabilný systém prostredníctvom investícií do infraštruktúry, vozového parku a integráciou rôznych typov dopravy (intermodálna doprava).</w:t>
      </w:r>
    </w:p>
    <w:p w:rsidR="007B7E75" w:rsidRPr="007B7E75" w:rsidRDefault="007B7E75" w:rsidP="003F0750">
      <w:pPr>
        <w:autoSpaceDE w:val="0"/>
        <w:autoSpaceDN w:val="0"/>
        <w:adjustRightInd w:val="0"/>
        <w:spacing w:before="0" w:after="0"/>
        <w:rPr>
          <w:rFonts w:asciiTheme="majorHAnsi" w:hAnsiTheme="majorHAnsi" w:cs="Franklin Gothic Book"/>
          <w:color w:val="000000"/>
          <w:szCs w:val="22"/>
        </w:rPr>
      </w:pPr>
      <w:r w:rsidRPr="007B7E75">
        <w:rPr>
          <w:rFonts w:asciiTheme="majorHAnsi" w:hAnsiTheme="majorHAnsi" w:cs="Franklin Gothic Book"/>
          <w:color w:val="000000"/>
          <w:szCs w:val="22"/>
        </w:rPr>
        <w:t>Komplementárnym spôsobom bude prispievať k implementáci</w:t>
      </w:r>
      <w:r w:rsidR="00BD7D10">
        <w:rPr>
          <w:rFonts w:asciiTheme="majorHAnsi" w:hAnsiTheme="majorHAnsi" w:cs="Franklin Gothic Book"/>
          <w:color w:val="000000"/>
          <w:szCs w:val="22"/>
        </w:rPr>
        <w:t xml:space="preserve">i </w:t>
      </w:r>
      <w:r w:rsidRPr="007B7E75">
        <w:rPr>
          <w:rFonts w:asciiTheme="majorHAnsi" w:hAnsiTheme="majorHAnsi" w:cs="Franklin Gothic Book"/>
          <w:color w:val="000000"/>
          <w:szCs w:val="22"/>
        </w:rPr>
        <w:t>stratégie RIS3.</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A678A6">
      <w:pPr>
        <w:autoSpaceDE w:val="0"/>
        <w:autoSpaceDN w:val="0"/>
        <w:adjustRightInd w:val="0"/>
        <w:spacing w:after="0"/>
        <w:rPr>
          <w:rFonts w:asciiTheme="majorHAnsi" w:hAnsiTheme="majorHAnsi" w:cs="Franklin Gothic Book"/>
          <w:b/>
          <w:szCs w:val="22"/>
        </w:rPr>
      </w:pPr>
      <w:r w:rsidRPr="00A678A6">
        <w:rPr>
          <w:rFonts w:asciiTheme="majorHAnsi" w:hAnsiTheme="majorHAnsi" w:cs="Franklin Gothic Book"/>
          <w:b/>
          <w:szCs w:val="22"/>
        </w:rPr>
        <w:t>Investície KF</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kvality dopravného spojenia a homogenizácie TEN-T, vrátane zvýšenia bezpečnosti, spoľahlivosti, environmentálnej a finančnej efektívnosti;</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podielu železničnej a vodnej dopravy na výkonoch nákladnej a osobnej dopravy;</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ekologickosti a energetickej efektívnosti dopravného systému SR;</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podpora udržateľnej mestskej mobility;</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dobudovanie úsekov diaľnic a rýchlostných ciest, modernizácia a rekonštrukcia železničných tratí európskeho významu s prepojením na susedné štáty;</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bezpečnosti cestnej dopravy;</w:t>
      </w:r>
    </w:p>
    <w:p w:rsidR="00264A9C"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podpora rozvoja služieb a aplikácií inteligentných dopravných systémov pre cestnú dopravu s možnosťou prepojenia na iné druhy dopravy.</w:t>
      </w:r>
    </w:p>
    <w:p w:rsidR="00A678A6" w:rsidRPr="00A678A6" w:rsidRDefault="00A678A6" w:rsidP="00A678A6">
      <w:pPr>
        <w:autoSpaceDE w:val="0"/>
        <w:autoSpaceDN w:val="0"/>
        <w:adjustRightInd w:val="0"/>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EFRR</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lastRenderedPageBreak/>
        <w:t>zvýšenie kvality dopravného spojenia medzi regiónmi prostredníctvom investícií do železničnej a cestnej infraštruktúr</w:t>
      </w:r>
      <w:r w:rsidR="00876279">
        <w:rPr>
          <w:rFonts w:asciiTheme="majorHAnsi" w:hAnsiTheme="majorHAnsi" w:cs="Franklin Gothic Book"/>
          <w:color w:val="000000"/>
          <w:szCs w:val="22"/>
        </w:rPr>
        <w:t>y</w:t>
      </w:r>
      <w:r w:rsidRPr="00A678A6">
        <w:rPr>
          <w:rFonts w:asciiTheme="majorHAnsi" w:hAnsiTheme="majorHAnsi" w:cs="Franklin Gothic Book"/>
          <w:color w:val="000000"/>
          <w:szCs w:val="22"/>
        </w:rPr>
        <w:t xml:space="preserve">, vrátane bezpečnosti a plynulosti dopravy na cestách </w:t>
      </w:r>
      <w:r w:rsidRPr="00A678A6">
        <w:rPr>
          <w:rFonts w:asciiTheme="majorHAnsi" w:hAnsiTheme="majorHAnsi" w:cs="Franklin Gothic Book"/>
          <w:color w:val="000000"/>
          <w:szCs w:val="22"/>
        </w:rPr>
        <w:br/>
        <w:t>I. triedy;</w:t>
      </w:r>
    </w:p>
    <w:p w:rsid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dostupnosti TEN-T siete a centier hospodársk</w:t>
      </w:r>
      <w:r w:rsidR="00730EE3">
        <w:rPr>
          <w:rFonts w:asciiTheme="majorHAnsi" w:hAnsiTheme="majorHAnsi" w:cs="Franklin Gothic Book"/>
          <w:color w:val="000000"/>
          <w:szCs w:val="22"/>
        </w:rPr>
        <w:t>eho významu</w:t>
      </w:r>
      <w:r w:rsidRPr="00A678A6">
        <w:rPr>
          <w:rFonts w:asciiTheme="majorHAnsi" w:hAnsiTheme="majorHAnsi" w:cs="Franklin Gothic Book"/>
          <w:color w:val="000000"/>
          <w:szCs w:val="22"/>
        </w:rPr>
        <w:t xml:space="preserve"> modernizáciou</w:t>
      </w:r>
      <w:r w:rsidR="00724449">
        <w:rPr>
          <w:rFonts w:asciiTheme="majorHAnsi" w:hAnsiTheme="majorHAnsi" w:cs="Franklin Gothic Book"/>
          <w:color w:val="000000"/>
          <w:szCs w:val="22"/>
        </w:rPr>
        <w:t xml:space="preserve">, v odôvodnených prípadoch výstavbou, </w:t>
      </w:r>
      <w:r w:rsidRPr="00A678A6">
        <w:rPr>
          <w:rFonts w:asciiTheme="majorHAnsi" w:hAnsiTheme="majorHAnsi" w:cs="Franklin Gothic Book"/>
          <w:color w:val="000000"/>
          <w:szCs w:val="22"/>
        </w:rPr>
        <w:t>vybraných regionálnych ciest, t. j. ciest II. a III. triedy za účelom zvýšenia sociálnej a ekonomickej súdržnosti regiónov;</w:t>
      </w:r>
    </w:p>
    <w:p w:rsidR="00391A26" w:rsidRDefault="00391A26" w:rsidP="00302664">
      <w:pPr>
        <w:numPr>
          <w:ilvl w:val="0"/>
          <w:numId w:val="18"/>
        </w:numPr>
        <w:spacing w:before="0" w:after="0"/>
        <w:contextualSpacing/>
        <w:rPr>
          <w:rFonts w:asciiTheme="majorHAnsi" w:hAnsiTheme="majorHAnsi" w:cs="Franklin Gothic Book"/>
          <w:color w:val="000000"/>
          <w:szCs w:val="22"/>
        </w:rPr>
      </w:pPr>
      <w:r w:rsidRPr="00391A26">
        <w:rPr>
          <w:rFonts w:asciiTheme="majorHAnsi" w:hAnsiTheme="majorHAnsi" w:cs="Franklin Gothic Book"/>
          <w:color w:val="000000"/>
          <w:szCs w:val="22"/>
        </w:rPr>
        <w:t>zvýšenie ekologickosti a energetickej efektívnosti dopravného systému SR</w:t>
      </w:r>
      <w:r>
        <w:rPr>
          <w:rFonts w:asciiTheme="majorHAnsi" w:hAnsiTheme="majorHAnsi" w:cs="Franklin Gothic Book"/>
          <w:color w:val="000000"/>
          <w:szCs w:val="22"/>
        </w:rPr>
        <w:t>;</w:t>
      </w:r>
    </w:p>
    <w:p w:rsidR="00391A26" w:rsidRPr="00A678A6" w:rsidRDefault="00391A26" w:rsidP="00302664">
      <w:pPr>
        <w:numPr>
          <w:ilvl w:val="0"/>
          <w:numId w:val="18"/>
        </w:numPr>
        <w:spacing w:before="0" w:after="0"/>
        <w:contextualSpacing/>
        <w:rPr>
          <w:rFonts w:asciiTheme="majorHAnsi" w:hAnsiTheme="majorHAnsi" w:cs="Franklin Gothic Book"/>
          <w:color w:val="000000"/>
          <w:szCs w:val="22"/>
        </w:rPr>
      </w:pPr>
      <w:r w:rsidRPr="00391A26">
        <w:rPr>
          <w:rFonts w:asciiTheme="majorHAnsi" w:hAnsiTheme="majorHAnsi" w:cs="Franklin Gothic Book"/>
          <w:color w:val="000000"/>
          <w:szCs w:val="22"/>
        </w:rPr>
        <w:t>zvýšenie podielu železničnej dopravy na výkonoch nákladnej a osobnej dopravy</w:t>
      </w:r>
      <w:r>
        <w:rPr>
          <w:rFonts w:asciiTheme="majorHAnsi" w:hAnsiTheme="majorHAnsi" w:cs="Franklin Gothic Book"/>
          <w:color w:val="000000"/>
          <w:szCs w:val="22"/>
        </w:rPr>
        <w:t>;</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atraktivity verejnej osobnej dopravy vrátane mestskej hromadnej dopravy a zníženie environmentálneho zaťaženia mestských oblastí.</w:t>
      </w:r>
    </w:p>
    <w:p w:rsidR="00A678A6" w:rsidRPr="00A678A6" w:rsidRDefault="00A678A6" w:rsidP="006F002B">
      <w:pPr>
        <w:keepNext/>
        <w:keepLines/>
        <w:numPr>
          <w:ilvl w:val="2"/>
          <w:numId w:val="2"/>
        </w:numPr>
        <w:spacing w:before="200" w:after="0"/>
        <w:outlineLvl w:val="2"/>
        <w:rPr>
          <w:rFonts w:asciiTheme="majorHAnsi" w:eastAsiaTheme="majorEastAsia" w:hAnsiTheme="majorHAnsi"/>
          <w:b/>
          <w:bCs/>
          <w:color w:val="4F81BD" w:themeColor="accent1"/>
          <w:sz w:val="26"/>
          <w:lang w:eastAsia="cs-CZ"/>
        </w:rPr>
      </w:pPr>
      <w:r w:rsidRPr="00A678A6">
        <w:rPr>
          <w:rFonts w:asciiTheme="majorHAnsi" w:eastAsiaTheme="majorEastAsia" w:hAnsiTheme="majorHAnsi"/>
          <w:b/>
          <w:bCs/>
          <w:color w:val="4F81BD" w:themeColor="accent1"/>
          <w:sz w:val="26"/>
          <w:lang w:eastAsia="cs-CZ"/>
        </w:rPr>
        <w:t>Národná priorita: Rozvoj ľudského kapitálu a zlepšenie účasti na trhu práce</w:t>
      </w:r>
    </w:p>
    <w:p w:rsidR="00A678A6" w:rsidRPr="00A678A6" w:rsidRDefault="00A678A6" w:rsidP="006F002B">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8: Podpora udržateľnosti a kvality zamestnanosti a mobility pracovnej sily</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Miera dlhodobej nezamestnanosti na Slovensku patrí s viac ako 9 % medzi najvyššie v</w:t>
      </w:r>
      <w:r w:rsidR="00264A9C">
        <w:rPr>
          <w:rFonts w:asciiTheme="majorHAnsi" w:hAnsiTheme="majorHAnsi" w:cs="Franklin Gothic Book"/>
          <w:color w:val="000000"/>
          <w:szCs w:val="22"/>
        </w:rPr>
        <w:t> </w:t>
      </w:r>
      <w:r w:rsidRPr="00A678A6">
        <w:rPr>
          <w:rFonts w:asciiTheme="majorHAnsi" w:hAnsiTheme="majorHAnsi" w:cs="Franklin Gothic Book"/>
          <w:color w:val="000000"/>
          <w:szCs w:val="22"/>
        </w:rPr>
        <w:t>EÚ27. V porovnaní s inými krajinami EÚ má SR relatívne nízku zamestnanosť najmä starších ľudí a žien a vysokú mieru nezamestnanosti, obzvlášť mladých ľudí a ľudí s nízkou kvalifikáciou. V programovom období 2007 – 2013 neboli dostatočne odstraňované prekážky na pracovnom trhu, najmä pre znevýhodnené skupiny, a to dlhodobo nezamestnaných, mladých ľudí, starších ľudí, žien, osôb ohrozených sociálnym vylúčením a osôb s viacnásobným znevýhodnením na trhu práce.</w:t>
      </w:r>
      <w:r w:rsidR="003450A7">
        <w:rPr>
          <w:rFonts w:asciiTheme="majorHAnsi" w:hAnsiTheme="majorHAnsi" w:cs="Franklin Gothic Book"/>
          <w:color w:val="000000"/>
          <w:szCs w:val="22"/>
        </w:rPr>
        <w:t xml:space="preserve"> V tejto súvislosti je potrebné pokračovať v podpore budovania administratívnych kapacít v oblasti sociálneho dialógu, podnikateľského prostredia a podpory zamestnanosti, za účelom zlepšovania podnikateľského prostredia, zamestnanosti a sociálneho zmieru.</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Rodové nerovnosti, ako napr. tradičné rozdelenie rodových rolí, nízka znalosť svojich práv a agendy rodovej rovnosti, nedostatok vyrovnávajúcich opatrení, nedostatok sociálnych služieb, ktoré by umožňovali lepšie zosúladenie rodinného a pracovného života v SR stále pretrvávajú.</w:t>
      </w:r>
    </w:p>
    <w:p w:rsidR="00A678A6" w:rsidRPr="00A678A6" w:rsidRDefault="00A678A6" w:rsidP="00A678A6">
      <w:pPr>
        <w:autoSpaceDE w:val="0"/>
        <w:autoSpaceDN w:val="0"/>
        <w:adjustRightInd w:val="0"/>
        <w:spacing w:after="0"/>
        <w:rPr>
          <w:rFonts w:asciiTheme="majorHAnsi" w:hAnsiTheme="majorHAnsi" w:cs="Franklin Gothic Book"/>
          <w:color w:val="000000"/>
          <w:sz w:val="24"/>
        </w:rPr>
      </w:pPr>
      <w:r w:rsidRPr="00A678A6">
        <w:rPr>
          <w:rFonts w:asciiTheme="majorHAnsi" w:hAnsiTheme="majorHAnsi" w:cs="Franklin Gothic Book"/>
          <w:color w:val="000000"/>
          <w:szCs w:val="22"/>
        </w:rPr>
        <w:t>Skúsenosti z implementácie PRV SR 2007 – 2013 v poľnohospodárstve ukázali, že investičné projektové podpory (okrem tvorby nových pracovných miest) napomáhali udržovať zamestnanosť, resp. zmierňovať znižovanie zamestnanosti. V poľnohospodárstve ako celku, však stále platí, že počet zaniknutých pracovných miest je vyšší ako počet novovzniknutých pracovných miest.</w:t>
      </w:r>
    </w:p>
    <w:p w:rsidR="00A678A6" w:rsidRPr="00A678A6" w:rsidRDefault="00A678A6" w:rsidP="00A678A6">
      <w:pPr>
        <w:tabs>
          <w:tab w:val="left" w:pos="696"/>
        </w:tabs>
        <w:autoSpaceDE w:val="0"/>
        <w:autoSpaceDN w:val="0"/>
        <w:adjustRightInd w:val="0"/>
        <w:rPr>
          <w:rFonts w:asciiTheme="majorHAnsi" w:hAnsiTheme="majorHAnsi" w:cs="Franklin Gothic Book"/>
          <w:color w:val="000000"/>
          <w:szCs w:val="22"/>
        </w:rPr>
      </w:pPr>
      <w:r w:rsidRPr="00A678A6">
        <w:rPr>
          <w:rFonts w:asciiTheme="majorHAnsi" w:hAnsiTheme="majorHAnsi" w:cs="Franklin Gothic Book"/>
          <w:color w:val="000000"/>
          <w:szCs w:val="22"/>
        </w:rPr>
        <w:t>V programovom období 2007 – 2013 boli vyčlenené prostriedky z ESF predovšetkým na realizáciu aktívnych opatrení trhu práce. Prostredníctvom týchto prostriedkov sa podporili pracovné miesta pre znevýhodnených uchádzačov o zamestnanie a</w:t>
      </w:r>
      <w:r w:rsidR="00264A9C">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udržanie zamestnancov s nízkymi mzdami v zamestnaní. Ďalej boli tieto prostriedky vynaložené na podporu zvýšenia zamestnanosti znevýhodnených uchádzačov o zamestnanie, </w:t>
      </w:r>
      <w:r w:rsidR="008E6E0A" w:rsidRPr="008E6E0A">
        <w:rPr>
          <w:rFonts w:asciiTheme="majorHAnsi" w:hAnsiTheme="majorHAnsi" w:cs="Franklin Gothic Book"/>
          <w:color w:val="000000"/>
          <w:szCs w:val="22"/>
        </w:rPr>
        <w:t>,</w:t>
      </w:r>
      <w:r w:rsidRPr="00A678A6">
        <w:rPr>
          <w:rFonts w:asciiTheme="majorHAnsi" w:hAnsiTheme="majorHAnsi" w:cs="Franklin Gothic Book"/>
          <w:color w:val="000000"/>
          <w:szCs w:val="22"/>
        </w:rPr>
        <w:t>motivácie zamestnávateľov na vytváranie nových, ale aj udržania existujúcich pracovných miest. Zároveň boli koncentrované na podporu zvýšenia zamestnanosti uchádzačov o zamestnanie prostredníctvom poskytovania príspevku na dochádzku za prácou a príspevku na presťahovanie sa za prácou, ako aj podporu uchádzačov o zamestnanie na trhu práce.</w:t>
      </w:r>
    </w:p>
    <w:p w:rsidR="00C94415" w:rsidRPr="00C94415"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3F0750">
      <w:pPr>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zmysle špecifických odporúčaní Rady pre SR</w:t>
      </w:r>
      <w:r w:rsidRPr="00A678A6">
        <w:rPr>
          <w:rFonts w:asciiTheme="majorHAnsi" w:hAnsiTheme="majorHAnsi" w:cs="Franklin Gothic Book"/>
          <w:color w:val="000000"/>
          <w:szCs w:val="22"/>
          <w:vertAlign w:val="superscript"/>
        </w:rPr>
        <w:footnoteReference w:id="279"/>
      </w:r>
      <w:r w:rsidRPr="00A678A6">
        <w:rPr>
          <w:rFonts w:asciiTheme="majorHAnsi" w:hAnsiTheme="majorHAnsi" w:cs="Franklin Gothic Book"/>
          <w:color w:val="000000"/>
          <w:szCs w:val="22"/>
        </w:rPr>
        <w:t xml:space="preserve"> je potrebné prijať opatrenia s cieľom zlepšiť schopnosť poskytovania verejných služieb zamestnanosti uchádzačom o zamestnanie formou individualizovaných služieb a posilniť prepojenie medzi aktivačnými opatreniami a sociálnou pomocou. Zároveň je žiaduce účinnejším spôsobom riešiť dlhodobú nezamestnanosť </w:t>
      </w:r>
      <w:r w:rsidRPr="00A678A6">
        <w:rPr>
          <w:rFonts w:asciiTheme="majorHAnsi" w:hAnsiTheme="majorHAnsi" w:cs="Franklin Gothic Book"/>
          <w:color w:val="000000"/>
          <w:szCs w:val="22"/>
        </w:rPr>
        <w:lastRenderedPageBreak/>
        <w:t>prostredníctvom aktivačných opatrení a individualizovanej odbornej prípravy. Rovnako je nevyhnutné zlepšiť poskytovanie služieb prostredníctvom zariadení starostlivosti o</w:t>
      </w:r>
      <w:r w:rsidR="00264A9C">
        <w:rPr>
          <w:rFonts w:asciiTheme="majorHAnsi" w:hAnsiTheme="majorHAnsi" w:cs="Franklin Gothic Book"/>
          <w:color w:val="000000"/>
          <w:szCs w:val="22"/>
        </w:rPr>
        <w:t> </w:t>
      </w:r>
      <w:r w:rsidRPr="00A678A6">
        <w:rPr>
          <w:rFonts w:asciiTheme="majorHAnsi" w:hAnsiTheme="majorHAnsi" w:cs="Franklin Gothic Book"/>
          <w:color w:val="000000"/>
          <w:szCs w:val="22"/>
        </w:rPr>
        <w:t>deti, najmä pre deti do veku troch rokov. Taktiež je potrebné zintenzívniť úsilie pri riešení vysokej nezamestnanosti mládeže, napr. prostredníctvom záruky pre mladých, vrátane dlhodobo nezamestnaných osôb z</w:t>
      </w:r>
      <w:r w:rsidR="00F01E0A">
        <w:rPr>
          <w:rFonts w:asciiTheme="majorHAnsi" w:hAnsiTheme="majorHAnsi" w:cs="Franklin Gothic Book"/>
          <w:color w:val="000000"/>
          <w:szCs w:val="22"/>
        </w:rPr>
        <w:t> </w:t>
      </w:r>
      <w:r w:rsidRPr="00A678A6">
        <w:rPr>
          <w:rFonts w:asciiTheme="majorHAnsi" w:hAnsiTheme="majorHAnsi" w:cs="Franklin Gothic Book"/>
          <w:color w:val="000000"/>
          <w:szCs w:val="22"/>
        </w:rPr>
        <w:t>rómskych komunít</w:t>
      </w:r>
      <w:r w:rsidR="006B5CFF">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V súvislosti so </w:t>
      </w:r>
      <w:r w:rsidR="00830BD6">
        <w:rPr>
          <w:rFonts w:asciiTheme="majorHAnsi" w:hAnsiTheme="majorHAnsi" w:cs="Franklin Gothic Book"/>
          <w:color w:val="000000"/>
          <w:szCs w:val="22"/>
        </w:rPr>
        <w:t>s</w:t>
      </w:r>
      <w:r w:rsidR="005209D5" w:rsidRPr="00A678A6">
        <w:rPr>
          <w:rFonts w:asciiTheme="majorHAnsi" w:hAnsiTheme="majorHAnsi" w:cs="Franklin Gothic Book"/>
          <w:color w:val="000000"/>
          <w:szCs w:val="22"/>
        </w:rPr>
        <w:t xml:space="preserve">tratégiou </w:t>
      </w:r>
      <w:r w:rsidRPr="00A678A6">
        <w:rPr>
          <w:rFonts w:asciiTheme="majorHAnsi" w:hAnsiTheme="majorHAnsi" w:cs="Franklin Gothic Book"/>
          <w:color w:val="000000"/>
          <w:szCs w:val="22"/>
        </w:rPr>
        <w:t>Európa 2020 a NPR je potrebné</w:t>
      </w:r>
      <w:r w:rsidR="009024C0">
        <w:rPr>
          <w:rFonts w:asciiTheme="majorHAnsi" w:hAnsiTheme="majorHAnsi" w:cs="Franklin Gothic Book"/>
          <w:color w:val="000000"/>
          <w:szCs w:val="22"/>
        </w:rPr>
        <w:t xml:space="preserve"> realizovať opatrenia na</w:t>
      </w:r>
      <w:r w:rsidRPr="00A678A6">
        <w:rPr>
          <w:rFonts w:asciiTheme="majorHAnsi" w:hAnsiTheme="majorHAnsi" w:cs="Franklin Gothic Book"/>
          <w:color w:val="000000"/>
          <w:szCs w:val="22"/>
        </w:rPr>
        <w:t xml:space="preserve"> podpor</w:t>
      </w:r>
      <w:r w:rsidR="009024C0">
        <w:rPr>
          <w:rFonts w:asciiTheme="majorHAnsi" w:hAnsiTheme="majorHAnsi" w:cs="Franklin Gothic Book"/>
          <w:color w:val="000000"/>
          <w:szCs w:val="22"/>
        </w:rPr>
        <w:t>u</w:t>
      </w:r>
      <w:r w:rsidRPr="00A678A6">
        <w:rPr>
          <w:rFonts w:asciiTheme="majorHAnsi" w:hAnsiTheme="majorHAnsi" w:cs="Franklin Gothic Book"/>
          <w:color w:val="000000"/>
          <w:szCs w:val="22"/>
        </w:rPr>
        <w:t xml:space="preserve"> zamestnanosti a mobility pracovnej sily </w:t>
      </w:r>
      <w:r w:rsidR="009024C0">
        <w:rPr>
          <w:rFonts w:asciiTheme="majorHAnsi" w:hAnsiTheme="majorHAnsi" w:cs="Franklin Gothic Book"/>
          <w:color w:val="000000"/>
          <w:szCs w:val="22"/>
        </w:rPr>
        <w:t xml:space="preserve">s cieľom do roku 2020 </w:t>
      </w:r>
      <w:r w:rsidRPr="00A678A6">
        <w:rPr>
          <w:rFonts w:asciiTheme="majorHAnsi" w:hAnsiTheme="majorHAnsi" w:cs="Franklin Gothic Book"/>
          <w:color w:val="000000"/>
          <w:szCs w:val="22"/>
        </w:rPr>
        <w:t xml:space="preserve">dosiahnuť 72 % mieru zamestnanosti obyvateľstva vo veku 20-64 rokov </w:t>
      </w:r>
      <w:r w:rsidR="009024C0">
        <w:rPr>
          <w:rFonts w:asciiTheme="majorHAnsi" w:hAnsiTheme="majorHAnsi" w:cs="Franklin Gothic Book"/>
          <w:color w:val="000000"/>
          <w:szCs w:val="22"/>
        </w:rPr>
        <w:t>a</w:t>
      </w:r>
      <w:r w:rsidR="005708C1">
        <w:rPr>
          <w:rFonts w:asciiTheme="majorHAnsi" w:hAnsiTheme="majorHAnsi" w:cs="Franklin Gothic Book"/>
          <w:color w:val="000000"/>
          <w:szCs w:val="22"/>
        </w:rPr>
        <w:t> </w:t>
      </w:r>
      <w:r w:rsidR="009024C0">
        <w:rPr>
          <w:rFonts w:asciiTheme="majorHAnsi" w:hAnsiTheme="majorHAnsi" w:cs="Franklin Gothic Book"/>
          <w:color w:val="000000"/>
          <w:szCs w:val="22"/>
        </w:rPr>
        <w:t>3</w:t>
      </w:r>
      <w:r w:rsidR="005708C1">
        <w:rPr>
          <w:rFonts w:asciiTheme="majorHAnsi" w:hAnsiTheme="majorHAnsi" w:cs="Franklin Gothic Book"/>
          <w:color w:val="000000"/>
          <w:szCs w:val="22"/>
        </w:rPr>
        <w:t xml:space="preserve"> </w:t>
      </w:r>
      <w:r w:rsidR="009024C0">
        <w:rPr>
          <w:rFonts w:asciiTheme="majorHAnsi" w:hAnsiTheme="majorHAnsi" w:cs="Franklin Gothic Book"/>
          <w:color w:val="000000"/>
          <w:szCs w:val="22"/>
        </w:rPr>
        <w:t>% mieru dlhodobej nezamestnanosti.</w:t>
      </w:r>
      <w:r w:rsidR="003450A7">
        <w:rPr>
          <w:rFonts w:asciiTheme="majorHAnsi" w:hAnsiTheme="majorHAnsi" w:cs="Franklin Gothic Book"/>
          <w:color w:val="000000"/>
          <w:szCs w:val="22"/>
        </w:rPr>
        <w:t xml:space="preserve"> Nevyhnutnosťou je taktiež podpora kapacít v oblasti sociálneho dialógu, ktoré svojimi návrhmi na realizáciu opatrení účinne prispievajú k realizácii politík v oblasti podpory podnikania, zamestnanosti a identifikácie nezamestnanosti</w:t>
      </w:r>
      <w:r w:rsidR="00780B72">
        <w:rPr>
          <w:rFonts w:asciiTheme="majorHAnsi" w:hAnsiTheme="majorHAnsi" w:cs="Franklin Gothic Book"/>
          <w:color w:val="000000"/>
          <w:szCs w:val="22"/>
        </w:rPr>
        <w:t>.</w:t>
      </w:r>
    </w:p>
    <w:p w:rsidR="008E6E0A" w:rsidRPr="008E6E0A" w:rsidRDefault="008E6E0A" w:rsidP="008E6E0A">
      <w:pPr>
        <w:spacing w:after="0"/>
        <w:rPr>
          <w:rFonts w:asciiTheme="majorHAnsi" w:hAnsiTheme="majorHAnsi" w:cs="Franklin Gothic Book"/>
          <w:color w:val="000000"/>
          <w:szCs w:val="22"/>
        </w:rPr>
      </w:pPr>
      <w:r w:rsidRPr="008E6E0A">
        <w:rPr>
          <w:rFonts w:asciiTheme="majorHAnsi" w:hAnsiTheme="majorHAnsi" w:cs="Franklin Gothic Book"/>
          <w:color w:val="000000"/>
          <w:szCs w:val="22"/>
        </w:rPr>
        <w:t>Pre vyrovnanie ponuky a</w:t>
      </w:r>
      <w:r w:rsidR="00F01E0A">
        <w:rPr>
          <w:rFonts w:asciiTheme="majorHAnsi" w:hAnsiTheme="majorHAnsi" w:cs="Franklin Gothic Book"/>
          <w:color w:val="000000"/>
          <w:szCs w:val="22"/>
        </w:rPr>
        <w:t> </w:t>
      </w:r>
      <w:r w:rsidRPr="008E6E0A">
        <w:rPr>
          <w:rFonts w:asciiTheme="majorHAnsi" w:hAnsiTheme="majorHAnsi" w:cs="Franklin Gothic Book"/>
          <w:color w:val="000000"/>
          <w:szCs w:val="22"/>
        </w:rPr>
        <w:t>dopytu v oblasti zosúlaďovania rodinného a pracovného života je potrebné zamerať podporu na budovanie a rozvoj zariadení služieb starostlivosti o</w:t>
      </w:r>
      <w:r w:rsidR="00F01E0A">
        <w:rPr>
          <w:rFonts w:asciiTheme="majorHAnsi" w:hAnsiTheme="majorHAnsi" w:cs="Franklin Gothic Book"/>
          <w:color w:val="000000"/>
          <w:szCs w:val="22"/>
        </w:rPr>
        <w:t> </w:t>
      </w:r>
      <w:r w:rsidRPr="008E6E0A">
        <w:rPr>
          <w:rFonts w:asciiTheme="majorHAnsi" w:hAnsiTheme="majorHAnsi" w:cs="Franklin Gothic Book"/>
          <w:color w:val="000000"/>
          <w:szCs w:val="22"/>
        </w:rPr>
        <w:t>deti do 3 rokov veku (sociálna služba) a poskytovan</w:t>
      </w:r>
      <w:r w:rsidR="00C327AA">
        <w:rPr>
          <w:rFonts w:asciiTheme="majorHAnsi" w:hAnsiTheme="majorHAnsi" w:cs="Franklin Gothic Book"/>
          <w:color w:val="000000"/>
          <w:szCs w:val="22"/>
        </w:rPr>
        <w:t>ie</w:t>
      </w:r>
      <w:r w:rsidRPr="008E6E0A">
        <w:rPr>
          <w:rFonts w:asciiTheme="majorHAnsi" w:hAnsiTheme="majorHAnsi" w:cs="Franklin Gothic Book"/>
          <w:color w:val="000000"/>
          <w:szCs w:val="22"/>
        </w:rPr>
        <w:t xml:space="preserve"> podpory rodičom na zabezpečenie starostlivosti o dieťa. V rámci TC8 sa zo zdrojov ESF budú podporovať aktivity za účelom vzniku a rozvoja zariadení služieb starostlivosti o dieťa a príspevok na starostlivosť o dieťa. V rámci TC9 sa zo zdrojov EFRR bude podporovať výstavba, rekonštrukcia objektov za účelom vzniku</w:t>
      </w:r>
      <w:r w:rsidR="00D80235">
        <w:rPr>
          <w:rFonts w:asciiTheme="majorHAnsi" w:hAnsiTheme="majorHAnsi" w:cs="Franklin Gothic Book"/>
          <w:color w:val="000000"/>
          <w:szCs w:val="22"/>
        </w:rPr>
        <w:t xml:space="preserve"> a</w:t>
      </w:r>
      <w:r w:rsidR="002F29B8">
        <w:rPr>
          <w:rFonts w:asciiTheme="majorHAnsi" w:hAnsiTheme="majorHAnsi" w:cs="Franklin Gothic Book"/>
          <w:color w:val="000000"/>
          <w:szCs w:val="22"/>
        </w:rPr>
        <w:t> </w:t>
      </w:r>
      <w:r w:rsidRPr="008E6E0A">
        <w:rPr>
          <w:rFonts w:asciiTheme="majorHAnsi" w:hAnsiTheme="majorHAnsi" w:cs="Franklin Gothic Book"/>
          <w:color w:val="000000"/>
          <w:szCs w:val="22"/>
        </w:rPr>
        <w:t>rozšírenia</w:t>
      </w:r>
      <w:r w:rsidR="002F29B8">
        <w:rPr>
          <w:rFonts w:asciiTheme="majorHAnsi" w:hAnsiTheme="majorHAnsi" w:cs="Franklin Gothic Book"/>
          <w:color w:val="000000"/>
          <w:szCs w:val="22"/>
        </w:rPr>
        <w:t xml:space="preserve"> </w:t>
      </w:r>
      <w:r w:rsidRPr="008E6E0A">
        <w:rPr>
          <w:rFonts w:asciiTheme="majorHAnsi" w:hAnsiTheme="majorHAnsi" w:cs="Franklin Gothic Book"/>
          <w:color w:val="000000"/>
          <w:szCs w:val="22"/>
        </w:rPr>
        <w:t>zariadení služieb starostlivosti o dieťa (sociálna služba na komunitnej úrovni).</w:t>
      </w:r>
      <w:r w:rsidR="00173E05">
        <w:rPr>
          <w:rFonts w:asciiTheme="majorHAnsi" w:hAnsiTheme="majorHAnsi" w:cs="Franklin Gothic Book"/>
          <w:color w:val="000000"/>
          <w:szCs w:val="22"/>
        </w:rPr>
        <w:t xml:space="preserve"> Prijatím legislatívneho rámca novelou zákona o sociálnych službách sa vytvoria pravidlá pre financovanie zariadení služieb starostlivosti o dieťa do troch rokov veku.</w:t>
      </w:r>
    </w:p>
    <w:p w:rsidR="008E6E0A" w:rsidRPr="008E6E0A" w:rsidRDefault="008E6E0A" w:rsidP="008E6E0A">
      <w:pPr>
        <w:spacing w:after="0"/>
        <w:rPr>
          <w:rFonts w:asciiTheme="majorHAnsi" w:hAnsiTheme="majorHAnsi" w:cs="Franklin Gothic Book"/>
          <w:color w:val="000000"/>
          <w:szCs w:val="22"/>
        </w:rPr>
      </w:pPr>
      <w:r w:rsidRPr="008E6E0A">
        <w:rPr>
          <w:rFonts w:asciiTheme="majorHAnsi" w:hAnsiTheme="majorHAnsi" w:cs="Franklin Gothic Book"/>
          <w:color w:val="000000"/>
          <w:szCs w:val="22"/>
        </w:rPr>
        <w:t>V rámci programov podpory zamestnanosti je potrebné vytvoriť účinné nástroje na podporu zvýšenia zamestnanosti, zamestnateľnosti a riešiť nezamestnanosť</w:t>
      </w:r>
      <w:r w:rsidRPr="008E6E0A">
        <w:rPr>
          <w:rFonts w:asciiTheme="majorHAnsi" w:hAnsiTheme="majorHAnsi" w:cs="Franklin Gothic Book"/>
          <w:b/>
          <w:color w:val="000000"/>
          <w:szCs w:val="22"/>
        </w:rPr>
        <w:t xml:space="preserve"> </w:t>
      </w:r>
      <w:r w:rsidRPr="008E6E0A">
        <w:rPr>
          <w:rFonts w:asciiTheme="majorHAnsi" w:hAnsiTheme="majorHAnsi" w:cs="Franklin Gothic Book"/>
          <w:color w:val="000000"/>
          <w:szCs w:val="22"/>
        </w:rPr>
        <w:t>s osobitným dôrazom na dlhodobo nezamestnaných</w:t>
      </w:r>
      <w:r w:rsidRPr="008E6E0A">
        <w:rPr>
          <w:rFonts w:asciiTheme="majorHAnsi" w:hAnsiTheme="majorHAnsi" w:cs="Franklin Gothic Book"/>
          <w:i/>
          <w:color w:val="000000"/>
          <w:szCs w:val="22"/>
        </w:rPr>
        <w:t xml:space="preserve">, </w:t>
      </w:r>
      <w:r w:rsidRPr="008E6E0A">
        <w:rPr>
          <w:rFonts w:asciiTheme="majorHAnsi" w:hAnsiTheme="majorHAnsi" w:cs="Franklin Gothic Book"/>
          <w:color w:val="000000"/>
          <w:szCs w:val="22"/>
        </w:rPr>
        <w:t>nízko kvalifikovaných, starších a</w:t>
      </w:r>
      <w:r w:rsidR="00F01E0A">
        <w:rPr>
          <w:rFonts w:asciiTheme="majorHAnsi" w:hAnsiTheme="majorHAnsi" w:cs="Franklin Gothic Book"/>
          <w:color w:val="000000"/>
          <w:szCs w:val="22"/>
        </w:rPr>
        <w:t> </w:t>
      </w:r>
      <w:r w:rsidRPr="008E6E0A">
        <w:rPr>
          <w:rFonts w:asciiTheme="majorHAnsi" w:hAnsiTheme="majorHAnsi" w:cs="Franklin Gothic Book"/>
          <w:color w:val="000000"/>
          <w:szCs w:val="22"/>
        </w:rPr>
        <w:t>zdravotne postihnuté osoby.</w:t>
      </w:r>
      <w:r w:rsidRPr="008E6E0A">
        <w:rPr>
          <w:rFonts w:asciiTheme="majorHAnsi" w:hAnsiTheme="majorHAnsi" w:cs="Franklin Gothic Book"/>
          <w:i/>
          <w:color w:val="000000"/>
          <w:szCs w:val="22"/>
        </w:rPr>
        <w:t xml:space="preserve"> </w:t>
      </w:r>
      <w:r w:rsidRPr="008E6E0A">
        <w:rPr>
          <w:rFonts w:asciiTheme="majorHAnsi" w:hAnsiTheme="majorHAnsi" w:cs="Franklin Gothic Book"/>
          <w:color w:val="000000"/>
          <w:szCs w:val="22"/>
        </w:rPr>
        <w:t>Rovnako je potrebné zvýšiť zamestnanosť podporou tvorby pracovných miest, mobility pre získanie zamestnania, adaptability zamestnancov a podnikov, podporou udržateľnej samostatnej zárobkovej činnosti, začínajúcich podnikov</w:t>
      </w:r>
      <w:r w:rsidR="00D80235">
        <w:rPr>
          <w:rFonts w:asciiTheme="majorHAnsi" w:hAnsiTheme="majorHAnsi" w:cs="Franklin Gothic Book"/>
          <w:color w:val="000000"/>
          <w:szCs w:val="22"/>
        </w:rPr>
        <w:t>,</w:t>
      </w:r>
      <w:r w:rsidRPr="008E6E0A">
        <w:rPr>
          <w:rFonts w:asciiTheme="majorHAnsi" w:hAnsiTheme="majorHAnsi" w:cs="Franklin Gothic Book"/>
          <w:color w:val="000000"/>
          <w:szCs w:val="22"/>
        </w:rPr>
        <w:t xml:space="preserve"> poľnohospodárskych a</w:t>
      </w:r>
      <w:r w:rsidR="00F01E0A">
        <w:rPr>
          <w:rFonts w:asciiTheme="majorHAnsi" w:hAnsiTheme="majorHAnsi" w:cs="Franklin Gothic Book"/>
          <w:color w:val="000000"/>
          <w:szCs w:val="22"/>
        </w:rPr>
        <w:t> </w:t>
      </w:r>
      <w:r w:rsidRPr="008E6E0A">
        <w:rPr>
          <w:rFonts w:asciiTheme="majorHAnsi" w:hAnsiTheme="majorHAnsi" w:cs="Franklin Gothic Book"/>
          <w:color w:val="000000"/>
          <w:szCs w:val="22"/>
        </w:rPr>
        <w:t xml:space="preserve">nepoľnohospodárskych aktivít vo vidieckych oblastiach. Je potrebné zabezpečiť nástroje na zvýšenie kvality </w:t>
      </w:r>
      <w:r w:rsidRPr="008E6E0A">
        <w:rPr>
          <w:rFonts w:asciiTheme="majorHAnsi" w:hAnsiTheme="majorHAnsi" w:cs="Franklin Gothic Book"/>
          <w:bCs/>
          <w:iCs/>
          <w:color w:val="000000"/>
          <w:szCs w:val="22"/>
        </w:rPr>
        <w:t>a</w:t>
      </w:r>
      <w:r w:rsidR="00F01E0A">
        <w:rPr>
          <w:rFonts w:asciiTheme="majorHAnsi" w:hAnsiTheme="majorHAnsi" w:cs="Franklin Gothic Book"/>
          <w:b/>
          <w:bCs/>
          <w:iCs/>
          <w:color w:val="000000"/>
          <w:szCs w:val="22"/>
        </w:rPr>
        <w:t> </w:t>
      </w:r>
      <w:r w:rsidRPr="008E6E0A">
        <w:rPr>
          <w:rFonts w:asciiTheme="majorHAnsi" w:hAnsiTheme="majorHAnsi" w:cs="Franklin Gothic Book"/>
          <w:bCs/>
          <w:iCs/>
          <w:color w:val="000000"/>
          <w:szCs w:val="22"/>
        </w:rPr>
        <w:t>kapacity verejných služieb zamestnanosti na zodpovedajúcu úroveň</w:t>
      </w:r>
      <w:r w:rsidR="00C327AA">
        <w:rPr>
          <w:rFonts w:asciiTheme="majorHAnsi" w:hAnsiTheme="majorHAnsi" w:cs="Franklin Gothic Book"/>
          <w:bCs/>
          <w:iCs/>
          <w:color w:val="000000"/>
          <w:szCs w:val="22"/>
        </w:rPr>
        <w:t>, a</w:t>
      </w:r>
      <w:r w:rsidR="00F01E0A">
        <w:rPr>
          <w:rFonts w:asciiTheme="majorHAnsi" w:hAnsiTheme="majorHAnsi" w:cs="Franklin Gothic Book"/>
          <w:bCs/>
          <w:iCs/>
          <w:color w:val="000000"/>
          <w:szCs w:val="22"/>
        </w:rPr>
        <w:t> </w:t>
      </w:r>
      <w:r w:rsidR="00C327AA">
        <w:rPr>
          <w:rFonts w:asciiTheme="majorHAnsi" w:hAnsiTheme="majorHAnsi" w:cs="Franklin Gothic Book"/>
          <w:bCs/>
          <w:iCs/>
          <w:color w:val="000000"/>
          <w:szCs w:val="22"/>
        </w:rPr>
        <w:t xml:space="preserve">to </w:t>
      </w:r>
      <w:r w:rsidRPr="008E6E0A">
        <w:rPr>
          <w:rFonts w:asciiTheme="majorHAnsi" w:hAnsiTheme="majorHAnsi" w:cs="Franklin Gothic Book"/>
          <w:bCs/>
          <w:iCs/>
          <w:color w:val="000000"/>
          <w:szCs w:val="22"/>
        </w:rPr>
        <w:t>v nadväznosti na meniace sa potreby a požiadavky trhu práce, nadnárodnú pracovnú mobilitu, a</w:t>
      </w:r>
      <w:r w:rsidR="002F29B8">
        <w:rPr>
          <w:rFonts w:asciiTheme="majorHAnsi" w:hAnsiTheme="majorHAnsi" w:cs="Franklin Gothic Book"/>
          <w:bCs/>
          <w:iCs/>
          <w:color w:val="000000"/>
          <w:szCs w:val="22"/>
        </w:rPr>
        <w:t> </w:t>
      </w:r>
      <w:r w:rsidRPr="008E6E0A">
        <w:rPr>
          <w:rFonts w:asciiTheme="majorHAnsi" w:hAnsiTheme="majorHAnsi" w:cs="Franklin Gothic Book"/>
          <w:bCs/>
          <w:iCs/>
          <w:color w:val="000000"/>
          <w:szCs w:val="22"/>
        </w:rPr>
        <w:t>zvýšiť</w:t>
      </w:r>
      <w:r w:rsidR="002F29B8">
        <w:rPr>
          <w:rFonts w:asciiTheme="majorHAnsi" w:hAnsiTheme="majorHAnsi" w:cs="Franklin Gothic Book"/>
          <w:bCs/>
          <w:iCs/>
          <w:color w:val="000000"/>
          <w:szCs w:val="22"/>
        </w:rPr>
        <w:t xml:space="preserve"> </w:t>
      </w:r>
      <w:r w:rsidRPr="008E6E0A">
        <w:rPr>
          <w:rFonts w:asciiTheme="majorHAnsi" w:hAnsiTheme="majorHAnsi" w:cs="Franklin Gothic Book"/>
          <w:bCs/>
          <w:iCs/>
          <w:color w:val="000000"/>
          <w:szCs w:val="22"/>
        </w:rPr>
        <w:t>účasť partnerov a súkromných služieb zamestnanosti na riešení problémov v oblasti zamestnanosti.</w:t>
      </w:r>
    </w:p>
    <w:p w:rsidR="00154311" w:rsidRPr="00A11FE0" w:rsidRDefault="00154311" w:rsidP="00154311">
      <w:pPr>
        <w:rPr>
          <w:rFonts w:asciiTheme="majorHAnsi" w:eastAsia="Times New Roman" w:hAnsiTheme="majorHAnsi"/>
          <w:szCs w:val="22"/>
          <w:lang w:eastAsia="cs-CZ"/>
        </w:rPr>
      </w:pPr>
      <w:r>
        <w:rPr>
          <w:rFonts w:asciiTheme="majorHAnsi" w:eastAsia="Times New Roman" w:hAnsiTheme="majorHAnsi" w:cs="Franklin Gothic Book"/>
          <w:color w:val="000000"/>
          <w:szCs w:val="22"/>
        </w:rPr>
        <w:t>Pre podporu rastu priaznivého pre zamestnanosť je potrebné rozvíjať vnútorný kultúrny potenciál regiónov</w:t>
      </w:r>
      <w:r w:rsidR="00F01E0A">
        <w:rPr>
          <w:rFonts w:asciiTheme="majorHAnsi" w:eastAsia="Times New Roman" w:hAnsiTheme="majorHAnsi" w:cs="Franklin Gothic Book"/>
          <w:color w:val="000000"/>
          <w:szCs w:val="22"/>
        </w:rPr>
        <w:t>,</w:t>
      </w:r>
      <w:r>
        <w:rPr>
          <w:rFonts w:asciiTheme="majorHAnsi" w:eastAsia="Times New Roman" w:hAnsiTheme="majorHAnsi" w:cs="Franklin Gothic Book"/>
          <w:color w:val="000000"/>
          <w:szCs w:val="22"/>
        </w:rPr>
        <w:t xml:space="preserve"> vrátane konverzie upadajúcich priemyselných oblastí a rozvoja kultúrnych zdrojov. Pre takéto ciele je </w:t>
      </w:r>
      <w:r w:rsidRPr="009C67CB">
        <w:rPr>
          <w:rFonts w:asciiTheme="majorHAnsi" w:eastAsia="Times New Roman" w:hAnsiTheme="majorHAnsi" w:cs="Franklin Gothic Book"/>
          <w:color w:val="000000"/>
          <w:szCs w:val="22"/>
        </w:rPr>
        <w:t>potrebn</w:t>
      </w:r>
      <w:r>
        <w:rPr>
          <w:rFonts w:asciiTheme="majorHAnsi" w:eastAsia="Times New Roman" w:hAnsiTheme="majorHAnsi" w:cs="Franklin Gothic Book"/>
          <w:color w:val="000000"/>
          <w:szCs w:val="22"/>
        </w:rPr>
        <w:t>á</w:t>
      </w:r>
      <w:r w:rsidRPr="009C67CB">
        <w:rPr>
          <w:rFonts w:asciiTheme="majorHAnsi" w:eastAsia="Times New Roman" w:hAnsiTheme="majorHAnsi" w:cs="Franklin Gothic Book"/>
          <w:color w:val="000000"/>
          <w:szCs w:val="22"/>
        </w:rPr>
        <w:t xml:space="preserve"> podpor</w:t>
      </w:r>
      <w:r>
        <w:rPr>
          <w:rFonts w:asciiTheme="majorHAnsi" w:eastAsia="Times New Roman" w:hAnsiTheme="majorHAnsi" w:cs="Franklin Gothic Book"/>
          <w:color w:val="000000"/>
          <w:szCs w:val="22"/>
        </w:rPr>
        <w:t>a</w:t>
      </w:r>
      <w:r w:rsidRPr="009C67CB">
        <w:rPr>
          <w:rFonts w:asciiTheme="majorHAnsi" w:eastAsia="Times New Roman" w:hAnsiTheme="majorHAnsi" w:cs="Franklin Gothic Book"/>
          <w:color w:val="000000"/>
          <w:szCs w:val="22"/>
        </w:rPr>
        <w:t xml:space="preserve"> kultúrnych a kreatív</w:t>
      </w:r>
      <w:r>
        <w:rPr>
          <w:rFonts w:asciiTheme="majorHAnsi" w:eastAsia="Times New Roman" w:hAnsiTheme="majorHAnsi" w:cs="Franklin Gothic Book"/>
          <w:color w:val="000000"/>
          <w:szCs w:val="22"/>
        </w:rPr>
        <w:t>n</w:t>
      </w:r>
      <w:r w:rsidRPr="009C67CB">
        <w:rPr>
          <w:rFonts w:asciiTheme="majorHAnsi" w:eastAsia="Times New Roman" w:hAnsiTheme="majorHAnsi" w:cs="Franklin Gothic Book"/>
          <w:color w:val="000000"/>
          <w:szCs w:val="22"/>
        </w:rPr>
        <w:t xml:space="preserve">ych </w:t>
      </w:r>
      <w:r>
        <w:rPr>
          <w:rFonts w:asciiTheme="majorHAnsi" w:eastAsia="Times New Roman" w:hAnsiTheme="majorHAnsi" w:cs="Franklin Gothic Book"/>
          <w:color w:val="000000"/>
          <w:szCs w:val="22"/>
        </w:rPr>
        <w:t>odvetví</w:t>
      </w:r>
      <w:r w:rsidRPr="009C67CB">
        <w:rPr>
          <w:rFonts w:asciiTheme="majorHAnsi" w:eastAsia="Times New Roman" w:hAnsiTheme="majorHAnsi" w:cs="Franklin Gothic Book"/>
          <w:color w:val="000000"/>
          <w:szCs w:val="22"/>
        </w:rPr>
        <w:t xml:space="preserve"> </w:t>
      </w:r>
      <w:r>
        <w:rPr>
          <w:rFonts w:asciiTheme="majorHAnsi" w:eastAsia="Times New Roman" w:hAnsiTheme="majorHAnsi" w:cs="Franklin Gothic Book"/>
          <w:color w:val="000000"/>
          <w:szCs w:val="22"/>
        </w:rPr>
        <w:t>prostredníctvom opatrení</w:t>
      </w:r>
      <w:r w:rsidRPr="009C67CB">
        <w:rPr>
          <w:rFonts w:asciiTheme="majorHAnsi" w:eastAsia="Times New Roman" w:hAnsiTheme="majorHAnsi" w:cs="Franklin Gothic Book"/>
          <w:color w:val="000000"/>
          <w:szCs w:val="22"/>
        </w:rPr>
        <w:t xml:space="preserve"> inteligentného rastu v oblastiach kreativity, transferu vedomostí a technológií, rozvoj </w:t>
      </w:r>
      <w:r>
        <w:rPr>
          <w:rFonts w:asciiTheme="majorHAnsi" w:eastAsia="Times New Roman" w:hAnsiTheme="majorHAnsi" w:cs="Franklin Gothic Book"/>
          <w:color w:val="000000"/>
          <w:szCs w:val="22"/>
        </w:rPr>
        <w:t>digitálnych a</w:t>
      </w:r>
      <w:r w:rsidR="00F01E0A">
        <w:rPr>
          <w:rFonts w:asciiTheme="majorHAnsi" w:eastAsia="Times New Roman" w:hAnsiTheme="majorHAnsi" w:cs="Franklin Gothic Book"/>
          <w:color w:val="000000"/>
          <w:szCs w:val="22"/>
        </w:rPr>
        <w:t> </w:t>
      </w:r>
      <w:r w:rsidRPr="009C67CB">
        <w:rPr>
          <w:rFonts w:asciiTheme="majorHAnsi" w:eastAsia="Times New Roman" w:hAnsiTheme="majorHAnsi" w:cs="Franklin Gothic Book"/>
          <w:color w:val="000000"/>
          <w:szCs w:val="22"/>
        </w:rPr>
        <w:t>podnikateľských</w:t>
      </w:r>
      <w:r w:rsidR="00F01E0A">
        <w:rPr>
          <w:rFonts w:asciiTheme="majorHAnsi" w:eastAsia="Times New Roman" w:hAnsiTheme="majorHAnsi" w:cs="Franklin Gothic Book"/>
          <w:color w:val="000000"/>
          <w:szCs w:val="22"/>
        </w:rPr>
        <w:t xml:space="preserve"> </w:t>
      </w:r>
      <w:r w:rsidRPr="009C67CB">
        <w:rPr>
          <w:rFonts w:asciiTheme="majorHAnsi" w:eastAsia="Times New Roman" w:hAnsiTheme="majorHAnsi" w:cs="Franklin Gothic Book"/>
          <w:color w:val="000000"/>
          <w:szCs w:val="22"/>
        </w:rPr>
        <w:t>zručností v oblasti kreatívneho priemyslu, rozvoja špecifickej infraštruktúry od produkcie, distribúcie a spotreby kreatívnych prod</w:t>
      </w:r>
      <w:r>
        <w:rPr>
          <w:rFonts w:asciiTheme="majorHAnsi" w:eastAsia="Times New Roman" w:hAnsiTheme="majorHAnsi" w:cs="Franklin Gothic Book"/>
          <w:color w:val="000000"/>
          <w:szCs w:val="22"/>
        </w:rPr>
        <w:t>uktov a služieb ako aj opatrení</w:t>
      </w:r>
      <w:r w:rsidRPr="009C67CB">
        <w:rPr>
          <w:rFonts w:asciiTheme="majorHAnsi" w:eastAsia="Times New Roman" w:hAnsiTheme="majorHAnsi" w:cs="Franklin Gothic Book"/>
          <w:color w:val="000000"/>
          <w:szCs w:val="22"/>
        </w:rPr>
        <w:t xml:space="preserve"> </w:t>
      </w:r>
      <w:r>
        <w:rPr>
          <w:rFonts w:asciiTheme="majorHAnsi" w:eastAsia="Times New Roman" w:hAnsiTheme="majorHAnsi"/>
          <w:szCs w:val="22"/>
          <w:lang w:eastAsia="cs-CZ"/>
        </w:rPr>
        <w:t xml:space="preserve">smerujúcich k prístupu k financovaniu úspešných výsledkov kreatívnej tvorby, </w:t>
      </w:r>
      <w:r>
        <w:rPr>
          <w:rFonts w:asciiTheme="majorHAnsi" w:eastAsia="Times New Roman" w:hAnsiTheme="majorHAnsi" w:cs="Franklin Gothic Book"/>
          <w:color w:val="000000"/>
          <w:szCs w:val="22"/>
        </w:rPr>
        <w:t>a</w:t>
      </w:r>
      <w:r w:rsidR="00F01E0A">
        <w:rPr>
          <w:rFonts w:asciiTheme="majorHAnsi" w:eastAsia="Times New Roman" w:hAnsiTheme="majorHAnsi" w:cs="Franklin Gothic Book"/>
          <w:color w:val="000000"/>
          <w:szCs w:val="22"/>
        </w:rPr>
        <w:t> </w:t>
      </w:r>
      <w:r>
        <w:rPr>
          <w:rFonts w:asciiTheme="majorHAnsi" w:eastAsia="Times New Roman" w:hAnsiTheme="majorHAnsi" w:cs="Franklin Gothic Book"/>
          <w:color w:val="000000"/>
          <w:szCs w:val="22"/>
        </w:rPr>
        <w:t>podpora</w:t>
      </w:r>
      <w:r w:rsidR="00F01E0A">
        <w:rPr>
          <w:rFonts w:asciiTheme="majorHAnsi" w:eastAsia="Times New Roman" w:hAnsiTheme="majorHAnsi" w:cs="Franklin Gothic Book"/>
          <w:color w:val="000000"/>
          <w:szCs w:val="22"/>
        </w:rPr>
        <w:t xml:space="preserve"> </w:t>
      </w:r>
      <w:r w:rsidRPr="009C67CB">
        <w:rPr>
          <w:rFonts w:asciiTheme="majorHAnsi" w:eastAsia="Times New Roman" w:hAnsiTheme="majorHAnsi" w:cs="Franklin Gothic Book"/>
          <w:color w:val="000000"/>
          <w:szCs w:val="22"/>
        </w:rPr>
        <w:t>nových typov podnikateľských modelov vrátane inovatívneho zhodnocovania potenciálu duševného vlastníctva.</w:t>
      </w:r>
    </w:p>
    <w:p w:rsidR="00D844EA" w:rsidRDefault="00A678A6" w:rsidP="00671A61">
      <w:pPr>
        <w:autoSpaceDE w:val="0"/>
        <w:autoSpaceDN w:val="0"/>
        <w:adjustRightInd w:val="0"/>
        <w:spacing w:before="0" w:after="0"/>
        <w:rPr>
          <w:rFonts w:asciiTheme="majorHAnsi" w:hAnsiTheme="majorHAnsi" w:cs="Calibri"/>
          <w:szCs w:val="22"/>
        </w:rPr>
      </w:pPr>
      <w:r w:rsidRPr="00A678A6">
        <w:rPr>
          <w:rFonts w:asciiTheme="majorHAnsi" w:hAnsiTheme="majorHAnsi" w:cs="Franklin Gothic Book"/>
          <w:color w:val="000000"/>
          <w:szCs w:val="22"/>
        </w:rPr>
        <w:t xml:space="preserve">Pre rozvoj vidieckej zamestnanosti je rozhodujúci počet a stabilita podnikateľských subjektov, ktoré sa vo </w:t>
      </w:r>
      <w:r w:rsidR="00E7088E" w:rsidRPr="00A678A6">
        <w:rPr>
          <w:rFonts w:asciiTheme="majorHAnsi" w:hAnsiTheme="majorHAnsi" w:cs="Franklin Gothic Book"/>
          <w:color w:val="000000"/>
          <w:szCs w:val="22"/>
        </w:rPr>
        <w:t>vidieck</w:t>
      </w:r>
      <w:r w:rsidR="00E7088E">
        <w:rPr>
          <w:rFonts w:asciiTheme="majorHAnsi" w:hAnsiTheme="majorHAnsi" w:cs="Franklin Gothic Book"/>
          <w:color w:val="000000"/>
          <w:szCs w:val="22"/>
        </w:rPr>
        <w:t>y</w:t>
      </w:r>
      <w:r w:rsidR="00E7088E" w:rsidRPr="00A678A6">
        <w:rPr>
          <w:rFonts w:asciiTheme="majorHAnsi" w:hAnsiTheme="majorHAnsi" w:cs="Franklin Gothic Book"/>
          <w:color w:val="000000"/>
          <w:szCs w:val="22"/>
        </w:rPr>
        <w:t xml:space="preserve">ch </w:t>
      </w:r>
      <w:r w:rsidRPr="00A678A6">
        <w:rPr>
          <w:rFonts w:asciiTheme="majorHAnsi" w:hAnsiTheme="majorHAnsi" w:cs="Franklin Gothic Book"/>
          <w:color w:val="000000"/>
          <w:szCs w:val="22"/>
        </w:rPr>
        <w:t>oblastiach nachádzajú. Podpora</w:t>
      </w:r>
      <w:r w:rsidR="00D844EA">
        <w:rPr>
          <w:rFonts w:asciiTheme="majorHAnsi" w:hAnsiTheme="majorHAnsi" w:cs="Franklin Gothic Book"/>
          <w:color w:val="000000"/>
          <w:szCs w:val="22"/>
        </w:rPr>
        <w:t xml:space="preserve"> tvorby a rozvoja nepoľnohospodárskych činností mikro a malých podnikov vo vidieckych oblastiach vrátane </w:t>
      </w:r>
      <w:r w:rsidRPr="00A678A6">
        <w:rPr>
          <w:rFonts w:asciiTheme="majorHAnsi" w:hAnsiTheme="majorHAnsi" w:cs="Franklin Gothic Book"/>
          <w:color w:val="000000"/>
          <w:szCs w:val="22"/>
        </w:rPr>
        <w:t xml:space="preserve">diverzifikácie poľnohospodárskych subjektov vrátane subjektov lesného hospodárstva, umožní ich stabilizáciu a naopak podpora na začatie podnikania mladých farmárov a malých fariem prispeje k zvyšovaniu počtu podnikateľských subjektov, čo povedie k rastu zamestnanosti. </w:t>
      </w:r>
      <w:r w:rsidR="00D844EA" w:rsidRPr="00D844EA">
        <w:rPr>
          <w:rFonts w:asciiTheme="majorHAnsi" w:hAnsiTheme="majorHAnsi" w:cs="Calibri"/>
          <w:szCs w:val="22"/>
        </w:rPr>
        <w:t xml:space="preserve">Podpora vidieckej ekonomiky bude sústredená do oblastí zameraných na využívanie potenciálu pre rozvoj </w:t>
      </w:r>
      <w:r w:rsidR="000820FE">
        <w:rPr>
          <w:rFonts w:asciiTheme="majorHAnsi" w:hAnsiTheme="majorHAnsi" w:cs="Calibri"/>
          <w:szCs w:val="22"/>
        </w:rPr>
        <w:t xml:space="preserve">vidieckeho </w:t>
      </w:r>
      <w:r w:rsidR="00D844EA" w:rsidRPr="00D844EA">
        <w:rPr>
          <w:rFonts w:asciiTheme="majorHAnsi" w:hAnsiTheme="majorHAnsi" w:cs="Calibri"/>
          <w:szCs w:val="22"/>
        </w:rPr>
        <w:t>cestovného ruchu, zabezpečovania komunálnych služieb, poskytovania sociálnych služieb a</w:t>
      </w:r>
      <w:r w:rsidR="000820FE">
        <w:rPr>
          <w:rFonts w:asciiTheme="majorHAnsi" w:hAnsiTheme="majorHAnsi" w:cs="Calibri"/>
          <w:szCs w:val="22"/>
        </w:rPr>
        <w:t> </w:t>
      </w:r>
      <w:r w:rsidR="00D844EA" w:rsidRPr="00D844EA">
        <w:rPr>
          <w:rFonts w:asciiTheme="majorHAnsi" w:hAnsiTheme="majorHAnsi" w:cs="Calibri"/>
          <w:szCs w:val="22"/>
        </w:rPr>
        <w:t>v</w:t>
      </w:r>
      <w:r w:rsidR="000820FE">
        <w:rPr>
          <w:rFonts w:asciiTheme="majorHAnsi" w:hAnsiTheme="majorHAnsi" w:cs="Calibri"/>
          <w:szCs w:val="22"/>
        </w:rPr>
        <w:t> </w:t>
      </w:r>
      <w:r w:rsidR="00D844EA" w:rsidRPr="00D844EA">
        <w:rPr>
          <w:rFonts w:asciiTheme="majorHAnsi" w:hAnsiTheme="majorHAnsi" w:cs="Calibri"/>
          <w:szCs w:val="22"/>
        </w:rPr>
        <w:t>prípade poľnohospodárskych a</w:t>
      </w:r>
      <w:r w:rsidR="00F01E0A">
        <w:rPr>
          <w:rFonts w:asciiTheme="majorHAnsi" w:hAnsiTheme="majorHAnsi" w:cs="Calibri"/>
          <w:szCs w:val="22"/>
        </w:rPr>
        <w:t> </w:t>
      </w:r>
      <w:r w:rsidR="00D844EA" w:rsidRPr="00D844EA">
        <w:rPr>
          <w:rFonts w:asciiTheme="majorHAnsi" w:hAnsiTheme="majorHAnsi" w:cs="Calibri"/>
          <w:szCs w:val="22"/>
        </w:rPr>
        <w:t>lesohospodárskych podnikov, aj do spracovania a</w:t>
      </w:r>
      <w:r w:rsidR="000820FE">
        <w:rPr>
          <w:rFonts w:asciiTheme="majorHAnsi" w:hAnsiTheme="majorHAnsi" w:cs="Calibri"/>
          <w:szCs w:val="22"/>
        </w:rPr>
        <w:t> </w:t>
      </w:r>
      <w:r w:rsidR="00D844EA" w:rsidRPr="00D844EA">
        <w:rPr>
          <w:rFonts w:asciiTheme="majorHAnsi" w:hAnsiTheme="majorHAnsi" w:cs="Calibri"/>
          <w:szCs w:val="22"/>
        </w:rPr>
        <w:t>marketingu nepoľnohospodárskych produktov. K</w:t>
      </w:r>
      <w:r w:rsidR="000820FE">
        <w:rPr>
          <w:rFonts w:asciiTheme="majorHAnsi" w:hAnsiTheme="majorHAnsi" w:cs="Calibri"/>
          <w:szCs w:val="22"/>
        </w:rPr>
        <w:t> </w:t>
      </w:r>
      <w:r w:rsidR="00D844EA" w:rsidRPr="00D844EA">
        <w:rPr>
          <w:rFonts w:asciiTheme="majorHAnsi" w:hAnsiTheme="majorHAnsi" w:cs="Calibri"/>
          <w:szCs w:val="22"/>
        </w:rPr>
        <w:t>zvyšovaniu zamestnanosti na vidieku prispeje tiež podpora investícií do lesných technológií, spracovania, mobilizácie a</w:t>
      </w:r>
      <w:r w:rsidR="000820FE">
        <w:rPr>
          <w:rFonts w:asciiTheme="majorHAnsi" w:hAnsiTheme="majorHAnsi" w:cs="Calibri"/>
          <w:szCs w:val="22"/>
        </w:rPr>
        <w:t> </w:t>
      </w:r>
      <w:r w:rsidR="00D844EA" w:rsidRPr="00D844EA">
        <w:rPr>
          <w:rFonts w:asciiTheme="majorHAnsi" w:hAnsiTheme="majorHAnsi" w:cs="Calibri"/>
          <w:szCs w:val="22"/>
        </w:rPr>
        <w:t>marketingu lesných produktov.</w:t>
      </w:r>
    </w:p>
    <w:p w:rsidR="007B7E75" w:rsidRPr="007B7E75" w:rsidRDefault="007B7E75" w:rsidP="003F0750">
      <w:pPr>
        <w:spacing w:before="0" w:after="0"/>
        <w:rPr>
          <w:rFonts w:asciiTheme="majorHAnsi" w:hAnsiTheme="majorHAnsi" w:cs="Calibri"/>
          <w:szCs w:val="22"/>
        </w:rPr>
      </w:pPr>
      <w:r w:rsidRPr="007B7E75">
        <w:rPr>
          <w:rFonts w:asciiTheme="majorHAnsi" w:hAnsiTheme="majorHAnsi" w:cs="Calibri"/>
          <w:szCs w:val="22"/>
        </w:rPr>
        <w:t>Komplementárnym spôsobom bude prispievať k implementáci</w:t>
      </w:r>
      <w:r w:rsidR="009E60ED">
        <w:rPr>
          <w:rFonts w:asciiTheme="majorHAnsi" w:hAnsiTheme="majorHAnsi" w:cs="Calibri"/>
          <w:szCs w:val="22"/>
        </w:rPr>
        <w:t xml:space="preserve">i </w:t>
      </w:r>
      <w:r w:rsidRPr="007B7E75">
        <w:rPr>
          <w:rFonts w:asciiTheme="majorHAnsi" w:hAnsiTheme="majorHAnsi" w:cs="Calibri"/>
          <w:szCs w:val="22"/>
        </w:rPr>
        <w:t>stratégie RIS3.</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lastRenderedPageBreak/>
        <w:t>Očakávané výsledky</w:t>
      </w:r>
    </w:p>
    <w:p w:rsidR="00A678A6" w:rsidRPr="00A678A6" w:rsidRDefault="00A678A6" w:rsidP="0003264B">
      <w:pPr>
        <w:spacing w:after="0"/>
        <w:rPr>
          <w:rFonts w:asciiTheme="majorHAnsi" w:hAnsiTheme="majorHAnsi"/>
          <w:b/>
          <w:szCs w:val="22"/>
          <w:lang w:eastAsia="cs-CZ"/>
        </w:rPr>
      </w:pPr>
      <w:r w:rsidRPr="00A678A6">
        <w:rPr>
          <w:rFonts w:asciiTheme="majorHAnsi" w:hAnsiTheme="majorHAnsi"/>
          <w:b/>
          <w:szCs w:val="22"/>
          <w:lang w:eastAsia="cs-CZ"/>
        </w:rPr>
        <w:t>Investície ESF</w:t>
      </w:r>
    </w:p>
    <w:p w:rsidR="00A678A6" w:rsidRPr="00A678A6"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zamestnanosti, zníženie nezamestnanosti, dlhodobej nezamestnanosti ohrozených skupín, najmä nízko kvalifikovaných, mladých, starších</w:t>
      </w:r>
      <w:r w:rsidR="008E6E0A" w:rsidRPr="008E6E0A">
        <w:rPr>
          <w:rFonts w:asciiTheme="majorHAnsi" w:hAnsiTheme="majorHAnsi" w:cs="Franklin Gothic Book"/>
          <w:color w:val="000000"/>
          <w:szCs w:val="22"/>
        </w:rPr>
        <w:t xml:space="preserve">, zdravotne postihnutých osôb, </w:t>
      </w:r>
      <w:r w:rsidR="00F01E0A">
        <w:rPr>
          <w:rFonts w:asciiTheme="majorHAnsi" w:hAnsiTheme="majorHAnsi" w:cs="Franklin Gothic Book"/>
          <w:color w:val="000000"/>
          <w:szCs w:val="22"/>
        </w:rPr>
        <w:t>MRK</w:t>
      </w:r>
      <w:r w:rsidR="008E6E0A" w:rsidRPr="008E6E0A">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a ich začlenenie na trh práce;</w:t>
      </w:r>
    </w:p>
    <w:p w:rsidR="00A678A6" w:rsidRPr="00832815" w:rsidRDefault="00A678A6" w:rsidP="00302664">
      <w:pPr>
        <w:numPr>
          <w:ilvl w:val="0"/>
          <w:numId w:val="18"/>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zvýšenie </w:t>
      </w:r>
      <w:r w:rsidRPr="00832815">
        <w:rPr>
          <w:rFonts w:asciiTheme="majorHAnsi" w:hAnsiTheme="majorHAnsi" w:cs="Franklin Gothic Book"/>
          <w:color w:val="000000"/>
          <w:szCs w:val="22"/>
        </w:rPr>
        <w:t>mobility pre získanie zamestnania, adaptability pracovníkov a podnikov, udržateľn</w:t>
      </w:r>
      <w:r w:rsidR="008E6E0A" w:rsidRPr="00832815">
        <w:rPr>
          <w:rFonts w:asciiTheme="majorHAnsi" w:hAnsiTheme="majorHAnsi" w:cs="Franklin Gothic Book"/>
          <w:color w:val="000000"/>
          <w:szCs w:val="22"/>
        </w:rPr>
        <w:t>á</w:t>
      </w:r>
      <w:r w:rsidRPr="00832815">
        <w:rPr>
          <w:rFonts w:asciiTheme="majorHAnsi" w:hAnsiTheme="majorHAnsi" w:cs="Franklin Gothic Book"/>
          <w:color w:val="000000"/>
          <w:szCs w:val="22"/>
        </w:rPr>
        <w:t xml:space="preserve"> samostatn</w:t>
      </w:r>
      <w:r w:rsidR="008E6E0A" w:rsidRPr="00832815">
        <w:rPr>
          <w:rFonts w:asciiTheme="majorHAnsi" w:hAnsiTheme="majorHAnsi" w:cs="Franklin Gothic Book"/>
          <w:color w:val="000000"/>
          <w:szCs w:val="22"/>
        </w:rPr>
        <w:t>á</w:t>
      </w:r>
      <w:r w:rsidRPr="00832815">
        <w:rPr>
          <w:rFonts w:asciiTheme="majorHAnsi" w:hAnsiTheme="majorHAnsi" w:cs="Franklin Gothic Book"/>
          <w:color w:val="000000"/>
          <w:szCs w:val="22"/>
        </w:rPr>
        <w:t xml:space="preserve"> zárobkov</w:t>
      </w:r>
      <w:r w:rsidR="008E6E0A" w:rsidRPr="00832815">
        <w:rPr>
          <w:rFonts w:asciiTheme="majorHAnsi" w:hAnsiTheme="majorHAnsi" w:cs="Franklin Gothic Book"/>
          <w:color w:val="000000"/>
          <w:szCs w:val="22"/>
        </w:rPr>
        <w:t>á</w:t>
      </w:r>
      <w:r w:rsidRPr="00832815">
        <w:rPr>
          <w:rFonts w:asciiTheme="majorHAnsi" w:hAnsiTheme="majorHAnsi" w:cs="Franklin Gothic Book"/>
          <w:color w:val="000000"/>
          <w:szCs w:val="22"/>
        </w:rPr>
        <w:t xml:space="preserve"> činnos</w:t>
      </w:r>
      <w:r w:rsidR="008E6E0A" w:rsidRPr="00832815">
        <w:rPr>
          <w:rFonts w:asciiTheme="majorHAnsi" w:hAnsiTheme="majorHAnsi" w:cs="Franklin Gothic Book"/>
          <w:color w:val="000000"/>
          <w:szCs w:val="22"/>
        </w:rPr>
        <w:t>ť</w:t>
      </w:r>
      <w:r w:rsidRPr="00832815">
        <w:rPr>
          <w:rFonts w:asciiTheme="majorHAnsi" w:hAnsiTheme="majorHAnsi" w:cs="Franklin Gothic Book"/>
          <w:color w:val="000000"/>
          <w:szCs w:val="22"/>
        </w:rPr>
        <w:t>;</w:t>
      </w:r>
    </w:p>
    <w:p w:rsidR="003450A7" w:rsidRPr="00832815" w:rsidRDefault="003450A7" w:rsidP="00302664">
      <w:pPr>
        <w:numPr>
          <w:ilvl w:val="0"/>
          <w:numId w:val="18"/>
        </w:numPr>
        <w:spacing w:before="0" w:after="0"/>
        <w:contextualSpacing/>
        <w:rPr>
          <w:rFonts w:asciiTheme="majorHAnsi" w:hAnsiTheme="majorHAnsi" w:cs="Franklin Gothic Book"/>
          <w:color w:val="000000"/>
          <w:szCs w:val="22"/>
        </w:rPr>
      </w:pPr>
      <w:r w:rsidRPr="00302664">
        <w:rPr>
          <w:rFonts w:asciiTheme="majorHAnsi" w:hAnsiTheme="majorHAnsi" w:cs="Franklin Gothic Book"/>
          <w:color w:val="000000"/>
          <w:szCs w:val="22"/>
        </w:rPr>
        <w:t xml:space="preserve">zvýšenie </w:t>
      </w:r>
      <w:r w:rsidR="00DD175C" w:rsidRPr="00302664">
        <w:rPr>
          <w:rFonts w:asciiTheme="majorHAnsi" w:hAnsiTheme="majorHAnsi" w:cs="Franklin Gothic Book"/>
          <w:color w:val="000000"/>
          <w:szCs w:val="22"/>
        </w:rPr>
        <w:t xml:space="preserve">kvality, </w:t>
      </w:r>
      <w:r w:rsidRPr="00302664">
        <w:rPr>
          <w:rFonts w:asciiTheme="majorHAnsi" w:hAnsiTheme="majorHAnsi" w:cs="Franklin Gothic Book"/>
          <w:color w:val="000000"/>
          <w:szCs w:val="22"/>
        </w:rPr>
        <w:t xml:space="preserve">kapacít </w:t>
      </w:r>
      <w:r w:rsidR="00DD175C" w:rsidRPr="00302664">
        <w:rPr>
          <w:rFonts w:asciiTheme="majorHAnsi" w:hAnsiTheme="majorHAnsi" w:cs="Franklin Gothic Book"/>
          <w:color w:val="000000"/>
          <w:szCs w:val="22"/>
        </w:rPr>
        <w:t xml:space="preserve">a rozvoja ľudských zdrojov v oblasti verejných služieb zamestnanosti pre potreby poskytovania individualizovaných služieb zamestnanosti </w:t>
      </w:r>
      <w:r w:rsidRPr="00302664">
        <w:rPr>
          <w:rFonts w:asciiTheme="majorHAnsi" w:hAnsiTheme="majorHAnsi" w:cs="Franklin Gothic Book"/>
          <w:color w:val="000000"/>
          <w:szCs w:val="22"/>
        </w:rPr>
        <w:t xml:space="preserve">a realizácie politík v oblasti </w:t>
      </w:r>
      <w:r w:rsidR="00DD175C" w:rsidRPr="00302664">
        <w:rPr>
          <w:rFonts w:asciiTheme="majorHAnsi" w:hAnsiTheme="majorHAnsi" w:cs="Franklin Gothic Book"/>
          <w:color w:val="000000"/>
          <w:szCs w:val="22"/>
        </w:rPr>
        <w:t xml:space="preserve">zamestnanosti, </w:t>
      </w:r>
      <w:r w:rsidRPr="00302664">
        <w:rPr>
          <w:rFonts w:asciiTheme="majorHAnsi" w:hAnsiTheme="majorHAnsi" w:cs="Franklin Gothic Book"/>
          <w:color w:val="000000"/>
          <w:szCs w:val="22"/>
        </w:rPr>
        <w:t>podnikania a sociálneho dialógu;</w:t>
      </w:r>
    </w:p>
    <w:p w:rsidR="008E6E0A" w:rsidRDefault="00A678A6" w:rsidP="00302664">
      <w:pPr>
        <w:numPr>
          <w:ilvl w:val="0"/>
          <w:numId w:val="18"/>
        </w:numPr>
        <w:spacing w:before="0" w:after="0"/>
        <w:ind w:left="714" w:hanging="357"/>
        <w:contextualSpacing/>
        <w:rPr>
          <w:rFonts w:asciiTheme="majorHAnsi" w:hAnsiTheme="majorHAnsi" w:cs="Franklin Gothic Book"/>
          <w:color w:val="000000"/>
          <w:szCs w:val="22"/>
        </w:rPr>
      </w:pPr>
      <w:r w:rsidRPr="00832815">
        <w:rPr>
          <w:rFonts w:asciiTheme="majorHAnsi" w:hAnsiTheme="majorHAnsi" w:cs="Franklin Gothic Book"/>
          <w:color w:val="000000"/>
          <w:szCs w:val="22"/>
        </w:rPr>
        <w:t>zvýšenie opatrení na kvalitné, udržateľné a</w:t>
      </w:r>
      <w:r w:rsidR="00F01E0A" w:rsidRPr="00832815">
        <w:rPr>
          <w:rFonts w:asciiTheme="majorHAnsi" w:hAnsiTheme="majorHAnsi" w:cs="Franklin Gothic Book"/>
          <w:color w:val="000000"/>
          <w:szCs w:val="22"/>
        </w:rPr>
        <w:t> </w:t>
      </w:r>
      <w:r w:rsidRPr="00832815">
        <w:rPr>
          <w:rFonts w:asciiTheme="majorHAnsi" w:hAnsiTheme="majorHAnsi" w:cs="Franklin Gothic Book"/>
          <w:color w:val="000000"/>
          <w:szCs w:val="22"/>
        </w:rPr>
        <w:t>cenovo</w:t>
      </w:r>
      <w:r w:rsidR="00F01E0A" w:rsidRPr="00832815">
        <w:rPr>
          <w:rFonts w:asciiTheme="majorHAnsi" w:hAnsiTheme="majorHAnsi" w:cs="Franklin Gothic Book"/>
          <w:color w:val="000000"/>
          <w:szCs w:val="22"/>
        </w:rPr>
        <w:t xml:space="preserve"> </w:t>
      </w:r>
      <w:r w:rsidRPr="00832815">
        <w:rPr>
          <w:rFonts w:asciiTheme="majorHAnsi" w:hAnsiTheme="majorHAnsi" w:cs="Franklin Gothic Book"/>
          <w:color w:val="000000"/>
          <w:szCs w:val="22"/>
        </w:rPr>
        <w:t>dostupné</w:t>
      </w:r>
      <w:r w:rsidRPr="00A678A6">
        <w:rPr>
          <w:rFonts w:asciiTheme="majorHAnsi" w:hAnsiTheme="majorHAnsi" w:cs="Franklin Gothic Book"/>
          <w:color w:val="000000"/>
          <w:szCs w:val="22"/>
        </w:rPr>
        <w:t xml:space="preserve"> riešenia v oblasti starostlivosti </w:t>
      </w:r>
      <w:r w:rsidR="008E6E0A" w:rsidRPr="008E6E0A">
        <w:rPr>
          <w:rFonts w:asciiTheme="majorHAnsi" w:hAnsiTheme="majorHAnsi" w:cs="Franklin Gothic Book"/>
          <w:color w:val="000000"/>
          <w:szCs w:val="22"/>
        </w:rPr>
        <w:t xml:space="preserve">o deti vo veku </w:t>
      </w:r>
      <w:r w:rsidRPr="00A678A6">
        <w:rPr>
          <w:rFonts w:asciiTheme="majorHAnsi" w:hAnsiTheme="majorHAnsi" w:cs="Franklin Gothic Book"/>
          <w:color w:val="000000"/>
          <w:szCs w:val="22"/>
        </w:rPr>
        <w:t>3 rokov</w:t>
      </w:r>
      <w:r w:rsidR="008E6E0A">
        <w:rPr>
          <w:rFonts w:asciiTheme="majorHAnsi" w:hAnsiTheme="majorHAnsi" w:cs="Franklin Gothic Book"/>
          <w:color w:val="000000"/>
          <w:szCs w:val="22"/>
        </w:rPr>
        <w:t>;</w:t>
      </w:r>
    </w:p>
    <w:p w:rsidR="00A678A6" w:rsidRPr="008E6E0A" w:rsidRDefault="008E6E0A" w:rsidP="00302664">
      <w:pPr>
        <w:pStyle w:val="Odsekzoznamu"/>
        <w:numPr>
          <w:ilvl w:val="0"/>
          <w:numId w:val="18"/>
        </w:numPr>
        <w:spacing w:before="0" w:after="0"/>
        <w:ind w:left="714" w:hanging="357"/>
        <w:rPr>
          <w:rFonts w:asciiTheme="majorHAnsi" w:hAnsiTheme="majorHAnsi" w:cs="Franklin Gothic Book"/>
          <w:color w:val="000000"/>
          <w:szCs w:val="22"/>
        </w:rPr>
      </w:pPr>
      <w:r w:rsidRPr="008E6E0A">
        <w:rPr>
          <w:rFonts w:asciiTheme="majorHAnsi" w:hAnsiTheme="majorHAnsi" w:cs="Franklin Gothic Book"/>
          <w:color w:val="000000"/>
          <w:szCs w:val="22"/>
        </w:rPr>
        <w:t>zvýšenie zamestnanosti mladých ľudí, najmä NEET</w:t>
      </w:r>
      <w:r>
        <w:rPr>
          <w:rFonts w:asciiTheme="majorHAnsi" w:hAnsiTheme="majorHAnsi" w:cs="Franklin Gothic Book"/>
          <w:color w:val="000000"/>
          <w:szCs w:val="22"/>
        </w:rPr>
        <w:t>.</w:t>
      </w:r>
    </w:p>
    <w:p w:rsidR="00154311" w:rsidRDefault="00154311" w:rsidP="0003264B">
      <w:pPr>
        <w:spacing w:after="0"/>
        <w:rPr>
          <w:rFonts w:asciiTheme="majorHAnsi" w:hAnsiTheme="majorHAnsi"/>
          <w:b/>
          <w:szCs w:val="22"/>
          <w:lang w:eastAsia="cs-CZ"/>
        </w:rPr>
      </w:pPr>
      <w:r w:rsidRPr="00F35154">
        <w:rPr>
          <w:rFonts w:asciiTheme="majorHAnsi" w:hAnsiTheme="majorHAnsi"/>
          <w:b/>
          <w:szCs w:val="22"/>
          <w:lang w:eastAsia="cs-CZ"/>
        </w:rPr>
        <w:t>Investície EFRR</w:t>
      </w:r>
    </w:p>
    <w:p w:rsidR="00154311" w:rsidRPr="00F35154" w:rsidRDefault="003D2249" w:rsidP="00302664">
      <w:pPr>
        <w:pStyle w:val="Odsekzoznamu"/>
        <w:numPr>
          <w:ilvl w:val="0"/>
          <w:numId w:val="18"/>
        </w:numPr>
        <w:spacing w:before="0" w:after="0"/>
        <w:rPr>
          <w:rFonts w:asciiTheme="majorHAnsi" w:hAnsiTheme="majorHAnsi"/>
          <w:b/>
          <w:szCs w:val="22"/>
          <w:lang w:eastAsia="cs-CZ"/>
        </w:rPr>
      </w:pPr>
      <w:r>
        <w:rPr>
          <w:rFonts w:asciiTheme="majorHAnsi" w:eastAsia="Times New Roman" w:hAnsiTheme="majorHAnsi" w:cs="Franklin Gothic Book"/>
          <w:color w:val="000000"/>
        </w:rPr>
        <w:t xml:space="preserve">podpora </w:t>
      </w:r>
      <w:r w:rsidR="009E60ED" w:rsidRPr="00D16E5A">
        <w:rPr>
          <w:rFonts w:asciiTheme="majorHAnsi" w:eastAsia="Times New Roman" w:hAnsiTheme="majorHAnsi" w:cs="Franklin Gothic Book"/>
          <w:color w:val="000000"/>
          <w:szCs w:val="22"/>
        </w:rPr>
        <w:t xml:space="preserve">kultúrneho a kreatívneho priemyslu </w:t>
      </w:r>
      <w:r w:rsidR="00C03EDE">
        <w:rPr>
          <w:rFonts w:asciiTheme="majorHAnsi" w:eastAsia="Times New Roman" w:hAnsiTheme="majorHAnsi" w:cs="Franklin Gothic Book"/>
          <w:color w:val="000000"/>
          <w:szCs w:val="22"/>
        </w:rPr>
        <w:t xml:space="preserve">so zreteľom uľahčenia tvorby </w:t>
      </w:r>
      <w:r w:rsidR="009E60ED" w:rsidRPr="00D16E5A">
        <w:rPr>
          <w:rFonts w:asciiTheme="majorHAnsi" w:eastAsia="Times New Roman" w:hAnsiTheme="majorHAnsi" w:cs="Franklin Gothic Book"/>
          <w:color w:val="000000"/>
          <w:szCs w:val="22"/>
        </w:rPr>
        <w:t>priaznivého prostredia pre</w:t>
      </w:r>
      <w:r w:rsidR="009E60ED">
        <w:rPr>
          <w:rFonts w:asciiTheme="majorHAnsi" w:eastAsia="Times New Roman" w:hAnsiTheme="majorHAnsi" w:cs="Franklin Gothic Book"/>
          <w:color w:val="000000"/>
        </w:rPr>
        <w:t xml:space="preserve"> </w:t>
      </w:r>
      <w:r w:rsidR="009E60ED" w:rsidRPr="00D16E5A">
        <w:rPr>
          <w:rFonts w:asciiTheme="majorHAnsi" w:eastAsia="Times New Roman" w:hAnsiTheme="majorHAnsi" w:cs="Franklin Gothic Book"/>
          <w:color w:val="000000"/>
          <w:szCs w:val="22"/>
        </w:rPr>
        <w:t xml:space="preserve">rozvoj kreativity, nových produktov a služieb s cieľom zvýšenia </w:t>
      </w:r>
      <w:r>
        <w:rPr>
          <w:rFonts w:asciiTheme="majorHAnsi" w:eastAsia="Times New Roman" w:hAnsiTheme="majorHAnsi" w:cs="Franklin Gothic Book"/>
          <w:color w:val="000000"/>
          <w:szCs w:val="22"/>
        </w:rPr>
        <w:t>zamestnateľnosti</w:t>
      </w:r>
      <w:r w:rsidR="00154311" w:rsidRPr="00945550">
        <w:rPr>
          <w:rFonts w:asciiTheme="majorHAnsi" w:eastAsia="Times New Roman" w:hAnsiTheme="majorHAnsi" w:cs="Franklin Gothic Book"/>
          <w:color w:val="000000"/>
          <w:szCs w:val="22"/>
        </w:rPr>
        <w:t>.</w:t>
      </w:r>
    </w:p>
    <w:p w:rsidR="00A678A6" w:rsidRPr="00A678A6" w:rsidRDefault="00A678A6" w:rsidP="00A678A6">
      <w:pPr>
        <w:spacing w:after="0"/>
        <w:rPr>
          <w:rFonts w:asciiTheme="majorHAnsi" w:hAnsiTheme="majorHAnsi"/>
          <w:b/>
          <w:szCs w:val="22"/>
          <w:lang w:eastAsia="cs-CZ"/>
        </w:rPr>
      </w:pPr>
      <w:r w:rsidRPr="00A678A6">
        <w:rPr>
          <w:rFonts w:asciiTheme="majorHAnsi" w:hAnsiTheme="majorHAnsi"/>
          <w:b/>
          <w:szCs w:val="22"/>
          <w:lang w:eastAsia="cs-CZ"/>
        </w:rPr>
        <w:t>Investície EPFRV</w:t>
      </w:r>
    </w:p>
    <w:p w:rsidR="00A678A6" w:rsidRPr="00A678A6" w:rsidRDefault="00A678A6" w:rsidP="00302664">
      <w:pPr>
        <w:numPr>
          <w:ilvl w:val="0"/>
          <w:numId w:val="19"/>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počtu podnikateľských subjektov na vidieku prostredníctvom diverzifikácie ekonomických aktivít mimo poľnohospodárstva;</w:t>
      </w:r>
    </w:p>
    <w:p w:rsidR="00A678A6" w:rsidRPr="00A678A6" w:rsidRDefault="00A678A6" w:rsidP="00302664">
      <w:pPr>
        <w:numPr>
          <w:ilvl w:val="0"/>
          <w:numId w:val="19"/>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zamestnanosti na vidieku</w:t>
      </w:r>
      <w:r w:rsidRPr="00A678A6">
        <w:t xml:space="preserve"> </w:t>
      </w:r>
      <w:r w:rsidRPr="00A678A6">
        <w:rPr>
          <w:rFonts w:asciiTheme="majorHAnsi" w:hAnsiTheme="majorHAnsi" w:cs="Franklin Gothic Book"/>
          <w:color w:val="000000"/>
          <w:szCs w:val="22"/>
        </w:rPr>
        <w:t>prostredníctvom start-up podpory na začatie činnosti</w:t>
      </w:r>
      <w:r w:rsidR="0063747C">
        <w:rPr>
          <w:rFonts w:asciiTheme="majorHAnsi" w:hAnsiTheme="majorHAnsi" w:cs="Franklin Gothic Book"/>
          <w:color w:val="000000"/>
          <w:szCs w:val="22"/>
        </w:rPr>
        <w:t xml:space="preserve"> pre poľnohospodárske mikropodniky a malé podniky</w:t>
      </w:r>
      <w:r w:rsidRPr="00A678A6">
        <w:rPr>
          <w:rFonts w:asciiTheme="majorHAnsi" w:hAnsiTheme="majorHAnsi" w:cs="Franklin Gothic Book"/>
          <w:color w:val="000000"/>
          <w:szCs w:val="22"/>
        </w:rPr>
        <w:t>;</w:t>
      </w:r>
    </w:p>
    <w:p w:rsidR="00A678A6" w:rsidRPr="00A678A6" w:rsidRDefault="00A678A6" w:rsidP="00302664">
      <w:pPr>
        <w:numPr>
          <w:ilvl w:val="0"/>
          <w:numId w:val="19"/>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diverzifikácia ekonomického prostredia na vidieku</w:t>
      </w:r>
      <w:r w:rsidR="00154311">
        <w:rPr>
          <w:rFonts w:asciiTheme="majorHAnsi" w:hAnsiTheme="majorHAnsi" w:cs="Franklin Gothic Book"/>
          <w:color w:val="000000"/>
          <w:szCs w:val="22"/>
        </w:rPr>
        <w:t>.</w:t>
      </w:r>
    </w:p>
    <w:p w:rsidR="00A678A6" w:rsidRPr="00A678A6" w:rsidRDefault="00A678A6" w:rsidP="0003264B">
      <w:pPr>
        <w:keepNext/>
        <w:keepLines/>
        <w:numPr>
          <w:ilvl w:val="3"/>
          <w:numId w:val="2"/>
        </w:numPr>
        <w:spacing w:before="240" w:after="240"/>
        <w:ind w:left="862" w:hanging="862"/>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9: Podpora sociálneho začlenenia, boj proti chudobe a akejkoľvek diskriminácii</w:t>
      </w:r>
    </w:p>
    <w:p w:rsidR="00A678A6" w:rsidRPr="00A678A6" w:rsidRDefault="00A678A6" w:rsidP="008E6E0A">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8E6E0A" w:rsidRPr="008E6E0A" w:rsidRDefault="00A678A6" w:rsidP="0003264B">
      <w:pPr>
        <w:rPr>
          <w:rFonts w:asciiTheme="majorHAnsi" w:hAnsiTheme="majorHAnsi"/>
          <w:szCs w:val="22"/>
          <w:lang w:eastAsia="cs-CZ"/>
        </w:rPr>
      </w:pPr>
      <w:r w:rsidRPr="00A678A6">
        <w:rPr>
          <w:rFonts w:asciiTheme="majorHAnsi" w:hAnsiTheme="majorHAnsi"/>
          <w:szCs w:val="22"/>
          <w:lang w:eastAsia="cs-CZ"/>
        </w:rPr>
        <w:t xml:space="preserve">V SR aj v dôsledku hospodárskej krízy sa neustále prehlbuje nezamestnanosť a regionálne rozdiely, ktoré sa prejavujú rastúcou chudobou, sociálnym vylúčením a celkovým znížením životnej úrovne občanov. </w:t>
      </w:r>
      <w:r w:rsidR="008E6E0A" w:rsidRPr="008E6E0A">
        <w:rPr>
          <w:rFonts w:asciiTheme="majorHAnsi" w:hAnsiTheme="majorHAnsi"/>
          <w:szCs w:val="22"/>
          <w:lang w:eastAsia="cs-CZ"/>
        </w:rPr>
        <w:t>Uvedené sa odzrkadľuje zvyšujúcim sa počtom znevýhodnených skupín osôb, ktoré sú ohrozené rizikom chudoby a sociálneho vylúčenia</w:t>
      </w:r>
      <w:r w:rsidR="00D80235">
        <w:rPr>
          <w:rFonts w:asciiTheme="majorHAnsi" w:hAnsiTheme="majorHAnsi"/>
          <w:szCs w:val="22"/>
          <w:lang w:eastAsia="cs-CZ"/>
        </w:rPr>
        <w:t>,</w:t>
      </w:r>
      <w:r w:rsidR="008E6E0A" w:rsidRPr="008E6E0A">
        <w:rPr>
          <w:rFonts w:asciiTheme="majorHAnsi" w:hAnsiTheme="majorHAnsi"/>
          <w:szCs w:val="22"/>
          <w:lang w:eastAsia="cs-CZ"/>
        </w:rPr>
        <w:t xml:space="preserve"> napr. migranti, utečenci, drogovo závislí, ohrozené deti). </w:t>
      </w:r>
      <w:r w:rsidRPr="00A678A6">
        <w:rPr>
          <w:rFonts w:asciiTheme="majorHAnsi" w:hAnsiTheme="majorHAnsi"/>
          <w:szCs w:val="22"/>
          <w:lang w:eastAsia="cs-CZ"/>
        </w:rPr>
        <w:t>V niektorých regiónoch dochádza k významnej lokálnej koncentrácii dlhodobej nezamestnanosti a chudoby a vytváraniu geograficky koncentrovaných marginalizovaných komunít.</w:t>
      </w:r>
      <w:r w:rsidR="008E6E0A" w:rsidRPr="008E6E0A">
        <w:rPr>
          <w:rFonts w:asciiTheme="majorHAnsi" w:hAnsiTheme="majorHAnsi"/>
          <w:szCs w:val="22"/>
          <w:lang w:eastAsia="cs-CZ"/>
        </w:rPr>
        <w:t xml:space="preserve"> Opatrenia geograficky zamerané na tieto komunity si vyžadujú opatrenia inkluzívneho charakteru tak</w:t>
      </w:r>
      <w:r w:rsidR="006C7943">
        <w:rPr>
          <w:rFonts w:asciiTheme="majorHAnsi" w:hAnsiTheme="majorHAnsi"/>
          <w:szCs w:val="22"/>
          <w:lang w:eastAsia="cs-CZ"/>
        </w:rPr>
        <w:t>,</w:t>
      </w:r>
      <w:r w:rsidR="008E6E0A" w:rsidRPr="008E6E0A">
        <w:rPr>
          <w:rFonts w:asciiTheme="majorHAnsi" w:hAnsiTheme="majorHAnsi"/>
          <w:szCs w:val="22"/>
          <w:lang w:eastAsia="cs-CZ"/>
        </w:rPr>
        <w:t xml:space="preserve"> aby sa nevytvárali tam kde je to možné paralelné štruktúry k existujúcim väčšinovým štruktúram.</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Súčasná situácia, ktorá je vo výraznej miere ovplyvnená dlhodobou nezamestnanosťou si vyžaduje zefektívnenie (modernizáciu) súčasných nástrojov, ako aj zavedenie nových nástrojov v oblasti finančnej podpory jednotlivcov a členov rodín zameranej na zlepšenie ich prístupu na trh práce, k bývaniu, vzdelaniu, starostlivosti o dieťa, využívaniu služieb a pod.</w:t>
      </w:r>
    </w:p>
    <w:p w:rsidR="008E6E0A" w:rsidRPr="008E6E0A" w:rsidRDefault="008E6E0A" w:rsidP="008E6E0A">
      <w:pPr>
        <w:autoSpaceDE w:val="0"/>
        <w:autoSpaceDN w:val="0"/>
        <w:adjustRightInd w:val="0"/>
        <w:spacing w:after="0"/>
        <w:rPr>
          <w:rFonts w:asciiTheme="majorHAnsi" w:hAnsiTheme="majorHAnsi" w:cs="Franklin Gothic Book"/>
          <w:color w:val="000000"/>
          <w:szCs w:val="22"/>
        </w:rPr>
      </w:pPr>
      <w:r w:rsidRPr="008E6E0A">
        <w:rPr>
          <w:rFonts w:asciiTheme="majorHAnsi" w:hAnsiTheme="majorHAnsi" w:cs="Franklin Gothic Book"/>
          <w:color w:val="000000"/>
          <w:szCs w:val="22"/>
        </w:rPr>
        <w:t xml:space="preserve">Popri prierezovom uplatňovaní </w:t>
      </w:r>
      <w:r w:rsidR="006C7943">
        <w:rPr>
          <w:rFonts w:asciiTheme="majorHAnsi" w:hAnsiTheme="majorHAnsi" w:cs="Franklin Gothic Book"/>
          <w:color w:val="000000"/>
          <w:szCs w:val="22"/>
        </w:rPr>
        <w:t>ne</w:t>
      </w:r>
      <w:r w:rsidRPr="008E6E0A">
        <w:rPr>
          <w:rFonts w:asciiTheme="majorHAnsi" w:hAnsiTheme="majorHAnsi" w:cs="Franklin Gothic Book"/>
          <w:color w:val="000000"/>
          <w:szCs w:val="22"/>
        </w:rPr>
        <w:t>diskriminácie a</w:t>
      </w:r>
      <w:r w:rsidR="006C7943">
        <w:rPr>
          <w:rFonts w:asciiTheme="majorHAnsi" w:hAnsiTheme="majorHAnsi" w:cs="Franklin Gothic Book"/>
          <w:color w:val="000000"/>
          <w:szCs w:val="22"/>
        </w:rPr>
        <w:t> </w:t>
      </w:r>
      <w:r w:rsidRPr="008E6E0A">
        <w:rPr>
          <w:rFonts w:asciiTheme="majorHAnsi" w:hAnsiTheme="majorHAnsi" w:cs="Franklin Gothic Book"/>
          <w:color w:val="000000"/>
          <w:szCs w:val="22"/>
        </w:rPr>
        <w:t>rovnosti</w:t>
      </w:r>
      <w:r w:rsidR="006C7943">
        <w:rPr>
          <w:rFonts w:asciiTheme="majorHAnsi" w:hAnsiTheme="majorHAnsi" w:cs="Franklin Gothic Book"/>
          <w:color w:val="000000"/>
          <w:szCs w:val="22"/>
        </w:rPr>
        <w:t xml:space="preserve"> medzi mužmi a</w:t>
      </w:r>
      <w:r w:rsidR="00F01E0A">
        <w:rPr>
          <w:rFonts w:asciiTheme="majorHAnsi" w:hAnsiTheme="majorHAnsi" w:cs="Franklin Gothic Book"/>
          <w:color w:val="000000"/>
          <w:szCs w:val="22"/>
        </w:rPr>
        <w:t> </w:t>
      </w:r>
      <w:r w:rsidR="006C7943">
        <w:rPr>
          <w:rFonts w:asciiTheme="majorHAnsi" w:hAnsiTheme="majorHAnsi" w:cs="Franklin Gothic Book"/>
          <w:color w:val="000000"/>
          <w:szCs w:val="22"/>
        </w:rPr>
        <w:t>ženami</w:t>
      </w:r>
      <w:r w:rsidR="00F01E0A">
        <w:rPr>
          <w:rFonts w:asciiTheme="majorHAnsi" w:hAnsiTheme="majorHAnsi" w:cs="Franklin Gothic Book"/>
          <w:color w:val="000000"/>
          <w:szCs w:val="22"/>
        </w:rPr>
        <w:t xml:space="preserve"> </w:t>
      </w:r>
      <w:r w:rsidRPr="008E6E0A">
        <w:rPr>
          <w:rFonts w:asciiTheme="majorHAnsi" w:hAnsiTheme="majorHAnsi" w:cs="Franklin Gothic Book"/>
          <w:color w:val="000000"/>
          <w:szCs w:val="22"/>
        </w:rPr>
        <w:t>ako horizontáln</w:t>
      </w:r>
      <w:r w:rsidR="006C7943">
        <w:rPr>
          <w:rFonts w:asciiTheme="majorHAnsi" w:hAnsiTheme="majorHAnsi" w:cs="Franklin Gothic Book"/>
          <w:color w:val="000000"/>
          <w:szCs w:val="22"/>
        </w:rPr>
        <w:t>ych</w:t>
      </w:r>
      <w:r w:rsidRPr="008E6E0A">
        <w:rPr>
          <w:rFonts w:asciiTheme="majorHAnsi" w:hAnsiTheme="majorHAnsi" w:cs="Franklin Gothic Book"/>
          <w:color w:val="000000"/>
          <w:szCs w:val="22"/>
        </w:rPr>
        <w:t xml:space="preserve"> princíp</w:t>
      </w:r>
      <w:r w:rsidR="006C7943">
        <w:rPr>
          <w:rFonts w:asciiTheme="majorHAnsi" w:hAnsiTheme="majorHAnsi" w:cs="Franklin Gothic Book"/>
          <w:color w:val="000000"/>
          <w:szCs w:val="22"/>
        </w:rPr>
        <w:t>ov</w:t>
      </w:r>
      <w:r w:rsidRPr="008E6E0A">
        <w:rPr>
          <w:rFonts w:asciiTheme="majorHAnsi" w:hAnsiTheme="majorHAnsi" w:cs="Franklin Gothic Book"/>
          <w:color w:val="000000"/>
          <w:szCs w:val="22"/>
        </w:rPr>
        <w:t xml:space="preserve"> je rovnako potrebné umožniť špecifickú a</w:t>
      </w:r>
      <w:r w:rsidR="00F85768">
        <w:rPr>
          <w:rFonts w:asciiTheme="majorHAnsi" w:hAnsiTheme="majorHAnsi" w:cs="Franklin Gothic Book"/>
          <w:color w:val="000000"/>
          <w:szCs w:val="22"/>
        </w:rPr>
        <w:t> </w:t>
      </w:r>
      <w:r w:rsidRPr="008E6E0A">
        <w:rPr>
          <w:rFonts w:asciiTheme="majorHAnsi" w:hAnsiTheme="majorHAnsi" w:cs="Franklin Gothic Book"/>
          <w:color w:val="000000"/>
          <w:szCs w:val="22"/>
        </w:rPr>
        <w:t>cielenú podporu pre skupiny obyvateľstva ohrozené všetkými formami diskriminácie</w:t>
      </w:r>
      <w:r w:rsidR="00D80235">
        <w:rPr>
          <w:rFonts w:asciiTheme="majorHAnsi" w:hAnsiTheme="majorHAnsi" w:cs="Franklin Gothic Book"/>
          <w:color w:val="000000"/>
          <w:szCs w:val="22"/>
        </w:rPr>
        <w:t xml:space="preserve">, </w:t>
      </w:r>
      <w:r w:rsidRPr="008E6E0A">
        <w:rPr>
          <w:rFonts w:asciiTheme="majorHAnsi" w:hAnsiTheme="majorHAnsi" w:cs="Franklin Gothic Book"/>
          <w:color w:val="000000"/>
          <w:szCs w:val="22"/>
        </w:rPr>
        <w:t>napr. z</w:t>
      </w:r>
      <w:r w:rsidR="00F85768">
        <w:rPr>
          <w:rFonts w:asciiTheme="majorHAnsi" w:hAnsiTheme="majorHAnsi" w:cs="Franklin Gothic Book"/>
          <w:color w:val="000000"/>
          <w:szCs w:val="22"/>
        </w:rPr>
        <w:t> </w:t>
      </w:r>
      <w:r w:rsidRPr="008E6E0A">
        <w:rPr>
          <w:rFonts w:asciiTheme="majorHAnsi" w:hAnsiTheme="majorHAnsi" w:cs="Franklin Gothic Book"/>
          <w:color w:val="000000"/>
          <w:szCs w:val="22"/>
        </w:rPr>
        <w:t>dôvodu zdravotného stavu, etnicity, sexuálnej orientácie, pohlavia alebo veku.</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Sprievodným znakom chudoby a sociálneho vylúčenia je úroveň zdravotného stavu obyvateľstva. Zlý zdravotný stav obyvateľov SR (chronické ochorenie, zdravotné postihnutie) je jednou z príčin sociálneho vylúčenia a chudoby (najmä z dôvodu následnej straty zamestnania a príjmu). Zdravé roky života obyvateľstva SR pri narodení výrazne zaostávajú za hodnotami priemeru krajín OECD.</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lastRenderedPageBreak/>
        <w:t>Ohrozenie sociálnym vylúčením sa týka aj osôb, ktorým sú poskytované sociálne služby alebo náhradná starostlivosť, a to predovšetkým tých, ktorí sú umiestnení v</w:t>
      </w:r>
      <w:r w:rsidR="00F85768">
        <w:rPr>
          <w:rFonts w:asciiTheme="majorHAnsi" w:hAnsiTheme="majorHAnsi" w:cs="Franklin Gothic Book"/>
          <w:color w:val="000000"/>
          <w:szCs w:val="22"/>
        </w:rPr>
        <w:t> </w:t>
      </w:r>
      <w:r w:rsidRPr="00A678A6">
        <w:rPr>
          <w:rFonts w:asciiTheme="majorHAnsi" w:hAnsiTheme="majorHAnsi" w:cs="Franklin Gothic Book"/>
          <w:color w:val="000000"/>
          <w:szCs w:val="22"/>
        </w:rPr>
        <w:t>inštitucionálnych zariadeniach, ktoré im z</w:t>
      </w:r>
      <w:r w:rsidR="00F85768">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hľadiska svojho organizačného charakteru neumožňujú nezávislý a plnohodnotný život. </w:t>
      </w:r>
      <w:r w:rsidR="00730EE3">
        <w:rPr>
          <w:rFonts w:asciiTheme="majorHAnsi" w:hAnsiTheme="majorHAnsi" w:cs="Franklin Gothic Book"/>
          <w:color w:val="000000"/>
          <w:szCs w:val="22"/>
        </w:rPr>
        <w:t>Taktiež chýbajú sociálne služby na komunitnej úrovni</w:t>
      </w:r>
      <w:r w:rsidR="005C7547">
        <w:rPr>
          <w:rFonts w:asciiTheme="majorHAnsi" w:hAnsiTheme="majorHAnsi" w:cs="Franklin Gothic Book"/>
          <w:color w:val="000000"/>
          <w:szCs w:val="22"/>
        </w:rPr>
        <w:t xml:space="preserve"> –</w:t>
      </w:r>
      <w:r w:rsidR="00D80235">
        <w:rPr>
          <w:rFonts w:asciiTheme="majorHAnsi" w:hAnsiTheme="majorHAnsi" w:cs="Franklin Gothic Book"/>
          <w:color w:val="000000"/>
          <w:szCs w:val="22"/>
        </w:rPr>
        <w:t xml:space="preserve"> </w:t>
      </w:r>
      <w:r w:rsidR="00730EE3">
        <w:rPr>
          <w:rFonts w:asciiTheme="majorHAnsi" w:hAnsiTheme="majorHAnsi" w:cs="Franklin Gothic Book"/>
          <w:color w:val="000000"/>
          <w:szCs w:val="22"/>
        </w:rPr>
        <w:t>zariadenia</w:t>
      </w:r>
      <w:r w:rsidR="005C7547">
        <w:rPr>
          <w:rFonts w:asciiTheme="majorHAnsi" w:hAnsiTheme="majorHAnsi" w:cs="Franklin Gothic Book"/>
          <w:color w:val="000000"/>
          <w:szCs w:val="22"/>
        </w:rPr>
        <w:t xml:space="preserve"> </w:t>
      </w:r>
      <w:r w:rsidR="00730EE3">
        <w:rPr>
          <w:rFonts w:asciiTheme="majorHAnsi" w:hAnsiTheme="majorHAnsi" w:cs="Franklin Gothic Book"/>
          <w:color w:val="000000"/>
          <w:szCs w:val="22"/>
        </w:rPr>
        <w:t xml:space="preserve">na zosúladenie pracovného a súkromného života (zariadenia služieb starostlivosti o dieťa do troch rokov veku). </w:t>
      </w:r>
      <w:r w:rsidRPr="00A678A6">
        <w:rPr>
          <w:rFonts w:asciiTheme="majorHAnsi" w:hAnsiTheme="majorHAnsi" w:cs="Franklin Gothic Book"/>
          <w:color w:val="000000"/>
          <w:szCs w:val="22"/>
        </w:rPr>
        <w:t xml:space="preserve">Miestne komunity čelia </w:t>
      </w:r>
      <w:r w:rsidR="00154311">
        <w:rPr>
          <w:rFonts w:asciiTheme="majorHAnsi" w:hAnsiTheme="majorHAnsi" w:cs="Franklin Gothic Book"/>
          <w:color w:val="000000"/>
          <w:szCs w:val="22"/>
        </w:rPr>
        <w:t>rôznym</w:t>
      </w:r>
      <w:r w:rsidR="00154311" w:rsidRPr="00A678A6">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výzvam, predovšetkým</w:t>
      </w:r>
      <w:r w:rsidR="009E60ED">
        <w:rPr>
          <w:rFonts w:asciiTheme="majorHAnsi" w:hAnsiTheme="majorHAnsi" w:cs="Franklin Gothic Book"/>
          <w:color w:val="000000"/>
          <w:szCs w:val="22"/>
        </w:rPr>
        <w:t xml:space="preserve"> zníženiu </w:t>
      </w:r>
      <w:r w:rsidRPr="00A678A6">
        <w:rPr>
          <w:rFonts w:asciiTheme="majorHAnsi" w:hAnsiTheme="majorHAnsi" w:cs="Franklin Gothic Book"/>
          <w:color w:val="000000"/>
          <w:szCs w:val="22"/>
        </w:rPr>
        <w:t xml:space="preserve">sociálnoekonomickej zaostalosti, </w:t>
      </w:r>
      <w:r w:rsidR="009E60ED">
        <w:rPr>
          <w:rFonts w:asciiTheme="majorHAnsi" w:hAnsiTheme="majorHAnsi" w:cs="Franklin Gothic Book"/>
          <w:color w:val="000000"/>
          <w:szCs w:val="22"/>
        </w:rPr>
        <w:t xml:space="preserve">zvýšeniu </w:t>
      </w:r>
      <w:r w:rsidRPr="00A678A6">
        <w:rPr>
          <w:rFonts w:asciiTheme="majorHAnsi" w:hAnsiTheme="majorHAnsi" w:cs="Franklin Gothic Book"/>
          <w:color w:val="000000"/>
          <w:szCs w:val="22"/>
        </w:rPr>
        <w:t>kvalit</w:t>
      </w:r>
      <w:r w:rsidR="009E60ED">
        <w:rPr>
          <w:rFonts w:asciiTheme="majorHAnsi" w:hAnsiTheme="majorHAnsi" w:cs="Franklin Gothic Book"/>
          <w:color w:val="000000"/>
          <w:szCs w:val="22"/>
        </w:rPr>
        <w:t>y</w:t>
      </w:r>
      <w:r w:rsidRPr="00A678A6">
        <w:rPr>
          <w:rFonts w:asciiTheme="majorHAnsi" w:hAnsiTheme="majorHAnsi" w:cs="Franklin Gothic Book"/>
          <w:color w:val="000000"/>
          <w:szCs w:val="22"/>
        </w:rPr>
        <w:t xml:space="preserve"> života a</w:t>
      </w:r>
      <w:r w:rsidR="009E60ED">
        <w:rPr>
          <w:rFonts w:asciiTheme="majorHAnsi" w:hAnsiTheme="majorHAnsi" w:cs="Franklin Gothic Book"/>
          <w:color w:val="000000"/>
          <w:szCs w:val="22"/>
        </w:rPr>
        <w:t xml:space="preserve"> zlepšeniu </w:t>
      </w:r>
      <w:r w:rsidRPr="00A678A6">
        <w:rPr>
          <w:rFonts w:asciiTheme="majorHAnsi" w:hAnsiTheme="majorHAnsi" w:cs="Franklin Gothic Book"/>
          <w:color w:val="000000"/>
          <w:szCs w:val="22"/>
        </w:rPr>
        <w:t>infraštruktúr</w:t>
      </w:r>
      <w:r w:rsidR="009E60ED">
        <w:rPr>
          <w:rFonts w:asciiTheme="majorHAnsi" w:hAnsiTheme="majorHAnsi" w:cs="Franklin Gothic Book"/>
          <w:color w:val="000000"/>
          <w:szCs w:val="22"/>
        </w:rPr>
        <w:t>y</w:t>
      </w:r>
      <w:r w:rsidRPr="00A678A6">
        <w:rPr>
          <w:rFonts w:asciiTheme="majorHAnsi" w:hAnsiTheme="majorHAnsi" w:cs="Franklin Gothic Book"/>
          <w:color w:val="000000"/>
          <w:szCs w:val="22"/>
        </w:rPr>
        <w:t xml:space="preserve"> miestnych služieb</w:t>
      </w:r>
      <w:r w:rsidR="009E60ED">
        <w:rPr>
          <w:rFonts w:asciiTheme="majorHAnsi" w:hAnsiTheme="majorHAnsi" w:cs="Franklin Gothic Book"/>
          <w:color w:val="000000"/>
          <w:szCs w:val="22"/>
        </w:rPr>
        <w:t xml:space="preserve"> vo vidieckych oblastiach</w:t>
      </w:r>
      <w:r w:rsidRPr="00A678A6">
        <w:rPr>
          <w:rFonts w:asciiTheme="majorHAnsi" w:hAnsiTheme="majorHAnsi" w:cs="Franklin Gothic Book"/>
          <w:color w:val="000000"/>
          <w:szCs w:val="22"/>
        </w:rPr>
        <w:t>.</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Podporou obcí, ako i rozvojom miestnych komunít a ich integrovaných stratégií rozvoja územia z PRV SR v programovom období 2007 – 2013 prostredníctvom prístupu LEADER sa prispelo k zlepšovaniu kvality života a zamestnanosti na vidieku.</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zmysle špecifických odporúčaní Rady pre SR</w:t>
      </w:r>
      <w:r w:rsidRPr="00A678A6">
        <w:rPr>
          <w:rFonts w:asciiTheme="majorHAnsi" w:hAnsiTheme="majorHAnsi" w:cs="Franklin Gothic Book"/>
          <w:color w:val="000000"/>
          <w:szCs w:val="22"/>
          <w:vertAlign w:val="superscript"/>
        </w:rPr>
        <w:footnoteReference w:id="280"/>
      </w:r>
      <w:r w:rsidRPr="00A678A6">
        <w:rPr>
          <w:rFonts w:asciiTheme="majorHAnsi" w:hAnsiTheme="majorHAnsi" w:cs="Franklin Gothic Book"/>
          <w:color w:val="000000"/>
          <w:szCs w:val="22"/>
        </w:rPr>
        <w:t xml:space="preserve"> je potrebné zvýšiť dostupnosť a kvalitu zariadení starostlivosti o deti, najmä o deti do veku troch rokov a zintenzívniť úsilie o</w:t>
      </w:r>
      <w:r w:rsidR="00F85768">
        <w:rPr>
          <w:rFonts w:asciiTheme="majorHAnsi" w:hAnsiTheme="majorHAnsi" w:cs="Franklin Gothic Book"/>
          <w:color w:val="000000"/>
          <w:szCs w:val="22"/>
        </w:rPr>
        <w:t> </w:t>
      </w:r>
      <w:r w:rsidRPr="00A678A6">
        <w:rPr>
          <w:rFonts w:asciiTheme="majorHAnsi" w:hAnsiTheme="majorHAnsi" w:cs="Franklin Gothic Book"/>
          <w:color w:val="000000"/>
          <w:szCs w:val="22"/>
        </w:rPr>
        <w:t>zlepšenie</w:t>
      </w:r>
      <w:r w:rsidR="00F85768">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prístupu k vysoko kvalitnému a inkluzívnemu predškolskému a školskému vzdelávaniu marginalizovaných komunít, vrátane Rómov.</w:t>
      </w:r>
      <w:r w:rsidR="008E6E0A" w:rsidRPr="008E6E0A">
        <w:rPr>
          <w:rFonts w:asciiTheme="majorHAnsi" w:hAnsiTheme="majorHAnsi" w:cs="Franklin Gothic Book"/>
          <w:color w:val="000000"/>
          <w:szCs w:val="22"/>
        </w:rPr>
        <w:t xml:space="preserve"> Predprimárne vzdelávanie </w:t>
      </w:r>
      <w:r w:rsidR="00300859" w:rsidRPr="008E6E0A">
        <w:rPr>
          <w:rFonts w:asciiTheme="majorHAnsi" w:hAnsiTheme="majorHAnsi" w:cs="Franklin Gothic Book"/>
          <w:color w:val="000000"/>
          <w:szCs w:val="22"/>
        </w:rPr>
        <w:t xml:space="preserve">zároveň </w:t>
      </w:r>
      <w:r w:rsidR="008E6E0A" w:rsidRPr="008E6E0A">
        <w:rPr>
          <w:rFonts w:asciiTheme="majorHAnsi" w:hAnsiTheme="majorHAnsi" w:cs="Franklin Gothic Book"/>
          <w:color w:val="000000"/>
          <w:szCs w:val="22"/>
        </w:rPr>
        <w:t>predstavuje preventívny prvok pred nesprávnym zaraďovaním žiakov bez špeciálnych výchovno</w:t>
      </w:r>
      <w:r w:rsidR="00F85768">
        <w:rPr>
          <w:rFonts w:asciiTheme="majorHAnsi" w:hAnsiTheme="majorHAnsi" w:cs="Franklin Gothic Book"/>
          <w:color w:val="000000"/>
          <w:szCs w:val="22"/>
        </w:rPr>
        <w:t>-</w:t>
      </w:r>
      <w:r w:rsidR="008E6E0A" w:rsidRPr="008E6E0A">
        <w:rPr>
          <w:rFonts w:asciiTheme="majorHAnsi" w:hAnsiTheme="majorHAnsi" w:cs="Franklin Gothic Book"/>
          <w:color w:val="000000"/>
          <w:szCs w:val="22"/>
        </w:rPr>
        <w:t>vzdelávacích potrieb do špeciálnych škôl a</w:t>
      </w:r>
      <w:r w:rsidR="00F85768">
        <w:rPr>
          <w:rFonts w:asciiTheme="majorHAnsi" w:hAnsiTheme="majorHAnsi" w:cs="Franklin Gothic Book"/>
          <w:color w:val="000000"/>
          <w:szCs w:val="22"/>
        </w:rPr>
        <w:t> </w:t>
      </w:r>
      <w:r w:rsidR="008E6E0A" w:rsidRPr="008E6E0A">
        <w:rPr>
          <w:rFonts w:asciiTheme="majorHAnsi" w:hAnsiTheme="majorHAnsi" w:cs="Franklin Gothic Book"/>
          <w:color w:val="000000"/>
          <w:szCs w:val="22"/>
        </w:rPr>
        <w:t>tried</w:t>
      </w:r>
      <w:r w:rsidR="00F85768">
        <w:rPr>
          <w:rFonts w:asciiTheme="majorHAnsi" w:hAnsiTheme="majorHAnsi" w:cs="Franklin Gothic Book"/>
          <w:color w:val="000000"/>
          <w:szCs w:val="22"/>
        </w:rPr>
        <w:t>,</w:t>
      </w:r>
      <w:r w:rsidR="008E6E0A" w:rsidRPr="008E6E0A">
        <w:rPr>
          <w:rFonts w:asciiTheme="majorHAnsi" w:hAnsiTheme="majorHAnsi" w:cs="Franklin Gothic Book"/>
          <w:color w:val="000000"/>
          <w:szCs w:val="22"/>
        </w:rPr>
        <w:t xml:space="preserve"> </w:t>
      </w:r>
      <w:r w:rsidR="00300859">
        <w:rPr>
          <w:rFonts w:asciiTheme="majorHAnsi" w:hAnsiTheme="majorHAnsi" w:cs="Franklin Gothic Book"/>
          <w:color w:val="000000"/>
          <w:szCs w:val="22"/>
        </w:rPr>
        <w:t>pretože</w:t>
      </w:r>
      <w:r w:rsidR="008E6E0A" w:rsidRPr="008E6E0A">
        <w:rPr>
          <w:rFonts w:asciiTheme="majorHAnsi" w:hAnsiTheme="majorHAnsi" w:cs="Franklin Gothic Book"/>
          <w:color w:val="000000"/>
          <w:szCs w:val="22"/>
        </w:rPr>
        <w:t xml:space="preserve"> jednou z</w:t>
      </w:r>
      <w:r w:rsidR="00F85768">
        <w:rPr>
          <w:rFonts w:asciiTheme="majorHAnsi" w:hAnsiTheme="majorHAnsi" w:cs="Franklin Gothic Book"/>
          <w:color w:val="000000"/>
          <w:szCs w:val="22"/>
        </w:rPr>
        <w:t> </w:t>
      </w:r>
      <w:r w:rsidR="008E6E0A" w:rsidRPr="008E6E0A">
        <w:rPr>
          <w:rFonts w:asciiTheme="majorHAnsi" w:hAnsiTheme="majorHAnsi" w:cs="Franklin Gothic Book"/>
          <w:color w:val="000000"/>
          <w:szCs w:val="22"/>
        </w:rPr>
        <w:t>príčin umiestňovania detí bez mentálneho postihnutia do špeciálnych tried alebo špeciálnych škôl je pravdepodobne nedostatočná diagnostika už pri zápise do školy, nedostatočné ovládanie štátneho jazyka, ale aj nepoužívanie rómskeho jazyka pri testovaní</w:t>
      </w:r>
      <w:r w:rsidR="00300859">
        <w:rPr>
          <w:rFonts w:asciiTheme="majorHAnsi" w:hAnsiTheme="majorHAnsi" w:cs="Franklin Gothic Book"/>
          <w:color w:val="000000"/>
          <w:szCs w:val="22"/>
        </w:rPr>
        <w:t>,</w:t>
      </w:r>
      <w:r w:rsidR="008E6E0A" w:rsidRPr="008E6E0A">
        <w:rPr>
          <w:rFonts w:asciiTheme="majorHAnsi" w:hAnsiTheme="majorHAnsi" w:cs="Franklin Gothic Book"/>
          <w:color w:val="000000"/>
          <w:szCs w:val="22"/>
        </w:rPr>
        <w:t xml:space="preserve"> alebo iných odborných činnostiach v</w:t>
      </w:r>
      <w:r w:rsidR="00F85768">
        <w:rPr>
          <w:rFonts w:asciiTheme="majorHAnsi" w:hAnsiTheme="majorHAnsi" w:cs="Franklin Gothic Book"/>
          <w:color w:val="000000"/>
          <w:szCs w:val="22"/>
        </w:rPr>
        <w:t> </w:t>
      </w:r>
      <w:r w:rsidR="008E6E0A" w:rsidRPr="008E6E0A">
        <w:rPr>
          <w:rFonts w:asciiTheme="majorHAnsi" w:hAnsiTheme="majorHAnsi" w:cs="Franklin Gothic Book"/>
          <w:color w:val="000000"/>
          <w:szCs w:val="22"/>
        </w:rPr>
        <w:t>rámci</w:t>
      </w:r>
      <w:r w:rsidR="00F85768">
        <w:rPr>
          <w:rFonts w:asciiTheme="majorHAnsi" w:hAnsiTheme="majorHAnsi" w:cs="Franklin Gothic Book"/>
          <w:color w:val="000000"/>
          <w:szCs w:val="22"/>
        </w:rPr>
        <w:t xml:space="preserve"> </w:t>
      </w:r>
      <w:r w:rsidR="008E6E0A" w:rsidRPr="008E6E0A">
        <w:rPr>
          <w:rFonts w:asciiTheme="majorHAnsi" w:hAnsiTheme="majorHAnsi" w:cs="Franklin Gothic Book"/>
          <w:color w:val="000000"/>
          <w:szCs w:val="22"/>
        </w:rPr>
        <w:t>diagnostiky</w:t>
      </w:r>
      <w:r w:rsidR="008E6E0A" w:rsidRPr="008E6E0A">
        <w:rPr>
          <w:rFonts w:asciiTheme="majorHAnsi" w:hAnsiTheme="majorHAnsi" w:cs="Franklin Gothic Book"/>
          <w:color w:val="000000"/>
          <w:szCs w:val="22"/>
          <w:vertAlign w:val="superscript"/>
        </w:rPr>
        <w:footnoteReference w:id="281"/>
      </w:r>
      <w:r w:rsidR="008E6E0A" w:rsidRPr="008E6E0A">
        <w:rPr>
          <w:rFonts w:asciiTheme="majorHAnsi" w:hAnsiTheme="majorHAnsi" w:cs="Franklin Gothic Book"/>
          <w:color w:val="000000"/>
          <w:szCs w:val="22"/>
        </w:rPr>
        <w:t xml:space="preserve">. Zvýšením zaškolenosti detí pochádzajúcich najmä z MRK sa prispeje k zníženiu zaraďovania detí a žiakov do špeciálnych škôl a špeciálnych tried. </w:t>
      </w:r>
      <w:r w:rsidRPr="00A678A6">
        <w:rPr>
          <w:rFonts w:asciiTheme="majorHAnsi" w:hAnsiTheme="majorHAnsi" w:cs="Franklin Gothic Book"/>
          <w:color w:val="000000"/>
          <w:szCs w:val="22"/>
        </w:rPr>
        <w:t>Súbežne je potrebné realizovať opatrenia na zosúlaďovanie rodinného a pracovného života</w:t>
      </w:r>
      <w:r w:rsidR="008E6E0A" w:rsidRPr="008E6E0A">
        <w:rPr>
          <w:rFonts w:asciiTheme="majorHAnsi" w:hAnsiTheme="majorHAnsi" w:cs="Franklin Gothic Book"/>
          <w:color w:val="000000"/>
          <w:szCs w:val="22"/>
        </w:rPr>
        <w:t xml:space="preserve"> predovšetkým v oblasti služieb starostlivosti o dieťa do troch rokov veku</w:t>
      </w:r>
      <w:r w:rsidRPr="00A678A6">
        <w:rPr>
          <w:rFonts w:asciiTheme="majorHAnsi" w:hAnsiTheme="majorHAnsi" w:cs="Franklin Gothic Book"/>
          <w:color w:val="000000"/>
          <w:szCs w:val="22"/>
        </w:rPr>
        <w:t xml:space="preserve">. V súvislosti so </w:t>
      </w:r>
      <w:r w:rsidR="009E60ED">
        <w:rPr>
          <w:rFonts w:asciiTheme="majorHAnsi" w:hAnsiTheme="majorHAnsi" w:cs="Franklin Gothic Book"/>
          <w:color w:val="000000"/>
          <w:szCs w:val="22"/>
        </w:rPr>
        <w:t>s</w:t>
      </w:r>
      <w:r w:rsidR="009E60ED" w:rsidRPr="00A678A6">
        <w:rPr>
          <w:rFonts w:asciiTheme="majorHAnsi" w:hAnsiTheme="majorHAnsi" w:cs="Franklin Gothic Book"/>
          <w:color w:val="000000"/>
          <w:szCs w:val="22"/>
        </w:rPr>
        <w:t xml:space="preserve">tratégiou </w:t>
      </w:r>
      <w:r w:rsidRPr="00A678A6">
        <w:rPr>
          <w:rFonts w:asciiTheme="majorHAnsi" w:hAnsiTheme="majorHAnsi" w:cs="Franklin Gothic Book"/>
          <w:color w:val="000000"/>
          <w:szCs w:val="22"/>
        </w:rPr>
        <w:t>Európa 2020 a NPR je potrebné v oblasti sociálnej inklúzie a chudoby dosiahnuť cieľ zníženia miery populácie ohrozenej chudobou a sociálnym vylúčením na 17,2 % do roku 2020. Zároveň je potrebné zmeniť systém podpory v oblasti sociálnych služieb a iných opatrení v oblasti sociálnej inklúzie</w:t>
      </w:r>
      <w:r w:rsidRPr="00A678A6">
        <w:rPr>
          <w:rFonts w:asciiTheme="majorHAnsi" w:hAnsiTheme="majorHAnsi" w:cs="Franklin Gothic Book"/>
          <w:color w:val="000000"/>
          <w:szCs w:val="22"/>
          <w:vertAlign w:val="superscript"/>
        </w:rPr>
        <w:footnoteReference w:id="282"/>
      </w:r>
      <w:r w:rsidRPr="00A678A6">
        <w:rPr>
          <w:rFonts w:asciiTheme="majorHAnsi" w:hAnsiTheme="majorHAnsi" w:cs="Franklin Gothic Book"/>
          <w:color w:val="000000"/>
          <w:szCs w:val="22"/>
        </w:rPr>
        <w:t xml:space="preserve"> a zvýšiť dostupnosť bývania pre ohrozené skupiny</w:t>
      </w:r>
      <w:r w:rsidRPr="00A678A6">
        <w:rPr>
          <w:rFonts w:asciiTheme="majorHAnsi" w:hAnsiTheme="majorHAnsi" w:cs="Franklin Gothic Book"/>
          <w:color w:val="000000"/>
          <w:szCs w:val="22"/>
          <w:vertAlign w:val="superscript"/>
        </w:rPr>
        <w:footnoteReference w:id="283"/>
      </w:r>
      <w:r w:rsidRPr="00A678A6">
        <w:rPr>
          <w:rFonts w:asciiTheme="majorHAnsi" w:hAnsiTheme="majorHAnsi" w:cs="Franklin Gothic Book"/>
          <w:color w:val="000000"/>
          <w:szCs w:val="22"/>
        </w:rPr>
        <w:t>. V rámci boja proti chudobe a sociálnemu vylúčeniu si špecifickú pozornosť vyžaduje integrácia MRK</w:t>
      </w:r>
      <w:r w:rsidRPr="00A678A6">
        <w:rPr>
          <w:rFonts w:asciiTheme="majorHAnsi" w:hAnsiTheme="majorHAnsi" w:cs="Franklin Gothic Book"/>
          <w:color w:val="000000"/>
          <w:szCs w:val="22"/>
          <w:vertAlign w:val="superscript"/>
        </w:rPr>
        <w:footnoteReference w:id="284"/>
      </w:r>
      <w:r w:rsidRPr="00A678A6">
        <w:rPr>
          <w:rFonts w:asciiTheme="majorHAnsi" w:hAnsiTheme="majorHAnsi" w:cs="Franklin Gothic Book"/>
          <w:color w:val="000000"/>
          <w:szCs w:val="22"/>
        </w:rPr>
        <w:t>. Podporou komunitných centier pre zraniteľné skupiny je potrebné zlepšovať prístup k pracovným príležitostiam, podporovať komunitný rozvoj a komunitné služby.</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Subjekty sociálnej ekonomiky</w:t>
      </w:r>
      <w:r w:rsidRPr="00A678A6">
        <w:rPr>
          <w:rFonts w:asciiTheme="majorHAnsi" w:hAnsiTheme="majorHAnsi" w:cs="Franklin Gothic Book"/>
          <w:color w:val="000000"/>
          <w:szCs w:val="22"/>
          <w:vertAlign w:val="superscript"/>
        </w:rPr>
        <w:footnoteReference w:id="285"/>
      </w:r>
      <w:r w:rsidRPr="00A678A6">
        <w:rPr>
          <w:rFonts w:asciiTheme="majorHAnsi" w:hAnsiTheme="majorHAnsi" w:cs="Franklin Gothic Book"/>
          <w:color w:val="000000"/>
          <w:szCs w:val="22"/>
        </w:rPr>
        <w:t xml:space="preserve"> sa javia ako veľmi vhodný nástroj podpory zamestnanosti MRK. Ich hlavným účelom nie je tvoriť zisk, ale prinášať netrhové spoločenské prínosy, akou je napr. rast zamestnanosti uchádzačov zo znevýhodnených skupín, integrácia marginalizovaných jedincov a komunít do širšej spoločnosti, rozvoj zaostalejších regiónov atď. Vzhľadom na to, že subjekty sociálnej ekonomiky sú podnikateľské subjekty, ide o typ podpory sociálnych cieľov, ktorý nie je dlhodobo závislý od verejnej podpory. Aj napriek tomu, že takýto typ podnikov nevyvíja prednostne aktivity za účelom dosiahnutia zisku</w:t>
      </w:r>
      <w:r w:rsidR="009E60ED">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takáto podpora by mala priniesť viac než len jednorazové zlepšenie sociálnej situácie</w:t>
      </w:r>
      <w:r w:rsidR="000820FE">
        <w:rPr>
          <w:rFonts w:asciiTheme="majorHAnsi" w:hAnsiTheme="majorHAnsi" w:cs="Franklin Gothic Book"/>
          <w:color w:val="000000"/>
          <w:szCs w:val="22"/>
        </w:rPr>
        <w:t>.</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lastRenderedPageBreak/>
        <w:t>V rámci podpory osôb so zdravotným postihnutím je nevyhnutné vytvárať podmienky pre uplatňovanie rovnosti príležitostí, prijímania opatrení na prevenciu a prekonávanie rôznych foriem znevýhodnení a boja proti diskriminácii</w:t>
      </w:r>
      <w:r w:rsidRPr="00A678A6">
        <w:rPr>
          <w:rFonts w:asciiTheme="majorHAnsi" w:hAnsiTheme="majorHAnsi" w:cs="Franklin Gothic Book"/>
          <w:color w:val="000000"/>
          <w:szCs w:val="22"/>
          <w:vertAlign w:val="superscript"/>
        </w:rPr>
        <w:footnoteReference w:id="286"/>
      </w:r>
      <w:r w:rsidRPr="00A678A6">
        <w:rPr>
          <w:rFonts w:asciiTheme="majorHAnsi" w:hAnsiTheme="majorHAnsi" w:cs="Franklin Gothic Book"/>
          <w:color w:val="000000"/>
          <w:szCs w:val="22"/>
        </w:rPr>
        <w:t>. V oblasti zdravotnej starostlivosti a verejného zdravia je žiaduce integrovaním a zefektívnením zdravotných služieb zvýšiť prístup ku kvalitnej zdravotnej starostlivosti</w:t>
      </w:r>
      <w:r w:rsidR="00F85768">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vrátane preventívnej zdravotnej starostlivosti a zdravotníckej osvety</w:t>
      </w:r>
      <w:r w:rsidR="0034477A">
        <w:rPr>
          <w:rStyle w:val="Odkaznapoznmkupodiarou"/>
          <w:rFonts w:asciiTheme="majorHAnsi" w:hAnsiTheme="majorHAnsi"/>
          <w:color w:val="000000"/>
          <w:szCs w:val="22"/>
        </w:rPr>
        <w:footnoteReference w:id="287"/>
      </w:r>
      <w:r w:rsidR="00E72860">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 xml:space="preserve">Špecifické opatrenia vo forme komunitnej práce v oblasti zdravotnej výchovy sú potrebné najmä pre obyvateľov </w:t>
      </w:r>
      <w:r w:rsidR="009E60ED">
        <w:rPr>
          <w:rFonts w:asciiTheme="majorHAnsi" w:hAnsiTheme="majorHAnsi" w:cs="Franklin Gothic Book"/>
          <w:color w:val="000000"/>
          <w:szCs w:val="22"/>
        </w:rPr>
        <w:t>MRK</w:t>
      </w:r>
      <w:r w:rsidRPr="00A678A6">
        <w:rPr>
          <w:rFonts w:asciiTheme="majorHAnsi" w:hAnsiTheme="majorHAnsi" w:cs="Franklin Gothic Book"/>
          <w:color w:val="000000"/>
          <w:szCs w:val="22"/>
        </w:rPr>
        <w:t xml:space="preserve">. Úroveň kvality zdravia obyvateľov MRK v značnej miere podmieňujú aj hygienické štandardy. Prístup k pitnej </w:t>
      </w:r>
      <w:r w:rsidR="005A31D3">
        <w:rPr>
          <w:rFonts w:asciiTheme="majorHAnsi" w:hAnsiTheme="majorHAnsi" w:cs="Franklin Gothic Book"/>
          <w:color w:val="000000"/>
          <w:szCs w:val="22"/>
        </w:rPr>
        <w:t xml:space="preserve">a úžitkovej </w:t>
      </w:r>
      <w:r w:rsidRPr="00A678A6">
        <w:rPr>
          <w:rFonts w:asciiTheme="majorHAnsi" w:hAnsiTheme="majorHAnsi" w:cs="Franklin Gothic Book"/>
          <w:color w:val="000000"/>
          <w:szCs w:val="22"/>
        </w:rPr>
        <w:t>vode spoluvytvára podmienky pre plnohodnotnú participáciu obyvateľov MRK na živote spoločnosti.</w:t>
      </w:r>
    </w:p>
    <w:p w:rsidR="00DE524F" w:rsidRPr="00DE524F" w:rsidRDefault="00DE524F" w:rsidP="00A678A6">
      <w:pPr>
        <w:spacing w:after="0"/>
        <w:rPr>
          <w:rFonts w:asciiTheme="majorHAnsi" w:hAnsiTheme="majorHAnsi" w:cs="Calibri"/>
          <w:szCs w:val="22"/>
        </w:rPr>
      </w:pPr>
      <w:r w:rsidRPr="00DE524F">
        <w:rPr>
          <w:rFonts w:asciiTheme="majorHAnsi" w:hAnsiTheme="majorHAnsi" w:cs="Calibri"/>
          <w:szCs w:val="22"/>
        </w:rPr>
        <w:t>Za účelom zníženia miery ohrozenia sociálnym vylúčením pre osoby, ktorým sú poskytované sociálne služby alebo sú v</w:t>
      </w:r>
      <w:r w:rsidR="000820FE">
        <w:rPr>
          <w:rFonts w:asciiTheme="majorHAnsi" w:hAnsiTheme="majorHAnsi" w:cs="Calibri"/>
          <w:szCs w:val="22"/>
        </w:rPr>
        <w:t> </w:t>
      </w:r>
      <w:r w:rsidRPr="00DE524F">
        <w:rPr>
          <w:rFonts w:asciiTheme="majorHAnsi" w:hAnsiTheme="majorHAnsi" w:cs="Calibri"/>
          <w:szCs w:val="22"/>
        </w:rPr>
        <w:t>náhradnej starostlivosti, je potrebné postupne realizovať proces deinštitucionalizácie. Konečným výsledkom tohto procesu má byť poskytovanie sociálnych služieb a</w:t>
      </w:r>
      <w:r w:rsidR="00724449">
        <w:rPr>
          <w:rFonts w:asciiTheme="majorHAnsi" w:hAnsiTheme="majorHAnsi" w:cs="Calibri"/>
          <w:szCs w:val="22"/>
        </w:rPr>
        <w:t> </w:t>
      </w:r>
      <w:r w:rsidRPr="00DE524F">
        <w:rPr>
          <w:rFonts w:asciiTheme="majorHAnsi" w:hAnsiTheme="majorHAnsi" w:cs="Calibri"/>
          <w:szCs w:val="22"/>
        </w:rPr>
        <w:t>náhradnej starostlivosti v</w:t>
      </w:r>
      <w:r w:rsidR="00F85768">
        <w:rPr>
          <w:rFonts w:asciiTheme="majorHAnsi" w:hAnsiTheme="majorHAnsi" w:cs="Calibri"/>
          <w:szCs w:val="22"/>
        </w:rPr>
        <w:t> </w:t>
      </w:r>
      <w:r w:rsidRPr="00DE524F">
        <w:rPr>
          <w:rFonts w:asciiTheme="majorHAnsi" w:hAnsiTheme="majorHAnsi" w:cs="Calibri"/>
          <w:szCs w:val="22"/>
        </w:rPr>
        <w:t>komunite, čo umožní vyššiu mieru nezávislosti a</w:t>
      </w:r>
      <w:r w:rsidR="00724449">
        <w:rPr>
          <w:rFonts w:asciiTheme="majorHAnsi" w:hAnsiTheme="majorHAnsi" w:cs="Calibri"/>
          <w:szCs w:val="22"/>
        </w:rPr>
        <w:t> </w:t>
      </w:r>
      <w:r w:rsidRPr="00DE524F">
        <w:rPr>
          <w:rFonts w:asciiTheme="majorHAnsi" w:hAnsiTheme="majorHAnsi" w:cs="Calibri"/>
          <w:szCs w:val="22"/>
        </w:rPr>
        <w:t>rešpektovania ľudských práv osôb v</w:t>
      </w:r>
      <w:r w:rsidR="00724449">
        <w:rPr>
          <w:rFonts w:asciiTheme="majorHAnsi" w:hAnsiTheme="majorHAnsi" w:cs="Calibri"/>
          <w:szCs w:val="22"/>
        </w:rPr>
        <w:t> </w:t>
      </w:r>
      <w:r w:rsidRPr="00DE524F">
        <w:rPr>
          <w:rFonts w:asciiTheme="majorHAnsi" w:hAnsiTheme="majorHAnsi" w:cs="Calibri"/>
          <w:szCs w:val="22"/>
        </w:rPr>
        <w:t>sociálnych službách a</w:t>
      </w:r>
      <w:r w:rsidR="00724449">
        <w:rPr>
          <w:rFonts w:asciiTheme="majorHAnsi" w:hAnsiTheme="majorHAnsi" w:cs="Calibri"/>
          <w:szCs w:val="22"/>
        </w:rPr>
        <w:t> </w:t>
      </w:r>
      <w:r w:rsidRPr="00DE524F">
        <w:rPr>
          <w:rFonts w:asciiTheme="majorHAnsi" w:hAnsiTheme="majorHAnsi" w:cs="Calibri"/>
          <w:szCs w:val="22"/>
        </w:rPr>
        <w:t>náhradnej starostlivosti v</w:t>
      </w:r>
      <w:r w:rsidR="00724449">
        <w:rPr>
          <w:rFonts w:asciiTheme="majorHAnsi" w:hAnsiTheme="majorHAnsi" w:cs="Calibri"/>
          <w:szCs w:val="22"/>
        </w:rPr>
        <w:t> </w:t>
      </w:r>
      <w:r w:rsidRPr="00DE524F">
        <w:rPr>
          <w:rFonts w:asciiTheme="majorHAnsi" w:hAnsiTheme="majorHAnsi" w:cs="Calibri"/>
          <w:szCs w:val="22"/>
        </w:rPr>
        <w:t xml:space="preserve">porovnaní </w:t>
      </w:r>
      <w:r w:rsidR="009E60ED">
        <w:rPr>
          <w:rFonts w:asciiTheme="majorHAnsi" w:hAnsiTheme="majorHAnsi" w:cs="Calibri"/>
          <w:szCs w:val="22"/>
        </w:rPr>
        <w:t xml:space="preserve">s </w:t>
      </w:r>
      <w:r w:rsidRPr="00DE524F">
        <w:rPr>
          <w:rFonts w:asciiTheme="majorHAnsi" w:hAnsiTheme="majorHAnsi" w:cs="Calibri"/>
          <w:szCs w:val="22"/>
        </w:rPr>
        <w:t>inštitucionálnou formou.</w:t>
      </w:r>
    </w:p>
    <w:p w:rsidR="00A678A6" w:rsidRPr="00A678A6" w:rsidRDefault="00A678A6" w:rsidP="00A678A6">
      <w:pPr>
        <w:spacing w:after="0"/>
        <w:rPr>
          <w:rFonts w:asciiTheme="majorHAnsi" w:hAnsiTheme="majorHAnsi" w:cs="Franklin Gothic Book"/>
          <w:color w:val="000000"/>
          <w:szCs w:val="22"/>
        </w:rPr>
      </w:pPr>
      <w:r w:rsidRPr="00A678A6">
        <w:rPr>
          <w:rFonts w:asciiTheme="majorHAnsi" w:hAnsiTheme="majorHAnsi" w:cs="Franklin Gothic Book"/>
          <w:color w:val="000000"/>
          <w:szCs w:val="22"/>
        </w:rPr>
        <w:t>Miestny rozvoj zohráva dôležitú úlohu v posilňovaní konkurencieschopnosti regiónov. Využívanie endogénnych zdrojov riadených miestnou komunitou prinesie efekt v podobe zvýšenia kvality života a nárastu zamestnanosti. Prístup</w:t>
      </w:r>
      <w:r w:rsidR="008E055A">
        <w:rPr>
          <w:rFonts w:asciiTheme="majorHAnsi" w:hAnsiTheme="majorHAnsi" w:cs="Franklin Gothic Book"/>
          <w:color w:val="000000"/>
          <w:szCs w:val="22"/>
        </w:rPr>
        <w:t xml:space="preserve"> založený na metóde </w:t>
      </w:r>
      <w:r w:rsidRPr="00A678A6">
        <w:rPr>
          <w:rFonts w:asciiTheme="majorHAnsi" w:hAnsiTheme="majorHAnsi" w:cs="Franklin Gothic Book"/>
          <w:color w:val="000000"/>
          <w:szCs w:val="22"/>
        </w:rPr>
        <w:t xml:space="preserve">„zdola-nahor“ </w:t>
      </w:r>
      <w:r w:rsidR="00DE524F">
        <w:rPr>
          <w:rFonts w:asciiTheme="majorHAnsi" w:hAnsiTheme="majorHAnsi" w:cs="Franklin Gothic Book"/>
          <w:color w:val="000000"/>
          <w:szCs w:val="22"/>
        </w:rPr>
        <w:t>implementovaný prostredníctvom CLLD/</w:t>
      </w:r>
      <w:r w:rsidR="00724449">
        <w:rPr>
          <w:rFonts w:asciiTheme="majorHAnsi" w:hAnsiTheme="majorHAnsi" w:cs="Franklin Gothic Book"/>
          <w:color w:val="000000"/>
          <w:szCs w:val="22"/>
        </w:rPr>
        <w:t>i</w:t>
      </w:r>
      <w:r w:rsidR="00DE524F">
        <w:rPr>
          <w:rFonts w:asciiTheme="majorHAnsi" w:hAnsiTheme="majorHAnsi" w:cs="Franklin Gothic Book"/>
          <w:color w:val="000000"/>
          <w:szCs w:val="22"/>
        </w:rPr>
        <w:t xml:space="preserve">niciatíva </w:t>
      </w:r>
      <w:r w:rsidR="000820FE">
        <w:rPr>
          <w:rFonts w:asciiTheme="majorHAnsi" w:hAnsiTheme="majorHAnsi" w:cs="Franklin Gothic Book"/>
          <w:color w:val="000000"/>
          <w:szCs w:val="22"/>
        </w:rPr>
        <w:t xml:space="preserve">LEADER </w:t>
      </w:r>
      <w:r w:rsidRPr="00A678A6">
        <w:rPr>
          <w:rFonts w:asciiTheme="majorHAnsi" w:hAnsiTheme="majorHAnsi" w:cs="Franklin Gothic Book"/>
          <w:color w:val="000000"/>
          <w:szCs w:val="22"/>
        </w:rPr>
        <w:t>umožní presadiť vlastné riešenia problémov vidieckych oblastí, ktoré v plnej miere využívajú miestny rozvojový potenciál, sú realizované miestnymi obyvateľmi a sú dlhodobo udržateľné.</w:t>
      </w:r>
    </w:p>
    <w:p w:rsidR="00A678A6" w:rsidRDefault="00A678A6" w:rsidP="003F0750">
      <w:pPr>
        <w:spacing w:before="0" w:after="0"/>
        <w:rPr>
          <w:rFonts w:asciiTheme="majorHAnsi" w:hAnsiTheme="majorHAnsi" w:cs="Franklin Gothic Book"/>
          <w:color w:val="000000"/>
          <w:szCs w:val="22"/>
        </w:rPr>
      </w:pPr>
      <w:r w:rsidRPr="00A678A6">
        <w:rPr>
          <w:rFonts w:asciiTheme="majorHAnsi" w:hAnsiTheme="majorHAnsi" w:cs="Franklin Gothic Book"/>
          <w:color w:val="000000"/>
          <w:szCs w:val="22"/>
        </w:rPr>
        <w:t>Zvyšovanie kvality života na vidieku bude tiež zabezpečované prostredníctvom vytvárania podmienok pre rozvoj miestnych základných služieb pre obyvateľov s dôrazom na posilňovanie kultúrnej identity, sociálneho kapitálu a ochrany prírodného dedičstva. Investície do miestnej infraštruktúry</w:t>
      </w:r>
      <w:r w:rsidR="00F85768">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vrátane infraštruktúry a propagácie cestovného ruchu zvýšia atraktivitu vidieka a zabezpečia dostupnosť územia s pozitívnym dosahom na zlepšovanie podnikateľského prostredia. Spolu s investíciami do využívania </w:t>
      </w:r>
      <w:r w:rsidR="00F85768">
        <w:rPr>
          <w:rFonts w:asciiTheme="majorHAnsi" w:hAnsiTheme="majorHAnsi" w:cs="Franklin Gothic Book"/>
          <w:color w:val="000000"/>
          <w:szCs w:val="22"/>
        </w:rPr>
        <w:t>OZE</w:t>
      </w:r>
      <w:r w:rsidRPr="00A678A6">
        <w:rPr>
          <w:rFonts w:asciiTheme="majorHAnsi" w:hAnsiTheme="majorHAnsi" w:cs="Franklin Gothic Book"/>
          <w:color w:val="000000"/>
          <w:szCs w:val="22"/>
        </w:rPr>
        <w:t xml:space="preserve"> budú zároveň prispievať k napĺňaniu programových cieľov v oblasti životného prostredia.</w:t>
      </w:r>
    </w:p>
    <w:p w:rsidR="007B7E75" w:rsidRDefault="007B7E75" w:rsidP="003F0750">
      <w:pPr>
        <w:spacing w:before="0" w:after="0"/>
        <w:rPr>
          <w:rFonts w:asciiTheme="majorHAnsi" w:hAnsiTheme="majorHAnsi" w:cs="Franklin Gothic Book"/>
          <w:color w:val="000000"/>
          <w:szCs w:val="22"/>
        </w:rPr>
      </w:pPr>
      <w:r w:rsidRPr="007B7E75">
        <w:rPr>
          <w:rFonts w:asciiTheme="majorHAnsi" w:hAnsiTheme="majorHAnsi" w:cs="Franklin Gothic Book"/>
          <w:color w:val="000000"/>
          <w:szCs w:val="22"/>
        </w:rPr>
        <w:t>Komplementárnym spôsobom bude prispievať k implementáci</w:t>
      </w:r>
      <w:r w:rsidR="009E60ED">
        <w:rPr>
          <w:rFonts w:asciiTheme="majorHAnsi" w:hAnsiTheme="majorHAnsi" w:cs="Franklin Gothic Book"/>
          <w:color w:val="000000"/>
          <w:szCs w:val="22"/>
        </w:rPr>
        <w:t xml:space="preserve">i </w:t>
      </w:r>
      <w:r w:rsidRPr="007B7E75">
        <w:rPr>
          <w:rFonts w:asciiTheme="majorHAnsi" w:hAnsiTheme="majorHAnsi" w:cs="Franklin Gothic Book"/>
          <w:color w:val="000000"/>
          <w:szCs w:val="22"/>
        </w:rPr>
        <w:t>stratégie RIS3.</w:t>
      </w:r>
    </w:p>
    <w:p w:rsidR="000F08AE" w:rsidRPr="007B7E75" w:rsidRDefault="009509E7" w:rsidP="0064605C">
      <w:pPr>
        <w:spacing w:after="0"/>
        <w:rPr>
          <w:rFonts w:asciiTheme="majorHAnsi" w:hAnsiTheme="majorHAnsi" w:cs="Franklin Gothic Book"/>
          <w:color w:val="000000"/>
          <w:szCs w:val="22"/>
        </w:rPr>
      </w:pPr>
      <w:r w:rsidRPr="009509E7">
        <w:rPr>
          <w:rFonts w:asciiTheme="majorHAnsi" w:hAnsiTheme="majorHAnsi" w:cs="Franklin Gothic Book"/>
          <w:color w:val="000000"/>
          <w:szCs w:val="22"/>
        </w:rPr>
        <w:t>Pokiaľ ide o</w:t>
      </w:r>
      <w:r w:rsidR="00F85768">
        <w:rPr>
          <w:rFonts w:asciiTheme="majorHAnsi" w:hAnsiTheme="majorHAnsi" w:cs="Franklin Gothic Book"/>
          <w:color w:val="000000"/>
          <w:szCs w:val="22"/>
        </w:rPr>
        <w:t> </w:t>
      </w:r>
      <w:r w:rsidRPr="009509E7">
        <w:rPr>
          <w:rFonts w:asciiTheme="majorHAnsi" w:hAnsiTheme="majorHAnsi" w:cs="Franklin Gothic Book"/>
          <w:color w:val="000000"/>
          <w:szCs w:val="22"/>
        </w:rPr>
        <w:t>investície do miestnych komunikácii financovaných z</w:t>
      </w:r>
      <w:r w:rsidR="00F85768">
        <w:rPr>
          <w:rFonts w:asciiTheme="majorHAnsi" w:hAnsiTheme="majorHAnsi" w:cs="Franklin Gothic Book"/>
          <w:color w:val="000000"/>
          <w:szCs w:val="22"/>
        </w:rPr>
        <w:t> </w:t>
      </w:r>
      <w:r w:rsidRPr="009509E7">
        <w:rPr>
          <w:rFonts w:asciiTheme="majorHAnsi" w:hAnsiTheme="majorHAnsi" w:cs="Franklin Gothic Book"/>
          <w:color w:val="000000"/>
          <w:szCs w:val="22"/>
        </w:rPr>
        <w:t>EPFRV, tie budú umožnené len v</w:t>
      </w:r>
      <w:r w:rsidR="00F85768">
        <w:rPr>
          <w:rFonts w:asciiTheme="majorHAnsi" w:hAnsiTheme="majorHAnsi" w:cs="Franklin Gothic Book"/>
          <w:color w:val="000000"/>
          <w:szCs w:val="22"/>
        </w:rPr>
        <w:t> </w:t>
      </w:r>
      <w:r w:rsidRPr="009509E7">
        <w:rPr>
          <w:rFonts w:asciiTheme="majorHAnsi" w:hAnsiTheme="majorHAnsi" w:cs="Franklin Gothic Book"/>
          <w:color w:val="000000"/>
          <w:szCs w:val="22"/>
        </w:rPr>
        <w:t>malom rozsahu a</w:t>
      </w:r>
      <w:r w:rsidR="00F85768">
        <w:rPr>
          <w:rFonts w:asciiTheme="majorHAnsi" w:hAnsiTheme="majorHAnsi" w:cs="Franklin Gothic Book"/>
          <w:color w:val="000000"/>
          <w:szCs w:val="22"/>
        </w:rPr>
        <w:t> </w:t>
      </w:r>
      <w:r w:rsidRPr="009509E7">
        <w:rPr>
          <w:rFonts w:asciiTheme="majorHAnsi" w:hAnsiTheme="majorHAnsi" w:cs="Franklin Gothic Book"/>
          <w:color w:val="000000"/>
          <w:szCs w:val="22"/>
        </w:rPr>
        <w:t>za predpokladu, že prispievajú k</w:t>
      </w:r>
      <w:r w:rsidR="00F85768">
        <w:rPr>
          <w:rFonts w:asciiTheme="majorHAnsi" w:hAnsiTheme="majorHAnsi" w:cs="Franklin Gothic Book"/>
          <w:color w:val="000000"/>
          <w:szCs w:val="22"/>
        </w:rPr>
        <w:t> </w:t>
      </w:r>
      <w:r w:rsidRPr="009509E7">
        <w:rPr>
          <w:rFonts w:asciiTheme="majorHAnsi" w:hAnsiTheme="majorHAnsi" w:cs="Franklin Gothic Book"/>
          <w:color w:val="000000"/>
          <w:szCs w:val="22"/>
        </w:rPr>
        <w:t>oživeniu znevýhodnenej vidieckej oblasti, kde sa prostredníctvom ich realizácie môže zlepšiť prepojenie medzi vidieckymi oblasťami a</w:t>
      </w:r>
      <w:r w:rsidR="00F85768">
        <w:rPr>
          <w:rFonts w:asciiTheme="majorHAnsi" w:hAnsiTheme="majorHAnsi" w:cs="Franklin Gothic Book"/>
          <w:color w:val="000000"/>
          <w:szCs w:val="22"/>
        </w:rPr>
        <w:t> </w:t>
      </w:r>
      <w:r w:rsidRPr="009509E7">
        <w:rPr>
          <w:rFonts w:asciiTheme="majorHAnsi" w:hAnsiTheme="majorHAnsi" w:cs="Franklin Gothic Book"/>
          <w:color w:val="000000"/>
          <w:szCs w:val="22"/>
        </w:rPr>
        <w:t>širšou</w:t>
      </w:r>
      <w:r w:rsidR="00F85768">
        <w:rPr>
          <w:rFonts w:asciiTheme="majorHAnsi" w:hAnsiTheme="majorHAnsi" w:cs="Franklin Gothic Book"/>
          <w:color w:val="000000"/>
          <w:szCs w:val="22"/>
        </w:rPr>
        <w:t xml:space="preserve"> </w:t>
      </w:r>
      <w:r w:rsidRPr="009509E7">
        <w:rPr>
          <w:rFonts w:asciiTheme="majorHAnsi" w:hAnsiTheme="majorHAnsi" w:cs="Franklin Gothic Book"/>
          <w:color w:val="000000"/>
          <w:szCs w:val="22"/>
        </w:rPr>
        <w:t>dopravnou sieťou</w:t>
      </w:r>
      <w:r w:rsidR="000F08AE">
        <w:rPr>
          <w:rFonts w:asciiTheme="majorHAnsi" w:hAnsiTheme="majorHAnsi" w:cs="Franklin Gothic Book"/>
          <w:color w:val="000000"/>
          <w:szCs w:val="22"/>
        </w:rPr>
        <w:t xml:space="preserve"> a</w:t>
      </w:r>
      <w:r w:rsidR="00F85768">
        <w:rPr>
          <w:rFonts w:asciiTheme="majorHAnsi" w:hAnsiTheme="majorHAnsi" w:cs="Franklin Gothic Book"/>
          <w:color w:val="000000"/>
          <w:szCs w:val="22"/>
        </w:rPr>
        <w:t> </w:t>
      </w:r>
      <w:r w:rsidR="000F08AE">
        <w:rPr>
          <w:rFonts w:asciiTheme="majorHAnsi" w:hAnsiTheme="majorHAnsi" w:cs="Franklin Gothic Book"/>
          <w:color w:val="000000"/>
          <w:szCs w:val="22"/>
        </w:rPr>
        <w:t xml:space="preserve">projekt bude odôvodnený jeho príspevkom </w:t>
      </w:r>
      <w:r w:rsidR="000F08AE" w:rsidRPr="009509E7">
        <w:rPr>
          <w:rFonts w:asciiTheme="majorHAnsi" w:hAnsiTheme="majorHAnsi" w:cs="Franklin Gothic Book"/>
          <w:color w:val="000000"/>
          <w:szCs w:val="22"/>
        </w:rPr>
        <w:t>k</w:t>
      </w:r>
      <w:r w:rsidR="00F85768">
        <w:rPr>
          <w:rFonts w:asciiTheme="majorHAnsi" w:hAnsiTheme="majorHAnsi" w:cs="Franklin Gothic Book"/>
          <w:color w:val="000000"/>
          <w:szCs w:val="22"/>
        </w:rPr>
        <w:t> </w:t>
      </w:r>
      <w:r w:rsidR="000F08AE" w:rsidRPr="009509E7">
        <w:rPr>
          <w:rFonts w:asciiTheme="majorHAnsi" w:hAnsiTheme="majorHAnsi" w:cs="Franklin Gothic Book"/>
          <w:color w:val="000000"/>
          <w:szCs w:val="22"/>
        </w:rPr>
        <w:t>miestnemu ekonomickému rozvoju</w:t>
      </w:r>
      <w:r w:rsidR="000F08AE">
        <w:rPr>
          <w:rFonts w:asciiTheme="majorHAnsi" w:hAnsiTheme="majorHAnsi" w:cs="Franklin Gothic Book"/>
          <w:color w:val="000000"/>
          <w:szCs w:val="22"/>
        </w:rPr>
        <w:t>.</w:t>
      </w:r>
      <w:r w:rsidR="000F08AE" w:rsidRPr="009509E7">
        <w:rPr>
          <w:rFonts w:asciiTheme="majorHAnsi" w:hAnsiTheme="majorHAnsi" w:cs="Franklin Gothic Book"/>
          <w:color w:val="000000"/>
          <w:szCs w:val="22"/>
        </w:rPr>
        <w:t xml:space="preserve"> Tieto investície </w:t>
      </w:r>
      <w:r w:rsidR="000F08AE">
        <w:rPr>
          <w:rFonts w:asciiTheme="majorHAnsi" w:hAnsiTheme="majorHAnsi" w:cs="Franklin Gothic Book"/>
          <w:color w:val="000000"/>
          <w:szCs w:val="22"/>
        </w:rPr>
        <w:t>môžu byť</w:t>
      </w:r>
      <w:r w:rsidR="000F08AE" w:rsidRPr="009509E7">
        <w:rPr>
          <w:rFonts w:asciiTheme="majorHAnsi" w:hAnsiTheme="majorHAnsi" w:cs="Franklin Gothic Book"/>
          <w:color w:val="000000"/>
          <w:szCs w:val="22"/>
        </w:rPr>
        <w:t xml:space="preserve"> podporené</w:t>
      </w:r>
      <w:r w:rsidR="000F08AE">
        <w:rPr>
          <w:rFonts w:asciiTheme="majorHAnsi" w:hAnsiTheme="majorHAnsi" w:cs="Franklin Gothic Book"/>
          <w:color w:val="000000"/>
          <w:szCs w:val="22"/>
        </w:rPr>
        <w:t xml:space="preserve"> iba</w:t>
      </w:r>
      <w:r w:rsidR="000F08AE" w:rsidRPr="009509E7">
        <w:rPr>
          <w:rFonts w:asciiTheme="majorHAnsi" w:hAnsiTheme="majorHAnsi" w:cs="Franklin Gothic Book"/>
          <w:color w:val="000000"/>
          <w:szCs w:val="22"/>
        </w:rPr>
        <w:t xml:space="preserve"> v prípade, že sú </w:t>
      </w:r>
      <w:r w:rsidR="00F85768">
        <w:rPr>
          <w:rFonts w:asciiTheme="majorHAnsi" w:hAnsiTheme="majorHAnsi" w:cs="Franklin Gothic Book"/>
          <w:color w:val="000000"/>
          <w:szCs w:val="22"/>
        </w:rPr>
        <w:t>v </w:t>
      </w:r>
      <w:r w:rsidR="000F08AE" w:rsidRPr="009509E7">
        <w:rPr>
          <w:rFonts w:asciiTheme="majorHAnsi" w:hAnsiTheme="majorHAnsi" w:cs="Franklin Gothic Book"/>
          <w:color w:val="000000"/>
          <w:szCs w:val="22"/>
        </w:rPr>
        <w:t>súlade s</w:t>
      </w:r>
      <w:r w:rsidR="00F85768">
        <w:rPr>
          <w:rFonts w:asciiTheme="majorHAnsi" w:hAnsiTheme="majorHAnsi" w:cs="Franklin Gothic Book"/>
          <w:color w:val="000000"/>
          <w:szCs w:val="22"/>
        </w:rPr>
        <w:t> </w:t>
      </w:r>
      <w:r w:rsidR="000F08AE" w:rsidRPr="009509E7">
        <w:rPr>
          <w:rFonts w:asciiTheme="majorHAnsi" w:hAnsiTheme="majorHAnsi" w:cs="Franklin Gothic Book"/>
          <w:color w:val="000000"/>
          <w:szCs w:val="22"/>
        </w:rPr>
        <w:t>rozvojovým plánom obce</w:t>
      </w:r>
      <w:r w:rsidR="000F08AE">
        <w:rPr>
          <w:rFonts w:asciiTheme="majorHAnsi" w:hAnsiTheme="majorHAnsi" w:cs="Franklin Gothic Book"/>
          <w:color w:val="000000"/>
          <w:szCs w:val="22"/>
        </w:rPr>
        <w:t xml:space="preserve"> alebo združenia obcí.</w:t>
      </w:r>
    </w:p>
    <w:p w:rsidR="00A678A6" w:rsidRPr="00A678A6" w:rsidRDefault="00A678A6" w:rsidP="000F08AE">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64605C">
      <w:pPr>
        <w:spacing w:after="0"/>
        <w:jc w:val="left"/>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ESF</w:t>
      </w:r>
    </w:p>
    <w:p w:rsidR="00A678A6" w:rsidRPr="00302664" w:rsidRDefault="005C7547" w:rsidP="00302664">
      <w:pPr>
        <w:numPr>
          <w:ilvl w:val="0"/>
          <w:numId w:val="14"/>
        </w:numPr>
        <w:spacing w:before="0" w:after="0"/>
        <w:contextualSpacing/>
        <w:rPr>
          <w:rFonts w:asciiTheme="majorHAnsi" w:hAnsiTheme="majorHAnsi" w:cs="Franklin Gothic Book"/>
          <w:szCs w:val="22"/>
        </w:rPr>
      </w:pPr>
      <w:r w:rsidRPr="00302664">
        <w:rPr>
          <w:rFonts w:asciiTheme="majorHAnsi" w:hAnsiTheme="majorHAnsi" w:cs="Franklin Gothic Book"/>
        </w:rPr>
        <w:t>z</w:t>
      </w:r>
      <w:r w:rsidR="008E6E0A" w:rsidRPr="00302664">
        <w:rPr>
          <w:rFonts w:asciiTheme="majorHAnsi" w:hAnsiTheme="majorHAnsi" w:cs="Franklin Gothic Book"/>
        </w:rPr>
        <w:t>výš</w:t>
      </w:r>
      <w:r w:rsidR="00F83482" w:rsidRPr="00302664">
        <w:rPr>
          <w:rFonts w:asciiTheme="majorHAnsi" w:hAnsiTheme="majorHAnsi" w:cs="Franklin Gothic Book"/>
        </w:rPr>
        <w:t xml:space="preserve">enie uplatniteľnosti ľudí </w:t>
      </w:r>
      <w:r w:rsidR="008E6E0A" w:rsidRPr="00302664">
        <w:rPr>
          <w:rFonts w:asciiTheme="majorHAnsi" w:hAnsiTheme="majorHAnsi" w:cs="Franklin Gothic Book"/>
        </w:rPr>
        <w:t>ohrozených chudobou alebo sociálnym vylúčením na trhu práce</w:t>
      </w:r>
      <w:r w:rsidR="008E6E0A" w:rsidRPr="00302664">
        <w:rPr>
          <w:rFonts w:asciiTheme="majorHAnsi" w:hAnsiTheme="majorHAnsi" w:cs="Franklin Gothic Book"/>
          <w:szCs w:val="22"/>
        </w:rPr>
        <w:t>;</w:t>
      </w:r>
    </w:p>
    <w:p w:rsidR="00A678A6" w:rsidRPr="00832815" w:rsidRDefault="00F83482" w:rsidP="00302664">
      <w:pPr>
        <w:numPr>
          <w:ilvl w:val="0"/>
          <w:numId w:val="14"/>
        </w:numPr>
        <w:spacing w:before="0" w:after="0"/>
        <w:contextualSpacing/>
        <w:rPr>
          <w:rFonts w:asciiTheme="majorHAnsi" w:hAnsiTheme="majorHAnsi" w:cs="Franklin Gothic Book"/>
          <w:b/>
          <w:szCs w:val="22"/>
        </w:rPr>
      </w:pPr>
      <w:r w:rsidRPr="00832815">
        <w:rPr>
          <w:rFonts w:asciiTheme="majorHAnsi" w:hAnsiTheme="majorHAnsi" w:cs="Franklin Gothic Book"/>
          <w:szCs w:val="22"/>
        </w:rPr>
        <w:t>zvýšené poskytovanie komunitnej sociálnej starostlivosti prechodom z </w:t>
      </w:r>
      <w:r w:rsidR="00A678A6" w:rsidRPr="00832815">
        <w:rPr>
          <w:rFonts w:asciiTheme="majorHAnsi" w:hAnsiTheme="majorHAnsi" w:cs="Franklin Gothic Book"/>
          <w:szCs w:val="22"/>
        </w:rPr>
        <w:t>inštitucionálnej na komunitnú</w:t>
      </w:r>
      <w:r w:rsidRPr="00832815">
        <w:rPr>
          <w:rFonts w:asciiTheme="majorHAnsi" w:hAnsiTheme="majorHAnsi" w:cs="Franklin Gothic Book"/>
          <w:szCs w:val="22"/>
        </w:rPr>
        <w:t xml:space="preserve"> úroveň</w:t>
      </w:r>
      <w:r w:rsidR="00A678A6" w:rsidRPr="00832815">
        <w:rPr>
          <w:rFonts w:asciiTheme="majorHAnsi" w:hAnsiTheme="majorHAnsi" w:cs="Franklin Gothic Book"/>
          <w:szCs w:val="22"/>
        </w:rPr>
        <w:t>;</w:t>
      </w:r>
    </w:p>
    <w:p w:rsidR="00A678A6" w:rsidRPr="00302664" w:rsidRDefault="00F83482" w:rsidP="00302664">
      <w:pPr>
        <w:numPr>
          <w:ilvl w:val="0"/>
          <w:numId w:val="14"/>
        </w:numPr>
        <w:spacing w:before="0" w:after="0"/>
        <w:contextualSpacing/>
        <w:rPr>
          <w:rFonts w:asciiTheme="majorHAnsi" w:hAnsiTheme="majorHAnsi" w:cs="Franklin Gothic Book"/>
          <w:szCs w:val="22"/>
        </w:rPr>
      </w:pPr>
      <w:r w:rsidRPr="00302664">
        <w:rPr>
          <w:rFonts w:asciiTheme="majorHAnsi" w:hAnsiTheme="majorHAnsi" w:cs="Franklin Gothic Book"/>
          <w:szCs w:val="22"/>
        </w:rPr>
        <w:t>zlepšenie prístupu detí zo sociá</w:t>
      </w:r>
      <w:r w:rsidR="00E90017" w:rsidRPr="00302664">
        <w:rPr>
          <w:rFonts w:asciiTheme="majorHAnsi" w:hAnsiTheme="majorHAnsi" w:cs="Franklin Gothic Book"/>
          <w:szCs w:val="22"/>
        </w:rPr>
        <w:t>l</w:t>
      </w:r>
      <w:r w:rsidRPr="00302664">
        <w:rPr>
          <w:rFonts w:asciiTheme="majorHAnsi" w:hAnsiTheme="majorHAnsi" w:cs="Franklin Gothic Book"/>
          <w:szCs w:val="22"/>
        </w:rPr>
        <w:t>ne znevýhodneného prostredia ku kvalitnému a desegregovanému vzdelávaniu</w:t>
      </w:r>
      <w:r w:rsidR="00A678A6" w:rsidRPr="00302664">
        <w:rPr>
          <w:rFonts w:asciiTheme="majorHAnsi" w:hAnsiTheme="majorHAnsi" w:cs="Franklin Gothic Book"/>
          <w:szCs w:val="22"/>
        </w:rPr>
        <w:t>;</w:t>
      </w:r>
    </w:p>
    <w:p w:rsidR="00A678A6" w:rsidRPr="00832815" w:rsidRDefault="00F83482" w:rsidP="00302664">
      <w:pPr>
        <w:numPr>
          <w:ilvl w:val="0"/>
          <w:numId w:val="14"/>
        </w:numPr>
        <w:spacing w:before="0" w:after="0"/>
        <w:contextualSpacing/>
        <w:rPr>
          <w:rFonts w:asciiTheme="majorHAnsi" w:hAnsiTheme="majorHAnsi" w:cs="Franklin Gothic Book"/>
          <w:szCs w:val="22"/>
        </w:rPr>
      </w:pPr>
      <w:r w:rsidRPr="00832815">
        <w:rPr>
          <w:rFonts w:asciiTheme="majorHAnsi" w:hAnsiTheme="majorHAnsi" w:cs="Franklin Gothic Book"/>
          <w:szCs w:val="22"/>
        </w:rPr>
        <w:t>lepšie uplatnenie na trhu práce znevýhodnených nezamestnaných zlepšením prístupu k bývaniu</w:t>
      </w:r>
      <w:r w:rsidR="008E6E0A" w:rsidRPr="00832815">
        <w:rPr>
          <w:rFonts w:asciiTheme="majorHAnsi" w:hAnsiTheme="majorHAnsi" w:cs="Franklin Gothic Book"/>
          <w:szCs w:val="22"/>
        </w:rPr>
        <w:t>;</w:t>
      </w:r>
    </w:p>
    <w:p w:rsidR="00C01F5D" w:rsidRPr="00302664" w:rsidRDefault="00F83482" w:rsidP="00302664">
      <w:pPr>
        <w:numPr>
          <w:ilvl w:val="0"/>
          <w:numId w:val="14"/>
        </w:numPr>
        <w:spacing w:before="0" w:after="0"/>
        <w:contextualSpacing/>
        <w:rPr>
          <w:rFonts w:asciiTheme="majorHAnsi" w:hAnsiTheme="majorHAnsi" w:cs="Franklin Gothic Book"/>
          <w:szCs w:val="22"/>
        </w:rPr>
      </w:pPr>
      <w:r w:rsidRPr="00302664">
        <w:rPr>
          <w:rFonts w:asciiTheme="majorHAnsi" w:hAnsiTheme="majorHAnsi" w:cs="Franklin Gothic Book"/>
          <w:szCs w:val="22"/>
        </w:rPr>
        <w:t>zvýšená miera informovanosti o diskriminácii a možnosti účinnej ochrany</w:t>
      </w:r>
      <w:r w:rsidR="00C01F5D" w:rsidRPr="00302664">
        <w:rPr>
          <w:rFonts w:asciiTheme="majorHAnsi" w:hAnsiTheme="majorHAnsi" w:cs="Franklin Gothic Book"/>
          <w:szCs w:val="22"/>
        </w:rPr>
        <w:t>;</w:t>
      </w:r>
    </w:p>
    <w:p w:rsidR="00A678A6" w:rsidRPr="00A678A6" w:rsidRDefault="00A678A6" w:rsidP="00302664">
      <w:pPr>
        <w:numPr>
          <w:ilvl w:val="0"/>
          <w:numId w:val="14"/>
        </w:numPr>
        <w:spacing w:before="0" w:after="0"/>
        <w:contextualSpacing/>
        <w:rPr>
          <w:rFonts w:asciiTheme="majorHAnsi" w:hAnsiTheme="majorHAnsi" w:cs="Franklin Gothic Book"/>
          <w:b/>
          <w:color w:val="000000"/>
          <w:szCs w:val="22"/>
        </w:rPr>
      </w:pPr>
      <w:r w:rsidRPr="002C0304">
        <w:rPr>
          <w:rFonts w:asciiTheme="majorHAnsi" w:hAnsiTheme="majorHAnsi" w:cs="Franklin Gothic Book"/>
          <w:szCs w:val="22"/>
        </w:rPr>
        <w:lastRenderedPageBreak/>
        <w:t xml:space="preserve">zvýšenie prístupu marginalizovaných skupín k zdravotnej starostlivosti a verejnému zdraviu vrátane </w:t>
      </w:r>
      <w:r w:rsidRPr="00A678A6">
        <w:rPr>
          <w:rFonts w:asciiTheme="majorHAnsi" w:hAnsiTheme="majorHAnsi" w:cs="Franklin Gothic Book"/>
          <w:color w:val="000000"/>
          <w:szCs w:val="22"/>
        </w:rPr>
        <w:t>preventívnej zdravotnej starostlivosti a zdravotníckej osvety prostredníctvom rozšírenia siete komunitných pracovníkov v oblasti zdravotnej výchovy;</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zvýšenie prístupu ku kvalitnej zdravotnej starostlivosti </w:t>
      </w:r>
      <w:r w:rsidR="00F43739">
        <w:rPr>
          <w:rFonts w:asciiTheme="majorHAnsi" w:hAnsiTheme="majorHAnsi" w:cs="Franklin Gothic Book"/>
          <w:color w:val="000000"/>
          <w:szCs w:val="22"/>
        </w:rPr>
        <w:t xml:space="preserve">a preventívnej zdravotnej starostlivosti </w:t>
      </w:r>
      <w:r w:rsidRPr="00A678A6">
        <w:rPr>
          <w:rFonts w:asciiTheme="majorHAnsi" w:hAnsiTheme="majorHAnsi" w:cs="Franklin Gothic Book"/>
          <w:color w:val="000000"/>
          <w:szCs w:val="22"/>
        </w:rPr>
        <w:t>s dôrazom na primárny kontakt a integrovanie zdravotníckych služieb.</w:t>
      </w:r>
    </w:p>
    <w:p w:rsidR="00A678A6" w:rsidRPr="00A678A6" w:rsidRDefault="00A678A6" w:rsidP="00A678A6">
      <w:pPr>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EFRR</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prístupu k starostlivosti v</w:t>
      </w:r>
      <w:r w:rsidR="0034477A">
        <w:rPr>
          <w:rFonts w:asciiTheme="majorHAnsi" w:hAnsiTheme="majorHAnsi" w:cs="Franklin Gothic Book"/>
          <w:color w:val="000000"/>
          <w:szCs w:val="22"/>
        </w:rPr>
        <w:t> </w:t>
      </w:r>
      <w:r w:rsidR="000820FE">
        <w:rPr>
          <w:rFonts w:asciiTheme="majorHAnsi" w:hAnsiTheme="majorHAnsi" w:cs="Franklin Gothic Book"/>
          <w:color w:val="000000"/>
          <w:szCs w:val="22"/>
        </w:rPr>
        <w:t>MŠ</w:t>
      </w:r>
      <w:r w:rsidRPr="00A678A6">
        <w:rPr>
          <w:rFonts w:asciiTheme="majorHAnsi" w:hAnsiTheme="majorHAnsi" w:cs="Franklin Gothic Book"/>
          <w:color w:val="000000"/>
          <w:szCs w:val="22"/>
        </w:rPr>
        <w:t>;</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prístupu detí z prostredia MRK k vzdelávaniu a starostlivosti v</w:t>
      </w:r>
      <w:r w:rsidR="00A875AE">
        <w:rPr>
          <w:rFonts w:asciiTheme="majorHAnsi" w:hAnsiTheme="majorHAnsi" w:cs="Franklin Gothic Book"/>
          <w:color w:val="000000"/>
          <w:szCs w:val="22"/>
        </w:rPr>
        <w:t> MŠ</w:t>
      </w:r>
      <w:r w:rsidRPr="00A678A6">
        <w:rPr>
          <w:rFonts w:asciiTheme="majorHAnsi" w:hAnsiTheme="majorHAnsi" w:cs="Franklin Gothic Book"/>
          <w:color w:val="000000"/>
          <w:szCs w:val="22"/>
        </w:rPr>
        <w:t> v obciach s prítomnosťou MRK;</w:t>
      </w:r>
    </w:p>
    <w:p w:rsidR="00952C0E" w:rsidRDefault="00A678A6" w:rsidP="00302664">
      <w:pPr>
        <w:numPr>
          <w:ilvl w:val="0"/>
          <w:numId w:val="14"/>
        </w:numPr>
        <w:spacing w:before="0" w:after="0"/>
        <w:contextualSpacing/>
        <w:rPr>
          <w:rFonts w:asciiTheme="majorHAnsi" w:hAnsiTheme="majorHAnsi" w:cs="Franklin Gothic Book"/>
          <w:color w:val="000000"/>
          <w:szCs w:val="22"/>
        </w:rPr>
      </w:pPr>
      <w:r w:rsidRPr="002B037A">
        <w:rPr>
          <w:rFonts w:asciiTheme="majorHAnsi" w:hAnsiTheme="majorHAnsi" w:cs="Franklin Gothic Book"/>
          <w:color w:val="000000"/>
          <w:szCs w:val="22"/>
        </w:rPr>
        <w:t>zvýšenie zamestnanosti podporou subjektov sociálnej ekonomiky</w:t>
      </w:r>
      <w:r w:rsidRPr="00A678A6">
        <w:rPr>
          <w:rFonts w:asciiTheme="majorHAnsi" w:hAnsiTheme="majorHAnsi" w:cs="Franklin Gothic Book"/>
          <w:color w:val="000000"/>
          <w:szCs w:val="22"/>
          <w:vertAlign w:val="superscript"/>
        </w:rPr>
        <w:footnoteReference w:id="288"/>
      </w:r>
      <w:r w:rsidRPr="002B037A">
        <w:rPr>
          <w:rFonts w:asciiTheme="majorHAnsi" w:hAnsiTheme="majorHAnsi" w:cs="Franklin Gothic Book"/>
          <w:color w:val="000000"/>
          <w:szCs w:val="22"/>
        </w:rPr>
        <w:t xml:space="preserve"> v území s prítomnosťou MRK;</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prístupu obyvateľov MRK k sociálnej infraštruktúre;</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Calibri" w:hAnsi="Calibri" w:cs="Franklin Gothic Book"/>
          <w:color w:val="000000"/>
          <w:szCs w:val="22"/>
        </w:rPr>
        <w:t xml:space="preserve">zlepšenie kvality života obyvateľov separovaných a segregovaných MRK zabezpečením prístupu k pitnej </w:t>
      </w:r>
      <w:r w:rsidR="005A31D3">
        <w:rPr>
          <w:rFonts w:ascii="Calibri" w:hAnsi="Calibri" w:cs="Franklin Gothic Book"/>
          <w:color w:val="000000"/>
          <w:szCs w:val="22"/>
        </w:rPr>
        <w:t xml:space="preserve">a úžitkovej </w:t>
      </w:r>
      <w:r w:rsidRPr="00A678A6">
        <w:rPr>
          <w:rFonts w:ascii="Calibri" w:hAnsi="Calibri" w:cs="Franklin Gothic Book"/>
          <w:color w:val="000000"/>
          <w:szCs w:val="22"/>
        </w:rPr>
        <w:t>vode;</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dostupnosti bývania prispievajúceho k zvýšenej kvalite života</w:t>
      </w:r>
      <w:r w:rsidR="005D5322">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v mestách a mestských oblastiach;</w:t>
      </w:r>
    </w:p>
    <w:p w:rsidR="00D27DB5" w:rsidRPr="00DB74FC" w:rsidRDefault="005D5322" w:rsidP="00302664">
      <w:pPr>
        <w:numPr>
          <w:ilvl w:val="0"/>
          <w:numId w:val="14"/>
        </w:numPr>
        <w:spacing w:before="0" w:after="0"/>
        <w:contextualSpacing/>
        <w:rPr>
          <w:rFonts w:asciiTheme="majorHAnsi" w:hAnsiTheme="majorHAnsi" w:cs="Franklin Gothic Book"/>
          <w:color w:val="000000"/>
          <w:szCs w:val="22"/>
        </w:rPr>
      </w:pPr>
      <w:r w:rsidRPr="00DB74FC">
        <w:rPr>
          <w:rFonts w:asciiTheme="majorHAnsi" w:hAnsiTheme="majorHAnsi" w:cs="Franklin Gothic Book"/>
          <w:color w:val="000000"/>
          <w:szCs w:val="22"/>
        </w:rPr>
        <w:t>zintenzívnenie prechodu inštitucionálnej formy starostlivosti na komunitnú;</w:t>
      </w:r>
    </w:p>
    <w:p w:rsidR="00C01F5D" w:rsidRPr="00C01F5D" w:rsidRDefault="00C01F5D" w:rsidP="00302664">
      <w:pPr>
        <w:numPr>
          <w:ilvl w:val="0"/>
          <w:numId w:val="14"/>
        </w:numPr>
        <w:spacing w:before="0" w:after="0"/>
        <w:contextualSpacing/>
        <w:rPr>
          <w:rFonts w:asciiTheme="majorHAnsi" w:hAnsiTheme="majorHAnsi" w:cs="Franklin Gothic Book"/>
          <w:color w:val="000000"/>
          <w:szCs w:val="22"/>
        </w:rPr>
      </w:pPr>
      <w:r>
        <w:rPr>
          <w:rFonts w:asciiTheme="majorHAnsi" w:hAnsiTheme="majorHAnsi" w:cs="Franklin Gothic Book"/>
          <w:color w:val="000000"/>
          <w:szCs w:val="22"/>
        </w:rPr>
        <w:t>vybudovanie zariadení starostlivosti o deti do troch rokov veku za účelom podpory zosúladenia rodinného a pracovného života rodičov a zvýšenia zamestnanosti žien;</w:t>
      </w:r>
    </w:p>
    <w:p w:rsid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integrácie zdravotných služieb prostredníctvom inovovanej zdravotníckej infraštruktúry;</w:t>
      </w:r>
    </w:p>
    <w:p w:rsid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záujmu verejných a súkromných subjektov o miestne potreby a možnosti prostredníctvom podpory miestneho rozvoja vedeného komunitou</w:t>
      </w:r>
      <w:r w:rsidR="00D27DB5">
        <w:rPr>
          <w:rFonts w:asciiTheme="majorHAnsi" w:hAnsiTheme="majorHAnsi" w:cs="Franklin Gothic Book"/>
          <w:color w:val="000000"/>
          <w:szCs w:val="22"/>
        </w:rPr>
        <w:t>;</w:t>
      </w:r>
    </w:p>
    <w:p w:rsidR="009F7A69" w:rsidRDefault="009F7A69" w:rsidP="00302664">
      <w:pPr>
        <w:numPr>
          <w:ilvl w:val="0"/>
          <w:numId w:val="14"/>
        </w:numPr>
        <w:spacing w:before="0" w:after="0"/>
        <w:contextualSpacing/>
        <w:rPr>
          <w:rFonts w:asciiTheme="majorHAnsi" w:hAnsiTheme="majorHAnsi" w:cs="Franklin Gothic Book"/>
          <w:color w:val="000000"/>
          <w:szCs w:val="22"/>
        </w:rPr>
      </w:pPr>
      <w:r>
        <w:rPr>
          <w:rFonts w:asciiTheme="majorHAnsi" w:hAnsiTheme="majorHAnsi" w:cs="Franklin Gothic Book"/>
          <w:color w:val="000000"/>
          <w:szCs w:val="22"/>
        </w:rPr>
        <w:t>zvýšenie tvorby pracovných miest rozvojom podnikania a inovácií na miestnej úrovni;</w:t>
      </w:r>
    </w:p>
    <w:p w:rsidR="00D27DB5" w:rsidRPr="00A678A6" w:rsidRDefault="00D27DB5" w:rsidP="00302664">
      <w:pPr>
        <w:numPr>
          <w:ilvl w:val="0"/>
          <w:numId w:val="14"/>
        </w:numPr>
        <w:spacing w:before="0" w:after="0"/>
        <w:contextualSpacing/>
        <w:rPr>
          <w:rFonts w:asciiTheme="majorHAnsi" w:hAnsiTheme="majorHAnsi" w:cs="Franklin Gothic Book"/>
          <w:color w:val="000000"/>
          <w:szCs w:val="22"/>
        </w:rPr>
      </w:pPr>
      <w:r w:rsidRPr="00D27DB5">
        <w:rPr>
          <w:rFonts w:asciiTheme="majorHAnsi" w:hAnsiTheme="majorHAnsi" w:cs="Franklin Gothic Book"/>
          <w:color w:val="000000"/>
          <w:szCs w:val="22"/>
        </w:rPr>
        <w:t>zlepšenie udržateľných vzťahov medzi vidieckymi rozvojovými centrami a</w:t>
      </w:r>
      <w:r w:rsidR="00952C0E">
        <w:rPr>
          <w:rFonts w:asciiTheme="majorHAnsi" w:hAnsiTheme="majorHAnsi" w:cs="Franklin Gothic Book"/>
          <w:color w:val="000000"/>
          <w:szCs w:val="22"/>
        </w:rPr>
        <w:t> </w:t>
      </w:r>
      <w:r w:rsidRPr="00D27DB5">
        <w:rPr>
          <w:rFonts w:asciiTheme="majorHAnsi" w:hAnsiTheme="majorHAnsi" w:cs="Franklin Gothic Book"/>
          <w:color w:val="000000"/>
          <w:szCs w:val="22"/>
        </w:rPr>
        <w:t>ich zázemím vo verejných službách a</w:t>
      </w:r>
      <w:r w:rsidR="00952C0E">
        <w:rPr>
          <w:rFonts w:asciiTheme="majorHAnsi" w:hAnsiTheme="majorHAnsi" w:cs="Franklin Gothic Book"/>
          <w:color w:val="000000"/>
          <w:szCs w:val="22"/>
        </w:rPr>
        <w:t> </w:t>
      </w:r>
      <w:r w:rsidRPr="00D27DB5">
        <w:rPr>
          <w:rFonts w:asciiTheme="majorHAnsi" w:hAnsiTheme="majorHAnsi" w:cs="Franklin Gothic Book"/>
          <w:color w:val="000000"/>
          <w:szCs w:val="22"/>
        </w:rPr>
        <w:t>vo verejných infraštruktúrach</w:t>
      </w:r>
      <w:r>
        <w:rPr>
          <w:rFonts w:asciiTheme="majorHAnsi" w:hAnsiTheme="majorHAnsi" w:cs="Franklin Gothic Book"/>
          <w:color w:val="000000"/>
          <w:szCs w:val="22"/>
        </w:rPr>
        <w:t>.</w:t>
      </w:r>
    </w:p>
    <w:p w:rsidR="00A678A6" w:rsidRPr="00A678A6" w:rsidRDefault="00A678A6" w:rsidP="00A678A6">
      <w:pPr>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EPFRV</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kvality života na vidieku prostredníctvom investíci</w:t>
      </w:r>
      <w:r w:rsidR="009E60ED">
        <w:rPr>
          <w:rFonts w:asciiTheme="majorHAnsi" w:hAnsiTheme="majorHAnsi" w:cs="Franklin Gothic Book"/>
          <w:color w:val="000000"/>
          <w:szCs w:val="22"/>
        </w:rPr>
        <w:t>í</w:t>
      </w:r>
      <w:r w:rsidRPr="00A678A6">
        <w:rPr>
          <w:rFonts w:asciiTheme="majorHAnsi" w:hAnsiTheme="majorHAnsi" w:cs="Franklin Gothic Book"/>
          <w:color w:val="000000"/>
          <w:szCs w:val="22"/>
        </w:rPr>
        <w:t xml:space="preserve"> do malých infraštruktúrnych projektov</w:t>
      </w:r>
      <w:r w:rsidR="001C6A58">
        <w:rPr>
          <w:rFonts w:asciiTheme="majorHAnsi" w:hAnsiTheme="majorHAnsi" w:cs="Franklin Gothic Book"/>
          <w:color w:val="000000"/>
          <w:szCs w:val="22"/>
        </w:rPr>
        <w:t xml:space="preserve"> a miestnych služieb</w:t>
      </w:r>
      <w:r w:rsidRPr="00A678A6">
        <w:rPr>
          <w:rFonts w:asciiTheme="majorHAnsi" w:hAnsiTheme="majorHAnsi" w:cs="Franklin Gothic Book"/>
          <w:color w:val="000000"/>
          <w:szCs w:val="22"/>
        </w:rPr>
        <w:t>;</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záujmu verejných a súkromných subjektov o miestne potreby a možnosti prostredníctvom podpory miestneho rozvoja vedeného komunitou;</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ekonomického prostredia vo vidieckych oblastiach vrátane súvisiacej miestnej infraštruktúry;</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podmienok pre rozvoj vidieckeho cestovného ruchu a tvorbu pracovných miest.</w:t>
      </w:r>
    </w:p>
    <w:p w:rsidR="00A678A6" w:rsidRPr="00A678A6" w:rsidRDefault="00A678A6" w:rsidP="00FA7ABA">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10: Investovanie do vzdelania, školení a odbornej prípravy, ako aj zručností a celoživotného vzdelávania</w:t>
      </w:r>
    </w:p>
    <w:p w:rsidR="00A678A6" w:rsidRPr="00A678A6" w:rsidRDefault="00A678A6" w:rsidP="00FA7ABA">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Jeden z</w:t>
      </w:r>
      <w:r w:rsidR="00952C0E">
        <w:rPr>
          <w:rFonts w:asciiTheme="majorHAnsi" w:hAnsiTheme="majorHAnsi" w:cs="Franklin Gothic Book"/>
          <w:color w:val="000000"/>
          <w:szCs w:val="22"/>
        </w:rPr>
        <w:t> </w:t>
      </w:r>
      <w:r w:rsidRPr="00A678A6">
        <w:rPr>
          <w:rFonts w:asciiTheme="majorHAnsi" w:hAnsiTheme="majorHAnsi" w:cs="Franklin Gothic Book"/>
          <w:color w:val="000000"/>
          <w:szCs w:val="22"/>
        </w:rPr>
        <w:t>dôvodov vysokej štrukturálnej nezamestnanosti v</w:t>
      </w:r>
      <w:r w:rsidR="00952C0E">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SR je práve neadekvátny vzdelávací systém, ktorý nedostatočne reaguje na potreby trhu práce. Najpočetnejšou vekovou skupinou v štruktúre uchádzačov o zamestnanie sú mladí ľudia. </w:t>
      </w:r>
      <w:r w:rsidR="003B4626" w:rsidRPr="003B4626">
        <w:rPr>
          <w:rFonts w:asciiTheme="majorHAnsi" w:hAnsiTheme="majorHAnsi" w:cs="Franklin Gothic Book"/>
          <w:color w:val="000000"/>
          <w:szCs w:val="22"/>
        </w:rPr>
        <w:t>Kľúčovým problémom SR je nedostatočná previazanosť systému vzdelávania s</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potrebami trhu práce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 xml:space="preserve">požiadavkami zamestnávateľov, ktorá sa odzrkadľuje </w:t>
      </w:r>
      <w:r w:rsidR="003B4626" w:rsidRPr="003B4626">
        <w:rPr>
          <w:rFonts w:asciiTheme="majorHAnsi" w:hAnsiTheme="majorHAnsi" w:cs="Franklin Gothic Book"/>
          <w:color w:val="000000"/>
          <w:szCs w:val="22"/>
        </w:rPr>
        <w:lastRenderedPageBreak/>
        <w:t>aj v</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 xml:space="preserve">raste podielu nezamestnaných absolventov škôl. Nedostatočná </w:t>
      </w:r>
      <w:r w:rsidRPr="00A678A6">
        <w:rPr>
          <w:rFonts w:asciiTheme="majorHAnsi" w:hAnsiTheme="majorHAnsi" w:cs="Franklin Gothic Book"/>
          <w:color w:val="000000"/>
          <w:szCs w:val="22"/>
        </w:rPr>
        <w:t xml:space="preserve">kvalita sa dotýka systémov na všetkých úrovniach vzdelávania a je daná predovšetkým kvalitou procesov vzdelávania a nekvalitným obsahom vzdelávania, ktorý plne nereflektuje potreby trhu práce a požiadavky zamestnávateľov. </w:t>
      </w:r>
      <w:r w:rsidR="003B4626" w:rsidRPr="003B4626">
        <w:rPr>
          <w:rFonts w:asciiTheme="majorHAnsi" w:hAnsiTheme="majorHAnsi" w:cs="Franklin Gothic Book"/>
          <w:color w:val="000000"/>
          <w:szCs w:val="22"/>
        </w:rPr>
        <w:t xml:space="preserve">Negatívnym trendom je, že väčšina študentov </w:t>
      </w:r>
      <w:r w:rsidR="00952C0E">
        <w:rPr>
          <w:rFonts w:asciiTheme="majorHAnsi" w:hAnsiTheme="majorHAnsi" w:cs="Franklin Gothic Book"/>
          <w:color w:val="000000"/>
          <w:szCs w:val="22"/>
        </w:rPr>
        <w:t>SŠ</w:t>
      </w:r>
      <w:r w:rsidR="00952C0E" w:rsidRPr="003B4626">
        <w:rPr>
          <w:rFonts w:asciiTheme="majorHAnsi" w:hAnsiTheme="majorHAnsi" w:cs="Franklin Gothic Book"/>
          <w:color w:val="000000"/>
          <w:szCs w:val="22"/>
        </w:rPr>
        <w:t xml:space="preserve"> </w:t>
      </w:r>
      <w:r w:rsidR="003B4626" w:rsidRPr="003B4626">
        <w:rPr>
          <w:rFonts w:asciiTheme="majorHAnsi" w:hAnsiTheme="majorHAnsi" w:cs="Franklin Gothic Book"/>
          <w:color w:val="000000"/>
          <w:szCs w:val="22"/>
        </w:rPr>
        <w:t>a</w:t>
      </w:r>
      <w:r w:rsidR="00952C0E">
        <w:rPr>
          <w:rFonts w:asciiTheme="majorHAnsi" w:hAnsiTheme="majorHAnsi" w:cs="Franklin Gothic Book"/>
          <w:color w:val="000000"/>
          <w:szCs w:val="22"/>
        </w:rPr>
        <w:t> VŠ</w:t>
      </w:r>
      <w:r w:rsidR="003B4626" w:rsidRPr="003B4626">
        <w:rPr>
          <w:rFonts w:asciiTheme="majorHAnsi" w:hAnsiTheme="majorHAnsi" w:cs="Franklin Gothic Book"/>
          <w:color w:val="000000"/>
          <w:szCs w:val="22"/>
        </w:rPr>
        <w:t xml:space="preserve"> je zameraná na spoločenské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humanitné vedy, pre ktoré však nie je dostatočné uplatnenie na trhu práce. Osobitnú pozornosť prírodným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technickým smerom je potrebné venovať na strednom stupni vzdelávania v</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spolupráci</w:t>
      </w:r>
      <w:r w:rsidR="00952C0E">
        <w:rPr>
          <w:rFonts w:asciiTheme="majorHAnsi" w:hAnsiTheme="majorHAnsi" w:cs="Franklin Gothic Book"/>
          <w:color w:val="000000"/>
          <w:szCs w:val="22"/>
        </w:rPr>
        <w:t xml:space="preserve"> </w:t>
      </w:r>
      <w:r w:rsidR="003B4626" w:rsidRPr="003B4626">
        <w:rPr>
          <w:rFonts w:asciiTheme="majorHAnsi" w:hAnsiTheme="majorHAnsi" w:cs="Franklin Gothic Book"/>
          <w:color w:val="000000"/>
          <w:szCs w:val="22"/>
        </w:rPr>
        <w:t>s</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efektívnym pôsobením pedagogických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odborných zamestnancov, ktorí dokážu pružne reflektovať na požiadavky trhu práce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budú dostatočne motivovaní na výkon svojho povolania. Zároveň je potrebné podporovať programy zamerané na zvýšenie gramotnosti, motiváciu mladých ľudí k</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podnikavosti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 xml:space="preserve">na podporu kľúčových kompetencií (jazyky, ekonomické myslenie, IKT zručnosti) na všetkých stupňoch vzdelávania. </w:t>
      </w:r>
      <w:r w:rsidRPr="00A678A6">
        <w:rPr>
          <w:rFonts w:asciiTheme="majorHAnsi" w:hAnsiTheme="majorHAnsi" w:cs="Franklin Gothic Book"/>
          <w:color w:val="000000"/>
          <w:szCs w:val="22"/>
        </w:rPr>
        <w:t xml:space="preserve">Problematickou oblasťou je aj nedostatočné priestorové (najmä </w:t>
      </w:r>
      <w:r w:rsidR="00952C0E">
        <w:rPr>
          <w:rFonts w:asciiTheme="majorHAnsi" w:hAnsiTheme="majorHAnsi" w:cs="Franklin Gothic Book"/>
          <w:color w:val="000000"/>
          <w:szCs w:val="22"/>
        </w:rPr>
        <w:t>MŠ</w:t>
      </w:r>
      <w:r w:rsidRPr="00A678A6">
        <w:rPr>
          <w:rFonts w:asciiTheme="majorHAnsi" w:hAnsiTheme="majorHAnsi" w:cs="Franklin Gothic Book"/>
          <w:color w:val="000000"/>
          <w:szCs w:val="22"/>
        </w:rPr>
        <w:t>), materiálne a technické vybavenie (základné a odborné školy) inštitúcií vzdelávania</w:t>
      </w:r>
      <w:r w:rsidR="00952C0E">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vrátane podmienok pre inkluzívne vzdelávanie.</w:t>
      </w:r>
    </w:p>
    <w:p w:rsidR="00A678A6" w:rsidRPr="00A678A6" w:rsidRDefault="00A678A6" w:rsidP="00A678A6">
      <w:pPr>
        <w:autoSpaceDE w:val="0"/>
        <w:autoSpaceDN w:val="0"/>
        <w:adjustRightInd w:val="0"/>
        <w:rPr>
          <w:rFonts w:asciiTheme="majorHAnsi" w:hAnsiTheme="majorHAnsi" w:cs="Franklin Gothic Book"/>
          <w:color w:val="000000"/>
          <w:szCs w:val="22"/>
        </w:rPr>
      </w:pPr>
      <w:r w:rsidRPr="00A678A6">
        <w:rPr>
          <w:rFonts w:asciiTheme="majorHAnsi" w:hAnsiTheme="majorHAnsi" w:cs="Franklin Gothic Book"/>
          <w:color w:val="000000"/>
          <w:szCs w:val="22"/>
        </w:rPr>
        <w:t>Skúsenosti z</w:t>
      </w:r>
      <w:r w:rsidR="00952C0E">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implementácie OP Vzdelávanie na programové obdobie 2007 – 2013 ukázali, že podporu je potrebné orientovať na výsledkovo orientované vzdelávanie, pedagógov </w:t>
      </w:r>
      <w:r w:rsidR="00603168">
        <w:rPr>
          <w:rFonts w:asciiTheme="majorHAnsi" w:hAnsiTheme="majorHAnsi" w:cs="Franklin Gothic Book"/>
          <w:color w:val="000000"/>
          <w:szCs w:val="22"/>
        </w:rPr>
        <w:t>a</w:t>
      </w:r>
      <w:r w:rsidR="00952C0E">
        <w:rPr>
          <w:rFonts w:asciiTheme="majorHAnsi" w:hAnsiTheme="majorHAnsi" w:cs="Franklin Gothic Book"/>
          <w:color w:val="000000"/>
          <w:szCs w:val="22"/>
        </w:rPr>
        <w:t> </w:t>
      </w:r>
      <w:r w:rsidR="0034477A" w:rsidRPr="00255E09">
        <w:rPr>
          <w:rFonts w:asciiTheme="majorHAnsi" w:hAnsiTheme="majorHAnsi" w:cs="Franklin Gothic Book"/>
          <w:color w:val="000000"/>
          <w:szCs w:val="22"/>
        </w:rPr>
        <w:t>nediskrimináciu a</w:t>
      </w:r>
      <w:r w:rsidR="0059184E">
        <w:rPr>
          <w:rFonts w:asciiTheme="majorHAnsi" w:hAnsiTheme="majorHAnsi" w:cs="Franklin Gothic Book"/>
          <w:color w:val="000000"/>
          <w:szCs w:val="22"/>
        </w:rPr>
        <w:t> </w:t>
      </w:r>
      <w:r w:rsidR="0034477A" w:rsidRPr="00255E09">
        <w:rPr>
          <w:rFonts w:asciiTheme="majorHAnsi" w:hAnsiTheme="majorHAnsi" w:cs="Franklin Gothic Book"/>
          <w:color w:val="000000"/>
          <w:szCs w:val="22"/>
        </w:rPr>
        <w:t>prístupnosť vo vzdelávaní a</w:t>
      </w:r>
      <w:r w:rsidR="0059184E">
        <w:rPr>
          <w:rFonts w:asciiTheme="majorHAnsi" w:hAnsiTheme="majorHAnsi" w:cs="Franklin Gothic Book"/>
          <w:color w:val="000000"/>
          <w:szCs w:val="22"/>
        </w:rPr>
        <w:t> </w:t>
      </w:r>
      <w:r w:rsidR="0034477A" w:rsidRPr="00255E09">
        <w:rPr>
          <w:rFonts w:asciiTheme="majorHAnsi" w:hAnsiTheme="majorHAnsi" w:cs="Franklin Gothic Book"/>
          <w:color w:val="000000"/>
          <w:szCs w:val="22"/>
        </w:rPr>
        <w:t>jej formách</w:t>
      </w:r>
      <w:r w:rsidRPr="00A678A6">
        <w:rPr>
          <w:rFonts w:asciiTheme="majorHAnsi" w:hAnsiTheme="majorHAnsi" w:cs="Franklin Gothic Book"/>
          <w:color w:val="000000"/>
          <w:szCs w:val="22"/>
        </w:rPr>
        <w:t>.</w:t>
      </w:r>
      <w:r w:rsidR="009E60ED">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Realizované opatrenia spôsobili zmenu smerom ku kvalite vzdelávania a boli zamerané na podporu inovácií týkajúcich sa obsahu vzdelávania s využívaním IKT vo vyučovacom procese na strane žiakov aj pedagógov, didaktických prostriedkov, prispeli k</w:t>
      </w:r>
      <w:r w:rsidR="00952C0E">
        <w:rPr>
          <w:rFonts w:asciiTheme="majorHAnsi" w:hAnsiTheme="majorHAnsi" w:cs="Franklin Gothic Book"/>
          <w:color w:val="000000"/>
          <w:szCs w:val="22"/>
        </w:rPr>
        <w:t> </w:t>
      </w:r>
      <w:r w:rsidRPr="00A678A6">
        <w:rPr>
          <w:rFonts w:asciiTheme="majorHAnsi" w:hAnsiTheme="majorHAnsi" w:cs="Franklin Gothic Book"/>
          <w:color w:val="000000"/>
          <w:szCs w:val="22"/>
        </w:rPr>
        <w:t>zvyšovaniu kompetencií pedagógov a zmien v systéme vzdelávania a jeho prepojenia s potrebami trhu práce. Zabezpečeniu inkluzívneho rozmeru vzdelávania napomáha inštitút asistenta učiteľa. Ich počet v</w:t>
      </w:r>
      <w:r w:rsidR="003B4626">
        <w:rPr>
          <w:rFonts w:asciiTheme="majorHAnsi" w:hAnsiTheme="majorHAnsi" w:cs="Franklin Gothic Book"/>
          <w:color w:val="000000"/>
          <w:szCs w:val="22"/>
        </w:rPr>
        <w:t> MŠ a ZŠ</w:t>
      </w:r>
      <w:r w:rsidRPr="00A678A6">
        <w:rPr>
          <w:rFonts w:asciiTheme="majorHAnsi" w:hAnsiTheme="majorHAnsi" w:cs="Franklin Gothic Book"/>
          <w:color w:val="000000"/>
          <w:szCs w:val="22"/>
        </w:rPr>
        <w:t xml:space="preserve"> však neodzrkadľuje skutočnú potrebu.</w:t>
      </w:r>
    </w:p>
    <w:p w:rsidR="00A678A6" w:rsidRPr="00A678A6" w:rsidRDefault="00A678A6" w:rsidP="00FA7ABA">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B01228" w:rsidRPr="008C4B14" w:rsidRDefault="003B4626" w:rsidP="00B01228">
      <w:pPr>
        <w:autoSpaceDE w:val="0"/>
        <w:autoSpaceDN w:val="0"/>
        <w:adjustRightInd w:val="0"/>
        <w:spacing w:after="0"/>
        <w:rPr>
          <w:rFonts w:asciiTheme="majorHAnsi" w:hAnsiTheme="majorHAnsi" w:cs="Franklin Gothic Book"/>
          <w:color w:val="000000"/>
          <w:szCs w:val="22"/>
        </w:rPr>
      </w:pPr>
      <w:r w:rsidRPr="003B4626">
        <w:rPr>
          <w:rFonts w:asciiTheme="majorHAnsi" w:hAnsiTheme="majorHAnsi" w:cs="Franklin Gothic Book"/>
          <w:color w:val="000000"/>
          <w:szCs w:val="22"/>
        </w:rPr>
        <w:t>V</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súlade s</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 xml:space="preserve">cieľmi stratégie Európa 2020 je potrebné znížiť mieru predčasného ukončenia školskej dochádzky </w:t>
      </w:r>
      <w:r w:rsidR="00300859">
        <w:rPr>
          <w:rFonts w:asciiTheme="majorHAnsi" w:hAnsiTheme="majorHAnsi" w:cs="Franklin Gothic Book"/>
          <w:color w:val="000000"/>
          <w:szCs w:val="22"/>
        </w:rPr>
        <w:t>v</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relevantných cieľových skupinách (predovšetkým MRK) zvýšením uplatňovania inkluzívneho modelu vzdelávania a</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zvýšiť podiel obyvateľstva vo veku 30-34 rokov, ktorí majú ukončené vysokoškolské vzdelanie, z</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31 % na minimálne 40 %. Národný cieľ pre zníženie miery predčasného ukončovania školskej dochádzky stanovuje do roku 2020 cieľ 6 % a</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pre zvýšenie podielu obyvateľstva vo veku 30-34 rokov, ktorí majú ukončené vysokoškolské vzdelanie na 40 %. Vo vzťahu k</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špecifickým</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odporúčaniam Rady pre SR je potrebné v</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odbornom</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vzdelávaní posilniť poskytovanie praktickej výučby priamo v</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podnikoch, vo vysokoškolskom vzdelávaní vytvoriť programy orientované na pracovný trh a</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podporiť</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 xml:space="preserve">odovzdávanie znalostí podporou spolupráce medzi </w:t>
      </w:r>
      <w:r w:rsidR="00300859">
        <w:rPr>
          <w:rFonts w:asciiTheme="majorHAnsi" w:hAnsiTheme="majorHAnsi" w:cs="Franklin Gothic Book"/>
          <w:color w:val="000000"/>
          <w:szCs w:val="22"/>
        </w:rPr>
        <w:t>VŠ</w:t>
      </w:r>
      <w:r w:rsidRPr="003B4626">
        <w:rPr>
          <w:rFonts w:asciiTheme="majorHAnsi" w:hAnsiTheme="majorHAnsi" w:cs="Franklin Gothic Book"/>
          <w:color w:val="000000"/>
          <w:szCs w:val="22"/>
        </w:rPr>
        <w:t>, výskumnou komunitou a</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podnikateľským</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sektorom. Vo všetkých oblastiach vzdelávania a</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na</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všetkých</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stupňoch škôl bude zároveň kladený dôraz na kvalitné inkluzívne vzdelávanie. V</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uvedenej</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oblasti bude inkluzívne vzdelávanie v</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regionálnom</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školstve (primárne a</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sekundárne</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vzdelávanie) nadviazané na opatrenia realizované v</w:t>
      </w:r>
      <w:r w:rsidR="00952C0E">
        <w:rPr>
          <w:rFonts w:asciiTheme="majorHAnsi" w:hAnsiTheme="majorHAnsi" w:cs="Franklin Gothic Book"/>
          <w:color w:val="000000"/>
          <w:szCs w:val="22"/>
        </w:rPr>
        <w:t> </w:t>
      </w:r>
      <w:r w:rsidRPr="003B4626">
        <w:rPr>
          <w:rFonts w:asciiTheme="majorHAnsi" w:hAnsiTheme="majorHAnsi" w:cs="Franklin Gothic Book"/>
          <w:color w:val="000000"/>
          <w:szCs w:val="22"/>
        </w:rPr>
        <w:t>programovom</w:t>
      </w:r>
      <w:r w:rsidR="00952C0E">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 xml:space="preserve">období 2007 </w:t>
      </w:r>
      <w:r w:rsidR="00952C0E">
        <w:rPr>
          <w:rFonts w:asciiTheme="majorHAnsi" w:hAnsiTheme="majorHAnsi" w:cs="Franklin Gothic Book"/>
          <w:color w:val="000000"/>
          <w:szCs w:val="22"/>
        </w:rPr>
        <w:t>–</w:t>
      </w:r>
      <w:r w:rsidRPr="003B4626">
        <w:rPr>
          <w:rFonts w:asciiTheme="majorHAnsi" w:hAnsiTheme="majorHAnsi" w:cs="Franklin Gothic Book"/>
          <w:color w:val="000000"/>
          <w:szCs w:val="22"/>
        </w:rPr>
        <w:t xml:space="preserve"> 2013, ktoré predstavujú účinný nástroj podpory vzdelávacích potrieb žiakov so špecifickými vzdelávacími potrebami </w:t>
      </w:r>
      <w:r w:rsidR="00D80235">
        <w:rPr>
          <w:rFonts w:asciiTheme="majorHAnsi" w:hAnsiTheme="majorHAnsi" w:cs="Franklin Gothic Book"/>
          <w:color w:val="000000"/>
          <w:szCs w:val="22"/>
        </w:rPr>
        <w:t>(ďalej len „</w:t>
      </w:r>
      <w:r w:rsidRPr="003B4626">
        <w:rPr>
          <w:rFonts w:asciiTheme="majorHAnsi" w:hAnsiTheme="majorHAnsi" w:cs="Franklin Gothic Book"/>
          <w:color w:val="000000"/>
          <w:szCs w:val="22"/>
        </w:rPr>
        <w:t>ŠVVP</w:t>
      </w:r>
      <w:r w:rsidR="00D80235">
        <w:rPr>
          <w:rFonts w:asciiTheme="majorHAnsi" w:hAnsiTheme="majorHAnsi" w:cs="Franklin Gothic Book"/>
          <w:color w:val="000000"/>
          <w:szCs w:val="22"/>
        </w:rPr>
        <w:t>“)</w:t>
      </w:r>
      <w:r w:rsidRPr="003B4626">
        <w:rPr>
          <w:rFonts w:asciiTheme="majorHAnsi" w:hAnsiTheme="majorHAnsi" w:cs="Franklin Gothic Book"/>
          <w:color w:val="000000"/>
          <w:szCs w:val="22"/>
        </w:rPr>
        <w:t xml:space="preserve">, špecificky žiakov zo sociálne znevýhodneného prostredia (ďalej len „SZP), vrátane marginalizovaných komunít ako sú Rómovia. </w:t>
      </w:r>
      <w:r w:rsidR="00B01228" w:rsidRPr="00B01228">
        <w:rPr>
          <w:rFonts w:asciiTheme="majorHAnsi" w:hAnsiTheme="majorHAnsi" w:cs="Franklin Gothic Book"/>
          <w:color w:val="000000"/>
          <w:szCs w:val="22"/>
        </w:rPr>
        <w:t>Realizácia inkluzívneho modelu vzdelávania v</w:t>
      </w:r>
      <w:r w:rsidR="00D80235">
        <w:rPr>
          <w:rFonts w:asciiTheme="majorHAnsi" w:hAnsiTheme="majorHAnsi" w:cs="Franklin Gothic Book"/>
          <w:color w:val="000000"/>
          <w:szCs w:val="22"/>
        </w:rPr>
        <w:t> </w:t>
      </w:r>
      <w:r w:rsidR="00B01228" w:rsidRPr="00B01228">
        <w:rPr>
          <w:rFonts w:asciiTheme="majorHAnsi" w:hAnsiTheme="majorHAnsi" w:cs="Franklin Gothic Book"/>
          <w:color w:val="000000"/>
          <w:szCs w:val="22"/>
        </w:rPr>
        <w:t>školách</w:t>
      </w:r>
      <w:r w:rsidR="00D80235">
        <w:rPr>
          <w:rFonts w:asciiTheme="majorHAnsi" w:hAnsiTheme="majorHAnsi" w:cs="Franklin Gothic Book"/>
          <w:color w:val="000000"/>
          <w:szCs w:val="22"/>
        </w:rPr>
        <w:t>,</w:t>
      </w:r>
      <w:r w:rsidR="00B01228" w:rsidRPr="00B01228">
        <w:rPr>
          <w:rFonts w:asciiTheme="majorHAnsi" w:hAnsiTheme="majorHAnsi" w:cs="Franklin Gothic Book"/>
          <w:color w:val="000000"/>
          <w:szCs w:val="22"/>
        </w:rPr>
        <w:t xml:space="preserve"> napr. prostredníctvom inkluzívnych nástrojov ako celodenný výchovný systém, účasť pedagogických asistentov a</w:t>
      </w:r>
      <w:r w:rsidR="00952C0E">
        <w:rPr>
          <w:rFonts w:asciiTheme="majorHAnsi" w:hAnsiTheme="majorHAnsi" w:cs="Franklin Gothic Book"/>
          <w:color w:val="000000"/>
          <w:szCs w:val="22"/>
        </w:rPr>
        <w:t> </w:t>
      </w:r>
      <w:r w:rsidR="00B01228" w:rsidRPr="00B01228">
        <w:rPr>
          <w:rFonts w:asciiTheme="majorHAnsi" w:hAnsiTheme="majorHAnsi" w:cs="Franklin Gothic Book"/>
          <w:color w:val="000000"/>
          <w:szCs w:val="22"/>
        </w:rPr>
        <w:t>odborných</w:t>
      </w:r>
      <w:r w:rsidR="00952C0E">
        <w:rPr>
          <w:rFonts w:asciiTheme="majorHAnsi" w:hAnsiTheme="majorHAnsi" w:cs="Franklin Gothic Book"/>
          <w:color w:val="000000"/>
          <w:szCs w:val="22"/>
        </w:rPr>
        <w:t xml:space="preserve"> </w:t>
      </w:r>
      <w:r w:rsidR="00B01228" w:rsidRPr="00B01228">
        <w:rPr>
          <w:rFonts w:asciiTheme="majorHAnsi" w:hAnsiTheme="majorHAnsi" w:cs="Franklin Gothic Book"/>
          <w:color w:val="000000"/>
          <w:szCs w:val="22"/>
        </w:rPr>
        <w:t xml:space="preserve">zamestnancov vo vyučovacom procese predstavuje inkluzívny prvok vo vzdelávacom systéme. Tento typ podpory </w:t>
      </w:r>
      <w:r w:rsidR="00B01228" w:rsidRPr="008C4B14">
        <w:rPr>
          <w:rFonts w:asciiTheme="majorHAnsi" w:hAnsiTheme="majorHAnsi" w:cs="Franklin Gothic Book"/>
          <w:color w:val="000000"/>
          <w:szCs w:val="22"/>
        </w:rPr>
        <w:t>zároveň pozitívne vplýva na znižovanie miery zaraďovania žiakov zo SZP</w:t>
      </w:r>
      <w:r w:rsidR="00952C0E" w:rsidRPr="008C4B14">
        <w:rPr>
          <w:rFonts w:asciiTheme="majorHAnsi" w:hAnsiTheme="majorHAnsi" w:cs="Franklin Gothic Book"/>
          <w:color w:val="000000"/>
          <w:szCs w:val="22"/>
        </w:rPr>
        <w:t>,</w:t>
      </w:r>
      <w:r w:rsidR="00B01228" w:rsidRPr="008C4B14">
        <w:rPr>
          <w:rFonts w:asciiTheme="majorHAnsi" w:hAnsiTheme="majorHAnsi" w:cs="Franklin Gothic Book"/>
          <w:color w:val="000000"/>
          <w:szCs w:val="22"/>
        </w:rPr>
        <w:t xml:space="preserve"> vrátane MRK do špeciálnych škôl a</w:t>
      </w:r>
      <w:r w:rsidR="00952C0E" w:rsidRPr="008C4B14">
        <w:rPr>
          <w:rFonts w:asciiTheme="majorHAnsi" w:hAnsiTheme="majorHAnsi" w:cs="Franklin Gothic Book"/>
          <w:color w:val="000000"/>
          <w:szCs w:val="22"/>
        </w:rPr>
        <w:t> </w:t>
      </w:r>
      <w:r w:rsidR="00B01228" w:rsidRPr="008C4B14">
        <w:rPr>
          <w:rFonts w:asciiTheme="majorHAnsi" w:hAnsiTheme="majorHAnsi" w:cs="Franklin Gothic Book"/>
          <w:color w:val="000000"/>
          <w:szCs w:val="22"/>
        </w:rPr>
        <w:t>špeciálnych tried ZŠ a</w:t>
      </w:r>
      <w:r w:rsidR="00952C0E" w:rsidRPr="008C4B14">
        <w:rPr>
          <w:rFonts w:asciiTheme="majorHAnsi" w:hAnsiTheme="majorHAnsi" w:cs="Franklin Gothic Book"/>
          <w:color w:val="000000"/>
          <w:szCs w:val="22"/>
        </w:rPr>
        <w:t> </w:t>
      </w:r>
      <w:r w:rsidR="00B01228" w:rsidRPr="008C4B14">
        <w:rPr>
          <w:rFonts w:asciiTheme="majorHAnsi" w:hAnsiTheme="majorHAnsi" w:cs="Franklin Gothic Book"/>
          <w:color w:val="000000"/>
          <w:szCs w:val="22"/>
        </w:rPr>
        <w:t>tiež</w:t>
      </w:r>
      <w:r w:rsidR="00952C0E" w:rsidRPr="008C4B14">
        <w:rPr>
          <w:rFonts w:asciiTheme="majorHAnsi" w:hAnsiTheme="majorHAnsi" w:cs="Franklin Gothic Book"/>
          <w:color w:val="000000"/>
          <w:szCs w:val="22"/>
        </w:rPr>
        <w:t xml:space="preserve"> </w:t>
      </w:r>
      <w:r w:rsidR="00B01228" w:rsidRPr="008C4B14">
        <w:rPr>
          <w:rFonts w:asciiTheme="majorHAnsi" w:hAnsiTheme="majorHAnsi" w:cs="Franklin Gothic Book"/>
          <w:color w:val="000000"/>
          <w:szCs w:val="22"/>
        </w:rPr>
        <w:t>do samostatných tried v bežných ZŠ.</w:t>
      </w:r>
    </w:p>
    <w:p w:rsidR="003B4626" w:rsidRPr="003B4626" w:rsidRDefault="003B4626" w:rsidP="003B4626">
      <w:pPr>
        <w:autoSpaceDE w:val="0"/>
        <w:autoSpaceDN w:val="0"/>
        <w:adjustRightInd w:val="0"/>
        <w:spacing w:after="0"/>
        <w:rPr>
          <w:rFonts w:asciiTheme="majorHAnsi" w:hAnsiTheme="majorHAnsi" w:cs="Franklin Gothic Book"/>
          <w:color w:val="000000"/>
          <w:szCs w:val="22"/>
        </w:rPr>
      </w:pPr>
      <w:r w:rsidRPr="0042426B">
        <w:rPr>
          <w:rFonts w:asciiTheme="majorHAnsi" w:hAnsiTheme="majorHAnsi" w:cs="Franklin Gothic Book"/>
          <w:color w:val="000000"/>
          <w:szCs w:val="22"/>
        </w:rPr>
        <w:t>Predprimárne vzdelávanie</w:t>
      </w:r>
      <w:r w:rsidRPr="0042426B">
        <w:rPr>
          <w:rFonts w:asciiTheme="majorHAnsi" w:hAnsiTheme="majorHAnsi" w:cs="Franklin Gothic Book"/>
          <w:color w:val="000000"/>
          <w:szCs w:val="22"/>
          <w:vertAlign w:val="superscript"/>
        </w:rPr>
        <w:footnoteReference w:id="289"/>
      </w:r>
      <w:r w:rsidRPr="0042426B">
        <w:rPr>
          <w:rFonts w:asciiTheme="majorHAnsi" w:hAnsiTheme="majorHAnsi" w:cs="Franklin Gothic Book"/>
          <w:color w:val="000000"/>
          <w:szCs w:val="22"/>
        </w:rPr>
        <w:t xml:space="preserve"> ako úvodný stupeň vzdelania bude podporované v</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rámci</w:t>
      </w:r>
      <w:r w:rsidR="00952C0E" w:rsidRPr="0042426B">
        <w:rPr>
          <w:rFonts w:asciiTheme="majorHAnsi" w:hAnsiTheme="majorHAnsi" w:cs="Franklin Gothic Book"/>
          <w:color w:val="000000"/>
          <w:szCs w:val="22"/>
        </w:rPr>
        <w:t xml:space="preserve"> </w:t>
      </w:r>
      <w:r w:rsidRPr="0042426B">
        <w:rPr>
          <w:rFonts w:asciiTheme="majorHAnsi" w:hAnsiTheme="majorHAnsi" w:cs="Franklin Gothic Book"/>
          <w:color w:val="000000"/>
          <w:szCs w:val="22"/>
        </w:rPr>
        <w:t>TC9 a</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TC10,</w:t>
      </w:r>
      <w:r w:rsidR="00952C0E" w:rsidRPr="0042426B">
        <w:rPr>
          <w:rFonts w:asciiTheme="majorHAnsi" w:hAnsiTheme="majorHAnsi" w:cs="Franklin Gothic Book"/>
          <w:color w:val="000000"/>
          <w:szCs w:val="22"/>
        </w:rPr>
        <w:t xml:space="preserve"> </w:t>
      </w:r>
      <w:r w:rsidRPr="0042426B">
        <w:rPr>
          <w:rFonts w:asciiTheme="majorHAnsi" w:hAnsiTheme="majorHAnsi" w:cs="Franklin Gothic Book"/>
          <w:color w:val="000000"/>
          <w:szCs w:val="22"/>
        </w:rPr>
        <w:t>a</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to</w:t>
      </w:r>
      <w:r w:rsidR="00952C0E" w:rsidRPr="0042426B">
        <w:rPr>
          <w:rFonts w:asciiTheme="majorHAnsi" w:hAnsiTheme="majorHAnsi" w:cs="Franklin Gothic Book"/>
          <w:color w:val="000000"/>
          <w:szCs w:val="22"/>
        </w:rPr>
        <w:t xml:space="preserve"> </w:t>
      </w:r>
      <w:r w:rsidRPr="0042426B">
        <w:rPr>
          <w:rFonts w:asciiTheme="majorHAnsi" w:hAnsiTheme="majorHAnsi" w:cs="Franklin Gothic Book"/>
          <w:color w:val="000000"/>
          <w:szCs w:val="22"/>
        </w:rPr>
        <w:t xml:space="preserve">prostredníctvom </w:t>
      </w:r>
      <w:r w:rsidR="00D80235" w:rsidRPr="0042426B">
        <w:rPr>
          <w:rFonts w:asciiTheme="majorHAnsi" w:hAnsiTheme="majorHAnsi" w:cs="Franklin Gothic Book"/>
          <w:color w:val="000000"/>
          <w:szCs w:val="22"/>
        </w:rPr>
        <w:t xml:space="preserve">intervencií </w:t>
      </w:r>
      <w:r w:rsidRPr="0042426B">
        <w:rPr>
          <w:rFonts w:asciiTheme="majorHAnsi" w:hAnsiTheme="majorHAnsi" w:cs="Franklin Gothic Book"/>
          <w:color w:val="000000"/>
          <w:szCs w:val="22"/>
        </w:rPr>
        <w:t>ESF a EFRR. V</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prípade</w:t>
      </w:r>
      <w:r w:rsidR="00952C0E" w:rsidRPr="0042426B">
        <w:rPr>
          <w:rFonts w:asciiTheme="majorHAnsi" w:hAnsiTheme="majorHAnsi" w:cs="Franklin Gothic Book"/>
          <w:color w:val="000000"/>
          <w:szCs w:val="22"/>
        </w:rPr>
        <w:t xml:space="preserve"> </w:t>
      </w:r>
      <w:r w:rsidRPr="0042426B">
        <w:rPr>
          <w:rFonts w:asciiTheme="majorHAnsi" w:hAnsiTheme="majorHAnsi" w:cs="Franklin Gothic Book"/>
          <w:color w:val="000000"/>
          <w:szCs w:val="22"/>
        </w:rPr>
        <w:t xml:space="preserve">TC9 sa jedná </w:t>
      </w:r>
      <w:r w:rsidR="00D80235" w:rsidRPr="0042426B">
        <w:rPr>
          <w:rFonts w:asciiTheme="majorHAnsi" w:hAnsiTheme="majorHAnsi" w:cs="Franklin Gothic Book"/>
          <w:color w:val="000000"/>
          <w:szCs w:val="22"/>
        </w:rPr>
        <w:t xml:space="preserve">najmä </w:t>
      </w:r>
      <w:r w:rsidRPr="0042426B">
        <w:rPr>
          <w:rFonts w:asciiTheme="majorHAnsi" w:hAnsiTheme="majorHAnsi" w:cs="Franklin Gothic Book"/>
          <w:color w:val="000000"/>
          <w:szCs w:val="22"/>
        </w:rPr>
        <w:t>o</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podporu</w:t>
      </w:r>
      <w:r w:rsidR="00952C0E" w:rsidRPr="0042426B">
        <w:rPr>
          <w:rFonts w:asciiTheme="majorHAnsi" w:hAnsiTheme="majorHAnsi" w:cs="Franklin Gothic Book"/>
          <w:color w:val="000000"/>
          <w:szCs w:val="22"/>
        </w:rPr>
        <w:t xml:space="preserve"> </w:t>
      </w:r>
      <w:r w:rsidRPr="0042426B">
        <w:rPr>
          <w:rFonts w:asciiTheme="majorHAnsi" w:hAnsiTheme="majorHAnsi" w:cs="Franklin Gothic Book"/>
          <w:color w:val="000000"/>
          <w:szCs w:val="22"/>
        </w:rPr>
        <w:t>detí pochádzajúcich z</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MRK. V</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rámci TC10 sa budú podporovať investície z EFRR, zamerané na zvýšenie kapacít zariadení predprimárneho vzdelávania a z</w:t>
      </w:r>
      <w:r w:rsidR="00952C0E" w:rsidRPr="0042426B">
        <w:rPr>
          <w:rFonts w:asciiTheme="majorHAnsi" w:hAnsiTheme="majorHAnsi" w:cs="Franklin Gothic Book"/>
          <w:color w:val="000000"/>
          <w:szCs w:val="22"/>
        </w:rPr>
        <w:t> </w:t>
      </w:r>
      <w:r w:rsidRPr="0042426B">
        <w:rPr>
          <w:rFonts w:asciiTheme="majorHAnsi" w:hAnsiTheme="majorHAnsi" w:cs="Franklin Gothic Book"/>
          <w:color w:val="000000"/>
          <w:szCs w:val="22"/>
        </w:rPr>
        <w:t>prostriedkov ESF pôjde o podporu pedagogických a odborných zamestnancov predprimárneho vzdelávania.</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lastRenderedPageBreak/>
        <w:t>Vo vzťahu k špecifickým odporúčaniam Rady pre SR</w:t>
      </w:r>
      <w:r w:rsidRPr="00A678A6">
        <w:rPr>
          <w:rFonts w:asciiTheme="majorHAnsi" w:hAnsiTheme="majorHAnsi" w:cs="Franklin Gothic Book"/>
          <w:color w:val="000000"/>
          <w:szCs w:val="22"/>
          <w:vertAlign w:val="superscript"/>
        </w:rPr>
        <w:footnoteReference w:id="290"/>
      </w:r>
      <w:r w:rsidRPr="00A678A6">
        <w:rPr>
          <w:rFonts w:asciiTheme="majorHAnsi" w:hAnsiTheme="majorHAnsi" w:cs="Franklin Gothic Book"/>
          <w:color w:val="000000"/>
          <w:szCs w:val="22"/>
        </w:rPr>
        <w:t xml:space="preserve"> a Pozičnému dokumentu EK je v SR potrebné zlepšiť prístup k celoživotnému vzdelávaniu a zvýšiť význam systémov vzdelávania pre potreby pracovného trhu.</w:t>
      </w:r>
      <w:r w:rsidRPr="00A678A6">
        <w:rPr>
          <w:rFonts w:asciiTheme="majorHAnsi" w:hAnsiTheme="majorHAnsi" w:cs="Franklin Gothic Book"/>
          <w:color w:val="000000"/>
          <w:sz w:val="24"/>
        </w:rPr>
        <w:t xml:space="preserve"> </w:t>
      </w:r>
      <w:r w:rsidRPr="00A678A6">
        <w:rPr>
          <w:rFonts w:asciiTheme="majorHAnsi" w:hAnsiTheme="majorHAnsi" w:cs="Franklin Gothic Book"/>
          <w:color w:val="000000"/>
          <w:szCs w:val="22"/>
        </w:rPr>
        <w:t>V tejto súvislosti bude nevyhnutné aj posilniť systém overovania odbornej spôsobilosti a zaviesť systém overovania kvality poradenských služieb</w:t>
      </w:r>
      <w:r w:rsidR="00C631B6">
        <w:rPr>
          <w:rFonts w:asciiTheme="majorHAnsi" w:hAnsiTheme="majorHAnsi" w:cs="Franklin Gothic Book"/>
          <w:color w:val="000000"/>
          <w:szCs w:val="22"/>
        </w:rPr>
        <w:t>,</w:t>
      </w:r>
      <w:r w:rsidR="003B4626" w:rsidRPr="003B4626">
        <w:rPr>
          <w:rFonts w:asciiTheme="majorHAnsi" w:hAnsiTheme="majorHAnsi" w:cs="Franklin Gothic Book"/>
          <w:color w:val="000000"/>
          <w:szCs w:val="22"/>
        </w:rPr>
        <w:t xml:space="preserve"> ako aj vytvorenie systému prognózovania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monitorovania</w:t>
      </w:r>
      <w:r w:rsidR="00952C0E">
        <w:rPr>
          <w:rFonts w:asciiTheme="majorHAnsi" w:hAnsiTheme="majorHAnsi" w:cs="Franklin Gothic Book"/>
          <w:color w:val="000000"/>
          <w:szCs w:val="22"/>
        </w:rPr>
        <w:t xml:space="preserve"> </w:t>
      </w:r>
      <w:r w:rsidR="003B4626" w:rsidRPr="003B4626">
        <w:rPr>
          <w:rFonts w:asciiTheme="majorHAnsi" w:hAnsiTheme="majorHAnsi" w:cs="Franklin Gothic Book"/>
          <w:color w:val="000000"/>
          <w:szCs w:val="22"/>
        </w:rPr>
        <w:t>potrieb trhu práce v</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spolupráci</w:t>
      </w:r>
      <w:r w:rsidR="00952C0E">
        <w:rPr>
          <w:rFonts w:asciiTheme="majorHAnsi" w:hAnsiTheme="majorHAnsi" w:cs="Franklin Gothic Book"/>
          <w:color w:val="000000"/>
          <w:szCs w:val="22"/>
        </w:rPr>
        <w:t xml:space="preserve"> </w:t>
      </w:r>
      <w:r w:rsidR="003B4626" w:rsidRPr="003B4626">
        <w:rPr>
          <w:rFonts w:asciiTheme="majorHAnsi" w:hAnsiTheme="majorHAnsi" w:cs="Franklin Gothic Book"/>
          <w:color w:val="000000"/>
          <w:szCs w:val="22"/>
        </w:rPr>
        <w:t>MŠVVaŠ SR a</w:t>
      </w:r>
      <w:r w:rsidR="00952C0E">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MPSVR SR</w:t>
      </w:r>
      <w:r w:rsidRPr="00A678A6">
        <w:rPr>
          <w:rFonts w:asciiTheme="majorHAnsi" w:hAnsiTheme="majorHAnsi" w:cs="Franklin Gothic Book"/>
          <w:color w:val="000000"/>
          <w:szCs w:val="22"/>
        </w:rPr>
        <w:t>.</w:t>
      </w:r>
      <w:r w:rsidRPr="003F0750">
        <w:rPr>
          <w:rFonts w:cs="Franklin Gothic Book"/>
          <w:szCs w:val="22"/>
        </w:rPr>
        <w:t xml:space="preserve"> </w:t>
      </w:r>
      <w:r w:rsidRPr="00A678A6">
        <w:rPr>
          <w:rFonts w:asciiTheme="majorHAnsi" w:hAnsiTheme="majorHAnsi" w:cs="Franklin Gothic Book"/>
          <w:color w:val="000000"/>
          <w:szCs w:val="22"/>
        </w:rPr>
        <w:t xml:space="preserve">Pre zvýšenie atraktivity učiteľského povolania je žiaduce prijať opatrenia s cieľom prilákať mladých ľudí k učiteľskej profesii a skvalitniť prípravu budúcich pedagógov, ako aj podporovať zvyšovanie profesijných </w:t>
      </w:r>
      <w:r w:rsidR="003B4626">
        <w:rPr>
          <w:rFonts w:asciiTheme="majorHAnsi" w:hAnsiTheme="majorHAnsi" w:cs="Franklin Gothic Book"/>
          <w:color w:val="000000"/>
          <w:szCs w:val="22"/>
        </w:rPr>
        <w:t xml:space="preserve">a odborných </w:t>
      </w:r>
      <w:r w:rsidRPr="00A678A6">
        <w:rPr>
          <w:rFonts w:asciiTheme="majorHAnsi" w:hAnsiTheme="majorHAnsi" w:cs="Franklin Gothic Book"/>
          <w:color w:val="000000"/>
          <w:szCs w:val="22"/>
        </w:rPr>
        <w:t>kompetencií pedagógov v</w:t>
      </w:r>
      <w:r w:rsidR="00C631B6">
        <w:rPr>
          <w:rFonts w:asciiTheme="majorHAnsi" w:hAnsiTheme="majorHAnsi" w:cs="Franklin Gothic Book"/>
          <w:color w:val="000000"/>
          <w:szCs w:val="22"/>
        </w:rPr>
        <w:t> </w:t>
      </w:r>
      <w:r w:rsidRPr="00A678A6">
        <w:rPr>
          <w:rFonts w:asciiTheme="majorHAnsi" w:hAnsiTheme="majorHAnsi" w:cs="Franklin Gothic Book"/>
          <w:color w:val="000000"/>
          <w:szCs w:val="22"/>
        </w:rPr>
        <w:t>praxi</w:t>
      </w:r>
      <w:r w:rsidR="00C631B6">
        <w:rPr>
          <w:rFonts w:asciiTheme="majorHAnsi" w:hAnsiTheme="majorHAnsi" w:cs="Franklin Gothic Book"/>
          <w:color w:val="000000"/>
          <w:szCs w:val="22"/>
        </w:rPr>
        <w:t>,</w:t>
      </w:r>
      <w:r w:rsidR="003B4626" w:rsidRPr="003B4626">
        <w:rPr>
          <w:rFonts w:asciiTheme="majorHAnsi" w:hAnsiTheme="majorHAnsi" w:cs="Franklin Gothic Book"/>
          <w:color w:val="000000"/>
          <w:szCs w:val="22"/>
        </w:rPr>
        <w:t xml:space="preserve"> vrátane IKT zručností</w:t>
      </w:r>
      <w:r w:rsidRPr="00A678A6">
        <w:rPr>
          <w:rFonts w:asciiTheme="majorHAnsi" w:hAnsiTheme="majorHAnsi" w:cs="Franklin Gothic Book"/>
          <w:color w:val="000000"/>
          <w:szCs w:val="22"/>
        </w:rPr>
        <w:t>. V odbornom vzdelávaní a príprave je potrebné posilniť zavádzanie prvkov duálneho systému vzdelávania a poskytovanie praktickej výučby priamo u zamestnávateľov. Vo vysokoškolskom vzdelávaní je žiaduce vytvoriť a podporovať profesijne orientované bakalárske programy.</w:t>
      </w:r>
      <w:r w:rsidRPr="00A678A6">
        <w:rPr>
          <w:rFonts w:asciiTheme="majorHAnsi" w:hAnsiTheme="majorHAnsi" w:cs="Franklin Gothic Book"/>
          <w:color w:val="000000"/>
          <w:sz w:val="24"/>
        </w:rPr>
        <w:t xml:space="preserve"> </w:t>
      </w:r>
      <w:r w:rsidRPr="00A678A6">
        <w:rPr>
          <w:rFonts w:asciiTheme="majorHAnsi" w:hAnsiTheme="majorHAnsi" w:cs="Franklin Gothic Book"/>
          <w:color w:val="000000"/>
          <w:szCs w:val="22"/>
        </w:rPr>
        <w:t>Zámerom je aj zintenzívniť úsilie o</w:t>
      </w:r>
      <w:r w:rsidR="00952C0E">
        <w:rPr>
          <w:rFonts w:asciiTheme="majorHAnsi" w:hAnsiTheme="majorHAnsi" w:cs="Franklin Gothic Book"/>
          <w:color w:val="000000"/>
          <w:szCs w:val="22"/>
        </w:rPr>
        <w:t> </w:t>
      </w:r>
      <w:r w:rsidRPr="00A678A6">
        <w:rPr>
          <w:rFonts w:asciiTheme="majorHAnsi" w:hAnsiTheme="majorHAnsi" w:cs="Franklin Gothic Book"/>
          <w:color w:val="000000"/>
          <w:szCs w:val="22"/>
        </w:rPr>
        <w:t>zlepšenie</w:t>
      </w:r>
      <w:r w:rsidR="00952C0E">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prístupu ku kvalitnému inkluzívnemu vzdelávaniu, a to prostredníctvom skvalitnenia obsahu, foriem vzdelávania a prípravy pedagogických a odborných zamestnancov.</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Pre dosiahnutie vyššej úrovne vzdelávania, ktorá prispeje k vyššej zamestnateľnosti je dôležité uskutočniť investície do vzdelávania na všetkých úrovniach odbornej prípravy prepojenej s praxou, ako aj celoživotného vzdelávania reflektujúceho na požiadavky trhu práce.</w:t>
      </w:r>
    </w:p>
    <w:p w:rsidR="003B4626" w:rsidRPr="003B4626" w:rsidRDefault="003B4626" w:rsidP="003B4626">
      <w:pPr>
        <w:autoSpaceDE w:val="0"/>
        <w:autoSpaceDN w:val="0"/>
        <w:adjustRightInd w:val="0"/>
        <w:spacing w:before="0" w:after="0"/>
        <w:rPr>
          <w:rFonts w:asciiTheme="majorHAnsi" w:hAnsiTheme="majorHAnsi" w:cs="Franklin Gothic Book"/>
          <w:color w:val="000000"/>
          <w:szCs w:val="22"/>
        </w:rPr>
      </w:pPr>
      <w:r w:rsidRPr="003B4626">
        <w:rPr>
          <w:rFonts w:asciiTheme="majorHAnsi" w:hAnsiTheme="majorHAnsi" w:cs="Franklin Gothic Book"/>
          <w:color w:val="000000"/>
          <w:szCs w:val="22"/>
        </w:rPr>
        <w:t>V</w:t>
      </w:r>
      <w:r w:rsidR="00533B2B">
        <w:rPr>
          <w:rFonts w:asciiTheme="majorHAnsi" w:hAnsiTheme="majorHAnsi" w:cs="Franklin Gothic Book"/>
          <w:color w:val="000000"/>
          <w:szCs w:val="22"/>
        </w:rPr>
        <w:t> </w:t>
      </w:r>
      <w:r w:rsidRPr="003B4626">
        <w:rPr>
          <w:rFonts w:asciiTheme="majorHAnsi" w:hAnsiTheme="majorHAnsi" w:cs="Franklin Gothic Book"/>
          <w:color w:val="000000"/>
          <w:szCs w:val="22"/>
        </w:rPr>
        <w:t>súlade</w:t>
      </w:r>
      <w:r w:rsidR="00533B2B">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s</w:t>
      </w:r>
      <w:r w:rsidR="00533B2B">
        <w:rPr>
          <w:rFonts w:asciiTheme="majorHAnsi" w:hAnsiTheme="majorHAnsi" w:cs="Franklin Gothic Book"/>
          <w:color w:val="000000"/>
          <w:szCs w:val="22"/>
        </w:rPr>
        <w:t> </w:t>
      </w:r>
      <w:r w:rsidRPr="003B4626">
        <w:rPr>
          <w:rFonts w:asciiTheme="majorHAnsi" w:hAnsiTheme="majorHAnsi" w:cs="Franklin Gothic Book"/>
          <w:color w:val="000000"/>
          <w:szCs w:val="22"/>
        </w:rPr>
        <w:t>RIS3 budú investície smerovať do zvýšenia uplatniteľnosti absolventov stredných a</w:t>
      </w:r>
      <w:r w:rsidR="00533B2B">
        <w:rPr>
          <w:rFonts w:asciiTheme="majorHAnsi" w:hAnsiTheme="majorHAnsi" w:cs="Franklin Gothic Book"/>
          <w:color w:val="000000"/>
          <w:szCs w:val="22"/>
        </w:rPr>
        <w:t> </w:t>
      </w:r>
      <w:r w:rsidRPr="003B4626">
        <w:rPr>
          <w:rFonts w:asciiTheme="majorHAnsi" w:hAnsiTheme="majorHAnsi" w:cs="Franklin Gothic Book"/>
          <w:color w:val="000000"/>
          <w:szCs w:val="22"/>
        </w:rPr>
        <w:t>vysokých</w:t>
      </w:r>
      <w:r w:rsidR="00533B2B">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škôl a</w:t>
      </w:r>
      <w:r w:rsidR="00533B2B">
        <w:rPr>
          <w:rFonts w:asciiTheme="majorHAnsi" w:hAnsiTheme="majorHAnsi" w:cs="Franklin Gothic Book"/>
          <w:color w:val="000000"/>
          <w:szCs w:val="22"/>
        </w:rPr>
        <w:t> </w:t>
      </w:r>
      <w:r w:rsidRPr="003B4626">
        <w:rPr>
          <w:rFonts w:asciiTheme="majorHAnsi" w:hAnsiTheme="majorHAnsi" w:cs="Franklin Gothic Book"/>
          <w:color w:val="000000"/>
          <w:szCs w:val="22"/>
        </w:rPr>
        <w:t>do</w:t>
      </w:r>
      <w:r w:rsidR="00533B2B">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zlepšenia prepojenia vzdelávacieho systému s</w:t>
      </w:r>
      <w:r w:rsidR="00533B2B">
        <w:rPr>
          <w:rFonts w:asciiTheme="majorHAnsi" w:hAnsiTheme="majorHAnsi" w:cs="Franklin Gothic Book"/>
          <w:color w:val="000000"/>
          <w:szCs w:val="22"/>
        </w:rPr>
        <w:t> </w:t>
      </w:r>
      <w:r w:rsidRPr="003B4626">
        <w:rPr>
          <w:rFonts w:asciiTheme="majorHAnsi" w:hAnsiTheme="majorHAnsi" w:cs="Franklin Gothic Book"/>
          <w:color w:val="000000"/>
          <w:szCs w:val="22"/>
        </w:rPr>
        <w:t>praxou, zvýšenia medzisektorovej mobility pracovníkov a</w:t>
      </w:r>
      <w:r w:rsidR="00533B2B">
        <w:rPr>
          <w:rFonts w:asciiTheme="majorHAnsi" w:hAnsiTheme="majorHAnsi" w:cs="Franklin Gothic Book"/>
          <w:color w:val="000000"/>
          <w:szCs w:val="22"/>
        </w:rPr>
        <w:t> </w:t>
      </w:r>
      <w:r w:rsidRPr="003B4626">
        <w:rPr>
          <w:rFonts w:asciiTheme="majorHAnsi" w:hAnsiTheme="majorHAnsi" w:cs="Franklin Gothic Book"/>
          <w:color w:val="000000"/>
          <w:szCs w:val="22"/>
        </w:rPr>
        <w:t>podpory</w:t>
      </w:r>
      <w:r w:rsidR="00533B2B">
        <w:rPr>
          <w:rFonts w:asciiTheme="majorHAnsi" w:hAnsiTheme="majorHAnsi" w:cs="Franklin Gothic Book"/>
          <w:color w:val="000000"/>
          <w:szCs w:val="22"/>
        </w:rPr>
        <w:t xml:space="preserve"> </w:t>
      </w:r>
      <w:r w:rsidRPr="003B4626">
        <w:rPr>
          <w:rFonts w:asciiTheme="majorHAnsi" w:hAnsiTheme="majorHAnsi" w:cs="Franklin Gothic Book"/>
          <w:color w:val="000000"/>
          <w:szCs w:val="22"/>
        </w:rPr>
        <w:t>medzinárodných výskumno-inovačných tímov. Poskytované vzdelávanie by sa malo orientovať na odbory</w:t>
      </w:r>
      <w:r w:rsidR="00D80235">
        <w:rPr>
          <w:rFonts w:asciiTheme="majorHAnsi" w:hAnsiTheme="majorHAnsi" w:cs="Franklin Gothic Book"/>
          <w:color w:val="000000"/>
          <w:szCs w:val="22"/>
        </w:rPr>
        <w:t>, ktoré sú</w:t>
      </w:r>
      <w:r w:rsidRPr="003B4626">
        <w:rPr>
          <w:rFonts w:asciiTheme="majorHAnsi" w:hAnsiTheme="majorHAnsi" w:cs="Franklin Gothic Book"/>
          <w:color w:val="000000"/>
          <w:szCs w:val="22"/>
        </w:rPr>
        <w:t xml:space="preserve"> kľúčové pre prioritné oblasti identifikované v</w:t>
      </w:r>
      <w:r w:rsidR="00533B2B">
        <w:rPr>
          <w:rFonts w:asciiTheme="majorHAnsi" w:hAnsiTheme="majorHAnsi" w:cs="Franklin Gothic Book"/>
          <w:color w:val="000000"/>
          <w:szCs w:val="22"/>
        </w:rPr>
        <w:t> </w:t>
      </w:r>
      <w:r w:rsidRPr="003B4626">
        <w:rPr>
          <w:rFonts w:asciiTheme="majorHAnsi" w:hAnsiTheme="majorHAnsi" w:cs="Franklin Gothic Book"/>
          <w:color w:val="000000"/>
          <w:szCs w:val="22"/>
        </w:rPr>
        <w:t>RIS3.</w:t>
      </w:r>
    </w:p>
    <w:p w:rsidR="00A678A6" w:rsidRDefault="00A678A6" w:rsidP="0064605C">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rámci rozvoja vidieka je v podmienkach SR potrebné posilniť inštitucionálne väzby medzi odborným vzdelávaním a trhom práce</w:t>
      </w:r>
      <w:r w:rsidR="003B4626" w:rsidRPr="003B4626">
        <w:rPr>
          <w:rFonts w:asciiTheme="majorHAnsi" w:hAnsiTheme="majorHAnsi" w:cs="Franklin Gothic Book"/>
          <w:color w:val="000000"/>
          <w:szCs w:val="22"/>
        </w:rPr>
        <w:t>, výskumom, podnikateľským a</w:t>
      </w:r>
      <w:r w:rsidR="00533B2B">
        <w:rPr>
          <w:rFonts w:asciiTheme="majorHAnsi" w:hAnsiTheme="majorHAnsi" w:cs="Franklin Gothic Book"/>
          <w:color w:val="000000"/>
          <w:szCs w:val="22"/>
        </w:rPr>
        <w:t> </w:t>
      </w:r>
      <w:r w:rsidR="003B4626" w:rsidRPr="003B4626">
        <w:rPr>
          <w:rFonts w:asciiTheme="majorHAnsi" w:hAnsiTheme="majorHAnsi" w:cs="Franklin Gothic Book"/>
          <w:color w:val="000000"/>
          <w:szCs w:val="22"/>
        </w:rPr>
        <w:t>verejným sektorom, ako aj neziskovým sektorom</w:t>
      </w:r>
      <w:r w:rsidRPr="00A678A6">
        <w:rPr>
          <w:rFonts w:asciiTheme="majorHAnsi" w:hAnsiTheme="majorHAnsi" w:cs="Franklin Gothic Book"/>
          <w:color w:val="000000"/>
          <w:szCs w:val="22"/>
        </w:rPr>
        <w:t xml:space="preserve"> a zamerať sa na adresné a cielené vzdelávanie, ktoré bude úzko previazané s vopred identifikovanými potrebami potenciálnych prijímateľov. </w:t>
      </w:r>
      <w:r w:rsidR="000F08AE" w:rsidRPr="000F08AE">
        <w:rPr>
          <w:rFonts w:asciiTheme="majorHAnsi" w:hAnsiTheme="majorHAnsi" w:cs="Franklin Gothic Book"/>
          <w:color w:val="000000"/>
          <w:szCs w:val="22"/>
        </w:rPr>
        <w:t>Podpora bude smerovaná rovnako v prospech osôb pracujúcich v sektore poľnohospodárstva, ako i</w:t>
      </w:r>
      <w:r w:rsidR="00533B2B">
        <w:rPr>
          <w:rFonts w:asciiTheme="majorHAnsi" w:hAnsiTheme="majorHAnsi" w:cs="Franklin Gothic Book"/>
          <w:color w:val="000000"/>
          <w:szCs w:val="22"/>
        </w:rPr>
        <w:t> </w:t>
      </w:r>
      <w:r w:rsidR="000F08AE" w:rsidRPr="000F08AE">
        <w:rPr>
          <w:rFonts w:asciiTheme="majorHAnsi" w:hAnsiTheme="majorHAnsi" w:cs="Franklin Gothic Book"/>
          <w:color w:val="000000"/>
          <w:szCs w:val="22"/>
        </w:rPr>
        <w:t xml:space="preserve">potravinárstva a lesného hospodárstva ako aj iných hospodárskych subjektov, ktorí sú MSP pôsobiacimi vo vidieckych oblastiach. </w:t>
      </w:r>
      <w:r w:rsidRPr="00A678A6">
        <w:rPr>
          <w:rFonts w:asciiTheme="majorHAnsi" w:hAnsiTheme="majorHAnsi" w:cs="Franklin Gothic Book"/>
          <w:color w:val="000000"/>
          <w:szCs w:val="22"/>
        </w:rPr>
        <w:t>Prostredníctvom vzdelávacích a informačných aktivít sa posilnia kľúčové kompetencie obyvateľov vidieka pre osobnostný rast a rozvoj podnikateľského myslenia (vrátane digitálnej gramotnosti).</w:t>
      </w:r>
    </w:p>
    <w:p w:rsidR="007B7E75" w:rsidRPr="007B7E75" w:rsidRDefault="007B7E75" w:rsidP="003F0750">
      <w:pPr>
        <w:autoSpaceDE w:val="0"/>
        <w:autoSpaceDN w:val="0"/>
        <w:adjustRightInd w:val="0"/>
        <w:spacing w:before="0" w:after="0"/>
        <w:rPr>
          <w:rFonts w:asciiTheme="majorHAnsi" w:hAnsiTheme="majorHAnsi" w:cs="Franklin Gothic Book"/>
          <w:color w:val="000000"/>
          <w:szCs w:val="22"/>
        </w:rPr>
      </w:pPr>
      <w:r w:rsidRPr="007B7E75">
        <w:rPr>
          <w:rFonts w:asciiTheme="majorHAnsi" w:hAnsiTheme="majorHAnsi" w:cs="Franklin Gothic Book"/>
          <w:color w:val="000000"/>
          <w:szCs w:val="22"/>
        </w:rPr>
        <w:t>Komplementárnym spôsobom bude prispievať k implementáci</w:t>
      </w:r>
      <w:r w:rsidR="009E60ED">
        <w:rPr>
          <w:rFonts w:asciiTheme="majorHAnsi" w:hAnsiTheme="majorHAnsi" w:cs="Franklin Gothic Book"/>
          <w:color w:val="000000"/>
          <w:szCs w:val="22"/>
        </w:rPr>
        <w:t xml:space="preserve">i </w:t>
      </w:r>
      <w:r w:rsidRPr="007B7E75">
        <w:rPr>
          <w:rFonts w:asciiTheme="majorHAnsi" w:hAnsiTheme="majorHAnsi" w:cs="Franklin Gothic Book"/>
          <w:color w:val="000000"/>
          <w:szCs w:val="22"/>
        </w:rPr>
        <w:t>stratégie RIS3.</w:t>
      </w:r>
    </w:p>
    <w:p w:rsidR="00A678A6" w:rsidRPr="00A678A6" w:rsidRDefault="00A678A6" w:rsidP="00FA7ABA">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A678A6">
      <w:pPr>
        <w:spacing w:after="0"/>
        <w:jc w:val="left"/>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ESF</w:t>
      </w:r>
    </w:p>
    <w:p w:rsidR="000A1D19" w:rsidRPr="008C4B14" w:rsidRDefault="000A1D19" w:rsidP="00302664">
      <w:pPr>
        <w:numPr>
          <w:ilvl w:val="0"/>
          <w:numId w:val="14"/>
        </w:numPr>
        <w:spacing w:before="0" w:after="0"/>
        <w:ind w:left="714" w:hanging="357"/>
        <w:rPr>
          <w:rFonts w:asciiTheme="majorHAnsi" w:hAnsiTheme="majorHAnsi" w:cs="Franklin Gothic Book"/>
          <w:color w:val="000000"/>
          <w:szCs w:val="22"/>
        </w:rPr>
      </w:pPr>
      <w:r w:rsidRPr="007013C1">
        <w:rPr>
          <w:rFonts w:asciiTheme="majorHAnsi" w:hAnsiTheme="majorHAnsi" w:cs="Franklin Gothic Book"/>
          <w:color w:val="000000"/>
          <w:szCs w:val="22"/>
        </w:rPr>
        <w:t>zvýšené uplatnenie modelu inkluzívneho vzdelávania v</w:t>
      </w:r>
      <w:r w:rsidR="005C7547" w:rsidRPr="007013C1">
        <w:rPr>
          <w:rFonts w:asciiTheme="majorHAnsi" w:hAnsiTheme="majorHAnsi" w:cs="Franklin Gothic Book"/>
          <w:color w:val="000000"/>
          <w:szCs w:val="22"/>
        </w:rPr>
        <w:t> </w:t>
      </w:r>
      <w:r w:rsidRPr="007013C1">
        <w:rPr>
          <w:rFonts w:asciiTheme="majorHAnsi" w:hAnsiTheme="majorHAnsi" w:cs="Franklin Gothic Book"/>
          <w:color w:val="000000"/>
          <w:szCs w:val="22"/>
        </w:rPr>
        <w:t>školách;</w:t>
      </w:r>
    </w:p>
    <w:p w:rsidR="000A1D19" w:rsidRPr="00FA7ABA" w:rsidRDefault="000A1D19" w:rsidP="00302664">
      <w:pPr>
        <w:numPr>
          <w:ilvl w:val="0"/>
          <w:numId w:val="14"/>
        </w:numPr>
        <w:spacing w:before="0" w:after="0"/>
        <w:ind w:left="714" w:hanging="357"/>
        <w:rPr>
          <w:rFonts w:asciiTheme="majorHAnsi" w:hAnsiTheme="majorHAnsi" w:cs="Franklin Gothic Book"/>
          <w:color w:val="000000"/>
          <w:szCs w:val="22"/>
        </w:rPr>
      </w:pPr>
      <w:r w:rsidRPr="00FA7ABA">
        <w:rPr>
          <w:rFonts w:asciiTheme="majorHAnsi" w:hAnsiTheme="majorHAnsi" w:cs="Franklin Gothic Book"/>
          <w:color w:val="000000"/>
          <w:szCs w:val="22"/>
        </w:rPr>
        <w:t>zavedenie prvkov duálneho školstva do systému odborného vzdelávania a</w:t>
      </w:r>
      <w:r w:rsidR="00533B2B">
        <w:rPr>
          <w:rFonts w:asciiTheme="majorHAnsi" w:hAnsiTheme="majorHAnsi" w:cs="Franklin Gothic Book"/>
          <w:color w:val="000000"/>
          <w:szCs w:val="22"/>
        </w:rPr>
        <w:t> </w:t>
      </w:r>
      <w:r w:rsidRPr="00FA7ABA">
        <w:rPr>
          <w:rFonts w:asciiTheme="majorHAnsi" w:hAnsiTheme="majorHAnsi" w:cs="Franklin Gothic Book"/>
          <w:color w:val="000000"/>
          <w:szCs w:val="22"/>
        </w:rPr>
        <w:t>prípravy</w:t>
      </w:r>
      <w:r w:rsidR="00533B2B">
        <w:rPr>
          <w:rFonts w:asciiTheme="majorHAnsi" w:hAnsiTheme="majorHAnsi" w:cs="Franklin Gothic Book"/>
          <w:color w:val="000000"/>
          <w:szCs w:val="22"/>
        </w:rPr>
        <w:t>,</w:t>
      </w:r>
      <w:r w:rsidRPr="00FA7ABA">
        <w:rPr>
          <w:rFonts w:asciiTheme="majorHAnsi" w:hAnsiTheme="majorHAnsi" w:cs="Franklin Gothic Book"/>
          <w:color w:val="000000"/>
          <w:szCs w:val="22"/>
        </w:rPr>
        <w:t xml:space="preserve"> vrátane zvyšovania účasti žiakov na praktickom vzdelávaní priamo u</w:t>
      </w:r>
      <w:r w:rsidR="00173144">
        <w:rPr>
          <w:rFonts w:asciiTheme="majorHAnsi" w:hAnsiTheme="majorHAnsi" w:cs="Franklin Gothic Book"/>
          <w:color w:val="000000"/>
          <w:szCs w:val="22"/>
        </w:rPr>
        <w:t> </w:t>
      </w:r>
      <w:r w:rsidRPr="00FA7ABA">
        <w:rPr>
          <w:rFonts w:asciiTheme="majorHAnsi" w:hAnsiTheme="majorHAnsi" w:cs="Franklin Gothic Book"/>
          <w:color w:val="000000"/>
          <w:szCs w:val="22"/>
        </w:rPr>
        <w:t>zamestnávateľa</w:t>
      </w:r>
      <w:r w:rsidR="00173144">
        <w:rPr>
          <w:rFonts w:asciiTheme="majorHAnsi" w:hAnsiTheme="majorHAnsi" w:cs="Franklin Gothic Book"/>
          <w:color w:val="000000"/>
          <w:szCs w:val="22"/>
        </w:rPr>
        <w:t>;</w:t>
      </w:r>
    </w:p>
    <w:p w:rsidR="000A1D19" w:rsidRPr="00FA7ABA" w:rsidRDefault="000A1D19" w:rsidP="00302664">
      <w:pPr>
        <w:numPr>
          <w:ilvl w:val="0"/>
          <w:numId w:val="14"/>
        </w:numPr>
        <w:spacing w:before="0" w:after="0"/>
        <w:ind w:left="714" w:hanging="357"/>
        <w:rPr>
          <w:rFonts w:asciiTheme="majorHAnsi" w:hAnsiTheme="majorHAnsi" w:cs="Franklin Gothic Book"/>
          <w:color w:val="000000"/>
          <w:szCs w:val="22"/>
        </w:rPr>
      </w:pPr>
      <w:r w:rsidRPr="00FA7ABA">
        <w:rPr>
          <w:rFonts w:asciiTheme="majorHAnsi" w:hAnsiTheme="majorHAnsi" w:cs="Franklin Gothic Book"/>
          <w:color w:val="000000"/>
          <w:szCs w:val="22"/>
        </w:rPr>
        <w:t>zvýšenie počtu a kvality bakalárskych profesijne orientovaných študijných programov odrážajúcich požiadavky trhu práce;</w:t>
      </w:r>
    </w:p>
    <w:p w:rsidR="000A1D19" w:rsidRPr="00FA7ABA" w:rsidRDefault="000A1D19" w:rsidP="00302664">
      <w:pPr>
        <w:numPr>
          <w:ilvl w:val="0"/>
          <w:numId w:val="14"/>
        </w:numPr>
        <w:spacing w:before="0" w:after="0"/>
        <w:ind w:left="714" w:hanging="357"/>
        <w:rPr>
          <w:rFonts w:asciiTheme="majorHAnsi" w:hAnsiTheme="majorHAnsi" w:cs="Franklin Gothic Book"/>
          <w:color w:val="000000"/>
          <w:szCs w:val="22"/>
        </w:rPr>
      </w:pPr>
      <w:r w:rsidRPr="00FA7ABA">
        <w:rPr>
          <w:rFonts w:asciiTheme="majorHAnsi" w:hAnsiTheme="majorHAnsi" w:cs="Franklin Gothic Book"/>
          <w:color w:val="000000"/>
          <w:szCs w:val="22"/>
        </w:rPr>
        <w:t>zvýšenie spolupráce centier</w:t>
      </w:r>
      <w:r w:rsidR="00D80235">
        <w:rPr>
          <w:rFonts w:asciiTheme="majorHAnsi" w:hAnsiTheme="majorHAnsi" w:cs="Franklin Gothic Book"/>
          <w:color w:val="000000"/>
          <w:szCs w:val="22"/>
        </w:rPr>
        <w:t>, ktoré</w:t>
      </w:r>
      <w:r w:rsidRPr="00FA7ABA">
        <w:rPr>
          <w:rFonts w:asciiTheme="majorHAnsi" w:hAnsiTheme="majorHAnsi" w:cs="Franklin Gothic Book"/>
          <w:color w:val="000000"/>
          <w:szCs w:val="22"/>
        </w:rPr>
        <w:t xml:space="preserve"> prepájajú VŠ a</w:t>
      </w:r>
      <w:r w:rsidR="00533B2B">
        <w:rPr>
          <w:rFonts w:asciiTheme="majorHAnsi" w:hAnsiTheme="majorHAnsi" w:cs="Franklin Gothic Book"/>
          <w:color w:val="000000"/>
          <w:szCs w:val="22"/>
        </w:rPr>
        <w:t> </w:t>
      </w:r>
      <w:r w:rsidRPr="00FA7ABA">
        <w:rPr>
          <w:rFonts w:asciiTheme="majorHAnsi" w:hAnsiTheme="majorHAnsi" w:cs="Franklin Gothic Book"/>
          <w:color w:val="000000"/>
          <w:szCs w:val="22"/>
        </w:rPr>
        <w:t>podnikovú sféru</w:t>
      </w:r>
      <w:r w:rsidR="00D80235">
        <w:rPr>
          <w:rFonts w:asciiTheme="majorHAnsi" w:hAnsiTheme="majorHAnsi" w:cs="Franklin Gothic Book"/>
          <w:color w:val="000000"/>
          <w:szCs w:val="22"/>
        </w:rPr>
        <w:t xml:space="preserve"> a</w:t>
      </w:r>
      <w:r w:rsidR="00533B2B">
        <w:rPr>
          <w:rFonts w:asciiTheme="majorHAnsi" w:hAnsiTheme="majorHAnsi" w:cs="Franklin Gothic Book"/>
          <w:color w:val="000000"/>
          <w:szCs w:val="22"/>
        </w:rPr>
        <w:t> </w:t>
      </w:r>
      <w:r w:rsidR="00D80235">
        <w:rPr>
          <w:rFonts w:asciiTheme="majorHAnsi" w:hAnsiTheme="majorHAnsi" w:cs="Franklin Gothic Book"/>
          <w:color w:val="000000"/>
          <w:szCs w:val="22"/>
        </w:rPr>
        <w:t>sú</w:t>
      </w:r>
      <w:r w:rsidRPr="00FA7ABA">
        <w:rPr>
          <w:rFonts w:asciiTheme="majorHAnsi" w:hAnsiTheme="majorHAnsi" w:cs="Franklin Gothic Book"/>
          <w:color w:val="000000"/>
          <w:szCs w:val="22"/>
        </w:rPr>
        <w:t xml:space="preserve"> zameran</w:t>
      </w:r>
      <w:r w:rsidR="00D80235">
        <w:rPr>
          <w:rFonts w:asciiTheme="majorHAnsi" w:hAnsiTheme="majorHAnsi" w:cs="Franklin Gothic Book"/>
          <w:color w:val="000000"/>
          <w:szCs w:val="22"/>
        </w:rPr>
        <w:t>é</w:t>
      </w:r>
      <w:r w:rsidRPr="00FA7ABA">
        <w:rPr>
          <w:rFonts w:asciiTheme="majorHAnsi" w:hAnsiTheme="majorHAnsi" w:cs="Franklin Gothic Book"/>
          <w:color w:val="000000"/>
          <w:szCs w:val="22"/>
        </w:rPr>
        <w:t xml:space="preserve"> na riešenie konkrétnych úloh a</w:t>
      </w:r>
      <w:r w:rsidR="00533B2B">
        <w:rPr>
          <w:rFonts w:asciiTheme="majorHAnsi" w:hAnsiTheme="majorHAnsi" w:cs="Franklin Gothic Book"/>
          <w:color w:val="000000"/>
          <w:szCs w:val="22"/>
        </w:rPr>
        <w:t> </w:t>
      </w:r>
      <w:r w:rsidRPr="00FA7ABA">
        <w:rPr>
          <w:rFonts w:asciiTheme="majorHAnsi" w:hAnsiTheme="majorHAnsi" w:cs="Franklin Gothic Book"/>
          <w:color w:val="000000"/>
          <w:szCs w:val="22"/>
        </w:rPr>
        <w:t>zadaní z</w:t>
      </w:r>
      <w:r w:rsidR="00533B2B">
        <w:rPr>
          <w:rFonts w:asciiTheme="majorHAnsi" w:hAnsiTheme="majorHAnsi" w:cs="Franklin Gothic Book"/>
          <w:color w:val="000000"/>
          <w:szCs w:val="22"/>
        </w:rPr>
        <w:t> </w:t>
      </w:r>
      <w:r w:rsidRPr="00FA7ABA">
        <w:rPr>
          <w:rFonts w:asciiTheme="majorHAnsi" w:hAnsiTheme="majorHAnsi" w:cs="Franklin Gothic Book"/>
          <w:color w:val="000000"/>
          <w:szCs w:val="22"/>
        </w:rPr>
        <w:t>praxe;</w:t>
      </w:r>
    </w:p>
    <w:p w:rsidR="000A1D19" w:rsidRPr="00FA7ABA" w:rsidRDefault="000A1D19" w:rsidP="00302664">
      <w:pPr>
        <w:numPr>
          <w:ilvl w:val="0"/>
          <w:numId w:val="14"/>
        </w:numPr>
        <w:spacing w:before="0" w:after="0"/>
        <w:ind w:left="714" w:hanging="357"/>
        <w:rPr>
          <w:rFonts w:asciiTheme="majorHAnsi" w:hAnsiTheme="majorHAnsi" w:cs="Franklin Gothic Book"/>
          <w:color w:val="000000"/>
          <w:szCs w:val="22"/>
        </w:rPr>
      </w:pPr>
      <w:r w:rsidRPr="00FA7ABA">
        <w:rPr>
          <w:rFonts w:asciiTheme="majorHAnsi" w:hAnsiTheme="majorHAnsi" w:cs="Franklin Gothic Book"/>
          <w:color w:val="000000"/>
          <w:szCs w:val="22"/>
        </w:rPr>
        <w:t>zlepšenie podpory vzdelávania študentov, doktorandov a</w:t>
      </w:r>
      <w:r w:rsidR="00533B2B">
        <w:rPr>
          <w:rFonts w:asciiTheme="majorHAnsi" w:hAnsiTheme="majorHAnsi" w:cs="Franklin Gothic Book"/>
          <w:color w:val="000000"/>
          <w:szCs w:val="22"/>
        </w:rPr>
        <w:t> </w:t>
      </w:r>
      <w:r w:rsidRPr="00FA7ABA">
        <w:rPr>
          <w:rFonts w:asciiTheme="majorHAnsi" w:hAnsiTheme="majorHAnsi" w:cs="Franklin Gothic Book"/>
          <w:color w:val="000000"/>
          <w:szCs w:val="22"/>
        </w:rPr>
        <w:t>mladých vedeckých pracovníkov, na VŠ a</w:t>
      </w:r>
      <w:r w:rsidR="00533B2B">
        <w:rPr>
          <w:rFonts w:asciiTheme="majorHAnsi" w:hAnsiTheme="majorHAnsi" w:cs="Franklin Gothic Book"/>
          <w:color w:val="000000"/>
          <w:szCs w:val="22"/>
        </w:rPr>
        <w:t> </w:t>
      </w:r>
      <w:r w:rsidRPr="00FA7ABA">
        <w:rPr>
          <w:rFonts w:asciiTheme="majorHAnsi" w:hAnsiTheme="majorHAnsi" w:cs="Franklin Gothic Book"/>
          <w:color w:val="000000"/>
          <w:szCs w:val="22"/>
        </w:rPr>
        <w:t>vo výskume;</w:t>
      </w:r>
    </w:p>
    <w:p w:rsidR="000A1D19" w:rsidRPr="00BA3AB1" w:rsidRDefault="000A1D19" w:rsidP="00302664">
      <w:pPr>
        <w:numPr>
          <w:ilvl w:val="0"/>
          <w:numId w:val="14"/>
        </w:numPr>
        <w:spacing w:before="0" w:after="0"/>
        <w:ind w:left="714" w:hanging="357"/>
        <w:rPr>
          <w:rFonts w:asciiTheme="majorHAnsi" w:hAnsiTheme="majorHAnsi" w:cs="Franklin Gothic Book"/>
          <w:color w:val="000000"/>
          <w:szCs w:val="22"/>
        </w:rPr>
      </w:pPr>
      <w:r w:rsidRPr="00BA3AB1">
        <w:rPr>
          <w:rFonts w:asciiTheme="majorHAnsi" w:hAnsiTheme="majorHAnsi" w:cs="Franklin Gothic Book"/>
          <w:color w:val="000000"/>
          <w:szCs w:val="22"/>
        </w:rPr>
        <w:t xml:space="preserve">zvýšenie účasti dospelých na </w:t>
      </w:r>
      <w:r w:rsidR="00D80235">
        <w:rPr>
          <w:rFonts w:asciiTheme="majorHAnsi" w:hAnsiTheme="majorHAnsi" w:cs="Franklin Gothic Book"/>
          <w:color w:val="000000"/>
          <w:szCs w:val="22"/>
        </w:rPr>
        <w:t>celoživotnom vzdelávaní</w:t>
      </w:r>
      <w:r w:rsidRPr="00BA3AB1">
        <w:rPr>
          <w:rFonts w:asciiTheme="majorHAnsi" w:hAnsiTheme="majorHAnsi" w:cs="Franklin Gothic Book"/>
          <w:color w:val="000000"/>
          <w:szCs w:val="22"/>
        </w:rPr>
        <w:t xml:space="preserve"> s</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osobitným dôrazom na ľudí, ktorí si potrebujú zvýšiť a</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obnoviť kvalifikáciu, ľudí s</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nízkym vzdelaním/nízkou kvalifikáciou pre ich udržateľnosť na trhu práce v</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súlade s</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požiadavkami trhu práce</w:t>
      </w:r>
      <w:r w:rsidR="00173144">
        <w:rPr>
          <w:rFonts w:asciiTheme="majorHAnsi" w:hAnsiTheme="majorHAnsi" w:cs="Franklin Gothic Book"/>
          <w:color w:val="000000"/>
          <w:szCs w:val="22"/>
        </w:rPr>
        <w:t>;</w:t>
      </w:r>
    </w:p>
    <w:p w:rsidR="000A1D19" w:rsidRPr="00BA3AB1" w:rsidRDefault="000A1D19" w:rsidP="00302664">
      <w:pPr>
        <w:numPr>
          <w:ilvl w:val="0"/>
          <w:numId w:val="14"/>
        </w:numPr>
        <w:spacing w:before="0" w:after="0"/>
        <w:ind w:left="714" w:hanging="357"/>
        <w:rPr>
          <w:rFonts w:asciiTheme="majorHAnsi" w:hAnsiTheme="majorHAnsi" w:cs="Franklin Gothic Book"/>
          <w:color w:val="000000"/>
          <w:szCs w:val="22"/>
        </w:rPr>
      </w:pPr>
      <w:r w:rsidRPr="00BA3AB1">
        <w:rPr>
          <w:rFonts w:asciiTheme="majorHAnsi" w:hAnsiTheme="majorHAnsi" w:cs="Franklin Gothic Book"/>
          <w:color w:val="000000"/>
          <w:szCs w:val="22"/>
        </w:rPr>
        <w:lastRenderedPageBreak/>
        <w:t>vytvorenie systému kompatibility a</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priechodnosti</w:t>
      </w:r>
      <w:r w:rsidR="00533B2B">
        <w:rPr>
          <w:rFonts w:asciiTheme="majorHAnsi" w:hAnsiTheme="majorHAnsi" w:cs="Franklin Gothic Book"/>
          <w:color w:val="000000"/>
          <w:szCs w:val="22"/>
        </w:rPr>
        <w:t xml:space="preserve"> </w:t>
      </w:r>
      <w:r w:rsidRPr="00BA3AB1">
        <w:rPr>
          <w:rFonts w:asciiTheme="majorHAnsi" w:hAnsiTheme="majorHAnsi" w:cs="Franklin Gothic Book"/>
          <w:color w:val="000000"/>
          <w:szCs w:val="22"/>
        </w:rPr>
        <w:t>medzi sektormi formálneho, neformálneho a</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informálneho vzdelávania (validácia výsledkov)</w:t>
      </w:r>
      <w:r w:rsidR="00173144">
        <w:rPr>
          <w:rFonts w:asciiTheme="majorHAnsi" w:hAnsiTheme="majorHAnsi" w:cs="Franklin Gothic Book"/>
          <w:color w:val="000000"/>
          <w:szCs w:val="22"/>
        </w:rPr>
        <w:t>;</w:t>
      </w:r>
    </w:p>
    <w:p w:rsidR="000A1D19" w:rsidRPr="00BA3AB1" w:rsidRDefault="000A1D19" w:rsidP="00302664">
      <w:pPr>
        <w:numPr>
          <w:ilvl w:val="0"/>
          <w:numId w:val="14"/>
        </w:numPr>
        <w:spacing w:before="0" w:after="0"/>
        <w:ind w:left="714" w:hanging="357"/>
        <w:rPr>
          <w:rFonts w:asciiTheme="majorHAnsi" w:hAnsiTheme="majorHAnsi" w:cs="Franklin Gothic Book"/>
          <w:color w:val="000000"/>
          <w:szCs w:val="22"/>
        </w:rPr>
      </w:pPr>
      <w:r w:rsidRPr="00BA3AB1">
        <w:rPr>
          <w:rFonts w:asciiTheme="majorHAnsi" w:hAnsiTheme="majorHAnsi" w:cs="Franklin Gothic Book"/>
          <w:color w:val="000000"/>
          <w:szCs w:val="22"/>
        </w:rPr>
        <w:t>priebežné revidovanie a</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aktualizácia Národného kvalifikačného rámca a</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Národnej sústavy kvalifikácií v</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súlade s</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Európskym</w:t>
      </w:r>
      <w:r w:rsidR="00533B2B">
        <w:rPr>
          <w:rFonts w:asciiTheme="majorHAnsi" w:hAnsiTheme="majorHAnsi" w:cs="Franklin Gothic Book"/>
          <w:color w:val="000000"/>
          <w:szCs w:val="22"/>
        </w:rPr>
        <w:t xml:space="preserve"> </w:t>
      </w:r>
      <w:r w:rsidRPr="00BA3AB1">
        <w:rPr>
          <w:rFonts w:asciiTheme="majorHAnsi" w:hAnsiTheme="majorHAnsi" w:cs="Franklin Gothic Book"/>
          <w:color w:val="000000"/>
          <w:szCs w:val="22"/>
        </w:rPr>
        <w:t>kvalifikačným rámcom</w:t>
      </w:r>
      <w:r w:rsidR="00173144">
        <w:rPr>
          <w:rFonts w:asciiTheme="majorHAnsi" w:hAnsiTheme="majorHAnsi" w:cs="Franklin Gothic Book"/>
          <w:color w:val="000000"/>
          <w:szCs w:val="22"/>
        </w:rPr>
        <w:t>;</w:t>
      </w:r>
    </w:p>
    <w:p w:rsidR="000A1D19" w:rsidRPr="00BA3AB1" w:rsidRDefault="000A1D19" w:rsidP="00302664">
      <w:pPr>
        <w:numPr>
          <w:ilvl w:val="0"/>
          <w:numId w:val="14"/>
        </w:numPr>
        <w:spacing w:before="0" w:after="0"/>
        <w:ind w:left="714" w:hanging="357"/>
        <w:rPr>
          <w:rFonts w:asciiTheme="majorHAnsi" w:hAnsiTheme="majorHAnsi" w:cs="Franklin Gothic Book"/>
          <w:color w:val="000000"/>
          <w:szCs w:val="22"/>
        </w:rPr>
      </w:pPr>
      <w:r w:rsidRPr="00BA3AB1">
        <w:rPr>
          <w:rFonts w:asciiTheme="majorHAnsi" w:hAnsiTheme="majorHAnsi" w:cs="Franklin Gothic Book"/>
          <w:color w:val="000000"/>
          <w:szCs w:val="22"/>
        </w:rPr>
        <w:t>zvýšenie profesijných kompetencií pedagogických a</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odborných zamestnancov a</w:t>
      </w:r>
      <w:r w:rsidR="00533B2B">
        <w:rPr>
          <w:rFonts w:asciiTheme="majorHAnsi" w:hAnsiTheme="majorHAnsi" w:cs="Franklin Gothic Book"/>
          <w:color w:val="000000"/>
          <w:szCs w:val="22"/>
        </w:rPr>
        <w:t> </w:t>
      </w:r>
      <w:r w:rsidRPr="00BA3AB1">
        <w:rPr>
          <w:rFonts w:asciiTheme="majorHAnsi" w:hAnsiTheme="majorHAnsi" w:cs="Franklin Gothic Book"/>
          <w:color w:val="000000"/>
          <w:szCs w:val="22"/>
        </w:rPr>
        <w:t>zavedenie systémov hodnotenia kvality vzdelávania.</w:t>
      </w:r>
    </w:p>
    <w:p w:rsidR="00A678A6" w:rsidRPr="00A678A6" w:rsidRDefault="00A678A6" w:rsidP="00A678A6">
      <w:pPr>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EFRR</w:t>
      </w:r>
    </w:p>
    <w:p w:rsidR="00A678A6" w:rsidRPr="00A678A6" w:rsidRDefault="00A678A6" w:rsidP="00302664">
      <w:pPr>
        <w:numPr>
          <w:ilvl w:val="0"/>
          <w:numId w:val="14"/>
        </w:numPr>
        <w:spacing w:before="0" w:after="0"/>
        <w:contextualSpacing/>
        <w:rPr>
          <w:rFonts w:asciiTheme="majorHAnsi" w:hAnsiTheme="majorHAnsi" w:cs="Franklin Gothic Book"/>
          <w:b/>
          <w:color w:val="000000"/>
          <w:szCs w:val="22"/>
        </w:rPr>
      </w:pPr>
      <w:r w:rsidRPr="00A678A6">
        <w:rPr>
          <w:rFonts w:asciiTheme="majorHAnsi" w:hAnsiTheme="majorHAnsi" w:cs="Franklin Gothic Book"/>
          <w:color w:val="000000"/>
          <w:szCs w:val="22"/>
        </w:rPr>
        <w:t>zvýšenie kvality a dostupnosti predprimárneho vzdelávania, vrátane inkluzívneho vzdelávania;</w:t>
      </w:r>
    </w:p>
    <w:p w:rsidR="00A678A6" w:rsidRPr="00A678A6" w:rsidRDefault="00A678A6" w:rsidP="00302664">
      <w:pPr>
        <w:numPr>
          <w:ilvl w:val="0"/>
          <w:numId w:val="14"/>
        </w:numPr>
        <w:spacing w:before="0" w:after="0"/>
        <w:contextualSpacing/>
        <w:rPr>
          <w:rFonts w:asciiTheme="majorHAnsi" w:hAnsiTheme="majorHAnsi" w:cs="Franklin Gothic Book"/>
          <w:b/>
          <w:color w:val="000000"/>
          <w:szCs w:val="22"/>
        </w:rPr>
      </w:pPr>
      <w:r w:rsidRPr="00A678A6">
        <w:rPr>
          <w:rFonts w:asciiTheme="majorHAnsi" w:hAnsiTheme="majorHAnsi" w:cs="Franklin Gothic Book"/>
          <w:color w:val="000000"/>
          <w:szCs w:val="22"/>
        </w:rPr>
        <w:t>zvýšenie kvality základného vzdelávania prostredníctvom cielených investícií</w:t>
      </w:r>
      <w:r w:rsidR="00522F1D" w:rsidRPr="00522F1D">
        <w:rPr>
          <w:rFonts w:ascii="Calibri" w:eastAsia="MS Mincho" w:hAnsi="Calibri" w:cs="Franklin Gothic Book"/>
          <w:color w:val="000000"/>
          <w:szCs w:val="22"/>
        </w:rPr>
        <w:t xml:space="preserve"> </w:t>
      </w:r>
      <w:r w:rsidR="00522F1D" w:rsidRPr="00522F1D">
        <w:rPr>
          <w:rFonts w:asciiTheme="majorHAnsi" w:hAnsiTheme="majorHAnsi" w:cs="Franklin Gothic Book"/>
          <w:color w:val="000000"/>
          <w:szCs w:val="22"/>
        </w:rPr>
        <w:t>do materiálno-technického vybavenia učební vrátane jazykových, prírodovedných, technických, IKT a polytechnických na získavanie zručností žiakov základných škôl;</w:t>
      </w:r>
    </w:p>
    <w:p w:rsidR="000A1D19" w:rsidRPr="006F002B" w:rsidRDefault="00A678A6" w:rsidP="00302664">
      <w:pPr>
        <w:numPr>
          <w:ilvl w:val="0"/>
          <w:numId w:val="14"/>
        </w:numPr>
        <w:spacing w:before="0" w:after="0"/>
        <w:contextualSpacing/>
        <w:rPr>
          <w:rFonts w:asciiTheme="majorHAnsi" w:hAnsiTheme="majorHAnsi" w:cs="Franklin Gothic Book"/>
          <w:b/>
          <w:color w:val="000000"/>
          <w:szCs w:val="22"/>
        </w:rPr>
      </w:pPr>
      <w:r w:rsidRPr="00A678A6">
        <w:rPr>
          <w:rFonts w:asciiTheme="majorHAnsi" w:hAnsiTheme="majorHAnsi" w:cs="Franklin Gothic Book"/>
          <w:color w:val="000000"/>
          <w:szCs w:val="22"/>
        </w:rPr>
        <w:t>zvýšenie kvality odborného vzdelávania pre potreby trhu práce</w:t>
      </w:r>
      <w:r w:rsidR="000A1D19">
        <w:rPr>
          <w:rFonts w:asciiTheme="majorHAnsi" w:hAnsiTheme="majorHAnsi" w:cs="Franklin Gothic Book"/>
          <w:color w:val="000000"/>
          <w:szCs w:val="22"/>
        </w:rPr>
        <w:t>;</w:t>
      </w:r>
    </w:p>
    <w:p w:rsidR="00A678A6" w:rsidRPr="000A1D19" w:rsidRDefault="000A1D19" w:rsidP="00302664">
      <w:pPr>
        <w:numPr>
          <w:ilvl w:val="0"/>
          <w:numId w:val="14"/>
        </w:numPr>
        <w:spacing w:before="0" w:after="0"/>
        <w:contextualSpacing/>
        <w:rPr>
          <w:rFonts w:asciiTheme="majorHAnsi" w:hAnsiTheme="majorHAnsi" w:cs="Franklin Gothic Book"/>
          <w:b/>
          <w:color w:val="000000"/>
          <w:szCs w:val="22"/>
        </w:rPr>
      </w:pPr>
      <w:r w:rsidRPr="00D46463">
        <w:rPr>
          <w:rFonts w:asciiTheme="majorHAnsi" w:hAnsiTheme="majorHAnsi" w:cs="Franklin Gothic Book"/>
          <w:color w:val="000000"/>
          <w:szCs w:val="22"/>
        </w:rPr>
        <w:t>zvýšenie miery spolupráce s</w:t>
      </w:r>
      <w:r w:rsidR="00533B2B">
        <w:rPr>
          <w:rFonts w:asciiTheme="majorHAnsi" w:hAnsiTheme="majorHAnsi" w:cs="Franklin Gothic Book"/>
          <w:color w:val="000000"/>
          <w:szCs w:val="22"/>
        </w:rPr>
        <w:t> </w:t>
      </w:r>
      <w:r w:rsidRPr="00D46463">
        <w:rPr>
          <w:rFonts w:asciiTheme="majorHAnsi" w:hAnsiTheme="majorHAnsi" w:cs="Franklin Gothic Book"/>
          <w:color w:val="000000"/>
          <w:szCs w:val="22"/>
        </w:rPr>
        <w:t>kľúčovými</w:t>
      </w:r>
      <w:r w:rsidR="00533B2B">
        <w:rPr>
          <w:rFonts w:asciiTheme="majorHAnsi" w:hAnsiTheme="majorHAnsi" w:cs="Franklin Gothic Book"/>
          <w:color w:val="000000"/>
          <w:szCs w:val="22"/>
        </w:rPr>
        <w:t xml:space="preserve"> </w:t>
      </w:r>
      <w:r w:rsidRPr="00D46463">
        <w:rPr>
          <w:rFonts w:asciiTheme="majorHAnsi" w:hAnsiTheme="majorHAnsi" w:cs="Franklin Gothic Book"/>
          <w:color w:val="000000"/>
          <w:szCs w:val="22"/>
        </w:rPr>
        <w:t>odvetviami priemyslu zo strany akademickej obce a</w:t>
      </w:r>
      <w:r w:rsidR="00533B2B">
        <w:rPr>
          <w:rFonts w:asciiTheme="majorHAnsi" w:hAnsiTheme="majorHAnsi" w:cs="Franklin Gothic Book"/>
          <w:color w:val="000000"/>
          <w:szCs w:val="22"/>
        </w:rPr>
        <w:t> </w:t>
      </w:r>
      <w:r w:rsidRPr="00D46463">
        <w:rPr>
          <w:rFonts w:asciiTheme="majorHAnsi" w:hAnsiTheme="majorHAnsi" w:cs="Franklin Gothic Book"/>
          <w:color w:val="000000"/>
          <w:szCs w:val="22"/>
        </w:rPr>
        <w:t>výskumnými</w:t>
      </w:r>
      <w:r w:rsidR="00533B2B">
        <w:rPr>
          <w:rFonts w:asciiTheme="majorHAnsi" w:hAnsiTheme="majorHAnsi" w:cs="Franklin Gothic Book"/>
          <w:color w:val="000000"/>
          <w:szCs w:val="22"/>
        </w:rPr>
        <w:t xml:space="preserve"> </w:t>
      </w:r>
      <w:r w:rsidRPr="00D46463">
        <w:rPr>
          <w:rFonts w:asciiTheme="majorHAnsi" w:hAnsiTheme="majorHAnsi" w:cs="Franklin Gothic Book"/>
          <w:color w:val="000000"/>
          <w:szCs w:val="22"/>
        </w:rPr>
        <w:t>komunitami a</w:t>
      </w:r>
      <w:r w:rsidR="00533B2B">
        <w:rPr>
          <w:rFonts w:asciiTheme="majorHAnsi" w:hAnsiTheme="majorHAnsi" w:cs="Franklin Gothic Book"/>
          <w:color w:val="000000"/>
          <w:szCs w:val="22"/>
        </w:rPr>
        <w:t> </w:t>
      </w:r>
      <w:r w:rsidR="00533B2B" w:rsidRPr="00D46463">
        <w:rPr>
          <w:rFonts w:asciiTheme="majorHAnsi" w:hAnsiTheme="majorHAnsi" w:cs="Franklin Gothic Book"/>
          <w:color w:val="000000"/>
          <w:szCs w:val="22"/>
        </w:rPr>
        <w:t>zlepšenie</w:t>
      </w:r>
      <w:r w:rsidR="00533B2B">
        <w:rPr>
          <w:rFonts w:asciiTheme="majorHAnsi" w:hAnsiTheme="majorHAnsi" w:cs="Franklin Gothic Book"/>
          <w:color w:val="000000"/>
          <w:szCs w:val="22"/>
        </w:rPr>
        <w:t xml:space="preserve"> </w:t>
      </w:r>
      <w:r w:rsidRPr="00D46463">
        <w:rPr>
          <w:rFonts w:asciiTheme="majorHAnsi" w:hAnsiTheme="majorHAnsi" w:cs="Franklin Gothic Book"/>
          <w:color w:val="000000"/>
          <w:szCs w:val="22"/>
        </w:rPr>
        <w:t>zapojenia podnikov do vzdelávania.</w:t>
      </w:r>
    </w:p>
    <w:p w:rsidR="00A678A6" w:rsidRPr="00A678A6" w:rsidRDefault="00A678A6" w:rsidP="00A678A6">
      <w:pPr>
        <w:spacing w:after="0"/>
        <w:jc w:val="left"/>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EPFRV</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počtu pracovníkov a manažérov rôznych typov</w:t>
      </w:r>
      <w:r w:rsidR="00CC6BE7">
        <w:rPr>
          <w:rFonts w:asciiTheme="majorHAnsi" w:hAnsiTheme="majorHAnsi" w:cs="Franklin Gothic Book"/>
          <w:color w:val="000000"/>
          <w:szCs w:val="22"/>
        </w:rPr>
        <w:t xml:space="preserve"> pôdohospodárskych podnikov </w:t>
      </w:r>
      <w:r w:rsidRPr="00A678A6">
        <w:rPr>
          <w:rFonts w:asciiTheme="majorHAnsi" w:hAnsiTheme="majorHAnsi" w:cs="Franklin Gothic Book"/>
          <w:color w:val="000000"/>
          <w:szCs w:val="22"/>
        </w:rPr>
        <w:t>vyškolených v oblastiach zameraných na potrebu produkcie s vyššou pridanou hodnotou a vyššou kvalitou, ktoré posilnia konkurencieschopnosť poľnohospodárstva, potravinárstva a lesníctva a zároveň podporia trh prostredníctvom nových distribučných kanálov, krátkych reťazcov, regionálnych tržníc a pod.</w:t>
      </w:r>
    </w:p>
    <w:p w:rsidR="00A678A6" w:rsidRPr="00A678A6" w:rsidRDefault="00A678A6" w:rsidP="006F002B">
      <w:pPr>
        <w:keepNext/>
        <w:keepLines/>
        <w:numPr>
          <w:ilvl w:val="2"/>
          <w:numId w:val="2"/>
        </w:numPr>
        <w:spacing w:before="200" w:after="0"/>
        <w:outlineLvl w:val="2"/>
        <w:rPr>
          <w:rFonts w:asciiTheme="majorHAnsi" w:eastAsiaTheme="majorEastAsia" w:hAnsiTheme="majorHAnsi"/>
          <w:b/>
          <w:bCs/>
          <w:color w:val="4F81BD" w:themeColor="accent1"/>
          <w:sz w:val="26"/>
          <w:lang w:eastAsia="cs-CZ"/>
        </w:rPr>
      </w:pPr>
      <w:r w:rsidRPr="00A678A6">
        <w:rPr>
          <w:rFonts w:asciiTheme="majorHAnsi" w:eastAsiaTheme="majorEastAsia" w:hAnsiTheme="majorHAnsi"/>
          <w:b/>
          <w:bCs/>
          <w:color w:val="4F81BD" w:themeColor="accent1"/>
          <w:sz w:val="26"/>
          <w:lang w:eastAsia="cs-CZ"/>
        </w:rPr>
        <w:t>Národná priorita: Trvalo udržateľné a efektívne využívanie prírodných zdrojov</w:t>
      </w:r>
    </w:p>
    <w:p w:rsidR="00A678A6" w:rsidRPr="00A678A6" w:rsidRDefault="00A678A6" w:rsidP="006F002B">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4: Podpora prechodu na nízkouhlíkové hospodárstvo vo všetkých sektoroch</w:t>
      </w:r>
    </w:p>
    <w:p w:rsidR="00A678A6" w:rsidRPr="00A678A6" w:rsidRDefault="00A678A6" w:rsidP="006F002B">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súčasnom období dominuje pri využívaní OZE výroba elektriny vo veľkých vodných elektrárňach a využívanie biomasy, ktorá má najväčší energetický potenciál zo všetkých druhov OZE. V programovom období 2007 – 2013 sa výrazne znížila energetická náročnosť najmä v odvetví priemyslu, a to zavádzaním nových inovatívnych technológií a zvyšovaním podielu priemyselných odvetví s vyššou pridanou hodnotou. Povinné využívanie systému energetických auditov a aplikácia nízko nákladových opatrení identifikovaných v týchto auditoch taktiež významne ovplyvnila zníženie spotreby energie v priemysle. Zlepšením tepelno-technických vlastností budov sa znížila spotreba tepla, pričom sa očakáva, že do roku 2020 bude zateplená asi polovica existujúcich budov. Dôležitým faktorom v podmienkach SR je absencia akčných plánov zameraných na trvalo udržateľnú energetiku aj napriek tomu, že sa postupne zvyšuje informovanosť v</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oblasti</w:t>
      </w:r>
      <w:r w:rsidR="00533B2B">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energetickej efektívnosti pre odborníkov a laickú verejnosť. Oblasť výroby energie, ako aj zásobovania teplom je charakteristická nízkym podielom OZE, technicky a ekonomicky zastaranými technológiami výroby energie, rozvodov a spôsobov zásobovania teplom. Úspory primárnych energetických zdrojov z</w:t>
      </w:r>
      <w:r w:rsidR="00B37993">
        <w:rPr>
          <w:rFonts w:asciiTheme="majorHAnsi" w:hAnsiTheme="majorHAnsi" w:cs="Franklin Gothic Book"/>
          <w:color w:val="000000"/>
          <w:szCs w:val="22"/>
        </w:rPr>
        <w:t> </w:t>
      </w:r>
      <w:r w:rsidRPr="00A678A6">
        <w:rPr>
          <w:rFonts w:asciiTheme="majorHAnsi" w:hAnsiTheme="majorHAnsi" w:cs="Franklin Gothic Book"/>
          <w:color w:val="000000"/>
          <w:szCs w:val="22"/>
        </w:rPr>
        <w:t>KVET sa síce postupne zvyšujú, ale znižovanie emisií oxidu uhličitého nekopíruje krivku úspor primárnych energetických zdrojov, čo je ovplyvnené najmä podielom plynu, jadrového paliva a biomasy na celkových úsporách primárnych energetických zdrojov. Najvyšší podiel výroby tepla pripadá na individuálne zdroje tepla, a to najmä zemný plyn, čo odzrkadľuje výraznú plošnú plynofikáciu SR. Ostatné primárne energetické zdroje</w:t>
      </w:r>
      <w:r w:rsidR="009E60ED">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ako napr. bioplyn, slnečná energia a geotermálna energia sa podieľajú na výrobe tepla v</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individuálnych zdrojoch tepla menej ako 1 %.</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lastRenderedPageBreak/>
        <w:t>Zdôvodnenie výberu</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zmysle špecifických odporúčaní Rady pre SR</w:t>
      </w:r>
      <w:r w:rsidRPr="00A678A6">
        <w:rPr>
          <w:rFonts w:asciiTheme="majorHAnsi" w:hAnsiTheme="majorHAnsi" w:cs="Franklin Gothic Book"/>
          <w:color w:val="000000"/>
          <w:szCs w:val="22"/>
          <w:vertAlign w:val="superscript"/>
        </w:rPr>
        <w:footnoteReference w:id="291"/>
      </w:r>
      <w:r w:rsidRPr="00A678A6">
        <w:rPr>
          <w:rFonts w:asciiTheme="majorHAnsi" w:hAnsiTheme="majorHAnsi" w:cs="Franklin Gothic Book"/>
          <w:color w:val="000000"/>
          <w:szCs w:val="22"/>
        </w:rPr>
        <w:t xml:space="preserve"> je potrebné zlepšiť energetickú efektívnosť, najmä </w:t>
      </w:r>
      <w:r w:rsidR="007C3565">
        <w:rPr>
          <w:rFonts w:asciiTheme="majorHAnsi" w:hAnsiTheme="majorHAnsi" w:cs="Franklin Gothic Book"/>
          <w:color w:val="000000"/>
          <w:szCs w:val="22"/>
        </w:rPr>
        <w:t>v </w:t>
      </w:r>
      <w:r w:rsidR="009153D7">
        <w:rPr>
          <w:rFonts w:asciiTheme="majorHAnsi" w:hAnsiTheme="majorHAnsi" w:cs="Franklin Gothic Book"/>
          <w:color w:val="000000"/>
          <w:szCs w:val="22"/>
        </w:rPr>
        <w:t xml:space="preserve">budovách </w:t>
      </w:r>
      <w:r w:rsidR="007C3565">
        <w:rPr>
          <w:rFonts w:asciiTheme="majorHAnsi" w:hAnsiTheme="majorHAnsi" w:cs="Franklin Gothic Book"/>
          <w:color w:val="000000"/>
          <w:szCs w:val="22"/>
        </w:rPr>
        <w:t>a</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v priemysle.</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Na základe smernice 2012/27/EÚ o</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energetickej efektívnosti</w:t>
      </w:r>
      <w:r w:rsidRPr="00A678A6">
        <w:rPr>
          <w:rFonts w:asciiTheme="majorHAnsi" w:hAnsiTheme="majorHAnsi" w:cs="Franklin Gothic Book"/>
          <w:color w:val="000000"/>
          <w:szCs w:val="22"/>
          <w:vertAlign w:val="superscript"/>
        </w:rPr>
        <w:footnoteReference w:id="292"/>
      </w:r>
      <w:r w:rsidRPr="00A678A6">
        <w:rPr>
          <w:rFonts w:asciiTheme="majorHAnsi" w:hAnsiTheme="majorHAnsi" w:cs="Franklin Gothic Book"/>
          <w:color w:val="000000"/>
          <w:szCs w:val="22"/>
        </w:rPr>
        <w:t xml:space="preserve"> je potrebné dosiahnuť do roku 2020 zníženie primárnej spotreby energie o</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20 % v porovnaní so základným scenárom. Táto úspora sa bude týkať všetkých oblastí spotreby energie, ako aj premeny, prenosu a distribúcie energie. Zároveň bude nevyhnutné zabezpečiť úspory energie z</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vysoko účinnej kombinovanej výroby elektriny a tepla a efektívneho centrálneho zásobovania teplom.</w:t>
      </w:r>
    </w:p>
    <w:p w:rsidR="00603CCC" w:rsidRPr="00603CCC" w:rsidRDefault="00A678A6" w:rsidP="00603CCC">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Stratégia Európa 2020 stanovuje päť hlavných merateľných cieľov a z nich jeden pre oblasť klímy a energie, a to „20/20/20“ (t. j. znížiť emisie skleníkových plynov o</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minimálne 20 % v porovnaní s úrovňami z roku 1990, alebo o</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30 % v</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prípade priaznivých podmienok; zvýšiť podiel </w:t>
      </w:r>
      <w:r w:rsidR="009E60ED">
        <w:rPr>
          <w:rFonts w:asciiTheme="majorHAnsi" w:hAnsiTheme="majorHAnsi" w:cs="Franklin Gothic Book"/>
          <w:color w:val="000000"/>
          <w:szCs w:val="22"/>
        </w:rPr>
        <w:t>OZE</w:t>
      </w:r>
      <w:r w:rsidRPr="00A678A6">
        <w:rPr>
          <w:rFonts w:asciiTheme="majorHAnsi" w:hAnsiTheme="majorHAnsi" w:cs="Franklin Gothic Book"/>
          <w:color w:val="000000"/>
          <w:szCs w:val="22"/>
        </w:rPr>
        <w:t xml:space="preserve"> na konečnej spotrebe energie o</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20 % a zlepšiť energetickú efektívnosť o</w:t>
      </w:r>
      <w:r w:rsidR="00533B2B">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20 %). </w:t>
      </w:r>
      <w:r w:rsidR="00603CCC" w:rsidRPr="00603CCC">
        <w:rPr>
          <w:rFonts w:asciiTheme="majorHAnsi" w:hAnsiTheme="majorHAnsi" w:cs="Franklin Gothic Book"/>
          <w:color w:val="000000"/>
          <w:szCs w:val="22"/>
        </w:rPr>
        <w:t xml:space="preserve">Čo sa týka emisií SR v sektoroch mimo ETS (doprava, pôdohospodárstvo, obyvateľstvo, odpadové hospodárstvo, energetické a priemyselné zdroje mimo ETS), v zmysle NPR </w:t>
      </w:r>
      <w:r w:rsidR="00603CCC">
        <w:rPr>
          <w:rFonts w:asciiTheme="majorHAnsi" w:hAnsiTheme="majorHAnsi" w:cs="Franklin Gothic Book"/>
          <w:color w:val="000000"/>
          <w:szCs w:val="22"/>
        </w:rPr>
        <w:t xml:space="preserve">sa môžu </w:t>
      </w:r>
      <w:r w:rsidR="00603CCC" w:rsidRPr="00603CCC">
        <w:rPr>
          <w:rFonts w:asciiTheme="majorHAnsi" w:hAnsiTheme="majorHAnsi" w:cs="Franklin Gothic Book"/>
          <w:color w:val="000000"/>
          <w:szCs w:val="22"/>
        </w:rPr>
        <w:t>do roku 2020 pri dodržaní stanovených ročných limitov zvýšiť maximálne o</w:t>
      </w:r>
      <w:r w:rsidR="00533B2B">
        <w:rPr>
          <w:rFonts w:asciiTheme="majorHAnsi" w:hAnsiTheme="majorHAnsi" w:cs="Franklin Gothic Book"/>
          <w:color w:val="000000"/>
          <w:szCs w:val="22"/>
        </w:rPr>
        <w:t> </w:t>
      </w:r>
      <w:r w:rsidR="00603CCC" w:rsidRPr="00603CCC">
        <w:rPr>
          <w:rFonts w:asciiTheme="majorHAnsi" w:hAnsiTheme="majorHAnsi" w:cs="Franklin Gothic Book"/>
          <w:color w:val="000000"/>
          <w:szCs w:val="22"/>
        </w:rPr>
        <w:t>13% v porovnaní s rokom 2005.</w:t>
      </w:r>
      <w:r w:rsidR="005801AE" w:rsidRPr="005801AE">
        <w:rPr>
          <w:rFonts w:asciiTheme="majorHAnsi" w:hAnsiTheme="majorHAnsi"/>
        </w:rPr>
        <w:t xml:space="preserve"> </w:t>
      </w:r>
      <w:r w:rsidR="00603CCC" w:rsidRPr="00603CCC">
        <w:rPr>
          <w:rFonts w:asciiTheme="majorHAnsi" w:hAnsiTheme="majorHAnsi" w:cs="Franklin Gothic Book"/>
          <w:color w:val="000000"/>
          <w:szCs w:val="22"/>
        </w:rPr>
        <w:t xml:space="preserve">Ďalším cieľom NPR je zvýšiť podiel </w:t>
      </w:r>
      <w:r w:rsidR="00533B2B">
        <w:rPr>
          <w:rFonts w:asciiTheme="majorHAnsi" w:hAnsiTheme="majorHAnsi" w:cs="Franklin Gothic Book"/>
          <w:color w:val="000000"/>
          <w:szCs w:val="22"/>
        </w:rPr>
        <w:t>OZE</w:t>
      </w:r>
      <w:r w:rsidR="00603CCC" w:rsidRPr="00603CCC">
        <w:rPr>
          <w:rFonts w:asciiTheme="majorHAnsi" w:hAnsiTheme="majorHAnsi" w:cs="Franklin Gothic Book"/>
          <w:color w:val="000000"/>
          <w:szCs w:val="22"/>
        </w:rPr>
        <w:t xml:space="preserve"> na konečnej spotrebe energie na 14 % a dosiahnuť úspory energie vo výške 11 % z priemernej konečnej energetickej spotreby v rokoch 2001 – 2005, v zmysle metodiky k smernici 2006/32/ES.</w:t>
      </w:r>
    </w:p>
    <w:p w:rsidR="00A678A6" w:rsidRDefault="009153D7" w:rsidP="00A678A6">
      <w:pPr>
        <w:autoSpaceDE w:val="0"/>
        <w:autoSpaceDN w:val="0"/>
        <w:adjustRightInd w:val="0"/>
        <w:spacing w:after="0"/>
        <w:rPr>
          <w:rFonts w:asciiTheme="majorHAnsi" w:hAnsiTheme="majorHAnsi" w:cs="Franklin Gothic Book"/>
          <w:color w:val="000000"/>
          <w:szCs w:val="22"/>
        </w:rPr>
      </w:pPr>
      <w:r>
        <w:rPr>
          <w:rFonts w:asciiTheme="majorHAnsi" w:hAnsiTheme="majorHAnsi" w:cs="Franklin Gothic Book"/>
          <w:color w:val="000000"/>
          <w:szCs w:val="22"/>
        </w:rPr>
        <w:t>V súvislosti s</w:t>
      </w:r>
      <w:r w:rsidR="00533B2B">
        <w:rPr>
          <w:rFonts w:asciiTheme="majorHAnsi" w:hAnsiTheme="majorHAnsi" w:cs="Franklin Gothic Book"/>
          <w:color w:val="000000"/>
          <w:szCs w:val="22"/>
        </w:rPr>
        <w:t> </w:t>
      </w:r>
      <w:r>
        <w:rPr>
          <w:rFonts w:asciiTheme="majorHAnsi" w:hAnsiTheme="majorHAnsi" w:cs="Franklin Gothic Book"/>
          <w:color w:val="000000"/>
          <w:szCs w:val="22"/>
        </w:rPr>
        <w:t>aktualizovanou</w:t>
      </w:r>
      <w:r w:rsidR="00533B2B">
        <w:rPr>
          <w:rFonts w:asciiTheme="majorHAnsi" w:hAnsiTheme="majorHAnsi" w:cs="Franklin Gothic Book"/>
          <w:color w:val="000000"/>
          <w:szCs w:val="22"/>
        </w:rPr>
        <w:t xml:space="preserve"> </w:t>
      </w:r>
      <w:r>
        <w:rPr>
          <w:rFonts w:asciiTheme="majorHAnsi" w:hAnsiTheme="majorHAnsi" w:cs="Franklin Gothic Book"/>
          <w:color w:val="000000"/>
          <w:szCs w:val="22"/>
        </w:rPr>
        <w:t>politikou v oblasti EE, ktorá je reprezentovaná novou smernicou 2012/27/</w:t>
      </w:r>
      <w:r w:rsidR="00596453">
        <w:rPr>
          <w:rFonts w:asciiTheme="majorHAnsi" w:hAnsiTheme="majorHAnsi" w:cs="Franklin Gothic Book"/>
          <w:color w:val="000000"/>
          <w:szCs w:val="22"/>
        </w:rPr>
        <w:t>EÚ,</w:t>
      </w:r>
      <w:r>
        <w:rPr>
          <w:rFonts w:asciiTheme="majorHAnsi" w:hAnsiTheme="majorHAnsi" w:cs="Franklin Gothic Book"/>
          <w:color w:val="000000"/>
          <w:szCs w:val="22"/>
        </w:rPr>
        <w:t xml:space="preserve"> bol cieľ SR aktualizovaný pre referenčné obdobie 2014 – 2020 a jeho výška, t. j. zníženie konečnej spotreby energie voči referenčnému scenáru PRIMES 2007 je na úrovni 23 %</w:t>
      </w:r>
      <w:r>
        <w:rPr>
          <w:rStyle w:val="Odkaznapoznmkupodiarou"/>
          <w:rFonts w:asciiTheme="majorHAnsi" w:hAnsiTheme="majorHAnsi"/>
          <w:color w:val="000000"/>
          <w:szCs w:val="22"/>
        </w:rPr>
        <w:footnoteReference w:id="293"/>
      </w:r>
      <w:r>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w:t>
      </w:r>
      <w:r w:rsidR="00A678A6" w:rsidRPr="00A678A6">
        <w:rPr>
          <w:rFonts w:asciiTheme="majorHAnsi" w:hAnsiTheme="majorHAnsi" w:cs="Franklin Gothic Book"/>
          <w:color w:val="000000"/>
          <w:szCs w:val="22"/>
        </w:rPr>
        <w:t xml:space="preserve">Podľa smernice 2012/27/EÚ o energetickej efektívnosti bude potrebné od roku 2014 zabezpečiť obnovu </w:t>
      </w:r>
      <w:r w:rsidR="00152731">
        <w:rPr>
          <w:rFonts w:asciiTheme="majorHAnsi" w:hAnsiTheme="majorHAnsi" w:cs="Franklin Gothic Book"/>
          <w:color w:val="000000"/>
          <w:szCs w:val="22"/>
        </w:rPr>
        <w:t>verejných budov</w:t>
      </w:r>
      <w:r w:rsidR="00A678A6" w:rsidRPr="00A678A6">
        <w:rPr>
          <w:rFonts w:asciiTheme="majorHAnsi" w:hAnsiTheme="majorHAnsi" w:cs="Franklin Gothic Book"/>
          <w:color w:val="000000"/>
          <w:szCs w:val="22"/>
        </w:rPr>
        <w:t>. Táto obnova sa bude týkať budov, ktoré nespĺňajú minimálne požiadavky na energetickú hospodárnosť budov podľa smernice 2010/31/EÚ o energetickej hospodárnosti budov</w:t>
      </w:r>
      <w:r w:rsidR="00A678A6" w:rsidRPr="00A678A6">
        <w:rPr>
          <w:rFonts w:asciiTheme="majorHAnsi" w:hAnsiTheme="majorHAnsi" w:cs="Franklin Gothic Book"/>
          <w:color w:val="000000"/>
          <w:szCs w:val="22"/>
          <w:vertAlign w:val="superscript"/>
        </w:rPr>
        <w:footnoteReference w:id="294"/>
      </w:r>
      <w:r w:rsidR="00A678A6" w:rsidRPr="00A678A6">
        <w:rPr>
          <w:rFonts w:asciiTheme="majorHAnsi" w:hAnsiTheme="majorHAnsi" w:cs="Franklin Gothic Book"/>
          <w:color w:val="000000"/>
          <w:szCs w:val="22"/>
        </w:rPr>
        <w:t>. Z pohľadu energetickej efektívnosti bude potrebné ročne obnoviť také budovy</w:t>
      </w:r>
      <w:r w:rsidR="00533B2B">
        <w:rPr>
          <w:rFonts w:asciiTheme="majorHAnsi" w:hAnsiTheme="majorHAnsi" w:cs="Franklin Gothic Book"/>
          <w:color w:val="000000"/>
          <w:szCs w:val="22"/>
        </w:rPr>
        <w:t>,</w:t>
      </w:r>
      <w:r w:rsidR="00A678A6" w:rsidRPr="00A678A6">
        <w:rPr>
          <w:rFonts w:asciiTheme="majorHAnsi" w:hAnsiTheme="majorHAnsi" w:cs="Franklin Gothic Book"/>
          <w:color w:val="000000"/>
          <w:szCs w:val="22"/>
        </w:rPr>
        <w:t xml:space="preserve"> ktoré prinesú úsporu energie zodpovedajúcu obnove 3 % celkovej podlahovej plochy budov nad 500 m</w:t>
      </w:r>
      <w:r w:rsidR="00A678A6" w:rsidRPr="00A678A6">
        <w:rPr>
          <w:rFonts w:asciiTheme="majorHAnsi" w:hAnsiTheme="majorHAnsi" w:cs="Franklin Gothic Book"/>
          <w:color w:val="000000"/>
          <w:szCs w:val="22"/>
          <w:vertAlign w:val="superscript"/>
        </w:rPr>
        <w:t>2</w:t>
      </w:r>
      <w:r w:rsidR="00A678A6" w:rsidRPr="00A678A6">
        <w:rPr>
          <w:rFonts w:asciiTheme="majorHAnsi" w:hAnsiTheme="majorHAnsi" w:cs="Franklin Gothic Book"/>
          <w:color w:val="000000"/>
          <w:szCs w:val="22"/>
        </w:rPr>
        <w:t xml:space="preserve">, neskôr nad </w:t>
      </w:r>
      <w:r w:rsidR="00533B2B">
        <w:rPr>
          <w:rFonts w:asciiTheme="majorHAnsi" w:hAnsiTheme="majorHAnsi" w:cs="Franklin Gothic Book"/>
          <w:color w:val="000000"/>
          <w:szCs w:val="22"/>
        </w:rPr>
        <w:br/>
      </w:r>
      <w:r w:rsidR="00A678A6" w:rsidRPr="00A678A6">
        <w:rPr>
          <w:rFonts w:asciiTheme="majorHAnsi" w:hAnsiTheme="majorHAnsi" w:cs="Franklin Gothic Book"/>
          <w:color w:val="000000"/>
          <w:szCs w:val="22"/>
        </w:rPr>
        <w:t>250 m</w:t>
      </w:r>
      <w:r w:rsidR="00A678A6" w:rsidRPr="00A678A6">
        <w:rPr>
          <w:rFonts w:asciiTheme="majorHAnsi" w:hAnsiTheme="majorHAnsi" w:cs="Franklin Gothic Book"/>
          <w:color w:val="000000"/>
          <w:szCs w:val="22"/>
          <w:vertAlign w:val="superscript"/>
        </w:rPr>
        <w:t>2</w:t>
      </w:r>
      <w:r w:rsidR="00A678A6" w:rsidRPr="00A678A6">
        <w:rPr>
          <w:rFonts w:asciiTheme="majorHAnsi" w:hAnsiTheme="majorHAnsi" w:cs="Franklin Gothic Book"/>
          <w:color w:val="000000"/>
          <w:szCs w:val="22"/>
        </w:rPr>
        <w:t>, v súvislosti s</w:t>
      </w:r>
      <w:r w:rsidR="00533B2B">
        <w:rPr>
          <w:rFonts w:asciiTheme="majorHAnsi" w:hAnsiTheme="majorHAnsi" w:cs="Franklin Gothic Book"/>
          <w:color w:val="000000"/>
          <w:szCs w:val="22"/>
        </w:rPr>
        <w:t> </w:t>
      </w:r>
      <w:r w:rsidR="00A678A6" w:rsidRPr="00A678A6">
        <w:rPr>
          <w:rFonts w:asciiTheme="majorHAnsi" w:hAnsiTheme="majorHAnsi" w:cs="Franklin Gothic Book"/>
          <w:color w:val="000000"/>
          <w:szCs w:val="22"/>
        </w:rPr>
        <w:t>minimálnymi</w:t>
      </w:r>
      <w:r w:rsidR="00533B2B">
        <w:rPr>
          <w:rFonts w:asciiTheme="majorHAnsi" w:hAnsiTheme="majorHAnsi" w:cs="Franklin Gothic Book"/>
          <w:color w:val="000000"/>
          <w:szCs w:val="22"/>
        </w:rPr>
        <w:t xml:space="preserve"> </w:t>
      </w:r>
      <w:r w:rsidR="00A678A6" w:rsidRPr="00A678A6">
        <w:rPr>
          <w:rFonts w:asciiTheme="majorHAnsi" w:hAnsiTheme="majorHAnsi" w:cs="Franklin Gothic Book"/>
          <w:color w:val="000000"/>
          <w:szCs w:val="22"/>
        </w:rPr>
        <w:t>požiadavkami podľa zákona č. 555/2005 Z. z. o</w:t>
      </w:r>
      <w:r w:rsidR="00533B2B">
        <w:rPr>
          <w:rFonts w:asciiTheme="majorHAnsi" w:hAnsiTheme="majorHAnsi" w:cs="Franklin Gothic Book"/>
          <w:color w:val="000000"/>
          <w:szCs w:val="22"/>
        </w:rPr>
        <w:t> </w:t>
      </w:r>
      <w:r w:rsidR="00A678A6" w:rsidRPr="00A678A6">
        <w:rPr>
          <w:rFonts w:asciiTheme="majorHAnsi" w:hAnsiTheme="majorHAnsi" w:cs="Franklin Gothic Book"/>
          <w:color w:val="000000"/>
          <w:szCs w:val="22"/>
        </w:rPr>
        <w:t>energetickej hospodárnosti budov v</w:t>
      </w:r>
      <w:r w:rsidR="00533B2B">
        <w:rPr>
          <w:rFonts w:asciiTheme="majorHAnsi" w:hAnsiTheme="majorHAnsi" w:cs="Franklin Gothic Book"/>
          <w:color w:val="000000"/>
          <w:szCs w:val="22"/>
        </w:rPr>
        <w:t> </w:t>
      </w:r>
      <w:r w:rsidR="00A678A6" w:rsidRPr="00A678A6">
        <w:rPr>
          <w:rFonts w:asciiTheme="majorHAnsi" w:hAnsiTheme="majorHAnsi" w:cs="Franklin Gothic Book"/>
          <w:color w:val="000000"/>
          <w:szCs w:val="22"/>
        </w:rPr>
        <w:t>znení</w:t>
      </w:r>
      <w:r w:rsidR="00533B2B">
        <w:rPr>
          <w:rFonts w:asciiTheme="majorHAnsi" w:hAnsiTheme="majorHAnsi" w:cs="Franklin Gothic Book"/>
          <w:color w:val="000000"/>
          <w:szCs w:val="22"/>
        </w:rPr>
        <w:t xml:space="preserve"> </w:t>
      </w:r>
      <w:r w:rsidR="00A678A6" w:rsidRPr="00A678A6">
        <w:rPr>
          <w:rFonts w:asciiTheme="majorHAnsi" w:hAnsiTheme="majorHAnsi" w:cs="Franklin Gothic Book"/>
          <w:color w:val="000000"/>
          <w:szCs w:val="22"/>
        </w:rPr>
        <w:t>neskorších predpisov.</w:t>
      </w:r>
      <w:r w:rsidR="00F21076" w:rsidRPr="00F21076">
        <w:rPr>
          <w:rFonts w:asciiTheme="majorHAnsi" w:hAnsiTheme="majorHAnsi" w:cs="Cambria"/>
          <w:szCs w:val="22"/>
        </w:rPr>
        <w:t xml:space="preserve"> </w:t>
      </w:r>
      <w:r w:rsidR="00F21076" w:rsidRPr="008176E1">
        <w:rPr>
          <w:rFonts w:asciiTheme="majorHAnsi" w:hAnsiTheme="majorHAnsi" w:cs="Cambria"/>
          <w:szCs w:val="22"/>
        </w:rPr>
        <w:t>Cieľ úspory energie podľa čl. 4 smernice 2012/27/EÚ o</w:t>
      </w:r>
      <w:r w:rsidR="00F21076">
        <w:rPr>
          <w:rFonts w:asciiTheme="majorHAnsi" w:hAnsiTheme="majorHAnsi" w:cs="Cambria"/>
          <w:szCs w:val="22"/>
        </w:rPr>
        <w:t> </w:t>
      </w:r>
      <w:r w:rsidR="00F21076" w:rsidRPr="008176E1">
        <w:rPr>
          <w:rFonts w:asciiTheme="majorHAnsi" w:hAnsiTheme="majorHAnsi" w:cs="Cambria"/>
          <w:szCs w:val="22"/>
        </w:rPr>
        <w:t>energetickej</w:t>
      </w:r>
      <w:r w:rsidR="00F21076">
        <w:rPr>
          <w:rFonts w:asciiTheme="majorHAnsi" w:hAnsiTheme="majorHAnsi" w:cs="Cambria"/>
          <w:szCs w:val="22"/>
        </w:rPr>
        <w:t xml:space="preserve"> </w:t>
      </w:r>
      <w:r w:rsidR="00F21076" w:rsidRPr="008176E1">
        <w:rPr>
          <w:rFonts w:asciiTheme="majorHAnsi" w:hAnsiTheme="majorHAnsi" w:cs="Cambria"/>
          <w:szCs w:val="22"/>
        </w:rPr>
        <w:t>efektívnosti, ktorý je stanovený ako ekvivalent 3</w:t>
      </w:r>
      <w:r w:rsidR="00F21076">
        <w:rPr>
          <w:rFonts w:asciiTheme="majorHAnsi" w:hAnsiTheme="majorHAnsi" w:cs="Cambria"/>
          <w:szCs w:val="22"/>
        </w:rPr>
        <w:t xml:space="preserve"> </w:t>
      </w:r>
      <w:r w:rsidR="00F21076" w:rsidRPr="008176E1">
        <w:rPr>
          <w:rFonts w:asciiTheme="majorHAnsi" w:hAnsiTheme="majorHAnsi" w:cs="Cambria"/>
          <w:szCs w:val="22"/>
        </w:rPr>
        <w:t>% obnovy podlahovej plochy budov ústredných orgánov štátnej správy ("povinné, resp. relevantné budovy"), čo predstavuje 52,17 GWh/rok, plánuje SR plniť alternatívnym spôsobom</w:t>
      </w:r>
      <w:r w:rsidR="00265B34">
        <w:rPr>
          <w:rFonts w:asciiTheme="majorHAnsi" w:hAnsiTheme="majorHAnsi" w:cs="Cambria"/>
          <w:szCs w:val="22"/>
        </w:rPr>
        <w:t>,</w:t>
      </w:r>
      <w:r w:rsidR="00F21076" w:rsidRPr="008176E1">
        <w:rPr>
          <w:rFonts w:asciiTheme="majorHAnsi" w:hAnsiTheme="majorHAnsi" w:cs="Cambria"/>
          <w:szCs w:val="22"/>
        </w:rPr>
        <w:t xml:space="preserve"> a</w:t>
      </w:r>
      <w:r w:rsidR="00533B2B">
        <w:rPr>
          <w:rFonts w:asciiTheme="majorHAnsi" w:hAnsiTheme="majorHAnsi" w:cs="Cambria"/>
          <w:szCs w:val="22"/>
        </w:rPr>
        <w:t> </w:t>
      </w:r>
      <w:r w:rsidR="00265B34">
        <w:rPr>
          <w:rFonts w:asciiTheme="majorHAnsi" w:hAnsiTheme="majorHAnsi" w:cs="Cambria"/>
          <w:szCs w:val="22"/>
        </w:rPr>
        <w:t>to</w:t>
      </w:r>
      <w:r w:rsidR="00533B2B">
        <w:rPr>
          <w:rFonts w:asciiTheme="majorHAnsi" w:hAnsiTheme="majorHAnsi" w:cs="Cambria"/>
          <w:szCs w:val="22"/>
        </w:rPr>
        <w:t xml:space="preserve"> </w:t>
      </w:r>
      <w:r w:rsidR="00F21076" w:rsidRPr="008176E1">
        <w:rPr>
          <w:rFonts w:asciiTheme="majorHAnsi" w:hAnsiTheme="majorHAnsi" w:cs="Cambria"/>
          <w:szCs w:val="22"/>
        </w:rPr>
        <w:t xml:space="preserve">realizáciou opatrení na úsporu energie vo verejných budovách mimo </w:t>
      </w:r>
      <w:r w:rsidR="00F21076">
        <w:rPr>
          <w:rFonts w:asciiTheme="majorHAnsi" w:hAnsiTheme="majorHAnsi" w:cs="Cambria"/>
          <w:szCs w:val="22"/>
        </w:rPr>
        <w:t>B</w:t>
      </w:r>
      <w:r w:rsidR="00C631B6">
        <w:rPr>
          <w:rFonts w:asciiTheme="majorHAnsi" w:hAnsiTheme="majorHAnsi" w:cs="Cambria"/>
          <w:szCs w:val="22"/>
        </w:rPr>
        <w:t>SK</w:t>
      </w:r>
      <w:r w:rsidR="00F21076" w:rsidRPr="008176E1">
        <w:rPr>
          <w:rFonts w:asciiTheme="majorHAnsi" w:hAnsiTheme="majorHAnsi" w:cs="Cambria"/>
          <w:szCs w:val="22"/>
        </w:rPr>
        <w:t>.</w:t>
      </w:r>
    </w:p>
    <w:p w:rsidR="00F21076" w:rsidRPr="00A678A6" w:rsidRDefault="00F21076" w:rsidP="00A678A6">
      <w:pPr>
        <w:autoSpaceDE w:val="0"/>
        <w:autoSpaceDN w:val="0"/>
        <w:adjustRightInd w:val="0"/>
        <w:spacing w:after="0"/>
        <w:rPr>
          <w:rFonts w:asciiTheme="majorHAnsi" w:hAnsiTheme="majorHAnsi" w:cs="Franklin Gothic Book"/>
          <w:color w:val="000000"/>
          <w:szCs w:val="22"/>
        </w:rPr>
      </w:pPr>
      <w:r w:rsidRPr="008176E1">
        <w:rPr>
          <w:rFonts w:asciiTheme="majorHAnsi" w:hAnsiTheme="majorHAnsi" w:cs="Franklin Gothic Book"/>
          <w:color w:val="000000"/>
          <w:szCs w:val="22"/>
        </w:rPr>
        <w:t>V priemysle sa bude potrebné zamerať na aktivity súvisiace s podporou vypracovania energetických auditov v MSP a na podporu realizácie opatrení, ktoré odborne spôsobilé osoby – energetickí audítori navrhnú v rámci súboru optimálnych opatrení (energetické, ekonomické a environmentálne hodnotenie). Prioritne sa bude musieť podpora zamerať na opatrenia s najvyšším potenciálom úspor energie, ktorými sú zlepšovanie energetickej náročnosti stavebných objektov v priemysl</w:t>
      </w:r>
      <w:r w:rsidR="00265B34">
        <w:rPr>
          <w:rFonts w:asciiTheme="majorHAnsi" w:hAnsiTheme="majorHAnsi" w:cs="Franklin Gothic Book"/>
          <w:color w:val="000000"/>
          <w:szCs w:val="22"/>
        </w:rPr>
        <w:t>e</w:t>
      </w:r>
      <w:r w:rsidRPr="008176E1">
        <w:rPr>
          <w:rFonts w:asciiTheme="majorHAnsi" w:hAnsiTheme="majorHAnsi" w:cs="Franklin Gothic Book"/>
          <w:color w:val="000000"/>
          <w:szCs w:val="22"/>
        </w:rPr>
        <w:t>, znižovanie energetickej náročnosti energetických zariadení, zavádzanie systémov merania a riadenia, vrátane energetických a</w:t>
      </w:r>
      <w:r>
        <w:rPr>
          <w:rFonts w:asciiTheme="majorHAnsi" w:hAnsiTheme="majorHAnsi" w:cs="Franklin Gothic Book"/>
          <w:color w:val="000000"/>
          <w:szCs w:val="22"/>
        </w:rPr>
        <w:t> </w:t>
      </w:r>
      <w:r w:rsidRPr="008176E1">
        <w:rPr>
          <w:rFonts w:asciiTheme="majorHAnsi" w:hAnsiTheme="majorHAnsi" w:cs="Franklin Gothic Book"/>
          <w:color w:val="000000"/>
          <w:szCs w:val="22"/>
        </w:rPr>
        <w:t>environmentálnych manažérskych systémov, resp. iné opatrenia, ktoré prispejú k znižovaniu spotreby primárnych energetických zdrojov.</w:t>
      </w:r>
    </w:p>
    <w:p w:rsid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lastRenderedPageBreak/>
        <w:t>Podpora projektov OZE je žiaduca z dôvodu naplnenia záväzného cieľa 14 %. To si vyžaduje aj podporu nových technológií, ktoré riešia problém integrácie decentralizovanej výroby elektriny. V prípade výroby tepla ide o ich využitie najmä v </w:t>
      </w:r>
      <w:r w:rsidR="00533B2B">
        <w:rPr>
          <w:rFonts w:asciiTheme="majorHAnsi" w:hAnsiTheme="majorHAnsi" w:cs="Franklin Gothic Book"/>
          <w:color w:val="000000"/>
          <w:szCs w:val="22"/>
        </w:rPr>
        <w:t>CZT</w:t>
      </w:r>
      <w:r w:rsidRPr="00A678A6">
        <w:rPr>
          <w:rFonts w:asciiTheme="majorHAnsi" w:hAnsiTheme="majorHAnsi" w:cs="Franklin Gothic Book"/>
          <w:color w:val="000000"/>
          <w:szCs w:val="22"/>
        </w:rPr>
        <w:t>, čím sa v prípade biomasy inovatívnymi technológiami rieši problém s PM10 a súčasne sa nahrádzajú málo efektívne systémy zásobovania teplom.</w:t>
      </w:r>
      <w:r w:rsidR="001E7392">
        <w:rPr>
          <w:rFonts w:asciiTheme="majorHAnsi" w:hAnsiTheme="majorHAnsi" w:cs="Franklin Gothic Book"/>
          <w:color w:val="000000"/>
          <w:szCs w:val="22"/>
        </w:rPr>
        <w:t xml:space="preserve"> Pri podpore zariadení produkujúcich energiu z obnoviteľných zdrojov je nutné zabrániť </w:t>
      </w:r>
      <w:r w:rsidR="00596453">
        <w:rPr>
          <w:rFonts w:asciiTheme="majorHAnsi" w:hAnsiTheme="majorHAnsi" w:cs="Franklin Gothic Book"/>
          <w:color w:val="000000"/>
          <w:szCs w:val="22"/>
        </w:rPr>
        <w:t xml:space="preserve">negatívnym vplyvom </w:t>
      </w:r>
      <w:r w:rsidR="001E7392">
        <w:rPr>
          <w:rFonts w:asciiTheme="majorHAnsi" w:hAnsiTheme="majorHAnsi" w:cs="Franklin Gothic Book"/>
          <w:color w:val="000000"/>
          <w:szCs w:val="22"/>
        </w:rPr>
        <w:t>na životné prostredie</w:t>
      </w:r>
      <w:r w:rsidR="001E7392">
        <w:rPr>
          <w:rStyle w:val="Odkaznapoznmkupodiarou"/>
          <w:rFonts w:asciiTheme="majorHAnsi" w:hAnsiTheme="majorHAnsi"/>
          <w:color w:val="000000"/>
          <w:szCs w:val="22"/>
        </w:rPr>
        <w:footnoteReference w:id="295"/>
      </w:r>
      <w:r w:rsidR="001E7392">
        <w:rPr>
          <w:rFonts w:asciiTheme="majorHAnsi" w:hAnsiTheme="majorHAnsi" w:cs="Franklin Gothic Book"/>
          <w:color w:val="000000"/>
          <w:szCs w:val="22"/>
        </w:rPr>
        <w:t>.</w:t>
      </w:r>
    </w:p>
    <w:p w:rsidR="006538EF" w:rsidRDefault="009153D7" w:rsidP="009153D7">
      <w:pPr>
        <w:autoSpaceDE w:val="0"/>
        <w:autoSpaceDN w:val="0"/>
        <w:adjustRightInd w:val="0"/>
        <w:spacing w:after="0"/>
        <w:rPr>
          <w:rFonts w:asciiTheme="majorHAnsi" w:hAnsiTheme="majorHAnsi" w:cs="Franklin Gothic Book"/>
          <w:color w:val="000000"/>
          <w:szCs w:val="22"/>
        </w:rPr>
      </w:pPr>
      <w:r>
        <w:rPr>
          <w:rFonts w:asciiTheme="majorHAnsi" w:hAnsiTheme="majorHAnsi" w:cs="Franklin Gothic Book"/>
          <w:color w:val="000000"/>
          <w:szCs w:val="22"/>
        </w:rPr>
        <w:t>Je potrebné v rámci podpory energetickej efektívnosti, využívania OZE a </w:t>
      </w:r>
      <w:r w:rsidR="00596453">
        <w:rPr>
          <w:rFonts w:asciiTheme="majorHAnsi" w:hAnsiTheme="majorHAnsi" w:cs="Franklin Gothic Book"/>
          <w:color w:val="000000"/>
          <w:szCs w:val="22"/>
        </w:rPr>
        <w:t xml:space="preserve">znižovania </w:t>
      </w:r>
      <w:r>
        <w:rPr>
          <w:rFonts w:asciiTheme="majorHAnsi" w:hAnsiTheme="majorHAnsi" w:cs="Franklin Gothic Book"/>
          <w:color w:val="000000"/>
          <w:szCs w:val="22"/>
        </w:rPr>
        <w:t>emisií skleníkových plynov zlepšovať informovanosť o dopadoch a výhodách takýchto typov aktivít. Zavádzaním systémov kontinuálneho zvyšovania informovanosti pre subjekty zúčastnené na implementácii nízkouhlíkových technológií sa zabezpečí pravidelné sledovanie a monitorovanie spotreby energie u relevantných subjektov a vytvorí sa priaznivé prostredie na implementáciu opatrení zameraných na úsporu energie a využívanie OZE. Rozšírením súčasného monitorovacieho systému efektívnosti pri používaní energie sa sprístupnia relevantné informácie o opatreniach v oblasti energetickej efektívnosti a využívania OZE.</w:t>
      </w:r>
    </w:p>
    <w:p w:rsidR="009153D7" w:rsidRDefault="00C46156" w:rsidP="009153D7">
      <w:pPr>
        <w:autoSpaceDE w:val="0"/>
        <w:autoSpaceDN w:val="0"/>
        <w:adjustRightInd w:val="0"/>
        <w:spacing w:after="0"/>
        <w:rPr>
          <w:rFonts w:asciiTheme="majorHAnsi" w:hAnsiTheme="majorHAnsi" w:cs="Franklin Gothic Book"/>
          <w:color w:val="000000"/>
          <w:szCs w:val="22"/>
        </w:rPr>
      </w:pPr>
      <w:r w:rsidRPr="00C46156">
        <w:rPr>
          <w:rFonts w:asciiTheme="majorHAnsi" w:hAnsiTheme="majorHAnsi" w:cs="Franklin Gothic Book"/>
          <w:color w:val="000000"/>
          <w:szCs w:val="22"/>
        </w:rPr>
        <w:t>Podporené budú nové funkcionality a</w:t>
      </w:r>
      <w:r w:rsidR="00533B2B">
        <w:rPr>
          <w:rFonts w:asciiTheme="majorHAnsi" w:hAnsiTheme="majorHAnsi" w:cs="Franklin Gothic Book"/>
          <w:color w:val="000000"/>
          <w:szCs w:val="22"/>
        </w:rPr>
        <w:t> </w:t>
      </w:r>
      <w:r w:rsidRPr="00C46156">
        <w:rPr>
          <w:rFonts w:asciiTheme="majorHAnsi" w:hAnsiTheme="majorHAnsi" w:cs="Franklin Gothic Book"/>
          <w:color w:val="000000"/>
          <w:szCs w:val="22"/>
        </w:rPr>
        <w:t>prispôsobenie</w:t>
      </w:r>
      <w:r w:rsidR="00533B2B">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monitorovacieho systému efektívnosti pri používaní energie, ktorý prevádzkuje Slovenská inovačná a</w:t>
      </w:r>
      <w:r w:rsidR="00533B2B">
        <w:rPr>
          <w:rFonts w:asciiTheme="majorHAnsi" w:hAnsiTheme="majorHAnsi" w:cs="Franklin Gothic Book"/>
          <w:color w:val="000000"/>
          <w:szCs w:val="22"/>
        </w:rPr>
        <w:t> </w:t>
      </w:r>
      <w:r w:rsidRPr="00C46156">
        <w:rPr>
          <w:rFonts w:asciiTheme="majorHAnsi" w:hAnsiTheme="majorHAnsi" w:cs="Franklin Gothic Book"/>
          <w:color w:val="000000"/>
          <w:szCs w:val="22"/>
        </w:rPr>
        <w:t>energetická</w:t>
      </w:r>
      <w:r w:rsidR="00533B2B">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agentúra na existujúce systémy zberu údajov v</w:t>
      </w:r>
      <w:r w:rsidR="00533B2B">
        <w:rPr>
          <w:rFonts w:asciiTheme="majorHAnsi" w:hAnsiTheme="majorHAnsi" w:cs="Franklin Gothic Book"/>
          <w:color w:val="000000"/>
          <w:szCs w:val="22"/>
        </w:rPr>
        <w:t> </w:t>
      </w:r>
      <w:r w:rsidRPr="00C46156">
        <w:rPr>
          <w:rFonts w:asciiTheme="majorHAnsi" w:hAnsiTheme="majorHAnsi" w:cs="Franklin Gothic Book"/>
          <w:color w:val="000000"/>
          <w:szCs w:val="22"/>
        </w:rPr>
        <w:t>súlade</w:t>
      </w:r>
      <w:r w:rsidR="00533B2B">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s</w:t>
      </w:r>
      <w:r w:rsidR="00533B2B">
        <w:rPr>
          <w:rFonts w:asciiTheme="majorHAnsi" w:hAnsiTheme="majorHAnsi" w:cs="Franklin Gothic Book"/>
          <w:color w:val="000000"/>
          <w:szCs w:val="22"/>
        </w:rPr>
        <w:t> </w:t>
      </w:r>
      <w:r w:rsidRPr="00C46156">
        <w:rPr>
          <w:rFonts w:asciiTheme="majorHAnsi" w:hAnsiTheme="majorHAnsi" w:cs="Franklin Gothic Book"/>
          <w:color w:val="000000"/>
          <w:szCs w:val="22"/>
        </w:rPr>
        <w:t>príslušnými</w:t>
      </w:r>
      <w:r w:rsidR="00533B2B">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právnymi predpismi. Cieľom uvedenej podpory bude najmä zníženie administratívneho zaťaženia poskytovateľov údajov o</w:t>
      </w:r>
      <w:r w:rsidR="00533B2B">
        <w:rPr>
          <w:rFonts w:asciiTheme="majorHAnsi" w:hAnsiTheme="majorHAnsi" w:cs="Franklin Gothic Book"/>
          <w:color w:val="000000"/>
          <w:szCs w:val="22"/>
        </w:rPr>
        <w:t> </w:t>
      </w:r>
      <w:r w:rsidRPr="00C46156">
        <w:rPr>
          <w:rFonts w:asciiTheme="majorHAnsi" w:hAnsiTheme="majorHAnsi" w:cs="Franklin Gothic Book"/>
          <w:color w:val="000000"/>
          <w:szCs w:val="22"/>
        </w:rPr>
        <w:t>spotrebe</w:t>
      </w:r>
      <w:r w:rsidR="00533B2B">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energie, realizácií opatrení v</w:t>
      </w:r>
      <w:r w:rsidR="00533B2B">
        <w:rPr>
          <w:rFonts w:asciiTheme="majorHAnsi" w:hAnsiTheme="majorHAnsi" w:cs="Franklin Gothic Book"/>
          <w:color w:val="000000"/>
          <w:szCs w:val="22"/>
        </w:rPr>
        <w:t> </w:t>
      </w:r>
      <w:r w:rsidRPr="00C46156">
        <w:rPr>
          <w:rFonts w:asciiTheme="majorHAnsi" w:hAnsiTheme="majorHAnsi" w:cs="Franklin Gothic Book"/>
          <w:color w:val="000000"/>
          <w:szCs w:val="22"/>
        </w:rPr>
        <w:t>oblasti</w:t>
      </w:r>
      <w:r w:rsidR="00533B2B">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energetickej efektívnosti a</w:t>
      </w:r>
      <w:r w:rsidR="00533B2B">
        <w:rPr>
          <w:rFonts w:asciiTheme="majorHAnsi" w:hAnsiTheme="majorHAnsi" w:cs="Franklin Gothic Book"/>
          <w:color w:val="000000"/>
          <w:szCs w:val="22"/>
        </w:rPr>
        <w:t> </w:t>
      </w:r>
      <w:r w:rsidRPr="00C46156">
        <w:rPr>
          <w:rFonts w:asciiTheme="majorHAnsi" w:hAnsiTheme="majorHAnsi" w:cs="Franklin Gothic Book"/>
          <w:color w:val="000000"/>
          <w:szCs w:val="22"/>
        </w:rPr>
        <w:t>využívaní</w:t>
      </w:r>
      <w:r w:rsidR="00533B2B">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OZE. Spoluprácou medzi riadiacimi orgánmi, sprostredkovateľskými orgánmi programov a</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prevádzkovateľom</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monitorovacieho systému sa vytvorí prostredie na zlepšenie monitorovania cieľov stanovených v</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akčných</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plánoch energetickej efektívnosti</w:t>
      </w:r>
      <w:r>
        <w:rPr>
          <w:rFonts w:asciiTheme="majorHAnsi" w:hAnsiTheme="majorHAnsi" w:cs="Franklin Gothic Book"/>
          <w:color w:val="000000"/>
          <w:szCs w:val="22"/>
        </w:rPr>
        <w:t>,</w:t>
      </w:r>
      <w:r w:rsidRPr="00C46156">
        <w:rPr>
          <w:rFonts w:asciiTheme="majorHAnsi" w:hAnsiTheme="majorHAnsi" w:cs="Franklin Gothic Book"/>
          <w:color w:val="000000"/>
          <w:szCs w:val="22"/>
        </w:rPr>
        <w:t xml:space="preserve"> a</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to</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prípadne</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aj</w:t>
      </w:r>
      <w:r w:rsidR="00265B34">
        <w:rPr>
          <w:rFonts w:asciiTheme="majorHAnsi" w:hAnsiTheme="majorHAnsi" w:cs="Franklin Gothic Book"/>
          <w:color w:val="000000"/>
          <w:szCs w:val="22"/>
        </w:rPr>
        <w:t xml:space="preserve"> s</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možnosťou</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priameho prístupu zástupcov riadiacich a</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sprostredkovateľských</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orgánov do systému a</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verifikáciou</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vkladaných údajov zo strany prevádzkovateľa monitorovacieho systému, ako aj vytvorením možnosti importu a</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exportu</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údajov medzi relevantnými systémami, ktoré sa v</w:t>
      </w:r>
      <w:r w:rsidR="002100D4">
        <w:rPr>
          <w:rFonts w:asciiTheme="majorHAnsi" w:hAnsiTheme="majorHAnsi" w:cs="Franklin Gothic Book"/>
          <w:color w:val="000000"/>
          <w:szCs w:val="22"/>
        </w:rPr>
        <w:t> </w:t>
      </w:r>
      <w:r w:rsidRPr="00C46156">
        <w:rPr>
          <w:rFonts w:asciiTheme="majorHAnsi" w:hAnsiTheme="majorHAnsi" w:cs="Franklin Gothic Book"/>
          <w:color w:val="000000"/>
          <w:szCs w:val="22"/>
        </w:rPr>
        <w:t>súčasnosti</w:t>
      </w:r>
      <w:r w:rsidR="002100D4">
        <w:rPr>
          <w:rFonts w:asciiTheme="majorHAnsi" w:hAnsiTheme="majorHAnsi" w:cs="Franklin Gothic Book"/>
          <w:color w:val="000000"/>
          <w:szCs w:val="22"/>
        </w:rPr>
        <w:t xml:space="preserve"> </w:t>
      </w:r>
      <w:r w:rsidRPr="00C46156">
        <w:rPr>
          <w:rFonts w:asciiTheme="majorHAnsi" w:hAnsiTheme="majorHAnsi" w:cs="Franklin Gothic Book"/>
          <w:color w:val="000000"/>
          <w:szCs w:val="22"/>
        </w:rPr>
        <w:t>používajú</w:t>
      </w:r>
      <w:r>
        <w:rPr>
          <w:rFonts w:asciiTheme="majorHAnsi" w:hAnsiTheme="majorHAnsi" w:cs="Franklin Gothic Book"/>
          <w:color w:val="000000"/>
          <w:szCs w:val="22"/>
        </w:rPr>
        <w:t>.</w:t>
      </w:r>
    </w:p>
    <w:p w:rsidR="00A678A6" w:rsidRDefault="00A678A6" w:rsidP="0064605C">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 xml:space="preserve">V oblasti rozvoja vidieka je žiaduce podporovať zvýšenie </w:t>
      </w:r>
      <w:r w:rsidR="005252AF">
        <w:rPr>
          <w:rFonts w:asciiTheme="majorHAnsi" w:hAnsiTheme="majorHAnsi" w:cs="Franklin Gothic Book"/>
          <w:color w:val="000000"/>
          <w:szCs w:val="22"/>
        </w:rPr>
        <w:t xml:space="preserve">využívania OZE, zvýšenie </w:t>
      </w:r>
      <w:r w:rsidRPr="00A678A6">
        <w:rPr>
          <w:rFonts w:asciiTheme="majorHAnsi" w:hAnsiTheme="majorHAnsi" w:cs="Franklin Gothic Book"/>
          <w:color w:val="000000"/>
          <w:szCs w:val="22"/>
        </w:rPr>
        <w:t>energetickej</w:t>
      </w:r>
      <w:r w:rsidR="009E60ED">
        <w:rPr>
          <w:rFonts w:asciiTheme="majorHAnsi" w:hAnsiTheme="majorHAnsi" w:cs="Franklin Gothic Book"/>
          <w:color w:val="000000"/>
          <w:szCs w:val="22"/>
        </w:rPr>
        <w:t xml:space="preserve"> e</w:t>
      </w:r>
      <w:r w:rsidRPr="00A678A6">
        <w:rPr>
          <w:rFonts w:asciiTheme="majorHAnsi" w:hAnsiTheme="majorHAnsi" w:cs="Franklin Gothic Book"/>
          <w:color w:val="000000"/>
          <w:szCs w:val="22"/>
        </w:rPr>
        <w:t>fektívnosti a úspory energie, modernizáciu a obnovu zastaraných strojov a technológií s nízkou energetickou účinnosťou, ako aj investície na energetickú transformáciu biomasy, ktorá je pestovaná na plochách nevyužívanej poľnohospodárskej pôdy a odpadovej biomasy. Zároveň je potrebné podporovať pestovanie rýchlorastúcich drevín len na pôde mimo informačného systému produkčných blokov na poľnohospodárskej pôde (LPIS) a na plochách nevhodných na poľnohospodársku produkciu. Rovnako je potrebné zabezpečiť vzdelávanie a osvetu poľnohospodárov so zameraním na cielené zníženie emisií skleníkových plynov z poľnohospodárstva, ako aj motiváciu znižovať emisie.</w:t>
      </w:r>
    </w:p>
    <w:p w:rsidR="007B7E75" w:rsidRPr="007B7E75" w:rsidRDefault="007B7E75" w:rsidP="003F0750">
      <w:pPr>
        <w:autoSpaceDE w:val="0"/>
        <w:autoSpaceDN w:val="0"/>
        <w:adjustRightInd w:val="0"/>
        <w:spacing w:before="0" w:after="0"/>
        <w:rPr>
          <w:rFonts w:asciiTheme="majorHAnsi" w:hAnsiTheme="majorHAnsi" w:cs="Franklin Gothic Book"/>
          <w:color w:val="000000"/>
          <w:szCs w:val="22"/>
        </w:rPr>
      </w:pPr>
      <w:r w:rsidRPr="007B7E75">
        <w:rPr>
          <w:rFonts w:asciiTheme="majorHAnsi" w:hAnsiTheme="majorHAnsi" w:cs="Franklin Gothic Book"/>
          <w:color w:val="000000"/>
          <w:szCs w:val="22"/>
        </w:rPr>
        <w:t>Komplementárnym spôsobom bude prispievať k implementáci</w:t>
      </w:r>
      <w:r w:rsidR="009E60ED">
        <w:rPr>
          <w:rFonts w:asciiTheme="majorHAnsi" w:hAnsiTheme="majorHAnsi" w:cs="Franklin Gothic Book"/>
          <w:color w:val="000000"/>
          <w:szCs w:val="22"/>
        </w:rPr>
        <w:t xml:space="preserve">i </w:t>
      </w:r>
      <w:r w:rsidRPr="007B7E75">
        <w:rPr>
          <w:rFonts w:asciiTheme="majorHAnsi" w:hAnsiTheme="majorHAnsi" w:cs="Franklin Gothic Book"/>
          <w:color w:val="000000"/>
          <w:szCs w:val="22"/>
        </w:rPr>
        <w:t>stratégie RIS3.</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64605C">
      <w:pPr>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EFRR</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výroby a distribúcie energie z obnoviteľných zdrojov;</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energetickej efektívnosti a využitia energie z obnoviteľných zdrojov v podnikoch prostredníctvom energetického auditu;</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zníženie spotreby energie a zvýšenie podielu OZE pri prevádzke budov pri zohľadnení minimálnych požiadaviek v rámci ich hĺbkovej renováci</w:t>
      </w:r>
      <w:r w:rsidR="009E60ED">
        <w:rPr>
          <w:rFonts w:asciiTheme="majorHAnsi" w:hAnsiTheme="majorHAnsi" w:cs="Franklin Gothic Book"/>
          <w:color w:val="000000"/>
          <w:szCs w:val="22"/>
        </w:rPr>
        <w:t>e</w:t>
      </w:r>
      <w:r w:rsidRPr="00A678A6">
        <w:rPr>
          <w:rFonts w:asciiTheme="majorHAnsi" w:hAnsiTheme="majorHAnsi" w:cs="Franklin Gothic Book"/>
          <w:color w:val="000000"/>
          <w:szCs w:val="22"/>
        </w:rPr>
        <w:t>, vrátane zníženia spotreby energie obytných sídel;</w:t>
      </w:r>
    </w:p>
    <w:p w:rsid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využívania OZE, zlepšenie energetickej efektívnosti a znižovanie emisií skleníkových plynov pre všetky typy území, prostredníctvom regionálnych a lokálnych akčných plánov udržateľnej energetiky a rozvoja energetických služieb;</w:t>
      </w:r>
    </w:p>
    <w:p w:rsidR="009153D7" w:rsidRDefault="009153D7" w:rsidP="00302664">
      <w:pPr>
        <w:numPr>
          <w:ilvl w:val="0"/>
          <w:numId w:val="14"/>
        </w:numPr>
        <w:spacing w:before="0" w:after="0"/>
        <w:contextualSpacing/>
        <w:rPr>
          <w:rFonts w:asciiTheme="majorHAnsi" w:hAnsiTheme="majorHAnsi" w:cs="Franklin Gothic Book"/>
          <w:color w:val="000000"/>
          <w:szCs w:val="22"/>
        </w:rPr>
      </w:pPr>
      <w:r>
        <w:rPr>
          <w:rFonts w:asciiTheme="majorHAnsi" w:hAnsiTheme="majorHAnsi" w:cs="Franklin Gothic Book"/>
          <w:color w:val="000000"/>
          <w:szCs w:val="22"/>
        </w:rPr>
        <w:lastRenderedPageBreak/>
        <w:t>zvýšenie podpory energetickej efektívnosti, využívania OZE a znižovania emisií skleníkových plynov zavedením systémov kontinuálneho zvyšovania informovanosti;</w:t>
      </w:r>
    </w:p>
    <w:p w:rsidR="009153D7" w:rsidRPr="009153D7" w:rsidRDefault="009153D7" w:rsidP="00302664">
      <w:pPr>
        <w:numPr>
          <w:ilvl w:val="0"/>
          <w:numId w:val="14"/>
        </w:numPr>
        <w:spacing w:before="0" w:after="0"/>
        <w:contextualSpacing/>
        <w:rPr>
          <w:rFonts w:asciiTheme="majorHAnsi" w:hAnsiTheme="majorHAnsi" w:cs="Franklin Gothic Book"/>
          <w:color w:val="000000"/>
          <w:szCs w:val="22"/>
        </w:rPr>
      </w:pPr>
      <w:r>
        <w:rPr>
          <w:rFonts w:asciiTheme="majorHAnsi" w:hAnsiTheme="majorHAnsi" w:cs="Franklin Gothic Book"/>
          <w:color w:val="000000"/>
          <w:szCs w:val="22"/>
        </w:rPr>
        <w:t>zvýšenie úspor energie zavedením regionálnych a miestnych akčných plánov udržateľnej energetiky;</w:t>
      </w:r>
    </w:p>
    <w:p w:rsidR="00A678A6" w:rsidRPr="00A678A6" w:rsidRDefault="00A678A6" w:rsidP="00302664">
      <w:pPr>
        <w:numPr>
          <w:ilvl w:val="0"/>
          <w:numId w:val="14"/>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zníženie strát energie v systémoch CZT prostredníctvom rekonštrukcie a modernizácie rozvodov tepla.</w:t>
      </w:r>
    </w:p>
    <w:p w:rsidR="00A678A6" w:rsidRPr="00A678A6" w:rsidRDefault="00A678A6" w:rsidP="00A678A6">
      <w:pPr>
        <w:spacing w:before="240"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EPFRV</w:t>
      </w:r>
    </w:p>
    <w:p w:rsidR="00A678A6" w:rsidRDefault="00A678A6" w:rsidP="00302664">
      <w:pPr>
        <w:numPr>
          <w:ilvl w:val="0"/>
          <w:numId w:val="16"/>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zvýšenie využívania </w:t>
      </w:r>
      <w:r w:rsidR="00EF6420">
        <w:rPr>
          <w:rFonts w:asciiTheme="majorHAnsi" w:hAnsiTheme="majorHAnsi" w:cs="Franklin Gothic Book"/>
          <w:color w:val="000000"/>
          <w:szCs w:val="22"/>
        </w:rPr>
        <w:t>OZE</w:t>
      </w:r>
      <w:r w:rsidRPr="00A678A6">
        <w:rPr>
          <w:rFonts w:asciiTheme="majorHAnsi" w:hAnsiTheme="majorHAnsi" w:cs="Franklin Gothic Book"/>
          <w:color w:val="000000"/>
          <w:szCs w:val="22"/>
        </w:rPr>
        <w:t>, vedľajších produktov, odpadov, zvyškov a iných nepotravinových surovín na účel biohospodárstva</w:t>
      </w:r>
      <w:r w:rsidR="005252AF">
        <w:rPr>
          <w:rFonts w:asciiTheme="majorHAnsi" w:hAnsiTheme="majorHAnsi" w:cs="Franklin Gothic Book"/>
          <w:color w:val="000000"/>
          <w:szCs w:val="22"/>
        </w:rPr>
        <w:t xml:space="preserve"> vrátane zvýšenia energetickej efektívnosti</w:t>
      </w:r>
      <w:r w:rsidRPr="00A678A6">
        <w:rPr>
          <w:rFonts w:asciiTheme="majorHAnsi" w:hAnsiTheme="majorHAnsi" w:cs="Franklin Gothic Book"/>
          <w:color w:val="000000"/>
          <w:szCs w:val="22"/>
        </w:rPr>
        <w:t>;</w:t>
      </w:r>
    </w:p>
    <w:p w:rsidR="00DD35A0" w:rsidRDefault="00DD35A0" w:rsidP="00302664">
      <w:pPr>
        <w:numPr>
          <w:ilvl w:val="0"/>
          <w:numId w:val="16"/>
        </w:numPr>
        <w:spacing w:before="0" w:after="0"/>
        <w:contextualSpacing/>
        <w:rPr>
          <w:rFonts w:asciiTheme="majorHAnsi" w:hAnsiTheme="majorHAnsi" w:cs="Franklin Gothic Book"/>
          <w:color w:val="000000"/>
          <w:szCs w:val="22"/>
        </w:rPr>
      </w:pPr>
      <w:r w:rsidRPr="00DD35A0">
        <w:rPr>
          <w:rFonts w:asciiTheme="majorHAnsi" w:hAnsiTheme="majorHAnsi" w:cs="Franklin Gothic Book"/>
          <w:color w:val="000000"/>
          <w:szCs w:val="22"/>
        </w:rPr>
        <w:t>zvýšenie efektívneho využívania zdrojov a prechodu na nízkouhlíkové hospodárstvo odolné voči zmene klímy v odvetviach poľnohospodárstva, potravinárstva a lesného hospodárstva</w:t>
      </w:r>
      <w:r>
        <w:rPr>
          <w:rFonts w:asciiTheme="majorHAnsi" w:hAnsiTheme="majorHAnsi" w:cs="Franklin Gothic Book"/>
          <w:color w:val="000000"/>
          <w:szCs w:val="22"/>
        </w:rPr>
        <w:t>;</w:t>
      </w:r>
    </w:p>
    <w:p w:rsidR="00DD35A0" w:rsidRPr="00A678A6" w:rsidRDefault="00DD35A0" w:rsidP="00302664">
      <w:pPr>
        <w:numPr>
          <w:ilvl w:val="0"/>
          <w:numId w:val="16"/>
        </w:numPr>
        <w:spacing w:before="0" w:after="0"/>
        <w:contextualSpacing/>
        <w:rPr>
          <w:rFonts w:asciiTheme="majorHAnsi" w:hAnsiTheme="majorHAnsi" w:cs="Franklin Gothic Book"/>
          <w:color w:val="000000"/>
          <w:szCs w:val="22"/>
        </w:rPr>
      </w:pPr>
      <w:r w:rsidRPr="00DD35A0">
        <w:rPr>
          <w:rFonts w:asciiTheme="majorHAnsi" w:hAnsiTheme="majorHAnsi" w:cs="Franklin Gothic Book"/>
          <w:color w:val="000000"/>
          <w:szCs w:val="22"/>
        </w:rPr>
        <w:t>zníženie emisií skleníkových plynov a amoniaku z</w:t>
      </w:r>
      <w:r>
        <w:rPr>
          <w:rFonts w:asciiTheme="majorHAnsi" w:hAnsiTheme="majorHAnsi" w:cs="Franklin Gothic Book"/>
          <w:color w:val="000000"/>
          <w:szCs w:val="22"/>
        </w:rPr>
        <w:t> </w:t>
      </w:r>
      <w:r w:rsidRPr="00DD35A0">
        <w:rPr>
          <w:rFonts w:asciiTheme="majorHAnsi" w:hAnsiTheme="majorHAnsi" w:cs="Franklin Gothic Book"/>
          <w:color w:val="000000"/>
          <w:szCs w:val="22"/>
        </w:rPr>
        <w:t>poľnohospodárstva</w:t>
      </w:r>
      <w:r>
        <w:rPr>
          <w:rFonts w:asciiTheme="majorHAnsi" w:hAnsiTheme="majorHAnsi" w:cs="Franklin Gothic Book"/>
          <w:color w:val="000000"/>
          <w:szCs w:val="22"/>
        </w:rPr>
        <w:t>;</w:t>
      </w:r>
    </w:p>
    <w:p w:rsidR="00A678A6" w:rsidRPr="00A678A6" w:rsidRDefault="00A678A6" w:rsidP="00302664">
      <w:pPr>
        <w:numPr>
          <w:ilvl w:val="0"/>
          <w:numId w:val="16"/>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podpora </w:t>
      </w:r>
      <w:r w:rsidR="002D3F36">
        <w:rPr>
          <w:rFonts w:asciiTheme="majorHAnsi" w:hAnsiTheme="majorHAnsi" w:cs="Franklin Gothic Book"/>
          <w:color w:val="000000"/>
          <w:szCs w:val="22"/>
        </w:rPr>
        <w:t xml:space="preserve">využívania </w:t>
      </w:r>
      <w:r w:rsidR="00E93336">
        <w:rPr>
          <w:rFonts w:asciiTheme="majorHAnsi" w:hAnsiTheme="majorHAnsi" w:cs="Franklin Gothic Book"/>
          <w:color w:val="000000"/>
          <w:szCs w:val="22"/>
        </w:rPr>
        <w:t>OZE</w:t>
      </w:r>
      <w:r w:rsidRPr="00A678A6">
        <w:rPr>
          <w:rFonts w:asciiTheme="majorHAnsi" w:hAnsiTheme="majorHAnsi" w:cs="Franklin Gothic Book"/>
          <w:color w:val="000000"/>
          <w:szCs w:val="22"/>
        </w:rPr>
        <w:t>;</w:t>
      </w:r>
    </w:p>
    <w:p w:rsidR="00A678A6" w:rsidRPr="00A678A6" w:rsidRDefault="00A678A6" w:rsidP="00302664">
      <w:pPr>
        <w:numPr>
          <w:ilvl w:val="0"/>
          <w:numId w:val="16"/>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zvýšenie efektívnosti využívania energie </w:t>
      </w:r>
      <w:r w:rsidR="005252AF">
        <w:rPr>
          <w:rFonts w:asciiTheme="majorHAnsi" w:hAnsiTheme="majorHAnsi" w:cs="Franklin Gothic Book"/>
          <w:color w:val="000000"/>
          <w:szCs w:val="22"/>
        </w:rPr>
        <w:t xml:space="preserve">v poľnohospodárstve a </w:t>
      </w:r>
      <w:r w:rsidRPr="00A678A6">
        <w:rPr>
          <w:rFonts w:asciiTheme="majorHAnsi" w:hAnsiTheme="majorHAnsi" w:cs="Franklin Gothic Book"/>
          <w:color w:val="000000"/>
          <w:szCs w:val="22"/>
        </w:rPr>
        <w:t>pri výrobe potravín.</w:t>
      </w:r>
    </w:p>
    <w:p w:rsidR="00A678A6" w:rsidRPr="00A678A6" w:rsidRDefault="00A678A6" w:rsidP="00C109F3">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5: Podpora prispôsobovania sa zmene klímy, predchádzanie a riadenie rizika</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Z národných správ SR o zmene klímy vyplýva, že klimatická zmena prinesie častejší výskyt vĺn horúčav s dennými priemermi teploty vzduchu nad 24 °C a tiež častejší výskyt a väčšiu individuálnu dobu trvania suchých periód. Najvýznamnejšími opatreniami aktívnej adaptácie na zmenu klímy sú predovšetkým aktivity na zabezpečenie efektívneho hospodárenia s vodou, a</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to zabezpečením využívania efektívnych závlah (závlahových detailov) pre pokračovanie poľnohospodárstva, podporou zadržiavania vody v krajine, ako aj na ochranu pred povodňami. Medzi takéto opatrenia patrí aj vhodná kombinácia preventívnych technických opatrení na tokoch a na poľnohospodárskej a lesnej pôde, ako aj využívanie zelenej infraštruktúry v krajine.</w:t>
      </w:r>
    </w:p>
    <w:p w:rsidR="00A678A6" w:rsidRPr="00A678A6" w:rsidRDefault="00A678A6" w:rsidP="00A678A6">
      <w:pPr>
        <w:spacing w:after="0"/>
        <w:rPr>
          <w:rFonts w:asciiTheme="majorHAnsi" w:hAnsiTheme="majorHAnsi"/>
          <w:sz w:val="20"/>
          <w:lang w:eastAsia="cs-CZ"/>
        </w:rPr>
      </w:pPr>
      <w:r w:rsidRPr="00A678A6">
        <w:rPr>
          <w:rFonts w:asciiTheme="majorHAnsi" w:hAnsiTheme="majorHAnsi" w:cs="Franklin Gothic Book"/>
          <w:color w:val="000000"/>
          <w:szCs w:val="22"/>
        </w:rPr>
        <w:t>Na území SR sa nachádza veľké množstvo svahových deformácií a viaceré uzavreté a opustené úložiská ťažobných odpadov, ktoré vzhľadom na uložený materiál predstavujú najmä v prípade povodní</w:t>
      </w:r>
      <w:r w:rsidR="009E60ED">
        <w:rPr>
          <w:rFonts w:asciiTheme="majorHAnsi" w:hAnsiTheme="majorHAnsi" w:cs="Franklin Gothic Book"/>
          <w:color w:val="000000"/>
          <w:szCs w:val="22"/>
        </w:rPr>
        <w:t>,</w:t>
      </w:r>
      <w:r w:rsidRPr="00A678A6">
        <w:rPr>
          <w:rFonts w:asciiTheme="majorHAnsi" w:hAnsiTheme="majorHAnsi" w:cs="Franklin Gothic Book"/>
          <w:color w:val="000000"/>
          <w:szCs w:val="22"/>
        </w:rPr>
        <w:t xml:space="preserve"> významné riziko z</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hľadiska vplyvu na zdravie ľudí a na stav životného prostredia. Sanácia havarijných zosuvov, ako aj rekultivácia uzavretých a opustených úložísk ťažobného odpadu preto prispieva k eliminácii závažných rizík súvisiacich so zmenou klímy. Absentujúce opatrenia na ochranu zdravia prispievajú k</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zvýšeniu zraniteľnosti a nízkej schopnosti adaptácie obyvateľstva. Dôsledky zmeny klímy a ich vplyv na výkonnosť slovenskej ekonomiky budú v budúcnosti príznačné a z dlhodobého hľadiska môžu vážne ovplyvniť rozvojový potenciál a trvalú udržateľnosť krajiny. Na základe projekcií budúceho vývoja by v prípade nerealizovania adaptačných opatrení mohlo dôjsť k spomaleniu slovenského hospodárstva v dlhodobom horizonte (2050) na úrovni 0,4-0,7 % ročného HDP. SR v súčasnom období nemá zabezpečené dostatočné efektívne riadenie rizík </w:t>
      </w:r>
      <w:r w:rsidR="00C856AF" w:rsidRPr="00A678A6">
        <w:rPr>
          <w:rFonts w:asciiTheme="majorHAnsi" w:hAnsiTheme="majorHAnsi" w:cs="Franklin Gothic Book"/>
          <w:color w:val="000000"/>
          <w:szCs w:val="22"/>
        </w:rPr>
        <w:t>vyplývajúc</w:t>
      </w:r>
      <w:r w:rsidR="00C856AF">
        <w:rPr>
          <w:rFonts w:asciiTheme="majorHAnsi" w:hAnsiTheme="majorHAnsi" w:cs="Franklin Gothic Book"/>
          <w:color w:val="000000"/>
          <w:szCs w:val="22"/>
        </w:rPr>
        <w:t>ich</w:t>
      </w:r>
      <w:r w:rsidR="00C856AF" w:rsidRPr="00A678A6">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 xml:space="preserve">zo zmeny klímy. Zároveň sú nedostatočne vybudované nástroje na riešenie osobitných rizík, zabezpečenie odolnosti voči </w:t>
      </w:r>
      <w:r w:rsidR="00CE1647">
        <w:rPr>
          <w:rFonts w:asciiTheme="majorHAnsi" w:hAnsiTheme="majorHAnsi" w:cs="Franklin Gothic Book"/>
          <w:color w:val="000000"/>
          <w:szCs w:val="22"/>
        </w:rPr>
        <w:t>mimoriadnym udalostiam</w:t>
      </w:r>
      <w:r w:rsidR="00CE1647" w:rsidRPr="00A678A6">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 xml:space="preserve">a systémy na zvládanie </w:t>
      </w:r>
      <w:r w:rsidR="00CE1647">
        <w:rPr>
          <w:rFonts w:asciiTheme="majorHAnsi" w:hAnsiTheme="majorHAnsi" w:cs="Franklin Gothic Book"/>
          <w:color w:val="000000"/>
          <w:szCs w:val="22"/>
        </w:rPr>
        <w:t>mimoriadnych udalostí</w:t>
      </w:r>
      <w:r w:rsidR="00CE1647" w:rsidRPr="00A678A6">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v záujme ochrany životov, zdravia, majetku a infraštruktúry, ako aj zvýšenia odolnosti hospodárstva a krajiny a zabezpečenia základných predpokladov pre udržateľný rast.</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súlade s Kjótskym protokolom k Rámcovému dohovoru OSN o</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zmene klímy</w:t>
      </w:r>
      <w:r w:rsidRPr="00A678A6">
        <w:rPr>
          <w:rFonts w:asciiTheme="majorHAnsi" w:hAnsiTheme="majorHAnsi" w:cs="Franklin Gothic Book"/>
          <w:color w:val="000000"/>
          <w:szCs w:val="22"/>
          <w:vertAlign w:val="superscript"/>
        </w:rPr>
        <w:footnoteReference w:id="296"/>
      </w:r>
      <w:r w:rsidRPr="00A678A6">
        <w:rPr>
          <w:rFonts w:asciiTheme="majorHAnsi" w:hAnsiTheme="majorHAnsi" w:cs="Franklin Gothic Book"/>
          <w:color w:val="000000"/>
          <w:szCs w:val="22"/>
        </w:rPr>
        <w:t xml:space="preserve"> je potrebné identifikovať predbežné opatrenia na predvídanie, predchádzanie, alebo minimalizáciu príčin zmeny klímy a</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zmierniť jej nepriaznivé účinky, ako aj zabezpečiť ich účinnú realizáciu. Nepriaznivé dôsledky </w:t>
      </w:r>
      <w:r w:rsidRPr="00A678A6">
        <w:rPr>
          <w:rFonts w:asciiTheme="majorHAnsi" w:hAnsiTheme="majorHAnsi" w:cs="Franklin Gothic Book"/>
          <w:color w:val="000000"/>
          <w:szCs w:val="22"/>
        </w:rPr>
        <w:lastRenderedPageBreak/>
        <w:t>zmeny klímy sú v podmienkach SR hlavne povodne</w:t>
      </w:r>
      <w:r w:rsidRPr="00A678A6">
        <w:rPr>
          <w:rFonts w:asciiTheme="majorHAnsi" w:hAnsiTheme="majorHAnsi" w:cs="Franklin Gothic Book"/>
          <w:color w:val="000000"/>
          <w:szCs w:val="22"/>
          <w:vertAlign w:val="superscript"/>
        </w:rPr>
        <w:footnoteReference w:id="297"/>
      </w:r>
      <w:r w:rsidRPr="00A678A6">
        <w:rPr>
          <w:rFonts w:asciiTheme="majorHAnsi" w:hAnsiTheme="majorHAnsi" w:cs="Franklin Gothic Book"/>
          <w:color w:val="000000"/>
          <w:szCs w:val="22"/>
        </w:rPr>
        <w:t>, zosuvy, ale aj dlhotrvajúce obdobia sucha a vlny horúčav, znižovanie vlhkosti pôdy a</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 xml:space="preserve">lesné požiare. Aktuálnou potrebou je zvýšenie pripravenosti SR na uplatňovanie princípov minimalizácie investičných rizík v dôsledku zmeny klímy, ako aj realizácia opatrení na prevenciu a zmiernenie rizík súvisiacich so zmenou klímy a ich riadenie. Riešením je podpora investícií na adaptáciu na zmenu klímy, vrátane ekosystémových prístupov, ako aj tvorby „zelených“ pracovných miest a na ochranu zdravia,  podpora investícií na riešenie osobitných rizík, zabezpečenie odolnosti voči </w:t>
      </w:r>
      <w:r w:rsidR="00CE1647">
        <w:rPr>
          <w:rFonts w:asciiTheme="majorHAnsi" w:hAnsiTheme="majorHAnsi" w:cs="Franklin Gothic Book"/>
          <w:color w:val="000000"/>
          <w:szCs w:val="22"/>
        </w:rPr>
        <w:t>mimoriadnym udalostiam</w:t>
      </w:r>
      <w:r w:rsidR="00CE1647" w:rsidRPr="00A678A6">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 xml:space="preserve">a vyvíjanie systémov zvládania </w:t>
      </w:r>
      <w:r w:rsidR="00CE1647">
        <w:rPr>
          <w:rFonts w:asciiTheme="majorHAnsi" w:hAnsiTheme="majorHAnsi" w:cs="Franklin Gothic Book"/>
          <w:color w:val="000000"/>
          <w:szCs w:val="22"/>
        </w:rPr>
        <w:t>mimoriadnych udalostí</w:t>
      </w:r>
      <w:r w:rsidRPr="00A678A6">
        <w:rPr>
          <w:rFonts w:asciiTheme="majorHAnsi" w:hAnsiTheme="majorHAnsi" w:cs="Franklin Gothic Book"/>
          <w:color w:val="000000"/>
          <w:szCs w:val="22"/>
        </w:rPr>
        <w:t>.</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oblasti poľnohospodárstva je potrebné podporovať činnosti zlepšujúce starostlivosť o kvalitu pôdy, osobitne obsah organickej hmoty v pôde, elimináciu zhutnenia pôd a pod., vedúcej k zvýšeniu retenčnej kapacity vôd a zadržiavaniu vody v krajine. Rovnako je dôležité zabrániť pokračujúcej degradácii pôd, ktorá spôsobuje každoročne značné škody, osobitne eróziou (vodná a veterná), zhutnením pôdy, stratou pôdnej organickej hmoty a s tým súvisiacim zhoršením biologickej aktivity a vodného režimu pôdy. Zároveň je v poľnohospodárstve nevyhnutné reagovať na rozširovanie dopadov sucha, a</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to z dôvodu prebiehajúcich zmen</w:t>
      </w:r>
      <w:r w:rsidR="00A24F2B">
        <w:rPr>
          <w:rFonts w:asciiTheme="majorHAnsi" w:hAnsiTheme="majorHAnsi" w:cs="Franklin Gothic Book"/>
          <w:color w:val="000000"/>
          <w:szCs w:val="22"/>
        </w:rPr>
        <w:t>y</w:t>
      </w:r>
      <w:r w:rsidRPr="00A678A6">
        <w:rPr>
          <w:rFonts w:asciiTheme="majorHAnsi" w:hAnsiTheme="majorHAnsi" w:cs="Franklin Gothic Book"/>
          <w:color w:val="000000"/>
          <w:szCs w:val="22"/>
        </w:rPr>
        <w:t xml:space="preserve"> </w:t>
      </w:r>
      <w:r w:rsidR="00A24F2B">
        <w:rPr>
          <w:rFonts w:asciiTheme="majorHAnsi" w:hAnsiTheme="majorHAnsi" w:cs="Franklin Gothic Book"/>
          <w:color w:val="000000"/>
          <w:szCs w:val="22"/>
        </w:rPr>
        <w:t xml:space="preserve">klímy </w:t>
      </w:r>
      <w:r w:rsidRPr="00A678A6">
        <w:rPr>
          <w:rFonts w:asciiTheme="majorHAnsi" w:hAnsiTheme="majorHAnsi" w:cs="Franklin Gothic Book"/>
          <w:color w:val="000000"/>
          <w:szCs w:val="22"/>
        </w:rPr>
        <w:t>a</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podporovať investície do moderných a úsporných technológií zavlažovania, ako aj do odvodňovacích detailov, ktoré majú význam pri zabezpečení aktívneho odtoku nadbytku vody v prípade nárazového dažďa. V oblasti lesného hospodárstva je potrebné podporovať zalesňovanie kalamitných plôch, aby novo zalesnené plochy plnili v čo najkratšej dobe svoje funkcie – pôdoochrannú a vodoochrannú. Prvoradou úlohou je však obnova lesných porastov poškodených zmenou klímy</w:t>
      </w:r>
      <w:r w:rsidR="00CC6BE7">
        <w:rPr>
          <w:rFonts w:asciiTheme="majorHAnsi" w:hAnsiTheme="majorHAnsi" w:cs="Franklin Gothic Book"/>
          <w:color w:val="000000"/>
          <w:szCs w:val="22"/>
        </w:rPr>
        <w:t>, ako aj prevencia pred týmito poškodeniami</w:t>
      </w:r>
      <w:r w:rsidRPr="00A678A6">
        <w:rPr>
          <w:rFonts w:asciiTheme="majorHAnsi" w:hAnsiTheme="majorHAnsi" w:cs="Franklin Gothic Book"/>
          <w:color w:val="000000"/>
          <w:szCs w:val="22"/>
        </w:rPr>
        <w:t>.</w:t>
      </w:r>
    </w:p>
    <w:p w:rsidR="001C5C9E"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V oblasti predchádzania a riadenia rizík súvisiacich s</w:t>
      </w:r>
      <w:r w:rsidR="00A24F2B">
        <w:rPr>
          <w:rFonts w:asciiTheme="majorHAnsi" w:hAnsiTheme="majorHAnsi" w:cs="Franklin Gothic Book"/>
          <w:color w:val="000000"/>
          <w:szCs w:val="22"/>
        </w:rPr>
        <w:t>o</w:t>
      </w:r>
      <w:r w:rsidR="006538EF" w:rsidRPr="00A678A6">
        <w:rPr>
          <w:rFonts w:asciiTheme="majorHAnsi" w:hAnsiTheme="majorHAnsi" w:cs="Franklin Gothic Book"/>
          <w:color w:val="000000"/>
          <w:szCs w:val="22"/>
        </w:rPr>
        <w:t xml:space="preserve"> zmen</w:t>
      </w:r>
      <w:r w:rsidR="006538EF">
        <w:rPr>
          <w:rFonts w:asciiTheme="majorHAnsi" w:hAnsiTheme="majorHAnsi" w:cs="Franklin Gothic Book"/>
          <w:color w:val="000000"/>
          <w:szCs w:val="22"/>
        </w:rPr>
        <w:t>ou</w:t>
      </w:r>
      <w:r w:rsidR="006538EF" w:rsidRPr="00A678A6">
        <w:rPr>
          <w:rFonts w:asciiTheme="majorHAnsi" w:hAnsiTheme="majorHAnsi" w:cs="Franklin Gothic Book"/>
          <w:color w:val="000000"/>
          <w:szCs w:val="22"/>
        </w:rPr>
        <w:t xml:space="preserve"> </w:t>
      </w:r>
      <w:r w:rsidR="00A24F2B">
        <w:rPr>
          <w:rFonts w:asciiTheme="majorHAnsi" w:hAnsiTheme="majorHAnsi" w:cs="Franklin Gothic Book"/>
          <w:color w:val="000000"/>
          <w:szCs w:val="22"/>
        </w:rPr>
        <w:t xml:space="preserve">klímy </w:t>
      </w:r>
      <w:r w:rsidRPr="00A678A6">
        <w:rPr>
          <w:rFonts w:asciiTheme="majorHAnsi" w:hAnsiTheme="majorHAnsi" w:cs="Franklin Gothic Book"/>
          <w:color w:val="000000"/>
          <w:szCs w:val="22"/>
        </w:rPr>
        <w:t xml:space="preserve">je potrebné posilniť preventívne opatrenia vo všetkých oblastiach vo vzťahu k dopadom </w:t>
      </w:r>
      <w:r w:rsidR="006538EF" w:rsidRPr="00A678A6">
        <w:rPr>
          <w:rFonts w:asciiTheme="majorHAnsi" w:hAnsiTheme="majorHAnsi" w:cs="Franklin Gothic Book"/>
          <w:color w:val="000000"/>
          <w:szCs w:val="22"/>
        </w:rPr>
        <w:t>zm</w:t>
      </w:r>
      <w:r w:rsidR="006538EF">
        <w:rPr>
          <w:rFonts w:asciiTheme="majorHAnsi" w:hAnsiTheme="majorHAnsi" w:cs="Franklin Gothic Book"/>
          <w:color w:val="000000"/>
          <w:szCs w:val="22"/>
        </w:rPr>
        <w:t>eny</w:t>
      </w:r>
      <w:r w:rsidR="00A24F2B" w:rsidRPr="00A24F2B">
        <w:rPr>
          <w:rFonts w:asciiTheme="majorHAnsi" w:hAnsiTheme="majorHAnsi" w:cs="Franklin Gothic Book"/>
          <w:color w:val="000000"/>
          <w:szCs w:val="22"/>
        </w:rPr>
        <w:t xml:space="preserve"> </w:t>
      </w:r>
      <w:r w:rsidR="00A24F2B" w:rsidRPr="00A678A6">
        <w:rPr>
          <w:rFonts w:asciiTheme="majorHAnsi" w:hAnsiTheme="majorHAnsi" w:cs="Franklin Gothic Book"/>
          <w:color w:val="000000"/>
          <w:szCs w:val="22"/>
        </w:rPr>
        <w:t>kl</w:t>
      </w:r>
      <w:r w:rsidR="00A24F2B">
        <w:rPr>
          <w:rFonts w:asciiTheme="majorHAnsi" w:hAnsiTheme="majorHAnsi" w:cs="Franklin Gothic Book"/>
          <w:color w:val="000000"/>
          <w:szCs w:val="22"/>
        </w:rPr>
        <w:t>í</w:t>
      </w:r>
      <w:r w:rsidR="00A24F2B" w:rsidRPr="00A678A6">
        <w:rPr>
          <w:rFonts w:asciiTheme="majorHAnsi" w:hAnsiTheme="majorHAnsi" w:cs="Franklin Gothic Book"/>
          <w:color w:val="000000"/>
          <w:szCs w:val="22"/>
        </w:rPr>
        <w:t>m</w:t>
      </w:r>
      <w:r w:rsidR="00A24F2B">
        <w:rPr>
          <w:rFonts w:asciiTheme="majorHAnsi" w:hAnsiTheme="majorHAnsi" w:cs="Franklin Gothic Book"/>
          <w:color w:val="000000"/>
          <w:szCs w:val="22"/>
        </w:rPr>
        <w:t>y,</w:t>
      </w:r>
      <w:r w:rsidRPr="00A678A6">
        <w:rPr>
          <w:rFonts w:asciiTheme="majorHAnsi" w:hAnsiTheme="majorHAnsi" w:cs="Franklin Gothic Book"/>
          <w:color w:val="000000"/>
          <w:szCs w:val="22"/>
        </w:rPr>
        <w:t xml:space="preserve"> zlepšiť pripravenosť na nežiaduce udalosti, zvýšiť efektívnosť manažmentu nežiaducich udalostí</w:t>
      </w:r>
      <w:r w:rsidR="009E60ED">
        <w:rPr>
          <w:rFonts w:asciiTheme="majorHAnsi" w:hAnsiTheme="majorHAnsi" w:cs="Franklin Gothic Book"/>
          <w:color w:val="000000"/>
          <w:szCs w:val="22"/>
        </w:rPr>
        <w:t xml:space="preserve">. </w:t>
      </w:r>
      <w:r w:rsidR="00124EAB" w:rsidRPr="003F0750">
        <w:rPr>
          <w:rFonts w:asciiTheme="majorHAnsi" w:hAnsiTheme="majorHAnsi" w:cs="Franklin Gothic Book"/>
          <w:color w:val="000000"/>
          <w:szCs w:val="22"/>
        </w:rPr>
        <w:t>V</w:t>
      </w:r>
      <w:r w:rsidR="00124EAB">
        <w:rPr>
          <w:rFonts w:asciiTheme="majorHAnsi" w:hAnsiTheme="majorHAnsi" w:cs="Franklin Gothic Book"/>
          <w:color w:val="000000"/>
          <w:szCs w:val="22"/>
        </w:rPr>
        <w:t> </w:t>
      </w:r>
      <w:r w:rsidR="00124EAB" w:rsidRPr="003F0750">
        <w:rPr>
          <w:rFonts w:asciiTheme="majorHAnsi" w:hAnsiTheme="majorHAnsi" w:cs="Franklin Gothic Book"/>
          <w:color w:val="000000"/>
          <w:szCs w:val="22"/>
        </w:rPr>
        <w:t>oblasti manažmentu rizika v</w:t>
      </w:r>
      <w:r w:rsidR="00124EAB">
        <w:rPr>
          <w:rFonts w:asciiTheme="majorHAnsi" w:hAnsiTheme="majorHAnsi" w:cs="Franklin Gothic Book"/>
          <w:color w:val="000000"/>
          <w:szCs w:val="22"/>
        </w:rPr>
        <w:t> </w:t>
      </w:r>
      <w:r w:rsidR="00124EAB" w:rsidRPr="003F0750">
        <w:rPr>
          <w:rFonts w:asciiTheme="majorHAnsi" w:hAnsiTheme="majorHAnsi" w:cs="Franklin Gothic Book"/>
          <w:color w:val="000000"/>
          <w:szCs w:val="22"/>
        </w:rPr>
        <w:t>poľnohospodárstve je potrebné podporiť investície do hydromelioračných a</w:t>
      </w:r>
      <w:r w:rsidR="00124EAB">
        <w:rPr>
          <w:rFonts w:asciiTheme="majorHAnsi" w:hAnsiTheme="majorHAnsi" w:cs="Franklin Gothic Book"/>
          <w:color w:val="000000"/>
          <w:szCs w:val="22"/>
        </w:rPr>
        <w:t> </w:t>
      </w:r>
      <w:r w:rsidR="00124EAB" w:rsidRPr="003F0750">
        <w:rPr>
          <w:rFonts w:asciiTheme="majorHAnsi" w:hAnsiTheme="majorHAnsi" w:cs="Franklin Gothic Book"/>
          <w:color w:val="000000"/>
          <w:szCs w:val="22"/>
        </w:rPr>
        <w:t>odvodňovacích systémov, ktoré môžu vodu odvádzať, ako aj zadržiavať (zmiernenie následkov vonkajších faktorov)</w:t>
      </w:r>
      <w:r w:rsidR="00124EAB">
        <w:rPr>
          <w:rFonts w:asciiTheme="majorHAnsi" w:hAnsiTheme="majorHAnsi" w:cs="Franklin Gothic Book"/>
          <w:color w:val="000000"/>
          <w:szCs w:val="22"/>
        </w:rPr>
        <w:t>.</w:t>
      </w:r>
      <w:r w:rsidR="00143B1D">
        <w:rPr>
          <w:rFonts w:asciiTheme="majorHAnsi" w:hAnsiTheme="majorHAnsi" w:cs="Franklin Gothic Book"/>
          <w:color w:val="000000"/>
          <w:szCs w:val="22"/>
        </w:rPr>
        <w:t xml:space="preserve"> </w:t>
      </w:r>
    </w:p>
    <w:p w:rsidR="003B4E3A" w:rsidRDefault="00143B1D" w:rsidP="00A678A6">
      <w:pPr>
        <w:autoSpaceDE w:val="0"/>
        <w:autoSpaceDN w:val="0"/>
        <w:adjustRightInd w:val="0"/>
        <w:spacing w:after="0"/>
        <w:rPr>
          <w:rFonts w:asciiTheme="majorHAnsi" w:hAnsiTheme="majorHAnsi" w:cs="Franklin Gothic Book"/>
          <w:color w:val="000000"/>
          <w:szCs w:val="22"/>
        </w:rPr>
      </w:pPr>
      <w:r w:rsidRPr="00143B1D">
        <w:rPr>
          <w:rFonts w:asciiTheme="majorHAnsi" w:hAnsiTheme="majorHAnsi" w:cs="Franklin Gothic Book"/>
          <w:color w:val="000000"/>
          <w:szCs w:val="22"/>
        </w:rPr>
        <w:t>Investície do závlahových a</w:t>
      </w:r>
      <w:r w:rsidR="00593109">
        <w:rPr>
          <w:rFonts w:asciiTheme="majorHAnsi" w:hAnsiTheme="majorHAnsi" w:cs="Franklin Gothic Book"/>
          <w:color w:val="000000"/>
          <w:szCs w:val="22"/>
        </w:rPr>
        <w:t> </w:t>
      </w:r>
      <w:r w:rsidRPr="00143B1D">
        <w:rPr>
          <w:rFonts w:asciiTheme="majorHAnsi" w:hAnsiTheme="majorHAnsi" w:cs="Franklin Gothic Book"/>
          <w:color w:val="000000"/>
          <w:szCs w:val="22"/>
        </w:rPr>
        <w:t>hydromelioračných</w:t>
      </w:r>
      <w:r w:rsidR="00593109">
        <w:rPr>
          <w:rFonts w:asciiTheme="majorHAnsi" w:hAnsiTheme="majorHAnsi" w:cs="Franklin Gothic Book"/>
          <w:color w:val="000000"/>
          <w:szCs w:val="22"/>
        </w:rPr>
        <w:t xml:space="preserve"> </w:t>
      </w:r>
      <w:r w:rsidRPr="00143B1D">
        <w:rPr>
          <w:rFonts w:asciiTheme="majorHAnsi" w:hAnsiTheme="majorHAnsi" w:cs="Franklin Gothic Book"/>
          <w:color w:val="000000"/>
          <w:szCs w:val="22"/>
        </w:rPr>
        <w:t>systémov sú podmienené schválením príslušnými orgánmi, čo zabezpečí, že stavebné úpravy budú v</w:t>
      </w:r>
      <w:r w:rsidR="00593109">
        <w:rPr>
          <w:rFonts w:asciiTheme="majorHAnsi" w:hAnsiTheme="majorHAnsi" w:cs="Franklin Gothic Book"/>
          <w:color w:val="000000"/>
          <w:szCs w:val="22"/>
        </w:rPr>
        <w:t> </w:t>
      </w:r>
      <w:r w:rsidRPr="00143B1D">
        <w:rPr>
          <w:rFonts w:asciiTheme="majorHAnsi" w:hAnsiTheme="majorHAnsi" w:cs="Franklin Gothic Book"/>
          <w:color w:val="000000"/>
          <w:szCs w:val="22"/>
        </w:rPr>
        <w:t>súlade</w:t>
      </w:r>
      <w:r w:rsidR="00593109">
        <w:rPr>
          <w:rFonts w:asciiTheme="majorHAnsi" w:hAnsiTheme="majorHAnsi" w:cs="Franklin Gothic Book"/>
          <w:color w:val="000000"/>
          <w:szCs w:val="22"/>
        </w:rPr>
        <w:t xml:space="preserve"> </w:t>
      </w:r>
      <w:r w:rsidRPr="00143B1D">
        <w:rPr>
          <w:rFonts w:asciiTheme="majorHAnsi" w:hAnsiTheme="majorHAnsi" w:cs="Franklin Gothic Book"/>
          <w:color w:val="000000"/>
          <w:szCs w:val="22"/>
        </w:rPr>
        <w:t>so schválenými plánmi manažmentu povodí a</w:t>
      </w:r>
      <w:r w:rsidR="00593109">
        <w:rPr>
          <w:rFonts w:asciiTheme="majorHAnsi" w:hAnsiTheme="majorHAnsi" w:cs="Franklin Gothic Book"/>
          <w:color w:val="000000"/>
          <w:szCs w:val="22"/>
        </w:rPr>
        <w:t> </w:t>
      </w:r>
      <w:r w:rsidRPr="00143B1D">
        <w:rPr>
          <w:rFonts w:asciiTheme="majorHAnsi" w:hAnsiTheme="majorHAnsi" w:cs="Franklin Gothic Book"/>
          <w:color w:val="000000"/>
          <w:szCs w:val="22"/>
        </w:rPr>
        <w:t>neohrozia</w:t>
      </w:r>
      <w:r w:rsidR="00593109">
        <w:rPr>
          <w:rFonts w:asciiTheme="majorHAnsi" w:hAnsiTheme="majorHAnsi" w:cs="Franklin Gothic Book"/>
          <w:color w:val="000000"/>
          <w:szCs w:val="22"/>
        </w:rPr>
        <w:t xml:space="preserve"> </w:t>
      </w:r>
      <w:r w:rsidRPr="00143B1D">
        <w:rPr>
          <w:rFonts w:asciiTheme="majorHAnsi" w:hAnsiTheme="majorHAnsi" w:cs="Franklin Gothic Book"/>
          <w:color w:val="000000"/>
          <w:szCs w:val="22"/>
        </w:rPr>
        <w:t>prírodné mokradné lokality. V</w:t>
      </w:r>
      <w:r w:rsidR="00593109">
        <w:rPr>
          <w:rFonts w:asciiTheme="majorHAnsi" w:hAnsiTheme="majorHAnsi" w:cs="Franklin Gothic Book"/>
          <w:color w:val="000000"/>
          <w:szCs w:val="22"/>
        </w:rPr>
        <w:t> </w:t>
      </w:r>
      <w:r w:rsidRPr="00143B1D">
        <w:rPr>
          <w:rFonts w:asciiTheme="majorHAnsi" w:hAnsiTheme="majorHAnsi" w:cs="Franklin Gothic Book"/>
          <w:color w:val="000000"/>
          <w:szCs w:val="22"/>
        </w:rPr>
        <w:t>oblastiach</w:t>
      </w:r>
      <w:r w:rsidR="00593109">
        <w:rPr>
          <w:rFonts w:asciiTheme="majorHAnsi" w:hAnsiTheme="majorHAnsi" w:cs="Franklin Gothic Book"/>
          <w:color w:val="000000"/>
          <w:szCs w:val="22"/>
        </w:rPr>
        <w:t xml:space="preserve"> </w:t>
      </w:r>
      <w:r w:rsidRPr="00143B1D">
        <w:rPr>
          <w:rFonts w:asciiTheme="majorHAnsi" w:hAnsiTheme="majorHAnsi" w:cs="Franklin Gothic Book"/>
          <w:color w:val="000000"/>
          <w:szCs w:val="22"/>
        </w:rPr>
        <w:t>s</w:t>
      </w:r>
      <w:r w:rsidR="00593109">
        <w:rPr>
          <w:rFonts w:asciiTheme="majorHAnsi" w:hAnsiTheme="majorHAnsi" w:cs="Franklin Gothic Book"/>
          <w:color w:val="000000"/>
          <w:szCs w:val="22"/>
        </w:rPr>
        <w:t> </w:t>
      </w:r>
      <w:r w:rsidRPr="00143B1D">
        <w:rPr>
          <w:rFonts w:asciiTheme="majorHAnsi" w:hAnsiTheme="majorHAnsi" w:cs="Franklin Gothic Book"/>
          <w:color w:val="000000"/>
          <w:szCs w:val="22"/>
        </w:rPr>
        <w:t>vysokou</w:t>
      </w:r>
      <w:r w:rsidR="00593109">
        <w:rPr>
          <w:rFonts w:asciiTheme="majorHAnsi" w:hAnsiTheme="majorHAnsi" w:cs="Franklin Gothic Book"/>
          <w:color w:val="000000"/>
          <w:szCs w:val="22"/>
        </w:rPr>
        <w:t xml:space="preserve"> </w:t>
      </w:r>
      <w:r w:rsidRPr="00143B1D">
        <w:rPr>
          <w:rFonts w:asciiTheme="majorHAnsi" w:hAnsiTheme="majorHAnsi" w:cs="Franklin Gothic Book"/>
          <w:color w:val="000000"/>
          <w:szCs w:val="22"/>
        </w:rPr>
        <w:t>prírodnou hodnotou sú hydromelioračné systémy nástrojom na zachovanie stability zamokrenia</w:t>
      </w:r>
      <w:r w:rsidR="00C631B6">
        <w:rPr>
          <w:rFonts w:asciiTheme="majorHAnsi" w:hAnsiTheme="majorHAnsi" w:cs="Franklin Gothic Book"/>
          <w:color w:val="000000"/>
          <w:szCs w:val="22"/>
        </w:rPr>
        <w:t>,</w:t>
      </w:r>
      <w:r w:rsidRPr="00143B1D">
        <w:rPr>
          <w:rFonts w:asciiTheme="majorHAnsi" w:hAnsiTheme="majorHAnsi" w:cs="Franklin Gothic Book"/>
          <w:color w:val="000000"/>
          <w:szCs w:val="22"/>
        </w:rPr>
        <w:t xml:space="preserve"> ako základnej podmienky zachovania týchto veľmi citlivých biotopov</w:t>
      </w:r>
      <w:r>
        <w:rPr>
          <w:rFonts w:asciiTheme="majorHAnsi" w:hAnsiTheme="majorHAnsi" w:cs="Franklin Gothic Book"/>
          <w:color w:val="000000"/>
          <w:szCs w:val="22"/>
        </w:rPr>
        <w:t>.</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64605C">
      <w:pPr>
        <w:spacing w:after="0"/>
        <w:jc w:val="left"/>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KF a</w:t>
      </w:r>
      <w:r w:rsidR="00593109">
        <w:rPr>
          <w:rFonts w:asciiTheme="majorHAnsi" w:hAnsiTheme="majorHAnsi" w:cs="Franklin Gothic Book"/>
          <w:b/>
          <w:color w:val="000000"/>
          <w:szCs w:val="22"/>
        </w:rPr>
        <w:t> </w:t>
      </w:r>
      <w:r w:rsidRPr="00A678A6">
        <w:rPr>
          <w:rFonts w:asciiTheme="majorHAnsi" w:hAnsiTheme="majorHAnsi" w:cs="Franklin Gothic Book"/>
          <w:b/>
          <w:color w:val="000000"/>
          <w:szCs w:val="22"/>
        </w:rPr>
        <w:t>EFRR</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zmiernenie negatívnych dôsledkov zmeny klímy realizáciou adaptačných opatrení, najmä preventívnych opatrení v súvislosti s povodňami a zosuvmi a ochranou zdravia;</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kvality plánovacích podkladov pre manažment povodňových a iných rizík;</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posilnenie nástrojov na riešenie osobitných rizík a systémov zvládania </w:t>
      </w:r>
      <w:r w:rsidR="00CE1647">
        <w:rPr>
          <w:rFonts w:asciiTheme="majorHAnsi" w:hAnsiTheme="majorHAnsi" w:cs="Franklin Gothic Book"/>
          <w:color w:val="000000"/>
          <w:szCs w:val="22"/>
        </w:rPr>
        <w:t>mimoriadnych udalostí</w:t>
      </w:r>
      <w:r w:rsidRPr="00A678A6">
        <w:rPr>
          <w:rFonts w:asciiTheme="majorHAnsi" w:hAnsiTheme="majorHAnsi" w:cs="Franklin Gothic Book"/>
          <w:color w:val="000000"/>
          <w:szCs w:val="22"/>
        </w:rPr>
        <w:t>;</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zlepšenie systému zberu, analýzy a monitorovania objektívne preverených aktuálnych údajov o rizikách na lokálnej, regionálnej a národnej úrovni;</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vybudovanie účinného systému civilnej ochrany a intervenčných kapacít záchranných zložiek pri </w:t>
      </w:r>
      <w:r w:rsidR="00CE1647">
        <w:rPr>
          <w:rFonts w:asciiTheme="majorHAnsi" w:hAnsiTheme="majorHAnsi" w:cs="Franklin Gothic Book"/>
          <w:color w:val="000000"/>
          <w:szCs w:val="22"/>
        </w:rPr>
        <w:t>mimoriadnych udalostiach</w:t>
      </w:r>
      <w:r w:rsidR="00CE1647" w:rsidRPr="00A678A6">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a aktuálnych hrozbách;</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zvýšenie informovanosti verejnosti v oblasti ochrany, zvládania rizík a zvýšenie zapojenia komunít, dobrovoľníkov a občianskej spoločnosti do predchádzania</w:t>
      </w:r>
      <w:r w:rsidR="005801AE">
        <w:rPr>
          <w:rFonts w:asciiTheme="majorHAnsi" w:hAnsiTheme="majorHAnsi" w:cs="Franklin Gothic Book"/>
          <w:color w:val="000000"/>
          <w:szCs w:val="22"/>
        </w:rPr>
        <w:t xml:space="preserve"> a</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zvládania krízových situácií</w:t>
      </w:r>
      <w:r w:rsidR="005801AE">
        <w:rPr>
          <w:rFonts w:asciiTheme="majorHAnsi" w:hAnsiTheme="majorHAnsi" w:cs="Franklin Gothic Book"/>
          <w:color w:val="000000"/>
          <w:szCs w:val="22"/>
        </w:rPr>
        <w:t>;</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lastRenderedPageBreak/>
        <w:t>vytvorenie nástrojov na</w:t>
      </w:r>
      <w:r w:rsidR="00555935" w:rsidRPr="00555935">
        <w:rPr>
          <w:rFonts w:asciiTheme="majorHAnsi" w:hAnsiTheme="majorHAnsi" w:cs="Franklin Gothic Book"/>
          <w:color w:val="000000"/>
          <w:szCs w:val="22"/>
        </w:rPr>
        <w:t xml:space="preserve"> </w:t>
      </w:r>
      <w:r w:rsidR="00CE1647" w:rsidRPr="00CE1647">
        <w:rPr>
          <w:rFonts w:asciiTheme="majorHAnsi" w:hAnsiTheme="majorHAnsi" w:cs="Franklin Gothic Book"/>
          <w:color w:val="000000"/>
          <w:szCs w:val="22"/>
        </w:rPr>
        <w:t>zvýšenie efektívnosti manažmentu rizík a zabezpečenie zníženia rizík ovplyvnených zmenou klímy</w:t>
      </w:r>
      <w:r w:rsidRPr="00A678A6">
        <w:rPr>
          <w:rFonts w:asciiTheme="majorHAnsi" w:hAnsiTheme="majorHAnsi" w:cs="Franklin Gothic Book"/>
          <w:color w:val="000000"/>
          <w:szCs w:val="22"/>
        </w:rPr>
        <w:t>.</w:t>
      </w:r>
    </w:p>
    <w:p w:rsidR="00A678A6" w:rsidRPr="00A678A6" w:rsidRDefault="00A678A6" w:rsidP="00A678A6">
      <w:pPr>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EPFRV</w:t>
      </w:r>
    </w:p>
    <w:p w:rsidR="00A678A6" w:rsidRPr="00A678A6"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obnova a zvýšenie účinnosti ekosystémov v poľnohospodárstve a lesnom hospodárstve;</w:t>
      </w:r>
    </w:p>
    <w:p w:rsidR="00A678A6" w:rsidRPr="00344D7F"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 xml:space="preserve">zlepšenie efektivity využívania vody v poľnohospodárstve a poskytovania poradenstva </w:t>
      </w:r>
      <w:r w:rsidRPr="00344D7F">
        <w:rPr>
          <w:rFonts w:asciiTheme="majorHAnsi" w:hAnsiTheme="majorHAnsi" w:cs="Franklin Gothic Book"/>
          <w:color w:val="000000"/>
          <w:szCs w:val="22"/>
        </w:rPr>
        <w:t>v oblasti využívania vody;</w:t>
      </w:r>
    </w:p>
    <w:p w:rsidR="00A678A6" w:rsidRPr="00344D7F" w:rsidRDefault="00A678A6" w:rsidP="00302664">
      <w:pPr>
        <w:numPr>
          <w:ilvl w:val="0"/>
          <w:numId w:val="15"/>
        </w:numPr>
        <w:spacing w:before="0" w:after="0"/>
        <w:contextualSpacing/>
        <w:rPr>
          <w:rFonts w:asciiTheme="majorHAnsi" w:hAnsiTheme="majorHAnsi" w:cs="Franklin Gothic Book"/>
          <w:color w:val="000000"/>
          <w:szCs w:val="22"/>
        </w:rPr>
      </w:pPr>
      <w:r w:rsidRPr="00344D7F">
        <w:rPr>
          <w:rFonts w:asciiTheme="majorHAnsi" w:hAnsiTheme="majorHAnsi" w:cs="Franklin Gothic Book"/>
          <w:color w:val="000000"/>
          <w:szCs w:val="22"/>
        </w:rPr>
        <w:t>vybudovanie efektívnejších závlahových systémov;</w:t>
      </w:r>
    </w:p>
    <w:p w:rsidR="00A678A6" w:rsidRPr="00344D7F" w:rsidRDefault="00A678A6" w:rsidP="00302664">
      <w:pPr>
        <w:numPr>
          <w:ilvl w:val="0"/>
          <w:numId w:val="15"/>
        </w:numPr>
        <w:spacing w:before="0" w:after="0"/>
        <w:contextualSpacing/>
        <w:rPr>
          <w:rFonts w:cs="Franklin Gothic Book"/>
          <w:color w:val="000000"/>
          <w:szCs w:val="22"/>
        </w:rPr>
      </w:pPr>
      <w:r w:rsidRPr="00344D7F">
        <w:rPr>
          <w:rFonts w:asciiTheme="majorHAnsi" w:hAnsiTheme="majorHAnsi" w:cs="Franklin Gothic Book"/>
          <w:color w:val="000000"/>
          <w:szCs w:val="22"/>
        </w:rPr>
        <w:t>dobudovanie regulačných systémov odtoku vody z krajiny;</w:t>
      </w:r>
    </w:p>
    <w:p w:rsidR="0063747C" w:rsidRDefault="00A678A6" w:rsidP="00302664">
      <w:pPr>
        <w:numPr>
          <w:ilvl w:val="0"/>
          <w:numId w:val="15"/>
        </w:numPr>
        <w:spacing w:before="0" w:after="0"/>
        <w:contextualSpacing/>
        <w:rPr>
          <w:rFonts w:asciiTheme="majorHAnsi" w:hAnsiTheme="majorHAnsi" w:cs="Franklin Gothic Book"/>
          <w:color w:val="000000"/>
          <w:szCs w:val="22"/>
        </w:rPr>
      </w:pPr>
      <w:r w:rsidRPr="00A678A6">
        <w:rPr>
          <w:rFonts w:asciiTheme="majorHAnsi" w:hAnsiTheme="majorHAnsi" w:cs="Franklin Gothic Book"/>
          <w:color w:val="000000"/>
          <w:szCs w:val="22"/>
        </w:rPr>
        <w:t>zmiernenie negatívnych dôsledkov zamokrenia a zaplavenia poľnohospodárskej pôdy</w:t>
      </w:r>
      <w:r w:rsidR="0063747C" w:rsidRPr="00344D7F">
        <w:rPr>
          <w:rFonts w:asciiTheme="majorHAnsi" w:hAnsiTheme="majorHAnsi" w:cs="Franklin Gothic Book"/>
          <w:color w:val="000000"/>
          <w:szCs w:val="22"/>
        </w:rPr>
        <w:t>;</w:t>
      </w:r>
    </w:p>
    <w:p w:rsidR="00C95107" w:rsidRPr="00C95107" w:rsidRDefault="0063747C" w:rsidP="00302664">
      <w:pPr>
        <w:numPr>
          <w:ilvl w:val="0"/>
          <w:numId w:val="15"/>
        </w:numPr>
        <w:spacing w:before="0" w:after="0"/>
        <w:contextualSpacing/>
        <w:rPr>
          <w:rFonts w:asciiTheme="majorHAnsi" w:hAnsiTheme="majorHAnsi" w:cs="Franklin Gothic Book"/>
          <w:color w:val="000000"/>
          <w:szCs w:val="22"/>
        </w:rPr>
      </w:pPr>
      <w:r w:rsidRPr="0063747C">
        <w:rPr>
          <w:rFonts w:asciiTheme="majorHAnsi" w:hAnsiTheme="majorHAnsi" w:cs="Calibri"/>
          <w:szCs w:val="22"/>
        </w:rPr>
        <w:t xml:space="preserve">vytvorenie nástrojov na elimináciu </w:t>
      </w:r>
      <w:r w:rsidR="00BA2E1C">
        <w:rPr>
          <w:rFonts w:asciiTheme="majorHAnsi" w:hAnsiTheme="majorHAnsi" w:cs="Calibri"/>
          <w:szCs w:val="22"/>
        </w:rPr>
        <w:t>mimoriadnych udalostí</w:t>
      </w:r>
      <w:r w:rsidR="00BA2E1C" w:rsidRPr="0063747C">
        <w:rPr>
          <w:rFonts w:asciiTheme="majorHAnsi" w:hAnsiTheme="majorHAnsi" w:cs="Calibri"/>
          <w:szCs w:val="22"/>
        </w:rPr>
        <w:t xml:space="preserve"> </w:t>
      </w:r>
      <w:r w:rsidRPr="0063747C">
        <w:rPr>
          <w:rFonts w:asciiTheme="majorHAnsi" w:hAnsiTheme="majorHAnsi" w:cs="Calibri"/>
          <w:szCs w:val="22"/>
        </w:rPr>
        <w:t>v</w:t>
      </w:r>
      <w:r w:rsidR="00593109">
        <w:rPr>
          <w:rFonts w:asciiTheme="majorHAnsi" w:hAnsiTheme="majorHAnsi" w:cs="Calibri"/>
          <w:szCs w:val="22"/>
        </w:rPr>
        <w:t> </w:t>
      </w:r>
      <w:r w:rsidRPr="0063747C">
        <w:rPr>
          <w:rFonts w:asciiTheme="majorHAnsi" w:hAnsiTheme="majorHAnsi" w:cs="Calibri"/>
          <w:szCs w:val="22"/>
        </w:rPr>
        <w:t>lesoch</w:t>
      </w:r>
      <w:r w:rsidR="00C95107">
        <w:rPr>
          <w:rFonts w:asciiTheme="majorHAnsi" w:hAnsiTheme="majorHAnsi" w:cs="Calibri"/>
          <w:szCs w:val="22"/>
        </w:rPr>
        <w:t>;</w:t>
      </w:r>
    </w:p>
    <w:p w:rsidR="0063747C" w:rsidRPr="0063747C" w:rsidRDefault="00C95107" w:rsidP="00302664">
      <w:pPr>
        <w:numPr>
          <w:ilvl w:val="0"/>
          <w:numId w:val="15"/>
        </w:numPr>
        <w:spacing w:before="0" w:after="0"/>
        <w:contextualSpacing/>
        <w:rPr>
          <w:rFonts w:asciiTheme="majorHAnsi" w:hAnsiTheme="majorHAnsi" w:cs="Franklin Gothic Book"/>
          <w:color w:val="000000"/>
          <w:szCs w:val="22"/>
        </w:rPr>
      </w:pPr>
      <w:r w:rsidRPr="00C95107">
        <w:rPr>
          <w:rFonts w:asciiTheme="majorHAnsi" w:hAnsiTheme="majorHAnsi" w:cs="Calibri"/>
          <w:szCs w:val="22"/>
        </w:rPr>
        <w:t>zlepšenie zadržiavania vody</w:t>
      </w:r>
      <w:r>
        <w:rPr>
          <w:rFonts w:asciiTheme="majorHAnsi" w:hAnsiTheme="majorHAnsi" w:cs="Calibri"/>
          <w:szCs w:val="22"/>
        </w:rPr>
        <w:t>,</w:t>
      </w:r>
      <w:r w:rsidRPr="00C95107">
        <w:rPr>
          <w:rFonts w:asciiTheme="majorHAnsi" w:hAnsiTheme="majorHAnsi" w:cs="Calibri"/>
          <w:szCs w:val="22"/>
        </w:rPr>
        <w:t xml:space="preserve"> resp. spomalenie jej odtoku v lesnom hospodárstve</w:t>
      </w:r>
      <w:r>
        <w:rPr>
          <w:rFonts w:asciiTheme="majorHAnsi" w:hAnsiTheme="majorHAnsi" w:cs="Calibri"/>
          <w:szCs w:val="22"/>
        </w:rPr>
        <w:t>;</w:t>
      </w:r>
    </w:p>
    <w:p w:rsidR="0063747C" w:rsidRPr="0063747C" w:rsidRDefault="0063747C" w:rsidP="00302664">
      <w:pPr>
        <w:numPr>
          <w:ilvl w:val="0"/>
          <w:numId w:val="15"/>
        </w:numPr>
        <w:spacing w:before="0" w:after="0"/>
        <w:contextualSpacing/>
        <w:rPr>
          <w:rFonts w:asciiTheme="majorHAnsi" w:hAnsiTheme="majorHAnsi" w:cs="Franklin Gothic Book"/>
          <w:color w:val="000000"/>
          <w:szCs w:val="22"/>
        </w:rPr>
      </w:pPr>
      <w:r w:rsidRPr="0063747C">
        <w:rPr>
          <w:rFonts w:asciiTheme="majorHAnsi" w:hAnsiTheme="majorHAnsi" w:cs="Calibri"/>
          <w:szCs w:val="22"/>
        </w:rPr>
        <w:t>zavedenie preventívnych systémov proti požiarom v lesoch;</w:t>
      </w:r>
    </w:p>
    <w:p w:rsidR="00A678A6" w:rsidRPr="0063747C" w:rsidRDefault="0063747C" w:rsidP="00302664">
      <w:pPr>
        <w:numPr>
          <w:ilvl w:val="0"/>
          <w:numId w:val="15"/>
        </w:numPr>
        <w:spacing w:before="0" w:after="0"/>
        <w:contextualSpacing/>
        <w:rPr>
          <w:rFonts w:asciiTheme="majorHAnsi" w:hAnsiTheme="majorHAnsi" w:cs="Franklin Gothic Book"/>
          <w:color w:val="000000"/>
          <w:szCs w:val="22"/>
        </w:rPr>
      </w:pPr>
      <w:r w:rsidRPr="0063747C">
        <w:rPr>
          <w:rFonts w:asciiTheme="majorHAnsi" w:hAnsiTheme="majorHAnsi" w:cs="Calibri"/>
          <w:szCs w:val="22"/>
        </w:rPr>
        <w:t>vytvorenie nástrojov na efektívne sledovanie a</w:t>
      </w:r>
      <w:r w:rsidR="00434258">
        <w:rPr>
          <w:rFonts w:asciiTheme="majorHAnsi" w:hAnsiTheme="majorHAnsi" w:cs="Calibri"/>
          <w:szCs w:val="22"/>
        </w:rPr>
        <w:t> </w:t>
      </w:r>
      <w:r w:rsidRPr="0063747C">
        <w:rPr>
          <w:rFonts w:asciiTheme="majorHAnsi" w:hAnsiTheme="majorHAnsi" w:cs="Calibri"/>
          <w:szCs w:val="22"/>
        </w:rPr>
        <w:t>riadenie lesníckych ekosystémov prostredníctvom plánov starostlivosti o</w:t>
      </w:r>
      <w:r w:rsidR="00593109">
        <w:rPr>
          <w:rFonts w:asciiTheme="majorHAnsi" w:hAnsiTheme="majorHAnsi" w:cs="Calibri"/>
          <w:szCs w:val="22"/>
        </w:rPr>
        <w:t> </w:t>
      </w:r>
      <w:r w:rsidRPr="0063747C">
        <w:rPr>
          <w:rFonts w:asciiTheme="majorHAnsi" w:hAnsiTheme="majorHAnsi" w:cs="Calibri"/>
          <w:szCs w:val="22"/>
        </w:rPr>
        <w:t>les.</w:t>
      </w:r>
    </w:p>
    <w:p w:rsidR="00A678A6" w:rsidRPr="00A678A6" w:rsidRDefault="00A678A6" w:rsidP="00C109F3">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6: Zachovanie a ochrana životného prostredia a podpora efektívneho využívania zdrojov</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64605C">
      <w:pPr>
        <w:rPr>
          <w:rFonts w:asciiTheme="majorHAnsi" w:hAnsiTheme="majorHAnsi" w:cs="Franklin Gothic Book"/>
          <w:color w:val="000000"/>
          <w:szCs w:val="22"/>
        </w:rPr>
      </w:pPr>
      <w:r w:rsidRPr="00A678A6">
        <w:rPr>
          <w:rFonts w:asciiTheme="majorHAnsi" w:hAnsiTheme="majorHAnsi" w:cs="Franklin Gothic Book"/>
          <w:color w:val="000000"/>
          <w:szCs w:val="22"/>
        </w:rPr>
        <w:t>V oblasti ochrany životného prostredia naďalej pretrváva potreba dobudovania a skvalitňovania environmentálnej infraštruktúry, zachovania a zlepšenia kvality jednotlivých zložiek životného prostredia a efektívnejšieho využívania prírodných zdrojov. V oblasti odpadového hospodárstva SR doposiaľ zaznamenala malý pokrok v znižovaní miery skládkovania odpadov. V</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prípade zmesového komunálneho odpadu je skládkovanie dominantným spôsobom nakladania s</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odpadmi</w:t>
      </w:r>
      <w:r w:rsidR="00593109">
        <w:rPr>
          <w:rFonts w:asciiTheme="majorHAnsi" w:hAnsiTheme="majorHAnsi" w:cs="Franklin Gothic Book"/>
          <w:color w:val="000000"/>
          <w:szCs w:val="22"/>
        </w:rPr>
        <w:t xml:space="preserve"> </w:t>
      </w:r>
      <w:r w:rsidRPr="00A678A6">
        <w:rPr>
          <w:rFonts w:asciiTheme="majorHAnsi" w:hAnsiTheme="majorHAnsi" w:cs="Franklin Gothic Book"/>
          <w:color w:val="000000"/>
          <w:szCs w:val="22"/>
        </w:rPr>
        <w:t>a zhodnocovanie komunálneho odpadu sa využíva v malej miere. Postupne sa zvyšuje množstvo vyrobených alternatívnych palív z</w:t>
      </w:r>
      <w:r w:rsidR="00593109">
        <w:rPr>
          <w:rFonts w:asciiTheme="majorHAnsi" w:hAnsiTheme="majorHAnsi" w:cs="Franklin Gothic Book"/>
          <w:color w:val="000000"/>
          <w:szCs w:val="22"/>
        </w:rPr>
        <w:t> </w:t>
      </w:r>
      <w:r w:rsidRPr="00A678A6">
        <w:rPr>
          <w:rFonts w:asciiTheme="majorHAnsi" w:hAnsiTheme="majorHAnsi" w:cs="Franklin Gothic Book"/>
          <w:color w:val="000000"/>
          <w:szCs w:val="22"/>
        </w:rPr>
        <w:t>odpadov. Triedený zber odpadov je zavedený vo väčšine obcí, jeho efektívnosť ale nedosahuje požadované parametre. Hlavným problémom v oblasti znečistenia povrchových vôd sú nečistené, alebo nedostatočne čistené komunálne odpadové vody. Zariadenia využívané na úpravu pitnej vody a jej distribúciu obyvateľom sú zastarané a nezodpovedajú súčasným požiadavkám a trendom. V oblasti ochrany a obnovy biologickej diverzity je potrebné sa naďalej venovať zabezpečeniu priaznivého stavu biotopov a druhov európskeho významu. Rovnako v SR pretrváva nepriaznivá situácia v oblasti znečistenia ovzdušia niektorými znečisťujúcimi látkami (napr. prachovými časticami). Rovnako doteraz v</w:t>
      </w:r>
      <w:r w:rsidR="004C6E30">
        <w:rPr>
          <w:rFonts w:asciiTheme="majorHAnsi" w:hAnsiTheme="majorHAnsi" w:cs="Franklin Gothic Book"/>
          <w:color w:val="000000"/>
          <w:szCs w:val="22"/>
        </w:rPr>
        <w:t> </w:t>
      </w:r>
      <w:r w:rsidRPr="00A678A6">
        <w:rPr>
          <w:rFonts w:asciiTheme="majorHAnsi" w:hAnsiTheme="majorHAnsi" w:cs="Franklin Gothic Book"/>
          <w:color w:val="000000"/>
          <w:szCs w:val="22"/>
        </w:rPr>
        <w:t>SR neboli v plnej miere vykonané nevyhnutné opatrenia na odstránenie starých environmentálnych záťaží a z nich vyplývajúceho permanentného rizika negatívneho vplyvu na zdravie človeka a</w:t>
      </w:r>
      <w:r w:rsidR="004C6E30">
        <w:rPr>
          <w:rFonts w:asciiTheme="majorHAnsi" w:hAnsiTheme="majorHAnsi" w:cs="Franklin Gothic Book"/>
          <w:color w:val="000000"/>
          <w:szCs w:val="22"/>
        </w:rPr>
        <w:t> </w:t>
      </w:r>
      <w:r w:rsidRPr="00A678A6">
        <w:rPr>
          <w:rFonts w:asciiTheme="majorHAnsi" w:hAnsiTheme="majorHAnsi" w:cs="Franklin Gothic Book"/>
          <w:color w:val="000000"/>
          <w:szCs w:val="22"/>
        </w:rPr>
        <w:t>životné prostredie. Za účelom celkového zvýšenia hospodárskeho rastu nebol dostatočne rozvíjaný potenciál technológií v oblasti ochrany životného prostredia. Pre posilnenie ochrany životného prostredia a presadzovanie efektívneho využívania zdrojov je zároveň dôležité podporovať aktivity v oblasti zlepšenia informovanosti a zvýšenia environmentálneho povedomia verejnosti.</w:t>
      </w:r>
    </w:p>
    <w:p w:rsidR="00A875AE" w:rsidRPr="003F0750" w:rsidRDefault="00ED0E5A" w:rsidP="003F0750">
      <w:pPr>
        <w:rPr>
          <w:rFonts w:asciiTheme="majorHAnsi" w:hAnsiTheme="majorHAnsi" w:cs="Franklin Gothic Book"/>
          <w:color w:val="000000"/>
          <w:szCs w:val="22"/>
        </w:rPr>
      </w:pPr>
      <w:r w:rsidRPr="003F0750">
        <w:rPr>
          <w:rFonts w:asciiTheme="majorHAnsi" w:hAnsiTheme="majorHAnsi" w:cs="Franklin Gothic Book"/>
          <w:color w:val="000000"/>
          <w:szCs w:val="22"/>
        </w:rPr>
        <w:t>Sektor akvakultúry a</w:t>
      </w:r>
      <w:r w:rsidR="00A875AE">
        <w:rPr>
          <w:rFonts w:asciiTheme="majorHAnsi" w:hAnsiTheme="majorHAnsi" w:cs="Franklin Gothic Book"/>
          <w:color w:val="000000"/>
          <w:szCs w:val="22"/>
        </w:rPr>
        <w:t> </w:t>
      </w:r>
      <w:r w:rsidRPr="003F0750">
        <w:rPr>
          <w:rFonts w:asciiTheme="majorHAnsi" w:hAnsiTheme="majorHAnsi" w:cs="Franklin Gothic Book"/>
          <w:color w:val="000000"/>
          <w:szCs w:val="22"/>
        </w:rPr>
        <w:t>životné prostredie sú vo vzájomnej interakcii. Kvalita vôd, stupeň ich znečistenia, úroveň poľnohospodárskych a</w:t>
      </w:r>
      <w:r w:rsidR="00A875AE">
        <w:rPr>
          <w:rFonts w:asciiTheme="majorHAnsi" w:hAnsiTheme="majorHAnsi" w:cs="Franklin Gothic Book"/>
          <w:color w:val="000000"/>
          <w:szCs w:val="22"/>
        </w:rPr>
        <w:t> </w:t>
      </w:r>
      <w:r w:rsidRPr="003F0750">
        <w:rPr>
          <w:rFonts w:asciiTheme="majorHAnsi" w:hAnsiTheme="majorHAnsi" w:cs="Franklin Gothic Book"/>
          <w:color w:val="000000"/>
          <w:szCs w:val="22"/>
        </w:rPr>
        <w:t>priemyselných činností sú základnými faktormi ovplyvňujúcimi kvalitu a</w:t>
      </w:r>
      <w:r w:rsidR="00A875AE">
        <w:rPr>
          <w:rFonts w:asciiTheme="majorHAnsi" w:hAnsiTheme="majorHAnsi" w:cs="Franklin Gothic Book"/>
          <w:color w:val="000000"/>
          <w:szCs w:val="22"/>
        </w:rPr>
        <w:t> </w:t>
      </w:r>
      <w:r w:rsidRPr="003F0750">
        <w:rPr>
          <w:rFonts w:asciiTheme="majorHAnsi" w:hAnsiTheme="majorHAnsi" w:cs="Franklin Gothic Book"/>
          <w:color w:val="000000"/>
          <w:szCs w:val="22"/>
        </w:rPr>
        <w:t>množstvo produkcie, resp. prvoradou podmienkou prítomnosti akejkoľvek ich</w:t>
      </w:r>
      <w:r w:rsidR="004C6E30">
        <w:rPr>
          <w:rFonts w:asciiTheme="majorHAnsi" w:hAnsiTheme="majorHAnsi" w:cs="Franklin Gothic Book"/>
          <w:color w:val="000000"/>
          <w:szCs w:val="22"/>
        </w:rPr>
        <w:t xml:space="preserve"> </w:t>
      </w:r>
      <w:r w:rsidRPr="003F0750">
        <w:rPr>
          <w:rFonts w:asciiTheme="majorHAnsi" w:hAnsiTheme="majorHAnsi" w:cs="Franklin Gothic Book"/>
          <w:color w:val="000000"/>
          <w:szCs w:val="22"/>
        </w:rPr>
        <w:t>tyofauny. Na druhej strane akvakultúra ovplyvňuje ráz krajiny, vodné pomery, štruktúru genofondu rýb, ako aj fauny a</w:t>
      </w:r>
      <w:r w:rsidR="004C6E30">
        <w:rPr>
          <w:rFonts w:asciiTheme="majorHAnsi" w:hAnsiTheme="majorHAnsi" w:cs="Franklin Gothic Book"/>
          <w:color w:val="000000"/>
          <w:szCs w:val="22"/>
        </w:rPr>
        <w:t> </w:t>
      </w:r>
      <w:r w:rsidRPr="003F0750">
        <w:rPr>
          <w:rFonts w:asciiTheme="majorHAnsi" w:hAnsiTheme="majorHAnsi" w:cs="Franklin Gothic Book"/>
          <w:color w:val="000000"/>
          <w:szCs w:val="22"/>
        </w:rPr>
        <w:t>flóry v</w:t>
      </w:r>
      <w:r w:rsidR="004C6E30">
        <w:rPr>
          <w:rFonts w:asciiTheme="majorHAnsi" w:hAnsiTheme="majorHAnsi" w:cs="Franklin Gothic Book"/>
          <w:color w:val="000000"/>
          <w:szCs w:val="22"/>
        </w:rPr>
        <w:t> </w:t>
      </w:r>
      <w:r w:rsidRPr="003F0750">
        <w:rPr>
          <w:rFonts w:asciiTheme="majorHAnsi" w:hAnsiTheme="majorHAnsi" w:cs="Franklin Gothic Book"/>
          <w:color w:val="000000"/>
          <w:szCs w:val="22"/>
        </w:rPr>
        <w:t>blízkosti</w:t>
      </w:r>
      <w:r w:rsidR="004C6E30">
        <w:rPr>
          <w:rFonts w:asciiTheme="majorHAnsi" w:hAnsiTheme="majorHAnsi" w:cs="Franklin Gothic Book"/>
          <w:color w:val="000000"/>
          <w:szCs w:val="22"/>
        </w:rPr>
        <w:t xml:space="preserve"> </w:t>
      </w:r>
      <w:r w:rsidRPr="003F0750">
        <w:rPr>
          <w:rFonts w:asciiTheme="majorHAnsi" w:hAnsiTheme="majorHAnsi" w:cs="Franklin Gothic Book"/>
          <w:color w:val="000000"/>
          <w:szCs w:val="22"/>
        </w:rPr>
        <w:t>vodných plôch.</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0D7C6E">
      <w:pPr>
        <w:autoSpaceDE w:val="0"/>
        <w:autoSpaceDN w:val="0"/>
        <w:adjustRightInd w:val="0"/>
        <w:rPr>
          <w:rFonts w:asciiTheme="majorHAnsi" w:hAnsiTheme="majorHAnsi"/>
          <w:szCs w:val="22"/>
          <w:lang w:eastAsia="cs-CZ"/>
        </w:rPr>
      </w:pPr>
      <w:r w:rsidRPr="00A678A6">
        <w:rPr>
          <w:rFonts w:asciiTheme="majorHAnsi" w:hAnsiTheme="majorHAnsi"/>
          <w:szCs w:val="22"/>
          <w:lang w:eastAsia="cs-CZ"/>
        </w:rPr>
        <w:t>Strategickým cieľom v</w:t>
      </w:r>
      <w:r w:rsidR="004C6E30">
        <w:rPr>
          <w:rFonts w:asciiTheme="majorHAnsi" w:hAnsiTheme="majorHAnsi"/>
          <w:szCs w:val="22"/>
          <w:lang w:eastAsia="cs-CZ"/>
        </w:rPr>
        <w:t> </w:t>
      </w:r>
      <w:r w:rsidRPr="00A678A6">
        <w:rPr>
          <w:rFonts w:asciiTheme="majorHAnsi" w:hAnsiTheme="majorHAnsi"/>
          <w:szCs w:val="22"/>
          <w:lang w:eastAsia="cs-CZ"/>
        </w:rPr>
        <w:t>oblasti</w:t>
      </w:r>
      <w:r w:rsidR="004C6E30">
        <w:rPr>
          <w:rFonts w:asciiTheme="majorHAnsi" w:hAnsiTheme="majorHAnsi"/>
          <w:szCs w:val="22"/>
          <w:lang w:eastAsia="cs-CZ"/>
        </w:rPr>
        <w:t xml:space="preserve"> </w:t>
      </w:r>
      <w:r w:rsidRPr="00A678A6">
        <w:rPr>
          <w:rFonts w:asciiTheme="majorHAnsi" w:hAnsiTheme="majorHAnsi"/>
          <w:szCs w:val="22"/>
          <w:lang w:eastAsia="cs-CZ"/>
        </w:rPr>
        <w:t>odpadového hospodárstva SR je zabezpečiť nakladanie s</w:t>
      </w:r>
      <w:r w:rsidR="004C6E30">
        <w:rPr>
          <w:rFonts w:asciiTheme="majorHAnsi" w:hAnsiTheme="majorHAnsi"/>
          <w:szCs w:val="22"/>
          <w:lang w:eastAsia="cs-CZ"/>
        </w:rPr>
        <w:t> </w:t>
      </w:r>
      <w:r w:rsidRPr="00A678A6">
        <w:rPr>
          <w:rFonts w:asciiTheme="majorHAnsi" w:hAnsiTheme="majorHAnsi"/>
          <w:szCs w:val="22"/>
          <w:lang w:eastAsia="cs-CZ"/>
        </w:rPr>
        <w:t>odpadmi v súlade s</w:t>
      </w:r>
      <w:r w:rsidR="004C6E30">
        <w:rPr>
          <w:rFonts w:asciiTheme="majorHAnsi" w:hAnsiTheme="majorHAnsi"/>
          <w:szCs w:val="22"/>
          <w:lang w:eastAsia="cs-CZ"/>
        </w:rPr>
        <w:t> </w:t>
      </w:r>
      <w:r w:rsidRPr="00A678A6">
        <w:rPr>
          <w:rFonts w:asciiTheme="majorHAnsi" w:hAnsiTheme="majorHAnsi"/>
          <w:szCs w:val="22"/>
          <w:lang w:eastAsia="cs-CZ"/>
        </w:rPr>
        <w:t>hierarchiou odpadového hospodárstva, t. j. obmedziť skládkovanie odpadov a podporiť zhodnocovanie odpadov, a to so zameraním na recykláciu. V oblasti vodného hospodárstva je cieľom vytvoriť podmienky pre zabezpečenie dobrého stavu vôd v SR, pričom jednou z</w:t>
      </w:r>
      <w:r w:rsidR="009E60ED">
        <w:rPr>
          <w:rFonts w:asciiTheme="majorHAnsi" w:hAnsiTheme="majorHAnsi"/>
          <w:szCs w:val="22"/>
          <w:lang w:eastAsia="cs-CZ"/>
        </w:rPr>
        <w:t> </w:t>
      </w:r>
      <w:r w:rsidRPr="00A678A6">
        <w:rPr>
          <w:rFonts w:asciiTheme="majorHAnsi" w:hAnsiTheme="majorHAnsi"/>
          <w:szCs w:val="22"/>
          <w:lang w:eastAsia="cs-CZ"/>
        </w:rPr>
        <w:t>najdôležitejších</w:t>
      </w:r>
      <w:r w:rsidR="009E60ED">
        <w:rPr>
          <w:rFonts w:asciiTheme="majorHAnsi" w:hAnsiTheme="majorHAnsi"/>
          <w:szCs w:val="22"/>
          <w:lang w:eastAsia="cs-CZ"/>
        </w:rPr>
        <w:t xml:space="preserve"> </w:t>
      </w:r>
      <w:r w:rsidR="009E60ED">
        <w:rPr>
          <w:rFonts w:asciiTheme="majorHAnsi" w:hAnsiTheme="majorHAnsi"/>
          <w:szCs w:val="22"/>
          <w:lang w:eastAsia="cs-CZ"/>
        </w:rPr>
        <w:lastRenderedPageBreak/>
        <w:t>podmienok</w:t>
      </w:r>
      <w:r w:rsidRPr="00A678A6">
        <w:rPr>
          <w:rFonts w:asciiTheme="majorHAnsi" w:hAnsiTheme="majorHAnsi"/>
          <w:szCs w:val="22"/>
          <w:lang w:eastAsia="cs-CZ"/>
        </w:rPr>
        <w:t xml:space="preserve"> je zabezpečiť čistenie a odvádzanie odpadových vôd v súlade s požiadavkami vyplývajúcimi z „environmentálneho acquis“. Z dôvodu ochrany podzemných a povrchových vôd je taktiež potrebné vykonať opatrenia na elimináciu ich znečistenia z bodových zdrojov. V oblasti zásobovania pitnou vodou je potrebné prijať opatrenia na zabezpečenie požadovanej kvality pitnej vody, najmä prostredníctvom intenzifikácie existujúcich úpravní povrchových vôd, ako aj zefektívnenia dodávky vody a</w:t>
      </w:r>
      <w:r w:rsidR="004C6E30">
        <w:rPr>
          <w:rFonts w:asciiTheme="majorHAnsi" w:hAnsiTheme="majorHAnsi"/>
          <w:szCs w:val="22"/>
          <w:lang w:eastAsia="cs-CZ"/>
        </w:rPr>
        <w:t> </w:t>
      </w:r>
      <w:r w:rsidRPr="00A678A6">
        <w:rPr>
          <w:rFonts w:asciiTheme="majorHAnsi" w:hAnsiTheme="majorHAnsi"/>
          <w:szCs w:val="22"/>
          <w:lang w:eastAsia="cs-CZ"/>
        </w:rPr>
        <w:t>elimináciou</w:t>
      </w:r>
      <w:r w:rsidR="004C6E30">
        <w:rPr>
          <w:rFonts w:asciiTheme="majorHAnsi" w:hAnsiTheme="majorHAnsi"/>
          <w:szCs w:val="22"/>
          <w:lang w:eastAsia="cs-CZ"/>
        </w:rPr>
        <w:t xml:space="preserve"> </w:t>
      </w:r>
      <w:r w:rsidRPr="00A678A6">
        <w:rPr>
          <w:rFonts w:asciiTheme="majorHAnsi" w:hAnsiTheme="majorHAnsi"/>
          <w:szCs w:val="22"/>
          <w:lang w:eastAsia="cs-CZ"/>
        </w:rPr>
        <w:t>jej únikov z</w:t>
      </w:r>
      <w:r w:rsidR="004C6E30">
        <w:rPr>
          <w:rFonts w:asciiTheme="majorHAnsi" w:hAnsiTheme="majorHAnsi"/>
          <w:szCs w:val="22"/>
          <w:lang w:eastAsia="cs-CZ"/>
        </w:rPr>
        <w:t> </w:t>
      </w:r>
      <w:r w:rsidRPr="00A678A6">
        <w:rPr>
          <w:rFonts w:asciiTheme="majorHAnsi" w:hAnsiTheme="majorHAnsi"/>
          <w:szCs w:val="22"/>
          <w:lang w:eastAsia="cs-CZ"/>
        </w:rPr>
        <w:t xml:space="preserve">potrubí. Pre zlepšený ekologický stav vôd je potrebné spriechodniť vzniknuté prekážky na vodnom toku. </w:t>
      </w:r>
      <w:r w:rsidRPr="00A678A6">
        <w:rPr>
          <w:rFonts w:asciiTheme="majorHAnsi" w:hAnsiTheme="majorHAnsi" w:cs="Arial"/>
          <w:color w:val="000000"/>
          <w:szCs w:val="22"/>
        </w:rPr>
        <w:t xml:space="preserve">V zmysle </w:t>
      </w:r>
      <w:r w:rsidRPr="00A678A6">
        <w:rPr>
          <w:rFonts w:asciiTheme="majorHAnsi" w:hAnsiTheme="majorHAnsi"/>
          <w:szCs w:val="22"/>
          <w:lang w:eastAsia="cs-CZ"/>
        </w:rPr>
        <w:t>cieľa EÚ stratégie na ochranu biodiverzity do roku 2020</w:t>
      </w:r>
      <w:r w:rsidRPr="00A678A6">
        <w:rPr>
          <w:rFonts w:asciiTheme="majorHAnsi" w:hAnsiTheme="majorHAnsi"/>
          <w:szCs w:val="22"/>
          <w:vertAlign w:val="superscript"/>
          <w:lang w:eastAsia="cs-CZ"/>
        </w:rPr>
        <w:footnoteReference w:id="298"/>
      </w:r>
      <w:r w:rsidRPr="00A678A6">
        <w:rPr>
          <w:rFonts w:asciiTheme="majorHAnsi" w:hAnsiTheme="majorHAnsi"/>
          <w:szCs w:val="22"/>
          <w:lang w:eastAsia="cs-CZ"/>
        </w:rPr>
        <w:t xml:space="preserve"> je potrebné zlepšiť stav biotopov európskeho významu a stav druhov európskeho významu. V súvislosti s problematikou ochrany ovzdušia je na úrovni SR potrebné realizovať opatrenia na implementáciu príslušných právnych predpisov EÚ s cieľom zabezpečiť ďalšie znižovanie emisií znečisťujúcich látok a dosiahnuť zlepšenie kvality ovzdušia. V rámci plnenia národných cieľov znižovania emisií znečisťujúcich látok do ovzdušia je nevyhnutné podporovať investície do technológií a zariadení zdrojov znečisťovania, v súlade s požiadavkami BAT a realizovať opatrenia na zlepšenie kvality ovzdušia.</w:t>
      </w:r>
      <w:r w:rsidR="0036663E">
        <w:rPr>
          <w:rFonts w:asciiTheme="majorHAnsi" w:hAnsiTheme="majorHAnsi"/>
          <w:szCs w:val="22"/>
          <w:lang w:eastAsia="cs-CZ"/>
        </w:rPr>
        <w:t xml:space="preserve"> </w:t>
      </w:r>
      <w:r w:rsidR="00FE7FFB">
        <w:rPr>
          <w:rFonts w:asciiTheme="majorHAnsi" w:hAnsiTheme="majorHAnsi"/>
          <w:szCs w:val="22"/>
          <w:lang w:eastAsia="cs-CZ"/>
        </w:rPr>
        <w:t xml:space="preserve">V oblasti environmentálnej infraštruktúry bude </w:t>
      </w:r>
      <w:r w:rsidR="00FE7FFB" w:rsidRPr="00B742F3">
        <w:rPr>
          <w:rFonts w:asciiTheme="majorHAnsi" w:hAnsiTheme="majorHAnsi"/>
          <w:szCs w:val="22"/>
          <w:lang w:eastAsia="cs-CZ"/>
        </w:rPr>
        <w:t>v rámci výberu projektov</w:t>
      </w:r>
      <w:r w:rsidR="00FE7FFB" w:rsidRPr="00977E52">
        <w:rPr>
          <w:rFonts w:asciiTheme="majorHAnsi" w:hAnsiTheme="majorHAnsi"/>
          <w:szCs w:val="22"/>
          <w:lang w:eastAsia="cs-CZ"/>
        </w:rPr>
        <w:t xml:space="preserve"> </w:t>
      </w:r>
      <w:r w:rsidR="00FE7FFB">
        <w:rPr>
          <w:rFonts w:asciiTheme="majorHAnsi" w:hAnsiTheme="majorHAnsi"/>
          <w:szCs w:val="22"/>
          <w:lang w:eastAsia="cs-CZ"/>
        </w:rPr>
        <w:t>zohľadnený a</w:t>
      </w:r>
      <w:r w:rsidR="00FE7FFB" w:rsidRPr="00413D0D">
        <w:rPr>
          <w:rFonts w:asciiTheme="majorHAnsi" w:hAnsiTheme="majorHAnsi"/>
          <w:szCs w:val="22"/>
          <w:lang w:eastAsia="cs-CZ"/>
        </w:rPr>
        <w:t xml:space="preserve">spekt inovatívnosti </w:t>
      </w:r>
      <w:r w:rsidR="00FE7FFB" w:rsidRPr="004C6E30">
        <w:rPr>
          <w:rFonts w:asciiTheme="majorHAnsi" w:hAnsiTheme="majorHAnsi"/>
          <w:szCs w:val="22"/>
          <w:lang w:eastAsia="cs-CZ"/>
        </w:rPr>
        <w:t>technológií idúcich nad rámec noriem EÚ tam, kde je to uplatniteľné podľa platných právnych predpisov</w:t>
      </w:r>
      <w:r w:rsidR="0036663E" w:rsidRPr="004C6E30">
        <w:rPr>
          <w:rFonts w:asciiTheme="majorHAnsi" w:hAnsiTheme="majorHAnsi"/>
          <w:szCs w:val="22"/>
          <w:lang w:eastAsia="cs-CZ"/>
        </w:rPr>
        <w:t>,</w:t>
      </w:r>
      <w:r w:rsidR="0036663E" w:rsidRPr="0064605C">
        <w:rPr>
          <w:rFonts w:ascii="Calibri" w:eastAsia="MS Mincho" w:hAnsi="Calibri"/>
        </w:rPr>
        <w:t xml:space="preserve"> prípadne budú v rámci výberu projektov zvýhodňované riešenia umožňujúce priblíženie sa, resp. napĺňanie najambicióznejších štandardov vyplývajúcich z legislatívy EÚ v danej oblasti v prípade, že legislatíva EÚ definuje rozsah hodnôt, ktoré je potrebné dodržiavať.</w:t>
      </w:r>
      <w:r w:rsidR="0036663E" w:rsidRPr="004C6E30">
        <w:rPr>
          <w:rFonts w:asciiTheme="majorHAnsi" w:hAnsiTheme="majorHAnsi"/>
          <w:szCs w:val="22"/>
          <w:lang w:eastAsia="cs-CZ"/>
        </w:rPr>
        <w:t xml:space="preserve"> </w:t>
      </w:r>
      <w:r w:rsidRPr="004C6E30">
        <w:rPr>
          <w:rFonts w:asciiTheme="majorHAnsi" w:hAnsiTheme="majorHAnsi"/>
          <w:szCs w:val="22"/>
          <w:lang w:eastAsia="cs-CZ"/>
        </w:rPr>
        <w:t>S cieľom elim</w:t>
      </w:r>
      <w:r w:rsidRPr="00A678A6">
        <w:rPr>
          <w:rFonts w:asciiTheme="majorHAnsi" w:hAnsiTheme="majorHAnsi"/>
          <w:szCs w:val="22"/>
          <w:lang w:eastAsia="cs-CZ"/>
        </w:rPr>
        <w:t>inovať riziká, ktoré pre životné prostredie a zdravie obyvateľstva predstavujú environmentálne záťaže, je nevyhnutné vykonať opatrenia na ich odstránenie, ako aj na regeneráciu a ďalšie využitie sanovaných alebo nevyužívaných plôch.</w:t>
      </w:r>
    </w:p>
    <w:p w:rsidR="00A678A6" w:rsidRPr="00A678A6" w:rsidRDefault="00A678A6" w:rsidP="00A678A6">
      <w:pPr>
        <w:autoSpaceDE w:val="0"/>
        <w:autoSpaceDN w:val="0"/>
        <w:adjustRightInd w:val="0"/>
        <w:spacing w:before="0" w:after="0"/>
        <w:rPr>
          <w:rFonts w:asciiTheme="majorHAnsi" w:hAnsiTheme="majorHAnsi"/>
          <w:szCs w:val="22"/>
          <w:lang w:eastAsia="cs-CZ"/>
        </w:rPr>
      </w:pPr>
      <w:r w:rsidRPr="00A678A6">
        <w:rPr>
          <w:rFonts w:asciiTheme="majorHAnsi" w:hAnsiTheme="majorHAnsi"/>
          <w:szCs w:val="22"/>
          <w:lang w:eastAsia="cs-CZ"/>
        </w:rPr>
        <w:t>Pre dosiahnutie zlepšenej kvality životného prostredia je nevyhnutné podporovať aj budovanie prvkov zelenej infraštruktúry v mestách.</w:t>
      </w:r>
    </w:p>
    <w:p w:rsidR="00A678A6" w:rsidRPr="00A678A6" w:rsidRDefault="00A678A6" w:rsidP="00A678A6">
      <w:pPr>
        <w:autoSpaceDE w:val="0"/>
        <w:autoSpaceDN w:val="0"/>
        <w:adjustRightInd w:val="0"/>
        <w:spacing w:after="0"/>
        <w:rPr>
          <w:rFonts w:asciiTheme="majorHAnsi" w:hAnsiTheme="majorHAnsi" w:cs="Franklin Gothic Book"/>
          <w:color w:val="000000"/>
          <w:szCs w:val="22"/>
        </w:rPr>
      </w:pPr>
      <w:r w:rsidRPr="00A678A6">
        <w:rPr>
          <w:rFonts w:asciiTheme="majorHAnsi" w:hAnsiTheme="majorHAnsi" w:cs="Franklin Gothic Book"/>
          <w:color w:val="000000"/>
          <w:szCs w:val="22"/>
        </w:rPr>
        <w:t>Jeden zo základných cieľov akčného plánu stratégie EÚ pre Dunajský región je „obnoviť aspoň 15 % degradovaných ekosystémov, vrátane degradovaných pôd do roku 2020“</w:t>
      </w:r>
      <w:r w:rsidRPr="00A678A6">
        <w:rPr>
          <w:rFonts w:asciiTheme="majorHAnsi" w:hAnsiTheme="majorHAnsi" w:cs="Franklin Gothic Book"/>
          <w:color w:val="000000"/>
          <w:szCs w:val="22"/>
          <w:vertAlign w:val="superscript"/>
        </w:rPr>
        <w:footnoteReference w:id="299"/>
      </w:r>
      <w:r w:rsidRPr="00A678A6">
        <w:rPr>
          <w:rFonts w:asciiTheme="majorHAnsi" w:hAnsiTheme="majorHAnsi" w:cs="Franklin Gothic Book"/>
          <w:color w:val="000000"/>
          <w:szCs w:val="22"/>
        </w:rPr>
        <w:t>.</w:t>
      </w:r>
    </w:p>
    <w:p w:rsidR="00ED0E5A" w:rsidRPr="00ED0E5A" w:rsidRDefault="00ED0E5A" w:rsidP="00A678A6">
      <w:pPr>
        <w:autoSpaceDE w:val="0"/>
        <w:autoSpaceDN w:val="0"/>
        <w:adjustRightInd w:val="0"/>
        <w:spacing w:after="0"/>
        <w:rPr>
          <w:rFonts w:ascii="Calibri" w:hAnsi="Calibri" w:cs="Calibri"/>
          <w:szCs w:val="22"/>
        </w:rPr>
      </w:pPr>
      <w:r w:rsidRPr="00ED0E5A">
        <w:rPr>
          <w:rFonts w:ascii="Calibri" w:hAnsi="Calibri" w:cs="Calibri"/>
          <w:szCs w:val="22"/>
        </w:rPr>
        <w:t>Udržateľné a</w:t>
      </w:r>
      <w:r w:rsidR="004C6E30">
        <w:rPr>
          <w:rFonts w:ascii="Calibri" w:hAnsi="Calibri" w:cs="Calibri"/>
          <w:szCs w:val="22"/>
        </w:rPr>
        <w:t> </w:t>
      </w:r>
      <w:r w:rsidRPr="00ED0E5A">
        <w:rPr>
          <w:rFonts w:ascii="Calibri" w:hAnsi="Calibri" w:cs="Calibri"/>
          <w:szCs w:val="22"/>
        </w:rPr>
        <w:t>efektívne</w:t>
      </w:r>
      <w:r w:rsidR="004C6E30">
        <w:rPr>
          <w:rFonts w:ascii="Calibri" w:hAnsi="Calibri" w:cs="Calibri"/>
          <w:szCs w:val="22"/>
        </w:rPr>
        <w:t xml:space="preserve"> </w:t>
      </w:r>
      <w:r w:rsidRPr="00ED0E5A">
        <w:rPr>
          <w:rFonts w:ascii="Calibri" w:hAnsi="Calibri" w:cs="Calibri"/>
          <w:szCs w:val="22"/>
        </w:rPr>
        <w:t>využívanie zdrojov je nevyhnutnou podmienkou pre ďalší rozvoj sektora akvakultúry a</w:t>
      </w:r>
      <w:r w:rsidR="00A875AE">
        <w:rPr>
          <w:rFonts w:ascii="Calibri" w:hAnsi="Calibri" w:cs="Calibri"/>
          <w:szCs w:val="22"/>
        </w:rPr>
        <w:t> </w:t>
      </w:r>
      <w:r w:rsidRPr="00ED0E5A">
        <w:rPr>
          <w:rFonts w:ascii="Calibri" w:hAnsi="Calibri" w:cs="Calibri"/>
          <w:szCs w:val="22"/>
        </w:rPr>
        <w:t>spracovania rýb na Slovensku. Taktiež je potrebné podporovať zavádzanie chovateľských metód šetrných k</w:t>
      </w:r>
      <w:r w:rsidR="004C6E30">
        <w:rPr>
          <w:rFonts w:ascii="Calibri" w:hAnsi="Calibri" w:cs="Calibri"/>
          <w:szCs w:val="22"/>
        </w:rPr>
        <w:t> </w:t>
      </w:r>
      <w:r w:rsidRPr="00ED0E5A">
        <w:rPr>
          <w:rFonts w:ascii="Calibri" w:hAnsi="Calibri" w:cs="Calibri"/>
          <w:szCs w:val="22"/>
        </w:rPr>
        <w:t>životnému</w:t>
      </w:r>
      <w:r w:rsidR="004C6E30">
        <w:rPr>
          <w:rFonts w:ascii="Calibri" w:hAnsi="Calibri" w:cs="Calibri"/>
          <w:szCs w:val="22"/>
        </w:rPr>
        <w:t xml:space="preserve"> </w:t>
      </w:r>
      <w:r w:rsidRPr="00ED0E5A">
        <w:rPr>
          <w:rFonts w:ascii="Calibri" w:hAnsi="Calibri" w:cs="Calibri"/>
          <w:szCs w:val="22"/>
        </w:rPr>
        <w:t>prostrediu a</w:t>
      </w:r>
      <w:r w:rsidR="00A875AE">
        <w:rPr>
          <w:rFonts w:ascii="Calibri" w:hAnsi="Calibri" w:cs="Calibri"/>
          <w:szCs w:val="22"/>
        </w:rPr>
        <w:t> </w:t>
      </w:r>
      <w:r w:rsidRPr="00ED0E5A">
        <w:rPr>
          <w:rFonts w:ascii="Calibri" w:hAnsi="Calibri" w:cs="Calibri"/>
          <w:szCs w:val="22"/>
        </w:rPr>
        <w:t>takých technologických riešení chovu a</w:t>
      </w:r>
      <w:r w:rsidR="00A875AE">
        <w:rPr>
          <w:rFonts w:ascii="Calibri" w:hAnsi="Calibri" w:cs="Calibri"/>
          <w:szCs w:val="22"/>
        </w:rPr>
        <w:t> </w:t>
      </w:r>
      <w:r w:rsidRPr="00ED0E5A">
        <w:rPr>
          <w:rFonts w:ascii="Calibri" w:hAnsi="Calibri" w:cs="Calibri"/>
          <w:szCs w:val="22"/>
        </w:rPr>
        <w:t>spracovania rýb, ktoré minimalizujú negatívny dopad, resp. posilnia pozitívny efekt na životné prostredie. V</w:t>
      </w:r>
      <w:r w:rsidR="00A875AE">
        <w:rPr>
          <w:rFonts w:ascii="Calibri" w:hAnsi="Calibri" w:cs="Calibri"/>
          <w:szCs w:val="22"/>
        </w:rPr>
        <w:t> </w:t>
      </w:r>
      <w:r w:rsidRPr="00ED0E5A">
        <w:rPr>
          <w:rFonts w:ascii="Calibri" w:hAnsi="Calibri" w:cs="Calibri"/>
          <w:szCs w:val="22"/>
        </w:rPr>
        <w:t>nadväznosti</w:t>
      </w:r>
      <w:r w:rsidR="00A875AE">
        <w:rPr>
          <w:rFonts w:ascii="Calibri" w:hAnsi="Calibri" w:cs="Calibri"/>
          <w:szCs w:val="22"/>
        </w:rPr>
        <w:t xml:space="preserve"> </w:t>
      </w:r>
      <w:r w:rsidRPr="00ED0E5A">
        <w:rPr>
          <w:rFonts w:ascii="Calibri" w:hAnsi="Calibri" w:cs="Calibri"/>
          <w:szCs w:val="22"/>
        </w:rPr>
        <w:t>na vykonávanie Spoločnej rybárskej politiky</w:t>
      </w:r>
      <w:r>
        <w:rPr>
          <w:rFonts w:ascii="Calibri" w:hAnsi="Calibri" w:cs="Calibri"/>
          <w:szCs w:val="22"/>
        </w:rPr>
        <w:t xml:space="preserve"> (ďalej len „SRP“)</w:t>
      </w:r>
      <w:r w:rsidRPr="00ED0E5A">
        <w:rPr>
          <w:rFonts w:ascii="Calibri" w:hAnsi="Calibri" w:cs="Calibri"/>
          <w:szCs w:val="22"/>
        </w:rPr>
        <w:t xml:space="preserve"> je nevyhnutné zabezpečiť zber údajov, kontrolu a</w:t>
      </w:r>
      <w:r w:rsidR="00A875AE">
        <w:rPr>
          <w:rFonts w:ascii="Calibri" w:hAnsi="Calibri" w:cs="Calibri"/>
          <w:szCs w:val="22"/>
        </w:rPr>
        <w:t> </w:t>
      </w:r>
      <w:r w:rsidRPr="00ED0E5A">
        <w:rPr>
          <w:rFonts w:ascii="Calibri" w:hAnsi="Calibri" w:cs="Calibri"/>
          <w:szCs w:val="22"/>
        </w:rPr>
        <w:t>vysledovateľnosť produktov rybolovu a</w:t>
      </w:r>
      <w:r w:rsidR="005E0CD8">
        <w:rPr>
          <w:rFonts w:ascii="Calibri" w:hAnsi="Calibri" w:cs="Calibri"/>
          <w:szCs w:val="22"/>
        </w:rPr>
        <w:t> </w:t>
      </w:r>
      <w:r w:rsidRPr="00ED0E5A">
        <w:rPr>
          <w:rFonts w:ascii="Calibri" w:hAnsi="Calibri" w:cs="Calibri"/>
          <w:szCs w:val="22"/>
        </w:rPr>
        <w:t>akvakultúry</w:t>
      </w:r>
      <w:r w:rsidR="005E0CD8">
        <w:rPr>
          <w:rFonts w:ascii="Calibri" w:hAnsi="Calibri" w:cs="Calibri"/>
          <w:szCs w:val="22"/>
        </w:rPr>
        <w:t xml:space="preserve"> </w:t>
      </w:r>
      <w:r w:rsidR="005E0CD8" w:rsidRPr="005E0CD8">
        <w:rPr>
          <w:rFonts w:ascii="Calibri" w:hAnsi="Calibri" w:cs="Calibri"/>
          <w:szCs w:val="22"/>
        </w:rPr>
        <w:t>v</w:t>
      </w:r>
      <w:r w:rsidR="004C6E30">
        <w:rPr>
          <w:rFonts w:ascii="Calibri" w:hAnsi="Calibri" w:cs="Calibri"/>
          <w:szCs w:val="22"/>
        </w:rPr>
        <w:t> </w:t>
      </w:r>
      <w:r w:rsidR="005E0CD8" w:rsidRPr="005E0CD8">
        <w:rPr>
          <w:rFonts w:ascii="Calibri" w:hAnsi="Calibri" w:cs="Calibri"/>
          <w:szCs w:val="22"/>
        </w:rPr>
        <w:t>súlade</w:t>
      </w:r>
      <w:r w:rsidR="004C6E30">
        <w:rPr>
          <w:rFonts w:ascii="Calibri" w:hAnsi="Calibri" w:cs="Calibri"/>
          <w:szCs w:val="22"/>
        </w:rPr>
        <w:t xml:space="preserve"> </w:t>
      </w:r>
      <w:r w:rsidR="005E0CD8" w:rsidRPr="005E0CD8">
        <w:rPr>
          <w:rFonts w:ascii="Calibri" w:hAnsi="Calibri" w:cs="Calibri"/>
          <w:szCs w:val="22"/>
        </w:rPr>
        <w:t>s nariadením Európskeho Parlamentu a Rady (EÚ) č. 1308/2013 o SRP</w:t>
      </w:r>
      <w:r w:rsidRPr="00ED0E5A">
        <w:rPr>
          <w:rFonts w:ascii="Calibri" w:hAnsi="Calibri" w:cs="Calibri"/>
          <w:szCs w:val="22"/>
        </w:rPr>
        <w:t>.</w:t>
      </w:r>
    </w:p>
    <w:p w:rsidR="002B037A" w:rsidRDefault="00A678A6" w:rsidP="00A678A6">
      <w:pPr>
        <w:autoSpaceDE w:val="0"/>
        <w:autoSpaceDN w:val="0"/>
        <w:adjustRightInd w:val="0"/>
        <w:rPr>
          <w:rFonts w:asciiTheme="majorHAnsi" w:hAnsiTheme="majorHAnsi" w:cs="Franklin Gothic Book"/>
          <w:color w:val="000000"/>
          <w:szCs w:val="22"/>
        </w:rPr>
      </w:pPr>
      <w:r w:rsidRPr="00A678A6">
        <w:rPr>
          <w:rFonts w:asciiTheme="majorHAnsi" w:hAnsiTheme="majorHAnsi" w:cs="Franklin Gothic Book"/>
          <w:color w:val="000000"/>
          <w:szCs w:val="22"/>
        </w:rPr>
        <w:t>V oblasti poľnohospodárstva a</w:t>
      </w:r>
      <w:r w:rsidRPr="00A678A6">
        <w:rPr>
          <w:rFonts w:asciiTheme="majorHAnsi" w:hAnsiTheme="majorHAnsi" w:cs="Franklin Gothic Book"/>
          <w:color w:val="000000"/>
          <w:sz w:val="24"/>
        </w:rPr>
        <w:t> </w:t>
      </w:r>
      <w:r w:rsidRPr="00A678A6">
        <w:rPr>
          <w:rFonts w:asciiTheme="majorHAnsi" w:hAnsiTheme="majorHAnsi" w:cs="Franklin Gothic Book"/>
          <w:color w:val="000000"/>
          <w:szCs w:val="22"/>
        </w:rPr>
        <w:t>lesného hospodárstva je nevyhnutné pokračovať v ochrane biodiverzity, hlavne v územiach NATURA 2000 a</w:t>
      </w:r>
      <w:r w:rsidR="004C6E30">
        <w:rPr>
          <w:rFonts w:asciiTheme="majorHAnsi" w:hAnsiTheme="majorHAnsi" w:cs="Franklin Gothic Book"/>
          <w:color w:val="000000"/>
          <w:szCs w:val="22"/>
        </w:rPr>
        <w:t> </w:t>
      </w:r>
      <w:r w:rsidRPr="00A678A6">
        <w:rPr>
          <w:rFonts w:asciiTheme="majorHAnsi" w:hAnsiTheme="majorHAnsi" w:cs="Franklin Gothic Book"/>
          <w:color w:val="000000"/>
          <w:szCs w:val="22"/>
        </w:rPr>
        <w:t>v oblastiach s vysokou prírodnou hodnotou. Taktiež je žiaduce zabezpečovať ochranu pôdy a</w:t>
      </w:r>
      <w:r w:rsidR="00CC6BE7">
        <w:rPr>
          <w:rFonts w:asciiTheme="majorHAnsi" w:hAnsiTheme="majorHAnsi" w:cs="Franklin Gothic Book"/>
          <w:color w:val="000000"/>
          <w:szCs w:val="22"/>
        </w:rPr>
        <w:t> </w:t>
      </w:r>
      <w:r w:rsidRPr="00A678A6">
        <w:rPr>
          <w:rFonts w:asciiTheme="majorHAnsi" w:hAnsiTheme="majorHAnsi" w:cs="Franklin Gothic Book"/>
          <w:color w:val="000000"/>
          <w:szCs w:val="22"/>
        </w:rPr>
        <w:t>vody</w:t>
      </w:r>
      <w:r w:rsidR="00CC6BE7">
        <w:rPr>
          <w:rFonts w:asciiTheme="majorHAnsi" w:hAnsiTheme="majorHAnsi" w:cs="Franklin Gothic Book"/>
          <w:color w:val="000000"/>
          <w:szCs w:val="22"/>
        </w:rPr>
        <w:t xml:space="preserve"> najmä</w:t>
      </w:r>
      <w:r w:rsidRPr="00A678A6">
        <w:rPr>
          <w:rFonts w:asciiTheme="majorHAnsi" w:hAnsiTheme="majorHAnsi" w:cs="Franklin Gothic Book"/>
          <w:color w:val="000000"/>
          <w:szCs w:val="22"/>
        </w:rPr>
        <w:t xml:space="preserve"> prostredníctvom agroenvironmentálnych postupov šetriacich životné prostredie a</w:t>
      </w:r>
      <w:r w:rsidR="00BE2ACE">
        <w:rPr>
          <w:rFonts w:asciiTheme="majorHAnsi" w:hAnsiTheme="majorHAnsi" w:cs="Franklin Gothic Book"/>
          <w:color w:val="000000"/>
          <w:szCs w:val="22"/>
        </w:rPr>
        <w:t> </w:t>
      </w:r>
      <w:r w:rsidRPr="00A678A6">
        <w:rPr>
          <w:rFonts w:asciiTheme="majorHAnsi" w:hAnsiTheme="majorHAnsi" w:cs="Franklin Gothic Book"/>
          <w:color w:val="000000"/>
          <w:szCs w:val="22"/>
        </w:rPr>
        <w:t>ekologickým poľnohospodárstvom a investíciami pre bezpečné nakladanie s odpadovou vodou a hospodárskymi hnojivami. Rovnako je potrebné zabezpečovať pokračovanie poľnohospodárskych aktivít v oblastiach s prírodnými a ostatnými špecifickými obmedzeniami. Pre realizáciu týchto postupov je dôležité podporovať vzdelávanie, poradenstvo a šírenie dobrej praxe pre poľnohospodárov a obhospodarovateľov lesov.</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A678A6">
      <w:pPr>
        <w:autoSpaceDE w:val="0"/>
        <w:autoSpaceDN w:val="0"/>
        <w:adjustRightInd w:val="0"/>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KF a EFRR</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zabezpečenie nakladania s</w:t>
      </w:r>
      <w:r w:rsidR="004C6E30">
        <w:rPr>
          <w:rFonts w:asciiTheme="majorHAnsi" w:hAnsiTheme="majorHAnsi"/>
          <w:szCs w:val="22"/>
        </w:rPr>
        <w:t> </w:t>
      </w:r>
      <w:r w:rsidRPr="00A678A6">
        <w:rPr>
          <w:rFonts w:asciiTheme="majorHAnsi" w:hAnsiTheme="majorHAnsi"/>
          <w:szCs w:val="22"/>
        </w:rPr>
        <w:t>odpadmi</w:t>
      </w:r>
      <w:r w:rsidR="004C6E30">
        <w:rPr>
          <w:rFonts w:asciiTheme="majorHAnsi" w:hAnsiTheme="majorHAnsi"/>
          <w:szCs w:val="22"/>
        </w:rPr>
        <w:t xml:space="preserve"> </w:t>
      </w:r>
      <w:r w:rsidRPr="00A678A6">
        <w:rPr>
          <w:rFonts w:asciiTheme="majorHAnsi" w:hAnsiTheme="majorHAnsi"/>
          <w:szCs w:val="22"/>
        </w:rPr>
        <w:t xml:space="preserve">v súlade s hierarchiou odpadového hospodárstva a za účelom plnenia požiadaviek </w:t>
      </w:r>
      <w:r w:rsidR="00344D7F">
        <w:rPr>
          <w:rFonts w:asciiTheme="majorHAnsi" w:hAnsiTheme="majorHAnsi"/>
          <w:szCs w:val="22"/>
        </w:rPr>
        <w:t>„</w:t>
      </w:r>
      <w:r w:rsidRPr="00A678A6">
        <w:rPr>
          <w:rFonts w:asciiTheme="majorHAnsi" w:hAnsiTheme="majorHAnsi"/>
          <w:szCs w:val="22"/>
        </w:rPr>
        <w:t>environmentálneho acquis</w:t>
      </w:r>
      <w:r w:rsidR="00344D7F">
        <w:rPr>
          <w:rFonts w:asciiTheme="majorHAnsi" w:hAnsiTheme="majorHAnsi"/>
          <w:szCs w:val="22"/>
        </w:rPr>
        <w:t>“</w:t>
      </w:r>
      <w:r w:rsidRPr="00A678A6">
        <w:rPr>
          <w:rFonts w:asciiTheme="majorHAnsi" w:hAnsiTheme="majorHAnsi"/>
          <w:szCs w:val="22"/>
        </w:rPr>
        <w:t>;</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lastRenderedPageBreak/>
        <w:t>vytvorenie podmienok pre zabezpečenie dobrého stavu vôd v</w:t>
      </w:r>
      <w:r w:rsidR="004C6E30">
        <w:rPr>
          <w:rFonts w:asciiTheme="majorHAnsi" w:hAnsiTheme="majorHAnsi"/>
          <w:szCs w:val="22"/>
        </w:rPr>
        <w:t> </w:t>
      </w:r>
      <w:r w:rsidRPr="00A678A6">
        <w:rPr>
          <w:rFonts w:asciiTheme="majorHAnsi" w:hAnsiTheme="majorHAnsi"/>
          <w:szCs w:val="22"/>
        </w:rPr>
        <w:t>SR;</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zabezpečenie plnenia predvstupových záväzkov SR voči EÚ v oblasti čistenia a odvádzania komunálnych odpadových vôd;</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skvalitnenie zásobovania obyvateľstva pitnou vodou;</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zabezpečenie podmienok pre zachovanie biologickej diverzity;</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dobudovanie a skvalitnenie informačného systému monitorovania a</w:t>
      </w:r>
      <w:r w:rsidR="004C6E30">
        <w:rPr>
          <w:rFonts w:asciiTheme="majorHAnsi" w:hAnsiTheme="majorHAnsi"/>
          <w:szCs w:val="22"/>
        </w:rPr>
        <w:t> </w:t>
      </w:r>
      <w:r w:rsidRPr="00A678A6">
        <w:rPr>
          <w:rFonts w:asciiTheme="majorHAnsi" w:hAnsiTheme="majorHAnsi"/>
          <w:szCs w:val="22"/>
        </w:rPr>
        <w:t>reportingu</w:t>
      </w:r>
      <w:r w:rsidR="004C6E30">
        <w:rPr>
          <w:rFonts w:asciiTheme="majorHAnsi" w:hAnsiTheme="majorHAnsi"/>
          <w:szCs w:val="22"/>
        </w:rPr>
        <w:t xml:space="preserve"> </w:t>
      </w:r>
      <w:r w:rsidRPr="00A678A6">
        <w:rPr>
          <w:rFonts w:asciiTheme="majorHAnsi" w:hAnsiTheme="majorHAnsi"/>
          <w:szCs w:val="22"/>
        </w:rPr>
        <w:t>na úseku ochrany prírody a krajiny;</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zlepšenie kvality ovzdušia a</w:t>
      </w:r>
      <w:r w:rsidR="002B037A">
        <w:rPr>
          <w:rFonts w:asciiTheme="majorHAnsi" w:hAnsiTheme="majorHAnsi"/>
          <w:szCs w:val="22"/>
        </w:rPr>
        <w:t> </w:t>
      </w:r>
      <w:r w:rsidRPr="00A678A6">
        <w:rPr>
          <w:rFonts w:asciiTheme="majorHAnsi" w:hAnsiTheme="majorHAnsi"/>
          <w:szCs w:val="22"/>
        </w:rPr>
        <w:t>zníženie jeho znečisťovania, ako aj skvalitnenie monitorovania ovzdušia;</w:t>
      </w:r>
    </w:p>
    <w:p w:rsid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inštalácia technologických zariadení a</w:t>
      </w:r>
      <w:r w:rsidR="002B037A">
        <w:rPr>
          <w:rFonts w:asciiTheme="majorHAnsi" w:hAnsiTheme="majorHAnsi"/>
          <w:szCs w:val="22"/>
        </w:rPr>
        <w:t> </w:t>
      </w:r>
      <w:r w:rsidRPr="00A678A6">
        <w:rPr>
          <w:rFonts w:asciiTheme="majorHAnsi" w:hAnsiTheme="majorHAnsi"/>
          <w:szCs w:val="22"/>
        </w:rPr>
        <w:t>realizácia technických opatrení na zabezpečenie plnenia podmienok smerníc EÚ v oblasti emisií znečisťujúcich látok a</w:t>
      </w:r>
      <w:r w:rsidR="004C6E30">
        <w:rPr>
          <w:rFonts w:asciiTheme="majorHAnsi" w:hAnsiTheme="majorHAnsi"/>
          <w:szCs w:val="22"/>
        </w:rPr>
        <w:t> </w:t>
      </w:r>
      <w:r w:rsidRPr="00A678A6">
        <w:rPr>
          <w:rFonts w:asciiTheme="majorHAnsi" w:hAnsiTheme="majorHAnsi"/>
          <w:szCs w:val="22"/>
        </w:rPr>
        <w:t>kvality</w:t>
      </w:r>
      <w:r w:rsidR="004C6E30">
        <w:rPr>
          <w:rFonts w:asciiTheme="majorHAnsi" w:hAnsiTheme="majorHAnsi"/>
          <w:szCs w:val="22"/>
        </w:rPr>
        <w:t xml:space="preserve"> </w:t>
      </w:r>
      <w:r w:rsidRPr="00A678A6">
        <w:rPr>
          <w:rFonts w:asciiTheme="majorHAnsi" w:hAnsiTheme="majorHAnsi"/>
          <w:szCs w:val="22"/>
        </w:rPr>
        <w:t>ovzdušia;</w:t>
      </w:r>
    </w:p>
    <w:p w:rsidR="009153D7" w:rsidRPr="00A678A6" w:rsidRDefault="009153D7" w:rsidP="00302664">
      <w:pPr>
        <w:numPr>
          <w:ilvl w:val="0"/>
          <w:numId w:val="15"/>
        </w:numPr>
        <w:spacing w:before="0" w:after="0"/>
        <w:contextualSpacing/>
        <w:rPr>
          <w:rFonts w:asciiTheme="majorHAnsi" w:hAnsiTheme="majorHAnsi"/>
          <w:szCs w:val="22"/>
        </w:rPr>
      </w:pPr>
      <w:r>
        <w:rPr>
          <w:rFonts w:asciiTheme="majorHAnsi" w:hAnsiTheme="majorHAnsi"/>
          <w:szCs w:val="22"/>
        </w:rPr>
        <w:t>zníženie znečisťovania životného prostredia prostredníctvom odvádzania odpadových vôd</w:t>
      </w:r>
      <w:r w:rsidRPr="00A678A6">
        <w:rPr>
          <w:rFonts w:asciiTheme="majorHAnsi" w:hAnsiTheme="majorHAnsi"/>
          <w:szCs w:val="22"/>
        </w:rPr>
        <w:t>;</w:t>
      </w:r>
    </w:p>
    <w:p w:rsidR="00A678A6" w:rsidRPr="00A678A6" w:rsidRDefault="00E628E4" w:rsidP="00302664">
      <w:pPr>
        <w:numPr>
          <w:ilvl w:val="0"/>
          <w:numId w:val="15"/>
        </w:numPr>
        <w:spacing w:before="0" w:after="0"/>
        <w:contextualSpacing/>
        <w:rPr>
          <w:rFonts w:asciiTheme="majorHAnsi" w:hAnsiTheme="majorHAnsi"/>
          <w:szCs w:val="22"/>
        </w:rPr>
      </w:pPr>
      <w:r w:rsidRPr="00F35154">
        <w:rPr>
          <w:rFonts w:asciiTheme="majorHAnsi" w:hAnsiTheme="majorHAnsi"/>
          <w:szCs w:val="22"/>
        </w:rPr>
        <w:t>zabezpečenie sanácie environmentálnych záťaží v mestskom prostredí, v opustených priemyselných areáloch a v oblastiach konverzie, ako aj zabezpečenie regenerácie nevyužívaných areálov a</w:t>
      </w:r>
      <w:r w:rsidR="004C6E30">
        <w:rPr>
          <w:rFonts w:asciiTheme="majorHAnsi" w:hAnsiTheme="majorHAnsi"/>
          <w:szCs w:val="22"/>
        </w:rPr>
        <w:t> </w:t>
      </w:r>
      <w:r w:rsidRPr="00F35154">
        <w:rPr>
          <w:rFonts w:asciiTheme="majorHAnsi" w:hAnsiTheme="majorHAnsi"/>
          <w:szCs w:val="22"/>
        </w:rPr>
        <w:t>objektov</w:t>
      </w:r>
      <w:r w:rsidR="004C6E30">
        <w:rPr>
          <w:rFonts w:asciiTheme="majorHAnsi" w:hAnsiTheme="majorHAnsi"/>
          <w:szCs w:val="22"/>
        </w:rPr>
        <w:t xml:space="preserve"> </w:t>
      </w:r>
      <w:r w:rsidRPr="00F35154">
        <w:rPr>
          <w:rFonts w:asciiTheme="majorHAnsi" w:hAnsiTheme="majorHAnsi"/>
          <w:szCs w:val="22"/>
        </w:rPr>
        <w:t>v nadväznosti na potreby dotknutého územia</w:t>
      </w:r>
      <w:r w:rsidR="00F71328" w:rsidRPr="003F0750">
        <w:rPr>
          <w:rFonts w:asciiTheme="majorHAnsi" w:hAnsiTheme="majorHAnsi"/>
          <w:szCs w:val="22"/>
        </w:rPr>
        <w:t>.</w:t>
      </w:r>
    </w:p>
    <w:p w:rsidR="00A678A6" w:rsidRPr="00A678A6" w:rsidRDefault="00A678A6" w:rsidP="00A678A6">
      <w:pPr>
        <w:autoSpaceDE w:val="0"/>
        <w:autoSpaceDN w:val="0"/>
        <w:adjustRightInd w:val="0"/>
        <w:spacing w:before="240"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EPFRV</w:t>
      </w:r>
    </w:p>
    <w:p w:rsidR="00A678A6" w:rsidRPr="00A678A6" w:rsidRDefault="00A678A6" w:rsidP="00302664">
      <w:pPr>
        <w:numPr>
          <w:ilvl w:val="0"/>
          <w:numId w:val="17"/>
        </w:numPr>
        <w:autoSpaceDE w:val="0"/>
        <w:autoSpaceDN w:val="0"/>
        <w:adjustRightInd w:val="0"/>
        <w:spacing w:before="0" w:after="0"/>
        <w:rPr>
          <w:rFonts w:asciiTheme="majorHAnsi" w:hAnsiTheme="majorHAnsi" w:cs="Franklin Gothic Book"/>
          <w:color w:val="000000"/>
          <w:szCs w:val="22"/>
        </w:rPr>
      </w:pPr>
      <w:r w:rsidRPr="00A678A6">
        <w:rPr>
          <w:rFonts w:asciiTheme="majorHAnsi" w:hAnsiTheme="majorHAnsi" w:cs="Franklin Gothic Book"/>
          <w:color w:val="000000"/>
          <w:szCs w:val="22"/>
        </w:rPr>
        <w:t>zachovanie poľnohospodárstva v oblastiach s prírodnými a inými špecifickými obmedzeniami;</w:t>
      </w:r>
    </w:p>
    <w:p w:rsidR="00A678A6" w:rsidRPr="00A678A6" w:rsidRDefault="00A678A6" w:rsidP="00302664">
      <w:pPr>
        <w:numPr>
          <w:ilvl w:val="0"/>
          <w:numId w:val="17"/>
        </w:numPr>
        <w:autoSpaceDE w:val="0"/>
        <w:autoSpaceDN w:val="0"/>
        <w:adjustRightInd w:val="0"/>
        <w:spacing w:before="0" w:after="0"/>
        <w:rPr>
          <w:rFonts w:asciiTheme="majorHAnsi" w:hAnsiTheme="majorHAnsi" w:cs="Franklin Gothic Book"/>
          <w:color w:val="000000"/>
          <w:szCs w:val="22"/>
        </w:rPr>
      </w:pPr>
      <w:r w:rsidRPr="00A678A6">
        <w:rPr>
          <w:rFonts w:asciiTheme="majorHAnsi" w:hAnsiTheme="majorHAnsi" w:cs="Franklin Gothic Book"/>
          <w:color w:val="000000"/>
          <w:szCs w:val="22"/>
        </w:rPr>
        <w:t>ochrana a zachovanie biologickej diverzity hlavne v územiach NATURA 2000 a HNV;</w:t>
      </w:r>
    </w:p>
    <w:p w:rsidR="00A678A6" w:rsidRPr="00A678A6" w:rsidRDefault="00A678A6" w:rsidP="00302664">
      <w:pPr>
        <w:numPr>
          <w:ilvl w:val="0"/>
          <w:numId w:val="17"/>
        </w:numPr>
        <w:autoSpaceDE w:val="0"/>
        <w:autoSpaceDN w:val="0"/>
        <w:adjustRightInd w:val="0"/>
        <w:spacing w:before="0" w:after="0"/>
        <w:rPr>
          <w:rFonts w:asciiTheme="majorHAnsi" w:hAnsiTheme="majorHAnsi" w:cs="Franklin Gothic Book"/>
          <w:color w:val="000000"/>
          <w:szCs w:val="22"/>
        </w:rPr>
      </w:pPr>
      <w:r w:rsidRPr="00A678A6">
        <w:rPr>
          <w:rFonts w:asciiTheme="majorHAnsi" w:hAnsiTheme="majorHAnsi" w:cs="Franklin Gothic Book"/>
          <w:color w:val="000000"/>
          <w:szCs w:val="22"/>
        </w:rPr>
        <w:t>realizácia poľnohospodárskych postupov šetrných k životnému prostrediu;</w:t>
      </w:r>
    </w:p>
    <w:p w:rsidR="00A678A6" w:rsidRPr="00A678A6" w:rsidRDefault="00A678A6" w:rsidP="00302664">
      <w:pPr>
        <w:numPr>
          <w:ilvl w:val="0"/>
          <w:numId w:val="17"/>
        </w:numPr>
        <w:autoSpaceDE w:val="0"/>
        <w:autoSpaceDN w:val="0"/>
        <w:adjustRightInd w:val="0"/>
        <w:spacing w:before="0" w:after="0"/>
        <w:rPr>
          <w:rFonts w:asciiTheme="majorHAnsi" w:hAnsiTheme="majorHAnsi" w:cs="Franklin Gothic Book"/>
          <w:color w:val="000000"/>
          <w:szCs w:val="22"/>
        </w:rPr>
      </w:pPr>
      <w:r w:rsidRPr="00A678A6">
        <w:rPr>
          <w:rFonts w:asciiTheme="majorHAnsi" w:hAnsiTheme="majorHAnsi" w:cs="Franklin Gothic Book"/>
          <w:color w:val="000000"/>
          <w:szCs w:val="22"/>
        </w:rPr>
        <w:t>realizácia postupov pre ochranu vody a</w:t>
      </w:r>
      <w:r w:rsidR="004C6E30">
        <w:rPr>
          <w:rFonts w:asciiTheme="majorHAnsi" w:hAnsiTheme="majorHAnsi" w:cs="Franklin Gothic Book"/>
          <w:color w:val="000000"/>
          <w:szCs w:val="22"/>
        </w:rPr>
        <w:t> </w:t>
      </w:r>
      <w:r w:rsidRPr="00A678A6">
        <w:rPr>
          <w:rFonts w:asciiTheme="majorHAnsi" w:hAnsiTheme="majorHAnsi" w:cs="Franklin Gothic Book"/>
          <w:color w:val="000000"/>
          <w:szCs w:val="22"/>
        </w:rPr>
        <w:t>pôdy;</w:t>
      </w:r>
    </w:p>
    <w:p w:rsidR="00A678A6" w:rsidRPr="00A678A6" w:rsidRDefault="00A678A6" w:rsidP="00302664">
      <w:pPr>
        <w:numPr>
          <w:ilvl w:val="0"/>
          <w:numId w:val="17"/>
        </w:numPr>
        <w:autoSpaceDE w:val="0"/>
        <w:autoSpaceDN w:val="0"/>
        <w:adjustRightInd w:val="0"/>
        <w:spacing w:before="0" w:after="0"/>
        <w:rPr>
          <w:rFonts w:asciiTheme="majorHAnsi" w:hAnsiTheme="majorHAnsi" w:cs="Franklin Gothic Book"/>
          <w:color w:val="000000"/>
          <w:szCs w:val="22"/>
        </w:rPr>
      </w:pPr>
      <w:r w:rsidRPr="00A678A6">
        <w:rPr>
          <w:rFonts w:asciiTheme="majorHAnsi" w:hAnsiTheme="majorHAnsi" w:cs="Franklin Gothic Book"/>
          <w:color w:val="000000"/>
          <w:szCs w:val="22"/>
        </w:rPr>
        <w:t xml:space="preserve">zlepšenie kvality </w:t>
      </w:r>
      <w:r w:rsidR="0063747C">
        <w:rPr>
          <w:rFonts w:asciiTheme="majorHAnsi" w:hAnsiTheme="majorHAnsi" w:cs="Franklin Gothic Book"/>
          <w:color w:val="000000"/>
          <w:szCs w:val="22"/>
        </w:rPr>
        <w:t xml:space="preserve">a ochrany </w:t>
      </w:r>
      <w:r w:rsidRPr="00A678A6">
        <w:rPr>
          <w:rFonts w:asciiTheme="majorHAnsi" w:hAnsiTheme="majorHAnsi" w:cs="Franklin Gothic Book"/>
          <w:color w:val="000000"/>
          <w:szCs w:val="22"/>
        </w:rPr>
        <w:t>vody</w:t>
      </w:r>
      <w:r w:rsidR="0063747C">
        <w:rPr>
          <w:rFonts w:asciiTheme="majorHAnsi" w:hAnsiTheme="majorHAnsi" w:cs="Franklin Gothic Book"/>
          <w:color w:val="000000"/>
          <w:szCs w:val="22"/>
        </w:rPr>
        <w:t xml:space="preserve"> a pôdy a zníženie emisií skleníkových plynov </w:t>
      </w:r>
      <w:r w:rsidR="00434258">
        <w:rPr>
          <w:rFonts w:asciiTheme="majorHAnsi" w:hAnsiTheme="majorHAnsi" w:cs="Franklin Gothic Book"/>
          <w:color w:val="000000"/>
          <w:szCs w:val="22"/>
        </w:rPr>
        <w:t>z</w:t>
      </w:r>
      <w:r w:rsidR="004C6E30">
        <w:rPr>
          <w:rFonts w:asciiTheme="majorHAnsi" w:hAnsiTheme="majorHAnsi" w:cs="Franklin Gothic Book"/>
          <w:color w:val="000000"/>
          <w:szCs w:val="22"/>
        </w:rPr>
        <w:t> </w:t>
      </w:r>
      <w:r w:rsidR="0063747C">
        <w:rPr>
          <w:rFonts w:asciiTheme="majorHAnsi" w:hAnsiTheme="majorHAnsi" w:cs="Franklin Gothic Book"/>
          <w:color w:val="000000"/>
          <w:szCs w:val="22"/>
        </w:rPr>
        <w:t>poľnohospodárskej</w:t>
      </w:r>
      <w:r w:rsidR="004C6E30">
        <w:rPr>
          <w:rFonts w:asciiTheme="majorHAnsi" w:hAnsiTheme="majorHAnsi" w:cs="Franklin Gothic Book"/>
          <w:color w:val="000000"/>
          <w:szCs w:val="22"/>
        </w:rPr>
        <w:t xml:space="preserve"> </w:t>
      </w:r>
      <w:r w:rsidR="0063747C">
        <w:rPr>
          <w:rFonts w:asciiTheme="majorHAnsi" w:hAnsiTheme="majorHAnsi" w:cs="Franklin Gothic Book"/>
          <w:color w:val="000000"/>
          <w:szCs w:val="22"/>
        </w:rPr>
        <w:t>činnosti</w:t>
      </w:r>
      <w:r w:rsidRPr="00A678A6">
        <w:rPr>
          <w:rFonts w:asciiTheme="majorHAnsi" w:hAnsiTheme="majorHAnsi" w:cs="Franklin Gothic Book"/>
          <w:color w:val="000000"/>
          <w:szCs w:val="22"/>
        </w:rPr>
        <w:t>.</w:t>
      </w:r>
    </w:p>
    <w:p w:rsidR="00A678A6" w:rsidRPr="00A678A6" w:rsidRDefault="00A678A6" w:rsidP="00A678A6">
      <w:pPr>
        <w:autoSpaceDE w:val="0"/>
        <w:autoSpaceDN w:val="0"/>
        <w:adjustRightInd w:val="0"/>
        <w:spacing w:before="240"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ENRF</w:t>
      </w:r>
    </w:p>
    <w:p w:rsidR="00A678A6" w:rsidRPr="00A678A6" w:rsidRDefault="00A678A6" w:rsidP="00302664">
      <w:pPr>
        <w:numPr>
          <w:ilvl w:val="0"/>
          <w:numId w:val="15"/>
        </w:numPr>
        <w:spacing w:before="0" w:after="0"/>
        <w:contextualSpacing/>
        <w:rPr>
          <w:rFonts w:asciiTheme="majorHAnsi" w:hAnsiTheme="majorHAnsi"/>
          <w:szCs w:val="22"/>
        </w:rPr>
      </w:pPr>
      <w:r w:rsidRPr="00A678A6">
        <w:rPr>
          <w:rFonts w:asciiTheme="majorHAnsi" w:hAnsiTheme="majorHAnsi"/>
          <w:szCs w:val="22"/>
        </w:rPr>
        <w:t>zavedenie chovateľských metód šetrných k životnému prostrediu, vrátane inovatívnych technologických riešení chovu a spracovania rýb;</w:t>
      </w:r>
    </w:p>
    <w:p w:rsidR="00A678A6" w:rsidRPr="00A678A6" w:rsidRDefault="00C960BB" w:rsidP="00302664">
      <w:pPr>
        <w:numPr>
          <w:ilvl w:val="0"/>
          <w:numId w:val="15"/>
        </w:numPr>
        <w:spacing w:before="0" w:after="0"/>
        <w:contextualSpacing/>
        <w:rPr>
          <w:rFonts w:asciiTheme="majorHAnsi" w:hAnsiTheme="majorHAnsi"/>
          <w:noProof/>
          <w:szCs w:val="22"/>
        </w:rPr>
      </w:pPr>
      <w:r>
        <w:rPr>
          <w:rFonts w:asciiTheme="majorHAnsi" w:hAnsiTheme="majorHAnsi"/>
          <w:szCs w:val="22"/>
        </w:rPr>
        <w:t>zber údajov a kontrola v rámci SRP</w:t>
      </w:r>
      <w:r w:rsidR="00E628E4">
        <w:rPr>
          <w:rFonts w:asciiTheme="majorHAnsi" w:hAnsiTheme="majorHAnsi"/>
          <w:szCs w:val="22"/>
        </w:rPr>
        <w:t>.</w:t>
      </w:r>
    </w:p>
    <w:p w:rsidR="00A678A6" w:rsidRPr="00A678A6" w:rsidRDefault="00A678A6" w:rsidP="00C109F3">
      <w:pPr>
        <w:keepNext/>
        <w:keepLines/>
        <w:numPr>
          <w:ilvl w:val="2"/>
          <w:numId w:val="2"/>
        </w:numPr>
        <w:spacing w:before="200" w:after="0"/>
        <w:outlineLvl w:val="2"/>
        <w:rPr>
          <w:rFonts w:asciiTheme="majorHAnsi" w:eastAsiaTheme="majorEastAsia" w:hAnsiTheme="majorHAnsi"/>
          <w:b/>
          <w:bCs/>
          <w:color w:val="4F81BD" w:themeColor="accent1"/>
          <w:sz w:val="26"/>
          <w:lang w:eastAsia="cs-CZ"/>
        </w:rPr>
      </w:pPr>
      <w:r w:rsidRPr="00A678A6">
        <w:rPr>
          <w:rFonts w:asciiTheme="majorHAnsi" w:eastAsiaTheme="majorEastAsia" w:hAnsiTheme="majorHAnsi"/>
          <w:b/>
          <w:bCs/>
          <w:color w:val="4F81BD" w:themeColor="accent1"/>
          <w:sz w:val="26"/>
          <w:lang w:eastAsia="cs-CZ"/>
        </w:rPr>
        <w:t>Národná priorita: Moderná a profesionálna verejná správa</w:t>
      </w:r>
    </w:p>
    <w:p w:rsidR="00A678A6" w:rsidRPr="00A678A6" w:rsidRDefault="00A678A6" w:rsidP="00C109F3">
      <w:pPr>
        <w:keepNext/>
        <w:keepLines/>
        <w:numPr>
          <w:ilvl w:val="3"/>
          <w:numId w:val="2"/>
        </w:numPr>
        <w:spacing w:before="200" w:after="0"/>
        <w:outlineLvl w:val="3"/>
        <w:rPr>
          <w:rFonts w:asciiTheme="majorHAnsi" w:eastAsiaTheme="majorEastAsia" w:hAnsiTheme="majorHAnsi"/>
          <w:b/>
          <w:bCs/>
          <w:i/>
          <w:iCs/>
          <w:color w:val="4F81BD" w:themeColor="accent1"/>
          <w:sz w:val="24"/>
          <w:lang w:eastAsia="cs-CZ"/>
        </w:rPr>
      </w:pPr>
      <w:r w:rsidRPr="00A678A6">
        <w:rPr>
          <w:rFonts w:asciiTheme="majorHAnsi" w:eastAsiaTheme="majorEastAsia" w:hAnsiTheme="majorHAnsi"/>
          <w:b/>
          <w:bCs/>
          <w:i/>
          <w:iCs/>
          <w:color w:val="4F81BD" w:themeColor="accent1"/>
          <w:sz w:val="24"/>
          <w:lang w:eastAsia="cs-CZ"/>
        </w:rPr>
        <w:t>TC 11: Posilnenie inštitucionálnych kapacít orgánov verejnej správy a zainteresovaných strán a efektivity verejnej správy</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Východiskový stav</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V programovom období 2007 – 2013 bola oblasť budovania kapacít a efektivity verejnej správy a zvyšovania účinnosti politík riešená v rámci OP ZaSI. Smerovanie podpory bolo obmedzené na riadenie a rozvoj ľudských zdrojov vo </w:t>
      </w:r>
      <w:r w:rsidR="004C6E30">
        <w:rPr>
          <w:rFonts w:asciiTheme="majorHAnsi" w:hAnsiTheme="majorHAnsi"/>
          <w:szCs w:val="22"/>
          <w:lang w:eastAsia="cs-CZ"/>
        </w:rPr>
        <w:t>VS</w:t>
      </w:r>
      <w:r w:rsidRPr="00A678A6">
        <w:rPr>
          <w:rFonts w:asciiTheme="majorHAnsi" w:hAnsiTheme="majorHAnsi"/>
          <w:szCs w:val="22"/>
          <w:lang w:eastAsia="cs-CZ"/>
        </w:rPr>
        <w:t xml:space="preserve"> na strane poskytovateľov služieb verejného charakteru</w:t>
      </w:r>
      <w:r w:rsidR="00E628E4">
        <w:rPr>
          <w:rFonts w:asciiTheme="majorHAnsi" w:hAnsiTheme="majorHAnsi"/>
          <w:szCs w:val="22"/>
          <w:lang w:eastAsia="cs-CZ"/>
        </w:rPr>
        <w:t>,</w:t>
      </w:r>
      <w:r w:rsidRPr="00A678A6">
        <w:rPr>
          <w:rFonts w:asciiTheme="majorHAnsi" w:hAnsiTheme="majorHAnsi"/>
          <w:szCs w:val="22"/>
          <w:lang w:eastAsia="cs-CZ"/>
        </w:rPr>
        <w:t xml:space="preserve"> a to formou vzdelávania, rozvoja partnerstiev, výmeny a šírenia informácií, zavedenia nástrojov na tvorbu politík, stratégií a strategického plánovania a zavedenia systémov riadenia kvality vo </w:t>
      </w:r>
      <w:r w:rsidR="004C6E30">
        <w:rPr>
          <w:rFonts w:asciiTheme="majorHAnsi" w:hAnsiTheme="majorHAnsi"/>
          <w:szCs w:val="22"/>
          <w:lang w:eastAsia="cs-CZ"/>
        </w:rPr>
        <w:t>VS</w:t>
      </w:r>
      <w:r w:rsidRPr="00A678A6">
        <w:rPr>
          <w:rFonts w:asciiTheme="majorHAnsi" w:hAnsiTheme="majorHAnsi"/>
          <w:szCs w:val="22"/>
          <w:lang w:eastAsia="cs-CZ"/>
        </w:rPr>
        <w:t>. Parciálne, so zameraním na informatizáciu bola riešená oblasť e-Governmentu v OP IS, a to na komunikačnej, resp. transakčnej úrovni elektronických služieb vybraných úsekov štátnej správy a územnej samosprávy.</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Podľa údajov Svetovej banky</w:t>
      </w:r>
      <w:r w:rsidRPr="00A678A6">
        <w:rPr>
          <w:rFonts w:asciiTheme="majorHAnsi" w:hAnsiTheme="majorHAnsi"/>
          <w:szCs w:val="22"/>
          <w:vertAlign w:val="superscript"/>
          <w:lang w:eastAsia="cs-CZ"/>
        </w:rPr>
        <w:footnoteReference w:id="300"/>
      </w:r>
      <w:r w:rsidRPr="00A678A6">
        <w:rPr>
          <w:rFonts w:asciiTheme="majorHAnsi" w:hAnsiTheme="majorHAnsi"/>
          <w:szCs w:val="22"/>
          <w:lang w:eastAsia="cs-CZ"/>
        </w:rPr>
        <w:t xml:space="preserve"> a</w:t>
      </w:r>
      <w:r w:rsidR="004B7E77">
        <w:rPr>
          <w:rFonts w:asciiTheme="majorHAnsi" w:hAnsiTheme="majorHAnsi"/>
          <w:szCs w:val="22"/>
          <w:lang w:eastAsia="cs-CZ"/>
        </w:rPr>
        <w:t> </w:t>
      </w:r>
      <w:r w:rsidRPr="00A678A6">
        <w:rPr>
          <w:rFonts w:asciiTheme="majorHAnsi" w:hAnsiTheme="majorHAnsi"/>
          <w:szCs w:val="22"/>
          <w:lang w:eastAsia="cs-CZ"/>
        </w:rPr>
        <w:t>hodnotenia EK</w:t>
      </w:r>
      <w:r w:rsidRPr="00A678A6">
        <w:rPr>
          <w:rFonts w:asciiTheme="majorHAnsi" w:hAnsiTheme="majorHAnsi"/>
          <w:szCs w:val="22"/>
          <w:vertAlign w:val="superscript"/>
          <w:lang w:eastAsia="cs-CZ"/>
        </w:rPr>
        <w:footnoteReference w:id="301"/>
      </w:r>
      <w:r w:rsidRPr="00A678A6">
        <w:rPr>
          <w:rFonts w:asciiTheme="majorHAnsi" w:hAnsiTheme="majorHAnsi"/>
          <w:szCs w:val="22"/>
          <w:lang w:eastAsia="cs-CZ"/>
        </w:rPr>
        <w:t>, patrí SR medzi najmenej vyspelé krajiny v</w:t>
      </w:r>
      <w:r w:rsidR="004B7E77">
        <w:rPr>
          <w:rFonts w:asciiTheme="majorHAnsi" w:hAnsiTheme="majorHAnsi"/>
          <w:szCs w:val="22"/>
          <w:lang w:eastAsia="cs-CZ"/>
        </w:rPr>
        <w:t> </w:t>
      </w:r>
      <w:r w:rsidRPr="00A678A6">
        <w:rPr>
          <w:rFonts w:asciiTheme="majorHAnsi" w:hAnsiTheme="majorHAnsi"/>
          <w:szCs w:val="22"/>
          <w:lang w:eastAsia="cs-CZ"/>
        </w:rPr>
        <w:t>oblasti</w:t>
      </w:r>
      <w:r w:rsidR="004B7E77">
        <w:rPr>
          <w:rFonts w:asciiTheme="majorHAnsi" w:hAnsiTheme="majorHAnsi"/>
          <w:szCs w:val="22"/>
          <w:lang w:eastAsia="cs-CZ"/>
        </w:rPr>
        <w:t xml:space="preserve"> VS</w:t>
      </w:r>
      <w:r w:rsidRPr="00A678A6">
        <w:rPr>
          <w:rFonts w:asciiTheme="majorHAnsi" w:hAnsiTheme="majorHAnsi"/>
          <w:szCs w:val="22"/>
          <w:lang w:eastAsia="cs-CZ"/>
        </w:rPr>
        <w:t>. EK navrhuje, aby sa financovanie EÚ obmedzilo na kľúčové priority, ktoré sú uvedené v</w:t>
      </w:r>
      <w:r w:rsidR="004B7E77">
        <w:rPr>
          <w:rFonts w:asciiTheme="majorHAnsi" w:hAnsiTheme="majorHAnsi"/>
          <w:szCs w:val="22"/>
          <w:lang w:eastAsia="cs-CZ"/>
        </w:rPr>
        <w:t> </w:t>
      </w:r>
      <w:r w:rsidRPr="00F06A57">
        <w:rPr>
          <w:rFonts w:asciiTheme="majorHAnsi" w:hAnsiTheme="majorHAnsi"/>
          <w:szCs w:val="22"/>
          <w:lang w:eastAsia="cs-CZ"/>
        </w:rPr>
        <w:t xml:space="preserve">Pozičnom </w:t>
      </w:r>
      <w:r w:rsidRPr="00F06A57">
        <w:rPr>
          <w:rFonts w:asciiTheme="majorHAnsi" w:hAnsiTheme="majorHAnsi"/>
          <w:szCs w:val="22"/>
          <w:lang w:eastAsia="cs-CZ"/>
        </w:rPr>
        <w:lastRenderedPageBreak/>
        <w:t>dokumente EK</w:t>
      </w:r>
      <w:r w:rsidRPr="00A678A6">
        <w:rPr>
          <w:rFonts w:asciiTheme="majorHAnsi" w:hAnsiTheme="majorHAnsi"/>
          <w:szCs w:val="22"/>
          <w:vertAlign w:val="superscript"/>
          <w:lang w:eastAsia="cs-CZ"/>
        </w:rPr>
        <w:footnoteReference w:id="302"/>
      </w:r>
      <w:r w:rsidRPr="00A678A6">
        <w:rPr>
          <w:rFonts w:asciiTheme="majorHAnsi" w:hAnsiTheme="majorHAnsi"/>
          <w:szCs w:val="22"/>
          <w:lang w:eastAsia="cs-CZ"/>
        </w:rPr>
        <w:t>. Národné verejné prostriedky by sa mali použiť nielen na spolufinancovanie, ale aj na financovanie doplnkových investícií spojených s projektmi financovanými EÚ, najmä na regionálnej a miestnej úrovni.</w:t>
      </w:r>
    </w:p>
    <w:p w:rsidR="00A678A6" w:rsidRDefault="00A678A6" w:rsidP="00A678A6">
      <w:pPr>
        <w:rPr>
          <w:rFonts w:asciiTheme="majorHAnsi" w:hAnsiTheme="majorHAnsi"/>
          <w:szCs w:val="22"/>
          <w:lang w:eastAsia="cs-CZ"/>
        </w:rPr>
      </w:pPr>
      <w:r w:rsidRPr="00A678A6">
        <w:rPr>
          <w:rFonts w:asciiTheme="majorHAnsi" w:hAnsiTheme="majorHAnsi"/>
          <w:szCs w:val="22"/>
          <w:lang w:eastAsia="cs-CZ"/>
        </w:rPr>
        <w:t xml:space="preserve">Organizácie </w:t>
      </w:r>
      <w:r w:rsidR="004B7E77">
        <w:rPr>
          <w:rFonts w:asciiTheme="majorHAnsi" w:hAnsiTheme="majorHAnsi"/>
          <w:szCs w:val="22"/>
          <w:lang w:eastAsia="cs-CZ"/>
        </w:rPr>
        <w:t>VS</w:t>
      </w:r>
      <w:r w:rsidRPr="00A678A6">
        <w:rPr>
          <w:rFonts w:asciiTheme="majorHAnsi" w:hAnsiTheme="majorHAnsi"/>
          <w:szCs w:val="22"/>
          <w:lang w:eastAsia="cs-CZ"/>
        </w:rPr>
        <w:t xml:space="preserve"> a</w:t>
      </w:r>
      <w:r w:rsidR="004B7E77">
        <w:rPr>
          <w:rFonts w:asciiTheme="majorHAnsi" w:hAnsiTheme="majorHAnsi"/>
          <w:szCs w:val="22"/>
          <w:lang w:eastAsia="cs-CZ"/>
        </w:rPr>
        <w:t> </w:t>
      </w:r>
      <w:r w:rsidRPr="00A678A6">
        <w:rPr>
          <w:rFonts w:asciiTheme="majorHAnsi" w:hAnsiTheme="majorHAnsi"/>
          <w:szCs w:val="22"/>
          <w:lang w:eastAsia="cs-CZ"/>
        </w:rPr>
        <w:t>ich</w:t>
      </w:r>
      <w:r w:rsidR="004B7E77">
        <w:rPr>
          <w:rFonts w:asciiTheme="majorHAnsi" w:hAnsiTheme="majorHAnsi"/>
          <w:szCs w:val="22"/>
          <w:lang w:eastAsia="cs-CZ"/>
        </w:rPr>
        <w:t xml:space="preserve"> </w:t>
      </w:r>
      <w:r w:rsidRPr="00A678A6">
        <w:rPr>
          <w:rFonts w:asciiTheme="majorHAnsi" w:hAnsiTheme="majorHAnsi"/>
          <w:szCs w:val="22"/>
          <w:lang w:eastAsia="cs-CZ"/>
        </w:rPr>
        <w:t>procesy sú riadené rezortne a</w:t>
      </w:r>
      <w:r w:rsidR="004B7E77">
        <w:rPr>
          <w:rFonts w:asciiTheme="majorHAnsi" w:hAnsiTheme="majorHAnsi"/>
          <w:szCs w:val="22"/>
          <w:lang w:eastAsia="cs-CZ"/>
        </w:rPr>
        <w:t> </w:t>
      </w:r>
      <w:r w:rsidRPr="00A678A6">
        <w:rPr>
          <w:rFonts w:asciiTheme="majorHAnsi" w:hAnsiTheme="majorHAnsi"/>
          <w:szCs w:val="22"/>
          <w:lang w:eastAsia="cs-CZ"/>
        </w:rPr>
        <w:t>budované</w:t>
      </w:r>
      <w:r w:rsidR="004B7E77">
        <w:rPr>
          <w:rFonts w:asciiTheme="majorHAnsi" w:hAnsiTheme="majorHAnsi"/>
          <w:szCs w:val="22"/>
          <w:lang w:eastAsia="cs-CZ"/>
        </w:rPr>
        <w:t xml:space="preserve"> </w:t>
      </w:r>
      <w:r w:rsidRPr="00A678A6">
        <w:rPr>
          <w:rFonts w:asciiTheme="majorHAnsi" w:hAnsiTheme="majorHAnsi"/>
          <w:szCs w:val="22"/>
          <w:lang w:eastAsia="cs-CZ"/>
        </w:rPr>
        <w:t>vertikálne. Okrem hlavných procesov (vecne príslušné odborné činnosti) si organizácie individuálne zabezpečujú aj väčšinu podporných procesov (prierezové a</w:t>
      </w:r>
      <w:r w:rsidR="004B7E77">
        <w:rPr>
          <w:rFonts w:asciiTheme="majorHAnsi" w:hAnsiTheme="majorHAnsi"/>
          <w:szCs w:val="22"/>
          <w:lang w:eastAsia="cs-CZ"/>
        </w:rPr>
        <w:t> </w:t>
      </w:r>
      <w:r w:rsidRPr="00A678A6">
        <w:rPr>
          <w:rFonts w:asciiTheme="majorHAnsi" w:hAnsiTheme="majorHAnsi"/>
          <w:szCs w:val="22"/>
          <w:lang w:eastAsia="cs-CZ"/>
        </w:rPr>
        <w:t xml:space="preserve">obslužné procesy </w:t>
      </w:r>
      <w:r w:rsidR="004B7E77">
        <w:rPr>
          <w:rFonts w:asciiTheme="majorHAnsi" w:hAnsiTheme="majorHAnsi"/>
          <w:szCs w:val="22"/>
          <w:lang w:eastAsia="cs-CZ"/>
        </w:rPr>
        <w:t>–</w:t>
      </w:r>
      <w:r w:rsidRPr="00A678A6">
        <w:rPr>
          <w:rFonts w:asciiTheme="majorHAnsi" w:hAnsiTheme="majorHAnsi"/>
          <w:szCs w:val="22"/>
          <w:lang w:eastAsia="cs-CZ"/>
        </w:rPr>
        <w:t xml:space="preserve"> napr.</w:t>
      </w:r>
      <w:r w:rsidR="004B7E77">
        <w:rPr>
          <w:rFonts w:asciiTheme="majorHAnsi" w:hAnsiTheme="majorHAnsi"/>
          <w:szCs w:val="22"/>
          <w:lang w:eastAsia="cs-CZ"/>
        </w:rPr>
        <w:t xml:space="preserve"> </w:t>
      </w:r>
      <w:r w:rsidRPr="00A678A6">
        <w:rPr>
          <w:rFonts w:asciiTheme="majorHAnsi" w:hAnsiTheme="majorHAnsi"/>
          <w:szCs w:val="22"/>
          <w:lang w:eastAsia="cs-CZ"/>
        </w:rPr>
        <w:t>evidencie, IT, správa majetku, rozpočet a</w:t>
      </w:r>
      <w:r w:rsidR="004B7E77">
        <w:rPr>
          <w:rFonts w:asciiTheme="majorHAnsi" w:hAnsiTheme="majorHAnsi"/>
          <w:szCs w:val="22"/>
          <w:lang w:eastAsia="cs-CZ"/>
        </w:rPr>
        <w:t> </w:t>
      </w:r>
      <w:r w:rsidRPr="00A678A6">
        <w:rPr>
          <w:rFonts w:asciiTheme="majorHAnsi" w:hAnsiTheme="majorHAnsi"/>
          <w:szCs w:val="22"/>
          <w:lang w:eastAsia="cs-CZ"/>
        </w:rPr>
        <w:t>účtovníctvo, atď.), ktoré sú nezávislé na vecne príslušných odborných činnostiach.</w:t>
      </w:r>
    </w:p>
    <w:p w:rsidR="00393DEA" w:rsidRPr="00A678A6" w:rsidRDefault="00393DEA" w:rsidP="00A678A6">
      <w:pPr>
        <w:rPr>
          <w:rFonts w:asciiTheme="majorHAnsi" w:hAnsiTheme="majorHAnsi"/>
          <w:szCs w:val="22"/>
          <w:lang w:eastAsia="cs-CZ"/>
        </w:rPr>
      </w:pPr>
      <w:r w:rsidRPr="00393DEA">
        <w:rPr>
          <w:rFonts w:asciiTheme="majorHAnsi" w:hAnsiTheme="majorHAnsi"/>
          <w:szCs w:val="22"/>
          <w:lang w:eastAsia="cs-CZ"/>
        </w:rPr>
        <w:t>Z</w:t>
      </w:r>
      <w:r w:rsidR="004B7E77">
        <w:rPr>
          <w:rFonts w:asciiTheme="majorHAnsi" w:hAnsiTheme="majorHAnsi"/>
          <w:szCs w:val="22"/>
          <w:lang w:eastAsia="cs-CZ"/>
        </w:rPr>
        <w:t> </w:t>
      </w:r>
      <w:r w:rsidRPr="00393DEA">
        <w:rPr>
          <w:rFonts w:asciiTheme="majorHAnsi" w:hAnsiTheme="majorHAnsi"/>
          <w:szCs w:val="22"/>
          <w:lang w:eastAsia="cs-CZ"/>
        </w:rPr>
        <w:t>analýz</w:t>
      </w:r>
      <w:r>
        <w:rPr>
          <w:rStyle w:val="Odkaznapoznmkupodiarou"/>
          <w:rFonts w:asciiTheme="majorHAnsi" w:hAnsiTheme="majorHAnsi"/>
          <w:szCs w:val="22"/>
          <w:lang w:eastAsia="cs-CZ"/>
        </w:rPr>
        <w:footnoteReference w:id="303"/>
      </w:r>
      <w:r w:rsidRPr="00393DEA">
        <w:t xml:space="preserve"> </w:t>
      </w:r>
      <w:r w:rsidRPr="00393DEA">
        <w:rPr>
          <w:rFonts w:asciiTheme="majorHAnsi" w:hAnsiTheme="majorHAnsi"/>
          <w:szCs w:val="22"/>
          <w:lang w:eastAsia="cs-CZ"/>
        </w:rPr>
        <w:t>vyplýva, že základnými problémami justície v</w:t>
      </w:r>
      <w:r>
        <w:rPr>
          <w:rFonts w:asciiTheme="majorHAnsi" w:hAnsiTheme="majorHAnsi"/>
          <w:szCs w:val="22"/>
          <w:lang w:eastAsia="cs-CZ"/>
        </w:rPr>
        <w:t xml:space="preserve"> SR sú </w:t>
      </w:r>
      <w:r w:rsidRPr="00393DEA">
        <w:rPr>
          <w:rFonts w:asciiTheme="majorHAnsi" w:hAnsiTheme="majorHAnsi"/>
          <w:szCs w:val="22"/>
          <w:lang w:eastAsia="cs-CZ"/>
        </w:rPr>
        <w:t>komplikovaná vymožiteľnosť práva vyplývajúca z</w:t>
      </w:r>
      <w:r w:rsidR="004B7E77">
        <w:rPr>
          <w:rFonts w:asciiTheme="majorHAnsi" w:hAnsiTheme="majorHAnsi"/>
          <w:szCs w:val="22"/>
          <w:lang w:eastAsia="cs-CZ"/>
        </w:rPr>
        <w:t> </w:t>
      </w:r>
      <w:r w:rsidRPr="00393DEA">
        <w:rPr>
          <w:rFonts w:asciiTheme="majorHAnsi" w:hAnsiTheme="majorHAnsi"/>
          <w:szCs w:val="22"/>
          <w:lang w:eastAsia="cs-CZ"/>
        </w:rPr>
        <w:t>prieťahov v</w:t>
      </w:r>
      <w:r w:rsidR="004B7E77">
        <w:rPr>
          <w:rFonts w:asciiTheme="majorHAnsi" w:hAnsiTheme="majorHAnsi"/>
          <w:szCs w:val="22"/>
          <w:lang w:eastAsia="cs-CZ"/>
        </w:rPr>
        <w:t> </w:t>
      </w:r>
      <w:r w:rsidRPr="00393DEA">
        <w:rPr>
          <w:rFonts w:asciiTheme="majorHAnsi" w:hAnsiTheme="majorHAnsi"/>
          <w:szCs w:val="22"/>
          <w:lang w:eastAsia="cs-CZ"/>
        </w:rPr>
        <w:t>súdnom konaní,</w:t>
      </w:r>
      <w:r>
        <w:rPr>
          <w:rFonts w:asciiTheme="majorHAnsi" w:hAnsiTheme="majorHAnsi"/>
          <w:szCs w:val="22"/>
          <w:lang w:eastAsia="cs-CZ"/>
        </w:rPr>
        <w:t xml:space="preserve"> </w:t>
      </w:r>
      <w:r w:rsidRPr="00393DEA">
        <w:rPr>
          <w:rFonts w:asciiTheme="majorHAnsi" w:hAnsiTheme="majorHAnsi"/>
          <w:szCs w:val="22"/>
          <w:lang w:eastAsia="cs-CZ"/>
        </w:rPr>
        <w:t>kvalita rozhodovacej činnosti súdov</w:t>
      </w:r>
      <w:r w:rsidR="00C631B6">
        <w:rPr>
          <w:rFonts w:asciiTheme="majorHAnsi" w:hAnsiTheme="majorHAnsi"/>
          <w:szCs w:val="22"/>
          <w:lang w:eastAsia="cs-CZ"/>
        </w:rPr>
        <w:t>,</w:t>
      </w:r>
      <w:r w:rsidRPr="00393DEA">
        <w:rPr>
          <w:rFonts w:asciiTheme="majorHAnsi" w:hAnsiTheme="majorHAnsi"/>
          <w:szCs w:val="22"/>
          <w:lang w:eastAsia="cs-CZ"/>
        </w:rPr>
        <w:t xml:space="preserve"> presvedčivosť súdnych rozhodnutí a</w:t>
      </w:r>
      <w:r w:rsidR="004B7E77">
        <w:rPr>
          <w:rFonts w:asciiTheme="majorHAnsi" w:hAnsiTheme="majorHAnsi"/>
          <w:szCs w:val="22"/>
          <w:lang w:eastAsia="cs-CZ"/>
        </w:rPr>
        <w:t> </w:t>
      </w:r>
      <w:r w:rsidRPr="00393DEA">
        <w:rPr>
          <w:rFonts w:asciiTheme="majorHAnsi" w:hAnsiTheme="majorHAnsi"/>
          <w:szCs w:val="22"/>
          <w:lang w:eastAsia="cs-CZ"/>
        </w:rPr>
        <w:t>nestabilita právneho poriadku</w:t>
      </w:r>
      <w:r>
        <w:rPr>
          <w:rFonts w:asciiTheme="majorHAnsi" w:hAnsiTheme="majorHAnsi"/>
          <w:szCs w:val="22"/>
          <w:lang w:eastAsia="cs-CZ"/>
        </w:rPr>
        <w:t>.</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EK</w:t>
      </w:r>
      <w:r w:rsidR="004E4A1E">
        <w:rPr>
          <w:rFonts w:asciiTheme="majorHAnsi" w:hAnsiTheme="majorHAnsi"/>
          <w:szCs w:val="22"/>
          <w:lang w:eastAsia="cs-CZ"/>
        </w:rPr>
        <w:t>,</w:t>
      </w:r>
      <w:r w:rsidRPr="00A678A6">
        <w:rPr>
          <w:rFonts w:asciiTheme="majorHAnsi" w:hAnsiTheme="majorHAnsi"/>
          <w:szCs w:val="22"/>
          <w:lang w:eastAsia="cs-CZ"/>
        </w:rPr>
        <w:t xml:space="preserve"> v</w:t>
      </w:r>
      <w:r w:rsidR="004E4A1E">
        <w:rPr>
          <w:rFonts w:asciiTheme="majorHAnsi" w:hAnsiTheme="majorHAnsi"/>
          <w:szCs w:val="22"/>
          <w:lang w:eastAsia="cs-CZ"/>
        </w:rPr>
        <w:t> nadväznosti na</w:t>
      </w:r>
      <w:r w:rsidR="004E4A1E" w:rsidRPr="00A678A6">
        <w:rPr>
          <w:rFonts w:asciiTheme="majorHAnsi" w:hAnsiTheme="majorHAnsi"/>
          <w:szCs w:val="22"/>
          <w:lang w:eastAsia="cs-CZ"/>
        </w:rPr>
        <w:t xml:space="preserve"> </w:t>
      </w:r>
      <w:r w:rsidRPr="00A678A6">
        <w:rPr>
          <w:rFonts w:asciiTheme="majorHAnsi" w:hAnsiTheme="majorHAnsi"/>
          <w:szCs w:val="22"/>
          <w:lang w:eastAsia="cs-CZ"/>
        </w:rPr>
        <w:t>špecifick</w:t>
      </w:r>
      <w:r w:rsidR="004E4A1E">
        <w:rPr>
          <w:rFonts w:asciiTheme="majorHAnsi" w:hAnsiTheme="majorHAnsi"/>
          <w:szCs w:val="22"/>
          <w:lang w:eastAsia="cs-CZ"/>
        </w:rPr>
        <w:t>é</w:t>
      </w:r>
      <w:r w:rsidRPr="00A678A6">
        <w:rPr>
          <w:rFonts w:asciiTheme="majorHAnsi" w:hAnsiTheme="majorHAnsi"/>
          <w:szCs w:val="22"/>
          <w:lang w:eastAsia="cs-CZ"/>
        </w:rPr>
        <w:t xml:space="preserve"> odporúčan</w:t>
      </w:r>
      <w:r w:rsidR="004E4A1E">
        <w:rPr>
          <w:rFonts w:asciiTheme="majorHAnsi" w:hAnsiTheme="majorHAnsi"/>
          <w:szCs w:val="22"/>
          <w:lang w:eastAsia="cs-CZ"/>
        </w:rPr>
        <w:t>ia Rady</w:t>
      </w:r>
      <w:r w:rsidRPr="00A678A6">
        <w:rPr>
          <w:rFonts w:asciiTheme="majorHAnsi" w:hAnsiTheme="majorHAnsi"/>
          <w:szCs w:val="22"/>
          <w:lang w:eastAsia="cs-CZ"/>
        </w:rPr>
        <w:t xml:space="preserve"> pre krajiny, odporúča SR v programovom období 2014 </w:t>
      </w:r>
      <w:r w:rsidR="00884A00">
        <w:rPr>
          <w:rFonts w:asciiTheme="majorHAnsi" w:hAnsiTheme="majorHAnsi"/>
          <w:szCs w:val="22"/>
          <w:lang w:eastAsia="cs-CZ"/>
        </w:rPr>
        <w:t>–</w:t>
      </w:r>
      <w:r w:rsidRPr="00A678A6">
        <w:rPr>
          <w:rFonts w:asciiTheme="majorHAnsi" w:hAnsiTheme="majorHAnsi"/>
          <w:szCs w:val="22"/>
          <w:lang w:eastAsia="cs-CZ"/>
        </w:rPr>
        <w:t xml:space="preserve"> </w:t>
      </w:r>
      <w:r w:rsidR="00884A00" w:rsidRPr="00A678A6">
        <w:rPr>
          <w:rFonts w:asciiTheme="majorHAnsi" w:hAnsiTheme="majorHAnsi"/>
          <w:szCs w:val="22"/>
          <w:lang w:eastAsia="cs-CZ"/>
        </w:rPr>
        <w:t>2020</w:t>
      </w:r>
      <w:r w:rsidR="00884A00">
        <w:rPr>
          <w:rFonts w:asciiTheme="majorHAnsi" w:hAnsiTheme="majorHAnsi"/>
          <w:szCs w:val="22"/>
          <w:lang w:eastAsia="cs-CZ"/>
        </w:rPr>
        <w:t xml:space="preserve"> </w:t>
      </w:r>
      <w:r w:rsidRPr="00A678A6">
        <w:rPr>
          <w:rFonts w:asciiTheme="majorHAnsi" w:hAnsiTheme="majorHAnsi"/>
          <w:szCs w:val="22"/>
          <w:lang w:eastAsia="cs-CZ"/>
        </w:rPr>
        <w:t>investovať z</w:t>
      </w:r>
      <w:r w:rsidR="004B7E77">
        <w:rPr>
          <w:rFonts w:asciiTheme="majorHAnsi" w:hAnsiTheme="majorHAnsi"/>
          <w:szCs w:val="22"/>
          <w:lang w:eastAsia="cs-CZ"/>
        </w:rPr>
        <w:t> </w:t>
      </w:r>
      <w:r w:rsidRPr="00A678A6">
        <w:rPr>
          <w:rFonts w:asciiTheme="majorHAnsi" w:hAnsiTheme="majorHAnsi"/>
          <w:szCs w:val="22"/>
          <w:lang w:eastAsia="cs-CZ"/>
        </w:rPr>
        <w:t xml:space="preserve">fondov EÚ viac do zefektívnenia </w:t>
      </w:r>
      <w:r w:rsidR="004B7E77">
        <w:rPr>
          <w:rFonts w:asciiTheme="majorHAnsi" w:hAnsiTheme="majorHAnsi"/>
          <w:szCs w:val="22"/>
          <w:lang w:eastAsia="cs-CZ"/>
        </w:rPr>
        <w:t>VS</w:t>
      </w:r>
      <w:r w:rsidRPr="00A678A6">
        <w:rPr>
          <w:rFonts w:asciiTheme="majorHAnsi" w:hAnsiTheme="majorHAnsi"/>
          <w:szCs w:val="22"/>
          <w:vertAlign w:val="superscript"/>
          <w:lang w:eastAsia="cs-CZ"/>
        </w:rPr>
        <w:footnoteReference w:id="304"/>
      </w:r>
      <w:r w:rsidR="006855AF">
        <w:rPr>
          <w:rFonts w:asciiTheme="majorHAnsi" w:hAnsiTheme="majorHAnsi"/>
          <w:szCs w:val="22"/>
          <w:lang w:eastAsia="cs-CZ"/>
        </w:rPr>
        <w:t>.</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Zdôvodnenie výberu</w:t>
      </w:r>
    </w:p>
    <w:p w:rsidR="00A678A6" w:rsidRPr="00A678A6" w:rsidRDefault="00A678A6" w:rsidP="00A678A6">
      <w:pPr>
        <w:rPr>
          <w:rFonts w:asciiTheme="majorHAnsi" w:hAnsiTheme="majorHAnsi"/>
          <w:szCs w:val="22"/>
          <w:lang w:eastAsia="cs-CZ"/>
        </w:rPr>
      </w:pPr>
      <w:r w:rsidRPr="00A678A6">
        <w:rPr>
          <w:rFonts w:asciiTheme="majorHAnsi" w:hAnsiTheme="majorHAnsi"/>
          <w:szCs w:val="22"/>
          <w:lang w:eastAsia="cs-CZ"/>
        </w:rPr>
        <w:t>V súlade so špecifickými odporúčaniami Rady pre krajiny</w:t>
      </w:r>
      <w:r w:rsidRPr="00A678A6">
        <w:rPr>
          <w:rFonts w:asciiTheme="majorHAnsi" w:hAnsiTheme="majorHAnsi"/>
          <w:szCs w:val="22"/>
          <w:vertAlign w:val="superscript"/>
          <w:lang w:eastAsia="cs-CZ"/>
        </w:rPr>
        <w:footnoteReference w:id="305"/>
      </w:r>
      <w:r w:rsidRPr="00A678A6">
        <w:rPr>
          <w:rFonts w:asciiTheme="majorHAnsi" w:hAnsiTheme="majorHAnsi"/>
          <w:szCs w:val="22"/>
          <w:lang w:eastAsia="cs-CZ"/>
        </w:rPr>
        <w:t xml:space="preserve"> je potrebné prijať opatrenia, vrátane zmeny zákonov o štátnej a verejnej službe, s cieľom posilniť nezávislosť verejnej služby a zlepšiť vo </w:t>
      </w:r>
      <w:r w:rsidR="004B7E77">
        <w:rPr>
          <w:rFonts w:asciiTheme="majorHAnsi" w:hAnsiTheme="majorHAnsi"/>
          <w:szCs w:val="22"/>
          <w:lang w:eastAsia="cs-CZ"/>
        </w:rPr>
        <w:t>VS</w:t>
      </w:r>
      <w:r w:rsidRPr="00A678A6">
        <w:rPr>
          <w:rFonts w:asciiTheme="majorHAnsi" w:hAnsiTheme="majorHAnsi"/>
          <w:szCs w:val="22"/>
          <w:lang w:eastAsia="cs-CZ"/>
        </w:rPr>
        <w:t xml:space="preserve"> riadenie ľudských zdrojov, posilniť analytické kapacity kľúčových ministerstiev</w:t>
      </w:r>
      <w:r w:rsidR="00E628E4">
        <w:rPr>
          <w:rFonts w:asciiTheme="majorHAnsi" w:hAnsiTheme="majorHAnsi"/>
          <w:szCs w:val="22"/>
          <w:lang w:eastAsia="cs-CZ"/>
        </w:rPr>
        <w:t>,</w:t>
      </w:r>
      <w:r w:rsidRPr="00A678A6">
        <w:rPr>
          <w:rFonts w:asciiTheme="majorHAnsi" w:hAnsiTheme="majorHAnsi"/>
          <w:szCs w:val="22"/>
          <w:lang w:eastAsia="cs-CZ"/>
        </w:rPr>
        <w:t xml:space="preserve"> a to aj s cieľom lepšieho využívania národných zdrojov a</w:t>
      </w:r>
      <w:r w:rsidR="004B7E77">
        <w:rPr>
          <w:rFonts w:asciiTheme="majorHAnsi" w:hAnsiTheme="majorHAnsi"/>
          <w:szCs w:val="22"/>
          <w:lang w:eastAsia="cs-CZ"/>
        </w:rPr>
        <w:t> </w:t>
      </w:r>
      <w:r w:rsidRPr="00A678A6">
        <w:rPr>
          <w:rFonts w:asciiTheme="majorHAnsi" w:hAnsiTheme="majorHAnsi"/>
          <w:szCs w:val="22"/>
          <w:lang w:eastAsia="cs-CZ"/>
        </w:rPr>
        <w:t xml:space="preserve">fondov EÚ, posilniť analytické a auditorské kapacity </w:t>
      </w:r>
      <w:r w:rsidR="00DE1206">
        <w:rPr>
          <w:rFonts w:asciiTheme="majorHAnsi" w:hAnsiTheme="majorHAnsi"/>
          <w:szCs w:val="22"/>
          <w:lang w:eastAsia="cs-CZ"/>
        </w:rPr>
        <w:t>finančnej</w:t>
      </w:r>
      <w:r w:rsidR="00DE1206" w:rsidRPr="00A678A6">
        <w:rPr>
          <w:rFonts w:asciiTheme="majorHAnsi" w:hAnsiTheme="majorHAnsi"/>
          <w:szCs w:val="22"/>
          <w:lang w:eastAsia="cs-CZ"/>
        </w:rPr>
        <w:t xml:space="preserve"> </w:t>
      </w:r>
      <w:r w:rsidRPr="00A678A6">
        <w:rPr>
          <w:rFonts w:asciiTheme="majorHAnsi" w:hAnsiTheme="majorHAnsi"/>
          <w:szCs w:val="22"/>
          <w:lang w:eastAsia="cs-CZ"/>
        </w:rPr>
        <w:t>správy a</w:t>
      </w:r>
      <w:r w:rsidR="004B7E77">
        <w:rPr>
          <w:rFonts w:asciiTheme="majorHAnsi" w:hAnsiTheme="majorHAnsi"/>
          <w:szCs w:val="22"/>
          <w:lang w:eastAsia="cs-CZ"/>
        </w:rPr>
        <w:t> </w:t>
      </w:r>
      <w:r w:rsidRPr="00A678A6">
        <w:rPr>
          <w:rFonts w:asciiTheme="majorHAnsi" w:hAnsiTheme="majorHAnsi"/>
          <w:szCs w:val="22"/>
          <w:lang w:eastAsia="cs-CZ"/>
        </w:rPr>
        <w:t>realizovať opatrenia na zlepšenie justičného systému. V nadväznosti na špecifické odporúčania Rady pre krajiny</w:t>
      </w:r>
      <w:r w:rsidRPr="00A678A6">
        <w:rPr>
          <w:rFonts w:asciiTheme="majorHAnsi" w:hAnsiTheme="majorHAnsi"/>
          <w:szCs w:val="22"/>
          <w:vertAlign w:val="superscript"/>
          <w:lang w:eastAsia="cs-CZ"/>
        </w:rPr>
        <w:footnoteReference w:id="306"/>
      </w:r>
      <w:r w:rsidRPr="00A678A6">
        <w:rPr>
          <w:rFonts w:asciiTheme="majorHAnsi" w:hAnsiTheme="majorHAnsi"/>
          <w:szCs w:val="22"/>
          <w:lang w:eastAsia="cs-CZ"/>
        </w:rPr>
        <w:t xml:space="preserve"> je potrebné zrýchliť realizáciu akčného plánu na boj proti daňovým podvodom a aplikovať kľúčové opatrenia na ich zamedzenie</w:t>
      </w:r>
      <w:r w:rsidR="00612884">
        <w:rPr>
          <w:rFonts w:asciiTheme="majorHAnsi" w:hAnsiTheme="majorHAnsi"/>
          <w:szCs w:val="22"/>
          <w:lang w:eastAsia="cs-CZ"/>
        </w:rPr>
        <w:t>.</w:t>
      </w:r>
    </w:p>
    <w:p w:rsidR="00A678A6" w:rsidRPr="00A678A6" w:rsidRDefault="00A678A6" w:rsidP="00A678A6">
      <w:pPr>
        <w:spacing w:before="0" w:after="0"/>
        <w:rPr>
          <w:rFonts w:asciiTheme="majorHAnsi" w:hAnsiTheme="majorHAnsi"/>
          <w:szCs w:val="22"/>
          <w:lang w:eastAsia="cs-CZ"/>
        </w:rPr>
      </w:pPr>
      <w:r w:rsidRPr="00A678A6">
        <w:rPr>
          <w:rFonts w:asciiTheme="majorHAnsi" w:hAnsiTheme="majorHAnsi"/>
          <w:szCs w:val="22"/>
          <w:lang w:eastAsia="cs-CZ"/>
        </w:rPr>
        <w:t xml:space="preserve">Vo vzťahu k plneniu cieľov NPR je potrebné uskutočniť reformu </w:t>
      </w:r>
      <w:r w:rsidR="0018494D">
        <w:rPr>
          <w:rFonts w:asciiTheme="majorHAnsi" w:hAnsiTheme="majorHAnsi"/>
          <w:szCs w:val="22"/>
          <w:lang w:eastAsia="cs-CZ"/>
        </w:rPr>
        <w:t>VS</w:t>
      </w:r>
      <w:r w:rsidRPr="00A678A6">
        <w:rPr>
          <w:rFonts w:asciiTheme="majorHAnsi" w:hAnsiTheme="majorHAnsi"/>
          <w:szCs w:val="22"/>
          <w:lang w:eastAsia="cs-CZ"/>
        </w:rPr>
        <w:t xml:space="preserve"> zameranú na optimalizáciu systémov s cieľom zefektívniť činnosti a priniesť lepšie služby občanom a podnikateľom, podporiť elektronizáciu procesov a posilniť budovanie administratívnych kapacít vo všetkých štruktúrach </w:t>
      </w:r>
      <w:r w:rsidR="0018494D">
        <w:rPr>
          <w:rFonts w:asciiTheme="majorHAnsi" w:hAnsiTheme="majorHAnsi"/>
          <w:szCs w:val="22"/>
          <w:lang w:eastAsia="cs-CZ"/>
        </w:rPr>
        <w:t>VS</w:t>
      </w:r>
      <w:r w:rsidRPr="00A678A6">
        <w:rPr>
          <w:rFonts w:asciiTheme="majorHAnsi" w:hAnsiTheme="majorHAnsi"/>
          <w:szCs w:val="22"/>
          <w:lang w:eastAsia="cs-CZ"/>
        </w:rPr>
        <w:t xml:space="preserve">, ako aj vytvoriť analytické kapacity pre tvorbu politík a podporu implementácie reformy na kľúčových </w:t>
      </w:r>
      <w:r w:rsidR="00612884">
        <w:rPr>
          <w:rFonts w:asciiTheme="majorHAnsi" w:hAnsiTheme="majorHAnsi"/>
          <w:szCs w:val="22"/>
          <w:lang w:eastAsia="cs-CZ"/>
        </w:rPr>
        <w:t>segmentoch</w:t>
      </w:r>
      <w:r w:rsidR="005D0959">
        <w:rPr>
          <w:rFonts w:asciiTheme="majorHAnsi" w:hAnsiTheme="majorHAnsi"/>
          <w:szCs w:val="22"/>
          <w:lang w:eastAsia="cs-CZ"/>
        </w:rPr>
        <w:t>, aj v spolupráci s organizáciami občianskej spoločnosti</w:t>
      </w:r>
      <w:r w:rsidR="001C1741">
        <w:rPr>
          <w:rFonts w:asciiTheme="majorHAnsi" w:hAnsiTheme="majorHAnsi"/>
          <w:szCs w:val="22"/>
          <w:lang w:eastAsia="cs-CZ"/>
        </w:rPr>
        <w:t>.</w:t>
      </w:r>
    </w:p>
    <w:p w:rsidR="00A678A6" w:rsidRDefault="00A678A6" w:rsidP="00A678A6">
      <w:pPr>
        <w:spacing w:after="0"/>
        <w:rPr>
          <w:rFonts w:asciiTheme="majorHAnsi" w:hAnsiTheme="majorHAnsi"/>
          <w:szCs w:val="22"/>
          <w:lang w:eastAsia="cs-CZ"/>
        </w:rPr>
      </w:pPr>
      <w:r w:rsidRPr="00A678A6">
        <w:rPr>
          <w:rFonts w:asciiTheme="majorHAnsi" w:hAnsiTheme="majorHAnsi"/>
          <w:szCs w:val="22"/>
          <w:lang w:eastAsia="cs-CZ"/>
        </w:rPr>
        <w:t xml:space="preserve">Kľúčovým nástrojom realizácie stratégie zefektívnenia </w:t>
      </w:r>
      <w:r w:rsidR="00A10CE3">
        <w:rPr>
          <w:rFonts w:asciiTheme="majorHAnsi" w:hAnsiTheme="majorHAnsi"/>
          <w:szCs w:val="22"/>
          <w:lang w:eastAsia="cs-CZ"/>
        </w:rPr>
        <w:t>VS</w:t>
      </w:r>
      <w:r w:rsidRPr="00A678A6">
        <w:rPr>
          <w:rFonts w:asciiTheme="majorHAnsi" w:hAnsiTheme="majorHAnsi"/>
          <w:szCs w:val="22"/>
          <w:lang w:eastAsia="cs-CZ"/>
        </w:rPr>
        <w:t xml:space="preserve"> sú projekty e-Governmentu, realizované v rámci TC2, ktoré nadväzujú na koncepciu reformy </w:t>
      </w:r>
      <w:r w:rsidR="00A10CE3">
        <w:rPr>
          <w:rFonts w:asciiTheme="majorHAnsi" w:hAnsiTheme="majorHAnsi"/>
          <w:szCs w:val="22"/>
          <w:lang w:eastAsia="cs-CZ"/>
        </w:rPr>
        <w:t>VS</w:t>
      </w:r>
      <w:r w:rsidRPr="00A678A6">
        <w:rPr>
          <w:rFonts w:asciiTheme="majorHAnsi" w:hAnsiTheme="majorHAnsi"/>
          <w:szCs w:val="22"/>
          <w:lang w:eastAsia="cs-CZ"/>
        </w:rPr>
        <w:t xml:space="preserve"> a budú podporovať jednotlivé etapy jej implementácie. Pre zabezpečenie úzkeho prepojenia </w:t>
      </w:r>
      <w:r w:rsidR="001C1741" w:rsidRPr="00A678A6">
        <w:rPr>
          <w:rFonts w:asciiTheme="majorHAnsi" w:hAnsiTheme="majorHAnsi"/>
          <w:szCs w:val="22"/>
          <w:lang w:eastAsia="cs-CZ"/>
        </w:rPr>
        <w:t>aktiv</w:t>
      </w:r>
      <w:r w:rsidR="001C1741">
        <w:rPr>
          <w:rFonts w:asciiTheme="majorHAnsi" w:hAnsiTheme="majorHAnsi"/>
          <w:szCs w:val="22"/>
          <w:lang w:eastAsia="cs-CZ"/>
        </w:rPr>
        <w:t>ít</w:t>
      </w:r>
      <w:r w:rsidR="001C1741" w:rsidRPr="00A678A6">
        <w:rPr>
          <w:rFonts w:asciiTheme="majorHAnsi" w:hAnsiTheme="majorHAnsi"/>
          <w:szCs w:val="22"/>
          <w:lang w:eastAsia="cs-CZ"/>
        </w:rPr>
        <w:t xml:space="preserve"> </w:t>
      </w:r>
      <w:r w:rsidRPr="00A678A6">
        <w:rPr>
          <w:rFonts w:asciiTheme="majorHAnsi" w:hAnsiTheme="majorHAnsi"/>
          <w:szCs w:val="22"/>
          <w:lang w:eastAsia="cs-CZ"/>
        </w:rPr>
        <w:t>TC2</w:t>
      </w:r>
      <w:r w:rsidR="00036FE5">
        <w:rPr>
          <w:rFonts w:asciiTheme="majorHAnsi" w:hAnsiTheme="majorHAnsi"/>
          <w:szCs w:val="22"/>
          <w:lang w:eastAsia="cs-CZ"/>
        </w:rPr>
        <w:t xml:space="preserve"> </w:t>
      </w:r>
      <w:r w:rsidRPr="00A678A6">
        <w:rPr>
          <w:rFonts w:asciiTheme="majorHAnsi" w:hAnsiTheme="majorHAnsi"/>
          <w:szCs w:val="22"/>
          <w:lang w:eastAsia="cs-CZ"/>
        </w:rPr>
        <w:t>(e-Government) a TC11 (redizajn procesov) budú relevantné projekty riadené koordinovaným spôsobom</w:t>
      </w:r>
      <w:r w:rsidR="001C1741">
        <w:rPr>
          <w:rFonts w:asciiTheme="majorHAnsi" w:hAnsiTheme="majorHAnsi"/>
          <w:szCs w:val="22"/>
          <w:lang w:eastAsia="cs-CZ"/>
        </w:rPr>
        <w:t>, a to s cieľom zabezpečenia ich komplementarity</w:t>
      </w:r>
      <w:r w:rsidRPr="00A678A6">
        <w:rPr>
          <w:rFonts w:asciiTheme="majorHAnsi" w:hAnsiTheme="majorHAnsi"/>
          <w:szCs w:val="22"/>
          <w:lang w:eastAsia="cs-CZ"/>
        </w:rPr>
        <w:t>.</w:t>
      </w:r>
    </w:p>
    <w:p w:rsidR="007B7E75" w:rsidRDefault="00612884" w:rsidP="000D7C6E">
      <w:pPr>
        <w:rPr>
          <w:rFonts w:ascii="Times New Roman" w:hAnsi="Times New Roman" w:cs="Calibri"/>
          <w:sz w:val="20"/>
          <w:szCs w:val="20"/>
        </w:rPr>
      </w:pPr>
      <w:r w:rsidRPr="00612884">
        <w:rPr>
          <w:rFonts w:asciiTheme="majorHAnsi" w:hAnsiTheme="majorHAnsi" w:cs="Calibri"/>
          <w:szCs w:val="22"/>
        </w:rPr>
        <w:t>Koordinačný mechanizmus je jasne zadefinovaný v</w:t>
      </w:r>
      <w:r w:rsidR="00A10CE3">
        <w:rPr>
          <w:rFonts w:asciiTheme="majorHAnsi" w:hAnsiTheme="majorHAnsi" w:cs="Calibri"/>
          <w:szCs w:val="22"/>
        </w:rPr>
        <w:t> </w:t>
      </w:r>
      <w:r w:rsidRPr="00612884">
        <w:rPr>
          <w:rFonts w:asciiTheme="majorHAnsi" w:hAnsiTheme="majorHAnsi" w:cs="Calibri"/>
          <w:szCs w:val="22"/>
        </w:rPr>
        <w:t>dokumente Systém vzájomnej koordinácie medzi OP Integrovaná infraštruktúra</w:t>
      </w:r>
      <w:r w:rsidR="00E628E4">
        <w:rPr>
          <w:rFonts w:asciiTheme="majorHAnsi" w:hAnsiTheme="majorHAnsi" w:cs="Calibri"/>
          <w:szCs w:val="22"/>
        </w:rPr>
        <w:t xml:space="preserve"> (ďalej len „OP II“) </w:t>
      </w:r>
      <w:r w:rsidRPr="00612884">
        <w:rPr>
          <w:rFonts w:asciiTheme="majorHAnsi" w:hAnsiTheme="majorHAnsi" w:cs="Calibri"/>
          <w:szCs w:val="22"/>
        </w:rPr>
        <w:t>a</w:t>
      </w:r>
      <w:r w:rsidR="00A10CE3">
        <w:rPr>
          <w:rFonts w:asciiTheme="majorHAnsi" w:hAnsiTheme="majorHAnsi" w:cs="Calibri"/>
          <w:szCs w:val="22"/>
        </w:rPr>
        <w:t> </w:t>
      </w:r>
      <w:r w:rsidRPr="00612884">
        <w:rPr>
          <w:rFonts w:asciiTheme="majorHAnsi" w:hAnsiTheme="majorHAnsi" w:cs="Calibri"/>
          <w:szCs w:val="22"/>
        </w:rPr>
        <w:t>OP Efektívna verejná správa</w:t>
      </w:r>
      <w:r w:rsidR="00E628E4">
        <w:rPr>
          <w:rFonts w:asciiTheme="majorHAnsi" w:hAnsiTheme="majorHAnsi" w:cs="Calibri"/>
          <w:szCs w:val="22"/>
        </w:rPr>
        <w:t xml:space="preserve"> (ďalej len „OP EVS“)</w:t>
      </w:r>
      <w:r w:rsidRPr="00612884">
        <w:rPr>
          <w:rFonts w:asciiTheme="majorHAnsi" w:hAnsiTheme="majorHAnsi" w:cs="Calibri"/>
          <w:szCs w:val="22"/>
        </w:rPr>
        <w:t xml:space="preserve">. Tento dokument definuje základné zásady koordinácie investícií na podporu realizácie reformy </w:t>
      </w:r>
      <w:r w:rsidR="00A10CE3">
        <w:rPr>
          <w:rFonts w:asciiTheme="majorHAnsi" w:hAnsiTheme="majorHAnsi" w:cs="Calibri"/>
          <w:szCs w:val="22"/>
        </w:rPr>
        <w:t>VS</w:t>
      </w:r>
      <w:r w:rsidRPr="00612884">
        <w:rPr>
          <w:rFonts w:asciiTheme="majorHAnsi" w:hAnsiTheme="majorHAnsi" w:cs="Calibri"/>
          <w:szCs w:val="22"/>
        </w:rPr>
        <w:t>, pričom tieto zásady budú ďalej rozpracované v</w:t>
      </w:r>
      <w:r w:rsidR="00A10CE3">
        <w:rPr>
          <w:rFonts w:asciiTheme="majorHAnsi" w:hAnsiTheme="majorHAnsi" w:cs="Calibri"/>
          <w:szCs w:val="22"/>
        </w:rPr>
        <w:t> </w:t>
      </w:r>
      <w:r w:rsidRPr="00612884">
        <w:rPr>
          <w:rFonts w:asciiTheme="majorHAnsi" w:hAnsiTheme="majorHAnsi" w:cs="Calibri"/>
          <w:szCs w:val="22"/>
        </w:rPr>
        <w:t>riadiacej</w:t>
      </w:r>
      <w:r w:rsidR="00A10CE3">
        <w:rPr>
          <w:rFonts w:asciiTheme="majorHAnsi" w:hAnsiTheme="majorHAnsi" w:cs="Calibri"/>
          <w:szCs w:val="22"/>
        </w:rPr>
        <w:t xml:space="preserve"> </w:t>
      </w:r>
      <w:r w:rsidRPr="00612884">
        <w:rPr>
          <w:rFonts w:asciiTheme="majorHAnsi" w:hAnsiTheme="majorHAnsi" w:cs="Calibri"/>
          <w:szCs w:val="22"/>
        </w:rPr>
        <w:t>dokumentácii relevantných programov.</w:t>
      </w:r>
      <w:r w:rsidR="001C1741">
        <w:rPr>
          <w:rFonts w:asciiTheme="majorHAnsi" w:hAnsiTheme="majorHAnsi" w:cs="Calibri"/>
          <w:szCs w:val="22"/>
        </w:rPr>
        <w:t xml:space="preserve"> </w:t>
      </w:r>
      <w:r w:rsidR="001C1741" w:rsidRPr="001C1741">
        <w:rPr>
          <w:rFonts w:asciiTheme="majorHAnsi" w:hAnsiTheme="majorHAnsi" w:cs="Calibri"/>
          <w:szCs w:val="22"/>
        </w:rPr>
        <w:t xml:space="preserve">Zároveň tento dokument zabezpečí, aby koncepty reformy </w:t>
      </w:r>
      <w:r w:rsidR="00A10CE3">
        <w:rPr>
          <w:rFonts w:asciiTheme="majorHAnsi" w:hAnsiTheme="majorHAnsi" w:cs="Calibri"/>
          <w:szCs w:val="22"/>
        </w:rPr>
        <w:t>VS</w:t>
      </w:r>
      <w:r w:rsidR="001C1741" w:rsidRPr="001C1741">
        <w:rPr>
          <w:rFonts w:asciiTheme="majorHAnsi" w:hAnsiTheme="majorHAnsi" w:cs="Calibri"/>
          <w:szCs w:val="22"/>
        </w:rPr>
        <w:t xml:space="preserve"> na jednotlivých úsekoch správy navrhnuté v</w:t>
      </w:r>
      <w:r w:rsidR="00A10CE3">
        <w:rPr>
          <w:rFonts w:asciiTheme="majorHAnsi" w:hAnsiTheme="majorHAnsi" w:cs="Calibri"/>
          <w:szCs w:val="22"/>
        </w:rPr>
        <w:t> </w:t>
      </w:r>
      <w:r w:rsidR="001C1741" w:rsidRPr="001C1741">
        <w:rPr>
          <w:rFonts w:asciiTheme="majorHAnsi" w:hAnsiTheme="majorHAnsi" w:cs="Calibri"/>
          <w:szCs w:val="22"/>
        </w:rPr>
        <w:t>rámci OP EVS predchádzali návrhom investícií v rámci relevantných špecifických cieľov OP II.</w:t>
      </w:r>
      <w:r w:rsidRPr="00612884">
        <w:rPr>
          <w:rFonts w:asciiTheme="majorHAnsi" w:hAnsiTheme="majorHAnsi" w:cs="Calibri"/>
          <w:szCs w:val="22"/>
        </w:rPr>
        <w:t xml:space="preserve"> </w:t>
      </w:r>
      <w:r w:rsidR="00A9595B" w:rsidRPr="00A9595B">
        <w:rPr>
          <w:rFonts w:asciiTheme="majorHAnsi" w:hAnsiTheme="majorHAnsi" w:cs="Calibri"/>
          <w:szCs w:val="22"/>
        </w:rPr>
        <w:t xml:space="preserve">Bližšie informácie k implementácii koordinácie medzi riadiacimi orgánmi OP EVS a OP II budú uvedené v oboch programoch. </w:t>
      </w:r>
      <w:r w:rsidRPr="00612884">
        <w:rPr>
          <w:rFonts w:asciiTheme="majorHAnsi" w:hAnsiTheme="majorHAnsi" w:cs="Calibri"/>
          <w:szCs w:val="22"/>
        </w:rPr>
        <w:t>OP II bude realizovať projekty, v</w:t>
      </w:r>
      <w:r w:rsidR="00A10CE3">
        <w:rPr>
          <w:rFonts w:asciiTheme="majorHAnsi" w:hAnsiTheme="majorHAnsi" w:cs="Calibri"/>
          <w:szCs w:val="22"/>
        </w:rPr>
        <w:t> </w:t>
      </w:r>
      <w:r w:rsidRPr="00612884">
        <w:rPr>
          <w:rFonts w:asciiTheme="majorHAnsi" w:hAnsiTheme="majorHAnsi" w:cs="Calibri"/>
          <w:szCs w:val="22"/>
        </w:rPr>
        <w:t>rámci</w:t>
      </w:r>
      <w:r w:rsidR="00A10CE3">
        <w:rPr>
          <w:rFonts w:asciiTheme="majorHAnsi" w:hAnsiTheme="majorHAnsi" w:cs="Calibri"/>
          <w:szCs w:val="22"/>
        </w:rPr>
        <w:t xml:space="preserve"> </w:t>
      </w:r>
      <w:r w:rsidRPr="00612884">
        <w:rPr>
          <w:rFonts w:asciiTheme="majorHAnsi" w:hAnsiTheme="majorHAnsi" w:cs="Calibri"/>
          <w:szCs w:val="22"/>
        </w:rPr>
        <w:t>ktorých sa budú implementovať elektronické služby, nástroje a</w:t>
      </w:r>
      <w:r w:rsidR="00A10CE3">
        <w:rPr>
          <w:rFonts w:asciiTheme="majorHAnsi" w:hAnsiTheme="majorHAnsi" w:cs="Calibri"/>
          <w:szCs w:val="22"/>
        </w:rPr>
        <w:t> </w:t>
      </w:r>
      <w:r w:rsidRPr="00612884">
        <w:rPr>
          <w:rFonts w:asciiTheme="majorHAnsi" w:hAnsiTheme="majorHAnsi" w:cs="Calibri"/>
          <w:szCs w:val="22"/>
        </w:rPr>
        <w:t>informačné</w:t>
      </w:r>
      <w:r w:rsidR="00A10CE3">
        <w:rPr>
          <w:rFonts w:asciiTheme="majorHAnsi" w:hAnsiTheme="majorHAnsi" w:cs="Calibri"/>
          <w:szCs w:val="22"/>
        </w:rPr>
        <w:t xml:space="preserve"> </w:t>
      </w:r>
      <w:r w:rsidRPr="00612884">
        <w:rPr>
          <w:rFonts w:asciiTheme="majorHAnsi" w:hAnsiTheme="majorHAnsi" w:cs="Calibri"/>
          <w:szCs w:val="22"/>
        </w:rPr>
        <w:t xml:space="preserve">systémy, ktoré zabezpečia predpoklady </w:t>
      </w:r>
      <w:r w:rsidRPr="00612884">
        <w:rPr>
          <w:rFonts w:asciiTheme="majorHAnsi" w:hAnsiTheme="majorHAnsi" w:cs="Calibri"/>
          <w:szCs w:val="22"/>
        </w:rPr>
        <w:lastRenderedPageBreak/>
        <w:t>pre realizáciu reformných politík a</w:t>
      </w:r>
      <w:r w:rsidR="001C1741">
        <w:rPr>
          <w:rFonts w:asciiTheme="majorHAnsi" w:hAnsiTheme="majorHAnsi" w:cs="Calibri"/>
          <w:szCs w:val="22"/>
        </w:rPr>
        <w:t> </w:t>
      </w:r>
      <w:r w:rsidRPr="00612884">
        <w:rPr>
          <w:rFonts w:asciiTheme="majorHAnsi" w:hAnsiTheme="majorHAnsi" w:cs="Calibri"/>
          <w:szCs w:val="22"/>
        </w:rPr>
        <w:t>koncepcií</w:t>
      </w:r>
      <w:r w:rsidR="001C1741">
        <w:rPr>
          <w:rFonts w:asciiTheme="majorHAnsi" w:hAnsiTheme="majorHAnsi" w:cs="Calibri"/>
          <w:szCs w:val="22"/>
        </w:rPr>
        <w:t>,</w:t>
      </w:r>
      <w:r w:rsidRPr="00612884">
        <w:rPr>
          <w:rFonts w:asciiTheme="majorHAnsi" w:hAnsiTheme="majorHAnsi" w:cs="Calibri"/>
          <w:szCs w:val="22"/>
        </w:rPr>
        <w:t xml:space="preserve"> vrátane konkrétnych systémových zmien, navrhnutých a</w:t>
      </w:r>
      <w:r w:rsidR="00A10CE3">
        <w:rPr>
          <w:rFonts w:asciiTheme="majorHAnsi" w:hAnsiTheme="majorHAnsi" w:cs="Calibri"/>
          <w:szCs w:val="22"/>
        </w:rPr>
        <w:t> </w:t>
      </w:r>
      <w:r w:rsidRPr="00612884">
        <w:rPr>
          <w:rFonts w:asciiTheme="majorHAnsi" w:hAnsiTheme="majorHAnsi" w:cs="Calibri"/>
          <w:szCs w:val="22"/>
        </w:rPr>
        <w:t>schválených</w:t>
      </w:r>
      <w:r w:rsidR="00A10CE3">
        <w:rPr>
          <w:rFonts w:asciiTheme="majorHAnsi" w:hAnsiTheme="majorHAnsi" w:cs="Calibri"/>
          <w:szCs w:val="22"/>
        </w:rPr>
        <w:t xml:space="preserve"> </w:t>
      </w:r>
      <w:r w:rsidRPr="00612884">
        <w:rPr>
          <w:rFonts w:asciiTheme="majorHAnsi" w:hAnsiTheme="majorHAnsi" w:cs="Calibri"/>
          <w:szCs w:val="22"/>
        </w:rPr>
        <w:t>v</w:t>
      </w:r>
      <w:r w:rsidR="00A10CE3">
        <w:rPr>
          <w:rFonts w:asciiTheme="majorHAnsi" w:hAnsiTheme="majorHAnsi" w:cs="Calibri"/>
          <w:szCs w:val="22"/>
        </w:rPr>
        <w:t> </w:t>
      </w:r>
      <w:r w:rsidRPr="00612884">
        <w:rPr>
          <w:rFonts w:asciiTheme="majorHAnsi" w:hAnsiTheme="majorHAnsi" w:cs="Calibri"/>
          <w:szCs w:val="22"/>
        </w:rPr>
        <w:t>rámci</w:t>
      </w:r>
      <w:r w:rsidR="00A10CE3">
        <w:rPr>
          <w:rFonts w:asciiTheme="majorHAnsi" w:hAnsiTheme="majorHAnsi" w:cs="Calibri"/>
          <w:szCs w:val="22"/>
        </w:rPr>
        <w:t xml:space="preserve"> </w:t>
      </w:r>
      <w:r w:rsidRPr="00612884">
        <w:rPr>
          <w:rFonts w:asciiTheme="majorHAnsi" w:hAnsiTheme="majorHAnsi" w:cs="Calibri"/>
          <w:szCs w:val="22"/>
        </w:rPr>
        <w:t xml:space="preserve">OP EVS. Koordinačný mechanizmus je nevyhnutným nástrojom na zabezpečenie efektívnej implementácie komplexnej reformy </w:t>
      </w:r>
      <w:r w:rsidR="00A10CE3">
        <w:rPr>
          <w:rFonts w:asciiTheme="majorHAnsi" w:hAnsiTheme="majorHAnsi" w:cs="Calibri"/>
          <w:szCs w:val="22"/>
        </w:rPr>
        <w:t>VS</w:t>
      </w:r>
      <w:r w:rsidRPr="00612884">
        <w:rPr>
          <w:rFonts w:asciiTheme="majorHAnsi" w:hAnsiTheme="majorHAnsi" w:cs="Calibri"/>
          <w:szCs w:val="22"/>
        </w:rPr>
        <w:t>.</w:t>
      </w:r>
      <w:r>
        <w:rPr>
          <w:rFonts w:ascii="Times New Roman" w:hAnsi="Times New Roman" w:cs="Calibri"/>
          <w:sz w:val="20"/>
          <w:szCs w:val="20"/>
        </w:rPr>
        <w:t xml:space="preserve"> </w:t>
      </w:r>
    </w:p>
    <w:p w:rsidR="00612884" w:rsidRPr="00A678A6" w:rsidRDefault="007B7E75" w:rsidP="003F0750">
      <w:pPr>
        <w:spacing w:before="0" w:after="0"/>
        <w:rPr>
          <w:rFonts w:asciiTheme="majorHAnsi" w:hAnsiTheme="majorHAnsi"/>
          <w:szCs w:val="22"/>
          <w:lang w:eastAsia="cs-CZ"/>
        </w:rPr>
      </w:pPr>
      <w:r w:rsidRPr="003F0750">
        <w:rPr>
          <w:rFonts w:asciiTheme="majorHAnsi" w:hAnsiTheme="majorHAnsi" w:cs="Calibri"/>
          <w:szCs w:val="22"/>
        </w:rPr>
        <w:t>Komplementárnym spôsobom bude prispievať k implementáci</w:t>
      </w:r>
      <w:r w:rsidR="00E628E4">
        <w:rPr>
          <w:rFonts w:asciiTheme="majorHAnsi" w:hAnsiTheme="majorHAnsi" w:cs="Calibri"/>
          <w:szCs w:val="22"/>
        </w:rPr>
        <w:t xml:space="preserve">i </w:t>
      </w:r>
      <w:r w:rsidRPr="003F0750">
        <w:rPr>
          <w:rFonts w:asciiTheme="majorHAnsi" w:hAnsiTheme="majorHAnsi" w:cs="Calibri"/>
          <w:szCs w:val="22"/>
        </w:rPr>
        <w:t>stratégie RIS3.</w:t>
      </w:r>
    </w:p>
    <w:p w:rsidR="00A678A6" w:rsidRPr="00A678A6" w:rsidRDefault="00A678A6" w:rsidP="00C109F3">
      <w:pPr>
        <w:keepNext/>
        <w:keepLines/>
        <w:numPr>
          <w:ilvl w:val="4"/>
          <w:numId w:val="2"/>
        </w:numPr>
        <w:spacing w:before="200" w:after="0"/>
        <w:ind w:hanging="724"/>
        <w:outlineLvl w:val="4"/>
        <w:rPr>
          <w:rFonts w:asciiTheme="majorHAnsi" w:eastAsiaTheme="majorEastAsia" w:hAnsiTheme="majorHAnsi"/>
          <w:i/>
          <w:color w:val="4F81BD" w:themeColor="accent1"/>
          <w:lang w:eastAsia="cs-CZ"/>
        </w:rPr>
      </w:pPr>
      <w:r w:rsidRPr="00A678A6">
        <w:rPr>
          <w:rFonts w:asciiTheme="majorHAnsi" w:eastAsiaTheme="majorEastAsia" w:hAnsiTheme="majorHAnsi"/>
          <w:i/>
          <w:color w:val="4F81BD" w:themeColor="accent1"/>
          <w:lang w:eastAsia="cs-CZ"/>
        </w:rPr>
        <w:t>Očakávané výsledky</w:t>
      </w:r>
    </w:p>
    <w:p w:rsidR="00A678A6" w:rsidRPr="00A678A6" w:rsidRDefault="00A678A6" w:rsidP="0027382A">
      <w:pPr>
        <w:autoSpaceDE w:val="0"/>
        <w:autoSpaceDN w:val="0"/>
        <w:adjustRightInd w:val="0"/>
        <w:spacing w:after="0"/>
        <w:rPr>
          <w:rFonts w:asciiTheme="majorHAnsi" w:hAnsiTheme="majorHAnsi" w:cs="Franklin Gothic Book"/>
          <w:b/>
          <w:color w:val="000000"/>
          <w:szCs w:val="22"/>
        </w:rPr>
      </w:pPr>
      <w:r w:rsidRPr="00A678A6">
        <w:rPr>
          <w:rFonts w:asciiTheme="majorHAnsi" w:hAnsiTheme="majorHAnsi" w:cs="Franklin Gothic Book"/>
          <w:b/>
          <w:color w:val="000000"/>
          <w:szCs w:val="22"/>
        </w:rPr>
        <w:t>Investície ESF</w:t>
      </w:r>
    </w:p>
    <w:p w:rsidR="00A678A6" w:rsidRPr="00A678A6" w:rsidRDefault="00922E43" w:rsidP="00302664">
      <w:pPr>
        <w:numPr>
          <w:ilvl w:val="0"/>
          <w:numId w:val="14"/>
        </w:numPr>
        <w:spacing w:before="0" w:after="0"/>
        <w:contextualSpacing/>
        <w:rPr>
          <w:szCs w:val="22"/>
        </w:rPr>
      </w:pPr>
      <w:r>
        <w:rPr>
          <w:rFonts w:asciiTheme="majorHAnsi" w:hAnsiTheme="majorHAnsi"/>
          <w:szCs w:val="22"/>
          <w:lang w:eastAsia="cs-CZ"/>
        </w:rPr>
        <w:t>posilnenie</w:t>
      </w:r>
      <w:r w:rsidR="00A9595B" w:rsidRPr="00A9595B">
        <w:rPr>
          <w:rFonts w:asciiTheme="majorHAnsi" w:hAnsiTheme="majorHAnsi"/>
          <w:szCs w:val="22"/>
          <w:lang w:eastAsia="cs-CZ"/>
        </w:rPr>
        <w:t xml:space="preserve"> schopnosti organizácií verejnej správy prijať optimalizačné opatrenia na rozvoj</w:t>
      </w:r>
      <w:r>
        <w:rPr>
          <w:rFonts w:asciiTheme="majorHAnsi" w:hAnsiTheme="majorHAnsi"/>
          <w:szCs w:val="22"/>
          <w:lang w:eastAsia="cs-CZ"/>
        </w:rPr>
        <w:t xml:space="preserve"> </w:t>
      </w:r>
      <w:r w:rsidR="00A678A6" w:rsidRPr="00A678A6">
        <w:rPr>
          <w:rFonts w:asciiTheme="majorHAnsi" w:hAnsiTheme="majorHAnsi"/>
          <w:szCs w:val="22"/>
          <w:lang w:eastAsia="cs-CZ"/>
        </w:rPr>
        <w:t>inštitucionálnych kapacít a</w:t>
      </w:r>
      <w:r w:rsidR="00A10CE3">
        <w:rPr>
          <w:rFonts w:asciiTheme="majorHAnsi" w:hAnsiTheme="majorHAnsi"/>
          <w:szCs w:val="22"/>
          <w:lang w:eastAsia="cs-CZ"/>
        </w:rPr>
        <w:t> </w:t>
      </w:r>
      <w:r w:rsidR="00A9595B">
        <w:rPr>
          <w:rFonts w:asciiTheme="majorHAnsi" w:hAnsiTheme="majorHAnsi"/>
          <w:szCs w:val="22"/>
          <w:lang w:eastAsia="cs-CZ"/>
        </w:rPr>
        <w:t>zvýšenie</w:t>
      </w:r>
      <w:r w:rsidR="00A10CE3">
        <w:rPr>
          <w:rFonts w:asciiTheme="majorHAnsi" w:hAnsiTheme="majorHAnsi"/>
          <w:szCs w:val="22"/>
          <w:lang w:eastAsia="cs-CZ"/>
        </w:rPr>
        <w:t xml:space="preserve"> </w:t>
      </w:r>
      <w:r w:rsidR="00A9595B">
        <w:rPr>
          <w:rFonts w:asciiTheme="majorHAnsi" w:hAnsiTheme="majorHAnsi"/>
          <w:szCs w:val="22"/>
          <w:lang w:eastAsia="cs-CZ"/>
        </w:rPr>
        <w:t>dostupnosti a</w:t>
      </w:r>
      <w:r w:rsidR="00A10CE3">
        <w:rPr>
          <w:rFonts w:asciiTheme="majorHAnsi" w:hAnsiTheme="majorHAnsi"/>
          <w:szCs w:val="22"/>
          <w:lang w:eastAsia="cs-CZ"/>
        </w:rPr>
        <w:t> </w:t>
      </w:r>
      <w:r w:rsidR="00A678A6" w:rsidRPr="00A678A6">
        <w:rPr>
          <w:rFonts w:asciiTheme="majorHAnsi" w:hAnsiTheme="majorHAnsi"/>
          <w:szCs w:val="22"/>
          <w:lang w:eastAsia="cs-CZ"/>
        </w:rPr>
        <w:t>efektívnosti</w:t>
      </w:r>
      <w:r w:rsidR="00A10CE3">
        <w:rPr>
          <w:rFonts w:asciiTheme="majorHAnsi" w:hAnsiTheme="majorHAnsi"/>
          <w:szCs w:val="22"/>
          <w:lang w:eastAsia="cs-CZ"/>
        </w:rPr>
        <w:t xml:space="preserve"> </w:t>
      </w:r>
      <w:r w:rsidR="00A678A6" w:rsidRPr="00A678A6">
        <w:rPr>
          <w:rFonts w:asciiTheme="majorHAnsi" w:hAnsiTheme="majorHAnsi"/>
          <w:szCs w:val="22"/>
          <w:lang w:eastAsia="cs-CZ"/>
        </w:rPr>
        <w:t>služieb verejnej správy</w:t>
      </w:r>
      <w:r w:rsidR="00A9595B" w:rsidRPr="00A9595B">
        <w:rPr>
          <w:rFonts w:asciiTheme="majorHAnsi" w:hAnsiTheme="majorHAnsi"/>
          <w:szCs w:val="22"/>
          <w:lang w:eastAsia="cs-CZ"/>
        </w:rPr>
        <w:t xml:space="preserve"> </w:t>
      </w:r>
      <w:r w:rsidR="00A9595B">
        <w:rPr>
          <w:rFonts w:asciiTheme="majorHAnsi" w:hAnsiTheme="majorHAnsi"/>
          <w:szCs w:val="22"/>
          <w:lang w:eastAsia="cs-CZ"/>
        </w:rPr>
        <w:t xml:space="preserve">s dôrazom na proklientský prístup, </w:t>
      </w:r>
      <w:r w:rsidR="00A678A6" w:rsidRPr="00A678A6">
        <w:rPr>
          <w:rFonts w:asciiTheme="majorHAnsi" w:hAnsiTheme="majorHAnsi"/>
          <w:szCs w:val="22"/>
          <w:lang w:eastAsia="cs-CZ"/>
        </w:rPr>
        <w:t>v súlade s cieľmi reformy verejnej správy</w:t>
      </w:r>
      <w:r w:rsidR="00A678A6" w:rsidRPr="003F0750">
        <w:rPr>
          <w:rFonts w:asciiTheme="majorHAnsi" w:hAnsiTheme="majorHAnsi"/>
          <w:szCs w:val="22"/>
          <w:lang w:eastAsia="cs-CZ"/>
        </w:rPr>
        <w:t xml:space="preserve"> </w:t>
      </w:r>
      <w:r w:rsidR="00A678A6" w:rsidRPr="00A678A6">
        <w:rPr>
          <w:rFonts w:asciiTheme="majorHAnsi" w:hAnsiTheme="majorHAnsi"/>
          <w:szCs w:val="22"/>
          <w:vertAlign w:val="superscript"/>
          <w:lang w:val="en-GB" w:eastAsia="cs-CZ"/>
        </w:rPr>
        <w:footnoteReference w:id="307"/>
      </w:r>
      <w:r w:rsidR="00A678A6" w:rsidRPr="00A678A6">
        <w:rPr>
          <w:rFonts w:asciiTheme="majorHAnsi" w:hAnsiTheme="majorHAnsi"/>
          <w:szCs w:val="22"/>
          <w:lang w:eastAsia="cs-CZ"/>
        </w:rPr>
        <w:t>;</w:t>
      </w:r>
    </w:p>
    <w:p w:rsidR="00A678A6" w:rsidRPr="00A678A6" w:rsidRDefault="00A678A6" w:rsidP="00302664">
      <w:pPr>
        <w:numPr>
          <w:ilvl w:val="0"/>
          <w:numId w:val="14"/>
        </w:numPr>
        <w:spacing w:before="0" w:after="0"/>
        <w:contextualSpacing/>
        <w:rPr>
          <w:rFonts w:asciiTheme="majorHAnsi" w:hAnsiTheme="majorHAnsi"/>
          <w:szCs w:val="22"/>
          <w:lang w:eastAsia="cs-CZ"/>
        </w:rPr>
      </w:pPr>
      <w:r w:rsidRPr="00A678A6">
        <w:rPr>
          <w:rFonts w:asciiTheme="majorHAnsi" w:hAnsiTheme="majorHAnsi"/>
          <w:szCs w:val="22"/>
          <w:lang w:eastAsia="cs-CZ"/>
        </w:rPr>
        <w:t xml:space="preserve">zabezpečenie </w:t>
      </w:r>
      <w:r w:rsidR="00A9595B">
        <w:rPr>
          <w:rFonts w:asciiTheme="majorHAnsi" w:hAnsiTheme="majorHAnsi"/>
          <w:szCs w:val="22"/>
          <w:lang w:eastAsia="cs-CZ"/>
        </w:rPr>
        <w:t>efektívnejšej správy</w:t>
      </w:r>
      <w:r w:rsidRPr="00A678A6">
        <w:rPr>
          <w:rFonts w:asciiTheme="majorHAnsi" w:hAnsiTheme="majorHAnsi"/>
          <w:szCs w:val="22"/>
          <w:lang w:eastAsia="cs-CZ"/>
        </w:rPr>
        <w:t xml:space="preserve"> procesov verejnej správy;</w:t>
      </w:r>
    </w:p>
    <w:p w:rsidR="00A678A6" w:rsidRPr="00A678A6" w:rsidRDefault="00A678A6" w:rsidP="00302664">
      <w:pPr>
        <w:numPr>
          <w:ilvl w:val="0"/>
          <w:numId w:val="14"/>
        </w:numPr>
        <w:spacing w:before="0" w:after="0"/>
        <w:contextualSpacing/>
        <w:rPr>
          <w:rFonts w:asciiTheme="majorHAnsi" w:hAnsiTheme="majorHAnsi"/>
          <w:szCs w:val="22"/>
          <w:lang w:eastAsia="cs-CZ"/>
        </w:rPr>
      </w:pPr>
      <w:r w:rsidRPr="00A678A6">
        <w:rPr>
          <w:rFonts w:asciiTheme="majorHAnsi" w:hAnsiTheme="majorHAnsi"/>
          <w:szCs w:val="22"/>
          <w:lang w:eastAsia="cs-CZ"/>
        </w:rPr>
        <w:t>vybudovanie a posilnenie činnosti analytických kapacít rezortov verejnej správy;</w:t>
      </w:r>
    </w:p>
    <w:p w:rsidR="00A678A6" w:rsidRPr="00A678A6" w:rsidRDefault="00A678A6" w:rsidP="00302664">
      <w:pPr>
        <w:numPr>
          <w:ilvl w:val="0"/>
          <w:numId w:val="14"/>
        </w:numPr>
        <w:spacing w:before="0" w:after="0"/>
        <w:contextualSpacing/>
        <w:rPr>
          <w:szCs w:val="22"/>
        </w:rPr>
      </w:pPr>
      <w:r w:rsidRPr="00A678A6">
        <w:rPr>
          <w:rFonts w:asciiTheme="majorHAnsi" w:hAnsiTheme="majorHAnsi"/>
          <w:szCs w:val="22"/>
          <w:lang w:eastAsia="cs-CZ"/>
        </w:rPr>
        <w:t>zabezpečenie efektívnejšieho riadenia ľudských zdrojov;</w:t>
      </w:r>
    </w:p>
    <w:p w:rsidR="00A678A6" w:rsidRPr="00A678A6" w:rsidRDefault="00A678A6" w:rsidP="00302664">
      <w:pPr>
        <w:numPr>
          <w:ilvl w:val="0"/>
          <w:numId w:val="14"/>
        </w:numPr>
        <w:spacing w:before="0" w:after="0"/>
        <w:contextualSpacing/>
        <w:rPr>
          <w:rFonts w:asciiTheme="majorHAnsi" w:hAnsiTheme="majorHAnsi"/>
          <w:szCs w:val="22"/>
          <w:lang w:eastAsia="cs-CZ"/>
        </w:rPr>
      </w:pPr>
      <w:r w:rsidRPr="00A678A6">
        <w:rPr>
          <w:rFonts w:asciiTheme="majorHAnsi" w:hAnsiTheme="majorHAnsi"/>
          <w:szCs w:val="22"/>
          <w:lang w:eastAsia="cs-CZ"/>
        </w:rPr>
        <w:t>posilnenie kapacít a</w:t>
      </w:r>
      <w:r w:rsidR="00A10CE3">
        <w:rPr>
          <w:rFonts w:asciiTheme="majorHAnsi" w:hAnsiTheme="majorHAnsi"/>
          <w:szCs w:val="22"/>
          <w:lang w:eastAsia="cs-CZ"/>
        </w:rPr>
        <w:t> </w:t>
      </w:r>
      <w:r w:rsidRPr="00A678A6">
        <w:rPr>
          <w:rFonts w:asciiTheme="majorHAnsi" w:hAnsiTheme="majorHAnsi"/>
          <w:szCs w:val="22"/>
          <w:lang w:eastAsia="cs-CZ"/>
        </w:rPr>
        <w:t>zvýšenie</w:t>
      </w:r>
      <w:r w:rsidR="00A10CE3">
        <w:rPr>
          <w:rFonts w:asciiTheme="majorHAnsi" w:hAnsiTheme="majorHAnsi"/>
          <w:szCs w:val="22"/>
          <w:lang w:eastAsia="cs-CZ"/>
        </w:rPr>
        <w:t xml:space="preserve"> </w:t>
      </w:r>
      <w:r w:rsidRPr="00A678A6">
        <w:rPr>
          <w:rFonts w:asciiTheme="majorHAnsi" w:hAnsiTheme="majorHAnsi"/>
          <w:szCs w:val="22"/>
          <w:lang w:eastAsia="cs-CZ"/>
        </w:rPr>
        <w:t>spolupráce so sociálnymi a ekonomickými partnermi a občianskou spoločnosťou;</w:t>
      </w:r>
    </w:p>
    <w:p w:rsidR="00A52B4B" w:rsidRDefault="00A678A6" w:rsidP="00302664">
      <w:pPr>
        <w:numPr>
          <w:ilvl w:val="0"/>
          <w:numId w:val="14"/>
        </w:numPr>
        <w:spacing w:before="0" w:after="0"/>
        <w:contextualSpacing/>
        <w:rPr>
          <w:rFonts w:asciiTheme="majorHAnsi" w:hAnsiTheme="majorHAnsi"/>
          <w:szCs w:val="22"/>
          <w:lang w:eastAsia="cs-CZ"/>
        </w:rPr>
      </w:pPr>
      <w:r w:rsidRPr="00A678A6">
        <w:rPr>
          <w:rFonts w:asciiTheme="majorHAnsi" w:hAnsiTheme="majorHAnsi"/>
          <w:szCs w:val="22"/>
          <w:lang w:eastAsia="cs-CZ"/>
        </w:rPr>
        <w:t>zvýšenie efektivity</w:t>
      </w:r>
      <w:r w:rsidR="00A52B4B">
        <w:rPr>
          <w:rFonts w:asciiTheme="majorHAnsi" w:hAnsiTheme="majorHAnsi"/>
          <w:szCs w:val="22"/>
          <w:lang w:eastAsia="cs-CZ"/>
        </w:rPr>
        <w:t>, transparentnosti a</w:t>
      </w:r>
      <w:r w:rsidR="00A10CE3">
        <w:rPr>
          <w:rFonts w:asciiTheme="majorHAnsi" w:hAnsiTheme="majorHAnsi"/>
          <w:szCs w:val="22"/>
          <w:lang w:eastAsia="cs-CZ"/>
        </w:rPr>
        <w:t> </w:t>
      </w:r>
      <w:r w:rsidR="00A52B4B">
        <w:rPr>
          <w:rFonts w:asciiTheme="majorHAnsi" w:hAnsiTheme="majorHAnsi"/>
          <w:szCs w:val="22"/>
          <w:lang w:eastAsia="cs-CZ"/>
        </w:rPr>
        <w:t>dôveryhodnosti</w:t>
      </w:r>
      <w:r w:rsidR="00A10CE3">
        <w:rPr>
          <w:rFonts w:asciiTheme="majorHAnsi" w:hAnsiTheme="majorHAnsi"/>
          <w:szCs w:val="22"/>
          <w:lang w:eastAsia="cs-CZ"/>
        </w:rPr>
        <w:t xml:space="preserve"> </w:t>
      </w:r>
      <w:r w:rsidRPr="00A678A6">
        <w:rPr>
          <w:rFonts w:asciiTheme="majorHAnsi" w:hAnsiTheme="majorHAnsi"/>
          <w:szCs w:val="22"/>
          <w:lang w:eastAsia="cs-CZ"/>
        </w:rPr>
        <w:t xml:space="preserve">justičného systému, </w:t>
      </w:r>
      <w:r w:rsidR="00A52B4B">
        <w:rPr>
          <w:rFonts w:asciiTheme="majorHAnsi" w:hAnsiTheme="majorHAnsi"/>
          <w:szCs w:val="22"/>
          <w:lang w:eastAsia="cs-CZ"/>
        </w:rPr>
        <w:t>vymožiteľnosti práva a</w:t>
      </w:r>
      <w:r w:rsidR="00A10CE3">
        <w:t> </w:t>
      </w:r>
      <w:r w:rsidR="00A52B4B" w:rsidRPr="00A52B4B">
        <w:rPr>
          <w:rFonts w:asciiTheme="majorHAnsi" w:hAnsiTheme="majorHAnsi"/>
          <w:szCs w:val="22"/>
          <w:lang w:eastAsia="cs-CZ"/>
        </w:rPr>
        <w:t>využívania</w:t>
      </w:r>
      <w:r w:rsidR="00A10CE3">
        <w:rPr>
          <w:rFonts w:asciiTheme="majorHAnsi" w:hAnsiTheme="majorHAnsi"/>
          <w:szCs w:val="22"/>
          <w:lang w:eastAsia="cs-CZ"/>
        </w:rPr>
        <w:t xml:space="preserve"> </w:t>
      </w:r>
      <w:r w:rsidR="00A52B4B" w:rsidRPr="00A52B4B">
        <w:rPr>
          <w:rFonts w:asciiTheme="majorHAnsi" w:hAnsiTheme="majorHAnsi"/>
          <w:szCs w:val="22"/>
          <w:lang w:eastAsia="cs-CZ"/>
        </w:rPr>
        <w:t>alternatívnych nástrojov riešenia sporov</w:t>
      </w:r>
      <w:r w:rsidR="00A52B4B">
        <w:rPr>
          <w:rFonts w:asciiTheme="majorHAnsi" w:hAnsiTheme="majorHAnsi"/>
          <w:szCs w:val="22"/>
          <w:lang w:eastAsia="cs-CZ"/>
        </w:rPr>
        <w:t>;</w:t>
      </w:r>
    </w:p>
    <w:p w:rsidR="00A678A6" w:rsidRDefault="00A52B4B" w:rsidP="00302664">
      <w:pPr>
        <w:numPr>
          <w:ilvl w:val="0"/>
          <w:numId w:val="14"/>
        </w:numPr>
        <w:spacing w:before="0" w:after="0"/>
        <w:contextualSpacing/>
        <w:rPr>
          <w:rFonts w:asciiTheme="majorHAnsi" w:hAnsiTheme="majorHAnsi"/>
          <w:szCs w:val="22"/>
          <w:lang w:eastAsia="cs-CZ"/>
        </w:rPr>
      </w:pPr>
      <w:r>
        <w:rPr>
          <w:rFonts w:asciiTheme="majorHAnsi" w:hAnsiTheme="majorHAnsi"/>
          <w:szCs w:val="22"/>
          <w:lang w:eastAsia="cs-CZ"/>
        </w:rPr>
        <w:t xml:space="preserve">zvýšenie efektivity </w:t>
      </w:r>
      <w:r w:rsidR="00A678A6" w:rsidRPr="00A678A6">
        <w:rPr>
          <w:rFonts w:asciiTheme="majorHAnsi" w:hAnsiTheme="majorHAnsi"/>
          <w:szCs w:val="22"/>
          <w:lang w:eastAsia="cs-CZ"/>
        </w:rPr>
        <w:t>finančnej správy a</w:t>
      </w:r>
      <w:r w:rsidR="00A10CE3">
        <w:rPr>
          <w:rFonts w:asciiTheme="majorHAnsi" w:hAnsiTheme="majorHAnsi"/>
          <w:szCs w:val="22"/>
          <w:lang w:eastAsia="cs-CZ"/>
        </w:rPr>
        <w:t> </w:t>
      </w:r>
      <w:r w:rsidR="00A678A6" w:rsidRPr="00A678A6">
        <w:rPr>
          <w:rFonts w:asciiTheme="majorHAnsi" w:hAnsiTheme="majorHAnsi"/>
          <w:szCs w:val="22"/>
          <w:lang w:eastAsia="cs-CZ"/>
        </w:rPr>
        <w:t>verejného</w:t>
      </w:r>
      <w:r w:rsidR="00A10CE3">
        <w:rPr>
          <w:rFonts w:asciiTheme="majorHAnsi" w:hAnsiTheme="majorHAnsi"/>
          <w:szCs w:val="22"/>
          <w:lang w:eastAsia="cs-CZ"/>
        </w:rPr>
        <w:t xml:space="preserve"> </w:t>
      </w:r>
      <w:r w:rsidR="00A678A6" w:rsidRPr="00A678A6">
        <w:rPr>
          <w:rFonts w:asciiTheme="majorHAnsi" w:hAnsiTheme="majorHAnsi"/>
          <w:szCs w:val="22"/>
          <w:lang w:eastAsia="cs-CZ"/>
        </w:rPr>
        <w:t>obstarávania, podpora opatrení na boj proti korupcii a podporu otvorenosti a transparentnosti vo verejnej správe.</w:t>
      </w:r>
    </w:p>
    <w:p w:rsidR="00681FBF" w:rsidRDefault="00681FBF">
      <w:pPr>
        <w:spacing w:before="0" w:after="0"/>
        <w:jc w:val="left"/>
        <w:rPr>
          <w:rFonts w:asciiTheme="majorHAnsi" w:hAnsiTheme="majorHAnsi"/>
          <w:szCs w:val="22"/>
          <w:lang w:eastAsia="cs-CZ"/>
        </w:rPr>
      </w:pPr>
      <w:r>
        <w:rPr>
          <w:rFonts w:asciiTheme="majorHAnsi" w:hAnsiTheme="majorHAnsi"/>
          <w:szCs w:val="22"/>
          <w:lang w:eastAsia="cs-CZ"/>
        </w:rPr>
        <w:br w:type="page"/>
      </w:r>
    </w:p>
    <w:p w:rsidR="00AC4D9D" w:rsidRPr="00A11FE0" w:rsidRDefault="003A3DB3" w:rsidP="00C109F3">
      <w:pPr>
        <w:pStyle w:val="Nadpis2"/>
        <w:numPr>
          <w:ilvl w:val="1"/>
          <w:numId w:val="2"/>
        </w:numPr>
      </w:pPr>
      <w:bookmarkStart w:id="225" w:name="_Toc378168358"/>
      <w:bookmarkStart w:id="226" w:name="_Toc378168359"/>
      <w:bookmarkStart w:id="227" w:name="_Toc378168360"/>
      <w:bookmarkStart w:id="228" w:name="_Toc378168361"/>
      <w:bookmarkStart w:id="229" w:name="_Toc378168362"/>
      <w:bookmarkStart w:id="230" w:name="_Toc378168363"/>
      <w:bookmarkStart w:id="231" w:name="_Toc378168364"/>
      <w:bookmarkStart w:id="232" w:name="_Toc378168365"/>
      <w:bookmarkStart w:id="233" w:name="_Toc378168366"/>
      <w:bookmarkStart w:id="234" w:name="_Toc378168367"/>
      <w:bookmarkStart w:id="235" w:name="_Toc378168368"/>
      <w:bookmarkStart w:id="236" w:name="_Toc378168369"/>
      <w:bookmarkStart w:id="237" w:name="_Toc378168370"/>
      <w:bookmarkStart w:id="238" w:name="_Toc378168371"/>
      <w:bookmarkStart w:id="239" w:name="_Toc378168372"/>
      <w:bookmarkStart w:id="240" w:name="_Toc378168373"/>
      <w:bookmarkStart w:id="241" w:name="_Toc378168374"/>
      <w:bookmarkStart w:id="242" w:name="_Toc378168375"/>
      <w:bookmarkStart w:id="243" w:name="_Toc378168376"/>
      <w:bookmarkStart w:id="244" w:name="_Toc378168377"/>
      <w:bookmarkStart w:id="245" w:name="_Toc378168378"/>
      <w:bookmarkStart w:id="246" w:name="_Toc378168379"/>
      <w:bookmarkStart w:id="247" w:name="_Toc378168380"/>
      <w:bookmarkStart w:id="248" w:name="_Toc378168381"/>
      <w:bookmarkStart w:id="249" w:name="_Toc378168382"/>
      <w:bookmarkStart w:id="250" w:name="_Toc378168383"/>
      <w:bookmarkStart w:id="251" w:name="_Toc378168384"/>
      <w:bookmarkStart w:id="252" w:name="_Toc378168385"/>
      <w:bookmarkStart w:id="253" w:name="_Toc378168386"/>
      <w:bookmarkStart w:id="254" w:name="_Toc378168387"/>
      <w:bookmarkStart w:id="255" w:name="_Toc378168388"/>
      <w:bookmarkStart w:id="256" w:name="_Toc378168389"/>
      <w:bookmarkStart w:id="257" w:name="_Toc378168390"/>
      <w:bookmarkStart w:id="258" w:name="_Toc378168391"/>
      <w:bookmarkStart w:id="259" w:name="_Toc378168392"/>
      <w:bookmarkStart w:id="260" w:name="_Toc373497072"/>
      <w:bookmarkStart w:id="261" w:name="_Toc373497073"/>
      <w:bookmarkStart w:id="262" w:name="_Toc378168393"/>
      <w:bookmarkStart w:id="263" w:name="_Toc378168394"/>
      <w:bookmarkStart w:id="264" w:name="_Toc378168395"/>
      <w:bookmarkStart w:id="265" w:name="_Toc378168396"/>
      <w:bookmarkStart w:id="266" w:name="_Toc378168397"/>
      <w:bookmarkStart w:id="267" w:name="_Toc378168398"/>
      <w:bookmarkStart w:id="268" w:name="_Toc378168399"/>
      <w:bookmarkStart w:id="269" w:name="_Toc378168400"/>
      <w:bookmarkStart w:id="270" w:name="_Toc373497077"/>
      <w:bookmarkStart w:id="271" w:name="_Toc378168401"/>
      <w:bookmarkStart w:id="272" w:name="_Toc378168402"/>
      <w:bookmarkStart w:id="273" w:name="_Toc378168403"/>
      <w:bookmarkStart w:id="274" w:name="_Toc378168404"/>
      <w:bookmarkStart w:id="275" w:name="_Toc378168405"/>
      <w:bookmarkStart w:id="276" w:name="_Toc378168406"/>
      <w:bookmarkStart w:id="277" w:name="_Toc378168407"/>
      <w:bookmarkStart w:id="278" w:name="_Toc378168408"/>
      <w:bookmarkStart w:id="279" w:name="_Toc378168409"/>
      <w:bookmarkStart w:id="280" w:name="_Toc378168410"/>
      <w:bookmarkStart w:id="281" w:name="_Toc378168411"/>
      <w:bookmarkStart w:id="282" w:name="_Toc378168412"/>
      <w:bookmarkStart w:id="283" w:name="_Toc378168413"/>
      <w:bookmarkStart w:id="284" w:name="_Toc378168414"/>
      <w:bookmarkStart w:id="285" w:name="_Toc373497079"/>
      <w:bookmarkStart w:id="286" w:name="_Toc373497081"/>
      <w:bookmarkStart w:id="287" w:name="_Toc378168415"/>
      <w:bookmarkStart w:id="288" w:name="_Toc378168416"/>
      <w:bookmarkStart w:id="289" w:name="_Toc378168417"/>
      <w:bookmarkStart w:id="290" w:name="_Toc378168418"/>
      <w:bookmarkStart w:id="291" w:name="_Toc378168419"/>
      <w:bookmarkStart w:id="292" w:name="_Toc378168420"/>
      <w:bookmarkStart w:id="293" w:name="_Toc378168421"/>
      <w:bookmarkStart w:id="294" w:name="_Toc378168422"/>
      <w:bookmarkStart w:id="295" w:name="_Toc378168423"/>
      <w:bookmarkStart w:id="296" w:name="_Toc378168424"/>
      <w:bookmarkStart w:id="297" w:name="_Toc378168425"/>
      <w:bookmarkStart w:id="298" w:name="_Toc378168426"/>
      <w:bookmarkStart w:id="299" w:name="_Toc378168427"/>
      <w:bookmarkStart w:id="300" w:name="_Toc378168428"/>
      <w:bookmarkStart w:id="301" w:name="_Toc378168429"/>
      <w:bookmarkStart w:id="302" w:name="_Toc378168430"/>
      <w:bookmarkStart w:id="303" w:name="_Toc378168431"/>
      <w:bookmarkStart w:id="304" w:name="_Toc378168432"/>
      <w:bookmarkStart w:id="305" w:name="_Toc378168433"/>
      <w:bookmarkStart w:id="306" w:name="_Toc378168434"/>
      <w:bookmarkStart w:id="307" w:name="_Toc378168435"/>
      <w:bookmarkStart w:id="308" w:name="_Toc378168436"/>
      <w:bookmarkStart w:id="309" w:name="_Toc378168437"/>
      <w:bookmarkStart w:id="310" w:name="_Toc378168438"/>
      <w:bookmarkStart w:id="311" w:name="_Toc378168439"/>
      <w:bookmarkStart w:id="312" w:name="_Toc378168440"/>
      <w:bookmarkStart w:id="313" w:name="_Toc378168441"/>
      <w:bookmarkStart w:id="314" w:name="_Toc378168442"/>
      <w:bookmarkStart w:id="315" w:name="_Toc378168443"/>
      <w:bookmarkStart w:id="316" w:name="_Toc378168444"/>
      <w:bookmarkStart w:id="317" w:name="_Toc378168445"/>
      <w:bookmarkStart w:id="318" w:name="_Toc378168446"/>
      <w:bookmarkStart w:id="319" w:name="_Toc378168447"/>
      <w:bookmarkStart w:id="320" w:name="_Toc378168448"/>
      <w:bookmarkStart w:id="321" w:name="_Toc378168449"/>
      <w:bookmarkStart w:id="322" w:name="_Toc373497087"/>
      <w:bookmarkStart w:id="323" w:name="_Toc378168450"/>
      <w:bookmarkStart w:id="324" w:name="_Toc378168451"/>
      <w:bookmarkStart w:id="325" w:name="_Toc378168452"/>
      <w:bookmarkStart w:id="326" w:name="_Toc378168453"/>
      <w:bookmarkStart w:id="327" w:name="_Toc378168454"/>
      <w:bookmarkStart w:id="328" w:name="_Toc378168455"/>
      <w:bookmarkStart w:id="329" w:name="_Toc378168456"/>
      <w:bookmarkStart w:id="330" w:name="_Toc378168457"/>
      <w:bookmarkStart w:id="331" w:name="_Toc378168458"/>
      <w:bookmarkStart w:id="332" w:name="_Toc378168459"/>
      <w:bookmarkStart w:id="333" w:name="_Toc378168460"/>
      <w:bookmarkStart w:id="334" w:name="_Toc378168461"/>
      <w:bookmarkStart w:id="335" w:name="_Toc378168462"/>
      <w:bookmarkStart w:id="336" w:name="_Toc378168463"/>
      <w:bookmarkStart w:id="337" w:name="_Toc378168464"/>
      <w:bookmarkStart w:id="338" w:name="_Toc378168465"/>
      <w:bookmarkStart w:id="339" w:name="_Toc378168466"/>
      <w:bookmarkStart w:id="340" w:name="_Toc378168467"/>
      <w:bookmarkStart w:id="341" w:name="_Toc378168468"/>
      <w:bookmarkStart w:id="342" w:name="_Toc378168469"/>
      <w:bookmarkStart w:id="343" w:name="_Toc378168470"/>
      <w:bookmarkStart w:id="344" w:name="_Toc378168471"/>
      <w:bookmarkStart w:id="345" w:name="_Toc378168472"/>
      <w:bookmarkStart w:id="346" w:name="_Toc378168473"/>
      <w:bookmarkStart w:id="347" w:name="_Toc378168474"/>
      <w:bookmarkStart w:id="348" w:name="_Toc373497093"/>
      <w:bookmarkStart w:id="349" w:name="_Toc378168475"/>
      <w:bookmarkStart w:id="350" w:name="_Toc378168476"/>
      <w:bookmarkStart w:id="351" w:name="_Toc378168477"/>
      <w:bookmarkStart w:id="352" w:name="_Toc378168478"/>
      <w:bookmarkStart w:id="353" w:name="_Toc378168479"/>
      <w:bookmarkStart w:id="354" w:name="_Toc378168480"/>
      <w:bookmarkStart w:id="355" w:name="_Toc378168481"/>
      <w:bookmarkStart w:id="356" w:name="_Toc378168482"/>
      <w:bookmarkStart w:id="357" w:name="_Toc378168483"/>
      <w:bookmarkStart w:id="358" w:name="_Toc378168484"/>
      <w:bookmarkStart w:id="359" w:name="_Toc378168485"/>
      <w:bookmarkStart w:id="360" w:name="_Toc378168486"/>
      <w:bookmarkStart w:id="361" w:name="_Toc378168487"/>
      <w:bookmarkStart w:id="362" w:name="_Toc378168488"/>
      <w:bookmarkStart w:id="363" w:name="_Toc378168489"/>
      <w:bookmarkStart w:id="364" w:name="_Toc378168490"/>
      <w:bookmarkStart w:id="365" w:name="_Toc378168491"/>
      <w:bookmarkStart w:id="366" w:name="_Toc378168492"/>
      <w:bookmarkStart w:id="367" w:name="_Toc378168493"/>
      <w:bookmarkStart w:id="368" w:name="_Toc378168494"/>
      <w:bookmarkStart w:id="369" w:name="_Toc378168495"/>
      <w:bookmarkStart w:id="370" w:name="_Toc378168496"/>
      <w:bookmarkStart w:id="371" w:name="_Toc378168497"/>
      <w:bookmarkStart w:id="372" w:name="_Toc378168498"/>
      <w:bookmarkStart w:id="373" w:name="_Toc378168499"/>
      <w:bookmarkStart w:id="374" w:name="_Toc373497099"/>
      <w:bookmarkStart w:id="375" w:name="_Toc373497100"/>
      <w:bookmarkStart w:id="376" w:name="_Toc373497101"/>
      <w:bookmarkStart w:id="377" w:name="_Toc372466652"/>
      <w:bookmarkStart w:id="378" w:name="_Toc372468514"/>
      <w:bookmarkStart w:id="379" w:name="_Toc372468580"/>
      <w:bookmarkStart w:id="380" w:name="_Toc372469005"/>
      <w:bookmarkStart w:id="381" w:name="_Toc378168500"/>
      <w:bookmarkStart w:id="382" w:name="_Toc378168501"/>
      <w:bookmarkStart w:id="383" w:name="_Toc378168502"/>
      <w:bookmarkStart w:id="384" w:name="_Toc378168503"/>
      <w:bookmarkStart w:id="385" w:name="_Toc378168504"/>
      <w:bookmarkStart w:id="386" w:name="_Toc378168505"/>
      <w:bookmarkStart w:id="387" w:name="_Toc378168506"/>
      <w:bookmarkStart w:id="388" w:name="_Toc378168507"/>
      <w:bookmarkStart w:id="389" w:name="_Toc372972934"/>
      <w:bookmarkStart w:id="390" w:name="_Toc372975800"/>
      <w:bookmarkStart w:id="391" w:name="_Toc378168508"/>
      <w:bookmarkStart w:id="392" w:name="_Toc378168509"/>
      <w:bookmarkStart w:id="393" w:name="_Toc378168510"/>
      <w:bookmarkStart w:id="394" w:name="_Toc378168511"/>
      <w:bookmarkStart w:id="395" w:name="_Toc378168512"/>
      <w:bookmarkStart w:id="396" w:name="_Toc372972936"/>
      <w:bookmarkStart w:id="397" w:name="_Toc372975802"/>
      <w:bookmarkStart w:id="398" w:name="_Toc378168513"/>
      <w:bookmarkStart w:id="399" w:name="_Toc378168514"/>
      <w:bookmarkStart w:id="400" w:name="_Toc378168515"/>
      <w:bookmarkStart w:id="401" w:name="_Toc378168516"/>
      <w:bookmarkStart w:id="402" w:name="_Toc378168517"/>
      <w:bookmarkStart w:id="403" w:name="_Toc378168518"/>
      <w:bookmarkStart w:id="404" w:name="_Toc378168519"/>
      <w:bookmarkStart w:id="405" w:name="_Toc378168520"/>
      <w:bookmarkStart w:id="406" w:name="_Toc378168521"/>
      <w:bookmarkStart w:id="407" w:name="_Toc378168522"/>
      <w:bookmarkStart w:id="408" w:name="_Toc378168523"/>
      <w:bookmarkStart w:id="409" w:name="_Toc378168524"/>
      <w:bookmarkStart w:id="410" w:name="_Toc378168525"/>
      <w:bookmarkStart w:id="411" w:name="_Toc378168526"/>
      <w:bookmarkStart w:id="412" w:name="_Toc378168527"/>
      <w:bookmarkStart w:id="413" w:name="_Toc378168528"/>
      <w:bookmarkStart w:id="414" w:name="_Toc378168529"/>
      <w:bookmarkStart w:id="415" w:name="_Toc378168530"/>
      <w:bookmarkStart w:id="416" w:name="_Toc378168531"/>
      <w:bookmarkStart w:id="417" w:name="_Toc378168532"/>
      <w:bookmarkStart w:id="418" w:name="_Toc378168533"/>
      <w:bookmarkStart w:id="419" w:name="_Toc378168534"/>
      <w:bookmarkStart w:id="420" w:name="_Toc378168535"/>
      <w:bookmarkStart w:id="421" w:name="_Toc378168536"/>
      <w:bookmarkStart w:id="422" w:name="_Toc378168537"/>
      <w:bookmarkStart w:id="423" w:name="_Toc378168538"/>
      <w:bookmarkStart w:id="424" w:name="_Toc378168539"/>
      <w:bookmarkStart w:id="425" w:name="_Toc378168540"/>
      <w:bookmarkStart w:id="426" w:name="_Toc378168541"/>
      <w:bookmarkStart w:id="427" w:name="_Toc378168542"/>
      <w:bookmarkStart w:id="428" w:name="_Toc378168543"/>
      <w:bookmarkStart w:id="429" w:name="_Toc378168544"/>
      <w:bookmarkStart w:id="430" w:name="_Toc378168545"/>
      <w:bookmarkStart w:id="431" w:name="_Toc378168546"/>
      <w:bookmarkStart w:id="432" w:name="_Toc378168547"/>
      <w:bookmarkStart w:id="433" w:name="_Toc378168548"/>
      <w:bookmarkStart w:id="434" w:name="_Toc378168549"/>
      <w:bookmarkStart w:id="435" w:name="_Toc378168550"/>
      <w:bookmarkStart w:id="436" w:name="_Toc378168551"/>
      <w:bookmarkStart w:id="437" w:name="_Toc378168552"/>
      <w:bookmarkStart w:id="438" w:name="_Toc378168553"/>
      <w:bookmarkStart w:id="439" w:name="_Toc378168554"/>
      <w:bookmarkStart w:id="440" w:name="_Toc378168555"/>
      <w:bookmarkStart w:id="441" w:name="_Toc378168556"/>
      <w:bookmarkStart w:id="442" w:name="_Toc378168557"/>
      <w:bookmarkStart w:id="443" w:name="_Toc378168558"/>
      <w:bookmarkStart w:id="444" w:name="_Toc378168559"/>
      <w:bookmarkStart w:id="445" w:name="_Toc378168560"/>
      <w:bookmarkStart w:id="446" w:name="_Toc378168561"/>
      <w:bookmarkStart w:id="447" w:name="_Toc378168562"/>
      <w:bookmarkStart w:id="448" w:name="_Toc378168563"/>
      <w:bookmarkStart w:id="449" w:name="_Toc378168564"/>
      <w:bookmarkStart w:id="450" w:name="_Toc373497112"/>
      <w:bookmarkStart w:id="451" w:name="_Toc378168565"/>
      <w:bookmarkStart w:id="452" w:name="_Toc378168566"/>
      <w:bookmarkStart w:id="453" w:name="_Toc378168567"/>
      <w:bookmarkStart w:id="454" w:name="_Toc378168568"/>
      <w:bookmarkStart w:id="455" w:name="_Toc372972947"/>
      <w:bookmarkStart w:id="456" w:name="_Toc372975813"/>
      <w:bookmarkStart w:id="457" w:name="_Toc378168569"/>
      <w:bookmarkStart w:id="458" w:name="_Toc378168570"/>
      <w:bookmarkStart w:id="459" w:name="_Toc378168571"/>
      <w:bookmarkStart w:id="460" w:name="_Toc378168572"/>
      <w:bookmarkStart w:id="461" w:name="_Toc378168573"/>
      <w:bookmarkStart w:id="462" w:name="_Toc378168574"/>
      <w:bookmarkStart w:id="463" w:name="_Toc378168575"/>
      <w:bookmarkStart w:id="464" w:name="_Toc378168576"/>
      <w:bookmarkStart w:id="465" w:name="_Toc378168577"/>
      <w:bookmarkStart w:id="466" w:name="_Toc378168578"/>
      <w:bookmarkStart w:id="467" w:name="_Toc378168579"/>
      <w:bookmarkStart w:id="468" w:name="_Toc378168580"/>
      <w:bookmarkStart w:id="469" w:name="_Toc378168581"/>
      <w:bookmarkStart w:id="470" w:name="_Toc378168582"/>
      <w:bookmarkStart w:id="471" w:name="_Toc378168583"/>
      <w:bookmarkStart w:id="472" w:name="_Toc378168584"/>
      <w:bookmarkStart w:id="473" w:name="_Toc378168585"/>
      <w:bookmarkStart w:id="474" w:name="_Toc373497118"/>
      <w:bookmarkStart w:id="475" w:name="_Toc378168586"/>
      <w:bookmarkStart w:id="476" w:name="_Toc378168587"/>
      <w:bookmarkStart w:id="477" w:name="_Toc378168588"/>
      <w:bookmarkStart w:id="478" w:name="_Toc378168589"/>
      <w:bookmarkStart w:id="479" w:name="_Toc372972954"/>
      <w:bookmarkStart w:id="480" w:name="_Toc372975820"/>
      <w:bookmarkStart w:id="481" w:name="_Toc378168590"/>
      <w:bookmarkStart w:id="482" w:name="_Toc378168591"/>
      <w:bookmarkStart w:id="483" w:name="_Toc378168592"/>
      <w:bookmarkStart w:id="484" w:name="_Toc378168593"/>
      <w:bookmarkStart w:id="485" w:name="_Toc378168594"/>
      <w:bookmarkStart w:id="486" w:name="_Toc378168595"/>
      <w:bookmarkStart w:id="487" w:name="_Toc378168596"/>
      <w:bookmarkStart w:id="488" w:name="_Toc378168597"/>
      <w:bookmarkStart w:id="489" w:name="_Toc378168598"/>
      <w:bookmarkStart w:id="490" w:name="_Toc378168599"/>
      <w:bookmarkStart w:id="491" w:name="_Toc378168600"/>
      <w:bookmarkStart w:id="492" w:name="_Toc378168601"/>
      <w:bookmarkStart w:id="493" w:name="_Toc378168602"/>
      <w:bookmarkStart w:id="494" w:name="_Toc378168603"/>
      <w:bookmarkStart w:id="495" w:name="_Toc378168604"/>
      <w:bookmarkStart w:id="496" w:name="_Toc378168605"/>
      <w:bookmarkStart w:id="497" w:name="_Toc378168606"/>
      <w:bookmarkStart w:id="498" w:name="_Toc378168607"/>
      <w:bookmarkStart w:id="499" w:name="_Toc373497125"/>
      <w:bookmarkStart w:id="500" w:name="_Toc378168608"/>
      <w:bookmarkStart w:id="501" w:name="_Toc378168609"/>
      <w:bookmarkStart w:id="502" w:name="_Toc378168610"/>
      <w:bookmarkStart w:id="503" w:name="_Toc378168611"/>
      <w:bookmarkStart w:id="504" w:name="_Toc378168612"/>
      <w:bookmarkStart w:id="505" w:name="_Toc378168613"/>
      <w:bookmarkStart w:id="506" w:name="_Toc378168614"/>
      <w:bookmarkStart w:id="507" w:name="_Toc378168615"/>
      <w:bookmarkStart w:id="508" w:name="_Toc378168616"/>
      <w:bookmarkStart w:id="509" w:name="_Toc378168617"/>
      <w:bookmarkStart w:id="510" w:name="_Toc378168618"/>
      <w:bookmarkStart w:id="511" w:name="_Toc378168619"/>
      <w:bookmarkStart w:id="512" w:name="_Toc378168620"/>
      <w:bookmarkStart w:id="513" w:name="_Toc378168621"/>
      <w:bookmarkStart w:id="514" w:name="_Toc378168622"/>
      <w:bookmarkStart w:id="515" w:name="_Toc378168623"/>
      <w:bookmarkStart w:id="516" w:name="_Toc378168624"/>
      <w:bookmarkStart w:id="517" w:name="_Toc378168625"/>
      <w:bookmarkStart w:id="518" w:name="_Toc378168626"/>
      <w:bookmarkStart w:id="519" w:name="_Toc378168627"/>
      <w:bookmarkStart w:id="520" w:name="_Toc378168628"/>
      <w:bookmarkStart w:id="521" w:name="_Toc378168629"/>
      <w:bookmarkStart w:id="522" w:name="_Toc378168630"/>
      <w:bookmarkStart w:id="523" w:name="_Toc378168631"/>
      <w:bookmarkStart w:id="524" w:name="_Toc378168632"/>
      <w:bookmarkStart w:id="525" w:name="_Toc373497131"/>
      <w:bookmarkStart w:id="526" w:name="_Toc378168633"/>
      <w:bookmarkStart w:id="527" w:name="_Toc378168634"/>
      <w:bookmarkStart w:id="528" w:name="_Toc378168635"/>
      <w:bookmarkStart w:id="529" w:name="_Toc378168636"/>
      <w:bookmarkStart w:id="530" w:name="_Toc378168637"/>
      <w:bookmarkStart w:id="531" w:name="_Toc378168638"/>
      <w:bookmarkStart w:id="532" w:name="_Toc378168639"/>
      <w:bookmarkStart w:id="533" w:name="_Toc378168640"/>
      <w:bookmarkStart w:id="534" w:name="_Toc378168641"/>
      <w:bookmarkStart w:id="535" w:name="_Toc378168642"/>
      <w:bookmarkStart w:id="536" w:name="_Toc378168643"/>
      <w:bookmarkStart w:id="537" w:name="_Toc378168644"/>
      <w:bookmarkStart w:id="538" w:name="_Toc378168645"/>
      <w:bookmarkStart w:id="539" w:name="_Toc378168646"/>
      <w:bookmarkStart w:id="540" w:name="_Toc378168647"/>
      <w:bookmarkStart w:id="541" w:name="_Toc378168648"/>
      <w:bookmarkStart w:id="542" w:name="_Toc378168649"/>
      <w:bookmarkStart w:id="543" w:name="_Toc378168650"/>
      <w:bookmarkStart w:id="544" w:name="_Toc378168651"/>
      <w:bookmarkStart w:id="545" w:name="_Toc378168652"/>
      <w:bookmarkStart w:id="546" w:name="_Toc378168653"/>
      <w:bookmarkStart w:id="547" w:name="_Toc378168654"/>
      <w:bookmarkStart w:id="548" w:name="_Toc378168655"/>
      <w:bookmarkStart w:id="549" w:name="_Toc378168656"/>
      <w:bookmarkStart w:id="550" w:name="_Toc378168657"/>
      <w:bookmarkStart w:id="551" w:name="_Toc378168658"/>
      <w:bookmarkStart w:id="552" w:name="_Toc378168659"/>
      <w:bookmarkStart w:id="553" w:name="_Toc378168660"/>
      <w:bookmarkStart w:id="554" w:name="_Toc378168661"/>
      <w:bookmarkStart w:id="555" w:name="_Toc378168662"/>
      <w:bookmarkStart w:id="556" w:name="_Toc378168663"/>
      <w:bookmarkStart w:id="557" w:name="_Toc378168664"/>
      <w:bookmarkStart w:id="558" w:name="_Toc378168665"/>
      <w:bookmarkStart w:id="559" w:name="_Toc378168666"/>
      <w:bookmarkStart w:id="560" w:name="_Toc378168667"/>
      <w:bookmarkStart w:id="561" w:name="_Toc378168668"/>
      <w:bookmarkStart w:id="562" w:name="_Toc378168669"/>
      <w:bookmarkStart w:id="563" w:name="_Toc378168670"/>
      <w:bookmarkStart w:id="564" w:name="_Toc378168671"/>
      <w:bookmarkStart w:id="565" w:name="_Toc378168672"/>
      <w:bookmarkStart w:id="566" w:name="_Toc378168673"/>
      <w:bookmarkStart w:id="567" w:name="_Toc378168674"/>
      <w:bookmarkStart w:id="568" w:name="_Toc378168675"/>
      <w:bookmarkStart w:id="569" w:name="_Toc378168676"/>
      <w:bookmarkStart w:id="570" w:name="_Toc378168677"/>
      <w:bookmarkStart w:id="571" w:name="_Toc378168678"/>
      <w:bookmarkStart w:id="572" w:name="_Toc378168679"/>
      <w:bookmarkStart w:id="573" w:name="_Toc378168680"/>
      <w:bookmarkStart w:id="574" w:name="_Toc378168681"/>
      <w:bookmarkStart w:id="575" w:name="_Toc378168682"/>
      <w:bookmarkStart w:id="576" w:name="_Toc378168683"/>
      <w:bookmarkStart w:id="577" w:name="_Toc378168684"/>
      <w:bookmarkStart w:id="578" w:name="_Toc378168685"/>
      <w:bookmarkStart w:id="579" w:name="_Toc378168686"/>
      <w:bookmarkStart w:id="580" w:name="_Toc378168687"/>
      <w:bookmarkStart w:id="581" w:name="_Toc378168688"/>
      <w:bookmarkStart w:id="582" w:name="_Toc378168689"/>
      <w:bookmarkStart w:id="583" w:name="_Toc378168690"/>
      <w:bookmarkStart w:id="584" w:name="_Toc378168691"/>
      <w:bookmarkStart w:id="585" w:name="_Toc490655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lastRenderedPageBreak/>
        <w:t>Orientačné</w:t>
      </w:r>
      <w:r w:rsidRPr="00A11FE0">
        <w:t xml:space="preserve"> </w:t>
      </w:r>
      <w:r w:rsidR="00AC4D9D" w:rsidRPr="00A11FE0">
        <w:t xml:space="preserve">rozdelenie podpory Únie podľa tematického cieľa na národnej úrovni pre </w:t>
      </w:r>
      <w:r w:rsidR="00BD5FD5">
        <w:t>k</w:t>
      </w:r>
      <w:r w:rsidR="00AC4D9D" w:rsidRPr="00A11FE0">
        <w:t xml:space="preserve">aždý z EŠIF, </w:t>
      </w:r>
      <w:r w:rsidR="00BD5FD5">
        <w:t>ak</w:t>
      </w:r>
      <w:r w:rsidR="00AC4D9D" w:rsidRPr="00A11FE0">
        <w:t xml:space="preserve">o </w:t>
      </w:r>
      <w:r w:rsidR="00BD5FD5">
        <w:t>a</w:t>
      </w:r>
      <w:r w:rsidR="00AC4D9D" w:rsidRPr="00A11FE0">
        <w:t xml:space="preserve">j celková </w:t>
      </w:r>
      <w:r>
        <w:t>orientačná</w:t>
      </w:r>
      <w:r w:rsidRPr="00A11FE0">
        <w:t xml:space="preserve"> </w:t>
      </w:r>
      <w:r>
        <w:t>suma</w:t>
      </w:r>
      <w:r w:rsidRPr="00A11FE0">
        <w:t xml:space="preserve"> </w:t>
      </w:r>
      <w:r w:rsidR="00AC4D9D" w:rsidRPr="00A11FE0">
        <w:t xml:space="preserve">podpory plánovaná na ciele </w:t>
      </w:r>
      <w:r w:rsidR="00BD5FD5">
        <w:t>s</w:t>
      </w:r>
      <w:r w:rsidR="00AC4D9D" w:rsidRPr="00A11FE0">
        <w:t xml:space="preserve">úvisiace </w:t>
      </w:r>
      <w:r w:rsidR="00BD5FD5">
        <w:t>s</w:t>
      </w:r>
      <w:r w:rsidR="00AC4D9D" w:rsidRPr="00A11FE0">
        <w:t>o zmen</w:t>
      </w:r>
      <w:r>
        <w:t>ou</w:t>
      </w:r>
      <w:r w:rsidR="00AC4D9D" w:rsidRPr="00A11FE0">
        <w:t xml:space="preserve"> </w:t>
      </w:r>
      <w:r w:rsidR="00BD5FD5">
        <w:t>k</w:t>
      </w:r>
      <w:r w:rsidR="00AC4D9D" w:rsidRPr="00A11FE0">
        <w:t>límy</w:t>
      </w:r>
      <w:bookmarkEnd w:id="584"/>
      <w:bookmarkEnd w:id="585"/>
    </w:p>
    <w:p w:rsidR="00391F91" w:rsidRDefault="008935E8" w:rsidP="00391F91">
      <w:pPr>
        <w:rPr>
          <w:rFonts w:asciiTheme="majorHAnsi" w:hAnsiTheme="majorHAnsi"/>
        </w:rPr>
      </w:pPr>
      <w:r>
        <w:rPr>
          <w:rFonts w:asciiTheme="majorHAnsi" w:hAnsiTheme="majorHAnsi"/>
        </w:rPr>
        <w:t>R</w:t>
      </w:r>
      <w:r w:rsidRPr="00A11FE0">
        <w:rPr>
          <w:rFonts w:asciiTheme="majorHAnsi" w:hAnsiTheme="majorHAnsi"/>
        </w:rPr>
        <w:t xml:space="preserve">ozdelenie </w:t>
      </w:r>
      <w:r w:rsidR="00391F91" w:rsidRPr="00A11FE0">
        <w:rPr>
          <w:rFonts w:asciiTheme="majorHAnsi" w:hAnsiTheme="majorHAnsi"/>
        </w:rPr>
        <w:t xml:space="preserve">finančnej </w:t>
      </w:r>
      <w:r w:rsidR="00391F91">
        <w:rPr>
          <w:rFonts w:asciiTheme="majorHAnsi" w:hAnsiTheme="majorHAnsi"/>
        </w:rPr>
        <w:t>a</w:t>
      </w:r>
      <w:r w:rsidR="00391F91" w:rsidRPr="00A11FE0">
        <w:rPr>
          <w:rFonts w:asciiTheme="majorHAnsi" w:hAnsiTheme="majorHAnsi"/>
        </w:rPr>
        <w:t xml:space="preserve">lokácie na jednotlivé tematické ciele pre </w:t>
      </w:r>
      <w:r w:rsidR="00391F91">
        <w:rPr>
          <w:rFonts w:asciiTheme="majorHAnsi" w:hAnsiTheme="majorHAnsi"/>
        </w:rPr>
        <w:t>k</w:t>
      </w:r>
      <w:r w:rsidR="00391F91" w:rsidRPr="00A11FE0">
        <w:rPr>
          <w:rFonts w:asciiTheme="majorHAnsi" w:hAnsiTheme="majorHAnsi"/>
        </w:rPr>
        <w:t>aždý EŠIF</w:t>
      </w:r>
      <w:r>
        <w:rPr>
          <w:rFonts w:asciiTheme="majorHAnsi" w:hAnsiTheme="majorHAnsi"/>
        </w:rPr>
        <w:t xml:space="preserve"> zodpovedá pridelenej alokácii na príslušný program</w:t>
      </w:r>
      <w:r w:rsidR="00391F91" w:rsidRPr="00A11FE0">
        <w:rPr>
          <w:rFonts w:asciiTheme="majorHAnsi" w:hAnsiTheme="majorHAnsi"/>
        </w:rPr>
        <w:t xml:space="preserve">. </w:t>
      </w:r>
      <w:r>
        <w:rPr>
          <w:rFonts w:asciiTheme="majorHAnsi" w:hAnsiTheme="majorHAnsi"/>
        </w:rPr>
        <w:t>Výška</w:t>
      </w:r>
      <w:r w:rsidR="00391F91" w:rsidRPr="00A11FE0">
        <w:rPr>
          <w:rFonts w:asciiTheme="majorHAnsi" w:hAnsiTheme="majorHAnsi"/>
        </w:rPr>
        <w:t xml:space="preserve"> podpory pre programy </w:t>
      </w:r>
      <w:r w:rsidR="00391F91">
        <w:rPr>
          <w:rFonts w:asciiTheme="majorHAnsi" w:hAnsiTheme="majorHAnsi"/>
        </w:rPr>
        <w:t>Eur</w:t>
      </w:r>
      <w:r w:rsidR="00391F91" w:rsidRPr="00A11FE0">
        <w:rPr>
          <w:rFonts w:asciiTheme="majorHAnsi" w:hAnsiTheme="majorHAnsi"/>
        </w:rPr>
        <w:t xml:space="preserve">ópskej územnej </w:t>
      </w:r>
      <w:r w:rsidR="00391F91">
        <w:rPr>
          <w:rFonts w:asciiTheme="majorHAnsi" w:hAnsiTheme="majorHAnsi"/>
        </w:rPr>
        <w:t>s</w:t>
      </w:r>
      <w:r w:rsidR="00391F91" w:rsidRPr="00A11FE0">
        <w:rPr>
          <w:rFonts w:asciiTheme="majorHAnsi" w:hAnsiTheme="majorHAnsi"/>
        </w:rPr>
        <w:t xml:space="preserve">polupráce (ďalej len „EÚS“) na národnej úrovni predstavuje </w:t>
      </w:r>
      <w:r w:rsidR="00EB74F8">
        <w:rPr>
          <w:rFonts w:asciiTheme="majorHAnsi" w:hAnsiTheme="majorHAnsi"/>
        </w:rPr>
        <w:t>223</w:t>
      </w:r>
      <w:r w:rsidR="004274FF">
        <w:rPr>
          <w:rFonts w:asciiTheme="majorHAnsi" w:hAnsiTheme="majorHAnsi"/>
        </w:rPr>
        <w:t> </w:t>
      </w:r>
      <w:r w:rsidR="00EB74F8">
        <w:rPr>
          <w:rFonts w:asciiTheme="majorHAnsi" w:hAnsiTheme="majorHAnsi"/>
        </w:rPr>
        <w:t>367</w:t>
      </w:r>
      <w:r w:rsidR="004274FF">
        <w:rPr>
          <w:rFonts w:asciiTheme="majorHAnsi" w:hAnsiTheme="majorHAnsi"/>
        </w:rPr>
        <w:t xml:space="preserve"> </w:t>
      </w:r>
      <w:r w:rsidR="00EB74F8">
        <w:rPr>
          <w:rFonts w:asciiTheme="majorHAnsi" w:hAnsiTheme="majorHAnsi"/>
        </w:rPr>
        <w:t>272</w:t>
      </w:r>
      <w:r w:rsidR="00391F91" w:rsidRPr="00A11FE0">
        <w:rPr>
          <w:rFonts w:asciiTheme="majorHAnsi" w:hAnsiTheme="majorHAnsi"/>
        </w:rPr>
        <w:t xml:space="preserve"> </w:t>
      </w:r>
      <w:r w:rsidR="00391F91">
        <w:rPr>
          <w:rFonts w:asciiTheme="majorHAnsi" w:hAnsiTheme="majorHAnsi"/>
        </w:rPr>
        <w:t>EUR</w:t>
      </w:r>
      <w:r w:rsidR="00391F91" w:rsidRPr="00A11FE0">
        <w:rPr>
          <w:rFonts w:asciiTheme="majorHAnsi" w:hAnsiTheme="majorHAnsi"/>
        </w:rPr>
        <w:t>.</w:t>
      </w:r>
      <w:r w:rsidR="00391F91">
        <w:rPr>
          <w:rFonts w:asciiTheme="majorHAnsi" w:hAnsiTheme="majorHAnsi"/>
        </w:rPr>
        <w:t xml:space="preserve"> V súvislosti so stanovenými cieľmi v relevantných </w:t>
      </w:r>
      <w:r w:rsidR="00F06900">
        <w:rPr>
          <w:rFonts w:asciiTheme="majorHAnsi" w:hAnsiTheme="majorHAnsi"/>
        </w:rPr>
        <w:t>programoch</w:t>
      </w:r>
      <w:r w:rsidR="007B011A">
        <w:rPr>
          <w:rFonts w:asciiTheme="majorHAnsi" w:hAnsiTheme="majorHAnsi"/>
        </w:rPr>
        <w:t>,</w:t>
      </w:r>
      <w:r w:rsidR="00F06900">
        <w:rPr>
          <w:rFonts w:asciiTheme="majorHAnsi" w:hAnsiTheme="majorHAnsi"/>
        </w:rPr>
        <w:t xml:space="preserve"> </w:t>
      </w:r>
      <w:r w:rsidR="00391F91">
        <w:rPr>
          <w:rFonts w:asciiTheme="majorHAnsi" w:hAnsiTheme="majorHAnsi"/>
        </w:rPr>
        <w:t>súvisiacimi so zmenou klímy</w:t>
      </w:r>
      <w:r w:rsidR="007B011A">
        <w:rPr>
          <w:rFonts w:asciiTheme="majorHAnsi" w:hAnsiTheme="majorHAnsi"/>
        </w:rPr>
        <w:t>,</w:t>
      </w:r>
      <w:r w:rsidR="00391F91">
        <w:rPr>
          <w:rFonts w:asciiTheme="majorHAnsi" w:hAnsiTheme="majorHAnsi"/>
        </w:rPr>
        <w:t xml:space="preserve"> bola v zmysle metodiky EK</w:t>
      </w:r>
      <w:r>
        <w:rPr>
          <w:rStyle w:val="Odkaznapoznmkupodiarou"/>
          <w:rFonts w:asciiTheme="majorHAnsi" w:hAnsiTheme="majorHAnsi"/>
        </w:rPr>
        <w:footnoteReference w:id="308"/>
      </w:r>
      <w:r w:rsidR="00391F91">
        <w:rPr>
          <w:rFonts w:asciiTheme="majorHAnsi" w:hAnsiTheme="majorHAnsi"/>
        </w:rPr>
        <w:t xml:space="preserve"> vyčlenená orientačná suma podpory</w:t>
      </w:r>
      <w:r>
        <w:rPr>
          <w:rFonts w:asciiTheme="majorHAnsi" w:hAnsiTheme="majorHAnsi"/>
        </w:rPr>
        <w:t xml:space="preserve"> plánovaná na ciele súvisiace so zmenou klímy</w:t>
      </w:r>
      <w:r w:rsidR="00391F91">
        <w:rPr>
          <w:rFonts w:asciiTheme="majorHAnsi" w:hAnsiTheme="majorHAnsi"/>
        </w:rPr>
        <w:t xml:space="preserve"> vo výške</w:t>
      </w:r>
      <w:r w:rsidR="00E97D36">
        <w:rPr>
          <w:rFonts w:asciiTheme="majorHAnsi" w:hAnsiTheme="majorHAnsi"/>
        </w:rPr>
        <w:t xml:space="preserve"> </w:t>
      </w:r>
      <w:r w:rsidR="00696E98">
        <w:rPr>
          <w:rFonts w:asciiTheme="majorHAnsi" w:hAnsiTheme="majorHAnsi"/>
          <w:szCs w:val="22"/>
        </w:rPr>
        <w:t>3 401 529 847,78</w:t>
      </w:r>
      <w:r w:rsidR="00803D6A">
        <w:rPr>
          <w:rFonts w:asciiTheme="majorHAnsi" w:hAnsiTheme="majorHAnsi"/>
          <w:szCs w:val="22"/>
        </w:rPr>
        <w:t xml:space="preserve"> </w:t>
      </w:r>
      <w:r w:rsidR="00E97D36">
        <w:rPr>
          <w:rFonts w:asciiTheme="majorHAnsi" w:hAnsiTheme="majorHAnsi"/>
        </w:rPr>
        <w:t xml:space="preserve"> </w:t>
      </w:r>
      <w:r w:rsidR="00391F91">
        <w:rPr>
          <w:rFonts w:asciiTheme="majorHAnsi" w:hAnsiTheme="majorHAnsi"/>
        </w:rPr>
        <w:t>EUR.</w:t>
      </w:r>
      <w:r w:rsidRPr="008935E8">
        <w:rPr>
          <w:rFonts w:asciiTheme="majorHAnsi" w:hAnsiTheme="majorHAnsi"/>
        </w:rPr>
        <w:t xml:space="preserve"> </w:t>
      </w:r>
      <w:r>
        <w:rPr>
          <w:rFonts w:asciiTheme="majorHAnsi" w:hAnsiTheme="majorHAnsi"/>
        </w:rPr>
        <w:t xml:space="preserve">K príslušnej priorite/kategórii intervencie tematického cieľa, bol priradený konkrétny koeficient s cieľom zabezpečenia harmonizácie prístupu k sledovaniu výdavkov súvisiacich so zmenou klímy v oblastiach podpory </w:t>
      </w:r>
      <w:r w:rsidR="007B011A">
        <w:rPr>
          <w:rFonts w:asciiTheme="majorHAnsi" w:hAnsiTheme="majorHAnsi"/>
        </w:rPr>
        <w:t>pre</w:t>
      </w:r>
      <w:r>
        <w:rPr>
          <w:rFonts w:asciiTheme="majorHAnsi" w:hAnsiTheme="majorHAnsi"/>
        </w:rPr>
        <w:t xml:space="preserve"> príslušn</w:t>
      </w:r>
      <w:r w:rsidR="007B011A">
        <w:rPr>
          <w:rFonts w:asciiTheme="majorHAnsi" w:hAnsiTheme="majorHAnsi"/>
        </w:rPr>
        <w:t>ý</w:t>
      </w:r>
      <w:r>
        <w:rPr>
          <w:rFonts w:asciiTheme="majorHAnsi" w:hAnsiTheme="majorHAnsi"/>
        </w:rPr>
        <w:t xml:space="preserve"> tematick</w:t>
      </w:r>
      <w:r w:rsidR="007B011A">
        <w:rPr>
          <w:rFonts w:asciiTheme="majorHAnsi" w:hAnsiTheme="majorHAnsi"/>
        </w:rPr>
        <w:t>ý</w:t>
      </w:r>
      <w:r>
        <w:rPr>
          <w:rFonts w:asciiTheme="majorHAnsi" w:hAnsiTheme="majorHAnsi"/>
        </w:rPr>
        <w:t xml:space="preserve"> cieľ. SR dosiahne cieľ viac ako je úroveň 20 %, a to na predpokladanej úrovni </w:t>
      </w:r>
      <w:r w:rsidR="00DD78B2" w:rsidRPr="00D17DFC">
        <w:rPr>
          <w:rFonts w:asciiTheme="majorHAnsi" w:hAnsiTheme="majorHAnsi"/>
        </w:rPr>
        <w:t>22,</w:t>
      </w:r>
      <w:r w:rsidR="00696E98">
        <w:rPr>
          <w:rFonts w:asciiTheme="majorHAnsi" w:hAnsiTheme="majorHAnsi"/>
        </w:rPr>
        <w:t>37</w:t>
      </w:r>
      <w:r w:rsidR="00803D6A" w:rsidRPr="00D17DFC">
        <w:rPr>
          <w:rFonts w:asciiTheme="majorHAnsi" w:hAnsiTheme="majorHAnsi"/>
        </w:rPr>
        <w:t xml:space="preserve"> </w:t>
      </w:r>
      <w:r w:rsidRPr="00803D6A">
        <w:rPr>
          <w:rFonts w:asciiTheme="majorHAnsi" w:hAnsiTheme="majorHAnsi"/>
        </w:rPr>
        <w:t xml:space="preserve"> %.</w:t>
      </w:r>
    </w:p>
    <w:p w:rsidR="008935E8" w:rsidRPr="004274FF" w:rsidRDefault="008935E8" w:rsidP="00391F91">
      <w:pPr>
        <w:rPr>
          <w:rFonts w:asciiTheme="majorHAnsi" w:hAnsiTheme="majorHAnsi"/>
          <w:sz w:val="18"/>
          <w:szCs w:val="18"/>
        </w:rPr>
      </w:pPr>
      <w:r w:rsidRPr="004274FF">
        <w:rPr>
          <w:rFonts w:asciiTheme="majorHAnsi" w:hAnsiTheme="majorHAnsi"/>
          <w:sz w:val="18"/>
          <w:szCs w:val="18"/>
        </w:rPr>
        <w:t>Tabuľka 1:</w:t>
      </w:r>
      <w:r w:rsidR="00203AE0" w:rsidRPr="004274FF">
        <w:rPr>
          <w:rFonts w:asciiTheme="majorHAnsi" w:hAnsiTheme="majorHAnsi"/>
          <w:sz w:val="18"/>
          <w:szCs w:val="18"/>
        </w:rPr>
        <w:t xml:space="preserve"> </w:t>
      </w:r>
      <w:r w:rsidR="000051EC" w:rsidRPr="004274FF">
        <w:rPr>
          <w:rFonts w:asciiTheme="majorHAnsi" w:hAnsiTheme="majorHAnsi"/>
          <w:sz w:val="18"/>
          <w:szCs w:val="18"/>
        </w:rPr>
        <w:t>Indikatívna alokácia na ciele súvisiace so zmenou klímy</w:t>
      </w:r>
    </w:p>
    <w:tbl>
      <w:tblPr>
        <w:tblStyle w:val="Mriekatabuky18"/>
        <w:tblW w:w="4943" w:type="pct"/>
        <w:tblLook w:val="04A0" w:firstRow="1" w:lastRow="0" w:firstColumn="1" w:lastColumn="0" w:noHBand="0" w:noVBand="1"/>
      </w:tblPr>
      <w:tblGrid>
        <w:gridCol w:w="5069"/>
        <w:gridCol w:w="4111"/>
      </w:tblGrid>
      <w:tr w:rsidR="00D426C5" w:rsidRPr="008935E8" w:rsidTr="00BA185A">
        <w:tc>
          <w:tcPr>
            <w:tcW w:w="2761" w:type="pct"/>
            <w:shd w:val="clear" w:color="auto" w:fill="D9D9D9" w:themeFill="background1" w:themeFillShade="D9"/>
            <w:vAlign w:val="center"/>
          </w:tcPr>
          <w:p w:rsidR="00D426C5" w:rsidRPr="008935E8" w:rsidRDefault="00D426C5" w:rsidP="008935E8">
            <w:pPr>
              <w:spacing w:before="0" w:after="0"/>
              <w:jc w:val="center"/>
              <w:rPr>
                <w:rFonts w:asciiTheme="majorHAnsi" w:hAnsiTheme="majorHAnsi"/>
                <w:b/>
                <w:sz w:val="16"/>
                <w:szCs w:val="16"/>
              </w:rPr>
            </w:pPr>
            <w:r w:rsidRPr="008935E8">
              <w:rPr>
                <w:rFonts w:asciiTheme="majorHAnsi" w:hAnsiTheme="majorHAnsi"/>
                <w:b/>
                <w:sz w:val="16"/>
                <w:szCs w:val="16"/>
              </w:rPr>
              <w:t>Tematický cieľ</w:t>
            </w:r>
          </w:p>
        </w:tc>
        <w:tc>
          <w:tcPr>
            <w:tcW w:w="2239" w:type="pct"/>
            <w:shd w:val="clear" w:color="auto" w:fill="D9D9D9" w:themeFill="background1" w:themeFillShade="D9"/>
            <w:vAlign w:val="center"/>
          </w:tcPr>
          <w:p w:rsidR="00D426C5" w:rsidRPr="008935E8" w:rsidRDefault="00D426C5" w:rsidP="008935E8">
            <w:pPr>
              <w:spacing w:before="0" w:after="0"/>
              <w:jc w:val="center"/>
              <w:rPr>
                <w:rFonts w:asciiTheme="majorHAnsi" w:hAnsiTheme="majorHAnsi"/>
                <w:b/>
                <w:sz w:val="16"/>
                <w:szCs w:val="16"/>
              </w:rPr>
            </w:pPr>
            <w:r w:rsidRPr="008935E8">
              <w:rPr>
                <w:rFonts w:asciiTheme="majorHAnsi" w:hAnsiTheme="majorHAnsi"/>
                <w:b/>
                <w:sz w:val="16"/>
                <w:szCs w:val="16"/>
              </w:rPr>
              <w:t>Celkové oprávnené výdavky týkajúce sa zmeny klímy</w:t>
            </w:r>
          </w:p>
        </w:tc>
      </w:tr>
      <w:tr w:rsidR="00F14802" w:rsidRPr="008935E8" w:rsidTr="006F1CE8">
        <w:tc>
          <w:tcPr>
            <w:tcW w:w="2761" w:type="pct"/>
            <w:shd w:val="clear" w:color="auto" w:fill="auto"/>
            <w:vAlign w:val="center"/>
          </w:tcPr>
          <w:p w:rsidR="00F14802" w:rsidRPr="00D17DFC" w:rsidRDefault="00F14802" w:rsidP="00D17DFC">
            <w:pPr>
              <w:pStyle w:val="Odsekzoznamu"/>
              <w:numPr>
                <w:ilvl w:val="0"/>
                <w:numId w:val="169"/>
              </w:numPr>
              <w:spacing w:before="0" w:after="0"/>
              <w:ind w:left="426" w:hanging="426"/>
              <w:jc w:val="left"/>
              <w:rPr>
                <w:rFonts w:asciiTheme="majorHAnsi" w:hAnsiTheme="majorHAnsi"/>
                <w:b/>
                <w:sz w:val="16"/>
                <w:szCs w:val="16"/>
              </w:rPr>
            </w:pPr>
            <w:r w:rsidRPr="00D17DFC">
              <w:rPr>
                <w:rFonts w:ascii="Calibri" w:eastAsia="Times New Roman" w:hAnsi="Calibri"/>
                <w:sz w:val="16"/>
                <w:szCs w:val="16"/>
              </w:rPr>
              <w:t>Posilnenie výskumu, techn</w:t>
            </w:r>
            <w:r w:rsidR="00C865B9">
              <w:rPr>
                <w:rFonts w:ascii="Calibri" w:eastAsia="Times New Roman" w:hAnsi="Calibri"/>
                <w:sz w:val="16"/>
                <w:szCs w:val="16"/>
              </w:rPr>
              <w:t>ologi</w:t>
            </w:r>
            <w:r w:rsidRPr="00D17DFC">
              <w:rPr>
                <w:rFonts w:ascii="Calibri" w:eastAsia="Times New Roman" w:hAnsi="Calibri"/>
                <w:sz w:val="16"/>
                <w:szCs w:val="16"/>
              </w:rPr>
              <w:t>ckého rozvoja a inovácií</w:t>
            </w:r>
          </w:p>
        </w:tc>
        <w:tc>
          <w:tcPr>
            <w:tcW w:w="2239" w:type="pct"/>
            <w:shd w:val="clear" w:color="auto" w:fill="auto"/>
            <w:vAlign w:val="center"/>
          </w:tcPr>
          <w:p w:rsidR="00F14802" w:rsidRPr="008935E8" w:rsidRDefault="00696E98" w:rsidP="008935E8">
            <w:pPr>
              <w:spacing w:before="0" w:after="0"/>
              <w:jc w:val="center"/>
              <w:rPr>
                <w:rFonts w:asciiTheme="majorHAnsi" w:hAnsiTheme="majorHAnsi"/>
                <w:b/>
                <w:sz w:val="16"/>
                <w:szCs w:val="16"/>
              </w:rPr>
            </w:pPr>
            <w:r w:rsidRPr="00696E98">
              <w:rPr>
                <w:rFonts w:ascii="Calibri" w:eastAsia="Times New Roman" w:hAnsi="Calibri"/>
                <w:sz w:val="16"/>
                <w:szCs w:val="16"/>
              </w:rPr>
              <w:t>31 865 376,30</w:t>
            </w:r>
          </w:p>
        </w:tc>
      </w:tr>
      <w:tr w:rsidR="00D426C5" w:rsidRPr="008935E8" w:rsidTr="00BA185A">
        <w:tc>
          <w:tcPr>
            <w:tcW w:w="2761" w:type="pct"/>
          </w:tcPr>
          <w:p w:rsidR="00D426C5" w:rsidRPr="008935E8" w:rsidRDefault="00D426C5" w:rsidP="001C5C9E">
            <w:pPr>
              <w:numPr>
                <w:ilvl w:val="0"/>
                <w:numId w:val="65"/>
              </w:numPr>
              <w:spacing w:before="0" w:after="0"/>
              <w:ind w:left="357" w:hanging="357"/>
              <w:contextualSpacing/>
              <w:rPr>
                <w:rFonts w:asciiTheme="majorHAnsi" w:hAnsiTheme="majorHAnsi"/>
                <w:sz w:val="16"/>
                <w:szCs w:val="16"/>
              </w:rPr>
            </w:pPr>
            <w:r w:rsidRPr="008935E8">
              <w:rPr>
                <w:rFonts w:asciiTheme="majorHAnsi" w:hAnsiTheme="majorHAnsi"/>
                <w:sz w:val="16"/>
                <w:szCs w:val="16"/>
              </w:rPr>
              <w:t>Zvýšenie konkurencieschopnosti MSP, sektora poľnohospodárstva (v prípade EPFRV) a sektora rybárstva a akvakultúry (v prípade ENRF)</w:t>
            </w:r>
          </w:p>
        </w:tc>
        <w:tc>
          <w:tcPr>
            <w:tcW w:w="2239" w:type="pct"/>
            <w:vAlign w:val="center"/>
          </w:tcPr>
          <w:p w:rsidR="00D426C5" w:rsidRPr="008935E8" w:rsidRDefault="00F14802" w:rsidP="00696E98">
            <w:pPr>
              <w:spacing w:before="0" w:after="0"/>
              <w:jc w:val="center"/>
              <w:rPr>
                <w:rFonts w:asciiTheme="majorHAnsi" w:hAnsiTheme="majorHAnsi"/>
                <w:sz w:val="16"/>
                <w:szCs w:val="16"/>
              </w:rPr>
            </w:pPr>
            <w:r w:rsidRPr="002D13C5">
              <w:rPr>
                <w:rFonts w:ascii="Calibri" w:eastAsia="Times New Roman" w:hAnsi="Calibri"/>
                <w:sz w:val="16"/>
                <w:szCs w:val="16"/>
              </w:rPr>
              <w:t>34 320 041,</w:t>
            </w:r>
            <w:r w:rsidR="00696E98">
              <w:rPr>
                <w:rFonts w:ascii="Calibri" w:eastAsia="Times New Roman" w:hAnsi="Calibri"/>
                <w:sz w:val="16"/>
                <w:szCs w:val="16"/>
              </w:rPr>
              <w:t>9</w:t>
            </w:r>
            <w:r w:rsidRPr="002D13C5">
              <w:rPr>
                <w:rFonts w:ascii="Calibri" w:eastAsia="Times New Roman" w:hAnsi="Calibri"/>
                <w:sz w:val="16"/>
                <w:szCs w:val="16"/>
              </w:rPr>
              <w:t>0</w:t>
            </w:r>
          </w:p>
        </w:tc>
      </w:tr>
      <w:tr w:rsidR="00D426C5" w:rsidRPr="008935E8" w:rsidTr="00BA185A">
        <w:tc>
          <w:tcPr>
            <w:tcW w:w="2761" w:type="pct"/>
          </w:tcPr>
          <w:p w:rsidR="00D426C5" w:rsidRPr="008935E8" w:rsidRDefault="00D426C5" w:rsidP="001C5C9E">
            <w:pPr>
              <w:numPr>
                <w:ilvl w:val="0"/>
                <w:numId w:val="65"/>
              </w:numPr>
              <w:spacing w:before="0" w:after="0"/>
              <w:ind w:left="357" w:hanging="357"/>
              <w:contextualSpacing/>
              <w:rPr>
                <w:rFonts w:asciiTheme="majorHAnsi" w:hAnsiTheme="majorHAnsi"/>
                <w:sz w:val="16"/>
                <w:szCs w:val="16"/>
              </w:rPr>
            </w:pPr>
            <w:r w:rsidRPr="008935E8">
              <w:rPr>
                <w:rFonts w:asciiTheme="majorHAnsi" w:hAnsiTheme="majorHAnsi"/>
                <w:sz w:val="16"/>
                <w:szCs w:val="16"/>
              </w:rPr>
              <w:t>Podpora prechodu na nízkouhlíkové hospodárstvo vo všetkých sektoroch</w:t>
            </w:r>
          </w:p>
        </w:tc>
        <w:tc>
          <w:tcPr>
            <w:tcW w:w="2239" w:type="pct"/>
            <w:vAlign w:val="center"/>
          </w:tcPr>
          <w:p w:rsidR="00D426C5" w:rsidRPr="008935E8" w:rsidRDefault="00F14802" w:rsidP="00CD55DA">
            <w:pPr>
              <w:spacing w:before="0" w:after="0"/>
              <w:jc w:val="center"/>
              <w:rPr>
                <w:rFonts w:asciiTheme="majorHAnsi" w:hAnsiTheme="majorHAnsi"/>
                <w:sz w:val="16"/>
                <w:szCs w:val="16"/>
              </w:rPr>
            </w:pPr>
            <w:r w:rsidRPr="002D13C5">
              <w:rPr>
                <w:rFonts w:ascii="Calibri" w:eastAsia="Times New Roman" w:hAnsi="Calibri"/>
                <w:sz w:val="16"/>
                <w:szCs w:val="16"/>
              </w:rPr>
              <w:t>1 064 526 672,20</w:t>
            </w:r>
          </w:p>
        </w:tc>
      </w:tr>
      <w:tr w:rsidR="00D426C5" w:rsidRPr="008935E8" w:rsidTr="00BA185A">
        <w:tc>
          <w:tcPr>
            <w:tcW w:w="2761" w:type="pct"/>
          </w:tcPr>
          <w:p w:rsidR="00D426C5" w:rsidRPr="008935E8" w:rsidRDefault="00D426C5" w:rsidP="001C5C9E">
            <w:pPr>
              <w:numPr>
                <w:ilvl w:val="0"/>
                <w:numId w:val="65"/>
              </w:numPr>
              <w:spacing w:before="0" w:after="0"/>
              <w:ind w:left="357" w:hanging="357"/>
              <w:contextualSpacing/>
              <w:rPr>
                <w:rFonts w:asciiTheme="majorHAnsi" w:hAnsiTheme="majorHAnsi"/>
                <w:sz w:val="16"/>
                <w:szCs w:val="16"/>
              </w:rPr>
            </w:pPr>
            <w:r w:rsidRPr="008935E8">
              <w:rPr>
                <w:rFonts w:asciiTheme="majorHAnsi" w:hAnsiTheme="majorHAnsi"/>
                <w:sz w:val="16"/>
                <w:szCs w:val="16"/>
              </w:rPr>
              <w:t>Podpora prispôsobovania sa zmene klímy, predchádzanie a riadenie rizika</w:t>
            </w:r>
          </w:p>
        </w:tc>
        <w:tc>
          <w:tcPr>
            <w:tcW w:w="2239" w:type="pct"/>
            <w:vAlign w:val="center"/>
          </w:tcPr>
          <w:p w:rsidR="00D426C5" w:rsidRPr="008935E8" w:rsidRDefault="00F14802" w:rsidP="00CD55DA">
            <w:pPr>
              <w:spacing w:before="0" w:after="0"/>
              <w:jc w:val="center"/>
              <w:rPr>
                <w:rFonts w:asciiTheme="majorHAnsi" w:hAnsiTheme="majorHAnsi"/>
                <w:sz w:val="16"/>
                <w:szCs w:val="16"/>
              </w:rPr>
            </w:pPr>
            <w:r w:rsidRPr="002D13C5">
              <w:rPr>
                <w:rFonts w:ascii="Calibri" w:eastAsia="Times New Roman" w:hAnsi="Calibri"/>
                <w:sz w:val="16"/>
                <w:szCs w:val="16"/>
              </w:rPr>
              <w:t>1 011 291 062,50</w:t>
            </w:r>
          </w:p>
        </w:tc>
      </w:tr>
      <w:tr w:rsidR="00D426C5" w:rsidRPr="008935E8" w:rsidTr="00BA185A">
        <w:tc>
          <w:tcPr>
            <w:tcW w:w="2761" w:type="pct"/>
          </w:tcPr>
          <w:p w:rsidR="00D426C5" w:rsidRPr="008935E8" w:rsidRDefault="00D426C5" w:rsidP="001C5C9E">
            <w:pPr>
              <w:numPr>
                <w:ilvl w:val="0"/>
                <w:numId w:val="65"/>
              </w:numPr>
              <w:spacing w:before="0" w:after="0"/>
              <w:ind w:left="357" w:hanging="357"/>
              <w:contextualSpacing/>
              <w:rPr>
                <w:rFonts w:asciiTheme="majorHAnsi" w:hAnsiTheme="majorHAnsi"/>
                <w:sz w:val="16"/>
                <w:szCs w:val="16"/>
              </w:rPr>
            </w:pPr>
            <w:r w:rsidRPr="008935E8">
              <w:rPr>
                <w:rFonts w:asciiTheme="majorHAnsi" w:hAnsiTheme="majorHAnsi"/>
                <w:sz w:val="16"/>
                <w:szCs w:val="16"/>
              </w:rPr>
              <w:t>Zachovanie a ochrana životného prostredia a podpora efektívneho využívania zdrojov</w:t>
            </w:r>
          </w:p>
        </w:tc>
        <w:tc>
          <w:tcPr>
            <w:tcW w:w="2239" w:type="pct"/>
            <w:vAlign w:val="center"/>
          </w:tcPr>
          <w:p w:rsidR="00D426C5" w:rsidRPr="008935E8" w:rsidRDefault="00696E98" w:rsidP="00CD55DA">
            <w:pPr>
              <w:spacing w:before="0" w:after="0"/>
              <w:jc w:val="center"/>
              <w:rPr>
                <w:rFonts w:asciiTheme="majorHAnsi" w:hAnsiTheme="majorHAnsi"/>
                <w:sz w:val="16"/>
                <w:szCs w:val="16"/>
              </w:rPr>
            </w:pPr>
            <w:r w:rsidRPr="00696E98">
              <w:rPr>
                <w:rFonts w:ascii="Calibri" w:eastAsia="Times New Roman" w:hAnsi="Calibri"/>
                <w:sz w:val="16"/>
                <w:szCs w:val="16"/>
              </w:rPr>
              <w:t>521 077 193,70</w:t>
            </w:r>
          </w:p>
        </w:tc>
      </w:tr>
      <w:tr w:rsidR="00D426C5" w:rsidRPr="008935E8" w:rsidTr="00BA185A">
        <w:tc>
          <w:tcPr>
            <w:tcW w:w="2761" w:type="pct"/>
          </w:tcPr>
          <w:p w:rsidR="00D426C5" w:rsidRPr="008935E8" w:rsidRDefault="00D426C5" w:rsidP="001C5C9E">
            <w:pPr>
              <w:numPr>
                <w:ilvl w:val="0"/>
                <w:numId w:val="65"/>
              </w:numPr>
              <w:spacing w:before="0" w:after="0"/>
              <w:ind w:left="357" w:hanging="357"/>
              <w:contextualSpacing/>
              <w:rPr>
                <w:rFonts w:asciiTheme="majorHAnsi" w:hAnsiTheme="majorHAnsi"/>
                <w:sz w:val="16"/>
                <w:szCs w:val="16"/>
              </w:rPr>
            </w:pPr>
            <w:r w:rsidRPr="008935E8">
              <w:rPr>
                <w:rFonts w:asciiTheme="majorHAnsi" w:hAnsiTheme="majorHAnsi"/>
                <w:sz w:val="16"/>
                <w:szCs w:val="16"/>
              </w:rPr>
              <w:t>Podpora udržateľnej dopravy a odstraňovanie prekážok v kľúčových sieťových infraštruktúrach</w:t>
            </w:r>
          </w:p>
        </w:tc>
        <w:tc>
          <w:tcPr>
            <w:tcW w:w="2239" w:type="pct"/>
            <w:vAlign w:val="center"/>
          </w:tcPr>
          <w:p w:rsidR="00D426C5" w:rsidRPr="008935E8" w:rsidRDefault="00696E98" w:rsidP="00CD55DA">
            <w:pPr>
              <w:spacing w:before="0" w:after="0"/>
              <w:jc w:val="center"/>
              <w:rPr>
                <w:rFonts w:asciiTheme="majorHAnsi" w:hAnsiTheme="majorHAnsi"/>
                <w:sz w:val="16"/>
                <w:szCs w:val="16"/>
              </w:rPr>
            </w:pPr>
            <w:r w:rsidRPr="00696E98">
              <w:rPr>
                <w:rFonts w:ascii="Calibri" w:eastAsia="Times New Roman" w:hAnsi="Calibri"/>
                <w:sz w:val="16"/>
                <w:szCs w:val="16"/>
              </w:rPr>
              <w:t>653 704 177,20</w:t>
            </w:r>
          </w:p>
        </w:tc>
      </w:tr>
      <w:tr w:rsidR="00F14802" w:rsidRPr="008935E8" w:rsidTr="00BA185A">
        <w:tc>
          <w:tcPr>
            <w:tcW w:w="2761" w:type="pct"/>
          </w:tcPr>
          <w:p w:rsidR="00F14802" w:rsidRPr="008935E8" w:rsidRDefault="00F14802" w:rsidP="001C5C9E">
            <w:pPr>
              <w:numPr>
                <w:ilvl w:val="0"/>
                <w:numId w:val="65"/>
              </w:numPr>
              <w:spacing w:before="0" w:after="0"/>
              <w:ind w:left="357" w:hanging="357"/>
              <w:contextualSpacing/>
              <w:rPr>
                <w:rFonts w:asciiTheme="majorHAnsi" w:hAnsiTheme="majorHAnsi"/>
                <w:sz w:val="16"/>
                <w:szCs w:val="16"/>
              </w:rPr>
            </w:pPr>
            <w:r w:rsidRPr="002D13C5">
              <w:rPr>
                <w:rFonts w:ascii="Calibri" w:eastAsia="Times New Roman" w:hAnsi="Calibri"/>
                <w:sz w:val="16"/>
                <w:szCs w:val="16"/>
              </w:rPr>
              <w:t>Podpora udržateľnosti a kvality zamestnanosti a mobility pracovnej sily</w:t>
            </w:r>
          </w:p>
        </w:tc>
        <w:tc>
          <w:tcPr>
            <w:tcW w:w="2239" w:type="pct"/>
            <w:vAlign w:val="center"/>
          </w:tcPr>
          <w:p w:rsidR="00F14802" w:rsidRPr="00F14802" w:rsidRDefault="00F14802" w:rsidP="00CD55DA">
            <w:pPr>
              <w:spacing w:before="0" w:after="0"/>
              <w:jc w:val="center"/>
              <w:rPr>
                <w:rFonts w:ascii="Calibri" w:eastAsia="Times New Roman" w:hAnsi="Calibri"/>
                <w:sz w:val="16"/>
                <w:szCs w:val="16"/>
              </w:rPr>
            </w:pPr>
            <w:r w:rsidRPr="002D13C5">
              <w:rPr>
                <w:rFonts w:ascii="Calibri" w:eastAsia="Times New Roman" w:hAnsi="Calibri"/>
                <w:sz w:val="16"/>
                <w:szCs w:val="16"/>
              </w:rPr>
              <w:t>11 691 371,00</w:t>
            </w:r>
          </w:p>
        </w:tc>
      </w:tr>
      <w:tr w:rsidR="00D426C5" w:rsidRPr="008935E8" w:rsidTr="00BA185A">
        <w:tc>
          <w:tcPr>
            <w:tcW w:w="2761" w:type="pct"/>
            <w:tcBorders>
              <w:bottom w:val="single" w:sz="4" w:space="0" w:color="auto"/>
            </w:tcBorders>
          </w:tcPr>
          <w:p w:rsidR="00D426C5" w:rsidRPr="008935E8" w:rsidRDefault="00D426C5" w:rsidP="001C5C9E">
            <w:pPr>
              <w:numPr>
                <w:ilvl w:val="0"/>
                <w:numId w:val="66"/>
              </w:numPr>
              <w:spacing w:before="0" w:after="0"/>
              <w:ind w:left="357" w:hanging="357"/>
              <w:contextualSpacing/>
              <w:rPr>
                <w:rFonts w:asciiTheme="majorHAnsi" w:hAnsiTheme="majorHAnsi"/>
                <w:sz w:val="16"/>
                <w:szCs w:val="16"/>
              </w:rPr>
            </w:pPr>
            <w:r w:rsidRPr="008935E8">
              <w:rPr>
                <w:rFonts w:asciiTheme="majorHAnsi" w:hAnsiTheme="majorHAnsi"/>
                <w:sz w:val="16"/>
                <w:szCs w:val="16"/>
              </w:rPr>
              <w:t>Podpora sociálneho začlenenia, boj proti chudobe a akejkoľvek diskriminácii</w:t>
            </w:r>
          </w:p>
        </w:tc>
        <w:tc>
          <w:tcPr>
            <w:tcW w:w="2239" w:type="pct"/>
            <w:tcBorders>
              <w:bottom w:val="single" w:sz="4" w:space="0" w:color="auto"/>
            </w:tcBorders>
            <w:vAlign w:val="center"/>
          </w:tcPr>
          <w:p w:rsidR="00D426C5" w:rsidRPr="008935E8" w:rsidRDefault="000E7224" w:rsidP="00CD55DA">
            <w:pPr>
              <w:spacing w:before="0" w:after="0"/>
              <w:jc w:val="center"/>
              <w:rPr>
                <w:rFonts w:asciiTheme="majorHAnsi" w:hAnsiTheme="majorHAnsi"/>
                <w:sz w:val="16"/>
                <w:szCs w:val="16"/>
              </w:rPr>
            </w:pPr>
            <w:r w:rsidRPr="002D13C5">
              <w:rPr>
                <w:rFonts w:ascii="Calibri" w:eastAsia="Times New Roman" w:hAnsi="Calibri"/>
                <w:sz w:val="16"/>
                <w:szCs w:val="16"/>
              </w:rPr>
              <w:t>58 829 865,20</w:t>
            </w:r>
          </w:p>
        </w:tc>
      </w:tr>
      <w:tr w:rsidR="000E7224" w:rsidRPr="008935E8" w:rsidTr="00BA185A">
        <w:tc>
          <w:tcPr>
            <w:tcW w:w="2761" w:type="pct"/>
            <w:tcBorders>
              <w:bottom w:val="single" w:sz="4" w:space="0" w:color="auto"/>
            </w:tcBorders>
          </w:tcPr>
          <w:p w:rsidR="000E7224" w:rsidRPr="008935E8" w:rsidRDefault="000E7224" w:rsidP="001C5C9E">
            <w:pPr>
              <w:numPr>
                <w:ilvl w:val="0"/>
                <w:numId w:val="66"/>
              </w:numPr>
              <w:spacing w:before="0" w:after="0"/>
              <w:ind w:left="357" w:hanging="357"/>
              <w:contextualSpacing/>
              <w:rPr>
                <w:rFonts w:asciiTheme="majorHAnsi" w:hAnsiTheme="majorHAnsi"/>
                <w:sz w:val="16"/>
                <w:szCs w:val="16"/>
              </w:rPr>
            </w:pPr>
            <w:r w:rsidRPr="002D13C5">
              <w:rPr>
                <w:rFonts w:ascii="Calibri" w:eastAsia="Times New Roman" w:hAnsi="Calibri"/>
                <w:sz w:val="16"/>
                <w:szCs w:val="16"/>
              </w:rPr>
              <w:t>Investovanie do vzdelania, školení a odbornej prípravy, ako aj zručností a celoživotného vzdelávania</w:t>
            </w:r>
          </w:p>
        </w:tc>
        <w:tc>
          <w:tcPr>
            <w:tcW w:w="2239" w:type="pct"/>
            <w:tcBorders>
              <w:bottom w:val="single" w:sz="4" w:space="0" w:color="auto"/>
            </w:tcBorders>
            <w:vAlign w:val="center"/>
          </w:tcPr>
          <w:p w:rsidR="000E7224" w:rsidRPr="002D13C5" w:rsidRDefault="000E7224" w:rsidP="00CD55DA">
            <w:pPr>
              <w:spacing w:before="0" w:after="0"/>
              <w:jc w:val="center"/>
              <w:rPr>
                <w:rFonts w:ascii="Calibri" w:eastAsia="Times New Roman" w:hAnsi="Calibri"/>
                <w:sz w:val="16"/>
                <w:szCs w:val="16"/>
              </w:rPr>
            </w:pPr>
            <w:r w:rsidRPr="002D13C5">
              <w:rPr>
                <w:rFonts w:ascii="Calibri" w:eastAsia="Times New Roman" w:hAnsi="Calibri"/>
                <w:sz w:val="16"/>
                <w:szCs w:val="16"/>
              </w:rPr>
              <w:t>14 224 087,78</w:t>
            </w:r>
          </w:p>
        </w:tc>
      </w:tr>
      <w:tr w:rsidR="00D426C5" w:rsidRPr="008935E8" w:rsidTr="00BA185A">
        <w:tc>
          <w:tcPr>
            <w:tcW w:w="2761" w:type="pct"/>
            <w:shd w:val="clear" w:color="auto" w:fill="D9D9D9" w:themeFill="background1" w:themeFillShade="D9"/>
          </w:tcPr>
          <w:p w:rsidR="00D426C5" w:rsidRPr="008935E8" w:rsidRDefault="00D426C5" w:rsidP="008935E8">
            <w:pPr>
              <w:spacing w:before="0" w:after="0"/>
              <w:rPr>
                <w:rFonts w:asciiTheme="majorHAnsi" w:hAnsiTheme="majorHAnsi"/>
                <w:b/>
                <w:sz w:val="16"/>
                <w:szCs w:val="16"/>
              </w:rPr>
            </w:pPr>
            <w:r w:rsidRPr="008935E8">
              <w:rPr>
                <w:rFonts w:asciiTheme="majorHAnsi" w:hAnsiTheme="majorHAnsi"/>
                <w:b/>
                <w:sz w:val="16"/>
                <w:szCs w:val="16"/>
              </w:rPr>
              <w:t>CELKOM:</w:t>
            </w:r>
          </w:p>
        </w:tc>
        <w:tc>
          <w:tcPr>
            <w:tcW w:w="2239" w:type="pct"/>
            <w:shd w:val="clear" w:color="auto" w:fill="D9D9D9" w:themeFill="background1" w:themeFillShade="D9"/>
            <w:vAlign w:val="center"/>
          </w:tcPr>
          <w:p w:rsidR="00696E98" w:rsidRPr="00696E98" w:rsidRDefault="00696E98" w:rsidP="00696E98">
            <w:pPr>
              <w:spacing w:before="0" w:after="0"/>
              <w:jc w:val="center"/>
              <w:rPr>
                <w:rFonts w:ascii="Calibri" w:eastAsia="Times New Roman" w:hAnsi="Calibri"/>
                <w:b/>
                <w:sz w:val="16"/>
                <w:szCs w:val="16"/>
              </w:rPr>
            </w:pPr>
            <w:r w:rsidRPr="00696E98">
              <w:rPr>
                <w:rFonts w:ascii="Calibri" w:eastAsia="Times New Roman" w:hAnsi="Calibri"/>
                <w:b/>
                <w:sz w:val="16"/>
                <w:szCs w:val="16"/>
              </w:rPr>
              <w:t>3 401 529 847,78</w:t>
            </w:r>
          </w:p>
          <w:p w:rsidR="00D426C5" w:rsidRPr="008935E8" w:rsidRDefault="00D426C5" w:rsidP="00803D6A">
            <w:pPr>
              <w:spacing w:before="0" w:after="0"/>
              <w:jc w:val="center"/>
              <w:rPr>
                <w:rFonts w:asciiTheme="majorHAnsi" w:hAnsiTheme="majorHAnsi"/>
                <w:sz w:val="16"/>
                <w:szCs w:val="16"/>
              </w:rPr>
            </w:pPr>
          </w:p>
        </w:tc>
      </w:tr>
    </w:tbl>
    <w:p w:rsidR="00D426C5" w:rsidRDefault="00D426C5" w:rsidP="00D426C5">
      <w:pPr>
        <w:rPr>
          <w:rFonts w:asciiTheme="majorHAnsi" w:hAnsiTheme="majorHAnsi"/>
        </w:rPr>
      </w:pPr>
      <w:r w:rsidRPr="003B0DCA">
        <w:rPr>
          <w:rFonts w:asciiTheme="majorHAnsi" w:hAnsiTheme="majorHAnsi"/>
          <w:sz w:val="16"/>
          <w:szCs w:val="16"/>
        </w:rPr>
        <w:t>*</w:t>
      </w:r>
      <w:r>
        <w:rPr>
          <w:rFonts w:asciiTheme="majorHAnsi" w:hAnsiTheme="majorHAnsi"/>
          <w:sz w:val="16"/>
          <w:szCs w:val="16"/>
        </w:rPr>
        <w:t xml:space="preserve"> cieľ súvisiaci so zmenou klímy je stanovený ako </w:t>
      </w:r>
      <w:r w:rsidRPr="00E5366A">
        <w:rPr>
          <w:rFonts w:asciiTheme="majorHAnsi" w:hAnsiTheme="majorHAnsi"/>
          <w:sz w:val="16"/>
          <w:szCs w:val="16"/>
        </w:rPr>
        <w:t>%-n</w:t>
      </w:r>
      <w:r>
        <w:rPr>
          <w:rFonts w:asciiTheme="majorHAnsi" w:hAnsiTheme="majorHAnsi"/>
          <w:sz w:val="16"/>
          <w:szCs w:val="16"/>
        </w:rPr>
        <w:t>ý</w:t>
      </w:r>
      <w:r w:rsidRPr="00E5366A">
        <w:rPr>
          <w:rFonts w:asciiTheme="majorHAnsi" w:hAnsiTheme="majorHAnsi"/>
          <w:sz w:val="16"/>
          <w:szCs w:val="16"/>
        </w:rPr>
        <w:t xml:space="preserve"> podiel z</w:t>
      </w:r>
      <w:r>
        <w:rPr>
          <w:rFonts w:asciiTheme="majorHAnsi" w:hAnsiTheme="majorHAnsi"/>
          <w:sz w:val="16"/>
          <w:szCs w:val="16"/>
        </w:rPr>
        <w:t> celkových oprávnených výdavkov týkajúcich sa zmeny klímy na celkovej alokácii na národnej úrovni</w:t>
      </w:r>
    </w:p>
    <w:p w:rsidR="00E17A32" w:rsidRPr="006A31EB" w:rsidRDefault="00391F91" w:rsidP="0027382A">
      <w:pPr>
        <w:pStyle w:val="Popis"/>
        <w:keepNext/>
        <w:spacing w:before="240" w:after="0"/>
        <w:rPr>
          <w:rFonts w:asciiTheme="majorHAnsi" w:hAnsiTheme="majorHAnsi"/>
          <w:sz w:val="18"/>
          <w:szCs w:val="18"/>
        </w:rPr>
      </w:pPr>
      <w:r w:rsidRPr="0045695F">
        <w:rPr>
          <w:rFonts w:asciiTheme="majorHAnsi" w:hAnsiTheme="majorHAnsi"/>
          <w:b w:val="0"/>
          <w:bCs w:val="0"/>
          <w:sz w:val="18"/>
          <w:szCs w:val="18"/>
        </w:rPr>
        <w:t xml:space="preserve">Tabuľka </w:t>
      </w:r>
      <w:r w:rsidR="00EB74F8" w:rsidRPr="0045695F">
        <w:rPr>
          <w:rFonts w:asciiTheme="majorHAnsi" w:hAnsiTheme="majorHAnsi"/>
          <w:b w:val="0"/>
          <w:bCs w:val="0"/>
          <w:sz w:val="18"/>
          <w:szCs w:val="18"/>
        </w:rPr>
        <w:t>2</w:t>
      </w:r>
      <w:r w:rsidRPr="0045695F">
        <w:rPr>
          <w:rFonts w:asciiTheme="majorHAnsi" w:hAnsiTheme="majorHAnsi"/>
          <w:b w:val="0"/>
          <w:bCs w:val="0"/>
          <w:sz w:val="18"/>
          <w:szCs w:val="18"/>
        </w:rPr>
        <w:t>: Indikatívne rozdelenie podpory Únie podľa tematického cieľa na národnej úrovni pre každý z EŠIF (EUR</w:t>
      </w:r>
      <w:r w:rsidRPr="006A31EB">
        <w:rPr>
          <w:rFonts w:asciiTheme="majorHAnsi" w:hAnsiTheme="majorHAnsi"/>
          <w:b w:val="0"/>
          <w:bCs w:val="0"/>
          <w:sz w:val="18"/>
          <w:szCs w:val="18"/>
        </w:rPr>
        <w:t>)</w:t>
      </w:r>
      <w:r w:rsidR="00A10CE3" w:rsidRPr="00F7357F">
        <w:rPr>
          <w:rFonts w:asciiTheme="majorHAnsi" w:hAnsiTheme="majorHAnsi"/>
          <w:b w:val="0"/>
          <w:bCs w:val="0"/>
          <w:sz w:val="18"/>
          <w:szCs w:val="18"/>
        </w:rPr>
        <w:t xml:space="preserve"> </w:t>
      </w:r>
      <w:r w:rsidR="00A10CE3" w:rsidRPr="00F7357F">
        <w:rPr>
          <w:rFonts w:asciiTheme="majorHAnsi" w:hAnsiTheme="majorHAnsi"/>
          <w:b w:val="0"/>
          <w:bCs w:val="0"/>
          <w:sz w:val="18"/>
          <w:szCs w:val="18"/>
        </w:rPr>
        <w:br/>
      </w:r>
      <w:r w:rsidR="00E17A32" w:rsidRPr="006A31EB">
        <w:rPr>
          <w:rFonts w:asciiTheme="majorHAnsi" w:hAnsiTheme="majorHAnsi"/>
          <w:b w:val="0"/>
          <w:bCs w:val="0"/>
          <w:sz w:val="18"/>
          <w:szCs w:val="18"/>
        </w:rPr>
        <w:t>(celková podpora Únie, vrátane výkonnostnej rezervy)</w:t>
      </w:r>
    </w:p>
    <w:tbl>
      <w:tblPr>
        <w:tblW w:w="496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85" w:type="dxa"/>
          <w:bottom w:w="85" w:type="dxa"/>
        </w:tblCellMar>
        <w:tblLook w:val="0000" w:firstRow="0" w:lastRow="0" w:firstColumn="0" w:lastColumn="0" w:noHBand="0" w:noVBand="0"/>
      </w:tblPr>
      <w:tblGrid>
        <w:gridCol w:w="2114"/>
        <w:gridCol w:w="1156"/>
        <w:gridCol w:w="1253"/>
        <w:gridCol w:w="1174"/>
        <w:gridCol w:w="1221"/>
        <w:gridCol w:w="986"/>
        <w:gridCol w:w="1308"/>
      </w:tblGrid>
      <w:tr w:rsidR="008A4546" w:rsidRPr="00A11FE0" w:rsidTr="004274FF">
        <w:trPr>
          <w:trHeight w:val="285"/>
          <w:tblHeader/>
          <w:jc w:val="center"/>
        </w:trPr>
        <w:tc>
          <w:tcPr>
            <w:tcW w:w="1154" w:type="pct"/>
            <w:tcBorders>
              <w:top w:val="double" w:sz="4" w:space="0" w:color="auto"/>
            </w:tcBorders>
            <w:shd w:val="clear" w:color="auto" w:fill="D9D9D9"/>
          </w:tcPr>
          <w:p w:rsidR="00391F91" w:rsidRPr="00A11FE0" w:rsidRDefault="00391F91" w:rsidP="00D275D1">
            <w:pPr>
              <w:pStyle w:val="Nadpis3"/>
              <w:numPr>
                <w:ilvl w:val="0"/>
                <w:numId w:val="0"/>
              </w:numPr>
              <w:ind w:left="720" w:hanging="720"/>
              <w:rPr>
                <w:b w:val="0"/>
                <w:sz w:val="16"/>
                <w:szCs w:val="16"/>
              </w:rPr>
            </w:pPr>
          </w:p>
        </w:tc>
        <w:tc>
          <w:tcPr>
            <w:tcW w:w="634" w:type="pct"/>
            <w:tcBorders>
              <w:top w:val="double" w:sz="4" w:space="0" w:color="auto"/>
            </w:tcBorders>
            <w:shd w:val="clear" w:color="auto" w:fill="D9D9D9"/>
            <w:vAlign w:val="center"/>
          </w:tcPr>
          <w:p w:rsidR="00391F91" w:rsidRPr="00A11FE0" w:rsidRDefault="00391F91" w:rsidP="00D275D1">
            <w:pPr>
              <w:snapToGrid w:val="0"/>
              <w:spacing w:after="0"/>
              <w:jc w:val="center"/>
              <w:rPr>
                <w:rFonts w:asciiTheme="majorHAnsi" w:hAnsiTheme="majorHAnsi"/>
                <w:b/>
                <w:sz w:val="16"/>
                <w:szCs w:val="16"/>
              </w:rPr>
            </w:pPr>
            <w:r w:rsidRPr="00A11FE0">
              <w:rPr>
                <w:rFonts w:asciiTheme="majorHAnsi" w:hAnsiTheme="majorHAnsi"/>
                <w:b/>
                <w:sz w:val="16"/>
                <w:szCs w:val="16"/>
              </w:rPr>
              <w:t>EFRR</w:t>
            </w:r>
          </w:p>
        </w:tc>
        <w:tc>
          <w:tcPr>
            <w:tcW w:w="686" w:type="pct"/>
            <w:tcBorders>
              <w:top w:val="double" w:sz="4" w:space="0" w:color="auto"/>
            </w:tcBorders>
            <w:shd w:val="clear" w:color="auto" w:fill="D9D9D9"/>
            <w:vAlign w:val="center"/>
          </w:tcPr>
          <w:p w:rsidR="00391F91" w:rsidRPr="00A11FE0" w:rsidRDefault="00391F91" w:rsidP="00D275D1">
            <w:pPr>
              <w:snapToGrid w:val="0"/>
              <w:spacing w:after="0"/>
              <w:jc w:val="center"/>
              <w:rPr>
                <w:rFonts w:asciiTheme="majorHAnsi" w:hAnsiTheme="majorHAnsi"/>
                <w:b/>
                <w:sz w:val="16"/>
                <w:szCs w:val="16"/>
              </w:rPr>
            </w:pPr>
            <w:r w:rsidRPr="00A11FE0">
              <w:rPr>
                <w:rFonts w:asciiTheme="majorHAnsi" w:hAnsiTheme="majorHAnsi"/>
                <w:b/>
                <w:sz w:val="16"/>
                <w:szCs w:val="16"/>
              </w:rPr>
              <w:t>ESF</w:t>
            </w:r>
          </w:p>
        </w:tc>
        <w:tc>
          <w:tcPr>
            <w:tcW w:w="643" w:type="pct"/>
            <w:tcBorders>
              <w:top w:val="double" w:sz="4" w:space="0" w:color="auto"/>
            </w:tcBorders>
            <w:shd w:val="clear" w:color="auto" w:fill="D9D9D9"/>
            <w:vAlign w:val="center"/>
          </w:tcPr>
          <w:p w:rsidR="00391F91" w:rsidRPr="00A11FE0" w:rsidRDefault="00391F91" w:rsidP="00D275D1">
            <w:pPr>
              <w:snapToGrid w:val="0"/>
              <w:spacing w:after="0"/>
              <w:jc w:val="center"/>
              <w:rPr>
                <w:rFonts w:asciiTheme="majorHAnsi" w:hAnsiTheme="majorHAnsi"/>
                <w:b/>
                <w:sz w:val="16"/>
                <w:szCs w:val="16"/>
              </w:rPr>
            </w:pPr>
            <w:r>
              <w:rPr>
                <w:rFonts w:asciiTheme="majorHAnsi" w:hAnsiTheme="majorHAnsi"/>
                <w:b/>
                <w:sz w:val="16"/>
                <w:szCs w:val="16"/>
              </w:rPr>
              <w:t>K</w:t>
            </w:r>
            <w:r w:rsidRPr="00A11FE0">
              <w:rPr>
                <w:rFonts w:asciiTheme="majorHAnsi" w:hAnsiTheme="majorHAnsi"/>
                <w:b/>
                <w:sz w:val="16"/>
                <w:szCs w:val="16"/>
              </w:rPr>
              <w:t>F</w:t>
            </w:r>
          </w:p>
        </w:tc>
        <w:tc>
          <w:tcPr>
            <w:tcW w:w="626" w:type="pct"/>
            <w:tcBorders>
              <w:top w:val="double" w:sz="4" w:space="0" w:color="auto"/>
            </w:tcBorders>
            <w:shd w:val="clear" w:color="auto" w:fill="D9D9D9"/>
            <w:vAlign w:val="center"/>
          </w:tcPr>
          <w:p w:rsidR="00391F91" w:rsidRPr="00A11FE0" w:rsidRDefault="00391F91" w:rsidP="00D275D1">
            <w:pPr>
              <w:snapToGrid w:val="0"/>
              <w:spacing w:after="0"/>
              <w:jc w:val="center"/>
              <w:rPr>
                <w:rFonts w:asciiTheme="majorHAnsi" w:hAnsiTheme="majorHAnsi"/>
                <w:b/>
                <w:sz w:val="16"/>
                <w:szCs w:val="16"/>
              </w:rPr>
            </w:pPr>
            <w:r w:rsidRPr="00A11FE0">
              <w:rPr>
                <w:rFonts w:asciiTheme="majorHAnsi" w:hAnsiTheme="majorHAnsi"/>
                <w:b/>
                <w:sz w:val="16"/>
                <w:szCs w:val="16"/>
              </w:rPr>
              <w:t>EPFRV</w:t>
            </w:r>
          </w:p>
        </w:tc>
        <w:tc>
          <w:tcPr>
            <w:tcW w:w="541" w:type="pct"/>
            <w:tcBorders>
              <w:top w:val="double" w:sz="4" w:space="0" w:color="auto"/>
            </w:tcBorders>
            <w:shd w:val="clear" w:color="auto" w:fill="D9D9D9"/>
            <w:vAlign w:val="center"/>
          </w:tcPr>
          <w:p w:rsidR="00391F91" w:rsidRPr="00A11FE0" w:rsidRDefault="00391F91" w:rsidP="00667938">
            <w:pPr>
              <w:snapToGrid w:val="0"/>
              <w:spacing w:after="0"/>
              <w:jc w:val="center"/>
              <w:rPr>
                <w:rFonts w:asciiTheme="majorHAnsi" w:hAnsiTheme="majorHAnsi"/>
                <w:b/>
                <w:sz w:val="16"/>
                <w:szCs w:val="16"/>
              </w:rPr>
            </w:pPr>
            <w:r w:rsidRPr="00A11FE0">
              <w:rPr>
                <w:rFonts w:asciiTheme="majorHAnsi" w:hAnsiTheme="majorHAnsi"/>
                <w:b/>
                <w:sz w:val="16"/>
                <w:szCs w:val="16"/>
              </w:rPr>
              <w:t>ENRF</w:t>
            </w:r>
          </w:p>
        </w:tc>
        <w:tc>
          <w:tcPr>
            <w:tcW w:w="718" w:type="pct"/>
            <w:tcBorders>
              <w:top w:val="double" w:sz="4" w:space="0" w:color="auto"/>
            </w:tcBorders>
            <w:shd w:val="clear" w:color="auto" w:fill="D9D9D9"/>
            <w:vAlign w:val="center"/>
          </w:tcPr>
          <w:p w:rsidR="00391F91" w:rsidRPr="00A11FE0" w:rsidRDefault="00391F91" w:rsidP="00D275D1">
            <w:pPr>
              <w:snapToGrid w:val="0"/>
              <w:spacing w:after="0"/>
              <w:jc w:val="center"/>
              <w:rPr>
                <w:rFonts w:asciiTheme="majorHAnsi" w:hAnsiTheme="majorHAnsi"/>
                <w:b/>
                <w:sz w:val="16"/>
                <w:szCs w:val="16"/>
              </w:rPr>
            </w:pPr>
            <w:r w:rsidRPr="00A11FE0">
              <w:rPr>
                <w:rFonts w:asciiTheme="majorHAnsi" w:hAnsiTheme="majorHAnsi"/>
                <w:b/>
                <w:sz w:val="16"/>
                <w:szCs w:val="16"/>
              </w:rPr>
              <w:t>CELKOM</w:t>
            </w:r>
          </w:p>
        </w:tc>
      </w:tr>
      <w:tr w:rsidR="005D0D2A" w:rsidRPr="00A11FE0" w:rsidTr="004274FF">
        <w:trPr>
          <w:trHeight w:val="285"/>
          <w:jc w:val="center"/>
        </w:trPr>
        <w:tc>
          <w:tcPr>
            <w:tcW w:w="1154" w:type="pct"/>
            <w:shd w:val="clear" w:color="auto" w:fill="F2F2F2"/>
          </w:tcPr>
          <w:p w:rsidR="00391F91" w:rsidRPr="00A11FE0" w:rsidRDefault="00391F91" w:rsidP="00D275D1">
            <w:pPr>
              <w:snapToGrid w:val="0"/>
              <w:spacing w:after="0"/>
              <w:rPr>
                <w:rFonts w:asciiTheme="majorHAnsi" w:hAnsiTheme="majorHAnsi"/>
                <w:sz w:val="16"/>
                <w:szCs w:val="16"/>
              </w:rPr>
            </w:pPr>
            <w:r w:rsidRPr="00A11FE0">
              <w:rPr>
                <w:rFonts w:asciiTheme="majorHAnsi" w:hAnsiTheme="majorHAnsi"/>
                <w:noProof/>
                <w:sz w:val="16"/>
                <w:szCs w:val="16"/>
              </w:rPr>
              <w:t>1.</w:t>
            </w:r>
            <w:r w:rsidR="00B52465">
              <w:rPr>
                <w:rFonts w:asciiTheme="majorHAnsi" w:hAnsiTheme="majorHAnsi"/>
                <w:noProof/>
                <w:sz w:val="16"/>
                <w:szCs w:val="16"/>
              </w:rPr>
              <w:t xml:space="preserve"> </w:t>
            </w:r>
            <w:r w:rsidRPr="00A11FE0">
              <w:rPr>
                <w:rFonts w:asciiTheme="majorHAnsi" w:hAnsiTheme="majorHAnsi"/>
                <w:noProof/>
                <w:sz w:val="16"/>
                <w:szCs w:val="16"/>
              </w:rPr>
              <w:t xml:space="preserve">Posilnenie výskumu, technologického rozvoja </w:t>
            </w:r>
            <w:r>
              <w:rPr>
                <w:rFonts w:asciiTheme="majorHAnsi" w:hAnsiTheme="majorHAnsi"/>
                <w:noProof/>
                <w:sz w:val="16"/>
                <w:szCs w:val="16"/>
              </w:rPr>
              <w:t>a</w:t>
            </w:r>
            <w:r w:rsidRPr="00A11FE0">
              <w:rPr>
                <w:rFonts w:asciiTheme="majorHAnsi" w:hAnsiTheme="majorHAnsi"/>
                <w:noProof/>
                <w:sz w:val="16"/>
                <w:szCs w:val="16"/>
              </w:rPr>
              <w:t xml:space="preserve"> inováci</w:t>
            </w:r>
            <w:r>
              <w:rPr>
                <w:rFonts w:asciiTheme="majorHAnsi" w:hAnsiTheme="majorHAnsi"/>
                <w:noProof/>
                <w:sz w:val="16"/>
                <w:szCs w:val="16"/>
              </w:rPr>
              <w:t>í</w:t>
            </w:r>
          </w:p>
        </w:tc>
        <w:tc>
          <w:tcPr>
            <w:tcW w:w="634" w:type="pct"/>
            <w:vAlign w:val="center"/>
          </w:tcPr>
          <w:p w:rsidR="00391F91" w:rsidRPr="00A11FE0" w:rsidRDefault="00A4033D" w:rsidP="0064076C">
            <w:pPr>
              <w:snapToGrid w:val="0"/>
              <w:spacing w:after="0"/>
              <w:jc w:val="center"/>
              <w:rPr>
                <w:rFonts w:asciiTheme="majorHAnsi" w:hAnsiTheme="majorHAnsi"/>
                <w:sz w:val="16"/>
                <w:szCs w:val="16"/>
              </w:rPr>
            </w:pPr>
            <w:r w:rsidRPr="000D4590">
              <w:rPr>
                <w:rFonts w:ascii="Calibri" w:eastAsia="Times New Roman" w:hAnsi="Calibri"/>
                <w:color w:val="000000"/>
                <w:sz w:val="16"/>
                <w:szCs w:val="16"/>
                <w:lang w:eastAsia="sk-SK"/>
              </w:rPr>
              <w:t>1 759 985</w:t>
            </w:r>
            <w:r w:rsidR="00361CFB">
              <w:rPr>
                <w:rFonts w:ascii="Calibri" w:eastAsia="Times New Roman" w:hAnsi="Calibri"/>
                <w:color w:val="000000"/>
                <w:sz w:val="16"/>
                <w:szCs w:val="16"/>
                <w:lang w:eastAsia="sk-SK"/>
              </w:rPr>
              <w:t> </w:t>
            </w:r>
            <w:r w:rsidRPr="000D4590">
              <w:rPr>
                <w:rFonts w:ascii="Calibri" w:eastAsia="Times New Roman" w:hAnsi="Calibri"/>
                <w:color w:val="000000"/>
                <w:sz w:val="16"/>
                <w:szCs w:val="16"/>
                <w:lang w:eastAsia="sk-SK"/>
              </w:rPr>
              <w:t>473</w:t>
            </w:r>
            <w:r w:rsidR="00361CFB">
              <w:rPr>
                <w:rFonts w:ascii="Calibri" w:eastAsia="Times New Roman" w:hAnsi="Calibri"/>
                <w:color w:val="000000"/>
                <w:sz w:val="16"/>
                <w:szCs w:val="16"/>
                <w:lang w:eastAsia="sk-SK"/>
              </w:rPr>
              <w:t xml:space="preserve"> </w:t>
            </w:r>
          </w:p>
        </w:tc>
        <w:tc>
          <w:tcPr>
            <w:tcW w:w="686" w:type="pct"/>
            <w:vAlign w:val="center"/>
          </w:tcPr>
          <w:p w:rsidR="00391F91" w:rsidRPr="00A11FE0" w:rsidRDefault="00391F91" w:rsidP="0064076C">
            <w:pPr>
              <w:snapToGrid w:val="0"/>
              <w:spacing w:after="0"/>
              <w:jc w:val="center"/>
              <w:rPr>
                <w:rFonts w:asciiTheme="majorHAnsi" w:hAnsiTheme="majorHAnsi"/>
                <w:sz w:val="16"/>
                <w:szCs w:val="16"/>
              </w:rPr>
            </w:pPr>
          </w:p>
        </w:tc>
        <w:tc>
          <w:tcPr>
            <w:tcW w:w="643" w:type="pct"/>
            <w:vAlign w:val="center"/>
          </w:tcPr>
          <w:p w:rsidR="00391F91" w:rsidRPr="00A11FE0" w:rsidRDefault="00391F91" w:rsidP="0064076C">
            <w:pPr>
              <w:snapToGrid w:val="0"/>
              <w:spacing w:after="0"/>
              <w:jc w:val="center"/>
              <w:rPr>
                <w:rFonts w:asciiTheme="majorHAnsi" w:hAnsiTheme="majorHAnsi"/>
                <w:sz w:val="16"/>
                <w:szCs w:val="16"/>
              </w:rPr>
            </w:pPr>
          </w:p>
        </w:tc>
        <w:tc>
          <w:tcPr>
            <w:tcW w:w="626" w:type="pct"/>
            <w:vAlign w:val="center"/>
          </w:tcPr>
          <w:p w:rsidR="00391F91" w:rsidRPr="00A11FE0" w:rsidRDefault="00A4033D" w:rsidP="0064076C">
            <w:pPr>
              <w:snapToGrid w:val="0"/>
              <w:spacing w:after="0"/>
              <w:jc w:val="center"/>
              <w:rPr>
                <w:rFonts w:asciiTheme="majorHAnsi" w:hAnsiTheme="majorHAnsi"/>
                <w:sz w:val="16"/>
                <w:szCs w:val="16"/>
              </w:rPr>
            </w:pPr>
            <w:r w:rsidRPr="000D4590">
              <w:rPr>
                <w:rFonts w:ascii="Calibri" w:eastAsia="MS Mincho" w:hAnsi="Calibri"/>
                <w:color w:val="000000"/>
                <w:sz w:val="16"/>
                <w:szCs w:val="16"/>
              </w:rPr>
              <w:t>38 822</w:t>
            </w:r>
            <w:r w:rsidR="00361CFB">
              <w:rPr>
                <w:rFonts w:ascii="Calibri" w:eastAsia="MS Mincho" w:hAnsi="Calibri"/>
                <w:color w:val="000000"/>
                <w:sz w:val="16"/>
                <w:szCs w:val="16"/>
              </w:rPr>
              <w:t> </w:t>
            </w:r>
            <w:r w:rsidRPr="000D4590">
              <w:rPr>
                <w:rFonts w:ascii="Calibri" w:eastAsia="MS Mincho" w:hAnsi="Calibri"/>
                <w:color w:val="000000"/>
                <w:sz w:val="16"/>
                <w:szCs w:val="16"/>
              </w:rPr>
              <w:t>580</w:t>
            </w:r>
            <w:r w:rsidR="00361CFB">
              <w:rPr>
                <w:rFonts w:ascii="Calibri" w:eastAsia="MS Mincho" w:hAnsi="Calibri"/>
                <w:color w:val="000000"/>
                <w:sz w:val="16"/>
                <w:szCs w:val="16"/>
              </w:rPr>
              <w:t xml:space="preserve"> </w:t>
            </w:r>
          </w:p>
        </w:tc>
        <w:tc>
          <w:tcPr>
            <w:tcW w:w="541" w:type="pct"/>
            <w:vAlign w:val="center"/>
          </w:tcPr>
          <w:p w:rsidR="00391F91" w:rsidRPr="00A11FE0" w:rsidRDefault="00391F91" w:rsidP="0064076C">
            <w:pPr>
              <w:snapToGrid w:val="0"/>
              <w:spacing w:after="0"/>
              <w:jc w:val="center"/>
              <w:rPr>
                <w:rFonts w:asciiTheme="majorHAnsi" w:hAnsiTheme="majorHAnsi"/>
                <w:sz w:val="16"/>
                <w:szCs w:val="16"/>
              </w:rPr>
            </w:pPr>
          </w:p>
        </w:tc>
        <w:tc>
          <w:tcPr>
            <w:tcW w:w="718" w:type="pct"/>
            <w:vAlign w:val="center"/>
          </w:tcPr>
          <w:p w:rsidR="00391F91" w:rsidRPr="00EB74F8" w:rsidRDefault="00A4033D" w:rsidP="0064076C">
            <w:pPr>
              <w:snapToGrid w:val="0"/>
              <w:spacing w:after="0"/>
              <w:jc w:val="center"/>
              <w:rPr>
                <w:rFonts w:asciiTheme="majorHAnsi" w:hAnsiTheme="majorHAnsi"/>
                <w:sz w:val="16"/>
                <w:szCs w:val="16"/>
                <w:highlight w:val="yellow"/>
              </w:rPr>
            </w:pPr>
            <w:r w:rsidRPr="000D4590">
              <w:rPr>
                <w:rFonts w:ascii="Calibri" w:eastAsia="Times New Roman" w:hAnsi="Calibri"/>
                <w:color w:val="000000"/>
                <w:sz w:val="16"/>
                <w:szCs w:val="16"/>
                <w:lang w:eastAsia="sk-SK"/>
              </w:rPr>
              <w:t>1 798 808</w:t>
            </w:r>
            <w:r w:rsidR="00361CFB">
              <w:rPr>
                <w:rFonts w:ascii="Calibri" w:eastAsia="Times New Roman" w:hAnsi="Calibri"/>
                <w:color w:val="000000"/>
                <w:sz w:val="16"/>
                <w:szCs w:val="16"/>
                <w:lang w:eastAsia="sk-SK"/>
              </w:rPr>
              <w:t> </w:t>
            </w:r>
            <w:r w:rsidRPr="000D4590">
              <w:rPr>
                <w:rFonts w:ascii="Calibri" w:eastAsia="Times New Roman" w:hAnsi="Calibri"/>
                <w:color w:val="000000"/>
                <w:sz w:val="16"/>
                <w:szCs w:val="16"/>
                <w:lang w:eastAsia="sk-SK"/>
              </w:rPr>
              <w:t>053</w:t>
            </w:r>
            <w:r w:rsidR="00361CFB">
              <w:rPr>
                <w:rFonts w:ascii="Calibri" w:eastAsia="Times New Roman" w:hAnsi="Calibri"/>
                <w:color w:val="000000"/>
                <w:sz w:val="16"/>
                <w:szCs w:val="16"/>
                <w:lang w:eastAsia="sk-SK"/>
              </w:rPr>
              <w:t xml:space="preserve"> </w:t>
            </w:r>
          </w:p>
        </w:tc>
      </w:tr>
      <w:tr w:rsidR="005D0D2A" w:rsidRPr="00A11FE0" w:rsidTr="004274FF">
        <w:trPr>
          <w:trHeight w:val="285"/>
          <w:jc w:val="center"/>
        </w:trPr>
        <w:tc>
          <w:tcPr>
            <w:tcW w:w="1154" w:type="pct"/>
            <w:shd w:val="clear" w:color="auto" w:fill="F2F2F2"/>
          </w:tcPr>
          <w:p w:rsidR="00391F91" w:rsidRPr="00A11FE0" w:rsidRDefault="00391F91" w:rsidP="00D275D1">
            <w:pPr>
              <w:snapToGrid w:val="0"/>
              <w:spacing w:after="0"/>
              <w:rPr>
                <w:rFonts w:asciiTheme="majorHAnsi" w:hAnsiTheme="majorHAnsi"/>
                <w:sz w:val="16"/>
                <w:szCs w:val="16"/>
              </w:rPr>
            </w:pPr>
            <w:r w:rsidRPr="00A11FE0">
              <w:rPr>
                <w:rFonts w:asciiTheme="majorHAnsi" w:hAnsiTheme="majorHAnsi"/>
                <w:noProof/>
                <w:sz w:val="16"/>
                <w:szCs w:val="16"/>
              </w:rPr>
              <w:t>2.</w:t>
            </w:r>
            <w:r w:rsidR="00B52465">
              <w:rPr>
                <w:rFonts w:asciiTheme="majorHAnsi" w:hAnsiTheme="majorHAnsi"/>
                <w:noProof/>
                <w:sz w:val="16"/>
                <w:szCs w:val="16"/>
              </w:rPr>
              <w:t xml:space="preserve"> </w:t>
            </w:r>
            <w:r w:rsidRPr="00A11FE0">
              <w:rPr>
                <w:rFonts w:asciiTheme="majorHAnsi" w:hAnsiTheme="majorHAnsi"/>
                <w:noProof/>
                <w:sz w:val="16"/>
                <w:szCs w:val="16"/>
              </w:rPr>
              <w:t xml:space="preserve">Zlepšenie prístupu </w:t>
            </w:r>
            <w:r>
              <w:rPr>
                <w:rFonts w:asciiTheme="majorHAnsi" w:hAnsiTheme="majorHAnsi"/>
                <w:noProof/>
                <w:sz w:val="16"/>
                <w:szCs w:val="16"/>
              </w:rPr>
              <w:t>k</w:t>
            </w:r>
            <w:r w:rsidRPr="00A11FE0">
              <w:rPr>
                <w:rFonts w:asciiTheme="majorHAnsi" w:hAnsiTheme="majorHAnsi"/>
                <w:noProof/>
                <w:sz w:val="16"/>
                <w:szCs w:val="16"/>
              </w:rPr>
              <w:t xml:space="preserve"> informáciám </w:t>
            </w:r>
            <w:r>
              <w:rPr>
                <w:rFonts w:asciiTheme="majorHAnsi" w:hAnsiTheme="majorHAnsi"/>
                <w:noProof/>
                <w:sz w:val="16"/>
                <w:szCs w:val="16"/>
              </w:rPr>
              <w:t>a</w:t>
            </w:r>
            <w:r w:rsidRPr="00A11FE0">
              <w:rPr>
                <w:rFonts w:asciiTheme="majorHAnsi" w:hAnsiTheme="majorHAnsi"/>
                <w:noProof/>
                <w:sz w:val="16"/>
                <w:szCs w:val="16"/>
              </w:rPr>
              <w:t xml:space="preserve"> IKT </w:t>
            </w:r>
            <w:r>
              <w:rPr>
                <w:rFonts w:asciiTheme="majorHAnsi" w:hAnsiTheme="majorHAnsi"/>
                <w:noProof/>
                <w:sz w:val="16"/>
                <w:szCs w:val="16"/>
              </w:rPr>
              <w:t>a</w:t>
            </w:r>
            <w:r w:rsidRPr="00A11FE0">
              <w:rPr>
                <w:rFonts w:asciiTheme="majorHAnsi" w:hAnsiTheme="majorHAnsi"/>
                <w:noProof/>
                <w:sz w:val="16"/>
                <w:szCs w:val="16"/>
              </w:rPr>
              <w:t xml:space="preserve"> zlepšenie ich využívania </w:t>
            </w:r>
            <w:r>
              <w:rPr>
                <w:rFonts w:asciiTheme="majorHAnsi" w:hAnsiTheme="majorHAnsi"/>
                <w:noProof/>
                <w:sz w:val="16"/>
                <w:szCs w:val="16"/>
              </w:rPr>
              <w:t>a</w:t>
            </w:r>
            <w:r w:rsidRPr="00A11FE0">
              <w:rPr>
                <w:rFonts w:asciiTheme="majorHAnsi" w:hAnsiTheme="majorHAnsi"/>
                <w:noProof/>
                <w:sz w:val="16"/>
                <w:szCs w:val="16"/>
              </w:rPr>
              <w:t xml:space="preserve"> </w:t>
            </w:r>
            <w:r>
              <w:rPr>
                <w:rFonts w:asciiTheme="majorHAnsi" w:hAnsiTheme="majorHAnsi"/>
                <w:noProof/>
                <w:sz w:val="16"/>
                <w:szCs w:val="16"/>
              </w:rPr>
              <w:t>k</w:t>
            </w:r>
            <w:r w:rsidRPr="00A11FE0">
              <w:rPr>
                <w:rFonts w:asciiTheme="majorHAnsi" w:hAnsiTheme="majorHAnsi"/>
                <w:noProof/>
                <w:sz w:val="16"/>
                <w:szCs w:val="16"/>
              </w:rPr>
              <w:t>vality</w:t>
            </w:r>
          </w:p>
        </w:tc>
        <w:tc>
          <w:tcPr>
            <w:tcW w:w="634" w:type="pct"/>
            <w:vAlign w:val="center"/>
          </w:tcPr>
          <w:p w:rsidR="00391F91" w:rsidRPr="00A11FE0" w:rsidRDefault="00A4033D" w:rsidP="0064076C">
            <w:pPr>
              <w:snapToGrid w:val="0"/>
              <w:spacing w:after="0"/>
              <w:jc w:val="center"/>
              <w:rPr>
                <w:rFonts w:asciiTheme="majorHAnsi" w:hAnsiTheme="majorHAnsi"/>
                <w:sz w:val="16"/>
                <w:szCs w:val="16"/>
              </w:rPr>
            </w:pPr>
            <w:r w:rsidRPr="000D4590">
              <w:rPr>
                <w:rFonts w:ascii="Calibri" w:eastAsia="Times New Roman" w:hAnsi="Calibri"/>
                <w:color w:val="000000"/>
                <w:sz w:val="16"/>
                <w:szCs w:val="16"/>
                <w:lang w:eastAsia="sk-SK"/>
              </w:rPr>
              <w:t>788 081</w:t>
            </w:r>
            <w:r w:rsidR="00361CFB">
              <w:rPr>
                <w:rFonts w:ascii="Calibri" w:eastAsia="Times New Roman" w:hAnsi="Calibri"/>
                <w:color w:val="000000"/>
                <w:sz w:val="16"/>
                <w:szCs w:val="16"/>
                <w:lang w:eastAsia="sk-SK"/>
              </w:rPr>
              <w:t> </w:t>
            </w:r>
            <w:r w:rsidRPr="000D4590">
              <w:rPr>
                <w:rFonts w:ascii="Calibri" w:eastAsia="Times New Roman" w:hAnsi="Calibri"/>
                <w:color w:val="000000"/>
                <w:sz w:val="16"/>
                <w:szCs w:val="16"/>
                <w:lang w:eastAsia="sk-SK"/>
              </w:rPr>
              <w:t>942</w:t>
            </w:r>
            <w:r w:rsidR="00361CFB">
              <w:rPr>
                <w:rFonts w:ascii="Calibri" w:eastAsia="Times New Roman" w:hAnsi="Calibri"/>
                <w:color w:val="000000"/>
                <w:sz w:val="16"/>
                <w:szCs w:val="16"/>
                <w:lang w:eastAsia="sk-SK"/>
              </w:rPr>
              <w:t xml:space="preserve"> </w:t>
            </w:r>
          </w:p>
        </w:tc>
        <w:tc>
          <w:tcPr>
            <w:tcW w:w="686" w:type="pct"/>
            <w:vAlign w:val="center"/>
          </w:tcPr>
          <w:p w:rsidR="00391F91" w:rsidRPr="00A11FE0" w:rsidRDefault="00391F91" w:rsidP="0064076C">
            <w:pPr>
              <w:snapToGrid w:val="0"/>
              <w:spacing w:after="0"/>
              <w:jc w:val="center"/>
              <w:rPr>
                <w:rFonts w:asciiTheme="majorHAnsi" w:hAnsiTheme="majorHAnsi"/>
                <w:sz w:val="16"/>
                <w:szCs w:val="16"/>
              </w:rPr>
            </w:pPr>
          </w:p>
        </w:tc>
        <w:tc>
          <w:tcPr>
            <w:tcW w:w="643" w:type="pct"/>
            <w:vAlign w:val="center"/>
          </w:tcPr>
          <w:p w:rsidR="00391F91" w:rsidRPr="00A11FE0" w:rsidRDefault="00391F91" w:rsidP="0064076C">
            <w:pPr>
              <w:snapToGrid w:val="0"/>
              <w:spacing w:after="0"/>
              <w:jc w:val="center"/>
              <w:rPr>
                <w:rFonts w:asciiTheme="majorHAnsi" w:hAnsiTheme="majorHAnsi"/>
                <w:sz w:val="16"/>
                <w:szCs w:val="16"/>
              </w:rPr>
            </w:pPr>
          </w:p>
        </w:tc>
        <w:tc>
          <w:tcPr>
            <w:tcW w:w="626" w:type="pct"/>
            <w:vAlign w:val="center"/>
          </w:tcPr>
          <w:p w:rsidR="00391F91" w:rsidRPr="00A11FE0" w:rsidRDefault="00EB74F8" w:rsidP="0064076C">
            <w:pPr>
              <w:snapToGrid w:val="0"/>
              <w:spacing w:after="0"/>
              <w:jc w:val="center"/>
              <w:rPr>
                <w:rFonts w:asciiTheme="majorHAnsi" w:hAnsiTheme="majorHAnsi"/>
                <w:sz w:val="16"/>
                <w:szCs w:val="16"/>
              </w:rPr>
            </w:pPr>
            <w:r w:rsidRPr="00EB74F8">
              <w:rPr>
                <w:rFonts w:ascii="Calibri" w:hAnsi="Calibri"/>
                <w:color w:val="000000"/>
                <w:sz w:val="16"/>
                <w:szCs w:val="16"/>
              </w:rPr>
              <w:t>20 166 840</w:t>
            </w:r>
          </w:p>
        </w:tc>
        <w:tc>
          <w:tcPr>
            <w:tcW w:w="541" w:type="pct"/>
            <w:vAlign w:val="center"/>
          </w:tcPr>
          <w:p w:rsidR="00391F91" w:rsidRPr="00A11FE0" w:rsidRDefault="00391F91" w:rsidP="0064076C">
            <w:pPr>
              <w:snapToGrid w:val="0"/>
              <w:spacing w:after="0"/>
              <w:jc w:val="center"/>
              <w:rPr>
                <w:rFonts w:asciiTheme="majorHAnsi" w:hAnsiTheme="majorHAnsi"/>
                <w:sz w:val="16"/>
                <w:szCs w:val="16"/>
              </w:rPr>
            </w:pPr>
          </w:p>
        </w:tc>
        <w:tc>
          <w:tcPr>
            <w:tcW w:w="718" w:type="pct"/>
            <w:vAlign w:val="center"/>
          </w:tcPr>
          <w:p w:rsidR="00391F91" w:rsidRPr="00EB74F8" w:rsidRDefault="00A4033D" w:rsidP="0064076C">
            <w:pPr>
              <w:snapToGrid w:val="0"/>
              <w:spacing w:after="0"/>
              <w:jc w:val="center"/>
              <w:rPr>
                <w:rFonts w:asciiTheme="majorHAnsi" w:hAnsiTheme="majorHAnsi"/>
                <w:sz w:val="16"/>
                <w:szCs w:val="16"/>
                <w:highlight w:val="yellow"/>
              </w:rPr>
            </w:pPr>
            <w:r w:rsidRPr="000D4590">
              <w:rPr>
                <w:rFonts w:ascii="Calibri" w:eastAsia="Times New Roman" w:hAnsi="Calibri"/>
                <w:color w:val="000000"/>
                <w:sz w:val="16"/>
                <w:szCs w:val="16"/>
                <w:lang w:eastAsia="sk-SK"/>
              </w:rPr>
              <w:t>808 248</w:t>
            </w:r>
            <w:r w:rsidR="00361CFB">
              <w:rPr>
                <w:rFonts w:ascii="Calibri" w:eastAsia="Times New Roman" w:hAnsi="Calibri"/>
                <w:color w:val="000000"/>
                <w:sz w:val="16"/>
                <w:szCs w:val="16"/>
                <w:lang w:eastAsia="sk-SK"/>
              </w:rPr>
              <w:t> </w:t>
            </w:r>
            <w:r w:rsidRPr="000D4590">
              <w:rPr>
                <w:rFonts w:ascii="Calibri" w:eastAsia="Times New Roman" w:hAnsi="Calibri"/>
                <w:color w:val="000000"/>
                <w:sz w:val="16"/>
                <w:szCs w:val="16"/>
                <w:lang w:eastAsia="sk-SK"/>
              </w:rPr>
              <w:t>782</w:t>
            </w:r>
            <w:r w:rsidR="00361CFB">
              <w:rPr>
                <w:rFonts w:ascii="Calibri" w:eastAsia="Times New Roman" w:hAnsi="Calibri"/>
                <w:color w:val="000000"/>
                <w:sz w:val="16"/>
                <w:szCs w:val="16"/>
                <w:lang w:eastAsia="sk-SK"/>
              </w:rPr>
              <w:t xml:space="preserve"> </w:t>
            </w:r>
          </w:p>
        </w:tc>
      </w:tr>
      <w:tr w:rsidR="005D0D2A" w:rsidRPr="00A11FE0" w:rsidTr="004274FF">
        <w:trPr>
          <w:trHeight w:val="285"/>
          <w:jc w:val="center"/>
        </w:trPr>
        <w:tc>
          <w:tcPr>
            <w:tcW w:w="1154" w:type="pct"/>
            <w:shd w:val="clear" w:color="auto" w:fill="F2F2F2"/>
          </w:tcPr>
          <w:p w:rsidR="00ED21AE" w:rsidRPr="00A11FE0" w:rsidRDefault="00ED21AE" w:rsidP="007C1D60">
            <w:pPr>
              <w:snapToGrid w:val="0"/>
              <w:spacing w:after="0"/>
              <w:rPr>
                <w:rFonts w:asciiTheme="majorHAnsi" w:hAnsiTheme="majorHAnsi"/>
                <w:sz w:val="16"/>
                <w:szCs w:val="16"/>
              </w:rPr>
            </w:pPr>
            <w:r w:rsidRPr="00A11FE0">
              <w:rPr>
                <w:rFonts w:asciiTheme="majorHAnsi" w:hAnsiTheme="majorHAnsi"/>
                <w:noProof/>
                <w:sz w:val="16"/>
                <w:szCs w:val="16"/>
              </w:rPr>
              <w:lastRenderedPageBreak/>
              <w:t>3.</w:t>
            </w:r>
            <w:r>
              <w:rPr>
                <w:rFonts w:asciiTheme="majorHAnsi" w:hAnsiTheme="majorHAnsi"/>
                <w:noProof/>
                <w:sz w:val="16"/>
                <w:szCs w:val="16"/>
              </w:rPr>
              <w:t xml:space="preserve"> </w:t>
            </w:r>
            <w:r w:rsidRPr="00A11FE0">
              <w:rPr>
                <w:rFonts w:asciiTheme="majorHAnsi" w:hAnsiTheme="majorHAnsi"/>
                <w:noProof/>
                <w:sz w:val="16"/>
                <w:szCs w:val="16"/>
              </w:rPr>
              <w:t xml:space="preserve">Zvýšenie </w:t>
            </w:r>
            <w:r>
              <w:rPr>
                <w:rFonts w:asciiTheme="majorHAnsi" w:hAnsiTheme="majorHAnsi"/>
                <w:noProof/>
                <w:sz w:val="16"/>
                <w:szCs w:val="16"/>
              </w:rPr>
              <w:t>k</w:t>
            </w:r>
            <w:r w:rsidRPr="00A11FE0">
              <w:rPr>
                <w:rFonts w:asciiTheme="majorHAnsi" w:hAnsiTheme="majorHAnsi"/>
                <w:noProof/>
                <w:sz w:val="16"/>
                <w:szCs w:val="16"/>
              </w:rPr>
              <w:t xml:space="preserve">onkurencieschopnosti MSP, </w:t>
            </w:r>
            <w:r>
              <w:rPr>
                <w:rFonts w:asciiTheme="majorHAnsi" w:hAnsiTheme="majorHAnsi"/>
                <w:noProof/>
                <w:sz w:val="16"/>
                <w:szCs w:val="16"/>
              </w:rPr>
              <w:t>s</w:t>
            </w:r>
            <w:r w:rsidRPr="00A11FE0">
              <w:rPr>
                <w:rFonts w:asciiTheme="majorHAnsi" w:hAnsiTheme="majorHAnsi"/>
                <w:noProof/>
                <w:sz w:val="16"/>
                <w:szCs w:val="16"/>
              </w:rPr>
              <w:t xml:space="preserve">ektora poľnohospodárstva (v prípade EPFRV) </w:t>
            </w:r>
            <w:r>
              <w:rPr>
                <w:rFonts w:asciiTheme="majorHAnsi" w:hAnsiTheme="majorHAnsi"/>
                <w:noProof/>
                <w:sz w:val="16"/>
                <w:szCs w:val="16"/>
              </w:rPr>
              <w:t>a</w:t>
            </w:r>
            <w:r w:rsidRPr="00A11FE0">
              <w:rPr>
                <w:rFonts w:asciiTheme="majorHAnsi" w:hAnsiTheme="majorHAnsi"/>
                <w:noProof/>
                <w:sz w:val="16"/>
                <w:szCs w:val="16"/>
              </w:rPr>
              <w:t> </w:t>
            </w:r>
            <w:r>
              <w:rPr>
                <w:rFonts w:asciiTheme="majorHAnsi" w:hAnsiTheme="majorHAnsi"/>
                <w:noProof/>
                <w:sz w:val="16"/>
                <w:szCs w:val="16"/>
              </w:rPr>
              <w:t>s</w:t>
            </w:r>
            <w:r w:rsidRPr="00A11FE0">
              <w:rPr>
                <w:rFonts w:asciiTheme="majorHAnsi" w:hAnsiTheme="majorHAnsi"/>
                <w:noProof/>
                <w:sz w:val="16"/>
                <w:szCs w:val="16"/>
              </w:rPr>
              <w:t xml:space="preserve">ektora rybárstva </w:t>
            </w:r>
            <w:r>
              <w:rPr>
                <w:rFonts w:asciiTheme="majorHAnsi" w:hAnsiTheme="majorHAnsi"/>
                <w:noProof/>
                <w:sz w:val="16"/>
                <w:szCs w:val="16"/>
              </w:rPr>
              <w:t>a</w:t>
            </w:r>
            <w:r w:rsidRPr="00A11FE0">
              <w:rPr>
                <w:rFonts w:asciiTheme="majorHAnsi" w:hAnsiTheme="majorHAnsi"/>
                <w:noProof/>
                <w:sz w:val="16"/>
                <w:szCs w:val="16"/>
              </w:rPr>
              <w:t> </w:t>
            </w:r>
            <w:r>
              <w:rPr>
                <w:rFonts w:asciiTheme="majorHAnsi" w:hAnsiTheme="majorHAnsi"/>
                <w:noProof/>
                <w:sz w:val="16"/>
                <w:szCs w:val="16"/>
              </w:rPr>
              <w:t>ak</w:t>
            </w:r>
            <w:r w:rsidRPr="00A11FE0">
              <w:rPr>
                <w:rFonts w:asciiTheme="majorHAnsi" w:hAnsiTheme="majorHAnsi"/>
                <w:noProof/>
                <w:sz w:val="16"/>
                <w:szCs w:val="16"/>
              </w:rPr>
              <w:t>vakultúry (v prípade ENRF)</w:t>
            </w:r>
          </w:p>
        </w:tc>
        <w:tc>
          <w:tcPr>
            <w:tcW w:w="634" w:type="pct"/>
            <w:shd w:val="clear" w:color="auto" w:fill="FFFFFF" w:themeFill="background1"/>
            <w:vAlign w:val="center"/>
          </w:tcPr>
          <w:p w:rsidR="00ED21AE" w:rsidRPr="00A11FE0" w:rsidRDefault="00A4033D" w:rsidP="005D0D2A">
            <w:pPr>
              <w:snapToGrid w:val="0"/>
              <w:spacing w:after="0"/>
              <w:jc w:val="center"/>
              <w:rPr>
                <w:rFonts w:asciiTheme="majorHAnsi" w:hAnsiTheme="majorHAnsi"/>
                <w:sz w:val="16"/>
                <w:szCs w:val="16"/>
              </w:rPr>
            </w:pPr>
            <w:r w:rsidRPr="000D4590">
              <w:rPr>
                <w:rFonts w:ascii="Calibri" w:eastAsia="Times New Roman" w:hAnsi="Calibri"/>
                <w:color w:val="000000"/>
                <w:sz w:val="16"/>
                <w:szCs w:val="16"/>
                <w:lang w:val="en-GB" w:eastAsia="sk-SK"/>
              </w:rPr>
              <w:t>401 047</w:t>
            </w:r>
            <w:r w:rsidR="00361CFB">
              <w:rPr>
                <w:rFonts w:ascii="Calibri" w:eastAsia="Times New Roman" w:hAnsi="Calibri"/>
                <w:color w:val="000000"/>
                <w:sz w:val="16"/>
                <w:szCs w:val="16"/>
                <w:lang w:val="en-GB" w:eastAsia="sk-SK"/>
              </w:rPr>
              <w:t> </w:t>
            </w:r>
            <w:r w:rsidRPr="000D4590">
              <w:rPr>
                <w:rFonts w:ascii="Calibri" w:eastAsia="Times New Roman" w:hAnsi="Calibri"/>
                <w:color w:val="000000"/>
                <w:sz w:val="16"/>
                <w:szCs w:val="16"/>
                <w:lang w:val="en-GB" w:eastAsia="sk-SK"/>
              </w:rPr>
              <w:t>009</w:t>
            </w:r>
            <w:r w:rsidR="00361CFB">
              <w:rPr>
                <w:rFonts w:ascii="Calibri" w:eastAsia="Times New Roman" w:hAnsi="Calibri"/>
                <w:color w:val="000000"/>
                <w:sz w:val="16"/>
                <w:szCs w:val="16"/>
                <w:lang w:val="en-GB" w:eastAsia="sk-SK"/>
              </w:rPr>
              <w:t xml:space="preserve"> </w:t>
            </w:r>
          </w:p>
        </w:tc>
        <w:tc>
          <w:tcPr>
            <w:tcW w:w="686" w:type="pct"/>
            <w:vAlign w:val="center"/>
          </w:tcPr>
          <w:p w:rsidR="00ED21AE" w:rsidRPr="00A11FE0" w:rsidRDefault="00ED21AE" w:rsidP="005D0D2A">
            <w:pPr>
              <w:snapToGrid w:val="0"/>
              <w:spacing w:after="0"/>
              <w:jc w:val="center"/>
              <w:rPr>
                <w:rFonts w:asciiTheme="majorHAnsi" w:hAnsiTheme="majorHAnsi"/>
                <w:sz w:val="16"/>
                <w:szCs w:val="16"/>
              </w:rPr>
            </w:pPr>
          </w:p>
        </w:tc>
        <w:tc>
          <w:tcPr>
            <w:tcW w:w="643" w:type="pct"/>
            <w:vAlign w:val="center"/>
          </w:tcPr>
          <w:p w:rsidR="00ED21AE" w:rsidRPr="00A11FE0" w:rsidRDefault="00ED21AE" w:rsidP="00B218DF">
            <w:pPr>
              <w:snapToGrid w:val="0"/>
              <w:spacing w:after="0"/>
              <w:jc w:val="center"/>
              <w:rPr>
                <w:rFonts w:asciiTheme="majorHAnsi" w:hAnsiTheme="majorHAnsi"/>
                <w:sz w:val="16"/>
                <w:szCs w:val="16"/>
              </w:rPr>
            </w:pPr>
          </w:p>
        </w:tc>
        <w:tc>
          <w:tcPr>
            <w:tcW w:w="626" w:type="pct"/>
            <w:vAlign w:val="center"/>
          </w:tcPr>
          <w:p w:rsidR="00ED21AE" w:rsidRPr="00A11FE0" w:rsidRDefault="00A4033D" w:rsidP="001172EE">
            <w:pPr>
              <w:snapToGrid w:val="0"/>
              <w:spacing w:after="0"/>
              <w:jc w:val="center"/>
              <w:rPr>
                <w:rFonts w:asciiTheme="majorHAnsi" w:hAnsiTheme="majorHAnsi"/>
                <w:sz w:val="16"/>
                <w:szCs w:val="16"/>
              </w:rPr>
            </w:pPr>
            <w:r w:rsidRPr="000D4590">
              <w:rPr>
                <w:rFonts w:ascii="Calibri" w:eastAsia="MS Mincho" w:hAnsi="Calibri"/>
                <w:color w:val="000000"/>
                <w:sz w:val="16"/>
                <w:szCs w:val="16"/>
              </w:rPr>
              <w:t>536 579</w:t>
            </w:r>
            <w:r w:rsidR="00361CFB">
              <w:rPr>
                <w:rFonts w:ascii="Calibri" w:eastAsia="MS Mincho" w:hAnsi="Calibri"/>
                <w:color w:val="000000"/>
                <w:sz w:val="16"/>
                <w:szCs w:val="16"/>
              </w:rPr>
              <w:t> </w:t>
            </w:r>
            <w:r w:rsidRPr="000D4590">
              <w:rPr>
                <w:rFonts w:ascii="Calibri" w:eastAsia="MS Mincho" w:hAnsi="Calibri"/>
                <w:color w:val="000000"/>
                <w:sz w:val="16"/>
                <w:szCs w:val="16"/>
              </w:rPr>
              <w:t>187</w:t>
            </w:r>
            <w:r w:rsidR="00361CFB">
              <w:rPr>
                <w:rFonts w:ascii="Calibri" w:eastAsia="MS Mincho" w:hAnsi="Calibri"/>
                <w:color w:val="000000"/>
                <w:sz w:val="16"/>
                <w:szCs w:val="16"/>
              </w:rPr>
              <w:t xml:space="preserve"> </w:t>
            </w:r>
          </w:p>
        </w:tc>
        <w:tc>
          <w:tcPr>
            <w:tcW w:w="541" w:type="pct"/>
            <w:vAlign w:val="center"/>
          </w:tcPr>
          <w:p w:rsidR="00ED21AE" w:rsidRPr="00A11FE0" w:rsidRDefault="005D0D2A" w:rsidP="008A6B73">
            <w:pPr>
              <w:snapToGrid w:val="0"/>
              <w:spacing w:after="0"/>
              <w:jc w:val="center"/>
              <w:rPr>
                <w:rFonts w:asciiTheme="majorHAnsi" w:hAnsiTheme="majorHAnsi"/>
                <w:sz w:val="16"/>
                <w:szCs w:val="16"/>
              </w:rPr>
            </w:pPr>
            <w:r>
              <w:rPr>
                <w:rFonts w:asciiTheme="majorHAnsi" w:hAnsiTheme="majorHAnsi"/>
                <w:sz w:val="16"/>
                <w:szCs w:val="16"/>
              </w:rPr>
              <w:t>12 6</w:t>
            </w:r>
            <w:r w:rsidR="00A4033D">
              <w:rPr>
                <w:rFonts w:asciiTheme="majorHAnsi" w:hAnsiTheme="majorHAnsi"/>
                <w:sz w:val="16"/>
                <w:szCs w:val="16"/>
              </w:rPr>
              <w:t>8</w:t>
            </w:r>
            <w:r>
              <w:rPr>
                <w:rFonts w:asciiTheme="majorHAnsi" w:hAnsiTheme="majorHAnsi"/>
                <w:sz w:val="16"/>
                <w:szCs w:val="16"/>
              </w:rPr>
              <w:t>0 020</w:t>
            </w:r>
          </w:p>
        </w:tc>
        <w:tc>
          <w:tcPr>
            <w:tcW w:w="718" w:type="pct"/>
            <w:vAlign w:val="center"/>
          </w:tcPr>
          <w:p w:rsidR="00ED21AE" w:rsidRPr="00ED21AE" w:rsidRDefault="00A4033D">
            <w:pPr>
              <w:snapToGrid w:val="0"/>
              <w:spacing w:after="0"/>
              <w:jc w:val="center"/>
              <w:rPr>
                <w:rFonts w:ascii="Calibri" w:hAnsi="Calibri"/>
                <w:color w:val="000000"/>
                <w:sz w:val="16"/>
                <w:szCs w:val="16"/>
              </w:rPr>
            </w:pPr>
            <w:r w:rsidRPr="000D4590">
              <w:rPr>
                <w:rFonts w:ascii="Calibri" w:hAnsi="Calibri"/>
                <w:color w:val="000000"/>
                <w:sz w:val="16"/>
                <w:szCs w:val="16"/>
              </w:rPr>
              <w:t>950 306</w:t>
            </w:r>
            <w:r w:rsidR="009E44E3">
              <w:rPr>
                <w:rFonts w:ascii="Calibri" w:hAnsi="Calibri"/>
                <w:color w:val="000000"/>
                <w:sz w:val="16"/>
                <w:szCs w:val="16"/>
              </w:rPr>
              <w:t> </w:t>
            </w:r>
            <w:r w:rsidRPr="000D4590">
              <w:rPr>
                <w:rFonts w:ascii="Calibri" w:hAnsi="Calibri"/>
                <w:color w:val="000000"/>
                <w:sz w:val="16"/>
                <w:szCs w:val="16"/>
              </w:rPr>
              <w:t>216</w:t>
            </w:r>
            <w:r w:rsidR="009E44E3">
              <w:rPr>
                <w:rFonts w:ascii="Calibri" w:hAnsi="Calibri"/>
                <w:color w:val="000000"/>
                <w:sz w:val="16"/>
                <w:szCs w:val="16"/>
              </w:rPr>
              <w:t xml:space="preserve"> </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sz w:val="16"/>
                <w:szCs w:val="16"/>
              </w:rPr>
            </w:pPr>
            <w:r w:rsidRPr="00A11FE0">
              <w:rPr>
                <w:rFonts w:asciiTheme="majorHAnsi" w:hAnsiTheme="majorHAnsi"/>
                <w:noProof/>
                <w:sz w:val="16"/>
                <w:szCs w:val="16"/>
              </w:rPr>
              <w:t xml:space="preserve">4. Podpora prechodu na nízkouhlíkové hospodárstvo vo všetkých </w:t>
            </w:r>
            <w:r>
              <w:rPr>
                <w:rFonts w:asciiTheme="majorHAnsi" w:hAnsiTheme="majorHAnsi"/>
                <w:noProof/>
                <w:sz w:val="16"/>
                <w:szCs w:val="16"/>
              </w:rPr>
              <w:t>s</w:t>
            </w:r>
            <w:r w:rsidRPr="00A11FE0">
              <w:rPr>
                <w:rFonts w:asciiTheme="majorHAnsi" w:hAnsiTheme="majorHAnsi"/>
                <w:noProof/>
                <w:sz w:val="16"/>
                <w:szCs w:val="16"/>
              </w:rPr>
              <w:t>ektoroch</w:t>
            </w:r>
          </w:p>
        </w:tc>
        <w:tc>
          <w:tcPr>
            <w:tcW w:w="634" w:type="pct"/>
            <w:shd w:val="clear" w:color="auto" w:fill="FFFFFF" w:themeFill="background1"/>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1 050 275 034</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p>
        </w:tc>
        <w:tc>
          <w:tcPr>
            <w:tcW w:w="626" w:type="pct"/>
            <w:vAlign w:val="center"/>
          </w:tcPr>
          <w:p w:rsidR="007844B8" w:rsidRPr="007844B8" w:rsidRDefault="00A4033D" w:rsidP="001172EE">
            <w:pPr>
              <w:snapToGrid w:val="0"/>
              <w:spacing w:after="0"/>
              <w:jc w:val="center"/>
              <w:rPr>
                <w:rFonts w:ascii="Calibri" w:hAnsi="Calibri"/>
                <w:color w:val="000000"/>
                <w:sz w:val="16"/>
                <w:szCs w:val="16"/>
              </w:rPr>
            </w:pPr>
            <w:r w:rsidRPr="0011385F">
              <w:rPr>
                <w:rFonts w:ascii="Calibri" w:eastAsia="MS Mincho" w:hAnsi="Calibri"/>
                <w:color w:val="000000"/>
                <w:sz w:val="16"/>
                <w:szCs w:val="16"/>
              </w:rPr>
              <w:t>11 414</w:t>
            </w:r>
            <w:r w:rsidR="009E44E3">
              <w:rPr>
                <w:rFonts w:ascii="Calibri" w:eastAsia="MS Mincho" w:hAnsi="Calibri"/>
                <w:color w:val="000000"/>
                <w:sz w:val="16"/>
                <w:szCs w:val="16"/>
              </w:rPr>
              <w:t> </w:t>
            </w:r>
            <w:r w:rsidRPr="0011385F">
              <w:rPr>
                <w:rFonts w:ascii="Calibri" w:eastAsia="MS Mincho" w:hAnsi="Calibri"/>
                <w:color w:val="000000"/>
                <w:sz w:val="16"/>
                <w:szCs w:val="16"/>
              </w:rPr>
              <w:t>648</w:t>
            </w:r>
            <w:r w:rsidR="009E44E3">
              <w:rPr>
                <w:rFonts w:ascii="Calibri" w:eastAsia="MS Mincho" w:hAnsi="Calibri"/>
                <w:color w:val="000000"/>
                <w:sz w:val="16"/>
                <w:szCs w:val="16"/>
              </w:rPr>
              <w:t xml:space="preserve"> </w:t>
            </w:r>
          </w:p>
        </w:tc>
        <w:tc>
          <w:tcPr>
            <w:tcW w:w="541" w:type="pct"/>
            <w:vAlign w:val="center"/>
          </w:tcPr>
          <w:p w:rsidR="007844B8" w:rsidRPr="007844B8" w:rsidRDefault="007844B8" w:rsidP="008A6B73">
            <w:pPr>
              <w:snapToGrid w:val="0"/>
              <w:spacing w:after="0"/>
              <w:jc w:val="center"/>
              <w:rPr>
                <w:rFonts w:ascii="Calibri" w:hAnsi="Calibri"/>
                <w:color w:val="000000"/>
                <w:sz w:val="16"/>
                <w:szCs w:val="16"/>
              </w:rPr>
            </w:pPr>
          </w:p>
        </w:tc>
        <w:tc>
          <w:tcPr>
            <w:tcW w:w="718" w:type="pct"/>
            <w:vAlign w:val="center"/>
          </w:tcPr>
          <w:p w:rsidR="007844B8" w:rsidRPr="00ED21AE" w:rsidRDefault="00A4033D">
            <w:pPr>
              <w:snapToGrid w:val="0"/>
              <w:spacing w:after="0"/>
              <w:jc w:val="center"/>
              <w:rPr>
                <w:rFonts w:ascii="Calibri" w:hAnsi="Calibri"/>
                <w:color w:val="000000"/>
                <w:sz w:val="16"/>
                <w:szCs w:val="16"/>
              </w:rPr>
            </w:pPr>
            <w:r w:rsidRPr="0011385F">
              <w:rPr>
                <w:rFonts w:ascii="Calibri" w:eastAsia="MS Mincho" w:hAnsi="Calibri"/>
                <w:color w:val="000000"/>
                <w:sz w:val="16"/>
                <w:szCs w:val="16"/>
              </w:rPr>
              <w:t>1 061 689</w:t>
            </w:r>
            <w:r w:rsidR="009E44E3">
              <w:rPr>
                <w:rFonts w:ascii="Calibri" w:eastAsia="MS Mincho" w:hAnsi="Calibri"/>
                <w:color w:val="000000"/>
                <w:sz w:val="16"/>
                <w:szCs w:val="16"/>
              </w:rPr>
              <w:t> </w:t>
            </w:r>
            <w:r w:rsidRPr="0011385F">
              <w:rPr>
                <w:rFonts w:ascii="Calibri" w:eastAsia="MS Mincho" w:hAnsi="Calibri"/>
                <w:color w:val="000000"/>
                <w:sz w:val="16"/>
                <w:szCs w:val="16"/>
              </w:rPr>
              <w:t>682</w:t>
            </w:r>
            <w:r w:rsidR="009E44E3">
              <w:rPr>
                <w:rFonts w:ascii="Calibri" w:eastAsia="MS Mincho" w:hAnsi="Calibri"/>
                <w:color w:val="000000"/>
                <w:sz w:val="16"/>
                <w:szCs w:val="16"/>
              </w:rPr>
              <w:t xml:space="preserve"> </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sz w:val="16"/>
                <w:szCs w:val="16"/>
              </w:rPr>
            </w:pPr>
            <w:r w:rsidRPr="00A11FE0">
              <w:rPr>
                <w:rFonts w:asciiTheme="majorHAnsi" w:hAnsiTheme="majorHAnsi"/>
                <w:noProof/>
                <w:sz w:val="16"/>
                <w:szCs w:val="16"/>
              </w:rPr>
              <w:t xml:space="preserve">5. Podpora prispôsobovania </w:t>
            </w:r>
            <w:r>
              <w:rPr>
                <w:rFonts w:asciiTheme="majorHAnsi" w:hAnsiTheme="majorHAnsi"/>
                <w:noProof/>
                <w:sz w:val="16"/>
                <w:szCs w:val="16"/>
              </w:rPr>
              <w:t>s</w:t>
            </w:r>
            <w:r w:rsidRPr="00A11FE0">
              <w:rPr>
                <w:rFonts w:asciiTheme="majorHAnsi" w:hAnsiTheme="majorHAnsi"/>
                <w:noProof/>
                <w:sz w:val="16"/>
                <w:szCs w:val="16"/>
              </w:rPr>
              <w:t>a zmen</w:t>
            </w:r>
            <w:r>
              <w:rPr>
                <w:rFonts w:asciiTheme="majorHAnsi" w:hAnsiTheme="majorHAnsi"/>
                <w:noProof/>
                <w:sz w:val="16"/>
                <w:szCs w:val="16"/>
              </w:rPr>
              <w:t>e</w:t>
            </w:r>
            <w:r w:rsidRPr="00A11FE0">
              <w:rPr>
                <w:rFonts w:asciiTheme="majorHAnsi" w:hAnsiTheme="majorHAnsi"/>
                <w:noProof/>
                <w:sz w:val="16"/>
                <w:szCs w:val="16"/>
              </w:rPr>
              <w:t xml:space="preserve"> </w:t>
            </w:r>
            <w:r>
              <w:rPr>
                <w:rFonts w:asciiTheme="majorHAnsi" w:hAnsiTheme="majorHAnsi"/>
                <w:noProof/>
                <w:sz w:val="16"/>
                <w:szCs w:val="16"/>
              </w:rPr>
              <w:t>k</w:t>
            </w:r>
            <w:r w:rsidRPr="00A11FE0">
              <w:rPr>
                <w:rFonts w:asciiTheme="majorHAnsi" w:hAnsiTheme="majorHAnsi"/>
                <w:noProof/>
                <w:sz w:val="16"/>
                <w:szCs w:val="16"/>
              </w:rPr>
              <w:t>límy, predchádzan</w:t>
            </w:r>
            <w:r>
              <w:rPr>
                <w:rFonts w:asciiTheme="majorHAnsi" w:hAnsiTheme="majorHAnsi"/>
                <w:noProof/>
                <w:sz w:val="16"/>
                <w:szCs w:val="16"/>
              </w:rPr>
              <w:t>ie</w:t>
            </w:r>
            <w:r w:rsidRPr="00A11FE0">
              <w:rPr>
                <w:rFonts w:asciiTheme="majorHAnsi" w:hAnsiTheme="majorHAnsi"/>
                <w:noProof/>
                <w:sz w:val="16"/>
                <w:szCs w:val="16"/>
              </w:rPr>
              <w:t xml:space="preserve"> </w:t>
            </w:r>
            <w:r>
              <w:rPr>
                <w:rFonts w:asciiTheme="majorHAnsi" w:hAnsiTheme="majorHAnsi"/>
                <w:noProof/>
                <w:sz w:val="16"/>
                <w:szCs w:val="16"/>
              </w:rPr>
              <w:t>a</w:t>
            </w:r>
            <w:r w:rsidRPr="00A11FE0">
              <w:rPr>
                <w:rFonts w:asciiTheme="majorHAnsi" w:hAnsiTheme="majorHAnsi"/>
                <w:noProof/>
                <w:sz w:val="16"/>
                <w:szCs w:val="16"/>
              </w:rPr>
              <w:t> riadeni</w:t>
            </w:r>
            <w:r>
              <w:rPr>
                <w:rFonts w:asciiTheme="majorHAnsi" w:hAnsiTheme="majorHAnsi"/>
                <w:noProof/>
                <w:sz w:val="16"/>
                <w:szCs w:val="16"/>
              </w:rPr>
              <w:t>e</w:t>
            </w:r>
            <w:r w:rsidRPr="00A11FE0">
              <w:rPr>
                <w:rFonts w:asciiTheme="majorHAnsi" w:hAnsiTheme="majorHAnsi"/>
                <w:noProof/>
                <w:sz w:val="16"/>
                <w:szCs w:val="16"/>
              </w:rPr>
              <w:t xml:space="preserve"> rizika</w:t>
            </w:r>
          </w:p>
        </w:tc>
        <w:tc>
          <w:tcPr>
            <w:tcW w:w="634" w:type="pct"/>
            <w:shd w:val="clear" w:color="auto" w:fill="FFFFFF" w:themeFill="background1"/>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260 901 369</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r w:rsidRPr="007844B8">
              <w:rPr>
                <w:rFonts w:ascii="Calibri" w:hAnsi="Calibri"/>
                <w:color w:val="000000"/>
                <w:sz w:val="16"/>
                <w:szCs w:val="16"/>
              </w:rPr>
              <w:t>419 346 261</w:t>
            </w:r>
          </w:p>
        </w:tc>
        <w:tc>
          <w:tcPr>
            <w:tcW w:w="626" w:type="pct"/>
            <w:vAlign w:val="center"/>
          </w:tcPr>
          <w:p w:rsidR="007844B8" w:rsidRPr="007844B8" w:rsidRDefault="003B66CF" w:rsidP="001172EE">
            <w:pPr>
              <w:snapToGrid w:val="0"/>
              <w:spacing w:after="0"/>
              <w:jc w:val="center"/>
              <w:rPr>
                <w:rFonts w:ascii="Calibri" w:hAnsi="Calibri"/>
                <w:color w:val="000000"/>
                <w:sz w:val="16"/>
                <w:szCs w:val="16"/>
              </w:rPr>
            </w:pPr>
            <w:r w:rsidRPr="0011385F">
              <w:rPr>
                <w:rFonts w:ascii="Calibri" w:eastAsia="MS Mincho" w:hAnsi="Calibri"/>
                <w:color w:val="000000"/>
                <w:sz w:val="16"/>
                <w:szCs w:val="16"/>
              </w:rPr>
              <w:t>331 043 432,50</w:t>
            </w:r>
            <w:r w:rsidR="009E44E3">
              <w:rPr>
                <w:rFonts w:ascii="Calibri" w:eastAsia="MS Mincho" w:hAnsi="Calibri"/>
                <w:color w:val="000000"/>
                <w:sz w:val="16"/>
                <w:szCs w:val="16"/>
              </w:rPr>
              <w:t xml:space="preserve"> </w:t>
            </w:r>
          </w:p>
        </w:tc>
        <w:tc>
          <w:tcPr>
            <w:tcW w:w="541" w:type="pct"/>
            <w:vAlign w:val="center"/>
          </w:tcPr>
          <w:p w:rsidR="007844B8" w:rsidRPr="007844B8" w:rsidRDefault="007844B8" w:rsidP="008A6B73">
            <w:pPr>
              <w:snapToGrid w:val="0"/>
              <w:spacing w:after="0"/>
              <w:jc w:val="center"/>
              <w:rPr>
                <w:rFonts w:ascii="Calibri" w:hAnsi="Calibri"/>
                <w:color w:val="000000"/>
                <w:sz w:val="16"/>
                <w:szCs w:val="16"/>
              </w:rPr>
            </w:pPr>
          </w:p>
        </w:tc>
        <w:tc>
          <w:tcPr>
            <w:tcW w:w="718" w:type="pct"/>
            <w:vAlign w:val="center"/>
          </w:tcPr>
          <w:p w:rsidR="007844B8" w:rsidRPr="00ED21AE" w:rsidRDefault="003B66CF">
            <w:pPr>
              <w:snapToGrid w:val="0"/>
              <w:spacing w:after="0"/>
              <w:jc w:val="center"/>
              <w:rPr>
                <w:rFonts w:ascii="Calibri" w:hAnsi="Calibri"/>
                <w:color w:val="000000"/>
                <w:sz w:val="16"/>
                <w:szCs w:val="16"/>
              </w:rPr>
            </w:pPr>
            <w:r w:rsidRPr="0011385F">
              <w:rPr>
                <w:rFonts w:ascii="Calibri" w:eastAsia="MS Mincho" w:hAnsi="Calibri"/>
                <w:color w:val="000000"/>
                <w:sz w:val="16"/>
                <w:szCs w:val="16"/>
              </w:rPr>
              <w:t>1 011 291 062,</w:t>
            </w:r>
            <w:r w:rsidR="009E44E3">
              <w:rPr>
                <w:rFonts w:ascii="Calibri" w:eastAsia="MS Mincho" w:hAnsi="Calibri"/>
                <w:color w:val="000000"/>
                <w:sz w:val="16"/>
                <w:szCs w:val="16"/>
              </w:rPr>
              <w:t xml:space="preserve"> </w:t>
            </w:r>
            <w:r w:rsidRPr="0011385F">
              <w:rPr>
                <w:rFonts w:ascii="Calibri" w:eastAsia="MS Mincho" w:hAnsi="Calibri"/>
                <w:color w:val="000000"/>
                <w:sz w:val="16"/>
                <w:szCs w:val="16"/>
              </w:rPr>
              <w:t>5</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noProof/>
                <w:sz w:val="16"/>
                <w:szCs w:val="16"/>
              </w:rPr>
            </w:pPr>
            <w:r w:rsidRPr="00A11FE0">
              <w:rPr>
                <w:rFonts w:asciiTheme="majorHAnsi" w:hAnsiTheme="majorHAnsi"/>
                <w:noProof/>
                <w:sz w:val="16"/>
                <w:szCs w:val="16"/>
              </w:rPr>
              <w:t xml:space="preserve">6. Zachovanie </w:t>
            </w:r>
            <w:r>
              <w:rPr>
                <w:rFonts w:asciiTheme="majorHAnsi" w:hAnsiTheme="majorHAnsi"/>
                <w:noProof/>
                <w:sz w:val="16"/>
                <w:szCs w:val="16"/>
              </w:rPr>
              <w:t>a</w:t>
            </w:r>
            <w:r w:rsidRPr="00A11FE0">
              <w:rPr>
                <w:rFonts w:asciiTheme="majorHAnsi" w:hAnsiTheme="majorHAnsi"/>
                <w:noProof/>
                <w:sz w:val="16"/>
                <w:szCs w:val="16"/>
              </w:rPr>
              <w:t xml:space="preserve"> ochrana životného prostredia </w:t>
            </w:r>
            <w:r>
              <w:rPr>
                <w:rFonts w:asciiTheme="majorHAnsi" w:hAnsiTheme="majorHAnsi"/>
                <w:noProof/>
                <w:sz w:val="16"/>
                <w:szCs w:val="16"/>
              </w:rPr>
              <w:t>a</w:t>
            </w:r>
            <w:r w:rsidRPr="00A11FE0">
              <w:rPr>
                <w:rFonts w:asciiTheme="majorHAnsi" w:hAnsiTheme="majorHAnsi"/>
                <w:noProof/>
                <w:sz w:val="16"/>
                <w:szCs w:val="16"/>
              </w:rPr>
              <w:t> podpora efektívneho využívania zdrojov</w:t>
            </w:r>
          </w:p>
        </w:tc>
        <w:tc>
          <w:tcPr>
            <w:tcW w:w="634" w:type="pct"/>
            <w:shd w:val="clear" w:color="auto" w:fill="FFFFFF" w:themeFill="background1"/>
            <w:vAlign w:val="center"/>
          </w:tcPr>
          <w:p w:rsidR="007844B8" w:rsidRPr="007844B8" w:rsidRDefault="003B66CF" w:rsidP="005D0D2A">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87 407</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131</w:t>
            </w:r>
            <w:r w:rsidR="009E44E3">
              <w:rPr>
                <w:rFonts w:ascii="Calibri" w:eastAsia="Times New Roman" w:hAnsi="Calibri"/>
                <w:color w:val="000000"/>
                <w:sz w:val="16"/>
                <w:szCs w:val="16"/>
                <w:lang w:eastAsia="sk-SK"/>
              </w:rPr>
              <w:t xml:space="preserve"> </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r w:rsidRPr="007844B8">
              <w:rPr>
                <w:rFonts w:ascii="Calibri" w:hAnsi="Calibri"/>
                <w:color w:val="000000"/>
                <w:sz w:val="16"/>
                <w:szCs w:val="16"/>
              </w:rPr>
              <w:t>1 441 766 000</w:t>
            </w:r>
          </w:p>
        </w:tc>
        <w:tc>
          <w:tcPr>
            <w:tcW w:w="626" w:type="pct"/>
            <w:vAlign w:val="center"/>
          </w:tcPr>
          <w:p w:rsidR="007844B8" w:rsidRPr="007844B8" w:rsidRDefault="00162B8F" w:rsidP="001172EE">
            <w:pPr>
              <w:snapToGrid w:val="0"/>
              <w:spacing w:after="0"/>
              <w:jc w:val="center"/>
              <w:rPr>
                <w:rFonts w:ascii="Calibri" w:hAnsi="Calibri"/>
                <w:color w:val="000000"/>
                <w:sz w:val="16"/>
                <w:szCs w:val="16"/>
              </w:rPr>
            </w:pPr>
            <w:r w:rsidRPr="0011385F">
              <w:rPr>
                <w:rFonts w:ascii="Calibri" w:eastAsia="MS Mincho" w:hAnsi="Calibri"/>
                <w:color w:val="000000"/>
                <w:sz w:val="16"/>
                <w:szCs w:val="16"/>
              </w:rPr>
              <w:t>331 043 432,50</w:t>
            </w:r>
            <w:r w:rsidR="009E44E3">
              <w:rPr>
                <w:rFonts w:ascii="Calibri" w:eastAsia="MS Mincho" w:hAnsi="Calibri"/>
                <w:color w:val="000000"/>
                <w:sz w:val="16"/>
                <w:szCs w:val="16"/>
              </w:rPr>
              <w:t xml:space="preserve"> </w:t>
            </w:r>
          </w:p>
        </w:tc>
        <w:tc>
          <w:tcPr>
            <w:tcW w:w="541" w:type="pct"/>
            <w:vAlign w:val="center"/>
          </w:tcPr>
          <w:p w:rsidR="007844B8" w:rsidRPr="007844B8" w:rsidRDefault="005D0D2A" w:rsidP="008A6B73">
            <w:pPr>
              <w:snapToGrid w:val="0"/>
              <w:spacing w:after="0"/>
              <w:jc w:val="center"/>
              <w:rPr>
                <w:rFonts w:ascii="Calibri" w:hAnsi="Calibri"/>
                <w:color w:val="000000"/>
                <w:sz w:val="16"/>
                <w:szCs w:val="16"/>
              </w:rPr>
            </w:pPr>
            <w:r>
              <w:rPr>
                <w:rFonts w:ascii="Calibri" w:hAnsi="Calibri"/>
                <w:color w:val="000000"/>
                <w:sz w:val="16"/>
                <w:szCs w:val="16"/>
              </w:rPr>
              <w:t>2 167 880</w:t>
            </w:r>
          </w:p>
        </w:tc>
        <w:tc>
          <w:tcPr>
            <w:tcW w:w="718" w:type="pct"/>
            <w:vAlign w:val="center"/>
          </w:tcPr>
          <w:p w:rsidR="007844B8" w:rsidRPr="00ED21AE" w:rsidRDefault="00162B8F">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1 862 384 443,50</w:t>
            </w:r>
            <w:r w:rsidR="009E44E3">
              <w:rPr>
                <w:rFonts w:ascii="Calibri" w:eastAsia="Times New Roman" w:hAnsi="Calibri"/>
                <w:color w:val="000000"/>
                <w:sz w:val="16"/>
                <w:szCs w:val="16"/>
                <w:lang w:eastAsia="sk-SK"/>
              </w:rPr>
              <w:t xml:space="preserve"> </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noProof/>
                <w:sz w:val="16"/>
                <w:szCs w:val="16"/>
              </w:rPr>
            </w:pPr>
            <w:r w:rsidRPr="00A11FE0">
              <w:rPr>
                <w:rFonts w:asciiTheme="majorHAnsi" w:hAnsiTheme="majorHAnsi"/>
                <w:noProof/>
                <w:sz w:val="16"/>
                <w:szCs w:val="16"/>
              </w:rPr>
              <w:t xml:space="preserve">7. Podpora udržateľnej dopravy </w:t>
            </w:r>
            <w:r>
              <w:rPr>
                <w:rFonts w:asciiTheme="majorHAnsi" w:hAnsiTheme="majorHAnsi"/>
                <w:noProof/>
                <w:sz w:val="16"/>
                <w:szCs w:val="16"/>
              </w:rPr>
              <w:t>a</w:t>
            </w:r>
            <w:r w:rsidRPr="00A11FE0">
              <w:rPr>
                <w:rFonts w:asciiTheme="majorHAnsi" w:hAnsiTheme="majorHAnsi"/>
                <w:noProof/>
                <w:sz w:val="16"/>
                <w:szCs w:val="16"/>
              </w:rPr>
              <w:t> odstraňovanie prekážok v </w:t>
            </w:r>
            <w:r>
              <w:rPr>
                <w:rFonts w:asciiTheme="majorHAnsi" w:hAnsiTheme="majorHAnsi"/>
                <w:noProof/>
                <w:sz w:val="16"/>
                <w:szCs w:val="16"/>
              </w:rPr>
              <w:t>k</w:t>
            </w:r>
            <w:r w:rsidRPr="00A11FE0">
              <w:rPr>
                <w:rFonts w:asciiTheme="majorHAnsi" w:hAnsiTheme="majorHAnsi"/>
                <w:noProof/>
                <w:sz w:val="16"/>
                <w:szCs w:val="16"/>
              </w:rPr>
              <w:t xml:space="preserve">ľúčových </w:t>
            </w:r>
            <w:r>
              <w:rPr>
                <w:rFonts w:asciiTheme="majorHAnsi" w:hAnsiTheme="majorHAnsi"/>
                <w:noProof/>
                <w:sz w:val="16"/>
                <w:szCs w:val="16"/>
              </w:rPr>
              <w:t>s</w:t>
            </w:r>
            <w:r w:rsidRPr="00A11FE0">
              <w:rPr>
                <w:rFonts w:asciiTheme="majorHAnsi" w:hAnsiTheme="majorHAnsi"/>
                <w:noProof/>
                <w:sz w:val="16"/>
                <w:szCs w:val="16"/>
              </w:rPr>
              <w:t>ieťových infraštruktúrach</w:t>
            </w:r>
          </w:p>
        </w:tc>
        <w:tc>
          <w:tcPr>
            <w:tcW w:w="634" w:type="pct"/>
            <w:shd w:val="clear" w:color="auto" w:fill="FFFFFF" w:themeFill="background1"/>
            <w:vAlign w:val="center"/>
          </w:tcPr>
          <w:p w:rsidR="007844B8" w:rsidRPr="007844B8" w:rsidRDefault="002B2457" w:rsidP="005D0D2A">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1 183 818</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712</w:t>
            </w:r>
            <w:r w:rsidR="009E44E3">
              <w:rPr>
                <w:rFonts w:ascii="Calibri" w:eastAsia="Times New Roman" w:hAnsi="Calibri"/>
                <w:color w:val="000000"/>
                <w:sz w:val="16"/>
                <w:szCs w:val="16"/>
                <w:lang w:eastAsia="sk-SK"/>
              </w:rPr>
              <w:t xml:space="preserve"> </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r w:rsidRPr="007844B8">
              <w:rPr>
                <w:rFonts w:ascii="Calibri" w:hAnsi="Calibri"/>
                <w:color w:val="000000"/>
                <w:sz w:val="16"/>
                <w:szCs w:val="16"/>
              </w:rPr>
              <w:t>2 307 139 166</w:t>
            </w:r>
          </w:p>
        </w:tc>
        <w:tc>
          <w:tcPr>
            <w:tcW w:w="626" w:type="pct"/>
            <w:vAlign w:val="center"/>
          </w:tcPr>
          <w:p w:rsidR="007844B8" w:rsidRPr="007844B8" w:rsidRDefault="007844B8" w:rsidP="001172EE">
            <w:pPr>
              <w:snapToGrid w:val="0"/>
              <w:spacing w:after="0"/>
              <w:jc w:val="center"/>
              <w:rPr>
                <w:rFonts w:ascii="Calibri" w:hAnsi="Calibri"/>
                <w:color w:val="000000"/>
                <w:sz w:val="16"/>
                <w:szCs w:val="16"/>
              </w:rPr>
            </w:pPr>
          </w:p>
        </w:tc>
        <w:tc>
          <w:tcPr>
            <w:tcW w:w="541" w:type="pct"/>
            <w:vAlign w:val="center"/>
          </w:tcPr>
          <w:p w:rsidR="007844B8" w:rsidRPr="007844B8" w:rsidRDefault="007844B8" w:rsidP="008A6B73">
            <w:pPr>
              <w:snapToGrid w:val="0"/>
              <w:spacing w:after="0"/>
              <w:jc w:val="center"/>
              <w:rPr>
                <w:rFonts w:ascii="Calibri" w:hAnsi="Calibri"/>
                <w:color w:val="000000"/>
                <w:sz w:val="16"/>
                <w:szCs w:val="16"/>
              </w:rPr>
            </w:pPr>
          </w:p>
        </w:tc>
        <w:tc>
          <w:tcPr>
            <w:tcW w:w="718" w:type="pct"/>
            <w:vAlign w:val="center"/>
          </w:tcPr>
          <w:p w:rsidR="007844B8" w:rsidRPr="00ED21AE" w:rsidRDefault="002B2457">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3 490 957</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878</w:t>
            </w:r>
            <w:r w:rsidR="009E44E3">
              <w:rPr>
                <w:rFonts w:ascii="Calibri" w:eastAsia="Times New Roman" w:hAnsi="Calibri"/>
                <w:color w:val="000000"/>
                <w:sz w:val="16"/>
                <w:szCs w:val="16"/>
                <w:lang w:eastAsia="sk-SK"/>
              </w:rPr>
              <w:t xml:space="preserve"> </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noProof/>
                <w:sz w:val="16"/>
                <w:szCs w:val="16"/>
              </w:rPr>
            </w:pPr>
            <w:r w:rsidRPr="00A11FE0">
              <w:rPr>
                <w:rFonts w:asciiTheme="majorHAnsi" w:hAnsiTheme="majorHAnsi"/>
                <w:noProof/>
                <w:sz w:val="16"/>
                <w:szCs w:val="16"/>
              </w:rPr>
              <w:t xml:space="preserve">8. Podpora udržateľnosti </w:t>
            </w:r>
            <w:r>
              <w:rPr>
                <w:rFonts w:asciiTheme="majorHAnsi" w:hAnsiTheme="majorHAnsi"/>
                <w:noProof/>
                <w:sz w:val="16"/>
                <w:szCs w:val="16"/>
              </w:rPr>
              <w:t>a</w:t>
            </w:r>
            <w:r w:rsidRPr="00A11FE0">
              <w:rPr>
                <w:rFonts w:asciiTheme="majorHAnsi" w:hAnsiTheme="majorHAnsi"/>
                <w:noProof/>
                <w:sz w:val="16"/>
                <w:szCs w:val="16"/>
              </w:rPr>
              <w:t> </w:t>
            </w:r>
            <w:r>
              <w:rPr>
                <w:rFonts w:asciiTheme="majorHAnsi" w:hAnsiTheme="majorHAnsi"/>
                <w:noProof/>
                <w:sz w:val="16"/>
                <w:szCs w:val="16"/>
              </w:rPr>
              <w:t>k</w:t>
            </w:r>
            <w:r w:rsidRPr="00A11FE0">
              <w:rPr>
                <w:rFonts w:asciiTheme="majorHAnsi" w:hAnsiTheme="majorHAnsi"/>
                <w:noProof/>
                <w:sz w:val="16"/>
                <w:szCs w:val="16"/>
              </w:rPr>
              <w:t xml:space="preserve">vality zamestnanosti </w:t>
            </w:r>
            <w:r>
              <w:rPr>
                <w:rFonts w:asciiTheme="majorHAnsi" w:hAnsiTheme="majorHAnsi"/>
                <w:noProof/>
                <w:sz w:val="16"/>
                <w:szCs w:val="16"/>
              </w:rPr>
              <w:t>a</w:t>
            </w:r>
            <w:r w:rsidRPr="00A11FE0">
              <w:rPr>
                <w:rFonts w:asciiTheme="majorHAnsi" w:hAnsiTheme="majorHAnsi"/>
                <w:noProof/>
                <w:sz w:val="16"/>
                <w:szCs w:val="16"/>
              </w:rPr>
              <w:t xml:space="preserve"> mobility pracovnej </w:t>
            </w:r>
            <w:r>
              <w:rPr>
                <w:rFonts w:asciiTheme="majorHAnsi" w:hAnsiTheme="majorHAnsi"/>
                <w:noProof/>
                <w:sz w:val="16"/>
                <w:szCs w:val="16"/>
              </w:rPr>
              <w:t>s</w:t>
            </w:r>
            <w:r w:rsidRPr="00A11FE0">
              <w:rPr>
                <w:rFonts w:asciiTheme="majorHAnsi" w:hAnsiTheme="majorHAnsi"/>
                <w:noProof/>
                <w:sz w:val="16"/>
                <w:szCs w:val="16"/>
              </w:rPr>
              <w:t>ily</w:t>
            </w:r>
          </w:p>
        </w:tc>
        <w:tc>
          <w:tcPr>
            <w:tcW w:w="634" w:type="pct"/>
            <w:vAlign w:val="center"/>
          </w:tcPr>
          <w:p w:rsidR="007844B8" w:rsidRPr="007844B8" w:rsidRDefault="0022295F" w:rsidP="005D0D2A">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213 870</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472</w:t>
            </w:r>
            <w:r w:rsidR="009E44E3">
              <w:rPr>
                <w:rFonts w:ascii="Calibri" w:eastAsia="Times New Roman" w:hAnsi="Calibri"/>
                <w:color w:val="000000"/>
                <w:sz w:val="16"/>
                <w:szCs w:val="16"/>
                <w:lang w:eastAsia="sk-SK"/>
              </w:rPr>
              <w:t xml:space="preserve"> </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918 099 996</w:t>
            </w: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p>
        </w:tc>
        <w:tc>
          <w:tcPr>
            <w:tcW w:w="626" w:type="pct"/>
            <w:vAlign w:val="center"/>
          </w:tcPr>
          <w:p w:rsidR="007844B8" w:rsidRPr="007844B8" w:rsidRDefault="0022295F" w:rsidP="001172EE">
            <w:pPr>
              <w:snapToGrid w:val="0"/>
              <w:spacing w:after="0"/>
              <w:jc w:val="center"/>
              <w:rPr>
                <w:rFonts w:ascii="Calibri" w:hAnsi="Calibri"/>
                <w:color w:val="000000"/>
                <w:sz w:val="16"/>
                <w:szCs w:val="16"/>
              </w:rPr>
            </w:pPr>
            <w:r w:rsidRPr="0011385F">
              <w:rPr>
                <w:rFonts w:ascii="Calibri" w:eastAsia="MS Mincho" w:hAnsi="Calibri"/>
                <w:color w:val="000000"/>
                <w:sz w:val="16"/>
                <w:szCs w:val="16"/>
              </w:rPr>
              <w:t>73 683</w:t>
            </w:r>
            <w:r w:rsidR="009E44E3">
              <w:rPr>
                <w:rFonts w:ascii="Calibri" w:eastAsia="MS Mincho" w:hAnsi="Calibri"/>
                <w:color w:val="000000"/>
                <w:sz w:val="16"/>
                <w:szCs w:val="16"/>
              </w:rPr>
              <w:t> </w:t>
            </w:r>
            <w:r w:rsidRPr="0011385F">
              <w:rPr>
                <w:rFonts w:ascii="Calibri" w:eastAsia="MS Mincho" w:hAnsi="Calibri"/>
                <w:color w:val="000000"/>
                <w:sz w:val="16"/>
                <w:szCs w:val="16"/>
              </w:rPr>
              <w:t>542</w:t>
            </w:r>
            <w:r w:rsidR="009E44E3">
              <w:rPr>
                <w:rFonts w:ascii="Calibri" w:eastAsia="MS Mincho" w:hAnsi="Calibri"/>
                <w:color w:val="000000"/>
                <w:sz w:val="16"/>
                <w:szCs w:val="16"/>
              </w:rPr>
              <w:t xml:space="preserve"> </w:t>
            </w:r>
          </w:p>
        </w:tc>
        <w:tc>
          <w:tcPr>
            <w:tcW w:w="541" w:type="pct"/>
            <w:vAlign w:val="center"/>
          </w:tcPr>
          <w:p w:rsidR="007844B8" w:rsidRPr="007844B8" w:rsidRDefault="007844B8" w:rsidP="008A6B73">
            <w:pPr>
              <w:snapToGrid w:val="0"/>
              <w:spacing w:after="0"/>
              <w:jc w:val="center"/>
              <w:rPr>
                <w:rFonts w:ascii="Calibri" w:hAnsi="Calibri"/>
                <w:color w:val="000000"/>
                <w:sz w:val="16"/>
                <w:szCs w:val="16"/>
              </w:rPr>
            </w:pPr>
          </w:p>
        </w:tc>
        <w:tc>
          <w:tcPr>
            <w:tcW w:w="718" w:type="pct"/>
            <w:vAlign w:val="center"/>
          </w:tcPr>
          <w:p w:rsidR="007844B8" w:rsidRPr="00ED21AE" w:rsidRDefault="0022295F">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1 205 654</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010</w:t>
            </w:r>
            <w:r w:rsidR="009E44E3">
              <w:rPr>
                <w:rFonts w:ascii="Calibri" w:eastAsia="Times New Roman" w:hAnsi="Calibri"/>
                <w:color w:val="000000"/>
                <w:sz w:val="16"/>
                <w:szCs w:val="16"/>
                <w:lang w:eastAsia="sk-SK"/>
              </w:rPr>
              <w:t xml:space="preserve"> </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noProof/>
                <w:sz w:val="16"/>
                <w:szCs w:val="16"/>
              </w:rPr>
            </w:pPr>
            <w:r w:rsidRPr="00A11FE0">
              <w:rPr>
                <w:rFonts w:asciiTheme="majorHAnsi" w:hAnsiTheme="majorHAnsi"/>
                <w:noProof/>
                <w:sz w:val="16"/>
                <w:szCs w:val="16"/>
              </w:rPr>
              <w:t xml:space="preserve">9. Podpora </w:t>
            </w:r>
            <w:r>
              <w:rPr>
                <w:rFonts w:asciiTheme="majorHAnsi" w:hAnsiTheme="majorHAnsi"/>
                <w:noProof/>
                <w:sz w:val="16"/>
                <w:szCs w:val="16"/>
              </w:rPr>
              <w:t>s</w:t>
            </w:r>
            <w:r w:rsidRPr="00A11FE0">
              <w:rPr>
                <w:rFonts w:asciiTheme="majorHAnsi" w:hAnsiTheme="majorHAnsi"/>
                <w:noProof/>
                <w:sz w:val="16"/>
                <w:szCs w:val="16"/>
              </w:rPr>
              <w:t xml:space="preserve">ociálneho začlenenia, boj proti chudobe </w:t>
            </w:r>
            <w:r>
              <w:rPr>
                <w:rFonts w:asciiTheme="majorHAnsi" w:hAnsiTheme="majorHAnsi"/>
                <w:noProof/>
                <w:sz w:val="16"/>
                <w:szCs w:val="16"/>
              </w:rPr>
              <w:t>a</w:t>
            </w:r>
            <w:r w:rsidRPr="00A11FE0">
              <w:rPr>
                <w:rFonts w:asciiTheme="majorHAnsi" w:hAnsiTheme="majorHAnsi"/>
                <w:noProof/>
                <w:sz w:val="16"/>
                <w:szCs w:val="16"/>
              </w:rPr>
              <w:t> </w:t>
            </w:r>
            <w:r>
              <w:rPr>
                <w:rFonts w:asciiTheme="majorHAnsi" w:hAnsiTheme="majorHAnsi"/>
                <w:noProof/>
                <w:sz w:val="16"/>
                <w:szCs w:val="16"/>
              </w:rPr>
              <w:t>ak</w:t>
            </w:r>
            <w:r w:rsidRPr="00A11FE0">
              <w:rPr>
                <w:rFonts w:asciiTheme="majorHAnsi" w:hAnsiTheme="majorHAnsi"/>
                <w:noProof/>
                <w:sz w:val="16"/>
                <w:szCs w:val="16"/>
              </w:rPr>
              <w:t>ejkoľvek diskriminácii</w:t>
            </w:r>
          </w:p>
        </w:tc>
        <w:tc>
          <w:tcPr>
            <w:tcW w:w="634" w:type="pct"/>
            <w:vAlign w:val="center"/>
          </w:tcPr>
          <w:p w:rsidR="007844B8" w:rsidRPr="007844B8" w:rsidRDefault="0022295F" w:rsidP="005D0D2A">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830 524</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468</w:t>
            </w:r>
            <w:r w:rsidR="009E44E3">
              <w:rPr>
                <w:rFonts w:ascii="Calibri" w:eastAsia="Times New Roman" w:hAnsi="Calibri"/>
                <w:color w:val="000000"/>
                <w:sz w:val="16"/>
                <w:szCs w:val="16"/>
                <w:lang w:eastAsia="sk-SK"/>
              </w:rPr>
              <w:t xml:space="preserve"> </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433 699 291</w:t>
            </w: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p>
        </w:tc>
        <w:tc>
          <w:tcPr>
            <w:tcW w:w="626" w:type="pct"/>
            <w:vAlign w:val="center"/>
          </w:tcPr>
          <w:p w:rsidR="007844B8" w:rsidRPr="007844B8" w:rsidRDefault="0022295F" w:rsidP="001172EE">
            <w:pPr>
              <w:snapToGrid w:val="0"/>
              <w:spacing w:after="0"/>
              <w:jc w:val="center"/>
              <w:rPr>
                <w:rFonts w:ascii="Calibri" w:hAnsi="Calibri"/>
                <w:color w:val="000000"/>
                <w:sz w:val="16"/>
                <w:szCs w:val="16"/>
              </w:rPr>
            </w:pPr>
            <w:r w:rsidRPr="0011385F">
              <w:rPr>
                <w:rFonts w:ascii="Calibri" w:eastAsia="MS Mincho" w:hAnsi="Calibri"/>
                <w:color w:val="000000"/>
                <w:sz w:val="16"/>
                <w:szCs w:val="16"/>
              </w:rPr>
              <w:t>147 074</w:t>
            </w:r>
            <w:r w:rsidR="009E44E3">
              <w:rPr>
                <w:rFonts w:ascii="Calibri" w:eastAsia="MS Mincho" w:hAnsi="Calibri"/>
                <w:color w:val="000000"/>
                <w:sz w:val="16"/>
                <w:szCs w:val="16"/>
              </w:rPr>
              <w:t> </w:t>
            </w:r>
            <w:r w:rsidRPr="0011385F">
              <w:rPr>
                <w:rFonts w:ascii="Calibri" w:eastAsia="MS Mincho" w:hAnsi="Calibri"/>
                <w:color w:val="000000"/>
                <w:sz w:val="16"/>
                <w:szCs w:val="16"/>
              </w:rPr>
              <w:t>663</w:t>
            </w:r>
            <w:r w:rsidR="009E44E3">
              <w:rPr>
                <w:rFonts w:ascii="Calibri" w:eastAsia="MS Mincho" w:hAnsi="Calibri"/>
                <w:color w:val="000000"/>
                <w:sz w:val="16"/>
                <w:szCs w:val="16"/>
              </w:rPr>
              <w:t xml:space="preserve"> </w:t>
            </w:r>
          </w:p>
        </w:tc>
        <w:tc>
          <w:tcPr>
            <w:tcW w:w="541" w:type="pct"/>
            <w:vAlign w:val="center"/>
          </w:tcPr>
          <w:p w:rsidR="007844B8" w:rsidRPr="007844B8" w:rsidRDefault="007844B8" w:rsidP="008A6B73">
            <w:pPr>
              <w:snapToGrid w:val="0"/>
              <w:spacing w:after="0"/>
              <w:jc w:val="center"/>
              <w:rPr>
                <w:rFonts w:ascii="Calibri" w:hAnsi="Calibri"/>
                <w:color w:val="000000"/>
                <w:sz w:val="16"/>
                <w:szCs w:val="16"/>
              </w:rPr>
            </w:pPr>
          </w:p>
        </w:tc>
        <w:tc>
          <w:tcPr>
            <w:tcW w:w="718" w:type="pct"/>
            <w:vAlign w:val="center"/>
          </w:tcPr>
          <w:p w:rsidR="007844B8" w:rsidRPr="00ED21AE" w:rsidRDefault="0022295F">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1 411 298</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422</w:t>
            </w:r>
            <w:r w:rsidR="009E44E3">
              <w:rPr>
                <w:rFonts w:ascii="Calibri" w:eastAsia="Times New Roman" w:hAnsi="Calibri"/>
                <w:color w:val="000000"/>
                <w:sz w:val="16"/>
                <w:szCs w:val="16"/>
                <w:lang w:eastAsia="sk-SK"/>
              </w:rPr>
              <w:t xml:space="preserve"> </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noProof/>
                <w:sz w:val="16"/>
                <w:szCs w:val="16"/>
              </w:rPr>
            </w:pPr>
            <w:r w:rsidRPr="00A11FE0">
              <w:rPr>
                <w:rFonts w:asciiTheme="majorHAnsi" w:hAnsiTheme="majorHAnsi"/>
                <w:noProof/>
                <w:sz w:val="16"/>
                <w:szCs w:val="16"/>
              </w:rPr>
              <w:t xml:space="preserve">10. Investovanie do vzdelania, školení </w:t>
            </w:r>
            <w:r>
              <w:rPr>
                <w:rFonts w:asciiTheme="majorHAnsi" w:hAnsiTheme="majorHAnsi"/>
                <w:noProof/>
                <w:sz w:val="16"/>
                <w:szCs w:val="16"/>
              </w:rPr>
              <w:t>a</w:t>
            </w:r>
            <w:r w:rsidRPr="00A11FE0">
              <w:rPr>
                <w:rFonts w:asciiTheme="majorHAnsi" w:hAnsiTheme="majorHAnsi"/>
                <w:noProof/>
                <w:sz w:val="16"/>
                <w:szCs w:val="16"/>
              </w:rPr>
              <w:t xml:space="preserve"> odbornej prípravy, </w:t>
            </w:r>
            <w:r>
              <w:rPr>
                <w:rFonts w:asciiTheme="majorHAnsi" w:hAnsiTheme="majorHAnsi"/>
                <w:noProof/>
                <w:sz w:val="16"/>
                <w:szCs w:val="16"/>
              </w:rPr>
              <w:t>ak</w:t>
            </w:r>
            <w:r w:rsidRPr="00A11FE0">
              <w:rPr>
                <w:rFonts w:asciiTheme="majorHAnsi" w:hAnsiTheme="majorHAnsi"/>
                <w:noProof/>
                <w:sz w:val="16"/>
                <w:szCs w:val="16"/>
              </w:rPr>
              <w:t xml:space="preserve">o </w:t>
            </w:r>
            <w:r>
              <w:rPr>
                <w:rFonts w:asciiTheme="majorHAnsi" w:hAnsiTheme="majorHAnsi"/>
                <w:noProof/>
                <w:sz w:val="16"/>
                <w:szCs w:val="16"/>
              </w:rPr>
              <w:t>a</w:t>
            </w:r>
            <w:r w:rsidRPr="00A11FE0">
              <w:rPr>
                <w:rFonts w:asciiTheme="majorHAnsi" w:hAnsiTheme="majorHAnsi"/>
                <w:noProof/>
                <w:sz w:val="16"/>
                <w:szCs w:val="16"/>
              </w:rPr>
              <w:t xml:space="preserve">j zručností </w:t>
            </w:r>
            <w:r>
              <w:rPr>
                <w:rFonts w:asciiTheme="majorHAnsi" w:hAnsiTheme="majorHAnsi"/>
                <w:noProof/>
                <w:sz w:val="16"/>
                <w:szCs w:val="16"/>
              </w:rPr>
              <w:t>a</w:t>
            </w:r>
            <w:r w:rsidRPr="00A11FE0">
              <w:rPr>
                <w:rFonts w:asciiTheme="majorHAnsi" w:hAnsiTheme="majorHAnsi"/>
                <w:noProof/>
                <w:sz w:val="16"/>
                <w:szCs w:val="16"/>
              </w:rPr>
              <w:t> celoživotného vzdelávania</w:t>
            </w:r>
          </w:p>
        </w:tc>
        <w:tc>
          <w:tcPr>
            <w:tcW w:w="634" w:type="pct"/>
            <w:vAlign w:val="center"/>
          </w:tcPr>
          <w:p w:rsidR="007844B8" w:rsidRPr="007844B8" w:rsidRDefault="00923A2F" w:rsidP="005D0D2A">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260 476</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700</w:t>
            </w:r>
            <w:r w:rsidR="009E44E3">
              <w:rPr>
                <w:rFonts w:ascii="Calibri" w:eastAsia="Times New Roman" w:hAnsi="Calibri"/>
                <w:color w:val="000000"/>
                <w:sz w:val="16"/>
                <w:szCs w:val="16"/>
                <w:lang w:eastAsia="sk-SK"/>
              </w:rPr>
              <w:t xml:space="preserve"> </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458 746 509</w:t>
            </w: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p>
        </w:tc>
        <w:tc>
          <w:tcPr>
            <w:tcW w:w="626" w:type="pct"/>
            <w:vAlign w:val="center"/>
          </w:tcPr>
          <w:p w:rsidR="007844B8" w:rsidRPr="007844B8" w:rsidRDefault="00923A2F" w:rsidP="001172EE">
            <w:pPr>
              <w:snapToGrid w:val="0"/>
              <w:spacing w:after="0"/>
              <w:jc w:val="center"/>
              <w:rPr>
                <w:rFonts w:ascii="Calibri" w:hAnsi="Calibri"/>
                <w:color w:val="000000"/>
                <w:sz w:val="16"/>
                <w:szCs w:val="16"/>
              </w:rPr>
            </w:pPr>
            <w:r w:rsidRPr="0011385F">
              <w:rPr>
                <w:rFonts w:ascii="Calibri" w:eastAsia="MS Mincho" w:hAnsi="Calibri"/>
                <w:color w:val="000000"/>
                <w:sz w:val="16"/>
                <w:szCs w:val="16"/>
              </w:rPr>
              <w:t>10 571</w:t>
            </w:r>
            <w:r w:rsidR="009E44E3">
              <w:rPr>
                <w:rFonts w:ascii="Calibri" w:eastAsia="MS Mincho" w:hAnsi="Calibri"/>
                <w:color w:val="000000"/>
                <w:sz w:val="16"/>
                <w:szCs w:val="16"/>
              </w:rPr>
              <w:t> </w:t>
            </w:r>
            <w:r w:rsidRPr="0011385F">
              <w:rPr>
                <w:rFonts w:ascii="Calibri" w:eastAsia="MS Mincho" w:hAnsi="Calibri"/>
                <w:color w:val="000000"/>
                <w:sz w:val="16"/>
                <w:szCs w:val="16"/>
              </w:rPr>
              <w:t>729</w:t>
            </w:r>
            <w:r w:rsidR="009E44E3">
              <w:rPr>
                <w:rFonts w:ascii="Calibri" w:eastAsia="MS Mincho" w:hAnsi="Calibri"/>
                <w:color w:val="000000"/>
                <w:sz w:val="16"/>
                <w:szCs w:val="16"/>
              </w:rPr>
              <w:t xml:space="preserve"> </w:t>
            </w:r>
          </w:p>
        </w:tc>
        <w:tc>
          <w:tcPr>
            <w:tcW w:w="541" w:type="pct"/>
            <w:vAlign w:val="center"/>
          </w:tcPr>
          <w:p w:rsidR="007844B8" w:rsidRPr="007844B8" w:rsidRDefault="007844B8" w:rsidP="008A6B73">
            <w:pPr>
              <w:snapToGrid w:val="0"/>
              <w:spacing w:after="0"/>
              <w:jc w:val="center"/>
              <w:rPr>
                <w:rFonts w:ascii="Calibri" w:hAnsi="Calibri"/>
                <w:color w:val="000000"/>
                <w:sz w:val="16"/>
                <w:szCs w:val="16"/>
              </w:rPr>
            </w:pPr>
          </w:p>
        </w:tc>
        <w:tc>
          <w:tcPr>
            <w:tcW w:w="718" w:type="pct"/>
            <w:vAlign w:val="center"/>
          </w:tcPr>
          <w:p w:rsidR="007844B8" w:rsidRPr="00ED21AE" w:rsidRDefault="00923A2F">
            <w:pPr>
              <w:snapToGrid w:val="0"/>
              <w:spacing w:after="0"/>
              <w:jc w:val="center"/>
              <w:rPr>
                <w:rFonts w:ascii="Calibri" w:hAnsi="Calibri"/>
                <w:color w:val="000000"/>
                <w:sz w:val="16"/>
                <w:szCs w:val="16"/>
              </w:rPr>
            </w:pPr>
            <w:r w:rsidRPr="0011385F">
              <w:rPr>
                <w:rFonts w:ascii="Calibri" w:eastAsia="Times New Roman" w:hAnsi="Calibri"/>
                <w:color w:val="000000"/>
                <w:sz w:val="16"/>
                <w:szCs w:val="16"/>
                <w:lang w:eastAsia="sk-SK"/>
              </w:rPr>
              <w:t>729 794</w:t>
            </w:r>
            <w:r w:rsidR="009E44E3">
              <w:rPr>
                <w:rFonts w:ascii="Calibri" w:eastAsia="Times New Roman" w:hAnsi="Calibri"/>
                <w:color w:val="000000"/>
                <w:sz w:val="16"/>
                <w:szCs w:val="16"/>
                <w:lang w:eastAsia="sk-SK"/>
              </w:rPr>
              <w:t> </w:t>
            </w:r>
            <w:r w:rsidRPr="0011385F">
              <w:rPr>
                <w:rFonts w:ascii="Calibri" w:eastAsia="Times New Roman" w:hAnsi="Calibri"/>
                <w:color w:val="000000"/>
                <w:sz w:val="16"/>
                <w:szCs w:val="16"/>
                <w:lang w:eastAsia="sk-SK"/>
              </w:rPr>
              <w:t>938</w:t>
            </w:r>
            <w:r w:rsidR="009E44E3">
              <w:rPr>
                <w:rFonts w:ascii="Calibri" w:eastAsia="Times New Roman" w:hAnsi="Calibri"/>
                <w:color w:val="000000"/>
                <w:sz w:val="16"/>
                <w:szCs w:val="16"/>
                <w:lang w:eastAsia="sk-SK"/>
              </w:rPr>
              <w:t xml:space="preserve"> </w:t>
            </w:r>
          </w:p>
        </w:tc>
      </w:tr>
      <w:tr w:rsidR="005D0D2A" w:rsidRPr="00A11FE0" w:rsidTr="004274FF">
        <w:trPr>
          <w:trHeight w:val="727"/>
          <w:jc w:val="center"/>
        </w:trPr>
        <w:tc>
          <w:tcPr>
            <w:tcW w:w="1154" w:type="pct"/>
            <w:shd w:val="clear" w:color="auto" w:fill="F2F2F2"/>
          </w:tcPr>
          <w:p w:rsidR="007844B8" w:rsidRPr="00A11FE0" w:rsidRDefault="007844B8" w:rsidP="00D275D1">
            <w:pPr>
              <w:snapToGrid w:val="0"/>
              <w:spacing w:after="0"/>
              <w:rPr>
                <w:rFonts w:asciiTheme="majorHAnsi" w:hAnsiTheme="majorHAnsi"/>
                <w:noProof/>
                <w:sz w:val="16"/>
                <w:szCs w:val="16"/>
              </w:rPr>
            </w:pPr>
            <w:r w:rsidRPr="00A11FE0">
              <w:rPr>
                <w:rFonts w:asciiTheme="majorHAnsi" w:hAnsiTheme="majorHAnsi"/>
                <w:noProof/>
                <w:sz w:val="16"/>
                <w:szCs w:val="16"/>
              </w:rPr>
              <w:t xml:space="preserve">11. Posilnenie inštuticionálnych </w:t>
            </w:r>
            <w:r>
              <w:rPr>
                <w:rFonts w:asciiTheme="majorHAnsi" w:hAnsiTheme="majorHAnsi"/>
                <w:noProof/>
                <w:sz w:val="16"/>
                <w:szCs w:val="16"/>
              </w:rPr>
              <w:t>k</w:t>
            </w:r>
            <w:r w:rsidRPr="00A11FE0">
              <w:rPr>
                <w:rFonts w:asciiTheme="majorHAnsi" w:hAnsiTheme="majorHAnsi"/>
                <w:noProof/>
                <w:sz w:val="16"/>
                <w:szCs w:val="16"/>
              </w:rPr>
              <w:t xml:space="preserve">apacít orgánov verejnej </w:t>
            </w:r>
            <w:r>
              <w:rPr>
                <w:rFonts w:asciiTheme="majorHAnsi" w:hAnsiTheme="majorHAnsi"/>
                <w:noProof/>
                <w:sz w:val="16"/>
                <w:szCs w:val="16"/>
              </w:rPr>
              <w:t>s</w:t>
            </w:r>
            <w:r w:rsidRPr="00A11FE0">
              <w:rPr>
                <w:rFonts w:asciiTheme="majorHAnsi" w:hAnsiTheme="majorHAnsi"/>
                <w:noProof/>
                <w:sz w:val="16"/>
                <w:szCs w:val="16"/>
              </w:rPr>
              <w:t xml:space="preserve">právy </w:t>
            </w:r>
            <w:r>
              <w:rPr>
                <w:rFonts w:asciiTheme="majorHAnsi" w:hAnsiTheme="majorHAnsi"/>
                <w:noProof/>
                <w:sz w:val="16"/>
                <w:szCs w:val="16"/>
              </w:rPr>
              <w:t>a</w:t>
            </w:r>
            <w:r w:rsidRPr="00A11FE0">
              <w:rPr>
                <w:rFonts w:asciiTheme="majorHAnsi" w:hAnsiTheme="majorHAnsi"/>
                <w:noProof/>
                <w:sz w:val="16"/>
                <w:szCs w:val="16"/>
              </w:rPr>
              <w:t xml:space="preserve"> zainteresovaných </w:t>
            </w:r>
            <w:r>
              <w:rPr>
                <w:rFonts w:asciiTheme="majorHAnsi" w:hAnsiTheme="majorHAnsi"/>
                <w:noProof/>
                <w:sz w:val="16"/>
                <w:szCs w:val="16"/>
              </w:rPr>
              <w:t>s</w:t>
            </w:r>
            <w:r w:rsidRPr="00A11FE0">
              <w:rPr>
                <w:rFonts w:asciiTheme="majorHAnsi" w:hAnsiTheme="majorHAnsi"/>
                <w:noProof/>
                <w:sz w:val="16"/>
                <w:szCs w:val="16"/>
              </w:rPr>
              <w:t xml:space="preserve">trán </w:t>
            </w:r>
            <w:r>
              <w:rPr>
                <w:rFonts w:asciiTheme="majorHAnsi" w:hAnsiTheme="majorHAnsi"/>
                <w:noProof/>
                <w:sz w:val="16"/>
                <w:szCs w:val="16"/>
              </w:rPr>
              <w:t>a</w:t>
            </w:r>
            <w:r w:rsidRPr="00A11FE0">
              <w:rPr>
                <w:rFonts w:asciiTheme="majorHAnsi" w:hAnsiTheme="majorHAnsi"/>
                <w:noProof/>
                <w:sz w:val="16"/>
                <w:szCs w:val="16"/>
              </w:rPr>
              <w:t xml:space="preserve"> efektivity verejnej </w:t>
            </w:r>
            <w:r>
              <w:rPr>
                <w:rFonts w:asciiTheme="majorHAnsi" w:hAnsiTheme="majorHAnsi"/>
                <w:noProof/>
                <w:sz w:val="16"/>
                <w:szCs w:val="16"/>
              </w:rPr>
              <w:t>s</w:t>
            </w:r>
            <w:r w:rsidRPr="00A11FE0">
              <w:rPr>
                <w:rFonts w:asciiTheme="majorHAnsi" w:hAnsiTheme="majorHAnsi"/>
                <w:noProof/>
                <w:sz w:val="16"/>
                <w:szCs w:val="16"/>
              </w:rPr>
              <w:t>právy</w:t>
            </w:r>
          </w:p>
        </w:tc>
        <w:tc>
          <w:tcPr>
            <w:tcW w:w="634" w:type="pct"/>
            <w:vAlign w:val="center"/>
          </w:tcPr>
          <w:p w:rsidR="007844B8" w:rsidRPr="007844B8" w:rsidRDefault="007844B8" w:rsidP="005D0D2A">
            <w:pPr>
              <w:snapToGrid w:val="0"/>
              <w:spacing w:after="0"/>
              <w:jc w:val="center"/>
              <w:rPr>
                <w:rFonts w:ascii="Calibri" w:hAnsi="Calibri"/>
                <w:color w:val="000000"/>
                <w:sz w:val="16"/>
                <w:szCs w:val="16"/>
              </w:rPr>
            </w:pP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267 311 313</w:t>
            </w: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p>
        </w:tc>
        <w:tc>
          <w:tcPr>
            <w:tcW w:w="626" w:type="pct"/>
            <w:vAlign w:val="center"/>
          </w:tcPr>
          <w:p w:rsidR="007844B8" w:rsidRPr="007844B8" w:rsidRDefault="007844B8" w:rsidP="001172EE">
            <w:pPr>
              <w:snapToGrid w:val="0"/>
              <w:spacing w:after="0"/>
              <w:jc w:val="center"/>
              <w:rPr>
                <w:rFonts w:ascii="Calibri" w:hAnsi="Calibri"/>
                <w:color w:val="000000"/>
                <w:sz w:val="16"/>
                <w:szCs w:val="16"/>
              </w:rPr>
            </w:pPr>
          </w:p>
        </w:tc>
        <w:tc>
          <w:tcPr>
            <w:tcW w:w="541" w:type="pct"/>
            <w:vAlign w:val="center"/>
          </w:tcPr>
          <w:p w:rsidR="007844B8" w:rsidRPr="007844B8" w:rsidRDefault="007844B8" w:rsidP="008A6B73">
            <w:pPr>
              <w:snapToGrid w:val="0"/>
              <w:spacing w:after="0"/>
              <w:jc w:val="center"/>
              <w:rPr>
                <w:rFonts w:ascii="Calibri" w:hAnsi="Calibri"/>
                <w:color w:val="000000"/>
                <w:sz w:val="16"/>
                <w:szCs w:val="16"/>
              </w:rPr>
            </w:pPr>
          </w:p>
        </w:tc>
        <w:tc>
          <w:tcPr>
            <w:tcW w:w="718" w:type="pct"/>
            <w:vAlign w:val="center"/>
          </w:tcPr>
          <w:p w:rsidR="007844B8" w:rsidRPr="007844B8" w:rsidRDefault="007844B8">
            <w:pPr>
              <w:snapToGrid w:val="0"/>
              <w:spacing w:after="0"/>
              <w:jc w:val="center"/>
              <w:rPr>
                <w:rFonts w:ascii="Calibri" w:hAnsi="Calibri"/>
                <w:color w:val="000000"/>
                <w:sz w:val="16"/>
                <w:szCs w:val="16"/>
              </w:rPr>
            </w:pPr>
            <w:r w:rsidRPr="007844B8">
              <w:rPr>
                <w:rFonts w:ascii="Calibri" w:hAnsi="Calibri"/>
                <w:color w:val="000000"/>
                <w:sz w:val="16"/>
                <w:szCs w:val="16"/>
              </w:rPr>
              <w:t>267 311 313</w:t>
            </w:r>
          </w:p>
        </w:tc>
      </w:tr>
      <w:tr w:rsidR="005D0D2A" w:rsidRPr="00A11FE0" w:rsidTr="004274FF">
        <w:trPr>
          <w:trHeight w:val="285"/>
          <w:jc w:val="center"/>
        </w:trPr>
        <w:tc>
          <w:tcPr>
            <w:tcW w:w="1154" w:type="pct"/>
            <w:shd w:val="clear" w:color="auto" w:fill="F2F2F2"/>
          </w:tcPr>
          <w:p w:rsidR="007844B8" w:rsidRPr="00A11FE0" w:rsidRDefault="007844B8" w:rsidP="00D275D1">
            <w:pPr>
              <w:snapToGrid w:val="0"/>
              <w:spacing w:after="0"/>
              <w:rPr>
                <w:rFonts w:asciiTheme="majorHAnsi" w:hAnsiTheme="majorHAnsi"/>
                <w:noProof/>
                <w:sz w:val="16"/>
                <w:szCs w:val="16"/>
              </w:rPr>
            </w:pPr>
            <w:r w:rsidRPr="00A11FE0">
              <w:rPr>
                <w:rFonts w:asciiTheme="majorHAnsi" w:hAnsiTheme="majorHAnsi"/>
                <w:noProof/>
                <w:sz w:val="16"/>
                <w:szCs w:val="16"/>
              </w:rPr>
              <w:t>Technická pomoc</w:t>
            </w:r>
          </w:p>
        </w:tc>
        <w:tc>
          <w:tcPr>
            <w:tcW w:w="634" w:type="pct"/>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455 071 912</w:t>
            </w:r>
          </w:p>
        </w:tc>
        <w:tc>
          <w:tcPr>
            <w:tcW w:w="686" w:type="pct"/>
            <w:vAlign w:val="center"/>
          </w:tcPr>
          <w:p w:rsidR="007844B8" w:rsidRPr="007844B8" w:rsidRDefault="007844B8" w:rsidP="005D0D2A">
            <w:pPr>
              <w:snapToGrid w:val="0"/>
              <w:spacing w:after="0"/>
              <w:jc w:val="center"/>
              <w:rPr>
                <w:rFonts w:ascii="Calibri" w:hAnsi="Calibri"/>
                <w:color w:val="000000"/>
                <w:sz w:val="16"/>
                <w:szCs w:val="16"/>
              </w:rPr>
            </w:pPr>
            <w:r w:rsidRPr="007844B8">
              <w:rPr>
                <w:rFonts w:ascii="Calibri" w:hAnsi="Calibri"/>
                <w:color w:val="000000"/>
                <w:sz w:val="16"/>
                <w:szCs w:val="16"/>
              </w:rPr>
              <w:t>89 737 971</w:t>
            </w:r>
          </w:p>
        </w:tc>
        <w:tc>
          <w:tcPr>
            <w:tcW w:w="643" w:type="pct"/>
            <w:vAlign w:val="center"/>
          </w:tcPr>
          <w:p w:rsidR="007844B8" w:rsidRPr="007844B8" w:rsidRDefault="007844B8" w:rsidP="00B218DF">
            <w:pPr>
              <w:snapToGrid w:val="0"/>
              <w:spacing w:after="0"/>
              <w:jc w:val="center"/>
              <w:rPr>
                <w:rFonts w:ascii="Calibri" w:hAnsi="Calibri"/>
                <w:color w:val="000000"/>
                <w:sz w:val="16"/>
                <w:szCs w:val="16"/>
              </w:rPr>
            </w:pPr>
          </w:p>
        </w:tc>
        <w:tc>
          <w:tcPr>
            <w:tcW w:w="626" w:type="pct"/>
            <w:vAlign w:val="center"/>
          </w:tcPr>
          <w:p w:rsidR="007844B8" w:rsidRPr="007844B8" w:rsidRDefault="00923A2F" w:rsidP="001172EE">
            <w:pPr>
              <w:snapToGrid w:val="0"/>
              <w:spacing w:after="0"/>
              <w:jc w:val="center"/>
              <w:rPr>
                <w:rFonts w:ascii="Calibri" w:hAnsi="Calibri"/>
                <w:color w:val="000000"/>
                <w:sz w:val="16"/>
                <w:szCs w:val="16"/>
              </w:rPr>
            </w:pPr>
            <w:r w:rsidRPr="0011385F">
              <w:rPr>
                <w:rFonts w:ascii="Calibri" w:eastAsia="MS Mincho" w:hAnsi="Calibri"/>
                <w:color w:val="000000"/>
                <w:sz w:val="16"/>
                <w:szCs w:val="16"/>
              </w:rPr>
              <w:t>59 291</w:t>
            </w:r>
            <w:r w:rsidR="009E44E3">
              <w:rPr>
                <w:rFonts w:ascii="Calibri" w:eastAsia="MS Mincho" w:hAnsi="Calibri"/>
                <w:color w:val="000000"/>
                <w:sz w:val="16"/>
                <w:szCs w:val="16"/>
              </w:rPr>
              <w:t> </w:t>
            </w:r>
            <w:r w:rsidRPr="0011385F">
              <w:rPr>
                <w:rFonts w:ascii="Calibri" w:eastAsia="MS Mincho" w:hAnsi="Calibri"/>
                <w:color w:val="000000"/>
                <w:sz w:val="16"/>
                <w:szCs w:val="16"/>
              </w:rPr>
              <w:t>790</w:t>
            </w:r>
            <w:r w:rsidR="009E44E3">
              <w:rPr>
                <w:rFonts w:ascii="Calibri" w:eastAsia="MS Mincho" w:hAnsi="Calibri"/>
                <w:color w:val="000000"/>
                <w:sz w:val="16"/>
                <w:szCs w:val="16"/>
              </w:rPr>
              <w:t xml:space="preserve"> </w:t>
            </w:r>
          </w:p>
        </w:tc>
        <w:tc>
          <w:tcPr>
            <w:tcW w:w="541" w:type="pct"/>
            <w:vAlign w:val="center"/>
          </w:tcPr>
          <w:p w:rsidR="007844B8" w:rsidRPr="007844B8" w:rsidRDefault="00923A2F" w:rsidP="008A6B73">
            <w:pPr>
              <w:snapToGrid w:val="0"/>
              <w:spacing w:after="0"/>
              <w:jc w:val="center"/>
              <w:rPr>
                <w:rFonts w:ascii="Calibri" w:hAnsi="Calibri"/>
                <w:color w:val="000000"/>
                <w:sz w:val="16"/>
                <w:szCs w:val="16"/>
              </w:rPr>
            </w:pPr>
            <w:r w:rsidRPr="0011385F">
              <w:rPr>
                <w:rFonts w:ascii="Calibri" w:eastAsia="MS Mincho" w:hAnsi="Calibri"/>
                <w:color w:val="000000"/>
                <w:sz w:val="16"/>
                <w:szCs w:val="16"/>
              </w:rPr>
              <w:t>937</w:t>
            </w:r>
            <w:r w:rsidR="009E44E3">
              <w:rPr>
                <w:rFonts w:ascii="Calibri" w:eastAsia="MS Mincho" w:hAnsi="Calibri"/>
                <w:color w:val="000000"/>
                <w:sz w:val="16"/>
                <w:szCs w:val="16"/>
              </w:rPr>
              <w:t> </w:t>
            </w:r>
            <w:r w:rsidRPr="0011385F">
              <w:rPr>
                <w:rFonts w:ascii="Calibri" w:eastAsia="MS Mincho" w:hAnsi="Calibri"/>
                <w:color w:val="000000"/>
                <w:sz w:val="16"/>
                <w:szCs w:val="16"/>
              </w:rPr>
              <w:t>100</w:t>
            </w:r>
            <w:r w:rsidR="009E44E3">
              <w:rPr>
                <w:rFonts w:ascii="Calibri" w:eastAsia="MS Mincho" w:hAnsi="Calibri"/>
                <w:color w:val="000000"/>
                <w:sz w:val="16"/>
                <w:szCs w:val="16"/>
              </w:rPr>
              <w:t xml:space="preserve"> </w:t>
            </w:r>
          </w:p>
        </w:tc>
        <w:tc>
          <w:tcPr>
            <w:tcW w:w="718" w:type="pct"/>
            <w:vAlign w:val="center"/>
          </w:tcPr>
          <w:p w:rsidR="007844B8" w:rsidRPr="007844B8" w:rsidRDefault="00923A2F">
            <w:pPr>
              <w:snapToGrid w:val="0"/>
              <w:spacing w:after="0"/>
              <w:jc w:val="center"/>
              <w:rPr>
                <w:rFonts w:ascii="Calibri" w:hAnsi="Calibri"/>
                <w:color w:val="000000"/>
                <w:sz w:val="16"/>
                <w:szCs w:val="16"/>
              </w:rPr>
            </w:pPr>
            <w:r w:rsidRPr="0011385F">
              <w:rPr>
                <w:rFonts w:ascii="Calibri" w:eastAsia="MS Mincho" w:hAnsi="Calibri"/>
                <w:color w:val="000000"/>
                <w:sz w:val="16"/>
                <w:szCs w:val="16"/>
              </w:rPr>
              <w:t>605 038</w:t>
            </w:r>
            <w:r w:rsidR="009E44E3">
              <w:rPr>
                <w:rFonts w:ascii="Calibri" w:eastAsia="MS Mincho" w:hAnsi="Calibri"/>
                <w:color w:val="000000"/>
                <w:sz w:val="16"/>
                <w:szCs w:val="16"/>
              </w:rPr>
              <w:t> </w:t>
            </w:r>
            <w:r w:rsidRPr="0011385F">
              <w:rPr>
                <w:rFonts w:ascii="Calibri" w:eastAsia="MS Mincho" w:hAnsi="Calibri"/>
                <w:color w:val="000000"/>
                <w:sz w:val="16"/>
                <w:szCs w:val="16"/>
              </w:rPr>
              <w:t>773</w:t>
            </w:r>
            <w:r w:rsidR="009E44E3">
              <w:rPr>
                <w:rFonts w:ascii="Calibri" w:eastAsia="MS Mincho" w:hAnsi="Calibri"/>
                <w:color w:val="000000"/>
                <w:sz w:val="16"/>
                <w:szCs w:val="16"/>
              </w:rPr>
              <w:t xml:space="preserve"> </w:t>
            </w:r>
          </w:p>
        </w:tc>
      </w:tr>
      <w:tr w:rsidR="005D0D2A" w:rsidRPr="00A11FE0" w:rsidTr="004274FF">
        <w:trPr>
          <w:trHeight w:val="285"/>
          <w:jc w:val="center"/>
        </w:trPr>
        <w:tc>
          <w:tcPr>
            <w:tcW w:w="1154" w:type="pct"/>
            <w:tcBorders>
              <w:bottom w:val="double" w:sz="4" w:space="0" w:color="auto"/>
            </w:tcBorders>
            <w:shd w:val="clear" w:color="auto" w:fill="F2F2F2"/>
          </w:tcPr>
          <w:p w:rsidR="007844B8" w:rsidRPr="00A11FE0" w:rsidRDefault="007844B8" w:rsidP="00D275D1">
            <w:pPr>
              <w:snapToGrid w:val="0"/>
              <w:spacing w:after="0"/>
              <w:rPr>
                <w:rFonts w:asciiTheme="majorHAnsi" w:hAnsiTheme="majorHAnsi"/>
                <w:b/>
                <w:noProof/>
                <w:sz w:val="16"/>
                <w:szCs w:val="16"/>
              </w:rPr>
            </w:pPr>
            <w:r w:rsidRPr="00A11FE0">
              <w:rPr>
                <w:rFonts w:asciiTheme="majorHAnsi" w:hAnsiTheme="majorHAnsi"/>
                <w:b/>
                <w:noProof/>
                <w:sz w:val="16"/>
                <w:szCs w:val="16"/>
              </w:rPr>
              <w:t>CELKOM</w:t>
            </w:r>
          </w:p>
        </w:tc>
        <w:tc>
          <w:tcPr>
            <w:tcW w:w="634" w:type="pct"/>
            <w:tcBorders>
              <w:bottom w:val="double" w:sz="4" w:space="0" w:color="auto"/>
            </w:tcBorders>
            <w:vAlign w:val="center"/>
          </w:tcPr>
          <w:p w:rsidR="007844B8" w:rsidRPr="00E32194" w:rsidRDefault="00350743" w:rsidP="005D0D2A">
            <w:pPr>
              <w:snapToGrid w:val="0"/>
              <w:spacing w:after="0"/>
              <w:jc w:val="center"/>
              <w:rPr>
                <w:rFonts w:ascii="Calibri" w:hAnsi="Calibri"/>
                <w:b/>
                <w:color w:val="000000"/>
                <w:sz w:val="16"/>
                <w:szCs w:val="16"/>
              </w:rPr>
            </w:pPr>
            <w:r w:rsidRPr="0011385F">
              <w:rPr>
                <w:rFonts w:ascii="Calibri" w:eastAsia="Times New Roman" w:hAnsi="Calibri"/>
                <w:b/>
                <w:bCs/>
                <w:color w:val="000000"/>
                <w:sz w:val="16"/>
                <w:szCs w:val="16"/>
                <w:lang w:eastAsia="sk-SK"/>
              </w:rPr>
              <w:t>7 291 460</w:t>
            </w:r>
            <w:r w:rsidR="009E44E3">
              <w:rPr>
                <w:rFonts w:ascii="Calibri" w:eastAsia="Times New Roman" w:hAnsi="Calibri"/>
                <w:b/>
                <w:bCs/>
                <w:color w:val="000000"/>
                <w:sz w:val="16"/>
                <w:szCs w:val="16"/>
                <w:lang w:eastAsia="sk-SK"/>
              </w:rPr>
              <w:t> </w:t>
            </w:r>
            <w:r w:rsidRPr="0011385F">
              <w:rPr>
                <w:rFonts w:ascii="Calibri" w:eastAsia="Times New Roman" w:hAnsi="Calibri"/>
                <w:b/>
                <w:bCs/>
                <w:color w:val="000000"/>
                <w:sz w:val="16"/>
                <w:szCs w:val="16"/>
                <w:lang w:eastAsia="sk-SK"/>
              </w:rPr>
              <w:t>222</w:t>
            </w:r>
            <w:r w:rsidR="009E44E3">
              <w:rPr>
                <w:rFonts w:ascii="Calibri" w:eastAsia="Times New Roman" w:hAnsi="Calibri"/>
                <w:b/>
                <w:bCs/>
                <w:color w:val="000000"/>
                <w:sz w:val="16"/>
                <w:szCs w:val="16"/>
                <w:lang w:eastAsia="sk-SK"/>
              </w:rPr>
              <w:t xml:space="preserve"> </w:t>
            </w:r>
          </w:p>
        </w:tc>
        <w:tc>
          <w:tcPr>
            <w:tcW w:w="686" w:type="pct"/>
            <w:tcBorders>
              <w:bottom w:val="double" w:sz="4" w:space="0" w:color="auto"/>
            </w:tcBorders>
            <w:vAlign w:val="center"/>
          </w:tcPr>
          <w:p w:rsidR="007844B8" w:rsidRPr="00E32194" w:rsidRDefault="007844B8" w:rsidP="005D0D2A">
            <w:pPr>
              <w:snapToGrid w:val="0"/>
              <w:spacing w:after="0"/>
              <w:jc w:val="center"/>
              <w:rPr>
                <w:rFonts w:ascii="Calibri" w:hAnsi="Calibri"/>
                <w:b/>
                <w:color w:val="000000"/>
                <w:sz w:val="16"/>
                <w:szCs w:val="16"/>
              </w:rPr>
            </w:pPr>
            <w:r w:rsidRPr="00E32194">
              <w:rPr>
                <w:rFonts w:ascii="Calibri" w:hAnsi="Calibri"/>
                <w:b/>
                <w:color w:val="000000"/>
                <w:sz w:val="16"/>
                <w:szCs w:val="16"/>
              </w:rPr>
              <w:t>2 167 595 080</w:t>
            </w:r>
          </w:p>
        </w:tc>
        <w:tc>
          <w:tcPr>
            <w:tcW w:w="643" w:type="pct"/>
            <w:tcBorders>
              <w:bottom w:val="double" w:sz="4" w:space="0" w:color="auto"/>
            </w:tcBorders>
            <w:vAlign w:val="center"/>
          </w:tcPr>
          <w:p w:rsidR="007844B8" w:rsidRPr="00E32194" w:rsidRDefault="007844B8" w:rsidP="00B218DF">
            <w:pPr>
              <w:snapToGrid w:val="0"/>
              <w:spacing w:after="0"/>
              <w:jc w:val="center"/>
              <w:rPr>
                <w:rFonts w:ascii="Calibri" w:hAnsi="Calibri"/>
                <w:b/>
                <w:color w:val="000000"/>
                <w:sz w:val="16"/>
                <w:szCs w:val="16"/>
              </w:rPr>
            </w:pPr>
            <w:r w:rsidRPr="00E32194">
              <w:rPr>
                <w:rFonts w:ascii="Calibri" w:hAnsi="Calibri"/>
                <w:b/>
                <w:color w:val="000000"/>
                <w:sz w:val="16"/>
                <w:szCs w:val="16"/>
              </w:rPr>
              <w:t>4 168 251 427</w:t>
            </w:r>
          </w:p>
        </w:tc>
        <w:tc>
          <w:tcPr>
            <w:tcW w:w="626" w:type="pct"/>
            <w:tcBorders>
              <w:bottom w:val="double" w:sz="4" w:space="0" w:color="auto"/>
            </w:tcBorders>
            <w:vAlign w:val="center"/>
          </w:tcPr>
          <w:p w:rsidR="007844B8" w:rsidRPr="00E32194" w:rsidRDefault="00350743" w:rsidP="001172EE">
            <w:pPr>
              <w:snapToGrid w:val="0"/>
              <w:spacing w:after="0"/>
              <w:jc w:val="center"/>
              <w:rPr>
                <w:rFonts w:ascii="Calibri" w:hAnsi="Calibri"/>
                <w:b/>
                <w:color w:val="000000"/>
                <w:sz w:val="16"/>
                <w:szCs w:val="16"/>
              </w:rPr>
            </w:pPr>
            <w:r w:rsidRPr="0011385F">
              <w:rPr>
                <w:rFonts w:ascii="Calibri" w:eastAsia="MS Mincho" w:hAnsi="Calibri"/>
                <w:b/>
                <w:color w:val="000000"/>
                <w:sz w:val="16"/>
                <w:szCs w:val="16"/>
              </w:rPr>
              <w:t>1 559 691</w:t>
            </w:r>
            <w:r w:rsidR="009E44E3">
              <w:rPr>
                <w:rFonts w:ascii="Calibri" w:eastAsia="MS Mincho" w:hAnsi="Calibri"/>
                <w:b/>
                <w:color w:val="000000"/>
                <w:sz w:val="16"/>
                <w:szCs w:val="16"/>
              </w:rPr>
              <w:t> </w:t>
            </w:r>
            <w:r w:rsidRPr="0011385F">
              <w:rPr>
                <w:rFonts w:ascii="Calibri" w:eastAsia="MS Mincho" w:hAnsi="Calibri"/>
                <w:b/>
                <w:color w:val="000000"/>
                <w:sz w:val="16"/>
                <w:szCs w:val="16"/>
              </w:rPr>
              <w:t>844</w:t>
            </w:r>
            <w:r w:rsidR="009E44E3">
              <w:rPr>
                <w:rFonts w:ascii="Calibri" w:eastAsia="MS Mincho" w:hAnsi="Calibri"/>
                <w:b/>
                <w:color w:val="000000"/>
                <w:sz w:val="16"/>
                <w:szCs w:val="16"/>
              </w:rPr>
              <w:t xml:space="preserve"> </w:t>
            </w:r>
          </w:p>
        </w:tc>
        <w:tc>
          <w:tcPr>
            <w:tcW w:w="541" w:type="pct"/>
            <w:tcBorders>
              <w:bottom w:val="double" w:sz="4" w:space="0" w:color="auto"/>
            </w:tcBorders>
            <w:vAlign w:val="center"/>
          </w:tcPr>
          <w:p w:rsidR="007844B8" w:rsidRPr="00E32194" w:rsidRDefault="005D0D2A" w:rsidP="008A6B73">
            <w:pPr>
              <w:snapToGrid w:val="0"/>
              <w:spacing w:after="0"/>
              <w:jc w:val="center"/>
              <w:rPr>
                <w:rFonts w:ascii="Calibri" w:hAnsi="Calibri"/>
                <w:b/>
                <w:color w:val="000000"/>
                <w:sz w:val="16"/>
                <w:szCs w:val="16"/>
              </w:rPr>
            </w:pPr>
            <w:r>
              <w:rPr>
                <w:rFonts w:ascii="Calibri" w:hAnsi="Calibri"/>
                <w:b/>
                <w:color w:val="000000"/>
                <w:sz w:val="16"/>
                <w:szCs w:val="16"/>
              </w:rPr>
              <w:t>15 785 000</w:t>
            </w:r>
          </w:p>
        </w:tc>
        <w:tc>
          <w:tcPr>
            <w:tcW w:w="718" w:type="pct"/>
            <w:tcBorders>
              <w:bottom w:val="double" w:sz="4" w:space="0" w:color="auto"/>
            </w:tcBorders>
            <w:vAlign w:val="center"/>
          </w:tcPr>
          <w:p w:rsidR="007844B8" w:rsidRPr="00E32194" w:rsidRDefault="00350743">
            <w:pPr>
              <w:snapToGrid w:val="0"/>
              <w:spacing w:after="0"/>
              <w:jc w:val="center"/>
              <w:rPr>
                <w:rFonts w:ascii="Calibri" w:hAnsi="Calibri"/>
                <w:b/>
                <w:color w:val="000000"/>
                <w:sz w:val="16"/>
                <w:szCs w:val="16"/>
              </w:rPr>
            </w:pPr>
            <w:r w:rsidRPr="0011385F">
              <w:rPr>
                <w:rFonts w:ascii="Calibri" w:eastAsia="Times New Roman" w:hAnsi="Calibri"/>
                <w:b/>
                <w:bCs/>
                <w:color w:val="000000"/>
                <w:sz w:val="16"/>
                <w:szCs w:val="16"/>
                <w:lang w:eastAsia="sk-SK"/>
              </w:rPr>
              <w:t>15 202 783</w:t>
            </w:r>
            <w:r w:rsidR="009E44E3">
              <w:rPr>
                <w:rFonts w:ascii="Calibri" w:eastAsia="Times New Roman" w:hAnsi="Calibri"/>
                <w:b/>
                <w:bCs/>
                <w:color w:val="000000"/>
                <w:sz w:val="16"/>
                <w:szCs w:val="16"/>
                <w:lang w:eastAsia="sk-SK"/>
              </w:rPr>
              <w:t> </w:t>
            </w:r>
            <w:r w:rsidRPr="0011385F">
              <w:rPr>
                <w:rFonts w:ascii="Calibri" w:eastAsia="Times New Roman" w:hAnsi="Calibri"/>
                <w:b/>
                <w:bCs/>
                <w:color w:val="000000"/>
                <w:sz w:val="16"/>
                <w:szCs w:val="16"/>
                <w:lang w:eastAsia="sk-SK"/>
              </w:rPr>
              <w:t>573</w:t>
            </w:r>
            <w:r w:rsidR="009E44E3">
              <w:rPr>
                <w:rFonts w:ascii="Calibri" w:eastAsia="Times New Roman" w:hAnsi="Calibri"/>
                <w:b/>
                <w:bCs/>
                <w:color w:val="000000"/>
                <w:sz w:val="16"/>
                <w:szCs w:val="16"/>
                <w:lang w:eastAsia="sk-SK"/>
              </w:rPr>
              <w:t xml:space="preserve"> </w:t>
            </w:r>
          </w:p>
        </w:tc>
      </w:tr>
    </w:tbl>
    <w:p w:rsidR="00391F91" w:rsidRDefault="00391F91" w:rsidP="00391F91">
      <w:pPr>
        <w:spacing w:before="0" w:after="0"/>
        <w:rPr>
          <w:rFonts w:asciiTheme="majorHAnsi" w:hAnsiTheme="majorHAnsi"/>
          <w:sz w:val="16"/>
          <w:szCs w:val="16"/>
          <w:lang w:eastAsia="sk-SK"/>
        </w:rPr>
      </w:pPr>
      <w:r>
        <w:rPr>
          <w:rFonts w:asciiTheme="majorHAnsi" w:hAnsiTheme="majorHAnsi"/>
          <w:sz w:val="16"/>
          <w:szCs w:val="16"/>
          <w:lang w:eastAsia="sk-SK"/>
        </w:rPr>
        <w:t>Indikatívne alokácie v rámci TC sú očistené o alokácie na technickú pomoc</w:t>
      </w:r>
    </w:p>
    <w:p w:rsidR="00391F91" w:rsidRPr="006A31EB" w:rsidRDefault="00391F91" w:rsidP="00391F91">
      <w:pPr>
        <w:pStyle w:val="Popis"/>
        <w:spacing w:before="240" w:after="0"/>
        <w:rPr>
          <w:b w:val="0"/>
          <w:bCs w:val="0"/>
          <w:sz w:val="18"/>
          <w:szCs w:val="18"/>
        </w:rPr>
      </w:pPr>
      <w:r w:rsidRPr="004274FF">
        <w:rPr>
          <w:rFonts w:asciiTheme="majorHAnsi" w:hAnsiTheme="majorHAnsi"/>
          <w:b w:val="0"/>
          <w:sz w:val="18"/>
          <w:szCs w:val="18"/>
        </w:rPr>
        <w:t xml:space="preserve">Tabuľka </w:t>
      </w:r>
      <w:r w:rsidR="00E32194" w:rsidRPr="004274FF">
        <w:rPr>
          <w:rFonts w:asciiTheme="majorHAnsi" w:hAnsiTheme="majorHAnsi"/>
          <w:b w:val="0"/>
          <w:sz w:val="18"/>
          <w:szCs w:val="18"/>
        </w:rPr>
        <w:t>3</w:t>
      </w:r>
      <w:r w:rsidRPr="0045695F">
        <w:rPr>
          <w:rFonts w:asciiTheme="majorHAnsi" w:hAnsiTheme="majorHAnsi"/>
          <w:b w:val="0"/>
          <w:bCs w:val="0"/>
          <w:sz w:val="18"/>
          <w:szCs w:val="18"/>
        </w:rPr>
        <w:t>: Informácia o Iniciatíve na podporu zamestnanosti mladých ľudí, ktorá je programovaná v rámci tematického cieľa 8 “Podpora udržateľnosti a kvality zamestnanosti a mobility pracovnej sily</w:t>
      </w:r>
      <w:r w:rsidR="00916978" w:rsidRPr="006A31EB">
        <w:rPr>
          <w:rFonts w:asciiTheme="majorHAnsi" w:hAnsiTheme="majorHAnsi"/>
          <w:b w:val="0"/>
          <w:bCs w:val="0"/>
          <w:sz w:val="18"/>
          <w:szCs w:val="18"/>
        </w:rPr>
        <w:t>“</w:t>
      </w:r>
      <w:r w:rsidR="00385E37" w:rsidRPr="00F7357F">
        <w:rPr>
          <w:rFonts w:asciiTheme="majorHAnsi" w:hAnsiTheme="majorHAnsi"/>
          <w:b w:val="0"/>
          <w:bCs w:val="0"/>
          <w:sz w:val="18"/>
          <w:szCs w:val="18"/>
        </w:rPr>
        <w:t xml:space="preserve"> (EUR).</w:t>
      </w:r>
      <w:r w:rsidRPr="006A31EB">
        <w:rPr>
          <w:rFonts w:asciiTheme="majorHAnsi" w:hAnsiTheme="majorHAnsi"/>
          <w:b w:val="0"/>
          <w:bCs w:val="0"/>
          <w:sz w:val="18"/>
          <w:szCs w:val="18"/>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D5CDC" w:rsidRPr="00A11FE0" w:rsidTr="002D5CDC">
        <w:tc>
          <w:tcPr>
            <w:tcW w:w="2500" w:type="pct"/>
          </w:tcPr>
          <w:p w:rsidR="002D5CDC" w:rsidRPr="00A11FE0" w:rsidRDefault="002D5CDC" w:rsidP="00D275D1">
            <w:pPr>
              <w:pStyle w:val="Text3"/>
              <w:ind w:left="0"/>
              <w:rPr>
                <w:rFonts w:asciiTheme="majorHAnsi" w:hAnsiTheme="majorHAnsi"/>
                <w:sz w:val="18"/>
                <w:szCs w:val="18"/>
                <w:lang w:val="sk-SK"/>
              </w:rPr>
            </w:pPr>
            <w:r w:rsidRPr="00A11FE0">
              <w:rPr>
                <w:rFonts w:asciiTheme="majorHAnsi" w:hAnsiTheme="majorHAnsi"/>
                <w:sz w:val="18"/>
                <w:szCs w:val="18"/>
                <w:lang w:val="sk-SK"/>
              </w:rPr>
              <w:t xml:space="preserve">Osobitná </w:t>
            </w:r>
            <w:r>
              <w:rPr>
                <w:rFonts w:asciiTheme="majorHAnsi" w:hAnsiTheme="majorHAnsi"/>
                <w:sz w:val="18"/>
                <w:szCs w:val="18"/>
                <w:lang w:val="sk-SK"/>
              </w:rPr>
              <w:t>a</w:t>
            </w:r>
            <w:r w:rsidRPr="00A11FE0">
              <w:rPr>
                <w:rFonts w:asciiTheme="majorHAnsi" w:hAnsiTheme="majorHAnsi"/>
                <w:sz w:val="18"/>
                <w:szCs w:val="18"/>
                <w:lang w:val="sk-SK"/>
              </w:rPr>
              <w:t>lokácia pre IZM</w:t>
            </w:r>
          </w:p>
        </w:tc>
        <w:tc>
          <w:tcPr>
            <w:tcW w:w="2500" w:type="pct"/>
          </w:tcPr>
          <w:p w:rsidR="002D5CDC" w:rsidRPr="00ED6BC8" w:rsidDel="009D2CA8" w:rsidRDefault="00BF2A7B" w:rsidP="00BF2A7B">
            <w:pPr>
              <w:pStyle w:val="Text3"/>
              <w:ind w:left="0"/>
              <w:jc w:val="right"/>
              <w:rPr>
                <w:rFonts w:asciiTheme="majorHAnsi" w:hAnsiTheme="majorHAnsi"/>
                <w:sz w:val="18"/>
                <w:szCs w:val="18"/>
                <w:lang w:val="sk-SK"/>
              </w:rPr>
            </w:pPr>
            <w:r w:rsidRPr="00ED6BC8">
              <w:rPr>
                <w:rFonts w:asciiTheme="majorHAnsi" w:hAnsiTheme="majorHAnsi"/>
                <w:bCs/>
                <w:sz w:val="18"/>
                <w:szCs w:val="18"/>
                <w:lang w:val="sk-SK"/>
              </w:rPr>
              <w:t xml:space="preserve">84 539 823 </w:t>
            </w:r>
          </w:p>
        </w:tc>
      </w:tr>
      <w:tr w:rsidR="002D5CDC" w:rsidRPr="00A11FE0" w:rsidTr="002D5CDC">
        <w:tc>
          <w:tcPr>
            <w:tcW w:w="2500" w:type="pct"/>
          </w:tcPr>
          <w:p w:rsidR="002D5CDC" w:rsidRPr="00A11FE0" w:rsidRDefault="002D5CDC" w:rsidP="00D275D1">
            <w:pPr>
              <w:pStyle w:val="Text3"/>
              <w:ind w:left="0"/>
              <w:rPr>
                <w:rFonts w:asciiTheme="majorHAnsi" w:hAnsiTheme="majorHAnsi"/>
                <w:sz w:val="18"/>
                <w:szCs w:val="18"/>
                <w:lang w:val="sk-SK"/>
              </w:rPr>
            </w:pPr>
            <w:r w:rsidRPr="00A11FE0">
              <w:rPr>
                <w:rFonts w:asciiTheme="majorHAnsi" w:hAnsiTheme="majorHAnsi"/>
                <w:sz w:val="18"/>
                <w:szCs w:val="18"/>
                <w:lang w:val="sk-SK"/>
              </w:rPr>
              <w:t xml:space="preserve">Zodpovedajúce finančné prostriedky ESF </w:t>
            </w:r>
          </w:p>
        </w:tc>
        <w:tc>
          <w:tcPr>
            <w:tcW w:w="2500" w:type="pct"/>
          </w:tcPr>
          <w:p w:rsidR="002D5CDC" w:rsidRPr="00A11FE0" w:rsidDel="009D2CA8" w:rsidRDefault="00350743" w:rsidP="00D275D1">
            <w:pPr>
              <w:pStyle w:val="Text3"/>
              <w:ind w:left="0"/>
              <w:jc w:val="right"/>
              <w:rPr>
                <w:rFonts w:asciiTheme="majorHAnsi" w:hAnsiTheme="majorHAnsi"/>
                <w:sz w:val="18"/>
                <w:szCs w:val="18"/>
                <w:lang w:val="sk-SK"/>
              </w:rPr>
            </w:pPr>
            <w:r>
              <w:rPr>
                <w:rFonts w:asciiTheme="majorHAnsi" w:hAnsiTheme="majorHAnsi"/>
                <w:sz w:val="18"/>
                <w:szCs w:val="18"/>
                <w:lang w:val="sk-SK"/>
              </w:rPr>
              <w:t>12</w:t>
            </w:r>
            <w:r w:rsidR="002D5CDC">
              <w:rPr>
                <w:rFonts w:asciiTheme="majorHAnsi" w:hAnsiTheme="majorHAnsi"/>
                <w:sz w:val="18"/>
                <w:szCs w:val="18"/>
                <w:lang w:val="sk-SK"/>
              </w:rPr>
              <w:t>2 175 259</w:t>
            </w:r>
            <w:r w:rsidR="002D5CDC" w:rsidRPr="00A11FE0">
              <w:rPr>
                <w:rFonts w:asciiTheme="majorHAnsi" w:hAnsiTheme="majorHAnsi"/>
                <w:sz w:val="18"/>
                <w:szCs w:val="18"/>
                <w:lang w:val="sk-SK"/>
              </w:rPr>
              <w:t xml:space="preserve"> </w:t>
            </w:r>
          </w:p>
        </w:tc>
      </w:tr>
    </w:tbl>
    <w:p w:rsidR="002F29B8" w:rsidRDefault="002F29B8">
      <w:pPr>
        <w:spacing w:before="0" w:after="0"/>
        <w:jc w:val="left"/>
        <w:rPr>
          <w:rFonts w:asciiTheme="majorHAnsi" w:hAnsiTheme="majorHAnsi"/>
          <w:sz w:val="18"/>
          <w:szCs w:val="18"/>
        </w:rPr>
      </w:pPr>
      <w:r>
        <w:rPr>
          <w:rFonts w:asciiTheme="majorHAnsi" w:hAnsiTheme="majorHAnsi"/>
          <w:b/>
          <w:bCs/>
          <w:sz w:val="18"/>
          <w:szCs w:val="18"/>
        </w:rPr>
        <w:br w:type="page"/>
      </w:r>
      <w:bookmarkStart w:id="586" w:name="_GoBack"/>
      <w:bookmarkEnd w:id="586"/>
    </w:p>
    <w:p w:rsidR="00391F91" w:rsidRPr="00CB7030" w:rsidRDefault="00391F91" w:rsidP="00391F91">
      <w:pPr>
        <w:pStyle w:val="Popis"/>
        <w:keepNext/>
        <w:spacing w:before="240" w:after="0"/>
        <w:jc w:val="left"/>
        <w:rPr>
          <w:rFonts w:asciiTheme="majorHAnsi" w:hAnsiTheme="majorHAnsi"/>
          <w:sz w:val="18"/>
          <w:szCs w:val="18"/>
        </w:rPr>
      </w:pPr>
      <w:r w:rsidRPr="00CB7030">
        <w:rPr>
          <w:rFonts w:asciiTheme="majorHAnsi" w:hAnsiTheme="majorHAnsi"/>
          <w:b w:val="0"/>
          <w:bCs w:val="0"/>
          <w:sz w:val="18"/>
          <w:szCs w:val="18"/>
        </w:rPr>
        <w:lastRenderedPageBreak/>
        <w:t xml:space="preserve">Tabuľka </w:t>
      </w:r>
      <w:r w:rsidR="00E32194">
        <w:rPr>
          <w:rFonts w:asciiTheme="majorHAnsi" w:hAnsiTheme="majorHAnsi"/>
          <w:b w:val="0"/>
          <w:bCs w:val="0"/>
          <w:sz w:val="18"/>
          <w:szCs w:val="18"/>
        </w:rPr>
        <w:t>4</w:t>
      </w:r>
      <w:r w:rsidRPr="00CB7030">
        <w:rPr>
          <w:rFonts w:asciiTheme="majorHAnsi" w:hAnsiTheme="majorHAnsi"/>
          <w:b w:val="0"/>
          <w:bCs w:val="0"/>
          <w:sz w:val="18"/>
          <w:szCs w:val="18"/>
        </w:rPr>
        <w:t>: Informácia o alokácii pre technickú pomoc, podľa kategórie regiónov, ak relevantné</w:t>
      </w:r>
    </w:p>
    <w:tbl>
      <w:tblPr>
        <w:tblW w:w="5000" w:type="pct"/>
        <w:tblCellMar>
          <w:left w:w="0" w:type="dxa"/>
          <w:right w:w="0" w:type="dxa"/>
        </w:tblCellMar>
        <w:tblLook w:val="04A0" w:firstRow="1" w:lastRow="0" w:firstColumn="1" w:lastColumn="0" w:noHBand="0" w:noVBand="1"/>
      </w:tblPr>
      <w:tblGrid>
        <w:gridCol w:w="3849"/>
        <w:gridCol w:w="2198"/>
        <w:gridCol w:w="1360"/>
        <w:gridCol w:w="1803"/>
      </w:tblGrid>
      <w:tr w:rsidR="00391F91" w:rsidRPr="00A11FE0" w:rsidTr="00D275D1">
        <w:trPr>
          <w:trHeight w:val="1590"/>
          <w:tblHeader/>
        </w:trPr>
        <w:tc>
          <w:tcPr>
            <w:tcW w:w="2096"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rsidR="00391F91" w:rsidRPr="00A11FE0" w:rsidRDefault="00391F91" w:rsidP="00D275D1">
            <w:pPr>
              <w:spacing w:after="0"/>
              <w:jc w:val="center"/>
              <w:rPr>
                <w:rFonts w:asciiTheme="majorHAnsi" w:hAnsiTheme="majorHAnsi"/>
                <w:b/>
                <w:iCs/>
                <w:color w:val="000000"/>
                <w:sz w:val="18"/>
                <w:szCs w:val="18"/>
                <w:lang w:eastAsia="sk-SK"/>
              </w:rPr>
            </w:pPr>
            <w:r w:rsidRPr="00A11FE0">
              <w:rPr>
                <w:rFonts w:asciiTheme="majorHAnsi" w:hAnsiTheme="majorHAnsi"/>
                <w:b/>
                <w:iCs/>
                <w:color w:val="000000"/>
                <w:sz w:val="18"/>
                <w:szCs w:val="18"/>
                <w:lang w:eastAsia="sk-SK"/>
              </w:rPr>
              <w:t>Fond</w:t>
            </w:r>
          </w:p>
        </w:tc>
        <w:tc>
          <w:tcPr>
            <w:tcW w:w="1200"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rsidR="00391F91" w:rsidRPr="00A11FE0" w:rsidRDefault="00391F91" w:rsidP="00D275D1">
            <w:pPr>
              <w:spacing w:after="0"/>
              <w:jc w:val="center"/>
              <w:rPr>
                <w:rFonts w:asciiTheme="majorHAnsi" w:hAnsiTheme="majorHAnsi"/>
                <w:b/>
                <w:iCs/>
                <w:color w:val="000000"/>
                <w:sz w:val="18"/>
                <w:szCs w:val="18"/>
                <w:lang w:eastAsia="sk-SK"/>
              </w:rPr>
            </w:pPr>
            <w:r>
              <w:rPr>
                <w:rFonts w:asciiTheme="majorHAnsi" w:hAnsiTheme="majorHAnsi"/>
                <w:b/>
                <w:iCs/>
                <w:color w:val="000000"/>
                <w:sz w:val="18"/>
                <w:szCs w:val="18"/>
                <w:lang w:eastAsia="sk-SK"/>
              </w:rPr>
              <w:t>K</w:t>
            </w:r>
            <w:r w:rsidRPr="00A11FE0">
              <w:rPr>
                <w:rFonts w:asciiTheme="majorHAnsi" w:hAnsiTheme="majorHAnsi"/>
                <w:b/>
                <w:iCs/>
                <w:color w:val="000000"/>
                <w:sz w:val="18"/>
                <w:szCs w:val="18"/>
                <w:lang w:eastAsia="sk-SK"/>
              </w:rPr>
              <w:t xml:space="preserve">ategória regiónov, </w:t>
            </w:r>
            <w:r>
              <w:rPr>
                <w:rFonts w:asciiTheme="majorHAnsi" w:hAnsiTheme="majorHAnsi"/>
                <w:b/>
                <w:iCs/>
                <w:color w:val="000000"/>
                <w:sz w:val="18"/>
                <w:szCs w:val="18"/>
                <w:lang w:eastAsia="sk-SK"/>
              </w:rPr>
              <w:t>ak</w:t>
            </w:r>
            <w:r w:rsidRPr="00A11FE0">
              <w:rPr>
                <w:rFonts w:asciiTheme="majorHAnsi" w:hAnsiTheme="majorHAnsi"/>
                <w:b/>
                <w:iCs/>
                <w:color w:val="000000"/>
                <w:sz w:val="18"/>
                <w:szCs w:val="18"/>
                <w:lang w:eastAsia="sk-SK"/>
              </w:rPr>
              <w:t xml:space="preserve"> relevantné</w:t>
            </w:r>
          </w:p>
        </w:tc>
        <w:tc>
          <w:tcPr>
            <w:tcW w:w="719"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rsidR="00391F91" w:rsidRPr="00A11FE0" w:rsidRDefault="00391F91" w:rsidP="00D275D1">
            <w:pPr>
              <w:spacing w:after="0"/>
              <w:jc w:val="center"/>
              <w:rPr>
                <w:rFonts w:asciiTheme="majorHAnsi" w:hAnsiTheme="majorHAnsi"/>
                <w:b/>
                <w:iCs/>
                <w:color w:val="000000"/>
                <w:sz w:val="18"/>
                <w:szCs w:val="18"/>
                <w:lang w:eastAsia="sk-SK"/>
              </w:rPr>
            </w:pPr>
            <w:r>
              <w:rPr>
                <w:rFonts w:asciiTheme="majorHAnsi" w:hAnsiTheme="majorHAnsi"/>
                <w:b/>
                <w:iCs/>
                <w:color w:val="000000"/>
                <w:sz w:val="18"/>
                <w:szCs w:val="18"/>
                <w:lang w:eastAsia="sk-SK"/>
              </w:rPr>
              <w:t>A</w:t>
            </w:r>
            <w:r w:rsidRPr="00A11FE0">
              <w:rPr>
                <w:rFonts w:asciiTheme="majorHAnsi" w:hAnsiTheme="majorHAnsi"/>
                <w:b/>
                <w:iCs/>
                <w:color w:val="000000"/>
                <w:sz w:val="18"/>
                <w:szCs w:val="18"/>
                <w:lang w:eastAsia="sk-SK"/>
              </w:rPr>
              <w:t>lokácia pre technickú pomoc (</w:t>
            </w:r>
            <w:r>
              <w:rPr>
                <w:rFonts w:asciiTheme="majorHAnsi" w:hAnsiTheme="majorHAnsi"/>
                <w:b/>
                <w:iCs/>
                <w:color w:val="000000"/>
                <w:sz w:val="18"/>
                <w:szCs w:val="18"/>
                <w:lang w:eastAsia="sk-SK"/>
              </w:rPr>
              <w:t>EUR</w:t>
            </w:r>
            <w:r w:rsidRPr="00A11FE0">
              <w:rPr>
                <w:rFonts w:asciiTheme="majorHAnsi" w:hAnsiTheme="majorHAnsi"/>
                <w:b/>
                <w:iCs/>
                <w:color w:val="000000"/>
                <w:sz w:val="18"/>
                <w:szCs w:val="18"/>
                <w:lang w:eastAsia="sk-SK"/>
              </w:rPr>
              <w:t>)</w:t>
            </w:r>
          </w:p>
        </w:tc>
        <w:tc>
          <w:tcPr>
            <w:tcW w:w="986"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hideMark/>
          </w:tcPr>
          <w:p w:rsidR="00391F91" w:rsidRPr="00A11FE0" w:rsidRDefault="00391F91" w:rsidP="00D275D1">
            <w:pPr>
              <w:spacing w:after="0"/>
              <w:jc w:val="center"/>
              <w:rPr>
                <w:rFonts w:asciiTheme="majorHAnsi" w:hAnsiTheme="majorHAnsi"/>
                <w:b/>
                <w:iCs/>
                <w:color w:val="000000"/>
                <w:sz w:val="18"/>
                <w:szCs w:val="18"/>
                <w:lang w:eastAsia="sk-SK"/>
              </w:rPr>
            </w:pPr>
            <w:r w:rsidRPr="00A11FE0">
              <w:rPr>
                <w:rFonts w:asciiTheme="majorHAnsi" w:hAnsiTheme="majorHAnsi"/>
                <w:b/>
                <w:iCs/>
                <w:color w:val="000000"/>
                <w:sz w:val="18"/>
                <w:szCs w:val="18"/>
                <w:lang w:eastAsia="sk-SK"/>
              </w:rPr>
              <w:t xml:space="preserve">Podiel technickej pomoci z celkovej </w:t>
            </w:r>
            <w:r>
              <w:rPr>
                <w:rFonts w:asciiTheme="majorHAnsi" w:hAnsiTheme="majorHAnsi"/>
                <w:b/>
                <w:iCs/>
                <w:color w:val="000000"/>
                <w:sz w:val="18"/>
                <w:szCs w:val="18"/>
                <w:lang w:eastAsia="sk-SK"/>
              </w:rPr>
              <w:t>a</w:t>
            </w:r>
            <w:r w:rsidRPr="00A11FE0">
              <w:rPr>
                <w:rFonts w:asciiTheme="majorHAnsi" w:hAnsiTheme="majorHAnsi"/>
                <w:b/>
                <w:iCs/>
                <w:color w:val="000000"/>
                <w:sz w:val="18"/>
                <w:szCs w:val="18"/>
                <w:lang w:eastAsia="sk-SK"/>
              </w:rPr>
              <w:t xml:space="preserve">lokácie (podľa Fondov </w:t>
            </w:r>
            <w:r>
              <w:rPr>
                <w:rFonts w:asciiTheme="majorHAnsi" w:hAnsiTheme="majorHAnsi"/>
                <w:b/>
                <w:iCs/>
                <w:color w:val="000000"/>
                <w:sz w:val="18"/>
                <w:szCs w:val="18"/>
                <w:lang w:eastAsia="sk-SK"/>
              </w:rPr>
              <w:t>a</w:t>
            </w:r>
            <w:r w:rsidRPr="00A11FE0">
              <w:rPr>
                <w:rFonts w:asciiTheme="majorHAnsi" w:hAnsiTheme="majorHAnsi"/>
                <w:b/>
                <w:iCs/>
                <w:color w:val="000000"/>
                <w:sz w:val="18"/>
                <w:szCs w:val="18"/>
                <w:lang w:eastAsia="sk-SK"/>
              </w:rPr>
              <w:t xml:space="preserve"> podľa </w:t>
            </w:r>
            <w:r>
              <w:rPr>
                <w:rFonts w:asciiTheme="majorHAnsi" w:hAnsiTheme="majorHAnsi"/>
                <w:b/>
                <w:iCs/>
                <w:color w:val="000000"/>
                <w:sz w:val="18"/>
                <w:szCs w:val="18"/>
                <w:lang w:eastAsia="sk-SK"/>
              </w:rPr>
              <w:t>k</w:t>
            </w:r>
            <w:r w:rsidRPr="00A11FE0">
              <w:rPr>
                <w:rFonts w:asciiTheme="majorHAnsi" w:hAnsiTheme="majorHAnsi"/>
                <w:b/>
                <w:iCs/>
                <w:color w:val="000000"/>
                <w:sz w:val="18"/>
                <w:szCs w:val="18"/>
                <w:lang w:eastAsia="sk-SK"/>
              </w:rPr>
              <w:t xml:space="preserve">ategórie regiónov, </w:t>
            </w:r>
            <w:r>
              <w:rPr>
                <w:rFonts w:asciiTheme="majorHAnsi" w:hAnsiTheme="majorHAnsi"/>
                <w:b/>
                <w:iCs/>
                <w:color w:val="000000"/>
                <w:sz w:val="18"/>
                <w:szCs w:val="18"/>
                <w:lang w:eastAsia="sk-SK"/>
              </w:rPr>
              <w:t>ak</w:t>
            </w:r>
            <w:r w:rsidRPr="00A11FE0">
              <w:rPr>
                <w:rFonts w:asciiTheme="majorHAnsi" w:hAnsiTheme="majorHAnsi"/>
                <w:b/>
                <w:iCs/>
                <w:color w:val="000000"/>
                <w:sz w:val="18"/>
                <w:szCs w:val="18"/>
                <w:lang w:eastAsia="sk-SK"/>
              </w:rPr>
              <w:t xml:space="preserve"> relevantné) </w:t>
            </w:r>
          </w:p>
        </w:tc>
      </w:tr>
      <w:tr w:rsidR="00391F91" w:rsidRPr="00A11FE0" w:rsidTr="00D275D1">
        <w:trPr>
          <w:trHeight w:val="330"/>
        </w:trPr>
        <w:tc>
          <w:tcPr>
            <w:tcW w:w="209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r w:rsidRPr="00A11FE0">
              <w:rPr>
                <w:rFonts w:asciiTheme="majorHAnsi" w:hAnsiTheme="majorHAnsi"/>
                <w:b/>
                <w:iCs/>
                <w:color w:val="000000"/>
                <w:sz w:val="18"/>
                <w:szCs w:val="18"/>
                <w:lang w:eastAsia="sk-SK"/>
              </w:rPr>
              <w:t>EFRR</w:t>
            </w:r>
          </w:p>
        </w:tc>
        <w:tc>
          <w:tcPr>
            <w:tcW w:w="120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Menej rozvinuté regióny</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A11FE0" w:rsidRDefault="00540F50"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447 861 412,00</w:t>
            </w:r>
            <w:r w:rsidR="00391F91">
              <w:rPr>
                <w:rFonts w:asciiTheme="majorHAnsi" w:hAnsiTheme="majorHAnsi"/>
                <w:iCs/>
                <w:color w:val="000000"/>
                <w:sz w:val="18"/>
                <w:szCs w:val="18"/>
                <w:lang w:eastAsia="sk-SK"/>
              </w:rPr>
              <w:t>*</w:t>
            </w:r>
          </w:p>
        </w:tc>
        <w:tc>
          <w:tcPr>
            <w:tcW w:w="98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9E44E3">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6,3</w:t>
            </w:r>
            <w:r w:rsidR="009E44E3">
              <w:rPr>
                <w:rFonts w:asciiTheme="majorHAnsi" w:hAnsiTheme="majorHAnsi"/>
                <w:iCs/>
                <w:color w:val="000000"/>
                <w:sz w:val="18"/>
                <w:szCs w:val="18"/>
                <w:lang w:eastAsia="sk-SK"/>
              </w:rPr>
              <w:t>7</w:t>
            </w:r>
            <w:r>
              <w:rPr>
                <w:rFonts w:asciiTheme="majorHAnsi" w:hAnsiTheme="majorHAnsi"/>
                <w:iCs/>
                <w:color w:val="000000"/>
                <w:sz w:val="18"/>
                <w:szCs w:val="18"/>
                <w:lang w:eastAsia="sk-SK"/>
              </w:rPr>
              <w:t xml:space="preserve"> %</w:t>
            </w:r>
          </w:p>
        </w:tc>
      </w:tr>
      <w:tr w:rsidR="00391F91" w:rsidRPr="00A11FE0" w:rsidTr="00D275D1">
        <w:trPr>
          <w:trHeight w:val="330"/>
        </w:trPr>
        <w:tc>
          <w:tcPr>
            <w:tcW w:w="209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p>
        </w:tc>
        <w:tc>
          <w:tcPr>
            <w:tcW w:w="120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Prechodné regióny</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A11FE0" w:rsidRDefault="00841918"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N</w:t>
            </w:r>
            <w:r w:rsidR="00540F50">
              <w:rPr>
                <w:rFonts w:asciiTheme="majorHAnsi" w:hAnsiTheme="majorHAnsi"/>
                <w:iCs/>
                <w:color w:val="000000"/>
                <w:sz w:val="18"/>
                <w:szCs w:val="18"/>
                <w:lang w:eastAsia="sk-SK"/>
              </w:rPr>
              <w:t>/</w:t>
            </w:r>
            <w:r>
              <w:rPr>
                <w:rFonts w:asciiTheme="majorHAnsi" w:hAnsiTheme="majorHAnsi"/>
                <w:iCs/>
                <w:color w:val="000000"/>
                <w:sz w:val="18"/>
                <w:szCs w:val="18"/>
                <w:lang w:eastAsia="sk-SK"/>
              </w:rPr>
              <w:t>A</w:t>
            </w:r>
          </w:p>
        </w:tc>
        <w:tc>
          <w:tcPr>
            <w:tcW w:w="98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841918" w:rsidP="003E0566">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N</w:t>
            </w:r>
            <w:r w:rsidR="00540F50">
              <w:rPr>
                <w:rFonts w:asciiTheme="majorHAnsi" w:hAnsiTheme="majorHAnsi"/>
                <w:iCs/>
                <w:color w:val="000000"/>
                <w:sz w:val="18"/>
                <w:szCs w:val="18"/>
                <w:lang w:eastAsia="sk-SK"/>
              </w:rPr>
              <w:t>/</w:t>
            </w:r>
            <w:r w:rsidR="00945812">
              <w:rPr>
                <w:rFonts w:asciiTheme="majorHAnsi" w:hAnsiTheme="majorHAnsi"/>
                <w:iCs/>
                <w:color w:val="000000"/>
                <w:sz w:val="18"/>
                <w:szCs w:val="18"/>
                <w:lang w:eastAsia="sk-SK"/>
              </w:rPr>
              <w:t>A</w:t>
            </w:r>
          </w:p>
        </w:tc>
      </w:tr>
      <w:tr w:rsidR="00391F91" w:rsidRPr="00A11FE0" w:rsidTr="00D275D1">
        <w:trPr>
          <w:trHeight w:val="330"/>
        </w:trPr>
        <w:tc>
          <w:tcPr>
            <w:tcW w:w="209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p>
        </w:tc>
        <w:tc>
          <w:tcPr>
            <w:tcW w:w="120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Rozvinutejšie regióny</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A11FE0" w:rsidRDefault="00540F50"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7 210 500,00</w:t>
            </w:r>
          </w:p>
        </w:tc>
        <w:tc>
          <w:tcPr>
            <w:tcW w:w="98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540F50" w:rsidP="003E0566">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 xml:space="preserve">2,75 </w:t>
            </w:r>
            <w:r w:rsidR="00391F91">
              <w:rPr>
                <w:rFonts w:asciiTheme="majorHAnsi" w:hAnsiTheme="majorHAnsi"/>
                <w:iCs/>
                <w:color w:val="000000"/>
                <w:sz w:val="18"/>
                <w:szCs w:val="18"/>
                <w:lang w:eastAsia="sk-SK"/>
              </w:rPr>
              <w:t>%</w:t>
            </w:r>
          </w:p>
        </w:tc>
      </w:tr>
      <w:tr w:rsidR="00391F91" w:rsidRPr="00A11FE0" w:rsidTr="00D275D1">
        <w:trPr>
          <w:trHeight w:val="330"/>
        </w:trPr>
        <w:tc>
          <w:tcPr>
            <w:tcW w:w="209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r w:rsidRPr="00A11FE0">
              <w:rPr>
                <w:rFonts w:asciiTheme="majorHAnsi" w:hAnsiTheme="majorHAnsi"/>
                <w:b/>
                <w:iCs/>
                <w:color w:val="000000"/>
                <w:sz w:val="18"/>
                <w:szCs w:val="18"/>
                <w:lang w:eastAsia="sk-SK"/>
              </w:rPr>
              <w:t>ESF</w:t>
            </w:r>
          </w:p>
        </w:tc>
        <w:tc>
          <w:tcPr>
            <w:tcW w:w="120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Menej rozvinuté regióny</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A11FE0" w:rsidRDefault="00540F50"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86 642 011,00</w:t>
            </w:r>
          </w:p>
        </w:tc>
        <w:tc>
          <w:tcPr>
            <w:tcW w:w="98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540F50">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4,</w:t>
            </w:r>
            <w:r w:rsidR="00540F50">
              <w:rPr>
                <w:rFonts w:asciiTheme="majorHAnsi" w:hAnsiTheme="majorHAnsi"/>
                <w:iCs/>
                <w:color w:val="000000"/>
                <w:sz w:val="18"/>
                <w:szCs w:val="18"/>
                <w:lang w:eastAsia="sk-SK"/>
              </w:rPr>
              <w:t xml:space="preserve">12 </w:t>
            </w:r>
            <w:r>
              <w:rPr>
                <w:rFonts w:asciiTheme="majorHAnsi" w:hAnsiTheme="majorHAnsi"/>
                <w:iCs/>
                <w:color w:val="000000"/>
                <w:sz w:val="18"/>
                <w:szCs w:val="18"/>
                <w:lang w:eastAsia="sk-SK"/>
              </w:rPr>
              <w:t>%</w:t>
            </w:r>
          </w:p>
        </w:tc>
      </w:tr>
      <w:tr w:rsidR="00391F91" w:rsidRPr="00A11FE0" w:rsidTr="00D275D1">
        <w:trPr>
          <w:trHeight w:val="330"/>
        </w:trPr>
        <w:tc>
          <w:tcPr>
            <w:tcW w:w="209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p>
        </w:tc>
        <w:tc>
          <w:tcPr>
            <w:tcW w:w="120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Prechodné regióny</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A11FE0" w:rsidRDefault="00945812"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N</w:t>
            </w:r>
            <w:r w:rsidR="00540F50">
              <w:rPr>
                <w:rFonts w:asciiTheme="majorHAnsi" w:hAnsiTheme="majorHAnsi"/>
                <w:iCs/>
                <w:color w:val="000000"/>
                <w:sz w:val="18"/>
                <w:szCs w:val="18"/>
                <w:lang w:eastAsia="sk-SK"/>
              </w:rPr>
              <w:t>/</w:t>
            </w:r>
            <w:r>
              <w:rPr>
                <w:rFonts w:asciiTheme="majorHAnsi" w:hAnsiTheme="majorHAnsi"/>
                <w:iCs/>
                <w:color w:val="000000"/>
                <w:sz w:val="18"/>
                <w:szCs w:val="18"/>
                <w:lang w:eastAsia="sk-SK"/>
              </w:rPr>
              <w:t>A</w:t>
            </w:r>
          </w:p>
        </w:tc>
        <w:tc>
          <w:tcPr>
            <w:tcW w:w="98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945812" w:rsidP="003E0566">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N</w:t>
            </w:r>
            <w:r w:rsidR="00540F50">
              <w:rPr>
                <w:rFonts w:asciiTheme="majorHAnsi" w:hAnsiTheme="majorHAnsi"/>
                <w:iCs/>
                <w:color w:val="000000"/>
                <w:sz w:val="18"/>
                <w:szCs w:val="18"/>
                <w:lang w:eastAsia="sk-SK"/>
              </w:rPr>
              <w:t>/</w:t>
            </w:r>
            <w:r>
              <w:rPr>
                <w:rFonts w:asciiTheme="majorHAnsi" w:hAnsiTheme="majorHAnsi"/>
                <w:iCs/>
                <w:color w:val="000000"/>
                <w:sz w:val="18"/>
                <w:szCs w:val="18"/>
                <w:lang w:eastAsia="sk-SK"/>
              </w:rPr>
              <w:t>A</w:t>
            </w:r>
          </w:p>
        </w:tc>
      </w:tr>
      <w:tr w:rsidR="00391F91" w:rsidRPr="00A11FE0" w:rsidTr="00D275D1">
        <w:trPr>
          <w:trHeight w:val="300"/>
        </w:trPr>
        <w:tc>
          <w:tcPr>
            <w:tcW w:w="2096" w:type="pct"/>
            <w:tcBorders>
              <w:top w:val="nil"/>
              <w:left w:val="single" w:sz="8" w:space="0" w:color="auto"/>
              <w:bottom w:val="nil"/>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p>
        </w:tc>
        <w:tc>
          <w:tcPr>
            <w:tcW w:w="1200" w:type="pct"/>
            <w:tcBorders>
              <w:top w:val="nil"/>
              <w:left w:val="nil"/>
              <w:bottom w:val="nil"/>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Rozvinutejšie regióny</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A11FE0" w:rsidRDefault="00540F50"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3 095 960,00</w:t>
            </w:r>
          </w:p>
        </w:tc>
        <w:tc>
          <w:tcPr>
            <w:tcW w:w="986" w:type="pct"/>
            <w:tcBorders>
              <w:top w:val="nil"/>
              <w:left w:val="nil"/>
              <w:bottom w:val="nil"/>
              <w:right w:val="single" w:sz="8" w:space="0" w:color="auto"/>
            </w:tcBorders>
            <w:tcMar>
              <w:top w:w="0" w:type="dxa"/>
              <w:left w:w="70" w:type="dxa"/>
              <w:bottom w:w="0" w:type="dxa"/>
              <w:right w:w="70" w:type="dxa"/>
            </w:tcMar>
            <w:vAlign w:val="center"/>
            <w:hideMark/>
          </w:tcPr>
          <w:p w:rsidR="00391F91" w:rsidRPr="00A11FE0" w:rsidRDefault="00540F50"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 xml:space="preserve">4,64 </w:t>
            </w:r>
            <w:r w:rsidR="00385E37">
              <w:rPr>
                <w:rFonts w:asciiTheme="majorHAnsi" w:hAnsiTheme="majorHAnsi"/>
                <w:iCs/>
                <w:color w:val="000000"/>
                <w:sz w:val="18"/>
                <w:szCs w:val="18"/>
                <w:lang w:eastAsia="sk-SK"/>
              </w:rPr>
              <w:t>%</w:t>
            </w:r>
          </w:p>
        </w:tc>
      </w:tr>
      <w:tr w:rsidR="00391F91" w:rsidRPr="00A11FE0" w:rsidTr="00D275D1">
        <w:trPr>
          <w:trHeight w:val="330"/>
        </w:trPr>
        <w:tc>
          <w:tcPr>
            <w:tcW w:w="2096"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r>
              <w:rPr>
                <w:rFonts w:asciiTheme="majorHAnsi" w:hAnsiTheme="majorHAnsi"/>
                <w:b/>
                <w:iCs/>
                <w:color w:val="000000"/>
                <w:sz w:val="18"/>
                <w:szCs w:val="18"/>
                <w:lang w:eastAsia="sk-SK"/>
              </w:rPr>
              <w:t>K</w:t>
            </w:r>
            <w:r w:rsidRPr="00A11FE0">
              <w:rPr>
                <w:rFonts w:asciiTheme="majorHAnsi" w:hAnsiTheme="majorHAnsi"/>
                <w:b/>
                <w:iCs/>
                <w:color w:val="000000"/>
                <w:sz w:val="18"/>
                <w:szCs w:val="18"/>
                <w:lang w:eastAsia="sk-SK"/>
              </w:rPr>
              <w:t>F</w:t>
            </w:r>
          </w:p>
        </w:tc>
        <w:tc>
          <w:tcPr>
            <w:tcW w:w="1200"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N/</w:t>
            </w:r>
            <w:r>
              <w:rPr>
                <w:rFonts w:asciiTheme="majorHAnsi" w:hAnsiTheme="majorHAnsi"/>
                <w:iCs/>
                <w:color w:val="000000"/>
                <w:sz w:val="18"/>
                <w:szCs w:val="18"/>
                <w:lang w:eastAsia="sk-SK"/>
              </w:rPr>
              <w:t>A</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A11FE0" w:rsidRDefault="00391F91"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0</w:t>
            </w:r>
            <w:r w:rsidR="00540F50">
              <w:rPr>
                <w:rFonts w:asciiTheme="majorHAnsi" w:hAnsiTheme="majorHAnsi"/>
                <w:iCs/>
                <w:color w:val="000000"/>
                <w:sz w:val="18"/>
                <w:szCs w:val="18"/>
                <w:lang w:eastAsia="sk-SK"/>
              </w:rPr>
              <w:t>,00</w:t>
            </w:r>
          </w:p>
        </w:tc>
        <w:tc>
          <w:tcPr>
            <w:tcW w:w="986"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E0566">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0</w:t>
            </w:r>
            <w:r w:rsidR="00540F50">
              <w:rPr>
                <w:rFonts w:asciiTheme="majorHAnsi" w:hAnsiTheme="majorHAnsi"/>
                <w:iCs/>
                <w:color w:val="000000"/>
                <w:sz w:val="18"/>
                <w:szCs w:val="18"/>
                <w:lang w:eastAsia="sk-SK"/>
              </w:rPr>
              <w:t>,00</w:t>
            </w:r>
            <w:r>
              <w:rPr>
                <w:rFonts w:asciiTheme="majorHAnsi" w:hAnsiTheme="majorHAnsi"/>
                <w:iCs/>
                <w:color w:val="000000"/>
                <w:sz w:val="18"/>
                <w:szCs w:val="18"/>
                <w:lang w:eastAsia="sk-SK"/>
              </w:rPr>
              <w:t xml:space="preserve"> %</w:t>
            </w:r>
          </w:p>
        </w:tc>
      </w:tr>
      <w:tr w:rsidR="00391F91" w:rsidRPr="00A11FE0" w:rsidTr="00D275D1">
        <w:trPr>
          <w:trHeight w:val="330"/>
        </w:trPr>
        <w:tc>
          <w:tcPr>
            <w:tcW w:w="209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b/>
                <w:iCs/>
                <w:color w:val="000000"/>
                <w:sz w:val="18"/>
                <w:szCs w:val="18"/>
                <w:lang w:eastAsia="sk-SK"/>
              </w:rPr>
            </w:pPr>
            <w:r w:rsidRPr="00A11FE0">
              <w:rPr>
                <w:rFonts w:asciiTheme="majorHAnsi" w:hAnsiTheme="majorHAnsi"/>
                <w:b/>
                <w:iCs/>
                <w:color w:val="000000"/>
                <w:sz w:val="18"/>
                <w:szCs w:val="18"/>
                <w:lang w:eastAsia="sk-SK"/>
              </w:rPr>
              <w:t>EPFRV</w:t>
            </w:r>
          </w:p>
        </w:tc>
        <w:tc>
          <w:tcPr>
            <w:tcW w:w="120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N/</w:t>
            </w:r>
            <w:r>
              <w:rPr>
                <w:rFonts w:asciiTheme="majorHAnsi" w:hAnsiTheme="majorHAnsi"/>
                <w:iCs/>
                <w:color w:val="000000"/>
                <w:sz w:val="18"/>
                <w:szCs w:val="18"/>
                <w:lang w:eastAsia="sk-SK"/>
              </w:rPr>
              <w:t>A</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tcPr>
          <w:p w:rsidR="00391F91" w:rsidRPr="00054569" w:rsidRDefault="00D32015" w:rsidP="00916978">
            <w:pPr>
              <w:spacing w:after="0"/>
              <w:jc w:val="center"/>
              <w:rPr>
                <w:rFonts w:asciiTheme="majorHAnsi" w:hAnsiTheme="majorHAnsi"/>
                <w:iCs/>
                <w:color w:val="000000"/>
                <w:sz w:val="18"/>
                <w:szCs w:val="18"/>
                <w:lang w:eastAsia="sk-SK"/>
              </w:rPr>
            </w:pPr>
            <w:r w:rsidRPr="00054569">
              <w:rPr>
                <w:rFonts w:ascii="Calibri" w:eastAsia="MS Mincho" w:hAnsi="Calibri"/>
                <w:bCs/>
                <w:sz w:val="18"/>
                <w:szCs w:val="18"/>
              </w:rPr>
              <w:t>59 291</w:t>
            </w:r>
            <w:r w:rsidR="009E44E3" w:rsidRPr="00054569">
              <w:rPr>
                <w:rFonts w:ascii="Calibri" w:eastAsia="MS Mincho" w:hAnsi="Calibri"/>
                <w:bCs/>
                <w:sz w:val="18"/>
                <w:szCs w:val="18"/>
              </w:rPr>
              <w:t> </w:t>
            </w:r>
            <w:r w:rsidRPr="00054569">
              <w:rPr>
                <w:rFonts w:ascii="Calibri" w:eastAsia="MS Mincho" w:hAnsi="Calibri"/>
                <w:bCs/>
                <w:sz w:val="18"/>
                <w:szCs w:val="18"/>
              </w:rPr>
              <w:t>790</w:t>
            </w:r>
            <w:r w:rsidR="009E44E3" w:rsidRPr="00054569">
              <w:rPr>
                <w:rFonts w:ascii="Calibri" w:eastAsia="MS Mincho" w:hAnsi="Calibri"/>
                <w:bCs/>
                <w:sz w:val="18"/>
                <w:szCs w:val="18"/>
              </w:rPr>
              <w:t xml:space="preserve"> </w:t>
            </w:r>
          </w:p>
        </w:tc>
        <w:tc>
          <w:tcPr>
            <w:tcW w:w="98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D96355">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3,</w:t>
            </w:r>
            <w:r w:rsidR="00D32015">
              <w:rPr>
                <w:rFonts w:asciiTheme="majorHAnsi" w:hAnsiTheme="majorHAnsi"/>
                <w:iCs/>
                <w:color w:val="000000"/>
                <w:sz w:val="18"/>
                <w:szCs w:val="18"/>
                <w:lang w:eastAsia="sk-SK"/>
              </w:rPr>
              <w:t>80</w:t>
            </w:r>
            <w:r w:rsidR="009E44E3">
              <w:rPr>
                <w:rFonts w:asciiTheme="majorHAnsi" w:hAnsiTheme="majorHAnsi"/>
                <w:iCs/>
                <w:color w:val="000000"/>
                <w:sz w:val="18"/>
                <w:szCs w:val="18"/>
                <w:lang w:eastAsia="sk-SK"/>
              </w:rPr>
              <w:t xml:space="preserve"> </w:t>
            </w:r>
            <w:r w:rsidR="00D96355">
              <w:rPr>
                <w:rFonts w:asciiTheme="majorHAnsi" w:hAnsiTheme="majorHAnsi"/>
                <w:iCs/>
                <w:color w:val="000000"/>
                <w:sz w:val="18"/>
                <w:szCs w:val="18"/>
                <w:lang w:eastAsia="sk-SK"/>
              </w:rPr>
              <w:t xml:space="preserve"> </w:t>
            </w:r>
            <w:r w:rsidR="00916978">
              <w:rPr>
                <w:rFonts w:asciiTheme="majorHAnsi" w:hAnsiTheme="majorHAnsi"/>
                <w:iCs/>
                <w:color w:val="000000"/>
                <w:sz w:val="18"/>
                <w:szCs w:val="18"/>
                <w:lang w:eastAsia="sk-SK"/>
              </w:rPr>
              <w:t>%</w:t>
            </w:r>
          </w:p>
        </w:tc>
      </w:tr>
      <w:tr w:rsidR="00391F91" w:rsidRPr="00A11FE0" w:rsidTr="00D275D1">
        <w:trPr>
          <w:trHeight w:val="330"/>
        </w:trPr>
        <w:tc>
          <w:tcPr>
            <w:tcW w:w="209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667938">
            <w:pPr>
              <w:spacing w:after="0"/>
              <w:jc w:val="center"/>
              <w:rPr>
                <w:rFonts w:asciiTheme="majorHAnsi" w:hAnsiTheme="majorHAnsi"/>
                <w:b/>
                <w:iCs/>
                <w:color w:val="000000"/>
                <w:sz w:val="18"/>
                <w:szCs w:val="18"/>
                <w:lang w:eastAsia="sk-SK"/>
              </w:rPr>
            </w:pPr>
            <w:r w:rsidRPr="00A11FE0">
              <w:rPr>
                <w:rFonts w:asciiTheme="majorHAnsi" w:hAnsiTheme="majorHAnsi"/>
                <w:b/>
                <w:iCs/>
                <w:color w:val="000000"/>
                <w:sz w:val="18"/>
                <w:szCs w:val="18"/>
                <w:lang w:eastAsia="sk-SK"/>
              </w:rPr>
              <w:t>ENRF</w:t>
            </w:r>
          </w:p>
        </w:tc>
        <w:tc>
          <w:tcPr>
            <w:tcW w:w="120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391F91" w:rsidP="003F0750">
            <w:pPr>
              <w:spacing w:after="0"/>
              <w:jc w:val="center"/>
              <w:rPr>
                <w:rFonts w:asciiTheme="majorHAnsi" w:hAnsiTheme="majorHAnsi"/>
                <w:iCs/>
                <w:color w:val="000000"/>
                <w:sz w:val="18"/>
                <w:szCs w:val="18"/>
                <w:lang w:eastAsia="sk-SK"/>
              </w:rPr>
            </w:pPr>
            <w:r w:rsidRPr="00A11FE0">
              <w:rPr>
                <w:rFonts w:asciiTheme="majorHAnsi" w:hAnsiTheme="majorHAnsi"/>
                <w:iCs/>
                <w:color w:val="000000"/>
                <w:sz w:val="18"/>
                <w:szCs w:val="18"/>
                <w:lang w:eastAsia="sk-SK"/>
              </w:rPr>
              <w:t>N/</w:t>
            </w:r>
            <w:r>
              <w:rPr>
                <w:rFonts w:asciiTheme="majorHAnsi" w:hAnsiTheme="majorHAnsi"/>
                <w:iCs/>
                <w:color w:val="000000"/>
                <w:sz w:val="18"/>
                <w:szCs w:val="18"/>
                <w:lang w:eastAsia="sk-SK"/>
              </w:rPr>
              <w:t>A</w:t>
            </w:r>
          </w:p>
        </w:tc>
        <w:tc>
          <w:tcPr>
            <w:tcW w:w="719"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D32015" w:rsidP="00916978">
            <w:pPr>
              <w:spacing w:after="0"/>
              <w:jc w:val="center"/>
              <w:rPr>
                <w:rFonts w:asciiTheme="majorHAnsi" w:hAnsiTheme="majorHAnsi"/>
                <w:iCs/>
                <w:color w:val="000000"/>
                <w:sz w:val="18"/>
                <w:szCs w:val="18"/>
                <w:lang w:eastAsia="sk-SK"/>
              </w:rPr>
            </w:pPr>
            <w:r w:rsidRPr="000D4590">
              <w:rPr>
                <w:rFonts w:ascii="Calibri" w:eastAsia="MS Mincho" w:hAnsi="Calibri"/>
                <w:iCs/>
                <w:color w:val="000000"/>
                <w:sz w:val="18"/>
                <w:szCs w:val="18"/>
                <w:lang w:eastAsia="sk-SK"/>
              </w:rPr>
              <w:t>937 100,00</w:t>
            </w:r>
            <w:r w:rsidR="009E44E3">
              <w:rPr>
                <w:rFonts w:ascii="Calibri" w:eastAsia="MS Mincho" w:hAnsi="Calibri"/>
                <w:iCs/>
                <w:color w:val="000000"/>
                <w:sz w:val="18"/>
                <w:szCs w:val="18"/>
                <w:lang w:eastAsia="sk-SK"/>
              </w:rPr>
              <w:t xml:space="preserve"> </w:t>
            </w:r>
          </w:p>
        </w:tc>
        <w:tc>
          <w:tcPr>
            <w:tcW w:w="986"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391F91" w:rsidRPr="00A11FE0" w:rsidRDefault="00D32015" w:rsidP="00916978">
            <w:pPr>
              <w:spacing w:after="0"/>
              <w:jc w:val="center"/>
              <w:rPr>
                <w:rFonts w:asciiTheme="majorHAnsi" w:hAnsiTheme="majorHAnsi"/>
                <w:iCs/>
                <w:color w:val="000000"/>
                <w:sz w:val="18"/>
                <w:szCs w:val="18"/>
                <w:lang w:eastAsia="sk-SK"/>
              </w:rPr>
            </w:pPr>
            <w:r>
              <w:rPr>
                <w:rFonts w:asciiTheme="majorHAnsi" w:hAnsiTheme="majorHAnsi"/>
                <w:iCs/>
                <w:color w:val="000000"/>
                <w:sz w:val="18"/>
                <w:szCs w:val="18"/>
                <w:lang w:eastAsia="sk-SK"/>
              </w:rPr>
              <w:t>5,93</w:t>
            </w:r>
            <w:r w:rsidR="009E44E3">
              <w:rPr>
                <w:rFonts w:asciiTheme="majorHAnsi" w:hAnsiTheme="majorHAnsi"/>
                <w:iCs/>
                <w:color w:val="000000"/>
                <w:sz w:val="18"/>
                <w:szCs w:val="18"/>
                <w:lang w:eastAsia="sk-SK"/>
              </w:rPr>
              <w:t xml:space="preserve"> </w:t>
            </w:r>
            <w:r w:rsidR="005D0D2A">
              <w:rPr>
                <w:rFonts w:asciiTheme="majorHAnsi" w:hAnsiTheme="majorHAnsi"/>
                <w:iCs/>
                <w:color w:val="000000"/>
                <w:sz w:val="18"/>
                <w:szCs w:val="18"/>
                <w:lang w:eastAsia="sk-SK"/>
              </w:rPr>
              <w:t xml:space="preserve"> %</w:t>
            </w:r>
          </w:p>
        </w:tc>
      </w:tr>
    </w:tbl>
    <w:p w:rsidR="00916978" w:rsidRDefault="00916978" w:rsidP="00916978">
      <w:pPr>
        <w:spacing w:before="0" w:after="0"/>
        <w:rPr>
          <w:rFonts w:asciiTheme="majorHAnsi" w:hAnsiTheme="majorHAnsi"/>
          <w:sz w:val="16"/>
          <w:szCs w:val="16"/>
          <w:lang w:eastAsia="sk-SK"/>
        </w:rPr>
      </w:pPr>
      <w:r>
        <w:rPr>
          <w:rFonts w:asciiTheme="majorHAnsi" w:hAnsiTheme="majorHAnsi"/>
          <w:sz w:val="16"/>
          <w:szCs w:val="16"/>
          <w:lang w:eastAsia="sk-SK"/>
        </w:rPr>
        <w:t>*vrátane alokácia pre OP TP (</w:t>
      </w:r>
      <w:r w:rsidR="00A3491D">
        <w:rPr>
          <w:rFonts w:asciiTheme="majorHAnsi" w:hAnsiTheme="majorHAnsi"/>
          <w:sz w:val="16"/>
          <w:szCs w:val="16"/>
          <w:lang w:eastAsia="sk-SK"/>
        </w:rPr>
        <w:t>159 </w:t>
      </w:r>
      <w:r>
        <w:rPr>
          <w:rFonts w:asciiTheme="majorHAnsi" w:hAnsiTheme="majorHAnsi"/>
          <w:sz w:val="16"/>
          <w:szCs w:val="16"/>
          <w:lang w:eastAsia="sk-SK"/>
        </w:rPr>
        <w:t>071 912</w:t>
      </w:r>
      <w:r w:rsidRPr="00A11FE0">
        <w:rPr>
          <w:rFonts w:asciiTheme="majorHAnsi" w:hAnsiTheme="majorHAnsi"/>
          <w:sz w:val="16"/>
          <w:szCs w:val="16"/>
          <w:lang w:eastAsia="sk-SK"/>
        </w:rPr>
        <w:t xml:space="preserve"> </w:t>
      </w:r>
      <w:r>
        <w:rPr>
          <w:rFonts w:asciiTheme="majorHAnsi" w:hAnsiTheme="majorHAnsi"/>
          <w:sz w:val="16"/>
          <w:szCs w:val="16"/>
          <w:lang w:eastAsia="sk-SK"/>
        </w:rPr>
        <w:t>EUR</w:t>
      </w:r>
      <w:r w:rsidRPr="00A11FE0">
        <w:rPr>
          <w:rFonts w:asciiTheme="majorHAnsi" w:hAnsiTheme="majorHAnsi"/>
          <w:sz w:val="16"/>
          <w:szCs w:val="16"/>
          <w:lang w:eastAsia="sk-SK"/>
        </w:rPr>
        <w:t>)</w:t>
      </w:r>
    </w:p>
    <w:p w:rsidR="00391F91" w:rsidRPr="0045695F" w:rsidRDefault="00391F91" w:rsidP="00391F91">
      <w:pPr>
        <w:pStyle w:val="Popis"/>
        <w:keepNext/>
        <w:spacing w:before="240" w:after="0"/>
        <w:rPr>
          <w:rFonts w:asciiTheme="majorHAnsi" w:hAnsiTheme="majorHAnsi"/>
          <w:sz w:val="18"/>
          <w:szCs w:val="18"/>
        </w:rPr>
      </w:pPr>
      <w:r w:rsidRPr="0045695F">
        <w:rPr>
          <w:rFonts w:asciiTheme="majorHAnsi" w:hAnsiTheme="majorHAnsi"/>
          <w:b w:val="0"/>
          <w:bCs w:val="0"/>
          <w:sz w:val="18"/>
          <w:szCs w:val="18"/>
        </w:rPr>
        <w:t xml:space="preserve">Tabuľka </w:t>
      </w:r>
      <w:r w:rsidR="00A3491D" w:rsidRPr="0045695F">
        <w:rPr>
          <w:rFonts w:asciiTheme="majorHAnsi" w:hAnsiTheme="majorHAnsi"/>
          <w:b w:val="0"/>
          <w:bCs w:val="0"/>
          <w:sz w:val="18"/>
          <w:szCs w:val="18"/>
        </w:rPr>
        <w:t>5</w:t>
      </w:r>
      <w:r w:rsidRPr="0045695F">
        <w:rPr>
          <w:rFonts w:asciiTheme="majorHAnsi" w:hAnsiTheme="majorHAnsi"/>
          <w:b w:val="0"/>
          <w:bCs w:val="0"/>
          <w:sz w:val="18"/>
          <w:szCs w:val="18"/>
        </w:rPr>
        <w:t>: Podiel ESF zo štrukturálnych fondov (EFRR a ESF)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91F91" w:rsidRPr="00A11FE0" w:rsidTr="00D275D1">
        <w:tc>
          <w:tcPr>
            <w:tcW w:w="2500" w:type="pct"/>
          </w:tcPr>
          <w:p w:rsidR="00391F91" w:rsidRPr="00A11FE0" w:rsidRDefault="00391F91" w:rsidP="00D275D1">
            <w:pPr>
              <w:pStyle w:val="Text3"/>
              <w:ind w:left="0"/>
              <w:jc w:val="both"/>
              <w:rPr>
                <w:rFonts w:asciiTheme="majorHAnsi" w:hAnsiTheme="majorHAnsi"/>
                <w:b/>
                <w:sz w:val="18"/>
                <w:szCs w:val="18"/>
                <w:lang w:val="sk-SK"/>
              </w:rPr>
            </w:pPr>
            <w:r w:rsidRPr="00A11FE0">
              <w:rPr>
                <w:rFonts w:asciiTheme="majorHAnsi" w:hAnsiTheme="majorHAnsi"/>
                <w:sz w:val="18"/>
                <w:szCs w:val="18"/>
                <w:lang w:val="sk-SK"/>
              </w:rPr>
              <w:t xml:space="preserve">Podiel ESF zo zdrojov štrukturálnych fondov (ESF </w:t>
            </w:r>
            <w:r>
              <w:rPr>
                <w:rFonts w:asciiTheme="majorHAnsi" w:hAnsiTheme="majorHAnsi"/>
                <w:sz w:val="18"/>
                <w:szCs w:val="18"/>
                <w:lang w:val="sk-SK"/>
              </w:rPr>
              <w:t>a</w:t>
            </w:r>
            <w:r w:rsidRPr="00A11FE0">
              <w:rPr>
                <w:rFonts w:asciiTheme="majorHAnsi" w:hAnsiTheme="majorHAnsi"/>
                <w:sz w:val="18"/>
                <w:szCs w:val="18"/>
                <w:lang w:val="sk-SK"/>
              </w:rPr>
              <w:t xml:space="preserve"> EFRR) pre operačné programy pre cieľ </w:t>
            </w:r>
            <w:r>
              <w:rPr>
                <w:rFonts w:asciiTheme="majorHAnsi" w:hAnsiTheme="majorHAnsi"/>
                <w:sz w:val="18"/>
                <w:szCs w:val="18"/>
                <w:lang w:val="sk-SK"/>
              </w:rPr>
              <w:t>K</w:t>
            </w:r>
            <w:r w:rsidRPr="00A11FE0">
              <w:rPr>
                <w:rFonts w:asciiTheme="majorHAnsi" w:hAnsiTheme="majorHAnsi"/>
                <w:sz w:val="18"/>
                <w:szCs w:val="18"/>
                <w:lang w:val="sk-SK"/>
              </w:rPr>
              <w:t xml:space="preserve">onvergencia </w:t>
            </w:r>
            <w:r>
              <w:rPr>
                <w:rFonts w:asciiTheme="majorHAnsi" w:hAnsiTheme="majorHAnsi"/>
                <w:sz w:val="18"/>
                <w:szCs w:val="18"/>
                <w:lang w:val="sk-SK"/>
              </w:rPr>
              <w:t>a</w:t>
            </w:r>
            <w:r w:rsidRPr="00A11FE0">
              <w:rPr>
                <w:rFonts w:asciiTheme="majorHAnsi" w:hAnsiTheme="majorHAnsi"/>
                <w:sz w:val="18"/>
                <w:szCs w:val="18"/>
                <w:lang w:val="sk-SK"/>
              </w:rPr>
              <w:t xml:space="preserve"> Regionálna </w:t>
            </w:r>
            <w:r>
              <w:rPr>
                <w:rFonts w:asciiTheme="majorHAnsi" w:hAnsiTheme="majorHAnsi"/>
                <w:sz w:val="18"/>
                <w:szCs w:val="18"/>
                <w:lang w:val="sk-SK"/>
              </w:rPr>
              <w:t>k</w:t>
            </w:r>
            <w:r w:rsidRPr="00A11FE0">
              <w:rPr>
                <w:rFonts w:asciiTheme="majorHAnsi" w:hAnsiTheme="majorHAnsi"/>
                <w:sz w:val="18"/>
                <w:szCs w:val="18"/>
                <w:lang w:val="sk-SK"/>
              </w:rPr>
              <w:t xml:space="preserve">onkurencieschopnosť </w:t>
            </w:r>
            <w:r>
              <w:rPr>
                <w:rFonts w:asciiTheme="majorHAnsi" w:hAnsiTheme="majorHAnsi"/>
                <w:sz w:val="18"/>
                <w:szCs w:val="18"/>
                <w:lang w:val="sk-SK"/>
              </w:rPr>
              <w:t>a</w:t>
            </w:r>
            <w:r w:rsidRPr="00A11FE0">
              <w:rPr>
                <w:rFonts w:asciiTheme="majorHAnsi" w:hAnsiTheme="majorHAnsi"/>
                <w:sz w:val="18"/>
                <w:szCs w:val="18"/>
                <w:lang w:val="sk-SK"/>
              </w:rPr>
              <w:t xml:space="preserve"> zamestnanosť v programovom období 2007 – 2013</w:t>
            </w:r>
          </w:p>
        </w:tc>
        <w:tc>
          <w:tcPr>
            <w:tcW w:w="2500" w:type="pct"/>
            <w:vAlign w:val="center"/>
          </w:tcPr>
          <w:p w:rsidR="00391F91" w:rsidRPr="00A11FE0" w:rsidRDefault="00391F91" w:rsidP="00D275D1">
            <w:pPr>
              <w:pStyle w:val="Text3"/>
              <w:ind w:left="0"/>
              <w:jc w:val="right"/>
              <w:rPr>
                <w:rFonts w:asciiTheme="majorHAnsi" w:hAnsiTheme="majorHAnsi"/>
                <w:sz w:val="18"/>
                <w:szCs w:val="18"/>
                <w:lang w:val="sk-SK"/>
              </w:rPr>
            </w:pPr>
            <w:r w:rsidRPr="00A11FE0">
              <w:rPr>
                <w:rFonts w:asciiTheme="majorHAnsi" w:hAnsiTheme="majorHAnsi"/>
                <w:sz w:val="18"/>
                <w:szCs w:val="18"/>
                <w:lang w:val="sk-SK"/>
              </w:rPr>
              <w:t>19,71 %</w:t>
            </w:r>
          </w:p>
        </w:tc>
      </w:tr>
      <w:tr w:rsidR="00391F91" w:rsidRPr="00A11FE0" w:rsidTr="00D275D1">
        <w:tc>
          <w:tcPr>
            <w:tcW w:w="2500" w:type="pct"/>
            <w:hideMark/>
          </w:tcPr>
          <w:p w:rsidR="00391F91" w:rsidRPr="00A11FE0" w:rsidRDefault="00391F91" w:rsidP="00D275D1">
            <w:pPr>
              <w:pStyle w:val="Text3"/>
              <w:ind w:left="0"/>
              <w:jc w:val="both"/>
              <w:rPr>
                <w:rFonts w:asciiTheme="majorHAnsi" w:hAnsiTheme="majorHAnsi"/>
                <w:b/>
                <w:sz w:val="18"/>
                <w:szCs w:val="18"/>
                <w:lang w:val="sk-SK"/>
              </w:rPr>
            </w:pPr>
            <w:r w:rsidRPr="00A11FE0">
              <w:rPr>
                <w:rFonts w:asciiTheme="majorHAnsi" w:hAnsiTheme="majorHAnsi"/>
                <w:sz w:val="18"/>
                <w:szCs w:val="18"/>
                <w:lang w:val="sk-SK"/>
              </w:rPr>
              <w:t xml:space="preserve">Minimálny podiel ESF v členskom štáte  </w:t>
            </w:r>
          </w:p>
        </w:tc>
        <w:tc>
          <w:tcPr>
            <w:tcW w:w="2500" w:type="pct"/>
            <w:vAlign w:val="center"/>
          </w:tcPr>
          <w:p w:rsidR="00391F91" w:rsidRPr="00A11FE0" w:rsidRDefault="00391F91" w:rsidP="002733D5">
            <w:pPr>
              <w:pStyle w:val="Text3"/>
              <w:ind w:left="0"/>
              <w:jc w:val="right"/>
              <w:rPr>
                <w:rFonts w:asciiTheme="majorHAnsi" w:hAnsiTheme="majorHAnsi"/>
                <w:sz w:val="18"/>
                <w:szCs w:val="18"/>
                <w:lang w:val="sk-SK"/>
              </w:rPr>
            </w:pPr>
            <w:r w:rsidRPr="00A11FE0">
              <w:rPr>
                <w:rFonts w:asciiTheme="majorHAnsi" w:hAnsiTheme="majorHAnsi"/>
                <w:sz w:val="18"/>
                <w:szCs w:val="18"/>
                <w:lang w:val="sk-SK"/>
              </w:rPr>
              <w:t>20</w:t>
            </w:r>
            <w:r w:rsidR="002733D5">
              <w:rPr>
                <w:rFonts w:asciiTheme="majorHAnsi" w:hAnsiTheme="majorHAnsi"/>
                <w:sz w:val="18"/>
                <w:szCs w:val="18"/>
                <w:lang w:val="sk-SK"/>
              </w:rPr>
              <w:t>,</w:t>
            </w:r>
            <w:r w:rsidRPr="00A11FE0">
              <w:rPr>
                <w:rFonts w:asciiTheme="majorHAnsi" w:hAnsiTheme="majorHAnsi"/>
                <w:sz w:val="18"/>
                <w:szCs w:val="18"/>
                <w:lang w:val="sk-SK"/>
              </w:rPr>
              <w:t>9 %</w:t>
            </w:r>
          </w:p>
        </w:tc>
      </w:tr>
      <w:tr w:rsidR="00391F91" w:rsidRPr="00A11FE0" w:rsidTr="00D275D1">
        <w:tc>
          <w:tcPr>
            <w:tcW w:w="2500" w:type="pct"/>
          </w:tcPr>
          <w:p w:rsidR="00391F91" w:rsidRPr="00A11FE0" w:rsidRDefault="00391F91" w:rsidP="00D275D1">
            <w:pPr>
              <w:pStyle w:val="Text3"/>
              <w:ind w:left="0"/>
              <w:jc w:val="both"/>
              <w:rPr>
                <w:rFonts w:asciiTheme="majorHAnsi" w:hAnsiTheme="majorHAnsi"/>
                <w:b/>
                <w:sz w:val="18"/>
                <w:szCs w:val="18"/>
                <w:lang w:val="sk-SK"/>
              </w:rPr>
            </w:pPr>
            <w:r w:rsidRPr="00A11FE0">
              <w:rPr>
                <w:rFonts w:asciiTheme="majorHAnsi" w:hAnsiTheme="majorHAnsi"/>
                <w:sz w:val="18"/>
                <w:szCs w:val="18"/>
                <w:lang w:val="sk-SK"/>
              </w:rPr>
              <w:t xml:space="preserve">Podiel ESF zo zdrojov štrukturálnych fondov v programovom období 2014 – 2020 </w:t>
            </w:r>
          </w:p>
        </w:tc>
        <w:tc>
          <w:tcPr>
            <w:tcW w:w="2500" w:type="pct"/>
            <w:vAlign w:val="center"/>
          </w:tcPr>
          <w:p w:rsidR="00391F91" w:rsidRPr="00A11FE0" w:rsidRDefault="00A3491D" w:rsidP="002733D5">
            <w:pPr>
              <w:pStyle w:val="Text3"/>
              <w:ind w:left="0"/>
              <w:jc w:val="right"/>
              <w:rPr>
                <w:rFonts w:asciiTheme="majorHAnsi" w:hAnsiTheme="majorHAnsi"/>
                <w:sz w:val="18"/>
                <w:szCs w:val="18"/>
                <w:lang w:val="sk-SK"/>
              </w:rPr>
            </w:pPr>
            <w:r>
              <w:rPr>
                <w:rFonts w:asciiTheme="majorHAnsi" w:hAnsiTheme="majorHAnsi"/>
                <w:sz w:val="18"/>
                <w:szCs w:val="18"/>
                <w:lang w:val="sk-SK"/>
              </w:rPr>
              <w:t>22,</w:t>
            </w:r>
            <w:r w:rsidR="00F71DA0">
              <w:rPr>
                <w:rFonts w:asciiTheme="majorHAnsi" w:hAnsiTheme="majorHAnsi"/>
                <w:sz w:val="18"/>
                <w:szCs w:val="18"/>
                <w:lang w:val="sk-SK"/>
              </w:rPr>
              <w:t>92</w:t>
            </w:r>
            <w:r w:rsidR="009E44E3">
              <w:rPr>
                <w:rFonts w:asciiTheme="majorHAnsi" w:hAnsiTheme="majorHAnsi"/>
                <w:sz w:val="18"/>
                <w:szCs w:val="18"/>
                <w:lang w:val="sk-SK"/>
              </w:rPr>
              <w:t xml:space="preserve"> </w:t>
            </w:r>
            <w:r w:rsidR="00391F91" w:rsidRPr="00A11FE0">
              <w:rPr>
                <w:rFonts w:asciiTheme="majorHAnsi" w:hAnsiTheme="majorHAnsi"/>
                <w:sz w:val="18"/>
                <w:szCs w:val="18"/>
                <w:lang w:val="sk-SK"/>
              </w:rPr>
              <w:t>%</w:t>
            </w:r>
          </w:p>
        </w:tc>
      </w:tr>
    </w:tbl>
    <w:p w:rsidR="00894D52" w:rsidRPr="00A11FE0" w:rsidRDefault="00C54995" w:rsidP="00C109F3">
      <w:pPr>
        <w:pStyle w:val="Nadpis2"/>
        <w:numPr>
          <w:ilvl w:val="1"/>
          <w:numId w:val="2"/>
        </w:numPr>
        <w:spacing w:before="240"/>
        <w:ind w:left="578" w:hanging="578"/>
        <w:rPr>
          <w:lang w:eastAsia="cs-CZ"/>
        </w:rPr>
      </w:pPr>
      <w:bookmarkStart w:id="587" w:name="_Toc377406486"/>
      <w:bookmarkStart w:id="588" w:name="_Toc372972977"/>
      <w:bookmarkStart w:id="589" w:name="_Toc372975843"/>
      <w:bookmarkStart w:id="590" w:name="_Toc378168692"/>
      <w:bookmarkStart w:id="591" w:name="_Toc490655222"/>
      <w:bookmarkEnd w:id="587"/>
      <w:bookmarkEnd w:id="588"/>
      <w:bookmarkEnd w:id="589"/>
      <w:r w:rsidRPr="00A11FE0">
        <w:rPr>
          <w:lang w:eastAsia="cs-CZ"/>
        </w:rPr>
        <w:t xml:space="preserve">Uplatňovanie horizontálnych princípov </w:t>
      </w:r>
      <w:r w:rsidR="00BD5FD5">
        <w:rPr>
          <w:lang w:eastAsia="cs-CZ"/>
        </w:rPr>
        <w:t>a</w:t>
      </w:r>
      <w:r w:rsidR="00B55265">
        <w:rPr>
          <w:lang w:eastAsia="cs-CZ"/>
        </w:rPr>
        <w:t> </w:t>
      </w:r>
      <w:r w:rsidRPr="00A11FE0">
        <w:rPr>
          <w:lang w:eastAsia="cs-CZ"/>
        </w:rPr>
        <w:t>cieľov politiky pre využívanie EŠIF</w:t>
      </w:r>
      <w:bookmarkEnd w:id="590"/>
      <w:bookmarkEnd w:id="591"/>
    </w:p>
    <w:p w:rsidR="00E01A37" w:rsidRPr="00A11FE0" w:rsidRDefault="00E01A37" w:rsidP="00C109F3">
      <w:pPr>
        <w:pStyle w:val="Nadpis3"/>
        <w:numPr>
          <w:ilvl w:val="2"/>
          <w:numId w:val="2"/>
        </w:numPr>
      </w:pPr>
      <w:r w:rsidRPr="00A11FE0">
        <w:t xml:space="preserve">Opatrenia pre princíp partnerstva vrátane indikatívneho zoznamu partnerov </w:t>
      </w:r>
      <w:r w:rsidR="00BD5FD5">
        <w:t>a</w:t>
      </w:r>
      <w:r w:rsidRPr="00A11FE0">
        <w:t xml:space="preserve"> zhrnutie </w:t>
      </w:r>
      <w:r w:rsidR="00BD5FD5">
        <w:t>ak</w:t>
      </w:r>
      <w:r w:rsidRPr="00A11FE0">
        <w:t xml:space="preserve">tivít na zahrnutie partnerov, ich úloha pri príprave PD </w:t>
      </w:r>
      <w:r w:rsidR="00BD5FD5">
        <w:t>a</w:t>
      </w:r>
      <w:r w:rsidRPr="00A11FE0">
        <w:t> </w:t>
      </w:r>
      <w:r w:rsidR="00BD5FD5">
        <w:t>s</w:t>
      </w:r>
      <w:r w:rsidRPr="00A11FE0">
        <w:t>práve o pokroku</w:t>
      </w:r>
    </w:p>
    <w:p w:rsidR="00E01A37" w:rsidRPr="00A11FE0" w:rsidRDefault="0094304E" w:rsidP="00CC3354">
      <w:pPr>
        <w:rPr>
          <w:rFonts w:asciiTheme="majorHAnsi" w:hAnsiTheme="majorHAnsi"/>
          <w:szCs w:val="22"/>
        </w:rPr>
      </w:pPr>
      <w:r w:rsidRPr="00A11FE0">
        <w:rPr>
          <w:rFonts w:asciiTheme="majorHAnsi" w:hAnsiTheme="majorHAnsi"/>
          <w:szCs w:val="22"/>
        </w:rPr>
        <w:t xml:space="preserve">Úrad </w:t>
      </w:r>
      <w:r w:rsidR="007C42B2">
        <w:rPr>
          <w:rFonts w:asciiTheme="majorHAnsi" w:hAnsiTheme="majorHAnsi"/>
          <w:szCs w:val="22"/>
        </w:rPr>
        <w:t xml:space="preserve">podpredsedu </w:t>
      </w:r>
      <w:r w:rsidRPr="00A11FE0">
        <w:rPr>
          <w:rFonts w:asciiTheme="majorHAnsi" w:hAnsiTheme="majorHAnsi"/>
          <w:szCs w:val="22"/>
        </w:rPr>
        <w:t xml:space="preserve">vlády </w:t>
      </w:r>
      <w:r>
        <w:rPr>
          <w:rFonts w:asciiTheme="majorHAnsi" w:hAnsiTheme="majorHAnsi"/>
          <w:szCs w:val="22"/>
        </w:rPr>
        <w:t>S</w:t>
      </w:r>
      <w:r w:rsidRPr="00A11FE0">
        <w:rPr>
          <w:rFonts w:asciiTheme="majorHAnsi" w:hAnsiTheme="majorHAnsi"/>
          <w:szCs w:val="22"/>
        </w:rPr>
        <w:t>R</w:t>
      </w:r>
      <w:r w:rsidR="006B449D">
        <w:rPr>
          <w:rFonts w:asciiTheme="majorHAnsi" w:hAnsiTheme="majorHAnsi"/>
          <w:szCs w:val="22"/>
        </w:rPr>
        <w:t xml:space="preserve"> </w:t>
      </w:r>
      <w:r w:rsidR="007C42B2">
        <w:rPr>
          <w:rFonts w:asciiTheme="majorHAnsi" w:hAnsiTheme="majorHAnsi"/>
          <w:szCs w:val="22"/>
        </w:rPr>
        <w:t xml:space="preserve">pre investície a informatizáciu </w:t>
      </w:r>
      <w:r w:rsidR="002E64EE">
        <w:rPr>
          <w:rFonts w:asciiTheme="majorHAnsi" w:hAnsiTheme="majorHAnsi"/>
          <w:szCs w:val="22"/>
        </w:rPr>
        <w:t>(ďalej len „Ú</w:t>
      </w:r>
      <w:r w:rsidR="007C42B2">
        <w:rPr>
          <w:rFonts w:asciiTheme="majorHAnsi" w:hAnsiTheme="majorHAnsi"/>
          <w:szCs w:val="22"/>
        </w:rPr>
        <w:t>PP</w:t>
      </w:r>
      <w:r w:rsidR="002E64EE">
        <w:rPr>
          <w:rFonts w:asciiTheme="majorHAnsi" w:hAnsiTheme="majorHAnsi"/>
          <w:szCs w:val="22"/>
        </w:rPr>
        <w:t>V</w:t>
      </w:r>
      <w:r w:rsidR="007C42B2">
        <w:rPr>
          <w:rFonts w:asciiTheme="majorHAnsi" w:hAnsiTheme="majorHAnsi"/>
          <w:szCs w:val="22"/>
        </w:rPr>
        <w:t>II</w:t>
      </w:r>
      <w:r w:rsidR="002E64EE">
        <w:rPr>
          <w:rFonts w:asciiTheme="majorHAnsi" w:hAnsiTheme="majorHAnsi"/>
          <w:szCs w:val="22"/>
        </w:rPr>
        <w:t xml:space="preserve">“) </w:t>
      </w:r>
      <w:r w:rsidR="00BD5FD5">
        <w:rPr>
          <w:rFonts w:asciiTheme="majorHAnsi" w:hAnsiTheme="majorHAnsi"/>
          <w:szCs w:val="22"/>
        </w:rPr>
        <w:t>k</w:t>
      </w:r>
      <w:r w:rsidR="00E01A37" w:rsidRPr="00A11FE0">
        <w:rPr>
          <w:rFonts w:asciiTheme="majorHAnsi" w:hAnsiTheme="majorHAnsi"/>
          <w:szCs w:val="22"/>
        </w:rPr>
        <w:t>oordinuje využívanie finančných prostriedkov z</w:t>
      </w:r>
      <w:r w:rsidR="00CB6151">
        <w:rPr>
          <w:rFonts w:asciiTheme="majorHAnsi" w:hAnsiTheme="majorHAnsi"/>
          <w:szCs w:val="22"/>
        </w:rPr>
        <w:t> </w:t>
      </w:r>
      <w:r w:rsidR="00E01A37" w:rsidRPr="00A11FE0">
        <w:rPr>
          <w:rFonts w:asciiTheme="majorHAnsi" w:hAnsiTheme="majorHAnsi"/>
          <w:szCs w:val="22"/>
        </w:rPr>
        <w:t>fondov</w:t>
      </w:r>
      <w:r w:rsidR="00CB6151">
        <w:rPr>
          <w:rFonts w:asciiTheme="majorHAnsi" w:hAnsiTheme="majorHAnsi"/>
          <w:szCs w:val="22"/>
        </w:rPr>
        <w:t xml:space="preserve"> EÚ</w:t>
      </w:r>
      <w:r>
        <w:rPr>
          <w:rStyle w:val="Odkaznapoznmkupodiarou"/>
          <w:rFonts w:asciiTheme="majorHAnsi" w:hAnsiTheme="majorHAnsi"/>
          <w:szCs w:val="22"/>
        </w:rPr>
        <w:footnoteReference w:id="309"/>
      </w:r>
      <w:r w:rsidR="00E01A37" w:rsidRPr="00A11FE0">
        <w:rPr>
          <w:rFonts w:asciiTheme="majorHAnsi" w:hAnsiTheme="majorHAnsi"/>
          <w:szCs w:val="22"/>
        </w:rPr>
        <w:t xml:space="preserve">. V prostredí </w:t>
      </w:r>
      <w:r w:rsidR="00BD5FD5">
        <w:rPr>
          <w:rFonts w:asciiTheme="majorHAnsi" w:hAnsiTheme="majorHAnsi"/>
          <w:szCs w:val="22"/>
        </w:rPr>
        <w:t>S</w:t>
      </w:r>
      <w:r w:rsidR="00E01A37" w:rsidRPr="00A11FE0">
        <w:rPr>
          <w:rFonts w:asciiTheme="majorHAnsi" w:hAnsiTheme="majorHAnsi"/>
          <w:szCs w:val="22"/>
        </w:rPr>
        <w:t xml:space="preserve">R je príprava </w:t>
      </w:r>
      <w:r w:rsidR="00B55265">
        <w:rPr>
          <w:rFonts w:asciiTheme="majorHAnsi" w:hAnsiTheme="majorHAnsi"/>
          <w:szCs w:val="22"/>
        </w:rPr>
        <w:t xml:space="preserve">PD </w:t>
      </w:r>
      <w:r w:rsidR="00BD5FD5">
        <w:rPr>
          <w:rFonts w:asciiTheme="majorHAnsi" w:hAnsiTheme="majorHAnsi"/>
          <w:szCs w:val="22"/>
        </w:rPr>
        <w:t>S</w:t>
      </w:r>
      <w:r w:rsidR="00E01A37" w:rsidRPr="00A11FE0">
        <w:rPr>
          <w:rFonts w:asciiTheme="majorHAnsi" w:hAnsiTheme="majorHAnsi"/>
          <w:szCs w:val="22"/>
        </w:rPr>
        <w:t xml:space="preserve">R na roky 2014 – 2020 zabezpečovaná Centrálnym </w:t>
      </w:r>
      <w:r w:rsidR="00BD5FD5">
        <w:rPr>
          <w:rFonts w:asciiTheme="majorHAnsi" w:hAnsiTheme="majorHAnsi"/>
          <w:szCs w:val="22"/>
        </w:rPr>
        <w:t>k</w:t>
      </w:r>
      <w:r w:rsidR="00E01A37" w:rsidRPr="00A11FE0">
        <w:rPr>
          <w:rFonts w:asciiTheme="majorHAnsi" w:hAnsiTheme="majorHAnsi"/>
          <w:szCs w:val="22"/>
        </w:rPr>
        <w:t>oordinačným orgánom</w:t>
      </w:r>
      <w:r w:rsidR="00BE72DB">
        <w:rPr>
          <w:rFonts w:asciiTheme="majorHAnsi" w:hAnsiTheme="majorHAnsi"/>
          <w:szCs w:val="22"/>
        </w:rPr>
        <w:t xml:space="preserve"> (ďalej len „CKO“)</w:t>
      </w:r>
      <w:r w:rsidR="00E01A37" w:rsidRPr="00A11FE0">
        <w:rPr>
          <w:rFonts w:asciiTheme="majorHAnsi" w:hAnsiTheme="majorHAnsi"/>
          <w:szCs w:val="22"/>
        </w:rPr>
        <w:t xml:space="preserve">, </w:t>
      </w:r>
      <w:r w:rsidR="00BD5FD5">
        <w:rPr>
          <w:rFonts w:asciiTheme="majorHAnsi" w:hAnsiTheme="majorHAnsi"/>
          <w:szCs w:val="22"/>
        </w:rPr>
        <w:t>k</w:t>
      </w:r>
      <w:r w:rsidR="00E01A37" w:rsidRPr="00A11FE0">
        <w:rPr>
          <w:rFonts w:asciiTheme="majorHAnsi" w:hAnsiTheme="majorHAnsi"/>
          <w:szCs w:val="22"/>
        </w:rPr>
        <w:t xml:space="preserve">torý je v gescii </w:t>
      </w:r>
      <w:r w:rsidR="007C42B2">
        <w:rPr>
          <w:rFonts w:asciiTheme="majorHAnsi" w:hAnsiTheme="majorHAnsi"/>
          <w:szCs w:val="22"/>
        </w:rPr>
        <w:t>ÚPPVII</w:t>
      </w:r>
      <w:r w:rsidR="00E01A37" w:rsidRPr="00A11FE0">
        <w:rPr>
          <w:rFonts w:asciiTheme="majorHAnsi" w:hAnsiTheme="majorHAnsi"/>
          <w:szCs w:val="22"/>
        </w:rPr>
        <w:t xml:space="preserve">. </w:t>
      </w:r>
      <w:r w:rsidR="00EF36DA">
        <w:rPr>
          <w:rFonts w:asciiTheme="majorHAnsi" w:hAnsiTheme="majorHAnsi"/>
          <w:szCs w:val="22"/>
        </w:rPr>
        <w:t>CKO</w:t>
      </w:r>
      <w:r w:rsidR="00E01A37" w:rsidRPr="00A11FE0">
        <w:rPr>
          <w:rFonts w:asciiTheme="majorHAnsi" w:hAnsiTheme="majorHAnsi"/>
          <w:szCs w:val="22"/>
        </w:rPr>
        <w:t xml:space="preserve"> včleňuje relevantných partnerov do procesu prípravy PD </w:t>
      </w:r>
      <w:r w:rsidR="00BD5FD5">
        <w:rPr>
          <w:rFonts w:asciiTheme="majorHAnsi" w:hAnsiTheme="majorHAnsi"/>
          <w:szCs w:val="22"/>
        </w:rPr>
        <w:t>S</w:t>
      </w:r>
      <w:r w:rsidR="00E01A37" w:rsidRPr="00A11FE0">
        <w:rPr>
          <w:rFonts w:asciiTheme="majorHAnsi" w:hAnsiTheme="majorHAnsi"/>
          <w:szCs w:val="22"/>
        </w:rPr>
        <w:t xml:space="preserve">R prostredníctvom nasledovných pracovných </w:t>
      </w:r>
      <w:r w:rsidR="00BD5FD5">
        <w:rPr>
          <w:rFonts w:asciiTheme="majorHAnsi" w:hAnsiTheme="majorHAnsi"/>
          <w:szCs w:val="22"/>
        </w:rPr>
        <w:t>s</w:t>
      </w:r>
      <w:r w:rsidR="00E01A37" w:rsidRPr="00A11FE0">
        <w:rPr>
          <w:rFonts w:asciiTheme="majorHAnsi" w:hAnsiTheme="majorHAnsi"/>
          <w:szCs w:val="22"/>
        </w:rPr>
        <w:t>kupín:</w:t>
      </w:r>
    </w:p>
    <w:p w:rsidR="00E01A37" w:rsidRPr="00A11FE0" w:rsidRDefault="00E01A37" w:rsidP="001C5C9E">
      <w:pPr>
        <w:numPr>
          <w:ilvl w:val="0"/>
          <w:numId w:val="20"/>
        </w:numPr>
        <w:spacing w:before="0" w:after="0"/>
        <w:rPr>
          <w:rFonts w:asciiTheme="majorHAnsi" w:hAnsiTheme="majorHAnsi"/>
          <w:szCs w:val="22"/>
        </w:rPr>
      </w:pPr>
      <w:r w:rsidRPr="00A11FE0">
        <w:rPr>
          <w:rFonts w:asciiTheme="majorHAnsi" w:hAnsiTheme="majorHAnsi"/>
          <w:szCs w:val="22"/>
        </w:rPr>
        <w:t xml:space="preserve">Rada vlády </w:t>
      </w:r>
      <w:r w:rsidR="00BD5FD5">
        <w:rPr>
          <w:rFonts w:asciiTheme="majorHAnsi" w:hAnsiTheme="majorHAnsi"/>
          <w:szCs w:val="22"/>
        </w:rPr>
        <w:t>S</w:t>
      </w:r>
      <w:r w:rsidRPr="00A11FE0">
        <w:rPr>
          <w:rFonts w:asciiTheme="majorHAnsi" w:hAnsiTheme="majorHAnsi"/>
          <w:szCs w:val="22"/>
        </w:rPr>
        <w:t xml:space="preserve">R pre Partnerskú dohodu na roky 2014 – 2020 </w:t>
      </w:r>
      <w:r w:rsidR="00707968">
        <w:rPr>
          <w:rFonts w:asciiTheme="majorHAnsi" w:hAnsiTheme="majorHAnsi"/>
          <w:szCs w:val="22"/>
        </w:rPr>
        <w:t>–</w:t>
      </w:r>
      <w:r w:rsidRPr="00A11FE0">
        <w:rPr>
          <w:rFonts w:asciiTheme="majorHAnsi" w:hAnsiTheme="majorHAnsi"/>
          <w:szCs w:val="22"/>
        </w:rPr>
        <w:t xml:space="preserve"> </w:t>
      </w:r>
      <w:r w:rsidR="00BD5FD5">
        <w:rPr>
          <w:rFonts w:asciiTheme="majorHAnsi" w:hAnsiTheme="majorHAnsi"/>
          <w:szCs w:val="22"/>
        </w:rPr>
        <w:t>k</w:t>
      </w:r>
      <w:r w:rsidRPr="00A11FE0">
        <w:rPr>
          <w:rFonts w:asciiTheme="majorHAnsi" w:hAnsiTheme="majorHAnsi"/>
          <w:szCs w:val="22"/>
        </w:rPr>
        <w:t xml:space="preserve">oordinačný, poradný </w:t>
      </w:r>
      <w:r w:rsidR="00BD5FD5">
        <w:rPr>
          <w:rFonts w:asciiTheme="majorHAnsi" w:hAnsiTheme="majorHAnsi"/>
          <w:szCs w:val="22"/>
        </w:rPr>
        <w:t>a</w:t>
      </w:r>
      <w:r w:rsidR="00CB6151">
        <w:rPr>
          <w:rFonts w:asciiTheme="majorHAnsi" w:hAnsiTheme="majorHAnsi"/>
          <w:szCs w:val="22"/>
        </w:rPr>
        <w:t> </w:t>
      </w:r>
      <w:r w:rsidRPr="00A11FE0">
        <w:rPr>
          <w:rFonts w:asciiTheme="majorHAnsi" w:hAnsiTheme="majorHAnsi"/>
          <w:szCs w:val="22"/>
        </w:rPr>
        <w:t>iniciatívny</w:t>
      </w:r>
      <w:r w:rsidR="00CB6151">
        <w:rPr>
          <w:rFonts w:asciiTheme="majorHAnsi" w:hAnsiTheme="majorHAnsi"/>
          <w:szCs w:val="22"/>
        </w:rPr>
        <w:t xml:space="preserve"> </w:t>
      </w:r>
      <w:r w:rsidRPr="00A11FE0">
        <w:rPr>
          <w:rFonts w:asciiTheme="majorHAnsi" w:hAnsiTheme="majorHAnsi"/>
          <w:szCs w:val="22"/>
        </w:rPr>
        <w:t xml:space="preserve">orgán vlády </w:t>
      </w:r>
      <w:r w:rsidR="00BD5FD5">
        <w:rPr>
          <w:rFonts w:asciiTheme="majorHAnsi" w:hAnsiTheme="majorHAnsi"/>
          <w:szCs w:val="22"/>
        </w:rPr>
        <w:t>S</w:t>
      </w:r>
      <w:r w:rsidRPr="00A11FE0">
        <w:rPr>
          <w:rFonts w:asciiTheme="majorHAnsi" w:hAnsiTheme="majorHAnsi"/>
          <w:szCs w:val="22"/>
        </w:rPr>
        <w:t xml:space="preserve">R v otázkach </w:t>
      </w:r>
      <w:r w:rsidR="00BD5FD5">
        <w:rPr>
          <w:rFonts w:asciiTheme="majorHAnsi" w:hAnsiTheme="majorHAnsi"/>
          <w:szCs w:val="22"/>
        </w:rPr>
        <w:t>s</w:t>
      </w:r>
      <w:r w:rsidRPr="00A11FE0">
        <w:rPr>
          <w:rFonts w:asciiTheme="majorHAnsi" w:hAnsiTheme="majorHAnsi"/>
          <w:szCs w:val="22"/>
        </w:rPr>
        <w:t xml:space="preserve">úvisiacich </w:t>
      </w:r>
      <w:r w:rsidR="00BD5FD5">
        <w:rPr>
          <w:rFonts w:asciiTheme="majorHAnsi" w:hAnsiTheme="majorHAnsi"/>
          <w:szCs w:val="22"/>
        </w:rPr>
        <w:t>s</w:t>
      </w:r>
      <w:r w:rsidR="00707968">
        <w:rPr>
          <w:rFonts w:asciiTheme="majorHAnsi" w:hAnsiTheme="majorHAnsi"/>
          <w:szCs w:val="22"/>
        </w:rPr>
        <w:t> </w:t>
      </w:r>
      <w:r w:rsidRPr="00A11FE0">
        <w:rPr>
          <w:rFonts w:asciiTheme="majorHAnsi" w:hAnsiTheme="majorHAnsi"/>
          <w:szCs w:val="22"/>
        </w:rPr>
        <w:t xml:space="preserve">prípravou PD </w:t>
      </w:r>
      <w:r w:rsidR="00BD5FD5">
        <w:rPr>
          <w:rFonts w:asciiTheme="majorHAnsi" w:hAnsiTheme="majorHAnsi"/>
          <w:szCs w:val="22"/>
        </w:rPr>
        <w:t>S</w:t>
      </w:r>
      <w:r w:rsidRPr="00A11FE0">
        <w:rPr>
          <w:rFonts w:asciiTheme="majorHAnsi" w:hAnsiTheme="majorHAnsi"/>
          <w:szCs w:val="22"/>
        </w:rPr>
        <w:t>R (zoznam členov v prílohe),</w:t>
      </w:r>
    </w:p>
    <w:p w:rsidR="00E01A37" w:rsidRPr="00A11FE0" w:rsidRDefault="00E01A37" w:rsidP="001C5C9E">
      <w:pPr>
        <w:numPr>
          <w:ilvl w:val="0"/>
          <w:numId w:val="20"/>
        </w:numPr>
        <w:spacing w:before="0" w:after="0"/>
        <w:rPr>
          <w:rFonts w:asciiTheme="majorHAnsi" w:hAnsiTheme="majorHAnsi"/>
          <w:szCs w:val="22"/>
        </w:rPr>
      </w:pPr>
      <w:r w:rsidRPr="00A11FE0">
        <w:rPr>
          <w:rFonts w:asciiTheme="majorHAnsi" w:hAnsiTheme="majorHAnsi"/>
          <w:szCs w:val="22"/>
        </w:rPr>
        <w:t xml:space="preserve">pracovná </w:t>
      </w:r>
      <w:r w:rsidR="00BD5FD5">
        <w:rPr>
          <w:rFonts w:asciiTheme="majorHAnsi" w:hAnsiTheme="majorHAnsi"/>
          <w:szCs w:val="22"/>
        </w:rPr>
        <w:t>s</w:t>
      </w:r>
      <w:r w:rsidRPr="00A11FE0">
        <w:rPr>
          <w:rFonts w:asciiTheme="majorHAnsi" w:hAnsiTheme="majorHAnsi"/>
          <w:szCs w:val="22"/>
        </w:rPr>
        <w:t xml:space="preserve">kupina „Partnerstvo pre politiku </w:t>
      </w:r>
      <w:r w:rsidR="00BD5FD5">
        <w:rPr>
          <w:rFonts w:asciiTheme="majorHAnsi" w:hAnsiTheme="majorHAnsi"/>
          <w:szCs w:val="22"/>
        </w:rPr>
        <w:t>s</w:t>
      </w:r>
      <w:r w:rsidRPr="00A11FE0">
        <w:rPr>
          <w:rFonts w:asciiTheme="majorHAnsi" w:hAnsiTheme="majorHAnsi"/>
          <w:szCs w:val="22"/>
        </w:rPr>
        <w:t xml:space="preserve">údržnosti“ </w:t>
      </w:r>
      <w:r w:rsidR="00707968">
        <w:rPr>
          <w:rFonts w:asciiTheme="majorHAnsi" w:hAnsiTheme="majorHAnsi"/>
          <w:szCs w:val="22"/>
        </w:rPr>
        <w:t>–</w:t>
      </w:r>
      <w:r w:rsidRPr="00A11FE0">
        <w:rPr>
          <w:rFonts w:asciiTheme="majorHAnsi" w:hAnsiTheme="majorHAnsi"/>
          <w:szCs w:val="22"/>
        </w:rPr>
        <w:t xml:space="preserve"> platforma pre výmenu </w:t>
      </w:r>
      <w:r w:rsidR="00BD5FD5">
        <w:rPr>
          <w:rFonts w:asciiTheme="majorHAnsi" w:hAnsiTheme="majorHAnsi"/>
          <w:szCs w:val="22"/>
        </w:rPr>
        <w:t>s</w:t>
      </w:r>
      <w:r w:rsidRPr="00A11FE0">
        <w:rPr>
          <w:rFonts w:asciiTheme="majorHAnsi" w:hAnsiTheme="majorHAnsi"/>
          <w:szCs w:val="22"/>
        </w:rPr>
        <w:t>kúseností z</w:t>
      </w:r>
      <w:r w:rsidR="00B55265">
        <w:rPr>
          <w:rFonts w:asciiTheme="majorHAnsi" w:hAnsiTheme="majorHAnsi"/>
          <w:szCs w:val="22"/>
        </w:rPr>
        <w:t> </w:t>
      </w:r>
      <w:r w:rsidRPr="00A11FE0">
        <w:rPr>
          <w:rFonts w:asciiTheme="majorHAnsi" w:hAnsiTheme="majorHAnsi"/>
          <w:szCs w:val="22"/>
        </w:rPr>
        <w:t>praxe</w:t>
      </w:r>
      <w:r w:rsidR="00B55265">
        <w:rPr>
          <w:rFonts w:asciiTheme="majorHAnsi" w:hAnsiTheme="majorHAnsi"/>
          <w:szCs w:val="22"/>
        </w:rPr>
        <w:t xml:space="preserve"> </w:t>
      </w:r>
      <w:r w:rsidR="00BD5FD5">
        <w:rPr>
          <w:rFonts w:asciiTheme="majorHAnsi" w:hAnsiTheme="majorHAnsi"/>
          <w:szCs w:val="22"/>
        </w:rPr>
        <w:t>a</w:t>
      </w:r>
      <w:r w:rsidR="00707968">
        <w:rPr>
          <w:rFonts w:asciiTheme="majorHAnsi" w:hAnsiTheme="majorHAnsi"/>
          <w:szCs w:val="22"/>
        </w:rPr>
        <w:t> </w:t>
      </w:r>
      <w:r w:rsidRPr="00A11FE0">
        <w:rPr>
          <w:rFonts w:asciiTheme="majorHAnsi" w:hAnsiTheme="majorHAnsi"/>
          <w:szCs w:val="22"/>
        </w:rPr>
        <w:t>názorov odborníkov v</w:t>
      </w:r>
      <w:r w:rsidR="00707968">
        <w:rPr>
          <w:rFonts w:asciiTheme="majorHAnsi" w:hAnsiTheme="majorHAnsi"/>
          <w:szCs w:val="22"/>
        </w:rPr>
        <w:t> </w:t>
      </w:r>
      <w:r w:rsidRPr="00A11FE0">
        <w:rPr>
          <w:rFonts w:asciiTheme="majorHAnsi" w:hAnsiTheme="majorHAnsi"/>
          <w:szCs w:val="22"/>
        </w:rPr>
        <w:t xml:space="preserve">oblasti politiky </w:t>
      </w:r>
      <w:r w:rsidR="002142E4">
        <w:rPr>
          <w:rFonts w:asciiTheme="majorHAnsi" w:hAnsiTheme="majorHAnsi"/>
          <w:szCs w:val="22"/>
        </w:rPr>
        <w:t>s</w:t>
      </w:r>
      <w:r w:rsidRPr="00A11FE0">
        <w:rPr>
          <w:rFonts w:asciiTheme="majorHAnsi" w:hAnsiTheme="majorHAnsi"/>
          <w:szCs w:val="22"/>
        </w:rPr>
        <w:t>údržnosti EÚ po roku 2013 (zoznam členov v prílohe),</w:t>
      </w:r>
    </w:p>
    <w:p w:rsidR="00E01A37" w:rsidRPr="00A11FE0" w:rsidRDefault="00E01A37" w:rsidP="001C5C9E">
      <w:pPr>
        <w:numPr>
          <w:ilvl w:val="0"/>
          <w:numId w:val="20"/>
        </w:numPr>
        <w:spacing w:before="0" w:after="0"/>
        <w:rPr>
          <w:rFonts w:asciiTheme="majorHAnsi" w:hAnsiTheme="majorHAnsi"/>
          <w:szCs w:val="22"/>
        </w:rPr>
      </w:pPr>
      <w:r w:rsidRPr="00A11FE0">
        <w:rPr>
          <w:rFonts w:asciiTheme="majorHAnsi" w:hAnsiTheme="majorHAnsi"/>
          <w:szCs w:val="22"/>
        </w:rPr>
        <w:t xml:space="preserve">pracovné </w:t>
      </w:r>
      <w:r w:rsidR="00BD5FD5">
        <w:rPr>
          <w:rFonts w:asciiTheme="majorHAnsi" w:hAnsiTheme="majorHAnsi"/>
          <w:szCs w:val="22"/>
        </w:rPr>
        <w:t>s</w:t>
      </w:r>
      <w:r w:rsidRPr="00A11FE0">
        <w:rPr>
          <w:rFonts w:asciiTheme="majorHAnsi" w:hAnsiTheme="majorHAnsi"/>
          <w:szCs w:val="22"/>
        </w:rPr>
        <w:t xml:space="preserve">kupiny </w:t>
      </w:r>
      <w:r w:rsidR="00BD5FD5">
        <w:rPr>
          <w:rFonts w:asciiTheme="majorHAnsi" w:hAnsiTheme="majorHAnsi"/>
          <w:szCs w:val="22"/>
        </w:rPr>
        <w:t>k</w:t>
      </w:r>
      <w:r w:rsidRPr="00A11FE0">
        <w:rPr>
          <w:rFonts w:asciiTheme="majorHAnsi" w:hAnsiTheme="majorHAnsi"/>
          <w:szCs w:val="22"/>
        </w:rPr>
        <w:t xml:space="preserve"> plneniu ex </w:t>
      </w:r>
      <w:r w:rsidR="00BD5FD5">
        <w:rPr>
          <w:rFonts w:asciiTheme="majorHAnsi" w:hAnsiTheme="majorHAnsi"/>
          <w:szCs w:val="22"/>
        </w:rPr>
        <w:t>a</w:t>
      </w:r>
      <w:r w:rsidRPr="00A11FE0">
        <w:rPr>
          <w:rFonts w:asciiTheme="majorHAnsi" w:hAnsiTheme="majorHAnsi"/>
          <w:szCs w:val="22"/>
        </w:rPr>
        <w:t xml:space="preserve">nte </w:t>
      </w:r>
      <w:r w:rsidR="00BD5FD5">
        <w:rPr>
          <w:rFonts w:asciiTheme="majorHAnsi" w:hAnsiTheme="majorHAnsi"/>
          <w:szCs w:val="22"/>
        </w:rPr>
        <w:t>k</w:t>
      </w:r>
      <w:r w:rsidRPr="00A11FE0">
        <w:rPr>
          <w:rFonts w:asciiTheme="majorHAnsi" w:hAnsiTheme="majorHAnsi"/>
          <w:szCs w:val="22"/>
        </w:rPr>
        <w:t xml:space="preserve">ondicionalít – zriadené na jednotlivých ústredných orgánoch štátnej </w:t>
      </w:r>
      <w:r w:rsidR="00BD5FD5">
        <w:rPr>
          <w:rFonts w:asciiTheme="majorHAnsi" w:hAnsiTheme="majorHAnsi"/>
          <w:szCs w:val="22"/>
        </w:rPr>
        <w:t>s</w:t>
      </w:r>
      <w:r w:rsidRPr="00A11FE0">
        <w:rPr>
          <w:rFonts w:asciiTheme="majorHAnsi" w:hAnsiTheme="majorHAnsi"/>
          <w:szCs w:val="22"/>
        </w:rPr>
        <w:t xml:space="preserve">právy zodpovedných za ich plnenie v zmysle uznesenia vlády </w:t>
      </w:r>
      <w:r w:rsidR="00BD5FD5">
        <w:rPr>
          <w:rFonts w:asciiTheme="majorHAnsi" w:hAnsiTheme="majorHAnsi"/>
          <w:szCs w:val="22"/>
        </w:rPr>
        <w:t>S</w:t>
      </w:r>
      <w:r w:rsidRPr="00A11FE0">
        <w:rPr>
          <w:rFonts w:asciiTheme="majorHAnsi" w:hAnsiTheme="majorHAnsi"/>
          <w:szCs w:val="22"/>
        </w:rPr>
        <w:t xml:space="preserve">R </w:t>
      </w:r>
      <w:r w:rsidR="00A10CE3">
        <w:rPr>
          <w:rFonts w:asciiTheme="majorHAnsi" w:hAnsiTheme="majorHAnsi"/>
          <w:szCs w:val="22"/>
        </w:rPr>
        <w:br/>
      </w:r>
      <w:r w:rsidRPr="00A11FE0">
        <w:rPr>
          <w:rFonts w:asciiTheme="majorHAnsi" w:hAnsiTheme="majorHAnsi"/>
          <w:szCs w:val="22"/>
        </w:rPr>
        <w:t>č. 305/2012,</w:t>
      </w:r>
    </w:p>
    <w:p w:rsidR="00E01A37" w:rsidRPr="00A11FE0" w:rsidRDefault="00E01A37" w:rsidP="001C5C9E">
      <w:pPr>
        <w:numPr>
          <w:ilvl w:val="0"/>
          <w:numId w:val="20"/>
        </w:numPr>
        <w:spacing w:before="0" w:after="0"/>
        <w:rPr>
          <w:rFonts w:asciiTheme="majorHAnsi" w:hAnsiTheme="majorHAnsi"/>
          <w:szCs w:val="22"/>
        </w:rPr>
      </w:pPr>
      <w:r w:rsidRPr="00A11FE0">
        <w:rPr>
          <w:rFonts w:asciiTheme="majorHAnsi" w:hAnsiTheme="majorHAnsi"/>
          <w:szCs w:val="22"/>
        </w:rPr>
        <w:lastRenderedPageBreak/>
        <w:t xml:space="preserve">pracovné </w:t>
      </w:r>
      <w:r w:rsidR="00BD5FD5">
        <w:rPr>
          <w:rFonts w:asciiTheme="majorHAnsi" w:hAnsiTheme="majorHAnsi"/>
          <w:szCs w:val="22"/>
        </w:rPr>
        <w:t>s</w:t>
      </w:r>
      <w:r w:rsidRPr="00A11FE0">
        <w:rPr>
          <w:rFonts w:asciiTheme="majorHAnsi" w:hAnsiTheme="majorHAnsi"/>
          <w:szCs w:val="22"/>
        </w:rPr>
        <w:t>kupiny na prípravu budúcich programov – zriadené na jednotlivých zodpovedných orgánoch</w:t>
      </w:r>
      <w:r w:rsidRPr="00A11FE0">
        <w:rPr>
          <w:rFonts w:asciiTheme="majorHAnsi" w:hAnsiTheme="majorHAnsi"/>
          <w:szCs w:val="22"/>
          <w:vertAlign w:val="superscript"/>
        </w:rPr>
        <w:footnoteReference w:id="310"/>
      </w:r>
      <w:r w:rsidRPr="00A11FE0">
        <w:rPr>
          <w:rFonts w:asciiTheme="majorHAnsi" w:hAnsiTheme="majorHAnsi"/>
          <w:szCs w:val="22"/>
        </w:rPr>
        <w:t xml:space="preserve"> v zmysle usmernenia CKO </w:t>
      </w:r>
      <w:r w:rsidR="00BD5FD5">
        <w:rPr>
          <w:rFonts w:asciiTheme="majorHAnsi" w:hAnsiTheme="majorHAnsi"/>
          <w:szCs w:val="22"/>
        </w:rPr>
        <w:t>k</w:t>
      </w:r>
      <w:r w:rsidR="00707968">
        <w:rPr>
          <w:rFonts w:asciiTheme="majorHAnsi" w:hAnsiTheme="majorHAnsi"/>
          <w:szCs w:val="22"/>
        </w:rPr>
        <w:t> </w:t>
      </w:r>
      <w:r w:rsidRPr="00A11FE0">
        <w:rPr>
          <w:rFonts w:asciiTheme="majorHAnsi" w:hAnsiTheme="majorHAnsi"/>
          <w:szCs w:val="22"/>
        </w:rPr>
        <w:t xml:space="preserve">príprave </w:t>
      </w:r>
      <w:r w:rsidR="00B55265">
        <w:rPr>
          <w:rFonts w:asciiTheme="majorHAnsi" w:hAnsiTheme="majorHAnsi"/>
          <w:szCs w:val="22"/>
        </w:rPr>
        <w:t>OP</w:t>
      </w:r>
      <w:r w:rsidRPr="00A11FE0">
        <w:rPr>
          <w:rFonts w:asciiTheme="majorHAnsi" w:hAnsiTheme="majorHAnsi"/>
          <w:szCs w:val="22"/>
        </w:rPr>
        <w:t xml:space="preserve"> na roky 2014 – 2020,</w:t>
      </w:r>
    </w:p>
    <w:p w:rsidR="00E01A37" w:rsidRPr="00A11FE0" w:rsidRDefault="00E01A37" w:rsidP="001C5C9E">
      <w:pPr>
        <w:numPr>
          <w:ilvl w:val="0"/>
          <w:numId w:val="20"/>
        </w:numPr>
        <w:spacing w:before="0" w:after="0"/>
        <w:rPr>
          <w:rFonts w:asciiTheme="majorHAnsi" w:hAnsiTheme="majorHAnsi"/>
          <w:szCs w:val="22"/>
        </w:rPr>
      </w:pPr>
      <w:r w:rsidRPr="00A11FE0">
        <w:rPr>
          <w:rFonts w:asciiTheme="majorHAnsi" w:hAnsiTheme="majorHAnsi"/>
          <w:szCs w:val="22"/>
        </w:rPr>
        <w:t xml:space="preserve">pracovná </w:t>
      </w:r>
      <w:r w:rsidR="00BD5FD5">
        <w:rPr>
          <w:rFonts w:asciiTheme="majorHAnsi" w:hAnsiTheme="majorHAnsi"/>
          <w:szCs w:val="22"/>
        </w:rPr>
        <w:t>s</w:t>
      </w:r>
      <w:r w:rsidRPr="00A11FE0">
        <w:rPr>
          <w:rFonts w:asciiTheme="majorHAnsi" w:hAnsiTheme="majorHAnsi"/>
          <w:szCs w:val="22"/>
        </w:rPr>
        <w:t xml:space="preserve">kupina na vytvorenie Územnej dohody medzi vládou </w:t>
      </w:r>
      <w:r w:rsidR="00BD5FD5">
        <w:rPr>
          <w:rFonts w:asciiTheme="majorHAnsi" w:hAnsiTheme="majorHAnsi"/>
          <w:szCs w:val="22"/>
        </w:rPr>
        <w:t>S</w:t>
      </w:r>
      <w:r w:rsidRPr="00A11FE0">
        <w:rPr>
          <w:rFonts w:asciiTheme="majorHAnsi" w:hAnsiTheme="majorHAnsi"/>
          <w:szCs w:val="22"/>
        </w:rPr>
        <w:t xml:space="preserve">R, regionálnou </w:t>
      </w:r>
      <w:r w:rsidR="00BD5FD5">
        <w:rPr>
          <w:rFonts w:asciiTheme="majorHAnsi" w:hAnsiTheme="majorHAnsi"/>
          <w:szCs w:val="22"/>
        </w:rPr>
        <w:t>s</w:t>
      </w:r>
      <w:r w:rsidRPr="00A11FE0">
        <w:rPr>
          <w:rFonts w:asciiTheme="majorHAnsi" w:hAnsiTheme="majorHAnsi"/>
          <w:szCs w:val="22"/>
        </w:rPr>
        <w:t xml:space="preserve">amosprávou </w:t>
      </w:r>
      <w:r w:rsidR="00BD5FD5">
        <w:rPr>
          <w:rFonts w:asciiTheme="majorHAnsi" w:hAnsiTheme="majorHAnsi"/>
          <w:szCs w:val="22"/>
        </w:rPr>
        <w:t>a</w:t>
      </w:r>
      <w:r w:rsidR="00707968">
        <w:rPr>
          <w:rFonts w:asciiTheme="majorHAnsi" w:hAnsiTheme="majorHAnsi"/>
          <w:szCs w:val="22"/>
        </w:rPr>
        <w:t> </w:t>
      </w:r>
      <w:r w:rsidRPr="00A11FE0">
        <w:rPr>
          <w:rFonts w:asciiTheme="majorHAnsi" w:hAnsiTheme="majorHAnsi"/>
          <w:szCs w:val="22"/>
        </w:rPr>
        <w:t xml:space="preserve">miestnou </w:t>
      </w:r>
      <w:r w:rsidR="00BD5FD5">
        <w:rPr>
          <w:rFonts w:asciiTheme="majorHAnsi" w:hAnsiTheme="majorHAnsi"/>
          <w:szCs w:val="22"/>
        </w:rPr>
        <w:t>s</w:t>
      </w:r>
      <w:r w:rsidRPr="00A11FE0">
        <w:rPr>
          <w:rFonts w:asciiTheme="majorHAnsi" w:hAnsiTheme="majorHAnsi"/>
          <w:szCs w:val="22"/>
        </w:rPr>
        <w:t>amosprávou na roky 2014 – 2020 (zoznam členov v prílohe).</w:t>
      </w:r>
    </w:p>
    <w:p w:rsidR="00E01A37" w:rsidRPr="00A11FE0" w:rsidRDefault="00E01A37" w:rsidP="00CC3354">
      <w:pPr>
        <w:spacing w:before="240" w:after="0"/>
        <w:rPr>
          <w:rFonts w:asciiTheme="majorHAnsi" w:hAnsiTheme="majorHAnsi"/>
          <w:szCs w:val="22"/>
        </w:rPr>
      </w:pPr>
      <w:r w:rsidRPr="00A11FE0">
        <w:rPr>
          <w:rFonts w:asciiTheme="majorHAnsi" w:hAnsiTheme="majorHAnsi"/>
          <w:szCs w:val="22"/>
        </w:rPr>
        <w:t xml:space="preserve">Do procesu prípravy PD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s</w:t>
      </w:r>
      <w:r w:rsidRPr="00A11FE0">
        <w:rPr>
          <w:rFonts w:asciiTheme="majorHAnsi" w:hAnsiTheme="majorHAnsi"/>
          <w:szCs w:val="22"/>
        </w:rPr>
        <w:t xml:space="preserve">ú zapojené </w:t>
      </w:r>
      <w:r w:rsidR="00B55265">
        <w:rPr>
          <w:rFonts w:asciiTheme="majorHAnsi" w:hAnsiTheme="majorHAnsi"/>
          <w:szCs w:val="22"/>
        </w:rPr>
        <w:t>RO</w:t>
      </w:r>
      <w:r w:rsidRPr="00A11FE0">
        <w:rPr>
          <w:rFonts w:asciiTheme="majorHAnsi" w:hAnsiTheme="majorHAnsi"/>
          <w:szCs w:val="22"/>
        </w:rPr>
        <w:t xml:space="preserve"> zodpovedné za prípravu budúcich </w:t>
      </w:r>
      <w:r w:rsidR="00EF36DA" w:rsidRPr="000F5F11">
        <w:rPr>
          <w:rFonts w:asciiTheme="majorHAnsi" w:hAnsiTheme="majorHAnsi"/>
          <w:szCs w:val="22"/>
        </w:rPr>
        <w:t>programov</w:t>
      </w:r>
      <w:r w:rsidRPr="00A11FE0">
        <w:rPr>
          <w:rFonts w:asciiTheme="majorHAnsi" w:hAnsiTheme="majorHAnsi"/>
          <w:szCs w:val="22"/>
        </w:rPr>
        <w:t xml:space="preserve">, ďalšie ústredné orgány štátnej </w:t>
      </w:r>
      <w:r w:rsidR="00BD5FD5">
        <w:rPr>
          <w:rFonts w:asciiTheme="majorHAnsi" w:hAnsiTheme="majorHAnsi"/>
          <w:szCs w:val="22"/>
        </w:rPr>
        <w:t>s</w:t>
      </w:r>
      <w:r w:rsidRPr="00A11FE0">
        <w:rPr>
          <w:rFonts w:asciiTheme="majorHAnsi" w:hAnsiTheme="majorHAnsi"/>
          <w:szCs w:val="22"/>
        </w:rPr>
        <w:t xml:space="preserve">právy,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 xml:space="preserve">j široké </w:t>
      </w:r>
      <w:r w:rsidR="00BD5FD5">
        <w:rPr>
          <w:rFonts w:asciiTheme="majorHAnsi" w:hAnsiTheme="majorHAnsi"/>
          <w:szCs w:val="22"/>
        </w:rPr>
        <w:t>s</w:t>
      </w:r>
      <w:r w:rsidRPr="00A11FE0">
        <w:rPr>
          <w:rFonts w:asciiTheme="majorHAnsi" w:hAnsiTheme="majorHAnsi"/>
          <w:szCs w:val="22"/>
        </w:rPr>
        <w:t>pektrum partnerov z</w:t>
      </w:r>
      <w:r w:rsidR="00B55265">
        <w:rPr>
          <w:rFonts w:asciiTheme="majorHAnsi" w:hAnsiTheme="majorHAnsi"/>
          <w:szCs w:val="22"/>
        </w:rPr>
        <w:t> </w:t>
      </w:r>
      <w:r w:rsidRPr="00A11FE0">
        <w:rPr>
          <w:rFonts w:asciiTheme="majorHAnsi" w:hAnsiTheme="majorHAnsi"/>
          <w:szCs w:val="22"/>
        </w:rPr>
        <w:t>regionálnej</w:t>
      </w:r>
      <w:r w:rsidR="00B55265">
        <w:rPr>
          <w:rFonts w:asciiTheme="majorHAnsi" w:hAnsiTheme="majorHAnsi"/>
          <w:szCs w:val="22"/>
        </w:rPr>
        <w:t xml:space="preserve"> </w:t>
      </w:r>
      <w:r w:rsidR="00BD5FD5">
        <w:rPr>
          <w:rFonts w:asciiTheme="majorHAnsi" w:hAnsiTheme="majorHAnsi"/>
          <w:szCs w:val="22"/>
        </w:rPr>
        <w:t>a</w:t>
      </w:r>
      <w:r w:rsidR="00B55265">
        <w:rPr>
          <w:rFonts w:asciiTheme="majorHAnsi" w:hAnsiTheme="majorHAnsi"/>
          <w:szCs w:val="22"/>
        </w:rPr>
        <w:t> </w:t>
      </w:r>
      <w:r w:rsidRPr="00A11FE0">
        <w:rPr>
          <w:rFonts w:asciiTheme="majorHAnsi" w:hAnsiTheme="majorHAnsi"/>
          <w:szCs w:val="22"/>
        </w:rPr>
        <w:t>miestnej</w:t>
      </w:r>
      <w:r w:rsidR="00B55265">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amosprávy, </w:t>
      </w:r>
      <w:r w:rsidR="00BD5FD5">
        <w:rPr>
          <w:rFonts w:asciiTheme="majorHAnsi" w:hAnsiTheme="majorHAnsi"/>
          <w:szCs w:val="22"/>
        </w:rPr>
        <w:t>ak</w:t>
      </w:r>
      <w:r w:rsidRPr="00A11FE0">
        <w:rPr>
          <w:rFonts w:asciiTheme="majorHAnsi" w:hAnsiTheme="majorHAnsi"/>
          <w:szCs w:val="22"/>
        </w:rPr>
        <w:t xml:space="preserve">ademickej </w:t>
      </w:r>
      <w:r w:rsidR="00BD5FD5">
        <w:rPr>
          <w:rFonts w:asciiTheme="majorHAnsi" w:hAnsiTheme="majorHAnsi"/>
          <w:szCs w:val="22"/>
        </w:rPr>
        <w:t>s</w:t>
      </w:r>
      <w:r w:rsidRPr="00A11FE0">
        <w:rPr>
          <w:rFonts w:asciiTheme="majorHAnsi" w:hAnsiTheme="majorHAnsi"/>
          <w:szCs w:val="22"/>
        </w:rPr>
        <w:t xml:space="preserve">féry, záujmových združení, reprezentatívnych profesijných združení, mimovládnych organizácií (zastrešujúcich rodovú rovnosť, nediskrimináciu, udržateľný rozvoj </w:t>
      </w:r>
      <w:r w:rsidR="00BD5FD5">
        <w:rPr>
          <w:rFonts w:asciiTheme="majorHAnsi" w:hAnsiTheme="majorHAnsi"/>
          <w:szCs w:val="22"/>
        </w:rPr>
        <w:t>a</w:t>
      </w:r>
      <w:r w:rsidR="00B55265">
        <w:rPr>
          <w:rFonts w:asciiTheme="majorHAnsi" w:hAnsiTheme="majorHAnsi"/>
          <w:szCs w:val="22"/>
        </w:rPr>
        <w:t> </w:t>
      </w:r>
      <w:r w:rsidRPr="00A11FE0">
        <w:rPr>
          <w:rFonts w:asciiTheme="majorHAnsi" w:hAnsiTheme="majorHAnsi"/>
          <w:szCs w:val="22"/>
        </w:rPr>
        <w:t>životné</w:t>
      </w:r>
      <w:r w:rsidR="00B55265">
        <w:rPr>
          <w:rFonts w:asciiTheme="majorHAnsi" w:hAnsiTheme="majorHAnsi"/>
          <w:szCs w:val="22"/>
        </w:rPr>
        <w:t xml:space="preserve"> </w:t>
      </w:r>
      <w:r w:rsidRPr="00A11FE0">
        <w:rPr>
          <w:rFonts w:asciiTheme="majorHAnsi" w:hAnsiTheme="majorHAnsi"/>
          <w:szCs w:val="22"/>
        </w:rPr>
        <w:t>prostredie), organizácií v</w:t>
      </w:r>
      <w:r w:rsidR="00831BAA">
        <w:rPr>
          <w:rFonts w:asciiTheme="majorHAnsi" w:hAnsiTheme="majorHAnsi"/>
          <w:szCs w:val="22"/>
        </w:rPr>
        <w:t> </w:t>
      </w:r>
      <w:r w:rsidRPr="00A11FE0">
        <w:rPr>
          <w:rFonts w:asciiTheme="majorHAnsi" w:hAnsiTheme="majorHAnsi"/>
          <w:szCs w:val="22"/>
        </w:rPr>
        <w:t xml:space="preserve">oblasti rozvoja vidieka </w:t>
      </w:r>
      <w:r w:rsidR="00BD5FD5">
        <w:rPr>
          <w:rFonts w:asciiTheme="majorHAnsi" w:hAnsiTheme="majorHAnsi"/>
          <w:szCs w:val="22"/>
        </w:rPr>
        <w:t>a</w:t>
      </w:r>
      <w:r w:rsidRPr="00A11FE0">
        <w:rPr>
          <w:rFonts w:asciiTheme="majorHAnsi" w:hAnsiTheme="majorHAnsi"/>
          <w:szCs w:val="22"/>
        </w:rPr>
        <w:t xml:space="preserve"> rybného hospodárstva </w:t>
      </w:r>
      <w:r w:rsidR="00BD5FD5">
        <w:rPr>
          <w:rFonts w:asciiTheme="majorHAnsi" w:hAnsiTheme="majorHAnsi"/>
          <w:szCs w:val="22"/>
        </w:rPr>
        <w:t>a</w:t>
      </w:r>
      <w:r w:rsidR="00B55265">
        <w:rPr>
          <w:rFonts w:asciiTheme="majorHAnsi" w:hAnsiTheme="majorHAnsi"/>
          <w:szCs w:val="22"/>
        </w:rPr>
        <w:t> </w:t>
      </w:r>
      <w:r w:rsidR="00992762">
        <w:rPr>
          <w:rFonts w:asciiTheme="majorHAnsi" w:hAnsiTheme="majorHAnsi"/>
          <w:szCs w:val="22"/>
        </w:rPr>
        <w:t>E</w:t>
      </w:r>
      <w:r w:rsidR="00DC5F52">
        <w:rPr>
          <w:rFonts w:asciiTheme="majorHAnsi" w:hAnsiTheme="majorHAnsi"/>
          <w:szCs w:val="22"/>
        </w:rPr>
        <w:t>ur</w:t>
      </w:r>
      <w:r w:rsidRPr="00A11FE0">
        <w:rPr>
          <w:rFonts w:asciiTheme="majorHAnsi" w:hAnsiTheme="majorHAnsi"/>
          <w:szCs w:val="22"/>
        </w:rPr>
        <w:t>ópskych</w:t>
      </w:r>
      <w:r w:rsidR="00B55265">
        <w:rPr>
          <w:rFonts w:asciiTheme="majorHAnsi" w:hAnsiTheme="majorHAnsi"/>
          <w:szCs w:val="22"/>
        </w:rPr>
        <w:t xml:space="preserve"> </w:t>
      </w:r>
      <w:r w:rsidRPr="00A11FE0">
        <w:rPr>
          <w:rFonts w:asciiTheme="majorHAnsi" w:hAnsiTheme="majorHAnsi"/>
          <w:szCs w:val="22"/>
        </w:rPr>
        <w:t xml:space="preserve">zoskupení územnej </w:t>
      </w:r>
      <w:r w:rsidR="00BD5FD5">
        <w:rPr>
          <w:rFonts w:asciiTheme="majorHAnsi" w:hAnsiTheme="majorHAnsi"/>
          <w:szCs w:val="22"/>
        </w:rPr>
        <w:t>s</w:t>
      </w:r>
      <w:r w:rsidRPr="00A11FE0">
        <w:rPr>
          <w:rFonts w:asciiTheme="majorHAnsi" w:hAnsiTheme="majorHAnsi"/>
          <w:szCs w:val="22"/>
        </w:rPr>
        <w:t>polupráce.</w:t>
      </w:r>
      <w:r w:rsidRPr="00A11FE0">
        <w:rPr>
          <w:rFonts w:asciiTheme="majorHAnsi" w:hAnsiTheme="majorHAnsi"/>
        </w:rPr>
        <w:t xml:space="preserve"> </w:t>
      </w:r>
      <w:r w:rsidRPr="00A11FE0">
        <w:rPr>
          <w:rFonts w:asciiTheme="majorHAnsi" w:hAnsiTheme="majorHAnsi"/>
          <w:szCs w:val="22"/>
        </w:rPr>
        <w:t xml:space="preserve">Neoddeliteľnú </w:t>
      </w:r>
      <w:r w:rsidR="00BD5FD5">
        <w:rPr>
          <w:rFonts w:asciiTheme="majorHAnsi" w:hAnsiTheme="majorHAnsi"/>
          <w:szCs w:val="22"/>
        </w:rPr>
        <w:t>s</w:t>
      </w:r>
      <w:r w:rsidRPr="00A11FE0">
        <w:rPr>
          <w:rFonts w:asciiTheme="majorHAnsi" w:hAnsiTheme="majorHAnsi"/>
          <w:szCs w:val="22"/>
        </w:rPr>
        <w:t xml:space="preserve">účasť pri príprave PD </w:t>
      </w:r>
      <w:r w:rsidR="00BD5FD5">
        <w:rPr>
          <w:rFonts w:asciiTheme="majorHAnsi" w:hAnsiTheme="majorHAnsi"/>
          <w:szCs w:val="22"/>
        </w:rPr>
        <w:t>S</w:t>
      </w:r>
      <w:r w:rsidRPr="00A11FE0">
        <w:rPr>
          <w:rFonts w:asciiTheme="majorHAnsi" w:hAnsiTheme="majorHAnsi"/>
          <w:szCs w:val="22"/>
        </w:rPr>
        <w:t xml:space="preserve">R tvorí </w:t>
      </w:r>
      <w:r w:rsidR="00BD5FD5">
        <w:rPr>
          <w:rFonts w:asciiTheme="majorHAnsi" w:hAnsiTheme="majorHAnsi"/>
          <w:szCs w:val="22"/>
        </w:rPr>
        <w:t>s</w:t>
      </w:r>
      <w:r w:rsidRPr="00A11FE0">
        <w:rPr>
          <w:rFonts w:asciiTheme="majorHAnsi" w:hAnsiTheme="majorHAnsi"/>
          <w:szCs w:val="22"/>
        </w:rPr>
        <w:t xml:space="preserve">polupráca </w:t>
      </w:r>
      <w:r w:rsidR="00BD5FD5">
        <w:rPr>
          <w:rFonts w:asciiTheme="majorHAnsi" w:hAnsiTheme="majorHAnsi"/>
          <w:szCs w:val="22"/>
        </w:rPr>
        <w:t>s</w:t>
      </w:r>
      <w:r w:rsidR="00831BAA">
        <w:rPr>
          <w:rFonts w:asciiTheme="majorHAnsi" w:hAnsiTheme="majorHAnsi"/>
          <w:szCs w:val="22"/>
        </w:rPr>
        <w:t> </w:t>
      </w:r>
      <w:r w:rsidRPr="00A11FE0">
        <w:rPr>
          <w:rFonts w:asciiTheme="majorHAnsi" w:hAnsiTheme="majorHAnsi"/>
          <w:szCs w:val="22"/>
        </w:rPr>
        <w:t xml:space="preserve">Ministerstvom pôdohospodárstva </w:t>
      </w:r>
      <w:r w:rsidR="00BD5FD5">
        <w:rPr>
          <w:rFonts w:asciiTheme="majorHAnsi" w:hAnsiTheme="majorHAnsi"/>
          <w:szCs w:val="22"/>
        </w:rPr>
        <w:t>a</w:t>
      </w:r>
      <w:r w:rsidR="00831BAA">
        <w:rPr>
          <w:rFonts w:asciiTheme="majorHAnsi" w:hAnsiTheme="majorHAnsi"/>
          <w:szCs w:val="22"/>
        </w:rPr>
        <w:t> </w:t>
      </w:r>
      <w:r w:rsidRPr="00A11FE0">
        <w:rPr>
          <w:rFonts w:asciiTheme="majorHAnsi" w:hAnsiTheme="majorHAnsi"/>
          <w:szCs w:val="22"/>
        </w:rPr>
        <w:t xml:space="preserve">rozvoja vidieka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k</w:t>
      </w:r>
      <w:r w:rsidRPr="00A11FE0">
        <w:rPr>
          <w:rFonts w:asciiTheme="majorHAnsi" w:hAnsiTheme="majorHAnsi"/>
          <w:szCs w:val="22"/>
        </w:rPr>
        <w:t xml:space="preserve">toré je zodpovedné za oblasť rozvoja vidieka </w:t>
      </w:r>
      <w:r w:rsidR="00BD5FD5">
        <w:rPr>
          <w:rFonts w:asciiTheme="majorHAnsi" w:hAnsiTheme="majorHAnsi"/>
          <w:szCs w:val="22"/>
        </w:rPr>
        <w:t>a</w:t>
      </w:r>
      <w:r w:rsidRPr="00A11FE0">
        <w:rPr>
          <w:rFonts w:asciiTheme="majorHAnsi" w:hAnsiTheme="majorHAnsi"/>
          <w:szCs w:val="22"/>
        </w:rPr>
        <w:t> rybného hospodárstva.</w:t>
      </w:r>
    </w:p>
    <w:p w:rsidR="00E01A37" w:rsidRPr="00A11FE0" w:rsidRDefault="00E01A37" w:rsidP="00CC3354">
      <w:pPr>
        <w:rPr>
          <w:rFonts w:asciiTheme="majorHAnsi" w:hAnsiTheme="majorHAnsi"/>
          <w:szCs w:val="22"/>
        </w:rPr>
      </w:pPr>
      <w:r w:rsidRPr="00A11FE0">
        <w:rPr>
          <w:rFonts w:asciiTheme="majorHAnsi" w:hAnsiTheme="majorHAnsi"/>
          <w:szCs w:val="22"/>
        </w:rPr>
        <w:t xml:space="preserve">Výber relevantných partnerov zapájaných do procesu prípravy PD </w:t>
      </w:r>
      <w:r w:rsidR="00BD5FD5">
        <w:rPr>
          <w:rFonts w:asciiTheme="majorHAnsi" w:hAnsiTheme="majorHAnsi"/>
          <w:szCs w:val="22"/>
        </w:rPr>
        <w:t>S</w:t>
      </w:r>
      <w:r w:rsidRPr="00A11FE0">
        <w:rPr>
          <w:rFonts w:asciiTheme="majorHAnsi" w:hAnsiTheme="majorHAnsi"/>
          <w:szCs w:val="22"/>
        </w:rPr>
        <w:t>R bol realizovaný v </w:t>
      </w:r>
      <w:r w:rsidR="00BD5FD5">
        <w:rPr>
          <w:rFonts w:asciiTheme="majorHAnsi" w:hAnsiTheme="majorHAnsi"/>
          <w:szCs w:val="22"/>
        </w:rPr>
        <w:t>s</w:t>
      </w:r>
      <w:r w:rsidRPr="00A11FE0">
        <w:rPr>
          <w:rFonts w:asciiTheme="majorHAnsi" w:hAnsiTheme="majorHAnsi"/>
          <w:szCs w:val="22"/>
        </w:rPr>
        <w:t xml:space="preserve">úlade </w:t>
      </w:r>
      <w:r w:rsidR="00BD5FD5">
        <w:rPr>
          <w:rFonts w:asciiTheme="majorHAnsi" w:hAnsiTheme="majorHAnsi"/>
          <w:szCs w:val="22"/>
        </w:rPr>
        <w:t>s</w:t>
      </w:r>
      <w:r w:rsidRPr="00A11FE0">
        <w:rPr>
          <w:rFonts w:asciiTheme="majorHAnsi" w:hAnsiTheme="majorHAnsi"/>
          <w:szCs w:val="22"/>
        </w:rPr>
        <w:t> čl. 5</w:t>
      </w:r>
      <w:r w:rsidR="00CB6151">
        <w:rPr>
          <w:rFonts w:asciiTheme="majorHAnsi" w:hAnsiTheme="majorHAnsi"/>
          <w:szCs w:val="22"/>
        </w:rPr>
        <w:t xml:space="preserve"> </w:t>
      </w:r>
      <w:r w:rsidR="00BC177B" w:rsidRPr="004E4FDE">
        <w:rPr>
          <w:rFonts w:asciiTheme="majorHAnsi" w:hAnsiTheme="majorHAnsi"/>
        </w:rPr>
        <w:t>nariadenia EP a Rady (EÚ) č. 1303/2013</w:t>
      </w:r>
      <w:r w:rsidRPr="00A11FE0">
        <w:rPr>
          <w:rFonts w:asciiTheme="majorHAnsi" w:hAnsiTheme="majorHAnsi"/>
          <w:szCs w:val="22"/>
        </w:rPr>
        <w:t xml:space="preserve">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delegovaného </w:t>
      </w:r>
      <w:r w:rsidR="00EF36DA">
        <w:rPr>
          <w:rFonts w:asciiTheme="majorHAnsi" w:hAnsiTheme="majorHAnsi"/>
          <w:szCs w:val="22"/>
        </w:rPr>
        <w:t>nariadenie</w:t>
      </w:r>
      <w:r w:rsidR="00EF36DA" w:rsidRPr="00A11FE0">
        <w:rPr>
          <w:rFonts w:asciiTheme="majorHAnsi" w:hAnsiTheme="majorHAnsi"/>
          <w:szCs w:val="22"/>
        </w:rPr>
        <w:t xml:space="preserve"> </w:t>
      </w:r>
      <w:r w:rsidRPr="00A11FE0">
        <w:rPr>
          <w:rFonts w:asciiTheme="majorHAnsi" w:hAnsiTheme="majorHAnsi"/>
          <w:szCs w:val="22"/>
        </w:rPr>
        <w:t xml:space="preserve">EK </w:t>
      </w:r>
      <w:r w:rsidR="00BD5FD5">
        <w:rPr>
          <w:rFonts w:asciiTheme="majorHAnsi" w:hAnsiTheme="majorHAnsi"/>
          <w:szCs w:val="22"/>
        </w:rPr>
        <w:t>k</w:t>
      </w:r>
      <w:r w:rsidR="00FB3209">
        <w:rPr>
          <w:rFonts w:asciiTheme="majorHAnsi" w:hAnsiTheme="majorHAnsi"/>
          <w:szCs w:val="22"/>
        </w:rPr>
        <w:t> </w:t>
      </w:r>
      <w:r w:rsidR="00992762">
        <w:rPr>
          <w:rFonts w:asciiTheme="majorHAnsi" w:hAnsiTheme="majorHAnsi"/>
          <w:szCs w:val="22"/>
        </w:rPr>
        <w:t>E</w:t>
      </w:r>
      <w:r w:rsidR="00DC5F52">
        <w:rPr>
          <w:rFonts w:asciiTheme="majorHAnsi" w:hAnsiTheme="majorHAnsi"/>
          <w:szCs w:val="22"/>
        </w:rPr>
        <w:t>ur</w:t>
      </w:r>
      <w:r w:rsidRPr="00A11FE0">
        <w:rPr>
          <w:rFonts w:asciiTheme="majorHAnsi" w:hAnsiTheme="majorHAnsi"/>
          <w:szCs w:val="22"/>
        </w:rPr>
        <w:t xml:space="preserve">ópskemu </w:t>
      </w:r>
      <w:r w:rsidR="00BD5FD5">
        <w:rPr>
          <w:rFonts w:asciiTheme="majorHAnsi" w:hAnsiTheme="majorHAnsi"/>
          <w:szCs w:val="22"/>
        </w:rPr>
        <w:t>k</w:t>
      </w:r>
      <w:r w:rsidRPr="00A11FE0">
        <w:rPr>
          <w:rFonts w:asciiTheme="majorHAnsi" w:hAnsiTheme="majorHAnsi"/>
          <w:szCs w:val="22"/>
        </w:rPr>
        <w:t>ódexu pre partnerstvo</w:t>
      </w:r>
      <w:r w:rsidR="0094304E">
        <w:rPr>
          <w:rStyle w:val="Odkaznapoznmkupodiarou"/>
          <w:rFonts w:asciiTheme="majorHAnsi" w:hAnsiTheme="majorHAnsi"/>
          <w:szCs w:val="22"/>
        </w:rPr>
        <w:footnoteReference w:id="311"/>
      </w:r>
      <w:r w:rsidRPr="00A11FE0">
        <w:rPr>
          <w:rFonts w:asciiTheme="majorHAnsi" w:hAnsiTheme="majorHAnsi"/>
          <w:szCs w:val="22"/>
        </w:rPr>
        <w:t xml:space="preserve"> tak, </w:t>
      </w:r>
      <w:r w:rsidR="00BD5FD5">
        <w:rPr>
          <w:rFonts w:asciiTheme="majorHAnsi" w:hAnsiTheme="majorHAnsi"/>
          <w:szCs w:val="22"/>
        </w:rPr>
        <w:t>a</w:t>
      </w:r>
      <w:r w:rsidRPr="00A11FE0">
        <w:rPr>
          <w:rFonts w:asciiTheme="majorHAnsi" w:hAnsiTheme="majorHAnsi"/>
          <w:szCs w:val="22"/>
        </w:rPr>
        <w:t>by bol v</w:t>
      </w:r>
      <w:r w:rsidR="00FB3209">
        <w:rPr>
          <w:rFonts w:asciiTheme="majorHAnsi" w:hAnsiTheme="majorHAnsi"/>
          <w:szCs w:val="22"/>
        </w:rPr>
        <w:t> </w:t>
      </w:r>
      <w:r w:rsidRPr="00A11FE0">
        <w:rPr>
          <w:rFonts w:asciiTheme="majorHAnsi" w:hAnsiTheme="majorHAnsi"/>
          <w:szCs w:val="22"/>
        </w:rPr>
        <w:t xml:space="preserve">celom procese uplatňovaný princíp partnerstva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viacúrovňové riadenie. Do úvahy boli vzaté doterajšie </w:t>
      </w:r>
      <w:r w:rsidR="00BD5FD5">
        <w:rPr>
          <w:rFonts w:asciiTheme="majorHAnsi" w:hAnsiTheme="majorHAnsi"/>
          <w:szCs w:val="22"/>
        </w:rPr>
        <w:t>s</w:t>
      </w:r>
      <w:r w:rsidRPr="00A11FE0">
        <w:rPr>
          <w:rFonts w:asciiTheme="majorHAnsi" w:hAnsiTheme="majorHAnsi"/>
          <w:szCs w:val="22"/>
        </w:rPr>
        <w:t xml:space="preserve">kúsenosti </w:t>
      </w:r>
      <w:r w:rsidR="00BD5FD5">
        <w:rPr>
          <w:rFonts w:asciiTheme="majorHAnsi" w:hAnsiTheme="majorHAnsi"/>
          <w:szCs w:val="22"/>
        </w:rPr>
        <w:t>s</w:t>
      </w:r>
      <w:r w:rsidRPr="00A11FE0">
        <w:rPr>
          <w:rFonts w:asciiTheme="majorHAnsi" w:hAnsiTheme="majorHAnsi"/>
          <w:szCs w:val="22"/>
        </w:rPr>
        <w:t xml:space="preserve">polupráce </w:t>
      </w:r>
      <w:r w:rsidR="00BD5FD5">
        <w:rPr>
          <w:rFonts w:asciiTheme="majorHAnsi" w:hAnsiTheme="majorHAnsi"/>
          <w:szCs w:val="22"/>
        </w:rPr>
        <w:t>s</w:t>
      </w:r>
      <w:r w:rsidRPr="00A11FE0">
        <w:rPr>
          <w:rFonts w:asciiTheme="majorHAnsi" w:hAnsiTheme="majorHAnsi"/>
          <w:szCs w:val="22"/>
        </w:rPr>
        <w:t> partnermi v</w:t>
      </w:r>
      <w:r w:rsidR="00831BAA">
        <w:rPr>
          <w:rFonts w:asciiTheme="majorHAnsi" w:hAnsiTheme="majorHAnsi"/>
          <w:szCs w:val="22"/>
        </w:rPr>
        <w:t> </w:t>
      </w:r>
      <w:r w:rsidRPr="00A11FE0">
        <w:rPr>
          <w:rFonts w:asciiTheme="majorHAnsi" w:hAnsiTheme="majorHAnsi"/>
          <w:szCs w:val="22"/>
        </w:rPr>
        <w:t xml:space="preserve">rámci programového obdobia 2007 – 2013, </w:t>
      </w:r>
      <w:r w:rsidR="00BD5FD5">
        <w:rPr>
          <w:rFonts w:asciiTheme="majorHAnsi" w:hAnsiTheme="majorHAnsi"/>
          <w:szCs w:val="22"/>
        </w:rPr>
        <w:t>ak</w:t>
      </w:r>
      <w:r w:rsidRPr="00A11FE0">
        <w:rPr>
          <w:rFonts w:asciiTheme="majorHAnsi" w:hAnsiTheme="majorHAnsi"/>
          <w:szCs w:val="22"/>
        </w:rPr>
        <w:t>tívna účasť, výsledky v</w:t>
      </w:r>
      <w:r w:rsidR="00FB3209">
        <w:rPr>
          <w:rFonts w:asciiTheme="majorHAnsi" w:hAnsiTheme="majorHAnsi"/>
          <w:szCs w:val="22"/>
        </w:rPr>
        <w:t> </w:t>
      </w:r>
      <w:r w:rsidRPr="00A11FE0">
        <w:rPr>
          <w:rFonts w:asciiTheme="majorHAnsi" w:hAnsiTheme="majorHAnsi"/>
          <w:szCs w:val="22"/>
        </w:rPr>
        <w:t xml:space="preserve">príslušnej oblasti pôsobnosti </w:t>
      </w:r>
      <w:r w:rsidR="00BD5FD5">
        <w:rPr>
          <w:rFonts w:asciiTheme="majorHAnsi" w:hAnsiTheme="majorHAnsi"/>
          <w:szCs w:val="22"/>
        </w:rPr>
        <w:t>a</w:t>
      </w:r>
      <w:r w:rsidRPr="00A11FE0">
        <w:rPr>
          <w:rFonts w:asciiTheme="majorHAnsi" w:hAnsiTheme="majorHAnsi"/>
          <w:szCs w:val="22"/>
        </w:rPr>
        <w:t xml:space="preserve"> potreba pokrytia všetkých oblastí PD </w:t>
      </w:r>
      <w:r w:rsidR="00BD5FD5">
        <w:rPr>
          <w:rFonts w:asciiTheme="majorHAnsi" w:hAnsiTheme="majorHAnsi"/>
          <w:szCs w:val="22"/>
        </w:rPr>
        <w:t>S</w:t>
      </w:r>
      <w:r w:rsidRPr="00A11FE0">
        <w:rPr>
          <w:rFonts w:asciiTheme="majorHAnsi" w:hAnsiTheme="majorHAnsi"/>
          <w:szCs w:val="22"/>
        </w:rPr>
        <w:t xml:space="preserve">R relevantnými reprezentatívnymi partnermi. CKO vydal pre budúce </w:t>
      </w:r>
      <w:r w:rsidR="00FB3209">
        <w:rPr>
          <w:rFonts w:asciiTheme="majorHAnsi" w:hAnsiTheme="majorHAnsi"/>
          <w:szCs w:val="22"/>
        </w:rPr>
        <w:t>RO</w:t>
      </w:r>
      <w:r w:rsidRPr="00A11FE0">
        <w:rPr>
          <w:rFonts w:asciiTheme="majorHAnsi" w:hAnsiTheme="majorHAnsi"/>
          <w:szCs w:val="22"/>
        </w:rPr>
        <w:t xml:space="preserve"> usmernenie </w:t>
      </w:r>
      <w:r w:rsidR="00BD5FD5">
        <w:rPr>
          <w:rFonts w:asciiTheme="majorHAnsi" w:hAnsiTheme="majorHAnsi"/>
          <w:szCs w:val="22"/>
        </w:rPr>
        <w:t>k</w:t>
      </w:r>
      <w:r w:rsidR="00FB3209">
        <w:rPr>
          <w:rFonts w:asciiTheme="majorHAnsi" w:hAnsiTheme="majorHAnsi"/>
          <w:szCs w:val="22"/>
        </w:rPr>
        <w:t> </w:t>
      </w:r>
      <w:r w:rsidRPr="00A11FE0">
        <w:rPr>
          <w:rFonts w:asciiTheme="majorHAnsi" w:hAnsiTheme="majorHAnsi"/>
          <w:szCs w:val="22"/>
        </w:rPr>
        <w:t xml:space="preserve">príprave </w:t>
      </w:r>
      <w:r w:rsidR="00FB3209">
        <w:rPr>
          <w:rFonts w:asciiTheme="majorHAnsi" w:hAnsiTheme="majorHAnsi"/>
          <w:szCs w:val="22"/>
        </w:rPr>
        <w:t>OP</w:t>
      </w:r>
      <w:r w:rsidRPr="00A11FE0">
        <w:rPr>
          <w:rFonts w:asciiTheme="majorHAnsi" w:hAnsiTheme="majorHAnsi"/>
          <w:szCs w:val="22"/>
        </w:rPr>
        <w:t xml:space="preserve"> na roky 2014 – 2020, </w:t>
      </w:r>
      <w:r w:rsidR="00BD5FD5">
        <w:rPr>
          <w:rFonts w:asciiTheme="majorHAnsi" w:hAnsiTheme="majorHAnsi"/>
          <w:szCs w:val="22"/>
        </w:rPr>
        <w:t>s</w:t>
      </w:r>
      <w:r w:rsidRPr="00A11FE0">
        <w:rPr>
          <w:rFonts w:asciiTheme="majorHAnsi" w:hAnsiTheme="majorHAnsi"/>
          <w:szCs w:val="22"/>
        </w:rPr>
        <w:t xml:space="preserve">polu </w:t>
      </w:r>
      <w:r w:rsidR="00BD5FD5">
        <w:rPr>
          <w:rFonts w:asciiTheme="majorHAnsi" w:hAnsiTheme="majorHAnsi"/>
          <w:szCs w:val="22"/>
        </w:rPr>
        <w:t>s</w:t>
      </w:r>
      <w:r w:rsidRPr="00A11FE0">
        <w:rPr>
          <w:rFonts w:asciiTheme="majorHAnsi" w:hAnsiTheme="majorHAnsi"/>
          <w:szCs w:val="22"/>
        </w:rPr>
        <w:t xml:space="preserve"> návrhom jednotného štatútu pracovných </w:t>
      </w:r>
      <w:r w:rsidR="00F01A66">
        <w:rPr>
          <w:rFonts w:asciiTheme="majorHAnsi" w:hAnsiTheme="majorHAnsi"/>
          <w:szCs w:val="22"/>
        </w:rPr>
        <w:t>s</w:t>
      </w:r>
      <w:r w:rsidRPr="00A11FE0">
        <w:rPr>
          <w:rFonts w:asciiTheme="majorHAnsi" w:hAnsiTheme="majorHAnsi"/>
          <w:szCs w:val="22"/>
        </w:rPr>
        <w:t xml:space="preserve">kupín pre prípravu jednotlivých </w:t>
      </w:r>
      <w:r w:rsidR="002978FA">
        <w:rPr>
          <w:rFonts w:asciiTheme="majorHAnsi" w:hAnsiTheme="majorHAnsi"/>
          <w:szCs w:val="22"/>
        </w:rPr>
        <w:t>programov</w:t>
      </w:r>
      <w:r w:rsidR="002978FA"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R. Uvedené usmernenie identifikovalo povinnosť zastúpenia relevantných partnerov v</w:t>
      </w:r>
      <w:r w:rsidR="00FB3209">
        <w:rPr>
          <w:rFonts w:asciiTheme="majorHAnsi" w:hAnsiTheme="majorHAnsi"/>
          <w:szCs w:val="22"/>
        </w:rPr>
        <w:t> </w:t>
      </w:r>
      <w:r w:rsidRPr="00A11FE0">
        <w:rPr>
          <w:rFonts w:asciiTheme="majorHAnsi" w:hAnsiTheme="majorHAnsi"/>
          <w:szCs w:val="22"/>
        </w:rPr>
        <w:t xml:space="preserve">týchto pracovných </w:t>
      </w:r>
      <w:r w:rsidR="00BD5FD5">
        <w:rPr>
          <w:rFonts w:asciiTheme="majorHAnsi" w:hAnsiTheme="majorHAnsi"/>
          <w:szCs w:val="22"/>
        </w:rPr>
        <w:t>s</w:t>
      </w:r>
      <w:r w:rsidRPr="00A11FE0">
        <w:rPr>
          <w:rFonts w:asciiTheme="majorHAnsi" w:hAnsiTheme="majorHAnsi"/>
          <w:szCs w:val="22"/>
        </w:rPr>
        <w:t xml:space="preserve">kupinách, vrátane </w:t>
      </w:r>
      <w:r w:rsidR="00BD5FD5">
        <w:rPr>
          <w:rFonts w:asciiTheme="majorHAnsi" w:hAnsiTheme="majorHAnsi"/>
          <w:szCs w:val="22"/>
        </w:rPr>
        <w:t>s</w:t>
      </w:r>
      <w:r w:rsidRPr="00A11FE0">
        <w:rPr>
          <w:rFonts w:asciiTheme="majorHAnsi" w:hAnsiTheme="majorHAnsi"/>
          <w:szCs w:val="22"/>
        </w:rPr>
        <w:t xml:space="preserve">ubjektov zastupujúcich oblasť rómskych </w:t>
      </w:r>
      <w:r w:rsidR="00BD5FD5">
        <w:rPr>
          <w:rFonts w:asciiTheme="majorHAnsi" w:hAnsiTheme="majorHAnsi"/>
          <w:szCs w:val="22"/>
        </w:rPr>
        <w:t>k</w:t>
      </w:r>
      <w:r w:rsidRPr="00A11FE0">
        <w:rPr>
          <w:rFonts w:asciiTheme="majorHAnsi" w:hAnsiTheme="majorHAnsi"/>
          <w:szCs w:val="22"/>
        </w:rPr>
        <w:t xml:space="preserve">omunít, rozvoja občianskej </w:t>
      </w:r>
      <w:r w:rsidR="00BD5FD5">
        <w:rPr>
          <w:rFonts w:asciiTheme="majorHAnsi" w:hAnsiTheme="majorHAnsi"/>
          <w:szCs w:val="22"/>
        </w:rPr>
        <w:t>s</w:t>
      </w:r>
      <w:r w:rsidRPr="00A11FE0">
        <w:rPr>
          <w:rFonts w:asciiTheme="majorHAnsi" w:hAnsiTheme="majorHAnsi"/>
          <w:szCs w:val="22"/>
        </w:rPr>
        <w:t xml:space="preserve">poločnosti, </w:t>
      </w:r>
      <w:r w:rsidRPr="00A11FE0">
        <w:rPr>
          <w:rFonts w:asciiTheme="majorHAnsi" w:hAnsiTheme="majorHAnsi"/>
        </w:rPr>
        <w:t xml:space="preserve">horizontálnych princípov, reprezentatívnych </w:t>
      </w:r>
      <w:r w:rsidRPr="00A11FE0">
        <w:rPr>
          <w:rFonts w:asciiTheme="majorHAnsi" w:hAnsiTheme="majorHAnsi"/>
          <w:szCs w:val="22"/>
        </w:rPr>
        <w:t xml:space="preserve">mimovládnych neziskových organizácií,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 xml:space="preserve">j mimovládnych organizácií pôsobiacich v oblasti rozvoja vidieka </w:t>
      </w:r>
      <w:r w:rsidR="00BD5FD5">
        <w:rPr>
          <w:rFonts w:asciiTheme="majorHAnsi" w:hAnsiTheme="majorHAnsi"/>
          <w:szCs w:val="22"/>
        </w:rPr>
        <w:t>a</w:t>
      </w:r>
      <w:r w:rsidR="00CB6151">
        <w:rPr>
          <w:rFonts w:asciiTheme="majorHAnsi" w:hAnsiTheme="majorHAnsi"/>
          <w:szCs w:val="22"/>
        </w:rPr>
        <w:t> </w:t>
      </w:r>
      <w:r w:rsidRPr="00A11FE0">
        <w:rPr>
          <w:rFonts w:asciiTheme="majorHAnsi" w:hAnsiTheme="majorHAnsi"/>
        </w:rPr>
        <w:t>rybného</w:t>
      </w:r>
      <w:r w:rsidR="00CB6151">
        <w:rPr>
          <w:rFonts w:asciiTheme="majorHAnsi" w:hAnsiTheme="majorHAnsi"/>
        </w:rPr>
        <w:t xml:space="preserve"> </w:t>
      </w:r>
      <w:r w:rsidRPr="00A11FE0">
        <w:rPr>
          <w:rFonts w:asciiTheme="majorHAnsi" w:hAnsiTheme="majorHAnsi"/>
        </w:rPr>
        <w:t xml:space="preserve">hospodárstva </w:t>
      </w:r>
      <w:r w:rsidR="00BD5FD5">
        <w:rPr>
          <w:rFonts w:asciiTheme="majorHAnsi" w:hAnsiTheme="majorHAnsi"/>
        </w:rPr>
        <w:t>a</w:t>
      </w:r>
      <w:r w:rsidRPr="00A11FE0">
        <w:rPr>
          <w:rFonts w:asciiTheme="majorHAnsi" w:hAnsiTheme="majorHAnsi"/>
        </w:rPr>
        <w:t xml:space="preserve"> zástupcov miestnych </w:t>
      </w:r>
      <w:r w:rsidR="00BD5FD5">
        <w:rPr>
          <w:rFonts w:asciiTheme="majorHAnsi" w:hAnsiTheme="majorHAnsi"/>
        </w:rPr>
        <w:t>ak</w:t>
      </w:r>
      <w:r w:rsidRPr="00A11FE0">
        <w:rPr>
          <w:rFonts w:asciiTheme="majorHAnsi" w:hAnsiTheme="majorHAnsi"/>
        </w:rPr>
        <w:t xml:space="preserve">čných </w:t>
      </w:r>
      <w:r w:rsidR="00BD5FD5">
        <w:rPr>
          <w:rFonts w:asciiTheme="majorHAnsi" w:hAnsiTheme="majorHAnsi"/>
        </w:rPr>
        <w:t>s</w:t>
      </w:r>
      <w:r w:rsidRPr="00A11FE0">
        <w:rPr>
          <w:rFonts w:asciiTheme="majorHAnsi" w:hAnsiTheme="majorHAnsi"/>
        </w:rPr>
        <w:t xml:space="preserve">kupín. </w:t>
      </w:r>
      <w:r w:rsidRPr="00A11FE0">
        <w:rPr>
          <w:rFonts w:asciiTheme="majorHAnsi" w:hAnsiTheme="majorHAnsi"/>
          <w:szCs w:val="22"/>
        </w:rPr>
        <w:t xml:space="preserve">CKO tiež vypracoval usmernenie </w:t>
      </w:r>
      <w:r w:rsidR="00BD5FD5">
        <w:rPr>
          <w:rFonts w:asciiTheme="majorHAnsi" w:hAnsiTheme="majorHAnsi"/>
          <w:szCs w:val="22"/>
        </w:rPr>
        <w:t>k</w:t>
      </w:r>
      <w:r w:rsidR="00FB3209">
        <w:rPr>
          <w:rFonts w:asciiTheme="majorHAnsi" w:hAnsiTheme="majorHAnsi"/>
          <w:szCs w:val="22"/>
        </w:rPr>
        <w:t> </w:t>
      </w:r>
      <w:r w:rsidRPr="00A11FE0">
        <w:rPr>
          <w:rFonts w:asciiTheme="majorHAnsi" w:hAnsiTheme="majorHAnsi"/>
          <w:szCs w:val="22"/>
        </w:rPr>
        <w:t xml:space="preserve">zapojeniu partnerov mimovládnych neziskových organizácií do prípravy </w:t>
      </w:r>
      <w:r w:rsidR="00FB3209">
        <w:rPr>
          <w:rFonts w:asciiTheme="majorHAnsi" w:hAnsiTheme="majorHAnsi"/>
          <w:szCs w:val="22"/>
        </w:rPr>
        <w:t>OP</w:t>
      </w:r>
      <w:r w:rsidR="0094304E">
        <w:rPr>
          <w:rStyle w:val="Odkaznapoznmkupodiarou"/>
          <w:rFonts w:asciiTheme="majorHAnsi" w:hAnsiTheme="majorHAnsi"/>
          <w:szCs w:val="22"/>
        </w:rPr>
        <w:footnoteReference w:id="312"/>
      </w:r>
      <w:r w:rsidRPr="00A11FE0">
        <w:rPr>
          <w:rFonts w:asciiTheme="majorHAnsi" w:hAnsiTheme="majorHAnsi"/>
          <w:szCs w:val="22"/>
        </w:rPr>
        <w:t xml:space="preserve">. Výber reprezentatívnych partnerov zastupujúcich občiansku </w:t>
      </w:r>
      <w:r w:rsidR="00BD5FD5">
        <w:rPr>
          <w:rFonts w:asciiTheme="majorHAnsi" w:hAnsiTheme="majorHAnsi"/>
          <w:szCs w:val="22"/>
        </w:rPr>
        <w:t>s</w:t>
      </w:r>
      <w:r w:rsidRPr="00A11FE0">
        <w:rPr>
          <w:rFonts w:asciiTheme="majorHAnsi" w:hAnsiTheme="majorHAnsi"/>
          <w:szCs w:val="22"/>
        </w:rPr>
        <w:t xml:space="preserve">poločnosť je zabezpečovaný prostredníctvom Rady vlády </w:t>
      </w:r>
      <w:r w:rsidR="00BD5FD5">
        <w:rPr>
          <w:rFonts w:asciiTheme="majorHAnsi" w:hAnsiTheme="majorHAnsi"/>
          <w:szCs w:val="22"/>
        </w:rPr>
        <w:t>S</w:t>
      </w:r>
      <w:r w:rsidRPr="00A11FE0">
        <w:rPr>
          <w:rFonts w:asciiTheme="majorHAnsi" w:hAnsiTheme="majorHAnsi"/>
          <w:szCs w:val="22"/>
        </w:rPr>
        <w:t xml:space="preserve">R pre mimovládne neziskové organizácie. Rovnaký prístup </w:t>
      </w:r>
      <w:r w:rsidR="00BD5FD5">
        <w:rPr>
          <w:rFonts w:asciiTheme="majorHAnsi" w:hAnsiTheme="majorHAnsi"/>
          <w:szCs w:val="22"/>
        </w:rPr>
        <w:t>s</w:t>
      </w:r>
      <w:r w:rsidRPr="00A11FE0">
        <w:rPr>
          <w:rFonts w:asciiTheme="majorHAnsi" w:hAnsiTheme="majorHAnsi"/>
          <w:szCs w:val="22"/>
        </w:rPr>
        <w:t xml:space="preserve">a uplatňuje </w:t>
      </w:r>
      <w:r w:rsidR="00BD5FD5">
        <w:rPr>
          <w:rFonts w:asciiTheme="majorHAnsi" w:hAnsiTheme="majorHAnsi"/>
          <w:szCs w:val="22"/>
        </w:rPr>
        <w:t>a</w:t>
      </w:r>
      <w:r w:rsidRPr="00A11FE0">
        <w:rPr>
          <w:rFonts w:asciiTheme="majorHAnsi" w:hAnsiTheme="majorHAnsi"/>
          <w:szCs w:val="22"/>
        </w:rPr>
        <w:t>j v</w:t>
      </w:r>
      <w:r w:rsidR="00FB3209">
        <w:rPr>
          <w:rFonts w:asciiTheme="majorHAnsi" w:hAnsiTheme="majorHAnsi"/>
          <w:szCs w:val="22"/>
        </w:rPr>
        <w:t> </w:t>
      </w:r>
      <w:r w:rsidRPr="00A11FE0">
        <w:rPr>
          <w:rFonts w:asciiTheme="majorHAnsi" w:hAnsiTheme="majorHAnsi"/>
          <w:szCs w:val="22"/>
        </w:rPr>
        <w:t xml:space="preserve">pracovnej </w:t>
      </w:r>
      <w:r w:rsidR="00BD5FD5">
        <w:rPr>
          <w:rFonts w:asciiTheme="majorHAnsi" w:hAnsiTheme="majorHAnsi"/>
          <w:szCs w:val="22"/>
        </w:rPr>
        <w:t>s</w:t>
      </w:r>
      <w:r w:rsidRPr="00A11FE0">
        <w:rPr>
          <w:rFonts w:asciiTheme="majorHAnsi" w:hAnsiTheme="majorHAnsi"/>
          <w:szCs w:val="22"/>
        </w:rPr>
        <w:t>kupine</w:t>
      </w:r>
      <w:r w:rsidR="00913E60" w:rsidRPr="00913E60">
        <w:rPr>
          <w:rFonts w:asciiTheme="majorHAnsi" w:hAnsiTheme="majorHAnsi"/>
          <w:szCs w:val="22"/>
        </w:rPr>
        <w:t xml:space="preserve"> Partnerstvo pre politiku súdržnosti</w:t>
      </w:r>
      <w:r w:rsidR="00913E60">
        <w:rPr>
          <w:rFonts w:asciiTheme="majorHAnsi" w:hAnsiTheme="majorHAnsi"/>
          <w:szCs w:val="22"/>
        </w:rPr>
        <w:t>.</w:t>
      </w:r>
    </w:p>
    <w:p w:rsidR="00E01A37" w:rsidRPr="00A11FE0" w:rsidRDefault="00E01A37" w:rsidP="008E676E">
      <w:pPr>
        <w:rPr>
          <w:rFonts w:asciiTheme="majorHAnsi" w:hAnsiTheme="majorHAnsi"/>
          <w:szCs w:val="22"/>
        </w:rPr>
      </w:pPr>
      <w:r w:rsidRPr="00A11FE0">
        <w:rPr>
          <w:rFonts w:asciiTheme="majorHAnsi" w:hAnsiTheme="majorHAnsi"/>
          <w:szCs w:val="22"/>
        </w:rPr>
        <w:t xml:space="preserve">V úvodnej fáze procesu prípravy návrhu PD </w:t>
      </w:r>
      <w:r w:rsidR="00BD5FD5">
        <w:rPr>
          <w:rFonts w:asciiTheme="majorHAnsi" w:hAnsiTheme="majorHAnsi"/>
          <w:szCs w:val="22"/>
        </w:rPr>
        <w:t>S</w:t>
      </w:r>
      <w:r w:rsidRPr="00A11FE0">
        <w:rPr>
          <w:rFonts w:asciiTheme="majorHAnsi" w:hAnsiTheme="majorHAnsi"/>
          <w:szCs w:val="22"/>
        </w:rPr>
        <w:t>R bola v </w:t>
      </w:r>
      <w:r w:rsidR="00BD5FD5">
        <w:rPr>
          <w:rFonts w:asciiTheme="majorHAnsi" w:hAnsiTheme="majorHAnsi"/>
          <w:szCs w:val="22"/>
        </w:rPr>
        <w:t>s</w:t>
      </w:r>
      <w:r w:rsidRPr="00A11FE0">
        <w:rPr>
          <w:rFonts w:asciiTheme="majorHAnsi" w:hAnsiTheme="majorHAnsi"/>
          <w:szCs w:val="22"/>
        </w:rPr>
        <w:t xml:space="preserve">polupráci </w:t>
      </w:r>
      <w:r w:rsidR="00BD5FD5">
        <w:rPr>
          <w:rFonts w:asciiTheme="majorHAnsi" w:hAnsiTheme="majorHAnsi"/>
          <w:szCs w:val="22"/>
        </w:rPr>
        <w:t>s</w:t>
      </w:r>
      <w:r w:rsidRPr="00A11FE0">
        <w:rPr>
          <w:rFonts w:asciiTheme="majorHAnsi" w:hAnsiTheme="majorHAnsi"/>
          <w:szCs w:val="22"/>
        </w:rPr>
        <w:t xml:space="preserve"> relevantnými partnermi vykonaná </w:t>
      </w:r>
      <w:r w:rsidR="00BD5FD5">
        <w:rPr>
          <w:rFonts w:asciiTheme="majorHAnsi" w:hAnsiTheme="majorHAnsi"/>
          <w:szCs w:val="22"/>
        </w:rPr>
        <w:t>k</w:t>
      </w:r>
      <w:r w:rsidRPr="00A11FE0">
        <w:rPr>
          <w:rFonts w:asciiTheme="majorHAnsi" w:hAnsiTheme="majorHAnsi"/>
          <w:szCs w:val="22"/>
        </w:rPr>
        <w:t xml:space="preserve">omplexná </w:t>
      </w:r>
      <w:r w:rsidR="00BD5FD5">
        <w:rPr>
          <w:rFonts w:asciiTheme="majorHAnsi" w:hAnsiTheme="majorHAnsi"/>
          <w:szCs w:val="22"/>
        </w:rPr>
        <w:t>a</w:t>
      </w:r>
      <w:r w:rsidRPr="00A11FE0">
        <w:rPr>
          <w:rFonts w:asciiTheme="majorHAnsi" w:hAnsiTheme="majorHAnsi"/>
          <w:szCs w:val="22"/>
        </w:rPr>
        <w:t xml:space="preserve">nalýza rozdielov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potrieb v</w:t>
      </w:r>
      <w:r w:rsidR="00FB3209">
        <w:rPr>
          <w:rFonts w:asciiTheme="majorHAnsi" w:hAnsiTheme="majorHAnsi"/>
          <w:szCs w:val="22"/>
        </w:rPr>
        <w:t> </w:t>
      </w:r>
      <w:r w:rsidRPr="00A11FE0">
        <w:rPr>
          <w:rFonts w:asciiTheme="majorHAnsi" w:hAnsiTheme="majorHAnsi"/>
          <w:szCs w:val="22"/>
        </w:rPr>
        <w:t xml:space="preserve">oblasti rozvoja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potenciálu rastu, </w:t>
      </w:r>
      <w:r w:rsidR="00BD5FD5">
        <w:rPr>
          <w:rFonts w:asciiTheme="majorHAnsi" w:hAnsiTheme="majorHAnsi"/>
          <w:szCs w:val="22"/>
        </w:rPr>
        <w:t>a</w:t>
      </w:r>
      <w:r w:rsidR="00CB6151">
        <w:rPr>
          <w:rFonts w:asciiTheme="majorHAnsi" w:hAnsiTheme="majorHAnsi"/>
          <w:szCs w:val="22"/>
        </w:rPr>
        <w:t> </w:t>
      </w:r>
      <w:r w:rsidR="00DC0B15">
        <w:rPr>
          <w:rFonts w:asciiTheme="majorHAnsi" w:hAnsiTheme="majorHAnsi"/>
          <w:szCs w:val="22"/>
        </w:rPr>
        <w:t>to</w:t>
      </w:r>
      <w:r w:rsidR="00CB6151">
        <w:rPr>
          <w:rFonts w:asciiTheme="majorHAnsi" w:hAnsiTheme="majorHAnsi"/>
          <w:szCs w:val="22"/>
        </w:rPr>
        <w:t xml:space="preserve"> </w:t>
      </w:r>
      <w:r w:rsidR="00DC0B15">
        <w:rPr>
          <w:rFonts w:asciiTheme="majorHAnsi" w:hAnsiTheme="majorHAnsi"/>
          <w:szCs w:val="22"/>
        </w:rPr>
        <w:t xml:space="preserve">vzhľadom </w:t>
      </w:r>
      <w:r w:rsidRPr="00A11FE0">
        <w:rPr>
          <w:rFonts w:asciiTheme="majorHAnsi" w:hAnsiTheme="majorHAnsi"/>
          <w:szCs w:val="22"/>
        </w:rPr>
        <w:t xml:space="preserve">na tematické ciele </w:t>
      </w:r>
      <w:r w:rsidR="00BD5FD5">
        <w:rPr>
          <w:rFonts w:asciiTheme="majorHAnsi" w:hAnsiTheme="majorHAnsi"/>
          <w:szCs w:val="22"/>
        </w:rPr>
        <w:t>a</w:t>
      </w:r>
      <w:r w:rsidR="00FB3209">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 xml:space="preserve">ľúčové činnosti definované </w:t>
      </w:r>
      <w:r w:rsidRPr="00F06A57">
        <w:rPr>
          <w:rFonts w:asciiTheme="majorHAnsi" w:hAnsiTheme="majorHAnsi"/>
          <w:szCs w:val="22"/>
        </w:rPr>
        <w:t>v</w:t>
      </w:r>
      <w:r w:rsidR="00FB3209" w:rsidRPr="00F06A57">
        <w:rPr>
          <w:rFonts w:asciiTheme="majorHAnsi" w:hAnsiTheme="majorHAnsi"/>
          <w:szCs w:val="22"/>
        </w:rPr>
        <w:t> </w:t>
      </w:r>
      <w:r w:rsidRPr="00F06A57">
        <w:rPr>
          <w:rFonts w:asciiTheme="majorHAnsi" w:hAnsiTheme="majorHAnsi"/>
          <w:szCs w:val="22"/>
        </w:rPr>
        <w:t>Pozičnom</w:t>
      </w:r>
      <w:r w:rsidR="00DC0B15" w:rsidRPr="00F06A57">
        <w:rPr>
          <w:rFonts w:asciiTheme="majorHAnsi" w:hAnsiTheme="majorHAnsi"/>
          <w:szCs w:val="22"/>
        </w:rPr>
        <w:t xml:space="preserve"> dokumente EK</w:t>
      </w:r>
      <w:r w:rsidRPr="00F06A57">
        <w:rPr>
          <w:rFonts w:asciiTheme="majorHAnsi" w:hAnsiTheme="majorHAnsi"/>
          <w:szCs w:val="22"/>
        </w:rPr>
        <w:t>.</w:t>
      </w:r>
      <w:r w:rsidRPr="00A11FE0">
        <w:rPr>
          <w:rFonts w:asciiTheme="majorHAnsi" w:hAnsiTheme="majorHAnsi"/>
          <w:szCs w:val="22"/>
        </w:rPr>
        <w:t xml:space="preserve"> Pri </w:t>
      </w:r>
      <w:r w:rsidR="00BD5FD5">
        <w:rPr>
          <w:rFonts w:asciiTheme="majorHAnsi" w:hAnsiTheme="majorHAnsi"/>
          <w:szCs w:val="22"/>
        </w:rPr>
        <w:t>s</w:t>
      </w:r>
      <w:r w:rsidRPr="00A11FE0">
        <w:rPr>
          <w:rFonts w:asciiTheme="majorHAnsi" w:hAnsiTheme="majorHAnsi"/>
          <w:szCs w:val="22"/>
        </w:rPr>
        <w:t>pr</w:t>
      </w:r>
      <w:r w:rsidR="00DC0B15">
        <w:rPr>
          <w:rFonts w:asciiTheme="majorHAnsi" w:hAnsiTheme="majorHAnsi"/>
          <w:szCs w:val="22"/>
        </w:rPr>
        <w:t xml:space="preserve">acovaní </w:t>
      </w:r>
      <w:r w:rsidR="00BD5FD5">
        <w:rPr>
          <w:rFonts w:asciiTheme="majorHAnsi" w:hAnsiTheme="majorHAnsi"/>
          <w:szCs w:val="22"/>
        </w:rPr>
        <w:t>a</w:t>
      </w:r>
      <w:r w:rsidR="00DC0B15">
        <w:rPr>
          <w:rFonts w:asciiTheme="majorHAnsi" w:hAnsiTheme="majorHAnsi"/>
          <w:szCs w:val="22"/>
        </w:rPr>
        <w:t xml:space="preserve">nalýzy </w:t>
      </w:r>
      <w:r w:rsidR="00BD5FD5">
        <w:rPr>
          <w:rFonts w:asciiTheme="majorHAnsi" w:hAnsiTheme="majorHAnsi"/>
          <w:szCs w:val="22"/>
        </w:rPr>
        <w:t>s</w:t>
      </w:r>
      <w:r w:rsidR="00DC0B15">
        <w:rPr>
          <w:rFonts w:asciiTheme="majorHAnsi" w:hAnsiTheme="majorHAnsi"/>
          <w:szCs w:val="22"/>
        </w:rPr>
        <w:t xml:space="preserve">a prihliadalo </w:t>
      </w:r>
      <w:r w:rsidRPr="00A11FE0">
        <w:rPr>
          <w:rFonts w:asciiTheme="majorHAnsi" w:hAnsiTheme="majorHAnsi"/>
          <w:szCs w:val="22"/>
        </w:rPr>
        <w:t>na N</w:t>
      </w:r>
      <w:r w:rsidR="00FB3209">
        <w:rPr>
          <w:rFonts w:asciiTheme="majorHAnsi" w:hAnsiTheme="majorHAnsi"/>
          <w:szCs w:val="22"/>
        </w:rPr>
        <w:t>P</w:t>
      </w:r>
      <w:r w:rsidRPr="00A11FE0">
        <w:rPr>
          <w:rFonts w:asciiTheme="majorHAnsi" w:hAnsiTheme="majorHAnsi"/>
          <w:szCs w:val="22"/>
        </w:rPr>
        <w:t xml:space="preserve">R, špecifické odporúčania Rady pre </w:t>
      </w:r>
      <w:r w:rsidR="00BD5FD5">
        <w:rPr>
          <w:rFonts w:asciiTheme="majorHAnsi" w:hAnsiTheme="majorHAnsi"/>
          <w:szCs w:val="22"/>
        </w:rPr>
        <w:t>S</w:t>
      </w:r>
      <w:r w:rsidRPr="00A11FE0">
        <w:rPr>
          <w:rFonts w:asciiTheme="majorHAnsi" w:hAnsiTheme="majorHAnsi"/>
          <w:szCs w:val="22"/>
        </w:rPr>
        <w:t xml:space="preserve">R, legislatívne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trategické dokumenty EÚ </w:t>
      </w:r>
      <w:r w:rsidR="00BD5FD5">
        <w:rPr>
          <w:rFonts w:asciiTheme="majorHAnsi" w:hAnsiTheme="majorHAnsi"/>
          <w:szCs w:val="22"/>
        </w:rPr>
        <w:t>a</w:t>
      </w:r>
      <w:r w:rsidR="00FB3209">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a</w:t>
      </w:r>
      <w:r w:rsidRPr="00A11FE0">
        <w:rPr>
          <w:rFonts w:asciiTheme="majorHAnsi" w:hAnsiTheme="majorHAnsi"/>
          <w:szCs w:val="22"/>
        </w:rPr>
        <w:t> </w:t>
      </w:r>
      <w:r w:rsidR="00913E60">
        <w:rPr>
          <w:rFonts w:asciiTheme="majorHAnsi" w:hAnsiTheme="majorHAnsi"/>
          <w:szCs w:val="22"/>
        </w:rPr>
        <w:t>s</w:t>
      </w:r>
      <w:r w:rsidR="00913E60" w:rsidRPr="00A11FE0">
        <w:rPr>
          <w:rFonts w:asciiTheme="majorHAnsi" w:hAnsiTheme="majorHAnsi"/>
          <w:szCs w:val="22"/>
        </w:rPr>
        <w:t>kúsenost</w:t>
      </w:r>
      <w:r w:rsidR="00913E60">
        <w:rPr>
          <w:rFonts w:asciiTheme="majorHAnsi" w:hAnsiTheme="majorHAnsi"/>
          <w:szCs w:val="22"/>
        </w:rPr>
        <w:t xml:space="preserve">i </w:t>
      </w:r>
      <w:r w:rsidRPr="00A11FE0">
        <w:rPr>
          <w:rFonts w:asciiTheme="majorHAnsi" w:hAnsiTheme="majorHAnsi"/>
          <w:szCs w:val="22"/>
        </w:rPr>
        <w:t xml:space="preserve">z programového obdobia 2007 – 2013. Návrh </w:t>
      </w:r>
      <w:r w:rsidR="00BD5FD5">
        <w:rPr>
          <w:rFonts w:asciiTheme="majorHAnsi" w:hAnsiTheme="majorHAnsi"/>
          <w:szCs w:val="22"/>
        </w:rPr>
        <w:t>a</w:t>
      </w:r>
      <w:r w:rsidRPr="00A11FE0">
        <w:rPr>
          <w:rFonts w:asciiTheme="majorHAnsi" w:hAnsiTheme="majorHAnsi"/>
          <w:szCs w:val="22"/>
        </w:rPr>
        <w:t xml:space="preserve">nalytickej časti PD </w:t>
      </w:r>
      <w:r w:rsidR="00BD5FD5">
        <w:rPr>
          <w:rFonts w:asciiTheme="majorHAnsi" w:hAnsiTheme="majorHAnsi"/>
          <w:szCs w:val="22"/>
        </w:rPr>
        <w:t>S</w:t>
      </w:r>
      <w:r w:rsidRPr="00A11FE0">
        <w:rPr>
          <w:rFonts w:asciiTheme="majorHAnsi" w:hAnsiTheme="majorHAnsi"/>
          <w:szCs w:val="22"/>
        </w:rPr>
        <w:t xml:space="preserve">R bol diskutovaný na zasadnutí pracovnej </w:t>
      </w:r>
      <w:r w:rsidR="00BD5FD5">
        <w:rPr>
          <w:rFonts w:asciiTheme="majorHAnsi" w:hAnsiTheme="majorHAnsi"/>
          <w:szCs w:val="22"/>
        </w:rPr>
        <w:t>s</w:t>
      </w:r>
      <w:r w:rsidRPr="00A11FE0">
        <w:rPr>
          <w:rFonts w:asciiTheme="majorHAnsi" w:hAnsiTheme="majorHAnsi"/>
          <w:szCs w:val="22"/>
        </w:rPr>
        <w:t xml:space="preserve">kupiny Partnerstvo pre politiku </w:t>
      </w:r>
      <w:r w:rsidR="00BD5FD5">
        <w:rPr>
          <w:rFonts w:asciiTheme="majorHAnsi" w:hAnsiTheme="majorHAnsi"/>
          <w:szCs w:val="22"/>
        </w:rPr>
        <w:t>s</w:t>
      </w:r>
      <w:r w:rsidRPr="00A11FE0">
        <w:rPr>
          <w:rFonts w:asciiTheme="majorHAnsi" w:hAnsiTheme="majorHAnsi"/>
          <w:szCs w:val="22"/>
        </w:rPr>
        <w:t>údržnosti.</w:t>
      </w:r>
    </w:p>
    <w:p w:rsidR="00E01A37" w:rsidRPr="00A11FE0" w:rsidRDefault="00E01A37" w:rsidP="00CC3354">
      <w:pPr>
        <w:rPr>
          <w:rFonts w:asciiTheme="majorHAnsi" w:hAnsiTheme="majorHAnsi"/>
          <w:szCs w:val="22"/>
        </w:rPr>
      </w:pPr>
      <w:r w:rsidRPr="00A11FE0">
        <w:rPr>
          <w:rFonts w:asciiTheme="majorHAnsi" w:hAnsiTheme="majorHAnsi"/>
          <w:szCs w:val="22"/>
        </w:rPr>
        <w:t xml:space="preserve">V ďalšom </w:t>
      </w:r>
      <w:r w:rsidR="00BD5FD5">
        <w:rPr>
          <w:rFonts w:asciiTheme="majorHAnsi" w:hAnsiTheme="majorHAnsi"/>
          <w:szCs w:val="22"/>
        </w:rPr>
        <w:t>k</w:t>
      </w:r>
      <w:r w:rsidRPr="00A11FE0">
        <w:rPr>
          <w:rFonts w:asciiTheme="majorHAnsi" w:hAnsiTheme="majorHAnsi"/>
          <w:szCs w:val="22"/>
        </w:rPr>
        <w:t xml:space="preserve">roku bola vypracovaná </w:t>
      </w:r>
      <w:r w:rsidR="00BD5FD5">
        <w:rPr>
          <w:rFonts w:asciiTheme="majorHAnsi" w:hAnsiTheme="majorHAnsi"/>
          <w:szCs w:val="22"/>
        </w:rPr>
        <w:t>s</w:t>
      </w:r>
      <w:r w:rsidRPr="00A11FE0">
        <w:rPr>
          <w:rFonts w:asciiTheme="majorHAnsi" w:hAnsiTheme="majorHAnsi"/>
          <w:szCs w:val="22"/>
        </w:rPr>
        <w:t xml:space="preserve">trategická časť </w:t>
      </w:r>
      <w:r w:rsidR="00BD5FD5">
        <w:rPr>
          <w:rFonts w:asciiTheme="majorHAnsi" w:hAnsiTheme="majorHAnsi"/>
          <w:szCs w:val="22"/>
        </w:rPr>
        <w:t>a</w:t>
      </w:r>
      <w:r w:rsidRPr="00A11FE0">
        <w:rPr>
          <w:rFonts w:asciiTheme="majorHAnsi" w:hAnsiTheme="majorHAnsi"/>
          <w:szCs w:val="22"/>
        </w:rPr>
        <w:t xml:space="preserve"> ex </w:t>
      </w:r>
      <w:r w:rsidR="00BD5FD5">
        <w:rPr>
          <w:rFonts w:asciiTheme="majorHAnsi" w:hAnsiTheme="majorHAnsi"/>
          <w:szCs w:val="22"/>
        </w:rPr>
        <w:t>a</w:t>
      </w:r>
      <w:r w:rsidRPr="00A11FE0">
        <w:rPr>
          <w:rFonts w:asciiTheme="majorHAnsi" w:hAnsiTheme="majorHAnsi"/>
          <w:szCs w:val="22"/>
        </w:rPr>
        <w:t xml:space="preserve">nte hodnotenie PD </w:t>
      </w:r>
      <w:r w:rsidR="00BD5FD5">
        <w:rPr>
          <w:rFonts w:asciiTheme="majorHAnsi" w:hAnsiTheme="majorHAnsi"/>
          <w:szCs w:val="22"/>
        </w:rPr>
        <w:t>S</w:t>
      </w:r>
      <w:r w:rsidRPr="00A11FE0">
        <w:rPr>
          <w:rFonts w:asciiTheme="majorHAnsi" w:hAnsiTheme="majorHAnsi"/>
          <w:szCs w:val="22"/>
        </w:rPr>
        <w:t xml:space="preserve">R. Čiastkové výstupy PD </w:t>
      </w:r>
      <w:r w:rsidR="00BD5FD5">
        <w:rPr>
          <w:rFonts w:asciiTheme="majorHAnsi" w:hAnsiTheme="majorHAnsi"/>
          <w:szCs w:val="22"/>
        </w:rPr>
        <w:t>S</w:t>
      </w:r>
      <w:r w:rsidRPr="00A11FE0">
        <w:rPr>
          <w:rFonts w:asciiTheme="majorHAnsi" w:hAnsiTheme="majorHAnsi"/>
          <w:szCs w:val="22"/>
        </w:rPr>
        <w:t xml:space="preserve">R boli priebežne zasielané </w:t>
      </w:r>
      <w:r w:rsidR="00BD5FD5">
        <w:rPr>
          <w:rFonts w:asciiTheme="majorHAnsi" w:hAnsiTheme="majorHAnsi"/>
          <w:szCs w:val="22"/>
        </w:rPr>
        <w:t>a</w:t>
      </w:r>
      <w:r w:rsidR="00FB3209">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 xml:space="preserve">onzultované </w:t>
      </w:r>
      <w:r w:rsidR="00BD5FD5">
        <w:rPr>
          <w:rFonts w:asciiTheme="majorHAnsi" w:hAnsiTheme="majorHAnsi"/>
          <w:szCs w:val="22"/>
        </w:rPr>
        <w:t>s</w:t>
      </w:r>
      <w:r w:rsidRPr="00A11FE0">
        <w:rPr>
          <w:rFonts w:asciiTheme="majorHAnsi" w:hAnsiTheme="majorHAnsi"/>
          <w:szCs w:val="22"/>
        </w:rPr>
        <w:t xml:space="preserve"> relevantnými partnermi. </w:t>
      </w:r>
      <w:r w:rsidR="00BD5FD5">
        <w:rPr>
          <w:rFonts w:asciiTheme="majorHAnsi" w:hAnsiTheme="majorHAnsi"/>
          <w:szCs w:val="22"/>
        </w:rPr>
        <w:t>K</w:t>
      </w:r>
      <w:r w:rsidRPr="00A11FE0">
        <w:rPr>
          <w:rFonts w:asciiTheme="majorHAnsi" w:hAnsiTheme="majorHAnsi"/>
          <w:szCs w:val="22"/>
        </w:rPr>
        <w:t xml:space="preserve">omunikácia </w:t>
      </w:r>
      <w:r w:rsidR="00BD5FD5">
        <w:rPr>
          <w:rFonts w:asciiTheme="majorHAnsi" w:hAnsiTheme="majorHAnsi"/>
          <w:szCs w:val="22"/>
        </w:rPr>
        <w:t>s</w:t>
      </w:r>
      <w:r w:rsidRPr="00A11FE0">
        <w:rPr>
          <w:rFonts w:asciiTheme="majorHAnsi" w:hAnsiTheme="majorHAnsi"/>
          <w:szCs w:val="22"/>
        </w:rPr>
        <w:t xml:space="preserve"> partnermi prebiehala elektronickou formou,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 xml:space="preserve">j prostredníctvom pracovných </w:t>
      </w:r>
      <w:r w:rsidR="00BD5FD5">
        <w:rPr>
          <w:rFonts w:asciiTheme="majorHAnsi" w:hAnsiTheme="majorHAnsi"/>
          <w:szCs w:val="22"/>
        </w:rPr>
        <w:t>s</w:t>
      </w:r>
      <w:r w:rsidRPr="00A11FE0">
        <w:rPr>
          <w:rFonts w:asciiTheme="majorHAnsi" w:hAnsiTheme="majorHAnsi"/>
          <w:szCs w:val="22"/>
        </w:rPr>
        <w:t xml:space="preserve">kupín </w:t>
      </w:r>
      <w:r w:rsidR="00087E6A">
        <w:rPr>
          <w:rFonts w:asciiTheme="majorHAnsi" w:hAnsiTheme="majorHAnsi"/>
          <w:szCs w:val="22"/>
        </w:rPr>
        <w:t>Úradu vlády Slovenskej republiky (ďalej len „</w:t>
      </w:r>
      <w:r w:rsidRPr="00A11FE0">
        <w:rPr>
          <w:rFonts w:asciiTheme="majorHAnsi" w:hAnsiTheme="majorHAnsi"/>
          <w:szCs w:val="22"/>
        </w:rPr>
        <w:t>Ú</w:t>
      </w:r>
      <w:r w:rsidR="00FB3209">
        <w:rPr>
          <w:rFonts w:asciiTheme="majorHAnsi" w:hAnsiTheme="majorHAnsi"/>
          <w:szCs w:val="22"/>
        </w:rPr>
        <w:t xml:space="preserve">V </w:t>
      </w:r>
      <w:r w:rsidR="00BD5FD5">
        <w:rPr>
          <w:rFonts w:asciiTheme="majorHAnsi" w:hAnsiTheme="majorHAnsi"/>
          <w:szCs w:val="22"/>
        </w:rPr>
        <w:t>S</w:t>
      </w:r>
      <w:r w:rsidRPr="00A11FE0">
        <w:rPr>
          <w:rFonts w:asciiTheme="majorHAnsi" w:hAnsiTheme="majorHAnsi"/>
          <w:szCs w:val="22"/>
        </w:rPr>
        <w:t>R</w:t>
      </w:r>
      <w:r w:rsidR="00087E6A">
        <w:rPr>
          <w:rFonts w:asciiTheme="majorHAnsi" w:hAnsiTheme="majorHAnsi"/>
          <w:szCs w:val="22"/>
        </w:rPr>
        <w:t>“)</w:t>
      </w:r>
      <w:r w:rsidRPr="00A11FE0">
        <w:rPr>
          <w:rFonts w:asciiTheme="majorHAnsi" w:hAnsiTheme="majorHAnsi"/>
          <w:szCs w:val="22"/>
        </w:rPr>
        <w:t xml:space="preserve">. Rovnako boli zapracovávané odborné vstupy od jednotlivých </w:t>
      </w:r>
      <w:r w:rsidR="00831BAA">
        <w:rPr>
          <w:rFonts w:asciiTheme="majorHAnsi" w:hAnsiTheme="majorHAnsi"/>
          <w:szCs w:val="22"/>
        </w:rPr>
        <w:t>RO</w:t>
      </w:r>
      <w:r w:rsidRPr="00A11FE0">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 to v</w:t>
      </w:r>
      <w:r w:rsidR="00FB3209">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úvislosti </w:t>
      </w:r>
      <w:r w:rsidR="00BD5FD5">
        <w:rPr>
          <w:rFonts w:asciiTheme="majorHAnsi" w:hAnsiTheme="majorHAnsi"/>
          <w:szCs w:val="22"/>
        </w:rPr>
        <w:t>s</w:t>
      </w:r>
      <w:r w:rsidRPr="00A11FE0">
        <w:rPr>
          <w:rFonts w:asciiTheme="majorHAnsi" w:hAnsiTheme="majorHAnsi"/>
          <w:szCs w:val="22"/>
        </w:rPr>
        <w:t xml:space="preserve"> paralelnou prípravou OP. Do procesu prípravy PD </w:t>
      </w:r>
      <w:r w:rsidR="00BD5FD5">
        <w:rPr>
          <w:rFonts w:asciiTheme="majorHAnsi" w:hAnsiTheme="majorHAnsi"/>
          <w:szCs w:val="22"/>
        </w:rPr>
        <w:t>S</w:t>
      </w:r>
      <w:r w:rsidRPr="00A11FE0">
        <w:rPr>
          <w:rFonts w:asciiTheme="majorHAnsi" w:hAnsiTheme="majorHAnsi"/>
          <w:szCs w:val="22"/>
        </w:rPr>
        <w:t xml:space="preserve">R bola zapojená </w:t>
      </w:r>
      <w:r w:rsidR="00BD5FD5">
        <w:rPr>
          <w:rFonts w:asciiTheme="majorHAnsi" w:hAnsiTheme="majorHAnsi"/>
          <w:szCs w:val="22"/>
        </w:rPr>
        <w:t>a</w:t>
      </w:r>
      <w:r w:rsidRPr="00A11FE0">
        <w:rPr>
          <w:rFonts w:asciiTheme="majorHAnsi" w:hAnsiTheme="majorHAnsi"/>
          <w:szCs w:val="22"/>
        </w:rPr>
        <w:t xml:space="preserve">j široká verejnosť prostredníctvom dotazníka CKO, </w:t>
      </w:r>
      <w:r w:rsidR="00BD5FD5">
        <w:rPr>
          <w:rFonts w:asciiTheme="majorHAnsi" w:hAnsiTheme="majorHAnsi"/>
          <w:szCs w:val="22"/>
        </w:rPr>
        <w:t>k</w:t>
      </w:r>
      <w:r w:rsidRPr="00A11FE0">
        <w:rPr>
          <w:rFonts w:asciiTheme="majorHAnsi" w:hAnsiTheme="majorHAnsi"/>
          <w:szCs w:val="22"/>
        </w:rPr>
        <w:t xml:space="preserve">torého cieľom bolo zhromaždiť názory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príspevky verejnosti na </w:t>
      </w:r>
      <w:r w:rsidR="00BD5FD5">
        <w:rPr>
          <w:rFonts w:asciiTheme="majorHAnsi" w:hAnsiTheme="majorHAnsi"/>
          <w:szCs w:val="22"/>
        </w:rPr>
        <w:lastRenderedPageBreak/>
        <w:t>ak</w:t>
      </w:r>
      <w:r w:rsidRPr="00A11FE0">
        <w:rPr>
          <w:rFonts w:asciiTheme="majorHAnsi" w:hAnsiTheme="majorHAnsi"/>
          <w:szCs w:val="22"/>
        </w:rPr>
        <w:t xml:space="preserve">tuálne otázky týkajúce </w:t>
      </w:r>
      <w:r w:rsidR="00BD5FD5">
        <w:rPr>
          <w:rFonts w:asciiTheme="majorHAnsi" w:hAnsiTheme="majorHAnsi"/>
          <w:szCs w:val="22"/>
        </w:rPr>
        <w:t>s</w:t>
      </w:r>
      <w:r w:rsidRPr="00A11FE0">
        <w:rPr>
          <w:rFonts w:asciiTheme="majorHAnsi" w:hAnsiTheme="majorHAnsi"/>
          <w:szCs w:val="22"/>
        </w:rPr>
        <w:t>a využívania fondov EÚ v</w:t>
      </w:r>
      <w:r w:rsidR="00831BAA">
        <w:rPr>
          <w:rFonts w:asciiTheme="majorHAnsi" w:hAnsiTheme="majorHAnsi"/>
          <w:szCs w:val="22"/>
        </w:rPr>
        <w:t> </w:t>
      </w:r>
      <w:r w:rsidRPr="00A11FE0">
        <w:rPr>
          <w:rFonts w:asciiTheme="majorHAnsi" w:hAnsiTheme="majorHAnsi"/>
          <w:szCs w:val="22"/>
        </w:rPr>
        <w:t>programovom období 2014 – 2020</w:t>
      </w:r>
      <w:r w:rsidR="0094304E">
        <w:rPr>
          <w:rStyle w:val="Odkaznapoznmkupodiarou"/>
          <w:rFonts w:asciiTheme="majorHAnsi" w:hAnsiTheme="majorHAnsi"/>
          <w:szCs w:val="22"/>
        </w:rPr>
        <w:footnoteReference w:id="313"/>
      </w:r>
      <w:r w:rsidRPr="00A11FE0">
        <w:rPr>
          <w:rFonts w:asciiTheme="majorHAnsi" w:hAnsiTheme="majorHAnsi"/>
          <w:szCs w:val="22"/>
        </w:rPr>
        <w:t xml:space="preserve">. Výstupy z dotazníka podporili výber tematických cieľov </w:t>
      </w:r>
      <w:r w:rsidR="00BD5FD5">
        <w:rPr>
          <w:rFonts w:asciiTheme="majorHAnsi" w:hAnsiTheme="majorHAnsi"/>
          <w:szCs w:val="22"/>
        </w:rPr>
        <w:t>a</w:t>
      </w:r>
      <w:r w:rsidRPr="00A11FE0">
        <w:rPr>
          <w:rFonts w:asciiTheme="majorHAnsi" w:hAnsiTheme="majorHAnsi"/>
          <w:szCs w:val="22"/>
        </w:rPr>
        <w:t xml:space="preserve"> investičných priorít, </w:t>
      </w:r>
      <w:r w:rsidR="00BD5FD5">
        <w:rPr>
          <w:rFonts w:asciiTheme="majorHAnsi" w:hAnsiTheme="majorHAnsi"/>
          <w:szCs w:val="22"/>
        </w:rPr>
        <w:t>k</w:t>
      </w:r>
      <w:r w:rsidRPr="00A11FE0">
        <w:rPr>
          <w:rFonts w:asciiTheme="majorHAnsi" w:hAnsiTheme="majorHAnsi"/>
          <w:szCs w:val="22"/>
        </w:rPr>
        <w:t xml:space="preserve">toré boli </w:t>
      </w:r>
      <w:r w:rsidR="00BD5FD5">
        <w:rPr>
          <w:rFonts w:asciiTheme="majorHAnsi" w:hAnsiTheme="majorHAnsi"/>
          <w:szCs w:val="22"/>
        </w:rPr>
        <w:t>s</w:t>
      </w:r>
      <w:r w:rsidRPr="00A11FE0">
        <w:rPr>
          <w:rFonts w:asciiTheme="majorHAnsi" w:hAnsiTheme="majorHAnsi"/>
          <w:szCs w:val="22"/>
        </w:rPr>
        <w:t xml:space="preserve">tanovené v návrhu PD </w:t>
      </w:r>
      <w:r w:rsidR="00BD5FD5">
        <w:rPr>
          <w:rFonts w:asciiTheme="majorHAnsi" w:hAnsiTheme="majorHAnsi"/>
          <w:szCs w:val="22"/>
        </w:rPr>
        <w:t>S</w:t>
      </w:r>
      <w:r w:rsidRPr="00A11FE0">
        <w:rPr>
          <w:rFonts w:asciiTheme="majorHAnsi" w:hAnsiTheme="majorHAnsi"/>
          <w:szCs w:val="22"/>
        </w:rPr>
        <w:t xml:space="preserve">R. Podnety verejnosti na zníženie </w:t>
      </w:r>
      <w:r w:rsidR="00BD5FD5">
        <w:rPr>
          <w:rFonts w:asciiTheme="majorHAnsi" w:hAnsiTheme="majorHAnsi"/>
          <w:szCs w:val="22"/>
        </w:rPr>
        <w:t>a</w:t>
      </w:r>
      <w:r w:rsidRPr="00A11FE0">
        <w:rPr>
          <w:rFonts w:asciiTheme="majorHAnsi" w:hAnsiTheme="majorHAnsi"/>
          <w:szCs w:val="22"/>
        </w:rPr>
        <w:t xml:space="preserve">dministratívnej záťaže </w:t>
      </w:r>
      <w:r w:rsidR="00BD5FD5">
        <w:rPr>
          <w:rFonts w:asciiTheme="majorHAnsi" w:hAnsiTheme="majorHAnsi"/>
          <w:szCs w:val="22"/>
        </w:rPr>
        <w:t>s</w:t>
      </w:r>
      <w:r w:rsidRPr="00A11FE0">
        <w:rPr>
          <w:rFonts w:asciiTheme="majorHAnsi" w:hAnsiTheme="majorHAnsi"/>
          <w:szCs w:val="22"/>
        </w:rPr>
        <w:t xml:space="preserve">ú obsiahnuté v príslušnej časti PD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a</w:t>
      </w:r>
      <w:r w:rsidRPr="00A11FE0">
        <w:rPr>
          <w:rFonts w:asciiTheme="majorHAnsi" w:hAnsiTheme="majorHAnsi"/>
          <w:szCs w:val="22"/>
        </w:rPr>
        <w:t xml:space="preserve"> tvoria významný podklad pre </w:t>
      </w:r>
      <w:r w:rsidR="00BD5FD5">
        <w:rPr>
          <w:rFonts w:asciiTheme="majorHAnsi" w:hAnsiTheme="majorHAnsi"/>
          <w:szCs w:val="22"/>
        </w:rPr>
        <w:t>s</w:t>
      </w:r>
      <w:r w:rsidRPr="00A11FE0">
        <w:rPr>
          <w:rFonts w:asciiTheme="majorHAnsi" w:hAnsiTheme="majorHAnsi"/>
          <w:szCs w:val="22"/>
        </w:rPr>
        <w:t xml:space="preserve">pracovanie </w:t>
      </w:r>
      <w:r w:rsidR="00BD5FD5">
        <w:rPr>
          <w:rFonts w:asciiTheme="majorHAnsi" w:hAnsiTheme="majorHAnsi"/>
          <w:szCs w:val="22"/>
        </w:rPr>
        <w:t>s</w:t>
      </w:r>
      <w:r w:rsidRPr="00A11FE0">
        <w:rPr>
          <w:rFonts w:asciiTheme="majorHAnsi" w:hAnsiTheme="majorHAnsi"/>
          <w:szCs w:val="22"/>
        </w:rPr>
        <w:t xml:space="preserve">ystému riadenia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 xml:space="preserve">ontroly EŠIF. Návrh PD </w:t>
      </w:r>
      <w:r w:rsidR="00BD5FD5">
        <w:rPr>
          <w:rFonts w:asciiTheme="majorHAnsi" w:hAnsiTheme="majorHAnsi"/>
          <w:szCs w:val="22"/>
        </w:rPr>
        <w:t>S</w:t>
      </w:r>
      <w:r w:rsidRPr="00A11FE0">
        <w:rPr>
          <w:rFonts w:asciiTheme="majorHAnsi" w:hAnsiTheme="majorHAnsi"/>
          <w:szCs w:val="22"/>
        </w:rPr>
        <w:t xml:space="preserve">R bol tiež prerokovaný členmi Rady vlády </w:t>
      </w:r>
      <w:r w:rsidR="00BD5FD5">
        <w:rPr>
          <w:rFonts w:asciiTheme="majorHAnsi" w:hAnsiTheme="majorHAnsi"/>
          <w:szCs w:val="22"/>
        </w:rPr>
        <w:t>S</w:t>
      </w:r>
      <w:r w:rsidRPr="00A11FE0">
        <w:rPr>
          <w:rFonts w:asciiTheme="majorHAnsi" w:hAnsiTheme="majorHAnsi"/>
          <w:szCs w:val="22"/>
        </w:rPr>
        <w:t xml:space="preserve">R pre PD </w:t>
      </w:r>
      <w:r w:rsidR="00BD5FD5">
        <w:rPr>
          <w:rFonts w:asciiTheme="majorHAnsi" w:hAnsiTheme="majorHAnsi"/>
          <w:szCs w:val="22"/>
        </w:rPr>
        <w:t>S</w:t>
      </w:r>
      <w:r w:rsidRPr="00A11FE0">
        <w:rPr>
          <w:rFonts w:asciiTheme="majorHAnsi" w:hAnsiTheme="majorHAnsi"/>
          <w:szCs w:val="22"/>
        </w:rPr>
        <w:t>R.</w:t>
      </w:r>
    </w:p>
    <w:p w:rsidR="00E01A37" w:rsidRPr="00A11FE0" w:rsidRDefault="00E01A37" w:rsidP="00CC3354">
      <w:pPr>
        <w:rPr>
          <w:rFonts w:asciiTheme="majorHAnsi" w:hAnsiTheme="majorHAnsi"/>
          <w:szCs w:val="22"/>
        </w:rPr>
      </w:pPr>
      <w:r w:rsidRPr="00A11FE0">
        <w:rPr>
          <w:rFonts w:asciiTheme="majorHAnsi" w:hAnsiTheme="majorHAnsi"/>
          <w:szCs w:val="22"/>
        </w:rPr>
        <w:t xml:space="preserve">Ucelený návrh PD </w:t>
      </w:r>
      <w:r w:rsidR="00BD5FD5">
        <w:rPr>
          <w:rFonts w:asciiTheme="majorHAnsi" w:hAnsiTheme="majorHAnsi"/>
          <w:szCs w:val="22"/>
        </w:rPr>
        <w:t>S</w:t>
      </w:r>
      <w:r w:rsidRPr="00A11FE0">
        <w:rPr>
          <w:rFonts w:asciiTheme="majorHAnsi" w:hAnsiTheme="majorHAnsi"/>
          <w:szCs w:val="22"/>
        </w:rPr>
        <w:t xml:space="preserve">R bol relevantnými partnermi prijatý pozitívne. Relevantní partneri podporili </w:t>
      </w:r>
      <w:r w:rsidR="00BD5FD5">
        <w:rPr>
          <w:rFonts w:asciiTheme="majorHAnsi" w:hAnsiTheme="majorHAnsi"/>
          <w:szCs w:val="22"/>
        </w:rPr>
        <w:t>s</w:t>
      </w:r>
      <w:r w:rsidRPr="00A11FE0">
        <w:rPr>
          <w:rFonts w:asciiTheme="majorHAnsi" w:hAnsiTheme="majorHAnsi"/>
          <w:szCs w:val="22"/>
        </w:rPr>
        <w:t xml:space="preserve">tanovené tematické ciele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prioritné oblasti financovania EŠIF, uplatňovanie integrovaných prístupov pre celé územie </w:t>
      </w:r>
      <w:r w:rsidR="00BD5FD5">
        <w:rPr>
          <w:rFonts w:asciiTheme="majorHAnsi" w:hAnsiTheme="majorHAnsi"/>
          <w:szCs w:val="22"/>
        </w:rPr>
        <w:t>S</w:t>
      </w:r>
      <w:r w:rsidRPr="00A11FE0">
        <w:rPr>
          <w:rFonts w:asciiTheme="majorHAnsi" w:hAnsiTheme="majorHAnsi"/>
          <w:szCs w:val="22"/>
        </w:rPr>
        <w:t>R,</w:t>
      </w:r>
      <w:r w:rsidRPr="00A11FE0">
        <w:rPr>
          <w:rFonts w:asciiTheme="majorHAnsi" w:hAnsiTheme="majorHAnsi"/>
        </w:rPr>
        <w:t xml:space="preserve"> </w:t>
      </w:r>
      <w:r w:rsidR="00BD5FD5">
        <w:rPr>
          <w:rFonts w:asciiTheme="majorHAnsi" w:hAnsiTheme="majorHAnsi"/>
          <w:szCs w:val="22"/>
        </w:rPr>
        <w:t>a</w:t>
      </w:r>
      <w:r w:rsidRPr="00A11FE0">
        <w:rPr>
          <w:rFonts w:asciiTheme="majorHAnsi" w:hAnsiTheme="majorHAnsi"/>
          <w:szCs w:val="22"/>
        </w:rPr>
        <w:t xml:space="preserve">mbíciu postupného prechodu na elektronickú výmenu informácií </w:t>
      </w:r>
      <w:r w:rsidR="00BD5FD5">
        <w:rPr>
          <w:rFonts w:asciiTheme="majorHAnsi" w:hAnsiTheme="majorHAnsi"/>
          <w:szCs w:val="22"/>
        </w:rPr>
        <w:t>a</w:t>
      </w:r>
      <w:r w:rsidR="00CB6151">
        <w:rPr>
          <w:rFonts w:asciiTheme="majorHAnsi" w:hAnsiTheme="majorHAnsi"/>
          <w:szCs w:val="22"/>
        </w:rPr>
        <w:t> </w:t>
      </w:r>
      <w:r w:rsidRPr="00A11FE0">
        <w:rPr>
          <w:rFonts w:asciiTheme="majorHAnsi" w:hAnsiTheme="majorHAnsi"/>
          <w:szCs w:val="22"/>
        </w:rPr>
        <w:t>údajov</w:t>
      </w:r>
      <w:r w:rsidR="00CB6151">
        <w:rPr>
          <w:rFonts w:asciiTheme="majorHAnsi" w:hAnsiTheme="majorHAnsi"/>
          <w:szCs w:val="22"/>
        </w:rPr>
        <w:t xml:space="preserve"> </w:t>
      </w:r>
      <w:r w:rsidRPr="00A11FE0">
        <w:rPr>
          <w:rFonts w:asciiTheme="majorHAnsi" w:hAnsiTheme="majorHAnsi"/>
          <w:szCs w:val="22"/>
        </w:rPr>
        <w:t xml:space="preserve">medzi prijímateľmi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orgánmi riadenia </w:t>
      </w:r>
      <w:r w:rsidR="00BD5FD5">
        <w:rPr>
          <w:rFonts w:asciiTheme="majorHAnsi" w:hAnsiTheme="majorHAnsi"/>
          <w:szCs w:val="22"/>
        </w:rPr>
        <w:t>a</w:t>
      </w:r>
      <w:r w:rsidR="00FB3209">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 xml:space="preserve">ontroly programov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opatrenia na zníženie </w:t>
      </w:r>
      <w:r w:rsidR="00BD5FD5">
        <w:rPr>
          <w:rFonts w:asciiTheme="majorHAnsi" w:hAnsiTheme="majorHAnsi"/>
          <w:szCs w:val="22"/>
        </w:rPr>
        <w:t>a</w:t>
      </w:r>
      <w:r w:rsidRPr="00A11FE0">
        <w:rPr>
          <w:rFonts w:asciiTheme="majorHAnsi" w:hAnsiTheme="majorHAnsi"/>
          <w:szCs w:val="22"/>
        </w:rPr>
        <w:t xml:space="preserve">dministratívnej záťaže na </w:t>
      </w:r>
      <w:r w:rsidR="00BD5FD5">
        <w:rPr>
          <w:rFonts w:asciiTheme="majorHAnsi" w:hAnsiTheme="majorHAnsi"/>
          <w:szCs w:val="22"/>
        </w:rPr>
        <w:t>s</w:t>
      </w:r>
      <w:r w:rsidRPr="00A11FE0">
        <w:rPr>
          <w:rFonts w:asciiTheme="majorHAnsi" w:hAnsiTheme="majorHAnsi"/>
          <w:szCs w:val="22"/>
        </w:rPr>
        <w:t xml:space="preserve">trane prijímateľov. Pripomienky partnerov </w:t>
      </w:r>
      <w:r w:rsidR="00BD5FD5">
        <w:rPr>
          <w:rFonts w:asciiTheme="majorHAnsi" w:hAnsiTheme="majorHAnsi"/>
          <w:szCs w:val="22"/>
        </w:rPr>
        <w:t>s</w:t>
      </w:r>
      <w:r w:rsidRPr="00A11FE0">
        <w:rPr>
          <w:rFonts w:asciiTheme="majorHAnsi" w:hAnsiTheme="majorHAnsi"/>
          <w:szCs w:val="22"/>
        </w:rPr>
        <w:t xml:space="preserve">merovali najmä </w:t>
      </w:r>
      <w:r w:rsidR="00BD5FD5">
        <w:rPr>
          <w:rFonts w:asciiTheme="majorHAnsi" w:hAnsiTheme="majorHAnsi"/>
          <w:szCs w:val="22"/>
        </w:rPr>
        <w:t>k</w:t>
      </w:r>
      <w:r w:rsidR="00CB6151">
        <w:rPr>
          <w:rFonts w:asciiTheme="majorHAnsi" w:hAnsiTheme="majorHAnsi"/>
          <w:szCs w:val="22"/>
        </w:rPr>
        <w:t> </w:t>
      </w:r>
      <w:r w:rsidRPr="00A11FE0">
        <w:rPr>
          <w:rFonts w:asciiTheme="majorHAnsi" w:hAnsiTheme="majorHAnsi"/>
          <w:szCs w:val="22"/>
        </w:rPr>
        <w:t>precizovaniu</w:t>
      </w:r>
      <w:r w:rsidR="00CB6151">
        <w:rPr>
          <w:rFonts w:asciiTheme="majorHAnsi" w:hAnsiTheme="majorHAnsi"/>
          <w:szCs w:val="22"/>
        </w:rPr>
        <w:t xml:space="preserve"> </w:t>
      </w:r>
      <w:r w:rsidRPr="00A11FE0">
        <w:rPr>
          <w:rFonts w:asciiTheme="majorHAnsi" w:hAnsiTheme="majorHAnsi"/>
          <w:szCs w:val="22"/>
        </w:rPr>
        <w:t xml:space="preserve">textu PD </w:t>
      </w:r>
      <w:r w:rsidR="00BD5FD5">
        <w:rPr>
          <w:rFonts w:asciiTheme="majorHAnsi" w:hAnsiTheme="majorHAnsi"/>
          <w:szCs w:val="22"/>
        </w:rPr>
        <w:t>S</w:t>
      </w:r>
      <w:r w:rsidRPr="00A11FE0">
        <w:rPr>
          <w:rFonts w:asciiTheme="majorHAnsi" w:hAnsiTheme="majorHAnsi"/>
          <w:szCs w:val="22"/>
        </w:rPr>
        <w:t xml:space="preserve">R. Medzi zásadné požiadavky partnerov, </w:t>
      </w:r>
      <w:r w:rsidR="00BD5FD5">
        <w:rPr>
          <w:rFonts w:asciiTheme="majorHAnsi" w:hAnsiTheme="majorHAnsi"/>
          <w:szCs w:val="22"/>
        </w:rPr>
        <w:t>k</w:t>
      </w:r>
      <w:r w:rsidRPr="00A11FE0">
        <w:rPr>
          <w:rFonts w:asciiTheme="majorHAnsi" w:hAnsiTheme="majorHAnsi"/>
          <w:szCs w:val="22"/>
        </w:rPr>
        <w:t xml:space="preserve">toré boli </w:t>
      </w:r>
      <w:r w:rsidR="00BD5FD5">
        <w:rPr>
          <w:rFonts w:asciiTheme="majorHAnsi" w:hAnsiTheme="majorHAnsi"/>
          <w:szCs w:val="22"/>
        </w:rPr>
        <w:t>ak</w:t>
      </w:r>
      <w:r w:rsidRPr="00A11FE0">
        <w:rPr>
          <w:rFonts w:asciiTheme="majorHAnsi" w:hAnsiTheme="majorHAnsi"/>
          <w:szCs w:val="22"/>
        </w:rPr>
        <w:t xml:space="preserve">ceptované, patrili najmä potreba dopracovania PD </w:t>
      </w:r>
      <w:r w:rsidR="00BD5FD5">
        <w:rPr>
          <w:rFonts w:asciiTheme="majorHAnsi" w:hAnsiTheme="majorHAnsi"/>
          <w:szCs w:val="22"/>
        </w:rPr>
        <w:t>S</w:t>
      </w:r>
      <w:r w:rsidRPr="00A11FE0">
        <w:rPr>
          <w:rFonts w:asciiTheme="majorHAnsi" w:hAnsiTheme="majorHAnsi"/>
          <w:szCs w:val="22"/>
        </w:rPr>
        <w:t>R v </w:t>
      </w:r>
      <w:r w:rsidR="00BD5FD5">
        <w:rPr>
          <w:rFonts w:asciiTheme="majorHAnsi" w:hAnsiTheme="majorHAnsi"/>
          <w:szCs w:val="22"/>
        </w:rPr>
        <w:t>s</w:t>
      </w:r>
      <w:r w:rsidRPr="00A11FE0">
        <w:rPr>
          <w:rFonts w:asciiTheme="majorHAnsi" w:hAnsiTheme="majorHAnsi"/>
          <w:szCs w:val="22"/>
        </w:rPr>
        <w:t xml:space="preserve">úlade </w:t>
      </w:r>
      <w:r w:rsidR="00BD5FD5">
        <w:rPr>
          <w:rFonts w:asciiTheme="majorHAnsi" w:hAnsiTheme="majorHAnsi"/>
          <w:szCs w:val="22"/>
        </w:rPr>
        <w:t>s</w:t>
      </w:r>
      <w:r w:rsidR="00A10CE3">
        <w:rPr>
          <w:rFonts w:asciiTheme="majorHAnsi" w:hAnsiTheme="majorHAnsi"/>
          <w:szCs w:val="22"/>
        </w:rPr>
        <w:t> </w:t>
      </w:r>
      <w:r w:rsidR="00FB3209">
        <w:rPr>
          <w:rFonts w:asciiTheme="majorHAnsi" w:hAnsiTheme="majorHAnsi"/>
          <w:szCs w:val="22"/>
        </w:rPr>
        <w:t>RIS3</w:t>
      </w:r>
      <w:r w:rsidRPr="00A11FE0">
        <w:rPr>
          <w:rFonts w:asciiTheme="majorHAnsi" w:hAnsiTheme="majorHAnsi"/>
          <w:szCs w:val="22"/>
        </w:rPr>
        <w:t>,</w:t>
      </w:r>
      <w:r w:rsidRPr="00A11FE0">
        <w:rPr>
          <w:rFonts w:asciiTheme="majorHAnsi" w:hAnsiTheme="majorHAnsi"/>
        </w:rPr>
        <w:t xml:space="preserve"> </w:t>
      </w:r>
      <w:r w:rsidRPr="00A11FE0">
        <w:rPr>
          <w:rFonts w:asciiTheme="majorHAnsi" w:hAnsiTheme="majorHAnsi"/>
          <w:szCs w:val="22"/>
        </w:rPr>
        <w:t xml:space="preserve">doplnenia </w:t>
      </w:r>
      <w:r w:rsidR="00BD5FD5">
        <w:rPr>
          <w:rFonts w:asciiTheme="majorHAnsi" w:hAnsiTheme="majorHAnsi"/>
          <w:szCs w:val="22"/>
        </w:rPr>
        <w:t>a</w:t>
      </w:r>
      <w:r w:rsidRPr="00A11FE0">
        <w:rPr>
          <w:rFonts w:asciiTheme="majorHAnsi" w:hAnsiTheme="majorHAnsi"/>
          <w:szCs w:val="22"/>
        </w:rPr>
        <w:t xml:space="preserve">nalýzy za oblasť rozvoja vidieka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rybného hospodárstva, nesúhlas </w:t>
      </w:r>
      <w:r w:rsidR="00BD5FD5">
        <w:rPr>
          <w:rFonts w:asciiTheme="majorHAnsi" w:hAnsiTheme="majorHAnsi"/>
          <w:szCs w:val="22"/>
        </w:rPr>
        <w:t>s</w:t>
      </w:r>
      <w:r w:rsidR="00FB3209">
        <w:rPr>
          <w:rFonts w:asciiTheme="majorHAnsi" w:hAnsiTheme="majorHAnsi"/>
          <w:szCs w:val="22"/>
        </w:rPr>
        <w:t> </w:t>
      </w:r>
      <w:r w:rsidRPr="00A11FE0">
        <w:rPr>
          <w:rFonts w:asciiTheme="majorHAnsi" w:hAnsiTheme="majorHAnsi"/>
          <w:szCs w:val="22"/>
        </w:rPr>
        <w:t xml:space="preserve">jednotným </w:t>
      </w:r>
      <w:r w:rsidR="00BD5FD5">
        <w:rPr>
          <w:rFonts w:asciiTheme="majorHAnsi" w:hAnsiTheme="majorHAnsi"/>
          <w:szCs w:val="22"/>
        </w:rPr>
        <w:t>s</w:t>
      </w:r>
      <w:r w:rsidRPr="00A11FE0">
        <w:rPr>
          <w:rFonts w:asciiTheme="majorHAnsi" w:hAnsiTheme="majorHAnsi"/>
          <w:szCs w:val="22"/>
        </w:rPr>
        <w:t xml:space="preserve">ystémom riadenia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jednotným informačným </w:t>
      </w:r>
      <w:r w:rsidR="00BD5FD5">
        <w:rPr>
          <w:rFonts w:asciiTheme="majorHAnsi" w:hAnsiTheme="majorHAnsi"/>
          <w:szCs w:val="22"/>
        </w:rPr>
        <w:t>s</w:t>
      </w:r>
      <w:r w:rsidRPr="00A11FE0">
        <w:rPr>
          <w:rFonts w:asciiTheme="majorHAnsi" w:hAnsiTheme="majorHAnsi"/>
          <w:szCs w:val="22"/>
        </w:rPr>
        <w:t xml:space="preserve">ystémom pre monitorovanie EŠIF, potreba dopracovania územnej </w:t>
      </w:r>
      <w:r w:rsidR="00BD5FD5">
        <w:rPr>
          <w:rFonts w:asciiTheme="majorHAnsi" w:hAnsiTheme="majorHAnsi"/>
          <w:szCs w:val="22"/>
        </w:rPr>
        <w:t>k</w:t>
      </w:r>
      <w:r w:rsidRPr="00A11FE0">
        <w:rPr>
          <w:rFonts w:asciiTheme="majorHAnsi" w:hAnsiTheme="majorHAnsi"/>
          <w:szCs w:val="22"/>
        </w:rPr>
        <w:t xml:space="preserve">oncentrácie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a</w:t>
      </w:r>
      <w:r w:rsidRPr="00A11FE0">
        <w:rPr>
          <w:rFonts w:asciiTheme="majorHAnsi" w:hAnsiTheme="majorHAnsi"/>
          <w:szCs w:val="22"/>
        </w:rPr>
        <w:t xml:space="preserve">plikácie integrovaných prístupov, zosúladenia </w:t>
      </w:r>
      <w:r w:rsidR="00BD5FD5">
        <w:rPr>
          <w:rFonts w:asciiTheme="majorHAnsi" w:hAnsiTheme="majorHAnsi"/>
          <w:szCs w:val="22"/>
        </w:rPr>
        <w:t>k</w:t>
      </w:r>
      <w:r w:rsidRPr="00A11FE0">
        <w:rPr>
          <w:rFonts w:asciiTheme="majorHAnsi" w:hAnsiTheme="majorHAnsi"/>
          <w:szCs w:val="22"/>
        </w:rPr>
        <w:t xml:space="preserve">apitol 1.1 </w:t>
      </w:r>
      <w:r w:rsidR="00BD5FD5">
        <w:rPr>
          <w:rFonts w:asciiTheme="majorHAnsi" w:hAnsiTheme="majorHAnsi"/>
          <w:szCs w:val="22"/>
        </w:rPr>
        <w:t>a</w:t>
      </w:r>
      <w:r w:rsidRPr="00A11FE0">
        <w:rPr>
          <w:rFonts w:asciiTheme="majorHAnsi" w:hAnsiTheme="majorHAnsi"/>
          <w:szCs w:val="22"/>
        </w:rPr>
        <w:t xml:space="preserve"> 1.3 v návrhu PD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úpravy horizontálneho princípu udržateľný rozvoj.</w:t>
      </w:r>
    </w:p>
    <w:p w:rsidR="00E01A37" w:rsidRPr="00A11FE0" w:rsidRDefault="00E01A37" w:rsidP="00CC3354">
      <w:pPr>
        <w:rPr>
          <w:rFonts w:asciiTheme="majorHAnsi" w:hAnsiTheme="majorHAnsi"/>
        </w:rPr>
      </w:pPr>
      <w:r w:rsidRPr="00A11FE0">
        <w:rPr>
          <w:rFonts w:asciiTheme="majorHAnsi" w:hAnsiTheme="majorHAnsi"/>
          <w:szCs w:val="22"/>
        </w:rPr>
        <w:t xml:space="preserve">Prvý návrh PD </w:t>
      </w:r>
      <w:r w:rsidR="00BD5FD5">
        <w:rPr>
          <w:rFonts w:asciiTheme="majorHAnsi" w:hAnsiTheme="majorHAnsi"/>
          <w:szCs w:val="22"/>
        </w:rPr>
        <w:t>S</w:t>
      </w:r>
      <w:r w:rsidRPr="00A11FE0">
        <w:rPr>
          <w:rFonts w:asciiTheme="majorHAnsi" w:hAnsiTheme="majorHAnsi"/>
          <w:szCs w:val="22"/>
        </w:rPr>
        <w:t xml:space="preserve">R vrátane ex </w:t>
      </w:r>
      <w:r w:rsidR="00BD5FD5">
        <w:rPr>
          <w:rFonts w:asciiTheme="majorHAnsi" w:hAnsiTheme="majorHAnsi"/>
          <w:szCs w:val="22"/>
        </w:rPr>
        <w:t>a</w:t>
      </w:r>
      <w:r w:rsidRPr="00A11FE0">
        <w:rPr>
          <w:rFonts w:asciiTheme="majorHAnsi" w:hAnsiTheme="majorHAnsi"/>
          <w:szCs w:val="22"/>
        </w:rPr>
        <w:t xml:space="preserve">nte hodnotenia bol predložený na posúdenie EK </w:t>
      </w:r>
      <w:r w:rsidR="00BD5FD5">
        <w:rPr>
          <w:rFonts w:asciiTheme="majorHAnsi" w:hAnsiTheme="majorHAnsi"/>
          <w:szCs w:val="22"/>
        </w:rPr>
        <w:t>k</w:t>
      </w:r>
      <w:r w:rsidRPr="00A11FE0">
        <w:rPr>
          <w:rFonts w:asciiTheme="majorHAnsi" w:hAnsiTheme="majorHAnsi"/>
          <w:szCs w:val="22"/>
        </w:rPr>
        <w:t xml:space="preserve">oncom júna 2013 </w:t>
      </w:r>
      <w:r w:rsidR="00BD5FD5">
        <w:rPr>
          <w:rFonts w:asciiTheme="majorHAnsi" w:hAnsiTheme="majorHAnsi"/>
          <w:szCs w:val="22"/>
        </w:rPr>
        <w:t>a</w:t>
      </w:r>
      <w:r w:rsidRPr="00A11FE0">
        <w:rPr>
          <w:rFonts w:asciiTheme="majorHAnsi" w:hAnsiTheme="majorHAnsi"/>
          <w:szCs w:val="22"/>
        </w:rPr>
        <w:t xml:space="preserve"> zverejnený na webovom </w:t>
      </w:r>
      <w:r w:rsidR="00BD5FD5">
        <w:rPr>
          <w:rFonts w:asciiTheme="majorHAnsi" w:hAnsiTheme="majorHAnsi"/>
          <w:szCs w:val="22"/>
        </w:rPr>
        <w:t>s</w:t>
      </w:r>
      <w:r w:rsidRPr="00A11FE0">
        <w:rPr>
          <w:rFonts w:asciiTheme="majorHAnsi" w:hAnsiTheme="majorHAnsi"/>
          <w:szCs w:val="22"/>
        </w:rPr>
        <w:t>ídle CKO</w:t>
      </w:r>
      <w:r w:rsidR="0094304E">
        <w:rPr>
          <w:rStyle w:val="Odkaznapoznmkupodiarou"/>
          <w:rFonts w:asciiTheme="majorHAnsi" w:hAnsiTheme="majorHAnsi"/>
          <w:szCs w:val="22"/>
        </w:rPr>
        <w:footnoteReference w:id="314"/>
      </w:r>
      <w:r w:rsidRPr="00A11FE0">
        <w:rPr>
          <w:rFonts w:asciiTheme="majorHAnsi" w:hAnsiTheme="majorHAnsi"/>
          <w:szCs w:val="22"/>
        </w:rPr>
        <w:t xml:space="preserve">. Rovnako </w:t>
      </w:r>
      <w:r w:rsidR="00BD5FD5">
        <w:rPr>
          <w:rFonts w:asciiTheme="majorHAnsi" w:hAnsiTheme="majorHAnsi"/>
          <w:szCs w:val="22"/>
        </w:rPr>
        <w:t>s</w:t>
      </w:r>
      <w:r w:rsidRPr="00A11FE0">
        <w:rPr>
          <w:rFonts w:asciiTheme="majorHAnsi" w:hAnsiTheme="majorHAnsi"/>
          <w:szCs w:val="22"/>
        </w:rPr>
        <w:t xml:space="preserve">a v procese pripomienkovania návrhu PD </w:t>
      </w:r>
      <w:r w:rsidR="00BD5FD5">
        <w:rPr>
          <w:rFonts w:asciiTheme="majorHAnsi" w:hAnsiTheme="majorHAnsi"/>
          <w:szCs w:val="22"/>
        </w:rPr>
        <w:t>S</w:t>
      </w:r>
      <w:r w:rsidRPr="00A11FE0">
        <w:rPr>
          <w:rFonts w:asciiTheme="majorHAnsi" w:hAnsiTheme="majorHAnsi"/>
          <w:szCs w:val="22"/>
        </w:rPr>
        <w:t xml:space="preserve">R organizujú zo </w:t>
      </w:r>
      <w:r w:rsidR="00BD5FD5">
        <w:rPr>
          <w:rFonts w:asciiTheme="majorHAnsi" w:hAnsiTheme="majorHAnsi"/>
          <w:szCs w:val="22"/>
        </w:rPr>
        <w:t>s</w:t>
      </w:r>
      <w:r w:rsidRPr="00A11FE0">
        <w:rPr>
          <w:rFonts w:asciiTheme="majorHAnsi" w:hAnsiTheme="majorHAnsi"/>
          <w:szCs w:val="22"/>
        </w:rPr>
        <w:t xml:space="preserve">trany CKO pracovné </w:t>
      </w:r>
      <w:r w:rsidR="00BD5FD5">
        <w:rPr>
          <w:rFonts w:asciiTheme="majorHAnsi" w:hAnsiTheme="majorHAnsi"/>
          <w:szCs w:val="22"/>
        </w:rPr>
        <w:t>s</w:t>
      </w:r>
      <w:r w:rsidRPr="00A11FE0">
        <w:rPr>
          <w:rFonts w:asciiTheme="majorHAnsi" w:hAnsiTheme="majorHAnsi"/>
          <w:szCs w:val="22"/>
        </w:rPr>
        <w:t xml:space="preserve">tretnutia </w:t>
      </w:r>
      <w:r w:rsidR="00BD5FD5">
        <w:rPr>
          <w:rFonts w:asciiTheme="majorHAnsi" w:hAnsiTheme="majorHAnsi"/>
          <w:szCs w:val="22"/>
        </w:rPr>
        <w:t>s</w:t>
      </w:r>
      <w:r w:rsidR="00831BAA">
        <w:rPr>
          <w:rFonts w:asciiTheme="majorHAnsi" w:hAnsiTheme="majorHAnsi"/>
          <w:szCs w:val="22"/>
        </w:rPr>
        <w:t> </w:t>
      </w:r>
      <w:r w:rsidRPr="00A11FE0">
        <w:rPr>
          <w:rFonts w:asciiTheme="majorHAnsi" w:hAnsiTheme="majorHAnsi"/>
          <w:szCs w:val="22"/>
        </w:rPr>
        <w:t>orgánmi</w:t>
      </w:r>
      <w:r w:rsidR="00831BAA">
        <w:rPr>
          <w:rFonts w:asciiTheme="majorHAnsi" w:hAnsiTheme="majorHAnsi"/>
          <w:szCs w:val="22"/>
        </w:rPr>
        <w:t xml:space="preserve"> </w:t>
      </w:r>
      <w:r w:rsidRPr="00A11FE0">
        <w:rPr>
          <w:rFonts w:asciiTheme="majorHAnsi" w:hAnsiTheme="majorHAnsi"/>
          <w:szCs w:val="22"/>
        </w:rPr>
        <w:t xml:space="preserve">zodpovednými za prípravu </w:t>
      </w:r>
      <w:r w:rsidR="007E72F2">
        <w:rPr>
          <w:rFonts w:asciiTheme="majorHAnsi" w:hAnsiTheme="majorHAnsi"/>
          <w:szCs w:val="22"/>
        </w:rPr>
        <w:t>programov</w:t>
      </w:r>
      <w:r w:rsidRPr="00A11FE0">
        <w:rPr>
          <w:rFonts w:asciiTheme="majorHAnsi" w:hAnsiTheme="majorHAnsi"/>
          <w:szCs w:val="22"/>
        </w:rPr>
        <w:t xml:space="preserve">, </w:t>
      </w:r>
      <w:r w:rsidR="00BD5FD5">
        <w:rPr>
          <w:rFonts w:asciiTheme="majorHAnsi" w:hAnsiTheme="majorHAnsi"/>
          <w:szCs w:val="22"/>
        </w:rPr>
        <w:t>k</w:t>
      </w:r>
      <w:r w:rsidRPr="00A11FE0">
        <w:rPr>
          <w:rFonts w:asciiTheme="majorHAnsi" w:hAnsiTheme="majorHAnsi"/>
          <w:szCs w:val="22"/>
        </w:rPr>
        <w:t xml:space="preserve">toré </w:t>
      </w:r>
      <w:r w:rsidR="00BD5FD5">
        <w:rPr>
          <w:rFonts w:asciiTheme="majorHAnsi" w:hAnsiTheme="majorHAnsi"/>
          <w:szCs w:val="22"/>
        </w:rPr>
        <w:t>s</w:t>
      </w:r>
      <w:r w:rsidRPr="00A11FE0">
        <w:rPr>
          <w:rFonts w:asciiTheme="majorHAnsi" w:hAnsiTheme="majorHAnsi"/>
          <w:szCs w:val="22"/>
        </w:rPr>
        <w:t xml:space="preserve">voje </w:t>
      </w:r>
      <w:r w:rsidR="00BD5FD5">
        <w:rPr>
          <w:rFonts w:asciiTheme="majorHAnsi" w:hAnsiTheme="majorHAnsi"/>
          <w:szCs w:val="22"/>
        </w:rPr>
        <w:t>s</w:t>
      </w:r>
      <w:r w:rsidRPr="00A11FE0">
        <w:rPr>
          <w:rFonts w:asciiTheme="majorHAnsi" w:hAnsiTheme="majorHAnsi"/>
          <w:szCs w:val="22"/>
        </w:rPr>
        <w:t xml:space="preserve">tanoviská </w:t>
      </w:r>
      <w:r w:rsidR="00BD5FD5">
        <w:rPr>
          <w:rFonts w:asciiTheme="majorHAnsi" w:hAnsiTheme="majorHAnsi"/>
          <w:szCs w:val="22"/>
        </w:rPr>
        <w:t>k</w:t>
      </w:r>
      <w:r w:rsidRPr="00A11FE0">
        <w:rPr>
          <w:rFonts w:asciiTheme="majorHAnsi" w:hAnsiTheme="majorHAnsi"/>
          <w:szCs w:val="22"/>
        </w:rPr>
        <w:t xml:space="preserve">omunikujú </w:t>
      </w:r>
      <w:r w:rsidR="00BD5FD5">
        <w:rPr>
          <w:rFonts w:asciiTheme="majorHAnsi" w:hAnsiTheme="majorHAnsi"/>
          <w:szCs w:val="22"/>
        </w:rPr>
        <w:t>s</w:t>
      </w:r>
      <w:r w:rsidRPr="00A11FE0">
        <w:rPr>
          <w:rFonts w:asciiTheme="majorHAnsi" w:hAnsiTheme="majorHAnsi"/>
          <w:szCs w:val="22"/>
        </w:rPr>
        <w:t xml:space="preserve"> relevantnými partnermi v danej oblasti, za účelom zapracovania </w:t>
      </w:r>
      <w:r w:rsidR="00BD5FD5">
        <w:rPr>
          <w:rFonts w:asciiTheme="majorHAnsi" w:hAnsiTheme="majorHAnsi"/>
          <w:szCs w:val="22"/>
        </w:rPr>
        <w:t>k</w:t>
      </w:r>
      <w:r w:rsidRPr="00A11FE0">
        <w:rPr>
          <w:rFonts w:asciiTheme="majorHAnsi" w:hAnsiTheme="majorHAnsi"/>
          <w:szCs w:val="22"/>
        </w:rPr>
        <w:t xml:space="preserve">ľúčových otvorených otázok vyplývajúcich z predložených pripomienok </w:t>
      </w:r>
      <w:r w:rsidR="00BD5FD5">
        <w:rPr>
          <w:rFonts w:asciiTheme="majorHAnsi" w:hAnsiTheme="majorHAnsi"/>
          <w:szCs w:val="22"/>
        </w:rPr>
        <w:t>a</w:t>
      </w:r>
      <w:r w:rsidRPr="00A11FE0">
        <w:rPr>
          <w:rFonts w:asciiTheme="majorHAnsi" w:hAnsiTheme="majorHAnsi"/>
          <w:szCs w:val="22"/>
        </w:rPr>
        <w:t xml:space="preserve"> výsledkov negociácií </w:t>
      </w:r>
      <w:r w:rsidR="00BD5FD5">
        <w:rPr>
          <w:rFonts w:asciiTheme="majorHAnsi" w:hAnsiTheme="majorHAnsi"/>
          <w:szCs w:val="22"/>
        </w:rPr>
        <w:t>s</w:t>
      </w:r>
      <w:r w:rsidRPr="00A11FE0">
        <w:rPr>
          <w:rFonts w:asciiTheme="majorHAnsi" w:hAnsiTheme="majorHAnsi"/>
          <w:szCs w:val="22"/>
        </w:rPr>
        <w:t xml:space="preserve"> EK. Cieľom týchto </w:t>
      </w:r>
      <w:r w:rsidR="00BD5FD5">
        <w:rPr>
          <w:rFonts w:asciiTheme="majorHAnsi" w:hAnsiTheme="majorHAnsi"/>
          <w:szCs w:val="22"/>
        </w:rPr>
        <w:t>s</w:t>
      </w:r>
      <w:r w:rsidRPr="00A11FE0">
        <w:rPr>
          <w:rFonts w:asciiTheme="majorHAnsi" w:hAnsiTheme="majorHAnsi"/>
          <w:szCs w:val="22"/>
        </w:rPr>
        <w:t xml:space="preserve">tretnutí je zodpovedať na otvorené problematiky zamerané najmä na oblasť územného rozvoja, tematickej </w:t>
      </w:r>
      <w:r w:rsidR="00BD5FD5">
        <w:rPr>
          <w:rFonts w:asciiTheme="majorHAnsi" w:hAnsiTheme="majorHAnsi"/>
          <w:szCs w:val="22"/>
        </w:rPr>
        <w:t>k</w:t>
      </w:r>
      <w:r w:rsidRPr="00A11FE0">
        <w:rPr>
          <w:rFonts w:asciiTheme="majorHAnsi" w:hAnsiTheme="majorHAnsi"/>
          <w:szCs w:val="22"/>
        </w:rPr>
        <w:t xml:space="preserve">oncentrácie, uplatňovania integrovaných prístupov, </w:t>
      </w:r>
      <w:r w:rsidR="00BD5FD5">
        <w:rPr>
          <w:rFonts w:asciiTheme="majorHAnsi" w:hAnsiTheme="majorHAnsi"/>
          <w:szCs w:val="22"/>
        </w:rPr>
        <w:t>k</w:t>
      </w:r>
      <w:r w:rsidRPr="00A11FE0">
        <w:rPr>
          <w:rFonts w:asciiTheme="majorHAnsi" w:hAnsiTheme="majorHAnsi"/>
          <w:szCs w:val="22"/>
        </w:rPr>
        <w:t xml:space="preserve">oordinácie medzi hlavnými </w:t>
      </w:r>
      <w:r w:rsidR="007E72F2">
        <w:rPr>
          <w:rFonts w:asciiTheme="majorHAnsi" w:hAnsiTheme="majorHAnsi"/>
          <w:szCs w:val="22"/>
        </w:rPr>
        <w:t>programami</w:t>
      </w:r>
      <w:r w:rsidR="007E72F2" w:rsidRPr="00A11FE0">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 xml:space="preserve"> ostatnými nástrojmi podpory, prepojenia </w:t>
      </w:r>
      <w:r w:rsidR="00BD5FD5">
        <w:rPr>
          <w:rFonts w:asciiTheme="majorHAnsi" w:hAnsiTheme="majorHAnsi"/>
          <w:szCs w:val="22"/>
        </w:rPr>
        <w:t>ak</w:t>
      </w:r>
      <w:r w:rsidRPr="00A11FE0">
        <w:rPr>
          <w:rFonts w:asciiTheme="majorHAnsi" w:hAnsiTheme="majorHAnsi"/>
          <w:szCs w:val="22"/>
        </w:rPr>
        <w:t xml:space="preserve">tivít jednotlivých </w:t>
      </w:r>
      <w:r w:rsidR="007E72F2">
        <w:rPr>
          <w:rFonts w:asciiTheme="majorHAnsi" w:hAnsiTheme="majorHAnsi"/>
          <w:szCs w:val="22"/>
        </w:rPr>
        <w:t>programov</w:t>
      </w:r>
      <w:r w:rsidR="007E72F2"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 opatreniami na zmenu </w:t>
      </w:r>
      <w:r w:rsidR="00BD5FD5">
        <w:rPr>
          <w:rFonts w:asciiTheme="majorHAnsi" w:hAnsiTheme="majorHAnsi"/>
          <w:szCs w:val="22"/>
        </w:rPr>
        <w:t>k</w:t>
      </w:r>
      <w:r w:rsidRPr="00A11FE0">
        <w:rPr>
          <w:rFonts w:asciiTheme="majorHAnsi" w:hAnsiTheme="majorHAnsi"/>
          <w:szCs w:val="22"/>
        </w:rPr>
        <w:t xml:space="preserve">límy </w:t>
      </w:r>
      <w:r w:rsidR="00BD5FD5">
        <w:rPr>
          <w:rFonts w:asciiTheme="majorHAnsi" w:hAnsiTheme="majorHAnsi"/>
          <w:szCs w:val="22"/>
        </w:rPr>
        <w:t>a</w:t>
      </w:r>
      <w:r w:rsidR="00831BAA">
        <w:rPr>
          <w:rFonts w:asciiTheme="majorHAnsi" w:hAnsiTheme="majorHAnsi"/>
          <w:szCs w:val="22"/>
        </w:rPr>
        <w:t> </w:t>
      </w:r>
      <w:r w:rsidRPr="00A11FE0">
        <w:rPr>
          <w:rFonts w:asciiTheme="majorHAnsi" w:hAnsiTheme="majorHAnsi"/>
          <w:szCs w:val="22"/>
        </w:rPr>
        <w:t xml:space="preserve">nastavenia mechanizmu implementácie výkonnostného rámca. </w:t>
      </w:r>
      <w:r w:rsidR="00BD5FD5">
        <w:rPr>
          <w:rFonts w:asciiTheme="majorHAnsi" w:hAnsiTheme="majorHAnsi"/>
          <w:szCs w:val="22"/>
        </w:rPr>
        <w:t>S</w:t>
      </w:r>
      <w:r w:rsidRPr="00A11FE0">
        <w:rPr>
          <w:rFonts w:asciiTheme="majorHAnsi" w:hAnsiTheme="majorHAnsi"/>
          <w:szCs w:val="22"/>
        </w:rPr>
        <w:t xml:space="preserve">úbežne je zo </w:t>
      </w:r>
      <w:r w:rsidR="00BD5FD5">
        <w:rPr>
          <w:rFonts w:asciiTheme="majorHAnsi" w:hAnsiTheme="majorHAnsi"/>
          <w:szCs w:val="22"/>
        </w:rPr>
        <w:t>s</w:t>
      </w:r>
      <w:r w:rsidRPr="00A11FE0">
        <w:rPr>
          <w:rFonts w:asciiTheme="majorHAnsi" w:hAnsiTheme="majorHAnsi"/>
          <w:szCs w:val="22"/>
        </w:rPr>
        <w:t xml:space="preserve">trany CKO zabezpečovaná </w:t>
      </w:r>
      <w:r w:rsidR="00BD5FD5">
        <w:rPr>
          <w:rFonts w:asciiTheme="majorHAnsi" w:hAnsiTheme="majorHAnsi"/>
          <w:szCs w:val="22"/>
        </w:rPr>
        <w:t>k</w:t>
      </w:r>
      <w:r w:rsidRPr="00A11FE0">
        <w:rPr>
          <w:rFonts w:asciiTheme="majorHAnsi" w:hAnsiTheme="majorHAnsi"/>
          <w:szCs w:val="22"/>
        </w:rPr>
        <w:t xml:space="preserve">oordinácia plnenia </w:t>
      </w:r>
      <w:r w:rsidR="00BD5FD5">
        <w:rPr>
          <w:rFonts w:asciiTheme="majorHAnsi" w:hAnsiTheme="majorHAnsi"/>
          <w:szCs w:val="22"/>
        </w:rPr>
        <w:t>a</w:t>
      </w:r>
      <w:r w:rsidR="00831BAA">
        <w:rPr>
          <w:rFonts w:asciiTheme="majorHAnsi" w:hAnsiTheme="majorHAnsi"/>
          <w:szCs w:val="22"/>
        </w:rPr>
        <w:t> </w:t>
      </w:r>
      <w:r w:rsidRPr="00A11FE0">
        <w:rPr>
          <w:rFonts w:asciiTheme="majorHAnsi" w:hAnsiTheme="majorHAnsi"/>
          <w:szCs w:val="22"/>
        </w:rPr>
        <w:t>vyhodnocovania</w:t>
      </w:r>
      <w:r w:rsidR="00831BAA">
        <w:rPr>
          <w:rFonts w:asciiTheme="majorHAnsi" w:hAnsiTheme="majorHAnsi"/>
          <w:szCs w:val="22"/>
        </w:rPr>
        <w:t xml:space="preserve"> </w:t>
      </w:r>
      <w:r w:rsidRPr="00A11FE0">
        <w:rPr>
          <w:rFonts w:asciiTheme="majorHAnsi" w:hAnsiTheme="majorHAnsi"/>
          <w:szCs w:val="22"/>
        </w:rPr>
        <w:t xml:space="preserve">plnenia ex </w:t>
      </w:r>
      <w:r w:rsidR="00BD5FD5">
        <w:rPr>
          <w:rFonts w:asciiTheme="majorHAnsi" w:hAnsiTheme="majorHAnsi"/>
          <w:szCs w:val="22"/>
        </w:rPr>
        <w:t>a</w:t>
      </w:r>
      <w:r w:rsidRPr="00A11FE0">
        <w:rPr>
          <w:rFonts w:asciiTheme="majorHAnsi" w:hAnsiTheme="majorHAnsi"/>
          <w:szCs w:val="22"/>
        </w:rPr>
        <w:t xml:space="preserve">nte </w:t>
      </w:r>
      <w:r w:rsidR="00BD5FD5">
        <w:rPr>
          <w:rFonts w:asciiTheme="majorHAnsi" w:hAnsiTheme="majorHAnsi"/>
          <w:szCs w:val="22"/>
        </w:rPr>
        <w:t>k</w:t>
      </w:r>
      <w:r w:rsidRPr="00A11FE0">
        <w:rPr>
          <w:rFonts w:asciiTheme="majorHAnsi" w:hAnsiTheme="majorHAnsi"/>
          <w:szCs w:val="22"/>
        </w:rPr>
        <w:t xml:space="preserve">ondicionalít v podmienkach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to v</w:t>
      </w:r>
      <w:r w:rsidR="00FB3209">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polupráci </w:t>
      </w:r>
      <w:r w:rsidR="00BD5FD5">
        <w:rPr>
          <w:rFonts w:asciiTheme="majorHAnsi" w:hAnsiTheme="majorHAnsi"/>
          <w:szCs w:val="22"/>
        </w:rPr>
        <w:t>s</w:t>
      </w:r>
      <w:r w:rsidR="00831BAA">
        <w:rPr>
          <w:rFonts w:asciiTheme="majorHAnsi" w:hAnsiTheme="majorHAnsi"/>
          <w:szCs w:val="22"/>
        </w:rPr>
        <w:t> </w:t>
      </w:r>
      <w:r w:rsidRPr="00A11FE0">
        <w:rPr>
          <w:rFonts w:asciiTheme="majorHAnsi" w:hAnsiTheme="majorHAnsi"/>
          <w:szCs w:val="22"/>
        </w:rPr>
        <w:t>ich</w:t>
      </w:r>
      <w:r w:rsidR="00831BAA">
        <w:rPr>
          <w:rFonts w:asciiTheme="majorHAnsi" w:hAnsiTheme="majorHAnsi"/>
          <w:szCs w:val="22"/>
        </w:rPr>
        <w:t xml:space="preserve"> </w:t>
      </w:r>
      <w:r w:rsidRPr="00A11FE0">
        <w:rPr>
          <w:rFonts w:asciiTheme="majorHAnsi" w:hAnsiTheme="majorHAnsi"/>
          <w:szCs w:val="22"/>
        </w:rPr>
        <w:t xml:space="preserve">gestormi. Princíp partnerstva je zabezpečený </w:t>
      </w:r>
      <w:r w:rsidR="00BD5FD5">
        <w:rPr>
          <w:rFonts w:asciiTheme="majorHAnsi" w:hAnsiTheme="majorHAnsi"/>
          <w:szCs w:val="22"/>
        </w:rPr>
        <w:t>a</w:t>
      </w:r>
      <w:r w:rsidRPr="00A11FE0">
        <w:rPr>
          <w:rFonts w:asciiTheme="majorHAnsi" w:hAnsiTheme="majorHAnsi"/>
          <w:szCs w:val="22"/>
        </w:rPr>
        <w:t xml:space="preserve">j prostredníctvom pripomienkovania návrhu PD </w:t>
      </w:r>
      <w:r w:rsidR="00BD5FD5">
        <w:rPr>
          <w:rFonts w:asciiTheme="majorHAnsi" w:hAnsiTheme="majorHAnsi"/>
          <w:szCs w:val="22"/>
        </w:rPr>
        <w:t>S</w:t>
      </w:r>
      <w:r w:rsidRPr="00A11FE0">
        <w:rPr>
          <w:rFonts w:asciiTheme="majorHAnsi" w:hAnsiTheme="majorHAnsi"/>
          <w:szCs w:val="22"/>
        </w:rPr>
        <w:t xml:space="preserve">R širokou verejnosťou v procese </w:t>
      </w:r>
      <w:r w:rsidRPr="00A11FE0">
        <w:rPr>
          <w:rFonts w:asciiTheme="majorHAnsi" w:hAnsiTheme="majorHAnsi"/>
        </w:rPr>
        <w:t>posudzovania vplyvov tohto dokumentu na životné prostredie (</w:t>
      </w:r>
      <w:r w:rsidR="00BD5FD5">
        <w:rPr>
          <w:rFonts w:asciiTheme="majorHAnsi" w:hAnsiTheme="majorHAnsi"/>
        </w:rPr>
        <w:t>S</w:t>
      </w:r>
      <w:r w:rsidRPr="00A11FE0">
        <w:rPr>
          <w:rFonts w:asciiTheme="majorHAnsi" w:hAnsiTheme="majorHAnsi"/>
        </w:rPr>
        <w:t>EA)</w:t>
      </w:r>
      <w:r w:rsidR="0094304E">
        <w:rPr>
          <w:rStyle w:val="Odkaznapoznmkupodiarou"/>
          <w:rFonts w:asciiTheme="majorHAnsi" w:hAnsiTheme="majorHAnsi"/>
        </w:rPr>
        <w:footnoteReference w:id="315"/>
      </w:r>
      <w:r w:rsidRPr="00A11FE0">
        <w:rPr>
          <w:rFonts w:asciiTheme="majorHAnsi" w:hAnsiTheme="majorHAnsi"/>
        </w:rPr>
        <w:t>.</w:t>
      </w:r>
    </w:p>
    <w:p w:rsidR="00E01A37" w:rsidRPr="00A11FE0" w:rsidRDefault="00E01A37" w:rsidP="00CC3354">
      <w:pPr>
        <w:rPr>
          <w:rFonts w:asciiTheme="majorHAnsi" w:hAnsiTheme="majorHAnsi"/>
          <w:szCs w:val="22"/>
        </w:rPr>
      </w:pPr>
      <w:r w:rsidRPr="00A11FE0">
        <w:rPr>
          <w:rFonts w:asciiTheme="majorHAnsi" w:hAnsiTheme="majorHAnsi"/>
          <w:szCs w:val="22"/>
        </w:rPr>
        <w:t xml:space="preserve">Za účelom zabezpečenia účasti širokého </w:t>
      </w:r>
      <w:r w:rsidR="00BD5FD5">
        <w:rPr>
          <w:rFonts w:asciiTheme="majorHAnsi" w:hAnsiTheme="majorHAnsi"/>
          <w:szCs w:val="22"/>
        </w:rPr>
        <w:t>s</w:t>
      </w:r>
      <w:r w:rsidRPr="00A11FE0">
        <w:rPr>
          <w:rFonts w:asciiTheme="majorHAnsi" w:hAnsiTheme="majorHAnsi"/>
          <w:szCs w:val="22"/>
        </w:rPr>
        <w:t xml:space="preserve">pektra </w:t>
      </w:r>
      <w:r w:rsidR="00BD5FD5">
        <w:rPr>
          <w:rFonts w:asciiTheme="majorHAnsi" w:hAnsiTheme="majorHAnsi"/>
          <w:szCs w:val="22"/>
        </w:rPr>
        <w:t>s</w:t>
      </w:r>
      <w:r w:rsidRPr="00A11FE0">
        <w:rPr>
          <w:rFonts w:asciiTheme="majorHAnsi" w:hAnsiTheme="majorHAnsi"/>
          <w:szCs w:val="22"/>
        </w:rPr>
        <w:t xml:space="preserve">ociálno-ekonomických partnerov na úrovni </w:t>
      </w:r>
      <w:r w:rsidR="00BD5FD5">
        <w:rPr>
          <w:rFonts w:asciiTheme="majorHAnsi" w:hAnsiTheme="majorHAnsi"/>
          <w:szCs w:val="22"/>
        </w:rPr>
        <w:t>S</w:t>
      </w:r>
      <w:r w:rsidRPr="00A11FE0">
        <w:rPr>
          <w:rFonts w:asciiTheme="majorHAnsi" w:hAnsiTheme="majorHAnsi"/>
          <w:szCs w:val="22"/>
        </w:rPr>
        <w:t xml:space="preserve">R, CKO doteraz </w:t>
      </w:r>
      <w:r w:rsidR="004F0C7B" w:rsidRPr="00A11FE0">
        <w:rPr>
          <w:rFonts w:asciiTheme="majorHAnsi" w:hAnsiTheme="majorHAnsi"/>
          <w:szCs w:val="22"/>
        </w:rPr>
        <w:t>posky</w:t>
      </w:r>
      <w:r w:rsidR="004F0C7B">
        <w:rPr>
          <w:rFonts w:asciiTheme="majorHAnsi" w:hAnsiTheme="majorHAnsi"/>
          <w:szCs w:val="22"/>
        </w:rPr>
        <w:t>tol</w:t>
      </w:r>
      <w:r w:rsidR="004F0C7B" w:rsidRPr="00A11FE0">
        <w:rPr>
          <w:rFonts w:asciiTheme="majorHAnsi" w:hAnsiTheme="majorHAnsi"/>
          <w:szCs w:val="22"/>
        </w:rPr>
        <w:t xml:space="preserve"> </w:t>
      </w:r>
      <w:r w:rsidRPr="00A11FE0">
        <w:rPr>
          <w:rFonts w:asciiTheme="majorHAnsi" w:hAnsiTheme="majorHAnsi"/>
          <w:szCs w:val="22"/>
        </w:rPr>
        <w:t>v</w:t>
      </w:r>
      <w:r w:rsidR="00A10CE3">
        <w:rPr>
          <w:rFonts w:asciiTheme="majorHAnsi" w:hAnsiTheme="majorHAnsi"/>
          <w:szCs w:val="22"/>
        </w:rPr>
        <w:t> </w:t>
      </w:r>
      <w:r w:rsidRPr="00A11FE0">
        <w:rPr>
          <w:rFonts w:asciiTheme="majorHAnsi" w:hAnsiTheme="majorHAnsi"/>
          <w:szCs w:val="22"/>
        </w:rPr>
        <w:t>rámci</w:t>
      </w:r>
      <w:r w:rsidR="00A10CE3">
        <w:rPr>
          <w:rFonts w:asciiTheme="majorHAnsi" w:hAnsiTheme="majorHAnsi"/>
          <w:szCs w:val="22"/>
        </w:rPr>
        <w:t xml:space="preserve"> </w:t>
      </w:r>
      <w:r w:rsidRPr="00A11FE0">
        <w:rPr>
          <w:rFonts w:asciiTheme="majorHAnsi" w:hAnsiTheme="majorHAnsi"/>
          <w:szCs w:val="22"/>
        </w:rPr>
        <w:t xml:space="preserve">zasadnutí pracovnej </w:t>
      </w:r>
      <w:r w:rsidR="00BD5FD5">
        <w:rPr>
          <w:rFonts w:asciiTheme="majorHAnsi" w:hAnsiTheme="majorHAnsi"/>
          <w:szCs w:val="22"/>
        </w:rPr>
        <w:t>s</w:t>
      </w:r>
      <w:r w:rsidRPr="00A11FE0">
        <w:rPr>
          <w:rFonts w:asciiTheme="majorHAnsi" w:hAnsiTheme="majorHAnsi"/>
          <w:szCs w:val="22"/>
        </w:rPr>
        <w:t xml:space="preserve">kupiny Partnerstvo pre politiku </w:t>
      </w:r>
      <w:r w:rsidR="00BD5FD5">
        <w:rPr>
          <w:rFonts w:asciiTheme="majorHAnsi" w:hAnsiTheme="majorHAnsi"/>
          <w:szCs w:val="22"/>
        </w:rPr>
        <w:t>s</w:t>
      </w:r>
      <w:r w:rsidRPr="00A11FE0">
        <w:rPr>
          <w:rFonts w:asciiTheme="majorHAnsi" w:hAnsiTheme="majorHAnsi"/>
          <w:szCs w:val="22"/>
        </w:rPr>
        <w:t>údržnosti možnosť refundácie cestovných nákladov pre partnerov z</w:t>
      </w:r>
      <w:r w:rsidR="00FB3209">
        <w:rPr>
          <w:rFonts w:asciiTheme="majorHAnsi" w:hAnsiTheme="majorHAnsi"/>
          <w:szCs w:val="22"/>
        </w:rPr>
        <w:t> </w:t>
      </w:r>
      <w:r w:rsidRPr="00A11FE0">
        <w:rPr>
          <w:rFonts w:asciiTheme="majorHAnsi" w:hAnsiTheme="majorHAnsi"/>
          <w:szCs w:val="22"/>
        </w:rPr>
        <w:t>prostredia</w:t>
      </w:r>
      <w:r w:rsidR="00FB3209">
        <w:rPr>
          <w:rFonts w:asciiTheme="majorHAnsi" w:hAnsiTheme="majorHAnsi"/>
          <w:szCs w:val="22"/>
        </w:rPr>
        <w:t xml:space="preserve"> </w:t>
      </w:r>
      <w:r w:rsidRPr="00A11FE0">
        <w:rPr>
          <w:rFonts w:asciiTheme="majorHAnsi" w:hAnsiTheme="majorHAnsi"/>
          <w:szCs w:val="22"/>
        </w:rPr>
        <w:t xml:space="preserve">občianskej </w:t>
      </w:r>
      <w:r w:rsidR="00BD5FD5">
        <w:rPr>
          <w:rFonts w:asciiTheme="majorHAnsi" w:hAnsiTheme="majorHAnsi"/>
          <w:szCs w:val="22"/>
        </w:rPr>
        <w:t>s</w:t>
      </w:r>
      <w:r w:rsidRPr="00A11FE0">
        <w:rPr>
          <w:rFonts w:asciiTheme="majorHAnsi" w:hAnsiTheme="majorHAnsi"/>
          <w:szCs w:val="22"/>
        </w:rPr>
        <w:t xml:space="preserve">poločnosti, záujmových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profesijných</w:t>
      </w:r>
      <w:r w:rsidR="00FB3209">
        <w:rPr>
          <w:rFonts w:asciiTheme="majorHAnsi" w:hAnsiTheme="majorHAnsi"/>
          <w:szCs w:val="22"/>
        </w:rPr>
        <w:t xml:space="preserve"> </w:t>
      </w:r>
      <w:r w:rsidRPr="00A11FE0">
        <w:rPr>
          <w:rFonts w:asciiTheme="majorHAnsi" w:hAnsiTheme="majorHAnsi"/>
          <w:szCs w:val="22"/>
        </w:rPr>
        <w:t xml:space="preserve">združení pôsobiacich mimo miesta zasadnutia uvedenej pracovnej </w:t>
      </w:r>
      <w:r w:rsidR="00BD5FD5">
        <w:rPr>
          <w:rFonts w:asciiTheme="majorHAnsi" w:hAnsiTheme="majorHAnsi"/>
          <w:szCs w:val="22"/>
        </w:rPr>
        <w:t>s</w:t>
      </w:r>
      <w:r w:rsidRPr="00A11FE0">
        <w:rPr>
          <w:rFonts w:asciiTheme="majorHAnsi" w:hAnsiTheme="majorHAnsi"/>
          <w:szCs w:val="22"/>
        </w:rPr>
        <w:t>kupiny.</w:t>
      </w:r>
    </w:p>
    <w:p w:rsidR="00E01A37" w:rsidRPr="008E676E" w:rsidRDefault="00E01A37" w:rsidP="00E01A37">
      <w:pPr>
        <w:spacing w:before="0" w:after="0"/>
        <w:rPr>
          <w:rFonts w:asciiTheme="majorHAnsi" w:hAnsiTheme="majorHAnsi"/>
          <w:szCs w:val="22"/>
        </w:rPr>
      </w:pPr>
      <w:r w:rsidRPr="00A11FE0">
        <w:rPr>
          <w:rFonts w:asciiTheme="majorHAnsi" w:hAnsiTheme="majorHAnsi"/>
          <w:szCs w:val="22"/>
        </w:rPr>
        <w:t xml:space="preserve">V oblasti informovanosti </w:t>
      </w:r>
      <w:r w:rsidR="00BD5FD5">
        <w:rPr>
          <w:rFonts w:asciiTheme="majorHAnsi" w:hAnsiTheme="majorHAnsi"/>
          <w:szCs w:val="22"/>
        </w:rPr>
        <w:t>a</w:t>
      </w:r>
      <w:r w:rsidRPr="00A11FE0">
        <w:rPr>
          <w:rFonts w:asciiTheme="majorHAnsi" w:hAnsiTheme="majorHAnsi"/>
          <w:szCs w:val="22"/>
        </w:rPr>
        <w:t> publicity zabezpečuje CKO informovanosť širokej verejnosti o</w:t>
      </w:r>
      <w:r w:rsidR="00FB3209">
        <w:rPr>
          <w:rFonts w:asciiTheme="majorHAnsi" w:hAnsiTheme="majorHAnsi"/>
          <w:szCs w:val="22"/>
        </w:rPr>
        <w:t> </w:t>
      </w:r>
      <w:r w:rsidRPr="00A11FE0">
        <w:rPr>
          <w:rFonts w:asciiTheme="majorHAnsi" w:hAnsiTheme="majorHAnsi"/>
          <w:szCs w:val="22"/>
        </w:rPr>
        <w:t>príprave</w:t>
      </w:r>
      <w:r w:rsidR="00FB3209">
        <w:rPr>
          <w:rFonts w:asciiTheme="majorHAnsi" w:hAnsiTheme="majorHAnsi"/>
          <w:szCs w:val="22"/>
        </w:rPr>
        <w:t xml:space="preserve"> </w:t>
      </w:r>
      <w:r w:rsidRPr="00A11FE0">
        <w:rPr>
          <w:rFonts w:asciiTheme="majorHAnsi" w:hAnsiTheme="majorHAnsi"/>
          <w:szCs w:val="22"/>
        </w:rPr>
        <w:t xml:space="preserve">programového obdobia 2014 – 2020 prostredníctvom </w:t>
      </w:r>
      <w:r w:rsidR="00BD5FD5">
        <w:rPr>
          <w:rFonts w:asciiTheme="majorHAnsi" w:hAnsiTheme="majorHAnsi"/>
          <w:szCs w:val="22"/>
        </w:rPr>
        <w:t>s</w:t>
      </w:r>
      <w:r w:rsidRPr="00A11FE0">
        <w:rPr>
          <w:rFonts w:asciiTheme="majorHAnsi" w:hAnsiTheme="majorHAnsi"/>
          <w:szCs w:val="22"/>
        </w:rPr>
        <w:t xml:space="preserve">vojho webového </w:t>
      </w:r>
      <w:r w:rsidR="00BD5FD5">
        <w:rPr>
          <w:rFonts w:asciiTheme="majorHAnsi" w:hAnsiTheme="majorHAnsi"/>
          <w:szCs w:val="22"/>
        </w:rPr>
        <w:t>s</w:t>
      </w:r>
      <w:r w:rsidRPr="00A11FE0">
        <w:rPr>
          <w:rFonts w:asciiTheme="majorHAnsi" w:hAnsiTheme="majorHAnsi"/>
          <w:szCs w:val="22"/>
        </w:rPr>
        <w:t xml:space="preserve">ídla </w:t>
      </w:r>
      <w:hyperlink r:id="rId39" w:history="1">
        <w:r w:rsidR="00C45556" w:rsidRPr="003030E7">
          <w:rPr>
            <w:rStyle w:val="Hypertextovprepojenie"/>
            <w:rFonts w:asciiTheme="majorHAnsi" w:hAnsiTheme="majorHAnsi"/>
            <w:szCs w:val="22"/>
          </w:rPr>
          <w:t>http://www.nsrr.sk</w:t>
        </w:r>
      </w:hyperlink>
      <w:r w:rsidRPr="00A11FE0">
        <w:rPr>
          <w:rFonts w:asciiTheme="majorHAnsi" w:hAnsiTheme="majorHAnsi"/>
          <w:szCs w:val="22"/>
        </w:rPr>
        <w:t xml:space="preserve">, Informačného centra „Štrukturálne fondy pre </w:t>
      </w:r>
      <w:r w:rsidR="00BD5FD5">
        <w:rPr>
          <w:rFonts w:asciiTheme="majorHAnsi" w:hAnsiTheme="majorHAnsi"/>
          <w:szCs w:val="22"/>
        </w:rPr>
        <w:t>S</w:t>
      </w:r>
      <w:r w:rsidRPr="00A11FE0">
        <w:rPr>
          <w:rFonts w:asciiTheme="majorHAnsi" w:hAnsiTheme="majorHAnsi"/>
          <w:szCs w:val="22"/>
        </w:rPr>
        <w:t>lovensko“</w:t>
      </w:r>
      <w:r w:rsidR="004F0C7B">
        <w:rPr>
          <w:rFonts w:asciiTheme="majorHAnsi" w:hAnsiTheme="majorHAnsi"/>
          <w:szCs w:val="22"/>
        </w:rPr>
        <w:t>,</w:t>
      </w:r>
      <w:r w:rsidRPr="00A11FE0">
        <w:rPr>
          <w:rFonts w:asciiTheme="majorHAnsi" w:hAnsiTheme="majorHAnsi"/>
          <w:szCs w:val="22"/>
        </w:rPr>
        <w:t xml:space="preserve"> zasielaním newslettrov pre registrovaných záujemcov,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 xml:space="preserve">j prostredníctvom pravidelných publikácií v časopise </w:t>
      </w:r>
      <w:r w:rsidR="00992762">
        <w:rPr>
          <w:rFonts w:asciiTheme="majorHAnsi" w:hAnsiTheme="majorHAnsi"/>
        </w:rPr>
        <w:t>EUR</w:t>
      </w:r>
      <w:r w:rsidRPr="00A11FE0">
        <w:rPr>
          <w:rFonts w:asciiTheme="majorHAnsi" w:hAnsiTheme="majorHAnsi"/>
        </w:rPr>
        <w:t>OKOMPAS</w:t>
      </w:r>
      <w:r w:rsidRPr="00A11FE0">
        <w:rPr>
          <w:rFonts w:asciiTheme="majorHAnsi" w:hAnsiTheme="majorHAnsi"/>
          <w:szCs w:val="22"/>
        </w:rPr>
        <w:t xml:space="preserve">. </w:t>
      </w:r>
      <w:r w:rsidR="00BD5FD5">
        <w:rPr>
          <w:rFonts w:asciiTheme="majorHAnsi" w:hAnsiTheme="majorHAnsi"/>
          <w:szCs w:val="22"/>
        </w:rPr>
        <w:t>K</w:t>
      </w:r>
      <w:r w:rsidRPr="00A11FE0">
        <w:rPr>
          <w:rFonts w:asciiTheme="majorHAnsi" w:hAnsiTheme="majorHAnsi"/>
          <w:szCs w:val="22"/>
        </w:rPr>
        <w:t xml:space="preserve">omunikácia </w:t>
      </w:r>
      <w:r w:rsidR="00BD5FD5">
        <w:rPr>
          <w:rFonts w:asciiTheme="majorHAnsi" w:hAnsiTheme="majorHAnsi"/>
          <w:szCs w:val="22"/>
        </w:rPr>
        <w:t>s</w:t>
      </w:r>
      <w:r w:rsidRPr="00A11FE0">
        <w:rPr>
          <w:rFonts w:asciiTheme="majorHAnsi" w:hAnsiTheme="majorHAnsi"/>
          <w:szCs w:val="22"/>
        </w:rPr>
        <w:t xml:space="preserve">o širokou verejnosťou prebieha </w:t>
      </w:r>
      <w:r w:rsidR="00BD5FD5">
        <w:rPr>
          <w:rFonts w:asciiTheme="majorHAnsi" w:hAnsiTheme="majorHAnsi"/>
          <w:szCs w:val="22"/>
        </w:rPr>
        <w:t>a</w:t>
      </w:r>
      <w:r w:rsidRPr="00A11FE0">
        <w:rPr>
          <w:rFonts w:asciiTheme="majorHAnsi" w:hAnsiTheme="majorHAnsi"/>
          <w:szCs w:val="22"/>
        </w:rPr>
        <w:t xml:space="preserve">j prostredníctvom e-mailovej </w:t>
      </w:r>
      <w:r w:rsidR="00BD5FD5">
        <w:rPr>
          <w:rFonts w:asciiTheme="majorHAnsi" w:hAnsiTheme="majorHAnsi"/>
          <w:szCs w:val="22"/>
        </w:rPr>
        <w:t>a</w:t>
      </w:r>
      <w:r w:rsidRPr="00A11FE0">
        <w:rPr>
          <w:rFonts w:asciiTheme="majorHAnsi" w:hAnsiTheme="majorHAnsi"/>
          <w:szCs w:val="22"/>
        </w:rPr>
        <w:t xml:space="preserve">dresy </w:t>
      </w:r>
      <w:hyperlink r:id="rId40" w:history="1">
        <w:r w:rsidR="00C45556" w:rsidRPr="003030E7">
          <w:rPr>
            <w:rStyle w:val="Hypertextovprepojenie"/>
            <w:rFonts w:asciiTheme="majorHAnsi" w:hAnsiTheme="majorHAnsi"/>
            <w:szCs w:val="22"/>
          </w:rPr>
          <w:t>cko@vlada.gov.sk</w:t>
        </w:r>
      </w:hyperlink>
      <w:r w:rsidRPr="00A11FE0">
        <w:rPr>
          <w:rFonts w:asciiTheme="majorHAnsi" w:hAnsiTheme="majorHAnsi"/>
          <w:szCs w:val="22"/>
        </w:rPr>
        <w:t xml:space="preserve">. Mobilizácia relevantných partnerov </w:t>
      </w:r>
      <w:r w:rsidR="00BD5FD5">
        <w:rPr>
          <w:rFonts w:asciiTheme="majorHAnsi" w:hAnsiTheme="majorHAnsi"/>
          <w:szCs w:val="22"/>
        </w:rPr>
        <w:t>s</w:t>
      </w:r>
      <w:r w:rsidRPr="00A11FE0">
        <w:rPr>
          <w:rFonts w:asciiTheme="majorHAnsi" w:hAnsiTheme="majorHAnsi"/>
          <w:szCs w:val="22"/>
        </w:rPr>
        <w:t xml:space="preserve">a zabezpečuje </w:t>
      </w:r>
      <w:r w:rsidR="00BD5FD5">
        <w:rPr>
          <w:rFonts w:asciiTheme="majorHAnsi" w:hAnsiTheme="majorHAnsi"/>
          <w:szCs w:val="22"/>
        </w:rPr>
        <w:t>a</w:t>
      </w:r>
      <w:r w:rsidRPr="00A11FE0">
        <w:rPr>
          <w:rFonts w:asciiTheme="majorHAnsi" w:hAnsiTheme="majorHAnsi"/>
          <w:szCs w:val="22"/>
        </w:rPr>
        <w:t xml:space="preserve">j organizovaním </w:t>
      </w:r>
      <w:r w:rsidR="00BD5FD5">
        <w:rPr>
          <w:rFonts w:asciiTheme="majorHAnsi" w:hAnsiTheme="majorHAnsi"/>
          <w:szCs w:val="22"/>
        </w:rPr>
        <w:t>k</w:t>
      </w:r>
      <w:r w:rsidRPr="00A11FE0">
        <w:rPr>
          <w:rFonts w:asciiTheme="majorHAnsi" w:hAnsiTheme="majorHAnsi"/>
          <w:szCs w:val="22"/>
        </w:rPr>
        <w:t xml:space="preserve">onferencií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školení </w:t>
      </w:r>
      <w:r w:rsidR="00BD5FD5">
        <w:rPr>
          <w:rFonts w:asciiTheme="majorHAnsi" w:hAnsiTheme="majorHAnsi"/>
          <w:szCs w:val="22"/>
        </w:rPr>
        <w:t>k</w:t>
      </w:r>
      <w:r w:rsidRPr="00A11FE0">
        <w:rPr>
          <w:rFonts w:asciiTheme="majorHAnsi" w:hAnsiTheme="majorHAnsi"/>
          <w:szCs w:val="22"/>
        </w:rPr>
        <w:t xml:space="preserve"> problematike využívania fondov EÚ. CKO zároveň pravidelne predkladá na rokovanie vlády </w:t>
      </w:r>
      <w:r w:rsidR="00BD5FD5">
        <w:rPr>
          <w:rFonts w:asciiTheme="majorHAnsi" w:hAnsiTheme="majorHAnsi"/>
          <w:szCs w:val="22"/>
        </w:rPr>
        <w:t>S</w:t>
      </w:r>
      <w:r w:rsidRPr="00A11FE0">
        <w:rPr>
          <w:rFonts w:asciiTheme="majorHAnsi" w:hAnsiTheme="majorHAnsi"/>
          <w:szCs w:val="22"/>
        </w:rPr>
        <w:t>R informáciu o</w:t>
      </w:r>
      <w:r w:rsidR="00FB3209">
        <w:rPr>
          <w:rFonts w:asciiTheme="majorHAnsi" w:hAnsiTheme="majorHAnsi"/>
          <w:szCs w:val="22"/>
        </w:rPr>
        <w:t> </w:t>
      </w:r>
      <w:r w:rsidRPr="00A11FE0">
        <w:rPr>
          <w:rFonts w:asciiTheme="majorHAnsi" w:hAnsiTheme="majorHAnsi"/>
          <w:szCs w:val="22"/>
        </w:rPr>
        <w:t>negociačnom</w:t>
      </w:r>
      <w:r w:rsidR="00FB3209">
        <w:rPr>
          <w:rFonts w:asciiTheme="majorHAnsi" w:hAnsiTheme="majorHAnsi"/>
          <w:szCs w:val="22"/>
        </w:rPr>
        <w:t xml:space="preserve"> </w:t>
      </w:r>
      <w:r w:rsidRPr="00A11FE0">
        <w:rPr>
          <w:rFonts w:asciiTheme="majorHAnsi" w:hAnsiTheme="majorHAnsi"/>
          <w:szCs w:val="22"/>
        </w:rPr>
        <w:t xml:space="preserve">procese </w:t>
      </w:r>
      <w:r w:rsidR="00BD5FD5">
        <w:rPr>
          <w:rFonts w:asciiTheme="majorHAnsi" w:hAnsiTheme="majorHAnsi"/>
          <w:szCs w:val="22"/>
        </w:rPr>
        <w:t>k</w:t>
      </w:r>
      <w:r w:rsidR="00A10CE3">
        <w:rPr>
          <w:rFonts w:asciiTheme="majorHAnsi" w:hAnsiTheme="majorHAnsi"/>
          <w:szCs w:val="22"/>
        </w:rPr>
        <w:t> </w:t>
      </w:r>
      <w:r w:rsidRPr="00A11FE0">
        <w:rPr>
          <w:rFonts w:asciiTheme="majorHAnsi" w:hAnsiTheme="majorHAnsi"/>
          <w:szCs w:val="22"/>
        </w:rPr>
        <w:t>návrhom</w:t>
      </w:r>
      <w:r w:rsidR="00A10CE3">
        <w:rPr>
          <w:rFonts w:asciiTheme="majorHAnsi" w:hAnsiTheme="majorHAnsi"/>
          <w:szCs w:val="22"/>
        </w:rPr>
        <w:t xml:space="preserve"> </w:t>
      </w:r>
      <w:r w:rsidRPr="00A11FE0">
        <w:rPr>
          <w:rFonts w:asciiTheme="majorHAnsi" w:hAnsiTheme="majorHAnsi"/>
          <w:szCs w:val="22"/>
        </w:rPr>
        <w:t xml:space="preserve">právnych predpisov EÚ pre politiku </w:t>
      </w:r>
      <w:r w:rsidR="00BD5FD5">
        <w:rPr>
          <w:rFonts w:asciiTheme="majorHAnsi" w:hAnsiTheme="majorHAnsi"/>
          <w:szCs w:val="22"/>
        </w:rPr>
        <w:t>s</w:t>
      </w:r>
      <w:r w:rsidRPr="00A11FE0">
        <w:rPr>
          <w:rFonts w:asciiTheme="majorHAnsi" w:hAnsiTheme="majorHAnsi"/>
          <w:szCs w:val="22"/>
        </w:rPr>
        <w:t>údržnosti po roku 2013, vrátane informácie o</w:t>
      </w:r>
      <w:r w:rsidR="00A10CE3">
        <w:rPr>
          <w:rFonts w:asciiTheme="majorHAnsi" w:hAnsiTheme="majorHAnsi"/>
          <w:szCs w:val="22"/>
        </w:rPr>
        <w:t> </w:t>
      </w:r>
      <w:r w:rsidRPr="00A11FE0">
        <w:rPr>
          <w:rFonts w:asciiTheme="majorHAnsi" w:hAnsiTheme="majorHAnsi"/>
          <w:szCs w:val="22"/>
        </w:rPr>
        <w:t>príprave</w:t>
      </w:r>
      <w:r w:rsidR="00A10CE3">
        <w:rPr>
          <w:rFonts w:asciiTheme="majorHAnsi" w:hAnsiTheme="majorHAnsi"/>
          <w:szCs w:val="22"/>
        </w:rPr>
        <w:t xml:space="preserve"> </w:t>
      </w:r>
      <w:r w:rsidRPr="00A11FE0">
        <w:rPr>
          <w:rFonts w:asciiTheme="majorHAnsi" w:hAnsiTheme="majorHAnsi"/>
          <w:szCs w:val="22"/>
        </w:rPr>
        <w:t xml:space="preserve">Partnerskej dohody </w:t>
      </w:r>
      <w:r w:rsidR="00BD5FD5">
        <w:rPr>
          <w:rFonts w:asciiTheme="majorHAnsi" w:hAnsiTheme="majorHAnsi"/>
          <w:szCs w:val="22"/>
        </w:rPr>
        <w:t>S</w:t>
      </w:r>
      <w:r w:rsidRPr="00A11FE0">
        <w:rPr>
          <w:rFonts w:asciiTheme="majorHAnsi" w:hAnsiTheme="majorHAnsi"/>
          <w:szCs w:val="22"/>
        </w:rPr>
        <w:t xml:space="preserve">R na programové obdobie 2014 – 2020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plnení</w:t>
      </w:r>
      <w:r w:rsidR="00FB3209">
        <w:rPr>
          <w:rFonts w:asciiTheme="majorHAnsi" w:hAnsiTheme="majorHAnsi"/>
          <w:szCs w:val="22"/>
        </w:rPr>
        <w:t xml:space="preserve"> </w:t>
      </w:r>
      <w:r w:rsidRPr="00A11FE0">
        <w:rPr>
          <w:rFonts w:asciiTheme="majorHAnsi" w:hAnsiTheme="majorHAnsi"/>
          <w:szCs w:val="22"/>
        </w:rPr>
        <w:t xml:space="preserve">ex </w:t>
      </w:r>
      <w:r w:rsidR="00BD5FD5">
        <w:rPr>
          <w:rFonts w:asciiTheme="majorHAnsi" w:hAnsiTheme="majorHAnsi"/>
          <w:szCs w:val="22"/>
        </w:rPr>
        <w:t>a</w:t>
      </w:r>
      <w:r w:rsidRPr="00A11FE0">
        <w:rPr>
          <w:rFonts w:asciiTheme="majorHAnsi" w:hAnsiTheme="majorHAnsi"/>
          <w:szCs w:val="22"/>
        </w:rPr>
        <w:t xml:space="preserve">nte </w:t>
      </w:r>
      <w:r w:rsidR="00BD5FD5">
        <w:rPr>
          <w:rFonts w:asciiTheme="majorHAnsi" w:hAnsiTheme="majorHAnsi"/>
          <w:szCs w:val="22"/>
        </w:rPr>
        <w:t>k</w:t>
      </w:r>
      <w:r w:rsidRPr="00A11FE0">
        <w:rPr>
          <w:rFonts w:asciiTheme="majorHAnsi" w:hAnsiTheme="majorHAnsi"/>
          <w:szCs w:val="22"/>
        </w:rPr>
        <w:t>ondicionalít v</w:t>
      </w:r>
      <w:r w:rsidR="00FB3209">
        <w:rPr>
          <w:rFonts w:asciiTheme="majorHAnsi" w:hAnsiTheme="majorHAnsi"/>
          <w:szCs w:val="22"/>
        </w:rPr>
        <w:t> </w:t>
      </w:r>
      <w:r w:rsidRPr="00A11FE0">
        <w:rPr>
          <w:rFonts w:asciiTheme="majorHAnsi" w:hAnsiTheme="majorHAnsi"/>
          <w:szCs w:val="22"/>
        </w:rPr>
        <w:t>podmienkach</w:t>
      </w:r>
      <w:r w:rsidR="00FB3209">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R za polročné obdobie. Obsahom uvedenej informácie je </w:t>
      </w:r>
      <w:r w:rsidR="00BD5FD5">
        <w:rPr>
          <w:rFonts w:asciiTheme="majorHAnsi" w:hAnsiTheme="majorHAnsi"/>
          <w:szCs w:val="22"/>
        </w:rPr>
        <w:t>a</w:t>
      </w:r>
      <w:r w:rsidRPr="00A11FE0">
        <w:rPr>
          <w:rFonts w:asciiTheme="majorHAnsi" w:hAnsiTheme="majorHAnsi"/>
          <w:szCs w:val="22"/>
        </w:rPr>
        <w:t xml:space="preserve">j podrobný prehľad o uskutočnených </w:t>
      </w:r>
      <w:r w:rsidR="00BD5FD5">
        <w:rPr>
          <w:rFonts w:asciiTheme="majorHAnsi" w:hAnsiTheme="majorHAnsi"/>
          <w:szCs w:val="22"/>
        </w:rPr>
        <w:t>ak</w:t>
      </w:r>
      <w:r w:rsidRPr="00A11FE0">
        <w:rPr>
          <w:rFonts w:asciiTheme="majorHAnsi" w:hAnsiTheme="majorHAnsi"/>
          <w:szCs w:val="22"/>
        </w:rPr>
        <w:t xml:space="preserve">tivitách </w:t>
      </w:r>
      <w:r w:rsidR="00BD5FD5">
        <w:rPr>
          <w:rFonts w:asciiTheme="majorHAnsi" w:hAnsiTheme="majorHAnsi"/>
          <w:szCs w:val="22"/>
        </w:rPr>
        <w:t>s</w:t>
      </w:r>
      <w:r w:rsidRPr="00A11FE0">
        <w:rPr>
          <w:rFonts w:asciiTheme="majorHAnsi" w:hAnsiTheme="majorHAnsi"/>
          <w:szCs w:val="22"/>
        </w:rPr>
        <w:t xml:space="preserve">o </w:t>
      </w:r>
      <w:r w:rsidR="00BD5FD5">
        <w:rPr>
          <w:rFonts w:asciiTheme="majorHAnsi" w:hAnsiTheme="majorHAnsi"/>
          <w:szCs w:val="22"/>
        </w:rPr>
        <w:t>s</w:t>
      </w:r>
      <w:r w:rsidRPr="00A11FE0">
        <w:rPr>
          <w:rFonts w:asciiTheme="majorHAnsi" w:hAnsiTheme="majorHAnsi"/>
          <w:szCs w:val="22"/>
        </w:rPr>
        <w:t xml:space="preserve">ociálno-ekonomickými partnermi pri príprave programového obdobia 2014 – 2020. </w:t>
      </w:r>
      <w:r w:rsidRPr="00A11FE0">
        <w:rPr>
          <w:rFonts w:asciiTheme="majorHAnsi" w:hAnsiTheme="majorHAnsi"/>
        </w:rPr>
        <w:t xml:space="preserve">V programovom období 2014 – 2020 bude </w:t>
      </w:r>
      <w:r w:rsidR="00BD5FD5">
        <w:rPr>
          <w:rFonts w:asciiTheme="majorHAnsi" w:hAnsiTheme="majorHAnsi"/>
        </w:rPr>
        <w:t>s</w:t>
      </w:r>
      <w:r w:rsidRPr="00A11FE0">
        <w:rPr>
          <w:rFonts w:asciiTheme="majorHAnsi" w:hAnsiTheme="majorHAnsi"/>
        </w:rPr>
        <w:t xml:space="preserve">polupráca </w:t>
      </w:r>
      <w:r w:rsidR="00BD5FD5">
        <w:rPr>
          <w:rFonts w:asciiTheme="majorHAnsi" w:hAnsiTheme="majorHAnsi"/>
        </w:rPr>
        <w:lastRenderedPageBreak/>
        <w:t>s</w:t>
      </w:r>
      <w:r w:rsidRPr="00A11FE0">
        <w:rPr>
          <w:rFonts w:asciiTheme="majorHAnsi" w:hAnsiTheme="majorHAnsi"/>
        </w:rPr>
        <w:t xml:space="preserve"> relevantnými partnermi naďalej pokračovať osvedčenou formou, </w:t>
      </w:r>
      <w:r w:rsidR="00BD5FD5">
        <w:rPr>
          <w:rFonts w:asciiTheme="majorHAnsi" w:hAnsiTheme="majorHAnsi"/>
        </w:rPr>
        <w:t>a</w:t>
      </w:r>
      <w:r w:rsidR="00FB3209">
        <w:rPr>
          <w:rFonts w:asciiTheme="majorHAnsi" w:hAnsiTheme="majorHAnsi"/>
        </w:rPr>
        <w:t> </w:t>
      </w:r>
      <w:r w:rsidRPr="00A11FE0">
        <w:rPr>
          <w:rFonts w:asciiTheme="majorHAnsi" w:hAnsiTheme="majorHAnsi"/>
        </w:rPr>
        <w:t>to</w:t>
      </w:r>
      <w:r w:rsidR="00FB3209">
        <w:rPr>
          <w:rFonts w:asciiTheme="majorHAnsi" w:hAnsiTheme="majorHAnsi"/>
        </w:rPr>
        <w:t xml:space="preserve"> </w:t>
      </w:r>
      <w:r w:rsidRPr="00A11FE0">
        <w:rPr>
          <w:rFonts w:asciiTheme="majorHAnsi" w:hAnsiTheme="majorHAnsi"/>
        </w:rPr>
        <w:t xml:space="preserve">začlenením partnerov do činnosti Pracovnej </w:t>
      </w:r>
      <w:r w:rsidR="00BD5FD5">
        <w:rPr>
          <w:rFonts w:asciiTheme="majorHAnsi" w:hAnsiTheme="majorHAnsi"/>
        </w:rPr>
        <w:t>s</w:t>
      </w:r>
      <w:r w:rsidRPr="00A11FE0">
        <w:rPr>
          <w:rFonts w:asciiTheme="majorHAnsi" w:hAnsiTheme="majorHAnsi"/>
        </w:rPr>
        <w:t xml:space="preserve">kupiny pre </w:t>
      </w:r>
      <w:r w:rsidR="00BD5FD5">
        <w:rPr>
          <w:rFonts w:asciiTheme="majorHAnsi" w:hAnsiTheme="majorHAnsi"/>
        </w:rPr>
        <w:t>k</w:t>
      </w:r>
      <w:r w:rsidRPr="00A11FE0">
        <w:rPr>
          <w:rFonts w:asciiTheme="majorHAnsi" w:hAnsiTheme="majorHAnsi"/>
        </w:rPr>
        <w:t xml:space="preserve">omunikáciu. </w:t>
      </w:r>
      <w:r w:rsidRPr="00A11FE0">
        <w:rPr>
          <w:rFonts w:asciiTheme="majorHAnsi" w:hAnsiTheme="majorHAnsi"/>
          <w:bCs/>
        </w:rPr>
        <w:t xml:space="preserve">CKO bude </w:t>
      </w:r>
      <w:r w:rsidR="00BD5FD5">
        <w:rPr>
          <w:rFonts w:asciiTheme="majorHAnsi" w:hAnsiTheme="majorHAnsi"/>
          <w:bCs/>
        </w:rPr>
        <w:t>k</w:t>
      </w:r>
      <w:r w:rsidRPr="00A11FE0">
        <w:rPr>
          <w:rFonts w:asciiTheme="majorHAnsi" w:hAnsiTheme="majorHAnsi"/>
          <w:bCs/>
        </w:rPr>
        <w:t xml:space="preserve">lásť väčší dôraz na </w:t>
      </w:r>
      <w:r w:rsidRPr="00A11FE0">
        <w:rPr>
          <w:rFonts w:asciiTheme="majorHAnsi" w:hAnsiTheme="majorHAnsi"/>
        </w:rPr>
        <w:t xml:space="preserve">širokú informovanosť na všetkých úrovniach implementácie </w:t>
      </w:r>
      <w:r w:rsidR="00BD5FD5">
        <w:rPr>
          <w:rFonts w:asciiTheme="majorHAnsi" w:hAnsiTheme="majorHAnsi"/>
        </w:rPr>
        <w:t>s</w:t>
      </w:r>
      <w:r w:rsidR="00FB3209">
        <w:rPr>
          <w:rFonts w:asciiTheme="majorHAnsi" w:hAnsiTheme="majorHAnsi"/>
        </w:rPr>
        <w:t> </w:t>
      </w:r>
      <w:r w:rsidRPr="00A11FE0">
        <w:rPr>
          <w:rFonts w:asciiTheme="majorHAnsi" w:hAnsiTheme="majorHAnsi"/>
        </w:rPr>
        <w:t>použitím</w:t>
      </w:r>
      <w:r w:rsidR="00FB3209">
        <w:rPr>
          <w:rFonts w:asciiTheme="majorHAnsi" w:hAnsiTheme="majorHAnsi"/>
        </w:rPr>
        <w:t xml:space="preserve"> </w:t>
      </w:r>
      <w:r w:rsidRPr="00A11FE0">
        <w:rPr>
          <w:rFonts w:asciiTheme="majorHAnsi" w:hAnsiTheme="majorHAnsi"/>
        </w:rPr>
        <w:t xml:space="preserve">širokého </w:t>
      </w:r>
      <w:r w:rsidR="00BD5FD5">
        <w:rPr>
          <w:rFonts w:asciiTheme="majorHAnsi" w:hAnsiTheme="majorHAnsi"/>
        </w:rPr>
        <w:t>s</w:t>
      </w:r>
      <w:r w:rsidRPr="00A11FE0">
        <w:rPr>
          <w:rFonts w:asciiTheme="majorHAnsi" w:hAnsiTheme="majorHAnsi"/>
        </w:rPr>
        <w:t xml:space="preserve">pektra nástrojov (využívanie Integrovanej informačnej </w:t>
      </w:r>
      <w:r w:rsidR="00BD5FD5">
        <w:rPr>
          <w:rFonts w:asciiTheme="majorHAnsi" w:hAnsiTheme="majorHAnsi"/>
        </w:rPr>
        <w:t>s</w:t>
      </w:r>
      <w:r w:rsidRPr="00A11FE0">
        <w:rPr>
          <w:rFonts w:asciiTheme="majorHAnsi" w:hAnsiTheme="majorHAnsi"/>
        </w:rPr>
        <w:t>iete regionálnych informačných centier, vytvorenie Informačného call centra</w:t>
      </w:r>
      <w:r w:rsidR="007E1F80">
        <w:rPr>
          <w:rFonts w:asciiTheme="majorHAnsi" w:hAnsiTheme="majorHAnsi"/>
        </w:rPr>
        <w:t xml:space="preserve"> a pod.)</w:t>
      </w:r>
      <w:r w:rsidRPr="00A11FE0">
        <w:rPr>
          <w:rFonts w:asciiTheme="majorHAnsi" w:hAnsiTheme="majorHAnsi"/>
        </w:rPr>
        <w:t xml:space="preserve">, nových </w:t>
      </w:r>
      <w:r w:rsidR="00BD5FD5">
        <w:rPr>
          <w:rFonts w:asciiTheme="majorHAnsi" w:hAnsiTheme="majorHAnsi"/>
        </w:rPr>
        <w:t>s</w:t>
      </w:r>
      <w:r w:rsidRPr="00A11FE0">
        <w:rPr>
          <w:rFonts w:asciiTheme="majorHAnsi" w:hAnsiTheme="majorHAnsi"/>
        </w:rPr>
        <w:t xml:space="preserve">pôsobov </w:t>
      </w:r>
      <w:r w:rsidR="00BD5FD5">
        <w:rPr>
          <w:rFonts w:asciiTheme="majorHAnsi" w:hAnsiTheme="majorHAnsi"/>
        </w:rPr>
        <w:t>k</w:t>
      </w:r>
      <w:r w:rsidRPr="00A11FE0">
        <w:rPr>
          <w:rFonts w:asciiTheme="majorHAnsi" w:hAnsiTheme="majorHAnsi"/>
        </w:rPr>
        <w:t xml:space="preserve">omunikácie (prepojenie webového portálu CKO </w:t>
      </w:r>
      <w:r w:rsidR="00BD5FD5">
        <w:rPr>
          <w:rFonts w:asciiTheme="majorHAnsi" w:hAnsiTheme="majorHAnsi"/>
        </w:rPr>
        <w:t>s</w:t>
      </w:r>
      <w:r w:rsidR="00FB3209">
        <w:rPr>
          <w:rFonts w:asciiTheme="majorHAnsi" w:hAnsiTheme="majorHAnsi"/>
        </w:rPr>
        <w:t> </w:t>
      </w:r>
      <w:r w:rsidRPr="00A11FE0">
        <w:rPr>
          <w:rFonts w:asciiTheme="majorHAnsi" w:hAnsiTheme="majorHAnsi"/>
        </w:rPr>
        <w:t xml:space="preserve">ITMS, </w:t>
      </w:r>
      <w:r w:rsidR="00BD5FD5">
        <w:rPr>
          <w:rFonts w:asciiTheme="majorHAnsi" w:hAnsiTheme="majorHAnsi"/>
        </w:rPr>
        <w:t>k</w:t>
      </w:r>
      <w:r w:rsidRPr="00A11FE0">
        <w:rPr>
          <w:rFonts w:asciiTheme="majorHAnsi" w:hAnsiTheme="majorHAnsi"/>
        </w:rPr>
        <w:t xml:space="preserve">omunikácia cez </w:t>
      </w:r>
      <w:r w:rsidR="00BD5FD5">
        <w:rPr>
          <w:rFonts w:asciiTheme="majorHAnsi" w:hAnsiTheme="majorHAnsi"/>
        </w:rPr>
        <w:t>s</w:t>
      </w:r>
      <w:r w:rsidRPr="00A11FE0">
        <w:rPr>
          <w:rFonts w:asciiTheme="majorHAnsi" w:hAnsiTheme="majorHAnsi"/>
        </w:rPr>
        <w:t xml:space="preserve">ociálne </w:t>
      </w:r>
      <w:r w:rsidR="00BD5FD5">
        <w:rPr>
          <w:rFonts w:asciiTheme="majorHAnsi" w:hAnsiTheme="majorHAnsi"/>
        </w:rPr>
        <w:t>s</w:t>
      </w:r>
      <w:r w:rsidRPr="00A11FE0">
        <w:rPr>
          <w:rFonts w:asciiTheme="majorHAnsi" w:hAnsiTheme="majorHAnsi"/>
        </w:rPr>
        <w:t xml:space="preserve">iete) </w:t>
      </w:r>
      <w:r w:rsidR="00BD5FD5">
        <w:rPr>
          <w:rFonts w:asciiTheme="majorHAnsi" w:hAnsiTheme="majorHAnsi"/>
        </w:rPr>
        <w:t>a</w:t>
      </w:r>
      <w:r w:rsidR="00FB3209">
        <w:rPr>
          <w:rFonts w:asciiTheme="majorHAnsi" w:hAnsiTheme="majorHAnsi"/>
        </w:rPr>
        <w:t> </w:t>
      </w:r>
      <w:r w:rsidRPr="00A11FE0">
        <w:rPr>
          <w:rFonts w:asciiTheme="majorHAnsi" w:hAnsiTheme="majorHAnsi"/>
        </w:rPr>
        <w:t>centralizovaného</w:t>
      </w:r>
      <w:r w:rsidR="00FB3209">
        <w:rPr>
          <w:rFonts w:asciiTheme="majorHAnsi" w:hAnsiTheme="majorHAnsi"/>
        </w:rPr>
        <w:t xml:space="preserve"> </w:t>
      </w:r>
      <w:r w:rsidR="00BD5FD5">
        <w:rPr>
          <w:rFonts w:asciiTheme="majorHAnsi" w:hAnsiTheme="majorHAnsi"/>
        </w:rPr>
        <w:t>s</w:t>
      </w:r>
      <w:r w:rsidRPr="00A11FE0">
        <w:rPr>
          <w:rFonts w:asciiTheme="majorHAnsi" w:hAnsiTheme="majorHAnsi"/>
        </w:rPr>
        <w:t xml:space="preserve">ystému vzdelávania pre relevantných partnerov zapojených do prípravy, implementácie, monitorovania </w:t>
      </w:r>
      <w:r w:rsidR="00BD5FD5">
        <w:rPr>
          <w:rFonts w:asciiTheme="majorHAnsi" w:hAnsiTheme="majorHAnsi"/>
        </w:rPr>
        <w:t>a</w:t>
      </w:r>
      <w:r w:rsidRPr="00A11FE0">
        <w:rPr>
          <w:rFonts w:asciiTheme="majorHAnsi" w:hAnsiTheme="majorHAnsi"/>
        </w:rPr>
        <w:t xml:space="preserve"> hodnotenia PD </w:t>
      </w:r>
      <w:r w:rsidR="00BD5FD5">
        <w:rPr>
          <w:rFonts w:asciiTheme="majorHAnsi" w:hAnsiTheme="majorHAnsi"/>
        </w:rPr>
        <w:t>S</w:t>
      </w:r>
      <w:r w:rsidRPr="00A11FE0">
        <w:rPr>
          <w:rFonts w:asciiTheme="majorHAnsi" w:hAnsiTheme="majorHAnsi"/>
        </w:rPr>
        <w:t xml:space="preserve">R </w:t>
      </w:r>
      <w:r w:rsidR="00BD5FD5">
        <w:rPr>
          <w:rFonts w:asciiTheme="majorHAnsi" w:hAnsiTheme="majorHAnsi"/>
        </w:rPr>
        <w:t>a</w:t>
      </w:r>
      <w:r w:rsidR="00A10CE3">
        <w:rPr>
          <w:rFonts w:asciiTheme="majorHAnsi" w:hAnsiTheme="majorHAnsi"/>
        </w:rPr>
        <w:t> </w:t>
      </w:r>
      <w:r w:rsidR="007E72F2">
        <w:rPr>
          <w:rFonts w:asciiTheme="majorHAnsi" w:hAnsiTheme="majorHAnsi"/>
        </w:rPr>
        <w:t>programov</w:t>
      </w:r>
      <w:r w:rsidR="00A10CE3">
        <w:rPr>
          <w:rFonts w:asciiTheme="majorHAnsi" w:hAnsiTheme="majorHAnsi"/>
        </w:rPr>
        <w:t xml:space="preserve"> </w:t>
      </w:r>
      <w:r w:rsidRPr="00A11FE0">
        <w:rPr>
          <w:rFonts w:asciiTheme="majorHAnsi" w:hAnsiTheme="majorHAnsi"/>
        </w:rPr>
        <w:t xml:space="preserve">(školenia, </w:t>
      </w:r>
      <w:r w:rsidR="00BD5FD5">
        <w:rPr>
          <w:rFonts w:asciiTheme="majorHAnsi" w:hAnsiTheme="majorHAnsi"/>
        </w:rPr>
        <w:t>s</w:t>
      </w:r>
      <w:r w:rsidRPr="00A11FE0">
        <w:rPr>
          <w:rFonts w:asciiTheme="majorHAnsi" w:hAnsiTheme="majorHAnsi"/>
        </w:rPr>
        <w:t>emináre, workshopy).</w:t>
      </w:r>
      <w:r w:rsidRPr="00A11FE0">
        <w:rPr>
          <w:rFonts w:asciiTheme="majorHAnsi" w:hAnsiTheme="majorHAnsi" w:cs="Helvetica"/>
        </w:rPr>
        <w:t xml:space="preserve"> </w:t>
      </w:r>
      <w:r w:rsidR="00BD5FD5">
        <w:rPr>
          <w:rFonts w:asciiTheme="majorHAnsi" w:hAnsiTheme="majorHAnsi" w:cs="Helvetica"/>
        </w:rPr>
        <w:t>K</w:t>
      </w:r>
      <w:r w:rsidRPr="00A11FE0">
        <w:rPr>
          <w:rFonts w:asciiTheme="majorHAnsi" w:hAnsiTheme="majorHAnsi" w:cs="Helvetica"/>
        </w:rPr>
        <w:t xml:space="preserve">omunikačná </w:t>
      </w:r>
      <w:r w:rsidR="00BD5FD5">
        <w:rPr>
          <w:rFonts w:asciiTheme="majorHAnsi" w:hAnsiTheme="majorHAnsi" w:cs="Helvetica"/>
        </w:rPr>
        <w:t>s</w:t>
      </w:r>
      <w:r w:rsidRPr="00A11FE0">
        <w:rPr>
          <w:rFonts w:asciiTheme="majorHAnsi" w:hAnsiTheme="majorHAnsi" w:cs="Helvetica"/>
        </w:rPr>
        <w:t xml:space="preserve">tratégia </w:t>
      </w:r>
      <w:r w:rsidR="00BD5FD5">
        <w:rPr>
          <w:rFonts w:asciiTheme="majorHAnsi" w:hAnsiTheme="majorHAnsi" w:cs="Helvetica"/>
        </w:rPr>
        <w:t>s</w:t>
      </w:r>
      <w:r w:rsidRPr="00A11FE0">
        <w:rPr>
          <w:rFonts w:asciiTheme="majorHAnsi" w:hAnsiTheme="majorHAnsi" w:cs="Helvetica"/>
        </w:rPr>
        <w:t xml:space="preserve">a bude realizovať </w:t>
      </w:r>
      <w:r w:rsidR="00BD5FD5">
        <w:rPr>
          <w:rFonts w:asciiTheme="majorHAnsi" w:hAnsiTheme="majorHAnsi" w:cs="Helvetica"/>
        </w:rPr>
        <w:t>a</w:t>
      </w:r>
      <w:r w:rsidRPr="00A11FE0">
        <w:rPr>
          <w:rFonts w:asciiTheme="majorHAnsi" w:hAnsiTheme="majorHAnsi" w:cs="Helvetica"/>
        </w:rPr>
        <w:t xml:space="preserve">j na základe </w:t>
      </w:r>
      <w:r w:rsidRPr="00A11FE0">
        <w:rPr>
          <w:rFonts w:asciiTheme="majorHAnsi" w:hAnsiTheme="majorHAnsi"/>
          <w:bCs/>
        </w:rPr>
        <w:t>pravidelných prieskumov verejnej mienky</w:t>
      </w:r>
      <w:r w:rsidRPr="00A11FE0">
        <w:rPr>
          <w:rFonts w:asciiTheme="majorHAnsi" w:hAnsiTheme="majorHAnsi" w:cs="Helvetica"/>
        </w:rPr>
        <w:t xml:space="preserve"> </w:t>
      </w:r>
      <w:r w:rsidRPr="00A11FE0">
        <w:rPr>
          <w:rFonts w:asciiTheme="majorHAnsi" w:hAnsiTheme="majorHAnsi"/>
          <w:bCs/>
        </w:rPr>
        <w:t>zameraných na zistenie úrovne povedomia verejnosti o</w:t>
      </w:r>
      <w:r w:rsidR="00FB3209">
        <w:rPr>
          <w:rFonts w:asciiTheme="majorHAnsi" w:hAnsiTheme="majorHAnsi"/>
          <w:bCs/>
        </w:rPr>
        <w:t> </w:t>
      </w:r>
      <w:r w:rsidRPr="00A11FE0">
        <w:rPr>
          <w:rFonts w:asciiTheme="majorHAnsi" w:hAnsiTheme="majorHAnsi"/>
          <w:bCs/>
        </w:rPr>
        <w:t>výsledkoch podpory z</w:t>
      </w:r>
      <w:r w:rsidR="00FB3209">
        <w:rPr>
          <w:rFonts w:asciiTheme="majorHAnsi" w:hAnsiTheme="majorHAnsi"/>
          <w:bCs/>
        </w:rPr>
        <w:t> </w:t>
      </w:r>
      <w:r w:rsidRPr="00A11FE0">
        <w:rPr>
          <w:rFonts w:asciiTheme="majorHAnsi" w:hAnsiTheme="majorHAnsi"/>
          <w:bCs/>
        </w:rPr>
        <w:t xml:space="preserve">EŠIF. </w:t>
      </w:r>
      <w:r w:rsidR="00BD5FD5">
        <w:rPr>
          <w:rFonts w:asciiTheme="majorHAnsi" w:hAnsiTheme="majorHAnsi"/>
          <w:szCs w:val="22"/>
        </w:rPr>
        <w:t>S</w:t>
      </w:r>
      <w:r w:rsidR="00FB3209">
        <w:rPr>
          <w:rFonts w:asciiTheme="majorHAnsi" w:hAnsiTheme="majorHAnsi"/>
          <w:szCs w:val="22"/>
        </w:rPr>
        <w:t> </w:t>
      </w:r>
      <w:r w:rsidRPr="00A11FE0">
        <w:rPr>
          <w:rFonts w:asciiTheme="majorHAnsi" w:hAnsiTheme="majorHAnsi"/>
          <w:szCs w:val="22"/>
        </w:rPr>
        <w:t xml:space="preserve">cieľom </w:t>
      </w:r>
      <w:r w:rsidR="00BD5FD5">
        <w:rPr>
          <w:rFonts w:asciiTheme="majorHAnsi" w:hAnsiTheme="majorHAnsi"/>
          <w:szCs w:val="22"/>
        </w:rPr>
        <w:t>ak</w:t>
      </w:r>
      <w:r w:rsidRPr="00A11FE0">
        <w:rPr>
          <w:rFonts w:asciiTheme="majorHAnsi" w:hAnsiTheme="majorHAnsi"/>
          <w:szCs w:val="22"/>
        </w:rPr>
        <w:t xml:space="preserve">tívne zapájať široké </w:t>
      </w:r>
      <w:r w:rsidR="00BD5FD5">
        <w:rPr>
          <w:rFonts w:asciiTheme="majorHAnsi" w:hAnsiTheme="majorHAnsi"/>
          <w:szCs w:val="22"/>
        </w:rPr>
        <w:t>s</w:t>
      </w:r>
      <w:r w:rsidRPr="00A11FE0">
        <w:rPr>
          <w:rFonts w:asciiTheme="majorHAnsi" w:hAnsiTheme="majorHAnsi"/>
          <w:szCs w:val="22"/>
        </w:rPr>
        <w:t xml:space="preserve">pektrum partnerov do fázy implementácie </w:t>
      </w:r>
      <w:r w:rsidR="00BD5FD5">
        <w:rPr>
          <w:rFonts w:asciiTheme="majorHAnsi" w:hAnsiTheme="majorHAnsi"/>
          <w:szCs w:val="22"/>
        </w:rPr>
        <w:t>s</w:t>
      </w:r>
      <w:r w:rsidRPr="00A11FE0">
        <w:rPr>
          <w:rFonts w:asciiTheme="majorHAnsi" w:hAnsiTheme="majorHAnsi"/>
          <w:szCs w:val="22"/>
        </w:rPr>
        <w:t xml:space="preserve">a tiež plánuje organizovanie </w:t>
      </w:r>
      <w:r w:rsidR="00BD5FD5">
        <w:rPr>
          <w:rFonts w:asciiTheme="majorHAnsi" w:hAnsiTheme="majorHAnsi"/>
          <w:szCs w:val="22"/>
        </w:rPr>
        <w:t>s</w:t>
      </w:r>
      <w:r w:rsidRPr="00A11FE0">
        <w:rPr>
          <w:rFonts w:asciiTheme="majorHAnsi" w:hAnsiTheme="majorHAnsi"/>
          <w:szCs w:val="22"/>
        </w:rPr>
        <w:t xml:space="preserve">érií pracovných </w:t>
      </w:r>
      <w:r w:rsidR="00BD5FD5">
        <w:rPr>
          <w:rFonts w:asciiTheme="majorHAnsi" w:hAnsiTheme="majorHAnsi"/>
          <w:szCs w:val="22"/>
        </w:rPr>
        <w:t>s</w:t>
      </w:r>
      <w:r w:rsidRPr="00A11FE0">
        <w:rPr>
          <w:rFonts w:asciiTheme="majorHAnsi" w:hAnsiTheme="majorHAnsi"/>
          <w:szCs w:val="22"/>
        </w:rPr>
        <w:t xml:space="preserve">tretnutí v prostredí regiónov </w:t>
      </w:r>
      <w:r w:rsidR="00BD5FD5">
        <w:rPr>
          <w:rFonts w:asciiTheme="majorHAnsi" w:hAnsiTheme="majorHAnsi"/>
          <w:szCs w:val="22"/>
        </w:rPr>
        <w:t>S</w:t>
      </w:r>
      <w:r w:rsidRPr="00A11FE0">
        <w:rPr>
          <w:rFonts w:asciiTheme="majorHAnsi" w:hAnsiTheme="majorHAnsi"/>
          <w:szCs w:val="22"/>
        </w:rPr>
        <w:t xml:space="preserve">R. Princíp partnerstva bude uplatňovaný v podmienkach </w:t>
      </w:r>
      <w:r w:rsidR="00BD5FD5">
        <w:rPr>
          <w:rFonts w:asciiTheme="majorHAnsi" w:hAnsiTheme="majorHAnsi"/>
          <w:szCs w:val="22"/>
        </w:rPr>
        <w:t>S</w:t>
      </w:r>
      <w:r w:rsidRPr="00A11FE0">
        <w:rPr>
          <w:rFonts w:asciiTheme="majorHAnsi" w:hAnsiTheme="majorHAnsi"/>
          <w:szCs w:val="22"/>
        </w:rPr>
        <w:t>R</w:t>
      </w:r>
      <w:r w:rsidR="008E676E">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j pri implementácii integrovaných územných prístupov (IÚI, CLLD, udržateľný mestský rozvoj).</w:t>
      </w:r>
    </w:p>
    <w:p w:rsidR="00E01A37" w:rsidRPr="00A11FE0" w:rsidRDefault="00E01A37" w:rsidP="00E01A37">
      <w:pPr>
        <w:rPr>
          <w:rFonts w:asciiTheme="majorHAnsi" w:hAnsiTheme="majorHAnsi"/>
        </w:rPr>
      </w:pPr>
      <w:r w:rsidRPr="00A11FE0">
        <w:rPr>
          <w:rFonts w:asciiTheme="majorHAnsi" w:hAnsiTheme="majorHAnsi"/>
          <w:szCs w:val="22"/>
        </w:rPr>
        <w:t>V</w:t>
      </w:r>
      <w:r w:rsidR="00FB3209">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úlade </w:t>
      </w:r>
      <w:r w:rsidR="00BD5FD5">
        <w:rPr>
          <w:rFonts w:asciiTheme="majorHAnsi" w:hAnsiTheme="majorHAnsi"/>
          <w:szCs w:val="22"/>
        </w:rPr>
        <w:t>s</w:t>
      </w:r>
      <w:r w:rsidRPr="00A11FE0">
        <w:rPr>
          <w:rFonts w:asciiTheme="majorHAnsi" w:hAnsiTheme="majorHAnsi"/>
          <w:szCs w:val="22"/>
        </w:rPr>
        <w:t xml:space="preserve"> čl. 5 </w:t>
      </w:r>
      <w:r w:rsidR="00BC177B" w:rsidRPr="004E4FDE">
        <w:rPr>
          <w:rFonts w:asciiTheme="majorHAnsi" w:hAnsiTheme="majorHAnsi"/>
        </w:rPr>
        <w:t>nariadenia EP a Rady (EÚ) č. 1303/2013</w:t>
      </w:r>
      <w:r w:rsidR="00BC177B">
        <w:rPr>
          <w:rFonts w:asciiTheme="majorHAnsi" w:hAnsiTheme="majorHAnsi"/>
        </w:rPr>
        <w:t xml:space="preserve"> </w:t>
      </w:r>
      <w:r w:rsidRPr="00A11FE0">
        <w:rPr>
          <w:rFonts w:asciiTheme="majorHAnsi" w:hAnsiTheme="majorHAnsi"/>
          <w:szCs w:val="22"/>
        </w:rPr>
        <w:t xml:space="preserve">bude princíp partnerstva uplatňovaný </w:t>
      </w:r>
      <w:r w:rsidR="00BD5FD5">
        <w:rPr>
          <w:rFonts w:asciiTheme="majorHAnsi" w:hAnsiTheme="majorHAnsi"/>
          <w:szCs w:val="22"/>
        </w:rPr>
        <w:t>a</w:t>
      </w:r>
      <w:r w:rsidRPr="00A11FE0">
        <w:rPr>
          <w:rFonts w:asciiTheme="majorHAnsi" w:hAnsiTheme="majorHAnsi"/>
          <w:szCs w:val="22"/>
        </w:rPr>
        <w:t>j v</w:t>
      </w:r>
      <w:r w:rsidR="00FB3209">
        <w:rPr>
          <w:rFonts w:asciiTheme="majorHAnsi" w:hAnsiTheme="majorHAnsi"/>
          <w:szCs w:val="22"/>
        </w:rPr>
        <w:t> </w:t>
      </w:r>
      <w:r w:rsidRPr="00A11FE0">
        <w:rPr>
          <w:rFonts w:asciiTheme="majorHAnsi" w:hAnsiTheme="majorHAnsi"/>
          <w:szCs w:val="22"/>
        </w:rPr>
        <w:t xml:space="preserve">implementačnej fáze PD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programov. </w:t>
      </w:r>
      <w:r w:rsidR="00BD5FD5">
        <w:rPr>
          <w:rFonts w:asciiTheme="majorHAnsi" w:hAnsiTheme="majorHAnsi"/>
          <w:szCs w:val="22"/>
        </w:rPr>
        <w:t>S</w:t>
      </w:r>
      <w:r w:rsidRPr="00A11FE0">
        <w:rPr>
          <w:rFonts w:asciiTheme="majorHAnsi" w:hAnsiTheme="majorHAnsi"/>
          <w:szCs w:val="22"/>
        </w:rPr>
        <w:t xml:space="preserve">polupráca </w:t>
      </w:r>
      <w:r w:rsidR="00BD5FD5">
        <w:rPr>
          <w:rFonts w:asciiTheme="majorHAnsi" w:hAnsiTheme="majorHAnsi"/>
          <w:szCs w:val="22"/>
        </w:rPr>
        <w:t>s</w:t>
      </w:r>
      <w:r w:rsidR="00FB3209">
        <w:rPr>
          <w:rFonts w:asciiTheme="majorHAnsi" w:hAnsiTheme="majorHAnsi"/>
          <w:szCs w:val="22"/>
        </w:rPr>
        <w:t> </w:t>
      </w:r>
      <w:r w:rsidRPr="00A11FE0">
        <w:rPr>
          <w:rFonts w:asciiTheme="majorHAnsi" w:hAnsiTheme="majorHAnsi"/>
          <w:szCs w:val="22"/>
        </w:rPr>
        <w:t xml:space="preserve">partnermi bude naďalej pokračovať formou, </w:t>
      </w:r>
      <w:r w:rsidR="00BD5FD5">
        <w:rPr>
          <w:rFonts w:asciiTheme="majorHAnsi" w:hAnsiTheme="majorHAnsi"/>
          <w:szCs w:val="22"/>
        </w:rPr>
        <w:t>k</w:t>
      </w:r>
      <w:r w:rsidRPr="00A11FE0">
        <w:rPr>
          <w:rFonts w:asciiTheme="majorHAnsi" w:hAnsiTheme="majorHAnsi"/>
          <w:szCs w:val="22"/>
        </w:rPr>
        <w:t xml:space="preserve">torá </w:t>
      </w:r>
      <w:r w:rsidR="00BD5FD5">
        <w:rPr>
          <w:rFonts w:asciiTheme="majorHAnsi" w:hAnsiTheme="majorHAnsi"/>
          <w:szCs w:val="22"/>
        </w:rPr>
        <w:t>s</w:t>
      </w:r>
      <w:r w:rsidRPr="00A11FE0">
        <w:rPr>
          <w:rFonts w:asciiTheme="majorHAnsi" w:hAnsiTheme="majorHAnsi"/>
          <w:szCs w:val="22"/>
        </w:rPr>
        <w:t>a osvedčila už v</w:t>
      </w:r>
      <w:r w:rsidR="00A10CE3">
        <w:rPr>
          <w:rFonts w:asciiTheme="majorHAnsi" w:hAnsiTheme="majorHAnsi"/>
          <w:szCs w:val="22"/>
        </w:rPr>
        <w:t> </w:t>
      </w:r>
      <w:r w:rsidRPr="00A11FE0">
        <w:rPr>
          <w:rFonts w:asciiTheme="majorHAnsi" w:hAnsiTheme="majorHAnsi"/>
          <w:szCs w:val="22"/>
        </w:rPr>
        <w:t>programovom</w:t>
      </w:r>
      <w:r w:rsidR="00A10CE3">
        <w:rPr>
          <w:rFonts w:asciiTheme="majorHAnsi" w:hAnsiTheme="majorHAnsi"/>
          <w:szCs w:val="22"/>
        </w:rPr>
        <w:t xml:space="preserve"> </w:t>
      </w:r>
      <w:r w:rsidRPr="00A11FE0">
        <w:rPr>
          <w:rFonts w:asciiTheme="majorHAnsi" w:hAnsiTheme="majorHAnsi"/>
          <w:szCs w:val="22"/>
        </w:rPr>
        <w:t xml:space="preserve">období 2007 – 2013, </w:t>
      </w:r>
      <w:r w:rsidR="00BD5FD5">
        <w:rPr>
          <w:rFonts w:asciiTheme="majorHAnsi" w:hAnsiTheme="majorHAnsi"/>
          <w:szCs w:val="22"/>
        </w:rPr>
        <w:t>a</w:t>
      </w:r>
      <w:r w:rsidRPr="00A11FE0">
        <w:rPr>
          <w:rFonts w:asciiTheme="majorHAnsi" w:hAnsiTheme="majorHAnsi"/>
          <w:szCs w:val="22"/>
        </w:rPr>
        <w:t xml:space="preserve"> to začlenením partnerov do činnosti Národného monitorovacieho výboru pre </w:t>
      </w:r>
      <w:r w:rsidR="009767BA">
        <w:rPr>
          <w:rFonts w:asciiTheme="majorHAnsi" w:hAnsiTheme="majorHAnsi"/>
          <w:szCs w:val="22"/>
        </w:rPr>
        <w:t>EŠIF</w:t>
      </w:r>
      <w:r w:rsidRPr="00A11FE0">
        <w:rPr>
          <w:rFonts w:asciiTheme="majorHAnsi" w:hAnsiTheme="majorHAnsi"/>
          <w:szCs w:val="22"/>
        </w:rPr>
        <w:t xml:space="preserve">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 xml:space="preserve">monitorovacích výborov jednotlivých </w:t>
      </w:r>
      <w:r w:rsidR="007E72F2">
        <w:rPr>
          <w:rFonts w:asciiTheme="majorHAnsi" w:hAnsiTheme="majorHAnsi"/>
          <w:szCs w:val="22"/>
        </w:rPr>
        <w:t>programov</w:t>
      </w:r>
      <w:r w:rsidR="007E72F2" w:rsidRPr="00A11FE0">
        <w:rPr>
          <w:rFonts w:asciiTheme="majorHAnsi" w:hAnsiTheme="majorHAnsi"/>
          <w:szCs w:val="22"/>
        </w:rPr>
        <w:t xml:space="preserve"> </w:t>
      </w:r>
      <w:r w:rsidRPr="00A11FE0">
        <w:rPr>
          <w:rFonts w:asciiTheme="majorHAnsi" w:hAnsiTheme="majorHAnsi"/>
          <w:szCs w:val="22"/>
        </w:rPr>
        <w:t xml:space="preserve">zriadených riadiacimi orgánmi. Relevantní partneri, </w:t>
      </w:r>
      <w:r w:rsidR="00BD5FD5">
        <w:rPr>
          <w:rFonts w:asciiTheme="majorHAnsi" w:hAnsiTheme="majorHAnsi"/>
          <w:szCs w:val="22"/>
        </w:rPr>
        <w:t>ak</w:t>
      </w:r>
      <w:r w:rsidRPr="00A11FE0">
        <w:rPr>
          <w:rFonts w:asciiTheme="majorHAnsi" w:hAnsiTheme="majorHAnsi"/>
          <w:szCs w:val="22"/>
        </w:rPr>
        <w:t>o riadni členovia monitorovacích výborov, budú pravidelne informovaní o</w:t>
      </w:r>
      <w:r w:rsidR="00FB3209">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tave implementácie programov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zapojení do</w:t>
      </w:r>
      <w:r w:rsidR="00A977DF">
        <w:rPr>
          <w:rFonts w:asciiTheme="majorHAnsi" w:hAnsiTheme="majorHAnsi"/>
          <w:szCs w:val="22"/>
        </w:rPr>
        <w:t> </w:t>
      </w:r>
      <w:r w:rsidRPr="00A11FE0">
        <w:rPr>
          <w:rFonts w:asciiTheme="majorHAnsi" w:hAnsiTheme="majorHAnsi"/>
          <w:szCs w:val="22"/>
        </w:rPr>
        <w:t xml:space="preserve">hodnotenia efektívnosti </w:t>
      </w:r>
      <w:r w:rsidR="00BD5FD5">
        <w:rPr>
          <w:rFonts w:asciiTheme="majorHAnsi" w:hAnsiTheme="majorHAnsi"/>
          <w:szCs w:val="22"/>
        </w:rPr>
        <w:t>a</w:t>
      </w:r>
      <w:r w:rsidR="00FB3209">
        <w:rPr>
          <w:rFonts w:asciiTheme="majorHAnsi" w:hAnsiTheme="majorHAnsi"/>
          <w:szCs w:val="22"/>
        </w:rPr>
        <w:t> </w:t>
      </w:r>
      <w:r w:rsidRPr="00A11FE0">
        <w:rPr>
          <w:rFonts w:asciiTheme="majorHAnsi" w:hAnsiTheme="majorHAnsi"/>
          <w:szCs w:val="22"/>
        </w:rPr>
        <w:t>účinnosti využívania prostriedkov EŠIF</w:t>
      </w:r>
      <w:r w:rsidRPr="006F002B">
        <w:rPr>
          <w:rFonts w:asciiTheme="majorHAnsi" w:hAnsiTheme="majorHAnsi"/>
          <w:szCs w:val="22"/>
        </w:rPr>
        <w:t xml:space="preserve">. </w:t>
      </w:r>
      <w:r w:rsidRPr="00A11FE0">
        <w:rPr>
          <w:rFonts w:asciiTheme="majorHAnsi" w:hAnsiTheme="majorHAnsi"/>
          <w:szCs w:val="22"/>
        </w:rPr>
        <w:t xml:space="preserve">V procese implementácie </w:t>
      </w:r>
      <w:r w:rsidR="007E72F2">
        <w:rPr>
          <w:rFonts w:asciiTheme="majorHAnsi" w:hAnsiTheme="majorHAnsi"/>
          <w:szCs w:val="22"/>
        </w:rPr>
        <w:t>programov</w:t>
      </w:r>
      <w:r w:rsidR="007E72F2" w:rsidRPr="00A11FE0">
        <w:rPr>
          <w:rFonts w:asciiTheme="majorHAnsi" w:hAnsiTheme="majorHAnsi"/>
          <w:szCs w:val="22"/>
        </w:rPr>
        <w:t xml:space="preserve"> </w:t>
      </w:r>
      <w:r w:rsidRPr="00A11FE0">
        <w:rPr>
          <w:rFonts w:asciiTheme="majorHAnsi" w:hAnsiTheme="majorHAnsi"/>
          <w:szCs w:val="22"/>
        </w:rPr>
        <w:t xml:space="preserve">budú riadiacimi orgánmi zriadené expertné pracovné </w:t>
      </w:r>
      <w:r w:rsidR="00BD5FD5">
        <w:rPr>
          <w:rFonts w:asciiTheme="majorHAnsi" w:hAnsiTheme="majorHAnsi"/>
          <w:szCs w:val="22"/>
        </w:rPr>
        <w:t>s</w:t>
      </w:r>
      <w:r w:rsidRPr="00A11FE0">
        <w:rPr>
          <w:rFonts w:asciiTheme="majorHAnsi" w:hAnsiTheme="majorHAnsi"/>
          <w:szCs w:val="22"/>
        </w:rPr>
        <w:t xml:space="preserve">kupiny pri monitorovacom výbore za účasti relevantných partnerov, </w:t>
      </w:r>
      <w:r w:rsidR="00BD5FD5">
        <w:rPr>
          <w:rFonts w:asciiTheme="majorHAnsi" w:hAnsiTheme="majorHAnsi"/>
          <w:szCs w:val="22"/>
        </w:rPr>
        <w:t>k</w:t>
      </w:r>
      <w:r w:rsidRPr="00A11FE0">
        <w:rPr>
          <w:rFonts w:asciiTheme="majorHAnsi" w:hAnsiTheme="majorHAnsi"/>
          <w:szCs w:val="22"/>
        </w:rPr>
        <w:t xml:space="preserve">torí budú </w:t>
      </w:r>
      <w:r w:rsidR="00BD5FD5">
        <w:rPr>
          <w:rFonts w:asciiTheme="majorHAnsi" w:hAnsiTheme="majorHAnsi"/>
          <w:szCs w:val="22"/>
        </w:rPr>
        <w:t>ak</w:t>
      </w:r>
      <w:r w:rsidRPr="00A11FE0">
        <w:rPr>
          <w:rFonts w:asciiTheme="majorHAnsi" w:hAnsiTheme="majorHAnsi"/>
          <w:szCs w:val="22"/>
        </w:rPr>
        <w:t xml:space="preserve">tívne </w:t>
      </w:r>
      <w:r w:rsidR="00BD5FD5">
        <w:rPr>
          <w:rFonts w:asciiTheme="majorHAnsi" w:hAnsiTheme="majorHAnsi"/>
          <w:szCs w:val="22"/>
        </w:rPr>
        <w:t>s</w:t>
      </w:r>
      <w:r w:rsidRPr="00A11FE0">
        <w:rPr>
          <w:rFonts w:asciiTheme="majorHAnsi" w:hAnsiTheme="majorHAnsi"/>
          <w:szCs w:val="22"/>
        </w:rPr>
        <w:t xml:space="preserve">polupracovať </w:t>
      </w:r>
      <w:r w:rsidR="00BD5FD5">
        <w:rPr>
          <w:rFonts w:asciiTheme="majorHAnsi" w:hAnsiTheme="majorHAnsi"/>
          <w:szCs w:val="22"/>
        </w:rPr>
        <w:t>s</w:t>
      </w:r>
      <w:r w:rsidRPr="00A11FE0">
        <w:rPr>
          <w:rFonts w:asciiTheme="majorHAnsi" w:hAnsiTheme="majorHAnsi"/>
          <w:szCs w:val="22"/>
        </w:rPr>
        <w:t xml:space="preserve"> príslušným riadiacim orgánom </w:t>
      </w:r>
      <w:r w:rsidR="007E72F2">
        <w:rPr>
          <w:rFonts w:asciiTheme="majorHAnsi" w:hAnsiTheme="majorHAnsi"/>
          <w:szCs w:val="22"/>
        </w:rPr>
        <w:t>programu</w:t>
      </w:r>
      <w:r w:rsidR="007E72F2" w:rsidRPr="00A11FE0">
        <w:rPr>
          <w:rFonts w:asciiTheme="majorHAnsi" w:hAnsiTheme="majorHAnsi"/>
          <w:szCs w:val="22"/>
        </w:rPr>
        <w:t xml:space="preserve"> </w:t>
      </w:r>
      <w:r w:rsidRPr="00A11FE0">
        <w:rPr>
          <w:rFonts w:asciiTheme="majorHAnsi" w:hAnsiTheme="majorHAnsi"/>
          <w:szCs w:val="22"/>
        </w:rPr>
        <w:t xml:space="preserve">na príprave </w:t>
      </w:r>
      <w:r w:rsidR="00BD5FD5">
        <w:rPr>
          <w:rFonts w:asciiTheme="majorHAnsi" w:hAnsiTheme="majorHAnsi"/>
          <w:szCs w:val="22"/>
        </w:rPr>
        <w:t>s</w:t>
      </w:r>
      <w:r w:rsidR="00FB3209">
        <w:rPr>
          <w:rFonts w:asciiTheme="majorHAnsi" w:hAnsiTheme="majorHAnsi"/>
          <w:szCs w:val="22"/>
        </w:rPr>
        <w:t>právy o pokroku.</w:t>
      </w:r>
    </w:p>
    <w:p w:rsidR="00646E87" w:rsidRPr="00AB3A74" w:rsidRDefault="00646E87" w:rsidP="006F002B">
      <w:pPr>
        <w:pStyle w:val="Nadpis3"/>
        <w:numPr>
          <w:ilvl w:val="2"/>
          <w:numId w:val="2"/>
        </w:numPr>
      </w:pPr>
      <w:r w:rsidRPr="00AB3A74">
        <w:t xml:space="preserve">Podpora rovnosti </w:t>
      </w:r>
      <w:r>
        <w:t>mužov a</w:t>
      </w:r>
      <w:r w:rsidR="009B2270">
        <w:t> </w:t>
      </w:r>
      <w:r>
        <w:t>žien</w:t>
      </w:r>
      <w:r w:rsidR="009B2270">
        <w:t xml:space="preserve"> a</w:t>
      </w:r>
      <w:r w:rsidRPr="00AB3A74">
        <w:t xml:space="preserve"> nediskriminácie</w:t>
      </w:r>
    </w:p>
    <w:p w:rsidR="0083486B" w:rsidRDefault="00646E87" w:rsidP="0027382A">
      <w:pPr>
        <w:rPr>
          <w:rFonts w:ascii="Calibri" w:hAnsi="Calibri"/>
        </w:rPr>
      </w:pPr>
      <w:r w:rsidRPr="00AB3A74">
        <w:rPr>
          <w:rFonts w:ascii="Calibri" w:hAnsi="Calibri"/>
        </w:rPr>
        <w:t>Hlavné ciele pre horizontálny princíp</w:t>
      </w:r>
      <w:r w:rsidR="003543D0">
        <w:rPr>
          <w:rFonts w:ascii="Calibri" w:hAnsi="Calibri"/>
        </w:rPr>
        <w:t xml:space="preserve"> podpora</w:t>
      </w:r>
      <w:r w:rsidRPr="00AB3A74">
        <w:rPr>
          <w:rFonts w:ascii="Calibri" w:hAnsi="Calibri"/>
        </w:rPr>
        <w:t xml:space="preserve"> </w:t>
      </w:r>
      <w:r w:rsidR="003543D0">
        <w:rPr>
          <w:rFonts w:ascii="Calibri" w:hAnsi="Calibri"/>
        </w:rPr>
        <w:t xml:space="preserve">rovnosti mužov a žien </w:t>
      </w:r>
      <w:r w:rsidRPr="00AB3A74">
        <w:rPr>
          <w:rFonts w:ascii="Calibri" w:hAnsi="Calibri"/>
        </w:rPr>
        <w:t>sú zadefinované v závislosti od fondu EÚ, z ktorého sú programy a ich prioritné osi</w:t>
      </w:r>
      <w:r w:rsidR="00493A6C">
        <w:rPr>
          <w:rStyle w:val="Odkaznapoznmkupodiarou"/>
          <w:rFonts w:ascii="Calibri" w:hAnsi="Calibri"/>
        </w:rPr>
        <w:footnoteReference w:id="316"/>
      </w:r>
      <w:r w:rsidRPr="00AB3A74">
        <w:rPr>
          <w:rFonts w:ascii="Calibri" w:hAnsi="Calibri"/>
        </w:rPr>
        <w:t xml:space="preserve"> podporované. Hlavným cieľom pre programy ESF je zabezpečiť rovnosť mužov a žien na trhu práce a v príprave naň a cieľom pre ostatné programy EŠIF je zníženie horizontálnej a vertikálnej rodovej segregácie v odvetviach hospodárstva.</w:t>
      </w:r>
    </w:p>
    <w:p w:rsidR="00646E87" w:rsidRPr="00AB3A74" w:rsidRDefault="00646E87" w:rsidP="0027382A">
      <w:pPr>
        <w:rPr>
          <w:rFonts w:ascii="Calibri" w:hAnsi="Calibri"/>
        </w:rPr>
      </w:pPr>
      <w:r w:rsidRPr="00AB3A74">
        <w:rPr>
          <w:rFonts w:ascii="Calibri" w:hAnsi="Calibri"/>
        </w:rPr>
        <w:t>Hlavným cieľom horizontálneho princípu nediskriminácia pre programy ESF je zabezpečiť rovnosť príležitostí na trhu práce a v príprave naň a pre ostatné programy EŠIF je zabezpečiť rovnosť príležitostí v prístupe a využívaní infraštruktúry a služieb.</w:t>
      </w:r>
      <w:r w:rsidR="0083486B">
        <w:rPr>
          <w:rFonts w:ascii="Calibri" w:hAnsi="Calibri"/>
        </w:rPr>
        <w:t xml:space="preserve"> </w:t>
      </w:r>
      <w:r w:rsidRPr="00AB3A74">
        <w:rPr>
          <w:rFonts w:ascii="Calibri" w:hAnsi="Calibri"/>
        </w:rPr>
        <w:t xml:space="preserve">Osobitný </w:t>
      </w:r>
      <w:r w:rsidR="0083486B">
        <w:rPr>
          <w:rFonts w:ascii="Calibri" w:hAnsi="Calibri"/>
        </w:rPr>
        <w:t xml:space="preserve">dôraz </w:t>
      </w:r>
      <w:r w:rsidRPr="00AB3A74">
        <w:rPr>
          <w:rFonts w:ascii="Calibri" w:hAnsi="Calibri"/>
        </w:rPr>
        <w:t>si vyžadujú osoby so zdravotným postihnutím, pre ktoré je potrebné vytvorenie mimoriadnych podmienok prístupnosti (napr. bezbariérové architektonické prostredie, prístupné informácie a pod.). Bez takto vytvorených podmienok nie je možné osoby so zdravotným postihnutím začleniť do spoločnosti a do pracovného procesu v zmysle Dohovoru OSN o právach osôb so zdravotným postihnutím, ktorý pre SR nadobudol platnosť 25. júna 2010</w:t>
      </w:r>
      <w:r w:rsidRPr="00AB3A74">
        <w:rPr>
          <w:rFonts w:ascii="Calibri" w:hAnsi="Calibri"/>
          <w:vertAlign w:val="superscript"/>
        </w:rPr>
        <w:footnoteReference w:id="317"/>
      </w:r>
      <w:r w:rsidRPr="00AB3A74">
        <w:rPr>
          <w:rFonts w:ascii="Calibri" w:hAnsi="Calibri"/>
        </w:rPr>
        <w:t>.</w:t>
      </w:r>
    </w:p>
    <w:p w:rsidR="00646E87" w:rsidRPr="00AB3A74" w:rsidRDefault="00646E87" w:rsidP="00646E87">
      <w:pPr>
        <w:rPr>
          <w:rFonts w:ascii="Calibri" w:hAnsi="Calibri"/>
        </w:rPr>
      </w:pPr>
      <w:r w:rsidRPr="00AB3A74">
        <w:rPr>
          <w:rFonts w:ascii="Calibri" w:hAnsi="Calibri"/>
        </w:rPr>
        <w:t>Za účelom predchádzania diskriminácie</w:t>
      </w:r>
      <w:r w:rsidR="009B2270">
        <w:rPr>
          <w:rFonts w:ascii="Calibri" w:hAnsi="Calibri"/>
        </w:rPr>
        <w:t xml:space="preserve"> </w:t>
      </w:r>
      <w:r w:rsidRPr="00AB3A74">
        <w:rPr>
          <w:rFonts w:ascii="Calibri" w:hAnsi="Calibri"/>
        </w:rPr>
        <w:t>a</w:t>
      </w:r>
      <w:r w:rsidR="009B2270">
        <w:rPr>
          <w:rFonts w:ascii="Calibri" w:hAnsi="Calibri"/>
        </w:rPr>
        <w:t xml:space="preserve"> podpory </w:t>
      </w:r>
      <w:r w:rsidRPr="00AB3A74">
        <w:rPr>
          <w:rFonts w:ascii="Calibri" w:hAnsi="Calibri"/>
        </w:rPr>
        <w:t>rovnosti</w:t>
      </w:r>
      <w:r>
        <w:rPr>
          <w:rFonts w:ascii="Calibri" w:hAnsi="Calibri"/>
        </w:rPr>
        <w:t xml:space="preserve"> mužov a žien</w:t>
      </w:r>
      <w:r w:rsidRPr="00AB3A74">
        <w:rPr>
          <w:rFonts w:ascii="Calibri" w:hAnsi="Calibri"/>
        </w:rPr>
        <w:t xml:space="preserve"> sa budú tieto princípy uplatňovať vo všetkých </w:t>
      </w:r>
      <w:r w:rsidR="00736B5E">
        <w:rPr>
          <w:rFonts w:ascii="Calibri" w:hAnsi="Calibri"/>
        </w:rPr>
        <w:t>programoch</w:t>
      </w:r>
      <w:r w:rsidRPr="00AB3A74">
        <w:rPr>
          <w:rFonts w:ascii="Calibri" w:hAnsi="Calibri"/>
        </w:rPr>
        <w:t>, a</w:t>
      </w:r>
      <w:r w:rsidR="00A10CE3">
        <w:rPr>
          <w:rFonts w:ascii="Calibri" w:hAnsi="Calibri"/>
        </w:rPr>
        <w:t> </w:t>
      </w:r>
      <w:r w:rsidRPr="00AB3A74">
        <w:rPr>
          <w:rFonts w:ascii="Calibri" w:hAnsi="Calibri"/>
        </w:rPr>
        <w:t>to</w:t>
      </w:r>
      <w:r w:rsidR="00A10CE3">
        <w:rPr>
          <w:rFonts w:ascii="Calibri" w:hAnsi="Calibri"/>
        </w:rPr>
        <w:t xml:space="preserve"> </w:t>
      </w:r>
      <w:r w:rsidRPr="00AB3A74">
        <w:rPr>
          <w:rFonts w:ascii="Calibri" w:hAnsi="Calibri"/>
        </w:rPr>
        <w:t>prostredníctvom zavádzania vyrovnávacích opatrení a aktivít cielených na podporu znevýhodnených skupín</w:t>
      </w:r>
      <w:r w:rsidR="003332C1">
        <w:rPr>
          <w:rFonts w:ascii="Calibri" w:hAnsi="Calibri"/>
        </w:rPr>
        <w:t xml:space="preserve"> pri zohľadnení špecifík ENRF</w:t>
      </w:r>
      <w:r w:rsidRPr="00AB3A74">
        <w:rPr>
          <w:rFonts w:ascii="Calibri" w:hAnsi="Calibri"/>
        </w:rPr>
        <w:t xml:space="preserve">. </w:t>
      </w:r>
      <w:r w:rsidR="0059184E" w:rsidRPr="003F0750">
        <w:rPr>
          <w:rFonts w:ascii="Calibri" w:hAnsi="Calibri"/>
        </w:rPr>
        <w:t xml:space="preserve">Popis aktivít zameraných na zavádzanie dočasných vyrovnávacích opatrení, dodržiavanie </w:t>
      </w:r>
      <w:r w:rsidR="0083486B">
        <w:rPr>
          <w:rFonts w:ascii="Calibri" w:hAnsi="Calibri"/>
        </w:rPr>
        <w:t>princípov</w:t>
      </w:r>
      <w:r w:rsidR="0083486B" w:rsidRPr="003F0750">
        <w:rPr>
          <w:rFonts w:ascii="Calibri" w:hAnsi="Calibri"/>
        </w:rPr>
        <w:t xml:space="preserve"> </w:t>
      </w:r>
      <w:r w:rsidR="0059184E" w:rsidRPr="003F0750">
        <w:rPr>
          <w:rFonts w:ascii="Calibri" w:hAnsi="Calibri"/>
        </w:rPr>
        <w:t>nediskriminácie</w:t>
      </w:r>
      <w:r w:rsidR="0083486B">
        <w:rPr>
          <w:rFonts w:ascii="Calibri" w:hAnsi="Calibri"/>
        </w:rPr>
        <w:t xml:space="preserve"> a</w:t>
      </w:r>
      <w:r w:rsidR="00A10CE3">
        <w:rPr>
          <w:rFonts w:ascii="Calibri" w:hAnsi="Calibri"/>
        </w:rPr>
        <w:t> </w:t>
      </w:r>
      <w:r w:rsidR="0059184E" w:rsidRPr="003F0750">
        <w:rPr>
          <w:rFonts w:ascii="Calibri" w:hAnsi="Calibri"/>
        </w:rPr>
        <w:t>podpory</w:t>
      </w:r>
      <w:r w:rsidR="00A10CE3">
        <w:rPr>
          <w:rFonts w:ascii="Calibri" w:hAnsi="Calibri"/>
        </w:rPr>
        <w:t xml:space="preserve"> </w:t>
      </w:r>
      <w:r w:rsidR="0059184E" w:rsidRPr="003F0750">
        <w:rPr>
          <w:rFonts w:ascii="Calibri" w:hAnsi="Calibri"/>
        </w:rPr>
        <w:t xml:space="preserve">rovnosti </w:t>
      </w:r>
      <w:r w:rsidR="003543D0">
        <w:rPr>
          <w:rFonts w:ascii="Calibri" w:hAnsi="Calibri"/>
        </w:rPr>
        <w:t> mužov a žien</w:t>
      </w:r>
      <w:r w:rsidR="0083486B">
        <w:rPr>
          <w:rFonts w:ascii="Calibri" w:hAnsi="Calibri"/>
        </w:rPr>
        <w:t>,</w:t>
      </w:r>
      <w:r w:rsidR="0059184E" w:rsidRPr="003F0750">
        <w:rPr>
          <w:rFonts w:ascii="Calibri" w:hAnsi="Calibri"/>
        </w:rPr>
        <w:t xml:space="preserve"> ako aj výsledný dokument z</w:t>
      </w:r>
      <w:r w:rsidR="0059184E">
        <w:rPr>
          <w:rFonts w:ascii="Calibri" w:hAnsi="Calibri"/>
        </w:rPr>
        <w:t> </w:t>
      </w:r>
      <w:r w:rsidR="0059184E" w:rsidRPr="003F0750">
        <w:rPr>
          <w:rFonts w:ascii="Calibri" w:hAnsi="Calibri"/>
        </w:rPr>
        <w:t>procesu posudzovania (v prípade prístupnosti) alebo vyjadrenie príslušného orgánu o</w:t>
      </w:r>
      <w:r w:rsidR="0059184E">
        <w:rPr>
          <w:rFonts w:ascii="Calibri" w:hAnsi="Calibri"/>
        </w:rPr>
        <w:t> </w:t>
      </w:r>
      <w:r w:rsidR="0059184E" w:rsidRPr="003F0750">
        <w:rPr>
          <w:rFonts w:ascii="Calibri" w:hAnsi="Calibri"/>
        </w:rPr>
        <w:t xml:space="preserve">tom, že navrhovaná činnosť, resp. zmena navrhovanej činnosti, dodržiava </w:t>
      </w:r>
      <w:r w:rsidR="00B324D4">
        <w:rPr>
          <w:rFonts w:ascii="Calibri" w:hAnsi="Calibri"/>
        </w:rPr>
        <w:t>zásadu</w:t>
      </w:r>
      <w:r w:rsidR="0059184E" w:rsidRPr="003F0750">
        <w:rPr>
          <w:rFonts w:ascii="Calibri" w:hAnsi="Calibri"/>
        </w:rPr>
        <w:t xml:space="preserve"> prístupnosti, budú povinnou prílo</w:t>
      </w:r>
      <w:r w:rsidR="0059184E" w:rsidRPr="0059184E">
        <w:rPr>
          <w:rFonts w:ascii="Calibri" w:hAnsi="Calibri"/>
        </w:rPr>
        <w:t>hou žiadosti o</w:t>
      </w:r>
      <w:r w:rsidR="0059184E">
        <w:rPr>
          <w:rFonts w:ascii="Calibri" w:hAnsi="Calibri"/>
        </w:rPr>
        <w:t> </w:t>
      </w:r>
      <w:r w:rsidR="003543D0">
        <w:rPr>
          <w:rFonts w:ascii="Calibri" w:hAnsi="Calibri"/>
        </w:rPr>
        <w:t>podporu</w:t>
      </w:r>
      <w:r w:rsidR="0059184E">
        <w:rPr>
          <w:rFonts w:ascii="Calibri" w:hAnsi="Calibri"/>
        </w:rPr>
        <w:t xml:space="preserve">. </w:t>
      </w:r>
      <w:r w:rsidRPr="00AB3A74">
        <w:rPr>
          <w:rFonts w:ascii="Calibri" w:hAnsi="Calibri"/>
        </w:rPr>
        <w:t xml:space="preserve">Tento prístup bude integrovaný do programov EŠIF na roky 2014 – 2020 prostredníctvom ich riadiacej </w:t>
      </w:r>
      <w:r w:rsidRPr="004135FF">
        <w:rPr>
          <w:rFonts w:ascii="Calibri" w:hAnsi="Calibri"/>
        </w:rPr>
        <w:t xml:space="preserve">dokumentácie (programový manuál, príručka pre žiadateľa). Pre identifikáciu prioritných </w:t>
      </w:r>
      <w:r w:rsidRPr="004135FF">
        <w:rPr>
          <w:rFonts w:ascii="Calibri" w:hAnsi="Calibri"/>
        </w:rPr>
        <w:lastRenderedPageBreak/>
        <w:t>oblastí a cieľov na</w:t>
      </w:r>
      <w:r w:rsidRPr="00AB3A74">
        <w:rPr>
          <w:rFonts w:ascii="Calibri" w:hAnsi="Calibri"/>
        </w:rPr>
        <w:t xml:space="preserve"> uplatňovanie princíp</w:t>
      </w:r>
      <w:r w:rsidR="00B324D4">
        <w:rPr>
          <w:rFonts w:ascii="Calibri" w:hAnsi="Calibri"/>
        </w:rPr>
        <w:t>ov</w:t>
      </w:r>
      <w:r w:rsidRPr="00AB3A74">
        <w:rPr>
          <w:rFonts w:ascii="Calibri" w:hAnsi="Calibri"/>
        </w:rPr>
        <w:t xml:space="preserve"> predchádzania diskriminácie, </w:t>
      </w:r>
      <w:r w:rsidR="00B324D4">
        <w:rPr>
          <w:rFonts w:ascii="Calibri" w:hAnsi="Calibri"/>
        </w:rPr>
        <w:t>a</w:t>
      </w:r>
      <w:r w:rsidR="002E3096">
        <w:rPr>
          <w:rFonts w:ascii="Calibri" w:hAnsi="Calibri"/>
        </w:rPr>
        <w:t> </w:t>
      </w:r>
      <w:r w:rsidRPr="00AB3A74">
        <w:rPr>
          <w:rFonts w:ascii="Calibri" w:hAnsi="Calibri"/>
        </w:rPr>
        <w:t>podpory</w:t>
      </w:r>
      <w:r w:rsidR="002E3096">
        <w:rPr>
          <w:rFonts w:ascii="Calibri" w:hAnsi="Calibri"/>
        </w:rPr>
        <w:t xml:space="preserve"> </w:t>
      </w:r>
      <w:r w:rsidRPr="00AB3A74">
        <w:rPr>
          <w:rFonts w:ascii="Calibri" w:hAnsi="Calibri"/>
        </w:rPr>
        <w:t xml:space="preserve">rovnosti </w:t>
      </w:r>
      <w:r w:rsidR="00B324D4">
        <w:rPr>
          <w:rFonts w:ascii="Calibri" w:hAnsi="Calibri"/>
        </w:rPr>
        <w:t xml:space="preserve">medzi mužmi a ženami </w:t>
      </w:r>
      <w:r w:rsidRPr="00AB3A74">
        <w:rPr>
          <w:rFonts w:ascii="Calibri" w:hAnsi="Calibri"/>
        </w:rPr>
        <w:t>bude základným rámcom národný strategický dokument, prostredníctvom ktorého sa zabezpečí jeho aplikácia v</w:t>
      </w:r>
      <w:r>
        <w:rPr>
          <w:rFonts w:ascii="Calibri" w:hAnsi="Calibri"/>
        </w:rPr>
        <w:t> </w:t>
      </w:r>
      <w:r w:rsidR="00736B5E">
        <w:rPr>
          <w:rFonts w:ascii="Calibri" w:hAnsi="Calibri"/>
        </w:rPr>
        <w:t xml:space="preserve">programoch </w:t>
      </w:r>
      <w:r>
        <w:rPr>
          <w:rFonts w:ascii="Calibri" w:hAnsi="Calibri"/>
        </w:rPr>
        <w:t>v</w:t>
      </w:r>
      <w:r w:rsidR="002E3096">
        <w:rPr>
          <w:rFonts w:ascii="Calibri" w:hAnsi="Calibri"/>
        </w:rPr>
        <w:t> </w:t>
      </w:r>
      <w:r>
        <w:rPr>
          <w:rFonts w:ascii="Calibri" w:hAnsi="Calibri"/>
        </w:rPr>
        <w:t>rámci</w:t>
      </w:r>
      <w:r w:rsidR="002E3096">
        <w:rPr>
          <w:rFonts w:ascii="Calibri" w:hAnsi="Calibri"/>
        </w:rPr>
        <w:t xml:space="preserve"> </w:t>
      </w:r>
      <w:r w:rsidRPr="00AB3A74">
        <w:rPr>
          <w:rFonts w:ascii="Calibri" w:hAnsi="Calibri"/>
        </w:rPr>
        <w:t xml:space="preserve">EŠIF. Pre účinné uplatňovanie </w:t>
      </w:r>
      <w:r w:rsidR="00B324D4" w:rsidRPr="00AB3A74">
        <w:rPr>
          <w:rFonts w:ascii="Calibri" w:hAnsi="Calibri"/>
        </w:rPr>
        <w:t>horizontáln</w:t>
      </w:r>
      <w:r w:rsidR="00B324D4">
        <w:rPr>
          <w:rFonts w:ascii="Calibri" w:hAnsi="Calibri"/>
        </w:rPr>
        <w:t>ych</w:t>
      </w:r>
      <w:r w:rsidR="00B324D4" w:rsidRPr="00AB3A74">
        <w:rPr>
          <w:rFonts w:ascii="Calibri" w:hAnsi="Calibri"/>
        </w:rPr>
        <w:t xml:space="preserve"> princíp</w:t>
      </w:r>
      <w:r w:rsidR="00B324D4">
        <w:rPr>
          <w:rFonts w:ascii="Calibri" w:hAnsi="Calibri"/>
        </w:rPr>
        <w:t>ov</w:t>
      </w:r>
      <w:r w:rsidR="00B324D4" w:rsidRPr="00AB3A74">
        <w:rPr>
          <w:rFonts w:ascii="Calibri" w:hAnsi="Calibri"/>
        </w:rPr>
        <w:t xml:space="preserve"> </w:t>
      </w:r>
      <w:r w:rsidR="00B324D4">
        <w:rPr>
          <w:rFonts w:ascii="Calibri" w:hAnsi="Calibri"/>
        </w:rPr>
        <w:t>podpora rovnosti mužov a žien a</w:t>
      </w:r>
      <w:r w:rsidR="002E3096">
        <w:rPr>
          <w:rFonts w:ascii="Calibri" w:hAnsi="Calibri"/>
        </w:rPr>
        <w:t> </w:t>
      </w:r>
      <w:r w:rsidRPr="00AB3A74">
        <w:rPr>
          <w:rFonts w:ascii="Calibri" w:hAnsi="Calibri"/>
        </w:rPr>
        <w:t>nediskriminácia</w:t>
      </w:r>
      <w:r w:rsidR="002E3096">
        <w:rPr>
          <w:rFonts w:ascii="Calibri" w:hAnsi="Calibri"/>
        </w:rPr>
        <w:t xml:space="preserve"> </w:t>
      </w:r>
      <w:r w:rsidRPr="00AB3A74">
        <w:rPr>
          <w:rFonts w:ascii="Calibri" w:hAnsi="Calibri"/>
        </w:rPr>
        <w:t>bude v hodnotiacom a výberovom procese žiadostí o </w:t>
      </w:r>
      <w:r w:rsidR="003543D0">
        <w:rPr>
          <w:rFonts w:ascii="Calibri" w:hAnsi="Calibri"/>
        </w:rPr>
        <w:t xml:space="preserve">podporu </w:t>
      </w:r>
      <w:r w:rsidRPr="00AB3A74">
        <w:rPr>
          <w:rFonts w:ascii="Calibri" w:hAnsi="Calibri"/>
        </w:rPr>
        <w:t xml:space="preserve">stanovené diskvalifikačné kritérium v rámci prioritných osí </w:t>
      </w:r>
      <w:r w:rsidR="00736B5E">
        <w:rPr>
          <w:rFonts w:ascii="Calibri" w:hAnsi="Calibri"/>
        </w:rPr>
        <w:t>programu</w:t>
      </w:r>
      <w:r w:rsidRPr="00AB3A74">
        <w:rPr>
          <w:rFonts w:ascii="Calibri" w:hAnsi="Calibri"/>
        </w:rPr>
        <w:t>.</w:t>
      </w:r>
      <w:r w:rsidR="009767BA">
        <w:rPr>
          <w:rFonts w:ascii="Calibri" w:hAnsi="Calibri"/>
        </w:rPr>
        <w:t xml:space="preserve"> Zároveň bude povinnou prílohou </w:t>
      </w:r>
      <w:r w:rsidR="003543D0">
        <w:rPr>
          <w:rFonts w:ascii="Calibri" w:hAnsi="Calibri"/>
        </w:rPr>
        <w:t> žiadosti o</w:t>
      </w:r>
      <w:r w:rsidR="002E3096">
        <w:rPr>
          <w:rFonts w:ascii="Calibri" w:hAnsi="Calibri"/>
        </w:rPr>
        <w:t> </w:t>
      </w:r>
      <w:r w:rsidR="003543D0">
        <w:rPr>
          <w:rFonts w:ascii="Calibri" w:hAnsi="Calibri"/>
        </w:rPr>
        <w:t>podporu</w:t>
      </w:r>
      <w:r w:rsidR="002E3096">
        <w:rPr>
          <w:rFonts w:ascii="Calibri" w:hAnsi="Calibri"/>
        </w:rPr>
        <w:t xml:space="preserve"> </w:t>
      </w:r>
      <w:r w:rsidR="009767BA">
        <w:rPr>
          <w:rFonts w:ascii="Calibri" w:hAnsi="Calibri"/>
        </w:rPr>
        <w:t>z EŠIF aj povolenie v prípadoch činností, na ktoré sa povinnosť jeho vydania vzťahuje.</w:t>
      </w:r>
    </w:p>
    <w:p w:rsidR="00646E87" w:rsidRPr="00AB3A74" w:rsidRDefault="00646E87" w:rsidP="00646E87">
      <w:pPr>
        <w:rPr>
          <w:rFonts w:ascii="Calibri" w:hAnsi="Calibri"/>
        </w:rPr>
      </w:pPr>
      <w:r w:rsidRPr="00AB3A74">
        <w:rPr>
          <w:rFonts w:ascii="Calibri" w:hAnsi="Calibri"/>
        </w:rPr>
        <w:t>Proces monitorovania plnenia horizontálnych princípov bude na projektovej úrovni sledovaný prostredníctvom monitorovacích správ, ktorých súčasťou bude samostatný výstup obsahujúci informácie o horizontálnych princípoch (t. j. popisom vykonaných aktivít, ich výsledkov a vyhodnotením ich príspevku k dosahovaniu stanovených cieľov horizontálnych princípov), ako aj kontrolou na mieste a následne hodnotením príspevku k cieľom horizontálnych princípov. Samostatný výstup obsahujúci informácie o uplatňovaní horizontáln</w:t>
      </w:r>
      <w:r w:rsidR="009767BA">
        <w:rPr>
          <w:rFonts w:ascii="Calibri" w:hAnsi="Calibri"/>
        </w:rPr>
        <w:t>ych</w:t>
      </w:r>
      <w:r w:rsidRPr="00AB3A74">
        <w:rPr>
          <w:rFonts w:ascii="Calibri" w:hAnsi="Calibri"/>
        </w:rPr>
        <w:t xml:space="preserve"> princíp</w:t>
      </w:r>
      <w:r w:rsidR="009767BA">
        <w:rPr>
          <w:rFonts w:ascii="Calibri" w:hAnsi="Calibri"/>
        </w:rPr>
        <w:t>ov</w:t>
      </w:r>
      <w:r w:rsidRPr="00AB3A74">
        <w:rPr>
          <w:rFonts w:ascii="Calibri" w:hAnsi="Calibri"/>
        </w:rPr>
        <w:t xml:space="preserve"> bude podkladom pre proces hodnotenia príspevku EŠIF k plneniu cieľov identifikovaných v národnom strategickom dokumente. Odpočet plnenia dosiahnutej úrovne stanovených cieľov v národnom strategickom dokumente, vrátane návrhu nápravných opatrení a odporúčaní k ich dosiahnutiu, bude každoročne predkladaný </w:t>
      </w:r>
      <w:r w:rsidR="003543D0">
        <w:rPr>
          <w:rFonts w:ascii="Calibri" w:hAnsi="Calibri"/>
        </w:rPr>
        <w:t>na rokovanie</w:t>
      </w:r>
      <w:r w:rsidR="003543D0" w:rsidRPr="00AB3A74">
        <w:rPr>
          <w:rFonts w:ascii="Calibri" w:hAnsi="Calibri"/>
        </w:rPr>
        <w:t xml:space="preserve"> </w:t>
      </w:r>
      <w:r w:rsidRPr="00AB3A74">
        <w:rPr>
          <w:rFonts w:ascii="Calibri" w:hAnsi="Calibri"/>
        </w:rPr>
        <w:t>vlády SR.</w:t>
      </w:r>
    </w:p>
    <w:p w:rsidR="00646E87" w:rsidRPr="00AB3A74" w:rsidRDefault="00646E87" w:rsidP="00646E87">
      <w:pPr>
        <w:rPr>
          <w:rFonts w:ascii="Calibri" w:hAnsi="Calibri"/>
        </w:rPr>
      </w:pPr>
      <w:r w:rsidRPr="00AB3A74">
        <w:rPr>
          <w:rFonts w:ascii="Calibri" w:hAnsi="Calibri"/>
        </w:rPr>
        <w:t xml:space="preserve">RO budú predkladať orgánu zodpovednému za uplatňovanie horizontálnych princípov </w:t>
      </w:r>
      <w:r w:rsidR="009767BA">
        <w:rPr>
          <w:rFonts w:ascii="Calibri" w:hAnsi="Calibri"/>
        </w:rPr>
        <w:t>podpory rovnosti mužov a</w:t>
      </w:r>
      <w:r w:rsidR="00696833">
        <w:rPr>
          <w:rFonts w:ascii="Calibri" w:hAnsi="Calibri"/>
        </w:rPr>
        <w:t> </w:t>
      </w:r>
      <w:r w:rsidR="009767BA">
        <w:rPr>
          <w:rFonts w:ascii="Calibri" w:hAnsi="Calibri"/>
        </w:rPr>
        <w:t>žien</w:t>
      </w:r>
      <w:r w:rsidR="00696833">
        <w:rPr>
          <w:rFonts w:ascii="Calibri" w:hAnsi="Calibri"/>
        </w:rPr>
        <w:t xml:space="preserve"> </w:t>
      </w:r>
      <w:r w:rsidR="00B324D4">
        <w:rPr>
          <w:rFonts w:ascii="Calibri" w:hAnsi="Calibri"/>
        </w:rPr>
        <w:t>a</w:t>
      </w:r>
      <w:r w:rsidR="002E3096">
        <w:rPr>
          <w:rFonts w:ascii="Calibri" w:hAnsi="Calibri"/>
        </w:rPr>
        <w:t> </w:t>
      </w:r>
      <w:r w:rsidR="003543D0" w:rsidRPr="00AB3A74">
        <w:rPr>
          <w:rFonts w:ascii="Calibri" w:hAnsi="Calibri"/>
        </w:rPr>
        <w:t>nediskrimináci</w:t>
      </w:r>
      <w:r w:rsidR="003543D0">
        <w:rPr>
          <w:rFonts w:ascii="Calibri" w:hAnsi="Calibri"/>
        </w:rPr>
        <w:t>e</w:t>
      </w:r>
      <w:r w:rsidR="002E3096">
        <w:rPr>
          <w:rFonts w:ascii="Calibri" w:hAnsi="Calibri"/>
        </w:rPr>
        <w:t xml:space="preserve"> </w:t>
      </w:r>
      <w:r w:rsidRPr="00AB3A74">
        <w:rPr>
          <w:rFonts w:ascii="Calibri" w:hAnsi="Calibri"/>
        </w:rPr>
        <w:t>pravidelnú informáciu o ich plnení, a</w:t>
      </w:r>
      <w:r w:rsidR="002E3096">
        <w:rPr>
          <w:rFonts w:ascii="Calibri" w:hAnsi="Calibri"/>
        </w:rPr>
        <w:t> </w:t>
      </w:r>
      <w:r w:rsidRPr="00AB3A74">
        <w:rPr>
          <w:rFonts w:ascii="Calibri" w:hAnsi="Calibri"/>
        </w:rPr>
        <w:t>to</w:t>
      </w:r>
      <w:r w:rsidR="002E3096">
        <w:rPr>
          <w:rFonts w:ascii="Calibri" w:hAnsi="Calibri"/>
        </w:rPr>
        <w:t xml:space="preserve"> </w:t>
      </w:r>
      <w:r w:rsidRPr="00AB3A74">
        <w:rPr>
          <w:rFonts w:ascii="Calibri" w:hAnsi="Calibri"/>
        </w:rPr>
        <w:t xml:space="preserve">vyhodnotením monitorovacích správ a kontrol na mieste v pravidelných časových intervaloch. Analytickú, hodnotiacu, strategickú a legislatívnu činnosť pre uplatňovanie horizontálnych princípov </w:t>
      </w:r>
      <w:r w:rsidR="009767BA">
        <w:rPr>
          <w:rFonts w:ascii="Calibri" w:hAnsi="Calibri"/>
        </w:rPr>
        <w:t>podpory rovnosti mužov a</w:t>
      </w:r>
      <w:r w:rsidR="00B324D4">
        <w:rPr>
          <w:rFonts w:ascii="Calibri" w:hAnsi="Calibri"/>
        </w:rPr>
        <w:t> </w:t>
      </w:r>
      <w:r w:rsidR="009767BA">
        <w:rPr>
          <w:rFonts w:ascii="Calibri" w:hAnsi="Calibri"/>
        </w:rPr>
        <w:t>žien</w:t>
      </w:r>
      <w:r w:rsidR="00B324D4">
        <w:rPr>
          <w:rFonts w:ascii="Calibri" w:hAnsi="Calibri"/>
        </w:rPr>
        <w:t xml:space="preserve"> a</w:t>
      </w:r>
      <w:r w:rsidR="002E3096">
        <w:rPr>
          <w:rFonts w:ascii="Calibri" w:hAnsi="Calibri"/>
        </w:rPr>
        <w:t> </w:t>
      </w:r>
      <w:r w:rsidR="00B324D4" w:rsidRPr="00AB3A74">
        <w:rPr>
          <w:rFonts w:ascii="Calibri" w:hAnsi="Calibri"/>
        </w:rPr>
        <w:t>nediskrimináci</w:t>
      </w:r>
      <w:r w:rsidR="00B324D4">
        <w:rPr>
          <w:rFonts w:ascii="Calibri" w:hAnsi="Calibri"/>
        </w:rPr>
        <w:t>e</w:t>
      </w:r>
      <w:r w:rsidR="002E3096">
        <w:rPr>
          <w:rFonts w:ascii="Calibri" w:hAnsi="Calibri"/>
        </w:rPr>
        <w:t xml:space="preserve"> </w:t>
      </w:r>
      <w:r w:rsidRPr="00AB3A74">
        <w:rPr>
          <w:rFonts w:ascii="Calibri" w:hAnsi="Calibri"/>
        </w:rPr>
        <w:t>bude na národnej úrovni zabezpečovať MPSVR SR, ktoré je zodpovedné za štátnu politiku v týchto oblastiach</w:t>
      </w:r>
      <w:r>
        <w:rPr>
          <w:rFonts w:ascii="Calibri" w:hAnsi="Calibri"/>
        </w:rPr>
        <w:t xml:space="preserve"> a ktoré bude zodpovedné za definovanie podmienok poskytnutia </w:t>
      </w:r>
      <w:r w:rsidR="003543D0">
        <w:rPr>
          <w:rFonts w:ascii="Calibri" w:hAnsi="Calibri"/>
        </w:rPr>
        <w:t xml:space="preserve">podpory </w:t>
      </w:r>
      <w:r>
        <w:rPr>
          <w:rFonts w:ascii="Calibri" w:hAnsi="Calibri"/>
        </w:rPr>
        <w:t xml:space="preserve">súvisiacej so zabezpečením aplikovania </w:t>
      </w:r>
      <w:r w:rsidR="009767BA">
        <w:rPr>
          <w:rFonts w:ascii="Calibri" w:hAnsi="Calibri"/>
        </w:rPr>
        <w:t xml:space="preserve">týchto horizontálnych </w:t>
      </w:r>
      <w:r>
        <w:rPr>
          <w:rFonts w:ascii="Calibri" w:hAnsi="Calibri"/>
        </w:rPr>
        <w:t>princíp</w:t>
      </w:r>
      <w:r w:rsidR="009767BA">
        <w:rPr>
          <w:rFonts w:ascii="Calibri" w:hAnsi="Calibri"/>
        </w:rPr>
        <w:t>ov</w:t>
      </w:r>
      <w:r>
        <w:rPr>
          <w:rFonts w:ascii="Calibri" w:hAnsi="Calibri"/>
        </w:rPr>
        <w:t xml:space="preserve"> a</w:t>
      </w:r>
      <w:r w:rsidR="009767BA">
        <w:rPr>
          <w:rFonts w:ascii="Calibri" w:hAnsi="Calibri"/>
        </w:rPr>
        <w:t> </w:t>
      </w:r>
      <w:r>
        <w:rPr>
          <w:rFonts w:ascii="Calibri" w:hAnsi="Calibri"/>
        </w:rPr>
        <w:t xml:space="preserve">spôsobu </w:t>
      </w:r>
      <w:r w:rsidR="009767BA">
        <w:rPr>
          <w:rFonts w:ascii="Calibri" w:hAnsi="Calibri"/>
        </w:rPr>
        <w:t xml:space="preserve">ich </w:t>
      </w:r>
      <w:r>
        <w:rPr>
          <w:rFonts w:ascii="Calibri" w:hAnsi="Calibri"/>
        </w:rPr>
        <w:t>overovania, ktorý bude pre RO záväzný.</w:t>
      </w:r>
      <w:r w:rsidRPr="00AB3A74">
        <w:rPr>
          <w:rFonts w:ascii="Calibri" w:hAnsi="Calibri"/>
        </w:rPr>
        <w:t xml:space="preserve"> Rovnako bude zabezpečovať vzdelávacie a školiace aktivity pre uplatňovanie rovnosti</w:t>
      </w:r>
      <w:r w:rsidR="001074BF">
        <w:rPr>
          <w:rFonts w:ascii="Calibri" w:hAnsi="Calibri"/>
        </w:rPr>
        <w:t xml:space="preserve"> mužov a</w:t>
      </w:r>
      <w:r w:rsidR="00B324D4">
        <w:rPr>
          <w:rFonts w:ascii="Calibri" w:hAnsi="Calibri"/>
        </w:rPr>
        <w:t> </w:t>
      </w:r>
      <w:r w:rsidR="001074BF">
        <w:rPr>
          <w:rFonts w:ascii="Calibri" w:hAnsi="Calibri"/>
        </w:rPr>
        <w:t>žien</w:t>
      </w:r>
      <w:r w:rsidR="00B324D4">
        <w:rPr>
          <w:rFonts w:ascii="Calibri" w:hAnsi="Calibri"/>
        </w:rPr>
        <w:t xml:space="preserve"> a</w:t>
      </w:r>
      <w:r w:rsidRPr="00AB3A74">
        <w:rPr>
          <w:rFonts w:ascii="Calibri" w:hAnsi="Calibri"/>
        </w:rPr>
        <w:t xml:space="preserve">  nediskriminácie subjektom zapojeným do implementácie EŠIF, relevantným sociálno-ekonomickým partnerom ako aj hodnotiteľom. </w:t>
      </w:r>
      <w:r w:rsidR="003850D8">
        <w:rPr>
          <w:rFonts w:ascii="Calibri" w:hAnsi="Calibri"/>
        </w:rPr>
        <w:t>Horizontálne princípy podpora rovnosti mužov a žien a</w:t>
      </w:r>
      <w:r w:rsidR="002E3096">
        <w:rPr>
          <w:rFonts w:ascii="Calibri" w:hAnsi="Calibri"/>
        </w:rPr>
        <w:t> </w:t>
      </w:r>
      <w:r w:rsidR="003850D8" w:rsidRPr="00AB3A74">
        <w:rPr>
          <w:rFonts w:ascii="Calibri" w:hAnsi="Calibri"/>
        </w:rPr>
        <w:t>nediskrimináci</w:t>
      </w:r>
      <w:r w:rsidR="003850D8">
        <w:rPr>
          <w:rFonts w:ascii="Calibri" w:hAnsi="Calibri"/>
        </w:rPr>
        <w:t>a</w:t>
      </w:r>
      <w:r w:rsidR="002E3096">
        <w:rPr>
          <w:rFonts w:ascii="Calibri" w:hAnsi="Calibri"/>
        </w:rPr>
        <w:t xml:space="preserve"> </w:t>
      </w:r>
      <w:r w:rsidRPr="00AB3A74">
        <w:rPr>
          <w:rFonts w:ascii="Calibri" w:hAnsi="Calibri"/>
        </w:rPr>
        <w:t>budú týmto zabezpečené nie len diskvalifikáciou pri nedodržaní podmienok, ale aj pri hodnotiacom a</w:t>
      </w:r>
      <w:r w:rsidR="002E3096">
        <w:rPr>
          <w:rFonts w:ascii="Calibri" w:hAnsi="Calibri"/>
        </w:rPr>
        <w:t> </w:t>
      </w:r>
      <w:r w:rsidRPr="00AB3A74">
        <w:rPr>
          <w:rFonts w:ascii="Calibri" w:hAnsi="Calibri"/>
        </w:rPr>
        <w:t>výberovom</w:t>
      </w:r>
      <w:r w:rsidR="002E3096">
        <w:rPr>
          <w:rFonts w:ascii="Calibri" w:hAnsi="Calibri"/>
        </w:rPr>
        <w:t xml:space="preserve"> </w:t>
      </w:r>
      <w:r w:rsidRPr="00AB3A74">
        <w:rPr>
          <w:rFonts w:ascii="Calibri" w:hAnsi="Calibri"/>
        </w:rPr>
        <w:t>procese, kde sa počíta so zapojením relevantných partnerov.</w:t>
      </w:r>
    </w:p>
    <w:p w:rsidR="00646E87" w:rsidRPr="003332C1" w:rsidRDefault="00646E87" w:rsidP="00646E87">
      <w:pPr>
        <w:rPr>
          <w:rFonts w:asciiTheme="majorHAnsi" w:hAnsiTheme="majorHAnsi"/>
          <w:szCs w:val="22"/>
        </w:rPr>
      </w:pPr>
      <w:r w:rsidRPr="00AB3A74">
        <w:rPr>
          <w:rFonts w:ascii="Calibri" w:hAnsi="Calibri"/>
        </w:rPr>
        <w:t xml:space="preserve">Na efektívne a účinné uplatňovanie uvedených horizontálnych princípov bude na národnej úrovni potrebné zvýšiť, resp. optimalizovať počet zamestnancov, ktorí budú zabezpečovať vykonávanie vymenovaných činností. Vecne príslušní zástupcovia MPSVR SR </w:t>
      </w:r>
      <w:r w:rsidR="006855AF">
        <w:rPr>
          <w:rFonts w:ascii="Calibri" w:hAnsi="Calibri"/>
        </w:rPr>
        <w:t xml:space="preserve">zodpovední </w:t>
      </w:r>
      <w:r w:rsidRPr="00AB3A74">
        <w:rPr>
          <w:rFonts w:ascii="Calibri" w:hAnsi="Calibri"/>
        </w:rPr>
        <w:t xml:space="preserve">za uplatňovanie horizontálnych princípov </w:t>
      </w:r>
      <w:r w:rsidR="001074BF">
        <w:rPr>
          <w:rFonts w:ascii="Calibri" w:hAnsi="Calibri"/>
        </w:rPr>
        <w:t>podpory rovnosti mužov a</w:t>
      </w:r>
      <w:r w:rsidR="003850D8">
        <w:rPr>
          <w:rFonts w:ascii="Calibri" w:hAnsi="Calibri"/>
        </w:rPr>
        <w:t> </w:t>
      </w:r>
      <w:r w:rsidR="001074BF">
        <w:rPr>
          <w:rFonts w:ascii="Calibri" w:hAnsi="Calibri"/>
        </w:rPr>
        <w:t>žien</w:t>
      </w:r>
      <w:r w:rsidR="003850D8">
        <w:rPr>
          <w:rFonts w:ascii="Calibri" w:hAnsi="Calibri"/>
        </w:rPr>
        <w:t xml:space="preserve"> a</w:t>
      </w:r>
      <w:r w:rsidR="002E3096">
        <w:rPr>
          <w:rFonts w:ascii="Calibri" w:hAnsi="Calibri"/>
        </w:rPr>
        <w:t> </w:t>
      </w:r>
      <w:r w:rsidRPr="00AB3A74">
        <w:rPr>
          <w:rFonts w:ascii="Calibri" w:hAnsi="Calibri"/>
        </w:rPr>
        <w:t>nediskriminácie</w:t>
      </w:r>
      <w:r w:rsidR="002E3096">
        <w:rPr>
          <w:rFonts w:ascii="Calibri" w:hAnsi="Calibri"/>
        </w:rPr>
        <w:t xml:space="preserve"> </w:t>
      </w:r>
      <w:r w:rsidRPr="00AB3A74">
        <w:rPr>
          <w:rFonts w:ascii="Calibri" w:hAnsi="Calibri"/>
        </w:rPr>
        <w:t xml:space="preserve">budú mať zabezpečené zastúpenie vo všetkých monitorovacích výboroch a pracovných skupinách na prípravu a implementáciu </w:t>
      </w:r>
      <w:r w:rsidR="00C15285">
        <w:rPr>
          <w:rFonts w:ascii="Calibri" w:hAnsi="Calibri"/>
        </w:rPr>
        <w:t xml:space="preserve">programov </w:t>
      </w:r>
      <w:r>
        <w:rPr>
          <w:rFonts w:ascii="Calibri" w:hAnsi="Calibri"/>
        </w:rPr>
        <w:t>v</w:t>
      </w:r>
      <w:r w:rsidR="002E3096">
        <w:rPr>
          <w:rFonts w:ascii="Calibri" w:hAnsi="Calibri"/>
        </w:rPr>
        <w:t> </w:t>
      </w:r>
      <w:r>
        <w:rPr>
          <w:rFonts w:ascii="Calibri" w:hAnsi="Calibri"/>
        </w:rPr>
        <w:t>rámci</w:t>
      </w:r>
      <w:r w:rsidR="002E3096">
        <w:rPr>
          <w:rFonts w:ascii="Calibri" w:hAnsi="Calibri"/>
        </w:rPr>
        <w:t xml:space="preserve"> </w:t>
      </w:r>
      <w:r w:rsidRPr="00AB3A74">
        <w:rPr>
          <w:rFonts w:ascii="Calibri" w:hAnsi="Calibri"/>
        </w:rPr>
        <w:t>EŠIF</w:t>
      </w:r>
      <w:r w:rsidRPr="003332C1">
        <w:rPr>
          <w:rFonts w:asciiTheme="majorHAnsi" w:hAnsiTheme="majorHAnsi"/>
        </w:rPr>
        <w:t>.</w:t>
      </w:r>
      <w:r w:rsidR="00D50186" w:rsidRPr="003332C1">
        <w:rPr>
          <w:rFonts w:asciiTheme="majorHAnsi" w:hAnsiTheme="majorHAnsi"/>
        </w:rPr>
        <w:t xml:space="preserve"> </w:t>
      </w:r>
      <w:r w:rsidR="00D50186" w:rsidRPr="003332C1">
        <w:rPr>
          <w:rFonts w:asciiTheme="majorHAnsi" w:hAnsiTheme="majorHAnsi" w:cs="Calibri"/>
          <w:szCs w:val="22"/>
        </w:rPr>
        <w:t>Zástupca orgánu zodpovedného za uplatňovanie horizontáln</w:t>
      </w:r>
      <w:r w:rsidR="001074BF">
        <w:rPr>
          <w:rFonts w:asciiTheme="majorHAnsi" w:hAnsiTheme="majorHAnsi" w:cs="Calibri"/>
          <w:szCs w:val="22"/>
        </w:rPr>
        <w:t xml:space="preserve">ych </w:t>
      </w:r>
      <w:r w:rsidR="00D50186" w:rsidRPr="003332C1">
        <w:rPr>
          <w:rFonts w:asciiTheme="majorHAnsi" w:hAnsiTheme="majorHAnsi" w:cs="Calibri"/>
          <w:szCs w:val="22"/>
        </w:rPr>
        <w:t>princíp</w:t>
      </w:r>
      <w:r w:rsidR="001074BF">
        <w:rPr>
          <w:rFonts w:asciiTheme="majorHAnsi" w:hAnsiTheme="majorHAnsi" w:cs="Calibri"/>
          <w:szCs w:val="22"/>
        </w:rPr>
        <w:t>ov</w:t>
      </w:r>
      <w:r w:rsidR="00D50186" w:rsidRPr="003332C1">
        <w:rPr>
          <w:rFonts w:asciiTheme="majorHAnsi" w:hAnsiTheme="majorHAnsi" w:cs="Calibri"/>
          <w:szCs w:val="22"/>
        </w:rPr>
        <w:t xml:space="preserve"> bude zodpovedný za definovanie podmienky poskytnutia </w:t>
      </w:r>
      <w:r w:rsidR="002D05F3">
        <w:rPr>
          <w:rFonts w:asciiTheme="majorHAnsi" w:hAnsiTheme="majorHAnsi" w:cs="Calibri"/>
          <w:szCs w:val="22"/>
        </w:rPr>
        <w:t>podpory</w:t>
      </w:r>
      <w:r w:rsidR="002D05F3" w:rsidRPr="003332C1">
        <w:rPr>
          <w:rFonts w:asciiTheme="majorHAnsi" w:hAnsiTheme="majorHAnsi" w:cs="Calibri"/>
          <w:szCs w:val="22"/>
        </w:rPr>
        <w:t xml:space="preserve"> </w:t>
      </w:r>
      <w:r w:rsidR="00D50186" w:rsidRPr="003332C1">
        <w:rPr>
          <w:rFonts w:asciiTheme="majorHAnsi" w:hAnsiTheme="majorHAnsi" w:cs="Calibri"/>
          <w:szCs w:val="22"/>
        </w:rPr>
        <w:t>súvisiacej so zabezpečením aplikovania horizontáln</w:t>
      </w:r>
      <w:r w:rsidR="001074BF">
        <w:rPr>
          <w:rFonts w:asciiTheme="majorHAnsi" w:hAnsiTheme="majorHAnsi" w:cs="Calibri"/>
          <w:szCs w:val="22"/>
        </w:rPr>
        <w:t>ych</w:t>
      </w:r>
      <w:r w:rsidR="00D50186" w:rsidRPr="003332C1">
        <w:rPr>
          <w:rFonts w:asciiTheme="majorHAnsi" w:hAnsiTheme="majorHAnsi" w:cs="Calibri"/>
          <w:szCs w:val="22"/>
        </w:rPr>
        <w:t xml:space="preserve"> princíp</w:t>
      </w:r>
      <w:r w:rsidR="001074BF">
        <w:rPr>
          <w:rFonts w:asciiTheme="majorHAnsi" w:hAnsiTheme="majorHAnsi" w:cs="Calibri"/>
          <w:szCs w:val="22"/>
        </w:rPr>
        <w:t>ov</w:t>
      </w:r>
      <w:r w:rsidR="00D50186" w:rsidRPr="003332C1">
        <w:rPr>
          <w:rFonts w:asciiTheme="majorHAnsi" w:hAnsiTheme="majorHAnsi" w:cs="Calibri"/>
          <w:szCs w:val="22"/>
        </w:rPr>
        <w:t xml:space="preserve"> a</w:t>
      </w:r>
      <w:r w:rsidR="001074BF">
        <w:rPr>
          <w:rFonts w:asciiTheme="majorHAnsi" w:hAnsiTheme="majorHAnsi" w:cs="Calibri"/>
          <w:szCs w:val="22"/>
        </w:rPr>
        <w:t> </w:t>
      </w:r>
      <w:r w:rsidR="00D50186" w:rsidRPr="003332C1">
        <w:rPr>
          <w:rFonts w:asciiTheme="majorHAnsi" w:hAnsiTheme="majorHAnsi" w:cs="Calibri"/>
          <w:szCs w:val="22"/>
        </w:rPr>
        <w:t xml:space="preserve">spôsobu </w:t>
      </w:r>
      <w:r w:rsidR="001074BF">
        <w:rPr>
          <w:rFonts w:asciiTheme="majorHAnsi" w:hAnsiTheme="majorHAnsi" w:cs="Calibri"/>
          <w:szCs w:val="22"/>
        </w:rPr>
        <w:t>ich</w:t>
      </w:r>
      <w:r w:rsidR="00D50186" w:rsidRPr="003332C1">
        <w:rPr>
          <w:rFonts w:asciiTheme="majorHAnsi" w:hAnsiTheme="majorHAnsi" w:cs="Calibri"/>
          <w:szCs w:val="22"/>
        </w:rPr>
        <w:t xml:space="preserve"> overovania, ktorý bude pre </w:t>
      </w:r>
      <w:r w:rsidR="001074BF">
        <w:rPr>
          <w:rFonts w:asciiTheme="majorHAnsi" w:hAnsiTheme="majorHAnsi" w:cs="Calibri"/>
          <w:szCs w:val="22"/>
        </w:rPr>
        <w:t>RO</w:t>
      </w:r>
      <w:r w:rsidR="00D50186" w:rsidRPr="003332C1">
        <w:rPr>
          <w:rFonts w:asciiTheme="majorHAnsi" w:hAnsiTheme="majorHAnsi" w:cs="Calibri"/>
          <w:szCs w:val="22"/>
        </w:rPr>
        <w:t xml:space="preserve"> záväzný.</w:t>
      </w:r>
    </w:p>
    <w:p w:rsidR="00036B86" w:rsidRPr="00AB3A74" w:rsidRDefault="00646E87" w:rsidP="00036B86">
      <w:pPr>
        <w:rPr>
          <w:rFonts w:ascii="Calibri" w:hAnsi="Calibri"/>
        </w:rPr>
      </w:pPr>
      <w:r w:rsidRPr="00AB3A74">
        <w:rPr>
          <w:rFonts w:ascii="Calibri" w:hAnsi="Calibri"/>
        </w:rPr>
        <w:t xml:space="preserve">V súlade s princípom partnerstva budú relevantné inštitúcie občianskej spoločnosti, zastupujúce </w:t>
      </w:r>
      <w:r w:rsidR="00036B86">
        <w:rPr>
          <w:rFonts w:ascii="Calibri" w:hAnsi="Calibri"/>
        </w:rPr>
        <w:t>rodovú rovnosť</w:t>
      </w:r>
      <w:r w:rsidR="003850D8">
        <w:rPr>
          <w:rFonts w:ascii="Calibri" w:hAnsi="Calibri"/>
        </w:rPr>
        <w:t xml:space="preserve">, </w:t>
      </w:r>
      <w:r w:rsidRPr="00AB3A74">
        <w:rPr>
          <w:rFonts w:ascii="Calibri" w:hAnsi="Calibri"/>
        </w:rPr>
        <w:t>nediskrimináciu a záujmy znevýhodnených skupín zapojené do procesu prípravy</w:t>
      </w:r>
      <w:r w:rsidR="00036B86" w:rsidRPr="00036B86">
        <w:rPr>
          <w:rFonts w:ascii="Calibri" w:hAnsi="Calibri"/>
        </w:rPr>
        <w:t xml:space="preserve"> </w:t>
      </w:r>
      <w:r w:rsidR="00036B86" w:rsidRPr="00620D27">
        <w:rPr>
          <w:rFonts w:ascii="Calibri" w:hAnsi="Calibri"/>
        </w:rPr>
        <w:t>(napr. účasťou v pracovných skupinách na prípravu OP)</w:t>
      </w:r>
      <w:r w:rsidR="00036B86" w:rsidRPr="001A4743">
        <w:rPr>
          <w:rFonts w:ascii="Calibri" w:hAnsi="Calibri"/>
        </w:rPr>
        <w:t xml:space="preserve">. </w:t>
      </w:r>
      <w:r w:rsidR="00036B86" w:rsidRPr="00620D27">
        <w:rPr>
          <w:rFonts w:ascii="Calibri" w:hAnsi="Calibri"/>
        </w:rPr>
        <w:t>Gestor horizontálnych princípov bude spolupracovať pri hodnotení OP (príp. ako odborní hodnotitelia pri oslovení gestorom), kontrole projektov na mieste, ako aj vzdelávaní RO a prijímateľov aj s relevantnými inštitúciami občianskej spoločnosti. Zároveň bude posilnená úloha Slovenského národného strediska pre ľudské práva, ktoré bude ako partner gestora horizontálnych princípov zapojené do priebežného monitorovania dodržiavania horizontálnych princípov a poradenstva pre RO, prijímateľov a cieľové skupiny projektov, a bude spolupracovať aj formou zapojenia do projektov gestora HP.</w:t>
      </w:r>
    </w:p>
    <w:p w:rsidR="00F172D1" w:rsidRPr="00A11FE0" w:rsidRDefault="00F172D1" w:rsidP="00BA185A">
      <w:pPr>
        <w:pStyle w:val="Nadpis3"/>
        <w:numPr>
          <w:ilvl w:val="2"/>
          <w:numId w:val="2"/>
        </w:numPr>
      </w:pPr>
      <w:r w:rsidRPr="00A11FE0">
        <w:lastRenderedPageBreak/>
        <w:t>Udržateľný rozvoj</w:t>
      </w:r>
    </w:p>
    <w:p w:rsidR="0015331F" w:rsidRPr="00CB7030" w:rsidRDefault="0015331F" w:rsidP="0027382A">
      <w:pPr>
        <w:pStyle w:val="Vchodzie"/>
        <w:spacing w:line="240" w:lineRule="auto"/>
        <w:rPr>
          <w:color w:val="auto"/>
        </w:rPr>
      </w:pPr>
      <w:bookmarkStart w:id="592" w:name="_Toc378168693"/>
      <w:bookmarkStart w:id="593" w:name="_Toc378168694"/>
      <w:bookmarkStart w:id="594" w:name="_Toc378168695"/>
      <w:bookmarkStart w:id="595" w:name="_Toc378168696"/>
      <w:bookmarkStart w:id="596" w:name="_Toc378168697"/>
      <w:bookmarkStart w:id="597" w:name="_Toc378168698"/>
      <w:bookmarkStart w:id="598" w:name="_Toc378168699"/>
      <w:bookmarkStart w:id="599" w:name="_Toc378168700"/>
      <w:bookmarkStart w:id="600" w:name="_Toc378168701"/>
      <w:bookmarkStart w:id="601" w:name="_Toc378168702"/>
      <w:bookmarkStart w:id="602" w:name="_Toc378168703"/>
      <w:bookmarkStart w:id="603" w:name="_Toc378168704"/>
      <w:bookmarkStart w:id="604" w:name="_Toc378168705"/>
      <w:bookmarkStart w:id="605" w:name="_Toc378168706"/>
      <w:bookmarkStart w:id="606" w:name="_Toc378168707"/>
      <w:bookmarkStart w:id="607" w:name="_Toc378168708"/>
      <w:bookmarkStart w:id="608" w:name="_Toc378168709"/>
      <w:bookmarkStart w:id="609" w:name="_Toc378168710"/>
      <w:bookmarkStart w:id="610" w:name="_Toc378168711"/>
      <w:bookmarkStart w:id="611" w:name="_Toc378168712"/>
      <w:bookmarkStart w:id="612" w:name="_Toc378168713"/>
      <w:bookmarkStart w:id="613" w:name="_Toc378168714"/>
      <w:bookmarkStart w:id="614" w:name="_Toc378168715"/>
      <w:bookmarkStart w:id="615" w:name="_Toc378168716"/>
      <w:bookmarkStart w:id="616" w:name="_Toc378168717"/>
      <w:bookmarkStart w:id="617" w:name="_Toc378168718"/>
      <w:bookmarkStart w:id="618" w:name="_Toc378168719"/>
      <w:bookmarkStart w:id="619" w:name="_Toc378168720"/>
      <w:bookmarkStart w:id="620" w:name="_Toc378168721"/>
      <w:bookmarkStart w:id="621" w:name="_Toc378168722"/>
      <w:bookmarkStart w:id="622" w:name="_Toc378168723"/>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sidRPr="00CB7030">
        <w:rPr>
          <w:rFonts w:cs="Times New Roman"/>
          <w:color w:val="auto"/>
          <w:szCs w:val="22"/>
        </w:rPr>
        <w:t>Programy spolufinancované z EŠIF musia dodržiavať aj horizontálny princíp udržateľného rozvoja. Základom udržateľného rozvoja sú tri piliere, a to environmentálny, ekonomický a sociálny. Hlavným cieľom horizontálneho princípu udržateľný rozvoj bude zabezpečenie environmentálnej</w:t>
      </w:r>
      <w:r w:rsidR="009153D7" w:rsidRPr="00CB7030">
        <w:rPr>
          <w:rFonts w:cs="Times New Roman"/>
          <w:color w:val="auto"/>
          <w:szCs w:val="22"/>
        </w:rPr>
        <w:t xml:space="preserve"> </w:t>
      </w:r>
      <w:r w:rsidRPr="00CB7030">
        <w:rPr>
          <w:rFonts w:cs="Times New Roman"/>
          <w:color w:val="auto"/>
          <w:szCs w:val="22"/>
        </w:rPr>
        <w:t>udržateľnosti sociálneho a ekonomického rastu s osobitným dôrazom na ochranu a zlepšenie životného prostredia pri zohľadnení zásady „znečisťovateľ platí“</w:t>
      </w:r>
      <w:r w:rsidRPr="00CB7030">
        <w:rPr>
          <w:rStyle w:val="Odkaznapoznmkupodiarou"/>
          <w:color w:val="auto"/>
          <w:szCs w:val="22"/>
        </w:rPr>
        <w:footnoteReference w:id="318"/>
      </w:r>
      <w:r w:rsidRPr="00CB7030">
        <w:rPr>
          <w:rFonts w:cs="Times New Roman"/>
          <w:color w:val="auto"/>
          <w:szCs w:val="22"/>
        </w:rPr>
        <w:t>.</w:t>
      </w:r>
    </w:p>
    <w:p w:rsidR="00CB7461" w:rsidRPr="00CB7461" w:rsidRDefault="0015331F" w:rsidP="003F0750">
      <w:pPr>
        <w:pStyle w:val="Vchodzie"/>
        <w:spacing w:line="240" w:lineRule="auto"/>
        <w:rPr>
          <w:bCs/>
          <w:iCs/>
          <w:szCs w:val="22"/>
        </w:rPr>
      </w:pPr>
      <w:r w:rsidRPr="00CB7030">
        <w:rPr>
          <w:rFonts w:cs="Times New Roman"/>
          <w:bCs/>
          <w:iCs/>
          <w:color w:val="auto"/>
          <w:szCs w:val="22"/>
        </w:rPr>
        <w:t>Zásada</w:t>
      </w:r>
      <w:r w:rsidRPr="00CB7030">
        <w:rPr>
          <w:rFonts w:cs="Times New Roman"/>
          <w:bCs/>
          <w:iCs/>
          <w:color w:val="auto"/>
        </w:rPr>
        <w:t xml:space="preserve"> „znečisťovateľ platí“ je obsiahnutá v legislatíve SR,</w:t>
      </w:r>
      <w:r w:rsidRPr="00CB7030">
        <w:rPr>
          <w:color w:val="auto"/>
        </w:rPr>
        <w:t xml:space="preserve"> </w:t>
      </w:r>
      <w:r w:rsidRPr="00CB7030">
        <w:rPr>
          <w:rFonts w:cs="Times New Roman"/>
          <w:bCs/>
          <w:iCs/>
          <w:color w:val="auto"/>
        </w:rPr>
        <w:t>pričom l</w:t>
      </w:r>
      <w:r w:rsidRPr="00CB7030">
        <w:rPr>
          <w:color w:val="auto"/>
        </w:rPr>
        <w:t xml:space="preserve">egislatívnym základom uplatňovania jej </w:t>
      </w:r>
      <w:r w:rsidRPr="00CB7030">
        <w:rPr>
          <w:rFonts w:cs="Times New Roman"/>
          <w:bCs/>
          <w:iCs/>
          <w:color w:val="auto"/>
        </w:rPr>
        <w:t>prevenčnej a</w:t>
      </w:r>
      <w:r w:rsidR="00CB0B84">
        <w:rPr>
          <w:rFonts w:cs="Times New Roman"/>
          <w:bCs/>
          <w:iCs/>
          <w:color w:val="auto"/>
        </w:rPr>
        <w:t> </w:t>
      </w:r>
      <w:r w:rsidRPr="00CB7030">
        <w:rPr>
          <w:rFonts w:cs="Times New Roman"/>
          <w:bCs/>
          <w:iCs/>
          <w:color w:val="auto"/>
        </w:rPr>
        <w:t xml:space="preserve">nápravnej zložky </w:t>
      </w:r>
      <w:r w:rsidRPr="00CB7030">
        <w:rPr>
          <w:color w:val="auto"/>
        </w:rPr>
        <w:t>v slovenskom právnom poriadku je zákon č. 17/1992 Zb. o životnom prostredí v znení neskorších predpisov. V nadväznosti naň sa obidve z</w:t>
      </w:r>
      <w:r w:rsidR="002D05F3">
        <w:rPr>
          <w:color w:val="auto"/>
        </w:rPr>
        <w:t>o</w:t>
      </w:r>
      <w:r w:rsidRPr="00CB7030">
        <w:rPr>
          <w:color w:val="auto"/>
        </w:rPr>
        <w:t xml:space="preserve"> zložiek zásady „znečisťovateľ platí“ následne </w:t>
      </w:r>
      <w:r w:rsidRPr="00CB7030">
        <w:rPr>
          <w:rFonts w:cs="Times New Roman"/>
          <w:bCs/>
          <w:iCs/>
          <w:color w:val="auto"/>
        </w:rPr>
        <w:t>premietajú v</w:t>
      </w:r>
      <w:r w:rsidR="00CB0B84">
        <w:rPr>
          <w:rFonts w:cs="Times New Roman"/>
          <w:bCs/>
          <w:iCs/>
          <w:color w:val="auto"/>
        </w:rPr>
        <w:t> </w:t>
      </w:r>
      <w:r w:rsidRPr="00CB7030">
        <w:rPr>
          <w:rFonts w:cs="Times New Roman"/>
          <w:bCs/>
          <w:iCs/>
          <w:color w:val="auto"/>
        </w:rPr>
        <w:t>tzv. zložkových zákonoch chrániacich určitú zložku životného prostredia (zákon č. 364/2004 Z. z. o</w:t>
      </w:r>
      <w:r w:rsidR="00CB0B84">
        <w:rPr>
          <w:rFonts w:cs="Times New Roman"/>
          <w:bCs/>
          <w:iCs/>
          <w:color w:val="auto"/>
        </w:rPr>
        <w:t> </w:t>
      </w:r>
      <w:r w:rsidRPr="00CB7030">
        <w:rPr>
          <w:rFonts w:cs="Times New Roman"/>
          <w:bCs/>
          <w:iCs/>
          <w:color w:val="auto"/>
        </w:rPr>
        <w:t>vodách a</w:t>
      </w:r>
      <w:r w:rsidR="00CB0B84">
        <w:rPr>
          <w:rFonts w:cs="Times New Roman"/>
          <w:bCs/>
          <w:iCs/>
          <w:color w:val="auto"/>
        </w:rPr>
        <w:t> </w:t>
      </w:r>
      <w:r w:rsidRPr="00CB7030">
        <w:rPr>
          <w:rFonts w:cs="Times New Roman"/>
          <w:bCs/>
          <w:iCs/>
          <w:color w:val="auto"/>
        </w:rPr>
        <w:t>o</w:t>
      </w:r>
      <w:r w:rsidR="00CB0B84">
        <w:rPr>
          <w:rFonts w:cs="Times New Roman"/>
          <w:bCs/>
          <w:iCs/>
          <w:color w:val="auto"/>
        </w:rPr>
        <w:t> </w:t>
      </w:r>
      <w:r w:rsidRPr="00CB7030">
        <w:rPr>
          <w:rFonts w:cs="Times New Roman"/>
          <w:bCs/>
          <w:iCs/>
          <w:color w:val="auto"/>
        </w:rPr>
        <w:t>zmene zákona SNR č. 372/1990 Zb. o</w:t>
      </w:r>
      <w:r w:rsidR="00CB0B84">
        <w:rPr>
          <w:rFonts w:cs="Times New Roman"/>
          <w:bCs/>
          <w:iCs/>
          <w:color w:val="auto"/>
        </w:rPr>
        <w:t> </w:t>
      </w:r>
      <w:r w:rsidRPr="00CB7030">
        <w:rPr>
          <w:rFonts w:cs="Times New Roman"/>
          <w:bCs/>
          <w:iCs/>
          <w:color w:val="auto"/>
        </w:rPr>
        <w:t>priestupkoch v</w:t>
      </w:r>
      <w:r w:rsidR="00CB0B84">
        <w:rPr>
          <w:rFonts w:cs="Times New Roman"/>
          <w:bCs/>
          <w:iCs/>
          <w:color w:val="auto"/>
        </w:rPr>
        <w:t> </w:t>
      </w:r>
      <w:r w:rsidRPr="00CB7030">
        <w:rPr>
          <w:rFonts w:cs="Times New Roman"/>
          <w:bCs/>
          <w:iCs/>
          <w:color w:val="auto"/>
        </w:rPr>
        <w:t>znení neskorších predpisov (vodný zákon), zákon č. 223/2001 Z. z. o</w:t>
      </w:r>
      <w:r>
        <w:rPr>
          <w:rFonts w:cs="Times New Roman"/>
          <w:bCs/>
          <w:iCs/>
          <w:color w:val="auto"/>
        </w:rPr>
        <w:t> </w:t>
      </w:r>
      <w:r w:rsidRPr="00CB7030">
        <w:rPr>
          <w:rFonts w:cs="Times New Roman"/>
          <w:bCs/>
          <w:iCs/>
          <w:color w:val="auto"/>
        </w:rPr>
        <w:t xml:space="preserve">odpadoch </w:t>
      </w:r>
      <w:r w:rsidR="002E3096">
        <w:rPr>
          <w:rFonts w:cs="Times New Roman"/>
          <w:bCs/>
          <w:iCs/>
          <w:color w:val="auto"/>
        </w:rPr>
        <w:t>a o </w:t>
      </w:r>
      <w:r w:rsidRPr="00CB7030">
        <w:rPr>
          <w:rFonts w:cs="Times New Roman"/>
          <w:bCs/>
          <w:iCs/>
          <w:color w:val="auto"/>
        </w:rPr>
        <w:t>zmene a</w:t>
      </w:r>
      <w:r w:rsidR="00CB0B84">
        <w:rPr>
          <w:rFonts w:cs="Times New Roman"/>
          <w:bCs/>
          <w:iCs/>
          <w:color w:val="auto"/>
        </w:rPr>
        <w:t> </w:t>
      </w:r>
      <w:r w:rsidRPr="00CB7030">
        <w:rPr>
          <w:rFonts w:cs="Times New Roman"/>
          <w:bCs/>
          <w:iCs/>
          <w:color w:val="auto"/>
        </w:rPr>
        <w:t>doplnení niektorých zákonov v</w:t>
      </w:r>
      <w:r w:rsidR="00CB0B84">
        <w:rPr>
          <w:rFonts w:cs="Times New Roman"/>
          <w:bCs/>
          <w:iCs/>
          <w:color w:val="auto"/>
        </w:rPr>
        <w:t> </w:t>
      </w:r>
      <w:r w:rsidRPr="00CB7030">
        <w:rPr>
          <w:rFonts w:cs="Times New Roman"/>
          <w:bCs/>
          <w:iCs/>
          <w:color w:val="auto"/>
        </w:rPr>
        <w:t>znení neskorších predpisov, zákon č. 401/ 1998 Z. z. o poplatkoch za znečisťovanie ovzdušia v</w:t>
      </w:r>
      <w:r w:rsidR="00CB0B84">
        <w:rPr>
          <w:rFonts w:cs="Times New Roman"/>
          <w:bCs/>
          <w:iCs/>
          <w:color w:val="auto"/>
        </w:rPr>
        <w:t> </w:t>
      </w:r>
      <w:r w:rsidRPr="00CB7030">
        <w:rPr>
          <w:rFonts w:cs="Times New Roman"/>
          <w:bCs/>
          <w:iCs/>
          <w:color w:val="auto"/>
        </w:rPr>
        <w:t>znení neskorších prepisov, zákon č. 409/2011 Z. z. o niektorých opatreniach na úseku environmentálnej záťaže a</w:t>
      </w:r>
      <w:r w:rsidR="00CB0B84">
        <w:rPr>
          <w:rFonts w:cs="Times New Roman"/>
          <w:bCs/>
          <w:iCs/>
          <w:color w:val="auto"/>
        </w:rPr>
        <w:t> </w:t>
      </w:r>
      <w:r w:rsidRPr="00CB7030">
        <w:rPr>
          <w:rFonts w:cs="Times New Roman"/>
          <w:bCs/>
          <w:iCs/>
          <w:color w:val="auto"/>
        </w:rPr>
        <w:t>o</w:t>
      </w:r>
      <w:r w:rsidR="00CB0B84">
        <w:rPr>
          <w:rFonts w:cs="Times New Roman"/>
          <w:bCs/>
          <w:iCs/>
          <w:color w:val="auto"/>
        </w:rPr>
        <w:t> </w:t>
      </w:r>
      <w:r w:rsidRPr="00CB7030">
        <w:rPr>
          <w:rFonts w:cs="Times New Roman"/>
          <w:bCs/>
          <w:iCs/>
          <w:color w:val="auto"/>
        </w:rPr>
        <w:t>zmene a</w:t>
      </w:r>
      <w:r w:rsidR="00CB0B84">
        <w:rPr>
          <w:rFonts w:cs="Times New Roman"/>
          <w:bCs/>
          <w:iCs/>
          <w:color w:val="auto"/>
        </w:rPr>
        <w:t> </w:t>
      </w:r>
      <w:r w:rsidRPr="00CB7030">
        <w:rPr>
          <w:rFonts w:cs="Times New Roman"/>
          <w:bCs/>
          <w:iCs/>
          <w:color w:val="auto"/>
        </w:rPr>
        <w:t>doplnení niektorých zákonov a</w:t>
      </w:r>
      <w:r w:rsidR="00CB0B84">
        <w:rPr>
          <w:rFonts w:cs="Times New Roman"/>
          <w:bCs/>
          <w:iCs/>
          <w:color w:val="auto"/>
        </w:rPr>
        <w:t> </w:t>
      </w:r>
      <w:r w:rsidRPr="00CB7030">
        <w:rPr>
          <w:rFonts w:cs="Times New Roman"/>
          <w:bCs/>
          <w:iCs/>
          <w:color w:val="auto"/>
        </w:rPr>
        <w:t>pod.) a v tzv. prierezových zákonoch, ktoré zasahujú do viacerých oblastí životného prostredia (zákon č. 359/2007 Z. z. o</w:t>
      </w:r>
      <w:r w:rsidR="00CB0B84">
        <w:rPr>
          <w:rFonts w:cs="Times New Roman"/>
          <w:bCs/>
          <w:iCs/>
          <w:color w:val="auto"/>
        </w:rPr>
        <w:t> </w:t>
      </w:r>
      <w:r w:rsidRPr="00CB7030">
        <w:rPr>
          <w:rFonts w:cs="Times New Roman"/>
          <w:bCs/>
          <w:iCs/>
          <w:color w:val="auto"/>
        </w:rPr>
        <w:t>prevencii a</w:t>
      </w:r>
      <w:r w:rsidR="00CB0B84">
        <w:rPr>
          <w:rFonts w:cs="Times New Roman"/>
          <w:bCs/>
          <w:iCs/>
          <w:color w:val="auto"/>
        </w:rPr>
        <w:t> </w:t>
      </w:r>
      <w:r w:rsidRPr="00CB7030">
        <w:rPr>
          <w:rFonts w:cs="Times New Roman"/>
          <w:bCs/>
          <w:iCs/>
          <w:color w:val="auto"/>
        </w:rPr>
        <w:t>náprave environmentálnych škôd a</w:t>
      </w:r>
      <w:r w:rsidR="00CB0B84">
        <w:rPr>
          <w:rFonts w:cs="Times New Roman"/>
          <w:bCs/>
          <w:iCs/>
          <w:color w:val="auto"/>
        </w:rPr>
        <w:t> </w:t>
      </w:r>
      <w:r w:rsidRPr="00CB7030">
        <w:rPr>
          <w:rFonts w:cs="Times New Roman"/>
          <w:bCs/>
          <w:iCs/>
          <w:color w:val="auto"/>
        </w:rPr>
        <w:t>o</w:t>
      </w:r>
      <w:r w:rsidR="00CB0B84">
        <w:rPr>
          <w:rFonts w:cs="Times New Roman"/>
          <w:bCs/>
          <w:iCs/>
          <w:color w:val="auto"/>
        </w:rPr>
        <w:t> </w:t>
      </w:r>
      <w:r w:rsidRPr="00CB7030">
        <w:rPr>
          <w:rFonts w:cs="Times New Roman"/>
          <w:bCs/>
          <w:iCs/>
          <w:color w:val="auto"/>
        </w:rPr>
        <w:t>zmene</w:t>
      </w:r>
      <w:r w:rsidR="00CB0B84">
        <w:rPr>
          <w:rFonts w:cs="Times New Roman"/>
          <w:bCs/>
          <w:iCs/>
          <w:color w:val="auto"/>
        </w:rPr>
        <w:t xml:space="preserve"> </w:t>
      </w:r>
      <w:r w:rsidRPr="00CB7030">
        <w:rPr>
          <w:rFonts w:cs="Times New Roman"/>
          <w:bCs/>
          <w:iCs/>
          <w:color w:val="auto"/>
        </w:rPr>
        <w:t>a</w:t>
      </w:r>
      <w:r w:rsidR="00CB0B84">
        <w:rPr>
          <w:rFonts w:cs="Times New Roman"/>
          <w:bCs/>
          <w:iCs/>
          <w:color w:val="auto"/>
        </w:rPr>
        <w:t> </w:t>
      </w:r>
      <w:r w:rsidRPr="00CB7030">
        <w:rPr>
          <w:rFonts w:cs="Times New Roman"/>
          <w:bCs/>
          <w:iCs/>
          <w:color w:val="auto"/>
        </w:rPr>
        <w:t>doplnení niektorých zákonov</w:t>
      </w:r>
      <w:r w:rsidR="002D05F3">
        <w:rPr>
          <w:rFonts w:cs="Times New Roman"/>
          <w:bCs/>
          <w:iCs/>
          <w:color w:val="auto"/>
        </w:rPr>
        <w:t xml:space="preserve"> v znení neskorších predpisov</w:t>
      </w:r>
      <w:r w:rsidRPr="00CB7030">
        <w:rPr>
          <w:rFonts w:cs="Times New Roman"/>
          <w:bCs/>
          <w:iCs/>
          <w:color w:val="auto"/>
        </w:rPr>
        <w:t>, zákon č. 24/2006 Z. z. o</w:t>
      </w:r>
      <w:r w:rsidR="00CB0B84">
        <w:rPr>
          <w:rFonts w:cs="Times New Roman"/>
          <w:bCs/>
          <w:iCs/>
          <w:color w:val="auto"/>
        </w:rPr>
        <w:t> </w:t>
      </w:r>
      <w:r w:rsidRPr="00CB7030">
        <w:rPr>
          <w:rFonts w:cs="Times New Roman"/>
          <w:bCs/>
          <w:iCs/>
          <w:color w:val="auto"/>
        </w:rPr>
        <w:t>posudzovaní vplyvov na životné prostredie a</w:t>
      </w:r>
      <w:r w:rsidR="00CB0B84">
        <w:rPr>
          <w:rFonts w:cs="Times New Roman"/>
          <w:bCs/>
          <w:iCs/>
          <w:color w:val="auto"/>
        </w:rPr>
        <w:t> </w:t>
      </w:r>
      <w:r w:rsidRPr="00CB7030">
        <w:rPr>
          <w:rFonts w:cs="Times New Roman"/>
          <w:bCs/>
          <w:iCs/>
          <w:color w:val="auto"/>
        </w:rPr>
        <w:t>o zmene a</w:t>
      </w:r>
      <w:r w:rsidR="00CB0B84">
        <w:rPr>
          <w:rFonts w:cs="Times New Roman"/>
          <w:bCs/>
          <w:iCs/>
          <w:color w:val="auto"/>
        </w:rPr>
        <w:t> </w:t>
      </w:r>
      <w:r w:rsidRPr="00CB7030">
        <w:rPr>
          <w:rFonts w:cs="Times New Roman"/>
          <w:bCs/>
          <w:iCs/>
          <w:color w:val="auto"/>
        </w:rPr>
        <w:t>doplnení niektorých zákonov v</w:t>
      </w:r>
      <w:r w:rsidR="00CB0B84">
        <w:rPr>
          <w:rFonts w:cs="Times New Roman"/>
          <w:bCs/>
          <w:iCs/>
          <w:color w:val="auto"/>
        </w:rPr>
        <w:t> </w:t>
      </w:r>
      <w:r w:rsidRPr="00CB7030">
        <w:rPr>
          <w:rFonts w:cs="Times New Roman"/>
          <w:bCs/>
          <w:iCs/>
          <w:color w:val="auto"/>
        </w:rPr>
        <w:t>znení neskorších predpisov, zákon č. 39/2013 Z. z. o integrovanej prevencii a</w:t>
      </w:r>
      <w:r w:rsidR="00CB0B84">
        <w:rPr>
          <w:rFonts w:cs="Times New Roman"/>
          <w:bCs/>
          <w:iCs/>
          <w:color w:val="auto"/>
        </w:rPr>
        <w:t> </w:t>
      </w:r>
      <w:r w:rsidRPr="00CB7030">
        <w:rPr>
          <w:rFonts w:cs="Times New Roman"/>
          <w:bCs/>
          <w:iCs/>
          <w:color w:val="auto"/>
        </w:rPr>
        <w:t>kontrole znečisťovania životného prostredia a</w:t>
      </w:r>
      <w:r w:rsidR="00CB0B84">
        <w:rPr>
          <w:rFonts w:cs="Times New Roman"/>
          <w:bCs/>
          <w:iCs/>
          <w:color w:val="auto"/>
        </w:rPr>
        <w:t> </w:t>
      </w:r>
      <w:r w:rsidRPr="00CB7030">
        <w:rPr>
          <w:rFonts w:cs="Times New Roman"/>
          <w:bCs/>
          <w:iCs/>
          <w:color w:val="auto"/>
        </w:rPr>
        <w:t>o</w:t>
      </w:r>
      <w:r w:rsidR="00CB0B84">
        <w:rPr>
          <w:rFonts w:cs="Times New Roman"/>
          <w:bCs/>
          <w:iCs/>
          <w:color w:val="auto"/>
        </w:rPr>
        <w:t> </w:t>
      </w:r>
      <w:r w:rsidRPr="00CB7030">
        <w:rPr>
          <w:rFonts w:cs="Times New Roman"/>
          <w:bCs/>
          <w:iCs/>
          <w:color w:val="auto"/>
        </w:rPr>
        <w:t>zmene a</w:t>
      </w:r>
      <w:r w:rsidR="00CB0B84">
        <w:rPr>
          <w:rFonts w:cs="Times New Roman"/>
          <w:bCs/>
          <w:iCs/>
          <w:color w:val="auto"/>
        </w:rPr>
        <w:t> </w:t>
      </w:r>
      <w:r w:rsidRPr="00CB7030">
        <w:rPr>
          <w:rFonts w:cs="Times New Roman"/>
          <w:bCs/>
          <w:iCs/>
          <w:color w:val="auto"/>
        </w:rPr>
        <w:t>doplnení niektorých zákonov</w:t>
      </w:r>
      <w:r w:rsidR="002D05F3">
        <w:rPr>
          <w:rFonts w:cs="Times New Roman"/>
          <w:bCs/>
          <w:iCs/>
          <w:color w:val="auto"/>
        </w:rPr>
        <w:t xml:space="preserve"> v znení neskorších predpisov</w:t>
      </w:r>
      <w:r w:rsidRPr="00CB7030">
        <w:rPr>
          <w:rFonts w:cs="Times New Roman"/>
          <w:bCs/>
          <w:iCs/>
          <w:color w:val="auto"/>
        </w:rPr>
        <w:t xml:space="preserve"> a</w:t>
      </w:r>
      <w:r w:rsidR="00CB0B84">
        <w:rPr>
          <w:rFonts w:cs="Times New Roman"/>
          <w:bCs/>
          <w:iCs/>
          <w:color w:val="auto"/>
        </w:rPr>
        <w:t> </w:t>
      </w:r>
      <w:r w:rsidRPr="00CB7030">
        <w:rPr>
          <w:rFonts w:cs="Times New Roman"/>
          <w:bCs/>
          <w:iCs/>
          <w:color w:val="auto"/>
        </w:rPr>
        <w:t>pod.).</w:t>
      </w:r>
      <w:r w:rsidRPr="00CB7030">
        <w:rPr>
          <w:rFonts w:cs="Times New Roman"/>
          <w:bCs/>
          <w:iCs/>
          <w:color w:val="auto"/>
          <w:szCs w:val="22"/>
        </w:rPr>
        <w:t xml:space="preserve"> V prostredí SR je zásada „znečisťovateľ platí“ implementovaná prostredníctvom právnych a ekonomických nástrojov tak, aby boli povinné osoby motivované k znižovaniu znečistenia a dotýkala sa všetkých znečisťovateľov. Ekonomické nástroje tvoria dôležitú súčasť environmentálnej politiky SR, pričom k nim patria dane, poplatky, odvody, pokuty a úhrady. </w:t>
      </w:r>
      <w:r w:rsidR="00CB7461" w:rsidRPr="00CB7461">
        <w:rPr>
          <w:bCs/>
          <w:iCs/>
          <w:szCs w:val="22"/>
        </w:rPr>
        <w:t>Takto získané finančné prostriedky, spolu s</w:t>
      </w:r>
      <w:r w:rsidR="00CB0B84">
        <w:rPr>
          <w:bCs/>
          <w:iCs/>
          <w:szCs w:val="22"/>
        </w:rPr>
        <w:t> </w:t>
      </w:r>
      <w:r w:rsidR="00CB7461" w:rsidRPr="00CB7461">
        <w:rPr>
          <w:bCs/>
          <w:iCs/>
          <w:szCs w:val="22"/>
        </w:rPr>
        <w:t>výnosmi z</w:t>
      </w:r>
      <w:r w:rsidR="00CB0B84">
        <w:rPr>
          <w:bCs/>
          <w:iCs/>
          <w:szCs w:val="22"/>
        </w:rPr>
        <w:t> </w:t>
      </w:r>
      <w:r w:rsidR="00CB7461" w:rsidRPr="00CB7461">
        <w:rPr>
          <w:bCs/>
          <w:iCs/>
          <w:szCs w:val="22"/>
        </w:rPr>
        <w:t>pokút za porušenie povinností vo vzťahu k</w:t>
      </w:r>
      <w:r w:rsidR="00CB0B84">
        <w:rPr>
          <w:bCs/>
          <w:iCs/>
          <w:szCs w:val="22"/>
        </w:rPr>
        <w:t> </w:t>
      </w:r>
      <w:r w:rsidR="00CB7461" w:rsidRPr="00CB7461">
        <w:rPr>
          <w:bCs/>
          <w:iCs/>
          <w:szCs w:val="22"/>
        </w:rPr>
        <w:t>životnému prostrediu, tvoria príjem Environmentálneho fondu, a</w:t>
      </w:r>
      <w:r w:rsidR="00CB0B84">
        <w:rPr>
          <w:bCs/>
          <w:iCs/>
          <w:szCs w:val="22"/>
        </w:rPr>
        <w:t> </w:t>
      </w:r>
      <w:r w:rsidR="00CB7461" w:rsidRPr="00CB7461">
        <w:rPr>
          <w:bCs/>
          <w:iCs/>
          <w:szCs w:val="22"/>
        </w:rPr>
        <w:t>tie sa opätovne využívajú na nápravné opatrenia v</w:t>
      </w:r>
      <w:r w:rsidR="00CB0B84">
        <w:rPr>
          <w:bCs/>
          <w:iCs/>
          <w:szCs w:val="22"/>
        </w:rPr>
        <w:t> </w:t>
      </w:r>
      <w:r w:rsidR="00CB7461" w:rsidRPr="00CB7461">
        <w:rPr>
          <w:bCs/>
          <w:iCs/>
          <w:szCs w:val="22"/>
        </w:rPr>
        <w:t>danom</w:t>
      </w:r>
      <w:r w:rsidR="00CB0B84">
        <w:rPr>
          <w:bCs/>
          <w:iCs/>
          <w:szCs w:val="22"/>
        </w:rPr>
        <w:t xml:space="preserve"> </w:t>
      </w:r>
      <w:r w:rsidR="00CB7461" w:rsidRPr="00CB7461">
        <w:rPr>
          <w:bCs/>
          <w:iCs/>
          <w:szCs w:val="22"/>
        </w:rPr>
        <w:t>sektore hospodárstva.</w:t>
      </w:r>
    </w:p>
    <w:p w:rsidR="0015331F" w:rsidRPr="00CB7030" w:rsidRDefault="0015331F" w:rsidP="003F0750">
      <w:pPr>
        <w:pStyle w:val="Vchodzie"/>
        <w:spacing w:after="0" w:line="240" w:lineRule="auto"/>
        <w:rPr>
          <w:rFonts w:cs="Times New Roman"/>
          <w:color w:val="auto"/>
          <w:szCs w:val="22"/>
        </w:rPr>
      </w:pPr>
      <w:r w:rsidRPr="00CB7030">
        <w:rPr>
          <w:rFonts w:cs="Times New Roman"/>
          <w:bCs/>
          <w:iCs/>
          <w:color w:val="auto"/>
          <w:szCs w:val="22"/>
        </w:rPr>
        <w:t xml:space="preserve">V rámci uplatňovania zásady „znečisťovateľ platí“ </w:t>
      </w:r>
      <w:r w:rsidRPr="00CB7030">
        <w:rPr>
          <w:rFonts w:cs="Times New Roman"/>
          <w:color w:val="auto"/>
          <w:szCs w:val="22"/>
        </w:rPr>
        <w:t>sa</w:t>
      </w:r>
      <w:r w:rsidRPr="00CB7030">
        <w:rPr>
          <w:rFonts w:cs="Times New Roman"/>
          <w:b/>
          <w:bCs/>
          <w:i/>
          <w:iCs/>
          <w:color w:val="auto"/>
          <w:szCs w:val="22"/>
        </w:rPr>
        <w:t xml:space="preserve"> </w:t>
      </w:r>
      <w:r w:rsidRPr="00CB7030">
        <w:rPr>
          <w:rFonts w:cs="Times New Roman"/>
          <w:bCs/>
          <w:iCs/>
          <w:color w:val="auto"/>
          <w:szCs w:val="22"/>
        </w:rPr>
        <w:t>v SR</w:t>
      </w:r>
      <w:r w:rsidRPr="00CB7030">
        <w:rPr>
          <w:rFonts w:cs="Times New Roman"/>
          <w:color w:val="auto"/>
          <w:szCs w:val="22"/>
        </w:rPr>
        <w:t xml:space="preserve"> využívajú predovšetkým dva horizontálne nástroje – integrovaná prevencia a kontrola znečisťovania (IPKZ) a posudzovanie vplyvov na životné prostredie (EIA). Uvedené horizontálne nástroje budú uplatňované aj v rámci poskytovania podpory z EŠIF.</w:t>
      </w:r>
    </w:p>
    <w:p w:rsidR="0015331F" w:rsidRPr="00CB7030" w:rsidRDefault="0015331F" w:rsidP="003F0750">
      <w:pPr>
        <w:pStyle w:val="Vchodzie"/>
        <w:spacing w:after="0" w:line="240" w:lineRule="auto"/>
        <w:rPr>
          <w:rFonts w:cs="Times New Roman"/>
          <w:bCs/>
          <w:iCs/>
          <w:color w:val="auto"/>
          <w:szCs w:val="22"/>
        </w:rPr>
      </w:pPr>
      <w:r w:rsidRPr="00CB7030">
        <w:rPr>
          <w:rFonts w:cs="Times New Roman"/>
          <w:color w:val="auto"/>
          <w:szCs w:val="22"/>
        </w:rPr>
        <w:t xml:space="preserve">Princíp udržateľného rozvoja bude integrovaný do programov EŠIF na roky 2014 – 2020 prostredníctvom jednotlivých </w:t>
      </w:r>
      <w:r w:rsidR="00FC5132">
        <w:rPr>
          <w:rFonts w:cs="Times New Roman"/>
          <w:color w:val="auto"/>
          <w:szCs w:val="22"/>
        </w:rPr>
        <w:t>programov</w:t>
      </w:r>
      <w:r w:rsidR="00FC5132" w:rsidRPr="00CB7030">
        <w:rPr>
          <w:rFonts w:cs="Times New Roman"/>
          <w:color w:val="auto"/>
          <w:szCs w:val="22"/>
        </w:rPr>
        <w:t xml:space="preserve"> </w:t>
      </w:r>
      <w:r w:rsidRPr="00CB7030">
        <w:rPr>
          <w:rFonts w:cs="Times New Roman"/>
          <w:color w:val="auto"/>
          <w:szCs w:val="22"/>
        </w:rPr>
        <w:t>a ich riadiacej dokumentácie (programový manuál, príručka pre</w:t>
      </w:r>
      <w:r w:rsidRPr="00924F25">
        <w:rPr>
          <w:rFonts w:cs="Times New Roman"/>
          <w:color w:val="auto"/>
          <w:szCs w:val="22"/>
        </w:rPr>
        <w:t> </w:t>
      </w:r>
      <w:r w:rsidRPr="00CB7030">
        <w:rPr>
          <w:rFonts w:cs="Times New Roman"/>
          <w:color w:val="auto"/>
          <w:szCs w:val="22"/>
        </w:rPr>
        <w:t>žiadateľa). Pre identifikáciu prioritných oblastí a cieľov na uplatňovanie princípu udržateľného rozvoja bude základným rámcom národný strategický dokument, prostredníctvom ktorého sa zabezpečí jeho aplikácia v </w:t>
      </w:r>
      <w:r w:rsidR="00FC5132">
        <w:rPr>
          <w:rFonts w:cs="Times New Roman"/>
          <w:color w:val="auto"/>
          <w:szCs w:val="22"/>
        </w:rPr>
        <w:t>programoch</w:t>
      </w:r>
      <w:r w:rsidR="00FC5132" w:rsidRPr="00CB7030">
        <w:rPr>
          <w:rFonts w:cs="Times New Roman"/>
          <w:color w:val="auto"/>
          <w:szCs w:val="22"/>
        </w:rPr>
        <w:t xml:space="preserve"> </w:t>
      </w:r>
      <w:r w:rsidRPr="00CB7030">
        <w:rPr>
          <w:rFonts w:cs="Times New Roman"/>
          <w:color w:val="auto"/>
          <w:szCs w:val="22"/>
        </w:rPr>
        <w:t>v</w:t>
      </w:r>
      <w:r w:rsidR="00CB0B84">
        <w:rPr>
          <w:rFonts w:cs="Times New Roman"/>
          <w:color w:val="auto"/>
          <w:szCs w:val="22"/>
        </w:rPr>
        <w:t> </w:t>
      </w:r>
      <w:r w:rsidRPr="00CB7030">
        <w:rPr>
          <w:rFonts w:cs="Times New Roman"/>
          <w:color w:val="auto"/>
          <w:szCs w:val="22"/>
        </w:rPr>
        <w:t xml:space="preserve">rámci EŠIF. Pre účinné uplatňovanie horizontálneho princípu </w:t>
      </w:r>
      <w:r w:rsidRPr="00CB7030">
        <w:rPr>
          <w:rFonts w:cs="Times New Roman"/>
          <w:color w:val="auto"/>
          <w:szCs w:val="22"/>
        </w:rPr>
        <w:lastRenderedPageBreak/>
        <w:t>udržateľný rozvoj bude jeho hlavný cieľ stanovený v hodnotiacom a výberovom procese žiadosti o</w:t>
      </w:r>
      <w:r w:rsidR="00470B0F">
        <w:rPr>
          <w:rFonts w:cs="Times New Roman"/>
          <w:color w:val="auto"/>
          <w:szCs w:val="22"/>
        </w:rPr>
        <w:t> </w:t>
      </w:r>
      <w:r w:rsidR="00470B0F">
        <w:rPr>
          <w:rFonts w:asciiTheme="majorHAnsi" w:hAnsiTheme="majorHAnsi"/>
          <w:szCs w:val="22"/>
        </w:rPr>
        <w:t xml:space="preserve">podporu </w:t>
      </w:r>
      <w:r w:rsidRPr="00CB7030">
        <w:rPr>
          <w:rFonts w:cs="Times New Roman"/>
          <w:color w:val="auto"/>
          <w:szCs w:val="22"/>
        </w:rPr>
        <w:t xml:space="preserve">ako diskvalifikačné kritérium v rámci prioritných osí </w:t>
      </w:r>
      <w:r w:rsidR="00FC5132">
        <w:rPr>
          <w:rFonts w:cs="Times New Roman"/>
          <w:color w:val="auto"/>
          <w:szCs w:val="22"/>
        </w:rPr>
        <w:t>programu</w:t>
      </w:r>
      <w:r w:rsidRPr="00CB7030">
        <w:rPr>
          <w:rFonts w:cs="Times New Roman"/>
          <w:color w:val="auto"/>
          <w:szCs w:val="22"/>
        </w:rPr>
        <w:t xml:space="preserve">. </w:t>
      </w:r>
      <w:r w:rsidRPr="00CB7030">
        <w:rPr>
          <w:rFonts w:cs="Times New Roman"/>
          <w:bCs/>
          <w:iCs/>
          <w:color w:val="auto"/>
          <w:szCs w:val="22"/>
        </w:rPr>
        <w:t xml:space="preserve">Investície z EŠIF by nemali zvyšovať zaťaženie životného prostredia. </w:t>
      </w:r>
      <w:r w:rsidR="00E17A32" w:rsidRPr="003F0750">
        <w:rPr>
          <w:rFonts w:cs="Times New Roman"/>
          <w:color w:val="auto"/>
          <w:szCs w:val="22"/>
        </w:rPr>
        <w:t>S cieľom posúdiť úroveň zaťaženia životného prostredia, žiadateľ povinne predloží najneskôr pred uzatvore</w:t>
      </w:r>
      <w:r w:rsidR="00AE7991">
        <w:rPr>
          <w:rFonts w:cs="Times New Roman"/>
          <w:color w:val="auto"/>
          <w:szCs w:val="22"/>
        </w:rPr>
        <w:t>ním zmluvy o poskytnutí podpory</w:t>
      </w:r>
      <w:r w:rsidR="00E17A32" w:rsidRPr="003F0750">
        <w:rPr>
          <w:rFonts w:cs="Times New Roman"/>
          <w:color w:val="auto"/>
          <w:szCs w:val="22"/>
        </w:rPr>
        <w:t xml:space="preserve"> výsledný dokument z procesu posudzovania navrhovanej činnosti z hľadiska jej predpokladaných vplyvov na životné prostredie</w:t>
      </w:r>
      <w:r w:rsidR="00AE7991">
        <w:rPr>
          <w:rFonts w:cs="Times New Roman"/>
          <w:color w:val="auto"/>
          <w:szCs w:val="22"/>
        </w:rPr>
        <w:t>,</w:t>
      </w:r>
      <w:r w:rsidR="00E17A32" w:rsidRPr="003F0750">
        <w:rPr>
          <w:rFonts w:cs="Times New Roman"/>
          <w:color w:val="auto"/>
          <w:szCs w:val="22"/>
        </w:rPr>
        <w:t xml:space="preserve"> v zmysle platnej právnej úpravy (t.</w:t>
      </w:r>
      <w:r w:rsidR="002E3096">
        <w:rPr>
          <w:rFonts w:cs="Times New Roman"/>
          <w:color w:val="auto"/>
          <w:szCs w:val="22"/>
        </w:rPr>
        <w:t xml:space="preserve"> </w:t>
      </w:r>
      <w:r w:rsidR="00E17A32" w:rsidRPr="003F0750">
        <w:rPr>
          <w:rFonts w:cs="Times New Roman"/>
          <w:color w:val="auto"/>
          <w:szCs w:val="22"/>
        </w:rPr>
        <w:t xml:space="preserve">j. rozhodnutie zo zisťovacieho konania alebo záverečné stanovisko), alebo vyjadrenie príslušného orgánu o tom, že navrhovaná činnosť, resp. zmena navrhovanej činnosti, nepodlieha posudzovaniu z hľadiska vplyvov na životné prostredie. Podobne, žiadateľ o podporu povinne predloží najneskôr pred uzatvorením zmluvy o poskytnutí podpory, aj integrované povolenie v prípadoch činností, na ktoré sa povinnosť jeho vydania vzťahuje. </w:t>
      </w:r>
      <w:r w:rsidRPr="00924F25">
        <w:rPr>
          <w:rFonts w:cs="Times New Roman"/>
          <w:color w:val="auto"/>
          <w:szCs w:val="22"/>
        </w:rPr>
        <w:t>Podobne bude povinnou prílohou žiadosti o</w:t>
      </w:r>
      <w:r w:rsidR="00F1319D">
        <w:rPr>
          <w:rFonts w:cs="Times New Roman"/>
          <w:color w:val="auto"/>
          <w:szCs w:val="22"/>
        </w:rPr>
        <w:t> </w:t>
      </w:r>
      <w:r w:rsidR="00470B0F" w:rsidRPr="003F0750">
        <w:rPr>
          <w:rFonts w:cs="Times New Roman"/>
          <w:color w:val="auto"/>
          <w:szCs w:val="22"/>
        </w:rPr>
        <w:t>podporu</w:t>
      </w:r>
      <w:r w:rsidR="00F1319D" w:rsidRPr="003F0750">
        <w:rPr>
          <w:rFonts w:cs="Times New Roman"/>
          <w:color w:val="auto"/>
          <w:szCs w:val="22"/>
        </w:rPr>
        <w:t>, alebo pred uzatvorením zmluvy o poskytnutí podpory,</w:t>
      </w:r>
      <w:r w:rsidR="00470B0F" w:rsidRPr="003F0750">
        <w:rPr>
          <w:rFonts w:cs="Times New Roman"/>
          <w:color w:val="auto"/>
          <w:szCs w:val="22"/>
        </w:rPr>
        <w:t xml:space="preserve"> </w:t>
      </w:r>
      <w:r w:rsidRPr="00924F25">
        <w:rPr>
          <w:rFonts w:cs="Times New Roman"/>
          <w:color w:val="auto"/>
          <w:szCs w:val="22"/>
        </w:rPr>
        <w:t>aj integrované povolenie v prípadoch činností, na ktoré sa povinnosť jeho vydania vzťahuje.</w:t>
      </w:r>
      <w:r w:rsidRPr="00CB7030">
        <w:rPr>
          <w:rFonts w:cs="Times New Roman"/>
          <w:bCs/>
          <w:iCs/>
          <w:color w:val="auto"/>
          <w:szCs w:val="22"/>
        </w:rPr>
        <w:t xml:space="preserve"> V súvislosti s uplatnením zásady </w:t>
      </w:r>
      <w:r w:rsidRPr="00CB7030">
        <w:rPr>
          <w:rFonts w:cs="Times New Roman"/>
          <w:color w:val="auto"/>
          <w:szCs w:val="22"/>
        </w:rPr>
        <w:t xml:space="preserve">„znečisťovateľ platí“ budú </w:t>
      </w:r>
      <w:r w:rsidRPr="00CB7030">
        <w:rPr>
          <w:rFonts w:cs="Times New Roman"/>
          <w:bCs/>
          <w:iCs/>
          <w:color w:val="auto"/>
          <w:szCs w:val="22"/>
        </w:rPr>
        <w:t xml:space="preserve">za neoprávnené výdavky považované výdavky na aktivity, ktoré sa týkajú plnenia povinností stanovených vo všeobecne záväzných právnych predpisoch v súvislosti so zásadou </w:t>
      </w:r>
      <w:r w:rsidRPr="00CB7030">
        <w:rPr>
          <w:rFonts w:cs="Times New Roman"/>
          <w:color w:val="auto"/>
          <w:szCs w:val="22"/>
        </w:rPr>
        <w:t>„znečisťovateľ platí“</w:t>
      </w:r>
      <w:r w:rsidRPr="00CB7030">
        <w:rPr>
          <w:rFonts w:cs="Times New Roman"/>
          <w:bCs/>
          <w:iCs/>
          <w:color w:val="auto"/>
          <w:szCs w:val="22"/>
        </w:rPr>
        <w:t xml:space="preserve">. Táto </w:t>
      </w:r>
      <w:r w:rsidRPr="00CB7030">
        <w:rPr>
          <w:rFonts w:cs="Times New Roman"/>
          <w:color w:val="auto"/>
          <w:szCs w:val="22"/>
        </w:rPr>
        <w:t xml:space="preserve">zásada bude zohľadnená v podmienkach poskytnutia </w:t>
      </w:r>
      <w:r w:rsidR="002D05F3">
        <w:rPr>
          <w:rFonts w:cs="Times New Roman"/>
          <w:color w:val="auto"/>
          <w:szCs w:val="22"/>
        </w:rPr>
        <w:t>podpory</w:t>
      </w:r>
      <w:r w:rsidR="002D05F3" w:rsidRPr="00CB7030">
        <w:rPr>
          <w:rFonts w:cs="Times New Roman"/>
          <w:color w:val="auto"/>
          <w:szCs w:val="22"/>
        </w:rPr>
        <w:t xml:space="preserve"> </w:t>
      </w:r>
      <w:r w:rsidRPr="00CB7030">
        <w:rPr>
          <w:rFonts w:cs="Times New Roman"/>
          <w:color w:val="auto"/>
          <w:szCs w:val="22"/>
        </w:rPr>
        <w:t>stanovených vo výzve na predkladanie žiadosti o </w:t>
      </w:r>
      <w:r w:rsidR="002D05F3">
        <w:rPr>
          <w:rFonts w:cs="Times New Roman"/>
          <w:color w:val="auto"/>
          <w:szCs w:val="22"/>
        </w:rPr>
        <w:t>podporu</w:t>
      </w:r>
      <w:r w:rsidRPr="00CB7030">
        <w:rPr>
          <w:rFonts w:cs="Times New Roman"/>
          <w:color w:val="auto"/>
          <w:szCs w:val="22"/>
        </w:rPr>
        <w:t>.</w:t>
      </w:r>
    </w:p>
    <w:p w:rsidR="0015331F" w:rsidRPr="00CB7030" w:rsidRDefault="0015331F" w:rsidP="003F0750">
      <w:pPr>
        <w:pStyle w:val="Vchodzie"/>
        <w:spacing w:after="0" w:line="240" w:lineRule="auto"/>
        <w:rPr>
          <w:color w:val="auto"/>
        </w:rPr>
      </w:pPr>
      <w:r w:rsidRPr="00CB7030">
        <w:rPr>
          <w:rFonts w:cs="Times New Roman"/>
          <w:color w:val="auto"/>
          <w:szCs w:val="22"/>
        </w:rPr>
        <w:t xml:space="preserve">Proces monitorovania plnenia princípu udržateľného rozvoja bude na projektovej úrovni sledovaný prostredníctvom monitorovacích správ (t. j. popisom vykonaných aktivít, ich výsledkov a vyhodnotením ich príspevku k dosahovaniu stanovených cieľov horizontálneho princípu), ako aj kontrolou na mieste realizácie projektov a následne hodnotením príspevku k cieľom horizontálneho princípu. Samostatný výstup obsahujúci informácie o uplatňovaní horizontálneho princípu bude podkladom pre proces hodnotenia príspevku EŠIF k plneniu cieľov identifikovaných v národnom strategickom dokumente. Odpočet plnenia dosiahnutej úrovne stanovených cieľov v národnom strategickom dokumente, vrátane návrhu nápravných opatrení a odporúčaní k ich dosiahnutiu bude každoročne predkladaný </w:t>
      </w:r>
      <w:r w:rsidR="002D05F3">
        <w:rPr>
          <w:rFonts w:cs="Times New Roman"/>
          <w:color w:val="auto"/>
          <w:szCs w:val="22"/>
        </w:rPr>
        <w:t>na rokovanie</w:t>
      </w:r>
      <w:r w:rsidR="002D05F3" w:rsidRPr="00CB7030">
        <w:rPr>
          <w:rFonts w:cs="Times New Roman"/>
          <w:color w:val="auto"/>
          <w:szCs w:val="22"/>
        </w:rPr>
        <w:t xml:space="preserve"> </w:t>
      </w:r>
      <w:r w:rsidRPr="00CB7030">
        <w:rPr>
          <w:rFonts w:cs="Times New Roman"/>
          <w:color w:val="auto"/>
          <w:szCs w:val="22"/>
        </w:rPr>
        <w:t>vlády SR.</w:t>
      </w:r>
    </w:p>
    <w:p w:rsidR="0015331F" w:rsidRPr="00CB7030" w:rsidRDefault="0015331F" w:rsidP="003F0750">
      <w:pPr>
        <w:pStyle w:val="Vchodzie"/>
        <w:spacing w:after="0" w:line="240" w:lineRule="auto"/>
        <w:rPr>
          <w:rFonts w:eastAsia="Times New Roman" w:cs="Segoe UI"/>
          <w:color w:val="auto"/>
          <w:szCs w:val="22"/>
        </w:rPr>
      </w:pPr>
      <w:r w:rsidRPr="00CB7030">
        <w:rPr>
          <w:rFonts w:cs="Times New Roman"/>
          <w:color w:val="auto"/>
        </w:rPr>
        <w:t>Analytickú, hodnotiacu</w:t>
      </w:r>
      <w:r w:rsidR="009153D7">
        <w:rPr>
          <w:rFonts w:cs="Times New Roman"/>
          <w:color w:val="auto"/>
        </w:rPr>
        <w:t>,</w:t>
      </w:r>
      <w:r w:rsidR="001074BF" w:rsidRPr="00CB7030">
        <w:rPr>
          <w:rFonts w:cs="Times New Roman"/>
          <w:color w:val="auto"/>
        </w:rPr>
        <w:t> </w:t>
      </w:r>
      <w:r w:rsidRPr="00CB7030">
        <w:rPr>
          <w:rFonts w:cs="Times New Roman"/>
          <w:color w:val="auto"/>
        </w:rPr>
        <w:t>strategickú</w:t>
      </w:r>
      <w:r w:rsidR="009153D7">
        <w:rPr>
          <w:rFonts w:cs="Times New Roman"/>
          <w:color w:val="auto"/>
        </w:rPr>
        <w:t xml:space="preserve"> a</w:t>
      </w:r>
      <w:r w:rsidR="002E3096">
        <w:rPr>
          <w:rFonts w:cs="Times New Roman"/>
          <w:color w:val="auto"/>
        </w:rPr>
        <w:t> </w:t>
      </w:r>
      <w:r w:rsidR="009153D7">
        <w:rPr>
          <w:rFonts w:cs="Times New Roman"/>
          <w:color w:val="auto"/>
        </w:rPr>
        <w:t>metodickú</w:t>
      </w:r>
      <w:r w:rsidR="002E3096">
        <w:rPr>
          <w:rFonts w:cs="Times New Roman"/>
          <w:color w:val="auto"/>
        </w:rPr>
        <w:t xml:space="preserve"> </w:t>
      </w:r>
      <w:r w:rsidRPr="00CB7030">
        <w:rPr>
          <w:rFonts w:cs="Times New Roman"/>
          <w:color w:val="auto"/>
        </w:rPr>
        <w:t xml:space="preserve">činnosť pre uplatňovanie horizontálneho princípu udržateľný rozvoj bude na národnej úrovni zabezpečovať </w:t>
      </w:r>
      <w:r w:rsidR="002E3096">
        <w:rPr>
          <w:rFonts w:cs="Times New Roman"/>
          <w:color w:val="auto"/>
        </w:rPr>
        <w:t>Ú</w:t>
      </w:r>
      <w:r w:rsidR="00360509">
        <w:rPr>
          <w:rFonts w:cs="Times New Roman"/>
          <w:color w:val="auto"/>
        </w:rPr>
        <w:t>PP</w:t>
      </w:r>
      <w:r w:rsidR="002E3096">
        <w:rPr>
          <w:rFonts w:cs="Times New Roman"/>
          <w:color w:val="auto"/>
        </w:rPr>
        <w:t>V</w:t>
      </w:r>
      <w:r w:rsidR="00360509">
        <w:rPr>
          <w:rFonts w:cs="Times New Roman"/>
          <w:color w:val="auto"/>
        </w:rPr>
        <w:t>II (ÚV SR do 31. 5. 2016)</w:t>
      </w:r>
      <w:r w:rsidRPr="00CB7030">
        <w:rPr>
          <w:rFonts w:cs="Times New Roman"/>
          <w:color w:val="auto"/>
        </w:rPr>
        <w:t xml:space="preserve">. RO budú predkladať orgánu zodpovednému za uplatňovanie horizontálneho princípu udržateľný rozvoj pravidelnú informáciu o jeho plnení, a to vyhodnotením monitorovacích správ, ako aj kontrol na mieste v pravidelných časových intervaloch. Zástupca orgánu zodpovedného za uplatňovanie horizontálneho princípu udržateľný rozvoj bude zodpovedný za definovanie podmienky poskytnutia </w:t>
      </w:r>
      <w:r w:rsidR="002D05F3">
        <w:rPr>
          <w:rFonts w:cs="Times New Roman"/>
          <w:color w:val="auto"/>
        </w:rPr>
        <w:t>podpory</w:t>
      </w:r>
      <w:r w:rsidR="002D05F3" w:rsidRPr="00CB7030">
        <w:rPr>
          <w:rFonts w:cs="Times New Roman"/>
          <w:color w:val="auto"/>
        </w:rPr>
        <w:t xml:space="preserve"> </w:t>
      </w:r>
      <w:r w:rsidRPr="00CB7030">
        <w:rPr>
          <w:rFonts w:cs="Times New Roman"/>
          <w:color w:val="auto"/>
        </w:rPr>
        <w:t>súvisiacej so</w:t>
      </w:r>
      <w:r w:rsidRPr="00924F25">
        <w:rPr>
          <w:rFonts w:cs="Times New Roman"/>
          <w:color w:val="auto"/>
          <w:szCs w:val="22"/>
        </w:rPr>
        <w:t> </w:t>
      </w:r>
      <w:r w:rsidRPr="00CB7030">
        <w:rPr>
          <w:rFonts w:cs="Times New Roman"/>
          <w:color w:val="auto"/>
        </w:rPr>
        <w:t>zabezpečením aplikovania horizontálneho princípu udržateľný rozvoj a spôsobu jej overovania, ktorý bude pre RO záväzný. Rovnako bude zabezpečovať vzdelávacie a školiace aktivity pre</w:t>
      </w:r>
      <w:r w:rsidRPr="00924F25">
        <w:rPr>
          <w:rFonts w:cs="Times New Roman"/>
          <w:color w:val="auto"/>
          <w:szCs w:val="22"/>
        </w:rPr>
        <w:t> </w:t>
      </w:r>
      <w:r w:rsidRPr="00CB7030">
        <w:rPr>
          <w:rFonts w:cs="Times New Roman"/>
          <w:color w:val="auto"/>
        </w:rPr>
        <w:t>uplatňovanie udržateľného rozvoja subjektom zapojeným do implementácie EŠIF, relevantným sociálno-ekonomickým partnerom, ako aj hodnotiteľom žiadostí o </w:t>
      </w:r>
      <w:r w:rsidR="00470B0F">
        <w:rPr>
          <w:rFonts w:asciiTheme="majorHAnsi" w:hAnsiTheme="majorHAnsi"/>
          <w:szCs w:val="22"/>
        </w:rPr>
        <w:t>podporu</w:t>
      </w:r>
      <w:r w:rsidRPr="00CB7030">
        <w:rPr>
          <w:rFonts w:cs="Times New Roman"/>
          <w:color w:val="auto"/>
        </w:rPr>
        <w:t>. Na</w:t>
      </w:r>
      <w:r w:rsidR="002E3096">
        <w:rPr>
          <w:rFonts w:cs="Times New Roman"/>
          <w:color w:val="auto"/>
        </w:rPr>
        <w:t xml:space="preserve"> </w:t>
      </w:r>
      <w:r w:rsidRPr="00CB7030">
        <w:rPr>
          <w:rFonts w:cs="Times New Roman"/>
          <w:color w:val="auto"/>
        </w:rPr>
        <w:t>efektívne a účinné uplatňovanie horizontálneho princípu udržateľný rozvoj bude na národnej úrovni potrebné zvýšiť, resp. optimalizovať počet zamestnancov, ktorí budú zabezpečovať vykonávanie vymenovaných činností. Vecne príslušní zástupcovia Ú</w:t>
      </w:r>
      <w:r w:rsidR="00253223">
        <w:rPr>
          <w:rFonts w:cs="Times New Roman"/>
          <w:color w:val="auto"/>
        </w:rPr>
        <w:t>PP</w:t>
      </w:r>
      <w:r w:rsidRPr="00CB7030">
        <w:rPr>
          <w:rFonts w:cs="Times New Roman"/>
          <w:color w:val="auto"/>
        </w:rPr>
        <w:t>V</w:t>
      </w:r>
      <w:r w:rsidR="00253223">
        <w:rPr>
          <w:rFonts w:cs="Times New Roman"/>
          <w:color w:val="auto"/>
        </w:rPr>
        <w:t>II</w:t>
      </w:r>
      <w:r w:rsidRPr="00CB7030">
        <w:rPr>
          <w:rFonts w:cs="Times New Roman"/>
          <w:color w:val="auto"/>
        </w:rPr>
        <w:t xml:space="preserve"> za uplatňovanie horizontálneho princípu udržateľný rozvoj budú mať zabezpečené zastúpenie vo všetkých monitorovacích výboroch a pracovných skupinách pre prípravu a implementáciu </w:t>
      </w:r>
      <w:r w:rsidR="00FC5132">
        <w:rPr>
          <w:rFonts w:cs="Times New Roman"/>
          <w:color w:val="auto"/>
        </w:rPr>
        <w:t>programov</w:t>
      </w:r>
      <w:r w:rsidR="00FC5132" w:rsidRPr="00CB7030">
        <w:rPr>
          <w:rFonts w:cs="Times New Roman"/>
          <w:color w:val="auto"/>
        </w:rPr>
        <w:t xml:space="preserve"> </w:t>
      </w:r>
      <w:r w:rsidRPr="00CB7030">
        <w:rPr>
          <w:rFonts w:cs="Times New Roman"/>
          <w:color w:val="auto"/>
        </w:rPr>
        <w:t>v</w:t>
      </w:r>
      <w:r w:rsidR="00CB0B84">
        <w:rPr>
          <w:rFonts w:cs="Times New Roman"/>
          <w:color w:val="auto"/>
        </w:rPr>
        <w:t> </w:t>
      </w:r>
      <w:r w:rsidRPr="00CB7030">
        <w:rPr>
          <w:rFonts w:cs="Times New Roman"/>
          <w:color w:val="auto"/>
        </w:rPr>
        <w:t>rámci EŠIF. V súlade s princípom partnerstva budú relevantné inštitúcie občianskej spoločnosti, zastupujúce oblasť udržateľného rozvoja zapojené do procesu prípravy, monitorovania a</w:t>
      </w:r>
      <w:r w:rsidR="00CB0B84">
        <w:rPr>
          <w:rFonts w:cs="Times New Roman"/>
          <w:color w:val="auto"/>
        </w:rPr>
        <w:t> </w:t>
      </w:r>
      <w:r w:rsidRPr="00CB7030">
        <w:rPr>
          <w:rFonts w:cs="Times New Roman"/>
          <w:color w:val="auto"/>
        </w:rPr>
        <w:t xml:space="preserve">hodnotenia </w:t>
      </w:r>
      <w:r w:rsidR="00FC5132">
        <w:rPr>
          <w:rFonts w:cs="Times New Roman"/>
          <w:color w:val="auto"/>
        </w:rPr>
        <w:t>programov</w:t>
      </w:r>
      <w:r w:rsidRPr="00CB7030">
        <w:rPr>
          <w:rFonts w:cs="Times New Roman"/>
          <w:color w:val="auto"/>
        </w:rPr>
        <w:t>.</w:t>
      </w:r>
      <w:r w:rsidR="00CB0B84">
        <w:rPr>
          <w:rFonts w:cs="Times New Roman"/>
          <w:color w:val="auto"/>
        </w:rPr>
        <w:t xml:space="preserve"> </w:t>
      </w:r>
      <w:r w:rsidRPr="00CB7030">
        <w:rPr>
          <w:rFonts w:eastAsia="Times New Roman" w:cs="Segoe UI"/>
          <w:color w:val="auto"/>
          <w:szCs w:val="22"/>
        </w:rPr>
        <w:t xml:space="preserve">Za účelom znižovania negatívnych vplyvov na klímu, znižovania znečistenia ovzdušia a ostatných zložiek životného prostredia, ako aj s ohľadom na energetickú efektívnosť sa bude pri projektoch financovaných z EŠIF uplatňovať zelené </w:t>
      </w:r>
      <w:r w:rsidR="002F29B8">
        <w:rPr>
          <w:rFonts w:eastAsia="Times New Roman" w:cs="Segoe UI"/>
          <w:color w:val="auto"/>
          <w:szCs w:val="22"/>
        </w:rPr>
        <w:t>VO</w:t>
      </w:r>
      <w:r w:rsidRPr="00CB7030">
        <w:rPr>
          <w:rStyle w:val="Odkaznapoznmkupodiarou"/>
          <w:rFonts w:eastAsia="Times New Roman" w:cs="Segoe UI"/>
          <w:color w:val="auto"/>
          <w:szCs w:val="22"/>
        </w:rPr>
        <w:footnoteReference w:id="319"/>
      </w:r>
      <w:r w:rsidRPr="00CB7030">
        <w:rPr>
          <w:rFonts w:eastAsia="Times New Roman" w:cs="Segoe UI"/>
          <w:color w:val="auto"/>
          <w:szCs w:val="22"/>
        </w:rPr>
        <w:t>.</w:t>
      </w:r>
    </w:p>
    <w:p w:rsidR="009153D7" w:rsidRDefault="00601CC1" w:rsidP="003F0750">
      <w:pPr>
        <w:pStyle w:val="Vchodzie"/>
        <w:spacing w:after="0" w:line="240" w:lineRule="auto"/>
        <w:rPr>
          <w:rFonts w:cs="Times New Roman"/>
          <w:color w:val="auto"/>
        </w:rPr>
      </w:pPr>
      <w:r w:rsidRPr="00601CC1">
        <w:rPr>
          <w:rFonts w:cs="Times New Roman"/>
          <w:bCs/>
          <w:iCs/>
          <w:color w:val="auto"/>
        </w:rPr>
        <w:t>Čo sa týka podpory efektívneho využívania zdrojov, v odpadovom hospodárstve je potrebné vyvinúť úsilie pri zavádzaní nástrojov predchádzania vzniku odpadov, budovaní zariadení pre prípravu na opätovné využívanie odpadov a</w:t>
      </w:r>
      <w:r w:rsidR="00CB0B84">
        <w:rPr>
          <w:rFonts w:cs="Times New Roman"/>
          <w:bCs/>
          <w:iCs/>
          <w:color w:val="auto"/>
        </w:rPr>
        <w:t> </w:t>
      </w:r>
      <w:r w:rsidRPr="00601CC1">
        <w:rPr>
          <w:rFonts w:cs="Times New Roman"/>
          <w:bCs/>
          <w:iCs/>
          <w:color w:val="auto"/>
        </w:rPr>
        <w:t>ich zhodnocovanie, so zameraním na ich recykláciu.</w:t>
      </w:r>
      <w:r w:rsidR="00CB0B84">
        <w:rPr>
          <w:rFonts w:cs="Times New Roman"/>
          <w:bCs/>
          <w:iCs/>
          <w:color w:val="auto"/>
        </w:rPr>
        <w:t xml:space="preserve"> </w:t>
      </w:r>
      <w:r w:rsidR="0015331F" w:rsidRPr="00CB7030">
        <w:rPr>
          <w:rFonts w:cs="Times New Roman"/>
          <w:color w:val="auto"/>
        </w:rPr>
        <w:t xml:space="preserve">V sektore </w:t>
      </w:r>
      <w:r w:rsidR="0015331F" w:rsidRPr="00CB7030">
        <w:rPr>
          <w:rFonts w:cs="Times New Roman"/>
          <w:color w:val="auto"/>
        </w:rPr>
        <w:lastRenderedPageBreak/>
        <w:t xml:space="preserve">vodného hospodárstva sa pozornosť zameria na splnenie požiadaviek vyplývajúcich z rámcovej smernice o vodách (investície do znižovania obsahu škodlivých látok vo vodách, budovanie kanalizácií a zariadení na čistenie odpadových vôd, budovanie vodovodov, atď.). </w:t>
      </w:r>
      <w:r w:rsidR="00FE7FFB" w:rsidRPr="00FE7FFB">
        <w:rPr>
          <w:rFonts w:cs="Times New Roman"/>
          <w:color w:val="auto"/>
        </w:rPr>
        <w:t>V oblasti ochrany ovzdušia budú podporované technológie, ktoré zabezpečia vyššiu úroveň ochrany životného prostredia (t. j. nad rámec minimálnych požiadaviek BAT)</w:t>
      </w:r>
      <w:r w:rsidR="00FE7FFB">
        <w:rPr>
          <w:rFonts w:cs="Times New Roman"/>
          <w:color w:val="auto"/>
        </w:rPr>
        <w:t xml:space="preserve"> </w:t>
      </w:r>
      <w:r w:rsidR="0015331F" w:rsidRPr="00CB7030">
        <w:rPr>
          <w:rFonts w:cs="Times New Roman"/>
          <w:color w:val="auto"/>
        </w:rPr>
        <w:t>a systémové opatrenia, ktoré umožnia znížiť emisie a zabezpečiť okrem iného i súlad so smernicou o priemyselných emisiách a zároveň prispejú k plneniu požiadaviek vyplývajúcich zo smernice</w:t>
      </w:r>
      <w:r w:rsidR="00770BE6" w:rsidRPr="00770BE6">
        <w:rPr>
          <w:rFonts w:asciiTheme="minorHAnsi" w:hAnsiTheme="minorHAnsi" w:cs="Times New Roman"/>
          <w:color w:val="auto"/>
        </w:rPr>
        <w:t xml:space="preserve"> </w:t>
      </w:r>
      <w:r w:rsidR="00770BE6">
        <w:rPr>
          <w:rFonts w:asciiTheme="minorHAnsi" w:hAnsiTheme="minorHAnsi" w:cs="Times New Roman"/>
          <w:color w:val="auto"/>
        </w:rPr>
        <w:t>o</w:t>
      </w:r>
      <w:r w:rsidR="00CB0B84">
        <w:rPr>
          <w:rFonts w:asciiTheme="minorHAnsi" w:hAnsiTheme="minorHAnsi" w:cs="Times New Roman"/>
          <w:color w:val="auto"/>
        </w:rPr>
        <w:t> </w:t>
      </w:r>
      <w:r w:rsidR="00770BE6" w:rsidRPr="00770BE6">
        <w:rPr>
          <w:rFonts w:cs="Times New Roman"/>
          <w:color w:val="auto"/>
        </w:rPr>
        <w:t>národnýc</w:t>
      </w:r>
      <w:r w:rsidR="00770BE6">
        <w:rPr>
          <w:rFonts w:cs="Times New Roman"/>
          <w:color w:val="auto"/>
        </w:rPr>
        <w:t xml:space="preserve">h emisných stropoch a smernice </w:t>
      </w:r>
      <w:r w:rsidR="0015331F" w:rsidRPr="00CB7030">
        <w:rPr>
          <w:rFonts w:cs="Times New Roman"/>
          <w:color w:val="auto"/>
        </w:rPr>
        <w:t>o kvalite okolitého ovzdušia a čistejšom ovzduší v</w:t>
      </w:r>
      <w:r w:rsidR="000F4D33">
        <w:rPr>
          <w:rFonts w:cs="Times New Roman"/>
          <w:color w:val="auto"/>
        </w:rPr>
        <w:t> </w:t>
      </w:r>
      <w:r w:rsidR="0015331F" w:rsidRPr="00CB7030">
        <w:rPr>
          <w:rFonts w:cs="Times New Roman"/>
          <w:color w:val="auto"/>
        </w:rPr>
        <w:t>Európe. V energetike je dôležitá podpora energetickej efektívnosti a zvyšovanie využívania obnoviteľnej energie, nízkouhlíkových technológií a eko-inovačných prístupov. Nevyhnutým zostáva aj zvyšovanie informovanosti o možnostiach úspory energetických zdrojov, vrátane informačných kampaní a podujatí. Podporovať sa bude prechod na vysoko účinnú výrobu tepla a elektriny, systémové investície do diaľkových sietí vykurovania/chladenia, energetické úspory a optimalizácia využitia energie na miestnej/obecnej úrovni podporovaním nízkouhlíkových stratégií/akčných plánov pre udržateľnú energiu</w:t>
      </w:r>
      <w:r w:rsidR="009153D7">
        <w:rPr>
          <w:rFonts w:cs="Times New Roman"/>
          <w:color w:val="auto"/>
        </w:rPr>
        <w:t>.</w:t>
      </w:r>
    </w:p>
    <w:p w:rsidR="0015331F" w:rsidRPr="00C865B9" w:rsidRDefault="0015331F" w:rsidP="003F0750">
      <w:pPr>
        <w:pStyle w:val="Vchodzie"/>
        <w:spacing w:after="0" w:line="240" w:lineRule="auto"/>
        <w:rPr>
          <w:rFonts w:cs="Times New Roman"/>
          <w:color w:val="auto"/>
        </w:rPr>
      </w:pPr>
      <w:r w:rsidRPr="00CB7030">
        <w:rPr>
          <w:rFonts w:cs="Times New Roman"/>
          <w:color w:val="auto"/>
        </w:rPr>
        <w:t>V</w:t>
      </w:r>
      <w:r w:rsidR="002E3096">
        <w:rPr>
          <w:rFonts w:cs="Times New Roman"/>
          <w:color w:val="auto"/>
        </w:rPr>
        <w:t> </w:t>
      </w:r>
      <w:r w:rsidRPr="00CB7030">
        <w:rPr>
          <w:rFonts w:cs="Times New Roman"/>
          <w:color w:val="auto"/>
        </w:rPr>
        <w:t>oblasti</w:t>
      </w:r>
      <w:r w:rsidR="002E3096">
        <w:rPr>
          <w:rFonts w:cs="Times New Roman"/>
          <w:color w:val="auto"/>
        </w:rPr>
        <w:t xml:space="preserve"> </w:t>
      </w:r>
      <w:r w:rsidRPr="00CB7030">
        <w:rPr>
          <w:rFonts w:cs="Times New Roman"/>
          <w:color w:val="auto"/>
        </w:rPr>
        <w:t>podpory biomasy je potrebné do procesu hodnotenia a výberu projektov zaviesť kritériá udržateľnosti jej využívania, v súlade s odporúčaniami správy Komisie Rade a </w:t>
      </w:r>
      <w:r w:rsidR="00CB0B84">
        <w:rPr>
          <w:rFonts w:cs="Times New Roman"/>
          <w:color w:val="auto"/>
        </w:rPr>
        <w:t>EP</w:t>
      </w:r>
      <w:r w:rsidRPr="00CB7030">
        <w:rPr>
          <w:rFonts w:cs="Times New Roman"/>
          <w:color w:val="auto"/>
        </w:rPr>
        <w:t xml:space="preserve"> o požiadavkách trvalej udržateľnosti na používanie zdrojov tuhej a plynnej biomasy pri výrobe elektriny, tepla a</w:t>
      </w:r>
      <w:r w:rsidR="005E67C2">
        <w:rPr>
          <w:rFonts w:cs="Times New Roman"/>
          <w:color w:val="auto"/>
        </w:rPr>
        <w:t> </w:t>
      </w:r>
      <w:r w:rsidRPr="00CB7030">
        <w:rPr>
          <w:rFonts w:cs="Times New Roman"/>
          <w:color w:val="auto"/>
        </w:rPr>
        <w:t>chladu</w:t>
      </w:r>
      <w:r w:rsidR="005E67C2">
        <w:rPr>
          <w:rFonts w:cs="Times New Roman"/>
          <w:color w:val="auto"/>
        </w:rPr>
        <w:t xml:space="preserve">, </w:t>
      </w:r>
      <w:r w:rsidR="005E67C2" w:rsidRPr="00701067">
        <w:rPr>
          <w:rFonts w:cs="Times New Roman"/>
          <w:color w:val="auto"/>
        </w:rPr>
        <w:t>ako aj opatrenia na obmedzenie produkcie emisií tuhých znečisťujúcich látok a</w:t>
      </w:r>
      <w:r w:rsidR="005E67C2">
        <w:rPr>
          <w:rFonts w:cs="Times New Roman"/>
          <w:color w:val="auto"/>
        </w:rPr>
        <w:t> </w:t>
      </w:r>
      <w:r w:rsidR="005E67C2" w:rsidRPr="00701067">
        <w:rPr>
          <w:rFonts w:cs="Times New Roman"/>
          <w:color w:val="auto"/>
        </w:rPr>
        <w:t>minimalizáciu negatívnych vplyvov na kvalitu ovzdušia (napr. podpora nízkoemisných zariadení</w:t>
      </w:r>
      <w:r w:rsidR="00203AE0">
        <w:rPr>
          <w:rFonts w:cs="Times New Roman"/>
          <w:color w:val="auto"/>
        </w:rPr>
        <w:t>)</w:t>
      </w:r>
      <w:r w:rsidR="005E67C2">
        <w:rPr>
          <w:rFonts w:cs="Times New Roman"/>
          <w:color w:val="auto"/>
        </w:rPr>
        <w:t>.</w:t>
      </w:r>
      <w:r w:rsidR="005315CA">
        <w:rPr>
          <w:rFonts w:cs="Times New Roman"/>
          <w:color w:val="auto"/>
        </w:rPr>
        <w:t xml:space="preserve"> </w:t>
      </w:r>
      <w:r w:rsidR="005315CA" w:rsidRPr="00054569">
        <w:rPr>
          <w:rFonts w:cs="Times New Roman"/>
          <w:color w:val="auto"/>
        </w:rPr>
        <w:t>Kritériá udržateľného využitia biomasy v regiónoch Slovenska budú pripravené na národnej úrovni pred poskytnutím akejkoľvek podpory pre využitie biomasy, ktorá je v rámci jednotlivých programov podmienená rešpektovaním týchto kritérií. Tento dokument by mal poskytnúť odôvodnenie, vrátane projekcií (so zdrojmi údajov) a vyznačiť oblasti na Slovensku, kde vývoj trhu by mohol byť naďalej vhodný pre podporu z EÚ fondov na využitie biomasy, zohľadňujúc taktiež vplyvy na kvalitu ovzdušia. Tento dokument bude poskytnutý verejnosti na pripomienkovanie a EK na vedomie.</w:t>
      </w:r>
    </w:p>
    <w:p w:rsidR="0015331F" w:rsidRPr="00CB7030" w:rsidRDefault="0015331F" w:rsidP="003F0750">
      <w:pPr>
        <w:pStyle w:val="Vchodzie"/>
        <w:tabs>
          <w:tab w:val="left" w:pos="708"/>
        </w:tabs>
        <w:spacing w:after="0" w:line="240" w:lineRule="auto"/>
        <w:rPr>
          <w:color w:val="auto"/>
        </w:rPr>
      </w:pPr>
      <w:r w:rsidRPr="00C865B9">
        <w:rPr>
          <w:rFonts w:cs="Times New Roman"/>
          <w:color w:val="auto"/>
        </w:rPr>
        <w:t xml:space="preserve">V rámci </w:t>
      </w:r>
      <w:r w:rsidR="00770BE6" w:rsidRPr="00C865B9">
        <w:rPr>
          <w:rFonts w:cs="Times New Roman"/>
          <w:color w:val="auto"/>
        </w:rPr>
        <w:t>aktívnej adaptácie na dôsledky zmeny klímy</w:t>
      </w:r>
      <w:r w:rsidRPr="00C865B9">
        <w:rPr>
          <w:rFonts w:cs="Times New Roman"/>
          <w:color w:val="auto"/>
        </w:rPr>
        <w:t xml:space="preserve"> </w:t>
      </w:r>
      <w:r w:rsidR="00DD294E">
        <w:rPr>
          <w:rFonts w:cs="Times New Roman"/>
          <w:color w:val="auto"/>
        </w:rPr>
        <w:t>je spracovaná</w:t>
      </w:r>
      <w:r w:rsidRPr="00CB7030">
        <w:rPr>
          <w:rFonts w:cs="Times New Roman"/>
          <w:color w:val="auto"/>
        </w:rPr>
        <w:t xml:space="preserve"> komplexná Stratégia adaptácie SR na nepriaznivé dôsledky zmeny klímy</w:t>
      </w:r>
      <w:r w:rsidR="00DD294E">
        <w:rPr>
          <w:rStyle w:val="Odkaznapoznmkupodiarou"/>
          <w:color w:val="auto"/>
        </w:rPr>
        <w:footnoteReference w:id="320"/>
      </w:r>
      <w:r w:rsidRPr="00CB7030">
        <w:rPr>
          <w:rFonts w:cs="Times New Roman"/>
          <w:color w:val="auto"/>
        </w:rPr>
        <w:t xml:space="preserve">. Táto stratégia navrhuje princípy, ktorými by sa adaptačné procesy mali riadiť, kritéria pre výber prioritných opatrení a súbor adaptačných opatrení, ktoré by mali viesť k zníženiu negatívnych sociálnych a ekonomických nákladov. V súlade so závermi Rady EÚ z februára 2013 boli aktivity v oblasti zmeny klímy (mitigácia a adaptácia) priamo začlenené aj do relevantných </w:t>
      </w:r>
      <w:r w:rsidR="00FC5132">
        <w:rPr>
          <w:rFonts w:cs="Times New Roman"/>
          <w:color w:val="auto"/>
        </w:rPr>
        <w:t>programov</w:t>
      </w:r>
      <w:r w:rsidR="00FC5132" w:rsidRPr="00CB7030">
        <w:rPr>
          <w:rFonts w:cs="Times New Roman"/>
          <w:color w:val="auto"/>
        </w:rPr>
        <w:t xml:space="preserve"> </w:t>
      </w:r>
      <w:r w:rsidRPr="00CB7030">
        <w:rPr>
          <w:rFonts w:cs="Times New Roman"/>
          <w:color w:val="auto"/>
        </w:rPr>
        <w:t>s vyčlenením indikatívnej alokácie na identifikované opatrenia.</w:t>
      </w:r>
      <w:r w:rsidRPr="00CB7030">
        <w:rPr>
          <w:rFonts w:eastAsia="Times New Roman" w:cs="Segoe UI"/>
          <w:color w:val="auto"/>
        </w:rPr>
        <w:t xml:space="preserve"> Pre systematické sledovanie vplyvu </w:t>
      </w:r>
      <w:r w:rsidR="00FC5132">
        <w:rPr>
          <w:rFonts w:eastAsia="Times New Roman" w:cs="Segoe UI"/>
          <w:color w:val="auto"/>
        </w:rPr>
        <w:t>programov</w:t>
      </w:r>
      <w:r w:rsidR="00FC5132" w:rsidRPr="00CB7030">
        <w:rPr>
          <w:rFonts w:eastAsia="Times New Roman" w:cs="Segoe UI"/>
          <w:color w:val="auto"/>
        </w:rPr>
        <w:t xml:space="preserve"> </w:t>
      </w:r>
      <w:r w:rsidRPr="00CB7030">
        <w:rPr>
          <w:rFonts w:eastAsia="Times New Roman" w:cs="Segoe UI"/>
          <w:color w:val="auto"/>
        </w:rPr>
        <w:t>na zmenu klímy je možné použiť existujúce modely, ktoré umožňujú stanoviť uhlíkovú intenzitu jednotlivých aktivít v</w:t>
      </w:r>
      <w:r w:rsidR="00DD294E">
        <w:rPr>
          <w:rFonts w:eastAsia="Times New Roman" w:cs="Segoe UI"/>
          <w:color w:val="auto"/>
        </w:rPr>
        <w:t> </w:t>
      </w:r>
      <w:r w:rsidRPr="00CB7030">
        <w:rPr>
          <w:rFonts w:eastAsia="Times New Roman" w:cs="Segoe UI"/>
          <w:color w:val="auto"/>
        </w:rPr>
        <w:t>rámci</w:t>
      </w:r>
      <w:r w:rsidR="00DD294E">
        <w:rPr>
          <w:rFonts w:eastAsia="Times New Roman" w:cs="Segoe UI"/>
          <w:color w:val="auto"/>
        </w:rPr>
        <w:t xml:space="preserve"> </w:t>
      </w:r>
      <w:r w:rsidR="00FC5132">
        <w:rPr>
          <w:rFonts w:eastAsia="Times New Roman" w:cs="Segoe UI"/>
          <w:color w:val="auto"/>
        </w:rPr>
        <w:t>príslušného programu</w:t>
      </w:r>
      <w:r w:rsidR="00FC5132" w:rsidRPr="00CB7030">
        <w:rPr>
          <w:rFonts w:eastAsia="Times New Roman" w:cs="Segoe UI"/>
          <w:color w:val="auto"/>
        </w:rPr>
        <w:t xml:space="preserve"> </w:t>
      </w:r>
      <w:r w:rsidRPr="00CB7030">
        <w:rPr>
          <w:rFonts w:eastAsia="Times New Roman" w:cs="Segoe UI"/>
          <w:color w:val="auto"/>
        </w:rPr>
        <w:t>(napríklad model CO2MPARE).</w:t>
      </w:r>
    </w:p>
    <w:p w:rsidR="0015331F" w:rsidRPr="00CB7030" w:rsidRDefault="0015331F" w:rsidP="0027382A">
      <w:pPr>
        <w:pStyle w:val="Vchodzie"/>
        <w:spacing w:line="240" w:lineRule="auto"/>
        <w:rPr>
          <w:color w:val="auto"/>
        </w:rPr>
      </w:pPr>
      <w:r w:rsidRPr="00CB7030">
        <w:rPr>
          <w:rFonts w:cs="Times New Roman"/>
          <w:color w:val="auto"/>
        </w:rPr>
        <w:t>V rámci b</w:t>
      </w:r>
      <w:r w:rsidRPr="00CB7030">
        <w:rPr>
          <w:rFonts w:cs="Times New Roman"/>
          <w:bCs/>
          <w:iCs/>
          <w:color w:val="auto"/>
        </w:rPr>
        <w:t>iodiverzity a starostlivosti o</w:t>
      </w:r>
      <w:r w:rsidR="00CB0B84">
        <w:rPr>
          <w:rFonts w:cs="Times New Roman"/>
          <w:bCs/>
          <w:iCs/>
          <w:color w:val="auto"/>
        </w:rPr>
        <w:t> </w:t>
      </w:r>
      <w:r w:rsidRPr="00CB7030">
        <w:rPr>
          <w:rFonts w:cs="Times New Roman"/>
          <w:bCs/>
          <w:iCs/>
          <w:color w:val="auto"/>
        </w:rPr>
        <w:t xml:space="preserve">ekosystémy </w:t>
      </w:r>
      <w:r w:rsidR="002C67B9">
        <w:rPr>
          <w:rFonts w:cs="Times New Roman"/>
          <w:color w:val="auto"/>
        </w:rPr>
        <w:t>disponuje</w:t>
      </w:r>
      <w:r w:rsidR="002C67B9" w:rsidRPr="00CB7030">
        <w:rPr>
          <w:rFonts w:cs="Times New Roman"/>
          <w:color w:val="auto"/>
        </w:rPr>
        <w:t xml:space="preserve"> </w:t>
      </w:r>
      <w:r w:rsidRPr="00CB7030">
        <w:rPr>
          <w:rFonts w:cs="Times New Roman"/>
          <w:color w:val="auto"/>
        </w:rPr>
        <w:t xml:space="preserve">SR </w:t>
      </w:r>
      <w:r w:rsidR="002C67B9">
        <w:rPr>
          <w:rFonts w:cs="Times New Roman"/>
          <w:color w:val="auto"/>
        </w:rPr>
        <w:t xml:space="preserve">schváleným </w:t>
      </w:r>
      <w:r w:rsidRPr="00CB7030">
        <w:rPr>
          <w:rFonts w:cs="Times New Roman"/>
          <w:color w:val="auto"/>
        </w:rPr>
        <w:t>dokument</w:t>
      </w:r>
      <w:r w:rsidR="002C67B9">
        <w:rPr>
          <w:rFonts w:cs="Times New Roman"/>
          <w:color w:val="auto"/>
        </w:rPr>
        <w:t>om</w:t>
      </w:r>
      <w:r w:rsidRPr="00CB7030">
        <w:rPr>
          <w:rFonts w:cs="Times New Roman"/>
          <w:color w:val="auto"/>
        </w:rPr>
        <w:t xml:space="preserve"> </w:t>
      </w:r>
      <w:r w:rsidRPr="002C67B9">
        <w:rPr>
          <w:rFonts w:cs="Times New Roman"/>
          <w:color w:val="auto"/>
        </w:rPr>
        <w:t xml:space="preserve">Aktualizovaná národná stratégia ochrany biodiverzity </w:t>
      </w:r>
      <w:r w:rsidR="002C67B9">
        <w:rPr>
          <w:rFonts w:cs="Times New Roman"/>
          <w:color w:val="auto"/>
        </w:rPr>
        <w:t>do roku</w:t>
      </w:r>
      <w:r w:rsidRPr="002C67B9">
        <w:rPr>
          <w:rFonts w:cs="Times New Roman"/>
          <w:color w:val="auto"/>
        </w:rPr>
        <w:t xml:space="preserve"> 2020</w:t>
      </w:r>
      <w:r w:rsidR="002C67B9">
        <w:rPr>
          <w:rStyle w:val="Odkaznapoznmkupodiarou"/>
          <w:color w:val="auto"/>
        </w:rPr>
        <w:footnoteReference w:id="321"/>
      </w:r>
      <w:r w:rsidRPr="00CB7030">
        <w:rPr>
          <w:rFonts w:cs="Times New Roman"/>
          <w:color w:val="auto"/>
        </w:rPr>
        <w:t>. Kľúčovým cieľom zostáva zastavenie straty biodiverzity a degradácie ekosystémov v SR, zabezpečenie ich revitalizácie a racionálneho využívania ekosystémových služieb v ich najväčšom vykonateľnom rozsahu. Biodiverzita bude zachovaná kombináciou synergických efektov s poľnohospodárstvom, lesným hospodárstvom, vodným hospodárstvom a turizmom a posilnením ekonomických nástrojov a stimulov.</w:t>
      </w:r>
    </w:p>
    <w:p w:rsidR="00CB0B84" w:rsidRPr="00CB7030" w:rsidRDefault="0015331F" w:rsidP="0027382A">
      <w:pPr>
        <w:pStyle w:val="Vchodzie"/>
        <w:spacing w:line="240" w:lineRule="auto"/>
        <w:rPr>
          <w:color w:val="auto"/>
        </w:rPr>
      </w:pPr>
      <w:r w:rsidRPr="00CB7030">
        <w:rPr>
          <w:rFonts w:cs="Times New Roman"/>
          <w:bCs/>
          <w:iCs/>
          <w:color w:val="auto"/>
        </w:rPr>
        <w:t xml:space="preserve">Medzi hlavné aktivity SR v oblasti prírodných </w:t>
      </w:r>
      <w:r w:rsidR="00BA2E1C">
        <w:rPr>
          <w:rFonts w:asciiTheme="majorHAnsi" w:hAnsiTheme="majorHAnsi" w:cs="Calibri"/>
          <w:szCs w:val="22"/>
        </w:rPr>
        <w:t>mimoriadnych udalostí</w:t>
      </w:r>
      <w:r w:rsidRPr="00CB7030">
        <w:rPr>
          <w:rFonts w:cs="Times New Roman"/>
          <w:bCs/>
          <w:iCs/>
          <w:color w:val="auto"/>
        </w:rPr>
        <w:t xml:space="preserve">,  predchádzanie riziku a jeho riadenia </w:t>
      </w:r>
      <w:r w:rsidRPr="00CB7030">
        <w:rPr>
          <w:rFonts w:cs="Times New Roman"/>
          <w:color w:val="auto"/>
        </w:rPr>
        <w:t xml:space="preserve">patrí prevencia pred povodňami, prevencia a riadenie rizík vyplývajúcich z uzavretých a opustených úložísk ťažobného odpadu, problematika rizík spojených so svahovými zosuvmi a predchádzanie </w:t>
      </w:r>
      <w:r w:rsidR="00FF0DFB">
        <w:rPr>
          <w:rFonts w:asciiTheme="majorHAnsi" w:hAnsiTheme="majorHAnsi" w:cs="Calibri"/>
          <w:szCs w:val="22"/>
        </w:rPr>
        <w:t>mimoriadnym</w:t>
      </w:r>
      <w:r w:rsidR="00BA2E1C">
        <w:rPr>
          <w:rFonts w:asciiTheme="majorHAnsi" w:hAnsiTheme="majorHAnsi" w:cs="Calibri"/>
          <w:szCs w:val="22"/>
        </w:rPr>
        <w:t xml:space="preserve"> udalost</w:t>
      </w:r>
      <w:r w:rsidR="00FF0DFB">
        <w:rPr>
          <w:rFonts w:asciiTheme="majorHAnsi" w:hAnsiTheme="majorHAnsi" w:cs="Calibri"/>
          <w:szCs w:val="22"/>
        </w:rPr>
        <w:t>iam</w:t>
      </w:r>
      <w:r w:rsidRPr="00CB7030">
        <w:rPr>
          <w:rFonts w:cs="Times New Roman"/>
          <w:color w:val="auto"/>
        </w:rPr>
        <w:t>. Zákon č. 7/2010 Z. z. o ochrane pred povodňami</w:t>
      </w:r>
      <w:r w:rsidR="00A47C26">
        <w:rPr>
          <w:rFonts w:cs="Times New Roman"/>
          <w:color w:val="auto"/>
        </w:rPr>
        <w:t xml:space="preserve"> v znení </w:t>
      </w:r>
      <w:r w:rsidR="00A47C26">
        <w:rPr>
          <w:rFonts w:cs="Times New Roman"/>
          <w:color w:val="auto"/>
        </w:rPr>
        <w:lastRenderedPageBreak/>
        <w:t>zákona č. 180/2013 Z. z. o organizácii miestnej štátnej správy a o zmene a doplnení niektorých zákonov</w:t>
      </w:r>
      <w:r w:rsidRPr="00CB7030">
        <w:rPr>
          <w:rFonts w:cs="Times New Roman"/>
          <w:color w:val="auto"/>
        </w:rPr>
        <w:t xml:space="preserve"> ustanovil povinnosť vyhotovovať a pravidelne aktualizovať plány riadenia povodňového rizika, vrátane predbežného hodnotenia povodňového rizika a vyhotovovania máp povodňového ohrozenia a máp povodňového rizika. Predbežné hodnotenie povodňového rizika v SR bolo vykonané v decembri 2011. </w:t>
      </w:r>
      <w:r w:rsidR="004D6D4D">
        <w:rPr>
          <w:rFonts w:cs="Times New Roman"/>
          <w:color w:val="auto"/>
        </w:rPr>
        <w:t>Za účelom komplexného a systematického riešenia problematiky rizík vyplývajúcich z opustených a uzavretých ložísk ťažobného odpadu bol vypracovaný základný plánovací dokument pre oblasť úložísk ťažobného odpadu „</w:t>
      </w:r>
      <w:r w:rsidRPr="00CB7030">
        <w:rPr>
          <w:rFonts w:cs="Times New Roman"/>
          <w:color w:val="auto"/>
        </w:rPr>
        <w:t>Program prevencie a riadenia rizík na uzavretých a opustených úložiskách ťažobného odpadu</w:t>
      </w:r>
      <w:r w:rsidR="004D6D4D">
        <w:rPr>
          <w:rFonts w:cs="Times New Roman"/>
          <w:color w:val="auto"/>
        </w:rPr>
        <w:t>“</w:t>
      </w:r>
      <w:r w:rsidR="004D6D4D">
        <w:rPr>
          <w:rStyle w:val="Odkaznapoznmkupodiarou"/>
          <w:color w:val="auto"/>
        </w:rPr>
        <w:footnoteReference w:id="322"/>
      </w:r>
      <w:r w:rsidR="004D6D4D">
        <w:rPr>
          <w:rFonts w:cs="Times New Roman"/>
          <w:color w:val="auto"/>
        </w:rPr>
        <w:t>.</w:t>
      </w:r>
      <w:r w:rsidRPr="00CB7030">
        <w:rPr>
          <w:rFonts w:cs="Times New Roman"/>
          <w:color w:val="auto"/>
        </w:rPr>
        <w:t xml:space="preserve"> </w:t>
      </w:r>
      <w:r w:rsidR="004D6D4D">
        <w:rPr>
          <w:rFonts w:cs="Times New Roman"/>
          <w:color w:val="auto"/>
        </w:rPr>
        <w:t xml:space="preserve">Základným strategickým plánovacím dokumentom pre oblasť svahových deformácií </w:t>
      </w:r>
      <w:r w:rsidR="00290E63">
        <w:rPr>
          <w:rFonts w:cs="Times New Roman"/>
          <w:color w:val="auto"/>
        </w:rPr>
        <w:t>je</w:t>
      </w:r>
      <w:r w:rsidR="004D6D4D">
        <w:rPr>
          <w:rFonts w:cs="Times New Roman"/>
          <w:color w:val="auto"/>
        </w:rPr>
        <w:t xml:space="preserve"> dokument </w:t>
      </w:r>
      <w:r w:rsidR="00290E63">
        <w:rPr>
          <w:rFonts w:cs="Times New Roman"/>
          <w:color w:val="auto"/>
        </w:rPr>
        <w:t>„</w:t>
      </w:r>
      <w:r w:rsidRPr="00CB7030">
        <w:rPr>
          <w:rFonts w:cs="Times New Roman"/>
          <w:color w:val="auto"/>
        </w:rPr>
        <w:t>Program prevencie a riadenia zosuvných rizík</w:t>
      </w:r>
      <w:r w:rsidR="00290E63">
        <w:rPr>
          <w:rFonts w:cs="Times New Roman"/>
          <w:color w:val="auto"/>
        </w:rPr>
        <w:t>“</w:t>
      </w:r>
      <w:r w:rsidR="004D6D4D">
        <w:rPr>
          <w:rStyle w:val="Odkaznapoznmkupodiarou"/>
          <w:color w:val="auto"/>
        </w:rPr>
        <w:footnoteReference w:id="323"/>
      </w:r>
      <w:r w:rsidRPr="00CB7030">
        <w:rPr>
          <w:rFonts w:cs="Times New Roman"/>
          <w:color w:val="auto"/>
        </w:rPr>
        <w:t>.</w:t>
      </w:r>
    </w:p>
    <w:p w:rsidR="00AC4D9D" w:rsidRDefault="00AC4D9D" w:rsidP="00620D27">
      <w:pPr>
        <w:pStyle w:val="Nadpis2"/>
        <w:numPr>
          <w:ilvl w:val="1"/>
          <w:numId w:val="2"/>
        </w:numPr>
        <w:spacing w:before="240" w:after="120"/>
        <w:ind w:left="578" w:hanging="578"/>
        <w:rPr>
          <w:lang w:eastAsia="cs-CZ"/>
        </w:rPr>
      </w:pPr>
      <w:bookmarkStart w:id="623" w:name="_Toc490655223"/>
      <w:r w:rsidRPr="00A11FE0">
        <w:rPr>
          <w:lang w:eastAsia="cs-CZ"/>
        </w:rPr>
        <w:t>Zoznam programov v</w:t>
      </w:r>
      <w:r w:rsidR="00FA6C7A">
        <w:rPr>
          <w:lang w:eastAsia="cs-CZ"/>
        </w:rPr>
        <w:t> </w:t>
      </w:r>
      <w:r w:rsidRPr="00A11FE0">
        <w:rPr>
          <w:lang w:eastAsia="cs-CZ"/>
        </w:rPr>
        <w:t xml:space="preserve">rámci EFRR, ESF </w:t>
      </w:r>
      <w:r w:rsidR="00BD5FD5">
        <w:rPr>
          <w:lang w:eastAsia="cs-CZ"/>
        </w:rPr>
        <w:t>a</w:t>
      </w:r>
      <w:r w:rsidR="00A47C26">
        <w:rPr>
          <w:lang w:eastAsia="cs-CZ"/>
        </w:rPr>
        <w:t> </w:t>
      </w:r>
      <w:r w:rsidR="00BD5FD5">
        <w:rPr>
          <w:lang w:eastAsia="cs-CZ"/>
        </w:rPr>
        <w:t>K</w:t>
      </w:r>
      <w:r w:rsidRPr="00A11FE0">
        <w:rPr>
          <w:lang w:eastAsia="cs-CZ"/>
        </w:rPr>
        <w:t xml:space="preserve">F, </w:t>
      </w:r>
      <w:r w:rsidR="00BD5FD5">
        <w:rPr>
          <w:lang w:eastAsia="cs-CZ"/>
        </w:rPr>
        <w:t>s</w:t>
      </w:r>
      <w:r w:rsidR="00A47C26">
        <w:rPr>
          <w:lang w:eastAsia="cs-CZ"/>
        </w:rPr>
        <w:t> </w:t>
      </w:r>
      <w:r w:rsidRPr="00A11FE0">
        <w:rPr>
          <w:lang w:eastAsia="cs-CZ"/>
        </w:rPr>
        <w:t>výnimkou programov v</w:t>
      </w:r>
      <w:r w:rsidR="00CB6151">
        <w:rPr>
          <w:lang w:eastAsia="cs-CZ"/>
        </w:rPr>
        <w:t> </w:t>
      </w:r>
      <w:r w:rsidRPr="00A11FE0">
        <w:rPr>
          <w:lang w:eastAsia="cs-CZ"/>
        </w:rPr>
        <w:t>rámci</w:t>
      </w:r>
      <w:r w:rsidR="00CB6151">
        <w:rPr>
          <w:lang w:eastAsia="cs-CZ"/>
        </w:rPr>
        <w:t xml:space="preserve"> </w:t>
      </w:r>
      <w:r w:rsidRPr="00E45E56">
        <w:rPr>
          <w:lang w:eastAsia="cs-CZ"/>
        </w:rPr>
        <w:t>cieľa</w:t>
      </w:r>
      <w:r w:rsidRPr="00A11FE0">
        <w:rPr>
          <w:lang w:eastAsia="cs-CZ"/>
        </w:rPr>
        <w:t xml:space="preserve"> </w:t>
      </w:r>
      <w:r w:rsidR="00992762">
        <w:rPr>
          <w:lang w:eastAsia="cs-CZ"/>
        </w:rPr>
        <w:t>E</w:t>
      </w:r>
      <w:r w:rsidR="00DC5F52">
        <w:rPr>
          <w:lang w:eastAsia="cs-CZ"/>
        </w:rPr>
        <w:t>ur</w:t>
      </w:r>
      <w:r w:rsidRPr="00A11FE0">
        <w:rPr>
          <w:lang w:eastAsia="cs-CZ"/>
        </w:rPr>
        <w:t xml:space="preserve">ópska územná </w:t>
      </w:r>
      <w:r w:rsidR="00BD5FD5">
        <w:rPr>
          <w:lang w:eastAsia="cs-CZ"/>
        </w:rPr>
        <w:t>s</w:t>
      </w:r>
      <w:r w:rsidRPr="00A11FE0">
        <w:rPr>
          <w:lang w:eastAsia="cs-CZ"/>
        </w:rPr>
        <w:t xml:space="preserve">polupráca </w:t>
      </w:r>
      <w:r w:rsidR="00BD5FD5">
        <w:rPr>
          <w:lang w:eastAsia="cs-CZ"/>
        </w:rPr>
        <w:t>a</w:t>
      </w:r>
      <w:r w:rsidR="00FA6C7A">
        <w:rPr>
          <w:lang w:eastAsia="cs-CZ"/>
        </w:rPr>
        <w:t> </w:t>
      </w:r>
      <w:r w:rsidRPr="00A11FE0">
        <w:rPr>
          <w:lang w:eastAsia="cs-CZ"/>
        </w:rPr>
        <w:t>zoznam programov v</w:t>
      </w:r>
      <w:r w:rsidR="00FA6C7A">
        <w:rPr>
          <w:lang w:eastAsia="cs-CZ"/>
        </w:rPr>
        <w:t> </w:t>
      </w:r>
      <w:r w:rsidRPr="00A11FE0">
        <w:rPr>
          <w:lang w:eastAsia="cs-CZ"/>
        </w:rPr>
        <w:t xml:space="preserve">prípade EPFRV </w:t>
      </w:r>
      <w:r w:rsidR="00BD5FD5">
        <w:rPr>
          <w:lang w:eastAsia="cs-CZ"/>
        </w:rPr>
        <w:t>a</w:t>
      </w:r>
      <w:r w:rsidR="00FA6C7A">
        <w:rPr>
          <w:lang w:eastAsia="cs-CZ"/>
        </w:rPr>
        <w:t> </w:t>
      </w:r>
      <w:r w:rsidRPr="00A11FE0">
        <w:rPr>
          <w:lang w:eastAsia="cs-CZ"/>
        </w:rPr>
        <w:t xml:space="preserve">ENRF, </w:t>
      </w:r>
      <w:r w:rsidR="00BD5FD5">
        <w:rPr>
          <w:lang w:eastAsia="cs-CZ"/>
        </w:rPr>
        <w:t>s</w:t>
      </w:r>
      <w:r w:rsidRPr="00A11FE0">
        <w:rPr>
          <w:lang w:eastAsia="cs-CZ"/>
        </w:rPr>
        <w:t xml:space="preserve">polu </w:t>
      </w:r>
      <w:r w:rsidR="00BD5FD5">
        <w:rPr>
          <w:lang w:eastAsia="cs-CZ"/>
        </w:rPr>
        <w:t>s</w:t>
      </w:r>
      <w:r w:rsidR="00FA6C7A">
        <w:rPr>
          <w:lang w:eastAsia="cs-CZ"/>
        </w:rPr>
        <w:t> </w:t>
      </w:r>
      <w:r w:rsidRPr="00A11FE0">
        <w:rPr>
          <w:lang w:eastAsia="cs-CZ"/>
        </w:rPr>
        <w:t xml:space="preserve">príslušnými </w:t>
      </w:r>
      <w:r w:rsidR="003A3DB3">
        <w:rPr>
          <w:lang w:eastAsia="cs-CZ"/>
        </w:rPr>
        <w:t>orientačnými</w:t>
      </w:r>
      <w:r w:rsidR="003A3DB3" w:rsidRPr="00A11FE0">
        <w:rPr>
          <w:lang w:eastAsia="cs-CZ"/>
        </w:rPr>
        <w:t xml:space="preserve"> </w:t>
      </w:r>
      <w:r w:rsidR="003A3DB3">
        <w:rPr>
          <w:lang w:eastAsia="cs-CZ"/>
        </w:rPr>
        <w:t>pridelenými finančnými prostriedkami</w:t>
      </w:r>
      <w:r w:rsidR="003A3DB3" w:rsidRPr="00A11FE0">
        <w:rPr>
          <w:lang w:eastAsia="cs-CZ"/>
        </w:rPr>
        <w:t xml:space="preserve"> </w:t>
      </w:r>
      <w:r w:rsidRPr="00A11FE0">
        <w:rPr>
          <w:lang w:eastAsia="cs-CZ"/>
        </w:rPr>
        <w:t xml:space="preserve">podľa EŠIF </w:t>
      </w:r>
      <w:r w:rsidR="00BD5FD5">
        <w:rPr>
          <w:lang w:eastAsia="cs-CZ"/>
        </w:rPr>
        <w:t>a</w:t>
      </w:r>
      <w:r w:rsidR="00CB6151">
        <w:rPr>
          <w:lang w:eastAsia="cs-CZ"/>
        </w:rPr>
        <w:t> </w:t>
      </w:r>
      <w:r w:rsidRPr="00A11FE0">
        <w:rPr>
          <w:lang w:eastAsia="cs-CZ"/>
        </w:rPr>
        <w:t>podľa</w:t>
      </w:r>
      <w:r w:rsidR="00CB6151">
        <w:rPr>
          <w:lang w:eastAsia="cs-CZ"/>
        </w:rPr>
        <w:t xml:space="preserve"> </w:t>
      </w:r>
      <w:r w:rsidRPr="00A11FE0">
        <w:rPr>
          <w:lang w:eastAsia="cs-CZ"/>
        </w:rPr>
        <w:t>roku</w:t>
      </w:r>
      <w:bookmarkEnd w:id="622"/>
      <w:bookmarkEnd w:id="623"/>
    </w:p>
    <w:p w:rsidR="00391F91" w:rsidRPr="00CB7030" w:rsidRDefault="00391F91" w:rsidP="00765951">
      <w:pPr>
        <w:pStyle w:val="Popis"/>
        <w:spacing w:after="0"/>
        <w:jc w:val="left"/>
        <w:rPr>
          <w:b w:val="0"/>
          <w:bCs w:val="0"/>
          <w:sz w:val="18"/>
          <w:szCs w:val="18"/>
        </w:rPr>
      </w:pPr>
      <w:r w:rsidRPr="00CB7030">
        <w:rPr>
          <w:rFonts w:asciiTheme="majorHAnsi" w:hAnsiTheme="majorHAnsi"/>
          <w:b w:val="0"/>
          <w:bCs w:val="0"/>
          <w:sz w:val="18"/>
          <w:szCs w:val="18"/>
        </w:rPr>
        <w:t xml:space="preserve">Tabuľka </w:t>
      </w:r>
      <w:r w:rsidR="00E63678">
        <w:rPr>
          <w:rFonts w:asciiTheme="majorHAnsi" w:hAnsiTheme="majorHAnsi"/>
          <w:b w:val="0"/>
          <w:bCs w:val="0"/>
          <w:sz w:val="18"/>
          <w:szCs w:val="18"/>
        </w:rPr>
        <w:t>6</w:t>
      </w:r>
    </w:p>
    <w:tbl>
      <w:tblPr>
        <w:tblW w:w="584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6"/>
        <w:gridCol w:w="879"/>
        <w:gridCol w:w="1212"/>
        <w:gridCol w:w="1132"/>
        <w:gridCol w:w="1132"/>
        <w:gridCol w:w="1125"/>
        <w:gridCol w:w="1132"/>
        <w:gridCol w:w="1129"/>
        <w:gridCol w:w="1166"/>
        <w:gridCol w:w="1136"/>
      </w:tblGrid>
      <w:tr w:rsidR="004274FF" w:rsidRPr="00A11FE0" w:rsidTr="004274FF">
        <w:trPr>
          <w:trHeight w:val="1406"/>
          <w:tblHeader/>
          <w:jc w:val="center"/>
        </w:trPr>
        <w:tc>
          <w:tcPr>
            <w:tcW w:w="376"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Názov programu</w:t>
            </w:r>
          </w:p>
        </w:tc>
        <w:tc>
          <w:tcPr>
            <w:tcW w:w="405"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 xml:space="preserve">EŠIF </w:t>
            </w:r>
            <w:r w:rsidRPr="00D275D1">
              <w:rPr>
                <w:rFonts w:asciiTheme="majorHAnsi" w:hAnsiTheme="majorHAnsi"/>
                <w:sz w:val="16"/>
                <w:szCs w:val="16"/>
              </w:rPr>
              <w:t>(EFRR, ESF, KF, EPFRV, ENRF alebo IZM)</w:t>
            </w:r>
          </w:p>
        </w:tc>
        <w:tc>
          <w:tcPr>
            <w:tcW w:w="558"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Celkom</w:t>
            </w:r>
          </w:p>
          <w:p w:rsidR="00391F91" w:rsidRPr="00D275D1" w:rsidRDefault="00391F91" w:rsidP="003A6A0E">
            <w:pPr>
              <w:snapToGrid w:val="0"/>
              <w:spacing w:after="0"/>
              <w:jc w:val="center"/>
              <w:rPr>
                <w:rFonts w:asciiTheme="majorHAnsi" w:hAnsiTheme="majorHAnsi"/>
                <w:b/>
                <w:sz w:val="16"/>
                <w:szCs w:val="16"/>
              </w:rPr>
            </w:pPr>
            <w:r w:rsidRPr="00D275D1">
              <w:rPr>
                <w:rFonts w:asciiTheme="majorHAnsi" w:hAnsiTheme="majorHAnsi"/>
                <w:b/>
                <w:sz w:val="16"/>
                <w:szCs w:val="16"/>
              </w:rPr>
              <w:t>(EUR)</w:t>
            </w:r>
          </w:p>
        </w:tc>
        <w:tc>
          <w:tcPr>
            <w:tcW w:w="521"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2014</w:t>
            </w:r>
          </w:p>
        </w:tc>
        <w:tc>
          <w:tcPr>
            <w:tcW w:w="521"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2015</w:t>
            </w:r>
          </w:p>
        </w:tc>
        <w:tc>
          <w:tcPr>
            <w:tcW w:w="518"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2016</w:t>
            </w:r>
          </w:p>
        </w:tc>
        <w:tc>
          <w:tcPr>
            <w:tcW w:w="521"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2017</w:t>
            </w:r>
          </w:p>
        </w:tc>
        <w:tc>
          <w:tcPr>
            <w:tcW w:w="520"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2018</w:t>
            </w:r>
          </w:p>
        </w:tc>
        <w:tc>
          <w:tcPr>
            <w:tcW w:w="537"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2019</w:t>
            </w:r>
          </w:p>
        </w:tc>
        <w:tc>
          <w:tcPr>
            <w:tcW w:w="523" w:type="pct"/>
            <w:shd w:val="clear" w:color="auto" w:fill="D9D9D9"/>
            <w:vAlign w:val="center"/>
          </w:tcPr>
          <w:p w:rsidR="00391F91" w:rsidRPr="00D275D1" w:rsidRDefault="00391F91" w:rsidP="00D275D1">
            <w:pPr>
              <w:snapToGrid w:val="0"/>
              <w:spacing w:after="0"/>
              <w:jc w:val="center"/>
              <w:rPr>
                <w:rFonts w:asciiTheme="majorHAnsi" w:hAnsiTheme="majorHAnsi"/>
                <w:b/>
                <w:sz w:val="16"/>
                <w:szCs w:val="16"/>
              </w:rPr>
            </w:pPr>
            <w:r w:rsidRPr="00D275D1">
              <w:rPr>
                <w:rFonts w:asciiTheme="majorHAnsi" w:hAnsiTheme="majorHAnsi"/>
                <w:b/>
                <w:sz w:val="16"/>
                <w:szCs w:val="16"/>
              </w:rPr>
              <w:t>2020</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VaI</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EFRR</w:t>
            </w:r>
          </w:p>
        </w:tc>
        <w:tc>
          <w:tcPr>
            <w:tcW w:w="558" w:type="pct"/>
            <w:vAlign w:val="center"/>
          </w:tcPr>
          <w:p w:rsidR="00A3491D" w:rsidRPr="00A11FE0" w:rsidRDefault="00567DE7" w:rsidP="0064076C">
            <w:pPr>
              <w:snapToGrid w:val="0"/>
              <w:spacing w:after="0"/>
              <w:jc w:val="center"/>
              <w:rPr>
                <w:rFonts w:asciiTheme="majorHAnsi" w:hAnsiTheme="majorHAnsi"/>
                <w:sz w:val="18"/>
                <w:szCs w:val="18"/>
              </w:rPr>
            </w:pPr>
            <w:r w:rsidRPr="00144755">
              <w:rPr>
                <w:rFonts w:ascii="Calibri" w:eastAsia="Times New Roman" w:hAnsi="Calibri"/>
                <w:b/>
                <w:bCs/>
                <w:color w:val="000000"/>
                <w:sz w:val="14"/>
                <w:szCs w:val="14"/>
                <w:lang w:eastAsia="sk-SK"/>
              </w:rPr>
              <w:t>2 231 032</w:t>
            </w:r>
            <w:r w:rsidR="009E44E3">
              <w:rPr>
                <w:rFonts w:ascii="Calibri" w:eastAsia="Times New Roman" w:hAnsi="Calibri"/>
                <w:b/>
                <w:bCs/>
                <w:color w:val="000000"/>
                <w:sz w:val="14"/>
                <w:szCs w:val="14"/>
                <w:lang w:eastAsia="sk-SK"/>
              </w:rPr>
              <w:t> </w:t>
            </w:r>
            <w:r w:rsidRPr="00144755">
              <w:rPr>
                <w:rFonts w:ascii="Calibri" w:eastAsia="Times New Roman" w:hAnsi="Calibri"/>
                <w:b/>
                <w:bCs/>
                <w:color w:val="000000"/>
                <w:sz w:val="14"/>
                <w:szCs w:val="14"/>
                <w:lang w:eastAsia="sk-SK"/>
              </w:rPr>
              <w:t>482</w:t>
            </w:r>
            <w:r w:rsidR="009E44E3">
              <w:rPr>
                <w:rFonts w:ascii="Calibri" w:eastAsia="Times New Roman" w:hAnsi="Calibri"/>
                <w:b/>
                <w:bCs/>
                <w:color w:val="000000"/>
                <w:sz w:val="14"/>
                <w:szCs w:val="14"/>
                <w:lang w:eastAsia="sk-SK"/>
              </w:rPr>
              <w:t xml:space="preserve"> </w:t>
            </w:r>
          </w:p>
        </w:tc>
        <w:tc>
          <w:tcPr>
            <w:tcW w:w="521" w:type="pct"/>
            <w:vAlign w:val="center"/>
          </w:tcPr>
          <w:p w:rsidR="00A3491D" w:rsidRPr="000D7C6E" w:rsidRDefault="00A3491D" w:rsidP="008A6B73">
            <w:pPr>
              <w:snapToGrid w:val="0"/>
              <w:spacing w:after="0"/>
              <w:jc w:val="center"/>
              <w:rPr>
                <w:rFonts w:asciiTheme="majorHAnsi" w:hAnsiTheme="majorHAnsi"/>
                <w:color w:val="000000"/>
                <w:sz w:val="14"/>
                <w:szCs w:val="14"/>
              </w:rPr>
            </w:pPr>
            <w:r w:rsidRPr="00845ACE">
              <w:rPr>
                <w:rFonts w:asciiTheme="majorHAnsi" w:hAnsiTheme="majorHAnsi"/>
                <w:color w:val="000000"/>
                <w:sz w:val="14"/>
                <w:szCs w:val="14"/>
              </w:rPr>
              <w:t>281 378 955</w:t>
            </w:r>
          </w:p>
        </w:tc>
        <w:tc>
          <w:tcPr>
            <w:tcW w:w="521" w:type="pct"/>
            <w:vAlign w:val="center"/>
          </w:tcPr>
          <w:p w:rsidR="00A3491D" w:rsidRPr="000D7C6E" w:rsidRDefault="00A3491D" w:rsidP="008A6B73">
            <w:pPr>
              <w:snapToGrid w:val="0"/>
              <w:spacing w:after="0"/>
              <w:jc w:val="center"/>
              <w:rPr>
                <w:rFonts w:asciiTheme="majorHAnsi" w:hAnsiTheme="majorHAnsi"/>
                <w:color w:val="000000"/>
                <w:sz w:val="14"/>
                <w:szCs w:val="14"/>
              </w:rPr>
            </w:pPr>
            <w:r w:rsidRPr="00845ACE">
              <w:rPr>
                <w:rFonts w:asciiTheme="majorHAnsi" w:hAnsiTheme="majorHAnsi"/>
                <w:color w:val="000000"/>
                <w:sz w:val="14"/>
                <w:szCs w:val="14"/>
              </w:rPr>
              <w:t>295 404 738</w:t>
            </w:r>
          </w:p>
        </w:tc>
        <w:tc>
          <w:tcPr>
            <w:tcW w:w="518" w:type="pct"/>
            <w:vAlign w:val="center"/>
          </w:tcPr>
          <w:p w:rsidR="00A3491D" w:rsidRPr="000D7C6E" w:rsidRDefault="00A3491D" w:rsidP="006C03D5">
            <w:pPr>
              <w:snapToGrid w:val="0"/>
              <w:spacing w:after="0"/>
              <w:jc w:val="center"/>
              <w:rPr>
                <w:rFonts w:asciiTheme="majorHAnsi" w:hAnsiTheme="majorHAnsi"/>
                <w:color w:val="000000"/>
                <w:sz w:val="14"/>
                <w:szCs w:val="14"/>
              </w:rPr>
            </w:pPr>
            <w:r w:rsidRPr="00845ACE">
              <w:rPr>
                <w:rFonts w:asciiTheme="majorHAnsi" w:hAnsiTheme="majorHAnsi"/>
                <w:color w:val="000000"/>
                <w:sz w:val="14"/>
                <w:szCs w:val="14"/>
              </w:rPr>
              <w:t>309 617 024</w:t>
            </w:r>
          </w:p>
        </w:tc>
        <w:tc>
          <w:tcPr>
            <w:tcW w:w="521" w:type="pct"/>
            <w:vAlign w:val="center"/>
          </w:tcPr>
          <w:p w:rsidR="00A3491D" w:rsidRPr="000D7C6E" w:rsidRDefault="00567DE7" w:rsidP="00B70606">
            <w:pPr>
              <w:snapToGrid w:val="0"/>
              <w:spacing w:after="0"/>
              <w:jc w:val="center"/>
              <w:rPr>
                <w:rFonts w:asciiTheme="majorHAnsi" w:hAnsiTheme="majorHAnsi"/>
                <w:color w:val="000000"/>
                <w:sz w:val="14"/>
                <w:szCs w:val="14"/>
              </w:rPr>
            </w:pPr>
            <w:r w:rsidRPr="00144755">
              <w:rPr>
                <w:rFonts w:ascii="Calibri" w:eastAsia="Times New Roman" w:hAnsi="Calibri"/>
                <w:color w:val="000000"/>
                <w:sz w:val="14"/>
                <w:szCs w:val="14"/>
                <w:lang w:eastAsia="sk-SK"/>
              </w:rPr>
              <w:t>314 959</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224</w:t>
            </w:r>
            <w:r w:rsidR="009E44E3">
              <w:rPr>
                <w:rFonts w:ascii="Calibri" w:eastAsia="Times New Roman" w:hAnsi="Calibri"/>
                <w:color w:val="000000"/>
                <w:sz w:val="14"/>
                <w:szCs w:val="14"/>
                <w:lang w:eastAsia="sk-SK"/>
              </w:rPr>
              <w:t xml:space="preserve"> </w:t>
            </w:r>
          </w:p>
        </w:tc>
        <w:tc>
          <w:tcPr>
            <w:tcW w:w="520" w:type="pct"/>
            <w:vAlign w:val="center"/>
          </w:tcPr>
          <w:p w:rsidR="00A3491D" w:rsidRPr="000D7C6E" w:rsidRDefault="00567DE7">
            <w:pPr>
              <w:snapToGrid w:val="0"/>
              <w:spacing w:after="0"/>
              <w:jc w:val="center"/>
              <w:rPr>
                <w:rFonts w:asciiTheme="majorHAnsi" w:hAnsiTheme="majorHAnsi"/>
                <w:color w:val="000000"/>
                <w:sz w:val="14"/>
                <w:szCs w:val="14"/>
              </w:rPr>
            </w:pPr>
            <w:r w:rsidRPr="00144755">
              <w:rPr>
                <w:rFonts w:ascii="Calibri" w:eastAsia="Times New Roman" w:hAnsi="Calibri"/>
                <w:color w:val="000000"/>
                <w:sz w:val="14"/>
                <w:szCs w:val="14"/>
                <w:lang w:eastAsia="sk-SK"/>
              </w:rPr>
              <w:t>329 787</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479</w:t>
            </w:r>
            <w:r w:rsidR="009E44E3">
              <w:rPr>
                <w:rFonts w:ascii="Calibri" w:eastAsia="Times New Roman" w:hAnsi="Calibri"/>
                <w:color w:val="000000"/>
                <w:sz w:val="14"/>
                <w:szCs w:val="14"/>
                <w:lang w:eastAsia="sk-SK"/>
              </w:rPr>
              <w:t xml:space="preserve"> </w:t>
            </w:r>
          </w:p>
        </w:tc>
        <w:tc>
          <w:tcPr>
            <w:tcW w:w="537" w:type="pct"/>
            <w:vAlign w:val="center"/>
          </w:tcPr>
          <w:p w:rsidR="00A3491D" w:rsidRPr="000D7C6E" w:rsidRDefault="00567DE7">
            <w:pPr>
              <w:snapToGrid w:val="0"/>
              <w:spacing w:after="0"/>
              <w:jc w:val="center"/>
              <w:rPr>
                <w:rFonts w:asciiTheme="majorHAnsi" w:hAnsiTheme="majorHAnsi"/>
                <w:color w:val="000000"/>
                <w:sz w:val="14"/>
                <w:szCs w:val="14"/>
              </w:rPr>
            </w:pPr>
            <w:r w:rsidRPr="00144755">
              <w:rPr>
                <w:rFonts w:ascii="Calibri" w:eastAsia="Times New Roman" w:hAnsi="Calibri"/>
                <w:color w:val="000000"/>
                <w:sz w:val="14"/>
                <w:szCs w:val="14"/>
                <w:lang w:eastAsia="sk-SK"/>
              </w:rPr>
              <w:t>345 675</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862</w:t>
            </w:r>
            <w:r w:rsidR="009E44E3">
              <w:rPr>
                <w:rFonts w:ascii="Calibri" w:eastAsia="Times New Roman" w:hAnsi="Calibri"/>
                <w:color w:val="000000"/>
                <w:sz w:val="14"/>
                <w:szCs w:val="14"/>
                <w:lang w:eastAsia="sk-SK"/>
              </w:rPr>
              <w:t xml:space="preserve"> </w:t>
            </w:r>
          </w:p>
        </w:tc>
        <w:tc>
          <w:tcPr>
            <w:tcW w:w="523" w:type="pct"/>
            <w:vAlign w:val="center"/>
          </w:tcPr>
          <w:p w:rsidR="00A3491D" w:rsidRPr="000D7C6E" w:rsidRDefault="00567DE7">
            <w:pPr>
              <w:snapToGrid w:val="0"/>
              <w:spacing w:after="0"/>
              <w:jc w:val="center"/>
              <w:rPr>
                <w:rFonts w:asciiTheme="majorHAnsi" w:hAnsiTheme="majorHAnsi"/>
                <w:color w:val="000000"/>
                <w:sz w:val="14"/>
                <w:szCs w:val="14"/>
              </w:rPr>
            </w:pPr>
            <w:r w:rsidRPr="00144755">
              <w:rPr>
                <w:rFonts w:ascii="Calibri" w:eastAsia="Times New Roman" w:hAnsi="Calibri"/>
                <w:color w:val="000000"/>
                <w:sz w:val="14"/>
                <w:szCs w:val="14"/>
                <w:lang w:eastAsia="sk-SK"/>
              </w:rPr>
              <w:t>354 209</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200</w:t>
            </w:r>
            <w:r w:rsidR="009E44E3">
              <w:rPr>
                <w:rFonts w:ascii="Calibri" w:eastAsia="Times New Roman" w:hAnsi="Calibri"/>
                <w:color w:val="000000"/>
                <w:sz w:val="14"/>
                <w:szCs w:val="14"/>
                <w:lang w:eastAsia="sk-SK"/>
              </w:rPr>
              <w:t xml:space="preserve"> </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II</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KF</w:t>
            </w:r>
          </w:p>
        </w:tc>
        <w:tc>
          <w:tcPr>
            <w:tcW w:w="558" w:type="pct"/>
            <w:vAlign w:val="center"/>
          </w:tcPr>
          <w:p w:rsidR="00A3491D" w:rsidRPr="00A11FE0" w:rsidRDefault="00A3491D" w:rsidP="0064076C">
            <w:pPr>
              <w:snapToGrid w:val="0"/>
              <w:spacing w:after="0"/>
              <w:jc w:val="center"/>
              <w:rPr>
                <w:rFonts w:asciiTheme="majorHAnsi" w:hAnsiTheme="majorHAnsi"/>
                <w:sz w:val="18"/>
                <w:szCs w:val="18"/>
              </w:rPr>
            </w:pPr>
            <w:r w:rsidRPr="00845ACE">
              <w:rPr>
                <w:rFonts w:asciiTheme="majorHAnsi" w:hAnsiTheme="majorHAnsi"/>
                <w:b/>
                <w:bCs/>
                <w:color w:val="000000"/>
                <w:sz w:val="14"/>
                <w:szCs w:val="14"/>
              </w:rPr>
              <w:t>2 307 139 166</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285 026 708</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300 192 830</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315 522 069</w:t>
            </w:r>
          </w:p>
        </w:tc>
        <w:tc>
          <w:tcPr>
            <w:tcW w:w="521" w:type="pct"/>
            <w:vAlign w:val="center"/>
          </w:tcPr>
          <w:p w:rsidR="00A3491D" w:rsidRPr="00D275D1" w:rsidRDefault="00A3491D" w:rsidP="00B70606">
            <w:pPr>
              <w:snapToGrid w:val="0"/>
              <w:spacing w:after="0"/>
              <w:jc w:val="center"/>
              <w:rPr>
                <w:rFonts w:ascii="Calibri" w:hAnsi="Calibri"/>
                <w:color w:val="000000"/>
                <w:sz w:val="14"/>
                <w:szCs w:val="14"/>
              </w:rPr>
            </w:pPr>
            <w:r w:rsidRPr="00845ACE">
              <w:rPr>
                <w:rFonts w:asciiTheme="majorHAnsi" w:hAnsiTheme="majorHAnsi"/>
                <w:color w:val="000000"/>
                <w:sz w:val="14"/>
                <w:szCs w:val="14"/>
              </w:rPr>
              <w:t>330 075 029</w:t>
            </w:r>
          </w:p>
        </w:tc>
        <w:tc>
          <w:tcPr>
            <w:tcW w:w="520"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345 013 576</w:t>
            </w:r>
          </w:p>
        </w:tc>
        <w:tc>
          <w:tcPr>
            <w:tcW w:w="537"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361 643 484</w:t>
            </w:r>
          </w:p>
        </w:tc>
        <w:tc>
          <w:tcPr>
            <w:tcW w:w="523"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369 665 470</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II</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EFRR</w:t>
            </w:r>
          </w:p>
        </w:tc>
        <w:tc>
          <w:tcPr>
            <w:tcW w:w="558" w:type="pct"/>
            <w:vAlign w:val="center"/>
          </w:tcPr>
          <w:p w:rsidR="00A3491D" w:rsidRPr="00A11FE0" w:rsidRDefault="00F019CD" w:rsidP="0064076C">
            <w:pPr>
              <w:snapToGrid w:val="0"/>
              <w:spacing w:after="0"/>
              <w:jc w:val="center"/>
              <w:rPr>
                <w:rFonts w:asciiTheme="majorHAnsi" w:hAnsiTheme="majorHAnsi"/>
                <w:sz w:val="18"/>
                <w:szCs w:val="18"/>
              </w:rPr>
            </w:pPr>
            <w:r w:rsidRPr="00144755">
              <w:rPr>
                <w:rFonts w:ascii="Calibri" w:eastAsia="Times New Roman" w:hAnsi="Calibri"/>
                <w:b/>
                <w:bCs/>
                <w:color w:val="000000"/>
                <w:sz w:val="14"/>
                <w:szCs w:val="14"/>
                <w:lang w:eastAsia="sk-SK"/>
              </w:rPr>
              <w:t>1 642 071</w:t>
            </w:r>
            <w:r w:rsidR="009E44E3">
              <w:rPr>
                <w:rFonts w:ascii="Calibri" w:eastAsia="Times New Roman" w:hAnsi="Calibri"/>
                <w:b/>
                <w:bCs/>
                <w:color w:val="000000"/>
                <w:sz w:val="14"/>
                <w:szCs w:val="14"/>
                <w:lang w:eastAsia="sk-SK"/>
              </w:rPr>
              <w:t> </w:t>
            </w:r>
            <w:r w:rsidRPr="00144755">
              <w:rPr>
                <w:rFonts w:ascii="Calibri" w:eastAsia="Times New Roman" w:hAnsi="Calibri"/>
                <w:b/>
                <w:bCs/>
                <w:color w:val="000000"/>
                <w:sz w:val="14"/>
                <w:szCs w:val="14"/>
                <w:lang w:eastAsia="sk-SK"/>
              </w:rPr>
              <w:t>397</w:t>
            </w:r>
            <w:r w:rsidR="009E44E3">
              <w:rPr>
                <w:rFonts w:ascii="Calibri" w:eastAsia="Times New Roman" w:hAnsi="Calibri"/>
                <w:b/>
                <w:bCs/>
                <w:color w:val="000000"/>
                <w:sz w:val="14"/>
                <w:szCs w:val="14"/>
                <w:lang w:eastAsia="sk-SK"/>
              </w:rPr>
              <w:t xml:space="preserve">  </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205 997 422</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216 265 691</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226 670 501</w:t>
            </w:r>
          </w:p>
        </w:tc>
        <w:tc>
          <w:tcPr>
            <w:tcW w:w="521" w:type="pct"/>
            <w:vAlign w:val="center"/>
          </w:tcPr>
          <w:p w:rsidR="00A3491D" w:rsidRPr="00D275D1" w:rsidRDefault="00F019CD" w:rsidP="00B70606">
            <w:pPr>
              <w:snapToGrid w:val="0"/>
              <w:spacing w:after="0"/>
              <w:jc w:val="center"/>
              <w:rPr>
                <w:rFonts w:ascii="Calibri" w:hAnsi="Calibri"/>
                <w:color w:val="000000"/>
                <w:sz w:val="14"/>
                <w:szCs w:val="14"/>
              </w:rPr>
            </w:pPr>
            <w:r w:rsidRPr="00144755">
              <w:rPr>
                <w:rFonts w:ascii="Calibri" w:eastAsia="Times New Roman" w:hAnsi="Calibri"/>
                <w:color w:val="000000"/>
                <w:sz w:val="14"/>
                <w:szCs w:val="14"/>
                <w:lang w:eastAsia="sk-SK"/>
              </w:rPr>
              <w:t>232 700</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454</w:t>
            </w:r>
            <w:r w:rsidR="009E44E3">
              <w:rPr>
                <w:rFonts w:ascii="Calibri" w:eastAsia="Times New Roman" w:hAnsi="Calibri"/>
                <w:color w:val="000000"/>
                <w:sz w:val="14"/>
                <w:szCs w:val="14"/>
                <w:lang w:eastAsia="sk-SK"/>
              </w:rPr>
              <w:t xml:space="preserve"> </w:t>
            </w:r>
          </w:p>
        </w:tc>
        <w:tc>
          <w:tcPr>
            <w:tcW w:w="520" w:type="pct"/>
            <w:vAlign w:val="center"/>
          </w:tcPr>
          <w:p w:rsidR="00A3491D" w:rsidRPr="00D275D1" w:rsidRDefault="00F019CD">
            <w:pPr>
              <w:snapToGrid w:val="0"/>
              <w:spacing w:after="0"/>
              <w:jc w:val="center"/>
              <w:rPr>
                <w:rFonts w:ascii="Calibri" w:hAnsi="Calibri"/>
                <w:color w:val="000000"/>
                <w:sz w:val="14"/>
                <w:szCs w:val="14"/>
              </w:rPr>
            </w:pPr>
            <w:r w:rsidRPr="00144755">
              <w:rPr>
                <w:rFonts w:ascii="Calibri" w:eastAsia="Times New Roman" w:hAnsi="Calibri"/>
                <w:color w:val="000000"/>
                <w:sz w:val="14"/>
                <w:szCs w:val="14"/>
                <w:lang w:eastAsia="sk-SK"/>
              </w:rPr>
              <w:t>243 598</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591</w:t>
            </w:r>
            <w:r w:rsidR="009E44E3">
              <w:rPr>
                <w:rFonts w:ascii="Calibri" w:eastAsia="Times New Roman" w:hAnsi="Calibri"/>
                <w:color w:val="000000"/>
                <w:sz w:val="14"/>
                <w:szCs w:val="14"/>
                <w:lang w:eastAsia="sk-SK"/>
              </w:rPr>
              <w:t xml:space="preserve"> </w:t>
            </w:r>
          </w:p>
        </w:tc>
        <w:tc>
          <w:tcPr>
            <w:tcW w:w="537" w:type="pct"/>
            <w:vAlign w:val="center"/>
          </w:tcPr>
          <w:p w:rsidR="00A3491D" w:rsidRPr="00D275D1" w:rsidRDefault="00F019CD">
            <w:pPr>
              <w:snapToGrid w:val="0"/>
              <w:spacing w:after="0"/>
              <w:jc w:val="center"/>
              <w:rPr>
                <w:rFonts w:ascii="Calibri" w:hAnsi="Calibri"/>
                <w:color w:val="000000"/>
                <w:sz w:val="14"/>
                <w:szCs w:val="14"/>
              </w:rPr>
            </w:pPr>
            <w:r w:rsidRPr="00144755">
              <w:rPr>
                <w:rFonts w:ascii="Calibri" w:eastAsia="Times New Roman" w:hAnsi="Calibri"/>
                <w:color w:val="000000"/>
                <w:sz w:val="14"/>
                <w:szCs w:val="14"/>
                <w:lang w:eastAsia="sk-SK"/>
              </w:rPr>
              <w:t>255 273</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697</w:t>
            </w:r>
            <w:r w:rsidR="009E44E3">
              <w:rPr>
                <w:rFonts w:ascii="Calibri" w:eastAsia="Times New Roman" w:hAnsi="Calibri"/>
                <w:color w:val="000000"/>
                <w:sz w:val="14"/>
                <w:szCs w:val="14"/>
                <w:lang w:eastAsia="sk-SK"/>
              </w:rPr>
              <w:t xml:space="preserve"> </w:t>
            </w:r>
          </w:p>
        </w:tc>
        <w:tc>
          <w:tcPr>
            <w:tcW w:w="523" w:type="pct"/>
            <w:vAlign w:val="center"/>
          </w:tcPr>
          <w:p w:rsidR="00A3491D" w:rsidRPr="000D7C6E" w:rsidRDefault="00F019CD">
            <w:pPr>
              <w:snapToGrid w:val="0"/>
              <w:spacing w:after="0"/>
              <w:jc w:val="center"/>
              <w:rPr>
                <w:rFonts w:asciiTheme="majorHAnsi" w:hAnsiTheme="majorHAnsi"/>
                <w:color w:val="000000"/>
                <w:sz w:val="14"/>
                <w:szCs w:val="14"/>
              </w:rPr>
            </w:pPr>
            <w:r w:rsidRPr="00144755">
              <w:rPr>
                <w:rFonts w:ascii="Calibri" w:eastAsia="Times New Roman" w:hAnsi="Calibri"/>
                <w:color w:val="000000"/>
                <w:sz w:val="14"/>
                <w:szCs w:val="14"/>
                <w:lang w:eastAsia="sk-SK"/>
              </w:rPr>
              <w:t>261 565</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041</w:t>
            </w:r>
            <w:r w:rsidR="009E44E3">
              <w:rPr>
                <w:rFonts w:ascii="Calibri" w:eastAsia="Times New Roman" w:hAnsi="Calibri"/>
                <w:color w:val="000000"/>
                <w:sz w:val="14"/>
                <w:szCs w:val="14"/>
                <w:lang w:eastAsia="sk-SK"/>
              </w:rPr>
              <w:t xml:space="preserve"> </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ĽZ</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EFRR</w:t>
            </w:r>
          </w:p>
        </w:tc>
        <w:tc>
          <w:tcPr>
            <w:tcW w:w="558" w:type="pct"/>
            <w:vAlign w:val="center"/>
          </w:tcPr>
          <w:p w:rsidR="00A3491D" w:rsidRPr="00A11FE0" w:rsidRDefault="00A3491D" w:rsidP="0064076C">
            <w:pPr>
              <w:snapToGrid w:val="0"/>
              <w:spacing w:after="0"/>
              <w:jc w:val="center"/>
              <w:rPr>
                <w:rFonts w:asciiTheme="majorHAnsi" w:hAnsiTheme="majorHAnsi"/>
                <w:sz w:val="18"/>
                <w:szCs w:val="18"/>
              </w:rPr>
            </w:pPr>
            <w:r w:rsidRPr="00845ACE">
              <w:rPr>
                <w:rFonts w:asciiTheme="majorHAnsi" w:hAnsiTheme="majorHAnsi"/>
                <w:b/>
                <w:bCs/>
                <w:color w:val="000000"/>
                <w:sz w:val="14"/>
                <w:szCs w:val="14"/>
              </w:rPr>
              <w:t>243 662 462</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30 246 251</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31 753 922</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33 281 642</w:t>
            </w:r>
          </w:p>
        </w:tc>
        <w:tc>
          <w:tcPr>
            <w:tcW w:w="521" w:type="pct"/>
            <w:vAlign w:val="center"/>
          </w:tcPr>
          <w:p w:rsidR="00A3491D" w:rsidRPr="00D275D1" w:rsidRDefault="00A3491D" w:rsidP="00B70606">
            <w:pPr>
              <w:snapToGrid w:val="0"/>
              <w:spacing w:after="0"/>
              <w:jc w:val="center"/>
              <w:rPr>
                <w:rFonts w:ascii="Calibri" w:hAnsi="Calibri"/>
                <w:color w:val="000000"/>
                <w:sz w:val="14"/>
                <w:szCs w:val="14"/>
              </w:rPr>
            </w:pPr>
            <w:r w:rsidRPr="00845ACE">
              <w:rPr>
                <w:rFonts w:asciiTheme="majorHAnsi" w:hAnsiTheme="majorHAnsi"/>
                <w:color w:val="000000"/>
                <w:sz w:val="14"/>
                <w:szCs w:val="14"/>
              </w:rPr>
              <w:t>34 788 108</w:t>
            </w:r>
          </w:p>
        </w:tc>
        <w:tc>
          <w:tcPr>
            <w:tcW w:w="520"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36 400 685</w:t>
            </w:r>
          </w:p>
        </w:tc>
        <w:tc>
          <w:tcPr>
            <w:tcW w:w="537"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38 127 591</w:t>
            </w:r>
          </w:p>
        </w:tc>
        <w:tc>
          <w:tcPr>
            <w:tcW w:w="523"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39 064 263</w:t>
            </w:r>
          </w:p>
        </w:tc>
      </w:tr>
      <w:tr w:rsidR="004274FF" w:rsidRPr="00A11FE0" w:rsidTr="004274FF">
        <w:trPr>
          <w:trHeight w:val="397"/>
          <w:jc w:val="center"/>
        </w:trPr>
        <w:tc>
          <w:tcPr>
            <w:tcW w:w="376" w:type="pct"/>
            <w:vAlign w:val="center"/>
          </w:tcPr>
          <w:p w:rsidR="00717FF7" w:rsidRPr="00D275D1" w:rsidRDefault="00717FF7" w:rsidP="00D275D1">
            <w:pPr>
              <w:snapToGrid w:val="0"/>
              <w:spacing w:after="0"/>
              <w:rPr>
                <w:rFonts w:asciiTheme="majorHAnsi" w:hAnsiTheme="majorHAnsi"/>
                <w:b/>
                <w:sz w:val="16"/>
                <w:szCs w:val="16"/>
              </w:rPr>
            </w:pPr>
            <w:r w:rsidRPr="00D275D1">
              <w:rPr>
                <w:rFonts w:asciiTheme="majorHAnsi" w:hAnsiTheme="majorHAnsi"/>
                <w:b/>
                <w:sz w:val="16"/>
                <w:szCs w:val="16"/>
              </w:rPr>
              <w:t>OP ĽZ</w:t>
            </w:r>
          </w:p>
        </w:tc>
        <w:tc>
          <w:tcPr>
            <w:tcW w:w="405" w:type="pct"/>
            <w:vAlign w:val="center"/>
          </w:tcPr>
          <w:p w:rsidR="00717FF7" w:rsidRPr="00D275D1" w:rsidRDefault="00717FF7" w:rsidP="00D275D1">
            <w:pPr>
              <w:snapToGrid w:val="0"/>
              <w:spacing w:after="0"/>
              <w:jc w:val="center"/>
              <w:rPr>
                <w:rFonts w:asciiTheme="majorHAnsi" w:hAnsiTheme="majorHAnsi"/>
                <w:sz w:val="16"/>
                <w:szCs w:val="16"/>
              </w:rPr>
            </w:pPr>
            <w:r w:rsidRPr="00D275D1">
              <w:rPr>
                <w:rFonts w:asciiTheme="majorHAnsi" w:hAnsiTheme="majorHAnsi"/>
                <w:sz w:val="16"/>
                <w:szCs w:val="16"/>
              </w:rPr>
              <w:t>ESF</w:t>
            </w:r>
          </w:p>
        </w:tc>
        <w:tc>
          <w:tcPr>
            <w:tcW w:w="558" w:type="pct"/>
            <w:vAlign w:val="center"/>
          </w:tcPr>
          <w:p w:rsidR="00717FF7" w:rsidRPr="00A11FE0" w:rsidRDefault="00717FF7" w:rsidP="0064076C">
            <w:pPr>
              <w:snapToGrid w:val="0"/>
              <w:spacing w:after="0"/>
              <w:jc w:val="center"/>
              <w:rPr>
                <w:rFonts w:asciiTheme="majorHAnsi" w:hAnsiTheme="majorHAnsi"/>
                <w:sz w:val="18"/>
                <w:szCs w:val="18"/>
              </w:rPr>
            </w:pPr>
            <w:r w:rsidRPr="00845ACE">
              <w:rPr>
                <w:rFonts w:asciiTheme="majorHAnsi" w:hAnsiTheme="majorHAnsi"/>
                <w:b/>
                <w:bCs/>
                <w:color w:val="000000"/>
                <w:sz w:val="14"/>
                <w:szCs w:val="14"/>
              </w:rPr>
              <w:t>1 889 145</w:t>
            </w:r>
            <w:r w:rsidR="00475EE1">
              <w:rPr>
                <w:rFonts w:asciiTheme="majorHAnsi" w:hAnsiTheme="majorHAnsi"/>
                <w:b/>
                <w:bCs/>
                <w:color w:val="000000"/>
                <w:sz w:val="14"/>
                <w:szCs w:val="14"/>
              </w:rPr>
              <w:t> </w:t>
            </w:r>
            <w:r w:rsidRPr="00845ACE">
              <w:rPr>
                <w:rFonts w:asciiTheme="majorHAnsi" w:hAnsiTheme="majorHAnsi"/>
                <w:b/>
                <w:bCs/>
                <w:color w:val="000000"/>
                <w:sz w:val="14"/>
                <w:szCs w:val="14"/>
              </w:rPr>
              <w:t>796</w:t>
            </w:r>
            <w:r w:rsidR="00475EE1">
              <w:rPr>
                <w:rFonts w:asciiTheme="majorHAnsi" w:hAnsiTheme="majorHAnsi"/>
                <w:b/>
                <w:bCs/>
                <w:color w:val="000000"/>
                <w:sz w:val="14"/>
                <w:szCs w:val="14"/>
              </w:rPr>
              <w:t>*</w:t>
            </w:r>
          </w:p>
        </w:tc>
        <w:tc>
          <w:tcPr>
            <w:tcW w:w="521" w:type="pct"/>
            <w:vAlign w:val="center"/>
          </w:tcPr>
          <w:p w:rsidR="00717FF7" w:rsidRPr="00A11FE0" w:rsidRDefault="00717FF7"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234 598 760</w:t>
            </w:r>
          </w:p>
        </w:tc>
        <w:tc>
          <w:tcPr>
            <w:tcW w:w="521" w:type="pct"/>
            <w:vAlign w:val="center"/>
          </w:tcPr>
          <w:p w:rsidR="00717FF7" w:rsidRPr="00D275D1" w:rsidRDefault="00717FF7"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246 255 687</w:t>
            </w:r>
          </w:p>
        </w:tc>
        <w:tc>
          <w:tcPr>
            <w:tcW w:w="518" w:type="pct"/>
            <w:vAlign w:val="center"/>
          </w:tcPr>
          <w:p w:rsidR="00717FF7" w:rsidRPr="00D275D1" w:rsidRDefault="00717FF7"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258 067 772</w:t>
            </w:r>
          </w:p>
        </w:tc>
        <w:tc>
          <w:tcPr>
            <w:tcW w:w="521" w:type="pct"/>
            <w:vAlign w:val="center"/>
          </w:tcPr>
          <w:p w:rsidR="00717FF7" w:rsidRPr="00D275D1" w:rsidRDefault="00717FF7" w:rsidP="00B70606">
            <w:pPr>
              <w:snapToGrid w:val="0"/>
              <w:spacing w:after="0"/>
              <w:jc w:val="center"/>
              <w:rPr>
                <w:rFonts w:ascii="Calibri" w:hAnsi="Calibri"/>
                <w:color w:val="000000"/>
                <w:sz w:val="14"/>
                <w:szCs w:val="14"/>
              </w:rPr>
            </w:pPr>
            <w:r w:rsidRPr="00845ACE">
              <w:rPr>
                <w:rFonts w:asciiTheme="majorHAnsi" w:hAnsiTheme="majorHAnsi"/>
                <w:color w:val="000000"/>
                <w:sz w:val="14"/>
                <w:szCs w:val="14"/>
              </w:rPr>
              <w:t>269 716 367</w:t>
            </w:r>
          </w:p>
        </w:tc>
        <w:tc>
          <w:tcPr>
            <w:tcW w:w="520" w:type="pct"/>
            <w:vAlign w:val="center"/>
          </w:tcPr>
          <w:p w:rsidR="00717FF7" w:rsidRPr="00D275D1" w:rsidRDefault="00717FF7">
            <w:pPr>
              <w:snapToGrid w:val="0"/>
              <w:spacing w:after="0"/>
              <w:jc w:val="center"/>
              <w:rPr>
                <w:rFonts w:ascii="Calibri" w:hAnsi="Calibri"/>
                <w:color w:val="000000"/>
                <w:sz w:val="14"/>
                <w:szCs w:val="14"/>
              </w:rPr>
            </w:pPr>
            <w:r w:rsidRPr="00845ACE">
              <w:rPr>
                <w:rFonts w:asciiTheme="majorHAnsi" w:hAnsiTheme="majorHAnsi"/>
                <w:color w:val="000000"/>
                <w:sz w:val="14"/>
                <w:szCs w:val="14"/>
              </w:rPr>
              <w:t>282 184 138</w:t>
            </w:r>
          </w:p>
        </w:tc>
        <w:tc>
          <w:tcPr>
            <w:tcW w:w="537" w:type="pct"/>
            <w:vAlign w:val="center"/>
          </w:tcPr>
          <w:p w:rsidR="00717FF7" w:rsidRPr="00D275D1" w:rsidRDefault="00717FF7">
            <w:pPr>
              <w:snapToGrid w:val="0"/>
              <w:spacing w:after="0"/>
              <w:jc w:val="center"/>
              <w:rPr>
                <w:rFonts w:ascii="Calibri" w:hAnsi="Calibri"/>
                <w:color w:val="000000"/>
                <w:sz w:val="14"/>
                <w:szCs w:val="14"/>
              </w:rPr>
            </w:pPr>
            <w:r w:rsidRPr="00845ACE">
              <w:rPr>
                <w:rFonts w:asciiTheme="majorHAnsi" w:hAnsiTheme="majorHAnsi"/>
                <w:color w:val="000000"/>
                <w:sz w:val="14"/>
                <w:szCs w:val="14"/>
              </w:rPr>
              <w:t>295 534 501</w:t>
            </w:r>
          </w:p>
        </w:tc>
        <w:tc>
          <w:tcPr>
            <w:tcW w:w="523" w:type="pct"/>
            <w:vAlign w:val="center"/>
          </w:tcPr>
          <w:p w:rsidR="00717FF7" w:rsidRPr="00D275D1" w:rsidRDefault="00717FF7">
            <w:pPr>
              <w:snapToGrid w:val="0"/>
              <w:spacing w:after="0"/>
              <w:jc w:val="center"/>
              <w:rPr>
                <w:rFonts w:ascii="Calibri" w:hAnsi="Calibri"/>
                <w:color w:val="000000"/>
                <w:sz w:val="14"/>
                <w:szCs w:val="14"/>
              </w:rPr>
            </w:pPr>
            <w:r w:rsidRPr="00845ACE">
              <w:rPr>
                <w:rFonts w:asciiTheme="majorHAnsi" w:hAnsiTheme="majorHAnsi"/>
                <w:color w:val="000000"/>
                <w:sz w:val="14"/>
                <w:szCs w:val="14"/>
              </w:rPr>
              <w:t>302 788 571</w:t>
            </w:r>
          </w:p>
        </w:tc>
      </w:tr>
      <w:tr w:rsidR="00BF2A7B" w:rsidRPr="00A11FE0" w:rsidTr="004274FF">
        <w:trPr>
          <w:trHeight w:val="397"/>
          <w:jc w:val="center"/>
        </w:trPr>
        <w:tc>
          <w:tcPr>
            <w:tcW w:w="376" w:type="pct"/>
            <w:vAlign w:val="center"/>
          </w:tcPr>
          <w:p w:rsidR="00BF2A7B" w:rsidRPr="00D275D1" w:rsidRDefault="00BF2A7B" w:rsidP="00D275D1">
            <w:pPr>
              <w:snapToGrid w:val="0"/>
              <w:spacing w:after="0"/>
              <w:rPr>
                <w:rFonts w:asciiTheme="majorHAnsi" w:hAnsiTheme="majorHAnsi"/>
                <w:b/>
                <w:sz w:val="16"/>
                <w:szCs w:val="16"/>
              </w:rPr>
            </w:pPr>
            <w:r w:rsidRPr="00D275D1">
              <w:rPr>
                <w:rFonts w:asciiTheme="majorHAnsi" w:hAnsiTheme="majorHAnsi"/>
                <w:b/>
                <w:sz w:val="16"/>
                <w:szCs w:val="16"/>
              </w:rPr>
              <w:t>OP ĽZ</w:t>
            </w:r>
          </w:p>
        </w:tc>
        <w:tc>
          <w:tcPr>
            <w:tcW w:w="405" w:type="pct"/>
            <w:vAlign w:val="center"/>
          </w:tcPr>
          <w:p w:rsidR="00BF2A7B" w:rsidRPr="00D275D1" w:rsidRDefault="00BF2A7B" w:rsidP="00D275D1">
            <w:pPr>
              <w:snapToGrid w:val="0"/>
              <w:spacing w:after="0"/>
              <w:jc w:val="center"/>
              <w:rPr>
                <w:rFonts w:asciiTheme="majorHAnsi" w:hAnsiTheme="majorHAnsi"/>
                <w:sz w:val="16"/>
                <w:szCs w:val="16"/>
              </w:rPr>
            </w:pPr>
            <w:r w:rsidRPr="00D275D1">
              <w:rPr>
                <w:rFonts w:asciiTheme="majorHAnsi" w:hAnsiTheme="majorHAnsi"/>
                <w:sz w:val="16"/>
                <w:szCs w:val="16"/>
              </w:rPr>
              <w:t>IZM</w:t>
            </w:r>
          </w:p>
        </w:tc>
        <w:tc>
          <w:tcPr>
            <w:tcW w:w="558" w:type="pct"/>
            <w:vAlign w:val="center"/>
          </w:tcPr>
          <w:p w:rsidR="00BF2A7B" w:rsidRPr="00A11FE0" w:rsidRDefault="00BF2A7B" w:rsidP="0064076C">
            <w:pPr>
              <w:snapToGrid w:val="0"/>
              <w:spacing w:after="0"/>
              <w:jc w:val="center"/>
              <w:rPr>
                <w:rFonts w:asciiTheme="majorHAnsi" w:hAnsiTheme="majorHAnsi"/>
                <w:sz w:val="18"/>
                <w:szCs w:val="18"/>
              </w:rPr>
            </w:pPr>
            <w:r w:rsidRPr="00BF2A7B">
              <w:rPr>
                <w:rFonts w:asciiTheme="majorHAnsi" w:hAnsiTheme="majorHAnsi"/>
                <w:b/>
                <w:bCs/>
                <w:color w:val="000000"/>
                <w:sz w:val="14"/>
                <w:szCs w:val="14"/>
              </w:rPr>
              <w:t>84 539</w:t>
            </w:r>
            <w:r>
              <w:rPr>
                <w:rFonts w:asciiTheme="majorHAnsi" w:hAnsiTheme="majorHAnsi"/>
                <w:b/>
                <w:bCs/>
                <w:color w:val="000000"/>
                <w:sz w:val="14"/>
                <w:szCs w:val="14"/>
              </w:rPr>
              <w:t> </w:t>
            </w:r>
            <w:r w:rsidRPr="00BF2A7B">
              <w:rPr>
                <w:rFonts w:asciiTheme="majorHAnsi" w:hAnsiTheme="majorHAnsi"/>
                <w:b/>
                <w:bCs/>
                <w:color w:val="000000"/>
                <w:sz w:val="14"/>
                <w:szCs w:val="14"/>
              </w:rPr>
              <w:t>823</w:t>
            </w:r>
            <w:r>
              <w:rPr>
                <w:rFonts w:asciiTheme="majorHAnsi" w:hAnsiTheme="majorHAnsi"/>
                <w:b/>
                <w:bCs/>
                <w:color w:val="000000"/>
                <w:sz w:val="14"/>
                <w:szCs w:val="14"/>
              </w:rPr>
              <w:t xml:space="preserve"> </w:t>
            </w:r>
          </w:p>
        </w:tc>
        <w:tc>
          <w:tcPr>
            <w:tcW w:w="521" w:type="pct"/>
            <w:vAlign w:val="center"/>
          </w:tcPr>
          <w:p w:rsidR="00BF2A7B" w:rsidRPr="00A11FE0" w:rsidRDefault="00BF2A7B"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40 547 898</w:t>
            </w:r>
          </w:p>
        </w:tc>
        <w:tc>
          <w:tcPr>
            <w:tcW w:w="521" w:type="pct"/>
            <w:vAlign w:val="center"/>
          </w:tcPr>
          <w:p w:rsidR="00BF2A7B" w:rsidRPr="00D275D1" w:rsidRDefault="00BF2A7B"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31 627 361</w:t>
            </w:r>
          </w:p>
        </w:tc>
        <w:tc>
          <w:tcPr>
            <w:tcW w:w="518" w:type="pct"/>
            <w:vAlign w:val="center"/>
          </w:tcPr>
          <w:p w:rsidR="00BF2A7B" w:rsidRPr="00D275D1" w:rsidRDefault="00BF2A7B"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0</w:t>
            </w:r>
          </w:p>
        </w:tc>
        <w:tc>
          <w:tcPr>
            <w:tcW w:w="521" w:type="pct"/>
            <w:vAlign w:val="center"/>
          </w:tcPr>
          <w:p w:rsidR="00BF2A7B" w:rsidRPr="00D275D1" w:rsidRDefault="00BF2A7B" w:rsidP="00B70606">
            <w:pPr>
              <w:snapToGrid w:val="0"/>
              <w:spacing w:after="0"/>
              <w:jc w:val="center"/>
              <w:rPr>
                <w:rFonts w:ascii="Calibri" w:hAnsi="Calibri"/>
                <w:color w:val="000000"/>
                <w:sz w:val="14"/>
                <w:szCs w:val="14"/>
              </w:rPr>
            </w:pPr>
            <w:r>
              <w:rPr>
                <w:rFonts w:ascii="Calibri" w:hAnsi="Calibri"/>
                <w:color w:val="000000"/>
                <w:sz w:val="14"/>
                <w:szCs w:val="14"/>
              </w:rPr>
              <w:t xml:space="preserve">5 151 901 </w:t>
            </w:r>
          </w:p>
        </w:tc>
        <w:tc>
          <w:tcPr>
            <w:tcW w:w="520" w:type="pct"/>
            <w:vAlign w:val="center"/>
          </w:tcPr>
          <w:p w:rsidR="00BF2A7B" w:rsidRPr="00D275D1" w:rsidRDefault="00BF2A7B">
            <w:pPr>
              <w:snapToGrid w:val="0"/>
              <w:spacing w:after="0"/>
              <w:jc w:val="center"/>
              <w:rPr>
                <w:rFonts w:ascii="Calibri" w:hAnsi="Calibri"/>
                <w:color w:val="000000"/>
                <w:sz w:val="14"/>
                <w:szCs w:val="14"/>
              </w:rPr>
            </w:pPr>
            <w:r>
              <w:rPr>
                <w:rFonts w:ascii="Calibri" w:hAnsi="Calibri"/>
                <w:color w:val="000000"/>
                <w:sz w:val="14"/>
                <w:szCs w:val="14"/>
              </w:rPr>
              <w:t xml:space="preserve">2 404 221 </w:t>
            </w:r>
          </w:p>
        </w:tc>
        <w:tc>
          <w:tcPr>
            <w:tcW w:w="537" w:type="pct"/>
            <w:vAlign w:val="center"/>
          </w:tcPr>
          <w:p w:rsidR="00BF2A7B" w:rsidRPr="00D275D1" w:rsidRDefault="00BF2A7B">
            <w:pPr>
              <w:snapToGrid w:val="0"/>
              <w:spacing w:after="0"/>
              <w:jc w:val="center"/>
              <w:rPr>
                <w:rFonts w:ascii="Calibri" w:hAnsi="Calibri"/>
                <w:color w:val="000000"/>
                <w:sz w:val="14"/>
                <w:szCs w:val="14"/>
              </w:rPr>
            </w:pPr>
            <w:r>
              <w:rPr>
                <w:rFonts w:ascii="Calibri" w:hAnsi="Calibri"/>
                <w:color w:val="000000"/>
                <w:sz w:val="14"/>
                <w:szCs w:val="14"/>
              </w:rPr>
              <w:t xml:space="preserve">2 404 221 </w:t>
            </w:r>
          </w:p>
        </w:tc>
        <w:tc>
          <w:tcPr>
            <w:tcW w:w="523" w:type="pct"/>
            <w:vAlign w:val="center"/>
          </w:tcPr>
          <w:p w:rsidR="00BF2A7B" w:rsidRPr="00D275D1" w:rsidRDefault="00BF2A7B">
            <w:pPr>
              <w:snapToGrid w:val="0"/>
              <w:spacing w:after="0"/>
              <w:jc w:val="center"/>
              <w:rPr>
                <w:rFonts w:ascii="Calibri" w:hAnsi="Calibri"/>
                <w:color w:val="000000"/>
                <w:sz w:val="14"/>
                <w:szCs w:val="14"/>
              </w:rPr>
            </w:pPr>
            <w:r>
              <w:rPr>
                <w:rFonts w:ascii="Calibri" w:hAnsi="Calibri"/>
                <w:color w:val="000000"/>
                <w:sz w:val="14"/>
                <w:szCs w:val="14"/>
              </w:rPr>
              <w:t xml:space="preserve">2 404 221 </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KŽP</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KF</w:t>
            </w:r>
          </w:p>
        </w:tc>
        <w:tc>
          <w:tcPr>
            <w:tcW w:w="558" w:type="pct"/>
            <w:vAlign w:val="center"/>
          </w:tcPr>
          <w:p w:rsidR="00A3491D" w:rsidRPr="00A11FE0" w:rsidRDefault="00A3491D" w:rsidP="0064076C">
            <w:pPr>
              <w:snapToGrid w:val="0"/>
              <w:spacing w:after="0"/>
              <w:jc w:val="center"/>
              <w:rPr>
                <w:rFonts w:asciiTheme="majorHAnsi" w:hAnsiTheme="majorHAnsi"/>
                <w:sz w:val="18"/>
                <w:szCs w:val="18"/>
              </w:rPr>
            </w:pPr>
            <w:r w:rsidRPr="00845ACE">
              <w:rPr>
                <w:rFonts w:asciiTheme="majorHAnsi" w:hAnsiTheme="majorHAnsi"/>
                <w:b/>
                <w:bCs/>
                <w:color w:val="000000"/>
                <w:sz w:val="14"/>
                <w:szCs w:val="14"/>
              </w:rPr>
              <w:t>1 861 112 261</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229 924 017</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242 158 152</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254 523 870</w:t>
            </w:r>
          </w:p>
        </w:tc>
        <w:tc>
          <w:tcPr>
            <w:tcW w:w="521" w:type="pct"/>
            <w:vAlign w:val="center"/>
          </w:tcPr>
          <w:p w:rsidR="00A3491D" w:rsidRPr="00D275D1" w:rsidRDefault="00A3491D" w:rsidP="00B70606">
            <w:pPr>
              <w:snapToGrid w:val="0"/>
              <w:spacing w:after="0"/>
              <w:jc w:val="center"/>
              <w:rPr>
                <w:rFonts w:ascii="Calibri" w:hAnsi="Calibri"/>
                <w:color w:val="000000"/>
                <w:sz w:val="14"/>
                <w:szCs w:val="14"/>
              </w:rPr>
            </w:pPr>
            <w:r w:rsidRPr="00845ACE">
              <w:rPr>
                <w:rFonts w:asciiTheme="majorHAnsi" w:hAnsiTheme="majorHAnsi"/>
                <w:color w:val="000000"/>
                <w:sz w:val="14"/>
                <w:szCs w:val="14"/>
              </w:rPr>
              <w:t>266 263 384</w:t>
            </w:r>
          </w:p>
        </w:tc>
        <w:tc>
          <w:tcPr>
            <w:tcW w:w="520"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278 313 942</w:t>
            </w:r>
          </w:p>
        </w:tc>
        <w:tc>
          <w:tcPr>
            <w:tcW w:w="537"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291 728 879</w:t>
            </w:r>
          </w:p>
        </w:tc>
        <w:tc>
          <w:tcPr>
            <w:tcW w:w="523"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298 200 017</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KŽP</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EFRR</w:t>
            </w:r>
          </w:p>
        </w:tc>
        <w:tc>
          <w:tcPr>
            <w:tcW w:w="558" w:type="pct"/>
            <w:vAlign w:val="center"/>
          </w:tcPr>
          <w:p w:rsidR="00A3491D" w:rsidRPr="00A11FE0" w:rsidRDefault="00A3491D" w:rsidP="0064076C">
            <w:pPr>
              <w:snapToGrid w:val="0"/>
              <w:spacing w:after="0"/>
              <w:jc w:val="center"/>
              <w:rPr>
                <w:rFonts w:asciiTheme="majorHAnsi" w:hAnsiTheme="majorHAnsi"/>
                <w:sz w:val="18"/>
                <w:szCs w:val="18"/>
              </w:rPr>
            </w:pPr>
            <w:r w:rsidRPr="00845ACE">
              <w:rPr>
                <w:rFonts w:asciiTheme="majorHAnsi" w:hAnsiTheme="majorHAnsi"/>
                <w:b/>
                <w:bCs/>
                <w:color w:val="000000"/>
                <w:sz w:val="14"/>
                <w:szCs w:val="14"/>
              </w:rPr>
              <w:t>1 276 787 849</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158 489 919</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166 390 101</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174 395 335</w:t>
            </w:r>
          </w:p>
        </w:tc>
        <w:tc>
          <w:tcPr>
            <w:tcW w:w="521" w:type="pct"/>
            <w:vAlign w:val="center"/>
          </w:tcPr>
          <w:p w:rsidR="00A3491D" w:rsidRPr="00D275D1" w:rsidRDefault="00A3491D" w:rsidP="00B70606">
            <w:pPr>
              <w:snapToGrid w:val="0"/>
              <w:spacing w:after="0"/>
              <w:jc w:val="center"/>
              <w:rPr>
                <w:rFonts w:ascii="Calibri" w:hAnsi="Calibri"/>
                <w:color w:val="000000"/>
                <w:sz w:val="14"/>
                <w:szCs w:val="14"/>
              </w:rPr>
            </w:pPr>
            <w:r w:rsidRPr="00845ACE">
              <w:rPr>
                <w:rFonts w:asciiTheme="majorHAnsi" w:hAnsiTheme="majorHAnsi"/>
                <w:color w:val="000000"/>
                <w:sz w:val="14"/>
                <w:szCs w:val="14"/>
              </w:rPr>
              <w:t>182 289 195</w:t>
            </w:r>
          </w:p>
        </w:tc>
        <w:tc>
          <w:tcPr>
            <w:tcW w:w="520"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190 739 076</w:t>
            </w:r>
          </w:p>
        </w:tc>
        <w:tc>
          <w:tcPr>
            <w:tcW w:w="537"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199 788 040</w:t>
            </w:r>
          </w:p>
        </w:tc>
        <w:tc>
          <w:tcPr>
            <w:tcW w:w="523"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204 696 183</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IROP</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EFRR</w:t>
            </w:r>
          </w:p>
        </w:tc>
        <w:tc>
          <w:tcPr>
            <w:tcW w:w="558" w:type="pct"/>
            <w:vAlign w:val="center"/>
          </w:tcPr>
          <w:p w:rsidR="00A3491D" w:rsidRPr="00A11FE0" w:rsidRDefault="00D2606A" w:rsidP="0064076C">
            <w:pPr>
              <w:snapToGrid w:val="0"/>
              <w:spacing w:after="0"/>
              <w:jc w:val="center"/>
              <w:rPr>
                <w:rFonts w:asciiTheme="majorHAnsi" w:hAnsiTheme="majorHAnsi"/>
                <w:sz w:val="18"/>
                <w:szCs w:val="18"/>
              </w:rPr>
            </w:pPr>
            <w:r w:rsidRPr="00144755">
              <w:rPr>
                <w:rFonts w:ascii="Calibri" w:eastAsia="Times New Roman" w:hAnsi="Calibri"/>
                <w:b/>
                <w:bCs/>
                <w:color w:val="000000"/>
                <w:sz w:val="14"/>
                <w:szCs w:val="14"/>
                <w:lang w:eastAsia="sk-SK"/>
              </w:rPr>
              <w:t>1 738 834</w:t>
            </w:r>
            <w:r w:rsidR="009E44E3">
              <w:rPr>
                <w:rFonts w:ascii="Calibri" w:eastAsia="Times New Roman" w:hAnsi="Calibri"/>
                <w:b/>
                <w:bCs/>
                <w:color w:val="000000"/>
                <w:sz w:val="14"/>
                <w:szCs w:val="14"/>
                <w:lang w:eastAsia="sk-SK"/>
              </w:rPr>
              <w:t> </w:t>
            </w:r>
            <w:r w:rsidRPr="00144755">
              <w:rPr>
                <w:rFonts w:ascii="Calibri" w:eastAsia="Times New Roman" w:hAnsi="Calibri"/>
                <w:b/>
                <w:bCs/>
                <w:color w:val="000000"/>
                <w:sz w:val="14"/>
                <w:szCs w:val="14"/>
                <w:lang w:eastAsia="sk-SK"/>
              </w:rPr>
              <w:t>120</w:t>
            </w:r>
            <w:r w:rsidR="009E44E3">
              <w:rPr>
                <w:rFonts w:ascii="Calibri" w:eastAsia="Times New Roman" w:hAnsi="Calibri"/>
                <w:b/>
                <w:bCs/>
                <w:color w:val="000000"/>
                <w:sz w:val="14"/>
                <w:szCs w:val="14"/>
                <w:lang w:eastAsia="sk-SK"/>
              </w:rPr>
              <w:t xml:space="preserve"> </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218 148 261</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228 882 942</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239 760 933</w:t>
            </w:r>
          </w:p>
        </w:tc>
        <w:tc>
          <w:tcPr>
            <w:tcW w:w="521" w:type="pct"/>
            <w:vAlign w:val="center"/>
          </w:tcPr>
          <w:p w:rsidR="00A3491D" w:rsidRPr="00D275D1" w:rsidRDefault="00D2606A" w:rsidP="00B70606">
            <w:pPr>
              <w:snapToGrid w:val="0"/>
              <w:spacing w:after="0"/>
              <w:jc w:val="center"/>
              <w:rPr>
                <w:rFonts w:ascii="Calibri" w:hAnsi="Calibri"/>
                <w:color w:val="000000"/>
                <w:sz w:val="14"/>
                <w:szCs w:val="14"/>
              </w:rPr>
            </w:pPr>
            <w:r w:rsidRPr="00144755">
              <w:rPr>
                <w:rFonts w:ascii="Calibri" w:eastAsia="Times New Roman" w:hAnsi="Calibri"/>
                <w:color w:val="000000"/>
                <w:sz w:val="14"/>
                <w:szCs w:val="14"/>
                <w:lang w:eastAsia="sk-SK"/>
              </w:rPr>
              <w:t>246 692</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176</w:t>
            </w:r>
            <w:r w:rsidR="009E44E3">
              <w:rPr>
                <w:rFonts w:ascii="Calibri" w:eastAsia="Times New Roman" w:hAnsi="Calibri"/>
                <w:color w:val="000000"/>
                <w:sz w:val="14"/>
                <w:szCs w:val="14"/>
                <w:lang w:eastAsia="sk-SK"/>
              </w:rPr>
              <w:t xml:space="preserve"> </w:t>
            </w:r>
          </w:p>
        </w:tc>
        <w:tc>
          <w:tcPr>
            <w:tcW w:w="520" w:type="pct"/>
            <w:vAlign w:val="center"/>
          </w:tcPr>
          <w:p w:rsidR="00A3491D" w:rsidRPr="00D275D1" w:rsidRDefault="00D2606A">
            <w:pPr>
              <w:snapToGrid w:val="0"/>
              <w:spacing w:after="0"/>
              <w:jc w:val="center"/>
              <w:rPr>
                <w:rFonts w:ascii="Calibri" w:hAnsi="Calibri"/>
                <w:color w:val="000000"/>
                <w:sz w:val="14"/>
                <w:szCs w:val="14"/>
              </w:rPr>
            </w:pPr>
            <w:r w:rsidRPr="00144755">
              <w:rPr>
                <w:rFonts w:ascii="Calibri" w:eastAsia="Times New Roman" w:hAnsi="Calibri"/>
                <w:color w:val="000000"/>
                <w:sz w:val="14"/>
                <w:szCs w:val="14"/>
                <w:lang w:eastAsia="sk-SK"/>
              </w:rPr>
              <w:t>258 096</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866</w:t>
            </w:r>
            <w:r w:rsidR="009E44E3">
              <w:rPr>
                <w:rFonts w:ascii="Calibri" w:eastAsia="Times New Roman" w:hAnsi="Calibri"/>
                <w:color w:val="000000"/>
                <w:sz w:val="14"/>
                <w:szCs w:val="14"/>
                <w:lang w:eastAsia="sk-SK"/>
              </w:rPr>
              <w:t xml:space="preserve"> </w:t>
            </w:r>
          </w:p>
        </w:tc>
        <w:tc>
          <w:tcPr>
            <w:tcW w:w="537" w:type="pct"/>
            <w:vAlign w:val="center"/>
          </w:tcPr>
          <w:p w:rsidR="00A3491D" w:rsidRPr="00D275D1" w:rsidRDefault="00D2606A">
            <w:pPr>
              <w:snapToGrid w:val="0"/>
              <w:spacing w:after="0"/>
              <w:jc w:val="center"/>
              <w:rPr>
                <w:rFonts w:ascii="Calibri" w:hAnsi="Calibri"/>
                <w:color w:val="000000"/>
                <w:sz w:val="14"/>
                <w:szCs w:val="14"/>
              </w:rPr>
            </w:pPr>
            <w:r w:rsidRPr="00144755">
              <w:rPr>
                <w:rFonts w:ascii="Calibri" w:eastAsia="Times New Roman" w:hAnsi="Calibri"/>
                <w:color w:val="000000"/>
                <w:sz w:val="14"/>
                <w:szCs w:val="14"/>
                <w:lang w:eastAsia="sk-SK"/>
              </w:rPr>
              <w:t>270 308</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903</w:t>
            </w:r>
            <w:r w:rsidR="009E44E3">
              <w:rPr>
                <w:rFonts w:ascii="Calibri" w:eastAsia="Times New Roman" w:hAnsi="Calibri"/>
                <w:color w:val="000000"/>
                <w:sz w:val="14"/>
                <w:szCs w:val="14"/>
                <w:lang w:eastAsia="sk-SK"/>
              </w:rPr>
              <w:t xml:space="preserve"> </w:t>
            </w:r>
          </w:p>
        </w:tc>
        <w:tc>
          <w:tcPr>
            <w:tcW w:w="523" w:type="pct"/>
            <w:vAlign w:val="center"/>
          </w:tcPr>
          <w:p w:rsidR="00A3491D" w:rsidRPr="00D275D1" w:rsidRDefault="00D2606A">
            <w:pPr>
              <w:snapToGrid w:val="0"/>
              <w:spacing w:after="0"/>
              <w:jc w:val="center"/>
              <w:rPr>
                <w:rFonts w:ascii="Calibri" w:hAnsi="Calibri"/>
                <w:color w:val="000000"/>
                <w:sz w:val="14"/>
                <w:szCs w:val="14"/>
              </w:rPr>
            </w:pPr>
            <w:r w:rsidRPr="00144755">
              <w:rPr>
                <w:rFonts w:ascii="Calibri" w:eastAsia="Times New Roman" w:hAnsi="Calibri"/>
                <w:color w:val="000000"/>
                <w:sz w:val="14"/>
                <w:szCs w:val="14"/>
                <w:lang w:eastAsia="sk-SK"/>
              </w:rPr>
              <w:t>276 944</w:t>
            </w:r>
            <w:r w:rsidR="009E44E3">
              <w:rPr>
                <w:rFonts w:ascii="Calibri" w:eastAsia="Times New Roman" w:hAnsi="Calibri"/>
                <w:color w:val="000000"/>
                <w:sz w:val="14"/>
                <w:szCs w:val="14"/>
                <w:lang w:eastAsia="sk-SK"/>
              </w:rPr>
              <w:t> </w:t>
            </w:r>
            <w:r w:rsidRPr="00144755">
              <w:rPr>
                <w:rFonts w:ascii="Calibri" w:eastAsia="Times New Roman" w:hAnsi="Calibri"/>
                <w:color w:val="000000"/>
                <w:sz w:val="14"/>
                <w:szCs w:val="14"/>
                <w:lang w:eastAsia="sk-SK"/>
              </w:rPr>
              <w:t>039</w:t>
            </w:r>
            <w:r w:rsidR="009E44E3">
              <w:rPr>
                <w:rFonts w:ascii="Calibri" w:eastAsia="Times New Roman" w:hAnsi="Calibri"/>
                <w:color w:val="000000"/>
                <w:sz w:val="14"/>
                <w:szCs w:val="14"/>
                <w:lang w:eastAsia="sk-SK"/>
              </w:rPr>
              <w:t xml:space="preserve"> </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EVS</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ESF</w:t>
            </w:r>
          </w:p>
        </w:tc>
        <w:tc>
          <w:tcPr>
            <w:tcW w:w="558" w:type="pct"/>
            <w:vAlign w:val="center"/>
          </w:tcPr>
          <w:p w:rsidR="00A3491D" w:rsidRPr="00A11FE0" w:rsidRDefault="00A3491D" w:rsidP="0064076C">
            <w:pPr>
              <w:snapToGrid w:val="0"/>
              <w:spacing w:after="0"/>
              <w:jc w:val="center"/>
              <w:rPr>
                <w:rFonts w:asciiTheme="majorHAnsi" w:hAnsiTheme="majorHAnsi"/>
                <w:sz w:val="18"/>
                <w:szCs w:val="18"/>
              </w:rPr>
            </w:pPr>
            <w:r w:rsidRPr="00845ACE">
              <w:rPr>
                <w:rFonts w:asciiTheme="majorHAnsi" w:hAnsiTheme="majorHAnsi"/>
                <w:b/>
                <w:bCs/>
                <w:color w:val="000000"/>
                <w:sz w:val="14"/>
                <w:szCs w:val="14"/>
              </w:rPr>
              <w:t>278 449 284</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34 564 399</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36 287 317</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38 033 145</w:t>
            </w:r>
          </w:p>
        </w:tc>
        <w:tc>
          <w:tcPr>
            <w:tcW w:w="521" w:type="pct"/>
            <w:vAlign w:val="center"/>
          </w:tcPr>
          <w:p w:rsidR="00A3491D" w:rsidRPr="00D275D1" w:rsidRDefault="00A3491D" w:rsidP="00B70606">
            <w:pPr>
              <w:snapToGrid w:val="0"/>
              <w:spacing w:after="0"/>
              <w:jc w:val="center"/>
              <w:rPr>
                <w:rFonts w:ascii="Calibri" w:hAnsi="Calibri"/>
                <w:color w:val="000000"/>
                <w:sz w:val="14"/>
                <w:szCs w:val="14"/>
              </w:rPr>
            </w:pPr>
            <w:r w:rsidRPr="00845ACE">
              <w:rPr>
                <w:rFonts w:asciiTheme="majorHAnsi" w:hAnsiTheme="majorHAnsi"/>
                <w:color w:val="000000"/>
                <w:sz w:val="14"/>
                <w:szCs w:val="14"/>
              </w:rPr>
              <w:t>39 754 683</w:t>
            </w:r>
          </w:p>
        </w:tc>
        <w:tc>
          <w:tcPr>
            <w:tcW w:w="520"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41 597 480</w:t>
            </w:r>
          </w:p>
        </w:tc>
        <w:tc>
          <w:tcPr>
            <w:tcW w:w="537"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43 570 932</w:t>
            </w:r>
          </w:p>
        </w:tc>
        <w:tc>
          <w:tcPr>
            <w:tcW w:w="523"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44 641 328</w:t>
            </w:r>
          </w:p>
        </w:tc>
      </w:tr>
      <w:tr w:rsidR="004274FF" w:rsidRPr="00A11FE0" w:rsidTr="004274FF">
        <w:trPr>
          <w:trHeight w:val="397"/>
          <w:jc w:val="center"/>
        </w:trPr>
        <w:tc>
          <w:tcPr>
            <w:tcW w:w="376" w:type="pct"/>
            <w:vAlign w:val="center"/>
          </w:tcPr>
          <w:p w:rsidR="00A3491D" w:rsidRPr="00D275D1" w:rsidRDefault="00A3491D" w:rsidP="00D275D1">
            <w:pPr>
              <w:snapToGrid w:val="0"/>
              <w:spacing w:after="0"/>
              <w:rPr>
                <w:rFonts w:asciiTheme="majorHAnsi" w:hAnsiTheme="majorHAnsi"/>
                <w:b/>
                <w:sz w:val="16"/>
                <w:szCs w:val="16"/>
              </w:rPr>
            </w:pPr>
            <w:r w:rsidRPr="00D275D1">
              <w:rPr>
                <w:rFonts w:asciiTheme="majorHAnsi" w:hAnsiTheme="majorHAnsi"/>
                <w:b/>
                <w:sz w:val="16"/>
                <w:szCs w:val="16"/>
              </w:rPr>
              <w:t>OP TP</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EFRR</w:t>
            </w:r>
          </w:p>
        </w:tc>
        <w:tc>
          <w:tcPr>
            <w:tcW w:w="558" w:type="pct"/>
            <w:vAlign w:val="center"/>
          </w:tcPr>
          <w:p w:rsidR="00A3491D" w:rsidRPr="00A11FE0" w:rsidRDefault="00A3491D" w:rsidP="0064076C">
            <w:pPr>
              <w:snapToGrid w:val="0"/>
              <w:spacing w:after="0"/>
              <w:jc w:val="center"/>
              <w:rPr>
                <w:rFonts w:asciiTheme="majorHAnsi" w:hAnsiTheme="majorHAnsi"/>
                <w:sz w:val="18"/>
                <w:szCs w:val="18"/>
              </w:rPr>
            </w:pPr>
            <w:r w:rsidRPr="00845ACE">
              <w:rPr>
                <w:rFonts w:asciiTheme="majorHAnsi" w:hAnsiTheme="majorHAnsi"/>
                <w:b/>
                <w:bCs/>
                <w:color w:val="000000"/>
                <w:sz w:val="14"/>
                <w:szCs w:val="14"/>
              </w:rPr>
              <w:t>159 071 912</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19 745 876</w:t>
            </w:r>
          </w:p>
        </w:tc>
        <w:tc>
          <w:tcPr>
            <w:tcW w:w="521" w:type="pct"/>
            <w:vAlign w:val="center"/>
          </w:tcPr>
          <w:p w:rsidR="00A3491D" w:rsidRPr="00D275D1" w:rsidRDefault="00A3491D" w:rsidP="008A6B73">
            <w:pPr>
              <w:snapToGrid w:val="0"/>
              <w:spacing w:after="0"/>
              <w:jc w:val="center"/>
              <w:rPr>
                <w:rFonts w:ascii="Calibri" w:hAnsi="Calibri"/>
                <w:color w:val="000000"/>
                <w:sz w:val="14"/>
                <w:szCs w:val="14"/>
              </w:rPr>
            </w:pPr>
            <w:r w:rsidRPr="00845ACE">
              <w:rPr>
                <w:rFonts w:asciiTheme="majorHAnsi" w:hAnsiTheme="majorHAnsi"/>
                <w:color w:val="000000"/>
                <w:sz w:val="14"/>
                <w:szCs w:val="14"/>
              </w:rPr>
              <w:t>20 730 141</w:t>
            </w:r>
          </w:p>
        </w:tc>
        <w:tc>
          <w:tcPr>
            <w:tcW w:w="518" w:type="pct"/>
            <w:vAlign w:val="center"/>
          </w:tcPr>
          <w:p w:rsidR="00A3491D" w:rsidRPr="00D275D1" w:rsidRDefault="00A3491D" w:rsidP="006C03D5">
            <w:pPr>
              <w:snapToGrid w:val="0"/>
              <w:spacing w:after="0"/>
              <w:jc w:val="center"/>
              <w:rPr>
                <w:rFonts w:ascii="Calibri" w:hAnsi="Calibri"/>
                <w:color w:val="000000"/>
                <w:sz w:val="14"/>
                <w:szCs w:val="14"/>
              </w:rPr>
            </w:pPr>
            <w:r w:rsidRPr="00845ACE">
              <w:rPr>
                <w:rFonts w:asciiTheme="majorHAnsi" w:hAnsiTheme="majorHAnsi"/>
                <w:color w:val="000000"/>
                <w:sz w:val="14"/>
                <w:szCs w:val="14"/>
              </w:rPr>
              <w:t>21 727 493</w:t>
            </w:r>
          </w:p>
        </w:tc>
        <w:tc>
          <w:tcPr>
            <w:tcW w:w="521" w:type="pct"/>
            <w:vAlign w:val="center"/>
          </w:tcPr>
          <w:p w:rsidR="00A3491D" w:rsidRPr="00D275D1" w:rsidRDefault="00A3491D" w:rsidP="00B70606">
            <w:pPr>
              <w:snapToGrid w:val="0"/>
              <w:spacing w:after="0"/>
              <w:jc w:val="center"/>
              <w:rPr>
                <w:rFonts w:ascii="Calibri" w:hAnsi="Calibri"/>
                <w:color w:val="000000"/>
                <w:sz w:val="14"/>
                <w:szCs w:val="14"/>
              </w:rPr>
            </w:pPr>
            <w:r w:rsidRPr="00845ACE">
              <w:rPr>
                <w:rFonts w:asciiTheme="majorHAnsi" w:hAnsiTheme="majorHAnsi"/>
                <w:color w:val="000000"/>
                <w:sz w:val="14"/>
                <w:szCs w:val="14"/>
              </w:rPr>
              <w:t>22 710 970</w:t>
            </w:r>
          </w:p>
        </w:tc>
        <w:tc>
          <w:tcPr>
            <w:tcW w:w="520"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23 763 720</w:t>
            </w:r>
          </w:p>
        </w:tc>
        <w:tc>
          <w:tcPr>
            <w:tcW w:w="537"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24 891 109</w:t>
            </w:r>
          </w:p>
        </w:tc>
        <w:tc>
          <w:tcPr>
            <w:tcW w:w="523" w:type="pct"/>
            <w:vAlign w:val="center"/>
          </w:tcPr>
          <w:p w:rsidR="00A3491D" w:rsidRPr="00D275D1" w:rsidRDefault="00A3491D">
            <w:pPr>
              <w:snapToGrid w:val="0"/>
              <w:spacing w:after="0"/>
              <w:jc w:val="center"/>
              <w:rPr>
                <w:rFonts w:ascii="Calibri" w:hAnsi="Calibri"/>
                <w:color w:val="000000"/>
                <w:sz w:val="14"/>
                <w:szCs w:val="14"/>
              </w:rPr>
            </w:pPr>
            <w:r w:rsidRPr="00845ACE">
              <w:rPr>
                <w:rFonts w:asciiTheme="majorHAnsi" w:hAnsiTheme="majorHAnsi"/>
                <w:color w:val="000000"/>
                <w:sz w:val="14"/>
                <w:szCs w:val="14"/>
              </w:rPr>
              <w:t>25 502 603</w:t>
            </w:r>
          </w:p>
        </w:tc>
      </w:tr>
      <w:tr w:rsidR="004274FF" w:rsidRPr="00A11FE0" w:rsidTr="004274FF">
        <w:trPr>
          <w:trHeight w:val="397"/>
          <w:jc w:val="center"/>
        </w:trPr>
        <w:tc>
          <w:tcPr>
            <w:tcW w:w="376" w:type="pct"/>
            <w:vAlign w:val="center"/>
          </w:tcPr>
          <w:p w:rsidR="00A3491D" w:rsidRPr="00D275D1" w:rsidRDefault="00A3491D" w:rsidP="00667938">
            <w:pPr>
              <w:snapToGrid w:val="0"/>
              <w:spacing w:after="0"/>
              <w:rPr>
                <w:rFonts w:asciiTheme="majorHAnsi" w:hAnsiTheme="majorHAnsi"/>
                <w:b/>
                <w:sz w:val="16"/>
                <w:szCs w:val="16"/>
              </w:rPr>
            </w:pPr>
            <w:r w:rsidRPr="00D275D1">
              <w:rPr>
                <w:rFonts w:asciiTheme="majorHAnsi" w:hAnsiTheme="majorHAnsi"/>
                <w:b/>
                <w:sz w:val="16"/>
                <w:szCs w:val="16"/>
              </w:rPr>
              <w:t>OP RH</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ENRF</w:t>
            </w:r>
          </w:p>
        </w:tc>
        <w:tc>
          <w:tcPr>
            <w:tcW w:w="558" w:type="pct"/>
            <w:vAlign w:val="center"/>
          </w:tcPr>
          <w:p w:rsidR="00A3491D" w:rsidRPr="000D7C6E" w:rsidRDefault="00B218DF" w:rsidP="0064076C">
            <w:pPr>
              <w:snapToGrid w:val="0"/>
              <w:spacing w:after="0"/>
              <w:jc w:val="center"/>
              <w:rPr>
                <w:rFonts w:asciiTheme="majorHAnsi" w:hAnsiTheme="majorHAnsi"/>
                <w:b/>
                <w:sz w:val="14"/>
                <w:szCs w:val="14"/>
              </w:rPr>
            </w:pPr>
            <w:r>
              <w:rPr>
                <w:rFonts w:asciiTheme="majorHAnsi" w:hAnsiTheme="majorHAnsi"/>
                <w:b/>
                <w:sz w:val="14"/>
                <w:szCs w:val="14"/>
              </w:rPr>
              <w:t>15 785 000</w:t>
            </w:r>
          </w:p>
        </w:tc>
        <w:tc>
          <w:tcPr>
            <w:tcW w:w="521" w:type="pct"/>
            <w:vAlign w:val="center"/>
          </w:tcPr>
          <w:p w:rsidR="00A3491D" w:rsidRPr="0064076C" w:rsidRDefault="009E44E3" w:rsidP="008A6B73">
            <w:pPr>
              <w:snapToGrid w:val="0"/>
              <w:spacing w:after="0"/>
              <w:jc w:val="center"/>
              <w:rPr>
                <w:rFonts w:asciiTheme="majorHAnsi" w:hAnsiTheme="majorHAnsi"/>
                <w:color w:val="000000"/>
                <w:sz w:val="14"/>
                <w:szCs w:val="14"/>
              </w:rPr>
            </w:pPr>
            <w:r>
              <w:rPr>
                <w:rFonts w:asciiTheme="majorHAnsi" w:hAnsiTheme="majorHAnsi"/>
                <w:color w:val="000000"/>
                <w:sz w:val="14"/>
                <w:szCs w:val="14"/>
              </w:rPr>
              <w:t xml:space="preserve">  </w:t>
            </w:r>
            <w:r w:rsidR="00B42557">
              <w:rPr>
                <w:rFonts w:asciiTheme="majorHAnsi" w:hAnsiTheme="majorHAnsi"/>
                <w:color w:val="000000"/>
                <w:sz w:val="14"/>
                <w:szCs w:val="14"/>
              </w:rPr>
              <w:t>0</w:t>
            </w:r>
          </w:p>
        </w:tc>
        <w:tc>
          <w:tcPr>
            <w:tcW w:w="521" w:type="pct"/>
            <w:vAlign w:val="center"/>
          </w:tcPr>
          <w:p w:rsidR="00A3491D" w:rsidRPr="0064076C" w:rsidRDefault="00B42557" w:rsidP="008A6B73">
            <w:pPr>
              <w:snapToGrid w:val="0"/>
              <w:spacing w:after="0"/>
              <w:jc w:val="center"/>
              <w:rPr>
                <w:rFonts w:asciiTheme="majorHAnsi" w:hAnsiTheme="majorHAnsi"/>
                <w:color w:val="000000"/>
                <w:sz w:val="14"/>
                <w:szCs w:val="14"/>
              </w:rPr>
            </w:pPr>
            <w:r w:rsidRPr="00144755">
              <w:rPr>
                <w:rFonts w:ascii="Calibri" w:eastAsia="MS Mincho" w:hAnsi="Calibri"/>
                <w:color w:val="000000"/>
                <w:sz w:val="14"/>
                <w:szCs w:val="14"/>
                <w:lang w:val="en-US"/>
              </w:rPr>
              <w:t>4 354</w:t>
            </w:r>
            <w:r w:rsidR="009E44E3">
              <w:rPr>
                <w:rFonts w:ascii="Calibri" w:eastAsia="MS Mincho" w:hAnsi="Calibri"/>
                <w:color w:val="000000"/>
                <w:sz w:val="14"/>
                <w:szCs w:val="14"/>
                <w:lang w:val="en-US"/>
              </w:rPr>
              <w:t> </w:t>
            </w:r>
            <w:r w:rsidRPr="00144755">
              <w:rPr>
                <w:rFonts w:ascii="Calibri" w:eastAsia="MS Mincho" w:hAnsi="Calibri"/>
                <w:color w:val="000000"/>
                <w:sz w:val="14"/>
                <w:szCs w:val="14"/>
                <w:lang w:val="en-US"/>
              </w:rPr>
              <w:t>939</w:t>
            </w:r>
            <w:r w:rsidR="009E44E3">
              <w:rPr>
                <w:rFonts w:ascii="Calibri" w:eastAsia="MS Mincho" w:hAnsi="Calibri"/>
                <w:color w:val="000000"/>
                <w:sz w:val="14"/>
                <w:szCs w:val="14"/>
                <w:lang w:val="en-US"/>
              </w:rPr>
              <w:t xml:space="preserve"> </w:t>
            </w:r>
          </w:p>
        </w:tc>
        <w:tc>
          <w:tcPr>
            <w:tcW w:w="518" w:type="pct"/>
            <w:vAlign w:val="center"/>
          </w:tcPr>
          <w:p w:rsidR="00A3491D" w:rsidRPr="0064076C" w:rsidRDefault="00341676" w:rsidP="008A6B73">
            <w:pPr>
              <w:snapToGrid w:val="0"/>
              <w:spacing w:after="0"/>
              <w:jc w:val="center"/>
              <w:rPr>
                <w:rFonts w:asciiTheme="majorHAnsi" w:hAnsiTheme="majorHAnsi"/>
                <w:color w:val="000000"/>
                <w:sz w:val="14"/>
                <w:szCs w:val="14"/>
              </w:rPr>
            </w:pPr>
            <w:r w:rsidRPr="0064076C">
              <w:rPr>
                <w:rFonts w:asciiTheme="majorHAnsi" w:hAnsiTheme="majorHAnsi"/>
                <w:color w:val="000000"/>
                <w:sz w:val="14"/>
                <w:szCs w:val="14"/>
              </w:rPr>
              <w:t>2 211 321</w:t>
            </w:r>
          </w:p>
        </w:tc>
        <w:tc>
          <w:tcPr>
            <w:tcW w:w="521" w:type="pct"/>
            <w:vAlign w:val="center"/>
          </w:tcPr>
          <w:p w:rsidR="00A3491D" w:rsidRPr="0064076C" w:rsidRDefault="00341676" w:rsidP="006C03D5">
            <w:pPr>
              <w:snapToGrid w:val="0"/>
              <w:spacing w:after="0"/>
              <w:jc w:val="center"/>
              <w:rPr>
                <w:rFonts w:asciiTheme="majorHAnsi" w:hAnsiTheme="majorHAnsi"/>
                <w:color w:val="000000"/>
                <w:sz w:val="14"/>
                <w:szCs w:val="14"/>
              </w:rPr>
            </w:pPr>
            <w:r w:rsidRPr="0064076C">
              <w:rPr>
                <w:rFonts w:asciiTheme="majorHAnsi" w:hAnsiTheme="majorHAnsi"/>
                <w:color w:val="000000"/>
                <w:sz w:val="14"/>
                <w:szCs w:val="14"/>
              </w:rPr>
              <w:t>2 247 162</w:t>
            </w:r>
          </w:p>
        </w:tc>
        <w:tc>
          <w:tcPr>
            <w:tcW w:w="520" w:type="pct"/>
            <w:vAlign w:val="center"/>
          </w:tcPr>
          <w:p w:rsidR="00A3491D" w:rsidRPr="0064076C" w:rsidRDefault="00341676" w:rsidP="00B70606">
            <w:pPr>
              <w:snapToGrid w:val="0"/>
              <w:spacing w:after="0"/>
              <w:jc w:val="center"/>
              <w:rPr>
                <w:rFonts w:asciiTheme="majorHAnsi" w:hAnsiTheme="majorHAnsi"/>
                <w:color w:val="000000"/>
                <w:sz w:val="14"/>
                <w:szCs w:val="14"/>
              </w:rPr>
            </w:pPr>
            <w:r w:rsidRPr="0064076C">
              <w:rPr>
                <w:rFonts w:asciiTheme="majorHAnsi" w:hAnsiTheme="majorHAnsi"/>
                <w:color w:val="000000"/>
                <w:sz w:val="14"/>
                <w:szCs w:val="14"/>
              </w:rPr>
              <w:t>2 299 451</w:t>
            </w:r>
          </w:p>
        </w:tc>
        <w:tc>
          <w:tcPr>
            <w:tcW w:w="537" w:type="pct"/>
            <w:vAlign w:val="center"/>
          </w:tcPr>
          <w:p w:rsidR="00A3491D" w:rsidRPr="0064076C" w:rsidRDefault="00341676">
            <w:pPr>
              <w:snapToGrid w:val="0"/>
              <w:spacing w:after="0"/>
              <w:jc w:val="center"/>
              <w:rPr>
                <w:rFonts w:asciiTheme="majorHAnsi" w:hAnsiTheme="majorHAnsi"/>
                <w:color w:val="000000"/>
                <w:sz w:val="14"/>
                <w:szCs w:val="14"/>
              </w:rPr>
            </w:pPr>
            <w:r w:rsidRPr="0064076C">
              <w:rPr>
                <w:rFonts w:asciiTheme="majorHAnsi" w:hAnsiTheme="majorHAnsi"/>
                <w:color w:val="000000"/>
                <w:sz w:val="14"/>
                <w:szCs w:val="14"/>
              </w:rPr>
              <w:t>2 315 174</w:t>
            </w:r>
          </w:p>
        </w:tc>
        <w:tc>
          <w:tcPr>
            <w:tcW w:w="523" w:type="pct"/>
            <w:vAlign w:val="center"/>
          </w:tcPr>
          <w:p w:rsidR="00A3491D" w:rsidRPr="0064076C" w:rsidRDefault="00341676">
            <w:pPr>
              <w:snapToGrid w:val="0"/>
              <w:spacing w:after="0"/>
              <w:jc w:val="center"/>
              <w:rPr>
                <w:rFonts w:asciiTheme="majorHAnsi" w:hAnsiTheme="majorHAnsi"/>
                <w:color w:val="000000"/>
                <w:sz w:val="14"/>
                <w:szCs w:val="14"/>
              </w:rPr>
            </w:pPr>
            <w:r w:rsidRPr="0064076C">
              <w:rPr>
                <w:rFonts w:asciiTheme="majorHAnsi" w:hAnsiTheme="majorHAnsi"/>
                <w:color w:val="000000"/>
                <w:sz w:val="14"/>
                <w:szCs w:val="14"/>
              </w:rPr>
              <w:t>2 356 953</w:t>
            </w:r>
          </w:p>
        </w:tc>
      </w:tr>
      <w:tr w:rsidR="004274FF" w:rsidRPr="00A11FE0" w:rsidTr="004274FF">
        <w:trPr>
          <w:trHeight w:val="397"/>
          <w:jc w:val="center"/>
        </w:trPr>
        <w:tc>
          <w:tcPr>
            <w:tcW w:w="376" w:type="pct"/>
            <w:vAlign w:val="center"/>
          </w:tcPr>
          <w:p w:rsidR="00A3491D" w:rsidRPr="00D275D1" w:rsidRDefault="00A3491D" w:rsidP="00667938">
            <w:pPr>
              <w:snapToGrid w:val="0"/>
              <w:spacing w:after="0"/>
              <w:rPr>
                <w:rFonts w:asciiTheme="majorHAnsi" w:hAnsiTheme="majorHAnsi"/>
                <w:b/>
                <w:sz w:val="16"/>
                <w:szCs w:val="16"/>
              </w:rPr>
            </w:pPr>
            <w:r w:rsidRPr="00D275D1">
              <w:rPr>
                <w:rFonts w:asciiTheme="majorHAnsi" w:hAnsiTheme="majorHAnsi"/>
                <w:b/>
                <w:sz w:val="16"/>
                <w:szCs w:val="16"/>
              </w:rPr>
              <w:t>PRV*</w:t>
            </w:r>
            <w:r w:rsidR="00475EE1">
              <w:rPr>
                <w:rFonts w:asciiTheme="majorHAnsi" w:hAnsiTheme="majorHAnsi"/>
                <w:b/>
                <w:sz w:val="16"/>
                <w:szCs w:val="16"/>
              </w:rPr>
              <w:t>*</w:t>
            </w:r>
          </w:p>
        </w:tc>
        <w:tc>
          <w:tcPr>
            <w:tcW w:w="405" w:type="pct"/>
            <w:vAlign w:val="center"/>
          </w:tcPr>
          <w:p w:rsidR="00A3491D" w:rsidRPr="00D275D1" w:rsidRDefault="00A3491D" w:rsidP="00D275D1">
            <w:pPr>
              <w:snapToGrid w:val="0"/>
              <w:spacing w:after="0"/>
              <w:jc w:val="center"/>
              <w:rPr>
                <w:rFonts w:asciiTheme="majorHAnsi" w:hAnsiTheme="majorHAnsi"/>
                <w:sz w:val="16"/>
                <w:szCs w:val="16"/>
              </w:rPr>
            </w:pPr>
            <w:r w:rsidRPr="00D275D1">
              <w:rPr>
                <w:rFonts w:asciiTheme="majorHAnsi" w:hAnsiTheme="majorHAnsi"/>
                <w:sz w:val="16"/>
                <w:szCs w:val="16"/>
              </w:rPr>
              <w:t>EPFRV</w:t>
            </w:r>
          </w:p>
        </w:tc>
        <w:tc>
          <w:tcPr>
            <w:tcW w:w="558" w:type="pct"/>
            <w:vAlign w:val="center"/>
          </w:tcPr>
          <w:p w:rsidR="00A3491D" w:rsidRPr="00A11FE0" w:rsidRDefault="00B42557" w:rsidP="0064076C">
            <w:pPr>
              <w:snapToGrid w:val="0"/>
              <w:spacing w:after="0"/>
              <w:jc w:val="center"/>
              <w:rPr>
                <w:rFonts w:asciiTheme="majorHAnsi" w:hAnsiTheme="majorHAnsi"/>
                <w:sz w:val="18"/>
                <w:szCs w:val="18"/>
              </w:rPr>
            </w:pPr>
            <w:r w:rsidRPr="00144755">
              <w:rPr>
                <w:rFonts w:ascii="Calibri" w:eastAsia="MS Mincho" w:hAnsi="Calibri"/>
                <w:b/>
                <w:bCs/>
                <w:color w:val="000000"/>
                <w:sz w:val="14"/>
                <w:szCs w:val="14"/>
                <w:lang w:val="en-US"/>
              </w:rPr>
              <w:t>1 559 691 844</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271 154 575</w:t>
            </w:r>
          </w:p>
        </w:tc>
        <w:tc>
          <w:tcPr>
            <w:tcW w:w="521" w:type="pct"/>
            <w:vAlign w:val="center"/>
          </w:tcPr>
          <w:p w:rsidR="00A3491D" w:rsidRPr="00A11FE0" w:rsidRDefault="00A3491D" w:rsidP="008A6B73">
            <w:pPr>
              <w:snapToGrid w:val="0"/>
              <w:spacing w:after="0"/>
              <w:jc w:val="center"/>
              <w:rPr>
                <w:rFonts w:asciiTheme="majorHAnsi" w:hAnsiTheme="majorHAnsi"/>
                <w:sz w:val="18"/>
                <w:szCs w:val="18"/>
              </w:rPr>
            </w:pPr>
            <w:r w:rsidRPr="00845ACE">
              <w:rPr>
                <w:rFonts w:asciiTheme="majorHAnsi" w:hAnsiTheme="majorHAnsi"/>
                <w:color w:val="000000"/>
                <w:sz w:val="14"/>
                <w:szCs w:val="14"/>
              </w:rPr>
              <w:t>213 101 979</w:t>
            </w:r>
          </w:p>
        </w:tc>
        <w:tc>
          <w:tcPr>
            <w:tcW w:w="518" w:type="pct"/>
            <w:vAlign w:val="center"/>
          </w:tcPr>
          <w:p w:rsidR="00A3491D" w:rsidRPr="00A11FE0" w:rsidRDefault="00B42557" w:rsidP="006C03D5">
            <w:pPr>
              <w:snapToGrid w:val="0"/>
              <w:spacing w:after="0"/>
              <w:jc w:val="center"/>
              <w:rPr>
                <w:rFonts w:asciiTheme="majorHAnsi" w:hAnsiTheme="majorHAnsi"/>
                <w:sz w:val="18"/>
                <w:szCs w:val="18"/>
              </w:rPr>
            </w:pPr>
            <w:r w:rsidRPr="00144755">
              <w:rPr>
                <w:rFonts w:asciiTheme="majorHAnsi" w:hAnsiTheme="majorHAnsi"/>
                <w:color w:val="000000"/>
                <w:sz w:val="14"/>
                <w:szCs w:val="14"/>
                <w:lang w:val="en-US"/>
              </w:rPr>
              <w:t>215 603</w:t>
            </w:r>
            <w:r w:rsidR="009E44E3">
              <w:rPr>
                <w:rFonts w:asciiTheme="majorHAnsi" w:hAnsiTheme="majorHAnsi"/>
                <w:color w:val="000000"/>
                <w:sz w:val="14"/>
                <w:szCs w:val="14"/>
                <w:lang w:val="en-US"/>
              </w:rPr>
              <w:t> </w:t>
            </w:r>
            <w:r w:rsidRPr="00144755">
              <w:rPr>
                <w:rFonts w:asciiTheme="majorHAnsi" w:hAnsiTheme="majorHAnsi"/>
                <w:color w:val="000000"/>
                <w:sz w:val="14"/>
                <w:szCs w:val="14"/>
                <w:lang w:val="en-US"/>
              </w:rPr>
              <w:t>053</w:t>
            </w:r>
            <w:r w:rsidR="009E44E3">
              <w:rPr>
                <w:rFonts w:asciiTheme="majorHAnsi" w:hAnsiTheme="majorHAnsi"/>
                <w:color w:val="000000"/>
                <w:sz w:val="14"/>
                <w:szCs w:val="14"/>
                <w:lang w:val="en-US"/>
              </w:rPr>
              <w:t xml:space="preserve"> </w:t>
            </w:r>
          </w:p>
        </w:tc>
        <w:tc>
          <w:tcPr>
            <w:tcW w:w="521" w:type="pct"/>
            <w:vAlign w:val="center"/>
          </w:tcPr>
          <w:p w:rsidR="00A3491D" w:rsidRPr="00A11FE0" w:rsidRDefault="00B42557" w:rsidP="00B70606">
            <w:pPr>
              <w:snapToGrid w:val="0"/>
              <w:spacing w:after="0"/>
              <w:jc w:val="center"/>
              <w:rPr>
                <w:rFonts w:asciiTheme="majorHAnsi" w:hAnsiTheme="majorHAnsi"/>
                <w:sz w:val="18"/>
                <w:szCs w:val="18"/>
              </w:rPr>
            </w:pPr>
            <w:r w:rsidRPr="00144755">
              <w:rPr>
                <w:rFonts w:asciiTheme="majorHAnsi" w:hAnsiTheme="majorHAnsi"/>
                <w:color w:val="000000"/>
                <w:sz w:val="14"/>
                <w:szCs w:val="14"/>
                <w:lang w:val="en-US"/>
              </w:rPr>
              <w:t>215 356</w:t>
            </w:r>
            <w:r w:rsidR="009E44E3">
              <w:rPr>
                <w:rFonts w:asciiTheme="majorHAnsi" w:hAnsiTheme="majorHAnsi"/>
                <w:color w:val="000000"/>
                <w:sz w:val="14"/>
                <w:szCs w:val="14"/>
                <w:lang w:val="en-US"/>
              </w:rPr>
              <w:t> </w:t>
            </w:r>
            <w:r w:rsidRPr="00144755">
              <w:rPr>
                <w:rFonts w:asciiTheme="majorHAnsi" w:hAnsiTheme="majorHAnsi"/>
                <w:color w:val="000000"/>
                <w:sz w:val="14"/>
                <w:szCs w:val="14"/>
                <w:lang w:val="en-US"/>
              </w:rPr>
              <w:t>644</w:t>
            </w:r>
            <w:r w:rsidR="009E44E3">
              <w:rPr>
                <w:rFonts w:asciiTheme="majorHAnsi" w:hAnsiTheme="majorHAnsi"/>
                <w:color w:val="000000"/>
                <w:sz w:val="14"/>
                <w:szCs w:val="14"/>
                <w:lang w:val="en-US"/>
              </w:rPr>
              <w:t xml:space="preserve"> </w:t>
            </w:r>
          </w:p>
        </w:tc>
        <w:tc>
          <w:tcPr>
            <w:tcW w:w="520" w:type="pct"/>
            <w:vAlign w:val="center"/>
          </w:tcPr>
          <w:p w:rsidR="00A3491D" w:rsidRPr="00A11FE0" w:rsidRDefault="00B42557">
            <w:pPr>
              <w:snapToGrid w:val="0"/>
              <w:spacing w:after="0"/>
              <w:jc w:val="center"/>
              <w:rPr>
                <w:rFonts w:asciiTheme="majorHAnsi" w:hAnsiTheme="majorHAnsi"/>
                <w:sz w:val="18"/>
                <w:szCs w:val="18"/>
              </w:rPr>
            </w:pPr>
            <w:r w:rsidRPr="00144755">
              <w:rPr>
                <w:rFonts w:asciiTheme="majorHAnsi" w:hAnsiTheme="majorHAnsi"/>
                <w:color w:val="000000"/>
                <w:sz w:val="14"/>
                <w:szCs w:val="14"/>
                <w:lang w:val="en-US"/>
              </w:rPr>
              <w:t>215 106</w:t>
            </w:r>
            <w:r w:rsidR="009E44E3">
              <w:rPr>
                <w:rFonts w:asciiTheme="majorHAnsi" w:hAnsiTheme="majorHAnsi"/>
                <w:color w:val="000000"/>
                <w:sz w:val="14"/>
                <w:szCs w:val="14"/>
                <w:lang w:val="en-US"/>
              </w:rPr>
              <w:t> </w:t>
            </w:r>
            <w:r w:rsidRPr="00144755">
              <w:rPr>
                <w:rFonts w:asciiTheme="majorHAnsi" w:hAnsiTheme="majorHAnsi"/>
                <w:color w:val="000000"/>
                <w:sz w:val="14"/>
                <w:szCs w:val="14"/>
                <w:lang w:val="en-US"/>
              </w:rPr>
              <w:t>447</w:t>
            </w:r>
            <w:r w:rsidR="009E44E3">
              <w:rPr>
                <w:rFonts w:asciiTheme="majorHAnsi" w:hAnsiTheme="majorHAnsi"/>
                <w:color w:val="000000"/>
                <w:sz w:val="14"/>
                <w:szCs w:val="14"/>
                <w:lang w:val="en-US"/>
              </w:rPr>
              <w:t xml:space="preserve"> </w:t>
            </w:r>
          </w:p>
        </w:tc>
        <w:tc>
          <w:tcPr>
            <w:tcW w:w="537" w:type="pct"/>
            <w:vAlign w:val="center"/>
          </w:tcPr>
          <w:p w:rsidR="00A3491D" w:rsidRPr="00A11FE0" w:rsidRDefault="00B42557">
            <w:pPr>
              <w:snapToGrid w:val="0"/>
              <w:spacing w:after="0"/>
              <w:jc w:val="center"/>
              <w:rPr>
                <w:rFonts w:asciiTheme="majorHAnsi" w:hAnsiTheme="majorHAnsi"/>
                <w:sz w:val="18"/>
                <w:szCs w:val="18"/>
              </w:rPr>
            </w:pPr>
            <w:r w:rsidRPr="00144755">
              <w:rPr>
                <w:rFonts w:asciiTheme="majorHAnsi" w:hAnsiTheme="majorHAnsi"/>
                <w:color w:val="000000"/>
                <w:sz w:val="14"/>
                <w:szCs w:val="14"/>
                <w:lang w:val="en-US"/>
              </w:rPr>
              <w:t>214 844</w:t>
            </w:r>
            <w:r w:rsidR="009E44E3">
              <w:rPr>
                <w:rFonts w:asciiTheme="majorHAnsi" w:hAnsiTheme="majorHAnsi"/>
                <w:color w:val="000000"/>
                <w:sz w:val="14"/>
                <w:szCs w:val="14"/>
                <w:lang w:val="en-US"/>
              </w:rPr>
              <w:t> </w:t>
            </w:r>
            <w:r w:rsidRPr="00144755">
              <w:rPr>
                <w:rFonts w:asciiTheme="majorHAnsi" w:hAnsiTheme="majorHAnsi"/>
                <w:color w:val="000000"/>
                <w:sz w:val="14"/>
                <w:szCs w:val="14"/>
                <w:lang w:val="en-US"/>
              </w:rPr>
              <w:t>203</w:t>
            </w:r>
            <w:r w:rsidR="009E44E3">
              <w:rPr>
                <w:rFonts w:asciiTheme="majorHAnsi" w:hAnsiTheme="majorHAnsi"/>
                <w:color w:val="000000"/>
                <w:sz w:val="14"/>
                <w:szCs w:val="14"/>
                <w:lang w:val="en-US"/>
              </w:rPr>
              <w:t xml:space="preserve"> </w:t>
            </w:r>
          </w:p>
        </w:tc>
        <w:tc>
          <w:tcPr>
            <w:tcW w:w="523" w:type="pct"/>
            <w:vAlign w:val="center"/>
          </w:tcPr>
          <w:p w:rsidR="00A3491D" w:rsidRPr="00A11FE0" w:rsidRDefault="00B42557">
            <w:pPr>
              <w:snapToGrid w:val="0"/>
              <w:spacing w:after="0"/>
              <w:jc w:val="center"/>
              <w:rPr>
                <w:rFonts w:asciiTheme="majorHAnsi" w:hAnsiTheme="majorHAnsi"/>
                <w:sz w:val="18"/>
                <w:szCs w:val="18"/>
              </w:rPr>
            </w:pPr>
            <w:r w:rsidRPr="00144755">
              <w:rPr>
                <w:rFonts w:asciiTheme="majorHAnsi" w:hAnsiTheme="majorHAnsi"/>
                <w:color w:val="000000"/>
                <w:sz w:val="14"/>
                <w:szCs w:val="14"/>
                <w:lang w:val="en-US"/>
              </w:rPr>
              <w:t>214 524</w:t>
            </w:r>
            <w:r w:rsidR="009E44E3">
              <w:rPr>
                <w:rFonts w:asciiTheme="majorHAnsi" w:hAnsiTheme="majorHAnsi"/>
                <w:color w:val="000000"/>
                <w:sz w:val="14"/>
                <w:szCs w:val="14"/>
                <w:lang w:val="en-US"/>
              </w:rPr>
              <w:t> </w:t>
            </w:r>
            <w:r w:rsidRPr="00144755">
              <w:rPr>
                <w:rFonts w:asciiTheme="majorHAnsi" w:hAnsiTheme="majorHAnsi"/>
                <w:color w:val="000000"/>
                <w:sz w:val="14"/>
                <w:szCs w:val="14"/>
                <w:lang w:val="en-US"/>
              </w:rPr>
              <w:t>943</w:t>
            </w:r>
            <w:r w:rsidR="009E44E3">
              <w:rPr>
                <w:rFonts w:asciiTheme="majorHAnsi" w:hAnsiTheme="majorHAnsi"/>
                <w:color w:val="000000"/>
                <w:sz w:val="14"/>
                <w:szCs w:val="14"/>
                <w:lang w:val="en-US"/>
              </w:rPr>
              <w:t xml:space="preserve"> </w:t>
            </w:r>
          </w:p>
        </w:tc>
      </w:tr>
      <w:tr w:rsidR="00BF2A7B" w:rsidRPr="00A11FE0" w:rsidTr="002E311F">
        <w:trPr>
          <w:trHeight w:val="499"/>
          <w:jc w:val="center"/>
        </w:trPr>
        <w:tc>
          <w:tcPr>
            <w:tcW w:w="780" w:type="pct"/>
            <w:gridSpan w:val="2"/>
            <w:vAlign w:val="center"/>
          </w:tcPr>
          <w:p w:rsidR="00BF2A7B" w:rsidRPr="00D275D1" w:rsidRDefault="00BF2A7B" w:rsidP="00667938">
            <w:pPr>
              <w:snapToGrid w:val="0"/>
              <w:spacing w:after="0"/>
              <w:rPr>
                <w:rFonts w:asciiTheme="majorHAnsi" w:hAnsiTheme="majorHAnsi"/>
                <w:b/>
                <w:sz w:val="16"/>
                <w:szCs w:val="16"/>
              </w:rPr>
            </w:pPr>
            <w:r w:rsidRPr="00D275D1">
              <w:rPr>
                <w:rFonts w:asciiTheme="majorHAnsi" w:hAnsiTheme="majorHAnsi"/>
                <w:b/>
                <w:sz w:val="16"/>
                <w:szCs w:val="16"/>
              </w:rPr>
              <w:t>Celkom</w:t>
            </w:r>
          </w:p>
        </w:tc>
        <w:tc>
          <w:tcPr>
            <w:tcW w:w="558" w:type="pct"/>
            <w:vAlign w:val="center"/>
          </w:tcPr>
          <w:p w:rsidR="00BF2A7B" w:rsidRPr="004274FF" w:rsidRDefault="00BF2A7B" w:rsidP="002E3FA5">
            <w:pPr>
              <w:snapToGrid w:val="0"/>
              <w:spacing w:before="0" w:after="0"/>
              <w:jc w:val="center"/>
              <w:rPr>
                <w:rFonts w:ascii="Calibri" w:hAnsi="Calibri"/>
                <w:b/>
                <w:bCs/>
                <w:color w:val="000000"/>
                <w:sz w:val="14"/>
                <w:szCs w:val="14"/>
              </w:rPr>
            </w:pPr>
            <w:r w:rsidRPr="00BF2A7B">
              <w:rPr>
                <w:rFonts w:ascii="Calibri" w:eastAsia="Times New Roman" w:hAnsi="Calibri"/>
                <w:b/>
                <w:bCs/>
                <w:color w:val="000000"/>
                <w:sz w:val="14"/>
                <w:szCs w:val="14"/>
                <w:lang w:val="en-US" w:eastAsia="sk-SK"/>
              </w:rPr>
              <w:t>15 287 323</w:t>
            </w:r>
            <w:r>
              <w:rPr>
                <w:rFonts w:ascii="Calibri" w:eastAsia="Times New Roman" w:hAnsi="Calibri"/>
                <w:b/>
                <w:bCs/>
                <w:color w:val="000000"/>
                <w:sz w:val="14"/>
                <w:szCs w:val="14"/>
                <w:lang w:val="en-US" w:eastAsia="sk-SK"/>
              </w:rPr>
              <w:t> </w:t>
            </w:r>
            <w:r w:rsidRPr="00BF2A7B">
              <w:rPr>
                <w:rFonts w:ascii="Calibri" w:eastAsia="Times New Roman" w:hAnsi="Calibri"/>
                <w:b/>
                <w:bCs/>
                <w:color w:val="000000"/>
                <w:sz w:val="14"/>
                <w:szCs w:val="14"/>
                <w:lang w:val="en-US" w:eastAsia="sk-SK"/>
              </w:rPr>
              <w:t>396</w:t>
            </w:r>
            <w:r>
              <w:rPr>
                <w:rFonts w:ascii="Calibri" w:eastAsia="Times New Roman" w:hAnsi="Calibri"/>
                <w:b/>
                <w:bCs/>
                <w:color w:val="000000"/>
                <w:sz w:val="14"/>
                <w:szCs w:val="14"/>
                <w:lang w:val="en-US" w:eastAsia="sk-SK"/>
              </w:rPr>
              <w:t xml:space="preserve"> </w:t>
            </w:r>
          </w:p>
        </w:tc>
        <w:tc>
          <w:tcPr>
            <w:tcW w:w="521" w:type="pct"/>
            <w:vAlign w:val="center"/>
          </w:tcPr>
          <w:p w:rsidR="00BF2A7B" w:rsidRPr="002E3FA5" w:rsidRDefault="00BF2A7B" w:rsidP="002E3FA5">
            <w:pPr>
              <w:snapToGrid w:val="0"/>
              <w:spacing w:before="0" w:after="0"/>
              <w:jc w:val="center"/>
              <w:rPr>
                <w:rFonts w:ascii="Calibri" w:eastAsia="Times New Roman" w:hAnsi="Calibri"/>
                <w:b/>
                <w:bCs/>
                <w:color w:val="000000"/>
                <w:sz w:val="14"/>
                <w:szCs w:val="14"/>
                <w:lang w:val="en-US" w:eastAsia="sk-SK"/>
              </w:rPr>
            </w:pPr>
            <w:r w:rsidRPr="002E3FA5">
              <w:rPr>
                <w:rFonts w:ascii="Calibri" w:eastAsia="Times New Roman" w:hAnsi="Calibri"/>
                <w:b/>
                <w:bCs/>
                <w:color w:val="000000"/>
                <w:sz w:val="14"/>
                <w:szCs w:val="14"/>
                <w:lang w:val="en-US" w:eastAsia="sk-SK"/>
              </w:rPr>
              <w:t xml:space="preserve">2 009 823 041 </w:t>
            </w:r>
          </w:p>
        </w:tc>
        <w:tc>
          <w:tcPr>
            <w:tcW w:w="521" w:type="pct"/>
            <w:vAlign w:val="center"/>
          </w:tcPr>
          <w:p w:rsidR="00BF2A7B" w:rsidRPr="002E3FA5" w:rsidRDefault="00BF2A7B" w:rsidP="002E3FA5">
            <w:pPr>
              <w:snapToGrid w:val="0"/>
              <w:spacing w:before="0" w:after="0"/>
              <w:jc w:val="center"/>
              <w:rPr>
                <w:rFonts w:ascii="Calibri" w:eastAsia="Times New Roman" w:hAnsi="Calibri"/>
                <w:b/>
                <w:bCs/>
                <w:color w:val="000000"/>
                <w:sz w:val="14"/>
                <w:szCs w:val="14"/>
                <w:lang w:val="en-US" w:eastAsia="sk-SK"/>
              </w:rPr>
            </w:pPr>
            <w:r w:rsidRPr="002E3FA5">
              <w:rPr>
                <w:rFonts w:ascii="Calibri" w:eastAsia="Times New Roman" w:hAnsi="Calibri"/>
                <w:b/>
                <w:bCs/>
                <w:color w:val="000000"/>
                <w:sz w:val="14"/>
                <w:szCs w:val="14"/>
                <w:lang w:val="en-US" w:eastAsia="sk-SK"/>
              </w:rPr>
              <w:t xml:space="preserve">2 033 405 800 </w:t>
            </w:r>
          </w:p>
        </w:tc>
        <w:tc>
          <w:tcPr>
            <w:tcW w:w="518" w:type="pct"/>
            <w:vAlign w:val="center"/>
          </w:tcPr>
          <w:p w:rsidR="00BF2A7B" w:rsidRPr="002E3FA5" w:rsidRDefault="00BF2A7B" w:rsidP="002E3FA5">
            <w:pPr>
              <w:snapToGrid w:val="0"/>
              <w:spacing w:before="0" w:after="0"/>
              <w:jc w:val="center"/>
              <w:rPr>
                <w:rFonts w:ascii="Calibri" w:eastAsia="Times New Roman" w:hAnsi="Calibri"/>
                <w:b/>
                <w:bCs/>
                <w:color w:val="000000"/>
                <w:sz w:val="14"/>
                <w:szCs w:val="14"/>
                <w:lang w:val="en-US" w:eastAsia="sk-SK"/>
              </w:rPr>
            </w:pPr>
            <w:r w:rsidRPr="002E3FA5">
              <w:rPr>
                <w:rFonts w:ascii="Calibri" w:eastAsia="Times New Roman" w:hAnsi="Calibri"/>
                <w:b/>
                <w:bCs/>
                <w:color w:val="000000"/>
                <w:sz w:val="14"/>
                <w:szCs w:val="14"/>
                <w:lang w:val="en-US" w:eastAsia="sk-SK"/>
              </w:rPr>
              <w:t xml:space="preserve">2 089 414 158 </w:t>
            </w:r>
          </w:p>
        </w:tc>
        <w:tc>
          <w:tcPr>
            <w:tcW w:w="521" w:type="pct"/>
          </w:tcPr>
          <w:p w:rsidR="002E3FA5" w:rsidRDefault="002E3FA5" w:rsidP="002E3FA5">
            <w:pPr>
              <w:snapToGrid w:val="0"/>
              <w:spacing w:before="0" w:after="0"/>
              <w:jc w:val="center"/>
              <w:rPr>
                <w:rFonts w:ascii="Calibri" w:eastAsia="Times New Roman" w:hAnsi="Calibri"/>
                <w:b/>
                <w:bCs/>
                <w:color w:val="000000"/>
                <w:sz w:val="14"/>
                <w:szCs w:val="14"/>
                <w:lang w:val="en-US" w:eastAsia="sk-SK"/>
              </w:rPr>
            </w:pPr>
          </w:p>
          <w:p w:rsidR="00BF2A7B" w:rsidRPr="002E3FA5" w:rsidRDefault="00BF2A7B" w:rsidP="002E3FA5">
            <w:pPr>
              <w:snapToGrid w:val="0"/>
              <w:spacing w:before="0" w:after="0"/>
              <w:jc w:val="center"/>
              <w:rPr>
                <w:rFonts w:ascii="Calibri" w:eastAsia="Times New Roman" w:hAnsi="Calibri"/>
                <w:b/>
                <w:bCs/>
                <w:color w:val="000000"/>
                <w:sz w:val="14"/>
                <w:szCs w:val="14"/>
                <w:lang w:val="en-US" w:eastAsia="sk-SK"/>
              </w:rPr>
            </w:pPr>
            <w:r w:rsidRPr="002E3FA5">
              <w:rPr>
                <w:rFonts w:ascii="Calibri" w:eastAsia="Times New Roman" w:hAnsi="Calibri"/>
                <w:b/>
                <w:bCs/>
                <w:color w:val="000000"/>
                <w:sz w:val="14"/>
                <w:szCs w:val="14"/>
                <w:lang w:val="en-US" w:eastAsia="sk-SK"/>
              </w:rPr>
              <w:t>2 162 705</w:t>
            </w:r>
            <w:r w:rsidR="002E3FA5">
              <w:rPr>
                <w:rFonts w:ascii="Calibri" w:eastAsia="Times New Roman" w:hAnsi="Calibri"/>
                <w:b/>
                <w:bCs/>
                <w:color w:val="000000"/>
                <w:sz w:val="14"/>
                <w:szCs w:val="14"/>
                <w:lang w:val="en-US" w:eastAsia="sk-SK"/>
              </w:rPr>
              <w:t> </w:t>
            </w:r>
            <w:r w:rsidRPr="002E3FA5">
              <w:rPr>
                <w:rFonts w:ascii="Calibri" w:eastAsia="Times New Roman" w:hAnsi="Calibri"/>
                <w:b/>
                <w:bCs/>
                <w:color w:val="000000"/>
                <w:sz w:val="14"/>
                <w:szCs w:val="14"/>
                <w:lang w:val="en-US" w:eastAsia="sk-SK"/>
              </w:rPr>
              <w:t>297</w:t>
            </w:r>
          </w:p>
        </w:tc>
        <w:tc>
          <w:tcPr>
            <w:tcW w:w="520" w:type="pct"/>
          </w:tcPr>
          <w:p w:rsidR="002E3FA5" w:rsidRDefault="002E3FA5" w:rsidP="002E3FA5">
            <w:pPr>
              <w:snapToGrid w:val="0"/>
              <w:spacing w:before="0" w:after="0"/>
              <w:jc w:val="center"/>
              <w:rPr>
                <w:rFonts w:ascii="Calibri" w:eastAsia="Times New Roman" w:hAnsi="Calibri"/>
                <w:b/>
                <w:bCs/>
                <w:color w:val="000000"/>
                <w:sz w:val="14"/>
                <w:szCs w:val="14"/>
                <w:lang w:val="en-US" w:eastAsia="sk-SK"/>
              </w:rPr>
            </w:pPr>
          </w:p>
          <w:p w:rsidR="00BF2A7B" w:rsidRPr="002E3FA5" w:rsidRDefault="00BF2A7B" w:rsidP="002E3FA5">
            <w:pPr>
              <w:snapToGrid w:val="0"/>
              <w:spacing w:before="0" w:after="0"/>
              <w:jc w:val="center"/>
              <w:rPr>
                <w:rFonts w:ascii="Calibri" w:eastAsia="Times New Roman" w:hAnsi="Calibri"/>
                <w:b/>
                <w:bCs/>
                <w:color w:val="000000"/>
                <w:sz w:val="14"/>
                <w:szCs w:val="14"/>
                <w:lang w:val="en-US" w:eastAsia="sk-SK"/>
              </w:rPr>
            </w:pPr>
            <w:r w:rsidRPr="002E3FA5">
              <w:rPr>
                <w:rFonts w:ascii="Calibri" w:eastAsia="Times New Roman" w:hAnsi="Calibri"/>
                <w:b/>
                <w:bCs/>
                <w:color w:val="000000"/>
                <w:sz w:val="14"/>
                <w:szCs w:val="14"/>
                <w:lang w:val="en-US" w:eastAsia="sk-SK"/>
              </w:rPr>
              <w:t>2 249 305</w:t>
            </w:r>
            <w:r w:rsidR="002E3FA5">
              <w:rPr>
                <w:rFonts w:ascii="Calibri" w:eastAsia="Times New Roman" w:hAnsi="Calibri"/>
                <w:b/>
                <w:bCs/>
                <w:color w:val="000000"/>
                <w:sz w:val="14"/>
                <w:szCs w:val="14"/>
                <w:lang w:val="en-US" w:eastAsia="sk-SK"/>
              </w:rPr>
              <w:t> </w:t>
            </w:r>
            <w:r w:rsidRPr="002E3FA5">
              <w:rPr>
                <w:rFonts w:ascii="Calibri" w:eastAsia="Times New Roman" w:hAnsi="Calibri"/>
                <w:b/>
                <w:bCs/>
                <w:color w:val="000000"/>
                <w:sz w:val="14"/>
                <w:szCs w:val="14"/>
                <w:lang w:val="en-US" w:eastAsia="sk-SK"/>
              </w:rPr>
              <w:t>672</w:t>
            </w:r>
          </w:p>
        </w:tc>
        <w:tc>
          <w:tcPr>
            <w:tcW w:w="537" w:type="pct"/>
          </w:tcPr>
          <w:p w:rsidR="002E3FA5" w:rsidRDefault="002E3FA5" w:rsidP="002E3FA5">
            <w:pPr>
              <w:snapToGrid w:val="0"/>
              <w:spacing w:before="0" w:after="0"/>
              <w:jc w:val="center"/>
              <w:rPr>
                <w:rFonts w:ascii="Calibri" w:eastAsia="Times New Roman" w:hAnsi="Calibri"/>
                <w:b/>
                <w:bCs/>
                <w:color w:val="000000"/>
                <w:sz w:val="14"/>
                <w:szCs w:val="14"/>
                <w:lang w:val="en-US" w:eastAsia="sk-SK"/>
              </w:rPr>
            </w:pPr>
          </w:p>
          <w:p w:rsidR="00BF2A7B" w:rsidRPr="002E3FA5" w:rsidRDefault="00BF2A7B" w:rsidP="002E3FA5">
            <w:pPr>
              <w:snapToGrid w:val="0"/>
              <w:spacing w:before="0" w:after="0"/>
              <w:jc w:val="center"/>
              <w:rPr>
                <w:rFonts w:ascii="Calibri" w:eastAsia="Times New Roman" w:hAnsi="Calibri"/>
                <w:b/>
                <w:bCs/>
                <w:color w:val="000000"/>
                <w:sz w:val="14"/>
                <w:szCs w:val="14"/>
                <w:lang w:val="en-US" w:eastAsia="sk-SK"/>
              </w:rPr>
            </w:pPr>
            <w:r w:rsidRPr="002E3FA5">
              <w:rPr>
                <w:rFonts w:ascii="Calibri" w:eastAsia="Times New Roman" w:hAnsi="Calibri"/>
                <w:b/>
                <w:bCs/>
                <w:color w:val="000000"/>
                <w:sz w:val="14"/>
                <w:szCs w:val="14"/>
                <w:lang w:val="en-US" w:eastAsia="sk-SK"/>
              </w:rPr>
              <w:t>2 346 106</w:t>
            </w:r>
            <w:r w:rsidR="002E3FA5">
              <w:rPr>
                <w:rFonts w:ascii="Calibri" w:eastAsia="Times New Roman" w:hAnsi="Calibri"/>
                <w:b/>
                <w:bCs/>
                <w:color w:val="000000"/>
                <w:sz w:val="14"/>
                <w:szCs w:val="14"/>
                <w:lang w:val="en-US" w:eastAsia="sk-SK"/>
              </w:rPr>
              <w:t> </w:t>
            </w:r>
            <w:r w:rsidRPr="002E3FA5">
              <w:rPr>
                <w:rFonts w:ascii="Calibri" w:eastAsia="Times New Roman" w:hAnsi="Calibri"/>
                <w:b/>
                <w:bCs/>
                <w:color w:val="000000"/>
                <w:sz w:val="14"/>
                <w:szCs w:val="14"/>
                <w:lang w:val="en-US" w:eastAsia="sk-SK"/>
              </w:rPr>
              <w:t>596</w:t>
            </w:r>
          </w:p>
        </w:tc>
        <w:tc>
          <w:tcPr>
            <w:tcW w:w="523" w:type="pct"/>
          </w:tcPr>
          <w:p w:rsidR="002E3FA5" w:rsidRDefault="002E3FA5" w:rsidP="002E3FA5">
            <w:pPr>
              <w:snapToGrid w:val="0"/>
              <w:spacing w:before="0" w:after="0"/>
              <w:jc w:val="center"/>
              <w:rPr>
                <w:rFonts w:ascii="Calibri" w:eastAsia="Times New Roman" w:hAnsi="Calibri"/>
                <w:b/>
                <w:bCs/>
                <w:color w:val="000000"/>
                <w:sz w:val="14"/>
                <w:szCs w:val="14"/>
                <w:lang w:val="en-US" w:eastAsia="sk-SK"/>
              </w:rPr>
            </w:pPr>
          </w:p>
          <w:p w:rsidR="00BF2A7B" w:rsidRPr="002E3FA5" w:rsidRDefault="00BF2A7B" w:rsidP="002E3FA5">
            <w:pPr>
              <w:snapToGrid w:val="0"/>
              <w:spacing w:before="0" w:after="0"/>
              <w:jc w:val="center"/>
              <w:rPr>
                <w:rFonts w:ascii="Calibri" w:eastAsia="Times New Roman" w:hAnsi="Calibri"/>
                <w:b/>
                <w:bCs/>
                <w:color w:val="000000"/>
                <w:sz w:val="14"/>
                <w:szCs w:val="14"/>
                <w:lang w:val="en-US" w:eastAsia="sk-SK"/>
              </w:rPr>
            </w:pPr>
            <w:r w:rsidRPr="002E3FA5">
              <w:rPr>
                <w:rFonts w:ascii="Calibri" w:eastAsia="Times New Roman" w:hAnsi="Calibri"/>
                <w:b/>
                <w:bCs/>
                <w:color w:val="000000"/>
                <w:sz w:val="14"/>
                <w:szCs w:val="14"/>
                <w:lang w:val="en-US" w:eastAsia="sk-SK"/>
              </w:rPr>
              <w:t>2 396 562 832</w:t>
            </w:r>
          </w:p>
        </w:tc>
      </w:tr>
    </w:tbl>
    <w:p w:rsidR="00475EE1" w:rsidRPr="00475EE1" w:rsidRDefault="00475EE1" w:rsidP="004274FF">
      <w:pPr>
        <w:snapToGrid w:val="0"/>
        <w:spacing w:before="0" w:after="0"/>
        <w:rPr>
          <w:rFonts w:asciiTheme="majorHAnsi" w:hAnsiTheme="majorHAnsi"/>
          <w:sz w:val="16"/>
          <w:szCs w:val="16"/>
          <w:lang w:eastAsia="sk-SK"/>
        </w:rPr>
      </w:pPr>
      <w:r>
        <w:rPr>
          <w:rFonts w:asciiTheme="majorHAnsi" w:hAnsiTheme="majorHAnsi"/>
          <w:sz w:val="16"/>
          <w:szCs w:val="16"/>
          <w:lang w:eastAsia="sk-SK"/>
        </w:rPr>
        <w:t xml:space="preserve">*   </w:t>
      </w:r>
      <w:r w:rsidRPr="00475EE1">
        <w:rPr>
          <w:rFonts w:asciiTheme="majorHAnsi" w:hAnsiTheme="majorHAnsi"/>
          <w:sz w:val="16"/>
          <w:szCs w:val="16"/>
          <w:lang w:eastAsia="sk-SK"/>
        </w:rPr>
        <w:t>z toho ESF – zodpovedajúca aloká</w:t>
      </w:r>
      <w:r w:rsidR="00E16592">
        <w:rPr>
          <w:rFonts w:asciiTheme="majorHAnsi" w:hAnsiTheme="majorHAnsi"/>
          <w:sz w:val="16"/>
          <w:szCs w:val="16"/>
          <w:lang w:eastAsia="sk-SK"/>
        </w:rPr>
        <w:t xml:space="preserve">cia v rámci OP ĽZ na </w:t>
      </w:r>
      <w:r w:rsidR="00CB204C">
        <w:rPr>
          <w:rFonts w:asciiTheme="majorHAnsi" w:hAnsiTheme="majorHAnsi"/>
          <w:sz w:val="16"/>
          <w:szCs w:val="16"/>
          <w:lang w:eastAsia="sk-SK"/>
        </w:rPr>
        <w:t>prioritnú os 2</w:t>
      </w:r>
      <w:r w:rsidR="00E16592">
        <w:rPr>
          <w:rFonts w:asciiTheme="majorHAnsi" w:hAnsiTheme="majorHAnsi"/>
          <w:sz w:val="16"/>
          <w:szCs w:val="16"/>
          <w:lang w:eastAsia="sk-SK"/>
        </w:rPr>
        <w:t xml:space="preserve"> IZM</w:t>
      </w:r>
      <w:r w:rsidRPr="00475EE1">
        <w:rPr>
          <w:rFonts w:asciiTheme="majorHAnsi" w:hAnsiTheme="majorHAnsi"/>
          <w:sz w:val="16"/>
          <w:szCs w:val="16"/>
          <w:lang w:eastAsia="sk-SK"/>
        </w:rPr>
        <w:t xml:space="preserve">: </w:t>
      </w:r>
      <w:r w:rsidR="00E16592">
        <w:rPr>
          <w:rFonts w:asciiTheme="majorHAnsi" w:hAnsiTheme="majorHAnsi"/>
          <w:sz w:val="16"/>
          <w:szCs w:val="16"/>
          <w:lang w:eastAsia="sk-SK"/>
        </w:rPr>
        <w:t xml:space="preserve">suma </w:t>
      </w:r>
      <w:r w:rsidRPr="00475EE1">
        <w:rPr>
          <w:rFonts w:asciiTheme="majorHAnsi" w:hAnsiTheme="majorHAnsi"/>
          <w:sz w:val="16"/>
          <w:szCs w:val="16"/>
          <w:lang w:eastAsia="sk-SK"/>
        </w:rPr>
        <w:t xml:space="preserve">celkom </w:t>
      </w:r>
      <w:r w:rsidRPr="00E16592">
        <w:rPr>
          <w:rFonts w:asciiTheme="majorHAnsi" w:hAnsiTheme="majorHAnsi"/>
          <w:b/>
          <w:sz w:val="16"/>
          <w:szCs w:val="16"/>
          <w:lang w:eastAsia="sk-SK"/>
        </w:rPr>
        <w:t>122 175 259 EUR</w:t>
      </w:r>
      <w:r w:rsidR="00BF2A7B">
        <w:rPr>
          <w:rFonts w:asciiTheme="majorHAnsi" w:hAnsiTheme="majorHAnsi"/>
          <w:sz w:val="16"/>
          <w:szCs w:val="16"/>
          <w:lang w:eastAsia="sk-SK"/>
        </w:rPr>
        <w:t xml:space="preserve">  </w:t>
      </w:r>
    </w:p>
    <w:p w:rsidR="00391F91" w:rsidRDefault="00475EE1" w:rsidP="004274FF">
      <w:pPr>
        <w:spacing w:before="0" w:after="0"/>
        <w:rPr>
          <w:rFonts w:asciiTheme="majorHAnsi" w:hAnsiTheme="majorHAnsi"/>
          <w:sz w:val="16"/>
          <w:szCs w:val="16"/>
          <w:lang w:eastAsia="sk-SK"/>
        </w:rPr>
      </w:pPr>
      <w:r>
        <w:rPr>
          <w:rFonts w:asciiTheme="majorHAnsi" w:hAnsiTheme="majorHAnsi"/>
          <w:sz w:val="16"/>
          <w:szCs w:val="16"/>
          <w:lang w:eastAsia="sk-SK"/>
        </w:rPr>
        <w:t>*</w:t>
      </w:r>
      <w:r w:rsidR="00391F91">
        <w:rPr>
          <w:rFonts w:asciiTheme="majorHAnsi" w:hAnsiTheme="majorHAnsi"/>
          <w:sz w:val="16"/>
          <w:szCs w:val="16"/>
          <w:lang w:eastAsia="sk-SK"/>
        </w:rPr>
        <w:t>*</w:t>
      </w:r>
      <w:r w:rsidR="00391F91" w:rsidRPr="00A11FE0">
        <w:rPr>
          <w:rFonts w:asciiTheme="majorHAnsi" w:hAnsiTheme="majorHAnsi"/>
          <w:sz w:val="16"/>
          <w:szCs w:val="16"/>
          <w:lang w:eastAsia="sk-SK"/>
        </w:rPr>
        <w:t xml:space="preserve"> </w:t>
      </w:r>
      <w:r w:rsidR="00D401AB" w:rsidRPr="00D401AB">
        <w:rPr>
          <w:rFonts w:asciiTheme="majorHAnsi" w:hAnsiTheme="majorHAnsi"/>
          <w:sz w:val="16"/>
          <w:szCs w:val="16"/>
          <w:lang w:eastAsia="sk-SK"/>
        </w:rPr>
        <w:t>po transferoch medzi I. a II. pilierom</w:t>
      </w:r>
      <w:r w:rsidR="00D27515">
        <w:rPr>
          <w:rFonts w:asciiTheme="majorHAnsi" w:hAnsiTheme="majorHAnsi"/>
          <w:sz w:val="16"/>
          <w:szCs w:val="16"/>
          <w:lang w:eastAsia="sk-SK"/>
        </w:rPr>
        <w:t xml:space="preserve"> </w:t>
      </w:r>
    </w:p>
    <w:p w:rsidR="00CF0755" w:rsidRDefault="00391F91" w:rsidP="004274FF">
      <w:pPr>
        <w:spacing w:before="0" w:after="240"/>
      </w:pPr>
      <w:r>
        <w:rPr>
          <w:rFonts w:asciiTheme="majorHAnsi" w:hAnsiTheme="majorHAnsi"/>
          <w:sz w:val="16"/>
          <w:szCs w:val="16"/>
          <w:lang w:eastAsia="sk-SK"/>
        </w:rPr>
        <w:t>Uvedené alokácie obsahujú aj f</w:t>
      </w:r>
      <w:r w:rsidRPr="00A11FE0">
        <w:rPr>
          <w:rFonts w:asciiTheme="majorHAnsi" w:hAnsiTheme="majorHAnsi"/>
          <w:sz w:val="16"/>
          <w:szCs w:val="16"/>
          <w:lang w:eastAsia="sk-SK"/>
        </w:rPr>
        <w:t>inančné zdroje vo výške</w:t>
      </w:r>
      <w:r w:rsidR="00C068A2">
        <w:rPr>
          <w:rFonts w:asciiTheme="majorHAnsi" w:hAnsiTheme="majorHAnsi"/>
          <w:sz w:val="16"/>
          <w:szCs w:val="16"/>
          <w:lang w:eastAsia="sk-SK"/>
        </w:rPr>
        <w:t xml:space="preserve"> minimálne</w:t>
      </w:r>
      <w:r w:rsidRPr="00A11FE0">
        <w:rPr>
          <w:rFonts w:asciiTheme="majorHAnsi" w:hAnsiTheme="majorHAnsi"/>
          <w:sz w:val="16"/>
          <w:szCs w:val="16"/>
          <w:lang w:eastAsia="sk-SK"/>
        </w:rPr>
        <w:t xml:space="preserve"> 3% zo zdrojov EŠIF</w:t>
      </w:r>
      <w:r w:rsidR="00575ABC">
        <w:rPr>
          <w:rFonts w:asciiTheme="majorHAnsi" w:hAnsiTheme="majorHAnsi"/>
          <w:sz w:val="16"/>
          <w:szCs w:val="16"/>
          <w:lang w:eastAsia="sk-SK"/>
        </w:rPr>
        <w:t xml:space="preserve"> (s výnimkou ENRF a EPFRV)</w:t>
      </w:r>
      <w:r>
        <w:rPr>
          <w:rFonts w:asciiTheme="majorHAnsi" w:hAnsiTheme="majorHAnsi"/>
          <w:sz w:val="16"/>
          <w:szCs w:val="16"/>
          <w:lang w:eastAsia="sk-SK"/>
        </w:rPr>
        <w:t>, ktoré</w:t>
      </w:r>
      <w:r w:rsidRPr="00A11FE0">
        <w:rPr>
          <w:rFonts w:asciiTheme="majorHAnsi" w:hAnsiTheme="majorHAnsi"/>
          <w:sz w:val="16"/>
          <w:szCs w:val="16"/>
          <w:lang w:eastAsia="sk-SK"/>
        </w:rPr>
        <w:t xml:space="preserve"> budú alokované na implementáciu finančných nástrojov prostredníctvom </w:t>
      </w:r>
      <w:r w:rsidR="00C068A2">
        <w:rPr>
          <w:rFonts w:asciiTheme="majorHAnsi" w:hAnsiTheme="majorHAnsi"/>
          <w:sz w:val="16"/>
          <w:szCs w:val="16"/>
          <w:lang w:eastAsia="sk-SK"/>
        </w:rPr>
        <w:t>S</w:t>
      </w:r>
      <w:r w:rsidRPr="00A11FE0">
        <w:rPr>
          <w:rFonts w:asciiTheme="majorHAnsi" w:hAnsiTheme="majorHAnsi"/>
          <w:sz w:val="16"/>
          <w:szCs w:val="16"/>
          <w:lang w:eastAsia="sk-SK"/>
        </w:rPr>
        <w:t>l</w:t>
      </w:r>
      <w:r w:rsidR="00491CB8">
        <w:rPr>
          <w:rFonts w:asciiTheme="majorHAnsi" w:hAnsiTheme="majorHAnsi"/>
          <w:sz w:val="16"/>
          <w:szCs w:val="16"/>
          <w:lang w:eastAsia="sk-SK"/>
        </w:rPr>
        <w:t>ovenského investičného holdingu.</w:t>
      </w:r>
    </w:p>
    <w:p w:rsidR="00391F91" w:rsidRPr="00044FB8" w:rsidRDefault="006B5F33" w:rsidP="0064076C">
      <w:pPr>
        <w:spacing w:before="0" w:after="0"/>
        <w:jc w:val="left"/>
        <w:rPr>
          <w:rFonts w:asciiTheme="majorHAnsi" w:hAnsiTheme="majorHAnsi"/>
          <w:sz w:val="18"/>
          <w:szCs w:val="18"/>
        </w:rPr>
      </w:pPr>
      <w:r>
        <w:rPr>
          <w:rFonts w:asciiTheme="majorHAnsi" w:hAnsiTheme="majorHAnsi"/>
          <w:b/>
          <w:bCs/>
          <w:sz w:val="18"/>
          <w:szCs w:val="18"/>
        </w:rPr>
        <w:br w:type="page"/>
      </w:r>
      <w:r w:rsidR="00391F91" w:rsidRPr="004274FF">
        <w:rPr>
          <w:rFonts w:asciiTheme="majorHAnsi" w:hAnsiTheme="majorHAnsi"/>
          <w:bCs/>
          <w:sz w:val="18"/>
          <w:szCs w:val="18"/>
        </w:rPr>
        <w:lastRenderedPageBreak/>
        <w:t xml:space="preserve">Tabuľka </w:t>
      </w:r>
      <w:r w:rsidR="00E63678" w:rsidRPr="004274FF">
        <w:rPr>
          <w:rFonts w:asciiTheme="majorHAnsi" w:hAnsiTheme="majorHAnsi"/>
          <w:bCs/>
          <w:sz w:val="18"/>
          <w:szCs w:val="18"/>
        </w:rPr>
        <w:t>7</w:t>
      </w:r>
    </w:p>
    <w:tbl>
      <w:tblPr>
        <w:tblW w:w="5000" w:type="pct"/>
        <w:tblLayout w:type="fixed"/>
        <w:tblCellMar>
          <w:left w:w="70" w:type="dxa"/>
          <w:right w:w="70" w:type="dxa"/>
        </w:tblCellMar>
        <w:tblLook w:val="04A0" w:firstRow="1" w:lastRow="0" w:firstColumn="1" w:lastColumn="0" w:noHBand="0" w:noVBand="1"/>
      </w:tblPr>
      <w:tblGrid>
        <w:gridCol w:w="716"/>
        <w:gridCol w:w="630"/>
        <w:gridCol w:w="989"/>
        <w:gridCol w:w="993"/>
        <w:gridCol w:w="993"/>
        <w:gridCol w:w="993"/>
        <w:gridCol w:w="993"/>
        <w:gridCol w:w="993"/>
        <w:gridCol w:w="993"/>
        <w:gridCol w:w="917"/>
      </w:tblGrid>
      <w:tr w:rsidR="00B6179F" w:rsidRPr="00C13448" w:rsidTr="0027382A">
        <w:trPr>
          <w:trHeight w:val="900"/>
          <w:tblHeader/>
        </w:trPr>
        <w:tc>
          <w:tcPr>
            <w:tcW w:w="389" w:type="pct"/>
            <w:tcBorders>
              <w:top w:val="single" w:sz="4" w:space="0" w:color="auto"/>
              <w:left w:val="single" w:sz="4" w:space="0" w:color="auto"/>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Názov programu</w:t>
            </w:r>
          </w:p>
        </w:tc>
        <w:tc>
          <w:tcPr>
            <w:tcW w:w="342"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EŠI</w:t>
            </w:r>
            <w:r w:rsidR="00385E37">
              <w:rPr>
                <w:rFonts w:ascii="Calibri" w:hAnsi="Calibri"/>
                <w:b/>
                <w:bCs/>
                <w:color w:val="000000"/>
                <w:sz w:val="16"/>
                <w:szCs w:val="16"/>
                <w:lang w:eastAsia="sk-SK"/>
              </w:rPr>
              <w:t>F</w:t>
            </w:r>
            <w:r w:rsidRPr="00C13448">
              <w:rPr>
                <w:rFonts w:ascii="Calibri" w:hAnsi="Calibri"/>
                <w:b/>
                <w:bCs/>
                <w:color w:val="000000"/>
                <w:sz w:val="16"/>
                <w:szCs w:val="16"/>
                <w:lang w:eastAsia="sk-SK"/>
              </w:rPr>
              <w:t xml:space="preserve"> </w:t>
            </w:r>
            <w:r w:rsidRPr="00C13448">
              <w:rPr>
                <w:rFonts w:ascii="Calibri" w:hAnsi="Calibri"/>
                <w:b/>
                <w:bCs/>
                <w:color w:val="000000"/>
                <w:sz w:val="16"/>
                <w:szCs w:val="16"/>
                <w:lang w:eastAsia="sk-SK"/>
              </w:rPr>
              <w:br/>
            </w:r>
            <w:r w:rsidRPr="00C13448">
              <w:rPr>
                <w:rFonts w:ascii="Calibri" w:hAnsi="Calibri"/>
                <w:color w:val="000000"/>
                <w:sz w:val="16"/>
                <w:szCs w:val="16"/>
                <w:lang w:eastAsia="sk-SK"/>
              </w:rPr>
              <w:t>(EFRR, KF, EPFRV, ENRF alebo IZM)</w:t>
            </w:r>
          </w:p>
        </w:tc>
        <w:tc>
          <w:tcPr>
            <w:tcW w:w="537" w:type="pct"/>
            <w:tcBorders>
              <w:top w:val="single" w:sz="4" w:space="0" w:color="auto"/>
              <w:left w:val="nil"/>
              <w:bottom w:val="nil"/>
              <w:right w:val="single" w:sz="4" w:space="0" w:color="auto"/>
            </w:tcBorders>
            <w:shd w:val="clear" w:color="000000" w:fill="D9D9D9"/>
            <w:vAlign w:val="center"/>
            <w:hideMark/>
          </w:tcPr>
          <w:p w:rsidR="00391F91"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Spolu</w:t>
            </w:r>
          </w:p>
          <w:p w:rsidR="00385E37" w:rsidRPr="00C13448" w:rsidRDefault="00385E37" w:rsidP="00D275D1">
            <w:pPr>
              <w:spacing w:before="0" w:after="0"/>
              <w:jc w:val="center"/>
              <w:rPr>
                <w:rFonts w:ascii="Calibri" w:hAnsi="Calibri"/>
                <w:b/>
                <w:bCs/>
                <w:color w:val="000000"/>
                <w:sz w:val="16"/>
                <w:szCs w:val="16"/>
                <w:lang w:eastAsia="sk-SK"/>
              </w:rPr>
            </w:pPr>
            <w:r>
              <w:rPr>
                <w:rFonts w:ascii="Calibri" w:hAnsi="Calibri"/>
                <w:b/>
                <w:bCs/>
                <w:color w:val="000000"/>
                <w:sz w:val="16"/>
                <w:szCs w:val="16"/>
                <w:lang w:eastAsia="sk-SK"/>
              </w:rPr>
              <w:t>(EUR)</w:t>
            </w:r>
          </w:p>
        </w:tc>
        <w:tc>
          <w:tcPr>
            <w:tcW w:w="539"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2014</w:t>
            </w:r>
          </w:p>
        </w:tc>
        <w:tc>
          <w:tcPr>
            <w:tcW w:w="539"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2015</w:t>
            </w:r>
          </w:p>
        </w:tc>
        <w:tc>
          <w:tcPr>
            <w:tcW w:w="539"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2016</w:t>
            </w:r>
          </w:p>
        </w:tc>
        <w:tc>
          <w:tcPr>
            <w:tcW w:w="539"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2017</w:t>
            </w:r>
          </w:p>
        </w:tc>
        <w:tc>
          <w:tcPr>
            <w:tcW w:w="539"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2018</w:t>
            </w:r>
          </w:p>
        </w:tc>
        <w:tc>
          <w:tcPr>
            <w:tcW w:w="539"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2019</w:t>
            </w:r>
          </w:p>
        </w:tc>
        <w:tc>
          <w:tcPr>
            <w:tcW w:w="498" w:type="pct"/>
            <w:tcBorders>
              <w:top w:val="single" w:sz="4" w:space="0" w:color="auto"/>
              <w:left w:val="nil"/>
              <w:bottom w:val="nil"/>
              <w:right w:val="single" w:sz="4" w:space="0" w:color="auto"/>
            </w:tcBorders>
            <w:shd w:val="clear" w:color="000000" w:fill="D9D9D9"/>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2020</w:t>
            </w:r>
          </w:p>
        </w:tc>
      </w:tr>
      <w:tr w:rsidR="00B6179F" w:rsidRPr="00C13448" w:rsidTr="00BA185A">
        <w:trPr>
          <w:trHeight w:val="300"/>
        </w:trPr>
        <w:tc>
          <w:tcPr>
            <w:tcW w:w="389" w:type="pct"/>
            <w:tcBorders>
              <w:top w:val="single" w:sz="4" w:space="0" w:color="auto"/>
              <w:left w:val="single" w:sz="4" w:space="0" w:color="auto"/>
              <w:bottom w:val="single" w:sz="4" w:space="0" w:color="auto"/>
              <w:right w:val="single" w:sz="4" w:space="0" w:color="auto"/>
            </w:tcBorders>
            <w:noWrap/>
            <w:vAlign w:val="center"/>
            <w:hideMark/>
          </w:tcPr>
          <w:p w:rsidR="00391F91" w:rsidRPr="00C13448" w:rsidRDefault="00391F91" w:rsidP="00D275D1">
            <w:pPr>
              <w:spacing w:before="0" w:after="0"/>
              <w:jc w:val="center"/>
              <w:rPr>
                <w:rFonts w:ascii="Calibri" w:hAnsi="Calibri"/>
                <w:b/>
                <w:bCs/>
                <w:color w:val="000000"/>
                <w:sz w:val="16"/>
                <w:szCs w:val="16"/>
                <w:lang w:eastAsia="sk-SK"/>
              </w:rPr>
            </w:pPr>
            <w:r w:rsidRPr="00C13448">
              <w:rPr>
                <w:rFonts w:ascii="Calibri" w:hAnsi="Calibri"/>
                <w:b/>
                <w:bCs/>
                <w:color w:val="000000"/>
                <w:sz w:val="16"/>
                <w:szCs w:val="16"/>
                <w:lang w:eastAsia="sk-SK"/>
              </w:rPr>
              <w:t>EÚS</w:t>
            </w:r>
          </w:p>
        </w:tc>
        <w:tc>
          <w:tcPr>
            <w:tcW w:w="342"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center"/>
              <w:rPr>
                <w:rFonts w:ascii="Calibri" w:hAnsi="Calibri"/>
                <w:color w:val="000000"/>
                <w:sz w:val="16"/>
                <w:szCs w:val="16"/>
                <w:lang w:eastAsia="sk-SK"/>
              </w:rPr>
            </w:pPr>
            <w:r w:rsidRPr="00C13448">
              <w:rPr>
                <w:rFonts w:ascii="Calibri" w:hAnsi="Calibri"/>
                <w:color w:val="000000"/>
                <w:sz w:val="16"/>
                <w:szCs w:val="16"/>
                <w:lang w:eastAsia="sk-SK"/>
              </w:rPr>
              <w:t>EFRR</w:t>
            </w:r>
          </w:p>
        </w:tc>
        <w:tc>
          <w:tcPr>
            <w:tcW w:w="537" w:type="pct"/>
            <w:tcBorders>
              <w:top w:val="single" w:sz="4" w:space="0" w:color="auto"/>
              <w:left w:val="nil"/>
              <w:bottom w:val="single" w:sz="4" w:space="0" w:color="auto"/>
              <w:right w:val="single" w:sz="4" w:space="0" w:color="auto"/>
            </w:tcBorders>
            <w:noWrap/>
            <w:vAlign w:val="center"/>
            <w:hideMark/>
          </w:tcPr>
          <w:p w:rsidR="00391F91" w:rsidRPr="003F0750" w:rsidRDefault="00391F91" w:rsidP="00BA185A">
            <w:pPr>
              <w:tabs>
                <w:tab w:val="left" w:pos="2004"/>
              </w:tabs>
              <w:spacing w:before="0" w:after="0"/>
              <w:ind w:left="15"/>
              <w:jc w:val="right"/>
              <w:rPr>
                <w:rFonts w:ascii="Calibri" w:hAnsi="Calibri"/>
                <w:b/>
                <w:color w:val="000000"/>
                <w:sz w:val="16"/>
                <w:szCs w:val="16"/>
                <w:lang w:eastAsia="sk-SK"/>
              </w:rPr>
            </w:pPr>
            <w:r w:rsidRPr="003F0750">
              <w:rPr>
                <w:rFonts w:ascii="Calibri" w:hAnsi="Calibri"/>
                <w:b/>
                <w:color w:val="000000"/>
                <w:sz w:val="16"/>
                <w:szCs w:val="16"/>
                <w:lang w:eastAsia="sk-SK"/>
              </w:rPr>
              <w:t>223 367 272</w:t>
            </w:r>
          </w:p>
        </w:tc>
        <w:tc>
          <w:tcPr>
            <w:tcW w:w="539"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right"/>
              <w:rPr>
                <w:rFonts w:ascii="Calibri" w:hAnsi="Calibri"/>
                <w:color w:val="000000"/>
                <w:sz w:val="16"/>
                <w:szCs w:val="16"/>
                <w:lang w:eastAsia="sk-SK"/>
              </w:rPr>
            </w:pPr>
            <w:r w:rsidRPr="00C13448">
              <w:rPr>
                <w:rFonts w:ascii="Calibri" w:hAnsi="Calibri"/>
                <w:color w:val="000000"/>
                <w:sz w:val="16"/>
                <w:szCs w:val="16"/>
                <w:lang w:eastAsia="sk-SK"/>
              </w:rPr>
              <w:t>11 079 190</w:t>
            </w:r>
          </w:p>
        </w:tc>
        <w:tc>
          <w:tcPr>
            <w:tcW w:w="539"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right"/>
              <w:rPr>
                <w:rFonts w:ascii="Calibri" w:hAnsi="Calibri"/>
                <w:color w:val="000000"/>
                <w:sz w:val="16"/>
                <w:szCs w:val="16"/>
                <w:lang w:eastAsia="sk-SK"/>
              </w:rPr>
            </w:pPr>
            <w:r w:rsidRPr="00C13448">
              <w:rPr>
                <w:rFonts w:ascii="Calibri" w:hAnsi="Calibri"/>
                <w:color w:val="000000"/>
                <w:sz w:val="16"/>
                <w:szCs w:val="16"/>
                <w:lang w:eastAsia="sk-SK"/>
              </w:rPr>
              <w:t>16 177 117</w:t>
            </w:r>
          </w:p>
        </w:tc>
        <w:tc>
          <w:tcPr>
            <w:tcW w:w="539"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right"/>
              <w:rPr>
                <w:rFonts w:ascii="Calibri" w:hAnsi="Calibri"/>
                <w:color w:val="000000"/>
                <w:sz w:val="16"/>
                <w:szCs w:val="16"/>
                <w:lang w:eastAsia="sk-SK"/>
              </w:rPr>
            </w:pPr>
            <w:r w:rsidRPr="00C13448">
              <w:rPr>
                <w:rFonts w:ascii="Calibri" w:hAnsi="Calibri"/>
                <w:color w:val="000000"/>
                <w:sz w:val="16"/>
                <w:szCs w:val="16"/>
                <w:lang w:eastAsia="sk-SK"/>
              </w:rPr>
              <w:t>23 101 946</w:t>
            </w:r>
          </w:p>
        </w:tc>
        <w:tc>
          <w:tcPr>
            <w:tcW w:w="539"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right"/>
              <w:rPr>
                <w:rFonts w:ascii="Calibri" w:hAnsi="Calibri"/>
                <w:color w:val="000000"/>
                <w:sz w:val="16"/>
                <w:szCs w:val="16"/>
                <w:lang w:eastAsia="sk-SK"/>
              </w:rPr>
            </w:pPr>
            <w:r w:rsidRPr="00C13448">
              <w:rPr>
                <w:rFonts w:ascii="Calibri" w:hAnsi="Calibri"/>
                <w:color w:val="000000"/>
                <w:sz w:val="16"/>
                <w:szCs w:val="16"/>
                <w:lang w:eastAsia="sk-SK"/>
              </w:rPr>
              <w:t>41 976 097</w:t>
            </w:r>
          </w:p>
        </w:tc>
        <w:tc>
          <w:tcPr>
            <w:tcW w:w="539"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right"/>
              <w:rPr>
                <w:rFonts w:ascii="Calibri" w:hAnsi="Calibri"/>
                <w:color w:val="000000"/>
                <w:sz w:val="16"/>
                <w:szCs w:val="16"/>
                <w:lang w:eastAsia="sk-SK"/>
              </w:rPr>
            </w:pPr>
            <w:r w:rsidRPr="00C13448">
              <w:rPr>
                <w:rFonts w:ascii="Calibri" w:hAnsi="Calibri"/>
                <w:color w:val="000000"/>
                <w:sz w:val="16"/>
                <w:szCs w:val="16"/>
                <w:lang w:eastAsia="sk-SK"/>
              </w:rPr>
              <w:t>42 815 620</w:t>
            </w:r>
          </w:p>
        </w:tc>
        <w:tc>
          <w:tcPr>
            <w:tcW w:w="539"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right"/>
              <w:rPr>
                <w:rFonts w:ascii="Calibri" w:hAnsi="Calibri"/>
                <w:color w:val="000000"/>
                <w:sz w:val="16"/>
                <w:szCs w:val="16"/>
                <w:lang w:eastAsia="sk-SK"/>
              </w:rPr>
            </w:pPr>
            <w:r w:rsidRPr="00C13448">
              <w:rPr>
                <w:rFonts w:ascii="Calibri" w:hAnsi="Calibri"/>
                <w:color w:val="000000"/>
                <w:sz w:val="16"/>
                <w:szCs w:val="16"/>
                <w:lang w:eastAsia="sk-SK"/>
              </w:rPr>
              <w:t>43 671 932</w:t>
            </w:r>
          </w:p>
        </w:tc>
        <w:tc>
          <w:tcPr>
            <w:tcW w:w="498" w:type="pct"/>
            <w:tcBorders>
              <w:top w:val="single" w:sz="4" w:space="0" w:color="auto"/>
              <w:left w:val="nil"/>
              <w:bottom w:val="single" w:sz="4" w:space="0" w:color="auto"/>
              <w:right w:val="single" w:sz="4" w:space="0" w:color="auto"/>
            </w:tcBorders>
            <w:noWrap/>
            <w:vAlign w:val="center"/>
            <w:hideMark/>
          </w:tcPr>
          <w:p w:rsidR="00391F91" w:rsidRPr="00C13448" w:rsidRDefault="00391F91" w:rsidP="00D275D1">
            <w:pPr>
              <w:spacing w:before="0" w:after="0"/>
              <w:jc w:val="right"/>
              <w:rPr>
                <w:rFonts w:ascii="Calibri" w:hAnsi="Calibri"/>
                <w:color w:val="000000"/>
                <w:sz w:val="16"/>
                <w:szCs w:val="16"/>
                <w:lang w:eastAsia="sk-SK"/>
              </w:rPr>
            </w:pPr>
            <w:r w:rsidRPr="00C13448">
              <w:rPr>
                <w:rFonts w:ascii="Calibri" w:hAnsi="Calibri"/>
                <w:color w:val="000000"/>
                <w:sz w:val="16"/>
                <w:szCs w:val="16"/>
                <w:lang w:eastAsia="sk-SK"/>
              </w:rPr>
              <w:t>44 545 370</w:t>
            </w:r>
          </w:p>
        </w:tc>
      </w:tr>
    </w:tbl>
    <w:p w:rsidR="00AC4D9D" w:rsidRDefault="00AC4D9D" w:rsidP="004C158A">
      <w:pPr>
        <w:pStyle w:val="Nadpis2"/>
        <w:numPr>
          <w:ilvl w:val="1"/>
          <w:numId w:val="2"/>
        </w:numPr>
        <w:spacing w:before="240" w:after="120"/>
        <w:ind w:left="578" w:hanging="578"/>
      </w:pPr>
      <w:bookmarkStart w:id="624" w:name="_Toc378168730"/>
      <w:bookmarkStart w:id="625" w:name="_Toc377406489"/>
      <w:bookmarkStart w:id="626" w:name="_Toc378168731"/>
      <w:bookmarkStart w:id="627" w:name="_Toc490655224"/>
      <w:bookmarkEnd w:id="624"/>
      <w:bookmarkEnd w:id="625"/>
      <w:r w:rsidRPr="00A11FE0">
        <w:t xml:space="preserve">Požiadavka na </w:t>
      </w:r>
      <w:r w:rsidRPr="00E45E56">
        <w:t>transfer</w:t>
      </w:r>
      <w:r w:rsidRPr="00A11FE0">
        <w:t xml:space="preserve"> </w:t>
      </w:r>
      <w:r w:rsidR="00BD5FD5">
        <w:t>a</w:t>
      </w:r>
      <w:r w:rsidRPr="00A11FE0">
        <w:t xml:space="preserve">lokácií zo štrukturálnych fondov medzi </w:t>
      </w:r>
      <w:r w:rsidR="00BD5FD5">
        <w:t>k</w:t>
      </w:r>
      <w:r w:rsidRPr="00A11FE0">
        <w:t xml:space="preserve">ategóriami regiónov, </w:t>
      </w:r>
      <w:r w:rsidR="00BD5FD5">
        <w:t>ak</w:t>
      </w:r>
      <w:r w:rsidRPr="00A11FE0">
        <w:t xml:space="preserve"> relevantné</w:t>
      </w:r>
      <w:bookmarkEnd w:id="626"/>
      <w:bookmarkEnd w:id="627"/>
    </w:p>
    <w:p w:rsidR="00391F91" w:rsidRPr="00CB7030" w:rsidRDefault="00391F91" w:rsidP="00391F91">
      <w:pPr>
        <w:pStyle w:val="Popis"/>
        <w:spacing w:after="0"/>
        <w:rPr>
          <w:b w:val="0"/>
          <w:bCs w:val="0"/>
          <w:sz w:val="18"/>
          <w:szCs w:val="18"/>
        </w:rPr>
      </w:pPr>
      <w:r w:rsidRPr="00CB7030">
        <w:rPr>
          <w:rFonts w:asciiTheme="majorHAnsi" w:hAnsiTheme="majorHAnsi"/>
          <w:b w:val="0"/>
          <w:bCs w:val="0"/>
          <w:sz w:val="18"/>
          <w:szCs w:val="18"/>
        </w:rPr>
        <w:t xml:space="preserve">Tabuľka </w:t>
      </w:r>
      <w:r w:rsidR="00E63678">
        <w:rPr>
          <w:rFonts w:asciiTheme="majorHAnsi" w:hAnsiTheme="majorHAnsi"/>
          <w:b w:val="0"/>
          <w:bCs w:val="0"/>
          <w:sz w:val="18"/>
          <w:szCs w:val="18"/>
        </w:rPr>
        <w:t>8</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521"/>
        <w:gridCol w:w="1556"/>
        <w:gridCol w:w="1523"/>
        <w:gridCol w:w="1523"/>
        <w:gridCol w:w="1508"/>
      </w:tblGrid>
      <w:tr w:rsidR="00391F91" w:rsidRPr="00A11FE0" w:rsidTr="00D275D1">
        <w:tc>
          <w:tcPr>
            <w:tcW w:w="850" w:type="pct"/>
            <w:shd w:val="clear" w:color="auto" w:fill="BFBFBF" w:themeFill="background1" w:themeFillShade="BF"/>
            <w:vAlign w:val="center"/>
          </w:tcPr>
          <w:p w:rsidR="00391F91" w:rsidRPr="00A11FE0" w:rsidRDefault="00391F91" w:rsidP="00D275D1">
            <w:pPr>
              <w:spacing w:after="0"/>
              <w:jc w:val="center"/>
              <w:rPr>
                <w:rFonts w:asciiTheme="majorHAnsi" w:hAnsiTheme="majorHAnsi"/>
                <w:b/>
                <w:sz w:val="18"/>
                <w:szCs w:val="18"/>
              </w:rPr>
            </w:pPr>
            <w:r>
              <w:rPr>
                <w:rFonts w:asciiTheme="majorHAnsi" w:hAnsiTheme="majorHAnsi"/>
                <w:b/>
                <w:sz w:val="18"/>
                <w:szCs w:val="18"/>
              </w:rPr>
              <w:t>K</w:t>
            </w:r>
            <w:r w:rsidRPr="00A11FE0">
              <w:rPr>
                <w:rFonts w:asciiTheme="majorHAnsi" w:hAnsiTheme="majorHAnsi"/>
                <w:b/>
                <w:sz w:val="18"/>
                <w:szCs w:val="18"/>
              </w:rPr>
              <w:t>ategória regiónov</w:t>
            </w:r>
          </w:p>
        </w:tc>
        <w:tc>
          <w:tcPr>
            <w:tcW w:w="827" w:type="pct"/>
            <w:shd w:val="clear" w:color="auto" w:fill="BFBFBF" w:themeFill="background1" w:themeFillShade="BF"/>
            <w:vAlign w:val="center"/>
          </w:tcPr>
          <w:p w:rsidR="00391F91" w:rsidRPr="00A11FE0" w:rsidRDefault="00391F91" w:rsidP="003A6A0E">
            <w:pPr>
              <w:spacing w:after="0"/>
              <w:ind w:right="-158"/>
              <w:jc w:val="center"/>
              <w:rPr>
                <w:rFonts w:asciiTheme="majorHAnsi" w:hAnsiTheme="majorHAnsi"/>
                <w:b/>
                <w:sz w:val="18"/>
                <w:szCs w:val="18"/>
              </w:rPr>
            </w:pPr>
            <w:r w:rsidRPr="00A11FE0">
              <w:rPr>
                <w:rFonts w:asciiTheme="majorHAnsi" w:hAnsiTheme="majorHAnsi"/>
                <w:b/>
                <w:sz w:val="18"/>
                <w:szCs w:val="18"/>
              </w:rPr>
              <w:t xml:space="preserve">Finančná </w:t>
            </w:r>
            <w:r>
              <w:rPr>
                <w:rFonts w:asciiTheme="majorHAnsi" w:hAnsiTheme="majorHAnsi"/>
                <w:b/>
                <w:sz w:val="18"/>
                <w:szCs w:val="18"/>
              </w:rPr>
              <w:t>a</w:t>
            </w:r>
            <w:r w:rsidRPr="00A11FE0">
              <w:rPr>
                <w:rFonts w:asciiTheme="majorHAnsi" w:hAnsiTheme="majorHAnsi"/>
                <w:b/>
                <w:sz w:val="18"/>
                <w:szCs w:val="18"/>
              </w:rPr>
              <w:t xml:space="preserve">lokácia na základe rozhodnutia </w:t>
            </w:r>
            <w:r>
              <w:rPr>
                <w:rFonts w:asciiTheme="majorHAnsi" w:hAnsiTheme="majorHAnsi"/>
                <w:b/>
                <w:sz w:val="18"/>
                <w:szCs w:val="18"/>
              </w:rPr>
              <w:t>K</w:t>
            </w:r>
            <w:r w:rsidRPr="00A11FE0">
              <w:rPr>
                <w:rFonts w:asciiTheme="majorHAnsi" w:hAnsiTheme="majorHAnsi"/>
                <w:b/>
                <w:sz w:val="18"/>
                <w:szCs w:val="18"/>
              </w:rPr>
              <w:t>omisie (</w:t>
            </w:r>
            <w:r>
              <w:rPr>
                <w:rFonts w:asciiTheme="majorHAnsi" w:hAnsiTheme="majorHAnsi"/>
                <w:b/>
                <w:sz w:val="18"/>
                <w:szCs w:val="18"/>
              </w:rPr>
              <w:t>EUR</w:t>
            </w:r>
            <w:r w:rsidRPr="00A11FE0">
              <w:rPr>
                <w:rFonts w:asciiTheme="majorHAnsi" w:hAnsiTheme="majorHAnsi"/>
                <w:b/>
                <w:sz w:val="18"/>
                <w:szCs w:val="18"/>
              </w:rPr>
              <w:t>)</w:t>
            </w:r>
          </w:p>
        </w:tc>
        <w:tc>
          <w:tcPr>
            <w:tcW w:w="846" w:type="pct"/>
            <w:shd w:val="clear" w:color="auto" w:fill="BFBFBF" w:themeFill="background1" w:themeFillShade="BF"/>
            <w:vAlign w:val="center"/>
          </w:tcPr>
          <w:p w:rsidR="00391F91" w:rsidRPr="00A11FE0" w:rsidRDefault="00391F91" w:rsidP="00D275D1">
            <w:pPr>
              <w:spacing w:after="0"/>
              <w:jc w:val="center"/>
              <w:rPr>
                <w:rFonts w:asciiTheme="majorHAnsi" w:hAnsiTheme="majorHAnsi"/>
                <w:b/>
                <w:sz w:val="18"/>
                <w:szCs w:val="18"/>
              </w:rPr>
            </w:pPr>
            <w:r w:rsidRPr="00A11FE0">
              <w:rPr>
                <w:rFonts w:asciiTheme="majorHAnsi" w:hAnsiTheme="majorHAnsi"/>
                <w:b/>
                <w:sz w:val="18"/>
                <w:szCs w:val="18"/>
              </w:rPr>
              <w:t>Transfer do</w:t>
            </w:r>
          </w:p>
        </w:tc>
        <w:tc>
          <w:tcPr>
            <w:tcW w:w="828" w:type="pct"/>
            <w:shd w:val="clear" w:color="auto" w:fill="BFBFBF" w:themeFill="background1" w:themeFillShade="BF"/>
            <w:vAlign w:val="center"/>
          </w:tcPr>
          <w:p w:rsidR="00391F91" w:rsidRPr="00A11FE0" w:rsidRDefault="00391F91" w:rsidP="00D275D1">
            <w:pPr>
              <w:spacing w:after="0"/>
              <w:jc w:val="center"/>
              <w:rPr>
                <w:rFonts w:asciiTheme="majorHAnsi" w:hAnsiTheme="majorHAnsi"/>
                <w:b/>
                <w:sz w:val="18"/>
                <w:szCs w:val="18"/>
              </w:rPr>
            </w:pPr>
            <w:r w:rsidRPr="00A11FE0">
              <w:rPr>
                <w:rFonts w:asciiTheme="majorHAnsi" w:hAnsiTheme="majorHAnsi"/>
                <w:b/>
                <w:sz w:val="18"/>
                <w:szCs w:val="18"/>
              </w:rPr>
              <w:t xml:space="preserve">Prevedená </w:t>
            </w:r>
            <w:r>
              <w:rPr>
                <w:rFonts w:asciiTheme="majorHAnsi" w:hAnsiTheme="majorHAnsi"/>
                <w:b/>
                <w:sz w:val="18"/>
                <w:szCs w:val="18"/>
              </w:rPr>
              <w:t>s</w:t>
            </w:r>
            <w:r w:rsidRPr="00A11FE0">
              <w:rPr>
                <w:rFonts w:asciiTheme="majorHAnsi" w:hAnsiTheme="majorHAnsi"/>
                <w:b/>
                <w:sz w:val="18"/>
                <w:szCs w:val="18"/>
              </w:rPr>
              <w:t>uma</w:t>
            </w:r>
          </w:p>
          <w:p w:rsidR="00391F91" w:rsidRPr="00A11FE0" w:rsidRDefault="00391F91" w:rsidP="00D275D1">
            <w:pPr>
              <w:spacing w:after="0"/>
              <w:jc w:val="center"/>
              <w:rPr>
                <w:rFonts w:asciiTheme="majorHAnsi" w:hAnsiTheme="majorHAnsi"/>
                <w:b/>
                <w:sz w:val="18"/>
                <w:szCs w:val="18"/>
              </w:rPr>
            </w:pPr>
            <w:r w:rsidRPr="00A11FE0">
              <w:rPr>
                <w:rFonts w:asciiTheme="majorHAnsi" w:hAnsiTheme="majorHAnsi"/>
                <w:b/>
                <w:sz w:val="18"/>
                <w:szCs w:val="18"/>
              </w:rPr>
              <w:t>(</w:t>
            </w:r>
            <w:r>
              <w:rPr>
                <w:rFonts w:asciiTheme="majorHAnsi" w:hAnsiTheme="majorHAnsi"/>
                <w:b/>
                <w:sz w:val="18"/>
                <w:szCs w:val="18"/>
              </w:rPr>
              <w:t>EUR</w:t>
            </w:r>
            <w:r w:rsidRPr="00A11FE0">
              <w:rPr>
                <w:rFonts w:asciiTheme="majorHAnsi" w:hAnsiTheme="majorHAnsi"/>
                <w:b/>
                <w:sz w:val="18"/>
                <w:szCs w:val="18"/>
              </w:rPr>
              <w:t>)</w:t>
            </w:r>
          </w:p>
        </w:tc>
        <w:tc>
          <w:tcPr>
            <w:tcW w:w="828" w:type="pct"/>
            <w:shd w:val="clear" w:color="auto" w:fill="BFBFBF" w:themeFill="background1" w:themeFillShade="BF"/>
            <w:vAlign w:val="center"/>
          </w:tcPr>
          <w:p w:rsidR="00391F91" w:rsidRPr="00A11FE0" w:rsidRDefault="00391F91" w:rsidP="00D275D1">
            <w:pPr>
              <w:spacing w:after="0"/>
              <w:jc w:val="center"/>
              <w:rPr>
                <w:rFonts w:asciiTheme="majorHAnsi" w:hAnsiTheme="majorHAnsi"/>
                <w:b/>
                <w:sz w:val="18"/>
                <w:szCs w:val="18"/>
              </w:rPr>
            </w:pPr>
            <w:r w:rsidRPr="00A11FE0">
              <w:rPr>
                <w:rFonts w:asciiTheme="majorHAnsi" w:hAnsiTheme="majorHAnsi"/>
                <w:b/>
                <w:sz w:val="18"/>
                <w:szCs w:val="18"/>
              </w:rPr>
              <w:t xml:space="preserve">Podiel </w:t>
            </w:r>
            <w:r>
              <w:rPr>
                <w:rFonts w:asciiTheme="majorHAnsi" w:hAnsiTheme="majorHAnsi"/>
                <w:b/>
                <w:sz w:val="18"/>
                <w:szCs w:val="18"/>
              </w:rPr>
              <w:t>a</w:t>
            </w:r>
            <w:r w:rsidRPr="00A11FE0">
              <w:rPr>
                <w:rFonts w:asciiTheme="majorHAnsi" w:hAnsiTheme="majorHAnsi"/>
                <w:b/>
                <w:sz w:val="18"/>
                <w:szCs w:val="18"/>
              </w:rPr>
              <w:t xml:space="preserve">lokácie </w:t>
            </w:r>
            <w:r>
              <w:rPr>
                <w:rFonts w:asciiTheme="majorHAnsi" w:hAnsiTheme="majorHAnsi"/>
                <w:b/>
                <w:sz w:val="18"/>
                <w:szCs w:val="18"/>
              </w:rPr>
              <w:t>k</w:t>
            </w:r>
            <w:r w:rsidRPr="00A11FE0">
              <w:rPr>
                <w:rFonts w:asciiTheme="majorHAnsi" w:hAnsiTheme="majorHAnsi"/>
                <w:b/>
                <w:sz w:val="18"/>
                <w:szCs w:val="18"/>
              </w:rPr>
              <w:t xml:space="preserve">ategórie regiónov, z </w:t>
            </w:r>
            <w:r>
              <w:rPr>
                <w:rFonts w:asciiTheme="majorHAnsi" w:hAnsiTheme="majorHAnsi"/>
                <w:b/>
                <w:sz w:val="18"/>
                <w:szCs w:val="18"/>
              </w:rPr>
              <w:t>k</w:t>
            </w:r>
            <w:r w:rsidRPr="00A11FE0">
              <w:rPr>
                <w:rFonts w:asciiTheme="majorHAnsi" w:hAnsiTheme="majorHAnsi"/>
                <w:b/>
                <w:sz w:val="18"/>
                <w:szCs w:val="18"/>
              </w:rPr>
              <w:t xml:space="preserve">torých </w:t>
            </w:r>
            <w:r>
              <w:rPr>
                <w:rFonts w:asciiTheme="majorHAnsi" w:hAnsiTheme="majorHAnsi"/>
                <w:b/>
                <w:sz w:val="18"/>
                <w:szCs w:val="18"/>
              </w:rPr>
              <w:t>s</w:t>
            </w:r>
            <w:r w:rsidRPr="00A11FE0">
              <w:rPr>
                <w:rFonts w:asciiTheme="majorHAnsi" w:hAnsiTheme="majorHAnsi"/>
                <w:b/>
                <w:sz w:val="18"/>
                <w:szCs w:val="18"/>
              </w:rPr>
              <w:t>ú fondy prevedené (%)</w:t>
            </w:r>
          </w:p>
        </w:tc>
        <w:tc>
          <w:tcPr>
            <w:tcW w:w="820" w:type="pct"/>
            <w:shd w:val="clear" w:color="auto" w:fill="BFBFBF" w:themeFill="background1" w:themeFillShade="BF"/>
            <w:vAlign w:val="center"/>
          </w:tcPr>
          <w:p w:rsidR="00391F91" w:rsidRPr="00A11FE0" w:rsidRDefault="00391F91" w:rsidP="00D275D1">
            <w:pPr>
              <w:spacing w:after="0"/>
              <w:jc w:val="center"/>
              <w:rPr>
                <w:rFonts w:asciiTheme="majorHAnsi" w:hAnsiTheme="majorHAnsi"/>
                <w:b/>
                <w:sz w:val="18"/>
                <w:szCs w:val="18"/>
              </w:rPr>
            </w:pPr>
            <w:r w:rsidRPr="00A11FE0">
              <w:rPr>
                <w:rFonts w:asciiTheme="majorHAnsi" w:hAnsiTheme="majorHAnsi"/>
                <w:b/>
                <w:sz w:val="18"/>
                <w:szCs w:val="18"/>
              </w:rPr>
              <w:t xml:space="preserve">Finančná </w:t>
            </w:r>
            <w:r>
              <w:rPr>
                <w:rFonts w:asciiTheme="majorHAnsi" w:hAnsiTheme="majorHAnsi"/>
                <w:b/>
                <w:sz w:val="18"/>
                <w:szCs w:val="18"/>
              </w:rPr>
              <w:t>a</w:t>
            </w:r>
            <w:r w:rsidRPr="00A11FE0">
              <w:rPr>
                <w:rFonts w:asciiTheme="majorHAnsi" w:hAnsiTheme="majorHAnsi"/>
                <w:b/>
                <w:sz w:val="18"/>
                <w:szCs w:val="18"/>
              </w:rPr>
              <w:t>lokácia po transfere</w:t>
            </w:r>
          </w:p>
          <w:p w:rsidR="00391F91" w:rsidRPr="00A11FE0" w:rsidRDefault="00391F91" w:rsidP="00D275D1">
            <w:pPr>
              <w:spacing w:after="0"/>
              <w:jc w:val="center"/>
              <w:rPr>
                <w:rFonts w:asciiTheme="majorHAnsi" w:hAnsiTheme="majorHAnsi"/>
                <w:b/>
                <w:sz w:val="18"/>
                <w:szCs w:val="18"/>
              </w:rPr>
            </w:pPr>
            <w:r w:rsidRPr="00A11FE0">
              <w:rPr>
                <w:rFonts w:asciiTheme="majorHAnsi" w:hAnsiTheme="majorHAnsi"/>
                <w:b/>
                <w:sz w:val="18"/>
                <w:szCs w:val="18"/>
              </w:rPr>
              <w:t>(</w:t>
            </w:r>
            <w:r>
              <w:rPr>
                <w:rFonts w:asciiTheme="majorHAnsi" w:hAnsiTheme="majorHAnsi"/>
                <w:b/>
                <w:sz w:val="18"/>
                <w:szCs w:val="18"/>
              </w:rPr>
              <w:t>EUR</w:t>
            </w:r>
            <w:r w:rsidRPr="00A11FE0">
              <w:rPr>
                <w:rFonts w:asciiTheme="majorHAnsi" w:hAnsiTheme="majorHAnsi"/>
                <w:b/>
                <w:sz w:val="18"/>
                <w:szCs w:val="18"/>
              </w:rPr>
              <w:t>)</w:t>
            </w:r>
          </w:p>
        </w:tc>
      </w:tr>
      <w:tr w:rsidR="00391F91" w:rsidRPr="00A11FE0" w:rsidTr="00D275D1">
        <w:trPr>
          <w:trHeight w:val="233"/>
        </w:trPr>
        <w:tc>
          <w:tcPr>
            <w:tcW w:w="850" w:type="pct"/>
            <w:vMerge w:val="restart"/>
            <w:vAlign w:val="center"/>
          </w:tcPr>
          <w:p w:rsidR="00391F91" w:rsidRPr="00CB204C" w:rsidRDefault="00391F91" w:rsidP="00D275D1">
            <w:pPr>
              <w:spacing w:after="0"/>
              <w:rPr>
                <w:rFonts w:asciiTheme="majorHAnsi" w:hAnsiTheme="majorHAnsi"/>
                <w:sz w:val="18"/>
                <w:szCs w:val="18"/>
              </w:rPr>
            </w:pPr>
            <w:r w:rsidRPr="00CB204C">
              <w:rPr>
                <w:rFonts w:asciiTheme="majorHAnsi" w:hAnsiTheme="majorHAnsi"/>
                <w:iCs/>
                <w:sz w:val="18"/>
                <w:szCs w:val="18"/>
              </w:rPr>
              <w:t>Menej rozvinuté regióny</w:t>
            </w:r>
          </w:p>
        </w:tc>
        <w:tc>
          <w:tcPr>
            <w:tcW w:w="827" w:type="pct"/>
            <w:vMerge w:val="restart"/>
            <w:vAlign w:val="center"/>
          </w:tcPr>
          <w:p w:rsidR="00391F91" w:rsidRPr="00CB204C" w:rsidRDefault="00391F91" w:rsidP="00D275D1">
            <w:pPr>
              <w:spacing w:after="0"/>
              <w:jc w:val="right"/>
              <w:rPr>
                <w:rFonts w:asciiTheme="majorHAnsi" w:hAnsiTheme="majorHAnsi"/>
                <w:sz w:val="18"/>
                <w:szCs w:val="18"/>
              </w:rPr>
            </w:pPr>
            <w:r w:rsidRPr="00CB204C">
              <w:rPr>
                <w:rFonts w:asciiTheme="majorHAnsi" w:hAnsiTheme="majorHAnsi"/>
                <w:sz w:val="18"/>
                <w:szCs w:val="18"/>
              </w:rPr>
              <w:t>9 483 661 486</w:t>
            </w:r>
          </w:p>
        </w:tc>
        <w:tc>
          <w:tcPr>
            <w:tcW w:w="846" w:type="pct"/>
          </w:tcPr>
          <w:p w:rsidR="00391F91" w:rsidRPr="00CB204C" w:rsidRDefault="00391F91" w:rsidP="00D275D1">
            <w:pPr>
              <w:spacing w:after="0"/>
              <w:rPr>
                <w:rFonts w:asciiTheme="majorHAnsi" w:hAnsiTheme="majorHAnsi"/>
                <w:sz w:val="18"/>
                <w:szCs w:val="18"/>
              </w:rPr>
            </w:pPr>
            <w:r w:rsidRPr="00CB204C">
              <w:rPr>
                <w:rFonts w:asciiTheme="majorHAnsi" w:hAnsiTheme="majorHAnsi"/>
                <w:iCs/>
                <w:color w:val="000000"/>
                <w:sz w:val="18"/>
                <w:szCs w:val="18"/>
                <w:lang w:eastAsia="sk-SK"/>
              </w:rPr>
              <w:t>Prechodné regióny</w:t>
            </w:r>
          </w:p>
        </w:tc>
        <w:tc>
          <w:tcPr>
            <w:tcW w:w="828" w:type="pct"/>
            <w:vAlign w:val="center"/>
          </w:tcPr>
          <w:p w:rsidR="00391F91" w:rsidRPr="00CB204C" w:rsidRDefault="00391F91" w:rsidP="00D275D1">
            <w:pPr>
              <w:spacing w:after="0"/>
              <w:jc w:val="right"/>
              <w:rPr>
                <w:rFonts w:asciiTheme="majorHAnsi" w:hAnsiTheme="majorHAnsi"/>
                <w:sz w:val="18"/>
                <w:szCs w:val="18"/>
              </w:rPr>
            </w:pPr>
            <w:r w:rsidRPr="00CB204C">
              <w:rPr>
                <w:rFonts w:asciiTheme="majorHAnsi" w:hAnsiTheme="majorHAnsi"/>
                <w:sz w:val="18"/>
                <w:szCs w:val="18"/>
              </w:rPr>
              <w:t>0</w:t>
            </w:r>
          </w:p>
        </w:tc>
        <w:tc>
          <w:tcPr>
            <w:tcW w:w="828" w:type="pct"/>
            <w:vMerge w:val="restart"/>
            <w:vAlign w:val="center"/>
          </w:tcPr>
          <w:p w:rsidR="00391F91" w:rsidRPr="00CB204C" w:rsidRDefault="009D6566" w:rsidP="00D275D1">
            <w:pPr>
              <w:spacing w:after="0"/>
              <w:jc w:val="right"/>
              <w:rPr>
                <w:rFonts w:asciiTheme="majorHAnsi" w:hAnsiTheme="majorHAnsi"/>
                <w:sz w:val="18"/>
                <w:szCs w:val="18"/>
              </w:rPr>
            </w:pPr>
            <w:r w:rsidRPr="00CB204C">
              <w:rPr>
                <w:rFonts w:asciiTheme="majorHAnsi" w:hAnsiTheme="majorHAnsi"/>
                <w:sz w:val="18"/>
                <w:szCs w:val="18"/>
              </w:rPr>
              <w:t>3,00</w:t>
            </w:r>
          </w:p>
        </w:tc>
        <w:tc>
          <w:tcPr>
            <w:tcW w:w="820" w:type="pct"/>
            <w:vMerge w:val="restart"/>
            <w:vAlign w:val="center"/>
          </w:tcPr>
          <w:p w:rsidR="00391F91" w:rsidRPr="00CB204C" w:rsidRDefault="00391F91" w:rsidP="00D275D1">
            <w:pPr>
              <w:spacing w:after="0"/>
              <w:jc w:val="right"/>
              <w:rPr>
                <w:rFonts w:asciiTheme="majorHAnsi" w:hAnsiTheme="majorHAnsi"/>
                <w:sz w:val="18"/>
                <w:szCs w:val="18"/>
              </w:rPr>
            </w:pPr>
            <w:r w:rsidRPr="00CB204C">
              <w:rPr>
                <w:rFonts w:asciiTheme="majorHAnsi" w:hAnsiTheme="majorHAnsi"/>
                <w:sz w:val="18"/>
                <w:szCs w:val="18"/>
              </w:rPr>
              <w:t>9 199 151</w:t>
            </w:r>
            <w:r w:rsidR="00CB204C">
              <w:rPr>
                <w:rFonts w:asciiTheme="majorHAnsi" w:hAnsiTheme="majorHAnsi"/>
                <w:sz w:val="18"/>
                <w:szCs w:val="18"/>
              </w:rPr>
              <w:t> </w:t>
            </w:r>
            <w:r w:rsidRPr="00CB204C">
              <w:rPr>
                <w:rFonts w:asciiTheme="majorHAnsi" w:hAnsiTheme="majorHAnsi"/>
                <w:sz w:val="18"/>
                <w:szCs w:val="18"/>
              </w:rPr>
              <w:t>642</w:t>
            </w:r>
            <w:r w:rsidR="00CB204C">
              <w:rPr>
                <w:rFonts w:asciiTheme="majorHAnsi" w:hAnsiTheme="majorHAnsi"/>
                <w:sz w:val="18"/>
                <w:szCs w:val="18"/>
              </w:rPr>
              <w:t>*</w:t>
            </w:r>
            <w:r w:rsidRPr="00CB204C">
              <w:rPr>
                <w:rFonts w:asciiTheme="majorHAnsi" w:hAnsiTheme="majorHAnsi"/>
                <w:sz w:val="18"/>
                <w:szCs w:val="18"/>
              </w:rPr>
              <w:t xml:space="preserve"> </w:t>
            </w:r>
          </w:p>
        </w:tc>
      </w:tr>
      <w:tr w:rsidR="00391F91" w:rsidRPr="00A11FE0" w:rsidTr="00D275D1">
        <w:trPr>
          <w:trHeight w:val="232"/>
        </w:trPr>
        <w:tc>
          <w:tcPr>
            <w:tcW w:w="850" w:type="pct"/>
            <w:vMerge/>
            <w:vAlign w:val="center"/>
          </w:tcPr>
          <w:p w:rsidR="00391F91" w:rsidRPr="00A11FE0" w:rsidRDefault="00391F91" w:rsidP="00D275D1">
            <w:pPr>
              <w:spacing w:after="0"/>
              <w:rPr>
                <w:rFonts w:asciiTheme="majorHAnsi" w:hAnsiTheme="majorHAnsi"/>
                <w:sz w:val="18"/>
                <w:szCs w:val="18"/>
              </w:rPr>
            </w:pPr>
          </w:p>
        </w:tc>
        <w:tc>
          <w:tcPr>
            <w:tcW w:w="827" w:type="pct"/>
            <w:vMerge/>
            <w:vAlign w:val="center"/>
          </w:tcPr>
          <w:p w:rsidR="00391F91" w:rsidRPr="00A11FE0" w:rsidRDefault="00391F91" w:rsidP="00D275D1">
            <w:pPr>
              <w:spacing w:after="0"/>
              <w:jc w:val="right"/>
              <w:rPr>
                <w:rFonts w:asciiTheme="majorHAnsi" w:hAnsiTheme="majorHAnsi"/>
                <w:sz w:val="18"/>
                <w:szCs w:val="18"/>
              </w:rPr>
            </w:pPr>
          </w:p>
        </w:tc>
        <w:tc>
          <w:tcPr>
            <w:tcW w:w="846" w:type="pct"/>
          </w:tcPr>
          <w:p w:rsidR="00391F91" w:rsidRPr="00A11FE0" w:rsidRDefault="00391F91" w:rsidP="00D275D1">
            <w:pPr>
              <w:spacing w:after="0"/>
              <w:rPr>
                <w:rFonts w:asciiTheme="majorHAnsi" w:hAnsiTheme="majorHAnsi"/>
                <w:sz w:val="18"/>
                <w:szCs w:val="18"/>
              </w:rPr>
            </w:pPr>
            <w:r w:rsidRPr="00A11FE0">
              <w:rPr>
                <w:rFonts w:asciiTheme="majorHAnsi" w:hAnsiTheme="majorHAnsi"/>
                <w:iCs/>
                <w:color w:val="000000"/>
                <w:sz w:val="18"/>
                <w:szCs w:val="18"/>
                <w:lang w:eastAsia="sk-SK"/>
              </w:rPr>
              <w:t>Rozvinutejšie regióny</w:t>
            </w:r>
          </w:p>
        </w:tc>
        <w:tc>
          <w:tcPr>
            <w:tcW w:w="828" w:type="pct"/>
            <w:vAlign w:val="center"/>
          </w:tcPr>
          <w:p w:rsidR="00391F91" w:rsidRPr="00A11FE0" w:rsidRDefault="00391F91" w:rsidP="00D275D1">
            <w:pPr>
              <w:spacing w:after="0"/>
              <w:jc w:val="right"/>
              <w:rPr>
                <w:rFonts w:asciiTheme="majorHAnsi" w:hAnsiTheme="majorHAnsi"/>
                <w:sz w:val="18"/>
                <w:szCs w:val="18"/>
              </w:rPr>
            </w:pPr>
            <w:r>
              <w:rPr>
                <w:rFonts w:asciiTheme="majorHAnsi" w:hAnsiTheme="majorHAnsi"/>
                <w:sz w:val="18"/>
                <w:szCs w:val="18"/>
              </w:rPr>
              <w:t>284 509 844</w:t>
            </w:r>
          </w:p>
        </w:tc>
        <w:tc>
          <w:tcPr>
            <w:tcW w:w="828" w:type="pct"/>
            <w:vMerge/>
            <w:vAlign w:val="center"/>
          </w:tcPr>
          <w:p w:rsidR="00391F91" w:rsidRPr="00A11FE0" w:rsidRDefault="00391F91" w:rsidP="00D275D1">
            <w:pPr>
              <w:spacing w:after="0"/>
              <w:jc w:val="right"/>
              <w:rPr>
                <w:rFonts w:asciiTheme="majorHAnsi" w:hAnsiTheme="majorHAnsi"/>
                <w:sz w:val="18"/>
                <w:szCs w:val="18"/>
              </w:rPr>
            </w:pPr>
          </w:p>
        </w:tc>
        <w:tc>
          <w:tcPr>
            <w:tcW w:w="820" w:type="pct"/>
            <w:vMerge/>
            <w:vAlign w:val="center"/>
          </w:tcPr>
          <w:p w:rsidR="00391F91" w:rsidRPr="00A11FE0" w:rsidRDefault="00391F91" w:rsidP="00D275D1">
            <w:pPr>
              <w:spacing w:after="0"/>
              <w:jc w:val="right"/>
              <w:rPr>
                <w:rFonts w:asciiTheme="majorHAnsi" w:hAnsiTheme="majorHAnsi"/>
                <w:sz w:val="18"/>
                <w:szCs w:val="18"/>
              </w:rPr>
            </w:pPr>
          </w:p>
        </w:tc>
      </w:tr>
      <w:tr w:rsidR="00391F91" w:rsidRPr="00A11FE0" w:rsidTr="00D275D1">
        <w:trPr>
          <w:trHeight w:val="233"/>
        </w:trPr>
        <w:tc>
          <w:tcPr>
            <w:tcW w:w="850" w:type="pct"/>
            <w:vMerge w:val="restart"/>
            <w:vAlign w:val="center"/>
          </w:tcPr>
          <w:p w:rsidR="00391F91" w:rsidRPr="00A11FE0" w:rsidRDefault="00391F91" w:rsidP="00D275D1">
            <w:pPr>
              <w:spacing w:after="0"/>
              <w:rPr>
                <w:rFonts w:asciiTheme="majorHAnsi" w:hAnsiTheme="majorHAnsi"/>
                <w:sz w:val="18"/>
                <w:szCs w:val="18"/>
              </w:rPr>
            </w:pPr>
            <w:r w:rsidRPr="00A11FE0">
              <w:rPr>
                <w:rFonts w:asciiTheme="majorHAnsi" w:hAnsiTheme="majorHAnsi"/>
                <w:iCs/>
                <w:color w:val="000000"/>
                <w:sz w:val="18"/>
                <w:szCs w:val="18"/>
                <w:lang w:eastAsia="sk-SK"/>
              </w:rPr>
              <w:t>Prechodné regióny</w:t>
            </w:r>
          </w:p>
        </w:tc>
        <w:tc>
          <w:tcPr>
            <w:tcW w:w="827" w:type="pct"/>
            <w:vMerge w:val="restart"/>
            <w:vAlign w:val="center"/>
          </w:tcPr>
          <w:p w:rsidR="00391F91" w:rsidRPr="00A11FE0" w:rsidRDefault="00391F91" w:rsidP="00D275D1">
            <w:pPr>
              <w:spacing w:after="0"/>
              <w:jc w:val="right"/>
              <w:rPr>
                <w:rFonts w:asciiTheme="majorHAnsi" w:hAnsiTheme="majorHAnsi"/>
                <w:sz w:val="18"/>
                <w:szCs w:val="18"/>
              </w:rPr>
            </w:pPr>
            <w:r w:rsidRPr="00A11FE0">
              <w:rPr>
                <w:rFonts w:asciiTheme="majorHAnsi" w:hAnsiTheme="majorHAnsi"/>
                <w:sz w:val="18"/>
                <w:szCs w:val="18"/>
              </w:rPr>
              <w:t>0</w:t>
            </w:r>
          </w:p>
        </w:tc>
        <w:tc>
          <w:tcPr>
            <w:tcW w:w="846" w:type="pct"/>
          </w:tcPr>
          <w:p w:rsidR="00391F91" w:rsidRPr="00A11FE0" w:rsidRDefault="00391F91" w:rsidP="00D275D1">
            <w:pPr>
              <w:spacing w:after="0"/>
              <w:rPr>
                <w:rFonts w:asciiTheme="majorHAnsi" w:hAnsiTheme="majorHAnsi"/>
                <w:sz w:val="18"/>
                <w:szCs w:val="18"/>
              </w:rPr>
            </w:pPr>
            <w:r w:rsidRPr="00A11FE0">
              <w:rPr>
                <w:rFonts w:asciiTheme="majorHAnsi" w:hAnsiTheme="majorHAnsi"/>
                <w:iCs/>
                <w:sz w:val="18"/>
                <w:szCs w:val="18"/>
              </w:rPr>
              <w:t>Menej rozvinuté regióny</w:t>
            </w:r>
          </w:p>
        </w:tc>
        <w:tc>
          <w:tcPr>
            <w:tcW w:w="828" w:type="pct"/>
            <w:vAlign w:val="center"/>
          </w:tcPr>
          <w:p w:rsidR="00391F91" w:rsidRPr="00A11FE0" w:rsidRDefault="00391F91" w:rsidP="00D275D1">
            <w:pPr>
              <w:spacing w:after="0"/>
              <w:jc w:val="right"/>
              <w:rPr>
                <w:rFonts w:asciiTheme="majorHAnsi" w:hAnsiTheme="majorHAnsi"/>
                <w:sz w:val="18"/>
                <w:szCs w:val="18"/>
              </w:rPr>
            </w:pPr>
            <w:r w:rsidRPr="00A11FE0">
              <w:rPr>
                <w:rFonts w:asciiTheme="majorHAnsi" w:hAnsiTheme="majorHAnsi"/>
                <w:sz w:val="18"/>
                <w:szCs w:val="18"/>
              </w:rPr>
              <w:t>0</w:t>
            </w:r>
          </w:p>
        </w:tc>
        <w:tc>
          <w:tcPr>
            <w:tcW w:w="828" w:type="pct"/>
            <w:vMerge w:val="restart"/>
            <w:vAlign w:val="center"/>
          </w:tcPr>
          <w:p w:rsidR="00391F91" w:rsidRPr="00A11FE0" w:rsidRDefault="009D6566" w:rsidP="00D275D1">
            <w:pPr>
              <w:spacing w:after="0"/>
              <w:jc w:val="right"/>
              <w:rPr>
                <w:rFonts w:asciiTheme="majorHAnsi" w:hAnsiTheme="majorHAnsi"/>
                <w:sz w:val="18"/>
                <w:szCs w:val="18"/>
              </w:rPr>
            </w:pPr>
            <w:r>
              <w:rPr>
                <w:rFonts w:asciiTheme="majorHAnsi" w:hAnsiTheme="majorHAnsi"/>
                <w:sz w:val="18"/>
                <w:szCs w:val="18"/>
              </w:rPr>
              <w:t>0,00</w:t>
            </w:r>
          </w:p>
        </w:tc>
        <w:tc>
          <w:tcPr>
            <w:tcW w:w="820" w:type="pct"/>
            <w:vMerge w:val="restart"/>
            <w:vAlign w:val="center"/>
          </w:tcPr>
          <w:p w:rsidR="00391F91" w:rsidRPr="00A11FE0" w:rsidRDefault="00391F91" w:rsidP="00D275D1">
            <w:pPr>
              <w:spacing w:after="0"/>
              <w:jc w:val="right"/>
              <w:rPr>
                <w:rFonts w:asciiTheme="majorHAnsi" w:hAnsiTheme="majorHAnsi"/>
                <w:sz w:val="18"/>
                <w:szCs w:val="18"/>
              </w:rPr>
            </w:pPr>
            <w:r w:rsidRPr="00A11FE0">
              <w:rPr>
                <w:rFonts w:asciiTheme="majorHAnsi" w:hAnsiTheme="majorHAnsi"/>
                <w:sz w:val="18"/>
                <w:szCs w:val="18"/>
              </w:rPr>
              <w:t>0</w:t>
            </w:r>
          </w:p>
        </w:tc>
      </w:tr>
      <w:tr w:rsidR="00391F91" w:rsidRPr="00A11FE0" w:rsidTr="00D275D1">
        <w:trPr>
          <w:trHeight w:val="232"/>
        </w:trPr>
        <w:tc>
          <w:tcPr>
            <w:tcW w:w="850" w:type="pct"/>
            <w:vMerge/>
            <w:vAlign w:val="center"/>
          </w:tcPr>
          <w:p w:rsidR="00391F91" w:rsidRPr="00A11FE0" w:rsidRDefault="00391F91" w:rsidP="00D275D1">
            <w:pPr>
              <w:spacing w:after="0"/>
              <w:rPr>
                <w:rFonts w:asciiTheme="majorHAnsi" w:hAnsiTheme="majorHAnsi"/>
                <w:sz w:val="18"/>
                <w:szCs w:val="18"/>
              </w:rPr>
            </w:pPr>
          </w:p>
        </w:tc>
        <w:tc>
          <w:tcPr>
            <w:tcW w:w="827" w:type="pct"/>
            <w:vMerge/>
            <w:vAlign w:val="center"/>
          </w:tcPr>
          <w:p w:rsidR="00391F91" w:rsidRPr="00A11FE0" w:rsidRDefault="00391F91" w:rsidP="00D275D1">
            <w:pPr>
              <w:spacing w:after="0"/>
              <w:jc w:val="right"/>
              <w:rPr>
                <w:rFonts w:asciiTheme="majorHAnsi" w:hAnsiTheme="majorHAnsi"/>
                <w:sz w:val="18"/>
                <w:szCs w:val="18"/>
              </w:rPr>
            </w:pPr>
          </w:p>
        </w:tc>
        <w:tc>
          <w:tcPr>
            <w:tcW w:w="846" w:type="pct"/>
          </w:tcPr>
          <w:p w:rsidR="00391F91" w:rsidRPr="00A11FE0" w:rsidRDefault="00391F91" w:rsidP="00D275D1">
            <w:pPr>
              <w:spacing w:after="0"/>
              <w:rPr>
                <w:rFonts w:asciiTheme="majorHAnsi" w:hAnsiTheme="majorHAnsi"/>
                <w:sz w:val="18"/>
                <w:szCs w:val="18"/>
              </w:rPr>
            </w:pPr>
            <w:r w:rsidRPr="00A11FE0">
              <w:rPr>
                <w:rFonts w:asciiTheme="majorHAnsi" w:hAnsiTheme="majorHAnsi"/>
                <w:iCs/>
                <w:color w:val="000000"/>
                <w:sz w:val="18"/>
                <w:szCs w:val="18"/>
                <w:lang w:eastAsia="sk-SK"/>
              </w:rPr>
              <w:t>Rozvinutejšie regióny</w:t>
            </w:r>
          </w:p>
        </w:tc>
        <w:tc>
          <w:tcPr>
            <w:tcW w:w="828" w:type="pct"/>
            <w:vAlign w:val="center"/>
          </w:tcPr>
          <w:p w:rsidR="00391F91" w:rsidRPr="00A11FE0" w:rsidRDefault="00391F91" w:rsidP="00D275D1">
            <w:pPr>
              <w:spacing w:after="0"/>
              <w:jc w:val="right"/>
              <w:rPr>
                <w:rFonts w:asciiTheme="majorHAnsi" w:hAnsiTheme="majorHAnsi"/>
                <w:sz w:val="18"/>
                <w:szCs w:val="18"/>
              </w:rPr>
            </w:pPr>
            <w:r w:rsidRPr="00A11FE0">
              <w:rPr>
                <w:rFonts w:asciiTheme="majorHAnsi" w:hAnsiTheme="majorHAnsi"/>
                <w:sz w:val="18"/>
                <w:szCs w:val="18"/>
              </w:rPr>
              <w:t>0</w:t>
            </w:r>
          </w:p>
        </w:tc>
        <w:tc>
          <w:tcPr>
            <w:tcW w:w="828" w:type="pct"/>
            <w:vMerge/>
            <w:vAlign w:val="center"/>
          </w:tcPr>
          <w:p w:rsidR="00391F91" w:rsidRPr="00A11FE0" w:rsidRDefault="00391F91" w:rsidP="00D275D1">
            <w:pPr>
              <w:spacing w:after="0"/>
              <w:jc w:val="right"/>
              <w:rPr>
                <w:rFonts w:asciiTheme="majorHAnsi" w:hAnsiTheme="majorHAnsi"/>
                <w:sz w:val="18"/>
                <w:szCs w:val="18"/>
              </w:rPr>
            </w:pPr>
          </w:p>
        </w:tc>
        <w:tc>
          <w:tcPr>
            <w:tcW w:w="820" w:type="pct"/>
            <w:vMerge/>
            <w:vAlign w:val="center"/>
          </w:tcPr>
          <w:p w:rsidR="00391F91" w:rsidRPr="00A11FE0" w:rsidRDefault="00391F91" w:rsidP="00D275D1">
            <w:pPr>
              <w:spacing w:after="0"/>
              <w:jc w:val="right"/>
              <w:rPr>
                <w:rFonts w:asciiTheme="majorHAnsi" w:hAnsiTheme="majorHAnsi"/>
                <w:sz w:val="18"/>
                <w:szCs w:val="18"/>
              </w:rPr>
            </w:pPr>
          </w:p>
        </w:tc>
      </w:tr>
      <w:tr w:rsidR="00391F91" w:rsidRPr="00A11FE0" w:rsidTr="00D275D1">
        <w:trPr>
          <w:trHeight w:val="345"/>
        </w:trPr>
        <w:tc>
          <w:tcPr>
            <w:tcW w:w="850" w:type="pct"/>
            <w:vMerge w:val="restart"/>
            <w:vAlign w:val="center"/>
          </w:tcPr>
          <w:p w:rsidR="00391F91" w:rsidRPr="00A11FE0" w:rsidRDefault="00391F91" w:rsidP="00D275D1">
            <w:pPr>
              <w:spacing w:after="0"/>
              <w:rPr>
                <w:rFonts w:asciiTheme="majorHAnsi" w:hAnsiTheme="majorHAnsi"/>
                <w:sz w:val="18"/>
                <w:szCs w:val="18"/>
              </w:rPr>
            </w:pPr>
            <w:r w:rsidRPr="00A11FE0">
              <w:rPr>
                <w:rFonts w:asciiTheme="majorHAnsi" w:hAnsiTheme="majorHAnsi"/>
                <w:iCs/>
                <w:color w:val="000000"/>
                <w:sz w:val="18"/>
                <w:szCs w:val="18"/>
                <w:lang w:eastAsia="sk-SK"/>
              </w:rPr>
              <w:t>Rozvinutejšie regióny</w:t>
            </w:r>
          </w:p>
        </w:tc>
        <w:tc>
          <w:tcPr>
            <w:tcW w:w="827" w:type="pct"/>
            <w:vMerge w:val="restart"/>
            <w:vAlign w:val="center"/>
          </w:tcPr>
          <w:p w:rsidR="00391F91" w:rsidRPr="00A11FE0" w:rsidRDefault="00391F91" w:rsidP="00D275D1">
            <w:pPr>
              <w:spacing w:after="0"/>
              <w:jc w:val="right"/>
              <w:rPr>
                <w:rFonts w:asciiTheme="majorHAnsi" w:hAnsiTheme="majorHAnsi"/>
                <w:sz w:val="18"/>
                <w:szCs w:val="18"/>
              </w:rPr>
            </w:pPr>
            <w:r>
              <w:rPr>
                <w:rFonts w:asciiTheme="majorHAnsi" w:hAnsiTheme="majorHAnsi"/>
                <w:sz w:val="18"/>
                <w:szCs w:val="18"/>
              </w:rPr>
              <w:t>44 228 976</w:t>
            </w:r>
          </w:p>
        </w:tc>
        <w:tc>
          <w:tcPr>
            <w:tcW w:w="846" w:type="pct"/>
          </w:tcPr>
          <w:p w:rsidR="00391F91" w:rsidRPr="00A11FE0" w:rsidRDefault="00391F91" w:rsidP="00D275D1">
            <w:pPr>
              <w:spacing w:after="0"/>
              <w:rPr>
                <w:rFonts w:asciiTheme="majorHAnsi" w:hAnsiTheme="majorHAnsi"/>
                <w:sz w:val="18"/>
                <w:szCs w:val="18"/>
              </w:rPr>
            </w:pPr>
            <w:r w:rsidRPr="00A11FE0">
              <w:rPr>
                <w:rFonts w:asciiTheme="majorHAnsi" w:hAnsiTheme="majorHAnsi"/>
                <w:iCs/>
                <w:sz w:val="18"/>
                <w:szCs w:val="18"/>
              </w:rPr>
              <w:t>Menej rozvinuté regióny</w:t>
            </w:r>
          </w:p>
        </w:tc>
        <w:tc>
          <w:tcPr>
            <w:tcW w:w="828" w:type="pct"/>
            <w:vAlign w:val="center"/>
          </w:tcPr>
          <w:p w:rsidR="00391F91" w:rsidRPr="00A11FE0" w:rsidRDefault="00391F91" w:rsidP="00D275D1">
            <w:pPr>
              <w:spacing w:after="0"/>
              <w:jc w:val="right"/>
              <w:rPr>
                <w:rFonts w:asciiTheme="majorHAnsi" w:hAnsiTheme="majorHAnsi"/>
                <w:sz w:val="18"/>
                <w:szCs w:val="18"/>
              </w:rPr>
            </w:pPr>
            <w:r w:rsidRPr="00A11FE0">
              <w:rPr>
                <w:rFonts w:asciiTheme="majorHAnsi" w:hAnsiTheme="majorHAnsi"/>
                <w:sz w:val="18"/>
                <w:szCs w:val="18"/>
              </w:rPr>
              <w:t>0</w:t>
            </w:r>
          </w:p>
        </w:tc>
        <w:tc>
          <w:tcPr>
            <w:tcW w:w="828" w:type="pct"/>
            <w:vMerge w:val="restart"/>
            <w:vAlign w:val="center"/>
          </w:tcPr>
          <w:p w:rsidR="00391F91" w:rsidRPr="00A11FE0" w:rsidRDefault="009D6566" w:rsidP="00D275D1">
            <w:pPr>
              <w:spacing w:after="0"/>
              <w:jc w:val="right"/>
              <w:rPr>
                <w:rFonts w:asciiTheme="majorHAnsi" w:hAnsiTheme="majorHAnsi"/>
                <w:sz w:val="18"/>
                <w:szCs w:val="18"/>
              </w:rPr>
            </w:pPr>
            <w:r>
              <w:rPr>
                <w:rFonts w:asciiTheme="majorHAnsi" w:hAnsiTheme="majorHAnsi"/>
                <w:sz w:val="18"/>
                <w:szCs w:val="18"/>
              </w:rPr>
              <w:t>0,00</w:t>
            </w:r>
          </w:p>
        </w:tc>
        <w:tc>
          <w:tcPr>
            <w:tcW w:w="820" w:type="pct"/>
            <w:vMerge w:val="restart"/>
            <w:vAlign w:val="center"/>
          </w:tcPr>
          <w:p w:rsidR="00391F91" w:rsidRPr="00A11FE0" w:rsidRDefault="00391F91" w:rsidP="00D275D1">
            <w:pPr>
              <w:spacing w:after="0"/>
              <w:jc w:val="right"/>
              <w:rPr>
                <w:rFonts w:asciiTheme="majorHAnsi" w:hAnsiTheme="majorHAnsi"/>
                <w:sz w:val="18"/>
                <w:szCs w:val="18"/>
              </w:rPr>
            </w:pPr>
            <w:r w:rsidRPr="003977AD">
              <w:rPr>
                <w:rFonts w:asciiTheme="majorHAnsi" w:hAnsiTheme="majorHAnsi"/>
                <w:sz w:val="18"/>
                <w:szCs w:val="18"/>
              </w:rPr>
              <w:t>328 738 820</w:t>
            </w:r>
          </w:p>
        </w:tc>
      </w:tr>
      <w:tr w:rsidR="00391F91" w:rsidRPr="00A11FE0" w:rsidTr="00D275D1">
        <w:trPr>
          <w:trHeight w:val="345"/>
        </w:trPr>
        <w:tc>
          <w:tcPr>
            <w:tcW w:w="850" w:type="pct"/>
            <w:vMerge/>
          </w:tcPr>
          <w:p w:rsidR="00391F91" w:rsidRPr="00A11FE0" w:rsidRDefault="00391F91" w:rsidP="00D275D1">
            <w:pPr>
              <w:spacing w:after="0"/>
              <w:rPr>
                <w:rFonts w:asciiTheme="majorHAnsi" w:hAnsiTheme="majorHAnsi"/>
                <w:sz w:val="18"/>
                <w:szCs w:val="18"/>
              </w:rPr>
            </w:pPr>
          </w:p>
        </w:tc>
        <w:tc>
          <w:tcPr>
            <w:tcW w:w="827" w:type="pct"/>
            <w:vMerge/>
          </w:tcPr>
          <w:p w:rsidR="00391F91" w:rsidRPr="00A11FE0" w:rsidRDefault="00391F91" w:rsidP="00D275D1">
            <w:pPr>
              <w:spacing w:after="0"/>
              <w:rPr>
                <w:rFonts w:asciiTheme="majorHAnsi" w:hAnsiTheme="majorHAnsi"/>
                <w:sz w:val="18"/>
                <w:szCs w:val="18"/>
              </w:rPr>
            </w:pPr>
          </w:p>
        </w:tc>
        <w:tc>
          <w:tcPr>
            <w:tcW w:w="846" w:type="pct"/>
          </w:tcPr>
          <w:p w:rsidR="00391F91" w:rsidRPr="00A11FE0" w:rsidRDefault="00391F91" w:rsidP="00D275D1">
            <w:pPr>
              <w:spacing w:after="0"/>
              <w:rPr>
                <w:rFonts w:asciiTheme="majorHAnsi" w:hAnsiTheme="majorHAnsi"/>
                <w:sz w:val="18"/>
                <w:szCs w:val="18"/>
              </w:rPr>
            </w:pPr>
            <w:r w:rsidRPr="00A11FE0">
              <w:rPr>
                <w:rFonts w:asciiTheme="majorHAnsi" w:hAnsiTheme="majorHAnsi"/>
                <w:iCs/>
                <w:color w:val="000000"/>
                <w:sz w:val="18"/>
                <w:szCs w:val="18"/>
                <w:lang w:eastAsia="sk-SK"/>
              </w:rPr>
              <w:t>Prechodné regióny</w:t>
            </w:r>
          </w:p>
        </w:tc>
        <w:tc>
          <w:tcPr>
            <w:tcW w:w="828" w:type="pct"/>
            <w:vAlign w:val="center"/>
          </w:tcPr>
          <w:p w:rsidR="00391F91" w:rsidRPr="00A11FE0" w:rsidRDefault="00391F91" w:rsidP="00D275D1">
            <w:pPr>
              <w:spacing w:after="0"/>
              <w:jc w:val="right"/>
              <w:rPr>
                <w:rFonts w:asciiTheme="majorHAnsi" w:hAnsiTheme="majorHAnsi"/>
                <w:sz w:val="18"/>
                <w:szCs w:val="18"/>
              </w:rPr>
            </w:pPr>
            <w:r w:rsidRPr="00A11FE0">
              <w:rPr>
                <w:rFonts w:asciiTheme="majorHAnsi" w:hAnsiTheme="majorHAnsi"/>
                <w:sz w:val="18"/>
                <w:szCs w:val="18"/>
              </w:rPr>
              <w:t>0</w:t>
            </w:r>
          </w:p>
        </w:tc>
        <w:tc>
          <w:tcPr>
            <w:tcW w:w="828" w:type="pct"/>
            <w:vMerge/>
          </w:tcPr>
          <w:p w:rsidR="00391F91" w:rsidRPr="00A11FE0" w:rsidRDefault="00391F91" w:rsidP="00D275D1">
            <w:pPr>
              <w:spacing w:after="0"/>
              <w:rPr>
                <w:rFonts w:asciiTheme="majorHAnsi" w:hAnsiTheme="majorHAnsi"/>
                <w:sz w:val="18"/>
                <w:szCs w:val="18"/>
              </w:rPr>
            </w:pPr>
          </w:p>
        </w:tc>
        <w:tc>
          <w:tcPr>
            <w:tcW w:w="820" w:type="pct"/>
            <w:vMerge/>
          </w:tcPr>
          <w:p w:rsidR="00391F91" w:rsidRPr="00A11FE0" w:rsidRDefault="00391F91" w:rsidP="00D275D1">
            <w:pPr>
              <w:spacing w:after="0"/>
              <w:rPr>
                <w:rFonts w:asciiTheme="majorHAnsi" w:hAnsiTheme="majorHAnsi"/>
                <w:sz w:val="18"/>
                <w:szCs w:val="18"/>
              </w:rPr>
            </w:pPr>
          </w:p>
        </w:tc>
      </w:tr>
    </w:tbl>
    <w:p w:rsidR="001A0FE4" w:rsidRPr="00007508" w:rsidRDefault="001A0FE4" w:rsidP="00007508">
      <w:pPr>
        <w:rPr>
          <w:rFonts w:asciiTheme="majorHAnsi" w:hAnsiTheme="majorHAnsi"/>
          <w:sz w:val="16"/>
          <w:szCs w:val="16"/>
          <w:lang w:eastAsia="sk-SK"/>
        </w:rPr>
      </w:pPr>
      <w:bookmarkStart w:id="628" w:name="_Toc378168732"/>
      <w:r w:rsidRPr="00007508">
        <w:rPr>
          <w:rFonts w:asciiTheme="majorHAnsi" w:hAnsiTheme="majorHAnsi"/>
          <w:sz w:val="16"/>
          <w:szCs w:val="16"/>
          <w:lang w:eastAsia="sk-SK"/>
        </w:rPr>
        <w:t>*Finančná alokácia po transfere  9 199 151 642 EUR bola revíziou znížená na sumu 9 130 316 482 EUR</w:t>
      </w:r>
      <w:r w:rsidR="002551BD" w:rsidRPr="00007508">
        <w:rPr>
          <w:rFonts w:asciiTheme="majorHAnsi" w:hAnsiTheme="majorHAnsi"/>
          <w:sz w:val="16"/>
          <w:szCs w:val="16"/>
          <w:lang w:eastAsia="sk-SK"/>
        </w:rPr>
        <w:t xml:space="preserve">, pričom </w:t>
      </w:r>
      <w:r w:rsidR="00D27515" w:rsidRPr="00007508">
        <w:rPr>
          <w:rFonts w:asciiTheme="majorHAnsi" w:hAnsiTheme="majorHAnsi"/>
          <w:sz w:val="16"/>
          <w:szCs w:val="16"/>
          <w:lang w:eastAsia="sk-SK"/>
        </w:rPr>
        <w:t xml:space="preserve">výška prevedenej </w:t>
      </w:r>
      <w:r w:rsidR="00574F26" w:rsidRPr="00007508">
        <w:rPr>
          <w:rFonts w:asciiTheme="majorHAnsi" w:hAnsiTheme="majorHAnsi"/>
          <w:sz w:val="16"/>
          <w:szCs w:val="16"/>
          <w:lang w:eastAsia="sk-SK"/>
        </w:rPr>
        <w:t xml:space="preserve">sumy sa v zmysle čl. 93, nariadenia Európskeho parlamentu a Rady (EÚ) č. 1303/2013 opätovne </w:t>
      </w:r>
      <w:r w:rsidR="00D27515" w:rsidRPr="00007508">
        <w:rPr>
          <w:rFonts w:asciiTheme="majorHAnsi" w:hAnsiTheme="majorHAnsi"/>
          <w:sz w:val="16"/>
          <w:szCs w:val="16"/>
          <w:lang w:eastAsia="sk-SK"/>
        </w:rPr>
        <w:t>neprepočítava</w:t>
      </w:r>
      <w:r w:rsidR="00574F26" w:rsidRPr="00007508">
        <w:rPr>
          <w:rFonts w:asciiTheme="majorHAnsi" w:hAnsiTheme="majorHAnsi"/>
          <w:sz w:val="16"/>
          <w:szCs w:val="16"/>
          <w:lang w:eastAsia="sk-SK"/>
        </w:rPr>
        <w:t xml:space="preserve">. </w:t>
      </w:r>
    </w:p>
    <w:p w:rsidR="00AC4D9D" w:rsidRDefault="00AC4D9D" w:rsidP="004C158A">
      <w:pPr>
        <w:pStyle w:val="Nadpis2"/>
        <w:numPr>
          <w:ilvl w:val="1"/>
          <w:numId w:val="2"/>
        </w:numPr>
        <w:spacing w:before="240" w:after="120"/>
        <w:ind w:left="578" w:hanging="578"/>
      </w:pPr>
      <w:bookmarkStart w:id="629" w:name="_Toc490655225"/>
      <w:r w:rsidRPr="00A11FE0">
        <w:t>Transfer z</w:t>
      </w:r>
      <w:r w:rsidR="00FA6C7A">
        <w:t> </w:t>
      </w:r>
      <w:r w:rsidRPr="00A11FE0">
        <w:t xml:space="preserve">cieľa </w:t>
      </w:r>
      <w:r w:rsidR="00992762">
        <w:t>E</w:t>
      </w:r>
      <w:r w:rsidR="00DC5F52">
        <w:t>ur</w:t>
      </w:r>
      <w:r w:rsidRPr="00A11FE0">
        <w:t xml:space="preserve">ópska územná </w:t>
      </w:r>
      <w:r w:rsidR="00BD5FD5">
        <w:t>s</w:t>
      </w:r>
      <w:r w:rsidRPr="00A11FE0">
        <w:t xml:space="preserve">polupráca do cieľa Investovanie do rastu </w:t>
      </w:r>
      <w:r w:rsidR="00BD5FD5">
        <w:t>a</w:t>
      </w:r>
      <w:r w:rsidR="00FA6C7A">
        <w:t> </w:t>
      </w:r>
      <w:r w:rsidRPr="00A11FE0">
        <w:t xml:space="preserve">zamestnanosti, </w:t>
      </w:r>
      <w:r w:rsidR="00BD5FD5">
        <w:t>ak</w:t>
      </w:r>
      <w:r w:rsidRPr="00A11FE0">
        <w:t xml:space="preserve"> relevantné</w:t>
      </w:r>
      <w:bookmarkEnd w:id="628"/>
      <w:bookmarkEnd w:id="629"/>
    </w:p>
    <w:p w:rsidR="00391F91" w:rsidRPr="00CB7030" w:rsidRDefault="00391F91" w:rsidP="00391F91">
      <w:pPr>
        <w:pStyle w:val="Popis"/>
        <w:spacing w:after="0"/>
        <w:rPr>
          <w:b w:val="0"/>
          <w:bCs w:val="0"/>
          <w:sz w:val="18"/>
          <w:szCs w:val="18"/>
        </w:rPr>
      </w:pPr>
      <w:r w:rsidRPr="00CB7030">
        <w:rPr>
          <w:rFonts w:asciiTheme="majorHAnsi" w:hAnsiTheme="majorHAnsi"/>
          <w:b w:val="0"/>
          <w:bCs w:val="0"/>
          <w:sz w:val="18"/>
          <w:szCs w:val="18"/>
        </w:rPr>
        <w:t xml:space="preserve">Tabuľka </w:t>
      </w:r>
      <w:r w:rsidR="00E63678">
        <w:rPr>
          <w:rFonts w:asciiTheme="majorHAnsi" w:hAnsiTheme="majorHAnsi"/>
          <w:b w:val="0"/>
          <w:bCs w:val="0"/>
          <w:sz w:val="18"/>
          <w:szCs w:val="18"/>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5"/>
      </w:tblGrid>
      <w:tr w:rsidR="00391F91" w:rsidRPr="00A11FE0" w:rsidTr="00D275D1">
        <w:trPr>
          <w:trHeight w:val="411"/>
        </w:trPr>
        <w:tc>
          <w:tcPr>
            <w:tcW w:w="2499" w:type="pct"/>
            <w:vAlign w:val="center"/>
          </w:tcPr>
          <w:p w:rsidR="00391F91" w:rsidRPr="00A11FE0" w:rsidRDefault="00391F91" w:rsidP="00D275D1">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Transfer do</w:t>
            </w:r>
          </w:p>
        </w:tc>
        <w:tc>
          <w:tcPr>
            <w:tcW w:w="2501" w:type="pct"/>
            <w:vAlign w:val="center"/>
          </w:tcPr>
          <w:p w:rsidR="00391F91" w:rsidRPr="00A11FE0" w:rsidRDefault="00391F91" w:rsidP="00D275D1">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 xml:space="preserve">Prevedená </w:t>
            </w:r>
            <w:r>
              <w:rPr>
                <w:rFonts w:asciiTheme="majorHAnsi" w:hAnsiTheme="majorHAnsi"/>
                <w:sz w:val="18"/>
                <w:szCs w:val="18"/>
                <w:lang w:val="sk-SK"/>
              </w:rPr>
              <w:t>s</w:t>
            </w:r>
            <w:r w:rsidRPr="00A11FE0">
              <w:rPr>
                <w:rFonts w:asciiTheme="majorHAnsi" w:hAnsiTheme="majorHAnsi"/>
                <w:sz w:val="18"/>
                <w:szCs w:val="18"/>
                <w:lang w:val="sk-SK"/>
              </w:rPr>
              <w:t>uma</w:t>
            </w:r>
          </w:p>
          <w:p w:rsidR="00391F91" w:rsidRPr="00A11FE0" w:rsidRDefault="00391F91" w:rsidP="00D275D1">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w:t>
            </w:r>
            <w:r>
              <w:rPr>
                <w:rFonts w:asciiTheme="majorHAnsi" w:hAnsiTheme="majorHAnsi"/>
                <w:sz w:val="18"/>
                <w:szCs w:val="18"/>
                <w:lang w:val="sk-SK"/>
              </w:rPr>
              <w:t>EUR</w:t>
            </w:r>
            <w:r w:rsidRPr="00A11FE0">
              <w:rPr>
                <w:rFonts w:asciiTheme="majorHAnsi" w:hAnsiTheme="majorHAnsi"/>
                <w:sz w:val="18"/>
                <w:szCs w:val="18"/>
                <w:lang w:val="sk-SK"/>
              </w:rPr>
              <w:t>)</w:t>
            </w:r>
          </w:p>
        </w:tc>
      </w:tr>
      <w:tr w:rsidR="00391F91" w:rsidRPr="00A11FE0" w:rsidTr="00D275D1">
        <w:tc>
          <w:tcPr>
            <w:tcW w:w="2499" w:type="pct"/>
          </w:tcPr>
          <w:p w:rsidR="00391F91" w:rsidRPr="00A11FE0" w:rsidRDefault="00391F91" w:rsidP="00D275D1">
            <w:pPr>
              <w:pStyle w:val="Text2"/>
              <w:ind w:left="0"/>
              <w:rPr>
                <w:rFonts w:asciiTheme="majorHAnsi" w:hAnsiTheme="majorHAnsi"/>
                <w:sz w:val="18"/>
                <w:szCs w:val="18"/>
                <w:lang w:val="sk-SK"/>
              </w:rPr>
            </w:pPr>
            <w:r w:rsidRPr="00A11FE0">
              <w:rPr>
                <w:rFonts w:asciiTheme="majorHAnsi" w:hAnsiTheme="majorHAnsi"/>
                <w:iCs/>
                <w:sz w:val="18"/>
                <w:szCs w:val="18"/>
                <w:lang w:val="sk-SK"/>
              </w:rPr>
              <w:t>Menej rozvinuté regióny</w:t>
            </w:r>
          </w:p>
        </w:tc>
        <w:tc>
          <w:tcPr>
            <w:tcW w:w="2501" w:type="pct"/>
            <w:vAlign w:val="center"/>
          </w:tcPr>
          <w:p w:rsidR="00391F91" w:rsidRPr="00A11FE0" w:rsidRDefault="00391F91" w:rsidP="00D275D1">
            <w:pPr>
              <w:pStyle w:val="Text2"/>
              <w:ind w:left="0"/>
              <w:jc w:val="right"/>
              <w:rPr>
                <w:rFonts w:asciiTheme="majorHAnsi" w:hAnsiTheme="majorHAnsi"/>
                <w:sz w:val="18"/>
                <w:szCs w:val="18"/>
                <w:lang w:val="sk-SK"/>
              </w:rPr>
            </w:pPr>
            <w:r w:rsidRPr="00A11FE0">
              <w:rPr>
                <w:rFonts w:asciiTheme="majorHAnsi" w:hAnsiTheme="majorHAnsi"/>
                <w:sz w:val="18"/>
                <w:szCs w:val="18"/>
                <w:lang w:val="sk-SK"/>
              </w:rPr>
              <w:t>0</w:t>
            </w:r>
          </w:p>
        </w:tc>
      </w:tr>
      <w:tr w:rsidR="00391F91" w:rsidRPr="00A11FE0" w:rsidTr="00D275D1">
        <w:tc>
          <w:tcPr>
            <w:tcW w:w="2499" w:type="pct"/>
          </w:tcPr>
          <w:p w:rsidR="00391F91" w:rsidRPr="00A11FE0" w:rsidRDefault="00391F91" w:rsidP="00D275D1">
            <w:pPr>
              <w:pStyle w:val="Text2"/>
              <w:ind w:left="0"/>
              <w:rPr>
                <w:rFonts w:asciiTheme="majorHAnsi" w:hAnsiTheme="majorHAnsi"/>
                <w:sz w:val="18"/>
                <w:szCs w:val="18"/>
                <w:lang w:val="sk-SK"/>
              </w:rPr>
            </w:pPr>
            <w:r w:rsidRPr="00A11FE0">
              <w:rPr>
                <w:rFonts w:asciiTheme="majorHAnsi" w:hAnsiTheme="majorHAnsi"/>
                <w:iCs/>
                <w:color w:val="000000"/>
                <w:sz w:val="18"/>
                <w:szCs w:val="18"/>
                <w:lang w:val="sk-SK" w:eastAsia="sk-SK"/>
              </w:rPr>
              <w:t>Prechodné regióny</w:t>
            </w:r>
          </w:p>
        </w:tc>
        <w:tc>
          <w:tcPr>
            <w:tcW w:w="2501" w:type="pct"/>
            <w:vAlign w:val="center"/>
          </w:tcPr>
          <w:p w:rsidR="00391F91" w:rsidRPr="00A11FE0" w:rsidRDefault="00391F91" w:rsidP="00D275D1">
            <w:pPr>
              <w:pStyle w:val="Text2"/>
              <w:ind w:left="0"/>
              <w:jc w:val="right"/>
              <w:rPr>
                <w:rFonts w:asciiTheme="majorHAnsi" w:hAnsiTheme="majorHAnsi"/>
                <w:sz w:val="18"/>
                <w:szCs w:val="18"/>
                <w:lang w:val="sk-SK"/>
              </w:rPr>
            </w:pPr>
            <w:r w:rsidRPr="00A11FE0">
              <w:rPr>
                <w:rFonts w:asciiTheme="majorHAnsi" w:hAnsiTheme="majorHAnsi"/>
                <w:sz w:val="18"/>
                <w:szCs w:val="18"/>
                <w:lang w:val="sk-SK"/>
              </w:rPr>
              <w:t>0</w:t>
            </w:r>
          </w:p>
        </w:tc>
      </w:tr>
      <w:tr w:rsidR="00391F91" w:rsidRPr="00A11FE0" w:rsidTr="00D275D1">
        <w:tc>
          <w:tcPr>
            <w:tcW w:w="2499" w:type="pct"/>
          </w:tcPr>
          <w:p w:rsidR="00391F91" w:rsidRPr="00A11FE0" w:rsidRDefault="00391F91" w:rsidP="00D275D1">
            <w:pPr>
              <w:pStyle w:val="Text2"/>
              <w:ind w:left="0"/>
              <w:rPr>
                <w:rFonts w:asciiTheme="majorHAnsi" w:hAnsiTheme="majorHAnsi"/>
                <w:sz w:val="18"/>
                <w:szCs w:val="18"/>
                <w:lang w:val="sk-SK"/>
              </w:rPr>
            </w:pPr>
            <w:r w:rsidRPr="00A11FE0">
              <w:rPr>
                <w:rFonts w:asciiTheme="majorHAnsi" w:hAnsiTheme="majorHAnsi"/>
                <w:iCs/>
                <w:color w:val="000000"/>
                <w:sz w:val="18"/>
                <w:szCs w:val="18"/>
                <w:lang w:val="sk-SK" w:eastAsia="sk-SK"/>
              </w:rPr>
              <w:t>Rozvinutejšie regióny</w:t>
            </w:r>
          </w:p>
        </w:tc>
        <w:tc>
          <w:tcPr>
            <w:tcW w:w="2501" w:type="pct"/>
            <w:vAlign w:val="center"/>
          </w:tcPr>
          <w:p w:rsidR="00391F91" w:rsidRPr="00A11FE0" w:rsidRDefault="00391F91" w:rsidP="00D275D1">
            <w:pPr>
              <w:pStyle w:val="Text2"/>
              <w:ind w:left="0"/>
              <w:jc w:val="right"/>
              <w:rPr>
                <w:rFonts w:asciiTheme="majorHAnsi" w:hAnsiTheme="majorHAnsi"/>
                <w:sz w:val="18"/>
                <w:szCs w:val="18"/>
                <w:lang w:val="sk-SK"/>
              </w:rPr>
            </w:pPr>
            <w:r w:rsidRPr="00A11FE0">
              <w:rPr>
                <w:rFonts w:asciiTheme="majorHAnsi" w:hAnsiTheme="majorHAnsi"/>
                <w:sz w:val="18"/>
                <w:szCs w:val="18"/>
                <w:lang w:val="sk-SK"/>
              </w:rPr>
              <w:t>0</w:t>
            </w:r>
          </w:p>
        </w:tc>
      </w:tr>
    </w:tbl>
    <w:p w:rsidR="00AC4D9D" w:rsidRDefault="00AC4D9D" w:rsidP="004C158A">
      <w:pPr>
        <w:pStyle w:val="Nadpis2"/>
        <w:numPr>
          <w:ilvl w:val="1"/>
          <w:numId w:val="2"/>
        </w:numPr>
        <w:spacing w:before="240" w:after="120"/>
        <w:ind w:left="578" w:hanging="578"/>
      </w:pPr>
      <w:bookmarkStart w:id="630" w:name="_Toc377406492"/>
      <w:bookmarkStart w:id="631" w:name="_Toc378168733"/>
      <w:bookmarkStart w:id="632" w:name="_Toc490655226"/>
      <w:bookmarkEnd w:id="630"/>
      <w:r w:rsidRPr="00A11FE0">
        <w:t xml:space="preserve">Požiadavka na transfer technickej pomoci </w:t>
      </w:r>
      <w:r w:rsidR="00992762">
        <w:t>E</w:t>
      </w:r>
      <w:r w:rsidR="00DC5F52">
        <w:t>ur</w:t>
      </w:r>
      <w:r w:rsidRPr="00A11FE0">
        <w:t xml:space="preserve">ópskej </w:t>
      </w:r>
      <w:r w:rsidR="00BD5FD5">
        <w:t>k</w:t>
      </w:r>
      <w:r w:rsidRPr="00A11FE0">
        <w:t xml:space="preserve">omisii, </w:t>
      </w:r>
      <w:r w:rsidR="00BD5FD5">
        <w:t>ak</w:t>
      </w:r>
      <w:r w:rsidRPr="00A11FE0">
        <w:t xml:space="preserve"> relevantné</w:t>
      </w:r>
      <w:bookmarkEnd w:id="631"/>
      <w:bookmarkEnd w:id="632"/>
    </w:p>
    <w:p w:rsidR="000D2E63" w:rsidRPr="007242B5" w:rsidRDefault="000D2E63" w:rsidP="007242B5">
      <w:pPr>
        <w:pStyle w:val="Popis"/>
        <w:spacing w:after="0"/>
        <w:rPr>
          <w:b w:val="0"/>
          <w:bCs w:val="0"/>
          <w:sz w:val="18"/>
          <w:szCs w:val="18"/>
        </w:rPr>
      </w:pPr>
      <w:r w:rsidRPr="007242B5">
        <w:rPr>
          <w:rFonts w:asciiTheme="majorHAnsi" w:hAnsiTheme="majorHAnsi"/>
          <w:b w:val="0"/>
          <w:bCs w:val="0"/>
          <w:sz w:val="18"/>
          <w:szCs w:val="18"/>
        </w:rPr>
        <w:t xml:space="preserve">Tabuľka </w:t>
      </w:r>
      <w:r w:rsidR="00E63678">
        <w:rPr>
          <w:rFonts w:asciiTheme="majorHAnsi" w:hAnsiTheme="majorHAnsi"/>
          <w:b w:val="0"/>
          <w:bCs w:val="0"/>
          <w:sz w:val="18"/>
          <w:szCs w:val="18"/>
        </w:rP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151"/>
        <w:gridCol w:w="928"/>
        <w:gridCol w:w="934"/>
        <w:gridCol w:w="934"/>
        <w:gridCol w:w="932"/>
        <w:gridCol w:w="932"/>
        <w:gridCol w:w="932"/>
        <w:gridCol w:w="932"/>
        <w:gridCol w:w="865"/>
      </w:tblGrid>
      <w:tr w:rsidR="00AC4D9D" w:rsidRPr="00A11FE0" w:rsidTr="009E5524">
        <w:tc>
          <w:tcPr>
            <w:tcW w:w="401"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Fond</w:t>
            </w:r>
          </w:p>
        </w:tc>
        <w:tc>
          <w:tcPr>
            <w:tcW w:w="619" w:type="pct"/>
            <w:vAlign w:val="center"/>
          </w:tcPr>
          <w:p w:rsidR="00AC4D9D" w:rsidRPr="00A11FE0" w:rsidRDefault="00BD5FD5" w:rsidP="009B4CD7">
            <w:pPr>
              <w:pStyle w:val="Text2"/>
              <w:ind w:left="0"/>
              <w:jc w:val="center"/>
              <w:rPr>
                <w:rFonts w:asciiTheme="majorHAnsi" w:hAnsiTheme="majorHAnsi"/>
                <w:sz w:val="18"/>
                <w:szCs w:val="18"/>
                <w:lang w:val="sk-SK"/>
              </w:rPr>
            </w:pPr>
            <w:r>
              <w:rPr>
                <w:rFonts w:asciiTheme="majorHAnsi" w:hAnsiTheme="majorHAnsi"/>
                <w:sz w:val="18"/>
                <w:szCs w:val="18"/>
                <w:lang w:val="sk-SK"/>
              </w:rPr>
              <w:t>K</w:t>
            </w:r>
            <w:r w:rsidR="00AC4D9D" w:rsidRPr="00A11FE0">
              <w:rPr>
                <w:rFonts w:asciiTheme="majorHAnsi" w:hAnsiTheme="majorHAnsi"/>
                <w:sz w:val="18"/>
                <w:szCs w:val="18"/>
                <w:lang w:val="sk-SK"/>
              </w:rPr>
              <w:t>ategória regiónov</w:t>
            </w:r>
          </w:p>
        </w:tc>
        <w:tc>
          <w:tcPr>
            <w:tcW w:w="499"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Rok</w:t>
            </w:r>
          </w:p>
        </w:tc>
        <w:tc>
          <w:tcPr>
            <w:tcW w:w="503"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2014</w:t>
            </w:r>
          </w:p>
        </w:tc>
        <w:tc>
          <w:tcPr>
            <w:tcW w:w="503"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2015</w:t>
            </w:r>
          </w:p>
        </w:tc>
        <w:tc>
          <w:tcPr>
            <w:tcW w:w="502"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2016</w:t>
            </w:r>
          </w:p>
        </w:tc>
        <w:tc>
          <w:tcPr>
            <w:tcW w:w="502"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2017</w:t>
            </w:r>
          </w:p>
        </w:tc>
        <w:tc>
          <w:tcPr>
            <w:tcW w:w="502"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2018</w:t>
            </w:r>
          </w:p>
        </w:tc>
        <w:tc>
          <w:tcPr>
            <w:tcW w:w="502"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2019</w:t>
            </w:r>
          </w:p>
        </w:tc>
        <w:tc>
          <w:tcPr>
            <w:tcW w:w="466" w:type="pct"/>
            <w:vAlign w:val="center"/>
          </w:tcPr>
          <w:p w:rsidR="00AC4D9D" w:rsidRPr="00A11FE0" w:rsidRDefault="00AC4D9D" w:rsidP="009E5524">
            <w:pPr>
              <w:pStyle w:val="Text2"/>
              <w:ind w:left="0"/>
              <w:jc w:val="center"/>
              <w:rPr>
                <w:rFonts w:asciiTheme="majorHAnsi" w:hAnsiTheme="majorHAnsi"/>
                <w:sz w:val="18"/>
                <w:szCs w:val="18"/>
                <w:lang w:val="sk-SK"/>
              </w:rPr>
            </w:pPr>
            <w:r w:rsidRPr="00A11FE0">
              <w:rPr>
                <w:rFonts w:asciiTheme="majorHAnsi" w:hAnsiTheme="majorHAnsi"/>
                <w:sz w:val="18"/>
                <w:szCs w:val="18"/>
                <w:lang w:val="sk-SK"/>
              </w:rPr>
              <w:t>2020</w:t>
            </w:r>
          </w:p>
        </w:tc>
      </w:tr>
      <w:tr w:rsidR="00AC4D9D" w:rsidRPr="00A11FE0" w:rsidTr="009E5524">
        <w:tc>
          <w:tcPr>
            <w:tcW w:w="401"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619"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499"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503"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503"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502"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502"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502"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502"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c>
          <w:tcPr>
            <w:tcW w:w="466" w:type="pct"/>
          </w:tcPr>
          <w:p w:rsidR="00AC4D9D" w:rsidRPr="00A11FE0" w:rsidRDefault="00AC4D9D" w:rsidP="009E5524">
            <w:pPr>
              <w:pStyle w:val="Text2"/>
              <w:ind w:left="0"/>
              <w:rPr>
                <w:rFonts w:asciiTheme="majorHAnsi" w:hAnsiTheme="majorHAnsi"/>
                <w:sz w:val="18"/>
                <w:szCs w:val="18"/>
                <w:lang w:val="sk-SK"/>
              </w:rPr>
            </w:pPr>
            <w:r w:rsidRPr="00A11FE0">
              <w:rPr>
                <w:rFonts w:asciiTheme="majorHAnsi" w:hAnsiTheme="majorHAnsi"/>
                <w:sz w:val="18"/>
                <w:szCs w:val="18"/>
                <w:lang w:val="sk-SK"/>
              </w:rPr>
              <w:t>-</w:t>
            </w:r>
          </w:p>
        </w:tc>
      </w:tr>
      <w:tr w:rsidR="00AC4D9D" w:rsidRPr="00A11FE0" w:rsidTr="009E5524">
        <w:tc>
          <w:tcPr>
            <w:tcW w:w="401" w:type="pct"/>
          </w:tcPr>
          <w:p w:rsidR="00AC4D9D" w:rsidRPr="00A11FE0" w:rsidRDefault="00AC4D9D" w:rsidP="009E5524">
            <w:pPr>
              <w:pStyle w:val="Text2"/>
              <w:ind w:left="0"/>
              <w:rPr>
                <w:rFonts w:asciiTheme="majorHAnsi" w:hAnsiTheme="majorHAnsi"/>
                <w:sz w:val="18"/>
                <w:szCs w:val="18"/>
                <w:lang w:val="sk-SK"/>
              </w:rPr>
            </w:pPr>
          </w:p>
        </w:tc>
        <w:tc>
          <w:tcPr>
            <w:tcW w:w="619" w:type="pct"/>
          </w:tcPr>
          <w:p w:rsidR="00AC4D9D" w:rsidRPr="00A11FE0" w:rsidRDefault="00AC4D9D" w:rsidP="009E5524">
            <w:pPr>
              <w:pStyle w:val="Text2"/>
              <w:ind w:left="0"/>
              <w:rPr>
                <w:rFonts w:asciiTheme="majorHAnsi" w:hAnsiTheme="majorHAnsi"/>
                <w:sz w:val="18"/>
                <w:szCs w:val="18"/>
                <w:lang w:val="sk-SK"/>
              </w:rPr>
            </w:pPr>
          </w:p>
        </w:tc>
        <w:tc>
          <w:tcPr>
            <w:tcW w:w="499" w:type="pct"/>
          </w:tcPr>
          <w:p w:rsidR="00AC4D9D" w:rsidRPr="00A11FE0" w:rsidRDefault="00AC4D9D" w:rsidP="009E5524">
            <w:pPr>
              <w:pStyle w:val="Text2"/>
              <w:ind w:left="0"/>
              <w:rPr>
                <w:rFonts w:asciiTheme="majorHAnsi" w:hAnsiTheme="majorHAnsi"/>
                <w:sz w:val="18"/>
                <w:szCs w:val="18"/>
                <w:lang w:val="sk-SK"/>
              </w:rPr>
            </w:pPr>
          </w:p>
        </w:tc>
        <w:tc>
          <w:tcPr>
            <w:tcW w:w="503" w:type="pct"/>
          </w:tcPr>
          <w:p w:rsidR="00AC4D9D" w:rsidRPr="00A11FE0" w:rsidRDefault="00AC4D9D" w:rsidP="009E5524">
            <w:pPr>
              <w:pStyle w:val="Text2"/>
              <w:ind w:left="0"/>
              <w:rPr>
                <w:rFonts w:asciiTheme="majorHAnsi" w:hAnsiTheme="majorHAnsi"/>
                <w:sz w:val="18"/>
                <w:szCs w:val="18"/>
                <w:lang w:val="sk-SK"/>
              </w:rPr>
            </w:pPr>
          </w:p>
        </w:tc>
        <w:tc>
          <w:tcPr>
            <w:tcW w:w="503"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466" w:type="pct"/>
          </w:tcPr>
          <w:p w:rsidR="00AC4D9D" w:rsidRPr="00A11FE0" w:rsidRDefault="00AC4D9D" w:rsidP="009E5524">
            <w:pPr>
              <w:pStyle w:val="Text2"/>
              <w:ind w:left="0"/>
              <w:rPr>
                <w:rFonts w:asciiTheme="majorHAnsi" w:hAnsiTheme="majorHAnsi"/>
                <w:sz w:val="18"/>
                <w:szCs w:val="18"/>
                <w:lang w:val="sk-SK"/>
              </w:rPr>
            </w:pPr>
          </w:p>
        </w:tc>
      </w:tr>
      <w:tr w:rsidR="00AC4D9D" w:rsidRPr="00A11FE0" w:rsidTr="009E5524">
        <w:tc>
          <w:tcPr>
            <w:tcW w:w="401" w:type="pct"/>
          </w:tcPr>
          <w:p w:rsidR="00AC4D9D" w:rsidRPr="00A11FE0" w:rsidRDefault="00AC4D9D" w:rsidP="009E5524">
            <w:pPr>
              <w:pStyle w:val="Text2"/>
              <w:ind w:left="0"/>
              <w:rPr>
                <w:rFonts w:asciiTheme="majorHAnsi" w:hAnsiTheme="majorHAnsi"/>
                <w:sz w:val="18"/>
                <w:szCs w:val="18"/>
                <w:lang w:val="sk-SK"/>
              </w:rPr>
            </w:pPr>
          </w:p>
        </w:tc>
        <w:tc>
          <w:tcPr>
            <w:tcW w:w="619" w:type="pct"/>
          </w:tcPr>
          <w:p w:rsidR="00AC4D9D" w:rsidRPr="00A11FE0" w:rsidRDefault="00AC4D9D" w:rsidP="009E5524">
            <w:pPr>
              <w:pStyle w:val="Text2"/>
              <w:ind w:left="0"/>
              <w:rPr>
                <w:rFonts w:asciiTheme="majorHAnsi" w:hAnsiTheme="majorHAnsi"/>
                <w:sz w:val="18"/>
                <w:szCs w:val="18"/>
                <w:lang w:val="sk-SK"/>
              </w:rPr>
            </w:pPr>
          </w:p>
        </w:tc>
        <w:tc>
          <w:tcPr>
            <w:tcW w:w="499" w:type="pct"/>
          </w:tcPr>
          <w:p w:rsidR="00AC4D9D" w:rsidRPr="00A11FE0" w:rsidRDefault="00AC4D9D" w:rsidP="009E5524">
            <w:pPr>
              <w:pStyle w:val="Text2"/>
              <w:ind w:left="0"/>
              <w:rPr>
                <w:rFonts w:asciiTheme="majorHAnsi" w:hAnsiTheme="majorHAnsi"/>
                <w:sz w:val="18"/>
                <w:szCs w:val="18"/>
                <w:lang w:val="sk-SK"/>
              </w:rPr>
            </w:pPr>
          </w:p>
        </w:tc>
        <w:tc>
          <w:tcPr>
            <w:tcW w:w="503" w:type="pct"/>
          </w:tcPr>
          <w:p w:rsidR="00AC4D9D" w:rsidRPr="00A11FE0" w:rsidRDefault="00AC4D9D" w:rsidP="009E5524">
            <w:pPr>
              <w:pStyle w:val="Text2"/>
              <w:ind w:left="0"/>
              <w:rPr>
                <w:rFonts w:asciiTheme="majorHAnsi" w:hAnsiTheme="majorHAnsi"/>
                <w:sz w:val="18"/>
                <w:szCs w:val="18"/>
                <w:lang w:val="sk-SK"/>
              </w:rPr>
            </w:pPr>
          </w:p>
        </w:tc>
        <w:tc>
          <w:tcPr>
            <w:tcW w:w="503"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466" w:type="pct"/>
          </w:tcPr>
          <w:p w:rsidR="00AC4D9D" w:rsidRPr="00A11FE0" w:rsidRDefault="00AC4D9D" w:rsidP="009E5524">
            <w:pPr>
              <w:pStyle w:val="Text2"/>
              <w:ind w:left="0"/>
              <w:rPr>
                <w:rFonts w:asciiTheme="majorHAnsi" w:hAnsiTheme="majorHAnsi"/>
                <w:sz w:val="18"/>
                <w:szCs w:val="18"/>
                <w:lang w:val="sk-SK"/>
              </w:rPr>
            </w:pPr>
          </w:p>
        </w:tc>
      </w:tr>
      <w:tr w:rsidR="00AC4D9D" w:rsidRPr="00A11FE0" w:rsidTr="009E5524">
        <w:tc>
          <w:tcPr>
            <w:tcW w:w="401" w:type="pct"/>
          </w:tcPr>
          <w:p w:rsidR="00AC4D9D" w:rsidRPr="00A11FE0" w:rsidRDefault="00AC4D9D" w:rsidP="009E5524">
            <w:pPr>
              <w:pStyle w:val="Text2"/>
              <w:ind w:left="0"/>
              <w:rPr>
                <w:rFonts w:asciiTheme="majorHAnsi" w:hAnsiTheme="majorHAnsi"/>
                <w:sz w:val="18"/>
                <w:szCs w:val="18"/>
                <w:lang w:val="sk-SK"/>
              </w:rPr>
            </w:pPr>
          </w:p>
        </w:tc>
        <w:tc>
          <w:tcPr>
            <w:tcW w:w="619" w:type="pct"/>
          </w:tcPr>
          <w:p w:rsidR="00AC4D9D" w:rsidRPr="00A11FE0" w:rsidRDefault="00AC4D9D" w:rsidP="009E5524">
            <w:pPr>
              <w:pStyle w:val="Text2"/>
              <w:ind w:left="0"/>
              <w:rPr>
                <w:rFonts w:asciiTheme="majorHAnsi" w:hAnsiTheme="majorHAnsi"/>
                <w:sz w:val="18"/>
                <w:szCs w:val="18"/>
                <w:lang w:val="sk-SK"/>
              </w:rPr>
            </w:pPr>
          </w:p>
        </w:tc>
        <w:tc>
          <w:tcPr>
            <w:tcW w:w="499" w:type="pct"/>
          </w:tcPr>
          <w:p w:rsidR="00AC4D9D" w:rsidRPr="00A11FE0" w:rsidRDefault="00AC4D9D" w:rsidP="009E5524">
            <w:pPr>
              <w:pStyle w:val="Text2"/>
              <w:ind w:left="0"/>
              <w:rPr>
                <w:rFonts w:asciiTheme="majorHAnsi" w:hAnsiTheme="majorHAnsi"/>
                <w:sz w:val="18"/>
                <w:szCs w:val="18"/>
                <w:lang w:val="sk-SK"/>
              </w:rPr>
            </w:pPr>
          </w:p>
        </w:tc>
        <w:tc>
          <w:tcPr>
            <w:tcW w:w="503" w:type="pct"/>
          </w:tcPr>
          <w:p w:rsidR="00AC4D9D" w:rsidRPr="00A11FE0" w:rsidRDefault="00AC4D9D" w:rsidP="009E5524">
            <w:pPr>
              <w:pStyle w:val="Text2"/>
              <w:ind w:left="0"/>
              <w:rPr>
                <w:rFonts w:asciiTheme="majorHAnsi" w:hAnsiTheme="majorHAnsi"/>
                <w:sz w:val="18"/>
                <w:szCs w:val="18"/>
                <w:lang w:val="sk-SK"/>
              </w:rPr>
            </w:pPr>
          </w:p>
        </w:tc>
        <w:tc>
          <w:tcPr>
            <w:tcW w:w="503"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502" w:type="pct"/>
          </w:tcPr>
          <w:p w:rsidR="00AC4D9D" w:rsidRPr="00A11FE0" w:rsidRDefault="00AC4D9D" w:rsidP="009E5524">
            <w:pPr>
              <w:pStyle w:val="Text2"/>
              <w:ind w:left="0"/>
              <w:rPr>
                <w:rFonts w:asciiTheme="majorHAnsi" w:hAnsiTheme="majorHAnsi"/>
                <w:sz w:val="18"/>
                <w:szCs w:val="18"/>
                <w:lang w:val="sk-SK"/>
              </w:rPr>
            </w:pPr>
          </w:p>
        </w:tc>
        <w:tc>
          <w:tcPr>
            <w:tcW w:w="466" w:type="pct"/>
          </w:tcPr>
          <w:p w:rsidR="00AC4D9D" w:rsidRPr="00A11FE0" w:rsidRDefault="00AC4D9D" w:rsidP="009E5524">
            <w:pPr>
              <w:pStyle w:val="Text2"/>
              <w:ind w:left="0"/>
              <w:rPr>
                <w:rFonts w:asciiTheme="majorHAnsi" w:hAnsiTheme="majorHAnsi"/>
                <w:sz w:val="18"/>
                <w:szCs w:val="18"/>
                <w:lang w:val="sk-SK"/>
              </w:rPr>
            </w:pPr>
          </w:p>
        </w:tc>
      </w:tr>
    </w:tbl>
    <w:p w:rsidR="009D6566" w:rsidRDefault="00F56146">
      <w:pPr>
        <w:spacing w:before="0" w:after="0"/>
        <w:jc w:val="left"/>
        <w:sectPr w:rsidR="009D6566" w:rsidSect="00D17DFC">
          <w:footerReference w:type="default" r:id="rId41"/>
          <w:headerReference w:type="first" r:id="rId42"/>
          <w:pgSz w:w="11906" w:h="16838" w:code="9"/>
          <w:pgMar w:top="1418" w:right="1418" w:bottom="1418" w:left="1418" w:header="709" w:footer="709" w:gutter="0"/>
          <w:cols w:space="708"/>
          <w:titlePg/>
          <w:docGrid w:linePitch="360"/>
        </w:sectPr>
      </w:pPr>
      <w:bookmarkStart w:id="633" w:name="_Toc378168734"/>
      <w:r>
        <w:br w:type="page"/>
      </w:r>
    </w:p>
    <w:p w:rsidR="00AC4D9D" w:rsidRDefault="00AC4D9D" w:rsidP="004C158A">
      <w:pPr>
        <w:pStyle w:val="Nadpis2"/>
        <w:numPr>
          <w:ilvl w:val="1"/>
          <w:numId w:val="2"/>
        </w:numPr>
      </w:pPr>
      <w:bookmarkStart w:id="634" w:name="_Toc490655227"/>
      <w:r w:rsidRPr="00A11FE0">
        <w:lastRenderedPageBreak/>
        <w:t>Informácie o</w:t>
      </w:r>
      <w:r w:rsidR="003A3DB3">
        <w:t> finančných prostriedkoch</w:t>
      </w:r>
      <w:r w:rsidR="003A3DB3" w:rsidRPr="00A11FE0">
        <w:t xml:space="preserve"> </w:t>
      </w:r>
      <w:r w:rsidR="003A3DB3">
        <w:t>pridelených</w:t>
      </w:r>
      <w:r w:rsidR="003A3DB3" w:rsidRPr="00A11FE0">
        <w:t xml:space="preserve"> </w:t>
      </w:r>
      <w:r w:rsidR="003A3DB3">
        <w:t>na</w:t>
      </w:r>
      <w:r w:rsidR="00FA6C7A">
        <w:t> </w:t>
      </w:r>
      <w:r w:rsidRPr="00A11FE0">
        <w:t>výkonnostn</w:t>
      </w:r>
      <w:r w:rsidR="003A3DB3">
        <w:t>ú</w:t>
      </w:r>
      <w:r w:rsidRPr="00A11FE0">
        <w:t xml:space="preserve"> rezervu</w:t>
      </w:r>
      <w:r w:rsidR="003A3DB3">
        <w:t xml:space="preserve"> a</w:t>
      </w:r>
      <w:r w:rsidR="00A47C26">
        <w:t> </w:t>
      </w:r>
      <w:r w:rsidR="003A3DB3">
        <w:t xml:space="preserve">rozčlenených </w:t>
      </w:r>
      <w:r w:rsidRPr="00A11FE0">
        <w:t xml:space="preserve">podľa EŠIF </w:t>
      </w:r>
      <w:r w:rsidR="00BD5FD5">
        <w:t>a</w:t>
      </w:r>
      <w:r w:rsidR="003A3DB3">
        <w:t xml:space="preserve"> prípadne </w:t>
      </w:r>
      <w:r w:rsidRPr="00A11FE0">
        <w:t xml:space="preserve">podľa </w:t>
      </w:r>
      <w:r w:rsidR="00BD5FD5">
        <w:t>k</w:t>
      </w:r>
      <w:r w:rsidRPr="00A11FE0">
        <w:t xml:space="preserve">ategórie </w:t>
      </w:r>
      <w:r w:rsidR="003A3DB3" w:rsidRPr="00A11FE0">
        <w:t>región</w:t>
      </w:r>
      <w:r w:rsidR="003A3DB3">
        <w:t>u</w:t>
      </w:r>
      <w:r w:rsidRPr="00A11FE0">
        <w:t xml:space="preserve">, </w:t>
      </w:r>
      <w:r w:rsidR="00BD5FD5">
        <w:t>a</w:t>
      </w:r>
      <w:r w:rsidR="00FA6C7A">
        <w:t> </w:t>
      </w:r>
      <w:r w:rsidRPr="00A11FE0">
        <w:t>o</w:t>
      </w:r>
      <w:r w:rsidR="00FA6C7A">
        <w:t> </w:t>
      </w:r>
      <w:r w:rsidR="00BD5FD5">
        <w:t>s</w:t>
      </w:r>
      <w:r w:rsidRPr="00A11FE0">
        <w:t>um</w:t>
      </w:r>
      <w:r w:rsidR="003D729C">
        <w:t>ách</w:t>
      </w:r>
      <w:r w:rsidRPr="00A11FE0">
        <w:t xml:space="preserve"> vy</w:t>
      </w:r>
      <w:r w:rsidR="003D729C">
        <w:t>lúčených z výpočtu</w:t>
      </w:r>
      <w:r w:rsidRPr="00A11FE0">
        <w:t xml:space="preserve"> výkonnostnej rezervy</w:t>
      </w:r>
      <w:bookmarkEnd w:id="633"/>
      <w:bookmarkEnd w:id="634"/>
    </w:p>
    <w:p w:rsidR="00391F91" w:rsidRDefault="00391F91" w:rsidP="003F0750">
      <w:pPr>
        <w:pStyle w:val="Popis"/>
        <w:spacing w:before="240" w:after="0"/>
        <w:rPr>
          <w:rFonts w:asciiTheme="majorHAnsi" w:hAnsiTheme="majorHAnsi"/>
          <w:b w:val="0"/>
          <w:bCs w:val="0"/>
          <w:sz w:val="18"/>
          <w:szCs w:val="18"/>
        </w:rPr>
      </w:pPr>
      <w:r w:rsidRPr="00CB7030">
        <w:rPr>
          <w:rFonts w:asciiTheme="majorHAnsi" w:hAnsiTheme="majorHAnsi"/>
          <w:b w:val="0"/>
          <w:bCs w:val="0"/>
          <w:sz w:val="18"/>
          <w:szCs w:val="18"/>
        </w:rPr>
        <w:t xml:space="preserve">Tabuľka </w:t>
      </w:r>
      <w:r w:rsidR="00E63678" w:rsidRPr="00CB7030">
        <w:rPr>
          <w:rFonts w:asciiTheme="majorHAnsi" w:hAnsiTheme="majorHAnsi"/>
          <w:b w:val="0"/>
          <w:bCs w:val="0"/>
          <w:sz w:val="18"/>
          <w:szCs w:val="18"/>
        </w:rPr>
        <w:fldChar w:fldCharType="begin"/>
      </w:r>
      <w:r w:rsidR="00E63678" w:rsidRPr="00CB7030">
        <w:rPr>
          <w:rFonts w:asciiTheme="majorHAnsi" w:hAnsiTheme="majorHAnsi"/>
          <w:b w:val="0"/>
          <w:bCs w:val="0"/>
          <w:sz w:val="18"/>
          <w:szCs w:val="18"/>
        </w:rPr>
        <w:instrText xml:space="preserve"> SEQ Tabuľka \* ARABIC </w:instrText>
      </w:r>
      <w:r w:rsidR="00E63678" w:rsidRPr="00CB7030">
        <w:rPr>
          <w:rFonts w:asciiTheme="majorHAnsi" w:hAnsiTheme="majorHAnsi"/>
          <w:b w:val="0"/>
          <w:bCs w:val="0"/>
          <w:sz w:val="18"/>
          <w:szCs w:val="18"/>
        </w:rPr>
        <w:fldChar w:fldCharType="separate"/>
      </w:r>
      <w:r w:rsidR="00FA18BA">
        <w:rPr>
          <w:rFonts w:asciiTheme="majorHAnsi" w:hAnsiTheme="majorHAnsi"/>
          <w:b w:val="0"/>
          <w:bCs w:val="0"/>
          <w:noProof/>
          <w:sz w:val="18"/>
          <w:szCs w:val="18"/>
        </w:rPr>
        <w:t>1</w:t>
      </w:r>
      <w:r w:rsidR="00E63678" w:rsidRPr="00CB7030">
        <w:rPr>
          <w:rFonts w:asciiTheme="majorHAnsi" w:hAnsiTheme="majorHAnsi"/>
          <w:b w:val="0"/>
          <w:bCs w:val="0"/>
          <w:sz w:val="18"/>
          <w:szCs w:val="18"/>
        </w:rPr>
        <w:fldChar w:fldCharType="end"/>
      </w:r>
      <w:r w:rsidR="00FF2DF8">
        <w:rPr>
          <w:rFonts w:asciiTheme="majorHAnsi" w:hAnsiTheme="majorHAnsi"/>
          <w:b w:val="0"/>
          <w:bCs w:val="0"/>
          <w:sz w:val="18"/>
          <w:szCs w:val="18"/>
        </w:rPr>
        <w:t>1</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128"/>
        <w:gridCol w:w="1755"/>
        <w:gridCol w:w="1957"/>
        <w:gridCol w:w="1684"/>
        <w:gridCol w:w="1360"/>
        <w:gridCol w:w="1962"/>
        <w:gridCol w:w="2167"/>
        <w:gridCol w:w="1886"/>
      </w:tblGrid>
      <w:tr w:rsidR="002E2C1E" w:rsidRPr="00A11FE0" w:rsidTr="00202884">
        <w:trPr>
          <w:tblHeader/>
        </w:trPr>
        <w:tc>
          <w:tcPr>
            <w:tcW w:w="510" w:type="pct"/>
            <w:gridSpan w:val="2"/>
            <w:tcBorders>
              <w:top w:val="single" w:sz="4" w:space="0" w:color="auto"/>
              <w:left w:val="single" w:sz="4" w:space="0" w:color="auto"/>
              <w:bottom w:val="single" w:sz="4" w:space="0" w:color="auto"/>
              <w:right w:val="single" w:sz="4" w:space="0" w:color="auto"/>
            </w:tcBorders>
            <w:shd w:val="clear" w:color="auto" w:fill="auto"/>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c>
          <w:tcPr>
            <w:tcW w:w="617" w:type="pct"/>
            <w:tcBorders>
              <w:top w:val="single" w:sz="4" w:space="0" w:color="auto"/>
              <w:left w:val="single" w:sz="4" w:space="0" w:color="auto"/>
              <w:bottom w:val="single" w:sz="4" w:space="0" w:color="auto"/>
              <w:right w:val="single" w:sz="4" w:space="0" w:color="auto"/>
            </w:tcBorders>
            <w:shd w:val="clear" w:color="auto" w:fill="auto"/>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c>
          <w:tcPr>
            <w:tcW w:w="592" w:type="pct"/>
            <w:tcBorders>
              <w:top w:val="single" w:sz="4" w:space="0" w:color="auto"/>
              <w:left w:val="single" w:sz="4" w:space="0" w:color="auto"/>
              <w:bottom w:val="single" w:sz="4" w:space="0" w:color="auto"/>
              <w:right w:val="single" w:sz="4" w:space="0" w:color="auto"/>
            </w:tcBorders>
            <w:shd w:val="clear" w:color="auto" w:fill="auto"/>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c>
          <w:tcPr>
            <w:tcW w:w="478" w:type="pct"/>
            <w:tcBorders>
              <w:top w:val="single" w:sz="4" w:space="0" w:color="auto"/>
              <w:left w:val="single" w:sz="4" w:space="0" w:color="auto"/>
              <w:bottom w:val="single" w:sz="4" w:space="0" w:color="auto"/>
              <w:right w:val="single" w:sz="4" w:space="0" w:color="auto"/>
            </w:tcBorders>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c>
          <w:tcPr>
            <w:tcW w:w="690" w:type="pct"/>
            <w:tcBorders>
              <w:top w:val="single" w:sz="4" w:space="0" w:color="auto"/>
              <w:left w:val="single" w:sz="4" w:space="0" w:color="auto"/>
              <w:bottom w:val="single" w:sz="4" w:space="0" w:color="auto"/>
              <w:right w:val="single" w:sz="4" w:space="0" w:color="auto"/>
            </w:tcBorders>
            <w:shd w:val="clear" w:color="auto" w:fill="auto"/>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c>
          <w:tcPr>
            <w:tcW w:w="663" w:type="pct"/>
            <w:tcBorders>
              <w:top w:val="single" w:sz="4" w:space="0" w:color="auto"/>
              <w:left w:val="single" w:sz="4" w:space="0" w:color="auto"/>
              <w:bottom w:val="single" w:sz="4" w:space="0" w:color="auto"/>
              <w:right w:val="single" w:sz="4" w:space="0" w:color="auto"/>
            </w:tcBorders>
          </w:tcPr>
          <w:p w:rsidR="002E2C1E" w:rsidRPr="00A11FE0" w:rsidRDefault="002E2C1E" w:rsidP="001C5C9E">
            <w:pPr>
              <w:pStyle w:val="Text2"/>
              <w:numPr>
                <w:ilvl w:val="0"/>
                <w:numId w:val="44"/>
              </w:numPr>
              <w:jc w:val="center"/>
              <w:rPr>
                <w:rFonts w:asciiTheme="majorHAnsi" w:hAnsiTheme="majorHAnsi"/>
                <w:sz w:val="18"/>
                <w:szCs w:val="18"/>
                <w:lang w:val="sk-SK" w:eastAsia="en-US"/>
              </w:rPr>
            </w:pPr>
          </w:p>
        </w:tc>
      </w:tr>
      <w:tr w:rsidR="002E2C1E" w:rsidRPr="00A11FE0" w:rsidTr="00202884">
        <w:trPr>
          <w:tblHeader/>
        </w:trPr>
        <w:tc>
          <w:tcPr>
            <w:tcW w:w="510" w:type="pct"/>
            <w:gridSpan w:val="2"/>
            <w:shd w:val="clear" w:color="auto" w:fill="auto"/>
          </w:tcPr>
          <w:p w:rsidR="002E2C1E" w:rsidRPr="00A11FE0" w:rsidRDefault="002E2C1E" w:rsidP="00A631A0">
            <w:pPr>
              <w:pStyle w:val="Text2"/>
              <w:ind w:left="0"/>
              <w:rPr>
                <w:rFonts w:asciiTheme="majorHAnsi" w:hAnsiTheme="majorHAnsi"/>
                <w:sz w:val="18"/>
                <w:szCs w:val="18"/>
                <w:lang w:val="sk-SK"/>
              </w:rPr>
            </w:pPr>
          </w:p>
        </w:tc>
        <w:tc>
          <w:tcPr>
            <w:tcW w:w="617" w:type="pct"/>
            <w:shd w:val="clear" w:color="auto" w:fill="auto"/>
          </w:tcPr>
          <w:p w:rsidR="002E2C1E" w:rsidRPr="00A11FE0" w:rsidRDefault="002E2C1E" w:rsidP="00A631A0">
            <w:pPr>
              <w:pStyle w:val="Text2"/>
              <w:ind w:left="0"/>
              <w:rPr>
                <w:rFonts w:asciiTheme="majorHAnsi" w:hAnsiTheme="majorHAnsi"/>
                <w:sz w:val="18"/>
                <w:szCs w:val="18"/>
                <w:lang w:val="sk-SK"/>
              </w:rPr>
            </w:pPr>
          </w:p>
        </w:tc>
        <w:tc>
          <w:tcPr>
            <w:tcW w:w="688" w:type="pct"/>
            <w:shd w:val="clear" w:color="auto" w:fill="auto"/>
          </w:tcPr>
          <w:p w:rsidR="002E2C1E" w:rsidRPr="00A11FE0" w:rsidRDefault="002E2C1E" w:rsidP="00A631A0">
            <w:pPr>
              <w:pStyle w:val="Text2"/>
              <w:ind w:left="0"/>
              <w:rPr>
                <w:rFonts w:asciiTheme="majorHAnsi" w:hAnsiTheme="majorHAnsi"/>
                <w:sz w:val="18"/>
                <w:szCs w:val="18"/>
                <w:lang w:val="sk-SK"/>
              </w:rPr>
            </w:pPr>
          </w:p>
        </w:tc>
        <w:tc>
          <w:tcPr>
            <w:tcW w:w="1070" w:type="pct"/>
            <w:gridSpan w:val="2"/>
            <w:shd w:val="clear" w:color="auto" w:fill="auto"/>
          </w:tcPr>
          <w:p w:rsidR="004364B6" w:rsidRDefault="00FF2DF8">
            <w:pPr>
              <w:pStyle w:val="Text2"/>
              <w:ind w:left="0"/>
              <w:jc w:val="center"/>
              <w:rPr>
                <w:rFonts w:asciiTheme="majorHAnsi" w:hAnsiTheme="majorHAnsi"/>
                <w:sz w:val="18"/>
                <w:szCs w:val="18"/>
                <w:lang w:val="sk-SK"/>
              </w:rPr>
            </w:pPr>
            <w:r w:rsidRPr="00FF2DF8">
              <w:rPr>
                <w:rFonts w:asciiTheme="majorHAnsi" w:hAnsiTheme="majorHAnsi"/>
                <w:sz w:val="18"/>
                <w:szCs w:val="18"/>
                <w:lang w:val="sk-SK"/>
              </w:rPr>
              <w:t xml:space="preserve">Prostriedky, ktoré </w:t>
            </w:r>
            <w:r w:rsidR="004364B6">
              <w:rPr>
                <w:rFonts w:asciiTheme="majorHAnsi" w:hAnsiTheme="majorHAnsi"/>
                <w:sz w:val="18"/>
                <w:szCs w:val="18"/>
                <w:lang w:val="sk-SK"/>
              </w:rPr>
              <w:t>sa nezarátavajú do výpoč</w:t>
            </w:r>
            <w:r w:rsidRPr="00FF2DF8">
              <w:rPr>
                <w:rFonts w:asciiTheme="majorHAnsi" w:hAnsiTheme="majorHAnsi"/>
                <w:sz w:val="18"/>
                <w:szCs w:val="18"/>
                <w:lang w:val="sk-SK"/>
              </w:rPr>
              <w:t>t</w:t>
            </w:r>
            <w:r w:rsidR="004364B6">
              <w:rPr>
                <w:rFonts w:asciiTheme="majorHAnsi" w:hAnsiTheme="majorHAnsi"/>
                <w:sz w:val="18"/>
                <w:szCs w:val="18"/>
                <w:lang w:val="sk-SK"/>
              </w:rPr>
              <w:t>u</w:t>
            </w:r>
            <w:r w:rsidRPr="00FF2DF8">
              <w:rPr>
                <w:rFonts w:asciiTheme="majorHAnsi" w:hAnsiTheme="majorHAnsi"/>
                <w:sz w:val="18"/>
                <w:szCs w:val="18"/>
                <w:lang w:val="sk-SK"/>
              </w:rPr>
              <w:t xml:space="preserve"> výkonnostnej rezervy </w:t>
            </w:r>
          </w:p>
          <w:p w:rsidR="002E2C1E" w:rsidRPr="00A11FE0" w:rsidRDefault="002E2C1E">
            <w:pPr>
              <w:pStyle w:val="Text2"/>
              <w:ind w:left="0"/>
              <w:jc w:val="center"/>
              <w:rPr>
                <w:rFonts w:asciiTheme="majorHAnsi" w:hAnsiTheme="majorHAnsi"/>
                <w:sz w:val="18"/>
                <w:szCs w:val="18"/>
                <w:lang w:val="sk-SK"/>
              </w:rPr>
            </w:pPr>
          </w:p>
        </w:tc>
        <w:tc>
          <w:tcPr>
            <w:tcW w:w="690" w:type="pct"/>
            <w:shd w:val="clear" w:color="auto" w:fill="auto"/>
          </w:tcPr>
          <w:p w:rsidR="002E2C1E" w:rsidRPr="00A11FE0" w:rsidRDefault="002E2C1E" w:rsidP="00A631A0">
            <w:pPr>
              <w:pStyle w:val="Text2"/>
              <w:ind w:left="0"/>
              <w:rPr>
                <w:rFonts w:asciiTheme="majorHAnsi" w:hAnsiTheme="majorHAnsi"/>
                <w:sz w:val="18"/>
                <w:szCs w:val="18"/>
                <w:lang w:val="sk-SK"/>
              </w:rPr>
            </w:pPr>
          </w:p>
        </w:tc>
        <w:tc>
          <w:tcPr>
            <w:tcW w:w="762" w:type="pct"/>
            <w:shd w:val="clear" w:color="auto" w:fill="auto"/>
          </w:tcPr>
          <w:p w:rsidR="002E2C1E" w:rsidRPr="00A11FE0" w:rsidRDefault="002E2C1E" w:rsidP="00A631A0">
            <w:pPr>
              <w:pStyle w:val="Text2"/>
              <w:ind w:left="0"/>
              <w:rPr>
                <w:rFonts w:asciiTheme="majorHAnsi" w:hAnsiTheme="majorHAnsi"/>
                <w:sz w:val="18"/>
                <w:szCs w:val="18"/>
                <w:lang w:val="sk-SK"/>
              </w:rPr>
            </w:pPr>
          </w:p>
        </w:tc>
        <w:tc>
          <w:tcPr>
            <w:tcW w:w="663" w:type="pct"/>
          </w:tcPr>
          <w:p w:rsidR="002E2C1E" w:rsidRPr="00A11FE0" w:rsidRDefault="002E2C1E" w:rsidP="00A631A0">
            <w:pPr>
              <w:pStyle w:val="Text2"/>
              <w:ind w:left="0"/>
              <w:rPr>
                <w:rFonts w:asciiTheme="majorHAnsi" w:hAnsiTheme="majorHAnsi"/>
                <w:sz w:val="18"/>
                <w:szCs w:val="18"/>
                <w:lang w:val="sk-SK"/>
              </w:rPr>
            </w:pPr>
          </w:p>
        </w:tc>
      </w:tr>
      <w:tr w:rsidR="002E2C1E" w:rsidRPr="00DD473B" w:rsidTr="00202884">
        <w:trPr>
          <w:tblHeader/>
        </w:trPr>
        <w:tc>
          <w:tcPr>
            <w:tcW w:w="510" w:type="pct"/>
            <w:gridSpan w:val="2"/>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Fond</w:t>
            </w:r>
          </w:p>
        </w:tc>
        <w:tc>
          <w:tcPr>
            <w:tcW w:w="617"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Kategória regiónov</w:t>
            </w:r>
          </w:p>
        </w:tc>
        <w:tc>
          <w:tcPr>
            <w:tcW w:w="688"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Celková podpora Únie</w:t>
            </w:r>
          </w:p>
          <w:p w:rsidR="002E2C1E" w:rsidRPr="00DD473B"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w:t>
            </w:r>
            <w:r w:rsidRPr="00DD473B">
              <w:rPr>
                <w:rFonts w:asciiTheme="majorHAnsi" w:hAnsiTheme="majorHAnsi"/>
                <w:sz w:val="18"/>
                <w:szCs w:val="18"/>
                <w:lang w:val="sk-SK"/>
              </w:rPr>
              <w:t>EUR)</w:t>
            </w:r>
          </w:p>
        </w:tc>
        <w:tc>
          <w:tcPr>
            <w:tcW w:w="592" w:type="pct"/>
            <w:tcBorders>
              <w:bottom w:val="single" w:sz="4" w:space="0" w:color="auto"/>
            </w:tcBorders>
            <w:shd w:val="clear" w:color="auto" w:fill="auto"/>
            <w:vAlign w:val="center"/>
          </w:tcPr>
          <w:p w:rsidR="002E2C1E" w:rsidRPr="00DD473B" w:rsidRDefault="002E2C1E" w:rsidP="00A631A0">
            <w:pPr>
              <w:pStyle w:val="Text2"/>
              <w:ind w:left="0" w:right="-57"/>
              <w:jc w:val="center"/>
              <w:rPr>
                <w:rFonts w:asciiTheme="majorHAnsi" w:hAnsiTheme="majorHAnsi"/>
                <w:sz w:val="18"/>
                <w:szCs w:val="18"/>
                <w:lang w:val="sk-SK"/>
              </w:rPr>
            </w:pPr>
            <w:r w:rsidRPr="00DD473B">
              <w:rPr>
                <w:rFonts w:asciiTheme="majorHAnsi" w:hAnsiTheme="majorHAnsi"/>
                <w:sz w:val="18"/>
                <w:szCs w:val="18"/>
                <w:lang w:val="sk-SK"/>
              </w:rPr>
              <w:t>Zodpoved</w:t>
            </w:r>
            <w:r>
              <w:rPr>
                <w:rFonts w:asciiTheme="majorHAnsi" w:hAnsiTheme="majorHAnsi"/>
                <w:sz w:val="18"/>
                <w:szCs w:val="18"/>
                <w:lang w:val="sk-SK"/>
              </w:rPr>
              <w:t>ajúca podpora ESF na</w:t>
            </w:r>
            <w:r w:rsidRPr="00DD473B">
              <w:rPr>
                <w:rFonts w:asciiTheme="majorHAnsi" w:hAnsiTheme="majorHAnsi"/>
                <w:sz w:val="18"/>
                <w:szCs w:val="18"/>
                <w:lang w:val="sk-SK"/>
              </w:rPr>
              <w:t> </w:t>
            </w:r>
            <w:r>
              <w:rPr>
                <w:rFonts w:asciiTheme="majorHAnsi" w:hAnsiTheme="majorHAnsi"/>
                <w:sz w:val="18"/>
                <w:szCs w:val="18"/>
                <w:lang w:val="sk-SK"/>
              </w:rPr>
              <w:t>IZM</w:t>
            </w:r>
            <w:r>
              <w:rPr>
                <w:rFonts w:asciiTheme="majorHAnsi" w:hAnsiTheme="majorHAnsi"/>
                <w:sz w:val="18"/>
                <w:szCs w:val="18"/>
                <w:lang w:val="sk-SK"/>
              </w:rPr>
              <w:br/>
              <w:t>(</w:t>
            </w:r>
            <w:r w:rsidRPr="00DD473B">
              <w:rPr>
                <w:rFonts w:asciiTheme="majorHAnsi" w:hAnsiTheme="majorHAnsi"/>
                <w:sz w:val="18"/>
                <w:szCs w:val="18"/>
                <w:lang w:val="sk-SK"/>
              </w:rPr>
              <w:t>EUR)</w:t>
            </w:r>
          </w:p>
        </w:tc>
        <w:tc>
          <w:tcPr>
            <w:tcW w:w="478" w:type="pct"/>
            <w:tcBorders>
              <w:bottom w:val="single" w:sz="4" w:space="0" w:color="auto"/>
            </w:tcBorders>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Transfery</w:t>
            </w:r>
          </w:p>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SPP</w:t>
            </w:r>
          </w:p>
        </w:tc>
        <w:tc>
          <w:tcPr>
            <w:tcW w:w="690" w:type="pct"/>
            <w:shd w:val="clear" w:color="auto" w:fill="auto"/>
            <w:vAlign w:val="center"/>
          </w:tcPr>
          <w:p w:rsidR="002E2C1E" w:rsidRPr="00DD473B" w:rsidRDefault="002E2C1E">
            <w:pPr>
              <w:pStyle w:val="Text2"/>
              <w:ind w:left="0" w:right="-43"/>
              <w:jc w:val="center"/>
              <w:rPr>
                <w:rFonts w:asciiTheme="majorHAnsi" w:hAnsiTheme="majorHAnsi"/>
                <w:sz w:val="18"/>
                <w:szCs w:val="18"/>
                <w:lang w:val="sk-SK"/>
              </w:rPr>
            </w:pPr>
            <w:r w:rsidRPr="00DD473B">
              <w:rPr>
                <w:rFonts w:asciiTheme="majorHAnsi" w:hAnsiTheme="majorHAnsi"/>
                <w:sz w:val="18"/>
                <w:szCs w:val="18"/>
                <w:lang w:val="sk-SK"/>
              </w:rPr>
              <w:t>Podpora Únie</w:t>
            </w:r>
            <w:r w:rsidR="00D401AB">
              <w:rPr>
                <w:rFonts w:asciiTheme="majorHAnsi" w:hAnsiTheme="majorHAnsi"/>
                <w:sz w:val="18"/>
                <w:szCs w:val="18"/>
                <w:lang w:val="sk-SK"/>
              </w:rPr>
              <w:t>, z ktorej sa vypočíta</w:t>
            </w:r>
            <w:r>
              <w:rPr>
                <w:rFonts w:asciiTheme="majorHAnsi" w:hAnsiTheme="majorHAnsi"/>
                <w:sz w:val="18"/>
                <w:szCs w:val="18"/>
                <w:lang w:val="sk-SK"/>
              </w:rPr>
              <w:t xml:space="preserve"> výkonnostn</w:t>
            </w:r>
            <w:r w:rsidR="00D401AB">
              <w:rPr>
                <w:rFonts w:asciiTheme="majorHAnsi" w:hAnsiTheme="majorHAnsi"/>
                <w:sz w:val="18"/>
                <w:szCs w:val="18"/>
                <w:lang w:val="sk-SK"/>
              </w:rPr>
              <w:t>á</w:t>
            </w:r>
            <w:r>
              <w:rPr>
                <w:rFonts w:asciiTheme="majorHAnsi" w:hAnsiTheme="majorHAnsi"/>
                <w:sz w:val="18"/>
                <w:szCs w:val="18"/>
                <w:lang w:val="sk-SK"/>
              </w:rPr>
              <w:t xml:space="preserve"> rezerv</w:t>
            </w:r>
            <w:r w:rsidR="00D401AB">
              <w:rPr>
                <w:rFonts w:asciiTheme="majorHAnsi" w:hAnsiTheme="majorHAnsi"/>
                <w:sz w:val="18"/>
                <w:szCs w:val="18"/>
                <w:lang w:val="sk-SK"/>
              </w:rPr>
              <w:t>a</w:t>
            </w:r>
            <w:r>
              <w:rPr>
                <w:rFonts w:asciiTheme="majorHAnsi" w:hAnsiTheme="majorHAnsi"/>
                <w:sz w:val="18"/>
                <w:szCs w:val="18"/>
                <w:lang w:val="sk-SK"/>
              </w:rPr>
              <w:br/>
              <w:t>(</w:t>
            </w:r>
            <w:r w:rsidRPr="00DD473B">
              <w:rPr>
                <w:rFonts w:asciiTheme="majorHAnsi" w:hAnsiTheme="majorHAnsi"/>
                <w:sz w:val="18"/>
                <w:szCs w:val="18"/>
                <w:lang w:val="sk-SK"/>
              </w:rPr>
              <w:t>EUR)</w:t>
            </w:r>
          </w:p>
        </w:tc>
        <w:tc>
          <w:tcPr>
            <w:tcW w:w="762"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Výkonnostná rezerva</w:t>
            </w:r>
            <w:r>
              <w:rPr>
                <w:rFonts w:asciiTheme="majorHAnsi" w:hAnsiTheme="majorHAnsi"/>
                <w:sz w:val="18"/>
                <w:szCs w:val="18"/>
                <w:lang w:val="sk-SK"/>
              </w:rPr>
              <w:br/>
              <w:t>(</w:t>
            </w:r>
            <w:r w:rsidRPr="00DD473B">
              <w:rPr>
                <w:rFonts w:asciiTheme="majorHAnsi" w:hAnsiTheme="majorHAnsi"/>
                <w:sz w:val="18"/>
                <w:szCs w:val="18"/>
                <w:lang w:val="sk-SK"/>
              </w:rPr>
              <w:t>EUR)</w:t>
            </w:r>
          </w:p>
        </w:tc>
        <w:tc>
          <w:tcPr>
            <w:tcW w:w="663" w:type="pct"/>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Výkonnostná rezerva ako podiel podpory Únie s výnimkou rezervy</w:t>
            </w:r>
          </w:p>
        </w:tc>
      </w:tr>
      <w:tr w:rsidR="002E2C1E" w:rsidRPr="00DD473B" w:rsidTr="00202884">
        <w:tc>
          <w:tcPr>
            <w:tcW w:w="510" w:type="pct"/>
            <w:gridSpan w:val="2"/>
            <w:vMerge w:val="restart"/>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EFRR</w:t>
            </w:r>
          </w:p>
        </w:tc>
        <w:tc>
          <w:tcPr>
            <w:tcW w:w="617" w:type="pct"/>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iCs/>
                <w:color w:val="000000"/>
                <w:sz w:val="18"/>
                <w:szCs w:val="18"/>
                <w:lang w:val="sk-SK" w:eastAsia="sk-SK"/>
              </w:rPr>
              <w:t>Rozvinutejšie regióny</w:t>
            </w:r>
          </w:p>
        </w:tc>
        <w:tc>
          <w:tcPr>
            <w:tcW w:w="688"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261 994 877</w:t>
            </w:r>
          </w:p>
        </w:tc>
        <w:tc>
          <w:tcPr>
            <w:tcW w:w="592"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478"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261 994 877</w:t>
            </w:r>
          </w:p>
        </w:tc>
        <w:tc>
          <w:tcPr>
            <w:tcW w:w="762" w:type="pct"/>
            <w:shd w:val="clear" w:color="auto" w:fill="auto"/>
            <w:vAlign w:val="center"/>
          </w:tcPr>
          <w:p w:rsidR="002E2C1E" w:rsidRPr="00FB1009" w:rsidRDefault="002E2C1E" w:rsidP="0098389F">
            <w:pPr>
              <w:pStyle w:val="Text2"/>
              <w:ind w:left="0"/>
              <w:jc w:val="center"/>
              <w:rPr>
                <w:rFonts w:asciiTheme="majorHAnsi" w:hAnsiTheme="majorHAnsi"/>
                <w:sz w:val="18"/>
                <w:szCs w:val="18"/>
                <w:lang w:val="sk-SK"/>
              </w:rPr>
            </w:pPr>
            <w:r w:rsidRPr="00FB1009">
              <w:rPr>
                <w:rFonts w:asciiTheme="majorHAnsi" w:hAnsiTheme="majorHAnsi"/>
                <w:sz w:val="18"/>
                <w:szCs w:val="18"/>
                <w:lang w:val="sk-SK"/>
              </w:rPr>
              <w:t>15 719</w:t>
            </w:r>
            <w:r w:rsidR="0098389F">
              <w:rPr>
                <w:rFonts w:asciiTheme="majorHAnsi" w:hAnsiTheme="majorHAnsi"/>
                <w:sz w:val="18"/>
                <w:szCs w:val="18"/>
                <w:lang w:val="sk-SK"/>
              </w:rPr>
              <w:t> </w:t>
            </w:r>
            <w:r w:rsidR="0098389F" w:rsidRPr="00FB1009">
              <w:rPr>
                <w:rFonts w:asciiTheme="majorHAnsi" w:hAnsiTheme="majorHAnsi"/>
                <w:sz w:val="18"/>
                <w:szCs w:val="18"/>
                <w:lang w:val="sk-SK"/>
              </w:rPr>
              <w:t>69</w:t>
            </w:r>
            <w:r w:rsidR="0098389F">
              <w:rPr>
                <w:rFonts w:asciiTheme="majorHAnsi" w:hAnsiTheme="majorHAnsi"/>
                <w:sz w:val="18"/>
                <w:szCs w:val="18"/>
                <w:lang w:val="sk-SK"/>
              </w:rPr>
              <w:t>2,62</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sidRPr="00FB1009">
              <w:rPr>
                <w:rFonts w:asciiTheme="majorHAnsi" w:hAnsiTheme="majorHAnsi"/>
                <w:sz w:val="18"/>
                <w:szCs w:val="18"/>
                <w:lang w:val="sk-SK"/>
              </w:rPr>
              <w:t>6,00%</w:t>
            </w:r>
          </w:p>
        </w:tc>
      </w:tr>
      <w:tr w:rsidR="002E2C1E" w:rsidRPr="00DD473B" w:rsidTr="00202884">
        <w:tc>
          <w:tcPr>
            <w:tcW w:w="510" w:type="pct"/>
            <w:gridSpan w:val="2"/>
            <w:vMerge/>
            <w:shd w:val="clear" w:color="auto" w:fill="auto"/>
            <w:vAlign w:val="center"/>
          </w:tcPr>
          <w:p w:rsidR="002E2C1E" w:rsidRPr="00DD473B" w:rsidRDefault="002E2C1E" w:rsidP="00A631A0">
            <w:pPr>
              <w:pStyle w:val="Text2"/>
              <w:ind w:left="0"/>
              <w:rPr>
                <w:rFonts w:asciiTheme="majorHAnsi" w:hAnsiTheme="majorHAnsi"/>
                <w:sz w:val="18"/>
                <w:szCs w:val="18"/>
                <w:lang w:val="sk-SK"/>
              </w:rPr>
            </w:pPr>
          </w:p>
        </w:tc>
        <w:tc>
          <w:tcPr>
            <w:tcW w:w="617" w:type="pct"/>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iCs/>
                <w:color w:val="000000"/>
                <w:sz w:val="18"/>
                <w:szCs w:val="18"/>
                <w:lang w:val="sk-SK" w:eastAsia="sk-SK"/>
              </w:rPr>
              <w:t>Prechodné regióny</w:t>
            </w:r>
          </w:p>
        </w:tc>
        <w:tc>
          <w:tcPr>
            <w:tcW w:w="688"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592"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478"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762" w:type="pct"/>
            <w:shd w:val="clear" w:color="auto" w:fill="auto"/>
            <w:vAlign w:val="center"/>
          </w:tcPr>
          <w:p w:rsidR="002E2C1E" w:rsidRPr="00FB1009" w:rsidRDefault="002E2C1E" w:rsidP="00A631A0">
            <w:pPr>
              <w:pStyle w:val="Text2"/>
              <w:ind w:left="0"/>
              <w:jc w:val="center"/>
              <w:rPr>
                <w:rFonts w:asciiTheme="majorHAnsi" w:hAnsiTheme="majorHAnsi"/>
                <w:sz w:val="18"/>
                <w:szCs w:val="18"/>
                <w:lang w:val="sk-SK"/>
              </w:rPr>
            </w:pP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p>
        </w:tc>
      </w:tr>
      <w:tr w:rsidR="002E2C1E" w:rsidRPr="00DD473B" w:rsidTr="00202884">
        <w:tc>
          <w:tcPr>
            <w:tcW w:w="510" w:type="pct"/>
            <w:gridSpan w:val="2"/>
            <w:vMerge/>
            <w:shd w:val="clear" w:color="auto" w:fill="auto"/>
            <w:vAlign w:val="center"/>
          </w:tcPr>
          <w:p w:rsidR="002E2C1E" w:rsidRPr="00DD473B" w:rsidRDefault="002E2C1E" w:rsidP="00A631A0">
            <w:pPr>
              <w:pStyle w:val="Text2"/>
              <w:ind w:left="0"/>
              <w:rPr>
                <w:rFonts w:asciiTheme="majorHAnsi" w:hAnsiTheme="majorHAnsi"/>
                <w:sz w:val="18"/>
                <w:szCs w:val="18"/>
                <w:lang w:val="sk-SK"/>
              </w:rPr>
            </w:pPr>
          </w:p>
        </w:tc>
        <w:tc>
          <w:tcPr>
            <w:tcW w:w="617" w:type="pct"/>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iCs/>
                <w:sz w:val="18"/>
                <w:szCs w:val="18"/>
                <w:lang w:val="sk-SK"/>
              </w:rPr>
              <w:t>Menej rozvinuté regióny</w:t>
            </w:r>
          </w:p>
        </w:tc>
        <w:tc>
          <w:tcPr>
            <w:tcW w:w="688" w:type="pct"/>
            <w:shd w:val="clear" w:color="auto" w:fill="auto"/>
            <w:vAlign w:val="center"/>
          </w:tcPr>
          <w:p w:rsidR="002E2C1E" w:rsidRPr="00DD473B" w:rsidRDefault="00A02602" w:rsidP="00A631A0">
            <w:pPr>
              <w:pStyle w:val="Text2"/>
              <w:ind w:left="0"/>
              <w:jc w:val="center"/>
              <w:rPr>
                <w:rFonts w:asciiTheme="majorHAnsi" w:hAnsiTheme="majorHAnsi"/>
                <w:sz w:val="18"/>
                <w:szCs w:val="18"/>
                <w:lang w:val="sk-SK"/>
              </w:rPr>
            </w:pPr>
            <w:r w:rsidRPr="000174CE">
              <w:rPr>
                <w:rFonts w:ascii="Calibri" w:eastAsia="Times New Roman" w:hAnsi="Calibri"/>
                <w:color w:val="000000"/>
                <w:sz w:val="18"/>
                <w:szCs w:val="18"/>
                <w:lang w:eastAsia="sk-SK"/>
              </w:rPr>
              <w:t>7 029 465</w:t>
            </w:r>
            <w:r w:rsidR="009D7BA4">
              <w:rPr>
                <w:rFonts w:ascii="Calibri" w:eastAsia="Times New Roman" w:hAnsi="Calibri"/>
                <w:color w:val="000000"/>
                <w:sz w:val="18"/>
                <w:szCs w:val="18"/>
                <w:lang w:eastAsia="sk-SK"/>
              </w:rPr>
              <w:t> </w:t>
            </w:r>
            <w:r w:rsidRPr="000174CE">
              <w:rPr>
                <w:rFonts w:ascii="Calibri" w:eastAsia="Times New Roman" w:hAnsi="Calibri"/>
                <w:color w:val="000000"/>
                <w:sz w:val="18"/>
                <w:szCs w:val="18"/>
                <w:lang w:eastAsia="sk-SK"/>
              </w:rPr>
              <w:t>345</w:t>
            </w:r>
            <w:r w:rsidR="009D7BA4">
              <w:rPr>
                <w:rFonts w:ascii="Calibri" w:eastAsia="Times New Roman" w:hAnsi="Calibri"/>
                <w:color w:val="000000"/>
                <w:sz w:val="18"/>
                <w:szCs w:val="18"/>
                <w:lang w:eastAsia="sk-SK"/>
              </w:rPr>
              <w:t xml:space="preserve"> </w:t>
            </w:r>
          </w:p>
        </w:tc>
        <w:tc>
          <w:tcPr>
            <w:tcW w:w="592" w:type="pct"/>
            <w:tcBorders>
              <w:bottom w:val="single" w:sz="4" w:space="0" w:color="auto"/>
            </w:tcBorders>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478" w:type="pct"/>
            <w:tcBorders>
              <w:bottom w:val="single" w:sz="4" w:space="0" w:color="auto"/>
            </w:tcBorders>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A02602" w:rsidP="00A631A0">
            <w:pPr>
              <w:pStyle w:val="Text2"/>
              <w:ind w:left="0"/>
              <w:jc w:val="center"/>
              <w:rPr>
                <w:rFonts w:asciiTheme="majorHAnsi" w:hAnsiTheme="majorHAnsi"/>
                <w:sz w:val="18"/>
                <w:szCs w:val="18"/>
                <w:lang w:val="sk-SK"/>
              </w:rPr>
            </w:pPr>
            <w:r w:rsidRPr="000174CE">
              <w:rPr>
                <w:rFonts w:ascii="Calibri" w:eastAsia="Times New Roman" w:hAnsi="Calibri"/>
                <w:color w:val="000000"/>
                <w:sz w:val="18"/>
                <w:szCs w:val="18"/>
                <w:lang w:eastAsia="sk-SK"/>
              </w:rPr>
              <w:t>7 029 465</w:t>
            </w:r>
            <w:r w:rsidR="009D7BA4">
              <w:rPr>
                <w:rFonts w:ascii="Calibri" w:eastAsia="Times New Roman" w:hAnsi="Calibri"/>
                <w:color w:val="000000"/>
                <w:sz w:val="18"/>
                <w:szCs w:val="18"/>
                <w:lang w:eastAsia="sk-SK"/>
              </w:rPr>
              <w:t> </w:t>
            </w:r>
            <w:r w:rsidRPr="000174CE">
              <w:rPr>
                <w:rFonts w:ascii="Calibri" w:eastAsia="Times New Roman" w:hAnsi="Calibri"/>
                <w:color w:val="000000"/>
                <w:sz w:val="18"/>
                <w:szCs w:val="18"/>
                <w:lang w:eastAsia="sk-SK"/>
              </w:rPr>
              <w:t>345</w:t>
            </w:r>
            <w:r w:rsidR="009D7BA4">
              <w:rPr>
                <w:rFonts w:ascii="Calibri" w:eastAsia="Times New Roman" w:hAnsi="Calibri"/>
                <w:color w:val="000000"/>
                <w:sz w:val="18"/>
                <w:szCs w:val="18"/>
                <w:lang w:eastAsia="sk-SK"/>
              </w:rPr>
              <w:t xml:space="preserve"> </w:t>
            </w:r>
          </w:p>
        </w:tc>
        <w:tc>
          <w:tcPr>
            <w:tcW w:w="762" w:type="pct"/>
            <w:shd w:val="clear" w:color="auto" w:fill="auto"/>
            <w:vAlign w:val="center"/>
          </w:tcPr>
          <w:p w:rsidR="002E2C1E" w:rsidRPr="00FB1009" w:rsidRDefault="00A02602" w:rsidP="00A631A0">
            <w:pPr>
              <w:pStyle w:val="Text2"/>
              <w:ind w:left="0"/>
              <w:jc w:val="center"/>
              <w:rPr>
                <w:rFonts w:asciiTheme="majorHAnsi" w:hAnsiTheme="majorHAnsi"/>
                <w:sz w:val="18"/>
                <w:szCs w:val="18"/>
                <w:lang w:val="sk-SK"/>
              </w:rPr>
            </w:pPr>
            <w:r w:rsidRPr="000174CE">
              <w:rPr>
                <w:rFonts w:ascii="Calibri" w:eastAsia="Times New Roman" w:hAnsi="Calibri"/>
                <w:color w:val="000000"/>
                <w:sz w:val="18"/>
                <w:szCs w:val="18"/>
                <w:lang w:eastAsia="sk-SK"/>
              </w:rPr>
              <w:t>421 767 920,70</w:t>
            </w:r>
            <w:r w:rsidR="009D7BA4">
              <w:rPr>
                <w:rFonts w:ascii="Calibri" w:eastAsia="Times New Roman" w:hAnsi="Calibri"/>
                <w:color w:val="000000"/>
                <w:sz w:val="18"/>
                <w:szCs w:val="18"/>
                <w:lang w:eastAsia="sk-SK"/>
              </w:rPr>
              <w:t xml:space="preserve"> </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sidRPr="00FB1009">
              <w:rPr>
                <w:rFonts w:asciiTheme="majorHAnsi" w:hAnsiTheme="majorHAnsi"/>
                <w:sz w:val="18"/>
                <w:szCs w:val="18"/>
                <w:lang w:val="sk-SK"/>
              </w:rPr>
              <w:t>6,00%</w:t>
            </w:r>
          </w:p>
        </w:tc>
      </w:tr>
      <w:tr w:rsidR="002E2C1E" w:rsidRPr="00DD473B" w:rsidTr="00202884">
        <w:tc>
          <w:tcPr>
            <w:tcW w:w="510" w:type="pct"/>
            <w:gridSpan w:val="2"/>
            <w:vMerge/>
            <w:shd w:val="clear" w:color="auto" w:fill="auto"/>
            <w:vAlign w:val="center"/>
          </w:tcPr>
          <w:p w:rsidR="002E2C1E" w:rsidRPr="00DD473B" w:rsidRDefault="002E2C1E" w:rsidP="00A631A0">
            <w:pPr>
              <w:pStyle w:val="Text2"/>
              <w:ind w:left="0"/>
              <w:rPr>
                <w:rFonts w:asciiTheme="majorHAnsi" w:hAnsiTheme="majorHAnsi"/>
                <w:sz w:val="18"/>
                <w:szCs w:val="18"/>
                <w:lang w:val="sk-SK"/>
              </w:rPr>
            </w:pPr>
          </w:p>
        </w:tc>
        <w:tc>
          <w:tcPr>
            <w:tcW w:w="617" w:type="pct"/>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 xml:space="preserve">Osobitná alokácia pre najvzdialenejšie alebo riedko osídlené regióny </w:t>
            </w:r>
          </w:p>
        </w:tc>
        <w:tc>
          <w:tcPr>
            <w:tcW w:w="688"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592" w:type="pct"/>
            <w:tcBorders>
              <w:bottom w:val="single" w:sz="4" w:space="0" w:color="auto"/>
            </w:tcBorders>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478" w:type="pct"/>
            <w:tcBorders>
              <w:bottom w:val="single" w:sz="4" w:space="0" w:color="auto"/>
            </w:tcBorders>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762" w:type="pct"/>
            <w:shd w:val="clear" w:color="auto" w:fill="auto"/>
            <w:vAlign w:val="center"/>
          </w:tcPr>
          <w:p w:rsidR="002E2C1E" w:rsidRPr="00DD473B" w:rsidRDefault="002E2C1E" w:rsidP="00A631A0">
            <w:pPr>
              <w:pStyle w:val="Text2"/>
              <w:ind w:left="0"/>
              <w:jc w:val="center"/>
              <w:rPr>
                <w:rFonts w:asciiTheme="majorHAnsi" w:hAnsiTheme="majorHAnsi"/>
                <w:sz w:val="18"/>
                <w:szCs w:val="18"/>
                <w:highlight w:val="yellow"/>
                <w:lang w:val="sk-SK"/>
              </w:rPr>
            </w:pPr>
          </w:p>
        </w:tc>
        <w:tc>
          <w:tcPr>
            <w:tcW w:w="663" w:type="pct"/>
            <w:vAlign w:val="center"/>
          </w:tcPr>
          <w:p w:rsidR="002E2C1E" w:rsidRPr="00DD473B" w:rsidRDefault="002E2C1E" w:rsidP="00A631A0">
            <w:pPr>
              <w:pStyle w:val="Text2"/>
              <w:ind w:left="0"/>
              <w:jc w:val="center"/>
              <w:rPr>
                <w:rFonts w:asciiTheme="majorHAnsi" w:hAnsiTheme="majorHAnsi"/>
                <w:sz w:val="18"/>
                <w:szCs w:val="18"/>
                <w:highlight w:val="yellow"/>
                <w:lang w:val="sk-SK"/>
              </w:rPr>
            </w:pPr>
          </w:p>
        </w:tc>
      </w:tr>
      <w:tr w:rsidR="002E2C1E" w:rsidRPr="00DD473B" w:rsidTr="00202884">
        <w:tc>
          <w:tcPr>
            <w:tcW w:w="2885" w:type="pct"/>
            <w:gridSpan w:val="6"/>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CELKOM EFRR</w:t>
            </w:r>
          </w:p>
        </w:tc>
        <w:tc>
          <w:tcPr>
            <w:tcW w:w="690" w:type="pct"/>
            <w:shd w:val="clear" w:color="auto" w:fill="auto"/>
            <w:vAlign w:val="center"/>
          </w:tcPr>
          <w:p w:rsidR="002E2C1E" w:rsidRPr="00DD473B" w:rsidRDefault="00A02602" w:rsidP="00A631A0">
            <w:pPr>
              <w:pStyle w:val="Text2"/>
              <w:ind w:left="0"/>
              <w:jc w:val="center"/>
              <w:rPr>
                <w:rFonts w:asciiTheme="majorHAnsi" w:hAnsiTheme="majorHAnsi"/>
                <w:sz w:val="18"/>
                <w:szCs w:val="18"/>
                <w:lang w:val="sk-SK"/>
              </w:rPr>
            </w:pPr>
            <w:r w:rsidRPr="000174CE">
              <w:rPr>
                <w:rFonts w:ascii="Calibri" w:eastAsia="Times New Roman" w:hAnsi="Calibri"/>
                <w:color w:val="000000"/>
                <w:sz w:val="18"/>
                <w:szCs w:val="18"/>
                <w:lang w:eastAsia="sk-SK"/>
              </w:rPr>
              <w:t>7 291 460</w:t>
            </w:r>
            <w:r w:rsidR="009D7BA4">
              <w:rPr>
                <w:rFonts w:ascii="Calibri" w:eastAsia="Times New Roman" w:hAnsi="Calibri"/>
                <w:color w:val="000000"/>
                <w:sz w:val="18"/>
                <w:szCs w:val="18"/>
                <w:lang w:eastAsia="sk-SK"/>
              </w:rPr>
              <w:t> </w:t>
            </w:r>
            <w:r w:rsidRPr="000174CE">
              <w:rPr>
                <w:rFonts w:ascii="Calibri" w:eastAsia="Times New Roman" w:hAnsi="Calibri"/>
                <w:color w:val="000000"/>
                <w:sz w:val="18"/>
                <w:szCs w:val="18"/>
                <w:lang w:eastAsia="sk-SK"/>
              </w:rPr>
              <w:t>222</w:t>
            </w:r>
            <w:r w:rsidR="009D7BA4">
              <w:rPr>
                <w:rFonts w:ascii="Calibri" w:eastAsia="Times New Roman" w:hAnsi="Calibri"/>
                <w:color w:val="000000"/>
                <w:sz w:val="18"/>
                <w:szCs w:val="18"/>
                <w:lang w:eastAsia="sk-SK"/>
              </w:rPr>
              <w:t xml:space="preserve"> </w:t>
            </w:r>
          </w:p>
        </w:tc>
        <w:tc>
          <w:tcPr>
            <w:tcW w:w="762" w:type="pct"/>
            <w:shd w:val="clear" w:color="auto" w:fill="auto"/>
            <w:vAlign w:val="center"/>
          </w:tcPr>
          <w:p w:rsidR="002E2C1E" w:rsidRPr="00FB1009" w:rsidRDefault="00A02602" w:rsidP="00A631A0">
            <w:pPr>
              <w:jc w:val="center"/>
              <w:rPr>
                <w:rFonts w:asciiTheme="majorHAnsi" w:hAnsiTheme="majorHAnsi"/>
                <w:sz w:val="18"/>
                <w:szCs w:val="18"/>
              </w:rPr>
            </w:pPr>
            <w:r w:rsidRPr="000174CE">
              <w:rPr>
                <w:rFonts w:ascii="Calibri" w:eastAsia="Times New Roman" w:hAnsi="Calibri"/>
                <w:color w:val="000000"/>
                <w:sz w:val="18"/>
                <w:szCs w:val="18"/>
                <w:lang w:eastAsia="sk-SK"/>
              </w:rPr>
              <w:t>437 487 613,32</w:t>
            </w:r>
            <w:r w:rsidR="009D7BA4">
              <w:rPr>
                <w:rFonts w:ascii="Calibri" w:eastAsia="Times New Roman" w:hAnsi="Calibri"/>
                <w:color w:val="000000"/>
                <w:sz w:val="18"/>
                <w:szCs w:val="18"/>
                <w:lang w:eastAsia="sk-SK"/>
              </w:rPr>
              <w:t xml:space="preserve"> </w:t>
            </w:r>
          </w:p>
        </w:tc>
        <w:tc>
          <w:tcPr>
            <w:tcW w:w="663" w:type="pct"/>
            <w:vAlign w:val="center"/>
          </w:tcPr>
          <w:p w:rsidR="002E2C1E" w:rsidRPr="00FB1009" w:rsidRDefault="002E2C1E" w:rsidP="00A631A0">
            <w:pPr>
              <w:jc w:val="center"/>
              <w:rPr>
                <w:rFonts w:asciiTheme="majorHAnsi" w:hAnsiTheme="majorHAnsi"/>
                <w:sz w:val="18"/>
                <w:szCs w:val="18"/>
              </w:rPr>
            </w:pPr>
            <w:r w:rsidRPr="00FB1009">
              <w:rPr>
                <w:rFonts w:asciiTheme="majorHAnsi" w:hAnsiTheme="majorHAnsi"/>
                <w:sz w:val="18"/>
                <w:szCs w:val="18"/>
              </w:rPr>
              <w:t>6,00 %</w:t>
            </w:r>
          </w:p>
        </w:tc>
      </w:tr>
      <w:tr w:rsidR="002E2C1E" w:rsidRPr="00DD473B" w:rsidTr="00202884">
        <w:tc>
          <w:tcPr>
            <w:tcW w:w="465" w:type="pct"/>
            <w:vMerge w:val="restart"/>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ESF</w:t>
            </w:r>
          </w:p>
        </w:tc>
        <w:tc>
          <w:tcPr>
            <w:tcW w:w="662" w:type="pct"/>
            <w:gridSpan w:val="2"/>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iCs/>
                <w:color w:val="000000"/>
                <w:sz w:val="18"/>
                <w:szCs w:val="18"/>
                <w:lang w:val="sk-SK" w:eastAsia="sk-SK"/>
              </w:rPr>
              <w:t>Rozvinutejšie regióny</w:t>
            </w:r>
          </w:p>
        </w:tc>
        <w:tc>
          <w:tcPr>
            <w:tcW w:w="688"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66 743 943</w:t>
            </w:r>
          </w:p>
        </w:tc>
        <w:tc>
          <w:tcPr>
            <w:tcW w:w="592"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478"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66 743 943</w:t>
            </w:r>
          </w:p>
        </w:tc>
        <w:tc>
          <w:tcPr>
            <w:tcW w:w="762" w:type="pct"/>
            <w:shd w:val="clear" w:color="auto" w:fill="auto"/>
            <w:vAlign w:val="center"/>
          </w:tcPr>
          <w:p w:rsidR="002E2C1E" w:rsidRPr="00FB1009" w:rsidRDefault="002E2C1E" w:rsidP="0098389F">
            <w:pPr>
              <w:pStyle w:val="Text2"/>
              <w:ind w:left="0"/>
              <w:jc w:val="center"/>
              <w:rPr>
                <w:rFonts w:asciiTheme="majorHAnsi" w:hAnsiTheme="majorHAnsi"/>
                <w:sz w:val="18"/>
                <w:szCs w:val="18"/>
                <w:lang w:val="sk-SK"/>
              </w:rPr>
            </w:pPr>
            <w:r w:rsidRPr="00FB1009">
              <w:rPr>
                <w:rFonts w:asciiTheme="majorHAnsi" w:hAnsiTheme="majorHAnsi"/>
                <w:sz w:val="18"/>
                <w:szCs w:val="18"/>
                <w:lang w:val="sk-SK"/>
              </w:rPr>
              <w:t>4 004</w:t>
            </w:r>
            <w:r w:rsidR="0098389F">
              <w:rPr>
                <w:rFonts w:asciiTheme="majorHAnsi" w:hAnsiTheme="majorHAnsi"/>
                <w:sz w:val="18"/>
                <w:szCs w:val="18"/>
                <w:lang w:val="sk-SK"/>
              </w:rPr>
              <w:t> </w:t>
            </w:r>
            <w:r w:rsidR="0098389F" w:rsidRPr="00FB1009">
              <w:rPr>
                <w:rFonts w:asciiTheme="majorHAnsi" w:hAnsiTheme="majorHAnsi"/>
                <w:sz w:val="18"/>
                <w:szCs w:val="18"/>
                <w:lang w:val="sk-SK"/>
              </w:rPr>
              <w:t>63</w:t>
            </w:r>
            <w:r w:rsidR="0098389F">
              <w:rPr>
                <w:rFonts w:asciiTheme="majorHAnsi" w:hAnsiTheme="majorHAnsi"/>
                <w:sz w:val="18"/>
                <w:szCs w:val="18"/>
                <w:lang w:val="sk-SK"/>
              </w:rPr>
              <w:t>6, 58</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sidRPr="00FB1009">
              <w:rPr>
                <w:rFonts w:asciiTheme="majorHAnsi" w:hAnsiTheme="majorHAnsi"/>
                <w:sz w:val="18"/>
                <w:szCs w:val="18"/>
                <w:lang w:val="sk-SK"/>
              </w:rPr>
              <w:t>6,00 %</w:t>
            </w:r>
          </w:p>
        </w:tc>
      </w:tr>
      <w:tr w:rsidR="002E2C1E" w:rsidRPr="00DD473B" w:rsidTr="00202884">
        <w:tc>
          <w:tcPr>
            <w:tcW w:w="465" w:type="pct"/>
            <w:vMerge/>
            <w:shd w:val="clear" w:color="auto" w:fill="auto"/>
            <w:vAlign w:val="center"/>
          </w:tcPr>
          <w:p w:rsidR="002E2C1E" w:rsidRPr="00DD473B" w:rsidRDefault="002E2C1E" w:rsidP="00A631A0">
            <w:pPr>
              <w:pStyle w:val="Text2"/>
              <w:ind w:left="0"/>
              <w:rPr>
                <w:rFonts w:asciiTheme="majorHAnsi" w:hAnsiTheme="majorHAnsi"/>
                <w:sz w:val="18"/>
                <w:szCs w:val="18"/>
                <w:lang w:val="sk-SK"/>
              </w:rPr>
            </w:pPr>
          </w:p>
        </w:tc>
        <w:tc>
          <w:tcPr>
            <w:tcW w:w="662" w:type="pct"/>
            <w:gridSpan w:val="2"/>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iCs/>
                <w:color w:val="000000"/>
                <w:sz w:val="18"/>
                <w:szCs w:val="18"/>
                <w:lang w:val="sk-SK" w:eastAsia="sk-SK"/>
              </w:rPr>
              <w:t>Prechodné regióny</w:t>
            </w:r>
          </w:p>
        </w:tc>
        <w:tc>
          <w:tcPr>
            <w:tcW w:w="688"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592"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478"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0</w:t>
            </w:r>
          </w:p>
        </w:tc>
        <w:tc>
          <w:tcPr>
            <w:tcW w:w="762" w:type="pct"/>
            <w:shd w:val="clear" w:color="auto" w:fill="auto"/>
            <w:vAlign w:val="center"/>
          </w:tcPr>
          <w:p w:rsidR="002E2C1E" w:rsidRPr="00FB1009" w:rsidRDefault="002E2C1E" w:rsidP="00A631A0">
            <w:pPr>
              <w:pStyle w:val="Text2"/>
              <w:ind w:left="0"/>
              <w:jc w:val="center"/>
              <w:rPr>
                <w:rFonts w:asciiTheme="majorHAnsi" w:hAnsiTheme="majorHAnsi"/>
                <w:sz w:val="18"/>
                <w:szCs w:val="18"/>
                <w:lang w:val="sk-SK"/>
              </w:rPr>
            </w:pP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p>
        </w:tc>
      </w:tr>
      <w:tr w:rsidR="002E2C1E" w:rsidRPr="00DD473B" w:rsidTr="00202884">
        <w:tc>
          <w:tcPr>
            <w:tcW w:w="465" w:type="pct"/>
            <w:vMerge/>
            <w:shd w:val="clear" w:color="auto" w:fill="auto"/>
            <w:vAlign w:val="center"/>
          </w:tcPr>
          <w:p w:rsidR="002E2C1E" w:rsidRPr="00DD473B" w:rsidRDefault="002E2C1E" w:rsidP="00A631A0">
            <w:pPr>
              <w:pStyle w:val="Text2"/>
              <w:ind w:left="0"/>
              <w:rPr>
                <w:rFonts w:asciiTheme="majorHAnsi" w:hAnsiTheme="majorHAnsi"/>
                <w:sz w:val="18"/>
                <w:szCs w:val="18"/>
                <w:lang w:val="sk-SK"/>
              </w:rPr>
            </w:pPr>
          </w:p>
        </w:tc>
        <w:tc>
          <w:tcPr>
            <w:tcW w:w="662" w:type="pct"/>
            <w:gridSpan w:val="2"/>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iCs/>
                <w:sz w:val="18"/>
                <w:szCs w:val="18"/>
                <w:lang w:val="sk-SK"/>
              </w:rPr>
              <w:t>Menej rozvinuté regióny</w:t>
            </w:r>
          </w:p>
        </w:tc>
        <w:tc>
          <w:tcPr>
            <w:tcW w:w="688" w:type="pct"/>
            <w:shd w:val="clear" w:color="auto" w:fill="auto"/>
            <w:vAlign w:val="center"/>
          </w:tcPr>
          <w:p w:rsidR="002E2C1E" w:rsidRPr="00DD473B" w:rsidRDefault="0098389F" w:rsidP="00A631A0">
            <w:pPr>
              <w:pStyle w:val="Text2"/>
              <w:ind w:left="0"/>
              <w:jc w:val="center"/>
              <w:rPr>
                <w:rFonts w:asciiTheme="majorHAnsi" w:hAnsiTheme="majorHAnsi"/>
                <w:sz w:val="18"/>
                <w:szCs w:val="18"/>
                <w:lang w:val="sk-SK"/>
              </w:rPr>
            </w:pPr>
            <w:r>
              <w:rPr>
                <w:rFonts w:asciiTheme="majorHAnsi" w:hAnsiTheme="majorHAnsi"/>
                <w:sz w:val="18"/>
                <w:szCs w:val="18"/>
                <w:lang w:val="sk-SK"/>
              </w:rPr>
              <w:t>2 100 851 137</w:t>
            </w:r>
          </w:p>
        </w:tc>
        <w:tc>
          <w:tcPr>
            <w:tcW w:w="592" w:type="pct"/>
            <w:tcBorders>
              <w:bottom w:val="single" w:sz="4" w:space="0" w:color="auto"/>
            </w:tcBorders>
            <w:shd w:val="clear" w:color="auto" w:fill="auto"/>
            <w:vAlign w:val="center"/>
          </w:tcPr>
          <w:p w:rsidR="002E2C1E" w:rsidRPr="00DD473B" w:rsidRDefault="00536179" w:rsidP="00A631A0">
            <w:pPr>
              <w:pStyle w:val="Text2"/>
              <w:ind w:left="0"/>
              <w:jc w:val="center"/>
              <w:rPr>
                <w:rFonts w:asciiTheme="majorHAnsi" w:hAnsiTheme="majorHAnsi"/>
                <w:sz w:val="18"/>
                <w:szCs w:val="18"/>
                <w:lang w:val="sk-SK"/>
              </w:rPr>
            </w:pPr>
            <w:r>
              <w:rPr>
                <w:rFonts w:asciiTheme="majorHAnsi" w:hAnsiTheme="majorHAnsi"/>
                <w:sz w:val="18"/>
                <w:szCs w:val="18"/>
                <w:lang w:val="sk-SK"/>
              </w:rPr>
              <w:t>12</w:t>
            </w:r>
            <w:r w:rsidR="002E2C1E" w:rsidRPr="00DD473B">
              <w:rPr>
                <w:rFonts w:asciiTheme="majorHAnsi" w:hAnsiTheme="majorHAnsi"/>
                <w:sz w:val="18"/>
                <w:szCs w:val="18"/>
                <w:lang w:val="sk-SK"/>
              </w:rPr>
              <w:t>2 175 259</w:t>
            </w:r>
          </w:p>
        </w:tc>
        <w:tc>
          <w:tcPr>
            <w:tcW w:w="478" w:type="pct"/>
            <w:tcBorders>
              <w:bottom w:val="single" w:sz="4" w:space="0" w:color="auto"/>
            </w:tcBorders>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9D7BA4" w:rsidP="00A631A0">
            <w:pPr>
              <w:pStyle w:val="Text2"/>
              <w:ind w:left="0"/>
              <w:jc w:val="center"/>
              <w:rPr>
                <w:rFonts w:asciiTheme="majorHAnsi" w:hAnsiTheme="majorHAnsi"/>
                <w:sz w:val="18"/>
                <w:szCs w:val="18"/>
                <w:lang w:val="sk-SK"/>
              </w:rPr>
            </w:pPr>
            <w:r>
              <w:rPr>
                <w:rFonts w:asciiTheme="majorHAnsi" w:hAnsiTheme="majorHAnsi"/>
                <w:sz w:val="18"/>
                <w:szCs w:val="18"/>
                <w:lang w:val="sk-SK"/>
              </w:rPr>
              <w:t xml:space="preserve"> </w:t>
            </w:r>
            <w:r w:rsidR="00536179">
              <w:rPr>
                <w:rFonts w:asciiTheme="majorHAnsi" w:hAnsiTheme="majorHAnsi"/>
                <w:sz w:val="18"/>
                <w:szCs w:val="18"/>
                <w:lang w:val="sk-SK"/>
              </w:rPr>
              <w:t>1 97</w:t>
            </w:r>
            <w:r w:rsidR="00045CDD">
              <w:rPr>
                <w:rFonts w:asciiTheme="majorHAnsi" w:hAnsiTheme="majorHAnsi"/>
                <w:sz w:val="18"/>
                <w:szCs w:val="18"/>
                <w:lang w:val="sk-SK"/>
              </w:rPr>
              <w:t>8 675 878</w:t>
            </w:r>
          </w:p>
        </w:tc>
        <w:tc>
          <w:tcPr>
            <w:tcW w:w="762" w:type="pct"/>
            <w:shd w:val="clear" w:color="auto" w:fill="auto"/>
            <w:vAlign w:val="center"/>
          </w:tcPr>
          <w:p w:rsidR="002E2C1E" w:rsidRPr="00FB1009" w:rsidRDefault="009D7BA4" w:rsidP="00A631A0">
            <w:pPr>
              <w:pStyle w:val="Text2"/>
              <w:ind w:left="0"/>
              <w:jc w:val="center"/>
              <w:rPr>
                <w:rFonts w:asciiTheme="majorHAnsi" w:hAnsiTheme="majorHAnsi"/>
                <w:sz w:val="18"/>
                <w:szCs w:val="18"/>
                <w:lang w:val="sk-SK"/>
              </w:rPr>
            </w:pPr>
            <w:r>
              <w:rPr>
                <w:rFonts w:asciiTheme="majorHAnsi" w:hAnsiTheme="majorHAnsi"/>
                <w:sz w:val="18"/>
                <w:szCs w:val="18"/>
                <w:lang w:val="sk-SK"/>
              </w:rPr>
              <w:t xml:space="preserve"> </w:t>
            </w:r>
            <w:r w:rsidR="00536179">
              <w:rPr>
                <w:rFonts w:asciiTheme="majorHAnsi" w:hAnsiTheme="majorHAnsi"/>
                <w:sz w:val="18"/>
                <w:szCs w:val="18"/>
                <w:lang w:val="sk-SK"/>
              </w:rPr>
              <w:t>118</w:t>
            </w:r>
            <w:r w:rsidR="00045CDD">
              <w:rPr>
                <w:rFonts w:asciiTheme="majorHAnsi" w:hAnsiTheme="majorHAnsi"/>
                <w:sz w:val="18"/>
                <w:szCs w:val="18"/>
                <w:lang w:val="sk-SK"/>
              </w:rPr>
              <w:t> 720 552,68</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6,00%</w:t>
            </w:r>
          </w:p>
        </w:tc>
      </w:tr>
      <w:tr w:rsidR="002E2C1E" w:rsidRPr="00DD473B" w:rsidTr="00202884">
        <w:tc>
          <w:tcPr>
            <w:tcW w:w="2885" w:type="pct"/>
            <w:gridSpan w:val="6"/>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CELKOM ESF</w:t>
            </w:r>
          </w:p>
        </w:tc>
        <w:tc>
          <w:tcPr>
            <w:tcW w:w="690" w:type="pct"/>
            <w:shd w:val="clear" w:color="auto" w:fill="auto"/>
            <w:vAlign w:val="center"/>
          </w:tcPr>
          <w:p w:rsidR="002E2C1E" w:rsidRPr="00DD473B" w:rsidRDefault="00045CDD" w:rsidP="00A631A0">
            <w:pPr>
              <w:pStyle w:val="Text2"/>
              <w:ind w:left="0"/>
              <w:jc w:val="center"/>
              <w:rPr>
                <w:rFonts w:asciiTheme="majorHAnsi" w:hAnsiTheme="majorHAnsi"/>
                <w:sz w:val="18"/>
                <w:szCs w:val="18"/>
                <w:lang w:val="sk-SK"/>
              </w:rPr>
            </w:pPr>
            <w:r>
              <w:rPr>
                <w:rFonts w:asciiTheme="majorHAnsi" w:hAnsiTheme="majorHAnsi"/>
                <w:sz w:val="18"/>
                <w:szCs w:val="18"/>
                <w:lang w:val="sk-SK"/>
              </w:rPr>
              <w:t>2 0</w:t>
            </w:r>
            <w:r w:rsidR="00302408">
              <w:rPr>
                <w:rFonts w:asciiTheme="majorHAnsi" w:hAnsiTheme="majorHAnsi"/>
                <w:sz w:val="18"/>
                <w:szCs w:val="18"/>
                <w:lang w:val="sk-SK"/>
              </w:rPr>
              <w:t>4</w:t>
            </w:r>
            <w:r>
              <w:rPr>
                <w:rFonts w:asciiTheme="majorHAnsi" w:hAnsiTheme="majorHAnsi"/>
                <w:sz w:val="18"/>
                <w:szCs w:val="18"/>
                <w:lang w:val="sk-SK"/>
              </w:rPr>
              <w:t>5 419 821</w:t>
            </w:r>
          </w:p>
        </w:tc>
        <w:tc>
          <w:tcPr>
            <w:tcW w:w="762" w:type="pct"/>
            <w:shd w:val="clear" w:color="auto" w:fill="auto"/>
            <w:vAlign w:val="center"/>
          </w:tcPr>
          <w:p w:rsidR="002E2C1E" w:rsidRPr="00FB1009" w:rsidRDefault="00045CDD" w:rsidP="00A631A0">
            <w:pPr>
              <w:pStyle w:val="Text2"/>
              <w:ind w:left="0"/>
              <w:jc w:val="center"/>
              <w:rPr>
                <w:rFonts w:asciiTheme="majorHAnsi" w:hAnsiTheme="majorHAnsi"/>
                <w:sz w:val="18"/>
                <w:szCs w:val="18"/>
                <w:lang w:val="sk-SK"/>
              </w:rPr>
            </w:pPr>
            <w:r>
              <w:rPr>
                <w:rFonts w:asciiTheme="majorHAnsi" w:hAnsiTheme="majorHAnsi"/>
                <w:sz w:val="18"/>
                <w:szCs w:val="18"/>
                <w:lang w:val="sk-SK"/>
              </w:rPr>
              <w:t>12</w:t>
            </w:r>
            <w:r w:rsidR="00302408">
              <w:rPr>
                <w:rFonts w:asciiTheme="majorHAnsi" w:hAnsiTheme="majorHAnsi"/>
                <w:sz w:val="18"/>
                <w:szCs w:val="18"/>
                <w:lang w:val="sk-SK"/>
              </w:rPr>
              <w:t>2</w:t>
            </w:r>
            <w:r>
              <w:rPr>
                <w:rFonts w:asciiTheme="majorHAnsi" w:hAnsiTheme="majorHAnsi"/>
                <w:sz w:val="18"/>
                <w:szCs w:val="18"/>
                <w:lang w:val="sk-SK"/>
              </w:rPr>
              <w:t> 725 189,26</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6,00%</w:t>
            </w:r>
          </w:p>
        </w:tc>
      </w:tr>
      <w:tr w:rsidR="002E2C1E" w:rsidRPr="00DD473B" w:rsidTr="00202884">
        <w:trPr>
          <w:trHeight w:val="70"/>
        </w:trPr>
        <w:tc>
          <w:tcPr>
            <w:tcW w:w="465" w:type="pct"/>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EPFRV</w:t>
            </w:r>
          </w:p>
        </w:tc>
        <w:tc>
          <w:tcPr>
            <w:tcW w:w="662" w:type="pct"/>
            <w:gridSpan w:val="2"/>
            <w:shd w:val="clear" w:color="auto" w:fill="auto"/>
          </w:tcPr>
          <w:p w:rsidR="002E2C1E" w:rsidRPr="00DD473B" w:rsidRDefault="002E2C1E" w:rsidP="00A631A0">
            <w:pPr>
              <w:pStyle w:val="Text2"/>
              <w:ind w:left="0"/>
              <w:rPr>
                <w:rFonts w:asciiTheme="majorHAnsi" w:hAnsiTheme="majorHAnsi"/>
                <w:sz w:val="18"/>
                <w:szCs w:val="18"/>
                <w:highlight w:val="yellow"/>
                <w:lang w:val="sk-SK"/>
              </w:rPr>
            </w:pPr>
            <w:r w:rsidRPr="00DD473B">
              <w:rPr>
                <w:rFonts w:asciiTheme="majorHAnsi" w:hAnsiTheme="majorHAnsi"/>
                <w:sz w:val="18"/>
                <w:szCs w:val="18"/>
                <w:lang w:val="sk-SK"/>
              </w:rPr>
              <w:t>N</w:t>
            </w:r>
            <w:r>
              <w:rPr>
                <w:rFonts w:asciiTheme="majorHAnsi" w:hAnsiTheme="majorHAnsi"/>
                <w:sz w:val="18"/>
                <w:szCs w:val="18"/>
                <w:lang w:val="sk-SK"/>
              </w:rPr>
              <w:t>/</w:t>
            </w:r>
            <w:r w:rsidRPr="00DD473B">
              <w:rPr>
                <w:rFonts w:asciiTheme="majorHAnsi" w:hAnsiTheme="majorHAnsi"/>
                <w:sz w:val="18"/>
                <w:szCs w:val="18"/>
                <w:lang w:val="sk-SK"/>
              </w:rPr>
              <w:t xml:space="preserve">A </w:t>
            </w:r>
          </w:p>
        </w:tc>
        <w:tc>
          <w:tcPr>
            <w:tcW w:w="688" w:type="pct"/>
            <w:shd w:val="clear" w:color="auto" w:fill="auto"/>
            <w:vAlign w:val="center"/>
          </w:tcPr>
          <w:p w:rsidR="002E2C1E" w:rsidRPr="00DD473B" w:rsidRDefault="009D7BA4" w:rsidP="00A631A0">
            <w:pPr>
              <w:pStyle w:val="Text2"/>
              <w:ind w:left="0"/>
              <w:jc w:val="center"/>
              <w:rPr>
                <w:rFonts w:asciiTheme="majorHAnsi" w:hAnsiTheme="majorHAnsi"/>
                <w:sz w:val="18"/>
                <w:szCs w:val="18"/>
                <w:lang w:val="sk-SK"/>
              </w:rPr>
            </w:pPr>
            <w:r>
              <w:rPr>
                <w:rFonts w:asciiTheme="majorHAnsi" w:hAnsiTheme="majorHAnsi"/>
                <w:sz w:val="18"/>
                <w:szCs w:val="18"/>
                <w:lang w:val="sk-SK"/>
              </w:rPr>
              <w:t xml:space="preserve"> </w:t>
            </w:r>
            <w:r w:rsidR="00D9678C" w:rsidRPr="004274FF">
              <w:rPr>
                <w:rFonts w:asciiTheme="majorHAnsi" w:hAnsiTheme="majorHAnsi"/>
                <w:sz w:val="18"/>
                <w:szCs w:val="18"/>
                <w:lang w:val="sk-SK"/>
              </w:rPr>
              <w:t>1 559 691</w:t>
            </w:r>
            <w:r w:rsidR="00D27515">
              <w:rPr>
                <w:rFonts w:asciiTheme="majorHAnsi" w:hAnsiTheme="majorHAnsi"/>
                <w:sz w:val="18"/>
                <w:szCs w:val="18"/>
                <w:lang w:val="sk-SK"/>
              </w:rPr>
              <w:t> </w:t>
            </w:r>
            <w:r w:rsidR="00D9678C" w:rsidRPr="004274FF">
              <w:rPr>
                <w:rFonts w:asciiTheme="majorHAnsi" w:hAnsiTheme="majorHAnsi"/>
                <w:sz w:val="18"/>
                <w:szCs w:val="18"/>
                <w:lang w:val="sk-SK"/>
              </w:rPr>
              <w:t>844</w:t>
            </w:r>
            <w:r w:rsidR="00D27515">
              <w:rPr>
                <w:rFonts w:asciiTheme="majorHAnsi" w:hAnsiTheme="majorHAnsi"/>
                <w:sz w:val="18"/>
                <w:szCs w:val="18"/>
                <w:lang w:val="sk-SK"/>
              </w:rPr>
              <w:t xml:space="preserve"> </w:t>
            </w:r>
          </w:p>
        </w:tc>
        <w:tc>
          <w:tcPr>
            <w:tcW w:w="592" w:type="pct"/>
            <w:tcBorders>
              <w:bottom w:val="single" w:sz="4" w:space="0" w:color="auto"/>
            </w:tcBorders>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478" w:type="pct"/>
            <w:tcBorders>
              <w:bottom w:val="single" w:sz="4" w:space="0" w:color="auto"/>
            </w:tcBorders>
            <w:vAlign w:val="center"/>
          </w:tcPr>
          <w:p w:rsidR="002E2C1E" w:rsidRPr="00DD473B" w:rsidRDefault="00D9678C" w:rsidP="00A631A0">
            <w:pPr>
              <w:pStyle w:val="Text2"/>
              <w:ind w:left="0"/>
              <w:jc w:val="center"/>
              <w:rPr>
                <w:rFonts w:asciiTheme="majorHAnsi" w:hAnsiTheme="majorHAnsi"/>
                <w:sz w:val="18"/>
                <w:szCs w:val="18"/>
                <w:lang w:val="sk-SK"/>
              </w:rPr>
            </w:pPr>
            <w:r w:rsidRPr="004274FF">
              <w:rPr>
                <w:rFonts w:asciiTheme="majorHAnsi" w:hAnsiTheme="majorHAnsi"/>
                <w:sz w:val="18"/>
                <w:szCs w:val="18"/>
                <w:lang w:val="sk-SK"/>
              </w:rPr>
              <w:t>14 419</w:t>
            </w:r>
            <w:r w:rsidR="00D27515">
              <w:rPr>
                <w:rFonts w:asciiTheme="majorHAnsi" w:hAnsiTheme="majorHAnsi"/>
                <w:sz w:val="18"/>
                <w:szCs w:val="18"/>
                <w:lang w:val="sk-SK"/>
              </w:rPr>
              <w:t> </w:t>
            </w:r>
            <w:r w:rsidRPr="004274FF">
              <w:rPr>
                <w:rFonts w:asciiTheme="majorHAnsi" w:hAnsiTheme="majorHAnsi"/>
                <w:sz w:val="18"/>
                <w:szCs w:val="18"/>
                <w:lang w:val="sk-SK"/>
              </w:rPr>
              <w:t>000</w:t>
            </w:r>
            <w:r w:rsidR="00D27515">
              <w:rPr>
                <w:rFonts w:asciiTheme="majorHAnsi" w:hAnsiTheme="majorHAnsi"/>
                <w:sz w:val="18"/>
                <w:szCs w:val="18"/>
                <w:lang w:val="sk-SK"/>
              </w:rPr>
              <w:t xml:space="preserve"> </w:t>
            </w:r>
          </w:p>
        </w:tc>
        <w:tc>
          <w:tcPr>
            <w:tcW w:w="690" w:type="pct"/>
            <w:shd w:val="clear" w:color="auto" w:fill="auto"/>
            <w:vAlign w:val="center"/>
          </w:tcPr>
          <w:p w:rsidR="002E2C1E" w:rsidRPr="00DD473B" w:rsidRDefault="00045CDD" w:rsidP="00A631A0">
            <w:pPr>
              <w:pStyle w:val="Text2"/>
              <w:ind w:left="0"/>
              <w:jc w:val="center"/>
              <w:rPr>
                <w:rFonts w:asciiTheme="majorHAnsi" w:hAnsiTheme="majorHAnsi"/>
                <w:sz w:val="18"/>
                <w:szCs w:val="18"/>
                <w:lang w:val="sk-SK"/>
              </w:rPr>
            </w:pPr>
            <w:r>
              <w:rPr>
                <w:rFonts w:asciiTheme="majorHAnsi" w:hAnsiTheme="majorHAnsi"/>
                <w:sz w:val="18"/>
                <w:szCs w:val="18"/>
                <w:lang w:val="sk-SK"/>
              </w:rPr>
              <w:t>1 545 272 844</w:t>
            </w:r>
          </w:p>
        </w:tc>
        <w:tc>
          <w:tcPr>
            <w:tcW w:w="762" w:type="pct"/>
            <w:shd w:val="clear" w:color="auto" w:fill="auto"/>
            <w:vAlign w:val="center"/>
          </w:tcPr>
          <w:p w:rsidR="002E2C1E" w:rsidRPr="00FB1009" w:rsidRDefault="00050117" w:rsidP="00A631A0">
            <w:pPr>
              <w:pStyle w:val="Text2"/>
              <w:ind w:left="0"/>
              <w:jc w:val="center"/>
              <w:rPr>
                <w:rFonts w:asciiTheme="majorHAnsi" w:hAnsiTheme="majorHAnsi"/>
                <w:sz w:val="18"/>
                <w:szCs w:val="18"/>
                <w:lang w:val="sk-SK"/>
              </w:rPr>
            </w:pPr>
            <w:r>
              <w:rPr>
                <w:rFonts w:asciiTheme="majorHAnsi" w:hAnsiTheme="majorHAnsi"/>
                <w:sz w:val="18"/>
                <w:szCs w:val="18"/>
                <w:lang w:val="sk-SK"/>
              </w:rPr>
              <w:t>92 716</w:t>
            </w:r>
            <w:r w:rsidR="00045CDD">
              <w:rPr>
                <w:rFonts w:asciiTheme="majorHAnsi" w:hAnsiTheme="majorHAnsi"/>
                <w:sz w:val="18"/>
                <w:szCs w:val="18"/>
                <w:lang w:val="sk-SK"/>
              </w:rPr>
              <w:t> </w:t>
            </w:r>
            <w:r>
              <w:rPr>
                <w:rFonts w:asciiTheme="majorHAnsi" w:hAnsiTheme="majorHAnsi"/>
                <w:sz w:val="18"/>
                <w:szCs w:val="18"/>
                <w:lang w:val="sk-SK"/>
              </w:rPr>
              <w:t>37</w:t>
            </w:r>
            <w:r w:rsidR="00045CDD">
              <w:rPr>
                <w:rFonts w:asciiTheme="majorHAnsi" w:hAnsiTheme="majorHAnsi"/>
                <w:sz w:val="18"/>
                <w:szCs w:val="18"/>
                <w:lang w:val="sk-SK"/>
              </w:rPr>
              <w:t>0,64</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6,00%</w:t>
            </w:r>
          </w:p>
        </w:tc>
      </w:tr>
      <w:tr w:rsidR="002E2C1E" w:rsidRPr="00DD473B" w:rsidTr="00202884">
        <w:tc>
          <w:tcPr>
            <w:tcW w:w="465" w:type="pct"/>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KF</w:t>
            </w:r>
          </w:p>
        </w:tc>
        <w:tc>
          <w:tcPr>
            <w:tcW w:w="662" w:type="pct"/>
            <w:gridSpan w:val="2"/>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N</w:t>
            </w:r>
            <w:r>
              <w:rPr>
                <w:rFonts w:asciiTheme="majorHAnsi" w:hAnsiTheme="majorHAnsi"/>
                <w:sz w:val="18"/>
                <w:szCs w:val="18"/>
                <w:lang w:val="sk-SK"/>
              </w:rPr>
              <w:t>/</w:t>
            </w:r>
            <w:r w:rsidRPr="00DD473B">
              <w:rPr>
                <w:rFonts w:asciiTheme="majorHAnsi" w:hAnsiTheme="majorHAnsi"/>
                <w:sz w:val="18"/>
                <w:szCs w:val="18"/>
                <w:lang w:val="sk-SK"/>
              </w:rPr>
              <w:t>A</w:t>
            </w:r>
          </w:p>
        </w:tc>
        <w:tc>
          <w:tcPr>
            <w:tcW w:w="688"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4 168 251 427</w:t>
            </w:r>
          </w:p>
        </w:tc>
        <w:tc>
          <w:tcPr>
            <w:tcW w:w="592"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478"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2E2C1E" w:rsidP="00A631A0">
            <w:pPr>
              <w:pStyle w:val="Text2"/>
              <w:ind w:left="0"/>
              <w:jc w:val="center"/>
              <w:rPr>
                <w:rFonts w:asciiTheme="majorHAnsi" w:hAnsiTheme="majorHAnsi"/>
                <w:sz w:val="18"/>
                <w:szCs w:val="18"/>
                <w:lang w:val="sk-SK"/>
              </w:rPr>
            </w:pPr>
            <w:r w:rsidRPr="00DD473B">
              <w:rPr>
                <w:rFonts w:asciiTheme="majorHAnsi" w:hAnsiTheme="majorHAnsi"/>
                <w:sz w:val="18"/>
                <w:szCs w:val="18"/>
                <w:lang w:val="sk-SK"/>
              </w:rPr>
              <w:t>4 168 251 427</w:t>
            </w:r>
          </w:p>
        </w:tc>
        <w:tc>
          <w:tcPr>
            <w:tcW w:w="762" w:type="pct"/>
            <w:shd w:val="clear" w:color="auto" w:fill="auto"/>
            <w:vAlign w:val="center"/>
          </w:tcPr>
          <w:p w:rsidR="002E2C1E" w:rsidRPr="00FB1009" w:rsidRDefault="002E2C1E" w:rsidP="00045CDD">
            <w:pPr>
              <w:pStyle w:val="Text2"/>
              <w:ind w:left="0"/>
              <w:jc w:val="center"/>
              <w:rPr>
                <w:rFonts w:asciiTheme="majorHAnsi" w:hAnsiTheme="majorHAnsi"/>
                <w:sz w:val="18"/>
                <w:szCs w:val="18"/>
                <w:lang w:val="sk-SK"/>
              </w:rPr>
            </w:pPr>
            <w:r>
              <w:rPr>
                <w:rFonts w:asciiTheme="majorHAnsi" w:hAnsiTheme="majorHAnsi"/>
                <w:sz w:val="18"/>
                <w:szCs w:val="18"/>
                <w:lang w:val="sk-SK"/>
              </w:rPr>
              <w:t>250 095</w:t>
            </w:r>
            <w:r w:rsidR="00045CDD">
              <w:rPr>
                <w:rFonts w:asciiTheme="majorHAnsi" w:hAnsiTheme="majorHAnsi"/>
                <w:sz w:val="18"/>
                <w:szCs w:val="18"/>
                <w:lang w:val="sk-SK"/>
              </w:rPr>
              <w:t> 085,62</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6,00%</w:t>
            </w:r>
          </w:p>
        </w:tc>
      </w:tr>
      <w:tr w:rsidR="002E2C1E" w:rsidRPr="00DD473B" w:rsidTr="00202884">
        <w:tc>
          <w:tcPr>
            <w:tcW w:w="465" w:type="pct"/>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ENRF</w:t>
            </w:r>
          </w:p>
        </w:tc>
        <w:tc>
          <w:tcPr>
            <w:tcW w:w="662" w:type="pct"/>
            <w:gridSpan w:val="2"/>
            <w:shd w:val="clear" w:color="auto" w:fill="auto"/>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N</w:t>
            </w:r>
            <w:r>
              <w:rPr>
                <w:rFonts w:asciiTheme="majorHAnsi" w:hAnsiTheme="majorHAnsi"/>
                <w:sz w:val="18"/>
                <w:szCs w:val="18"/>
                <w:lang w:val="sk-SK"/>
              </w:rPr>
              <w:t>/</w:t>
            </w:r>
            <w:r w:rsidRPr="00DD473B">
              <w:rPr>
                <w:rFonts w:asciiTheme="majorHAnsi" w:hAnsiTheme="majorHAnsi"/>
                <w:sz w:val="18"/>
                <w:szCs w:val="18"/>
                <w:lang w:val="sk-SK"/>
              </w:rPr>
              <w:t>A</w:t>
            </w:r>
          </w:p>
        </w:tc>
        <w:tc>
          <w:tcPr>
            <w:tcW w:w="688" w:type="pct"/>
            <w:shd w:val="clear" w:color="auto" w:fill="auto"/>
            <w:vAlign w:val="center"/>
          </w:tcPr>
          <w:p w:rsidR="002E2C1E" w:rsidRPr="00DD473B" w:rsidRDefault="00667938" w:rsidP="00A631A0">
            <w:pPr>
              <w:pStyle w:val="Text2"/>
              <w:ind w:left="0"/>
              <w:jc w:val="center"/>
              <w:rPr>
                <w:rFonts w:asciiTheme="majorHAnsi" w:hAnsiTheme="majorHAnsi"/>
                <w:sz w:val="18"/>
                <w:szCs w:val="18"/>
                <w:lang w:val="sk-SK"/>
              </w:rPr>
            </w:pPr>
            <w:r>
              <w:rPr>
                <w:rFonts w:asciiTheme="majorHAnsi" w:hAnsiTheme="majorHAnsi"/>
                <w:sz w:val="18"/>
                <w:szCs w:val="18"/>
                <w:lang w:val="sk-SK"/>
              </w:rPr>
              <w:t>15 785 000</w:t>
            </w:r>
          </w:p>
        </w:tc>
        <w:tc>
          <w:tcPr>
            <w:tcW w:w="592"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478" w:type="pct"/>
            <w:shd w:val="clear" w:color="auto" w:fill="D9D9D9"/>
            <w:vAlign w:val="center"/>
          </w:tcPr>
          <w:p w:rsidR="002E2C1E" w:rsidRPr="00DD473B" w:rsidRDefault="002E2C1E" w:rsidP="00A631A0">
            <w:pPr>
              <w:pStyle w:val="Text2"/>
              <w:ind w:left="0"/>
              <w:jc w:val="center"/>
              <w:rPr>
                <w:rFonts w:asciiTheme="majorHAnsi" w:hAnsiTheme="majorHAnsi"/>
                <w:sz w:val="18"/>
                <w:szCs w:val="18"/>
                <w:lang w:val="sk-SK"/>
              </w:rPr>
            </w:pPr>
          </w:p>
        </w:tc>
        <w:tc>
          <w:tcPr>
            <w:tcW w:w="690" w:type="pct"/>
            <w:shd w:val="clear" w:color="auto" w:fill="auto"/>
            <w:vAlign w:val="center"/>
          </w:tcPr>
          <w:p w:rsidR="002E2C1E" w:rsidRPr="00DD473B" w:rsidRDefault="00667938" w:rsidP="00A631A0">
            <w:pPr>
              <w:pStyle w:val="Text2"/>
              <w:ind w:left="0"/>
              <w:jc w:val="center"/>
              <w:rPr>
                <w:rFonts w:asciiTheme="majorHAnsi" w:hAnsiTheme="majorHAnsi"/>
                <w:sz w:val="18"/>
                <w:szCs w:val="18"/>
                <w:lang w:val="sk-SK"/>
              </w:rPr>
            </w:pPr>
            <w:r>
              <w:rPr>
                <w:rFonts w:asciiTheme="majorHAnsi" w:hAnsiTheme="majorHAnsi"/>
                <w:sz w:val="18"/>
                <w:szCs w:val="18"/>
                <w:lang w:val="sk-SK"/>
              </w:rPr>
              <w:t>15 785 000</w:t>
            </w:r>
          </w:p>
        </w:tc>
        <w:tc>
          <w:tcPr>
            <w:tcW w:w="762" w:type="pct"/>
            <w:shd w:val="clear" w:color="auto" w:fill="auto"/>
            <w:vAlign w:val="center"/>
          </w:tcPr>
          <w:p w:rsidR="002E2C1E" w:rsidRPr="00FB1009" w:rsidRDefault="00667938" w:rsidP="00A631A0">
            <w:pPr>
              <w:pStyle w:val="Text2"/>
              <w:ind w:left="0"/>
              <w:jc w:val="center"/>
              <w:rPr>
                <w:rFonts w:asciiTheme="majorHAnsi" w:hAnsiTheme="majorHAnsi"/>
                <w:sz w:val="18"/>
                <w:szCs w:val="18"/>
                <w:lang w:val="sk-SK"/>
              </w:rPr>
            </w:pPr>
            <w:r>
              <w:rPr>
                <w:rFonts w:asciiTheme="majorHAnsi" w:hAnsiTheme="majorHAnsi"/>
                <w:sz w:val="18"/>
                <w:szCs w:val="18"/>
                <w:lang w:val="sk-SK"/>
              </w:rPr>
              <w:t>947</w:t>
            </w:r>
            <w:r w:rsidR="00C26D1B">
              <w:rPr>
                <w:rFonts w:asciiTheme="majorHAnsi" w:hAnsiTheme="majorHAnsi"/>
                <w:sz w:val="18"/>
                <w:szCs w:val="18"/>
                <w:lang w:val="sk-SK"/>
              </w:rPr>
              <w:t> </w:t>
            </w:r>
            <w:r>
              <w:rPr>
                <w:rFonts w:asciiTheme="majorHAnsi" w:hAnsiTheme="majorHAnsi"/>
                <w:sz w:val="18"/>
                <w:szCs w:val="18"/>
                <w:lang w:val="sk-SK"/>
              </w:rPr>
              <w:t>100</w:t>
            </w:r>
            <w:r w:rsidR="00C26D1B">
              <w:rPr>
                <w:rFonts w:asciiTheme="majorHAnsi" w:hAnsiTheme="majorHAnsi"/>
                <w:sz w:val="18"/>
                <w:szCs w:val="18"/>
                <w:lang w:val="sk-SK"/>
              </w:rPr>
              <w:t>,00</w:t>
            </w:r>
          </w:p>
        </w:tc>
        <w:tc>
          <w:tcPr>
            <w:tcW w:w="663" w:type="pct"/>
            <w:vAlign w:val="center"/>
          </w:tcPr>
          <w:p w:rsidR="002E2C1E" w:rsidRPr="00FB1009" w:rsidRDefault="00667938" w:rsidP="00A631A0">
            <w:pPr>
              <w:pStyle w:val="Text2"/>
              <w:ind w:left="0"/>
              <w:jc w:val="center"/>
              <w:rPr>
                <w:rFonts w:asciiTheme="majorHAnsi" w:hAnsiTheme="majorHAnsi"/>
                <w:sz w:val="18"/>
                <w:szCs w:val="18"/>
                <w:lang w:val="sk-SK"/>
              </w:rPr>
            </w:pPr>
            <w:r>
              <w:rPr>
                <w:rFonts w:asciiTheme="majorHAnsi" w:hAnsiTheme="majorHAnsi"/>
                <w:sz w:val="18"/>
                <w:szCs w:val="18"/>
                <w:lang w:val="sk-SK"/>
              </w:rPr>
              <w:t>6,00%</w:t>
            </w:r>
          </w:p>
        </w:tc>
      </w:tr>
      <w:tr w:rsidR="002E2C1E" w:rsidRPr="00DD473B" w:rsidTr="00202884">
        <w:tc>
          <w:tcPr>
            <w:tcW w:w="465" w:type="pct"/>
            <w:shd w:val="clear" w:color="auto" w:fill="auto"/>
            <w:vAlign w:val="center"/>
          </w:tcPr>
          <w:p w:rsidR="002E2C1E" w:rsidRPr="00DD473B" w:rsidRDefault="002E2C1E" w:rsidP="00A631A0">
            <w:pPr>
              <w:pStyle w:val="Text2"/>
              <w:ind w:left="0"/>
              <w:rPr>
                <w:rFonts w:asciiTheme="majorHAnsi" w:hAnsiTheme="majorHAnsi"/>
                <w:sz w:val="18"/>
                <w:szCs w:val="18"/>
                <w:lang w:val="sk-SK"/>
              </w:rPr>
            </w:pPr>
            <w:r w:rsidRPr="00DD473B">
              <w:rPr>
                <w:rFonts w:asciiTheme="majorHAnsi" w:hAnsiTheme="majorHAnsi"/>
                <w:sz w:val="18"/>
                <w:szCs w:val="18"/>
                <w:lang w:val="sk-SK"/>
              </w:rPr>
              <w:t>CELKOM (Všetky fondy)</w:t>
            </w:r>
          </w:p>
        </w:tc>
        <w:tc>
          <w:tcPr>
            <w:tcW w:w="2420" w:type="pct"/>
            <w:gridSpan w:val="5"/>
            <w:shd w:val="clear" w:color="auto" w:fill="auto"/>
          </w:tcPr>
          <w:p w:rsidR="002E2C1E" w:rsidRPr="00DD473B" w:rsidRDefault="002E2C1E" w:rsidP="00A631A0">
            <w:pPr>
              <w:pStyle w:val="Text2"/>
              <w:ind w:left="0"/>
              <w:rPr>
                <w:rFonts w:asciiTheme="majorHAnsi" w:hAnsiTheme="majorHAnsi"/>
                <w:sz w:val="18"/>
                <w:szCs w:val="18"/>
                <w:lang w:val="sk-SK"/>
              </w:rPr>
            </w:pPr>
          </w:p>
        </w:tc>
        <w:tc>
          <w:tcPr>
            <w:tcW w:w="690" w:type="pct"/>
            <w:shd w:val="clear" w:color="auto" w:fill="auto"/>
            <w:vAlign w:val="center"/>
          </w:tcPr>
          <w:p w:rsidR="002E2C1E" w:rsidRPr="00F737DB" w:rsidRDefault="0067790A" w:rsidP="006C03D5">
            <w:pPr>
              <w:pStyle w:val="Text2"/>
              <w:ind w:left="16"/>
              <w:jc w:val="center"/>
              <w:rPr>
                <w:rFonts w:asciiTheme="majorHAnsi" w:hAnsiTheme="majorHAnsi"/>
                <w:sz w:val="18"/>
                <w:szCs w:val="18"/>
                <w:lang w:val="sk-SK"/>
              </w:rPr>
            </w:pPr>
            <w:r w:rsidRPr="00F737DB">
              <w:rPr>
                <w:rFonts w:ascii="Calibri" w:eastAsia="Times New Roman" w:hAnsi="Calibri"/>
                <w:sz w:val="18"/>
                <w:szCs w:val="18"/>
                <w:lang w:eastAsia="sk-SK"/>
              </w:rPr>
              <w:t>15 066 189</w:t>
            </w:r>
            <w:r w:rsidR="009D7BA4" w:rsidRPr="00F737DB">
              <w:rPr>
                <w:rFonts w:ascii="Calibri" w:eastAsia="Times New Roman" w:hAnsi="Calibri"/>
                <w:sz w:val="18"/>
                <w:szCs w:val="18"/>
                <w:lang w:eastAsia="sk-SK"/>
              </w:rPr>
              <w:t> </w:t>
            </w:r>
            <w:r w:rsidRPr="00F737DB">
              <w:rPr>
                <w:rFonts w:ascii="Calibri" w:eastAsia="Times New Roman" w:hAnsi="Calibri"/>
                <w:sz w:val="18"/>
                <w:szCs w:val="18"/>
                <w:lang w:eastAsia="sk-SK"/>
              </w:rPr>
              <w:t>314</w:t>
            </w:r>
            <w:r w:rsidR="009D7BA4" w:rsidRPr="00F737DB">
              <w:rPr>
                <w:rFonts w:ascii="Calibri" w:eastAsia="Times New Roman" w:hAnsi="Calibri"/>
                <w:sz w:val="18"/>
                <w:szCs w:val="18"/>
                <w:lang w:eastAsia="sk-SK"/>
              </w:rPr>
              <w:t xml:space="preserve"> </w:t>
            </w:r>
          </w:p>
        </w:tc>
        <w:tc>
          <w:tcPr>
            <w:tcW w:w="762" w:type="pct"/>
            <w:shd w:val="clear" w:color="auto" w:fill="auto"/>
            <w:vAlign w:val="center"/>
          </w:tcPr>
          <w:p w:rsidR="002E2C1E" w:rsidRPr="00F737DB" w:rsidRDefault="0067790A" w:rsidP="006C03D5">
            <w:pPr>
              <w:pStyle w:val="Text2"/>
              <w:ind w:left="38"/>
              <w:jc w:val="center"/>
              <w:rPr>
                <w:rFonts w:asciiTheme="majorHAnsi" w:hAnsiTheme="majorHAnsi"/>
                <w:sz w:val="18"/>
                <w:szCs w:val="18"/>
                <w:lang w:val="sk-SK"/>
              </w:rPr>
            </w:pPr>
            <w:r w:rsidRPr="00F737DB">
              <w:rPr>
                <w:rFonts w:ascii="Calibri" w:eastAsia="Times New Roman" w:hAnsi="Calibri"/>
                <w:color w:val="000000"/>
                <w:sz w:val="18"/>
                <w:szCs w:val="18"/>
                <w:lang w:eastAsia="sk-SK"/>
              </w:rPr>
              <w:t>903 971 358,84</w:t>
            </w:r>
            <w:r w:rsidR="009D7BA4" w:rsidRPr="00F737DB">
              <w:rPr>
                <w:rFonts w:ascii="Calibri" w:eastAsia="Times New Roman" w:hAnsi="Calibri"/>
                <w:color w:val="000000"/>
                <w:sz w:val="18"/>
                <w:szCs w:val="18"/>
                <w:lang w:eastAsia="sk-SK"/>
              </w:rPr>
              <w:t xml:space="preserve"> </w:t>
            </w:r>
          </w:p>
        </w:tc>
        <w:tc>
          <w:tcPr>
            <w:tcW w:w="663" w:type="pct"/>
            <w:vAlign w:val="center"/>
          </w:tcPr>
          <w:p w:rsidR="002E2C1E" w:rsidRPr="00FB1009" w:rsidRDefault="002E2C1E" w:rsidP="00A631A0">
            <w:pPr>
              <w:pStyle w:val="Text2"/>
              <w:ind w:left="0"/>
              <w:jc w:val="center"/>
              <w:rPr>
                <w:rFonts w:asciiTheme="majorHAnsi" w:hAnsiTheme="majorHAnsi"/>
                <w:sz w:val="18"/>
                <w:szCs w:val="18"/>
                <w:lang w:val="sk-SK"/>
              </w:rPr>
            </w:pPr>
            <w:r>
              <w:rPr>
                <w:rFonts w:asciiTheme="majorHAnsi" w:hAnsiTheme="majorHAnsi"/>
                <w:sz w:val="18"/>
                <w:szCs w:val="18"/>
                <w:lang w:val="sk-SK"/>
              </w:rPr>
              <w:t>6,00%</w:t>
            </w:r>
          </w:p>
        </w:tc>
      </w:tr>
    </w:tbl>
    <w:p w:rsidR="009D6566" w:rsidRDefault="00202884" w:rsidP="00202884">
      <w:pPr>
        <w:spacing w:before="0" w:after="0"/>
        <w:jc w:val="left"/>
        <w:rPr>
          <w:rFonts w:asciiTheme="majorHAnsi" w:hAnsiTheme="majorHAnsi"/>
          <w:szCs w:val="22"/>
        </w:rPr>
        <w:sectPr w:rsidR="009D6566" w:rsidSect="002E2C1E">
          <w:pgSz w:w="16838" w:h="11906" w:orient="landscape" w:code="9"/>
          <w:pgMar w:top="1418" w:right="1418" w:bottom="1418" w:left="1418" w:header="709" w:footer="709" w:gutter="0"/>
          <w:cols w:space="708"/>
          <w:docGrid w:linePitch="360"/>
        </w:sectPr>
      </w:pPr>
      <w:r>
        <w:rPr>
          <w:i/>
          <w:sz w:val="16"/>
          <w:szCs w:val="16"/>
        </w:rPr>
        <w:t xml:space="preserve">Pozn.: </w:t>
      </w:r>
      <w:r w:rsidR="00FF2DF8" w:rsidRPr="00FF2DF8">
        <w:rPr>
          <w:i/>
          <w:sz w:val="16"/>
          <w:szCs w:val="16"/>
        </w:rPr>
        <w:t>V súlade s článkom 20 nariadenia EP a Rady č. 1303/2013 na účely výpočtu výkonnostnej rezervy sú vylúčené finančné prostriedky prevedené z I. piliera SPP do EPFRV podľa čl. 7 ods. 2 a čl. 14 ods. 1 nariadenia (EÚ) č. 1307/2013 a prevody do EPFRV pri uplatňovaní čl. 10b, 136 a 136b nariadenia Rady (ES) č. 73/2009, pokiaľ ide o kalendárne roky 2013 resp. 2014. Na základe uvedeného je výkonnostná rezerva vo výške rovnej 6 % podpory Únie z EPFRV vypočítaná z pôvodnej alokácie 1 545 272 844 EUR, t. z. že do základu pre výpočet výkonnostnej rezervy nie je započítaná suma 14 419 000 EUR, o ktorú sa v rámci 1. modifikácie PRV SR 2014-2020 navýšila celková podpora Únie z EPFRV.</w:t>
      </w:r>
      <w:r w:rsidR="00FF2DF8">
        <w:rPr>
          <w:i/>
          <w:sz w:val="16"/>
          <w:szCs w:val="16"/>
        </w:rPr>
        <w:t xml:space="preserve"> </w:t>
      </w:r>
    </w:p>
    <w:p w:rsidR="003A6EA7" w:rsidRPr="00A11FE0" w:rsidRDefault="003A6EA7" w:rsidP="006F002B">
      <w:pPr>
        <w:pStyle w:val="Nadpis1"/>
        <w:numPr>
          <w:ilvl w:val="0"/>
          <w:numId w:val="2"/>
        </w:numPr>
      </w:pPr>
      <w:bookmarkStart w:id="635" w:name="_Toc377406495"/>
      <w:bookmarkStart w:id="636" w:name="_Toc377406496"/>
      <w:bookmarkStart w:id="637" w:name="_Toc377406497"/>
      <w:bookmarkStart w:id="638" w:name="_Toc377406498"/>
      <w:bookmarkStart w:id="639" w:name="_Toc378168735"/>
      <w:bookmarkStart w:id="640" w:name="_Toc490655228"/>
      <w:bookmarkEnd w:id="635"/>
      <w:bookmarkEnd w:id="636"/>
      <w:bookmarkEnd w:id="637"/>
      <w:bookmarkEnd w:id="638"/>
      <w:r w:rsidRPr="00A11FE0">
        <w:lastRenderedPageBreak/>
        <w:t>Opatrenia na zabezpečenie efektívnej implementácie EŠIF</w:t>
      </w:r>
      <w:bookmarkEnd w:id="639"/>
      <w:bookmarkEnd w:id="640"/>
    </w:p>
    <w:p w:rsidR="003A6EA7" w:rsidRPr="00A11FE0" w:rsidRDefault="003A6EA7" w:rsidP="006F002B">
      <w:pPr>
        <w:pStyle w:val="Nadpis2"/>
        <w:numPr>
          <w:ilvl w:val="1"/>
          <w:numId w:val="2"/>
        </w:numPr>
      </w:pPr>
      <w:bookmarkStart w:id="641" w:name="_Toc234004976"/>
      <w:bookmarkStart w:id="642" w:name="_Toc378168736"/>
      <w:bookmarkStart w:id="643" w:name="_Toc490655229"/>
      <w:r w:rsidRPr="00A11FE0">
        <w:t>Mechanizmy v</w:t>
      </w:r>
      <w:r w:rsidR="00FA6C7A">
        <w:t> </w:t>
      </w:r>
      <w:r w:rsidR="00BD5FD5">
        <w:t>s</w:t>
      </w:r>
      <w:r w:rsidRPr="00A11FE0">
        <w:t xml:space="preserve">úlade </w:t>
      </w:r>
      <w:r w:rsidR="00BD5FD5">
        <w:t>s</w:t>
      </w:r>
      <w:r w:rsidR="00FA6C7A">
        <w:t> </w:t>
      </w:r>
      <w:r w:rsidRPr="00A11FE0">
        <w:t xml:space="preserve">inštitucionálnym rámcom na zabezpečenie </w:t>
      </w:r>
      <w:r w:rsidR="00BD5FD5">
        <w:t>k</w:t>
      </w:r>
      <w:r w:rsidRPr="00A11FE0">
        <w:t xml:space="preserve">oordinácie medzi EŠIF </w:t>
      </w:r>
      <w:r w:rsidR="00BD5FD5">
        <w:t>a</w:t>
      </w:r>
      <w:r w:rsidR="00FA6C7A">
        <w:t> </w:t>
      </w:r>
      <w:r w:rsidR="009F6220">
        <w:t>inými</w:t>
      </w:r>
      <w:r w:rsidR="009F6220" w:rsidRPr="00A11FE0">
        <w:t xml:space="preserve"> </w:t>
      </w:r>
      <w:r w:rsidR="009F6220">
        <w:t xml:space="preserve">finančnými </w:t>
      </w:r>
      <w:r w:rsidRPr="00A11FE0">
        <w:t xml:space="preserve">nástrojmi </w:t>
      </w:r>
      <w:r w:rsidR="009F6220">
        <w:t>Únie a vnútroštátnymi finančnými nástrojmi a</w:t>
      </w:r>
      <w:r w:rsidR="00A47C26">
        <w:t> </w:t>
      </w:r>
      <w:r w:rsidR="00BD5FD5">
        <w:t>s</w:t>
      </w:r>
      <w:r w:rsidR="00FA6C7A">
        <w:t> </w:t>
      </w:r>
      <w:r w:rsidRPr="00A11FE0">
        <w:t>EIB</w:t>
      </w:r>
      <w:bookmarkEnd w:id="641"/>
      <w:bookmarkEnd w:id="642"/>
      <w:bookmarkEnd w:id="643"/>
    </w:p>
    <w:p w:rsidR="00186CED" w:rsidRPr="00186CED" w:rsidRDefault="00186CED" w:rsidP="0027382A">
      <w:pPr>
        <w:rPr>
          <w:rFonts w:asciiTheme="majorHAnsi" w:hAnsiTheme="majorHAnsi"/>
          <w:bCs/>
          <w:iCs/>
          <w:szCs w:val="22"/>
        </w:rPr>
      </w:pPr>
      <w:bookmarkStart w:id="644" w:name="_Toc378168737"/>
      <w:r w:rsidRPr="00186CED">
        <w:rPr>
          <w:rFonts w:asciiTheme="majorHAnsi" w:hAnsiTheme="majorHAnsi"/>
          <w:bCs/>
          <w:iCs/>
          <w:szCs w:val="22"/>
        </w:rPr>
        <w:t>Mechanizmus koordinácie medzi EŠIF a ostatnými nástrojmi podpory bude v podmienkach SR zabezpečovaný nasledovnými opatreniami na programovej a projektovej úrovni:</w:t>
      </w:r>
    </w:p>
    <w:p w:rsidR="00186CED" w:rsidRPr="00186CED" w:rsidRDefault="00186CED" w:rsidP="001C5C9E">
      <w:pPr>
        <w:numPr>
          <w:ilvl w:val="0"/>
          <w:numId w:val="21"/>
        </w:numPr>
        <w:spacing w:after="0"/>
        <w:ind w:left="714" w:hanging="357"/>
        <w:contextualSpacing/>
        <w:rPr>
          <w:rFonts w:asciiTheme="majorHAnsi" w:hAnsiTheme="majorHAnsi"/>
          <w:bCs/>
          <w:iCs/>
          <w:szCs w:val="22"/>
        </w:rPr>
      </w:pPr>
      <w:r w:rsidRPr="00186CED">
        <w:rPr>
          <w:rFonts w:asciiTheme="majorHAnsi" w:hAnsiTheme="majorHAnsi"/>
          <w:bCs/>
          <w:iCs/>
          <w:szCs w:val="22"/>
        </w:rPr>
        <w:t xml:space="preserve">zabezpečením harmonizácie právnej úpravy poskytovania </w:t>
      </w:r>
      <w:r w:rsidR="002D05F3">
        <w:rPr>
          <w:rFonts w:asciiTheme="majorHAnsi" w:hAnsiTheme="majorHAnsi"/>
          <w:bCs/>
          <w:iCs/>
          <w:szCs w:val="22"/>
        </w:rPr>
        <w:t>podpory</w:t>
      </w:r>
      <w:r w:rsidR="002D05F3" w:rsidRPr="00186CED">
        <w:rPr>
          <w:rFonts w:asciiTheme="majorHAnsi" w:hAnsiTheme="majorHAnsi"/>
          <w:bCs/>
          <w:iCs/>
          <w:szCs w:val="22"/>
        </w:rPr>
        <w:t xml:space="preserve"> </w:t>
      </w:r>
      <w:r w:rsidRPr="00186CED">
        <w:rPr>
          <w:rFonts w:asciiTheme="majorHAnsi" w:hAnsiTheme="majorHAnsi"/>
          <w:bCs/>
          <w:iCs/>
          <w:szCs w:val="22"/>
        </w:rPr>
        <w:t xml:space="preserve">z EPFRV a ENRF a ostatných EŠIF v podmienkach SR, pri zohľadnení špecifík poskytovania </w:t>
      </w:r>
      <w:r w:rsidR="002D05F3">
        <w:rPr>
          <w:rFonts w:asciiTheme="majorHAnsi" w:hAnsiTheme="majorHAnsi"/>
          <w:bCs/>
          <w:iCs/>
          <w:szCs w:val="22"/>
        </w:rPr>
        <w:t>podpory</w:t>
      </w:r>
      <w:r w:rsidR="002D05F3" w:rsidRPr="00186CED">
        <w:rPr>
          <w:rFonts w:asciiTheme="majorHAnsi" w:hAnsiTheme="majorHAnsi"/>
          <w:bCs/>
          <w:iCs/>
          <w:szCs w:val="22"/>
        </w:rPr>
        <w:t xml:space="preserve"> </w:t>
      </w:r>
      <w:r w:rsidRPr="00186CED">
        <w:rPr>
          <w:rFonts w:asciiTheme="majorHAnsi" w:hAnsiTheme="majorHAnsi"/>
          <w:bCs/>
          <w:iCs/>
          <w:szCs w:val="22"/>
        </w:rPr>
        <w:t>z EPFRV a ENRF;</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 xml:space="preserve">zabezpečením harmonizácie metodiky pre nastavenie procesov poskytovania a kontroly </w:t>
      </w:r>
      <w:r w:rsidR="002D05F3">
        <w:rPr>
          <w:rFonts w:asciiTheme="majorHAnsi" w:hAnsiTheme="majorHAnsi"/>
          <w:bCs/>
          <w:iCs/>
          <w:szCs w:val="22"/>
        </w:rPr>
        <w:t>podpory</w:t>
      </w:r>
      <w:r w:rsidR="002D05F3" w:rsidRPr="00186CED">
        <w:rPr>
          <w:rFonts w:asciiTheme="majorHAnsi" w:hAnsiTheme="majorHAnsi"/>
          <w:bCs/>
          <w:iCs/>
          <w:szCs w:val="22"/>
        </w:rPr>
        <w:t xml:space="preserve"> </w:t>
      </w:r>
      <w:r w:rsidRPr="00186CED">
        <w:rPr>
          <w:rFonts w:asciiTheme="majorHAnsi" w:hAnsiTheme="majorHAnsi"/>
          <w:bCs/>
          <w:iCs/>
          <w:szCs w:val="22"/>
        </w:rPr>
        <w:t>z EŠIF v podobe Systému riadenia a kontroly</w:t>
      </w:r>
      <w:r w:rsidR="004D2249">
        <w:rPr>
          <w:rFonts w:asciiTheme="majorHAnsi" w:hAnsiTheme="majorHAnsi"/>
          <w:bCs/>
          <w:iCs/>
          <w:szCs w:val="22"/>
        </w:rPr>
        <w:t>;</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zabezpečením harmonizácie podmienok Systému riadenia a kontroly s úpravou samostatného systému riadenia pre EPFRV a</w:t>
      </w:r>
      <w:r w:rsidR="004D6D4D">
        <w:rPr>
          <w:rFonts w:asciiTheme="majorHAnsi" w:hAnsiTheme="majorHAnsi"/>
          <w:bCs/>
          <w:iCs/>
          <w:szCs w:val="22"/>
        </w:rPr>
        <w:t> </w:t>
      </w:r>
      <w:r w:rsidRPr="00186CED">
        <w:rPr>
          <w:rFonts w:asciiTheme="majorHAnsi" w:hAnsiTheme="majorHAnsi"/>
          <w:bCs/>
          <w:iCs/>
          <w:szCs w:val="22"/>
        </w:rPr>
        <w:t>zapracovaním</w:t>
      </w:r>
      <w:r w:rsidR="004D6D4D">
        <w:rPr>
          <w:rFonts w:asciiTheme="majorHAnsi" w:hAnsiTheme="majorHAnsi"/>
          <w:bCs/>
          <w:iCs/>
          <w:szCs w:val="22"/>
        </w:rPr>
        <w:t xml:space="preserve"> </w:t>
      </w:r>
      <w:r w:rsidRPr="00186CED">
        <w:rPr>
          <w:rFonts w:asciiTheme="majorHAnsi" w:hAnsiTheme="majorHAnsi"/>
          <w:bCs/>
          <w:iCs/>
          <w:szCs w:val="22"/>
        </w:rPr>
        <w:t>spoločných mechanizmov monitorovania a zberu údajov za všetky EŠIF;</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 xml:space="preserve">zabezpečením vývoja a prevádzky jednotného informačného systému pre EŠIF (s výnimkou EPFRV) a jeho prepojením na samostatný informačný systém pre EPFRV s cieľom podpory implementácie jednotlivých programov a zberu a generovania potrebných dát pre účely monitorovania, hodnotenia a spoľahlivého informovania EÚ, ako aj verejnosti o využívaní finančnej </w:t>
      </w:r>
      <w:r w:rsidR="002D05F3">
        <w:rPr>
          <w:rFonts w:asciiTheme="majorHAnsi" w:hAnsiTheme="majorHAnsi"/>
          <w:bCs/>
          <w:iCs/>
          <w:szCs w:val="22"/>
        </w:rPr>
        <w:t>podpory</w:t>
      </w:r>
      <w:r w:rsidR="002D05F3" w:rsidRPr="00186CED">
        <w:rPr>
          <w:rFonts w:asciiTheme="majorHAnsi" w:hAnsiTheme="majorHAnsi"/>
          <w:bCs/>
          <w:iCs/>
          <w:szCs w:val="22"/>
        </w:rPr>
        <w:t xml:space="preserve"> </w:t>
      </w:r>
      <w:r w:rsidRPr="00186CED">
        <w:rPr>
          <w:rFonts w:asciiTheme="majorHAnsi" w:hAnsiTheme="majorHAnsi"/>
          <w:bCs/>
          <w:iCs/>
          <w:szCs w:val="22"/>
        </w:rPr>
        <w:t>EÚ. Poskytovaním dát a informácií z uvedených informačných systémov (</w:t>
      </w:r>
      <w:r w:rsidR="00A47C26">
        <w:rPr>
          <w:rFonts w:asciiTheme="majorHAnsi" w:hAnsiTheme="majorHAnsi"/>
          <w:bCs/>
          <w:iCs/>
          <w:szCs w:val="22"/>
        </w:rPr>
        <w:t>ďalej len „</w:t>
      </w:r>
      <w:r w:rsidRPr="00186CED">
        <w:rPr>
          <w:rFonts w:asciiTheme="majorHAnsi" w:hAnsiTheme="majorHAnsi"/>
          <w:bCs/>
          <w:iCs/>
          <w:szCs w:val="22"/>
        </w:rPr>
        <w:t>IS</w:t>
      </w:r>
      <w:r w:rsidR="00A47C26">
        <w:rPr>
          <w:rFonts w:asciiTheme="majorHAnsi" w:hAnsiTheme="majorHAnsi"/>
          <w:bCs/>
          <w:iCs/>
          <w:szCs w:val="22"/>
        </w:rPr>
        <w:t>“</w:t>
      </w:r>
      <w:r w:rsidRPr="00186CED">
        <w:rPr>
          <w:rFonts w:asciiTheme="majorHAnsi" w:hAnsiTheme="majorHAnsi"/>
          <w:bCs/>
          <w:iCs/>
          <w:szCs w:val="22"/>
        </w:rPr>
        <w:t xml:space="preserve">), ako aj IS pre ostatné nástroje podpory EÚ do samostatného centrálneho IS na úrovni SR v súlade s princípmi OpenData a otvoreného vládnutia, bude zabezpečené zamedzenie dvojitého financovania operácií. Takýto centrálny IS bude obsahovať osobitný modul zabezpečujúci prevenciu dvojitého financovania operácií a gestorom </w:t>
      </w:r>
      <w:r w:rsidR="001074BF">
        <w:rPr>
          <w:rFonts w:asciiTheme="majorHAnsi" w:hAnsiTheme="majorHAnsi"/>
          <w:bCs/>
          <w:iCs/>
          <w:szCs w:val="22"/>
        </w:rPr>
        <w:t xml:space="preserve">tohto IS </w:t>
      </w:r>
      <w:r w:rsidRPr="00186CED">
        <w:rPr>
          <w:rFonts w:asciiTheme="majorHAnsi" w:hAnsiTheme="majorHAnsi"/>
          <w:bCs/>
          <w:iCs/>
          <w:szCs w:val="22"/>
        </w:rPr>
        <w:t>bude Ú</w:t>
      </w:r>
      <w:r w:rsidR="00CD069E">
        <w:rPr>
          <w:rFonts w:asciiTheme="majorHAnsi" w:hAnsiTheme="majorHAnsi"/>
          <w:bCs/>
          <w:iCs/>
          <w:szCs w:val="22"/>
        </w:rPr>
        <w:t>PP</w:t>
      </w:r>
      <w:r w:rsidRPr="00186CED">
        <w:rPr>
          <w:rFonts w:asciiTheme="majorHAnsi" w:hAnsiTheme="majorHAnsi"/>
          <w:bCs/>
          <w:iCs/>
          <w:szCs w:val="22"/>
        </w:rPr>
        <w:t>V</w:t>
      </w:r>
      <w:r w:rsidR="00CD069E">
        <w:rPr>
          <w:rFonts w:asciiTheme="majorHAnsi" w:hAnsiTheme="majorHAnsi"/>
          <w:bCs/>
          <w:iCs/>
          <w:szCs w:val="22"/>
        </w:rPr>
        <w:t>II</w:t>
      </w:r>
      <w:r w:rsidRPr="00186CED">
        <w:rPr>
          <w:rFonts w:asciiTheme="majorHAnsi" w:hAnsiTheme="majorHAnsi"/>
          <w:bCs/>
          <w:iCs/>
          <w:szCs w:val="22"/>
        </w:rPr>
        <w:t>;</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 xml:space="preserve">aktívnou spoluprácou a usmerňovaním subjektov zapojených do poskytovania </w:t>
      </w:r>
      <w:r w:rsidR="002D05F3">
        <w:rPr>
          <w:rFonts w:asciiTheme="majorHAnsi" w:hAnsiTheme="majorHAnsi"/>
          <w:bCs/>
          <w:iCs/>
          <w:szCs w:val="22"/>
        </w:rPr>
        <w:t xml:space="preserve">podpory </w:t>
      </w:r>
      <w:r w:rsidRPr="00186CED">
        <w:rPr>
          <w:rFonts w:asciiTheme="majorHAnsi" w:hAnsiTheme="majorHAnsi"/>
          <w:bCs/>
          <w:iCs/>
          <w:szCs w:val="22"/>
        </w:rPr>
        <w:t xml:space="preserve">EÚ pri nastavovaní podmienok poskytovania </w:t>
      </w:r>
      <w:r w:rsidR="002D05F3">
        <w:rPr>
          <w:rFonts w:asciiTheme="majorHAnsi" w:hAnsiTheme="majorHAnsi"/>
          <w:bCs/>
          <w:iCs/>
          <w:szCs w:val="22"/>
        </w:rPr>
        <w:t>podpory</w:t>
      </w:r>
      <w:r w:rsidR="002D05F3" w:rsidRPr="00186CED">
        <w:rPr>
          <w:rFonts w:asciiTheme="majorHAnsi" w:hAnsiTheme="majorHAnsi"/>
          <w:bCs/>
          <w:iCs/>
          <w:szCs w:val="22"/>
        </w:rPr>
        <w:t xml:space="preserve"> </w:t>
      </w:r>
      <w:r w:rsidRPr="00186CED">
        <w:rPr>
          <w:rFonts w:asciiTheme="majorHAnsi" w:hAnsiTheme="majorHAnsi"/>
          <w:bCs/>
          <w:iCs/>
          <w:szCs w:val="22"/>
        </w:rPr>
        <w:t>na úrovni jednotlivých programov vo forme pripomienkovania hlavných dokumentov, metodickej a odbornej podpory a vytvorenia platformy pre jednotné postupy eliminácie rizík a riešenia krízových situácií. Uvedené opatrenie bude realizované povinným riadením programov vo forme plánov kontrahovania, čerpania a stavu dosahovania výsledkov, ktorých sledovanie, vyhodnocovanie</w:t>
      </w:r>
      <w:r w:rsidR="00DC368B">
        <w:rPr>
          <w:rFonts w:asciiTheme="majorHAnsi" w:hAnsiTheme="majorHAnsi"/>
          <w:bCs/>
          <w:iCs/>
          <w:szCs w:val="22"/>
        </w:rPr>
        <w:t>, navrhovanie a</w:t>
      </w:r>
      <w:r w:rsidR="004D6D4D">
        <w:rPr>
          <w:rFonts w:asciiTheme="majorHAnsi" w:hAnsiTheme="majorHAnsi"/>
          <w:bCs/>
          <w:iCs/>
          <w:szCs w:val="22"/>
        </w:rPr>
        <w:t> </w:t>
      </w:r>
      <w:r w:rsidR="00DC368B">
        <w:rPr>
          <w:rFonts w:asciiTheme="majorHAnsi" w:hAnsiTheme="majorHAnsi"/>
          <w:bCs/>
          <w:iCs/>
          <w:szCs w:val="22"/>
        </w:rPr>
        <w:t>koordinácia</w:t>
      </w:r>
      <w:r w:rsidR="004D6D4D">
        <w:rPr>
          <w:rFonts w:asciiTheme="majorHAnsi" w:hAnsiTheme="majorHAnsi"/>
          <w:bCs/>
          <w:iCs/>
          <w:szCs w:val="22"/>
        </w:rPr>
        <w:t xml:space="preserve"> </w:t>
      </w:r>
      <w:r w:rsidRPr="00186CED">
        <w:rPr>
          <w:rFonts w:asciiTheme="majorHAnsi" w:hAnsiTheme="majorHAnsi"/>
          <w:bCs/>
          <w:iCs/>
          <w:szCs w:val="22"/>
        </w:rPr>
        <w:t>prijímani</w:t>
      </w:r>
      <w:r w:rsidR="00DC368B">
        <w:rPr>
          <w:rFonts w:asciiTheme="majorHAnsi" w:hAnsiTheme="majorHAnsi"/>
          <w:bCs/>
          <w:iCs/>
          <w:szCs w:val="22"/>
        </w:rPr>
        <w:t>a</w:t>
      </w:r>
      <w:r w:rsidRPr="00186CED">
        <w:rPr>
          <w:rFonts w:asciiTheme="majorHAnsi" w:hAnsiTheme="majorHAnsi"/>
          <w:bCs/>
          <w:iCs/>
          <w:szCs w:val="22"/>
        </w:rPr>
        <w:t xml:space="preserve"> nápravných opatrení</w:t>
      </w:r>
      <w:r w:rsidR="002D05F3">
        <w:rPr>
          <w:rFonts w:asciiTheme="majorHAnsi" w:hAnsiTheme="majorHAnsi"/>
          <w:bCs/>
          <w:iCs/>
          <w:szCs w:val="22"/>
        </w:rPr>
        <w:t xml:space="preserve"> v prípade ich neplnenia</w:t>
      </w:r>
      <w:r w:rsidRPr="00186CED">
        <w:rPr>
          <w:rFonts w:asciiTheme="majorHAnsi" w:hAnsiTheme="majorHAnsi"/>
          <w:bCs/>
          <w:iCs/>
          <w:szCs w:val="22"/>
        </w:rPr>
        <w:t>, bude v gescii CKO;</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zriadením formálnej pracovnej komisie s pravidelným časovým intervalom jej zasadnutia za účelom zabezpečenia koordinácie medzi hlavnými programami EŠIF navzájom, ako aj medzi programami EŠIF a programami Európskej územnej spolupráce, resp. ostatnými nástrojmi podpory EÚ a</w:t>
      </w:r>
      <w:r w:rsidR="00A47C26">
        <w:rPr>
          <w:rFonts w:asciiTheme="majorHAnsi" w:hAnsiTheme="majorHAnsi"/>
          <w:bCs/>
          <w:iCs/>
          <w:szCs w:val="22"/>
        </w:rPr>
        <w:t> </w:t>
      </w:r>
      <w:r w:rsidRPr="00186CED">
        <w:rPr>
          <w:rFonts w:asciiTheme="majorHAnsi" w:hAnsiTheme="majorHAnsi"/>
          <w:bCs/>
          <w:iCs/>
          <w:szCs w:val="22"/>
        </w:rPr>
        <w:t xml:space="preserve">SR. Gestorom pracovnej komisie bude </w:t>
      </w:r>
      <w:r w:rsidR="00DE1106">
        <w:rPr>
          <w:rFonts w:asciiTheme="majorHAnsi" w:hAnsiTheme="majorHAnsi"/>
          <w:bCs/>
          <w:iCs/>
          <w:szCs w:val="22"/>
        </w:rPr>
        <w:t>ÚPPVII</w:t>
      </w:r>
      <w:r w:rsidRPr="00186CED">
        <w:rPr>
          <w:rFonts w:asciiTheme="majorHAnsi" w:hAnsiTheme="majorHAnsi"/>
          <w:bCs/>
          <w:iCs/>
          <w:szCs w:val="22"/>
        </w:rPr>
        <w:t xml:space="preserve">. Členmi pracovnej komisie budú </w:t>
      </w:r>
      <w:r w:rsidR="00D77A3A">
        <w:rPr>
          <w:rFonts w:asciiTheme="majorHAnsi" w:hAnsiTheme="majorHAnsi"/>
          <w:bCs/>
          <w:iCs/>
          <w:szCs w:val="22"/>
        </w:rPr>
        <w:t>expertní</w:t>
      </w:r>
      <w:r w:rsidR="00D77A3A" w:rsidRPr="00186CED">
        <w:rPr>
          <w:rFonts w:asciiTheme="majorHAnsi" w:hAnsiTheme="majorHAnsi"/>
          <w:bCs/>
          <w:iCs/>
          <w:szCs w:val="22"/>
        </w:rPr>
        <w:t xml:space="preserve"> </w:t>
      </w:r>
      <w:r w:rsidRPr="00186CED">
        <w:rPr>
          <w:rFonts w:asciiTheme="majorHAnsi" w:hAnsiTheme="majorHAnsi"/>
          <w:bCs/>
          <w:iCs/>
          <w:szCs w:val="22"/>
        </w:rPr>
        <w:t>zástupcovia subjektov zodpovedných za implementáciu programov EŠIF a identifikovaných nástrojov podpory EÚ a SR. Subjekty zodpovedné za implementáciu programov EŠIF budú predkladať v pravidelných časových intervaloch gestorovi pracovnej komisie časový harmonogram plánovaných výziev na predkladanie žiadostí</w:t>
      </w:r>
      <w:r w:rsidR="004D2249">
        <w:rPr>
          <w:rFonts w:asciiTheme="majorHAnsi" w:hAnsiTheme="majorHAnsi"/>
          <w:bCs/>
          <w:iCs/>
          <w:szCs w:val="22"/>
        </w:rPr>
        <w:t xml:space="preserve"> o podporu</w:t>
      </w:r>
      <w:r w:rsidRPr="00186CED">
        <w:rPr>
          <w:rFonts w:asciiTheme="majorHAnsi" w:hAnsiTheme="majorHAnsi"/>
          <w:bCs/>
          <w:iCs/>
          <w:szCs w:val="22"/>
        </w:rPr>
        <w:t xml:space="preserve"> za účelom  identifikácie komplementarity s poskytovaním prostriedkov z iných nástrojov podpory EÚ a</w:t>
      </w:r>
      <w:r w:rsidR="00F874F4">
        <w:rPr>
          <w:rFonts w:asciiTheme="majorHAnsi" w:hAnsiTheme="majorHAnsi"/>
          <w:bCs/>
          <w:iCs/>
          <w:szCs w:val="22"/>
        </w:rPr>
        <w:t> </w:t>
      </w:r>
      <w:r w:rsidRPr="00186CED">
        <w:rPr>
          <w:rFonts w:asciiTheme="majorHAnsi" w:hAnsiTheme="majorHAnsi"/>
          <w:bCs/>
          <w:iCs/>
          <w:szCs w:val="22"/>
        </w:rPr>
        <w:t xml:space="preserve">SR. Zároveň budú zasielať gestorovi pracovnej komisie jednotlivé návrhy výziev na predkladanie žiadostí na </w:t>
      </w:r>
      <w:r w:rsidR="002644BF">
        <w:rPr>
          <w:rFonts w:asciiTheme="majorHAnsi" w:hAnsiTheme="majorHAnsi"/>
          <w:bCs/>
          <w:iCs/>
          <w:szCs w:val="22"/>
        </w:rPr>
        <w:t>posúdenie</w:t>
      </w:r>
      <w:r w:rsidR="002644BF" w:rsidRPr="00186CED">
        <w:rPr>
          <w:rFonts w:asciiTheme="majorHAnsi" w:hAnsiTheme="majorHAnsi"/>
          <w:bCs/>
          <w:iCs/>
          <w:szCs w:val="22"/>
        </w:rPr>
        <w:t xml:space="preserve"> </w:t>
      </w:r>
      <w:r w:rsidRPr="00186CED">
        <w:rPr>
          <w:rFonts w:asciiTheme="majorHAnsi" w:hAnsiTheme="majorHAnsi"/>
          <w:bCs/>
          <w:iCs/>
          <w:szCs w:val="22"/>
        </w:rPr>
        <w:t>súladu zabezpečenia</w:t>
      </w:r>
      <w:r w:rsidR="004D2249">
        <w:rPr>
          <w:rFonts w:asciiTheme="majorHAnsi" w:hAnsiTheme="majorHAnsi"/>
          <w:bCs/>
          <w:iCs/>
          <w:szCs w:val="22"/>
        </w:rPr>
        <w:t xml:space="preserve"> </w:t>
      </w:r>
      <w:r w:rsidRPr="00186CED">
        <w:rPr>
          <w:rFonts w:asciiTheme="majorHAnsi" w:hAnsiTheme="majorHAnsi"/>
          <w:bCs/>
          <w:iCs/>
          <w:szCs w:val="22"/>
        </w:rPr>
        <w:t>komplementarity medzi ostatnými nástrojmi podpory EÚ a</w:t>
      </w:r>
      <w:r w:rsidR="00F874F4">
        <w:rPr>
          <w:rFonts w:asciiTheme="majorHAnsi" w:hAnsiTheme="majorHAnsi"/>
          <w:bCs/>
          <w:iCs/>
          <w:szCs w:val="22"/>
        </w:rPr>
        <w:t> </w:t>
      </w:r>
      <w:r w:rsidRPr="00186CED">
        <w:rPr>
          <w:rFonts w:asciiTheme="majorHAnsi" w:hAnsiTheme="majorHAnsi"/>
          <w:bCs/>
          <w:iCs/>
          <w:szCs w:val="22"/>
        </w:rPr>
        <w:t>SR k EŠIF v identifikovaných oblastiach podpory pred ich zverejnením</w:t>
      </w:r>
      <w:r w:rsidR="00F874F4">
        <w:rPr>
          <w:rFonts w:asciiTheme="majorHAnsi" w:hAnsiTheme="majorHAnsi"/>
          <w:bCs/>
          <w:iCs/>
          <w:szCs w:val="22"/>
        </w:rPr>
        <w:t>, tak aby nebol dotknutý plánovaný časový harmonogram zverejnenia výziev</w:t>
      </w:r>
      <w:r w:rsidRPr="00186CED">
        <w:rPr>
          <w:rFonts w:asciiTheme="majorHAnsi" w:hAnsiTheme="majorHAnsi"/>
          <w:bCs/>
          <w:iCs/>
          <w:szCs w:val="22"/>
        </w:rPr>
        <w:t>. V prípade, ak navrhované znenie výzvy na predkladanie žiadostí</w:t>
      </w:r>
      <w:r w:rsidR="004D2249">
        <w:rPr>
          <w:rFonts w:asciiTheme="majorHAnsi" w:hAnsiTheme="majorHAnsi"/>
          <w:bCs/>
          <w:iCs/>
          <w:szCs w:val="22"/>
        </w:rPr>
        <w:t xml:space="preserve"> o podporu</w:t>
      </w:r>
      <w:r w:rsidRPr="00186CED">
        <w:rPr>
          <w:rFonts w:asciiTheme="majorHAnsi" w:hAnsiTheme="majorHAnsi"/>
          <w:bCs/>
          <w:iCs/>
          <w:szCs w:val="22"/>
        </w:rPr>
        <w:t xml:space="preserve"> nebude v súlade s identifikovanou komplementaritou, bude v právomoci </w:t>
      </w:r>
      <w:r w:rsidR="00D20E19">
        <w:rPr>
          <w:rFonts w:asciiTheme="majorHAnsi" w:hAnsiTheme="majorHAnsi"/>
          <w:bCs/>
          <w:iCs/>
          <w:szCs w:val="22"/>
        </w:rPr>
        <w:t xml:space="preserve">gestora </w:t>
      </w:r>
      <w:r w:rsidR="00D77A3A">
        <w:rPr>
          <w:rFonts w:asciiTheme="majorHAnsi" w:hAnsiTheme="majorHAnsi"/>
          <w:bCs/>
          <w:iCs/>
          <w:szCs w:val="22"/>
        </w:rPr>
        <w:t>pracovnej komisie</w:t>
      </w:r>
      <w:r w:rsidR="00D77A3A" w:rsidRPr="00186CED">
        <w:rPr>
          <w:rFonts w:asciiTheme="majorHAnsi" w:hAnsiTheme="majorHAnsi"/>
          <w:bCs/>
          <w:iCs/>
          <w:szCs w:val="22"/>
        </w:rPr>
        <w:t xml:space="preserve"> </w:t>
      </w:r>
      <w:r w:rsidR="000D1FFC" w:rsidRPr="000D1FFC">
        <w:rPr>
          <w:rFonts w:asciiTheme="majorHAnsi" w:hAnsiTheme="majorHAnsi"/>
          <w:bCs/>
          <w:iCs/>
          <w:szCs w:val="22"/>
        </w:rPr>
        <w:t>požiadať o</w:t>
      </w:r>
      <w:r w:rsidR="00517F4C">
        <w:rPr>
          <w:rFonts w:asciiTheme="majorHAnsi" w:hAnsiTheme="majorHAnsi"/>
          <w:bCs/>
          <w:iCs/>
          <w:szCs w:val="22"/>
        </w:rPr>
        <w:t xml:space="preserve"> príslušnú </w:t>
      </w:r>
      <w:r w:rsidR="000D1FFC" w:rsidRPr="000D1FFC">
        <w:rPr>
          <w:rFonts w:asciiTheme="majorHAnsi" w:hAnsiTheme="majorHAnsi"/>
          <w:bCs/>
          <w:iCs/>
          <w:szCs w:val="22"/>
        </w:rPr>
        <w:t>úpravu takejto výzvy</w:t>
      </w:r>
      <w:r w:rsidR="00434258">
        <w:rPr>
          <w:rFonts w:asciiTheme="majorHAnsi" w:hAnsiTheme="majorHAnsi"/>
          <w:bCs/>
          <w:iCs/>
          <w:szCs w:val="22"/>
        </w:rPr>
        <w:t>.</w:t>
      </w:r>
      <w:r w:rsidRPr="00186CED">
        <w:rPr>
          <w:rFonts w:asciiTheme="majorHAnsi" w:hAnsiTheme="majorHAnsi"/>
          <w:bCs/>
          <w:iCs/>
          <w:szCs w:val="22"/>
        </w:rPr>
        <w:t xml:space="preserve"> Uvedenou koordináciou sa zabezpečí aj povinná spolupráca zástupcov subjektov zodpovedných za programy EŠIF so zástupcami inštitúcií zodpovednými za implementáciu tematicky príslušných ostatných nástrojov podpory EÚ a SR </w:t>
      </w:r>
      <w:r w:rsidR="00B20FA1">
        <w:rPr>
          <w:rFonts w:asciiTheme="majorHAnsi" w:hAnsiTheme="majorHAnsi"/>
          <w:bCs/>
          <w:iCs/>
          <w:szCs w:val="22"/>
        </w:rPr>
        <w:t xml:space="preserve">nielen </w:t>
      </w:r>
      <w:r w:rsidRPr="00186CED">
        <w:rPr>
          <w:rFonts w:asciiTheme="majorHAnsi" w:hAnsiTheme="majorHAnsi"/>
          <w:bCs/>
          <w:iCs/>
          <w:szCs w:val="22"/>
        </w:rPr>
        <w:lastRenderedPageBreak/>
        <w:t>v procese prípravy výzvy</w:t>
      </w:r>
      <w:r w:rsidR="00B20FA1">
        <w:rPr>
          <w:rFonts w:asciiTheme="majorHAnsi" w:hAnsiTheme="majorHAnsi"/>
          <w:bCs/>
          <w:iCs/>
          <w:szCs w:val="22"/>
        </w:rPr>
        <w:t>,</w:t>
      </w:r>
      <w:r w:rsidRPr="00186CED">
        <w:rPr>
          <w:rFonts w:asciiTheme="majorHAnsi" w:hAnsiTheme="majorHAnsi"/>
          <w:bCs/>
          <w:iCs/>
          <w:szCs w:val="22"/>
        </w:rPr>
        <w:t xml:space="preserve"> a</w:t>
      </w:r>
      <w:r w:rsidR="00B20FA1">
        <w:rPr>
          <w:rFonts w:asciiTheme="majorHAnsi" w:hAnsiTheme="majorHAnsi"/>
          <w:bCs/>
          <w:iCs/>
          <w:szCs w:val="22"/>
        </w:rPr>
        <w:t xml:space="preserve">le aj ďalších </w:t>
      </w:r>
      <w:r w:rsidRPr="00186CED">
        <w:rPr>
          <w:rFonts w:asciiTheme="majorHAnsi" w:hAnsiTheme="majorHAnsi"/>
          <w:bCs/>
          <w:iCs/>
          <w:szCs w:val="22"/>
        </w:rPr>
        <w:t>súvisiacich proces</w:t>
      </w:r>
      <w:r w:rsidR="00B20FA1">
        <w:rPr>
          <w:rFonts w:asciiTheme="majorHAnsi" w:hAnsiTheme="majorHAnsi"/>
          <w:bCs/>
          <w:iCs/>
          <w:szCs w:val="22"/>
        </w:rPr>
        <w:t>och</w:t>
      </w:r>
      <w:r w:rsidR="00D77A3A">
        <w:rPr>
          <w:rFonts w:asciiTheme="majorHAnsi" w:hAnsiTheme="majorHAnsi"/>
          <w:bCs/>
          <w:iCs/>
          <w:szCs w:val="22"/>
        </w:rPr>
        <w:t xml:space="preserve">, </w:t>
      </w:r>
      <w:r w:rsidR="00D77A3A" w:rsidRPr="00D77A3A">
        <w:rPr>
          <w:rFonts w:asciiTheme="majorHAnsi" w:hAnsiTheme="majorHAnsi"/>
          <w:bCs/>
          <w:iCs/>
          <w:szCs w:val="22"/>
        </w:rPr>
        <w:t>vrátane prijímania nápravných opatrení CKO</w:t>
      </w:r>
      <w:r w:rsidRPr="00186CED">
        <w:rPr>
          <w:rFonts w:asciiTheme="majorHAnsi" w:hAnsiTheme="majorHAnsi"/>
          <w:bCs/>
          <w:iCs/>
          <w:szCs w:val="22"/>
        </w:rPr>
        <w:t>;</w:t>
      </w:r>
    </w:p>
    <w:p w:rsid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prípravou informácie s pravidelným časovým intervalom na rokovanie vlády SR o uplatňovaní mechanizmov koordinácie medzi EŠIF a ostatnými nástrojmi podpory, vrátane identifikácie nedostatkov a príslušných nápravných opatrení na zlepšenie tohto mechanizmu;</w:t>
      </w:r>
    </w:p>
    <w:p w:rsidR="00B20FA1" w:rsidRPr="00186CED" w:rsidRDefault="00B20FA1" w:rsidP="001C5C9E">
      <w:pPr>
        <w:numPr>
          <w:ilvl w:val="0"/>
          <w:numId w:val="21"/>
        </w:numPr>
        <w:spacing w:after="0"/>
        <w:contextualSpacing/>
        <w:rPr>
          <w:rFonts w:asciiTheme="majorHAnsi" w:hAnsiTheme="majorHAnsi"/>
          <w:bCs/>
          <w:iCs/>
          <w:szCs w:val="22"/>
        </w:rPr>
      </w:pPr>
      <w:r>
        <w:rPr>
          <w:rFonts w:asciiTheme="majorHAnsi" w:hAnsiTheme="majorHAnsi"/>
          <w:bCs/>
          <w:iCs/>
          <w:szCs w:val="22"/>
        </w:rPr>
        <w:t>spoločnými aktivitami v oblasti informovania a publicity;</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pravidelným organizovaním školiacich aktivít, workshopov a konferencií pre zástupcov relevantných sociálno-ekonomických partnerov na národnej a regionálnej úrovni, vrátane výmeny skúseností a príkladov dobrej praxe so zahraničnými partnermi;</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 xml:space="preserve">koordináciou poskytovania informácií a odborného poradenstva o možnostiach financovania z EŠIF a ostatných nástrojov podpory s cieľom zabezpečenia lepšej dostupnosti informácií pre širokú verejnosť. V rámci plánovaného opatrenia bude zanalyzovaný aktuálny stav v oblasti poskytovania informácií inštitúciami, ktoré už v programovom období 2007 – 2013 pôsobia na regionálnej úrovni. Cieľom bude vytvoriť na národnej úrovni jednotné centrum poskytujúce komplexné informácie o možnostiach využívania pomoci </w:t>
      </w:r>
      <w:r w:rsidR="00B20FA1">
        <w:rPr>
          <w:rFonts w:asciiTheme="majorHAnsi" w:hAnsiTheme="majorHAnsi"/>
          <w:bCs/>
          <w:iCs/>
          <w:szCs w:val="22"/>
        </w:rPr>
        <w:t>nástrojov podpory</w:t>
      </w:r>
      <w:r w:rsidRPr="00186CED">
        <w:rPr>
          <w:rFonts w:asciiTheme="majorHAnsi" w:hAnsiTheme="majorHAnsi"/>
          <w:bCs/>
          <w:iCs/>
          <w:szCs w:val="22"/>
        </w:rPr>
        <w:t xml:space="preserve"> EÚ</w:t>
      </w:r>
      <w:r w:rsidR="00B20FA1">
        <w:rPr>
          <w:rFonts w:asciiTheme="majorHAnsi" w:hAnsiTheme="majorHAnsi"/>
          <w:bCs/>
          <w:iCs/>
          <w:szCs w:val="22"/>
        </w:rPr>
        <w:t xml:space="preserve"> a SR</w:t>
      </w:r>
      <w:r w:rsidRPr="00186CED">
        <w:rPr>
          <w:rFonts w:asciiTheme="majorHAnsi" w:hAnsiTheme="majorHAnsi"/>
          <w:bCs/>
          <w:iCs/>
          <w:szCs w:val="22"/>
        </w:rPr>
        <w:t xml:space="preserve"> (prostredníctvom vytvorenia jednotného informačné</w:t>
      </w:r>
      <w:r w:rsidR="00391A26">
        <w:rPr>
          <w:rFonts w:asciiTheme="majorHAnsi" w:hAnsiTheme="majorHAnsi"/>
          <w:bCs/>
          <w:iCs/>
          <w:szCs w:val="22"/>
        </w:rPr>
        <w:t xml:space="preserve">ho </w:t>
      </w:r>
      <w:r w:rsidRPr="00186CED">
        <w:rPr>
          <w:rFonts w:asciiTheme="majorHAnsi" w:hAnsiTheme="majorHAnsi"/>
          <w:bCs/>
          <w:iCs/>
          <w:szCs w:val="22"/>
        </w:rPr>
        <w:t>centr</w:t>
      </w:r>
      <w:r w:rsidR="00391A26">
        <w:rPr>
          <w:rFonts w:asciiTheme="majorHAnsi" w:hAnsiTheme="majorHAnsi"/>
          <w:bCs/>
          <w:iCs/>
          <w:szCs w:val="22"/>
        </w:rPr>
        <w:t>a</w:t>
      </w:r>
      <w:r w:rsidRPr="00186CED">
        <w:rPr>
          <w:rFonts w:asciiTheme="majorHAnsi" w:hAnsiTheme="majorHAnsi"/>
          <w:bCs/>
          <w:iCs/>
          <w:szCs w:val="22"/>
        </w:rPr>
        <w:t>, jednotnej webovej platformy a pod.) a optimálny model regionálnej siete informačných a poradenských centier, ktoré by poskytovali podporu a poradenstvo pre žiadateľov a prijímateľov EŠIF tak, aby sa dosiahla možnosť získania všetkých potrebných informácií pre žiadateľa/prijímateľa na jednom mieste. Navrhované opatrenia budú vykonávané v úzkej spolupráci zástupcov EPFRV a ENRF tak, aby bolo možné aktivity v oblasti informovanosti prepojiť naprieč všetkými EŠIF;</w:t>
      </w:r>
    </w:p>
    <w:p w:rsidR="00186CED" w:rsidRPr="00186CED"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stanovením kritérií pre zvýhodnenie tých žiadostí vo výberovom procese, ktoré preukážu prepojenie financovania programov EŠIF s ostatnými nástrojmi podpory v prípade vhodnosti a relevancie predmetných výziev k aktivitám podporovaný</w:t>
      </w:r>
      <w:r w:rsidR="004D2249">
        <w:rPr>
          <w:rFonts w:asciiTheme="majorHAnsi" w:hAnsiTheme="majorHAnsi"/>
          <w:bCs/>
          <w:iCs/>
          <w:szCs w:val="22"/>
        </w:rPr>
        <w:t>ch</w:t>
      </w:r>
      <w:r w:rsidRPr="00186CED">
        <w:rPr>
          <w:rFonts w:asciiTheme="majorHAnsi" w:hAnsiTheme="majorHAnsi"/>
          <w:bCs/>
          <w:iCs/>
          <w:szCs w:val="22"/>
        </w:rPr>
        <w:t xml:space="preserve"> z ostatných nástrojov podpory;</w:t>
      </w:r>
    </w:p>
    <w:p w:rsidR="00517F4C" w:rsidRDefault="00186CED" w:rsidP="001C5C9E">
      <w:pPr>
        <w:numPr>
          <w:ilvl w:val="0"/>
          <w:numId w:val="21"/>
        </w:numPr>
        <w:spacing w:after="0"/>
        <w:contextualSpacing/>
        <w:rPr>
          <w:rFonts w:asciiTheme="majorHAnsi" w:hAnsiTheme="majorHAnsi"/>
          <w:bCs/>
          <w:iCs/>
          <w:szCs w:val="22"/>
        </w:rPr>
      </w:pPr>
      <w:r w:rsidRPr="00186CED">
        <w:rPr>
          <w:rFonts w:asciiTheme="majorHAnsi" w:hAnsiTheme="majorHAnsi"/>
          <w:bCs/>
          <w:iCs/>
          <w:szCs w:val="22"/>
        </w:rPr>
        <w:t>vytváraním ad hoc pracovných skupín s cieľom prijatia konkrétnych krokov na koordinovaný postup pri implementácii programov</w:t>
      </w:r>
      <w:r w:rsidR="00B20FA1">
        <w:rPr>
          <w:rFonts w:asciiTheme="majorHAnsi" w:hAnsiTheme="majorHAnsi"/>
          <w:bCs/>
          <w:iCs/>
          <w:szCs w:val="22"/>
        </w:rPr>
        <w:t>, ako</w:t>
      </w:r>
      <w:r w:rsidRPr="00186CED">
        <w:rPr>
          <w:rFonts w:asciiTheme="majorHAnsi" w:hAnsiTheme="majorHAnsi"/>
          <w:bCs/>
          <w:iCs/>
          <w:szCs w:val="22"/>
        </w:rPr>
        <w:t xml:space="preserve"> a</w:t>
      </w:r>
      <w:r w:rsidR="00B20FA1">
        <w:rPr>
          <w:rFonts w:asciiTheme="majorHAnsi" w:hAnsiTheme="majorHAnsi"/>
          <w:bCs/>
          <w:iCs/>
          <w:szCs w:val="22"/>
        </w:rPr>
        <w:t xml:space="preserve">j </w:t>
      </w:r>
      <w:r w:rsidRPr="00186CED">
        <w:rPr>
          <w:rFonts w:asciiTheme="majorHAnsi" w:hAnsiTheme="majorHAnsi"/>
          <w:bCs/>
          <w:iCs/>
          <w:szCs w:val="22"/>
        </w:rPr>
        <w:t>povinnosťou zriadenia expertných pracovných skupín pod monitorovacím výborom RO za účasti zástupcov tematicky príslušných ostatných nástrojov podpory</w:t>
      </w:r>
      <w:r w:rsidR="00517F4C">
        <w:rPr>
          <w:rFonts w:asciiTheme="majorHAnsi" w:hAnsiTheme="majorHAnsi"/>
          <w:bCs/>
          <w:iCs/>
          <w:szCs w:val="22"/>
        </w:rPr>
        <w:t>;</w:t>
      </w:r>
    </w:p>
    <w:p w:rsidR="00186CED" w:rsidRPr="00517F4C" w:rsidRDefault="00517F4C" w:rsidP="001C5C9E">
      <w:pPr>
        <w:numPr>
          <w:ilvl w:val="0"/>
          <w:numId w:val="21"/>
        </w:numPr>
        <w:spacing w:after="0"/>
        <w:contextualSpacing/>
        <w:rPr>
          <w:rFonts w:asciiTheme="majorHAnsi" w:hAnsiTheme="majorHAnsi"/>
          <w:bCs/>
          <w:iCs/>
          <w:szCs w:val="22"/>
        </w:rPr>
      </w:pPr>
      <w:r>
        <w:rPr>
          <w:rFonts w:asciiTheme="majorHAnsi" w:hAnsiTheme="majorHAnsi"/>
          <w:bCs/>
          <w:iCs/>
          <w:szCs w:val="22"/>
        </w:rPr>
        <w:t>vytvorením administratívnych a legislatívnych podmienok na zamedzenie politického cyklu pri riadení a implementovaní EŠIF.</w:t>
      </w:r>
    </w:p>
    <w:p w:rsidR="00186CED" w:rsidRPr="00186CED" w:rsidRDefault="00186CED" w:rsidP="003F0750">
      <w:pPr>
        <w:spacing w:before="240" w:after="0"/>
        <w:rPr>
          <w:rFonts w:asciiTheme="majorHAnsi" w:hAnsiTheme="majorHAnsi"/>
          <w:b/>
          <w:bCs/>
          <w:sz w:val="18"/>
          <w:szCs w:val="18"/>
        </w:rPr>
      </w:pPr>
      <w:r w:rsidRPr="00186CED">
        <w:rPr>
          <w:rFonts w:asciiTheme="majorHAnsi" w:hAnsiTheme="majorHAnsi"/>
          <w:sz w:val="18"/>
          <w:szCs w:val="18"/>
        </w:rPr>
        <w:t xml:space="preserve">Tabuľka </w:t>
      </w:r>
      <w:r w:rsidR="004E018F">
        <w:rPr>
          <w:rFonts w:asciiTheme="majorHAnsi" w:hAnsiTheme="majorHAnsi"/>
          <w:sz w:val="18"/>
          <w:szCs w:val="18"/>
        </w:rPr>
        <w:t>1</w:t>
      </w:r>
      <w:r w:rsidRPr="00186CED">
        <w:rPr>
          <w:rFonts w:asciiTheme="majorHAnsi" w:hAnsiTheme="majorHAnsi"/>
          <w:sz w:val="18"/>
          <w:szCs w:val="18"/>
        </w:rPr>
        <w:fldChar w:fldCharType="begin"/>
      </w:r>
      <w:r w:rsidRPr="00186CED">
        <w:rPr>
          <w:rFonts w:asciiTheme="majorHAnsi" w:hAnsiTheme="majorHAnsi"/>
          <w:sz w:val="18"/>
          <w:szCs w:val="18"/>
        </w:rPr>
        <w:instrText xml:space="preserve"> SEQ Tabuľka \* ARABIC </w:instrText>
      </w:r>
      <w:r w:rsidRPr="00186CED">
        <w:rPr>
          <w:rFonts w:asciiTheme="majorHAnsi" w:hAnsiTheme="majorHAnsi"/>
          <w:sz w:val="18"/>
          <w:szCs w:val="18"/>
        </w:rPr>
        <w:fldChar w:fldCharType="separate"/>
      </w:r>
      <w:r w:rsidR="00FA18BA">
        <w:rPr>
          <w:rFonts w:asciiTheme="majorHAnsi" w:hAnsiTheme="majorHAnsi"/>
          <w:noProof/>
          <w:sz w:val="18"/>
          <w:szCs w:val="18"/>
        </w:rPr>
        <w:t>2</w:t>
      </w:r>
      <w:r w:rsidRPr="00186CED">
        <w:rPr>
          <w:rFonts w:asciiTheme="majorHAnsi" w:hAnsiTheme="majorHAnsi"/>
          <w:sz w:val="18"/>
          <w:szCs w:val="18"/>
        </w:rPr>
        <w:fldChar w:fldCharType="end"/>
      </w:r>
      <w:r w:rsidRPr="00186CED">
        <w:rPr>
          <w:rFonts w:asciiTheme="majorHAnsi" w:hAnsiTheme="majorHAnsi"/>
          <w:sz w:val="18"/>
          <w:szCs w:val="18"/>
        </w:rPr>
        <w:t>: Identifikácia oblastí podpory, kde budú finančné prostriedky EŠIF použité komplementárnym spôsobom</w:t>
      </w:r>
    </w:p>
    <w:tbl>
      <w:tblPr>
        <w:tblStyle w:val="Mriekatabuky9"/>
        <w:tblW w:w="5000" w:type="pct"/>
        <w:tblLook w:val="04A0" w:firstRow="1" w:lastRow="0" w:firstColumn="1" w:lastColumn="0" w:noHBand="0" w:noVBand="1"/>
      </w:tblPr>
      <w:tblGrid>
        <w:gridCol w:w="5562"/>
        <w:gridCol w:w="765"/>
        <w:gridCol w:w="765"/>
        <w:gridCol w:w="765"/>
        <w:gridCol w:w="760"/>
        <w:gridCol w:w="669"/>
      </w:tblGrid>
      <w:tr w:rsidR="00186CED" w:rsidRPr="00186CED" w:rsidTr="0027382A">
        <w:trPr>
          <w:tblHeader/>
        </w:trPr>
        <w:tc>
          <w:tcPr>
            <w:tcW w:w="2994" w:type="pct"/>
            <w:shd w:val="clear" w:color="auto" w:fill="BFBFBF" w:themeFill="background1" w:themeFillShade="BF"/>
            <w:vAlign w:val="center"/>
          </w:tcPr>
          <w:p w:rsidR="00186CED" w:rsidRPr="00186CED" w:rsidRDefault="00186CED" w:rsidP="00186CED">
            <w:pPr>
              <w:jc w:val="center"/>
              <w:rPr>
                <w:rFonts w:asciiTheme="majorHAnsi" w:hAnsiTheme="majorHAnsi"/>
                <w:sz w:val="24"/>
              </w:rPr>
            </w:pPr>
            <w:r w:rsidRPr="00186CED">
              <w:rPr>
                <w:rFonts w:asciiTheme="majorHAnsi" w:hAnsiTheme="majorHAnsi"/>
                <w:sz w:val="20"/>
                <w:szCs w:val="20"/>
              </w:rPr>
              <w:t>Tematický cieľ/EŠIF</w:t>
            </w:r>
          </w:p>
        </w:tc>
        <w:tc>
          <w:tcPr>
            <w:tcW w:w="412" w:type="pct"/>
            <w:shd w:val="clear" w:color="auto" w:fill="BFBFBF" w:themeFill="background1" w:themeFillShade="BF"/>
            <w:vAlign w:val="center"/>
          </w:tcPr>
          <w:p w:rsidR="00186CED" w:rsidRPr="00186CED" w:rsidRDefault="00186CED" w:rsidP="00186CED">
            <w:pPr>
              <w:jc w:val="center"/>
              <w:rPr>
                <w:rFonts w:asciiTheme="majorHAnsi" w:hAnsiTheme="majorHAnsi"/>
                <w:sz w:val="24"/>
                <w:lang w:val="en-US"/>
              </w:rPr>
            </w:pPr>
            <w:r w:rsidRPr="00186CED">
              <w:rPr>
                <w:rFonts w:asciiTheme="majorHAnsi" w:hAnsiTheme="majorHAnsi"/>
                <w:sz w:val="20"/>
                <w:szCs w:val="20"/>
                <w:lang w:val="en-US"/>
              </w:rPr>
              <w:t>EFRR</w:t>
            </w:r>
          </w:p>
        </w:tc>
        <w:tc>
          <w:tcPr>
            <w:tcW w:w="412" w:type="pct"/>
            <w:shd w:val="clear" w:color="auto" w:fill="BFBFBF" w:themeFill="background1" w:themeFillShade="BF"/>
            <w:vAlign w:val="center"/>
          </w:tcPr>
          <w:p w:rsidR="00186CED" w:rsidRPr="00186CED" w:rsidRDefault="00186CED" w:rsidP="00186CED">
            <w:pPr>
              <w:jc w:val="center"/>
              <w:rPr>
                <w:rFonts w:asciiTheme="majorHAnsi" w:hAnsiTheme="majorHAnsi"/>
                <w:sz w:val="24"/>
                <w:lang w:val="en-US"/>
              </w:rPr>
            </w:pPr>
            <w:r w:rsidRPr="00186CED">
              <w:rPr>
                <w:rFonts w:asciiTheme="majorHAnsi" w:hAnsiTheme="majorHAnsi"/>
                <w:sz w:val="20"/>
                <w:szCs w:val="20"/>
                <w:lang w:val="en-US"/>
              </w:rPr>
              <w:t>ESF</w:t>
            </w:r>
          </w:p>
        </w:tc>
        <w:tc>
          <w:tcPr>
            <w:tcW w:w="412" w:type="pct"/>
            <w:shd w:val="clear" w:color="auto" w:fill="BFBFBF" w:themeFill="background1" w:themeFillShade="BF"/>
            <w:vAlign w:val="center"/>
          </w:tcPr>
          <w:p w:rsidR="00186CED" w:rsidRPr="00186CED" w:rsidRDefault="00186CED" w:rsidP="00186CED">
            <w:pPr>
              <w:jc w:val="center"/>
              <w:rPr>
                <w:rFonts w:asciiTheme="majorHAnsi" w:hAnsiTheme="majorHAnsi"/>
                <w:sz w:val="24"/>
                <w:lang w:val="en-US"/>
              </w:rPr>
            </w:pPr>
            <w:r w:rsidRPr="00186CED">
              <w:rPr>
                <w:rFonts w:asciiTheme="majorHAnsi" w:hAnsiTheme="majorHAnsi"/>
                <w:sz w:val="20"/>
                <w:szCs w:val="20"/>
                <w:lang w:val="en-US"/>
              </w:rPr>
              <w:t>KF</w:t>
            </w:r>
          </w:p>
        </w:tc>
        <w:tc>
          <w:tcPr>
            <w:tcW w:w="409" w:type="pct"/>
            <w:shd w:val="clear" w:color="auto" w:fill="BFBFBF" w:themeFill="background1" w:themeFillShade="BF"/>
            <w:vAlign w:val="center"/>
          </w:tcPr>
          <w:p w:rsidR="00186CED" w:rsidRPr="00186CED" w:rsidRDefault="00186CED" w:rsidP="00186CED">
            <w:pPr>
              <w:jc w:val="center"/>
              <w:rPr>
                <w:rFonts w:asciiTheme="majorHAnsi" w:hAnsiTheme="majorHAnsi"/>
                <w:sz w:val="24"/>
                <w:lang w:val="en-US"/>
              </w:rPr>
            </w:pPr>
            <w:r w:rsidRPr="00186CED">
              <w:rPr>
                <w:rFonts w:asciiTheme="majorHAnsi" w:hAnsiTheme="majorHAnsi"/>
                <w:sz w:val="20"/>
                <w:szCs w:val="20"/>
                <w:lang w:val="en-US"/>
              </w:rPr>
              <w:t>EPFRV</w:t>
            </w:r>
          </w:p>
        </w:tc>
        <w:tc>
          <w:tcPr>
            <w:tcW w:w="360" w:type="pct"/>
            <w:shd w:val="clear" w:color="auto" w:fill="BFBFBF" w:themeFill="background1" w:themeFillShade="BF"/>
            <w:vAlign w:val="center"/>
          </w:tcPr>
          <w:p w:rsidR="00186CED" w:rsidRPr="00186CED" w:rsidRDefault="00186CED" w:rsidP="00186CED">
            <w:pPr>
              <w:jc w:val="center"/>
              <w:rPr>
                <w:rFonts w:asciiTheme="majorHAnsi" w:hAnsiTheme="majorHAnsi"/>
                <w:sz w:val="20"/>
                <w:szCs w:val="20"/>
                <w:lang w:val="en-US"/>
              </w:rPr>
            </w:pPr>
            <w:r w:rsidRPr="00186CED">
              <w:rPr>
                <w:rFonts w:asciiTheme="majorHAnsi" w:hAnsiTheme="majorHAnsi"/>
                <w:sz w:val="20"/>
                <w:szCs w:val="20"/>
                <w:lang w:val="en-US"/>
              </w:rPr>
              <w:t>ENRF</w:t>
            </w:r>
          </w:p>
        </w:tc>
      </w:tr>
      <w:tr w:rsidR="00186CED" w:rsidRPr="00186CED" w:rsidTr="0027382A">
        <w:tc>
          <w:tcPr>
            <w:tcW w:w="2994" w:type="pct"/>
            <w:shd w:val="clear" w:color="auto" w:fill="auto"/>
            <w:vAlign w:val="center"/>
          </w:tcPr>
          <w:p w:rsidR="00186CED" w:rsidRPr="0088290E" w:rsidRDefault="00E37887" w:rsidP="003F0750">
            <w:pPr>
              <w:rPr>
                <w:rFonts w:asciiTheme="majorHAnsi" w:hAnsiTheme="majorHAnsi"/>
                <w:sz w:val="20"/>
                <w:szCs w:val="20"/>
              </w:rPr>
            </w:pPr>
            <w:r w:rsidRPr="004D2249">
              <w:rPr>
                <w:rFonts w:asciiTheme="majorHAnsi" w:hAnsiTheme="majorHAnsi"/>
                <w:sz w:val="18"/>
                <w:szCs w:val="18"/>
              </w:rPr>
              <w:t xml:space="preserve">1: </w:t>
            </w:r>
            <w:r w:rsidR="00186CED" w:rsidRPr="004D2249">
              <w:rPr>
                <w:rFonts w:asciiTheme="majorHAnsi" w:hAnsiTheme="majorHAnsi"/>
                <w:sz w:val="18"/>
                <w:szCs w:val="18"/>
              </w:rPr>
              <w:t>Posilnenie výskumu, technologického rozvoja a inovácií</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09"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Theme="majorHAnsi" w:hAnsiTheme="majorHAnsi"/>
                <w:sz w:val="20"/>
                <w:szCs w:val="20"/>
                <w:lang w:val="en-US"/>
              </w:rPr>
            </w:pPr>
          </w:p>
        </w:tc>
      </w:tr>
      <w:tr w:rsidR="00186CED" w:rsidRPr="00186CED" w:rsidTr="0027382A">
        <w:tc>
          <w:tcPr>
            <w:tcW w:w="2994" w:type="pct"/>
            <w:shd w:val="clear" w:color="auto" w:fill="auto"/>
            <w:vAlign w:val="center"/>
          </w:tcPr>
          <w:p w:rsidR="00186CED" w:rsidRPr="001E2981" w:rsidRDefault="00E37887" w:rsidP="003F0750">
            <w:pPr>
              <w:rPr>
                <w:rFonts w:asciiTheme="majorHAnsi" w:hAnsiTheme="majorHAnsi"/>
                <w:sz w:val="18"/>
                <w:szCs w:val="18"/>
                <w:lang w:eastAsia="en-GB"/>
              </w:rPr>
            </w:pPr>
            <w:r w:rsidRPr="004D2249">
              <w:rPr>
                <w:rFonts w:asciiTheme="majorHAnsi" w:hAnsiTheme="majorHAnsi"/>
                <w:bCs/>
                <w:sz w:val="18"/>
                <w:szCs w:val="18"/>
              </w:rPr>
              <w:t xml:space="preserve">2: </w:t>
            </w:r>
            <w:r w:rsidR="00186CED" w:rsidRPr="0088290E">
              <w:rPr>
                <w:rFonts w:asciiTheme="majorHAnsi" w:hAnsiTheme="majorHAnsi"/>
                <w:bCs/>
                <w:sz w:val="18"/>
                <w:szCs w:val="18"/>
              </w:rPr>
              <w:t>Zlepšenie prístupu k informáciám a IKT a zlepšenie ich využívania a kvality</w:t>
            </w:r>
          </w:p>
        </w:tc>
        <w:tc>
          <w:tcPr>
            <w:tcW w:w="412" w:type="pct"/>
            <w:vAlign w:val="center"/>
          </w:tcPr>
          <w:p w:rsidR="00186CED" w:rsidRPr="00186CED" w:rsidRDefault="00186CED" w:rsidP="00186CED">
            <w:pPr>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09"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Theme="majorHAnsi" w:hAnsiTheme="majorHAnsi"/>
                <w:sz w:val="20"/>
                <w:szCs w:val="20"/>
                <w:lang w:val="en-US"/>
              </w:rPr>
            </w:pPr>
          </w:p>
        </w:tc>
      </w:tr>
      <w:tr w:rsidR="00186CED" w:rsidRPr="00186CED" w:rsidTr="0027382A">
        <w:tc>
          <w:tcPr>
            <w:tcW w:w="2994" w:type="pct"/>
            <w:shd w:val="clear" w:color="auto" w:fill="auto"/>
            <w:vAlign w:val="center"/>
          </w:tcPr>
          <w:p w:rsidR="00186CED" w:rsidRPr="001E2981" w:rsidRDefault="00E37887" w:rsidP="003F0750">
            <w:pPr>
              <w:rPr>
                <w:rFonts w:asciiTheme="majorHAnsi" w:hAnsiTheme="majorHAnsi"/>
                <w:sz w:val="18"/>
                <w:szCs w:val="18"/>
                <w:lang w:eastAsia="en-GB"/>
              </w:rPr>
            </w:pPr>
            <w:r w:rsidRPr="004D2249">
              <w:rPr>
                <w:rFonts w:asciiTheme="majorHAnsi" w:hAnsiTheme="majorHAnsi"/>
                <w:bCs/>
                <w:sz w:val="18"/>
                <w:szCs w:val="18"/>
              </w:rPr>
              <w:t xml:space="preserve">3: </w:t>
            </w:r>
            <w:r w:rsidR="00186CED" w:rsidRPr="0088290E">
              <w:rPr>
                <w:rFonts w:asciiTheme="majorHAnsi" w:hAnsiTheme="majorHAnsi"/>
                <w:bCs/>
                <w:sz w:val="18"/>
                <w:szCs w:val="18"/>
              </w:rPr>
              <w:t>Zvýšenie konkurencieschopnosti MSP, sektora poľnohospodárstva (v prípade EPFRV) a sektora rybárstva   akvakultúry (v prípade ENRF)</w:t>
            </w:r>
          </w:p>
        </w:tc>
        <w:tc>
          <w:tcPr>
            <w:tcW w:w="412" w:type="pct"/>
            <w:vAlign w:val="center"/>
          </w:tcPr>
          <w:p w:rsidR="00186CED" w:rsidRPr="00186CED" w:rsidRDefault="00186CED" w:rsidP="00186CED">
            <w:pPr>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09"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r>
      <w:tr w:rsidR="00186CED" w:rsidRPr="00186CED" w:rsidTr="0027382A">
        <w:tc>
          <w:tcPr>
            <w:tcW w:w="2994" w:type="pct"/>
            <w:shd w:val="clear" w:color="auto" w:fill="auto"/>
            <w:vAlign w:val="center"/>
          </w:tcPr>
          <w:p w:rsidR="00186CED" w:rsidRPr="001E2981" w:rsidRDefault="009B5635" w:rsidP="003F0750">
            <w:pPr>
              <w:rPr>
                <w:rFonts w:asciiTheme="majorHAnsi" w:hAnsiTheme="majorHAnsi"/>
                <w:sz w:val="18"/>
                <w:szCs w:val="18"/>
                <w:lang w:eastAsia="en-GB"/>
              </w:rPr>
            </w:pPr>
            <w:r w:rsidRPr="004D2249">
              <w:rPr>
                <w:rFonts w:asciiTheme="majorHAnsi" w:hAnsiTheme="majorHAnsi"/>
                <w:bCs/>
                <w:sz w:val="18"/>
                <w:szCs w:val="18"/>
              </w:rPr>
              <w:t xml:space="preserve">4: </w:t>
            </w:r>
            <w:r w:rsidR="00186CED" w:rsidRPr="0088290E">
              <w:rPr>
                <w:rFonts w:asciiTheme="majorHAnsi" w:hAnsiTheme="majorHAnsi"/>
                <w:bCs/>
                <w:sz w:val="18"/>
                <w:szCs w:val="18"/>
              </w:rPr>
              <w:t>Podpora prechodu na nízkouhlíkové hospodárstvo vo všetkých sektoroch</w:t>
            </w:r>
          </w:p>
        </w:tc>
        <w:tc>
          <w:tcPr>
            <w:tcW w:w="412" w:type="pct"/>
            <w:vAlign w:val="center"/>
          </w:tcPr>
          <w:p w:rsidR="00186CED" w:rsidRPr="00186CED" w:rsidRDefault="00186CED" w:rsidP="00186CED">
            <w:pPr>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p>
        </w:tc>
        <w:tc>
          <w:tcPr>
            <w:tcW w:w="409"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Theme="majorHAnsi" w:hAnsiTheme="majorHAnsi"/>
                <w:sz w:val="20"/>
                <w:szCs w:val="20"/>
                <w:lang w:val="en-US"/>
              </w:rPr>
            </w:pPr>
          </w:p>
        </w:tc>
      </w:tr>
      <w:tr w:rsidR="00186CED" w:rsidRPr="00186CED" w:rsidTr="0027382A">
        <w:tc>
          <w:tcPr>
            <w:tcW w:w="2994" w:type="pct"/>
            <w:shd w:val="clear" w:color="auto" w:fill="auto"/>
            <w:vAlign w:val="center"/>
          </w:tcPr>
          <w:p w:rsidR="00186CED" w:rsidRPr="001E2981" w:rsidRDefault="009B5635" w:rsidP="003F0750">
            <w:pPr>
              <w:rPr>
                <w:rFonts w:asciiTheme="majorHAnsi" w:hAnsiTheme="majorHAnsi"/>
                <w:sz w:val="18"/>
                <w:szCs w:val="18"/>
                <w:lang w:eastAsia="en-GB"/>
              </w:rPr>
            </w:pPr>
            <w:r w:rsidRPr="004D2249">
              <w:rPr>
                <w:rFonts w:asciiTheme="majorHAnsi" w:hAnsiTheme="majorHAnsi"/>
                <w:bCs/>
                <w:sz w:val="18"/>
                <w:szCs w:val="18"/>
              </w:rPr>
              <w:t xml:space="preserve">5: </w:t>
            </w:r>
            <w:r w:rsidR="00186CED" w:rsidRPr="0088290E">
              <w:rPr>
                <w:rFonts w:asciiTheme="majorHAnsi" w:hAnsiTheme="majorHAnsi"/>
                <w:bCs/>
                <w:sz w:val="18"/>
                <w:szCs w:val="18"/>
              </w:rPr>
              <w:t>Podpora prispôsobovania sa zmene klímy, predchádzanie a riadenie rizika</w:t>
            </w:r>
          </w:p>
        </w:tc>
        <w:tc>
          <w:tcPr>
            <w:tcW w:w="412" w:type="pct"/>
            <w:vAlign w:val="center"/>
          </w:tcPr>
          <w:p w:rsidR="00186CED" w:rsidRPr="00186CED" w:rsidRDefault="00186CED" w:rsidP="00186CED">
            <w:pPr>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8C5C5B"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09"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Theme="majorHAnsi" w:hAnsiTheme="majorHAnsi"/>
                <w:sz w:val="20"/>
                <w:szCs w:val="20"/>
                <w:lang w:val="en-US"/>
              </w:rPr>
            </w:pPr>
          </w:p>
        </w:tc>
      </w:tr>
      <w:tr w:rsidR="00186CED" w:rsidRPr="00186CED" w:rsidTr="0027382A">
        <w:tc>
          <w:tcPr>
            <w:tcW w:w="2994" w:type="pct"/>
            <w:shd w:val="clear" w:color="auto" w:fill="auto"/>
            <w:vAlign w:val="center"/>
          </w:tcPr>
          <w:p w:rsidR="00186CED" w:rsidRPr="001E2981" w:rsidRDefault="009B5635" w:rsidP="003F0750">
            <w:pPr>
              <w:rPr>
                <w:rFonts w:asciiTheme="majorHAnsi" w:hAnsiTheme="majorHAnsi"/>
                <w:sz w:val="18"/>
                <w:szCs w:val="18"/>
                <w:lang w:eastAsia="en-GB"/>
              </w:rPr>
            </w:pPr>
            <w:r w:rsidRPr="004D2249">
              <w:rPr>
                <w:rFonts w:asciiTheme="majorHAnsi" w:hAnsiTheme="majorHAnsi"/>
                <w:bCs/>
                <w:sz w:val="18"/>
                <w:szCs w:val="18"/>
              </w:rPr>
              <w:t xml:space="preserve">6: </w:t>
            </w:r>
            <w:r w:rsidR="00186CED" w:rsidRPr="0088290E">
              <w:rPr>
                <w:rFonts w:asciiTheme="majorHAnsi" w:hAnsiTheme="majorHAnsi"/>
                <w:bCs/>
                <w:sz w:val="18"/>
                <w:szCs w:val="18"/>
              </w:rPr>
              <w:t>Zachovanie a ochrana životného prostredia a podpora efektívneho využívania</w:t>
            </w:r>
            <w:r w:rsidR="00186CED" w:rsidRPr="001E2981">
              <w:rPr>
                <w:rFonts w:asciiTheme="majorHAnsi" w:hAnsiTheme="majorHAnsi"/>
                <w:bCs/>
                <w:sz w:val="18"/>
                <w:szCs w:val="18"/>
              </w:rPr>
              <w:t xml:space="preserve"> zdrojov</w:t>
            </w:r>
          </w:p>
        </w:tc>
        <w:tc>
          <w:tcPr>
            <w:tcW w:w="412" w:type="pct"/>
            <w:vAlign w:val="center"/>
          </w:tcPr>
          <w:p w:rsidR="00186CED" w:rsidRPr="00186CED" w:rsidRDefault="00186CED" w:rsidP="00186CED">
            <w:pPr>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409"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Theme="majorHAnsi" w:hAnsiTheme="majorHAnsi"/>
                <w:sz w:val="20"/>
                <w:szCs w:val="20"/>
                <w:lang w:val="en-US"/>
              </w:rPr>
            </w:pPr>
            <w:r w:rsidRPr="00186CED">
              <w:rPr>
                <w:rFonts w:ascii="MS Gothic" w:eastAsia="MS Gothic" w:hAnsi="MS Gothic" w:cs="MS Gothic" w:hint="eastAsia"/>
                <w:sz w:val="24"/>
                <w:lang w:val="en-US"/>
              </w:rPr>
              <w:t>✓</w:t>
            </w:r>
          </w:p>
        </w:tc>
      </w:tr>
      <w:tr w:rsidR="00186CED" w:rsidRPr="00186CED" w:rsidTr="0027382A">
        <w:tc>
          <w:tcPr>
            <w:tcW w:w="2994" w:type="pct"/>
            <w:shd w:val="clear" w:color="auto" w:fill="auto"/>
            <w:vAlign w:val="center"/>
          </w:tcPr>
          <w:p w:rsidR="00186CED" w:rsidRPr="003678A5" w:rsidRDefault="00E37887" w:rsidP="003F0750">
            <w:pPr>
              <w:rPr>
                <w:rFonts w:asciiTheme="majorHAnsi" w:hAnsiTheme="majorHAnsi"/>
                <w:sz w:val="18"/>
                <w:szCs w:val="18"/>
                <w:lang w:eastAsia="en-GB"/>
              </w:rPr>
            </w:pPr>
            <w:r w:rsidRPr="004D2249">
              <w:rPr>
                <w:rFonts w:asciiTheme="majorHAnsi" w:hAnsiTheme="majorHAnsi"/>
                <w:sz w:val="18"/>
                <w:szCs w:val="18"/>
              </w:rPr>
              <w:t>7:</w:t>
            </w:r>
            <w:r w:rsidRPr="0088290E">
              <w:rPr>
                <w:rFonts w:asciiTheme="majorHAnsi" w:hAnsiTheme="majorHAnsi"/>
                <w:sz w:val="18"/>
                <w:szCs w:val="18"/>
              </w:rPr>
              <w:t xml:space="preserve"> </w:t>
            </w:r>
            <w:r w:rsidR="00186CED" w:rsidRPr="001E2981">
              <w:rPr>
                <w:rFonts w:asciiTheme="majorHAnsi" w:hAnsiTheme="majorHAnsi"/>
                <w:sz w:val="18"/>
                <w:szCs w:val="18"/>
              </w:rPr>
              <w:t>Podpora udržateľnej dopravy a odstraňovanie prekážok v kľúčových sieťových infraštruktúrach</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p>
        </w:tc>
        <w:tc>
          <w:tcPr>
            <w:tcW w:w="412"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09" w:type="pct"/>
            <w:vAlign w:val="center"/>
          </w:tcPr>
          <w:p w:rsidR="00186CED" w:rsidRPr="00186CED" w:rsidRDefault="00186CED" w:rsidP="00186CED">
            <w:pPr>
              <w:spacing w:line="276" w:lineRule="auto"/>
              <w:jc w:val="center"/>
              <w:rPr>
                <w:rFonts w:ascii="Cambria" w:hAnsi="Cambria"/>
                <w:sz w:val="20"/>
                <w:szCs w:val="20"/>
                <w:lang w:val="en-US"/>
              </w:rPr>
            </w:pPr>
          </w:p>
        </w:tc>
        <w:tc>
          <w:tcPr>
            <w:tcW w:w="360" w:type="pct"/>
            <w:vAlign w:val="center"/>
          </w:tcPr>
          <w:p w:rsidR="00186CED" w:rsidRPr="00186CED" w:rsidRDefault="00186CED" w:rsidP="00186CED">
            <w:pPr>
              <w:spacing w:line="276" w:lineRule="auto"/>
              <w:jc w:val="center"/>
              <w:rPr>
                <w:rFonts w:ascii="Cambria" w:hAnsi="Cambria"/>
                <w:sz w:val="20"/>
                <w:szCs w:val="20"/>
                <w:lang w:val="en-US"/>
              </w:rPr>
            </w:pPr>
          </w:p>
        </w:tc>
      </w:tr>
      <w:tr w:rsidR="00186CED" w:rsidRPr="00186CED" w:rsidTr="0027382A">
        <w:tc>
          <w:tcPr>
            <w:tcW w:w="2994" w:type="pct"/>
            <w:shd w:val="clear" w:color="auto" w:fill="auto"/>
            <w:vAlign w:val="center"/>
          </w:tcPr>
          <w:p w:rsidR="00186CED" w:rsidRPr="0088290E" w:rsidRDefault="009B5635" w:rsidP="003F0750">
            <w:pPr>
              <w:rPr>
                <w:rFonts w:asciiTheme="majorHAnsi" w:hAnsiTheme="majorHAnsi"/>
                <w:sz w:val="18"/>
                <w:szCs w:val="18"/>
                <w:lang w:eastAsia="en-GB"/>
              </w:rPr>
            </w:pPr>
            <w:r w:rsidRPr="004D2249">
              <w:rPr>
                <w:rFonts w:asciiTheme="majorHAnsi" w:hAnsiTheme="majorHAnsi"/>
                <w:sz w:val="18"/>
                <w:szCs w:val="18"/>
              </w:rPr>
              <w:lastRenderedPageBreak/>
              <w:t xml:space="preserve">8: </w:t>
            </w:r>
            <w:r w:rsidR="00186CED" w:rsidRPr="004D2249">
              <w:rPr>
                <w:rFonts w:asciiTheme="majorHAnsi" w:hAnsiTheme="majorHAnsi"/>
                <w:sz w:val="18"/>
                <w:szCs w:val="18"/>
              </w:rPr>
              <w:t>Podpora udržateľnosti a kvality zamestnanosti a mobility pracovnej sily</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p>
        </w:tc>
        <w:tc>
          <w:tcPr>
            <w:tcW w:w="412"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p>
        </w:tc>
        <w:tc>
          <w:tcPr>
            <w:tcW w:w="409"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Cambria" w:hAnsi="Cambria"/>
                <w:sz w:val="20"/>
                <w:szCs w:val="20"/>
                <w:lang w:val="en-US"/>
              </w:rPr>
            </w:pPr>
          </w:p>
        </w:tc>
      </w:tr>
      <w:tr w:rsidR="00186CED" w:rsidRPr="00186CED" w:rsidTr="0027382A">
        <w:tc>
          <w:tcPr>
            <w:tcW w:w="2994" w:type="pct"/>
            <w:shd w:val="clear" w:color="auto" w:fill="auto"/>
            <w:vAlign w:val="center"/>
          </w:tcPr>
          <w:p w:rsidR="00186CED" w:rsidRPr="001E2981" w:rsidRDefault="009B5635" w:rsidP="003F0750">
            <w:pPr>
              <w:rPr>
                <w:rFonts w:asciiTheme="majorHAnsi" w:hAnsiTheme="majorHAnsi"/>
                <w:sz w:val="18"/>
                <w:szCs w:val="18"/>
                <w:lang w:eastAsia="en-GB"/>
              </w:rPr>
            </w:pPr>
            <w:r w:rsidRPr="004D2249">
              <w:rPr>
                <w:rFonts w:asciiTheme="majorHAnsi" w:hAnsiTheme="majorHAnsi"/>
                <w:bCs/>
                <w:sz w:val="18"/>
                <w:szCs w:val="18"/>
              </w:rPr>
              <w:t xml:space="preserve">9: </w:t>
            </w:r>
            <w:r w:rsidR="00186CED" w:rsidRPr="004D2249">
              <w:rPr>
                <w:rFonts w:asciiTheme="majorHAnsi" w:hAnsiTheme="majorHAnsi"/>
                <w:bCs/>
                <w:sz w:val="18"/>
                <w:szCs w:val="18"/>
              </w:rPr>
              <w:t xml:space="preserve">Podpora sociálneho začlenenia, boj proti chudobe a akejkoľvek </w:t>
            </w:r>
            <w:r w:rsidR="00186CED" w:rsidRPr="0088290E">
              <w:rPr>
                <w:rFonts w:asciiTheme="majorHAnsi" w:hAnsiTheme="majorHAnsi"/>
                <w:bCs/>
                <w:sz w:val="18"/>
                <w:szCs w:val="18"/>
              </w:rPr>
              <w:t>diskriminácii</w:t>
            </w:r>
          </w:p>
        </w:tc>
        <w:tc>
          <w:tcPr>
            <w:tcW w:w="412" w:type="pct"/>
            <w:vAlign w:val="center"/>
          </w:tcPr>
          <w:p w:rsidR="00186CED" w:rsidRPr="00186CED" w:rsidRDefault="00186CED" w:rsidP="00186CED">
            <w:pPr>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p>
        </w:tc>
        <w:tc>
          <w:tcPr>
            <w:tcW w:w="409"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Cambria" w:hAnsi="Cambria"/>
                <w:sz w:val="20"/>
                <w:szCs w:val="20"/>
                <w:lang w:val="en-US"/>
              </w:rPr>
            </w:pPr>
          </w:p>
        </w:tc>
      </w:tr>
      <w:tr w:rsidR="00186CED" w:rsidRPr="00186CED" w:rsidTr="0027382A">
        <w:tc>
          <w:tcPr>
            <w:tcW w:w="2994" w:type="pct"/>
            <w:shd w:val="clear" w:color="auto" w:fill="auto"/>
            <w:vAlign w:val="center"/>
          </w:tcPr>
          <w:p w:rsidR="00186CED" w:rsidRPr="0088290E" w:rsidRDefault="00E37887" w:rsidP="003F0750">
            <w:pPr>
              <w:rPr>
                <w:rFonts w:asciiTheme="majorHAnsi" w:hAnsiTheme="majorHAnsi"/>
                <w:sz w:val="18"/>
                <w:szCs w:val="18"/>
                <w:lang w:eastAsia="en-GB"/>
              </w:rPr>
            </w:pPr>
            <w:r w:rsidRPr="004D2249">
              <w:rPr>
                <w:rFonts w:asciiTheme="majorHAnsi" w:hAnsiTheme="majorHAnsi"/>
                <w:sz w:val="18"/>
                <w:szCs w:val="18"/>
              </w:rPr>
              <w:t xml:space="preserve">10: </w:t>
            </w:r>
            <w:r w:rsidR="00186CED" w:rsidRPr="004D2249">
              <w:rPr>
                <w:rFonts w:asciiTheme="majorHAnsi" w:hAnsiTheme="majorHAnsi"/>
                <w:sz w:val="18"/>
                <w:szCs w:val="18"/>
              </w:rPr>
              <w:t>Investovanie do vzdelania, školení a odbornej prípravy, ako aj zručností a celoživotného vzdelávania</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p>
        </w:tc>
        <w:tc>
          <w:tcPr>
            <w:tcW w:w="409"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Cambria" w:hAnsi="Cambria"/>
                <w:sz w:val="20"/>
                <w:szCs w:val="20"/>
                <w:lang w:val="en-US"/>
              </w:rPr>
            </w:pPr>
          </w:p>
        </w:tc>
      </w:tr>
      <w:tr w:rsidR="00186CED" w:rsidRPr="00186CED" w:rsidTr="0027382A">
        <w:tc>
          <w:tcPr>
            <w:tcW w:w="2994" w:type="pct"/>
            <w:shd w:val="clear" w:color="auto" w:fill="auto"/>
            <w:vAlign w:val="center"/>
          </w:tcPr>
          <w:p w:rsidR="00186CED" w:rsidRPr="001E2981" w:rsidRDefault="009B5635" w:rsidP="003F0750">
            <w:pPr>
              <w:rPr>
                <w:rFonts w:asciiTheme="majorHAnsi" w:hAnsiTheme="majorHAnsi"/>
                <w:sz w:val="18"/>
                <w:szCs w:val="18"/>
                <w:lang w:eastAsia="en-GB"/>
              </w:rPr>
            </w:pPr>
            <w:r w:rsidRPr="004D2249">
              <w:rPr>
                <w:rFonts w:asciiTheme="majorHAnsi" w:hAnsiTheme="majorHAnsi"/>
                <w:bCs/>
                <w:sz w:val="18"/>
                <w:szCs w:val="18"/>
              </w:rPr>
              <w:t xml:space="preserve">11: </w:t>
            </w:r>
            <w:r w:rsidR="00186CED" w:rsidRPr="004D2249">
              <w:rPr>
                <w:rFonts w:asciiTheme="majorHAnsi" w:hAnsiTheme="majorHAnsi"/>
                <w:bCs/>
                <w:sz w:val="18"/>
                <w:szCs w:val="18"/>
              </w:rPr>
              <w:t>Posilnenie inštitucionálnych kapacít orgánov verejnej správy a zainteresovaných strán a efektivity verejnej s</w:t>
            </w:r>
            <w:r w:rsidR="00186CED" w:rsidRPr="0088290E">
              <w:rPr>
                <w:rFonts w:asciiTheme="majorHAnsi" w:hAnsiTheme="majorHAnsi"/>
                <w:bCs/>
                <w:sz w:val="18"/>
                <w:szCs w:val="18"/>
              </w:rPr>
              <w:t>právy</w:t>
            </w:r>
          </w:p>
        </w:tc>
        <w:tc>
          <w:tcPr>
            <w:tcW w:w="412" w:type="pct"/>
            <w:vAlign w:val="center"/>
          </w:tcPr>
          <w:p w:rsidR="00186CED" w:rsidRPr="00186CED" w:rsidRDefault="00186CED" w:rsidP="00186CED">
            <w:pPr>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412" w:type="pct"/>
            <w:vAlign w:val="center"/>
          </w:tcPr>
          <w:p w:rsidR="00186CED" w:rsidRPr="00186CED" w:rsidRDefault="00186CED" w:rsidP="00186CED">
            <w:pPr>
              <w:spacing w:line="276" w:lineRule="auto"/>
              <w:jc w:val="center"/>
              <w:rPr>
                <w:rFonts w:ascii="Cambria" w:hAnsi="Cambria"/>
                <w:sz w:val="20"/>
                <w:szCs w:val="20"/>
                <w:lang w:val="en-US"/>
              </w:rPr>
            </w:pPr>
          </w:p>
        </w:tc>
        <w:tc>
          <w:tcPr>
            <w:tcW w:w="409" w:type="pct"/>
            <w:vAlign w:val="center"/>
          </w:tcPr>
          <w:p w:rsidR="00186CED" w:rsidRPr="00186CED" w:rsidRDefault="00186CED" w:rsidP="00186CED">
            <w:pPr>
              <w:spacing w:line="276" w:lineRule="auto"/>
              <w:jc w:val="center"/>
              <w:rPr>
                <w:rFonts w:ascii="Cambria" w:hAnsi="Cambria"/>
                <w:sz w:val="20"/>
                <w:szCs w:val="20"/>
                <w:lang w:val="en-US"/>
              </w:rPr>
            </w:pPr>
            <w:r w:rsidRPr="00186CED">
              <w:rPr>
                <w:rFonts w:ascii="MS Gothic" w:eastAsia="MS Gothic" w:hAnsi="MS Gothic" w:cs="MS Gothic" w:hint="eastAsia"/>
                <w:sz w:val="24"/>
                <w:lang w:val="en-US"/>
              </w:rPr>
              <w:t>✓</w:t>
            </w:r>
          </w:p>
        </w:tc>
        <w:tc>
          <w:tcPr>
            <w:tcW w:w="360" w:type="pct"/>
            <w:vAlign w:val="center"/>
          </w:tcPr>
          <w:p w:rsidR="00186CED" w:rsidRPr="00186CED" w:rsidRDefault="00186CED" w:rsidP="00186CED">
            <w:pPr>
              <w:spacing w:line="276" w:lineRule="auto"/>
              <w:jc w:val="center"/>
              <w:rPr>
                <w:rFonts w:ascii="Cambria" w:hAnsi="Cambria"/>
                <w:sz w:val="20"/>
                <w:szCs w:val="20"/>
                <w:lang w:val="en-US"/>
              </w:rPr>
            </w:pPr>
          </w:p>
        </w:tc>
      </w:tr>
    </w:tbl>
    <w:p w:rsidR="00186CED" w:rsidRPr="00186CED" w:rsidRDefault="00186CED" w:rsidP="00F819ED">
      <w:pPr>
        <w:spacing w:before="240"/>
        <w:rPr>
          <w:rFonts w:asciiTheme="majorHAnsi" w:hAnsiTheme="majorHAnsi"/>
          <w:szCs w:val="20"/>
          <w:lang w:eastAsia="ar-SA"/>
        </w:rPr>
      </w:pPr>
      <w:r w:rsidRPr="00186CED">
        <w:rPr>
          <w:rFonts w:asciiTheme="majorHAnsi" w:hAnsiTheme="majorHAnsi"/>
          <w:szCs w:val="20"/>
          <w:lang w:eastAsia="ar-SA"/>
        </w:rPr>
        <w:t>V rámci</w:t>
      </w:r>
      <w:r w:rsidR="006B5F33">
        <w:rPr>
          <w:rFonts w:asciiTheme="majorHAnsi" w:hAnsiTheme="majorHAnsi"/>
          <w:szCs w:val="20"/>
          <w:lang w:eastAsia="ar-SA"/>
        </w:rPr>
        <w:t xml:space="preserve"> </w:t>
      </w:r>
      <w:r w:rsidR="00F819ED">
        <w:rPr>
          <w:rFonts w:asciiTheme="majorHAnsi" w:hAnsiTheme="majorHAnsi"/>
          <w:szCs w:val="20"/>
          <w:lang w:eastAsia="ar-SA"/>
        </w:rPr>
        <w:t>TC</w:t>
      </w:r>
      <w:r w:rsidRPr="00186CED">
        <w:rPr>
          <w:rFonts w:asciiTheme="majorHAnsi" w:hAnsiTheme="majorHAnsi"/>
          <w:szCs w:val="20"/>
          <w:lang w:eastAsia="ar-SA"/>
        </w:rPr>
        <w:t xml:space="preserve">1 a 3 budú EFRR, EPFRV a ENRF využívané komplementárnym spôsobom v oblastiach posilnenia </w:t>
      </w:r>
      <w:r w:rsidR="00F819ED">
        <w:rPr>
          <w:rFonts w:asciiTheme="majorHAnsi" w:hAnsiTheme="majorHAnsi"/>
          <w:szCs w:val="20"/>
          <w:lang w:eastAsia="ar-SA"/>
        </w:rPr>
        <w:t>VaI</w:t>
      </w:r>
      <w:r w:rsidRPr="00186CED">
        <w:rPr>
          <w:rFonts w:asciiTheme="majorHAnsi" w:hAnsiTheme="majorHAnsi"/>
          <w:szCs w:val="20"/>
          <w:lang w:eastAsia="ar-SA"/>
        </w:rPr>
        <w:t xml:space="preserve"> spoluprácou medzi akademickým a podnikateľským sektorom a zvýšenia konkurencieschopnosti MSP.</w:t>
      </w:r>
      <w:r w:rsidR="004D2249">
        <w:rPr>
          <w:rFonts w:asciiTheme="majorHAnsi" w:hAnsiTheme="majorHAnsi"/>
          <w:szCs w:val="20"/>
          <w:lang w:eastAsia="ar-SA"/>
        </w:rPr>
        <w:t xml:space="preserve"> </w:t>
      </w:r>
      <w:r w:rsidR="00B20FA1" w:rsidRPr="0027382A">
        <w:rPr>
          <w:rFonts w:asciiTheme="majorHAnsi" w:hAnsiTheme="majorHAnsi"/>
          <w:szCs w:val="20"/>
          <w:lang w:eastAsia="ar-SA"/>
        </w:rPr>
        <w:t xml:space="preserve">V prípade projektov z oblasti </w:t>
      </w:r>
      <w:r w:rsidR="00F819ED">
        <w:rPr>
          <w:rFonts w:asciiTheme="majorHAnsi" w:hAnsiTheme="majorHAnsi"/>
          <w:szCs w:val="20"/>
          <w:lang w:eastAsia="ar-SA"/>
        </w:rPr>
        <w:t>VVaI</w:t>
      </w:r>
      <w:r w:rsidR="00B20FA1" w:rsidRPr="0027382A">
        <w:rPr>
          <w:rFonts w:asciiTheme="majorHAnsi" w:hAnsiTheme="majorHAnsi"/>
          <w:szCs w:val="20"/>
          <w:lang w:eastAsia="ar-SA"/>
        </w:rPr>
        <w:t xml:space="preserve"> budú uvedené do praxe pravidlá v oblasti prípravy, hodnotenia, financovania a procesu implementácie projektov tak, aby bola zabezpečená synergia a komplementarita s Horizontom 2020 a ďalšími európskymi iniciatívami v tejto oblasti v zmysle požiadaviek EK.</w:t>
      </w:r>
    </w:p>
    <w:p w:rsidR="00186CED" w:rsidRPr="00186CED" w:rsidRDefault="00186CED" w:rsidP="00186CED">
      <w:pPr>
        <w:rPr>
          <w:rFonts w:asciiTheme="majorHAnsi" w:hAnsiTheme="majorHAnsi"/>
          <w:szCs w:val="20"/>
          <w:lang w:eastAsia="ar-SA"/>
        </w:rPr>
      </w:pPr>
      <w:r w:rsidRPr="00186CED">
        <w:rPr>
          <w:rFonts w:asciiTheme="majorHAnsi" w:hAnsiTheme="majorHAnsi"/>
          <w:szCs w:val="20"/>
          <w:lang w:eastAsia="ar-SA"/>
        </w:rPr>
        <w:t xml:space="preserve">V rámci </w:t>
      </w:r>
      <w:r w:rsidR="00F819ED">
        <w:rPr>
          <w:rFonts w:asciiTheme="majorHAnsi" w:hAnsiTheme="majorHAnsi"/>
          <w:szCs w:val="20"/>
          <w:lang w:eastAsia="ar-SA"/>
        </w:rPr>
        <w:t>TC</w:t>
      </w:r>
      <w:r w:rsidRPr="00186CED">
        <w:rPr>
          <w:rFonts w:asciiTheme="majorHAnsi" w:hAnsiTheme="majorHAnsi"/>
          <w:szCs w:val="20"/>
          <w:lang w:eastAsia="ar-SA"/>
        </w:rPr>
        <w:t xml:space="preserve">2 sa zabezpečí </w:t>
      </w:r>
      <w:r w:rsidR="00F378CE">
        <w:rPr>
          <w:rFonts w:asciiTheme="majorHAnsi" w:hAnsiTheme="majorHAnsi"/>
          <w:szCs w:val="20"/>
          <w:lang w:eastAsia="ar-SA"/>
        </w:rPr>
        <w:t xml:space="preserve">komplementarita prostredníctvom EFRR </w:t>
      </w:r>
      <w:r w:rsidR="009713C8">
        <w:rPr>
          <w:rFonts w:asciiTheme="majorHAnsi" w:hAnsiTheme="majorHAnsi"/>
          <w:szCs w:val="20"/>
          <w:lang w:eastAsia="ar-SA"/>
        </w:rPr>
        <w:t>a</w:t>
      </w:r>
      <w:r w:rsidR="00F819ED">
        <w:rPr>
          <w:rFonts w:asciiTheme="majorHAnsi" w:hAnsiTheme="majorHAnsi"/>
          <w:szCs w:val="20"/>
          <w:lang w:eastAsia="ar-SA"/>
        </w:rPr>
        <w:t> </w:t>
      </w:r>
      <w:r w:rsidR="00F378CE">
        <w:rPr>
          <w:rFonts w:asciiTheme="majorHAnsi" w:hAnsiTheme="majorHAnsi"/>
          <w:szCs w:val="20"/>
          <w:lang w:eastAsia="ar-SA"/>
        </w:rPr>
        <w:t xml:space="preserve">EPFRV v oblasti </w:t>
      </w:r>
      <w:r w:rsidRPr="00186CED">
        <w:rPr>
          <w:rFonts w:asciiTheme="majorHAnsi" w:hAnsiTheme="majorHAnsi"/>
          <w:szCs w:val="20"/>
          <w:lang w:eastAsia="ar-SA"/>
        </w:rPr>
        <w:t>pokryti</w:t>
      </w:r>
      <w:r w:rsidR="00F378CE">
        <w:rPr>
          <w:rFonts w:asciiTheme="majorHAnsi" w:hAnsiTheme="majorHAnsi"/>
          <w:szCs w:val="20"/>
          <w:lang w:eastAsia="ar-SA"/>
        </w:rPr>
        <w:t>a</w:t>
      </w:r>
      <w:r w:rsidRPr="00186CED">
        <w:rPr>
          <w:rFonts w:asciiTheme="majorHAnsi" w:hAnsiTheme="majorHAnsi"/>
          <w:szCs w:val="20"/>
          <w:lang w:eastAsia="ar-SA"/>
        </w:rPr>
        <w:t xml:space="preserve"> širokopásmového pripojenia a elektronických služieb aj vo vidieckych oblastiach.</w:t>
      </w:r>
    </w:p>
    <w:p w:rsidR="00D32466" w:rsidRPr="00D32466" w:rsidRDefault="00770BE6" w:rsidP="00D32466">
      <w:pPr>
        <w:rPr>
          <w:rFonts w:asciiTheme="majorHAnsi" w:hAnsiTheme="majorHAnsi"/>
          <w:szCs w:val="20"/>
          <w:lang w:eastAsia="ar-SA"/>
        </w:rPr>
      </w:pPr>
      <w:r w:rsidRPr="00770BE6">
        <w:rPr>
          <w:rFonts w:asciiTheme="majorHAnsi" w:hAnsiTheme="majorHAnsi"/>
          <w:szCs w:val="20"/>
          <w:lang w:eastAsia="ar-SA"/>
        </w:rPr>
        <w:t>V</w:t>
      </w:r>
      <w:r w:rsidR="00F819ED">
        <w:rPr>
          <w:rFonts w:asciiTheme="majorHAnsi" w:hAnsiTheme="majorHAnsi"/>
          <w:szCs w:val="20"/>
          <w:lang w:eastAsia="ar-SA"/>
        </w:rPr>
        <w:t> </w:t>
      </w:r>
      <w:r w:rsidRPr="00770BE6">
        <w:rPr>
          <w:rFonts w:asciiTheme="majorHAnsi" w:hAnsiTheme="majorHAnsi"/>
          <w:szCs w:val="20"/>
          <w:lang w:eastAsia="ar-SA"/>
        </w:rPr>
        <w:t xml:space="preserve">rámci </w:t>
      </w:r>
      <w:r w:rsidR="00F819ED">
        <w:rPr>
          <w:rFonts w:asciiTheme="majorHAnsi" w:hAnsiTheme="majorHAnsi"/>
          <w:szCs w:val="20"/>
          <w:lang w:eastAsia="ar-SA"/>
        </w:rPr>
        <w:t>TC</w:t>
      </w:r>
      <w:r w:rsidRPr="00770BE6">
        <w:rPr>
          <w:rFonts w:asciiTheme="majorHAnsi" w:hAnsiTheme="majorHAnsi"/>
          <w:szCs w:val="20"/>
          <w:lang w:eastAsia="ar-SA"/>
        </w:rPr>
        <w:t>5 a</w:t>
      </w:r>
      <w:r w:rsidR="000F4D33">
        <w:rPr>
          <w:rFonts w:asciiTheme="majorHAnsi" w:hAnsiTheme="majorHAnsi"/>
          <w:szCs w:val="20"/>
          <w:lang w:eastAsia="ar-SA"/>
        </w:rPr>
        <w:t> </w:t>
      </w:r>
      <w:r w:rsidRPr="00770BE6">
        <w:rPr>
          <w:rFonts w:asciiTheme="majorHAnsi" w:hAnsiTheme="majorHAnsi"/>
          <w:szCs w:val="20"/>
          <w:lang w:eastAsia="ar-SA"/>
        </w:rPr>
        <w:t>6 bude prostredníctvom EFRR, KF, EPFRV a</w:t>
      </w:r>
      <w:r w:rsidR="000F4D33">
        <w:rPr>
          <w:rFonts w:asciiTheme="majorHAnsi" w:hAnsiTheme="majorHAnsi"/>
          <w:szCs w:val="20"/>
          <w:lang w:eastAsia="ar-SA"/>
        </w:rPr>
        <w:t> </w:t>
      </w:r>
      <w:r w:rsidRPr="00770BE6">
        <w:rPr>
          <w:rFonts w:asciiTheme="majorHAnsi" w:hAnsiTheme="majorHAnsi"/>
          <w:szCs w:val="20"/>
          <w:lang w:eastAsia="ar-SA"/>
        </w:rPr>
        <w:t>ENRF zabezpečená komplementarita podporou priorít v</w:t>
      </w:r>
      <w:r w:rsidR="000F4D33">
        <w:rPr>
          <w:rFonts w:asciiTheme="majorHAnsi" w:hAnsiTheme="majorHAnsi"/>
          <w:szCs w:val="20"/>
          <w:lang w:eastAsia="ar-SA"/>
        </w:rPr>
        <w:t> </w:t>
      </w:r>
      <w:r w:rsidRPr="00770BE6">
        <w:rPr>
          <w:rFonts w:asciiTheme="majorHAnsi" w:hAnsiTheme="majorHAnsi"/>
          <w:szCs w:val="20"/>
          <w:lang w:eastAsia="ar-SA"/>
        </w:rPr>
        <w:t>oblasti ochrany životného prostredia a</w:t>
      </w:r>
      <w:r w:rsidR="000F4D33">
        <w:rPr>
          <w:rFonts w:asciiTheme="majorHAnsi" w:hAnsiTheme="majorHAnsi"/>
          <w:szCs w:val="20"/>
          <w:lang w:eastAsia="ar-SA"/>
        </w:rPr>
        <w:t> </w:t>
      </w:r>
      <w:r w:rsidRPr="00770BE6">
        <w:rPr>
          <w:rFonts w:asciiTheme="majorHAnsi" w:hAnsiTheme="majorHAnsi"/>
          <w:szCs w:val="20"/>
          <w:lang w:eastAsia="ar-SA"/>
        </w:rPr>
        <w:t>podpory účinného využívania zdrojov, v</w:t>
      </w:r>
      <w:r w:rsidR="00F819ED">
        <w:rPr>
          <w:rFonts w:asciiTheme="majorHAnsi" w:hAnsiTheme="majorHAnsi"/>
          <w:szCs w:val="20"/>
          <w:lang w:eastAsia="ar-SA"/>
        </w:rPr>
        <w:t> </w:t>
      </w:r>
      <w:r w:rsidRPr="00770BE6">
        <w:rPr>
          <w:rFonts w:asciiTheme="majorHAnsi" w:hAnsiTheme="majorHAnsi"/>
          <w:szCs w:val="20"/>
          <w:lang w:eastAsia="ar-SA"/>
        </w:rPr>
        <w:t>oblasti predchádzania rizikám (najmä povodňovým), ako aj v</w:t>
      </w:r>
      <w:r w:rsidR="00F819ED">
        <w:rPr>
          <w:rFonts w:asciiTheme="majorHAnsi" w:hAnsiTheme="majorHAnsi"/>
          <w:szCs w:val="20"/>
          <w:lang w:eastAsia="ar-SA"/>
        </w:rPr>
        <w:t> </w:t>
      </w:r>
      <w:r w:rsidRPr="00770BE6">
        <w:rPr>
          <w:rFonts w:asciiTheme="majorHAnsi" w:hAnsiTheme="majorHAnsi"/>
          <w:szCs w:val="20"/>
          <w:lang w:eastAsia="ar-SA"/>
        </w:rPr>
        <w:t>oblasti</w:t>
      </w:r>
      <w:r w:rsidR="00F819ED">
        <w:rPr>
          <w:rFonts w:asciiTheme="majorHAnsi" w:hAnsiTheme="majorHAnsi"/>
          <w:szCs w:val="20"/>
          <w:lang w:eastAsia="ar-SA"/>
        </w:rPr>
        <w:t xml:space="preserve"> </w:t>
      </w:r>
      <w:r w:rsidRPr="00770BE6">
        <w:rPr>
          <w:rFonts w:asciiTheme="majorHAnsi" w:hAnsiTheme="majorHAnsi"/>
          <w:szCs w:val="20"/>
          <w:lang w:eastAsia="ar-SA"/>
        </w:rPr>
        <w:t>predchádzania nepriaznivým dôsledkom zmeny klímy a</w:t>
      </w:r>
      <w:r w:rsidR="00F819ED">
        <w:rPr>
          <w:rFonts w:asciiTheme="majorHAnsi" w:hAnsiTheme="majorHAnsi"/>
          <w:szCs w:val="20"/>
          <w:lang w:eastAsia="ar-SA"/>
        </w:rPr>
        <w:t> </w:t>
      </w:r>
      <w:r w:rsidRPr="00770BE6">
        <w:rPr>
          <w:rFonts w:asciiTheme="majorHAnsi" w:hAnsiTheme="majorHAnsi"/>
          <w:szCs w:val="20"/>
          <w:lang w:eastAsia="ar-SA"/>
        </w:rPr>
        <w:t>adaptácie na ne. Zníženie emisií skleníkových plynov sa dosiahne podporou aktivít v</w:t>
      </w:r>
      <w:r w:rsidR="00F819ED">
        <w:rPr>
          <w:rFonts w:asciiTheme="majorHAnsi" w:hAnsiTheme="majorHAnsi"/>
          <w:szCs w:val="20"/>
          <w:lang w:eastAsia="ar-SA"/>
        </w:rPr>
        <w:t> </w:t>
      </w:r>
      <w:r w:rsidRPr="00770BE6">
        <w:rPr>
          <w:rFonts w:asciiTheme="majorHAnsi" w:hAnsiTheme="majorHAnsi"/>
          <w:szCs w:val="20"/>
          <w:lang w:eastAsia="ar-SA"/>
        </w:rPr>
        <w:t>oblasti energetiky a</w:t>
      </w:r>
      <w:r w:rsidR="00F819ED">
        <w:rPr>
          <w:rFonts w:asciiTheme="majorHAnsi" w:hAnsiTheme="majorHAnsi"/>
          <w:szCs w:val="20"/>
          <w:lang w:eastAsia="ar-SA"/>
        </w:rPr>
        <w:t> </w:t>
      </w:r>
      <w:r w:rsidRPr="00770BE6">
        <w:rPr>
          <w:rFonts w:asciiTheme="majorHAnsi" w:hAnsiTheme="majorHAnsi"/>
          <w:szCs w:val="20"/>
          <w:lang w:eastAsia="ar-SA"/>
        </w:rPr>
        <w:t>prechodu k</w:t>
      </w:r>
      <w:r w:rsidR="00F819ED">
        <w:rPr>
          <w:rFonts w:asciiTheme="majorHAnsi" w:hAnsiTheme="majorHAnsi"/>
          <w:szCs w:val="20"/>
          <w:lang w:eastAsia="ar-SA"/>
        </w:rPr>
        <w:t> </w:t>
      </w:r>
      <w:r w:rsidRPr="00770BE6">
        <w:rPr>
          <w:rFonts w:asciiTheme="majorHAnsi" w:hAnsiTheme="majorHAnsi"/>
          <w:szCs w:val="20"/>
          <w:lang w:eastAsia="ar-SA"/>
        </w:rPr>
        <w:t>nízkouhlíkovému</w:t>
      </w:r>
      <w:r w:rsidR="00F819ED">
        <w:rPr>
          <w:rFonts w:asciiTheme="majorHAnsi" w:hAnsiTheme="majorHAnsi"/>
          <w:szCs w:val="20"/>
          <w:lang w:eastAsia="ar-SA"/>
        </w:rPr>
        <w:t xml:space="preserve"> </w:t>
      </w:r>
      <w:r w:rsidRPr="00770BE6">
        <w:rPr>
          <w:rFonts w:asciiTheme="majorHAnsi" w:hAnsiTheme="majorHAnsi"/>
          <w:szCs w:val="20"/>
          <w:lang w:eastAsia="ar-SA"/>
        </w:rPr>
        <w:t>hospodárstvu všeobecne.</w:t>
      </w:r>
      <w:r w:rsidR="00D32466" w:rsidRPr="00D32466">
        <w:rPr>
          <w:rFonts w:asciiTheme="majorHAnsi" w:hAnsiTheme="majorHAnsi"/>
          <w:szCs w:val="20"/>
          <w:lang w:eastAsia="ar-SA"/>
        </w:rPr>
        <w:t xml:space="preserve"> Podpora do TC5 zo zdrojov EŠIF vytvorí dopyt po pracovnej sile, čo sa odrazí v komplementárnej podpore TC8 z fondu ESF.</w:t>
      </w:r>
    </w:p>
    <w:p w:rsidR="00186CED" w:rsidRPr="00186CED" w:rsidRDefault="00186CED" w:rsidP="00F378CE">
      <w:pPr>
        <w:rPr>
          <w:rFonts w:asciiTheme="majorHAnsi" w:hAnsiTheme="majorHAnsi"/>
          <w:szCs w:val="20"/>
          <w:lang w:eastAsia="ar-SA"/>
        </w:rPr>
      </w:pPr>
      <w:r w:rsidRPr="00186CED">
        <w:rPr>
          <w:rFonts w:asciiTheme="majorHAnsi" w:hAnsiTheme="majorHAnsi"/>
          <w:szCs w:val="20"/>
          <w:lang w:eastAsia="ar-SA"/>
        </w:rPr>
        <w:t xml:space="preserve">V rámci </w:t>
      </w:r>
      <w:r w:rsidR="00F819ED">
        <w:rPr>
          <w:rFonts w:asciiTheme="majorHAnsi" w:hAnsiTheme="majorHAnsi"/>
          <w:szCs w:val="20"/>
          <w:lang w:eastAsia="ar-SA"/>
        </w:rPr>
        <w:t>TC</w:t>
      </w:r>
      <w:r w:rsidRPr="00186CED">
        <w:rPr>
          <w:rFonts w:asciiTheme="majorHAnsi" w:hAnsiTheme="majorHAnsi"/>
          <w:szCs w:val="20"/>
          <w:lang w:eastAsia="ar-SA"/>
        </w:rPr>
        <w:t xml:space="preserve">7 sa zabezpečí komplementarita prostredníctvom EFRR a KF v oblasti zvyšovania kvality dopravnej infraštruktúry SR, ako aj ekologizáciou a zlepšovaním dostupnosti </w:t>
      </w:r>
      <w:r w:rsidR="00F819ED">
        <w:rPr>
          <w:rFonts w:asciiTheme="majorHAnsi" w:hAnsiTheme="majorHAnsi"/>
          <w:szCs w:val="20"/>
          <w:lang w:eastAsia="ar-SA"/>
        </w:rPr>
        <w:t xml:space="preserve">VOD </w:t>
      </w:r>
      <w:r w:rsidRPr="00186CED">
        <w:rPr>
          <w:rFonts w:asciiTheme="majorHAnsi" w:hAnsiTheme="majorHAnsi"/>
          <w:szCs w:val="20"/>
          <w:lang w:eastAsia="ar-SA"/>
        </w:rPr>
        <w:t>v urbanizovaných oblastiach.</w:t>
      </w:r>
    </w:p>
    <w:p w:rsidR="00186CED" w:rsidRPr="00186CED" w:rsidRDefault="00186CED" w:rsidP="00186CED">
      <w:pPr>
        <w:rPr>
          <w:rFonts w:asciiTheme="majorHAnsi" w:hAnsiTheme="majorHAnsi"/>
          <w:szCs w:val="20"/>
          <w:lang w:eastAsia="ar-SA"/>
        </w:rPr>
      </w:pPr>
      <w:r w:rsidRPr="00186CED">
        <w:rPr>
          <w:rFonts w:asciiTheme="majorHAnsi" w:hAnsiTheme="majorHAnsi"/>
          <w:szCs w:val="20"/>
          <w:lang w:eastAsia="ar-SA"/>
        </w:rPr>
        <w:t xml:space="preserve">V rámci </w:t>
      </w:r>
      <w:r w:rsidR="00F819ED">
        <w:rPr>
          <w:rFonts w:asciiTheme="majorHAnsi" w:hAnsiTheme="majorHAnsi"/>
          <w:szCs w:val="20"/>
          <w:lang w:eastAsia="ar-SA"/>
        </w:rPr>
        <w:t>TC</w:t>
      </w:r>
      <w:r w:rsidRPr="00186CED">
        <w:rPr>
          <w:rFonts w:asciiTheme="majorHAnsi" w:hAnsiTheme="majorHAnsi"/>
          <w:szCs w:val="20"/>
          <w:lang w:eastAsia="ar-SA"/>
        </w:rPr>
        <w:t>8, 9 a 10 sa zabezpečí prostredníctvom EFRR, ESF a</w:t>
      </w:r>
      <w:r w:rsidR="007E236C">
        <w:rPr>
          <w:rFonts w:asciiTheme="majorHAnsi" w:hAnsiTheme="majorHAnsi"/>
          <w:szCs w:val="20"/>
          <w:lang w:eastAsia="ar-SA"/>
        </w:rPr>
        <w:t> </w:t>
      </w:r>
      <w:r w:rsidRPr="00186CED">
        <w:rPr>
          <w:rFonts w:asciiTheme="majorHAnsi" w:hAnsiTheme="majorHAnsi"/>
          <w:szCs w:val="20"/>
          <w:lang w:eastAsia="ar-SA"/>
        </w:rPr>
        <w:t>EPFRV komplementarita v oblasti sociálnej inklúzie, zmiernenia chudoby aj na vidieku, tvorby nových pracovných miest, zvýšenia</w:t>
      </w:r>
      <w:r w:rsidR="00F43739">
        <w:rPr>
          <w:rFonts w:asciiTheme="majorHAnsi" w:hAnsiTheme="majorHAnsi"/>
          <w:szCs w:val="20"/>
          <w:lang w:eastAsia="ar-SA"/>
        </w:rPr>
        <w:t xml:space="preserve"> dostupnosti ku kvalitnej zdravotnej starostlivosti, zvýšenia</w:t>
      </w:r>
      <w:r w:rsidRPr="00186CED">
        <w:rPr>
          <w:rFonts w:asciiTheme="majorHAnsi" w:hAnsiTheme="majorHAnsi"/>
          <w:szCs w:val="20"/>
          <w:lang w:eastAsia="ar-SA"/>
        </w:rPr>
        <w:t xml:space="preserve"> kvality vzdelávania v</w:t>
      </w:r>
      <w:r w:rsidR="0034477A">
        <w:rPr>
          <w:rFonts w:asciiTheme="majorHAnsi" w:hAnsiTheme="majorHAnsi"/>
          <w:szCs w:val="20"/>
          <w:lang w:eastAsia="ar-SA"/>
        </w:rPr>
        <w:t> </w:t>
      </w:r>
      <w:r w:rsidR="007E236C">
        <w:rPr>
          <w:rFonts w:asciiTheme="majorHAnsi" w:hAnsiTheme="majorHAnsi"/>
          <w:szCs w:val="20"/>
          <w:lang w:eastAsia="ar-SA"/>
        </w:rPr>
        <w:t>MŠ</w:t>
      </w:r>
      <w:r w:rsidR="00AD3709">
        <w:rPr>
          <w:rFonts w:asciiTheme="majorHAnsi" w:hAnsiTheme="majorHAnsi"/>
          <w:szCs w:val="20"/>
          <w:lang w:eastAsia="ar-SA"/>
        </w:rPr>
        <w:t xml:space="preserve"> </w:t>
      </w:r>
      <w:r w:rsidRPr="00186CED">
        <w:rPr>
          <w:rFonts w:asciiTheme="majorHAnsi" w:hAnsiTheme="majorHAnsi"/>
          <w:szCs w:val="20"/>
          <w:lang w:eastAsia="ar-SA"/>
        </w:rPr>
        <w:t>a školských zariadeniach</w:t>
      </w:r>
      <w:r w:rsidR="00D32466" w:rsidRPr="00D32466">
        <w:rPr>
          <w:rFonts w:asciiTheme="majorHAnsi" w:hAnsiTheme="majorHAnsi"/>
          <w:szCs w:val="20"/>
          <w:lang w:eastAsia="ar-SA"/>
        </w:rPr>
        <w:t>, vzdelávania v</w:t>
      </w:r>
      <w:r w:rsidR="00F819ED">
        <w:rPr>
          <w:rFonts w:asciiTheme="majorHAnsi" w:hAnsiTheme="majorHAnsi"/>
          <w:szCs w:val="20"/>
          <w:lang w:eastAsia="ar-SA"/>
        </w:rPr>
        <w:t> </w:t>
      </w:r>
      <w:r w:rsidR="00D32466" w:rsidRPr="00D32466">
        <w:rPr>
          <w:rFonts w:asciiTheme="majorHAnsi" w:hAnsiTheme="majorHAnsi"/>
          <w:szCs w:val="20"/>
          <w:lang w:eastAsia="ar-SA"/>
        </w:rPr>
        <w:t>oblasti</w:t>
      </w:r>
      <w:r w:rsidR="00F819ED">
        <w:rPr>
          <w:rFonts w:asciiTheme="majorHAnsi" w:hAnsiTheme="majorHAnsi"/>
          <w:szCs w:val="20"/>
          <w:lang w:eastAsia="ar-SA"/>
        </w:rPr>
        <w:t xml:space="preserve"> </w:t>
      </w:r>
      <w:r w:rsidR="00D32466" w:rsidRPr="00D32466">
        <w:rPr>
          <w:rFonts w:asciiTheme="majorHAnsi" w:hAnsiTheme="majorHAnsi"/>
          <w:szCs w:val="20"/>
          <w:lang w:eastAsia="ar-SA"/>
        </w:rPr>
        <w:t>prírodných vied a smerov a</w:t>
      </w:r>
      <w:r w:rsidR="00F819ED">
        <w:rPr>
          <w:rFonts w:asciiTheme="majorHAnsi" w:hAnsiTheme="majorHAnsi"/>
          <w:szCs w:val="20"/>
          <w:lang w:eastAsia="ar-SA"/>
        </w:rPr>
        <w:t> </w:t>
      </w:r>
      <w:r w:rsidR="00D32466" w:rsidRPr="00D32466">
        <w:rPr>
          <w:rFonts w:asciiTheme="majorHAnsi" w:hAnsiTheme="majorHAnsi"/>
          <w:szCs w:val="20"/>
          <w:lang w:eastAsia="ar-SA"/>
        </w:rPr>
        <w:t>zvyšovania</w:t>
      </w:r>
      <w:r w:rsidR="00F819ED">
        <w:rPr>
          <w:rFonts w:asciiTheme="majorHAnsi" w:hAnsiTheme="majorHAnsi"/>
          <w:szCs w:val="20"/>
          <w:lang w:eastAsia="ar-SA"/>
        </w:rPr>
        <w:t xml:space="preserve"> </w:t>
      </w:r>
      <w:r w:rsidR="00D32466" w:rsidRPr="00D32466">
        <w:rPr>
          <w:rFonts w:asciiTheme="majorHAnsi" w:hAnsiTheme="majorHAnsi"/>
          <w:szCs w:val="20"/>
          <w:lang w:eastAsia="ar-SA"/>
        </w:rPr>
        <w:t>prírodovednej gramotnosti,</w:t>
      </w:r>
      <w:r w:rsidR="00D32466">
        <w:rPr>
          <w:rFonts w:asciiTheme="majorHAnsi" w:hAnsiTheme="majorHAnsi"/>
          <w:szCs w:val="20"/>
          <w:lang w:eastAsia="ar-SA"/>
        </w:rPr>
        <w:t xml:space="preserve"> </w:t>
      </w:r>
      <w:r w:rsidRPr="00186CED">
        <w:rPr>
          <w:rFonts w:asciiTheme="majorHAnsi" w:hAnsiTheme="majorHAnsi"/>
          <w:szCs w:val="20"/>
          <w:lang w:eastAsia="ar-SA"/>
        </w:rPr>
        <w:t>zníženia nezamestnanosti absolventov a posilnenia celoživotného a odborného vzdelávania.</w:t>
      </w:r>
    </w:p>
    <w:p w:rsidR="00E70845" w:rsidRDefault="00186CED" w:rsidP="00186CED">
      <w:pPr>
        <w:rPr>
          <w:rFonts w:asciiTheme="majorHAnsi" w:hAnsiTheme="majorHAnsi"/>
          <w:szCs w:val="20"/>
          <w:lang w:eastAsia="ar-SA"/>
        </w:rPr>
      </w:pPr>
      <w:r w:rsidRPr="00186CED">
        <w:rPr>
          <w:rFonts w:asciiTheme="majorHAnsi" w:hAnsiTheme="majorHAnsi"/>
          <w:szCs w:val="20"/>
          <w:lang w:eastAsia="ar-SA"/>
        </w:rPr>
        <w:t xml:space="preserve">V rámci </w:t>
      </w:r>
      <w:r w:rsidR="00F819ED">
        <w:rPr>
          <w:rFonts w:asciiTheme="majorHAnsi" w:hAnsiTheme="majorHAnsi"/>
          <w:szCs w:val="20"/>
          <w:lang w:eastAsia="ar-SA"/>
        </w:rPr>
        <w:t>TC</w:t>
      </w:r>
      <w:r w:rsidRPr="00186CED">
        <w:rPr>
          <w:rFonts w:asciiTheme="majorHAnsi" w:hAnsiTheme="majorHAnsi"/>
          <w:szCs w:val="20"/>
          <w:lang w:eastAsia="ar-SA"/>
        </w:rPr>
        <w:t>2 a 11 zabezpečí</w:t>
      </w:r>
      <w:r w:rsidR="00543820">
        <w:rPr>
          <w:rFonts w:asciiTheme="majorHAnsi" w:hAnsiTheme="majorHAnsi"/>
          <w:szCs w:val="20"/>
          <w:lang w:eastAsia="ar-SA"/>
        </w:rPr>
        <w:t xml:space="preserve"> SR</w:t>
      </w:r>
      <w:r w:rsidRPr="00186CED">
        <w:rPr>
          <w:rFonts w:asciiTheme="majorHAnsi" w:hAnsiTheme="majorHAnsi"/>
          <w:szCs w:val="20"/>
          <w:lang w:eastAsia="ar-SA"/>
        </w:rPr>
        <w:t xml:space="preserve"> </w:t>
      </w:r>
      <w:r w:rsidR="00543820" w:rsidRPr="00186CED">
        <w:rPr>
          <w:rFonts w:asciiTheme="majorHAnsi" w:hAnsiTheme="majorHAnsi"/>
          <w:szCs w:val="20"/>
          <w:lang w:eastAsia="ar-SA"/>
        </w:rPr>
        <w:t>komplementarit</w:t>
      </w:r>
      <w:r w:rsidR="00543820">
        <w:rPr>
          <w:rFonts w:asciiTheme="majorHAnsi" w:hAnsiTheme="majorHAnsi"/>
          <w:szCs w:val="20"/>
          <w:lang w:eastAsia="ar-SA"/>
        </w:rPr>
        <w:t>u</w:t>
      </w:r>
      <w:r w:rsidR="00543820" w:rsidRPr="00186CED">
        <w:rPr>
          <w:rFonts w:asciiTheme="majorHAnsi" w:hAnsiTheme="majorHAnsi"/>
          <w:szCs w:val="20"/>
          <w:lang w:eastAsia="ar-SA"/>
        </w:rPr>
        <w:t xml:space="preserve"> </w:t>
      </w:r>
      <w:r w:rsidRPr="00186CED">
        <w:rPr>
          <w:rFonts w:asciiTheme="majorHAnsi" w:hAnsiTheme="majorHAnsi"/>
          <w:szCs w:val="20"/>
          <w:lang w:eastAsia="ar-SA"/>
        </w:rPr>
        <w:t>v oblasti rozvoj</w:t>
      </w:r>
      <w:r w:rsidR="00990000">
        <w:rPr>
          <w:rFonts w:asciiTheme="majorHAnsi" w:hAnsiTheme="majorHAnsi"/>
          <w:szCs w:val="20"/>
          <w:lang w:eastAsia="ar-SA"/>
        </w:rPr>
        <w:t>a</w:t>
      </w:r>
      <w:r w:rsidRPr="00186CED">
        <w:rPr>
          <w:rFonts w:asciiTheme="majorHAnsi" w:hAnsiTheme="majorHAnsi"/>
          <w:szCs w:val="20"/>
          <w:lang w:eastAsia="ar-SA"/>
        </w:rPr>
        <w:t xml:space="preserve"> e-Governmentu a reformy </w:t>
      </w:r>
      <w:r w:rsidR="00F819ED">
        <w:rPr>
          <w:rFonts w:asciiTheme="majorHAnsi" w:hAnsiTheme="majorHAnsi"/>
          <w:szCs w:val="20"/>
          <w:lang w:eastAsia="ar-SA"/>
        </w:rPr>
        <w:t>VS</w:t>
      </w:r>
      <w:r w:rsidRPr="00186CED">
        <w:rPr>
          <w:rFonts w:asciiTheme="majorHAnsi" w:hAnsiTheme="majorHAnsi"/>
          <w:szCs w:val="20"/>
          <w:lang w:eastAsia="ar-SA"/>
        </w:rPr>
        <w:t xml:space="preserve"> (podpora procesov verejnej správy </w:t>
      </w:r>
      <w:r w:rsidR="006A44F2">
        <w:rPr>
          <w:rFonts w:asciiTheme="majorHAnsi" w:hAnsiTheme="majorHAnsi"/>
          <w:szCs w:val="20"/>
          <w:lang w:eastAsia="ar-SA"/>
        </w:rPr>
        <w:t>IKT</w:t>
      </w:r>
      <w:r w:rsidRPr="00186CED">
        <w:rPr>
          <w:rFonts w:asciiTheme="majorHAnsi" w:hAnsiTheme="majorHAnsi"/>
          <w:szCs w:val="20"/>
          <w:lang w:eastAsia="ar-SA"/>
        </w:rPr>
        <w:t>).</w:t>
      </w:r>
      <w:r w:rsidR="00990000">
        <w:rPr>
          <w:rFonts w:asciiTheme="majorHAnsi" w:hAnsiTheme="majorHAnsi"/>
          <w:szCs w:val="20"/>
          <w:lang w:eastAsia="ar-SA"/>
        </w:rPr>
        <w:t xml:space="preserve"> </w:t>
      </w:r>
      <w:r w:rsidR="00543820">
        <w:rPr>
          <w:rFonts w:asciiTheme="majorHAnsi" w:hAnsiTheme="majorHAnsi"/>
          <w:szCs w:val="20"/>
          <w:lang w:eastAsia="ar-SA"/>
        </w:rPr>
        <w:t xml:space="preserve">Východiskom pre zabezpečenie komplementarity bude </w:t>
      </w:r>
      <w:r w:rsidR="00990000" w:rsidRPr="00990000">
        <w:rPr>
          <w:rFonts w:asciiTheme="majorHAnsi" w:hAnsiTheme="majorHAnsi"/>
          <w:szCs w:val="20"/>
          <w:lang w:eastAsia="ar-SA"/>
        </w:rPr>
        <w:t>koordinačn</w:t>
      </w:r>
      <w:r w:rsidR="00543820">
        <w:rPr>
          <w:rFonts w:asciiTheme="majorHAnsi" w:hAnsiTheme="majorHAnsi"/>
          <w:szCs w:val="20"/>
          <w:lang w:eastAsia="ar-SA"/>
        </w:rPr>
        <w:t>ý</w:t>
      </w:r>
      <w:r w:rsidR="00990000" w:rsidRPr="00990000">
        <w:rPr>
          <w:rFonts w:asciiTheme="majorHAnsi" w:hAnsiTheme="majorHAnsi"/>
          <w:szCs w:val="20"/>
          <w:lang w:eastAsia="ar-SA"/>
        </w:rPr>
        <w:t xml:space="preserve"> mechanizmu</w:t>
      </w:r>
      <w:r w:rsidR="00543820">
        <w:rPr>
          <w:rFonts w:asciiTheme="majorHAnsi" w:hAnsiTheme="majorHAnsi"/>
          <w:szCs w:val="20"/>
          <w:lang w:eastAsia="ar-SA"/>
        </w:rPr>
        <w:t>s</w:t>
      </w:r>
      <w:r w:rsidR="00990000" w:rsidRPr="00990000">
        <w:rPr>
          <w:rFonts w:asciiTheme="majorHAnsi" w:hAnsiTheme="majorHAnsi"/>
          <w:szCs w:val="20"/>
          <w:lang w:eastAsia="ar-SA"/>
        </w:rPr>
        <w:t xml:space="preserve">, ktorý </w:t>
      </w:r>
      <w:r w:rsidR="002D05F3">
        <w:rPr>
          <w:rFonts w:asciiTheme="majorHAnsi" w:hAnsiTheme="majorHAnsi"/>
          <w:szCs w:val="20"/>
          <w:lang w:eastAsia="ar-SA"/>
        </w:rPr>
        <w:t>je</w:t>
      </w:r>
      <w:r w:rsidR="00990000" w:rsidRPr="00990000">
        <w:rPr>
          <w:rFonts w:asciiTheme="majorHAnsi" w:hAnsiTheme="majorHAnsi"/>
          <w:szCs w:val="20"/>
          <w:lang w:eastAsia="ar-SA"/>
        </w:rPr>
        <w:t xml:space="preserve"> definovaný v</w:t>
      </w:r>
      <w:r w:rsidR="00F819ED">
        <w:rPr>
          <w:rFonts w:asciiTheme="majorHAnsi" w:hAnsiTheme="majorHAnsi"/>
          <w:szCs w:val="20"/>
          <w:lang w:eastAsia="ar-SA"/>
        </w:rPr>
        <w:t> </w:t>
      </w:r>
      <w:r w:rsidR="00990000" w:rsidRPr="00990000">
        <w:rPr>
          <w:rFonts w:asciiTheme="majorHAnsi" w:hAnsiTheme="majorHAnsi"/>
          <w:szCs w:val="20"/>
          <w:lang w:eastAsia="ar-SA"/>
        </w:rPr>
        <w:t>dokumente</w:t>
      </w:r>
      <w:r w:rsidR="00F819ED">
        <w:rPr>
          <w:rFonts w:asciiTheme="majorHAnsi" w:hAnsiTheme="majorHAnsi"/>
          <w:szCs w:val="20"/>
          <w:lang w:eastAsia="ar-SA"/>
        </w:rPr>
        <w:t xml:space="preserve"> </w:t>
      </w:r>
      <w:r w:rsidR="00990000" w:rsidRPr="00990000">
        <w:rPr>
          <w:rFonts w:asciiTheme="majorHAnsi" w:hAnsiTheme="majorHAnsi"/>
          <w:szCs w:val="20"/>
          <w:lang w:eastAsia="ar-SA"/>
        </w:rPr>
        <w:t>„</w:t>
      </w:r>
      <w:r w:rsidR="002D05F3">
        <w:rPr>
          <w:rFonts w:asciiTheme="majorHAnsi" w:hAnsiTheme="majorHAnsi"/>
          <w:szCs w:val="20"/>
          <w:lang w:eastAsia="ar-SA"/>
        </w:rPr>
        <w:t>S</w:t>
      </w:r>
      <w:r w:rsidR="00990000" w:rsidRPr="00990000">
        <w:rPr>
          <w:rFonts w:asciiTheme="majorHAnsi" w:hAnsiTheme="majorHAnsi"/>
          <w:szCs w:val="20"/>
          <w:lang w:eastAsia="ar-SA"/>
        </w:rPr>
        <w:t xml:space="preserve">ystém vzájomnej koordinácie medzi OP II a OP EVS”. </w:t>
      </w:r>
      <w:r w:rsidR="00363082">
        <w:rPr>
          <w:rFonts w:ascii="Calibri" w:hAnsi="Calibri"/>
          <w:szCs w:val="22"/>
        </w:rPr>
        <w:t xml:space="preserve">Bližšie informácie k implementácii koordinácie medzi </w:t>
      </w:r>
      <w:r w:rsidR="00F819ED">
        <w:rPr>
          <w:rFonts w:ascii="Calibri" w:hAnsi="Calibri"/>
          <w:szCs w:val="22"/>
        </w:rPr>
        <w:t>RO</w:t>
      </w:r>
      <w:r w:rsidR="00363082">
        <w:rPr>
          <w:rFonts w:ascii="Calibri" w:hAnsi="Calibri"/>
          <w:szCs w:val="22"/>
        </w:rPr>
        <w:t xml:space="preserve"> OP EVS a OP II budú uvedené v oboch programoch. </w:t>
      </w:r>
      <w:r w:rsidR="0040571D" w:rsidRPr="0040571D">
        <w:rPr>
          <w:rFonts w:asciiTheme="majorHAnsi" w:hAnsiTheme="majorHAnsi"/>
          <w:szCs w:val="20"/>
          <w:lang w:eastAsia="ar-SA"/>
        </w:rPr>
        <w:t xml:space="preserve">OP II bude realizovať investície do informatizácie, ktoré budú napĺňať reformu </w:t>
      </w:r>
      <w:r w:rsidR="00F819ED">
        <w:rPr>
          <w:rFonts w:asciiTheme="majorHAnsi" w:hAnsiTheme="majorHAnsi"/>
          <w:szCs w:val="20"/>
          <w:lang w:eastAsia="ar-SA"/>
        </w:rPr>
        <w:t>VS</w:t>
      </w:r>
      <w:r w:rsidR="0040571D" w:rsidRPr="0040571D">
        <w:rPr>
          <w:rFonts w:asciiTheme="majorHAnsi" w:hAnsiTheme="majorHAnsi"/>
          <w:szCs w:val="20"/>
          <w:lang w:eastAsia="ar-SA"/>
        </w:rPr>
        <w:t xml:space="preserve"> a podporia aktivity OP EVS. Inštitucionálny systém koordinácie medzi OP II a OP EVS bude pozostávať z</w:t>
      </w:r>
      <w:r w:rsidR="00F819ED">
        <w:rPr>
          <w:rFonts w:asciiTheme="majorHAnsi" w:hAnsiTheme="majorHAnsi"/>
          <w:szCs w:val="20"/>
          <w:lang w:eastAsia="ar-SA"/>
        </w:rPr>
        <w:t> </w:t>
      </w:r>
      <w:r w:rsidR="0040571D" w:rsidRPr="0040571D">
        <w:rPr>
          <w:rFonts w:asciiTheme="majorHAnsi" w:hAnsiTheme="majorHAnsi"/>
          <w:szCs w:val="20"/>
          <w:lang w:eastAsia="ar-SA"/>
        </w:rPr>
        <w:t>3</w:t>
      </w:r>
      <w:r w:rsidR="00F819ED">
        <w:rPr>
          <w:rFonts w:asciiTheme="majorHAnsi" w:hAnsiTheme="majorHAnsi"/>
          <w:szCs w:val="20"/>
          <w:lang w:eastAsia="ar-SA"/>
        </w:rPr>
        <w:t xml:space="preserve"> </w:t>
      </w:r>
      <w:r w:rsidR="0040571D" w:rsidRPr="0040571D">
        <w:rPr>
          <w:rFonts w:asciiTheme="majorHAnsi" w:hAnsiTheme="majorHAnsi"/>
          <w:szCs w:val="20"/>
          <w:lang w:eastAsia="ar-SA"/>
        </w:rPr>
        <w:t xml:space="preserve">základných úrovní: </w:t>
      </w:r>
      <w:r w:rsidR="00265B34">
        <w:rPr>
          <w:rFonts w:asciiTheme="majorHAnsi" w:hAnsiTheme="majorHAnsi"/>
          <w:szCs w:val="20"/>
          <w:lang w:eastAsia="ar-SA"/>
        </w:rPr>
        <w:t>p</w:t>
      </w:r>
      <w:r w:rsidR="0040571D" w:rsidRPr="0040571D">
        <w:rPr>
          <w:rFonts w:asciiTheme="majorHAnsi" w:hAnsiTheme="majorHAnsi"/>
          <w:szCs w:val="20"/>
          <w:lang w:eastAsia="ar-SA"/>
        </w:rPr>
        <w:t xml:space="preserve">olitická úroveň, ktorú predstavuje monitorovací výbor, </w:t>
      </w:r>
      <w:r w:rsidR="00265B34">
        <w:rPr>
          <w:rFonts w:asciiTheme="majorHAnsi" w:hAnsiTheme="majorHAnsi"/>
          <w:szCs w:val="20"/>
          <w:lang w:eastAsia="ar-SA"/>
        </w:rPr>
        <w:t>t</w:t>
      </w:r>
      <w:r w:rsidR="0040571D" w:rsidRPr="0040571D">
        <w:rPr>
          <w:rFonts w:asciiTheme="majorHAnsi" w:hAnsiTheme="majorHAnsi"/>
          <w:szCs w:val="20"/>
          <w:lang w:eastAsia="ar-SA"/>
        </w:rPr>
        <w:t>echnická programová úroveň, ktorú predstavuje Interný dozorný monitorovací výbor a</w:t>
      </w:r>
      <w:r w:rsidR="00F819ED">
        <w:rPr>
          <w:rFonts w:asciiTheme="majorHAnsi" w:hAnsiTheme="majorHAnsi"/>
          <w:szCs w:val="20"/>
          <w:lang w:eastAsia="ar-SA"/>
        </w:rPr>
        <w:t> </w:t>
      </w:r>
      <w:r w:rsidR="00265B34">
        <w:rPr>
          <w:rFonts w:asciiTheme="majorHAnsi" w:hAnsiTheme="majorHAnsi"/>
          <w:szCs w:val="20"/>
          <w:lang w:eastAsia="ar-SA"/>
        </w:rPr>
        <w:t>t</w:t>
      </w:r>
      <w:r w:rsidR="0040571D" w:rsidRPr="0040571D">
        <w:rPr>
          <w:rFonts w:asciiTheme="majorHAnsi" w:hAnsiTheme="majorHAnsi"/>
          <w:szCs w:val="20"/>
          <w:lang w:eastAsia="ar-SA"/>
        </w:rPr>
        <w:t>echnická</w:t>
      </w:r>
      <w:r w:rsidR="00F819ED">
        <w:rPr>
          <w:rFonts w:asciiTheme="majorHAnsi" w:hAnsiTheme="majorHAnsi"/>
          <w:szCs w:val="20"/>
          <w:lang w:eastAsia="ar-SA"/>
        </w:rPr>
        <w:t xml:space="preserve"> </w:t>
      </w:r>
      <w:r w:rsidR="0040571D" w:rsidRPr="0040571D">
        <w:rPr>
          <w:rFonts w:asciiTheme="majorHAnsi" w:hAnsiTheme="majorHAnsi"/>
          <w:szCs w:val="20"/>
          <w:lang w:eastAsia="ar-SA"/>
        </w:rPr>
        <w:t xml:space="preserve">projektová úroveň, ktorú predstavuje Riadiaci výbor pre štúdie realizovateľnosti. SR zabezpečí, aby koncepty reformy </w:t>
      </w:r>
      <w:r w:rsidR="00F819ED">
        <w:rPr>
          <w:rFonts w:asciiTheme="majorHAnsi" w:hAnsiTheme="majorHAnsi"/>
          <w:szCs w:val="20"/>
          <w:lang w:eastAsia="ar-SA"/>
        </w:rPr>
        <w:t>VS</w:t>
      </w:r>
      <w:r w:rsidR="0040571D" w:rsidRPr="0040571D">
        <w:rPr>
          <w:rFonts w:asciiTheme="majorHAnsi" w:hAnsiTheme="majorHAnsi"/>
          <w:szCs w:val="20"/>
          <w:lang w:eastAsia="ar-SA"/>
        </w:rPr>
        <w:t xml:space="preserve"> na jednotlivých úsekoch správy navrhnuté v</w:t>
      </w:r>
      <w:r w:rsidR="00F819ED">
        <w:rPr>
          <w:rFonts w:asciiTheme="majorHAnsi" w:hAnsiTheme="majorHAnsi"/>
          <w:szCs w:val="20"/>
          <w:lang w:eastAsia="ar-SA"/>
        </w:rPr>
        <w:t> </w:t>
      </w:r>
      <w:r w:rsidR="0040571D" w:rsidRPr="0040571D">
        <w:rPr>
          <w:rFonts w:asciiTheme="majorHAnsi" w:hAnsiTheme="majorHAnsi"/>
          <w:szCs w:val="20"/>
          <w:lang w:eastAsia="ar-SA"/>
        </w:rPr>
        <w:t>rámci</w:t>
      </w:r>
      <w:r w:rsidR="00F819ED">
        <w:rPr>
          <w:rFonts w:asciiTheme="majorHAnsi" w:hAnsiTheme="majorHAnsi"/>
          <w:szCs w:val="20"/>
          <w:lang w:eastAsia="ar-SA"/>
        </w:rPr>
        <w:t xml:space="preserve"> </w:t>
      </w:r>
      <w:r w:rsidR="0040571D" w:rsidRPr="0040571D">
        <w:rPr>
          <w:rFonts w:asciiTheme="majorHAnsi" w:hAnsiTheme="majorHAnsi"/>
          <w:szCs w:val="20"/>
          <w:lang w:eastAsia="ar-SA"/>
        </w:rPr>
        <w:t>OP EVS predchádzali návrhom investícií v rámci relevantných špecifických cieľov OP II.</w:t>
      </w:r>
    </w:p>
    <w:p w:rsidR="00993294" w:rsidRDefault="00993294" w:rsidP="00993294">
      <w:pPr>
        <w:keepNext/>
        <w:spacing w:before="0" w:after="0"/>
        <w:rPr>
          <w:rFonts w:asciiTheme="majorHAnsi" w:hAnsiTheme="majorHAnsi"/>
          <w:sz w:val="18"/>
          <w:szCs w:val="18"/>
        </w:rPr>
      </w:pPr>
      <w:r w:rsidRPr="00186CED">
        <w:rPr>
          <w:rFonts w:asciiTheme="majorHAnsi" w:hAnsiTheme="majorHAnsi"/>
          <w:sz w:val="18"/>
          <w:szCs w:val="18"/>
        </w:rPr>
        <w:lastRenderedPageBreak/>
        <w:t xml:space="preserve">Tabuľka </w:t>
      </w:r>
      <w:r w:rsidR="004E018F">
        <w:rPr>
          <w:rFonts w:asciiTheme="majorHAnsi" w:hAnsiTheme="majorHAnsi"/>
          <w:sz w:val="18"/>
          <w:szCs w:val="18"/>
        </w:rPr>
        <w:t>1</w:t>
      </w:r>
      <w:r w:rsidRPr="00186CED">
        <w:rPr>
          <w:rFonts w:asciiTheme="majorHAnsi" w:hAnsiTheme="majorHAnsi"/>
          <w:sz w:val="18"/>
          <w:szCs w:val="18"/>
        </w:rPr>
        <w:fldChar w:fldCharType="begin"/>
      </w:r>
      <w:r w:rsidRPr="00186CED">
        <w:rPr>
          <w:rFonts w:asciiTheme="majorHAnsi" w:hAnsiTheme="majorHAnsi"/>
          <w:sz w:val="18"/>
          <w:szCs w:val="18"/>
        </w:rPr>
        <w:instrText xml:space="preserve"> SEQ Tabuľka \* ARABIC </w:instrText>
      </w:r>
      <w:r w:rsidRPr="00186CED">
        <w:rPr>
          <w:rFonts w:asciiTheme="majorHAnsi" w:hAnsiTheme="majorHAnsi"/>
          <w:sz w:val="18"/>
          <w:szCs w:val="18"/>
        </w:rPr>
        <w:fldChar w:fldCharType="separate"/>
      </w:r>
      <w:r w:rsidR="00FA18BA">
        <w:rPr>
          <w:rFonts w:asciiTheme="majorHAnsi" w:hAnsiTheme="majorHAnsi"/>
          <w:noProof/>
          <w:sz w:val="18"/>
          <w:szCs w:val="18"/>
        </w:rPr>
        <w:t>3</w:t>
      </w:r>
      <w:r w:rsidRPr="00186CED">
        <w:rPr>
          <w:rFonts w:asciiTheme="majorHAnsi" w:hAnsiTheme="majorHAnsi"/>
          <w:sz w:val="18"/>
          <w:szCs w:val="18"/>
        </w:rPr>
        <w:fldChar w:fldCharType="end"/>
      </w:r>
      <w:r w:rsidRPr="00186CED">
        <w:rPr>
          <w:rFonts w:asciiTheme="majorHAnsi" w:hAnsiTheme="majorHAnsi"/>
          <w:sz w:val="18"/>
          <w:szCs w:val="18"/>
        </w:rPr>
        <w:t>: Identifikácia oblastí podpory, kde budú ostatné nástroje podpory použité komplementárnym spôsobom k</w:t>
      </w:r>
      <w:r>
        <w:rPr>
          <w:rFonts w:asciiTheme="majorHAnsi" w:hAnsiTheme="majorHAnsi"/>
          <w:sz w:val="18"/>
          <w:szCs w:val="18"/>
        </w:rPr>
        <w:t> </w:t>
      </w:r>
      <w:r w:rsidRPr="00186CED">
        <w:rPr>
          <w:rFonts w:asciiTheme="majorHAnsi" w:hAnsiTheme="majorHAnsi"/>
          <w:sz w:val="18"/>
          <w:szCs w:val="18"/>
        </w:rPr>
        <w:t>EŠIF</w:t>
      </w:r>
    </w:p>
    <w:p w:rsidR="00E70845" w:rsidRDefault="00993294" w:rsidP="002377D3">
      <w:pPr>
        <w:spacing w:before="0"/>
        <w:jc w:val="left"/>
        <w:rPr>
          <w:rFonts w:asciiTheme="majorHAnsi" w:hAnsiTheme="majorHAnsi"/>
          <w:szCs w:val="20"/>
          <w:lang w:eastAsia="ar-SA"/>
        </w:rPr>
      </w:pPr>
      <w:r w:rsidRPr="008237CB">
        <w:rPr>
          <w:noProof/>
          <w:lang w:eastAsia="sk-SK"/>
        </w:rPr>
        <w:drawing>
          <wp:inline distT="0" distB="0" distL="0" distR="0" wp14:anchorId="14502DF3" wp14:editId="62FF7C72">
            <wp:extent cx="5759450" cy="2765786"/>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9450" cy="2765786"/>
                    </a:xfrm>
                    <a:prstGeom prst="rect">
                      <a:avLst/>
                    </a:prstGeom>
                    <a:noFill/>
                    <a:ln>
                      <a:noFill/>
                    </a:ln>
                  </pic:spPr>
                </pic:pic>
              </a:graphicData>
            </a:graphic>
          </wp:inline>
        </w:drawing>
      </w:r>
      <w:r w:rsidR="00CA23B7">
        <w:rPr>
          <w:rFonts w:asciiTheme="majorHAnsi" w:hAnsiTheme="majorHAnsi"/>
          <w:szCs w:val="20"/>
          <w:lang w:eastAsia="ar-SA"/>
        </w:rPr>
        <w:t xml:space="preserve"> </w:t>
      </w:r>
      <w:r w:rsidR="00E70845">
        <w:rPr>
          <w:rFonts w:asciiTheme="majorHAnsi" w:hAnsiTheme="majorHAnsi"/>
          <w:szCs w:val="20"/>
          <w:lang w:eastAsia="ar-SA"/>
        </w:rPr>
        <w:br w:type="page"/>
      </w:r>
    </w:p>
    <w:p w:rsidR="00E70845" w:rsidRDefault="00E70845" w:rsidP="00186CED">
      <w:pPr>
        <w:keepNext/>
        <w:spacing w:before="0" w:after="0"/>
        <w:rPr>
          <w:rFonts w:asciiTheme="majorHAnsi" w:hAnsiTheme="majorHAnsi"/>
          <w:szCs w:val="20"/>
          <w:lang w:eastAsia="ar-SA"/>
        </w:rPr>
        <w:sectPr w:rsidR="00E70845" w:rsidSect="009D6566">
          <w:pgSz w:w="11906" w:h="16838" w:code="9"/>
          <w:pgMar w:top="1418" w:right="1418" w:bottom="1418" w:left="1418" w:header="709" w:footer="709" w:gutter="0"/>
          <w:cols w:space="708"/>
          <w:docGrid w:linePitch="360"/>
        </w:sectPr>
      </w:pPr>
    </w:p>
    <w:p w:rsidR="00186CED" w:rsidRPr="00186CED" w:rsidRDefault="00186CED" w:rsidP="00841594">
      <w:pPr>
        <w:widowControl w:val="0"/>
        <w:spacing w:before="0" w:after="0"/>
        <w:jc w:val="left"/>
        <w:rPr>
          <w:rFonts w:asciiTheme="majorHAnsi" w:hAnsiTheme="majorHAnsi"/>
          <w:sz w:val="18"/>
          <w:szCs w:val="18"/>
        </w:rPr>
      </w:pPr>
      <w:r w:rsidRPr="00186CED">
        <w:rPr>
          <w:rFonts w:asciiTheme="majorHAnsi" w:hAnsiTheme="majorHAnsi"/>
          <w:sz w:val="18"/>
          <w:szCs w:val="18"/>
        </w:rPr>
        <w:lastRenderedPageBreak/>
        <w:t xml:space="preserve">Tabuľka </w:t>
      </w:r>
      <w:r w:rsidR="004E018F">
        <w:rPr>
          <w:rFonts w:asciiTheme="majorHAnsi" w:hAnsiTheme="majorHAnsi"/>
          <w:sz w:val="18"/>
          <w:szCs w:val="18"/>
        </w:rPr>
        <w:t>1</w:t>
      </w:r>
      <w:r w:rsidRPr="00186CED">
        <w:rPr>
          <w:rFonts w:asciiTheme="majorHAnsi" w:hAnsiTheme="majorHAnsi"/>
          <w:sz w:val="18"/>
          <w:szCs w:val="18"/>
        </w:rPr>
        <w:fldChar w:fldCharType="begin"/>
      </w:r>
      <w:r w:rsidRPr="00186CED">
        <w:rPr>
          <w:rFonts w:asciiTheme="majorHAnsi" w:hAnsiTheme="majorHAnsi"/>
          <w:sz w:val="18"/>
          <w:szCs w:val="18"/>
        </w:rPr>
        <w:instrText xml:space="preserve"> SEQ Tabuľka \* ARABIC </w:instrText>
      </w:r>
      <w:r w:rsidRPr="00186CED">
        <w:rPr>
          <w:rFonts w:asciiTheme="majorHAnsi" w:hAnsiTheme="majorHAnsi"/>
          <w:sz w:val="18"/>
          <w:szCs w:val="18"/>
        </w:rPr>
        <w:fldChar w:fldCharType="separate"/>
      </w:r>
      <w:r w:rsidR="00FA18BA">
        <w:rPr>
          <w:rFonts w:asciiTheme="majorHAnsi" w:hAnsiTheme="majorHAnsi"/>
          <w:noProof/>
          <w:sz w:val="18"/>
          <w:szCs w:val="18"/>
        </w:rPr>
        <w:t>4</w:t>
      </w:r>
      <w:r w:rsidRPr="00186CED">
        <w:rPr>
          <w:rFonts w:asciiTheme="majorHAnsi" w:hAnsiTheme="majorHAnsi"/>
          <w:sz w:val="18"/>
          <w:szCs w:val="18"/>
        </w:rPr>
        <w:fldChar w:fldCharType="end"/>
      </w:r>
      <w:r w:rsidRPr="00186CED">
        <w:rPr>
          <w:rFonts w:asciiTheme="majorHAnsi" w:hAnsiTheme="majorHAnsi"/>
          <w:sz w:val="18"/>
          <w:szCs w:val="18"/>
        </w:rPr>
        <w:t>: Identifikácia oblastí podpory, kde budú využité prostriedky EŠIF v rámci Cieľa 1 a Cieľa 2 komplementárnym spôsobom</w:t>
      </w:r>
    </w:p>
    <w:p w:rsidR="00186CED" w:rsidRPr="00186CED" w:rsidRDefault="009B5635" w:rsidP="00841594">
      <w:pPr>
        <w:widowControl w:val="0"/>
        <w:rPr>
          <w:rFonts w:ascii="Calibri" w:hAnsi="Calibri"/>
        </w:rPr>
      </w:pPr>
      <w:r>
        <w:rPr>
          <w:noProof/>
          <w:lang w:eastAsia="sk-SK"/>
        </w:rPr>
        <w:drawing>
          <wp:inline distT="0" distB="0" distL="0" distR="0" wp14:anchorId="7E5611F4" wp14:editId="46FBB719">
            <wp:extent cx="8562975" cy="2181225"/>
            <wp:effectExtent l="0" t="0" r="9525" b="9525"/>
            <wp:docPr id="4" name="Obrázok 4" descr="cid:image001.png@01CF264A.D39B0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CF264A.D39B00E0"/>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8562975" cy="2181225"/>
                    </a:xfrm>
                    <a:prstGeom prst="rect">
                      <a:avLst/>
                    </a:prstGeom>
                    <a:noFill/>
                    <a:ln>
                      <a:noFill/>
                    </a:ln>
                  </pic:spPr>
                </pic:pic>
              </a:graphicData>
            </a:graphic>
          </wp:inline>
        </w:drawing>
      </w:r>
      <w:r w:rsidR="00841594" w:rsidRPr="00841594" w:rsidDel="00841594">
        <w:t xml:space="preserve"> </w:t>
      </w:r>
    </w:p>
    <w:p w:rsidR="00186CED" w:rsidRPr="00186CED" w:rsidRDefault="00186CED" w:rsidP="00841594">
      <w:pPr>
        <w:keepNext/>
        <w:widowControl w:val="0"/>
        <w:spacing w:before="0" w:after="0"/>
        <w:rPr>
          <w:rFonts w:asciiTheme="majorHAnsi" w:hAnsiTheme="majorHAnsi"/>
          <w:b/>
          <w:bCs/>
          <w:sz w:val="18"/>
          <w:szCs w:val="18"/>
        </w:rPr>
      </w:pPr>
      <w:r w:rsidRPr="00186CED">
        <w:rPr>
          <w:rFonts w:asciiTheme="majorHAnsi" w:hAnsiTheme="majorHAnsi"/>
          <w:sz w:val="18"/>
          <w:szCs w:val="18"/>
        </w:rPr>
        <w:lastRenderedPageBreak/>
        <w:t xml:space="preserve">Tabuľka </w:t>
      </w:r>
      <w:r w:rsidR="004E018F">
        <w:rPr>
          <w:rFonts w:asciiTheme="majorHAnsi" w:hAnsiTheme="majorHAnsi"/>
          <w:sz w:val="18"/>
          <w:szCs w:val="18"/>
        </w:rPr>
        <w:t>1</w:t>
      </w:r>
      <w:r w:rsidRPr="00186CED">
        <w:rPr>
          <w:rFonts w:asciiTheme="majorHAnsi" w:hAnsiTheme="majorHAnsi"/>
          <w:sz w:val="18"/>
          <w:szCs w:val="18"/>
        </w:rPr>
        <w:fldChar w:fldCharType="begin"/>
      </w:r>
      <w:r w:rsidRPr="00186CED">
        <w:rPr>
          <w:rFonts w:asciiTheme="majorHAnsi" w:hAnsiTheme="majorHAnsi"/>
          <w:sz w:val="18"/>
          <w:szCs w:val="18"/>
        </w:rPr>
        <w:instrText xml:space="preserve"> SEQ Tabuľka \* ARABIC </w:instrText>
      </w:r>
      <w:r w:rsidRPr="00186CED">
        <w:rPr>
          <w:rFonts w:asciiTheme="majorHAnsi" w:hAnsiTheme="majorHAnsi"/>
          <w:sz w:val="18"/>
          <w:szCs w:val="18"/>
        </w:rPr>
        <w:fldChar w:fldCharType="separate"/>
      </w:r>
      <w:r w:rsidR="00FA18BA">
        <w:rPr>
          <w:rFonts w:asciiTheme="majorHAnsi" w:hAnsiTheme="majorHAnsi"/>
          <w:noProof/>
          <w:sz w:val="18"/>
          <w:szCs w:val="18"/>
        </w:rPr>
        <w:t>5</w:t>
      </w:r>
      <w:r w:rsidRPr="00186CED">
        <w:rPr>
          <w:rFonts w:asciiTheme="majorHAnsi" w:hAnsiTheme="majorHAnsi"/>
          <w:sz w:val="18"/>
          <w:szCs w:val="18"/>
        </w:rPr>
        <w:fldChar w:fldCharType="end"/>
      </w:r>
      <w:r w:rsidRPr="00186CED">
        <w:rPr>
          <w:rFonts w:asciiTheme="majorHAnsi" w:hAnsiTheme="majorHAnsi"/>
          <w:sz w:val="18"/>
          <w:szCs w:val="18"/>
        </w:rPr>
        <w:t>: Identifikácia oblastí podpory, kde budú finančné prostriedky EŠIF použité komplementárnym spôsobom vo vzťahu k vnútroštátnym nástrojom podpory</w:t>
      </w:r>
    </w:p>
    <w:p w:rsidR="00E70845" w:rsidRDefault="0040530E" w:rsidP="00841594">
      <w:pPr>
        <w:widowControl w:val="0"/>
        <w:rPr>
          <w:rFonts w:ascii="Cambria" w:hAnsi="Cambria"/>
        </w:rPr>
      </w:pPr>
      <w:r>
        <w:rPr>
          <w:rFonts w:ascii="Calibri" w:hAnsi="Calibri"/>
          <w:noProof/>
          <w:lang w:eastAsia="sk-SK"/>
        </w:rPr>
        <w:drawing>
          <wp:inline distT="0" distB="0" distL="0" distR="0" wp14:anchorId="41AC24DB" wp14:editId="040EB92F">
            <wp:extent cx="8667750" cy="3248025"/>
            <wp:effectExtent l="0" t="0" r="0" b="0"/>
            <wp:docPr id="6"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667750" cy="3248025"/>
                    </a:xfrm>
                    <a:prstGeom prst="rect">
                      <a:avLst/>
                    </a:prstGeom>
                    <a:noFill/>
                    <a:ln>
                      <a:noFill/>
                    </a:ln>
                  </pic:spPr>
                </pic:pic>
              </a:graphicData>
            </a:graphic>
          </wp:inline>
        </w:drawing>
      </w:r>
    </w:p>
    <w:p w:rsidR="00E70845" w:rsidRDefault="00E70845" w:rsidP="00841594">
      <w:pPr>
        <w:widowControl w:val="0"/>
        <w:spacing w:before="240"/>
        <w:rPr>
          <w:rFonts w:ascii="Cambria" w:hAnsi="Cambria"/>
        </w:rPr>
        <w:sectPr w:rsidR="00E70845" w:rsidSect="003F0750">
          <w:pgSz w:w="16838" w:h="11906" w:orient="landscape" w:code="9"/>
          <w:pgMar w:top="1418" w:right="1418" w:bottom="1418" w:left="1418" w:header="709" w:footer="709" w:gutter="0"/>
          <w:cols w:space="708"/>
          <w:docGrid w:linePitch="360"/>
        </w:sectPr>
      </w:pPr>
    </w:p>
    <w:p w:rsidR="00EA39F6" w:rsidRPr="00EA39F6" w:rsidRDefault="00186CED" w:rsidP="00EA39F6">
      <w:pPr>
        <w:spacing w:before="240"/>
        <w:rPr>
          <w:rFonts w:asciiTheme="majorHAnsi" w:hAnsiTheme="majorHAnsi"/>
          <w:szCs w:val="20"/>
          <w:lang w:eastAsia="ar-SA"/>
        </w:rPr>
      </w:pPr>
      <w:r w:rsidRPr="00186CED">
        <w:rPr>
          <w:rFonts w:asciiTheme="majorHAnsi" w:hAnsiTheme="majorHAnsi"/>
          <w:szCs w:val="20"/>
          <w:lang w:eastAsia="ar-SA"/>
        </w:rPr>
        <w:lastRenderedPageBreak/>
        <w:t xml:space="preserve">Nástroj na prepájanie Európy (CEF) umožňuje prípravu a realizáciu projektov spoločného záujmu v rámci politiky transeurópskych sietí v sektoroch dopravy, energetiky a telekomunikácií. Pri výbere projektov oprávnených na financovanie by sa mali do 31. decembra 2016 rešpektovať finančné prostriedky pridelené jednotlivým </w:t>
      </w:r>
      <w:r w:rsidR="00F378CE">
        <w:rPr>
          <w:rFonts w:asciiTheme="majorHAnsi" w:hAnsiTheme="majorHAnsi"/>
          <w:szCs w:val="20"/>
          <w:lang w:eastAsia="ar-SA"/>
        </w:rPr>
        <w:t xml:space="preserve">členským </w:t>
      </w:r>
      <w:r w:rsidRPr="00186CED">
        <w:rPr>
          <w:rFonts w:asciiTheme="majorHAnsi" w:hAnsiTheme="majorHAnsi"/>
          <w:szCs w:val="20"/>
          <w:lang w:eastAsia="ar-SA"/>
        </w:rPr>
        <w:t>štátom</w:t>
      </w:r>
      <w:r w:rsidR="00F378CE">
        <w:rPr>
          <w:rFonts w:asciiTheme="majorHAnsi" w:hAnsiTheme="majorHAnsi"/>
          <w:szCs w:val="20"/>
          <w:lang w:eastAsia="ar-SA"/>
        </w:rPr>
        <w:t xml:space="preserve"> EÚ</w:t>
      </w:r>
      <w:r w:rsidRPr="00186CED">
        <w:rPr>
          <w:rFonts w:asciiTheme="majorHAnsi" w:hAnsiTheme="majorHAnsi"/>
          <w:szCs w:val="20"/>
          <w:lang w:eastAsia="ar-SA"/>
        </w:rPr>
        <w:t xml:space="preserve">, ktoré </w:t>
      </w:r>
      <w:r w:rsidR="00F378CE">
        <w:rPr>
          <w:rFonts w:asciiTheme="majorHAnsi" w:hAnsiTheme="majorHAnsi"/>
          <w:szCs w:val="20"/>
          <w:lang w:eastAsia="ar-SA"/>
        </w:rPr>
        <w:t>boli presunuté</w:t>
      </w:r>
      <w:r w:rsidRPr="00186CED">
        <w:rPr>
          <w:rFonts w:asciiTheme="majorHAnsi" w:hAnsiTheme="majorHAnsi"/>
          <w:szCs w:val="20"/>
          <w:lang w:eastAsia="ar-SA"/>
        </w:rPr>
        <w:t xml:space="preserve"> z Kohézneho fondu EÚ do kohéznej časti nástroja CEF. Následne po preklenutí hraničného termínu by sa všetky nepoužité finančné prostriedky </w:t>
      </w:r>
      <w:r w:rsidR="00F378CE">
        <w:rPr>
          <w:rFonts w:asciiTheme="majorHAnsi" w:hAnsiTheme="majorHAnsi"/>
          <w:szCs w:val="20"/>
          <w:lang w:eastAsia="ar-SA"/>
        </w:rPr>
        <w:t xml:space="preserve">EÚ </w:t>
      </w:r>
      <w:r w:rsidRPr="00186CED">
        <w:rPr>
          <w:rFonts w:asciiTheme="majorHAnsi" w:hAnsiTheme="majorHAnsi"/>
          <w:szCs w:val="20"/>
          <w:lang w:eastAsia="ar-SA"/>
        </w:rPr>
        <w:t xml:space="preserve">v rámci kohéznej časti CEF mali uvoľniť aj pre ostatné kohézne členské štáty EÚ a presunúť na nové projekty prostredníctvom nových súťažných výziev na predkladanie projektových návrhov. Na základe uvedeného bude po roku 2013 preferovaná výstavba a modernizácia dopravnej infraštruktúry TEN-T prioritne prostredníctvom nástroja CEF. Cieľom je dosiahnuť plné využitie finančných prostriedkov alokovaných SR z Európskych nástrojov. </w:t>
      </w:r>
      <w:r w:rsidR="00EA39F6" w:rsidRPr="00EA39F6">
        <w:rPr>
          <w:rFonts w:asciiTheme="majorHAnsi" w:hAnsiTheme="majorHAnsi"/>
          <w:szCs w:val="20"/>
          <w:lang w:eastAsia="ar-SA"/>
        </w:rPr>
        <w:t>Prostredníctvom nástroja CEF sa budú implementovať projekty zamerané v oblasti železničnej infraštruktúry predovšetkým na modernizáciu koridorov základnej siete TEN-T a</w:t>
      </w:r>
      <w:r w:rsidR="00F819ED">
        <w:rPr>
          <w:rFonts w:asciiTheme="majorHAnsi" w:hAnsiTheme="majorHAnsi"/>
          <w:szCs w:val="20"/>
          <w:lang w:eastAsia="ar-SA"/>
        </w:rPr>
        <w:t> </w:t>
      </w:r>
      <w:r w:rsidR="00EA39F6" w:rsidRPr="00EA39F6">
        <w:rPr>
          <w:rFonts w:asciiTheme="majorHAnsi" w:hAnsiTheme="majorHAnsi"/>
          <w:szCs w:val="20"/>
          <w:lang w:eastAsia="ar-SA"/>
        </w:rPr>
        <w:t>elektrifikáciu</w:t>
      </w:r>
      <w:r w:rsidR="00F819ED">
        <w:rPr>
          <w:rFonts w:asciiTheme="majorHAnsi" w:hAnsiTheme="majorHAnsi"/>
          <w:szCs w:val="20"/>
          <w:lang w:eastAsia="ar-SA"/>
        </w:rPr>
        <w:t xml:space="preserve"> </w:t>
      </w:r>
      <w:r w:rsidR="00EA39F6" w:rsidRPr="00EA39F6">
        <w:rPr>
          <w:rFonts w:asciiTheme="majorHAnsi" w:hAnsiTheme="majorHAnsi"/>
          <w:szCs w:val="20"/>
          <w:lang w:eastAsia="ar-SA"/>
        </w:rPr>
        <w:t>železničných tratí. V</w:t>
      </w:r>
      <w:r w:rsidR="00F819ED">
        <w:rPr>
          <w:rFonts w:asciiTheme="majorHAnsi" w:hAnsiTheme="majorHAnsi"/>
          <w:szCs w:val="20"/>
          <w:lang w:eastAsia="ar-SA"/>
        </w:rPr>
        <w:t> </w:t>
      </w:r>
      <w:r w:rsidR="00EA39F6" w:rsidRPr="00EA39F6">
        <w:rPr>
          <w:rFonts w:asciiTheme="majorHAnsi" w:hAnsiTheme="majorHAnsi"/>
          <w:szCs w:val="20"/>
          <w:lang w:eastAsia="ar-SA"/>
        </w:rPr>
        <w:t>oblasti</w:t>
      </w:r>
      <w:r w:rsidR="00F819ED">
        <w:rPr>
          <w:rFonts w:asciiTheme="majorHAnsi" w:hAnsiTheme="majorHAnsi"/>
          <w:szCs w:val="20"/>
          <w:lang w:eastAsia="ar-SA"/>
        </w:rPr>
        <w:t xml:space="preserve"> </w:t>
      </w:r>
      <w:r w:rsidR="00EA39F6" w:rsidRPr="00EA39F6">
        <w:rPr>
          <w:rFonts w:asciiTheme="majorHAnsi" w:hAnsiTheme="majorHAnsi"/>
          <w:szCs w:val="20"/>
          <w:lang w:eastAsia="ar-SA"/>
        </w:rPr>
        <w:t>cestnej infraštruktúry sa nástroj CEF bude zameriavať na výstavbu nových úsekov diaľnic a</w:t>
      </w:r>
      <w:r w:rsidR="00F819ED">
        <w:rPr>
          <w:rFonts w:asciiTheme="majorHAnsi" w:hAnsiTheme="majorHAnsi"/>
          <w:szCs w:val="20"/>
          <w:lang w:eastAsia="ar-SA"/>
        </w:rPr>
        <w:t> </w:t>
      </w:r>
      <w:r w:rsidR="00EA39F6" w:rsidRPr="00EA39F6">
        <w:rPr>
          <w:rFonts w:asciiTheme="majorHAnsi" w:hAnsiTheme="majorHAnsi"/>
          <w:szCs w:val="20"/>
          <w:lang w:eastAsia="ar-SA"/>
        </w:rPr>
        <w:t>základnej</w:t>
      </w:r>
      <w:r w:rsidR="00F819ED">
        <w:rPr>
          <w:rFonts w:asciiTheme="majorHAnsi" w:hAnsiTheme="majorHAnsi"/>
          <w:szCs w:val="20"/>
          <w:lang w:eastAsia="ar-SA"/>
        </w:rPr>
        <w:t xml:space="preserve"> </w:t>
      </w:r>
      <w:r w:rsidR="00EA39F6" w:rsidRPr="00EA39F6">
        <w:rPr>
          <w:rFonts w:asciiTheme="majorHAnsi" w:hAnsiTheme="majorHAnsi"/>
          <w:szCs w:val="20"/>
          <w:lang w:eastAsia="ar-SA"/>
        </w:rPr>
        <w:t>siete TEN-T, ktoré predstavujú cezhraničné úseky medzi prvými mestskými uzlami na oboch stranách hranice. Zdroje budú smerovať najmä na podporu budovania hlavných dopravných koridorov identifikovaných v prílohe I nariadenia EÚ č. 1316/2013, ktorým sa zriaďuje nástroj CEF</w:t>
      </w:r>
      <w:r w:rsidR="00EA39F6" w:rsidRPr="00EA39F6">
        <w:rPr>
          <w:rFonts w:asciiTheme="majorHAnsi" w:hAnsiTheme="majorHAnsi"/>
          <w:szCs w:val="20"/>
          <w:vertAlign w:val="superscript"/>
          <w:lang w:eastAsia="ar-SA"/>
        </w:rPr>
        <w:footnoteReference w:id="324"/>
      </w:r>
      <w:r w:rsidR="00EA39F6" w:rsidRPr="00EA39F6">
        <w:rPr>
          <w:rFonts w:asciiTheme="majorHAnsi" w:hAnsiTheme="majorHAnsi"/>
          <w:szCs w:val="20"/>
          <w:lang w:eastAsia="ar-SA"/>
        </w:rPr>
        <w:t>. Finančné prostriedky z CEF-u by mali byť využité aj na granty zamerané na budovanie infraštruktúry v oblasti digitálnych služieb. Tieto prostriedky by mali slúžiť na zabezpečenie interoperability a pokrytie nákladov na prevádzku tejto potrebnej infraštruktúry na európskej úrovni, ktorá bude spájať príslušnú infraštruktúru jednotlivých členských štátov EÚ. V</w:t>
      </w:r>
      <w:r w:rsidR="00F819ED">
        <w:rPr>
          <w:rFonts w:asciiTheme="majorHAnsi" w:hAnsiTheme="majorHAnsi"/>
          <w:szCs w:val="20"/>
          <w:lang w:eastAsia="ar-SA"/>
        </w:rPr>
        <w:t> </w:t>
      </w:r>
      <w:r w:rsidR="00EA39F6" w:rsidRPr="00EA39F6">
        <w:rPr>
          <w:rFonts w:asciiTheme="majorHAnsi" w:hAnsiTheme="majorHAnsi"/>
          <w:szCs w:val="20"/>
          <w:lang w:eastAsia="ar-SA"/>
        </w:rPr>
        <w:t>podmienkach</w:t>
      </w:r>
      <w:r w:rsidR="00F819ED">
        <w:rPr>
          <w:rFonts w:asciiTheme="majorHAnsi" w:hAnsiTheme="majorHAnsi"/>
          <w:szCs w:val="20"/>
          <w:lang w:eastAsia="ar-SA"/>
        </w:rPr>
        <w:t xml:space="preserve"> </w:t>
      </w:r>
      <w:r w:rsidR="00EA39F6" w:rsidRPr="00EA39F6">
        <w:rPr>
          <w:rFonts w:asciiTheme="majorHAnsi" w:hAnsiTheme="majorHAnsi"/>
          <w:szCs w:val="20"/>
          <w:lang w:eastAsia="ar-SA"/>
        </w:rPr>
        <w:t>SR bude možné prostriedky CEF-u využiť na dofinancovanie dopytovo orientovaných projektov výstavby prístupových mobilných a pevných NGN sieti v</w:t>
      </w:r>
      <w:r w:rsidR="00F819ED">
        <w:rPr>
          <w:rFonts w:asciiTheme="majorHAnsi" w:hAnsiTheme="majorHAnsi"/>
          <w:szCs w:val="20"/>
          <w:lang w:eastAsia="ar-SA"/>
        </w:rPr>
        <w:t> </w:t>
      </w:r>
      <w:r w:rsidR="00EA39F6" w:rsidRPr="00EA39F6">
        <w:rPr>
          <w:rFonts w:asciiTheme="majorHAnsi" w:hAnsiTheme="majorHAnsi"/>
          <w:szCs w:val="20"/>
          <w:lang w:eastAsia="ar-SA"/>
        </w:rPr>
        <w:t>lokálnych</w:t>
      </w:r>
      <w:r w:rsidR="00F819ED">
        <w:rPr>
          <w:rFonts w:asciiTheme="majorHAnsi" w:hAnsiTheme="majorHAnsi"/>
          <w:szCs w:val="20"/>
          <w:lang w:eastAsia="ar-SA"/>
        </w:rPr>
        <w:t xml:space="preserve"> </w:t>
      </w:r>
      <w:r w:rsidR="00EA39F6" w:rsidRPr="00EA39F6">
        <w:rPr>
          <w:rFonts w:asciiTheme="majorHAnsi" w:hAnsiTheme="majorHAnsi"/>
          <w:szCs w:val="20"/>
          <w:lang w:eastAsia="ar-SA"/>
        </w:rPr>
        <w:t>oblastiach a taktiež aj doplnkový zdroj na financovanie rozvoja digitálnych služieb.</w:t>
      </w:r>
    </w:p>
    <w:p w:rsidR="00186CED" w:rsidRPr="00186CED" w:rsidRDefault="00186CED" w:rsidP="002377D3">
      <w:pPr>
        <w:rPr>
          <w:rFonts w:asciiTheme="majorHAnsi" w:hAnsiTheme="majorHAnsi"/>
          <w:szCs w:val="20"/>
          <w:lang w:eastAsia="ar-SA"/>
        </w:rPr>
      </w:pPr>
      <w:r w:rsidRPr="00186CED">
        <w:rPr>
          <w:rFonts w:asciiTheme="majorHAnsi" w:hAnsiTheme="majorHAnsi"/>
          <w:szCs w:val="20"/>
          <w:lang w:eastAsia="ar-SA"/>
        </w:rPr>
        <w:t>Projekty dopravnej infraštruktúry plánované na financovanie z</w:t>
      </w:r>
      <w:r w:rsidR="00F378CE">
        <w:rPr>
          <w:rFonts w:asciiTheme="majorHAnsi" w:hAnsiTheme="majorHAnsi"/>
          <w:szCs w:val="20"/>
          <w:lang w:eastAsia="ar-SA"/>
        </w:rPr>
        <w:t> </w:t>
      </w:r>
      <w:r w:rsidRPr="00186CED">
        <w:rPr>
          <w:rFonts w:asciiTheme="majorHAnsi" w:hAnsiTheme="majorHAnsi"/>
          <w:szCs w:val="20"/>
          <w:lang w:eastAsia="ar-SA"/>
        </w:rPr>
        <w:t>CEF</w:t>
      </w:r>
      <w:r w:rsidR="00F378CE">
        <w:rPr>
          <w:rFonts w:asciiTheme="majorHAnsi" w:hAnsiTheme="majorHAnsi"/>
          <w:szCs w:val="20"/>
          <w:lang w:eastAsia="ar-SA"/>
        </w:rPr>
        <w:t>-u</w:t>
      </w:r>
      <w:r w:rsidRPr="00186CED">
        <w:rPr>
          <w:rFonts w:asciiTheme="majorHAnsi" w:hAnsiTheme="majorHAnsi"/>
          <w:szCs w:val="20"/>
          <w:lang w:eastAsia="ar-SA"/>
        </w:rPr>
        <w:t xml:space="preserve"> budú vychádzať zo Strategického plánu rozvoja dopravnej infraštruktúry SR do roku 2020 a budú v súlade s definovanými cieľmi dopravného sektora SR a navrhnutými opatreniami na ich dosiahnutie. </w:t>
      </w:r>
      <w:r w:rsidR="00F378CE">
        <w:rPr>
          <w:rFonts w:asciiTheme="majorHAnsi" w:hAnsiTheme="majorHAnsi"/>
          <w:szCs w:val="20"/>
          <w:lang w:eastAsia="ar-SA"/>
        </w:rPr>
        <w:t>Pri príprave žiadostí o </w:t>
      </w:r>
      <w:r w:rsidR="003142D5">
        <w:rPr>
          <w:rFonts w:asciiTheme="majorHAnsi" w:hAnsiTheme="majorHAnsi"/>
          <w:szCs w:val="20"/>
          <w:lang w:eastAsia="ar-SA"/>
        </w:rPr>
        <w:t>podporu</w:t>
      </w:r>
      <w:r w:rsidR="00F378CE">
        <w:rPr>
          <w:rFonts w:asciiTheme="majorHAnsi" w:hAnsiTheme="majorHAnsi"/>
          <w:szCs w:val="20"/>
          <w:lang w:eastAsia="ar-SA"/>
        </w:rPr>
        <w:t xml:space="preserve"> </w:t>
      </w:r>
      <w:r w:rsidR="00F378CE" w:rsidRPr="00186CED">
        <w:rPr>
          <w:rFonts w:asciiTheme="majorHAnsi" w:hAnsiTheme="majorHAnsi"/>
          <w:szCs w:val="20"/>
          <w:lang w:eastAsia="ar-SA"/>
        </w:rPr>
        <w:t xml:space="preserve">plánuje </w:t>
      </w:r>
      <w:r w:rsidRPr="00186CED">
        <w:rPr>
          <w:rFonts w:asciiTheme="majorHAnsi" w:hAnsiTheme="majorHAnsi"/>
          <w:szCs w:val="20"/>
          <w:lang w:eastAsia="ar-SA"/>
        </w:rPr>
        <w:t>SR aj v programovom období 2014 – 2020 využiť poradenstvo expertov z</w:t>
      </w:r>
      <w:r w:rsidR="00F378CE">
        <w:rPr>
          <w:rFonts w:asciiTheme="majorHAnsi" w:hAnsiTheme="majorHAnsi"/>
          <w:szCs w:val="20"/>
          <w:lang w:eastAsia="ar-SA"/>
        </w:rPr>
        <w:t> </w:t>
      </w:r>
      <w:r w:rsidRPr="00186CED">
        <w:rPr>
          <w:rFonts w:asciiTheme="majorHAnsi" w:hAnsiTheme="majorHAnsi"/>
          <w:szCs w:val="20"/>
          <w:lang w:eastAsia="ar-SA"/>
        </w:rPr>
        <w:t>JASPERS</w:t>
      </w:r>
      <w:r w:rsidR="00F378CE">
        <w:rPr>
          <w:rFonts w:asciiTheme="majorHAnsi" w:hAnsiTheme="majorHAnsi"/>
          <w:szCs w:val="20"/>
          <w:lang w:eastAsia="ar-SA"/>
        </w:rPr>
        <w:t>,</w:t>
      </w:r>
      <w:r w:rsidRPr="00186CED">
        <w:rPr>
          <w:rFonts w:asciiTheme="majorHAnsi" w:hAnsiTheme="majorHAnsi"/>
          <w:szCs w:val="20"/>
          <w:lang w:eastAsia="ar-SA"/>
        </w:rPr>
        <w:t xml:space="preserve"> pričom sa bude </w:t>
      </w:r>
      <w:r w:rsidR="00F378CE">
        <w:rPr>
          <w:rFonts w:asciiTheme="majorHAnsi" w:hAnsiTheme="majorHAnsi"/>
          <w:szCs w:val="20"/>
          <w:lang w:eastAsia="ar-SA"/>
        </w:rPr>
        <w:t>vychádzať zo</w:t>
      </w:r>
      <w:r w:rsidRPr="00186CED">
        <w:rPr>
          <w:rFonts w:asciiTheme="majorHAnsi" w:hAnsiTheme="majorHAnsi"/>
          <w:szCs w:val="20"/>
          <w:lang w:eastAsia="ar-SA"/>
        </w:rPr>
        <w:t xml:space="preserve"> skúsenost</w:t>
      </w:r>
      <w:r w:rsidR="00F378CE">
        <w:rPr>
          <w:rFonts w:asciiTheme="majorHAnsi" w:hAnsiTheme="majorHAnsi"/>
          <w:szCs w:val="20"/>
          <w:lang w:eastAsia="ar-SA"/>
        </w:rPr>
        <w:t>í</w:t>
      </w:r>
      <w:r w:rsidRPr="00186CED">
        <w:rPr>
          <w:rFonts w:asciiTheme="majorHAnsi" w:hAnsiTheme="majorHAnsi"/>
          <w:szCs w:val="20"/>
          <w:lang w:eastAsia="ar-SA"/>
        </w:rPr>
        <w:t xml:space="preserve"> a vybudovaných vzťaho</w:t>
      </w:r>
      <w:r w:rsidR="00F378CE">
        <w:rPr>
          <w:rFonts w:asciiTheme="majorHAnsi" w:hAnsiTheme="majorHAnsi"/>
          <w:szCs w:val="20"/>
          <w:lang w:eastAsia="ar-SA"/>
        </w:rPr>
        <w:t>v</w:t>
      </w:r>
      <w:r w:rsidRPr="00186CED">
        <w:rPr>
          <w:rFonts w:asciiTheme="majorHAnsi" w:hAnsiTheme="majorHAnsi"/>
          <w:szCs w:val="20"/>
          <w:lang w:eastAsia="ar-SA"/>
        </w:rPr>
        <w:t xml:space="preserve"> v programov</w:t>
      </w:r>
      <w:r w:rsidR="00F378CE">
        <w:rPr>
          <w:rFonts w:asciiTheme="majorHAnsi" w:hAnsiTheme="majorHAnsi"/>
          <w:szCs w:val="20"/>
          <w:lang w:eastAsia="ar-SA"/>
        </w:rPr>
        <w:t>om</w:t>
      </w:r>
      <w:r w:rsidRPr="00186CED">
        <w:rPr>
          <w:rFonts w:asciiTheme="majorHAnsi" w:hAnsiTheme="majorHAnsi"/>
          <w:szCs w:val="20"/>
          <w:lang w:eastAsia="ar-SA"/>
        </w:rPr>
        <w:t xml:space="preserve"> obdob</w:t>
      </w:r>
      <w:r w:rsidR="00F378CE">
        <w:rPr>
          <w:rFonts w:asciiTheme="majorHAnsi" w:hAnsiTheme="majorHAnsi"/>
          <w:szCs w:val="20"/>
          <w:lang w:eastAsia="ar-SA"/>
        </w:rPr>
        <w:t>í</w:t>
      </w:r>
      <w:r w:rsidRPr="00186CED">
        <w:rPr>
          <w:rFonts w:asciiTheme="majorHAnsi" w:hAnsiTheme="majorHAnsi"/>
          <w:szCs w:val="20"/>
          <w:lang w:eastAsia="ar-SA"/>
        </w:rPr>
        <w:t xml:space="preserve"> 2007 – 2013.</w:t>
      </w:r>
    </w:p>
    <w:p w:rsidR="00186CED" w:rsidRPr="00186CED" w:rsidRDefault="00186CED" w:rsidP="002377D3">
      <w:pPr>
        <w:rPr>
          <w:rFonts w:asciiTheme="majorHAnsi" w:hAnsiTheme="majorHAnsi"/>
          <w:szCs w:val="20"/>
          <w:lang w:eastAsia="ar-SA"/>
        </w:rPr>
      </w:pPr>
      <w:r w:rsidRPr="00186CED">
        <w:rPr>
          <w:rFonts w:asciiTheme="majorHAnsi" w:hAnsiTheme="majorHAnsi"/>
          <w:szCs w:val="20"/>
          <w:lang w:eastAsia="ar-SA"/>
        </w:rPr>
        <w:t>Vo vzťahu k </w:t>
      </w:r>
      <w:r w:rsidR="00F819ED" w:rsidRPr="00186CED" w:rsidDel="00F819ED">
        <w:rPr>
          <w:rFonts w:asciiTheme="majorHAnsi" w:hAnsiTheme="majorHAnsi"/>
          <w:szCs w:val="20"/>
          <w:lang w:eastAsia="ar-SA"/>
        </w:rPr>
        <w:t xml:space="preserve"> </w:t>
      </w:r>
      <w:r w:rsidRPr="00186CED">
        <w:rPr>
          <w:rFonts w:asciiTheme="majorHAnsi" w:hAnsiTheme="majorHAnsi"/>
          <w:szCs w:val="20"/>
          <w:lang w:eastAsia="ar-SA"/>
        </w:rPr>
        <w:t xml:space="preserve">SPP, kde </w:t>
      </w:r>
      <w:r w:rsidR="003876F0">
        <w:rPr>
          <w:rFonts w:asciiTheme="majorHAnsi" w:hAnsiTheme="majorHAnsi"/>
          <w:szCs w:val="20"/>
          <w:lang w:eastAsia="ar-SA"/>
        </w:rPr>
        <w:t>EPFRV</w:t>
      </w:r>
      <w:r w:rsidRPr="00186CED">
        <w:rPr>
          <w:rFonts w:asciiTheme="majorHAnsi" w:hAnsiTheme="majorHAnsi"/>
          <w:szCs w:val="20"/>
          <w:lang w:eastAsia="ar-SA"/>
        </w:rPr>
        <w:t xml:space="preserve"> je integrálnou súčasťou SPP a dopĺňa opatrenia v rámci Európskeho poľnohospodárskeho záručného fondu (EPZF), ktorý poskytuje priamu podporu poľnohospodárom a podporuje trhové opatrenia</w:t>
      </w:r>
      <w:r w:rsidR="004D2249">
        <w:rPr>
          <w:rFonts w:asciiTheme="majorHAnsi" w:hAnsiTheme="majorHAnsi"/>
          <w:szCs w:val="20"/>
          <w:lang w:eastAsia="ar-SA"/>
        </w:rPr>
        <w:t>,</w:t>
      </w:r>
      <w:r w:rsidRPr="00186CED">
        <w:rPr>
          <w:rFonts w:asciiTheme="majorHAnsi" w:hAnsiTheme="majorHAnsi"/>
          <w:szCs w:val="20"/>
          <w:lang w:eastAsia="ar-SA"/>
        </w:rPr>
        <w:t xml:space="preserve"> sa kladie dôraz na zavedenie environmentálnych požiadaviek</w:t>
      </w:r>
      <w:r w:rsidR="00F378CE">
        <w:rPr>
          <w:rFonts w:asciiTheme="majorHAnsi" w:hAnsiTheme="majorHAnsi"/>
          <w:szCs w:val="20"/>
          <w:lang w:eastAsia="ar-SA"/>
        </w:rPr>
        <w:t>.</w:t>
      </w:r>
      <w:r w:rsidRPr="00186CED">
        <w:rPr>
          <w:rFonts w:asciiTheme="majorHAnsi" w:hAnsiTheme="majorHAnsi"/>
          <w:szCs w:val="20"/>
          <w:lang w:eastAsia="ar-SA"/>
        </w:rPr>
        <w:t xml:space="preserve"> </w:t>
      </w:r>
      <w:r w:rsidR="00F378CE">
        <w:rPr>
          <w:rFonts w:asciiTheme="majorHAnsi" w:hAnsiTheme="majorHAnsi"/>
          <w:szCs w:val="20"/>
          <w:lang w:eastAsia="ar-SA"/>
        </w:rPr>
        <w:t>D</w:t>
      </w:r>
      <w:r w:rsidRPr="00186CED">
        <w:rPr>
          <w:rFonts w:asciiTheme="majorHAnsi" w:hAnsiTheme="majorHAnsi"/>
          <w:szCs w:val="20"/>
          <w:lang w:eastAsia="ar-SA"/>
        </w:rPr>
        <w:t>o I. piliera SPP</w:t>
      </w:r>
      <w:r w:rsidR="00F378CE">
        <w:rPr>
          <w:rFonts w:asciiTheme="majorHAnsi" w:hAnsiTheme="majorHAnsi"/>
          <w:szCs w:val="20"/>
          <w:lang w:eastAsia="ar-SA"/>
        </w:rPr>
        <w:t xml:space="preserve"> sa</w:t>
      </w:r>
      <w:r w:rsidRPr="00186CED">
        <w:rPr>
          <w:rFonts w:asciiTheme="majorHAnsi" w:hAnsiTheme="majorHAnsi"/>
          <w:szCs w:val="20"/>
          <w:lang w:eastAsia="ar-SA"/>
        </w:rPr>
        <w:t xml:space="preserve"> zavádza silná ekologizujúca zložka, prostredníctvom tzv. „greening“ schémy stanovenej nad rámec krížového plnenia, výsledkom čoho by malo byť priaznivejšie hospodárenie pre životné prostredie a klímu. Krížové plnenie bude stále základom pre priame platby, v rámci ktorého sa zavádza aj plnenie relevantných častí rámcovej smernice o vode</w:t>
      </w:r>
      <w:r w:rsidR="00F378CE">
        <w:rPr>
          <w:rFonts w:asciiTheme="majorHAnsi" w:hAnsiTheme="majorHAnsi"/>
          <w:szCs w:val="20"/>
          <w:lang w:eastAsia="ar-SA"/>
        </w:rPr>
        <w:t>. S</w:t>
      </w:r>
      <w:r w:rsidRPr="00186CED">
        <w:rPr>
          <w:rFonts w:asciiTheme="majorHAnsi" w:hAnsiTheme="majorHAnsi"/>
          <w:szCs w:val="20"/>
          <w:lang w:eastAsia="ar-SA"/>
        </w:rPr>
        <w:t>polu s II. pilierom prispeje k zosúladeniu stratégie EÚ pre biodiverzitu do roku 2020 vzhľadom k tomu, že krížové plnenie a</w:t>
      </w:r>
      <w:r w:rsidR="00F819ED">
        <w:rPr>
          <w:rFonts w:asciiTheme="majorHAnsi" w:hAnsiTheme="majorHAnsi"/>
          <w:szCs w:val="20"/>
          <w:lang w:eastAsia="ar-SA"/>
        </w:rPr>
        <w:t> </w:t>
      </w:r>
      <w:r w:rsidRPr="00186CED">
        <w:rPr>
          <w:rFonts w:asciiTheme="majorHAnsi" w:hAnsiTheme="majorHAnsi"/>
          <w:szCs w:val="20"/>
          <w:lang w:eastAsia="ar-SA"/>
        </w:rPr>
        <w:t>greening</w:t>
      </w:r>
      <w:r w:rsidR="00F819ED">
        <w:rPr>
          <w:rFonts w:asciiTheme="majorHAnsi" w:hAnsiTheme="majorHAnsi"/>
          <w:szCs w:val="20"/>
          <w:lang w:eastAsia="ar-SA"/>
        </w:rPr>
        <w:t xml:space="preserve"> </w:t>
      </w:r>
      <w:r w:rsidRPr="00186CED">
        <w:rPr>
          <w:rFonts w:asciiTheme="majorHAnsi" w:hAnsiTheme="majorHAnsi"/>
          <w:szCs w:val="20"/>
          <w:lang w:eastAsia="ar-SA"/>
        </w:rPr>
        <w:t>je základným predpokladom pre získanie podpôr aj v rámci environmentálnych opatrení.</w:t>
      </w:r>
    </w:p>
    <w:p w:rsidR="004D2249" w:rsidRPr="00186CED" w:rsidRDefault="00186CED" w:rsidP="002377D3">
      <w:pPr>
        <w:rPr>
          <w:rFonts w:asciiTheme="majorHAnsi" w:hAnsiTheme="majorHAnsi"/>
          <w:szCs w:val="20"/>
          <w:lang w:eastAsia="ar-SA"/>
        </w:rPr>
      </w:pPr>
      <w:r w:rsidRPr="00186CED">
        <w:rPr>
          <w:rFonts w:asciiTheme="majorHAnsi" w:hAnsiTheme="majorHAnsi"/>
          <w:szCs w:val="20"/>
          <w:lang w:eastAsia="ar-SA"/>
        </w:rPr>
        <w:t>K dosiahnutiu synergického účinku</w:t>
      </w:r>
      <w:r w:rsidR="00472DBF">
        <w:rPr>
          <w:rFonts w:asciiTheme="majorHAnsi" w:hAnsiTheme="majorHAnsi"/>
          <w:szCs w:val="20"/>
          <w:lang w:eastAsia="ar-SA"/>
        </w:rPr>
        <w:t> </w:t>
      </w:r>
      <w:r w:rsidRPr="00186CED">
        <w:rPr>
          <w:rFonts w:asciiTheme="majorHAnsi" w:hAnsiTheme="majorHAnsi"/>
          <w:szCs w:val="20"/>
          <w:lang w:eastAsia="ar-SA"/>
        </w:rPr>
        <w:t>doplnkovosti</w:t>
      </w:r>
      <w:r w:rsidR="00472DBF">
        <w:rPr>
          <w:rFonts w:asciiTheme="majorHAnsi" w:hAnsiTheme="majorHAnsi"/>
          <w:szCs w:val="20"/>
          <w:lang w:eastAsia="ar-SA"/>
        </w:rPr>
        <w:t xml:space="preserve"> </w:t>
      </w:r>
      <w:r w:rsidR="00472DBF" w:rsidRPr="00472DBF">
        <w:rPr>
          <w:rFonts w:asciiTheme="majorHAnsi" w:hAnsiTheme="majorHAnsi"/>
          <w:szCs w:val="20"/>
          <w:lang w:eastAsia="ar-SA"/>
        </w:rPr>
        <w:t>a</w:t>
      </w:r>
      <w:r w:rsidR="00F819ED">
        <w:rPr>
          <w:rFonts w:asciiTheme="majorHAnsi" w:hAnsiTheme="majorHAnsi"/>
          <w:szCs w:val="20"/>
          <w:lang w:eastAsia="ar-SA"/>
        </w:rPr>
        <w:t> </w:t>
      </w:r>
      <w:r w:rsidR="00472DBF" w:rsidRPr="00472DBF">
        <w:rPr>
          <w:rFonts w:asciiTheme="majorHAnsi" w:hAnsiTheme="majorHAnsi"/>
          <w:szCs w:val="20"/>
          <w:lang w:eastAsia="ar-SA"/>
        </w:rPr>
        <w:t>vyváženého</w:t>
      </w:r>
      <w:r w:rsidR="00F819ED">
        <w:rPr>
          <w:rFonts w:asciiTheme="majorHAnsi" w:hAnsiTheme="majorHAnsi"/>
          <w:szCs w:val="20"/>
          <w:lang w:eastAsia="ar-SA"/>
        </w:rPr>
        <w:t xml:space="preserve"> </w:t>
      </w:r>
      <w:r w:rsidR="00472DBF" w:rsidRPr="00472DBF">
        <w:rPr>
          <w:rFonts w:asciiTheme="majorHAnsi" w:hAnsiTheme="majorHAnsi"/>
          <w:szCs w:val="20"/>
          <w:lang w:eastAsia="ar-SA"/>
        </w:rPr>
        <w:t xml:space="preserve">územného rozvoja vidieka </w:t>
      </w:r>
      <w:r w:rsidRPr="00186CED">
        <w:rPr>
          <w:rFonts w:asciiTheme="majorHAnsi" w:hAnsiTheme="majorHAnsi"/>
          <w:szCs w:val="20"/>
          <w:lang w:eastAsia="ar-SA"/>
        </w:rPr>
        <w:t xml:space="preserve">sa podstatným spôsobom prispeje za pomoci pridanej hodnoty nového základu podporných mechanizmov jednotlivých opatrení SPP, ktoré tak v nevyhnutne zvýšenej miere doplnia opatrenia EPZF. Vychádzajúc z cieľov II. piliera sa doplnkovosť </w:t>
      </w:r>
      <w:r w:rsidR="00E95CF8">
        <w:rPr>
          <w:rFonts w:asciiTheme="majorHAnsi" w:hAnsiTheme="majorHAnsi"/>
          <w:szCs w:val="20"/>
          <w:lang w:eastAsia="ar-SA"/>
        </w:rPr>
        <w:t xml:space="preserve">a synergický účinok s I. pilierom SPP </w:t>
      </w:r>
      <w:r w:rsidRPr="00186CED">
        <w:rPr>
          <w:rFonts w:asciiTheme="majorHAnsi" w:hAnsiTheme="majorHAnsi"/>
          <w:szCs w:val="20"/>
          <w:lang w:eastAsia="ar-SA"/>
        </w:rPr>
        <w:t xml:space="preserve">zabezpečí prostredníctvom opatrení spojených s výrobou </w:t>
      </w:r>
      <w:r w:rsidR="00E95CF8">
        <w:rPr>
          <w:rFonts w:asciiTheme="majorHAnsi" w:hAnsiTheme="majorHAnsi"/>
          <w:szCs w:val="20"/>
          <w:lang w:eastAsia="ar-SA"/>
        </w:rPr>
        <w:t xml:space="preserve">a spracovaním </w:t>
      </w:r>
      <w:r w:rsidRPr="00186CED">
        <w:rPr>
          <w:rFonts w:asciiTheme="majorHAnsi" w:hAnsiTheme="majorHAnsi"/>
          <w:szCs w:val="20"/>
          <w:lang w:eastAsia="ar-SA"/>
        </w:rPr>
        <w:t>vybraných výrobkov</w:t>
      </w:r>
      <w:r w:rsidR="00E95CF8">
        <w:rPr>
          <w:rFonts w:asciiTheme="majorHAnsi" w:hAnsiTheme="majorHAnsi"/>
          <w:szCs w:val="20"/>
          <w:lang w:eastAsia="ar-SA"/>
        </w:rPr>
        <w:t xml:space="preserve"> poľnohospodárskej prvovýroby s cieľom zvýšiť ich pridanú hodnotu, diverzifikáciu poľnohospodárstva ako aj spoluprácu pri vývoji, výrobe a predaji produktov a</w:t>
      </w:r>
      <w:r w:rsidR="00493967">
        <w:rPr>
          <w:rFonts w:asciiTheme="majorHAnsi" w:hAnsiTheme="majorHAnsi"/>
          <w:szCs w:val="20"/>
          <w:lang w:eastAsia="ar-SA"/>
        </w:rPr>
        <w:t> </w:t>
      </w:r>
      <w:r w:rsidR="00E95CF8">
        <w:rPr>
          <w:rFonts w:asciiTheme="majorHAnsi" w:hAnsiTheme="majorHAnsi"/>
          <w:szCs w:val="20"/>
          <w:lang w:eastAsia="ar-SA"/>
        </w:rPr>
        <w:t>služieb</w:t>
      </w:r>
      <w:r w:rsidR="00493967">
        <w:rPr>
          <w:rFonts w:asciiTheme="majorHAnsi" w:hAnsiTheme="majorHAnsi"/>
          <w:szCs w:val="20"/>
          <w:lang w:eastAsia="ar-SA"/>
        </w:rPr>
        <w:t xml:space="preserve">. </w:t>
      </w:r>
      <w:r w:rsidR="00472DBF" w:rsidRPr="00472DBF">
        <w:rPr>
          <w:rFonts w:asciiTheme="majorHAnsi" w:hAnsiTheme="majorHAnsi"/>
          <w:szCs w:val="20"/>
          <w:lang w:eastAsia="ar-SA"/>
        </w:rPr>
        <w:t xml:space="preserve">Vyvážený územný rozvoj sa zabezpečí prostredníctvom zvýšenia, resp. udržania zamestnanosti vidieckeho obyvateľstva, ktorá sa </w:t>
      </w:r>
      <w:r w:rsidR="00472DBF" w:rsidRPr="00472DBF">
        <w:rPr>
          <w:rFonts w:asciiTheme="majorHAnsi" w:hAnsiTheme="majorHAnsi"/>
          <w:szCs w:val="20"/>
          <w:lang w:eastAsia="ar-SA"/>
        </w:rPr>
        <w:lastRenderedPageBreak/>
        <w:t>nevyhnutne spája s</w:t>
      </w:r>
      <w:r w:rsidR="00E95CF8">
        <w:rPr>
          <w:rFonts w:asciiTheme="majorHAnsi" w:hAnsiTheme="majorHAnsi"/>
          <w:szCs w:val="20"/>
          <w:lang w:eastAsia="ar-SA"/>
        </w:rPr>
        <w:t> investíciami do ekonomickej infraštruktúry a</w:t>
      </w:r>
      <w:r w:rsidR="00F819ED">
        <w:rPr>
          <w:rFonts w:asciiTheme="majorHAnsi" w:hAnsiTheme="majorHAnsi"/>
          <w:szCs w:val="20"/>
          <w:lang w:eastAsia="ar-SA"/>
        </w:rPr>
        <w:t> </w:t>
      </w:r>
      <w:r w:rsidR="00472DBF" w:rsidRPr="00472DBF">
        <w:rPr>
          <w:rFonts w:asciiTheme="majorHAnsi" w:hAnsiTheme="majorHAnsi"/>
          <w:szCs w:val="20"/>
          <w:lang w:eastAsia="ar-SA"/>
        </w:rPr>
        <w:t>rozvojom</w:t>
      </w:r>
      <w:r w:rsidR="00F819ED">
        <w:rPr>
          <w:rFonts w:asciiTheme="majorHAnsi" w:hAnsiTheme="majorHAnsi"/>
          <w:szCs w:val="20"/>
          <w:lang w:eastAsia="ar-SA"/>
        </w:rPr>
        <w:t xml:space="preserve"> </w:t>
      </w:r>
      <w:r w:rsidR="00472DBF" w:rsidRPr="00472DBF">
        <w:rPr>
          <w:rFonts w:asciiTheme="majorHAnsi" w:hAnsiTheme="majorHAnsi"/>
          <w:szCs w:val="20"/>
          <w:lang w:eastAsia="ar-SA"/>
        </w:rPr>
        <w:t xml:space="preserve">poľnohospodárskych </w:t>
      </w:r>
      <w:r w:rsidR="007B011A">
        <w:rPr>
          <w:rFonts w:asciiTheme="majorHAnsi" w:hAnsiTheme="majorHAnsi"/>
          <w:szCs w:val="20"/>
          <w:lang w:eastAsia="ar-SA"/>
        </w:rPr>
        <w:t xml:space="preserve">a nepoľnohospodárskych </w:t>
      </w:r>
      <w:r w:rsidR="00472DBF" w:rsidRPr="00472DBF">
        <w:rPr>
          <w:rFonts w:asciiTheme="majorHAnsi" w:hAnsiTheme="majorHAnsi"/>
          <w:szCs w:val="20"/>
          <w:lang w:eastAsia="ar-SA"/>
        </w:rPr>
        <w:t>činností na vidieku</w:t>
      </w:r>
      <w:r w:rsidR="00472DBF">
        <w:rPr>
          <w:rFonts w:asciiTheme="majorHAnsi" w:hAnsiTheme="majorHAnsi"/>
          <w:szCs w:val="20"/>
          <w:lang w:eastAsia="ar-SA"/>
        </w:rPr>
        <w:t>.</w:t>
      </w:r>
    </w:p>
    <w:p w:rsidR="004D2249" w:rsidRPr="00DE1206" w:rsidRDefault="00DE1206" w:rsidP="002377D3">
      <w:pPr>
        <w:rPr>
          <w:rFonts w:asciiTheme="majorHAnsi" w:hAnsiTheme="majorHAnsi"/>
          <w:szCs w:val="22"/>
          <w:lang w:eastAsia="ar-SA"/>
        </w:rPr>
      </w:pPr>
      <w:r w:rsidRPr="003F0750">
        <w:rPr>
          <w:rFonts w:asciiTheme="majorHAnsi" w:hAnsiTheme="majorHAnsi" w:cs="Calibri"/>
          <w:szCs w:val="22"/>
        </w:rPr>
        <w:t>Koordinácia s</w:t>
      </w:r>
      <w:r w:rsidR="00F819ED">
        <w:rPr>
          <w:rFonts w:asciiTheme="majorHAnsi" w:hAnsiTheme="majorHAnsi" w:cs="Calibri"/>
          <w:szCs w:val="22"/>
        </w:rPr>
        <w:t> </w:t>
      </w:r>
      <w:r w:rsidRPr="003F0750">
        <w:rPr>
          <w:rFonts w:asciiTheme="majorHAnsi" w:hAnsiTheme="majorHAnsi" w:cs="Calibri"/>
          <w:szCs w:val="22"/>
        </w:rPr>
        <w:t>EIB</w:t>
      </w:r>
      <w:r w:rsidR="00F819ED">
        <w:rPr>
          <w:rFonts w:asciiTheme="majorHAnsi" w:hAnsiTheme="majorHAnsi" w:cs="Calibri"/>
          <w:szCs w:val="22"/>
        </w:rPr>
        <w:t xml:space="preserve"> </w:t>
      </w:r>
      <w:r w:rsidRPr="003F0750">
        <w:rPr>
          <w:rFonts w:asciiTheme="majorHAnsi" w:hAnsiTheme="majorHAnsi" w:cs="Calibri"/>
          <w:szCs w:val="22"/>
        </w:rPr>
        <w:t>bude prebiehať podobným spôsobom, ako v</w:t>
      </w:r>
      <w:r w:rsidR="00F819ED">
        <w:rPr>
          <w:rFonts w:asciiTheme="majorHAnsi" w:hAnsiTheme="majorHAnsi" w:cs="Calibri"/>
          <w:szCs w:val="22"/>
        </w:rPr>
        <w:t> </w:t>
      </w:r>
      <w:r w:rsidRPr="003F0750">
        <w:rPr>
          <w:rFonts w:asciiTheme="majorHAnsi" w:hAnsiTheme="majorHAnsi" w:cs="Calibri"/>
          <w:szCs w:val="22"/>
        </w:rPr>
        <w:t>programovom</w:t>
      </w:r>
      <w:r w:rsidR="00F819ED">
        <w:rPr>
          <w:rFonts w:asciiTheme="majorHAnsi" w:hAnsiTheme="majorHAnsi" w:cs="Calibri"/>
          <w:szCs w:val="22"/>
        </w:rPr>
        <w:t xml:space="preserve"> </w:t>
      </w:r>
      <w:r w:rsidRPr="003F0750">
        <w:rPr>
          <w:rFonts w:asciiTheme="majorHAnsi" w:hAnsiTheme="majorHAnsi" w:cs="Calibri"/>
          <w:szCs w:val="22"/>
        </w:rPr>
        <w:t xml:space="preserve">období na roky </w:t>
      </w:r>
      <w:r w:rsidR="00C33295">
        <w:rPr>
          <w:rFonts w:asciiTheme="majorHAnsi" w:hAnsiTheme="majorHAnsi" w:cs="Calibri"/>
          <w:szCs w:val="22"/>
        </w:rPr>
        <w:br/>
      </w:r>
      <w:r w:rsidRPr="003F0750">
        <w:rPr>
          <w:rFonts w:asciiTheme="majorHAnsi" w:hAnsiTheme="majorHAnsi" w:cs="Calibri"/>
          <w:szCs w:val="22"/>
        </w:rPr>
        <w:t>2007 – 2013. Po finalizácii prípravy programového obdobia 2014 – 2020 a</w:t>
      </w:r>
      <w:r w:rsidR="00F819ED">
        <w:rPr>
          <w:rFonts w:asciiTheme="majorHAnsi" w:hAnsiTheme="majorHAnsi" w:cs="Calibri"/>
          <w:szCs w:val="22"/>
        </w:rPr>
        <w:t> </w:t>
      </w:r>
      <w:r w:rsidRPr="003F0750">
        <w:rPr>
          <w:rFonts w:asciiTheme="majorHAnsi" w:hAnsiTheme="majorHAnsi" w:cs="Calibri"/>
          <w:szCs w:val="22"/>
        </w:rPr>
        <w:t>schválení</w:t>
      </w:r>
      <w:r w:rsidR="00F819ED">
        <w:rPr>
          <w:rFonts w:asciiTheme="majorHAnsi" w:hAnsiTheme="majorHAnsi" w:cs="Calibri"/>
          <w:szCs w:val="22"/>
        </w:rPr>
        <w:t xml:space="preserve"> </w:t>
      </w:r>
      <w:r w:rsidRPr="003F0750">
        <w:rPr>
          <w:rFonts w:asciiTheme="majorHAnsi" w:hAnsiTheme="majorHAnsi" w:cs="Calibri"/>
          <w:szCs w:val="22"/>
        </w:rPr>
        <w:t>programov EIB identifikuje výšku možného spolufinancovania na projekty v</w:t>
      </w:r>
      <w:r w:rsidR="00F819ED">
        <w:rPr>
          <w:rFonts w:asciiTheme="majorHAnsi" w:hAnsiTheme="majorHAnsi" w:cs="Calibri"/>
          <w:szCs w:val="22"/>
        </w:rPr>
        <w:t> </w:t>
      </w:r>
      <w:r w:rsidRPr="003F0750">
        <w:rPr>
          <w:rFonts w:asciiTheme="majorHAnsi" w:hAnsiTheme="majorHAnsi" w:cs="Calibri"/>
          <w:szCs w:val="22"/>
        </w:rPr>
        <w:t>rámci</w:t>
      </w:r>
      <w:r w:rsidR="00F819ED">
        <w:rPr>
          <w:rFonts w:asciiTheme="majorHAnsi" w:hAnsiTheme="majorHAnsi" w:cs="Calibri"/>
          <w:szCs w:val="22"/>
        </w:rPr>
        <w:t xml:space="preserve"> </w:t>
      </w:r>
      <w:r w:rsidRPr="003F0750">
        <w:rPr>
          <w:rFonts w:asciiTheme="majorHAnsi" w:hAnsiTheme="majorHAnsi" w:cs="Calibri"/>
          <w:szCs w:val="22"/>
        </w:rPr>
        <w:t xml:space="preserve">jednotlivých </w:t>
      </w:r>
      <w:r w:rsidR="00F819ED">
        <w:rPr>
          <w:rFonts w:asciiTheme="majorHAnsi" w:hAnsiTheme="majorHAnsi" w:cs="Calibri"/>
          <w:szCs w:val="22"/>
        </w:rPr>
        <w:t>programov</w:t>
      </w:r>
      <w:r w:rsidRPr="003F0750">
        <w:rPr>
          <w:rFonts w:asciiTheme="majorHAnsi" w:hAnsiTheme="majorHAnsi" w:cs="Calibri"/>
          <w:szCs w:val="22"/>
        </w:rPr>
        <w:t>. V</w:t>
      </w:r>
      <w:r w:rsidR="00F819ED">
        <w:rPr>
          <w:rFonts w:asciiTheme="majorHAnsi" w:hAnsiTheme="majorHAnsi" w:cs="Calibri"/>
          <w:szCs w:val="22"/>
        </w:rPr>
        <w:t> </w:t>
      </w:r>
      <w:r w:rsidRPr="003F0750">
        <w:rPr>
          <w:rFonts w:asciiTheme="majorHAnsi" w:hAnsiTheme="majorHAnsi" w:cs="Calibri"/>
          <w:szCs w:val="22"/>
        </w:rPr>
        <w:t>závislosti</w:t>
      </w:r>
      <w:r w:rsidR="00F819ED">
        <w:rPr>
          <w:rFonts w:asciiTheme="majorHAnsi" w:hAnsiTheme="majorHAnsi" w:cs="Calibri"/>
          <w:szCs w:val="22"/>
        </w:rPr>
        <w:t xml:space="preserve"> </w:t>
      </w:r>
      <w:r w:rsidRPr="003F0750">
        <w:rPr>
          <w:rFonts w:asciiTheme="majorHAnsi" w:hAnsiTheme="majorHAnsi" w:cs="Calibri"/>
          <w:szCs w:val="22"/>
        </w:rPr>
        <w:t>od ponuky finančných podmienok pre prevzatie úveru od EIB samotné spolufinancovanie zo strany EIB bude použité prostredníctvom štátu v</w:t>
      </w:r>
      <w:r w:rsidR="00546908">
        <w:rPr>
          <w:rFonts w:asciiTheme="majorHAnsi" w:hAnsiTheme="majorHAnsi" w:cs="Calibri"/>
          <w:szCs w:val="22"/>
        </w:rPr>
        <w:t> </w:t>
      </w:r>
      <w:r w:rsidRPr="003F0750">
        <w:rPr>
          <w:rFonts w:asciiTheme="majorHAnsi" w:hAnsiTheme="majorHAnsi" w:cs="Calibri"/>
          <w:szCs w:val="22"/>
        </w:rPr>
        <w:t>oblastiach</w:t>
      </w:r>
      <w:r w:rsidR="00546908">
        <w:rPr>
          <w:rFonts w:asciiTheme="majorHAnsi" w:hAnsiTheme="majorHAnsi" w:cs="Calibri"/>
          <w:szCs w:val="22"/>
        </w:rPr>
        <w:t xml:space="preserve"> </w:t>
      </w:r>
      <w:r w:rsidRPr="003F0750">
        <w:rPr>
          <w:rFonts w:asciiTheme="majorHAnsi" w:hAnsiTheme="majorHAnsi" w:cs="Calibri"/>
          <w:szCs w:val="22"/>
        </w:rPr>
        <w:t>a</w:t>
      </w:r>
      <w:r w:rsidR="00546908">
        <w:rPr>
          <w:rFonts w:asciiTheme="majorHAnsi" w:hAnsiTheme="majorHAnsi" w:cs="Calibri"/>
          <w:szCs w:val="22"/>
        </w:rPr>
        <w:t> </w:t>
      </w:r>
      <w:r w:rsidRPr="003F0750">
        <w:rPr>
          <w:rFonts w:asciiTheme="majorHAnsi" w:hAnsiTheme="majorHAnsi" w:cs="Calibri"/>
          <w:szCs w:val="22"/>
        </w:rPr>
        <w:t>sektoroch</w:t>
      </w:r>
      <w:r w:rsidR="00546908">
        <w:rPr>
          <w:rFonts w:asciiTheme="majorHAnsi" w:hAnsiTheme="majorHAnsi" w:cs="Calibri"/>
          <w:szCs w:val="22"/>
        </w:rPr>
        <w:t xml:space="preserve"> </w:t>
      </w:r>
      <w:r w:rsidRPr="003F0750">
        <w:rPr>
          <w:rFonts w:asciiTheme="majorHAnsi" w:hAnsiTheme="majorHAnsi" w:cs="Calibri"/>
          <w:szCs w:val="22"/>
        </w:rPr>
        <w:t>v</w:t>
      </w:r>
      <w:r w:rsidR="00546908">
        <w:rPr>
          <w:rFonts w:asciiTheme="majorHAnsi" w:hAnsiTheme="majorHAnsi" w:cs="Calibri"/>
          <w:szCs w:val="22"/>
        </w:rPr>
        <w:t> </w:t>
      </w:r>
      <w:r w:rsidRPr="003F0750">
        <w:rPr>
          <w:rFonts w:asciiTheme="majorHAnsi" w:hAnsiTheme="majorHAnsi" w:cs="Calibri"/>
          <w:szCs w:val="22"/>
        </w:rPr>
        <w:t>rámci</w:t>
      </w:r>
      <w:r w:rsidR="00546908">
        <w:rPr>
          <w:rFonts w:asciiTheme="majorHAnsi" w:hAnsiTheme="majorHAnsi" w:cs="Calibri"/>
          <w:szCs w:val="22"/>
        </w:rPr>
        <w:t xml:space="preserve"> </w:t>
      </w:r>
      <w:r w:rsidRPr="003F0750">
        <w:rPr>
          <w:rFonts w:asciiTheme="majorHAnsi" w:hAnsiTheme="majorHAnsi" w:cs="Calibri"/>
          <w:szCs w:val="22"/>
        </w:rPr>
        <w:t>mandátu EIB a</w:t>
      </w:r>
      <w:r w:rsidR="00546908">
        <w:rPr>
          <w:rFonts w:asciiTheme="majorHAnsi" w:hAnsiTheme="majorHAnsi" w:cs="Calibri"/>
          <w:szCs w:val="22"/>
        </w:rPr>
        <w:t> </w:t>
      </w:r>
      <w:r w:rsidRPr="003F0750">
        <w:rPr>
          <w:rFonts w:asciiTheme="majorHAnsi" w:hAnsiTheme="majorHAnsi" w:cs="Calibri"/>
          <w:szCs w:val="22"/>
        </w:rPr>
        <w:t>bude</w:t>
      </w:r>
      <w:r w:rsidR="00546908">
        <w:rPr>
          <w:rFonts w:asciiTheme="majorHAnsi" w:hAnsiTheme="majorHAnsi" w:cs="Calibri"/>
          <w:szCs w:val="22"/>
        </w:rPr>
        <w:t xml:space="preserve"> </w:t>
      </w:r>
      <w:r w:rsidRPr="003F0750">
        <w:rPr>
          <w:rFonts w:asciiTheme="majorHAnsi" w:hAnsiTheme="majorHAnsi" w:cs="Calibri"/>
          <w:szCs w:val="22"/>
        </w:rPr>
        <w:t xml:space="preserve">koordinované príslušným </w:t>
      </w:r>
      <w:r w:rsidR="00546908">
        <w:rPr>
          <w:rFonts w:asciiTheme="majorHAnsi" w:hAnsiTheme="majorHAnsi" w:cs="Calibri"/>
          <w:szCs w:val="22"/>
        </w:rPr>
        <w:t>RO</w:t>
      </w:r>
      <w:r w:rsidRPr="003F0750">
        <w:rPr>
          <w:rFonts w:asciiTheme="majorHAnsi" w:hAnsiTheme="majorHAnsi" w:cs="Calibri"/>
          <w:szCs w:val="22"/>
        </w:rPr>
        <w:t xml:space="preserve"> s</w:t>
      </w:r>
      <w:r w:rsidR="00546908">
        <w:rPr>
          <w:rFonts w:asciiTheme="majorHAnsi" w:hAnsiTheme="majorHAnsi" w:cs="Calibri"/>
          <w:szCs w:val="22"/>
        </w:rPr>
        <w:t> </w:t>
      </w:r>
      <w:r w:rsidRPr="003F0750">
        <w:rPr>
          <w:rFonts w:asciiTheme="majorHAnsi" w:hAnsiTheme="majorHAnsi" w:cs="Calibri"/>
          <w:szCs w:val="22"/>
        </w:rPr>
        <w:t>MF SR. Obdobne je možnosť spolufinancovania aj zo strany Rozvojovej banky Rady Európy (RB RE) v</w:t>
      </w:r>
      <w:r w:rsidR="00546908">
        <w:rPr>
          <w:rFonts w:asciiTheme="majorHAnsi" w:hAnsiTheme="majorHAnsi" w:cs="Calibri"/>
          <w:szCs w:val="22"/>
        </w:rPr>
        <w:t> </w:t>
      </w:r>
      <w:r w:rsidRPr="003F0750">
        <w:rPr>
          <w:rFonts w:asciiTheme="majorHAnsi" w:hAnsiTheme="majorHAnsi" w:cs="Calibri"/>
          <w:szCs w:val="22"/>
        </w:rPr>
        <w:t>súlade s</w:t>
      </w:r>
      <w:r w:rsidR="00546908">
        <w:rPr>
          <w:rFonts w:asciiTheme="majorHAnsi" w:hAnsiTheme="majorHAnsi" w:cs="Calibri"/>
          <w:szCs w:val="22"/>
        </w:rPr>
        <w:t> </w:t>
      </w:r>
      <w:r w:rsidRPr="003F0750">
        <w:rPr>
          <w:rFonts w:asciiTheme="majorHAnsi" w:hAnsiTheme="majorHAnsi" w:cs="Calibri"/>
          <w:szCs w:val="22"/>
        </w:rPr>
        <w:t>jej mandátom</w:t>
      </w:r>
      <w:r>
        <w:rPr>
          <w:rFonts w:asciiTheme="majorHAnsi" w:hAnsiTheme="majorHAnsi" w:cs="Calibri"/>
          <w:szCs w:val="22"/>
        </w:rPr>
        <w:t>.</w:t>
      </w:r>
    </w:p>
    <w:p w:rsidR="004D2249" w:rsidRDefault="00186CED" w:rsidP="002377D3">
      <w:pPr>
        <w:rPr>
          <w:rFonts w:asciiTheme="majorHAnsi" w:hAnsiTheme="majorHAnsi"/>
          <w:szCs w:val="20"/>
          <w:lang w:eastAsia="ar-SA"/>
        </w:rPr>
      </w:pPr>
      <w:r w:rsidRPr="00186CED">
        <w:rPr>
          <w:rFonts w:asciiTheme="majorHAnsi" w:hAnsiTheme="majorHAnsi"/>
          <w:szCs w:val="20"/>
          <w:lang w:eastAsia="ar-SA"/>
        </w:rPr>
        <w:t xml:space="preserve">Finančné nástroje budú použité na podporu implementácie tých aktivít, pri ktorých bude preukázané efektívnejšie využitie finančných prostriedkov z EŠIF takouto formou podpory. Finančné nástroje budú zamerané na podporu tých aktivít, ktoré nenachádzajú financovanie na trhu, prípadne nenachádzajú adekvátne financovanie pri ktorom by ich realizácia bola efektívnou. Okrem možnosti opakovateľného použitia prostriedkov v budúcich obdobiach patrí medzi výhody využitia finančných nástrojov možnosť navýšenia prostriedkov pre dosiahnutie príslušných cieľov prostredníctvom pritiahnutia dodatočného kapitálu vďaka atraktívnemu nastaveniu </w:t>
      </w:r>
      <w:r w:rsidR="00670229">
        <w:rPr>
          <w:rFonts w:asciiTheme="majorHAnsi" w:hAnsiTheme="majorHAnsi"/>
          <w:szCs w:val="20"/>
          <w:lang w:eastAsia="ar-SA"/>
        </w:rPr>
        <w:t>takýchto</w:t>
      </w:r>
      <w:r w:rsidR="00670229" w:rsidRPr="00186CED">
        <w:rPr>
          <w:rFonts w:asciiTheme="majorHAnsi" w:hAnsiTheme="majorHAnsi"/>
          <w:szCs w:val="20"/>
          <w:lang w:eastAsia="ar-SA"/>
        </w:rPr>
        <w:t xml:space="preserve"> </w:t>
      </w:r>
      <w:r w:rsidRPr="00186CED">
        <w:rPr>
          <w:rFonts w:asciiTheme="majorHAnsi" w:hAnsiTheme="majorHAnsi"/>
          <w:szCs w:val="20"/>
          <w:lang w:eastAsia="ar-SA"/>
        </w:rPr>
        <w:t xml:space="preserve">nástrojov. Pritiahnutie dodatočného kapitálu je potrebné aj vzhľadom na nedostatočný objem prostriedkov z EŠIF na pokrytie všetkých investičných potrieb v príslušných oblastiach. Účasť súkromných investorov môže prispieť aj ku skvalitneniu implementácie projektov, a teda dodatočne prispieva k celkovo efektívnejšiemu </w:t>
      </w:r>
      <w:r w:rsidR="00670229">
        <w:rPr>
          <w:rFonts w:asciiTheme="majorHAnsi" w:hAnsiTheme="majorHAnsi"/>
          <w:szCs w:val="20"/>
          <w:lang w:eastAsia="ar-SA"/>
        </w:rPr>
        <w:t>využitiu</w:t>
      </w:r>
      <w:r w:rsidR="00670229" w:rsidRPr="00186CED">
        <w:rPr>
          <w:rFonts w:asciiTheme="majorHAnsi" w:hAnsiTheme="majorHAnsi"/>
          <w:szCs w:val="20"/>
          <w:lang w:eastAsia="ar-SA"/>
        </w:rPr>
        <w:t xml:space="preserve"> </w:t>
      </w:r>
      <w:r w:rsidRPr="00186CED">
        <w:rPr>
          <w:rFonts w:asciiTheme="majorHAnsi" w:hAnsiTheme="majorHAnsi"/>
          <w:szCs w:val="20"/>
          <w:lang w:eastAsia="ar-SA"/>
        </w:rPr>
        <w:t xml:space="preserve">finančných prostriedkov. </w:t>
      </w:r>
      <w:r w:rsidRPr="00E96D8E">
        <w:rPr>
          <w:rFonts w:asciiTheme="majorHAnsi" w:hAnsiTheme="majorHAnsi"/>
          <w:szCs w:val="20"/>
          <w:lang w:eastAsia="ar-SA"/>
        </w:rPr>
        <w:t>V súčasnosti sa v SR pripravuje iniciatíva Slovenského investičného holdingu pre programové obdobie 2014 – 2020</w:t>
      </w:r>
      <w:r w:rsidR="00546908" w:rsidRPr="00E96D8E">
        <w:rPr>
          <w:rStyle w:val="Odkaznapoznmkupodiarou"/>
          <w:rFonts w:asciiTheme="majorHAnsi" w:hAnsiTheme="majorHAnsi"/>
          <w:szCs w:val="20"/>
          <w:lang w:eastAsia="ar-SA"/>
        </w:rPr>
        <w:footnoteReference w:id="325"/>
      </w:r>
      <w:r w:rsidRPr="00E96D8E">
        <w:rPr>
          <w:rFonts w:asciiTheme="majorHAnsi" w:hAnsiTheme="majorHAnsi"/>
          <w:szCs w:val="20"/>
          <w:lang w:eastAsia="ar-SA"/>
        </w:rPr>
        <w:t xml:space="preserve">, ktorá bude zastrešovať implementáciu viacerých finančných nástrojov v SR. Návrh implementácie pozostáva z vytvorenia fondu fondov a správcu, ktorý bude tento fond spravovať. Finančné zdroje vo výške minimálne 3 % zo zdrojov </w:t>
      </w:r>
      <w:r w:rsidR="00E95CF8" w:rsidRPr="00E96D8E">
        <w:rPr>
          <w:rFonts w:asciiTheme="majorHAnsi" w:hAnsiTheme="majorHAnsi"/>
          <w:szCs w:val="20"/>
          <w:lang w:eastAsia="ar-SA"/>
        </w:rPr>
        <w:t>štrukturálnych fondov a Kohézneho fondu</w:t>
      </w:r>
      <w:r w:rsidR="00575ABC" w:rsidRPr="00E96D8E">
        <w:rPr>
          <w:rFonts w:asciiTheme="majorHAnsi" w:hAnsiTheme="majorHAnsi"/>
          <w:szCs w:val="20"/>
          <w:lang w:eastAsia="ar-SA"/>
        </w:rPr>
        <w:t xml:space="preserve"> </w:t>
      </w:r>
      <w:r w:rsidRPr="00E96D8E">
        <w:rPr>
          <w:rFonts w:asciiTheme="majorHAnsi" w:hAnsiTheme="majorHAnsi"/>
          <w:szCs w:val="20"/>
          <w:lang w:eastAsia="ar-SA"/>
        </w:rPr>
        <w:t>budú alokované na implementáciu finančných nástrojov prostredníctvom Slovenského investičného holdingu.</w:t>
      </w:r>
      <w:r w:rsidRPr="00186CED">
        <w:rPr>
          <w:rFonts w:asciiTheme="majorHAnsi" w:hAnsiTheme="majorHAnsi"/>
          <w:szCs w:val="20"/>
          <w:lang w:eastAsia="ar-SA"/>
        </w:rPr>
        <w:t xml:space="preserve"> Príslušné aktivity bude možné podporiť rôznymi finančnými produktmi (</w:t>
      </w:r>
      <w:r w:rsidR="00670229">
        <w:rPr>
          <w:rFonts w:asciiTheme="majorHAnsi" w:hAnsiTheme="majorHAnsi"/>
          <w:szCs w:val="20"/>
          <w:lang w:eastAsia="ar-SA"/>
        </w:rPr>
        <w:t xml:space="preserve">napr. </w:t>
      </w:r>
      <w:r w:rsidRPr="00186CED">
        <w:rPr>
          <w:rFonts w:asciiTheme="majorHAnsi" w:hAnsiTheme="majorHAnsi"/>
          <w:szCs w:val="20"/>
          <w:lang w:eastAsia="ar-SA"/>
        </w:rPr>
        <w:t>úvery, záruky, kapitálové vklady, mezzanine a pod). Príslušné investičné oblasti, konkrétne aktivity, vhodný objem prostriedkov a podmienky implementácie konkrétnych finančných nástrojov</w:t>
      </w:r>
      <w:r w:rsidR="004D2249">
        <w:rPr>
          <w:rFonts w:asciiTheme="majorHAnsi" w:hAnsiTheme="majorHAnsi"/>
          <w:szCs w:val="20"/>
          <w:lang w:eastAsia="ar-SA"/>
        </w:rPr>
        <w:t>,</w:t>
      </w:r>
      <w:r w:rsidRPr="00186CED">
        <w:rPr>
          <w:rFonts w:asciiTheme="majorHAnsi" w:hAnsiTheme="majorHAnsi"/>
          <w:szCs w:val="20"/>
          <w:lang w:eastAsia="ar-SA"/>
        </w:rPr>
        <w:t xml:space="preserve"> vrátane možného znásobenia alokovaných prostriedkov a ich kombinácie s inými formami podpory</w:t>
      </w:r>
      <w:r w:rsidR="004D2249">
        <w:rPr>
          <w:rFonts w:asciiTheme="majorHAnsi" w:hAnsiTheme="majorHAnsi"/>
          <w:szCs w:val="20"/>
          <w:lang w:eastAsia="ar-SA"/>
        </w:rPr>
        <w:t>,</w:t>
      </w:r>
      <w:r w:rsidRPr="00186CED">
        <w:rPr>
          <w:rFonts w:asciiTheme="majorHAnsi" w:hAnsiTheme="majorHAnsi"/>
          <w:szCs w:val="20"/>
          <w:lang w:eastAsia="ar-SA"/>
        </w:rPr>
        <w:t xml:space="preserve"> budú vychádzať z výsledkov dodatočného ex ante hodnotenia pre finančné nástroje, vyžadovaného legislatívou </w:t>
      </w:r>
      <w:r w:rsidR="00670229">
        <w:rPr>
          <w:rFonts w:asciiTheme="majorHAnsi" w:hAnsiTheme="majorHAnsi"/>
          <w:szCs w:val="20"/>
          <w:lang w:eastAsia="ar-SA"/>
        </w:rPr>
        <w:t>na</w:t>
      </w:r>
      <w:r w:rsidR="00670229" w:rsidRPr="00186CED">
        <w:rPr>
          <w:rFonts w:asciiTheme="majorHAnsi" w:hAnsiTheme="majorHAnsi"/>
          <w:szCs w:val="20"/>
          <w:lang w:eastAsia="ar-SA"/>
        </w:rPr>
        <w:t xml:space="preserve"> </w:t>
      </w:r>
      <w:r w:rsidRPr="00186CED">
        <w:rPr>
          <w:rFonts w:asciiTheme="majorHAnsi" w:hAnsiTheme="majorHAnsi"/>
          <w:szCs w:val="20"/>
          <w:lang w:eastAsia="ar-SA"/>
        </w:rPr>
        <w:t xml:space="preserve">programové obdobie 2014 – 2020. So skupinou EIB prebieha spolupráca v otázke vypracovania zmieneného ex ante hodnotenia pre využitie finančných nástrojov v SR v programovom období 2014 – 2020, ktorého finalizácia sa očakáva </w:t>
      </w:r>
      <w:r w:rsidR="00493A6C">
        <w:rPr>
          <w:rFonts w:asciiTheme="majorHAnsi" w:hAnsiTheme="majorHAnsi"/>
          <w:szCs w:val="20"/>
          <w:lang w:eastAsia="ar-SA"/>
        </w:rPr>
        <w:t>do</w:t>
      </w:r>
      <w:r w:rsidR="00D43A3A">
        <w:rPr>
          <w:rFonts w:asciiTheme="majorHAnsi" w:hAnsiTheme="majorHAnsi"/>
          <w:szCs w:val="20"/>
          <w:lang w:eastAsia="ar-SA"/>
        </w:rPr>
        <w:t xml:space="preserve"> 31. augusta</w:t>
      </w:r>
      <w:r w:rsidRPr="00186CED">
        <w:rPr>
          <w:rFonts w:asciiTheme="majorHAnsi" w:hAnsiTheme="majorHAnsi"/>
          <w:szCs w:val="20"/>
          <w:lang w:eastAsia="ar-SA"/>
        </w:rPr>
        <w:t xml:space="preserve"> 2014. Po vypracovaní ex ante hodnotenia môže spolupráca so skupinou EIB v otázke implementácie finančných nástrojov v</w:t>
      </w:r>
      <w:r w:rsidR="00546908">
        <w:rPr>
          <w:rFonts w:asciiTheme="majorHAnsi" w:hAnsiTheme="majorHAnsi"/>
          <w:szCs w:val="20"/>
          <w:lang w:eastAsia="ar-SA"/>
        </w:rPr>
        <w:t> </w:t>
      </w:r>
      <w:r w:rsidRPr="00186CED">
        <w:rPr>
          <w:rFonts w:asciiTheme="majorHAnsi" w:hAnsiTheme="majorHAnsi"/>
          <w:szCs w:val="20"/>
          <w:lang w:eastAsia="ar-SA"/>
        </w:rPr>
        <w:t>SR v programovom období 2014 – 2020 pokračovať</w:t>
      </w:r>
      <w:r w:rsidR="00670229">
        <w:rPr>
          <w:rFonts w:asciiTheme="majorHAnsi" w:hAnsiTheme="majorHAnsi"/>
          <w:szCs w:val="20"/>
          <w:lang w:eastAsia="ar-SA"/>
        </w:rPr>
        <w:t>, a</w:t>
      </w:r>
      <w:r w:rsidR="00546908">
        <w:rPr>
          <w:rFonts w:asciiTheme="majorHAnsi" w:hAnsiTheme="majorHAnsi"/>
          <w:szCs w:val="20"/>
          <w:lang w:eastAsia="ar-SA"/>
        </w:rPr>
        <w:t> </w:t>
      </w:r>
      <w:r w:rsidR="00670229">
        <w:rPr>
          <w:rFonts w:asciiTheme="majorHAnsi" w:hAnsiTheme="majorHAnsi"/>
          <w:szCs w:val="20"/>
          <w:lang w:eastAsia="ar-SA"/>
        </w:rPr>
        <w:t>to</w:t>
      </w:r>
      <w:r w:rsidR="00546908">
        <w:rPr>
          <w:rFonts w:asciiTheme="majorHAnsi" w:hAnsiTheme="majorHAnsi"/>
          <w:szCs w:val="20"/>
          <w:lang w:eastAsia="ar-SA"/>
        </w:rPr>
        <w:t xml:space="preserve"> </w:t>
      </w:r>
      <w:r w:rsidRPr="00186CED">
        <w:rPr>
          <w:rFonts w:asciiTheme="majorHAnsi" w:hAnsiTheme="majorHAnsi"/>
          <w:szCs w:val="20"/>
          <w:lang w:eastAsia="ar-SA"/>
        </w:rPr>
        <w:t xml:space="preserve">v oblastiach poradenstva a spolufinancovania. V súčasnosti je na území SR identifikovaných viacero projektov, ktoré spĺňajú </w:t>
      </w:r>
      <w:r w:rsidR="00670229">
        <w:rPr>
          <w:rFonts w:asciiTheme="majorHAnsi" w:hAnsiTheme="majorHAnsi"/>
          <w:szCs w:val="20"/>
          <w:lang w:eastAsia="ar-SA"/>
        </w:rPr>
        <w:t>uvedené</w:t>
      </w:r>
      <w:r w:rsidRPr="00186CED">
        <w:rPr>
          <w:rFonts w:asciiTheme="majorHAnsi" w:hAnsiTheme="majorHAnsi"/>
          <w:szCs w:val="20"/>
          <w:lang w:eastAsia="ar-SA"/>
        </w:rPr>
        <w:t xml:space="preserve"> kritéria, ako sú napr</w:t>
      </w:r>
      <w:r w:rsidR="00670229">
        <w:rPr>
          <w:rFonts w:asciiTheme="majorHAnsi" w:hAnsiTheme="majorHAnsi"/>
          <w:szCs w:val="20"/>
          <w:lang w:eastAsia="ar-SA"/>
        </w:rPr>
        <w:t>.</w:t>
      </w:r>
      <w:r w:rsidRPr="00186CED">
        <w:rPr>
          <w:rFonts w:asciiTheme="majorHAnsi" w:hAnsiTheme="majorHAnsi"/>
          <w:szCs w:val="20"/>
          <w:lang w:eastAsia="ar-SA"/>
        </w:rPr>
        <w:t xml:space="preserve"> diaľnice, obchvaty, rýchlostné cesty, zvyšovanie energetickej efektívnosti v budovách a v podnikoch, využitie </w:t>
      </w:r>
      <w:r w:rsidR="00546908">
        <w:rPr>
          <w:rFonts w:asciiTheme="majorHAnsi" w:hAnsiTheme="majorHAnsi"/>
          <w:szCs w:val="20"/>
          <w:lang w:eastAsia="ar-SA"/>
        </w:rPr>
        <w:t>OZE</w:t>
      </w:r>
      <w:r w:rsidRPr="00186CED">
        <w:rPr>
          <w:rFonts w:asciiTheme="majorHAnsi" w:hAnsiTheme="majorHAnsi"/>
          <w:szCs w:val="20"/>
          <w:lang w:eastAsia="ar-SA"/>
        </w:rPr>
        <w:t>, podpora MSP, spracovanie odpadov, revitalizácia mestských častí a podobne. Podľa predbežných analýz je potenciál pre finančné nástroje najmä v investičných oblastiach ako infraštruktúra, energetika, odpadové hospodárstvo, MSP, VaI a mestský rozvoj.</w:t>
      </w:r>
    </w:p>
    <w:p w:rsidR="00805F23" w:rsidRDefault="00226436" w:rsidP="002377D3">
      <w:pPr>
        <w:rPr>
          <w:rFonts w:asciiTheme="majorHAnsi" w:hAnsiTheme="majorHAnsi"/>
          <w:szCs w:val="20"/>
          <w:lang w:eastAsia="ar-SA"/>
        </w:rPr>
      </w:pPr>
      <w:r w:rsidRPr="00226436">
        <w:rPr>
          <w:rFonts w:asciiTheme="majorHAnsi" w:hAnsiTheme="majorHAnsi"/>
          <w:szCs w:val="20"/>
          <w:lang w:eastAsia="ar-SA"/>
        </w:rPr>
        <w:t>V</w:t>
      </w:r>
      <w:r>
        <w:rPr>
          <w:rFonts w:asciiTheme="majorHAnsi" w:hAnsiTheme="majorHAnsi"/>
          <w:szCs w:val="20"/>
          <w:lang w:eastAsia="ar-SA"/>
        </w:rPr>
        <w:t xml:space="preserve"> programovom </w:t>
      </w:r>
      <w:r w:rsidRPr="00226436">
        <w:rPr>
          <w:rFonts w:asciiTheme="majorHAnsi" w:hAnsiTheme="majorHAnsi"/>
          <w:szCs w:val="20"/>
          <w:lang w:eastAsia="ar-SA"/>
        </w:rPr>
        <w:t>období 2014 – 2020 bude SR realizovať program zameraný na pomoc najodkázanejším osobám</w:t>
      </w:r>
      <w:r>
        <w:rPr>
          <w:rFonts w:asciiTheme="majorHAnsi" w:hAnsiTheme="majorHAnsi"/>
          <w:szCs w:val="20"/>
          <w:lang w:eastAsia="ar-SA"/>
        </w:rPr>
        <w:t>, t.</w:t>
      </w:r>
      <w:r w:rsidR="00805F23">
        <w:rPr>
          <w:rFonts w:asciiTheme="majorHAnsi" w:hAnsiTheme="majorHAnsi"/>
          <w:szCs w:val="20"/>
          <w:lang w:eastAsia="ar-SA"/>
        </w:rPr>
        <w:t xml:space="preserve"> </w:t>
      </w:r>
      <w:r>
        <w:rPr>
          <w:rFonts w:asciiTheme="majorHAnsi" w:hAnsiTheme="majorHAnsi"/>
          <w:szCs w:val="20"/>
          <w:lang w:eastAsia="ar-SA"/>
        </w:rPr>
        <w:t>j. Fond Európskej pomoci pre najodkázanejšie osoby (</w:t>
      </w:r>
      <w:r w:rsidR="00805F23">
        <w:rPr>
          <w:rFonts w:asciiTheme="majorHAnsi" w:hAnsiTheme="majorHAnsi"/>
          <w:szCs w:val="20"/>
          <w:lang w:eastAsia="ar-SA"/>
        </w:rPr>
        <w:t>ďalej len „</w:t>
      </w:r>
      <w:r>
        <w:rPr>
          <w:rFonts w:asciiTheme="majorHAnsi" w:hAnsiTheme="majorHAnsi"/>
          <w:szCs w:val="20"/>
          <w:lang w:eastAsia="ar-SA"/>
        </w:rPr>
        <w:t>FEAD</w:t>
      </w:r>
      <w:r w:rsidR="00805F23">
        <w:rPr>
          <w:rFonts w:asciiTheme="majorHAnsi" w:hAnsiTheme="majorHAnsi"/>
          <w:szCs w:val="20"/>
          <w:lang w:eastAsia="ar-SA"/>
        </w:rPr>
        <w:t>“</w:t>
      </w:r>
      <w:r>
        <w:rPr>
          <w:rFonts w:asciiTheme="majorHAnsi" w:hAnsiTheme="majorHAnsi"/>
          <w:szCs w:val="20"/>
          <w:lang w:eastAsia="ar-SA"/>
        </w:rPr>
        <w:t>)</w:t>
      </w:r>
      <w:r w:rsidRPr="00226436">
        <w:rPr>
          <w:rFonts w:asciiTheme="majorHAnsi" w:hAnsiTheme="majorHAnsi"/>
          <w:szCs w:val="20"/>
          <w:lang w:eastAsia="ar-SA"/>
        </w:rPr>
        <w:t>.</w:t>
      </w:r>
      <w:r w:rsidR="004D2249">
        <w:rPr>
          <w:rFonts w:asciiTheme="majorHAnsi" w:hAnsiTheme="majorHAnsi"/>
          <w:szCs w:val="20"/>
          <w:lang w:eastAsia="ar-SA"/>
        </w:rPr>
        <w:t xml:space="preserve"> </w:t>
      </w:r>
      <w:r w:rsidRPr="00226436">
        <w:rPr>
          <w:rFonts w:asciiTheme="majorHAnsi" w:hAnsiTheme="majorHAnsi"/>
          <w:szCs w:val="20"/>
          <w:lang w:eastAsia="ar-SA"/>
        </w:rPr>
        <w:t>Poskytovaním potravinovej a</w:t>
      </w:r>
      <w:r w:rsidR="00805F23">
        <w:rPr>
          <w:rFonts w:asciiTheme="majorHAnsi" w:hAnsiTheme="majorHAnsi"/>
          <w:szCs w:val="20"/>
          <w:lang w:eastAsia="ar-SA"/>
        </w:rPr>
        <w:t> </w:t>
      </w:r>
      <w:r w:rsidRPr="00226436">
        <w:rPr>
          <w:rFonts w:asciiTheme="majorHAnsi" w:hAnsiTheme="majorHAnsi"/>
          <w:szCs w:val="20"/>
          <w:lang w:eastAsia="ar-SA"/>
        </w:rPr>
        <w:t xml:space="preserve">základnej materiálnej pomoci </w:t>
      </w:r>
      <w:r w:rsidR="00670229">
        <w:rPr>
          <w:rFonts w:asciiTheme="majorHAnsi" w:hAnsiTheme="majorHAnsi"/>
          <w:szCs w:val="20"/>
          <w:lang w:eastAsia="ar-SA"/>
        </w:rPr>
        <w:t>v</w:t>
      </w:r>
      <w:r w:rsidR="00546908">
        <w:rPr>
          <w:rFonts w:asciiTheme="majorHAnsi" w:hAnsiTheme="majorHAnsi"/>
          <w:szCs w:val="20"/>
          <w:lang w:eastAsia="ar-SA"/>
        </w:rPr>
        <w:t> </w:t>
      </w:r>
      <w:r w:rsidR="00670229">
        <w:rPr>
          <w:rFonts w:asciiTheme="majorHAnsi" w:hAnsiTheme="majorHAnsi"/>
          <w:szCs w:val="20"/>
          <w:lang w:eastAsia="ar-SA"/>
        </w:rPr>
        <w:t>rámci</w:t>
      </w:r>
      <w:r w:rsidR="00546908">
        <w:rPr>
          <w:rFonts w:asciiTheme="majorHAnsi" w:hAnsiTheme="majorHAnsi"/>
          <w:szCs w:val="20"/>
          <w:lang w:eastAsia="ar-SA"/>
        </w:rPr>
        <w:t xml:space="preserve"> </w:t>
      </w:r>
      <w:r w:rsidRPr="00226436">
        <w:rPr>
          <w:rFonts w:asciiTheme="majorHAnsi" w:hAnsiTheme="majorHAnsi"/>
          <w:szCs w:val="20"/>
          <w:lang w:eastAsia="ar-SA"/>
        </w:rPr>
        <w:t>programu FEAD sa rozšíri možnosť podpory najodkázanejších osôb v</w:t>
      </w:r>
      <w:r w:rsidR="00805F23">
        <w:rPr>
          <w:rFonts w:asciiTheme="majorHAnsi" w:hAnsiTheme="majorHAnsi"/>
          <w:szCs w:val="20"/>
          <w:lang w:eastAsia="ar-SA"/>
        </w:rPr>
        <w:t> </w:t>
      </w:r>
      <w:r w:rsidRPr="00226436">
        <w:rPr>
          <w:rFonts w:asciiTheme="majorHAnsi" w:hAnsiTheme="majorHAnsi"/>
          <w:szCs w:val="20"/>
          <w:lang w:eastAsia="ar-SA"/>
        </w:rPr>
        <w:t xml:space="preserve">krízových životných situáciách. </w:t>
      </w:r>
      <w:r w:rsidR="00670229">
        <w:rPr>
          <w:rFonts w:asciiTheme="majorHAnsi" w:hAnsiTheme="majorHAnsi"/>
          <w:szCs w:val="20"/>
          <w:lang w:eastAsia="ar-SA"/>
        </w:rPr>
        <w:t>Navrhovaný</w:t>
      </w:r>
      <w:r w:rsidRPr="00226436">
        <w:rPr>
          <w:rFonts w:asciiTheme="majorHAnsi" w:hAnsiTheme="majorHAnsi"/>
          <w:szCs w:val="20"/>
          <w:lang w:eastAsia="ar-SA"/>
        </w:rPr>
        <w:t xml:space="preserve"> fond bude slúžiť na zmiernenie problému potravinovej a</w:t>
      </w:r>
      <w:r w:rsidR="00805F23">
        <w:rPr>
          <w:rFonts w:asciiTheme="majorHAnsi" w:hAnsiTheme="majorHAnsi"/>
          <w:szCs w:val="20"/>
          <w:lang w:eastAsia="ar-SA"/>
        </w:rPr>
        <w:t> </w:t>
      </w:r>
      <w:r w:rsidRPr="00226436">
        <w:rPr>
          <w:rFonts w:asciiTheme="majorHAnsi" w:hAnsiTheme="majorHAnsi"/>
          <w:szCs w:val="20"/>
          <w:lang w:eastAsia="ar-SA"/>
        </w:rPr>
        <w:t>materiálnej deprivácie (v rozsahu základného spotrebného tovaru na osobné použitie) najodkázanejších osôb. Poskytovanie nefinančnej pomoci bude doplnené sprievodnými opatreniami sociálnej inklúzie, ktoré majú prispievať k</w:t>
      </w:r>
      <w:r w:rsidR="00805F23">
        <w:rPr>
          <w:rFonts w:asciiTheme="majorHAnsi" w:hAnsiTheme="majorHAnsi"/>
          <w:szCs w:val="20"/>
          <w:lang w:eastAsia="ar-SA"/>
        </w:rPr>
        <w:t> </w:t>
      </w:r>
      <w:r w:rsidRPr="00226436">
        <w:rPr>
          <w:rFonts w:asciiTheme="majorHAnsi" w:hAnsiTheme="majorHAnsi"/>
          <w:szCs w:val="20"/>
          <w:lang w:eastAsia="ar-SA"/>
        </w:rPr>
        <w:t xml:space="preserve">sociálnej reintegrácii najodkázanejších osôb. Cieľovou skupinou pomoci budú najodkázanejšie osoby, ktorými </w:t>
      </w:r>
      <w:r w:rsidRPr="00226436">
        <w:rPr>
          <w:rFonts w:asciiTheme="majorHAnsi" w:hAnsiTheme="majorHAnsi"/>
          <w:szCs w:val="20"/>
          <w:lang w:eastAsia="ar-SA"/>
        </w:rPr>
        <w:lastRenderedPageBreak/>
        <w:t>môžu byť jednotlivci, rodiny, domácnosti alebo skupiny zložené z</w:t>
      </w:r>
      <w:r w:rsidR="00805F23">
        <w:rPr>
          <w:rFonts w:asciiTheme="majorHAnsi" w:hAnsiTheme="majorHAnsi"/>
          <w:szCs w:val="20"/>
          <w:lang w:eastAsia="ar-SA"/>
        </w:rPr>
        <w:t> </w:t>
      </w:r>
      <w:r w:rsidRPr="00226436">
        <w:rPr>
          <w:rFonts w:asciiTheme="majorHAnsi" w:hAnsiTheme="majorHAnsi"/>
          <w:szCs w:val="20"/>
          <w:lang w:eastAsia="ar-SA"/>
        </w:rPr>
        <w:t>uvedených osôb, v</w:t>
      </w:r>
      <w:r w:rsidR="00805F23">
        <w:rPr>
          <w:rFonts w:asciiTheme="majorHAnsi" w:hAnsiTheme="majorHAnsi"/>
          <w:szCs w:val="20"/>
          <w:lang w:eastAsia="ar-SA"/>
        </w:rPr>
        <w:t> </w:t>
      </w:r>
      <w:r w:rsidRPr="00226436">
        <w:rPr>
          <w:rFonts w:asciiTheme="majorHAnsi" w:hAnsiTheme="majorHAnsi"/>
          <w:szCs w:val="20"/>
          <w:lang w:eastAsia="ar-SA"/>
        </w:rPr>
        <w:t>prípade ktorých sa zistí potreba pomoci na základe objektívnych kritérií prijatých na účel pomoci z</w:t>
      </w:r>
      <w:r w:rsidR="00805F23">
        <w:rPr>
          <w:rFonts w:asciiTheme="majorHAnsi" w:hAnsiTheme="majorHAnsi"/>
          <w:szCs w:val="20"/>
          <w:lang w:eastAsia="ar-SA"/>
        </w:rPr>
        <w:t> </w:t>
      </w:r>
      <w:r w:rsidRPr="00226436">
        <w:rPr>
          <w:rFonts w:asciiTheme="majorHAnsi" w:hAnsiTheme="majorHAnsi"/>
          <w:szCs w:val="20"/>
          <w:lang w:eastAsia="ar-SA"/>
        </w:rPr>
        <w:t>tohto fondu</w:t>
      </w:r>
      <w:r w:rsidR="00670229">
        <w:rPr>
          <w:rFonts w:asciiTheme="majorHAnsi" w:hAnsiTheme="majorHAnsi"/>
          <w:szCs w:val="20"/>
          <w:lang w:eastAsia="ar-SA"/>
        </w:rPr>
        <w:t xml:space="preserve"> EÚ</w:t>
      </w:r>
      <w:r w:rsidRPr="00226436">
        <w:rPr>
          <w:rFonts w:asciiTheme="majorHAnsi" w:hAnsiTheme="majorHAnsi"/>
          <w:szCs w:val="20"/>
          <w:lang w:eastAsia="ar-SA"/>
        </w:rPr>
        <w:t>.</w:t>
      </w:r>
    </w:p>
    <w:p w:rsidR="005C4276" w:rsidRPr="00A11FE0" w:rsidRDefault="005C4276" w:rsidP="006F002B">
      <w:pPr>
        <w:pStyle w:val="Nadpis2"/>
        <w:numPr>
          <w:ilvl w:val="1"/>
          <w:numId w:val="2"/>
        </w:numPr>
      </w:pPr>
      <w:bookmarkStart w:id="645" w:name="_Toc490655230"/>
      <w:r w:rsidRPr="00A11FE0">
        <w:t xml:space="preserve">Informácie potrebné na overenie </w:t>
      </w:r>
      <w:r w:rsidR="009F6220">
        <w:t xml:space="preserve">ex ante </w:t>
      </w:r>
      <w:r w:rsidR="00BD5FD5">
        <w:t>s</w:t>
      </w:r>
      <w:r w:rsidRPr="00A11FE0">
        <w:t xml:space="preserve">úladu </w:t>
      </w:r>
      <w:r w:rsidR="00BD5FD5">
        <w:t>s</w:t>
      </w:r>
      <w:r w:rsidRPr="00A11FE0">
        <w:t> pravidlami o doplnkovosti</w:t>
      </w:r>
      <w:bookmarkEnd w:id="644"/>
      <w:bookmarkEnd w:id="645"/>
    </w:p>
    <w:p w:rsidR="005C4276" w:rsidRDefault="001B6E3E" w:rsidP="005C4276">
      <w:pPr>
        <w:rPr>
          <w:rFonts w:asciiTheme="majorHAnsi" w:hAnsiTheme="majorHAnsi"/>
          <w:szCs w:val="20"/>
          <w:lang w:eastAsia="ar-SA"/>
        </w:rPr>
      </w:pPr>
      <w:r w:rsidRPr="001B6E3E">
        <w:rPr>
          <w:rFonts w:asciiTheme="majorHAnsi" w:hAnsiTheme="majorHAnsi"/>
          <w:szCs w:val="20"/>
          <w:lang w:eastAsia="ar-SA"/>
        </w:rPr>
        <w:t xml:space="preserve">Verejné investície </w:t>
      </w:r>
      <w:r w:rsidR="00670229">
        <w:rPr>
          <w:rFonts w:asciiTheme="majorHAnsi" w:hAnsiTheme="majorHAnsi"/>
          <w:szCs w:val="20"/>
          <w:lang w:eastAsia="ar-SA"/>
        </w:rPr>
        <w:t>z</w:t>
      </w:r>
      <w:r w:rsidRPr="001B6E3E">
        <w:rPr>
          <w:rFonts w:asciiTheme="majorHAnsi" w:hAnsiTheme="majorHAnsi"/>
          <w:szCs w:val="20"/>
          <w:lang w:eastAsia="ar-SA"/>
        </w:rPr>
        <w:t xml:space="preserve">ostávajú pre SR prioritou. Napriek prísnym rozpočtovým cieľom a pokračujúcej konsolidácii verejných financií, v roku 2014 dosiahne tvorba hrubého fixného kapitálu vo verejnej správe (P.51) 1,5 % HDP. </w:t>
      </w:r>
      <w:r w:rsidR="00B24B8B">
        <w:rPr>
          <w:rFonts w:asciiTheme="majorHAnsi" w:hAnsiTheme="majorHAnsi"/>
          <w:szCs w:val="20"/>
          <w:lang w:eastAsia="ar-SA"/>
        </w:rPr>
        <w:t>SR</w:t>
      </w:r>
      <w:r w:rsidRPr="001B6E3E">
        <w:rPr>
          <w:rFonts w:asciiTheme="majorHAnsi" w:hAnsiTheme="majorHAnsi"/>
          <w:szCs w:val="20"/>
          <w:lang w:eastAsia="ar-SA"/>
        </w:rPr>
        <w:t xml:space="preserve"> následne v roku 2015 zvýši tvorbu hrubého fixného kapitálu na 2,1 % HDP a túto úroveň udrží do roku 2020. Celkové priemerné verejné investície v programovom období 2014 – 2020 merané tvorbou hrubého fixného kapitálu (P.51) prekročia 2 % HDP ročne.</w:t>
      </w:r>
    </w:p>
    <w:p w:rsidR="005C4276" w:rsidRPr="00551BEB" w:rsidRDefault="000D2E63" w:rsidP="00551BEB">
      <w:pPr>
        <w:pStyle w:val="Popis"/>
        <w:keepNext/>
        <w:spacing w:after="0"/>
        <w:rPr>
          <w:rFonts w:asciiTheme="majorHAnsi" w:hAnsiTheme="majorHAnsi"/>
          <w:sz w:val="18"/>
          <w:szCs w:val="18"/>
        </w:rPr>
      </w:pPr>
      <w:r w:rsidRPr="004274FF">
        <w:rPr>
          <w:rFonts w:asciiTheme="majorHAnsi" w:hAnsiTheme="majorHAnsi"/>
          <w:b w:val="0"/>
          <w:sz w:val="18"/>
          <w:szCs w:val="18"/>
        </w:rPr>
        <w:t xml:space="preserve">Tabuľka </w:t>
      </w:r>
      <w:r w:rsidR="004E018F" w:rsidRPr="004274FF">
        <w:rPr>
          <w:rFonts w:asciiTheme="majorHAnsi" w:hAnsiTheme="majorHAnsi"/>
          <w:b w:val="0"/>
          <w:sz w:val="18"/>
          <w:szCs w:val="18"/>
        </w:rPr>
        <w:t>1</w:t>
      </w:r>
      <w:r w:rsidRPr="004274FF">
        <w:rPr>
          <w:rFonts w:asciiTheme="majorHAnsi" w:hAnsiTheme="majorHAnsi"/>
          <w:b w:val="0"/>
          <w:sz w:val="18"/>
          <w:szCs w:val="18"/>
        </w:rPr>
        <w:fldChar w:fldCharType="begin"/>
      </w:r>
      <w:r w:rsidRPr="004274FF">
        <w:rPr>
          <w:rFonts w:asciiTheme="majorHAnsi" w:hAnsiTheme="majorHAnsi"/>
          <w:b w:val="0"/>
          <w:sz w:val="18"/>
          <w:szCs w:val="18"/>
        </w:rPr>
        <w:instrText xml:space="preserve"> SEQ Tabuľka \* ARABIC </w:instrText>
      </w:r>
      <w:r w:rsidRPr="004274FF">
        <w:rPr>
          <w:rFonts w:asciiTheme="majorHAnsi" w:hAnsiTheme="majorHAnsi"/>
          <w:b w:val="0"/>
          <w:sz w:val="18"/>
          <w:szCs w:val="18"/>
        </w:rPr>
        <w:fldChar w:fldCharType="separate"/>
      </w:r>
      <w:r w:rsidR="00FA18BA" w:rsidRPr="004274FF">
        <w:rPr>
          <w:rFonts w:asciiTheme="majorHAnsi" w:hAnsiTheme="majorHAnsi"/>
          <w:b w:val="0"/>
          <w:noProof/>
          <w:sz w:val="18"/>
          <w:szCs w:val="18"/>
        </w:rPr>
        <w:t>6</w:t>
      </w:r>
      <w:r w:rsidRPr="004274FF">
        <w:rPr>
          <w:rFonts w:asciiTheme="majorHAnsi" w:hAnsiTheme="majorHAnsi"/>
          <w:b w:val="0"/>
          <w:sz w:val="18"/>
          <w:szCs w:val="18"/>
        </w:rPr>
        <w:fldChar w:fldCharType="end"/>
      </w:r>
      <w:r w:rsidR="00405F9B">
        <w:rPr>
          <w:rFonts w:asciiTheme="majorHAnsi" w:hAnsiTheme="majorHAnsi"/>
          <w:b w:val="0"/>
          <w:bCs w:val="0"/>
          <w:sz w:val="18"/>
          <w:szCs w:val="18"/>
        </w:rPr>
        <w:t xml:space="preserve">: </w:t>
      </w:r>
      <w:r w:rsidR="005C4276" w:rsidRPr="00551BEB">
        <w:rPr>
          <w:rFonts w:asciiTheme="majorHAnsi" w:hAnsiTheme="majorHAnsi"/>
          <w:b w:val="0"/>
          <w:bCs w:val="0"/>
          <w:sz w:val="18"/>
          <w:szCs w:val="18"/>
        </w:rPr>
        <w:t>Na</w:t>
      </w:r>
      <w:r w:rsidR="00323F70" w:rsidRPr="00551BEB">
        <w:rPr>
          <w:rFonts w:asciiTheme="majorHAnsi" w:hAnsiTheme="majorHAnsi"/>
          <w:b w:val="0"/>
          <w:bCs w:val="0"/>
          <w:sz w:val="18"/>
          <w:szCs w:val="18"/>
        </w:rPr>
        <w:t xml:space="preserve"> </w:t>
      </w:r>
      <w:r w:rsidR="005C4276" w:rsidRPr="00551BEB">
        <w:rPr>
          <w:rFonts w:asciiTheme="majorHAnsi" w:hAnsiTheme="majorHAnsi"/>
          <w:b w:val="0"/>
          <w:bCs w:val="0"/>
          <w:sz w:val="18"/>
          <w:szCs w:val="18"/>
        </w:rPr>
        <w:t xml:space="preserve">národnej úrovni členských štátov EÚ, v </w:t>
      </w:r>
      <w:r w:rsidR="00BD5FD5" w:rsidRPr="00551BEB">
        <w:rPr>
          <w:rFonts w:asciiTheme="majorHAnsi" w:hAnsiTheme="majorHAnsi"/>
          <w:b w:val="0"/>
          <w:bCs w:val="0"/>
          <w:sz w:val="18"/>
          <w:szCs w:val="18"/>
        </w:rPr>
        <w:t>k</w:t>
      </w:r>
      <w:r w:rsidR="005C4276" w:rsidRPr="00551BEB">
        <w:rPr>
          <w:rFonts w:asciiTheme="majorHAnsi" w:hAnsiTheme="majorHAnsi"/>
          <w:b w:val="0"/>
          <w:bCs w:val="0"/>
          <w:sz w:val="18"/>
          <w:szCs w:val="18"/>
        </w:rPr>
        <w:t xml:space="preserve">torých menej rozvinuté regióny zahŕňajú </w:t>
      </w:r>
      <w:r w:rsidR="00BD5FD5" w:rsidRPr="00551BEB">
        <w:rPr>
          <w:rFonts w:asciiTheme="majorHAnsi" w:hAnsiTheme="majorHAnsi"/>
          <w:b w:val="0"/>
          <w:bCs w:val="0"/>
          <w:sz w:val="18"/>
          <w:szCs w:val="18"/>
        </w:rPr>
        <w:t>as</w:t>
      </w:r>
      <w:r w:rsidR="005C4276" w:rsidRPr="00551BEB">
        <w:rPr>
          <w:rFonts w:asciiTheme="majorHAnsi" w:hAnsiTheme="majorHAnsi"/>
          <w:b w:val="0"/>
          <w:bCs w:val="0"/>
          <w:sz w:val="18"/>
          <w:szCs w:val="18"/>
        </w:rPr>
        <w:t>poň 65% z celkovej populácie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924"/>
        <w:gridCol w:w="936"/>
        <w:gridCol w:w="768"/>
        <w:gridCol w:w="936"/>
        <w:gridCol w:w="936"/>
        <w:gridCol w:w="936"/>
        <w:gridCol w:w="936"/>
      </w:tblGrid>
      <w:tr w:rsidR="005C4276" w:rsidRPr="00A11FE0" w:rsidTr="004E4FDE">
        <w:trPr>
          <w:trHeight w:val="1042"/>
          <w:jc w:val="center"/>
        </w:trPr>
        <w:tc>
          <w:tcPr>
            <w:tcW w:w="2407" w:type="dxa"/>
            <w:vAlign w:val="center"/>
            <w:hideMark/>
          </w:tcPr>
          <w:p w:rsidR="005C4276" w:rsidRPr="00A11FE0" w:rsidRDefault="005C4276" w:rsidP="009B4CD7">
            <w:pPr>
              <w:autoSpaceDE w:val="0"/>
              <w:autoSpaceDN w:val="0"/>
              <w:adjustRightInd w:val="0"/>
              <w:jc w:val="center"/>
              <w:rPr>
                <w:rFonts w:asciiTheme="majorHAnsi" w:hAnsiTheme="majorHAnsi"/>
                <w:b/>
                <w:bCs/>
                <w:sz w:val="20"/>
                <w:szCs w:val="20"/>
              </w:rPr>
            </w:pPr>
            <w:r w:rsidRPr="00A11FE0">
              <w:rPr>
                <w:rFonts w:asciiTheme="majorHAnsi" w:hAnsiTheme="majorHAnsi"/>
                <w:b/>
                <w:bCs/>
                <w:sz w:val="20"/>
                <w:szCs w:val="20"/>
              </w:rPr>
              <w:t xml:space="preserve">Výdavky verejnej </w:t>
            </w:r>
            <w:r w:rsidR="00BD5FD5">
              <w:rPr>
                <w:rFonts w:asciiTheme="majorHAnsi" w:hAnsiTheme="majorHAnsi"/>
                <w:b/>
                <w:bCs/>
                <w:sz w:val="20"/>
                <w:szCs w:val="20"/>
              </w:rPr>
              <w:t>s</w:t>
            </w:r>
            <w:r w:rsidRPr="00A11FE0">
              <w:rPr>
                <w:rFonts w:asciiTheme="majorHAnsi" w:hAnsiTheme="majorHAnsi"/>
                <w:b/>
                <w:bCs/>
                <w:sz w:val="20"/>
                <w:szCs w:val="20"/>
              </w:rPr>
              <w:t xml:space="preserve">právy </w:t>
            </w:r>
            <w:r w:rsidR="00BD5FD5">
              <w:rPr>
                <w:rFonts w:asciiTheme="majorHAnsi" w:hAnsiTheme="majorHAnsi"/>
                <w:b/>
                <w:bCs/>
                <w:sz w:val="20"/>
                <w:szCs w:val="20"/>
              </w:rPr>
              <w:t>ak</w:t>
            </w:r>
            <w:r w:rsidRPr="00A11FE0">
              <w:rPr>
                <w:rFonts w:asciiTheme="majorHAnsi" w:hAnsiTheme="majorHAnsi"/>
                <w:b/>
                <w:bCs/>
                <w:sz w:val="20"/>
                <w:szCs w:val="20"/>
              </w:rPr>
              <w:t xml:space="preserve">o podiel na HDP </w:t>
            </w:r>
          </w:p>
        </w:tc>
        <w:tc>
          <w:tcPr>
            <w:tcW w:w="924"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2014</w:t>
            </w:r>
          </w:p>
        </w:tc>
        <w:tc>
          <w:tcPr>
            <w:tcW w:w="936"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2015</w:t>
            </w:r>
          </w:p>
        </w:tc>
        <w:tc>
          <w:tcPr>
            <w:tcW w:w="768"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2016</w:t>
            </w:r>
          </w:p>
        </w:tc>
        <w:tc>
          <w:tcPr>
            <w:tcW w:w="936"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2017</w:t>
            </w:r>
          </w:p>
        </w:tc>
        <w:tc>
          <w:tcPr>
            <w:tcW w:w="936"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2018</w:t>
            </w:r>
          </w:p>
        </w:tc>
        <w:tc>
          <w:tcPr>
            <w:tcW w:w="936"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2019</w:t>
            </w:r>
          </w:p>
        </w:tc>
        <w:tc>
          <w:tcPr>
            <w:tcW w:w="936"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2020</w:t>
            </w:r>
          </w:p>
        </w:tc>
      </w:tr>
      <w:tr w:rsidR="005C4276" w:rsidRPr="00A11FE0" w:rsidTr="004E4FDE">
        <w:trPr>
          <w:trHeight w:val="687"/>
          <w:jc w:val="center"/>
        </w:trPr>
        <w:tc>
          <w:tcPr>
            <w:tcW w:w="2407" w:type="dxa"/>
            <w:vAlign w:val="center"/>
            <w:hideMark/>
          </w:tcPr>
          <w:p w:rsidR="005C4276" w:rsidRPr="00A11FE0" w:rsidRDefault="005C4276" w:rsidP="00D97293">
            <w:pPr>
              <w:autoSpaceDE w:val="0"/>
              <w:autoSpaceDN w:val="0"/>
              <w:adjustRightInd w:val="0"/>
              <w:jc w:val="center"/>
              <w:rPr>
                <w:rFonts w:asciiTheme="majorHAnsi" w:hAnsiTheme="majorHAnsi"/>
                <w:b/>
                <w:bCs/>
              </w:rPr>
            </w:pPr>
            <w:r w:rsidRPr="00A11FE0">
              <w:rPr>
                <w:rFonts w:asciiTheme="majorHAnsi" w:hAnsiTheme="majorHAnsi"/>
                <w:b/>
                <w:bCs/>
              </w:rPr>
              <w:t>P51</w:t>
            </w:r>
          </w:p>
        </w:tc>
        <w:tc>
          <w:tcPr>
            <w:tcW w:w="924" w:type="dxa"/>
            <w:vAlign w:val="center"/>
          </w:tcPr>
          <w:p w:rsidR="005C4276" w:rsidRPr="00A11FE0" w:rsidRDefault="001B6E3E" w:rsidP="00D97293">
            <w:pPr>
              <w:autoSpaceDE w:val="0"/>
              <w:autoSpaceDN w:val="0"/>
              <w:adjustRightInd w:val="0"/>
              <w:jc w:val="center"/>
              <w:rPr>
                <w:rFonts w:asciiTheme="majorHAnsi" w:hAnsiTheme="majorHAnsi"/>
                <w:b/>
              </w:rPr>
            </w:pPr>
            <w:r>
              <w:rPr>
                <w:rFonts w:asciiTheme="majorHAnsi" w:hAnsiTheme="majorHAnsi"/>
                <w:b/>
              </w:rPr>
              <w:t>1</w:t>
            </w:r>
            <w:r w:rsidR="005C4276" w:rsidRPr="00A11FE0">
              <w:rPr>
                <w:rFonts w:asciiTheme="majorHAnsi" w:hAnsiTheme="majorHAnsi"/>
                <w:b/>
              </w:rPr>
              <w:t>,5</w:t>
            </w:r>
            <w:r>
              <w:rPr>
                <w:rFonts w:asciiTheme="majorHAnsi" w:hAnsiTheme="majorHAnsi"/>
                <w:b/>
              </w:rPr>
              <w:t xml:space="preserve"> </w:t>
            </w:r>
            <w:r w:rsidR="005C4276" w:rsidRPr="00A11FE0">
              <w:rPr>
                <w:rFonts w:asciiTheme="majorHAnsi" w:hAnsiTheme="majorHAnsi"/>
                <w:b/>
              </w:rPr>
              <w:t>%</w:t>
            </w:r>
          </w:p>
        </w:tc>
        <w:tc>
          <w:tcPr>
            <w:tcW w:w="936" w:type="dxa"/>
            <w:vAlign w:val="center"/>
          </w:tcPr>
          <w:p w:rsidR="005C4276" w:rsidRPr="00A11FE0" w:rsidRDefault="001B6E3E" w:rsidP="00D97293">
            <w:pPr>
              <w:autoSpaceDE w:val="0"/>
              <w:autoSpaceDN w:val="0"/>
              <w:adjustRightInd w:val="0"/>
              <w:jc w:val="center"/>
              <w:rPr>
                <w:rFonts w:asciiTheme="majorHAnsi" w:hAnsiTheme="majorHAnsi"/>
                <w:b/>
              </w:rPr>
            </w:pPr>
            <w:r>
              <w:rPr>
                <w:rFonts w:asciiTheme="majorHAnsi" w:hAnsiTheme="majorHAnsi"/>
                <w:b/>
              </w:rPr>
              <w:t xml:space="preserve">2,1 </w:t>
            </w:r>
            <w:r w:rsidR="005C4276" w:rsidRPr="00A11FE0">
              <w:rPr>
                <w:rFonts w:asciiTheme="majorHAnsi" w:hAnsiTheme="majorHAnsi"/>
                <w:b/>
              </w:rPr>
              <w:t>%</w:t>
            </w:r>
          </w:p>
        </w:tc>
        <w:tc>
          <w:tcPr>
            <w:tcW w:w="768" w:type="dxa"/>
            <w:vAlign w:val="center"/>
          </w:tcPr>
          <w:p w:rsidR="005C4276" w:rsidRPr="00A11FE0" w:rsidRDefault="005C4276" w:rsidP="001B6E3E">
            <w:pPr>
              <w:autoSpaceDE w:val="0"/>
              <w:autoSpaceDN w:val="0"/>
              <w:adjustRightInd w:val="0"/>
              <w:jc w:val="center"/>
              <w:rPr>
                <w:rFonts w:asciiTheme="majorHAnsi" w:hAnsiTheme="majorHAnsi"/>
                <w:b/>
              </w:rPr>
            </w:pPr>
            <w:r w:rsidRPr="00A11FE0">
              <w:rPr>
                <w:rFonts w:asciiTheme="majorHAnsi" w:hAnsiTheme="majorHAnsi"/>
                <w:b/>
              </w:rPr>
              <w:t>2,</w:t>
            </w:r>
            <w:r w:rsidR="001B6E3E">
              <w:rPr>
                <w:rFonts w:asciiTheme="majorHAnsi" w:hAnsiTheme="majorHAnsi"/>
                <w:b/>
              </w:rPr>
              <w:t xml:space="preserve">1 </w:t>
            </w:r>
            <w:r w:rsidRPr="00A11FE0">
              <w:rPr>
                <w:rFonts w:asciiTheme="majorHAnsi" w:hAnsiTheme="majorHAnsi"/>
                <w:b/>
              </w:rPr>
              <w:t>%</w:t>
            </w:r>
          </w:p>
        </w:tc>
        <w:tc>
          <w:tcPr>
            <w:tcW w:w="936" w:type="dxa"/>
            <w:vAlign w:val="center"/>
          </w:tcPr>
          <w:p w:rsidR="005C4276" w:rsidRPr="00A11FE0" w:rsidRDefault="001B6E3E" w:rsidP="00D97293">
            <w:pPr>
              <w:autoSpaceDE w:val="0"/>
              <w:autoSpaceDN w:val="0"/>
              <w:adjustRightInd w:val="0"/>
              <w:jc w:val="center"/>
              <w:rPr>
                <w:rFonts w:asciiTheme="majorHAnsi" w:hAnsiTheme="majorHAnsi"/>
                <w:b/>
              </w:rPr>
            </w:pPr>
            <w:r>
              <w:rPr>
                <w:rFonts w:asciiTheme="majorHAnsi" w:hAnsiTheme="majorHAnsi"/>
                <w:b/>
              </w:rPr>
              <w:t xml:space="preserve">2,1 </w:t>
            </w:r>
            <w:r w:rsidR="005C4276" w:rsidRPr="00A11FE0">
              <w:rPr>
                <w:rFonts w:asciiTheme="majorHAnsi" w:hAnsiTheme="majorHAnsi"/>
                <w:b/>
              </w:rPr>
              <w:t>%</w:t>
            </w:r>
          </w:p>
        </w:tc>
        <w:tc>
          <w:tcPr>
            <w:tcW w:w="936" w:type="dxa"/>
            <w:vAlign w:val="center"/>
          </w:tcPr>
          <w:p w:rsidR="005C4276" w:rsidRPr="00A11FE0" w:rsidRDefault="001B6E3E" w:rsidP="00D97293">
            <w:pPr>
              <w:autoSpaceDE w:val="0"/>
              <w:autoSpaceDN w:val="0"/>
              <w:adjustRightInd w:val="0"/>
              <w:jc w:val="center"/>
              <w:rPr>
                <w:rFonts w:asciiTheme="majorHAnsi" w:hAnsiTheme="majorHAnsi"/>
                <w:b/>
              </w:rPr>
            </w:pPr>
            <w:r>
              <w:rPr>
                <w:rFonts w:asciiTheme="majorHAnsi" w:hAnsiTheme="majorHAnsi"/>
                <w:b/>
              </w:rPr>
              <w:t xml:space="preserve">2,1 </w:t>
            </w:r>
            <w:r w:rsidR="005C4276" w:rsidRPr="00A11FE0">
              <w:rPr>
                <w:rFonts w:asciiTheme="majorHAnsi" w:hAnsiTheme="majorHAnsi"/>
                <w:b/>
              </w:rPr>
              <w:t>%</w:t>
            </w:r>
          </w:p>
        </w:tc>
        <w:tc>
          <w:tcPr>
            <w:tcW w:w="936" w:type="dxa"/>
            <w:vAlign w:val="center"/>
          </w:tcPr>
          <w:p w:rsidR="005C4276" w:rsidRPr="00A11FE0" w:rsidRDefault="001B6E3E" w:rsidP="00D97293">
            <w:pPr>
              <w:autoSpaceDE w:val="0"/>
              <w:autoSpaceDN w:val="0"/>
              <w:adjustRightInd w:val="0"/>
              <w:jc w:val="center"/>
              <w:rPr>
                <w:rFonts w:asciiTheme="majorHAnsi" w:hAnsiTheme="majorHAnsi"/>
                <w:b/>
              </w:rPr>
            </w:pPr>
            <w:r>
              <w:rPr>
                <w:rFonts w:asciiTheme="majorHAnsi" w:hAnsiTheme="majorHAnsi"/>
                <w:b/>
              </w:rPr>
              <w:t xml:space="preserve">2,1 </w:t>
            </w:r>
            <w:r w:rsidR="005C4276" w:rsidRPr="00A11FE0">
              <w:rPr>
                <w:rFonts w:asciiTheme="majorHAnsi" w:hAnsiTheme="majorHAnsi"/>
                <w:b/>
              </w:rPr>
              <w:t>%</w:t>
            </w:r>
          </w:p>
        </w:tc>
        <w:tc>
          <w:tcPr>
            <w:tcW w:w="936" w:type="dxa"/>
            <w:vAlign w:val="center"/>
          </w:tcPr>
          <w:p w:rsidR="005C4276" w:rsidRPr="00A11FE0" w:rsidRDefault="001B6E3E" w:rsidP="00D97293">
            <w:pPr>
              <w:autoSpaceDE w:val="0"/>
              <w:autoSpaceDN w:val="0"/>
              <w:adjustRightInd w:val="0"/>
              <w:jc w:val="center"/>
              <w:rPr>
                <w:rFonts w:asciiTheme="majorHAnsi" w:hAnsiTheme="majorHAnsi"/>
                <w:b/>
              </w:rPr>
            </w:pPr>
            <w:r>
              <w:rPr>
                <w:rFonts w:asciiTheme="majorHAnsi" w:hAnsiTheme="majorHAnsi"/>
                <w:b/>
              </w:rPr>
              <w:t xml:space="preserve">2,1 </w:t>
            </w:r>
            <w:r w:rsidR="005C4276" w:rsidRPr="00A11FE0">
              <w:rPr>
                <w:rFonts w:asciiTheme="majorHAnsi" w:hAnsiTheme="majorHAnsi"/>
                <w:b/>
              </w:rPr>
              <w:t>%</w:t>
            </w:r>
          </w:p>
        </w:tc>
      </w:tr>
    </w:tbl>
    <w:p w:rsidR="00E64777" w:rsidRPr="00361CFB" w:rsidRDefault="00BD5FD5" w:rsidP="006F002B">
      <w:pPr>
        <w:pStyle w:val="Nadpis2"/>
        <w:numPr>
          <w:ilvl w:val="1"/>
          <w:numId w:val="2"/>
        </w:numPr>
        <w:rPr>
          <w:u w:val="single"/>
        </w:rPr>
      </w:pPr>
      <w:bookmarkStart w:id="646" w:name="_Toc377406502"/>
      <w:bookmarkStart w:id="647" w:name="_Toc377406503"/>
      <w:bookmarkStart w:id="648" w:name="_Toc378168738"/>
      <w:bookmarkStart w:id="649" w:name="_Toc490655231"/>
      <w:bookmarkEnd w:id="646"/>
      <w:bookmarkEnd w:id="647"/>
      <w:r>
        <w:t>S</w:t>
      </w:r>
      <w:r w:rsidR="00A11FE0" w:rsidRPr="00A11FE0">
        <w:t>úhrn hodnoteni</w:t>
      </w:r>
      <w:r w:rsidR="009F6220">
        <w:t>a</w:t>
      </w:r>
      <w:r w:rsidR="00A11FE0" w:rsidRPr="00A11FE0">
        <w:t xml:space="preserve"> plnenia </w:t>
      </w:r>
      <w:r w:rsidR="009F6220">
        <w:t xml:space="preserve">použiteľných </w:t>
      </w:r>
      <w:r w:rsidR="00A11FE0" w:rsidRPr="00A11FE0">
        <w:t xml:space="preserve">ex </w:t>
      </w:r>
      <w:r>
        <w:t>a</w:t>
      </w:r>
      <w:r w:rsidR="00A11FE0" w:rsidRPr="00A11FE0">
        <w:t xml:space="preserve">nte </w:t>
      </w:r>
      <w:r>
        <w:t>k</w:t>
      </w:r>
      <w:r w:rsidR="00A11FE0" w:rsidRPr="00A11FE0">
        <w:t xml:space="preserve">ondicionalít na </w:t>
      </w:r>
      <w:r w:rsidR="009F6220">
        <w:t>národnej</w:t>
      </w:r>
      <w:r w:rsidR="009F6220" w:rsidRPr="00A11FE0">
        <w:t xml:space="preserve"> </w:t>
      </w:r>
      <w:r w:rsidR="00A11FE0" w:rsidRPr="00A11FE0">
        <w:t xml:space="preserve">úrovni </w:t>
      </w:r>
      <w:r>
        <w:t>a</w:t>
      </w:r>
      <w:r w:rsidR="009F6220">
        <w:t xml:space="preserve"> v prípade, že sa použiteľné ex ante kondicionality nesplnili, súhrn opatrení, ktoré sa majú vykonať, </w:t>
      </w:r>
      <w:r w:rsidR="00A11FE0" w:rsidRPr="00A11FE0">
        <w:t xml:space="preserve">zodpovedné orgány </w:t>
      </w:r>
      <w:r>
        <w:t>a</w:t>
      </w:r>
      <w:r w:rsidR="00794E0C">
        <w:t> </w:t>
      </w:r>
      <w:r w:rsidR="00A11FE0" w:rsidRPr="00A11FE0">
        <w:t>harmonogram vykon</w:t>
      </w:r>
      <w:r w:rsidR="009F6220">
        <w:t>ania týchto opatrení</w:t>
      </w:r>
      <w:bookmarkEnd w:id="648"/>
      <w:bookmarkEnd w:id="649"/>
    </w:p>
    <w:p w:rsidR="009F6220" w:rsidRPr="00361CFB" w:rsidRDefault="009F6220"/>
    <w:p w:rsidR="00A11FE0" w:rsidRPr="00361CFB" w:rsidRDefault="00A11FE0" w:rsidP="00A11FE0">
      <w:pPr>
        <w:rPr>
          <w:rFonts w:asciiTheme="majorHAnsi" w:hAnsiTheme="majorHAnsi" w:cs="Arial"/>
          <w:b/>
          <w:sz w:val="16"/>
          <w:szCs w:val="16"/>
        </w:rPr>
        <w:sectPr w:rsidR="00A11FE0" w:rsidRPr="00361CFB" w:rsidSect="00CF0755">
          <w:pgSz w:w="11906" w:h="16838" w:code="9"/>
          <w:pgMar w:top="1418" w:right="1418" w:bottom="1418" w:left="1418" w:header="709" w:footer="709" w:gutter="0"/>
          <w:cols w:space="708"/>
          <w:docGrid w:linePitch="360"/>
        </w:sectPr>
      </w:pPr>
    </w:p>
    <w:p w:rsidR="004E2D6C" w:rsidRPr="004E2D6C" w:rsidRDefault="004E2D6C" w:rsidP="004E2D6C">
      <w:pPr>
        <w:jc w:val="center"/>
        <w:rPr>
          <w:rFonts w:ascii="Calibri" w:hAnsi="Calibri"/>
          <w:b/>
          <w:sz w:val="24"/>
          <w:lang w:eastAsia="sk-SK"/>
        </w:rPr>
      </w:pPr>
      <w:r w:rsidRPr="004E2D6C">
        <w:rPr>
          <w:rFonts w:ascii="Calibri" w:hAnsi="Calibri"/>
          <w:b/>
          <w:sz w:val="24"/>
          <w:lang w:eastAsia="sk-SK"/>
        </w:rPr>
        <w:lastRenderedPageBreak/>
        <w:t>Vyhodnotenie plnenia ex ante kondicionalít</w:t>
      </w:r>
    </w:p>
    <w:p w:rsidR="004E2D6C" w:rsidRPr="004E2D6C" w:rsidRDefault="004E2D6C" w:rsidP="001C5C9E">
      <w:pPr>
        <w:numPr>
          <w:ilvl w:val="0"/>
          <w:numId w:val="57"/>
        </w:numPr>
        <w:spacing w:before="0" w:after="200" w:line="276" w:lineRule="auto"/>
        <w:ind w:left="426" w:hanging="437"/>
        <w:contextualSpacing/>
        <w:rPr>
          <w:rFonts w:ascii="Calibri" w:hAnsi="Calibri"/>
          <w:sz w:val="24"/>
          <w:lang w:eastAsia="sk-SK"/>
        </w:rPr>
      </w:pPr>
      <w:r w:rsidRPr="004E2D6C">
        <w:rPr>
          <w:rFonts w:ascii="Calibri" w:hAnsi="Calibri"/>
          <w:sz w:val="24"/>
          <w:lang w:eastAsia="sk-SK"/>
        </w:rPr>
        <w:t>Politika súdržnosti</w:t>
      </w:r>
    </w:p>
    <w:p w:rsidR="004E2D6C" w:rsidRPr="004E2D6C" w:rsidRDefault="004E2D6C" w:rsidP="001C5C9E">
      <w:pPr>
        <w:numPr>
          <w:ilvl w:val="0"/>
          <w:numId w:val="56"/>
        </w:numPr>
        <w:spacing w:before="240" w:after="200"/>
        <w:ind w:left="850" w:hanging="425"/>
        <w:rPr>
          <w:rFonts w:ascii="Calibri" w:hAnsi="Calibri"/>
          <w:sz w:val="24"/>
          <w:lang w:eastAsia="sk-SK"/>
        </w:rPr>
      </w:pPr>
      <w:r w:rsidRPr="004E2D6C">
        <w:rPr>
          <w:rFonts w:ascii="Calibri" w:hAnsi="Calibri"/>
          <w:sz w:val="24"/>
          <w:lang w:eastAsia="sk-SK"/>
        </w:rPr>
        <w:t>Tematické ex ante kondicionality</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559"/>
        <w:gridCol w:w="2551"/>
        <w:gridCol w:w="1134"/>
        <w:gridCol w:w="3119"/>
        <w:gridCol w:w="4111"/>
      </w:tblGrid>
      <w:tr w:rsidR="004E2D6C" w:rsidRPr="004E2D6C" w:rsidTr="003F0750">
        <w:trPr>
          <w:tblHeader/>
        </w:trPr>
        <w:tc>
          <w:tcPr>
            <w:tcW w:w="1668" w:type="dxa"/>
            <w:tcBorders>
              <w:top w:val="single" w:sz="12" w:space="0" w:color="auto"/>
              <w:left w:val="single" w:sz="12" w:space="0" w:color="auto"/>
              <w:bottom w:val="single" w:sz="12" w:space="0" w:color="auto"/>
            </w:tcBorders>
            <w:vAlign w:val="center"/>
          </w:tcPr>
          <w:p w:rsidR="004E2D6C" w:rsidRPr="004E2D6C" w:rsidRDefault="004E2D6C" w:rsidP="003F0750">
            <w:pPr>
              <w:spacing w:before="0" w:after="0"/>
              <w:jc w:val="center"/>
              <w:rPr>
                <w:rFonts w:ascii="Calibri" w:hAnsi="Calibri"/>
                <w:sz w:val="16"/>
                <w:szCs w:val="16"/>
              </w:rPr>
            </w:pPr>
            <w:r w:rsidRPr="004E2D6C">
              <w:rPr>
                <w:rFonts w:ascii="Calibri" w:hAnsi="Calibri"/>
                <w:b/>
                <w:sz w:val="16"/>
                <w:szCs w:val="16"/>
              </w:rPr>
              <w:t>Ex</w:t>
            </w:r>
            <w:r w:rsidR="006855AF">
              <w:rPr>
                <w:rFonts w:ascii="Calibri" w:hAnsi="Calibri"/>
                <w:b/>
                <w:sz w:val="16"/>
                <w:szCs w:val="16"/>
              </w:rPr>
              <w:t xml:space="preserve"> </w:t>
            </w:r>
            <w:r w:rsidRPr="004E2D6C">
              <w:rPr>
                <w:rFonts w:ascii="Calibri" w:hAnsi="Calibri"/>
                <w:b/>
                <w:sz w:val="16"/>
                <w:szCs w:val="16"/>
              </w:rPr>
              <w:t>ante kondicionalita</w:t>
            </w:r>
          </w:p>
        </w:tc>
        <w:tc>
          <w:tcPr>
            <w:tcW w:w="1559" w:type="dxa"/>
            <w:tcBorders>
              <w:top w:val="single" w:sz="12" w:space="0" w:color="auto"/>
              <w:bottom w:val="single" w:sz="12" w:space="0" w:color="auto"/>
            </w:tcBorders>
            <w:vAlign w:val="center"/>
          </w:tcPr>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Splnenie ex ante kond</w:t>
            </w:r>
            <w:r w:rsidR="004E018F">
              <w:rPr>
                <w:rFonts w:ascii="Calibri" w:hAnsi="Calibri"/>
                <w:b/>
                <w:sz w:val="16"/>
                <w:szCs w:val="16"/>
              </w:rPr>
              <w:t>i</w:t>
            </w:r>
            <w:r w:rsidRPr="004E2D6C">
              <w:rPr>
                <w:rFonts w:ascii="Calibri" w:hAnsi="Calibri"/>
                <w:b/>
                <w:sz w:val="16"/>
                <w:szCs w:val="16"/>
              </w:rPr>
              <w:t>cionality: Áno/Nie/Čiastočne</w:t>
            </w:r>
          </w:p>
        </w:tc>
        <w:tc>
          <w:tcPr>
            <w:tcW w:w="2551" w:type="dxa"/>
            <w:tcBorders>
              <w:top w:val="single" w:sz="12" w:space="0" w:color="auto"/>
              <w:bottom w:val="single" w:sz="12" w:space="0" w:color="auto"/>
            </w:tcBorders>
            <w:vAlign w:val="center"/>
          </w:tcPr>
          <w:p w:rsidR="004E2D6C" w:rsidRPr="004E2D6C" w:rsidRDefault="004E2D6C" w:rsidP="00546908">
            <w:pPr>
              <w:spacing w:before="0" w:after="0"/>
              <w:jc w:val="center"/>
              <w:rPr>
                <w:rFonts w:ascii="Calibri" w:hAnsi="Calibri"/>
                <w:sz w:val="16"/>
                <w:szCs w:val="16"/>
              </w:rPr>
            </w:pPr>
            <w:r w:rsidRPr="004E2D6C">
              <w:rPr>
                <w:rFonts w:ascii="Calibri" w:hAnsi="Calibri"/>
                <w:b/>
                <w:sz w:val="16"/>
                <w:szCs w:val="16"/>
              </w:rPr>
              <w:t>Kritériá plnenia ex ante kondicionality</w:t>
            </w:r>
          </w:p>
        </w:tc>
        <w:tc>
          <w:tcPr>
            <w:tcW w:w="1134" w:type="dxa"/>
            <w:tcBorders>
              <w:top w:val="single" w:sz="12" w:space="0" w:color="auto"/>
              <w:bottom w:val="single" w:sz="12" w:space="0" w:color="auto"/>
            </w:tcBorders>
            <w:vAlign w:val="center"/>
          </w:tcPr>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Splnenie kritérií: Áno/Nie</w:t>
            </w:r>
          </w:p>
        </w:tc>
        <w:tc>
          <w:tcPr>
            <w:tcW w:w="3119" w:type="dxa"/>
            <w:tcBorders>
              <w:top w:val="single" w:sz="12" w:space="0" w:color="auto"/>
              <w:bottom w:val="single" w:sz="12" w:space="0" w:color="auto"/>
            </w:tcBorders>
            <w:vAlign w:val="center"/>
          </w:tcPr>
          <w:p w:rsidR="004E2D6C" w:rsidRPr="004E2D6C" w:rsidRDefault="004E2D6C" w:rsidP="003F0750">
            <w:pPr>
              <w:spacing w:before="0" w:after="0"/>
              <w:jc w:val="center"/>
              <w:rPr>
                <w:rFonts w:ascii="Calibri" w:hAnsi="Calibri"/>
                <w:sz w:val="16"/>
                <w:szCs w:val="16"/>
              </w:rPr>
            </w:pPr>
            <w:r w:rsidRPr="004E2D6C">
              <w:rPr>
                <w:rFonts w:ascii="Calibri" w:hAnsi="Calibri"/>
                <w:b/>
                <w:sz w:val="16"/>
                <w:szCs w:val="16"/>
              </w:rPr>
              <w:t>Odkazy</w:t>
            </w:r>
          </w:p>
        </w:tc>
        <w:tc>
          <w:tcPr>
            <w:tcW w:w="4111" w:type="dxa"/>
            <w:tcBorders>
              <w:top w:val="single" w:sz="12" w:space="0" w:color="auto"/>
              <w:bottom w:val="single" w:sz="12" w:space="0" w:color="auto"/>
              <w:right w:val="single" w:sz="12" w:space="0" w:color="auto"/>
            </w:tcBorders>
            <w:vAlign w:val="center"/>
          </w:tcPr>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Vysvetlenie</w:t>
            </w:r>
          </w:p>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(v prípade vhodnosti)</w:t>
            </w:r>
          </w:p>
        </w:tc>
      </w:tr>
      <w:tr w:rsidR="004E2D6C" w:rsidRPr="004E2D6C" w:rsidTr="002377D3">
        <w:trPr>
          <w:trHeight w:val="397"/>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1.1. Výskum a</w:t>
            </w:r>
            <w:r w:rsidR="00546908">
              <w:rPr>
                <w:rFonts w:ascii="Calibri" w:hAnsi="Calibri"/>
                <w:sz w:val="16"/>
                <w:szCs w:val="16"/>
              </w:rPr>
              <w:t> </w:t>
            </w:r>
            <w:r w:rsidRPr="004E2D6C">
              <w:rPr>
                <w:rFonts w:ascii="Calibri" w:hAnsi="Calibri"/>
                <w:sz w:val="16"/>
                <w:szCs w:val="16"/>
              </w:rPr>
              <w:t>inovácie: existencia národnej a/alebo regionálnej stratégie inteligentnej špecializácie, ktorá je v</w:t>
            </w:r>
            <w:r w:rsidR="00546908">
              <w:rPr>
                <w:rFonts w:ascii="Calibri" w:hAnsi="Calibri"/>
                <w:sz w:val="16"/>
                <w:szCs w:val="16"/>
              </w:rPr>
              <w:t> </w:t>
            </w:r>
            <w:r w:rsidRPr="004E2D6C">
              <w:rPr>
                <w:rFonts w:ascii="Calibri" w:hAnsi="Calibri"/>
                <w:sz w:val="16"/>
                <w:szCs w:val="16"/>
              </w:rPr>
              <w:t>súlade s</w:t>
            </w:r>
            <w:r w:rsidR="00546908">
              <w:rPr>
                <w:rFonts w:ascii="Calibri" w:hAnsi="Calibri"/>
                <w:sz w:val="16"/>
                <w:szCs w:val="16"/>
              </w:rPr>
              <w:t> </w:t>
            </w:r>
            <w:r w:rsidRPr="004E2D6C">
              <w:rPr>
                <w:rFonts w:ascii="Calibri" w:hAnsi="Calibri"/>
                <w:sz w:val="16"/>
                <w:szCs w:val="16"/>
              </w:rPr>
              <w:t>národným</w:t>
            </w:r>
            <w:r w:rsidR="00546908">
              <w:rPr>
                <w:rFonts w:ascii="Calibri" w:hAnsi="Calibri"/>
                <w:sz w:val="16"/>
                <w:szCs w:val="16"/>
              </w:rPr>
              <w:t xml:space="preserve"> </w:t>
            </w:r>
            <w:r w:rsidRPr="004E2D6C">
              <w:rPr>
                <w:rFonts w:ascii="Calibri" w:hAnsi="Calibri"/>
                <w:sz w:val="16"/>
                <w:szCs w:val="16"/>
              </w:rPr>
              <w:t>programom reforiem, na získanie súkromných financií na výskum a</w:t>
            </w:r>
            <w:r w:rsidR="00546908">
              <w:rPr>
                <w:rFonts w:ascii="Calibri" w:hAnsi="Calibri"/>
                <w:sz w:val="16"/>
                <w:szCs w:val="16"/>
              </w:rPr>
              <w:t> </w:t>
            </w:r>
            <w:r w:rsidRPr="004E2D6C">
              <w:rPr>
                <w:rFonts w:ascii="Calibri" w:hAnsi="Calibri"/>
                <w:sz w:val="16"/>
                <w:szCs w:val="16"/>
              </w:rPr>
              <w:t>vývoj, ktoré spĺňajú znaky národných a</w:t>
            </w:r>
            <w:r w:rsidR="00546908">
              <w:rPr>
                <w:rFonts w:ascii="Calibri" w:hAnsi="Calibri"/>
                <w:sz w:val="16"/>
                <w:szCs w:val="16"/>
              </w:rPr>
              <w:t> </w:t>
            </w:r>
            <w:r w:rsidRPr="004E2D6C">
              <w:rPr>
                <w:rFonts w:ascii="Calibri" w:hAnsi="Calibri"/>
                <w:sz w:val="16"/>
                <w:szCs w:val="16"/>
              </w:rPr>
              <w:t>regionálnych</w:t>
            </w:r>
            <w:r w:rsidR="00546908">
              <w:rPr>
                <w:rFonts w:ascii="Calibri" w:hAnsi="Calibri"/>
                <w:sz w:val="16"/>
                <w:szCs w:val="16"/>
              </w:rPr>
              <w:t xml:space="preserve"> </w:t>
            </w:r>
            <w:r w:rsidRPr="004E2D6C">
              <w:rPr>
                <w:rFonts w:ascii="Calibri" w:hAnsi="Calibri"/>
                <w:sz w:val="16"/>
                <w:szCs w:val="16"/>
              </w:rPr>
              <w:t>systémov výskumu a</w:t>
            </w:r>
            <w:r w:rsidR="00546908">
              <w:rPr>
                <w:rFonts w:ascii="Calibri" w:hAnsi="Calibri"/>
                <w:sz w:val="16"/>
                <w:szCs w:val="16"/>
              </w:rPr>
              <w:t> </w:t>
            </w:r>
            <w:r w:rsidRPr="004E2D6C">
              <w:rPr>
                <w:rFonts w:ascii="Calibri" w:hAnsi="Calibri"/>
                <w:sz w:val="16"/>
                <w:szCs w:val="16"/>
              </w:rPr>
              <w:t>inovácií dosahujúcich vynikajúce výsledky.</w:t>
            </w:r>
          </w:p>
        </w:tc>
        <w:tc>
          <w:tcPr>
            <w:tcW w:w="1559" w:type="dxa"/>
            <w:vMerge w:val="restart"/>
            <w:tcBorders>
              <w:top w:val="single" w:sz="12" w:space="0" w:color="auto"/>
            </w:tcBorders>
            <w:vAlign w:val="center"/>
          </w:tcPr>
          <w:p w:rsidR="004E2D6C" w:rsidRPr="004E2D6C" w:rsidRDefault="004E2D6C" w:rsidP="00546908">
            <w:pPr>
              <w:spacing w:before="0"/>
              <w:jc w:val="center"/>
              <w:rPr>
                <w:rFonts w:ascii="Calibri" w:hAnsi="Calibri"/>
                <w:sz w:val="16"/>
                <w:szCs w:val="16"/>
              </w:rPr>
            </w:pPr>
            <w:r w:rsidRPr="004E2D6C">
              <w:rPr>
                <w:rFonts w:ascii="Calibri" w:hAnsi="Calibri"/>
                <w:b/>
                <w:sz w:val="16"/>
                <w:szCs w:val="16"/>
              </w:rPr>
              <w:t>Čiastočne</w:t>
            </w:r>
          </w:p>
        </w:tc>
        <w:tc>
          <w:tcPr>
            <w:tcW w:w="2551" w:type="dxa"/>
            <w:tcBorders>
              <w:top w:val="single" w:sz="12" w:space="0" w:color="auto"/>
            </w:tcBorders>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Zavedená je vnútroštátna alebo regionálna stratégia inteligentnej špecializácie, ktorá:</w:t>
            </w:r>
          </w:p>
        </w:tc>
        <w:tc>
          <w:tcPr>
            <w:tcW w:w="1134" w:type="dxa"/>
            <w:tcBorders>
              <w:top w:val="single" w:sz="12" w:space="0" w:color="auto"/>
            </w:tcBorders>
            <w:vAlign w:val="center"/>
          </w:tcPr>
          <w:p w:rsidR="004E2D6C" w:rsidRPr="004E2D6C" w:rsidRDefault="004E2D6C" w:rsidP="00546908">
            <w:pPr>
              <w:spacing w:before="0"/>
              <w:jc w:val="center"/>
              <w:rPr>
                <w:rFonts w:ascii="Calibri" w:hAnsi="Calibri"/>
                <w:sz w:val="16"/>
                <w:szCs w:val="16"/>
              </w:rPr>
            </w:pPr>
            <w:r w:rsidRPr="004E2D6C">
              <w:rPr>
                <w:rFonts w:ascii="Calibri" w:hAnsi="Calibri"/>
                <w:b/>
                <w:sz w:val="16"/>
                <w:szCs w:val="16"/>
              </w:rPr>
              <w:t>Áno</w:t>
            </w:r>
          </w:p>
        </w:tc>
        <w:tc>
          <w:tcPr>
            <w:tcW w:w="3119" w:type="dxa"/>
            <w:vMerge w:val="restart"/>
            <w:tcBorders>
              <w:top w:val="single" w:sz="12" w:space="0" w:color="auto"/>
            </w:tcBorders>
          </w:tcPr>
          <w:p w:rsidR="004E2D6C" w:rsidRPr="004E2D6C" w:rsidRDefault="004E2D6C" w:rsidP="004E2D6C">
            <w:pPr>
              <w:tabs>
                <w:tab w:val="left" w:pos="3"/>
                <w:tab w:val="num" w:pos="2580"/>
              </w:tabs>
              <w:spacing w:before="0" w:line="276" w:lineRule="auto"/>
              <w:rPr>
                <w:rFonts w:ascii="Calibri" w:hAnsi="Calibri"/>
                <w:sz w:val="16"/>
                <w:szCs w:val="16"/>
              </w:rPr>
            </w:pPr>
          </w:p>
        </w:tc>
        <w:tc>
          <w:tcPr>
            <w:tcW w:w="4111" w:type="dxa"/>
            <w:vMerge w:val="restart"/>
            <w:tcBorders>
              <w:top w:val="single" w:sz="12" w:space="0" w:color="auto"/>
              <w:right w:val="single" w:sz="12" w:space="0" w:color="auto"/>
            </w:tcBorders>
          </w:tcPr>
          <w:p w:rsidR="000D59B7" w:rsidRPr="004E2D6C" w:rsidRDefault="000D59B7" w:rsidP="00546908">
            <w:pPr>
              <w:spacing w:before="0"/>
              <w:rPr>
                <w:rFonts w:ascii="Calibri" w:hAnsi="Calibri"/>
                <w:i/>
                <w:sz w:val="16"/>
                <w:szCs w:val="16"/>
              </w:rPr>
            </w:pPr>
            <w:r w:rsidRPr="004E2D6C">
              <w:rPr>
                <w:rFonts w:ascii="Calibri" w:hAnsi="Calibri"/>
                <w:i/>
                <w:sz w:val="16"/>
                <w:szCs w:val="16"/>
              </w:rPr>
              <w:t>Stratégia výskumu a</w:t>
            </w:r>
            <w:r w:rsidR="00546908">
              <w:rPr>
                <w:rFonts w:ascii="Calibri" w:hAnsi="Calibri"/>
                <w:i/>
                <w:sz w:val="16"/>
                <w:szCs w:val="16"/>
              </w:rPr>
              <w:t> </w:t>
            </w:r>
            <w:r w:rsidRPr="004E2D6C">
              <w:rPr>
                <w:rFonts w:ascii="Calibri" w:hAnsi="Calibri"/>
                <w:i/>
                <w:sz w:val="16"/>
                <w:szCs w:val="16"/>
              </w:rPr>
              <w:t>inovácií</w:t>
            </w:r>
            <w:r w:rsidR="00546908">
              <w:rPr>
                <w:rFonts w:ascii="Calibri" w:hAnsi="Calibri"/>
                <w:i/>
                <w:sz w:val="16"/>
                <w:szCs w:val="16"/>
              </w:rPr>
              <w:t xml:space="preserve"> </w:t>
            </w:r>
            <w:r w:rsidRPr="004E2D6C">
              <w:rPr>
                <w:rFonts w:ascii="Calibri" w:hAnsi="Calibri"/>
                <w:i/>
                <w:sz w:val="16"/>
                <w:szCs w:val="16"/>
              </w:rPr>
              <w:t>pre inteligentnú špecializáciu SR (RIS3)</w:t>
            </w:r>
          </w:p>
          <w:p w:rsidR="000D59B7" w:rsidRPr="003F0750" w:rsidRDefault="00ED6BC8" w:rsidP="002377D3">
            <w:pPr>
              <w:tabs>
                <w:tab w:val="left" w:pos="3"/>
                <w:tab w:val="left" w:pos="2302"/>
                <w:tab w:val="num" w:pos="2580"/>
              </w:tabs>
              <w:spacing w:before="60" w:after="60"/>
              <w:ind w:left="34"/>
              <w:rPr>
                <w:rFonts w:ascii="Calibri" w:hAnsi="Calibri"/>
                <w:sz w:val="16"/>
                <w:szCs w:val="16"/>
              </w:rPr>
            </w:pPr>
            <w:hyperlink r:id="rId47" w:history="1">
              <w:r w:rsidR="000D59B7" w:rsidRPr="003F0750">
                <w:rPr>
                  <w:rFonts w:ascii="Calibri" w:hAnsi="Calibri"/>
                  <w:color w:val="0000FF"/>
                  <w:sz w:val="16"/>
                  <w:szCs w:val="16"/>
                  <w:u w:val="single"/>
                </w:rPr>
                <w:t>http://www.rokovania.sk/File.aspx/ViewDocumentHtml/Mater-Dokum-160513?prefixFile=m_</w:t>
              </w:r>
            </w:hyperlink>
          </w:p>
          <w:p w:rsidR="000D59B7" w:rsidRDefault="000D59B7" w:rsidP="002377D3">
            <w:pPr>
              <w:spacing w:before="60" w:after="60"/>
              <w:rPr>
                <w:rFonts w:ascii="Calibri" w:eastAsia="Calibri" w:hAnsi="Calibri"/>
                <w:sz w:val="16"/>
                <w:szCs w:val="16"/>
              </w:rPr>
            </w:pPr>
            <w:r w:rsidRPr="004E2D6C">
              <w:rPr>
                <w:rFonts w:ascii="Calibri" w:hAnsi="Calibri"/>
                <w:sz w:val="16"/>
                <w:szCs w:val="16"/>
              </w:rPr>
              <w:t>RIS3 schválená uznesením vlády SR č. 665/2013 z 13.</w:t>
            </w:r>
            <w:r>
              <w:rPr>
                <w:rFonts w:ascii="Calibri" w:hAnsi="Calibri"/>
                <w:sz w:val="16"/>
                <w:szCs w:val="16"/>
              </w:rPr>
              <w:t xml:space="preserve"> </w:t>
            </w:r>
            <w:r w:rsidRPr="004E2D6C">
              <w:rPr>
                <w:rFonts w:ascii="Calibri" w:hAnsi="Calibri"/>
                <w:sz w:val="16"/>
                <w:szCs w:val="16"/>
              </w:rPr>
              <w:t>11.</w:t>
            </w:r>
            <w:r>
              <w:rPr>
                <w:rFonts w:ascii="Calibri" w:hAnsi="Calibri"/>
                <w:sz w:val="16"/>
                <w:szCs w:val="16"/>
              </w:rPr>
              <w:t xml:space="preserve"> </w:t>
            </w:r>
            <w:r w:rsidRPr="004E2D6C">
              <w:rPr>
                <w:rFonts w:ascii="Calibri" w:hAnsi="Calibri"/>
                <w:sz w:val="16"/>
                <w:szCs w:val="16"/>
              </w:rPr>
              <w:t>2013.</w:t>
            </w:r>
          </w:p>
          <w:p w:rsidR="00C12A04" w:rsidRPr="004E2D6C" w:rsidRDefault="00C12A04" w:rsidP="002377D3">
            <w:pPr>
              <w:spacing w:before="60" w:after="60"/>
              <w:rPr>
                <w:rFonts w:ascii="Calibri" w:eastAsia="Calibri" w:hAnsi="Calibri"/>
                <w:sz w:val="16"/>
                <w:szCs w:val="16"/>
              </w:rPr>
            </w:pPr>
            <w:r w:rsidRPr="004E2D6C">
              <w:rPr>
                <w:rFonts w:ascii="Calibri" w:eastAsia="Calibri" w:hAnsi="Calibri"/>
                <w:sz w:val="16"/>
                <w:szCs w:val="16"/>
              </w:rPr>
              <w:t>RIS3 bola spracovaná v spolupráci s expertným tímom z EK a</w:t>
            </w:r>
            <w:r w:rsidR="00546908">
              <w:rPr>
                <w:rFonts w:ascii="Calibri" w:eastAsia="Calibri" w:hAnsi="Calibri"/>
                <w:sz w:val="16"/>
                <w:szCs w:val="16"/>
              </w:rPr>
              <w:t> </w:t>
            </w:r>
            <w:r w:rsidRPr="004E2D6C">
              <w:rPr>
                <w:rFonts w:ascii="Calibri" w:eastAsia="Calibri" w:hAnsi="Calibri"/>
                <w:sz w:val="16"/>
                <w:szCs w:val="16"/>
              </w:rPr>
              <w:t>revidovaná v</w:t>
            </w:r>
            <w:r w:rsidR="00546908">
              <w:rPr>
                <w:rFonts w:ascii="Calibri" w:eastAsia="Calibri" w:hAnsi="Calibri"/>
                <w:sz w:val="16"/>
                <w:szCs w:val="16"/>
              </w:rPr>
              <w:t> </w:t>
            </w:r>
            <w:r w:rsidRPr="004E2D6C">
              <w:rPr>
                <w:rFonts w:ascii="Calibri" w:eastAsia="Calibri" w:hAnsi="Calibri"/>
                <w:sz w:val="16"/>
                <w:szCs w:val="16"/>
              </w:rPr>
              <w:t>súlade s</w:t>
            </w:r>
            <w:r w:rsidR="00546908">
              <w:rPr>
                <w:rFonts w:ascii="Calibri" w:eastAsia="Calibri" w:hAnsi="Calibri"/>
                <w:sz w:val="16"/>
                <w:szCs w:val="16"/>
              </w:rPr>
              <w:t> </w:t>
            </w:r>
            <w:r w:rsidRPr="004E2D6C">
              <w:rPr>
                <w:rFonts w:ascii="Calibri" w:eastAsia="Calibri" w:hAnsi="Calibri"/>
                <w:sz w:val="16"/>
                <w:szCs w:val="16"/>
              </w:rPr>
              <w:t>ich pripomienkami a</w:t>
            </w:r>
            <w:r w:rsidR="00546908">
              <w:rPr>
                <w:rFonts w:ascii="Calibri" w:eastAsia="Calibri" w:hAnsi="Calibri"/>
                <w:sz w:val="16"/>
                <w:szCs w:val="16"/>
              </w:rPr>
              <w:t> </w:t>
            </w:r>
            <w:r w:rsidRPr="004E2D6C">
              <w:rPr>
                <w:rFonts w:ascii="Calibri" w:eastAsia="Calibri" w:hAnsi="Calibri"/>
                <w:sz w:val="16"/>
                <w:szCs w:val="16"/>
              </w:rPr>
              <w:t>odporúčaniami.</w:t>
            </w:r>
          </w:p>
          <w:p w:rsidR="00C12A04" w:rsidRPr="004E2D6C" w:rsidRDefault="00C12A04" w:rsidP="002377D3">
            <w:pPr>
              <w:spacing w:before="0" w:after="60"/>
              <w:rPr>
                <w:rFonts w:ascii="Calibri" w:eastAsia="Calibri" w:hAnsi="Calibri"/>
                <w:sz w:val="16"/>
                <w:szCs w:val="16"/>
              </w:rPr>
            </w:pPr>
            <w:r w:rsidRPr="004E2D6C">
              <w:rPr>
                <w:rFonts w:ascii="Calibri" w:eastAsia="Calibri" w:hAnsi="Calibri"/>
                <w:sz w:val="16"/>
                <w:szCs w:val="16"/>
              </w:rPr>
              <w:t xml:space="preserve">RIS3 sa bude implementovať prostredníctvom akčných plánov. Prvý akčný plán pokrýva obdobie rokov 2014 </w:t>
            </w:r>
            <w:r>
              <w:rPr>
                <w:rFonts w:ascii="Calibri" w:eastAsia="Calibri" w:hAnsi="Calibri"/>
                <w:sz w:val="16"/>
                <w:szCs w:val="16"/>
              </w:rPr>
              <w:t>–</w:t>
            </w:r>
            <w:r w:rsidRPr="004E2D6C">
              <w:rPr>
                <w:rFonts w:ascii="Calibri" w:eastAsia="Calibri" w:hAnsi="Calibri"/>
                <w:sz w:val="16"/>
                <w:szCs w:val="16"/>
              </w:rPr>
              <w:t xml:space="preserve"> 2016</w:t>
            </w:r>
            <w:r w:rsidR="00052419">
              <w:rPr>
                <w:rFonts w:ascii="Calibri" w:eastAsia="Calibri" w:hAnsi="Calibri"/>
                <w:sz w:val="16"/>
                <w:szCs w:val="16"/>
              </w:rPr>
              <w:t>.</w:t>
            </w:r>
            <w:r>
              <w:rPr>
                <w:rFonts w:ascii="Calibri" w:eastAsia="Calibri" w:hAnsi="Calibri"/>
                <w:sz w:val="16"/>
                <w:szCs w:val="16"/>
              </w:rPr>
              <w:t xml:space="preserve"> B</w:t>
            </w:r>
            <w:r w:rsidRPr="004E2D6C">
              <w:rPr>
                <w:rFonts w:ascii="Calibri" w:eastAsia="Calibri" w:hAnsi="Calibri"/>
                <w:sz w:val="16"/>
                <w:szCs w:val="16"/>
              </w:rPr>
              <w:t>ude vypracovaný v</w:t>
            </w:r>
            <w:r w:rsidR="00546908">
              <w:rPr>
                <w:rFonts w:ascii="Calibri" w:eastAsia="Calibri" w:hAnsi="Calibri"/>
                <w:sz w:val="16"/>
                <w:szCs w:val="16"/>
              </w:rPr>
              <w:t> </w:t>
            </w:r>
            <w:r w:rsidRPr="004E2D6C">
              <w:rPr>
                <w:rFonts w:ascii="Calibri" w:eastAsia="Calibri" w:hAnsi="Calibri"/>
                <w:sz w:val="16"/>
                <w:szCs w:val="16"/>
              </w:rPr>
              <w:t xml:space="preserve">termíne do </w:t>
            </w:r>
            <w:r w:rsidR="008936A3">
              <w:rPr>
                <w:rFonts w:ascii="Calibri" w:eastAsia="Calibri" w:hAnsi="Calibri"/>
                <w:sz w:val="16"/>
                <w:szCs w:val="16"/>
              </w:rPr>
              <w:t>30. 11.</w:t>
            </w:r>
            <w:r w:rsidR="00C611EB" w:rsidRPr="008936A3">
              <w:rPr>
                <w:rFonts w:ascii="Calibri" w:eastAsia="Calibri" w:hAnsi="Calibri"/>
                <w:sz w:val="16"/>
                <w:szCs w:val="16"/>
              </w:rPr>
              <w:t xml:space="preserve"> </w:t>
            </w:r>
            <w:r w:rsidRPr="008936A3">
              <w:rPr>
                <w:rFonts w:ascii="Calibri" w:eastAsia="Calibri" w:hAnsi="Calibri"/>
                <w:sz w:val="16"/>
                <w:szCs w:val="16"/>
              </w:rPr>
              <w:t>2014.</w:t>
            </w:r>
            <w:r w:rsidRPr="004E2D6C">
              <w:rPr>
                <w:rFonts w:ascii="Calibri" w:eastAsia="Calibri" w:hAnsi="Calibri"/>
                <w:sz w:val="16"/>
                <w:szCs w:val="16"/>
              </w:rPr>
              <w:t xml:space="preserve"> </w:t>
            </w:r>
            <w:r>
              <w:rPr>
                <w:rFonts w:ascii="Calibri" w:eastAsia="Calibri" w:hAnsi="Calibri"/>
                <w:sz w:val="16"/>
                <w:szCs w:val="16"/>
              </w:rPr>
              <w:t>N</w:t>
            </w:r>
            <w:r w:rsidRPr="004E2D6C">
              <w:rPr>
                <w:rFonts w:ascii="Calibri" w:eastAsia="Calibri" w:hAnsi="Calibri"/>
                <w:sz w:val="16"/>
                <w:szCs w:val="16"/>
              </w:rPr>
              <w:t>ajdôležitejšie oblasti a</w:t>
            </w:r>
            <w:r w:rsidR="008644C9">
              <w:rPr>
                <w:rFonts w:ascii="Calibri" w:eastAsia="Calibri" w:hAnsi="Calibri"/>
                <w:sz w:val="16"/>
                <w:szCs w:val="16"/>
              </w:rPr>
              <w:t> </w:t>
            </w:r>
            <w:r w:rsidRPr="004E2D6C">
              <w:rPr>
                <w:rFonts w:ascii="Calibri" w:eastAsia="Calibri" w:hAnsi="Calibri"/>
                <w:sz w:val="16"/>
                <w:szCs w:val="16"/>
              </w:rPr>
              <w:t>aktivity smerujúce k</w:t>
            </w:r>
            <w:r w:rsidR="008644C9">
              <w:rPr>
                <w:rFonts w:ascii="Calibri" w:eastAsia="Calibri" w:hAnsi="Calibri"/>
                <w:sz w:val="16"/>
                <w:szCs w:val="16"/>
              </w:rPr>
              <w:t> </w:t>
            </w:r>
            <w:r w:rsidRPr="004E2D6C">
              <w:rPr>
                <w:rFonts w:ascii="Calibri" w:eastAsia="Calibri" w:hAnsi="Calibri"/>
                <w:sz w:val="16"/>
                <w:szCs w:val="16"/>
              </w:rPr>
              <w:t>úspešnej</w:t>
            </w:r>
            <w:r w:rsidR="008644C9">
              <w:rPr>
                <w:rFonts w:ascii="Calibri" w:eastAsia="Calibri" w:hAnsi="Calibri"/>
                <w:sz w:val="16"/>
                <w:szCs w:val="16"/>
              </w:rPr>
              <w:t xml:space="preserve"> </w:t>
            </w:r>
            <w:r w:rsidRPr="004E2D6C">
              <w:rPr>
                <w:rFonts w:ascii="Calibri" w:eastAsia="Calibri" w:hAnsi="Calibri"/>
                <w:sz w:val="16"/>
                <w:szCs w:val="16"/>
              </w:rPr>
              <w:t>implementácii</w:t>
            </w:r>
            <w:r>
              <w:rPr>
                <w:rFonts w:ascii="Calibri" w:eastAsia="Calibri" w:hAnsi="Calibri"/>
                <w:sz w:val="16"/>
                <w:szCs w:val="16"/>
              </w:rPr>
              <w:t xml:space="preserve"> RIS3</w:t>
            </w:r>
            <w:r w:rsidRPr="004E2D6C">
              <w:rPr>
                <w:rFonts w:ascii="Calibri" w:eastAsia="Calibri" w:hAnsi="Calibri"/>
                <w:sz w:val="16"/>
                <w:szCs w:val="16"/>
              </w:rPr>
              <w:t xml:space="preserve"> a</w:t>
            </w:r>
            <w:r w:rsidR="008644C9">
              <w:rPr>
                <w:rFonts w:ascii="Calibri" w:eastAsia="Calibri" w:hAnsi="Calibri"/>
                <w:sz w:val="16"/>
                <w:szCs w:val="16"/>
              </w:rPr>
              <w:t> </w:t>
            </w:r>
            <w:r w:rsidRPr="004E2D6C">
              <w:rPr>
                <w:rFonts w:ascii="Calibri" w:eastAsia="Calibri" w:hAnsi="Calibri"/>
                <w:sz w:val="16"/>
                <w:szCs w:val="16"/>
              </w:rPr>
              <w:t>naplneniu všetkých kritérií pre tematický cieľ, najmä:</w:t>
            </w:r>
          </w:p>
          <w:p w:rsidR="00036E07" w:rsidRDefault="00C12A04" w:rsidP="002377D3">
            <w:pPr>
              <w:spacing w:before="0" w:after="60"/>
              <w:rPr>
                <w:rFonts w:ascii="Calibri" w:eastAsia="Calibri" w:hAnsi="Calibri"/>
                <w:sz w:val="16"/>
                <w:szCs w:val="16"/>
              </w:rPr>
            </w:pPr>
            <w:r w:rsidRPr="004E2D6C">
              <w:rPr>
                <w:rFonts w:ascii="Calibri" w:eastAsia="Calibri" w:hAnsi="Calibri"/>
                <w:sz w:val="16"/>
                <w:szCs w:val="16"/>
              </w:rPr>
              <w:t xml:space="preserve">- </w:t>
            </w:r>
            <w:r w:rsidR="00036E07" w:rsidRPr="004E2D6C">
              <w:rPr>
                <w:rFonts w:ascii="Calibri" w:eastAsia="Calibri" w:hAnsi="Calibri"/>
                <w:sz w:val="16"/>
                <w:szCs w:val="16"/>
              </w:rPr>
              <w:t>dopracovanie finančných rámcov s</w:t>
            </w:r>
            <w:r w:rsidR="00BB4497">
              <w:rPr>
                <w:rFonts w:ascii="Calibri" w:eastAsia="Calibri" w:hAnsi="Calibri"/>
                <w:sz w:val="16"/>
                <w:szCs w:val="16"/>
              </w:rPr>
              <w:t> </w:t>
            </w:r>
            <w:r w:rsidR="00036E07" w:rsidRPr="004E2D6C">
              <w:rPr>
                <w:rFonts w:ascii="Calibri" w:eastAsia="Calibri" w:hAnsi="Calibri"/>
                <w:sz w:val="16"/>
                <w:szCs w:val="16"/>
              </w:rPr>
              <w:t>indikatívnymi alokáciami podľa opatrení, zdrojov financovania a</w:t>
            </w:r>
            <w:r w:rsidR="00BB4497">
              <w:rPr>
                <w:rFonts w:ascii="Calibri" w:eastAsia="Calibri" w:hAnsi="Calibri"/>
                <w:sz w:val="16"/>
                <w:szCs w:val="16"/>
              </w:rPr>
              <w:t> </w:t>
            </w:r>
            <w:r w:rsidR="00036E07" w:rsidRPr="004E2D6C">
              <w:rPr>
                <w:rFonts w:ascii="Calibri" w:eastAsia="Calibri" w:hAnsi="Calibri"/>
                <w:sz w:val="16"/>
                <w:szCs w:val="16"/>
              </w:rPr>
              <w:t>typov finančných nástrojov</w:t>
            </w:r>
            <w:r w:rsidR="00036E07" w:rsidRPr="004E2D6C" w:rsidDel="00287415">
              <w:rPr>
                <w:rFonts w:ascii="Calibri" w:eastAsia="Calibri" w:hAnsi="Calibri"/>
                <w:sz w:val="16"/>
                <w:szCs w:val="16"/>
              </w:rPr>
              <w:t xml:space="preserve"> </w:t>
            </w:r>
            <w:r w:rsidR="00036E07" w:rsidRPr="004E2D6C">
              <w:rPr>
                <w:rFonts w:ascii="Calibri" w:eastAsia="Calibri" w:hAnsi="Calibri"/>
                <w:sz w:val="16"/>
                <w:szCs w:val="16"/>
              </w:rPr>
              <w:t>,</w:t>
            </w:r>
          </w:p>
          <w:p w:rsidR="00036E07" w:rsidRPr="004E2D6C" w:rsidRDefault="00036E07" w:rsidP="002377D3">
            <w:pPr>
              <w:spacing w:before="0" w:after="60"/>
              <w:rPr>
                <w:rFonts w:ascii="Calibri" w:eastAsia="Calibri" w:hAnsi="Calibri"/>
                <w:sz w:val="16"/>
                <w:szCs w:val="16"/>
              </w:rPr>
            </w:pPr>
            <w:r>
              <w:rPr>
                <w:rFonts w:ascii="Calibri" w:eastAsia="Calibri" w:hAnsi="Calibri"/>
                <w:sz w:val="16"/>
                <w:szCs w:val="16"/>
              </w:rPr>
              <w:t>- dopracovanie systému monitorovania plnenia cieľov RIS 3 a napĺňania merateľných ukazovateľov (systém monitorovania je aktuálne pripravovaný a jeho cieľom bude včasné identifikovanie potreby prípadných úprav nastavenia cieľov a opatrení RIS3 tak, aby tieto odrážali aktuálne potreby a vývoj</w:t>
            </w:r>
            <w:r w:rsidRPr="00287415">
              <w:rPr>
                <w:rFonts w:ascii="Calibri" w:eastAsia="Calibri" w:hAnsi="Calibri"/>
                <w:sz w:val="16"/>
                <w:szCs w:val="16"/>
              </w:rPr>
              <w:t>) dopracovanie prepojení medzi navrhovanými oblasťami špecializácie</w:t>
            </w:r>
            <w:r>
              <w:rPr>
                <w:rFonts w:ascii="Calibri" w:eastAsia="Calibri" w:hAnsi="Calibri"/>
                <w:sz w:val="16"/>
                <w:szCs w:val="16"/>
              </w:rPr>
              <w:t>,</w:t>
            </w:r>
          </w:p>
          <w:p w:rsidR="004E2D6C" w:rsidRPr="004E2D6C" w:rsidRDefault="00C12A04" w:rsidP="002377D3">
            <w:pPr>
              <w:spacing w:before="0" w:after="0"/>
              <w:rPr>
                <w:rFonts w:ascii="Calibri" w:hAnsi="Calibri"/>
                <w:sz w:val="16"/>
                <w:szCs w:val="16"/>
              </w:rPr>
            </w:pPr>
            <w:r w:rsidRPr="004E2D6C">
              <w:rPr>
                <w:rFonts w:ascii="Calibri" w:eastAsia="Calibri" w:hAnsi="Calibri"/>
                <w:sz w:val="16"/>
                <w:szCs w:val="16"/>
              </w:rPr>
              <w:t>- SK Roadmap pre budovanie ESFRI infraštruktúry, ktorá bude identifikovať doterajšie národné zariadenia infraštruktúr vhodné pre zapojenie sa do ESFRI, vrátane kritickej analýzy (ktoré VaV centrá, kompetenčné centrá a</w:t>
            </w:r>
            <w:r w:rsidR="00BB4497">
              <w:rPr>
                <w:rFonts w:ascii="Calibri" w:eastAsia="Calibri" w:hAnsi="Calibri"/>
                <w:sz w:val="16"/>
                <w:szCs w:val="16"/>
              </w:rPr>
              <w:t> </w:t>
            </w:r>
            <w:r w:rsidRPr="004E2D6C">
              <w:rPr>
                <w:rFonts w:ascii="Calibri" w:eastAsia="Calibri" w:hAnsi="Calibri"/>
                <w:sz w:val="16"/>
                <w:szCs w:val="16"/>
              </w:rPr>
              <w:t>centrá</w:t>
            </w:r>
            <w:r w:rsidR="00BB4497">
              <w:rPr>
                <w:rFonts w:ascii="Calibri" w:eastAsia="Calibri" w:hAnsi="Calibri"/>
                <w:sz w:val="16"/>
                <w:szCs w:val="16"/>
              </w:rPr>
              <w:t xml:space="preserve"> </w:t>
            </w:r>
            <w:r w:rsidRPr="004E2D6C">
              <w:rPr>
                <w:rFonts w:ascii="Calibri" w:eastAsia="Calibri" w:hAnsi="Calibri"/>
                <w:sz w:val="16"/>
                <w:szCs w:val="16"/>
              </w:rPr>
              <w:t>excelentnosti sú dlhodobo udržateľné, majú potenciál pre vylepšenie a</w:t>
            </w:r>
            <w:r w:rsidR="00BB4497">
              <w:rPr>
                <w:rFonts w:ascii="Calibri" w:eastAsia="Calibri" w:hAnsi="Calibri"/>
                <w:sz w:val="16"/>
                <w:szCs w:val="16"/>
              </w:rPr>
              <w:t> </w:t>
            </w:r>
            <w:r w:rsidRPr="004E2D6C">
              <w:rPr>
                <w:rFonts w:ascii="Calibri" w:eastAsia="Calibri" w:hAnsi="Calibri"/>
                <w:sz w:val="16"/>
                <w:szCs w:val="16"/>
              </w:rPr>
              <w:t>môžu sa stať súčasťou ESFRI projektov). Dôležitým špecifikom bude aj možnosť prepojení medzi RIS3 v</w:t>
            </w:r>
            <w:r w:rsidR="00BB4497">
              <w:rPr>
                <w:rFonts w:ascii="Calibri" w:eastAsia="Calibri" w:hAnsi="Calibri"/>
                <w:sz w:val="16"/>
                <w:szCs w:val="16"/>
              </w:rPr>
              <w:t> </w:t>
            </w:r>
            <w:r w:rsidRPr="004E2D6C">
              <w:rPr>
                <w:rFonts w:ascii="Calibri" w:eastAsia="Calibri" w:hAnsi="Calibri"/>
                <w:sz w:val="16"/>
                <w:szCs w:val="16"/>
              </w:rPr>
              <w:t>prioritnom priemysle a</w:t>
            </w:r>
            <w:r w:rsidR="00BB4497">
              <w:rPr>
                <w:rFonts w:ascii="Calibri" w:eastAsia="Calibri" w:hAnsi="Calibri"/>
                <w:sz w:val="16"/>
                <w:szCs w:val="16"/>
              </w:rPr>
              <w:t> </w:t>
            </w:r>
            <w:r w:rsidRPr="004E2D6C">
              <w:rPr>
                <w:rFonts w:ascii="Calibri" w:eastAsia="Calibri" w:hAnsi="Calibri"/>
                <w:sz w:val="16"/>
                <w:szCs w:val="16"/>
              </w:rPr>
              <w:t>participáciou</w:t>
            </w:r>
            <w:r w:rsidR="00BB4497">
              <w:rPr>
                <w:rFonts w:ascii="Calibri" w:eastAsia="Calibri" w:hAnsi="Calibri"/>
                <w:sz w:val="16"/>
                <w:szCs w:val="16"/>
              </w:rPr>
              <w:t xml:space="preserve"> </w:t>
            </w:r>
            <w:r w:rsidRPr="004E2D6C">
              <w:rPr>
                <w:rFonts w:ascii="Calibri" w:eastAsia="Calibri" w:hAnsi="Calibri"/>
                <w:sz w:val="16"/>
                <w:szCs w:val="16"/>
              </w:rPr>
              <w:lastRenderedPageBreak/>
              <w:t>v</w:t>
            </w:r>
            <w:r w:rsidR="00BB4497">
              <w:rPr>
                <w:rFonts w:ascii="Calibri" w:eastAsia="Calibri" w:hAnsi="Calibri"/>
                <w:sz w:val="16"/>
                <w:szCs w:val="16"/>
              </w:rPr>
              <w:t> </w:t>
            </w:r>
            <w:r w:rsidRPr="004E2D6C">
              <w:rPr>
                <w:rFonts w:ascii="Calibri" w:eastAsia="Calibri" w:hAnsi="Calibri"/>
                <w:sz w:val="16"/>
                <w:szCs w:val="16"/>
              </w:rPr>
              <w:t>ESFRI</w:t>
            </w:r>
            <w:r w:rsidR="00BB4497">
              <w:rPr>
                <w:rFonts w:ascii="Calibri" w:eastAsia="Calibri" w:hAnsi="Calibri"/>
                <w:sz w:val="16"/>
                <w:szCs w:val="16"/>
              </w:rPr>
              <w:t xml:space="preserve"> </w:t>
            </w:r>
            <w:r w:rsidRPr="004E2D6C">
              <w:rPr>
                <w:rFonts w:ascii="Calibri" w:eastAsia="Calibri" w:hAnsi="Calibri"/>
                <w:sz w:val="16"/>
                <w:szCs w:val="16"/>
              </w:rPr>
              <w:t>iniciatívach.</w:t>
            </w:r>
          </w:p>
        </w:tc>
      </w:tr>
      <w:tr w:rsidR="004E2D6C" w:rsidRPr="004E2D6C" w:rsidTr="002377D3">
        <w:trPr>
          <w:trHeight w:val="395"/>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Pr>
          <w:p w:rsidR="004E2D6C" w:rsidRPr="00394471" w:rsidRDefault="004E2D6C" w:rsidP="001C5C9E">
            <w:pPr>
              <w:pStyle w:val="Odsekzoznamu"/>
              <w:numPr>
                <w:ilvl w:val="0"/>
                <w:numId w:val="90"/>
              </w:numPr>
              <w:spacing w:before="0"/>
              <w:ind w:left="175" w:hanging="141"/>
              <w:rPr>
                <w:rFonts w:ascii="Calibri" w:hAnsi="Calibri"/>
                <w:sz w:val="16"/>
                <w:szCs w:val="16"/>
                <w:lang w:eastAsia="sk-SK"/>
              </w:rPr>
            </w:pPr>
            <w:r w:rsidRPr="00394471">
              <w:rPr>
                <w:rFonts w:ascii="Calibri" w:hAnsi="Calibri"/>
                <w:sz w:val="16"/>
                <w:szCs w:val="16"/>
                <w:lang w:eastAsia="sk-SK"/>
              </w:rPr>
              <w:t>je založená na SWOT alebo podobnej analýze s cieľom sústrediť zdroje na obmedzený počet priorít v oblasti výskumu a inovácií,</w:t>
            </w:r>
          </w:p>
        </w:tc>
        <w:tc>
          <w:tcPr>
            <w:tcW w:w="1134" w:type="dxa"/>
            <w:vAlign w:val="center"/>
          </w:tcPr>
          <w:p w:rsidR="004E2D6C" w:rsidRPr="004E2D6C" w:rsidRDefault="00B01228" w:rsidP="00546908">
            <w:pPr>
              <w:spacing w:before="0"/>
              <w:jc w:val="center"/>
              <w:rPr>
                <w:rFonts w:ascii="Calibri" w:hAnsi="Calibri"/>
                <w:sz w:val="16"/>
                <w:szCs w:val="16"/>
              </w:rPr>
            </w:pPr>
            <w:r>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395"/>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Pr>
          <w:p w:rsidR="004E2D6C" w:rsidRPr="00394471" w:rsidRDefault="004E2D6C" w:rsidP="001C5C9E">
            <w:pPr>
              <w:pStyle w:val="Odsekzoznamu"/>
              <w:numPr>
                <w:ilvl w:val="0"/>
                <w:numId w:val="91"/>
              </w:numPr>
              <w:spacing w:before="0"/>
              <w:ind w:left="175" w:hanging="141"/>
              <w:rPr>
                <w:rFonts w:ascii="Calibri" w:hAnsi="Calibri"/>
                <w:sz w:val="16"/>
                <w:szCs w:val="16"/>
                <w:lang w:eastAsia="sk-SK"/>
              </w:rPr>
            </w:pPr>
            <w:r w:rsidRPr="00394471">
              <w:rPr>
                <w:rFonts w:ascii="Calibri" w:hAnsi="Calibri"/>
                <w:sz w:val="16"/>
                <w:szCs w:val="16"/>
                <w:lang w:eastAsia="sk-SK"/>
              </w:rPr>
              <w:t>opisuje opatrenia na podporu súkromných investícií do výskumu a vývoja,</w:t>
            </w:r>
          </w:p>
        </w:tc>
        <w:tc>
          <w:tcPr>
            <w:tcW w:w="1134" w:type="dxa"/>
            <w:vAlign w:val="center"/>
          </w:tcPr>
          <w:p w:rsidR="004E2D6C" w:rsidRPr="004E2D6C" w:rsidRDefault="004E2D6C" w:rsidP="00546908">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395"/>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Pr>
          <w:p w:rsidR="004E2D6C" w:rsidRPr="00394471" w:rsidRDefault="004E2D6C" w:rsidP="001C5C9E">
            <w:pPr>
              <w:pStyle w:val="Odsekzoznamu"/>
              <w:numPr>
                <w:ilvl w:val="0"/>
                <w:numId w:val="91"/>
              </w:numPr>
              <w:tabs>
                <w:tab w:val="left" w:pos="3"/>
              </w:tabs>
              <w:spacing w:before="0"/>
              <w:ind w:left="175" w:hanging="175"/>
              <w:rPr>
                <w:rFonts w:ascii="Calibri" w:hAnsi="Calibri"/>
                <w:sz w:val="16"/>
                <w:szCs w:val="16"/>
                <w:lang w:eastAsia="sk-SK"/>
              </w:rPr>
            </w:pPr>
            <w:r w:rsidRPr="00394471">
              <w:rPr>
                <w:rFonts w:ascii="Calibri" w:hAnsi="Calibri"/>
                <w:sz w:val="16"/>
                <w:szCs w:val="16"/>
                <w:lang w:eastAsia="sk-SK"/>
              </w:rPr>
              <w:t>obsahuje monitorovací mechanizmus.</w:t>
            </w:r>
          </w:p>
        </w:tc>
        <w:tc>
          <w:tcPr>
            <w:tcW w:w="1134" w:type="dxa"/>
            <w:vAlign w:val="center"/>
          </w:tcPr>
          <w:p w:rsidR="004E2D6C" w:rsidRPr="004E2D6C" w:rsidRDefault="000D59B7" w:rsidP="00546908">
            <w:pPr>
              <w:spacing w:before="0"/>
              <w:jc w:val="center"/>
              <w:rPr>
                <w:rFonts w:ascii="Calibri" w:hAnsi="Calibri"/>
                <w:sz w:val="16"/>
                <w:szCs w:val="16"/>
              </w:rPr>
            </w:pPr>
            <w:r>
              <w:rPr>
                <w:rFonts w:ascii="Calibri" w:hAnsi="Calibri"/>
                <w:b/>
                <w:sz w:val="16"/>
                <w:szCs w:val="16"/>
              </w:rPr>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395"/>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bottom w:val="single" w:sz="12" w:space="0" w:color="auto"/>
            </w:tcBorders>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Bol prijatý rámec opisujúci dostupné rozpočtové zdroje na výskum a inovácie.</w:t>
            </w:r>
          </w:p>
        </w:tc>
        <w:tc>
          <w:tcPr>
            <w:tcW w:w="1134" w:type="dxa"/>
            <w:tcBorders>
              <w:bottom w:val="single" w:sz="12" w:space="0" w:color="auto"/>
            </w:tcBorders>
            <w:vAlign w:val="center"/>
          </w:tcPr>
          <w:p w:rsidR="004E2D6C" w:rsidRPr="004E2D6C" w:rsidRDefault="004E2D6C" w:rsidP="00546908">
            <w:pPr>
              <w:spacing w:before="0"/>
              <w:jc w:val="center"/>
              <w:rPr>
                <w:rFonts w:ascii="Calibri" w:hAnsi="Calibri"/>
                <w:sz w:val="16"/>
                <w:szCs w:val="16"/>
              </w:rPr>
            </w:pPr>
            <w:r w:rsidRPr="004E2D6C">
              <w:rPr>
                <w:rFonts w:ascii="Calibri" w:hAnsi="Calibri"/>
                <w:b/>
                <w:sz w:val="16"/>
                <w:szCs w:val="16"/>
              </w:rPr>
              <w:t>Nie</w:t>
            </w:r>
          </w:p>
        </w:tc>
        <w:tc>
          <w:tcPr>
            <w:tcW w:w="311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c>
          <w:tcPr>
            <w:tcW w:w="1668" w:type="dxa"/>
            <w:tcBorders>
              <w:top w:val="single" w:sz="12" w:space="0" w:color="auto"/>
              <w:left w:val="single" w:sz="12" w:space="0" w:color="auto"/>
              <w:bottom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1.2 Výskumná a</w:t>
            </w:r>
            <w:r w:rsidR="00BB4497">
              <w:rPr>
                <w:rFonts w:ascii="Calibri" w:hAnsi="Calibri"/>
                <w:sz w:val="16"/>
                <w:szCs w:val="16"/>
              </w:rPr>
              <w:t> </w:t>
            </w:r>
            <w:r w:rsidRPr="004E2D6C">
              <w:rPr>
                <w:rFonts w:ascii="Calibri" w:hAnsi="Calibri"/>
                <w:sz w:val="16"/>
                <w:szCs w:val="16"/>
              </w:rPr>
              <w:t>inovačná</w:t>
            </w:r>
            <w:r w:rsidR="00BB4497">
              <w:rPr>
                <w:rFonts w:ascii="Calibri" w:hAnsi="Calibri"/>
                <w:sz w:val="16"/>
                <w:szCs w:val="16"/>
              </w:rPr>
              <w:t xml:space="preserve"> </w:t>
            </w:r>
            <w:r w:rsidRPr="004E2D6C">
              <w:rPr>
                <w:rFonts w:ascii="Calibri" w:hAnsi="Calibri"/>
                <w:sz w:val="16"/>
                <w:szCs w:val="16"/>
              </w:rPr>
              <w:t>infraštruktúra. Existencia viacročného plánu na zostavenie rozpočtu a</w:t>
            </w:r>
            <w:r w:rsidR="00BB4497">
              <w:rPr>
                <w:rFonts w:ascii="Calibri" w:hAnsi="Calibri"/>
                <w:sz w:val="16"/>
                <w:szCs w:val="16"/>
              </w:rPr>
              <w:t> </w:t>
            </w:r>
            <w:r w:rsidRPr="004E2D6C">
              <w:rPr>
                <w:rFonts w:ascii="Calibri" w:hAnsi="Calibri"/>
                <w:sz w:val="16"/>
                <w:szCs w:val="16"/>
              </w:rPr>
              <w:t>zoradenie investícií podľa priority.</w:t>
            </w:r>
          </w:p>
        </w:tc>
        <w:tc>
          <w:tcPr>
            <w:tcW w:w="1559" w:type="dxa"/>
            <w:tcBorders>
              <w:top w:val="single" w:sz="12" w:space="0" w:color="auto"/>
              <w:bottom w:val="single" w:sz="12" w:space="0" w:color="auto"/>
            </w:tcBorders>
            <w:vAlign w:val="center"/>
          </w:tcPr>
          <w:p w:rsidR="004E2D6C" w:rsidRPr="004E2D6C" w:rsidRDefault="004E2D6C" w:rsidP="00BB4497">
            <w:pPr>
              <w:spacing w:before="0"/>
              <w:jc w:val="center"/>
              <w:rPr>
                <w:rFonts w:ascii="Calibri" w:hAnsi="Calibri"/>
                <w:sz w:val="16"/>
                <w:szCs w:val="16"/>
              </w:rPr>
            </w:pPr>
            <w:r w:rsidRPr="004E2D6C">
              <w:rPr>
                <w:rFonts w:ascii="Calibri" w:hAnsi="Calibri"/>
                <w:b/>
                <w:sz w:val="16"/>
                <w:szCs w:val="16"/>
              </w:rPr>
              <w:t>Nie</w:t>
            </w:r>
          </w:p>
        </w:tc>
        <w:tc>
          <w:tcPr>
            <w:tcW w:w="2551" w:type="dxa"/>
            <w:tcBorders>
              <w:top w:val="single" w:sz="12" w:space="0" w:color="auto"/>
              <w:bottom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Bol prijatý orientačný viacročný plán na zostavenie rozpočtu a zoradenie investícií súvisiacich s prioritami Únie a</w:t>
            </w:r>
            <w:r w:rsidR="00BB4497">
              <w:rPr>
                <w:rFonts w:ascii="Calibri" w:hAnsi="Calibri"/>
                <w:sz w:val="16"/>
                <w:szCs w:val="16"/>
              </w:rPr>
              <w:t> </w:t>
            </w:r>
            <w:r w:rsidRPr="004E2D6C">
              <w:rPr>
                <w:rFonts w:ascii="Calibri" w:hAnsi="Calibri"/>
                <w:sz w:val="16"/>
                <w:szCs w:val="16"/>
              </w:rPr>
              <w:t>v prípade potreby s</w:t>
            </w:r>
            <w:r w:rsidR="00BB4497">
              <w:rPr>
                <w:rFonts w:ascii="Calibri" w:hAnsi="Calibri"/>
                <w:sz w:val="16"/>
                <w:szCs w:val="16"/>
              </w:rPr>
              <w:t> </w:t>
            </w:r>
            <w:r w:rsidRPr="004E2D6C">
              <w:rPr>
                <w:rFonts w:ascii="Calibri" w:hAnsi="Calibri"/>
                <w:sz w:val="16"/>
                <w:szCs w:val="16"/>
              </w:rPr>
              <w:t>Európskym strategickým fórom o výskumných infraštruktúrach (ESFRI) podľa priority.</w:t>
            </w:r>
          </w:p>
        </w:tc>
        <w:tc>
          <w:tcPr>
            <w:tcW w:w="1134" w:type="dxa"/>
            <w:tcBorders>
              <w:top w:val="single" w:sz="12" w:space="0" w:color="auto"/>
              <w:bottom w:val="single" w:sz="12" w:space="0" w:color="auto"/>
            </w:tcBorders>
            <w:vAlign w:val="center"/>
          </w:tcPr>
          <w:p w:rsidR="004E2D6C" w:rsidRPr="004E2D6C" w:rsidRDefault="004E2D6C" w:rsidP="00BB4497">
            <w:pPr>
              <w:spacing w:before="0"/>
              <w:jc w:val="center"/>
              <w:rPr>
                <w:rFonts w:ascii="Calibri" w:hAnsi="Calibri"/>
                <w:sz w:val="16"/>
                <w:szCs w:val="16"/>
              </w:rPr>
            </w:pPr>
            <w:r w:rsidRPr="004E2D6C">
              <w:rPr>
                <w:rFonts w:ascii="Calibri" w:hAnsi="Calibri"/>
                <w:b/>
                <w:sz w:val="16"/>
                <w:szCs w:val="16"/>
              </w:rPr>
              <w:t>Nie</w:t>
            </w:r>
          </w:p>
        </w:tc>
        <w:tc>
          <w:tcPr>
            <w:tcW w:w="3119" w:type="dxa"/>
            <w:tcBorders>
              <w:top w:val="single" w:sz="12" w:space="0" w:color="auto"/>
              <w:bottom w:val="single" w:sz="12" w:space="0" w:color="auto"/>
            </w:tcBorders>
          </w:tcPr>
          <w:p w:rsidR="004E2D6C" w:rsidRPr="003F0750" w:rsidRDefault="004E2D6C" w:rsidP="004E2D6C">
            <w:pPr>
              <w:tabs>
                <w:tab w:val="left" w:pos="3"/>
                <w:tab w:val="num" w:pos="2580"/>
              </w:tabs>
              <w:spacing w:before="0" w:line="276" w:lineRule="auto"/>
              <w:rPr>
                <w:rFonts w:ascii="Calibri" w:hAnsi="Calibri"/>
                <w:sz w:val="16"/>
                <w:szCs w:val="16"/>
              </w:rPr>
            </w:pPr>
          </w:p>
        </w:tc>
        <w:tc>
          <w:tcPr>
            <w:tcW w:w="4111" w:type="dxa"/>
            <w:tcBorders>
              <w:top w:val="single" w:sz="12" w:space="0" w:color="auto"/>
              <w:bottom w:val="single" w:sz="12" w:space="0" w:color="auto"/>
              <w:right w:val="single" w:sz="12" w:space="0" w:color="auto"/>
            </w:tcBorders>
          </w:tcPr>
          <w:p w:rsidR="004E2D6C" w:rsidRPr="004E2D6C" w:rsidRDefault="004E2D6C" w:rsidP="008936A3">
            <w:pPr>
              <w:spacing w:before="0"/>
              <w:rPr>
                <w:rFonts w:ascii="Calibri" w:hAnsi="Calibri"/>
                <w:sz w:val="16"/>
                <w:szCs w:val="16"/>
              </w:rPr>
            </w:pPr>
            <w:r w:rsidRPr="004E2D6C">
              <w:rPr>
                <w:rFonts w:ascii="Calibri" w:hAnsi="Calibri"/>
                <w:sz w:val="16"/>
                <w:szCs w:val="16"/>
              </w:rPr>
              <w:t>Prioritizácia investícií je zahrnutá do RIS3. Indikatívny viacročný plán pre rozpočtovanie a</w:t>
            </w:r>
            <w:r w:rsidR="00BB4497">
              <w:rPr>
                <w:rFonts w:ascii="Calibri" w:hAnsi="Calibri"/>
                <w:sz w:val="16"/>
                <w:szCs w:val="16"/>
              </w:rPr>
              <w:t> </w:t>
            </w:r>
            <w:r w:rsidRPr="004E2D6C">
              <w:rPr>
                <w:rFonts w:ascii="Calibri" w:hAnsi="Calibri"/>
                <w:sz w:val="16"/>
                <w:szCs w:val="16"/>
              </w:rPr>
              <w:t xml:space="preserve">zoznam investícií budú zapracované do akčného plánu RIS3, ktorý by mal byť predložený vláde SR </w:t>
            </w:r>
            <w:r w:rsidRPr="008936A3">
              <w:rPr>
                <w:rFonts w:ascii="Calibri" w:hAnsi="Calibri"/>
                <w:sz w:val="16"/>
                <w:szCs w:val="16"/>
              </w:rPr>
              <w:t xml:space="preserve">do </w:t>
            </w:r>
            <w:r w:rsidR="008936A3">
              <w:rPr>
                <w:rFonts w:ascii="Calibri" w:hAnsi="Calibri"/>
                <w:sz w:val="16"/>
                <w:szCs w:val="16"/>
              </w:rPr>
              <w:t>30. 11.</w:t>
            </w:r>
            <w:r w:rsidR="00C611EB" w:rsidRPr="008936A3">
              <w:rPr>
                <w:rFonts w:ascii="Calibri" w:hAnsi="Calibri"/>
                <w:sz w:val="16"/>
                <w:szCs w:val="16"/>
              </w:rPr>
              <w:t xml:space="preserve"> </w:t>
            </w:r>
            <w:r w:rsidRPr="008936A3">
              <w:rPr>
                <w:rFonts w:ascii="Calibri" w:hAnsi="Calibri"/>
                <w:sz w:val="16"/>
                <w:szCs w:val="16"/>
              </w:rPr>
              <w:t>2014.</w:t>
            </w:r>
          </w:p>
        </w:tc>
      </w:tr>
      <w:tr w:rsidR="004E2D6C" w:rsidRPr="004E2D6C" w:rsidTr="00394471">
        <w:trPr>
          <w:trHeight w:val="450"/>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2.1. Rast v oblasti digitálnych služieb: strategický politický rámec pre digitálny rast, ktorý má podporovať finančne dostupné, kvalitné a interoperabilné súkromné a verejné služby využívajúce IKT a zvýšiť ich využívanie občanmi vrátane zraniteľných skupín, podnikateľskými subjektmi a verejnou správou vrátane cezhraničných iniciatív.</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2551" w:type="dxa"/>
            <w:tcBorders>
              <w:top w:val="single" w:sz="12" w:space="0" w:color="auto"/>
              <w:bottom w:val="single" w:sz="2" w:space="0" w:color="auto"/>
            </w:tcBorders>
            <w:vAlign w:val="center"/>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Zavedený je strategický politický rámec pre rast v oblasti digitálnych služieb, napríklad v rámci národnej alebo regionálnej stratégie pre inteligentnú špecializáciu, ktorý obsahuje:</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top w:val="single" w:sz="12" w:space="0" w:color="auto"/>
            </w:tcBorders>
          </w:tcPr>
          <w:p w:rsidR="004E2D6C" w:rsidRPr="004E2D6C" w:rsidRDefault="004E2D6C" w:rsidP="004E2D6C">
            <w:pPr>
              <w:spacing w:before="0"/>
              <w:rPr>
                <w:rFonts w:ascii="Calibri" w:hAnsi="Calibri"/>
                <w:i/>
                <w:sz w:val="16"/>
                <w:szCs w:val="16"/>
              </w:rPr>
            </w:pPr>
            <w:r w:rsidRPr="004E2D6C">
              <w:rPr>
                <w:rFonts w:ascii="Calibri" w:hAnsi="Calibri"/>
                <w:i/>
                <w:sz w:val="16"/>
                <w:szCs w:val="16"/>
              </w:rPr>
              <w:t>Strategický dokument pre oblasť rastu digitálnych služieb a oblasť infraštruktúry prístupovej siete novej generácie</w:t>
            </w:r>
            <w:r w:rsidR="00052419">
              <w:rPr>
                <w:rFonts w:ascii="Calibri" w:hAnsi="Calibri"/>
                <w:i/>
                <w:sz w:val="16"/>
                <w:szCs w:val="16"/>
              </w:rPr>
              <w:t>.</w:t>
            </w:r>
          </w:p>
          <w:p w:rsidR="004E2D6C" w:rsidRPr="004E2D6C" w:rsidRDefault="004E2D6C" w:rsidP="004E2D6C">
            <w:pPr>
              <w:spacing w:before="0"/>
              <w:rPr>
                <w:rFonts w:ascii="Calibri" w:hAnsi="Calibri"/>
                <w:sz w:val="16"/>
                <w:szCs w:val="16"/>
              </w:rPr>
            </w:pPr>
          </w:p>
          <w:p w:rsidR="004E2D6C" w:rsidRPr="004E2D6C" w:rsidRDefault="00ED6BC8" w:rsidP="004E2D6C">
            <w:pPr>
              <w:spacing w:before="0"/>
              <w:rPr>
                <w:rFonts w:ascii="Calibri" w:hAnsi="Calibri"/>
                <w:sz w:val="16"/>
                <w:szCs w:val="16"/>
              </w:rPr>
            </w:pPr>
            <w:hyperlink r:id="rId48" w:history="1">
              <w:r w:rsidR="004E2D6C" w:rsidRPr="004E2D6C">
                <w:rPr>
                  <w:rFonts w:ascii="Calibri" w:hAnsi="Calibri"/>
                  <w:color w:val="0000FF"/>
                  <w:sz w:val="16"/>
                  <w:szCs w:val="16"/>
                  <w:u w:val="single"/>
                </w:rPr>
                <w:t>http://www.rokovania.sk/Rokovanie.aspx/BodRokovaniaDetail?idMaterial=23177</w:t>
              </w:r>
            </w:hyperlink>
          </w:p>
          <w:p w:rsidR="004E2D6C" w:rsidRPr="004E2D6C" w:rsidRDefault="004E2D6C" w:rsidP="004E2D6C">
            <w:pPr>
              <w:spacing w:before="0"/>
              <w:rPr>
                <w:rFonts w:ascii="Calibri" w:hAnsi="Calibri"/>
                <w:b/>
                <w:sz w:val="16"/>
                <w:szCs w:val="16"/>
              </w:rPr>
            </w:pPr>
            <w:r w:rsidRPr="004E2D6C">
              <w:rPr>
                <w:rFonts w:ascii="Calibri" w:hAnsi="Calibri"/>
                <w:sz w:val="16"/>
                <w:szCs w:val="16"/>
              </w:rPr>
              <w:t>Dňa 8.</w:t>
            </w:r>
            <w:r w:rsidR="00C611EB">
              <w:rPr>
                <w:rFonts w:ascii="Calibri" w:hAnsi="Calibri"/>
                <w:sz w:val="16"/>
                <w:szCs w:val="16"/>
              </w:rPr>
              <w:t xml:space="preserve"> </w:t>
            </w:r>
            <w:r w:rsidRPr="004E2D6C">
              <w:rPr>
                <w:rFonts w:ascii="Calibri" w:hAnsi="Calibri"/>
                <w:sz w:val="16"/>
                <w:szCs w:val="16"/>
              </w:rPr>
              <w:t>1.</w:t>
            </w:r>
            <w:r w:rsidR="00C611EB">
              <w:rPr>
                <w:rFonts w:ascii="Calibri" w:hAnsi="Calibri"/>
                <w:sz w:val="16"/>
                <w:szCs w:val="16"/>
              </w:rPr>
              <w:t xml:space="preserve"> </w:t>
            </w:r>
            <w:r w:rsidRPr="004E2D6C">
              <w:rPr>
                <w:rFonts w:ascii="Calibri" w:hAnsi="Calibri"/>
                <w:sz w:val="16"/>
                <w:szCs w:val="16"/>
              </w:rPr>
              <w:t xml:space="preserve">2014 vláda SR vzala dokument na vedomie. </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Strategický dokument stanovuje stratégiu rozvoja e</w:t>
            </w:r>
            <w:r w:rsidR="00052419">
              <w:rPr>
                <w:rFonts w:ascii="Calibri" w:hAnsi="Calibri"/>
                <w:sz w:val="16"/>
                <w:szCs w:val="16"/>
              </w:rPr>
              <w:t>-</w:t>
            </w:r>
            <w:r w:rsidRPr="004E2D6C">
              <w:rPr>
                <w:rFonts w:ascii="Calibri" w:hAnsi="Calibri"/>
                <w:sz w:val="16"/>
                <w:szCs w:val="16"/>
              </w:rPr>
              <w:t xml:space="preserve">Governmentu na programové obdobie 2014 </w:t>
            </w:r>
            <w:r w:rsidR="008936A3">
              <w:rPr>
                <w:rFonts w:ascii="Calibri" w:hAnsi="Calibri"/>
                <w:sz w:val="16"/>
                <w:szCs w:val="16"/>
              </w:rPr>
              <w:t>–</w:t>
            </w:r>
            <w:r w:rsidRPr="004E2D6C">
              <w:rPr>
                <w:rFonts w:ascii="Calibri" w:hAnsi="Calibri"/>
                <w:sz w:val="16"/>
                <w:szCs w:val="16"/>
              </w:rPr>
              <w:t xml:space="preserve"> 2020 a</w:t>
            </w:r>
            <w:r w:rsidR="008936A3">
              <w:rPr>
                <w:rFonts w:ascii="Calibri" w:hAnsi="Calibri"/>
                <w:sz w:val="16"/>
                <w:szCs w:val="16"/>
              </w:rPr>
              <w:t> </w:t>
            </w:r>
            <w:r w:rsidRPr="004E2D6C">
              <w:rPr>
                <w:rFonts w:ascii="Calibri" w:hAnsi="Calibri"/>
                <w:sz w:val="16"/>
                <w:szCs w:val="16"/>
              </w:rPr>
              <w:t>zároveň</w:t>
            </w:r>
            <w:r w:rsidR="008936A3">
              <w:rPr>
                <w:rFonts w:ascii="Calibri" w:hAnsi="Calibri"/>
                <w:sz w:val="16"/>
                <w:szCs w:val="16"/>
              </w:rPr>
              <w:t xml:space="preserve"> </w:t>
            </w:r>
            <w:r w:rsidRPr="004E2D6C">
              <w:rPr>
                <w:rFonts w:ascii="Calibri" w:hAnsi="Calibri"/>
                <w:sz w:val="16"/>
                <w:szCs w:val="16"/>
              </w:rPr>
              <w:t>plní ciele uvedené v pozičnom dokumente EK a</w:t>
            </w:r>
            <w:r w:rsidR="008936A3">
              <w:rPr>
                <w:rFonts w:ascii="Calibri" w:hAnsi="Calibri"/>
                <w:sz w:val="16"/>
                <w:szCs w:val="16"/>
              </w:rPr>
              <w:t> </w:t>
            </w:r>
            <w:r w:rsidRPr="004E2D6C">
              <w:rPr>
                <w:rFonts w:ascii="Calibri" w:hAnsi="Calibri"/>
                <w:sz w:val="16"/>
                <w:szCs w:val="16"/>
              </w:rPr>
              <w:t>realizuje</w:t>
            </w:r>
            <w:r w:rsidR="008936A3">
              <w:rPr>
                <w:rFonts w:ascii="Calibri" w:hAnsi="Calibri"/>
                <w:sz w:val="16"/>
                <w:szCs w:val="16"/>
              </w:rPr>
              <w:t xml:space="preserve"> </w:t>
            </w:r>
            <w:r w:rsidRPr="004E2D6C">
              <w:rPr>
                <w:rFonts w:ascii="Calibri" w:hAnsi="Calibri"/>
                <w:sz w:val="16"/>
                <w:szCs w:val="16"/>
              </w:rPr>
              <w:t xml:space="preserve">opatrenia v zmysle Digitálnej agendy pre Európu. Strategický dokument slúži ako východisko </w:t>
            </w:r>
            <w:r w:rsidR="00C068A2">
              <w:rPr>
                <w:rFonts w:ascii="Calibri" w:hAnsi="Calibri"/>
                <w:sz w:val="16"/>
                <w:szCs w:val="16"/>
              </w:rPr>
              <w:t>pre</w:t>
            </w:r>
            <w:r w:rsidRPr="004E2D6C">
              <w:rPr>
                <w:rFonts w:ascii="Calibri" w:hAnsi="Calibri"/>
                <w:sz w:val="16"/>
                <w:szCs w:val="16"/>
              </w:rPr>
              <w:t xml:space="preserve"> prípravu </w:t>
            </w:r>
            <w:r w:rsidR="00C068A2">
              <w:rPr>
                <w:rFonts w:ascii="Calibri" w:hAnsi="Calibri"/>
                <w:sz w:val="16"/>
                <w:szCs w:val="16"/>
              </w:rPr>
              <w:t>O</w:t>
            </w:r>
            <w:r w:rsidR="003519A3">
              <w:rPr>
                <w:rFonts w:ascii="Calibri" w:hAnsi="Calibri"/>
                <w:sz w:val="16"/>
                <w:szCs w:val="16"/>
              </w:rPr>
              <w:t xml:space="preserve">P II </w:t>
            </w:r>
            <w:r w:rsidRPr="004E2D6C">
              <w:rPr>
                <w:rFonts w:ascii="Calibri" w:hAnsi="Calibri"/>
                <w:sz w:val="16"/>
                <w:szCs w:val="16"/>
              </w:rPr>
              <w:t xml:space="preserve">(prioritná os </w:t>
            </w:r>
            <w:r w:rsidR="001E2981" w:rsidRPr="004E2D6C">
              <w:rPr>
                <w:rFonts w:ascii="Calibri" w:hAnsi="Calibri"/>
                <w:sz w:val="16"/>
                <w:szCs w:val="16"/>
              </w:rPr>
              <w:t>Informa</w:t>
            </w:r>
            <w:r w:rsidR="001E2981">
              <w:rPr>
                <w:rFonts w:ascii="Calibri" w:hAnsi="Calibri"/>
                <w:sz w:val="16"/>
                <w:szCs w:val="16"/>
              </w:rPr>
              <w:t>čná</w:t>
            </w:r>
            <w:r w:rsidR="001E2981" w:rsidRPr="004E2D6C">
              <w:rPr>
                <w:rFonts w:ascii="Calibri" w:hAnsi="Calibri"/>
                <w:sz w:val="16"/>
                <w:szCs w:val="16"/>
              </w:rPr>
              <w:t xml:space="preserve"> </w:t>
            </w:r>
            <w:r w:rsidRPr="004E2D6C">
              <w:rPr>
                <w:rFonts w:ascii="Calibri" w:hAnsi="Calibri"/>
                <w:sz w:val="16"/>
                <w:szCs w:val="16"/>
              </w:rPr>
              <w:t>spoločnos</w:t>
            </w:r>
            <w:r w:rsidR="001E2981">
              <w:rPr>
                <w:rFonts w:ascii="Calibri" w:hAnsi="Calibri"/>
                <w:sz w:val="16"/>
                <w:szCs w:val="16"/>
              </w:rPr>
              <w:t>ť</w:t>
            </w:r>
            <w:r w:rsidRPr="004E2D6C">
              <w:rPr>
                <w:rFonts w:ascii="Calibri" w:hAnsi="Calibri"/>
                <w:sz w:val="16"/>
                <w:szCs w:val="16"/>
              </w:rPr>
              <w:t>). Strategický dokument definuje strategické ciele v oblasti rozvoja e</w:t>
            </w:r>
            <w:r w:rsidR="00052419">
              <w:rPr>
                <w:rFonts w:ascii="Calibri" w:hAnsi="Calibri"/>
                <w:sz w:val="16"/>
                <w:szCs w:val="16"/>
              </w:rPr>
              <w:t>-</w:t>
            </w:r>
            <w:r w:rsidRPr="004E2D6C">
              <w:rPr>
                <w:rFonts w:ascii="Calibri" w:hAnsi="Calibri"/>
                <w:sz w:val="16"/>
                <w:szCs w:val="16"/>
              </w:rPr>
              <w:t>Governmentu na Slovensku do roku 2020 a ich prepojenie na navrhované priority. Medzi priority a špecifické ciele ďalšieho rozvoja informačnej spoločnosti na Slovensku patria:</w:t>
            </w:r>
          </w:p>
          <w:p w:rsidR="004E2D6C" w:rsidRPr="004E2D6C" w:rsidRDefault="004E2D6C" w:rsidP="004E2D6C">
            <w:pPr>
              <w:spacing w:before="0"/>
              <w:rPr>
                <w:rFonts w:ascii="Calibri" w:hAnsi="Calibri"/>
                <w:b/>
                <w:sz w:val="16"/>
                <w:szCs w:val="16"/>
              </w:rPr>
            </w:pPr>
            <w:r w:rsidRPr="004E2D6C">
              <w:rPr>
                <w:rFonts w:ascii="Calibri" w:hAnsi="Calibri"/>
                <w:sz w:val="16"/>
                <w:szCs w:val="16"/>
              </w:rPr>
              <w:t xml:space="preserve"> </w:t>
            </w:r>
            <w:r w:rsidRPr="004E2D6C">
              <w:rPr>
                <w:rFonts w:ascii="Calibri" w:hAnsi="Calibri"/>
                <w:b/>
                <w:sz w:val="16"/>
                <w:szCs w:val="16"/>
              </w:rPr>
              <w:t>Služby občanom a podnikateľom</w:t>
            </w:r>
          </w:p>
          <w:p w:rsidR="004E2D6C" w:rsidRPr="00394471" w:rsidRDefault="004E2D6C" w:rsidP="001C5C9E">
            <w:pPr>
              <w:pStyle w:val="Odsekzoznamu"/>
              <w:numPr>
                <w:ilvl w:val="0"/>
                <w:numId w:val="94"/>
              </w:numPr>
              <w:spacing w:before="0"/>
              <w:ind w:left="317" w:hanging="283"/>
              <w:rPr>
                <w:rFonts w:ascii="Calibri" w:hAnsi="Calibri"/>
                <w:sz w:val="16"/>
                <w:szCs w:val="16"/>
              </w:rPr>
            </w:pPr>
            <w:r w:rsidRPr="00394471">
              <w:rPr>
                <w:rFonts w:ascii="Calibri" w:hAnsi="Calibri"/>
                <w:sz w:val="16"/>
                <w:szCs w:val="16"/>
              </w:rPr>
              <w:t>rozvoj elektronických služieb</w:t>
            </w:r>
          </w:p>
          <w:p w:rsidR="004E2D6C" w:rsidRPr="00394471" w:rsidRDefault="004E2D6C" w:rsidP="001C5C9E">
            <w:pPr>
              <w:pStyle w:val="Odsekzoznamu"/>
              <w:numPr>
                <w:ilvl w:val="0"/>
                <w:numId w:val="94"/>
              </w:numPr>
              <w:spacing w:before="0"/>
              <w:ind w:left="317" w:hanging="283"/>
              <w:rPr>
                <w:rFonts w:ascii="Calibri" w:hAnsi="Calibri"/>
                <w:sz w:val="16"/>
                <w:szCs w:val="16"/>
              </w:rPr>
            </w:pPr>
            <w:r w:rsidRPr="00394471">
              <w:rPr>
                <w:rFonts w:ascii="Calibri" w:hAnsi="Calibri"/>
                <w:sz w:val="16"/>
                <w:szCs w:val="16"/>
              </w:rPr>
              <w:t>využívanie otvorených dát</w:t>
            </w:r>
          </w:p>
          <w:p w:rsidR="004E2D6C" w:rsidRPr="00394471" w:rsidRDefault="004E2D6C" w:rsidP="001C5C9E">
            <w:pPr>
              <w:pStyle w:val="Odsekzoznamu"/>
              <w:numPr>
                <w:ilvl w:val="0"/>
                <w:numId w:val="94"/>
              </w:numPr>
              <w:spacing w:before="0"/>
              <w:ind w:left="317" w:hanging="283"/>
              <w:rPr>
                <w:rFonts w:ascii="Calibri" w:hAnsi="Calibri"/>
                <w:sz w:val="16"/>
                <w:szCs w:val="16"/>
              </w:rPr>
            </w:pPr>
            <w:r w:rsidRPr="00394471">
              <w:rPr>
                <w:rFonts w:ascii="Calibri" w:hAnsi="Calibri"/>
                <w:sz w:val="16"/>
                <w:szCs w:val="16"/>
              </w:rPr>
              <w:t>podpora malých a stredných podnikateľov v digitálnej ekonomike</w:t>
            </w:r>
          </w:p>
          <w:p w:rsidR="004E2D6C" w:rsidRPr="00394471" w:rsidRDefault="004E2D6C" w:rsidP="001C5C9E">
            <w:pPr>
              <w:pStyle w:val="Odsekzoznamu"/>
              <w:numPr>
                <w:ilvl w:val="0"/>
                <w:numId w:val="94"/>
              </w:numPr>
              <w:spacing w:before="0"/>
              <w:ind w:left="317" w:hanging="283"/>
              <w:rPr>
                <w:rFonts w:ascii="Calibri" w:hAnsi="Calibri"/>
                <w:sz w:val="16"/>
                <w:szCs w:val="16"/>
              </w:rPr>
            </w:pPr>
            <w:r w:rsidRPr="00394471">
              <w:rPr>
                <w:rFonts w:ascii="Calibri" w:hAnsi="Calibri"/>
                <w:sz w:val="16"/>
                <w:szCs w:val="16"/>
              </w:rPr>
              <w:t>podpora e</w:t>
            </w:r>
            <w:r w:rsidR="00E60EFC" w:rsidRPr="00394471">
              <w:rPr>
                <w:rFonts w:ascii="Calibri" w:hAnsi="Calibri"/>
                <w:sz w:val="16"/>
                <w:szCs w:val="16"/>
              </w:rPr>
              <w:t>-</w:t>
            </w:r>
            <w:r w:rsidRPr="00394471">
              <w:rPr>
                <w:rFonts w:ascii="Calibri" w:hAnsi="Calibri"/>
                <w:sz w:val="16"/>
                <w:szCs w:val="16"/>
              </w:rPr>
              <w:t>Inklúzie</w:t>
            </w:r>
          </w:p>
          <w:p w:rsidR="004E2D6C" w:rsidRPr="004E2D6C" w:rsidRDefault="004E2D6C" w:rsidP="004E2D6C">
            <w:pPr>
              <w:spacing w:before="0"/>
              <w:rPr>
                <w:rFonts w:ascii="Calibri" w:hAnsi="Calibri"/>
                <w:b/>
                <w:sz w:val="16"/>
                <w:szCs w:val="16"/>
              </w:rPr>
            </w:pPr>
            <w:r w:rsidRPr="004E2D6C">
              <w:rPr>
                <w:rFonts w:ascii="Calibri" w:hAnsi="Calibri"/>
                <w:b/>
                <w:sz w:val="16"/>
                <w:szCs w:val="16"/>
              </w:rPr>
              <w:t xml:space="preserve">Efektívna verejná správa </w:t>
            </w:r>
          </w:p>
          <w:p w:rsidR="004E2D6C" w:rsidRPr="00394471" w:rsidRDefault="004E2D6C" w:rsidP="001C5C9E">
            <w:pPr>
              <w:pStyle w:val="Odsekzoznamu"/>
              <w:numPr>
                <w:ilvl w:val="0"/>
                <w:numId w:val="95"/>
              </w:numPr>
              <w:spacing w:before="0"/>
              <w:ind w:left="317" w:hanging="283"/>
              <w:rPr>
                <w:rFonts w:ascii="Calibri" w:hAnsi="Calibri"/>
                <w:sz w:val="16"/>
                <w:szCs w:val="16"/>
              </w:rPr>
            </w:pPr>
            <w:r w:rsidRPr="00394471">
              <w:rPr>
                <w:rFonts w:ascii="Calibri" w:hAnsi="Calibri"/>
                <w:sz w:val="16"/>
                <w:szCs w:val="16"/>
              </w:rPr>
              <w:t>zavedenie inovačného centra e</w:t>
            </w:r>
            <w:r w:rsidR="00052419" w:rsidRPr="00394471">
              <w:rPr>
                <w:rFonts w:ascii="Calibri" w:hAnsi="Calibri"/>
                <w:sz w:val="16"/>
                <w:szCs w:val="16"/>
              </w:rPr>
              <w:t>-</w:t>
            </w:r>
            <w:r w:rsidRPr="00394471">
              <w:rPr>
                <w:rFonts w:ascii="Calibri" w:hAnsi="Calibri"/>
                <w:sz w:val="16"/>
                <w:szCs w:val="16"/>
              </w:rPr>
              <w:t>Governmentu</w:t>
            </w:r>
          </w:p>
          <w:p w:rsidR="004E2D6C" w:rsidRPr="00394471" w:rsidRDefault="004E2D6C" w:rsidP="001C5C9E">
            <w:pPr>
              <w:pStyle w:val="Odsekzoznamu"/>
              <w:numPr>
                <w:ilvl w:val="0"/>
                <w:numId w:val="95"/>
              </w:numPr>
              <w:spacing w:before="0"/>
              <w:ind w:left="317" w:hanging="283"/>
              <w:rPr>
                <w:rFonts w:ascii="Calibri" w:hAnsi="Calibri"/>
                <w:sz w:val="16"/>
                <w:szCs w:val="16"/>
              </w:rPr>
            </w:pPr>
            <w:r w:rsidRPr="00394471">
              <w:rPr>
                <w:rFonts w:ascii="Calibri" w:hAnsi="Calibri"/>
                <w:sz w:val="16"/>
                <w:szCs w:val="16"/>
              </w:rPr>
              <w:t>podpora procesov efektívnej verejnej správy</w:t>
            </w:r>
          </w:p>
          <w:p w:rsidR="004E2D6C" w:rsidRPr="00394471" w:rsidRDefault="004E2D6C" w:rsidP="001C5C9E">
            <w:pPr>
              <w:pStyle w:val="Odsekzoznamu"/>
              <w:numPr>
                <w:ilvl w:val="0"/>
                <w:numId w:val="95"/>
              </w:numPr>
              <w:spacing w:before="0"/>
              <w:ind w:left="317" w:hanging="283"/>
              <w:rPr>
                <w:rFonts w:ascii="Calibri" w:hAnsi="Calibri"/>
                <w:sz w:val="16"/>
                <w:szCs w:val="16"/>
              </w:rPr>
            </w:pPr>
            <w:r w:rsidRPr="00394471">
              <w:rPr>
                <w:rFonts w:ascii="Calibri" w:hAnsi="Calibri"/>
                <w:sz w:val="16"/>
                <w:szCs w:val="16"/>
              </w:rPr>
              <w:t>zavedenie e</w:t>
            </w:r>
            <w:r w:rsidR="00052419" w:rsidRPr="00394471">
              <w:rPr>
                <w:rFonts w:ascii="Calibri" w:hAnsi="Calibri"/>
                <w:sz w:val="16"/>
                <w:szCs w:val="16"/>
              </w:rPr>
              <w:t>-</w:t>
            </w:r>
            <w:r w:rsidRPr="00394471">
              <w:rPr>
                <w:rFonts w:ascii="Calibri" w:hAnsi="Calibri"/>
                <w:sz w:val="16"/>
                <w:szCs w:val="16"/>
              </w:rPr>
              <w:t>Government cloudu</w:t>
            </w:r>
          </w:p>
          <w:p w:rsidR="004E2D6C" w:rsidRPr="00394471" w:rsidRDefault="004E2D6C" w:rsidP="001C5C9E">
            <w:pPr>
              <w:pStyle w:val="Odsekzoznamu"/>
              <w:numPr>
                <w:ilvl w:val="0"/>
                <w:numId w:val="95"/>
              </w:numPr>
              <w:spacing w:before="0"/>
              <w:ind w:left="317" w:hanging="283"/>
              <w:rPr>
                <w:rFonts w:ascii="Calibri" w:hAnsi="Calibri"/>
                <w:sz w:val="16"/>
                <w:szCs w:val="16"/>
              </w:rPr>
            </w:pPr>
            <w:r w:rsidRPr="00394471">
              <w:rPr>
                <w:rFonts w:ascii="Calibri" w:hAnsi="Calibri"/>
                <w:sz w:val="16"/>
                <w:szCs w:val="16"/>
              </w:rPr>
              <w:t>bezpečnosť</w:t>
            </w:r>
          </w:p>
          <w:p w:rsidR="004E2D6C" w:rsidRPr="004E2D6C" w:rsidRDefault="004E2D6C" w:rsidP="004E2D6C">
            <w:pPr>
              <w:spacing w:before="0"/>
              <w:rPr>
                <w:rFonts w:ascii="Calibri" w:hAnsi="Calibri"/>
                <w:b/>
                <w:sz w:val="16"/>
                <w:szCs w:val="16"/>
              </w:rPr>
            </w:pPr>
            <w:r w:rsidRPr="004E2D6C">
              <w:rPr>
                <w:rFonts w:ascii="Calibri" w:hAnsi="Calibri"/>
                <w:b/>
                <w:sz w:val="16"/>
                <w:szCs w:val="16"/>
              </w:rPr>
              <w:t>Širokopásmové pripojenie/NGN:</w:t>
            </w:r>
          </w:p>
          <w:p w:rsidR="004E2D6C" w:rsidRPr="00394471" w:rsidRDefault="004E2D6C" w:rsidP="001C5C9E">
            <w:pPr>
              <w:pStyle w:val="Odsekzoznamu"/>
              <w:numPr>
                <w:ilvl w:val="0"/>
                <w:numId w:val="96"/>
              </w:numPr>
              <w:spacing w:before="0"/>
              <w:ind w:left="317" w:hanging="283"/>
              <w:rPr>
                <w:rFonts w:ascii="Calibri" w:hAnsi="Calibri"/>
                <w:sz w:val="16"/>
                <w:szCs w:val="16"/>
              </w:rPr>
            </w:pPr>
            <w:r w:rsidRPr="00394471">
              <w:rPr>
                <w:rFonts w:ascii="Calibri" w:hAnsi="Calibri"/>
                <w:sz w:val="16"/>
                <w:szCs w:val="16"/>
              </w:rPr>
              <w:t>zavádzanie a používanie širokopásmového pripojenia</w:t>
            </w:r>
          </w:p>
        </w:tc>
      </w:tr>
      <w:tr w:rsidR="004E2D6C" w:rsidRPr="004E2D6C" w:rsidTr="00394471">
        <w:trPr>
          <w:trHeight w:val="44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2"/>
              </w:numPr>
              <w:tabs>
                <w:tab w:val="left" w:pos="3"/>
              </w:tabs>
              <w:spacing w:before="0"/>
              <w:ind w:left="175" w:hanging="141"/>
              <w:rPr>
                <w:rFonts w:ascii="Calibri" w:hAnsi="Calibri"/>
                <w:sz w:val="16"/>
                <w:szCs w:val="16"/>
                <w:lang w:eastAsia="sk-SK"/>
              </w:rPr>
            </w:pPr>
            <w:r w:rsidRPr="00394471">
              <w:rPr>
                <w:rFonts w:ascii="Calibri" w:hAnsi="Calibri"/>
                <w:sz w:val="16"/>
                <w:szCs w:val="16"/>
                <w:lang w:eastAsia="sk-SK"/>
              </w:rPr>
              <w:t xml:space="preserve">zostavenie rozpočtu a zoradenie činností podľa priorít pomocou SWOT alebo podobnej analýzy, ktorá je v súlade s hodnotiacou tabuľkou Digitálnej agendy pre Európu,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rPr>
              <w:t>Kapitola 5: SWOT analýza a odporúčania pre Slovensko, kapitola 7.5.2.1: Smerovanie investícií, 7.1.2.: Nástroje na financovanie, kapitola 3: Stav a trendy informačnej spoločnosti vo svete v porovnaní so Slovenskom.</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44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3"/>
              </w:numPr>
              <w:tabs>
                <w:tab w:val="left" w:pos="3"/>
              </w:tabs>
              <w:spacing w:before="0"/>
              <w:ind w:left="175" w:hanging="141"/>
              <w:rPr>
                <w:rFonts w:ascii="Calibri" w:hAnsi="Calibri"/>
                <w:sz w:val="16"/>
                <w:szCs w:val="16"/>
                <w:lang w:eastAsia="sk-SK"/>
              </w:rPr>
            </w:pPr>
            <w:r w:rsidRPr="00394471">
              <w:rPr>
                <w:rFonts w:ascii="Calibri" w:hAnsi="Calibri"/>
                <w:sz w:val="16"/>
                <w:szCs w:val="16"/>
                <w:lang w:eastAsia="sk-SK"/>
              </w:rPr>
              <w:t>analýzu vyváženej podpory pre dopyt a ponuku IKT, ktorá sa mala vykonať,</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rPr>
              <w:t>Kapitola 3: Stav a trendy informačnej spoločnosti vo svete v porovnaní so Slovenskom, kapitola 4: Operačný program Informatizácia spoločnosti, kapitola 5: SWOT analýza a odporúčania pre Slovensko, Príloha 1.</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44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3"/>
              </w:numPr>
              <w:tabs>
                <w:tab w:val="left" w:pos="3"/>
              </w:tabs>
              <w:spacing w:before="0"/>
              <w:ind w:left="175" w:hanging="175"/>
              <w:rPr>
                <w:rFonts w:ascii="Calibri" w:hAnsi="Calibri"/>
                <w:sz w:val="16"/>
                <w:szCs w:val="16"/>
                <w:lang w:eastAsia="sk-SK"/>
              </w:rPr>
            </w:pPr>
            <w:r w:rsidRPr="00394471">
              <w:rPr>
                <w:rFonts w:ascii="Calibri" w:hAnsi="Calibri"/>
                <w:sz w:val="16"/>
                <w:szCs w:val="16"/>
                <w:lang w:eastAsia="sk-SK"/>
              </w:rPr>
              <w:t xml:space="preserve">ukazovatele na meranie pokroku intervencií v oblastiach, ako je digitálna gramotnosť, elektronické začlenenie, elektronická dostupnosť, a pokroku elektronického zdravotníctva, v medziach stanovených v článku 168 ZFEÚ, </w:t>
            </w:r>
            <w:r w:rsidRPr="00394471">
              <w:rPr>
                <w:rFonts w:ascii="Calibri" w:hAnsi="Calibri"/>
                <w:sz w:val="16"/>
                <w:szCs w:val="16"/>
                <w:lang w:eastAsia="sk-SK"/>
              </w:rPr>
              <w:lastRenderedPageBreak/>
              <w:t>ktoré sú v prípade potreby v súlade s príslušnými sektorovými stratégiami Únie alebo národnými či regionálnymi stratégiami,</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lastRenderedPageBreak/>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rPr>
              <w:t>Kapitola 7: Navrhované priority pre ďalší rozvoj informačnej spoločnosti na Slovensku.</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449"/>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394471" w:rsidRDefault="004E2D6C" w:rsidP="001C5C9E">
            <w:pPr>
              <w:pStyle w:val="Odsekzoznamu"/>
              <w:numPr>
                <w:ilvl w:val="0"/>
                <w:numId w:val="93"/>
              </w:numPr>
              <w:tabs>
                <w:tab w:val="left" w:pos="3"/>
              </w:tabs>
              <w:spacing w:before="0"/>
              <w:ind w:left="175" w:hanging="141"/>
              <w:rPr>
                <w:rFonts w:ascii="Calibri" w:hAnsi="Calibri"/>
                <w:sz w:val="16"/>
                <w:szCs w:val="16"/>
                <w:lang w:eastAsia="sk-SK"/>
              </w:rPr>
            </w:pPr>
            <w:r w:rsidRPr="00394471">
              <w:rPr>
                <w:rFonts w:ascii="Calibri" w:hAnsi="Calibri"/>
                <w:sz w:val="16"/>
                <w:szCs w:val="16"/>
                <w:lang w:eastAsia="sk-SK"/>
              </w:rPr>
              <w:t>posúdenie potrieb na posilnenie budovania kapacít IKT.</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bottom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Kapitola 3: Stav a trendy informačnej spoločnosti vo svete v porovnaní so Slovenskom, kapitola 4: Operačný program Informatizácia spoločnosti, Kapitola 5: SWOT analýza a odporúčania pre Slovensko, Kapitola 6: Vízia a strategické ciele pre informačnú spoločnosť, </w:t>
            </w:r>
          </w:p>
          <w:p w:rsidR="004E2D6C" w:rsidRPr="004E2D6C" w:rsidRDefault="004E2D6C" w:rsidP="004E2D6C">
            <w:pPr>
              <w:spacing w:before="0"/>
              <w:rPr>
                <w:rFonts w:ascii="Calibri" w:hAnsi="Calibri"/>
                <w:sz w:val="16"/>
                <w:szCs w:val="16"/>
              </w:rPr>
            </w:pPr>
            <w:r w:rsidRPr="004E2D6C">
              <w:rPr>
                <w:rFonts w:ascii="Calibri" w:hAnsi="Calibri"/>
                <w:sz w:val="16"/>
                <w:szCs w:val="16"/>
              </w:rPr>
              <w:t>Kapitola 7: Navrhované priority pre ďalší rozvoj informačnej spoločnosti na Slovensku</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101"/>
        </w:trPr>
        <w:tc>
          <w:tcPr>
            <w:tcW w:w="1668" w:type="dxa"/>
            <w:vMerge w:val="restart"/>
            <w:tcBorders>
              <w:top w:val="single" w:sz="12" w:space="0" w:color="auto"/>
              <w:left w:val="single" w:sz="12" w:space="0" w:color="auto"/>
            </w:tcBorders>
          </w:tcPr>
          <w:p w:rsidR="004E2D6C" w:rsidRPr="004E2D6C" w:rsidRDefault="004E2D6C" w:rsidP="00535799">
            <w:pPr>
              <w:spacing w:before="0"/>
              <w:rPr>
                <w:rFonts w:ascii="Calibri" w:hAnsi="Calibri"/>
                <w:sz w:val="16"/>
                <w:szCs w:val="16"/>
              </w:rPr>
            </w:pPr>
            <w:r w:rsidRPr="004E2D6C">
              <w:rPr>
                <w:rFonts w:ascii="Calibri" w:hAnsi="Calibri"/>
                <w:sz w:val="16"/>
                <w:szCs w:val="16"/>
              </w:rPr>
              <w:t>2.2. Infraštruktúra siet</w:t>
            </w:r>
            <w:r w:rsidR="00064192">
              <w:rPr>
                <w:rFonts w:ascii="Calibri" w:hAnsi="Calibri"/>
                <w:sz w:val="16"/>
                <w:szCs w:val="16"/>
              </w:rPr>
              <w:t>í</w:t>
            </w:r>
            <w:r w:rsidRPr="004E2D6C">
              <w:rPr>
                <w:rFonts w:ascii="Calibri" w:hAnsi="Calibri"/>
                <w:sz w:val="16"/>
                <w:szCs w:val="16"/>
              </w:rPr>
              <w:t xml:space="preserve"> novej generácie (NGN): existencia národných alebo regionálnych plánov NGN, ktoré zohľadňujú regionálne činnosti s cieľom dosiahnuť ciele Únie týkajúce sa vysokorýchlostného prístupu na internet, zameriavajúc sa na oblasti, kde trh neposkytuje otvorenú infraštruktúru za dostupnú cenu a kvalitu v súlade s pravidlami hospodárskej súťaže a štátnej pomoci v Únii, a poskytovanie dostupných služieb pre zraniteľné skupiny.</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2551" w:type="dxa"/>
            <w:tcBorders>
              <w:top w:val="single" w:sz="12" w:space="0" w:color="auto"/>
              <w:bottom w:val="single" w:sz="2" w:space="0" w:color="auto"/>
            </w:tcBorders>
            <w:vAlign w:val="center"/>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 xml:space="preserve">Zavedený je vnútroštátny alebo regionálny plán NGN, ktorý obsahuje: </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top w:val="single" w:sz="12" w:space="0" w:color="auto"/>
            </w:tcBorders>
          </w:tcPr>
          <w:p w:rsidR="004E2D6C" w:rsidRPr="004E2D6C" w:rsidRDefault="004E2D6C" w:rsidP="004E2D6C">
            <w:pPr>
              <w:spacing w:before="0"/>
              <w:rPr>
                <w:rFonts w:ascii="Calibri" w:hAnsi="Calibri"/>
                <w:i/>
                <w:sz w:val="16"/>
                <w:szCs w:val="16"/>
              </w:rPr>
            </w:pPr>
            <w:r w:rsidRPr="004E2D6C">
              <w:rPr>
                <w:rFonts w:ascii="Calibri" w:hAnsi="Calibri"/>
                <w:i/>
                <w:sz w:val="16"/>
                <w:szCs w:val="16"/>
              </w:rPr>
              <w:t>Strategický dokument pre oblasť rastu digitálnych služieb a oblasť infraštruktúry prístupovej siete novej generácie</w:t>
            </w:r>
            <w:r w:rsidR="00052419">
              <w:rPr>
                <w:rFonts w:ascii="Calibri" w:hAnsi="Calibri"/>
                <w:i/>
                <w:sz w:val="16"/>
                <w:szCs w:val="16"/>
              </w:rPr>
              <w:t>.</w:t>
            </w:r>
          </w:p>
          <w:p w:rsidR="004E2D6C" w:rsidRPr="004E2D6C" w:rsidRDefault="004E2D6C" w:rsidP="004E2D6C">
            <w:pPr>
              <w:spacing w:before="0"/>
              <w:rPr>
                <w:rFonts w:ascii="Calibri" w:hAnsi="Calibri"/>
                <w:sz w:val="16"/>
                <w:szCs w:val="16"/>
              </w:rPr>
            </w:pPr>
          </w:p>
          <w:p w:rsidR="004E2D6C" w:rsidRPr="004E2D6C" w:rsidRDefault="00ED6BC8" w:rsidP="004E2D6C">
            <w:pPr>
              <w:spacing w:before="0"/>
              <w:rPr>
                <w:rFonts w:ascii="Calibri" w:hAnsi="Calibri"/>
                <w:sz w:val="16"/>
                <w:szCs w:val="16"/>
              </w:rPr>
            </w:pPr>
            <w:hyperlink r:id="rId49" w:history="1">
              <w:r w:rsidR="004E2D6C" w:rsidRPr="004E2D6C">
                <w:rPr>
                  <w:rFonts w:ascii="Calibri" w:hAnsi="Calibri"/>
                  <w:color w:val="0000FF"/>
                  <w:sz w:val="16"/>
                  <w:szCs w:val="16"/>
                  <w:u w:val="single"/>
                </w:rPr>
                <w:t>http://www.rokovania.sk/Rokovanie.aspx/BodRokovaniaDetail?idMaterial=23177</w:t>
              </w:r>
            </w:hyperlink>
            <w:r w:rsidR="004E2D6C" w:rsidRPr="004E2D6C">
              <w:rPr>
                <w:rFonts w:ascii="Calibri" w:hAnsi="Calibri"/>
                <w:sz w:val="16"/>
                <w:szCs w:val="16"/>
              </w:rPr>
              <w:t xml:space="preserve">   </w:t>
            </w:r>
          </w:p>
          <w:p w:rsidR="004E2D6C" w:rsidRPr="004E2D6C" w:rsidRDefault="004E2D6C" w:rsidP="004E2D6C">
            <w:pPr>
              <w:spacing w:before="0"/>
              <w:rPr>
                <w:rFonts w:ascii="Calibri" w:hAnsi="Calibri"/>
                <w:sz w:val="16"/>
                <w:szCs w:val="16"/>
              </w:rPr>
            </w:pPr>
            <w:r w:rsidRPr="004E2D6C">
              <w:rPr>
                <w:rFonts w:ascii="Calibri" w:hAnsi="Calibri"/>
                <w:sz w:val="16"/>
                <w:szCs w:val="16"/>
              </w:rPr>
              <w:t>Dňa 8.</w:t>
            </w:r>
            <w:r w:rsidR="00C611EB">
              <w:rPr>
                <w:rFonts w:ascii="Calibri" w:hAnsi="Calibri"/>
                <w:sz w:val="16"/>
                <w:szCs w:val="16"/>
              </w:rPr>
              <w:t xml:space="preserve"> </w:t>
            </w:r>
            <w:r w:rsidRPr="004E2D6C">
              <w:rPr>
                <w:rFonts w:ascii="Calibri" w:hAnsi="Calibri"/>
                <w:sz w:val="16"/>
                <w:szCs w:val="16"/>
              </w:rPr>
              <w:t>1.</w:t>
            </w:r>
            <w:r w:rsidR="00C611EB">
              <w:rPr>
                <w:rFonts w:ascii="Calibri" w:hAnsi="Calibri"/>
                <w:sz w:val="16"/>
                <w:szCs w:val="16"/>
              </w:rPr>
              <w:t xml:space="preserve"> </w:t>
            </w:r>
            <w:r w:rsidRPr="004E2D6C">
              <w:rPr>
                <w:rFonts w:ascii="Calibri" w:hAnsi="Calibri"/>
                <w:sz w:val="16"/>
                <w:szCs w:val="16"/>
              </w:rPr>
              <w:t>2014 vláda SR vzala dokument na vedomie.</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9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7"/>
              </w:numPr>
              <w:tabs>
                <w:tab w:val="left" w:pos="3"/>
              </w:tabs>
              <w:spacing w:before="0"/>
              <w:ind w:left="175" w:hanging="141"/>
              <w:rPr>
                <w:rFonts w:ascii="Calibri" w:hAnsi="Calibri"/>
                <w:sz w:val="16"/>
                <w:szCs w:val="16"/>
                <w:lang w:eastAsia="sk-SK"/>
              </w:rPr>
            </w:pPr>
            <w:r w:rsidRPr="00394471">
              <w:rPr>
                <w:rFonts w:ascii="Calibri" w:hAnsi="Calibri"/>
                <w:sz w:val="16"/>
                <w:szCs w:val="16"/>
                <w:lang w:eastAsia="sk-SK"/>
              </w:rPr>
              <w:t xml:space="preserve">plán investícií do infraštruktúry vychádzajúci z ekonomickej analýzy s prihliadnutím na existujúcu súkromnú a verejnú infraštruktúru a plánované investície,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Kapitola 3: Stav a trendy informačnej spoločnosti vo svete v porovnaní so Slovenskom, kapitola 5: SWOT analýza </w:t>
            </w:r>
            <w:r w:rsidR="00183A1A">
              <w:rPr>
                <w:rFonts w:ascii="Calibri" w:hAnsi="Calibri"/>
                <w:sz w:val="16"/>
                <w:szCs w:val="16"/>
              </w:rPr>
              <w:br/>
            </w:r>
            <w:r w:rsidRPr="004E2D6C">
              <w:rPr>
                <w:rFonts w:ascii="Calibri" w:hAnsi="Calibri"/>
                <w:sz w:val="16"/>
                <w:szCs w:val="16"/>
              </w:rPr>
              <w:t>a odporúčania pre Slovensko, kapitola 7: Navrhované priority pre ďalší rozvoj informačnej spoločnosti na Slovensku.</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9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7"/>
              </w:numPr>
              <w:tabs>
                <w:tab w:val="left" w:pos="3"/>
              </w:tabs>
              <w:spacing w:before="0"/>
              <w:ind w:left="175" w:hanging="141"/>
              <w:rPr>
                <w:rFonts w:ascii="Calibri" w:hAnsi="Calibri"/>
                <w:sz w:val="16"/>
                <w:szCs w:val="16"/>
                <w:lang w:eastAsia="sk-SK"/>
              </w:rPr>
            </w:pPr>
            <w:r w:rsidRPr="00394471">
              <w:rPr>
                <w:rFonts w:ascii="Calibri" w:hAnsi="Calibri"/>
                <w:sz w:val="16"/>
                <w:szCs w:val="16"/>
                <w:lang w:eastAsia="sk-SK"/>
              </w:rPr>
              <w:t xml:space="preserve">udržateľné investičné modely, ktoré podporujú hospodársku súťaž a umožňujú prístup k otvorenej, cenovo dostupnej, kvalitnej a nadčasovej infraštruktúre a službám;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rPr>
              <w:t>Kapitola 7: Navrhované priority pre ďalší rozvoj informačnej spoločnosti na Slovensku.</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99"/>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tcPr>
          <w:p w:rsidR="004E2D6C" w:rsidRPr="00394471" w:rsidRDefault="004E2D6C" w:rsidP="001C5C9E">
            <w:pPr>
              <w:pStyle w:val="Odsekzoznamu"/>
              <w:numPr>
                <w:ilvl w:val="0"/>
                <w:numId w:val="97"/>
              </w:numPr>
              <w:tabs>
                <w:tab w:val="left" w:pos="3"/>
              </w:tabs>
              <w:spacing w:before="0"/>
              <w:ind w:left="175" w:hanging="141"/>
              <w:rPr>
                <w:rFonts w:ascii="Calibri" w:hAnsi="Calibri"/>
                <w:sz w:val="16"/>
                <w:szCs w:val="16"/>
                <w:lang w:eastAsia="sk-SK"/>
              </w:rPr>
            </w:pPr>
            <w:r w:rsidRPr="00394471">
              <w:rPr>
                <w:rFonts w:ascii="Calibri" w:hAnsi="Calibri"/>
                <w:sz w:val="16"/>
                <w:szCs w:val="16"/>
                <w:lang w:eastAsia="sk-SK"/>
              </w:rPr>
              <w:t>opatrenia na podporu súkromných investícií.</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bottom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Kapitola 7: Navrhované priority pre ďalší rozvoj informačnej spoločnosti na </w:t>
            </w:r>
            <w:r w:rsidRPr="004E2D6C">
              <w:rPr>
                <w:rFonts w:ascii="Calibri" w:hAnsi="Calibri"/>
                <w:sz w:val="16"/>
                <w:szCs w:val="16"/>
              </w:rPr>
              <w:lastRenderedPageBreak/>
              <w:t>Slovensku.</w:t>
            </w: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220"/>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3.1. Vykonali sa konkrétne činnosti na posilnenie presadzovania podnikania s prihliadnutím na iniciatívu „Small Business Act“ (SBA).</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Čiastočne</w:t>
            </w:r>
          </w:p>
        </w:tc>
        <w:tc>
          <w:tcPr>
            <w:tcW w:w="2551" w:type="dxa"/>
            <w:tcBorders>
              <w:top w:val="single" w:sz="12" w:space="0" w:color="auto"/>
              <w:bottom w:val="single" w:sz="2" w:space="0" w:color="auto"/>
            </w:tcBorders>
            <w:vAlign w:val="center"/>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 xml:space="preserve">Týmito konkrétnymi činnosťami sú: </w:t>
            </w:r>
          </w:p>
          <w:p w:rsidR="004E2D6C" w:rsidRPr="00394471" w:rsidRDefault="004E2D6C" w:rsidP="001C5C9E">
            <w:pPr>
              <w:pStyle w:val="Odsekzoznamu"/>
              <w:numPr>
                <w:ilvl w:val="0"/>
                <w:numId w:val="97"/>
              </w:numPr>
              <w:tabs>
                <w:tab w:val="left" w:pos="3"/>
              </w:tabs>
              <w:spacing w:before="0"/>
              <w:ind w:left="175" w:hanging="141"/>
              <w:rPr>
                <w:rFonts w:ascii="Calibri" w:hAnsi="Calibri"/>
                <w:sz w:val="16"/>
                <w:szCs w:val="16"/>
                <w:lang w:eastAsia="sk-SK"/>
              </w:rPr>
            </w:pPr>
            <w:r w:rsidRPr="00394471">
              <w:rPr>
                <w:rFonts w:ascii="Calibri" w:hAnsi="Calibri"/>
                <w:sz w:val="16"/>
                <w:szCs w:val="16"/>
                <w:lang w:eastAsia="sk-SK"/>
              </w:rPr>
              <w:t>opatrenia zavedené s cieľom znížiť čas a náklady potrebné na založenie podniku so zreteľom na ciele SBA,</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top w:val="single" w:sz="12" w:space="0" w:color="auto"/>
            </w:tcBorders>
          </w:tcPr>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i/>
                <w:sz w:val="16"/>
                <w:szCs w:val="16"/>
              </w:rPr>
            </w:pPr>
            <w:r w:rsidRPr="004E2D6C">
              <w:rPr>
                <w:rFonts w:ascii="Calibri" w:hAnsi="Calibri"/>
                <w:i/>
                <w:sz w:val="16"/>
                <w:szCs w:val="16"/>
              </w:rPr>
              <w:t xml:space="preserve">Zákon č. 547/2011 Z. z. </w:t>
            </w:r>
          </w:p>
          <w:p w:rsidR="004E2D6C" w:rsidRPr="004E2D6C" w:rsidRDefault="00ED6BC8" w:rsidP="004E2D6C">
            <w:pPr>
              <w:spacing w:before="0"/>
              <w:rPr>
                <w:rFonts w:ascii="Calibri" w:hAnsi="Calibri"/>
                <w:sz w:val="16"/>
                <w:szCs w:val="16"/>
              </w:rPr>
            </w:pPr>
            <w:hyperlink r:id="rId50" w:history="1">
              <w:r w:rsidR="004E2D6C" w:rsidRPr="004E2D6C">
                <w:rPr>
                  <w:rFonts w:ascii="Calibri" w:hAnsi="Calibri"/>
                  <w:color w:val="0000FF"/>
                  <w:sz w:val="16"/>
                  <w:szCs w:val="16"/>
                  <w:u w:val="single"/>
                </w:rPr>
                <w:t>http://www.zakonypreludi.sk/zz/2011-547</w:t>
              </w:r>
            </w:hyperlink>
          </w:p>
          <w:p w:rsidR="004E2D6C" w:rsidRPr="004E2D6C" w:rsidRDefault="004E2D6C" w:rsidP="004E2D6C">
            <w:pPr>
              <w:spacing w:before="0"/>
              <w:rPr>
                <w:rFonts w:ascii="Calibri" w:hAnsi="Calibri"/>
                <w: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Lehota potrebná na zapísanie obchodnej spoločnosti sa skráti z 5 na 2 pracovné dni. Účinné od 1.</w:t>
            </w:r>
            <w:r w:rsidR="00C611EB">
              <w:rPr>
                <w:rFonts w:ascii="Calibri" w:hAnsi="Calibri"/>
                <w:sz w:val="16"/>
                <w:szCs w:val="16"/>
              </w:rPr>
              <w:t xml:space="preserve"> </w:t>
            </w:r>
            <w:r w:rsidRPr="004E2D6C">
              <w:rPr>
                <w:rFonts w:ascii="Calibri" w:hAnsi="Calibri"/>
                <w:sz w:val="16"/>
                <w:szCs w:val="16"/>
              </w:rPr>
              <w:t>1.</w:t>
            </w:r>
            <w:r w:rsidR="00C611EB">
              <w:rPr>
                <w:rFonts w:ascii="Calibri" w:hAnsi="Calibri"/>
                <w:sz w:val="16"/>
                <w:szCs w:val="16"/>
              </w:rPr>
              <w:t xml:space="preserve"> </w:t>
            </w:r>
            <w:r w:rsidRPr="004E2D6C">
              <w:rPr>
                <w:rFonts w:ascii="Calibri" w:hAnsi="Calibri"/>
                <w:sz w:val="16"/>
                <w:szCs w:val="16"/>
              </w:rPr>
              <w:t xml:space="preserve">2014. Opatrenie na zníženie nákladov na založenie obchodnej spoločnosti bolo realizované prostredníctvom vypracovania a zverejnenia štandardizovaných vzorov pre malých </w:t>
            </w:r>
            <w:r w:rsidR="00183A1A">
              <w:rPr>
                <w:rFonts w:ascii="Calibri" w:hAnsi="Calibri"/>
                <w:sz w:val="16"/>
                <w:szCs w:val="16"/>
              </w:rPr>
              <w:br/>
            </w:r>
            <w:r w:rsidRPr="004E2D6C">
              <w:rPr>
                <w:rFonts w:ascii="Calibri" w:hAnsi="Calibri"/>
                <w:sz w:val="16"/>
                <w:szCs w:val="16"/>
              </w:rPr>
              <w:t xml:space="preserve">a stredných podnikateľov, ak spoločnosť zakladá jediný spoločník alebo akcionár. Tým došlo k zníženiu potreby angažovať právnikov pri zakladaní spoločností </w:t>
            </w:r>
            <w:r w:rsidR="00183A1A">
              <w:rPr>
                <w:rFonts w:ascii="Calibri" w:hAnsi="Calibri"/>
                <w:sz w:val="16"/>
                <w:szCs w:val="16"/>
              </w:rPr>
              <w:br/>
            </w:r>
            <w:r w:rsidRPr="004E2D6C">
              <w:rPr>
                <w:rFonts w:ascii="Calibri" w:hAnsi="Calibri"/>
                <w:sz w:val="16"/>
                <w:szCs w:val="16"/>
              </w:rPr>
              <w:t>a všetkých zmenách v podnikaní.</w:t>
            </w:r>
          </w:p>
          <w:p w:rsidR="004E2D6C" w:rsidRPr="004E2D6C" w:rsidRDefault="004E2D6C" w:rsidP="004E2D6C">
            <w:pPr>
              <w:spacing w:before="0"/>
              <w:rPr>
                <w:rFonts w:ascii="Calibri" w:hAnsi="Calibri"/>
                <w:sz w:val="16"/>
                <w:szCs w:val="16"/>
              </w:rPr>
            </w:pP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218"/>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7"/>
              </w:numPr>
              <w:tabs>
                <w:tab w:val="left" w:pos="3"/>
              </w:tabs>
              <w:spacing w:before="0"/>
              <w:ind w:left="175" w:hanging="175"/>
              <w:rPr>
                <w:rFonts w:ascii="Calibri" w:hAnsi="Calibri"/>
                <w:sz w:val="16"/>
                <w:szCs w:val="16"/>
                <w:lang w:eastAsia="sk-SK"/>
              </w:rPr>
            </w:pPr>
            <w:r w:rsidRPr="00394471">
              <w:rPr>
                <w:rFonts w:ascii="Calibri" w:hAnsi="Calibri"/>
                <w:sz w:val="16"/>
                <w:szCs w:val="16"/>
                <w:lang w:eastAsia="sk-SK"/>
              </w:rPr>
              <w:t>opatrenia zavedené s cieľom znížiť čas potrebný na získanie licencií a povolení na začatie a vykonávanie určitých činností podniku so zreteľom na ciele SBA,</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i/>
                <w:sz w:val="16"/>
                <w:szCs w:val="16"/>
              </w:rPr>
              <w:t>Zákon č. 392/2011 Z. z. o obchodovaní s výrobkami obranného priemyslu</w:t>
            </w:r>
            <w:r w:rsidR="00052419">
              <w:rPr>
                <w:rFonts w:ascii="Calibri" w:hAnsi="Calibri"/>
                <w:i/>
                <w:sz w:val="16"/>
                <w:szCs w:val="16"/>
              </w:rPr>
              <w:t>.</w:t>
            </w:r>
            <w:r w:rsidRPr="004E2D6C">
              <w:rPr>
                <w:rFonts w:ascii="Calibri" w:hAnsi="Calibri"/>
                <w:i/>
                <w:sz w:val="16"/>
                <w:szCs w:val="16"/>
              </w:rPr>
              <w:t xml:space="preserve"> </w:t>
            </w:r>
          </w:p>
          <w:p w:rsidR="004E2D6C" w:rsidRPr="004E2D6C" w:rsidRDefault="00ED6BC8" w:rsidP="004E2D6C">
            <w:pPr>
              <w:spacing w:before="0"/>
              <w:rPr>
                <w:rFonts w:ascii="Calibri" w:hAnsi="Calibri"/>
                <w:sz w:val="16"/>
                <w:szCs w:val="16"/>
              </w:rPr>
            </w:pPr>
            <w:hyperlink r:id="rId51" w:anchor="38;ZakZborID=13&amp;" w:history="1">
              <w:r w:rsidR="004E2D6C" w:rsidRPr="004E2D6C">
                <w:rPr>
                  <w:rFonts w:ascii="Calibri" w:hAnsi="Calibri"/>
                  <w:color w:val="0000FF"/>
                  <w:sz w:val="16"/>
                  <w:szCs w:val="16"/>
                  <w:u w:val="single"/>
                </w:rPr>
                <w:t>http://www.nrsr.sk/web/Default.aspx?sid=zakony/zakon&amp;ZakZborID=13&amp;CisObdobia=5&amp;CPT=456</w:t>
              </w:r>
            </w:hyperlink>
            <w:r w:rsidR="004E2D6C" w:rsidRPr="004E2D6C">
              <w:rPr>
                <w:rFonts w:ascii="Calibri" w:hAnsi="Calibri"/>
                <w:sz w:val="16"/>
                <w:szCs w:val="16"/>
              </w:rPr>
              <w:t xml:space="preserve"> </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Zákonom sa lehota pri vydaní živnosti skrátila z 5 na 3 dni a bola rozšírená funkcionalita jednotných kontaktných miest</w:t>
            </w:r>
            <w:r w:rsidR="00052419">
              <w:rPr>
                <w:rFonts w:ascii="Calibri" w:hAnsi="Calibri"/>
                <w:sz w:val="16"/>
                <w:szCs w:val="16"/>
              </w:rPr>
              <w:t xml:space="preserve"> (JKM)</w:t>
            </w:r>
            <w:r w:rsidRPr="004E2D6C">
              <w:rPr>
                <w:rFonts w:ascii="Calibri" w:hAnsi="Calibri"/>
                <w:sz w:val="16"/>
                <w:szCs w:val="16"/>
              </w:rPr>
              <w:t xml:space="preserve">. JKM umožňuje záujemcom o podnikanie vykonať všetky potrebné úkony pre vydanie živnostenského oprávnenia, resp. úkony spojené so vznikom spoločnosti na jednom mieste. </w:t>
            </w:r>
          </w:p>
          <w:p w:rsidR="004E2D6C" w:rsidRPr="004E2D6C" w:rsidRDefault="004E2D6C" w:rsidP="004E2D6C">
            <w:pPr>
              <w:spacing w:before="0"/>
              <w:rPr>
                <w:rFonts w:ascii="Calibri" w:hAnsi="Calibri"/>
                <w:sz w:val="16"/>
                <w:szCs w:val="16"/>
              </w:rPr>
            </w:pPr>
            <w:r w:rsidRPr="004E2D6C">
              <w:rPr>
                <w:rFonts w:ascii="Calibri" w:hAnsi="Calibri"/>
                <w:sz w:val="16"/>
                <w:szCs w:val="16"/>
              </w:rPr>
              <w:t>Od 1.</w:t>
            </w:r>
            <w:r w:rsidR="00C611EB">
              <w:rPr>
                <w:rFonts w:ascii="Calibri" w:hAnsi="Calibri"/>
                <w:sz w:val="16"/>
                <w:szCs w:val="16"/>
              </w:rPr>
              <w:t xml:space="preserve"> </w:t>
            </w:r>
            <w:r w:rsidRPr="004E2D6C">
              <w:rPr>
                <w:rFonts w:ascii="Calibri" w:hAnsi="Calibri"/>
                <w:sz w:val="16"/>
                <w:szCs w:val="16"/>
              </w:rPr>
              <w:t>1.</w:t>
            </w:r>
            <w:r w:rsidR="00C611EB">
              <w:rPr>
                <w:rFonts w:ascii="Calibri" w:hAnsi="Calibri"/>
                <w:sz w:val="16"/>
                <w:szCs w:val="16"/>
              </w:rPr>
              <w:t xml:space="preserve"> </w:t>
            </w:r>
            <w:r w:rsidRPr="004E2D6C">
              <w:rPr>
                <w:rFonts w:ascii="Calibri" w:hAnsi="Calibri"/>
                <w:sz w:val="16"/>
                <w:szCs w:val="16"/>
              </w:rPr>
              <w:t xml:space="preserve">2012 bola zrealizovaná plná funkcionalita elektronických jednotných kontaktných miest, t.j. možnosť založiť živnosť elektronicky vrátane zmenového </w:t>
            </w:r>
            <w:r w:rsidRPr="004E2D6C">
              <w:rPr>
                <w:rFonts w:ascii="Calibri" w:hAnsi="Calibri"/>
                <w:sz w:val="16"/>
                <w:szCs w:val="16"/>
              </w:rPr>
              <w:lastRenderedPageBreak/>
              <w:t>konania a podania návrhu na zápis do obchodného registra a taktiež úhrady súdnych a správnych poplatkov.</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i/>
                <w:sz w:val="16"/>
                <w:szCs w:val="16"/>
              </w:rPr>
            </w:pPr>
            <w:r w:rsidRPr="004E2D6C">
              <w:rPr>
                <w:rFonts w:ascii="Calibri" w:hAnsi="Calibri"/>
                <w:i/>
                <w:sz w:val="16"/>
                <w:szCs w:val="16"/>
              </w:rPr>
              <w:t>Uznesenie vlády SR č. 153/2013 k Správe o stave podnikateľského prostredia v Slovenskej republike s návrhmi na jeho zlepšovanie</w:t>
            </w:r>
            <w:r w:rsidR="00052419">
              <w:rPr>
                <w:rFonts w:ascii="Calibri" w:hAnsi="Calibri"/>
                <w:i/>
                <w:sz w:val="16"/>
                <w:szCs w:val="16"/>
              </w:rPr>
              <w:t>.</w:t>
            </w:r>
          </w:p>
          <w:p w:rsidR="004E2D6C" w:rsidRPr="004E2D6C" w:rsidRDefault="00ED6BC8" w:rsidP="004E2D6C">
            <w:pPr>
              <w:spacing w:before="0"/>
              <w:rPr>
                <w:rFonts w:ascii="Calibri" w:hAnsi="Calibri"/>
                <w:i/>
                <w:sz w:val="16"/>
                <w:szCs w:val="16"/>
              </w:rPr>
            </w:pPr>
            <w:hyperlink r:id="rId52" w:history="1">
              <w:r w:rsidR="004E2D6C" w:rsidRPr="004E2D6C">
                <w:rPr>
                  <w:rFonts w:ascii="Calibri" w:hAnsi="Calibri"/>
                  <w:color w:val="0000FF"/>
                  <w:sz w:val="16"/>
                  <w:szCs w:val="16"/>
                  <w:u w:val="single"/>
                </w:rPr>
                <w:t>http://www.rokovania.sk/File.aspx/ViewDocumentHtml/Uznesenie-13242?prefixFile=u_</w:t>
              </w:r>
            </w:hyperlink>
            <w:r w:rsidR="004E2D6C" w:rsidRPr="004E2D6C">
              <w:rPr>
                <w:rFonts w:ascii="Calibri" w:hAnsi="Calibri"/>
                <w:sz w:val="16"/>
                <w:szCs w:val="16"/>
              </w:rPr>
              <w:t xml:space="preserve"> </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Boli prijaté úlohy na vyššiu efektivitu využitia služieb jednotných kontaktných miest ako aj rozšírenie ich funkcionality.</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218"/>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394471" w:rsidRDefault="004E2D6C" w:rsidP="001C5C9E">
            <w:pPr>
              <w:pStyle w:val="Odsekzoznamu"/>
              <w:numPr>
                <w:ilvl w:val="0"/>
                <w:numId w:val="97"/>
              </w:numPr>
              <w:spacing w:before="0"/>
              <w:ind w:left="175" w:hanging="175"/>
              <w:rPr>
                <w:rFonts w:ascii="Calibri" w:hAnsi="Calibri"/>
                <w:sz w:val="16"/>
                <w:szCs w:val="16"/>
              </w:rPr>
            </w:pPr>
            <w:r w:rsidRPr="00394471">
              <w:rPr>
                <w:rFonts w:ascii="Calibri" w:hAnsi="Calibri"/>
                <w:sz w:val="16"/>
                <w:szCs w:val="16"/>
              </w:rPr>
              <w:t xml:space="preserve">mechanizmus zavedený na monitorovanie realizácie opatrení SBA, ktoré boli zavedené, a na posudzovanie vplyvu na MSP. </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MH SR vytvorilo Pracovnú skupinu pre problematiku SBA (Small Business Act - zákon o malých podnikoch), ktorú tvoria zástupcovia vlády SR a podnikateľských organizácií. Jej úlohou je monitorovať a hodnotiť pokrok pri implementácii SBA, bude sa podieľať na šírení informácií týkajúcich sa politík v oblasti MSP a na výmene najlepších osvedčených postupov v tejto oblasti. Cieľom pracovnej skupiny je vypracovať odporúčania na zlepšenie uplatňovania SBA, t.j. uplatňovania konkrétnych princípov </w:t>
            </w:r>
            <w:r w:rsidR="00493967">
              <w:rPr>
                <w:rFonts w:ascii="Calibri" w:hAnsi="Calibri"/>
                <w:sz w:val="16"/>
                <w:szCs w:val="16"/>
              </w:rPr>
              <w:br/>
            </w:r>
            <w:r w:rsidRPr="004E2D6C">
              <w:rPr>
                <w:rFonts w:ascii="Calibri" w:hAnsi="Calibri"/>
                <w:sz w:val="16"/>
                <w:szCs w:val="16"/>
              </w:rPr>
              <w:t>v podmienkach SR, a tým podporovať MSP v ich podnikateľských aktivitách a vytvárať podmienky na kontinuálne zlepšovanie podnikateľského prostredia.</w:t>
            </w:r>
          </w:p>
          <w:p w:rsidR="004E2D6C" w:rsidRPr="004E2D6C" w:rsidRDefault="004E2D6C" w:rsidP="004E2D6C">
            <w:pPr>
              <w:spacing w:before="0"/>
              <w:rPr>
                <w:rFonts w:ascii="Calibri" w:hAnsi="Calibri"/>
                <w:sz w:val="16"/>
                <w:szCs w:val="16"/>
              </w:rPr>
            </w:pPr>
            <w:r w:rsidRPr="004E2D6C">
              <w:rPr>
                <w:rFonts w:ascii="Calibri" w:hAnsi="Calibri"/>
                <w:sz w:val="16"/>
                <w:szCs w:val="16"/>
              </w:rPr>
              <w:t>Pokiaľ ide o zavedenie testovania MSP v podmienkach SR, vypracovanie príslušnej metodiky a samotné zavedenie testovania MSP do praxe je súčasťou novej stratégie pre MSP, pripravovanej agentúrou NARMSP (celý názov: Stratégia rozvoja malého a stredného podnikania v SR s dôrazom na zvýšenie regionálnej zamestnanosti).</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V rámci stratégie, ktorá priamo súvisí s jednotlivými princípmi SBA, sa v rámci NARMSP plánuje aj vybudovanie Centra lepšej regulácie a Centra implementácie iniciatívy SBA v SR. Cieľom týchto návrhov je zabezpečiť systémový prístup k problémom MSP na Slovensku, komplexné riešenie regulačného a administratívneho zaťaženia vrátane </w:t>
            </w:r>
            <w:r w:rsidRPr="004E2D6C">
              <w:rPr>
                <w:rFonts w:ascii="Calibri" w:hAnsi="Calibri"/>
                <w:sz w:val="16"/>
                <w:szCs w:val="16"/>
              </w:rPr>
              <w:lastRenderedPageBreak/>
              <w:t xml:space="preserve">špecifického prístupu k MSP v podobe testovania MSP </w:t>
            </w:r>
            <w:r w:rsidR="00493967">
              <w:rPr>
                <w:rFonts w:ascii="Calibri" w:hAnsi="Calibri"/>
                <w:sz w:val="16"/>
                <w:szCs w:val="16"/>
              </w:rPr>
              <w:br/>
            </w:r>
            <w:r w:rsidRPr="004E2D6C">
              <w:rPr>
                <w:rFonts w:ascii="Calibri" w:hAnsi="Calibri"/>
                <w:sz w:val="16"/>
                <w:szCs w:val="16"/>
              </w:rPr>
              <w:t>a presadzovania zásady „Najprv myslieť v malom“ (Think Small First).</w:t>
            </w:r>
          </w:p>
        </w:tc>
      </w:tr>
      <w:tr w:rsidR="004E2D6C" w:rsidRPr="004E2D6C" w:rsidTr="00394471">
        <w:trPr>
          <w:trHeight w:val="231"/>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4.1. Uskutočnili sa opatrenia na podporu nákladovo efektívnych zlepšení efektívnosti koncového využívania energie a nákladovo efektívnych investícií do energetickej efektívnosti pri stavbe alebo renovácii budov.</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2551" w:type="dxa"/>
            <w:tcBorders>
              <w:top w:val="single" w:sz="12" w:space="0" w:color="auto"/>
              <w:bottom w:val="single" w:sz="2" w:space="0" w:color="auto"/>
            </w:tcBorders>
            <w:vAlign w:val="center"/>
          </w:tcPr>
          <w:p w:rsidR="004E2D6C" w:rsidRPr="00394471" w:rsidRDefault="004E2D6C" w:rsidP="00394471">
            <w:pPr>
              <w:spacing w:before="0"/>
              <w:rPr>
                <w:rFonts w:ascii="Calibri" w:hAnsi="Calibri"/>
                <w:sz w:val="16"/>
                <w:szCs w:val="16"/>
              </w:rPr>
            </w:pPr>
            <w:r w:rsidRPr="00394471">
              <w:rPr>
                <w:rFonts w:ascii="Calibri" w:hAnsi="Calibri"/>
                <w:sz w:val="16"/>
                <w:szCs w:val="16"/>
              </w:rPr>
              <w:t>Opatreniami sú:</w:t>
            </w:r>
          </w:p>
          <w:p w:rsidR="004E2D6C" w:rsidRPr="00394471" w:rsidRDefault="004E2D6C" w:rsidP="001C5C9E">
            <w:pPr>
              <w:pStyle w:val="Odsekzoznamu"/>
              <w:numPr>
                <w:ilvl w:val="0"/>
                <w:numId w:val="98"/>
              </w:numPr>
              <w:spacing w:before="0"/>
              <w:ind w:left="175" w:hanging="175"/>
              <w:rPr>
                <w:rFonts w:ascii="Calibri" w:hAnsi="Calibri"/>
                <w:sz w:val="16"/>
                <w:szCs w:val="16"/>
              </w:rPr>
            </w:pPr>
            <w:r w:rsidRPr="00394471">
              <w:rPr>
                <w:rFonts w:ascii="Calibri" w:hAnsi="Calibri"/>
                <w:sz w:val="16"/>
                <w:szCs w:val="16"/>
              </w:rPr>
              <w:t>opatrenia na zabezpečenie minimálnych požiadaviek súvisiacich s energetickou hospodárnosťou budov v súlade s článkami 3, 4 a 5 smernice Európskeho parlamentu a Rady 2010/31/EÚ,</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val="restart"/>
            <w:tcBorders>
              <w:top w:val="single" w:sz="12" w:space="0" w:color="auto"/>
            </w:tcBorders>
          </w:tcPr>
          <w:p w:rsidR="004E2D6C" w:rsidRPr="00394471" w:rsidRDefault="004E2D6C" w:rsidP="00394471">
            <w:pPr>
              <w:spacing w:before="0" w:after="0"/>
              <w:rPr>
                <w:rFonts w:asciiTheme="majorHAnsi" w:hAnsiTheme="majorHAnsi"/>
                <w:sz w:val="16"/>
                <w:szCs w:val="16"/>
              </w:rPr>
            </w:pPr>
            <w:r w:rsidRPr="00394471">
              <w:rPr>
                <w:rFonts w:asciiTheme="majorHAnsi" w:hAnsiTheme="majorHAnsi"/>
                <w:sz w:val="16"/>
                <w:szCs w:val="16"/>
              </w:rPr>
              <w:t>Zákon č. 555/2005 Z. z. o energetickej hospodárnosti budov v znení neskorších predpisov</w:t>
            </w:r>
          </w:p>
          <w:p w:rsidR="004E2D6C" w:rsidRPr="00394471" w:rsidRDefault="00ED6BC8" w:rsidP="00394471">
            <w:pPr>
              <w:spacing w:before="0" w:after="0"/>
              <w:rPr>
                <w:rFonts w:asciiTheme="majorHAnsi" w:hAnsiTheme="majorHAnsi"/>
                <w:sz w:val="16"/>
                <w:szCs w:val="16"/>
              </w:rPr>
            </w:pPr>
            <w:hyperlink r:id="rId53" w:history="1">
              <w:r w:rsidR="004E2D6C" w:rsidRPr="00394471">
                <w:rPr>
                  <w:rFonts w:asciiTheme="majorHAnsi" w:hAnsiTheme="majorHAnsi"/>
                  <w:color w:val="0000FF"/>
                  <w:sz w:val="16"/>
                  <w:szCs w:val="16"/>
                  <w:u w:val="single"/>
                </w:rPr>
                <w:t>http://www.telecom.gov.sk/index/index.php?ids=83478</w:t>
              </w:r>
            </w:hyperlink>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r w:rsidRPr="00394471">
              <w:rPr>
                <w:rFonts w:asciiTheme="majorHAnsi" w:hAnsiTheme="majorHAnsi"/>
                <w:sz w:val="16"/>
                <w:szCs w:val="16"/>
              </w:rPr>
              <w:t>Vyhláška MDVRR SR č. 364/2012 Z. z., ktorou sa vykonáva zákon č. 555/2005 Z. z. o energetickej hospodárnosti budov a o zmene a doplnení niektorých zákonov v znení neskorších predpisov</w:t>
            </w:r>
          </w:p>
          <w:p w:rsidR="004E2D6C" w:rsidRPr="00394471" w:rsidRDefault="00ED6BC8" w:rsidP="00394471">
            <w:pPr>
              <w:spacing w:before="0"/>
              <w:rPr>
                <w:rFonts w:asciiTheme="majorHAnsi" w:hAnsiTheme="majorHAnsi"/>
                <w:sz w:val="16"/>
                <w:szCs w:val="16"/>
              </w:rPr>
            </w:pPr>
            <w:hyperlink r:id="rId54" w:history="1">
              <w:r w:rsidR="004E2D6C" w:rsidRPr="00394471">
                <w:rPr>
                  <w:rFonts w:asciiTheme="majorHAnsi" w:hAnsiTheme="majorHAnsi"/>
                  <w:color w:val="0000FF"/>
                  <w:sz w:val="16"/>
                  <w:szCs w:val="16"/>
                  <w:u w:val="single"/>
                </w:rPr>
                <w:t>http://www.telecom.gov.sk/index/index.php?ids=83478</w:t>
              </w:r>
            </w:hyperlink>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r w:rsidRPr="00394471">
              <w:rPr>
                <w:rFonts w:asciiTheme="majorHAnsi" w:hAnsiTheme="majorHAnsi"/>
                <w:sz w:val="16"/>
                <w:szCs w:val="16"/>
              </w:rPr>
              <w:t>Národný program reforiem 2013</w:t>
            </w:r>
          </w:p>
          <w:p w:rsidR="004E2D6C" w:rsidRPr="00394471" w:rsidRDefault="00ED6BC8" w:rsidP="00394471">
            <w:pPr>
              <w:spacing w:before="0" w:after="0"/>
              <w:rPr>
                <w:rFonts w:asciiTheme="majorHAnsi" w:hAnsiTheme="majorHAnsi"/>
                <w:sz w:val="16"/>
                <w:szCs w:val="16"/>
              </w:rPr>
            </w:pPr>
            <w:hyperlink r:id="rId55" w:history="1">
              <w:r w:rsidR="004E2D6C" w:rsidRPr="00394471">
                <w:rPr>
                  <w:rFonts w:asciiTheme="majorHAnsi" w:hAnsiTheme="majorHAnsi"/>
                  <w:color w:val="0000FF"/>
                  <w:sz w:val="16"/>
                  <w:szCs w:val="16"/>
                  <w:u w:val="single"/>
                </w:rPr>
                <w:t>http://www.rokovania.sk/Rokovanie.aspx/BodRokovaniaDetail?idMaterial=22344</w:t>
              </w:r>
            </w:hyperlink>
            <w:r w:rsidR="004E2D6C" w:rsidRPr="00394471">
              <w:rPr>
                <w:rFonts w:asciiTheme="majorHAnsi" w:hAnsiTheme="majorHAnsi"/>
                <w:sz w:val="16"/>
                <w:szCs w:val="16"/>
              </w:rPr>
              <w:t xml:space="preserve"> </w:t>
            </w:r>
          </w:p>
          <w:p w:rsidR="004E2D6C" w:rsidRPr="00394471" w:rsidRDefault="004E2D6C" w:rsidP="00394471">
            <w:pPr>
              <w:spacing w:before="0" w:after="0"/>
              <w:rPr>
                <w:rFonts w:asciiTheme="majorHAnsi" w:hAnsiTheme="majorHAnsi"/>
                <w:sz w:val="16"/>
                <w:szCs w:val="16"/>
              </w:rPr>
            </w:pPr>
            <w:r w:rsidRPr="00394471">
              <w:rPr>
                <w:rFonts w:asciiTheme="majorHAnsi" w:hAnsiTheme="majorHAnsi"/>
                <w:sz w:val="16"/>
                <w:szCs w:val="16"/>
              </w:rPr>
              <w:t>Schválený vládou SR dňa 24.</w:t>
            </w:r>
            <w:r w:rsidR="00493967" w:rsidRPr="00394471">
              <w:rPr>
                <w:rFonts w:asciiTheme="majorHAnsi" w:hAnsiTheme="majorHAnsi"/>
                <w:sz w:val="16"/>
                <w:szCs w:val="16"/>
              </w:rPr>
              <w:t xml:space="preserve"> </w:t>
            </w:r>
            <w:r w:rsidRPr="00394471">
              <w:rPr>
                <w:rFonts w:asciiTheme="majorHAnsi" w:hAnsiTheme="majorHAnsi"/>
                <w:sz w:val="16"/>
                <w:szCs w:val="16"/>
              </w:rPr>
              <w:t>4.</w:t>
            </w:r>
            <w:r w:rsidR="00493967" w:rsidRPr="00394471">
              <w:rPr>
                <w:rFonts w:asciiTheme="majorHAnsi" w:hAnsiTheme="majorHAnsi"/>
                <w:sz w:val="16"/>
                <w:szCs w:val="16"/>
              </w:rPr>
              <w:t xml:space="preserve"> </w:t>
            </w:r>
            <w:r w:rsidRPr="00394471">
              <w:rPr>
                <w:rFonts w:asciiTheme="majorHAnsi" w:hAnsiTheme="majorHAnsi"/>
                <w:sz w:val="16"/>
                <w:szCs w:val="16"/>
              </w:rPr>
              <w:t>2013.</w:t>
            </w: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p>
          <w:p w:rsidR="004E2D6C" w:rsidRPr="00394471" w:rsidRDefault="004E2D6C" w:rsidP="00394471">
            <w:pPr>
              <w:spacing w:before="0" w:after="0"/>
              <w:rPr>
                <w:rFonts w:asciiTheme="majorHAnsi" w:hAnsiTheme="majorHAnsi"/>
                <w:sz w:val="16"/>
                <w:szCs w:val="16"/>
              </w:rPr>
            </w:pPr>
            <w:r w:rsidRPr="00394471">
              <w:rPr>
                <w:rFonts w:asciiTheme="majorHAnsi" w:hAnsiTheme="majorHAnsi"/>
                <w:sz w:val="16"/>
                <w:szCs w:val="16"/>
              </w:rPr>
              <w:t xml:space="preserve">Štúdia Technické a ekonomické aspekty nákladovo optimálnych opatrení </w:t>
            </w:r>
            <w:r w:rsidRPr="00394471">
              <w:rPr>
                <w:rFonts w:asciiTheme="majorHAnsi" w:hAnsiTheme="majorHAnsi"/>
                <w:sz w:val="16"/>
                <w:szCs w:val="16"/>
              </w:rPr>
              <w:lastRenderedPageBreak/>
              <w:t>zabezpečenia energetickej hospodárnosti budov</w:t>
            </w:r>
          </w:p>
          <w:p w:rsidR="004E2D6C" w:rsidRPr="004E2D6C" w:rsidRDefault="004E2D6C" w:rsidP="004E2D6C">
            <w:pPr>
              <w:spacing w:before="0"/>
              <w:rPr>
                <w:rFonts w:ascii="Calibri" w:hAnsi="Calibri"/>
                <w:sz w:val="16"/>
                <w:szCs w:val="16"/>
              </w:rPr>
            </w:pPr>
            <w:r w:rsidRPr="004E2D6C">
              <w:rPr>
                <w:rFonts w:ascii="Calibri" w:hAnsi="Calibri"/>
                <w:sz w:val="16"/>
                <w:szCs w:val="16"/>
              </w:rPr>
              <w:t>Štúdia bola notifikovaná Úradom vlády SR listom č. 08307/2013/B610-SV-28312.</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Cs w:val="22"/>
              </w:rPr>
            </w:pPr>
            <w:r w:rsidRPr="004E2D6C">
              <w:rPr>
                <w:rFonts w:ascii="Calibri" w:hAnsi="Calibri"/>
                <w:sz w:val="16"/>
                <w:szCs w:val="16"/>
              </w:rPr>
              <w:lastRenderedPageBreak/>
              <w:t>Zákon sa vzťahuje na všetky významne obnovované budovy,</w:t>
            </w:r>
            <w:r w:rsidRPr="004E2D6C">
              <w:rPr>
                <w:rFonts w:ascii="Calibri" w:hAnsi="Calibri"/>
                <w:szCs w:val="22"/>
              </w:rPr>
              <w:t xml:space="preserve"> </w:t>
            </w:r>
            <w:r w:rsidRPr="004E2D6C">
              <w:rPr>
                <w:rFonts w:ascii="Calibri" w:hAnsi="Calibri"/>
                <w:sz w:val="16"/>
                <w:szCs w:val="16"/>
              </w:rPr>
              <w:t>ak je to technicky, funkčne a ekonomicky uskutočniteľné, minimálne požiadavky na energetickú hospodárnosť nových budov musí spĺňať aj existujúca budova po uskutočnení jej významnej obnovy.</w:t>
            </w:r>
          </w:p>
          <w:p w:rsidR="00052419" w:rsidRPr="004E2D6C" w:rsidRDefault="00052419" w:rsidP="004E2D6C">
            <w:pPr>
              <w:spacing w:before="0"/>
              <w:rPr>
                <w:rFonts w:ascii="Calibri" w:hAnsi="Calibri"/>
                <w:sz w:val="16"/>
                <w:szCs w:val="16"/>
              </w:rPr>
            </w:pPr>
          </w:p>
          <w:p w:rsidR="004E2D6C" w:rsidRPr="00394471" w:rsidRDefault="004E2D6C" w:rsidP="004E2D6C">
            <w:pPr>
              <w:spacing w:before="0"/>
              <w:rPr>
                <w:rFonts w:asciiTheme="majorHAnsi" w:hAnsiTheme="majorHAnsi"/>
                <w:sz w:val="16"/>
                <w:szCs w:val="16"/>
              </w:rPr>
            </w:pPr>
            <w:r w:rsidRPr="00394471">
              <w:rPr>
                <w:rFonts w:asciiTheme="majorHAnsi" w:hAnsiTheme="majorHAnsi"/>
                <w:sz w:val="16"/>
                <w:szCs w:val="16"/>
              </w:rPr>
              <w:t>Tepelnotechnické požiadavky na EHB a prvky budov vymedzuje norma STN 73 0540-2: 2012 (júl 2012). Návrh zmeny tepelnej ochrany má byť v takej kvalite, aby sa preukázal predpoklad splnenia minimálnej požiadavky na energetickú hospodárnosť budov podľa podmienok vyplývajúcich z vyhlášky MDVRR SR č. 364/2012 Z. z.</w:t>
            </w:r>
          </w:p>
          <w:p w:rsidR="004E2D6C" w:rsidRPr="00394471" w:rsidRDefault="004E2D6C" w:rsidP="004E2D6C">
            <w:pPr>
              <w:spacing w:before="0"/>
              <w:rPr>
                <w:rFonts w:asciiTheme="majorHAnsi" w:hAnsiTheme="majorHAnsi"/>
                <w:sz w:val="16"/>
                <w:szCs w:val="16"/>
              </w:rPr>
            </w:pPr>
            <w:r w:rsidRPr="00394471">
              <w:rPr>
                <w:rFonts w:asciiTheme="majorHAnsi" w:hAnsiTheme="majorHAnsi"/>
                <w:sz w:val="16"/>
                <w:szCs w:val="16"/>
              </w:rPr>
              <w:t>V uvedenej norme STN sú stanovené požiadavky platné od 1.</w:t>
            </w:r>
            <w:r w:rsidR="00C611EB" w:rsidRPr="00394471">
              <w:rPr>
                <w:rFonts w:asciiTheme="majorHAnsi" w:hAnsiTheme="majorHAnsi"/>
                <w:sz w:val="16"/>
                <w:szCs w:val="16"/>
              </w:rPr>
              <w:t xml:space="preserve"> </w:t>
            </w:r>
            <w:r w:rsidRPr="00394471">
              <w:rPr>
                <w:rFonts w:asciiTheme="majorHAnsi" w:hAnsiTheme="majorHAnsi"/>
                <w:sz w:val="16"/>
                <w:szCs w:val="16"/>
              </w:rPr>
              <w:t>1.</w:t>
            </w:r>
            <w:r w:rsidR="00C611EB" w:rsidRPr="00394471">
              <w:rPr>
                <w:rFonts w:asciiTheme="majorHAnsi" w:hAnsiTheme="majorHAnsi"/>
                <w:sz w:val="16"/>
                <w:szCs w:val="16"/>
              </w:rPr>
              <w:t xml:space="preserve"> </w:t>
            </w:r>
            <w:r w:rsidRPr="00394471">
              <w:rPr>
                <w:rFonts w:asciiTheme="majorHAnsi" w:hAnsiTheme="majorHAnsi"/>
                <w:sz w:val="16"/>
                <w:szCs w:val="16"/>
              </w:rPr>
              <w:t>2013 v úrovni nízkoenergetickej výstavby. Uvedené odporúčané požiadavky budú platné pre uskutočňovanie novej výstavby od 1.</w:t>
            </w:r>
            <w:r w:rsidR="00C611EB" w:rsidRPr="00394471">
              <w:rPr>
                <w:rFonts w:asciiTheme="majorHAnsi" w:hAnsiTheme="majorHAnsi"/>
                <w:sz w:val="16"/>
                <w:szCs w:val="16"/>
              </w:rPr>
              <w:t xml:space="preserve"> </w:t>
            </w:r>
            <w:r w:rsidRPr="00394471">
              <w:rPr>
                <w:rFonts w:asciiTheme="majorHAnsi" w:hAnsiTheme="majorHAnsi"/>
                <w:sz w:val="16"/>
                <w:szCs w:val="16"/>
              </w:rPr>
              <w:t>1.</w:t>
            </w:r>
            <w:r w:rsidR="00C611EB" w:rsidRPr="00394471">
              <w:rPr>
                <w:rFonts w:asciiTheme="majorHAnsi" w:hAnsiTheme="majorHAnsi"/>
                <w:sz w:val="16"/>
                <w:szCs w:val="16"/>
              </w:rPr>
              <w:t xml:space="preserve"> </w:t>
            </w:r>
            <w:r w:rsidRPr="00394471">
              <w:rPr>
                <w:rFonts w:asciiTheme="majorHAnsi" w:hAnsiTheme="majorHAnsi"/>
                <w:sz w:val="16"/>
                <w:szCs w:val="16"/>
              </w:rPr>
              <w:t>2016 a cieľové odporúčané požiadavky budú platné pre uskutočňovanie novej výstavby od 1.</w:t>
            </w:r>
            <w:r w:rsidR="00493967" w:rsidRPr="00394471">
              <w:rPr>
                <w:rFonts w:asciiTheme="majorHAnsi" w:hAnsiTheme="majorHAnsi"/>
                <w:sz w:val="16"/>
                <w:szCs w:val="16"/>
              </w:rPr>
              <w:t xml:space="preserve"> </w:t>
            </w:r>
            <w:r w:rsidRPr="00394471">
              <w:rPr>
                <w:rFonts w:asciiTheme="majorHAnsi" w:hAnsiTheme="majorHAnsi"/>
                <w:sz w:val="16"/>
                <w:szCs w:val="16"/>
              </w:rPr>
              <w:t>1.</w:t>
            </w:r>
            <w:r w:rsidR="00493967" w:rsidRPr="00394471">
              <w:rPr>
                <w:rFonts w:asciiTheme="majorHAnsi" w:hAnsiTheme="majorHAnsi"/>
                <w:sz w:val="16"/>
                <w:szCs w:val="16"/>
              </w:rPr>
              <w:t xml:space="preserve"> </w:t>
            </w:r>
            <w:r w:rsidRPr="00394471">
              <w:rPr>
                <w:rFonts w:asciiTheme="majorHAnsi" w:hAnsiTheme="majorHAnsi"/>
                <w:sz w:val="16"/>
                <w:szCs w:val="16"/>
              </w:rPr>
              <w:t>2021 a pre verejné budovy od 1.</w:t>
            </w:r>
            <w:r w:rsidR="00C611EB" w:rsidRPr="00394471">
              <w:rPr>
                <w:rFonts w:asciiTheme="majorHAnsi" w:hAnsiTheme="majorHAnsi"/>
                <w:sz w:val="16"/>
                <w:szCs w:val="16"/>
              </w:rPr>
              <w:t xml:space="preserve"> </w:t>
            </w:r>
            <w:r w:rsidRPr="00394471">
              <w:rPr>
                <w:rFonts w:asciiTheme="majorHAnsi" w:hAnsiTheme="majorHAnsi"/>
                <w:sz w:val="16"/>
                <w:szCs w:val="16"/>
              </w:rPr>
              <w:t>1.</w:t>
            </w:r>
            <w:r w:rsidR="00C611EB" w:rsidRPr="00394471">
              <w:rPr>
                <w:rFonts w:asciiTheme="majorHAnsi" w:hAnsiTheme="majorHAnsi"/>
                <w:sz w:val="16"/>
                <w:szCs w:val="16"/>
              </w:rPr>
              <w:t xml:space="preserve"> </w:t>
            </w:r>
            <w:r w:rsidRPr="00394471">
              <w:rPr>
                <w:rFonts w:asciiTheme="majorHAnsi" w:hAnsiTheme="majorHAnsi"/>
                <w:sz w:val="16"/>
                <w:szCs w:val="16"/>
              </w:rPr>
              <w:t>2019.</w:t>
            </w:r>
          </w:p>
          <w:p w:rsidR="004E2D6C" w:rsidRPr="00394471" w:rsidRDefault="004E2D6C" w:rsidP="004E2D6C">
            <w:pPr>
              <w:spacing w:before="0"/>
              <w:rPr>
                <w:rFonts w:asciiTheme="majorHAnsi" w:hAnsiTheme="majorHAnsi"/>
                <w:sz w:val="16"/>
                <w:szCs w:val="16"/>
              </w:rPr>
            </w:pPr>
          </w:p>
          <w:p w:rsidR="004E2D6C" w:rsidRPr="00394471" w:rsidRDefault="004E2D6C" w:rsidP="004E2D6C">
            <w:pPr>
              <w:spacing w:before="0"/>
              <w:rPr>
                <w:rFonts w:asciiTheme="majorHAnsi" w:hAnsiTheme="majorHAnsi"/>
                <w:sz w:val="16"/>
                <w:szCs w:val="16"/>
              </w:rPr>
            </w:pPr>
            <w:r w:rsidRPr="00394471">
              <w:rPr>
                <w:rFonts w:asciiTheme="majorHAnsi" w:hAnsiTheme="majorHAnsi"/>
                <w:sz w:val="16"/>
                <w:szCs w:val="16"/>
              </w:rPr>
              <w:t>NPR 2013 stanovil národný indikatívny cieľ energetickej efektívnosti, ktorý bol v súlade s požiadavkami čl. 3 smernice 2012/27/EU. Hodnoty cieľa sú uvedené NPR 2013 v tabuľke v kapitole 2.2 vlastného materiálu. Vzhľadom na to, že tieto ciele sú len indikatívne a ešte neboli k dispozícii údaje za rok 2012, je nemožné stanoviť pevnú referenčnú hodnotu. Pri stanovení cieľa boli zohľadnené vnútroštátne okolnosti ovplyvňujúce primárnu energetickú spotrebu.</w:t>
            </w:r>
          </w:p>
          <w:p w:rsidR="004E2D6C" w:rsidRPr="00394471" w:rsidRDefault="004E2D6C" w:rsidP="004E2D6C">
            <w:pPr>
              <w:spacing w:before="0"/>
              <w:rPr>
                <w:rFonts w:asciiTheme="majorHAnsi" w:hAnsiTheme="majorHAnsi"/>
                <w:sz w:val="16"/>
                <w:szCs w:val="16"/>
              </w:rPr>
            </w:pPr>
          </w:p>
          <w:p w:rsidR="004E2D6C" w:rsidRPr="004E2D6C" w:rsidRDefault="004E2D6C" w:rsidP="004E2D6C">
            <w:pPr>
              <w:spacing w:before="0"/>
              <w:rPr>
                <w:rFonts w:ascii="Calibri" w:hAnsi="Calibri"/>
                <w:sz w:val="16"/>
                <w:szCs w:val="16"/>
              </w:rPr>
            </w:pPr>
            <w:r w:rsidRPr="00394471">
              <w:rPr>
                <w:rFonts w:asciiTheme="majorHAnsi" w:hAnsiTheme="majorHAnsi"/>
                <w:sz w:val="16"/>
                <w:szCs w:val="16"/>
              </w:rPr>
              <w:t>V súčasnosti platné minimálne požiadavky boli porovnané s vypočítanými nákladovo optimálnymi úrovňami minimálnych požiadaviek v zmysle smernice 2010/31/EÚ. Všetky vstupné údaje a predpoklady použité pri výpočte, výsledky výpočtov, údaje o referenčných</w:t>
            </w:r>
            <w:r w:rsidRPr="004E2D6C">
              <w:rPr>
                <w:rFonts w:ascii="Calibri" w:hAnsi="Calibri"/>
                <w:sz w:val="16"/>
                <w:szCs w:val="16"/>
              </w:rPr>
              <w:t xml:space="preserve"> budovách pre rozličné kategórie budov s rozlíšením medzi novými </w:t>
            </w:r>
            <w:r w:rsidR="005A599D">
              <w:rPr>
                <w:rFonts w:ascii="Calibri" w:hAnsi="Calibri"/>
                <w:sz w:val="16"/>
                <w:szCs w:val="16"/>
              </w:rPr>
              <w:br/>
            </w:r>
            <w:r w:rsidRPr="004E2D6C">
              <w:rPr>
                <w:rFonts w:ascii="Calibri" w:hAnsi="Calibri"/>
                <w:sz w:val="16"/>
                <w:szCs w:val="16"/>
              </w:rPr>
              <w:lastRenderedPageBreak/>
              <w:t>a existujúcimi budovami určenými na zásadnú renováciu boli spracované v súlade s požiadavkami príloh k Delegovanému nariadeniu EK č. 244/2012, ktorým sa dopĺňa smernica Európskeho parlamentu a Rady 2010/31/EÚ o energetickej hospodárnosti budov vytvorením rámca porovnávacej metodiky na výpočet nákladovo optimálnych úrovní minimálnych požiadaviek na energetickú hospodárnosť budov a prvkov budov.</w:t>
            </w:r>
          </w:p>
        </w:tc>
      </w:tr>
      <w:tr w:rsidR="004E2D6C" w:rsidRPr="004E2D6C" w:rsidTr="00394471">
        <w:trPr>
          <w:trHeight w:val="231"/>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8"/>
              </w:numPr>
              <w:spacing w:before="0"/>
              <w:ind w:left="175" w:hanging="175"/>
              <w:rPr>
                <w:rFonts w:ascii="Calibri" w:hAnsi="Calibri"/>
                <w:sz w:val="16"/>
                <w:szCs w:val="16"/>
              </w:rPr>
            </w:pPr>
            <w:r w:rsidRPr="00394471">
              <w:rPr>
                <w:rFonts w:ascii="Calibri" w:hAnsi="Calibri"/>
                <w:sz w:val="16"/>
                <w:szCs w:val="16"/>
              </w:rPr>
              <w:t>opatrenia potrebné na zavedenie systému certifikácie energetickej hospodárnosti budov v súlade s článkom 11 smernice 2010/31/EÚ;</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231"/>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394471" w:rsidRDefault="004E2D6C" w:rsidP="001C5C9E">
            <w:pPr>
              <w:pStyle w:val="Odsekzoznamu"/>
              <w:numPr>
                <w:ilvl w:val="0"/>
                <w:numId w:val="98"/>
              </w:numPr>
              <w:spacing w:before="0"/>
              <w:ind w:left="175" w:hanging="175"/>
              <w:rPr>
                <w:rFonts w:ascii="Calibri" w:hAnsi="Calibri"/>
                <w:sz w:val="16"/>
                <w:szCs w:val="16"/>
              </w:rPr>
            </w:pPr>
            <w:r w:rsidRPr="00394471">
              <w:rPr>
                <w:rFonts w:ascii="Calibri" w:hAnsi="Calibri"/>
                <w:sz w:val="16"/>
                <w:szCs w:val="16"/>
              </w:rPr>
              <w:t>opatrenia na zabezpečenie strategického plánovania energetickej efektívnosti v súlade s článkom 3 smernice Európskeho parlamentu a Rady 2012/27/EÚ,</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394471">
        <w:trPr>
          <w:trHeight w:val="231"/>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394471" w:rsidRDefault="004E2D6C" w:rsidP="001C5C9E">
            <w:pPr>
              <w:pStyle w:val="Odsekzoznamu"/>
              <w:numPr>
                <w:ilvl w:val="0"/>
                <w:numId w:val="98"/>
              </w:numPr>
              <w:spacing w:before="0"/>
              <w:ind w:left="175" w:hanging="175"/>
              <w:rPr>
                <w:rFonts w:ascii="Calibri" w:hAnsi="Calibri"/>
                <w:sz w:val="16"/>
                <w:szCs w:val="16"/>
              </w:rPr>
            </w:pPr>
            <w:r w:rsidRPr="00394471">
              <w:rPr>
                <w:rFonts w:ascii="Calibri" w:hAnsi="Calibri"/>
                <w:sz w:val="16"/>
                <w:szCs w:val="16"/>
              </w:rPr>
              <w:t>opatrenia v súlade s článkom 13 smernice Európskeho parlamentu a Rady 2006/32/ES o energetickej efektívnosti konečného využitia energie a energetických službách, aby sa zabezpečilo poskytnutie individuálnych meračov koncovým zákazníkom, pokiaľ je to technicky možné, za rozumnú a primeranú cenu vo vzťahu k možným úsporám energie.</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177"/>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4.2. Vykonali sa opatrenia na podporu vysoko efektívnej kombinovanej výroby tepla a elektrickej energie.</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2551" w:type="dxa"/>
            <w:tcBorders>
              <w:top w:val="single" w:sz="12" w:space="0" w:color="auto"/>
              <w:bottom w:val="single" w:sz="2" w:space="0" w:color="auto"/>
            </w:tcBorders>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 xml:space="preserve">Opatreniami sú: </w:t>
            </w:r>
          </w:p>
          <w:p w:rsidR="004E2D6C" w:rsidRPr="00064274" w:rsidRDefault="004E2D6C" w:rsidP="001C5C9E">
            <w:pPr>
              <w:pStyle w:val="Odsekzoznamu"/>
              <w:numPr>
                <w:ilvl w:val="0"/>
                <w:numId w:val="98"/>
              </w:numPr>
              <w:tabs>
                <w:tab w:val="left" w:pos="3"/>
              </w:tabs>
              <w:spacing w:before="0"/>
              <w:ind w:left="175" w:hanging="175"/>
              <w:rPr>
                <w:rFonts w:ascii="Calibri" w:hAnsi="Calibri"/>
                <w:sz w:val="16"/>
                <w:szCs w:val="16"/>
                <w:lang w:eastAsia="sk-SK"/>
              </w:rPr>
            </w:pPr>
            <w:r w:rsidRPr="00064274">
              <w:rPr>
                <w:rFonts w:ascii="Calibri" w:hAnsi="Calibri"/>
                <w:sz w:val="16"/>
                <w:szCs w:val="16"/>
                <w:lang w:eastAsia="sk-SK"/>
              </w:rPr>
              <w:t>podpora kombinovanej výroby vychádza z dopytu po využiteľnom teple a z úspor primárnej energie v súlade s článkom 7 ods. 1 a článkom 9 ods. 1 písm. a) a b) smernice 2004/8/ES. Členské štáty alebo ich príslušné orgány zhodnotili existujúci legislatívny a regulačný rámec s ohľadom na postupy pri udeľovaní povolení alebo na iné postupy s cieľom:</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vMerge w:val="restart"/>
            <w:tcBorders>
              <w:top w:val="single" w:sz="12" w:space="0" w:color="auto"/>
            </w:tcBorders>
          </w:tcPr>
          <w:p w:rsidR="004E2D6C" w:rsidRPr="00394471" w:rsidRDefault="004E2D6C" w:rsidP="004E2D6C">
            <w:pPr>
              <w:spacing w:before="0"/>
              <w:rPr>
                <w:rFonts w:asciiTheme="majorHAnsi" w:hAnsiTheme="majorHAnsi"/>
                <w:sz w:val="16"/>
                <w:szCs w:val="16"/>
              </w:rPr>
            </w:pPr>
            <w:r w:rsidRPr="00394471">
              <w:rPr>
                <w:rFonts w:asciiTheme="majorHAnsi" w:hAnsiTheme="majorHAnsi"/>
                <w:sz w:val="16"/>
                <w:szCs w:val="16"/>
              </w:rPr>
              <w:t>Zákon č. 309/2009 Z. z. o podpore obnoviteľných zdrojov energie a vysoko účinnej kombinovanej výroby</w:t>
            </w:r>
          </w:p>
          <w:p w:rsidR="004E2D6C" w:rsidRPr="00394471" w:rsidRDefault="00ED6BC8" w:rsidP="004E2D6C">
            <w:pPr>
              <w:spacing w:before="0"/>
              <w:rPr>
                <w:rFonts w:asciiTheme="majorHAnsi" w:hAnsiTheme="majorHAnsi"/>
                <w:sz w:val="16"/>
                <w:szCs w:val="16"/>
              </w:rPr>
            </w:pPr>
            <w:hyperlink r:id="rId56" w:history="1">
              <w:r w:rsidR="004E2D6C" w:rsidRPr="00394471">
                <w:rPr>
                  <w:rFonts w:asciiTheme="majorHAnsi" w:hAnsiTheme="majorHAnsi"/>
                  <w:color w:val="0000FF"/>
                  <w:sz w:val="16"/>
                  <w:szCs w:val="16"/>
                  <w:u w:val="single"/>
                </w:rPr>
                <w:t>http://www.mhsr.sk/obnovitelne-zdroje-energie-a-kombinovana-vyroba/130978s</w:t>
              </w:r>
            </w:hyperlink>
          </w:p>
          <w:p w:rsidR="004E2D6C" w:rsidRPr="00394471" w:rsidRDefault="004E2D6C" w:rsidP="004E2D6C">
            <w:pPr>
              <w:spacing w:before="0"/>
              <w:rPr>
                <w:rFonts w:asciiTheme="majorHAnsi" w:hAnsiTheme="majorHAnsi"/>
                <w:sz w:val="16"/>
                <w:szCs w:val="16"/>
              </w:rPr>
            </w:pPr>
          </w:p>
          <w:p w:rsidR="004E2D6C" w:rsidRPr="00394471" w:rsidRDefault="004E2D6C" w:rsidP="004E2D6C">
            <w:pPr>
              <w:spacing w:before="0"/>
              <w:rPr>
                <w:rFonts w:asciiTheme="majorHAnsi" w:hAnsiTheme="majorHAnsi"/>
                <w:sz w:val="16"/>
                <w:szCs w:val="16"/>
              </w:rPr>
            </w:pPr>
            <w:r w:rsidRPr="00394471">
              <w:rPr>
                <w:rFonts w:asciiTheme="majorHAnsi" w:hAnsiTheme="majorHAnsi"/>
                <w:sz w:val="16"/>
                <w:szCs w:val="16"/>
              </w:rPr>
              <w:t>Vyhláška MH SR č. 599/2009 Z. z., ktorou sa vykonávajú niektoré ustanovenia zákona o podpore obnoviteľných zdrojov energie a vysoko účinnej kombinovanej výroby</w:t>
            </w:r>
          </w:p>
          <w:p w:rsidR="004E2D6C" w:rsidRPr="00394471" w:rsidRDefault="00ED6BC8" w:rsidP="004E2D6C">
            <w:pPr>
              <w:spacing w:before="0"/>
              <w:rPr>
                <w:rFonts w:asciiTheme="majorHAnsi" w:hAnsiTheme="majorHAnsi"/>
                <w:sz w:val="16"/>
                <w:szCs w:val="16"/>
              </w:rPr>
            </w:pPr>
            <w:hyperlink r:id="rId57" w:history="1">
              <w:r w:rsidR="004E2D6C" w:rsidRPr="00394471">
                <w:rPr>
                  <w:rFonts w:asciiTheme="majorHAnsi" w:hAnsiTheme="majorHAnsi"/>
                  <w:color w:val="0000FF"/>
                  <w:sz w:val="16"/>
                  <w:szCs w:val="16"/>
                  <w:u w:val="single"/>
                </w:rPr>
                <w:t>http://www.siea.sk/materials/files/poradenstvo/legislativa/tepelna_energetika/8_1_2009_599_vyhlaska_MHSR.pdf</w:t>
              </w:r>
            </w:hyperlink>
          </w:p>
          <w:p w:rsidR="004E2D6C" w:rsidRPr="00394471" w:rsidRDefault="004E2D6C" w:rsidP="004E2D6C">
            <w:pPr>
              <w:spacing w:before="0"/>
              <w:rPr>
                <w:rFonts w:asciiTheme="majorHAnsi" w:hAnsiTheme="majorHAnsi"/>
                <w:sz w:val="16"/>
                <w:szCs w:val="16"/>
              </w:rPr>
            </w:pPr>
          </w:p>
          <w:p w:rsidR="004E2D6C" w:rsidRPr="00394471" w:rsidRDefault="004E2D6C" w:rsidP="004E2D6C">
            <w:pPr>
              <w:spacing w:before="0"/>
              <w:rPr>
                <w:rFonts w:asciiTheme="majorHAnsi" w:hAnsiTheme="majorHAnsi"/>
                <w:sz w:val="16"/>
                <w:szCs w:val="16"/>
              </w:rPr>
            </w:pPr>
            <w:r w:rsidRPr="00394471">
              <w:rPr>
                <w:rFonts w:asciiTheme="majorHAnsi" w:hAnsiTheme="majorHAnsi"/>
                <w:sz w:val="16"/>
                <w:szCs w:val="16"/>
              </w:rPr>
              <w:t>Zákon č. 657/2004 Z. z. o tepelnej energetike v znení neskorších predpisov</w:t>
            </w:r>
          </w:p>
          <w:p w:rsidR="004E2D6C" w:rsidRPr="00394471" w:rsidRDefault="004E2D6C" w:rsidP="004E2D6C">
            <w:pPr>
              <w:spacing w:before="0"/>
              <w:rPr>
                <w:rFonts w:asciiTheme="majorHAnsi" w:hAnsiTheme="majorHAnsi"/>
                <w:sz w:val="16"/>
                <w:szCs w:val="16"/>
              </w:rPr>
            </w:pPr>
          </w:p>
          <w:p w:rsidR="004E2D6C" w:rsidRPr="004E2D6C" w:rsidRDefault="00ED6BC8" w:rsidP="004E2D6C">
            <w:pPr>
              <w:spacing w:before="0"/>
              <w:rPr>
                <w:rFonts w:ascii="Calibri" w:hAnsi="Calibri"/>
                <w:sz w:val="16"/>
                <w:szCs w:val="16"/>
              </w:rPr>
            </w:pPr>
            <w:hyperlink r:id="rId58" w:anchor="38;rct=j&amp;" w:history="1">
              <w:r w:rsidR="004E2D6C" w:rsidRPr="00394471">
                <w:rPr>
                  <w:rFonts w:asciiTheme="majorHAnsi" w:hAnsiTheme="majorHAnsi"/>
                  <w:color w:val="0000FF"/>
                  <w:sz w:val="16"/>
                  <w:szCs w:val="16"/>
                  <w:u w:val="single"/>
                </w:rPr>
                <w:t>http://www.google.sk/url?sa=t&amp;rct=j&amp;q=&amp;esrc=s&amp;frm=1&amp;source=web&amp;cd=1&amp;ved=0CDAQFjAA&amp;url=http%3A%2F%2Fwww.economy.gov.sk%2Fzakon-o...%2F128085s&amp;ei=9d7OUqLVGYa0yAOu4IGYBw&amp;usg=AFQjCNHp8WDz1Y6Kl0L1W_bEPk4qv7VqEw&amp;sig2=i_Xy5ar03CWRcMl_uUP1nw</w:t>
              </w:r>
            </w:hyperlink>
            <w:r w:rsidR="004E2D6C" w:rsidRPr="004E2D6C">
              <w:rPr>
                <w:rFonts w:ascii="Calibri" w:hAnsi="Calibri"/>
                <w:sz w:val="16"/>
                <w:szCs w:val="16"/>
              </w:rPr>
              <w:t xml:space="preserve"> </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i/>
                <w:sz w:val="16"/>
                <w:szCs w:val="16"/>
              </w:rPr>
              <w:t xml:space="preserve">Zákon č. 309/2009 Z. z. </w:t>
            </w:r>
            <w:r w:rsidRPr="004E2D6C">
              <w:rPr>
                <w:rFonts w:ascii="Calibri" w:hAnsi="Calibri"/>
                <w:sz w:val="16"/>
                <w:szCs w:val="16"/>
              </w:rPr>
              <w:t>definuje využiteľné teplo podľa smernice 2004/8/ES a keďže je v SR výroba tepla sieťovým odvetvím, sú určené pravidlá zákonom č. 657/2004 Z. z. o tepelnej energetike v znení neskorších predpisov a zákonom č. 276/2001 Z. z. o regulácii v sieťových odvetviach a o zmene a doplnení niektorých zákonov v znení neskorších predpisov.</w:t>
            </w:r>
          </w:p>
          <w:p w:rsidR="004E2D6C" w:rsidRPr="004E2D6C" w:rsidRDefault="004E2D6C" w:rsidP="004E2D6C">
            <w:pPr>
              <w:spacing w:before="0"/>
              <w:rPr>
                <w:rFonts w:ascii="Calibri" w:hAnsi="Calibri"/>
                <w:sz w:val="16"/>
                <w:szCs w:val="16"/>
              </w:rPr>
            </w:pPr>
            <w:r w:rsidRPr="004E2D6C">
              <w:rPr>
                <w:rFonts w:ascii="Calibri" w:hAnsi="Calibri"/>
                <w:sz w:val="16"/>
                <w:szCs w:val="16"/>
              </w:rPr>
              <w:t>Doplatkom je podporené len také množstvo elektriny, ktoré je vyrobené vysoko účinnou kombinovanou výrobou a zodpovedá množstvu využiteľného tepla.</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Prostredníctvom vyhlášky MH SR č. 599/2009 Z. z. sa vypočíta množstvo elektriny vyrobené vysoko účinnou kombinovanou výrobou.</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V zmysle § 21 zákona č. 657/2004 Z. z. je držiteľ povolenia na rozvod tepla povinný na zabezpečenie zmluvne dohodnutých dodávok tepla odoberať za určenú alebo schválenú cenu teplo od držiteľa povolenia na výrobu tepla, ktorý teplo vyrába z obnoviteľných zdrojov energie alebo v zariadení na kombinovanú výrobu tepla a elektriny za podmienok ustanovených v tomto zákone.</w:t>
            </w:r>
          </w:p>
        </w:tc>
      </w:tr>
      <w:tr w:rsidR="004E2D6C" w:rsidRPr="004E2D6C" w:rsidTr="002377D3">
        <w:trPr>
          <w:trHeight w:val="175"/>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 xml:space="preserve">a) podnecovať navrhovanie jednotiek na kombinovanú výrobu tepla a elektrickej energie, aby sa uspokojil ekonomicky zdôvodnený dopyt po výrobe využiteľného tepla a predchádzať výrobe väčšieho množstva tepla, než je využiteľné teplo, a </w:t>
            </w:r>
          </w:p>
        </w:tc>
        <w:tc>
          <w:tcPr>
            <w:tcW w:w="1134" w:type="dxa"/>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175"/>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tcPr>
          <w:p w:rsidR="004E2D6C" w:rsidRPr="004E2D6C" w:rsidRDefault="004E2D6C" w:rsidP="004E2D6C">
            <w:pPr>
              <w:tabs>
                <w:tab w:val="left" w:pos="3"/>
                <w:tab w:val="num" w:pos="2580"/>
              </w:tabs>
              <w:spacing w:before="0"/>
              <w:rPr>
                <w:rFonts w:ascii="Calibri" w:hAnsi="Calibri"/>
                <w:sz w:val="16"/>
                <w:szCs w:val="16"/>
                <w:lang w:eastAsia="sk-SK"/>
              </w:rPr>
            </w:pPr>
            <w:r w:rsidRPr="004E2D6C">
              <w:rPr>
                <w:rFonts w:ascii="Calibri" w:hAnsi="Calibri"/>
                <w:sz w:val="16"/>
                <w:szCs w:val="16"/>
                <w:lang w:eastAsia="sk-SK"/>
              </w:rPr>
              <w:t>b) znížiť regulačné a neregulačné prekážky, aby sa zvýšila kombinovaná výroba tepla a elektrickej energie.</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064274">
        <w:trPr>
          <w:trHeight w:val="264"/>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4.3. Vykonali sa opatrenia na podporu výroby a distribúcie </w:t>
            </w:r>
            <w:r w:rsidRPr="004E2D6C">
              <w:rPr>
                <w:rFonts w:ascii="Calibri" w:hAnsi="Calibri"/>
                <w:sz w:val="16"/>
                <w:szCs w:val="16"/>
              </w:rPr>
              <w:lastRenderedPageBreak/>
              <w:t>energie z obnoviteľných zdrojov</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lastRenderedPageBreak/>
              <w:t>Áno</w:t>
            </w:r>
          </w:p>
        </w:tc>
        <w:tc>
          <w:tcPr>
            <w:tcW w:w="2551" w:type="dxa"/>
            <w:tcBorders>
              <w:top w:val="single" w:sz="12" w:space="0" w:color="auto"/>
              <w:bottom w:val="single" w:sz="2" w:space="0" w:color="auto"/>
            </w:tcBorders>
            <w:vAlign w:val="center"/>
          </w:tcPr>
          <w:p w:rsidR="004E2D6C" w:rsidRPr="00064274" w:rsidRDefault="004E2D6C" w:rsidP="001C5C9E">
            <w:pPr>
              <w:pStyle w:val="Odsekzoznamu"/>
              <w:numPr>
                <w:ilvl w:val="0"/>
                <w:numId w:val="99"/>
              </w:numPr>
              <w:spacing w:before="0"/>
              <w:ind w:left="175" w:hanging="141"/>
              <w:rPr>
                <w:rFonts w:ascii="Calibri" w:hAnsi="Calibri"/>
                <w:sz w:val="16"/>
                <w:szCs w:val="16"/>
              </w:rPr>
            </w:pPr>
            <w:r w:rsidRPr="00064274">
              <w:rPr>
                <w:rFonts w:ascii="Calibri" w:hAnsi="Calibri"/>
                <w:sz w:val="16"/>
                <w:szCs w:val="16"/>
              </w:rPr>
              <w:t xml:space="preserve">Zaviedli sa transparentné systémy podpory, prioritný prístup do siete alebo </w:t>
            </w:r>
            <w:r w:rsidRPr="00064274">
              <w:rPr>
                <w:rFonts w:ascii="Calibri" w:hAnsi="Calibri"/>
                <w:sz w:val="16"/>
                <w:szCs w:val="16"/>
              </w:rPr>
              <w:lastRenderedPageBreak/>
              <w:t>garantovaný prístup a priorita pri prenose, ako aj štandardné pravidlá týkajúce sa znášania a rozdelenia nákladov na technické úpravy, ktoré boli uverejnené, v súlade s článkom 14 ods. 1 a článkom 16 ods. 2 a 3 smernice Európskeho parlamentu a Rady 2009/28/ES.</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lastRenderedPageBreak/>
              <w:t>Áno</w:t>
            </w:r>
          </w:p>
        </w:tc>
        <w:tc>
          <w:tcPr>
            <w:tcW w:w="3119" w:type="dxa"/>
            <w:tcBorders>
              <w:top w:val="single" w:sz="12" w:space="0" w:color="auto"/>
            </w:tcBorders>
          </w:tcPr>
          <w:p w:rsidR="004E2D6C" w:rsidRPr="00064274" w:rsidRDefault="004E2D6C" w:rsidP="004E2D6C">
            <w:pPr>
              <w:spacing w:before="0"/>
              <w:rPr>
                <w:rFonts w:ascii="Calibri" w:hAnsi="Calibri"/>
                <w:sz w:val="16"/>
                <w:szCs w:val="16"/>
              </w:rPr>
            </w:pPr>
            <w:r w:rsidRPr="00064274">
              <w:rPr>
                <w:rFonts w:ascii="Calibri" w:hAnsi="Calibri"/>
                <w:sz w:val="16"/>
                <w:szCs w:val="16"/>
              </w:rPr>
              <w:t>Zákon č. 309/2009 Z. z. o podpore obnoviteľných zdrojov energie a vysoko účinnej kombinovanej výroby</w:t>
            </w:r>
            <w:r w:rsidR="00064192" w:rsidRPr="00064274">
              <w:rPr>
                <w:rFonts w:ascii="Calibri" w:hAnsi="Calibri"/>
                <w:sz w:val="16"/>
                <w:szCs w:val="16"/>
              </w:rPr>
              <w:t xml:space="preserve"> </w:t>
            </w:r>
            <w:r w:rsidR="00064192" w:rsidRPr="00064274">
              <w:rPr>
                <w:rFonts w:ascii="Calibri" w:eastAsia="Calibri" w:hAnsi="Calibri"/>
                <w:sz w:val="16"/>
                <w:szCs w:val="16"/>
              </w:rPr>
              <w:t xml:space="preserve">v znení </w:t>
            </w:r>
            <w:r w:rsidR="00064192" w:rsidRPr="00064274">
              <w:rPr>
                <w:rFonts w:ascii="Calibri" w:eastAsia="Calibri" w:hAnsi="Calibri"/>
                <w:sz w:val="16"/>
                <w:szCs w:val="16"/>
              </w:rPr>
              <w:lastRenderedPageBreak/>
              <w:t>neskorších predpisov</w:t>
            </w:r>
          </w:p>
          <w:p w:rsidR="004E2D6C" w:rsidRPr="00064274" w:rsidRDefault="00ED6BC8" w:rsidP="004E2D6C">
            <w:pPr>
              <w:spacing w:before="0"/>
              <w:rPr>
                <w:rFonts w:ascii="Calibri" w:hAnsi="Calibri"/>
                <w:sz w:val="16"/>
                <w:szCs w:val="16"/>
              </w:rPr>
            </w:pPr>
            <w:hyperlink r:id="rId59" w:history="1">
              <w:r w:rsidR="004E2D6C" w:rsidRPr="00064274">
                <w:rPr>
                  <w:rFonts w:ascii="Calibri" w:hAnsi="Calibri"/>
                  <w:color w:val="0000FF"/>
                  <w:sz w:val="16"/>
                  <w:szCs w:val="16"/>
                  <w:u w:val="single"/>
                </w:rPr>
                <w:t>http://www.mhsr.sk/obnovitelne-zdroje-energie-a-kombinovana-vyroba/130978s</w:t>
              </w:r>
            </w:hyperlink>
          </w:p>
          <w:p w:rsidR="004E2D6C" w:rsidRPr="00064274" w:rsidRDefault="004E2D6C" w:rsidP="004E2D6C">
            <w:pPr>
              <w:spacing w:before="0"/>
              <w:rPr>
                <w:rFonts w:ascii="Calibri" w:hAnsi="Calibri"/>
                <w:sz w:val="16"/>
                <w:szCs w:val="16"/>
              </w:rPr>
            </w:pPr>
          </w:p>
          <w:p w:rsidR="004E2D6C" w:rsidRPr="00064274" w:rsidRDefault="004E2D6C" w:rsidP="004E2D6C">
            <w:pPr>
              <w:spacing w:before="0"/>
              <w:rPr>
                <w:rFonts w:ascii="Calibri" w:hAnsi="Calibri"/>
                <w:sz w:val="16"/>
                <w:szCs w:val="16"/>
              </w:rPr>
            </w:pPr>
            <w:r w:rsidRPr="00064274">
              <w:rPr>
                <w:rFonts w:ascii="Calibri" w:hAnsi="Calibri"/>
                <w:sz w:val="16"/>
                <w:szCs w:val="16"/>
              </w:rPr>
              <w:t>Vyhláška ÚRSO č. 225/2011 Z. z., ktorou sa ustanovuje cenová reguláci</w:t>
            </w:r>
            <w:r w:rsidR="00D32803" w:rsidRPr="00064274">
              <w:rPr>
                <w:rFonts w:ascii="Calibri" w:hAnsi="Calibri"/>
                <w:sz w:val="16"/>
                <w:szCs w:val="16"/>
              </w:rPr>
              <w:t>a</w:t>
            </w:r>
            <w:r w:rsidRPr="00064274">
              <w:rPr>
                <w:rFonts w:ascii="Calibri" w:hAnsi="Calibri"/>
                <w:sz w:val="16"/>
                <w:szCs w:val="16"/>
              </w:rPr>
              <w:t xml:space="preserve"> </w:t>
            </w:r>
            <w:r w:rsidR="005A599D" w:rsidRPr="00064274">
              <w:rPr>
                <w:rFonts w:ascii="Calibri" w:hAnsi="Calibri"/>
                <w:sz w:val="16"/>
                <w:szCs w:val="16"/>
              </w:rPr>
              <w:br/>
            </w:r>
            <w:r w:rsidRPr="00064274">
              <w:rPr>
                <w:rFonts w:ascii="Calibri" w:hAnsi="Calibri"/>
                <w:sz w:val="16"/>
                <w:szCs w:val="16"/>
              </w:rPr>
              <w:t>v elektroenergetike.</w:t>
            </w:r>
          </w:p>
          <w:p w:rsidR="004E2D6C" w:rsidRPr="00064274" w:rsidRDefault="00ED6BC8" w:rsidP="004E2D6C">
            <w:pPr>
              <w:spacing w:before="0"/>
              <w:rPr>
                <w:rFonts w:ascii="Calibri" w:hAnsi="Calibri"/>
                <w:sz w:val="16"/>
                <w:szCs w:val="16"/>
              </w:rPr>
            </w:pPr>
            <w:hyperlink r:id="rId60" w:history="1">
              <w:r w:rsidR="004E2D6C" w:rsidRPr="00064274">
                <w:rPr>
                  <w:rFonts w:ascii="Calibri" w:hAnsi="Calibri"/>
                  <w:color w:val="0000FF"/>
                  <w:sz w:val="16"/>
                  <w:szCs w:val="16"/>
                  <w:u w:val="single"/>
                </w:rPr>
                <w:t>http://www.urso.gov.sk/sites/default/files/vyhl_225-2011.pdf</w:t>
              </w:r>
            </w:hyperlink>
            <w:r w:rsidR="004E2D6C" w:rsidRPr="00064274">
              <w:rPr>
                <w:rFonts w:ascii="Calibri" w:hAnsi="Calibri"/>
                <w:sz w:val="16"/>
                <w:szCs w:val="16"/>
              </w:rPr>
              <w:t xml:space="preserve"> </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Zákonom č. 309/2009 Z. z. sú zavedené transparentné podporné schémy. Výrobca elektriny</w:t>
            </w:r>
            <w:r w:rsidR="00D32803">
              <w:rPr>
                <w:rFonts w:ascii="Calibri" w:hAnsi="Calibri"/>
                <w:sz w:val="16"/>
                <w:szCs w:val="16"/>
              </w:rPr>
              <w:t>,</w:t>
            </w:r>
            <w:r w:rsidRPr="004E2D6C">
              <w:rPr>
                <w:rFonts w:ascii="Calibri" w:hAnsi="Calibri"/>
                <w:sz w:val="16"/>
                <w:szCs w:val="16"/>
              </w:rPr>
              <w:t xml:space="preserve"> s právom na podporu</w:t>
            </w:r>
            <w:r w:rsidR="00D32803">
              <w:rPr>
                <w:rFonts w:ascii="Calibri" w:hAnsi="Calibri"/>
                <w:sz w:val="16"/>
                <w:szCs w:val="16"/>
              </w:rPr>
              <w:t>,</w:t>
            </w:r>
            <w:r w:rsidRPr="004E2D6C">
              <w:rPr>
                <w:rFonts w:ascii="Calibri" w:hAnsi="Calibri"/>
                <w:sz w:val="16"/>
                <w:szCs w:val="16"/>
              </w:rPr>
              <w:t xml:space="preserve"> má právo na prednostné pripojenie do </w:t>
            </w:r>
            <w:r w:rsidRPr="004E2D6C">
              <w:rPr>
                <w:rFonts w:ascii="Calibri" w:hAnsi="Calibri"/>
                <w:sz w:val="16"/>
                <w:szCs w:val="16"/>
              </w:rPr>
              <w:lastRenderedPageBreak/>
              <w:t>distribučnej sústavy, prednostný prenos elektriny, prednostnú distribúciu elektriny a prednostnú dodávku elektriny, ak zariadenie na výrobu elektriny spĺňa technické podmienky prevádzkovateľa sústavy podľa osobitného predpisu a neohrozí bezpečnosť a spoľahlivosť prevádzky sústavy; prednostný prenos elektriny sa nevzťahuje na prenos elektriny spojovacím vedením.</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Vyhláška ÚRSO č. 225/2011 Z. z. ustanovuje štandardné pravidlá týkajúce sa znášania a zdieľania nákladov na technické úpravy.</w:t>
            </w:r>
          </w:p>
        </w:tc>
      </w:tr>
      <w:tr w:rsidR="004E2D6C" w:rsidRPr="004E2D6C" w:rsidTr="00064274">
        <w:trPr>
          <w:trHeight w:val="263"/>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064274" w:rsidRDefault="004E2D6C" w:rsidP="001C5C9E">
            <w:pPr>
              <w:pStyle w:val="Odsekzoznamu"/>
              <w:numPr>
                <w:ilvl w:val="0"/>
                <w:numId w:val="99"/>
              </w:numPr>
              <w:spacing w:before="0"/>
              <w:ind w:left="175" w:hanging="141"/>
              <w:rPr>
                <w:rFonts w:ascii="Calibri" w:hAnsi="Calibri"/>
                <w:sz w:val="16"/>
                <w:szCs w:val="16"/>
              </w:rPr>
            </w:pPr>
            <w:r w:rsidRPr="00064274">
              <w:rPr>
                <w:rFonts w:ascii="Calibri" w:hAnsi="Calibri"/>
                <w:sz w:val="16"/>
                <w:szCs w:val="16"/>
              </w:rPr>
              <w:t xml:space="preserve">Členský štát prijal národný akčný plán pre energie z obnoviteľných zdrojov energie v súlade s článkom 4 smernice 2009/28/ES. </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tcBorders>
              <w:bottom w:val="single" w:sz="12" w:space="0" w:color="auto"/>
            </w:tcBorders>
          </w:tcPr>
          <w:p w:rsidR="004E2D6C" w:rsidRPr="00064274" w:rsidRDefault="004E2D6C" w:rsidP="004E2D6C">
            <w:pPr>
              <w:spacing w:before="0"/>
              <w:rPr>
                <w:rFonts w:ascii="Calibri" w:hAnsi="Calibri"/>
                <w:sz w:val="16"/>
                <w:szCs w:val="16"/>
              </w:rPr>
            </w:pPr>
            <w:r w:rsidRPr="00064274">
              <w:rPr>
                <w:rFonts w:ascii="Calibri" w:hAnsi="Calibri"/>
                <w:sz w:val="16"/>
                <w:szCs w:val="16"/>
              </w:rPr>
              <w:t>Národný akčný plán pre energiu z obnoviteľných zdrojov</w:t>
            </w:r>
          </w:p>
          <w:p w:rsidR="004E2D6C" w:rsidRPr="00064274" w:rsidRDefault="00ED6BC8" w:rsidP="004E2D6C">
            <w:pPr>
              <w:spacing w:before="0"/>
              <w:rPr>
                <w:rFonts w:ascii="Calibri" w:hAnsi="Calibri"/>
                <w:sz w:val="16"/>
                <w:szCs w:val="16"/>
              </w:rPr>
            </w:pPr>
            <w:hyperlink r:id="rId61" w:anchor="38;rct=j&amp;" w:history="1">
              <w:r w:rsidR="004E2D6C" w:rsidRPr="00064274">
                <w:rPr>
                  <w:rFonts w:ascii="Calibri" w:hAnsi="Calibri"/>
                  <w:color w:val="0000FF"/>
                  <w:sz w:val="16"/>
                  <w:szCs w:val="16"/>
                  <w:u w:val="single"/>
                </w:rPr>
                <w:t>http://www.google.sk/url?sa=t&amp;rct=j&amp;q=&amp;esrc=s&amp;frm=1&amp;source=web&amp;cd=1&amp;ved=0CDAQFjAA&amp;url=http%3A%2F%2Fwww.economy.gov.sk%2Findex%2Fopen_file.php%3Fext_dok%3D135435&amp;ei=0uHOUtijEKSEyAPN8ICgBw&amp;usg=AFQjCNGdavfYnNP_ZkLndhaerLUfOQKDzw&amp;sig2=cCfTbXqnjznv6FBi7YEBcQ</w:t>
              </w:r>
            </w:hyperlink>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405"/>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5.1. Predchádzanie rizikám a riadenie rizika: existencia národných alebo regionálnych hodnotení rizík na účely riadenia katastrof s ohľadom na prispôsobovanie sa zmene klímy.</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Čiastočne</w:t>
            </w:r>
          </w:p>
        </w:tc>
        <w:tc>
          <w:tcPr>
            <w:tcW w:w="2551" w:type="dxa"/>
            <w:tcBorders>
              <w:top w:val="single" w:sz="12" w:space="0" w:color="auto"/>
            </w:tcBorders>
          </w:tcPr>
          <w:p w:rsidR="004E2D6C" w:rsidRPr="00064274" w:rsidRDefault="004E2D6C" w:rsidP="001C5C9E">
            <w:pPr>
              <w:pStyle w:val="Odsekzoznamu"/>
              <w:numPr>
                <w:ilvl w:val="0"/>
                <w:numId w:val="100"/>
              </w:numPr>
              <w:spacing w:before="0"/>
              <w:ind w:left="175" w:hanging="175"/>
              <w:rPr>
                <w:rFonts w:ascii="Calibri" w:hAnsi="Calibri"/>
                <w:sz w:val="16"/>
                <w:szCs w:val="16"/>
              </w:rPr>
            </w:pPr>
            <w:r w:rsidRPr="00064274">
              <w:rPr>
                <w:rFonts w:ascii="Calibri" w:hAnsi="Calibri"/>
                <w:sz w:val="16"/>
                <w:szCs w:val="16"/>
              </w:rPr>
              <w:t>Zavedie sa národné alebo regionálne posúdenie rizika s týmito prvkami:</w:t>
            </w:r>
          </w:p>
          <w:p w:rsidR="004E2D6C" w:rsidRPr="00064274" w:rsidRDefault="004E2D6C" w:rsidP="001C5C9E">
            <w:pPr>
              <w:pStyle w:val="Odsekzoznamu"/>
              <w:numPr>
                <w:ilvl w:val="0"/>
                <w:numId w:val="100"/>
              </w:numPr>
              <w:spacing w:before="0" w:line="276" w:lineRule="auto"/>
              <w:ind w:left="175" w:hanging="175"/>
              <w:rPr>
                <w:rFonts w:ascii="Calibri" w:hAnsi="Calibri"/>
                <w:sz w:val="16"/>
                <w:szCs w:val="16"/>
              </w:rPr>
            </w:pPr>
            <w:r w:rsidRPr="00064274">
              <w:rPr>
                <w:rFonts w:ascii="Calibri" w:hAnsi="Calibri"/>
                <w:sz w:val="16"/>
                <w:szCs w:val="16"/>
              </w:rPr>
              <w:t xml:space="preserve">opis postupu, metodiky, metód a údajov, ktoré nie sú citlivé, využívaných na posúdenie rizika, a kritériá prioritizácie investícií založených na riziku, </w:t>
            </w:r>
          </w:p>
        </w:tc>
        <w:tc>
          <w:tcPr>
            <w:tcW w:w="1134" w:type="dxa"/>
            <w:tcBorders>
              <w:top w:val="single" w:sz="12" w:space="0" w:color="auto"/>
            </w:tcBorders>
            <w:vAlign w:val="center"/>
          </w:tcPr>
          <w:p w:rsidR="004E2D6C" w:rsidRPr="004E2D6C" w:rsidRDefault="00036B86" w:rsidP="00535799">
            <w:pPr>
              <w:spacing w:before="0"/>
              <w:jc w:val="center"/>
              <w:rPr>
                <w:rFonts w:ascii="Calibri" w:hAnsi="Calibri"/>
                <w:b/>
                <w:sz w:val="16"/>
                <w:szCs w:val="16"/>
              </w:rPr>
            </w:pPr>
            <w:r>
              <w:rPr>
                <w:rFonts w:ascii="Calibri" w:hAnsi="Calibri"/>
                <w:b/>
                <w:sz w:val="16"/>
                <w:szCs w:val="16"/>
              </w:rPr>
              <w:t>Nie</w:t>
            </w:r>
          </w:p>
        </w:tc>
        <w:tc>
          <w:tcPr>
            <w:tcW w:w="3119" w:type="dxa"/>
            <w:tcBorders>
              <w:top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Splnené úlohy:</w:t>
            </w:r>
          </w:p>
          <w:p w:rsidR="004E2D6C" w:rsidRPr="004E2D6C" w:rsidRDefault="004E2D6C" w:rsidP="00064274">
            <w:pPr>
              <w:spacing w:before="0" w:after="0"/>
              <w:rPr>
                <w:rFonts w:ascii="Calibri" w:hAnsi="Calibri"/>
                <w:sz w:val="16"/>
                <w:szCs w:val="16"/>
              </w:rPr>
            </w:pPr>
            <w:r w:rsidRPr="004E2D6C">
              <w:rPr>
                <w:rFonts w:ascii="Calibri" w:hAnsi="Calibri"/>
                <w:sz w:val="16"/>
                <w:szCs w:val="16"/>
              </w:rPr>
              <w:t xml:space="preserve">1. Existencia analýzy územia z hľadiska možných mimoriadnych udalostí na národnej a regionálnej úrovni, existencia plánu ochrany obyvateľstva na regionálnej úrovni, </w:t>
            </w:r>
          </w:p>
          <w:p w:rsidR="004E2D6C" w:rsidRPr="004E2D6C" w:rsidRDefault="004E2D6C" w:rsidP="00064274">
            <w:pPr>
              <w:spacing w:before="0" w:after="0"/>
              <w:rPr>
                <w:rFonts w:ascii="Calibri" w:hAnsi="Calibri"/>
                <w:sz w:val="16"/>
                <w:szCs w:val="16"/>
              </w:rPr>
            </w:pPr>
            <w:r w:rsidRPr="004E2D6C">
              <w:rPr>
                <w:rFonts w:ascii="Calibri" w:hAnsi="Calibri"/>
                <w:sz w:val="16"/>
                <w:szCs w:val="16"/>
              </w:rPr>
              <w:t>Zákon o civilnej ochrane obyvateľstva: § 12 až § 14 zákona č. 42/1994 Z. z. o civilnej ochrane obyvateľstva v znení neskorších predpisov</w:t>
            </w:r>
          </w:p>
          <w:p w:rsidR="004E2D6C" w:rsidRPr="004E2D6C" w:rsidRDefault="004E2D6C" w:rsidP="00064274">
            <w:pPr>
              <w:spacing w:before="0" w:after="0"/>
              <w:rPr>
                <w:rFonts w:ascii="Calibri" w:hAnsi="Calibri"/>
                <w:sz w:val="16"/>
                <w:szCs w:val="16"/>
              </w:rPr>
            </w:pPr>
            <w:r w:rsidRPr="004E2D6C">
              <w:rPr>
                <w:rFonts w:ascii="Calibri" w:hAnsi="Calibri"/>
                <w:sz w:val="16"/>
                <w:szCs w:val="16"/>
              </w:rPr>
              <w:t>Zodpovedná organizácia: MV SR</w:t>
            </w:r>
          </w:p>
          <w:p w:rsidR="004E2D6C" w:rsidRPr="004E2D6C" w:rsidRDefault="004E2D6C" w:rsidP="00064274">
            <w:pPr>
              <w:spacing w:before="0" w:after="0"/>
              <w:rPr>
                <w:rFonts w:ascii="Calibri" w:hAnsi="Calibri"/>
                <w:sz w:val="16"/>
                <w:szCs w:val="16"/>
              </w:rPr>
            </w:pPr>
            <w:r w:rsidRPr="004E2D6C">
              <w:rPr>
                <w:rFonts w:ascii="Calibri" w:hAnsi="Calibri"/>
                <w:sz w:val="16"/>
                <w:szCs w:val="16"/>
              </w:rPr>
              <w:t>Termín splnenia: 15. 3. 2013</w:t>
            </w:r>
          </w:p>
          <w:p w:rsidR="004E2D6C" w:rsidRDefault="004E2D6C" w:rsidP="004E2D6C">
            <w:pPr>
              <w:spacing w:before="0"/>
              <w:rPr>
                <w:rFonts w:ascii="Calibri" w:hAnsi="Calibri"/>
                <w:sz w:val="16"/>
                <w:szCs w:val="16"/>
              </w:rPr>
            </w:pPr>
          </w:p>
          <w:p w:rsidR="00064274" w:rsidRPr="004E2D6C" w:rsidRDefault="00064274" w:rsidP="004E2D6C">
            <w:pPr>
              <w:spacing w:before="0"/>
              <w:rPr>
                <w:rFonts w:ascii="Calibri" w:hAnsi="Calibri"/>
                <w:sz w:val="16"/>
                <w:szCs w:val="16"/>
              </w:rPr>
            </w:pPr>
          </w:p>
          <w:p w:rsidR="004E2D6C" w:rsidRPr="004E2D6C" w:rsidRDefault="004E2D6C" w:rsidP="00064274">
            <w:pPr>
              <w:spacing w:before="0" w:after="0"/>
              <w:rPr>
                <w:rFonts w:ascii="Calibri" w:hAnsi="Calibri"/>
                <w:sz w:val="16"/>
                <w:szCs w:val="16"/>
              </w:rPr>
            </w:pPr>
            <w:r w:rsidRPr="004E2D6C">
              <w:rPr>
                <w:rFonts w:ascii="Calibri" w:hAnsi="Calibri"/>
                <w:sz w:val="16"/>
                <w:szCs w:val="16"/>
              </w:rPr>
              <w:t>2. Analýza dostupných metód a postupov hodnotenia rizík</w:t>
            </w:r>
          </w:p>
          <w:p w:rsidR="004E2D6C" w:rsidRPr="004E2D6C" w:rsidRDefault="004E2D6C" w:rsidP="00064274">
            <w:pPr>
              <w:spacing w:before="0" w:after="0"/>
              <w:rPr>
                <w:rFonts w:ascii="Calibri" w:hAnsi="Calibri"/>
                <w:sz w:val="16"/>
                <w:szCs w:val="16"/>
              </w:rPr>
            </w:pPr>
            <w:r w:rsidRPr="004E2D6C">
              <w:rPr>
                <w:rFonts w:ascii="Calibri" w:hAnsi="Calibri"/>
                <w:sz w:val="16"/>
                <w:szCs w:val="16"/>
              </w:rPr>
              <w:t>Zodpovedná organizácia: MV SR</w:t>
            </w:r>
          </w:p>
          <w:p w:rsidR="004E2D6C" w:rsidRPr="004E2D6C" w:rsidRDefault="004E2D6C" w:rsidP="00064274">
            <w:pPr>
              <w:spacing w:before="0" w:after="0"/>
              <w:rPr>
                <w:rFonts w:ascii="Calibri" w:hAnsi="Calibri"/>
                <w:sz w:val="16"/>
                <w:szCs w:val="16"/>
              </w:rPr>
            </w:pPr>
            <w:r w:rsidRPr="004E2D6C">
              <w:rPr>
                <w:rFonts w:ascii="Calibri" w:hAnsi="Calibri"/>
                <w:sz w:val="16"/>
                <w:szCs w:val="16"/>
              </w:rPr>
              <w:t>Termín splnenia: 15.</w:t>
            </w:r>
            <w:r w:rsidR="00C611EB">
              <w:rPr>
                <w:rFonts w:ascii="Calibri" w:hAnsi="Calibri"/>
                <w:sz w:val="16"/>
                <w:szCs w:val="16"/>
              </w:rPr>
              <w:t xml:space="preserve"> </w:t>
            </w:r>
            <w:r w:rsidRPr="004E2D6C">
              <w:rPr>
                <w:rFonts w:ascii="Calibri" w:hAnsi="Calibri"/>
                <w:sz w:val="16"/>
                <w:szCs w:val="16"/>
              </w:rPr>
              <w:t>3.</w:t>
            </w:r>
            <w:r w:rsidR="00C611EB">
              <w:rPr>
                <w:rFonts w:ascii="Calibri" w:hAnsi="Calibri"/>
                <w:sz w:val="16"/>
                <w:szCs w:val="16"/>
              </w:rPr>
              <w:t xml:space="preserve"> </w:t>
            </w:r>
            <w:r w:rsidRPr="004E2D6C">
              <w:rPr>
                <w:rFonts w:ascii="Calibri" w:hAnsi="Calibri"/>
                <w:sz w:val="16"/>
                <w:szCs w:val="16"/>
              </w:rPr>
              <w:t>2013</w:t>
            </w:r>
          </w:p>
          <w:p w:rsidR="004E2D6C" w:rsidRDefault="004E2D6C"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Pr="004E2D6C" w:rsidRDefault="00064274" w:rsidP="00064274">
            <w:pPr>
              <w:spacing w:before="0" w:after="0"/>
              <w:rPr>
                <w:rFonts w:ascii="Calibri" w:hAnsi="Calibri"/>
                <w:sz w:val="16"/>
                <w:szCs w:val="16"/>
              </w:rPr>
            </w:pPr>
          </w:p>
          <w:p w:rsidR="004E2D6C" w:rsidRPr="004E2D6C" w:rsidRDefault="004E2D6C" w:rsidP="00064274">
            <w:pPr>
              <w:spacing w:before="0" w:after="0"/>
              <w:rPr>
                <w:rFonts w:ascii="Calibri" w:hAnsi="Calibri"/>
                <w:sz w:val="16"/>
                <w:szCs w:val="16"/>
              </w:rPr>
            </w:pPr>
            <w:r w:rsidRPr="004E2D6C">
              <w:rPr>
                <w:rFonts w:ascii="Calibri" w:hAnsi="Calibri"/>
                <w:sz w:val="16"/>
                <w:szCs w:val="16"/>
              </w:rPr>
              <w:t>3. Výber vhodných postupov, modifikácia a prispôsobenie stanoveným cieľom</w:t>
            </w:r>
          </w:p>
          <w:p w:rsidR="004E2D6C" w:rsidRPr="004E2D6C" w:rsidRDefault="004E2D6C" w:rsidP="00064274">
            <w:pPr>
              <w:spacing w:before="0" w:after="0"/>
              <w:rPr>
                <w:rFonts w:ascii="Calibri" w:hAnsi="Calibri"/>
                <w:sz w:val="16"/>
                <w:szCs w:val="16"/>
              </w:rPr>
            </w:pPr>
            <w:r w:rsidRPr="004E2D6C">
              <w:rPr>
                <w:rFonts w:ascii="Calibri" w:hAnsi="Calibri"/>
                <w:sz w:val="16"/>
                <w:szCs w:val="16"/>
              </w:rPr>
              <w:t>Zodpovedná organizácia: MV SR</w:t>
            </w:r>
          </w:p>
          <w:p w:rsidR="004E2D6C" w:rsidRPr="004E2D6C" w:rsidRDefault="004E2D6C" w:rsidP="00064274">
            <w:pPr>
              <w:spacing w:before="0" w:after="0"/>
              <w:rPr>
                <w:rFonts w:ascii="Calibri" w:hAnsi="Calibri"/>
                <w:sz w:val="16"/>
                <w:szCs w:val="16"/>
              </w:rPr>
            </w:pPr>
            <w:r w:rsidRPr="004E2D6C">
              <w:rPr>
                <w:rFonts w:ascii="Calibri" w:hAnsi="Calibri"/>
                <w:sz w:val="16"/>
                <w:szCs w:val="16"/>
              </w:rPr>
              <w:t>Termín splnenia: 12.</w:t>
            </w:r>
            <w:r w:rsidR="00C611EB">
              <w:rPr>
                <w:rFonts w:ascii="Calibri" w:hAnsi="Calibri"/>
                <w:sz w:val="16"/>
                <w:szCs w:val="16"/>
              </w:rPr>
              <w:t xml:space="preserve"> </w:t>
            </w:r>
            <w:r w:rsidRPr="004E2D6C">
              <w:rPr>
                <w:rFonts w:ascii="Calibri" w:hAnsi="Calibri"/>
                <w:sz w:val="16"/>
                <w:szCs w:val="16"/>
              </w:rPr>
              <w:t>4.</w:t>
            </w:r>
            <w:r w:rsidR="00C611EB">
              <w:rPr>
                <w:rFonts w:ascii="Calibri" w:hAnsi="Calibri"/>
                <w:sz w:val="16"/>
                <w:szCs w:val="16"/>
              </w:rPr>
              <w:t xml:space="preserve"> </w:t>
            </w:r>
            <w:r w:rsidRPr="004E2D6C">
              <w:rPr>
                <w:rFonts w:ascii="Calibri" w:hAnsi="Calibri"/>
                <w:sz w:val="16"/>
                <w:szCs w:val="16"/>
              </w:rPr>
              <w:t>2013</w:t>
            </w:r>
          </w:p>
          <w:p w:rsidR="004E2D6C" w:rsidRDefault="004E2D6C"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Pr="004E2D6C" w:rsidRDefault="00064274" w:rsidP="004E2D6C">
            <w:pPr>
              <w:spacing w:before="0"/>
              <w:rPr>
                <w:rFonts w:ascii="Calibri" w:hAnsi="Calibri"/>
                <w:sz w:val="16"/>
                <w:szCs w:val="16"/>
              </w:rPr>
            </w:pPr>
          </w:p>
          <w:p w:rsidR="004E2D6C" w:rsidRPr="004E2D6C" w:rsidRDefault="004E2D6C" w:rsidP="00064274">
            <w:pPr>
              <w:spacing w:before="0" w:after="0"/>
              <w:rPr>
                <w:rFonts w:ascii="Calibri" w:hAnsi="Calibri"/>
                <w:sz w:val="16"/>
                <w:szCs w:val="16"/>
              </w:rPr>
            </w:pPr>
            <w:r w:rsidRPr="004E2D6C">
              <w:rPr>
                <w:rFonts w:ascii="Calibri" w:hAnsi="Calibri"/>
                <w:sz w:val="16"/>
                <w:szCs w:val="16"/>
              </w:rPr>
              <w:t>4. Doplnenie kvantifikátorov rizika</w:t>
            </w:r>
          </w:p>
          <w:p w:rsidR="004E2D6C" w:rsidRPr="004E2D6C" w:rsidRDefault="004E2D6C" w:rsidP="00064274">
            <w:pPr>
              <w:spacing w:before="0" w:after="0"/>
              <w:rPr>
                <w:rFonts w:ascii="Calibri" w:hAnsi="Calibri"/>
                <w:sz w:val="16"/>
                <w:szCs w:val="16"/>
              </w:rPr>
            </w:pPr>
            <w:r w:rsidRPr="004E2D6C">
              <w:rPr>
                <w:rFonts w:ascii="Calibri" w:hAnsi="Calibri"/>
                <w:sz w:val="16"/>
                <w:szCs w:val="16"/>
              </w:rPr>
              <w:t>Zodpovedná organizácia: MV SR</w:t>
            </w:r>
          </w:p>
          <w:p w:rsidR="004E2D6C" w:rsidRPr="004E2D6C" w:rsidRDefault="004E2D6C" w:rsidP="00064274">
            <w:pPr>
              <w:spacing w:before="0" w:after="0"/>
              <w:rPr>
                <w:rFonts w:ascii="Calibri" w:hAnsi="Calibri"/>
                <w:sz w:val="16"/>
                <w:szCs w:val="16"/>
              </w:rPr>
            </w:pPr>
            <w:r w:rsidRPr="004E2D6C">
              <w:rPr>
                <w:rFonts w:ascii="Calibri" w:hAnsi="Calibri"/>
                <w:sz w:val="16"/>
                <w:szCs w:val="16"/>
              </w:rPr>
              <w:t>Termín splnenia: 12.</w:t>
            </w:r>
            <w:r w:rsidR="00C611EB">
              <w:rPr>
                <w:rFonts w:ascii="Calibri" w:hAnsi="Calibri"/>
                <w:sz w:val="16"/>
                <w:szCs w:val="16"/>
              </w:rPr>
              <w:t xml:space="preserve"> </w:t>
            </w:r>
            <w:r w:rsidRPr="004E2D6C">
              <w:rPr>
                <w:rFonts w:ascii="Calibri" w:hAnsi="Calibri"/>
                <w:sz w:val="16"/>
                <w:szCs w:val="16"/>
              </w:rPr>
              <w:t>4.</w:t>
            </w:r>
            <w:r w:rsidR="00C611EB">
              <w:rPr>
                <w:rFonts w:ascii="Calibri" w:hAnsi="Calibri"/>
                <w:sz w:val="16"/>
                <w:szCs w:val="16"/>
              </w:rPr>
              <w:t xml:space="preserve"> </w:t>
            </w:r>
            <w:r w:rsidRPr="004E2D6C">
              <w:rPr>
                <w:rFonts w:ascii="Calibri" w:hAnsi="Calibri"/>
                <w:sz w:val="16"/>
                <w:szCs w:val="16"/>
              </w:rPr>
              <w:t>2013</w:t>
            </w:r>
          </w:p>
          <w:p w:rsidR="004E2D6C" w:rsidRDefault="004E2D6C"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Pr="004E2D6C" w:rsidRDefault="00064274" w:rsidP="004E2D6C">
            <w:pPr>
              <w:spacing w:before="0"/>
              <w:rPr>
                <w:rFonts w:ascii="Calibri" w:hAnsi="Calibri"/>
                <w:sz w:val="16"/>
                <w:szCs w:val="16"/>
              </w:rPr>
            </w:pPr>
          </w:p>
          <w:p w:rsidR="004E2D6C" w:rsidRPr="004E2D6C" w:rsidRDefault="004E2D6C" w:rsidP="00064274">
            <w:pPr>
              <w:spacing w:before="0" w:after="0"/>
              <w:rPr>
                <w:rFonts w:ascii="Calibri" w:hAnsi="Calibri"/>
                <w:sz w:val="16"/>
                <w:szCs w:val="16"/>
              </w:rPr>
            </w:pPr>
            <w:r w:rsidRPr="004E2D6C">
              <w:rPr>
                <w:rFonts w:ascii="Calibri" w:hAnsi="Calibri"/>
                <w:sz w:val="16"/>
                <w:szCs w:val="16"/>
              </w:rPr>
              <w:t>5. Vypracovanie metodiky hodnotenia vybraných rizík na vnútroštátnej úrovni:</w:t>
            </w:r>
          </w:p>
          <w:p w:rsidR="004E2D6C" w:rsidRPr="004E2D6C" w:rsidRDefault="004E2D6C" w:rsidP="00064274">
            <w:pPr>
              <w:spacing w:before="0" w:after="0"/>
              <w:rPr>
                <w:rFonts w:ascii="Calibri" w:hAnsi="Calibri"/>
                <w:sz w:val="16"/>
                <w:szCs w:val="16"/>
              </w:rPr>
            </w:pPr>
            <w:r w:rsidRPr="004E2D6C">
              <w:rPr>
                <w:rFonts w:ascii="Calibri" w:hAnsi="Calibri"/>
                <w:sz w:val="16"/>
                <w:szCs w:val="16"/>
              </w:rPr>
              <w:t>Metodika je dostupná na webovej stránke MV SR:</w:t>
            </w:r>
          </w:p>
          <w:p w:rsidR="004E2D6C" w:rsidRPr="004E2D6C" w:rsidRDefault="004E2D6C" w:rsidP="00064274">
            <w:pPr>
              <w:spacing w:before="0" w:after="0"/>
              <w:rPr>
                <w:rFonts w:ascii="Calibri" w:hAnsi="Calibri"/>
                <w:sz w:val="16"/>
                <w:szCs w:val="16"/>
                <w:u w:val="single"/>
              </w:rPr>
            </w:pPr>
            <w:r w:rsidRPr="004E2D6C">
              <w:rPr>
                <w:rFonts w:ascii="Calibri" w:hAnsi="Calibri"/>
                <w:sz w:val="16"/>
                <w:szCs w:val="16"/>
                <w:u w:val="single"/>
              </w:rPr>
              <w:t>http://www.minv.sk/?Dokumenty_na_stiahnutie_CO</w:t>
            </w:r>
          </w:p>
          <w:p w:rsidR="004E2D6C" w:rsidRPr="004E2D6C" w:rsidRDefault="004E2D6C" w:rsidP="00064274">
            <w:pPr>
              <w:spacing w:before="0" w:after="0"/>
              <w:rPr>
                <w:rFonts w:ascii="Calibri" w:hAnsi="Calibri"/>
                <w:sz w:val="16"/>
                <w:szCs w:val="16"/>
                <w:u w:val="single"/>
              </w:rPr>
            </w:pPr>
            <w:r w:rsidRPr="004E2D6C">
              <w:rPr>
                <w:rFonts w:ascii="Calibri" w:hAnsi="Calibri"/>
                <w:sz w:val="16"/>
                <w:szCs w:val="16"/>
                <w:u w:val="single"/>
              </w:rPr>
              <w:lastRenderedPageBreak/>
              <w:t>http://www.minv.sk/?Dokumenty_na_stiahnutie_CO&amp;subor=175547</w:t>
            </w:r>
          </w:p>
          <w:p w:rsidR="004E2D6C" w:rsidRPr="004E2D6C" w:rsidRDefault="004E2D6C" w:rsidP="00064274">
            <w:pPr>
              <w:spacing w:before="0" w:after="0"/>
              <w:rPr>
                <w:rFonts w:ascii="Calibri" w:hAnsi="Calibri"/>
                <w:sz w:val="16"/>
                <w:szCs w:val="16"/>
              </w:rPr>
            </w:pPr>
            <w:r w:rsidRPr="004E2D6C">
              <w:rPr>
                <w:rFonts w:ascii="Calibri" w:hAnsi="Calibri"/>
                <w:sz w:val="16"/>
                <w:szCs w:val="16"/>
              </w:rPr>
              <w:t>Zodpovedná organizácia: MV SR</w:t>
            </w:r>
          </w:p>
          <w:p w:rsidR="004E2D6C" w:rsidRPr="004E2D6C" w:rsidRDefault="004E2D6C" w:rsidP="00064274">
            <w:pPr>
              <w:spacing w:before="0" w:after="0"/>
              <w:rPr>
                <w:rFonts w:ascii="Calibri" w:hAnsi="Calibri"/>
                <w:sz w:val="16"/>
                <w:szCs w:val="16"/>
              </w:rPr>
            </w:pPr>
            <w:r w:rsidRPr="004E2D6C">
              <w:rPr>
                <w:rFonts w:ascii="Calibri" w:hAnsi="Calibri"/>
                <w:sz w:val="16"/>
                <w:szCs w:val="16"/>
              </w:rPr>
              <w:t>Termín splnenia: 30.</w:t>
            </w:r>
            <w:r w:rsidR="00C611EB">
              <w:rPr>
                <w:rFonts w:ascii="Calibri" w:hAnsi="Calibri"/>
                <w:sz w:val="16"/>
                <w:szCs w:val="16"/>
              </w:rPr>
              <w:t xml:space="preserve"> </w:t>
            </w:r>
            <w:r w:rsidRPr="004E2D6C">
              <w:rPr>
                <w:rFonts w:ascii="Calibri" w:hAnsi="Calibri"/>
                <w:sz w:val="16"/>
                <w:szCs w:val="16"/>
              </w:rPr>
              <w:t>6.</w:t>
            </w:r>
            <w:r w:rsidR="00C611EB">
              <w:rPr>
                <w:rFonts w:ascii="Calibri" w:hAnsi="Calibri"/>
                <w:sz w:val="16"/>
                <w:szCs w:val="16"/>
              </w:rPr>
              <w:t xml:space="preserve"> </w:t>
            </w:r>
            <w:r w:rsidRPr="004E2D6C">
              <w:rPr>
                <w:rFonts w:ascii="Calibri" w:hAnsi="Calibri"/>
                <w:sz w:val="16"/>
                <w:szCs w:val="16"/>
              </w:rPr>
              <w:t>2013</w:t>
            </w:r>
          </w:p>
          <w:p w:rsidR="004E2D6C" w:rsidRDefault="004E2D6C"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Pr="004E2D6C" w:rsidRDefault="00064274" w:rsidP="004E2D6C">
            <w:pPr>
              <w:spacing w:before="0"/>
              <w:rPr>
                <w:rFonts w:ascii="Calibri" w:hAnsi="Calibri"/>
                <w:sz w:val="16"/>
                <w:szCs w:val="16"/>
              </w:rPr>
            </w:pPr>
          </w:p>
          <w:p w:rsidR="004E2D6C" w:rsidRPr="004E2D6C" w:rsidRDefault="004E2D6C" w:rsidP="00064274">
            <w:pPr>
              <w:spacing w:before="0" w:after="0"/>
              <w:rPr>
                <w:rFonts w:ascii="Calibri" w:hAnsi="Calibri"/>
                <w:sz w:val="16"/>
                <w:szCs w:val="16"/>
              </w:rPr>
            </w:pPr>
            <w:r w:rsidRPr="004E2D6C">
              <w:rPr>
                <w:rFonts w:ascii="Calibri" w:hAnsi="Calibri"/>
                <w:sz w:val="16"/>
                <w:szCs w:val="16"/>
              </w:rPr>
              <w:t>6. Postup pri určovaní prioritizácie investícií založených na riziku;</w:t>
            </w:r>
          </w:p>
          <w:p w:rsidR="004E2D6C" w:rsidRPr="004E2D6C" w:rsidRDefault="00D32803" w:rsidP="00064274">
            <w:pPr>
              <w:spacing w:before="0" w:after="0"/>
              <w:rPr>
                <w:rFonts w:ascii="Calibri" w:hAnsi="Calibri"/>
                <w:sz w:val="16"/>
                <w:szCs w:val="16"/>
              </w:rPr>
            </w:pPr>
            <w:r>
              <w:rPr>
                <w:rFonts w:ascii="Calibri" w:hAnsi="Calibri"/>
                <w:sz w:val="16"/>
                <w:szCs w:val="16"/>
              </w:rPr>
              <w:t>S</w:t>
            </w:r>
            <w:r w:rsidR="004E2D6C" w:rsidRPr="004E2D6C">
              <w:rPr>
                <w:rFonts w:ascii="Calibri" w:hAnsi="Calibri"/>
                <w:sz w:val="16"/>
                <w:szCs w:val="16"/>
              </w:rPr>
              <w:t xml:space="preserve">polupráca MŽP SR pri vypracúvaní metodiky hodnotenia vybraných rizík (vrátane environmentálnych záťaží, zosuvov a rizík vyplývajúcich z úložísk ťažobného odpadu) </w:t>
            </w:r>
          </w:p>
          <w:p w:rsidR="004E2D6C" w:rsidRPr="004E2D6C" w:rsidRDefault="004E2D6C" w:rsidP="00064274">
            <w:pPr>
              <w:spacing w:before="0" w:after="0"/>
              <w:rPr>
                <w:rFonts w:ascii="Calibri" w:hAnsi="Calibri"/>
                <w:sz w:val="16"/>
                <w:szCs w:val="16"/>
              </w:rPr>
            </w:pPr>
            <w:r w:rsidRPr="004E2D6C">
              <w:rPr>
                <w:rFonts w:ascii="Calibri" w:hAnsi="Calibri"/>
                <w:sz w:val="16"/>
                <w:szCs w:val="16"/>
              </w:rPr>
              <w:t>Zodpovedná organizácia: MV SR</w:t>
            </w:r>
          </w:p>
          <w:p w:rsidR="004E2D6C" w:rsidRPr="004E2D6C" w:rsidRDefault="004E2D6C" w:rsidP="00064274">
            <w:pPr>
              <w:spacing w:before="0" w:after="0"/>
              <w:rPr>
                <w:rFonts w:ascii="Calibri" w:hAnsi="Calibri"/>
                <w:sz w:val="16"/>
                <w:szCs w:val="16"/>
              </w:rPr>
            </w:pPr>
            <w:r w:rsidRPr="004E2D6C">
              <w:rPr>
                <w:rFonts w:ascii="Calibri" w:hAnsi="Calibri"/>
                <w:sz w:val="16"/>
                <w:szCs w:val="16"/>
              </w:rPr>
              <w:t>Termín splnenia: 30.</w:t>
            </w:r>
            <w:r w:rsidR="00C611EB">
              <w:rPr>
                <w:rFonts w:ascii="Calibri" w:hAnsi="Calibri"/>
                <w:sz w:val="16"/>
                <w:szCs w:val="16"/>
              </w:rPr>
              <w:t xml:space="preserve"> </w:t>
            </w:r>
            <w:r w:rsidRPr="004E2D6C">
              <w:rPr>
                <w:rFonts w:ascii="Calibri" w:hAnsi="Calibri"/>
                <w:sz w:val="16"/>
                <w:szCs w:val="16"/>
              </w:rPr>
              <w:t>6.</w:t>
            </w:r>
            <w:r w:rsidR="00C611EB">
              <w:rPr>
                <w:rFonts w:ascii="Calibri" w:hAnsi="Calibri"/>
                <w:sz w:val="16"/>
                <w:szCs w:val="16"/>
              </w:rPr>
              <w:t xml:space="preserve"> </w:t>
            </w:r>
            <w:r w:rsidRPr="004E2D6C">
              <w:rPr>
                <w:rFonts w:ascii="Calibri" w:hAnsi="Calibri"/>
                <w:sz w:val="16"/>
                <w:szCs w:val="16"/>
              </w:rPr>
              <w:t>2013</w:t>
            </w:r>
          </w:p>
          <w:p w:rsidR="004E2D6C" w:rsidRPr="004E2D6C" w:rsidRDefault="004E2D6C" w:rsidP="004E2D6C">
            <w:pPr>
              <w:spacing w:before="0"/>
              <w:rPr>
                <w:rFonts w:ascii="Calibri" w:hAnsi="Calibri"/>
                <w:sz w:val="16"/>
                <w:szCs w:val="16"/>
                <w:u w:val="single"/>
              </w:rPr>
            </w:pPr>
          </w:p>
          <w:p w:rsidR="00064274" w:rsidRDefault="00064274"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Vykonané predbežné hodnotenie povodňového rizika (december 2011):</w:t>
            </w:r>
          </w:p>
          <w:p w:rsidR="004E2D6C" w:rsidRPr="004E2D6C" w:rsidRDefault="00ED6BC8" w:rsidP="004E2D6C">
            <w:pPr>
              <w:spacing w:before="0"/>
              <w:rPr>
                <w:rFonts w:ascii="Calibri" w:hAnsi="Calibri"/>
                <w:sz w:val="16"/>
                <w:szCs w:val="16"/>
              </w:rPr>
            </w:pPr>
            <w:hyperlink r:id="rId62" w:history="1">
              <w:r w:rsidR="004E2D6C" w:rsidRPr="004E2D6C">
                <w:rPr>
                  <w:rFonts w:ascii="Calibri" w:hAnsi="Calibri"/>
                  <w:color w:val="0000FF"/>
                  <w:sz w:val="16"/>
                  <w:szCs w:val="16"/>
                  <w:u w:val="single"/>
                </w:rPr>
                <w:t>http://www.minzp.sk/sekcie/temy-oblasti/voda/ochrana-pred-povodnami/manazment-povodnovych-rizik/</w:t>
              </w:r>
            </w:hyperlink>
          </w:p>
        </w:tc>
        <w:tc>
          <w:tcPr>
            <w:tcW w:w="4111" w:type="dxa"/>
            <w:tcBorders>
              <w:top w:val="single" w:sz="12" w:space="0" w:color="auto"/>
              <w:right w:val="single" w:sz="12" w:space="0" w:color="auto"/>
            </w:tcBorders>
          </w:tcPr>
          <w:p w:rsidR="00036E07" w:rsidRPr="007645C2" w:rsidRDefault="00036E07" w:rsidP="00036E07">
            <w:pPr>
              <w:spacing w:before="0"/>
              <w:rPr>
                <w:rFonts w:ascii="Calibri" w:hAnsi="Calibri"/>
                <w:sz w:val="16"/>
                <w:szCs w:val="16"/>
              </w:rPr>
            </w:pPr>
            <w:r w:rsidRPr="007645C2">
              <w:rPr>
                <w:rFonts w:ascii="Calibri" w:hAnsi="Calibri"/>
                <w:sz w:val="16"/>
                <w:szCs w:val="16"/>
              </w:rPr>
              <w:lastRenderedPageBreak/>
              <w:t xml:space="preserve">1. SR spracúva a 1x ročne pravidelne aktualizuje </w:t>
            </w:r>
            <w:r w:rsidR="00265B34">
              <w:rPr>
                <w:rFonts w:ascii="Calibri" w:hAnsi="Calibri"/>
                <w:sz w:val="16"/>
                <w:szCs w:val="16"/>
              </w:rPr>
              <w:t>„</w:t>
            </w:r>
            <w:r w:rsidRPr="007645C2">
              <w:rPr>
                <w:rFonts w:ascii="Calibri" w:hAnsi="Calibri"/>
                <w:sz w:val="16"/>
                <w:szCs w:val="16"/>
              </w:rPr>
              <w:t>Analýzu územia z hľadiska možných mimoriadnych udalostí</w:t>
            </w:r>
            <w:r w:rsidR="00265B34">
              <w:rPr>
                <w:rFonts w:ascii="Calibri" w:hAnsi="Calibri"/>
                <w:sz w:val="16"/>
                <w:szCs w:val="16"/>
              </w:rPr>
              <w:t>“</w:t>
            </w:r>
            <w:r w:rsidRPr="007645C2">
              <w:rPr>
                <w:rFonts w:ascii="Calibri" w:hAnsi="Calibri"/>
                <w:sz w:val="16"/>
                <w:szCs w:val="16"/>
              </w:rPr>
              <w:t xml:space="preserve">. Materiál je prístupný na sekcii krízového riadenia MV SR. Súhrnný materiál nie je verejne prístupný, nakoľko obsahuje citlivé informácie. </w:t>
            </w:r>
          </w:p>
          <w:p w:rsidR="00036E07" w:rsidRDefault="00036E07" w:rsidP="00036E07">
            <w:pPr>
              <w:spacing w:before="0"/>
              <w:rPr>
                <w:rFonts w:ascii="Calibri" w:hAnsi="Calibri"/>
                <w:sz w:val="16"/>
                <w:szCs w:val="16"/>
              </w:rPr>
            </w:pPr>
            <w:r w:rsidRPr="007645C2">
              <w:rPr>
                <w:rFonts w:ascii="Calibri" w:hAnsi="Calibri"/>
                <w:sz w:val="16"/>
                <w:szCs w:val="16"/>
              </w:rPr>
              <w:t>SR zároveň sprac</w:t>
            </w:r>
            <w:r w:rsidR="00265B34">
              <w:rPr>
                <w:rFonts w:ascii="Calibri" w:hAnsi="Calibri"/>
                <w:sz w:val="16"/>
                <w:szCs w:val="16"/>
              </w:rPr>
              <w:t>ová</w:t>
            </w:r>
            <w:r w:rsidRPr="007645C2">
              <w:rPr>
                <w:rFonts w:ascii="Calibri" w:hAnsi="Calibri"/>
                <w:sz w:val="16"/>
                <w:szCs w:val="16"/>
              </w:rPr>
              <w:t>va a na ročnej báze aktualizuje plán ochrany obyvateľstva. Vzhľadom na citlivosť informácií obsiahnutých v pláne ochrany obyvateľstva je tento dokument dôverný a je k dispozícii na sekcii krízového riadenia MV SR.</w:t>
            </w:r>
          </w:p>
          <w:p w:rsidR="00064274" w:rsidRDefault="00064274" w:rsidP="00036E07">
            <w:pPr>
              <w:spacing w:before="0"/>
              <w:rPr>
                <w:rFonts w:ascii="Calibri" w:hAnsi="Calibri"/>
                <w:sz w:val="16"/>
                <w:szCs w:val="16"/>
              </w:rPr>
            </w:pPr>
          </w:p>
          <w:p w:rsidR="00064274" w:rsidRDefault="00064274" w:rsidP="00036E07">
            <w:pPr>
              <w:spacing w:before="0"/>
              <w:rPr>
                <w:rFonts w:ascii="Calibri" w:hAnsi="Calibri"/>
                <w:sz w:val="16"/>
                <w:szCs w:val="16"/>
              </w:rPr>
            </w:pPr>
          </w:p>
          <w:p w:rsidR="00064274" w:rsidRDefault="00064274" w:rsidP="00036E07">
            <w:pPr>
              <w:spacing w:before="0"/>
              <w:rPr>
                <w:rFonts w:ascii="Calibri" w:hAnsi="Calibri"/>
                <w:sz w:val="16"/>
                <w:szCs w:val="16"/>
              </w:rPr>
            </w:pPr>
          </w:p>
          <w:p w:rsidR="00036E07" w:rsidRPr="004E2D6C" w:rsidRDefault="00036E07" w:rsidP="00036E07">
            <w:pPr>
              <w:spacing w:before="0"/>
              <w:rPr>
                <w:rFonts w:ascii="Calibri" w:hAnsi="Calibri"/>
                <w:sz w:val="16"/>
                <w:szCs w:val="16"/>
              </w:rPr>
            </w:pPr>
            <w:r w:rsidRPr="004E2D6C">
              <w:rPr>
                <w:rFonts w:ascii="Calibri" w:hAnsi="Calibri"/>
                <w:sz w:val="16"/>
                <w:szCs w:val="16"/>
              </w:rPr>
              <w:t>2. Analýz</w:t>
            </w:r>
            <w:r>
              <w:rPr>
                <w:rFonts w:ascii="Calibri" w:hAnsi="Calibri"/>
                <w:sz w:val="16"/>
                <w:szCs w:val="16"/>
              </w:rPr>
              <w:t>u</w:t>
            </w:r>
            <w:r w:rsidRPr="004E2D6C">
              <w:rPr>
                <w:rFonts w:ascii="Calibri" w:hAnsi="Calibri"/>
                <w:sz w:val="16"/>
                <w:szCs w:val="16"/>
              </w:rPr>
              <w:t xml:space="preserve"> dostupných metód a</w:t>
            </w:r>
            <w:r>
              <w:rPr>
                <w:rFonts w:ascii="Calibri" w:hAnsi="Calibri"/>
                <w:sz w:val="16"/>
                <w:szCs w:val="16"/>
              </w:rPr>
              <w:t> </w:t>
            </w:r>
            <w:r w:rsidRPr="004E2D6C">
              <w:rPr>
                <w:rFonts w:ascii="Calibri" w:hAnsi="Calibri"/>
                <w:sz w:val="16"/>
                <w:szCs w:val="16"/>
              </w:rPr>
              <w:t>postupov</w:t>
            </w:r>
            <w:r>
              <w:rPr>
                <w:rFonts w:ascii="Calibri" w:hAnsi="Calibri"/>
                <w:sz w:val="16"/>
                <w:szCs w:val="16"/>
              </w:rPr>
              <w:t xml:space="preserve"> tvorí:</w:t>
            </w:r>
          </w:p>
          <w:p w:rsidR="00036E07" w:rsidRPr="004E2D6C" w:rsidRDefault="00036E07" w:rsidP="00036E07">
            <w:pPr>
              <w:spacing w:before="0"/>
              <w:rPr>
                <w:rFonts w:ascii="Calibri" w:hAnsi="Calibri"/>
                <w:sz w:val="16"/>
                <w:szCs w:val="16"/>
              </w:rPr>
            </w:pPr>
            <w:r w:rsidRPr="004E2D6C">
              <w:rPr>
                <w:rFonts w:ascii="Calibri" w:hAnsi="Calibri"/>
                <w:sz w:val="16"/>
                <w:szCs w:val="16"/>
              </w:rPr>
              <w:t>• Analýza všeobecných zásad manažérstva rizika</w:t>
            </w:r>
          </w:p>
          <w:p w:rsidR="00036E07" w:rsidRPr="004E2D6C" w:rsidRDefault="00036E07" w:rsidP="00036E07">
            <w:pPr>
              <w:spacing w:before="0"/>
              <w:rPr>
                <w:rFonts w:ascii="Calibri" w:hAnsi="Calibri"/>
                <w:sz w:val="16"/>
                <w:szCs w:val="16"/>
              </w:rPr>
            </w:pPr>
            <w:r w:rsidRPr="004E2D6C">
              <w:rPr>
                <w:rFonts w:ascii="Calibri" w:hAnsi="Calibri"/>
                <w:sz w:val="16"/>
                <w:szCs w:val="16"/>
              </w:rPr>
              <w:t xml:space="preserve">• Analýza metód HRVA (Hazard Risk Vulnerability </w:t>
            </w:r>
            <w:r w:rsidRPr="004E2D6C">
              <w:rPr>
                <w:rFonts w:ascii="Calibri" w:hAnsi="Calibri"/>
                <w:sz w:val="16"/>
                <w:szCs w:val="16"/>
              </w:rPr>
              <w:lastRenderedPageBreak/>
              <w:t>Assessment) z týchto hľadísk:</w:t>
            </w:r>
          </w:p>
          <w:p w:rsidR="00036E07" w:rsidRPr="004E2D6C" w:rsidRDefault="00036E07" w:rsidP="00036E07">
            <w:pPr>
              <w:spacing w:before="0"/>
              <w:rPr>
                <w:rFonts w:ascii="Calibri" w:hAnsi="Calibri"/>
                <w:sz w:val="16"/>
                <w:szCs w:val="16"/>
              </w:rPr>
            </w:pPr>
            <w:r w:rsidRPr="004E2D6C">
              <w:rPr>
                <w:rFonts w:ascii="Calibri" w:hAnsi="Calibri"/>
                <w:sz w:val="16"/>
                <w:szCs w:val="16"/>
              </w:rPr>
              <w:t>• typy zraniteľnosti prostredia (obyvateľstvo, kritická infraštruktúra, životné prostredie),</w:t>
            </w:r>
          </w:p>
          <w:p w:rsidR="00036E07" w:rsidRPr="004E2D6C" w:rsidRDefault="00036E07" w:rsidP="00036E07">
            <w:pPr>
              <w:spacing w:before="0"/>
              <w:rPr>
                <w:rFonts w:ascii="Calibri" w:hAnsi="Calibri"/>
                <w:sz w:val="16"/>
                <w:szCs w:val="16"/>
              </w:rPr>
            </w:pPr>
            <w:r w:rsidRPr="004E2D6C">
              <w:rPr>
                <w:rFonts w:ascii="Calibri" w:hAnsi="Calibri"/>
                <w:sz w:val="16"/>
                <w:szCs w:val="16"/>
              </w:rPr>
              <w:t>• rozsah kvantifikátorov zraniteľnosti,</w:t>
            </w:r>
          </w:p>
          <w:p w:rsidR="00036E07" w:rsidRPr="004E2D6C" w:rsidRDefault="00036E07" w:rsidP="00036E07">
            <w:pPr>
              <w:spacing w:before="0"/>
              <w:rPr>
                <w:rFonts w:ascii="Calibri" w:hAnsi="Calibri"/>
                <w:sz w:val="16"/>
                <w:szCs w:val="16"/>
              </w:rPr>
            </w:pPr>
            <w:r w:rsidRPr="004E2D6C">
              <w:rPr>
                <w:rFonts w:ascii="Calibri" w:hAnsi="Calibri"/>
                <w:sz w:val="16"/>
                <w:szCs w:val="16"/>
              </w:rPr>
              <w:t>• postupy na zber, zhromažďovanie a spracovanie údajov,</w:t>
            </w:r>
          </w:p>
          <w:p w:rsidR="00036E07" w:rsidRDefault="00036E07" w:rsidP="00036E07">
            <w:pPr>
              <w:spacing w:before="0"/>
              <w:rPr>
                <w:rFonts w:ascii="Calibri" w:hAnsi="Calibri"/>
                <w:sz w:val="16"/>
                <w:szCs w:val="16"/>
              </w:rPr>
            </w:pPr>
            <w:r w:rsidRPr="004E2D6C">
              <w:rPr>
                <w:rFonts w:ascii="Calibri" w:hAnsi="Calibri"/>
                <w:sz w:val="16"/>
                <w:szCs w:val="16"/>
              </w:rPr>
              <w:t>• mechanizmus hodnotenia rizika</w:t>
            </w:r>
          </w:p>
          <w:p w:rsidR="00036E07" w:rsidRPr="004206F5" w:rsidRDefault="00036E07" w:rsidP="001C5C9E">
            <w:pPr>
              <w:pStyle w:val="Odsekzoznamu"/>
              <w:numPr>
                <w:ilvl w:val="0"/>
                <w:numId w:val="68"/>
              </w:numPr>
              <w:spacing w:before="0"/>
              <w:ind w:left="175" w:hanging="141"/>
              <w:rPr>
                <w:rFonts w:ascii="Calibri" w:hAnsi="Calibri"/>
                <w:sz w:val="16"/>
                <w:szCs w:val="16"/>
              </w:rPr>
            </w:pPr>
            <w:r w:rsidRPr="004206F5">
              <w:rPr>
                <w:rFonts w:ascii="Calibri" w:hAnsi="Calibri"/>
                <w:sz w:val="16"/>
                <w:szCs w:val="16"/>
              </w:rPr>
              <w:t>v rámci analýzy dopadov sú hodnotené sociálne, ekonomické, environmentálne a politické dopady na obyvateľstvo.</w:t>
            </w:r>
          </w:p>
          <w:p w:rsidR="00036E07" w:rsidRPr="004E2D6C" w:rsidRDefault="00036E07" w:rsidP="00036E07">
            <w:pPr>
              <w:spacing w:before="0"/>
              <w:rPr>
                <w:rFonts w:ascii="Calibri" w:hAnsi="Calibri"/>
                <w:sz w:val="16"/>
                <w:szCs w:val="16"/>
              </w:rPr>
            </w:pPr>
            <w:r w:rsidRPr="004E2D6C">
              <w:rPr>
                <w:rFonts w:ascii="Calibri" w:hAnsi="Calibri"/>
                <w:sz w:val="16"/>
                <w:szCs w:val="16"/>
              </w:rPr>
              <w:t>3. Výber vhodných postupov, modifikácia a prispôsobenie stanoveným cieľom</w:t>
            </w:r>
          </w:p>
          <w:p w:rsidR="00036E07" w:rsidRPr="004E2D6C" w:rsidRDefault="00036E07" w:rsidP="00036E07">
            <w:pPr>
              <w:spacing w:before="0"/>
              <w:rPr>
                <w:rFonts w:ascii="Calibri" w:hAnsi="Calibri"/>
                <w:sz w:val="16"/>
                <w:szCs w:val="16"/>
              </w:rPr>
            </w:pPr>
            <w:r w:rsidRPr="004E2D6C">
              <w:rPr>
                <w:rFonts w:ascii="Calibri" w:hAnsi="Calibri"/>
                <w:sz w:val="16"/>
                <w:szCs w:val="16"/>
              </w:rPr>
              <w:t xml:space="preserve">Z analyzovaných nástrojov hodnotenia rizík boli vybrané relevantné postupy a riešenia pre hodnotenie zraniteľnosti vo vzťahu ku konkrétnym rizikám a boli použité pri tvorbe modelu. Dôraz bol kladený na komplexné posúdenie rizika z hľadiska možných ohrození v prostredí vrátane zohľadnenia potenciálnych následkov mimoriadnych udalostí spôsobených tiež napr. spojením viacerých rizík (dominoefekty, synergické javy). Výstupom hodnotenia rizík bude ich kvantitatívna definícia, umožňujúca jednoduché porovnanie a určenie priorít medzi rizikami, určenie najzraniteľnejších území v SR voči rizikám prírodného charakteru, určenie pravdepodobných dôsledkov vzniku </w:t>
            </w:r>
            <w:r>
              <w:rPr>
                <w:rFonts w:ascii="Calibri" w:hAnsi="Calibri"/>
                <w:sz w:val="16"/>
                <w:szCs w:val="16"/>
              </w:rPr>
              <w:t>mimoriadnych udalostí</w:t>
            </w:r>
            <w:r w:rsidRPr="004E2D6C">
              <w:rPr>
                <w:rFonts w:ascii="Calibri" w:hAnsi="Calibri"/>
                <w:sz w:val="16"/>
                <w:szCs w:val="16"/>
              </w:rPr>
              <w:t xml:space="preserve"> na špecifické prostredie, a pod.</w:t>
            </w:r>
          </w:p>
          <w:p w:rsidR="00036E07" w:rsidRPr="004E2D6C" w:rsidRDefault="00036E07" w:rsidP="00036E07">
            <w:pPr>
              <w:spacing w:before="0"/>
              <w:rPr>
                <w:rFonts w:ascii="Calibri" w:hAnsi="Calibri"/>
                <w:sz w:val="16"/>
                <w:szCs w:val="16"/>
              </w:rPr>
            </w:pPr>
            <w:r w:rsidRPr="004E2D6C">
              <w:rPr>
                <w:rFonts w:ascii="Calibri" w:hAnsi="Calibri"/>
                <w:sz w:val="16"/>
                <w:szCs w:val="16"/>
              </w:rPr>
              <w:t>4. Doplnenie kvatifikátorov rizika</w:t>
            </w:r>
          </w:p>
          <w:p w:rsidR="00036E07" w:rsidRPr="004E2D6C" w:rsidRDefault="00036E07" w:rsidP="00036E07">
            <w:pPr>
              <w:spacing w:before="0"/>
              <w:rPr>
                <w:rFonts w:ascii="Calibri" w:hAnsi="Calibri"/>
                <w:sz w:val="16"/>
                <w:szCs w:val="16"/>
              </w:rPr>
            </w:pPr>
            <w:r w:rsidRPr="004E2D6C">
              <w:rPr>
                <w:rFonts w:ascii="Calibri" w:hAnsi="Calibri"/>
                <w:sz w:val="16"/>
                <w:szCs w:val="16"/>
              </w:rPr>
              <w:t>MŽP SR poskytlo materiály potrebné na špecifikovanie kvantifikátorov zraniteľnosti životného prostredia. O tieto údaje je výpočet zraniteľnosti životného prostredia vo vzťahu ku konkrétnym rizikám doplnený, čo umožňuje kvalifikovanejšie zhodnotenie zraniteľnosti ŽP ako jedného z potenciálne postihnutých prostredí.</w:t>
            </w:r>
          </w:p>
          <w:p w:rsidR="00036E07" w:rsidRPr="004E2D6C" w:rsidRDefault="00036E07" w:rsidP="00036E07">
            <w:pPr>
              <w:spacing w:before="0"/>
              <w:rPr>
                <w:rFonts w:ascii="Calibri" w:hAnsi="Calibri"/>
                <w:sz w:val="16"/>
                <w:szCs w:val="16"/>
              </w:rPr>
            </w:pPr>
            <w:r w:rsidRPr="004E2D6C">
              <w:rPr>
                <w:rFonts w:ascii="Calibri" w:hAnsi="Calibri"/>
                <w:sz w:val="16"/>
                <w:szCs w:val="16"/>
              </w:rPr>
              <w:t>5. Vypracovanie metodiky hodnotenia vybraných rizík na vnútroštátnej úrovni</w:t>
            </w:r>
          </w:p>
          <w:p w:rsidR="00036E07" w:rsidRPr="004E2D6C" w:rsidRDefault="00036E07" w:rsidP="00036E07">
            <w:pPr>
              <w:spacing w:before="0"/>
              <w:rPr>
                <w:rFonts w:ascii="Calibri" w:hAnsi="Calibri"/>
                <w:sz w:val="16"/>
                <w:szCs w:val="16"/>
              </w:rPr>
            </w:pPr>
            <w:r w:rsidRPr="004E2D6C">
              <w:rPr>
                <w:rFonts w:ascii="Calibri" w:hAnsi="Calibri"/>
                <w:sz w:val="16"/>
                <w:szCs w:val="16"/>
              </w:rPr>
              <w:t>Metodika hodnotenia rizík pozostáva z:</w:t>
            </w:r>
          </w:p>
          <w:p w:rsidR="00036E07" w:rsidRPr="004E2D6C" w:rsidRDefault="00036E07" w:rsidP="00036E07">
            <w:pPr>
              <w:spacing w:before="0"/>
              <w:rPr>
                <w:rFonts w:ascii="Calibri" w:hAnsi="Calibri"/>
                <w:sz w:val="16"/>
                <w:szCs w:val="16"/>
              </w:rPr>
            </w:pPr>
            <w:r w:rsidRPr="004E2D6C">
              <w:rPr>
                <w:rFonts w:ascii="Calibri" w:hAnsi="Calibri"/>
                <w:sz w:val="16"/>
                <w:szCs w:val="16"/>
              </w:rPr>
              <w:t xml:space="preserve">• modelu hodnotenia rizík v prostredí MS Excell – výpočet </w:t>
            </w:r>
            <w:r w:rsidRPr="004E2D6C">
              <w:rPr>
                <w:rFonts w:ascii="Calibri" w:hAnsi="Calibri"/>
                <w:sz w:val="16"/>
                <w:szCs w:val="16"/>
              </w:rPr>
              <w:lastRenderedPageBreak/>
              <w:t>„skóre“/ hodnoty rizika,</w:t>
            </w:r>
          </w:p>
          <w:p w:rsidR="00036E07" w:rsidRPr="004E2D6C" w:rsidRDefault="00036E07" w:rsidP="00036E07">
            <w:pPr>
              <w:spacing w:before="0"/>
              <w:rPr>
                <w:rFonts w:ascii="Calibri" w:hAnsi="Calibri"/>
                <w:sz w:val="16"/>
                <w:szCs w:val="16"/>
              </w:rPr>
            </w:pPr>
            <w:r w:rsidRPr="004E2D6C">
              <w:rPr>
                <w:rFonts w:ascii="Calibri" w:hAnsi="Calibri"/>
                <w:sz w:val="16"/>
                <w:szCs w:val="16"/>
              </w:rPr>
              <w:t>• metodiky hodnotenia rizika – používateľská príručka (popis postupu) pri aplikácii navrhnutého modelu hodnotenia rizík.</w:t>
            </w:r>
          </w:p>
          <w:p w:rsidR="00036E07" w:rsidRDefault="00036E07" w:rsidP="00036E07">
            <w:pPr>
              <w:spacing w:before="0"/>
              <w:rPr>
                <w:rFonts w:ascii="Calibri" w:hAnsi="Calibri"/>
                <w:sz w:val="16"/>
                <w:szCs w:val="16"/>
              </w:rPr>
            </w:pPr>
            <w:r w:rsidRPr="004E2D6C">
              <w:rPr>
                <w:rFonts w:ascii="Calibri" w:hAnsi="Calibri"/>
                <w:sz w:val="16"/>
                <w:szCs w:val="16"/>
              </w:rPr>
              <w:t>Metodika hodnotenia rizík je zverejnená na webovej stránke MV SR v časti krízové riadenie.</w:t>
            </w:r>
          </w:p>
          <w:p w:rsidR="00036E07" w:rsidRPr="001527B0" w:rsidRDefault="00036E07" w:rsidP="00036E07">
            <w:pPr>
              <w:spacing w:before="0"/>
              <w:rPr>
                <w:rFonts w:ascii="Calibri" w:hAnsi="Calibri"/>
                <w:sz w:val="16"/>
                <w:szCs w:val="16"/>
              </w:rPr>
            </w:pPr>
            <w:r w:rsidRPr="001527B0">
              <w:rPr>
                <w:rFonts w:ascii="Calibri" w:hAnsi="Calibri"/>
                <w:sz w:val="16"/>
                <w:szCs w:val="16"/>
              </w:rPr>
              <w:t>Metodika hodnotenia rizík zohľadňuje všetky tri kategórie vplyvov (ľudské, ekonomické a</w:t>
            </w:r>
            <w:r w:rsidR="00265B34">
              <w:rPr>
                <w:rFonts w:ascii="Calibri" w:hAnsi="Calibri"/>
                <w:sz w:val="16"/>
                <w:szCs w:val="16"/>
              </w:rPr>
              <w:t> </w:t>
            </w:r>
            <w:r w:rsidRPr="001527B0">
              <w:rPr>
                <w:rFonts w:ascii="Calibri" w:hAnsi="Calibri"/>
                <w:sz w:val="16"/>
                <w:szCs w:val="16"/>
              </w:rPr>
              <w:t>environmentálne</w:t>
            </w:r>
            <w:r w:rsidR="00265B34">
              <w:rPr>
                <w:rFonts w:ascii="Calibri" w:hAnsi="Calibri"/>
                <w:sz w:val="16"/>
                <w:szCs w:val="16"/>
              </w:rPr>
              <w:t>)</w:t>
            </w:r>
            <w:r w:rsidRPr="001527B0">
              <w:rPr>
                <w:rFonts w:ascii="Calibri" w:hAnsi="Calibri"/>
                <w:sz w:val="16"/>
                <w:szCs w:val="16"/>
              </w:rPr>
              <w:t>, ako aj politické a sociálne vplyvy</w:t>
            </w:r>
            <w:r w:rsidR="00265B34">
              <w:rPr>
                <w:rFonts w:ascii="Calibri" w:hAnsi="Calibri"/>
                <w:sz w:val="16"/>
                <w:szCs w:val="16"/>
              </w:rPr>
              <w:t>.</w:t>
            </w:r>
          </w:p>
          <w:p w:rsidR="00036E07" w:rsidRPr="001527B0" w:rsidRDefault="00265B34" w:rsidP="00036E07">
            <w:pPr>
              <w:spacing w:before="0"/>
              <w:rPr>
                <w:rFonts w:ascii="Calibri" w:hAnsi="Calibri"/>
                <w:sz w:val="16"/>
                <w:szCs w:val="16"/>
              </w:rPr>
            </w:pPr>
            <w:r>
              <w:rPr>
                <w:rFonts w:ascii="Calibri" w:hAnsi="Calibri"/>
                <w:sz w:val="16"/>
                <w:szCs w:val="16"/>
              </w:rPr>
              <w:t>SR</w:t>
            </w:r>
            <w:r w:rsidR="00036E07" w:rsidRPr="001527B0">
              <w:rPr>
                <w:rFonts w:ascii="Calibri" w:hAnsi="Calibri"/>
                <w:sz w:val="16"/>
                <w:szCs w:val="16"/>
              </w:rPr>
              <w:t xml:space="preserve"> má uzavreté bilaterálne zmluvy a dohody týkajúc</w:t>
            </w:r>
            <w:r>
              <w:rPr>
                <w:rFonts w:ascii="Calibri" w:hAnsi="Calibri"/>
                <w:sz w:val="16"/>
                <w:szCs w:val="16"/>
              </w:rPr>
              <w:t>e</w:t>
            </w:r>
            <w:r w:rsidR="00036E07" w:rsidRPr="001527B0">
              <w:rPr>
                <w:rFonts w:ascii="Calibri" w:hAnsi="Calibri"/>
                <w:sz w:val="16"/>
                <w:szCs w:val="16"/>
              </w:rPr>
              <w:t xml:space="preserve"> sa spolupráce a vzájomnej pomoci pri mimoriadnych udalostiach, ktoré sa venujú problematike cezhraničnej spolupráce.</w:t>
            </w:r>
          </w:p>
          <w:p w:rsidR="00036E07" w:rsidRPr="001527B0" w:rsidRDefault="00036E07" w:rsidP="00036E07">
            <w:pPr>
              <w:spacing w:before="0"/>
              <w:rPr>
                <w:rFonts w:ascii="Calibri" w:hAnsi="Calibri"/>
                <w:sz w:val="16"/>
                <w:szCs w:val="16"/>
              </w:rPr>
            </w:pPr>
            <w:r w:rsidRPr="001527B0">
              <w:rPr>
                <w:rFonts w:ascii="Calibri" w:hAnsi="Calibri"/>
                <w:sz w:val="16"/>
                <w:szCs w:val="16"/>
              </w:rPr>
              <w:t xml:space="preserve">Zoznam bilaterálnych zmlúv a dohôd je dostupný na webovej stránke </w:t>
            </w:r>
            <w:r w:rsidR="00265B34">
              <w:rPr>
                <w:rFonts w:ascii="Calibri" w:hAnsi="Calibri"/>
                <w:sz w:val="16"/>
                <w:szCs w:val="16"/>
              </w:rPr>
              <w:t>MV SR</w:t>
            </w:r>
            <w:r w:rsidRPr="001527B0">
              <w:rPr>
                <w:rFonts w:ascii="Calibri" w:hAnsi="Calibri"/>
                <w:sz w:val="16"/>
                <w:szCs w:val="16"/>
              </w:rPr>
              <w:t xml:space="preserve">: </w:t>
            </w:r>
          </w:p>
          <w:p w:rsidR="00036E07" w:rsidRPr="004E2D6C" w:rsidRDefault="00036E07" w:rsidP="00036E07">
            <w:pPr>
              <w:spacing w:before="0"/>
              <w:rPr>
                <w:rFonts w:ascii="Calibri" w:hAnsi="Calibri"/>
                <w:sz w:val="16"/>
                <w:szCs w:val="16"/>
              </w:rPr>
            </w:pPr>
            <w:r w:rsidRPr="001527B0">
              <w:rPr>
                <w:rFonts w:ascii="Calibri" w:hAnsi="Calibri"/>
                <w:sz w:val="16"/>
                <w:szCs w:val="16"/>
              </w:rPr>
              <w:t>http://www.minv.sk/?zmluvny-system-slovenskej-republiky-pre-mimoriadne-udalosti</w:t>
            </w:r>
          </w:p>
          <w:p w:rsidR="00036E07" w:rsidRPr="004E2D6C" w:rsidRDefault="00036E07" w:rsidP="00036E07">
            <w:pPr>
              <w:spacing w:before="0"/>
              <w:rPr>
                <w:rFonts w:ascii="Calibri" w:hAnsi="Calibri"/>
                <w:sz w:val="16"/>
                <w:szCs w:val="16"/>
              </w:rPr>
            </w:pPr>
            <w:r w:rsidRPr="004E2D6C">
              <w:rPr>
                <w:rFonts w:ascii="Calibri" w:hAnsi="Calibri"/>
                <w:sz w:val="16"/>
                <w:szCs w:val="16"/>
              </w:rPr>
              <w:t>6. Postup pri určovaní kritérií prioritizácie investícií založených na riziku</w:t>
            </w:r>
          </w:p>
          <w:p w:rsidR="00036E07" w:rsidRPr="004E2D6C" w:rsidRDefault="00036E07" w:rsidP="00036E07">
            <w:pPr>
              <w:spacing w:before="0"/>
              <w:rPr>
                <w:rFonts w:ascii="Calibri" w:hAnsi="Calibri"/>
                <w:sz w:val="16"/>
                <w:szCs w:val="16"/>
              </w:rPr>
            </w:pPr>
            <w:r w:rsidRPr="004E2D6C">
              <w:rPr>
                <w:rFonts w:ascii="Calibri" w:hAnsi="Calibri"/>
                <w:sz w:val="16"/>
                <w:szCs w:val="16"/>
              </w:rPr>
              <w:t>Prioritizácia investícií = určovanie priorít v znižovaní rizík</w:t>
            </w:r>
          </w:p>
          <w:p w:rsidR="00036E07" w:rsidRPr="004E2D6C" w:rsidRDefault="00036E07" w:rsidP="00036E07">
            <w:pPr>
              <w:spacing w:before="0"/>
              <w:rPr>
                <w:rFonts w:ascii="Calibri" w:hAnsi="Calibri"/>
                <w:sz w:val="16"/>
                <w:szCs w:val="16"/>
              </w:rPr>
            </w:pPr>
            <w:r w:rsidRPr="004E2D6C">
              <w:rPr>
                <w:rFonts w:ascii="Calibri" w:hAnsi="Calibri"/>
                <w:sz w:val="16"/>
                <w:szCs w:val="16"/>
              </w:rPr>
              <w:t>Model hodnotenia rizík umožňuje získať všeobecný prehľad o rizikách (kvantitatívne zobrazenie rizík podľa poradia ich závažnosti, slovné popísanie charakteristík územia, následkov MU). S využitím týchto údajov je možné riziká porovnávať a určovať si priority pri ich znižovaní (pri výbere mechanizmu ich znižovania), resp. znižovaní zraniteľnosti prostredia.</w:t>
            </w:r>
          </w:p>
          <w:p w:rsidR="00036E07" w:rsidRPr="001527B0" w:rsidRDefault="00036E07" w:rsidP="00036E07">
            <w:pPr>
              <w:spacing w:before="0"/>
              <w:rPr>
                <w:rFonts w:ascii="Calibri" w:hAnsi="Calibri"/>
                <w:sz w:val="16"/>
                <w:szCs w:val="16"/>
              </w:rPr>
            </w:pPr>
            <w:r w:rsidRPr="006B7F70">
              <w:rPr>
                <w:rFonts w:ascii="Calibri" w:hAnsi="Calibri"/>
                <w:sz w:val="16"/>
                <w:szCs w:val="16"/>
              </w:rPr>
              <w:t>Pre oblasť zosuvných rizík bol vypracovaný strategický plánovací dokument - Program prevencie a manažmentu zosuvných rizík. Materiál bol schválený uznesením vlády SR č. 738/2013</w:t>
            </w:r>
            <w:r>
              <w:rPr>
                <w:rFonts w:ascii="Calibri" w:hAnsi="Calibri"/>
                <w:sz w:val="16"/>
                <w:szCs w:val="16"/>
              </w:rPr>
              <w:t xml:space="preserve">. </w:t>
            </w:r>
            <w:r w:rsidRPr="001527B0">
              <w:rPr>
                <w:rFonts w:ascii="Calibri" w:hAnsi="Calibri"/>
                <w:sz w:val="16"/>
                <w:szCs w:val="16"/>
              </w:rPr>
              <w:t>Jeho cieľom je zabezpečiť komplexné riešenie problematiky svahových pohybov a zosuvných rizík.</w:t>
            </w:r>
          </w:p>
          <w:p w:rsidR="00036E07" w:rsidRDefault="00036E07" w:rsidP="00036E07">
            <w:pPr>
              <w:spacing w:before="0"/>
              <w:rPr>
                <w:rFonts w:ascii="Calibri" w:hAnsi="Calibri"/>
                <w:sz w:val="16"/>
                <w:szCs w:val="16"/>
              </w:rPr>
            </w:pPr>
            <w:r w:rsidRPr="001527B0">
              <w:rPr>
                <w:rFonts w:ascii="Calibri" w:hAnsi="Calibri"/>
                <w:sz w:val="16"/>
                <w:szCs w:val="16"/>
              </w:rPr>
              <w:t>http://www.rokovania.sk/File.aspx/ViewDocumentHtml/Mater-Dokum-161227?prefixFile=m_</w:t>
            </w:r>
          </w:p>
          <w:p w:rsidR="00036E07" w:rsidRDefault="00036E07" w:rsidP="00036E07">
            <w:pPr>
              <w:spacing w:before="0"/>
              <w:rPr>
                <w:rFonts w:ascii="Calibri" w:hAnsi="Calibri"/>
                <w:sz w:val="16"/>
                <w:szCs w:val="16"/>
              </w:rPr>
            </w:pPr>
            <w:r w:rsidRPr="004E2D6C">
              <w:rPr>
                <w:rFonts w:ascii="Calibri" w:hAnsi="Calibri"/>
                <w:sz w:val="16"/>
                <w:szCs w:val="16"/>
              </w:rPr>
              <w:t xml:space="preserve">Pre oblasť prevencie a manažmentu rizík vyplývajúcich </w:t>
            </w:r>
            <w:r w:rsidRPr="004E2D6C">
              <w:rPr>
                <w:rFonts w:ascii="Calibri" w:hAnsi="Calibri"/>
                <w:sz w:val="16"/>
                <w:szCs w:val="16"/>
              </w:rPr>
              <w:lastRenderedPageBreak/>
              <w:t xml:space="preserve">z prítomnosti úložísk ťažobného odpadu </w:t>
            </w:r>
            <w:r w:rsidRPr="005E23C5">
              <w:rPr>
                <w:rFonts w:ascii="Calibri" w:hAnsi="Calibri"/>
                <w:sz w:val="16"/>
                <w:szCs w:val="16"/>
              </w:rPr>
              <w:t>je vypracovaný základný plánovací dokument</w:t>
            </w:r>
            <w:r w:rsidR="00265B34">
              <w:rPr>
                <w:rFonts w:ascii="Calibri" w:hAnsi="Calibri"/>
                <w:sz w:val="16"/>
                <w:szCs w:val="16"/>
              </w:rPr>
              <w:t xml:space="preserve"> „</w:t>
            </w:r>
            <w:r w:rsidRPr="005E23C5">
              <w:rPr>
                <w:rFonts w:ascii="Calibri" w:hAnsi="Calibri"/>
                <w:sz w:val="16"/>
                <w:szCs w:val="16"/>
              </w:rPr>
              <w:t xml:space="preserve">Program prevencie </w:t>
            </w:r>
            <w:r w:rsidR="005A599D">
              <w:rPr>
                <w:rFonts w:ascii="Calibri" w:hAnsi="Calibri"/>
                <w:sz w:val="16"/>
                <w:szCs w:val="16"/>
              </w:rPr>
              <w:br/>
            </w:r>
            <w:r w:rsidRPr="005E23C5">
              <w:rPr>
                <w:rFonts w:ascii="Calibri" w:hAnsi="Calibri"/>
                <w:sz w:val="16"/>
                <w:szCs w:val="16"/>
              </w:rPr>
              <w:t xml:space="preserve">a manažmentu rizík vyplývajúcich z uzavretých </w:t>
            </w:r>
            <w:r w:rsidR="005A599D">
              <w:rPr>
                <w:rFonts w:ascii="Calibri" w:hAnsi="Calibri"/>
                <w:sz w:val="16"/>
                <w:szCs w:val="16"/>
              </w:rPr>
              <w:br/>
            </w:r>
            <w:r w:rsidRPr="005E23C5">
              <w:rPr>
                <w:rFonts w:ascii="Calibri" w:hAnsi="Calibri"/>
                <w:sz w:val="16"/>
                <w:szCs w:val="16"/>
              </w:rPr>
              <w:t>a opustených úložísk</w:t>
            </w:r>
            <w:r>
              <w:rPr>
                <w:rFonts w:ascii="Calibri" w:hAnsi="Calibri"/>
                <w:sz w:val="16"/>
                <w:szCs w:val="16"/>
              </w:rPr>
              <w:t xml:space="preserve"> ťažobného odpadu (2014 – 2020)</w:t>
            </w:r>
            <w:r w:rsidR="00265B34">
              <w:rPr>
                <w:rFonts w:ascii="Calibri" w:hAnsi="Calibri"/>
                <w:sz w:val="16"/>
                <w:szCs w:val="16"/>
              </w:rPr>
              <w:t>“</w:t>
            </w:r>
            <w:r>
              <w:rPr>
                <w:rFonts w:ascii="Calibri" w:hAnsi="Calibri"/>
                <w:sz w:val="16"/>
                <w:szCs w:val="16"/>
              </w:rPr>
              <w:t xml:space="preserve">. </w:t>
            </w:r>
            <w:r w:rsidRPr="001527B0">
              <w:rPr>
                <w:rFonts w:ascii="Calibri" w:eastAsia="Calibri" w:hAnsi="Calibri"/>
                <w:sz w:val="16"/>
                <w:szCs w:val="16"/>
              </w:rPr>
              <w:t xml:space="preserve">Materiál bol 25. </w:t>
            </w:r>
            <w:r w:rsidR="003876F0">
              <w:rPr>
                <w:rFonts w:ascii="Calibri" w:eastAsia="Calibri" w:hAnsi="Calibri"/>
                <w:sz w:val="16"/>
                <w:szCs w:val="16"/>
              </w:rPr>
              <w:t>4</w:t>
            </w:r>
            <w:r w:rsidR="003876F0" w:rsidRPr="001527B0">
              <w:rPr>
                <w:rFonts w:ascii="Calibri" w:eastAsia="Calibri" w:hAnsi="Calibri"/>
                <w:sz w:val="16"/>
                <w:szCs w:val="16"/>
              </w:rPr>
              <w:t xml:space="preserve"> </w:t>
            </w:r>
            <w:r w:rsidRPr="001527B0">
              <w:rPr>
                <w:rFonts w:ascii="Calibri" w:eastAsia="Calibri" w:hAnsi="Calibri"/>
                <w:sz w:val="16"/>
                <w:szCs w:val="16"/>
              </w:rPr>
              <w:t>2014 predložený na medzirezortné pripomienkové konanie. Predpokladaný termín predloženia na rokovanie vlády SR je máj 2014</w:t>
            </w:r>
            <w:r>
              <w:rPr>
                <w:rFonts w:ascii="Calibri" w:hAnsi="Calibri"/>
                <w:sz w:val="16"/>
                <w:szCs w:val="16"/>
              </w:rPr>
              <w:t xml:space="preserve">. </w:t>
            </w:r>
            <w:r w:rsidRPr="00E745AA">
              <w:rPr>
                <w:rFonts w:ascii="Calibri" w:hAnsi="Calibri"/>
                <w:sz w:val="16"/>
                <w:szCs w:val="16"/>
              </w:rPr>
              <w:t>V rámci implementácie smernice 2007/60/ES boli dokončené mapy povodňového ohrozenia mapy povodňového rizika. (http://www.minzp.sk/sekcie/temy-oblasti/voda/ochrana-pred-povodnami/manazment-povodnovych-rizik/povodnove-mapy.html</w:t>
            </w:r>
            <w:r>
              <w:rPr>
                <w:rFonts w:ascii="Calibri" w:hAnsi="Calibri"/>
                <w:sz w:val="16"/>
                <w:szCs w:val="16"/>
              </w:rPr>
              <w:t xml:space="preserve"> </w:t>
            </w:r>
            <w:r w:rsidRPr="00E745AA">
              <w:rPr>
                <w:rFonts w:ascii="Calibri" w:hAnsi="Calibri"/>
                <w:sz w:val="16"/>
                <w:szCs w:val="16"/>
              </w:rPr>
              <w:t xml:space="preserve">). </w:t>
            </w:r>
          </w:p>
          <w:p w:rsidR="00036E07" w:rsidRDefault="00036E07" w:rsidP="00036E07">
            <w:pPr>
              <w:spacing w:before="0"/>
              <w:rPr>
                <w:rFonts w:ascii="Calibri" w:hAnsi="Calibri"/>
                <w:sz w:val="16"/>
                <w:szCs w:val="16"/>
              </w:rPr>
            </w:pPr>
            <w:r w:rsidRPr="00CB4B28">
              <w:rPr>
                <w:rFonts w:ascii="Calibri" w:hAnsi="Calibri"/>
                <w:sz w:val="16"/>
                <w:szCs w:val="16"/>
              </w:rPr>
              <w:t>Príprava plánov manažmentu povodňového rizika prebieha podľa časového a vecného harmonogramu, ktorý v decembri 2012 schválila Porada vedenia MŽP SR. Dňa 16.</w:t>
            </w:r>
            <w:r w:rsidR="005A599D">
              <w:rPr>
                <w:rFonts w:ascii="Calibri" w:hAnsi="Calibri"/>
                <w:sz w:val="16"/>
                <w:szCs w:val="16"/>
              </w:rPr>
              <w:t xml:space="preserve"> </w:t>
            </w:r>
            <w:r w:rsidRPr="00CB4B28">
              <w:rPr>
                <w:rFonts w:ascii="Calibri" w:hAnsi="Calibri"/>
                <w:sz w:val="16"/>
                <w:szCs w:val="16"/>
              </w:rPr>
              <w:t>12.</w:t>
            </w:r>
            <w:r w:rsidR="005A599D">
              <w:rPr>
                <w:rFonts w:ascii="Calibri" w:hAnsi="Calibri"/>
                <w:sz w:val="16"/>
                <w:szCs w:val="16"/>
              </w:rPr>
              <w:t xml:space="preserve"> </w:t>
            </w:r>
            <w:r w:rsidRPr="00CB4B28">
              <w:rPr>
                <w:rFonts w:ascii="Calibri" w:hAnsi="Calibri"/>
                <w:sz w:val="16"/>
                <w:szCs w:val="16"/>
              </w:rPr>
              <w:t>2013 sa uskutočnil kontrolný deň ministra životného prostredia SR na preverenie stavu prác na príprave prvých plánov manažmentu povodňového rizika, na ktorom boli uvedené výsledky formulácie cieľov manažmentu povodňových rizík a pracovné návrhy opatrení na ich dosiahnutie, vrátane odhadu výdavkov na ich prípravu, prevádzku, údržbu a opravy počas celého predpokladaného obdobia životnosti.</w:t>
            </w:r>
          </w:p>
          <w:p w:rsidR="004E2D6C" w:rsidRPr="004E2D6C" w:rsidRDefault="00036E07" w:rsidP="004E2D6C">
            <w:pPr>
              <w:spacing w:before="0"/>
              <w:rPr>
                <w:rFonts w:ascii="Calibri" w:hAnsi="Calibri"/>
                <w:sz w:val="16"/>
                <w:szCs w:val="16"/>
              </w:rPr>
            </w:pPr>
            <w:r w:rsidRPr="004E2D6C">
              <w:rPr>
                <w:rFonts w:ascii="Calibri" w:hAnsi="Calibri"/>
                <w:sz w:val="16"/>
                <w:szCs w:val="16"/>
              </w:rPr>
              <w:t>Implementácia smernice 2007/60/ES prebieha v súlade s príslušnými ustanoveniami upravujúcim časový postup.</w:t>
            </w:r>
          </w:p>
        </w:tc>
      </w:tr>
      <w:tr w:rsidR="004E2D6C" w:rsidRPr="004E2D6C" w:rsidTr="002377D3">
        <w:trPr>
          <w:trHeight w:val="231"/>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Pr>
          <w:p w:rsidR="004E2D6C" w:rsidRPr="00064274" w:rsidRDefault="004E2D6C" w:rsidP="001C5C9E">
            <w:pPr>
              <w:pStyle w:val="Odsekzoznamu"/>
              <w:numPr>
                <w:ilvl w:val="0"/>
                <w:numId w:val="101"/>
              </w:numPr>
              <w:spacing w:before="0"/>
              <w:ind w:left="175" w:hanging="175"/>
              <w:rPr>
                <w:rFonts w:ascii="Calibri" w:hAnsi="Calibri"/>
                <w:sz w:val="16"/>
                <w:szCs w:val="16"/>
              </w:rPr>
            </w:pPr>
            <w:r w:rsidRPr="00064274">
              <w:rPr>
                <w:rFonts w:ascii="Calibri" w:hAnsi="Calibri"/>
                <w:sz w:val="16"/>
                <w:szCs w:val="16"/>
              </w:rPr>
              <w:t xml:space="preserve">opis scenárov s jedným rizikom </w:t>
            </w:r>
            <w:r w:rsidR="00493967" w:rsidRPr="00064274">
              <w:rPr>
                <w:rFonts w:ascii="Calibri" w:hAnsi="Calibri"/>
                <w:sz w:val="16"/>
                <w:szCs w:val="16"/>
              </w:rPr>
              <w:br/>
            </w:r>
            <w:r w:rsidRPr="00064274">
              <w:rPr>
                <w:rFonts w:ascii="Calibri" w:hAnsi="Calibri"/>
                <w:sz w:val="16"/>
                <w:szCs w:val="16"/>
              </w:rPr>
              <w:t xml:space="preserve">a viacerými rizikami, </w:t>
            </w:r>
          </w:p>
        </w:tc>
        <w:tc>
          <w:tcPr>
            <w:tcW w:w="1134" w:type="dxa"/>
            <w:tcBorders>
              <w:top w:val="single" w:sz="2" w:space="0" w:color="auto"/>
              <w:bottom w:val="single" w:sz="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tcPr>
          <w:p w:rsidR="00F97BE0" w:rsidRDefault="00F97BE0" w:rsidP="00F97BE0">
            <w:pPr>
              <w:spacing w:before="0"/>
              <w:rPr>
                <w:rFonts w:ascii="Calibri" w:hAnsi="Calibri"/>
                <w:sz w:val="16"/>
                <w:szCs w:val="16"/>
              </w:rPr>
            </w:pPr>
            <w:r w:rsidRPr="00E745AA">
              <w:rPr>
                <w:rFonts w:ascii="Calibri" w:hAnsi="Calibri"/>
                <w:sz w:val="16"/>
                <w:szCs w:val="16"/>
              </w:rPr>
              <w:t xml:space="preserve">Identifikácia scenárov prejavu rizika vrátane zohľadnenia synergického efektu a domino efektu. </w:t>
            </w:r>
          </w:p>
          <w:p w:rsidR="00D370ED" w:rsidRPr="00E224B5" w:rsidRDefault="00D370ED" w:rsidP="00D370ED">
            <w:pPr>
              <w:spacing w:before="0"/>
              <w:rPr>
                <w:rFonts w:ascii="Calibri" w:hAnsi="Calibri"/>
                <w:sz w:val="16"/>
                <w:szCs w:val="16"/>
              </w:rPr>
            </w:pPr>
            <w:r w:rsidRPr="00E224B5">
              <w:rPr>
                <w:rFonts w:ascii="Calibri" w:hAnsi="Calibri"/>
                <w:sz w:val="16"/>
                <w:szCs w:val="16"/>
              </w:rPr>
              <w:t xml:space="preserve">Metodika je dostupná na webovej stránke Ministerstva vnútra Slovenskej republiky: </w:t>
            </w:r>
          </w:p>
          <w:p w:rsidR="00D370ED" w:rsidRPr="00E224B5" w:rsidRDefault="00ED6BC8" w:rsidP="00D370ED">
            <w:pPr>
              <w:spacing w:before="0"/>
              <w:rPr>
                <w:rFonts w:ascii="Calibri" w:hAnsi="Calibri"/>
                <w:sz w:val="16"/>
                <w:szCs w:val="16"/>
              </w:rPr>
            </w:pPr>
            <w:hyperlink r:id="rId63" w:history="1">
              <w:r w:rsidR="00E96D8E" w:rsidRPr="001107CE">
                <w:rPr>
                  <w:rStyle w:val="Hypertextovprepojenie"/>
                  <w:rFonts w:ascii="Calibri" w:hAnsi="Calibri"/>
                  <w:sz w:val="16"/>
                  <w:szCs w:val="16"/>
                </w:rPr>
                <w:t>http://www.minv.sk/?Dokumenty_na_stiahnutie_CO</w:t>
              </w:r>
            </w:hyperlink>
          </w:p>
          <w:p w:rsidR="00D370ED" w:rsidRPr="00E745AA" w:rsidRDefault="00ED6BC8" w:rsidP="00D370ED">
            <w:pPr>
              <w:spacing w:before="0"/>
              <w:rPr>
                <w:rFonts w:ascii="Calibri" w:hAnsi="Calibri"/>
                <w:sz w:val="16"/>
                <w:szCs w:val="16"/>
              </w:rPr>
            </w:pPr>
            <w:hyperlink r:id="rId64" w:anchor="38;subor=175547" w:history="1">
              <w:r w:rsidR="00E96D8E" w:rsidRPr="001107CE">
                <w:rPr>
                  <w:rStyle w:val="Hypertextovprepojenie"/>
                  <w:rFonts w:ascii="Calibri" w:hAnsi="Calibri"/>
                  <w:sz w:val="16"/>
                  <w:szCs w:val="16"/>
                </w:rPr>
                <w:t>http://www.minv.sk/?Dokumenty_na_stiahnutie_CO&amp;subor=175547</w:t>
              </w:r>
            </w:hyperlink>
          </w:p>
          <w:p w:rsidR="00D370ED" w:rsidRPr="00E745AA" w:rsidRDefault="00D370ED" w:rsidP="00F97BE0">
            <w:pPr>
              <w:spacing w:before="0"/>
              <w:rPr>
                <w:rFonts w:ascii="Calibri" w:hAnsi="Calibri"/>
                <w:sz w:val="16"/>
                <w:szCs w:val="16"/>
              </w:rPr>
            </w:pPr>
          </w:p>
          <w:p w:rsidR="00F97BE0" w:rsidRPr="00E745AA" w:rsidRDefault="00F97BE0" w:rsidP="00F97BE0">
            <w:pPr>
              <w:spacing w:before="0"/>
              <w:rPr>
                <w:rFonts w:ascii="Calibri" w:hAnsi="Calibri"/>
                <w:sz w:val="16"/>
                <w:szCs w:val="16"/>
              </w:rPr>
            </w:pPr>
            <w:r w:rsidRPr="00E745AA">
              <w:rPr>
                <w:rFonts w:ascii="Calibri" w:hAnsi="Calibri"/>
                <w:sz w:val="16"/>
                <w:szCs w:val="16"/>
              </w:rPr>
              <w:t xml:space="preserve">Zodpovedná organizácia: MV SR </w:t>
            </w:r>
          </w:p>
          <w:p w:rsidR="004E2D6C" w:rsidRPr="004E2D6C" w:rsidRDefault="00F97BE0" w:rsidP="00F97BE0">
            <w:pPr>
              <w:spacing w:before="0"/>
              <w:rPr>
                <w:rFonts w:ascii="Calibri" w:hAnsi="Calibri"/>
                <w:sz w:val="16"/>
                <w:szCs w:val="16"/>
              </w:rPr>
            </w:pPr>
            <w:r w:rsidRPr="00E745AA">
              <w:rPr>
                <w:rFonts w:ascii="Calibri" w:hAnsi="Calibri"/>
                <w:sz w:val="16"/>
                <w:szCs w:val="16"/>
              </w:rPr>
              <w:lastRenderedPageBreak/>
              <w:t>Termín splnenia: 30.</w:t>
            </w:r>
            <w:r w:rsidR="00C611EB">
              <w:rPr>
                <w:rFonts w:ascii="Calibri" w:hAnsi="Calibri"/>
                <w:sz w:val="16"/>
                <w:szCs w:val="16"/>
              </w:rPr>
              <w:t xml:space="preserve"> </w:t>
            </w:r>
            <w:r w:rsidRPr="00E745AA">
              <w:rPr>
                <w:rFonts w:ascii="Calibri" w:hAnsi="Calibri"/>
                <w:sz w:val="16"/>
                <w:szCs w:val="16"/>
              </w:rPr>
              <w:t>6.</w:t>
            </w:r>
            <w:r w:rsidR="00C611EB">
              <w:rPr>
                <w:rFonts w:ascii="Calibri" w:hAnsi="Calibri"/>
                <w:sz w:val="16"/>
                <w:szCs w:val="16"/>
              </w:rPr>
              <w:t xml:space="preserve"> </w:t>
            </w:r>
            <w:r w:rsidRPr="00E745AA">
              <w:rPr>
                <w:rFonts w:ascii="Calibri" w:hAnsi="Calibri"/>
                <w:sz w:val="16"/>
                <w:szCs w:val="16"/>
              </w:rPr>
              <w:t>2013</w:t>
            </w:r>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Možné scenáre prejavu rizika sú identifikované </w:t>
            </w:r>
            <w:r w:rsidR="00493967">
              <w:rPr>
                <w:rFonts w:ascii="Calibri" w:hAnsi="Calibri"/>
                <w:sz w:val="16"/>
                <w:szCs w:val="16"/>
              </w:rPr>
              <w:br/>
            </w:r>
            <w:r w:rsidRPr="004E2D6C">
              <w:rPr>
                <w:rFonts w:ascii="Calibri" w:hAnsi="Calibri"/>
                <w:sz w:val="16"/>
                <w:szCs w:val="16"/>
              </w:rPr>
              <w:t xml:space="preserve">a implementované do modelu ako kvantifikátory zraniteľnosti prostredia. Ide o zoznam možných prejavov konkrétnych rizík zohľadňujúci možné dominoefekty </w:t>
            </w:r>
            <w:r w:rsidR="00493967">
              <w:rPr>
                <w:rFonts w:ascii="Calibri" w:hAnsi="Calibri"/>
                <w:sz w:val="16"/>
                <w:szCs w:val="16"/>
              </w:rPr>
              <w:br/>
            </w:r>
            <w:r w:rsidRPr="004E2D6C">
              <w:rPr>
                <w:rFonts w:ascii="Calibri" w:hAnsi="Calibri"/>
                <w:sz w:val="16"/>
                <w:szCs w:val="16"/>
              </w:rPr>
              <w:t xml:space="preserve">a synergické javy prejavujúce sa s daným rizikom. </w:t>
            </w:r>
            <w:r w:rsidR="00036E07" w:rsidRPr="00EA1335">
              <w:rPr>
                <w:rFonts w:ascii="Calibri" w:hAnsi="Calibri"/>
                <w:sz w:val="16"/>
                <w:szCs w:val="16"/>
              </w:rPr>
              <w:t>Výstupy sú zapracované v navrhovanej metodike hodnotenia rizík.</w:t>
            </w:r>
          </w:p>
        </w:tc>
      </w:tr>
      <w:tr w:rsidR="004E2D6C" w:rsidRPr="004E2D6C" w:rsidTr="002377D3">
        <w:trPr>
          <w:trHeight w:val="231"/>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bottom w:val="single" w:sz="12" w:space="0" w:color="auto"/>
            </w:tcBorders>
          </w:tcPr>
          <w:p w:rsidR="004E2D6C" w:rsidRPr="00064274" w:rsidRDefault="004E2D6C" w:rsidP="001C5C9E">
            <w:pPr>
              <w:pStyle w:val="Odsekzoznamu"/>
              <w:numPr>
                <w:ilvl w:val="0"/>
                <w:numId w:val="101"/>
              </w:numPr>
              <w:spacing w:before="0"/>
              <w:ind w:left="175" w:hanging="175"/>
              <w:rPr>
                <w:rFonts w:ascii="Calibri" w:hAnsi="Calibri"/>
                <w:sz w:val="16"/>
                <w:szCs w:val="16"/>
              </w:rPr>
            </w:pPr>
            <w:r w:rsidRPr="00064274">
              <w:rPr>
                <w:rFonts w:ascii="Calibri" w:hAnsi="Calibri"/>
                <w:sz w:val="16"/>
                <w:szCs w:val="16"/>
              </w:rPr>
              <w:t>v prípade potreby zohľadnenie národných stratégií na prispôsobovanie sa zmene klímy.</w:t>
            </w:r>
          </w:p>
        </w:tc>
        <w:tc>
          <w:tcPr>
            <w:tcW w:w="1134" w:type="dxa"/>
            <w:tcBorders>
              <w:top w:val="single" w:sz="2" w:space="0" w:color="auto"/>
              <w:bottom w:val="single" w:sz="12" w:space="0" w:color="auto"/>
            </w:tcBorders>
            <w:vAlign w:val="center"/>
          </w:tcPr>
          <w:p w:rsidR="004E2D6C" w:rsidRPr="004E2D6C" w:rsidRDefault="002245FB" w:rsidP="00535799">
            <w:pPr>
              <w:spacing w:before="0"/>
              <w:jc w:val="center"/>
              <w:rPr>
                <w:rFonts w:ascii="Calibri" w:hAnsi="Calibri"/>
                <w:sz w:val="16"/>
                <w:szCs w:val="16"/>
              </w:rPr>
            </w:pPr>
            <w:r>
              <w:rPr>
                <w:rFonts w:ascii="Calibri" w:hAnsi="Calibri"/>
                <w:b/>
                <w:sz w:val="16"/>
                <w:szCs w:val="16"/>
              </w:rPr>
              <w:t>Áno</w:t>
            </w:r>
          </w:p>
        </w:tc>
        <w:tc>
          <w:tcPr>
            <w:tcW w:w="3119" w:type="dxa"/>
            <w:tcBorders>
              <w:bottom w:val="single" w:sz="12" w:space="0" w:color="auto"/>
            </w:tcBorders>
          </w:tcPr>
          <w:p w:rsidR="002245FB" w:rsidRPr="002F53E2" w:rsidRDefault="002245FB" w:rsidP="002245FB">
            <w:pPr>
              <w:spacing w:before="0"/>
              <w:rPr>
                <w:rFonts w:ascii="Calibri" w:hAnsi="Calibri"/>
                <w:sz w:val="16"/>
                <w:szCs w:val="16"/>
              </w:rPr>
            </w:pPr>
            <w:r w:rsidRPr="002F53E2">
              <w:rPr>
                <w:rFonts w:ascii="Calibri" w:hAnsi="Calibri"/>
                <w:sz w:val="16"/>
                <w:szCs w:val="16"/>
              </w:rPr>
              <w:t>Stratégia adaptácie SR na nepriaznivé dôsledky zmeny klímy</w:t>
            </w:r>
          </w:p>
          <w:p w:rsidR="004E2D6C" w:rsidRPr="004E2D6C" w:rsidRDefault="00ED6BC8" w:rsidP="00E96D8E">
            <w:pPr>
              <w:spacing w:before="0"/>
              <w:rPr>
                <w:rFonts w:ascii="Calibri" w:hAnsi="Calibri"/>
                <w:sz w:val="16"/>
                <w:szCs w:val="16"/>
              </w:rPr>
            </w:pPr>
            <w:hyperlink r:id="rId65" w:history="1">
              <w:r w:rsidR="00E96D8E" w:rsidRPr="001107CE">
                <w:rPr>
                  <w:rStyle w:val="Hypertextovprepojenie"/>
                  <w:rFonts w:ascii="Calibri" w:hAnsi="Calibri"/>
                  <w:sz w:val="16"/>
                  <w:szCs w:val="16"/>
                </w:rPr>
                <w:t>http://www.rokovania.sk/Rokovanie.aspx/BodRokovaniaDetail?idMaterial=23364</w:t>
              </w:r>
            </w:hyperlink>
          </w:p>
        </w:tc>
        <w:tc>
          <w:tcPr>
            <w:tcW w:w="4111" w:type="dxa"/>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Hlavným predpokladom plnenia ex ante kondicionality je vypracovanie Stratégie adaptácie SR na nepriaznivé dôsledky zmeny klím</w:t>
            </w:r>
            <w:r w:rsidR="002245FB">
              <w:rPr>
                <w:rFonts w:ascii="Calibri" w:hAnsi="Calibri"/>
                <w:sz w:val="16"/>
                <w:szCs w:val="16"/>
              </w:rPr>
              <w:t>y</w:t>
            </w:r>
            <w:r w:rsidRPr="004E2D6C">
              <w:rPr>
                <w:rFonts w:ascii="Calibri" w:hAnsi="Calibri"/>
                <w:sz w:val="16"/>
                <w:szCs w:val="16"/>
              </w:rPr>
              <w:t>.</w:t>
            </w:r>
          </w:p>
          <w:p w:rsidR="004E2D6C" w:rsidRPr="004E2D6C" w:rsidRDefault="004E2D6C" w:rsidP="004E2D6C">
            <w:pPr>
              <w:spacing w:before="0"/>
              <w:rPr>
                <w:rFonts w:ascii="Calibri" w:hAnsi="Calibri"/>
                <w:sz w:val="16"/>
                <w:szCs w:val="16"/>
              </w:rPr>
            </w:pPr>
            <w:r w:rsidRPr="004E2D6C">
              <w:rPr>
                <w:rFonts w:ascii="Calibri" w:hAnsi="Calibri"/>
                <w:sz w:val="16"/>
                <w:szCs w:val="16"/>
              </w:rPr>
              <w:t>V júli 2013 boli pripravené podklady subkoordinátorov za jednotlivé oblasti/sektory, prebiehalo súbežné pripomienkovanie návrhov.</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Návrh Stratégie adaptácie SR na nepriaznivé dôsledky zmeny klímy bol zverejnený na web stránke SHMÚ ako aj na stránke MŽP SR od 28.</w:t>
            </w:r>
            <w:r w:rsidR="005A599D">
              <w:rPr>
                <w:rFonts w:ascii="Calibri" w:hAnsi="Calibri"/>
                <w:sz w:val="16"/>
                <w:szCs w:val="16"/>
              </w:rPr>
              <w:t xml:space="preserve"> </w:t>
            </w:r>
            <w:r w:rsidRPr="004E2D6C">
              <w:rPr>
                <w:rFonts w:ascii="Calibri" w:hAnsi="Calibri"/>
                <w:sz w:val="16"/>
                <w:szCs w:val="16"/>
              </w:rPr>
              <w:t>8.</w:t>
            </w:r>
            <w:r w:rsidR="005A599D">
              <w:rPr>
                <w:rFonts w:ascii="Calibri" w:hAnsi="Calibri"/>
                <w:sz w:val="16"/>
                <w:szCs w:val="16"/>
              </w:rPr>
              <w:t xml:space="preserve"> </w:t>
            </w:r>
            <w:r w:rsidRPr="004E2D6C">
              <w:rPr>
                <w:rFonts w:ascii="Calibri" w:hAnsi="Calibri"/>
                <w:sz w:val="16"/>
                <w:szCs w:val="16"/>
              </w:rPr>
              <w:t xml:space="preserve">2013, </w:t>
            </w:r>
            <w:r w:rsidRPr="004E2D6C">
              <w:rPr>
                <w:rFonts w:ascii="Calibri" w:hAnsi="Calibri"/>
                <w:i/>
                <w:sz w:val="16"/>
                <w:szCs w:val="16"/>
              </w:rPr>
              <w:t>s možnosťou predkladať pripomienky do 13.</w:t>
            </w:r>
            <w:r w:rsidR="005A599D">
              <w:rPr>
                <w:rFonts w:ascii="Calibri" w:hAnsi="Calibri"/>
                <w:i/>
                <w:sz w:val="16"/>
                <w:szCs w:val="16"/>
              </w:rPr>
              <w:t xml:space="preserve"> </w:t>
            </w:r>
            <w:r w:rsidRPr="004E2D6C">
              <w:rPr>
                <w:rFonts w:ascii="Calibri" w:hAnsi="Calibri"/>
                <w:i/>
                <w:sz w:val="16"/>
                <w:szCs w:val="16"/>
              </w:rPr>
              <w:t>9.</w:t>
            </w:r>
            <w:r w:rsidR="005A599D">
              <w:rPr>
                <w:rFonts w:ascii="Calibri" w:hAnsi="Calibri"/>
                <w:i/>
                <w:sz w:val="16"/>
                <w:szCs w:val="16"/>
              </w:rPr>
              <w:t xml:space="preserve"> </w:t>
            </w:r>
            <w:r w:rsidRPr="004E2D6C">
              <w:rPr>
                <w:rFonts w:ascii="Calibri" w:hAnsi="Calibri"/>
                <w:i/>
                <w:sz w:val="16"/>
                <w:szCs w:val="16"/>
              </w:rPr>
              <w:t>2013</w:t>
            </w:r>
            <w:r w:rsidRPr="004E2D6C">
              <w:rPr>
                <w:rFonts w:ascii="Calibri" w:hAnsi="Calibri"/>
                <w:sz w:val="16"/>
                <w:szCs w:val="16"/>
              </w:rPr>
              <w:t>).</w:t>
            </w:r>
          </w:p>
          <w:p w:rsidR="004E2D6C" w:rsidRPr="004E2D6C" w:rsidRDefault="004E2D6C" w:rsidP="004E2D6C">
            <w:pPr>
              <w:spacing w:before="0"/>
              <w:rPr>
                <w:rFonts w:ascii="Calibri" w:hAnsi="Calibri"/>
                <w:sz w:val="16"/>
                <w:szCs w:val="16"/>
              </w:rPr>
            </w:pPr>
          </w:p>
          <w:p w:rsidR="00F97BE0" w:rsidRPr="00F97BE0" w:rsidRDefault="004E2D6C" w:rsidP="00F97BE0">
            <w:pPr>
              <w:spacing w:before="0"/>
              <w:rPr>
                <w:rFonts w:ascii="Calibri" w:hAnsi="Calibri"/>
                <w:sz w:val="16"/>
                <w:szCs w:val="16"/>
              </w:rPr>
            </w:pPr>
            <w:r w:rsidRPr="004E2D6C">
              <w:rPr>
                <w:rFonts w:ascii="Calibri" w:hAnsi="Calibri"/>
                <w:sz w:val="16"/>
                <w:szCs w:val="16"/>
              </w:rPr>
              <w:t>Návrh Stratégie bol upravený na základe pripomienok verejnosti.</w:t>
            </w:r>
            <w:r w:rsidR="00F97BE0" w:rsidRPr="00F97BE0">
              <w:rPr>
                <w:rFonts w:ascii="Calibri" w:hAnsi="Calibri"/>
                <w:sz w:val="16"/>
                <w:szCs w:val="16"/>
              </w:rPr>
              <w:t xml:space="preserve"> Súčasťou Stratégie adaptácie SR na nepriaznivé dôsledky zmeny klímy je aj súbor preventívnych adaptačných opatrení pre sledované oblasti/sektory.</w:t>
            </w:r>
          </w:p>
          <w:p w:rsidR="002245FB" w:rsidRPr="00C47B15" w:rsidRDefault="002245FB" w:rsidP="002245FB">
            <w:pPr>
              <w:spacing w:before="0"/>
              <w:rPr>
                <w:rFonts w:ascii="Calibri" w:hAnsi="Calibri"/>
                <w:sz w:val="16"/>
                <w:szCs w:val="16"/>
              </w:rPr>
            </w:pPr>
            <w:r w:rsidRPr="00C47B15">
              <w:rPr>
                <w:rFonts w:ascii="Calibri" w:hAnsi="Calibri"/>
                <w:sz w:val="16"/>
                <w:szCs w:val="16"/>
              </w:rPr>
              <w:t>Dokument bol predložený na medzirezortné pripomienkové konanie s dátumom ukončenia 26.</w:t>
            </w:r>
            <w:r w:rsidR="005A599D">
              <w:rPr>
                <w:rFonts w:ascii="Calibri" w:hAnsi="Calibri"/>
                <w:sz w:val="16"/>
                <w:szCs w:val="16"/>
              </w:rPr>
              <w:t xml:space="preserve"> </w:t>
            </w:r>
            <w:r w:rsidRPr="00C47B15">
              <w:rPr>
                <w:rFonts w:ascii="Calibri" w:hAnsi="Calibri"/>
                <w:sz w:val="16"/>
                <w:szCs w:val="16"/>
              </w:rPr>
              <w:t>2.</w:t>
            </w:r>
            <w:r w:rsidR="005A599D">
              <w:rPr>
                <w:rFonts w:ascii="Calibri" w:hAnsi="Calibri"/>
                <w:sz w:val="16"/>
                <w:szCs w:val="16"/>
              </w:rPr>
              <w:t xml:space="preserve"> </w:t>
            </w:r>
            <w:r w:rsidRPr="00C47B15">
              <w:rPr>
                <w:rFonts w:ascii="Calibri" w:hAnsi="Calibri"/>
                <w:sz w:val="16"/>
                <w:szCs w:val="16"/>
              </w:rPr>
              <w:t>2014. Doručené pripomienky boli vyhodnotené a, v prípade relevantnosti, zapracované. Dňa 26. marca 2014 bol materiál „Stratégia adaptácie SR na nepriaznivé dôsledky zmeny klímy“ prerokovaný a schválený vládou SR (uznesenie č. 148/2014).</w:t>
            </w:r>
          </w:p>
          <w:p w:rsidR="002245FB" w:rsidRDefault="00ED6BC8" w:rsidP="002245FB">
            <w:pPr>
              <w:spacing w:before="0"/>
              <w:rPr>
                <w:rFonts w:ascii="Calibri" w:hAnsi="Calibri"/>
                <w:sz w:val="16"/>
                <w:szCs w:val="16"/>
              </w:rPr>
            </w:pPr>
            <w:hyperlink r:id="rId66" w:history="1">
              <w:r w:rsidR="00E96D8E" w:rsidRPr="001107CE">
                <w:rPr>
                  <w:rStyle w:val="Hypertextovprepojenie"/>
                  <w:rFonts w:ascii="Calibri" w:hAnsi="Calibri"/>
                  <w:sz w:val="16"/>
                  <w:szCs w:val="16"/>
                </w:rPr>
                <w:t>http://www.rokovania.sk/Rokovanie.aspx/RokovanieDetail/737</w:t>
              </w:r>
            </w:hyperlink>
          </w:p>
          <w:p w:rsidR="004E2D6C" w:rsidRDefault="004E2D6C" w:rsidP="004E2D6C">
            <w:pPr>
              <w:spacing w:before="0"/>
              <w:rPr>
                <w:rFonts w:ascii="Calibri" w:hAnsi="Calibri"/>
                <w:sz w:val="16"/>
                <w:szCs w:val="16"/>
              </w:rPr>
            </w:pPr>
            <w:r w:rsidRPr="004E2D6C">
              <w:rPr>
                <w:rFonts w:ascii="Calibri" w:hAnsi="Calibri"/>
                <w:sz w:val="16"/>
                <w:szCs w:val="16"/>
              </w:rPr>
              <w:t>V nadväznosti na stratégiu budú do analýzy územia v spolupráci so sekciou geológie a prírodných zdrojov implementované aj výsledky geologického prieskumu životného prostredia (prieskum EZ).</w:t>
            </w:r>
          </w:p>
          <w:p w:rsidR="002245FB" w:rsidRPr="004E2D6C" w:rsidRDefault="002245FB" w:rsidP="004E2D6C">
            <w:pPr>
              <w:spacing w:before="0"/>
              <w:rPr>
                <w:rFonts w:ascii="Calibri" w:hAnsi="Calibri"/>
                <w:sz w:val="16"/>
                <w:szCs w:val="16"/>
              </w:rPr>
            </w:pPr>
            <w:r w:rsidRPr="00C47B15">
              <w:rPr>
                <w:rFonts w:ascii="Calibri" w:hAnsi="Calibri"/>
                <w:sz w:val="16"/>
                <w:szCs w:val="16"/>
              </w:rPr>
              <w:t>Problematika adaptácie na zmenu klímy v podmienkach SR bude na prezentovaná aj na seminári k programu LIFE (2014 – 2020), organizovanom EK v spolupráci s MŽP SR v priebehu roka 2014 (podľa termínu stanoveného EK).</w:t>
            </w:r>
          </w:p>
        </w:tc>
      </w:tr>
      <w:tr w:rsidR="004E2D6C" w:rsidRPr="004E2D6C" w:rsidTr="002377D3">
        <w:trPr>
          <w:trHeight w:val="924"/>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6.1. Vodné hospodárstvo: Existencia a) cenovej politiky v oblasti vôd, ktorá zabezpečuje primerané stimuly pre používateľov na efektívne využívanie vody a b) primeraný príspevok rozličných spôsobov využívania vody na úhradu nákladov za vodohospodárske služby vo výške schválenej v pláne riadenia povodia pre investície podporené z operačných programov.</w:t>
            </w:r>
          </w:p>
        </w:tc>
        <w:tc>
          <w:tcPr>
            <w:tcW w:w="1559" w:type="dxa"/>
            <w:vMerge w:val="restart"/>
            <w:tcBorders>
              <w:top w:val="single" w:sz="12" w:space="0" w:color="auto"/>
            </w:tcBorders>
            <w:vAlign w:val="center"/>
          </w:tcPr>
          <w:p w:rsidR="004E2D6C" w:rsidRPr="004E2D6C" w:rsidRDefault="005F3118" w:rsidP="00535799">
            <w:pPr>
              <w:spacing w:before="0"/>
              <w:jc w:val="center"/>
              <w:rPr>
                <w:rFonts w:ascii="Calibri" w:hAnsi="Calibri"/>
                <w:b/>
                <w:sz w:val="16"/>
                <w:szCs w:val="16"/>
              </w:rPr>
            </w:pPr>
            <w:r>
              <w:rPr>
                <w:rFonts w:ascii="Calibri" w:hAnsi="Calibri"/>
                <w:b/>
                <w:sz w:val="16"/>
                <w:szCs w:val="16"/>
              </w:rPr>
              <w:t>Nie</w:t>
            </w:r>
          </w:p>
        </w:tc>
        <w:tc>
          <w:tcPr>
            <w:tcW w:w="2551"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V sektoroch podporovaných z EFRR a Kohézneho fondu členský štát zabezpečil príspevok rôznych spôsobov využívania vody k úhrade nákladov na vodohospodárske služby podľa sektorov v súlade s článkom 9 ods. 1 prvou zarážkou smernice 2000/60/ES podľa potreby so zreteľom na sociálne, environmentálne a hospodárske účinky tejto úhrady, ako aj na geografické a klimatické podmienky dotknutého regiónu alebo regiónov.</w:t>
            </w:r>
          </w:p>
        </w:tc>
        <w:tc>
          <w:tcPr>
            <w:tcW w:w="1134" w:type="dxa"/>
            <w:tcBorders>
              <w:top w:val="single" w:sz="12" w:space="0" w:color="auto"/>
            </w:tcBorders>
            <w:vAlign w:val="center"/>
          </w:tcPr>
          <w:p w:rsidR="004E2D6C" w:rsidRPr="004E2D6C" w:rsidRDefault="005F3118" w:rsidP="00535799">
            <w:pPr>
              <w:spacing w:before="0"/>
              <w:jc w:val="center"/>
              <w:rPr>
                <w:rFonts w:ascii="Calibri" w:hAnsi="Calibri"/>
                <w:sz w:val="16"/>
                <w:szCs w:val="16"/>
              </w:rPr>
            </w:pPr>
            <w:r>
              <w:rPr>
                <w:rFonts w:ascii="Calibri" w:hAnsi="Calibri"/>
                <w:b/>
                <w:sz w:val="16"/>
                <w:szCs w:val="16"/>
              </w:rPr>
              <w:t>Nie</w:t>
            </w:r>
          </w:p>
        </w:tc>
        <w:tc>
          <w:tcPr>
            <w:tcW w:w="3119" w:type="dxa"/>
            <w:tcBorders>
              <w:top w:val="single" w:sz="12" w:space="0" w:color="auto"/>
            </w:tcBorders>
          </w:tcPr>
          <w:p w:rsidR="004E2D6C" w:rsidRPr="002377D3" w:rsidRDefault="002245FB" w:rsidP="00BA185A">
            <w:pPr>
              <w:spacing w:before="0"/>
              <w:rPr>
                <w:rStyle w:val="Hypertextovprepojenie"/>
                <w:rFonts w:asciiTheme="majorHAnsi" w:hAnsiTheme="majorHAnsi"/>
              </w:rPr>
            </w:pPr>
            <w:r>
              <w:rPr>
                <w:rFonts w:ascii="Calibri" w:hAnsi="Calibri"/>
                <w:sz w:val="16"/>
                <w:szCs w:val="16"/>
              </w:rPr>
              <w:t>Vodný z</w:t>
            </w:r>
            <w:r w:rsidRPr="004E2D6C">
              <w:rPr>
                <w:rFonts w:ascii="Calibri" w:hAnsi="Calibri"/>
                <w:sz w:val="16"/>
                <w:szCs w:val="16"/>
              </w:rPr>
              <w:t xml:space="preserve">ákon: § 78a Zákona č. 364/2004 Z. z. o vodách </w:t>
            </w:r>
            <w:r w:rsidRPr="00D438DE">
              <w:rPr>
                <w:rFonts w:ascii="Calibri" w:hAnsi="Calibri"/>
                <w:sz w:val="16"/>
                <w:szCs w:val="16"/>
              </w:rPr>
              <w:t xml:space="preserve">a o zmene zákona Slovenskej národnej rady č. 372/1990 Zb. o priestupkoch v znení neskorších predpisov (vodný zákon) v znení neskorších predpisov </w:t>
            </w:r>
            <w:hyperlink r:id="rId67" w:history="1">
              <w:r w:rsidRPr="002377D3">
                <w:rPr>
                  <w:rStyle w:val="Hypertextovprepojenie"/>
                  <w:rFonts w:asciiTheme="majorHAnsi" w:hAnsiTheme="majorHAnsi"/>
                  <w:sz w:val="16"/>
                  <w:szCs w:val="16"/>
                </w:rPr>
                <w:t>http://jaspi.justice.gov.sk</w:t>
              </w:r>
            </w:hyperlink>
          </w:p>
          <w:p w:rsidR="00E96D8E" w:rsidRPr="004E2D6C" w:rsidRDefault="00E96D8E" w:rsidP="00BA185A">
            <w:pPr>
              <w:spacing w:before="0"/>
              <w:rPr>
                <w:rFonts w:ascii="Calibri" w:hAnsi="Calibri"/>
                <w:sz w:val="16"/>
                <w:szCs w:val="16"/>
              </w:rPr>
            </w:pPr>
          </w:p>
          <w:p w:rsidR="002245FB" w:rsidRDefault="004E2D6C" w:rsidP="00BA185A">
            <w:pPr>
              <w:spacing w:before="0"/>
              <w:rPr>
                <w:rFonts w:ascii="Calibri" w:hAnsi="Calibri"/>
                <w:sz w:val="16"/>
                <w:szCs w:val="16"/>
              </w:rPr>
            </w:pPr>
            <w:r w:rsidRPr="004E2D6C">
              <w:rPr>
                <w:rFonts w:ascii="Calibri" w:hAnsi="Calibri"/>
                <w:sz w:val="16"/>
                <w:szCs w:val="16"/>
              </w:rPr>
              <w:t>Nariadenie vlády SR č. 755/2004 Z.</w:t>
            </w:r>
            <w:r w:rsidR="00BC3A81">
              <w:rPr>
                <w:rFonts w:ascii="Calibri" w:hAnsi="Calibri"/>
                <w:sz w:val="16"/>
                <w:szCs w:val="16"/>
              </w:rPr>
              <w:t xml:space="preserve"> </w:t>
            </w:r>
            <w:r w:rsidRPr="004E2D6C">
              <w:rPr>
                <w:rFonts w:ascii="Calibri" w:hAnsi="Calibri"/>
                <w:sz w:val="16"/>
                <w:szCs w:val="16"/>
              </w:rPr>
              <w:t xml:space="preserve">z., ktorým sa ustanovuje výška neregulovaných platieb, výška poplatkov a podrobnosti súvisiace so spoplatňovaním užívania vôd </w:t>
            </w:r>
            <w:r w:rsidR="002245FB" w:rsidRPr="005613ED">
              <w:rPr>
                <w:rFonts w:ascii="Calibri" w:hAnsi="Calibri"/>
                <w:sz w:val="16"/>
                <w:szCs w:val="16"/>
              </w:rPr>
              <w:t>v znení nariadenia vlády Slovenskej republiky č. 367/2008 Z. z., ktorým sa mení a dopĺňa nariadenie vlády Slovenskej republiky č. 755/2004 Z. z., ktorým sa ustanovuje výška neregulovaných platieb, výška poplatkov a podrobnosti súvis</w:t>
            </w:r>
            <w:r w:rsidR="002245FB">
              <w:rPr>
                <w:rFonts w:ascii="Calibri" w:hAnsi="Calibri"/>
                <w:sz w:val="16"/>
                <w:szCs w:val="16"/>
              </w:rPr>
              <w:t xml:space="preserve">iace so spoplatňovaním užívania </w:t>
            </w:r>
            <w:r w:rsidR="002245FB" w:rsidRPr="005613ED">
              <w:rPr>
                <w:rFonts w:ascii="Calibri" w:hAnsi="Calibri"/>
                <w:sz w:val="16"/>
                <w:szCs w:val="16"/>
              </w:rPr>
              <w:t>vôd</w:t>
            </w:r>
            <w:r w:rsidR="002245FB">
              <w:rPr>
                <w:rFonts w:ascii="Calibri" w:hAnsi="Calibri"/>
                <w:sz w:val="16"/>
                <w:szCs w:val="16"/>
              </w:rPr>
              <w:t xml:space="preserve"> </w:t>
            </w:r>
          </w:p>
          <w:p w:rsidR="004E2D6C" w:rsidRPr="00BA185A" w:rsidRDefault="00ED6BC8" w:rsidP="00BA185A">
            <w:pPr>
              <w:spacing w:before="0"/>
              <w:rPr>
                <w:rFonts w:ascii="Calibri" w:hAnsi="Calibri"/>
                <w:sz w:val="16"/>
                <w:szCs w:val="16"/>
              </w:rPr>
            </w:pPr>
            <w:hyperlink r:id="rId68" w:history="1">
              <w:r w:rsidR="004E2D6C" w:rsidRPr="00BA185A">
                <w:rPr>
                  <w:rFonts w:ascii="Calibri" w:hAnsi="Calibri"/>
                  <w:sz w:val="16"/>
                  <w:szCs w:val="16"/>
                </w:rPr>
                <w:t>www.zbierka.sk/sk/predpisy/755-2004-z-z.p-8366.pdf</w:t>
              </w:r>
            </w:hyperlink>
          </w:p>
          <w:p w:rsidR="004E2D6C" w:rsidRPr="00BA185A" w:rsidRDefault="004E2D6C" w:rsidP="00BA185A">
            <w:pPr>
              <w:spacing w:before="0"/>
              <w:rPr>
                <w:rFonts w:ascii="Calibri" w:hAnsi="Calibri"/>
                <w:sz w:val="16"/>
                <w:szCs w:val="16"/>
              </w:rPr>
            </w:pPr>
          </w:p>
          <w:p w:rsidR="004E2D6C" w:rsidRPr="00BA185A" w:rsidRDefault="004E2D6C" w:rsidP="00BA185A">
            <w:pPr>
              <w:spacing w:before="0"/>
              <w:rPr>
                <w:rFonts w:ascii="Calibri" w:hAnsi="Calibri"/>
                <w:sz w:val="16"/>
                <w:szCs w:val="16"/>
              </w:rPr>
            </w:pPr>
            <w:r w:rsidRPr="004E2D6C">
              <w:rPr>
                <w:rFonts w:ascii="Calibri" w:hAnsi="Calibri"/>
                <w:sz w:val="16"/>
                <w:szCs w:val="16"/>
              </w:rPr>
              <w:t>Cenová politika v oblasti vodného  hospodárstva schválená uznesením vlády SR č. 17 z 12.</w:t>
            </w:r>
            <w:r w:rsidR="00C611EB">
              <w:rPr>
                <w:rFonts w:ascii="Calibri" w:hAnsi="Calibri"/>
                <w:sz w:val="16"/>
                <w:szCs w:val="16"/>
              </w:rPr>
              <w:t xml:space="preserve"> </w:t>
            </w:r>
            <w:r w:rsidRPr="004E2D6C">
              <w:rPr>
                <w:rFonts w:ascii="Calibri" w:hAnsi="Calibri"/>
                <w:sz w:val="16"/>
                <w:szCs w:val="16"/>
              </w:rPr>
              <w:t>1.</w:t>
            </w:r>
            <w:r w:rsidR="00C611EB">
              <w:rPr>
                <w:rFonts w:ascii="Calibri" w:hAnsi="Calibri"/>
                <w:sz w:val="16"/>
                <w:szCs w:val="16"/>
              </w:rPr>
              <w:t xml:space="preserve"> </w:t>
            </w:r>
            <w:r w:rsidRPr="004E2D6C">
              <w:rPr>
                <w:rFonts w:ascii="Calibri" w:hAnsi="Calibri"/>
                <w:sz w:val="16"/>
                <w:szCs w:val="16"/>
              </w:rPr>
              <w:t xml:space="preserve">2011 </w:t>
            </w:r>
            <w:hyperlink r:id="rId69" w:anchor="38;attEID=29620&amp;" w:history="1">
              <w:r w:rsidRPr="00BA185A">
                <w:rPr>
                  <w:rFonts w:ascii="Calibri" w:hAnsi="Calibri"/>
                  <w:sz w:val="16"/>
                  <w:szCs w:val="16"/>
                </w:rPr>
                <w:t>https://lt.justice.gov.sk/Attachment/vlastn%C3%BD%20materi%C3%A1l_doc.pdf?instEID=-1&amp;attEID=29620&amp;docEID=144483&amp;matEID=3384&amp;langEID=1&amp;tStamp=20101129113946687</w:t>
              </w:r>
            </w:hyperlink>
            <w:r w:rsidRPr="00BA185A">
              <w:rPr>
                <w:rFonts w:ascii="Calibri" w:hAnsi="Calibri"/>
                <w:sz w:val="16"/>
                <w:szCs w:val="16"/>
              </w:rPr>
              <w:t xml:space="preserve"> </w:t>
            </w:r>
          </w:p>
          <w:p w:rsidR="004E2D6C" w:rsidRPr="004E2D6C" w:rsidRDefault="004E2D6C" w:rsidP="00BA185A">
            <w:pPr>
              <w:spacing w:before="0"/>
              <w:rPr>
                <w:rFonts w:ascii="Calibri" w:hAnsi="Calibri"/>
                <w:sz w:val="16"/>
                <w:szCs w:val="16"/>
              </w:rPr>
            </w:pPr>
          </w:p>
          <w:p w:rsidR="00F97BE0" w:rsidRPr="00D32803" w:rsidRDefault="004E2D6C" w:rsidP="00BA185A">
            <w:pPr>
              <w:spacing w:before="0"/>
              <w:rPr>
                <w:rFonts w:ascii="Calibri" w:hAnsi="Calibri"/>
                <w:sz w:val="16"/>
                <w:szCs w:val="16"/>
              </w:rPr>
            </w:pPr>
            <w:r w:rsidRPr="004E2D6C">
              <w:rPr>
                <w:rFonts w:ascii="Calibri" w:hAnsi="Calibri"/>
                <w:sz w:val="16"/>
                <w:szCs w:val="16"/>
              </w:rPr>
              <w:t xml:space="preserve">Regulačná politika na regulačné obdobie 2012 - 2016 </w:t>
            </w:r>
            <w:hyperlink r:id="rId70" w:history="1">
              <w:r w:rsidR="00F97BE0" w:rsidRPr="00BA185A">
                <w:rPr>
                  <w:rFonts w:ascii="Calibri" w:hAnsi="Calibri"/>
                  <w:sz w:val="16"/>
                  <w:szCs w:val="16"/>
                </w:rPr>
                <w:t>http://www.urso.gov.sk/?q=content/%C3%BArad-regula%C4%8Dn%C3%A1-rada-regula%C4%8Dn%C3%A1-politika</w:t>
              </w:r>
            </w:hyperlink>
            <w:r w:rsidR="00F97BE0" w:rsidRPr="003F0750">
              <w:rPr>
                <w:rFonts w:ascii="Calibri" w:hAnsi="Calibri"/>
                <w:sz w:val="16"/>
                <w:szCs w:val="16"/>
              </w:rPr>
              <w:t xml:space="preserve">  </w:t>
            </w:r>
          </w:p>
          <w:p w:rsidR="004E2D6C" w:rsidRPr="004E2D6C" w:rsidRDefault="004E2D6C" w:rsidP="00BA185A">
            <w:pPr>
              <w:spacing w:before="0"/>
              <w:rPr>
                <w:rFonts w:ascii="Calibri" w:hAnsi="Calibri"/>
                <w:sz w:val="16"/>
                <w:szCs w:val="16"/>
              </w:rPr>
            </w:pPr>
          </w:p>
          <w:p w:rsidR="004E2D6C" w:rsidRPr="00BA185A" w:rsidRDefault="004E2D6C" w:rsidP="00BA185A">
            <w:pPr>
              <w:spacing w:before="0"/>
              <w:rPr>
                <w:rFonts w:ascii="Calibri" w:hAnsi="Calibri"/>
                <w:sz w:val="16"/>
                <w:szCs w:val="16"/>
              </w:rPr>
            </w:pPr>
            <w:r w:rsidRPr="004E2D6C">
              <w:rPr>
                <w:rFonts w:ascii="Calibri" w:hAnsi="Calibri"/>
                <w:sz w:val="16"/>
                <w:szCs w:val="16"/>
              </w:rPr>
              <w:lastRenderedPageBreak/>
              <w:t xml:space="preserve">Vodný plán Slovenska, kap. 7, </w:t>
            </w:r>
            <w:hyperlink r:id="rId71" w:anchor="38;view=article&amp;" w:history="1">
              <w:r w:rsidRPr="00BA185A">
                <w:rPr>
                  <w:rFonts w:ascii="Calibri" w:hAnsi="Calibri"/>
                  <w:sz w:val="16"/>
                  <w:szCs w:val="16"/>
                </w:rPr>
                <w:t>http://www.vuvh.sk/rsv2/index.php?option=com_content&amp;view=article&amp;id=67&amp;Itemid=87&amp;lang=sk</w:t>
              </w:r>
            </w:hyperlink>
            <w:r w:rsidRPr="00BA185A">
              <w:rPr>
                <w:rFonts w:ascii="Calibri" w:hAnsi="Calibri"/>
                <w:sz w:val="16"/>
                <w:szCs w:val="16"/>
              </w:rPr>
              <w:t xml:space="preserve"> </w:t>
            </w:r>
          </w:p>
          <w:p w:rsidR="004E2D6C" w:rsidRPr="004E2D6C" w:rsidRDefault="004E2D6C" w:rsidP="00BA185A">
            <w:pPr>
              <w:spacing w:before="0"/>
              <w:rPr>
                <w:rFonts w:ascii="Calibri" w:hAnsi="Calibri"/>
                <w:sz w:val="16"/>
                <w:szCs w:val="16"/>
              </w:rPr>
            </w:pPr>
          </w:p>
          <w:p w:rsidR="004E2D6C" w:rsidRPr="004E2D6C" w:rsidRDefault="004E2D6C" w:rsidP="00BA185A">
            <w:pPr>
              <w:spacing w:before="0"/>
              <w:rPr>
                <w:rFonts w:ascii="Calibri" w:hAnsi="Calibri"/>
                <w:sz w:val="16"/>
                <w:szCs w:val="16"/>
              </w:rPr>
            </w:pPr>
            <w:r w:rsidRPr="004E2D6C">
              <w:rPr>
                <w:rFonts w:ascii="Calibri" w:hAnsi="Calibri"/>
                <w:sz w:val="16"/>
                <w:szCs w:val="16"/>
              </w:rPr>
              <w:t xml:space="preserve">Analýza pokroku dosiahnutého pri zavádzaní Programu opatrení obsiahnutom vo Vodnom pláne Slovenska, kap.5 „Cenová politika za vodohospodárske služby“ </w:t>
            </w:r>
          </w:p>
          <w:p w:rsidR="004E2D6C" w:rsidRPr="004E2D6C" w:rsidRDefault="00ED6BC8" w:rsidP="00BA185A">
            <w:pPr>
              <w:spacing w:before="0"/>
              <w:rPr>
                <w:rFonts w:ascii="Calibri" w:hAnsi="Calibri"/>
                <w:sz w:val="16"/>
                <w:szCs w:val="16"/>
              </w:rPr>
            </w:pPr>
            <w:hyperlink r:id="rId72" w:anchor="38;view=article&amp;" w:history="1">
              <w:r w:rsidR="004E2D6C" w:rsidRPr="00BA185A">
                <w:rPr>
                  <w:rFonts w:ascii="Calibri" w:hAnsi="Calibri"/>
                  <w:sz w:val="16"/>
                  <w:szCs w:val="16"/>
                </w:rPr>
                <w:t>http://www.vuvh.sk/rsv2/index.php?option=com_content&amp;view=article&amp;id=51&amp;Itemid=58&amp;lang=sk</w:t>
              </w:r>
            </w:hyperlink>
            <w:r w:rsidR="004E2D6C" w:rsidRPr="00BA185A">
              <w:rPr>
                <w:rFonts w:ascii="Calibri" w:hAnsi="Calibri"/>
                <w:sz w:val="16"/>
                <w:szCs w:val="16"/>
              </w:rPr>
              <w:t xml:space="preserve"> </w:t>
            </w:r>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V nadväznosti na obsah Usmernenia EK k plneniu ex ante kondicionalít bol identifikovaný čiastkovo nesplnený prvok plnenia kritéria v rámci "princípu refundácie nákladov za vodné služby".</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Princíp refundácie nákladov za všetky vodohospodárske služby je splnený s výnimkou primeraného príspevku za službu spojenú s odberom vody na závlahy, ktorý je v štádiu legislatívneho návrhu novely </w:t>
            </w:r>
            <w:r w:rsidR="002245FB">
              <w:rPr>
                <w:rFonts w:ascii="Calibri" w:hAnsi="Calibri"/>
                <w:sz w:val="16"/>
                <w:szCs w:val="16"/>
              </w:rPr>
              <w:t xml:space="preserve">vodného </w:t>
            </w:r>
            <w:r w:rsidRPr="004E2D6C">
              <w:rPr>
                <w:rFonts w:ascii="Calibri" w:hAnsi="Calibri"/>
                <w:sz w:val="16"/>
                <w:szCs w:val="16"/>
              </w:rPr>
              <w:t>zákona následne novela nariadenia vlády SR č. 755/2005 Z. z., ktorým sa ustanovuje výška neregulovaných platieb, výška poplatkov a podrobnosti súvisiace so spoplatňovaním užívania vôd.</w:t>
            </w:r>
          </w:p>
          <w:p w:rsidR="004E2D6C" w:rsidRPr="004E2D6C" w:rsidRDefault="004E2D6C" w:rsidP="004E2D6C">
            <w:pPr>
              <w:spacing w:before="0"/>
              <w:rPr>
                <w:rFonts w:ascii="Calibri" w:hAnsi="Calibri"/>
                <w:sz w:val="16"/>
                <w:szCs w:val="16"/>
              </w:rPr>
            </w:pPr>
            <w:r w:rsidRPr="004E2D6C">
              <w:rPr>
                <w:rFonts w:ascii="Calibri" w:hAnsi="Calibri"/>
                <w:sz w:val="16"/>
                <w:szCs w:val="16"/>
              </w:rPr>
              <w:t>Predmetný návrh novely vodného zákona musí prejsť celým legislatívnym procesom (opätovné prerokovanie vo vláde SR a následne vo výboroch NR SR a samotnej NR SR).</w:t>
            </w:r>
          </w:p>
          <w:p w:rsidR="004E2D6C" w:rsidRPr="004E2D6C" w:rsidRDefault="004E2D6C" w:rsidP="004E2D6C">
            <w:pPr>
              <w:spacing w:before="0"/>
              <w:rPr>
                <w:rFonts w:ascii="Calibri" w:hAnsi="Calibri"/>
                <w:sz w:val="16"/>
                <w:szCs w:val="16"/>
              </w:rPr>
            </w:pPr>
          </w:p>
          <w:p w:rsidR="004E2D6C" w:rsidRDefault="004E2D6C" w:rsidP="004E2D6C">
            <w:pPr>
              <w:spacing w:before="0"/>
              <w:rPr>
                <w:rFonts w:ascii="Calibri" w:hAnsi="Calibri"/>
                <w:sz w:val="16"/>
                <w:szCs w:val="16"/>
              </w:rPr>
            </w:pPr>
            <w:r w:rsidRPr="004E2D6C">
              <w:rPr>
                <w:rFonts w:ascii="Calibri" w:hAnsi="Calibri"/>
                <w:sz w:val="16"/>
                <w:szCs w:val="16"/>
              </w:rPr>
              <w:t xml:space="preserve">Novela vodného zákona má pozitívny vplyv na </w:t>
            </w:r>
            <w:r w:rsidRPr="004E2D6C">
              <w:rPr>
                <w:rFonts w:ascii="Calibri" w:hAnsi="Calibri"/>
                <w:sz w:val="16"/>
                <w:szCs w:val="16"/>
                <w:u w:val="single"/>
              </w:rPr>
              <w:t>všestrannú ochranu vôd, s dôrazom na podzemné vody</w:t>
            </w:r>
            <w:r w:rsidRPr="004E2D6C">
              <w:rPr>
                <w:rFonts w:ascii="Calibri" w:hAnsi="Calibri"/>
                <w:sz w:val="16"/>
                <w:szCs w:val="16"/>
              </w:rPr>
              <w:t xml:space="preserve"> v chránených vodohospodárskych oblastiach,</w:t>
            </w:r>
            <w:r w:rsidRPr="004E2D6C">
              <w:rPr>
                <w:rFonts w:ascii="Calibri" w:hAnsi="Calibri"/>
                <w:szCs w:val="22"/>
              </w:rPr>
              <w:t xml:space="preserve"> </w:t>
            </w:r>
            <w:r w:rsidRPr="004E2D6C">
              <w:rPr>
                <w:rFonts w:ascii="Calibri" w:hAnsi="Calibri"/>
                <w:sz w:val="16"/>
                <w:szCs w:val="16"/>
              </w:rPr>
              <w:t>má zabezpečiť zvýšenú ochranu vodných zdrojov situovaných na území SR a stanovenie postupov pri využívaní vody s ohľadom na jej strategický význam pre štát a verejný záujem.</w:t>
            </w:r>
          </w:p>
          <w:p w:rsidR="002245FB" w:rsidRPr="00E362B8" w:rsidRDefault="002245FB" w:rsidP="002245FB">
            <w:pPr>
              <w:spacing w:before="0"/>
              <w:rPr>
                <w:rFonts w:ascii="Calibri" w:hAnsi="Calibri"/>
                <w:sz w:val="16"/>
                <w:szCs w:val="16"/>
              </w:rPr>
            </w:pPr>
            <w:r w:rsidRPr="00E362B8">
              <w:rPr>
                <w:rFonts w:ascii="Calibri" w:hAnsi="Calibri"/>
                <w:sz w:val="16"/>
                <w:szCs w:val="16"/>
              </w:rPr>
              <w:t>V SR za cenovú reguláciu zodpovedá Úrad pre reguláciu sieťových odvetví (URSO).</w:t>
            </w:r>
          </w:p>
          <w:p w:rsidR="002245FB" w:rsidRPr="00E362B8" w:rsidRDefault="002245FB" w:rsidP="002245FB">
            <w:pPr>
              <w:spacing w:before="0"/>
              <w:rPr>
                <w:rFonts w:ascii="Calibri" w:hAnsi="Calibri"/>
                <w:sz w:val="16"/>
                <w:szCs w:val="16"/>
              </w:rPr>
            </w:pPr>
            <w:r w:rsidRPr="00E362B8">
              <w:rPr>
                <w:rFonts w:ascii="Calibri" w:hAnsi="Calibri"/>
                <w:sz w:val="16"/>
                <w:szCs w:val="16"/>
              </w:rPr>
              <w:t>Súčasná cenová regulácia v oblasti vodárenstva sa vykonáva v súlade s platnou legislatívou (zákon č. 250/2012 Z.</w:t>
            </w:r>
            <w:r w:rsidR="00FA04A3">
              <w:rPr>
                <w:rFonts w:ascii="Calibri" w:hAnsi="Calibri"/>
                <w:sz w:val="16"/>
                <w:szCs w:val="16"/>
              </w:rPr>
              <w:t xml:space="preserve"> </w:t>
            </w:r>
            <w:r w:rsidRPr="00E362B8">
              <w:rPr>
                <w:rFonts w:ascii="Calibri" w:hAnsi="Calibri"/>
                <w:sz w:val="16"/>
                <w:szCs w:val="16"/>
              </w:rPr>
              <w:t>z. o regulácii v sieťových odvetviach a vyhláška č. 195/2013 Z.</w:t>
            </w:r>
            <w:r w:rsidR="00FA04A3">
              <w:rPr>
                <w:rFonts w:ascii="Calibri" w:hAnsi="Calibri"/>
                <w:sz w:val="16"/>
                <w:szCs w:val="16"/>
              </w:rPr>
              <w:t xml:space="preserve"> </w:t>
            </w:r>
            <w:r w:rsidRPr="00E362B8">
              <w:rPr>
                <w:rFonts w:ascii="Calibri" w:hAnsi="Calibri"/>
                <w:sz w:val="16"/>
                <w:szCs w:val="16"/>
              </w:rPr>
              <w:t xml:space="preserve">z.) Pri stanovení cien sa zohľadňujú oprávnené náklady </w:t>
            </w:r>
            <w:r w:rsidR="005A599D">
              <w:rPr>
                <w:rFonts w:ascii="Calibri" w:hAnsi="Calibri"/>
                <w:sz w:val="16"/>
                <w:szCs w:val="16"/>
              </w:rPr>
              <w:br/>
            </w:r>
            <w:r w:rsidRPr="00E362B8">
              <w:rPr>
                <w:rFonts w:ascii="Calibri" w:hAnsi="Calibri"/>
                <w:sz w:val="16"/>
                <w:szCs w:val="16"/>
              </w:rPr>
              <w:t xml:space="preserve">a primeraný zisk, nové investície a ich využívanie na výrobu a dodávku pitnej vody verejným vodovodom a na odvádzanie a čistenie odpadovej vody verejnou kanalizáciou, vrátane sociálnej únosnosti, ktorá je jednou z priorít samotnej regulácie. </w:t>
            </w:r>
          </w:p>
          <w:p w:rsidR="002245FB" w:rsidRPr="00E362B8" w:rsidRDefault="002245FB" w:rsidP="002245FB">
            <w:pPr>
              <w:spacing w:before="0"/>
              <w:rPr>
                <w:rFonts w:ascii="Calibri" w:hAnsi="Calibri"/>
                <w:sz w:val="16"/>
                <w:szCs w:val="16"/>
              </w:rPr>
            </w:pPr>
            <w:r w:rsidRPr="00E362B8">
              <w:rPr>
                <w:rFonts w:ascii="Calibri" w:hAnsi="Calibri"/>
                <w:sz w:val="16"/>
                <w:szCs w:val="16"/>
              </w:rPr>
              <w:t xml:space="preserve">Jedným z cieľov schválenej Regulačnej politiky v oblasti vodárenstva na roky 2012-2016 je vytvoriť legislatívne prostredie pre uplatnenie dvojzložkovej ceny (fixnej </w:t>
            </w:r>
            <w:r w:rsidR="005A599D">
              <w:rPr>
                <w:rFonts w:ascii="Calibri" w:hAnsi="Calibri"/>
                <w:sz w:val="16"/>
                <w:szCs w:val="16"/>
              </w:rPr>
              <w:br/>
            </w:r>
            <w:r w:rsidRPr="00E362B8">
              <w:rPr>
                <w:rFonts w:ascii="Calibri" w:hAnsi="Calibri"/>
                <w:sz w:val="16"/>
                <w:szCs w:val="16"/>
              </w:rPr>
              <w:t xml:space="preserve">a variabilnej zložky), a to na základe dôslednej a objektívnej </w:t>
            </w:r>
            <w:r w:rsidRPr="00E362B8">
              <w:rPr>
                <w:rFonts w:ascii="Calibri" w:hAnsi="Calibri"/>
                <w:sz w:val="16"/>
                <w:szCs w:val="16"/>
              </w:rPr>
              <w:lastRenderedPageBreak/>
              <w:t>analýzy opodstatnenosti jej uplatnenia pri zohľadnení sociálno-ekonomických dopadov, ktorým úrad v súčasnom období venuje pozornosť.</w:t>
            </w:r>
          </w:p>
          <w:p w:rsidR="002245FB" w:rsidRPr="00E362B8" w:rsidRDefault="002245FB" w:rsidP="002245FB">
            <w:pPr>
              <w:spacing w:before="0"/>
              <w:rPr>
                <w:rFonts w:ascii="Calibri" w:hAnsi="Calibri"/>
                <w:sz w:val="16"/>
                <w:szCs w:val="16"/>
              </w:rPr>
            </w:pPr>
            <w:r w:rsidRPr="00E362B8">
              <w:rPr>
                <w:rFonts w:ascii="Calibri" w:hAnsi="Calibri"/>
                <w:sz w:val="16"/>
                <w:szCs w:val="16"/>
              </w:rPr>
              <w:t xml:space="preserve">V SR sú v cenách kalkulované všetky oprávnené náklady, ktoré súvisia s tou ktorou vodohospodárskou službou (vrátane nákladov súvisiacich s opravou, údržbou </w:t>
            </w:r>
            <w:r w:rsidR="005A599D">
              <w:rPr>
                <w:rFonts w:ascii="Calibri" w:hAnsi="Calibri"/>
                <w:sz w:val="16"/>
                <w:szCs w:val="16"/>
              </w:rPr>
              <w:br/>
            </w:r>
            <w:r w:rsidRPr="00E362B8">
              <w:rPr>
                <w:rFonts w:ascii="Calibri" w:hAnsi="Calibri"/>
                <w:sz w:val="16"/>
                <w:szCs w:val="16"/>
              </w:rPr>
              <w:t>a obnovou majetku). V cenách vodného a stočného za dodávku pitnej vody verejným vodovodom a za odvedenie a čistenie odpadových vôd verejnou kanalizáciou boli odstránené všetky krížové dotácie cca do roku 2007 (t. j. boli odstránené medzi pitnou a odpadovou vodou, resp. aj medzi obyvateľstvom a priemyslom).</w:t>
            </w:r>
          </w:p>
          <w:p w:rsidR="002245FB" w:rsidRPr="004E2D6C" w:rsidRDefault="002245FB" w:rsidP="002245FB">
            <w:pPr>
              <w:spacing w:before="0"/>
              <w:rPr>
                <w:rFonts w:ascii="Calibri" w:hAnsi="Calibri"/>
                <w:sz w:val="16"/>
                <w:szCs w:val="16"/>
              </w:rPr>
            </w:pPr>
            <w:r w:rsidRPr="00E362B8">
              <w:rPr>
                <w:rFonts w:ascii="Calibri" w:hAnsi="Calibri"/>
                <w:sz w:val="16"/>
                <w:szCs w:val="16"/>
              </w:rPr>
              <w:t>Čo sa týka bodových a difúznych zdrojov; bodové zdroje znečistenia sú už v súčasnosti riešené cez poplatky za vypúšťanie vyčistených odpadových vôd. Analyzujú sa možnosti pokrytia nákladov na difúzne zdroje znečistenia zo sektora poľnohospodárstva, ktoré sa budú koordinovať s prístupmi ostatných členských krajín.</w:t>
            </w:r>
          </w:p>
        </w:tc>
      </w:tr>
      <w:tr w:rsidR="00036E07" w:rsidRPr="004E2D6C" w:rsidTr="002377D3">
        <w:trPr>
          <w:trHeight w:val="924"/>
        </w:trPr>
        <w:tc>
          <w:tcPr>
            <w:tcW w:w="1668" w:type="dxa"/>
            <w:vMerge/>
            <w:tcBorders>
              <w:left w:val="single" w:sz="12" w:space="0" w:color="auto"/>
              <w:bottom w:val="single" w:sz="12" w:space="0" w:color="auto"/>
            </w:tcBorders>
          </w:tcPr>
          <w:p w:rsidR="00036E07" w:rsidRPr="004E2D6C" w:rsidRDefault="00036E07" w:rsidP="004E2D6C">
            <w:pPr>
              <w:spacing w:before="0"/>
              <w:rPr>
                <w:rFonts w:ascii="Calibri" w:hAnsi="Calibri"/>
                <w:sz w:val="16"/>
                <w:szCs w:val="16"/>
              </w:rPr>
            </w:pPr>
          </w:p>
        </w:tc>
        <w:tc>
          <w:tcPr>
            <w:tcW w:w="1559" w:type="dxa"/>
            <w:vMerge/>
            <w:tcBorders>
              <w:bottom w:val="single" w:sz="12" w:space="0" w:color="auto"/>
            </w:tcBorders>
          </w:tcPr>
          <w:p w:rsidR="00036E07" w:rsidRPr="004E2D6C" w:rsidRDefault="00036E07" w:rsidP="004E2D6C">
            <w:pPr>
              <w:spacing w:before="0"/>
              <w:rPr>
                <w:rFonts w:ascii="Calibri" w:hAnsi="Calibri"/>
                <w:sz w:val="16"/>
                <w:szCs w:val="16"/>
              </w:rPr>
            </w:pPr>
          </w:p>
        </w:tc>
        <w:tc>
          <w:tcPr>
            <w:tcW w:w="2551" w:type="dxa"/>
            <w:tcBorders>
              <w:top w:val="single" w:sz="2" w:space="0" w:color="auto"/>
              <w:bottom w:val="single" w:sz="12" w:space="0" w:color="auto"/>
            </w:tcBorders>
          </w:tcPr>
          <w:p w:rsidR="00036E07" w:rsidRPr="004E2D6C" w:rsidRDefault="00036E07" w:rsidP="004E2D6C">
            <w:pPr>
              <w:spacing w:before="0"/>
              <w:rPr>
                <w:rFonts w:ascii="Calibri" w:hAnsi="Calibri"/>
                <w:sz w:val="16"/>
                <w:szCs w:val="16"/>
              </w:rPr>
            </w:pPr>
            <w:r w:rsidRPr="004E2D6C">
              <w:rPr>
                <w:rFonts w:ascii="Calibri" w:hAnsi="Calibri"/>
                <w:sz w:val="16"/>
                <w:szCs w:val="16"/>
              </w:rPr>
              <w:t>Prijatie plánu manažmentu povodia pre správne územie povodia v súlade s článkom 13 smernice 2000/60/ES.</w:t>
            </w:r>
          </w:p>
        </w:tc>
        <w:tc>
          <w:tcPr>
            <w:tcW w:w="1134" w:type="dxa"/>
            <w:tcBorders>
              <w:bottom w:val="single" w:sz="12" w:space="0" w:color="auto"/>
            </w:tcBorders>
            <w:vAlign w:val="center"/>
          </w:tcPr>
          <w:p w:rsidR="00036E07" w:rsidRPr="004E2D6C" w:rsidRDefault="00036E07" w:rsidP="00535799">
            <w:pPr>
              <w:spacing w:before="0"/>
              <w:jc w:val="center"/>
              <w:rPr>
                <w:rFonts w:ascii="Calibri" w:hAnsi="Calibri"/>
                <w:sz w:val="16"/>
                <w:szCs w:val="16"/>
              </w:rPr>
            </w:pPr>
            <w:r w:rsidRPr="004E2D6C">
              <w:rPr>
                <w:rFonts w:ascii="Calibri" w:hAnsi="Calibri"/>
                <w:b/>
                <w:sz w:val="16"/>
                <w:szCs w:val="16"/>
              </w:rPr>
              <w:t>Nie</w:t>
            </w:r>
          </w:p>
        </w:tc>
        <w:tc>
          <w:tcPr>
            <w:tcW w:w="3119" w:type="dxa"/>
            <w:tcBorders>
              <w:bottom w:val="single" w:sz="12" w:space="0" w:color="auto"/>
            </w:tcBorders>
          </w:tcPr>
          <w:p w:rsidR="00036E07" w:rsidRPr="004E2D6C" w:rsidRDefault="00036E07" w:rsidP="00BA185A">
            <w:pPr>
              <w:spacing w:before="0"/>
              <w:rPr>
                <w:rFonts w:ascii="Calibri" w:hAnsi="Calibri"/>
                <w:sz w:val="16"/>
                <w:szCs w:val="16"/>
              </w:rPr>
            </w:pPr>
            <w:r w:rsidRPr="004E2D6C">
              <w:rPr>
                <w:rFonts w:ascii="Calibri" w:hAnsi="Calibri"/>
                <w:sz w:val="16"/>
                <w:szCs w:val="16"/>
              </w:rPr>
              <w:t>Vodný plán Slovenska, kap. 5,6 a 7</w:t>
            </w:r>
          </w:p>
          <w:p w:rsidR="00036E07" w:rsidRPr="004E2D6C" w:rsidRDefault="00ED6BC8" w:rsidP="00BA185A">
            <w:pPr>
              <w:spacing w:before="0"/>
              <w:rPr>
                <w:rFonts w:ascii="Calibri" w:hAnsi="Calibri"/>
                <w:sz w:val="16"/>
                <w:szCs w:val="16"/>
              </w:rPr>
            </w:pPr>
            <w:hyperlink r:id="rId73" w:anchor="38;view=article&amp;" w:history="1">
              <w:r w:rsidR="00036E07" w:rsidRPr="004E2D6C">
                <w:rPr>
                  <w:rFonts w:ascii="Calibri" w:hAnsi="Calibri"/>
                  <w:color w:val="0000FF"/>
                  <w:sz w:val="16"/>
                  <w:szCs w:val="16"/>
                  <w:u w:val="single"/>
                </w:rPr>
                <w:t>http://www.vuvh.sk/rsv2/index.php?option=com_content&amp;view=article&amp;id=67&amp;Itemid=87&amp;lang=sk</w:t>
              </w:r>
            </w:hyperlink>
            <w:r w:rsidR="00036E07" w:rsidRPr="004E2D6C">
              <w:rPr>
                <w:rFonts w:ascii="Calibri" w:hAnsi="Calibri"/>
                <w:sz w:val="16"/>
                <w:szCs w:val="16"/>
                <w:u w:val="single"/>
              </w:rPr>
              <w:t xml:space="preserve"> </w:t>
            </w:r>
            <w:r w:rsidR="00036E07" w:rsidRPr="004E2D6C">
              <w:rPr>
                <w:rFonts w:ascii="Calibri" w:hAnsi="Calibri"/>
                <w:sz w:val="16"/>
                <w:szCs w:val="16"/>
              </w:rPr>
              <w:t xml:space="preserve">                  </w:t>
            </w:r>
          </w:p>
          <w:p w:rsidR="00036E07" w:rsidRPr="004E2D6C" w:rsidRDefault="00036E07" w:rsidP="00BA185A">
            <w:pPr>
              <w:spacing w:before="0"/>
              <w:rPr>
                <w:rFonts w:ascii="Calibri" w:hAnsi="Calibri"/>
                <w:sz w:val="16"/>
                <w:szCs w:val="16"/>
              </w:rPr>
            </w:pPr>
          </w:p>
          <w:p w:rsidR="00036E07" w:rsidRPr="004E2D6C" w:rsidRDefault="00036E07" w:rsidP="00BA185A">
            <w:pPr>
              <w:spacing w:before="0"/>
              <w:rPr>
                <w:rFonts w:ascii="Calibri" w:hAnsi="Calibri"/>
                <w:sz w:val="16"/>
                <w:szCs w:val="16"/>
              </w:rPr>
            </w:pPr>
            <w:r w:rsidRPr="004E2D6C">
              <w:rPr>
                <w:rFonts w:ascii="Calibri" w:hAnsi="Calibri"/>
                <w:sz w:val="16"/>
                <w:szCs w:val="16"/>
              </w:rPr>
              <w:t>Vodný plán Slovenska obsahuje 2 plány manažmentu povodí:</w:t>
            </w:r>
          </w:p>
          <w:p w:rsidR="00036E07" w:rsidRPr="004E2D6C" w:rsidRDefault="00036E07" w:rsidP="00BA185A">
            <w:pPr>
              <w:spacing w:before="0"/>
              <w:rPr>
                <w:rFonts w:ascii="Calibri" w:hAnsi="Calibri"/>
                <w:sz w:val="16"/>
                <w:szCs w:val="16"/>
              </w:rPr>
            </w:pPr>
          </w:p>
          <w:p w:rsidR="00036E07" w:rsidRPr="004E2D6C" w:rsidRDefault="00036E07" w:rsidP="00BA185A">
            <w:pPr>
              <w:spacing w:before="0"/>
              <w:rPr>
                <w:rFonts w:ascii="Calibri" w:hAnsi="Calibri"/>
                <w:sz w:val="16"/>
                <w:szCs w:val="16"/>
              </w:rPr>
            </w:pPr>
            <w:r w:rsidRPr="004E2D6C">
              <w:rPr>
                <w:rFonts w:ascii="Calibri" w:hAnsi="Calibri"/>
                <w:sz w:val="16"/>
                <w:szCs w:val="16"/>
              </w:rPr>
              <w:t>a) plán manažmentu národnej časti správneho územia povodia Dunaja (SÚPD) integrujúci plány manažmentu čiastkových povodí tohto správneho územia a</w:t>
            </w:r>
          </w:p>
          <w:p w:rsidR="00036E07" w:rsidRPr="004E2D6C" w:rsidRDefault="00036E07" w:rsidP="00BA185A">
            <w:pPr>
              <w:spacing w:before="0"/>
              <w:rPr>
                <w:rFonts w:ascii="Calibri" w:hAnsi="Calibri"/>
                <w:sz w:val="16"/>
                <w:szCs w:val="16"/>
              </w:rPr>
            </w:pPr>
          </w:p>
          <w:p w:rsidR="00036E07" w:rsidRPr="004E2D6C" w:rsidRDefault="00036E07" w:rsidP="00BA185A">
            <w:pPr>
              <w:spacing w:before="0"/>
              <w:rPr>
                <w:rFonts w:ascii="Calibri" w:hAnsi="Calibri"/>
                <w:sz w:val="16"/>
                <w:szCs w:val="16"/>
              </w:rPr>
            </w:pPr>
            <w:r w:rsidRPr="004E2D6C">
              <w:rPr>
                <w:rFonts w:ascii="Calibri" w:hAnsi="Calibri"/>
                <w:sz w:val="16"/>
                <w:szCs w:val="16"/>
              </w:rPr>
              <w:t>b) plán manažmentu správneho územia povodia Visly (SÚPV).</w:t>
            </w:r>
          </w:p>
          <w:p w:rsidR="00036E07" w:rsidRPr="004E2D6C" w:rsidRDefault="00036E07" w:rsidP="00BA185A">
            <w:pPr>
              <w:spacing w:before="0"/>
              <w:rPr>
                <w:rFonts w:ascii="Calibri" w:hAnsi="Calibri"/>
                <w:sz w:val="16"/>
                <w:szCs w:val="16"/>
              </w:rPr>
            </w:pPr>
          </w:p>
          <w:p w:rsidR="00036E07" w:rsidRPr="004E2D6C" w:rsidRDefault="00036E07" w:rsidP="00BA185A">
            <w:pPr>
              <w:spacing w:before="0"/>
              <w:rPr>
                <w:rFonts w:ascii="Calibri" w:hAnsi="Calibri"/>
                <w:sz w:val="16"/>
                <w:szCs w:val="16"/>
              </w:rPr>
            </w:pPr>
            <w:r w:rsidRPr="004E2D6C">
              <w:rPr>
                <w:rFonts w:ascii="Calibri" w:hAnsi="Calibri"/>
                <w:sz w:val="16"/>
                <w:szCs w:val="16"/>
              </w:rPr>
              <w:t xml:space="preserve">Nariadenie vlády  SR č. 279/2011 Z. z., </w:t>
            </w:r>
            <w:r w:rsidRPr="004E2D6C">
              <w:rPr>
                <w:rFonts w:ascii="Calibri" w:hAnsi="Calibri"/>
                <w:sz w:val="16"/>
                <w:szCs w:val="16"/>
              </w:rPr>
              <w:lastRenderedPageBreak/>
              <w:t>ktorým sa vyhlasuje záväzná časť Vodného plánu Slovenska obsahujúca program opatrení na dosiahnutie environmentálnych cieľov</w:t>
            </w:r>
          </w:p>
          <w:p w:rsidR="00036E07" w:rsidRPr="004E2D6C" w:rsidRDefault="00ED6BC8" w:rsidP="00BA185A">
            <w:pPr>
              <w:spacing w:before="0"/>
              <w:rPr>
                <w:rFonts w:ascii="Calibri" w:hAnsi="Calibri"/>
                <w:sz w:val="16"/>
                <w:szCs w:val="16"/>
                <w:u w:val="single"/>
              </w:rPr>
            </w:pPr>
            <w:hyperlink r:id="rId74" w:history="1">
              <w:r w:rsidR="00036E07" w:rsidRPr="004E2D6C">
                <w:rPr>
                  <w:rFonts w:ascii="Calibri" w:hAnsi="Calibri"/>
                  <w:color w:val="0000FF"/>
                  <w:sz w:val="16"/>
                  <w:szCs w:val="16"/>
                  <w:u w:val="single"/>
                </w:rPr>
                <w:t>www.zbierka.sk/sk/predpisy/279-2011-z-z.p-34239.pdf</w:t>
              </w:r>
            </w:hyperlink>
            <w:r w:rsidR="00036E07" w:rsidRPr="004E2D6C">
              <w:rPr>
                <w:rFonts w:ascii="Calibri" w:hAnsi="Calibri"/>
                <w:sz w:val="16"/>
                <w:szCs w:val="16"/>
                <w:u w:val="single"/>
              </w:rPr>
              <w:t xml:space="preserve"> </w:t>
            </w:r>
          </w:p>
          <w:p w:rsidR="00036E07" w:rsidRPr="004E2D6C" w:rsidRDefault="00036E07" w:rsidP="00BA185A">
            <w:pPr>
              <w:spacing w:before="0"/>
              <w:rPr>
                <w:rFonts w:ascii="Calibri" w:hAnsi="Calibri"/>
                <w:sz w:val="16"/>
                <w:szCs w:val="16"/>
              </w:rPr>
            </w:pPr>
          </w:p>
          <w:p w:rsidR="00036E07" w:rsidRPr="004E2D6C" w:rsidRDefault="00036E07" w:rsidP="00BA185A">
            <w:pPr>
              <w:spacing w:before="0"/>
              <w:rPr>
                <w:rFonts w:ascii="Calibri" w:hAnsi="Calibri"/>
                <w:sz w:val="16"/>
                <w:szCs w:val="16"/>
              </w:rPr>
            </w:pPr>
            <w:r w:rsidRPr="004E2D6C">
              <w:rPr>
                <w:rFonts w:ascii="Calibri" w:hAnsi="Calibri"/>
                <w:sz w:val="16"/>
                <w:szCs w:val="16"/>
              </w:rPr>
              <w:t xml:space="preserve">Analýza pokroku dosiahnutého pri zavádzaní Programu opatrení obsiahnutom vo Vodnom pláne Slovenska, kap.5 „Cenová politika za vodohospodárske služby“ </w:t>
            </w:r>
          </w:p>
          <w:p w:rsidR="00036E07" w:rsidRPr="004E2D6C" w:rsidRDefault="00ED6BC8" w:rsidP="00BA185A">
            <w:pPr>
              <w:spacing w:before="0"/>
              <w:rPr>
                <w:rFonts w:ascii="Calibri" w:hAnsi="Calibri"/>
                <w:sz w:val="16"/>
                <w:szCs w:val="16"/>
              </w:rPr>
            </w:pPr>
            <w:hyperlink r:id="rId75" w:anchor="38;view=article&amp;" w:history="1">
              <w:r w:rsidR="00036E07" w:rsidRPr="004E2D6C">
                <w:rPr>
                  <w:rFonts w:ascii="Calibri" w:hAnsi="Calibri"/>
                  <w:color w:val="0000FF"/>
                  <w:sz w:val="16"/>
                  <w:szCs w:val="16"/>
                  <w:u w:val="single"/>
                </w:rPr>
                <w:t>http://www.vuvh.sk/rsv2/index.php?option=com_content&amp;view=article&amp;id=51&amp;Itemid=58&amp;lang=sk</w:t>
              </w:r>
            </w:hyperlink>
          </w:p>
        </w:tc>
        <w:tc>
          <w:tcPr>
            <w:tcW w:w="4111" w:type="dxa"/>
            <w:tcBorders>
              <w:bottom w:val="single" w:sz="12" w:space="0" w:color="auto"/>
              <w:right w:val="single" w:sz="12" w:space="0" w:color="auto"/>
            </w:tcBorders>
          </w:tcPr>
          <w:p w:rsidR="00036E07" w:rsidRPr="004E2D6C" w:rsidRDefault="00036E07" w:rsidP="00036E07">
            <w:pPr>
              <w:spacing w:before="0"/>
              <w:rPr>
                <w:rFonts w:ascii="Calibri" w:hAnsi="Calibri"/>
                <w:sz w:val="16"/>
                <w:szCs w:val="16"/>
              </w:rPr>
            </w:pPr>
            <w:r w:rsidRPr="004E2D6C">
              <w:rPr>
                <w:rFonts w:ascii="Calibri" w:hAnsi="Calibri"/>
                <w:sz w:val="16"/>
                <w:szCs w:val="16"/>
              </w:rPr>
              <w:lastRenderedPageBreak/>
              <w:t>K prvému Vodnému plánu Slovenska, ktorý obsahuje Plán manažmentu národnej časti správneho územia povodia Dunaja a Plán manažmentu národnej časti správneho územia povodia Visly EK uplatnila pripomienky, z ktorých sa SR poučila a na základe nich pripravuje nový Vodný plán Slovenska a plány manažmentu povodí a upravila, doplnila a vykonáva monitoring vôd nasledovne:</w:t>
            </w:r>
          </w:p>
          <w:p w:rsidR="00036E07" w:rsidRPr="004E2D6C" w:rsidRDefault="00036E07" w:rsidP="00036E07">
            <w:pPr>
              <w:spacing w:before="0"/>
              <w:rPr>
                <w:rFonts w:ascii="Calibri" w:hAnsi="Calibri"/>
                <w:sz w:val="16"/>
                <w:szCs w:val="16"/>
              </w:rPr>
            </w:pPr>
            <w:r w:rsidRPr="004E2D6C">
              <w:rPr>
                <w:rFonts w:ascii="Calibri" w:hAnsi="Calibri"/>
                <w:sz w:val="16"/>
                <w:szCs w:val="16"/>
              </w:rPr>
              <w:t>V súvislosti s charakterizáciou správnych území povodí, pre všetky relevantné biologické prvky kvality (BPK) boli v priebehu obdobia 2009 – 2012 pre všetky typy prirodzených vodných útvarov stanovené referenčné podmienky (hodnoty).</w:t>
            </w:r>
          </w:p>
          <w:p w:rsidR="00036E07" w:rsidRPr="004E2D6C" w:rsidRDefault="00036E07" w:rsidP="00036E07">
            <w:pPr>
              <w:spacing w:before="0"/>
              <w:rPr>
                <w:rFonts w:ascii="Calibri" w:hAnsi="Calibri"/>
                <w:sz w:val="16"/>
                <w:szCs w:val="16"/>
              </w:rPr>
            </w:pPr>
            <w:r w:rsidRPr="004E2D6C">
              <w:rPr>
                <w:rFonts w:ascii="Calibri" w:hAnsi="Calibri"/>
                <w:sz w:val="16"/>
                <w:szCs w:val="16"/>
              </w:rPr>
              <w:t xml:space="preserve">Do Programu monitorovania vôd (2009 – 2012) boli zaradené pre prirodzené vodné útvary všetky relevantné BPK vrátane rýb. V uvedenom období sa sledovali všetky prioritné látky (41) vo vode v riekach aj v riekach so zmenenou kategóriou (v nádržiach, výrazne zmenené vodné útvary - HMWB, umelé vodné útvary - AWB). Pravidelné monitorovanie sedimentov sa pre sledovanie trendov zaviedlo od roku 2012. Pre tri vybrané látky (ortuť, hexachlórbenzén a hexachlórbutadién) sa monitorovanie </w:t>
            </w:r>
            <w:r w:rsidRPr="004E2D6C">
              <w:rPr>
                <w:rFonts w:ascii="Calibri" w:hAnsi="Calibri"/>
                <w:sz w:val="16"/>
                <w:szCs w:val="16"/>
              </w:rPr>
              <w:lastRenderedPageBreak/>
              <w:t>v biote (v rybách) začalo od roku 2011. V období rokov 2009 – 2012 sa do hodnotenia ekologického stavu zahrnuli aj hydromorfologické prvky kvality.</w:t>
            </w:r>
          </w:p>
          <w:p w:rsidR="00036E07" w:rsidRPr="004E2D6C" w:rsidRDefault="00036E07" w:rsidP="00036E07">
            <w:pPr>
              <w:spacing w:before="0"/>
              <w:rPr>
                <w:rFonts w:ascii="Calibri" w:hAnsi="Calibri"/>
                <w:sz w:val="16"/>
                <w:szCs w:val="16"/>
              </w:rPr>
            </w:pPr>
            <w:r w:rsidRPr="004E2D6C">
              <w:rPr>
                <w:rFonts w:ascii="Calibri" w:hAnsi="Calibri"/>
                <w:sz w:val="16"/>
                <w:szCs w:val="16"/>
              </w:rPr>
              <w:t>Do programu monitorovania vôd (2010, 2011, 2012) bolo zaradené sledovanie vybraných biologických prvkov kvality za účelom odvodenia (overenia a aktualizácie) klasifikačných schém pre hodnotenie ekologického potenciálu v útvaroch povrchových vôd vymedzených ako HMWB a AWB. V súvislosti s aktualizáciou klasifikačných schém pre hodnotenie ekologického potenciálu boli testované metódy odberu, ako aj vhodnosť spoločenstiev a metrík pre indikáciu zmien vo vymedzených HMWB a AWB.</w:t>
            </w:r>
          </w:p>
          <w:p w:rsidR="00036E07" w:rsidRPr="004E2D6C" w:rsidRDefault="00036E07" w:rsidP="00036E07">
            <w:pPr>
              <w:spacing w:before="0"/>
              <w:rPr>
                <w:rFonts w:ascii="Calibri" w:hAnsi="Calibri"/>
                <w:sz w:val="16"/>
                <w:szCs w:val="16"/>
              </w:rPr>
            </w:pPr>
            <w:r w:rsidRPr="004E2D6C">
              <w:rPr>
                <w:rFonts w:ascii="Calibri" w:hAnsi="Calibri"/>
                <w:sz w:val="16"/>
                <w:szCs w:val="16"/>
              </w:rPr>
              <w:t>Keďže SR nemá prirodzené jazerá podľa kritérií rámcovej smernice o vode RSV, Slovensko sa nezúčastnilo medzikalibračného porovnávania (interkalibrácie) jazier na úrovni EÚ – nerelevantné pre SR.</w:t>
            </w:r>
          </w:p>
          <w:p w:rsidR="00036E07" w:rsidRPr="004E2D6C" w:rsidRDefault="00036E07" w:rsidP="00036E07">
            <w:pPr>
              <w:spacing w:before="0"/>
              <w:rPr>
                <w:rFonts w:ascii="Calibri" w:hAnsi="Calibri"/>
                <w:sz w:val="16"/>
                <w:szCs w:val="16"/>
              </w:rPr>
            </w:pPr>
            <w:r w:rsidRPr="004E2D6C">
              <w:rPr>
                <w:rFonts w:ascii="Calibri" w:hAnsi="Calibri"/>
                <w:sz w:val="16"/>
                <w:szCs w:val="16"/>
              </w:rPr>
              <w:t>Odvodené národné klasifikačné schémy pre prirodzené vodné útvary boli predmetom medzikalibračného porovnávania (interkalibrácie) na úrovni EÚ (2009 - 2012) pre všetky relevantné BPK.</w:t>
            </w:r>
          </w:p>
          <w:p w:rsidR="00036E07" w:rsidRPr="004E2D6C" w:rsidRDefault="00036E07" w:rsidP="00036E07">
            <w:pPr>
              <w:spacing w:before="0"/>
              <w:rPr>
                <w:rFonts w:ascii="Calibri" w:hAnsi="Calibri"/>
                <w:sz w:val="16"/>
                <w:szCs w:val="16"/>
              </w:rPr>
            </w:pPr>
            <w:r w:rsidRPr="004E2D6C">
              <w:rPr>
                <w:rFonts w:ascii="Calibri" w:hAnsi="Calibri"/>
                <w:sz w:val="16"/>
                <w:szCs w:val="16"/>
              </w:rPr>
              <w:t>Interkalibrácia metód hodnotenia ekologického potenciálu vodných útvarov vymedzených ako HMWB a AWB sa na úrovni EÚ v období 2009-2012 neuskutočnila. Výnimky v súvislosti s hydromorfologickými opatreniami sa uplatňovali v súvislosti s technickou neuskutočniteľnosťou vo vzťahu k požadovanému dátumu realizácie navrhovaných opatrení, t. j. do 22.</w:t>
            </w:r>
            <w:r>
              <w:rPr>
                <w:rFonts w:ascii="Calibri" w:hAnsi="Calibri"/>
                <w:sz w:val="16"/>
                <w:szCs w:val="16"/>
              </w:rPr>
              <w:t xml:space="preserve"> </w:t>
            </w:r>
            <w:r w:rsidRPr="004E2D6C">
              <w:rPr>
                <w:rFonts w:ascii="Calibri" w:hAnsi="Calibri"/>
                <w:sz w:val="16"/>
                <w:szCs w:val="16"/>
              </w:rPr>
              <w:t>12.</w:t>
            </w:r>
            <w:r>
              <w:rPr>
                <w:rFonts w:ascii="Calibri" w:hAnsi="Calibri"/>
                <w:sz w:val="16"/>
                <w:szCs w:val="16"/>
              </w:rPr>
              <w:t xml:space="preserve"> </w:t>
            </w:r>
            <w:r w:rsidRPr="004E2D6C">
              <w:rPr>
                <w:rFonts w:ascii="Calibri" w:hAnsi="Calibri"/>
                <w:sz w:val="16"/>
                <w:szCs w:val="16"/>
              </w:rPr>
              <w:t xml:space="preserve">2012 </w:t>
            </w:r>
            <w:r w:rsidR="005A599D">
              <w:rPr>
                <w:rFonts w:ascii="Calibri" w:hAnsi="Calibri"/>
                <w:sz w:val="16"/>
                <w:szCs w:val="16"/>
              </w:rPr>
              <w:br/>
            </w:r>
            <w:r w:rsidRPr="004E2D6C">
              <w:rPr>
                <w:rFonts w:ascii="Calibri" w:hAnsi="Calibri"/>
                <w:sz w:val="16"/>
                <w:szCs w:val="16"/>
              </w:rPr>
              <w:t>a ekonomickými dôvodmi – nezabezpečenosťou finančných prostriedkov na realizáciu potrebných opatrení v prvom plánovacom cykle. Realizácia opatrení navrhovaných na elimináciu hydromorfologických zmien (zabezpečujúcich kontinuitu toku) zahŕňa zmeny existujúcich stavieb a úpravy alebo nové plánované stavby (napr. vybudovanie biokoridora), čo si vyžaduje vyhotoviť potrebnú dokumentáciu, v prípade nových stavieb aj majetkové vysporiadanie k pozemkom. Z časového hľadiska dodržanie termínu 22.</w:t>
            </w:r>
            <w:r>
              <w:rPr>
                <w:rFonts w:ascii="Calibri" w:hAnsi="Calibri"/>
                <w:sz w:val="16"/>
                <w:szCs w:val="16"/>
              </w:rPr>
              <w:t xml:space="preserve"> </w:t>
            </w:r>
            <w:r w:rsidRPr="004E2D6C">
              <w:rPr>
                <w:rFonts w:ascii="Calibri" w:hAnsi="Calibri"/>
                <w:sz w:val="16"/>
                <w:szCs w:val="16"/>
              </w:rPr>
              <w:t>12.</w:t>
            </w:r>
            <w:r>
              <w:rPr>
                <w:rFonts w:ascii="Calibri" w:hAnsi="Calibri"/>
                <w:sz w:val="16"/>
                <w:szCs w:val="16"/>
              </w:rPr>
              <w:t xml:space="preserve"> </w:t>
            </w:r>
            <w:r w:rsidRPr="004E2D6C">
              <w:rPr>
                <w:rFonts w:ascii="Calibri" w:hAnsi="Calibri"/>
                <w:sz w:val="16"/>
                <w:szCs w:val="16"/>
              </w:rPr>
              <w:t xml:space="preserve">2012 nebolo reálne. Hydromorfologické opatrenia sú navrhnuté medzi hlavné aktivity </w:t>
            </w:r>
            <w:r w:rsidRPr="004E2D6C">
              <w:rPr>
                <w:rFonts w:ascii="Calibri" w:hAnsi="Calibri"/>
                <w:sz w:val="16"/>
                <w:szCs w:val="16"/>
              </w:rPr>
              <w:lastRenderedPageBreak/>
              <w:t>v pripravovanom OP KŽP 2014 - 2020.</w:t>
            </w:r>
          </w:p>
          <w:p w:rsidR="00036E07" w:rsidRPr="004E2D6C" w:rsidRDefault="00036E07" w:rsidP="00036E07">
            <w:pPr>
              <w:spacing w:before="0"/>
              <w:rPr>
                <w:rFonts w:ascii="Calibri" w:hAnsi="Calibri"/>
                <w:sz w:val="16"/>
                <w:szCs w:val="16"/>
              </w:rPr>
            </w:pPr>
            <w:r w:rsidRPr="004E2D6C">
              <w:rPr>
                <w:rFonts w:ascii="Calibri" w:hAnsi="Calibri"/>
                <w:sz w:val="16"/>
                <w:szCs w:val="16"/>
              </w:rPr>
              <w:t>Všetky požadované relevantné informácie budú obsiahnuté v pripravovanom druhom cykle plánov manažmentu povodí.</w:t>
            </w:r>
          </w:p>
          <w:p w:rsidR="00036E07" w:rsidRPr="004E2D6C" w:rsidRDefault="00036E07" w:rsidP="00036E07">
            <w:pPr>
              <w:spacing w:before="0"/>
              <w:rPr>
                <w:rFonts w:ascii="Calibri" w:hAnsi="Calibri"/>
                <w:sz w:val="16"/>
                <w:szCs w:val="16"/>
              </w:rPr>
            </w:pPr>
            <w:r w:rsidRPr="004E2D6C">
              <w:rPr>
                <w:rFonts w:ascii="Calibri" w:hAnsi="Calibri"/>
                <w:sz w:val="16"/>
                <w:szCs w:val="16"/>
              </w:rPr>
              <w:t>Jeho realizácia prebieha v súlade s požiadavkou RSV.</w:t>
            </w:r>
          </w:p>
          <w:p w:rsidR="00036E07" w:rsidRPr="004E2D6C" w:rsidRDefault="00036E07" w:rsidP="00036E07">
            <w:pPr>
              <w:spacing w:before="0"/>
              <w:rPr>
                <w:rFonts w:ascii="Calibri" w:hAnsi="Calibri"/>
                <w:sz w:val="16"/>
                <w:szCs w:val="16"/>
              </w:rPr>
            </w:pPr>
            <w:r w:rsidRPr="004E2D6C">
              <w:rPr>
                <w:rFonts w:ascii="Calibri" w:hAnsi="Calibri"/>
                <w:sz w:val="16"/>
                <w:szCs w:val="16"/>
              </w:rPr>
              <w:t>SR pripravila Akčný plán na splnenie ex ante kondicionalít v súlade s vecným a časovým harmonogramom pre 2. cyklus prípravy plánov manažmentov povodí, ktorý je dostupný na adrese:</w:t>
            </w:r>
          </w:p>
          <w:p w:rsidR="00036E07" w:rsidRPr="004E2D6C" w:rsidRDefault="00ED6BC8" w:rsidP="004E2D6C">
            <w:pPr>
              <w:spacing w:before="0"/>
              <w:rPr>
                <w:rFonts w:ascii="Calibri" w:hAnsi="Calibri"/>
                <w:sz w:val="16"/>
                <w:szCs w:val="16"/>
              </w:rPr>
            </w:pPr>
            <w:hyperlink r:id="rId76" w:history="1">
              <w:r w:rsidR="00036E07" w:rsidRPr="004E2D6C">
                <w:rPr>
                  <w:rFonts w:ascii="Calibri" w:hAnsi="Calibri"/>
                  <w:color w:val="0000FF"/>
                  <w:sz w:val="16"/>
                  <w:szCs w:val="16"/>
                  <w:u w:val="single"/>
                </w:rPr>
                <w:t>http://www.vuvh.sk/download/RSV/11_Harmonogram/VC_harmonogram2012_fin.pdf</w:t>
              </w:r>
            </w:hyperlink>
          </w:p>
        </w:tc>
      </w:tr>
      <w:tr w:rsidR="004E2D6C" w:rsidRPr="004E2D6C" w:rsidTr="002377D3">
        <w:trPr>
          <w:trHeight w:val="495"/>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6.2. Sektor odpadového hospodárstva: Podpora hospodárnych a environmentálne udržateľných investícií v sektore odpadového hospodárstva najmä prostredníctvom vypracovania plánov odpadového hospodárstva v súlade so smernicou 2008/98/ES o odpade a o zrušení určitých smerníc (ďalej len „smernica o odpade“) a v súlade s hierarchiou odpadového hospodárstva</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Čiastočne</w:t>
            </w:r>
          </w:p>
        </w:tc>
        <w:tc>
          <w:tcPr>
            <w:tcW w:w="2551" w:type="dxa"/>
            <w:tcBorders>
              <w:top w:val="single" w:sz="12" w:space="0" w:color="auto"/>
              <w:bottom w:val="single" w:sz="2" w:space="0" w:color="auto"/>
            </w:tcBorders>
          </w:tcPr>
          <w:p w:rsidR="004E2D6C" w:rsidRPr="00064274" w:rsidRDefault="004E2D6C" w:rsidP="001C5C9E">
            <w:pPr>
              <w:pStyle w:val="Odsekzoznamu"/>
              <w:numPr>
                <w:ilvl w:val="0"/>
                <w:numId w:val="101"/>
              </w:numPr>
              <w:spacing w:before="0"/>
              <w:ind w:left="175" w:hanging="141"/>
              <w:rPr>
                <w:rFonts w:ascii="Calibri" w:hAnsi="Calibri"/>
                <w:sz w:val="16"/>
                <w:szCs w:val="16"/>
              </w:rPr>
            </w:pPr>
            <w:r w:rsidRPr="00064274">
              <w:rPr>
                <w:rFonts w:ascii="Calibri" w:hAnsi="Calibri"/>
                <w:sz w:val="16"/>
                <w:szCs w:val="16"/>
              </w:rPr>
              <w:t>Komisii bola predložená správa o vykonávaní vyžadovaná podľa článku 11 ods. 5 smernice 2008/98/ES, pokiaľ ide o pokrok pri plnení cieľov stanovených v článku 11 smernice 2008/98/ES.</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tcBorders>
              <w:top w:val="single" w:sz="12" w:space="0" w:color="auto"/>
            </w:tcBorders>
          </w:tcPr>
          <w:p w:rsidR="004E2D6C" w:rsidRPr="004E2D6C" w:rsidRDefault="004E2D6C" w:rsidP="004E2D6C">
            <w:pPr>
              <w:spacing w:before="0"/>
              <w:jc w:val="left"/>
              <w:rPr>
                <w:rFonts w:ascii="Calibri" w:hAnsi="Calibri"/>
                <w:sz w:val="16"/>
                <w:szCs w:val="16"/>
              </w:rPr>
            </w:pPr>
            <w:r w:rsidRPr="004E2D6C">
              <w:rPr>
                <w:rFonts w:ascii="Calibri" w:hAnsi="Calibri"/>
                <w:sz w:val="16"/>
                <w:szCs w:val="16"/>
                <w:u w:val="single"/>
              </w:rPr>
              <w:t>Splnené úlohy</w:t>
            </w:r>
            <w:r w:rsidRPr="004E2D6C">
              <w:rPr>
                <w:rFonts w:ascii="Calibri" w:hAnsi="Calibri"/>
                <w:sz w:val="16"/>
                <w:szCs w:val="16"/>
              </w:rPr>
              <w:t>:</w:t>
            </w:r>
          </w:p>
          <w:p w:rsidR="004E2D6C" w:rsidRPr="004E2D6C" w:rsidRDefault="004E2D6C" w:rsidP="001C5C9E">
            <w:pPr>
              <w:numPr>
                <w:ilvl w:val="0"/>
                <w:numId w:val="58"/>
              </w:numPr>
              <w:spacing w:before="0" w:after="200" w:line="276" w:lineRule="auto"/>
              <w:ind w:left="252" w:hanging="252"/>
              <w:contextualSpacing/>
              <w:rPr>
                <w:rFonts w:ascii="Calibri" w:hAnsi="Calibri"/>
                <w:sz w:val="16"/>
                <w:szCs w:val="16"/>
                <w:lang w:eastAsia="en-GB"/>
              </w:rPr>
            </w:pPr>
            <w:r w:rsidRPr="004E2D6C">
              <w:rPr>
                <w:rFonts w:ascii="Calibri" w:hAnsi="Calibri"/>
                <w:sz w:val="16"/>
                <w:szCs w:val="16"/>
              </w:rPr>
              <w:t>Vypracovanie sektorovej správy v elektronickej forme za obdobie rokov 2010, 2011 a 2012</w:t>
            </w:r>
          </w:p>
          <w:p w:rsidR="004E2D6C" w:rsidRPr="004E2D6C" w:rsidRDefault="004E2D6C" w:rsidP="005A599D">
            <w:pPr>
              <w:spacing w:before="0"/>
              <w:ind w:left="252" w:hanging="252"/>
              <w:contextualSpacing/>
              <w:rPr>
                <w:rFonts w:ascii="Calibri" w:hAnsi="Calibri"/>
                <w:sz w:val="16"/>
                <w:szCs w:val="16"/>
              </w:rPr>
            </w:pPr>
            <w:r w:rsidRPr="004E2D6C">
              <w:rPr>
                <w:rFonts w:ascii="Calibri" w:hAnsi="Calibri"/>
                <w:sz w:val="16"/>
                <w:szCs w:val="16"/>
              </w:rPr>
              <w:t xml:space="preserve">      Termín odoslania správy: 26.</w:t>
            </w:r>
            <w:r w:rsidR="00C611EB">
              <w:rPr>
                <w:rFonts w:ascii="Calibri" w:hAnsi="Calibri"/>
                <w:sz w:val="16"/>
                <w:szCs w:val="16"/>
              </w:rPr>
              <w:t xml:space="preserve"> </w:t>
            </w:r>
            <w:r w:rsidRPr="004E2D6C">
              <w:rPr>
                <w:rFonts w:ascii="Calibri" w:hAnsi="Calibri"/>
                <w:sz w:val="16"/>
                <w:szCs w:val="16"/>
              </w:rPr>
              <w:t>9.</w:t>
            </w:r>
            <w:r w:rsidR="00C611EB">
              <w:rPr>
                <w:rFonts w:ascii="Calibri" w:hAnsi="Calibri"/>
                <w:sz w:val="16"/>
                <w:szCs w:val="16"/>
              </w:rPr>
              <w:t xml:space="preserve"> </w:t>
            </w:r>
            <w:r w:rsidRPr="004E2D6C">
              <w:rPr>
                <w:rFonts w:ascii="Calibri" w:hAnsi="Calibri"/>
                <w:sz w:val="16"/>
                <w:szCs w:val="16"/>
              </w:rPr>
              <w:t>2013</w:t>
            </w:r>
          </w:p>
          <w:p w:rsidR="004E2D6C" w:rsidRPr="004E2D6C" w:rsidRDefault="004E2D6C" w:rsidP="003A5209">
            <w:pPr>
              <w:spacing w:before="0"/>
              <w:ind w:left="252" w:hanging="252"/>
              <w:contextualSpacing/>
              <w:rPr>
                <w:rFonts w:ascii="Calibri" w:hAnsi="Calibri"/>
                <w:sz w:val="16"/>
                <w:szCs w:val="16"/>
              </w:rPr>
            </w:pPr>
          </w:p>
          <w:p w:rsidR="004E2D6C" w:rsidRPr="004E2D6C" w:rsidRDefault="004E2D6C" w:rsidP="001C5C9E">
            <w:pPr>
              <w:numPr>
                <w:ilvl w:val="0"/>
                <w:numId w:val="58"/>
              </w:numPr>
              <w:spacing w:before="0" w:after="200" w:line="276" w:lineRule="auto"/>
              <w:ind w:left="252" w:hanging="252"/>
              <w:contextualSpacing/>
              <w:rPr>
                <w:rFonts w:ascii="Calibri" w:hAnsi="Calibri"/>
                <w:sz w:val="16"/>
                <w:szCs w:val="16"/>
                <w:lang w:eastAsia="en-GB"/>
              </w:rPr>
            </w:pPr>
            <w:r w:rsidRPr="004E2D6C">
              <w:rPr>
                <w:rFonts w:ascii="Calibri" w:hAnsi="Calibri"/>
                <w:sz w:val="16"/>
                <w:szCs w:val="16"/>
              </w:rPr>
              <w:t>Vypracovanie správy podľa čl. 11 rámcovej smernice o odpade.</w:t>
            </w:r>
          </w:p>
          <w:p w:rsidR="004E2D6C" w:rsidRPr="004E2D6C" w:rsidRDefault="004E2D6C" w:rsidP="00BA185A">
            <w:pPr>
              <w:spacing w:before="0"/>
              <w:rPr>
                <w:rFonts w:ascii="Calibri" w:hAnsi="Calibri"/>
                <w:sz w:val="16"/>
                <w:szCs w:val="16"/>
              </w:rPr>
            </w:pPr>
            <w:r w:rsidRPr="004E2D6C">
              <w:rPr>
                <w:rFonts w:ascii="Calibri" w:hAnsi="Calibri"/>
                <w:sz w:val="16"/>
                <w:szCs w:val="16"/>
              </w:rPr>
              <w:t xml:space="preserve">      Termín odoslania správy: 26.</w:t>
            </w:r>
            <w:r w:rsidR="00C611EB">
              <w:rPr>
                <w:rFonts w:ascii="Calibri" w:hAnsi="Calibri"/>
                <w:sz w:val="16"/>
                <w:szCs w:val="16"/>
              </w:rPr>
              <w:t xml:space="preserve"> </w:t>
            </w:r>
            <w:r w:rsidRPr="004E2D6C">
              <w:rPr>
                <w:rFonts w:ascii="Calibri" w:hAnsi="Calibri"/>
                <w:sz w:val="16"/>
                <w:szCs w:val="16"/>
              </w:rPr>
              <w:t>9.</w:t>
            </w:r>
            <w:r w:rsidR="00C611EB">
              <w:rPr>
                <w:rFonts w:ascii="Calibri" w:hAnsi="Calibri"/>
                <w:sz w:val="16"/>
                <w:szCs w:val="16"/>
              </w:rPr>
              <w:t xml:space="preserve"> </w:t>
            </w:r>
            <w:r w:rsidRPr="004E2D6C">
              <w:rPr>
                <w:rFonts w:ascii="Calibri" w:hAnsi="Calibri"/>
                <w:sz w:val="16"/>
                <w:szCs w:val="16"/>
              </w:rPr>
              <w:t>2013</w:t>
            </w:r>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Plnenie bolo zabezpečené v súlade s čl. 11 (5) a čl. 37 </w:t>
            </w:r>
            <w:r w:rsidR="002245FB">
              <w:rPr>
                <w:rFonts w:ascii="Calibri" w:hAnsi="Calibri"/>
                <w:sz w:val="16"/>
                <w:szCs w:val="16"/>
              </w:rPr>
              <w:t xml:space="preserve">rámcovej </w:t>
            </w:r>
            <w:r w:rsidRPr="004E2D6C">
              <w:rPr>
                <w:rFonts w:ascii="Calibri" w:hAnsi="Calibri"/>
                <w:sz w:val="16"/>
                <w:szCs w:val="16"/>
              </w:rPr>
              <w:t>smernice o odpade, ktorá stanovuje termín do 30.</w:t>
            </w:r>
            <w:r w:rsidR="00493967">
              <w:rPr>
                <w:rFonts w:ascii="Calibri" w:hAnsi="Calibri"/>
                <w:sz w:val="16"/>
                <w:szCs w:val="16"/>
              </w:rPr>
              <w:t xml:space="preserve"> </w:t>
            </w:r>
            <w:r w:rsidRPr="004E2D6C">
              <w:rPr>
                <w:rFonts w:ascii="Calibri" w:hAnsi="Calibri"/>
                <w:sz w:val="16"/>
                <w:szCs w:val="16"/>
              </w:rPr>
              <w:t>9.</w:t>
            </w:r>
            <w:r w:rsidR="00493967">
              <w:rPr>
                <w:rFonts w:ascii="Calibri" w:hAnsi="Calibri"/>
                <w:sz w:val="16"/>
                <w:szCs w:val="16"/>
              </w:rPr>
              <w:t xml:space="preserve"> </w:t>
            </w:r>
            <w:r w:rsidRPr="004E2D6C">
              <w:rPr>
                <w:rFonts w:ascii="Calibri" w:hAnsi="Calibri"/>
                <w:sz w:val="16"/>
                <w:szCs w:val="16"/>
              </w:rPr>
              <w:t>2013.</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Dňa 25.9.2013 boli údaje o pokroku s ohľadom na splnenie cieľov stanovených v článku 11 (2) rámcovej smernice o odpade pre sledované obdobie 2010 a 2011, vrátane správy o kvalite údajov zaslané elektroniky prostredníctvom portálu eDAMIS na Eurostat do Dátového centra pre odpady.</w:t>
            </w:r>
          </w:p>
          <w:p w:rsidR="004E2D6C" w:rsidRPr="004E2D6C" w:rsidRDefault="004E2D6C" w:rsidP="004E2D6C">
            <w:pPr>
              <w:spacing w:before="0"/>
              <w:rPr>
                <w:rFonts w:ascii="Calibri" w:hAnsi="Calibri"/>
                <w:sz w:val="16"/>
                <w:szCs w:val="16"/>
              </w:rPr>
            </w:pPr>
            <w:r w:rsidRPr="004E2D6C">
              <w:rPr>
                <w:rFonts w:ascii="Calibri" w:hAnsi="Calibri"/>
                <w:sz w:val="16"/>
                <w:szCs w:val="16"/>
              </w:rPr>
              <w:t>Sektorová správa za obdobie rokov 2010, 2011 a 2012 bola predložená v elektronickej verzii na EK – GR pre životné prostredie a na Stále zastúpenie SR pri EÚ.</w:t>
            </w:r>
          </w:p>
          <w:p w:rsidR="004E2D6C" w:rsidRPr="004E2D6C" w:rsidRDefault="004E2D6C" w:rsidP="00C611EB">
            <w:pPr>
              <w:spacing w:before="0"/>
              <w:rPr>
                <w:rFonts w:ascii="Calibri" w:hAnsi="Calibri"/>
                <w:sz w:val="16"/>
                <w:szCs w:val="16"/>
              </w:rPr>
            </w:pPr>
            <w:r w:rsidRPr="004E2D6C">
              <w:rPr>
                <w:rFonts w:ascii="Calibri" w:hAnsi="Calibri"/>
                <w:sz w:val="16"/>
                <w:szCs w:val="16"/>
              </w:rPr>
              <w:t>Dňa 27.</w:t>
            </w:r>
            <w:r w:rsidR="00C611EB">
              <w:rPr>
                <w:rFonts w:ascii="Calibri" w:hAnsi="Calibri"/>
                <w:sz w:val="16"/>
                <w:szCs w:val="16"/>
              </w:rPr>
              <w:t xml:space="preserve"> </w:t>
            </w:r>
            <w:r w:rsidRPr="004E2D6C">
              <w:rPr>
                <w:rFonts w:ascii="Calibri" w:hAnsi="Calibri"/>
                <w:sz w:val="16"/>
                <w:szCs w:val="16"/>
              </w:rPr>
              <w:t>9.</w:t>
            </w:r>
            <w:r w:rsidR="00C611EB">
              <w:rPr>
                <w:rFonts w:ascii="Calibri" w:hAnsi="Calibri"/>
                <w:sz w:val="16"/>
                <w:szCs w:val="16"/>
              </w:rPr>
              <w:t xml:space="preserve"> </w:t>
            </w:r>
            <w:r w:rsidRPr="004E2D6C">
              <w:rPr>
                <w:rFonts w:ascii="Calibri" w:hAnsi="Calibri"/>
                <w:sz w:val="16"/>
                <w:szCs w:val="16"/>
              </w:rPr>
              <w:t>2013 bol zo strany EK (Jutta Neusser) potvrdený príjem sektorovej správy.</w:t>
            </w:r>
          </w:p>
        </w:tc>
      </w:tr>
      <w:tr w:rsidR="004E2D6C" w:rsidRPr="004E2D6C" w:rsidTr="002377D3">
        <w:trPr>
          <w:trHeight w:val="494"/>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064274" w:rsidRDefault="004E2D6C" w:rsidP="001C5C9E">
            <w:pPr>
              <w:pStyle w:val="Odsekzoznamu"/>
              <w:numPr>
                <w:ilvl w:val="0"/>
                <w:numId w:val="101"/>
              </w:numPr>
              <w:spacing w:before="0"/>
              <w:ind w:left="175" w:hanging="175"/>
              <w:rPr>
                <w:rFonts w:ascii="Calibri" w:hAnsi="Calibri"/>
                <w:sz w:val="16"/>
                <w:szCs w:val="16"/>
              </w:rPr>
            </w:pPr>
            <w:r w:rsidRPr="00064274">
              <w:rPr>
                <w:rFonts w:ascii="Calibri" w:hAnsi="Calibri"/>
                <w:sz w:val="16"/>
                <w:szCs w:val="16"/>
              </w:rPr>
              <w:t xml:space="preserve">Existencia jedného alebo viacerých programov odpadového hospodárstva, ako sa vyžaduje v článku 28 smernice 2008/98/ES. </w:t>
            </w:r>
          </w:p>
        </w:tc>
        <w:tc>
          <w:tcPr>
            <w:tcW w:w="1134" w:type="dxa"/>
            <w:vAlign w:val="center"/>
          </w:tcPr>
          <w:p w:rsidR="004E2D6C" w:rsidRPr="004E2D6C" w:rsidRDefault="002245FB" w:rsidP="00535799">
            <w:pPr>
              <w:spacing w:before="0"/>
              <w:jc w:val="center"/>
              <w:rPr>
                <w:rFonts w:ascii="Calibri" w:hAnsi="Calibri"/>
                <w:sz w:val="16"/>
                <w:szCs w:val="16"/>
              </w:rPr>
            </w:pPr>
            <w:r>
              <w:rPr>
                <w:rFonts w:ascii="Calibri" w:hAnsi="Calibri"/>
                <w:b/>
                <w:sz w:val="16"/>
                <w:szCs w:val="16"/>
              </w:rPr>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u w:val="single"/>
              </w:rPr>
              <w:t>Splnené úlohy</w:t>
            </w:r>
            <w:r w:rsidRPr="004E2D6C">
              <w:rPr>
                <w:rFonts w:ascii="Calibri" w:hAnsi="Calibri"/>
                <w:sz w:val="16"/>
                <w:szCs w:val="16"/>
              </w:rPr>
              <w:t>:</w:t>
            </w:r>
          </w:p>
          <w:p w:rsidR="004E2D6C" w:rsidRPr="004E2D6C" w:rsidRDefault="004E2D6C" w:rsidP="001C5C9E">
            <w:pPr>
              <w:numPr>
                <w:ilvl w:val="0"/>
                <w:numId w:val="60"/>
              </w:numPr>
              <w:spacing w:before="0" w:after="200" w:line="276" w:lineRule="auto"/>
              <w:ind w:left="252" w:hanging="252"/>
              <w:contextualSpacing/>
              <w:jc w:val="left"/>
              <w:rPr>
                <w:rFonts w:ascii="Calibri" w:hAnsi="Calibri"/>
                <w:sz w:val="16"/>
                <w:szCs w:val="16"/>
                <w:lang w:eastAsia="en-GB"/>
              </w:rPr>
            </w:pPr>
            <w:r w:rsidRPr="004E2D6C">
              <w:rPr>
                <w:rFonts w:ascii="Calibri" w:hAnsi="Calibri"/>
                <w:sz w:val="16"/>
                <w:szCs w:val="16"/>
              </w:rPr>
              <w:t>POH na národnej úrovni:</w:t>
            </w:r>
          </w:p>
          <w:p w:rsidR="004E2D6C" w:rsidRPr="004E2D6C" w:rsidRDefault="004E2D6C" w:rsidP="004E2D6C">
            <w:pPr>
              <w:spacing w:before="0"/>
              <w:ind w:left="252" w:hanging="252"/>
              <w:rPr>
                <w:rFonts w:ascii="Calibri" w:hAnsi="Calibri"/>
                <w:sz w:val="16"/>
                <w:szCs w:val="16"/>
              </w:rPr>
            </w:pPr>
            <w:r w:rsidRPr="004E2D6C">
              <w:rPr>
                <w:rFonts w:ascii="Calibri" w:hAnsi="Calibri"/>
                <w:sz w:val="16"/>
                <w:szCs w:val="16"/>
              </w:rPr>
              <w:t xml:space="preserve">      Program odpadového hospodárstva Slovenskej republiky bol schválený vládou SR - Uznesenie vlády SR č. 69/2012 z 22. februára 2012 k Programu odpadového hospodárstva SR na roky 2011 až 2015.</w:t>
            </w:r>
          </w:p>
          <w:p w:rsidR="004E2D6C" w:rsidRPr="004E2D6C" w:rsidRDefault="004E2D6C" w:rsidP="004E2D6C">
            <w:pPr>
              <w:spacing w:before="0"/>
              <w:ind w:left="252" w:hanging="252"/>
              <w:rPr>
                <w:rFonts w:ascii="Calibri" w:hAnsi="Calibri"/>
                <w:sz w:val="16"/>
                <w:szCs w:val="16"/>
              </w:rPr>
            </w:pPr>
            <w:r w:rsidRPr="004E2D6C">
              <w:rPr>
                <w:rFonts w:ascii="Calibri" w:hAnsi="Calibri"/>
                <w:sz w:val="16"/>
                <w:szCs w:val="16"/>
              </w:rPr>
              <w:lastRenderedPageBreak/>
              <w:t xml:space="preserve">      Termín splnenia: 22.</w:t>
            </w:r>
            <w:r w:rsidR="00493967">
              <w:rPr>
                <w:rFonts w:ascii="Calibri" w:hAnsi="Calibri"/>
                <w:sz w:val="16"/>
                <w:szCs w:val="16"/>
              </w:rPr>
              <w:t xml:space="preserve"> </w:t>
            </w:r>
            <w:r w:rsidRPr="004E2D6C">
              <w:rPr>
                <w:rFonts w:ascii="Calibri" w:hAnsi="Calibri"/>
                <w:sz w:val="16"/>
                <w:szCs w:val="16"/>
              </w:rPr>
              <w:t>2.</w:t>
            </w:r>
            <w:r w:rsidR="00493967">
              <w:rPr>
                <w:rFonts w:ascii="Calibri" w:hAnsi="Calibri"/>
                <w:sz w:val="16"/>
                <w:szCs w:val="16"/>
              </w:rPr>
              <w:t xml:space="preserve"> </w:t>
            </w:r>
            <w:r w:rsidRPr="004E2D6C">
              <w:rPr>
                <w:rFonts w:ascii="Calibri" w:hAnsi="Calibri"/>
                <w:sz w:val="16"/>
                <w:szCs w:val="16"/>
              </w:rPr>
              <w:t>2012</w:t>
            </w:r>
          </w:p>
          <w:p w:rsidR="004E2D6C" w:rsidRPr="004E2D6C" w:rsidRDefault="004E2D6C" w:rsidP="004E2D6C">
            <w:pPr>
              <w:spacing w:before="0" w:line="120" w:lineRule="auto"/>
              <w:ind w:left="252" w:hanging="252"/>
              <w:rPr>
                <w:rFonts w:ascii="Calibri" w:hAnsi="Calibri"/>
                <w:sz w:val="16"/>
                <w:szCs w:val="16"/>
              </w:rPr>
            </w:pPr>
          </w:p>
          <w:p w:rsidR="004E2D6C" w:rsidRPr="004E2D6C" w:rsidRDefault="004E2D6C" w:rsidP="003F0750">
            <w:pPr>
              <w:spacing w:before="0"/>
              <w:rPr>
                <w:rFonts w:ascii="Calibri" w:hAnsi="Calibri"/>
                <w:sz w:val="16"/>
                <w:szCs w:val="16"/>
                <w:u w:val="single"/>
                <w:lang w:eastAsia="en-GB"/>
              </w:rPr>
            </w:pPr>
            <w:r w:rsidRPr="004E2D6C">
              <w:rPr>
                <w:rFonts w:ascii="Calibri" w:hAnsi="Calibri"/>
                <w:sz w:val="16"/>
                <w:szCs w:val="16"/>
              </w:rPr>
              <w:t xml:space="preserve"> </w:t>
            </w:r>
            <w:hyperlink r:id="rId77" w:history="1">
              <w:r w:rsidRPr="004E2D6C">
                <w:rPr>
                  <w:rFonts w:ascii="Calibri" w:hAnsi="Calibri"/>
                  <w:color w:val="0000FF"/>
                  <w:sz w:val="16"/>
                  <w:szCs w:val="16"/>
                  <w:u w:val="single"/>
                </w:rPr>
                <w:t>http://www.minzp.sk/sekcie/temy-oblasti/odpady-obaly/poh/poh-2011-2015/</w:t>
              </w:r>
            </w:hyperlink>
          </w:p>
          <w:p w:rsidR="004E2D6C" w:rsidRPr="004E2D6C" w:rsidRDefault="004E2D6C" w:rsidP="004E2D6C">
            <w:pPr>
              <w:spacing w:before="0" w:line="120" w:lineRule="auto"/>
              <w:rPr>
                <w:rFonts w:ascii="Calibri" w:hAnsi="Calibri"/>
                <w:sz w:val="16"/>
                <w:szCs w:val="16"/>
                <w:u w:val="single"/>
              </w:rPr>
            </w:pPr>
          </w:p>
          <w:p w:rsidR="004E2D6C" w:rsidRPr="004E2D6C" w:rsidRDefault="004E2D6C" w:rsidP="004E2D6C">
            <w:pPr>
              <w:spacing w:before="0"/>
              <w:rPr>
                <w:rFonts w:ascii="Calibri" w:hAnsi="Calibri"/>
                <w:sz w:val="16"/>
                <w:szCs w:val="16"/>
                <w:u w:val="single"/>
              </w:rPr>
            </w:pPr>
          </w:p>
          <w:p w:rsidR="004E2D6C" w:rsidRPr="004E2D6C" w:rsidRDefault="004E2D6C" w:rsidP="004E2D6C">
            <w:pPr>
              <w:spacing w:before="0"/>
              <w:contextualSpacing/>
              <w:rPr>
                <w:rFonts w:ascii="Calibri" w:hAnsi="Calibri"/>
                <w:sz w:val="16"/>
                <w:szCs w:val="16"/>
                <w:u w:val="single"/>
              </w:rPr>
            </w:pPr>
            <w:r w:rsidRPr="004E2D6C">
              <w:rPr>
                <w:rFonts w:ascii="Calibri" w:hAnsi="Calibri"/>
                <w:sz w:val="16"/>
                <w:szCs w:val="16"/>
              </w:rPr>
              <w:t>2. POH na úrovni krajov:</w:t>
            </w:r>
          </w:p>
          <w:p w:rsidR="004E2D6C" w:rsidRPr="004E2D6C" w:rsidRDefault="004E2D6C" w:rsidP="004E2D6C">
            <w:pPr>
              <w:spacing w:before="0"/>
              <w:ind w:left="252" w:hanging="252"/>
              <w:contextualSpacing/>
              <w:rPr>
                <w:rFonts w:ascii="Calibri" w:hAnsi="Calibri"/>
                <w:sz w:val="16"/>
                <w:szCs w:val="16"/>
              </w:rPr>
            </w:pPr>
            <w:r w:rsidRPr="004E2D6C">
              <w:rPr>
                <w:rFonts w:ascii="Calibri" w:hAnsi="Calibri"/>
                <w:sz w:val="16"/>
                <w:szCs w:val="16"/>
              </w:rPr>
              <w:t>- Nitriansky kraj – Všeobecne záväzná vyhláška Obvodného úradu životného prostredia Nitra č. 2/2013 zo 17.</w:t>
            </w:r>
            <w:r w:rsidR="00C611EB">
              <w:rPr>
                <w:rFonts w:ascii="Calibri" w:hAnsi="Calibri"/>
                <w:sz w:val="16"/>
                <w:szCs w:val="16"/>
              </w:rPr>
              <w:t xml:space="preserve"> </w:t>
            </w:r>
            <w:r w:rsidRPr="004E2D6C">
              <w:rPr>
                <w:rFonts w:ascii="Calibri" w:hAnsi="Calibri"/>
                <w:sz w:val="16"/>
                <w:szCs w:val="16"/>
              </w:rPr>
              <w:t>6.</w:t>
            </w:r>
            <w:r w:rsidR="00C611EB">
              <w:rPr>
                <w:rFonts w:ascii="Calibri" w:hAnsi="Calibri"/>
                <w:sz w:val="16"/>
                <w:szCs w:val="16"/>
              </w:rPr>
              <w:t xml:space="preserve"> </w:t>
            </w:r>
            <w:r w:rsidRPr="004E2D6C">
              <w:rPr>
                <w:rFonts w:ascii="Calibri" w:hAnsi="Calibri"/>
                <w:sz w:val="16"/>
                <w:szCs w:val="16"/>
              </w:rPr>
              <w:t>2013, ktorou sa vyhlasuje záväzná časť Programu odpadového hospodárstva Nitrianskeho kraja na roky 2011 – 2015.</w:t>
            </w:r>
          </w:p>
          <w:p w:rsidR="004E2D6C" w:rsidRPr="004E2D6C" w:rsidRDefault="004E2D6C" w:rsidP="004E2D6C">
            <w:pPr>
              <w:spacing w:before="0"/>
              <w:contextualSpacing/>
              <w:rPr>
                <w:rFonts w:ascii="Calibri" w:hAnsi="Calibri"/>
                <w:sz w:val="16"/>
                <w:szCs w:val="16"/>
                <w:u w:val="single"/>
              </w:rPr>
            </w:pPr>
            <w:r w:rsidRPr="004E2D6C">
              <w:rPr>
                <w:rFonts w:ascii="Calibri" w:hAnsi="Calibri"/>
                <w:sz w:val="16"/>
                <w:szCs w:val="16"/>
              </w:rPr>
              <w:t xml:space="preserve">     Termín splnenia: 30.</w:t>
            </w:r>
            <w:r w:rsidR="00C611EB">
              <w:rPr>
                <w:rFonts w:ascii="Calibri" w:hAnsi="Calibri"/>
                <w:sz w:val="16"/>
                <w:szCs w:val="16"/>
              </w:rPr>
              <w:t xml:space="preserve"> </w:t>
            </w:r>
            <w:r w:rsidRPr="004E2D6C">
              <w:rPr>
                <w:rFonts w:ascii="Calibri" w:hAnsi="Calibri"/>
                <w:sz w:val="16"/>
                <w:szCs w:val="16"/>
              </w:rPr>
              <w:t>9.</w:t>
            </w:r>
            <w:r w:rsidR="00C611EB">
              <w:rPr>
                <w:rFonts w:ascii="Calibri" w:hAnsi="Calibri"/>
                <w:sz w:val="16"/>
                <w:szCs w:val="16"/>
              </w:rPr>
              <w:t xml:space="preserve"> </w:t>
            </w:r>
            <w:r w:rsidRPr="004E2D6C">
              <w:rPr>
                <w:rFonts w:ascii="Calibri" w:hAnsi="Calibri"/>
                <w:sz w:val="16"/>
                <w:szCs w:val="16"/>
              </w:rPr>
              <w:t>2013</w:t>
            </w:r>
          </w:p>
          <w:p w:rsidR="004E2D6C" w:rsidRPr="004E2D6C" w:rsidRDefault="004E2D6C" w:rsidP="004E2D6C">
            <w:pPr>
              <w:spacing w:before="0" w:line="120" w:lineRule="auto"/>
              <w:contextualSpacing/>
              <w:rPr>
                <w:rFonts w:ascii="Calibri" w:hAnsi="Calibri"/>
                <w:color w:val="0000FF"/>
                <w:sz w:val="16"/>
                <w:szCs w:val="16"/>
                <w:u w:val="single"/>
              </w:rPr>
            </w:pPr>
          </w:p>
          <w:p w:rsidR="004E2D6C" w:rsidRPr="004E2D6C" w:rsidRDefault="00ED6BC8" w:rsidP="004E2D6C">
            <w:pPr>
              <w:spacing w:before="0"/>
              <w:contextualSpacing/>
              <w:rPr>
                <w:rFonts w:ascii="Calibri" w:hAnsi="Calibri"/>
                <w:color w:val="0000FF"/>
                <w:sz w:val="16"/>
                <w:szCs w:val="16"/>
                <w:u w:val="single"/>
              </w:rPr>
            </w:pPr>
            <w:hyperlink r:id="rId78" w:history="1">
              <w:r w:rsidR="004E2D6C" w:rsidRPr="004E2D6C">
                <w:rPr>
                  <w:rFonts w:ascii="Calibri" w:hAnsi="Calibri"/>
                  <w:color w:val="0000FF"/>
                  <w:sz w:val="16"/>
                  <w:szCs w:val="16"/>
                  <w:u w:val="single"/>
                </w:rPr>
                <w:t>http://www.zbierka.sk/sk/vestnik/vestnik-vlady-sr/vydanie-3-2013</w:t>
              </w:r>
            </w:hyperlink>
          </w:p>
          <w:p w:rsidR="004E2D6C" w:rsidRPr="004E2D6C" w:rsidRDefault="004E2D6C" w:rsidP="004E2D6C">
            <w:pPr>
              <w:spacing w:before="0"/>
              <w:jc w:val="left"/>
              <w:rPr>
                <w:rFonts w:ascii="Calibri" w:hAnsi="Calibri"/>
                <w:sz w:val="16"/>
                <w:szCs w:val="16"/>
                <w:u w:val="single"/>
              </w:rPr>
            </w:pPr>
          </w:p>
          <w:p w:rsidR="004E2D6C" w:rsidRPr="004E2D6C" w:rsidRDefault="004E2D6C" w:rsidP="001C5C9E">
            <w:pPr>
              <w:numPr>
                <w:ilvl w:val="0"/>
                <w:numId w:val="59"/>
              </w:numPr>
              <w:spacing w:before="0" w:after="200" w:line="276" w:lineRule="auto"/>
              <w:ind w:left="252" w:hanging="252"/>
              <w:jc w:val="left"/>
              <w:rPr>
                <w:rFonts w:ascii="Calibri" w:hAnsi="Calibri"/>
                <w:sz w:val="16"/>
                <w:szCs w:val="16"/>
              </w:rPr>
            </w:pPr>
            <w:r w:rsidRPr="004E2D6C">
              <w:rPr>
                <w:rFonts w:ascii="Calibri" w:hAnsi="Calibri"/>
                <w:sz w:val="16"/>
                <w:szCs w:val="16"/>
              </w:rPr>
              <w:t>Nitriansky kraj - oznámenie o zmene strategického dokumentu.</w:t>
            </w:r>
          </w:p>
          <w:p w:rsidR="004E2D6C" w:rsidRPr="004E2D6C" w:rsidRDefault="004E2D6C" w:rsidP="004E2D6C">
            <w:pPr>
              <w:spacing w:before="0"/>
              <w:ind w:left="252"/>
              <w:rPr>
                <w:rFonts w:ascii="Calibri" w:hAnsi="Calibri"/>
                <w:sz w:val="16"/>
                <w:szCs w:val="16"/>
              </w:rPr>
            </w:pPr>
            <w:r w:rsidRPr="004E2D6C">
              <w:rPr>
                <w:rFonts w:ascii="Calibri" w:hAnsi="Calibri"/>
                <w:sz w:val="16"/>
                <w:szCs w:val="16"/>
              </w:rPr>
              <w:t>Termín splnenia: 25.</w:t>
            </w:r>
            <w:r w:rsidR="00C611EB">
              <w:rPr>
                <w:rFonts w:ascii="Calibri" w:hAnsi="Calibri"/>
                <w:sz w:val="16"/>
                <w:szCs w:val="16"/>
              </w:rPr>
              <w:t xml:space="preserve"> </w:t>
            </w:r>
            <w:r w:rsidRPr="004E2D6C">
              <w:rPr>
                <w:rFonts w:ascii="Calibri" w:hAnsi="Calibri"/>
                <w:sz w:val="16"/>
                <w:szCs w:val="16"/>
              </w:rPr>
              <w:t>10.</w:t>
            </w:r>
            <w:r w:rsidR="00C611EB">
              <w:rPr>
                <w:rFonts w:ascii="Calibri" w:hAnsi="Calibri"/>
                <w:sz w:val="16"/>
                <w:szCs w:val="16"/>
              </w:rPr>
              <w:t xml:space="preserve"> </w:t>
            </w:r>
            <w:r w:rsidRPr="004E2D6C">
              <w:rPr>
                <w:rFonts w:ascii="Calibri" w:hAnsi="Calibri"/>
                <w:sz w:val="16"/>
                <w:szCs w:val="16"/>
              </w:rPr>
              <w:t>2013</w:t>
            </w:r>
          </w:p>
          <w:p w:rsidR="004E2D6C" w:rsidRPr="004E2D6C" w:rsidRDefault="004E2D6C" w:rsidP="004E2D6C">
            <w:pPr>
              <w:spacing w:before="0"/>
              <w:ind w:left="252"/>
              <w:rPr>
                <w:rFonts w:ascii="Calibri" w:hAnsi="Calibri"/>
                <w:sz w:val="16"/>
                <w:szCs w:val="16"/>
                <w:u w:val="single"/>
              </w:rPr>
            </w:pPr>
          </w:p>
          <w:p w:rsidR="004E2D6C" w:rsidRPr="004E2D6C" w:rsidRDefault="00ED6BC8" w:rsidP="004E2D6C">
            <w:pPr>
              <w:spacing w:before="0"/>
              <w:jc w:val="left"/>
              <w:rPr>
                <w:rFonts w:ascii="Calibri" w:hAnsi="Calibri"/>
                <w:sz w:val="16"/>
                <w:szCs w:val="16"/>
                <w:u w:val="single"/>
              </w:rPr>
            </w:pPr>
            <w:hyperlink r:id="rId79" w:history="1">
              <w:r w:rsidR="004E2D6C" w:rsidRPr="004E2D6C">
                <w:rPr>
                  <w:rFonts w:ascii="Calibri" w:hAnsi="Calibri"/>
                  <w:color w:val="0000FF"/>
                  <w:sz w:val="16"/>
                  <w:szCs w:val="16"/>
                  <w:u w:val="single"/>
                </w:rPr>
                <w:t>http://www.enviroportal.sk/sk/eia/detail/program-odpadoveho-hospodarstva-nitrianskeho-kraja-na-roky-2011-2015-z</w:t>
              </w:r>
            </w:hyperlink>
          </w:p>
          <w:p w:rsidR="004E2D6C" w:rsidRPr="004E2D6C" w:rsidRDefault="004E2D6C" w:rsidP="004E2D6C">
            <w:pPr>
              <w:spacing w:before="0"/>
              <w:jc w:val="left"/>
              <w:rPr>
                <w:rFonts w:ascii="Calibri" w:hAnsi="Calibri"/>
                <w:sz w:val="16"/>
                <w:szCs w:val="16"/>
                <w:u w:val="single"/>
              </w:rPr>
            </w:pPr>
          </w:p>
          <w:p w:rsidR="004E2D6C" w:rsidRPr="004E2D6C" w:rsidRDefault="004E2D6C" w:rsidP="001C5C9E">
            <w:pPr>
              <w:numPr>
                <w:ilvl w:val="0"/>
                <w:numId w:val="59"/>
              </w:numPr>
              <w:spacing w:before="0" w:after="200" w:line="276" w:lineRule="auto"/>
              <w:ind w:left="252" w:hanging="284"/>
              <w:jc w:val="left"/>
              <w:rPr>
                <w:rFonts w:ascii="Calibri" w:hAnsi="Calibri"/>
                <w:sz w:val="16"/>
                <w:szCs w:val="16"/>
                <w:u w:val="single"/>
              </w:rPr>
            </w:pPr>
            <w:r w:rsidRPr="004E2D6C">
              <w:rPr>
                <w:rFonts w:ascii="Calibri" w:hAnsi="Calibri"/>
                <w:sz w:val="16"/>
                <w:szCs w:val="16"/>
              </w:rPr>
              <w:t>Košický kraj -</w:t>
            </w:r>
            <w:r w:rsidRPr="004E2D6C">
              <w:rPr>
                <w:rFonts w:ascii="Calibri" w:hAnsi="Calibri"/>
                <w:sz w:val="16"/>
                <w:szCs w:val="16"/>
                <w:u w:val="single"/>
              </w:rPr>
              <w:t xml:space="preserve"> </w:t>
            </w:r>
            <w:r w:rsidRPr="004E2D6C">
              <w:rPr>
                <w:rFonts w:ascii="Calibri" w:hAnsi="Calibri"/>
                <w:sz w:val="16"/>
                <w:szCs w:val="16"/>
              </w:rPr>
              <w:t>Všeobecne záväzná vyhláška Okresného úradu Košice č. 1/2013 zo 14. 10.2013, ktorou sa vyhlasuje záväzná časť Programu odpadového hospodárstva Košického kraja na roky 2011 -2015.</w:t>
            </w:r>
          </w:p>
          <w:p w:rsidR="004E2D6C" w:rsidRPr="004E2D6C" w:rsidRDefault="004E2D6C" w:rsidP="004E2D6C">
            <w:pPr>
              <w:spacing w:before="0"/>
              <w:ind w:left="252"/>
              <w:rPr>
                <w:rFonts w:ascii="Calibri" w:hAnsi="Calibri"/>
                <w:sz w:val="16"/>
                <w:szCs w:val="16"/>
              </w:rPr>
            </w:pPr>
            <w:r w:rsidRPr="004E2D6C">
              <w:rPr>
                <w:rFonts w:ascii="Calibri" w:hAnsi="Calibri"/>
                <w:sz w:val="16"/>
                <w:szCs w:val="16"/>
              </w:rPr>
              <w:t>Termín splnenia: 14.</w:t>
            </w:r>
            <w:r w:rsidR="00C611EB">
              <w:rPr>
                <w:rFonts w:ascii="Calibri" w:hAnsi="Calibri"/>
                <w:sz w:val="16"/>
                <w:szCs w:val="16"/>
              </w:rPr>
              <w:t xml:space="preserve"> </w:t>
            </w:r>
            <w:r w:rsidRPr="004E2D6C">
              <w:rPr>
                <w:rFonts w:ascii="Calibri" w:hAnsi="Calibri"/>
                <w:sz w:val="16"/>
                <w:szCs w:val="16"/>
              </w:rPr>
              <w:t>11.</w:t>
            </w:r>
            <w:r w:rsidR="00C611EB">
              <w:rPr>
                <w:rFonts w:ascii="Calibri" w:hAnsi="Calibri"/>
                <w:sz w:val="16"/>
                <w:szCs w:val="16"/>
              </w:rPr>
              <w:t xml:space="preserve"> </w:t>
            </w:r>
            <w:r w:rsidRPr="004E2D6C">
              <w:rPr>
                <w:rFonts w:ascii="Calibri" w:hAnsi="Calibri"/>
                <w:sz w:val="16"/>
                <w:szCs w:val="16"/>
              </w:rPr>
              <w:t>2013</w:t>
            </w:r>
          </w:p>
          <w:p w:rsidR="004E2D6C" w:rsidRPr="004E2D6C" w:rsidRDefault="004E2D6C" w:rsidP="004E2D6C">
            <w:pPr>
              <w:spacing w:before="0"/>
              <w:ind w:left="252"/>
              <w:rPr>
                <w:rFonts w:ascii="Calibri" w:hAnsi="Calibri"/>
                <w:sz w:val="16"/>
                <w:szCs w:val="16"/>
                <w:u w:val="single"/>
              </w:rPr>
            </w:pPr>
          </w:p>
          <w:p w:rsidR="004E2D6C" w:rsidRDefault="00ED6BC8" w:rsidP="004E2D6C">
            <w:pPr>
              <w:spacing w:before="0"/>
              <w:rPr>
                <w:rFonts w:ascii="Calibri" w:hAnsi="Calibri"/>
                <w:sz w:val="16"/>
                <w:szCs w:val="16"/>
                <w:u w:val="single"/>
              </w:rPr>
            </w:pPr>
            <w:hyperlink r:id="rId80" w:history="1">
              <w:r w:rsidR="00F97BE0" w:rsidRPr="00BA29AF">
                <w:rPr>
                  <w:rStyle w:val="Hypertextovprepojenie"/>
                  <w:rFonts w:ascii="Calibri" w:hAnsi="Calibri"/>
                  <w:sz w:val="16"/>
                  <w:szCs w:val="16"/>
                </w:rPr>
                <w:t>http://www.zbierka.sk/sk/vestnik/vestnik-vlady-sr/vydanie-4-2013</w:t>
              </w:r>
            </w:hyperlink>
          </w:p>
          <w:p w:rsidR="00F97BE0" w:rsidRPr="00966411" w:rsidRDefault="00F97BE0" w:rsidP="001C5C9E">
            <w:pPr>
              <w:numPr>
                <w:ilvl w:val="0"/>
                <w:numId w:val="59"/>
              </w:numPr>
              <w:spacing w:before="0"/>
              <w:ind w:left="318"/>
              <w:rPr>
                <w:rFonts w:ascii="Calibri" w:hAnsi="Calibri"/>
                <w:sz w:val="16"/>
                <w:szCs w:val="16"/>
              </w:rPr>
            </w:pPr>
            <w:r w:rsidRPr="00966411">
              <w:rPr>
                <w:rFonts w:ascii="Calibri" w:hAnsi="Calibri"/>
                <w:sz w:val="16"/>
                <w:szCs w:val="16"/>
              </w:rPr>
              <w:t>Banskobystrick</w:t>
            </w:r>
            <w:r w:rsidR="00335648">
              <w:rPr>
                <w:rFonts w:ascii="Calibri" w:hAnsi="Calibri"/>
                <w:sz w:val="16"/>
                <w:szCs w:val="16"/>
              </w:rPr>
              <w:t>ý</w:t>
            </w:r>
            <w:r w:rsidRPr="00966411">
              <w:rPr>
                <w:rFonts w:ascii="Calibri" w:hAnsi="Calibri"/>
                <w:sz w:val="16"/>
                <w:szCs w:val="16"/>
              </w:rPr>
              <w:t xml:space="preserve"> kraj - VYHLÁŠKA Okresného úradu Banská Bystrica č. 1/2014 z 10. januára 2014, ktorou sa vyhlasuje záväzná časť Programu odpadového hospodárstva Banskobystrického kraja na roky 2011 – 2015</w:t>
            </w:r>
          </w:p>
          <w:p w:rsidR="00F97BE0" w:rsidRPr="00F97BE0" w:rsidRDefault="00ED6BC8" w:rsidP="00F97BE0">
            <w:pPr>
              <w:spacing w:before="0"/>
              <w:rPr>
                <w:rFonts w:ascii="Calibri" w:hAnsi="Calibri"/>
                <w:sz w:val="16"/>
                <w:szCs w:val="16"/>
                <w:u w:val="single"/>
              </w:rPr>
            </w:pPr>
            <w:hyperlink r:id="rId81" w:history="1">
              <w:r w:rsidR="00F97BE0" w:rsidRPr="00F97BE0">
                <w:rPr>
                  <w:rStyle w:val="Hypertextovprepojenie"/>
                  <w:rFonts w:ascii="Calibri" w:hAnsi="Calibri"/>
                  <w:sz w:val="16"/>
                  <w:szCs w:val="16"/>
                </w:rPr>
                <w:t>http://www.zbierka.sk/sk/vestnik/vestnik-vlady-sr/vydanie-1-2014</w:t>
              </w:r>
            </w:hyperlink>
            <w:r w:rsidR="00F97BE0" w:rsidRPr="00F97BE0">
              <w:rPr>
                <w:rFonts w:ascii="Calibri" w:hAnsi="Calibri"/>
                <w:sz w:val="16"/>
                <w:szCs w:val="16"/>
                <w:u w:val="single"/>
              </w:rPr>
              <w:t xml:space="preserve">  </w:t>
            </w:r>
          </w:p>
          <w:p w:rsidR="00F97BE0" w:rsidRPr="00F97BE0" w:rsidRDefault="00F97BE0" w:rsidP="00F97BE0">
            <w:pPr>
              <w:spacing w:before="0"/>
              <w:rPr>
                <w:rFonts w:ascii="Calibri" w:hAnsi="Calibri"/>
                <w:sz w:val="16"/>
                <w:szCs w:val="16"/>
                <w:u w:val="single"/>
              </w:rPr>
            </w:pPr>
            <w:r w:rsidRPr="00F97BE0">
              <w:rPr>
                <w:rFonts w:ascii="Calibri" w:hAnsi="Calibri"/>
                <w:sz w:val="16"/>
                <w:szCs w:val="16"/>
                <w:u w:val="single"/>
              </w:rPr>
              <w:t xml:space="preserve"> </w:t>
            </w:r>
          </w:p>
          <w:p w:rsidR="00F97BE0" w:rsidRPr="00966411" w:rsidRDefault="00F97BE0" w:rsidP="001C5C9E">
            <w:pPr>
              <w:numPr>
                <w:ilvl w:val="0"/>
                <w:numId w:val="59"/>
              </w:numPr>
              <w:spacing w:before="0"/>
              <w:ind w:left="318"/>
              <w:rPr>
                <w:rFonts w:ascii="Calibri" w:hAnsi="Calibri"/>
                <w:sz w:val="16"/>
                <w:szCs w:val="16"/>
              </w:rPr>
            </w:pPr>
            <w:r w:rsidRPr="00966411">
              <w:rPr>
                <w:rFonts w:ascii="Calibri" w:hAnsi="Calibri"/>
                <w:sz w:val="16"/>
                <w:szCs w:val="16"/>
              </w:rPr>
              <w:t>Prešovsk</w:t>
            </w:r>
            <w:r w:rsidR="00335648">
              <w:rPr>
                <w:rFonts w:ascii="Calibri" w:hAnsi="Calibri"/>
                <w:sz w:val="16"/>
                <w:szCs w:val="16"/>
              </w:rPr>
              <w:t>ý</w:t>
            </w:r>
            <w:r w:rsidRPr="00966411">
              <w:rPr>
                <w:rFonts w:ascii="Calibri" w:hAnsi="Calibri"/>
                <w:sz w:val="16"/>
                <w:szCs w:val="16"/>
              </w:rPr>
              <w:t xml:space="preserve"> kraj - VYHLÁŠKA Okresného úradu Prešov č. 399/2013/OSZP z 20. decembra 2013, ktorou sa vyhlasuje záväzná časť Programu odpadového hospodárstva Prešovského kraja na roky 2011 – 2015</w:t>
            </w:r>
          </w:p>
          <w:p w:rsidR="00F97BE0" w:rsidRPr="00F97BE0" w:rsidRDefault="00F97BE0" w:rsidP="00F97BE0">
            <w:pPr>
              <w:spacing w:before="0"/>
              <w:ind w:left="318"/>
              <w:rPr>
                <w:rFonts w:ascii="Calibri" w:hAnsi="Calibri"/>
                <w:sz w:val="16"/>
                <w:szCs w:val="16"/>
                <w:u w:val="single"/>
              </w:rPr>
            </w:pPr>
          </w:p>
          <w:p w:rsidR="00F97BE0" w:rsidRPr="00F97BE0" w:rsidRDefault="00ED6BC8" w:rsidP="00F97BE0">
            <w:pPr>
              <w:spacing w:before="0"/>
              <w:ind w:left="318"/>
              <w:rPr>
                <w:rFonts w:ascii="Calibri" w:hAnsi="Calibri"/>
                <w:sz w:val="16"/>
                <w:szCs w:val="16"/>
                <w:u w:val="single"/>
              </w:rPr>
            </w:pPr>
            <w:hyperlink r:id="rId82" w:history="1">
              <w:r w:rsidR="00F97BE0" w:rsidRPr="00F97BE0">
                <w:rPr>
                  <w:rStyle w:val="Hypertextovprepojenie"/>
                  <w:rFonts w:ascii="Calibri" w:hAnsi="Calibri"/>
                  <w:sz w:val="16"/>
                  <w:szCs w:val="16"/>
                </w:rPr>
                <w:t>http://www.zbierka.sk/sk/vestnik/vestnik-vlady-sr/vydanie-1-2014</w:t>
              </w:r>
            </w:hyperlink>
            <w:r w:rsidR="00F97BE0" w:rsidRPr="00F97BE0">
              <w:rPr>
                <w:rFonts w:ascii="Calibri" w:hAnsi="Calibri"/>
                <w:sz w:val="16"/>
                <w:szCs w:val="16"/>
                <w:u w:val="single"/>
              </w:rPr>
              <w:t xml:space="preserve"> </w:t>
            </w:r>
          </w:p>
          <w:p w:rsidR="00F97BE0" w:rsidRPr="00F97BE0" w:rsidRDefault="00F97BE0" w:rsidP="00F97BE0">
            <w:pPr>
              <w:spacing w:before="0"/>
              <w:ind w:left="318"/>
              <w:rPr>
                <w:rFonts w:ascii="Calibri" w:hAnsi="Calibri"/>
                <w:sz w:val="16"/>
                <w:szCs w:val="16"/>
                <w:u w:val="single"/>
              </w:rPr>
            </w:pPr>
          </w:p>
          <w:p w:rsidR="00F97BE0" w:rsidRPr="00966411" w:rsidRDefault="00F97BE0" w:rsidP="001C5C9E">
            <w:pPr>
              <w:numPr>
                <w:ilvl w:val="0"/>
                <w:numId w:val="59"/>
              </w:numPr>
              <w:spacing w:before="0"/>
              <w:ind w:left="318"/>
              <w:rPr>
                <w:rFonts w:ascii="Calibri" w:hAnsi="Calibri"/>
                <w:sz w:val="16"/>
                <w:szCs w:val="16"/>
              </w:rPr>
            </w:pPr>
            <w:r w:rsidRPr="00966411">
              <w:rPr>
                <w:rFonts w:ascii="Calibri" w:hAnsi="Calibri"/>
                <w:sz w:val="16"/>
                <w:szCs w:val="16"/>
              </w:rPr>
              <w:t>Žilinský kraj - VYHLÁŠKA Okresného úradu Žilina č. 1/2014 z 10. januára 2014, ktorou sa vyhlasuje záväzná časť Programu odpadového hospodárstva Žilinského kraja na roky 2011 – 2015</w:t>
            </w:r>
          </w:p>
          <w:p w:rsidR="00F97BE0" w:rsidRPr="00966411" w:rsidRDefault="00F97BE0" w:rsidP="00F97BE0">
            <w:pPr>
              <w:spacing w:before="0"/>
              <w:rPr>
                <w:rFonts w:ascii="Calibri" w:hAnsi="Calibri"/>
                <w:color w:val="0070C0"/>
                <w:sz w:val="16"/>
                <w:szCs w:val="16"/>
                <w:u w:val="single"/>
              </w:rPr>
            </w:pPr>
            <w:r w:rsidRPr="00966411">
              <w:rPr>
                <w:rFonts w:ascii="Calibri" w:hAnsi="Calibri"/>
                <w:color w:val="0070C0"/>
                <w:sz w:val="16"/>
                <w:szCs w:val="16"/>
                <w:u w:val="single"/>
              </w:rPr>
              <w:t>http://www.zbierka.sk/sk/vestnik/vestnik-vlady-sr/vydanie-1-2014</w:t>
            </w:r>
          </w:p>
          <w:p w:rsidR="00F97BE0" w:rsidRPr="00966411" w:rsidRDefault="00F97BE0" w:rsidP="001C5C9E">
            <w:pPr>
              <w:numPr>
                <w:ilvl w:val="0"/>
                <w:numId w:val="59"/>
              </w:numPr>
              <w:spacing w:before="0"/>
              <w:ind w:left="318"/>
              <w:rPr>
                <w:rFonts w:ascii="Calibri" w:hAnsi="Calibri"/>
                <w:sz w:val="16"/>
                <w:szCs w:val="16"/>
              </w:rPr>
            </w:pPr>
            <w:r w:rsidRPr="00966411">
              <w:rPr>
                <w:rFonts w:ascii="Calibri" w:hAnsi="Calibri"/>
                <w:sz w:val="16"/>
                <w:szCs w:val="16"/>
              </w:rPr>
              <w:t xml:space="preserve">Trenčiansky kraj - Všeobecne záväzná vyhláška Okresného úradu Trenčín č. 1/2013 zo 4. decembra 2013, ktorou sa vyhlasuje záväzná časť Programu odpadového hospodárstva Trenčianskeho kraja na roky 2011 – </w:t>
            </w:r>
            <w:r w:rsidRPr="00966411">
              <w:rPr>
                <w:rFonts w:ascii="Calibri" w:hAnsi="Calibri"/>
                <w:sz w:val="16"/>
                <w:szCs w:val="16"/>
              </w:rPr>
              <w:lastRenderedPageBreak/>
              <w:t xml:space="preserve">2015 </w:t>
            </w:r>
          </w:p>
          <w:p w:rsidR="00F97BE0" w:rsidRPr="00966411" w:rsidRDefault="00F97BE0" w:rsidP="00F97BE0">
            <w:pPr>
              <w:spacing w:before="0"/>
              <w:rPr>
                <w:rFonts w:ascii="Calibri" w:hAnsi="Calibri"/>
                <w:sz w:val="16"/>
                <w:szCs w:val="16"/>
              </w:rPr>
            </w:pPr>
            <w:r w:rsidRPr="00966411">
              <w:rPr>
                <w:rFonts w:ascii="Calibri" w:hAnsi="Calibri"/>
                <w:sz w:val="16"/>
                <w:szCs w:val="16"/>
              </w:rPr>
              <w:t xml:space="preserve">     Termín splnenia: 20.</w:t>
            </w:r>
            <w:r w:rsidR="00C611EB" w:rsidRPr="00966411">
              <w:rPr>
                <w:rFonts w:ascii="Calibri" w:hAnsi="Calibri"/>
                <w:sz w:val="16"/>
                <w:szCs w:val="16"/>
              </w:rPr>
              <w:t xml:space="preserve"> </w:t>
            </w:r>
            <w:r w:rsidRPr="00966411">
              <w:rPr>
                <w:rFonts w:ascii="Calibri" w:hAnsi="Calibri"/>
                <w:sz w:val="16"/>
                <w:szCs w:val="16"/>
              </w:rPr>
              <w:t>12.</w:t>
            </w:r>
            <w:r w:rsidR="00C611EB" w:rsidRPr="00966411">
              <w:rPr>
                <w:rFonts w:ascii="Calibri" w:hAnsi="Calibri"/>
                <w:sz w:val="16"/>
                <w:szCs w:val="16"/>
              </w:rPr>
              <w:t xml:space="preserve"> </w:t>
            </w:r>
            <w:r w:rsidRPr="00966411">
              <w:rPr>
                <w:rFonts w:ascii="Calibri" w:hAnsi="Calibri"/>
                <w:sz w:val="16"/>
                <w:szCs w:val="16"/>
              </w:rPr>
              <w:t xml:space="preserve">2013 </w:t>
            </w:r>
          </w:p>
          <w:p w:rsidR="00F97BE0" w:rsidRPr="00F97BE0" w:rsidRDefault="00F97BE0" w:rsidP="00F97BE0">
            <w:pPr>
              <w:spacing w:before="0"/>
              <w:rPr>
                <w:rFonts w:ascii="Calibri" w:hAnsi="Calibri"/>
                <w:sz w:val="16"/>
                <w:szCs w:val="16"/>
                <w:u w:val="single"/>
              </w:rPr>
            </w:pPr>
            <w:r>
              <w:rPr>
                <w:rFonts w:ascii="Calibri" w:hAnsi="Calibri"/>
                <w:sz w:val="16"/>
                <w:szCs w:val="16"/>
                <w:u w:val="single"/>
              </w:rPr>
              <w:t xml:space="preserve">    </w:t>
            </w:r>
            <w:r w:rsidRPr="00F97BE0">
              <w:rPr>
                <w:rFonts w:ascii="Calibri" w:hAnsi="Calibri"/>
                <w:sz w:val="16"/>
                <w:szCs w:val="16"/>
                <w:u w:val="single"/>
              </w:rPr>
              <w:t>http://www.minv.sk/?ciastka-5-vydana-20-12-2013.</w:t>
            </w:r>
          </w:p>
          <w:p w:rsidR="002245FB" w:rsidRPr="00BA185A" w:rsidRDefault="002245FB" w:rsidP="001C5C9E">
            <w:pPr>
              <w:pStyle w:val="Odsekzoznamu"/>
              <w:numPr>
                <w:ilvl w:val="0"/>
                <w:numId w:val="59"/>
              </w:numPr>
              <w:spacing w:before="0" w:after="0"/>
              <w:ind w:left="252" w:hanging="252"/>
              <w:rPr>
                <w:rFonts w:ascii="Calibri" w:hAnsi="Calibri"/>
                <w:sz w:val="16"/>
                <w:szCs w:val="16"/>
              </w:rPr>
            </w:pPr>
            <w:r w:rsidRPr="00BA185A">
              <w:rPr>
                <w:rFonts w:ascii="Calibri" w:hAnsi="Calibri"/>
                <w:sz w:val="16"/>
                <w:szCs w:val="16"/>
              </w:rPr>
              <w:t>Trnavsk</w:t>
            </w:r>
            <w:r w:rsidR="00335648">
              <w:rPr>
                <w:rFonts w:ascii="Calibri" w:hAnsi="Calibri"/>
                <w:sz w:val="16"/>
                <w:szCs w:val="16"/>
              </w:rPr>
              <w:t>ý</w:t>
            </w:r>
            <w:r w:rsidRPr="00BA185A">
              <w:rPr>
                <w:rFonts w:ascii="Calibri" w:hAnsi="Calibri"/>
                <w:sz w:val="16"/>
                <w:szCs w:val="16"/>
              </w:rPr>
              <w:t xml:space="preserve"> kraj – Vyhláška Okresného úradu Trnava č. 1/2014 z 22. januára 2014, ktorou sa vyhlasuje záväzná časť Programu odpadového hospodárstva Trnavského kraja na roky 2011 – 2015</w:t>
            </w:r>
          </w:p>
          <w:p w:rsidR="002245FB" w:rsidRPr="00BA185A" w:rsidRDefault="002245FB" w:rsidP="002245FB">
            <w:pPr>
              <w:pStyle w:val="Odsekzoznamu"/>
              <w:spacing w:after="0"/>
              <w:ind w:left="252"/>
              <w:rPr>
                <w:rFonts w:ascii="Calibri" w:hAnsi="Calibri"/>
                <w:sz w:val="16"/>
                <w:szCs w:val="16"/>
              </w:rPr>
            </w:pPr>
            <w:r w:rsidRPr="00BA185A">
              <w:rPr>
                <w:rFonts w:ascii="Calibri" w:hAnsi="Calibri"/>
                <w:sz w:val="16"/>
                <w:szCs w:val="16"/>
              </w:rPr>
              <w:t>Termín zverejnenia: 20.</w:t>
            </w:r>
            <w:r w:rsidR="005A599D">
              <w:rPr>
                <w:rFonts w:ascii="Calibri" w:hAnsi="Calibri"/>
                <w:sz w:val="16"/>
                <w:szCs w:val="16"/>
              </w:rPr>
              <w:t xml:space="preserve"> </w:t>
            </w:r>
            <w:r w:rsidRPr="00BA185A">
              <w:rPr>
                <w:rFonts w:ascii="Calibri" w:hAnsi="Calibri"/>
                <w:sz w:val="16"/>
                <w:szCs w:val="16"/>
              </w:rPr>
              <w:t>2.</w:t>
            </w:r>
            <w:r w:rsidR="005A599D">
              <w:rPr>
                <w:rFonts w:ascii="Calibri" w:hAnsi="Calibri"/>
                <w:sz w:val="16"/>
                <w:szCs w:val="16"/>
              </w:rPr>
              <w:t xml:space="preserve"> </w:t>
            </w:r>
            <w:r w:rsidRPr="00BA185A">
              <w:rPr>
                <w:rFonts w:ascii="Calibri" w:hAnsi="Calibri"/>
                <w:sz w:val="16"/>
                <w:szCs w:val="16"/>
              </w:rPr>
              <w:t>2014</w:t>
            </w:r>
          </w:p>
          <w:p w:rsidR="002245FB" w:rsidRPr="002377D3" w:rsidRDefault="00ED6BC8" w:rsidP="002245FB">
            <w:pPr>
              <w:spacing w:after="0"/>
              <w:ind w:left="252"/>
              <w:rPr>
                <w:rFonts w:asciiTheme="majorHAnsi" w:hAnsiTheme="majorHAnsi"/>
                <w:sz w:val="16"/>
                <w:szCs w:val="16"/>
              </w:rPr>
            </w:pPr>
            <w:hyperlink r:id="rId83" w:history="1">
              <w:r w:rsidR="002245FB" w:rsidRPr="002377D3">
                <w:rPr>
                  <w:rFonts w:asciiTheme="majorHAnsi" w:hAnsiTheme="majorHAnsi"/>
                  <w:sz w:val="16"/>
                  <w:szCs w:val="16"/>
                </w:rPr>
                <w:t>http://www.zbierka.sk/sk/vestnik/vestnik-vlady-sr/vydanie-2-2014</w:t>
              </w:r>
            </w:hyperlink>
          </w:p>
          <w:p w:rsidR="002245FB" w:rsidRPr="00BA185A" w:rsidRDefault="002245FB" w:rsidP="002245FB">
            <w:pPr>
              <w:spacing w:after="0"/>
              <w:ind w:left="252"/>
              <w:rPr>
                <w:rFonts w:ascii="Calibri" w:hAnsi="Calibri"/>
              </w:rPr>
            </w:pPr>
          </w:p>
          <w:p w:rsidR="002245FB" w:rsidRPr="00BA185A" w:rsidRDefault="002245FB" w:rsidP="001C5C9E">
            <w:pPr>
              <w:pStyle w:val="Odsekzoznamu"/>
              <w:numPr>
                <w:ilvl w:val="0"/>
                <w:numId w:val="59"/>
              </w:numPr>
              <w:spacing w:before="0" w:after="0"/>
              <w:ind w:left="210" w:hanging="210"/>
              <w:rPr>
                <w:rFonts w:ascii="Calibri" w:hAnsi="Calibri"/>
                <w:sz w:val="16"/>
                <w:szCs w:val="16"/>
              </w:rPr>
            </w:pPr>
            <w:r w:rsidRPr="00BA185A">
              <w:rPr>
                <w:rFonts w:ascii="Calibri" w:hAnsi="Calibri"/>
                <w:sz w:val="16"/>
                <w:szCs w:val="16"/>
              </w:rPr>
              <w:t>Bratislavsk</w:t>
            </w:r>
            <w:r w:rsidR="00335648">
              <w:rPr>
                <w:rFonts w:ascii="Calibri" w:hAnsi="Calibri"/>
                <w:sz w:val="16"/>
                <w:szCs w:val="16"/>
              </w:rPr>
              <w:t>ý</w:t>
            </w:r>
            <w:r w:rsidRPr="00BA185A">
              <w:rPr>
                <w:rFonts w:ascii="Calibri" w:hAnsi="Calibri"/>
                <w:sz w:val="16"/>
                <w:szCs w:val="16"/>
              </w:rPr>
              <w:t xml:space="preserve"> kraj – Vyhláška Okresného úradu Bratislava č. 1/2014 zo 14.mraca 2014, ktorou sa vyhlasuje záväzná časť Programu odpadového hospodárstva Bratislavského kraja a okresov Senica a Skalica na roky 2011 – 2015</w:t>
            </w:r>
          </w:p>
          <w:p w:rsidR="00F97BE0" w:rsidRPr="004E2D6C" w:rsidRDefault="002245FB" w:rsidP="00E96D8E">
            <w:pPr>
              <w:spacing w:before="0"/>
              <w:rPr>
                <w:rFonts w:ascii="Calibri" w:hAnsi="Calibri"/>
                <w:sz w:val="16"/>
                <w:szCs w:val="16"/>
                <w:u w:val="single"/>
              </w:rPr>
            </w:pPr>
            <w:r w:rsidRPr="002377D3">
              <w:rPr>
                <w:rFonts w:asciiTheme="majorHAnsi" w:eastAsia="BatangChe" w:hAnsiTheme="majorHAnsi"/>
                <w:sz w:val="16"/>
                <w:szCs w:val="16"/>
              </w:rPr>
              <w:t>http://www.zbierka.sk/sk/vestnik/vestnik-vlady-sr/vydanie-3-2014</w:t>
            </w:r>
          </w:p>
        </w:tc>
        <w:tc>
          <w:tcPr>
            <w:tcW w:w="4111" w:type="dxa"/>
            <w:tcBorders>
              <w:right w:val="single" w:sz="12" w:space="0" w:color="auto"/>
            </w:tcBorders>
          </w:tcPr>
          <w:p w:rsidR="004E2D6C" w:rsidRPr="004E2D6C" w:rsidRDefault="004E2D6C" w:rsidP="001C5C9E">
            <w:pPr>
              <w:numPr>
                <w:ilvl w:val="0"/>
                <w:numId w:val="62"/>
              </w:numPr>
              <w:spacing w:before="0" w:after="200" w:line="276" w:lineRule="auto"/>
              <w:ind w:left="317"/>
              <w:rPr>
                <w:rFonts w:ascii="Calibri" w:hAnsi="Calibri"/>
                <w:sz w:val="16"/>
                <w:szCs w:val="16"/>
                <w:lang w:eastAsia="en-GB"/>
              </w:rPr>
            </w:pPr>
            <w:r w:rsidRPr="004E2D6C">
              <w:rPr>
                <w:rFonts w:ascii="Calibri" w:hAnsi="Calibri"/>
                <w:sz w:val="16"/>
                <w:szCs w:val="16"/>
                <w:u w:val="single"/>
              </w:rPr>
              <w:lastRenderedPageBreak/>
              <w:t>POH na národnej úrovni</w:t>
            </w:r>
            <w:r w:rsidRPr="004E2D6C">
              <w:rPr>
                <w:rFonts w:ascii="Calibri" w:hAnsi="Calibri"/>
                <w:sz w:val="16"/>
                <w:szCs w:val="16"/>
              </w:rPr>
              <w:t>:</w:t>
            </w:r>
          </w:p>
          <w:p w:rsidR="004E2D6C" w:rsidRPr="004E2D6C" w:rsidRDefault="004E2D6C" w:rsidP="004E2D6C">
            <w:pPr>
              <w:spacing w:before="0"/>
              <w:rPr>
                <w:rFonts w:ascii="Calibri" w:hAnsi="Calibri"/>
                <w:sz w:val="16"/>
                <w:szCs w:val="16"/>
              </w:rPr>
            </w:pPr>
            <w:r w:rsidRPr="004E2D6C">
              <w:rPr>
                <w:rFonts w:ascii="Calibri" w:hAnsi="Calibri"/>
                <w:sz w:val="16"/>
                <w:szCs w:val="16"/>
              </w:rPr>
              <w:t>Uznesením vlády SR č. 69/2012 zo dňa 22.</w:t>
            </w:r>
            <w:r w:rsidR="00C611EB">
              <w:rPr>
                <w:rFonts w:ascii="Calibri" w:hAnsi="Calibri"/>
                <w:sz w:val="16"/>
                <w:szCs w:val="16"/>
              </w:rPr>
              <w:t xml:space="preserve"> </w:t>
            </w:r>
            <w:r w:rsidRPr="004E2D6C">
              <w:rPr>
                <w:rFonts w:ascii="Calibri" w:hAnsi="Calibri"/>
                <w:sz w:val="16"/>
                <w:szCs w:val="16"/>
              </w:rPr>
              <w:t>2.</w:t>
            </w:r>
            <w:r w:rsidR="00C611EB">
              <w:rPr>
                <w:rFonts w:ascii="Calibri" w:hAnsi="Calibri"/>
                <w:sz w:val="16"/>
                <w:szCs w:val="16"/>
              </w:rPr>
              <w:t xml:space="preserve"> </w:t>
            </w:r>
            <w:r w:rsidRPr="004E2D6C">
              <w:rPr>
                <w:rFonts w:ascii="Calibri" w:hAnsi="Calibri"/>
                <w:sz w:val="16"/>
                <w:szCs w:val="16"/>
              </w:rPr>
              <w:t>2012 bol schválený Program odpadového hospodárstva Slovenskej republiky na roky 2011 až 2015 (POH SR). Dňa 23.</w:t>
            </w:r>
            <w:r w:rsidR="00C611EB">
              <w:rPr>
                <w:rFonts w:ascii="Calibri" w:hAnsi="Calibri"/>
                <w:sz w:val="16"/>
                <w:szCs w:val="16"/>
              </w:rPr>
              <w:t xml:space="preserve"> </w:t>
            </w:r>
            <w:r w:rsidRPr="004E2D6C">
              <w:rPr>
                <w:rFonts w:ascii="Calibri" w:hAnsi="Calibri"/>
                <w:sz w:val="16"/>
                <w:szCs w:val="16"/>
              </w:rPr>
              <w:t>3.</w:t>
            </w:r>
            <w:r w:rsidR="00C611EB">
              <w:rPr>
                <w:rFonts w:ascii="Calibri" w:hAnsi="Calibri"/>
                <w:sz w:val="16"/>
                <w:szCs w:val="16"/>
              </w:rPr>
              <w:t xml:space="preserve"> </w:t>
            </w:r>
            <w:r w:rsidRPr="004E2D6C">
              <w:rPr>
                <w:rFonts w:ascii="Calibri" w:hAnsi="Calibri"/>
                <w:sz w:val="16"/>
                <w:szCs w:val="16"/>
              </w:rPr>
              <w:t>2012 bol Program odpadového hospodárstva SR na roky 2011 až 2015 uverejnený vo Vestníku MŽP SR (čiastka 2, ročník XX).</w:t>
            </w:r>
          </w:p>
          <w:p w:rsidR="002245FB" w:rsidRPr="004E2D6C" w:rsidRDefault="002245FB" w:rsidP="002245FB">
            <w:pPr>
              <w:spacing w:before="0"/>
              <w:rPr>
                <w:rFonts w:ascii="Calibri" w:hAnsi="Calibri"/>
                <w:sz w:val="16"/>
                <w:szCs w:val="16"/>
              </w:rPr>
            </w:pPr>
            <w:r w:rsidRPr="00FA6CED">
              <w:rPr>
                <w:rFonts w:ascii="Calibri" w:hAnsi="Calibri"/>
                <w:sz w:val="16"/>
                <w:szCs w:val="16"/>
              </w:rPr>
              <w:t xml:space="preserve">V novembri 2012 MŽP SR zaslalo na stále zastúpenie SR pri EÚ informácie o plnení požiadaviek plánu odpadového </w:t>
            </w:r>
            <w:r w:rsidRPr="00FA6CED">
              <w:rPr>
                <w:rFonts w:ascii="Calibri" w:hAnsi="Calibri"/>
                <w:sz w:val="16"/>
                <w:szCs w:val="16"/>
              </w:rPr>
              <w:lastRenderedPageBreak/>
              <w:t xml:space="preserve">hospodárstva podľa čl. 28 smernice 2008/98/ES a zároveň požiadalo o ich postúpenie Európskej komisii.  </w:t>
            </w:r>
          </w:p>
          <w:p w:rsidR="004E2D6C" w:rsidRDefault="004E2D6C" w:rsidP="004E2D6C">
            <w:pPr>
              <w:spacing w:before="0"/>
              <w:rPr>
                <w:rFonts w:ascii="Calibri" w:hAnsi="Calibri"/>
                <w:sz w:val="16"/>
                <w:szCs w:val="16"/>
              </w:rPr>
            </w:pPr>
          </w:p>
          <w:p w:rsidR="00064274" w:rsidRDefault="00064274" w:rsidP="004E2D6C">
            <w:pPr>
              <w:spacing w:before="0"/>
              <w:rPr>
                <w:rFonts w:ascii="Calibri" w:hAnsi="Calibri"/>
                <w:sz w:val="16"/>
                <w:szCs w:val="16"/>
              </w:rPr>
            </w:pPr>
          </w:p>
          <w:p w:rsidR="00064274" w:rsidRPr="004E2D6C" w:rsidRDefault="00064274" w:rsidP="004E2D6C">
            <w:pPr>
              <w:spacing w:before="0"/>
              <w:rPr>
                <w:rFonts w:ascii="Calibri" w:hAnsi="Calibri"/>
                <w:sz w:val="16"/>
                <w:szCs w:val="16"/>
              </w:rPr>
            </w:pPr>
          </w:p>
          <w:p w:rsidR="004E2D6C" w:rsidRPr="004E2D6C" w:rsidRDefault="004E2D6C" w:rsidP="001C5C9E">
            <w:pPr>
              <w:numPr>
                <w:ilvl w:val="0"/>
                <w:numId w:val="62"/>
              </w:numPr>
              <w:spacing w:before="0" w:after="200" w:line="276" w:lineRule="auto"/>
              <w:ind w:left="317"/>
              <w:rPr>
                <w:rFonts w:ascii="Calibri" w:hAnsi="Calibri"/>
                <w:sz w:val="16"/>
                <w:szCs w:val="16"/>
                <w:u w:val="single"/>
                <w:lang w:eastAsia="en-GB"/>
              </w:rPr>
            </w:pPr>
            <w:r w:rsidRPr="004E2D6C">
              <w:rPr>
                <w:rFonts w:ascii="Calibri" w:hAnsi="Calibri"/>
                <w:sz w:val="16"/>
                <w:szCs w:val="16"/>
                <w:u w:val="single"/>
              </w:rPr>
              <w:t>POH na úrovni krajov:</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Podľa zákona č. 223/2001 Z. z. o odpadoch a o zmene </w:t>
            </w:r>
            <w:r w:rsidR="005A599D">
              <w:rPr>
                <w:rFonts w:ascii="Calibri" w:hAnsi="Calibri"/>
                <w:sz w:val="16"/>
                <w:szCs w:val="16"/>
              </w:rPr>
              <w:br/>
            </w:r>
            <w:r w:rsidRPr="004E2D6C">
              <w:rPr>
                <w:rFonts w:ascii="Calibri" w:hAnsi="Calibri"/>
                <w:sz w:val="16"/>
                <w:szCs w:val="16"/>
              </w:rPr>
              <w:t>a doplnení niektorých zákonov v znení neskorších predpisov (ďalej len „zákon o odpadoch“) na POH SR nadväzujú krajské programy odpadového hospodárstva, ktoré pripravujú okresné úrady v sídle kraja.</w:t>
            </w:r>
          </w:p>
          <w:p w:rsidR="004E2D6C" w:rsidRPr="004E2D6C" w:rsidRDefault="004E2D6C" w:rsidP="004E2D6C">
            <w:pPr>
              <w:spacing w:before="0"/>
              <w:rPr>
                <w:rFonts w:ascii="Calibri" w:hAnsi="Calibri"/>
                <w:sz w:val="16"/>
                <w:szCs w:val="16"/>
              </w:rPr>
            </w:pPr>
            <w:r w:rsidRPr="004E2D6C">
              <w:rPr>
                <w:rFonts w:ascii="Calibri" w:hAnsi="Calibri"/>
                <w:sz w:val="16"/>
                <w:szCs w:val="16"/>
              </w:rPr>
              <w:t>Podľa § 5 ods. 5 zákona o odpadoch okresný úrad v sídle kraja je povinný do troch mesiacov od schválenia POH SR predložiť návrh POH kraja na posúdenie podľa osobitného predpisu. Podľa § 6 zákona o odpadoch do štyroch mesiacov od vydania POH kraja musia obce a väčšina pôvodcov odpadov vypracovať vlastné programy, ktoré predložia príslušnému orgánu štátnej správy odpadového hospodárstva na schválenie.</w:t>
            </w:r>
          </w:p>
          <w:p w:rsidR="004E2D6C" w:rsidRPr="004E2D6C" w:rsidRDefault="004E2D6C" w:rsidP="004E2D6C">
            <w:pPr>
              <w:spacing w:before="0"/>
              <w:rPr>
                <w:rFonts w:ascii="Calibri" w:hAnsi="Calibri"/>
                <w:sz w:val="16"/>
                <w:szCs w:val="16"/>
              </w:rPr>
            </w:pPr>
            <w:r w:rsidRPr="004E2D6C">
              <w:rPr>
                <w:rFonts w:ascii="Calibri" w:hAnsi="Calibri"/>
                <w:sz w:val="16"/>
                <w:szCs w:val="16"/>
              </w:rPr>
              <w:t>POH SR v časti 2. obsahuje počet zariadení na zhodnocovanie odpadov v jednotlivých krajoch a v SR (časť 2.4. str. 29). Prognóza produkcie odpadov a spracovateľské kapacity sú riešené prostredníctvom POH na regionálnej úrovni v súlade s článkom 28 smernice 2008/98/ES.</w:t>
            </w:r>
          </w:p>
          <w:p w:rsidR="002245FB" w:rsidRPr="004E2D6C" w:rsidRDefault="002245FB" w:rsidP="002245FB">
            <w:pPr>
              <w:spacing w:before="0"/>
              <w:rPr>
                <w:rFonts w:ascii="Calibri" w:hAnsi="Calibri"/>
                <w:sz w:val="16"/>
                <w:szCs w:val="16"/>
              </w:rPr>
            </w:pPr>
            <w:r w:rsidRPr="00471983">
              <w:rPr>
                <w:rFonts w:ascii="Calibri" w:hAnsi="Calibri"/>
                <w:sz w:val="16"/>
                <w:szCs w:val="16"/>
              </w:rPr>
              <w:t>Všetky vypracované regionálne POH boli z tohto hľadiska prekontrolované a relevantné informácie v nich boli identifikované.</w:t>
            </w:r>
          </w:p>
          <w:p w:rsidR="004E2D6C" w:rsidRDefault="004E2D6C" w:rsidP="004E2D6C">
            <w:pPr>
              <w:spacing w:before="0"/>
              <w:rPr>
                <w:rFonts w:ascii="Calibri" w:hAnsi="Calibri"/>
                <w:sz w:val="16"/>
                <w:szCs w:val="16"/>
              </w:rPr>
            </w:pPr>
          </w:p>
          <w:p w:rsidR="005A599D" w:rsidRDefault="005A599D" w:rsidP="004E2D6C">
            <w:pPr>
              <w:spacing w:before="0"/>
              <w:rPr>
                <w:rFonts w:ascii="Calibri" w:hAnsi="Calibri"/>
                <w:sz w:val="16"/>
                <w:szCs w:val="16"/>
              </w:rPr>
            </w:pPr>
          </w:p>
          <w:p w:rsidR="005A599D" w:rsidRDefault="005A599D" w:rsidP="004E2D6C">
            <w:pPr>
              <w:spacing w:before="0"/>
              <w:rPr>
                <w:rFonts w:ascii="Calibri" w:hAnsi="Calibri"/>
                <w:sz w:val="16"/>
                <w:szCs w:val="16"/>
              </w:rPr>
            </w:pPr>
          </w:p>
          <w:p w:rsidR="005A599D" w:rsidRDefault="005A599D" w:rsidP="004E2D6C">
            <w:pPr>
              <w:spacing w:before="0"/>
              <w:rPr>
                <w:rFonts w:ascii="Calibri" w:hAnsi="Calibri"/>
                <w:sz w:val="16"/>
                <w:szCs w:val="16"/>
              </w:rPr>
            </w:pPr>
          </w:p>
          <w:p w:rsidR="005A599D" w:rsidRDefault="005A599D" w:rsidP="004E2D6C">
            <w:pPr>
              <w:spacing w:before="0"/>
              <w:rPr>
                <w:rFonts w:ascii="Calibri" w:hAnsi="Calibri"/>
                <w:sz w:val="16"/>
                <w:szCs w:val="16"/>
              </w:rPr>
            </w:pPr>
          </w:p>
          <w:p w:rsidR="005A599D" w:rsidRDefault="005A599D" w:rsidP="004E2D6C">
            <w:pPr>
              <w:spacing w:before="0"/>
              <w:rPr>
                <w:rFonts w:ascii="Calibri" w:hAnsi="Calibri"/>
                <w:sz w:val="16"/>
                <w:szCs w:val="16"/>
              </w:rPr>
            </w:pPr>
          </w:p>
          <w:p w:rsidR="005A599D" w:rsidRDefault="005A599D" w:rsidP="004E2D6C">
            <w:pPr>
              <w:spacing w:before="0"/>
              <w:rPr>
                <w:rFonts w:ascii="Calibri" w:hAnsi="Calibri"/>
                <w:sz w:val="16"/>
                <w:szCs w:val="16"/>
              </w:rPr>
            </w:pPr>
          </w:p>
          <w:p w:rsidR="005A599D" w:rsidRPr="004E2D6C" w:rsidRDefault="005A599D"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Máj 2013 - Všetky obvodné úrady životného prostredia v sídle kraja už predložili návrh programu kraja na posudzovanie podľa zákona č. 24/2006 Z. z. o posudzovaní vplyvov na životné prostredie.</w:t>
            </w:r>
          </w:p>
          <w:p w:rsidR="004E2D6C" w:rsidRDefault="004E2D6C" w:rsidP="004E2D6C">
            <w:pPr>
              <w:spacing w:before="0"/>
              <w:rPr>
                <w:rFonts w:ascii="Calibri" w:hAnsi="Calibri"/>
                <w:sz w:val="16"/>
                <w:szCs w:val="16"/>
              </w:rPr>
            </w:pPr>
            <w:r w:rsidRPr="004E2D6C">
              <w:rPr>
                <w:rFonts w:ascii="Calibri" w:hAnsi="Calibri"/>
                <w:sz w:val="16"/>
                <w:szCs w:val="16"/>
              </w:rPr>
              <w:t>Jún 2013 – Vo všetkých ôsmych krajoch na území SR v rámci strategického posudzovania prebehlo verejné prerokovanie.</w:t>
            </w:r>
          </w:p>
          <w:p w:rsidR="002245FB" w:rsidRPr="004E2D6C" w:rsidRDefault="002245FB" w:rsidP="002245FB">
            <w:pPr>
              <w:spacing w:before="0"/>
              <w:rPr>
                <w:rFonts w:ascii="Calibri" w:hAnsi="Calibri"/>
                <w:sz w:val="16"/>
                <w:szCs w:val="16"/>
              </w:rPr>
            </w:pPr>
            <w:r w:rsidRPr="00471983">
              <w:rPr>
                <w:rFonts w:ascii="Calibri" w:hAnsi="Calibri"/>
                <w:sz w:val="16"/>
                <w:szCs w:val="16"/>
              </w:rPr>
              <w:t>Prvý štvrťrok 2014 – všetkých osem okresných úradov v sídle kraja vydalo formou všeobecne záväznej vyhlášky záväznú časť programu kraja</w:t>
            </w:r>
            <w:r>
              <w:rPr>
                <w:rFonts w:ascii="Calibri" w:hAnsi="Calibri"/>
                <w:sz w:val="16"/>
                <w:szCs w:val="16"/>
              </w:rPr>
              <w:t>.</w:t>
            </w:r>
          </w:p>
          <w:p w:rsidR="002245FB" w:rsidRPr="004E2D6C" w:rsidRDefault="002245FB" w:rsidP="004E2D6C">
            <w:pPr>
              <w:spacing w:before="0"/>
              <w:rPr>
                <w:rFonts w:ascii="Calibri" w:hAnsi="Calibri"/>
                <w:sz w:val="16"/>
                <w:szCs w:val="16"/>
              </w:rPr>
            </w:pPr>
          </w:p>
          <w:p w:rsidR="004E2D6C" w:rsidRPr="004E2D6C" w:rsidRDefault="004E2D6C" w:rsidP="004E2D6C">
            <w:pPr>
              <w:spacing w:before="0"/>
              <w:ind w:left="210"/>
              <w:contextualSpacing/>
              <w:rPr>
                <w:rFonts w:ascii="Calibri" w:hAnsi="Calibri"/>
                <w:sz w:val="16"/>
                <w:szCs w:val="16"/>
              </w:rPr>
            </w:pPr>
          </w:p>
          <w:p w:rsidR="004E2D6C" w:rsidRPr="004E2D6C" w:rsidRDefault="004E2D6C" w:rsidP="004E2D6C">
            <w:pPr>
              <w:spacing w:before="0"/>
              <w:rPr>
                <w:rFonts w:ascii="Calibri" w:hAnsi="Calibri"/>
                <w:sz w:val="16"/>
                <w:szCs w:val="16"/>
              </w:rPr>
            </w:pPr>
          </w:p>
        </w:tc>
      </w:tr>
      <w:tr w:rsidR="004E2D6C" w:rsidRPr="004E2D6C" w:rsidTr="002377D3">
        <w:trPr>
          <w:trHeight w:val="494"/>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064274" w:rsidRDefault="004E2D6C" w:rsidP="001C5C9E">
            <w:pPr>
              <w:pStyle w:val="Odsekzoznamu"/>
              <w:numPr>
                <w:ilvl w:val="0"/>
                <w:numId w:val="101"/>
              </w:numPr>
              <w:spacing w:before="0"/>
              <w:ind w:left="175" w:hanging="141"/>
              <w:rPr>
                <w:rFonts w:ascii="Calibri" w:hAnsi="Calibri"/>
                <w:sz w:val="16"/>
                <w:szCs w:val="16"/>
              </w:rPr>
            </w:pPr>
            <w:r w:rsidRPr="00064274">
              <w:rPr>
                <w:rFonts w:ascii="Calibri" w:hAnsi="Calibri"/>
                <w:sz w:val="16"/>
                <w:szCs w:val="16"/>
              </w:rPr>
              <w:t xml:space="preserve">Existencia programov na predchádzanie vzniku odpadu, ako sa vyžaduje v článku 29 smernice 2008/98/ES. </w:t>
            </w:r>
          </w:p>
        </w:tc>
        <w:tc>
          <w:tcPr>
            <w:tcW w:w="1134" w:type="dxa"/>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rPr>
              <w:t>Návrh Programu predchádzania vzniku odpadu Slovenskej republiky na roky 2014 – 2018 bol schválený uznesením vlády SR č. 729/2013.</w:t>
            </w:r>
          </w:p>
          <w:p w:rsidR="004E2D6C" w:rsidRPr="004E2D6C" w:rsidRDefault="004E2D6C" w:rsidP="004E2D6C">
            <w:pPr>
              <w:spacing w:before="0"/>
              <w:rPr>
                <w:rFonts w:ascii="Calibri" w:hAnsi="Calibri"/>
                <w:sz w:val="16"/>
                <w:szCs w:val="16"/>
              </w:rPr>
            </w:pPr>
          </w:p>
          <w:p w:rsidR="004E2D6C" w:rsidRDefault="00ED6BC8" w:rsidP="004E2D6C">
            <w:pPr>
              <w:spacing w:before="0"/>
              <w:rPr>
                <w:rFonts w:ascii="Calibri" w:hAnsi="Calibri"/>
                <w:color w:val="0000FF"/>
                <w:sz w:val="16"/>
                <w:szCs w:val="16"/>
                <w:u w:val="single"/>
              </w:rPr>
            </w:pPr>
            <w:hyperlink r:id="rId84" w:history="1">
              <w:r w:rsidR="004E2D6C" w:rsidRPr="004E2D6C">
                <w:rPr>
                  <w:rFonts w:ascii="Calibri" w:hAnsi="Calibri"/>
                  <w:color w:val="0000FF"/>
                  <w:sz w:val="16"/>
                  <w:szCs w:val="16"/>
                  <w:u w:val="single"/>
                </w:rPr>
                <w:t>http://www.rokovania.sk/Rokovanie.aspx/BodRokovaniaDetail?idMaterial=23114</w:t>
              </w:r>
            </w:hyperlink>
          </w:p>
          <w:p w:rsidR="002B5B4A" w:rsidRPr="004E2D6C" w:rsidRDefault="002B5B4A" w:rsidP="004E2D6C">
            <w:pPr>
              <w:spacing w:before="0"/>
              <w:rPr>
                <w:rFonts w:ascii="Calibri" w:hAnsi="Calibri"/>
                <w:sz w:val="16"/>
                <w:szCs w:val="16"/>
              </w:rPr>
            </w:pPr>
            <w:r w:rsidRPr="00F968A4">
              <w:rPr>
                <w:rFonts w:ascii="Calibri" w:hAnsi="Calibri"/>
                <w:sz w:val="16"/>
                <w:szCs w:val="16"/>
              </w:rPr>
              <w:t>http://www.minzp.sk/files/dokumenty/vestnik-mzp/vestnik-01-2014.pdf</w:t>
            </w:r>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Na 88. schôdzi vlády SR, ktorá sa konala dňa 18.12.2013, bol uznesením vlády SR č. 729/2013 schválený Návrh Programu predchádzania vzniku odpadu Slovenskej republiky na roky 2014 – 2018.</w:t>
            </w:r>
          </w:p>
          <w:p w:rsidR="002B5B4A" w:rsidRPr="00F968A4" w:rsidRDefault="002B5B4A" w:rsidP="002B5B4A">
            <w:pPr>
              <w:spacing w:before="0"/>
              <w:rPr>
                <w:rFonts w:ascii="Calibri" w:hAnsi="Calibri"/>
                <w:sz w:val="16"/>
                <w:szCs w:val="16"/>
              </w:rPr>
            </w:pPr>
            <w:r w:rsidRPr="00F968A4">
              <w:rPr>
                <w:rFonts w:ascii="Calibri" w:hAnsi="Calibri"/>
                <w:sz w:val="16"/>
                <w:szCs w:val="16"/>
              </w:rPr>
              <w:t>Dňa 24.</w:t>
            </w:r>
            <w:r w:rsidR="005A599D">
              <w:rPr>
                <w:rFonts w:ascii="Calibri" w:hAnsi="Calibri"/>
                <w:sz w:val="16"/>
                <w:szCs w:val="16"/>
              </w:rPr>
              <w:t xml:space="preserve"> </w:t>
            </w:r>
            <w:r w:rsidRPr="00F968A4">
              <w:rPr>
                <w:rFonts w:ascii="Calibri" w:hAnsi="Calibri"/>
                <w:sz w:val="16"/>
                <w:szCs w:val="16"/>
              </w:rPr>
              <w:t>02.</w:t>
            </w:r>
            <w:r w:rsidR="005A599D">
              <w:rPr>
                <w:rFonts w:ascii="Calibri" w:hAnsi="Calibri"/>
                <w:sz w:val="16"/>
                <w:szCs w:val="16"/>
              </w:rPr>
              <w:t xml:space="preserve"> </w:t>
            </w:r>
            <w:r w:rsidRPr="00F968A4">
              <w:rPr>
                <w:rFonts w:ascii="Calibri" w:hAnsi="Calibri"/>
                <w:sz w:val="16"/>
                <w:szCs w:val="16"/>
              </w:rPr>
              <w:t>2014 bol Program predchádzania vzniku odpadu Slovenskej republiky na roky 2014 – 2018 zverejnený vo Vestníku MŽP SR č. 1/2014.</w:t>
            </w:r>
          </w:p>
          <w:p w:rsidR="004E2D6C" w:rsidRPr="004E2D6C" w:rsidRDefault="002B5B4A" w:rsidP="002B5B4A">
            <w:pPr>
              <w:spacing w:before="0"/>
              <w:rPr>
                <w:rFonts w:ascii="Calibri" w:hAnsi="Calibri"/>
                <w:sz w:val="16"/>
                <w:szCs w:val="16"/>
              </w:rPr>
            </w:pPr>
            <w:r w:rsidRPr="00F968A4">
              <w:rPr>
                <w:rFonts w:ascii="Calibri" w:hAnsi="Calibri"/>
                <w:sz w:val="16"/>
                <w:szCs w:val="16"/>
              </w:rPr>
              <w:t>Dňa 05.</w:t>
            </w:r>
            <w:r w:rsidR="005A599D">
              <w:rPr>
                <w:rFonts w:ascii="Calibri" w:hAnsi="Calibri"/>
                <w:sz w:val="16"/>
                <w:szCs w:val="16"/>
              </w:rPr>
              <w:t xml:space="preserve"> </w:t>
            </w:r>
            <w:r w:rsidRPr="00F968A4">
              <w:rPr>
                <w:rFonts w:ascii="Calibri" w:hAnsi="Calibri"/>
                <w:sz w:val="16"/>
                <w:szCs w:val="16"/>
              </w:rPr>
              <w:t>03.</w:t>
            </w:r>
            <w:r w:rsidR="005A599D">
              <w:rPr>
                <w:rFonts w:ascii="Calibri" w:hAnsi="Calibri"/>
                <w:sz w:val="16"/>
                <w:szCs w:val="16"/>
              </w:rPr>
              <w:t xml:space="preserve"> </w:t>
            </w:r>
            <w:r w:rsidRPr="00F968A4">
              <w:rPr>
                <w:rFonts w:ascii="Calibri" w:hAnsi="Calibri"/>
                <w:sz w:val="16"/>
                <w:szCs w:val="16"/>
              </w:rPr>
              <w:t>2014 MŽP SR požiadal</w:t>
            </w:r>
            <w:r>
              <w:rPr>
                <w:rFonts w:ascii="Calibri" w:hAnsi="Calibri"/>
                <w:sz w:val="16"/>
                <w:szCs w:val="16"/>
              </w:rPr>
              <w:t>o</w:t>
            </w:r>
            <w:r w:rsidRPr="00F968A4">
              <w:rPr>
                <w:rFonts w:ascii="Calibri" w:hAnsi="Calibri"/>
                <w:sz w:val="16"/>
                <w:szCs w:val="16"/>
              </w:rPr>
              <w:t xml:space="preserve"> stále zastúpenie SR </w:t>
            </w:r>
            <w:r w:rsidR="005A599D">
              <w:rPr>
                <w:rFonts w:ascii="Calibri" w:hAnsi="Calibri"/>
                <w:sz w:val="16"/>
                <w:szCs w:val="16"/>
              </w:rPr>
              <w:br/>
            </w:r>
            <w:r w:rsidRPr="00F968A4">
              <w:rPr>
                <w:rFonts w:ascii="Calibri" w:hAnsi="Calibri"/>
                <w:sz w:val="16"/>
                <w:szCs w:val="16"/>
              </w:rPr>
              <w:t xml:space="preserve">o zaslanie oficiálneho oznámenia Slovenskej republiky </w:t>
            </w:r>
            <w:r w:rsidR="005A599D">
              <w:rPr>
                <w:rFonts w:ascii="Calibri" w:hAnsi="Calibri"/>
                <w:sz w:val="16"/>
                <w:szCs w:val="16"/>
              </w:rPr>
              <w:br/>
            </w:r>
            <w:r w:rsidRPr="00F968A4">
              <w:rPr>
                <w:rFonts w:ascii="Calibri" w:hAnsi="Calibri"/>
                <w:sz w:val="16"/>
                <w:szCs w:val="16"/>
              </w:rPr>
              <w:t>o schválení Programu predchádzania vzniku odpadu Slovenskej republiky na roky na roku 2014 – 2018 generálnej tajomníčke Európskej komisie.</w:t>
            </w:r>
          </w:p>
        </w:tc>
      </w:tr>
      <w:tr w:rsidR="004E2D6C" w:rsidRPr="004E2D6C" w:rsidTr="002377D3">
        <w:trPr>
          <w:trHeight w:val="494"/>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tcPr>
          <w:p w:rsidR="004E2D6C" w:rsidRPr="00064274" w:rsidRDefault="004E2D6C" w:rsidP="001C5C9E">
            <w:pPr>
              <w:pStyle w:val="Odsekzoznamu"/>
              <w:numPr>
                <w:ilvl w:val="0"/>
                <w:numId w:val="101"/>
              </w:numPr>
              <w:spacing w:before="0"/>
              <w:ind w:left="175" w:hanging="141"/>
              <w:rPr>
                <w:rFonts w:ascii="Calibri" w:hAnsi="Calibri"/>
                <w:sz w:val="16"/>
                <w:szCs w:val="16"/>
              </w:rPr>
            </w:pPr>
            <w:r w:rsidRPr="00064274">
              <w:rPr>
                <w:rFonts w:ascii="Calibri" w:hAnsi="Calibri"/>
                <w:sz w:val="16"/>
                <w:szCs w:val="16"/>
              </w:rPr>
              <w:t xml:space="preserve">Prijali sa opatrenia potrebné na dosiahnutie cieľov prípravy na opätovné použitie a recykláciu </w:t>
            </w:r>
            <w:r w:rsidRPr="00064274">
              <w:rPr>
                <w:rFonts w:ascii="Calibri" w:hAnsi="Calibri"/>
                <w:sz w:val="16"/>
                <w:szCs w:val="16"/>
              </w:rPr>
              <w:lastRenderedPageBreak/>
              <w:t>do roku 2020 v súlade s článkom 11 ods. 2 smernice 2008/98/ES.</w:t>
            </w:r>
          </w:p>
        </w:tc>
        <w:tc>
          <w:tcPr>
            <w:tcW w:w="1134" w:type="dxa"/>
            <w:tcBorders>
              <w:bottom w:val="single" w:sz="12" w:space="0" w:color="auto"/>
            </w:tcBorders>
            <w:vAlign w:val="center"/>
          </w:tcPr>
          <w:p w:rsidR="004E2D6C" w:rsidRPr="004E2D6C" w:rsidRDefault="002B5B4A" w:rsidP="00535799">
            <w:pPr>
              <w:spacing w:before="0"/>
              <w:jc w:val="center"/>
              <w:rPr>
                <w:rFonts w:ascii="Calibri" w:hAnsi="Calibri"/>
                <w:sz w:val="16"/>
                <w:szCs w:val="16"/>
              </w:rPr>
            </w:pPr>
            <w:r>
              <w:rPr>
                <w:rFonts w:ascii="Calibri" w:hAnsi="Calibri"/>
                <w:b/>
                <w:sz w:val="16"/>
                <w:szCs w:val="16"/>
              </w:rPr>
              <w:lastRenderedPageBreak/>
              <w:t>Nie</w:t>
            </w:r>
          </w:p>
        </w:tc>
        <w:tc>
          <w:tcPr>
            <w:tcW w:w="3119" w:type="dxa"/>
            <w:tcBorders>
              <w:bottom w:val="single" w:sz="12" w:space="0" w:color="auto"/>
            </w:tcBorders>
          </w:tcPr>
          <w:p w:rsidR="00036E07" w:rsidRDefault="00036E07" w:rsidP="003F0750">
            <w:pPr>
              <w:tabs>
                <w:tab w:val="left" w:pos="2302"/>
              </w:tabs>
              <w:spacing w:before="0" w:after="0"/>
              <w:ind w:left="34"/>
              <w:rPr>
                <w:rFonts w:ascii="Calibri" w:hAnsi="Calibri"/>
                <w:sz w:val="16"/>
                <w:szCs w:val="16"/>
              </w:rPr>
            </w:pPr>
            <w:r>
              <w:rPr>
                <w:rFonts w:ascii="Calibri" w:hAnsi="Calibri"/>
                <w:sz w:val="16"/>
                <w:szCs w:val="16"/>
              </w:rPr>
              <w:t>Novela zákona o odpadoch</w:t>
            </w:r>
          </w:p>
          <w:p w:rsidR="004E2D6C" w:rsidRPr="003F0750" w:rsidRDefault="004E2D6C" w:rsidP="003F0750">
            <w:pPr>
              <w:tabs>
                <w:tab w:val="left" w:pos="2302"/>
              </w:tabs>
              <w:spacing w:before="0" w:after="0"/>
              <w:ind w:left="34"/>
              <w:rPr>
                <w:rFonts w:ascii="Calibri" w:hAnsi="Calibri"/>
                <w:sz w:val="16"/>
                <w:szCs w:val="16"/>
              </w:rPr>
            </w:pPr>
            <w:r w:rsidRPr="003F0750">
              <w:rPr>
                <w:rFonts w:ascii="Calibri" w:hAnsi="Calibri"/>
                <w:sz w:val="16"/>
                <w:szCs w:val="16"/>
              </w:rPr>
              <w:t xml:space="preserve">Zákon č. 343/2012 Z. z. ktorým sa mení </w:t>
            </w:r>
            <w:r w:rsidR="005A599D">
              <w:rPr>
                <w:rFonts w:ascii="Calibri" w:hAnsi="Calibri"/>
                <w:sz w:val="16"/>
                <w:szCs w:val="16"/>
              </w:rPr>
              <w:br/>
            </w:r>
            <w:r w:rsidRPr="003F0750">
              <w:rPr>
                <w:rFonts w:ascii="Calibri" w:hAnsi="Calibri"/>
                <w:sz w:val="16"/>
                <w:szCs w:val="16"/>
              </w:rPr>
              <w:t xml:space="preserve">a dopĺňa zákon č. 223/2001 Z. z. o </w:t>
            </w:r>
            <w:r w:rsidRPr="003F0750">
              <w:rPr>
                <w:rFonts w:ascii="Calibri" w:hAnsi="Calibri"/>
                <w:sz w:val="16"/>
                <w:szCs w:val="16"/>
              </w:rPr>
              <w:lastRenderedPageBreak/>
              <w:t>odpadoch a o zmene a doplnení niektorých zákonov v znení neskorších predpisov a o zmene a doplnení niektorých zákonov</w:t>
            </w:r>
          </w:p>
          <w:p w:rsidR="004E2D6C" w:rsidRPr="004E2D6C" w:rsidRDefault="00ED6BC8" w:rsidP="004E2D6C">
            <w:pPr>
              <w:spacing w:before="0"/>
              <w:rPr>
                <w:rFonts w:ascii="Calibri" w:hAnsi="Calibri"/>
                <w:sz w:val="16"/>
                <w:szCs w:val="16"/>
                <w:u w:val="single"/>
              </w:rPr>
            </w:pPr>
            <w:hyperlink r:id="rId85" w:history="1">
              <w:r w:rsidR="004E2D6C" w:rsidRPr="004E2D6C">
                <w:rPr>
                  <w:rFonts w:ascii="Calibri" w:hAnsi="Calibri"/>
                  <w:color w:val="0000FF"/>
                  <w:sz w:val="16"/>
                  <w:szCs w:val="16"/>
                  <w:u w:val="single"/>
                </w:rPr>
                <w:t>http://www.svps.sk/dokumenty/legislativa/nv_343_2012.pdf</w:t>
              </w:r>
            </w:hyperlink>
            <w:r w:rsidR="004E2D6C" w:rsidRPr="004E2D6C">
              <w:rPr>
                <w:rFonts w:ascii="Calibri" w:hAnsi="Calibri"/>
                <w:sz w:val="16"/>
                <w:szCs w:val="16"/>
                <w:u w:val="single"/>
              </w:rPr>
              <w:t xml:space="preserve"> </w:t>
            </w:r>
          </w:p>
          <w:p w:rsidR="004E2D6C" w:rsidRPr="004E2D6C" w:rsidRDefault="004E2D6C" w:rsidP="004E2D6C">
            <w:pPr>
              <w:spacing w:before="0"/>
              <w:rPr>
                <w:rFonts w:ascii="Calibri" w:hAnsi="Calibri"/>
                <w:sz w:val="16"/>
                <w:szCs w:val="16"/>
                <w:u w:val="single"/>
              </w:rPr>
            </w:pPr>
          </w:p>
          <w:p w:rsidR="004E2D6C" w:rsidRPr="003F0750" w:rsidRDefault="004E2D6C" w:rsidP="004E2D6C">
            <w:pPr>
              <w:spacing w:before="0" w:after="0"/>
              <w:rPr>
                <w:rFonts w:ascii="Calibri" w:hAnsi="Calibri"/>
                <w:sz w:val="16"/>
                <w:szCs w:val="16"/>
              </w:rPr>
            </w:pPr>
            <w:r w:rsidRPr="003F0750">
              <w:rPr>
                <w:rFonts w:ascii="Calibri" w:hAnsi="Calibri"/>
                <w:sz w:val="16"/>
                <w:szCs w:val="16"/>
              </w:rPr>
              <w:t xml:space="preserve">Zákon č. 434/2013 Z. z ktorým sa mení </w:t>
            </w:r>
            <w:r w:rsidR="005A599D">
              <w:rPr>
                <w:rFonts w:ascii="Calibri" w:hAnsi="Calibri"/>
                <w:sz w:val="16"/>
                <w:szCs w:val="16"/>
              </w:rPr>
              <w:br/>
            </w:r>
            <w:r w:rsidRPr="003F0750">
              <w:rPr>
                <w:rFonts w:ascii="Calibri" w:hAnsi="Calibri"/>
                <w:sz w:val="16"/>
                <w:szCs w:val="16"/>
              </w:rPr>
              <w:t>a dopĺňa zákon č. 17/2004 Z. z. o poplatkoch za uloženie odpadov</w:t>
            </w:r>
          </w:p>
          <w:p w:rsidR="004E2D6C" w:rsidRPr="004E2D6C" w:rsidRDefault="00ED6BC8" w:rsidP="004E2D6C">
            <w:pPr>
              <w:spacing w:before="0"/>
              <w:rPr>
                <w:rFonts w:ascii="Calibri" w:hAnsi="Calibri"/>
                <w:sz w:val="16"/>
                <w:szCs w:val="16"/>
                <w:u w:val="single"/>
              </w:rPr>
            </w:pPr>
            <w:hyperlink r:id="rId86" w:history="1">
              <w:r w:rsidR="004E2D6C" w:rsidRPr="004E2D6C">
                <w:rPr>
                  <w:rFonts w:ascii="Calibri" w:hAnsi="Calibri"/>
                  <w:color w:val="0000FF"/>
                  <w:sz w:val="16"/>
                  <w:szCs w:val="16"/>
                  <w:u w:val="single"/>
                </w:rPr>
                <w:t>www.zbierka.sk/sk/predpisy/434-2013-z-z.p-35488.pdf</w:t>
              </w:r>
            </w:hyperlink>
            <w:r w:rsidR="004E2D6C" w:rsidRPr="004E2D6C">
              <w:rPr>
                <w:rFonts w:ascii="Calibri" w:hAnsi="Calibri"/>
                <w:sz w:val="16"/>
                <w:szCs w:val="16"/>
                <w:u w:val="single"/>
              </w:rPr>
              <w:t xml:space="preserve">  </w:t>
            </w:r>
          </w:p>
          <w:p w:rsidR="004E2D6C" w:rsidRPr="004E2D6C" w:rsidRDefault="004E2D6C" w:rsidP="004E2D6C">
            <w:pPr>
              <w:spacing w:before="0"/>
              <w:rPr>
                <w:rFonts w:ascii="Calibri" w:hAnsi="Calibri"/>
                <w:sz w:val="16"/>
                <w:szCs w:val="16"/>
                <w:u w:val="single"/>
              </w:rPr>
            </w:pPr>
          </w:p>
          <w:p w:rsidR="004E2D6C" w:rsidRPr="004E2D6C" w:rsidRDefault="004E2D6C" w:rsidP="004E2D6C">
            <w:pPr>
              <w:spacing w:before="0" w:after="0"/>
              <w:rPr>
                <w:rFonts w:ascii="Calibri" w:hAnsi="Calibri"/>
                <w:sz w:val="16"/>
                <w:szCs w:val="16"/>
              </w:rPr>
            </w:pPr>
            <w:r w:rsidRPr="004E2D6C">
              <w:rPr>
                <w:rFonts w:ascii="Calibri" w:hAnsi="Calibri"/>
                <w:sz w:val="16"/>
                <w:szCs w:val="16"/>
              </w:rPr>
              <w:t>Program odpadového hospodárstva Slovenskej republiky na roky 2011 až 2015 (POH SR)</w:t>
            </w:r>
          </w:p>
          <w:p w:rsidR="002B5B4A" w:rsidRPr="00966411" w:rsidRDefault="002B5B4A" w:rsidP="002B5B4A">
            <w:pPr>
              <w:spacing w:before="0" w:after="0"/>
              <w:rPr>
                <w:rFonts w:ascii="Calibri" w:hAnsi="Calibri"/>
                <w:sz w:val="16"/>
                <w:szCs w:val="16"/>
              </w:rPr>
            </w:pPr>
            <w:r w:rsidRPr="00966411">
              <w:rPr>
                <w:rFonts w:ascii="Calibri" w:hAnsi="Calibri"/>
                <w:sz w:val="16"/>
                <w:szCs w:val="16"/>
              </w:rPr>
              <w:t>- Uznesenie vlády Slovenskej republiky č. 69/2012 z 22. februára 2012 k Programu odpadového hospodárstva SR na roky 2011 až 2015</w:t>
            </w:r>
          </w:p>
          <w:p w:rsidR="002B5B4A" w:rsidRDefault="002B5B4A" w:rsidP="002B5B4A">
            <w:pPr>
              <w:spacing w:before="0" w:after="0"/>
              <w:rPr>
                <w:rFonts w:ascii="Calibri" w:hAnsi="Calibri"/>
                <w:sz w:val="16"/>
                <w:szCs w:val="16"/>
                <w:u w:val="single"/>
              </w:rPr>
            </w:pPr>
          </w:p>
          <w:p w:rsidR="002B5B4A" w:rsidRPr="004E2D6C" w:rsidRDefault="002B5B4A" w:rsidP="002B5B4A">
            <w:pPr>
              <w:spacing w:before="0" w:after="0"/>
              <w:rPr>
                <w:rFonts w:ascii="Calibri" w:hAnsi="Calibri"/>
                <w:sz w:val="16"/>
                <w:szCs w:val="16"/>
              </w:rPr>
            </w:pPr>
            <w:r w:rsidRPr="00781D4F">
              <w:rPr>
                <w:rFonts w:ascii="Calibri" w:hAnsi="Calibri"/>
                <w:sz w:val="16"/>
                <w:szCs w:val="16"/>
                <w:u w:val="single"/>
              </w:rPr>
              <w:t>http://www.minzp.sk/sekcie/temy-oblasti/odpady-obaly/poh/poh-2011-2015/</w:t>
            </w:r>
          </w:p>
          <w:p w:rsidR="004E2D6C" w:rsidRPr="004E2D6C" w:rsidRDefault="004E2D6C" w:rsidP="004E2D6C">
            <w:pPr>
              <w:spacing w:before="0"/>
              <w:rPr>
                <w:rFonts w:ascii="Calibri" w:hAnsi="Calibri"/>
                <w:sz w:val="16"/>
                <w:szCs w:val="16"/>
                <w:u w:val="single"/>
              </w:rPr>
            </w:pPr>
          </w:p>
        </w:tc>
        <w:tc>
          <w:tcPr>
            <w:tcW w:w="4111" w:type="dxa"/>
            <w:tcBorders>
              <w:bottom w:val="single" w:sz="12" w:space="0" w:color="auto"/>
              <w:right w:val="single" w:sz="12" w:space="0" w:color="auto"/>
            </w:tcBorders>
          </w:tcPr>
          <w:p w:rsidR="00036E07" w:rsidRPr="00966411" w:rsidRDefault="00036E07" w:rsidP="00036E07">
            <w:pPr>
              <w:spacing w:after="0"/>
              <w:rPr>
                <w:rFonts w:ascii="Calibri" w:hAnsi="Calibri"/>
                <w:sz w:val="16"/>
                <w:szCs w:val="16"/>
              </w:rPr>
            </w:pPr>
            <w:r w:rsidRPr="00966411">
              <w:rPr>
                <w:rFonts w:ascii="Calibri" w:hAnsi="Calibri"/>
                <w:sz w:val="16"/>
                <w:szCs w:val="16"/>
              </w:rPr>
              <w:lastRenderedPageBreak/>
              <w:t xml:space="preserve">Smernica o odpade v článku 11 ods. 2 smernice stanovuje ciele v oblasti prípravy na opätovné použitie a recykláciu, ktoré je potrebné do r. 2020 dosiahnuť, pričom opatrenia </w:t>
            </w:r>
            <w:r w:rsidRPr="00966411">
              <w:rPr>
                <w:rFonts w:ascii="Calibri" w:hAnsi="Calibri"/>
                <w:sz w:val="16"/>
                <w:szCs w:val="16"/>
              </w:rPr>
              <w:lastRenderedPageBreak/>
              <w:t>na ich dosiahnutie sú v kompetencii členského štátu.</w:t>
            </w:r>
          </w:p>
          <w:p w:rsidR="00036E07" w:rsidRPr="00966411" w:rsidRDefault="00036E07" w:rsidP="00036E07">
            <w:pPr>
              <w:spacing w:before="0"/>
              <w:rPr>
                <w:rFonts w:ascii="Calibri" w:hAnsi="Calibri"/>
                <w:sz w:val="16"/>
                <w:szCs w:val="16"/>
                <w:highlight w:val="yellow"/>
              </w:rPr>
            </w:pPr>
          </w:p>
          <w:p w:rsidR="00036E07" w:rsidRPr="00966411" w:rsidRDefault="00036E07" w:rsidP="00036E07">
            <w:pPr>
              <w:spacing w:before="0"/>
              <w:rPr>
                <w:rFonts w:ascii="Calibri" w:hAnsi="Calibri"/>
                <w:sz w:val="16"/>
                <w:szCs w:val="16"/>
              </w:rPr>
            </w:pPr>
            <w:r w:rsidRPr="00966411">
              <w:rPr>
                <w:rFonts w:ascii="Calibri" w:hAnsi="Calibri"/>
                <w:sz w:val="16"/>
                <w:szCs w:val="16"/>
              </w:rPr>
              <w:t>SR bude pri výpočte plnenia cieľov ustanovených v článku 11(2) rámcovej smernice o odpade postupovať podľa rozhodnutia Komisie 2011/753/ES, ktorý stanovuje 4 metódy výpočtu cieľa týkajúceho sa komunálneho odpadu a metódu výpočtu cieľa týkajúceho sa stavebného odpadu a odpadu z demolácií.</w:t>
            </w:r>
          </w:p>
          <w:p w:rsidR="00036E07" w:rsidRPr="00966411" w:rsidRDefault="00036E07" w:rsidP="00036E07">
            <w:pPr>
              <w:tabs>
                <w:tab w:val="left" w:pos="2302"/>
              </w:tabs>
              <w:spacing w:before="0"/>
              <w:ind w:left="34"/>
              <w:rPr>
                <w:rFonts w:ascii="Calibri" w:hAnsi="Calibri"/>
                <w:sz w:val="16"/>
                <w:szCs w:val="16"/>
                <w:highlight w:val="yellow"/>
              </w:rPr>
            </w:pPr>
            <w:r w:rsidRPr="00966411">
              <w:rPr>
                <w:rFonts w:ascii="Calibri" w:hAnsi="Calibri"/>
                <w:sz w:val="16"/>
                <w:szCs w:val="16"/>
              </w:rPr>
              <w:t xml:space="preserve">V súvislosti s požiadavkami článku 11(2) rámcovej smernice o odpade SR prijala opatrenia, ktoré sa týkajú úpravy, novelizácie právnych predpisov v oblasti odpadového hospodárstva a stanovenia cieľov a opatrení </w:t>
            </w:r>
            <w:r w:rsidR="005A599D" w:rsidRPr="00966411">
              <w:rPr>
                <w:rFonts w:ascii="Calibri" w:hAnsi="Calibri"/>
                <w:sz w:val="16"/>
                <w:szCs w:val="16"/>
              </w:rPr>
              <w:br/>
            </w:r>
            <w:r w:rsidRPr="00966411">
              <w:rPr>
                <w:rFonts w:ascii="Calibri" w:hAnsi="Calibri"/>
                <w:sz w:val="16"/>
                <w:szCs w:val="16"/>
              </w:rPr>
              <w:t>v programe odpadového hospodárstva.</w:t>
            </w:r>
          </w:p>
          <w:p w:rsidR="00036E07" w:rsidRPr="00966411" w:rsidRDefault="00036E07" w:rsidP="00036E07">
            <w:pPr>
              <w:spacing w:before="0"/>
              <w:rPr>
                <w:rFonts w:ascii="Calibri" w:hAnsi="Calibri"/>
                <w:sz w:val="16"/>
                <w:szCs w:val="16"/>
              </w:rPr>
            </w:pPr>
            <w:r w:rsidRPr="00966411">
              <w:rPr>
                <w:rFonts w:ascii="Calibri" w:hAnsi="Calibri"/>
                <w:sz w:val="16"/>
                <w:szCs w:val="16"/>
              </w:rPr>
              <w:t>Novela zákona o odpadoch:</w:t>
            </w:r>
          </w:p>
          <w:p w:rsidR="00036E07" w:rsidRPr="00F97BE0" w:rsidRDefault="00036E07" w:rsidP="00036E07">
            <w:pPr>
              <w:spacing w:before="0"/>
              <w:rPr>
                <w:rFonts w:ascii="Calibri" w:hAnsi="Calibri"/>
                <w:sz w:val="16"/>
                <w:szCs w:val="16"/>
              </w:rPr>
            </w:pPr>
            <w:r w:rsidRPr="004E2D6C">
              <w:rPr>
                <w:rFonts w:ascii="Calibri" w:hAnsi="Calibri"/>
                <w:sz w:val="16"/>
                <w:szCs w:val="16"/>
              </w:rPr>
              <w:t>Zákon č. 343/2012 Z. z. ktorým sa mení a dopĺňa zákon č. 223/2001 Z. z. o odpadoch a o zmene a doplnení niektorých zákonov v znení neskorších predpisov a o zmene a doplnení niektorých zákonov. Tento zákon nadobudol účinnosť dňa 1.</w:t>
            </w:r>
            <w:r>
              <w:rPr>
                <w:rFonts w:ascii="Calibri" w:hAnsi="Calibri"/>
                <w:sz w:val="16"/>
                <w:szCs w:val="16"/>
              </w:rPr>
              <w:t xml:space="preserve"> </w:t>
            </w:r>
            <w:r w:rsidRPr="004E2D6C">
              <w:rPr>
                <w:rFonts w:ascii="Calibri" w:hAnsi="Calibri"/>
                <w:sz w:val="16"/>
                <w:szCs w:val="16"/>
              </w:rPr>
              <w:t>1.</w:t>
            </w:r>
            <w:r>
              <w:rPr>
                <w:rFonts w:ascii="Calibri" w:hAnsi="Calibri"/>
                <w:sz w:val="16"/>
                <w:szCs w:val="16"/>
              </w:rPr>
              <w:t xml:space="preserve"> </w:t>
            </w:r>
            <w:r w:rsidRPr="004E2D6C">
              <w:rPr>
                <w:rFonts w:ascii="Calibri" w:hAnsi="Calibri"/>
                <w:sz w:val="16"/>
                <w:szCs w:val="16"/>
              </w:rPr>
              <w:t>2013.</w:t>
            </w:r>
            <w:r w:rsidRPr="00F97BE0">
              <w:rPr>
                <w:rFonts w:ascii="Calibri" w:hAnsi="Calibri"/>
                <w:sz w:val="16"/>
                <w:szCs w:val="16"/>
              </w:rPr>
              <w:t xml:space="preserve"> Novelou zákona o odpadoch bola do národnej legislatívy SR implementovaná smernica o odpade.</w:t>
            </w:r>
          </w:p>
          <w:p w:rsidR="00036E07" w:rsidRPr="00F97BE0" w:rsidRDefault="00036E07" w:rsidP="00036E07">
            <w:pPr>
              <w:spacing w:before="0"/>
              <w:rPr>
                <w:rFonts w:ascii="Calibri" w:hAnsi="Calibri"/>
                <w:sz w:val="16"/>
                <w:szCs w:val="16"/>
              </w:rPr>
            </w:pPr>
            <w:r w:rsidRPr="00F97BE0">
              <w:rPr>
                <w:rFonts w:ascii="Calibri" w:hAnsi="Calibri"/>
                <w:sz w:val="16"/>
                <w:szCs w:val="16"/>
              </w:rPr>
              <w:t xml:space="preserve">SR prostredníctvom novelizácie zákona od odpadoch na zabezpečenie cieľov v oblasti opätovného použitia </w:t>
            </w:r>
            <w:r w:rsidR="005A599D">
              <w:rPr>
                <w:rFonts w:ascii="Calibri" w:hAnsi="Calibri"/>
                <w:sz w:val="16"/>
                <w:szCs w:val="16"/>
              </w:rPr>
              <w:br/>
            </w:r>
            <w:r w:rsidRPr="00F97BE0">
              <w:rPr>
                <w:rFonts w:ascii="Calibri" w:hAnsi="Calibri"/>
                <w:sz w:val="16"/>
                <w:szCs w:val="16"/>
              </w:rPr>
              <w:t>a recyklácie má stanovené nasledovné opatrenia:</w:t>
            </w:r>
          </w:p>
          <w:p w:rsidR="00036E07" w:rsidRPr="00F97BE0" w:rsidRDefault="00036E07" w:rsidP="00036E07">
            <w:pPr>
              <w:spacing w:before="0"/>
              <w:rPr>
                <w:rFonts w:ascii="Calibri" w:hAnsi="Calibri"/>
                <w:sz w:val="16"/>
                <w:szCs w:val="16"/>
              </w:rPr>
            </w:pPr>
            <w:r w:rsidRPr="00F97BE0">
              <w:rPr>
                <w:rFonts w:ascii="Calibri" w:hAnsi="Calibri"/>
                <w:sz w:val="16"/>
                <w:szCs w:val="16"/>
              </w:rPr>
              <w:t xml:space="preserve">- začlenenie nových pojmov v oblasti opätovného použitia </w:t>
            </w:r>
            <w:r w:rsidR="005A599D">
              <w:rPr>
                <w:rFonts w:ascii="Calibri" w:hAnsi="Calibri"/>
                <w:sz w:val="16"/>
                <w:szCs w:val="16"/>
              </w:rPr>
              <w:br/>
            </w:r>
            <w:r w:rsidRPr="00F97BE0">
              <w:rPr>
                <w:rFonts w:ascii="Calibri" w:hAnsi="Calibri"/>
                <w:sz w:val="16"/>
                <w:szCs w:val="16"/>
              </w:rPr>
              <w:t>a recyklácie v zmysle smernice o odpade do národnej legislatívy (ako napr. opätovné použitie, príprava na opätovné použitie, spracovanie, recyklácia, vedľajší produkt a stav konca odpadu).</w:t>
            </w:r>
          </w:p>
          <w:p w:rsidR="00036E07" w:rsidRPr="00F97BE0" w:rsidRDefault="00036E07" w:rsidP="00036E07">
            <w:pPr>
              <w:spacing w:before="0"/>
              <w:rPr>
                <w:rFonts w:ascii="Calibri" w:hAnsi="Calibri"/>
                <w:sz w:val="16"/>
                <w:szCs w:val="16"/>
              </w:rPr>
            </w:pPr>
            <w:r w:rsidRPr="00F97BE0">
              <w:rPr>
                <w:rFonts w:ascii="Calibri" w:hAnsi="Calibri"/>
                <w:sz w:val="16"/>
                <w:szCs w:val="16"/>
              </w:rPr>
              <w:t>- zavedenie novej hierarchie odpadového hospodárstva v nadväznosti na čl. 4 smernice o odpade do národnej legislatívy. Základom hierarchie odpadového hospodárstva je predchádzanie vzniku odpadu. Nóvum v hierarchii je príprava na opätovné použitie. Hierarchia je záväzná a má sa uplatňovať s cieľom predchádzania alebo znižovania nepriaznivých vplyvov nakladania s odpadom a znižovania vplyvov využívania primárnych zdrojov.</w:t>
            </w:r>
          </w:p>
          <w:p w:rsidR="00036E07" w:rsidRPr="00F97BE0" w:rsidRDefault="00036E07" w:rsidP="00036E07">
            <w:pPr>
              <w:spacing w:before="0"/>
              <w:rPr>
                <w:rFonts w:ascii="Calibri" w:hAnsi="Calibri"/>
                <w:sz w:val="16"/>
                <w:szCs w:val="16"/>
              </w:rPr>
            </w:pPr>
            <w:r w:rsidRPr="00F97BE0">
              <w:rPr>
                <w:rFonts w:ascii="Calibri" w:hAnsi="Calibri"/>
                <w:sz w:val="16"/>
                <w:szCs w:val="16"/>
              </w:rPr>
              <w:t xml:space="preserve">- stanovenie cieľov odpadového hospodárstva v oblasti komunálnych odpadov a stavebných a demolačných </w:t>
            </w:r>
            <w:r w:rsidRPr="00F97BE0">
              <w:rPr>
                <w:rFonts w:ascii="Calibri" w:hAnsi="Calibri"/>
                <w:sz w:val="16"/>
                <w:szCs w:val="16"/>
              </w:rPr>
              <w:lastRenderedPageBreak/>
              <w:t xml:space="preserve">odpadov. Navrhované ciele v predmetnej oblasti: „Cieľom odpadového hospodárstva v oblasti komunálnych odpadov je do roku 2020 zvýšiť prípravu na opätovné použitie </w:t>
            </w:r>
            <w:r w:rsidR="003A5209">
              <w:rPr>
                <w:rFonts w:ascii="Calibri" w:hAnsi="Calibri"/>
                <w:sz w:val="16"/>
                <w:szCs w:val="16"/>
              </w:rPr>
              <w:br/>
            </w:r>
            <w:r w:rsidRPr="00F97BE0">
              <w:rPr>
                <w:rFonts w:ascii="Calibri" w:hAnsi="Calibri"/>
                <w:sz w:val="16"/>
                <w:szCs w:val="16"/>
              </w:rPr>
              <w:t xml:space="preserve">a recykláciu komunálnych odpadov ako papier, kov, plasty </w:t>
            </w:r>
            <w:r w:rsidR="003A5209">
              <w:rPr>
                <w:rFonts w:ascii="Calibri" w:hAnsi="Calibri"/>
                <w:sz w:val="16"/>
                <w:szCs w:val="16"/>
              </w:rPr>
              <w:br/>
            </w:r>
            <w:r w:rsidRPr="00F97BE0">
              <w:rPr>
                <w:rFonts w:ascii="Calibri" w:hAnsi="Calibri"/>
                <w:sz w:val="16"/>
                <w:szCs w:val="16"/>
              </w:rPr>
              <w:t xml:space="preserve">a sklo najmenej na 50 % hmotnosti vzniknutých odpadov. Cieľom odpadového hospodárstva v oblasti stavebných </w:t>
            </w:r>
            <w:r w:rsidR="003A5209">
              <w:rPr>
                <w:rFonts w:ascii="Calibri" w:hAnsi="Calibri"/>
                <w:sz w:val="16"/>
                <w:szCs w:val="16"/>
              </w:rPr>
              <w:br/>
            </w:r>
            <w:r w:rsidRPr="00F97BE0">
              <w:rPr>
                <w:rFonts w:ascii="Calibri" w:hAnsi="Calibri"/>
                <w:sz w:val="16"/>
                <w:szCs w:val="16"/>
              </w:rPr>
              <w:t>a demolačných odpadov je do roku 2020 zvýšiť prípravu na opätovné použitie, recykláciu a zhodnotenie stavebného a demolačného odpadu vrátane zasypávacích prác ako náhrady za iné materiály najmenej na 70 % hmotnosti vzniknutého odpadu; tento cieľ sa uplatní na odpady uvedené v skupine číslo 17 Katalógu odpadov [§ 68 ods. 3 písm. e)], okrem nebezpečných odpadov a odpadu pod katalógovým číslom 17 05 04.“</w:t>
            </w:r>
          </w:p>
          <w:p w:rsidR="00036E07" w:rsidRPr="00F97BE0" w:rsidRDefault="00036E07" w:rsidP="00036E07">
            <w:pPr>
              <w:spacing w:before="0"/>
              <w:rPr>
                <w:rFonts w:ascii="Calibri" w:hAnsi="Calibri"/>
                <w:sz w:val="16"/>
                <w:szCs w:val="16"/>
              </w:rPr>
            </w:pPr>
            <w:r w:rsidRPr="00F97BE0">
              <w:rPr>
                <w:rFonts w:ascii="Calibri" w:hAnsi="Calibri"/>
                <w:sz w:val="16"/>
                <w:szCs w:val="16"/>
              </w:rPr>
              <w:t>- povinnosť obce zaviesť a zabezpečiť vykonávanie triedeného zberu komunálnych odpadov pre papier, plasty, kovy, sklo a biologicky rozložiteľné odpady, okrem tých, ktorých pôvodcom je prevádzkovateľ kuchyne.</w:t>
            </w:r>
          </w:p>
          <w:p w:rsidR="00036E07" w:rsidRDefault="00036E07" w:rsidP="00036E07">
            <w:pPr>
              <w:spacing w:before="0"/>
              <w:rPr>
                <w:rFonts w:ascii="Calibri" w:hAnsi="Calibri"/>
                <w:sz w:val="16"/>
                <w:szCs w:val="16"/>
              </w:rPr>
            </w:pPr>
            <w:r w:rsidRPr="00A366DB">
              <w:rPr>
                <w:rFonts w:ascii="Calibri" w:hAnsi="Calibri"/>
                <w:sz w:val="16"/>
                <w:szCs w:val="16"/>
              </w:rPr>
              <w:t>Už od roku 2010 platí v SR povinnosť pre obec vykonávať triedený zber pre 4 zložky komunálnych odpadov – papier, plasty, sklo a kovy, väčšina miest a obcí však mala zavedený triedený zber ešte pred rokom 2010.</w:t>
            </w:r>
          </w:p>
          <w:p w:rsidR="00036E07" w:rsidRPr="00D8568F" w:rsidRDefault="00036E07" w:rsidP="00036E07">
            <w:pPr>
              <w:spacing w:before="0"/>
              <w:rPr>
                <w:rFonts w:ascii="Calibri" w:hAnsi="Calibri"/>
                <w:sz w:val="16"/>
                <w:szCs w:val="16"/>
              </w:rPr>
            </w:pPr>
            <w:r w:rsidRPr="00D8568F">
              <w:rPr>
                <w:rFonts w:ascii="Calibri" w:hAnsi="Calibri"/>
                <w:sz w:val="16"/>
                <w:szCs w:val="16"/>
              </w:rPr>
              <w:t>2. Novelizácia zákona o poplatkoch za uloženie odpadov:</w:t>
            </w:r>
          </w:p>
          <w:p w:rsidR="00036E07" w:rsidRPr="00D8568F" w:rsidRDefault="00036E07" w:rsidP="00036E07">
            <w:pPr>
              <w:spacing w:before="0"/>
              <w:rPr>
                <w:rFonts w:ascii="Calibri" w:hAnsi="Calibri"/>
                <w:sz w:val="16"/>
                <w:szCs w:val="16"/>
              </w:rPr>
            </w:pPr>
            <w:r w:rsidRPr="00D8568F">
              <w:rPr>
                <w:rFonts w:ascii="Calibri" w:hAnsi="Calibri"/>
                <w:sz w:val="16"/>
                <w:szCs w:val="16"/>
              </w:rPr>
              <w:t>Zákon č. 434/2013 Z. z ktorým sa mení a dopĺňa zákon č. 17/2004 Z. z. o poplatkoch za uloženie odpadov, ktorý nadobudol účinnosť dňa 1.</w:t>
            </w:r>
            <w:r w:rsidR="003A5209">
              <w:rPr>
                <w:rFonts w:ascii="Calibri" w:hAnsi="Calibri"/>
                <w:sz w:val="16"/>
                <w:szCs w:val="16"/>
              </w:rPr>
              <w:t xml:space="preserve"> </w:t>
            </w:r>
            <w:r w:rsidRPr="00D8568F">
              <w:rPr>
                <w:rFonts w:ascii="Calibri" w:hAnsi="Calibri"/>
                <w:sz w:val="16"/>
                <w:szCs w:val="16"/>
              </w:rPr>
              <w:t>1.</w:t>
            </w:r>
            <w:r w:rsidR="003A5209">
              <w:rPr>
                <w:rFonts w:ascii="Calibri" w:hAnsi="Calibri"/>
                <w:sz w:val="16"/>
                <w:szCs w:val="16"/>
              </w:rPr>
              <w:t xml:space="preserve"> </w:t>
            </w:r>
            <w:r w:rsidRPr="00D8568F">
              <w:rPr>
                <w:rFonts w:ascii="Calibri" w:hAnsi="Calibri"/>
                <w:sz w:val="16"/>
                <w:szCs w:val="16"/>
              </w:rPr>
              <w:t xml:space="preserve">2014. </w:t>
            </w:r>
          </w:p>
          <w:p w:rsidR="00036E07" w:rsidRPr="00D8568F" w:rsidRDefault="00036E07" w:rsidP="00036E07">
            <w:pPr>
              <w:spacing w:before="0"/>
              <w:rPr>
                <w:rFonts w:ascii="Calibri" w:hAnsi="Calibri"/>
                <w:sz w:val="16"/>
                <w:szCs w:val="16"/>
              </w:rPr>
            </w:pPr>
          </w:p>
          <w:p w:rsidR="00036E07" w:rsidRPr="00F97BE0" w:rsidRDefault="00036E07" w:rsidP="00036E07">
            <w:pPr>
              <w:spacing w:before="0"/>
              <w:rPr>
                <w:rFonts w:ascii="Calibri" w:hAnsi="Calibri"/>
                <w:sz w:val="16"/>
                <w:szCs w:val="16"/>
              </w:rPr>
            </w:pPr>
            <w:r w:rsidRPr="00D8568F">
              <w:rPr>
                <w:rFonts w:ascii="Calibri" w:hAnsi="Calibri"/>
                <w:sz w:val="16"/>
                <w:szCs w:val="16"/>
              </w:rPr>
              <w:t xml:space="preserve">V roku 2013 bol novelizovaný  zákon č. 17/2004 Z. z. o poplatkoch za uloženie odpadov v znení neskorších predpisov, ktorý okrem znevýhodňovania skládkovania ako takého motivuje obce k zavedeniu triedeného zberu, keďže na základe zavedeného triedeného zberu, v závislosti od počtu vytriedených zložiek, znižuje poplatok za skládkovanie komunálneho odpadu (KO). Skládkové dane sa až do r. 2016 majú postupne zvyšovať - v rámci novely zákona o poplatkoch bola zvýšená skládková daň pre vybrané druhy ostatných odpadov (predovšetkým biologicky rozložiteľné odpady a odpady z obalov), ktorá má do roku 2016 vystúpiť na úroveň 30 EUR. Rovnako bola </w:t>
            </w:r>
            <w:r w:rsidRPr="00D8568F">
              <w:rPr>
                <w:rFonts w:ascii="Calibri" w:hAnsi="Calibri"/>
                <w:sz w:val="16"/>
                <w:szCs w:val="16"/>
              </w:rPr>
              <w:lastRenderedPageBreak/>
              <w:t xml:space="preserve">zvýšená skládková daň pre vybrané druhy nebezpečných odpadov, ktorá má do roku 2016 vystúpiť na úroveň 60 EUR. </w:t>
            </w:r>
          </w:p>
          <w:p w:rsidR="00036E07" w:rsidRPr="00BB74EF" w:rsidRDefault="00036E07" w:rsidP="00036E07">
            <w:pPr>
              <w:spacing w:before="0"/>
              <w:rPr>
                <w:rFonts w:ascii="Calibri" w:hAnsi="Calibri"/>
                <w:sz w:val="16"/>
                <w:szCs w:val="16"/>
              </w:rPr>
            </w:pPr>
            <w:r w:rsidRPr="00D8568F">
              <w:rPr>
                <w:rFonts w:ascii="Calibri" w:hAnsi="Calibri"/>
                <w:sz w:val="16"/>
                <w:szCs w:val="16"/>
              </w:rPr>
              <w:t xml:space="preserve">Výška poplatku za skládkovanie komunálneho odpadu bola stanovená na základe rešpektovania princípu partnerstva, t.j. na základe dohody vlády SR a  sociálnych partnerov (najmä Združenie miest a obcí Slovenska) a zodpovedá sociálnej prijateľnosti a ekonomickej úrovni v SR. (Pozn: MŽP SR navrhovalo zvýšiť poplatok za ukladanie odpadov na skládky odpadov aj pre komunálne odpady, avšak na základe Memoranda o spolupráci pri uplatňovaní rozpočtovej politiky orientovanej na zabezpečenie finančnej stability verejného sektora na r. 2013 medzi vládou SR </w:t>
            </w:r>
            <w:r w:rsidR="003A5209">
              <w:rPr>
                <w:rFonts w:ascii="Calibri" w:hAnsi="Calibri"/>
                <w:sz w:val="16"/>
                <w:szCs w:val="16"/>
              </w:rPr>
              <w:br/>
            </w:r>
            <w:r w:rsidRPr="00D8568F">
              <w:rPr>
                <w:rFonts w:ascii="Calibri" w:hAnsi="Calibri"/>
                <w:sz w:val="16"/>
                <w:szCs w:val="16"/>
              </w:rPr>
              <w:t>a Združením miest a obcí SR, nebol návrh na zvýšenie poplatkov za ukladanie odpadov na skládky odpadov podporený s konštatovaním, že zákon o poplatkoch za skládkovanie odpadov je v súčasnosti nastavený adekvátne k hospodárskemu vývoju a ekonomickej situácii  SR.)</w:t>
            </w:r>
          </w:p>
          <w:p w:rsidR="00036E07" w:rsidRPr="00D8568F" w:rsidRDefault="00036E07" w:rsidP="00036E07">
            <w:pPr>
              <w:spacing w:before="0"/>
              <w:rPr>
                <w:rFonts w:ascii="Calibri" w:hAnsi="Calibri"/>
                <w:sz w:val="16"/>
                <w:szCs w:val="16"/>
              </w:rPr>
            </w:pPr>
            <w:r w:rsidRPr="00D8568F">
              <w:rPr>
                <w:rFonts w:ascii="Calibri" w:hAnsi="Calibri"/>
                <w:sz w:val="16"/>
                <w:szCs w:val="16"/>
              </w:rPr>
              <w:t>3. POH na národnej úrovni:</w:t>
            </w:r>
          </w:p>
          <w:p w:rsidR="00036E07" w:rsidRDefault="00036E07" w:rsidP="00036E07">
            <w:pPr>
              <w:spacing w:before="0"/>
              <w:rPr>
                <w:rFonts w:ascii="Calibri" w:hAnsi="Calibri"/>
                <w:sz w:val="16"/>
                <w:szCs w:val="16"/>
              </w:rPr>
            </w:pPr>
            <w:r w:rsidRPr="00D8568F">
              <w:rPr>
                <w:rFonts w:ascii="Calibri" w:hAnsi="Calibri"/>
                <w:sz w:val="16"/>
                <w:szCs w:val="16"/>
              </w:rPr>
              <w:t>Dôležitým koncepčným nástrojom na uplatňovanie hierarchie odpadového hospodárstva je Program odpadového hospodárstva Slovenskej republiky na roky 2011 až 2015, schválený uznesením vlády SR č. 69 z 22.</w:t>
            </w:r>
            <w:r w:rsidR="003A5209">
              <w:rPr>
                <w:rFonts w:ascii="Calibri" w:hAnsi="Calibri"/>
                <w:sz w:val="16"/>
                <w:szCs w:val="16"/>
              </w:rPr>
              <w:t xml:space="preserve"> </w:t>
            </w:r>
            <w:r w:rsidRPr="00D8568F">
              <w:rPr>
                <w:rFonts w:ascii="Calibri" w:hAnsi="Calibri"/>
                <w:sz w:val="16"/>
                <w:szCs w:val="16"/>
              </w:rPr>
              <w:t>02.</w:t>
            </w:r>
            <w:r w:rsidR="003A5209">
              <w:rPr>
                <w:rFonts w:ascii="Calibri" w:hAnsi="Calibri"/>
                <w:sz w:val="16"/>
                <w:szCs w:val="16"/>
              </w:rPr>
              <w:t xml:space="preserve"> </w:t>
            </w:r>
            <w:r w:rsidRPr="00D8568F">
              <w:rPr>
                <w:rFonts w:ascii="Calibri" w:hAnsi="Calibri"/>
                <w:sz w:val="16"/>
                <w:szCs w:val="16"/>
              </w:rPr>
              <w:t>2012</w:t>
            </w:r>
            <w:r w:rsidR="00FD3826">
              <w:rPr>
                <w:rFonts w:ascii="Calibri" w:hAnsi="Calibri"/>
                <w:sz w:val="16"/>
                <w:szCs w:val="16"/>
              </w:rPr>
              <w:t>.</w:t>
            </w:r>
            <w:r w:rsidRPr="00D8568F">
              <w:rPr>
                <w:rFonts w:ascii="Calibri" w:hAnsi="Calibri"/>
                <w:sz w:val="16"/>
                <w:szCs w:val="16"/>
              </w:rPr>
              <w:t xml:space="preserve"> POH SR bol vypracovaný v súlade s rámcovou smernicou o odpade a predstavuje základný strategický dokument v odpadovom hospodárstve, ktorý vytyčuje strednodobé ciele odpadového hospodárstva. V POH SR sú stanovené aj ciele a opatrenia pre nakladanie s biologicky rozložiteľnými odpadmi a komunálnymi odpadmi. Hlavným cieľom je znížiť skládkovanie komunálnych odpadov (KO), vytvoriť podmienky na zhodnocovanie KO a zvýšiť separovaný/triedený zber odpadov</w:t>
            </w:r>
            <w:r w:rsidR="00FD3826">
              <w:rPr>
                <w:rFonts w:ascii="Calibri" w:hAnsi="Calibri"/>
                <w:sz w:val="16"/>
                <w:szCs w:val="16"/>
              </w:rPr>
              <w:t>.</w:t>
            </w:r>
          </w:p>
          <w:p w:rsidR="00036E07" w:rsidRDefault="00036E07" w:rsidP="00036E07">
            <w:pPr>
              <w:spacing w:before="0"/>
              <w:rPr>
                <w:rFonts w:ascii="Calibri" w:hAnsi="Calibri"/>
                <w:sz w:val="16"/>
                <w:szCs w:val="16"/>
              </w:rPr>
            </w:pPr>
            <w:r w:rsidRPr="004E2D6C">
              <w:rPr>
                <w:rFonts w:ascii="Calibri" w:hAnsi="Calibri"/>
                <w:sz w:val="16"/>
                <w:szCs w:val="16"/>
              </w:rPr>
              <w:t>V časti 3.2.2 POH SR sú stanovené opatrenia na podporu opätovného použitia a recyklácie KO, prostredníctvom ktorých sa majú zabezpečiť ciele pre nakladenie s KO v súlade s rámcovou smernicou o odpade.</w:t>
            </w:r>
          </w:p>
          <w:p w:rsidR="00036E07" w:rsidRPr="00D8568F" w:rsidRDefault="00036E07" w:rsidP="00036E07">
            <w:pPr>
              <w:spacing w:before="0"/>
              <w:rPr>
                <w:rFonts w:ascii="Calibri" w:hAnsi="Calibri"/>
                <w:sz w:val="16"/>
                <w:szCs w:val="16"/>
              </w:rPr>
            </w:pPr>
            <w:r w:rsidRPr="00D8568F">
              <w:rPr>
                <w:rFonts w:ascii="Calibri" w:hAnsi="Calibri"/>
                <w:sz w:val="16"/>
                <w:szCs w:val="16"/>
              </w:rPr>
              <w:t>4. Systém rozšírenej zodpovednosti výrobcu</w:t>
            </w:r>
          </w:p>
          <w:p w:rsidR="00036E07" w:rsidRDefault="00036E07" w:rsidP="00036E07">
            <w:pPr>
              <w:spacing w:before="0"/>
              <w:rPr>
                <w:rFonts w:ascii="Calibri" w:hAnsi="Calibri"/>
                <w:sz w:val="16"/>
                <w:szCs w:val="16"/>
              </w:rPr>
            </w:pPr>
            <w:r w:rsidRPr="00D8568F">
              <w:rPr>
                <w:rFonts w:ascii="Calibri" w:hAnsi="Calibri"/>
                <w:sz w:val="16"/>
                <w:szCs w:val="16"/>
              </w:rPr>
              <w:t xml:space="preserve">Systém rozšírenej zodpovednosti výrobcu (RZV) je </w:t>
            </w:r>
            <w:r w:rsidR="003A5209">
              <w:rPr>
                <w:rFonts w:ascii="Calibri" w:hAnsi="Calibri"/>
                <w:sz w:val="16"/>
                <w:szCs w:val="16"/>
              </w:rPr>
              <w:br/>
            </w:r>
            <w:r w:rsidRPr="00D8568F">
              <w:rPr>
                <w:rFonts w:ascii="Calibri" w:hAnsi="Calibri"/>
                <w:sz w:val="16"/>
                <w:szCs w:val="16"/>
              </w:rPr>
              <w:t xml:space="preserve">v národnej legislatíve čiastočne zakotvený od roku 2001, </w:t>
            </w:r>
            <w:r w:rsidRPr="00D8568F">
              <w:rPr>
                <w:rFonts w:ascii="Calibri" w:hAnsi="Calibri"/>
                <w:sz w:val="16"/>
                <w:szCs w:val="16"/>
              </w:rPr>
              <w:lastRenderedPageBreak/>
              <w:t>kedy bol prijatý v súčasnosti platný zákon o odpadoch. Inštitút rozšírenej zodpovednosti výrobcu sa začal uplatňovať prostredníctvom Recyklačného fondu, pričom bol postupne vytvorený pre jednotlivé prúdy odpadov</w:t>
            </w:r>
            <w:r w:rsidR="00FD3826">
              <w:rPr>
                <w:rFonts w:ascii="Calibri" w:hAnsi="Calibri"/>
                <w:sz w:val="16"/>
                <w:szCs w:val="16"/>
              </w:rPr>
              <w:t>,</w:t>
            </w:r>
            <w:r w:rsidRPr="00D8568F">
              <w:rPr>
                <w:rFonts w:ascii="Calibri" w:hAnsi="Calibri"/>
                <w:sz w:val="16"/>
                <w:szCs w:val="16"/>
              </w:rPr>
              <w:t xml:space="preserve"> systém kolektívnych organizácií, ktoré na základe združovania výrobcov zabezpečujú celý systém zberu </w:t>
            </w:r>
            <w:r w:rsidR="003A5209">
              <w:rPr>
                <w:rFonts w:ascii="Calibri" w:hAnsi="Calibri"/>
                <w:sz w:val="16"/>
                <w:szCs w:val="16"/>
              </w:rPr>
              <w:br/>
            </w:r>
            <w:r w:rsidRPr="00D8568F">
              <w:rPr>
                <w:rFonts w:ascii="Calibri" w:hAnsi="Calibri"/>
                <w:sz w:val="16"/>
                <w:szCs w:val="16"/>
              </w:rPr>
              <w:t>a recyklácie jednotlivých komodít. Ide o nasledovné prúdy odpadov: odpady z obalov, batérií a akumulátorov, elektrozariadení a čiastočne starých vozidiel. Novým pripravovaným zákonom o odpadoch (v súčasnosti sa vyhodnocujú pripomienky MPK a účinnosť je predpokladaná od 1.</w:t>
            </w:r>
            <w:r w:rsidR="003A5209">
              <w:rPr>
                <w:rFonts w:ascii="Calibri" w:hAnsi="Calibri"/>
                <w:sz w:val="16"/>
                <w:szCs w:val="16"/>
              </w:rPr>
              <w:t xml:space="preserve"> </w:t>
            </w:r>
            <w:r w:rsidRPr="00D8568F">
              <w:rPr>
                <w:rFonts w:ascii="Calibri" w:hAnsi="Calibri"/>
                <w:sz w:val="16"/>
                <w:szCs w:val="16"/>
              </w:rPr>
              <w:t>1.</w:t>
            </w:r>
            <w:r w:rsidR="003A5209">
              <w:rPr>
                <w:rFonts w:ascii="Calibri" w:hAnsi="Calibri"/>
                <w:sz w:val="16"/>
                <w:szCs w:val="16"/>
              </w:rPr>
              <w:t xml:space="preserve"> </w:t>
            </w:r>
            <w:r w:rsidRPr="00D8568F">
              <w:rPr>
                <w:rFonts w:ascii="Calibri" w:hAnsi="Calibri"/>
                <w:sz w:val="16"/>
                <w:szCs w:val="16"/>
              </w:rPr>
              <w:t xml:space="preserve">2015) bude spresnený spôsob realizácie rozšírenej zodpovednosti výrobcov a existujúci systém RZV bude upravený a rozšírený o zodpovednosti výrobcov a dovozcov pneumatík, olejov, papiera a lepenky, plastov a skla. Súčasťou navrhovaného systému rozšírenej zodpovednosti výrobcov je povinnosť pre výrobcov zabezpečovať plnenie záväzkov zberu, zhodnotenia </w:t>
            </w:r>
            <w:r w:rsidR="003A5209">
              <w:rPr>
                <w:rFonts w:ascii="Calibri" w:hAnsi="Calibri"/>
                <w:sz w:val="16"/>
                <w:szCs w:val="16"/>
              </w:rPr>
              <w:br/>
            </w:r>
            <w:r w:rsidRPr="00D8568F">
              <w:rPr>
                <w:rFonts w:ascii="Calibri" w:hAnsi="Calibri"/>
                <w:sz w:val="16"/>
                <w:szCs w:val="16"/>
              </w:rPr>
              <w:t>a recyklácie odpadov aj prostredníctvom triedeného zberu komunálneho odpadu v obciach, so zapojením zberových spoločností a celej siete zariadení na zhodnocovanie odpadov.</w:t>
            </w:r>
          </w:p>
          <w:p w:rsidR="004E2D6C" w:rsidRPr="004E2D6C" w:rsidRDefault="00036E07" w:rsidP="004E2D6C">
            <w:pPr>
              <w:spacing w:before="0"/>
              <w:rPr>
                <w:rFonts w:ascii="Calibri" w:hAnsi="Calibri"/>
                <w:sz w:val="16"/>
                <w:szCs w:val="16"/>
              </w:rPr>
            </w:pPr>
            <w:r>
              <w:rPr>
                <w:rFonts w:ascii="Calibri" w:hAnsi="Calibri"/>
                <w:sz w:val="16"/>
                <w:szCs w:val="16"/>
              </w:rPr>
              <w:t>V rámci pri</w:t>
            </w:r>
            <w:r w:rsidRPr="0055164C">
              <w:rPr>
                <w:rFonts w:ascii="Calibri" w:hAnsi="Calibri"/>
                <w:sz w:val="16"/>
                <w:szCs w:val="16"/>
              </w:rPr>
              <w:t>pravovaného nového zákona o odpadoch sa navrhuje aj sprísnenie pravidiel pre skládkovanie odpadov za účelom obmedzenia, resp. úplného zákazu skládkovania niektorých prúdov odpadov</w:t>
            </w:r>
            <w:r w:rsidR="00FD3826">
              <w:rPr>
                <w:rFonts w:ascii="Calibri" w:hAnsi="Calibri"/>
                <w:sz w:val="16"/>
                <w:szCs w:val="16"/>
              </w:rPr>
              <w:t>,</w:t>
            </w:r>
            <w:r w:rsidRPr="0055164C">
              <w:rPr>
                <w:rFonts w:ascii="Calibri" w:hAnsi="Calibri"/>
                <w:sz w:val="16"/>
                <w:szCs w:val="16"/>
              </w:rPr>
              <w:t xml:space="preserve"> vrátane vytriedeného biologicky rozložiteľn</w:t>
            </w:r>
            <w:r>
              <w:rPr>
                <w:rFonts w:ascii="Calibri" w:hAnsi="Calibri"/>
                <w:sz w:val="16"/>
                <w:szCs w:val="16"/>
              </w:rPr>
              <w:t>ého</w:t>
            </w:r>
            <w:r w:rsidRPr="0055164C">
              <w:rPr>
                <w:rFonts w:ascii="Calibri" w:hAnsi="Calibri"/>
                <w:sz w:val="16"/>
                <w:szCs w:val="16"/>
              </w:rPr>
              <w:t xml:space="preserve"> odpadu a vytriedených zložiek komunálneho odpadu, na ktoré sa vzťahuje rozšírená zodpovednosť výrobcov.</w:t>
            </w:r>
          </w:p>
        </w:tc>
      </w:tr>
      <w:tr w:rsidR="004E2D6C" w:rsidRPr="004E2D6C" w:rsidTr="002377D3">
        <w:trPr>
          <w:trHeight w:val="972"/>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7.1.  Doprava: </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existencia komplexného plánu alebo plánov alebo rámca či rámcov pre dopravné investície v súlade s inštitucionálnou štruktúrou členských štátov (vrátane verejnej dopravy na regionálnej a miestnej </w:t>
            </w:r>
            <w:r w:rsidRPr="004E2D6C">
              <w:rPr>
                <w:rFonts w:ascii="Calibri" w:hAnsi="Calibri"/>
                <w:sz w:val="16"/>
                <w:szCs w:val="16"/>
              </w:rPr>
              <w:lastRenderedPageBreak/>
              <w:t>úrovni), ktorý podporuje rozvoj infraštruktúry a zlepšuje prepojenie na úplnú a základnú sieť TEN-T.</w:t>
            </w:r>
          </w:p>
        </w:tc>
        <w:tc>
          <w:tcPr>
            <w:tcW w:w="1559" w:type="dxa"/>
            <w:vMerge w:val="restart"/>
            <w:tcBorders>
              <w:top w:val="single" w:sz="12" w:space="0" w:color="auto"/>
            </w:tcBorders>
            <w:vAlign w:val="center"/>
          </w:tcPr>
          <w:p w:rsidR="004E2D6C" w:rsidRPr="004E2D6C" w:rsidRDefault="00B01228" w:rsidP="00535799">
            <w:pPr>
              <w:spacing w:before="0"/>
              <w:jc w:val="center"/>
              <w:rPr>
                <w:rFonts w:ascii="Calibri" w:hAnsi="Calibri"/>
                <w:b/>
                <w:sz w:val="16"/>
                <w:szCs w:val="16"/>
              </w:rPr>
            </w:pPr>
            <w:r>
              <w:rPr>
                <w:rFonts w:ascii="Calibri" w:hAnsi="Calibri"/>
                <w:b/>
                <w:sz w:val="16"/>
                <w:szCs w:val="16"/>
              </w:rPr>
              <w:lastRenderedPageBreak/>
              <w:t>Čiastočne</w:t>
            </w:r>
          </w:p>
        </w:tc>
        <w:tc>
          <w:tcPr>
            <w:tcW w:w="2551"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Existuje komplexný plán či plány alebo rámec či rámce pre dopravné investície, ktoré spĺňajú právne požiadavky na strategické environmentálne posúdenie a stanovujú: </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vMerge w:val="restart"/>
            <w:tcBorders>
              <w:top w:val="single" w:sz="12" w:space="0" w:color="auto"/>
            </w:tcBorders>
          </w:tcPr>
          <w:p w:rsidR="004E2D6C" w:rsidRPr="004E2D6C" w:rsidRDefault="004E2D6C" w:rsidP="004E2D6C">
            <w:pPr>
              <w:spacing w:before="0"/>
              <w:rPr>
                <w:rFonts w:ascii="Calibri" w:hAnsi="Calibri"/>
                <w:i/>
                <w:sz w:val="16"/>
                <w:szCs w:val="16"/>
              </w:rPr>
            </w:pPr>
          </w:p>
          <w:p w:rsidR="004E2D6C" w:rsidRPr="004E2D6C" w:rsidRDefault="004E2D6C" w:rsidP="004E2D6C">
            <w:pPr>
              <w:spacing w:before="0"/>
              <w:rPr>
                <w:rFonts w:ascii="Calibri" w:hAnsi="Calibri"/>
                <w:i/>
                <w:sz w:val="16"/>
                <w:szCs w:val="16"/>
              </w:rPr>
            </w:pPr>
          </w:p>
          <w:p w:rsidR="004E2D6C" w:rsidRPr="004E2D6C" w:rsidRDefault="004E2D6C" w:rsidP="004E2D6C">
            <w:pPr>
              <w:spacing w:before="0"/>
              <w:rPr>
                <w:rFonts w:ascii="Calibri" w:hAnsi="Calibri"/>
                <w:i/>
                <w:sz w:val="16"/>
                <w:szCs w:val="16"/>
              </w:rPr>
            </w:pPr>
          </w:p>
          <w:p w:rsidR="004E2D6C" w:rsidRPr="004E2D6C" w:rsidRDefault="004E2D6C" w:rsidP="004E2D6C">
            <w:pPr>
              <w:spacing w:before="0"/>
              <w:rPr>
                <w:rFonts w:ascii="Calibri" w:hAnsi="Calibri"/>
                <w: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Strategický plán rozvoja dopravnej infraštruktúry SR do roku 2020 (fáza I)</w:t>
            </w:r>
          </w:p>
          <w:p w:rsidR="004E2D6C" w:rsidRPr="004E2D6C" w:rsidRDefault="00ED6BC8" w:rsidP="004E2D6C">
            <w:pPr>
              <w:spacing w:before="0"/>
              <w:rPr>
                <w:rFonts w:ascii="Calibri" w:hAnsi="Calibri"/>
                <w:sz w:val="16"/>
                <w:szCs w:val="16"/>
              </w:rPr>
            </w:pPr>
            <w:hyperlink r:id="rId87"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p>
          <w:p w:rsidR="00335648" w:rsidRDefault="00335648"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„Stratégia rozvoja verejnej osobnej a nemotorovej dopravy SR do roku 2020“</w:t>
            </w:r>
          </w:p>
          <w:p w:rsidR="004E2D6C" w:rsidRPr="004E2D6C" w:rsidRDefault="00ED6BC8" w:rsidP="004E2D6C">
            <w:pPr>
              <w:spacing w:before="0"/>
              <w:rPr>
                <w:rFonts w:ascii="Calibri" w:hAnsi="Calibri"/>
                <w:sz w:val="16"/>
                <w:szCs w:val="16"/>
              </w:rPr>
            </w:pPr>
            <w:hyperlink r:id="rId88"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"Analýza administratívnych, finančných a technických kapacít prijímateľov za rok 2012"</w:t>
            </w:r>
          </w:p>
        </w:tc>
        <w:tc>
          <w:tcPr>
            <w:tcW w:w="4111" w:type="dxa"/>
            <w:vMerge w:val="restart"/>
            <w:tcBorders>
              <w:top w:val="single" w:sz="12" w:space="0" w:color="auto"/>
              <w:right w:val="single" w:sz="12" w:space="0" w:color="auto"/>
            </w:tcBorders>
          </w:tcPr>
          <w:p w:rsidR="004E2D6C" w:rsidRDefault="004E2D6C" w:rsidP="004E2D6C">
            <w:pPr>
              <w:spacing w:before="0"/>
              <w:rPr>
                <w:rFonts w:ascii="Calibri" w:hAnsi="Calibri"/>
                <w:sz w:val="16"/>
                <w:szCs w:val="16"/>
              </w:rPr>
            </w:pPr>
            <w:r w:rsidRPr="004E2D6C">
              <w:rPr>
                <w:rFonts w:ascii="Calibri" w:hAnsi="Calibri"/>
                <w:sz w:val="16"/>
                <w:szCs w:val="16"/>
              </w:rPr>
              <w:lastRenderedPageBreak/>
              <w:t xml:space="preserve">Návrh Strategického plánu rozvoja dopravnej infraštruktúry SR do roku 2020 (fáza I) a Stratégie rozvoja verejnej osobnej a nemotorovej dopravy SR do roku 2020 boli vypracované. Strategické dokumenty sú dostupné na webovej stránke: </w:t>
            </w:r>
            <w:hyperlink r:id="rId89" w:history="1">
              <w:r w:rsidRPr="004E2D6C">
                <w:rPr>
                  <w:rFonts w:ascii="Calibri" w:hAnsi="Calibri"/>
                  <w:color w:val="0000FF"/>
                  <w:sz w:val="16"/>
                  <w:szCs w:val="16"/>
                  <w:u w:val="single"/>
                </w:rPr>
                <w:t>www.telecom.gov.sk</w:t>
              </w:r>
            </w:hyperlink>
            <w:r w:rsidRPr="004E2D6C">
              <w:rPr>
                <w:rFonts w:ascii="Calibri" w:hAnsi="Calibri"/>
                <w:sz w:val="16"/>
                <w:szCs w:val="16"/>
              </w:rPr>
              <w:t>. Zoznam projektov je súčasťou strategických dokumentov.</w:t>
            </w:r>
          </w:p>
          <w:p w:rsidR="00346A15" w:rsidRPr="004E2D6C" w:rsidRDefault="00346A15" w:rsidP="004E2D6C">
            <w:pPr>
              <w:spacing w:before="0"/>
              <w:rPr>
                <w:rFonts w:ascii="Calibri" w:hAnsi="Calibri"/>
                <w:sz w:val="16"/>
                <w:szCs w:val="16"/>
              </w:rPr>
            </w:pPr>
            <w:r>
              <w:rPr>
                <w:rFonts w:ascii="Calibri" w:hAnsi="Calibri"/>
                <w:sz w:val="16"/>
                <w:szCs w:val="16"/>
              </w:rPr>
              <w:t xml:space="preserve">Pozn.: </w:t>
            </w:r>
            <w:r w:rsidRPr="005821B2">
              <w:rPr>
                <w:rFonts w:ascii="Calibri" w:hAnsi="Calibri"/>
                <w:sz w:val="16"/>
                <w:szCs w:val="16"/>
              </w:rPr>
              <w:t>Na základe dohody medzi MDVRR SR a EK bola príprava strategického plánu rozdelená na dve fázy</w:t>
            </w:r>
            <w:r>
              <w:rPr>
                <w:rFonts w:ascii="Calibri" w:hAnsi="Calibri"/>
                <w:sz w:val="16"/>
                <w:szCs w:val="16"/>
              </w:rPr>
              <w:t xml:space="preserve">. Ukončenie fázy sa </w:t>
            </w:r>
            <w:r w:rsidRPr="005821B2">
              <w:rPr>
                <w:rFonts w:ascii="Calibri" w:hAnsi="Calibri"/>
                <w:sz w:val="16"/>
                <w:szCs w:val="16"/>
              </w:rPr>
              <w:t xml:space="preserve">predpokladá po schválení </w:t>
            </w:r>
            <w:r>
              <w:rPr>
                <w:rFonts w:ascii="Calibri" w:hAnsi="Calibri"/>
                <w:sz w:val="16"/>
                <w:szCs w:val="16"/>
              </w:rPr>
              <w:t>strategického plánu</w:t>
            </w:r>
            <w:r w:rsidRPr="005821B2">
              <w:rPr>
                <w:rFonts w:ascii="Calibri" w:hAnsi="Calibri"/>
                <w:sz w:val="16"/>
                <w:szCs w:val="16"/>
              </w:rPr>
              <w:t xml:space="preserve"> vládou SR v prvej polovici roka 2014. </w:t>
            </w:r>
            <w:r>
              <w:rPr>
                <w:rFonts w:ascii="Calibri" w:hAnsi="Calibri"/>
                <w:sz w:val="16"/>
                <w:szCs w:val="16"/>
              </w:rPr>
              <w:t>D</w:t>
            </w:r>
            <w:r w:rsidRPr="005821B2">
              <w:rPr>
                <w:rFonts w:ascii="Calibri" w:hAnsi="Calibri"/>
                <w:sz w:val="16"/>
                <w:szCs w:val="16"/>
              </w:rPr>
              <w:t>okument zaväzuje SR pok</w:t>
            </w:r>
            <w:r>
              <w:rPr>
                <w:rFonts w:ascii="Calibri" w:hAnsi="Calibri"/>
                <w:sz w:val="16"/>
                <w:szCs w:val="16"/>
              </w:rPr>
              <w:t>račovať v začatých aktivitách a </w:t>
            </w:r>
            <w:r w:rsidRPr="005821B2">
              <w:rPr>
                <w:rFonts w:ascii="Calibri" w:hAnsi="Calibri"/>
                <w:sz w:val="16"/>
                <w:szCs w:val="16"/>
              </w:rPr>
              <w:t xml:space="preserve">dopracovať dopravnú sektorovú stratégiu o 2. fázu, a to najneskôr do </w:t>
            </w:r>
            <w:r w:rsidRPr="005821B2">
              <w:rPr>
                <w:rFonts w:ascii="Calibri" w:hAnsi="Calibri"/>
                <w:sz w:val="16"/>
                <w:szCs w:val="16"/>
              </w:rPr>
              <w:lastRenderedPageBreak/>
              <w:t xml:space="preserve">konca roku 2016. </w:t>
            </w:r>
            <w:r>
              <w:rPr>
                <w:rFonts w:ascii="Calibri" w:hAnsi="Calibri"/>
                <w:sz w:val="16"/>
                <w:szCs w:val="16"/>
              </w:rPr>
              <w:t xml:space="preserve">V súlade s požiadavkou EK predloží RO OPII spolu s návrhom OPII taktiež Akčný plán </w:t>
            </w:r>
            <w:r w:rsidRPr="005821B2">
              <w:rPr>
                <w:rFonts w:ascii="Calibri" w:hAnsi="Calibri"/>
                <w:sz w:val="16"/>
                <w:szCs w:val="16"/>
              </w:rPr>
              <w:t>pre n</w:t>
            </w:r>
            <w:r>
              <w:rPr>
                <w:rFonts w:ascii="Calibri" w:hAnsi="Calibri"/>
                <w:sz w:val="16"/>
                <w:szCs w:val="16"/>
              </w:rPr>
              <w:t xml:space="preserve">aplnenie EAK 7.1. </w:t>
            </w:r>
            <w:r w:rsidRPr="005821B2">
              <w:rPr>
                <w:rFonts w:ascii="Calibri" w:hAnsi="Calibri"/>
                <w:sz w:val="16"/>
                <w:szCs w:val="16"/>
              </w:rPr>
              <w:t>Predloženie plánu umožní začať proces formálneho schvaľovania OPII, napriek tomu, že EAK 7.1 nie je formálne splnená.</w:t>
            </w:r>
          </w:p>
          <w:p w:rsidR="004E2D6C" w:rsidRPr="004E2D6C" w:rsidRDefault="004E2D6C" w:rsidP="004E2D6C">
            <w:pPr>
              <w:spacing w:before="0"/>
              <w:rPr>
                <w:rFonts w:ascii="Calibri" w:hAnsi="Calibri"/>
                <w:sz w:val="16"/>
                <w:szCs w:val="16"/>
              </w:rPr>
            </w:pPr>
            <w:r w:rsidRPr="004E2D6C">
              <w:rPr>
                <w:rFonts w:ascii="Calibri" w:hAnsi="Calibri"/>
                <w:sz w:val="16"/>
                <w:szCs w:val="16"/>
              </w:rPr>
              <w:t>Strategický plán vrátane zoznamu projektov by mal byť predmetom ďalších rokovaní s EK. MDVRR SR v spolupráci so žiadateľmi zabezpečí vypracovanie opisu projektu ku každému navrhovanému projektu, ktorý bude poskytovať súhrnné informácie o projekte.</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Oba strategické dokumenty sú v súčasnosti posudzované podľa zákona č. 24/2006 Z. z. o posudzovaní vplyvov na životné prostredie. Ukončenie procesu strategického environmentálneho posudzovania sa predpokladá </w:t>
            </w:r>
            <w:r w:rsidR="00346A15">
              <w:rPr>
                <w:rFonts w:ascii="Calibri" w:hAnsi="Calibri"/>
                <w:sz w:val="16"/>
                <w:szCs w:val="16"/>
              </w:rPr>
              <w:t>do 30.</w:t>
            </w:r>
            <w:r w:rsidR="003A5209">
              <w:rPr>
                <w:rFonts w:ascii="Calibri" w:hAnsi="Calibri"/>
                <w:sz w:val="16"/>
                <w:szCs w:val="16"/>
              </w:rPr>
              <w:t xml:space="preserve"> </w:t>
            </w:r>
            <w:r w:rsidR="00346A15">
              <w:rPr>
                <w:rFonts w:ascii="Calibri" w:hAnsi="Calibri"/>
                <w:sz w:val="16"/>
                <w:szCs w:val="16"/>
              </w:rPr>
              <w:t>6.</w:t>
            </w:r>
            <w:r w:rsidR="00346A15" w:rsidRPr="004E2D6C">
              <w:rPr>
                <w:rFonts w:ascii="Calibri" w:hAnsi="Calibri"/>
                <w:sz w:val="16"/>
                <w:szCs w:val="16"/>
              </w:rPr>
              <w:t xml:space="preserve"> </w:t>
            </w:r>
            <w:r w:rsidRPr="004E2D6C">
              <w:rPr>
                <w:rFonts w:ascii="Calibri" w:hAnsi="Calibri"/>
                <w:sz w:val="16"/>
                <w:szCs w:val="16"/>
              </w:rPr>
              <w:t>2014. Finálne verzie oboch strategických dokumentov budú vypracované po ukončení SEA procesu a konzultáciách s EK a JASPERS. Úplné splnenie ex ante kondicionalít v sektore dopravy bude zabezpečené vypracovaním Strategického plánu rozvoja dopravnej infraštruktúry SR do roku 2030 (fáza II).</w:t>
            </w:r>
          </w:p>
          <w:p w:rsidR="004E2D6C" w:rsidRPr="004E2D6C" w:rsidRDefault="004E2D6C" w:rsidP="004E2D6C">
            <w:pPr>
              <w:spacing w:before="0"/>
              <w:rPr>
                <w:rFonts w:ascii="Calibri" w:hAnsi="Calibri"/>
                <w:sz w:val="16"/>
                <w:szCs w:val="16"/>
              </w:rPr>
            </w:pPr>
            <w:r w:rsidRPr="004E2D6C">
              <w:rPr>
                <w:rFonts w:ascii="Calibri" w:hAnsi="Calibri"/>
                <w:sz w:val="16"/>
                <w:szCs w:val="16"/>
              </w:rPr>
              <w:t>Pripravuje sa aktualizácia analýzy.</w:t>
            </w:r>
          </w:p>
        </w:tc>
      </w:tr>
      <w:tr w:rsidR="004E2D6C" w:rsidRPr="004E2D6C" w:rsidTr="002377D3">
        <w:trPr>
          <w:trHeight w:val="263"/>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2"/>
              </w:numPr>
              <w:spacing w:before="0"/>
              <w:ind w:left="175" w:hanging="175"/>
              <w:rPr>
                <w:rFonts w:ascii="Calibri" w:hAnsi="Calibri"/>
                <w:sz w:val="16"/>
                <w:szCs w:val="16"/>
              </w:rPr>
            </w:pPr>
            <w:r w:rsidRPr="005A192A">
              <w:rPr>
                <w:rFonts w:ascii="Calibri" w:hAnsi="Calibri"/>
                <w:sz w:val="16"/>
                <w:szCs w:val="16"/>
              </w:rPr>
              <w:t xml:space="preserve">príspevok k jednotnému európskemu dopravnému priestoru v súlade s článkom 10 nariadenia Európskeho parlamentu a Rady (EÚ) č. 1315/2013 vrátane priorít pre </w:t>
            </w:r>
            <w:r w:rsidRPr="005A192A">
              <w:rPr>
                <w:rFonts w:ascii="Calibri" w:hAnsi="Calibri"/>
                <w:sz w:val="16"/>
                <w:szCs w:val="16"/>
              </w:rPr>
              <w:lastRenderedPageBreak/>
              <w:t>investície do:</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lastRenderedPageBreak/>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263"/>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2"/>
              </w:numPr>
              <w:spacing w:before="0"/>
              <w:ind w:left="175" w:hanging="175"/>
              <w:rPr>
                <w:rFonts w:ascii="Calibri" w:hAnsi="Calibri"/>
                <w:sz w:val="16"/>
                <w:szCs w:val="16"/>
              </w:rPr>
            </w:pPr>
            <w:r w:rsidRPr="005A192A">
              <w:rPr>
                <w:rFonts w:ascii="Calibri" w:hAnsi="Calibri"/>
                <w:sz w:val="16"/>
                <w:szCs w:val="16"/>
              </w:rPr>
              <w:t>základnej siete TEN-T a úplnej siete, pričom sa počíta s investíciami EFRR a Kohézneho fondu,</w:t>
            </w:r>
          </w:p>
        </w:tc>
        <w:tc>
          <w:tcPr>
            <w:tcW w:w="1134" w:type="dxa"/>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263"/>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2"/>
              </w:numPr>
              <w:spacing w:before="0"/>
              <w:ind w:left="175" w:hanging="175"/>
              <w:rPr>
                <w:rFonts w:ascii="Calibri" w:hAnsi="Calibri"/>
                <w:sz w:val="16"/>
                <w:szCs w:val="16"/>
              </w:rPr>
            </w:pPr>
            <w:r w:rsidRPr="005A192A">
              <w:rPr>
                <w:rFonts w:ascii="Calibri" w:hAnsi="Calibri"/>
                <w:sz w:val="16"/>
                <w:szCs w:val="16"/>
              </w:rPr>
              <w:t>sekundárnej siete,</w:t>
            </w:r>
          </w:p>
        </w:tc>
        <w:tc>
          <w:tcPr>
            <w:tcW w:w="1134" w:type="dxa"/>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1080"/>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tcBorders>
          </w:tcPr>
          <w:p w:rsidR="004E2D6C" w:rsidRPr="005A192A" w:rsidRDefault="004E2D6C" w:rsidP="001C5C9E">
            <w:pPr>
              <w:pStyle w:val="Odsekzoznamu"/>
              <w:numPr>
                <w:ilvl w:val="0"/>
                <w:numId w:val="102"/>
              </w:numPr>
              <w:spacing w:before="0"/>
              <w:ind w:left="175" w:hanging="175"/>
              <w:rPr>
                <w:rFonts w:ascii="Calibri" w:hAnsi="Calibri"/>
                <w:sz w:val="16"/>
                <w:szCs w:val="16"/>
              </w:rPr>
            </w:pPr>
            <w:r w:rsidRPr="005A192A">
              <w:rPr>
                <w:rFonts w:ascii="Calibri" w:hAnsi="Calibri"/>
                <w:sz w:val="16"/>
                <w:szCs w:val="16"/>
              </w:rPr>
              <w:t>realistickú a kvalitnú realizáciu projektov, pri ktorých sa počíta s podporou zo strany EFRR a Kohézneho fondu,</w:t>
            </w:r>
          </w:p>
        </w:tc>
        <w:tc>
          <w:tcPr>
            <w:tcW w:w="1134" w:type="dxa"/>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2280"/>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bottom w:val="single" w:sz="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Opatrenia na zabezpečenie kapacity sprostredkovateľských orgánov a prijímateľov pri vykonávaní naplánovaných projektov.</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1123"/>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7.2. Železničná doprava:</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existencia komplexného plánu či plánov alebo rámca či rámcov dopravy s osobitnou časťou venovanou rozvoju železničnej siete v súlade s inštitucionálnou štruktúrou členských štátov (vrátane </w:t>
            </w:r>
            <w:r w:rsidRPr="004E2D6C">
              <w:rPr>
                <w:rFonts w:ascii="Calibri" w:hAnsi="Calibri"/>
                <w:sz w:val="16"/>
                <w:szCs w:val="16"/>
              </w:rPr>
              <w:lastRenderedPageBreak/>
              <w:t>verejnej dopravy na regionálnej a miestnej úrovni), ktorý podporuje rozvoj infraštruktúry a zlepšuje prepojenie na úplnú a základnú sieť TEN-T. Investície zahŕňajú mobilné aktíva, interoperabilitu a budovanie kapacít.</w:t>
            </w:r>
          </w:p>
        </w:tc>
        <w:tc>
          <w:tcPr>
            <w:tcW w:w="1559" w:type="dxa"/>
            <w:vMerge w:val="restart"/>
            <w:tcBorders>
              <w:top w:val="single" w:sz="12" w:space="0" w:color="auto"/>
            </w:tcBorders>
            <w:vAlign w:val="center"/>
          </w:tcPr>
          <w:p w:rsidR="004E2D6C" w:rsidRPr="004E2D6C" w:rsidRDefault="004E2D6C" w:rsidP="002377D3">
            <w:pPr>
              <w:spacing w:before="0"/>
              <w:jc w:val="center"/>
              <w:rPr>
                <w:rFonts w:ascii="Calibri" w:hAnsi="Calibri"/>
                <w:sz w:val="16"/>
                <w:szCs w:val="16"/>
              </w:rPr>
            </w:pPr>
            <w:r w:rsidRPr="004E2D6C">
              <w:rPr>
                <w:rFonts w:ascii="Calibri" w:hAnsi="Calibri"/>
                <w:b/>
                <w:sz w:val="16"/>
                <w:szCs w:val="16"/>
              </w:rPr>
              <w:lastRenderedPageBreak/>
              <w:t>Nie</w:t>
            </w:r>
          </w:p>
        </w:tc>
        <w:tc>
          <w:tcPr>
            <w:tcW w:w="2551"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V rámci uvedeného plánu či plánov alebo rámca či rámcov dopravy existuje časť venovaná rozvoju železničnej siete, ktorá spĺňa právne požiadavky na strategické environmentálne posúdenie a stanovuje realisticky a kvalitne vypracovaný plán realizácie projektov (vrátane časového plánu a rozpočtového rámca).</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tcBorders>
              <w:top w:val="single" w:sz="12" w:space="0" w:color="auto"/>
            </w:tcBorders>
          </w:tcPr>
          <w:p w:rsidR="004E2D6C" w:rsidRPr="005A192A" w:rsidRDefault="004E2D6C" w:rsidP="004E2D6C">
            <w:pPr>
              <w:spacing w:before="0"/>
              <w:rPr>
                <w:rFonts w:ascii="Calibri" w:hAnsi="Calibri"/>
                <w:sz w:val="16"/>
                <w:szCs w:val="16"/>
              </w:rPr>
            </w:pPr>
            <w:r w:rsidRPr="005A192A">
              <w:rPr>
                <w:rFonts w:ascii="Calibri" w:hAnsi="Calibri"/>
                <w:sz w:val="16"/>
                <w:szCs w:val="16"/>
              </w:rPr>
              <w:t>Strategický plán rozvoja dopravnej infraštruktúry SR do roku 2020 (fáza I)</w:t>
            </w:r>
          </w:p>
          <w:p w:rsidR="004E2D6C" w:rsidRPr="004E2D6C" w:rsidRDefault="00ED6BC8" w:rsidP="004E2D6C">
            <w:pPr>
              <w:spacing w:before="0"/>
              <w:rPr>
                <w:rFonts w:ascii="Calibri" w:hAnsi="Calibri"/>
                <w:sz w:val="16"/>
                <w:szCs w:val="16"/>
              </w:rPr>
            </w:pPr>
            <w:hyperlink r:id="rId90"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„Stratégia rozvoja verejnej osobnej a nemotorovej dopravy SR do roku 2020“</w:t>
            </w:r>
          </w:p>
          <w:p w:rsidR="004E2D6C" w:rsidRPr="004E2D6C" w:rsidRDefault="00ED6BC8" w:rsidP="004E2D6C">
            <w:pPr>
              <w:spacing w:before="0"/>
              <w:rPr>
                <w:rFonts w:ascii="Calibri" w:hAnsi="Calibri"/>
                <w:sz w:val="16"/>
                <w:szCs w:val="16"/>
              </w:rPr>
            </w:pPr>
            <w:hyperlink r:id="rId91"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Návrh Strategického plánu rozvoja dopravnej infraštruktúry SR do roku 2020 (fáza I) a Stratégie rozvoja verejnej osobnej a nemotorovej dopravy SR do roku 2020 boli vypracované. Strategické dokumenty sú dostupné na webovej stránke: </w:t>
            </w:r>
            <w:hyperlink r:id="rId92" w:history="1">
              <w:r w:rsidRPr="004E2D6C">
                <w:rPr>
                  <w:rFonts w:ascii="Calibri" w:hAnsi="Calibri"/>
                  <w:color w:val="0000FF"/>
                  <w:sz w:val="16"/>
                  <w:szCs w:val="16"/>
                  <w:u w:val="single"/>
                </w:rPr>
                <w:t>www.telecom.gov.sk</w:t>
              </w:r>
            </w:hyperlink>
            <w:r w:rsidRPr="004E2D6C">
              <w:rPr>
                <w:rFonts w:ascii="Calibri" w:hAnsi="Calibri"/>
                <w:sz w:val="16"/>
                <w:szCs w:val="16"/>
              </w:rPr>
              <w:t>. Zoznam projektov je súčasťou strategických dokumentov.</w:t>
            </w:r>
          </w:p>
          <w:p w:rsidR="004E2D6C" w:rsidRPr="004E2D6C" w:rsidRDefault="004E2D6C" w:rsidP="004E2D6C">
            <w:pPr>
              <w:spacing w:before="0"/>
              <w:rPr>
                <w:rFonts w:ascii="Calibri" w:hAnsi="Calibri"/>
                <w:sz w:val="16"/>
                <w:szCs w:val="16"/>
              </w:rPr>
            </w:pPr>
            <w:r w:rsidRPr="004E2D6C">
              <w:rPr>
                <w:rFonts w:ascii="Calibri" w:hAnsi="Calibri"/>
                <w:sz w:val="16"/>
                <w:szCs w:val="16"/>
              </w:rPr>
              <w:t>Strategický plán vrátane zoznamu projektov by mal byť predmetom ďalších rokovaní s EK. MDVRR SR v spolupráci so žiadateľmi zabezpečí vypracovanie opisu projektu ku každému navrhovanému projektu, ktorý bude poskytovať súhrnné informácie o projekte.</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Oba strategické dokumenty sú v súčasnosti posudzované </w:t>
            </w:r>
            <w:r w:rsidRPr="004E2D6C">
              <w:rPr>
                <w:rFonts w:ascii="Calibri" w:hAnsi="Calibri"/>
                <w:sz w:val="16"/>
                <w:szCs w:val="16"/>
              </w:rPr>
              <w:lastRenderedPageBreak/>
              <w:t xml:space="preserve">podľa zákona č. 24/2006 Z. z. o posudzovaní vplyvov na životné prostredie. Ukončenie procesu strategického environmentálneho posudzovania sa predpokladá </w:t>
            </w:r>
            <w:r w:rsidR="00346A15">
              <w:rPr>
                <w:rFonts w:ascii="Calibri" w:hAnsi="Calibri"/>
                <w:sz w:val="16"/>
                <w:szCs w:val="16"/>
              </w:rPr>
              <w:t>do 30.</w:t>
            </w:r>
            <w:r w:rsidR="003A5209">
              <w:rPr>
                <w:rFonts w:ascii="Calibri" w:hAnsi="Calibri"/>
                <w:sz w:val="16"/>
                <w:szCs w:val="16"/>
              </w:rPr>
              <w:t xml:space="preserve"> </w:t>
            </w:r>
            <w:r w:rsidR="00346A15">
              <w:rPr>
                <w:rFonts w:ascii="Calibri" w:hAnsi="Calibri"/>
                <w:sz w:val="16"/>
                <w:szCs w:val="16"/>
              </w:rPr>
              <w:t>6.</w:t>
            </w:r>
            <w:r w:rsidRPr="004E2D6C">
              <w:rPr>
                <w:rFonts w:ascii="Calibri" w:hAnsi="Calibri"/>
                <w:sz w:val="16"/>
                <w:szCs w:val="16"/>
              </w:rPr>
              <w:t xml:space="preserve"> 2014. Finálne verzie oboch strategických dokumentov budú vypracované po ukončení SEA procesu a konzultáciách s EK a JASPERS. Úplné splnenie ex ante kondicionalít v sektore dopravy bude zabezpečené vypracovaním Strategického plánu rozvoja dopravnej infraštruktúry SR do roku 2030 (fáza II).</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Pripravuje sa aktualizácia analýzy.</w:t>
            </w:r>
          </w:p>
        </w:tc>
      </w:tr>
      <w:tr w:rsidR="004E2D6C" w:rsidRPr="004E2D6C" w:rsidTr="002377D3">
        <w:trPr>
          <w:trHeight w:val="1123"/>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tcPr>
          <w:p w:rsidR="004E2D6C" w:rsidRPr="004E2D6C" w:rsidRDefault="004E2D6C" w:rsidP="00AE514B">
            <w:pPr>
              <w:spacing w:before="0"/>
              <w:rPr>
                <w:rFonts w:ascii="Calibri" w:hAnsi="Calibri"/>
                <w:sz w:val="16"/>
                <w:szCs w:val="16"/>
              </w:rPr>
            </w:pPr>
            <w:r w:rsidRPr="004E2D6C">
              <w:rPr>
                <w:rFonts w:ascii="Calibri" w:hAnsi="Calibri"/>
                <w:sz w:val="16"/>
                <w:szCs w:val="16"/>
              </w:rPr>
              <w:t xml:space="preserve">Opatrenia na zabezpečenie kapacity sprostredkovateľských orgánov a </w:t>
            </w:r>
            <w:r w:rsidR="00AE514B" w:rsidRPr="004E2D6C">
              <w:rPr>
                <w:rFonts w:ascii="Calibri" w:hAnsi="Calibri"/>
                <w:sz w:val="16"/>
                <w:szCs w:val="16"/>
              </w:rPr>
              <w:t>pr</w:t>
            </w:r>
            <w:r w:rsidR="00AE514B">
              <w:rPr>
                <w:rFonts w:ascii="Calibri" w:hAnsi="Calibri"/>
                <w:sz w:val="16"/>
                <w:szCs w:val="16"/>
              </w:rPr>
              <w:t>i</w:t>
            </w:r>
            <w:r w:rsidR="00AE514B" w:rsidRPr="004E2D6C">
              <w:rPr>
                <w:rFonts w:ascii="Calibri" w:hAnsi="Calibri"/>
                <w:sz w:val="16"/>
                <w:szCs w:val="16"/>
              </w:rPr>
              <w:t xml:space="preserve">jímateľov </w:t>
            </w:r>
            <w:r w:rsidRPr="004E2D6C">
              <w:rPr>
                <w:rFonts w:ascii="Calibri" w:hAnsi="Calibri"/>
                <w:sz w:val="16"/>
                <w:szCs w:val="16"/>
              </w:rPr>
              <w:t>pri vykonávaní naplánovaných projektov.</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tcBorders>
              <w:bottom w:val="single" w:sz="12" w:space="0" w:color="auto"/>
            </w:tcBorders>
          </w:tcPr>
          <w:p w:rsidR="004E2D6C" w:rsidRPr="005A192A" w:rsidRDefault="004E2D6C" w:rsidP="004E2D6C">
            <w:pPr>
              <w:spacing w:before="0"/>
              <w:rPr>
                <w:rFonts w:ascii="Calibri" w:hAnsi="Calibri"/>
                <w:sz w:val="16"/>
                <w:szCs w:val="16"/>
              </w:rPr>
            </w:pPr>
            <w:r w:rsidRPr="005A192A">
              <w:rPr>
                <w:rFonts w:ascii="Calibri" w:hAnsi="Calibri"/>
                <w:sz w:val="16"/>
                <w:szCs w:val="16"/>
              </w:rPr>
              <w:t>Strategický plán rozvoja dopravnej infraštruktúry SR do roku 2020 (fáza I)</w:t>
            </w:r>
          </w:p>
          <w:p w:rsidR="004E2D6C" w:rsidRPr="004E2D6C" w:rsidRDefault="00ED6BC8" w:rsidP="004E2D6C">
            <w:pPr>
              <w:spacing w:before="0"/>
              <w:rPr>
                <w:rFonts w:ascii="Calibri" w:hAnsi="Calibri"/>
                <w:sz w:val="16"/>
                <w:szCs w:val="16"/>
              </w:rPr>
            </w:pPr>
            <w:hyperlink r:id="rId93"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„Stratégia rozvoja verejnej osobnej a nemotorovej dopravy SR do roku 2020“</w:t>
            </w:r>
          </w:p>
          <w:p w:rsidR="004E2D6C" w:rsidRPr="004E2D6C" w:rsidRDefault="00ED6BC8" w:rsidP="004E2D6C">
            <w:pPr>
              <w:spacing w:before="0"/>
              <w:rPr>
                <w:rFonts w:ascii="Calibri" w:hAnsi="Calibri"/>
                <w:sz w:val="16"/>
                <w:szCs w:val="16"/>
              </w:rPr>
            </w:pPr>
            <w:hyperlink r:id="rId94"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r w:rsidRPr="004E2D6C">
              <w:rPr>
                <w:rFonts w:ascii="Calibri" w:hAnsi="Calibri"/>
                <w:sz w:val="16"/>
                <w:szCs w:val="16"/>
              </w:rPr>
              <w:t>„Analýza administratívnych, finančných a technických kapacít prijímateľov za rok 2012“</w:t>
            </w: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626"/>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7.3. Iné druhy dopravy vrátane vnútrozemských vodných ciest a námornej prepravy, prístavov, multimodálnych spojení a letiskovej infraštruktúry: existencia komplexného plánu či plánov alebo rámca či rámcov dopravy s osobitnou časťou venovanou </w:t>
            </w:r>
            <w:r w:rsidRPr="004E2D6C">
              <w:rPr>
                <w:rFonts w:ascii="Calibri" w:hAnsi="Calibri"/>
                <w:sz w:val="16"/>
                <w:szCs w:val="16"/>
              </w:rPr>
              <w:lastRenderedPageBreak/>
              <w:t>vnútrozemským vodným cestám a námornej preprave, prístavom, multimodálnym spojeniam a letiskovej infraštruktúre, ktoré prispievajú k zlepšovaniu prepojenia na úplnú a základnú sieť TEN-T a podporujú udržateľnú regionálnu a miestnu mobilitu.</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lastRenderedPageBreak/>
              <w:t>Nie</w:t>
            </w:r>
          </w:p>
        </w:tc>
        <w:tc>
          <w:tcPr>
            <w:tcW w:w="2551" w:type="dxa"/>
            <w:tcBorders>
              <w:top w:val="single" w:sz="12" w:space="0" w:color="auto"/>
              <w:bottom w:val="single" w:sz="2" w:space="0" w:color="auto"/>
            </w:tcBorders>
          </w:tcPr>
          <w:p w:rsidR="004E2D6C" w:rsidRPr="004E2D6C" w:rsidRDefault="004E2D6C" w:rsidP="004E2D6C">
            <w:pPr>
              <w:spacing w:before="0"/>
              <w:rPr>
                <w:rFonts w:ascii="Calibri" w:hAnsi="Calibri"/>
                <w:color w:val="000000"/>
                <w:sz w:val="16"/>
                <w:szCs w:val="16"/>
              </w:rPr>
            </w:pPr>
            <w:r w:rsidRPr="004E2D6C">
              <w:rPr>
                <w:rFonts w:ascii="Calibri" w:hAnsi="Calibri"/>
                <w:color w:val="000000"/>
                <w:sz w:val="16"/>
                <w:szCs w:val="16"/>
              </w:rPr>
              <w:t xml:space="preserve">Existencia časti venovanej vnútrozemským vodným cestám a námornej preprave, prístavom, multimodálnym spojeniam a letiskovej infraštruktúre v rámci plánu či plánov alebo rámca či rámcov dopravy, ktorá: </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vMerge w:val="restart"/>
            <w:tcBorders>
              <w:top w:val="single" w:sz="12" w:space="0" w:color="auto"/>
            </w:tcBorders>
          </w:tcPr>
          <w:p w:rsidR="004E2D6C" w:rsidRPr="005A192A" w:rsidRDefault="004E2D6C" w:rsidP="004E2D6C">
            <w:pPr>
              <w:spacing w:before="0"/>
              <w:rPr>
                <w:rFonts w:ascii="Calibri" w:hAnsi="Calibri"/>
                <w:sz w:val="16"/>
                <w:szCs w:val="16"/>
              </w:rPr>
            </w:pPr>
            <w:r w:rsidRPr="005A192A">
              <w:rPr>
                <w:rFonts w:ascii="Calibri" w:hAnsi="Calibri"/>
                <w:sz w:val="16"/>
                <w:szCs w:val="16"/>
              </w:rPr>
              <w:t>Strategický plán rozvoja dopravnej infraštruktúry SR do roku 2020 (fáza I)</w:t>
            </w:r>
          </w:p>
          <w:p w:rsidR="004E2D6C" w:rsidRPr="004E2D6C" w:rsidRDefault="00ED6BC8" w:rsidP="004E2D6C">
            <w:pPr>
              <w:spacing w:before="0"/>
              <w:rPr>
                <w:rFonts w:ascii="Calibri" w:hAnsi="Calibri"/>
                <w:sz w:val="16"/>
                <w:szCs w:val="16"/>
              </w:rPr>
            </w:pPr>
            <w:hyperlink r:id="rId95"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„Stratégia rozvoja verejnej osobnej a nemotorovej dopravy SR do roku 2020“</w:t>
            </w:r>
          </w:p>
          <w:p w:rsidR="004E2D6C" w:rsidRPr="004E2D6C" w:rsidRDefault="00ED6BC8" w:rsidP="004E2D6C">
            <w:pPr>
              <w:spacing w:before="0"/>
              <w:rPr>
                <w:rFonts w:ascii="Calibri" w:hAnsi="Calibri"/>
                <w:sz w:val="16"/>
                <w:szCs w:val="16"/>
              </w:rPr>
            </w:pPr>
            <w:hyperlink r:id="rId96" w:history="1">
              <w:r w:rsidR="004E2D6C" w:rsidRPr="004E2D6C">
                <w:rPr>
                  <w:rFonts w:ascii="Calibri" w:hAnsi="Calibri"/>
                  <w:color w:val="0000FF"/>
                  <w:sz w:val="16"/>
                  <w:szCs w:val="16"/>
                  <w:u w:val="single"/>
                </w:rPr>
                <w:t>http://www.telecom.gov.sk/index/index.php?ids=147132</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„Analýza administratívnych, finančných a technických kapacít prijímateľov za rok 2012“</w:t>
            </w:r>
            <w:r w:rsidR="00FD3826">
              <w:rPr>
                <w:rFonts w:ascii="Calibri" w:hAnsi="Calibri"/>
                <w:sz w:val="16"/>
                <w:szCs w:val="16"/>
              </w:rPr>
              <w:t>.</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Návrh Strategického plánu rozvoja dopravnej infraštruktúry SR do roku 2020 (fáza I) a Stratégie rozvoja verejnej osobnej a nemotorovej dopravy SR do roku 2020 boli vypracované. Strategické dokumenty sú dostupné na webovej stránke: </w:t>
            </w:r>
            <w:hyperlink r:id="rId97" w:history="1">
              <w:r w:rsidRPr="004E2D6C">
                <w:rPr>
                  <w:rFonts w:ascii="Calibri" w:hAnsi="Calibri"/>
                  <w:color w:val="0000FF"/>
                  <w:sz w:val="16"/>
                  <w:szCs w:val="16"/>
                  <w:u w:val="single"/>
                </w:rPr>
                <w:t>www.telecom.gov.sk</w:t>
              </w:r>
            </w:hyperlink>
            <w:r w:rsidRPr="004E2D6C">
              <w:rPr>
                <w:rFonts w:ascii="Calibri" w:hAnsi="Calibri"/>
                <w:sz w:val="16"/>
                <w:szCs w:val="16"/>
              </w:rPr>
              <w:t>. Zoznam projektov je súčasťou strategických dokumentov.</w:t>
            </w:r>
          </w:p>
          <w:p w:rsidR="004E2D6C" w:rsidRPr="004E2D6C" w:rsidRDefault="004E2D6C" w:rsidP="004E2D6C">
            <w:pPr>
              <w:spacing w:before="0"/>
              <w:rPr>
                <w:rFonts w:ascii="Calibri" w:hAnsi="Calibri"/>
                <w:sz w:val="16"/>
                <w:szCs w:val="16"/>
              </w:rPr>
            </w:pPr>
            <w:r w:rsidRPr="004E2D6C">
              <w:rPr>
                <w:rFonts w:ascii="Calibri" w:hAnsi="Calibri"/>
                <w:sz w:val="16"/>
                <w:szCs w:val="16"/>
              </w:rPr>
              <w:t>Strategický plán vrátane zoznamu projektov by mal byť predmetom ďalších rokovaní s EK. MDVRR SR v spolupráci so žiadateľmi zabezpečí vypracovanie opisu projektu ku každému navrhovanému projektu, ktorý bude poskytovať súhrnné informácie o projekte.</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Oba strategické dokumenty sú v súčasnosti posudzované podľa zákona č. 24/2006 Z. z. o posudzovaní vplyvov na životné prostredie. Ukončenie procesu strategického </w:t>
            </w:r>
            <w:r w:rsidRPr="004E2D6C">
              <w:rPr>
                <w:rFonts w:ascii="Calibri" w:hAnsi="Calibri"/>
                <w:sz w:val="16"/>
                <w:szCs w:val="16"/>
              </w:rPr>
              <w:lastRenderedPageBreak/>
              <w:t xml:space="preserve">environmentálneho posudzovania sa predpokladá </w:t>
            </w:r>
            <w:r w:rsidR="00F3577D">
              <w:rPr>
                <w:rFonts w:ascii="Calibri" w:hAnsi="Calibri"/>
                <w:sz w:val="16"/>
                <w:szCs w:val="16"/>
              </w:rPr>
              <w:t>do 30.</w:t>
            </w:r>
            <w:r w:rsidR="003A5209">
              <w:rPr>
                <w:rFonts w:ascii="Calibri" w:hAnsi="Calibri"/>
                <w:sz w:val="16"/>
                <w:szCs w:val="16"/>
              </w:rPr>
              <w:t xml:space="preserve"> </w:t>
            </w:r>
            <w:r w:rsidR="00F3577D">
              <w:rPr>
                <w:rFonts w:ascii="Calibri" w:hAnsi="Calibri"/>
                <w:sz w:val="16"/>
                <w:szCs w:val="16"/>
              </w:rPr>
              <w:t>6.</w:t>
            </w:r>
            <w:r w:rsidRPr="004E2D6C">
              <w:rPr>
                <w:rFonts w:ascii="Calibri" w:hAnsi="Calibri"/>
                <w:sz w:val="16"/>
                <w:szCs w:val="16"/>
              </w:rPr>
              <w:t xml:space="preserve"> 2014. Finálne verzie oboch strategických dokumentov budú vypracované po ukončení SEA procesu a konzultáciách s EK a JASPERS. Úplné splnenie ex ante kondicionalít v sektore dopravy bude zabezpečené vypracovaním Strategického plánu rozvoja dopravnej infraštruktúry SR do roku 2030 (fáza II).</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Pripravuje sa aktualizácia analýzy.</w:t>
            </w:r>
          </w:p>
        </w:tc>
      </w:tr>
      <w:tr w:rsidR="004E2D6C" w:rsidRPr="004E2D6C" w:rsidTr="002377D3">
        <w:trPr>
          <w:trHeight w:val="626"/>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58251A">
            <w:pPr>
              <w:pStyle w:val="Odsekzoznamu"/>
              <w:numPr>
                <w:ilvl w:val="0"/>
                <w:numId w:val="103"/>
              </w:numPr>
              <w:spacing w:before="0"/>
              <w:ind w:left="175" w:hanging="175"/>
              <w:rPr>
                <w:rFonts w:ascii="Calibri" w:hAnsi="Calibri"/>
                <w:color w:val="000000"/>
                <w:sz w:val="16"/>
                <w:szCs w:val="16"/>
              </w:rPr>
            </w:pPr>
            <w:r w:rsidRPr="005A192A">
              <w:rPr>
                <w:rFonts w:ascii="Calibri" w:hAnsi="Calibri"/>
                <w:color w:val="000000"/>
                <w:sz w:val="16"/>
                <w:szCs w:val="16"/>
              </w:rPr>
              <w:t xml:space="preserve">je v súlade s právnymi požiadavkami na strategické environmentálne posúdenie,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900"/>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tcBorders>
          </w:tcPr>
          <w:p w:rsidR="004E2D6C" w:rsidRPr="005A192A" w:rsidRDefault="004E2D6C" w:rsidP="0058251A">
            <w:pPr>
              <w:pStyle w:val="Odsekzoznamu"/>
              <w:numPr>
                <w:ilvl w:val="0"/>
                <w:numId w:val="103"/>
              </w:numPr>
              <w:spacing w:before="0"/>
              <w:ind w:left="175" w:hanging="175"/>
              <w:rPr>
                <w:rFonts w:ascii="Calibri" w:hAnsi="Calibri"/>
                <w:color w:val="000000"/>
                <w:sz w:val="16"/>
                <w:szCs w:val="16"/>
              </w:rPr>
            </w:pPr>
            <w:r w:rsidRPr="005A192A">
              <w:rPr>
                <w:rFonts w:ascii="Calibri" w:hAnsi="Calibri"/>
                <w:color w:val="000000"/>
                <w:sz w:val="16"/>
                <w:szCs w:val="16"/>
              </w:rPr>
              <w:t>stanovuje realisticky a kvalitne vypracovaný plán realizácie projektov (vrátane časového plánu a rozpočtového rámca).</w:t>
            </w:r>
          </w:p>
        </w:tc>
        <w:tc>
          <w:tcPr>
            <w:tcW w:w="1134" w:type="dxa"/>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2805"/>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bottom w:val="single" w:sz="2" w:space="0" w:color="auto"/>
            </w:tcBorders>
          </w:tcPr>
          <w:p w:rsidR="004E2D6C" w:rsidRPr="004E2D6C" w:rsidRDefault="004E2D6C" w:rsidP="004E2D6C">
            <w:pPr>
              <w:spacing w:before="0"/>
              <w:rPr>
                <w:rFonts w:ascii="Calibri" w:hAnsi="Calibri"/>
                <w:color w:val="000000"/>
                <w:sz w:val="16"/>
                <w:szCs w:val="16"/>
              </w:rPr>
            </w:pPr>
            <w:r w:rsidRPr="004E2D6C">
              <w:rPr>
                <w:rFonts w:ascii="Calibri" w:hAnsi="Calibri"/>
                <w:color w:val="000000"/>
                <w:sz w:val="16"/>
                <w:szCs w:val="16"/>
              </w:rPr>
              <w:t>Opatrenia na zabezpečenie kapacity sprostredkovateľských orgánov a prijímateľov pri vykonávaní naplánovaných projektov.</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2377D3">
        <w:trPr>
          <w:trHeight w:val="193"/>
        </w:trPr>
        <w:tc>
          <w:tcPr>
            <w:tcW w:w="1668" w:type="dxa"/>
            <w:vMerge w:val="restart"/>
            <w:tcBorders>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7.4 Rozvoj inteligentných systémov distribúcie, uchovávania a prepravy energie. </w:t>
            </w:r>
          </w:p>
          <w:p w:rsidR="004E2D6C" w:rsidRPr="004E2D6C" w:rsidRDefault="004E2D6C" w:rsidP="004E2D6C">
            <w:pPr>
              <w:spacing w:before="0"/>
              <w:rPr>
                <w:rFonts w:ascii="Calibri" w:hAnsi="Calibri"/>
                <w:sz w:val="16"/>
                <w:szCs w:val="16"/>
              </w:rPr>
            </w:pPr>
            <w:r w:rsidRPr="004E2D6C">
              <w:rPr>
                <w:rFonts w:ascii="Calibri" w:hAnsi="Calibri"/>
                <w:sz w:val="16"/>
                <w:szCs w:val="16"/>
              </w:rPr>
              <w:t>Existencia komplexných plánov investícií do inteligentnej energetickej infraštruktúry a regulačných opatrení, ktoré prispievajú k zlepšeniu energetickej efektívnosti a bezpečnosti dodávok.</w:t>
            </w:r>
          </w:p>
        </w:tc>
        <w:tc>
          <w:tcPr>
            <w:tcW w:w="1559" w:type="dxa"/>
            <w:vMerge w:val="restart"/>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Nerelevantné</w:t>
            </w:r>
          </w:p>
        </w:tc>
        <w:tc>
          <w:tcPr>
            <w:tcW w:w="2551" w:type="dxa"/>
            <w:tcBorders>
              <w:top w:val="single" w:sz="2" w:space="0" w:color="auto"/>
              <w:bottom w:val="single" w:sz="2" w:space="0" w:color="auto"/>
            </w:tcBorders>
          </w:tcPr>
          <w:p w:rsidR="004E2D6C" w:rsidRPr="004E2D6C" w:rsidRDefault="004E2D6C" w:rsidP="004E2D6C">
            <w:pPr>
              <w:spacing w:before="0"/>
              <w:rPr>
                <w:rFonts w:ascii="Calibri" w:hAnsi="Calibri"/>
                <w:color w:val="000000"/>
                <w:sz w:val="16"/>
                <w:szCs w:val="16"/>
              </w:rPr>
            </w:pPr>
            <w:r w:rsidRPr="004E2D6C">
              <w:rPr>
                <w:rFonts w:ascii="Calibri" w:hAnsi="Calibri"/>
                <w:color w:val="000000"/>
                <w:sz w:val="16"/>
                <w:szCs w:val="16"/>
              </w:rPr>
              <w:t>Zavedené sú komplexné plány, ktoré opisujú priority národnej energetickej infraštruktúry a ktoré sú:</w:t>
            </w:r>
          </w:p>
        </w:tc>
        <w:tc>
          <w:tcPr>
            <w:tcW w:w="1134" w:type="dxa"/>
            <w:vMerge w:val="restart"/>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Nerelevantné</w:t>
            </w:r>
          </w:p>
        </w:tc>
        <w:tc>
          <w:tcPr>
            <w:tcW w:w="3119" w:type="dxa"/>
            <w:vMerge w:val="restart"/>
          </w:tcPr>
          <w:p w:rsidR="004E2D6C" w:rsidRPr="004E2D6C" w:rsidRDefault="004E2D6C" w:rsidP="004E2D6C">
            <w:pPr>
              <w:spacing w:before="0"/>
              <w:rPr>
                <w:rFonts w:ascii="Calibri" w:hAnsi="Calibri"/>
                <w:sz w:val="16"/>
                <w:szCs w:val="16"/>
              </w:rPr>
            </w:pPr>
          </w:p>
        </w:tc>
        <w:tc>
          <w:tcPr>
            <w:tcW w:w="4111" w:type="dxa"/>
            <w:vMerge w:val="restart"/>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9B070C">
        <w:trPr>
          <w:trHeight w:val="19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4"/>
              </w:numPr>
              <w:spacing w:before="0"/>
              <w:ind w:left="175" w:hanging="175"/>
              <w:rPr>
                <w:rFonts w:ascii="Calibri" w:hAnsi="Calibri"/>
                <w:color w:val="000000"/>
                <w:sz w:val="16"/>
                <w:szCs w:val="16"/>
              </w:rPr>
            </w:pPr>
            <w:r w:rsidRPr="005A192A">
              <w:rPr>
                <w:rFonts w:ascii="Calibri" w:hAnsi="Calibri"/>
                <w:color w:val="000000"/>
                <w:sz w:val="16"/>
                <w:szCs w:val="16"/>
              </w:rPr>
              <w:t>v súlade s článkom 22 smernice 2009/72/ES a článkom 22 smernice 2009/73/ES, ak sú uplatniteľné, a</w:t>
            </w:r>
          </w:p>
        </w:tc>
        <w:tc>
          <w:tcPr>
            <w:tcW w:w="1134" w:type="dxa"/>
            <w:vMerge/>
          </w:tcPr>
          <w:p w:rsidR="004E2D6C" w:rsidRPr="004E2D6C" w:rsidRDefault="004E2D6C" w:rsidP="004E2D6C">
            <w:pPr>
              <w:spacing w:before="0"/>
              <w:rPr>
                <w:rFonts w:ascii="Calibri" w:hAnsi="Calibri"/>
                <w:sz w:val="16"/>
                <w:szCs w:val="16"/>
              </w:rPr>
            </w:pP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9B070C">
        <w:trPr>
          <w:trHeight w:val="19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4"/>
              </w:numPr>
              <w:tabs>
                <w:tab w:val="left" w:pos="321"/>
              </w:tabs>
              <w:spacing w:before="0"/>
              <w:ind w:left="175" w:hanging="175"/>
              <w:rPr>
                <w:rFonts w:ascii="Calibri" w:hAnsi="Calibri"/>
                <w:color w:val="000000"/>
                <w:sz w:val="16"/>
                <w:szCs w:val="16"/>
              </w:rPr>
            </w:pPr>
            <w:r w:rsidRPr="005A192A">
              <w:rPr>
                <w:rFonts w:ascii="Calibri" w:hAnsi="Calibri"/>
                <w:color w:val="000000"/>
                <w:sz w:val="16"/>
                <w:szCs w:val="16"/>
              </w:rPr>
              <w:t>v súlade s príslušnými regionálnymi plánmi investícií podľa článku 12 a s desaťročným plánom Únie pre rozvoj sietí podľa článku 8 ods. 3 písm. b) nariadenia Európskeho parlamentu a Rady (ES) č. 714/2009 a nariadenia Európskeho parlamentu a Rady (ES) č. 715/2009 a</w:t>
            </w:r>
          </w:p>
        </w:tc>
        <w:tc>
          <w:tcPr>
            <w:tcW w:w="1134" w:type="dxa"/>
            <w:vMerge/>
          </w:tcPr>
          <w:p w:rsidR="004E2D6C" w:rsidRPr="004E2D6C" w:rsidRDefault="004E2D6C" w:rsidP="004E2D6C">
            <w:pPr>
              <w:spacing w:before="0"/>
              <w:rPr>
                <w:rFonts w:ascii="Calibri" w:hAnsi="Calibri"/>
                <w:sz w:val="16"/>
                <w:szCs w:val="16"/>
              </w:rPr>
            </w:pP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9B070C">
        <w:trPr>
          <w:trHeight w:val="19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4"/>
              </w:numPr>
              <w:tabs>
                <w:tab w:val="left" w:pos="175"/>
              </w:tabs>
              <w:spacing w:before="0"/>
              <w:ind w:left="175" w:hanging="175"/>
              <w:rPr>
                <w:rFonts w:ascii="Calibri" w:hAnsi="Calibri"/>
                <w:color w:val="000000"/>
                <w:sz w:val="16"/>
                <w:szCs w:val="16"/>
              </w:rPr>
            </w:pPr>
            <w:r w:rsidRPr="005A192A">
              <w:rPr>
                <w:rFonts w:ascii="Calibri" w:hAnsi="Calibri"/>
                <w:color w:val="000000"/>
                <w:sz w:val="16"/>
                <w:szCs w:val="16"/>
              </w:rPr>
              <w:t>v súlade s článkom 3 ods. 4 nariadenia Európskeho parlamentu a Rady (EÚ) č. 347/2013.</w:t>
            </w:r>
          </w:p>
        </w:tc>
        <w:tc>
          <w:tcPr>
            <w:tcW w:w="1134" w:type="dxa"/>
            <w:vMerge/>
          </w:tcPr>
          <w:p w:rsidR="004E2D6C" w:rsidRPr="004E2D6C" w:rsidRDefault="004E2D6C" w:rsidP="004E2D6C">
            <w:pPr>
              <w:spacing w:before="0"/>
              <w:rPr>
                <w:rFonts w:ascii="Calibri" w:hAnsi="Calibri"/>
                <w:sz w:val="16"/>
                <w:szCs w:val="16"/>
              </w:rPr>
            </w:pP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9B070C">
        <w:trPr>
          <w:trHeight w:val="19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4E2D6C" w:rsidRDefault="004E2D6C" w:rsidP="004E2D6C">
            <w:pPr>
              <w:spacing w:before="0"/>
              <w:rPr>
                <w:rFonts w:ascii="Calibri" w:hAnsi="Calibri"/>
                <w:color w:val="000000"/>
                <w:sz w:val="16"/>
                <w:szCs w:val="16"/>
              </w:rPr>
            </w:pPr>
            <w:r w:rsidRPr="004E2D6C">
              <w:rPr>
                <w:rFonts w:ascii="Calibri" w:hAnsi="Calibri"/>
                <w:color w:val="000000"/>
                <w:sz w:val="16"/>
                <w:szCs w:val="16"/>
              </w:rPr>
              <w:t>Tieto plány obsahujú:</w:t>
            </w:r>
          </w:p>
        </w:tc>
        <w:tc>
          <w:tcPr>
            <w:tcW w:w="1134" w:type="dxa"/>
            <w:vMerge/>
          </w:tcPr>
          <w:p w:rsidR="004E2D6C" w:rsidRPr="004E2D6C" w:rsidRDefault="004E2D6C" w:rsidP="004E2D6C">
            <w:pPr>
              <w:spacing w:before="0"/>
              <w:rPr>
                <w:rFonts w:ascii="Calibri" w:hAnsi="Calibri"/>
                <w:sz w:val="16"/>
                <w:szCs w:val="16"/>
              </w:rPr>
            </w:pP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9B070C">
        <w:trPr>
          <w:trHeight w:val="19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5"/>
              </w:numPr>
              <w:spacing w:before="0"/>
              <w:ind w:left="175" w:hanging="141"/>
              <w:rPr>
                <w:rFonts w:ascii="Calibri" w:hAnsi="Calibri"/>
                <w:color w:val="000000"/>
                <w:sz w:val="16"/>
                <w:szCs w:val="16"/>
              </w:rPr>
            </w:pPr>
            <w:r w:rsidRPr="005A192A">
              <w:rPr>
                <w:rFonts w:ascii="Calibri" w:hAnsi="Calibri"/>
                <w:color w:val="000000"/>
                <w:sz w:val="16"/>
                <w:szCs w:val="16"/>
              </w:rPr>
              <w:t xml:space="preserve">realistickú a kvalitnú realizáciu projektov, pri ktorých sa počíta s </w:t>
            </w:r>
            <w:r w:rsidRPr="005A192A">
              <w:rPr>
                <w:rFonts w:ascii="Calibri" w:hAnsi="Calibri"/>
                <w:color w:val="000000"/>
                <w:sz w:val="16"/>
                <w:szCs w:val="16"/>
              </w:rPr>
              <w:lastRenderedPageBreak/>
              <w:t>podporou zo strany EFRR,</w:t>
            </w:r>
          </w:p>
        </w:tc>
        <w:tc>
          <w:tcPr>
            <w:tcW w:w="1134" w:type="dxa"/>
            <w:vMerge/>
          </w:tcPr>
          <w:p w:rsidR="004E2D6C" w:rsidRPr="004E2D6C" w:rsidRDefault="004E2D6C" w:rsidP="004E2D6C">
            <w:pPr>
              <w:spacing w:before="0"/>
              <w:rPr>
                <w:rFonts w:ascii="Calibri" w:hAnsi="Calibri"/>
                <w:sz w:val="16"/>
                <w:szCs w:val="16"/>
              </w:rPr>
            </w:pP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9B070C">
        <w:trPr>
          <w:trHeight w:val="19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tcPr>
          <w:p w:rsidR="004E2D6C" w:rsidRPr="005A192A" w:rsidRDefault="004E2D6C" w:rsidP="001C5C9E">
            <w:pPr>
              <w:pStyle w:val="Odsekzoznamu"/>
              <w:numPr>
                <w:ilvl w:val="0"/>
                <w:numId w:val="105"/>
              </w:numPr>
              <w:spacing w:before="0"/>
              <w:ind w:left="175" w:hanging="141"/>
              <w:rPr>
                <w:rFonts w:ascii="Calibri" w:hAnsi="Calibri"/>
                <w:color w:val="000000"/>
                <w:sz w:val="16"/>
                <w:szCs w:val="16"/>
              </w:rPr>
            </w:pPr>
            <w:r w:rsidRPr="005A192A">
              <w:rPr>
                <w:rFonts w:ascii="Calibri" w:hAnsi="Calibri"/>
                <w:color w:val="000000"/>
                <w:sz w:val="16"/>
                <w:szCs w:val="16"/>
              </w:rPr>
              <w:t>opatrenia na dosiahnutie cieľov v oblasti sociálnej a hospodárskej súdržnosti a ochrany životného prostredia v súlade s článkom 3 ods. 10 smernice 2009/72/ES a článkom 3 ods. 7 smernice 2009/73/ES,</w:t>
            </w:r>
          </w:p>
        </w:tc>
        <w:tc>
          <w:tcPr>
            <w:tcW w:w="1134" w:type="dxa"/>
            <w:vMerge/>
          </w:tcPr>
          <w:p w:rsidR="004E2D6C" w:rsidRPr="004E2D6C" w:rsidRDefault="004E2D6C" w:rsidP="004E2D6C">
            <w:pPr>
              <w:spacing w:before="0"/>
              <w:rPr>
                <w:rFonts w:ascii="Calibri" w:hAnsi="Calibri"/>
                <w:sz w:val="16"/>
                <w:szCs w:val="16"/>
              </w:rPr>
            </w:pP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9B070C">
        <w:trPr>
          <w:trHeight w:val="192"/>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tcPr>
          <w:p w:rsidR="004E2D6C" w:rsidRPr="005A192A" w:rsidRDefault="004E2D6C" w:rsidP="001C5C9E">
            <w:pPr>
              <w:pStyle w:val="Odsekzoznamu"/>
              <w:numPr>
                <w:ilvl w:val="0"/>
                <w:numId w:val="105"/>
              </w:numPr>
              <w:spacing w:before="0"/>
              <w:ind w:left="175" w:hanging="141"/>
              <w:rPr>
                <w:rFonts w:ascii="Calibri" w:hAnsi="Calibri"/>
                <w:color w:val="000000"/>
                <w:sz w:val="16"/>
                <w:szCs w:val="16"/>
              </w:rPr>
            </w:pPr>
            <w:r w:rsidRPr="005A192A">
              <w:rPr>
                <w:rFonts w:ascii="Calibri" w:hAnsi="Calibri"/>
                <w:color w:val="000000"/>
                <w:sz w:val="16"/>
                <w:szCs w:val="16"/>
              </w:rPr>
              <w:t>opatrenia na optimalizáciu využitia energie a podporu energetickej efektívnosti v súlade s článkom 3 ods. 11 smernice 2009/72/ES a článkom 3 ods. 8 smernice 2009/73/ES.</w:t>
            </w:r>
          </w:p>
        </w:tc>
        <w:tc>
          <w:tcPr>
            <w:tcW w:w="1134"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311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77"/>
        </w:trPr>
        <w:tc>
          <w:tcPr>
            <w:tcW w:w="1668" w:type="dxa"/>
            <w:vMerge w:val="restart"/>
            <w:tcBorders>
              <w:top w:val="single" w:sz="12" w:space="0" w:color="auto"/>
              <w:left w:val="single" w:sz="12" w:space="0" w:color="auto"/>
            </w:tcBorders>
          </w:tcPr>
          <w:p w:rsidR="004E2D6C" w:rsidRPr="004E2D6C" w:rsidRDefault="004E2D6C" w:rsidP="00064192">
            <w:pPr>
              <w:spacing w:before="0"/>
              <w:rPr>
                <w:rFonts w:ascii="Calibri" w:hAnsi="Calibri"/>
                <w:sz w:val="16"/>
                <w:szCs w:val="16"/>
              </w:rPr>
            </w:pPr>
            <w:r w:rsidRPr="004E2D6C">
              <w:rPr>
                <w:rFonts w:ascii="Calibri" w:hAnsi="Calibri"/>
                <w:sz w:val="16"/>
                <w:szCs w:val="16"/>
              </w:rPr>
              <w:t xml:space="preserve">8.1 Vytváranie a realizácia aktívnych politík trhu práce so zreteľom </w:t>
            </w:r>
            <w:r w:rsidR="00064192">
              <w:rPr>
                <w:rFonts w:ascii="Calibri" w:hAnsi="Calibri"/>
                <w:sz w:val="16"/>
                <w:szCs w:val="16"/>
              </w:rPr>
              <w:t xml:space="preserve">na </w:t>
            </w:r>
            <w:r w:rsidRPr="004E2D6C">
              <w:rPr>
                <w:rFonts w:ascii="Calibri" w:hAnsi="Calibri"/>
                <w:sz w:val="16"/>
                <w:szCs w:val="16"/>
              </w:rPr>
              <w:t>usmernenia politiky zamestnanosti.</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Čiastočne</w:t>
            </w:r>
          </w:p>
        </w:tc>
        <w:tc>
          <w:tcPr>
            <w:tcW w:w="2551" w:type="dxa"/>
            <w:tcBorders>
              <w:top w:val="single" w:sz="12" w:space="0" w:color="auto"/>
              <w:bottom w:val="single" w:sz="2" w:space="0" w:color="auto"/>
            </w:tcBorders>
            <w:vAlign w:val="center"/>
          </w:tcPr>
          <w:p w:rsidR="004E2D6C" w:rsidRPr="004E2D6C" w:rsidRDefault="004E2D6C" w:rsidP="004E2D6C">
            <w:pPr>
              <w:spacing w:before="0"/>
              <w:rPr>
                <w:rFonts w:ascii="Calibri" w:hAnsi="Calibri"/>
                <w:color w:val="000000"/>
                <w:sz w:val="16"/>
                <w:szCs w:val="16"/>
                <w:lang w:eastAsia="cs-CZ"/>
              </w:rPr>
            </w:pPr>
            <w:r w:rsidRPr="004E2D6C">
              <w:rPr>
                <w:rFonts w:ascii="Calibri" w:hAnsi="Calibri"/>
                <w:color w:val="000000"/>
                <w:sz w:val="16"/>
                <w:szCs w:val="16"/>
                <w:lang w:eastAsia="cs-CZ"/>
              </w:rPr>
              <w:t>Služby zamestnanosti majú možnosť zabezpečiť a zabezpečujú:</w:t>
            </w:r>
          </w:p>
          <w:p w:rsidR="004E2D6C" w:rsidRPr="005A192A" w:rsidRDefault="004E2D6C" w:rsidP="001C5C9E">
            <w:pPr>
              <w:pStyle w:val="Odsekzoznamu"/>
              <w:numPr>
                <w:ilvl w:val="0"/>
                <w:numId w:val="106"/>
              </w:numPr>
              <w:tabs>
                <w:tab w:val="left" w:pos="332"/>
              </w:tabs>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personalizované služby a aktívne a preventívne opatrenia na trhu práce, ktoré sa realizujú včas, sú prístupné pre všetkých uchádzačov o prácu a zameriavajú sa osoby najviac ohrozené rizikom sociálneho vylúčenia vrátane osôb z marginalizovaných komunít;</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tcBorders>
              <w:top w:val="single" w:sz="12" w:space="0" w:color="auto"/>
            </w:tcBorders>
          </w:tcPr>
          <w:p w:rsidR="004E2D6C" w:rsidRPr="002900D1" w:rsidRDefault="004E2D6C" w:rsidP="004E2D6C">
            <w:pPr>
              <w:spacing w:before="0"/>
              <w:rPr>
                <w:rFonts w:ascii="Calibri" w:hAnsi="Calibri"/>
                <w:sz w:val="16"/>
                <w:szCs w:val="16"/>
              </w:rPr>
            </w:pPr>
            <w:r w:rsidRPr="002900D1">
              <w:rPr>
                <w:rFonts w:ascii="Calibri" w:hAnsi="Calibri"/>
                <w:sz w:val="16"/>
                <w:szCs w:val="16"/>
              </w:rPr>
              <w:t>Národný program reforiem SR 2013</w:t>
            </w:r>
          </w:p>
          <w:p w:rsidR="004E2D6C" w:rsidRPr="002900D1" w:rsidRDefault="00ED6BC8" w:rsidP="004E2D6C">
            <w:pPr>
              <w:spacing w:before="0"/>
              <w:rPr>
                <w:rFonts w:ascii="Calibri" w:hAnsi="Calibri"/>
                <w:sz w:val="16"/>
                <w:szCs w:val="16"/>
              </w:rPr>
            </w:pPr>
            <w:hyperlink r:id="rId98" w:history="1">
              <w:r w:rsidR="004E2D6C" w:rsidRPr="002900D1">
                <w:rPr>
                  <w:rFonts w:ascii="Calibri" w:hAnsi="Calibri"/>
                  <w:color w:val="0000FF"/>
                  <w:sz w:val="16"/>
                  <w:szCs w:val="16"/>
                  <w:u w:val="single"/>
                </w:rPr>
                <w:t>http://www.rokovania.sk/Rokovanie.aspx/BodRokovaniaDetail?idMaterial=22344</w:t>
              </w:r>
            </w:hyperlink>
            <w:r w:rsidR="004E2D6C" w:rsidRPr="002900D1">
              <w:rPr>
                <w:rFonts w:ascii="Calibri" w:hAnsi="Calibri"/>
                <w:sz w:val="16"/>
                <w:szCs w:val="16"/>
              </w:rPr>
              <w:t xml:space="preserve"> </w:t>
            </w:r>
          </w:p>
          <w:p w:rsidR="004E2D6C" w:rsidRPr="002900D1" w:rsidRDefault="004E2D6C" w:rsidP="004E2D6C">
            <w:pPr>
              <w:spacing w:before="0"/>
              <w:rPr>
                <w:rFonts w:ascii="Calibri" w:hAnsi="Calibri"/>
                <w:sz w:val="16"/>
                <w:szCs w:val="16"/>
              </w:rPr>
            </w:pPr>
          </w:p>
          <w:p w:rsidR="00064192" w:rsidRPr="002900D1" w:rsidRDefault="004E2D6C" w:rsidP="004E2D6C">
            <w:pPr>
              <w:spacing w:before="0"/>
              <w:rPr>
                <w:rFonts w:ascii="Calibri" w:hAnsi="Calibri"/>
                <w:sz w:val="16"/>
                <w:szCs w:val="16"/>
              </w:rPr>
            </w:pPr>
            <w:r w:rsidRPr="002900D1">
              <w:rPr>
                <w:rFonts w:ascii="Calibri" w:hAnsi="Calibri"/>
                <w:sz w:val="16"/>
                <w:szCs w:val="16"/>
              </w:rPr>
              <w:t>Zákon č. 96/2013 Z. z.</w:t>
            </w:r>
          </w:p>
          <w:p w:rsidR="004E2D6C" w:rsidRPr="002900D1" w:rsidRDefault="004E2D6C" w:rsidP="004E2D6C">
            <w:pPr>
              <w:spacing w:before="0"/>
              <w:rPr>
                <w:rFonts w:ascii="Calibri" w:hAnsi="Calibri"/>
                <w:sz w:val="16"/>
                <w:szCs w:val="16"/>
              </w:rPr>
            </w:pPr>
            <w:r w:rsidRPr="002900D1">
              <w:rPr>
                <w:rFonts w:ascii="Calibri" w:hAnsi="Calibri"/>
                <w:sz w:val="16"/>
                <w:szCs w:val="16"/>
              </w:rPr>
              <w:t xml:space="preserve"> </w:t>
            </w:r>
            <w:hyperlink r:id="rId99" w:history="1">
              <w:r w:rsidRPr="002900D1">
                <w:rPr>
                  <w:rFonts w:ascii="Calibri" w:hAnsi="Calibri"/>
                  <w:color w:val="0000FF"/>
                  <w:sz w:val="16"/>
                  <w:szCs w:val="16"/>
                  <w:u w:val="single"/>
                </w:rPr>
                <w:t>http://www.zakonypreludi.sk/zz/2013-96</w:t>
              </w:r>
            </w:hyperlink>
          </w:p>
          <w:p w:rsidR="004E2D6C" w:rsidRPr="002900D1" w:rsidRDefault="004E2D6C" w:rsidP="004E2D6C">
            <w:pPr>
              <w:spacing w:before="0"/>
              <w:rPr>
                <w:rFonts w:ascii="Calibri" w:hAnsi="Calibr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 xml:space="preserve">Správa o situácii na trhu práce v SR a opatrenia na jej zlepšenie. </w:t>
            </w:r>
            <w:hyperlink r:id="rId100" w:history="1">
              <w:r w:rsidRPr="002900D1">
                <w:rPr>
                  <w:rFonts w:ascii="Calibri" w:hAnsi="Calibri"/>
                  <w:color w:val="0000FF"/>
                  <w:sz w:val="16"/>
                  <w:szCs w:val="16"/>
                  <w:u w:val="single"/>
                </w:rPr>
                <w:t>http://www.nrsr.sk/web/Dynamic/Download.aspx?DocID=382240</w:t>
              </w:r>
            </w:hyperlink>
            <w:r w:rsidRPr="002900D1">
              <w:rPr>
                <w:rFonts w:ascii="Calibri" w:hAnsi="Calibri"/>
                <w:sz w:val="16"/>
                <w:szCs w:val="16"/>
              </w:rPr>
              <w:t xml:space="preserve">   </w:t>
            </w:r>
          </w:p>
        </w:tc>
        <w:tc>
          <w:tcPr>
            <w:tcW w:w="4111" w:type="dxa"/>
            <w:tcBorders>
              <w:top w:val="single" w:sz="12" w:space="0" w:color="auto"/>
              <w:right w:val="single" w:sz="12" w:space="0" w:color="auto"/>
            </w:tcBorders>
          </w:tcPr>
          <w:p w:rsidR="00036E07" w:rsidRPr="002900D1" w:rsidRDefault="00036E07" w:rsidP="00036E07">
            <w:pPr>
              <w:spacing w:before="0"/>
              <w:rPr>
                <w:rFonts w:ascii="Calibri" w:hAnsi="Calibri"/>
                <w:sz w:val="16"/>
                <w:szCs w:val="16"/>
              </w:rPr>
            </w:pPr>
            <w:r w:rsidRPr="002900D1">
              <w:rPr>
                <w:rFonts w:ascii="Calibri" w:hAnsi="Calibri"/>
                <w:sz w:val="16"/>
                <w:szCs w:val="16"/>
              </w:rPr>
              <w:t>Národný program reforiem SR 2013</w:t>
            </w:r>
          </w:p>
          <w:p w:rsidR="00036E07" w:rsidRPr="002900D1" w:rsidRDefault="00ED6BC8" w:rsidP="00036E07">
            <w:pPr>
              <w:spacing w:before="0"/>
              <w:rPr>
                <w:rFonts w:ascii="Calibri" w:hAnsi="Calibri"/>
                <w:sz w:val="16"/>
                <w:szCs w:val="16"/>
              </w:rPr>
            </w:pPr>
            <w:hyperlink r:id="rId101" w:history="1">
              <w:r w:rsidR="00036E07" w:rsidRPr="002900D1">
                <w:rPr>
                  <w:rFonts w:ascii="Calibri" w:hAnsi="Calibri"/>
                  <w:color w:val="0000FF"/>
                  <w:sz w:val="16"/>
                  <w:szCs w:val="16"/>
                  <w:u w:val="single"/>
                </w:rPr>
                <w:t>http://www.rokovania.sk/Rokovanie.aspx/BodRokovaniaDetail?idMaterial=22344</w:t>
              </w:r>
            </w:hyperlink>
            <w:r w:rsidR="00036E07" w:rsidRPr="002900D1">
              <w:rPr>
                <w:rFonts w:ascii="Calibri" w:hAnsi="Calibri"/>
                <w:sz w:val="16"/>
                <w:szCs w:val="16"/>
              </w:rPr>
              <w:t xml:space="preserve"> </w:t>
            </w:r>
          </w:p>
          <w:p w:rsidR="00036E07" w:rsidRPr="002900D1" w:rsidRDefault="00036E07" w:rsidP="00036E07">
            <w:pPr>
              <w:spacing w:before="0"/>
              <w:rPr>
                <w:rFonts w:ascii="Calibri" w:hAnsi="Calibri"/>
                <w:sz w:val="16"/>
                <w:szCs w:val="16"/>
              </w:rPr>
            </w:pPr>
            <w:r w:rsidRPr="002900D1">
              <w:rPr>
                <w:rFonts w:ascii="Calibri" w:hAnsi="Calibri"/>
                <w:sz w:val="16"/>
                <w:szCs w:val="16"/>
              </w:rPr>
              <w:t>Zákon č. 96/2013 Z. z.</w:t>
            </w:r>
          </w:p>
          <w:p w:rsidR="00036E07" w:rsidRPr="002900D1" w:rsidRDefault="00036E07" w:rsidP="00036E07">
            <w:pPr>
              <w:spacing w:before="0"/>
              <w:rPr>
                <w:rFonts w:ascii="Calibri" w:hAnsi="Calibri"/>
                <w:sz w:val="16"/>
                <w:szCs w:val="16"/>
              </w:rPr>
            </w:pPr>
            <w:r w:rsidRPr="002900D1">
              <w:rPr>
                <w:rFonts w:ascii="Calibri" w:hAnsi="Calibri"/>
                <w:sz w:val="16"/>
                <w:szCs w:val="16"/>
              </w:rPr>
              <w:t xml:space="preserve"> </w:t>
            </w:r>
            <w:hyperlink r:id="rId102" w:history="1">
              <w:r w:rsidRPr="002900D1">
                <w:rPr>
                  <w:rFonts w:ascii="Calibri" w:hAnsi="Calibri"/>
                  <w:color w:val="0000FF"/>
                  <w:sz w:val="16"/>
                  <w:szCs w:val="16"/>
                  <w:u w:val="single"/>
                </w:rPr>
                <w:t>http://www.zakonypreludi.sk/zz/2013-96</w:t>
              </w:r>
            </w:hyperlink>
          </w:p>
          <w:p w:rsidR="00036E07" w:rsidRPr="002900D1" w:rsidRDefault="00036E07" w:rsidP="00036E07">
            <w:pPr>
              <w:spacing w:before="0"/>
              <w:rPr>
                <w:rFonts w:ascii="Calibri" w:hAnsi="Calibri"/>
                <w:sz w:val="16"/>
                <w:szCs w:val="16"/>
              </w:rPr>
            </w:pPr>
            <w:r w:rsidRPr="002900D1">
              <w:rPr>
                <w:rFonts w:ascii="Calibri" w:hAnsi="Calibri"/>
                <w:sz w:val="16"/>
                <w:szCs w:val="16"/>
              </w:rPr>
              <w:t xml:space="preserve">Správa o situácii na trhu práce v SR a opatrenia na jej zlepšenie. </w:t>
            </w:r>
            <w:hyperlink r:id="rId103" w:history="1">
              <w:r w:rsidRPr="002900D1">
                <w:rPr>
                  <w:rFonts w:ascii="Calibri" w:hAnsi="Calibri"/>
                  <w:color w:val="0000FF"/>
                  <w:sz w:val="16"/>
                  <w:szCs w:val="16"/>
                  <w:u w:val="single"/>
                </w:rPr>
                <w:t>http://www.nrsr.sk/web/Dynamic/Download.aspx?DocID=382240</w:t>
              </w:r>
            </w:hyperlink>
            <w:r w:rsidRPr="002900D1">
              <w:rPr>
                <w:rFonts w:ascii="Calibri" w:hAnsi="Calibri"/>
                <w:sz w:val="16"/>
                <w:szCs w:val="16"/>
              </w:rPr>
              <w:t xml:space="preserve">   </w:t>
            </w:r>
          </w:p>
          <w:p w:rsidR="004E2D6C" w:rsidRPr="002900D1" w:rsidRDefault="004E2D6C" w:rsidP="00913097">
            <w:pPr>
              <w:spacing w:before="0"/>
              <w:rPr>
                <w:rFonts w:ascii="Calibri" w:hAnsi="Calibri"/>
                <w:sz w:val="16"/>
                <w:szCs w:val="16"/>
              </w:rPr>
            </w:pPr>
            <w:r w:rsidRPr="002900D1">
              <w:rPr>
                <w:rFonts w:ascii="Calibri" w:hAnsi="Calibri"/>
                <w:sz w:val="16"/>
                <w:szCs w:val="16"/>
              </w:rPr>
              <w:t xml:space="preserve">V zmysle  zákona č. 96/2013 Z. z. </w:t>
            </w:r>
            <w:r w:rsidR="00036E07" w:rsidRPr="002900D1">
              <w:rPr>
                <w:rFonts w:ascii="Calibri" w:hAnsi="Calibri"/>
                <w:sz w:val="16"/>
                <w:szCs w:val="16"/>
              </w:rPr>
              <w:t xml:space="preserve"> (novela zákona o službách zamestnanosti) </w:t>
            </w:r>
            <w:r w:rsidRPr="002900D1">
              <w:rPr>
                <w:rFonts w:ascii="Calibri" w:hAnsi="Calibri"/>
                <w:sz w:val="16"/>
                <w:szCs w:val="16"/>
              </w:rPr>
              <w:t>bude ÚPSVR na základe vstupov od jednotlivých úradov práce, sociálnych vecí a rodiny pravidelne pripravovať správu o</w:t>
            </w:r>
            <w:r w:rsidRPr="002900D1">
              <w:rPr>
                <w:rFonts w:ascii="Calibri" w:hAnsi="Calibri"/>
                <w:color w:val="000000"/>
                <w:sz w:val="16"/>
                <w:szCs w:val="16"/>
              </w:rPr>
              <w:t> </w:t>
            </w:r>
            <w:r w:rsidRPr="002900D1">
              <w:rPr>
                <w:rFonts w:ascii="Calibri" w:hAnsi="Calibri"/>
                <w:sz w:val="16"/>
                <w:szCs w:val="16"/>
              </w:rPr>
              <w:t>fungovaní aktívnej politiky trhu práce. Bude sfinalizovaná centrálna databáza a zabezpečený prístup k nej. V súčasnosti sa realiz</w:t>
            </w:r>
            <w:r w:rsidR="00036E07" w:rsidRPr="002900D1">
              <w:rPr>
                <w:rFonts w:ascii="Calibri" w:hAnsi="Calibri"/>
                <w:sz w:val="16"/>
                <w:szCs w:val="16"/>
              </w:rPr>
              <w:t xml:space="preserve">uje </w:t>
            </w:r>
            <w:r w:rsidRPr="002900D1">
              <w:rPr>
                <w:rFonts w:ascii="Calibri" w:hAnsi="Calibri"/>
                <w:sz w:val="16"/>
                <w:szCs w:val="16"/>
              </w:rPr>
              <w:t>národný projekt, prostredníctvom ktorého pre oblasť zamestnanosti bude vypracovaný strešný strategický dokument - Národná stratégia zamestnanosti v</w:t>
            </w:r>
            <w:r w:rsidRPr="002900D1">
              <w:rPr>
                <w:rFonts w:ascii="Calibri" w:hAnsi="Calibri"/>
                <w:color w:val="000000"/>
                <w:sz w:val="16"/>
                <w:szCs w:val="16"/>
              </w:rPr>
              <w:t> </w:t>
            </w:r>
            <w:r w:rsidRPr="002900D1">
              <w:rPr>
                <w:rFonts w:ascii="Calibri" w:hAnsi="Calibri"/>
                <w:sz w:val="16"/>
                <w:szCs w:val="16"/>
              </w:rPr>
              <w:t>SR (ďalej len „stratégia“). Stratégia a Národný program reforiem, vychádzajúce zo stratégie Európa 2020, budú pre</w:t>
            </w:r>
            <w:r w:rsidRPr="002900D1">
              <w:rPr>
                <w:rFonts w:ascii="Calibri" w:hAnsi="Calibri"/>
                <w:color w:val="000000"/>
                <w:sz w:val="16"/>
                <w:szCs w:val="16"/>
              </w:rPr>
              <w:t> </w:t>
            </w:r>
            <w:r w:rsidR="00913097" w:rsidRPr="002900D1">
              <w:rPr>
                <w:rFonts w:ascii="Calibri" w:hAnsi="Calibri"/>
                <w:sz w:val="16"/>
                <w:szCs w:val="16"/>
              </w:rPr>
              <w:t xml:space="preserve">programové </w:t>
            </w:r>
            <w:r w:rsidRPr="002900D1">
              <w:rPr>
                <w:rFonts w:ascii="Calibri" w:hAnsi="Calibri"/>
                <w:sz w:val="16"/>
                <w:szCs w:val="16"/>
              </w:rPr>
              <w:t>obdobie</w:t>
            </w:r>
            <w:r w:rsidR="00913097" w:rsidRPr="002900D1">
              <w:rPr>
                <w:rFonts w:ascii="Calibri" w:hAnsi="Calibri"/>
                <w:sz w:val="16"/>
                <w:szCs w:val="16"/>
              </w:rPr>
              <w:t xml:space="preserve"> 2014 - 2020</w:t>
            </w:r>
            <w:r w:rsidRPr="002900D1">
              <w:rPr>
                <w:rFonts w:ascii="Calibri" w:hAnsi="Calibri"/>
                <w:sz w:val="16"/>
                <w:szCs w:val="16"/>
              </w:rPr>
              <w:t xml:space="preserve"> predstavovať dva kľúčové strategické dokumenty pre zamestnanosť</w:t>
            </w:r>
            <w:r w:rsidR="00036E07" w:rsidRPr="002900D1">
              <w:rPr>
                <w:rFonts w:ascii="Calibri" w:hAnsi="Calibri"/>
                <w:sz w:val="16"/>
                <w:szCs w:val="16"/>
              </w:rPr>
              <w:t xml:space="preserve"> vrátane služieb zamestnanosti.</w:t>
            </w:r>
          </w:p>
        </w:tc>
      </w:tr>
      <w:tr w:rsidR="004E2D6C" w:rsidRPr="004E2D6C" w:rsidTr="00B763E3">
        <w:trPr>
          <w:trHeight w:val="175"/>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06"/>
              </w:numPr>
              <w:tabs>
                <w:tab w:val="left" w:pos="321"/>
              </w:tabs>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 xml:space="preserve">komplexné a transparentné informácie o nových pracovných miestach a príležitostiach na zamestnanie pri zohľadnení meniacich sa potrieb pracovného trhu.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064192" w:rsidRPr="002900D1" w:rsidRDefault="004E2D6C" w:rsidP="004E2D6C">
            <w:pPr>
              <w:spacing w:before="0"/>
              <w:rPr>
                <w:rFonts w:ascii="Calibri" w:hAnsi="Calibri"/>
                <w:sz w:val="16"/>
                <w:szCs w:val="16"/>
              </w:rPr>
            </w:pPr>
            <w:r w:rsidRPr="002900D1">
              <w:rPr>
                <w:rFonts w:ascii="Calibri" w:hAnsi="Calibri"/>
                <w:sz w:val="16"/>
                <w:szCs w:val="16"/>
              </w:rPr>
              <w:t>Zákon č. 96/2013 Z. z.</w:t>
            </w:r>
          </w:p>
          <w:p w:rsidR="004E2D6C" w:rsidRPr="002900D1" w:rsidRDefault="004E2D6C" w:rsidP="004E2D6C">
            <w:pPr>
              <w:spacing w:before="0"/>
              <w:rPr>
                <w:rFonts w:ascii="Calibri" w:hAnsi="Calibri"/>
                <w:sz w:val="16"/>
                <w:szCs w:val="16"/>
              </w:rPr>
            </w:pPr>
            <w:r w:rsidRPr="002900D1">
              <w:rPr>
                <w:rFonts w:ascii="Calibri" w:hAnsi="Calibri"/>
                <w:sz w:val="16"/>
                <w:szCs w:val="16"/>
              </w:rPr>
              <w:t xml:space="preserve"> </w:t>
            </w:r>
            <w:hyperlink r:id="rId104" w:history="1">
              <w:r w:rsidRPr="002900D1">
                <w:rPr>
                  <w:rFonts w:ascii="Calibri" w:hAnsi="Calibri"/>
                  <w:color w:val="0000FF"/>
                  <w:sz w:val="16"/>
                  <w:szCs w:val="16"/>
                  <w:u w:val="single"/>
                </w:rPr>
                <w:t>http://www.zakonypreludi.sk/zz/2013-96</w:t>
              </w:r>
            </w:hyperlink>
          </w:p>
          <w:p w:rsidR="004E2D6C" w:rsidRPr="002900D1" w:rsidRDefault="004E2D6C" w:rsidP="004E2D6C">
            <w:pPr>
              <w:spacing w:before="0"/>
              <w:rPr>
                <w:rFonts w:ascii="Calibri" w:hAnsi="Calibr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Ústredie práce, sociálnych vecí a rodiny (ÚPSVR)</w:t>
            </w:r>
          </w:p>
          <w:p w:rsidR="004E2D6C" w:rsidRPr="002900D1" w:rsidRDefault="00ED6BC8" w:rsidP="004E2D6C">
            <w:pPr>
              <w:spacing w:before="0"/>
              <w:rPr>
                <w:rFonts w:ascii="Calibri" w:hAnsi="Calibri"/>
                <w:sz w:val="16"/>
                <w:szCs w:val="16"/>
              </w:rPr>
            </w:pPr>
            <w:hyperlink r:id="rId105" w:history="1">
              <w:r w:rsidR="004E2D6C" w:rsidRPr="002900D1">
                <w:rPr>
                  <w:rFonts w:ascii="Calibri" w:hAnsi="Calibri"/>
                  <w:color w:val="0000FF"/>
                  <w:sz w:val="16"/>
                  <w:szCs w:val="16"/>
                  <w:u w:val="single"/>
                </w:rPr>
                <w:t>http://www.upsvar.sk/volne-pracovne-miesta.html?page_id=12925</w:t>
              </w:r>
            </w:hyperlink>
          </w:p>
          <w:p w:rsidR="004E2D6C" w:rsidRPr="002900D1" w:rsidRDefault="004E2D6C" w:rsidP="004E2D6C">
            <w:pPr>
              <w:spacing w:before="0"/>
              <w:rPr>
                <w:rFonts w:ascii="Calibri" w:hAnsi="Calibri"/>
                <w:sz w:val="16"/>
                <w:szCs w:val="16"/>
              </w:rPr>
            </w:pPr>
          </w:p>
          <w:p w:rsidR="004E2D6C" w:rsidRPr="002900D1" w:rsidRDefault="00ED6BC8" w:rsidP="004E2D6C">
            <w:pPr>
              <w:spacing w:before="0"/>
              <w:rPr>
                <w:rFonts w:ascii="Calibri" w:hAnsi="Calibri"/>
                <w:sz w:val="16"/>
                <w:szCs w:val="16"/>
              </w:rPr>
            </w:pPr>
            <w:hyperlink r:id="rId106" w:history="1">
              <w:r w:rsidR="004E2D6C" w:rsidRPr="002900D1">
                <w:rPr>
                  <w:rFonts w:ascii="Calibri" w:hAnsi="Calibri"/>
                  <w:color w:val="0000FF"/>
                  <w:sz w:val="16"/>
                  <w:szCs w:val="16"/>
                  <w:u w:val="single"/>
                </w:rPr>
                <w:t>http://www.upsvar.sk/eures.html?page_id=13140</w:t>
              </w:r>
            </w:hyperlink>
          </w:p>
          <w:p w:rsidR="004E2D6C" w:rsidRPr="002900D1" w:rsidRDefault="004E2D6C" w:rsidP="004E2D6C">
            <w:pPr>
              <w:spacing w:before="0"/>
              <w:rPr>
                <w:rFonts w:ascii="Calibri" w:hAnsi="Calibr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Sektorové rady</w:t>
            </w:r>
          </w:p>
          <w:p w:rsidR="004E2D6C" w:rsidRPr="002900D1" w:rsidRDefault="00ED6BC8" w:rsidP="004E2D6C">
            <w:pPr>
              <w:spacing w:before="0"/>
              <w:rPr>
                <w:rFonts w:ascii="Calibri" w:hAnsi="Calibri"/>
                <w:sz w:val="16"/>
                <w:szCs w:val="16"/>
              </w:rPr>
            </w:pPr>
            <w:hyperlink r:id="rId107" w:history="1">
              <w:r w:rsidR="004E2D6C" w:rsidRPr="002900D1">
                <w:rPr>
                  <w:rFonts w:ascii="Calibri" w:hAnsi="Calibri"/>
                  <w:color w:val="0000FF"/>
                  <w:sz w:val="16"/>
                  <w:szCs w:val="16"/>
                  <w:u w:val="single"/>
                </w:rPr>
                <w:t>http://sustavapovolani.sk/sektorove-rady</w:t>
              </w:r>
            </w:hyperlink>
          </w:p>
        </w:tc>
        <w:tc>
          <w:tcPr>
            <w:tcW w:w="4111" w:type="dxa"/>
            <w:tcBorders>
              <w:right w:val="single" w:sz="12" w:space="0" w:color="auto"/>
            </w:tcBorders>
          </w:tcPr>
          <w:p w:rsidR="004E2D6C" w:rsidRPr="002900D1" w:rsidRDefault="00036E07" w:rsidP="004E2D6C">
            <w:pPr>
              <w:spacing w:before="0"/>
              <w:rPr>
                <w:rFonts w:ascii="Calibri" w:hAnsi="Calibri"/>
                <w:sz w:val="16"/>
                <w:szCs w:val="16"/>
              </w:rPr>
            </w:pPr>
            <w:r w:rsidRPr="002900D1">
              <w:rPr>
                <w:rFonts w:ascii="Calibri" w:hAnsi="Calibri"/>
                <w:sz w:val="16"/>
                <w:szCs w:val="16"/>
              </w:rPr>
              <w:t>Z</w:t>
            </w:r>
            <w:r w:rsidR="004E2D6C" w:rsidRPr="002900D1">
              <w:rPr>
                <w:rFonts w:ascii="Calibri" w:hAnsi="Calibri"/>
                <w:sz w:val="16"/>
                <w:szCs w:val="16"/>
              </w:rPr>
              <w:t>ákon č. 96/2013 Z. z. zavádza systémový nástroj aktívnej politiky trhu práce, ktorým je Aliancia sektorových rád, sektorové rady a národná sústava povolaní. Do pôsobnosti sektorovej rady, prostredníctvom účasti zamestnávateľov a vzdelávacích inštitúcií, patrí najmä aktualizovanie informačného systému v súlade s vývojom na trhu práce. Povinnú evidenciu voľných pracovných miest vedú úrady práce, sociálnych vecí a rodiny.</w:t>
            </w:r>
            <w:r w:rsidRPr="002900D1">
              <w:rPr>
                <w:rFonts w:ascii="Calibri" w:hAnsi="Calibri"/>
                <w:sz w:val="16"/>
                <w:szCs w:val="16"/>
              </w:rPr>
              <w:t xml:space="preserve"> V roku 2013 bolo nahlásených na úrady práce, sociálnych vecí a rodiny 68107 voľných pracovných miest a priemerne bolo k dispozícii 5676 voľných pracovných miest.</w:t>
            </w:r>
          </w:p>
        </w:tc>
      </w:tr>
      <w:tr w:rsidR="004E2D6C" w:rsidRPr="004E2D6C" w:rsidTr="00B763E3">
        <w:trPr>
          <w:trHeight w:val="175"/>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4E2D6C" w:rsidRDefault="004E2D6C" w:rsidP="004E2D6C">
            <w:pPr>
              <w:spacing w:before="0"/>
              <w:rPr>
                <w:rFonts w:ascii="Calibri" w:hAnsi="Calibri"/>
                <w:color w:val="000000"/>
                <w:sz w:val="16"/>
                <w:szCs w:val="16"/>
                <w:lang w:eastAsia="sk-SK"/>
              </w:rPr>
            </w:pPr>
            <w:r w:rsidRPr="004E2D6C">
              <w:rPr>
                <w:rFonts w:ascii="Calibri" w:hAnsi="Calibri"/>
                <w:color w:val="000000"/>
                <w:sz w:val="16"/>
                <w:szCs w:val="16"/>
                <w:lang w:eastAsia="cs-CZ"/>
              </w:rPr>
              <w:t>Služby zamestnanosti vypracovali formálne alebo neformálne dohody o spolupráci s príslušnými zainteresovanými stranami.</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bottom w:val="single" w:sz="12" w:space="0" w:color="auto"/>
            </w:tcBorders>
          </w:tcPr>
          <w:p w:rsidR="00064192" w:rsidRPr="002900D1" w:rsidRDefault="004E2D6C" w:rsidP="00064192">
            <w:pPr>
              <w:spacing w:before="0"/>
              <w:rPr>
                <w:rFonts w:ascii="Calibri" w:hAnsi="Calibri"/>
                <w:sz w:val="16"/>
                <w:szCs w:val="16"/>
              </w:rPr>
            </w:pPr>
            <w:r w:rsidRPr="002900D1">
              <w:rPr>
                <w:rFonts w:ascii="Calibri" w:hAnsi="Calibri"/>
                <w:sz w:val="16"/>
                <w:szCs w:val="16"/>
              </w:rPr>
              <w:t xml:space="preserve">Zákon č. 96/2013 Z. z. </w:t>
            </w:r>
          </w:p>
          <w:p w:rsidR="004E2D6C" w:rsidRPr="002900D1" w:rsidRDefault="00ED6BC8" w:rsidP="00064192">
            <w:pPr>
              <w:spacing w:before="0"/>
              <w:rPr>
                <w:rFonts w:ascii="Calibri" w:hAnsi="Calibri"/>
                <w:sz w:val="16"/>
                <w:szCs w:val="16"/>
              </w:rPr>
            </w:pPr>
            <w:hyperlink r:id="rId108" w:history="1">
              <w:hyperlink r:id="rId109" w:history="1">
                <w:r w:rsidR="004E2D6C" w:rsidRPr="002900D1">
                  <w:rPr>
                    <w:rFonts w:ascii="Calibri" w:hAnsi="Calibri"/>
                    <w:color w:val="0000FF"/>
                    <w:sz w:val="16"/>
                    <w:szCs w:val="16"/>
                    <w:u w:val="single"/>
                  </w:rPr>
                  <w:t>http://www.zakonypreludi.sk/zz/2013-96</w:t>
                </w:r>
              </w:hyperlink>
              <w:r w:rsidR="004E2D6C" w:rsidRPr="002900D1">
                <w:rPr>
                  <w:rFonts w:ascii="Calibri" w:hAnsi="Calibri"/>
                  <w:color w:val="0000FF"/>
                  <w:sz w:val="16"/>
                  <w:szCs w:val="16"/>
                  <w:u w:val="single"/>
                </w:rPr>
                <w:t>/</w:t>
              </w:r>
            </w:hyperlink>
          </w:p>
        </w:tc>
        <w:tc>
          <w:tcPr>
            <w:tcW w:w="4111" w:type="dxa"/>
            <w:tcBorders>
              <w:bottom w:val="single" w:sz="12" w:space="0" w:color="auto"/>
              <w:right w:val="single" w:sz="12" w:space="0" w:color="auto"/>
            </w:tcBorders>
          </w:tcPr>
          <w:p w:rsidR="004E2D6C" w:rsidRPr="002900D1" w:rsidRDefault="004E2D6C" w:rsidP="004E2D6C">
            <w:pPr>
              <w:spacing w:before="0"/>
              <w:rPr>
                <w:rFonts w:ascii="Calibri" w:hAnsi="Calibri"/>
                <w:sz w:val="16"/>
                <w:szCs w:val="16"/>
              </w:rPr>
            </w:pPr>
            <w:r w:rsidRPr="002900D1">
              <w:rPr>
                <w:rFonts w:ascii="Calibri" w:hAnsi="Calibri"/>
                <w:sz w:val="16"/>
                <w:szCs w:val="16"/>
              </w:rPr>
              <w:t xml:space="preserve">Novelizovaný zákon č. 96/2013 Z. z. ustanovuje legislatívny rámec spolupráce podľa jednotlivých nástrojov aktívnej politiky trhu práce. Novela zákona o službách zamestnanosti zavádza do pôsobnosti Výbory pre otázky zamestnanosti, ktoré sú zložené zo všetkých relevantných zástupcov trhu práce. Ďalej obcou, združením obcí, samosprávnym krajom, občianskym združením, neziskovou organizáciou, nadáciou, bankou a ďalšou osobou, ktorá sa podieľa na realizácií aktivít projektu alebo programu, sú vytvárané partnerstvá. Spolupráca verejných služieb zamestnanosti so školami je najmä v oblasti informačných </w:t>
            </w:r>
            <w:r w:rsidR="003A5209" w:rsidRPr="002900D1">
              <w:rPr>
                <w:rFonts w:ascii="Calibri" w:hAnsi="Calibri"/>
                <w:sz w:val="16"/>
                <w:szCs w:val="16"/>
              </w:rPr>
              <w:br/>
            </w:r>
            <w:r w:rsidRPr="002900D1">
              <w:rPr>
                <w:rFonts w:ascii="Calibri" w:hAnsi="Calibri"/>
                <w:sz w:val="16"/>
                <w:szCs w:val="16"/>
              </w:rPr>
              <w:t>a poradenských služieb. Bežnou praxou v SR sú dohody uzatvárané medzi úradmi verejných služieb zamestnanosti, obcami a miestnymi zamestnávateľmi na zabezpečovanie uplatňovania aktívnej politiky trhu práce. Ďalšia spolupráca je s neštátnymi agentúrami</w:t>
            </w:r>
            <w:r w:rsidR="00036E07" w:rsidRPr="002900D1">
              <w:rPr>
                <w:rFonts w:ascii="Calibri" w:hAnsi="Calibri"/>
                <w:sz w:val="16"/>
                <w:szCs w:val="16"/>
              </w:rPr>
              <w:t xml:space="preserve"> </w:t>
            </w:r>
            <w:r w:rsidRPr="002900D1">
              <w:rPr>
                <w:rFonts w:ascii="Calibri" w:hAnsi="Calibri"/>
                <w:sz w:val="16"/>
                <w:szCs w:val="16"/>
              </w:rPr>
              <w:t>dočasného zamestnávania</w:t>
            </w:r>
            <w:r w:rsidR="00376D71" w:rsidRPr="002900D1">
              <w:rPr>
                <w:rFonts w:ascii="Calibri" w:hAnsi="Calibri"/>
                <w:sz w:val="16"/>
                <w:szCs w:val="16"/>
              </w:rPr>
              <w:t xml:space="preserve"> (1048 subjektov)</w:t>
            </w:r>
            <w:r w:rsidRPr="002900D1">
              <w:rPr>
                <w:rFonts w:ascii="Calibri" w:hAnsi="Calibri"/>
                <w:sz w:val="16"/>
                <w:szCs w:val="16"/>
              </w:rPr>
              <w:t>, aktuálne pri umiestňovaní znevýhodnených uchádzačov o zamestnanie, ktoré poskytujú ÚPSVR pravidelne správu o svojej činnosti.</w:t>
            </w:r>
          </w:p>
          <w:p w:rsidR="00376D71" w:rsidRPr="002900D1" w:rsidRDefault="00376D71" w:rsidP="004E2D6C">
            <w:pPr>
              <w:spacing w:before="0"/>
              <w:rPr>
                <w:rFonts w:ascii="Calibri" w:hAnsi="Calibri"/>
                <w:sz w:val="16"/>
                <w:szCs w:val="16"/>
              </w:rPr>
            </w:pPr>
            <w:r w:rsidRPr="002900D1">
              <w:rPr>
                <w:rFonts w:ascii="Calibri" w:hAnsi="Calibri"/>
                <w:sz w:val="16"/>
                <w:szCs w:val="16"/>
              </w:rPr>
              <w:t xml:space="preserve">Spolupráca je vykazovaná aj s ďalšími sprostredkovateľmi zamestnania (1355 subjektov) a agentúrami podporovaného zamestnávania (58 subjektov).  V roku 2013 realizovali úrady práce, sociálnych vecí a rodiny </w:t>
            </w:r>
            <w:r w:rsidRPr="002900D1">
              <w:rPr>
                <w:rFonts w:ascii="Calibri" w:hAnsi="Calibri"/>
                <w:sz w:val="16"/>
                <w:szCs w:val="16"/>
              </w:rPr>
              <w:lastRenderedPageBreak/>
              <w:t>v partnerstve so zamestnávateľmi až 957 výberových konaní, na ktorých bolo uchádzačom o zamestnanie ponúknutých 47975 voľných pracovných miest. V neformálnom partnerstve so zamestnávateľmi boli zorganizované 3 burzy práce s 35 zamestnávateľmi. V partnerstve so zamestnávateľmi, vzdelávacími inštitúciami, poskytovateľmi poradenstva, školení, mimovládnymi organizáciami a ďalšími zainteresovanými stranami bol v apríli 2013 tak, ako každoročne, zorganizovaný Veľtrh práce  Job Expo, za účasti 133 zamestnávateľov, ktorí ponúkli 16 340 voľných pracovných miest; 19 odborných partnerov a za účasti 27850 klientov. Dôkazom partnerstva sú aj Veľtrh Profesia days 2013 za účasti 80 zamestnávateľov, poskytovateľov poradenstva, školení alebo Veľtrh Svet práce v septembri 2013 za účasti 52 zamestnávateľov a ďalších  partnerov. Úrady práce, sociálnych vecí a rodiny a Ústredie realizovali v roku 2013 a 2014 partnerstvo so 105 vzdelávacími inštitúciami. V spolupráci so školami je realizované partnerstvo pri voľbe povolania, ktoré bolo v roku 2013 poskytnuté pre 21 670 žiakov základných škôl a 35036 žiakov stredných škôl.</w:t>
            </w:r>
          </w:p>
        </w:tc>
      </w:tr>
      <w:tr w:rsidR="004E2D6C" w:rsidRPr="004E2D6C" w:rsidTr="00B763E3">
        <w:trPr>
          <w:trHeight w:val="342"/>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8.2. Samostatná zárobková činnosť, podnikanie a zakladanie podnikov: </w:t>
            </w:r>
          </w:p>
          <w:p w:rsidR="004E2D6C" w:rsidRPr="004E2D6C" w:rsidRDefault="004E2D6C" w:rsidP="004E2D6C">
            <w:pPr>
              <w:spacing w:before="0"/>
              <w:rPr>
                <w:rFonts w:ascii="Calibri" w:hAnsi="Calibri"/>
                <w:sz w:val="16"/>
                <w:szCs w:val="16"/>
              </w:rPr>
            </w:pPr>
            <w:r w:rsidRPr="004E2D6C">
              <w:rPr>
                <w:rFonts w:ascii="Calibri" w:hAnsi="Calibri"/>
                <w:sz w:val="16"/>
                <w:szCs w:val="16"/>
              </w:rPr>
              <w:t>existencia strategického politického rámca pre inkluzívne začatie činnosti</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2551" w:type="dxa"/>
            <w:tcBorders>
              <w:top w:val="single" w:sz="12" w:space="0" w:color="auto"/>
            </w:tcBorders>
            <w:vAlign w:val="center"/>
          </w:tcPr>
          <w:p w:rsidR="004E2D6C" w:rsidRPr="004E2D6C" w:rsidRDefault="004E2D6C" w:rsidP="004E2D6C">
            <w:pPr>
              <w:spacing w:before="0"/>
              <w:rPr>
                <w:rFonts w:ascii="Calibri" w:hAnsi="Calibri"/>
                <w:sz w:val="16"/>
                <w:szCs w:val="16"/>
                <w:lang w:eastAsia="cs-CZ"/>
              </w:rPr>
            </w:pPr>
            <w:r w:rsidRPr="004E2D6C">
              <w:rPr>
                <w:rFonts w:ascii="Calibri" w:hAnsi="Calibri"/>
                <w:sz w:val="16"/>
                <w:szCs w:val="16"/>
                <w:lang w:eastAsia="cs-CZ"/>
              </w:rPr>
              <w:t>Zavedený je strategický politický rámec pre inkluzívnu podporu na začatie činnosti, ktorý obsahuje tieto prvky:</w:t>
            </w:r>
          </w:p>
          <w:p w:rsidR="004E2D6C" w:rsidRPr="005A192A" w:rsidRDefault="004E2D6C" w:rsidP="001C5C9E">
            <w:pPr>
              <w:pStyle w:val="Odsekzoznamu"/>
              <w:numPr>
                <w:ilvl w:val="0"/>
                <w:numId w:val="106"/>
              </w:numPr>
              <w:spacing w:before="0"/>
              <w:ind w:left="175" w:hanging="141"/>
              <w:rPr>
                <w:rFonts w:ascii="Calibri" w:hAnsi="Calibri"/>
                <w:sz w:val="16"/>
                <w:szCs w:val="16"/>
                <w:lang w:eastAsia="cs-CZ"/>
              </w:rPr>
            </w:pPr>
            <w:r w:rsidRPr="005A192A">
              <w:rPr>
                <w:rFonts w:ascii="Calibri" w:hAnsi="Calibri"/>
                <w:sz w:val="16"/>
                <w:szCs w:val="16"/>
                <w:lang w:eastAsia="cs-CZ"/>
              </w:rPr>
              <w:t>opatrenia zavedené s cieľom znížiť čas a náklady potrebné na založenie podniku so zreteľom na ciele SBA,</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top w:val="single" w:sz="12" w:space="0" w:color="auto"/>
            </w:tcBorders>
          </w:tcPr>
          <w:p w:rsidR="004E2D6C" w:rsidRPr="002900D1" w:rsidRDefault="004E2D6C" w:rsidP="004E2D6C">
            <w:pPr>
              <w:spacing w:before="0"/>
              <w:rPr>
                <w:rFonts w:ascii="Calibri" w:hAnsi="Calibri"/>
                <w:sz w:val="16"/>
                <w:szCs w:val="16"/>
              </w:rPr>
            </w:pPr>
            <w:r w:rsidRPr="002900D1">
              <w:rPr>
                <w:rFonts w:ascii="Calibri" w:hAnsi="Calibri"/>
                <w:sz w:val="16"/>
                <w:szCs w:val="16"/>
              </w:rPr>
              <w:t>Zákon č. 547/2011 Z. z.</w:t>
            </w:r>
          </w:p>
          <w:p w:rsidR="004E2D6C" w:rsidRPr="004E2D6C" w:rsidRDefault="00ED6BC8" w:rsidP="004E2D6C">
            <w:pPr>
              <w:spacing w:before="0"/>
              <w:rPr>
                <w:rFonts w:ascii="Calibri" w:hAnsi="Calibri"/>
                <w:sz w:val="16"/>
                <w:szCs w:val="16"/>
              </w:rPr>
            </w:pPr>
            <w:hyperlink r:id="rId110" w:history="1">
              <w:r w:rsidR="004E2D6C" w:rsidRPr="004E2D6C">
                <w:rPr>
                  <w:rFonts w:ascii="Calibri" w:hAnsi="Calibri"/>
                  <w:color w:val="0000FF"/>
                  <w:sz w:val="16"/>
                  <w:szCs w:val="16"/>
                  <w:u w:val="single"/>
                </w:rPr>
                <w:t>http://www.zakonypreludi.sk/zz/2011-547</w:t>
              </w:r>
            </w:hyperlink>
          </w:p>
          <w:p w:rsidR="004E2D6C" w:rsidRPr="004E2D6C" w:rsidRDefault="004E2D6C" w:rsidP="004E2D6C">
            <w:pPr>
              <w:spacing w:before="0"/>
              <w:rPr>
                <w:rFonts w:ascii="Calibri" w:hAnsi="Calibri"/>
                <w: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Lehota potrebná na zapísanie obchodnej spoločnosti sa skráti z 5 na 2 pracovné dni. Účinné od 1.</w:t>
            </w:r>
            <w:r w:rsidR="003A5209">
              <w:rPr>
                <w:rFonts w:ascii="Calibri" w:hAnsi="Calibri"/>
                <w:sz w:val="16"/>
                <w:szCs w:val="16"/>
              </w:rPr>
              <w:t xml:space="preserve"> </w:t>
            </w:r>
            <w:r w:rsidRPr="004E2D6C">
              <w:rPr>
                <w:rFonts w:ascii="Calibri" w:hAnsi="Calibri"/>
                <w:sz w:val="16"/>
                <w:szCs w:val="16"/>
              </w:rPr>
              <w:t>1.</w:t>
            </w:r>
            <w:r w:rsidR="003A5209">
              <w:rPr>
                <w:rFonts w:ascii="Calibri" w:hAnsi="Calibri"/>
                <w:sz w:val="16"/>
                <w:szCs w:val="16"/>
              </w:rPr>
              <w:t xml:space="preserve"> </w:t>
            </w:r>
            <w:r w:rsidRPr="004E2D6C">
              <w:rPr>
                <w:rFonts w:ascii="Calibri" w:hAnsi="Calibri"/>
                <w:sz w:val="16"/>
                <w:szCs w:val="16"/>
              </w:rPr>
              <w:t>2014. Opatrenie na zníženie nákladov na založenie obchodnej spoločnosti bolo realizované prostredníctvom vypracovania a zverejnenie štandardizovaných vzorov pre malých a stredných podnikateľov, ak spoločnosť zakladá jediný spoločník alebo akcionár. Tým došlo k zníženiu potreby angažovať právnikov pri zakladaní spoločností a všetkých zmenách v podnikaní.</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64"/>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06"/>
              </w:numPr>
              <w:spacing w:before="0"/>
              <w:ind w:left="175" w:hanging="141"/>
              <w:rPr>
                <w:rFonts w:ascii="Calibri" w:hAnsi="Calibri"/>
                <w:sz w:val="16"/>
                <w:szCs w:val="16"/>
                <w:lang w:eastAsia="cs-CZ"/>
              </w:rPr>
            </w:pPr>
            <w:r w:rsidRPr="005A192A">
              <w:rPr>
                <w:rFonts w:ascii="Calibri" w:hAnsi="Calibri"/>
                <w:sz w:val="16"/>
                <w:szCs w:val="16"/>
                <w:lang w:eastAsia="cs-CZ"/>
              </w:rPr>
              <w:t xml:space="preserve">opatrenia zavedené s cieľom znížiť čas potrebný na získanie licencií a povolení na začatie a </w:t>
            </w:r>
            <w:r w:rsidRPr="005A192A">
              <w:rPr>
                <w:rFonts w:ascii="Calibri" w:hAnsi="Calibri"/>
                <w:sz w:val="16"/>
                <w:szCs w:val="16"/>
                <w:lang w:eastAsia="cs-CZ"/>
              </w:rPr>
              <w:lastRenderedPageBreak/>
              <w:t xml:space="preserve">vykonávanie určitých činností podniku so zreteľom na ciele SBA,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lastRenderedPageBreak/>
              <w:t>Áno</w:t>
            </w:r>
          </w:p>
        </w:tc>
        <w:tc>
          <w:tcPr>
            <w:tcW w:w="3119" w:type="dxa"/>
          </w:tcPr>
          <w:p w:rsidR="004E2D6C" w:rsidRPr="002900D1" w:rsidRDefault="004E2D6C" w:rsidP="004E2D6C">
            <w:pPr>
              <w:spacing w:before="0"/>
              <w:rPr>
                <w:rFonts w:ascii="Calibri" w:hAnsi="Calibri"/>
                <w:sz w:val="16"/>
                <w:szCs w:val="16"/>
              </w:rPr>
            </w:pPr>
            <w:r w:rsidRPr="002900D1">
              <w:rPr>
                <w:rFonts w:ascii="Calibri" w:hAnsi="Calibri"/>
                <w:sz w:val="16"/>
                <w:szCs w:val="16"/>
              </w:rPr>
              <w:t>Zákon č. 392/2011 Z. z. o obchodovaní s výrobkami obranného priemyslu</w:t>
            </w:r>
          </w:p>
          <w:p w:rsidR="004E2D6C" w:rsidRPr="004E2D6C" w:rsidRDefault="00ED6BC8" w:rsidP="004E2D6C">
            <w:pPr>
              <w:spacing w:before="0"/>
              <w:rPr>
                <w:rFonts w:ascii="Calibri" w:hAnsi="Calibri"/>
                <w:sz w:val="16"/>
                <w:szCs w:val="16"/>
              </w:rPr>
            </w:pPr>
            <w:hyperlink r:id="rId111" w:anchor="38;ZakZborID=13&amp;" w:history="1">
              <w:r w:rsidR="004E2D6C" w:rsidRPr="004E2D6C">
                <w:rPr>
                  <w:rFonts w:ascii="Calibri" w:hAnsi="Calibri"/>
                  <w:color w:val="0000FF"/>
                  <w:sz w:val="16"/>
                  <w:szCs w:val="16"/>
                  <w:u w:val="single"/>
                </w:rPr>
                <w:t>http://www.nrsr.sk/web/Default.aspx?sid=z</w:t>
              </w:r>
              <w:r w:rsidR="004E2D6C" w:rsidRPr="004E2D6C">
                <w:rPr>
                  <w:rFonts w:ascii="Calibri" w:hAnsi="Calibri"/>
                  <w:color w:val="0000FF"/>
                  <w:sz w:val="16"/>
                  <w:szCs w:val="16"/>
                  <w:u w:val="single"/>
                </w:rPr>
                <w:lastRenderedPageBreak/>
                <w:t>akony/zakon&amp;ZakZborID=13&amp;CisObdobia=5&amp;CPT=456</w:t>
              </w:r>
            </w:hyperlink>
            <w:r w:rsidR="004E2D6C" w:rsidRPr="004E2D6C">
              <w:rPr>
                <w:rFonts w:ascii="Calibri" w:hAnsi="Calibri"/>
                <w:sz w:val="16"/>
                <w:szCs w:val="16"/>
              </w:rPr>
              <w:t xml:space="preserve"> </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Zákonom sa lehota pri vydaní živnosti skrátila z 5 na 3 dni a bola rozšírená funkcionalita jednotných kontaktných miest (JKM). JKM umožňuje záujemcom o</w:t>
            </w:r>
            <w:r w:rsidRPr="004E2D6C">
              <w:rPr>
                <w:rFonts w:ascii="Calibri" w:hAnsi="Calibri"/>
                <w:color w:val="000000"/>
                <w:sz w:val="16"/>
                <w:szCs w:val="16"/>
              </w:rPr>
              <w:t> </w:t>
            </w:r>
            <w:r w:rsidRPr="004E2D6C">
              <w:rPr>
                <w:rFonts w:ascii="Calibri" w:hAnsi="Calibri"/>
                <w:sz w:val="16"/>
                <w:szCs w:val="16"/>
              </w:rPr>
              <w:t>podnikanie vykonať všetky potrebné úkony pre vydanie živnostenského oprávnenia, resp. úkony spojené so vznikom spoločnosti na jednom mieste.</w:t>
            </w:r>
          </w:p>
          <w:p w:rsidR="004E2D6C" w:rsidRPr="004E2D6C" w:rsidRDefault="004E2D6C" w:rsidP="004E2D6C">
            <w:pPr>
              <w:spacing w:before="0"/>
              <w:rPr>
                <w:rFonts w:ascii="Calibri" w:hAnsi="Calibri"/>
                <w:sz w:val="16"/>
                <w:szCs w:val="16"/>
              </w:rPr>
            </w:pPr>
            <w:r w:rsidRPr="004E2D6C">
              <w:rPr>
                <w:rFonts w:ascii="Calibri" w:hAnsi="Calibri"/>
                <w:sz w:val="16"/>
                <w:szCs w:val="16"/>
              </w:rPr>
              <w:t>Od 1.</w:t>
            </w:r>
            <w:r w:rsidR="00C611EB">
              <w:rPr>
                <w:rFonts w:ascii="Calibri" w:hAnsi="Calibri"/>
                <w:sz w:val="16"/>
                <w:szCs w:val="16"/>
              </w:rPr>
              <w:t xml:space="preserve"> </w:t>
            </w:r>
            <w:r w:rsidRPr="004E2D6C">
              <w:rPr>
                <w:rFonts w:ascii="Calibri" w:hAnsi="Calibri"/>
                <w:sz w:val="16"/>
                <w:szCs w:val="16"/>
              </w:rPr>
              <w:t>1.</w:t>
            </w:r>
            <w:r w:rsidR="00C611EB">
              <w:rPr>
                <w:rFonts w:ascii="Calibri" w:hAnsi="Calibri"/>
                <w:sz w:val="16"/>
                <w:szCs w:val="16"/>
              </w:rPr>
              <w:t xml:space="preserve"> </w:t>
            </w:r>
            <w:r w:rsidRPr="004E2D6C">
              <w:rPr>
                <w:rFonts w:ascii="Calibri" w:hAnsi="Calibri"/>
                <w:sz w:val="16"/>
                <w:szCs w:val="16"/>
              </w:rPr>
              <w:t>2012 bola zrealizovaná plná funkcionalita elektronických JKM, t.j. možnosť založiť živnosť elektronicky vrátane zmenového konania a podania návrhu na zápis do obchodného registra a taktiež úhrady súdnych a správnych poplatkov.</w:t>
            </w:r>
          </w:p>
          <w:p w:rsidR="004E2D6C" w:rsidRPr="004E2D6C" w:rsidRDefault="004E2D6C" w:rsidP="004E2D6C">
            <w:pPr>
              <w:spacing w:before="0"/>
              <w:rPr>
                <w:rFonts w:ascii="Calibri" w:hAnsi="Calibr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Uznesenie vlády SR č. 153/2013 k Správe o stave podnikateľského prostredia v</w:t>
            </w:r>
            <w:r w:rsidRPr="002900D1">
              <w:rPr>
                <w:rFonts w:ascii="Calibri" w:hAnsi="Calibri"/>
                <w:color w:val="000000"/>
                <w:sz w:val="16"/>
                <w:szCs w:val="16"/>
              </w:rPr>
              <w:t> </w:t>
            </w:r>
            <w:r w:rsidRPr="002900D1">
              <w:rPr>
                <w:rFonts w:ascii="Calibri" w:hAnsi="Calibri"/>
                <w:sz w:val="16"/>
                <w:szCs w:val="16"/>
              </w:rPr>
              <w:t>Slovenskej republike s návrhmi na jeho zlepšovanie</w:t>
            </w:r>
          </w:p>
          <w:p w:rsidR="004E2D6C" w:rsidRPr="004E2D6C" w:rsidRDefault="00ED6BC8" w:rsidP="004E2D6C">
            <w:pPr>
              <w:spacing w:before="0"/>
              <w:rPr>
                <w:rFonts w:ascii="Calibri" w:hAnsi="Calibri"/>
                <w:i/>
                <w:sz w:val="16"/>
                <w:szCs w:val="16"/>
              </w:rPr>
            </w:pPr>
            <w:hyperlink r:id="rId112" w:history="1">
              <w:r w:rsidR="004E2D6C" w:rsidRPr="004E2D6C">
                <w:rPr>
                  <w:rFonts w:ascii="Calibri" w:hAnsi="Calibri"/>
                  <w:color w:val="0000FF"/>
                  <w:sz w:val="16"/>
                  <w:szCs w:val="16"/>
                  <w:u w:val="single"/>
                </w:rPr>
                <w:t>http://www.rokovania.sk/File.aspx/ViewDocumentHtml/Uznesenie-13242?prefixFile=u_</w:t>
              </w:r>
            </w:hyperlink>
            <w:r w:rsidR="004E2D6C" w:rsidRPr="004E2D6C">
              <w:rPr>
                <w:rFonts w:ascii="Calibri" w:hAnsi="Calibri"/>
                <w:sz w:val="16"/>
                <w:szCs w:val="16"/>
              </w:rPr>
              <w:t xml:space="preserve"> </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Boli prijaté úlohy na vyššiu efektivitu využitia služieb JKM ako aj rozšírenie ich funkcionality.</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64"/>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5A192A" w:rsidRDefault="004E2D6C" w:rsidP="001C5C9E">
            <w:pPr>
              <w:pStyle w:val="Odsekzoznamu"/>
              <w:numPr>
                <w:ilvl w:val="0"/>
                <w:numId w:val="106"/>
              </w:numPr>
              <w:spacing w:before="0"/>
              <w:ind w:left="175" w:hanging="175"/>
              <w:rPr>
                <w:rFonts w:ascii="Calibri" w:hAnsi="Calibri"/>
                <w:sz w:val="16"/>
                <w:szCs w:val="16"/>
                <w:lang w:eastAsia="cs-CZ"/>
              </w:rPr>
            </w:pPr>
            <w:r w:rsidRPr="005A192A">
              <w:rPr>
                <w:rFonts w:ascii="Calibri" w:hAnsi="Calibri"/>
                <w:sz w:val="16"/>
                <w:szCs w:val="16"/>
                <w:lang w:eastAsia="cs-CZ"/>
              </w:rPr>
              <w:t xml:space="preserve">opatrenia spájajúce vhodné služby rozvoja podnikania a finančné služby (prístup ku kapitálu) vrátane služieb pre znevýhodnené skupiny, oblasti alebo oboje v prípade potreby. </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bottom w:val="single" w:sz="12" w:space="0" w:color="auto"/>
            </w:tcBorders>
          </w:tcPr>
          <w:p w:rsidR="004E2D6C" w:rsidRPr="004E2D6C" w:rsidRDefault="004E2D6C" w:rsidP="004E2D6C">
            <w:pPr>
              <w:spacing w:before="0"/>
              <w:rPr>
                <w:rFonts w:ascii="Calibri" w:hAnsi="Calibri"/>
                <w:sz w:val="16"/>
                <w:szCs w:val="16"/>
              </w:rPr>
            </w:pPr>
            <w:r w:rsidRPr="002900D1">
              <w:rPr>
                <w:rFonts w:ascii="Calibri" w:hAnsi="Calibri"/>
                <w:sz w:val="16"/>
                <w:szCs w:val="16"/>
              </w:rPr>
              <w:t>Je zavedený „Informačný systém jednotných kontaktných miest“, prevádzkovaný na obvodných (živnostenských) úradoch. Od 1.</w:t>
            </w:r>
            <w:r w:rsidR="00C611EB" w:rsidRPr="002900D1">
              <w:rPr>
                <w:rFonts w:ascii="Calibri" w:hAnsi="Calibri"/>
                <w:sz w:val="16"/>
                <w:szCs w:val="16"/>
              </w:rPr>
              <w:t xml:space="preserve"> </w:t>
            </w:r>
            <w:r w:rsidRPr="002900D1">
              <w:rPr>
                <w:rFonts w:ascii="Calibri" w:hAnsi="Calibri"/>
                <w:sz w:val="16"/>
                <w:szCs w:val="16"/>
              </w:rPr>
              <w:t>1.</w:t>
            </w:r>
            <w:r w:rsidR="00C611EB" w:rsidRPr="002900D1">
              <w:rPr>
                <w:rFonts w:ascii="Calibri" w:hAnsi="Calibri"/>
                <w:sz w:val="16"/>
                <w:szCs w:val="16"/>
              </w:rPr>
              <w:t xml:space="preserve"> </w:t>
            </w:r>
            <w:r w:rsidRPr="002900D1">
              <w:rPr>
                <w:rFonts w:ascii="Calibri" w:hAnsi="Calibri"/>
                <w:sz w:val="16"/>
                <w:szCs w:val="16"/>
              </w:rPr>
              <w:t>2012 je umožnená elektronická komunikácia občana z akéhokoľvek</w:t>
            </w:r>
            <w:r w:rsidRPr="004E2D6C">
              <w:rPr>
                <w:rFonts w:ascii="Calibri" w:hAnsi="Calibri"/>
                <w:sz w:val="16"/>
                <w:szCs w:val="16"/>
              </w:rPr>
              <w:t xml:space="preserve"> miesta pre ohlásenie živností a návrhu na zápis do obchodného registra vrátane úhrady správnych a súdnych poplatkov (IS Štátnej </w:t>
            </w:r>
            <w:r w:rsidRPr="004E2D6C">
              <w:rPr>
                <w:rFonts w:ascii="Calibri" w:hAnsi="Calibri"/>
                <w:sz w:val="16"/>
                <w:szCs w:val="16"/>
              </w:rPr>
              <w:lastRenderedPageBreak/>
              <w:t>pokladnice).</w:t>
            </w:r>
          </w:p>
        </w:tc>
        <w:tc>
          <w:tcPr>
            <w:tcW w:w="4111" w:type="dxa"/>
            <w:tcBorders>
              <w:bottom w:val="single" w:sz="12" w:space="0" w:color="auto"/>
              <w:right w:val="single" w:sz="12" w:space="0" w:color="auto"/>
            </w:tcBorders>
          </w:tcPr>
          <w:p w:rsidR="004E2D6C" w:rsidRPr="004E2D6C" w:rsidRDefault="004E2D6C" w:rsidP="00F97BE0">
            <w:pPr>
              <w:spacing w:before="0"/>
              <w:rPr>
                <w:rFonts w:ascii="Calibri" w:hAnsi="Calibri"/>
                <w:sz w:val="16"/>
                <w:szCs w:val="16"/>
              </w:rPr>
            </w:pPr>
            <w:r w:rsidRPr="004E2D6C">
              <w:rPr>
                <w:rFonts w:ascii="Calibri" w:hAnsi="Calibri"/>
                <w:sz w:val="16"/>
                <w:szCs w:val="16"/>
              </w:rPr>
              <w:lastRenderedPageBreak/>
              <w:t>Informačný systém je prepojený s </w:t>
            </w:r>
            <w:r w:rsidR="00F97BE0">
              <w:rPr>
                <w:rFonts w:ascii="Calibri" w:hAnsi="Calibri"/>
                <w:sz w:val="16"/>
                <w:szCs w:val="16"/>
              </w:rPr>
              <w:t>finančnou</w:t>
            </w:r>
            <w:r w:rsidR="00F97BE0" w:rsidRPr="004E2D6C">
              <w:rPr>
                <w:rFonts w:ascii="Calibri" w:hAnsi="Calibri"/>
                <w:sz w:val="16"/>
                <w:szCs w:val="16"/>
              </w:rPr>
              <w:t xml:space="preserve"> </w:t>
            </w:r>
            <w:r w:rsidRPr="004E2D6C">
              <w:rPr>
                <w:rFonts w:ascii="Calibri" w:hAnsi="Calibri"/>
                <w:sz w:val="16"/>
                <w:szCs w:val="16"/>
              </w:rPr>
              <w:t>správou, zdravotnými poisťovňami, obchodným registrom a povoľujúcimi orgánmi pre podávanie žiadostí o podnikanie.</w:t>
            </w:r>
          </w:p>
        </w:tc>
      </w:tr>
      <w:tr w:rsidR="004E2D6C" w:rsidRPr="004E2D6C" w:rsidTr="00B763E3">
        <w:trPr>
          <w:trHeight w:val="485"/>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8.3. – Inštitúcie trhu práce sú modernizované a posilnené so zreteľom na usmernenia politiky zamestnanosti.</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Reformám inštitúcií trhu práce</w:t>
            </w:r>
          </w:p>
          <w:p w:rsidR="004E2D6C" w:rsidRPr="004E2D6C" w:rsidRDefault="004E2D6C" w:rsidP="004E2D6C">
            <w:pPr>
              <w:spacing w:before="0"/>
              <w:rPr>
                <w:rFonts w:ascii="Calibri" w:hAnsi="Calibri"/>
                <w:sz w:val="16"/>
                <w:szCs w:val="16"/>
              </w:rPr>
            </w:pPr>
            <w:r w:rsidRPr="004E2D6C">
              <w:rPr>
                <w:rFonts w:ascii="Calibri" w:hAnsi="Calibri"/>
                <w:sz w:val="16"/>
                <w:szCs w:val="16"/>
              </w:rPr>
              <w:t>predchádza jasný strategický</w:t>
            </w:r>
          </w:p>
          <w:p w:rsidR="004E2D6C" w:rsidRPr="004E2D6C" w:rsidRDefault="004E2D6C" w:rsidP="004E2D6C">
            <w:pPr>
              <w:spacing w:before="0"/>
              <w:rPr>
                <w:rFonts w:ascii="Calibri" w:hAnsi="Calibri"/>
                <w:sz w:val="16"/>
                <w:szCs w:val="16"/>
              </w:rPr>
            </w:pPr>
            <w:r w:rsidRPr="004E2D6C">
              <w:rPr>
                <w:rFonts w:ascii="Calibri" w:hAnsi="Calibri"/>
                <w:sz w:val="16"/>
                <w:szCs w:val="16"/>
              </w:rPr>
              <w:t>politický rámec a hodnotenie ex ante zahŕňajúce rodovú dimenziu.</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Čiastočne</w:t>
            </w:r>
          </w:p>
        </w:tc>
        <w:tc>
          <w:tcPr>
            <w:tcW w:w="2551" w:type="dxa"/>
            <w:tcBorders>
              <w:top w:val="single" w:sz="12" w:space="0" w:color="auto"/>
              <w:bottom w:val="single" w:sz="2" w:space="0" w:color="auto"/>
            </w:tcBorders>
            <w:vAlign w:val="center"/>
          </w:tcPr>
          <w:p w:rsidR="004E2D6C" w:rsidRPr="004E2D6C" w:rsidRDefault="004E2D6C" w:rsidP="004E2D6C">
            <w:pPr>
              <w:spacing w:before="0"/>
              <w:contextualSpacing/>
              <w:rPr>
                <w:rFonts w:ascii="Calibri" w:hAnsi="Calibri"/>
                <w:sz w:val="16"/>
                <w:szCs w:val="16"/>
                <w:lang w:eastAsia="cs-CZ"/>
              </w:rPr>
            </w:pPr>
            <w:r w:rsidRPr="004E2D6C">
              <w:rPr>
                <w:rFonts w:ascii="Calibri" w:hAnsi="Calibri"/>
                <w:sz w:val="16"/>
                <w:szCs w:val="16"/>
                <w:lang w:eastAsia="cs-CZ"/>
              </w:rPr>
              <w:t>Opatrenia zamerané na reformu služieb zamestnanosti s cieľom vybaviť ich kapacitou na zabezpečovanie:</w:t>
            </w:r>
          </w:p>
          <w:p w:rsidR="004E2D6C" w:rsidRPr="005A192A" w:rsidRDefault="004E2D6C" w:rsidP="001C5C9E">
            <w:pPr>
              <w:pStyle w:val="Odsekzoznamu"/>
              <w:numPr>
                <w:ilvl w:val="0"/>
                <w:numId w:val="106"/>
              </w:numPr>
              <w:spacing w:before="0"/>
              <w:ind w:left="175" w:hanging="141"/>
              <w:rPr>
                <w:rFonts w:ascii="Calibri" w:hAnsi="Calibri"/>
                <w:sz w:val="16"/>
                <w:szCs w:val="16"/>
                <w:lang w:eastAsia="cs-CZ"/>
              </w:rPr>
            </w:pPr>
            <w:r w:rsidRPr="005A192A">
              <w:rPr>
                <w:rFonts w:ascii="Calibri" w:hAnsi="Calibri"/>
                <w:sz w:val="16"/>
                <w:szCs w:val="16"/>
                <w:lang w:eastAsia="cs-CZ"/>
              </w:rPr>
              <w:t>personalizovaných služieb a aktívnych a preventívnych opatrení na trhu práce, ktoré sa realizujú včas, sú prístupné pre všetkých uchádzačov o prácu a zameriavajú sa na osoby najviac ohrozené rizikom sociálneho vylúčenia vrátane osôb z marginalizovaných komunít,</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Nie</w:t>
            </w:r>
          </w:p>
        </w:tc>
        <w:tc>
          <w:tcPr>
            <w:tcW w:w="3119" w:type="dxa"/>
            <w:tcBorders>
              <w:top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 </w:t>
            </w:r>
          </w:p>
        </w:tc>
        <w:tc>
          <w:tcPr>
            <w:tcW w:w="4111" w:type="dxa"/>
            <w:tcBorders>
              <w:top w:val="single" w:sz="12" w:space="0" w:color="auto"/>
              <w:right w:val="single" w:sz="12" w:space="0" w:color="auto"/>
            </w:tcBorders>
          </w:tcPr>
          <w:p w:rsidR="00376D71" w:rsidRPr="002900D1" w:rsidRDefault="00376D71" w:rsidP="00376D71">
            <w:pPr>
              <w:spacing w:before="0"/>
              <w:rPr>
                <w:rFonts w:asciiTheme="majorHAnsi" w:hAnsiTheme="majorHAnsi"/>
                <w:sz w:val="16"/>
                <w:szCs w:val="16"/>
              </w:rPr>
            </w:pPr>
            <w:r w:rsidRPr="002900D1">
              <w:rPr>
                <w:rFonts w:asciiTheme="majorHAnsi" w:hAnsiTheme="majorHAnsi"/>
                <w:sz w:val="16"/>
                <w:szCs w:val="16"/>
              </w:rPr>
              <w:t xml:space="preserve">Zákon č. 96/2013 Z. z. </w:t>
            </w:r>
          </w:p>
          <w:p w:rsidR="00376D71" w:rsidRPr="002900D1" w:rsidRDefault="00ED6BC8" w:rsidP="00376D71">
            <w:pPr>
              <w:spacing w:before="0"/>
              <w:rPr>
                <w:rFonts w:asciiTheme="majorHAnsi" w:hAnsiTheme="majorHAnsi"/>
                <w:sz w:val="16"/>
                <w:szCs w:val="16"/>
              </w:rPr>
            </w:pPr>
            <w:hyperlink r:id="rId113" w:history="1">
              <w:r w:rsidR="00376D71" w:rsidRPr="002900D1">
                <w:rPr>
                  <w:rFonts w:asciiTheme="majorHAnsi" w:hAnsiTheme="majorHAnsi"/>
                  <w:color w:val="0000FF"/>
                  <w:sz w:val="16"/>
                  <w:szCs w:val="16"/>
                  <w:u w:val="single"/>
                </w:rPr>
                <w:t>http://www.zakonypreludi.sk/zz/2013-96</w:t>
              </w:r>
            </w:hyperlink>
            <w:r w:rsidR="00376D71" w:rsidRPr="002900D1">
              <w:rPr>
                <w:rFonts w:asciiTheme="majorHAnsi" w:hAnsiTheme="majorHAnsi"/>
                <w:sz w:val="16"/>
                <w:szCs w:val="16"/>
              </w:rPr>
              <w:t xml:space="preserve"> </w:t>
            </w:r>
          </w:p>
          <w:p w:rsidR="00376D71" w:rsidRPr="002900D1" w:rsidRDefault="00376D71" w:rsidP="00376D71">
            <w:pPr>
              <w:spacing w:before="0"/>
              <w:rPr>
                <w:rFonts w:asciiTheme="majorHAnsi" w:hAnsiTheme="majorHAnsi"/>
                <w:sz w:val="16"/>
                <w:szCs w:val="16"/>
              </w:rPr>
            </w:pPr>
          </w:p>
          <w:p w:rsidR="00376D71" w:rsidRPr="002900D1" w:rsidRDefault="00376D71" w:rsidP="00376D71">
            <w:pPr>
              <w:spacing w:before="0"/>
              <w:rPr>
                <w:rFonts w:asciiTheme="majorHAnsi" w:hAnsiTheme="majorHAnsi"/>
                <w:sz w:val="16"/>
                <w:szCs w:val="16"/>
              </w:rPr>
            </w:pPr>
            <w:r w:rsidRPr="002900D1">
              <w:rPr>
                <w:rFonts w:asciiTheme="majorHAnsi" w:hAnsiTheme="majorHAnsi"/>
                <w:sz w:val="16"/>
                <w:szCs w:val="16"/>
              </w:rPr>
              <w:t xml:space="preserve">Správa o aktuálnej situácii na trhu práce v SR a o opatreniach na jej zlepšenie. </w:t>
            </w:r>
          </w:p>
          <w:p w:rsidR="00376D71" w:rsidRDefault="00ED6BC8" w:rsidP="00376D71">
            <w:pPr>
              <w:spacing w:before="0"/>
              <w:rPr>
                <w:rFonts w:ascii="Calibri" w:hAnsi="Calibri"/>
                <w:sz w:val="16"/>
                <w:szCs w:val="16"/>
              </w:rPr>
            </w:pPr>
            <w:hyperlink r:id="rId114" w:history="1">
              <w:r w:rsidR="00376D71" w:rsidRPr="004E2D6C">
                <w:rPr>
                  <w:rFonts w:ascii="Calibri" w:hAnsi="Calibri"/>
                  <w:color w:val="0000FF"/>
                  <w:sz w:val="16"/>
                  <w:szCs w:val="16"/>
                  <w:u w:val="single"/>
                </w:rPr>
                <w:t>http://www.nrsr.sk/web/Dynamic/Download.aspx?DocID=382240</w:t>
              </w:r>
            </w:hyperlink>
          </w:p>
          <w:p w:rsidR="004E2D6C" w:rsidRPr="004E2D6C" w:rsidRDefault="004E2D6C" w:rsidP="004E2D6C">
            <w:pPr>
              <w:spacing w:before="0"/>
              <w:rPr>
                <w:rFonts w:ascii="Calibri" w:hAnsi="Calibri"/>
                <w:sz w:val="16"/>
                <w:szCs w:val="16"/>
              </w:rPr>
            </w:pPr>
            <w:r w:rsidRPr="004E2D6C">
              <w:rPr>
                <w:rFonts w:ascii="Calibri" w:hAnsi="Calibri"/>
                <w:sz w:val="16"/>
                <w:szCs w:val="16"/>
              </w:rPr>
              <w:t>Niektoré z kritérií sú už plnené novelou zákona o službách zamestnanosti, ktorá jednoznačne ustanovila úlohy pre celý systém inštitúcií a nástrojov podpory a pomoci účastníkom trhu práce, ktoré sú prístupné pre všetkých uchádzačov o zamestnanie.</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Na novelu zákona o službách zamestnanosti nadväzuje aj reforma služieb zamestnanosti v prospech posilnenia aktívnych a preventívnych opatrení, čo bezprostredne súvisí aj s potrebou posilnenia kapacít verejných služieb zamestnanosti. Konkrétne ide o potrebu zabezpečenia posilnenia personálnych kapacít úradov práce, sociálnych vecí a rodiny o 500 zamestnancov v priemere 10 zamestnancov na jeden úrad, a to najmä pre oblasti priameho kontaktu s klientmi, uchádzačmi o zamestnanie </w:t>
            </w:r>
            <w:r w:rsidR="003A5209">
              <w:rPr>
                <w:rFonts w:ascii="Calibri" w:hAnsi="Calibri"/>
                <w:sz w:val="16"/>
                <w:szCs w:val="16"/>
              </w:rPr>
              <w:br/>
            </w:r>
            <w:r w:rsidRPr="004E2D6C">
              <w:rPr>
                <w:rFonts w:ascii="Calibri" w:hAnsi="Calibri"/>
                <w:sz w:val="16"/>
                <w:szCs w:val="16"/>
              </w:rPr>
              <w:t>a zamestnávateľmi. Opatrenia na reformu služieb zamestnanosti sú nastavené a sú cielené najmä na posilňovanie kapacity cielených individualizovaných služieb. Smerom navonok ide o cielené poskytovanie príspevkov na aktívne opatrenia na trhu práce, posilnenie odbornej poradenskej činnosti</w:t>
            </w:r>
            <w:r w:rsidR="00FD3826">
              <w:rPr>
                <w:rFonts w:ascii="Calibri" w:hAnsi="Calibri"/>
                <w:sz w:val="16"/>
                <w:szCs w:val="16"/>
              </w:rPr>
              <w:t>,</w:t>
            </w:r>
            <w:r w:rsidRPr="004E2D6C">
              <w:rPr>
                <w:rFonts w:ascii="Calibri" w:hAnsi="Calibri"/>
                <w:sz w:val="16"/>
                <w:szCs w:val="16"/>
              </w:rPr>
              <w:t xml:space="preserve"> najmä zavedením poskytovania bilancie kompetencií jednotlivých klientov </w:t>
            </w:r>
            <w:r w:rsidR="003A5209">
              <w:rPr>
                <w:rFonts w:ascii="Calibri" w:hAnsi="Calibri"/>
                <w:sz w:val="16"/>
                <w:szCs w:val="16"/>
              </w:rPr>
              <w:br/>
            </w:r>
            <w:r w:rsidRPr="004E2D6C">
              <w:rPr>
                <w:rFonts w:ascii="Calibri" w:hAnsi="Calibri"/>
                <w:sz w:val="16"/>
                <w:szCs w:val="16"/>
              </w:rPr>
              <w:t xml:space="preserve">a využívanie ďalších inovatívnych metód, individuálne posudzovanie nárokov na neobligatórne nástroje aktívnych opatrení trhu práce s dodržaním princípu regionálnosti prostredníctvom Výborov pre otázky zamestnanosti, ktoré budú zložené zo zástupcov sociálnych partnerov. Ďalším prvkom nastavenej reformy služieb zamestnanosti je posilnenie spolupráce s neštátnymi poskytovateľmi služieb zamestnanosti a všetkými partnermi na trhu práce najmä prepojením informačných systémov pre odstránenie </w:t>
            </w:r>
            <w:r w:rsidRPr="004E2D6C">
              <w:rPr>
                <w:rFonts w:ascii="Calibri" w:hAnsi="Calibri"/>
                <w:sz w:val="16"/>
                <w:szCs w:val="16"/>
              </w:rPr>
              <w:lastRenderedPageBreak/>
              <w:t>duplicity pri financovaní jednotlivých nástrojov a klientov. Takto orientované služby zamestnanosti sú súčasťou Správy o aktuálnej situácii na trhu práce v SR a o opatreniach na jej zlepšenie. Na zabezpečenie sprostredkovania zamestnania úrad práce, sociálnych vecí a rodiny využíva agentov pre pracovné miesta, ktorí môžu byť zamestnancami úradu práce, sociálnych vecí a rodiny alebo ich výber môže úrad práce, sociálnych vecí a rodiny zabezpečiť podľa zákona o verejnom obstarávaní.</w:t>
            </w:r>
          </w:p>
        </w:tc>
      </w:tr>
      <w:tr w:rsidR="004E2D6C" w:rsidRPr="004E2D6C" w:rsidTr="00B763E3">
        <w:trPr>
          <w:trHeight w:val="483"/>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5A192A" w:rsidP="001C5C9E">
            <w:pPr>
              <w:pStyle w:val="Odsekzoznamu"/>
              <w:numPr>
                <w:ilvl w:val="0"/>
                <w:numId w:val="107"/>
              </w:numPr>
              <w:tabs>
                <w:tab w:val="left" w:pos="175"/>
              </w:tabs>
              <w:spacing w:before="0"/>
              <w:ind w:left="175" w:hanging="175"/>
              <w:rPr>
                <w:rFonts w:ascii="Calibri" w:hAnsi="Calibri"/>
                <w:sz w:val="16"/>
                <w:szCs w:val="16"/>
                <w:lang w:eastAsia="cs-CZ"/>
              </w:rPr>
            </w:pPr>
            <w:r>
              <w:rPr>
                <w:rFonts w:ascii="Calibri" w:hAnsi="Calibri"/>
                <w:sz w:val="16"/>
                <w:szCs w:val="16"/>
                <w:lang w:eastAsia="cs-CZ"/>
              </w:rPr>
              <w:t>K</w:t>
            </w:r>
            <w:r w:rsidR="004E2D6C" w:rsidRPr="005A192A">
              <w:rPr>
                <w:rFonts w:ascii="Calibri" w:hAnsi="Calibri"/>
                <w:sz w:val="16"/>
                <w:szCs w:val="16"/>
                <w:lang w:eastAsia="cs-CZ"/>
              </w:rPr>
              <w:t>omplexné a transparentné informácie o nových pracovných miestach a príležitostiach na zamestnanie pri zohľadnení meniacich sa potrieb pracovného trhu.</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064192" w:rsidRPr="002900D1" w:rsidRDefault="004E2D6C" w:rsidP="004E2D6C">
            <w:pPr>
              <w:spacing w:before="0"/>
              <w:rPr>
                <w:rFonts w:asciiTheme="majorHAnsi" w:hAnsiTheme="majorHAnsi"/>
                <w:sz w:val="16"/>
                <w:szCs w:val="16"/>
              </w:rPr>
            </w:pPr>
            <w:r w:rsidRPr="002900D1">
              <w:rPr>
                <w:rFonts w:asciiTheme="majorHAnsi" w:hAnsiTheme="majorHAnsi"/>
                <w:sz w:val="16"/>
                <w:szCs w:val="16"/>
              </w:rPr>
              <w:t xml:space="preserve">Zákon č. 96/2013 Z. z. </w:t>
            </w:r>
          </w:p>
          <w:p w:rsidR="004E2D6C" w:rsidRPr="002900D1" w:rsidRDefault="00ED6BC8" w:rsidP="004E2D6C">
            <w:pPr>
              <w:spacing w:before="0"/>
              <w:rPr>
                <w:rFonts w:asciiTheme="majorHAnsi" w:hAnsiTheme="majorHAnsi"/>
                <w:sz w:val="16"/>
                <w:szCs w:val="16"/>
              </w:rPr>
            </w:pPr>
            <w:hyperlink r:id="rId115" w:history="1">
              <w:r w:rsidR="004E2D6C" w:rsidRPr="002900D1">
                <w:rPr>
                  <w:rFonts w:asciiTheme="majorHAnsi" w:hAnsiTheme="majorHAnsi"/>
                  <w:color w:val="0000FF"/>
                  <w:sz w:val="16"/>
                  <w:szCs w:val="16"/>
                  <w:u w:val="single"/>
                </w:rPr>
                <w:t>http://www.zakonypreludi.sk/zz/2013-96</w:t>
              </w:r>
            </w:hyperlink>
            <w:r w:rsidR="004E2D6C" w:rsidRPr="002900D1">
              <w:rPr>
                <w:rFonts w:asciiTheme="majorHAnsi" w:hAnsiTheme="majorHAnsi"/>
                <w:sz w:val="16"/>
                <w:szCs w:val="16"/>
              </w:rPr>
              <w:t xml:space="preserve">  </w:t>
            </w:r>
          </w:p>
          <w:p w:rsidR="004E2D6C" w:rsidRPr="002900D1" w:rsidRDefault="004E2D6C" w:rsidP="004E2D6C">
            <w:pPr>
              <w:spacing w:before="0"/>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ÚPSVR</w:t>
            </w:r>
          </w:p>
          <w:p w:rsidR="004E2D6C" w:rsidRPr="002900D1" w:rsidRDefault="00ED6BC8" w:rsidP="004E2D6C">
            <w:pPr>
              <w:spacing w:before="0"/>
              <w:rPr>
                <w:rFonts w:asciiTheme="majorHAnsi" w:hAnsiTheme="majorHAnsi"/>
                <w:sz w:val="16"/>
                <w:szCs w:val="16"/>
              </w:rPr>
            </w:pPr>
            <w:hyperlink r:id="rId116" w:history="1">
              <w:r w:rsidR="004E2D6C" w:rsidRPr="002900D1">
                <w:rPr>
                  <w:rFonts w:asciiTheme="majorHAnsi" w:hAnsiTheme="majorHAnsi"/>
                  <w:color w:val="0000FF"/>
                  <w:sz w:val="16"/>
                  <w:szCs w:val="16"/>
                  <w:u w:val="single"/>
                </w:rPr>
                <w:t>http://www.upsvar.sk/volne-pracovne-miesta.html?page_id=12925</w:t>
              </w:r>
            </w:hyperlink>
            <w:r w:rsidR="004E2D6C" w:rsidRPr="002900D1">
              <w:rPr>
                <w:rFonts w:asciiTheme="majorHAnsi" w:hAnsiTheme="majorHAnsi"/>
                <w:sz w:val="16"/>
                <w:szCs w:val="16"/>
              </w:rPr>
              <w:t xml:space="preserve">  </w:t>
            </w:r>
          </w:p>
          <w:p w:rsidR="004E2D6C" w:rsidRPr="002900D1" w:rsidRDefault="004E2D6C" w:rsidP="004E2D6C">
            <w:pPr>
              <w:spacing w:before="0"/>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EURES</w:t>
            </w:r>
          </w:p>
          <w:p w:rsidR="004E2D6C" w:rsidRPr="002900D1" w:rsidRDefault="00ED6BC8" w:rsidP="004E2D6C">
            <w:pPr>
              <w:spacing w:before="0"/>
              <w:rPr>
                <w:rFonts w:asciiTheme="majorHAnsi" w:hAnsiTheme="majorHAnsi"/>
                <w:sz w:val="16"/>
                <w:szCs w:val="16"/>
              </w:rPr>
            </w:pPr>
            <w:hyperlink r:id="rId117" w:history="1">
              <w:r w:rsidR="004E2D6C" w:rsidRPr="002900D1">
                <w:rPr>
                  <w:rFonts w:asciiTheme="majorHAnsi" w:hAnsiTheme="majorHAnsi"/>
                  <w:color w:val="0000FF"/>
                  <w:sz w:val="16"/>
                  <w:szCs w:val="16"/>
                  <w:u w:val="single"/>
                </w:rPr>
                <w:t>www.eures.sk</w:t>
              </w:r>
            </w:hyperlink>
            <w:r w:rsidR="004E2D6C" w:rsidRPr="002900D1">
              <w:rPr>
                <w:rFonts w:asciiTheme="majorHAnsi" w:hAnsiTheme="majorHAnsi"/>
                <w:sz w:val="16"/>
                <w:szCs w:val="16"/>
              </w:rPr>
              <w:t xml:space="preserve"> </w:t>
            </w:r>
          </w:p>
        </w:tc>
        <w:tc>
          <w:tcPr>
            <w:tcW w:w="4111" w:type="dxa"/>
            <w:tcBorders>
              <w:right w:val="single" w:sz="12" w:space="0" w:color="auto"/>
            </w:tcBorders>
          </w:tcPr>
          <w:p w:rsidR="004E2D6C" w:rsidRPr="00E96D8E" w:rsidRDefault="004E2D6C" w:rsidP="004E2D6C">
            <w:pPr>
              <w:spacing w:before="0"/>
              <w:rPr>
                <w:rFonts w:ascii="Calibri" w:hAnsi="Calibri"/>
                <w:sz w:val="16"/>
                <w:szCs w:val="16"/>
              </w:rPr>
            </w:pPr>
            <w:r w:rsidRPr="004E2D6C">
              <w:rPr>
                <w:rFonts w:ascii="Calibri" w:hAnsi="Calibri"/>
                <w:sz w:val="16"/>
                <w:szCs w:val="16"/>
              </w:rPr>
              <w:t xml:space="preserve">Transparentné a systematické informácie o nových voľných pracovných miestach poskytujú úrady práce, sociálnych vecí a rodiny v rámci vymedzenej vecnej pôsobnosti </w:t>
            </w:r>
            <w:r w:rsidR="003A5209">
              <w:rPr>
                <w:rFonts w:ascii="Calibri" w:hAnsi="Calibri"/>
                <w:sz w:val="16"/>
                <w:szCs w:val="16"/>
              </w:rPr>
              <w:br/>
            </w:r>
            <w:r w:rsidRPr="004E2D6C">
              <w:rPr>
                <w:rFonts w:ascii="Calibri" w:hAnsi="Calibri"/>
                <w:sz w:val="16"/>
                <w:szCs w:val="16"/>
              </w:rPr>
              <w:t xml:space="preserve">v súlade so zákonom </w:t>
            </w:r>
            <w:r w:rsidRPr="00E96D8E">
              <w:rPr>
                <w:rFonts w:ascii="Calibri" w:hAnsi="Calibri"/>
                <w:sz w:val="16"/>
                <w:szCs w:val="16"/>
              </w:rPr>
              <w:t>o službách zamestnanosti.</w:t>
            </w:r>
            <w:r w:rsidR="00376D71" w:rsidRPr="00E96D8E">
              <w:rPr>
                <w:rFonts w:ascii="Calibri" w:hAnsi="Calibri"/>
                <w:sz w:val="16"/>
                <w:szCs w:val="16"/>
              </w:rPr>
              <w:t xml:space="preserve"> </w:t>
            </w:r>
            <w:r w:rsidR="00376D71" w:rsidRPr="00B763E3">
              <w:rPr>
                <w:rFonts w:ascii="Calibri" w:hAnsi="Calibri"/>
                <w:sz w:val="16"/>
                <w:szCs w:val="16"/>
              </w:rPr>
              <w:t xml:space="preserve">V roku 2013 bolo nahlásených na úrady práce, sociálnych vecí a rodiny 68107 voľných pracovných miest a priemerne bolo k dispozícii 5676 voľných pracovných miest. </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Modernizácia služieb zamestnanosti je aj naďalej založená na poskytovaní informácií o voľných pracovných miestach prostredníctvom siete </w:t>
            </w:r>
            <w:r w:rsidRPr="004E2D6C">
              <w:rPr>
                <w:rFonts w:ascii="Calibri" w:hAnsi="Calibri"/>
                <w:i/>
                <w:sz w:val="16"/>
                <w:szCs w:val="16"/>
              </w:rPr>
              <w:t>EURES</w:t>
            </w:r>
            <w:r w:rsidRPr="004E2D6C">
              <w:rPr>
                <w:rFonts w:ascii="Calibri" w:hAnsi="Calibri"/>
                <w:sz w:val="16"/>
                <w:szCs w:val="16"/>
              </w:rPr>
              <w:t>.</w:t>
            </w:r>
          </w:p>
        </w:tc>
      </w:tr>
      <w:tr w:rsidR="004E2D6C" w:rsidRPr="004E2D6C" w:rsidTr="00B763E3">
        <w:trPr>
          <w:trHeight w:val="483"/>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5A192A" w:rsidRDefault="004E2D6C" w:rsidP="001C5C9E">
            <w:pPr>
              <w:pStyle w:val="Odsekzoznamu"/>
              <w:numPr>
                <w:ilvl w:val="0"/>
                <w:numId w:val="107"/>
              </w:numPr>
              <w:spacing w:before="0"/>
              <w:ind w:left="175" w:hanging="175"/>
              <w:rPr>
                <w:rFonts w:ascii="Calibri" w:hAnsi="Calibri"/>
                <w:sz w:val="16"/>
                <w:szCs w:val="16"/>
                <w:lang w:eastAsia="cs-CZ"/>
              </w:rPr>
            </w:pPr>
            <w:r w:rsidRPr="005A192A">
              <w:rPr>
                <w:rFonts w:ascii="Calibri" w:hAnsi="Calibri"/>
                <w:sz w:val="16"/>
                <w:szCs w:val="16"/>
                <w:lang w:eastAsia="cs-CZ"/>
              </w:rPr>
              <w:t>Súčasťou reformy služieb zamestnanosti bude aj vytvorenie formálnych alebo neformálnych sietí spolupráce s príslušnými zainteresovanými stranami.</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Borders>
              <w:bottom w:val="single" w:sz="12" w:space="0" w:color="auto"/>
            </w:tcBorders>
          </w:tcPr>
          <w:p w:rsidR="004E2D6C" w:rsidRPr="002900D1" w:rsidRDefault="004E2D6C" w:rsidP="004E2D6C">
            <w:pPr>
              <w:spacing w:before="0" w:line="276" w:lineRule="auto"/>
              <w:rPr>
                <w:rFonts w:asciiTheme="majorHAnsi" w:hAnsiTheme="majorHAnsi"/>
                <w:sz w:val="16"/>
                <w:szCs w:val="16"/>
              </w:rPr>
            </w:pPr>
            <w:r w:rsidRPr="002900D1">
              <w:rPr>
                <w:rFonts w:asciiTheme="majorHAnsi" w:hAnsiTheme="majorHAnsi"/>
                <w:sz w:val="16"/>
                <w:szCs w:val="16"/>
              </w:rPr>
              <w:t xml:space="preserve">Zákon č. 96/2013 Z. z. o službách zamestnanosti </w:t>
            </w:r>
            <w:hyperlink r:id="rId118" w:history="1">
              <w:r w:rsidRPr="002900D1">
                <w:rPr>
                  <w:rFonts w:asciiTheme="majorHAnsi" w:hAnsiTheme="majorHAnsi"/>
                  <w:color w:val="0000FF"/>
                  <w:sz w:val="16"/>
                  <w:szCs w:val="16"/>
                  <w:u w:val="single"/>
                </w:rPr>
                <w:t>http://www.zakonypreludi.sk/zz/2013-96</w:t>
              </w:r>
            </w:hyperlink>
            <w:r w:rsidRPr="002900D1">
              <w:rPr>
                <w:rFonts w:asciiTheme="majorHAnsi" w:hAnsiTheme="majorHAnsi"/>
                <w:sz w:val="16"/>
                <w:szCs w:val="16"/>
              </w:rPr>
              <w:t xml:space="preserve"> </w:t>
            </w:r>
          </w:p>
          <w:p w:rsidR="004E2D6C" w:rsidRPr="002900D1" w:rsidRDefault="004E2D6C" w:rsidP="004E2D6C">
            <w:pPr>
              <w:spacing w:before="0" w:line="276" w:lineRule="auto"/>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 xml:space="preserve"> </w:t>
            </w:r>
          </w:p>
        </w:tc>
        <w:tc>
          <w:tcPr>
            <w:tcW w:w="4111" w:type="dxa"/>
            <w:tcBorders>
              <w:bottom w:val="single" w:sz="12" w:space="0" w:color="auto"/>
              <w:right w:val="single" w:sz="12" w:space="0" w:color="auto"/>
            </w:tcBorders>
          </w:tcPr>
          <w:p w:rsidR="004E2D6C" w:rsidRPr="004E2D6C" w:rsidRDefault="004E2D6C" w:rsidP="00FD3826">
            <w:pPr>
              <w:spacing w:before="0"/>
              <w:rPr>
                <w:rFonts w:ascii="Calibri" w:hAnsi="Calibri"/>
                <w:sz w:val="16"/>
                <w:szCs w:val="16"/>
              </w:rPr>
            </w:pPr>
            <w:r w:rsidRPr="004E2D6C">
              <w:rPr>
                <w:rFonts w:ascii="Calibri" w:hAnsi="Calibri"/>
                <w:sz w:val="16"/>
                <w:szCs w:val="16"/>
              </w:rPr>
              <w:t xml:space="preserve">Novelizovaný </w:t>
            </w:r>
            <w:r w:rsidRPr="004E2D6C">
              <w:rPr>
                <w:rFonts w:ascii="Calibri" w:hAnsi="Calibri"/>
                <w:i/>
                <w:sz w:val="16"/>
                <w:szCs w:val="16"/>
              </w:rPr>
              <w:t>zákon</w:t>
            </w:r>
            <w:r w:rsidRPr="004E2D6C">
              <w:rPr>
                <w:rFonts w:ascii="Calibri" w:hAnsi="Calibri"/>
                <w:sz w:val="16"/>
                <w:szCs w:val="16"/>
              </w:rPr>
              <w:t xml:space="preserve"> </w:t>
            </w:r>
            <w:r w:rsidRPr="004E2D6C">
              <w:rPr>
                <w:rFonts w:ascii="Calibri" w:hAnsi="Calibri"/>
                <w:i/>
                <w:sz w:val="16"/>
                <w:szCs w:val="16"/>
              </w:rPr>
              <w:t>č. 96/2013 Z. z.</w:t>
            </w:r>
            <w:r w:rsidRPr="004E2D6C">
              <w:rPr>
                <w:rFonts w:ascii="Calibri" w:hAnsi="Calibri"/>
                <w:sz w:val="16"/>
                <w:szCs w:val="16"/>
              </w:rPr>
              <w:t xml:space="preserve"> výrazne upravuje</w:t>
            </w:r>
            <w:r w:rsidR="00FD3826">
              <w:rPr>
                <w:rFonts w:ascii="Calibri" w:hAnsi="Calibri"/>
                <w:sz w:val="16"/>
                <w:szCs w:val="16"/>
              </w:rPr>
              <w:t xml:space="preserve"> </w:t>
            </w:r>
            <w:r w:rsidR="003A5209">
              <w:rPr>
                <w:rFonts w:ascii="Calibri" w:hAnsi="Calibri"/>
                <w:sz w:val="16"/>
                <w:szCs w:val="16"/>
              </w:rPr>
              <w:br/>
            </w:r>
            <w:r w:rsidR="00FD3826">
              <w:rPr>
                <w:rFonts w:ascii="Calibri" w:hAnsi="Calibri"/>
                <w:sz w:val="16"/>
                <w:szCs w:val="16"/>
              </w:rPr>
              <w:t>a</w:t>
            </w:r>
            <w:r w:rsidRPr="004E2D6C">
              <w:rPr>
                <w:rFonts w:ascii="Calibri" w:hAnsi="Calibri"/>
                <w:sz w:val="16"/>
                <w:szCs w:val="16"/>
              </w:rPr>
              <w:t xml:space="preserve"> sprehľadňuje formálnu spoluprácu príslušných účastníkov aktívnych opatrení trhu práce. Ide o zavedenie novej pôsobnosti Výborov pre otázky zamestnanosti, ktoré budú zložené zo všetkých </w:t>
            </w:r>
            <w:r w:rsidRPr="00E96D8E">
              <w:rPr>
                <w:rFonts w:ascii="Calibri" w:hAnsi="Calibri"/>
                <w:sz w:val="16"/>
                <w:szCs w:val="16"/>
              </w:rPr>
              <w:t xml:space="preserve">relevantných zástupcov trhu práce. </w:t>
            </w:r>
            <w:r w:rsidR="00376D71" w:rsidRPr="00E96D8E">
              <w:rPr>
                <w:rFonts w:ascii="Calibri" w:hAnsi="Calibri"/>
                <w:sz w:val="16"/>
                <w:szCs w:val="16"/>
              </w:rPr>
              <w:t xml:space="preserve"> </w:t>
            </w:r>
            <w:r w:rsidR="00376D71" w:rsidRPr="00B763E3">
              <w:rPr>
                <w:rFonts w:ascii="Calibri" w:hAnsi="Calibri"/>
                <w:sz w:val="16"/>
                <w:szCs w:val="16"/>
              </w:rPr>
              <w:t xml:space="preserve">Spolupráca je s neštátnymi agentúrami dočasného zamestnávania (1048 subjektov), aktuálne pri umiestňovaní znevýhodnených uchádzačov o zamestnanie, ktoré poskytujú ÚPSVR pravidelne správu o svojej činnosti. Spolupráca je vykazovaná aj s ďalšími sprostredkovateľmi zamestnania (1355 subjektov) a agentúrami podporovaného zamestnávania (58 subjektov).  V roku 2013 realizovali úrady práce, sociálnych vecí a rodiny v partnerstve so zamestnávateľmi až 957 výberových konaní, na ktorých bolo uchádzačom o zamestnanie ponúknutých 47975 voľných pracovných miest. V neformálnom partnerstve so zamestnávateľmi boli zorganizované 3 burzy práce s 35 zamestnávateľmi. V partnerstve so zamestnávateľmi, vzdelávacími </w:t>
            </w:r>
            <w:r w:rsidR="00376D71" w:rsidRPr="00B763E3">
              <w:rPr>
                <w:rFonts w:ascii="Calibri" w:hAnsi="Calibri"/>
                <w:sz w:val="16"/>
                <w:szCs w:val="16"/>
              </w:rPr>
              <w:lastRenderedPageBreak/>
              <w:t xml:space="preserve">inštitúciami, poskytovateľmi poradenstva, školení, mimovládnymi organizáciami a ďalšími zainteresovanými stranami bol v apríli 2013 tak, ako každoročne, zorganizovaný Veľtrh práce  Job Expo, za účasti 133 zamestnávateľov, ktorí ponúkli 16 340 voľných pracovných miest; 19 odborných partnerov a za účasti 27850 klientov. Dôkazom partnerstva sú aj Veľtrh Profesia days 2013 za účasti 80 zamestnávateľov, poskytovateľov poradenstva, školení alebo Veľtrh Svet práce v septembri 2013 za účasti 52 zamestnávateľov a ďalších  partnerov. Úrady práce, sociálnych vecí a rodiny a Ústredie realizujú v roku 2013 a 2014 partnerstvo so 105 vzdelávacími inštitúciami. V spolupráci so školami je realizované partnerstvo pri voľbe povolania, ktoré bolo v roku 2013 poskytnuté pre 21 670 žiakov základných škôl a 35036 žiakov stredných škôl. </w:t>
            </w:r>
          </w:p>
        </w:tc>
      </w:tr>
      <w:tr w:rsidR="004E2D6C" w:rsidRPr="004E2D6C" w:rsidTr="00B763E3">
        <w:trPr>
          <w:trHeight w:val="328"/>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8.4. Aktívne a zdravé starnutie            </w:t>
            </w:r>
          </w:p>
          <w:p w:rsidR="004E2D6C" w:rsidRPr="004E2D6C" w:rsidRDefault="004E2D6C" w:rsidP="004E2D6C">
            <w:pPr>
              <w:spacing w:before="0"/>
              <w:rPr>
                <w:rFonts w:ascii="Calibri" w:hAnsi="Calibri"/>
                <w:sz w:val="16"/>
                <w:szCs w:val="16"/>
              </w:rPr>
            </w:pPr>
            <w:r w:rsidRPr="004E2D6C">
              <w:rPr>
                <w:rFonts w:ascii="Calibri" w:hAnsi="Calibri"/>
                <w:sz w:val="16"/>
                <w:szCs w:val="16"/>
              </w:rPr>
              <w:t>vytváranie politík aktívneho starnutia so zreteľom na usmernenia politiky zamestnanosti.</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2551" w:type="dxa"/>
            <w:tcBorders>
              <w:top w:val="single" w:sz="12" w:space="0" w:color="auto"/>
              <w:bottom w:val="single" w:sz="2" w:space="0" w:color="auto"/>
            </w:tcBorders>
            <w:vAlign w:val="center"/>
          </w:tcPr>
          <w:p w:rsidR="004E2D6C" w:rsidRPr="004E2D6C" w:rsidRDefault="004E2D6C" w:rsidP="004E2D6C">
            <w:pPr>
              <w:spacing w:before="0"/>
              <w:contextualSpacing/>
              <w:rPr>
                <w:rFonts w:ascii="Calibri" w:hAnsi="Calibri"/>
                <w:sz w:val="16"/>
                <w:szCs w:val="16"/>
                <w:lang w:eastAsia="cs-CZ"/>
              </w:rPr>
            </w:pPr>
            <w:r w:rsidRPr="004E2D6C">
              <w:rPr>
                <w:rFonts w:ascii="Calibri" w:hAnsi="Calibri"/>
                <w:sz w:val="16"/>
                <w:szCs w:val="16"/>
                <w:lang w:eastAsia="cs-CZ"/>
              </w:rPr>
              <w:t>Príslušné zainteresované strany sa zapájajú do vytvárania a sledovania politík aktívneho starnutia s cieľom udržať starších pracovníkov na trhu práce a podporiť ich zamestnanosť.</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val="restart"/>
            <w:tcBorders>
              <w:top w:val="single" w:sz="12" w:space="0" w:color="auto"/>
            </w:tcBorders>
          </w:tcPr>
          <w:p w:rsidR="004E2D6C" w:rsidRPr="004E2D6C" w:rsidRDefault="00ED6BC8" w:rsidP="004E2D6C">
            <w:pPr>
              <w:spacing w:before="0"/>
              <w:rPr>
                <w:rFonts w:ascii="Calibri" w:hAnsi="Calibri"/>
                <w:sz w:val="16"/>
                <w:szCs w:val="16"/>
              </w:rPr>
            </w:pPr>
            <w:hyperlink r:id="rId119" w:history="1">
              <w:r w:rsidR="004E2D6C" w:rsidRPr="004E2D6C">
                <w:rPr>
                  <w:rFonts w:ascii="Calibri" w:hAnsi="Calibri"/>
                  <w:color w:val="0000FF"/>
                  <w:sz w:val="16"/>
                  <w:szCs w:val="16"/>
                  <w:u w:val="single"/>
                </w:rPr>
                <w:t>http://30.cvmpsvr.sk/index.php/dokumenty</w:t>
              </w:r>
            </w:hyperlink>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Realizácia všetkých aktivít projektu Stratégia aktívneho starnutia bola ukončená, výstupy z aktivít sú zverejnené na stránke Centra vzdelávania MPSVR SR. V súlade so zákonom o službách zamestnanosti je občan starší ako 50 rokov veku považovaný za znevýhodneného uchádzača o zamestnanie. Preto sa pri týchto občanoch uplatňuje osobitný zreteľ pri poskytovaní aktívnych opatrení trhu práce. Reformná zmena sa očakáva implementáciou novely zákona o službách zamestnanosti, a to najmä z dôvodu, že novým znením príspevku na podporu zamestnávania znevýhodneného uchádzača o zamestnanie sa sleduje zjednotenie a sprehľadnenie doterajších nástrojov aktívnych opatrení trhu práce zameraných na podporu vytvárania a udržania pracovných miest pre znevýhodnených uchádzačov o zamestnanie. Reformná zmena sa tiež očakáva zavedením príspevku na podporu rozvoja miestnej a regionálnej zamestnanosti, ktorý sa poskytuje iba na zamestnávanie vybraných skupín, ktoré patria medzi najviac ohrozené skupiny na trhu práce, a to dlhodobo nezamestnaným, uchádzačom o zamestnanie starším ako 50 rokov veku a uchádzačom o zamestnanie s nízkym alebo žiadnym vzdelaním. V súvislosti s podporou programov podporujúcich vznik pracovných miest </w:t>
            </w:r>
            <w:r w:rsidR="003A5209">
              <w:rPr>
                <w:rFonts w:ascii="Calibri" w:hAnsi="Calibri"/>
                <w:sz w:val="16"/>
                <w:szCs w:val="16"/>
              </w:rPr>
              <w:br/>
            </w:r>
            <w:r w:rsidRPr="004E2D6C">
              <w:rPr>
                <w:rFonts w:ascii="Calibri" w:hAnsi="Calibri"/>
                <w:sz w:val="16"/>
                <w:szCs w:val="16"/>
              </w:rPr>
              <w:t xml:space="preserve">a zlepšenie prístupu k zamestnaniu znevýhodnených uchádzačov o zamestnanie na trhu práce MPSVR SR </w:t>
            </w:r>
            <w:r w:rsidR="003A5209">
              <w:rPr>
                <w:rFonts w:ascii="Calibri" w:hAnsi="Calibri"/>
                <w:sz w:val="16"/>
                <w:szCs w:val="16"/>
              </w:rPr>
              <w:br/>
            </w:r>
            <w:r w:rsidRPr="004E2D6C">
              <w:rPr>
                <w:rFonts w:ascii="Calibri" w:hAnsi="Calibri"/>
                <w:sz w:val="16"/>
                <w:szCs w:val="16"/>
              </w:rPr>
              <w:t xml:space="preserve">v spolupráci s ÚPSVR pripravilo východiská národných projektov podľa § 54 zákona č. 5/2004 Z. z. o službách </w:t>
            </w:r>
            <w:r w:rsidRPr="004E2D6C">
              <w:rPr>
                <w:rFonts w:ascii="Calibri" w:hAnsi="Calibri"/>
                <w:sz w:val="16"/>
                <w:szCs w:val="16"/>
              </w:rPr>
              <w:lastRenderedPageBreak/>
              <w:t xml:space="preserve">zamestnanosti a o zmene a doplnení niektorých zákonov </w:t>
            </w:r>
            <w:r w:rsidR="003A5209">
              <w:rPr>
                <w:rFonts w:ascii="Calibri" w:hAnsi="Calibri"/>
                <w:sz w:val="16"/>
                <w:szCs w:val="16"/>
              </w:rPr>
              <w:br/>
            </w:r>
            <w:r w:rsidRPr="004E2D6C">
              <w:rPr>
                <w:rFonts w:ascii="Calibri" w:hAnsi="Calibri"/>
                <w:sz w:val="16"/>
                <w:szCs w:val="16"/>
              </w:rPr>
              <w:t>v znení neskorších predpisov.</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Relevantné výstupy zo stratégie aktívneho starnutia </w:t>
            </w:r>
            <w:r w:rsidR="003A5209">
              <w:rPr>
                <w:rFonts w:ascii="Calibri" w:hAnsi="Calibri"/>
                <w:sz w:val="16"/>
                <w:szCs w:val="16"/>
              </w:rPr>
              <w:br/>
            </w:r>
            <w:r w:rsidRPr="004E2D6C">
              <w:rPr>
                <w:rFonts w:ascii="Calibri" w:hAnsi="Calibri"/>
                <w:sz w:val="16"/>
                <w:szCs w:val="16"/>
              </w:rPr>
              <w:t xml:space="preserve">a Akčného plánu napĺňania stratégie aktívneho starnutia boli zapracované do Národného programu aktívneho starnutia na roky 2014 - 2020. </w:t>
            </w:r>
          </w:p>
          <w:p w:rsidR="004E2D6C" w:rsidRPr="004E2D6C" w:rsidRDefault="004E2D6C" w:rsidP="004E2D6C">
            <w:pPr>
              <w:spacing w:before="0"/>
              <w:rPr>
                <w:rFonts w:ascii="Calibri" w:hAnsi="Calibri"/>
                <w:sz w:val="16"/>
                <w:szCs w:val="16"/>
              </w:rPr>
            </w:pPr>
            <w:r w:rsidRPr="004E2D6C">
              <w:rPr>
                <w:rFonts w:ascii="Calibri" w:hAnsi="Calibri"/>
                <w:sz w:val="16"/>
                <w:szCs w:val="16"/>
              </w:rPr>
              <w:t>Opatrenia, ktoré sa týkajú zvýšenia účasti starších ľudí na trhu práce, bude SR pripravovať a realizovať v súlade s Odporúčaním Rady, ktoré sa týka národného programu reforiem Slovenska na rok 2013 a ktorým sa predkladá stanovisko Rady k programu stability Slovenska na roky 2012 – 2016.</w:t>
            </w:r>
          </w:p>
        </w:tc>
      </w:tr>
      <w:tr w:rsidR="004E2D6C" w:rsidRPr="004E2D6C" w:rsidTr="00B763E3">
        <w:trPr>
          <w:trHeight w:val="328"/>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4E2D6C" w:rsidRDefault="004E2D6C" w:rsidP="004E2D6C">
            <w:pPr>
              <w:spacing w:before="0"/>
              <w:contextualSpacing/>
              <w:rPr>
                <w:rFonts w:ascii="Calibri" w:hAnsi="Calibri"/>
                <w:sz w:val="16"/>
                <w:szCs w:val="16"/>
                <w:lang w:eastAsia="cs-CZ"/>
              </w:rPr>
            </w:pPr>
            <w:r w:rsidRPr="004E2D6C">
              <w:rPr>
                <w:rFonts w:ascii="Calibri" w:hAnsi="Calibri"/>
                <w:sz w:val="16"/>
                <w:szCs w:val="16"/>
                <w:lang w:eastAsia="cs-CZ"/>
              </w:rPr>
              <w:t>Členský štát zaviedol opatrenia na podporu aktívneho starnutia.</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759"/>
        </w:trPr>
        <w:tc>
          <w:tcPr>
            <w:tcW w:w="1668" w:type="dxa"/>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p>
        </w:tc>
        <w:tc>
          <w:tcPr>
            <w:tcW w:w="1559"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p>
        </w:tc>
        <w:tc>
          <w:tcPr>
            <w:tcW w:w="2551" w:type="dxa"/>
            <w:tcBorders>
              <w:top w:val="single" w:sz="12" w:space="0" w:color="auto"/>
            </w:tcBorders>
            <w:vAlign w:val="center"/>
          </w:tcPr>
          <w:p w:rsidR="004E2D6C" w:rsidRPr="005A192A" w:rsidRDefault="004E2D6C" w:rsidP="001C5C9E">
            <w:pPr>
              <w:pStyle w:val="Odsekzoznamu"/>
              <w:numPr>
                <w:ilvl w:val="0"/>
                <w:numId w:val="108"/>
              </w:numPr>
              <w:spacing w:before="0"/>
              <w:ind w:left="175" w:hanging="141"/>
              <w:rPr>
                <w:rFonts w:ascii="Calibri" w:hAnsi="Calibri"/>
                <w:sz w:val="16"/>
                <w:szCs w:val="16"/>
                <w:lang w:eastAsia="cs-CZ"/>
              </w:rPr>
            </w:pP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i/>
                <w:sz w:val="16"/>
                <w:szCs w:val="16"/>
              </w:rPr>
            </w:pPr>
          </w:p>
        </w:tc>
        <w:tc>
          <w:tcPr>
            <w:tcW w:w="3119" w:type="dxa"/>
            <w:tcBorders>
              <w:top w:val="single" w:sz="12" w:space="0" w:color="auto"/>
            </w:tcBorders>
          </w:tcPr>
          <w:p w:rsidR="004E2D6C" w:rsidRPr="004E2D6C" w:rsidRDefault="004E2D6C" w:rsidP="004E2D6C">
            <w:pPr>
              <w:spacing w:before="0"/>
              <w:rPr>
                <w:rFonts w:ascii="Calibri" w:hAnsi="Calibri"/>
                <w:sz w:val="16"/>
                <w:szCs w:val="16"/>
              </w:rPr>
            </w:pPr>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2100"/>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8.6. Existencia strategického politického rámca na podporu zamestnanosti mladých, a to aj uplatňovaním záruky pre mladých. </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Táto ex ante kondicionalita sa týka len vykonávania Iniciatívy na podporu zamestnanosti mladých ľudí.</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2551" w:type="dxa"/>
            <w:tcBorders>
              <w:top w:val="single" w:sz="12" w:space="0" w:color="auto"/>
            </w:tcBorders>
            <w:vAlign w:val="center"/>
          </w:tcPr>
          <w:p w:rsidR="005A192A" w:rsidRPr="004E2D6C" w:rsidRDefault="004E2D6C" w:rsidP="004E2D6C">
            <w:pPr>
              <w:spacing w:before="0"/>
              <w:contextualSpacing/>
              <w:rPr>
                <w:rFonts w:ascii="Calibri" w:hAnsi="Calibri"/>
                <w:sz w:val="16"/>
                <w:szCs w:val="16"/>
                <w:lang w:eastAsia="cs-CZ"/>
              </w:rPr>
            </w:pPr>
            <w:r w:rsidRPr="004E2D6C">
              <w:rPr>
                <w:rFonts w:ascii="Calibri" w:hAnsi="Calibri"/>
                <w:sz w:val="16"/>
                <w:szCs w:val="16"/>
                <w:lang w:eastAsia="cs-CZ"/>
              </w:rPr>
              <w:t xml:space="preserve">Zavedený je strategický politický rámec na podporu zamestnanosti mladých, ktorý: </w:t>
            </w:r>
          </w:p>
          <w:p w:rsidR="004E2D6C" w:rsidRPr="005A192A" w:rsidRDefault="004E2D6C" w:rsidP="001C5C9E">
            <w:pPr>
              <w:pStyle w:val="Odsekzoznamu"/>
              <w:numPr>
                <w:ilvl w:val="0"/>
                <w:numId w:val="109"/>
              </w:numPr>
              <w:spacing w:before="0"/>
              <w:ind w:left="175" w:hanging="141"/>
              <w:rPr>
                <w:rFonts w:ascii="Calibri" w:hAnsi="Calibri"/>
                <w:sz w:val="16"/>
                <w:szCs w:val="16"/>
                <w:lang w:eastAsia="cs-CZ"/>
              </w:rPr>
            </w:pPr>
            <w:r w:rsidRPr="005A192A">
              <w:rPr>
                <w:rFonts w:ascii="Calibri" w:hAnsi="Calibri"/>
                <w:sz w:val="16"/>
                <w:szCs w:val="16"/>
                <w:lang w:eastAsia="cs-CZ"/>
              </w:rPr>
              <w:t xml:space="preserve">sa zakladá na dôkazoch hodnotiacich výsledky pre mladých ľudí, ktorí nemajú zamestnanie, ani nie sú zapojení do procesu vzdelávania alebo odbornej prípravy, na základe ktorých sa môžu vypracovať cielené politiky a sledovať vývoj, </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val="restart"/>
            <w:tcBorders>
              <w:top w:val="single" w:sz="12" w:space="0" w:color="auto"/>
            </w:tcBorders>
          </w:tcPr>
          <w:p w:rsidR="004A6D8F" w:rsidRPr="002900D1" w:rsidRDefault="004E2D6C" w:rsidP="004E2D6C">
            <w:pPr>
              <w:spacing w:before="0"/>
              <w:rPr>
                <w:rFonts w:asciiTheme="majorHAnsi" w:hAnsiTheme="majorHAnsi"/>
                <w:sz w:val="16"/>
                <w:szCs w:val="16"/>
              </w:rPr>
            </w:pPr>
            <w:r w:rsidRPr="002900D1">
              <w:rPr>
                <w:rFonts w:asciiTheme="majorHAnsi" w:hAnsiTheme="majorHAnsi"/>
                <w:sz w:val="16"/>
                <w:szCs w:val="16"/>
              </w:rPr>
              <w:t xml:space="preserve">Zákon č. 96/2013 Z. z. </w:t>
            </w:r>
          </w:p>
          <w:p w:rsidR="004E2D6C" w:rsidRPr="002900D1" w:rsidRDefault="00ED6BC8" w:rsidP="004E2D6C">
            <w:pPr>
              <w:spacing w:before="0"/>
              <w:rPr>
                <w:rFonts w:asciiTheme="majorHAnsi" w:hAnsiTheme="majorHAnsi"/>
                <w:sz w:val="16"/>
                <w:szCs w:val="16"/>
              </w:rPr>
            </w:pPr>
            <w:hyperlink r:id="rId120" w:history="1">
              <w:r w:rsidR="004E2D6C" w:rsidRPr="002900D1">
                <w:rPr>
                  <w:rFonts w:asciiTheme="majorHAnsi" w:hAnsiTheme="majorHAnsi"/>
                  <w:color w:val="0000FF"/>
                  <w:sz w:val="16"/>
                  <w:szCs w:val="16"/>
                  <w:u w:val="single"/>
                </w:rPr>
                <w:t>http://www.zakonypreludi.sk/zz/2013-96</w:t>
              </w:r>
            </w:hyperlink>
          </w:p>
          <w:p w:rsidR="004E2D6C" w:rsidRPr="002900D1" w:rsidRDefault="004E2D6C" w:rsidP="004E2D6C">
            <w:pPr>
              <w:spacing w:before="0"/>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Národný program reforiem SR 2013</w:t>
            </w:r>
          </w:p>
          <w:p w:rsidR="004E2D6C" w:rsidRPr="004E2D6C" w:rsidRDefault="004E2D6C" w:rsidP="004E2D6C">
            <w:pPr>
              <w:spacing w:before="0"/>
              <w:rPr>
                <w:rFonts w:ascii="Calibri" w:hAnsi="Calibri"/>
                <w:sz w:val="16"/>
                <w:szCs w:val="16"/>
              </w:rPr>
            </w:pPr>
            <w:r w:rsidRPr="004E2D6C">
              <w:rPr>
                <w:rFonts w:ascii="Calibri" w:hAnsi="Calibri"/>
                <w:sz w:val="16"/>
                <w:szCs w:val="16"/>
              </w:rPr>
              <w:t>(</w:t>
            </w:r>
            <w:hyperlink r:id="rId121" w:history="1">
              <w:r w:rsidRPr="004E2D6C">
                <w:rPr>
                  <w:rFonts w:ascii="Calibri" w:hAnsi="Calibri"/>
                  <w:color w:val="0000FF"/>
                  <w:sz w:val="16"/>
                  <w:szCs w:val="16"/>
                  <w:u w:val="single"/>
                </w:rPr>
                <w:t>http://www.rokovania.sk/Rokovanie.aspx/BodRokovaniaDetail?idMaterial=22344</w:t>
              </w:r>
            </w:hyperlink>
            <w:r w:rsidRPr="004E2D6C">
              <w:rPr>
                <w:rFonts w:ascii="Calibri" w:hAnsi="Calibri"/>
                <w:sz w:val="16"/>
                <w:szCs w:val="16"/>
              </w:rPr>
              <w:t xml:space="preserve">) </w:t>
            </w:r>
          </w:p>
        </w:tc>
        <w:tc>
          <w:tcPr>
            <w:tcW w:w="4111" w:type="dxa"/>
            <w:vMerge w:val="restart"/>
            <w:tcBorders>
              <w:top w:val="single" w:sz="12" w:space="0" w:color="auto"/>
              <w:right w:val="single" w:sz="12" w:space="0" w:color="auto"/>
            </w:tcBorders>
          </w:tcPr>
          <w:p w:rsidR="004E2D6C" w:rsidRPr="004E2D6C" w:rsidRDefault="004E2D6C" w:rsidP="000A418D">
            <w:pPr>
              <w:spacing w:before="0"/>
              <w:rPr>
                <w:rFonts w:ascii="Calibri" w:hAnsi="Calibri"/>
                <w:sz w:val="16"/>
                <w:szCs w:val="16"/>
              </w:rPr>
            </w:pPr>
            <w:r w:rsidRPr="004E2D6C">
              <w:rPr>
                <w:rFonts w:ascii="Calibri" w:hAnsi="Calibri"/>
                <w:sz w:val="16"/>
                <w:szCs w:val="16"/>
              </w:rPr>
              <w:t xml:space="preserve">V súlade s § 8 ods. 1 písm. a) </w:t>
            </w:r>
            <w:r w:rsidRPr="004E2D6C">
              <w:rPr>
                <w:rFonts w:ascii="Calibri" w:hAnsi="Calibri"/>
                <w:i/>
                <w:sz w:val="16"/>
                <w:szCs w:val="16"/>
              </w:rPr>
              <w:t>zákona</w:t>
            </w:r>
            <w:r w:rsidRPr="004E2D6C">
              <w:rPr>
                <w:rFonts w:ascii="Calibri" w:hAnsi="Calibri"/>
                <w:sz w:val="16"/>
                <w:szCs w:val="16"/>
              </w:rPr>
              <w:t xml:space="preserve"> </w:t>
            </w:r>
            <w:r w:rsidRPr="004E2D6C">
              <w:rPr>
                <w:rFonts w:ascii="Calibri" w:hAnsi="Calibri"/>
                <w:i/>
                <w:sz w:val="16"/>
                <w:szCs w:val="16"/>
              </w:rPr>
              <w:t>č. 96/2013 Z. z.</w:t>
            </w:r>
            <w:r w:rsidRPr="004E2D6C">
              <w:rPr>
                <w:rFonts w:ascii="Calibri" w:hAnsi="Calibri"/>
                <w:sz w:val="16"/>
                <w:szCs w:val="16"/>
              </w:rPr>
              <w:t xml:space="preserve"> sa občan mladší ako 26 rokov, ktorý ukončil príslušným stupňom vzdelania sústavnú prípravu na povolanie v dennej forme štúdia pred menej ako dvomi rokmi a pred zaradením do evidencie uchádzačov o zamestnanie nemal pravidelne platené zamestnanie, považuje za znevýhodneného uchádzača o zamestnanie. Podľa § 43 ods. 5 zákona č. 96/2013 Z. z. s účinnosťou od 1.</w:t>
            </w:r>
            <w:r w:rsidR="00DC3DE4">
              <w:rPr>
                <w:rFonts w:ascii="Calibri" w:hAnsi="Calibri"/>
                <w:sz w:val="16"/>
                <w:szCs w:val="16"/>
              </w:rPr>
              <w:t xml:space="preserve"> </w:t>
            </w:r>
            <w:r w:rsidRPr="004E2D6C">
              <w:rPr>
                <w:rFonts w:ascii="Calibri" w:hAnsi="Calibri"/>
                <w:sz w:val="16"/>
                <w:szCs w:val="16"/>
              </w:rPr>
              <w:t>5.</w:t>
            </w:r>
            <w:r w:rsidR="00DC3DE4">
              <w:rPr>
                <w:rFonts w:ascii="Calibri" w:hAnsi="Calibri"/>
                <w:sz w:val="16"/>
                <w:szCs w:val="16"/>
              </w:rPr>
              <w:t xml:space="preserve"> </w:t>
            </w:r>
            <w:r w:rsidRPr="004E2D6C">
              <w:rPr>
                <w:rFonts w:ascii="Calibri" w:hAnsi="Calibri"/>
                <w:sz w:val="16"/>
                <w:szCs w:val="16"/>
              </w:rPr>
              <w:t xml:space="preserve">2013 úrad práce, sociálnych vecí a rodiny v spolupráci s takýmto uchádzačom o zamestnanie môže vypracovať individuálny akčný plán na podporu jeho pracovného uplatnenia. Individuálny akčný plán vypracúva, vyhodnocuje </w:t>
            </w:r>
            <w:r w:rsidR="000A418D">
              <w:rPr>
                <w:rFonts w:ascii="Calibri" w:hAnsi="Calibri"/>
                <w:sz w:val="16"/>
                <w:szCs w:val="16"/>
              </w:rPr>
              <w:br/>
            </w:r>
            <w:r w:rsidRPr="004E2D6C">
              <w:rPr>
                <w:rFonts w:ascii="Calibri" w:hAnsi="Calibri"/>
                <w:sz w:val="16"/>
                <w:szCs w:val="16"/>
              </w:rPr>
              <w:t xml:space="preserve">a aktualizuje odborný poradca v spolupráci so znevýhodneným uchádzačom o zamestnanie. Po vypracovaní a vzájomnom odsúhlasení sa individuálny akčný plán stáva záväzným pre znevýhodneného uchádzača o zamestnanie a pre úrad práce, sociálnych vecí a rodiny. V súlade s NPR SR 2013 pripravilo MPSVR SR v spolupráci </w:t>
            </w:r>
            <w:r w:rsidR="000A418D">
              <w:rPr>
                <w:rFonts w:ascii="Calibri" w:hAnsi="Calibri"/>
                <w:sz w:val="16"/>
                <w:szCs w:val="16"/>
              </w:rPr>
              <w:br/>
            </w:r>
            <w:r w:rsidRPr="004E2D6C">
              <w:rPr>
                <w:rFonts w:ascii="Calibri" w:hAnsi="Calibri"/>
                <w:sz w:val="16"/>
                <w:szCs w:val="16"/>
              </w:rPr>
              <w:lastRenderedPageBreak/>
              <w:t>s MŠVVŠ SR Návrh národného plánu implementácie záruky pre mladých ľudí v SR. V národnom pláne sú uvedené kroky, ktoré povedú k realizácii systému záruk pre mladých ľudí na národnej úrovni, príslušné úlohy verejných orgánov a ostatných organizácií. V dňoch 3.</w:t>
            </w:r>
            <w:r w:rsidR="00DC3DE4">
              <w:rPr>
                <w:rFonts w:ascii="Calibri" w:hAnsi="Calibri"/>
                <w:sz w:val="16"/>
                <w:szCs w:val="16"/>
              </w:rPr>
              <w:t xml:space="preserve"> </w:t>
            </w:r>
            <w:r w:rsidRPr="004E2D6C">
              <w:rPr>
                <w:rFonts w:ascii="Calibri" w:hAnsi="Calibri"/>
                <w:sz w:val="16"/>
                <w:szCs w:val="16"/>
              </w:rPr>
              <w:t>7.</w:t>
            </w:r>
            <w:r w:rsidR="00DC3DE4">
              <w:rPr>
                <w:rFonts w:ascii="Calibri" w:hAnsi="Calibri"/>
                <w:sz w:val="16"/>
                <w:szCs w:val="16"/>
              </w:rPr>
              <w:t xml:space="preserve"> </w:t>
            </w:r>
            <w:r w:rsidRPr="004E2D6C">
              <w:rPr>
                <w:rFonts w:ascii="Calibri" w:hAnsi="Calibri"/>
                <w:sz w:val="16"/>
                <w:szCs w:val="16"/>
              </w:rPr>
              <w:t>2013, 30.</w:t>
            </w:r>
            <w:r w:rsidR="00DC3DE4">
              <w:rPr>
                <w:rFonts w:ascii="Calibri" w:hAnsi="Calibri"/>
                <w:sz w:val="16"/>
                <w:szCs w:val="16"/>
              </w:rPr>
              <w:t xml:space="preserve"> </w:t>
            </w:r>
            <w:r w:rsidRPr="004E2D6C">
              <w:rPr>
                <w:rFonts w:ascii="Calibri" w:hAnsi="Calibri"/>
                <w:sz w:val="16"/>
                <w:szCs w:val="16"/>
              </w:rPr>
              <w:t>9.</w:t>
            </w:r>
            <w:r w:rsidR="00DC3DE4">
              <w:rPr>
                <w:rFonts w:ascii="Calibri" w:hAnsi="Calibri"/>
                <w:sz w:val="16"/>
                <w:szCs w:val="16"/>
              </w:rPr>
              <w:t xml:space="preserve"> </w:t>
            </w:r>
            <w:r w:rsidRPr="004E2D6C">
              <w:rPr>
                <w:rFonts w:ascii="Calibri" w:hAnsi="Calibri"/>
                <w:sz w:val="16"/>
                <w:szCs w:val="16"/>
              </w:rPr>
              <w:t>2013 a 28.</w:t>
            </w:r>
            <w:r w:rsidR="00DC3DE4">
              <w:rPr>
                <w:rFonts w:ascii="Calibri" w:hAnsi="Calibri"/>
                <w:sz w:val="16"/>
                <w:szCs w:val="16"/>
              </w:rPr>
              <w:t xml:space="preserve"> </w:t>
            </w:r>
            <w:r w:rsidRPr="004E2D6C">
              <w:rPr>
                <w:rFonts w:ascii="Calibri" w:hAnsi="Calibri"/>
                <w:sz w:val="16"/>
                <w:szCs w:val="16"/>
              </w:rPr>
              <w:t>11.</w:t>
            </w:r>
            <w:r w:rsidR="00DC3DE4">
              <w:rPr>
                <w:rFonts w:ascii="Calibri" w:hAnsi="Calibri"/>
                <w:sz w:val="16"/>
                <w:szCs w:val="16"/>
              </w:rPr>
              <w:t xml:space="preserve"> </w:t>
            </w:r>
            <w:r w:rsidRPr="004E2D6C">
              <w:rPr>
                <w:rFonts w:ascii="Calibri" w:hAnsi="Calibri"/>
                <w:sz w:val="16"/>
                <w:szCs w:val="16"/>
              </w:rPr>
              <w:t xml:space="preserve">2013 sa na MPSVR SR uskutočnili 3 medzirezortné pracovné stretnutia k príprave záruky pre mladých ľudí. Tieto stretnutia sa postupne zaoberali otázkami harmonogramu prípravy záruky, participujúcimi subjektmi, diskusiou o aktuálne realizovaných alebo prijatých opatreniach tematicky spadajúcich do oblasti záruky, časovým obdobím, na ktoré bude záruka pripravovaná, potrebou osobitného vyčlenenia finančných prostriedkov na jej realizáciu a najmä návrhmi nových štrukturálnych/systémových opatrení tak, aby ich budúca implementácia zabezpečila skutočnú a trvalú zmenu pre integráciu mladých ľudí na trhu práce. Záruka je už v tomto čase pripravená tak, aby zahŕňala podporné opatrenia prístupu k zamestnaniu, k pracovnej mobilite a udržateľnú integráciu mladých ľudí na trh práce, predovšetkým tých, </w:t>
            </w:r>
            <w:r w:rsidRPr="00E96D8E">
              <w:rPr>
                <w:rFonts w:ascii="Calibri" w:hAnsi="Calibri"/>
                <w:sz w:val="16"/>
                <w:szCs w:val="16"/>
              </w:rPr>
              <w:t>ktorí nie sú v zamestnaní, vo vzdelávaní alebo v odbornej príprave.</w:t>
            </w:r>
            <w:r w:rsidR="00376D71" w:rsidRPr="00E96D8E">
              <w:rPr>
                <w:rFonts w:ascii="Calibri" w:hAnsi="Calibri"/>
                <w:sz w:val="16"/>
                <w:szCs w:val="16"/>
              </w:rPr>
              <w:t xml:space="preserve"> </w:t>
            </w:r>
            <w:r w:rsidR="00376D71" w:rsidRPr="00B763E3">
              <w:rPr>
                <w:rFonts w:asciiTheme="majorHAnsi" w:hAnsiTheme="majorHAnsi" w:cstheme="majorHAnsi"/>
                <w:sz w:val="16"/>
                <w:szCs w:val="16"/>
              </w:rPr>
              <w:t xml:space="preserve">Implementácia záruky pre mladých ľudí v SR bola 29. januára 2014 predmetom rokovania Rady solidarity </w:t>
            </w:r>
            <w:r w:rsidR="000A418D" w:rsidRPr="00B763E3">
              <w:rPr>
                <w:rFonts w:asciiTheme="majorHAnsi" w:hAnsiTheme="majorHAnsi" w:cstheme="majorHAnsi"/>
                <w:sz w:val="16"/>
                <w:szCs w:val="16"/>
              </w:rPr>
              <w:br/>
            </w:r>
            <w:r w:rsidR="00376D71" w:rsidRPr="00B763E3">
              <w:rPr>
                <w:rFonts w:asciiTheme="majorHAnsi" w:hAnsiTheme="majorHAnsi" w:cstheme="majorHAnsi"/>
                <w:sz w:val="16"/>
                <w:szCs w:val="16"/>
              </w:rPr>
              <w:t>a rozvoja SR, ktorá prijala Spoločné vyhlásenie na podporu jej realizácie v SR. Národný plán bol vypracovaný ako súčasť Informácie o príprave a prijatí záruky pre mladých ľudí v Slovenskej republike, ktorú prerokovala a vzala na vedomie vláda SR na svojom rokovaní 5. februára 2014. Zavedenie záruky pre mladých ľudí v súlade so závermi bilaterálneho rokovania MPSVR SR s EK zo 14.2.2014 je schválené uznesením vlády SR č. 195 z 23.apríla 2014 k NPR SR 2014. V apríli 2014 bola záruka zaslaná na EK a v máji 2014 na oficiálnu adresu EK k záruke ('EMPL-Youth-Guarantee@ec.europa.eu').</w:t>
            </w:r>
          </w:p>
        </w:tc>
      </w:tr>
      <w:tr w:rsidR="004E2D6C" w:rsidRPr="004E2D6C" w:rsidTr="00B763E3">
        <w:trPr>
          <w:trHeight w:val="220"/>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0"/>
              </w:numPr>
              <w:spacing w:before="0"/>
              <w:ind w:left="175" w:hanging="141"/>
              <w:rPr>
                <w:rFonts w:ascii="Calibri" w:hAnsi="Calibri"/>
                <w:sz w:val="16"/>
                <w:szCs w:val="16"/>
                <w:lang w:eastAsia="cs-CZ"/>
              </w:rPr>
            </w:pPr>
            <w:r w:rsidRPr="005A192A">
              <w:rPr>
                <w:rFonts w:ascii="Calibri" w:hAnsi="Calibri"/>
                <w:sz w:val="16"/>
                <w:szCs w:val="16"/>
                <w:lang w:eastAsia="cs-CZ"/>
              </w:rPr>
              <w:t xml:space="preserve">určuje relevantný orgán verejnej správy zodpovedný za opatrenia v oblasti zamestnania mladých a koordináciu partnerstiev na všetkých úrovniach a vo všetkých sektoroch,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220"/>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0"/>
              </w:numPr>
              <w:spacing w:before="0"/>
              <w:ind w:left="175" w:hanging="141"/>
              <w:rPr>
                <w:rFonts w:ascii="Calibri" w:hAnsi="Calibri"/>
                <w:sz w:val="16"/>
                <w:szCs w:val="16"/>
                <w:lang w:eastAsia="cs-CZ"/>
              </w:rPr>
            </w:pPr>
            <w:r w:rsidRPr="005A192A">
              <w:rPr>
                <w:rFonts w:ascii="Calibri" w:hAnsi="Calibri"/>
                <w:sz w:val="16"/>
                <w:szCs w:val="16"/>
                <w:lang w:eastAsia="cs-CZ"/>
              </w:rPr>
              <w:t xml:space="preserve">zahŕňa všetky zainteresované strany, ktoré sa podieľajú na riešení otázky nezamestnanosti mladých,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220"/>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0"/>
              </w:numPr>
              <w:spacing w:before="0"/>
              <w:ind w:left="175" w:hanging="141"/>
              <w:rPr>
                <w:rFonts w:ascii="Calibri" w:hAnsi="Calibri"/>
                <w:sz w:val="16"/>
                <w:szCs w:val="16"/>
                <w:lang w:eastAsia="cs-CZ"/>
              </w:rPr>
            </w:pPr>
            <w:r w:rsidRPr="005A192A">
              <w:rPr>
                <w:rFonts w:ascii="Calibri" w:hAnsi="Calibri"/>
                <w:sz w:val="16"/>
                <w:szCs w:val="16"/>
                <w:lang w:eastAsia="cs-CZ"/>
              </w:rPr>
              <w:t>umožňuje včasnú intervenciu a aktiváciu,</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220"/>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5A192A" w:rsidRDefault="004E2D6C" w:rsidP="001C5C9E">
            <w:pPr>
              <w:pStyle w:val="Odsekzoznamu"/>
              <w:numPr>
                <w:ilvl w:val="0"/>
                <w:numId w:val="110"/>
              </w:numPr>
              <w:spacing w:before="0"/>
              <w:ind w:left="175" w:hanging="141"/>
              <w:rPr>
                <w:rFonts w:ascii="Calibri" w:hAnsi="Calibri"/>
                <w:sz w:val="16"/>
                <w:szCs w:val="16"/>
                <w:lang w:eastAsia="cs-CZ"/>
              </w:rPr>
            </w:pPr>
            <w:r w:rsidRPr="005A192A">
              <w:rPr>
                <w:rFonts w:ascii="Calibri" w:hAnsi="Calibri"/>
                <w:sz w:val="16"/>
                <w:szCs w:val="16"/>
                <w:lang w:eastAsia="cs-CZ"/>
              </w:rPr>
              <w:t>obsahuje opatrenia na podporu prístupu k zamestnaniu, zlepšovania zručností, pracovnej mobility a udržateľného začleňovania mladých ľudí, ktorí nemajú zamestnanie, ani nie sú zapojení do procesu vzdelávania alebo odbornej prípravy, na pracovný trh.</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732"/>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9.1. Existencia a vykonávanie národného strategického politického rámca pre znižovanie chudoby, ktorý je zameraný na aktívne začlenenie osôb vyčlenených z trhu práce so zreteľom na usmernenia politiky zamestnanosti.</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Čiastočne</w:t>
            </w:r>
          </w:p>
        </w:tc>
        <w:tc>
          <w:tcPr>
            <w:tcW w:w="2551" w:type="dxa"/>
            <w:tcBorders>
              <w:top w:val="single" w:sz="12" w:space="0" w:color="auto"/>
            </w:tcBorders>
            <w:vAlign w:val="center"/>
          </w:tcPr>
          <w:p w:rsidR="004E2D6C" w:rsidRPr="004E2D6C" w:rsidRDefault="004E2D6C" w:rsidP="004E2D6C">
            <w:pPr>
              <w:spacing w:before="0"/>
              <w:contextualSpacing/>
              <w:rPr>
                <w:rFonts w:ascii="Calibri" w:hAnsi="Calibri"/>
                <w:color w:val="000000"/>
                <w:sz w:val="16"/>
                <w:szCs w:val="16"/>
                <w:lang w:eastAsia="cs-CZ"/>
              </w:rPr>
            </w:pPr>
            <w:r w:rsidRPr="004E2D6C">
              <w:rPr>
                <w:rFonts w:ascii="Calibri" w:hAnsi="Calibri"/>
                <w:color w:val="000000"/>
                <w:sz w:val="16"/>
                <w:szCs w:val="16"/>
                <w:lang w:eastAsia="cs-CZ"/>
              </w:rPr>
              <w:t>Zavedený je národný strategický politický rámec pre znižovanie chudoby, zameraný na aktívne začleňovanie, ktorý:</w:t>
            </w:r>
          </w:p>
          <w:p w:rsidR="004E2D6C" w:rsidRPr="005A192A" w:rsidRDefault="004E2D6C" w:rsidP="001C5C9E">
            <w:pPr>
              <w:pStyle w:val="Odsekzoznamu"/>
              <w:numPr>
                <w:ilvl w:val="0"/>
                <w:numId w:val="110"/>
              </w:numPr>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 xml:space="preserve">poskytuje dostatok dôkazov, na základe ktorých sa dajú stanoviť politiky v oblasti znižovania chudoby a sledovať vývoj, </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Nie</w:t>
            </w:r>
          </w:p>
        </w:tc>
        <w:tc>
          <w:tcPr>
            <w:tcW w:w="3119" w:type="dxa"/>
            <w:tcBorders>
              <w:top w:val="single" w:sz="12" w:space="0" w:color="auto"/>
            </w:tcBorders>
          </w:tcPr>
          <w:p w:rsidR="004E2D6C" w:rsidRPr="004E2D6C" w:rsidRDefault="004E2D6C" w:rsidP="004E2D6C">
            <w:pPr>
              <w:spacing w:before="0"/>
              <w:rPr>
                <w:rFonts w:ascii="Calibri" w:hAnsi="Calibri"/>
                <w:sz w:val="16"/>
                <w:szCs w:val="16"/>
              </w:rPr>
            </w:pPr>
          </w:p>
        </w:tc>
        <w:tc>
          <w:tcPr>
            <w:tcW w:w="4111" w:type="dxa"/>
            <w:tcBorders>
              <w:top w:val="single" w:sz="12" w:space="0" w:color="auto"/>
              <w:right w:val="single" w:sz="12" w:space="0" w:color="auto"/>
            </w:tcBorders>
          </w:tcPr>
          <w:p w:rsidR="00376D71" w:rsidRPr="00B763E3" w:rsidRDefault="00376D71"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 xml:space="preserve">Národný projekt Národná rámcová stratégia sociálneho začlenenia a boja proti chudobe, bol podpísaný 8. </w:t>
            </w:r>
            <w:r w:rsidR="003876F0">
              <w:rPr>
                <w:rFonts w:asciiTheme="majorHAnsi" w:hAnsiTheme="majorHAnsi" w:cstheme="majorHAnsi"/>
                <w:sz w:val="16"/>
                <w:szCs w:val="16"/>
                <w:lang w:eastAsia="en-US"/>
              </w:rPr>
              <w:t>10.</w:t>
            </w:r>
            <w:r w:rsidR="003876F0" w:rsidRPr="00B763E3">
              <w:rPr>
                <w:rFonts w:asciiTheme="majorHAnsi" w:hAnsiTheme="majorHAnsi" w:cstheme="majorHAnsi"/>
                <w:sz w:val="16"/>
                <w:szCs w:val="16"/>
                <w:lang w:eastAsia="en-US"/>
              </w:rPr>
              <w:t xml:space="preserve"> </w:t>
            </w:r>
            <w:r w:rsidRPr="00B763E3">
              <w:rPr>
                <w:rFonts w:asciiTheme="majorHAnsi" w:hAnsiTheme="majorHAnsi" w:cstheme="majorHAnsi"/>
                <w:sz w:val="16"/>
                <w:szCs w:val="16"/>
                <w:lang w:eastAsia="en-US"/>
              </w:rPr>
              <w:t>2013, pričom v mesiaci apríl</w:t>
            </w:r>
            <w:r w:rsidR="00C408E8" w:rsidRPr="00B763E3">
              <w:rPr>
                <w:rFonts w:asciiTheme="majorHAnsi" w:hAnsiTheme="majorHAnsi" w:cstheme="majorHAnsi"/>
                <w:sz w:val="16"/>
                <w:szCs w:val="16"/>
                <w:lang w:eastAsia="en-US"/>
              </w:rPr>
              <w:t xml:space="preserve"> 2014</w:t>
            </w:r>
            <w:r w:rsidRPr="00B763E3">
              <w:rPr>
                <w:rFonts w:asciiTheme="majorHAnsi" w:hAnsiTheme="majorHAnsi" w:cstheme="majorHAnsi"/>
                <w:sz w:val="16"/>
                <w:szCs w:val="16"/>
                <w:lang w:eastAsia="en-US"/>
              </w:rPr>
              <w:t xml:space="preserve"> boli zrealizované tieto aktivity:</w:t>
            </w:r>
            <w:r w:rsidRPr="00B763E3">
              <w:rPr>
                <w:rFonts w:asciiTheme="majorHAnsi" w:hAnsiTheme="majorHAnsi" w:cstheme="majorHAnsi"/>
                <w:sz w:val="16"/>
                <w:szCs w:val="16"/>
                <w:lang w:eastAsia="en-US"/>
              </w:rPr>
              <w:br/>
              <w:t>-predĺženie projektu do 31.</w:t>
            </w:r>
            <w:r w:rsidR="003876F0">
              <w:rPr>
                <w:rFonts w:asciiTheme="majorHAnsi" w:hAnsiTheme="majorHAnsi" w:cstheme="majorHAnsi"/>
                <w:sz w:val="16"/>
                <w:szCs w:val="16"/>
                <w:lang w:eastAsia="en-US"/>
              </w:rPr>
              <w:t xml:space="preserve"> </w:t>
            </w:r>
            <w:r w:rsidRPr="00B763E3">
              <w:rPr>
                <w:rFonts w:asciiTheme="majorHAnsi" w:hAnsiTheme="majorHAnsi" w:cstheme="majorHAnsi"/>
                <w:sz w:val="16"/>
                <w:szCs w:val="16"/>
                <w:lang w:eastAsia="en-US"/>
              </w:rPr>
              <w:t>6.</w:t>
            </w:r>
            <w:r w:rsidR="00C408E8" w:rsidRPr="00B763E3">
              <w:rPr>
                <w:rFonts w:asciiTheme="majorHAnsi" w:hAnsiTheme="majorHAnsi" w:cstheme="majorHAnsi"/>
                <w:sz w:val="16"/>
                <w:szCs w:val="16"/>
                <w:lang w:eastAsia="en-US"/>
              </w:rPr>
              <w:t xml:space="preserve"> 2014</w:t>
            </w:r>
            <w:r w:rsidRPr="00B763E3">
              <w:rPr>
                <w:rFonts w:asciiTheme="majorHAnsi" w:hAnsiTheme="majorHAnsi" w:cstheme="majorHAnsi"/>
                <w:sz w:val="16"/>
                <w:szCs w:val="16"/>
                <w:lang w:eastAsia="en-US"/>
              </w:rPr>
              <w:t xml:space="preserve"> opäť v súvislosti s nadväznosťou externých aktivít:</w:t>
            </w:r>
          </w:p>
          <w:p w:rsidR="00376D71" w:rsidRPr="00B763E3" w:rsidRDefault="00F934AF"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w:t>
            </w:r>
            <w:r w:rsidR="00376D71" w:rsidRPr="00B763E3">
              <w:rPr>
                <w:rFonts w:asciiTheme="majorHAnsi" w:hAnsiTheme="majorHAnsi" w:cstheme="majorHAnsi"/>
                <w:sz w:val="16"/>
                <w:szCs w:val="16"/>
                <w:lang w:eastAsia="en-US"/>
              </w:rPr>
              <w:t>Analýza ukazovateľov určených pre rozvoj politík znižovania chudoby a sociálneho vylúčenia a monitoring trendov v danej oblasti</w:t>
            </w:r>
            <w:r w:rsidR="00C31259" w:rsidRPr="00B763E3">
              <w:rPr>
                <w:rFonts w:asciiTheme="majorHAnsi" w:hAnsiTheme="majorHAnsi" w:cstheme="majorHAnsi"/>
                <w:sz w:val="16"/>
                <w:szCs w:val="16"/>
                <w:lang w:eastAsia="en-US"/>
              </w:rPr>
              <w:t>,</w:t>
            </w:r>
          </w:p>
          <w:p w:rsidR="00376D71" w:rsidRPr="00B763E3" w:rsidRDefault="00376D71"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 Empirický výskum spoločenskej  klímy a zapracovaním, zohľadnením ich výsledkov v texte  Stratégie</w:t>
            </w:r>
            <w:r w:rsidR="00C31259" w:rsidRPr="00B763E3">
              <w:rPr>
                <w:rFonts w:asciiTheme="majorHAnsi" w:hAnsiTheme="majorHAnsi" w:cstheme="majorHAnsi"/>
                <w:sz w:val="16"/>
                <w:szCs w:val="16"/>
                <w:lang w:eastAsia="en-US"/>
              </w:rPr>
              <w:t>,</w:t>
            </w:r>
          </w:p>
          <w:p w:rsidR="00376D71" w:rsidRPr="00B763E3" w:rsidRDefault="00376D71"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-expertné konzultácie, dolaďovanie zadaní pre vyššie uvádzané externé aktivity</w:t>
            </w:r>
          </w:p>
          <w:p w:rsidR="00376D71" w:rsidRPr="00B763E3" w:rsidRDefault="00376D71"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-konzultovanie textu Stratégie so Sekciou rodinnej a sociálnej politiky ako odborné „predpripomienkovanie“ za účelom komplexného a konzistentného finálneho textu Stratégie</w:t>
            </w:r>
            <w:r w:rsidR="00C31259" w:rsidRPr="00B763E3">
              <w:rPr>
                <w:rFonts w:asciiTheme="majorHAnsi" w:hAnsiTheme="majorHAnsi" w:cstheme="majorHAnsi"/>
                <w:sz w:val="16"/>
                <w:szCs w:val="16"/>
                <w:lang w:eastAsia="en-US"/>
              </w:rPr>
              <w:t>,</w:t>
            </w:r>
          </w:p>
          <w:p w:rsidR="00376D71" w:rsidRPr="00B763E3" w:rsidRDefault="00376D71"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-osobné informovanie  zástupcov EK o postupe prác na Stratégii  na  odbornom podujatí Neformálny dialóg o OP Ľudské zdroje 2014-2020, dňa 28.</w:t>
            </w:r>
            <w:r w:rsidR="00C31259" w:rsidRPr="00B763E3">
              <w:rPr>
                <w:rFonts w:asciiTheme="majorHAnsi" w:hAnsiTheme="majorHAnsi" w:cstheme="majorHAnsi"/>
                <w:sz w:val="16"/>
                <w:szCs w:val="16"/>
                <w:lang w:eastAsia="en-US"/>
              </w:rPr>
              <w:t xml:space="preserve"> </w:t>
            </w:r>
            <w:r w:rsidRPr="00B763E3">
              <w:rPr>
                <w:rFonts w:asciiTheme="majorHAnsi" w:hAnsiTheme="majorHAnsi" w:cstheme="majorHAnsi"/>
                <w:sz w:val="16"/>
                <w:szCs w:val="16"/>
                <w:lang w:eastAsia="en-US"/>
              </w:rPr>
              <w:t>3.</w:t>
            </w:r>
            <w:r w:rsidR="00C31259" w:rsidRPr="00B763E3">
              <w:rPr>
                <w:rFonts w:asciiTheme="majorHAnsi" w:hAnsiTheme="majorHAnsi" w:cstheme="majorHAnsi"/>
                <w:sz w:val="16"/>
                <w:szCs w:val="16"/>
                <w:lang w:eastAsia="en-US"/>
              </w:rPr>
              <w:t xml:space="preserve"> 2014</w:t>
            </w:r>
            <w:r w:rsidRPr="00B763E3">
              <w:rPr>
                <w:rFonts w:asciiTheme="majorHAnsi" w:hAnsiTheme="majorHAnsi" w:cstheme="majorHAnsi"/>
                <w:sz w:val="16"/>
                <w:szCs w:val="16"/>
                <w:lang w:eastAsia="en-US"/>
              </w:rPr>
              <w:t xml:space="preserve"> v</w:t>
            </w:r>
            <w:r w:rsidR="00C31259" w:rsidRPr="00B763E3">
              <w:rPr>
                <w:rFonts w:asciiTheme="majorHAnsi" w:hAnsiTheme="majorHAnsi" w:cstheme="majorHAnsi"/>
                <w:sz w:val="16"/>
                <w:szCs w:val="16"/>
                <w:lang w:eastAsia="en-US"/>
              </w:rPr>
              <w:t> </w:t>
            </w:r>
            <w:r w:rsidRPr="00B763E3">
              <w:rPr>
                <w:rFonts w:asciiTheme="majorHAnsi" w:hAnsiTheme="majorHAnsi" w:cstheme="majorHAnsi"/>
                <w:sz w:val="16"/>
                <w:szCs w:val="16"/>
                <w:lang w:eastAsia="en-US"/>
              </w:rPr>
              <w:t>Bratislave</w:t>
            </w:r>
            <w:r w:rsidR="00C31259" w:rsidRPr="00B763E3">
              <w:rPr>
                <w:rFonts w:asciiTheme="majorHAnsi" w:hAnsiTheme="majorHAnsi" w:cstheme="majorHAnsi"/>
                <w:sz w:val="16"/>
                <w:szCs w:val="16"/>
                <w:lang w:eastAsia="en-US"/>
              </w:rPr>
              <w:t>,</w:t>
            </w:r>
          </w:p>
          <w:p w:rsidR="00376D71" w:rsidRPr="00B763E3" w:rsidRDefault="00376D71"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-tvorba synergického textu záverečnej Stratégie</w:t>
            </w:r>
            <w:r w:rsidR="00C31259" w:rsidRPr="00B763E3">
              <w:rPr>
                <w:rFonts w:asciiTheme="majorHAnsi" w:hAnsiTheme="majorHAnsi" w:cstheme="majorHAnsi"/>
                <w:sz w:val="16"/>
                <w:szCs w:val="16"/>
                <w:lang w:eastAsia="en-US"/>
              </w:rPr>
              <w:t>,</w:t>
            </w:r>
          </w:p>
          <w:p w:rsidR="00376D71" w:rsidRPr="00B763E3" w:rsidRDefault="00376D71" w:rsidP="00BA185A">
            <w:pPr>
              <w:pStyle w:val="Style30"/>
              <w:jc w:val="both"/>
              <w:rPr>
                <w:rFonts w:asciiTheme="majorHAnsi" w:hAnsiTheme="majorHAnsi" w:cstheme="majorHAnsi"/>
                <w:sz w:val="16"/>
                <w:szCs w:val="16"/>
                <w:lang w:eastAsia="en-US"/>
              </w:rPr>
            </w:pPr>
            <w:r w:rsidRPr="00B763E3">
              <w:rPr>
                <w:rFonts w:asciiTheme="majorHAnsi" w:hAnsiTheme="majorHAnsi" w:cstheme="majorHAnsi"/>
                <w:sz w:val="16"/>
                <w:szCs w:val="16"/>
                <w:lang w:eastAsia="en-US"/>
              </w:rPr>
              <w:t>-finálne odborné editovanie kompletného textu Stratégie</w:t>
            </w:r>
            <w:r w:rsidR="00C31259" w:rsidRPr="00B763E3">
              <w:rPr>
                <w:rFonts w:asciiTheme="majorHAnsi" w:hAnsiTheme="majorHAnsi" w:cstheme="majorHAnsi"/>
                <w:sz w:val="16"/>
                <w:szCs w:val="16"/>
                <w:lang w:eastAsia="en-US"/>
              </w:rPr>
              <w:t>.</w:t>
            </w:r>
          </w:p>
          <w:p w:rsidR="004E2D6C" w:rsidRPr="00E96D8E" w:rsidRDefault="00376D71" w:rsidP="00BA185A">
            <w:pPr>
              <w:pStyle w:val="Style30"/>
              <w:jc w:val="both"/>
            </w:pPr>
            <w:r w:rsidRPr="00B763E3">
              <w:rPr>
                <w:rFonts w:asciiTheme="majorHAnsi" w:hAnsiTheme="majorHAnsi" w:cstheme="majorHAnsi"/>
                <w:sz w:val="16"/>
                <w:szCs w:val="16"/>
                <w:lang w:eastAsia="en-US"/>
              </w:rPr>
              <w:br/>
              <w:t>Národná rámcová stratégia sociálneho začlenenia a boja proti chudobe vytvorená v rámci národného projektu bude v analytickej časti vychádzať zo zdrojov EÚ SILC, vybraných štatistických  zisťovaní  a iných administratívnych a  ad hoc zdrojov.</w:t>
            </w:r>
          </w:p>
        </w:tc>
      </w:tr>
      <w:tr w:rsidR="004E2D6C" w:rsidRPr="004E2D6C" w:rsidTr="00B763E3">
        <w:trPr>
          <w:trHeight w:val="197"/>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1"/>
              </w:numPr>
              <w:tabs>
                <w:tab w:val="left" w:pos="354"/>
              </w:tabs>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obsahuje opatrenia na podporu plnenia národného cieľa v oblasti chudoby a sociálneho vylúčenia (ako sa uvádza v národnom programe reforiem), ktorý zahŕňa podporu udržateľných a kvalitných pracovných príležitostí pre ľudí, ktorým najviac hrozí sociálne vylúčenie, vrátane osôb z marginalizovaných komunít,</w:t>
            </w:r>
          </w:p>
        </w:tc>
        <w:tc>
          <w:tcPr>
            <w:tcW w:w="1134" w:type="dxa"/>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tcPr>
          <w:p w:rsidR="004E2D6C" w:rsidRPr="002900D1" w:rsidRDefault="004E2D6C" w:rsidP="004E2D6C">
            <w:pPr>
              <w:spacing w:before="0"/>
              <w:rPr>
                <w:rFonts w:asciiTheme="majorHAnsi" w:hAnsiTheme="majorHAnsi"/>
                <w:sz w:val="16"/>
                <w:szCs w:val="16"/>
              </w:rPr>
            </w:pPr>
          </w:p>
          <w:p w:rsidR="004E2D6C" w:rsidRPr="002900D1" w:rsidRDefault="00ED6BC8" w:rsidP="004E2D6C">
            <w:pPr>
              <w:spacing w:before="0"/>
              <w:rPr>
                <w:rFonts w:asciiTheme="majorHAnsi" w:hAnsiTheme="majorHAnsi"/>
                <w:sz w:val="16"/>
                <w:szCs w:val="16"/>
              </w:rPr>
            </w:pPr>
            <w:hyperlink r:id="rId122" w:history="1">
              <w:r w:rsidR="004E2D6C" w:rsidRPr="002900D1">
                <w:rPr>
                  <w:rFonts w:asciiTheme="majorHAnsi" w:hAnsiTheme="majorHAnsi"/>
                  <w:color w:val="0000FF"/>
                  <w:sz w:val="16"/>
                  <w:szCs w:val="16"/>
                  <w:u w:val="single"/>
                </w:rPr>
                <w:t>http://www.employment.gov.sk/sk/rodina-socialna-pomoc/socialne-sluzby/</w:t>
              </w:r>
            </w:hyperlink>
          </w:p>
          <w:p w:rsidR="004E2D6C" w:rsidRPr="002900D1" w:rsidRDefault="004E2D6C" w:rsidP="004E2D6C">
            <w:pPr>
              <w:spacing w:before="0"/>
              <w:rPr>
                <w:rFonts w:asciiTheme="majorHAnsi" w:hAnsiTheme="majorHAnsi"/>
                <w:sz w:val="16"/>
                <w:szCs w:val="16"/>
              </w:rPr>
            </w:pPr>
          </w:p>
          <w:p w:rsidR="004E2D6C" w:rsidRPr="002900D1" w:rsidRDefault="00ED6BC8" w:rsidP="004E2D6C">
            <w:pPr>
              <w:spacing w:before="0"/>
              <w:rPr>
                <w:rFonts w:asciiTheme="majorHAnsi" w:hAnsiTheme="majorHAnsi"/>
                <w:sz w:val="16"/>
                <w:szCs w:val="16"/>
              </w:rPr>
            </w:pPr>
            <w:hyperlink r:id="rId123" w:history="1">
              <w:r w:rsidR="004E2D6C" w:rsidRPr="002900D1">
                <w:rPr>
                  <w:rFonts w:asciiTheme="majorHAnsi" w:hAnsiTheme="majorHAnsi"/>
                  <w:color w:val="0000FF"/>
                  <w:sz w:val="16"/>
                  <w:szCs w:val="16"/>
                  <w:u w:val="single"/>
                </w:rPr>
                <w:t>http://www.rokovania.sk/Rokovanie.aspx/NezaradenyMaterialDetail?idMaterial=23195</w:t>
              </w:r>
            </w:hyperlink>
            <w:r w:rsidR="004E2D6C" w:rsidRPr="002900D1">
              <w:rPr>
                <w:rFonts w:asciiTheme="majorHAnsi" w:hAnsiTheme="majorHAnsi"/>
                <w:sz w:val="16"/>
                <w:szCs w:val="16"/>
              </w:rPr>
              <w:t xml:space="preserve"> </w:t>
            </w:r>
          </w:p>
        </w:tc>
        <w:tc>
          <w:tcPr>
            <w:tcW w:w="4111" w:type="dxa"/>
            <w:tcBorders>
              <w:right w:val="single" w:sz="12" w:space="0" w:color="auto"/>
            </w:tcBorders>
          </w:tcPr>
          <w:p w:rsidR="004E2D6C" w:rsidRPr="00E96D8E" w:rsidRDefault="00376D71" w:rsidP="004E2D6C">
            <w:pPr>
              <w:spacing w:before="0"/>
              <w:rPr>
                <w:rFonts w:ascii="Calibri" w:hAnsi="Calibri"/>
                <w:sz w:val="16"/>
                <w:szCs w:val="16"/>
              </w:rPr>
            </w:pPr>
            <w:r w:rsidRPr="00B763E3">
              <w:rPr>
                <w:rFonts w:asciiTheme="majorHAnsi" w:hAnsiTheme="majorHAnsi" w:cstheme="majorHAnsi"/>
                <w:sz w:val="16"/>
                <w:szCs w:val="16"/>
              </w:rPr>
              <w:t>Národná rámcová stratégia je v súlade a vychádza aj z Národného programu reforiem a ďalších strategických dokumentov ako napríklad stratégia deinštitucionalizácie a podobne. Potenciál sociálnej ekonomiky a medzitrhu práce pre sociálne začlenenie /východiská, zdroje sociálnej ekonomiky  a jej súčasné hlavné oblasti vývoja,  analýza štyroch hlavných modelov WISE-e v európskom priestore, financovanie, predpoklady etablovania, rozvoj iniciatív, predpoklady a limity sociálnej ekonomiky v SR/  budú obsahovou, vecnou súčasťou Stratégie i jej príloh</w:t>
            </w:r>
          </w:p>
        </w:tc>
      </w:tr>
      <w:tr w:rsidR="004E2D6C" w:rsidRPr="004E2D6C" w:rsidTr="00B763E3">
        <w:trPr>
          <w:trHeight w:val="197"/>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1"/>
              </w:numPr>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 xml:space="preserve">zahŕňa príslušné strany zainteresované v oblasti boja proti chudobe,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2900D1" w:rsidRDefault="00ED6BC8" w:rsidP="004E2D6C">
            <w:pPr>
              <w:spacing w:before="0"/>
              <w:rPr>
                <w:rFonts w:asciiTheme="majorHAnsi" w:hAnsiTheme="majorHAnsi"/>
                <w:sz w:val="16"/>
                <w:szCs w:val="16"/>
              </w:rPr>
            </w:pPr>
            <w:hyperlink r:id="rId124" w:anchor="38;view=article&amp;" w:history="1">
              <w:r w:rsidR="00376D71" w:rsidRPr="002900D1">
                <w:rPr>
                  <w:rStyle w:val="Hypertextovprepojenie"/>
                  <w:rFonts w:asciiTheme="majorHAnsi" w:hAnsiTheme="majorHAnsi"/>
                  <w:sz w:val="16"/>
                  <w:szCs w:val="16"/>
                </w:rPr>
                <w:t>http://www.sspr.gov.sk/IVPR/index.php?option=com_content&amp;view=article&amp;id=259&amp;Itemid=49&amp;lang=sk</w:t>
              </w:r>
            </w:hyperlink>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V zmysle uznesenia vlády SR č. 305/2012 z 27.</w:t>
            </w:r>
            <w:r w:rsidR="00C611EB">
              <w:rPr>
                <w:rFonts w:ascii="Calibri" w:hAnsi="Calibri"/>
                <w:sz w:val="16"/>
                <w:szCs w:val="16"/>
              </w:rPr>
              <w:t xml:space="preserve"> </w:t>
            </w:r>
            <w:r w:rsidRPr="004E2D6C">
              <w:rPr>
                <w:rFonts w:ascii="Calibri" w:hAnsi="Calibri"/>
                <w:sz w:val="16"/>
                <w:szCs w:val="16"/>
              </w:rPr>
              <w:t>6.</w:t>
            </w:r>
            <w:r w:rsidR="00C611EB">
              <w:rPr>
                <w:rFonts w:ascii="Calibri" w:hAnsi="Calibri"/>
                <w:sz w:val="16"/>
                <w:szCs w:val="16"/>
              </w:rPr>
              <w:t xml:space="preserve"> </w:t>
            </w:r>
            <w:r w:rsidRPr="004E2D6C">
              <w:rPr>
                <w:rFonts w:ascii="Calibri" w:hAnsi="Calibri"/>
                <w:sz w:val="16"/>
                <w:szCs w:val="16"/>
              </w:rPr>
              <w:t xml:space="preserve">2012 k materiálu „Spôsob uplatnenia ex ante kondicionalít pri príprave implementačného mechanizmu politiky súdržnosti EÚ po roku 2013 v podmienkach Slovenskej republiky“ bola </w:t>
            </w:r>
            <w:r w:rsidRPr="004E2D6C">
              <w:rPr>
                <w:rFonts w:ascii="Calibri" w:hAnsi="Calibri"/>
                <w:sz w:val="16"/>
                <w:szCs w:val="16"/>
              </w:rPr>
              <w:lastRenderedPageBreak/>
              <w:t xml:space="preserve">na MPSVR SR zriadená nadrezortná pracovná skupina, ktorej členmi sú relevantní partneri z oblasti boja proti chudobe na Slovensku (vládne a mimovládne organizácie), ktorí sa podieľajú na vytváraní a najmä pripomienkovaní Národnej rámcovej stratégie. Národná rámcová stratégia bude v rámci národného projektu taktiež konzultovaná </w:t>
            </w:r>
            <w:r w:rsidR="000A418D">
              <w:rPr>
                <w:rFonts w:ascii="Calibri" w:hAnsi="Calibri"/>
                <w:sz w:val="16"/>
                <w:szCs w:val="16"/>
              </w:rPr>
              <w:br/>
            </w:r>
            <w:r w:rsidRPr="004E2D6C">
              <w:rPr>
                <w:rFonts w:ascii="Calibri" w:hAnsi="Calibri"/>
                <w:sz w:val="16"/>
                <w:szCs w:val="16"/>
              </w:rPr>
              <w:t>a diskutovaná s relevantnými záujmovými skupinami prostredníctvom odborného workshopu a celoslovenskej konferencie.</w:t>
            </w:r>
          </w:p>
        </w:tc>
      </w:tr>
      <w:tr w:rsidR="004E2D6C" w:rsidRPr="004E2D6C" w:rsidTr="00B763E3">
        <w:trPr>
          <w:trHeight w:val="197"/>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1"/>
              </w:numPr>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 xml:space="preserve">obsahuje opatrenia pre prechod od inštitucionálnej starostlivosti k starostlivosti na úrovni komunít v závislosti od zistených potrieb.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4E2D6C" w:rsidRDefault="00ED6BC8" w:rsidP="004E2D6C">
            <w:pPr>
              <w:spacing w:before="0"/>
              <w:rPr>
                <w:rFonts w:ascii="Calibri" w:hAnsi="Calibri"/>
                <w:sz w:val="16"/>
                <w:szCs w:val="16"/>
              </w:rPr>
            </w:pPr>
            <w:hyperlink r:id="rId125" w:history="1">
              <w:r w:rsidR="004E2D6C" w:rsidRPr="004E2D6C">
                <w:rPr>
                  <w:rFonts w:ascii="Calibri" w:hAnsi="Calibri"/>
                  <w:color w:val="0000FF"/>
                  <w:sz w:val="16"/>
                  <w:szCs w:val="16"/>
                  <w:u w:val="single"/>
                </w:rPr>
                <w:t>http://www.employment.gov.sk/files/legislativa/dokumenty-zoznamy-pod/strategia-deinstitucionalizacie-systemu-socialnych-sluzieb-nahradnej-starostlivosti-1.pdf</w:t>
              </w:r>
            </w:hyperlink>
            <w:r w:rsidR="004E2D6C" w:rsidRPr="004E2D6C">
              <w:rPr>
                <w:rFonts w:ascii="Calibri" w:hAnsi="Calibri"/>
                <w:sz w:val="16"/>
                <w:szCs w:val="16"/>
              </w:rPr>
              <w:t xml:space="preserve">  </w:t>
            </w:r>
          </w:p>
          <w:p w:rsidR="004E2D6C" w:rsidRPr="004E2D6C" w:rsidRDefault="004E2D6C" w:rsidP="004E2D6C">
            <w:pPr>
              <w:spacing w:before="0"/>
              <w:rPr>
                <w:rFonts w:ascii="Calibri" w:hAnsi="Calibri"/>
                <w:sz w:val="16"/>
                <w:szCs w:val="16"/>
              </w:rPr>
            </w:pPr>
          </w:p>
          <w:p w:rsidR="004E2D6C" w:rsidRPr="004E2D6C" w:rsidRDefault="00ED6BC8" w:rsidP="004E2D6C">
            <w:pPr>
              <w:spacing w:before="0"/>
              <w:rPr>
                <w:rFonts w:ascii="Calibri" w:hAnsi="Calibri"/>
                <w:sz w:val="16"/>
                <w:szCs w:val="16"/>
              </w:rPr>
            </w:pPr>
            <w:hyperlink r:id="rId126" w:history="1">
              <w:r w:rsidR="004E2D6C" w:rsidRPr="004E2D6C">
                <w:rPr>
                  <w:rFonts w:ascii="Calibri" w:hAnsi="Calibri"/>
                  <w:color w:val="0000FF"/>
                  <w:sz w:val="16"/>
                  <w:szCs w:val="16"/>
                  <w:u w:val="single"/>
                </w:rPr>
                <w:t>http://www.upsvar.sk/buxus/docs//SSVaR/OVOZ/Koncepcia.pdf</w:t>
              </w:r>
            </w:hyperlink>
            <w:r w:rsidR="004E2D6C" w:rsidRPr="004E2D6C">
              <w:rPr>
                <w:rFonts w:ascii="Calibri" w:hAnsi="Calibri"/>
                <w:sz w:val="16"/>
                <w:szCs w:val="16"/>
              </w:rPr>
              <w:t xml:space="preserve"> </w:t>
            </w:r>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Národná rámcová stratégia bude vychádzať a bude nadväzovať aj na už zavedenú „Stratégiu deinštitucionalizácie systému sociálnych služieb </w:t>
            </w:r>
            <w:r w:rsidR="000A418D">
              <w:rPr>
                <w:rFonts w:ascii="Calibri" w:hAnsi="Calibri"/>
                <w:sz w:val="16"/>
                <w:szCs w:val="16"/>
              </w:rPr>
              <w:br/>
            </w:r>
            <w:r w:rsidRPr="004E2D6C">
              <w:rPr>
                <w:rFonts w:ascii="Calibri" w:hAnsi="Calibri"/>
                <w:sz w:val="16"/>
                <w:szCs w:val="16"/>
              </w:rPr>
              <w:t>a náhradnej starostlivosti v Slovenskej republike“</w:t>
            </w:r>
            <w:r w:rsidR="007D4BB2">
              <w:rPr>
                <w:rFonts w:ascii="Calibri" w:hAnsi="Calibri"/>
                <w:sz w:val="16"/>
                <w:szCs w:val="16"/>
              </w:rPr>
              <w:t>,</w:t>
            </w:r>
            <w:r w:rsidRPr="004E2D6C">
              <w:rPr>
                <w:rFonts w:ascii="Calibri" w:hAnsi="Calibri"/>
                <w:sz w:val="16"/>
                <w:szCs w:val="16"/>
              </w:rPr>
              <w:t xml:space="preserve"> ako aj na „Národný akčný plán prechodu z inštitucionálnej na komunitnú starostlivosť v systéme sociálnych služieb na roky 2012 – 2015“ a „Koncepciu zabezpečovania výkonu súdnych rozhodnutí v detských domovoch na roky 2012 – 2015 s výhľadom do roku 2020 - Plán transformácie </w:t>
            </w:r>
            <w:r w:rsidR="000A418D">
              <w:rPr>
                <w:rFonts w:ascii="Calibri" w:hAnsi="Calibri"/>
                <w:sz w:val="16"/>
                <w:szCs w:val="16"/>
              </w:rPr>
              <w:br/>
            </w:r>
            <w:r w:rsidRPr="004E2D6C">
              <w:rPr>
                <w:rFonts w:ascii="Calibri" w:hAnsi="Calibri"/>
                <w:sz w:val="16"/>
                <w:szCs w:val="16"/>
              </w:rPr>
              <w:t>a deinštitucionalizácie náhradnej starostlivosti“</w:t>
            </w:r>
            <w:r w:rsidR="007D4BB2">
              <w:rPr>
                <w:rFonts w:ascii="Calibri" w:hAnsi="Calibri"/>
                <w:sz w:val="16"/>
                <w:szCs w:val="16"/>
              </w:rPr>
              <w:t>.</w:t>
            </w:r>
            <w:r w:rsidRPr="004E2D6C">
              <w:rPr>
                <w:rFonts w:ascii="Calibri" w:hAnsi="Calibri"/>
                <w:sz w:val="16"/>
                <w:szCs w:val="16"/>
              </w:rPr>
              <w:t xml:space="preserve"> Vychádzajúc zo stratégie deinštitucionalizácie </w:t>
            </w:r>
            <w:r w:rsidR="000A418D">
              <w:rPr>
                <w:rFonts w:ascii="Calibri" w:hAnsi="Calibri"/>
                <w:sz w:val="16"/>
                <w:szCs w:val="16"/>
              </w:rPr>
              <w:br/>
            </w:r>
            <w:r w:rsidRPr="004E2D6C">
              <w:rPr>
                <w:rFonts w:ascii="Calibri" w:hAnsi="Calibri"/>
                <w:sz w:val="16"/>
                <w:szCs w:val="16"/>
              </w:rPr>
              <w:t xml:space="preserve">v pripravovanej Národnej rámcovej stratégii budú navrhnuté aj nasledovné ukazovatele v oblasti prechodu </w:t>
            </w:r>
            <w:r w:rsidR="000A418D">
              <w:rPr>
                <w:rFonts w:ascii="Calibri" w:hAnsi="Calibri"/>
                <w:sz w:val="16"/>
                <w:szCs w:val="16"/>
              </w:rPr>
              <w:br/>
            </w:r>
            <w:r w:rsidRPr="004E2D6C">
              <w:rPr>
                <w:rFonts w:ascii="Calibri" w:hAnsi="Calibri"/>
                <w:sz w:val="16"/>
                <w:szCs w:val="16"/>
              </w:rPr>
              <w:t>z inštitucionálnej do komunitnej starostlivosti:</w:t>
            </w:r>
          </w:p>
          <w:p w:rsidR="004E2D6C" w:rsidRPr="004E2D6C" w:rsidRDefault="004E2D6C" w:rsidP="004E2D6C">
            <w:pPr>
              <w:spacing w:before="0"/>
              <w:rPr>
                <w:rFonts w:ascii="Calibri" w:hAnsi="Calibri"/>
                <w:sz w:val="16"/>
                <w:szCs w:val="16"/>
              </w:rPr>
            </w:pPr>
            <w:r w:rsidRPr="004E2D6C">
              <w:rPr>
                <w:rFonts w:ascii="Calibri" w:hAnsi="Calibri"/>
                <w:sz w:val="16"/>
                <w:szCs w:val="16"/>
              </w:rPr>
              <w:t>- Zvýšiť percentuálny podiel prijímateľov sociálnych služieb (detí so zdravotným postihnutím, o</w:t>
            </w:r>
            <w:r w:rsidR="00F43739">
              <w:rPr>
                <w:rFonts w:ascii="Calibri" w:hAnsi="Calibri"/>
                <w:sz w:val="16"/>
                <w:szCs w:val="16"/>
              </w:rPr>
              <w:t>sôb</w:t>
            </w:r>
            <w:r w:rsidRPr="004E2D6C">
              <w:rPr>
                <w:rFonts w:ascii="Calibri" w:hAnsi="Calibri"/>
                <w:sz w:val="16"/>
                <w:szCs w:val="16"/>
              </w:rPr>
              <w:t xml:space="preserve"> so zdravotným postihnutím, občanov v nepriaznivej sociálnej situácii, seniorov), ktorým sú poskytované sociálne služby v komunite a v prirodzenom domácom prostredí.</w:t>
            </w:r>
          </w:p>
          <w:p w:rsidR="004E2D6C" w:rsidRPr="004E2D6C" w:rsidRDefault="004E2D6C" w:rsidP="00376D71">
            <w:pPr>
              <w:spacing w:before="0"/>
              <w:rPr>
                <w:rFonts w:ascii="Calibri" w:hAnsi="Calibri"/>
                <w:sz w:val="16"/>
                <w:szCs w:val="16"/>
              </w:rPr>
            </w:pPr>
            <w:r w:rsidRPr="004E2D6C">
              <w:rPr>
                <w:rFonts w:ascii="Calibri" w:hAnsi="Calibri"/>
                <w:sz w:val="16"/>
                <w:szCs w:val="16"/>
              </w:rPr>
              <w:t>- Zvýšiť percentuálny podiel sociálnych služieb poskytovaných ambulantnou a terénnou formou na úrovni komunity.</w:t>
            </w:r>
          </w:p>
          <w:p w:rsidR="00376D71" w:rsidRDefault="004E2D6C" w:rsidP="00376D71">
            <w:pPr>
              <w:pStyle w:val="Style30"/>
              <w:jc w:val="both"/>
              <w:rPr>
                <w:rFonts w:ascii="Calibri" w:hAnsi="Calibri"/>
                <w:sz w:val="16"/>
                <w:szCs w:val="16"/>
                <w:lang w:eastAsia="en-US"/>
              </w:rPr>
            </w:pPr>
            <w:r w:rsidRPr="004E2D6C">
              <w:rPr>
                <w:rFonts w:ascii="Calibri" w:hAnsi="Calibri"/>
                <w:sz w:val="16"/>
                <w:szCs w:val="16"/>
              </w:rPr>
              <w:t xml:space="preserve">- </w:t>
            </w:r>
            <w:r w:rsidR="00376D71" w:rsidRPr="00BA185A">
              <w:rPr>
                <w:rFonts w:ascii="Calibri" w:hAnsi="Calibri"/>
                <w:sz w:val="16"/>
                <w:szCs w:val="16"/>
                <w:lang w:eastAsia="en-US"/>
              </w:rPr>
              <w:t>Zvýšiť percentuálny podiel detských domovov zriadených ako domovy detí k detským domovom zriadených ako centrá detí.</w:t>
            </w:r>
            <w:r w:rsidR="00376D71" w:rsidRPr="00BE31D0">
              <w:rPr>
                <w:rFonts w:ascii="Calibri" w:hAnsi="Calibri"/>
                <w:sz w:val="16"/>
                <w:szCs w:val="16"/>
                <w:lang w:eastAsia="en-US"/>
              </w:rPr>
              <w:t xml:space="preserve"> Kapacita podporených objektov v rámci náhradnej starostlivosti môže byť najviac 10 miest v jednej bytovej jednotke a maximálne 1 bytová jednotka v jednom objekte (rodinnom dobe, byte).</w:t>
            </w:r>
          </w:p>
          <w:p w:rsidR="007D4BB2" w:rsidRPr="00BA185A" w:rsidRDefault="007D4BB2" w:rsidP="00376D71">
            <w:pPr>
              <w:pStyle w:val="Style30"/>
              <w:jc w:val="both"/>
              <w:rPr>
                <w:rFonts w:ascii="Calibri" w:hAnsi="Calibri"/>
                <w:sz w:val="16"/>
                <w:szCs w:val="16"/>
                <w:lang w:eastAsia="en-US"/>
              </w:rPr>
            </w:pPr>
          </w:p>
          <w:p w:rsidR="004E2D6C" w:rsidRPr="004E2D6C" w:rsidRDefault="00376D71" w:rsidP="004E2D6C">
            <w:pPr>
              <w:spacing w:before="0"/>
              <w:rPr>
                <w:rFonts w:ascii="Calibri" w:hAnsi="Calibri"/>
                <w:sz w:val="16"/>
                <w:szCs w:val="16"/>
              </w:rPr>
            </w:pPr>
            <w:r w:rsidRPr="00BA185A">
              <w:rPr>
                <w:rFonts w:ascii="Calibri" w:hAnsi="Calibri"/>
                <w:sz w:val="16"/>
                <w:szCs w:val="16"/>
              </w:rPr>
              <w:t xml:space="preserve">- Znížiť počet prípadov/klientov na jedného pracovníka </w:t>
            </w:r>
            <w:r w:rsidRPr="00BA185A">
              <w:rPr>
                <w:rFonts w:ascii="Calibri" w:hAnsi="Calibri"/>
                <w:sz w:val="16"/>
                <w:szCs w:val="16"/>
              </w:rPr>
              <w:lastRenderedPageBreak/>
              <w:t>oddelenia sociálnoprávnej ochrany detí a sociálnej kurately</w:t>
            </w:r>
          </w:p>
        </w:tc>
      </w:tr>
      <w:tr w:rsidR="004E2D6C" w:rsidRPr="004E2D6C" w:rsidTr="00B763E3">
        <w:trPr>
          <w:trHeight w:val="197"/>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4E2D6C" w:rsidRDefault="004E2D6C" w:rsidP="004E2D6C">
            <w:pPr>
              <w:spacing w:before="0"/>
              <w:contextualSpacing/>
              <w:rPr>
                <w:rFonts w:ascii="Calibri" w:hAnsi="Calibri"/>
                <w:color w:val="000000"/>
                <w:sz w:val="16"/>
                <w:szCs w:val="16"/>
                <w:lang w:eastAsia="cs-CZ"/>
              </w:rPr>
            </w:pPr>
            <w:r w:rsidRPr="004E2D6C">
              <w:rPr>
                <w:rFonts w:ascii="Calibri" w:hAnsi="Calibri"/>
                <w:color w:val="000000"/>
                <w:sz w:val="16"/>
                <w:szCs w:val="16"/>
                <w:lang w:eastAsia="cs-CZ"/>
              </w:rPr>
              <w:t>Na žiadosť a podľa potreby sa príslušným zainteresovaným stranám poskytne podpora pri predkladaní žiadostí o projekty a pri vykonávaní a riadení vybraných projektov.</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Nie</w:t>
            </w:r>
          </w:p>
        </w:tc>
        <w:tc>
          <w:tcPr>
            <w:tcW w:w="3119" w:type="dxa"/>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V súčasnosti sa využívajú viaceré možnosti podpory </w:t>
            </w:r>
            <w:r w:rsidR="000A418D">
              <w:rPr>
                <w:rFonts w:ascii="Calibri" w:hAnsi="Calibri"/>
                <w:sz w:val="16"/>
                <w:szCs w:val="16"/>
              </w:rPr>
              <w:br/>
            </w:r>
            <w:r w:rsidRPr="004E2D6C">
              <w:rPr>
                <w:rFonts w:ascii="Calibri" w:hAnsi="Calibri"/>
                <w:sz w:val="16"/>
                <w:szCs w:val="16"/>
              </w:rPr>
              <w:t xml:space="preserve">a informovanosti príslušných záujmových skupín </w:t>
            </w:r>
            <w:r w:rsidR="000A418D">
              <w:rPr>
                <w:rFonts w:ascii="Calibri" w:hAnsi="Calibri"/>
                <w:sz w:val="16"/>
                <w:szCs w:val="16"/>
              </w:rPr>
              <w:br/>
            </w:r>
            <w:r w:rsidRPr="004E2D6C">
              <w:rPr>
                <w:rFonts w:ascii="Calibri" w:hAnsi="Calibri"/>
                <w:sz w:val="16"/>
                <w:szCs w:val="16"/>
              </w:rPr>
              <w:t>a prijímateľov. Pri predkladaní projektov ide najmä o informačné semináre k výzvam a často kladené otázky (FAQ), prostredníctvom ktorých RO a SORO odpovedajú všetkým účastníkom. V procese implementácie sú podporovaní zo strany projektových manažérov RO a SORO. Do budúcnosti sa hľadajú rôzne ďalšie možnosti podpory.</w:t>
            </w:r>
          </w:p>
        </w:tc>
      </w:tr>
      <w:tr w:rsidR="004E2D6C" w:rsidRPr="004E2D6C" w:rsidTr="00B763E3">
        <w:trPr>
          <w:trHeight w:val="2478"/>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9.2. Zavedený je národný strategický politický rámec integrácie Rómov.</w:t>
            </w:r>
          </w:p>
        </w:tc>
        <w:tc>
          <w:tcPr>
            <w:tcW w:w="1559" w:type="dxa"/>
            <w:vMerge w:val="restart"/>
            <w:tcBorders>
              <w:top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Čiastočne</w:t>
            </w:r>
          </w:p>
        </w:tc>
        <w:tc>
          <w:tcPr>
            <w:tcW w:w="2551" w:type="dxa"/>
            <w:tcBorders>
              <w:top w:val="single" w:sz="12" w:space="0" w:color="auto"/>
            </w:tcBorders>
            <w:vAlign w:val="center"/>
          </w:tcPr>
          <w:p w:rsidR="004E2D6C" w:rsidRPr="004E2D6C" w:rsidRDefault="004E2D6C" w:rsidP="004E2D6C">
            <w:pPr>
              <w:autoSpaceDE w:val="0"/>
              <w:autoSpaceDN w:val="0"/>
              <w:adjustRightInd w:val="0"/>
              <w:spacing w:before="0"/>
              <w:rPr>
                <w:rFonts w:ascii="Calibri" w:hAnsi="Calibri"/>
                <w:color w:val="000000"/>
                <w:sz w:val="16"/>
                <w:szCs w:val="16"/>
                <w:lang w:eastAsia="sk-SK"/>
              </w:rPr>
            </w:pPr>
            <w:r w:rsidRPr="004E2D6C">
              <w:rPr>
                <w:rFonts w:ascii="Calibri" w:hAnsi="Calibri"/>
                <w:color w:val="000000"/>
                <w:sz w:val="16"/>
                <w:szCs w:val="16"/>
                <w:lang w:eastAsia="sk-SK"/>
              </w:rPr>
              <w:t>Zavedený je národný strategický politický rámec integrácie Rómov, ktorý:</w:t>
            </w:r>
          </w:p>
          <w:p w:rsidR="004E2D6C" w:rsidRPr="005A192A" w:rsidRDefault="004E2D6C" w:rsidP="001C5C9E">
            <w:pPr>
              <w:pStyle w:val="Odsekzoznamu"/>
              <w:numPr>
                <w:ilvl w:val="0"/>
                <w:numId w:val="111"/>
              </w:numPr>
              <w:tabs>
                <w:tab w:val="left" w:pos="343"/>
              </w:tabs>
              <w:autoSpaceDE w:val="0"/>
              <w:autoSpaceDN w:val="0"/>
              <w:adjustRightInd w:val="0"/>
              <w:spacing w:before="0"/>
              <w:ind w:left="175" w:hanging="141"/>
              <w:rPr>
                <w:rFonts w:ascii="Calibri" w:hAnsi="Calibri"/>
                <w:color w:val="000000"/>
                <w:sz w:val="16"/>
                <w:szCs w:val="16"/>
                <w:lang w:eastAsia="sk-SK"/>
              </w:rPr>
            </w:pPr>
            <w:r w:rsidRPr="005A192A">
              <w:rPr>
                <w:rFonts w:ascii="Calibri" w:hAnsi="Calibri"/>
                <w:color w:val="000000"/>
                <w:sz w:val="16"/>
                <w:szCs w:val="16"/>
                <w:lang w:eastAsia="sk-SK"/>
              </w:rPr>
              <w:t xml:space="preserve">stanovuje dosiahnuteľné národné  ciele pre integráciu Rómov na premostenie medzery existujúcej vo vzťahu k ostatnému obyvateľstvu. Tieto ciele by mali riešiť štyri ciele Únie týkajúce sa integrácie Rómov, ktoré zahŕňajú prístup ku vzdelaniu, zamestnaniu, zdravotnej starostlivosti a bývaniu, </w:t>
            </w:r>
          </w:p>
        </w:tc>
        <w:tc>
          <w:tcPr>
            <w:tcW w:w="1134" w:type="dxa"/>
            <w:tcBorders>
              <w:top w:val="single" w:sz="12" w:space="0" w:color="auto"/>
            </w:tcBorders>
            <w:vAlign w:val="center"/>
          </w:tcPr>
          <w:p w:rsidR="004E2D6C" w:rsidRPr="004E2D6C" w:rsidRDefault="004E2D6C" w:rsidP="00535799">
            <w:pPr>
              <w:spacing w:before="0"/>
              <w:jc w:val="center"/>
              <w:rPr>
                <w:rFonts w:ascii="Calibri" w:hAnsi="Calibri"/>
                <w:b/>
                <w:sz w:val="16"/>
                <w:szCs w:val="16"/>
              </w:rPr>
            </w:pPr>
            <w:r w:rsidRPr="004E2D6C">
              <w:rPr>
                <w:rFonts w:ascii="Calibri" w:hAnsi="Calibri"/>
                <w:b/>
                <w:sz w:val="16"/>
                <w:szCs w:val="16"/>
              </w:rPr>
              <w:t>Áno</w:t>
            </w:r>
          </w:p>
        </w:tc>
        <w:tc>
          <w:tcPr>
            <w:tcW w:w="3119" w:type="dxa"/>
            <w:tcBorders>
              <w:top w:val="single" w:sz="12" w:space="0" w:color="auto"/>
            </w:tcBorders>
          </w:tcPr>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 xml:space="preserve">Stratégia Slovenskej republiky pre integráciu Rómov do roku 2020 (ďalej len "Stratégia") </w:t>
            </w:r>
            <w:hyperlink r:id="rId127" w:history="1">
              <w:r w:rsidRPr="002900D1">
                <w:rPr>
                  <w:rFonts w:asciiTheme="majorHAnsi" w:hAnsiTheme="majorHAnsi"/>
                  <w:color w:val="0000FF"/>
                  <w:sz w:val="16"/>
                  <w:szCs w:val="16"/>
                  <w:u w:val="single"/>
                </w:rPr>
                <w:t>http://www.rokovania.sk/Rokovanie.aspx/BodRokovaniaDetail?idMaterial=20646</w:t>
              </w:r>
            </w:hyperlink>
          </w:p>
          <w:p w:rsidR="004E2D6C" w:rsidRPr="002900D1" w:rsidRDefault="004E2D6C" w:rsidP="004E2D6C">
            <w:pPr>
              <w:spacing w:before="0"/>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 xml:space="preserve">Stratégia a Revidovaný národný akčný plán Dekády začleňovania rómskej populácie 2005 – 2015 sú zverejnené na </w:t>
            </w:r>
            <w:hyperlink r:id="rId128" w:history="1">
              <w:r w:rsidRPr="002900D1">
                <w:rPr>
                  <w:rFonts w:asciiTheme="majorHAnsi" w:hAnsiTheme="majorHAnsi"/>
                  <w:color w:val="0000FF"/>
                  <w:sz w:val="16"/>
                  <w:szCs w:val="16"/>
                  <w:u w:val="single"/>
                </w:rPr>
                <w:t>http://www.minv.sk/?romske-komunity-uvod</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66"/>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2"/>
              </w:numPr>
              <w:tabs>
                <w:tab w:val="left" w:pos="193"/>
                <w:tab w:val="left" w:pos="354"/>
              </w:tabs>
              <w:autoSpaceDE w:val="0"/>
              <w:autoSpaceDN w:val="0"/>
              <w:adjustRightInd w:val="0"/>
              <w:spacing w:before="0"/>
              <w:ind w:left="175" w:hanging="141"/>
              <w:rPr>
                <w:rFonts w:ascii="Calibri" w:hAnsi="Calibri"/>
                <w:color w:val="000000"/>
                <w:sz w:val="16"/>
                <w:szCs w:val="16"/>
                <w:lang w:eastAsia="sk-SK"/>
              </w:rPr>
            </w:pPr>
            <w:r w:rsidRPr="005A192A">
              <w:rPr>
                <w:rFonts w:ascii="Calibri" w:hAnsi="Calibri"/>
                <w:color w:val="000000"/>
                <w:sz w:val="16"/>
                <w:szCs w:val="16"/>
                <w:lang w:eastAsia="sk-SK"/>
              </w:rPr>
              <w:t xml:space="preserve">v príslušných prípadoch identifikuje znevýhodnené mikroregióny alebo segregované štvrte, kde žijú najodkázanejšie komunity, s použitím už dostupných sociálno-ekonomických a územných ukazovateľov (t. j. veľmi nízka úroveň vzdelanosti, dlhodobá nezamestnanosť atď.), </w:t>
            </w:r>
          </w:p>
        </w:tc>
        <w:tc>
          <w:tcPr>
            <w:tcW w:w="1134" w:type="dxa"/>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Áno</w:t>
            </w:r>
          </w:p>
        </w:tc>
        <w:tc>
          <w:tcPr>
            <w:tcW w:w="3119" w:type="dxa"/>
          </w:tcPr>
          <w:p w:rsidR="004E2D6C" w:rsidRPr="004E2D6C" w:rsidRDefault="00376D71" w:rsidP="007D4BB2">
            <w:pPr>
              <w:spacing w:before="0"/>
              <w:rPr>
                <w:rFonts w:ascii="Calibri" w:hAnsi="Calibri"/>
                <w:sz w:val="16"/>
                <w:szCs w:val="16"/>
              </w:rPr>
            </w:pPr>
            <w:r w:rsidRPr="004E2D6C">
              <w:rPr>
                <w:rFonts w:ascii="Calibri" w:hAnsi="Calibri"/>
                <w:sz w:val="16"/>
                <w:szCs w:val="16"/>
              </w:rPr>
              <w:t xml:space="preserve">S cieľom získať dostupné informácie </w:t>
            </w:r>
            <w:r w:rsidR="000A418D">
              <w:rPr>
                <w:rFonts w:ascii="Calibri" w:hAnsi="Calibri"/>
                <w:sz w:val="16"/>
                <w:szCs w:val="16"/>
              </w:rPr>
              <w:br/>
            </w:r>
            <w:r w:rsidRPr="00DA5B74">
              <w:rPr>
                <w:rFonts w:ascii="Calibri" w:hAnsi="Calibri"/>
                <w:sz w:val="16"/>
                <w:szCs w:val="16"/>
              </w:rPr>
              <w:t>o životných podmienkach obyvateľov rómskych komunít</w:t>
            </w:r>
            <w:r>
              <w:rPr>
                <w:rFonts w:ascii="Calibri" w:hAnsi="Calibri"/>
                <w:sz w:val="16"/>
                <w:szCs w:val="16"/>
              </w:rPr>
              <w:t xml:space="preserve"> </w:t>
            </w:r>
            <w:r w:rsidRPr="004E2D6C">
              <w:rPr>
                <w:rFonts w:ascii="Calibri" w:hAnsi="Calibri"/>
                <w:sz w:val="16"/>
                <w:szCs w:val="16"/>
              </w:rPr>
              <w:t xml:space="preserve">bol vytvorený </w:t>
            </w:r>
            <w:r>
              <w:rPr>
                <w:rFonts w:ascii="Calibri" w:hAnsi="Calibri"/>
                <w:sz w:val="16"/>
                <w:szCs w:val="16"/>
              </w:rPr>
              <w:t xml:space="preserve">v roku 2004 </w:t>
            </w:r>
            <w:r w:rsidRPr="00966411">
              <w:rPr>
                <w:rFonts w:ascii="Calibri" w:hAnsi="Calibri"/>
                <w:sz w:val="16"/>
                <w:szCs w:val="16"/>
              </w:rPr>
              <w:t>Atlas rómskych komunít.</w:t>
            </w:r>
            <w:r w:rsidRPr="004E2D6C">
              <w:rPr>
                <w:rFonts w:ascii="Calibri" w:hAnsi="Calibri"/>
                <w:sz w:val="16"/>
                <w:szCs w:val="16"/>
              </w:rPr>
              <w:t xml:space="preserve"> Zohľadňujúc rastúcu požiadavku </w:t>
            </w:r>
            <w:r w:rsidRPr="00DA5B74">
              <w:rPr>
                <w:rFonts w:ascii="Calibri" w:hAnsi="Calibri"/>
                <w:sz w:val="16"/>
                <w:szCs w:val="16"/>
              </w:rPr>
              <w:t xml:space="preserve">na monitorovanie </w:t>
            </w:r>
            <w:r w:rsidR="000A418D">
              <w:rPr>
                <w:rFonts w:ascii="Calibri" w:hAnsi="Calibri"/>
                <w:sz w:val="16"/>
                <w:szCs w:val="16"/>
              </w:rPr>
              <w:br/>
            </w:r>
            <w:r w:rsidRPr="00DA5B74">
              <w:rPr>
                <w:rFonts w:ascii="Calibri" w:hAnsi="Calibri"/>
                <w:sz w:val="16"/>
                <w:szCs w:val="16"/>
              </w:rPr>
              <w:t xml:space="preserve">a </w:t>
            </w:r>
            <w:r>
              <w:rPr>
                <w:rFonts w:ascii="Calibri" w:hAnsi="Calibri"/>
                <w:sz w:val="16"/>
                <w:szCs w:val="16"/>
              </w:rPr>
              <w:t>hodnotenie</w:t>
            </w:r>
            <w:r w:rsidRPr="00DA5B74">
              <w:rPr>
                <w:rFonts w:ascii="Calibri" w:hAnsi="Calibri"/>
                <w:sz w:val="16"/>
                <w:szCs w:val="16"/>
              </w:rPr>
              <w:t xml:space="preserve"> verejných politík cielených na túto skupinu obyvateľov, United Nations D</w:t>
            </w:r>
            <w:r>
              <w:rPr>
                <w:rFonts w:ascii="Calibri" w:hAnsi="Calibri"/>
                <w:sz w:val="16"/>
                <w:szCs w:val="16"/>
              </w:rPr>
              <w:t>evelopment Pogramme (</w:t>
            </w:r>
            <w:r w:rsidRPr="004E2D6C">
              <w:rPr>
                <w:rFonts w:ascii="Calibri" w:hAnsi="Calibri"/>
                <w:sz w:val="16"/>
                <w:szCs w:val="16"/>
              </w:rPr>
              <w:t>UNDP</w:t>
            </w:r>
            <w:r>
              <w:rPr>
                <w:rFonts w:ascii="Calibri" w:hAnsi="Calibri"/>
                <w:sz w:val="16"/>
                <w:szCs w:val="16"/>
              </w:rPr>
              <w:t>)</w:t>
            </w:r>
            <w:r w:rsidRPr="004E2D6C">
              <w:rPr>
                <w:rFonts w:ascii="Calibri" w:hAnsi="Calibri"/>
                <w:sz w:val="16"/>
                <w:szCs w:val="16"/>
              </w:rPr>
              <w:t xml:space="preserve"> </w:t>
            </w:r>
            <w:r w:rsidR="000A418D">
              <w:rPr>
                <w:rFonts w:ascii="Calibri" w:hAnsi="Calibri"/>
                <w:sz w:val="16"/>
                <w:szCs w:val="16"/>
              </w:rPr>
              <w:br/>
            </w:r>
            <w:r w:rsidRPr="004E2D6C">
              <w:rPr>
                <w:rFonts w:ascii="Calibri" w:hAnsi="Calibri"/>
                <w:sz w:val="16"/>
                <w:szCs w:val="16"/>
              </w:rPr>
              <w:t xml:space="preserve">v spolupráci s </w:t>
            </w:r>
            <w:r w:rsidRPr="00DA5B74">
              <w:rPr>
                <w:rFonts w:ascii="Calibri" w:hAnsi="Calibri"/>
                <w:sz w:val="16"/>
                <w:szCs w:val="16"/>
              </w:rPr>
              <w:t>Ústavom Rómskych štúdií Prešovskej univerzity</w:t>
            </w:r>
            <w:r w:rsidR="007D4BB2">
              <w:rPr>
                <w:rFonts w:ascii="Calibri" w:hAnsi="Calibri"/>
                <w:sz w:val="16"/>
                <w:szCs w:val="16"/>
              </w:rPr>
              <w:t xml:space="preserve">, </w:t>
            </w:r>
            <w:r w:rsidRPr="004E2D6C">
              <w:rPr>
                <w:rFonts w:ascii="Calibri" w:hAnsi="Calibri"/>
                <w:sz w:val="16"/>
                <w:szCs w:val="16"/>
              </w:rPr>
              <w:t>Úradom splnomocnenca vlády SR pre rómske komunity</w:t>
            </w:r>
            <w:r>
              <w:rPr>
                <w:rFonts w:ascii="Calibri" w:hAnsi="Calibri"/>
                <w:sz w:val="16"/>
                <w:szCs w:val="16"/>
              </w:rPr>
              <w:t xml:space="preserve"> (ÚSVRK)</w:t>
            </w:r>
            <w:r w:rsidRPr="004E2D6C">
              <w:rPr>
                <w:rFonts w:ascii="Calibri" w:hAnsi="Calibri"/>
                <w:sz w:val="16"/>
                <w:szCs w:val="16"/>
              </w:rPr>
              <w:t xml:space="preserve">  a Združením miest a</w:t>
            </w:r>
            <w:r w:rsidR="007D4BB2">
              <w:rPr>
                <w:rFonts w:ascii="Calibri" w:hAnsi="Calibri"/>
                <w:sz w:val="16"/>
                <w:szCs w:val="16"/>
              </w:rPr>
              <w:t> </w:t>
            </w:r>
            <w:r w:rsidRPr="004E2D6C">
              <w:rPr>
                <w:rFonts w:ascii="Calibri" w:hAnsi="Calibri"/>
                <w:sz w:val="16"/>
                <w:szCs w:val="16"/>
              </w:rPr>
              <w:t>obcí</w:t>
            </w:r>
            <w:r w:rsidR="007D4BB2">
              <w:rPr>
                <w:rFonts w:ascii="Calibri" w:hAnsi="Calibri"/>
                <w:sz w:val="16"/>
                <w:szCs w:val="16"/>
              </w:rPr>
              <w:t xml:space="preserve"> </w:t>
            </w:r>
            <w:r w:rsidR="007D4BB2">
              <w:rPr>
                <w:rFonts w:ascii="Calibri" w:hAnsi="Calibri"/>
                <w:sz w:val="16"/>
                <w:szCs w:val="16"/>
              </w:rPr>
              <w:lastRenderedPageBreak/>
              <w:t>Slovenska</w:t>
            </w:r>
            <w:r w:rsidRPr="004E2D6C">
              <w:rPr>
                <w:rFonts w:ascii="Calibri" w:hAnsi="Calibri"/>
                <w:sz w:val="16"/>
                <w:szCs w:val="16"/>
              </w:rPr>
              <w:t xml:space="preserve"> (ZMOS) vypracoval v roku 2013 nové vydanie </w:t>
            </w:r>
            <w:r w:rsidRPr="004E2D6C">
              <w:rPr>
                <w:rFonts w:ascii="Calibri" w:hAnsi="Calibri"/>
                <w:i/>
                <w:sz w:val="16"/>
                <w:szCs w:val="16"/>
              </w:rPr>
              <w:t>Atlasu rómskych komunít 2013</w:t>
            </w:r>
            <w:r w:rsidRPr="004E2D6C">
              <w:rPr>
                <w:rFonts w:ascii="Calibri" w:hAnsi="Calibri"/>
                <w:sz w:val="16"/>
                <w:szCs w:val="16"/>
              </w:rPr>
              <w:t xml:space="preserve">. </w:t>
            </w:r>
            <w:hyperlink r:id="rId129" w:history="1">
              <w:r w:rsidRPr="004E2D6C">
                <w:rPr>
                  <w:rFonts w:ascii="Calibri" w:hAnsi="Calibri"/>
                  <w:color w:val="0000FF"/>
                  <w:sz w:val="16"/>
                  <w:szCs w:val="16"/>
                  <w:u w:val="single"/>
                </w:rPr>
                <w:t>http://www.minv.sk/?atlas_2013</w:t>
              </w:r>
            </w:hyperlink>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66"/>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2"/>
              </w:numPr>
              <w:tabs>
                <w:tab w:val="left" w:pos="223"/>
                <w:tab w:val="left" w:pos="373"/>
              </w:tabs>
              <w:autoSpaceDE w:val="0"/>
              <w:autoSpaceDN w:val="0"/>
              <w:adjustRightInd w:val="0"/>
              <w:spacing w:before="0"/>
              <w:ind w:left="175" w:hanging="141"/>
              <w:rPr>
                <w:rFonts w:ascii="Calibri" w:hAnsi="Calibri"/>
                <w:color w:val="000000"/>
                <w:sz w:val="16"/>
                <w:szCs w:val="16"/>
                <w:lang w:eastAsia="sk-SK"/>
              </w:rPr>
            </w:pPr>
            <w:r w:rsidRPr="005A192A">
              <w:rPr>
                <w:rFonts w:ascii="Calibri" w:hAnsi="Calibri"/>
                <w:color w:val="000000"/>
                <w:sz w:val="16"/>
                <w:szCs w:val="16"/>
                <w:lang w:eastAsia="sk-SK"/>
              </w:rPr>
              <w:t xml:space="preserve">zahŕňa výkonné metódy sledovania na posúdenie vplyvu opatrení na integráciu Rómov a mechanizmy preskúmania na prispôsobovanie stratégie, </w:t>
            </w:r>
          </w:p>
        </w:tc>
        <w:tc>
          <w:tcPr>
            <w:tcW w:w="1134" w:type="dxa"/>
            <w:vAlign w:val="center"/>
          </w:tcPr>
          <w:p w:rsidR="004E2D6C" w:rsidRPr="004E2D6C" w:rsidRDefault="00DE7A5C" w:rsidP="00535799">
            <w:pPr>
              <w:spacing w:before="0"/>
              <w:jc w:val="center"/>
              <w:rPr>
                <w:rFonts w:ascii="Calibri" w:hAnsi="Calibri"/>
                <w:sz w:val="16"/>
                <w:szCs w:val="16"/>
              </w:rPr>
            </w:pPr>
            <w:r>
              <w:rPr>
                <w:rFonts w:ascii="Calibri" w:hAnsi="Calibri"/>
                <w:b/>
                <w:sz w:val="16"/>
                <w:szCs w:val="16"/>
              </w:rPr>
              <w:t>Nie</w:t>
            </w:r>
          </w:p>
        </w:tc>
        <w:tc>
          <w:tcPr>
            <w:tcW w:w="3119" w:type="dxa"/>
          </w:tcPr>
          <w:p w:rsidR="004E2D6C" w:rsidRPr="002900D1" w:rsidRDefault="004E2D6C" w:rsidP="004E2D6C">
            <w:pPr>
              <w:spacing w:before="0"/>
              <w:rPr>
                <w:rFonts w:asciiTheme="majorHAnsi" w:hAnsiTheme="majorHAnsi"/>
                <w:color w:val="0000FF"/>
                <w:sz w:val="16"/>
                <w:szCs w:val="16"/>
                <w:u w:val="single"/>
              </w:rPr>
            </w:pPr>
            <w:r w:rsidRPr="004E2D6C">
              <w:rPr>
                <w:rFonts w:ascii="Calibri" w:hAnsi="Calibri"/>
                <w:sz w:val="16"/>
                <w:szCs w:val="16"/>
              </w:rPr>
              <w:t xml:space="preserve">V rámci interných kapacít </w:t>
            </w:r>
            <w:r w:rsidR="00376D71">
              <w:rPr>
                <w:rFonts w:ascii="Calibri" w:hAnsi="Calibri"/>
                <w:sz w:val="16"/>
                <w:szCs w:val="16"/>
              </w:rPr>
              <w:t>ÚSVRK</w:t>
            </w:r>
            <w:r w:rsidRPr="004E2D6C">
              <w:rPr>
                <w:rFonts w:ascii="Calibri" w:hAnsi="Calibri"/>
                <w:sz w:val="16"/>
                <w:szCs w:val="16"/>
              </w:rPr>
              <w:t xml:space="preserve"> bol vytvorený návrh štandardizovanej podoby monitorovacích a hodnotiacich správ, ktorý bol konzultovaný so zástupcami mimovládnych organizáci</w:t>
            </w:r>
            <w:r w:rsidR="007D4BB2">
              <w:rPr>
                <w:rFonts w:ascii="Calibri" w:hAnsi="Calibri"/>
                <w:sz w:val="16"/>
                <w:szCs w:val="16"/>
              </w:rPr>
              <w:t>í</w:t>
            </w:r>
            <w:r w:rsidRPr="004E2D6C">
              <w:rPr>
                <w:rFonts w:ascii="Calibri" w:hAnsi="Calibri"/>
                <w:sz w:val="16"/>
                <w:szCs w:val="16"/>
              </w:rPr>
              <w:t xml:space="preserve"> a UNDP, ktorí majú skúsenosti v oblasti analytických činností, monitorovania a hodnotenia. Výstupom bolo zadefinovanie schémy </w:t>
            </w:r>
            <w:r w:rsidRPr="002900D1">
              <w:rPr>
                <w:rFonts w:asciiTheme="majorHAnsi" w:hAnsiTheme="majorHAnsi"/>
                <w:sz w:val="16"/>
                <w:szCs w:val="16"/>
              </w:rPr>
              <w:t>monitorovania, členenej do troch základných línií: a) Technicko-administratívna línia, b) Kvalitatívna línia, c) Línia externého monitorovania - zverejnenie výsledkov výberového konania na externé hodnotenie a monitoring Stratégie</w:t>
            </w:r>
            <w:r w:rsidR="007D4BB2" w:rsidRPr="002900D1">
              <w:rPr>
                <w:rFonts w:asciiTheme="majorHAnsi" w:hAnsiTheme="majorHAnsi"/>
                <w:sz w:val="16"/>
                <w:szCs w:val="16"/>
              </w:rPr>
              <w:t>.</w:t>
            </w:r>
            <w:r w:rsidRPr="002900D1">
              <w:rPr>
                <w:rFonts w:asciiTheme="majorHAnsi" w:hAnsiTheme="majorHAnsi"/>
                <w:sz w:val="16"/>
                <w:szCs w:val="16"/>
              </w:rPr>
              <w:t xml:space="preserve"> </w:t>
            </w:r>
            <w:hyperlink r:id="rId130" w:history="1">
              <w:r w:rsidRPr="002900D1">
                <w:rPr>
                  <w:rFonts w:asciiTheme="majorHAnsi" w:hAnsiTheme="majorHAnsi"/>
                  <w:color w:val="0000FF"/>
                  <w:sz w:val="16"/>
                  <w:szCs w:val="16"/>
                  <w:u w:val="single"/>
                </w:rPr>
                <w:t>http://www.minv.sk/?zoznam-schvalenych-ziadosti-o-dotaciu-na-zaklade-na-zaklade-vyzvy-c-i-usvrk-2013</w:t>
              </w:r>
            </w:hyperlink>
          </w:p>
          <w:p w:rsidR="00376D71" w:rsidRPr="002900D1" w:rsidRDefault="00376D71" w:rsidP="00376D71">
            <w:pPr>
              <w:spacing w:before="0"/>
              <w:rPr>
                <w:rFonts w:asciiTheme="majorHAnsi" w:hAnsiTheme="majorHAnsi"/>
                <w:sz w:val="16"/>
                <w:szCs w:val="16"/>
              </w:rPr>
            </w:pPr>
            <w:r w:rsidRPr="002900D1">
              <w:rPr>
                <w:rFonts w:asciiTheme="majorHAnsi" w:hAnsiTheme="majorHAnsi"/>
                <w:sz w:val="16"/>
                <w:szCs w:val="16"/>
              </w:rPr>
              <w:t>Súčasťou systému monitorovania Stratégie sú aj výročné konferencie, ktoré ÚSVRK organizuje každoročne z dôvodu sledovania progresu pri plnení opatrení financovaných z prostriedkov EÚ</w:t>
            </w:r>
            <w:r w:rsidR="00C741AD" w:rsidRPr="002900D1">
              <w:rPr>
                <w:rFonts w:asciiTheme="majorHAnsi" w:hAnsiTheme="majorHAnsi"/>
                <w:sz w:val="16"/>
                <w:szCs w:val="16"/>
              </w:rPr>
              <w:t>.</w:t>
            </w:r>
          </w:p>
          <w:p w:rsidR="00376D71" w:rsidRPr="002900D1" w:rsidRDefault="00376D71" w:rsidP="004E2D6C">
            <w:pPr>
              <w:spacing w:before="0"/>
              <w:rPr>
                <w:rFonts w:asciiTheme="majorHAnsi" w:hAnsiTheme="majorHAnsi"/>
                <w:sz w:val="16"/>
                <w:szCs w:val="16"/>
              </w:rPr>
            </w:pPr>
            <w:r w:rsidRPr="002900D1">
              <w:rPr>
                <w:rFonts w:asciiTheme="majorHAnsi" w:hAnsiTheme="majorHAnsi"/>
                <w:sz w:val="16"/>
                <w:szCs w:val="16"/>
              </w:rPr>
              <w:t xml:space="preserve"> </w:t>
            </w:r>
            <w:hyperlink r:id="rId131" w:history="1">
              <w:r w:rsidRPr="002900D1">
                <w:rPr>
                  <w:rStyle w:val="Hypertextovprepojenie"/>
                  <w:rFonts w:asciiTheme="majorHAnsi" w:hAnsiTheme="majorHAnsi"/>
                  <w:sz w:val="16"/>
                  <w:szCs w:val="16"/>
                </w:rPr>
                <w:t>http://www.minv.sk/?aktualne_info</w:t>
              </w:r>
            </w:hyperlink>
            <w:r w:rsidRPr="002900D1">
              <w:rPr>
                <w:rFonts w:asciiTheme="majorHAnsi" w:hAnsiTheme="majorHAnsi"/>
                <w:sz w:val="16"/>
                <w:szCs w:val="16"/>
              </w:rPr>
              <w:t xml:space="preserve">  </w:t>
            </w: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 xml:space="preserve">V Stratégii boli v každej prioritnej oblasti zadefinované konkrétne merateľné ukazovatele, a to tak, aby objektívne odzrkadľovali sledované ciele, zároveň v kapitole F.2, str. 65 „Indikátory a postupy monitorovania a evaluácie“ boli zadefinované postupy monitorovania a hodnotenia. </w:t>
            </w:r>
            <w:hyperlink r:id="rId132" w:history="1">
              <w:r w:rsidRPr="002900D1">
                <w:rPr>
                  <w:rFonts w:asciiTheme="majorHAnsi" w:hAnsiTheme="majorHAnsi"/>
                  <w:color w:val="0000FF"/>
                  <w:sz w:val="16"/>
                  <w:szCs w:val="16"/>
                  <w:u w:val="single"/>
                </w:rPr>
                <w:t>http://www.minv.sk/swift_data/source/romovia/dokumenty/StrategiaSR_integraciaRomov.pdf</w:t>
              </w:r>
            </w:hyperlink>
          </w:p>
          <w:p w:rsidR="004E2D6C" w:rsidRPr="004E2D6C" w:rsidRDefault="00376D71" w:rsidP="004E2D6C">
            <w:pPr>
              <w:spacing w:before="0"/>
              <w:rPr>
                <w:rFonts w:ascii="Calibri" w:hAnsi="Calibri"/>
                <w:sz w:val="16"/>
                <w:szCs w:val="16"/>
              </w:rPr>
            </w:pPr>
            <w:r w:rsidRPr="002900D1">
              <w:rPr>
                <w:rFonts w:asciiTheme="majorHAnsi" w:hAnsiTheme="majorHAnsi"/>
                <w:sz w:val="16"/>
                <w:szCs w:val="16"/>
              </w:rPr>
              <w:t xml:space="preserve">V návrhu PO 4 Integrácia marginalizovaných rómskych komunít OP ĽZ sa uvádza: </w:t>
            </w:r>
            <w:r w:rsidR="004E2D6C" w:rsidRPr="002900D1">
              <w:rPr>
                <w:rFonts w:asciiTheme="majorHAnsi" w:hAnsiTheme="majorHAnsi"/>
                <w:sz w:val="16"/>
                <w:szCs w:val="16"/>
              </w:rPr>
              <w:lastRenderedPageBreak/>
              <w:t>Komplexný zber dát o MRK počas programového obdobia 2014 - 2020 prostredníctvom širokoškálových kvantitatívnych výskumov (napr. Atlas, výberové zisťovania v</w:t>
            </w:r>
            <w:r w:rsidR="004E2D6C" w:rsidRPr="004E2D6C">
              <w:rPr>
                <w:rFonts w:ascii="Calibri" w:hAnsi="Calibri"/>
                <w:sz w:val="16"/>
                <w:szCs w:val="16"/>
              </w:rPr>
              <w:t> marginalizovaných rómskych domácnostiach, atď.)</w:t>
            </w:r>
            <w:r w:rsidR="00C741AD">
              <w:rPr>
                <w:rFonts w:ascii="Calibri" w:hAnsi="Calibri"/>
                <w:sz w:val="16"/>
                <w:szCs w:val="16"/>
              </w:rPr>
              <w:t>,</w:t>
            </w:r>
            <w:r w:rsidR="004E2D6C" w:rsidRPr="004E2D6C">
              <w:rPr>
                <w:rFonts w:ascii="Calibri" w:hAnsi="Calibri"/>
                <w:sz w:val="16"/>
                <w:szCs w:val="16"/>
              </w:rPr>
              <w:t xml:space="preserve"> ako aj kvalitatívnych zisťovaní a pilotných výskumných projektov bude zabezpečený formou 7-ročného národného projektu. Súčasťou zámeru bude analýza dát a vyhodnocovanie, ktoré umožní vyhodnotiť efektívnosť jednotlivých nástrojov politík a ich dopad na MRK.</w:t>
            </w:r>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66"/>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691C8F">
            <w:pPr>
              <w:pStyle w:val="Odsekzoznamu"/>
              <w:numPr>
                <w:ilvl w:val="0"/>
                <w:numId w:val="112"/>
              </w:numPr>
              <w:tabs>
                <w:tab w:val="left" w:pos="223"/>
                <w:tab w:val="left" w:pos="373"/>
              </w:tabs>
              <w:autoSpaceDE w:val="0"/>
              <w:autoSpaceDN w:val="0"/>
              <w:adjustRightInd w:val="0"/>
              <w:spacing w:before="0"/>
              <w:ind w:left="175" w:hanging="175"/>
              <w:rPr>
                <w:rFonts w:ascii="Calibri" w:hAnsi="Calibri"/>
                <w:color w:val="000000"/>
                <w:sz w:val="16"/>
                <w:szCs w:val="16"/>
                <w:lang w:eastAsia="sk-SK"/>
              </w:rPr>
            </w:pPr>
            <w:r w:rsidRPr="005A192A">
              <w:rPr>
                <w:rFonts w:ascii="Calibri" w:hAnsi="Calibri"/>
                <w:color w:val="000000"/>
                <w:sz w:val="16"/>
                <w:szCs w:val="16"/>
                <w:lang w:eastAsia="sk-SK"/>
              </w:rPr>
              <w:t xml:space="preserve">je navrhnutá, vykonáva sa a monitoruje v úzkej spolupráci a neustálom dialógu s rómskou občianskou spoločnosťou, regionálnymi a miestnymi orgánmi verejnej správy. </w:t>
            </w:r>
          </w:p>
        </w:tc>
        <w:tc>
          <w:tcPr>
            <w:tcW w:w="1134" w:type="dxa"/>
            <w:vAlign w:val="center"/>
          </w:tcPr>
          <w:p w:rsidR="004E2D6C" w:rsidRPr="004E2D6C" w:rsidRDefault="00376D71" w:rsidP="00535799">
            <w:pPr>
              <w:spacing w:before="0"/>
              <w:jc w:val="center"/>
              <w:rPr>
                <w:rFonts w:ascii="Calibri" w:hAnsi="Calibri"/>
                <w:b/>
                <w:sz w:val="16"/>
                <w:szCs w:val="16"/>
              </w:rPr>
            </w:pPr>
            <w:r>
              <w:rPr>
                <w:rFonts w:ascii="Calibri" w:hAnsi="Calibri"/>
                <w:b/>
                <w:sz w:val="16"/>
                <w:szCs w:val="16"/>
              </w:rPr>
              <w:t>Nie</w:t>
            </w:r>
          </w:p>
        </w:tc>
        <w:tc>
          <w:tcPr>
            <w:tcW w:w="3119" w:type="dxa"/>
          </w:tcPr>
          <w:p w:rsidR="004E2D6C" w:rsidRPr="004E2D6C" w:rsidRDefault="004E2D6C" w:rsidP="005D5322">
            <w:pPr>
              <w:spacing w:before="0"/>
              <w:rPr>
                <w:rFonts w:ascii="Calibri" w:hAnsi="Calibri"/>
                <w:sz w:val="16"/>
                <w:szCs w:val="16"/>
              </w:rPr>
            </w:pPr>
            <w:r w:rsidRPr="004E2D6C">
              <w:rPr>
                <w:rFonts w:ascii="Calibri" w:hAnsi="Calibri"/>
                <w:sz w:val="16"/>
                <w:szCs w:val="16"/>
              </w:rPr>
              <w:t xml:space="preserve"> </w:t>
            </w:r>
          </w:p>
        </w:tc>
        <w:tc>
          <w:tcPr>
            <w:tcW w:w="4111" w:type="dxa"/>
            <w:tcBorders>
              <w:right w:val="single" w:sz="12" w:space="0" w:color="auto"/>
            </w:tcBorders>
          </w:tcPr>
          <w:p w:rsidR="00376D71" w:rsidRDefault="00376D71" w:rsidP="00376D71">
            <w:pPr>
              <w:spacing w:before="0"/>
              <w:rPr>
                <w:rFonts w:ascii="Calibri" w:hAnsi="Calibri"/>
                <w:sz w:val="16"/>
                <w:szCs w:val="16"/>
              </w:rPr>
            </w:pPr>
            <w:r w:rsidRPr="004E2D6C">
              <w:rPr>
                <w:rFonts w:ascii="Calibri" w:hAnsi="Calibri"/>
                <w:sz w:val="16"/>
                <w:szCs w:val="16"/>
              </w:rPr>
              <w:t>Stratégia bola koncipovaná na participatívnej viacsektorálnej úrovni. Proces tvorby prebiehal vo forme konzultácií s predstaviteľmi príslušných ministerstiev, štátnej správy, samosprávy, rómskych i nerómskych mimovládnych organizácií, akademickými autoritami na regionálnej a národnej úrovni. Zodpovednosť a vykonávanie aktivít v rámci jednotlivých oblastí bližšie popisuje Revidovaný národný akčný plán Dekády začleňovania rómskej populácie 2005 – 2015 a implementačný rámec, ktorý vymedzuje úlohu a postavenie ďalších kľúčových partnerov, t. j. samospráv a mimovládnych organizácií pri realizácii Stratégie.</w:t>
            </w:r>
          </w:p>
          <w:p w:rsidR="00376D71" w:rsidRDefault="00ED6BC8" w:rsidP="00376D71">
            <w:pPr>
              <w:spacing w:before="0"/>
              <w:rPr>
                <w:rFonts w:ascii="Calibri" w:hAnsi="Calibri"/>
                <w:sz w:val="16"/>
                <w:szCs w:val="16"/>
              </w:rPr>
            </w:pPr>
            <w:hyperlink r:id="rId133" w:history="1">
              <w:r w:rsidR="00376D71" w:rsidRPr="004E2D6C">
                <w:rPr>
                  <w:rFonts w:ascii="Calibri" w:hAnsi="Calibri"/>
                  <w:color w:val="0000FF"/>
                  <w:sz w:val="16"/>
                  <w:szCs w:val="16"/>
                  <w:u w:val="single"/>
                </w:rPr>
                <w:t>http://www.minv.sk/?programove_obdobie_2014-2020</w:t>
              </w:r>
            </w:hyperlink>
            <w:r w:rsidR="00376D71" w:rsidRPr="00DA5B74">
              <w:rPr>
                <w:rFonts w:ascii="Calibri" w:hAnsi="Calibri"/>
                <w:sz w:val="16"/>
                <w:szCs w:val="16"/>
              </w:rPr>
              <w:t xml:space="preserve"> </w:t>
            </w:r>
            <w:r w:rsidR="00376D71">
              <w:rPr>
                <w:rFonts w:ascii="Calibri" w:hAnsi="Calibri"/>
                <w:sz w:val="16"/>
                <w:szCs w:val="16"/>
              </w:rPr>
              <w:t xml:space="preserve"> </w:t>
            </w:r>
          </w:p>
          <w:p w:rsidR="00376D71" w:rsidRDefault="00376D71" w:rsidP="00376D71">
            <w:pPr>
              <w:spacing w:before="0"/>
              <w:rPr>
                <w:rFonts w:ascii="Calibri" w:hAnsi="Calibri"/>
                <w:sz w:val="16"/>
                <w:szCs w:val="16"/>
              </w:rPr>
            </w:pPr>
            <w:r w:rsidRPr="00DA5B74">
              <w:rPr>
                <w:rFonts w:ascii="Calibri" w:hAnsi="Calibri"/>
                <w:sz w:val="16"/>
                <w:szCs w:val="16"/>
              </w:rPr>
              <w:t>V Stratégii kapitola E.1. 3 Mimovládne organizácie na str. 53 je popísaná účasť rómskych mimovládnych organizácií na tv</w:t>
            </w:r>
            <w:r>
              <w:rPr>
                <w:rFonts w:ascii="Calibri" w:hAnsi="Calibri"/>
                <w:sz w:val="16"/>
                <w:szCs w:val="16"/>
              </w:rPr>
              <w:t>orbe, realizácii a monitorovan</w:t>
            </w:r>
            <w:r w:rsidRPr="00DA5B74">
              <w:rPr>
                <w:rFonts w:ascii="Calibri" w:hAnsi="Calibri"/>
                <w:sz w:val="16"/>
                <w:szCs w:val="16"/>
              </w:rPr>
              <w:t>í Stratégie. Je zadefinovaný rámec na budovanie partnerstiev a sietí MVO v týchto oblastiach: http://www.minv.sk/swift_data/source/romovia/dokumenty/Strategia</w:t>
            </w:r>
            <w:r>
              <w:rPr>
                <w:rFonts w:ascii="Calibri" w:hAnsi="Calibri"/>
                <w:sz w:val="16"/>
                <w:szCs w:val="16"/>
              </w:rPr>
              <w:t xml:space="preserve">SR_integraciaRomov.pdf, </w:t>
            </w:r>
            <w:r w:rsidRPr="00DA5B74">
              <w:rPr>
                <w:rFonts w:ascii="Calibri" w:hAnsi="Calibri"/>
                <w:sz w:val="16"/>
                <w:szCs w:val="16"/>
              </w:rPr>
              <w:t>na str. 67 je uvedený</w:t>
            </w:r>
          </w:p>
          <w:p w:rsidR="00376D71" w:rsidRPr="004E2D6C" w:rsidRDefault="00ED6BC8" w:rsidP="00376D71">
            <w:pPr>
              <w:spacing w:before="0"/>
              <w:rPr>
                <w:rFonts w:ascii="Calibri" w:hAnsi="Calibri"/>
                <w:sz w:val="16"/>
                <w:szCs w:val="16"/>
              </w:rPr>
            </w:pPr>
            <w:hyperlink r:id="rId134" w:history="1">
              <w:r w:rsidR="00376D71" w:rsidRPr="004E2D6C">
                <w:rPr>
                  <w:rFonts w:ascii="Calibri" w:hAnsi="Calibri"/>
                  <w:color w:val="0000FF"/>
                  <w:sz w:val="16"/>
                  <w:szCs w:val="16"/>
                  <w:u w:val="single"/>
                </w:rPr>
                <w:t>http://www.minv.sk/swift_data/source/romovia/dokumenty/StrategiaSR_integraciaRomov.pdf</w:t>
              </w:r>
            </w:hyperlink>
          </w:p>
          <w:p w:rsidR="00376D71" w:rsidRDefault="00376D71" w:rsidP="00376D71">
            <w:pPr>
              <w:spacing w:before="0" w:after="0"/>
              <w:rPr>
                <w:rFonts w:ascii="Calibri" w:hAnsi="Calibri"/>
                <w:sz w:val="16"/>
                <w:szCs w:val="16"/>
              </w:rPr>
            </w:pPr>
            <w:r w:rsidRPr="004E2D6C">
              <w:rPr>
                <w:rFonts w:ascii="Calibri" w:hAnsi="Calibri"/>
                <w:sz w:val="16"/>
                <w:szCs w:val="16"/>
              </w:rPr>
              <w:t xml:space="preserve">Zoznam prizvaných predstaviteľov štátnej správy, samosprávy a mimovládneho sektora ku konzultácii pri </w:t>
            </w:r>
            <w:r w:rsidRPr="00DA5B74">
              <w:rPr>
                <w:rFonts w:ascii="Calibri" w:hAnsi="Calibri"/>
                <w:sz w:val="16"/>
                <w:szCs w:val="16"/>
              </w:rPr>
              <w:t>tvorbe Stratégie</w:t>
            </w:r>
            <w:r>
              <w:rPr>
                <w:rFonts w:ascii="Calibri" w:hAnsi="Calibri"/>
                <w:sz w:val="16"/>
                <w:szCs w:val="16"/>
              </w:rPr>
              <w:t>;</w:t>
            </w:r>
            <w:r w:rsidRPr="004E2D6C" w:rsidDel="00D5628E">
              <w:rPr>
                <w:rFonts w:ascii="Calibri" w:hAnsi="Calibri"/>
                <w:sz w:val="16"/>
                <w:szCs w:val="16"/>
              </w:rPr>
              <w:t xml:space="preserve"> </w:t>
            </w:r>
          </w:p>
          <w:p w:rsidR="00376D71" w:rsidRPr="004E2D6C" w:rsidRDefault="00376D71" w:rsidP="00376D71">
            <w:pPr>
              <w:spacing w:before="0" w:after="0"/>
              <w:rPr>
                <w:rFonts w:ascii="Calibri" w:hAnsi="Calibri"/>
                <w:sz w:val="16"/>
                <w:szCs w:val="16"/>
              </w:rPr>
            </w:pPr>
            <w:r w:rsidRPr="00DA5B74">
              <w:rPr>
                <w:rFonts w:ascii="Calibri" w:hAnsi="Calibri"/>
                <w:sz w:val="16"/>
                <w:szCs w:val="16"/>
              </w:rPr>
              <w:t xml:space="preserve">Na webovej stránke </w:t>
            </w:r>
            <w:hyperlink r:id="rId135" w:history="1">
              <w:r w:rsidRPr="00C45F6F">
                <w:rPr>
                  <w:rStyle w:val="Hypertextovprepojenie"/>
                  <w:rFonts w:ascii="Calibri" w:hAnsi="Calibri"/>
                  <w:sz w:val="16"/>
                  <w:szCs w:val="16"/>
                </w:rPr>
                <w:t>http://www.minv.sk/?podporne_platformy</w:t>
              </w:r>
            </w:hyperlink>
            <w:r>
              <w:rPr>
                <w:rFonts w:ascii="Calibri" w:hAnsi="Calibri"/>
                <w:sz w:val="16"/>
                <w:szCs w:val="16"/>
              </w:rPr>
              <w:t xml:space="preserve"> </w:t>
            </w:r>
          </w:p>
          <w:p w:rsidR="00C741AD" w:rsidRDefault="00376D71" w:rsidP="00376D71">
            <w:pPr>
              <w:spacing w:before="0" w:after="0"/>
              <w:rPr>
                <w:rFonts w:ascii="Calibri" w:hAnsi="Calibri"/>
                <w:sz w:val="16"/>
                <w:szCs w:val="16"/>
              </w:rPr>
            </w:pPr>
            <w:r w:rsidRPr="00DA5B74">
              <w:rPr>
                <w:rFonts w:ascii="Calibri" w:hAnsi="Calibri"/>
                <w:sz w:val="16"/>
                <w:szCs w:val="16"/>
              </w:rPr>
              <w:t>sú uvedené podporné</w:t>
            </w:r>
            <w:r w:rsidRPr="004E2D6C">
              <w:rPr>
                <w:rFonts w:ascii="Calibri" w:hAnsi="Calibri"/>
                <w:sz w:val="16"/>
                <w:szCs w:val="16"/>
              </w:rPr>
              <w:t xml:space="preserve"> platformy </w:t>
            </w:r>
            <w:r w:rsidRPr="00DA5B74">
              <w:rPr>
                <w:rFonts w:ascii="Calibri" w:hAnsi="Calibri"/>
                <w:sz w:val="16"/>
                <w:szCs w:val="16"/>
              </w:rPr>
              <w:t>ÚSVRK</w:t>
            </w:r>
            <w:r w:rsidRPr="004E2D6C">
              <w:rPr>
                <w:rFonts w:ascii="Calibri" w:hAnsi="Calibri"/>
                <w:sz w:val="16"/>
                <w:szCs w:val="16"/>
              </w:rPr>
              <w:t xml:space="preserve">, kde sú uvedené organizácie zapojené do pracovných skupín zameraných na prípravu programových dokumentov, implementácie </w:t>
            </w:r>
            <w:r w:rsidR="000A418D">
              <w:rPr>
                <w:rFonts w:ascii="Calibri" w:hAnsi="Calibri"/>
                <w:sz w:val="16"/>
                <w:szCs w:val="16"/>
              </w:rPr>
              <w:br/>
            </w:r>
            <w:r w:rsidRPr="004E2D6C">
              <w:rPr>
                <w:rFonts w:ascii="Calibri" w:hAnsi="Calibri"/>
                <w:sz w:val="16"/>
                <w:szCs w:val="16"/>
              </w:rPr>
              <w:t xml:space="preserve">a </w:t>
            </w:r>
            <w:r w:rsidRPr="00DA5B74">
              <w:rPr>
                <w:rFonts w:ascii="Calibri" w:hAnsi="Calibri"/>
                <w:sz w:val="16"/>
                <w:szCs w:val="16"/>
              </w:rPr>
              <w:t>monitorovaní</w:t>
            </w:r>
            <w:r w:rsidRPr="004E2D6C">
              <w:rPr>
                <w:rFonts w:ascii="Calibri" w:hAnsi="Calibri"/>
                <w:sz w:val="16"/>
                <w:szCs w:val="16"/>
              </w:rPr>
              <w:t xml:space="preserve"> fondov EÚ pre inklúziu Rómov. </w:t>
            </w:r>
            <w:r w:rsidRPr="00DA5B74">
              <w:rPr>
                <w:rFonts w:ascii="Calibri" w:hAnsi="Calibri"/>
                <w:sz w:val="16"/>
                <w:szCs w:val="16"/>
              </w:rPr>
              <w:t xml:space="preserve">   </w:t>
            </w:r>
          </w:p>
          <w:p w:rsidR="00376D71" w:rsidRPr="004E2D6C" w:rsidRDefault="00376D71" w:rsidP="00376D71">
            <w:pPr>
              <w:spacing w:before="0" w:after="0"/>
              <w:rPr>
                <w:rFonts w:ascii="Calibri" w:hAnsi="Calibri"/>
                <w:sz w:val="16"/>
                <w:szCs w:val="16"/>
              </w:rPr>
            </w:pPr>
            <w:r w:rsidRPr="00DA5B74">
              <w:rPr>
                <w:rFonts w:ascii="Calibri" w:hAnsi="Calibri"/>
                <w:sz w:val="16"/>
                <w:szCs w:val="16"/>
              </w:rPr>
              <w:t xml:space="preserve">                                   </w:t>
            </w:r>
          </w:p>
          <w:p w:rsidR="00376D71" w:rsidRPr="00DA5B74" w:rsidRDefault="00376D71" w:rsidP="00376D71">
            <w:pPr>
              <w:spacing w:before="0"/>
              <w:rPr>
                <w:rFonts w:ascii="Calibri" w:hAnsi="Calibri"/>
                <w:sz w:val="16"/>
                <w:szCs w:val="16"/>
              </w:rPr>
            </w:pPr>
            <w:r w:rsidRPr="00DA5B74">
              <w:rPr>
                <w:rFonts w:ascii="Calibri" w:hAnsi="Calibri"/>
                <w:sz w:val="16"/>
                <w:szCs w:val="16"/>
              </w:rPr>
              <w:t xml:space="preserve">ÚSVRK v spolupráci s rezortnými partnermi vypracoval I. monitorovaciu správu Stratégie za roky 2012 a 2013:                                                       </w:t>
            </w:r>
            <w:hyperlink r:id="rId136" w:anchor="38;matEID=7002&amp;" w:history="1">
              <w:r w:rsidRPr="00C45F6F">
                <w:rPr>
                  <w:rStyle w:val="Hypertextovprepojenie"/>
                  <w:rFonts w:ascii="Calibri" w:hAnsi="Calibri"/>
                  <w:sz w:val="16"/>
                  <w:szCs w:val="16"/>
                </w:rPr>
                <w:t>https://lt.justice.gov.sk/Document/DocumentDetails.aspx?instEID=-1&amp;matEID=7002&amp;docEID=351001&amp;docFormEID=-1&amp;docTypeEID=1&amp;langEID=1</w:t>
              </w:r>
            </w:hyperlink>
            <w:r>
              <w:rPr>
                <w:rFonts w:ascii="Calibri" w:hAnsi="Calibri"/>
                <w:sz w:val="16"/>
                <w:szCs w:val="16"/>
              </w:rPr>
              <w:t xml:space="preserve"> </w:t>
            </w:r>
            <w:r w:rsidRPr="00DA5B74">
              <w:rPr>
                <w:rFonts w:ascii="Calibri" w:hAnsi="Calibri"/>
                <w:sz w:val="16"/>
                <w:szCs w:val="16"/>
              </w:rPr>
              <w:t xml:space="preserve">                                                                                                                                                                                                                                                                                   </w:t>
            </w:r>
          </w:p>
          <w:p w:rsidR="00376D71" w:rsidRPr="00DA5B74" w:rsidRDefault="00376D71" w:rsidP="00376D71">
            <w:pPr>
              <w:spacing w:before="0"/>
              <w:rPr>
                <w:rFonts w:ascii="Calibri" w:hAnsi="Calibri"/>
                <w:sz w:val="16"/>
                <w:szCs w:val="16"/>
              </w:rPr>
            </w:pPr>
            <w:r>
              <w:rPr>
                <w:rFonts w:ascii="Calibri" w:hAnsi="Calibri"/>
                <w:sz w:val="16"/>
                <w:szCs w:val="16"/>
              </w:rPr>
              <w:t xml:space="preserve">  </w:t>
            </w:r>
            <w:r w:rsidRPr="00DA5B74">
              <w:rPr>
                <w:rFonts w:ascii="Calibri" w:hAnsi="Calibri"/>
                <w:sz w:val="16"/>
                <w:szCs w:val="16"/>
              </w:rPr>
              <w:t xml:space="preserve">                                                                                                                                                                       S cieľom zabezpečiť nezávislý pohľad na plnenie Stratégie, ako aj na formy jej monitorovania, ÚSVRK prostredníctvom dotačnej schémy finančne podporil mimovládne organizácie Inštitút pre dobre spravovanú spoločnosť SGI </w:t>
            </w:r>
            <w:r w:rsidR="000A418D">
              <w:rPr>
                <w:rFonts w:ascii="Calibri" w:hAnsi="Calibri"/>
                <w:sz w:val="16"/>
                <w:szCs w:val="16"/>
              </w:rPr>
              <w:br/>
            </w:r>
            <w:r w:rsidRPr="00DA5B74">
              <w:rPr>
                <w:rFonts w:ascii="Calibri" w:hAnsi="Calibri"/>
                <w:sz w:val="16"/>
                <w:szCs w:val="16"/>
              </w:rPr>
              <w:t xml:space="preserve">a o.z. Škola dokorán pre realizáciu externého hodnotenia </w:t>
            </w:r>
            <w:r w:rsidR="000A418D">
              <w:rPr>
                <w:rFonts w:ascii="Calibri" w:hAnsi="Calibri"/>
                <w:sz w:val="16"/>
                <w:szCs w:val="16"/>
              </w:rPr>
              <w:br/>
            </w:r>
            <w:r w:rsidRPr="00DA5B74">
              <w:rPr>
                <w:rFonts w:ascii="Calibri" w:hAnsi="Calibri"/>
                <w:sz w:val="16"/>
                <w:szCs w:val="16"/>
              </w:rPr>
              <w:t xml:space="preserve">a monitoringu Stratégie </w:t>
            </w:r>
            <w:hyperlink r:id="rId137" w:history="1">
              <w:r w:rsidRPr="00C45F6F">
                <w:rPr>
                  <w:rStyle w:val="Hypertextovprepojenie"/>
                  <w:rFonts w:ascii="Calibri" w:hAnsi="Calibri"/>
                  <w:sz w:val="16"/>
                  <w:szCs w:val="16"/>
                </w:rPr>
                <w:t>http://www.minv.sk/?zoznam-schvalenych-ziadosti-o-dotaciu-na-zaklade-na-zaklade-vyzvy-c-i-usvrk-2013</w:t>
              </w:r>
            </w:hyperlink>
            <w:r>
              <w:rPr>
                <w:rFonts w:ascii="Calibri" w:hAnsi="Calibri"/>
                <w:sz w:val="16"/>
                <w:szCs w:val="16"/>
              </w:rPr>
              <w:t xml:space="preserve"> </w:t>
            </w:r>
            <w:r w:rsidRPr="00DA5B74">
              <w:rPr>
                <w:rFonts w:ascii="Calibri" w:hAnsi="Calibri"/>
                <w:sz w:val="16"/>
                <w:szCs w:val="16"/>
              </w:rPr>
              <w:t xml:space="preserve">   </w:t>
            </w:r>
          </w:p>
          <w:p w:rsidR="004E2D6C" w:rsidRPr="004E2D6C" w:rsidRDefault="00376D71" w:rsidP="00376D71">
            <w:pPr>
              <w:spacing w:before="0"/>
              <w:rPr>
                <w:rFonts w:ascii="Calibri" w:hAnsi="Calibri"/>
                <w:sz w:val="16"/>
                <w:szCs w:val="16"/>
              </w:rPr>
            </w:pPr>
            <w:r w:rsidRPr="00DA5B74">
              <w:rPr>
                <w:rFonts w:ascii="Calibri" w:hAnsi="Calibri"/>
                <w:sz w:val="16"/>
                <w:szCs w:val="16"/>
              </w:rPr>
              <w:t xml:space="preserve">                                                                                                                                                                           Externý monitoring a hodnotenie Stratégie je realizovaný aj prostredníctvom národnej koalície mimovládnych organizácií, ktoré koordinuje Rómsky inštitút. </w:t>
            </w:r>
            <w:hyperlink r:id="rId138" w:history="1">
              <w:r w:rsidRPr="00C45F6F">
                <w:rPr>
                  <w:rStyle w:val="Hypertextovprepojenie"/>
                  <w:rFonts w:ascii="Calibri" w:hAnsi="Calibri"/>
                  <w:sz w:val="16"/>
                  <w:szCs w:val="16"/>
                </w:rPr>
                <w:t>http://www.romainstitute.sk/index.php?ID=255</w:t>
              </w:r>
            </w:hyperlink>
            <w:r w:rsidRPr="00DA5B74">
              <w:rPr>
                <w:rFonts w:ascii="Calibri" w:hAnsi="Calibri"/>
                <w:sz w:val="16"/>
                <w:szCs w:val="16"/>
              </w:rPr>
              <w:t xml:space="preserve">. Organizácie sú členmi pracovných skupín ÚSVRK pre programové obdobie 2014 - 2020.  </w:t>
            </w:r>
            <w:r w:rsidRPr="004E2D6C">
              <w:rPr>
                <w:rFonts w:ascii="Calibri" w:hAnsi="Calibri"/>
                <w:sz w:val="16"/>
                <w:szCs w:val="16"/>
              </w:rPr>
              <w:t xml:space="preserve"> </w:t>
            </w:r>
          </w:p>
        </w:tc>
      </w:tr>
      <w:tr w:rsidR="004E2D6C" w:rsidRPr="004E2D6C" w:rsidTr="00B763E3">
        <w:trPr>
          <w:trHeight w:val="66"/>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4E2D6C" w:rsidRDefault="004E2D6C" w:rsidP="004E2D6C">
            <w:pPr>
              <w:autoSpaceDE w:val="0"/>
              <w:autoSpaceDN w:val="0"/>
              <w:adjustRightInd w:val="0"/>
              <w:spacing w:before="0"/>
              <w:rPr>
                <w:rFonts w:ascii="Calibri" w:hAnsi="Calibri"/>
                <w:color w:val="000000"/>
                <w:sz w:val="16"/>
                <w:szCs w:val="16"/>
                <w:lang w:eastAsia="sk-SK"/>
              </w:rPr>
            </w:pPr>
            <w:r w:rsidRPr="004E2D6C">
              <w:rPr>
                <w:rFonts w:ascii="Calibri" w:hAnsi="Calibri"/>
                <w:color w:val="000000"/>
                <w:sz w:val="16"/>
                <w:szCs w:val="16"/>
                <w:lang w:eastAsia="sk-SK"/>
              </w:rPr>
              <w:t>Na žiadosť a podľa potreby sa príslušným zainteresovaným stranám poskytne podpora pri predkladaní žiadostí o projekty a pri vykonávaní a riadení vybraných projektov.</w:t>
            </w:r>
          </w:p>
        </w:tc>
        <w:tc>
          <w:tcPr>
            <w:tcW w:w="1134" w:type="dxa"/>
            <w:tcBorders>
              <w:bottom w:val="single" w:sz="12" w:space="0" w:color="auto"/>
            </w:tcBorders>
            <w:vAlign w:val="center"/>
          </w:tcPr>
          <w:p w:rsidR="004E2D6C" w:rsidRPr="004E2D6C" w:rsidRDefault="004E2D6C" w:rsidP="00535799">
            <w:pPr>
              <w:spacing w:before="0"/>
              <w:jc w:val="center"/>
              <w:rPr>
                <w:rFonts w:ascii="Calibri" w:hAnsi="Calibri"/>
                <w:sz w:val="16"/>
                <w:szCs w:val="16"/>
              </w:rPr>
            </w:pPr>
            <w:r w:rsidRPr="004E2D6C">
              <w:rPr>
                <w:rFonts w:ascii="Calibri" w:hAnsi="Calibri"/>
                <w:b/>
                <w:sz w:val="16"/>
                <w:szCs w:val="16"/>
              </w:rPr>
              <w:t>Nie</w:t>
            </w:r>
          </w:p>
        </w:tc>
        <w:tc>
          <w:tcPr>
            <w:tcW w:w="3119" w:type="dxa"/>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tcBorders>
              <w:bottom w:val="single" w:sz="12" w:space="0" w:color="auto"/>
              <w:right w:val="single" w:sz="12" w:space="0" w:color="auto"/>
            </w:tcBorders>
          </w:tcPr>
          <w:p w:rsidR="00376D71" w:rsidRPr="002900D1" w:rsidRDefault="00376D71" w:rsidP="00376D71">
            <w:pPr>
              <w:spacing w:before="0"/>
              <w:rPr>
                <w:rFonts w:asciiTheme="majorHAnsi" w:hAnsiTheme="majorHAnsi"/>
                <w:sz w:val="16"/>
                <w:szCs w:val="16"/>
              </w:rPr>
            </w:pPr>
            <w:r w:rsidRPr="002900D1">
              <w:rPr>
                <w:rFonts w:asciiTheme="majorHAnsi" w:hAnsiTheme="majorHAnsi"/>
                <w:sz w:val="16"/>
                <w:szCs w:val="16"/>
              </w:rPr>
              <w:t xml:space="preserve">ÚSVRK má v rámci organizačnej štruktúry vytvorené administratívne kapacity, vrátane regionálnych kancelárií, ktoré sa viažu na programové obdobie 2007 – 2013. </w:t>
            </w:r>
            <w:hyperlink r:id="rId139" w:history="1">
              <w:r w:rsidRPr="002900D1">
                <w:rPr>
                  <w:rFonts w:asciiTheme="majorHAnsi" w:hAnsiTheme="majorHAnsi"/>
                  <w:color w:val="0000FF"/>
                  <w:sz w:val="16"/>
                  <w:szCs w:val="16"/>
                  <w:u w:val="single"/>
                </w:rPr>
                <w:t>http://www.minv.sk/?kontakty_rk</w:t>
              </w:r>
            </w:hyperlink>
          </w:p>
          <w:p w:rsidR="00376D71" w:rsidRPr="002900D1" w:rsidRDefault="00376D71" w:rsidP="00376D71">
            <w:pPr>
              <w:spacing w:before="0"/>
              <w:rPr>
                <w:rFonts w:asciiTheme="majorHAnsi" w:hAnsiTheme="majorHAnsi"/>
                <w:sz w:val="16"/>
                <w:szCs w:val="16"/>
              </w:rPr>
            </w:pPr>
            <w:r w:rsidRPr="002900D1">
              <w:rPr>
                <w:rFonts w:asciiTheme="majorHAnsi" w:hAnsiTheme="majorHAnsi"/>
                <w:sz w:val="16"/>
                <w:szCs w:val="16"/>
              </w:rPr>
              <w:t xml:space="preserve">                                                                                                             ÚSVRK vypracoval materiál „Návrh na stabilizáciu administratívnych kapacít odboru koordinácie horizontálnej priority Marginalizované rómske komunity Úradu splnomocnenca vlády SR pre rómske komunity v roku 2014 a 2015“, v ktorom je poukázané na potrebu zabezpečiť primerané administratívne kapacity pre  nové programové obdobie 2014 – 2020: </w:t>
            </w:r>
            <w:r w:rsidRPr="002900D1">
              <w:rPr>
                <w:rFonts w:asciiTheme="majorHAnsi" w:hAnsiTheme="majorHAnsi"/>
                <w:color w:val="0000FF"/>
                <w:sz w:val="16"/>
                <w:szCs w:val="16"/>
                <w:u w:val="single"/>
              </w:rPr>
              <w:t>https://lt.justice.gov.sk/Material/MaterialHome.aspx?instEI</w:t>
            </w:r>
            <w:r w:rsidRPr="002900D1">
              <w:rPr>
                <w:rFonts w:asciiTheme="majorHAnsi" w:hAnsiTheme="majorHAnsi"/>
                <w:color w:val="0000FF"/>
                <w:sz w:val="16"/>
                <w:szCs w:val="16"/>
                <w:u w:val="single"/>
              </w:rPr>
              <w:lastRenderedPageBreak/>
              <w:t>D=-1&amp;matEID=6983&amp;langEID=1</w:t>
            </w:r>
            <w:r w:rsidR="00C741AD" w:rsidRPr="002900D1">
              <w:rPr>
                <w:rFonts w:asciiTheme="majorHAnsi" w:hAnsiTheme="majorHAnsi"/>
                <w:color w:val="0000FF"/>
                <w:sz w:val="16"/>
                <w:szCs w:val="16"/>
                <w:u w:val="single"/>
              </w:rPr>
              <w:t>.</w:t>
            </w:r>
            <w:r w:rsidRPr="002900D1">
              <w:rPr>
                <w:rFonts w:asciiTheme="majorHAnsi" w:hAnsiTheme="majorHAnsi"/>
                <w:color w:val="0000FF"/>
                <w:sz w:val="16"/>
                <w:szCs w:val="16"/>
                <w:u w:val="single"/>
              </w:rPr>
              <w:t>.</w:t>
            </w:r>
            <w:r w:rsidRPr="002900D1">
              <w:rPr>
                <w:rFonts w:asciiTheme="majorHAnsi" w:hAnsiTheme="majorHAnsi"/>
                <w:sz w:val="16"/>
                <w:szCs w:val="16"/>
              </w:rPr>
              <w:t xml:space="preserve"> </w:t>
            </w:r>
          </w:p>
          <w:p w:rsidR="00376D71" w:rsidRPr="002900D1" w:rsidRDefault="00376D71" w:rsidP="00376D71">
            <w:pPr>
              <w:spacing w:before="0"/>
              <w:rPr>
                <w:rFonts w:asciiTheme="majorHAnsi" w:hAnsiTheme="majorHAnsi"/>
                <w:sz w:val="16"/>
                <w:szCs w:val="16"/>
              </w:rPr>
            </w:pPr>
            <w:r w:rsidRPr="002900D1">
              <w:rPr>
                <w:rFonts w:asciiTheme="majorHAnsi" w:hAnsiTheme="majorHAnsi"/>
                <w:sz w:val="16"/>
                <w:szCs w:val="16"/>
              </w:rPr>
              <w:t xml:space="preserve">Návrh administratívnych kapacít ÚSVRK pre programové obdobie 2014 - 2020 je riešený aj v „Ad hoc hodnotení HP MRK v roku 2011“ a Strategickom externom hodnotení HP MRK k 31.12.2011“ </w:t>
            </w:r>
            <w:hyperlink r:id="rId140" w:history="1">
              <w:r w:rsidRPr="002900D1">
                <w:rPr>
                  <w:rFonts w:asciiTheme="majorHAnsi" w:hAnsiTheme="majorHAnsi"/>
                  <w:color w:val="0000FF"/>
                  <w:sz w:val="16"/>
                  <w:szCs w:val="16"/>
                  <w:u w:val="single"/>
                </w:rPr>
                <w:t>http://www.minv.sk/?hodnotenie_MRK</w:t>
              </w:r>
            </w:hyperlink>
          </w:p>
          <w:p w:rsidR="00376D71" w:rsidRPr="002900D1" w:rsidRDefault="00376D71" w:rsidP="00376D71">
            <w:pPr>
              <w:spacing w:before="0"/>
              <w:rPr>
                <w:rFonts w:asciiTheme="majorHAnsi" w:hAnsiTheme="majorHAnsi"/>
                <w:sz w:val="16"/>
                <w:szCs w:val="16"/>
              </w:rPr>
            </w:pPr>
            <w:r w:rsidRPr="002900D1">
              <w:rPr>
                <w:rFonts w:asciiTheme="majorHAnsi" w:hAnsiTheme="majorHAnsi"/>
                <w:sz w:val="16"/>
                <w:szCs w:val="16"/>
              </w:rPr>
              <w:t xml:space="preserve">Závery pracovnej skupiny Posilnenie spolupráce </w:t>
            </w:r>
            <w:r w:rsidR="000A418D" w:rsidRPr="002900D1">
              <w:rPr>
                <w:rFonts w:asciiTheme="majorHAnsi" w:hAnsiTheme="majorHAnsi"/>
                <w:sz w:val="16"/>
                <w:szCs w:val="16"/>
              </w:rPr>
              <w:br/>
            </w:r>
            <w:r w:rsidRPr="002900D1">
              <w:rPr>
                <w:rFonts w:asciiTheme="majorHAnsi" w:hAnsiTheme="majorHAnsi"/>
                <w:sz w:val="16"/>
                <w:szCs w:val="16"/>
              </w:rPr>
              <w:t xml:space="preserve">a administratívnych kapacít v programovom období 2014 - 2020 na HLE dňa 22.-23.6.2013 sú zverejnené na: </w:t>
            </w:r>
            <w:hyperlink r:id="rId141" w:history="1">
              <w:r w:rsidRPr="002900D1">
                <w:rPr>
                  <w:rFonts w:asciiTheme="majorHAnsi" w:hAnsiTheme="majorHAnsi"/>
                  <w:color w:val="0000FF"/>
                  <w:sz w:val="16"/>
                  <w:szCs w:val="16"/>
                  <w:u w:val="single"/>
                </w:rPr>
                <w:t>http://ec.europa.eu/regional_policy/conferences/roma2013/agenda_en.cfm</w:t>
              </w:r>
            </w:hyperlink>
            <w:r w:rsidRPr="002900D1">
              <w:rPr>
                <w:rFonts w:asciiTheme="majorHAnsi" w:hAnsiTheme="majorHAnsi"/>
                <w:sz w:val="16"/>
                <w:szCs w:val="16"/>
              </w:rPr>
              <w:t>.</w:t>
            </w:r>
          </w:p>
          <w:p w:rsidR="00376D71" w:rsidRPr="004E2D6C" w:rsidRDefault="00376D71" w:rsidP="00376D71">
            <w:pPr>
              <w:spacing w:before="0"/>
              <w:rPr>
                <w:rFonts w:ascii="Calibri" w:hAnsi="Calibri"/>
                <w:sz w:val="16"/>
                <w:szCs w:val="16"/>
              </w:rPr>
            </w:pPr>
            <w:r w:rsidRPr="004E2D6C">
              <w:rPr>
                <w:rFonts w:ascii="Calibri" w:hAnsi="Calibri"/>
                <w:sz w:val="16"/>
                <w:szCs w:val="16"/>
              </w:rPr>
              <w:t xml:space="preserve">Výsledky zasadnutia pracovnej skupiny pre ex ante kondicionality k téme kvalitatívne nastavenie podpory zainteresovaným stranám sú zverejnené na: </w:t>
            </w:r>
            <w:hyperlink r:id="rId142" w:history="1">
              <w:r w:rsidRPr="004E2D6C">
                <w:rPr>
                  <w:rFonts w:ascii="Calibri" w:hAnsi="Calibri"/>
                  <w:color w:val="0000FF"/>
                  <w:sz w:val="16"/>
                  <w:szCs w:val="16"/>
                  <w:u w:val="single"/>
                </w:rPr>
                <w:t>http://www.minv.sk/?podporne_platformy</w:t>
              </w:r>
            </w:hyperlink>
          </w:p>
          <w:p w:rsidR="00376D71" w:rsidRDefault="00376D71" w:rsidP="00376D71">
            <w:pPr>
              <w:spacing w:before="0"/>
              <w:rPr>
                <w:rFonts w:ascii="Calibri" w:hAnsi="Calibri"/>
                <w:sz w:val="16"/>
                <w:szCs w:val="16"/>
              </w:rPr>
            </w:pPr>
            <w:r w:rsidRPr="004E2D6C">
              <w:rPr>
                <w:rFonts w:ascii="Calibri" w:hAnsi="Calibri"/>
                <w:sz w:val="16"/>
                <w:szCs w:val="16"/>
              </w:rPr>
              <w:t xml:space="preserve">Cieľom Úradu splnomocnenca SR pre rómske komunity je kontinuálne nadviazať na skúsenosti z programového obdobia 2007 – 2013 v poskytovaní pomoci a posilniť ju </w:t>
            </w:r>
            <w:r w:rsidR="000A418D">
              <w:rPr>
                <w:rFonts w:ascii="Calibri" w:hAnsi="Calibri"/>
                <w:sz w:val="16"/>
                <w:szCs w:val="16"/>
              </w:rPr>
              <w:br/>
            </w:r>
            <w:r w:rsidRPr="004E2D6C">
              <w:rPr>
                <w:rFonts w:ascii="Calibri" w:hAnsi="Calibri"/>
                <w:sz w:val="16"/>
                <w:szCs w:val="16"/>
              </w:rPr>
              <w:t xml:space="preserve">v prospech zainteresovaných strán. Medzi navrhované aktivity na úrovni OP ĽZ patrí program asistencie pre obce s prítomnosťou MRK zameraný na zvýšenie absorpcie ŠF </w:t>
            </w:r>
            <w:r w:rsidR="000A418D">
              <w:rPr>
                <w:rFonts w:ascii="Calibri" w:hAnsi="Calibri"/>
                <w:sz w:val="16"/>
                <w:szCs w:val="16"/>
              </w:rPr>
              <w:br/>
            </w:r>
            <w:r w:rsidRPr="004E2D6C">
              <w:rPr>
                <w:rFonts w:ascii="Calibri" w:hAnsi="Calibri"/>
                <w:sz w:val="16"/>
                <w:szCs w:val="16"/>
              </w:rPr>
              <w:t>a</w:t>
            </w:r>
            <w:r>
              <w:rPr>
                <w:rFonts w:ascii="Calibri" w:hAnsi="Calibri"/>
                <w:sz w:val="16"/>
                <w:szCs w:val="16"/>
              </w:rPr>
              <w:t xml:space="preserve"> </w:t>
            </w:r>
            <w:r w:rsidRPr="00DA5B74">
              <w:rPr>
                <w:rFonts w:ascii="Calibri" w:hAnsi="Calibri"/>
                <w:sz w:val="16"/>
                <w:szCs w:val="16"/>
              </w:rPr>
              <w:t xml:space="preserve">podpora budovania kapacít </w:t>
            </w:r>
            <w:r>
              <w:rPr>
                <w:rFonts w:ascii="Calibri" w:hAnsi="Calibri"/>
                <w:sz w:val="16"/>
                <w:szCs w:val="16"/>
              </w:rPr>
              <w:t>mimovládnych organizácií</w:t>
            </w:r>
            <w:r w:rsidRPr="00DA5B74">
              <w:rPr>
                <w:rFonts w:ascii="Calibri" w:hAnsi="Calibri"/>
                <w:sz w:val="16"/>
                <w:szCs w:val="16"/>
              </w:rPr>
              <w:t xml:space="preserve"> prostredníctvom</w:t>
            </w:r>
            <w:r w:rsidRPr="004E2D6C">
              <w:rPr>
                <w:rFonts w:ascii="Calibri" w:hAnsi="Calibri"/>
                <w:sz w:val="16"/>
                <w:szCs w:val="16"/>
              </w:rPr>
              <w:t xml:space="preserve"> globálnych grantov.</w:t>
            </w:r>
            <w:r w:rsidRPr="00DA5B74">
              <w:rPr>
                <w:rFonts w:ascii="Calibri" w:hAnsi="Calibri"/>
                <w:sz w:val="16"/>
                <w:szCs w:val="16"/>
              </w:rPr>
              <w:t xml:space="preserve"> Návrh operačného programu je zverejnený na: </w:t>
            </w:r>
          </w:p>
          <w:p w:rsidR="004E2D6C" w:rsidRPr="004E2D6C" w:rsidRDefault="00ED6BC8" w:rsidP="00376D71">
            <w:pPr>
              <w:spacing w:before="0"/>
              <w:rPr>
                <w:rFonts w:ascii="Calibri" w:hAnsi="Calibri"/>
                <w:sz w:val="16"/>
                <w:szCs w:val="16"/>
              </w:rPr>
            </w:pPr>
            <w:hyperlink r:id="rId143" w:anchor="38;matEID=7183&amp;" w:history="1">
              <w:r w:rsidR="00376D71" w:rsidRPr="00C45F6F">
                <w:rPr>
                  <w:rStyle w:val="Hypertextovprepojenie"/>
                  <w:rFonts w:ascii="Calibri" w:hAnsi="Calibri"/>
                  <w:sz w:val="16"/>
                  <w:szCs w:val="16"/>
                </w:rPr>
                <w:t>https://lt.justice.gov.sk/Document/DocumentDetails.aspx?instEID=-1&amp;matEID=7183&amp;docEID=359733&amp;docFormEID=-1&amp;docTypeEID=1&amp;langEID=1</w:t>
              </w:r>
            </w:hyperlink>
          </w:p>
        </w:tc>
      </w:tr>
      <w:tr w:rsidR="004E2D6C" w:rsidRPr="004E2D6C" w:rsidTr="00B763E3">
        <w:trPr>
          <w:trHeight w:val="188"/>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9.3. Zdravie: existencia národného alebo regionálneho strategického politického rámca pre zdravie v medziach článku 168 ZFEÚ, ktorý zabezpečí ekonomickú udržateľnosť.</w:t>
            </w:r>
          </w:p>
        </w:tc>
        <w:tc>
          <w:tcPr>
            <w:tcW w:w="1559" w:type="dxa"/>
            <w:vMerge w:val="restart"/>
            <w:tcBorders>
              <w:top w:val="single" w:sz="12" w:space="0" w:color="auto"/>
            </w:tcBorders>
            <w:vAlign w:val="center"/>
          </w:tcPr>
          <w:p w:rsidR="004E2D6C" w:rsidRPr="004E2D6C" w:rsidRDefault="00A36CB7" w:rsidP="00535799">
            <w:pPr>
              <w:spacing w:before="0"/>
              <w:jc w:val="center"/>
              <w:rPr>
                <w:rFonts w:ascii="Calibri" w:hAnsi="Calibri"/>
                <w:b/>
                <w:sz w:val="16"/>
                <w:szCs w:val="16"/>
              </w:rPr>
            </w:pPr>
            <w:r>
              <w:rPr>
                <w:rFonts w:ascii="Calibri" w:hAnsi="Calibri"/>
                <w:b/>
                <w:sz w:val="16"/>
                <w:szCs w:val="16"/>
              </w:rPr>
              <w:t>Nie</w:t>
            </w:r>
          </w:p>
        </w:tc>
        <w:tc>
          <w:tcPr>
            <w:tcW w:w="2551" w:type="dxa"/>
            <w:tcBorders>
              <w:top w:val="single" w:sz="12" w:space="0" w:color="auto"/>
              <w:bottom w:val="single" w:sz="2" w:space="0" w:color="auto"/>
            </w:tcBorders>
            <w:vAlign w:val="center"/>
          </w:tcPr>
          <w:p w:rsidR="004E2D6C" w:rsidRPr="004E2D6C" w:rsidRDefault="004E2D6C" w:rsidP="004E2D6C">
            <w:pPr>
              <w:spacing w:before="0"/>
              <w:contextualSpacing/>
              <w:rPr>
                <w:rFonts w:ascii="Calibri" w:hAnsi="Calibri"/>
                <w:sz w:val="16"/>
                <w:szCs w:val="16"/>
                <w:lang w:eastAsia="cs-CZ"/>
              </w:rPr>
            </w:pPr>
            <w:r w:rsidRPr="004E2D6C">
              <w:rPr>
                <w:rFonts w:ascii="Calibri" w:hAnsi="Calibri"/>
                <w:sz w:val="16"/>
                <w:szCs w:val="16"/>
                <w:lang w:eastAsia="cs-CZ"/>
              </w:rPr>
              <w:t xml:space="preserve">Zavedený je národný alebo regionálny strategický politický rámec pre zdravie, ktorý zahŕňa: </w:t>
            </w:r>
          </w:p>
        </w:tc>
        <w:tc>
          <w:tcPr>
            <w:tcW w:w="1134" w:type="dxa"/>
            <w:tcBorders>
              <w:top w:val="single" w:sz="12" w:space="0" w:color="auto"/>
            </w:tcBorders>
            <w:vAlign w:val="center"/>
          </w:tcPr>
          <w:p w:rsidR="004E2D6C" w:rsidRPr="004E2D6C" w:rsidRDefault="00036B86" w:rsidP="00535799">
            <w:pPr>
              <w:spacing w:before="0"/>
              <w:jc w:val="center"/>
              <w:rPr>
                <w:rFonts w:ascii="Calibri" w:hAnsi="Calibri"/>
                <w:sz w:val="16"/>
                <w:szCs w:val="16"/>
              </w:rPr>
            </w:pPr>
            <w:r>
              <w:rPr>
                <w:rFonts w:ascii="Calibri" w:hAnsi="Calibri"/>
                <w:b/>
                <w:sz w:val="16"/>
                <w:szCs w:val="16"/>
              </w:rPr>
              <w:t>Nie</w:t>
            </w:r>
          </w:p>
        </w:tc>
        <w:tc>
          <w:tcPr>
            <w:tcW w:w="3119" w:type="dxa"/>
            <w:tcBorders>
              <w:top w:val="single" w:sz="12" w:space="0" w:color="auto"/>
            </w:tcBorders>
          </w:tcPr>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Strategický rámec starostlivosti o zdravie pre roky 2013 – 2030</w:t>
            </w:r>
          </w:p>
          <w:p w:rsidR="004E2D6C" w:rsidRPr="002900D1" w:rsidRDefault="00ED6BC8" w:rsidP="004E2D6C">
            <w:pPr>
              <w:spacing w:before="0"/>
              <w:rPr>
                <w:rFonts w:asciiTheme="majorHAnsi" w:hAnsiTheme="majorHAnsi"/>
                <w:sz w:val="16"/>
                <w:szCs w:val="16"/>
              </w:rPr>
            </w:pPr>
            <w:hyperlink r:id="rId144" w:history="1">
              <w:r w:rsidR="004E2D6C" w:rsidRPr="002900D1">
                <w:rPr>
                  <w:rFonts w:asciiTheme="majorHAnsi" w:hAnsiTheme="majorHAnsi"/>
                  <w:color w:val="0000FF"/>
                  <w:sz w:val="16"/>
                  <w:szCs w:val="16"/>
                  <w:u w:val="single"/>
                </w:rPr>
                <w:t>http://www.health.gov.sk/?strategia-v-zdravotnictve</w:t>
              </w:r>
            </w:hyperlink>
            <w:r w:rsidR="004E2D6C" w:rsidRPr="002900D1">
              <w:rPr>
                <w:rFonts w:asciiTheme="majorHAnsi" w:hAnsiTheme="majorHAnsi"/>
                <w:sz w:val="16"/>
                <w:szCs w:val="16"/>
              </w:rPr>
              <w:t xml:space="preserve"> </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Dokument bol schválený vládou SR dňa 18.</w:t>
            </w:r>
            <w:r w:rsidR="000A418D">
              <w:rPr>
                <w:rFonts w:ascii="Calibri" w:hAnsi="Calibri"/>
                <w:sz w:val="16"/>
                <w:szCs w:val="16"/>
              </w:rPr>
              <w:t xml:space="preserve"> </w:t>
            </w:r>
            <w:r w:rsidRPr="004E2D6C">
              <w:rPr>
                <w:rFonts w:ascii="Calibri" w:hAnsi="Calibri"/>
                <w:sz w:val="16"/>
                <w:szCs w:val="16"/>
              </w:rPr>
              <w:t>12.</w:t>
            </w:r>
            <w:r w:rsidR="000A418D">
              <w:rPr>
                <w:rFonts w:ascii="Calibri" w:hAnsi="Calibri"/>
                <w:sz w:val="16"/>
                <w:szCs w:val="16"/>
              </w:rPr>
              <w:t xml:space="preserve"> </w:t>
            </w:r>
            <w:r w:rsidRPr="004E2D6C">
              <w:rPr>
                <w:rFonts w:ascii="Calibri" w:hAnsi="Calibri"/>
                <w:sz w:val="16"/>
                <w:szCs w:val="16"/>
              </w:rPr>
              <w:t>2013 a následne 20.</w:t>
            </w:r>
            <w:r w:rsidR="000A418D">
              <w:rPr>
                <w:rFonts w:ascii="Calibri" w:hAnsi="Calibri"/>
                <w:sz w:val="16"/>
                <w:szCs w:val="16"/>
              </w:rPr>
              <w:t xml:space="preserve"> </w:t>
            </w:r>
            <w:r w:rsidRPr="004E2D6C">
              <w:rPr>
                <w:rFonts w:ascii="Calibri" w:hAnsi="Calibri"/>
                <w:sz w:val="16"/>
                <w:szCs w:val="16"/>
              </w:rPr>
              <w:t>12.</w:t>
            </w:r>
            <w:r w:rsidR="000A418D">
              <w:rPr>
                <w:rFonts w:ascii="Calibri" w:hAnsi="Calibri"/>
                <w:sz w:val="16"/>
                <w:szCs w:val="16"/>
              </w:rPr>
              <w:t xml:space="preserve"> </w:t>
            </w:r>
            <w:r w:rsidRPr="004E2D6C">
              <w:rPr>
                <w:rFonts w:ascii="Calibri" w:hAnsi="Calibri"/>
                <w:sz w:val="16"/>
                <w:szCs w:val="16"/>
              </w:rPr>
              <w:t>2013 predložený na posúdenie EK. Identifikuje hlavné oblasti zdravotníctva, ktoré budú prioritami slovenského zdravotníctva do roku 2030.</w:t>
            </w:r>
          </w:p>
        </w:tc>
      </w:tr>
      <w:tr w:rsidR="004E2D6C" w:rsidRPr="004E2D6C" w:rsidTr="00B763E3">
        <w:trPr>
          <w:trHeight w:val="184"/>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3"/>
              </w:numPr>
              <w:spacing w:before="0"/>
              <w:ind w:left="175" w:hanging="175"/>
              <w:rPr>
                <w:rFonts w:ascii="Calibri" w:hAnsi="Calibri"/>
                <w:sz w:val="16"/>
                <w:szCs w:val="16"/>
                <w:lang w:eastAsia="cs-CZ"/>
              </w:rPr>
            </w:pPr>
            <w:r w:rsidRPr="005A192A">
              <w:rPr>
                <w:rFonts w:ascii="Calibri" w:hAnsi="Calibri"/>
                <w:sz w:val="16"/>
                <w:szCs w:val="16"/>
                <w:lang w:eastAsia="cs-CZ"/>
              </w:rPr>
              <w:t>koordinované opatrenia na zlepšenie prístupu k zdravotným službám,</w:t>
            </w:r>
          </w:p>
        </w:tc>
        <w:tc>
          <w:tcPr>
            <w:tcW w:w="1134" w:type="dxa"/>
            <w:vAlign w:val="center"/>
          </w:tcPr>
          <w:p w:rsidR="004E2D6C" w:rsidRPr="004E2D6C" w:rsidRDefault="000352EB" w:rsidP="00535799">
            <w:pPr>
              <w:spacing w:before="0"/>
              <w:jc w:val="center"/>
              <w:rPr>
                <w:rFonts w:ascii="Calibri" w:hAnsi="Calibri"/>
                <w:sz w:val="16"/>
                <w:szCs w:val="16"/>
              </w:rPr>
            </w:pPr>
            <w:r>
              <w:rPr>
                <w:rFonts w:ascii="Calibri" w:hAnsi="Calibri"/>
                <w:b/>
                <w:sz w:val="16"/>
                <w:szCs w:val="16"/>
              </w:rPr>
              <w:t>Nie</w:t>
            </w:r>
          </w:p>
        </w:tc>
        <w:tc>
          <w:tcPr>
            <w:tcW w:w="3119" w:type="dxa"/>
            <w:vMerge w:val="restart"/>
          </w:tcPr>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Dokument obsahuje samostatnú kapitolu, ktorá uvádza základné priority a opatrenia SR, ktoré reflektujú potrebu zlepšenia prístupu ku kvalitným zdravotným službám a zvýšenie efektivity slovenského zdravotníctva.</w:t>
            </w:r>
          </w:p>
          <w:p w:rsidR="004E2D6C" w:rsidRPr="00966411" w:rsidRDefault="004E2D6C" w:rsidP="004E2D6C">
            <w:pPr>
              <w:spacing w:before="0"/>
              <w:rPr>
                <w:rFonts w:asciiTheme="majorHAnsi" w:hAnsiTheme="majorHAnsi"/>
                <w:sz w:val="16"/>
                <w:szCs w:val="16"/>
              </w:rPr>
            </w:pPr>
            <w:r w:rsidRPr="00966411">
              <w:rPr>
                <w:rFonts w:asciiTheme="majorHAnsi" w:hAnsiTheme="majorHAnsi"/>
                <w:sz w:val="16"/>
                <w:szCs w:val="16"/>
              </w:rPr>
              <w:lastRenderedPageBreak/>
              <w:t>Kľúčovými prioritnými oblasťami sú:</w:t>
            </w:r>
          </w:p>
          <w:p w:rsidR="004E2D6C" w:rsidRPr="00966411" w:rsidRDefault="004E2D6C" w:rsidP="00C741AD">
            <w:pPr>
              <w:tabs>
                <w:tab w:val="left" w:pos="176"/>
              </w:tabs>
              <w:spacing w:before="0"/>
              <w:rPr>
                <w:rFonts w:asciiTheme="majorHAnsi" w:hAnsiTheme="majorHAnsi"/>
                <w:sz w:val="16"/>
                <w:szCs w:val="16"/>
              </w:rPr>
            </w:pPr>
            <w:r w:rsidRPr="00966411">
              <w:rPr>
                <w:rFonts w:asciiTheme="majorHAnsi" w:hAnsiTheme="majorHAnsi"/>
                <w:sz w:val="16"/>
                <w:szCs w:val="16"/>
              </w:rPr>
              <w:t>• podpora integrovanej ambulantnej zdravotnej starostlivosti</w:t>
            </w:r>
          </w:p>
          <w:p w:rsidR="004E2D6C" w:rsidRPr="00966411" w:rsidRDefault="004E2D6C" w:rsidP="00C741AD">
            <w:pPr>
              <w:tabs>
                <w:tab w:val="left" w:pos="176"/>
              </w:tabs>
              <w:spacing w:before="0"/>
              <w:rPr>
                <w:rFonts w:asciiTheme="majorHAnsi" w:hAnsiTheme="majorHAnsi"/>
                <w:sz w:val="16"/>
                <w:szCs w:val="16"/>
              </w:rPr>
            </w:pPr>
            <w:r w:rsidRPr="00966411">
              <w:rPr>
                <w:rFonts w:asciiTheme="majorHAnsi" w:hAnsiTheme="majorHAnsi"/>
                <w:sz w:val="16"/>
                <w:szCs w:val="16"/>
              </w:rPr>
              <w:t>•</w:t>
            </w:r>
            <w:r w:rsidR="00C741AD" w:rsidRPr="00966411">
              <w:rPr>
                <w:rFonts w:asciiTheme="majorHAnsi" w:hAnsiTheme="majorHAnsi"/>
                <w:sz w:val="16"/>
                <w:szCs w:val="16"/>
              </w:rPr>
              <w:t xml:space="preserve"> </w:t>
            </w:r>
            <w:r w:rsidRPr="00966411">
              <w:rPr>
                <w:rFonts w:asciiTheme="majorHAnsi" w:hAnsiTheme="majorHAnsi"/>
                <w:sz w:val="16"/>
                <w:szCs w:val="16"/>
              </w:rPr>
              <w:t>inovatívna modernizácia ústavnej zdravotnej starostlivosti</w:t>
            </w:r>
          </w:p>
          <w:p w:rsidR="004E2D6C" w:rsidRPr="00966411" w:rsidRDefault="004E2D6C" w:rsidP="00C741AD">
            <w:pPr>
              <w:tabs>
                <w:tab w:val="left" w:pos="176"/>
              </w:tabs>
              <w:spacing w:before="0"/>
              <w:rPr>
                <w:rFonts w:asciiTheme="majorHAnsi" w:hAnsiTheme="majorHAnsi"/>
                <w:sz w:val="16"/>
                <w:szCs w:val="16"/>
              </w:rPr>
            </w:pPr>
            <w:r w:rsidRPr="002900D1">
              <w:rPr>
                <w:rFonts w:asciiTheme="majorHAnsi" w:hAnsiTheme="majorHAnsi"/>
                <w:sz w:val="16"/>
                <w:szCs w:val="16"/>
              </w:rPr>
              <w:t>•</w:t>
            </w:r>
            <w:r w:rsidR="00C741AD" w:rsidRPr="002900D1">
              <w:rPr>
                <w:rFonts w:asciiTheme="majorHAnsi" w:hAnsiTheme="majorHAnsi"/>
                <w:sz w:val="16"/>
                <w:szCs w:val="16"/>
              </w:rPr>
              <w:t xml:space="preserve">    </w:t>
            </w:r>
            <w:r w:rsidRPr="002900D1">
              <w:rPr>
                <w:rFonts w:asciiTheme="majorHAnsi" w:hAnsiTheme="majorHAnsi"/>
                <w:sz w:val="16"/>
                <w:szCs w:val="16"/>
              </w:rPr>
              <w:t xml:space="preserve"> zlepšenie intervencií v oblasti verejného zdravia</w:t>
            </w:r>
          </w:p>
          <w:p w:rsidR="004E2D6C" w:rsidRPr="00966411" w:rsidRDefault="004E2D6C" w:rsidP="004E2D6C">
            <w:pPr>
              <w:spacing w:before="0"/>
              <w:rPr>
                <w:rFonts w:asciiTheme="majorHAnsi" w:hAnsiTheme="majorHAnsi"/>
                <w:sz w:val="16"/>
                <w:szCs w:val="16"/>
              </w:rPr>
            </w:pPr>
            <w:r w:rsidRPr="00966411">
              <w:rPr>
                <w:rFonts w:asciiTheme="majorHAnsi" w:hAnsiTheme="majorHAnsi"/>
                <w:sz w:val="16"/>
                <w:szCs w:val="16"/>
              </w:rPr>
              <w:t>Opatrenia (čiastkové stratégie/nástroje zmeny) na zlepšenie prístupu k zdravotným službám sú najmä: integrácia ambulantnej zdravotnej starostlivosti (s dôrazom na primárnu starostlivosť), e</w:t>
            </w:r>
            <w:r w:rsidR="006B176F" w:rsidRPr="00966411">
              <w:rPr>
                <w:rFonts w:asciiTheme="majorHAnsi" w:hAnsiTheme="majorHAnsi"/>
                <w:sz w:val="16"/>
                <w:szCs w:val="16"/>
              </w:rPr>
              <w:t>-</w:t>
            </w:r>
            <w:r w:rsidRPr="00966411">
              <w:rPr>
                <w:rFonts w:asciiTheme="majorHAnsi" w:hAnsiTheme="majorHAnsi"/>
                <w:sz w:val="16"/>
                <w:szCs w:val="16"/>
              </w:rPr>
              <w:t>Health, rezidentské programy, tvorba a inovácia klinických a preventívnych postupov, program na podporu zdravotného stavu MRK (program zdravotných asistentov), programy v oblasti nemedicínskej prevencie.</w:t>
            </w:r>
          </w:p>
          <w:p w:rsidR="004E2D6C" w:rsidRPr="002900D1" w:rsidRDefault="004E2D6C" w:rsidP="004E2D6C">
            <w:pPr>
              <w:spacing w:before="0"/>
              <w:rPr>
                <w:rFonts w:asciiTheme="majorHAnsi" w:hAnsiTheme="majorHAnsi"/>
                <w:sz w:val="16"/>
                <w:szCs w:val="16"/>
              </w:rPr>
            </w:pPr>
            <w:r w:rsidRPr="00966411">
              <w:rPr>
                <w:rFonts w:asciiTheme="majorHAnsi" w:hAnsiTheme="majorHAnsi"/>
                <w:sz w:val="16"/>
                <w:szCs w:val="16"/>
              </w:rPr>
              <w:t>Opatrenia</w:t>
            </w:r>
            <w:r w:rsidRPr="002900D1">
              <w:rPr>
                <w:rFonts w:asciiTheme="majorHAnsi" w:hAnsiTheme="majorHAnsi"/>
                <w:sz w:val="16"/>
                <w:szCs w:val="16"/>
              </w:rPr>
              <w:t xml:space="preserve"> na podporu efektívnosti/účinnosti sektor</w:t>
            </w:r>
            <w:r w:rsidR="00C741AD" w:rsidRPr="002900D1">
              <w:rPr>
                <w:rFonts w:asciiTheme="majorHAnsi" w:hAnsiTheme="majorHAnsi"/>
                <w:sz w:val="16"/>
                <w:szCs w:val="16"/>
              </w:rPr>
              <w:t>a</w:t>
            </w:r>
            <w:r w:rsidRPr="002900D1">
              <w:rPr>
                <w:rFonts w:asciiTheme="majorHAnsi" w:hAnsiTheme="majorHAnsi"/>
                <w:sz w:val="16"/>
                <w:szCs w:val="16"/>
              </w:rPr>
              <w:t xml:space="preserve"> zdravotníctva prostredníctvom zavádzania modelov poskytovania služieb a infraštruktúry sú najmä: nová infraštruktúra centier integrovanej zdravotnej starostlivosti, nová infraštruktúra nemocníc, platobný mechanizmus poisťovne - DRG, e</w:t>
            </w:r>
            <w:r w:rsidR="00B41B59" w:rsidRPr="002900D1">
              <w:rPr>
                <w:rFonts w:asciiTheme="majorHAnsi" w:hAnsiTheme="majorHAnsi"/>
                <w:sz w:val="16"/>
                <w:szCs w:val="16"/>
              </w:rPr>
              <w:t>-</w:t>
            </w:r>
            <w:r w:rsidRPr="002900D1">
              <w:rPr>
                <w:rFonts w:asciiTheme="majorHAnsi" w:hAnsiTheme="majorHAnsi"/>
                <w:sz w:val="16"/>
                <w:szCs w:val="16"/>
              </w:rPr>
              <w:t>Health, kontrolné mechanizmy v manažmente univerzitných a fakultných nemocníc.</w:t>
            </w: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K jednotlivým prioritným oblastiam zdravotníctva boli identifikované kľúčové indikátory a boli stanovené cieľové hodnoty, ktoré prostredníctvom implementácie špecificky zameraných stratégií/nástrojov zmien plánuje SR dosiahnuť v časovom horizonte do roku 2030.</w:t>
            </w: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Súčasne bol identifikovaný prínos všetkých stratégií/nástrojov zmien k zlepšeniu dostupnosti, kvality a efektívnosti zdravotnej starostlivosti.</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84"/>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3"/>
              </w:numPr>
              <w:tabs>
                <w:tab w:val="left" w:pos="341"/>
              </w:tabs>
              <w:spacing w:before="0"/>
              <w:ind w:left="175" w:hanging="175"/>
              <w:rPr>
                <w:rFonts w:ascii="Calibri" w:hAnsi="Calibri"/>
                <w:color w:val="000000"/>
                <w:sz w:val="16"/>
                <w:szCs w:val="16"/>
                <w:lang w:eastAsia="cs-CZ"/>
              </w:rPr>
            </w:pPr>
            <w:r w:rsidRPr="005A192A">
              <w:rPr>
                <w:rFonts w:ascii="Calibri" w:hAnsi="Calibri"/>
                <w:color w:val="000000"/>
                <w:sz w:val="16"/>
                <w:szCs w:val="16"/>
                <w:lang w:eastAsia="cs-CZ"/>
              </w:rPr>
              <w:t xml:space="preserve">opatrenia na podporu efektívnosti sektora zdravotníctva prostredníctvom zavádzania modelov </w:t>
            </w:r>
            <w:r w:rsidRPr="005A192A">
              <w:rPr>
                <w:rFonts w:ascii="Calibri" w:hAnsi="Calibri"/>
                <w:color w:val="000000"/>
                <w:sz w:val="16"/>
                <w:szCs w:val="16"/>
                <w:lang w:eastAsia="cs-CZ"/>
              </w:rPr>
              <w:lastRenderedPageBreak/>
              <w:t xml:space="preserve">poskytovania služieb a infraštruktúry, </w:t>
            </w:r>
          </w:p>
        </w:tc>
        <w:tc>
          <w:tcPr>
            <w:tcW w:w="1134" w:type="dxa"/>
            <w:vAlign w:val="center"/>
          </w:tcPr>
          <w:p w:rsidR="004E2D6C" w:rsidRPr="004E2D6C" w:rsidRDefault="000352EB" w:rsidP="00535799">
            <w:pPr>
              <w:spacing w:before="0"/>
              <w:jc w:val="center"/>
              <w:rPr>
                <w:rFonts w:ascii="Calibri" w:hAnsi="Calibri"/>
                <w:sz w:val="16"/>
                <w:szCs w:val="16"/>
              </w:rPr>
            </w:pPr>
            <w:r>
              <w:rPr>
                <w:rFonts w:ascii="Calibri" w:hAnsi="Calibri"/>
                <w:b/>
                <w:sz w:val="16"/>
                <w:szCs w:val="16"/>
              </w:rPr>
              <w:lastRenderedPageBreak/>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84"/>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3"/>
              </w:numPr>
              <w:tabs>
                <w:tab w:val="left" w:pos="341"/>
              </w:tabs>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systém monitorovania a kontroly.</w:t>
            </w:r>
          </w:p>
        </w:tc>
        <w:tc>
          <w:tcPr>
            <w:tcW w:w="1134" w:type="dxa"/>
            <w:vAlign w:val="center"/>
          </w:tcPr>
          <w:p w:rsidR="004E2D6C" w:rsidRPr="004E2D6C" w:rsidRDefault="00002AFE" w:rsidP="00A14E7D">
            <w:pPr>
              <w:spacing w:before="0"/>
              <w:jc w:val="center"/>
              <w:rPr>
                <w:rFonts w:ascii="Calibri" w:hAnsi="Calibri"/>
                <w:sz w:val="16"/>
                <w:szCs w:val="16"/>
              </w:rPr>
            </w:pPr>
            <w:r>
              <w:rPr>
                <w:rFonts w:ascii="Calibri" w:hAnsi="Calibri"/>
                <w:b/>
                <w:sz w:val="16"/>
                <w:szCs w:val="16"/>
              </w:rPr>
              <w:t>Nie</w:t>
            </w:r>
          </w:p>
        </w:tc>
        <w:tc>
          <w:tcPr>
            <w:tcW w:w="3119" w:type="dxa"/>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Dokument v samostatnej časti popisuje mechanizmus monitorovacieho </w:t>
            </w:r>
            <w:r w:rsidR="000A418D">
              <w:rPr>
                <w:rFonts w:ascii="Calibri" w:hAnsi="Calibri"/>
                <w:sz w:val="16"/>
                <w:szCs w:val="16"/>
              </w:rPr>
              <w:br/>
            </w:r>
            <w:r w:rsidRPr="004E2D6C">
              <w:rPr>
                <w:rFonts w:ascii="Calibri" w:hAnsi="Calibri"/>
                <w:sz w:val="16"/>
                <w:szCs w:val="16"/>
              </w:rPr>
              <w:t>a kontrolného systému plnenia jednotlivých stratégií. Monitorovací a kontrolný systém bude realizovaný na dvoch úrovniach:</w:t>
            </w:r>
          </w:p>
          <w:p w:rsidR="004E2D6C" w:rsidRPr="004E2D6C" w:rsidRDefault="004E2D6C" w:rsidP="004E2D6C">
            <w:pPr>
              <w:spacing w:before="0"/>
              <w:rPr>
                <w:rFonts w:ascii="Calibri" w:hAnsi="Calibri"/>
                <w:sz w:val="16"/>
                <w:szCs w:val="16"/>
              </w:rPr>
            </w:pPr>
            <w:r w:rsidRPr="004E2D6C">
              <w:rPr>
                <w:rFonts w:ascii="Calibri" w:hAnsi="Calibri"/>
                <w:sz w:val="16"/>
                <w:szCs w:val="16"/>
              </w:rPr>
              <w:t>1. úroveň – MZ SR prostredníctvom podrobného „Akčného plánu pre prípravu čiastkových stratégií/nástrojov zmien“, ktorého plnenie bude následne v stanovených termínoch kontrolované.</w:t>
            </w:r>
          </w:p>
          <w:p w:rsidR="004E2D6C" w:rsidRPr="004E2D6C" w:rsidRDefault="004E2D6C" w:rsidP="004E2D6C">
            <w:pPr>
              <w:spacing w:before="0"/>
              <w:rPr>
                <w:rFonts w:ascii="Calibri" w:hAnsi="Calibri"/>
                <w:sz w:val="16"/>
                <w:szCs w:val="16"/>
              </w:rPr>
            </w:pPr>
            <w:r w:rsidRPr="004E2D6C">
              <w:rPr>
                <w:rFonts w:ascii="Calibri" w:hAnsi="Calibri"/>
                <w:sz w:val="16"/>
                <w:szCs w:val="16"/>
              </w:rPr>
              <w:t>2. úroveň - MZ SR zriadi monitorovaciu komisiu, ktorá bude zložená zo zástupcov relevantných partnerov. Komisia bude v pravidelných intervaloch monitorovať pokrok v strategickom rámci, navrhovať jeho prípadné doplnenia a dohliadať na plnenia jednotlivých čiastkových stratégií/nástrojov zmien.</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MZ SR v spolupráci s partnermi bude vypracovávať v ročných intervaloch správy </w:t>
            </w:r>
            <w:r w:rsidR="000A418D">
              <w:rPr>
                <w:rFonts w:ascii="Calibri" w:hAnsi="Calibri"/>
                <w:sz w:val="16"/>
                <w:szCs w:val="16"/>
              </w:rPr>
              <w:br/>
            </w:r>
            <w:r w:rsidRPr="004E2D6C">
              <w:rPr>
                <w:rFonts w:ascii="Calibri" w:hAnsi="Calibri"/>
                <w:sz w:val="16"/>
                <w:szCs w:val="16"/>
              </w:rPr>
              <w:t>o dosahovanom pokroku na úrovni strategického rámca najmä formou aktualizácie dosiahnutých hodnôt ukazovateľov a formou informácie o stave plnenia stratégií/nástrojov na uskutočnenie zmien.</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84"/>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4E2D6C" w:rsidRDefault="004E2D6C" w:rsidP="004E2D6C">
            <w:pPr>
              <w:spacing w:before="0"/>
              <w:contextualSpacing/>
              <w:rPr>
                <w:rFonts w:ascii="Calibri" w:hAnsi="Calibri"/>
                <w:color w:val="000000"/>
                <w:sz w:val="16"/>
                <w:szCs w:val="16"/>
                <w:lang w:eastAsia="cs-CZ"/>
              </w:rPr>
            </w:pPr>
            <w:r w:rsidRPr="004E2D6C">
              <w:rPr>
                <w:rFonts w:ascii="Calibri" w:hAnsi="Calibri"/>
                <w:color w:val="000000"/>
                <w:sz w:val="16"/>
                <w:szCs w:val="16"/>
                <w:lang w:eastAsia="cs-CZ"/>
              </w:rPr>
              <w:t>Členský štát alebo región prijal rámec orientačne opisujúci dostupné rozpočtové prostriedky a nákladovo efektívnu koncentráciu prostriedkov na prioritné potreby pre zdravotnú starostlivosť.</w:t>
            </w:r>
          </w:p>
        </w:tc>
        <w:tc>
          <w:tcPr>
            <w:tcW w:w="1134" w:type="dxa"/>
            <w:tcBorders>
              <w:bottom w:val="single" w:sz="12" w:space="0" w:color="auto"/>
            </w:tcBorders>
            <w:vAlign w:val="center"/>
          </w:tcPr>
          <w:p w:rsidR="004E2D6C" w:rsidRPr="004E2D6C" w:rsidRDefault="00002AFE" w:rsidP="00A14E7D">
            <w:pPr>
              <w:spacing w:before="0"/>
              <w:jc w:val="center"/>
              <w:rPr>
                <w:rFonts w:ascii="Calibri" w:hAnsi="Calibri"/>
                <w:sz w:val="16"/>
                <w:szCs w:val="16"/>
              </w:rPr>
            </w:pPr>
            <w:r>
              <w:rPr>
                <w:rFonts w:ascii="Calibri" w:hAnsi="Calibri"/>
                <w:b/>
                <w:sz w:val="16"/>
                <w:szCs w:val="16"/>
              </w:rPr>
              <w:t>Nie</w:t>
            </w:r>
          </w:p>
        </w:tc>
        <w:tc>
          <w:tcPr>
            <w:tcW w:w="3119" w:type="dxa"/>
            <w:tcBorders>
              <w:bottom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Samostatná kapitola dokumentu popisuje možné zdroje financovania pre dosahovanie stanovených cieľov (zdroje štátneho rozpočtu, verejného zdravotného poistenia, PPP, komunitárneho programu pre oblasť zdravia a zdroje štrukturálnych fondov).</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Popis zdrojov financovania bude obsahovať aj indikatívne alokácie finančných zdrojov </w:t>
            </w:r>
            <w:r w:rsidR="000A418D">
              <w:rPr>
                <w:rFonts w:ascii="Calibri" w:hAnsi="Calibri"/>
                <w:sz w:val="16"/>
                <w:szCs w:val="16"/>
              </w:rPr>
              <w:br/>
            </w:r>
            <w:r w:rsidRPr="004E2D6C">
              <w:rPr>
                <w:rFonts w:ascii="Calibri" w:hAnsi="Calibri"/>
                <w:sz w:val="16"/>
                <w:szCs w:val="16"/>
              </w:rPr>
              <w:t>a identifikáciu opatrení (čiastkových kategórií/nástrojov zmeny), ktoré budú financované z uvedených zdrojov.</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Detailný rozpočet bude súčasťou každej </w:t>
            </w:r>
            <w:r w:rsidRPr="004E2D6C">
              <w:rPr>
                <w:rFonts w:ascii="Calibri" w:hAnsi="Calibri"/>
                <w:sz w:val="16"/>
                <w:szCs w:val="16"/>
              </w:rPr>
              <w:lastRenderedPageBreak/>
              <w:t>čiastkovej stratégie/nástroja zmeny.</w:t>
            </w: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2"/>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10.1. Predčasné ukončovanie školskej dochádzky: existencia strategického politického rámca na zníženie miery predčasného ukončenia školskej dochádzky v medziach článku 165 ZFEÚ.</w:t>
            </w:r>
          </w:p>
        </w:tc>
        <w:tc>
          <w:tcPr>
            <w:tcW w:w="1559" w:type="dxa"/>
            <w:vMerge w:val="restart"/>
            <w:tcBorders>
              <w:top w:val="single" w:sz="12" w:space="0" w:color="auto"/>
            </w:tcBorders>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Čiastočne</w:t>
            </w:r>
          </w:p>
        </w:tc>
        <w:tc>
          <w:tcPr>
            <w:tcW w:w="2551" w:type="dxa"/>
            <w:tcBorders>
              <w:top w:val="single" w:sz="12" w:space="0" w:color="auto"/>
              <w:bottom w:val="single" w:sz="2" w:space="0" w:color="auto"/>
            </w:tcBorders>
            <w:vAlign w:val="center"/>
          </w:tcPr>
          <w:p w:rsidR="004E2D6C" w:rsidRPr="004E2D6C" w:rsidRDefault="004E2D6C" w:rsidP="004E2D6C">
            <w:pPr>
              <w:spacing w:before="0"/>
              <w:contextualSpacing/>
              <w:rPr>
                <w:rFonts w:ascii="Calibri" w:hAnsi="Calibri"/>
                <w:color w:val="000000"/>
                <w:sz w:val="16"/>
                <w:szCs w:val="16"/>
                <w:lang w:eastAsia="cs-CZ"/>
              </w:rPr>
            </w:pPr>
            <w:r w:rsidRPr="004E2D6C">
              <w:rPr>
                <w:rFonts w:ascii="Calibri" w:hAnsi="Calibri"/>
                <w:color w:val="000000"/>
                <w:sz w:val="16"/>
                <w:szCs w:val="16"/>
                <w:lang w:eastAsia="cs-CZ"/>
              </w:rPr>
              <w:t xml:space="preserve">Zavedený je systém na zhromažďovanie a analýzu údajov a informácií o predčasnom ukončovaní školskej dochádzky na príslušných úrovniach, ktorý: </w:t>
            </w:r>
          </w:p>
        </w:tc>
        <w:tc>
          <w:tcPr>
            <w:tcW w:w="1134" w:type="dxa"/>
            <w:tcBorders>
              <w:top w:val="single" w:sz="12" w:space="0" w:color="auto"/>
            </w:tcBorders>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Nie</w:t>
            </w:r>
          </w:p>
        </w:tc>
        <w:tc>
          <w:tcPr>
            <w:tcW w:w="3119" w:type="dxa"/>
            <w:vMerge w:val="restart"/>
            <w:tcBorders>
              <w:top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Rezortný informačný systém (RzIS) vytvorí systém monitoringu, na základe ktorého bude možné vykonať analýzy a zacieliť podporné opatrenia na zníženie predčasného ukončenia školskej dochádzky na úrovni národnej, regionálnej a lokálnej. Predpoklad plného prechodu systému RzIS do prevádzky je v závere I. štvrťroku 2014.</w:t>
            </w:r>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3"/>
              </w:numPr>
              <w:tabs>
                <w:tab w:val="left" w:pos="328"/>
              </w:tabs>
              <w:spacing w:before="0"/>
              <w:ind w:left="175" w:hanging="175"/>
              <w:rPr>
                <w:rFonts w:ascii="Calibri" w:hAnsi="Calibri"/>
                <w:color w:val="000000"/>
                <w:sz w:val="16"/>
                <w:szCs w:val="16"/>
                <w:lang w:eastAsia="cs-CZ"/>
              </w:rPr>
            </w:pPr>
            <w:r w:rsidRPr="005A192A">
              <w:rPr>
                <w:rFonts w:ascii="Calibri" w:hAnsi="Calibri"/>
                <w:color w:val="000000"/>
                <w:sz w:val="16"/>
                <w:szCs w:val="16"/>
                <w:lang w:eastAsia="cs-CZ"/>
              </w:rPr>
              <w:t xml:space="preserve">poskytuje dostatok dôkazov, na základe ktorých sa dajú stanoviť cielené politiky, a sleduje vývoj. </w:t>
            </w:r>
          </w:p>
        </w:tc>
        <w:tc>
          <w:tcPr>
            <w:tcW w:w="1134" w:type="dxa"/>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Nie</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4E2D6C" w:rsidRDefault="004E2D6C" w:rsidP="004E2D6C">
            <w:pPr>
              <w:tabs>
                <w:tab w:val="left" w:pos="328"/>
              </w:tabs>
              <w:spacing w:before="0"/>
              <w:contextualSpacing/>
              <w:rPr>
                <w:rFonts w:ascii="Calibri" w:hAnsi="Calibri"/>
                <w:color w:val="000000"/>
                <w:sz w:val="16"/>
                <w:szCs w:val="16"/>
                <w:lang w:eastAsia="cs-CZ"/>
              </w:rPr>
            </w:pPr>
            <w:r w:rsidRPr="004E2D6C">
              <w:rPr>
                <w:rFonts w:ascii="Calibri" w:hAnsi="Calibri"/>
                <w:color w:val="000000"/>
                <w:sz w:val="16"/>
                <w:szCs w:val="16"/>
                <w:lang w:eastAsia="cs-CZ"/>
              </w:rPr>
              <w:t xml:space="preserve">Zavedený je strategický politický rámec týkajúci sa predčasného ukončovania školskej dochádzky, ktorý: </w:t>
            </w:r>
          </w:p>
        </w:tc>
        <w:tc>
          <w:tcPr>
            <w:tcW w:w="1134"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vMerge w:val="restart"/>
          </w:tcPr>
          <w:p w:rsidR="004E2D6C" w:rsidRPr="004E2D6C" w:rsidRDefault="004E2D6C" w:rsidP="004E2D6C">
            <w:pPr>
              <w:spacing w:before="0"/>
              <w:rPr>
                <w:rFonts w:ascii="Calibri" w:hAnsi="Calibri"/>
                <w:sz w:val="16"/>
                <w:szCs w:val="16"/>
              </w:rPr>
            </w:pPr>
            <w:r w:rsidRPr="004E2D6C">
              <w:rPr>
                <w:rFonts w:ascii="Calibri" w:hAnsi="Calibri"/>
                <w:sz w:val="16"/>
                <w:szCs w:val="16"/>
              </w:rPr>
              <w:t>Revidovaný národný akčný plán Dekády začleňovania rómskej populácie 2005 - 2015 na roky 2011 – 2015</w:t>
            </w:r>
          </w:p>
          <w:p w:rsidR="004E2D6C" w:rsidRPr="004E2D6C" w:rsidRDefault="00ED6BC8" w:rsidP="004E2D6C">
            <w:pPr>
              <w:spacing w:before="0"/>
              <w:rPr>
                <w:rFonts w:ascii="Calibri" w:hAnsi="Calibri"/>
                <w:sz w:val="16"/>
                <w:szCs w:val="16"/>
              </w:rPr>
            </w:pPr>
            <w:hyperlink r:id="rId145" w:history="1">
              <w:r w:rsidR="004E2D6C" w:rsidRPr="004E2D6C">
                <w:rPr>
                  <w:rFonts w:ascii="Calibri" w:hAnsi="Calibri"/>
                  <w:color w:val="0000FF"/>
                  <w:sz w:val="16"/>
                  <w:szCs w:val="16"/>
                  <w:u w:val="single"/>
                </w:rPr>
                <w:t>http://www.rokovania.sk/Rokovanie.aspx/BodRokovaniaDetail?idMaterial=19992</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Stratégia SR pre integráciu Rómov do roku 2020</w:t>
            </w:r>
          </w:p>
          <w:p w:rsidR="004E2D6C" w:rsidRPr="004E2D6C" w:rsidRDefault="00ED6BC8" w:rsidP="004E2D6C">
            <w:pPr>
              <w:spacing w:before="0"/>
              <w:rPr>
                <w:rFonts w:ascii="Calibri" w:hAnsi="Calibri"/>
                <w:sz w:val="16"/>
                <w:szCs w:val="16"/>
              </w:rPr>
            </w:pPr>
            <w:hyperlink r:id="rId146" w:history="1">
              <w:r w:rsidR="004E2D6C" w:rsidRPr="004E2D6C">
                <w:rPr>
                  <w:rFonts w:ascii="Calibri" w:hAnsi="Calibri"/>
                  <w:color w:val="0000FF"/>
                  <w:sz w:val="16"/>
                  <w:szCs w:val="16"/>
                  <w:u w:val="single"/>
                </w:rPr>
                <w:t>http://www.ksuza.sk/doc/metodika/bozp/20012012.pdf</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Zákon č. 324/2012 Z. z., ktorým sa mení </w:t>
            </w:r>
            <w:r w:rsidR="000A418D">
              <w:rPr>
                <w:rFonts w:ascii="Calibri" w:hAnsi="Calibri"/>
                <w:sz w:val="16"/>
                <w:szCs w:val="16"/>
              </w:rPr>
              <w:br/>
            </w:r>
            <w:r w:rsidRPr="004E2D6C">
              <w:rPr>
                <w:rFonts w:ascii="Calibri" w:hAnsi="Calibri"/>
                <w:sz w:val="16"/>
                <w:szCs w:val="16"/>
              </w:rPr>
              <w:t>a dopĺňa zákon č. 184/2009 Z. z. o odbornom vzdelávaní a príprave</w:t>
            </w:r>
          </w:p>
          <w:p w:rsidR="004E2D6C" w:rsidRPr="004E2D6C" w:rsidRDefault="00ED6BC8" w:rsidP="004E2D6C">
            <w:pPr>
              <w:spacing w:before="0"/>
              <w:rPr>
                <w:rFonts w:ascii="Calibri" w:hAnsi="Calibri"/>
                <w:sz w:val="16"/>
                <w:szCs w:val="16"/>
              </w:rPr>
            </w:pPr>
            <w:hyperlink r:id="rId147" w:history="1">
              <w:r w:rsidR="004E2D6C" w:rsidRPr="004E2D6C">
                <w:rPr>
                  <w:rFonts w:ascii="Calibri" w:hAnsi="Calibri"/>
                  <w:color w:val="0000FF"/>
                  <w:sz w:val="16"/>
                  <w:szCs w:val="16"/>
                  <w:u w:val="single"/>
                </w:rPr>
                <w:t>http://www.minedu.sk/zakon-o-odbornom-vzdelavani-a-priprave/</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Národný projekt Metodicko-pedagogického centra „Inkluzívny model vzdelávania na predprimárnom stupni školskej sústavy“</w:t>
            </w:r>
          </w:p>
          <w:p w:rsidR="004E2D6C" w:rsidRPr="004E2D6C" w:rsidRDefault="00ED6BC8" w:rsidP="004E2D6C">
            <w:pPr>
              <w:spacing w:before="0"/>
              <w:rPr>
                <w:rFonts w:ascii="Calibri" w:hAnsi="Calibri"/>
                <w:sz w:val="16"/>
                <w:szCs w:val="16"/>
              </w:rPr>
            </w:pPr>
            <w:hyperlink r:id="rId148" w:history="1">
              <w:r w:rsidR="004E2D6C" w:rsidRPr="004E2D6C">
                <w:rPr>
                  <w:rFonts w:ascii="Calibri" w:hAnsi="Calibri"/>
                  <w:color w:val="0000FF"/>
                  <w:sz w:val="16"/>
                  <w:szCs w:val="16"/>
                  <w:u w:val="single"/>
                </w:rPr>
                <w:t>http://www.npmrk2.sk/</w:t>
              </w:r>
            </w:hyperlink>
            <w:r w:rsidR="004E2D6C" w:rsidRPr="004E2D6C">
              <w:rPr>
                <w:rFonts w:ascii="Calibri" w:hAnsi="Calibri"/>
                <w:sz w:val="16"/>
                <w:szCs w:val="16"/>
              </w:rPr>
              <w:t xml:space="preserve">  (stránka NP)</w:t>
            </w: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4"/>
              </w:numPr>
              <w:tabs>
                <w:tab w:val="left" w:pos="328"/>
              </w:tabs>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 xml:space="preserve">je založený na dôkazoch, </w:t>
            </w:r>
          </w:p>
        </w:tc>
        <w:tc>
          <w:tcPr>
            <w:tcW w:w="1134" w:type="dxa"/>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2"/>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4"/>
              </w:numPr>
              <w:tabs>
                <w:tab w:val="left" w:pos="328"/>
              </w:tabs>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 xml:space="preserve">sa vzťahuje na príslušné oblasti vzdelávania vrátane predškolského vzdelávania, zameriava sa najmä na zraniteľné skupiny, ktoré najviac ohrozuje predčasné ukončovanie školskej dochádzky, vrátane marginalizovaných komunít a zaoberá sa preventívnymi, intervenčnými a kompenzačnými opatreniami, </w:t>
            </w:r>
          </w:p>
        </w:tc>
        <w:tc>
          <w:tcPr>
            <w:tcW w:w="1134" w:type="dxa"/>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407"/>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5A192A" w:rsidRDefault="004E2D6C" w:rsidP="001C5C9E">
            <w:pPr>
              <w:pStyle w:val="Odsekzoznamu"/>
              <w:numPr>
                <w:ilvl w:val="0"/>
                <w:numId w:val="114"/>
              </w:numPr>
              <w:tabs>
                <w:tab w:val="left" w:pos="328"/>
              </w:tabs>
              <w:spacing w:before="0"/>
              <w:ind w:left="175" w:hanging="141"/>
              <w:rPr>
                <w:rFonts w:ascii="Calibri" w:hAnsi="Calibri"/>
                <w:color w:val="000000"/>
                <w:sz w:val="16"/>
                <w:szCs w:val="16"/>
                <w:lang w:eastAsia="cs-CZ"/>
              </w:rPr>
            </w:pPr>
            <w:r w:rsidRPr="005A192A">
              <w:rPr>
                <w:rFonts w:ascii="Calibri" w:hAnsi="Calibri"/>
                <w:color w:val="000000"/>
                <w:sz w:val="16"/>
                <w:szCs w:val="16"/>
                <w:lang w:eastAsia="cs-CZ"/>
              </w:rPr>
              <w:t>zahŕňa všetky oblasti politík a zainteresované strany, ktorých sa dotýka riešenie predčasného ukončovania školskej dochádzky.</w:t>
            </w:r>
          </w:p>
        </w:tc>
        <w:tc>
          <w:tcPr>
            <w:tcW w:w="1134" w:type="dxa"/>
            <w:tcBorders>
              <w:bottom w:val="single" w:sz="12" w:space="0" w:color="auto"/>
            </w:tcBorders>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Áno</w:t>
            </w:r>
          </w:p>
        </w:tc>
        <w:tc>
          <w:tcPr>
            <w:tcW w:w="311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3100"/>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10.2. Vyššie vzdelávanie: existencia národného alebo regionálneho strategického politického rámca na zvýšenie dosahovania terciárneho vzdelávania a zvýšenie jeho kvality a účinnosti v medziach článku 165 ZFEÚ.</w:t>
            </w:r>
          </w:p>
        </w:tc>
        <w:tc>
          <w:tcPr>
            <w:tcW w:w="1559" w:type="dxa"/>
            <w:vMerge w:val="restart"/>
            <w:tcBorders>
              <w:top w:val="single" w:sz="12" w:space="0" w:color="auto"/>
            </w:tcBorders>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Čiastočne</w:t>
            </w:r>
          </w:p>
        </w:tc>
        <w:tc>
          <w:tcPr>
            <w:tcW w:w="2551" w:type="dxa"/>
            <w:tcBorders>
              <w:top w:val="single" w:sz="12" w:space="0" w:color="auto"/>
            </w:tcBorders>
            <w:vAlign w:val="center"/>
          </w:tcPr>
          <w:p w:rsidR="002900D1" w:rsidRPr="004E2D6C" w:rsidRDefault="004E2D6C" w:rsidP="004E2D6C">
            <w:pPr>
              <w:spacing w:before="0"/>
              <w:contextualSpacing/>
              <w:rPr>
                <w:rFonts w:ascii="Calibri" w:hAnsi="Calibri"/>
                <w:sz w:val="16"/>
                <w:szCs w:val="16"/>
                <w:lang w:eastAsia="cs-CZ"/>
              </w:rPr>
            </w:pPr>
            <w:r w:rsidRPr="004E2D6C">
              <w:rPr>
                <w:rFonts w:ascii="Calibri" w:hAnsi="Calibri"/>
                <w:sz w:val="16"/>
                <w:szCs w:val="16"/>
                <w:lang w:eastAsia="cs-CZ"/>
              </w:rPr>
              <w:t xml:space="preserve">Je zavedený národný alebo regionálny strategický politický rámec pre terciárne vzdelávanie, ktorý obsahuje tieto prvky: </w:t>
            </w:r>
          </w:p>
          <w:p w:rsidR="002900D1" w:rsidRPr="005A192A" w:rsidRDefault="004E2D6C" w:rsidP="001C5C9E">
            <w:pPr>
              <w:pStyle w:val="Odsekzoznamu"/>
              <w:numPr>
                <w:ilvl w:val="0"/>
                <w:numId w:val="115"/>
              </w:numPr>
              <w:spacing w:before="0"/>
              <w:ind w:left="175" w:hanging="141"/>
              <w:rPr>
                <w:rFonts w:ascii="Calibri" w:hAnsi="Calibri"/>
                <w:sz w:val="16"/>
                <w:szCs w:val="16"/>
                <w:lang w:eastAsia="cs-CZ"/>
              </w:rPr>
            </w:pPr>
            <w:r w:rsidRPr="005A192A">
              <w:rPr>
                <w:rFonts w:ascii="Calibri" w:hAnsi="Calibri"/>
                <w:sz w:val="16"/>
                <w:szCs w:val="16"/>
                <w:lang w:eastAsia="cs-CZ"/>
              </w:rPr>
              <w:t>v prípade potreby opatrenia na zvýšenie účasti a výsledkov, ktoré</w:t>
            </w:r>
          </w:p>
          <w:p w:rsidR="004E2D6C" w:rsidRPr="005A192A" w:rsidRDefault="004E2D6C" w:rsidP="001C5C9E">
            <w:pPr>
              <w:pStyle w:val="Odsekzoznamu"/>
              <w:numPr>
                <w:ilvl w:val="0"/>
                <w:numId w:val="115"/>
              </w:numPr>
              <w:spacing w:before="0"/>
              <w:ind w:left="175" w:hanging="141"/>
              <w:rPr>
                <w:rFonts w:ascii="Calibri" w:hAnsi="Calibri"/>
                <w:sz w:val="16"/>
                <w:szCs w:val="16"/>
                <w:lang w:eastAsia="cs-CZ"/>
              </w:rPr>
            </w:pPr>
            <w:r w:rsidRPr="005A192A">
              <w:rPr>
                <w:rFonts w:ascii="Calibri" w:hAnsi="Calibri"/>
                <w:sz w:val="16"/>
                <w:szCs w:val="16"/>
                <w:lang w:eastAsia="cs-CZ"/>
              </w:rPr>
              <w:t xml:space="preserve">zvyšujú účasť na vysokoškolskom vzdelávaní u skupín s nižším príjmom a ostatných nízko zastúpených skupín, s osobitným zreteľom na znevýhodnené skupiny vrátane marginalizovaných komunít, </w:t>
            </w:r>
          </w:p>
        </w:tc>
        <w:tc>
          <w:tcPr>
            <w:tcW w:w="1134" w:type="dxa"/>
            <w:tcBorders>
              <w:top w:val="single" w:sz="12" w:space="0" w:color="auto"/>
            </w:tcBorders>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Nie</w:t>
            </w:r>
          </w:p>
        </w:tc>
        <w:tc>
          <w:tcPr>
            <w:tcW w:w="3119" w:type="dxa"/>
            <w:tcBorders>
              <w:top w:val="single" w:sz="12" w:space="0" w:color="auto"/>
            </w:tcBorders>
          </w:tcPr>
          <w:p w:rsidR="004E2D6C" w:rsidRPr="004E2D6C" w:rsidRDefault="004E2D6C" w:rsidP="004E2D6C">
            <w:pPr>
              <w:spacing w:before="0"/>
              <w:rPr>
                <w:rFonts w:ascii="Calibri" w:hAnsi="Calibri"/>
                <w:sz w:val="16"/>
                <w:szCs w:val="16"/>
              </w:rPr>
            </w:pPr>
          </w:p>
        </w:tc>
        <w:tc>
          <w:tcPr>
            <w:tcW w:w="4111" w:type="dxa"/>
            <w:tcBorders>
              <w:top w:val="single" w:sz="12" w:space="0" w:color="auto"/>
              <w:right w:val="single" w:sz="12" w:space="0" w:color="auto"/>
            </w:tcBorders>
          </w:tcPr>
          <w:p w:rsidR="004E2D6C" w:rsidRPr="004E2D6C" w:rsidRDefault="00965BE9" w:rsidP="004E2D6C">
            <w:pPr>
              <w:spacing w:before="0"/>
              <w:rPr>
                <w:rFonts w:ascii="Calibri" w:hAnsi="Calibri"/>
                <w:sz w:val="16"/>
                <w:szCs w:val="16"/>
              </w:rPr>
            </w:pPr>
            <w:r>
              <w:rPr>
                <w:rFonts w:ascii="Calibri" w:hAnsi="Calibri"/>
                <w:sz w:val="16"/>
                <w:szCs w:val="16"/>
              </w:rPr>
              <w:t>MŠVV</w:t>
            </w:r>
            <w:r w:rsidRPr="00037D4D">
              <w:rPr>
                <w:rFonts w:ascii="Calibri" w:hAnsi="Calibri"/>
                <w:sz w:val="16"/>
                <w:szCs w:val="16"/>
              </w:rPr>
              <w:t xml:space="preserve">Š SR pripravuje národný strategický politický rámec pre oblasť vysokého školstva na roky 2014 </w:t>
            </w:r>
            <w:r>
              <w:rPr>
                <w:rFonts w:ascii="Calibri" w:hAnsi="Calibri"/>
                <w:sz w:val="16"/>
                <w:szCs w:val="16"/>
              </w:rPr>
              <w:t>–</w:t>
            </w:r>
            <w:r w:rsidRPr="00037D4D">
              <w:rPr>
                <w:rFonts w:ascii="Calibri" w:hAnsi="Calibri"/>
                <w:sz w:val="16"/>
                <w:szCs w:val="16"/>
              </w:rPr>
              <w:t xml:space="preserve"> 2020</w:t>
            </w:r>
            <w:r w:rsidR="00C741AD">
              <w:rPr>
                <w:rFonts w:ascii="Calibri" w:hAnsi="Calibri"/>
                <w:sz w:val="16"/>
                <w:szCs w:val="16"/>
              </w:rPr>
              <w:t>,</w:t>
            </w:r>
            <w:r w:rsidR="005D5322" w:rsidRPr="00F57829">
              <w:rPr>
                <w:rFonts w:ascii="Calibri" w:hAnsi="Calibri"/>
                <w:sz w:val="16"/>
                <w:szCs w:val="16"/>
              </w:rPr>
              <w:t>, ktorého súčasťou bude riešenie otázky dostupnosti vysokoškolského vzdelávania, napr. študentov so špecifickými potrebami (najmä telesné postihnutie).</w:t>
            </w:r>
          </w:p>
        </w:tc>
      </w:tr>
      <w:tr w:rsidR="004E2D6C" w:rsidRPr="004E2D6C" w:rsidTr="00B763E3">
        <w:trPr>
          <w:trHeight w:val="131"/>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6"/>
              </w:numPr>
              <w:tabs>
                <w:tab w:val="left" w:pos="175"/>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 xml:space="preserve">znižujú mieru neukončenia štúdia/zvyšujú mieru ukončenia štúdia, </w:t>
            </w:r>
          </w:p>
        </w:tc>
        <w:tc>
          <w:tcPr>
            <w:tcW w:w="1134"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tcPr>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Novelizácia zákona o vysokých školách č. 455/2012 Z. z.</w:t>
            </w:r>
          </w:p>
          <w:p w:rsidR="004E2D6C" w:rsidRPr="002900D1" w:rsidRDefault="004E2D6C" w:rsidP="004E2D6C">
            <w:pPr>
              <w:spacing w:before="0"/>
              <w:rPr>
                <w:rFonts w:asciiTheme="majorHAnsi" w:hAnsiTheme="majorHAnsi"/>
                <w:sz w:val="16"/>
                <w:szCs w:val="16"/>
              </w:rPr>
            </w:pPr>
          </w:p>
          <w:p w:rsidR="004E2D6C" w:rsidRPr="002900D1" w:rsidRDefault="00ED6BC8" w:rsidP="004E2D6C">
            <w:pPr>
              <w:spacing w:before="0"/>
              <w:rPr>
                <w:rFonts w:asciiTheme="majorHAnsi" w:hAnsiTheme="majorHAnsi"/>
                <w:sz w:val="16"/>
                <w:szCs w:val="16"/>
              </w:rPr>
            </w:pPr>
            <w:hyperlink r:id="rId149" w:anchor="38;_filter_predpis_aspi_id=455%2F2012&amp;" w:history="1">
              <w:r w:rsidR="004E2D6C" w:rsidRPr="002900D1">
                <w:rPr>
                  <w:rFonts w:asciiTheme="majorHAnsi" w:hAnsiTheme="majorHAnsi"/>
                  <w:color w:val="0000FF"/>
                  <w:sz w:val="16"/>
                  <w:szCs w:val="16"/>
                  <w:u w:val="single"/>
                </w:rPr>
                <w:t>http://www.zbierka.sk/sk/vyhladavanie?filter_sent=1&amp;_filter_predpis_aspi_id=455%2F2012&amp;q</w:t>
              </w:r>
            </w:hyperlink>
            <w:r w:rsidR="004E2D6C" w:rsidRPr="002900D1">
              <w:rPr>
                <w:rFonts w:asciiTheme="majorHAnsi" w:hAnsiTheme="majorHAnsi"/>
                <w:sz w:val="16"/>
                <w:szCs w:val="16"/>
              </w:rPr>
              <w:t>=</w:t>
            </w:r>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1"/>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6"/>
              </w:numPr>
              <w:tabs>
                <w:tab w:val="left" w:pos="175"/>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 xml:space="preserve">podporia inovatívny obsah a tvorbu učebných osnov, </w:t>
            </w:r>
          </w:p>
        </w:tc>
        <w:tc>
          <w:tcPr>
            <w:tcW w:w="1134"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Nie</w:t>
            </w:r>
          </w:p>
        </w:tc>
        <w:tc>
          <w:tcPr>
            <w:tcW w:w="3119" w:type="dxa"/>
          </w:tcPr>
          <w:p w:rsidR="004E2D6C" w:rsidRPr="004E2D6C" w:rsidRDefault="004E2D6C" w:rsidP="004E2D6C">
            <w:pPr>
              <w:spacing w:before="0"/>
              <w:rPr>
                <w:rFonts w:ascii="Calibri" w:hAnsi="Calibri"/>
                <w:sz w:val="16"/>
                <w:szCs w:val="16"/>
              </w:rPr>
            </w:pPr>
          </w:p>
        </w:tc>
        <w:tc>
          <w:tcPr>
            <w:tcW w:w="4111" w:type="dxa"/>
            <w:tcBorders>
              <w:right w:val="single" w:sz="12" w:space="0" w:color="auto"/>
            </w:tcBorders>
          </w:tcPr>
          <w:p w:rsidR="00965BE9" w:rsidRPr="002900D1" w:rsidRDefault="00965BE9" w:rsidP="004E2D6C">
            <w:pPr>
              <w:spacing w:before="0"/>
              <w:rPr>
                <w:rFonts w:ascii="Calibri" w:hAnsi="Calibri"/>
                <w:sz w:val="16"/>
                <w:szCs w:val="16"/>
              </w:rPr>
            </w:pPr>
            <w:r w:rsidRPr="002900D1">
              <w:rPr>
                <w:rFonts w:ascii="Calibri" w:hAnsi="Calibri"/>
                <w:sz w:val="16"/>
                <w:szCs w:val="16"/>
              </w:rPr>
              <w:t xml:space="preserve">MŠVVŠ SR pripravuje národný strategický politický rámec pre oblasť vysokého školstva na roky 2014 – 2020. </w:t>
            </w:r>
          </w:p>
          <w:p w:rsidR="004E2D6C" w:rsidRPr="004E2D6C" w:rsidRDefault="00965BE9" w:rsidP="004E2D6C">
            <w:pPr>
              <w:spacing w:before="0"/>
              <w:rPr>
                <w:rFonts w:ascii="Calibri" w:hAnsi="Calibri"/>
                <w:sz w:val="16"/>
                <w:szCs w:val="16"/>
              </w:rPr>
            </w:pPr>
            <w:r w:rsidRPr="002900D1">
              <w:rPr>
                <w:rFonts w:ascii="Calibri" w:hAnsi="Calibri"/>
                <w:sz w:val="16"/>
                <w:szCs w:val="16"/>
              </w:rPr>
              <w:t>Centrum vedecko-technických informácií</w:t>
            </w:r>
            <w:r w:rsidR="004E2D6C" w:rsidRPr="002900D1">
              <w:rPr>
                <w:rFonts w:ascii="Calibri" w:hAnsi="Calibri"/>
                <w:sz w:val="16"/>
                <w:szCs w:val="16"/>
              </w:rPr>
              <w:t xml:space="preserve"> realizuje národný projekt „Vysoké školy ako motory rozvoja vedomostnej spoločnosti“. Cieľom národného projektu je prispôsobenie vyššieho vzdelávania potrebám vedomostnej spoločnosti prostredníctvom rozvoja inovatívnych</w:t>
            </w:r>
            <w:r w:rsidR="004E2D6C" w:rsidRPr="004E2D6C">
              <w:rPr>
                <w:rFonts w:ascii="Calibri" w:hAnsi="Calibri"/>
                <w:sz w:val="16"/>
                <w:szCs w:val="16"/>
              </w:rPr>
              <w:t xml:space="preserve"> foriem vzdelávania, rozvoj aktívnej spolupráce vysokých škôl so súkromným sektorom pri vývoji nových vzdelávacích kurzov a programov, racionalizácia a zvýšenie kvality existujúcich vzdelávacích kurzov a programov na univerzitách a v procese učenia a zvýšenie zapojenia vysokých škôl do medzinárodnej spolupráce.</w:t>
            </w:r>
          </w:p>
        </w:tc>
      </w:tr>
      <w:tr w:rsidR="004E2D6C" w:rsidRPr="004E2D6C" w:rsidTr="00B763E3">
        <w:trPr>
          <w:trHeight w:val="131"/>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6"/>
              </w:numPr>
              <w:tabs>
                <w:tab w:val="left" w:pos="175"/>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 xml:space="preserve">opatrenia na zvýšenie zamestnateľnosti a podnikania, ktoré: </w:t>
            </w:r>
          </w:p>
        </w:tc>
        <w:tc>
          <w:tcPr>
            <w:tcW w:w="1134"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vMerge w:val="restart"/>
          </w:tcPr>
          <w:p w:rsidR="004E2D6C" w:rsidRPr="002900D1" w:rsidRDefault="004E2D6C" w:rsidP="004E2D6C">
            <w:pPr>
              <w:spacing w:before="0"/>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lastRenderedPageBreak/>
              <w:t>Novelizácia zákona o vysokých školách č. 455/2012 Z. z.</w:t>
            </w:r>
          </w:p>
          <w:p w:rsidR="004E2D6C" w:rsidRPr="002900D1" w:rsidRDefault="004E2D6C" w:rsidP="004E2D6C">
            <w:pPr>
              <w:spacing w:before="0"/>
              <w:rPr>
                <w:rFonts w:asciiTheme="majorHAnsi" w:hAnsiTheme="majorHAnsi"/>
                <w:sz w:val="16"/>
                <w:szCs w:val="16"/>
              </w:rPr>
            </w:pPr>
          </w:p>
          <w:p w:rsidR="004E2D6C" w:rsidRPr="002900D1" w:rsidRDefault="00ED6BC8" w:rsidP="004E2D6C">
            <w:pPr>
              <w:spacing w:before="0"/>
              <w:rPr>
                <w:rFonts w:asciiTheme="majorHAnsi" w:hAnsiTheme="majorHAnsi"/>
                <w:sz w:val="16"/>
                <w:szCs w:val="16"/>
              </w:rPr>
            </w:pPr>
            <w:hyperlink r:id="rId150" w:anchor="38;_filter_predpis_aspi_id=455%2F2012&amp;" w:history="1">
              <w:r w:rsidR="004E2D6C" w:rsidRPr="002900D1">
                <w:rPr>
                  <w:rFonts w:asciiTheme="majorHAnsi" w:hAnsiTheme="majorHAnsi"/>
                  <w:color w:val="0000FF"/>
                  <w:sz w:val="16"/>
                  <w:szCs w:val="16"/>
                  <w:u w:val="single"/>
                </w:rPr>
                <w:t>http://www.zbierka.sk/sk/vyhladavanie?filter_sent=1&amp;_filter_predpis_aspi_id=455%2F2012&amp;q</w:t>
              </w:r>
            </w:hyperlink>
            <w:r w:rsidR="004E2D6C" w:rsidRPr="002900D1">
              <w:rPr>
                <w:rFonts w:asciiTheme="majorHAnsi" w:hAnsiTheme="majorHAnsi"/>
                <w:sz w:val="16"/>
                <w:szCs w:val="16"/>
              </w:rPr>
              <w:t>=</w:t>
            </w:r>
          </w:p>
          <w:p w:rsidR="004E2D6C" w:rsidRPr="002900D1" w:rsidRDefault="004E2D6C" w:rsidP="004E2D6C">
            <w:pPr>
              <w:spacing w:before="0"/>
              <w:rPr>
                <w:rFonts w:asciiTheme="majorHAnsi" w:hAnsiTheme="majorHAnsi"/>
                <w:sz w:val="16"/>
                <w:szCs w:val="16"/>
              </w:rPr>
            </w:pPr>
          </w:p>
        </w:tc>
        <w:tc>
          <w:tcPr>
            <w:tcW w:w="4111" w:type="dxa"/>
            <w:vMerge w:val="restart"/>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1"/>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6"/>
              </w:numPr>
              <w:tabs>
                <w:tab w:val="left" w:pos="175"/>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 xml:space="preserve">podporujú rozvoj tzv. prierezových zručností vrátane podnikania v príslušných programoch vysokoškolského vzdelávania, </w:t>
            </w:r>
          </w:p>
        </w:tc>
        <w:tc>
          <w:tcPr>
            <w:tcW w:w="1134"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vMerge/>
          </w:tcPr>
          <w:p w:rsidR="004E2D6C" w:rsidRPr="002900D1" w:rsidRDefault="004E2D6C" w:rsidP="004E2D6C">
            <w:pPr>
              <w:spacing w:before="0"/>
              <w:rPr>
                <w:rFonts w:asciiTheme="majorHAnsi" w:hAnsiTheme="majorHAns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31"/>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5A192A" w:rsidRDefault="004E2D6C" w:rsidP="001C5C9E">
            <w:pPr>
              <w:pStyle w:val="Odsekzoznamu"/>
              <w:numPr>
                <w:ilvl w:val="0"/>
                <w:numId w:val="116"/>
              </w:numPr>
              <w:tabs>
                <w:tab w:val="left" w:pos="175"/>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 xml:space="preserve">znižujú rodové rozdiely, pokiaľ ide o voľbu všeobecného alebo odborného vzdelávania.  </w:t>
            </w:r>
          </w:p>
        </w:tc>
        <w:tc>
          <w:tcPr>
            <w:tcW w:w="1134" w:type="dxa"/>
            <w:tcBorders>
              <w:bottom w:val="single" w:sz="12" w:space="0" w:color="auto"/>
            </w:tcBorders>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vMerge/>
            <w:tcBorders>
              <w:bottom w:val="single" w:sz="12" w:space="0" w:color="auto"/>
            </w:tcBorders>
          </w:tcPr>
          <w:p w:rsidR="004E2D6C" w:rsidRPr="002900D1" w:rsidRDefault="004E2D6C" w:rsidP="004E2D6C">
            <w:pPr>
              <w:spacing w:before="0"/>
              <w:rPr>
                <w:rFonts w:asciiTheme="majorHAnsi" w:hAnsiTheme="majorHAnsi"/>
                <w:sz w:val="16"/>
                <w:szCs w:val="16"/>
              </w:rPr>
            </w:pPr>
          </w:p>
        </w:tc>
        <w:tc>
          <w:tcPr>
            <w:tcW w:w="4111" w:type="dxa"/>
            <w:vMerge/>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59"/>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10.3. Celoživotné vzdelávanie: existencia národného a/alebo regionálneho strategického politického rámca pre celoživotné vzdelávanie v medziach článku 165 ZFEÚ.</w:t>
            </w:r>
          </w:p>
        </w:tc>
        <w:tc>
          <w:tcPr>
            <w:tcW w:w="1559" w:type="dxa"/>
            <w:vMerge w:val="restart"/>
            <w:tcBorders>
              <w:top w:val="single" w:sz="12" w:space="0" w:color="auto"/>
            </w:tcBorders>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Čiastočne</w:t>
            </w:r>
          </w:p>
        </w:tc>
        <w:tc>
          <w:tcPr>
            <w:tcW w:w="2551" w:type="dxa"/>
            <w:tcBorders>
              <w:top w:val="single" w:sz="12" w:space="0" w:color="auto"/>
              <w:bottom w:val="single" w:sz="2" w:space="0" w:color="auto"/>
            </w:tcBorders>
            <w:vAlign w:val="center"/>
          </w:tcPr>
          <w:p w:rsidR="004E2D6C" w:rsidRPr="004E2D6C" w:rsidRDefault="004E2D6C" w:rsidP="004E2D6C">
            <w:pPr>
              <w:tabs>
                <w:tab w:val="left" w:pos="406"/>
                <w:tab w:val="left" w:pos="632"/>
              </w:tabs>
              <w:spacing w:before="0"/>
              <w:contextualSpacing/>
              <w:rPr>
                <w:rFonts w:ascii="Calibri" w:hAnsi="Calibri"/>
                <w:sz w:val="16"/>
                <w:szCs w:val="16"/>
                <w:lang w:eastAsia="cs-CZ"/>
              </w:rPr>
            </w:pPr>
            <w:r w:rsidRPr="004E2D6C">
              <w:rPr>
                <w:rFonts w:ascii="Calibri" w:hAnsi="Calibri"/>
                <w:sz w:val="16"/>
                <w:szCs w:val="16"/>
                <w:lang w:eastAsia="cs-CZ"/>
              </w:rPr>
              <w:t>Je zavedený národný alebo regionálny strategický politický rámec pre celoživotné vzdelávanie, ktorý zahŕňa opatrenia:</w:t>
            </w:r>
          </w:p>
        </w:tc>
        <w:tc>
          <w:tcPr>
            <w:tcW w:w="1134" w:type="dxa"/>
            <w:tcBorders>
              <w:top w:val="single" w:sz="12" w:space="0" w:color="auto"/>
            </w:tcBorders>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vMerge w:val="restart"/>
            <w:tcBorders>
              <w:top w:val="single" w:sz="12" w:space="0" w:color="auto"/>
            </w:tcBorders>
          </w:tcPr>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Stratégia celoživotného vzdelávania a celoživotného poradenstva</w:t>
            </w:r>
          </w:p>
          <w:p w:rsidR="004E2D6C" w:rsidRPr="002900D1" w:rsidRDefault="00ED6BC8" w:rsidP="004E2D6C">
            <w:pPr>
              <w:spacing w:before="0"/>
              <w:rPr>
                <w:rFonts w:asciiTheme="majorHAnsi" w:hAnsiTheme="majorHAnsi"/>
                <w:sz w:val="16"/>
                <w:szCs w:val="16"/>
              </w:rPr>
            </w:pPr>
            <w:hyperlink r:id="rId151" w:history="1">
              <w:r w:rsidR="004E2D6C" w:rsidRPr="002900D1">
                <w:rPr>
                  <w:rFonts w:asciiTheme="majorHAnsi" w:hAnsiTheme="majorHAnsi"/>
                  <w:color w:val="0000FF"/>
                  <w:sz w:val="16"/>
                  <w:szCs w:val="16"/>
                  <w:u w:val="single"/>
                </w:rPr>
                <w:t>http://www.rokovania.sk/Rokovanie.aspx/BodRokovaniaDetail?idMaterial=6639</w:t>
              </w:r>
            </w:hyperlink>
            <w:r w:rsidR="004E2D6C" w:rsidRPr="002900D1">
              <w:rPr>
                <w:rFonts w:asciiTheme="majorHAnsi" w:hAnsiTheme="majorHAnsi"/>
                <w:sz w:val="16"/>
                <w:szCs w:val="16"/>
              </w:rPr>
              <w:t xml:space="preserve"> </w:t>
            </w:r>
          </w:p>
          <w:p w:rsidR="004E2D6C" w:rsidRPr="002900D1" w:rsidRDefault="004E2D6C" w:rsidP="004E2D6C">
            <w:pPr>
              <w:spacing w:before="0"/>
              <w:rPr>
                <w:rFonts w:asciiTheme="majorHAnsi" w:hAnsiTheme="majorHAnsi"/>
                <w:sz w:val="16"/>
                <w:szCs w:val="16"/>
              </w:rPr>
            </w:pPr>
          </w:p>
          <w:p w:rsidR="004E2D6C" w:rsidRPr="002900D1" w:rsidRDefault="004E2D6C" w:rsidP="004E2D6C">
            <w:pPr>
              <w:spacing w:before="0"/>
              <w:rPr>
                <w:rFonts w:asciiTheme="majorHAnsi" w:hAnsiTheme="majorHAnsi"/>
                <w:sz w:val="16"/>
                <w:szCs w:val="16"/>
              </w:rPr>
            </w:pPr>
            <w:r w:rsidRPr="002900D1">
              <w:rPr>
                <w:rFonts w:asciiTheme="majorHAnsi" w:hAnsiTheme="majorHAnsi"/>
                <w:sz w:val="16"/>
                <w:szCs w:val="16"/>
              </w:rPr>
              <w:t xml:space="preserve">Stratégia celoživotného vzdelávania 2011 </w:t>
            </w:r>
            <w:r w:rsidR="00913324" w:rsidRPr="002900D1">
              <w:rPr>
                <w:rFonts w:asciiTheme="majorHAnsi" w:hAnsiTheme="majorHAnsi"/>
                <w:sz w:val="16"/>
                <w:szCs w:val="16"/>
              </w:rPr>
              <w:br/>
            </w:r>
            <w:r w:rsidRPr="002900D1">
              <w:rPr>
                <w:rFonts w:asciiTheme="majorHAnsi" w:hAnsiTheme="majorHAnsi"/>
                <w:sz w:val="16"/>
                <w:szCs w:val="16"/>
              </w:rPr>
              <w:t>a Akčný plán plnenia Stratégie celoživotného vzdelávania 2011</w:t>
            </w:r>
          </w:p>
          <w:p w:rsidR="004E2D6C" w:rsidRPr="002900D1" w:rsidRDefault="00ED6BC8" w:rsidP="004E2D6C">
            <w:pPr>
              <w:spacing w:before="0"/>
              <w:rPr>
                <w:rFonts w:asciiTheme="majorHAnsi" w:hAnsiTheme="majorHAnsi"/>
                <w:sz w:val="16"/>
                <w:szCs w:val="16"/>
              </w:rPr>
            </w:pPr>
            <w:hyperlink r:id="rId152" w:history="1">
              <w:r w:rsidR="004E2D6C" w:rsidRPr="002900D1">
                <w:rPr>
                  <w:rFonts w:asciiTheme="majorHAnsi" w:hAnsiTheme="majorHAnsi"/>
                  <w:color w:val="0000FF"/>
                  <w:sz w:val="16"/>
                  <w:szCs w:val="16"/>
                  <w:u w:val="single"/>
                </w:rPr>
                <w:t>http://www.minedu.sk/9772-sk/dokumenty-a-predpisy/</w:t>
              </w:r>
            </w:hyperlink>
          </w:p>
        </w:tc>
        <w:tc>
          <w:tcPr>
            <w:tcW w:w="4111" w:type="dxa"/>
            <w:vMerge w:val="restart"/>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Celoživotné vzdelávanie zdravotníckych pracovníkov (ďalšie vzdelávanie zdravotníckych pracovníkov) je riadené </w:t>
            </w:r>
            <w:r w:rsidR="00913324">
              <w:rPr>
                <w:rFonts w:ascii="Calibri" w:hAnsi="Calibri"/>
                <w:sz w:val="16"/>
                <w:szCs w:val="16"/>
              </w:rPr>
              <w:br/>
            </w:r>
            <w:r w:rsidRPr="004E2D6C">
              <w:rPr>
                <w:rFonts w:ascii="Calibri" w:hAnsi="Calibri"/>
                <w:sz w:val="16"/>
                <w:szCs w:val="16"/>
              </w:rPr>
              <w:t>a regulované z</w:t>
            </w:r>
            <w:r w:rsidRPr="004E2D6C">
              <w:rPr>
                <w:rFonts w:ascii="Calibri" w:hAnsi="Calibri"/>
                <w:i/>
                <w:sz w:val="16"/>
                <w:szCs w:val="16"/>
              </w:rPr>
              <w:t xml:space="preserve">ákonom č. 578/2004 Z. z. o poskytovateľoch zdravotnej starostlivosti, zdravotníckych pracovníkoch, stavovských organizáciách v zdravotníctve a o zmene </w:t>
            </w:r>
            <w:r w:rsidR="00913324">
              <w:rPr>
                <w:rFonts w:ascii="Calibri" w:hAnsi="Calibri"/>
                <w:i/>
                <w:sz w:val="16"/>
                <w:szCs w:val="16"/>
              </w:rPr>
              <w:br/>
            </w:r>
            <w:r w:rsidRPr="004E2D6C">
              <w:rPr>
                <w:rFonts w:ascii="Calibri" w:hAnsi="Calibri"/>
                <w:i/>
                <w:sz w:val="16"/>
                <w:szCs w:val="16"/>
              </w:rPr>
              <w:t>a doplnení niektorých zákonov v znení neskorších predpisov</w:t>
            </w:r>
            <w:r w:rsidRPr="004E2D6C">
              <w:rPr>
                <w:rFonts w:ascii="Calibri" w:hAnsi="Calibri"/>
                <w:sz w:val="16"/>
                <w:szCs w:val="16"/>
              </w:rPr>
              <w:t xml:space="preserve">. Kritériá ex ante kondicionality sú v podmienkach ďalšieho vzdelávania zdravotníckych pracovníkov splnené. </w:t>
            </w:r>
          </w:p>
        </w:tc>
      </w:tr>
      <w:tr w:rsidR="004E2D6C" w:rsidRPr="004E2D6C" w:rsidTr="00B763E3">
        <w:trPr>
          <w:trHeight w:val="15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6"/>
              </w:numPr>
              <w:tabs>
                <w:tab w:val="left" w:pos="175"/>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na podporu rozvoja a prepájania služieb celoživotného vzdelávania vrátane ich vykonávania, rozširovania zručností (t. j. validácia, poradenstvo, vzdelávanie a odborná príprava) a zabezpečenia účasti a partnerstva s príslušnými zainteresovanými stranami,</w:t>
            </w:r>
          </w:p>
        </w:tc>
        <w:tc>
          <w:tcPr>
            <w:tcW w:w="1134"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vMerge/>
          </w:tcPr>
          <w:p w:rsidR="004E2D6C" w:rsidRPr="004E2D6C" w:rsidRDefault="004E2D6C" w:rsidP="004E2D6C">
            <w:pPr>
              <w:spacing w:before="0"/>
              <w:rPr>
                <w:rFonts w:ascii="Calibri" w:hAnsi="Calibri"/>
                <w:sz w:val="16"/>
                <w:szCs w:val="16"/>
              </w:rPr>
            </w:pPr>
          </w:p>
        </w:tc>
        <w:tc>
          <w:tcPr>
            <w:tcW w:w="4111" w:type="dxa"/>
            <w:vMerge/>
            <w:tcBorders>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15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7"/>
              </w:numPr>
              <w:tabs>
                <w:tab w:val="left" w:pos="317"/>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na zabezpečovanie rozvoja zručností rôznych cieľových skupín, keď sú tieto skupiny určené ako priority v národnom alebo regionálnom strategickom politickom rámci (napríklad mladí ľudia zapojení do odbornej prípravy, dospelí, rodičia vracajúci sa na trh práce, nízkokvalifikovaní a starší pracovníci, migranti a ostatné znevýhodnené skupiny, najmä ľudia so zdravotným postihnutím),</w:t>
            </w:r>
          </w:p>
        </w:tc>
        <w:tc>
          <w:tcPr>
            <w:tcW w:w="1134"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Nie</w:t>
            </w:r>
          </w:p>
        </w:tc>
        <w:tc>
          <w:tcPr>
            <w:tcW w:w="3119" w:type="dxa"/>
          </w:tcPr>
          <w:p w:rsidR="004E2D6C" w:rsidRPr="004E2D6C" w:rsidRDefault="004E2D6C" w:rsidP="004E2D6C">
            <w:pPr>
              <w:spacing w:before="0"/>
              <w:rPr>
                <w:rFonts w:ascii="Calibri" w:hAnsi="Calibri"/>
                <w:sz w:val="16"/>
                <w:szCs w:val="16"/>
              </w:rPr>
            </w:pPr>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Je plánované prijatie zákona o uznávaní výsledkov neformálneho vzdelávania a informálneho učenia sa (do NR SR by mal byť predložený v II. polroku 2015). Prostredníctvom tohto zákona by mali absolventi zo školského systému vzdelávania, ako aj neformálneho systému vzdelávania získať rovnakú pozíciu na trhu práce.</w:t>
            </w:r>
          </w:p>
        </w:tc>
      </w:tr>
      <w:tr w:rsidR="004E2D6C" w:rsidRPr="004E2D6C" w:rsidTr="00B763E3">
        <w:trPr>
          <w:trHeight w:val="159"/>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7"/>
              </w:numPr>
              <w:tabs>
                <w:tab w:val="left" w:pos="317"/>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 xml:space="preserve">na rozšírenie prístupu k celoživotnému vzdelávaniu, a to aj prostredníctvom úsilia o účinné zavádzanie </w:t>
            </w:r>
            <w:r w:rsidRPr="005A192A">
              <w:rPr>
                <w:rFonts w:ascii="Calibri" w:hAnsi="Calibri"/>
                <w:sz w:val="16"/>
                <w:szCs w:val="16"/>
                <w:lang w:eastAsia="cs-CZ"/>
              </w:rPr>
              <w:lastRenderedPageBreak/>
              <w:t>transparentných nástrojov (napríklad Európskeho kvalifikačného rámca, Národného kvalifikačného rámca, Európskeho systému kreditov pre odborné vzdelávanie a prípravu, Európskeho referenčného rámca zabezpečenia kvality odborného vzdelávania a prípravy),</w:t>
            </w:r>
          </w:p>
        </w:tc>
        <w:tc>
          <w:tcPr>
            <w:tcW w:w="1134" w:type="dxa"/>
            <w:vAlign w:val="center"/>
          </w:tcPr>
          <w:p w:rsidR="004E2D6C" w:rsidRPr="004E2D6C" w:rsidRDefault="004E2D6C" w:rsidP="00B763E3">
            <w:pPr>
              <w:spacing w:before="0"/>
              <w:jc w:val="center"/>
              <w:rPr>
                <w:rFonts w:ascii="Calibri" w:hAnsi="Calibri"/>
                <w:sz w:val="16"/>
                <w:szCs w:val="16"/>
              </w:rPr>
            </w:pPr>
            <w:r w:rsidRPr="004E2D6C">
              <w:rPr>
                <w:rFonts w:ascii="Calibri" w:hAnsi="Calibri"/>
                <w:b/>
                <w:sz w:val="16"/>
                <w:szCs w:val="16"/>
              </w:rPr>
              <w:lastRenderedPageBreak/>
              <w:t>Nie</w:t>
            </w:r>
          </w:p>
        </w:tc>
        <w:tc>
          <w:tcPr>
            <w:tcW w:w="3119" w:type="dxa"/>
          </w:tcPr>
          <w:p w:rsidR="004E2D6C" w:rsidRPr="004E2D6C" w:rsidRDefault="004E2D6C" w:rsidP="004E2D6C">
            <w:pPr>
              <w:spacing w:before="0"/>
              <w:rPr>
                <w:rFonts w:ascii="Calibri" w:hAnsi="Calibri"/>
                <w:sz w:val="16"/>
                <w:szCs w:val="16"/>
              </w:rPr>
            </w:pPr>
          </w:p>
        </w:tc>
        <w:tc>
          <w:tcPr>
            <w:tcW w:w="4111" w:type="dxa"/>
            <w:tcBorders>
              <w:right w:val="single" w:sz="12" w:space="0" w:color="auto"/>
            </w:tcBorders>
          </w:tcPr>
          <w:p w:rsidR="004E2D6C" w:rsidRPr="002900D1" w:rsidRDefault="004E2D6C" w:rsidP="004E2D6C">
            <w:pPr>
              <w:spacing w:before="0"/>
              <w:rPr>
                <w:rFonts w:ascii="Calibri" w:hAnsi="Calibri"/>
                <w:sz w:val="16"/>
                <w:szCs w:val="16"/>
              </w:rPr>
            </w:pPr>
            <w:r w:rsidRPr="002900D1">
              <w:rPr>
                <w:rFonts w:ascii="Calibri" w:hAnsi="Calibri"/>
                <w:sz w:val="16"/>
                <w:szCs w:val="16"/>
              </w:rPr>
              <w:t>Od roku 2013 do 2015 prebieha implementácia dvoch kľúčových národných projektov venovaných oblasti rozvoja vzdelávania dospelých v SR:</w:t>
            </w:r>
          </w:p>
          <w:p w:rsidR="004E2D6C" w:rsidRPr="00966411" w:rsidRDefault="004E2D6C" w:rsidP="00966411">
            <w:pPr>
              <w:pStyle w:val="Odsekzoznamu"/>
              <w:numPr>
                <w:ilvl w:val="0"/>
                <w:numId w:val="163"/>
              </w:numPr>
              <w:spacing w:before="0"/>
              <w:ind w:left="175" w:hanging="141"/>
              <w:rPr>
                <w:rFonts w:ascii="Calibri" w:hAnsi="Calibri"/>
                <w:sz w:val="16"/>
                <w:szCs w:val="16"/>
              </w:rPr>
            </w:pPr>
            <w:r w:rsidRPr="00966411">
              <w:rPr>
                <w:rFonts w:ascii="Calibri" w:hAnsi="Calibri"/>
                <w:sz w:val="16"/>
                <w:szCs w:val="16"/>
              </w:rPr>
              <w:lastRenderedPageBreak/>
              <w:t>Tvorba Národnej sústavy kvalifikácií (projekt má prispieť k zvýšeniu účasti dospelých na ďalšom vzdelávaní rozvojom systému ďalšieho vzdelávania a poradenstva pre dospelých),</w:t>
            </w:r>
          </w:p>
          <w:p w:rsidR="004E2D6C" w:rsidRPr="00966411" w:rsidRDefault="004E2D6C" w:rsidP="000D7C6E">
            <w:pPr>
              <w:pStyle w:val="Odsekzoznamu"/>
              <w:numPr>
                <w:ilvl w:val="0"/>
                <w:numId w:val="163"/>
              </w:numPr>
              <w:spacing w:before="0"/>
              <w:ind w:left="175" w:hanging="141"/>
              <w:rPr>
                <w:rFonts w:ascii="Calibri" w:hAnsi="Calibri"/>
                <w:sz w:val="16"/>
                <w:szCs w:val="16"/>
              </w:rPr>
            </w:pPr>
            <w:r w:rsidRPr="00966411">
              <w:rPr>
                <w:rFonts w:ascii="Calibri" w:hAnsi="Calibri"/>
                <w:sz w:val="16"/>
                <w:szCs w:val="16"/>
              </w:rPr>
              <w:t>Ďalšie vzdelávanie a poradenstvo pre dospelých ako nástroj lepšej uplatniteľnosti na trhu práce (Cieľom projektu je vytvorenie a rozvíjanie efektívneho systému celoživotného vzdelávania a celoživotného poradenstva zameraného na rozvíjanie kľúčových kompetencií, prehlbovanie a zvyšovanie kvalifikácií v súlade s aktuálnymi a perspektívnymi potrebami vedomostnej spoločnosti dostupnými počas celého života pre všetkých občanov v SR).</w:t>
            </w:r>
          </w:p>
        </w:tc>
      </w:tr>
      <w:tr w:rsidR="004E2D6C" w:rsidRPr="004E2D6C" w:rsidTr="00B763E3">
        <w:trPr>
          <w:trHeight w:val="159"/>
        </w:trPr>
        <w:tc>
          <w:tcPr>
            <w:tcW w:w="1668"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rPr>
            </w:pPr>
          </w:p>
        </w:tc>
        <w:tc>
          <w:tcPr>
            <w:tcW w:w="1559" w:type="dxa"/>
            <w:vMerge/>
            <w:tcBorders>
              <w:bottom w:val="single" w:sz="12" w:space="0" w:color="auto"/>
            </w:tcBorders>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12" w:space="0" w:color="auto"/>
            </w:tcBorders>
            <w:vAlign w:val="center"/>
          </w:tcPr>
          <w:p w:rsidR="004E2D6C" w:rsidRPr="005A192A" w:rsidRDefault="004E2D6C" w:rsidP="001C5C9E">
            <w:pPr>
              <w:pStyle w:val="Odsekzoznamu"/>
              <w:numPr>
                <w:ilvl w:val="0"/>
                <w:numId w:val="117"/>
              </w:numPr>
              <w:tabs>
                <w:tab w:val="left" w:pos="317"/>
                <w:tab w:val="left" w:pos="406"/>
              </w:tabs>
              <w:spacing w:before="0"/>
              <w:ind w:left="175" w:hanging="141"/>
              <w:rPr>
                <w:rFonts w:ascii="Calibri" w:hAnsi="Calibri"/>
                <w:sz w:val="16"/>
                <w:szCs w:val="16"/>
                <w:lang w:eastAsia="cs-CZ"/>
              </w:rPr>
            </w:pPr>
            <w:r w:rsidRPr="005A192A">
              <w:rPr>
                <w:rFonts w:ascii="Calibri" w:hAnsi="Calibri"/>
                <w:sz w:val="16"/>
                <w:szCs w:val="16"/>
                <w:lang w:eastAsia="cs-CZ"/>
              </w:rPr>
              <w:t>na zlepšenie relevantnosti vzdelania a odbornej prípravy z hľadiska pracovného trhu a ich prispôsobenie potrebám identifikovaných cieľových skupín (napríklad mladí ľudia zapojení do odborného vzdelávania, dospelí, rodičia vracajúci sa na trh práce, nízkokvalifikovaní a starší pracovníci, migranti a ostatné znevýhodnené skupiny, najmä ľudia so zdravotným postihnutím).</w:t>
            </w:r>
          </w:p>
        </w:tc>
        <w:tc>
          <w:tcPr>
            <w:tcW w:w="1134" w:type="dxa"/>
            <w:tcBorders>
              <w:bottom w:val="single" w:sz="12" w:space="0" w:color="auto"/>
            </w:tcBorders>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tcBorders>
              <w:bottom w:val="single" w:sz="12" w:space="0" w:color="auto"/>
            </w:tcBorders>
          </w:tcPr>
          <w:p w:rsidR="004E2D6C" w:rsidRPr="002900D1" w:rsidRDefault="004E2D6C" w:rsidP="004E2D6C">
            <w:pPr>
              <w:spacing w:before="0"/>
              <w:rPr>
                <w:rFonts w:ascii="Calibri" w:hAnsi="Calibri"/>
                <w:sz w:val="16"/>
                <w:szCs w:val="16"/>
              </w:rPr>
            </w:pPr>
            <w:r w:rsidRPr="002900D1">
              <w:rPr>
                <w:rFonts w:ascii="Calibri" w:hAnsi="Calibri"/>
                <w:sz w:val="16"/>
                <w:szCs w:val="16"/>
              </w:rPr>
              <w:t>Stratégia celoživotného vzdelávania 2011</w:t>
            </w:r>
          </w:p>
          <w:p w:rsidR="004E2D6C" w:rsidRPr="002900D1" w:rsidRDefault="004E2D6C" w:rsidP="004E2D6C">
            <w:pPr>
              <w:spacing w:before="0"/>
              <w:rPr>
                <w:rFonts w:ascii="Calibri" w:hAnsi="Calibr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Akčný plán plnenia Stratégie celoživotného vzdelávania 2011</w:t>
            </w:r>
          </w:p>
          <w:p w:rsidR="004E2D6C" w:rsidRPr="004E2D6C" w:rsidRDefault="00ED6BC8" w:rsidP="004E2D6C">
            <w:pPr>
              <w:spacing w:before="0"/>
              <w:rPr>
                <w:rFonts w:ascii="Calibri" w:hAnsi="Calibri"/>
                <w:sz w:val="16"/>
                <w:szCs w:val="16"/>
              </w:rPr>
            </w:pPr>
            <w:hyperlink r:id="rId153" w:history="1">
              <w:r w:rsidR="004E2D6C" w:rsidRPr="004E2D6C">
                <w:rPr>
                  <w:rFonts w:ascii="Calibri" w:hAnsi="Calibri"/>
                  <w:color w:val="0000FF"/>
                  <w:sz w:val="16"/>
                  <w:szCs w:val="16"/>
                  <w:u w:val="single"/>
                </w:rPr>
                <w:t>http://www.minedu.sk/9772-sk/dokumenty-a-predpisy/</w:t>
              </w:r>
            </w:hyperlink>
          </w:p>
          <w:p w:rsidR="004E2D6C" w:rsidRPr="004E2D6C" w:rsidRDefault="004E2D6C" w:rsidP="004E2D6C">
            <w:pPr>
              <w:spacing w:before="0"/>
              <w:rPr>
                <w:rFonts w:ascii="Calibri" w:hAnsi="Calibri"/>
                <w:sz w:val="16"/>
                <w:szCs w:val="16"/>
              </w:rPr>
            </w:pPr>
          </w:p>
        </w:tc>
        <w:tc>
          <w:tcPr>
            <w:tcW w:w="4111" w:type="dxa"/>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p>
        </w:tc>
      </w:tr>
      <w:tr w:rsidR="004E2D6C" w:rsidRPr="004E2D6C" w:rsidTr="00B763E3">
        <w:trPr>
          <w:trHeight w:val="3204"/>
        </w:trPr>
        <w:tc>
          <w:tcPr>
            <w:tcW w:w="1668"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10.4. Existencia národného alebo regionálneho strategického politického rámca na zvýšenie kvality a účinnosti odborného vzdelávania a prípravy v medziach článku 165 ZFEÚ.</w:t>
            </w:r>
          </w:p>
        </w:tc>
        <w:tc>
          <w:tcPr>
            <w:tcW w:w="1559" w:type="dxa"/>
            <w:vMerge w:val="restart"/>
            <w:tcBorders>
              <w:top w:val="single" w:sz="12" w:space="0" w:color="auto"/>
            </w:tcBorders>
            <w:vAlign w:val="center"/>
          </w:tcPr>
          <w:p w:rsidR="004E2D6C" w:rsidRPr="004E2D6C" w:rsidRDefault="00B01228" w:rsidP="00A14E7D">
            <w:pPr>
              <w:spacing w:before="0"/>
              <w:jc w:val="center"/>
              <w:rPr>
                <w:rFonts w:ascii="Calibri" w:hAnsi="Calibri"/>
                <w:sz w:val="16"/>
                <w:szCs w:val="16"/>
              </w:rPr>
            </w:pPr>
            <w:r>
              <w:rPr>
                <w:rFonts w:ascii="Calibri" w:hAnsi="Calibri"/>
                <w:b/>
                <w:sz w:val="16"/>
                <w:szCs w:val="16"/>
              </w:rPr>
              <w:t>Čiastočne</w:t>
            </w:r>
          </w:p>
        </w:tc>
        <w:tc>
          <w:tcPr>
            <w:tcW w:w="2551" w:type="dxa"/>
            <w:tcBorders>
              <w:top w:val="single" w:sz="12" w:space="0" w:color="auto"/>
            </w:tcBorders>
            <w:vAlign w:val="center"/>
          </w:tcPr>
          <w:p w:rsidR="004E2D6C" w:rsidRPr="004E2D6C" w:rsidRDefault="004E2D6C" w:rsidP="004E2D6C">
            <w:pPr>
              <w:tabs>
                <w:tab w:val="left" w:pos="406"/>
                <w:tab w:val="left" w:pos="632"/>
              </w:tabs>
              <w:spacing w:before="0"/>
              <w:contextualSpacing/>
              <w:rPr>
                <w:rFonts w:ascii="Calibri" w:hAnsi="Calibri"/>
                <w:sz w:val="16"/>
                <w:szCs w:val="16"/>
                <w:lang w:eastAsia="cs-CZ"/>
              </w:rPr>
            </w:pPr>
            <w:r w:rsidRPr="004E2D6C">
              <w:rPr>
                <w:rFonts w:ascii="Calibri" w:hAnsi="Calibri"/>
                <w:sz w:val="16"/>
                <w:szCs w:val="16"/>
                <w:lang w:eastAsia="cs-CZ"/>
              </w:rPr>
              <w:t>Zavedený je národný alebo regionálny strategický politický rámec na zvýšenie kvality a účinnosti odborného vzdelávania a prípravy v medziach článku 165 ZFEÚ, ktorý obsahuje opatrenia:</w:t>
            </w:r>
          </w:p>
          <w:p w:rsidR="004E2D6C" w:rsidRPr="004E2D6C" w:rsidRDefault="004E2D6C" w:rsidP="004E2D6C">
            <w:pPr>
              <w:tabs>
                <w:tab w:val="left" w:pos="406"/>
                <w:tab w:val="left" w:pos="632"/>
              </w:tabs>
              <w:spacing w:before="0"/>
              <w:contextualSpacing/>
              <w:rPr>
                <w:rFonts w:ascii="Calibri" w:hAnsi="Calibri"/>
                <w:sz w:val="16"/>
                <w:szCs w:val="16"/>
                <w:lang w:eastAsia="cs-CZ"/>
              </w:rPr>
            </w:pPr>
            <w:r w:rsidRPr="004E2D6C">
              <w:rPr>
                <w:rFonts w:ascii="Calibri" w:hAnsi="Calibri"/>
                <w:sz w:val="16"/>
                <w:szCs w:val="16"/>
                <w:lang w:eastAsia="cs-CZ"/>
              </w:rPr>
              <w:t>- na zvýšenie významu systémov odborného vzdelávania a prípravy z hľadiska pracovného trhu v úzkej spolupráci s príslušnými zainteresovanými stranami, a to aj prostredníctvom mechanizmov na predvídanie zručností, úpravu učebných plánov a posilňovanie vzdelávania na pracovisku v rozličných formách;</w:t>
            </w:r>
          </w:p>
        </w:tc>
        <w:tc>
          <w:tcPr>
            <w:tcW w:w="1134" w:type="dxa"/>
            <w:tcBorders>
              <w:top w:val="single" w:sz="12" w:space="0" w:color="auto"/>
            </w:tcBorders>
            <w:vAlign w:val="center"/>
          </w:tcPr>
          <w:p w:rsidR="004E2D6C" w:rsidRPr="004E2D6C" w:rsidRDefault="004E2D6C" w:rsidP="00A14E7D">
            <w:pPr>
              <w:spacing w:before="0"/>
              <w:jc w:val="center"/>
              <w:rPr>
                <w:rFonts w:ascii="Calibri" w:hAnsi="Calibri"/>
                <w:sz w:val="16"/>
                <w:szCs w:val="16"/>
              </w:rPr>
            </w:pPr>
            <w:r w:rsidRPr="004E2D6C">
              <w:rPr>
                <w:rFonts w:ascii="Calibri" w:hAnsi="Calibri"/>
                <w:b/>
                <w:sz w:val="16"/>
                <w:szCs w:val="16"/>
              </w:rPr>
              <w:t>Áno</w:t>
            </w:r>
          </w:p>
        </w:tc>
        <w:tc>
          <w:tcPr>
            <w:tcW w:w="3119" w:type="dxa"/>
            <w:tcBorders>
              <w:top w:val="single" w:sz="12" w:space="0" w:color="auto"/>
            </w:tcBorders>
          </w:tcPr>
          <w:p w:rsidR="004E2D6C" w:rsidRPr="004E2D6C" w:rsidRDefault="004E2D6C" w:rsidP="004E2D6C">
            <w:pPr>
              <w:spacing w:before="0"/>
              <w:rPr>
                <w:rFonts w:ascii="Calibri" w:hAnsi="Calibr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Zákon č. 184/2009 Z. z. o odbornom vzdelávaní a príprave a o zmene a doplnení niektorých zákonov</w:t>
            </w:r>
          </w:p>
          <w:p w:rsidR="004E2D6C" w:rsidRPr="004E2D6C" w:rsidRDefault="00ED6BC8" w:rsidP="004E2D6C">
            <w:pPr>
              <w:spacing w:before="0"/>
              <w:rPr>
                <w:rFonts w:ascii="Calibri" w:hAnsi="Calibri"/>
                <w:sz w:val="16"/>
                <w:szCs w:val="16"/>
              </w:rPr>
            </w:pPr>
            <w:hyperlink r:id="rId154" w:history="1">
              <w:r w:rsidR="004E2D6C" w:rsidRPr="004E2D6C">
                <w:rPr>
                  <w:rFonts w:ascii="Calibri" w:hAnsi="Calibri"/>
                  <w:color w:val="0000FF"/>
                  <w:sz w:val="16"/>
                  <w:szCs w:val="16"/>
                  <w:u w:val="single"/>
                </w:rPr>
                <w:t>http://www.minedu.sk/zakon-o-odbornom-vzdelavani-a-priprave/</w:t>
              </w:r>
            </w:hyperlink>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p>
          <w:p w:rsidR="004E2D6C" w:rsidRPr="002900D1" w:rsidRDefault="004E2D6C" w:rsidP="004E2D6C">
            <w:pPr>
              <w:spacing w:before="0"/>
              <w:rPr>
                <w:rFonts w:ascii="Calibri" w:hAnsi="Calibri"/>
                <w:sz w:val="16"/>
                <w:szCs w:val="16"/>
              </w:rPr>
            </w:pPr>
            <w:r w:rsidRPr="002900D1">
              <w:rPr>
                <w:rFonts w:ascii="Calibri" w:hAnsi="Calibri"/>
                <w:sz w:val="16"/>
                <w:szCs w:val="16"/>
              </w:rPr>
              <w:t>Rada vlády SR pre odborné vzdelávanie a prípravu</w:t>
            </w:r>
          </w:p>
          <w:p w:rsidR="004E2D6C" w:rsidRPr="004E2D6C" w:rsidRDefault="00ED6BC8" w:rsidP="004E2D6C">
            <w:pPr>
              <w:spacing w:before="0"/>
              <w:rPr>
                <w:rFonts w:ascii="Calibri" w:hAnsi="Calibri"/>
                <w:sz w:val="16"/>
                <w:szCs w:val="16"/>
              </w:rPr>
            </w:pPr>
            <w:hyperlink r:id="rId155" w:history="1">
              <w:r w:rsidR="004E2D6C" w:rsidRPr="004E2D6C">
                <w:rPr>
                  <w:rFonts w:ascii="Calibri" w:hAnsi="Calibri"/>
                  <w:color w:val="0000FF"/>
                  <w:sz w:val="16"/>
                  <w:szCs w:val="16"/>
                  <w:u w:val="single"/>
                </w:rPr>
                <w:t>http://www.radavladyovp.sk/</w:t>
              </w:r>
            </w:hyperlink>
          </w:p>
          <w:p w:rsidR="004E2D6C" w:rsidRPr="004E2D6C" w:rsidRDefault="004E2D6C" w:rsidP="004E2D6C">
            <w:pPr>
              <w:spacing w:before="0"/>
              <w:rPr>
                <w:rFonts w:ascii="Calibri" w:hAnsi="Calibri"/>
                <w:sz w:val="16"/>
                <w:szCs w:val="16"/>
              </w:rPr>
            </w:pPr>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Zákon č. 184/2009 Z. z. rieši postavenie a úlohy subjektov štvorstrannej spolupráce v oblasti odborného vzdelávania </w:t>
            </w:r>
            <w:r w:rsidR="00913324">
              <w:rPr>
                <w:rFonts w:ascii="Calibri" w:hAnsi="Calibri"/>
                <w:sz w:val="16"/>
                <w:szCs w:val="16"/>
              </w:rPr>
              <w:br/>
            </w:r>
            <w:r w:rsidRPr="004E2D6C">
              <w:rPr>
                <w:rFonts w:ascii="Calibri" w:hAnsi="Calibri"/>
                <w:sz w:val="16"/>
                <w:szCs w:val="16"/>
              </w:rPr>
              <w:t>a prípravy, ktorými sú štátna správa, samospráva, zamestnávatelia a zamestnanci. Takisto vytvára podmienky motivujúce zamestnávateľov k podpore odborného školstva. Cieľom zákona je vytvoriť účinné nástroje pre prispôsobovanie odborného vzdelávania a prípravy meniacim sa požiadavkám trhu práce, zvýšiť záujem žiakov základných škôl o štúdium na stredných odborných školách, podporiť štúdium v odboroch vzdelávania, ktoré sú požadované zamestnávateľmi a vytvoriť mechanizmus na zníženie počtu absolventov odborov vzdelávania, o ktorých zamestnávatelia nemajú záujem.</w:t>
            </w:r>
          </w:p>
          <w:p w:rsidR="004E2D6C" w:rsidRPr="004E2D6C" w:rsidRDefault="004E2D6C" w:rsidP="004E2D6C">
            <w:pPr>
              <w:spacing w:before="0"/>
              <w:rPr>
                <w:rFonts w:ascii="Calibri" w:hAnsi="Calibri"/>
                <w:sz w:val="16"/>
                <w:szCs w:val="16"/>
              </w:rPr>
            </w:pPr>
          </w:p>
          <w:p w:rsidR="004E2D6C" w:rsidRPr="004E2D6C" w:rsidRDefault="004E2D6C" w:rsidP="004E2D6C">
            <w:pPr>
              <w:spacing w:before="0"/>
              <w:rPr>
                <w:rFonts w:ascii="Calibri" w:hAnsi="Calibri"/>
                <w:sz w:val="16"/>
                <w:szCs w:val="16"/>
              </w:rPr>
            </w:pPr>
            <w:r w:rsidRPr="004E2D6C">
              <w:rPr>
                <w:rFonts w:ascii="Calibri" w:hAnsi="Calibri"/>
                <w:sz w:val="16"/>
                <w:szCs w:val="16"/>
              </w:rPr>
              <w:t>Rada vlády SR pre odborné vzdelávanie a prípravu, krajské a sektorové rady pre odborné vzdelávanie a prípravu - ich cieľom je umožniť každému zamestnávateľovi zúčastniť sa priamo alebo svojimi pripomienkami na inováci</w:t>
            </w:r>
            <w:r w:rsidR="00C741AD">
              <w:rPr>
                <w:rFonts w:ascii="Calibri" w:hAnsi="Calibri"/>
                <w:sz w:val="16"/>
                <w:szCs w:val="16"/>
              </w:rPr>
              <w:t xml:space="preserve">i </w:t>
            </w:r>
            <w:r w:rsidRPr="004E2D6C">
              <w:rPr>
                <w:rFonts w:ascii="Calibri" w:hAnsi="Calibri"/>
                <w:sz w:val="16"/>
                <w:szCs w:val="16"/>
              </w:rPr>
              <w:t>existujúceho obsahu vzdelávania a prípravy, na realizácii odborného vzdelávania a prípravy a na hodnotení kvality v rámci ukončovania štúdia.</w:t>
            </w:r>
          </w:p>
        </w:tc>
      </w:tr>
      <w:tr w:rsidR="004E2D6C" w:rsidRPr="004E2D6C" w:rsidTr="00B763E3">
        <w:trPr>
          <w:trHeight w:val="308"/>
        </w:trPr>
        <w:tc>
          <w:tcPr>
            <w:tcW w:w="1668" w:type="dxa"/>
            <w:vMerge/>
            <w:tcBorders>
              <w:left w:val="single" w:sz="12" w:space="0" w:color="auto"/>
            </w:tcBorders>
          </w:tcPr>
          <w:p w:rsidR="004E2D6C" w:rsidRPr="004E2D6C" w:rsidRDefault="004E2D6C" w:rsidP="004E2D6C">
            <w:pPr>
              <w:spacing w:before="0"/>
              <w:rPr>
                <w:rFonts w:ascii="Calibri" w:hAnsi="Calibri"/>
                <w:sz w:val="16"/>
                <w:szCs w:val="16"/>
              </w:rPr>
            </w:pPr>
          </w:p>
        </w:tc>
        <w:tc>
          <w:tcPr>
            <w:tcW w:w="1559" w:type="dxa"/>
            <w:vMerge/>
          </w:tcPr>
          <w:p w:rsidR="004E2D6C" w:rsidRPr="004E2D6C" w:rsidRDefault="004E2D6C" w:rsidP="004E2D6C">
            <w:pPr>
              <w:spacing w:before="0"/>
              <w:rPr>
                <w:rFonts w:ascii="Calibri" w:hAnsi="Calibri"/>
                <w:sz w:val="16"/>
                <w:szCs w:val="16"/>
              </w:rPr>
            </w:pPr>
          </w:p>
        </w:tc>
        <w:tc>
          <w:tcPr>
            <w:tcW w:w="2551" w:type="dxa"/>
            <w:tcBorders>
              <w:top w:val="single" w:sz="2" w:space="0" w:color="auto"/>
              <w:bottom w:val="single" w:sz="2" w:space="0" w:color="auto"/>
            </w:tcBorders>
            <w:vAlign w:val="center"/>
          </w:tcPr>
          <w:p w:rsidR="004E2D6C" w:rsidRPr="005A192A" w:rsidRDefault="004E2D6C" w:rsidP="001C5C9E">
            <w:pPr>
              <w:pStyle w:val="Odsekzoznamu"/>
              <w:numPr>
                <w:ilvl w:val="0"/>
                <w:numId w:val="117"/>
              </w:numPr>
              <w:tabs>
                <w:tab w:val="left" w:pos="175"/>
                <w:tab w:val="left" w:pos="406"/>
              </w:tabs>
              <w:spacing w:before="0"/>
              <w:ind w:left="175" w:hanging="175"/>
              <w:rPr>
                <w:rFonts w:ascii="Calibri" w:hAnsi="Calibri"/>
                <w:sz w:val="16"/>
                <w:szCs w:val="16"/>
                <w:lang w:eastAsia="cs-CZ"/>
              </w:rPr>
            </w:pPr>
            <w:r w:rsidRPr="005A192A">
              <w:rPr>
                <w:rFonts w:ascii="Calibri" w:hAnsi="Calibri"/>
                <w:sz w:val="16"/>
                <w:szCs w:val="16"/>
                <w:lang w:eastAsia="cs-CZ"/>
              </w:rPr>
              <w:t>na zvýšenie kvality a atraktívnosti odborného vzdelávania a prípravy, a to aj vytvorením národného prístupu zabezpečenia kvality odborného vzdelávania a prípravy (napríklad v súlade s Európskym referenčným rámcom zabezpečenia kvality odborného vzdelávania a prípravy) a zavedením nástrojov transparentnosti a uznávania, napríklad Európskeho systému kreditov pre odborné vzdelávanie a prípravu.</w:t>
            </w:r>
          </w:p>
        </w:tc>
        <w:tc>
          <w:tcPr>
            <w:tcW w:w="1134" w:type="dxa"/>
            <w:vAlign w:val="center"/>
          </w:tcPr>
          <w:p w:rsidR="004E2D6C" w:rsidRPr="004E2D6C" w:rsidRDefault="00965BE9" w:rsidP="00A14E7D">
            <w:pPr>
              <w:spacing w:before="0"/>
              <w:jc w:val="center"/>
              <w:rPr>
                <w:rFonts w:ascii="Calibri" w:hAnsi="Calibri"/>
                <w:sz w:val="16"/>
                <w:szCs w:val="16"/>
              </w:rPr>
            </w:pPr>
            <w:r>
              <w:rPr>
                <w:rFonts w:ascii="Calibri" w:hAnsi="Calibri"/>
                <w:b/>
                <w:sz w:val="16"/>
                <w:szCs w:val="16"/>
              </w:rPr>
              <w:t>Nie</w:t>
            </w:r>
          </w:p>
        </w:tc>
        <w:tc>
          <w:tcPr>
            <w:tcW w:w="3119" w:type="dxa"/>
          </w:tcPr>
          <w:p w:rsidR="004E2D6C" w:rsidRPr="004E2D6C" w:rsidRDefault="004E2D6C" w:rsidP="00965BE9">
            <w:pPr>
              <w:spacing w:before="0"/>
              <w:rPr>
                <w:rFonts w:ascii="Calibri" w:hAnsi="Calibri"/>
                <w:sz w:val="16"/>
                <w:szCs w:val="16"/>
              </w:rPr>
            </w:pPr>
          </w:p>
        </w:tc>
        <w:tc>
          <w:tcPr>
            <w:tcW w:w="4111" w:type="dxa"/>
            <w:tcBorders>
              <w:right w:val="single" w:sz="12" w:space="0" w:color="auto"/>
            </w:tcBorders>
          </w:tcPr>
          <w:p w:rsidR="00F93789" w:rsidRPr="00F729CD" w:rsidRDefault="00F93789" w:rsidP="00F93789">
            <w:pPr>
              <w:spacing w:before="0"/>
              <w:rPr>
                <w:rFonts w:ascii="Calibri" w:hAnsi="Calibri"/>
                <w:sz w:val="16"/>
                <w:szCs w:val="16"/>
              </w:rPr>
            </w:pPr>
            <w:r w:rsidRPr="00F729CD">
              <w:rPr>
                <w:rFonts w:ascii="Calibri" w:hAnsi="Calibri"/>
                <w:sz w:val="16"/>
                <w:szCs w:val="16"/>
              </w:rPr>
              <w:t xml:space="preserve">Zvyšovanie atraktívnosti a kvality odborného vzdelávania </w:t>
            </w:r>
            <w:r w:rsidR="00913324">
              <w:rPr>
                <w:rFonts w:ascii="Calibri" w:hAnsi="Calibri"/>
                <w:sz w:val="16"/>
                <w:szCs w:val="16"/>
              </w:rPr>
              <w:br/>
            </w:r>
            <w:r w:rsidRPr="00F729CD">
              <w:rPr>
                <w:rFonts w:ascii="Calibri" w:hAnsi="Calibri"/>
                <w:sz w:val="16"/>
                <w:szCs w:val="16"/>
              </w:rPr>
              <w:t xml:space="preserve">a prípravy bude zabezpečené  prijatím  nového zákona </w:t>
            </w:r>
            <w:r w:rsidR="00913324">
              <w:rPr>
                <w:rFonts w:ascii="Calibri" w:hAnsi="Calibri"/>
                <w:sz w:val="16"/>
                <w:szCs w:val="16"/>
              </w:rPr>
              <w:br/>
            </w:r>
            <w:r w:rsidRPr="00F729CD">
              <w:rPr>
                <w:rFonts w:ascii="Calibri" w:hAnsi="Calibri"/>
                <w:sz w:val="16"/>
                <w:szCs w:val="16"/>
              </w:rPr>
              <w:t>o odbornom vzdelávaní a</w:t>
            </w:r>
            <w:r w:rsidR="00C741AD">
              <w:rPr>
                <w:rFonts w:ascii="Calibri" w:hAnsi="Calibri"/>
                <w:sz w:val="16"/>
                <w:szCs w:val="16"/>
              </w:rPr>
              <w:t> </w:t>
            </w:r>
            <w:r w:rsidRPr="00F729CD">
              <w:rPr>
                <w:rFonts w:ascii="Calibri" w:hAnsi="Calibri"/>
                <w:sz w:val="16"/>
                <w:szCs w:val="16"/>
              </w:rPr>
              <w:t>príprave</w:t>
            </w:r>
            <w:r w:rsidR="00C741AD">
              <w:rPr>
                <w:rFonts w:ascii="Calibri" w:hAnsi="Calibri"/>
                <w:sz w:val="16"/>
                <w:szCs w:val="16"/>
              </w:rPr>
              <w:t>,</w:t>
            </w:r>
            <w:r w:rsidRPr="00F729CD">
              <w:rPr>
                <w:rFonts w:ascii="Calibri" w:hAnsi="Calibri"/>
                <w:sz w:val="16"/>
                <w:szCs w:val="16"/>
              </w:rPr>
              <w:t xml:space="preserve"> prostredníctvom ktorého budú predstavené prvky duálneho vzdelávania (plánovaná </w:t>
            </w:r>
            <w:r>
              <w:rPr>
                <w:rFonts w:ascii="Calibri" w:hAnsi="Calibri"/>
                <w:sz w:val="16"/>
                <w:szCs w:val="16"/>
              </w:rPr>
              <w:t>účinnosť zákona od 01.</w:t>
            </w:r>
            <w:r w:rsidR="00913324">
              <w:rPr>
                <w:rFonts w:ascii="Calibri" w:hAnsi="Calibri"/>
                <w:sz w:val="16"/>
                <w:szCs w:val="16"/>
              </w:rPr>
              <w:t xml:space="preserve"> </w:t>
            </w:r>
            <w:r>
              <w:rPr>
                <w:rFonts w:ascii="Calibri" w:hAnsi="Calibri"/>
                <w:sz w:val="16"/>
                <w:szCs w:val="16"/>
              </w:rPr>
              <w:t>09.</w:t>
            </w:r>
            <w:r w:rsidR="00913324">
              <w:rPr>
                <w:rFonts w:ascii="Calibri" w:hAnsi="Calibri"/>
                <w:sz w:val="16"/>
                <w:szCs w:val="16"/>
              </w:rPr>
              <w:t xml:space="preserve"> </w:t>
            </w:r>
            <w:r>
              <w:rPr>
                <w:rFonts w:ascii="Calibri" w:hAnsi="Calibri"/>
                <w:sz w:val="16"/>
                <w:szCs w:val="16"/>
              </w:rPr>
              <w:t>2015).</w:t>
            </w:r>
          </w:p>
          <w:p w:rsidR="00F93789" w:rsidRPr="00F729CD" w:rsidRDefault="00F93789" w:rsidP="00F93789">
            <w:pPr>
              <w:spacing w:before="0"/>
              <w:rPr>
                <w:rFonts w:ascii="Calibri" w:hAnsi="Calibri"/>
                <w:sz w:val="16"/>
                <w:szCs w:val="16"/>
              </w:rPr>
            </w:pPr>
            <w:r w:rsidRPr="00F729CD">
              <w:rPr>
                <w:rFonts w:ascii="Calibri" w:hAnsi="Calibri"/>
                <w:sz w:val="16"/>
                <w:szCs w:val="16"/>
              </w:rPr>
              <w:t>Od roku 2013 do 2015 prebieha implementácia 3 kľúčových národných projektov venovaných o. i. oblasti zvyšovani</w:t>
            </w:r>
            <w:r w:rsidR="00C741AD">
              <w:rPr>
                <w:rFonts w:ascii="Calibri" w:hAnsi="Calibri"/>
                <w:sz w:val="16"/>
                <w:szCs w:val="16"/>
              </w:rPr>
              <w:t>a</w:t>
            </w:r>
            <w:r w:rsidRPr="00F729CD">
              <w:rPr>
                <w:rFonts w:ascii="Calibri" w:hAnsi="Calibri"/>
                <w:sz w:val="16"/>
                <w:szCs w:val="16"/>
              </w:rPr>
              <w:t xml:space="preserve"> atraktivity OVP v SR: </w:t>
            </w:r>
          </w:p>
          <w:p w:rsidR="00F93789" w:rsidRPr="00966411" w:rsidRDefault="00F93789" w:rsidP="00966411">
            <w:pPr>
              <w:pStyle w:val="Odsekzoznamu"/>
              <w:numPr>
                <w:ilvl w:val="0"/>
                <w:numId w:val="164"/>
              </w:numPr>
              <w:spacing w:before="0"/>
              <w:ind w:left="175" w:hanging="141"/>
              <w:rPr>
                <w:rFonts w:ascii="Calibri" w:hAnsi="Calibri"/>
                <w:sz w:val="16"/>
                <w:szCs w:val="16"/>
              </w:rPr>
            </w:pPr>
            <w:r w:rsidRPr="00966411">
              <w:rPr>
                <w:rFonts w:ascii="Calibri" w:hAnsi="Calibri"/>
                <w:sz w:val="16"/>
                <w:szCs w:val="16"/>
              </w:rPr>
              <w:t xml:space="preserve">Tvorba Národnej sústavy kvalifikácií (cieľom je o. i. tvorba 1 000 čiastočných a úplných kvalifikácií v podobe vytvorenia kvalifikačných štandardov postavených na vzdelávacích výstupoch a hodnotiacich štandardov), </w:t>
            </w:r>
          </w:p>
          <w:p w:rsidR="00F93789" w:rsidRPr="00966411" w:rsidRDefault="00F93789" w:rsidP="00966411">
            <w:pPr>
              <w:pStyle w:val="Odsekzoznamu"/>
              <w:numPr>
                <w:ilvl w:val="0"/>
                <w:numId w:val="164"/>
              </w:numPr>
              <w:spacing w:before="0"/>
              <w:ind w:left="175" w:hanging="141"/>
              <w:rPr>
                <w:rFonts w:ascii="Calibri" w:hAnsi="Calibri"/>
                <w:sz w:val="16"/>
                <w:szCs w:val="16"/>
              </w:rPr>
            </w:pPr>
            <w:r w:rsidRPr="00966411">
              <w:rPr>
                <w:rFonts w:ascii="Calibri" w:hAnsi="Calibri"/>
                <w:sz w:val="16"/>
                <w:szCs w:val="16"/>
              </w:rPr>
              <w:t xml:space="preserve">Podpora profesijnej orientácie žiakov základnej školy na odborné vzdelávanie a prípravu prostredníctvom rozvoja polytechnickej výchovy zameranej na rozvoj pracovných zručností a práca s talentami  (cieľom je o. i. vybavenie odborných učební základných škôl, tvorba programov kontinuálneho vzdelávania pre učiteľov prírodovedných </w:t>
            </w:r>
            <w:r w:rsidRPr="00966411">
              <w:rPr>
                <w:rFonts w:ascii="Calibri" w:hAnsi="Calibri"/>
                <w:sz w:val="16"/>
                <w:szCs w:val="16"/>
              </w:rPr>
              <w:lastRenderedPageBreak/>
              <w:t>predmetov)</w:t>
            </w:r>
            <w:r w:rsidR="00C741AD" w:rsidRPr="00966411">
              <w:rPr>
                <w:rFonts w:ascii="Calibri" w:hAnsi="Calibri"/>
                <w:sz w:val="16"/>
                <w:szCs w:val="16"/>
              </w:rPr>
              <w:t>,</w:t>
            </w:r>
            <w:r w:rsidRPr="00966411">
              <w:rPr>
                <w:rFonts w:ascii="Calibri" w:hAnsi="Calibri"/>
                <w:sz w:val="16"/>
                <w:szCs w:val="16"/>
              </w:rPr>
              <w:t xml:space="preserve"> </w:t>
            </w:r>
          </w:p>
          <w:p w:rsidR="00F93789" w:rsidRDefault="00F93789" w:rsidP="00966411">
            <w:pPr>
              <w:pStyle w:val="Odsekzoznamu"/>
              <w:numPr>
                <w:ilvl w:val="0"/>
                <w:numId w:val="164"/>
              </w:numPr>
              <w:spacing w:before="0"/>
              <w:ind w:left="175" w:hanging="141"/>
              <w:rPr>
                <w:rFonts w:ascii="Calibri" w:hAnsi="Calibri"/>
                <w:sz w:val="16"/>
                <w:szCs w:val="16"/>
              </w:rPr>
            </w:pPr>
            <w:r w:rsidRPr="00966411">
              <w:rPr>
                <w:rFonts w:ascii="Calibri" w:hAnsi="Calibri"/>
                <w:sz w:val="16"/>
                <w:szCs w:val="16"/>
              </w:rPr>
              <w:t xml:space="preserve">Rozvoj stredného odborného vzdelávania (cieľom je o. i. analýza súladu zručností absolventov s ponukou na trhu práce, pasportizácia SOŠ, analyticko-metodické aktivity vo vzťahu k vývoju nezamestnanosti absolventov SOŠ </w:t>
            </w:r>
            <w:r w:rsidR="00913324" w:rsidRPr="00966411">
              <w:rPr>
                <w:rFonts w:ascii="Calibri" w:hAnsi="Calibri"/>
                <w:sz w:val="16"/>
                <w:szCs w:val="16"/>
              </w:rPr>
              <w:br/>
            </w:r>
            <w:r w:rsidRPr="00966411">
              <w:rPr>
                <w:rFonts w:ascii="Calibri" w:hAnsi="Calibri"/>
                <w:sz w:val="16"/>
                <w:szCs w:val="16"/>
              </w:rPr>
              <w:t>a dopadu na odborné vzdelávanie a prípravu).</w:t>
            </w:r>
          </w:p>
          <w:p w:rsidR="00966411" w:rsidRPr="00966411" w:rsidRDefault="00966411" w:rsidP="00966411">
            <w:pPr>
              <w:pStyle w:val="Odsekzoznamu"/>
              <w:spacing w:before="0"/>
              <w:ind w:left="175"/>
              <w:rPr>
                <w:rFonts w:ascii="Calibri" w:hAnsi="Calibri"/>
                <w:sz w:val="16"/>
                <w:szCs w:val="16"/>
              </w:rPr>
            </w:pPr>
          </w:p>
          <w:p w:rsidR="00F93789" w:rsidRPr="00966411" w:rsidRDefault="00F93789" w:rsidP="00966411">
            <w:pPr>
              <w:pStyle w:val="Odsekzoznamu"/>
              <w:numPr>
                <w:ilvl w:val="0"/>
                <w:numId w:val="164"/>
              </w:numPr>
              <w:spacing w:before="0"/>
              <w:ind w:left="175" w:hanging="141"/>
              <w:rPr>
                <w:rFonts w:ascii="Calibri" w:hAnsi="Calibri"/>
                <w:sz w:val="16"/>
                <w:szCs w:val="16"/>
              </w:rPr>
            </w:pPr>
            <w:r w:rsidRPr="00966411">
              <w:rPr>
                <w:rFonts w:ascii="Calibri" w:hAnsi="Calibri"/>
                <w:sz w:val="16"/>
                <w:szCs w:val="16"/>
              </w:rPr>
              <w:t>Opatrenia, ktoré budú realizované prostredníctvom implementácie uvedených národných projektov:</w:t>
            </w:r>
          </w:p>
          <w:p w:rsidR="00F93789" w:rsidRPr="00966411" w:rsidRDefault="00F93789" w:rsidP="00966411">
            <w:pPr>
              <w:pStyle w:val="Odsekzoznamu"/>
              <w:numPr>
                <w:ilvl w:val="0"/>
                <w:numId w:val="164"/>
              </w:numPr>
              <w:spacing w:before="0"/>
              <w:ind w:left="459" w:hanging="142"/>
              <w:rPr>
                <w:rFonts w:ascii="Calibri" w:hAnsi="Calibri"/>
                <w:sz w:val="16"/>
                <w:szCs w:val="16"/>
              </w:rPr>
            </w:pPr>
            <w:r w:rsidRPr="00966411">
              <w:rPr>
                <w:rFonts w:ascii="Calibri" w:hAnsi="Calibri"/>
                <w:sz w:val="16"/>
                <w:szCs w:val="16"/>
              </w:rPr>
              <w:t xml:space="preserve">identifikácia vzdelávacích výstupov a ich popis v rámci kvalifikačných štandardov čiastočných a úplných kvalifikácií v súlade s Odporúčaním Európskeho parlamentu a Rady </w:t>
            </w:r>
            <w:r w:rsidR="00913324" w:rsidRPr="00966411">
              <w:rPr>
                <w:rFonts w:ascii="Calibri" w:hAnsi="Calibri"/>
                <w:sz w:val="16"/>
                <w:szCs w:val="16"/>
              </w:rPr>
              <w:br/>
            </w:r>
            <w:r w:rsidRPr="00966411">
              <w:rPr>
                <w:rFonts w:ascii="Calibri" w:hAnsi="Calibri"/>
                <w:sz w:val="16"/>
                <w:szCs w:val="16"/>
              </w:rPr>
              <w:t>o vytvorení Európskeho kvalifikačného rámca pre celoživotné vzdelávanie</w:t>
            </w:r>
          </w:p>
          <w:p w:rsidR="00F93789" w:rsidRPr="00966411" w:rsidRDefault="00F93789" w:rsidP="00966411">
            <w:pPr>
              <w:pStyle w:val="Odsekzoznamu"/>
              <w:numPr>
                <w:ilvl w:val="0"/>
                <w:numId w:val="164"/>
              </w:numPr>
              <w:spacing w:before="0"/>
              <w:ind w:left="459" w:hanging="142"/>
              <w:rPr>
                <w:rFonts w:ascii="Calibri" w:hAnsi="Calibri"/>
                <w:sz w:val="16"/>
                <w:szCs w:val="16"/>
              </w:rPr>
            </w:pPr>
            <w:r w:rsidRPr="00966411">
              <w:rPr>
                <w:rFonts w:ascii="Calibri" w:hAnsi="Calibri"/>
                <w:sz w:val="16"/>
                <w:szCs w:val="16"/>
              </w:rPr>
              <w:t xml:space="preserve">vytvorenie mechanizmov uznávania kvalifikácií nadobudnutých mimo formálneho vzdelávania (neformálne a informálne učenie sa) – vytvorenie legislatívnych </w:t>
            </w:r>
            <w:r w:rsidR="00913324" w:rsidRPr="00966411">
              <w:rPr>
                <w:rFonts w:ascii="Calibri" w:hAnsi="Calibri"/>
                <w:sz w:val="16"/>
                <w:szCs w:val="16"/>
              </w:rPr>
              <w:br/>
            </w:r>
            <w:r w:rsidRPr="00966411">
              <w:rPr>
                <w:rFonts w:ascii="Calibri" w:hAnsi="Calibri"/>
                <w:sz w:val="16"/>
                <w:szCs w:val="16"/>
              </w:rPr>
              <w:t>a inštitucionálnych podmienok a systému zabezpečenia kvality hodnotenia, validácie a uznania všetkých typov kvalifikácií v nadväznosti na tvorbu Národnej sústavy kvalifikácií a prepojenia na Európsky kvalifikačný rámec</w:t>
            </w:r>
          </w:p>
          <w:p w:rsidR="00F93789" w:rsidRPr="00966411" w:rsidRDefault="00F93789" w:rsidP="00966411">
            <w:pPr>
              <w:pStyle w:val="Odsekzoznamu"/>
              <w:numPr>
                <w:ilvl w:val="0"/>
                <w:numId w:val="164"/>
              </w:numPr>
              <w:spacing w:before="0"/>
              <w:ind w:left="459" w:hanging="142"/>
              <w:rPr>
                <w:rFonts w:ascii="Calibri" w:hAnsi="Calibri"/>
                <w:sz w:val="16"/>
                <w:szCs w:val="16"/>
              </w:rPr>
            </w:pPr>
            <w:r w:rsidRPr="00966411">
              <w:rPr>
                <w:rFonts w:ascii="Calibri" w:hAnsi="Calibri"/>
                <w:sz w:val="16"/>
                <w:szCs w:val="16"/>
              </w:rPr>
              <w:t xml:space="preserve">začlenenie sociálnych partnerov a stakeholderov do procesov vytvárania hodnotiacich štandardov, uznávania </w:t>
            </w:r>
            <w:r w:rsidR="00913324" w:rsidRPr="00966411">
              <w:rPr>
                <w:rFonts w:ascii="Calibri" w:hAnsi="Calibri"/>
                <w:sz w:val="16"/>
                <w:szCs w:val="16"/>
              </w:rPr>
              <w:br/>
            </w:r>
            <w:r w:rsidRPr="00966411">
              <w:rPr>
                <w:rFonts w:ascii="Calibri" w:hAnsi="Calibri"/>
                <w:sz w:val="16"/>
                <w:szCs w:val="16"/>
              </w:rPr>
              <w:t xml:space="preserve">a prideľovania kvalifikácií prostredníctvom: aktívnej participácie na všetkých troch uvedených procesoch; monitorovania potrieb trhu práce pri identifikácií štandardov povolaní a ich reflektovaní v kvalifikačných štandardoch </w:t>
            </w:r>
            <w:r w:rsidR="00C741AD" w:rsidRPr="00966411">
              <w:rPr>
                <w:rFonts w:ascii="Calibri" w:hAnsi="Calibri"/>
                <w:sz w:val="16"/>
                <w:szCs w:val="16"/>
              </w:rPr>
              <w:t xml:space="preserve">v </w:t>
            </w:r>
            <w:r w:rsidRPr="00966411">
              <w:rPr>
                <w:rFonts w:ascii="Calibri" w:hAnsi="Calibri"/>
                <w:sz w:val="16"/>
                <w:szCs w:val="16"/>
              </w:rPr>
              <w:t>rámci realizácie národných projektov, ako aj účasti na referencovacom procese</w:t>
            </w:r>
          </w:p>
          <w:p w:rsidR="004E2D6C" w:rsidRPr="00966411" w:rsidRDefault="00F93789" w:rsidP="00966411">
            <w:pPr>
              <w:pStyle w:val="Odsekzoznamu"/>
              <w:numPr>
                <w:ilvl w:val="0"/>
                <w:numId w:val="164"/>
              </w:numPr>
              <w:spacing w:before="0"/>
              <w:ind w:left="459" w:hanging="142"/>
              <w:rPr>
                <w:rFonts w:ascii="Calibri" w:hAnsi="Calibri"/>
                <w:sz w:val="16"/>
                <w:szCs w:val="16"/>
              </w:rPr>
            </w:pPr>
            <w:r w:rsidRPr="00966411">
              <w:rPr>
                <w:rFonts w:ascii="Calibri" w:hAnsi="Calibri"/>
                <w:sz w:val="16"/>
                <w:szCs w:val="16"/>
              </w:rPr>
              <w:t>vytvorenia mechanizmov a metodológií identifikácie zamestnateľnosti absolventov</w:t>
            </w:r>
            <w:r w:rsidR="00C741AD" w:rsidRPr="00966411">
              <w:rPr>
                <w:rFonts w:ascii="Calibri" w:hAnsi="Calibri"/>
                <w:sz w:val="16"/>
                <w:szCs w:val="16"/>
              </w:rPr>
              <w:t>.</w:t>
            </w:r>
          </w:p>
        </w:tc>
      </w:tr>
      <w:tr w:rsidR="00077029" w:rsidRPr="004E2D6C" w:rsidTr="00B763E3">
        <w:trPr>
          <w:trHeight w:val="55"/>
        </w:trPr>
        <w:tc>
          <w:tcPr>
            <w:tcW w:w="1668" w:type="dxa"/>
            <w:vMerge w:val="restart"/>
            <w:tcBorders>
              <w:left w:val="single" w:sz="12" w:space="0" w:color="auto"/>
            </w:tcBorders>
          </w:tcPr>
          <w:p w:rsidR="00077029" w:rsidRPr="004E2D6C" w:rsidRDefault="00077029" w:rsidP="00077029">
            <w:pPr>
              <w:spacing w:before="0"/>
              <w:rPr>
                <w:rFonts w:ascii="Calibri" w:hAnsi="Calibri"/>
                <w:sz w:val="16"/>
                <w:szCs w:val="16"/>
              </w:rPr>
            </w:pPr>
            <w:r w:rsidRPr="004E2D6C">
              <w:rPr>
                <w:rFonts w:ascii="Calibri" w:hAnsi="Calibri"/>
                <w:sz w:val="16"/>
                <w:szCs w:val="16"/>
              </w:rPr>
              <w:lastRenderedPageBreak/>
              <w:t xml:space="preserve">11. </w:t>
            </w:r>
            <w:r w:rsidRPr="00D11CF1">
              <w:rPr>
                <w:rFonts w:ascii="Calibri" w:eastAsia="Calibri" w:hAnsi="Calibri"/>
                <w:sz w:val="16"/>
                <w:szCs w:val="16"/>
              </w:rPr>
              <w:t xml:space="preserve">Existencia strategického politického rámca na posilňovanie efektivity verejnej správy </w:t>
            </w:r>
            <w:r w:rsidRPr="00D11CF1">
              <w:rPr>
                <w:rFonts w:ascii="Calibri" w:eastAsia="Calibri" w:hAnsi="Calibri" w:hint="eastAsia"/>
                <w:sz w:val="16"/>
                <w:szCs w:val="16"/>
              </w:rPr>
              <w:t>č</w:t>
            </w:r>
            <w:r w:rsidRPr="00D11CF1">
              <w:rPr>
                <w:rFonts w:ascii="Calibri" w:eastAsia="Calibri" w:hAnsi="Calibri"/>
                <w:sz w:val="16"/>
                <w:szCs w:val="16"/>
              </w:rPr>
              <w:t xml:space="preserve">lenských </w:t>
            </w:r>
            <w:r w:rsidRPr="00D11CF1">
              <w:rPr>
                <w:rFonts w:ascii="Calibri" w:eastAsia="Calibri" w:hAnsi="Calibri"/>
                <w:sz w:val="16"/>
                <w:szCs w:val="16"/>
              </w:rPr>
              <w:lastRenderedPageBreak/>
              <w:t>štátov vrátane reformy verejnej správy</w:t>
            </w:r>
          </w:p>
        </w:tc>
        <w:tc>
          <w:tcPr>
            <w:tcW w:w="1559" w:type="dxa"/>
            <w:vMerge w:val="restart"/>
            <w:vAlign w:val="center"/>
          </w:tcPr>
          <w:p w:rsidR="00077029" w:rsidRPr="004E2D6C" w:rsidRDefault="00077029" w:rsidP="00A14E7D">
            <w:pPr>
              <w:spacing w:before="0"/>
              <w:jc w:val="center"/>
              <w:rPr>
                <w:rFonts w:ascii="Calibri" w:hAnsi="Calibri"/>
                <w:b/>
                <w:sz w:val="16"/>
                <w:szCs w:val="16"/>
              </w:rPr>
            </w:pPr>
            <w:r w:rsidRPr="004E2D6C">
              <w:rPr>
                <w:rFonts w:ascii="Calibri" w:hAnsi="Calibri"/>
                <w:b/>
                <w:sz w:val="16"/>
                <w:szCs w:val="16"/>
              </w:rPr>
              <w:lastRenderedPageBreak/>
              <w:t>Čiastočne</w:t>
            </w:r>
          </w:p>
        </w:tc>
        <w:tc>
          <w:tcPr>
            <w:tcW w:w="2551" w:type="dxa"/>
            <w:tcBorders>
              <w:top w:val="single" w:sz="2" w:space="0" w:color="auto"/>
              <w:bottom w:val="single" w:sz="2" w:space="0" w:color="auto"/>
            </w:tcBorders>
          </w:tcPr>
          <w:p w:rsidR="005A192A" w:rsidRPr="004E2D6C" w:rsidRDefault="00077029" w:rsidP="00077029">
            <w:pPr>
              <w:spacing w:before="0" w:line="276" w:lineRule="auto"/>
              <w:rPr>
                <w:rFonts w:ascii="Calibri" w:hAnsi="Calibri"/>
                <w:sz w:val="16"/>
                <w:szCs w:val="16"/>
              </w:rPr>
            </w:pPr>
            <w:r w:rsidRPr="004E2D6C">
              <w:rPr>
                <w:rFonts w:ascii="Calibri" w:hAnsi="Calibri"/>
                <w:sz w:val="16"/>
                <w:szCs w:val="16"/>
              </w:rPr>
              <w:t xml:space="preserve">Zavedený je a vykonáva sa strategický politický rámec na posilňovanie efektivity orgánov verejnej správy členského štátu a ich zručností, ktorý zahŕňa tieto </w:t>
            </w:r>
            <w:r w:rsidRPr="004E2D6C">
              <w:rPr>
                <w:rFonts w:ascii="Calibri" w:hAnsi="Calibri"/>
                <w:sz w:val="16"/>
                <w:szCs w:val="16"/>
              </w:rPr>
              <w:lastRenderedPageBreak/>
              <w:t>prvky:</w:t>
            </w:r>
          </w:p>
          <w:p w:rsidR="00077029" w:rsidRPr="005A192A" w:rsidRDefault="00077029" w:rsidP="001C5C9E">
            <w:pPr>
              <w:pStyle w:val="Odsekzoznamu"/>
              <w:numPr>
                <w:ilvl w:val="0"/>
                <w:numId w:val="118"/>
              </w:numPr>
              <w:spacing w:before="0" w:line="276" w:lineRule="auto"/>
              <w:ind w:left="175" w:hanging="175"/>
              <w:rPr>
                <w:rFonts w:ascii="Calibri" w:hAnsi="Calibri"/>
                <w:sz w:val="16"/>
                <w:szCs w:val="16"/>
              </w:rPr>
            </w:pPr>
            <w:r w:rsidRPr="005A192A">
              <w:rPr>
                <w:rFonts w:ascii="Calibri" w:hAnsi="Calibri"/>
                <w:sz w:val="16"/>
                <w:szCs w:val="16"/>
              </w:rPr>
              <w:t>analýzu a strategický plán právnych, organizačných a/alebo procesných reformných opatrení,</w:t>
            </w:r>
          </w:p>
        </w:tc>
        <w:tc>
          <w:tcPr>
            <w:tcW w:w="1134" w:type="dxa"/>
            <w:vAlign w:val="center"/>
          </w:tcPr>
          <w:p w:rsidR="00077029" w:rsidRPr="004E2D6C" w:rsidRDefault="00077029" w:rsidP="00A14E7D">
            <w:pPr>
              <w:spacing w:before="100" w:beforeAutospacing="1" w:after="100" w:afterAutospacing="1" w:line="276" w:lineRule="auto"/>
              <w:jc w:val="center"/>
              <w:rPr>
                <w:rFonts w:ascii="Calibri" w:hAnsi="Calibri"/>
                <w:szCs w:val="22"/>
              </w:rPr>
            </w:pPr>
            <w:r>
              <w:rPr>
                <w:rFonts w:ascii="Calibri" w:hAnsi="Calibri"/>
                <w:b/>
                <w:bCs/>
                <w:sz w:val="16"/>
                <w:szCs w:val="16"/>
              </w:rPr>
              <w:lastRenderedPageBreak/>
              <w:t>Nie</w:t>
            </w:r>
          </w:p>
        </w:tc>
        <w:tc>
          <w:tcPr>
            <w:tcW w:w="3119" w:type="dxa"/>
          </w:tcPr>
          <w:p w:rsidR="00077029" w:rsidRPr="004E2D6C" w:rsidRDefault="00077029" w:rsidP="00077029">
            <w:pPr>
              <w:spacing w:before="0"/>
              <w:rPr>
                <w:rFonts w:ascii="Calibri" w:hAnsi="Calibri"/>
                <w:sz w:val="16"/>
                <w:szCs w:val="16"/>
              </w:rPr>
            </w:pPr>
          </w:p>
        </w:tc>
        <w:tc>
          <w:tcPr>
            <w:tcW w:w="4111" w:type="dxa"/>
            <w:tcBorders>
              <w:right w:val="single" w:sz="12" w:space="0" w:color="auto"/>
            </w:tcBorders>
          </w:tcPr>
          <w:p w:rsidR="00B01228" w:rsidRPr="00B763E3" w:rsidRDefault="00ED6BC8" w:rsidP="00B01228">
            <w:pPr>
              <w:autoSpaceDE w:val="0"/>
              <w:autoSpaceDN w:val="0"/>
              <w:adjustRightInd w:val="0"/>
              <w:spacing w:before="0" w:after="0"/>
              <w:jc w:val="left"/>
              <w:rPr>
                <w:rFonts w:asciiTheme="majorHAnsi" w:hAnsiTheme="majorHAnsi"/>
                <w:sz w:val="16"/>
                <w:szCs w:val="16"/>
              </w:rPr>
            </w:pPr>
            <w:hyperlink r:id="rId156" w:history="1">
              <w:r w:rsidR="00B01228" w:rsidRPr="00B763E3">
                <w:rPr>
                  <w:rFonts w:asciiTheme="majorHAnsi" w:hAnsiTheme="majorHAnsi"/>
                  <w:sz w:val="16"/>
                  <w:szCs w:val="16"/>
                </w:rPr>
                <w:t>http://www.rokovania.sk/File.aspx/ViewDocumentHtml/Uznesenie-13500?prefixFile=u_</w:t>
              </w:r>
            </w:hyperlink>
            <w:r w:rsidR="00E96D8E">
              <w:rPr>
                <w:rFonts w:asciiTheme="majorHAnsi" w:hAnsiTheme="majorHAnsi"/>
                <w:sz w:val="16"/>
                <w:szCs w:val="16"/>
              </w:rPr>
              <w:t xml:space="preserve"> </w:t>
            </w:r>
          </w:p>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Koordinačný</w:t>
            </w:r>
            <w:r w:rsidR="00C741AD" w:rsidRPr="00BA185A">
              <w:rPr>
                <w:rFonts w:ascii="Calibri" w:hAnsi="Calibri"/>
                <w:sz w:val="16"/>
                <w:szCs w:val="16"/>
              </w:rPr>
              <w:t>m</w:t>
            </w:r>
            <w:r w:rsidRPr="00BA185A">
              <w:rPr>
                <w:rFonts w:ascii="Calibri" w:hAnsi="Calibri"/>
                <w:sz w:val="16"/>
                <w:szCs w:val="16"/>
              </w:rPr>
              <w:t xml:space="preserve"> orgán</w:t>
            </w:r>
            <w:r w:rsidR="00C741AD" w:rsidRPr="00BA185A">
              <w:rPr>
                <w:rFonts w:ascii="Calibri" w:hAnsi="Calibri"/>
                <w:sz w:val="16"/>
                <w:szCs w:val="16"/>
              </w:rPr>
              <w:t>om</w:t>
            </w:r>
            <w:r w:rsidRPr="00BA185A">
              <w:rPr>
                <w:rFonts w:ascii="Calibri" w:hAnsi="Calibri"/>
                <w:sz w:val="16"/>
                <w:szCs w:val="16"/>
              </w:rPr>
              <w:t xml:space="preserve"> za reformu VS je na národnej úrovni</w:t>
            </w:r>
            <w:r w:rsidR="00C741AD" w:rsidRPr="00BA185A">
              <w:rPr>
                <w:rFonts w:ascii="Calibri" w:hAnsi="Calibri"/>
                <w:sz w:val="16"/>
                <w:szCs w:val="16"/>
              </w:rPr>
              <w:t xml:space="preserve"> </w:t>
            </w:r>
            <w:r w:rsidRPr="00BA185A">
              <w:rPr>
                <w:rFonts w:ascii="Calibri" w:hAnsi="Calibri"/>
                <w:sz w:val="16"/>
                <w:szCs w:val="16"/>
              </w:rPr>
              <w:t xml:space="preserve">Riadiaci výbor pre koordináciu reformy VS, ktorý bol vytvorený na základe uznesenia vlády SR č. 388 z 10. 07. 2013. Riadiaci výbor predstavuje mechanizmus pre </w:t>
            </w:r>
            <w:r w:rsidRPr="00BA185A">
              <w:rPr>
                <w:rFonts w:ascii="Calibri" w:hAnsi="Calibri"/>
                <w:sz w:val="16"/>
                <w:szCs w:val="16"/>
              </w:rPr>
              <w:lastRenderedPageBreak/>
              <w:t>koordináciu a dialóg medzi relevantnými orgánmi zodpovednými za prípravu a implementáciu reformných opatrení. Jednotlivé vládne orgány a agendy sú zastúpené členmi Riadiaceho výboru a sú zodpovedné za plnenie reformy VS vo svojich segmentoch. Boli spracované analýzy legislatívnych, organizačných a/alebo procedurálnych reformných opatrení na základe hlavných potrieb a cieľov v jednotlivých segmentoch VS. Analýzy boli založené na preskúmaní existujúceho regulačného rámca, organizačnej štruktúry, a/alebo procedurálnych pravidlách s ohľadom na posilnenie efektívnosti VS v SR.</w:t>
            </w:r>
          </w:p>
          <w:p w:rsidR="00B01228" w:rsidRPr="00BA185A" w:rsidRDefault="00B01228" w:rsidP="00B01228">
            <w:pPr>
              <w:autoSpaceDE w:val="0"/>
              <w:autoSpaceDN w:val="0"/>
              <w:adjustRightInd w:val="0"/>
              <w:spacing w:before="0" w:after="0"/>
              <w:jc w:val="left"/>
              <w:rPr>
                <w:rFonts w:ascii="Calibri" w:hAnsi="Calibri"/>
                <w:sz w:val="16"/>
                <w:szCs w:val="16"/>
              </w:rPr>
            </w:pPr>
          </w:p>
          <w:p w:rsidR="00B01228" w:rsidRPr="00BA185A" w:rsidRDefault="00B01228" w:rsidP="00BA185A">
            <w:pPr>
              <w:autoSpaceDE w:val="0"/>
              <w:autoSpaceDN w:val="0"/>
              <w:adjustRightInd w:val="0"/>
              <w:spacing w:before="0" w:after="0"/>
              <w:rPr>
                <w:rFonts w:ascii="Calibri" w:hAnsi="Calibri"/>
                <w:sz w:val="16"/>
                <w:szCs w:val="16"/>
              </w:rPr>
            </w:pPr>
            <w:r w:rsidRPr="00BA185A">
              <w:rPr>
                <w:rFonts w:ascii="Calibri" w:hAnsi="Calibri"/>
                <w:sz w:val="16"/>
                <w:szCs w:val="16"/>
              </w:rPr>
              <w:t>Strategický rámec „Základné východiská  reformy VS v SR“</w:t>
            </w:r>
          </w:p>
          <w:p w:rsidR="00B01228" w:rsidRPr="00B763E3" w:rsidRDefault="00ED6BC8" w:rsidP="00BA185A">
            <w:pPr>
              <w:autoSpaceDE w:val="0"/>
              <w:autoSpaceDN w:val="0"/>
              <w:adjustRightInd w:val="0"/>
              <w:spacing w:before="0" w:after="0"/>
              <w:rPr>
                <w:rFonts w:asciiTheme="majorHAnsi" w:hAnsiTheme="majorHAnsi"/>
                <w:sz w:val="16"/>
                <w:szCs w:val="16"/>
              </w:rPr>
            </w:pPr>
            <w:hyperlink r:id="rId157" w:history="1">
              <w:r w:rsidR="00B01228" w:rsidRPr="00B763E3">
                <w:rPr>
                  <w:rFonts w:asciiTheme="majorHAnsi" w:hAnsiTheme="majorHAnsi"/>
                  <w:sz w:val="16"/>
                  <w:szCs w:val="16"/>
                </w:rPr>
                <w:t>http://www.rokovania.sk/Rokovanie.aspx/BodRokovaniaDetail?idMaterial=23148</w:t>
              </w:r>
            </w:hyperlink>
            <w:r w:rsidR="00B01228" w:rsidRPr="00B763E3">
              <w:rPr>
                <w:rFonts w:asciiTheme="majorHAnsi" w:hAnsiTheme="majorHAnsi"/>
                <w:sz w:val="16"/>
                <w:szCs w:val="16"/>
              </w:rPr>
              <w:t xml:space="preserve">  </w:t>
            </w:r>
          </w:p>
          <w:p w:rsidR="00B01228" w:rsidRPr="00BA185A" w:rsidRDefault="00B01228" w:rsidP="00BA185A">
            <w:pPr>
              <w:autoSpaceDE w:val="0"/>
              <w:autoSpaceDN w:val="0"/>
              <w:adjustRightInd w:val="0"/>
              <w:spacing w:before="0" w:after="0"/>
              <w:rPr>
                <w:rFonts w:ascii="Calibri" w:hAnsi="Calibri"/>
                <w:sz w:val="16"/>
                <w:szCs w:val="16"/>
              </w:rPr>
            </w:pPr>
            <w:r w:rsidRPr="00BA185A">
              <w:rPr>
                <w:rFonts w:ascii="Calibri" w:hAnsi="Calibri"/>
                <w:sz w:val="16"/>
                <w:szCs w:val="16"/>
              </w:rPr>
              <w:t xml:space="preserve">Predložený Riadiacemu výboru a dňa 18. 12. 2013 zobraný na vedomie vládou SR. Tento strategický dokument reflektuje záväzok slovenskej vlády realizovať komplexnú, horizontálnu reformu VS naprieč všetkými segmentmi VS </w:t>
            </w:r>
            <w:r w:rsidR="00913324">
              <w:rPr>
                <w:rFonts w:ascii="Calibri" w:hAnsi="Calibri"/>
                <w:sz w:val="16"/>
                <w:szCs w:val="16"/>
              </w:rPr>
              <w:br/>
            </w:r>
            <w:r w:rsidRPr="00BA185A">
              <w:rPr>
                <w:rFonts w:ascii="Calibri" w:hAnsi="Calibri"/>
                <w:sz w:val="16"/>
                <w:szCs w:val="16"/>
              </w:rPr>
              <w:t>s jasne stanovenými prioritami a bude slúžiť ako základ pre ďalší rozvoj reformných koncepcií v jednotlivých segmentoch VS, rovnako ako stratégie OP EVS.</w:t>
            </w:r>
          </w:p>
          <w:p w:rsidR="00B01228" w:rsidRPr="00BA185A" w:rsidRDefault="00B01228" w:rsidP="00BA185A">
            <w:pPr>
              <w:autoSpaceDE w:val="0"/>
              <w:autoSpaceDN w:val="0"/>
              <w:adjustRightInd w:val="0"/>
              <w:spacing w:before="0" w:after="0"/>
              <w:rPr>
                <w:rFonts w:ascii="Calibri" w:hAnsi="Calibri"/>
                <w:sz w:val="16"/>
                <w:szCs w:val="16"/>
              </w:rPr>
            </w:pPr>
          </w:p>
          <w:p w:rsidR="00B01228" w:rsidRPr="00BA185A" w:rsidRDefault="00B01228" w:rsidP="00BA185A">
            <w:pPr>
              <w:autoSpaceDE w:val="0"/>
              <w:autoSpaceDN w:val="0"/>
              <w:adjustRightInd w:val="0"/>
              <w:spacing w:before="0" w:after="0"/>
              <w:rPr>
                <w:rFonts w:ascii="Calibri" w:hAnsi="Calibri"/>
                <w:sz w:val="16"/>
                <w:szCs w:val="16"/>
              </w:rPr>
            </w:pPr>
            <w:r w:rsidRPr="00BA185A">
              <w:rPr>
                <w:rFonts w:ascii="Calibri" w:hAnsi="Calibri"/>
                <w:sz w:val="16"/>
                <w:szCs w:val="16"/>
              </w:rPr>
              <w:t>Program ESO (Efektívna, Spoľahlivá a Otvorená štátna správa)</w:t>
            </w:r>
          </w:p>
          <w:p w:rsidR="00B01228" w:rsidRPr="00B763E3" w:rsidRDefault="00ED6BC8" w:rsidP="00BA185A">
            <w:pPr>
              <w:autoSpaceDE w:val="0"/>
              <w:autoSpaceDN w:val="0"/>
              <w:adjustRightInd w:val="0"/>
              <w:spacing w:before="0" w:after="0"/>
              <w:rPr>
                <w:rFonts w:asciiTheme="majorHAnsi" w:hAnsiTheme="majorHAnsi"/>
                <w:sz w:val="16"/>
                <w:szCs w:val="16"/>
              </w:rPr>
            </w:pPr>
            <w:hyperlink r:id="rId158" w:history="1">
              <w:r w:rsidR="00B01228" w:rsidRPr="00B763E3">
                <w:rPr>
                  <w:rFonts w:asciiTheme="majorHAnsi" w:hAnsiTheme="majorHAnsi"/>
                  <w:sz w:val="16"/>
                  <w:szCs w:val="16"/>
                </w:rPr>
                <w:t>http://www.rokovania.sk/Rokovanie.aspx/BodRokovaniaDetail?idMaterial=20957</w:t>
              </w:r>
            </w:hyperlink>
            <w:r w:rsidR="00B01228" w:rsidRPr="00B763E3">
              <w:rPr>
                <w:rFonts w:asciiTheme="majorHAnsi" w:hAnsiTheme="majorHAnsi"/>
                <w:sz w:val="16"/>
                <w:szCs w:val="16"/>
              </w:rPr>
              <w:t xml:space="preserve">  </w:t>
            </w:r>
          </w:p>
          <w:p w:rsidR="00B01228" w:rsidRPr="00B763E3" w:rsidRDefault="00ED6BC8" w:rsidP="00BA185A">
            <w:pPr>
              <w:autoSpaceDE w:val="0"/>
              <w:autoSpaceDN w:val="0"/>
              <w:adjustRightInd w:val="0"/>
              <w:spacing w:before="0" w:after="0"/>
              <w:rPr>
                <w:rFonts w:asciiTheme="majorHAnsi" w:hAnsiTheme="majorHAnsi"/>
                <w:sz w:val="16"/>
                <w:szCs w:val="16"/>
              </w:rPr>
            </w:pPr>
            <w:hyperlink r:id="rId159" w:history="1">
              <w:r w:rsidR="00B01228" w:rsidRPr="00B763E3">
                <w:rPr>
                  <w:rFonts w:asciiTheme="majorHAnsi" w:hAnsiTheme="majorHAnsi"/>
                  <w:sz w:val="16"/>
                  <w:szCs w:val="16"/>
                </w:rPr>
                <w:t>http://www.zbierka.sk/sk/predpisy/zakon-345-2012-z-z.p-34903.html?aspi_hash=MzQ1LzIwMTIgWi56Lg</w:t>
              </w:r>
            </w:hyperlink>
          </w:p>
          <w:p w:rsidR="00B01228" w:rsidRPr="00BA185A" w:rsidRDefault="00B01228" w:rsidP="00B01228">
            <w:pPr>
              <w:pStyle w:val="Textpoznmkypodiarou"/>
              <w:autoSpaceDE w:val="0"/>
              <w:autoSpaceDN w:val="0"/>
              <w:adjustRightInd w:val="0"/>
              <w:rPr>
                <w:rFonts w:ascii="Calibri" w:hAnsi="Calibri"/>
                <w:szCs w:val="16"/>
              </w:rPr>
            </w:pPr>
            <w:r w:rsidRPr="00BA185A">
              <w:rPr>
                <w:rFonts w:ascii="Calibri" w:hAnsi="Calibri"/>
                <w:szCs w:val="16"/>
              </w:rPr>
              <w:t xml:space="preserve">Prijatý 24.04.2012. Prvá etapa reformy ESO I. bola splnená a prispela k zrušeniu krajskej úrovne špecializovanej miestnej správy a integrovanie krajských školských úradov, krajských stavebných úradov a územných vojenských správ do obvodných úradov v sídlach krajov. Toto priamo prispieva k zjednodušeniu štruktúry a zlepšeniu transparentnosti a efektivity VS. </w:t>
            </w:r>
          </w:p>
          <w:p w:rsidR="00B01228" w:rsidRPr="00BA185A" w:rsidRDefault="00B01228" w:rsidP="00B01228">
            <w:pPr>
              <w:pStyle w:val="Textpoznmkypodiarou"/>
              <w:autoSpaceDE w:val="0"/>
              <w:autoSpaceDN w:val="0"/>
              <w:adjustRightInd w:val="0"/>
              <w:rPr>
                <w:rFonts w:ascii="Calibri" w:hAnsi="Calibri"/>
                <w:szCs w:val="16"/>
              </w:rPr>
            </w:pPr>
            <w:r w:rsidRPr="00BA185A">
              <w:rPr>
                <w:rFonts w:ascii="Calibri" w:hAnsi="Calibri"/>
                <w:szCs w:val="16"/>
              </w:rPr>
              <w:t xml:space="preserve">Druhá etapa reformy ESO II. bola splnená schválením zákona č. 180 z roku 2013 o organizácii miestnej štátnej správy a o zmene a doplnení niektorých zákonov a viedla k vytvoreniu 72 okresných úradov ako integrovaných miestnych orgánov štátnej správy.  </w:t>
            </w:r>
          </w:p>
          <w:p w:rsidR="00095B2B" w:rsidRPr="00BA185A" w:rsidRDefault="00095B2B" w:rsidP="00B01228">
            <w:pPr>
              <w:pStyle w:val="Textpoznmkypodiarou"/>
              <w:autoSpaceDE w:val="0"/>
              <w:autoSpaceDN w:val="0"/>
              <w:adjustRightInd w:val="0"/>
              <w:rPr>
                <w:rFonts w:ascii="Calibri" w:hAnsi="Calibri"/>
                <w:szCs w:val="16"/>
              </w:rPr>
            </w:pPr>
          </w:p>
          <w:p w:rsidR="00B01228" w:rsidRPr="00BA185A" w:rsidRDefault="00B01228" w:rsidP="00B01228">
            <w:pPr>
              <w:pStyle w:val="Textpoznmkypodiarou"/>
              <w:autoSpaceDE w:val="0"/>
              <w:autoSpaceDN w:val="0"/>
              <w:adjustRightInd w:val="0"/>
              <w:rPr>
                <w:rFonts w:ascii="Calibri" w:hAnsi="Calibri"/>
                <w:szCs w:val="16"/>
              </w:rPr>
            </w:pPr>
            <w:r w:rsidRPr="00BA185A">
              <w:rPr>
                <w:rFonts w:ascii="Calibri" w:hAnsi="Calibri"/>
                <w:szCs w:val="16"/>
              </w:rPr>
              <w:t xml:space="preserve">MV SR má spoločný projekt s OECD s názvom “Zvyšovanie </w:t>
            </w:r>
            <w:r w:rsidRPr="00BA185A">
              <w:rPr>
                <w:rFonts w:ascii="Calibri" w:hAnsi="Calibri"/>
                <w:szCs w:val="16"/>
              </w:rPr>
              <w:lastRenderedPageBreak/>
              <w:t xml:space="preserve">kvality VS – strategické hodnotenie hlavných aspektov reformy štátnej správy“. Výsledok projektu prispeje k formovaniu národnej stratégie pre reformu verejnej správy a </w:t>
            </w:r>
            <w:r w:rsidR="00095B2B" w:rsidRPr="00BA185A">
              <w:rPr>
                <w:rFonts w:ascii="Calibri" w:hAnsi="Calibri"/>
                <w:szCs w:val="16"/>
              </w:rPr>
              <w:t>R</w:t>
            </w:r>
            <w:r w:rsidRPr="00BA185A">
              <w:rPr>
                <w:rFonts w:ascii="Calibri" w:hAnsi="Calibri"/>
                <w:szCs w:val="16"/>
              </w:rPr>
              <w:t xml:space="preserve">iadiaceho výboru pre koordináciu reformy VS. OECD </w:t>
            </w:r>
            <w:r w:rsidR="00913324">
              <w:rPr>
                <w:rFonts w:ascii="Calibri" w:hAnsi="Calibri"/>
                <w:szCs w:val="16"/>
              </w:rPr>
              <w:br/>
            </w:r>
            <w:r w:rsidRPr="00BA185A">
              <w:rPr>
                <w:rFonts w:ascii="Calibri" w:hAnsi="Calibri"/>
                <w:szCs w:val="16"/>
              </w:rPr>
              <w:t xml:space="preserve">v decembri 2013 vypracovalo ďalší strategický dokument pod názvom „Strategický rámec pre reformu VS v Slovenskej republike“. </w:t>
            </w:r>
          </w:p>
          <w:p w:rsidR="00B01228" w:rsidRPr="00BA185A" w:rsidRDefault="00B01228" w:rsidP="00B01228">
            <w:pPr>
              <w:autoSpaceDE w:val="0"/>
              <w:autoSpaceDN w:val="0"/>
              <w:adjustRightInd w:val="0"/>
              <w:spacing w:before="0" w:after="0"/>
              <w:jc w:val="left"/>
              <w:rPr>
                <w:rFonts w:ascii="Calibri" w:hAnsi="Calibri"/>
                <w:szCs w:val="16"/>
              </w:rPr>
            </w:pPr>
          </w:p>
          <w:p w:rsidR="00B01228" w:rsidRPr="00BA185A" w:rsidRDefault="00B01228" w:rsidP="00B01228">
            <w:pPr>
              <w:autoSpaceDE w:val="0"/>
              <w:autoSpaceDN w:val="0"/>
              <w:adjustRightInd w:val="0"/>
              <w:spacing w:before="0" w:after="0"/>
              <w:jc w:val="left"/>
              <w:rPr>
                <w:rFonts w:ascii="Calibri" w:hAnsi="Calibri"/>
                <w:sz w:val="16"/>
                <w:szCs w:val="16"/>
              </w:rPr>
            </w:pPr>
            <w:r w:rsidRPr="00BA185A">
              <w:rPr>
                <w:rFonts w:ascii="Calibri" w:hAnsi="Calibri"/>
                <w:sz w:val="16"/>
                <w:szCs w:val="16"/>
              </w:rPr>
              <w:t>Strategický plán boja proti korupcii v SR</w:t>
            </w:r>
          </w:p>
          <w:p w:rsidR="00B01228" w:rsidRPr="00B763E3" w:rsidRDefault="00ED6BC8" w:rsidP="00B01228">
            <w:pPr>
              <w:autoSpaceDE w:val="0"/>
              <w:autoSpaceDN w:val="0"/>
              <w:adjustRightInd w:val="0"/>
              <w:spacing w:before="0" w:after="0"/>
              <w:jc w:val="left"/>
              <w:rPr>
                <w:rFonts w:asciiTheme="majorHAnsi" w:hAnsiTheme="majorHAnsi"/>
                <w:sz w:val="16"/>
                <w:szCs w:val="16"/>
              </w:rPr>
            </w:pPr>
            <w:hyperlink r:id="rId160" w:history="1">
              <w:r w:rsidR="00B01228" w:rsidRPr="00B763E3">
                <w:rPr>
                  <w:rFonts w:asciiTheme="majorHAnsi" w:hAnsiTheme="majorHAnsi"/>
                  <w:sz w:val="16"/>
                  <w:szCs w:val="16"/>
                </w:rPr>
                <w:t>http://bit.ly/1gOTdD6</w:t>
              </w:r>
            </w:hyperlink>
            <w:r w:rsidR="00B01228" w:rsidRPr="00B763E3">
              <w:rPr>
                <w:rFonts w:asciiTheme="majorHAnsi" w:hAnsiTheme="majorHAnsi"/>
                <w:sz w:val="16"/>
                <w:szCs w:val="16"/>
              </w:rPr>
              <w:t xml:space="preserve"> </w:t>
            </w:r>
          </w:p>
          <w:p w:rsidR="00B01228" w:rsidRPr="00BA185A" w:rsidRDefault="00B01228" w:rsidP="00B01228">
            <w:pPr>
              <w:pStyle w:val="Textpoznmkypodiarou"/>
              <w:autoSpaceDE w:val="0"/>
              <w:autoSpaceDN w:val="0"/>
              <w:adjustRightInd w:val="0"/>
              <w:rPr>
                <w:rFonts w:ascii="Calibri" w:hAnsi="Calibri"/>
                <w:szCs w:val="16"/>
              </w:rPr>
            </w:pPr>
            <w:r w:rsidRPr="00BA185A">
              <w:rPr>
                <w:rFonts w:ascii="Calibri" w:hAnsi="Calibri"/>
                <w:szCs w:val="16"/>
              </w:rPr>
              <w:t xml:space="preserve">Bol schválený uznesením vlády SR č. 517 z 10. 08. 2011. Pre monitorovanie, koordinovanie, priebežné kontrolovanie </w:t>
            </w:r>
            <w:r w:rsidR="00913324">
              <w:rPr>
                <w:rFonts w:ascii="Calibri" w:hAnsi="Calibri"/>
                <w:szCs w:val="16"/>
              </w:rPr>
              <w:br/>
            </w:r>
            <w:r w:rsidRPr="00BA185A">
              <w:rPr>
                <w:rFonts w:ascii="Calibri" w:hAnsi="Calibri"/>
                <w:szCs w:val="16"/>
              </w:rPr>
              <w:t>a vyhodnocovanie  plnenia úloh vyplývajúcich zo strategického plánu boja proti korupcii bola rozkazom ministra vnútra č. 115/2011 zriadená medzirezortná pracovná skupina expertov pre oblasť boja proti korupcii, ktorej predsedom je minister vnútra SR a podpredsedom vedúci ÚV SR. Správa o plnení úloh vyplývajúcich zo strategického plánu boja proti korupcii v SR bola prerokovaná vládou SR dňa 02. 04. 2014.</w:t>
            </w:r>
          </w:p>
          <w:p w:rsidR="00B01228" w:rsidRPr="00BA185A" w:rsidRDefault="00B01228" w:rsidP="00B01228">
            <w:pPr>
              <w:autoSpaceDE w:val="0"/>
              <w:autoSpaceDN w:val="0"/>
              <w:adjustRightInd w:val="0"/>
              <w:spacing w:before="0" w:after="0"/>
              <w:jc w:val="left"/>
              <w:rPr>
                <w:rFonts w:ascii="Calibri" w:hAnsi="Calibri"/>
                <w:sz w:val="16"/>
                <w:szCs w:val="16"/>
              </w:rPr>
            </w:pPr>
          </w:p>
          <w:p w:rsidR="00B01228" w:rsidRPr="00BA185A" w:rsidRDefault="00B01228" w:rsidP="00B01228">
            <w:pPr>
              <w:autoSpaceDE w:val="0"/>
              <w:autoSpaceDN w:val="0"/>
              <w:adjustRightInd w:val="0"/>
              <w:spacing w:before="0" w:after="0"/>
              <w:jc w:val="left"/>
              <w:rPr>
                <w:rFonts w:ascii="Calibri" w:hAnsi="Calibri"/>
                <w:sz w:val="16"/>
                <w:szCs w:val="16"/>
              </w:rPr>
            </w:pPr>
            <w:r w:rsidRPr="00BA185A">
              <w:rPr>
                <w:rFonts w:ascii="Calibri" w:hAnsi="Calibri"/>
                <w:sz w:val="16"/>
                <w:szCs w:val="16"/>
              </w:rPr>
              <w:t xml:space="preserve">Koncepcia reformy daňovej a colnej správy s výhľadom zjednotenia výberu daní, cla a poistných odvodov  </w:t>
            </w:r>
          </w:p>
          <w:p w:rsidR="00B01228" w:rsidRPr="00B763E3" w:rsidRDefault="00ED6BC8" w:rsidP="00B01228">
            <w:pPr>
              <w:autoSpaceDE w:val="0"/>
              <w:autoSpaceDN w:val="0"/>
              <w:adjustRightInd w:val="0"/>
              <w:spacing w:before="0" w:after="0"/>
              <w:jc w:val="left"/>
              <w:rPr>
                <w:rFonts w:asciiTheme="majorHAnsi" w:hAnsiTheme="majorHAnsi"/>
                <w:sz w:val="16"/>
                <w:szCs w:val="16"/>
              </w:rPr>
            </w:pPr>
            <w:hyperlink r:id="rId161" w:history="1">
              <w:r w:rsidR="00B01228" w:rsidRPr="00B763E3">
                <w:rPr>
                  <w:rFonts w:asciiTheme="majorHAnsi" w:hAnsiTheme="majorHAnsi"/>
                  <w:sz w:val="16"/>
                  <w:szCs w:val="16"/>
                </w:rPr>
                <w:t>http://bit.ly/HW5MhO</w:t>
              </w:r>
            </w:hyperlink>
            <w:r w:rsidR="00B01228" w:rsidRPr="00B763E3">
              <w:rPr>
                <w:rFonts w:asciiTheme="majorHAnsi" w:hAnsiTheme="majorHAnsi"/>
                <w:sz w:val="16"/>
                <w:szCs w:val="16"/>
              </w:rPr>
              <w:t xml:space="preserve"> </w:t>
            </w:r>
          </w:p>
          <w:p w:rsidR="00B01228" w:rsidRPr="00BA185A" w:rsidRDefault="00B01228" w:rsidP="00B01228">
            <w:pPr>
              <w:autoSpaceDE w:val="0"/>
              <w:autoSpaceDN w:val="0"/>
              <w:adjustRightInd w:val="0"/>
              <w:spacing w:before="0" w:after="0"/>
              <w:jc w:val="left"/>
              <w:rPr>
                <w:rFonts w:ascii="Calibri" w:hAnsi="Calibri"/>
                <w:sz w:val="16"/>
                <w:szCs w:val="16"/>
              </w:rPr>
            </w:pPr>
          </w:p>
          <w:p w:rsidR="00B01228" w:rsidRPr="00BA185A" w:rsidRDefault="00B01228" w:rsidP="00B01228">
            <w:pPr>
              <w:autoSpaceDE w:val="0"/>
              <w:autoSpaceDN w:val="0"/>
              <w:adjustRightInd w:val="0"/>
              <w:spacing w:before="0" w:after="0"/>
              <w:jc w:val="left"/>
              <w:rPr>
                <w:rFonts w:ascii="Calibri" w:hAnsi="Calibri"/>
                <w:sz w:val="16"/>
                <w:szCs w:val="16"/>
              </w:rPr>
            </w:pPr>
            <w:r w:rsidRPr="00BA185A">
              <w:rPr>
                <w:rFonts w:ascii="Calibri" w:hAnsi="Calibri"/>
                <w:sz w:val="16"/>
                <w:szCs w:val="16"/>
              </w:rPr>
              <w:t>Koncepcia reformy daňovo – odvodového systému</w:t>
            </w:r>
          </w:p>
          <w:p w:rsidR="00B01228" w:rsidRPr="00BA185A" w:rsidRDefault="00ED6BC8" w:rsidP="00B01228">
            <w:pPr>
              <w:autoSpaceDE w:val="0"/>
              <w:autoSpaceDN w:val="0"/>
              <w:adjustRightInd w:val="0"/>
              <w:spacing w:before="0" w:after="0"/>
              <w:jc w:val="left"/>
              <w:rPr>
                <w:rFonts w:ascii="Calibri" w:hAnsi="Calibri"/>
                <w:sz w:val="16"/>
              </w:rPr>
            </w:pPr>
            <w:hyperlink r:id="rId162" w:history="1">
              <w:r w:rsidR="00B01228" w:rsidRPr="00BA185A">
                <w:rPr>
                  <w:rFonts w:ascii="Calibri" w:hAnsi="Calibri"/>
                  <w:sz w:val="16"/>
                </w:rPr>
                <w:t>http://bit.ly/1asJEF2</w:t>
              </w:r>
            </w:hyperlink>
          </w:p>
          <w:p w:rsidR="00B01228" w:rsidRPr="00BA185A" w:rsidRDefault="00ED6BC8" w:rsidP="00B01228">
            <w:pPr>
              <w:autoSpaceDE w:val="0"/>
              <w:autoSpaceDN w:val="0"/>
              <w:adjustRightInd w:val="0"/>
              <w:spacing w:before="0" w:after="0"/>
              <w:jc w:val="left"/>
              <w:rPr>
                <w:rFonts w:ascii="Calibri" w:hAnsi="Calibri"/>
                <w:sz w:val="16"/>
              </w:rPr>
            </w:pPr>
            <w:hyperlink r:id="rId163" w:history="1">
              <w:r w:rsidR="00B01228" w:rsidRPr="00BA185A">
                <w:rPr>
                  <w:rFonts w:ascii="Calibri" w:hAnsi="Calibri"/>
                  <w:sz w:val="16"/>
                </w:rPr>
                <w:t>http://bit.ly/1aWm0U4</w:t>
              </w:r>
            </w:hyperlink>
          </w:p>
          <w:p w:rsidR="00B01228" w:rsidRPr="00BA185A" w:rsidRDefault="00B01228" w:rsidP="00B01228">
            <w:pPr>
              <w:autoSpaceDE w:val="0"/>
              <w:autoSpaceDN w:val="0"/>
              <w:adjustRightInd w:val="0"/>
              <w:spacing w:before="60"/>
              <w:rPr>
                <w:rFonts w:ascii="Calibri" w:hAnsi="Calibri"/>
                <w:sz w:val="16"/>
                <w:szCs w:val="16"/>
              </w:rPr>
            </w:pPr>
            <w:r w:rsidRPr="00BA185A">
              <w:rPr>
                <w:rFonts w:ascii="Calibri" w:hAnsi="Calibri"/>
                <w:sz w:val="16"/>
                <w:szCs w:val="16"/>
              </w:rPr>
              <w:t>K 01. 01. 2014  bola implementovaná 1.</w:t>
            </w:r>
            <w:r w:rsidR="00095B2B">
              <w:rPr>
                <w:rFonts w:ascii="Calibri" w:hAnsi="Calibri"/>
                <w:sz w:val="16"/>
                <w:szCs w:val="16"/>
              </w:rPr>
              <w:t xml:space="preserve"> </w:t>
            </w:r>
            <w:r w:rsidRPr="00BA185A">
              <w:rPr>
                <w:rFonts w:ascii="Calibri" w:hAnsi="Calibri"/>
                <w:sz w:val="16"/>
                <w:szCs w:val="16"/>
              </w:rPr>
              <w:t>fáza projektu UNITAS elektronickej komunikácie finančnej správy s okolím (nasadenie portálu na jednosmernú komunikáciu) v zmysle zákona č. 563/2009 Z. z. o správe daní (daňový poriadok) a o zmene a doplnení niektorých zákonov  v znení neskorších predpisov. Vyťaženosť Portálu FS je pravidelne monitorovaná a boli prijaté opatrenia pre zabezpečenie bezproblémového prijímania dokumentov počas „daňovej špičky“ v marci 2014.</w:t>
            </w:r>
          </w:p>
          <w:p w:rsidR="00B01228" w:rsidRPr="00BA185A" w:rsidRDefault="00B01228" w:rsidP="00B01228">
            <w:pPr>
              <w:autoSpaceDE w:val="0"/>
              <w:autoSpaceDN w:val="0"/>
              <w:adjustRightInd w:val="0"/>
              <w:spacing w:before="60"/>
              <w:rPr>
                <w:rFonts w:ascii="Calibri" w:hAnsi="Calibri"/>
              </w:rPr>
            </w:pPr>
            <w:r w:rsidRPr="00BA185A">
              <w:rPr>
                <w:rFonts w:ascii="Calibri" w:hAnsi="Calibri"/>
                <w:sz w:val="16"/>
                <w:szCs w:val="16"/>
              </w:rPr>
              <w:t>Na základe schválenej Koncepci</w:t>
            </w:r>
            <w:r w:rsidR="00095B2B">
              <w:rPr>
                <w:rFonts w:ascii="Calibri" w:hAnsi="Calibri"/>
                <w:sz w:val="16"/>
                <w:szCs w:val="16"/>
              </w:rPr>
              <w:t>e</w:t>
            </w:r>
            <w:r w:rsidRPr="00BA185A">
              <w:rPr>
                <w:rFonts w:ascii="Calibri" w:hAnsi="Calibri"/>
                <w:sz w:val="16"/>
                <w:szCs w:val="16"/>
              </w:rPr>
              <w:t xml:space="preserve"> boja proti daňovým podvodom na dani z pridanej hodnoty a Akčného plánu boja proti podvodom na roky 2012 až 2016 bola prijatím legislatívnej zmeny zákona č. 222/2004 Z. z. o dani </w:t>
            </w:r>
            <w:r w:rsidRPr="00BA185A">
              <w:rPr>
                <w:rFonts w:ascii="Calibri" w:hAnsi="Calibri"/>
                <w:sz w:val="16"/>
                <w:szCs w:val="16"/>
              </w:rPr>
              <w:lastRenderedPageBreak/>
              <w:t xml:space="preserve">z pridanej hodnoty s účinnosťou od 1.1.2014 zavedená povinnosť pre platiteľov dane predkladať Kontrolný výkaz k DPH s informáciami o tuzemských dodávkach tovarov </w:t>
            </w:r>
            <w:r w:rsidR="00913324">
              <w:rPr>
                <w:rFonts w:ascii="Calibri" w:hAnsi="Calibri"/>
                <w:sz w:val="16"/>
                <w:szCs w:val="16"/>
              </w:rPr>
              <w:br/>
            </w:r>
            <w:r w:rsidRPr="00BA185A">
              <w:rPr>
                <w:rFonts w:ascii="Calibri" w:hAnsi="Calibri"/>
                <w:sz w:val="16"/>
                <w:szCs w:val="16"/>
              </w:rPr>
              <w:t>a služieb správcovi dane elektronickou formou. Prijímanie Kontrolných výkazov prebieha prostredníctvom Portálu FS. K 01. 02. 2014 bol implementovaný informačný systém na spracovanie Kontrolných výkazov k DPH.</w:t>
            </w:r>
          </w:p>
          <w:p w:rsidR="00077029" w:rsidRPr="00F86E96" w:rsidRDefault="00B01228" w:rsidP="00077029">
            <w:pPr>
              <w:autoSpaceDE w:val="0"/>
              <w:autoSpaceDN w:val="0"/>
              <w:adjustRightInd w:val="0"/>
              <w:rPr>
                <w:rFonts w:ascii="Times New Roman" w:hAnsi="Times New Roman"/>
                <w:sz w:val="16"/>
                <w:lang w:eastAsia="sk-SK"/>
              </w:rPr>
            </w:pPr>
            <w:r w:rsidRPr="00BA185A">
              <w:rPr>
                <w:rFonts w:ascii="Calibri" w:hAnsi="Calibri"/>
                <w:sz w:val="16"/>
                <w:szCs w:val="16"/>
              </w:rPr>
              <w:t>Schválené  bilaterálne a multilaterálne zmluvy a dohody zamerané na podporu susedských vzťahov medzi orgánmi VS v rámci cezhraničnej spolupráce pri poskytovaní vzájomnej pomoci v prípade krízových situácií. Pre splnenie tohto kritéria bol spracovaný akčný plán.</w:t>
            </w:r>
            <w:r w:rsidR="00095B2B">
              <w:rPr>
                <w:rFonts w:ascii="Calibri" w:hAnsi="Calibri"/>
                <w:sz w:val="16"/>
                <w:szCs w:val="16"/>
              </w:rPr>
              <w:t xml:space="preserve"> </w:t>
            </w:r>
            <w:hyperlink r:id="rId164" w:history="1">
              <w:r w:rsidRPr="00B763E3">
                <w:rPr>
                  <w:rFonts w:asciiTheme="majorHAnsi" w:hAnsiTheme="majorHAnsi"/>
                  <w:sz w:val="16"/>
                  <w:szCs w:val="16"/>
                </w:rPr>
                <w:t>http://www.minv.sk/?multilateralne-zmluvy</w:t>
              </w:r>
            </w:hyperlink>
          </w:p>
        </w:tc>
      </w:tr>
      <w:tr w:rsidR="00077029" w:rsidRPr="004E2D6C" w:rsidTr="001C5C9E">
        <w:trPr>
          <w:trHeight w:val="52"/>
        </w:trPr>
        <w:tc>
          <w:tcPr>
            <w:tcW w:w="1668" w:type="dxa"/>
            <w:vMerge/>
            <w:tcBorders>
              <w:left w:val="single" w:sz="12" w:space="0" w:color="auto"/>
            </w:tcBorders>
          </w:tcPr>
          <w:p w:rsidR="00077029" w:rsidRPr="004E2D6C" w:rsidRDefault="00077029" w:rsidP="00077029">
            <w:pPr>
              <w:spacing w:before="0"/>
              <w:rPr>
                <w:rFonts w:ascii="Calibri" w:hAnsi="Calibri"/>
                <w:sz w:val="16"/>
                <w:szCs w:val="16"/>
              </w:rPr>
            </w:pPr>
          </w:p>
        </w:tc>
        <w:tc>
          <w:tcPr>
            <w:tcW w:w="1559" w:type="dxa"/>
            <w:vMerge/>
          </w:tcPr>
          <w:p w:rsidR="00077029" w:rsidRPr="004E2D6C" w:rsidRDefault="00077029" w:rsidP="00077029">
            <w:pPr>
              <w:spacing w:before="0"/>
              <w:rPr>
                <w:rFonts w:ascii="Calibri" w:hAnsi="Calibri"/>
                <w:sz w:val="16"/>
                <w:szCs w:val="16"/>
              </w:rPr>
            </w:pPr>
          </w:p>
        </w:tc>
        <w:tc>
          <w:tcPr>
            <w:tcW w:w="2551" w:type="dxa"/>
            <w:tcBorders>
              <w:top w:val="single" w:sz="2" w:space="0" w:color="auto"/>
              <w:bottom w:val="single" w:sz="2" w:space="0" w:color="auto"/>
            </w:tcBorders>
            <w:vAlign w:val="center"/>
          </w:tcPr>
          <w:p w:rsidR="00077029" w:rsidRPr="005A192A" w:rsidRDefault="00077029" w:rsidP="001C5C9E">
            <w:pPr>
              <w:pStyle w:val="Odsekzoznamu"/>
              <w:numPr>
                <w:ilvl w:val="0"/>
                <w:numId w:val="119"/>
              </w:numPr>
              <w:spacing w:before="0" w:line="276" w:lineRule="auto"/>
              <w:ind w:left="175" w:hanging="141"/>
              <w:rPr>
                <w:rFonts w:ascii="Calibri" w:hAnsi="Calibri"/>
                <w:sz w:val="16"/>
                <w:szCs w:val="16"/>
              </w:rPr>
            </w:pPr>
            <w:r w:rsidRPr="005A192A">
              <w:rPr>
                <w:rFonts w:ascii="Calibri" w:hAnsi="Calibri"/>
                <w:sz w:val="16"/>
                <w:szCs w:val="16"/>
              </w:rPr>
              <w:t>vývoj systémov riadenia kvality,</w:t>
            </w:r>
          </w:p>
        </w:tc>
        <w:tc>
          <w:tcPr>
            <w:tcW w:w="1134" w:type="dxa"/>
            <w:vAlign w:val="center"/>
          </w:tcPr>
          <w:p w:rsidR="00077029" w:rsidRPr="004E2D6C" w:rsidRDefault="00077029" w:rsidP="00077029">
            <w:pPr>
              <w:spacing w:before="100" w:beforeAutospacing="1" w:after="100" w:afterAutospacing="1" w:line="276" w:lineRule="auto"/>
              <w:jc w:val="center"/>
              <w:rPr>
                <w:rFonts w:ascii="Calibri" w:hAnsi="Calibri"/>
                <w:szCs w:val="22"/>
              </w:rPr>
            </w:pPr>
            <w:r>
              <w:rPr>
                <w:rFonts w:ascii="Calibri" w:hAnsi="Calibri" w:cs="Calibri"/>
                <w:b/>
                <w:bCs/>
                <w:color w:val="000000"/>
                <w:sz w:val="16"/>
                <w:szCs w:val="16"/>
              </w:rPr>
              <w:t>Nie</w:t>
            </w:r>
          </w:p>
        </w:tc>
        <w:tc>
          <w:tcPr>
            <w:tcW w:w="3119" w:type="dxa"/>
            <w:vAlign w:val="center"/>
          </w:tcPr>
          <w:p w:rsidR="00077029" w:rsidRPr="00B763E3" w:rsidRDefault="00077029" w:rsidP="00B763E3">
            <w:pPr>
              <w:autoSpaceDE w:val="0"/>
              <w:autoSpaceDN w:val="0"/>
              <w:adjustRightInd w:val="0"/>
              <w:spacing w:before="0" w:after="0"/>
              <w:jc w:val="left"/>
              <w:rPr>
                <w:rFonts w:asciiTheme="majorHAnsi" w:hAnsiTheme="majorHAnsi"/>
                <w:sz w:val="16"/>
                <w:szCs w:val="16"/>
              </w:rPr>
            </w:pPr>
            <w:r w:rsidRPr="00B763E3">
              <w:rPr>
                <w:rFonts w:asciiTheme="majorHAnsi" w:hAnsiTheme="majorHAnsi" w:cs="Calibri"/>
                <w:i/>
                <w:iCs/>
                <w:color w:val="000000"/>
                <w:sz w:val="16"/>
                <w:szCs w:val="16"/>
              </w:rPr>
              <w:t> </w:t>
            </w:r>
            <w:hyperlink r:id="rId165" w:history="1">
              <w:r w:rsidRPr="00B763E3">
                <w:rPr>
                  <w:rFonts w:asciiTheme="majorHAnsi" w:hAnsiTheme="majorHAnsi"/>
                  <w:sz w:val="16"/>
                  <w:szCs w:val="16"/>
                </w:rPr>
                <w:t>http://bit.ly/1eeXCPG</w:t>
              </w:r>
            </w:hyperlink>
          </w:p>
        </w:tc>
        <w:tc>
          <w:tcPr>
            <w:tcW w:w="4111" w:type="dxa"/>
            <w:tcBorders>
              <w:right w:val="single" w:sz="12" w:space="0" w:color="auto"/>
            </w:tcBorders>
            <w:vAlign w:val="center"/>
          </w:tcPr>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 xml:space="preserve">”Základné východiská  reformy VS v SR” obsahujú záväzok zavádzania systémov riadenia kvality (QMS) vo VS. Národný program kvality SR na obdobie rokov 2013 – 2016 bol prijatý vládou SR v októbri 2013 a jeden z deviatich prioritných sektorov je orientovaný na posilnenie kvality VS cez implementáciu QMS vo VS – napr. CAF. </w:t>
            </w:r>
          </w:p>
          <w:p w:rsidR="00B01228" w:rsidRPr="00BA185A" w:rsidRDefault="00B01228" w:rsidP="00B01228">
            <w:pPr>
              <w:autoSpaceDE w:val="0"/>
              <w:autoSpaceDN w:val="0"/>
              <w:adjustRightInd w:val="0"/>
              <w:spacing w:before="0" w:after="0"/>
              <w:jc w:val="left"/>
              <w:rPr>
                <w:rFonts w:ascii="Calibri" w:hAnsi="Calibri"/>
                <w:sz w:val="16"/>
                <w:szCs w:val="16"/>
              </w:rPr>
            </w:pPr>
          </w:p>
          <w:p w:rsidR="00077029" w:rsidRPr="004E2D6C" w:rsidRDefault="00B01228" w:rsidP="00077029">
            <w:pPr>
              <w:spacing w:before="0"/>
              <w:rPr>
                <w:rFonts w:ascii="Calibri" w:hAnsi="Calibri"/>
                <w:sz w:val="16"/>
                <w:szCs w:val="16"/>
              </w:rPr>
            </w:pPr>
            <w:r w:rsidRPr="00BA185A">
              <w:rPr>
                <w:rFonts w:ascii="Calibri" w:hAnsi="Calibri"/>
                <w:sz w:val="16"/>
                <w:szCs w:val="16"/>
              </w:rPr>
              <w:t>Pre splnenie tohto kritéria bol spracovaný akčný plán.</w:t>
            </w:r>
          </w:p>
        </w:tc>
      </w:tr>
      <w:tr w:rsidR="00077029" w:rsidRPr="004E2D6C" w:rsidTr="00077029">
        <w:trPr>
          <w:trHeight w:val="52"/>
        </w:trPr>
        <w:tc>
          <w:tcPr>
            <w:tcW w:w="1668" w:type="dxa"/>
            <w:vMerge/>
            <w:tcBorders>
              <w:left w:val="single" w:sz="12" w:space="0" w:color="auto"/>
            </w:tcBorders>
          </w:tcPr>
          <w:p w:rsidR="00077029" w:rsidRPr="004E2D6C" w:rsidRDefault="00077029" w:rsidP="00077029">
            <w:pPr>
              <w:spacing w:before="0"/>
              <w:rPr>
                <w:rFonts w:ascii="Calibri" w:hAnsi="Calibri"/>
                <w:sz w:val="16"/>
                <w:szCs w:val="16"/>
              </w:rPr>
            </w:pPr>
          </w:p>
        </w:tc>
        <w:tc>
          <w:tcPr>
            <w:tcW w:w="1559" w:type="dxa"/>
            <w:vMerge/>
          </w:tcPr>
          <w:p w:rsidR="00077029" w:rsidRPr="004E2D6C" w:rsidRDefault="00077029" w:rsidP="00077029">
            <w:pPr>
              <w:spacing w:before="0"/>
              <w:rPr>
                <w:rFonts w:ascii="Calibri" w:hAnsi="Calibri"/>
                <w:sz w:val="16"/>
                <w:szCs w:val="16"/>
              </w:rPr>
            </w:pPr>
          </w:p>
        </w:tc>
        <w:tc>
          <w:tcPr>
            <w:tcW w:w="2551" w:type="dxa"/>
            <w:tcBorders>
              <w:top w:val="single" w:sz="2" w:space="0" w:color="auto"/>
              <w:bottom w:val="single" w:sz="2" w:space="0" w:color="auto"/>
            </w:tcBorders>
          </w:tcPr>
          <w:p w:rsidR="00077029" w:rsidRPr="005A192A" w:rsidRDefault="00077029" w:rsidP="001C5C9E">
            <w:pPr>
              <w:pStyle w:val="Odsekzoznamu"/>
              <w:numPr>
                <w:ilvl w:val="0"/>
                <w:numId w:val="119"/>
              </w:numPr>
              <w:spacing w:before="0" w:line="276" w:lineRule="auto"/>
              <w:ind w:left="175" w:hanging="141"/>
              <w:rPr>
                <w:rFonts w:ascii="Calibri" w:hAnsi="Calibri"/>
                <w:b/>
                <w:bCs/>
                <w:sz w:val="16"/>
                <w:szCs w:val="16"/>
              </w:rPr>
            </w:pPr>
            <w:r w:rsidRPr="005A192A">
              <w:rPr>
                <w:rFonts w:ascii="Calibri" w:hAnsi="Calibri"/>
                <w:color w:val="000000"/>
                <w:sz w:val="16"/>
                <w:szCs w:val="16"/>
              </w:rPr>
              <w:t>integrované opatrenia na zjednodušenie a racionalizáciu administratívnych postupov,</w:t>
            </w:r>
          </w:p>
        </w:tc>
        <w:tc>
          <w:tcPr>
            <w:tcW w:w="1134" w:type="dxa"/>
            <w:vAlign w:val="center"/>
          </w:tcPr>
          <w:p w:rsidR="00077029" w:rsidRPr="004E2D6C" w:rsidRDefault="00077029" w:rsidP="00077029">
            <w:pPr>
              <w:spacing w:before="100" w:beforeAutospacing="1" w:after="100" w:afterAutospacing="1" w:line="276" w:lineRule="auto"/>
              <w:jc w:val="center"/>
              <w:rPr>
                <w:rFonts w:ascii="Calibri" w:hAnsi="Calibri"/>
                <w:szCs w:val="22"/>
              </w:rPr>
            </w:pPr>
            <w:r w:rsidRPr="004E2D6C">
              <w:rPr>
                <w:rFonts w:ascii="Calibri" w:hAnsi="Calibri"/>
                <w:b/>
                <w:bCs/>
                <w:sz w:val="16"/>
                <w:szCs w:val="16"/>
              </w:rPr>
              <w:t>Áno</w:t>
            </w:r>
          </w:p>
        </w:tc>
        <w:tc>
          <w:tcPr>
            <w:tcW w:w="3119" w:type="dxa"/>
            <w:vAlign w:val="center"/>
          </w:tcPr>
          <w:p w:rsidR="00077029" w:rsidRPr="00B763E3" w:rsidRDefault="00ED6BC8" w:rsidP="00077029">
            <w:pPr>
              <w:autoSpaceDE w:val="0"/>
              <w:autoSpaceDN w:val="0"/>
              <w:adjustRightInd w:val="0"/>
              <w:spacing w:before="0" w:after="0"/>
              <w:jc w:val="left"/>
              <w:rPr>
                <w:rFonts w:asciiTheme="majorHAnsi" w:hAnsiTheme="majorHAnsi"/>
                <w:sz w:val="16"/>
                <w:szCs w:val="16"/>
              </w:rPr>
            </w:pPr>
            <w:hyperlink r:id="rId166" w:history="1">
              <w:r w:rsidR="00077029" w:rsidRPr="00B763E3">
                <w:rPr>
                  <w:rFonts w:asciiTheme="majorHAnsi" w:hAnsiTheme="majorHAnsi"/>
                  <w:sz w:val="16"/>
                  <w:szCs w:val="16"/>
                </w:rPr>
                <w:t>http://bit.ly/1cmrSF4</w:t>
              </w:r>
            </w:hyperlink>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ED6BC8" w:rsidP="00077029">
            <w:pPr>
              <w:autoSpaceDE w:val="0"/>
              <w:autoSpaceDN w:val="0"/>
              <w:adjustRightInd w:val="0"/>
              <w:spacing w:before="0" w:after="0"/>
              <w:jc w:val="left"/>
              <w:rPr>
                <w:rFonts w:asciiTheme="majorHAnsi" w:hAnsiTheme="majorHAnsi"/>
                <w:sz w:val="16"/>
                <w:szCs w:val="16"/>
              </w:rPr>
            </w:pPr>
            <w:hyperlink r:id="rId167" w:history="1">
              <w:r w:rsidR="00077029" w:rsidRPr="00B763E3">
                <w:rPr>
                  <w:rFonts w:asciiTheme="majorHAnsi" w:hAnsiTheme="majorHAnsi"/>
                  <w:sz w:val="16"/>
                  <w:szCs w:val="16"/>
                </w:rPr>
                <w:t>http://bit.ly/1ie8Sel</w:t>
              </w:r>
            </w:hyperlink>
            <w:r w:rsidR="00077029" w:rsidRPr="00B763E3">
              <w:rPr>
                <w:rFonts w:asciiTheme="majorHAnsi" w:hAnsiTheme="majorHAnsi"/>
                <w:sz w:val="16"/>
                <w:szCs w:val="16"/>
              </w:rPr>
              <w:t xml:space="preserve"> </w:t>
            </w:r>
          </w:p>
          <w:p w:rsidR="00077029" w:rsidRPr="00B763E3" w:rsidRDefault="00ED6BC8" w:rsidP="00077029">
            <w:pPr>
              <w:autoSpaceDE w:val="0"/>
              <w:autoSpaceDN w:val="0"/>
              <w:adjustRightInd w:val="0"/>
              <w:spacing w:before="0" w:after="0"/>
              <w:jc w:val="left"/>
              <w:rPr>
                <w:rFonts w:asciiTheme="majorHAnsi" w:hAnsiTheme="majorHAnsi"/>
                <w:sz w:val="16"/>
                <w:szCs w:val="16"/>
              </w:rPr>
            </w:pPr>
            <w:hyperlink r:id="rId168" w:history="1">
              <w:r w:rsidR="00077029" w:rsidRPr="00B763E3">
                <w:rPr>
                  <w:rFonts w:asciiTheme="majorHAnsi" w:hAnsiTheme="majorHAnsi"/>
                  <w:sz w:val="16"/>
                  <w:szCs w:val="16"/>
                </w:rPr>
                <w:t>http://bit.ly/1hJJAHp</w:t>
              </w:r>
            </w:hyperlink>
            <w:r w:rsidR="00077029" w:rsidRPr="00B763E3">
              <w:rPr>
                <w:rFonts w:asciiTheme="majorHAnsi" w:hAnsiTheme="majorHAnsi"/>
                <w:sz w:val="16"/>
                <w:szCs w:val="16"/>
              </w:rPr>
              <w:t xml:space="preserve">  </w:t>
            </w: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ED6BC8" w:rsidP="00077029">
            <w:pPr>
              <w:autoSpaceDE w:val="0"/>
              <w:autoSpaceDN w:val="0"/>
              <w:adjustRightInd w:val="0"/>
              <w:spacing w:before="0" w:after="0"/>
              <w:jc w:val="left"/>
              <w:rPr>
                <w:rFonts w:asciiTheme="majorHAnsi" w:hAnsiTheme="majorHAnsi"/>
                <w:sz w:val="16"/>
                <w:szCs w:val="16"/>
              </w:rPr>
            </w:pPr>
            <w:hyperlink r:id="rId169" w:history="1">
              <w:r w:rsidR="00077029" w:rsidRPr="00B763E3">
                <w:rPr>
                  <w:rFonts w:asciiTheme="majorHAnsi" w:hAnsiTheme="majorHAnsi"/>
                  <w:sz w:val="16"/>
                  <w:szCs w:val="16"/>
                </w:rPr>
                <w:t>http://bit.ly/1cY2iEI</w:t>
              </w:r>
            </w:hyperlink>
            <w:r w:rsidR="00077029" w:rsidRPr="00B763E3">
              <w:rPr>
                <w:rFonts w:asciiTheme="majorHAnsi" w:hAnsiTheme="majorHAnsi"/>
                <w:sz w:val="16"/>
                <w:szCs w:val="16"/>
              </w:rPr>
              <w:t xml:space="preserve">  </w:t>
            </w: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077029" w:rsidP="00077029">
            <w:pPr>
              <w:autoSpaceDE w:val="0"/>
              <w:autoSpaceDN w:val="0"/>
              <w:adjustRightInd w:val="0"/>
              <w:spacing w:before="0" w:after="0"/>
              <w:jc w:val="left"/>
              <w:rPr>
                <w:rFonts w:asciiTheme="majorHAnsi" w:hAnsiTheme="majorHAnsi"/>
                <w:sz w:val="16"/>
                <w:szCs w:val="16"/>
              </w:rPr>
            </w:pPr>
          </w:p>
          <w:p w:rsidR="00077029" w:rsidRPr="00B763E3" w:rsidRDefault="00ED6BC8" w:rsidP="00077029">
            <w:pPr>
              <w:autoSpaceDE w:val="0"/>
              <w:autoSpaceDN w:val="0"/>
              <w:adjustRightInd w:val="0"/>
              <w:spacing w:before="0" w:after="0"/>
              <w:jc w:val="left"/>
              <w:rPr>
                <w:rFonts w:asciiTheme="majorHAnsi" w:hAnsiTheme="majorHAnsi"/>
                <w:sz w:val="16"/>
                <w:szCs w:val="16"/>
              </w:rPr>
            </w:pPr>
            <w:hyperlink r:id="rId170" w:history="1">
              <w:r w:rsidR="00077029" w:rsidRPr="00B763E3">
                <w:rPr>
                  <w:rFonts w:asciiTheme="majorHAnsi" w:hAnsiTheme="majorHAnsi"/>
                  <w:sz w:val="16"/>
                  <w:szCs w:val="16"/>
                </w:rPr>
                <w:t>http://bit.ly/1gFqhuT</w:t>
              </w:r>
            </w:hyperlink>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077029" w:rsidP="00077029">
            <w:pPr>
              <w:autoSpaceDE w:val="0"/>
              <w:autoSpaceDN w:val="0"/>
              <w:adjustRightInd w:val="0"/>
              <w:spacing w:before="0" w:after="0"/>
              <w:jc w:val="left"/>
              <w:rPr>
                <w:rStyle w:val="HypertextoveprepojenieChar"/>
                <w:rFonts w:asciiTheme="majorHAnsi" w:eastAsiaTheme="minorEastAsia" w:hAnsiTheme="majorHAnsi"/>
                <w:sz w:val="16"/>
              </w:rPr>
            </w:pPr>
          </w:p>
          <w:p w:rsidR="00077029" w:rsidRPr="00B763E3" w:rsidRDefault="00ED6BC8" w:rsidP="00077029">
            <w:pPr>
              <w:autoSpaceDE w:val="0"/>
              <w:autoSpaceDN w:val="0"/>
              <w:adjustRightInd w:val="0"/>
              <w:spacing w:before="0" w:after="0"/>
              <w:jc w:val="left"/>
              <w:rPr>
                <w:rStyle w:val="HypertextoveprepojenieChar"/>
                <w:rFonts w:asciiTheme="majorHAnsi" w:eastAsiaTheme="minorEastAsia" w:hAnsiTheme="majorHAnsi"/>
                <w:sz w:val="16"/>
              </w:rPr>
            </w:pPr>
            <w:hyperlink r:id="rId171" w:history="1">
              <w:r w:rsidR="00077029" w:rsidRPr="00B763E3">
                <w:rPr>
                  <w:rStyle w:val="HypertextoveprepojenieChar"/>
                  <w:rFonts w:asciiTheme="majorHAnsi" w:eastAsiaTheme="minorEastAsia" w:hAnsiTheme="majorHAnsi"/>
                  <w:sz w:val="16"/>
                </w:rPr>
                <w:t>http://bit.ly/IX6RW5</w:t>
              </w:r>
            </w:hyperlink>
          </w:p>
          <w:p w:rsidR="00077029" w:rsidRPr="00B763E3" w:rsidRDefault="00077029" w:rsidP="00077029">
            <w:pPr>
              <w:spacing w:before="0"/>
              <w:rPr>
                <w:rFonts w:asciiTheme="majorHAnsi" w:hAnsiTheme="majorHAnsi"/>
                <w:sz w:val="16"/>
                <w:szCs w:val="16"/>
              </w:rPr>
            </w:pPr>
          </w:p>
        </w:tc>
        <w:tc>
          <w:tcPr>
            <w:tcW w:w="4111" w:type="dxa"/>
            <w:tcBorders>
              <w:right w:val="single" w:sz="12" w:space="0" w:color="auto"/>
            </w:tcBorders>
          </w:tcPr>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lastRenderedPageBreak/>
              <w:t xml:space="preserve">Aktualizovaná Jednotná metodika na posudzovanie vybraných vplyvov s cieľom merania a znižovania administratívneho zaťaženia podnikateľských subjektov </w:t>
            </w:r>
            <w:r w:rsidR="00913324">
              <w:rPr>
                <w:rFonts w:ascii="Calibri" w:hAnsi="Calibri"/>
                <w:sz w:val="16"/>
                <w:szCs w:val="16"/>
              </w:rPr>
              <w:br/>
            </w:r>
            <w:r w:rsidRPr="00BA185A">
              <w:rPr>
                <w:rFonts w:ascii="Calibri" w:hAnsi="Calibri"/>
                <w:sz w:val="16"/>
                <w:szCs w:val="16"/>
              </w:rPr>
              <w:t xml:space="preserve">a hodnotenie legislatívnych návrhov.  </w:t>
            </w:r>
          </w:p>
          <w:p w:rsidR="00B01228" w:rsidRPr="00BA185A" w:rsidRDefault="00B01228" w:rsidP="00B01228">
            <w:pPr>
              <w:shd w:val="clear" w:color="auto" w:fill="FFFFFF"/>
              <w:autoSpaceDE w:val="0"/>
              <w:autoSpaceDN w:val="0"/>
              <w:adjustRightInd w:val="0"/>
              <w:rPr>
                <w:rFonts w:ascii="Calibri" w:hAnsi="Calibri"/>
                <w:sz w:val="16"/>
                <w:szCs w:val="16"/>
              </w:rPr>
            </w:pPr>
            <w:r w:rsidRPr="00BA185A">
              <w:rPr>
                <w:rFonts w:ascii="Calibri" w:hAnsi="Calibri"/>
                <w:sz w:val="16"/>
                <w:szCs w:val="16"/>
              </w:rPr>
              <w:t xml:space="preserve">Vytvorenie analytického Centra lepšej regulácie, ktoré bude zodpovedné za systematické hodnotenie vplyvov regulácie na podnikateľské prostredie – Regulatory Impact Assessment (RIA). Toto zároveň posilní analytické kapacity v danej oblasti a povedie k zjednodušeniu a racionalizácii administratívnych postupov. Hodnotenie legislatívy a jej vplyvu na malé a stredné podniky (MSP) bude vykonávané prostredníctvom MSP testu. </w:t>
            </w:r>
          </w:p>
          <w:p w:rsidR="00B01228" w:rsidRPr="00BA185A" w:rsidRDefault="00B01228" w:rsidP="00B01228">
            <w:pPr>
              <w:shd w:val="clear" w:color="auto" w:fill="FFFFFF"/>
              <w:autoSpaceDE w:val="0"/>
              <w:autoSpaceDN w:val="0"/>
              <w:adjustRightInd w:val="0"/>
              <w:rPr>
                <w:rFonts w:ascii="Calibri" w:hAnsi="Calibri"/>
                <w:sz w:val="16"/>
                <w:szCs w:val="16"/>
              </w:rPr>
            </w:pPr>
            <w:r w:rsidRPr="00BA185A">
              <w:rPr>
                <w:rFonts w:ascii="Calibri" w:hAnsi="Calibri"/>
                <w:sz w:val="16"/>
                <w:szCs w:val="16"/>
              </w:rPr>
              <w:t>Vytvorenie databázy právnych predpisov a z nich vyplývajúcich informačných povinností, ktoré vytvárajú administratívnu záťaž pre podnikateľské subjekty.</w:t>
            </w:r>
          </w:p>
          <w:p w:rsidR="00B01228" w:rsidRPr="00BA185A" w:rsidRDefault="00B01228" w:rsidP="00B01228">
            <w:pPr>
              <w:widowControl w:val="0"/>
              <w:shd w:val="clear" w:color="auto" w:fill="FFFFFF"/>
              <w:autoSpaceDE w:val="0"/>
              <w:autoSpaceDN w:val="0"/>
              <w:adjustRightInd w:val="0"/>
              <w:rPr>
                <w:rFonts w:ascii="Calibri" w:hAnsi="Calibri"/>
                <w:sz w:val="16"/>
                <w:szCs w:val="16"/>
              </w:rPr>
            </w:pPr>
            <w:r w:rsidRPr="00BA185A">
              <w:rPr>
                <w:rFonts w:ascii="Calibri" w:hAnsi="Calibri"/>
                <w:sz w:val="16"/>
                <w:szCs w:val="16"/>
              </w:rPr>
              <w:t xml:space="preserve">Správa o stave podnikateľského prostredia v SR bola prijatá uznesením vlády SR č. 153 z 03. 04. 2013  a uvádza opatrenia na zlepšenie podnikateľského prostredia, vrátane </w:t>
            </w:r>
            <w:r w:rsidRPr="00BA185A">
              <w:rPr>
                <w:rFonts w:ascii="Calibri" w:hAnsi="Calibri"/>
                <w:sz w:val="16"/>
                <w:szCs w:val="16"/>
              </w:rPr>
              <w:lastRenderedPageBreak/>
              <w:t>opatrení na zníženie administratívne</w:t>
            </w:r>
            <w:r w:rsidR="00095B2B">
              <w:rPr>
                <w:rFonts w:ascii="Calibri" w:hAnsi="Calibri"/>
                <w:sz w:val="16"/>
                <w:szCs w:val="16"/>
              </w:rPr>
              <w:t>j</w:t>
            </w:r>
            <w:r w:rsidRPr="00BA185A">
              <w:rPr>
                <w:rFonts w:ascii="Calibri" w:hAnsi="Calibri"/>
                <w:sz w:val="16"/>
                <w:szCs w:val="16"/>
              </w:rPr>
              <w:t xml:space="preserve"> záťaže. Oparenia sa každoročne vyhodnocujú. </w:t>
            </w:r>
          </w:p>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Uznesenie vlády SR č. 153 z 3.4.2013 uvádza opatrenia na zlepšenie podnikateľského prostredia, vrátane opatrení na zníženie administratívne</w:t>
            </w:r>
            <w:r w:rsidR="00095B2B">
              <w:rPr>
                <w:rFonts w:ascii="Calibri" w:hAnsi="Calibri"/>
                <w:sz w:val="16"/>
                <w:szCs w:val="16"/>
              </w:rPr>
              <w:t>j</w:t>
            </w:r>
            <w:r w:rsidRPr="00BA185A">
              <w:rPr>
                <w:rFonts w:ascii="Calibri" w:hAnsi="Calibri"/>
                <w:sz w:val="16"/>
                <w:szCs w:val="16"/>
              </w:rPr>
              <w:t xml:space="preserve"> záťaže.</w:t>
            </w:r>
          </w:p>
          <w:p w:rsidR="00B01228" w:rsidRPr="00BA185A" w:rsidRDefault="00B01228" w:rsidP="00B01228">
            <w:pPr>
              <w:autoSpaceDE w:val="0"/>
              <w:autoSpaceDN w:val="0"/>
              <w:adjustRightInd w:val="0"/>
              <w:spacing w:before="0" w:after="0"/>
              <w:rPr>
                <w:rFonts w:ascii="Calibri" w:hAnsi="Calibri"/>
                <w:sz w:val="16"/>
                <w:szCs w:val="16"/>
              </w:rPr>
            </w:pPr>
          </w:p>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 xml:space="preserve">V spolupráci s Republikovou úniou zamestnávateľov bol spustený webový portál, prostredníctvom ktorého môžu podnikatelia poukázať a upozorniť na administratívnu náročnosť a administratívne duplicity vyplývajúce z legislatívy. </w:t>
            </w:r>
          </w:p>
          <w:p w:rsidR="00B01228" w:rsidRPr="00BA185A" w:rsidRDefault="00B01228" w:rsidP="00B01228">
            <w:pPr>
              <w:shd w:val="clear" w:color="auto" w:fill="FFFFFF"/>
              <w:autoSpaceDE w:val="0"/>
              <w:autoSpaceDN w:val="0"/>
              <w:adjustRightInd w:val="0"/>
              <w:rPr>
                <w:rFonts w:ascii="Calibri" w:hAnsi="Calibri"/>
                <w:sz w:val="16"/>
                <w:szCs w:val="16"/>
              </w:rPr>
            </w:pPr>
            <w:r w:rsidRPr="00BA185A">
              <w:rPr>
                <w:rFonts w:ascii="Calibri" w:hAnsi="Calibri"/>
                <w:sz w:val="16"/>
                <w:szCs w:val="16"/>
              </w:rPr>
              <w:t xml:space="preserve">Rada úradu pre verejné obstarávanie bola vytvorená v roku 2013 a posilní nezávislosť rozhodovania a pri podávaní námietok.  </w:t>
            </w:r>
          </w:p>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MV SR zodpovedalo za novelizáciu zákona č. 25/2006 Z. z. o verejnom obstarávaní a o zmene a doplnení niektorých zákonov v znení neskorších predpisov a o zmene zákona č. 455/1991 Zb. o živnostenskom podnikaní (živnostenský zákon) v znení neskorších predpisov – účinnosť k 1.7.2013. Kapacity a rozpočet ÚVO boli posilnené</w:t>
            </w:r>
            <w:r w:rsidR="00095B2B">
              <w:rPr>
                <w:rFonts w:ascii="Calibri" w:hAnsi="Calibri"/>
                <w:sz w:val="16"/>
                <w:szCs w:val="16"/>
              </w:rPr>
              <w:t>,</w:t>
            </w:r>
            <w:r w:rsidRPr="00BA185A">
              <w:rPr>
                <w:rFonts w:ascii="Calibri" w:hAnsi="Calibri"/>
                <w:sz w:val="16"/>
                <w:szCs w:val="16"/>
              </w:rPr>
              <w:t xml:space="preserve"> aby bolo možné vytvoriť vhodné mechanizmy, školenia a budovanie kapacít, čo sa týka verejného obstarávania. Úrad pre verejné obstarávanie je preto zodpovedným orgánom v tejto oblasti. MV SR je pripravené spolupracovať s ÚVO</w:t>
            </w:r>
            <w:r w:rsidRPr="00BA185A" w:rsidDel="00045FBF">
              <w:rPr>
                <w:rFonts w:ascii="Calibri" w:hAnsi="Calibri"/>
                <w:sz w:val="16"/>
                <w:szCs w:val="16"/>
              </w:rPr>
              <w:t xml:space="preserve"> </w:t>
            </w:r>
            <w:r w:rsidRPr="00BA185A">
              <w:rPr>
                <w:rFonts w:ascii="Calibri" w:hAnsi="Calibri"/>
                <w:sz w:val="16"/>
                <w:szCs w:val="16"/>
              </w:rPr>
              <w:t>na budovaní politík v tejto oblasti.</w:t>
            </w:r>
          </w:p>
          <w:p w:rsidR="00B01228" w:rsidRPr="00BA185A" w:rsidRDefault="00B01228" w:rsidP="00B01228">
            <w:pPr>
              <w:autoSpaceDE w:val="0"/>
              <w:autoSpaceDN w:val="0"/>
              <w:adjustRightInd w:val="0"/>
              <w:spacing w:before="0" w:after="0"/>
              <w:rPr>
                <w:rFonts w:ascii="Calibri" w:hAnsi="Calibri"/>
                <w:sz w:val="16"/>
                <w:szCs w:val="16"/>
              </w:rPr>
            </w:pPr>
          </w:p>
          <w:p w:rsidR="00B01228" w:rsidRPr="00BA185A" w:rsidRDefault="00B01228" w:rsidP="00B01228">
            <w:pPr>
              <w:shd w:val="clear" w:color="auto" w:fill="FFFFFF"/>
              <w:autoSpaceDE w:val="0"/>
              <w:autoSpaceDN w:val="0"/>
              <w:adjustRightInd w:val="0"/>
              <w:spacing w:before="60"/>
              <w:rPr>
                <w:rFonts w:ascii="Calibri" w:hAnsi="Calibri"/>
                <w:sz w:val="16"/>
                <w:szCs w:val="16"/>
              </w:rPr>
            </w:pPr>
            <w:r w:rsidRPr="00BA185A">
              <w:rPr>
                <w:rFonts w:ascii="Calibri" w:hAnsi="Calibri"/>
                <w:sz w:val="16"/>
                <w:szCs w:val="16"/>
              </w:rPr>
              <w:t xml:space="preserve">MV SR momentálne buduje klientske centrá. Projekty sa zrealizoval  na Okresnom úrade Nitra, Galanta, Stropkov, Svidník, Stará Ľubovňa, Snina, Topoľčany a Senec. Vybudovanie ďalších klientskych centier je plánované na rok 2014.  </w:t>
            </w:r>
          </w:p>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 xml:space="preserve">Dňa 12. 11. 2013 bola schválená Koncepcia rozvoja finančnej správy 2014 – 2020 poradou vedenia Finančnej správy. Cieľom je zaviesť zmeny v systéme riadenia </w:t>
            </w:r>
            <w:r w:rsidR="00913324">
              <w:rPr>
                <w:rFonts w:ascii="Calibri" w:hAnsi="Calibri"/>
                <w:sz w:val="16"/>
                <w:szCs w:val="16"/>
              </w:rPr>
              <w:br/>
            </w:r>
            <w:r w:rsidRPr="00BA185A">
              <w:rPr>
                <w:rFonts w:ascii="Calibri" w:hAnsi="Calibri"/>
                <w:sz w:val="16"/>
                <w:szCs w:val="16"/>
              </w:rPr>
              <w:t>a organizovania finančnej správy implementáciou súvisiacich projektov.</w:t>
            </w:r>
          </w:p>
          <w:p w:rsidR="00B01228" w:rsidRPr="00BA185A" w:rsidRDefault="00B01228" w:rsidP="00B01228">
            <w:pPr>
              <w:autoSpaceDE w:val="0"/>
              <w:autoSpaceDN w:val="0"/>
              <w:adjustRightInd w:val="0"/>
              <w:spacing w:before="0" w:after="0"/>
              <w:rPr>
                <w:rFonts w:ascii="Calibri" w:hAnsi="Calibri"/>
                <w:sz w:val="16"/>
                <w:szCs w:val="16"/>
              </w:rPr>
            </w:pPr>
          </w:p>
          <w:p w:rsidR="00B01228" w:rsidRPr="00BA185A" w:rsidRDefault="00B01228" w:rsidP="00B01228">
            <w:pPr>
              <w:autoSpaceDE w:val="0"/>
              <w:autoSpaceDN w:val="0"/>
              <w:adjustRightInd w:val="0"/>
              <w:spacing w:before="0" w:after="0"/>
              <w:jc w:val="left"/>
              <w:rPr>
                <w:rFonts w:ascii="Calibri" w:hAnsi="Calibri"/>
                <w:sz w:val="16"/>
                <w:szCs w:val="16"/>
              </w:rPr>
            </w:pPr>
            <w:r w:rsidRPr="00BA185A">
              <w:rPr>
                <w:rFonts w:ascii="Calibri" w:hAnsi="Calibri"/>
                <w:sz w:val="16"/>
                <w:szCs w:val="16"/>
              </w:rPr>
              <w:t xml:space="preserve">Akčný plán boja proti daňovým podvodom. </w:t>
            </w:r>
          </w:p>
          <w:p w:rsidR="00B01228" w:rsidRPr="00BA185A" w:rsidRDefault="00B01228" w:rsidP="00B01228">
            <w:pPr>
              <w:autoSpaceDE w:val="0"/>
              <w:autoSpaceDN w:val="0"/>
              <w:adjustRightInd w:val="0"/>
              <w:spacing w:before="0" w:after="0"/>
              <w:jc w:val="left"/>
              <w:rPr>
                <w:rFonts w:ascii="Calibri" w:hAnsi="Calibri"/>
                <w:sz w:val="16"/>
                <w:szCs w:val="16"/>
              </w:rPr>
            </w:pPr>
          </w:p>
          <w:p w:rsidR="00B01228" w:rsidRPr="00BA185A" w:rsidRDefault="00B01228" w:rsidP="00B01228">
            <w:pPr>
              <w:shd w:val="clear" w:color="auto" w:fill="FFFFFF"/>
              <w:autoSpaceDE w:val="0"/>
              <w:autoSpaceDN w:val="0"/>
              <w:adjustRightInd w:val="0"/>
              <w:spacing w:before="60"/>
              <w:rPr>
                <w:rFonts w:ascii="Calibri" w:hAnsi="Calibri"/>
                <w:sz w:val="16"/>
                <w:szCs w:val="16"/>
              </w:rPr>
            </w:pPr>
            <w:r w:rsidRPr="00BA185A">
              <w:rPr>
                <w:rFonts w:ascii="Calibri" w:hAnsi="Calibri"/>
                <w:sz w:val="16"/>
                <w:szCs w:val="16"/>
              </w:rPr>
              <w:t xml:space="preserve">MF SR implementuje projekt elektronickej komunikácie </w:t>
            </w:r>
            <w:r w:rsidRPr="00BA185A">
              <w:rPr>
                <w:rFonts w:ascii="Calibri" w:hAnsi="Calibri"/>
                <w:sz w:val="16"/>
                <w:szCs w:val="16"/>
              </w:rPr>
              <w:lastRenderedPageBreak/>
              <w:t>finančnej správy s okolím v zmysle zákona č. 563/2009 Z. z. o správe daní (daňový poriadok) a o zmene a doplnení niektorých zákonov v znení neskorších predpisov.</w:t>
            </w:r>
            <w:r w:rsidR="00095B2B">
              <w:rPr>
                <w:rFonts w:ascii="Calibri" w:hAnsi="Calibri"/>
                <w:sz w:val="16"/>
                <w:szCs w:val="16"/>
              </w:rPr>
              <w:t xml:space="preserve"> </w:t>
            </w:r>
            <w:r w:rsidRPr="00BA185A">
              <w:rPr>
                <w:rFonts w:ascii="Calibri" w:hAnsi="Calibri"/>
                <w:sz w:val="16"/>
                <w:szCs w:val="16"/>
              </w:rPr>
              <w:t>1</w:t>
            </w:r>
            <w:r w:rsidR="00095B2B">
              <w:rPr>
                <w:rFonts w:ascii="Calibri" w:hAnsi="Calibri"/>
                <w:sz w:val="16"/>
                <w:szCs w:val="16"/>
              </w:rPr>
              <w:t xml:space="preserve"> </w:t>
            </w:r>
            <w:r w:rsidRPr="00BA185A">
              <w:rPr>
                <w:rFonts w:ascii="Calibri" w:hAnsi="Calibri"/>
                <w:sz w:val="16"/>
                <w:szCs w:val="16"/>
              </w:rPr>
              <w:t>.fáza projektu elektronickej komunikácie finančnej správy s okolím v zmysle zákona č. 563/2009 Z. z. o správe daní (daňový poriadok) a o zmene a doplnení niektorých zákonov bola implementovaná k 01. 01. 2014 (nasadenie portálu na jednosmernú komunikáciu). Vyťaženosť Portálu FS je pravidelne monitorovaná a boli prijaté opatrenia pre zabezpečenie bezproblémového prijímania dokumentov počas „daňovej špičky“ v marci 2014.</w:t>
            </w:r>
          </w:p>
          <w:p w:rsidR="00B01228" w:rsidRPr="00BA185A" w:rsidRDefault="00B01228" w:rsidP="00B01228">
            <w:pPr>
              <w:shd w:val="clear" w:color="auto" w:fill="FFFFFF"/>
              <w:autoSpaceDE w:val="0"/>
              <w:autoSpaceDN w:val="0"/>
              <w:adjustRightInd w:val="0"/>
              <w:spacing w:before="60"/>
              <w:rPr>
                <w:rFonts w:ascii="Calibri" w:hAnsi="Calibri"/>
                <w:sz w:val="16"/>
                <w:szCs w:val="16"/>
              </w:rPr>
            </w:pPr>
            <w:r w:rsidRPr="00BA185A">
              <w:rPr>
                <w:rFonts w:ascii="Calibri" w:hAnsi="Calibri"/>
                <w:sz w:val="16"/>
                <w:szCs w:val="16"/>
              </w:rPr>
              <w:t xml:space="preserve">Implementácia automatizácie colných a komunikačných procesov v súlade s viacročným strategickým plánom MASP (Multiannual Strategic Plan) zahŕňa vývoj systémov, ktoré vyplývajú z legislatívnych požiadaviek Colného kódexu Únie č. 952/2013 (UCC) do roku 2020 a požiadaviek na automatizáciu procesov v rámci e-Customs (podľa čl. 6 UCC). </w:t>
            </w:r>
          </w:p>
          <w:p w:rsidR="00077029" w:rsidRPr="004E2D6C" w:rsidRDefault="00B01228" w:rsidP="00077029">
            <w:pPr>
              <w:spacing w:before="0"/>
              <w:rPr>
                <w:rFonts w:ascii="Calibri" w:hAnsi="Calibri"/>
                <w:sz w:val="16"/>
                <w:szCs w:val="16"/>
              </w:rPr>
            </w:pPr>
            <w:r w:rsidRPr="00BA185A">
              <w:rPr>
                <w:rFonts w:ascii="Calibri" w:hAnsi="Calibri"/>
                <w:sz w:val="16"/>
                <w:szCs w:val="16"/>
              </w:rPr>
              <w:t>Pre splnenie tohto kritéria bol spracovaný akčný plán.</w:t>
            </w:r>
          </w:p>
        </w:tc>
      </w:tr>
      <w:tr w:rsidR="00077029" w:rsidRPr="004E2D6C" w:rsidTr="00077029">
        <w:trPr>
          <w:trHeight w:val="52"/>
        </w:trPr>
        <w:tc>
          <w:tcPr>
            <w:tcW w:w="1668" w:type="dxa"/>
            <w:vMerge/>
            <w:tcBorders>
              <w:left w:val="single" w:sz="12" w:space="0" w:color="auto"/>
            </w:tcBorders>
          </w:tcPr>
          <w:p w:rsidR="00077029" w:rsidRPr="004E2D6C" w:rsidRDefault="00077029" w:rsidP="00077029">
            <w:pPr>
              <w:spacing w:before="0"/>
              <w:rPr>
                <w:rFonts w:ascii="Calibri" w:hAnsi="Calibri"/>
                <w:sz w:val="16"/>
                <w:szCs w:val="16"/>
              </w:rPr>
            </w:pPr>
          </w:p>
        </w:tc>
        <w:tc>
          <w:tcPr>
            <w:tcW w:w="1559" w:type="dxa"/>
            <w:vMerge/>
          </w:tcPr>
          <w:p w:rsidR="00077029" w:rsidRPr="004E2D6C" w:rsidRDefault="00077029" w:rsidP="00077029">
            <w:pPr>
              <w:spacing w:before="0"/>
              <w:rPr>
                <w:rFonts w:ascii="Calibri" w:hAnsi="Calibri"/>
                <w:sz w:val="16"/>
                <w:szCs w:val="16"/>
              </w:rPr>
            </w:pPr>
          </w:p>
        </w:tc>
        <w:tc>
          <w:tcPr>
            <w:tcW w:w="2551" w:type="dxa"/>
            <w:tcBorders>
              <w:top w:val="single" w:sz="2" w:space="0" w:color="auto"/>
              <w:bottom w:val="single" w:sz="2" w:space="0" w:color="auto"/>
            </w:tcBorders>
          </w:tcPr>
          <w:p w:rsidR="00077029" w:rsidRPr="005A192A" w:rsidRDefault="00077029" w:rsidP="001C5C9E">
            <w:pPr>
              <w:pStyle w:val="Odsekzoznamu"/>
              <w:numPr>
                <w:ilvl w:val="0"/>
                <w:numId w:val="119"/>
              </w:numPr>
              <w:spacing w:before="0" w:line="276" w:lineRule="auto"/>
              <w:ind w:left="175" w:hanging="141"/>
              <w:rPr>
                <w:rFonts w:ascii="Calibri" w:hAnsi="Calibri"/>
                <w:b/>
                <w:bCs/>
                <w:sz w:val="16"/>
                <w:szCs w:val="16"/>
              </w:rPr>
            </w:pPr>
            <w:r w:rsidRPr="005A192A">
              <w:rPr>
                <w:rFonts w:ascii="Calibri" w:hAnsi="Calibri"/>
                <w:color w:val="000000"/>
                <w:sz w:val="16"/>
                <w:szCs w:val="16"/>
              </w:rPr>
              <w:t>vývoj a vykonávanie stratégií a politík ľudských zdrojov, ktoré zahŕňajú hlavné nedostatky identifikované v tejto oblasti,</w:t>
            </w:r>
          </w:p>
        </w:tc>
        <w:tc>
          <w:tcPr>
            <w:tcW w:w="1134" w:type="dxa"/>
            <w:vAlign w:val="center"/>
          </w:tcPr>
          <w:p w:rsidR="00077029" w:rsidRPr="004E2D6C" w:rsidRDefault="00077029" w:rsidP="00077029">
            <w:pPr>
              <w:spacing w:before="100" w:beforeAutospacing="1" w:after="100" w:afterAutospacing="1" w:line="276" w:lineRule="auto"/>
              <w:jc w:val="center"/>
              <w:rPr>
                <w:rFonts w:ascii="Calibri" w:hAnsi="Calibri"/>
                <w:szCs w:val="22"/>
              </w:rPr>
            </w:pPr>
            <w:r w:rsidRPr="004E2D6C">
              <w:rPr>
                <w:rFonts w:ascii="Calibri" w:hAnsi="Calibri"/>
                <w:b/>
                <w:bCs/>
                <w:sz w:val="16"/>
                <w:szCs w:val="16"/>
              </w:rPr>
              <w:t>Nie</w:t>
            </w:r>
          </w:p>
        </w:tc>
        <w:tc>
          <w:tcPr>
            <w:tcW w:w="3119" w:type="dxa"/>
            <w:vAlign w:val="center"/>
          </w:tcPr>
          <w:p w:rsidR="00077029" w:rsidRPr="004E2D6C" w:rsidRDefault="00077029" w:rsidP="00077029">
            <w:pPr>
              <w:spacing w:before="0"/>
              <w:rPr>
                <w:rFonts w:ascii="Calibri" w:hAnsi="Calibri"/>
                <w:sz w:val="16"/>
                <w:szCs w:val="16"/>
              </w:rPr>
            </w:pPr>
          </w:p>
        </w:tc>
        <w:tc>
          <w:tcPr>
            <w:tcW w:w="4111" w:type="dxa"/>
            <w:tcBorders>
              <w:right w:val="single" w:sz="12" w:space="0" w:color="auto"/>
            </w:tcBorders>
          </w:tcPr>
          <w:p w:rsidR="00B01228" w:rsidRPr="00BA185A" w:rsidRDefault="00B01228" w:rsidP="00BA185A">
            <w:pPr>
              <w:shd w:val="clear" w:color="auto" w:fill="FFFFFF"/>
              <w:autoSpaceDE w:val="0"/>
              <w:autoSpaceDN w:val="0"/>
              <w:adjustRightInd w:val="0"/>
              <w:rPr>
                <w:rFonts w:ascii="Calibri" w:hAnsi="Calibri"/>
                <w:sz w:val="16"/>
                <w:szCs w:val="16"/>
              </w:rPr>
            </w:pPr>
            <w:r w:rsidRPr="00BA185A">
              <w:rPr>
                <w:rFonts w:ascii="Calibri" w:hAnsi="Calibri"/>
                <w:sz w:val="16"/>
                <w:szCs w:val="16"/>
              </w:rPr>
              <w:t xml:space="preserve">MV SR implementuje Národný projekt budovania kapacít </w:t>
            </w:r>
            <w:r w:rsidR="00913324">
              <w:rPr>
                <w:rFonts w:ascii="Calibri" w:hAnsi="Calibri"/>
                <w:sz w:val="16"/>
                <w:szCs w:val="16"/>
              </w:rPr>
              <w:br/>
            </w:r>
            <w:r w:rsidRPr="00BA185A">
              <w:rPr>
                <w:rFonts w:ascii="Calibri" w:hAnsi="Calibri"/>
                <w:sz w:val="16"/>
                <w:szCs w:val="16"/>
              </w:rPr>
              <w:t xml:space="preserve">a zlepšenia efektivity VS SR. Projekt sa uskutočňuje </w:t>
            </w:r>
            <w:r w:rsidR="00913324">
              <w:rPr>
                <w:rFonts w:ascii="Calibri" w:hAnsi="Calibri"/>
                <w:sz w:val="16"/>
                <w:szCs w:val="16"/>
              </w:rPr>
              <w:br/>
            </w:r>
            <w:r w:rsidRPr="00BA185A">
              <w:rPr>
                <w:rFonts w:ascii="Calibri" w:hAnsi="Calibri"/>
                <w:sz w:val="16"/>
                <w:szCs w:val="16"/>
              </w:rPr>
              <w:t xml:space="preserve">v spolupráci s OECD. Reaguje na problematické </w:t>
            </w:r>
            <w:r w:rsidR="00913324">
              <w:rPr>
                <w:rFonts w:ascii="Calibri" w:hAnsi="Calibri"/>
                <w:sz w:val="16"/>
                <w:szCs w:val="16"/>
              </w:rPr>
              <w:br/>
            </w:r>
            <w:r w:rsidRPr="00BA185A">
              <w:rPr>
                <w:rFonts w:ascii="Calibri" w:hAnsi="Calibri"/>
                <w:sz w:val="16"/>
                <w:szCs w:val="16"/>
              </w:rPr>
              <w:t xml:space="preserve">a neefektívne fungovanie niektorých oblastí  VS. </w:t>
            </w:r>
          </w:p>
          <w:p w:rsidR="00B01228" w:rsidRPr="00BA185A" w:rsidRDefault="00B01228" w:rsidP="00B01228">
            <w:pPr>
              <w:shd w:val="clear" w:color="auto" w:fill="FFFFFF"/>
              <w:autoSpaceDE w:val="0"/>
              <w:autoSpaceDN w:val="0"/>
              <w:adjustRightInd w:val="0"/>
              <w:spacing w:before="60"/>
              <w:rPr>
                <w:rFonts w:ascii="Calibri" w:hAnsi="Calibri"/>
                <w:sz w:val="16"/>
                <w:szCs w:val="16"/>
              </w:rPr>
            </w:pPr>
            <w:r w:rsidRPr="00BA185A">
              <w:rPr>
                <w:rFonts w:ascii="Calibri" w:hAnsi="Calibri"/>
                <w:sz w:val="16"/>
                <w:szCs w:val="16"/>
              </w:rPr>
              <w:t xml:space="preserve">Od. 01. 11. 2013 je Úrad vlády Slovenskej republiky gestor politiky v oblasti štátnozamestnaneckých vzťahov </w:t>
            </w:r>
            <w:r w:rsidR="00913324">
              <w:rPr>
                <w:rFonts w:ascii="Calibri" w:hAnsi="Calibri"/>
                <w:sz w:val="16"/>
                <w:szCs w:val="16"/>
              </w:rPr>
              <w:br/>
            </w:r>
            <w:r w:rsidRPr="00BA185A">
              <w:rPr>
                <w:rFonts w:ascii="Calibri" w:hAnsi="Calibri"/>
                <w:sz w:val="16"/>
                <w:szCs w:val="16"/>
              </w:rPr>
              <w:t>a právnych vzťahov pri výkone práce vo verejnom záujme. MPSVR SR vykonalo v roku 2013 prieskum problémov pri uplatňovaní zákona o štátnej službe, s cieľom zozbierať podklady k novele zákona, ktorá by odstránila aplikačné problémy v praxi. ÚV SR v spolupráci s MPSVR SR a MV SR zorganizoval v roku 2013 dotazníkový prieskum medzi vybranou skupinou 46 815 štátnych zamestnancov, ktorého hlavným cieľom bolo identifikovať systémové a procesné chyby v riadení ľudských zdrojov tak, aby bolo možné pripraviť reformu štátnej služby v súlade so zásadami pre rozvoj stabilnej, profesionálnej a politicky neutrálnej VS.</w:t>
            </w:r>
          </w:p>
          <w:p w:rsidR="00B01228" w:rsidRPr="00BA185A" w:rsidRDefault="00B01228" w:rsidP="00B01228">
            <w:pPr>
              <w:shd w:val="clear" w:color="auto" w:fill="FFFFFF"/>
              <w:autoSpaceDE w:val="0"/>
              <w:autoSpaceDN w:val="0"/>
              <w:adjustRightInd w:val="0"/>
              <w:spacing w:before="60"/>
              <w:rPr>
                <w:rFonts w:ascii="Calibri" w:hAnsi="Calibri"/>
                <w:sz w:val="16"/>
                <w:szCs w:val="16"/>
              </w:rPr>
            </w:pPr>
            <w:r w:rsidRPr="00BA185A">
              <w:rPr>
                <w:rFonts w:ascii="Calibri" w:hAnsi="Calibri"/>
                <w:sz w:val="16"/>
                <w:szCs w:val="16"/>
              </w:rPr>
              <w:t xml:space="preserve">ÚV SR za účelom prípravy nového zákona o štátnej službe zriadil z odborníkov na štátnu službu pracovné skupiny, ktoré sa zaoberajú prípravou nového zákona. Každá zo </w:t>
            </w:r>
            <w:r w:rsidRPr="00BA185A">
              <w:rPr>
                <w:rFonts w:ascii="Calibri" w:hAnsi="Calibri"/>
                <w:sz w:val="16"/>
                <w:szCs w:val="16"/>
              </w:rPr>
              <w:lastRenderedPageBreak/>
              <w:t>skupín spracováva určitú tematickú oblasť a to: (1) vznik, zmena a skončenie štátnozamestnaneckého pomeru; (2) disciplinárne konanie a práva a povinnosti štátneho zamestnanca; (3) služobné hodnotenie a odmeňovanie; (</w:t>
            </w:r>
            <w:r w:rsidR="00D554AD">
              <w:rPr>
                <w:rFonts w:ascii="Calibri" w:hAnsi="Calibri"/>
                <w:sz w:val="16"/>
                <w:szCs w:val="16"/>
              </w:rPr>
              <w:t>4</w:t>
            </w:r>
            <w:r w:rsidRPr="00BA185A">
              <w:rPr>
                <w:rFonts w:ascii="Calibri" w:hAnsi="Calibri"/>
                <w:sz w:val="16"/>
                <w:szCs w:val="16"/>
              </w:rPr>
              <w:t>) výberové konania – získavanie štátnych zamestnancov a (</w:t>
            </w:r>
            <w:r w:rsidR="00D554AD">
              <w:rPr>
                <w:rFonts w:ascii="Calibri" w:hAnsi="Calibri"/>
                <w:sz w:val="16"/>
                <w:szCs w:val="16"/>
              </w:rPr>
              <w:t>5</w:t>
            </w:r>
            <w:r w:rsidRPr="00BA185A">
              <w:rPr>
                <w:rFonts w:ascii="Calibri" w:hAnsi="Calibri"/>
                <w:sz w:val="16"/>
                <w:szCs w:val="16"/>
              </w:rPr>
              <w:t>) vzdelávanie. ÚV SR súčasne zriadil Riadiaci výbor pre reformu štátnej služby, ktorý koordinuje a usmerňuje činnosť jednotlivých pracovných skupín. V súčasnosti riadiaci výbor a pracovné skupiny intenzívne pracujú na príprave návrhu nového zákona o štátnej službe.</w:t>
            </w:r>
          </w:p>
          <w:p w:rsidR="00077029" w:rsidRPr="004E2D6C" w:rsidRDefault="00B01228" w:rsidP="00077029">
            <w:pPr>
              <w:spacing w:before="0"/>
              <w:rPr>
                <w:rFonts w:ascii="Calibri" w:hAnsi="Calibri"/>
                <w:sz w:val="16"/>
                <w:szCs w:val="16"/>
              </w:rPr>
            </w:pPr>
            <w:r w:rsidRPr="00BA185A">
              <w:rPr>
                <w:rFonts w:ascii="Calibri" w:hAnsi="Calibri"/>
                <w:sz w:val="16"/>
                <w:szCs w:val="16"/>
              </w:rPr>
              <w:t>Pre splnenie tohto kritéria bol spracovaný akčný plán.</w:t>
            </w:r>
          </w:p>
        </w:tc>
      </w:tr>
      <w:tr w:rsidR="00077029" w:rsidRPr="004E2D6C" w:rsidTr="001C5C9E">
        <w:trPr>
          <w:trHeight w:val="52"/>
        </w:trPr>
        <w:tc>
          <w:tcPr>
            <w:tcW w:w="1668" w:type="dxa"/>
            <w:vMerge/>
            <w:tcBorders>
              <w:left w:val="single" w:sz="12" w:space="0" w:color="auto"/>
            </w:tcBorders>
          </w:tcPr>
          <w:p w:rsidR="00077029" w:rsidRPr="004E2D6C" w:rsidRDefault="00077029" w:rsidP="00077029">
            <w:pPr>
              <w:spacing w:before="0"/>
              <w:rPr>
                <w:rFonts w:ascii="Calibri" w:hAnsi="Calibri"/>
                <w:sz w:val="16"/>
                <w:szCs w:val="16"/>
              </w:rPr>
            </w:pPr>
          </w:p>
        </w:tc>
        <w:tc>
          <w:tcPr>
            <w:tcW w:w="1559" w:type="dxa"/>
            <w:vMerge/>
          </w:tcPr>
          <w:p w:rsidR="00077029" w:rsidRPr="004E2D6C" w:rsidRDefault="00077029" w:rsidP="00077029">
            <w:pPr>
              <w:spacing w:before="0"/>
              <w:rPr>
                <w:rFonts w:ascii="Calibri" w:hAnsi="Calibri"/>
                <w:sz w:val="16"/>
                <w:szCs w:val="16"/>
              </w:rPr>
            </w:pPr>
          </w:p>
        </w:tc>
        <w:tc>
          <w:tcPr>
            <w:tcW w:w="2551" w:type="dxa"/>
            <w:tcBorders>
              <w:top w:val="single" w:sz="2" w:space="0" w:color="auto"/>
              <w:bottom w:val="single" w:sz="2" w:space="0" w:color="auto"/>
            </w:tcBorders>
            <w:vAlign w:val="center"/>
          </w:tcPr>
          <w:p w:rsidR="00077029" w:rsidRPr="005A192A" w:rsidRDefault="00077029" w:rsidP="001C5C9E">
            <w:pPr>
              <w:pStyle w:val="Odsekzoznamu"/>
              <w:numPr>
                <w:ilvl w:val="0"/>
                <w:numId w:val="120"/>
              </w:numPr>
              <w:spacing w:before="0" w:line="276" w:lineRule="auto"/>
              <w:ind w:left="175" w:hanging="175"/>
              <w:rPr>
                <w:rFonts w:ascii="Calibri" w:hAnsi="Calibri"/>
                <w:b/>
                <w:bCs/>
                <w:sz w:val="16"/>
                <w:szCs w:val="16"/>
              </w:rPr>
            </w:pPr>
            <w:r w:rsidRPr="005A192A">
              <w:rPr>
                <w:rFonts w:ascii="Calibri" w:hAnsi="Calibri"/>
                <w:color w:val="000000"/>
                <w:sz w:val="16"/>
                <w:szCs w:val="16"/>
              </w:rPr>
              <w:t>rozširovanie zručností na všetkých úrovniach odbornej hierarchie v rámci orgánov verejnej správy,</w:t>
            </w:r>
          </w:p>
        </w:tc>
        <w:tc>
          <w:tcPr>
            <w:tcW w:w="1134" w:type="dxa"/>
            <w:vAlign w:val="center"/>
          </w:tcPr>
          <w:p w:rsidR="00077029" w:rsidRPr="004E2D6C" w:rsidRDefault="00077029" w:rsidP="00077029">
            <w:pPr>
              <w:spacing w:before="100" w:beforeAutospacing="1" w:after="100" w:afterAutospacing="1" w:line="276" w:lineRule="auto"/>
              <w:jc w:val="center"/>
              <w:rPr>
                <w:rFonts w:ascii="Calibri" w:hAnsi="Calibri"/>
                <w:szCs w:val="22"/>
              </w:rPr>
            </w:pPr>
            <w:r>
              <w:rPr>
                <w:rFonts w:ascii="Calibri" w:hAnsi="Calibri"/>
                <w:b/>
                <w:bCs/>
                <w:sz w:val="16"/>
                <w:szCs w:val="16"/>
              </w:rPr>
              <w:t>Nie</w:t>
            </w:r>
          </w:p>
        </w:tc>
        <w:tc>
          <w:tcPr>
            <w:tcW w:w="3119" w:type="dxa"/>
            <w:vAlign w:val="center"/>
          </w:tcPr>
          <w:p w:rsidR="00077029" w:rsidRPr="00B763E3" w:rsidRDefault="00ED6BC8" w:rsidP="00B763E3">
            <w:pPr>
              <w:autoSpaceDE w:val="0"/>
              <w:autoSpaceDN w:val="0"/>
              <w:adjustRightInd w:val="0"/>
              <w:spacing w:before="0" w:after="0"/>
              <w:jc w:val="left"/>
              <w:rPr>
                <w:rFonts w:asciiTheme="majorHAnsi" w:hAnsiTheme="majorHAnsi"/>
                <w:sz w:val="16"/>
                <w:szCs w:val="16"/>
              </w:rPr>
            </w:pPr>
            <w:hyperlink r:id="rId172" w:history="1">
              <w:r w:rsidR="00077029" w:rsidRPr="00B763E3">
                <w:rPr>
                  <w:rFonts w:asciiTheme="majorHAnsi" w:hAnsiTheme="majorHAnsi"/>
                  <w:sz w:val="16"/>
                  <w:szCs w:val="16"/>
                </w:rPr>
                <w:t>http://bit.ly/1765cHb</w:t>
              </w:r>
            </w:hyperlink>
          </w:p>
        </w:tc>
        <w:tc>
          <w:tcPr>
            <w:tcW w:w="4111" w:type="dxa"/>
            <w:tcBorders>
              <w:right w:val="single" w:sz="12" w:space="0" w:color="auto"/>
            </w:tcBorders>
            <w:vAlign w:val="center"/>
          </w:tcPr>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 xml:space="preserve">Zákon č. 568/2009 Z. z. o celoživotnom vzdelávaní </w:t>
            </w:r>
            <w:r w:rsidR="00913324">
              <w:rPr>
                <w:rFonts w:ascii="Calibri" w:hAnsi="Calibri"/>
                <w:sz w:val="16"/>
                <w:szCs w:val="16"/>
              </w:rPr>
              <w:br/>
            </w:r>
            <w:r w:rsidRPr="00BA185A">
              <w:rPr>
                <w:rFonts w:ascii="Calibri" w:hAnsi="Calibri"/>
                <w:sz w:val="16"/>
                <w:szCs w:val="16"/>
              </w:rPr>
              <w:t xml:space="preserve">a o zmene a doplnení niektorých zákonov v znení zákona č. 315/2012 Z. z. Je to zákon o celoživotnom vzdelávaní, ktorý upravuje a) celoživotné vzdelávanie, v ktorom ďalšie vzdelávanie nadväzuje na stupeň vzdelania dosiahnutý </w:t>
            </w:r>
            <w:r w:rsidR="00913324">
              <w:rPr>
                <w:rFonts w:ascii="Calibri" w:hAnsi="Calibri"/>
                <w:sz w:val="16"/>
                <w:szCs w:val="16"/>
              </w:rPr>
              <w:br/>
            </w:r>
            <w:r w:rsidRPr="00BA185A">
              <w:rPr>
                <w:rFonts w:ascii="Calibri" w:hAnsi="Calibri"/>
                <w:sz w:val="16"/>
                <w:szCs w:val="16"/>
              </w:rPr>
              <w:t xml:space="preserve">v školskom vzdelávaní, b) akreditáciu vzdelávacích programov ďalšieho vzdelávania, c) pravidlá a postupy overovania a uznávania výsledkov ďalšieho vzdelávania zamerané na nadobudnutie čiastočnej kvalifikácie a úplnej kvalifikácie, d) národnú sústavu kvalifikácií, e) informačný systém ďalšieho vzdelávania, f) systém monitorovania </w:t>
            </w:r>
            <w:r w:rsidR="00913324">
              <w:rPr>
                <w:rFonts w:ascii="Calibri" w:hAnsi="Calibri"/>
                <w:sz w:val="16"/>
                <w:szCs w:val="16"/>
              </w:rPr>
              <w:br/>
            </w:r>
            <w:r w:rsidRPr="00BA185A">
              <w:rPr>
                <w:rFonts w:ascii="Calibri" w:hAnsi="Calibri"/>
                <w:sz w:val="16"/>
                <w:szCs w:val="16"/>
              </w:rPr>
              <w:t>a prognózovania vzdelávacích potrieb ďalšieho vzdelávania, g) kontrolu dodržiavania podmienok akreditácie a dodržiavania.</w:t>
            </w:r>
          </w:p>
          <w:p w:rsidR="00B01228" w:rsidRPr="00BA185A" w:rsidRDefault="00B01228" w:rsidP="00B01228">
            <w:pPr>
              <w:autoSpaceDE w:val="0"/>
              <w:autoSpaceDN w:val="0"/>
              <w:adjustRightInd w:val="0"/>
              <w:spacing w:before="0" w:after="0"/>
              <w:jc w:val="left"/>
              <w:rPr>
                <w:rFonts w:ascii="Calibri" w:hAnsi="Calibri"/>
                <w:sz w:val="16"/>
                <w:szCs w:val="16"/>
              </w:rPr>
            </w:pPr>
          </w:p>
          <w:p w:rsidR="00077029" w:rsidRPr="004E2D6C" w:rsidRDefault="00B01228" w:rsidP="00077029">
            <w:pPr>
              <w:spacing w:before="0"/>
              <w:rPr>
                <w:rFonts w:ascii="Calibri" w:hAnsi="Calibri"/>
                <w:sz w:val="16"/>
                <w:szCs w:val="16"/>
              </w:rPr>
            </w:pPr>
            <w:r w:rsidRPr="00BA185A">
              <w:rPr>
                <w:rFonts w:ascii="Calibri" w:hAnsi="Calibri"/>
                <w:sz w:val="16"/>
                <w:szCs w:val="16"/>
              </w:rPr>
              <w:t>Pre splnenie tohto kritéria bol spracovaný akčný plán.</w:t>
            </w:r>
          </w:p>
        </w:tc>
      </w:tr>
      <w:tr w:rsidR="00077029" w:rsidRPr="004E2D6C" w:rsidTr="001C5C9E">
        <w:trPr>
          <w:trHeight w:val="52"/>
        </w:trPr>
        <w:tc>
          <w:tcPr>
            <w:tcW w:w="1668" w:type="dxa"/>
            <w:vMerge/>
            <w:tcBorders>
              <w:left w:val="single" w:sz="12" w:space="0" w:color="auto"/>
              <w:bottom w:val="single" w:sz="12" w:space="0" w:color="auto"/>
            </w:tcBorders>
          </w:tcPr>
          <w:p w:rsidR="00077029" w:rsidRPr="004E2D6C" w:rsidRDefault="00077029" w:rsidP="00077029">
            <w:pPr>
              <w:spacing w:before="0"/>
              <w:rPr>
                <w:rFonts w:ascii="Calibri" w:hAnsi="Calibri"/>
                <w:sz w:val="16"/>
                <w:szCs w:val="16"/>
              </w:rPr>
            </w:pPr>
          </w:p>
        </w:tc>
        <w:tc>
          <w:tcPr>
            <w:tcW w:w="1559" w:type="dxa"/>
            <w:vMerge/>
            <w:tcBorders>
              <w:bottom w:val="single" w:sz="12" w:space="0" w:color="auto"/>
            </w:tcBorders>
          </w:tcPr>
          <w:p w:rsidR="00077029" w:rsidRPr="004E2D6C" w:rsidRDefault="00077029" w:rsidP="00077029">
            <w:pPr>
              <w:spacing w:before="0"/>
              <w:rPr>
                <w:rFonts w:ascii="Calibri" w:hAnsi="Calibri"/>
                <w:sz w:val="16"/>
                <w:szCs w:val="16"/>
              </w:rPr>
            </w:pPr>
          </w:p>
        </w:tc>
        <w:tc>
          <w:tcPr>
            <w:tcW w:w="2551" w:type="dxa"/>
            <w:tcBorders>
              <w:top w:val="single" w:sz="2" w:space="0" w:color="auto"/>
              <w:bottom w:val="single" w:sz="12" w:space="0" w:color="auto"/>
            </w:tcBorders>
            <w:vAlign w:val="center"/>
          </w:tcPr>
          <w:p w:rsidR="00077029" w:rsidRPr="005A192A" w:rsidRDefault="00077029" w:rsidP="001C5C9E">
            <w:pPr>
              <w:pStyle w:val="Odsekzoznamu"/>
              <w:numPr>
                <w:ilvl w:val="0"/>
                <w:numId w:val="120"/>
              </w:numPr>
              <w:spacing w:before="0" w:line="276" w:lineRule="auto"/>
              <w:ind w:left="175" w:hanging="175"/>
              <w:rPr>
                <w:rFonts w:ascii="Calibri" w:hAnsi="Calibri"/>
                <w:b/>
                <w:bCs/>
                <w:sz w:val="16"/>
                <w:szCs w:val="16"/>
              </w:rPr>
            </w:pPr>
            <w:r w:rsidRPr="005A192A">
              <w:rPr>
                <w:rFonts w:ascii="Calibri" w:hAnsi="Calibri"/>
                <w:color w:val="000000"/>
                <w:sz w:val="16"/>
                <w:szCs w:val="16"/>
              </w:rPr>
              <w:t>vývoj postupov a nástrojov na monitorovanie a hodnotenie.</w:t>
            </w:r>
          </w:p>
        </w:tc>
        <w:tc>
          <w:tcPr>
            <w:tcW w:w="1134" w:type="dxa"/>
            <w:tcBorders>
              <w:bottom w:val="single" w:sz="12" w:space="0" w:color="auto"/>
            </w:tcBorders>
            <w:vAlign w:val="center"/>
          </w:tcPr>
          <w:p w:rsidR="00077029" w:rsidRPr="004E2D6C" w:rsidRDefault="00077029" w:rsidP="00077029">
            <w:pPr>
              <w:spacing w:before="100" w:beforeAutospacing="1" w:after="100" w:afterAutospacing="1" w:line="276" w:lineRule="auto"/>
              <w:jc w:val="center"/>
              <w:rPr>
                <w:rFonts w:ascii="Calibri" w:hAnsi="Calibri"/>
                <w:szCs w:val="22"/>
                <w:highlight w:val="yellow"/>
              </w:rPr>
            </w:pPr>
            <w:r w:rsidRPr="004E2D6C">
              <w:rPr>
                <w:rFonts w:ascii="Calibri" w:hAnsi="Calibri"/>
                <w:b/>
                <w:bCs/>
                <w:sz w:val="16"/>
                <w:szCs w:val="16"/>
              </w:rPr>
              <w:t>Nie</w:t>
            </w:r>
          </w:p>
        </w:tc>
        <w:tc>
          <w:tcPr>
            <w:tcW w:w="3119" w:type="dxa"/>
            <w:tcBorders>
              <w:bottom w:val="single" w:sz="12" w:space="0" w:color="auto"/>
            </w:tcBorders>
            <w:vAlign w:val="center"/>
          </w:tcPr>
          <w:p w:rsidR="00077029" w:rsidRPr="00B763E3" w:rsidRDefault="00ED6BC8" w:rsidP="00BA185A">
            <w:pPr>
              <w:autoSpaceDE w:val="0"/>
              <w:autoSpaceDN w:val="0"/>
              <w:adjustRightInd w:val="0"/>
              <w:spacing w:before="0" w:after="0"/>
              <w:jc w:val="left"/>
              <w:rPr>
                <w:rFonts w:asciiTheme="majorHAnsi" w:hAnsiTheme="majorHAnsi"/>
                <w:sz w:val="16"/>
                <w:szCs w:val="16"/>
              </w:rPr>
            </w:pPr>
            <w:hyperlink r:id="rId173" w:history="1">
              <w:r w:rsidR="00077029" w:rsidRPr="00B763E3">
                <w:rPr>
                  <w:rFonts w:asciiTheme="majorHAnsi" w:hAnsiTheme="majorHAnsi"/>
                  <w:sz w:val="16"/>
                  <w:szCs w:val="16"/>
                </w:rPr>
                <w:t>https://www.finance.gov.sk/Default.aspx?CatID=9336</w:t>
              </w:r>
            </w:hyperlink>
          </w:p>
        </w:tc>
        <w:tc>
          <w:tcPr>
            <w:tcW w:w="4111" w:type="dxa"/>
            <w:tcBorders>
              <w:bottom w:val="single" w:sz="12" w:space="0" w:color="auto"/>
              <w:right w:val="single" w:sz="12" w:space="0" w:color="auto"/>
            </w:tcBorders>
            <w:vAlign w:val="center"/>
          </w:tcPr>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Audit územnej samosprávy - Audit preneseného výkonu štátnej správy a originálnych pôsobností a zabezpečenia ich financovania na úrovni regionálnej a miestnej samosprávy. V súlade s uznesením vlády bola vypracovaná jednotná metodika pre spracovanie auditu. Ministerstvá a ostatné ústredné orgány štátnej správy vykonali audit územnej samosprávy, správu o audite predložili MV SR a MF SR. MV SR spolu s MF SR spracovali súhrnnú správu o audite, ktorá slúži ako východisko k príprave modernizácie územnej samosprávy SR. Súhrnný audit výkonu kompetencií VS bol prerokovaný vládou SR dňa 14.5.2014 a schválený uznesením vlády</w:t>
            </w:r>
            <w:r w:rsidR="00A729C2">
              <w:rPr>
                <w:rFonts w:ascii="Calibri" w:hAnsi="Calibri"/>
                <w:sz w:val="16"/>
                <w:szCs w:val="16"/>
              </w:rPr>
              <w:t xml:space="preserve"> SR</w:t>
            </w:r>
            <w:r w:rsidRPr="00BA185A">
              <w:rPr>
                <w:rFonts w:ascii="Calibri" w:hAnsi="Calibri"/>
                <w:sz w:val="16"/>
                <w:szCs w:val="16"/>
              </w:rPr>
              <w:t xml:space="preserve"> č. 226.</w:t>
            </w:r>
          </w:p>
          <w:p w:rsidR="00B01228" w:rsidRPr="00BA185A" w:rsidRDefault="00B01228" w:rsidP="00B01228">
            <w:pPr>
              <w:autoSpaceDE w:val="0"/>
              <w:autoSpaceDN w:val="0"/>
              <w:adjustRightInd w:val="0"/>
              <w:spacing w:before="0" w:after="0"/>
              <w:rPr>
                <w:rFonts w:ascii="Calibri" w:hAnsi="Calibri"/>
                <w:sz w:val="16"/>
                <w:szCs w:val="16"/>
              </w:rPr>
            </w:pPr>
          </w:p>
          <w:p w:rsidR="00B01228" w:rsidRPr="00BA185A" w:rsidRDefault="00B01228" w:rsidP="00B01228">
            <w:pPr>
              <w:autoSpaceDE w:val="0"/>
              <w:autoSpaceDN w:val="0"/>
              <w:adjustRightInd w:val="0"/>
              <w:spacing w:before="0" w:after="0"/>
              <w:rPr>
                <w:rFonts w:ascii="Calibri" w:hAnsi="Calibri"/>
                <w:sz w:val="16"/>
                <w:szCs w:val="16"/>
              </w:rPr>
            </w:pPr>
            <w:r w:rsidRPr="00BA185A">
              <w:rPr>
                <w:rFonts w:ascii="Calibri" w:hAnsi="Calibri"/>
                <w:sz w:val="16"/>
                <w:szCs w:val="16"/>
              </w:rPr>
              <w:t xml:space="preserve">Manuál „Ako merať pokrok - návrh výsledkových </w:t>
            </w:r>
            <w:r w:rsidRPr="00BA185A">
              <w:rPr>
                <w:rFonts w:ascii="Calibri" w:hAnsi="Calibri"/>
                <w:sz w:val="16"/>
                <w:szCs w:val="16"/>
              </w:rPr>
              <w:lastRenderedPageBreak/>
              <w:t>ukazovateľov ministerstiev“ navrhuje tri úrovne ukazovateľo</w:t>
            </w:r>
            <w:r w:rsidR="00D554AD">
              <w:rPr>
                <w:rFonts w:ascii="Calibri" w:hAnsi="Calibri"/>
                <w:sz w:val="16"/>
                <w:szCs w:val="16"/>
              </w:rPr>
              <w:t>v</w:t>
            </w:r>
            <w:r w:rsidRPr="00BA185A">
              <w:rPr>
                <w:rFonts w:ascii="Calibri" w:hAnsi="Calibri"/>
                <w:sz w:val="16"/>
                <w:szCs w:val="16"/>
              </w:rPr>
              <w:t xml:space="preserve"> za účelom hodnotenia výsledkov dosahovaných rôznymi verejnými politikami. Po dopracovaní niektorých ukazovateľov Riadiaci výbor pre koordináciu reformy VS posúdi alternatívy využitia manuálu ako systematického nástroja pre hodnotenie činnosti štátnej a VS. Systém ukazovateľov bude ďalej dopĺňaný o operatívne výsledkové, výstupné aj vstupné ukazovatele na úrovn</w:t>
            </w:r>
            <w:r w:rsidR="00D554AD">
              <w:rPr>
                <w:rFonts w:ascii="Calibri" w:hAnsi="Calibri"/>
                <w:sz w:val="16"/>
                <w:szCs w:val="16"/>
              </w:rPr>
              <w:t>i</w:t>
            </w:r>
            <w:r w:rsidRPr="00BA185A">
              <w:rPr>
                <w:rFonts w:ascii="Calibri" w:hAnsi="Calibri"/>
                <w:sz w:val="16"/>
                <w:szCs w:val="16"/>
              </w:rPr>
              <w:t xml:space="preserve"> ministerstiev</w:t>
            </w:r>
            <w:r w:rsidR="00D554AD">
              <w:rPr>
                <w:rFonts w:ascii="Calibri" w:hAnsi="Calibri"/>
                <w:sz w:val="16"/>
                <w:szCs w:val="16"/>
              </w:rPr>
              <w:t>,</w:t>
            </w:r>
            <w:r w:rsidRPr="00BA185A">
              <w:rPr>
                <w:rFonts w:ascii="Calibri" w:hAnsi="Calibri"/>
                <w:sz w:val="16"/>
                <w:szCs w:val="16"/>
              </w:rPr>
              <w:t xml:space="preserve"> ako informatívny nástroj pre tvorbu verejných politík.</w:t>
            </w:r>
          </w:p>
          <w:p w:rsidR="00B01228" w:rsidRPr="00BA185A" w:rsidRDefault="00B01228" w:rsidP="00B01228">
            <w:pPr>
              <w:autoSpaceDE w:val="0"/>
              <w:autoSpaceDN w:val="0"/>
              <w:adjustRightInd w:val="0"/>
              <w:spacing w:before="0" w:after="0"/>
              <w:jc w:val="left"/>
              <w:rPr>
                <w:rFonts w:ascii="Calibri" w:hAnsi="Calibri"/>
                <w:sz w:val="16"/>
                <w:szCs w:val="16"/>
              </w:rPr>
            </w:pPr>
          </w:p>
          <w:p w:rsidR="00077029" w:rsidRPr="004E2D6C" w:rsidRDefault="00B01228" w:rsidP="00077029">
            <w:pPr>
              <w:spacing w:before="0"/>
              <w:rPr>
                <w:rFonts w:ascii="Calibri" w:hAnsi="Calibri"/>
                <w:sz w:val="16"/>
                <w:szCs w:val="16"/>
              </w:rPr>
            </w:pPr>
            <w:r w:rsidRPr="00BA185A">
              <w:rPr>
                <w:rFonts w:ascii="Calibri" w:hAnsi="Calibri"/>
                <w:sz w:val="16"/>
                <w:szCs w:val="16"/>
              </w:rPr>
              <w:t>Pre splnenie tohto kritéria bol spracovaný akčný plán.</w:t>
            </w:r>
          </w:p>
        </w:tc>
      </w:tr>
    </w:tbl>
    <w:p w:rsidR="004E2D6C" w:rsidRPr="004E2D6C" w:rsidRDefault="004E2D6C" w:rsidP="001C5C9E">
      <w:pPr>
        <w:numPr>
          <w:ilvl w:val="0"/>
          <w:numId w:val="56"/>
        </w:numPr>
        <w:spacing w:before="360" w:after="200"/>
        <w:ind w:left="1616" w:hanging="357"/>
        <w:rPr>
          <w:rFonts w:ascii="Calibri" w:hAnsi="Calibri"/>
          <w:sz w:val="24"/>
        </w:rPr>
      </w:pPr>
      <w:r w:rsidRPr="004E2D6C">
        <w:rPr>
          <w:rFonts w:ascii="Calibri" w:hAnsi="Calibri"/>
          <w:sz w:val="24"/>
        </w:rPr>
        <w:lastRenderedPageBreak/>
        <w:t>Všeobecné ex ante kondicionality</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01"/>
        <w:gridCol w:w="2552"/>
        <w:gridCol w:w="850"/>
        <w:gridCol w:w="3119"/>
        <w:gridCol w:w="4111"/>
      </w:tblGrid>
      <w:tr w:rsidR="004E2D6C" w:rsidRPr="004E2D6C" w:rsidTr="005634F2">
        <w:trPr>
          <w:tblHeader/>
        </w:trPr>
        <w:tc>
          <w:tcPr>
            <w:tcW w:w="1843" w:type="dxa"/>
            <w:tcBorders>
              <w:top w:val="single" w:sz="12" w:space="0" w:color="auto"/>
              <w:left w:val="single" w:sz="12" w:space="0" w:color="auto"/>
              <w:bottom w:val="single" w:sz="12" w:space="0" w:color="auto"/>
            </w:tcBorders>
            <w:vAlign w:val="center"/>
          </w:tcPr>
          <w:p w:rsidR="004E2D6C" w:rsidRPr="004E2D6C" w:rsidRDefault="004E2D6C" w:rsidP="003F0750">
            <w:pPr>
              <w:spacing w:before="0" w:after="0"/>
              <w:jc w:val="center"/>
              <w:rPr>
                <w:rFonts w:ascii="Calibri" w:hAnsi="Calibri"/>
                <w:sz w:val="16"/>
                <w:szCs w:val="16"/>
              </w:rPr>
            </w:pPr>
            <w:r w:rsidRPr="004E2D6C">
              <w:rPr>
                <w:rFonts w:ascii="Calibri" w:hAnsi="Calibri"/>
                <w:b/>
                <w:sz w:val="16"/>
                <w:szCs w:val="16"/>
              </w:rPr>
              <w:t>Ex</w:t>
            </w:r>
            <w:r w:rsidR="00152731">
              <w:rPr>
                <w:rFonts w:ascii="Calibri" w:hAnsi="Calibri"/>
                <w:b/>
                <w:sz w:val="16"/>
                <w:szCs w:val="16"/>
              </w:rPr>
              <w:t xml:space="preserve"> </w:t>
            </w:r>
            <w:r w:rsidRPr="004E2D6C">
              <w:rPr>
                <w:rFonts w:ascii="Calibri" w:hAnsi="Calibri"/>
                <w:b/>
                <w:sz w:val="16"/>
                <w:szCs w:val="16"/>
              </w:rPr>
              <w:t>ante kondicionalita</w:t>
            </w:r>
          </w:p>
        </w:tc>
        <w:tc>
          <w:tcPr>
            <w:tcW w:w="1701" w:type="dxa"/>
            <w:tcBorders>
              <w:top w:val="single" w:sz="12" w:space="0" w:color="auto"/>
              <w:bottom w:val="single" w:sz="12" w:space="0" w:color="auto"/>
            </w:tcBorders>
            <w:vAlign w:val="center"/>
          </w:tcPr>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Splnenie ex ante kond</w:t>
            </w:r>
            <w:r w:rsidR="008016FF">
              <w:rPr>
                <w:rFonts w:ascii="Calibri" w:hAnsi="Calibri"/>
                <w:b/>
                <w:sz w:val="16"/>
                <w:szCs w:val="16"/>
              </w:rPr>
              <w:t>i</w:t>
            </w:r>
            <w:r w:rsidRPr="004E2D6C">
              <w:rPr>
                <w:rFonts w:ascii="Calibri" w:hAnsi="Calibri"/>
                <w:b/>
                <w:sz w:val="16"/>
                <w:szCs w:val="16"/>
              </w:rPr>
              <w:t>cionality: Áno/Nie/Čiastočne</w:t>
            </w:r>
          </w:p>
        </w:tc>
        <w:tc>
          <w:tcPr>
            <w:tcW w:w="2552" w:type="dxa"/>
            <w:tcBorders>
              <w:top w:val="single" w:sz="12" w:space="0" w:color="auto"/>
              <w:bottom w:val="single" w:sz="12" w:space="0" w:color="auto"/>
            </w:tcBorders>
            <w:vAlign w:val="center"/>
          </w:tcPr>
          <w:p w:rsidR="004E2D6C" w:rsidRPr="004E2D6C" w:rsidRDefault="004E2D6C" w:rsidP="003F0750">
            <w:pPr>
              <w:spacing w:before="0" w:after="0"/>
              <w:jc w:val="center"/>
              <w:rPr>
                <w:rFonts w:ascii="Calibri" w:hAnsi="Calibri"/>
                <w:sz w:val="16"/>
                <w:szCs w:val="16"/>
              </w:rPr>
            </w:pPr>
            <w:r w:rsidRPr="004E2D6C">
              <w:rPr>
                <w:rFonts w:ascii="Calibri" w:hAnsi="Calibri"/>
                <w:b/>
                <w:sz w:val="16"/>
                <w:szCs w:val="16"/>
              </w:rPr>
              <w:t>Kritériá plnenia ex ante kondicionality</w:t>
            </w:r>
          </w:p>
        </w:tc>
        <w:tc>
          <w:tcPr>
            <w:tcW w:w="850" w:type="dxa"/>
            <w:tcBorders>
              <w:top w:val="single" w:sz="12" w:space="0" w:color="auto"/>
              <w:bottom w:val="single" w:sz="12" w:space="0" w:color="auto"/>
            </w:tcBorders>
            <w:vAlign w:val="center"/>
          </w:tcPr>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Splnenie kritérií: Áno/Nie</w:t>
            </w:r>
          </w:p>
        </w:tc>
        <w:tc>
          <w:tcPr>
            <w:tcW w:w="3119" w:type="dxa"/>
            <w:tcBorders>
              <w:top w:val="single" w:sz="12" w:space="0" w:color="auto"/>
              <w:bottom w:val="single" w:sz="12" w:space="0" w:color="auto"/>
            </w:tcBorders>
            <w:vAlign w:val="center"/>
          </w:tcPr>
          <w:p w:rsidR="004E2D6C" w:rsidRPr="004E2D6C" w:rsidRDefault="004E2D6C" w:rsidP="003F0750">
            <w:pPr>
              <w:spacing w:before="0" w:after="0"/>
              <w:jc w:val="center"/>
              <w:rPr>
                <w:rFonts w:ascii="Calibri" w:hAnsi="Calibri"/>
                <w:sz w:val="16"/>
                <w:szCs w:val="16"/>
              </w:rPr>
            </w:pPr>
            <w:r w:rsidRPr="004E2D6C">
              <w:rPr>
                <w:rFonts w:ascii="Calibri" w:hAnsi="Calibri"/>
                <w:b/>
                <w:sz w:val="16"/>
                <w:szCs w:val="16"/>
              </w:rPr>
              <w:t>Odkazy</w:t>
            </w:r>
          </w:p>
        </w:tc>
        <w:tc>
          <w:tcPr>
            <w:tcW w:w="4111" w:type="dxa"/>
            <w:tcBorders>
              <w:top w:val="single" w:sz="12" w:space="0" w:color="auto"/>
              <w:bottom w:val="single" w:sz="12" w:space="0" w:color="auto"/>
              <w:right w:val="single" w:sz="12" w:space="0" w:color="auto"/>
            </w:tcBorders>
            <w:vAlign w:val="center"/>
          </w:tcPr>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Vysvetlenie</w:t>
            </w:r>
          </w:p>
          <w:p w:rsidR="004E2D6C" w:rsidRPr="004E2D6C" w:rsidRDefault="004E2D6C" w:rsidP="003F0750">
            <w:pPr>
              <w:spacing w:before="0" w:after="0"/>
              <w:jc w:val="center"/>
              <w:rPr>
                <w:rFonts w:ascii="Calibri" w:hAnsi="Calibri"/>
                <w:b/>
                <w:sz w:val="16"/>
                <w:szCs w:val="16"/>
              </w:rPr>
            </w:pPr>
            <w:r w:rsidRPr="004E2D6C">
              <w:rPr>
                <w:rFonts w:ascii="Calibri" w:hAnsi="Calibri"/>
                <w:b/>
                <w:sz w:val="16"/>
                <w:szCs w:val="16"/>
              </w:rPr>
              <w:t>(v prípade vhodnosti)</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265"/>
        </w:trPr>
        <w:tc>
          <w:tcPr>
            <w:tcW w:w="1843"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1. Nediskriminácia </w:t>
            </w: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Existencia administratívnej kapacity na vykonávanie a uplatňovanie práva Únie v oblasti nediskriminácie a politiky v oblasti EŠIF. </w:t>
            </w:r>
          </w:p>
        </w:tc>
        <w:tc>
          <w:tcPr>
            <w:tcW w:w="1701" w:type="dxa"/>
            <w:vMerge w:val="restart"/>
            <w:tcBorders>
              <w:top w:val="single" w:sz="12" w:space="0" w:color="auto"/>
            </w:tcBorders>
            <w:vAlign w:val="center"/>
          </w:tcPr>
          <w:p w:rsidR="004E2D6C" w:rsidRPr="004E2D6C" w:rsidRDefault="004E2D6C" w:rsidP="00A14E7D">
            <w:pPr>
              <w:spacing w:before="0"/>
              <w:jc w:val="center"/>
              <w:rPr>
                <w:rFonts w:ascii="Calibri" w:hAnsi="Calibri"/>
                <w:b/>
                <w:sz w:val="16"/>
                <w:szCs w:val="16"/>
                <w:lang w:eastAsia="sk-SK"/>
              </w:rPr>
            </w:pPr>
            <w:r w:rsidRPr="004E2D6C">
              <w:rPr>
                <w:rFonts w:ascii="Calibri" w:hAnsi="Calibri"/>
                <w:b/>
                <w:sz w:val="16"/>
                <w:szCs w:val="16"/>
                <w:lang w:eastAsia="sk-SK"/>
              </w:rPr>
              <w:t>Nie</w:t>
            </w:r>
          </w:p>
        </w:tc>
        <w:tc>
          <w:tcPr>
            <w:tcW w:w="2552"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v súlade s inštitucionálnym a právnym rámcom členských štátov na zapojenie orgánov zodpovedných za podporu rovnakého zaobchádzania so všetkými osobami počas prípravy a vykonávania programov, a to vrátane poskytovania poradenstva o rovnosti v rámci činností spojených s EŠIF.</w:t>
            </w:r>
          </w:p>
        </w:tc>
        <w:tc>
          <w:tcPr>
            <w:tcW w:w="850" w:type="dxa"/>
            <w:tcBorders>
              <w:top w:val="single" w:sz="12" w:space="0" w:color="auto"/>
            </w:tcBorders>
            <w:vAlign w:val="center"/>
          </w:tcPr>
          <w:p w:rsidR="004E2D6C" w:rsidRPr="004E2D6C" w:rsidRDefault="004E2D6C" w:rsidP="00A14E7D">
            <w:pPr>
              <w:spacing w:before="0"/>
              <w:jc w:val="center"/>
              <w:rPr>
                <w:rFonts w:ascii="Calibri" w:hAnsi="Calibri"/>
                <w:b/>
                <w:sz w:val="16"/>
                <w:szCs w:val="16"/>
                <w:lang w:eastAsia="sk-SK"/>
              </w:rPr>
            </w:pPr>
            <w:r w:rsidRPr="004E2D6C">
              <w:rPr>
                <w:rFonts w:ascii="Calibri" w:hAnsi="Calibri"/>
                <w:b/>
                <w:sz w:val="16"/>
                <w:szCs w:val="16"/>
                <w:lang w:eastAsia="sk-SK"/>
              </w:rPr>
              <w:t>Nie</w:t>
            </w:r>
          </w:p>
        </w:tc>
        <w:tc>
          <w:tcPr>
            <w:tcW w:w="3119" w:type="dxa"/>
            <w:tcBorders>
              <w:top w:val="single" w:sz="12" w:space="0" w:color="auto"/>
            </w:tcBorders>
          </w:tcPr>
          <w:p w:rsidR="004E2D6C" w:rsidRPr="005634F2" w:rsidRDefault="004E2D6C" w:rsidP="004E2D6C">
            <w:pPr>
              <w:spacing w:before="0"/>
              <w:jc w:val="left"/>
              <w:rPr>
                <w:rFonts w:ascii="Calibri" w:hAnsi="Calibri"/>
                <w:bCs/>
                <w:spacing w:val="-3"/>
                <w:sz w:val="16"/>
                <w:szCs w:val="16"/>
                <w:lang w:eastAsia="fr-FR"/>
              </w:rPr>
            </w:pPr>
            <w:r w:rsidRPr="005634F2">
              <w:rPr>
                <w:rFonts w:ascii="Calibri" w:hAnsi="Calibri"/>
                <w:bCs/>
                <w:spacing w:val="-3"/>
                <w:sz w:val="16"/>
                <w:szCs w:val="16"/>
                <w:lang w:eastAsia="fr-FR"/>
              </w:rPr>
              <w:t>Zákon č. 575/2001 Z. z. o organizácii činnosti vlády a organizácii ústrednej štátnej správy v znení neskorších predpisov</w:t>
            </w:r>
            <w:r w:rsidRPr="005634F2">
              <w:rPr>
                <w:rFonts w:ascii="Calibri" w:hAnsi="Calibri"/>
                <w:sz w:val="16"/>
                <w:szCs w:val="16"/>
                <w:lang w:eastAsia="sk-SK"/>
              </w:rPr>
              <w:t xml:space="preserve"> </w:t>
            </w:r>
          </w:p>
          <w:p w:rsidR="004E2D6C" w:rsidRPr="004E2D6C" w:rsidRDefault="00ED6BC8" w:rsidP="004E2D6C">
            <w:pPr>
              <w:spacing w:before="0"/>
              <w:jc w:val="left"/>
              <w:rPr>
                <w:rFonts w:ascii="Calibri" w:hAnsi="Calibri"/>
                <w:bCs/>
                <w:spacing w:val="-3"/>
                <w:sz w:val="16"/>
                <w:szCs w:val="16"/>
                <w:lang w:eastAsia="fr-FR"/>
              </w:rPr>
            </w:pPr>
            <w:hyperlink r:id="rId174" w:anchor="38;LngID=0&amp;" w:history="1">
              <w:r w:rsidR="004E2D6C" w:rsidRPr="004E2D6C">
                <w:rPr>
                  <w:rFonts w:ascii="Calibri" w:hAnsi="Calibri"/>
                  <w:bCs/>
                  <w:color w:val="0000FF"/>
                  <w:spacing w:val="-3"/>
                  <w:sz w:val="16"/>
                  <w:szCs w:val="16"/>
                  <w:u w:val="single"/>
                  <w:lang w:eastAsia="fr-FR"/>
                </w:rPr>
                <w:t>http://www.epi.sk/Main/Default.aspx?Template=~%2FMain%2FTArticles.ascx&amp;LngID=0&amp;zzsrlnkid=4654186&amp;phContent=~%2FZzSR%2FShowRule.ascx&amp;RuleId=14927&amp;pa=13597</w:t>
              </w:r>
            </w:hyperlink>
            <w:r w:rsidR="004E2D6C" w:rsidRPr="004E2D6C">
              <w:rPr>
                <w:rFonts w:ascii="Calibri" w:hAnsi="Calibri"/>
                <w:bCs/>
                <w:spacing w:val="-3"/>
                <w:sz w:val="16"/>
                <w:szCs w:val="16"/>
                <w:lang w:eastAsia="fr-FR"/>
              </w:rPr>
              <w:t xml:space="preserve"> </w:t>
            </w:r>
          </w:p>
          <w:p w:rsidR="004A6D8F" w:rsidRPr="005634F2" w:rsidRDefault="004E2D6C" w:rsidP="009B070C">
            <w:pPr>
              <w:spacing w:before="0"/>
              <w:rPr>
                <w:rFonts w:ascii="Calibri" w:hAnsi="Calibri"/>
                <w:bCs/>
                <w:spacing w:val="-3"/>
                <w:sz w:val="16"/>
                <w:szCs w:val="16"/>
                <w:lang w:eastAsia="fr-FR"/>
              </w:rPr>
            </w:pPr>
            <w:r w:rsidRPr="005634F2">
              <w:rPr>
                <w:rFonts w:ascii="Calibri" w:hAnsi="Calibri"/>
                <w:bCs/>
                <w:spacing w:val="-3"/>
                <w:sz w:val="16"/>
                <w:szCs w:val="16"/>
                <w:lang w:eastAsia="fr-FR"/>
              </w:rPr>
              <w:t>Antidiskriminačný zákon (Zákon 365/2004 Z. z. o rovnakom zaobchádzaní v niektorých oblastiach a o ochrane pred diskrimináciou a o zmene a doplnení niektorých zákonov v znení neskorších predpisov)</w:t>
            </w:r>
          </w:p>
          <w:p w:rsidR="004E2D6C" w:rsidRPr="004E2D6C" w:rsidRDefault="004E2D6C" w:rsidP="009B070C">
            <w:pPr>
              <w:spacing w:before="0"/>
              <w:rPr>
                <w:rFonts w:ascii="Calibri" w:hAnsi="Calibri"/>
                <w:bCs/>
                <w:spacing w:val="-3"/>
                <w:sz w:val="16"/>
                <w:szCs w:val="16"/>
                <w:lang w:eastAsia="fr-FR"/>
              </w:rPr>
            </w:pPr>
            <w:r w:rsidRPr="004E2D6C">
              <w:rPr>
                <w:rFonts w:ascii="Calibri" w:hAnsi="Calibri"/>
                <w:bCs/>
                <w:spacing w:val="-3"/>
                <w:sz w:val="16"/>
                <w:szCs w:val="16"/>
                <w:lang w:eastAsia="fr-FR"/>
              </w:rPr>
              <w:t xml:space="preserve"> </w:t>
            </w:r>
            <w:hyperlink r:id="rId175" w:history="1">
              <w:r w:rsidRPr="004E2D6C">
                <w:rPr>
                  <w:rFonts w:ascii="Calibri" w:hAnsi="Calibri"/>
                  <w:bCs/>
                  <w:color w:val="0000FF"/>
                  <w:spacing w:val="-3"/>
                  <w:sz w:val="16"/>
                  <w:szCs w:val="16"/>
                  <w:u w:val="single"/>
                  <w:lang w:eastAsia="fr-FR"/>
                </w:rPr>
                <w:t>http://www.gender.gov.sk/?page_id=72</w:t>
              </w:r>
            </w:hyperlink>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V zmysle zákona č. 575/2001 Z. z. o organizácii činnosti vlády a organizácii ústrednej štátnej správy v znení neskorších predpisov je za koordináciu štátnej politiky v oblasti rovnosti príležitostí zodpovedné MPSVR SR. Preto v zmysle PD SR </w:t>
            </w:r>
            <w:r w:rsidR="00A12545">
              <w:rPr>
                <w:rFonts w:ascii="Calibri" w:hAnsi="Calibri"/>
                <w:sz w:val="16"/>
                <w:szCs w:val="16"/>
                <w:lang w:eastAsia="sk-SK"/>
              </w:rPr>
              <w:t>na roky 2014</w:t>
            </w:r>
            <w:r w:rsidR="00837096">
              <w:rPr>
                <w:rFonts w:ascii="Calibri" w:hAnsi="Calibri"/>
                <w:sz w:val="16"/>
                <w:szCs w:val="16"/>
                <w:lang w:eastAsia="sk-SK"/>
              </w:rPr>
              <w:t xml:space="preserve"> </w:t>
            </w:r>
            <w:r w:rsidR="00A12545">
              <w:rPr>
                <w:rFonts w:ascii="Calibri" w:hAnsi="Calibri"/>
                <w:sz w:val="16"/>
                <w:szCs w:val="16"/>
                <w:lang w:eastAsia="sk-SK"/>
              </w:rPr>
              <w:t>-</w:t>
            </w:r>
            <w:r w:rsidR="00837096">
              <w:rPr>
                <w:rFonts w:ascii="Calibri" w:hAnsi="Calibri"/>
                <w:sz w:val="16"/>
                <w:szCs w:val="16"/>
                <w:lang w:eastAsia="sk-SK"/>
              </w:rPr>
              <w:t xml:space="preserve"> </w:t>
            </w:r>
            <w:r w:rsidR="00A12545">
              <w:rPr>
                <w:rFonts w:ascii="Calibri" w:hAnsi="Calibri"/>
                <w:sz w:val="16"/>
                <w:szCs w:val="16"/>
                <w:lang w:eastAsia="sk-SK"/>
              </w:rPr>
              <w:t xml:space="preserve">2020 </w:t>
            </w:r>
            <w:r w:rsidRPr="004E2D6C">
              <w:rPr>
                <w:rFonts w:ascii="Calibri" w:hAnsi="Calibri"/>
                <w:sz w:val="16"/>
                <w:szCs w:val="16"/>
                <w:lang w:eastAsia="sk-SK"/>
              </w:rPr>
              <w:t xml:space="preserve">má byť aj za koordináciu horizontálneho princípu nediskriminácia zodpovedné MPSVR SR. Odbor rodovej rovnosti a rovnosti príležitostí (ORRRP) je výkonným orgán pre implementáciu programov a za poskytovanie poradenstva je zodpovedné Slovenské národné stredisko pre ľudské práva (SNSĽP). V zmysle zákona 365/2004 Z. z. </w:t>
            </w:r>
            <w:r w:rsidR="00913324">
              <w:rPr>
                <w:rFonts w:ascii="Calibri" w:hAnsi="Calibri"/>
                <w:sz w:val="16"/>
                <w:szCs w:val="16"/>
                <w:lang w:eastAsia="sk-SK"/>
              </w:rPr>
              <w:br/>
            </w:r>
            <w:r w:rsidRPr="004E2D6C">
              <w:rPr>
                <w:rFonts w:ascii="Calibri" w:hAnsi="Calibri"/>
                <w:sz w:val="16"/>
                <w:szCs w:val="16"/>
                <w:lang w:eastAsia="sk-SK"/>
              </w:rPr>
              <w:t xml:space="preserve">o rovnakom zaobchádzaní v niektorých oblastiach a o ochrane pred diskrimináciou a o zmene a doplnení niektorých zákonov (antidiskriminačný zákon) plní túto funkciu SNSĽP. Úlohou </w:t>
            </w:r>
            <w:r w:rsidR="004A6D8F">
              <w:rPr>
                <w:rFonts w:ascii="Calibri" w:hAnsi="Calibri"/>
                <w:sz w:val="16"/>
                <w:szCs w:val="16"/>
                <w:lang w:eastAsia="sk-SK"/>
              </w:rPr>
              <w:t>s</w:t>
            </w:r>
            <w:r w:rsidRPr="004E2D6C">
              <w:rPr>
                <w:rFonts w:ascii="Calibri" w:hAnsi="Calibri"/>
                <w:sz w:val="16"/>
                <w:szCs w:val="16"/>
                <w:lang w:eastAsia="sk-SK"/>
              </w:rPr>
              <w:t xml:space="preserve">trediska je komplexné pôsobenie v oblasti ľudských práv </w:t>
            </w:r>
            <w:r w:rsidR="00913324">
              <w:rPr>
                <w:rFonts w:ascii="Calibri" w:hAnsi="Calibri"/>
                <w:sz w:val="16"/>
                <w:szCs w:val="16"/>
                <w:lang w:eastAsia="sk-SK"/>
              </w:rPr>
              <w:br/>
            </w:r>
            <w:r w:rsidRPr="004E2D6C">
              <w:rPr>
                <w:rFonts w:ascii="Calibri" w:hAnsi="Calibri"/>
                <w:sz w:val="16"/>
                <w:szCs w:val="16"/>
                <w:lang w:eastAsia="sk-SK"/>
              </w:rPr>
              <w:t>a základných slobôd. Svoju činnosť SNSĽP zameriava na oblasti: monitorovania a hodnot</w:t>
            </w:r>
            <w:r w:rsidR="00367821">
              <w:rPr>
                <w:rFonts w:ascii="Calibri" w:hAnsi="Calibri"/>
                <w:sz w:val="16"/>
                <w:szCs w:val="16"/>
                <w:lang w:eastAsia="sk-SK"/>
              </w:rPr>
              <w:t>en</w:t>
            </w:r>
            <w:r w:rsidRPr="004E2D6C">
              <w:rPr>
                <w:rFonts w:ascii="Calibri" w:hAnsi="Calibri"/>
                <w:sz w:val="16"/>
                <w:szCs w:val="16"/>
                <w:lang w:eastAsia="sk-SK"/>
              </w:rPr>
              <w:t xml:space="preserve">ia dodržiavania ľudských práv a dodržiavanie zásady rovnakého zaobchádzania podľa antidiskriminačného zákona, uskutočňovanie výskumov </w:t>
            </w:r>
            <w:r w:rsidR="00913324">
              <w:rPr>
                <w:rFonts w:ascii="Calibri" w:hAnsi="Calibri"/>
                <w:sz w:val="16"/>
                <w:szCs w:val="16"/>
                <w:lang w:eastAsia="sk-SK"/>
              </w:rPr>
              <w:br/>
            </w:r>
            <w:r w:rsidRPr="004E2D6C">
              <w:rPr>
                <w:rFonts w:ascii="Calibri" w:hAnsi="Calibri"/>
                <w:sz w:val="16"/>
                <w:szCs w:val="16"/>
                <w:lang w:eastAsia="sk-SK"/>
              </w:rPr>
              <w:t>a prieskumov na poskytovanie údajov</w:t>
            </w:r>
            <w:r w:rsidR="004A6D8F">
              <w:rPr>
                <w:rFonts w:ascii="Calibri" w:hAnsi="Calibri"/>
                <w:sz w:val="16"/>
                <w:szCs w:val="16"/>
                <w:lang w:eastAsia="sk-SK"/>
              </w:rPr>
              <w:t xml:space="preserve"> v</w:t>
            </w:r>
            <w:r w:rsidRPr="004E2D6C">
              <w:rPr>
                <w:rFonts w:ascii="Calibri" w:hAnsi="Calibri"/>
                <w:sz w:val="16"/>
                <w:szCs w:val="16"/>
                <w:lang w:eastAsia="sk-SK"/>
              </w:rPr>
              <w:t xml:space="preserve"> oblasti ľudských práv a základných slobôd, vrátane práv dieťaťa, </w:t>
            </w:r>
            <w:r w:rsidRPr="004E2D6C">
              <w:rPr>
                <w:rFonts w:ascii="Calibri" w:hAnsi="Calibri"/>
                <w:sz w:val="16"/>
                <w:szCs w:val="16"/>
                <w:lang w:eastAsia="sk-SK"/>
              </w:rPr>
              <w:lastRenderedPageBreak/>
              <w:t>zabezpečenia právnej pomoci obetiam diskriminácie a prejavov intolerancie. V súčasnosti sa pripravujú opatrenia na zvýšenie efektivity spomínaného strediska.</w:t>
            </w: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Existencia plánu konzultovania a zapojenia orgánov zodpovedných za boj proti diskriminácii a konkrétne kroky na uľahčenie aktívneho zapojenia národného orgánu pre rovnosť. </w:t>
            </w:r>
          </w:p>
          <w:p w:rsidR="00E17A32" w:rsidRDefault="00E17A32" w:rsidP="004E2D6C">
            <w:pPr>
              <w:spacing w:before="0"/>
              <w:rPr>
                <w:rFonts w:ascii="Calibri" w:hAnsi="Calibri"/>
                <w:i/>
                <w:sz w:val="16"/>
                <w:szCs w:val="16"/>
                <w:lang w:eastAsia="sk-SK"/>
              </w:rPr>
            </w:pPr>
            <w:r w:rsidRPr="003A48F0">
              <w:rPr>
                <w:rFonts w:ascii="Calibri" w:hAnsi="Calibri"/>
                <w:sz w:val="16"/>
                <w:szCs w:val="16"/>
                <w:lang w:eastAsia="sk-SK"/>
              </w:rPr>
              <w:t xml:space="preserve">Občiansku spoločnosť budú </w:t>
            </w:r>
            <w:r w:rsidRPr="003A48F0">
              <w:rPr>
                <w:rFonts w:ascii="Calibri" w:hAnsi="Calibri"/>
                <w:b/>
                <w:bCs/>
                <w:sz w:val="16"/>
                <w:szCs w:val="16"/>
                <w:lang w:eastAsia="sk-SK"/>
              </w:rPr>
              <w:t>reprezentovať</w:t>
            </w:r>
            <w:r w:rsidRPr="003A48F0">
              <w:rPr>
                <w:rFonts w:ascii="Calibri" w:hAnsi="Calibri"/>
                <w:sz w:val="16"/>
                <w:szCs w:val="16"/>
                <w:lang w:eastAsia="sk-SK"/>
              </w:rPr>
              <w:t xml:space="preserve"> </w:t>
            </w:r>
            <w:r w:rsidRPr="003A48F0">
              <w:rPr>
                <w:rFonts w:ascii="Calibri" w:hAnsi="Calibri"/>
                <w:b/>
                <w:bCs/>
                <w:sz w:val="16"/>
                <w:szCs w:val="16"/>
                <w:lang w:eastAsia="sk-SK"/>
              </w:rPr>
              <w:t xml:space="preserve">partneri zastupujúci </w:t>
            </w:r>
            <w:r w:rsidRPr="003A48F0">
              <w:rPr>
                <w:rFonts w:ascii="Calibri" w:hAnsi="Calibri"/>
                <w:sz w:val="16"/>
                <w:szCs w:val="16"/>
                <w:lang w:eastAsia="sk-SK"/>
              </w:rPr>
              <w:t>rodovú rovnosť, nediskrimináciu a osoby so zdravotným postihnutím prostredníctvom svojich reprezentatívnych organizácií</w:t>
            </w:r>
            <w:r w:rsidR="00D554AD">
              <w:rPr>
                <w:rFonts w:ascii="Calibri" w:hAnsi="Calibri"/>
                <w:sz w:val="16"/>
                <w:szCs w:val="16"/>
                <w:lang w:eastAsia="sk-SK"/>
              </w:rPr>
              <w:t>,</w:t>
            </w:r>
            <w:r w:rsidRPr="003A48F0">
              <w:rPr>
                <w:rFonts w:ascii="Calibri" w:hAnsi="Calibri"/>
                <w:sz w:val="16"/>
                <w:szCs w:val="16"/>
                <w:lang w:eastAsia="sk-SK"/>
              </w:rPr>
              <w:t xml:space="preserve"> ako napr. Národná rada občanov so zdravotným postihnutím v SR, Občianske združenie Myslím–centrum kultúry Nepočujúcich, o. z., Občianske združenie Otvorme dvere, otvorme srdcia, Občianske združenie Život s autizmom-LTK, Organizácia muskulárnych dystrofikov v SR, Slovenský Červený kríž, Združenie na pomoc ľuďom s mentálnym postihnutím v SR.</w:t>
            </w: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Ďalší zoznam a adresár spolupracujúcich mimovládnych organizácií v SR venujúcich sa právam žien a rodovej rovnosti je dostupný na webovom sídle odboru: </w:t>
            </w:r>
            <w:hyperlink r:id="rId176" w:history="1">
              <w:r w:rsidRPr="004E2D6C">
                <w:rPr>
                  <w:rFonts w:ascii="Calibri" w:hAnsi="Calibri"/>
                  <w:color w:val="0000FF"/>
                  <w:sz w:val="16"/>
                  <w:szCs w:val="16"/>
                  <w:u w:val="single"/>
                  <w:lang w:eastAsia="sk-SK"/>
                </w:rPr>
                <w:t>http://www.gender.gov.sk/?page_id=347</w:t>
              </w:r>
            </w:hyperlink>
            <w:r w:rsidRPr="004E2D6C">
              <w:rPr>
                <w:rFonts w:ascii="Calibri" w:hAnsi="Calibri"/>
                <w:sz w:val="16"/>
                <w:szCs w:val="16"/>
                <w:lang w:eastAsia="sk-SK"/>
              </w:rPr>
              <w:t xml:space="preserve"> </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915"/>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odbornej prípravy pre zamestnancov orgánov zapojených do riadenia a kontroly EŠIF v oblasti práva a politiky Únie v oblasti nediskriminácie.</w:t>
            </w:r>
          </w:p>
        </w:tc>
        <w:tc>
          <w:tcPr>
            <w:tcW w:w="850" w:type="dxa"/>
            <w:vAlign w:val="center"/>
          </w:tcPr>
          <w:p w:rsidR="004E2D6C" w:rsidRPr="004E2D6C" w:rsidRDefault="004E2D6C" w:rsidP="00A14E7D">
            <w:pPr>
              <w:spacing w:before="0"/>
              <w:jc w:val="center"/>
              <w:rPr>
                <w:rFonts w:ascii="Calibri" w:hAnsi="Calibri"/>
                <w:b/>
                <w:sz w:val="16"/>
                <w:szCs w:val="16"/>
                <w:lang w:eastAsia="sk-SK"/>
              </w:rPr>
            </w:pPr>
            <w:r w:rsidRPr="004E2D6C">
              <w:rPr>
                <w:rFonts w:ascii="Calibri" w:hAnsi="Calibri"/>
                <w:b/>
                <w:sz w:val="16"/>
                <w:szCs w:val="16"/>
                <w:lang w:eastAsia="sk-SK"/>
              </w:rPr>
              <w:t>Nie</w:t>
            </w:r>
          </w:p>
        </w:tc>
        <w:tc>
          <w:tcPr>
            <w:tcW w:w="3119" w:type="dxa"/>
          </w:tcPr>
          <w:p w:rsidR="004E2D6C" w:rsidRPr="004E2D6C" w:rsidRDefault="004E2D6C" w:rsidP="004E2D6C">
            <w:pPr>
              <w:spacing w:before="0"/>
              <w:rPr>
                <w:rFonts w:ascii="Calibri" w:hAnsi="Calibri"/>
                <w:sz w:val="16"/>
                <w:szCs w:val="16"/>
                <w:lang w:eastAsia="sk-SK"/>
              </w:rPr>
            </w:pPr>
          </w:p>
        </w:tc>
        <w:tc>
          <w:tcPr>
            <w:tcW w:w="4111" w:type="dxa"/>
            <w:tcBorders>
              <w:right w:val="single" w:sz="12" w:space="0" w:color="auto"/>
            </w:tcBorders>
          </w:tcPr>
          <w:p w:rsidR="004E2D6C" w:rsidRPr="004E2D6C" w:rsidRDefault="004E2D6C" w:rsidP="004E2D6C">
            <w:pPr>
              <w:spacing w:before="0"/>
              <w:rPr>
                <w:rFonts w:ascii="Calibri" w:hAnsi="Calibri"/>
                <w:sz w:val="16"/>
                <w:szCs w:val="16"/>
                <w:lang w:eastAsia="sk-SK"/>
              </w:rPr>
            </w:pP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398"/>
        </w:trPr>
        <w:tc>
          <w:tcPr>
            <w:tcW w:w="1843"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2. Rodov</w:t>
            </w:r>
            <w:r w:rsidR="00122C65">
              <w:rPr>
                <w:rFonts w:ascii="Calibri" w:hAnsi="Calibri"/>
                <w:sz w:val="16"/>
                <w:szCs w:val="16"/>
                <w:lang w:eastAsia="sk-SK"/>
              </w:rPr>
              <w:t>á rovnosť</w:t>
            </w: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Existencia administratívnej kapacity na vykonávanie a uplatňovanie práva a politiky Únie týkajúcich sa rodovej rovnosti v oblasti EŠIF.</w:t>
            </w:r>
          </w:p>
        </w:tc>
        <w:tc>
          <w:tcPr>
            <w:tcW w:w="1701" w:type="dxa"/>
            <w:vMerge w:val="restart"/>
            <w:tcBorders>
              <w:top w:val="single" w:sz="12" w:space="0" w:color="auto"/>
            </w:tcBorders>
            <w:vAlign w:val="center"/>
          </w:tcPr>
          <w:p w:rsidR="004E2D6C" w:rsidRPr="004E2D6C" w:rsidRDefault="004E2D6C" w:rsidP="00A14E7D">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2552"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v súlade s inštitucionálnym a právnym rámcom členských štátov na zapojenie orgánov zodpovedných za podporu rodovej rovnosti počas prípravy a vykonávania programov, a to vrátane poskytovania poradenstva o rodovej rovnosti v rámci činností spojených s EŠIF.</w:t>
            </w:r>
          </w:p>
        </w:tc>
        <w:tc>
          <w:tcPr>
            <w:tcW w:w="850" w:type="dxa"/>
            <w:tcBorders>
              <w:top w:val="single" w:sz="12" w:space="0" w:color="auto"/>
            </w:tcBorders>
            <w:vAlign w:val="center"/>
          </w:tcPr>
          <w:p w:rsidR="004E2D6C" w:rsidRPr="004E2D6C" w:rsidRDefault="004E2D6C" w:rsidP="00A14E7D">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Borders>
              <w:top w:val="single" w:sz="12" w:space="0" w:color="auto"/>
            </w:tcBorders>
          </w:tcPr>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p>
          <w:p w:rsidR="004E2D6C" w:rsidRPr="004E2D6C" w:rsidRDefault="004E2D6C" w:rsidP="004E2D6C">
            <w:pPr>
              <w:spacing w:before="0" w:after="0"/>
              <w:rPr>
                <w:rFonts w:ascii="Calibri" w:hAnsi="Calibri"/>
                <w:sz w:val="16"/>
                <w:szCs w:val="16"/>
                <w:lang w:eastAsia="sk-SK"/>
              </w:rPr>
            </w:pPr>
            <w:r w:rsidRPr="004E2D6C">
              <w:rPr>
                <w:rFonts w:ascii="Calibri" w:hAnsi="Calibri"/>
                <w:sz w:val="16"/>
                <w:szCs w:val="16"/>
                <w:lang w:eastAsia="sk-SK"/>
              </w:rPr>
              <w:t>Ďalší zoznam a adresár spolupracujúcich mimovládnych organizácií v SR venujúcich sa právam žien a rodovej rovnosti</w:t>
            </w:r>
          </w:p>
          <w:p w:rsidR="004E2D6C" w:rsidRPr="004E2D6C" w:rsidRDefault="00ED6BC8" w:rsidP="004E2D6C">
            <w:pPr>
              <w:spacing w:before="0"/>
              <w:rPr>
                <w:rFonts w:ascii="Calibri" w:hAnsi="Calibri"/>
                <w:sz w:val="16"/>
                <w:szCs w:val="16"/>
                <w:lang w:eastAsia="sk-SK"/>
              </w:rPr>
            </w:pPr>
            <w:hyperlink r:id="rId177" w:history="1">
              <w:r w:rsidR="004E2D6C" w:rsidRPr="004E2D6C">
                <w:rPr>
                  <w:rFonts w:ascii="Calibri" w:hAnsi="Calibri"/>
                  <w:color w:val="0000FF"/>
                  <w:sz w:val="16"/>
                  <w:szCs w:val="16"/>
                  <w:u w:val="single"/>
                  <w:lang w:eastAsia="sk-SK"/>
                </w:rPr>
                <w:t>http://www.gender.gov.sk/?page_id=347</w:t>
              </w:r>
            </w:hyperlink>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after="0"/>
              <w:rPr>
                <w:rFonts w:ascii="Calibri" w:hAnsi="Calibri"/>
                <w:sz w:val="16"/>
                <w:szCs w:val="16"/>
              </w:rPr>
            </w:pPr>
            <w:r w:rsidRPr="004E2D6C">
              <w:rPr>
                <w:rFonts w:ascii="Calibri" w:hAnsi="Calibri"/>
                <w:sz w:val="16"/>
                <w:szCs w:val="16"/>
              </w:rPr>
              <w:t>Národná stratégia rodovej rovnosti na roky 2009 – 2013</w:t>
            </w: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rPr>
              <w:t xml:space="preserve"> </w:t>
            </w:r>
            <w:hyperlink r:id="rId178" w:history="1">
              <w:r w:rsidRPr="004E2D6C">
                <w:rPr>
                  <w:rFonts w:ascii="Calibri" w:hAnsi="Calibri"/>
                  <w:color w:val="0000FF"/>
                  <w:sz w:val="16"/>
                  <w:szCs w:val="16"/>
                  <w:u w:val="single"/>
                </w:rPr>
                <w:t>http://www.gender.gov.sk/?page_id=294</w:t>
              </w:r>
            </w:hyperlink>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lastRenderedPageBreak/>
              <w:t xml:space="preserve">V zmysle zákona č. 575/2001 Z. z. o organizácii činnosti vlády a organizácii ústrednej štátnej správy v znení neskorších predpisov je za koordináciu štátnej politiky v oblasti rodovej rovnosti zodpovedné MPSVR SR. Preto v zmysle návrhu PD SR má byť aj za koordináciu horizontálneho princípu rodová rovnosť zodpovedné MPSVR SR, ktoré zabezpečuje tvorbu a realizáciu štátnej politiky rodovej rovnosti a rovnosti príležitostí a koordináciu celoštátneho systému rodovej rovnosti a rovnosti príležitostí; pri tejto činnosti vychádza </w:t>
            </w:r>
            <w:r w:rsidR="00913324">
              <w:rPr>
                <w:rFonts w:ascii="Calibri" w:hAnsi="Calibri"/>
                <w:sz w:val="16"/>
                <w:szCs w:val="16"/>
                <w:lang w:eastAsia="sk-SK"/>
              </w:rPr>
              <w:br/>
            </w:r>
            <w:r w:rsidRPr="004E2D6C">
              <w:rPr>
                <w:rFonts w:ascii="Calibri" w:hAnsi="Calibri"/>
                <w:sz w:val="16"/>
                <w:szCs w:val="16"/>
                <w:lang w:eastAsia="sk-SK"/>
              </w:rPr>
              <w:t xml:space="preserve">z medzinárodných dokumentov, ktorými je SR viazaná </w:t>
            </w:r>
            <w:r w:rsidR="00913324">
              <w:rPr>
                <w:rFonts w:ascii="Calibri" w:hAnsi="Calibri"/>
                <w:sz w:val="16"/>
                <w:szCs w:val="16"/>
                <w:lang w:eastAsia="sk-SK"/>
              </w:rPr>
              <w:br/>
            </w:r>
            <w:r w:rsidRPr="004E2D6C">
              <w:rPr>
                <w:rFonts w:ascii="Calibri" w:hAnsi="Calibri"/>
                <w:sz w:val="16"/>
                <w:szCs w:val="16"/>
                <w:lang w:eastAsia="sk-SK"/>
              </w:rPr>
              <w:t xml:space="preserve">a spolupracuje s Výborom pre rodovú rovnosť Rady vlády </w:t>
            </w:r>
            <w:r w:rsidRPr="004E2D6C">
              <w:rPr>
                <w:rFonts w:ascii="Calibri" w:hAnsi="Calibri"/>
                <w:sz w:val="16"/>
                <w:szCs w:val="16"/>
                <w:lang w:eastAsia="sk-SK"/>
              </w:rPr>
              <w:lastRenderedPageBreak/>
              <w:t>SR pre ľudské práva, národnostné menšiny a rodovú rovnosť SR</w:t>
            </w:r>
            <w:r w:rsidR="000F3862">
              <w:rPr>
                <w:rFonts w:ascii="Calibri" w:hAnsi="Calibri"/>
                <w:sz w:val="16"/>
                <w:szCs w:val="16"/>
                <w:lang w:eastAsia="sk-SK"/>
              </w:rPr>
              <w:t>.</w:t>
            </w:r>
          </w:p>
          <w:p w:rsidR="004E2D6C" w:rsidRPr="004E2D6C" w:rsidRDefault="00E17A32" w:rsidP="004E2D6C">
            <w:pPr>
              <w:spacing w:before="0"/>
              <w:rPr>
                <w:rFonts w:ascii="Calibri" w:hAnsi="Calibri"/>
                <w:sz w:val="16"/>
                <w:szCs w:val="16"/>
                <w:lang w:eastAsia="sk-SK"/>
              </w:rPr>
            </w:pPr>
            <w:r w:rsidRPr="00B67EC6">
              <w:rPr>
                <w:rFonts w:ascii="Calibri" w:hAnsi="Calibri"/>
                <w:sz w:val="16"/>
                <w:szCs w:val="16"/>
                <w:lang w:eastAsia="sk-SK"/>
              </w:rPr>
              <w:t>Občiansku spoločnosť budú reprezentovať partneri zastupujúci rodovú rovnosť, nediskrimináciu a osoby so zdravotným postihnutím prostredníctvom svojich reprezentatívnych organizácií</w:t>
            </w:r>
            <w:r w:rsidR="00D554AD">
              <w:rPr>
                <w:rFonts w:ascii="Calibri" w:hAnsi="Calibri"/>
                <w:sz w:val="16"/>
                <w:szCs w:val="16"/>
                <w:lang w:eastAsia="sk-SK"/>
              </w:rPr>
              <w:t>,</w:t>
            </w:r>
            <w:r w:rsidRPr="00B67EC6">
              <w:rPr>
                <w:rFonts w:ascii="Calibri" w:hAnsi="Calibri"/>
                <w:sz w:val="16"/>
                <w:szCs w:val="16"/>
                <w:lang w:eastAsia="sk-SK"/>
              </w:rPr>
              <w:t xml:space="preserve"> ako napr. Národná rada občanov so zdravotným postihnutím v SR, Občianske združenie Myslím–centrum kultúry Nepočujúcich, o. z., Občianske združenie Otvorme dvere, otvorme srdcia, Občianske združenie Život s autizmom-LTK, Organizácia muskulárnych dystrofikov v SR, Slovenský Červený kríž, Združenie na pomoc ľuďom s mentálnym postihnutím v</w:t>
            </w:r>
            <w:r w:rsidR="00D554AD">
              <w:rPr>
                <w:rFonts w:ascii="Calibri" w:hAnsi="Calibri"/>
                <w:sz w:val="16"/>
                <w:szCs w:val="16"/>
                <w:lang w:eastAsia="sk-SK"/>
              </w:rPr>
              <w:t> </w:t>
            </w:r>
            <w:r w:rsidRPr="00B67EC6">
              <w:rPr>
                <w:rFonts w:ascii="Calibri" w:hAnsi="Calibri"/>
                <w:sz w:val="16"/>
                <w:szCs w:val="16"/>
                <w:lang w:eastAsia="sk-SK"/>
              </w:rPr>
              <w:t>SR</w:t>
            </w:r>
            <w:r w:rsidR="00D554AD">
              <w:rPr>
                <w:rFonts w:ascii="Calibri" w:hAnsi="Calibri"/>
                <w:sz w:val="16"/>
                <w:szCs w:val="16"/>
                <w:lang w:eastAsia="sk-SK"/>
              </w:rPr>
              <w:t>.</w:t>
            </w: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Výbor pre rodovú rovnosť je stálym odborným orgánom Rady vlády SR pre ľudské práva, národnostné menšiny a rodovú rovnosť (ďalej len „rada“) pre otázky týkajúce sa rodovej rovnosti a pre oblasť implementácie Dohovoru o odstránení všetkých foriem diskriminácie žien, ďalších medzinárodných dohovorov ukladajúcich povinnosť eliminovať diskrimináciu z dôvodu pohlavia a rodu a legislatívy EÚ v tejto oblasti. Výbor plní funkciu konzultatívneho orgánu vo veciach rodovej rovnosti v zmysle Ústavy SR, kde členovia sú zástupcovia štátnej správy, odborných inštitúcií a tretieho sektora. </w:t>
            </w: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Národná stratégia rodovej rovnosti na roky 2009 – 2013 je dostupná na webovom sídle Odboru rodovej rovnosti </w:t>
            </w:r>
            <w:r w:rsidR="00913324">
              <w:rPr>
                <w:rFonts w:ascii="Calibri" w:hAnsi="Calibri"/>
                <w:sz w:val="16"/>
                <w:szCs w:val="16"/>
                <w:lang w:eastAsia="sk-SK"/>
              </w:rPr>
              <w:br/>
            </w:r>
            <w:r w:rsidRPr="004E2D6C">
              <w:rPr>
                <w:rFonts w:ascii="Calibri" w:hAnsi="Calibri"/>
                <w:sz w:val="16"/>
                <w:szCs w:val="16"/>
                <w:lang w:eastAsia="sk-SK"/>
              </w:rPr>
              <w:t>a rovnosti príležitostí. Nová Stratégia rodovej rovnosti na roky 2014 - 2020 sa pripravuje na základe vyhodnotenia súčasnej Národnej stratégie rodovej rovnosti na roky 2009 – 2013. Nová stratégia bude aktuálna v októbri 2014.</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397"/>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odbornej prípravy pre zamestnancov orgánov zapojených do riadenia a kontroly EŠIF v oblasti práva a politiky Únie týkajúcich sa rodovej rovnosti a jej uplatňovania.</w:t>
            </w:r>
          </w:p>
        </w:tc>
        <w:tc>
          <w:tcPr>
            <w:tcW w:w="850" w:type="dxa"/>
            <w:vAlign w:val="center"/>
          </w:tcPr>
          <w:p w:rsidR="004E2D6C" w:rsidRPr="004E2D6C" w:rsidRDefault="004E2D6C" w:rsidP="00A14E7D">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Pr>
          <w:p w:rsidR="004E2D6C" w:rsidRPr="004E2D6C" w:rsidRDefault="004E2D6C" w:rsidP="004E2D6C">
            <w:pPr>
              <w:spacing w:before="0"/>
              <w:rPr>
                <w:rFonts w:ascii="Calibri" w:hAnsi="Calibri"/>
                <w:sz w:val="16"/>
                <w:szCs w:val="16"/>
                <w:lang w:eastAsia="sk-SK"/>
              </w:rPr>
            </w:pPr>
          </w:p>
        </w:tc>
        <w:tc>
          <w:tcPr>
            <w:tcW w:w="4111" w:type="dxa"/>
            <w:tcBorders>
              <w:right w:val="single" w:sz="12" w:space="0" w:color="auto"/>
            </w:tcBorders>
          </w:tcPr>
          <w:p w:rsidR="004E2D6C" w:rsidRPr="004E2D6C" w:rsidRDefault="004E2D6C" w:rsidP="004E2D6C">
            <w:pPr>
              <w:spacing w:before="0"/>
              <w:rPr>
                <w:rFonts w:ascii="Calibri" w:hAnsi="Calibri"/>
                <w:sz w:val="16"/>
                <w:szCs w:val="16"/>
                <w:lang w:eastAsia="sk-SK"/>
              </w:rPr>
            </w:pP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308"/>
        </w:trPr>
        <w:tc>
          <w:tcPr>
            <w:tcW w:w="1843"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3. Zdravotné postihnutie</w:t>
            </w: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lastRenderedPageBreak/>
              <w:t xml:space="preserve">Existencia administratívnej kapacity na vykonávanie a uplatňovanie Dohovoru OSN o právach osôb so zdravotným postihnutím v oblasti EŠIF v súlade s rozhodnutím Rady 2010/48/ES. </w:t>
            </w:r>
          </w:p>
        </w:tc>
        <w:tc>
          <w:tcPr>
            <w:tcW w:w="1701" w:type="dxa"/>
            <w:vMerge w:val="restart"/>
            <w:tcBorders>
              <w:top w:val="single" w:sz="12" w:space="0" w:color="auto"/>
            </w:tcBorders>
            <w:vAlign w:val="center"/>
          </w:tcPr>
          <w:p w:rsidR="004E2D6C" w:rsidRPr="004E2D6C" w:rsidRDefault="004E2D6C" w:rsidP="00A14E7D">
            <w:pPr>
              <w:spacing w:before="0"/>
              <w:jc w:val="center"/>
              <w:rPr>
                <w:rFonts w:ascii="Calibri" w:hAnsi="Calibri"/>
                <w:sz w:val="16"/>
                <w:szCs w:val="16"/>
                <w:lang w:eastAsia="sk-SK"/>
              </w:rPr>
            </w:pPr>
            <w:r w:rsidRPr="004E2D6C">
              <w:rPr>
                <w:rFonts w:ascii="Calibri" w:hAnsi="Calibri"/>
                <w:b/>
                <w:sz w:val="16"/>
                <w:szCs w:val="16"/>
                <w:lang w:eastAsia="sk-SK"/>
              </w:rPr>
              <w:lastRenderedPageBreak/>
              <w:t>Nie</w:t>
            </w:r>
          </w:p>
        </w:tc>
        <w:tc>
          <w:tcPr>
            <w:tcW w:w="2552"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Opatrenia v súlade s inštitucionálnym a právnym rámcom členských štátov na vykonávanie konzultácií a zapojenie </w:t>
            </w:r>
            <w:r w:rsidRPr="004E2D6C">
              <w:rPr>
                <w:rFonts w:ascii="Calibri" w:hAnsi="Calibri"/>
                <w:sz w:val="16"/>
                <w:szCs w:val="16"/>
                <w:lang w:eastAsia="sk-SK"/>
              </w:rPr>
              <w:lastRenderedPageBreak/>
              <w:t>orgánov, ktoré sú zodpovedné za ochranu práv osôb so zdravotným postihnutím, alebo organizácií zastupujúcich osoby so zdravotným postihnutím, a ďalšie príslušné zainteresované osoby počas prípravy a vykonávania programov.</w:t>
            </w:r>
          </w:p>
        </w:tc>
        <w:tc>
          <w:tcPr>
            <w:tcW w:w="850" w:type="dxa"/>
            <w:tcBorders>
              <w:top w:val="single" w:sz="12" w:space="0" w:color="auto"/>
            </w:tcBorders>
            <w:vAlign w:val="center"/>
          </w:tcPr>
          <w:p w:rsidR="004E2D6C" w:rsidRPr="004E2D6C" w:rsidRDefault="004E2D6C" w:rsidP="00A14E7D">
            <w:pPr>
              <w:spacing w:before="0"/>
              <w:jc w:val="center"/>
              <w:rPr>
                <w:rFonts w:ascii="Calibri" w:hAnsi="Calibri"/>
                <w:sz w:val="16"/>
                <w:szCs w:val="16"/>
                <w:lang w:eastAsia="sk-SK"/>
              </w:rPr>
            </w:pPr>
            <w:r w:rsidRPr="004E2D6C">
              <w:rPr>
                <w:rFonts w:ascii="Calibri" w:hAnsi="Calibri"/>
                <w:b/>
                <w:sz w:val="16"/>
                <w:szCs w:val="16"/>
                <w:lang w:eastAsia="sk-SK"/>
              </w:rPr>
              <w:lastRenderedPageBreak/>
              <w:t>Nie</w:t>
            </w:r>
          </w:p>
        </w:tc>
        <w:tc>
          <w:tcPr>
            <w:tcW w:w="3119" w:type="dxa"/>
            <w:tcBorders>
              <w:top w:val="single" w:sz="12" w:space="0" w:color="auto"/>
            </w:tcBorders>
          </w:tcPr>
          <w:p w:rsidR="004E2D6C" w:rsidRPr="004E2D6C" w:rsidRDefault="004E2D6C" w:rsidP="004E2D6C">
            <w:pPr>
              <w:spacing w:before="0" w:after="0"/>
              <w:rPr>
                <w:rFonts w:ascii="Calibri" w:hAnsi="Calibri"/>
                <w:sz w:val="16"/>
                <w:szCs w:val="16"/>
                <w:lang w:eastAsia="sk-SK"/>
              </w:rPr>
            </w:pPr>
            <w:r w:rsidRPr="004E2D6C">
              <w:rPr>
                <w:rFonts w:ascii="Calibri" w:hAnsi="Calibri"/>
                <w:sz w:val="16"/>
                <w:szCs w:val="16"/>
                <w:lang w:eastAsia="sk-SK"/>
              </w:rPr>
              <w:t>Národný program rozvoja životných podmienok osôb</w:t>
            </w:r>
            <w:r w:rsidR="00A12545">
              <w:rPr>
                <w:rFonts w:ascii="Calibri" w:hAnsi="Calibri"/>
                <w:sz w:val="16"/>
                <w:szCs w:val="16"/>
                <w:lang w:eastAsia="sk-SK"/>
              </w:rPr>
              <w:t xml:space="preserve"> so zdravotným postihnutím na roky 2014 – 2020</w:t>
            </w:r>
            <w:r w:rsidR="00837096">
              <w:rPr>
                <w:rFonts w:ascii="Calibri" w:hAnsi="Calibri"/>
                <w:sz w:val="16"/>
                <w:szCs w:val="16"/>
                <w:lang w:eastAsia="sk-SK"/>
              </w:rPr>
              <w:t>.</w:t>
            </w:r>
            <w:r w:rsidR="00A12545">
              <w:rPr>
                <w:rFonts w:ascii="Calibri" w:hAnsi="Calibri"/>
                <w:sz w:val="16"/>
                <w:szCs w:val="16"/>
                <w:lang w:eastAsia="sk-SK"/>
              </w:rPr>
              <w:t xml:space="preserve"> </w:t>
            </w:r>
          </w:p>
          <w:p w:rsidR="009B070C" w:rsidRPr="004E2D6C" w:rsidRDefault="00ED6BC8" w:rsidP="00A14E7D">
            <w:pPr>
              <w:spacing w:before="0"/>
              <w:rPr>
                <w:rFonts w:ascii="Calibri" w:hAnsi="Calibri"/>
                <w:sz w:val="16"/>
                <w:szCs w:val="16"/>
                <w:lang w:eastAsia="sk-SK"/>
              </w:rPr>
            </w:pPr>
            <w:hyperlink r:id="rId179" w:history="1">
              <w:r w:rsidR="009B070C" w:rsidRPr="00EE279E">
                <w:rPr>
                  <w:rStyle w:val="Hypertextovprepojenie"/>
                  <w:rFonts w:ascii="Calibri" w:hAnsi="Calibri"/>
                  <w:sz w:val="16"/>
                  <w:szCs w:val="16"/>
                  <w:lang w:eastAsia="sk-SK"/>
                </w:rPr>
                <w:t>http://www.rokovania.sk/Rokovanie.aspx/B</w:t>
              </w:r>
              <w:r w:rsidR="009B070C" w:rsidRPr="00EE279E">
                <w:rPr>
                  <w:rStyle w:val="Hypertextovprepojenie"/>
                  <w:rFonts w:ascii="Calibri" w:hAnsi="Calibri"/>
                  <w:sz w:val="16"/>
                  <w:szCs w:val="16"/>
                  <w:lang w:eastAsia="sk-SK"/>
                </w:rPr>
                <w:lastRenderedPageBreak/>
                <w:t>odRokovaniaDetail?idMaterial=23180</w:t>
              </w:r>
            </w:hyperlink>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lastRenderedPageBreak/>
              <w:t>Národný program rozvoja životných podmienok osôb so zdravotným postihnutím na roky 2014 – 2020 (uznesenie vlády SR č. 25/2014 z 15.</w:t>
            </w:r>
            <w:r w:rsidR="00913324">
              <w:rPr>
                <w:rFonts w:ascii="Calibri" w:hAnsi="Calibri"/>
                <w:sz w:val="16"/>
                <w:szCs w:val="16"/>
                <w:lang w:eastAsia="sk-SK"/>
              </w:rPr>
              <w:t xml:space="preserve"> </w:t>
            </w:r>
            <w:r w:rsidRPr="004E2D6C">
              <w:rPr>
                <w:rFonts w:ascii="Calibri" w:hAnsi="Calibri"/>
                <w:sz w:val="16"/>
                <w:szCs w:val="16"/>
                <w:lang w:eastAsia="sk-SK"/>
              </w:rPr>
              <w:t>1.</w:t>
            </w:r>
            <w:r w:rsidR="00913324">
              <w:rPr>
                <w:rFonts w:ascii="Calibri" w:hAnsi="Calibri"/>
                <w:sz w:val="16"/>
                <w:szCs w:val="16"/>
                <w:lang w:eastAsia="sk-SK"/>
              </w:rPr>
              <w:t xml:space="preserve"> </w:t>
            </w:r>
            <w:r w:rsidRPr="004E2D6C">
              <w:rPr>
                <w:rFonts w:ascii="Calibri" w:hAnsi="Calibri"/>
                <w:sz w:val="16"/>
                <w:szCs w:val="16"/>
                <w:lang w:eastAsia="sk-SK"/>
              </w:rPr>
              <w:t xml:space="preserve">2014) je zameraný na dosahovanie pokroku v oblasti ochrany práv osôb so </w:t>
            </w:r>
            <w:r w:rsidRPr="004E2D6C">
              <w:rPr>
                <w:rFonts w:ascii="Calibri" w:hAnsi="Calibri"/>
                <w:sz w:val="16"/>
                <w:szCs w:val="16"/>
                <w:lang w:eastAsia="sk-SK"/>
              </w:rPr>
              <w:lastRenderedPageBreak/>
              <w:t>zdravotným postihnutím uznaných Dohovorom OSN o právach osôb so zdravotným postihnutím (ďalej iba „Dohovor“) a pokroku pri ich používaní. Prostredníctvom Národného programu SR implementuje Dohovor, vrátane inštitucionálneho zabezpečenia procesu jeho implementácie a monitorovania. Materiál je zameraný na cieľovú skupinu – osoby so zdravotným postihnutí</w:t>
            </w:r>
            <w:r w:rsidR="00D554AD">
              <w:rPr>
                <w:rFonts w:ascii="Calibri" w:hAnsi="Calibri"/>
                <w:sz w:val="16"/>
                <w:szCs w:val="16"/>
                <w:lang w:eastAsia="sk-SK"/>
              </w:rPr>
              <w:t>m</w:t>
            </w:r>
            <w:r w:rsidRPr="004E2D6C">
              <w:rPr>
                <w:rFonts w:ascii="Calibri" w:hAnsi="Calibri"/>
                <w:sz w:val="16"/>
                <w:szCs w:val="16"/>
                <w:lang w:eastAsia="sk-SK"/>
              </w:rPr>
              <w:t>, ktoré sa podieľali na tvorbe materiálu prostredníctvom svojich reprezentatívnych organizácií tak, ako si to vyžaduje čl. 4 ods. 3 Dohovoru. Základným cieľom Národného programu je prostredníctvom definovaných úloh a opatrení zabezpečiť dosahovanie pokroku v oblasti ochrany práv osôb so zdravotným postihnutím uznaných Dohovorom a pokroku pri ich používaní. Uznesenie vlády SR č. 25/2014 je záväzné pre všetky rezorty a následne aj pre nové OP. Tento materiál bude následne zakomponovávaný do pripravovaných OP a jeho ciele týkajúce sa pomoci ľuďom so zdravotným postihnutím aplikované v OP formou aktivít, indikátorov a spôsobom hodnotenia. Predmetný materiál je záväzným a výkonným nástrojom SR na implementáciu Dohovoru.</w:t>
            </w: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V súčasnosti prebieha v SR novelizácia Stavebného zákona </w:t>
            </w:r>
            <w:r w:rsidR="00913324">
              <w:rPr>
                <w:rFonts w:ascii="Calibri" w:hAnsi="Calibri"/>
                <w:sz w:val="16"/>
                <w:szCs w:val="16"/>
                <w:lang w:eastAsia="sk-SK"/>
              </w:rPr>
              <w:br/>
            </w:r>
            <w:r w:rsidRPr="004E2D6C">
              <w:rPr>
                <w:rFonts w:ascii="Calibri" w:hAnsi="Calibri"/>
                <w:sz w:val="16"/>
                <w:szCs w:val="16"/>
                <w:lang w:eastAsia="sk-SK"/>
              </w:rPr>
              <w:t>a jeho vykonávacích vyhlášok, ktoré upravujú podmienky prístupnosti. V rámci tohto zákona sa nanovo upravuje aj dodržiavanie a sankcionovanie predmetného zákona a jeho vyhlášok. Zákon je v stave pripomienkovania a zapracovania pripomienok od leta 2013.</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308"/>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odbornej prípravy pre zamestnancov orgánov zapojených do riadenia a kontroly EŠIF v oblasti platného práva a politiky Únie a členských štátov týkajúcich sa zdravotného postihnutia vrátane dostupnosti a praktického uplatňovania Dohovoru OSN o právach osôb so zdravotným postihnutím transponovaného v právnych predpisoch Únie, a členských štátov.</w:t>
            </w:r>
          </w:p>
        </w:tc>
        <w:tc>
          <w:tcPr>
            <w:tcW w:w="850" w:type="dxa"/>
            <w:vAlign w:val="center"/>
          </w:tcPr>
          <w:p w:rsidR="004E2D6C" w:rsidRPr="004E2D6C" w:rsidRDefault="004E2D6C" w:rsidP="00B763E3">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Pr>
          <w:p w:rsidR="004E2D6C" w:rsidRPr="004E2D6C" w:rsidRDefault="004E2D6C" w:rsidP="004E2D6C">
            <w:pPr>
              <w:spacing w:before="0"/>
              <w:rPr>
                <w:rFonts w:ascii="Calibri" w:hAnsi="Calibri"/>
                <w:sz w:val="16"/>
                <w:szCs w:val="16"/>
                <w:lang w:eastAsia="sk-SK"/>
              </w:rPr>
            </w:pPr>
          </w:p>
        </w:tc>
        <w:tc>
          <w:tcPr>
            <w:tcW w:w="4111" w:type="dxa"/>
            <w:tcBorders>
              <w:right w:val="single" w:sz="12" w:space="0" w:color="auto"/>
            </w:tcBorders>
          </w:tcPr>
          <w:p w:rsidR="004E2D6C" w:rsidRPr="004E2D6C" w:rsidRDefault="004E2D6C" w:rsidP="004E2D6C">
            <w:pPr>
              <w:spacing w:before="0"/>
              <w:rPr>
                <w:rFonts w:ascii="Calibri" w:hAnsi="Calibri"/>
                <w:sz w:val="16"/>
                <w:szCs w:val="16"/>
                <w:lang w:eastAsia="sk-SK"/>
              </w:rPr>
            </w:pP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308"/>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sledovania vykonávania článku 9 Dohovoru OSN o právach osôb so zdravotným postihnutím vo vzťahu k EŠIF počas prípravy a vykonávania programov.</w:t>
            </w:r>
          </w:p>
        </w:tc>
        <w:tc>
          <w:tcPr>
            <w:tcW w:w="850" w:type="dxa"/>
            <w:vAlign w:val="center"/>
          </w:tcPr>
          <w:p w:rsidR="004E2D6C" w:rsidRPr="004E2D6C" w:rsidRDefault="004E2D6C" w:rsidP="00A14E7D">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Pr>
          <w:p w:rsidR="004E2D6C" w:rsidRPr="004E2D6C" w:rsidRDefault="004E2D6C" w:rsidP="004E2D6C">
            <w:pPr>
              <w:spacing w:before="0"/>
              <w:rPr>
                <w:rFonts w:ascii="Calibri" w:hAnsi="Calibri"/>
                <w:sz w:val="16"/>
                <w:szCs w:val="16"/>
                <w:lang w:eastAsia="sk-SK"/>
              </w:rPr>
            </w:pPr>
          </w:p>
        </w:tc>
        <w:tc>
          <w:tcPr>
            <w:tcW w:w="4111" w:type="dxa"/>
            <w:tcBorders>
              <w:righ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Prostredníctvom </w:t>
            </w:r>
            <w:r w:rsidRPr="004E2D6C">
              <w:rPr>
                <w:rFonts w:ascii="Calibri" w:hAnsi="Calibri"/>
                <w:i/>
                <w:sz w:val="16"/>
                <w:szCs w:val="16"/>
                <w:lang w:eastAsia="sk-SK"/>
              </w:rPr>
              <w:t>Národného programu</w:t>
            </w:r>
            <w:r w:rsidRPr="004E2D6C">
              <w:rPr>
                <w:rFonts w:ascii="Calibri" w:hAnsi="Calibri"/>
                <w:sz w:val="16"/>
                <w:szCs w:val="16"/>
                <w:lang w:eastAsia="sk-SK"/>
              </w:rPr>
              <w:t xml:space="preserve"> je zabezpečené plnenie čl. 9 Dohovoru OSN o právach osôb so zdravotným postihnutím, kde sa téme bezbariérovosť venuje samostatná kapitola a k nej prináležiace opatrenia. Opatrenia vzťahujúce sa k tomuto článku sú zamerané predovšetkým na bezbariérovosť stavieb, dopravy a prístup k tovarom, službám a informáciám.</w:t>
            </w:r>
          </w:p>
          <w:p w:rsidR="004E2D6C" w:rsidRPr="004E2D6C" w:rsidRDefault="004E2D6C" w:rsidP="00002AFE">
            <w:pPr>
              <w:spacing w:before="0"/>
              <w:rPr>
                <w:rFonts w:ascii="Calibri" w:hAnsi="Calibri"/>
                <w:sz w:val="16"/>
                <w:szCs w:val="16"/>
                <w:lang w:eastAsia="sk-SK"/>
              </w:rPr>
            </w:pPr>
            <w:r w:rsidRPr="004E2D6C">
              <w:rPr>
                <w:rFonts w:ascii="Calibri" w:hAnsi="Calibri"/>
                <w:sz w:val="16"/>
                <w:szCs w:val="16"/>
                <w:lang w:eastAsia="sk-SK"/>
              </w:rPr>
              <w:t xml:space="preserve">Proces monitorovania plnenia horizontálnych princípov bude na projektovej úrovni sledovaný prostredníctvom monitorovacích správ, ktorých súčasťou bude samostatný výstup obsahujúci informácie o horizontálnych princípoch (t. j. popisom vykonaných aktivít, ich výsledkov a vyhodnotením ich príspevku k dosahovaniu stanovených cieľov horizontálnych princípov), ako aj kontrolou na mieste realizácie projektov a následne hodnotením príspevku k cieľom horizontálnych princípov. Samostatný výstup obsahujúci informácie o uplatňovaní horizontálneho princípu bude podkladom pre proces hodnotenia príspevku EŠIF </w:t>
            </w:r>
            <w:r w:rsidR="00913324">
              <w:rPr>
                <w:rFonts w:ascii="Calibri" w:hAnsi="Calibri"/>
                <w:sz w:val="16"/>
                <w:szCs w:val="16"/>
                <w:lang w:eastAsia="sk-SK"/>
              </w:rPr>
              <w:br/>
            </w:r>
            <w:r w:rsidRPr="004E2D6C">
              <w:rPr>
                <w:rFonts w:ascii="Calibri" w:hAnsi="Calibri"/>
                <w:sz w:val="16"/>
                <w:szCs w:val="16"/>
                <w:lang w:eastAsia="sk-SK"/>
              </w:rPr>
              <w:t xml:space="preserve">k plneniu cieľov identifikovaných v národnom strategickom dokumente. Odpočet plnenia dosiahnutej úrovne stanovených cieľov v národnom strategickom dokumente, vrátane návrhu nápravných opatrení a odporúčaní k ich dosiahnutiu, bude každoročne predkladaný do vlády SR. Kontrolný mechanizmus bude zabezpečovať </w:t>
            </w:r>
            <w:r w:rsidR="00002AFE">
              <w:rPr>
                <w:rFonts w:ascii="Calibri" w:hAnsi="Calibri"/>
                <w:sz w:val="16"/>
                <w:szCs w:val="16"/>
                <w:lang w:eastAsia="sk-SK"/>
              </w:rPr>
              <w:t>gestor</w:t>
            </w:r>
            <w:r w:rsidR="00002AFE" w:rsidRPr="004E2D6C">
              <w:rPr>
                <w:rFonts w:ascii="Calibri" w:hAnsi="Calibri"/>
                <w:sz w:val="16"/>
                <w:szCs w:val="16"/>
                <w:lang w:eastAsia="sk-SK"/>
              </w:rPr>
              <w:t xml:space="preserve"> </w:t>
            </w:r>
            <w:r w:rsidRPr="004E2D6C">
              <w:rPr>
                <w:rFonts w:ascii="Calibri" w:hAnsi="Calibri"/>
                <w:sz w:val="16"/>
                <w:szCs w:val="16"/>
                <w:lang w:eastAsia="sk-SK"/>
              </w:rPr>
              <w:t>horizontálnych princípov v spolupráci s RO.</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164"/>
        </w:trPr>
        <w:tc>
          <w:tcPr>
            <w:tcW w:w="1843"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4. Verejné obstarávanie</w:t>
            </w: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Existencia pravidiel na efektívnu aplikáciu legislatívy Únie v oblasti verejného obstarávania.</w:t>
            </w:r>
          </w:p>
        </w:tc>
        <w:tc>
          <w:tcPr>
            <w:tcW w:w="1701" w:type="dxa"/>
            <w:vMerge w:val="restart"/>
            <w:tcBorders>
              <w:top w:val="single" w:sz="12" w:space="0" w:color="auto"/>
            </w:tcBorders>
            <w:vAlign w:val="center"/>
          </w:tcPr>
          <w:p w:rsidR="004E2D6C" w:rsidRPr="004E2D6C" w:rsidRDefault="00B01228" w:rsidP="00A14E7D">
            <w:pPr>
              <w:spacing w:before="0"/>
              <w:jc w:val="center"/>
              <w:rPr>
                <w:rFonts w:ascii="Calibri" w:hAnsi="Calibri"/>
                <w:sz w:val="16"/>
                <w:szCs w:val="16"/>
                <w:lang w:eastAsia="sk-SK"/>
              </w:rPr>
            </w:pPr>
            <w:r>
              <w:rPr>
                <w:rFonts w:ascii="Calibri" w:hAnsi="Calibri"/>
                <w:b/>
                <w:sz w:val="16"/>
                <w:szCs w:val="16"/>
                <w:lang w:eastAsia="sk-SK"/>
              </w:rPr>
              <w:t>Nie</w:t>
            </w:r>
          </w:p>
        </w:tc>
        <w:tc>
          <w:tcPr>
            <w:tcW w:w="2552" w:type="dxa"/>
            <w:tcBorders>
              <w:top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účinné uplatňovanie pravidiel Únie o verejnom obstarávaní prostredníctvom primeraných mechanizmov.</w:t>
            </w:r>
          </w:p>
        </w:tc>
        <w:tc>
          <w:tcPr>
            <w:tcW w:w="850" w:type="dxa"/>
            <w:tcBorders>
              <w:top w:val="single" w:sz="12" w:space="0" w:color="auto"/>
            </w:tcBorders>
            <w:vAlign w:val="center"/>
          </w:tcPr>
          <w:p w:rsidR="004E2D6C" w:rsidRPr="004E2D6C" w:rsidRDefault="00B01228" w:rsidP="00A14E7D">
            <w:pPr>
              <w:spacing w:before="0"/>
              <w:jc w:val="center"/>
              <w:rPr>
                <w:rFonts w:ascii="Calibri" w:hAnsi="Calibri"/>
                <w:b/>
                <w:sz w:val="16"/>
                <w:szCs w:val="16"/>
                <w:lang w:eastAsia="sk-SK"/>
              </w:rPr>
            </w:pPr>
            <w:r>
              <w:rPr>
                <w:rFonts w:ascii="Calibri" w:hAnsi="Calibri"/>
                <w:b/>
                <w:sz w:val="16"/>
                <w:szCs w:val="16"/>
                <w:lang w:eastAsia="sk-SK"/>
              </w:rPr>
              <w:t>Nie</w:t>
            </w:r>
          </w:p>
        </w:tc>
        <w:tc>
          <w:tcPr>
            <w:tcW w:w="3119" w:type="dxa"/>
            <w:tcBorders>
              <w:top w:val="single" w:sz="12" w:space="0" w:color="auto"/>
            </w:tcBorders>
          </w:tcPr>
          <w:p w:rsidR="004E2D6C" w:rsidRPr="005634F2" w:rsidRDefault="004E2D6C" w:rsidP="004E2D6C">
            <w:pPr>
              <w:spacing w:before="0"/>
              <w:rPr>
                <w:rFonts w:ascii="Calibri" w:hAnsi="Calibri"/>
                <w:sz w:val="16"/>
                <w:szCs w:val="16"/>
                <w:lang w:eastAsia="sk-SK"/>
              </w:rPr>
            </w:pPr>
            <w:r w:rsidRPr="005634F2">
              <w:rPr>
                <w:rFonts w:ascii="Calibri" w:hAnsi="Calibri"/>
                <w:sz w:val="16"/>
                <w:szCs w:val="16"/>
                <w:lang w:eastAsia="sk-SK"/>
              </w:rPr>
              <w:t>Zákon č. 25/2006 Z. z. o verejnom obstarávaní a o zmene a doplnení niektorých zákonov v znení neskorších predpisov</w:t>
            </w:r>
          </w:p>
          <w:p w:rsidR="004E2D6C" w:rsidRPr="004E2D6C" w:rsidRDefault="00ED6BC8" w:rsidP="004E2D6C">
            <w:pPr>
              <w:spacing w:before="0"/>
              <w:rPr>
                <w:rFonts w:ascii="Calibri" w:hAnsi="Calibri"/>
                <w:sz w:val="16"/>
                <w:szCs w:val="16"/>
                <w:lang w:eastAsia="sk-SK"/>
              </w:rPr>
            </w:pPr>
            <w:hyperlink r:id="rId180" w:history="1">
              <w:r w:rsidR="004E2D6C" w:rsidRPr="004E2D6C">
                <w:rPr>
                  <w:rFonts w:ascii="Calibri" w:hAnsi="Calibri"/>
                  <w:color w:val="0000FF"/>
                  <w:sz w:val="16"/>
                  <w:szCs w:val="16"/>
                  <w:u w:val="single"/>
                  <w:lang w:eastAsia="sk-SK"/>
                </w:rPr>
                <w:t>http://www.uvo.gov.sk/legislativa/-/document_library_display/74gW/view/706651?_110_INSTANCE_74gW_redirect=http%3A%2F%2Fwww.uvo.gov.sk%2Flegislativa%3Fp_p_id%3D110_INSTANCE_74gW%26p_p_lifecycle%3D0%26p_p_state%3Dnormal%26p_p_mode%3Dview%26p_p_col_id%3Dcolumn-2%26p_p_col_count%3D1</w:t>
              </w:r>
            </w:hyperlink>
            <w:r w:rsidR="004E2D6C" w:rsidRPr="004E2D6C">
              <w:rPr>
                <w:rFonts w:ascii="Calibri" w:hAnsi="Calibri"/>
                <w:sz w:val="16"/>
                <w:szCs w:val="16"/>
                <w:lang w:eastAsia="sk-SK"/>
              </w:rPr>
              <w:t xml:space="preserve"> </w:t>
            </w: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rPr>
            </w:pPr>
            <w:r w:rsidRPr="003F0750">
              <w:rPr>
                <w:rFonts w:ascii="Calibri" w:hAnsi="Calibri"/>
                <w:sz w:val="16"/>
                <w:szCs w:val="16"/>
                <w:lang w:val="fr-FR"/>
              </w:rPr>
              <w:lastRenderedPageBreak/>
              <w:t xml:space="preserve">Zákon č. 95/2013 Z. z. </w:t>
            </w:r>
            <w:r w:rsidRPr="004E2D6C">
              <w:rPr>
                <w:rFonts w:ascii="Calibri" w:hAnsi="Calibri"/>
                <w:sz w:val="16"/>
                <w:szCs w:val="16"/>
              </w:rPr>
              <w:t xml:space="preserve">(novelizácia zákona č. 25/2006 Z. z.) </w:t>
            </w:r>
          </w:p>
          <w:p w:rsidR="004E2D6C" w:rsidRPr="004E2D6C" w:rsidRDefault="00ED6BC8" w:rsidP="004E2D6C">
            <w:pPr>
              <w:spacing w:before="0"/>
              <w:rPr>
                <w:rFonts w:ascii="Calibri" w:hAnsi="Calibri"/>
                <w:sz w:val="16"/>
                <w:szCs w:val="16"/>
                <w:lang w:eastAsia="sk-SK"/>
              </w:rPr>
            </w:pPr>
            <w:hyperlink r:id="rId181" w:history="1">
              <w:r w:rsidR="004E2D6C" w:rsidRPr="003F0750">
                <w:rPr>
                  <w:rFonts w:ascii="Calibri" w:hAnsi="Calibri"/>
                  <w:color w:val="0000FF"/>
                  <w:sz w:val="16"/>
                  <w:szCs w:val="16"/>
                  <w:u w:val="single"/>
                </w:rPr>
                <w:t>http://www.upsvar.sk/buxus/docs//urady/VK/vo/13-z095.pdf</w:t>
              </w:r>
            </w:hyperlink>
            <w:r w:rsidR="004E2D6C" w:rsidRPr="003F0750">
              <w:rPr>
                <w:rFonts w:ascii="Calibri" w:hAnsi="Calibri"/>
                <w:sz w:val="16"/>
                <w:szCs w:val="16"/>
              </w:rPr>
              <w:t xml:space="preserve"> </w:t>
            </w:r>
          </w:p>
        </w:tc>
        <w:tc>
          <w:tcPr>
            <w:tcW w:w="4111" w:type="dxa"/>
            <w:tcBorders>
              <w:top w:val="single" w:sz="12" w:space="0" w:color="auto"/>
              <w:right w:val="single" w:sz="12" w:space="0" w:color="auto"/>
            </w:tcBorders>
          </w:tcPr>
          <w:p w:rsidR="00B01228" w:rsidRPr="00620D27" w:rsidRDefault="00B01228" w:rsidP="00B01228">
            <w:pPr>
              <w:pStyle w:val="Style30"/>
              <w:widowControl/>
              <w:jc w:val="both"/>
              <w:rPr>
                <w:rFonts w:asciiTheme="majorHAnsi" w:hAnsiTheme="majorHAnsi" w:cs="Arial"/>
                <w:b/>
                <w:sz w:val="16"/>
                <w:szCs w:val="16"/>
              </w:rPr>
            </w:pPr>
            <w:r w:rsidRPr="00620D27">
              <w:rPr>
                <w:rFonts w:asciiTheme="majorHAnsi" w:hAnsiTheme="majorHAnsi" w:cs="Arial"/>
                <w:b/>
                <w:sz w:val="16"/>
                <w:szCs w:val="16"/>
              </w:rPr>
              <w:lastRenderedPageBreak/>
              <w:t>V oblasti legislatívy</w:t>
            </w:r>
            <w:r w:rsidRPr="00620D27">
              <w:rPr>
                <w:rFonts w:asciiTheme="majorHAnsi" w:hAnsiTheme="majorHAnsi" w:cs="Arial"/>
                <w:sz w:val="16"/>
                <w:szCs w:val="16"/>
              </w:rPr>
              <w:t xml:space="preserve"> sú v súčasnom platnom a účinnom zákone č. 25/2006 Z.</w:t>
            </w:r>
            <w:r w:rsidR="00A729C2">
              <w:rPr>
                <w:rFonts w:asciiTheme="majorHAnsi" w:hAnsiTheme="majorHAnsi" w:cs="Arial"/>
                <w:sz w:val="16"/>
                <w:szCs w:val="16"/>
              </w:rPr>
              <w:t xml:space="preserve"> </w:t>
            </w:r>
            <w:r w:rsidRPr="00620D27">
              <w:rPr>
                <w:rFonts w:asciiTheme="majorHAnsi" w:hAnsiTheme="majorHAnsi" w:cs="Arial"/>
                <w:sz w:val="16"/>
                <w:szCs w:val="16"/>
              </w:rPr>
              <w:t xml:space="preserve">z. o verejnom obstarávaní a o zmene </w:t>
            </w:r>
            <w:r w:rsidR="00913324">
              <w:rPr>
                <w:rFonts w:asciiTheme="majorHAnsi" w:hAnsiTheme="majorHAnsi" w:cs="Arial"/>
                <w:sz w:val="16"/>
                <w:szCs w:val="16"/>
              </w:rPr>
              <w:br/>
            </w:r>
            <w:r w:rsidRPr="00620D27">
              <w:rPr>
                <w:rFonts w:asciiTheme="majorHAnsi" w:hAnsiTheme="majorHAnsi" w:cs="Arial"/>
                <w:sz w:val="16"/>
                <w:szCs w:val="16"/>
              </w:rPr>
              <w:t xml:space="preserve">a doplnení niektorých zákonov v znení neskorších predpisov (ďalej len ,,zákon o VO“) </w:t>
            </w:r>
            <w:r w:rsidRPr="00620D27">
              <w:rPr>
                <w:rFonts w:asciiTheme="majorHAnsi" w:hAnsiTheme="majorHAnsi" w:cs="Arial"/>
                <w:b/>
                <w:sz w:val="16"/>
                <w:szCs w:val="16"/>
              </w:rPr>
              <w:t>transponované všetky platné smernice EÚ</w:t>
            </w:r>
            <w:r w:rsidRPr="00620D27">
              <w:rPr>
                <w:rFonts w:asciiTheme="majorHAnsi" w:hAnsiTheme="majorHAnsi" w:cs="Arial"/>
                <w:sz w:val="16"/>
                <w:szCs w:val="16"/>
              </w:rPr>
              <w:t xml:space="preserve"> v oblasti verejného obstarávania. V </w:t>
            </w:r>
            <w:r w:rsidRPr="00620D27">
              <w:rPr>
                <w:rFonts w:asciiTheme="majorHAnsi" w:hAnsiTheme="majorHAnsi" w:cs="Arial"/>
                <w:b/>
                <w:sz w:val="16"/>
                <w:szCs w:val="16"/>
              </w:rPr>
              <w:t>lehote určenej novou smernicou bude prijatý nový zákon o verejnom obstarávaní, ktorý transponuje novoprijaté smernice EÚ do právneho systému v Slovenskej republike.</w:t>
            </w: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V nadväznosti na novelizácie zákona o VO v roku 2013 boli resp. budú zavedené viaceré postupy a inštitúty, ktoré slúžia k posilneniu súťažného princípu a transparentnosti procesov verejného obstarávania. Nižšie uvádzame niektoré z prijatých opatrení a z aktuálnych inštitútov zavedených poslednými novelami zákona:</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lastRenderedPageBreak/>
              <w:t>-</w:t>
            </w:r>
            <w:r w:rsidRPr="00620D27">
              <w:rPr>
                <w:rFonts w:asciiTheme="majorHAnsi" w:hAnsiTheme="majorHAnsi"/>
                <w:sz w:val="16"/>
                <w:szCs w:val="16"/>
              </w:rPr>
              <w:t xml:space="preserve"> </w:t>
            </w:r>
            <w:r w:rsidRPr="00620D27">
              <w:rPr>
                <w:rFonts w:asciiTheme="majorHAnsi" w:hAnsiTheme="majorHAnsi" w:cs="Arial"/>
                <w:b/>
                <w:sz w:val="16"/>
                <w:szCs w:val="16"/>
              </w:rPr>
              <w:t>zavedenie centrálnej evidencie referencií</w:t>
            </w:r>
            <w:r w:rsidRPr="00620D27">
              <w:rPr>
                <w:rFonts w:asciiTheme="majorHAnsi" w:hAnsiTheme="majorHAnsi" w:cs="Arial"/>
                <w:sz w:val="16"/>
                <w:szCs w:val="16"/>
              </w:rPr>
              <w:t xml:space="preserve"> jednotlivých uchádzačov využívaných na preukazovanie technického </w:t>
            </w:r>
            <w:r w:rsidR="00913324">
              <w:rPr>
                <w:rFonts w:asciiTheme="majorHAnsi" w:hAnsiTheme="majorHAnsi" w:cs="Arial"/>
                <w:sz w:val="16"/>
                <w:szCs w:val="16"/>
              </w:rPr>
              <w:br/>
            </w:r>
            <w:r w:rsidRPr="00620D27">
              <w:rPr>
                <w:rFonts w:asciiTheme="majorHAnsi" w:hAnsiTheme="majorHAnsi" w:cs="Arial"/>
                <w:sz w:val="16"/>
                <w:szCs w:val="16"/>
              </w:rPr>
              <w:t>a odborného postavenia uchádzačov a záujemcov. Opatrenie má zabezpečovať transparentné preukazovanie podmienok účasti v rámci technickej a odbornej spôsobilosti uchádzačov.</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ÚVO </w:t>
            </w:r>
            <w:r w:rsidRPr="00620D27">
              <w:rPr>
                <w:rFonts w:asciiTheme="majorHAnsi" w:hAnsiTheme="majorHAnsi" w:cs="Arial"/>
                <w:sz w:val="16"/>
                <w:szCs w:val="16"/>
                <w:u w:val="single"/>
              </w:rPr>
              <w:t>dňa 01. 03. 2014 zriadil</w:t>
            </w:r>
            <w:r w:rsidRPr="00620D27">
              <w:rPr>
                <w:rFonts w:asciiTheme="majorHAnsi" w:hAnsiTheme="majorHAnsi" w:cs="Arial"/>
                <w:sz w:val="16"/>
                <w:szCs w:val="16"/>
              </w:rPr>
              <w:t xml:space="preserve"> Evidenciu referencií a zverejnil vzor referencie podľa zákona o verejnom obstarávaní. Evidencia referencií  je informačný systém úradu, v ktorom sa vedú referencie od verejných obstarávateľov/obstarávateľov o dodaní tovaru, uskutočnení stavebných prác alebo poskytnutí služieb dodávateľmi úspešnými v procese verejného obstarávania.</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Evidencia referencií je zverejnená na webovom sídle úradu </w:t>
            </w:r>
            <w:hyperlink r:id="rId182" w:history="1">
              <w:r w:rsidRPr="00620D27">
                <w:rPr>
                  <w:rStyle w:val="Hypertextovprepojenie"/>
                  <w:rFonts w:asciiTheme="majorHAnsi" w:hAnsiTheme="majorHAnsi" w:cs="Arial"/>
                  <w:sz w:val="16"/>
                  <w:szCs w:val="16"/>
                </w:rPr>
                <w:t>http://www.uvo.gov.sk/zoznam-podnikatelov/-/RegisterPodnikatelov/sreferenciami</w:t>
              </w:r>
            </w:hyperlink>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Vzor referencie je elektronický dokument, ktorý je vo forme formulára prístupný v Informačnom systéme zber údajov.</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Prvotným cieľom opatrenia je evidovať zoznamy dodávok tovarov, poskytnutí služieb a vykonaní stavebných prác prostredníctvom elektronického dokumentu zverejneného v centrálnej evidencii. Druhotným cieľom je sledovanie informácií obsiahnutých v referencii za účelom uloženia zákazu účasti vo verejnom obstarávaní u tých uchádzačov, záujemcov alebo dodávateľov, u ktorých:</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a) v najmenej v troch po sebe nasledujúcich referenciách došlo k dosiahnutiu výslednej hodnotiacej známky rovnej alebo nižšej než 20. </w:t>
            </w:r>
          </w:p>
          <w:p w:rsidR="00B01228"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b) došlo k odstúpeniu od zmluvy, koncesnej zmluvy alebo rámcovej dohody zo strany verejného obstarávateľa alebo obstarávateľa, z dôvodu podstatn</w:t>
            </w:r>
            <w:r w:rsidR="00D554AD">
              <w:rPr>
                <w:rFonts w:asciiTheme="majorHAnsi" w:hAnsiTheme="majorHAnsi" w:cs="Arial"/>
                <w:sz w:val="16"/>
                <w:szCs w:val="16"/>
              </w:rPr>
              <w:t>ého</w:t>
            </w:r>
            <w:r w:rsidRPr="00620D27">
              <w:rPr>
                <w:rFonts w:asciiTheme="majorHAnsi" w:hAnsiTheme="majorHAnsi" w:cs="Arial"/>
                <w:sz w:val="16"/>
                <w:szCs w:val="16"/>
              </w:rPr>
              <w:t xml:space="preserve"> porušenia ich povinností.</w:t>
            </w:r>
          </w:p>
          <w:p w:rsidR="00D554AD" w:rsidRPr="00620D27" w:rsidRDefault="00D554AD" w:rsidP="00B01228">
            <w:pPr>
              <w:pStyle w:val="Style30"/>
              <w:jc w:val="both"/>
              <w:rPr>
                <w:rFonts w:asciiTheme="majorHAnsi" w:hAnsiTheme="majorHAnsi" w:cs="Arial"/>
                <w:sz w:val="16"/>
                <w:szCs w:val="16"/>
              </w:rPr>
            </w:pPr>
          </w:p>
          <w:p w:rsidR="00B01228" w:rsidRPr="00620D27" w:rsidRDefault="00B01228" w:rsidP="00B01228">
            <w:pPr>
              <w:pStyle w:val="Style30"/>
              <w:widowControl/>
              <w:jc w:val="both"/>
              <w:rPr>
                <w:rFonts w:asciiTheme="majorHAnsi" w:hAnsiTheme="majorHAnsi" w:cs="Arial"/>
                <w:i/>
                <w:sz w:val="16"/>
                <w:szCs w:val="16"/>
              </w:rPr>
            </w:pPr>
            <w:r w:rsidRPr="00620D27">
              <w:rPr>
                <w:rFonts w:asciiTheme="majorHAnsi" w:hAnsiTheme="majorHAnsi" w:cs="Arial"/>
                <w:i/>
                <w:sz w:val="16"/>
                <w:szCs w:val="16"/>
              </w:rPr>
              <w:t xml:space="preserve">Opatrenie prijaté. </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obmedzenie pre uzatváranie dodatko</w:t>
            </w:r>
            <w:r w:rsidRPr="00620D27">
              <w:rPr>
                <w:rFonts w:asciiTheme="majorHAnsi" w:hAnsiTheme="majorHAnsi" w:cs="Arial"/>
                <w:sz w:val="16"/>
                <w:szCs w:val="16"/>
              </w:rPr>
              <w:t xml:space="preserve">v zvyšujúcich cenu plnenia zmluvy. Podľa zákona o verejnom obstarávaní je zakázané uzatvoriť dodatok k zmluve, ktorá je výsledkom postupu verejného obstarávania, ak by sa jeho obsahom a) menil podstatným spôsobom pôvodný predmet zákazky, b) dopĺňali alebo menili podstatným spôsobom podmienky, ktoré by v pôvodnom postupe zadávania zákazky umožnili účasť iných záujemcov alebo uchádzačov, alebo ktoré by umožnili prijať inú ponuku ako pôvodne prijatú ponuku </w:t>
            </w:r>
            <w:r w:rsidRPr="00620D27">
              <w:rPr>
                <w:rFonts w:asciiTheme="majorHAnsi" w:hAnsiTheme="majorHAnsi" w:cs="Arial"/>
                <w:sz w:val="16"/>
                <w:szCs w:val="16"/>
              </w:rPr>
              <w:lastRenderedPageBreak/>
              <w:t>alebo c) zvyšovala cena plnenia alebo jeho časti alebo menila ekonomická rovnováha zmluvy v prospech úspešného uchádzača.</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Rada ÚVO rozhoduje o návrhu na určenie, že došlo k zmene okolností, ktorá opodstatňuje uzavretie dodatku k zmluve uzavretej ako výsledok verejného obstarávania.</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Opatrením sa sleduje odstránenie účelného, netransparentného navyšovania zmluvných cien, v snahe zvýšiť zmluvnú cenu po zadaní zákazky.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novelou zákona o verejnom obstarávaní s účinnosťou od 01.</w:t>
            </w:r>
            <w:r w:rsidR="00913324">
              <w:rPr>
                <w:rFonts w:asciiTheme="majorHAnsi" w:hAnsiTheme="majorHAnsi" w:cs="Arial"/>
                <w:sz w:val="16"/>
                <w:szCs w:val="16"/>
              </w:rPr>
              <w:t xml:space="preserve"> </w:t>
            </w:r>
            <w:r w:rsidRPr="00620D27">
              <w:rPr>
                <w:rFonts w:asciiTheme="majorHAnsi" w:hAnsiTheme="majorHAnsi" w:cs="Arial"/>
                <w:sz w:val="16"/>
                <w:szCs w:val="16"/>
              </w:rPr>
              <w:t>07.</w:t>
            </w:r>
            <w:r w:rsidR="00913324">
              <w:rPr>
                <w:rFonts w:asciiTheme="majorHAnsi" w:hAnsiTheme="majorHAnsi" w:cs="Arial"/>
                <w:sz w:val="16"/>
                <w:szCs w:val="16"/>
              </w:rPr>
              <w:t xml:space="preserve"> </w:t>
            </w:r>
            <w:r w:rsidRPr="00620D27">
              <w:rPr>
                <w:rFonts w:asciiTheme="majorHAnsi" w:hAnsiTheme="majorHAnsi" w:cs="Arial"/>
                <w:sz w:val="16"/>
                <w:szCs w:val="16"/>
              </w:rPr>
              <w:t>2013.</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možnosť zrušenia VO</w:t>
            </w:r>
            <w:r w:rsidR="00D554AD">
              <w:rPr>
                <w:rFonts w:asciiTheme="majorHAnsi" w:hAnsiTheme="majorHAnsi" w:cs="Arial"/>
                <w:b/>
                <w:sz w:val="16"/>
                <w:szCs w:val="16"/>
              </w:rPr>
              <w:t>,</w:t>
            </w:r>
            <w:r w:rsidRPr="00620D27">
              <w:rPr>
                <w:rFonts w:asciiTheme="majorHAnsi" w:hAnsiTheme="majorHAnsi" w:cs="Arial"/>
                <w:sz w:val="16"/>
                <w:szCs w:val="16"/>
              </w:rPr>
              <w:t xml:space="preserve"> ak neboli predložené viac ako 2 ponuky. Podľa zákona o verejnom obstarávaní verejný obstarávateľ a obstarávateľ môže zrušiť použitý postup zadávania zákazky aj vtedy, ak nebolo predložených viac než 2 ponuky. Ak bola predložená iba jedna ponuka a verejný obstarávateľ alebo obstarávateľ nezruší použitý postup zadávania zákazky, je povinný zverejniť na profile odôvodnenie, prečo použitý postup nezrušil.</w:t>
            </w:r>
          </w:p>
          <w:p w:rsidR="00B01228"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Opatrením sa sleduje zvýšenie a podpora hospodárskej súťaže a naplnenie princípu „value for money“ vo verejnom obstarávaní.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novelou zákona o verejnom obstarávaní s účinnosťou od 01.</w:t>
            </w:r>
            <w:r w:rsidR="00913324">
              <w:rPr>
                <w:rFonts w:asciiTheme="majorHAnsi" w:hAnsiTheme="majorHAnsi" w:cs="Arial"/>
                <w:sz w:val="16"/>
                <w:szCs w:val="16"/>
              </w:rPr>
              <w:t xml:space="preserve"> </w:t>
            </w:r>
            <w:r w:rsidRPr="00620D27">
              <w:rPr>
                <w:rFonts w:asciiTheme="majorHAnsi" w:hAnsiTheme="majorHAnsi" w:cs="Arial"/>
                <w:sz w:val="16"/>
                <w:szCs w:val="16"/>
              </w:rPr>
              <w:t>07.</w:t>
            </w:r>
            <w:r w:rsidR="00913324">
              <w:rPr>
                <w:rFonts w:asciiTheme="majorHAnsi" w:hAnsiTheme="majorHAnsi" w:cs="Arial"/>
                <w:sz w:val="16"/>
                <w:szCs w:val="16"/>
              </w:rPr>
              <w:t xml:space="preserve"> </w:t>
            </w:r>
            <w:r w:rsidRPr="00620D27">
              <w:rPr>
                <w:rFonts w:asciiTheme="majorHAnsi" w:hAnsiTheme="majorHAnsi" w:cs="Arial"/>
                <w:sz w:val="16"/>
                <w:szCs w:val="16"/>
              </w:rPr>
              <w:t>2013</w:t>
            </w:r>
            <w:r w:rsidR="00B831B3">
              <w:rPr>
                <w:rFonts w:asciiTheme="majorHAnsi" w:hAnsiTheme="majorHAnsi" w:cs="Arial"/>
                <w:sz w:val="16"/>
                <w:szCs w:val="16"/>
              </w:rPr>
              <w:t>.</w:t>
            </w:r>
          </w:p>
          <w:p w:rsidR="00B831B3" w:rsidRPr="00620D27" w:rsidRDefault="00B831B3" w:rsidP="00B01228">
            <w:pPr>
              <w:pStyle w:val="Style30"/>
              <w:widowControl/>
              <w:jc w:val="both"/>
              <w:rPr>
                <w:rFonts w:asciiTheme="majorHAnsi" w:hAnsiTheme="majorHAnsi" w:cs="Arial"/>
                <w:sz w:val="16"/>
                <w:szCs w:val="16"/>
              </w:rPr>
            </w:pP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 xml:space="preserve">povinnosť verejného obstarávateľa zverejňovať </w:t>
            </w:r>
            <w:r w:rsidRPr="00620D27">
              <w:rPr>
                <w:rFonts w:asciiTheme="majorHAnsi" w:hAnsiTheme="majorHAnsi" w:cs="Arial"/>
                <w:sz w:val="16"/>
                <w:szCs w:val="16"/>
              </w:rPr>
              <w:t>príslušné informácie a dokumentáciu k verejnému obstarávaniu na svojom profile.</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Elektronické úložisko je informačný systém úradu, v ktorom je verejný obstarávateľ/obstarávateľ povinný zriadiť si profil </w:t>
            </w:r>
            <w:r w:rsidR="00913324">
              <w:rPr>
                <w:rFonts w:asciiTheme="majorHAnsi" w:hAnsiTheme="majorHAnsi" w:cs="Arial"/>
                <w:sz w:val="16"/>
                <w:szCs w:val="16"/>
              </w:rPr>
              <w:br/>
            </w:r>
            <w:r w:rsidRPr="00620D27">
              <w:rPr>
                <w:rFonts w:asciiTheme="majorHAnsi" w:hAnsiTheme="majorHAnsi" w:cs="Arial"/>
                <w:sz w:val="16"/>
                <w:szCs w:val="16"/>
              </w:rPr>
              <w:t xml:space="preserve">a zverejňovať v ňom dokumenty a informácie  podľa zákona </w:t>
            </w:r>
            <w:r w:rsidR="00913324">
              <w:rPr>
                <w:rFonts w:asciiTheme="majorHAnsi" w:hAnsiTheme="majorHAnsi" w:cs="Arial"/>
                <w:sz w:val="16"/>
                <w:szCs w:val="16"/>
              </w:rPr>
              <w:br/>
            </w:r>
            <w:r w:rsidRPr="00620D27">
              <w:rPr>
                <w:rFonts w:asciiTheme="majorHAnsi" w:hAnsiTheme="majorHAnsi" w:cs="Arial"/>
                <w:sz w:val="16"/>
                <w:szCs w:val="16"/>
              </w:rPr>
              <w:t xml:space="preserve">o verejnom obstarávaní v členení podľa jednotlivých verejných obstarávaní.  </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Zriadené profily verejnými obstarávateľmi/obstarávateľmi </w:t>
            </w:r>
            <w:r w:rsidR="00913324">
              <w:rPr>
                <w:rFonts w:asciiTheme="majorHAnsi" w:hAnsiTheme="majorHAnsi" w:cs="Arial"/>
                <w:sz w:val="16"/>
                <w:szCs w:val="16"/>
              </w:rPr>
              <w:br/>
            </w:r>
            <w:r w:rsidRPr="00620D27">
              <w:rPr>
                <w:rFonts w:asciiTheme="majorHAnsi" w:hAnsiTheme="majorHAnsi" w:cs="Arial"/>
                <w:sz w:val="16"/>
                <w:szCs w:val="16"/>
              </w:rPr>
              <w:t>a dokumenty v nich zverejnené sú dostupné v záložke vestník a zoznamy na webovom sídle úradu http://www.uvo.gov.sk/profilyvoo</w:t>
            </w:r>
          </w:p>
          <w:p w:rsidR="00B01228"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Cieľom opatrenia je zvýšiť transparentnosť a mieru informovanosti účastníkov procesu verejného obstarávania </w:t>
            </w:r>
            <w:r w:rsidR="00913324">
              <w:rPr>
                <w:rFonts w:asciiTheme="majorHAnsi" w:hAnsiTheme="majorHAnsi" w:cs="Arial"/>
                <w:sz w:val="16"/>
                <w:szCs w:val="16"/>
              </w:rPr>
              <w:br/>
            </w:r>
            <w:r w:rsidRPr="00620D27">
              <w:rPr>
                <w:rFonts w:asciiTheme="majorHAnsi" w:hAnsiTheme="majorHAnsi" w:cs="Arial"/>
                <w:sz w:val="16"/>
                <w:szCs w:val="16"/>
              </w:rPr>
              <w:t xml:space="preserve">a verejnosti. V profiloch verejný obstarávateľ zverejňuje dokumenty a informácie o priebehu procesu verejného obstarávania (napr. oznámenia používané vo verejnom obstarávaní, súťažné podklady, informáciu o otváraní ponúk, informáciu o výsledku vyhodnotenia ponúk, </w:t>
            </w:r>
            <w:r w:rsidRPr="00620D27">
              <w:rPr>
                <w:rFonts w:asciiTheme="majorHAnsi" w:hAnsiTheme="majorHAnsi" w:cs="Arial"/>
                <w:sz w:val="16"/>
                <w:szCs w:val="16"/>
              </w:rPr>
              <w:lastRenderedPageBreak/>
              <w:t>odôvodnenie nezrušenia použitého postupu)</w:t>
            </w:r>
            <w:r w:rsidR="00B831B3">
              <w:rPr>
                <w:rFonts w:asciiTheme="majorHAnsi" w:hAnsiTheme="majorHAnsi" w:cs="Arial"/>
                <w:sz w:val="16"/>
                <w:szCs w:val="16"/>
              </w:rPr>
              <w:t>,</w:t>
            </w:r>
            <w:r w:rsidRPr="00620D27">
              <w:rPr>
                <w:rFonts w:asciiTheme="majorHAnsi" w:hAnsiTheme="majorHAnsi" w:cs="Arial"/>
                <w:sz w:val="16"/>
                <w:szCs w:val="16"/>
              </w:rPr>
              <w:t xml:space="preserve"> ako aj dokumenty o plnení uzatvorených zmlúv (zmluvy, koncesné zmluvy, rámcové dohody, dokumenty o dodaní a prebratí plnenia zmlúv, informácie o sumách skutočne uhradeného plnenia). Opatrenie prijaté a zavedené, od 27.</w:t>
            </w:r>
            <w:r w:rsidR="00913324">
              <w:rPr>
                <w:rFonts w:asciiTheme="majorHAnsi" w:hAnsiTheme="majorHAnsi" w:cs="Arial"/>
                <w:sz w:val="16"/>
                <w:szCs w:val="16"/>
              </w:rPr>
              <w:t xml:space="preserve"> </w:t>
            </w:r>
            <w:r w:rsidRPr="00620D27">
              <w:rPr>
                <w:rFonts w:asciiTheme="majorHAnsi" w:hAnsiTheme="majorHAnsi" w:cs="Arial"/>
                <w:sz w:val="16"/>
                <w:szCs w:val="16"/>
              </w:rPr>
              <w:t>02.</w:t>
            </w:r>
            <w:r w:rsidR="00913324">
              <w:rPr>
                <w:rFonts w:asciiTheme="majorHAnsi" w:hAnsiTheme="majorHAnsi" w:cs="Arial"/>
                <w:sz w:val="16"/>
                <w:szCs w:val="16"/>
              </w:rPr>
              <w:t xml:space="preserve"> </w:t>
            </w:r>
            <w:r w:rsidRPr="00620D27">
              <w:rPr>
                <w:rFonts w:asciiTheme="majorHAnsi" w:hAnsiTheme="majorHAnsi" w:cs="Arial"/>
                <w:sz w:val="16"/>
                <w:szCs w:val="16"/>
              </w:rPr>
              <w:t>2014 zriadené elektronické úložisko pre zriadenie profilu verejného obstarávateľa/obstarávateľa.</w:t>
            </w:r>
          </w:p>
          <w:p w:rsidR="00B831B3" w:rsidRPr="00620D27" w:rsidRDefault="00B831B3" w:rsidP="00B01228">
            <w:pPr>
              <w:pStyle w:val="Style30"/>
              <w:widowControl/>
              <w:jc w:val="both"/>
              <w:rPr>
                <w:rFonts w:asciiTheme="majorHAnsi" w:hAnsiTheme="majorHAnsi" w:cs="Arial"/>
                <w:sz w:val="16"/>
                <w:szCs w:val="16"/>
              </w:rPr>
            </w:pPr>
          </w:p>
          <w:p w:rsidR="00B01228" w:rsidRPr="00620D27" w:rsidRDefault="00B01228" w:rsidP="00BA185A">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vznik Rady ÚVO</w:t>
            </w:r>
            <w:r w:rsidRPr="00620D27">
              <w:rPr>
                <w:rFonts w:asciiTheme="majorHAnsi" w:hAnsiTheme="majorHAnsi" w:cs="Arial"/>
                <w:sz w:val="16"/>
                <w:szCs w:val="16"/>
              </w:rPr>
              <w:t xml:space="preserve"> riešiacej odvolania uchádzačov voči rozhodnutiam o námietkach vydaných ÚVO. </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Zákon o verejnom obstarávaní zveruje Rade ÚVO a) rozhodovanie o odvolaniach proti rozhodnutiam úradu </w:t>
            </w:r>
            <w:r w:rsidR="00913324">
              <w:rPr>
                <w:rFonts w:asciiTheme="majorHAnsi" w:hAnsiTheme="majorHAnsi" w:cs="Arial"/>
                <w:sz w:val="16"/>
                <w:szCs w:val="16"/>
              </w:rPr>
              <w:br/>
            </w:r>
            <w:r w:rsidRPr="00620D27">
              <w:rPr>
                <w:rFonts w:asciiTheme="majorHAnsi" w:hAnsiTheme="majorHAnsi" w:cs="Arial"/>
                <w:sz w:val="16"/>
                <w:szCs w:val="16"/>
              </w:rPr>
              <w:t xml:space="preserve">o námietkach, b) rozhodovanie o návrhu na určenie, že došlo k zmene okolností, ktorá opodstatňuje uzavretie dodatku </w:t>
            </w:r>
            <w:r w:rsidR="00913324">
              <w:rPr>
                <w:rFonts w:asciiTheme="majorHAnsi" w:hAnsiTheme="majorHAnsi" w:cs="Arial"/>
                <w:sz w:val="16"/>
                <w:szCs w:val="16"/>
              </w:rPr>
              <w:br/>
            </w:r>
            <w:r w:rsidRPr="00620D27">
              <w:rPr>
                <w:rFonts w:asciiTheme="majorHAnsi" w:hAnsiTheme="majorHAnsi" w:cs="Arial"/>
                <w:sz w:val="16"/>
                <w:szCs w:val="16"/>
              </w:rPr>
              <w:t>k zmluve uzavretej ako výsledok verejného obstarávania, c) vyhotovovanie referencií na návrh dodávateľov v prípadoch, keď verejný obstarávateľ alebo obstarávateľ nevyhotoví referenciu v zákonom ustanovenej lehote, d) rozhodovanie v procese preskúmania rozhodnutí o námietkach mimo odvolacieho konania, e) rozhodovanie o proteste prokurátora v prípadoch, v ktorých podľa osobitného predpisu rozhoduje vedúci ústredného orgánu štátnej správy.</w:t>
            </w:r>
          </w:p>
          <w:p w:rsidR="00B01228" w:rsidRPr="00620D27" w:rsidRDefault="00B01228" w:rsidP="00BA185A">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Opatrením sa sleduje jednak zavedenie druhostupňového rozhodovania vo veci dohľadu (námietok). Rozhodnutia Rady ÚVO sú následne preskúmateľné súdom, t.j. uchádzačovi nie sú odopreté jeho práva v procese verejného obstarávania, naopak sú týmto krokom posilnené. Opatrenie tiež sleduje, aby neprichádzalo pri uzatváraní dodatkov </w:t>
            </w:r>
            <w:r w:rsidR="00913324">
              <w:rPr>
                <w:rFonts w:asciiTheme="majorHAnsi" w:hAnsiTheme="majorHAnsi" w:cs="Arial"/>
                <w:sz w:val="16"/>
                <w:szCs w:val="16"/>
              </w:rPr>
              <w:br/>
            </w:r>
            <w:r w:rsidRPr="00620D27">
              <w:rPr>
                <w:rFonts w:asciiTheme="majorHAnsi" w:hAnsiTheme="majorHAnsi" w:cs="Arial"/>
                <w:sz w:val="16"/>
                <w:szCs w:val="16"/>
              </w:rPr>
              <w:t xml:space="preserve">k netransparentnému navyšovaniu zmluvných cien po zadaní zákazky.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a zavedené novelou zákona o VO s účinnosťou od 1.</w:t>
            </w:r>
            <w:r w:rsidR="00913324">
              <w:rPr>
                <w:rFonts w:asciiTheme="majorHAnsi" w:hAnsiTheme="majorHAnsi" w:cs="Arial"/>
                <w:sz w:val="16"/>
                <w:szCs w:val="16"/>
              </w:rPr>
              <w:t xml:space="preserve"> </w:t>
            </w:r>
            <w:r w:rsidRPr="00620D27">
              <w:rPr>
                <w:rFonts w:asciiTheme="majorHAnsi" w:hAnsiTheme="majorHAnsi" w:cs="Arial"/>
                <w:sz w:val="16"/>
                <w:szCs w:val="16"/>
              </w:rPr>
              <w:t>7.</w:t>
            </w:r>
            <w:r w:rsidR="00913324">
              <w:rPr>
                <w:rFonts w:asciiTheme="majorHAnsi" w:hAnsiTheme="majorHAnsi" w:cs="Arial"/>
                <w:sz w:val="16"/>
                <w:szCs w:val="16"/>
              </w:rPr>
              <w:t xml:space="preserve"> </w:t>
            </w:r>
            <w:r w:rsidRPr="00620D27">
              <w:rPr>
                <w:rFonts w:asciiTheme="majorHAnsi" w:hAnsiTheme="majorHAnsi" w:cs="Arial"/>
                <w:sz w:val="16"/>
                <w:szCs w:val="16"/>
              </w:rPr>
              <w:t>2013</w:t>
            </w:r>
            <w:r w:rsidR="00B831B3">
              <w:rPr>
                <w:rFonts w:asciiTheme="majorHAnsi" w:hAnsiTheme="majorHAnsi" w:cs="Arial"/>
                <w:sz w:val="16"/>
                <w:szCs w:val="16"/>
              </w:rPr>
              <w:t>.</w:t>
            </w:r>
          </w:p>
          <w:p w:rsidR="00B01228" w:rsidRPr="00620D27" w:rsidRDefault="00B01228" w:rsidP="00B01228">
            <w:pPr>
              <w:pStyle w:val="Style30"/>
              <w:widowControl/>
              <w:rPr>
                <w:rFonts w:asciiTheme="majorHAnsi" w:hAnsiTheme="majorHAnsi" w:cs="Arial"/>
                <w:sz w:val="16"/>
                <w:szCs w:val="16"/>
              </w:rPr>
            </w:pP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zavedenie možnosti ex</w:t>
            </w:r>
            <w:r w:rsidR="00B831B3">
              <w:rPr>
                <w:rFonts w:asciiTheme="majorHAnsi" w:hAnsiTheme="majorHAnsi" w:cs="Arial"/>
                <w:b/>
                <w:sz w:val="16"/>
                <w:szCs w:val="16"/>
              </w:rPr>
              <w:t xml:space="preserve"> </w:t>
            </w:r>
            <w:r w:rsidRPr="00620D27">
              <w:rPr>
                <w:rFonts w:asciiTheme="majorHAnsi" w:hAnsiTheme="majorHAnsi" w:cs="Arial"/>
                <w:b/>
                <w:sz w:val="16"/>
                <w:szCs w:val="16"/>
              </w:rPr>
              <w:t>ante kontroly</w:t>
            </w:r>
            <w:r w:rsidRPr="00620D27">
              <w:rPr>
                <w:rFonts w:asciiTheme="majorHAnsi" w:hAnsiTheme="majorHAnsi" w:cs="Arial"/>
                <w:sz w:val="16"/>
                <w:szCs w:val="16"/>
              </w:rPr>
              <w:t xml:space="preserve"> dokumentácie pred jej zverejnením verejným obstarávateľom. Podľa zákona </w:t>
            </w:r>
            <w:r w:rsidR="00913324">
              <w:rPr>
                <w:rFonts w:asciiTheme="majorHAnsi" w:hAnsiTheme="majorHAnsi" w:cs="Arial"/>
                <w:sz w:val="16"/>
                <w:szCs w:val="16"/>
              </w:rPr>
              <w:br/>
            </w:r>
            <w:r w:rsidRPr="00620D27">
              <w:rPr>
                <w:rFonts w:asciiTheme="majorHAnsi" w:hAnsiTheme="majorHAnsi" w:cs="Arial"/>
                <w:sz w:val="16"/>
                <w:szCs w:val="16"/>
              </w:rPr>
              <w:t>o verejnom obstarávaní môže verejný obstarávateľ požiadať úrad o výkon ex ante kontroly pred vyhlásením alebo začatím verejného obstarávania, ak ide o nadlimitnú zákazku financovanú čo aj z časti z prostriedkov Európskej únie.</w:t>
            </w: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Opatrenie má zabezpečiť odstránenie nedostatkov </w:t>
            </w:r>
            <w:r w:rsidRPr="00620D27">
              <w:rPr>
                <w:rFonts w:asciiTheme="majorHAnsi" w:hAnsiTheme="majorHAnsi" w:cs="Arial"/>
                <w:sz w:val="16"/>
                <w:szCs w:val="16"/>
              </w:rPr>
              <w:lastRenderedPageBreak/>
              <w:t xml:space="preserve">verejného obstarávania pred jeho zverejnením a vyhlásením. Opatrenie zvyšuje prevenciu pred zadávaním diskriminačných – nezákonných podmienok vo verejnom obstarávaní, ktoré je možné odstrániť ešte v čase, ako príde k vyhláseniu verejného obstarávania. Uvedeným sa sleduje zníženie a eliminovanie nedostatkov už v samotnom úvode verejného obstarávania pred jeho vyhlásením.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novelou zákona o verejnom obstarávaní s účinnosťou od 18.</w:t>
            </w:r>
            <w:r w:rsidR="00913324">
              <w:rPr>
                <w:rFonts w:asciiTheme="majorHAnsi" w:hAnsiTheme="majorHAnsi" w:cs="Arial"/>
                <w:sz w:val="16"/>
                <w:szCs w:val="16"/>
              </w:rPr>
              <w:t xml:space="preserve"> </w:t>
            </w:r>
            <w:r w:rsidRPr="00620D27">
              <w:rPr>
                <w:rFonts w:asciiTheme="majorHAnsi" w:hAnsiTheme="majorHAnsi" w:cs="Arial"/>
                <w:sz w:val="16"/>
                <w:szCs w:val="16"/>
              </w:rPr>
              <w:t>02.</w:t>
            </w:r>
            <w:r w:rsidR="00913324">
              <w:rPr>
                <w:rFonts w:asciiTheme="majorHAnsi" w:hAnsiTheme="majorHAnsi" w:cs="Arial"/>
                <w:sz w:val="16"/>
                <w:szCs w:val="16"/>
              </w:rPr>
              <w:t xml:space="preserve"> </w:t>
            </w:r>
            <w:r w:rsidRPr="00620D27">
              <w:rPr>
                <w:rFonts w:asciiTheme="majorHAnsi" w:hAnsiTheme="majorHAnsi" w:cs="Arial"/>
                <w:sz w:val="16"/>
                <w:szCs w:val="16"/>
              </w:rPr>
              <w:t>2013</w:t>
            </w:r>
            <w:r w:rsidR="00B831B3">
              <w:rPr>
                <w:rFonts w:asciiTheme="majorHAnsi" w:hAnsiTheme="majorHAnsi" w:cs="Arial"/>
                <w:sz w:val="16"/>
                <w:szCs w:val="16"/>
              </w:rPr>
              <w:t>.</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zavedenie registra osôb so zákazom účasti vo verejnom obstarávaní.</w:t>
            </w:r>
            <w:r w:rsidRPr="00620D27">
              <w:rPr>
                <w:rFonts w:asciiTheme="majorHAnsi" w:hAnsiTheme="majorHAnsi" w:cs="Arial"/>
                <w:sz w:val="16"/>
                <w:szCs w:val="16"/>
              </w:rPr>
              <w:t xml:space="preserve"> Opatrenie sleduje zlepšenie prostredia hospodárskej súťaže vylúčením subjektov, ktoré nesúťažia čestne, resp. neplnia riadne svoje zmluvné povinnosti. Má tak prevenčný ako aj represívny účinok voči subjektom porušujúcim princípy čestnej hospodárskej súťaže.</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Zverejnený je na webovom sídle úradu http://www.uvo.gov.sk/zoznam-podnikatelov/-/RegisterPodnikatelov/sozakazom</w:t>
            </w: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Register osôb so zákazom je informačný systém úradu, ktorý obsahuje údaje o podnikateľoch, ktorým bol uložený zákaz účasti vo verejnom obstarávaní. Uvedený register informuje účastníkov procesov verejného obstarávania, ako aj širokú verejnosť o subjektoch, ktorým bol právoplatne uložený zákaz účasti vo verejnom obstarávaní podľa § 149 ods. 3 zákona o verejnom obstarávaní. </w:t>
            </w:r>
            <w:r w:rsidRPr="00620D27">
              <w:rPr>
                <w:rFonts w:asciiTheme="majorHAnsi" w:hAnsiTheme="majorHAnsi" w:cs="Arial"/>
                <w:i/>
                <w:sz w:val="16"/>
                <w:szCs w:val="16"/>
              </w:rPr>
              <w:t>Opatrenie prijaté</w:t>
            </w:r>
            <w:r w:rsidRPr="00620D27">
              <w:rPr>
                <w:rFonts w:asciiTheme="majorHAnsi" w:hAnsiTheme="majorHAnsi" w:cs="Arial"/>
                <w:sz w:val="16"/>
                <w:szCs w:val="16"/>
              </w:rPr>
              <w:t xml:space="preserve"> - zavedené od 14. 02. 2014.</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831B3" w:rsidP="00BA185A">
            <w:pPr>
              <w:pStyle w:val="Style30"/>
              <w:jc w:val="both"/>
              <w:rPr>
                <w:rFonts w:asciiTheme="majorHAnsi" w:hAnsiTheme="majorHAnsi" w:cs="Arial"/>
                <w:sz w:val="16"/>
                <w:szCs w:val="16"/>
              </w:rPr>
            </w:pPr>
            <w:r>
              <w:rPr>
                <w:rFonts w:asciiTheme="majorHAnsi" w:hAnsiTheme="majorHAnsi" w:cs="Arial"/>
                <w:b/>
                <w:sz w:val="16"/>
                <w:szCs w:val="16"/>
              </w:rPr>
              <w:t>-</w:t>
            </w:r>
            <w:r w:rsidR="00B01228" w:rsidRPr="00620D27">
              <w:rPr>
                <w:rFonts w:asciiTheme="majorHAnsi" w:hAnsiTheme="majorHAnsi" w:cs="Arial"/>
                <w:b/>
                <w:sz w:val="16"/>
                <w:szCs w:val="16"/>
              </w:rPr>
              <w:t xml:space="preserve">elektronické verejné obstarávanie - </w:t>
            </w:r>
            <w:r w:rsidR="00B01228" w:rsidRPr="00620D27">
              <w:rPr>
                <w:rFonts w:asciiTheme="majorHAnsi" w:hAnsiTheme="majorHAnsi" w:cs="Arial"/>
                <w:sz w:val="16"/>
                <w:szCs w:val="16"/>
              </w:rPr>
              <w:t>Plne elektronické verejné obstarávanie</w:t>
            </w:r>
            <w:r>
              <w:rPr>
                <w:rFonts w:asciiTheme="majorHAnsi" w:hAnsiTheme="majorHAnsi" w:cs="Arial"/>
                <w:sz w:val="16"/>
                <w:szCs w:val="16"/>
              </w:rPr>
              <w:t>,</w:t>
            </w:r>
            <w:r w:rsidR="00B01228" w:rsidRPr="00620D27">
              <w:rPr>
                <w:rFonts w:asciiTheme="majorHAnsi" w:hAnsiTheme="majorHAnsi" w:cs="Arial"/>
                <w:sz w:val="16"/>
                <w:szCs w:val="16"/>
              </w:rPr>
              <w:t xml:space="preserve"> ako prostriedok modernizácie verejnej správy je prioritou </w:t>
            </w:r>
            <w:r>
              <w:rPr>
                <w:rFonts w:asciiTheme="majorHAnsi" w:hAnsiTheme="majorHAnsi" w:cs="Arial"/>
                <w:sz w:val="16"/>
                <w:szCs w:val="16"/>
              </w:rPr>
              <w:t>SR</w:t>
            </w:r>
            <w:r w:rsidR="00B01228" w:rsidRPr="00620D27">
              <w:rPr>
                <w:rFonts w:asciiTheme="majorHAnsi" w:hAnsiTheme="majorHAnsi" w:cs="Arial"/>
                <w:sz w:val="16"/>
                <w:szCs w:val="16"/>
              </w:rPr>
              <w:t>. V zmysle smerníc č. 2014/23/EÚ, 2014/24/EÚ, 2014/25/EÚ bude nevyhnutné prijať a zabezpečiť a) priamy a neobmedzený prístup k elektronickým súťažným podkladom, b) elektronické predkladanie ponúk, c) posilniť úlohu e-Certis, d) Elektronický formulár (PAS) pre uchádzačov a záujemcov slúžiaci na preukázanie podmienok účasti, e) elektronické katalógy ako forma elektronickej ponuky, f) dynamický nákupný systém prepracovaný a zdokonalený na elektronický systém.</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Centrálna obstarávateľská organizácia má povinnosť obstarávať plne elektronicky do 36 mesiacov od platnosti smerníc, t.j. do 18. 04. 2017. Pre ostatné subjekty </w:t>
            </w:r>
            <w:r w:rsidRPr="00620D27">
              <w:rPr>
                <w:rFonts w:asciiTheme="majorHAnsi" w:hAnsiTheme="majorHAnsi" w:cs="Arial"/>
                <w:sz w:val="16"/>
                <w:szCs w:val="16"/>
              </w:rPr>
              <w:lastRenderedPageBreak/>
              <w:t>povinnosť plne elektronicky obstarávať vzniká do 54 mesiacov od platnosti smerníc.</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ÚVO toho času prevádzkuje systém EVO (Elektronického verejného obstarávania), ktorý bude dopracovaný na nové podmienky v zmysle smerníc EÚ, aby bolo elektronické verejné obstarávanie jednoduchšie a efektívnejšie.</w:t>
            </w:r>
          </w:p>
          <w:p w:rsidR="00B01228" w:rsidRPr="00620D27" w:rsidRDefault="00B831B3" w:rsidP="00B01228">
            <w:pPr>
              <w:pStyle w:val="Style30"/>
              <w:jc w:val="both"/>
              <w:rPr>
                <w:rFonts w:asciiTheme="majorHAnsi" w:hAnsiTheme="majorHAnsi" w:cs="Arial"/>
                <w:i/>
                <w:sz w:val="16"/>
                <w:szCs w:val="16"/>
              </w:rPr>
            </w:pPr>
            <w:r>
              <w:rPr>
                <w:rFonts w:asciiTheme="majorHAnsi" w:hAnsiTheme="majorHAnsi" w:cs="Arial"/>
                <w:sz w:val="16"/>
                <w:szCs w:val="16"/>
              </w:rPr>
              <w:t>SR</w:t>
            </w:r>
            <w:r w:rsidR="00B01228" w:rsidRPr="00620D27">
              <w:rPr>
                <w:rFonts w:asciiTheme="majorHAnsi" w:hAnsiTheme="majorHAnsi" w:cs="Arial"/>
                <w:sz w:val="16"/>
                <w:szCs w:val="16"/>
              </w:rPr>
              <w:t>, v zastúpení svojich orgánov</w:t>
            </w:r>
            <w:r>
              <w:rPr>
                <w:rFonts w:asciiTheme="majorHAnsi" w:hAnsiTheme="majorHAnsi" w:cs="Arial"/>
                <w:sz w:val="16"/>
                <w:szCs w:val="16"/>
              </w:rPr>
              <w:t>,</w:t>
            </w:r>
            <w:r w:rsidR="00B01228" w:rsidRPr="00620D27">
              <w:rPr>
                <w:rFonts w:asciiTheme="majorHAnsi" w:hAnsiTheme="majorHAnsi" w:cs="Arial"/>
                <w:sz w:val="16"/>
                <w:szCs w:val="16"/>
              </w:rPr>
              <w:t xml:space="preserve"> vypracuje vnútroštátnu stratégiu na zabezpečenie včasného a efektívneho prechodu na plne elektronické obstarávanie podľa požiadaviek uvedených v článku 5.3 oznámenia Komisie o „plne elektronickom verejnom obstarávaní ako prostriedku modernizácie verejnej správy“ (KOM(2013)453 finálna verzia). Táto stratégia bude stanovovať špecifické ciele, ktoré sa majú dosiahnuť, postup, ktorý treba dodržať, míľniky a akékoľvek potrebné indikátory. Pri implementácii tejto stratégie sa bude využívať adekvátna pomoc zo štrukturálnych fondov, najmä pokiaľ ide o vývoj alebo modernizáciu infraštruktúry plne elektronického obstarávania, posilnenie administratívnych kapacít, školenia a zvyšovanie povedomia. Pomocou stratégie sa zabezpečí uplatňovanie čo najúčinnejšieho a nákladovo najefektívnejšieho prístupu pri implementácii povinného elektronického obstarávania na Slovensku a malo by sa zamedziť vytváraniu duplicít na národnej regionálnej úrovni, ktoré môžu spôsobiť problémy s interoperabilitou. Celkovým výsledkom by mal byť lepší, jednoduchší a efektívnejší systém verejného obstarávania. </w:t>
            </w:r>
            <w:r w:rsidR="00B01228" w:rsidRPr="00620D27">
              <w:rPr>
                <w:rFonts w:asciiTheme="majorHAnsi" w:hAnsiTheme="majorHAnsi" w:cs="Arial"/>
                <w:i/>
                <w:sz w:val="16"/>
                <w:szCs w:val="16"/>
              </w:rPr>
              <w:t xml:space="preserve">Plánované opatrenie. </w:t>
            </w:r>
          </w:p>
          <w:p w:rsidR="00B01228" w:rsidRPr="00620D27" w:rsidRDefault="00B01228" w:rsidP="00B01228">
            <w:pPr>
              <w:pStyle w:val="Style30"/>
              <w:widowControl/>
              <w:rPr>
                <w:rFonts w:asciiTheme="majorHAnsi" w:hAnsiTheme="majorHAnsi" w:cs="Arial"/>
                <w:sz w:val="16"/>
                <w:szCs w:val="16"/>
              </w:rPr>
            </w:pP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1.2 Ako všeobecné opatrenia na riešenie nedostatkov zistených pri kontrolách budú zavedené tieto opatrenia:</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Zvýšená podpora ÚVO</w:t>
            </w:r>
            <w:r w:rsidRPr="00620D27">
              <w:rPr>
                <w:rFonts w:asciiTheme="majorHAnsi" w:hAnsiTheme="majorHAnsi" w:cs="Arial"/>
                <w:sz w:val="16"/>
                <w:szCs w:val="16"/>
              </w:rPr>
              <w:t xml:space="preserve"> pre subjekty vykonávajúce kontrolu verejného obstarávania prostredníctvom Dohody o spolupráci</w:t>
            </w:r>
            <w:r w:rsidR="00B831B3">
              <w:rPr>
                <w:rFonts w:asciiTheme="majorHAnsi" w:hAnsiTheme="majorHAnsi" w:cs="Arial"/>
                <w:sz w:val="16"/>
                <w:szCs w:val="16"/>
              </w:rPr>
              <w:t>.</w:t>
            </w:r>
            <w:r w:rsidRPr="00620D27">
              <w:rPr>
                <w:rFonts w:asciiTheme="majorHAnsi" w:hAnsiTheme="majorHAnsi"/>
                <w:sz w:val="16"/>
                <w:szCs w:val="16"/>
              </w:rPr>
              <w:t xml:space="preserve"> </w:t>
            </w:r>
            <w:r w:rsidRPr="00620D27">
              <w:rPr>
                <w:rFonts w:asciiTheme="majorHAnsi" w:hAnsiTheme="majorHAnsi" w:cs="Arial"/>
                <w:sz w:val="16"/>
                <w:szCs w:val="16"/>
              </w:rPr>
              <w:t>Na základe tejto dohody budú RO oprávnené ÚVO požiadať o</w:t>
            </w:r>
            <w:r w:rsidR="00B831B3">
              <w:rPr>
                <w:rFonts w:asciiTheme="majorHAnsi" w:hAnsiTheme="majorHAnsi" w:cs="Arial"/>
                <w:sz w:val="16"/>
                <w:szCs w:val="16"/>
              </w:rPr>
              <w:t>:</w:t>
            </w:r>
            <w:r w:rsidRPr="00620D27">
              <w:rPr>
                <w:rFonts w:asciiTheme="majorHAnsi" w:hAnsiTheme="majorHAnsi" w:cs="Arial"/>
                <w:sz w:val="16"/>
                <w:szCs w:val="16"/>
              </w:rPr>
              <w:t xml:space="preserve"> </w:t>
            </w:r>
          </w:p>
          <w:p w:rsidR="00B01228" w:rsidRPr="00620D27" w:rsidRDefault="00B01228" w:rsidP="00BA185A">
            <w:pPr>
              <w:pStyle w:val="Style30"/>
              <w:tabs>
                <w:tab w:val="left" w:pos="34"/>
                <w:tab w:val="left" w:pos="629"/>
                <w:tab w:val="left" w:pos="742"/>
              </w:tabs>
              <w:jc w:val="both"/>
              <w:rPr>
                <w:rFonts w:asciiTheme="majorHAnsi" w:hAnsiTheme="majorHAnsi" w:cs="Arial"/>
                <w:sz w:val="16"/>
                <w:szCs w:val="16"/>
              </w:rPr>
            </w:pPr>
            <w:r w:rsidRPr="00620D27">
              <w:rPr>
                <w:rFonts w:asciiTheme="majorHAnsi" w:hAnsiTheme="majorHAnsi" w:cs="Arial"/>
                <w:sz w:val="16"/>
                <w:szCs w:val="16"/>
              </w:rPr>
              <w:tab/>
              <w:t>a)</w:t>
            </w:r>
            <w:r w:rsidR="00B831B3">
              <w:rPr>
                <w:rFonts w:asciiTheme="majorHAnsi" w:hAnsiTheme="majorHAnsi" w:cs="Arial"/>
                <w:sz w:val="16"/>
                <w:szCs w:val="16"/>
              </w:rPr>
              <w:t xml:space="preserve"> </w:t>
            </w:r>
            <w:r w:rsidRPr="00620D27">
              <w:rPr>
                <w:rFonts w:asciiTheme="majorHAnsi" w:hAnsiTheme="majorHAnsi" w:cs="Arial"/>
                <w:sz w:val="16"/>
                <w:szCs w:val="16"/>
              </w:rPr>
              <w:t>ex</w:t>
            </w:r>
            <w:r w:rsidR="00B831B3">
              <w:rPr>
                <w:rFonts w:asciiTheme="majorHAnsi" w:hAnsiTheme="majorHAnsi" w:cs="Arial"/>
                <w:sz w:val="16"/>
                <w:szCs w:val="16"/>
              </w:rPr>
              <w:t xml:space="preserve"> </w:t>
            </w:r>
            <w:r w:rsidRPr="00620D27">
              <w:rPr>
                <w:rFonts w:asciiTheme="majorHAnsi" w:hAnsiTheme="majorHAnsi" w:cs="Arial"/>
                <w:sz w:val="16"/>
                <w:szCs w:val="16"/>
              </w:rPr>
              <w:t xml:space="preserve">ante posúdenie dokumentácie k pripravovanému verejnému obstarávaniu, </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b)</w:t>
            </w:r>
            <w:r w:rsidR="00B831B3">
              <w:rPr>
                <w:rFonts w:asciiTheme="majorHAnsi" w:hAnsiTheme="majorHAnsi" w:cs="Arial"/>
                <w:sz w:val="16"/>
                <w:szCs w:val="16"/>
              </w:rPr>
              <w:t xml:space="preserve"> </w:t>
            </w:r>
            <w:r w:rsidRPr="00620D27">
              <w:rPr>
                <w:rFonts w:asciiTheme="majorHAnsi" w:hAnsiTheme="majorHAnsi" w:cs="Arial"/>
                <w:sz w:val="16"/>
                <w:szCs w:val="16"/>
              </w:rPr>
              <w:t xml:space="preserve">osobnú konzultáciu k čiastkovému problému verejného obstarávania , </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c)</w:t>
            </w:r>
            <w:r w:rsidR="00B831B3">
              <w:rPr>
                <w:rFonts w:asciiTheme="majorHAnsi" w:hAnsiTheme="majorHAnsi" w:cs="Arial"/>
                <w:sz w:val="16"/>
                <w:szCs w:val="16"/>
              </w:rPr>
              <w:t xml:space="preserve"> </w:t>
            </w:r>
            <w:r w:rsidRPr="00620D27">
              <w:rPr>
                <w:rFonts w:asciiTheme="majorHAnsi" w:hAnsiTheme="majorHAnsi" w:cs="Arial"/>
                <w:sz w:val="16"/>
                <w:szCs w:val="16"/>
              </w:rPr>
              <w:t xml:space="preserve">vypracovanie stanoviska o súlade čiastkových problémov verejného obstarávania so zákonom o verejnom obstarávaní v štádiu pred uzavretím zmluvy, </w:t>
            </w: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d)</w:t>
            </w:r>
            <w:r w:rsidR="00B831B3">
              <w:rPr>
                <w:rFonts w:asciiTheme="majorHAnsi" w:hAnsiTheme="majorHAnsi" w:cs="Arial"/>
                <w:sz w:val="16"/>
                <w:szCs w:val="16"/>
              </w:rPr>
              <w:t xml:space="preserve"> </w:t>
            </w:r>
            <w:r w:rsidRPr="00620D27">
              <w:rPr>
                <w:rFonts w:asciiTheme="majorHAnsi" w:hAnsiTheme="majorHAnsi" w:cs="Arial"/>
                <w:sz w:val="16"/>
                <w:szCs w:val="16"/>
              </w:rPr>
              <w:t>vykonanie kontroly verejného obstarávania ,</w:t>
            </w: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lastRenderedPageBreak/>
              <w:t>e)</w:t>
            </w:r>
            <w:r w:rsidR="00B831B3">
              <w:rPr>
                <w:rFonts w:asciiTheme="majorHAnsi" w:hAnsiTheme="majorHAnsi" w:cs="Arial"/>
                <w:sz w:val="16"/>
                <w:szCs w:val="16"/>
              </w:rPr>
              <w:t xml:space="preserve"> </w:t>
            </w:r>
            <w:r w:rsidRPr="00620D27">
              <w:rPr>
                <w:rFonts w:asciiTheme="majorHAnsi" w:hAnsiTheme="majorHAnsi" w:cs="Arial"/>
                <w:sz w:val="16"/>
                <w:szCs w:val="16"/>
              </w:rPr>
              <w:t>spoluprácu pri vyhodnocovaní auditných zistení EK týkajúcich sa verejného obstarávania.</w:t>
            </w:r>
          </w:p>
          <w:p w:rsidR="00B01228" w:rsidRPr="00620D27" w:rsidRDefault="00B01228" w:rsidP="00B01228">
            <w:pPr>
              <w:pStyle w:val="Style30"/>
              <w:widowControl/>
              <w:jc w:val="both"/>
              <w:rPr>
                <w:rFonts w:asciiTheme="majorHAnsi" w:hAnsiTheme="majorHAnsi" w:cs="Arial"/>
                <w:i/>
                <w:sz w:val="16"/>
                <w:szCs w:val="16"/>
              </w:rPr>
            </w:pPr>
            <w:r w:rsidRPr="00620D27">
              <w:rPr>
                <w:rFonts w:asciiTheme="majorHAnsi" w:hAnsiTheme="majorHAnsi" w:cs="Arial"/>
                <w:i/>
                <w:sz w:val="16"/>
                <w:szCs w:val="16"/>
              </w:rPr>
              <w:t xml:space="preserve">Plánované opatrenie. </w:t>
            </w:r>
          </w:p>
          <w:p w:rsidR="00B01228" w:rsidRPr="00620D27" w:rsidRDefault="00B01228" w:rsidP="00B01228">
            <w:pPr>
              <w:pStyle w:val="Style30"/>
              <w:widowControl/>
              <w:jc w:val="both"/>
              <w:rPr>
                <w:rFonts w:asciiTheme="majorHAnsi" w:hAnsiTheme="majorHAnsi" w:cs="Arial"/>
                <w:i/>
                <w:sz w:val="16"/>
                <w:szCs w:val="16"/>
              </w:rPr>
            </w:pPr>
          </w:p>
          <w:p w:rsidR="00B01228" w:rsidRPr="00620D27" w:rsidRDefault="00B01228" w:rsidP="00B01228">
            <w:pPr>
              <w:pStyle w:val="Style30"/>
              <w:widowControl/>
              <w:jc w:val="both"/>
              <w:rPr>
                <w:rFonts w:asciiTheme="majorHAnsi" w:hAnsiTheme="majorHAnsi" w:cs="Arial"/>
                <w:i/>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 xml:space="preserve">Zavedenie analýzy rizík </w:t>
            </w:r>
            <w:r w:rsidRPr="00620D27">
              <w:rPr>
                <w:rFonts w:asciiTheme="majorHAnsi" w:hAnsiTheme="majorHAnsi" w:cs="Arial"/>
                <w:sz w:val="16"/>
                <w:szCs w:val="16"/>
              </w:rPr>
              <w:t>pri výkone kontroly VO zo strany RO, ktorá identifikuje riziko zákazky z pohľadu potrebnej spolupráce s ÚVO (rizikové zákazky budú podliehať povinne kontrole zo strany ÚVO)</w:t>
            </w:r>
            <w:r w:rsidR="00B831B3">
              <w:rPr>
                <w:rFonts w:asciiTheme="majorHAnsi" w:hAnsiTheme="majorHAnsi" w:cs="Arial"/>
                <w:sz w:val="16"/>
                <w:szCs w:val="16"/>
              </w:rPr>
              <w:t>,</w:t>
            </w:r>
            <w:r w:rsidRPr="00620D27">
              <w:rPr>
                <w:rFonts w:asciiTheme="majorHAnsi" w:hAnsiTheme="majorHAnsi" w:cs="Arial"/>
                <w:sz w:val="16"/>
                <w:szCs w:val="16"/>
              </w:rPr>
              <w:t xml:space="preserve"> a to spôsobom vykonania kontroly podľa zákona o 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w:t>
            </w:r>
            <w:r w:rsidR="00913324">
              <w:rPr>
                <w:rFonts w:asciiTheme="majorHAnsi" w:hAnsiTheme="majorHAnsi" w:cs="Arial"/>
                <w:sz w:val="16"/>
                <w:szCs w:val="16"/>
              </w:rPr>
              <w:br/>
            </w:r>
            <w:r w:rsidRPr="00620D27">
              <w:rPr>
                <w:rFonts w:asciiTheme="majorHAnsi" w:hAnsiTheme="majorHAnsi" w:cs="Arial"/>
                <w:sz w:val="16"/>
                <w:szCs w:val="16"/>
              </w:rPr>
              <w:t>a súčasne tak nebude dochádzať k neprimeraným predĺženiam výkonu kontroly</w:t>
            </w:r>
            <w:r w:rsidR="00B831B3">
              <w:rPr>
                <w:rFonts w:asciiTheme="majorHAnsi" w:hAnsiTheme="majorHAnsi" w:cs="Arial"/>
                <w:sz w:val="16"/>
                <w:szCs w:val="16"/>
              </w:rPr>
              <w:t xml:space="preserve"> </w:t>
            </w:r>
            <w:r w:rsidRPr="00620D27">
              <w:rPr>
                <w:rFonts w:asciiTheme="majorHAnsi" w:hAnsiTheme="majorHAnsi" w:cs="Arial"/>
                <w:sz w:val="16"/>
                <w:szCs w:val="16"/>
              </w:rPr>
              <w:t>(rizikové zákazky budú podliehať povinne kontrole zo strany ÚVO)</w:t>
            </w:r>
            <w:r w:rsidR="00B831B3">
              <w:rPr>
                <w:rFonts w:asciiTheme="majorHAnsi" w:hAnsiTheme="majorHAnsi" w:cs="Arial"/>
                <w:sz w:val="16"/>
                <w:szCs w:val="16"/>
              </w:rPr>
              <w:t>.</w:t>
            </w:r>
            <w:r w:rsidRPr="00620D27">
              <w:rPr>
                <w:rFonts w:asciiTheme="majorHAnsi" w:hAnsiTheme="majorHAnsi" w:cs="Arial"/>
                <w:sz w:val="16"/>
                <w:szCs w:val="16"/>
              </w:rPr>
              <w:t xml:space="preserve"> Samotná analýza bude predstavovať súbor údajov, ktoré budú vyhodnocované (napr. predpokladaná hodnota zákazky, postup obstarávania, existencia revíznych postupov, rozsah podmienok účasti </w:t>
            </w:r>
            <w:r w:rsidR="00913324">
              <w:rPr>
                <w:rFonts w:asciiTheme="majorHAnsi" w:hAnsiTheme="majorHAnsi" w:cs="Arial"/>
                <w:sz w:val="16"/>
                <w:szCs w:val="16"/>
              </w:rPr>
              <w:br/>
            </w:r>
            <w:r w:rsidRPr="00620D27">
              <w:rPr>
                <w:rFonts w:asciiTheme="majorHAnsi" w:hAnsiTheme="majorHAnsi" w:cs="Arial"/>
                <w:sz w:val="16"/>
                <w:szCs w:val="16"/>
              </w:rPr>
              <w:t>a pod.)</w:t>
            </w:r>
            <w:r w:rsidR="00B831B3">
              <w:rPr>
                <w:rFonts w:asciiTheme="majorHAnsi" w:hAnsiTheme="majorHAnsi" w:cs="Arial"/>
                <w:sz w:val="16"/>
                <w:szCs w:val="16"/>
              </w:rPr>
              <w:t>,</w:t>
            </w:r>
            <w:r w:rsidRPr="00620D27">
              <w:rPr>
                <w:rFonts w:asciiTheme="majorHAnsi" w:hAnsiTheme="majorHAnsi" w:cs="Arial"/>
                <w:sz w:val="16"/>
                <w:szCs w:val="16"/>
              </w:rPr>
              <w:t xml:space="preserve"> pričom každý z týchto údajov bude mať svoju bodovú hodnotu, predstavujúcu úroveň rizika (napr. hodnota postupu verejnej súťaže bude mať hodnotu rizika 0, zatiaľ čo rokovacie konanie 15 bodov</w:t>
            </w:r>
            <w:r w:rsidR="00B831B3">
              <w:rPr>
                <w:rFonts w:asciiTheme="majorHAnsi" w:hAnsiTheme="majorHAnsi" w:cs="Arial"/>
                <w:sz w:val="16"/>
                <w:szCs w:val="16"/>
              </w:rPr>
              <w:t>)</w:t>
            </w:r>
            <w:r w:rsidRPr="00620D27">
              <w:rPr>
                <w:rFonts w:asciiTheme="majorHAnsi" w:hAnsiTheme="majorHAnsi" w:cs="Arial"/>
                <w:sz w:val="16"/>
                <w:szCs w:val="16"/>
              </w:rPr>
              <w:t xml:space="preserve">. Sumárna hodnota všetkých týchto čiastkových bodov bude predstavovať celkové riziko zákazky </w:t>
            </w:r>
            <w:r w:rsidR="00913324">
              <w:rPr>
                <w:rFonts w:asciiTheme="majorHAnsi" w:hAnsiTheme="majorHAnsi" w:cs="Arial"/>
                <w:sz w:val="16"/>
                <w:szCs w:val="16"/>
              </w:rPr>
              <w:br/>
            </w:r>
            <w:r w:rsidRPr="00620D27">
              <w:rPr>
                <w:rFonts w:asciiTheme="majorHAnsi" w:hAnsiTheme="majorHAnsi" w:cs="Arial"/>
                <w:sz w:val="16"/>
                <w:szCs w:val="16"/>
              </w:rPr>
              <w:t xml:space="preserve">a podľa tejto hodnoty v nadväznosti na hodnotiaci kľúč bude RO oprávnené, neoprávnené alebo povinné požiadať ÚVO </w:t>
            </w:r>
            <w:r w:rsidR="00913324">
              <w:rPr>
                <w:rFonts w:asciiTheme="majorHAnsi" w:hAnsiTheme="majorHAnsi" w:cs="Arial"/>
                <w:sz w:val="16"/>
                <w:szCs w:val="16"/>
              </w:rPr>
              <w:br/>
            </w:r>
            <w:r w:rsidRPr="00620D27">
              <w:rPr>
                <w:rFonts w:asciiTheme="majorHAnsi" w:hAnsiTheme="majorHAnsi" w:cs="Arial"/>
                <w:sz w:val="16"/>
                <w:szCs w:val="16"/>
              </w:rPr>
              <w:t xml:space="preserve">o kontrolu tohto VO. </w:t>
            </w:r>
            <w:r w:rsidRPr="00620D27">
              <w:rPr>
                <w:rFonts w:asciiTheme="majorHAnsi" w:hAnsiTheme="majorHAnsi" w:cs="Arial"/>
                <w:i/>
                <w:sz w:val="16"/>
                <w:szCs w:val="16"/>
              </w:rPr>
              <w:t>Plánované opatrenie</w:t>
            </w:r>
          </w:p>
          <w:p w:rsidR="00B01228" w:rsidRPr="00620D27" w:rsidRDefault="00B01228" w:rsidP="00B01228">
            <w:pPr>
              <w:pStyle w:val="Style30"/>
              <w:widowControl/>
              <w:jc w:val="both"/>
              <w:rPr>
                <w:rFonts w:asciiTheme="majorHAnsi" w:hAnsiTheme="majorHAnsi" w:cs="Arial"/>
                <w:i/>
                <w:sz w:val="16"/>
                <w:szCs w:val="16"/>
              </w:rPr>
            </w:pP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Vypracovanie vzorových dokumentov</w:t>
            </w:r>
            <w:r w:rsidRPr="00620D27">
              <w:rPr>
                <w:rFonts w:asciiTheme="majorHAnsi" w:hAnsiTheme="majorHAnsi" w:cs="Arial"/>
                <w:sz w:val="16"/>
                <w:szCs w:val="16"/>
              </w:rPr>
              <w:t xml:space="preserve"> využívaných </w:t>
            </w:r>
            <w:r w:rsidR="00913324">
              <w:rPr>
                <w:rFonts w:asciiTheme="majorHAnsi" w:hAnsiTheme="majorHAnsi" w:cs="Arial"/>
                <w:sz w:val="16"/>
                <w:szCs w:val="16"/>
              </w:rPr>
              <w:br/>
            </w:r>
            <w:r w:rsidRPr="00620D27">
              <w:rPr>
                <w:rFonts w:asciiTheme="majorHAnsi" w:hAnsiTheme="majorHAnsi" w:cs="Arial"/>
                <w:sz w:val="16"/>
                <w:szCs w:val="16"/>
              </w:rPr>
              <w:t xml:space="preserve">v procese verejného obstarávania (napr. súťažné podklady, návrhy oznámení využívaných v procesoch VO) a ich zverejnenie a sprístupnenie prijímateľom pomoci. Opatrenie má za cieľ znížiť chybovosť v procesoch verejného obstarávania zo strany verejných obstarávateľov alebo obstarávateľov a zvýšenie transparentnosti. </w:t>
            </w:r>
          </w:p>
          <w:p w:rsidR="00B01228" w:rsidRPr="00620D27" w:rsidRDefault="00B01228" w:rsidP="00B01228">
            <w:pPr>
              <w:pStyle w:val="Style30"/>
              <w:widowControl/>
              <w:jc w:val="both"/>
              <w:rPr>
                <w:rFonts w:asciiTheme="majorHAnsi" w:hAnsiTheme="majorHAnsi" w:cs="Arial"/>
                <w:i/>
                <w:sz w:val="16"/>
                <w:szCs w:val="16"/>
              </w:rPr>
            </w:pPr>
            <w:r w:rsidRPr="00620D27">
              <w:rPr>
                <w:rFonts w:asciiTheme="majorHAnsi" w:hAnsiTheme="majorHAnsi" w:cs="Arial"/>
                <w:sz w:val="16"/>
                <w:szCs w:val="16"/>
              </w:rPr>
              <w:t xml:space="preserve">V nadväznosti na prijatie nového zákona o verejnom obstarávaní sa pripravia vzorové súťažné podklady, vzory oznámení používaných v procese verejného obstarávania. </w:t>
            </w:r>
            <w:r w:rsidRPr="00620D27">
              <w:rPr>
                <w:rFonts w:asciiTheme="majorHAnsi" w:hAnsiTheme="majorHAnsi" w:cs="Arial"/>
                <w:i/>
                <w:sz w:val="16"/>
                <w:szCs w:val="16"/>
              </w:rPr>
              <w:t xml:space="preserve">Plánované opatrenie. </w:t>
            </w:r>
          </w:p>
          <w:p w:rsidR="00B01228" w:rsidRPr="00620D27" w:rsidRDefault="00B01228" w:rsidP="00B01228">
            <w:pPr>
              <w:pStyle w:val="Style30"/>
              <w:widowControl/>
              <w:jc w:val="both"/>
              <w:rPr>
                <w:rFonts w:asciiTheme="majorHAnsi" w:hAnsiTheme="majorHAnsi" w:cs="Arial"/>
                <w:i/>
                <w:sz w:val="16"/>
                <w:szCs w:val="16"/>
              </w:rPr>
            </w:pP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Na úrovni systému riadenia vypracovanie </w:t>
            </w:r>
            <w:r w:rsidRPr="00620D27">
              <w:rPr>
                <w:rFonts w:asciiTheme="majorHAnsi" w:hAnsiTheme="majorHAnsi" w:cs="Arial"/>
                <w:b/>
                <w:sz w:val="16"/>
                <w:szCs w:val="16"/>
              </w:rPr>
              <w:t>kontrolných zoznamov</w:t>
            </w:r>
            <w:r w:rsidRPr="00620D27">
              <w:rPr>
                <w:rFonts w:asciiTheme="majorHAnsi" w:hAnsiTheme="majorHAnsi" w:cs="Arial"/>
                <w:sz w:val="16"/>
                <w:szCs w:val="16"/>
              </w:rPr>
              <w:t xml:space="preserve"> pre kontrolu RO, ktoré budú zohľadňovať špecifiká rôznych druhov verejných obstarávaní (verejná súťaž, užšia súťaž, rokovacie konanie a pod.) a odrážať najčastejšie pochybenia pri procesoch VO zistených v predchádzajúcom období 2007 -2013. </w:t>
            </w:r>
            <w:r w:rsidRPr="00620D27">
              <w:rPr>
                <w:rFonts w:asciiTheme="majorHAnsi" w:hAnsiTheme="majorHAnsi" w:cs="Arial"/>
                <w:i/>
                <w:sz w:val="16"/>
                <w:szCs w:val="16"/>
              </w:rPr>
              <w:t>Plánované opatrenie</w:t>
            </w:r>
            <w:r w:rsidR="00804F82">
              <w:rPr>
                <w:rFonts w:asciiTheme="majorHAnsi" w:hAnsiTheme="majorHAnsi" w:cs="Arial"/>
                <w:i/>
                <w:sz w:val="16"/>
                <w:szCs w:val="16"/>
              </w:rPr>
              <w:t>.</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01228" w:rsidP="00B01228">
            <w:pPr>
              <w:pStyle w:val="Style30"/>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Príprava jednotných pravidiel</w:t>
            </w:r>
            <w:r w:rsidRPr="00620D27">
              <w:rPr>
                <w:rFonts w:asciiTheme="majorHAnsi" w:hAnsiTheme="majorHAnsi" w:cs="Arial"/>
                <w:sz w:val="16"/>
                <w:szCs w:val="16"/>
              </w:rPr>
              <w:t xml:space="preserve"> a požiadaviek na VO </w:t>
            </w:r>
            <w:r w:rsidR="00913324">
              <w:rPr>
                <w:rFonts w:asciiTheme="majorHAnsi" w:hAnsiTheme="majorHAnsi" w:cs="Arial"/>
                <w:sz w:val="16"/>
                <w:szCs w:val="16"/>
              </w:rPr>
              <w:br/>
            </w:r>
            <w:r w:rsidRPr="00620D27">
              <w:rPr>
                <w:rFonts w:asciiTheme="majorHAnsi" w:hAnsiTheme="majorHAnsi" w:cs="Arial"/>
                <w:sz w:val="16"/>
                <w:szCs w:val="16"/>
              </w:rPr>
              <w:t>a požiadaviek na dokumentáciu VO.</w:t>
            </w:r>
            <w:r w:rsidRPr="00620D27">
              <w:rPr>
                <w:rFonts w:asciiTheme="majorHAnsi" w:hAnsiTheme="majorHAnsi"/>
                <w:sz w:val="16"/>
                <w:szCs w:val="16"/>
              </w:rPr>
              <w:t xml:space="preserve"> </w:t>
            </w:r>
            <w:r w:rsidRPr="00620D27">
              <w:rPr>
                <w:rFonts w:asciiTheme="majorHAnsi" w:hAnsiTheme="majorHAnsi" w:cs="Arial"/>
                <w:sz w:val="16"/>
                <w:szCs w:val="16"/>
              </w:rPr>
              <w:t xml:space="preserve">Na úrovni aplikácie zákona o verejnom obstarávaní bude ÚVO jednotnými metodickými výkladmi a jednotnou rozhodovacou praxou </w:t>
            </w:r>
            <w:r w:rsidR="00913324">
              <w:rPr>
                <w:rFonts w:asciiTheme="majorHAnsi" w:hAnsiTheme="majorHAnsi" w:cs="Arial"/>
                <w:sz w:val="16"/>
                <w:szCs w:val="16"/>
              </w:rPr>
              <w:br/>
            </w:r>
            <w:r w:rsidRPr="00620D27">
              <w:rPr>
                <w:rFonts w:asciiTheme="majorHAnsi" w:hAnsiTheme="majorHAnsi" w:cs="Arial"/>
                <w:sz w:val="16"/>
                <w:szCs w:val="16"/>
              </w:rPr>
              <w:t xml:space="preserve">v rámci kontroly a revíznych postupov zabezpečovať transparentné, konzistentné a predvídateľné obstarávateľské prostredie. </w:t>
            </w: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V rámci záväzných postupov definovaných v metodických </w:t>
            </w:r>
            <w:r w:rsidR="00913324">
              <w:rPr>
                <w:rFonts w:asciiTheme="majorHAnsi" w:hAnsiTheme="majorHAnsi" w:cs="Arial"/>
                <w:sz w:val="16"/>
                <w:szCs w:val="16"/>
              </w:rPr>
              <w:br/>
            </w:r>
            <w:r w:rsidRPr="00620D27">
              <w:rPr>
                <w:rFonts w:asciiTheme="majorHAnsi" w:hAnsiTheme="majorHAnsi" w:cs="Arial"/>
                <w:sz w:val="16"/>
                <w:szCs w:val="16"/>
              </w:rPr>
              <w:t xml:space="preserve">a riadiacich dokumentáciách na úrovni systému riadenia, ktorými sa budú riadiť RO pri výkone kontroly a tiež prijímatelia pri realizácii VO a následného predkladania dokumentácie, dôjde k zosúladeniu postupov a prípravy jednotných pravidiel (napr. jednotné výstupy z kontrol, jednotné požiadavky na prijímateľov ohľadne rozsahu potrebnej dokumentácie, jednotné požiadavky na úroveň zverejňovania zákaziek s veľmi malou hodnotou a pod.). </w:t>
            </w:r>
            <w:r w:rsidRPr="00620D27">
              <w:rPr>
                <w:rFonts w:asciiTheme="majorHAnsi" w:hAnsiTheme="majorHAnsi" w:cs="Arial"/>
                <w:i/>
                <w:sz w:val="16"/>
                <w:szCs w:val="16"/>
              </w:rPr>
              <w:t>Plánované opatrenie</w:t>
            </w:r>
            <w:r w:rsidRPr="00620D27">
              <w:rPr>
                <w:rFonts w:asciiTheme="majorHAnsi" w:hAnsiTheme="majorHAnsi" w:cs="Arial"/>
                <w:sz w:val="16"/>
                <w:szCs w:val="16"/>
              </w:rPr>
              <w:t xml:space="preserve">. </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 xml:space="preserve">Zavedenie cenových máp, benchmarkov a limitov pre posúdenie hospodárnosti. </w:t>
            </w:r>
            <w:r w:rsidRPr="00620D27">
              <w:rPr>
                <w:rFonts w:asciiTheme="majorHAnsi" w:hAnsiTheme="majorHAnsi" w:cs="Arial"/>
                <w:sz w:val="16"/>
                <w:szCs w:val="16"/>
              </w:rPr>
              <w:t>Na úrovni systému riadenia sa zavedie povinnosť RO posudzovať maximálnu výšku požadovaného nenávratného príspevku s ohľadom na zavedený systém cenových máp, benchmarkov a limitov pre najčastejšie</w:t>
            </w:r>
            <w:r w:rsidR="00804F82">
              <w:rPr>
                <w:rFonts w:asciiTheme="majorHAnsi" w:hAnsiTheme="majorHAnsi" w:cs="Arial"/>
                <w:sz w:val="16"/>
                <w:szCs w:val="16"/>
              </w:rPr>
              <w:t>,</w:t>
            </w:r>
            <w:r w:rsidRPr="00620D27">
              <w:rPr>
                <w:rFonts w:asciiTheme="majorHAnsi" w:hAnsiTheme="majorHAnsi" w:cs="Arial"/>
                <w:sz w:val="16"/>
                <w:szCs w:val="16"/>
              </w:rPr>
              <w:t xml:space="preserve"> resp. najpodstatnejšie typy výdavkov. Dodržanie týchto limitov bude následne overované pri kontrole verejného obstarávanie</w:t>
            </w:r>
            <w:r w:rsidR="00804F82">
              <w:rPr>
                <w:rFonts w:asciiTheme="majorHAnsi" w:hAnsiTheme="majorHAnsi" w:cs="Arial"/>
                <w:sz w:val="16"/>
                <w:szCs w:val="16"/>
              </w:rPr>
              <w:t>,</w:t>
            </w:r>
            <w:r w:rsidRPr="00620D27">
              <w:rPr>
                <w:rFonts w:asciiTheme="majorHAnsi" w:hAnsiTheme="majorHAnsi" w:cs="Arial"/>
                <w:sz w:val="16"/>
                <w:szCs w:val="16"/>
              </w:rPr>
              <w:t xml:space="preserve"> resp. jeho výsledku. Zároveň sa zadefinuje metodický postup na zostavovanie týchto ukazovateľov, aby bol zabezpečený ich jednotný </w:t>
            </w:r>
            <w:r w:rsidR="00913324">
              <w:rPr>
                <w:rFonts w:asciiTheme="majorHAnsi" w:hAnsiTheme="majorHAnsi" w:cs="Arial"/>
                <w:sz w:val="16"/>
                <w:szCs w:val="16"/>
              </w:rPr>
              <w:br/>
            </w:r>
            <w:r w:rsidRPr="00620D27">
              <w:rPr>
                <w:rFonts w:asciiTheme="majorHAnsi" w:hAnsiTheme="majorHAnsi" w:cs="Arial"/>
                <w:sz w:val="16"/>
                <w:szCs w:val="16"/>
              </w:rPr>
              <w:t>a transparentný spôsob určovania</w:t>
            </w:r>
            <w:r w:rsidR="00804F82">
              <w:rPr>
                <w:rFonts w:asciiTheme="majorHAnsi" w:hAnsiTheme="majorHAnsi" w:cs="Arial"/>
                <w:sz w:val="16"/>
                <w:szCs w:val="16"/>
              </w:rPr>
              <w:t>.</w:t>
            </w:r>
            <w:r w:rsidRPr="00620D27">
              <w:rPr>
                <w:rFonts w:asciiTheme="majorHAnsi" w:hAnsiTheme="majorHAnsi" w:cs="Arial"/>
                <w:sz w:val="16"/>
                <w:szCs w:val="16"/>
              </w:rPr>
              <w:t xml:space="preserve"> </w:t>
            </w:r>
            <w:r w:rsidRPr="00620D27">
              <w:rPr>
                <w:rFonts w:asciiTheme="majorHAnsi" w:hAnsiTheme="majorHAnsi" w:cs="Arial"/>
                <w:i/>
                <w:sz w:val="16"/>
                <w:szCs w:val="16"/>
              </w:rPr>
              <w:t>Plánované opatrenie.</w:t>
            </w:r>
            <w:r w:rsidRPr="00620D27">
              <w:rPr>
                <w:rFonts w:asciiTheme="majorHAnsi" w:hAnsiTheme="majorHAnsi" w:cs="Arial"/>
                <w:sz w:val="16"/>
                <w:szCs w:val="16"/>
              </w:rPr>
              <w:t xml:space="preserve"> </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Zavedenie povinnej ex</w:t>
            </w:r>
            <w:r w:rsidR="00804F82">
              <w:rPr>
                <w:rFonts w:asciiTheme="majorHAnsi" w:hAnsiTheme="majorHAnsi" w:cs="Arial"/>
                <w:b/>
                <w:sz w:val="16"/>
                <w:szCs w:val="16"/>
              </w:rPr>
              <w:t xml:space="preserve"> </w:t>
            </w:r>
            <w:r w:rsidRPr="00620D27">
              <w:rPr>
                <w:rFonts w:asciiTheme="majorHAnsi" w:hAnsiTheme="majorHAnsi" w:cs="Arial"/>
                <w:b/>
                <w:sz w:val="16"/>
                <w:szCs w:val="16"/>
              </w:rPr>
              <w:t>ante kontroly</w:t>
            </w:r>
            <w:r w:rsidRPr="00620D27">
              <w:rPr>
                <w:rFonts w:asciiTheme="majorHAnsi" w:hAnsiTheme="majorHAnsi" w:cs="Arial"/>
                <w:sz w:val="16"/>
                <w:szCs w:val="16"/>
              </w:rPr>
              <w:t xml:space="preserve"> dokumentácie zo strany RO (kontrola návrhu súťažných podkladov a oznámenia o vyhlásení verejného obstarávania pred jej vyhlásením) </w:t>
            </w:r>
            <w:r w:rsidR="00913324">
              <w:rPr>
                <w:rFonts w:asciiTheme="majorHAnsi" w:hAnsiTheme="majorHAnsi" w:cs="Arial"/>
                <w:sz w:val="16"/>
                <w:szCs w:val="16"/>
              </w:rPr>
              <w:br/>
            </w:r>
            <w:r w:rsidRPr="00620D27">
              <w:rPr>
                <w:rFonts w:asciiTheme="majorHAnsi" w:hAnsiTheme="majorHAnsi" w:cs="Arial"/>
                <w:sz w:val="16"/>
                <w:szCs w:val="16"/>
              </w:rPr>
              <w:t xml:space="preserve">a kontroly verejného obstarávania pred podpisom zmluvy </w:t>
            </w:r>
            <w:r w:rsidR="00913324">
              <w:rPr>
                <w:rFonts w:asciiTheme="majorHAnsi" w:hAnsiTheme="majorHAnsi" w:cs="Arial"/>
                <w:sz w:val="16"/>
                <w:szCs w:val="16"/>
              </w:rPr>
              <w:br/>
            </w:r>
            <w:r w:rsidRPr="00620D27">
              <w:rPr>
                <w:rFonts w:asciiTheme="majorHAnsi" w:hAnsiTheme="majorHAnsi" w:cs="Arial"/>
                <w:sz w:val="16"/>
                <w:szCs w:val="16"/>
              </w:rPr>
              <w:lastRenderedPageBreak/>
              <w:t xml:space="preserve">s úspešným uchádzačom. Uvedený typ kontroly má za úlohu preventívne eliminovať chyby a nedostatky v návrhoch dokumentácie k verejnému obstarávaniu a tým znížiť riziko porušenia zákona o verejnom obstarávaní. </w:t>
            </w:r>
            <w:r w:rsidRPr="00620D27">
              <w:rPr>
                <w:rFonts w:asciiTheme="majorHAnsi" w:hAnsiTheme="majorHAnsi" w:cs="Arial"/>
                <w:i/>
                <w:sz w:val="16"/>
                <w:szCs w:val="16"/>
              </w:rPr>
              <w:t>Plánované opatrenie</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01228" w:rsidP="00B01228">
            <w:pPr>
              <w:pStyle w:val="Style30"/>
              <w:widowControl/>
              <w:jc w:val="both"/>
              <w:rPr>
                <w:rFonts w:asciiTheme="majorHAnsi" w:hAnsiTheme="majorHAnsi" w:cs="Arial"/>
                <w:i/>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Aplikovanie princípov „zeleného“ a sociálneho verejného obstarávania</w:t>
            </w:r>
            <w:r w:rsidR="00804F82">
              <w:rPr>
                <w:rFonts w:asciiTheme="majorHAnsi" w:hAnsiTheme="majorHAnsi" w:cs="Arial"/>
                <w:b/>
                <w:sz w:val="16"/>
                <w:szCs w:val="16"/>
              </w:rPr>
              <w:t>,</w:t>
            </w:r>
            <w:r w:rsidRPr="00620D27">
              <w:rPr>
                <w:rFonts w:asciiTheme="majorHAnsi" w:hAnsiTheme="majorHAnsi" w:cs="Arial"/>
                <w:b/>
                <w:sz w:val="16"/>
                <w:szCs w:val="16"/>
              </w:rPr>
              <w:t xml:space="preserve"> resp. aj iných aspektov VO</w:t>
            </w:r>
            <w:r w:rsidRPr="00620D27">
              <w:rPr>
                <w:rFonts w:asciiTheme="majorHAnsi" w:hAnsiTheme="majorHAnsi" w:cs="Arial"/>
                <w:sz w:val="16"/>
                <w:szCs w:val="16"/>
              </w:rPr>
              <w:t xml:space="preserve"> (ako napr. podpora inovácií, podpora malých a stredných podnikateľov a pod.) využitím legislatívnych nástrojov zavedených v legislatíve EÚ </w:t>
            </w:r>
            <w:r w:rsidR="00913324">
              <w:rPr>
                <w:rFonts w:asciiTheme="majorHAnsi" w:hAnsiTheme="majorHAnsi" w:cs="Arial"/>
                <w:sz w:val="16"/>
                <w:szCs w:val="16"/>
              </w:rPr>
              <w:br/>
            </w:r>
            <w:r w:rsidRPr="00620D27">
              <w:rPr>
                <w:rFonts w:asciiTheme="majorHAnsi" w:hAnsiTheme="majorHAnsi" w:cs="Arial"/>
                <w:sz w:val="16"/>
                <w:szCs w:val="16"/>
              </w:rPr>
              <w:t xml:space="preserve">a SR v rámci vhodných typov podpory. Zákon o verejnom obstarávaní zabezpečuje vo svojich ustanoveniach podporu environmentálnych a sociálnych aspektov. Podľa zákona </w:t>
            </w:r>
            <w:r w:rsidR="00913324">
              <w:rPr>
                <w:rFonts w:asciiTheme="majorHAnsi" w:hAnsiTheme="majorHAnsi" w:cs="Arial"/>
                <w:sz w:val="16"/>
                <w:szCs w:val="16"/>
              </w:rPr>
              <w:br/>
            </w:r>
            <w:r w:rsidRPr="00620D27">
              <w:rPr>
                <w:rFonts w:asciiTheme="majorHAnsi" w:hAnsiTheme="majorHAnsi" w:cs="Arial"/>
                <w:sz w:val="16"/>
                <w:szCs w:val="16"/>
              </w:rPr>
              <w:t xml:space="preserve">o verejnom obstarávaní je možné určiť osobitné podmienky plnenia zmluvy týkajúce sa najmä sociálnych </w:t>
            </w:r>
            <w:r w:rsidR="00913324">
              <w:rPr>
                <w:rFonts w:asciiTheme="majorHAnsi" w:hAnsiTheme="majorHAnsi" w:cs="Arial"/>
                <w:sz w:val="16"/>
                <w:szCs w:val="16"/>
              </w:rPr>
              <w:br/>
            </w:r>
            <w:r w:rsidRPr="00620D27">
              <w:rPr>
                <w:rFonts w:asciiTheme="majorHAnsi" w:hAnsiTheme="majorHAnsi" w:cs="Arial"/>
                <w:sz w:val="16"/>
                <w:szCs w:val="16"/>
              </w:rPr>
              <w:t xml:space="preserve">a environmentálnych hľadísk, vo väzbe na obstarávanie motorových vozidiel stanovujúce povinnosť zohľadniť energetické a environmentálne vplyvy ich prevádzky počas ich životnosti, v rámci kritérií ekonomicky najvýhodnejšej ponuky je možné stanoviť aj environmentálne aspekty predmetu zákazky. Zákonná možnosť vyhradiť zadávanie zákazky pre chránené dielne a chránené pracoviská. </w:t>
            </w:r>
            <w:r w:rsidRPr="00620D27">
              <w:rPr>
                <w:rFonts w:asciiTheme="majorHAnsi" w:hAnsiTheme="majorHAnsi" w:cs="Arial"/>
                <w:i/>
                <w:sz w:val="16"/>
                <w:szCs w:val="16"/>
              </w:rPr>
              <w:t xml:space="preserve">Opatrenie prijaté </w:t>
            </w:r>
            <w:r w:rsidR="00913324">
              <w:rPr>
                <w:rFonts w:asciiTheme="majorHAnsi" w:hAnsiTheme="majorHAnsi" w:cs="Arial"/>
                <w:i/>
                <w:sz w:val="16"/>
                <w:szCs w:val="16"/>
              </w:rPr>
              <w:br/>
            </w:r>
            <w:r w:rsidRPr="00620D27">
              <w:rPr>
                <w:rFonts w:asciiTheme="majorHAnsi" w:hAnsiTheme="majorHAnsi" w:cs="Arial"/>
                <w:i/>
                <w:sz w:val="16"/>
                <w:szCs w:val="16"/>
              </w:rPr>
              <w:t>a dlhodobo upravené v zákone o verejnom obstarávaní.</w:t>
            </w:r>
          </w:p>
          <w:p w:rsidR="00B01228" w:rsidRPr="00620D27" w:rsidRDefault="00B01228" w:rsidP="00B01228">
            <w:pPr>
              <w:pStyle w:val="Style30"/>
              <w:widowControl/>
              <w:jc w:val="both"/>
              <w:rPr>
                <w:rFonts w:asciiTheme="majorHAnsi" w:hAnsiTheme="majorHAnsi" w:cs="Arial"/>
                <w:i/>
                <w:sz w:val="16"/>
                <w:szCs w:val="16"/>
              </w:rPr>
            </w:pP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 xml:space="preserve">- </w:t>
            </w:r>
            <w:r w:rsidRPr="00620D27">
              <w:rPr>
                <w:rFonts w:asciiTheme="majorHAnsi" w:hAnsiTheme="majorHAnsi" w:cs="Arial"/>
                <w:b/>
                <w:sz w:val="16"/>
                <w:szCs w:val="16"/>
              </w:rPr>
              <w:t>Zvedenie spolupráce s Protimonopolným úradom SR</w:t>
            </w:r>
            <w:r w:rsidRPr="00620D27">
              <w:rPr>
                <w:rFonts w:asciiTheme="majorHAnsi" w:hAnsiTheme="majorHAnsi" w:cs="Arial"/>
                <w:sz w:val="16"/>
                <w:szCs w:val="16"/>
              </w:rPr>
              <w:t xml:space="preserve"> (posilnenie ochrany hospodárskej súťaže zavedením spolupráce tohto subjektu s RO v rámci Dohody o spolupráci. RO budú v prípade identifikácie rizikových faktorov „redflags“ povinné požiadať PMÚ o spoluprácu -formou konzultácií, žiadostí o stanovisko, podania podnetu. Ďalšia oblasť spolupráce je pri tvorbe všeobecnej metodiky systému kontroly VO a v rámci školiacej činnosti zamestnancov vykonávajúcich kontrolu. PMÚ zabezpečuje ochranu hospodárskej súťaže v zmysle Nariadenia Rady (ES) č. 1/2003 zo 16. </w:t>
            </w:r>
            <w:r w:rsidR="00804F82">
              <w:rPr>
                <w:rFonts w:asciiTheme="majorHAnsi" w:hAnsiTheme="majorHAnsi" w:cs="Arial"/>
                <w:sz w:val="16"/>
                <w:szCs w:val="16"/>
              </w:rPr>
              <w:t>d</w:t>
            </w:r>
            <w:r w:rsidRPr="00620D27">
              <w:rPr>
                <w:rFonts w:asciiTheme="majorHAnsi" w:hAnsiTheme="majorHAnsi" w:cs="Arial"/>
                <w:sz w:val="16"/>
                <w:szCs w:val="16"/>
              </w:rPr>
              <w:t xml:space="preserve">ecembra 2002 o vykonávaní pravidiel hospodárskej súťaže ustanovených v článkoch 81 a 82 Zmluvy o fungovaní EÚ. </w:t>
            </w:r>
            <w:r w:rsidRPr="00620D27">
              <w:rPr>
                <w:rFonts w:asciiTheme="majorHAnsi" w:hAnsiTheme="majorHAnsi" w:cs="Arial"/>
                <w:i/>
                <w:sz w:val="16"/>
                <w:szCs w:val="16"/>
              </w:rPr>
              <w:t>Plánované opatrenie.</w:t>
            </w:r>
          </w:p>
          <w:p w:rsidR="00B01228" w:rsidRPr="00620D27" w:rsidRDefault="00B01228" w:rsidP="00B01228">
            <w:pPr>
              <w:pStyle w:val="Style30"/>
              <w:widowControl/>
              <w:jc w:val="both"/>
              <w:rPr>
                <w:rFonts w:asciiTheme="majorHAnsi" w:hAnsiTheme="majorHAnsi" w:cs="Arial"/>
                <w:sz w:val="16"/>
                <w:szCs w:val="16"/>
              </w:rPr>
            </w:pPr>
          </w:p>
          <w:p w:rsidR="00B01228" w:rsidRPr="00620D27" w:rsidRDefault="00B01228" w:rsidP="00B01228">
            <w:pPr>
              <w:pStyle w:val="Style30"/>
              <w:widowControl/>
              <w:jc w:val="both"/>
              <w:rPr>
                <w:rFonts w:asciiTheme="majorHAnsi" w:hAnsiTheme="majorHAnsi" w:cs="Arial"/>
                <w:sz w:val="16"/>
                <w:szCs w:val="16"/>
              </w:rPr>
            </w:pPr>
            <w:r w:rsidRPr="00620D27">
              <w:rPr>
                <w:rFonts w:asciiTheme="majorHAnsi" w:hAnsiTheme="majorHAnsi" w:cs="Arial"/>
                <w:sz w:val="16"/>
                <w:szCs w:val="16"/>
              </w:rPr>
              <w:t>Opatrenia na hlavné typy konkrétnych nedostatkov zistených Komisiou sú nasledovné:</w:t>
            </w:r>
          </w:p>
          <w:p w:rsidR="00B01228" w:rsidRPr="00620D27" w:rsidRDefault="00B01228" w:rsidP="001C5C9E">
            <w:pPr>
              <w:pStyle w:val="Style30"/>
              <w:widowControl/>
              <w:numPr>
                <w:ilvl w:val="0"/>
                <w:numId w:val="71"/>
              </w:numPr>
              <w:ind w:left="102" w:hanging="102"/>
              <w:jc w:val="both"/>
              <w:rPr>
                <w:rFonts w:asciiTheme="majorHAnsi" w:hAnsiTheme="majorHAnsi" w:cs="Arial"/>
                <w:sz w:val="16"/>
                <w:szCs w:val="16"/>
              </w:rPr>
            </w:pPr>
            <w:r w:rsidRPr="00620D27">
              <w:rPr>
                <w:rFonts w:asciiTheme="majorHAnsi" w:hAnsiTheme="majorHAnsi" w:cs="Arial"/>
                <w:b/>
                <w:sz w:val="16"/>
                <w:szCs w:val="16"/>
              </w:rPr>
              <w:t xml:space="preserve">Dodatky k zmluvám: </w:t>
            </w:r>
            <w:r w:rsidRPr="00620D27">
              <w:rPr>
                <w:rFonts w:asciiTheme="majorHAnsi" w:hAnsiTheme="majorHAnsi" w:cs="Arial"/>
                <w:sz w:val="16"/>
                <w:szCs w:val="16"/>
              </w:rPr>
              <w:t xml:space="preserve">Úpravou zákona o VO je </w:t>
            </w:r>
            <w:r w:rsidRPr="00620D27">
              <w:rPr>
                <w:rFonts w:asciiTheme="majorHAnsi" w:hAnsiTheme="majorHAnsi" w:cs="Arial"/>
                <w:sz w:val="16"/>
                <w:szCs w:val="16"/>
              </w:rPr>
              <w:lastRenderedPageBreak/>
              <w:t xml:space="preserve">zabezpečený zákaz uzatvárania dodatkov v prípadoch, že tieto menia podstatným spôsobom predmet zákazky, alebo podmienky pôvodnej súťaže, alebo ktorými sa zvyšuje cena plnenia zákazky. </w:t>
            </w:r>
            <w:r w:rsidRPr="00620D27">
              <w:rPr>
                <w:rFonts w:asciiTheme="majorHAnsi" w:hAnsiTheme="majorHAnsi" w:cs="Arial"/>
                <w:i/>
                <w:sz w:val="16"/>
                <w:szCs w:val="16"/>
              </w:rPr>
              <w:t>Opatrenie prijaté.</w:t>
            </w:r>
          </w:p>
          <w:p w:rsidR="00B01228" w:rsidRPr="00620D27" w:rsidRDefault="00B01228" w:rsidP="001C5C9E">
            <w:pPr>
              <w:pStyle w:val="Style30"/>
              <w:widowControl/>
              <w:numPr>
                <w:ilvl w:val="0"/>
                <w:numId w:val="71"/>
              </w:numPr>
              <w:ind w:left="102" w:hanging="142"/>
              <w:jc w:val="both"/>
              <w:rPr>
                <w:rFonts w:asciiTheme="majorHAnsi" w:hAnsiTheme="majorHAnsi" w:cs="Arial"/>
                <w:sz w:val="16"/>
                <w:szCs w:val="16"/>
              </w:rPr>
            </w:pPr>
            <w:r w:rsidRPr="00620D27">
              <w:rPr>
                <w:rFonts w:asciiTheme="majorHAnsi" w:hAnsiTheme="majorHAnsi" w:cs="Arial"/>
                <w:b/>
                <w:sz w:val="16"/>
                <w:szCs w:val="16"/>
              </w:rPr>
              <w:t>Konflikt záujmov:</w:t>
            </w:r>
            <w:r w:rsidRPr="00620D27">
              <w:rPr>
                <w:rFonts w:asciiTheme="majorHAnsi" w:hAnsiTheme="majorHAnsi" w:cs="Arial"/>
                <w:sz w:val="16"/>
                <w:szCs w:val="16"/>
              </w:rPr>
              <w:t xml:space="preserve">  Problematika bude riešená na úrovni legislatívnej a úrovni systémovej. Na úrovni legislatívnej SR </w:t>
            </w:r>
            <w:r w:rsidR="00913324">
              <w:rPr>
                <w:rFonts w:asciiTheme="majorHAnsi" w:hAnsiTheme="majorHAnsi" w:cs="Arial"/>
                <w:sz w:val="16"/>
                <w:szCs w:val="16"/>
              </w:rPr>
              <w:br/>
            </w:r>
            <w:r w:rsidRPr="00620D27">
              <w:rPr>
                <w:rFonts w:asciiTheme="majorHAnsi" w:hAnsiTheme="majorHAnsi" w:cs="Arial"/>
                <w:sz w:val="16"/>
                <w:szCs w:val="16"/>
              </w:rPr>
              <w:t>v transpozičnej lehote plne transponuje úpravu konfliktu záujmov vychádzajúci z novej smernice EÚ k verejnému obstarávani</w:t>
            </w:r>
            <w:r w:rsidR="00804F82">
              <w:rPr>
                <w:rFonts w:asciiTheme="majorHAnsi" w:hAnsiTheme="majorHAnsi" w:cs="Arial"/>
                <w:sz w:val="16"/>
                <w:szCs w:val="16"/>
              </w:rPr>
              <w:t>u</w:t>
            </w:r>
            <w:r w:rsidRPr="00620D27">
              <w:rPr>
                <w:rFonts w:asciiTheme="majorHAnsi" w:hAnsiTheme="majorHAnsi" w:cs="Arial"/>
                <w:sz w:val="16"/>
                <w:szCs w:val="16"/>
              </w:rPr>
              <w:t xml:space="preserve">. Na úrovni systému riadenia a kontroly budú zadefinované postupy výkonu administratívnej kontroly RO pre identifikovanie konfliktu záujmov a jeho ďalšie posúdenie a spracovanie. </w:t>
            </w:r>
            <w:r w:rsidRPr="00620D27">
              <w:rPr>
                <w:rFonts w:asciiTheme="majorHAnsi" w:hAnsiTheme="majorHAnsi" w:cs="Arial"/>
                <w:i/>
                <w:sz w:val="16"/>
                <w:szCs w:val="16"/>
              </w:rPr>
              <w:t>Plánované opatrenie.</w:t>
            </w:r>
          </w:p>
          <w:p w:rsidR="00B01228" w:rsidRPr="00620D27" w:rsidRDefault="00B01228" w:rsidP="001C5C9E">
            <w:pPr>
              <w:pStyle w:val="Style30"/>
              <w:widowControl/>
              <w:numPr>
                <w:ilvl w:val="0"/>
                <w:numId w:val="71"/>
              </w:numPr>
              <w:ind w:left="102" w:hanging="142"/>
              <w:jc w:val="both"/>
              <w:rPr>
                <w:rFonts w:asciiTheme="majorHAnsi" w:hAnsiTheme="majorHAnsi" w:cs="Arial"/>
                <w:sz w:val="16"/>
                <w:szCs w:val="16"/>
              </w:rPr>
            </w:pPr>
            <w:r w:rsidRPr="00620D27">
              <w:rPr>
                <w:rFonts w:asciiTheme="majorHAnsi" w:hAnsiTheme="majorHAnsi" w:cs="Arial"/>
                <w:b/>
                <w:sz w:val="16"/>
                <w:szCs w:val="16"/>
              </w:rPr>
              <w:t>Nedostatočná hospodárska súťaž</w:t>
            </w:r>
            <w:r w:rsidRPr="00620D27">
              <w:rPr>
                <w:rFonts w:asciiTheme="majorHAnsi" w:hAnsiTheme="majorHAnsi" w:cs="Arial"/>
                <w:sz w:val="16"/>
                <w:szCs w:val="16"/>
              </w:rPr>
              <w:t xml:space="preserve"> – predloženie len 1 ponuky: Tento nedostatok bol riešený na úrovni legislatívnej a úrovni systémovej. Na úrovni legislatívnej bol novelou zákona o verejnom obstarávaní ustanovená možnosť verejného obstarávateľa zrušiť postup zadávania zákazky </w:t>
            </w:r>
            <w:r w:rsidR="00913324">
              <w:rPr>
                <w:rFonts w:asciiTheme="majorHAnsi" w:hAnsiTheme="majorHAnsi" w:cs="Arial"/>
                <w:sz w:val="16"/>
                <w:szCs w:val="16"/>
              </w:rPr>
              <w:br/>
            </w:r>
            <w:r w:rsidRPr="00620D27">
              <w:rPr>
                <w:rFonts w:asciiTheme="majorHAnsi" w:hAnsiTheme="majorHAnsi" w:cs="Arial"/>
                <w:sz w:val="16"/>
                <w:szCs w:val="16"/>
              </w:rPr>
              <w:t>v prípadoch, že bude predložená len jedna alebo dve ponuky. Na úrovni systémovej bol tento nedostatok riešený úpravou systému riadenia, podľa ktorej je RO povinný pri identifikácii VO</w:t>
            </w:r>
            <w:r w:rsidR="00804F82">
              <w:rPr>
                <w:rFonts w:asciiTheme="majorHAnsi" w:hAnsiTheme="majorHAnsi" w:cs="Arial"/>
                <w:sz w:val="16"/>
                <w:szCs w:val="16"/>
              </w:rPr>
              <w:t>,</w:t>
            </w:r>
            <w:r w:rsidRPr="00620D27">
              <w:rPr>
                <w:rFonts w:asciiTheme="majorHAnsi" w:hAnsiTheme="majorHAnsi" w:cs="Arial"/>
                <w:sz w:val="16"/>
                <w:szCs w:val="16"/>
              </w:rPr>
              <w:t xml:space="preserve"> v rámci ktorého bola predložená len jedna ponuka, požiadať ÚVO o výkon kontroly celého VO. Zároveň bude ochrana hospodárskej súťaže posilnená spoluprácou subjektov kontroly s Protimonopolným úradom SR. </w:t>
            </w:r>
            <w:r w:rsidRPr="00620D27">
              <w:rPr>
                <w:rFonts w:asciiTheme="majorHAnsi" w:hAnsiTheme="majorHAnsi" w:cs="Arial"/>
                <w:i/>
                <w:sz w:val="16"/>
                <w:szCs w:val="16"/>
              </w:rPr>
              <w:t>Plánované opatrenie.</w:t>
            </w:r>
          </w:p>
          <w:p w:rsidR="00B01228" w:rsidRPr="00620D27" w:rsidRDefault="00B01228" w:rsidP="001C5C9E">
            <w:pPr>
              <w:pStyle w:val="Style30"/>
              <w:widowControl/>
              <w:numPr>
                <w:ilvl w:val="0"/>
                <w:numId w:val="71"/>
              </w:numPr>
              <w:ind w:left="102" w:hanging="142"/>
              <w:jc w:val="both"/>
              <w:rPr>
                <w:rFonts w:asciiTheme="majorHAnsi" w:hAnsiTheme="majorHAnsi" w:cs="Arial"/>
                <w:sz w:val="16"/>
                <w:szCs w:val="16"/>
              </w:rPr>
            </w:pPr>
            <w:r w:rsidRPr="00620D27">
              <w:rPr>
                <w:rFonts w:asciiTheme="majorHAnsi" w:hAnsiTheme="majorHAnsi" w:cs="Arial"/>
                <w:b/>
                <w:sz w:val="16"/>
                <w:szCs w:val="16"/>
              </w:rPr>
              <w:t>Určovanie lehoty na vyžiadanie súťažných podkladov</w:t>
            </w:r>
            <w:r w:rsidRPr="00620D27">
              <w:rPr>
                <w:rFonts w:asciiTheme="majorHAnsi" w:hAnsiTheme="majorHAnsi" w:cs="Arial"/>
                <w:sz w:val="16"/>
                <w:szCs w:val="16"/>
              </w:rPr>
              <w:t>: Boli upravené elektronické formuláre - Oznámenia o vyhlásení verejného obstarávania tak, aby bola lehota na vyžiadanie SP zhodná s lehotou na predkladanie ponúk</w:t>
            </w:r>
            <w:r w:rsidR="00804F82">
              <w:rPr>
                <w:rFonts w:asciiTheme="majorHAnsi" w:hAnsiTheme="majorHAnsi" w:cs="Arial"/>
                <w:sz w:val="16"/>
                <w:szCs w:val="16"/>
              </w:rPr>
              <w:t>.</w:t>
            </w:r>
            <w:r w:rsidRPr="00620D27">
              <w:rPr>
                <w:rFonts w:asciiTheme="majorHAnsi" w:hAnsiTheme="majorHAnsi" w:cs="Arial"/>
                <w:sz w:val="16"/>
                <w:szCs w:val="16"/>
              </w:rPr>
              <w:t xml:space="preserve"> Uvedené opatrenie úplne odstránilo možnosť skracovať lehotu na vyžiadanie súťažných podkladov. Novelou zákona o VO bola zavedená povinnosť zverejňovania súťažných podkladov </w:t>
            </w:r>
            <w:r w:rsidR="00913324">
              <w:rPr>
                <w:rFonts w:asciiTheme="majorHAnsi" w:hAnsiTheme="majorHAnsi" w:cs="Arial"/>
                <w:sz w:val="16"/>
                <w:szCs w:val="16"/>
              </w:rPr>
              <w:br/>
            </w:r>
            <w:r w:rsidRPr="00620D27">
              <w:rPr>
                <w:rFonts w:asciiTheme="majorHAnsi" w:hAnsiTheme="majorHAnsi" w:cs="Arial"/>
                <w:sz w:val="16"/>
                <w:szCs w:val="16"/>
              </w:rPr>
              <w:t xml:space="preserve">v profile verejného obstarávateľa. Zároveň všetci prijímatelia boli usmernení zo strany RO o neobmedzovaní prístupu záujemcov k súťažným podkladom určovaním lehôt na vyžiadanie súťažných podkladov. </w:t>
            </w:r>
            <w:r w:rsidRPr="00620D27">
              <w:rPr>
                <w:rFonts w:asciiTheme="majorHAnsi" w:hAnsiTheme="majorHAnsi" w:cs="Arial"/>
                <w:i/>
                <w:sz w:val="16"/>
                <w:szCs w:val="16"/>
              </w:rPr>
              <w:t>Opatrenie prijaté</w:t>
            </w:r>
            <w:r w:rsidRPr="00620D27">
              <w:rPr>
                <w:rFonts w:asciiTheme="majorHAnsi" w:hAnsiTheme="majorHAnsi" w:cs="Arial"/>
                <w:sz w:val="16"/>
                <w:szCs w:val="16"/>
              </w:rPr>
              <w:t>.</w:t>
            </w:r>
          </w:p>
          <w:p w:rsidR="00B01228" w:rsidRPr="00620D27" w:rsidRDefault="00B01228" w:rsidP="001C5C9E">
            <w:pPr>
              <w:pStyle w:val="Style30"/>
              <w:widowControl/>
              <w:numPr>
                <w:ilvl w:val="0"/>
                <w:numId w:val="71"/>
              </w:numPr>
              <w:ind w:left="102" w:hanging="142"/>
              <w:jc w:val="both"/>
              <w:rPr>
                <w:rFonts w:asciiTheme="majorHAnsi" w:hAnsiTheme="majorHAnsi" w:cs="Arial"/>
                <w:i/>
                <w:sz w:val="16"/>
                <w:szCs w:val="16"/>
              </w:rPr>
            </w:pPr>
            <w:r w:rsidRPr="00620D27">
              <w:rPr>
                <w:rFonts w:asciiTheme="majorHAnsi" w:hAnsiTheme="majorHAnsi" w:cs="Arial"/>
                <w:b/>
                <w:sz w:val="16"/>
                <w:szCs w:val="16"/>
              </w:rPr>
              <w:t>Diskriminačné podmienky súťaže</w:t>
            </w:r>
            <w:r w:rsidRPr="00620D27">
              <w:rPr>
                <w:rFonts w:asciiTheme="majorHAnsi" w:hAnsiTheme="majorHAnsi" w:cs="Arial"/>
                <w:sz w:val="16"/>
                <w:szCs w:val="16"/>
              </w:rPr>
              <w:t>:</w:t>
            </w:r>
            <w:r w:rsidRPr="00620D27">
              <w:rPr>
                <w:rFonts w:asciiTheme="majorHAnsi" w:hAnsiTheme="majorHAnsi"/>
                <w:sz w:val="16"/>
                <w:szCs w:val="16"/>
              </w:rPr>
              <w:t xml:space="preserve"> </w:t>
            </w:r>
            <w:r w:rsidRPr="00620D27">
              <w:rPr>
                <w:rFonts w:asciiTheme="majorHAnsi" w:hAnsiTheme="majorHAnsi" w:cs="Arial"/>
                <w:sz w:val="16"/>
                <w:szCs w:val="16"/>
              </w:rPr>
              <w:t>Na odstránenie</w:t>
            </w:r>
            <w:r w:rsidR="00804F82">
              <w:rPr>
                <w:rFonts w:asciiTheme="majorHAnsi" w:hAnsiTheme="majorHAnsi" w:cs="Arial"/>
                <w:sz w:val="16"/>
                <w:szCs w:val="16"/>
              </w:rPr>
              <w:t>,</w:t>
            </w:r>
            <w:r w:rsidRPr="00620D27">
              <w:rPr>
                <w:rFonts w:asciiTheme="majorHAnsi" w:hAnsiTheme="majorHAnsi" w:cs="Arial"/>
                <w:sz w:val="16"/>
                <w:szCs w:val="16"/>
              </w:rPr>
              <w:t xml:space="preserve"> resp. identifikáciu diskriminačných podmienok súťaže sú zamerané viaceré z vyššie uvedených opatrení</w:t>
            </w:r>
            <w:r w:rsidR="00804F82">
              <w:rPr>
                <w:rFonts w:asciiTheme="majorHAnsi" w:hAnsiTheme="majorHAnsi" w:cs="Arial"/>
                <w:sz w:val="16"/>
                <w:szCs w:val="16"/>
              </w:rPr>
              <w:t>,</w:t>
            </w:r>
            <w:r w:rsidRPr="00620D27">
              <w:rPr>
                <w:rFonts w:asciiTheme="majorHAnsi" w:hAnsiTheme="majorHAnsi" w:cs="Arial"/>
                <w:sz w:val="16"/>
                <w:szCs w:val="16"/>
              </w:rPr>
              <w:t xml:space="preserve"> ako napr. </w:t>
            </w:r>
            <w:r w:rsidRPr="00620D27">
              <w:rPr>
                <w:rFonts w:asciiTheme="majorHAnsi" w:hAnsiTheme="majorHAnsi" w:cs="Arial"/>
                <w:sz w:val="16"/>
                <w:szCs w:val="16"/>
              </w:rPr>
              <w:lastRenderedPageBreak/>
              <w:t>spolupráca s ÚVO, ex</w:t>
            </w:r>
            <w:r w:rsidR="00804F82">
              <w:rPr>
                <w:rFonts w:asciiTheme="majorHAnsi" w:hAnsiTheme="majorHAnsi" w:cs="Arial"/>
                <w:sz w:val="16"/>
                <w:szCs w:val="16"/>
              </w:rPr>
              <w:t xml:space="preserve"> </w:t>
            </w:r>
            <w:r w:rsidRPr="00620D27">
              <w:rPr>
                <w:rFonts w:asciiTheme="majorHAnsi" w:hAnsiTheme="majorHAnsi" w:cs="Arial"/>
                <w:sz w:val="16"/>
                <w:szCs w:val="16"/>
              </w:rPr>
              <w:t xml:space="preserve">ante kontrola oznámení a súťažných podkladov pred vyhlásením súťaže a aj opatrenia uvedené pri časti odborných príprav zamestnancov a využitia technickej pomoci pre zavádzanie a uplatňovanie pravidiel EÚ v oblasti verejného obstarávania (napr. školenia zamestnancov, školenia prijímateľov, zverejňovanie a informovanie o zistených nedostatkoch). </w:t>
            </w:r>
            <w:r w:rsidRPr="00620D27">
              <w:rPr>
                <w:rFonts w:asciiTheme="majorHAnsi" w:hAnsiTheme="majorHAnsi" w:cs="Arial"/>
                <w:i/>
                <w:sz w:val="16"/>
                <w:szCs w:val="16"/>
              </w:rPr>
              <w:t>Plánované opatrenie</w:t>
            </w:r>
            <w:r w:rsidR="00804F82">
              <w:rPr>
                <w:rFonts w:asciiTheme="majorHAnsi" w:hAnsiTheme="majorHAnsi" w:cs="Arial"/>
                <w:i/>
                <w:sz w:val="16"/>
                <w:szCs w:val="16"/>
              </w:rPr>
              <w:t>.</w:t>
            </w:r>
          </w:p>
          <w:p w:rsidR="004E2D6C" w:rsidRPr="004E2D6C" w:rsidRDefault="004E2D6C" w:rsidP="004E2D6C">
            <w:pPr>
              <w:spacing w:before="0"/>
              <w:rPr>
                <w:rFonts w:ascii="Calibri" w:hAnsi="Calibri"/>
                <w:sz w:val="16"/>
                <w:szCs w:val="16"/>
                <w:lang w:eastAsia="sk-SK"/>
              </w:rPr>
            </w:pPr>
          </w:p>
        </w:tc>
      </w:tr>
      <w:tr w:rsidR="004E2D6C" w:rsidRPr="004E2D6C" w:rsidTr="001C5C9E">
        <w:tblPrEx>
          <w:tblBorders>
            <w:top w:val="single" w:sz="2" w:space="0" w:color="auto"/>
            <w:left w:val="single" w:sz="2" w:space="0" w:color="auto"/>
            <w:bottom w:val="single" w:sz="2" w:space="0" w:color="auto"/>
            <w:right w:val="single" w:sz="2" w:space="0" w:color="auto"/>
          </w:tblBorders>
        </w:tblPrEx>
        <w:trPr>
          <w:trHeight w:val="164"/>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vAlign w:val="center"/>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ktorými sa zabezpečia transparentné postupy prideľovania zákaziek.</w:t>
            </w:r>
          </w:p>
        </w:tc>
        <w:tc>
          <w:tcPr>
            <w:tcW w:w="850" w:type="dxa"/>
            <w:vAlign w:val="center"/>
          </w:tcPr>
          <w:p w:rsidR="004E2D6C" w:rsidRPr="004E2D6C" w:rsidRDefault="00B01228" w:rsidP="00A14E7D">
            <w:pPr>
              <w:spacing w:before="0"/>
              <w:jc w:val="center"/>
              <w:rPr>
                <w:rFonts w:ascii="Calibri" w:hAnsi="Calibri"/>
                <w:b/>
                <w:sz w:val="16"/>
                <w:szCs w:val="16"/>
                <w:lang w:eastAsia="sk-SK"/>
              </w:rPr>
            </w:pPr>
            <w:r>
              <w:rPr>
                <w:rFonts w:ascii="Calibri" w:hAnsi="Calibri"/>
                <w:b/>
                <w:sz w:val="16"/>
                <w:szCs w:val="16"/>
                <w:lang w:eastAsia="sk-SK"/>
              </w:rPr>
              <w:t>Nie</w:t>
            </w:r>
          </w:p>
        </w:tc>
        <w:tc>
          <w:tcPr>
            <w:tcW w:w="3119" w:type="dxa"/>
          </w:tcPr>
          <w:p w:rsidR="004E2D6C" w:rsidRPr="004E2D6C" w:rsidRDefault="004E2D6C" w:rsidP="004E2D6C">
            <w:pPr>
              <w:spacing w:before="0"/>
              <w:rPr>
                <w:rFonts w:ascii="Calibri" w:hAnsi="Calibri"/>
                <w:sz w:val="16"/>
                <w:szCs w:val="16"/>
                <w:lang w:eastAsia="sk-SK"/>
              </w:rPr>
            </w:pPr>
          </w:p>
        </w:tc>
        <w:tc>
          <w:tcPr>
            <w:tcW w:w="4111" w:type="dxa"/>
            <w:tcBorders>
              <w:right w:val="single" w:sz="12" w:space="0" w:color="auto"/>
            </w:tcBorders>
          </w:tcPr>
          <w:p w:rsidR="00B01228" w:rsidRPr="00620D27" w:rsidRDefault="00B01228" w:rsidP="00B01228">
            <w:pPr>
              <w:pStyle w:val="Style30"/>
              <w:jc w:val="both"/>
              <w:rPr>
                <w:rFonts w:asciiTheme="majorHAnsi" w:hAnsiTheme="majorHAnsi" w:cs="Arial"/>
                <w:i/>
                <w:sz w:val="16"/>
                <w:szCs w:val="16"/>
              </w:rPr>
            </w:pPr>
            <w:r w:rsidRPr="00620D27">
              <w:rPr>
                <w:rFonts w:asciiTheme="majorHAnsi" w:hAnsiTheme="majorHAnsi" w:cs="Arial"/>
                <w:sz w:val="16"/>
                <w:szCs w:val="16"/>
              </w:rPr>
              <w:t xml:space="preserve">Oblasť zadávania zákaziek nepodliehajúcich príslušným smerniciam EÚ v oblasti VO </w:t>
            </w:r>
            <w:r w:rsidRPr="00620D27">
              <w:rPr>
                <w:rFonts w:asciiTheme="majorHAnsi" w:hAnsiTheme="majorHAnsi" w:cs="Arial"/>
                <w:b/>
                <w:sz w:val="16"/>
                <w:szCs w:val="16"/>
              </w:rPr>
              <w:t>(podlimitné zákazky</w:t>
            </w:r>
            <w:r w:rsidRPr="00620D27">
              <w:rPr>
                <w:rFonts w:asciiTheme="majorHAnsi" w:hAnsiTheme="majorHAnsi" w:cs="Arial"/>
                <w:sz w:val="16"/>
                <w:szCs w:val="16"/>
              </w:rPr>
              <w:t>) je v SR legislatívne pokrytá samotným zákonom o VO. Takto je zabezpečená povinnosť postupu podľa tohto zákona pri obstarávaní prác, tovarov a služieb pre verejných obstarávateľov, obstarávateľov</w:t>
            </w:r>
            <w:r w:rsidR="00804F82">
              <w:rPr>
                <w:rFonts w:asciiTheme="majorHAnsi" w:hAnsiTheme="majorHAnsi" w:cs="Arial"/>
                <w:sz w:val="16"/>
                <w:szCs w:val="16"/>
              </w:rPr>
              <w:t>,</w:t>
            </w:r>
            <w:r w:rsidRPr="00620D27">
              <w:rPr>
                <w:rFonts w:asciiTheme="majorHAnsi" w:hAnsiTheme="majorHAnsi" w:cs="Arial"/>
                <w:sz w:val="16"/>
                <w:szCs w:val="16"/>
              </w:rPr>
              <w:t xml:space="preserve"> ako aj osôb, ktoré sú prijímateľmi nenávratného finančného príspevku. Postupy pre takéto zákazky vychádzajú zo základných princípov verejného obstarávania uvádzaných v predmetných smerniciach EÚ, preto zabezpečujú transparentné postupy verejného obstarávania aj pre zákazky, ktoré nespadajú pod smernice EÚ v oblasti verejného obstarávania. Na postupy verejného obstarávania týchto zákaziek sa budú vzťahovať rovnaké opatrenia uvedené vyššie, v kritériu 1. </w:t>
            </w:r>
            <w:r w:rsidRPr="00620D27">
              <w:rPr>
                <w:rFonts w:asciiTheme="majorHAnsi" w:hAnsiTheme="majorHAnsi" w:cs="Arial"/>
                <w:i/>
                <w:sz w:val="16"/>
                <w:szCs w:val="16"/>
              </w:rPr>
              <w:t>Opatrenie čiastočne prijaté</w:t>
            </w:r>
            <w:r w:rsidR="00804F82">
              <w:rPr>
                <w:rFonts w:asciiTheme="majorHAnsi" w:hAnsiTheme="majorHAnsi" w:cs="Arial"/>
                <w:i/>
                <w:sz w:val="16"/>
                <w:szCs w:val="16"/>
              </w:rPr>
              <w:t>.</w:t>
            </w:r>
          </w:p>
          <w:p w:rsidR="004E2D6C" w:rsidRPr="004E2D6C" w:rsidRDefault="004E2D6C" w:rsidP="004E2D6C">
            <w:pPr>
              <w:spacing w:before="0"/>
              <w:rPr>
                <w:rFonts w:ascii="Calibri" w:hAnsi="Calibri"/>
                <w:sz w:val="16"/>
                <w:szCs w:val="16"/>
                <w:lang w:eastAsia="sk-SK"/>
              </w:rPr>
            </w:pP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164"/>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odbornej prípravy a informovanie zamestnancov zapojených do vykonávania EŠIF.</w:t>
            </w:r>
          </w:p>
        </w:tc>
        <w:tc>
          <w:tcPr>
            <w:tcW w:w="850" w:type="dxa"/>
            <w:vAlign w:val="center"/>
          </w:tcPr>
          <w:p w:rsidR="004E2D6C" w:rsidRPr="004E2D6C" w:rsidRDefault="00D07B15" w:rsidP="00A14E7D">
            <w:pPr>
              <w:spacing w:before="0"/>
              <w:jc w:val="center"/>
              <w:rPr>
                <w:rFonts w:ascii="Calibri" w:hAnsi="Calibri"/>
                <w:sz w:val="16"/>
                <w:szCs w:val="16"/>
                <w:lang w:eastAsia="sk-SK"/>
              </w:rPr>
            </w:pPr>
            <w:r>
              <w:rPr>
                <w:rFonts w:ascii="Calibri" w:hAnsi="Calibri"/>
                <w:b/>
                <w:sz w:val="16"/>
                <w:szCs w:val="16"/>
                <w:lang w:eastAsia="sk-SK"/>
              </w:rPr>
              <w:t>Nie</w:t>
            </w:r>
          </w:p>
        </w:tc>
        <w:tc>
          <w:tcPr>
            <w:tcW w:w="3119" w:type="dxa"/>
          </w:tcPr>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D07B15" w:rsidRPr="0039740C" w:rsidRDefault="00D07B15" w:rsidP="00D07B15">
            <w:pPr>
              <w:spacing w:before="0"/>
              <w:rPr>
                <w:rFonts w:asciiTheme="majorHAnsi" w:hAnsiTheme="majorHAnsi"/>
                <w:sz w:val="16"/>
                <w:szCs w:val="16"/>
                <w:lang w:eastAsia="sk-SK"/>
              </w:rPr>
            </w:pPr>
            <w:r w:rsidRPr="0039740C">
              <w:rPr>
                <w:rFonts w:asciiTheme="majorHAnsi" w:hAnsiTheme="majorHAnsi"/>
                <w:sz w:val="16"/>
                <w:szCs w:val="16"/>
                <w:lang w:eastAsia="sk-SK"/>
              </w:rPr>
              <w:t>V zmysle uznesenia vlády SR č. 21/2013 Úrad pre verejné obstarávanie v spolupráci s každým riadiacim orgánom v periodicite pol roka vypracováva správu o výsledkoch kontrol a auditov v oblasti verejného obstarávania a táto je zverejnená</w:t>
            </w:r>
            <w:r>
              <w:rPr>
                <w:rFonts w:asciiTheme="majorHAnsi" w:hAnsiTheme="majorHAnsi"/>
                <w:sz w:val="16"/>
                <w:szCs w:val="16"/>
                <w:lang w:eastAsia="sk-SK"/>
              </w:rPr>
              <w:t>:</w:t>
            </w:r>
          </w:p>
          <w:p w:rsidR="00D07B15" w:rsidRPr="0039740C" w:rsidRDefault="00ED6BC8" w:rsidP="00D07B15">
            <w:pPr>
              <w:spacing w:before="0"/>
              <w:rPr>
                <w:rFonts w:asciiTheme="majorHAnsi" w:hAnsiTheme="majorHAnsi"/>
                <w:sz w:val="16"/>
                <w:szCs w:val="16"/>
              </w:rPr>
            </w:pPr>
            <w:hyperlink r:id="rId183" w:history="1">
              <w:r w:rsidR="00D07B15" w:rsidRPr="0039740C">
                <w:rPr>
                  <w:rFonts w:asciiTheme="majorHAnsi" w:hAnsiTheme="majorHAnsi"/>
                  <w:color w:val="0000FF"/>
                  <w:sz w:val="16"/>
                  <w:szCs w:val="16"/>
                  <w:u w:val="single"/>
                </w:rPr>
                <w:t>http://www.rokovania.sk/Rokovanie.aspx/BodRokovaniaDetail?idMaterial=21941</w:t>
              </w:r>
            </w:hyperlink>
          </w:p>
          <w:p w:rsidR="00D07B15" w:rsidRPr="0039740C" w:rsidRDefault="00D07B15" w:rsidP="00D07B15">
            <w:pPr>
              <w:spacing w:before="0"/>
              <w:rPr>
                <w:rFonts w:asciiTheme="majorHAnsi" w:hAnsiTheme="majorHAnsi"/>
                <w:sz w:val="16"/>
                <w:szCs w:val="16"/>
              </w:rPr>
            </w:pPr>
          </w:p>
          <w:p w:rsidR="00D07B15" w:rsidRPr="0039740C" w:rsidRDefault="00D07B15" w:rsidP="00D07B15">
            <w:pPr>
              <w:autoSpaceDE w:val="0"/>
              <w:autoSpaceDN w:val="0"/>
              <w:adjustRightInd w:val="0"/>
              <w:spacing w:before="0"/>
              <w:rPr>
                <w:rFonts w:asciiTheme="majorHAnsi" w:hAnsiTheme="majorHAnsi"/>
                <w:sz w:val="16"/>
                <w:szCs w:val="16"/>
                <w:lang w:eastAsia="sk-SK"/>
              </w:rPr>
            </w:pPr>
            <w:r w:rsidRPr="0039740C">
              <w:rPr>
                <w:rFonts w:asciiTheme="majorHAnsi" w:hAnsiTheme="majorHAnsi"/>
                <w:sz w:val="16"/>
                <w:szCs w:val="16"/>
                <w:lang w:eastAsia="sk-SK"/>
              </w:rPr>
              <w:t xml:space="preserve">(napr. </w:t>
            </w:r>
            <w:hyperlink r:id="rId184" w:history="1">
              <w:r w:rsidRPr="0039740C">
                <w:rPr>
                  <w:rFonts w:asciiTheme="majorHAnsi" w:hAnsiTheme="majorHAnsi"/>
                  <w:color w:val="0000FF"/>
                  <w:sz w:val="16"/>
                  <w:szCs w:val="16"/>
                  <w:u w:val="single"/>
                  <w:lang w:eastAsia="sk-SK"/>
                </w:rPr>
                <w:t>http://www.opzp.sk/dokumenty/projektove-dokumenty/rozhodnutia-uvo-sr-v-procesoch-vo-v-ramci-projketov-op-zp-v-programovom-obdobi-2007-2013/</w:t>
              </w:r>
            </w:hyperlink>
            <w:r w:rsidRPr="0039740C">
              <w:rPr>
                <w:rFonts w:asciiTheme="majorHAnsi" w:hAnsiTheme="majorHAnsi"/>
                <w:sz w:val="16"/>
                <w:szCs w:val="16"/>
                <w:lang w:eastAsia="sk-SK"/>
              </w:rPr>
              <w:t>) alebo (</w:t>
            </w:r>
            <w:hyperlink r:id="rId185" w:history="1">
              <w:r w:rsidRPr="0039740C">
                <w:rPr>
                  <w:rFonts w:asciiTheme="majorHAnsi" w:hAnsiTheme="majorHAnsi"/>
                  <w:color w:val="0000FF"/>
                  <w:sz w:val="16"/>
                  <w:szCs w:val="16"/>
                  <w:u w:val="single"/>
                  <w:lang w:eastAsia="sk-SK"/>
                </w:rPr>
                <w:t>http://www.ropka.sk/sk/verejne-obstaravania/</w:t>
              </w:r>
            </w:hyperlink>
            <w:r w:rsidRPr="0039740C">
              <w:rPr>
                <w:rFonts w:asciiTheme="majorHAnsi" w:hAnsiTheme="majorHAnsi"/>
                <w:sz w:val="16"/>
                <w:szCs w:val="16"/>
                <w:lang w:eastAsia="sk-SK"/>
              </w:rPr>
              <w:t>)</w:t>
            </w:r>
          </w:p>
          <w:p w:rsidR="00D07B15" w:rsidRPr="0039740C" w:rsidRDefault="00D07B15" w:rsidP="00D07B15">
            <w:pPr>
              <w:spacing w:before="0"/>
              <w:rPr>
                <w:rFonts w:asciiTheme="majorHAnsi" w:hAnsiTheme="majorHAnsi"/>
                <w:sz w:val="16"/>
                <w:szCs w:val="16"/>
              </w:rPr>
            </w:pPr>
          </w:p>
          <w:p w:rsidR="004E2D6C" w:rsidRPr="004E2D6C" w:rsidRDefault="00ED6BC8" w:rsidP="004E2D6C">
            <w:pPr>
              <w:spacing w:before="0"/>
              <w:rPr>
                <w:rFonts w:ascii="Calibri" w:hAnsi="Calibri"/>
                <w:sz w:val="16"/>
                <w:szCs w:val="16"/>
                <w:lang w:eastAsia="sk-SK"/>
              </w:rPr>
            </w:pPr>
            <w:hyperlink r:id="rId186" w:history="1">
              <w:r w:rsidR="00D07B15" w:rsidRPr="0039740C">
                <w:rPr>
                  <w:rStyle w:val="Hypertextovprepojenie"/>
                  <w:rFonts w:asciiTheme="majorHAnsi" w:hAnsiTheme="majorHAnsi" w:cs="Arial"/>
                  <w:sz w:val="16"/>
                  <w:szCs w:val="16"/>
                </w:rPr>
                <w:t>http://www.uvo.gov.sk/za-obdobie-od-1.1.2013-do-30.6.2013</w:t>
              </w:r>
            </w:hyperlink>
          </w:p>
        </w:tc>
        <w:tc>
          <w:tcPr>
            <w:tcW w:w="4111" w:type="dxa"/>
            <w:tcBorders>
              <w:right w:val="single" w:sz="12" w:space="0" w:color="auto"/>
            </w:tcBorders>
          </w:tcPr>
          <w:p w:rsidR="00D07B15" w:rsidRPr="00017421" w:rsidRDefault="00D07B15" w:rsidP="00D07B15">
            <w:pPr>
              <w:autoSpaceDE w:val="0"/>
              <w:autoSpaceDN w:val="0"/>
              <w:adjustRightInd w:val="0"/>
              <w:spacing w:before="0"/>
              <w:rPr>
                <w:rFonts w:ascii="Calibri" w:hAnsi="Calibri"/>
                <w:sz w:val="16"/>
                <w:szCs w:val="16"/>
                <w:lang w:eastAsia="sk-SK"/>
              </w:rPr>
            </w:pPr>
            <w:r w:rsidRPr="00017421">
              <w:rPr>
                <w:rFonts w:ascii="Calibri" w:hAnsi="Calibri"/>
                <w:sz w:val="16"/>
                <w:szCs w:val="16"/>
                <w:lang w:eastAsia="sk-SK"/>
              </w:rPr>
              <w:lastRenderedPageBreak/>
              <w:t>Zabezpečenie školení CKO týkajúce sa postupov administratívnej kontroly verejného obstarávania v rámci systému riadenia, prezentovanie najčastejších nedostatkov identifikovaných pri kontrolách verejného obstarávania. CKO už v súčasnosti zabezpečuje školenia pre RO/SORO týkajúce sa postupov administratívnej kontroly verejného obstarávania v rámci systému riadenia, prezentovanie najčastejších nedostatkov identifikovaných pri kontrolách verejného obstarávania, výklad k metodike CKO týkajúcej sa verejného obstarávania. Za rok 2013 bolo takto vyškolených 179 zamestnancov. V roku 2014 CKO rovnako plánuje organizovať a zabezpeč</w:t>
            </w:r>
            <w:r>
              <w:rPr>
                <w:rFonts w:ascii="Calibri" w:hAnsi="Calibri"/>
                <w:sz w:val="16"/>
                <w:szCs w:val="16"/>
                <w:lang w:eastAsia="sk-SK"/>
              </w:rPr>
              <w:t>ovať školenia tohto zamerania. Opatrenie prijaté</w:t>
            </w:r>
            <w:r w:rsidR="00804F82">
              <w:rPr>
                <w:rFonts w:ascii="Calibri" w:hAnsi="Calibri"/>
                <w:sz w:val="16"/>
                <w:szCs w:val="16"/>
                <w:lang w:eastAsia="sk-SK"/>
              </w:rPr>
              <w:t>.</w:t>
            </w:r>
            <w:r>
              <w:rPr>
                <w:rFonts w:ascii="Calibri" w:hAnsi="Calibri"/>
                <w:sz w:val="16"/>
                <w:szCs w:val="16"/>
                <w:lang w:eastAsia="sk-SK"/>
              </w:rPr>
              <w:t xml:space="preserve"> </w:t>
            </w:r>
          </w:p>
          <w:p w:rsidR="00D07B15" w:rsidRPr="00017421" w:rsidRDefault="00D07B15" w:rsidP="00D07B15">
            <w:pPr>
              <w:autoSpaceDE w:val="0"/>
              <w:autoSpaceDN w:val="0"/>
              <w:adjustRightInd w:val="0"/>
              <w:spacing w:before="0"/>
              <w:rPr>
                <w:rFonts w:ascii="Calibri" w:hAnsi="Calibri"/>
                <w:sz w:val="16"/>
                <w:szCs w:val="16"/>
                <w:lang w:eastAsia="sk-SK"/>
              </w:rPr>
            </w:pPr>
            <w:r w:rsidRPr="00017421">
              <w:rPr>
                <w:rFonts w:ascii="Calibri" w:hAnsi="Calibri"/>
                <w:sz w:val="16"/>
                <w:szCs w:val="16"/>
                <w:lang w:eastAsia="sk-SK"/>
              </w:rPr>
              <w:t xml:space="preserve">Zavedenie jednotného systému vzdelávania zamestnancov </w:t>
            </w:r>
            <w:r w:rsidR="00913324">
              <w:rPr>
                <w:rFonts w:ascii="Calibri" w:hAnsi="Calibri"/>
                <w:sz w:val="16"/>
                <w:szCs w:val="16"/>
                <w:lang w:eastAsia="sk-SK"/>
              </w:rPr>
              <w:br/>
            </w:r>
            <w:r w:rsidRPr="00017421">
              <w:rPr>
                <w:rFonts w:ascii="Calibri" w:hAnsi="Calibri"/>
                <w:sz w:val="16"/>
                <w:szCs w:val="16"/>
                <w:lang w:eastAsia="sk-SK"/>
              </w:rPr>
              <w:t xml:space="preserve">v rámci Systému riadenia a kontroly EŠIF. RO bude povinné zabezpečiť pre všetkých zamestnancov zúčastnených na </w:t>
            </w:r>
            <w:r w:rsidRPr="00017421">
              <w:rPr>
                <w:rFonts w:ascii="Calibri" w:hAnsi="Calibri"/>
                <w:sz w:val="16"/>
                <w:szCs w:val="16"/>
                <w:lang w:eastAsia="sk-SK"/>
              </w:rPr>
              <w:lastRenderedPageBreak/>
              <w:t xml:space="preserve">implementácii fondov pravidelnú odbornú prípravu </w:t>
            </w:r>
            <w:r w:rsidR="00913324">
              <w:rPr>
                <w:rFonts w:ascii="Calibri" w:hAnsi="Calibri"/>
                <w:sz w:val="16"/>
                <w:szCs w:val="16"/>
                <w:lang w:eastAsia="sk-SK"/>
              </w:rPr>
              <w:br/>
            </w:r>
            <w:r w:rsidRPr="00017421">
              <w:rPr>
                <w:rFonts w:ascii="Calibri" w:hAnsi="Calibri"/>
                <w:sz w:val="16"/>
                <w:szCs w:val="16"/>
                <w:lang w:eastAsia="sk-SK"/>
              </w:rPr>
              <w:t xml:space="preserve">a školenia, pričom títo zamestnanci budú povinní sa tohto vzdelávania zúčastniť. Systém vzdelávania bude nastavený </w:t>
            </w:r>
            <w:r w:rsidR="00913324">
              <w:rPr>
                <w:rFonts w:ascii="Calibri" w:hAnsi="Calibri"/>
                <w:sz w:val="16"/>
                <w:szCs w:val="16"/>
                <w:lang w:eastAsia="sk-SK"/>
              </w:rPr>
              <w:br/>
            </w:r>
            <w:r w:rsidRPr="00017421">
              <w:rPr>
                <w:rFonts w:ascii="Calibri" w:hAnsi="Calibri"/>
                <w:sz w:val="16"/>
                <w:szCs w:val="16"/>
                <w:lang w:eastAsia="sk-SK"/>
              </w:rPr>
              <w:t>s dôrazom na zabezpečenie cieleného odborného vzdelávania pre konkrétnu skupinu zamestnancov (napr. kontrolórov VO). Uvedená odborná príprava sa týka školení CKO, školení ÚVO</w:t>
            </w:r>
            <w:r w:rsidR="00913324">
              <w:rPr>
                <w:rFonts w:ascii="Calibri" w:hAnsi="Calibri"/>
                <w:sz w:val="16"/>
                <w:szCs w:val="16"/>
                <w:lang w:eastAsia="sk-SK"/>
              </w:rPr>
              <w:br/>
            </w:r>
            <w:r w:rsidRPr="00017421">
              <w:rPr>
                <w:rFonts w:ascii="Calibri" w:hAnsi="Calibri"/>
                <w:sz w:val="16"/>
                <w:szCs w:val="16"/>
                <w:lang w:eastAsia="sk-SK"/>
              </w:rPr>
              <w:t xml:space="preserve"> a tiež školení organizovanými Protimonopolným úradom</w:t>
            </w:r>
            <w:r w:rsidR="00A11C30">
              <w:rPr>
                <w:rFonts w:ascii="Calibri" w:hAnsi="Calibri"/>
                <w:sz w:val="16"/>
                <w:szCs w:val="16"/>
                <w:lang w:eastAsia="sk-SK"/>
              </w:rPr>
              <w:t xml:space="preserve"> SR</w:t>
            </w:r>
            <w:r w:rsidRPr="00017421">
              <w:rPr>
                <w:rFonts w:ascii="Calibri" w:hAnsi="Calibri"/>
                <w:sz w:val="16"/>
                <w:szCs w:val="16"/>
                <w:lang w:eastAsia="sk-SK"/>
              </w:rPr>
              <w:t xml:space="preserve"> vo veci ochrany hospodárskej súťaže. Opatrenie plánované. </w:t>
            </w:r>
          </w:p>
          <w:p w:rsidR="00D07B15" w:rsidRPr="00017421" w:rsidRDefault="00D07B15" w:rsidP="00D07B15">
            <w:pPr>
              <w:autoSpaceDE w:val="0"/>
              <w:autoSpaceDN w:val="0"/>
              <w:adjustRightInd w:val="0"/>
              <w:spacing w:before="0"/>
              <w:rPr>
                <w:rFonts w:ascii="Calibri" w:hAnsi="Calibri"/>
                <w:sz w:val="16"/>
                <w:szCs w:val="16"/>
                <w:lang w:eastAsia="sk-SK"/>
              </w:rPr>
            </w:pPr>
            <w:r w:rsidRPr="00017421">
              <w:rPr>
                <w:rFonts w:ascii="Calibri" w:hAnsi="Calibri"/>
                <w:sz w:val="16"/>
                <w:szCs w:val="16"/>
                <w:lang w:eastAsia="sk-SK"/>
              </w:rPr>
              <w:t xml:space="preserve">Tieto formy zverejňovania šírenia informácií o nedostatkoch zistených pri kontrole VO budú využívané aj </w:t>
            </w:r>
            <w:r w:rsidR="00804F82">
              <w:rPr>
                <w:rFonts w:ascii="Calibri" w:hAnsi="Calibri"/>
                <w:sz w:val="16"/>
                <w:szCs w:val="16"/>
                <w:lang w:eastAsia="sk-SK"/>
              </w:rPr>
              <w:t xml:space="preserve">v </w:t>
            </w:r>
            <w:r w:rsidRPr="00017421">
              <w:rPr>
                <w:rFonts w:ascii="Calibri" w:hAnsi="Calibri"/>
                <w:sz w:val="16"/>
                <w:szCs w:val="16"/>
                <w:lang w:eastAsia="sk-SK"/>
              </w:rPr>
              <w:t xml:space="preserve">PO 2014 </w:t>
            </w:r>
            <w:r w:rsidR="00804F82">
              <w:rPr>
                <w:rFonts w:ascii="Calibri" w:hAnsi="Calibri"/>
                <w:sz w:val="16"/>
                <w:szCs w:val="16"/>
                <w:lang w:eastAsia="sk-SK"/>
              </w:rPr>
              <w:t xml:space="preserve">- </w:t>
            </w:r>
            <w:r w:rsidRPr="00017421">
              <w:rPr>
                <w:rFonts w:ascii="Calibri" w:hAnsi="Calibri"/>
                <w:sz w:val="16"/>
                <w:szCs w:val="16"/>
                <w:lang w:eastAsia="sk-SK"/>
              </w:rPr>
              <w:t xml:space="preserve">2020, pričom dôraz bude kladený na ich lepšiu vypovedaciu hodnotu. </w:t>
            </w:r>
          </w:p>
          <w:p w:rsidR="00D07B15" w:rsidRPr="00017421" w:rsidRDefault="00D07B15" w:rsidP="00D07B15">
            <w:pPr>
              <w:autoSpaceDE w:val="0"/>
              <w:autoSpaceDN w:val="0"/>
              <w:adjustRightInd w:val="0"/>
              <w:spacing w:before="0"/>
              <w:rPr>
                <w:rFonts w:ascii="Calibri" w:hAnsi="Calibri"/>
                <w:sz w:val="16"/>
                <w:szCs w:val="16"/>
                <w:lang w:eastAsia="sk-SK"/>
              </w:rPr>
            </w:pPr>
          </w:p>
          <w:p w:rsidR="004E2D6C" w:rsidRPr="004E2D6C" w:rsidRDefault="00D07B15" w:rsidP="004E2D6C">
            <w:pPr>
              <w:spacing w:before="0"/>
              <w:rPr>
                <w:rFonts w:ascii="Calibri" w:hAnsi="Calibri"/>
                <w:sz w:val="16"/>
                <w:szCs w:val="16"/>
                <w:lang w:eastAsia="sk-SK"/>
              </w:rPr>
            </w:pPr>
            <w:r w:rsidRPr="00017421">
              <w:rPr>
                <w:rFonts w:ascii="Calibri" w:hAnsi="Calibri"/>
                <w:sz w:val="16"/>
                <w:szCs w:val="16"/>
                <w:lang w:eastAsia="sk-SK"/>
              </w:rPr>
              <w:t>Navrhuje sa tiež v gescii CKO zriadenie Koordinačného výboru pre spoluprácu pri verejnom obstarávaní</w:t>
            </w:r>
            <w:r w:rsidR="00804F82">
              <w:rPr>
                <w:rFonts w:ascii="Calibri" w:hAnsi="Calibri"/>
                <w:sz w:val="16"/>
                <w:szCs w:val="16"/>
                <w:lang w:eastAsia="sk-SK"/>
              </w:rPr>
              <w:t>.</w:t>
            </w:r>
            <w:r w:rsidRPr="00017421">
              <w:rPr>
                <w:rFonts w:ascii="Calibri" w:hAnsi="Calibri"/>
                <w:sz w:val="16"/>
                <w:szCs w:val="16"/>
                <w:lang w:eastAsia="sk-SK"/>
              </w:rPr>
              <w:t xml:space="preserve"> Toto odborné fórum pozostávajúce najmä zo zástupcov CKO, ÚVO, CO, OA, RO zabezpečí spoločný postup v rámci aplikácie pravidiel VO (spolupráca pri vydávaní metodických výkladov, pokynov </w:t>
            </w:r>
            <w:r w:rsidR="00913324">
              <w:rPr>
                <w:rFonts w:ascii="Calibri" w:hAnsi="Calibri"/>
                <w:sz w:val="16"/>
                <w:szCs w:val="16"/>
                <w:lang w:eastAsia="sk-SK"/>
              </w:rPr>
              <w:br/>
            </w:r>
            <w:r w:rsidRPr="00017421">
              <w:rPr>
                <w:rFonts w:ascii="Calibri" w:hAnsi="Calibri"/>
                <w:sz w:val="16"/>
                <w:szCs w:val="16"/>
                <w:lang w:eastAsia="sk-SK"/>
              </w:rPr>
              <w:t>a usmernení prispôsobených podľa potrieb implementácie fondov EÚ). Jednoznačnou výhodou zriadenia tohto orgánu bude okamžité identifikovanie prípadných závažných pochybení (systémových nezrovnalostí) v postupoch RO/SORO pri kontrole VO a efektívna možnosť prijatia adekvátnych nápravných opatrení na ich odstránenie. Jednotný postup všetkých subjektov a formulovanie spoločného stanoviska bude nepriamo zvyšovať tlak na zvýšený dôraz na včasné odhaľovanie chýb pri VO zo strany subjektov realizujúcich verejné obstarávania (pri spoločnom postupe sa zabezpečí rýchlejšia a efektívna reakcia na identifikované chyby). Plánované opatrenie</w:t>
            </w:r>
            <w:r w:rsidR="00A11C30">
              <w:rPr>
                <w:rFonts w:ascii="Calibri" w:hAnsi="Calibri"/>
                <w:sz w:val="16"/>
                <w:szCs w:val="16"/>
                <w:lang w:eastAsia="sk-SK"/>
              </w:rPr>
              <w:t>.</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164"/>
        </w:trPr>
        <w:tc>
          <w:tcPr>
            <w:tcW w:w="1843"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Borders>
              <w:bottom w:val="single" w:sz="12" w:space="0" w:color="auto"/>
            </w:tcBorders>
          </w:tcPr>
          <w:p w:rsidR="004E2D6C" w:rsidRPr="004E2D6C" w:rsidRDefault="004E2D6C" w:rsidP="004E2D6C">
            <w:pPr>
              <w:spacing w:before="0"/>
              <w:rPr>
                <w:rFonts w:ascii="Calibri" w:hAnsi="Calibri"/>
                <w:sz w:val="16"/>
                <w:szCs w:val="16"/>
                <w:lang w:eastAsia="sk-SK"/>
              </w:rPr>
            </w:pPr>
          </w:p>
        </w:tc>
        <w:tc>
          <w:tcPr>
            <w:tcW w:w="2552" w:type="dxa"/>
            <w:tcBorders>
              <w:bottom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administratívnej kapacity na vykonávanie a uplatňovanie pravidiel Únie o verejnom obstarávaní.</w:t>
            </w:r>
          </w:p>
        </w:tc>
        <w:tc>
          <w:tcPr>
            <w:tcW w:w="850" w:type="dxa"/>
            <w:tcBorders>
              <w:bottom w:val="single" w:sz="12" w:space="0" w:color="auto"/>
            </w:tcBorders>
            <w:vAlign w:val="center"/>
          </w:tcPr>
          <w:p w:rsidR="004E2D6C" w:rsidRPr="004E2D6C" w:rsidRDefault="00D07B15" w:rsidP="00A14E7D">
            <w:pPr>
              <w:spacing w:before="0"/>
              <w:jc w:val="center"/>
              <w:rPr>
                <w:rFonts w:ascii="Calibri" w:hAnsi="Calibri"/>
                <w:sz w:val="16"/>
                <w:szCs w:val="16"/>
                <w:lang w:eastAsia="sk-SK"/>
              </w:rPr>
            </w:pPr>
            <w:r>
              <w:rPr>
                <w:rFonts w:ascii="Calibri" w:hAnsi="Calibri"/>
                <w:b/>
                <w:sz w:val="16"/>
                <w:szCs w:val="16"/>
                <w:lang w:eastAsia="sk-SK"/>
              </w:rPr>
              <w:t>Nie</w:t>
            </w:r>
          </w:p>
        </w:tc>
        <w:tc>
          <w:tcPr>
            <w:tcW w:w="3119" w:type="dxa"/>
            <w:tcBorders>
              <w:bottom w:val="single" w:sz="12" w:space="0" w:color="auto"/>
            </w:tcBorders>
          </w:tcPr>
          <w:p w:rsidR="004E2D6C" w:rsidRPr="004E2D6C" w:rsidRDefault="004E2D6C" w:rsidP="004E2D6C">
            <w:pPr>
              <w:spacing w:before="0"/>
              <w:rPr>
                <w:rFonts w:ascii="Calibri" w:hAnsi="Calibri"/>
                <w:i/>
                <w:sz w:val="16"/>
                <w:szCs w:val="16"/>
                <w:lang w:eastAsia="sk-SK"/>
              </w:rPr>
            </w:pPr>
            <w:r w:rsidRPr="004E2D6C">
              <w:rPr>
                <w:rFonts w:ascii="Calibri" w:hAnsi="Calibri"/>
                <w:i/>
                <w:sz w:val="16"/>
                <w:szCs w:val="16"/>
                <w:lang w:eastAsia="sk-SK"/>
              </w:rPr>
              <w:t>Úrad pre verejné obstarávanie</w:t>
            </w:r>
          </w:p>
          <w:p w:rsidR="004E2D6C" w:rsidRPr="004E2D6C" w:rsidRDefault="00ED6BC8" w:rsidP="004E2D6C">
            <w:pPr>
              <w:spacing w:before="0"/>
              <w:rPr>
                <w:rFonts w:ascii="Calibri" w:hAnsi="Calibri"/>
                <w:sz w:val="16"/>
                <w:szCs w:val="16"/>
                <w:lang w:eastAsia="sk-SK"/>
              </w:rPr>
            </w:pPr>
            <w:hyperlink r:id="rId187" w:history="1">
              <w:r w:rsidR="004E2D6C" w:rsidRPr="004E2D6C">
                <w:rPr>
                  <w:rFonts w:ascii="Calibri" w:hAnsi="Calibri"/>
                  <w:color w:val="0000FF"/>
                  <w:sz w:val="16"/>
                  <w:szCs w:val="16"/>
                  <w:u w:val="single"/>
                  <w:lang w:eastAsia="sk-SK"/>
                </w:rPr>
                <w:t>http://www.uvo.gov.sk/domov</w:t>
              </w:r>
            </w:hyperlink>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p>
          <w:p w:rsidR="004E2D6C" w:rsidRPr="005634F2" w:rsidRDefault="004E2D6C" w:rsidP="004E2D6C">
            <w:pPr>
              <w:spacing w:before="0"/>
              <w:rPr>
                <w:rFonts w:ascii="Calibri" w:hAnsi="Calibri"/>
                <w:sz w:val="16"/>
                <w:szCs w:val="16"/>
                <w:lang w:eastAsia="sk-SK"/>
              </w:rPr>
            </w:pPr>
            <w:r w:rsidRPr="005634F2">
              <w:rPr>
                <w:rFonts w:ascii="Calibri" w:hAnsi="Calibri"/>
                <w:sz w:val="16"/>
                <w:szCs w:val="16"/>
                <w:lang w:eastAsia="sk-SK"/>
              </w:rPr>
              <w:t>Metodické usmernenia (ÚVO)</w:t>
            </w: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w:t>
            </w:r>
            <w:hyperlink r:id="rId188" w:history="1">
              <w:r w:rsidRPr="004E2D6C">
                <w:rPr>
                  <w:rFonts w:ascii="Calibri" w:hAnsi="Calibri"/>
                  <w:color w:val="0000FF"/>
                  <w:sz w:val="16"/>
                  <w:szCs w:val="16"/>
                  <w:u w:val="single"/>
                  <w:lang w:eastAsia="sk-SK"/>
                </w:rPr>
                <w:t>http://www.uvo.gov.sk/metodicke-usmernenia</w:t>
              </w:r>
            </w:hyperlink>
          </w:p>
        </w:tc>
        <w:tc>
          <w:tcPr>
            <w:tcW w:w="4111" w:type="dxa"/>
            <w:tcBorders>
              <w:bottom w:val="single" w:sz="12" w:space="0" w:color="auto"/>
              <w:righ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lastRenderedPageBreak/>
              <w:t xml:space="preserve">ÚVO metodicky usmerňuje všetkých, ktorí sa zúčastňujú na VO. </w:t>
            </w:r>
          </w:p>
          <w:p w:rsidR="00D07B15" w:rsidRPr="006D2AFA" w:rsidRDefault="00D07B15" w:rsidP="00D07B15">
            <w:pPr>
              <w:spacing w:before="0"/>
              <w:rPr>
                <w:rFonts w:ascii="Calibri" w:hAnsi="Calibri"/>
                <w:sz w:val="16"/>
                <w:szCs w:val="16"/>
                <w:lang w:eastAsia="sk-SK"/>
              </w:rPr>
            </w:pPr>
            <w:r w:rsidRPr="006D2AFA">
              <w:rPr>
                <w:rFonts w:ascii="Calibri" w:hAnsi="Calibri"/>
                <w:sz w:val="16"/>
                <w:szCs w:val="16"/>
                <w:lang w:eastAsia="sk-SK"/>
              </w:rPr>
              <w:t>Pre zvýšenie spolupráce subjektov štátnej správy participujúcich v oblasti VO a kontroly hospodárskej súťaž</w:t>
            </w:r>
            <w:r w:rsidR="00A11C30">
              <w:rPr>
                <w:rFonts w:ascii="Calibri" w:hAnsi="Calibri"/>
                <w:sz w:val="16"/>
                <w:szCs w:val="16"/>
                <w:lang w:eastAsia="sk-SK"/>
              </w:rPr>
              <w:t>e</w:t>
            </w:r>
            <w:r w:rsidRPr="006D2AFA">
              <w:rPr>
                <w:rFonts w:ascii="Calibri" w:hAnsi="Calibri"/>
                <w:sz w:val="16"/>
                <w:szCs w:val="16"/>
                <w:lang w:eastAsia="sk-SK"/>
              </w:rPr>
              <w:t xml:space="preserve"> bude táto spolupráca posilnená medzi ÚVO </w:t>
            </w:r>
            <w:r w:rsidR="00913324">
              <w:rPr>
                <w:rFonts w:ascii="Calibri" w:hAnsi="Calibri"/>
                <w:sz w:val="16"/>
                <w:szCs w:val="16"/>
                <w:lang w:eastAsia="sk-SK"/>
              </w:rPr>
              <w:br/>
            </w:r>
            <w:r w:rsidRPr="006D2AFA">
              <w:rPr>
                <w:rFonts w:ascii="Calibri" w:hAnsi="Calibri"/>
                <w:sz w:val="16"/>
                <w:szCs w:val="16"/>
                <w:lang w:eastAsia="sk-SK"/>
              </w:rPr>
              <w:t>a Protimonopolnými úradom SR</w:t>
            </w:r>
            <w:r w:rsidR="00A11C30">
              <w:rPr>
                <w:rFonts w:ascii="Calibri" w:hAnsi="Calibri"/>
                <w:sz w:val="16"/>
                <w:szCs w:val="16"/>
                <w:lang w:eastAsia="sk-SK"/>
              </w:rPr>
              <w:t>,</w:t>
            </w:r>
            <w:r w:rsidRPr="006D2AFA">
              <w:rPr>
                <w:rFonts w:ascii="Calibri" w:hAnsi="Calibri"/>
                <w:sz w:val="16"/>
                <w:szCs w:val="16"/>
                <w:lang w:eastAsia="sk-SK"/>
              </w:rPr>
              <w:t xml:space="preserve"> a to aj na úrovni </w:t>
            </w:r>
            <w:r w:rsidRPr="006D2AFA">
              <w:rPr>
                <w:rFonts w:ascii="Calibri" w:hAnsi="Calibri"/>
                <w:sz w:val="16"/>
                <w:szCs w:val="16"/>
                <w:lang w:eastAsia="sk-SK"/>
              </w:rPr>
              <w:lastRenderedPageBreak/>
              <w:t>zabezpečenia administratívnych kapacít týchto subjektov</w:t>
            </w:r>
            <w:r w:rsidR="00A11C30">
              <w:rPr>
                <w:rFonts w:ascii="Calibri" w:hAnsi="Calibri"/>
                <w:sz w:val="16"/>
                <w:szCs w:val="16"/>
                <w:lang w:eastAsia="sk-SK"/>
              </w:rPr>
              <w:t>,</w:t>
            </w:r>
            <w:r w:rsidRPr="006D2AFA">
              <w:rPr>
                <w:rFonts w:ascii="Calibri" w:hAnsi="Calibri"/>
                <w:sz w:val="16"/>
                <w:szCs w:val="16"/>
                <w:lang w:eastAsia="sk-SK"/>
              </w:rPr>
              <w:t xml:space="preserve"> prostredníctvom technickej pomoci.</w:t>
            </w:r>
          </w:p>
          <w:p w:rsidR="00D07B15" w:rsidRPr="006D2AFA" w:rsidRDefault="00D07B15" w:rsidP="00D07B15">
            <w:pPr>
              <w:spacing w:before="0"/>
              <w:rPr>
                <w:rFonts w:ascii="Calibri" w:hAnsi="Calibri"/>
                <w:sz w:val="16"/>
                <w:szCs w:val="16"/>
                <w:lang w:eastAsia="sk-SK"/>
              </w:rPr>
            </w:pPr>
            <w:r w:rsidRPr="006D2AFA">
              <w:rPr>
                <w:rFonts w:ascii="Calibri" w:hAnsi="Calibri"/>
                <w:sz w:val="16"/>
                <w:szCs w:val="16"/>
                <w:lang w:eastAsia="sk-SK"/>
              </w:rPr>
              <w:t xml:space="preserve">V priebehu roku 2014 si zvýšené nároky na spoluprácu </w:t>
            </w:r>
            <w:r w:rsidR="00913324">
              <w:rPr>
                <w:rFonts w:ascii="Calibri" w:hAnsi="Calibri"/>
                <w:sz w:val="16"/>
                <w:szCs w:val="16"/>
                <w:lang w:eastAsia="sk-SK"/>
              </w:rPr>
              <w:br/>
            </w:r>
            <w:r w:rsidRPr="006D2AFA">
              <w:rPr>
                <w:rFonts w:ascii="Calibri" w:hAnsi="Calibri"/>
                <w:sz w:val="16"/>
                <w:szCs w:val="16"/>
                <w:lang w:eastAsia="sk-SK"/>
              </w:rPr>
              <w:t>a kontrolnú činnosť ÚVO vyžiadajú potrebu navýšenia personálnych kapacít o cca 25 zamestnancov, ktorí budú prijímaní postupne v závislosti od množstva požadovanej činnosti zo strany CKO a RO.</w:t>
            </w:r>
          </w:p>
          <w:p w:rsidR="00D07B15" w:rsidRPr="006D2AFA" w:rsidRDefault="00D07B15" w:rsidP="00D07B15">
            <w:pPr>
              <w:spacing w:before="0"/>
              <w:rPr>
                <w:rFonts w:ascii="Calibri" w:hAnsi="Calibri"/>
                <w:sz w:val="16"/>
                <w:szCs w:val="16"/>
                <w:lang w:eastAsia="sk-SK"/>
              </w:rPr>
            </w:pPr>
            <w:r w:rsidRPr="006D2AFA">
              <w:rPr>
                <w:rFonts w:ascii="Calibri" w:hAnsi="Calibri"/>
                <w:sz w:val="16"/>
                <w:szCs w:val="16"/>
                <w:lang w:eastAsia="sk-SK"/>
              </w:rPr>
              <w:t>ÚVO pre účely efektívnejšieho riadenia tejto spolupráce a pre dôslednejšie uplatňovanie pravidiel EÚ v oblasti verejného obstarávania v rámci činností súvisiacich s implementáciou EÚ fondov, poverilo týmito agendami samostatného  podpr</w:t>
            </w:r>
            <w:r>
              <w:rPr>
                <w:rFonts w:ascii="Calibri" w:hAnsi="Calibri"/>
                <w:sz w:val="16"/>
                <w:szCs w:val="16"/>
                <w:lang w:eastAsia="sk-SK"/>
              </w:rPr>
              <w:t xml:space="preserve">edsedu ÚVO. </w:t>
            </w:r>
            <w:r w:rsidRPr="006D2AFA">
              <w:rPr>
                <w:rFonts w:ascii="Calibri" w:hAnsi="Calibri"/>
                <w:sz w:val="16"/>
                <w:szCs w:val="16"/>
                <w:lang w:eastAsia="sk-SK"/>
              </w:rPr>
              <w:t>Opatrenie prijaté</w:t>
            </w:r>
            <w:r w:rsidR="00A11C30">
              <w:rPr>
                <w:rFonts w:ascii="Calibri" w:hAnsi="Calibri"/>
                <w:sz w:val="16"/>
                <w:szCs w:val="16"/>
                <w:lang w:eastAsia="sk-SK"/>
              </w:rPr>
              <w:t>.</w:t>
            </w:r>
          </w:p>
          <w:p w:rsidR="00D07B15" w:rsidRPr="006D2AFA" w:rsidRDefault="00D07B15" w:rsidP="00D07B15">
            <w:pPr>
              <w:spacing w:before="0"/>
              <w:rPr>
                <w:rFonts w:ascii="Calibri" w:hAnsi="Calibri"/>
                <w:sz w:val="16"/>
                <w:szCs w:val="16"/>
                <w:lang w:eastAsia="sk-SK"/>
              </w:rPr>
            </w:pPr>
            <w:r w:rsidRPr="006D2AFA">
              <w:rPr>
                <w:rFonts w:ascii="Calibri" w:hAnsi="Calibri"/>
                <w:sz w:val="16"/>
                <w:szCs w:val="16"/>
                <w:lang w:eastAsia="sk-SK"/>
              </w:rPr>
              <w:t xml:space="preserve">Zabezpečenie technickej pomoci v rámci spolupráce s ÚVO na refundáciu mzdových nákladov zamestnancov vykonávajúcich podporné činnosti pre RO, SORO, OA, CO v rámci Dohody </w:t>
            </w:r>
            <w:r w:rsidR="00913324">
              <w:rPr>
                <w:rFonts w:ascii="Calibri" w:hAnsi="Calibri"/>
                <w:sz w:val="16"/>
                <w:szCs w:val="16"/>
                <w:lang w:eastAsia="sk-SK"/>
              </w:rPr>
              <w:br/>
            </w:r>
            <w:r w:rsidRPr="006D2AFA">
              <w:rPr>
                <w:rFonts w:ascii="Calibri" w:hAnsi="Calibri"/>
                <w:sz w:val="16"/>
                <w:szCs w:val="16"/>
                <w:lang w:eastAsia="sk-SK"/>
              </w:rPr>
              <w:t>o spolupráci. Opatrenie plánované</w:t>
            </w:r>
            <w:r w:rsidR="00A11C30">
              <w:rPr>
                <w:rFonts w:ascii="Calibri" w:hAnsi="Calibri"/>
                <w:sz w:val="16"/>
                <w:szCs w:val="16"/>
                <w:lang w:eastAsia="sk-SK"/>
              </w:rPr>
              <w:t>.</w:t>
            </w:r>
          </w:p>
          <w:p w:rsidR="00D07B15" w:rsidRPr="006D2AFA" w:rsidRDefault="00D07B15" w:rsidP="00D07B15">
            <w:pPr>
              <w:spacing w:before="0"/>
              <w:rPr>
                <w:rFonts w:ascii="Calibri" w:hAnsi="Calibri"/>
                <w:sz w:val="16"/>
                <w:szCs w:val="16"/>
                <w:lang w:eastAsia="sk-SK"/>
              </w:rPr>
            </w:pPr>
            <w:r w:rsidRPr="006D2AFA">
              <w:rPr>
                <w:rFonts w:ascii="Calibri" w:hAnsi="Calibri"/>
                <w:sz w:val="16"/>
                <w:szCs w:val="16"/>
                <w:lang w:eastAsia="sk-SK"/>
              </w:rPr>
              <w:t>Technická pomoc v rámci spolupráce s ÚVO na refundáciu nákladov na znalecké posudky a odborné stanoviská, ktoré budú potrebné pre výkon podporných činností pre RO, SORO, OA, CO v rámci Dohody o spolupráci. Opatrenie plánované</w:t>
            </w:r>
            <w:r w:rsidR="00A11C30">
              <w:rPr>
                <w:rFonts w:ascii="Calibri" w:hAnsi="Calibri"/>
                <w:sz w:val="16"/>
                <w:szCs w:val="16"/>
                <w:lang w:eastAsia="sk-SK"/>
              </w:rPr>
              <w:t>.</w:t>
            </w:r>
          </w:p>
          <w:p w:rsidR="00D07B15" w:rsidRPr="006D2AFA" w:rsidRDefault="00D07B15" w:rsidP="00D07B15">
            <w:pPr>
              <w:spacing w:before="0"/>
              <w:rPr>
                <w:rFonts w:ascii="Calibri" w:hAnsi="Calibri"/>
                <w:sz w:val="16"/>
                <w:szCs w:val="16"/>
                <w:lang w:eastAsia="sk-SK"/>
              </w:rPr>
            </w:pPr>
            <w:r w:rsidRPr="006D2AFA">
              <w:rPr>
                <w:rFonts w:ascii="Calibri" w:hAnsi="Calibri"/>
                <w:sz w:val="16"/>
                <w:szCs w:val="16"/>
                <w:lang w:eastAsia="sk-SK"/>
              </w:rPr>
              <w:t>Technická pomoc pre spoluprácu s Protimonopolným úradom SR – Opatrenie plánované</w:t>
            </w:r>
            <w:r w:rsidR="00A11C30">
              <w:rPr>
                <w:rFonts w:ascii="Calibri" w:hAnsi="Calibri"/>
                <w:sz w:val="16"/>
                <w:szCs w:val="16"/>
                <w:lang w:eastAsia="sk-SK"/>
              </w:rPr>
              <w:t>.</w:t>
            </w:r>
          </w:p>
          <w:p w:rsidR="00D07B15" w:rsidRPr="006D2AFA" w:rsidRDefault="00D07B15" w:rsidP="00D07B15">
            <w:pPr>
              <w:spacing w:before="0"/>
              <w:rPr>
                <w:rFonts w:ascii="Calibri" w:hAnsi="Calibri"/>
                <w:sz w:val="16"/>
                <w:szCs w:val="16"/>
                <w:lang w:eastAsia="sk-SK"/>
              </w:rPr>
            </w:pPr>
            <w:r w:rsidRPr="006D2AFA">
              <w:rPr>
                <w:rFonts w:ascii="Calibri" w:hAnsi="Calibri"/>
                <w:sz w:val="16"/>
                <w:szCs w:val="16"/>
                <w:lang w:eastAsia="sk-SK"/>
              </w:rPr>
              <w:t>Metodické usmerňovanie účastníkov procesu VO zo strany ÚVO a zverejňovanie týchto usmernení na verejne prístupnom mieste – na webovom sídle úradu. Opatrenie prijaté</w:t>
            </w:r>
            <w:r w:rsidR="00A11C30">
              <w:rPr>
                <w:rFonts w:ascii="Calibri" w:hAnsi="Calibri"/>
                <w:sz w:val="16"/>
                <w:szCs w:val="16"/>
                <w:lang w:eastAsia="sk-SK"/>
              </w:rPr>
              <w:t>.</w:t>
            </w:r>
          </w:p>
          <w:p w:rsidR="005C7B46" w:rsidRPr="003F0750" w:rsidRDefault="00D07B15" w:rsidP="003F0750">
            <w:pPr>
              <w:tabs>
                <w:tab w:val="left" w:pos="2302"/>
              </w:tabs>
              <w:spacing w:before="0"/>
              <w:rPr>
                <w:rFonts w:ascii="Calibri" w:eastAsia="Times New Roman" w:hAnsi="Calibri"/>
                <w:sz w:val="16"/>
                <w:szCs w:val="16"/>
                <w:lang w:eastAsia="sk-SK"/>
              </w:rPr>
            </w:pPr>
            <w:r w:rsidRPr="006D2AFA">
              <w:rPr>
                <w:rFonts w:ascii="Calibri" w:hAnsi="Calibri"/>
                <w:sz w:val="16"/>
                <w:szCs w:val="16"/>
                <w:lang w:eastAsia="sk-SK"/>
              </w:rPr>
              <w:t>Technická pomoc na školenia prijímateľov</w:t>
            </w:r>
            <w:r w:rsidR="00A11C30">
              <w:rPr>
                <w:rFonts w:ascii="Calibri" w:hAnsi="Calibri"/>
                <w:sz w:val="16"/>
                <w:szCs w:val="16"/>
                <w:lang w:eastAsia="sk-SK"/>
              </w:rPr>
              <w:t>.</w:t>
            </w:r>
            <w:r w:rsidRPr="006D2AFA">
              <w:rPr>
                <w:rFonts w:ascii="Calibri" w:hAnsi="Calibri"/>
                <w:sz w:val="16"/>
                <w:szCs w:val="16"/>
                <w:lang w:eastAsia="sk-SK"/>
              </w:rPr>
              <w:t xml:space="preserve"> Školenia budú zamerané na prijímateľov</w:t>
            </w:r>
            <w:r w:rsidR="00A11C30">
              <w:rPr>
                <w:rFonts w:ascii="Calibri" w:hAnsi="Calibri"/>
                <w:sz w:val="16"/>
                <w:szCs w:val="16"/>
                <w:lang w:eastAsia="sk-SK"/>
              </w:rPr>
              <w:t>,</w:t>
            </w:r>
            <w:r w:rsidRPr="006D2AFA">
              <w:rPr>
                <w:rFonts w:ascii="Calibri" w:hAnsi="Calibri"/>
                <w:sz w:val="16"/>
                <w:szCs w:val="16"/>
                <w:lang w:eastAsia="sk-SK"/>
              </w:rPr>
              <w:t xml:space="preserve"> resp. žiadateľov a ich úlohou bude napr. prezentovať platný systém kontroly, upozorniť na zmluvné požiadavky a povinnosti k výkonu kontroly VO </w:t>
            </w:r>
            <w:r w:rsidR="00913324">
              <w:rPr>
                <w:rFonts w:ascii="Calibri" w:hAnsi="Calibri"/>
                <w:sz w:val="16"/>
                <w:szCs w:val="16"/>
                <w:lang w:eastAsia="sk-SK"/>
              </w:rPr>
              <w:br/>
            </w:r>
            <w:r w:rsidRPr="006D2AFA">
              <w:rPr>
                <w:rFonts w:ascii="Calibri" w:hAnsi="Calibri"/>
                <w:sz w:val="16"/>
                <w:szCs w:val="16"/>
                <w:lang w:eastAsia="sk-SK"/>
              </w:rPr>
              <w:t xml:space="preserve">a predkladania dokumentácie na kontrolu, informovať prijímateľov o najčastejších nedostatkov zistených pri kontrole VO so súčasnou prezentáciou dobrých príkladov („best practice“). Tieto školenia by mali byť realizované najmä zo strany jednotlivých RO, aby ich obsah a zameranie vyplývalo zo špecifík daného OP (napr. v závislosti od </w:t>
            </w:r>
            <w:r w:rsidRPr="006D2AFA">
              <w:rPr>
                <w:rFonts w:ascii="Calibri" w:hAnsi="Calibri"/>
                <w:sz w:val="16"/>
                <w:szCs w:val="16"/>
                <w:lang w:eastAsia="sk-SK"/>
              </w:rPr>
              <w:lastRenderedPageBreak/>
              <w:t>obvyklých predmetov obstarávania ). Opatrenie plánované</w:t>
            </w:r>
            <w:r w:rsidR="00A11C30">
              <w:rPr>
                <w:rFonts w:ascii="Calibri" w:hAnsi="Calibri"/>
                <w:sz w:val="16"/>
                <w:szCs w:val="16"/>
                <w:lang w:eastAsia="sk-SK"/>
              </w:rPr>
              <w:t>.</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220"/>
        </w:trPr>
        <w:tc>
          <w:tcPr>
            <w:tcW w:w="1843"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lastRenderedPageBreak/>
              <w:t>5. Štátna pomoc</w:t>
            </w: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Existencia pravidiel na efektívne uplatňovanie práva Únie o štátnej pomoci v oblasti EŠIF.</w:t>
            </w:r>
          </w:p>
        </w:tc>
        <w:tc>
          <w:tcPr>
            <w:tcW w:w="1701" w:type="dxa"/>
            <w:vMerge w:val="restart"/>
            <w:tcBorders>
              <w:top w:val="single" w:sz="12" w:space="0" w:color="auto"/>
            </w:tcBorders>
            <w:vAlign w:val="center"/>
          </w:tcPr>
          <w:p w:rsidR="004E2D6C" w:rsidRPr="004E2D6C" w:rsidRDefault="001144E6" w:rsidP="00B763E3">
            <w:pPr>
              <w:spacing w:before="0"/>
              <w:jc w:val="center"/>
              <w:rPr>
                <w:rFonts w:ascii="Calibri" w:hAnsi="Calibri"/>
                <w:sz w:val="16"/>
                <w:szCs w:val="16"/>
                <w:lang w:eastAsia="sk-SK"/>
              </w:rPr>
            </w:pPr>
            <w:r>
              <w:rPr>
                <w:rFonts w:ascii="Calibri" w:hAnsi="Calibri"/>
                <w:b/>
                <w:sz w:val="16"/>
                <w:szCs w:val="16"/>
                <w:lang w:eastAsia="sk-SK"/>
              </w:rPr>
              <w:t>Čiastočne</w:t>
            </w:r>
          </w:p>
        </w:tc>
        <w:tc>
          <w:tcPr>
            <w:tcW w:w="2552"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účinného uplatňovania pravidiel Únie o štátnej pomoci.</w:t>
            </w:r>
          </w:p>
        </w:tc>
        <w:tc>
          <w:tcPr>
            <w:tcW w:w="850" w:type="dxa"/>
            <w:tcBorders>
              <w:top w:val="single" w:sz="12" w:space="0" w:color="auto"/>
            </w:tcBorders>
            <w:vAlign w:val="center"/>
          </w:tcPr>
          <w:p w:rsidR="004E2D6C" w:rsidRPr="004E2D6C" w:rsidRDefault="004E2D6C" w:rsidP="00B763E3">
            <w:pPr>
              <w:spacing w:before="0"/>
              <w:jc w:val="center"/>
              <w:rPr>
                <w:rFonts w:ascii="Calibri" w:hAnsi="Calibri"/>
                <w:sz w:val="16"/>
                <w:szCs w:val="16"/>
                <w:lang w:eastAsia="sk-SK"/>
              </w:rPr>
            </w:pPr>
            <w:r w:rsidRPr="004E2D6C">
              <w:rPr>
                <w:rFonts w:ascii="Calibri" w:hAnsi="Calibri"/>
                <w:b/>
                <w:sz w:val="16"/>
                <w:szCs w:val="16"/>
                <w:lang w:eastAsia="sk-SK"/>
              </w:rPr>
              <w:t>Nie</w:t>
            </w:r>
          </w:p>
        </w:tc>
        <w:tc>
          <w:tcPr>
            <w:tcW w:w="3119" w:type="dxa"/>
            <w:tcBorders>
              <w:top w:val="single" w:sz="12" w:space="0" w:color="auto"/>
            </w:tcBorders>
          </w:tcPr>
          <w:p w:rsidR="004E2D6C" w:rsidRPr="004E2D6C" w:rsidRDefault="004E2D6C" w:rsidP="004E2D6C">
            <w:pPr>
              <w:spacing w:before="0"/>
              <w:rPr>
                <w:rFonts w:ascii="Calibri" w:hAnsi="Calibri"/>
                <w:sz w:val="16"/>
                <w:szCs w:val="16"/>
                <w:lang w:eastAsia="sk-SK"/>
              </w:rPr>
            </w:pPr>
          </w:p>
        </w:tc>
        <w:tc>
          <w:tcPr>
            <w:tcW w:w="4111" w:type="dxa"/>
            <w:tcBorders>
              <w:top w:val="single" w:sz="12" w:space="0" w:color="auto"/>
              <w:right w:val="single" w:sz="12" w:space="0" w:color="auto"/>
            </w:tcBorders>
          </w:tcPr>
          <w:p w:rsidR="00D07B15" w:rsidRPr="008B0518" w:rsidRDefault="00D07B15" w:rsidP="00BA185A">
            <w:pPr>
              <w:spacing w:after="0"/>
              <w:rPr>
                <w:rFonts w:asciiTheme="majorHAnsi" w:hAnsiTheme="majorHAnsi"/>
                <w:sz w:val="16"/>
                <w:szCs w:val="16"/>
                <w:lang w:eastAsia="sk-SK"/>
              </w:rPr>
            </w:pPr>
            <w:r w:rsidRPr="00BA185A">
              <w:rPr>
                <w:rFonts w:ascii="Calibri" w:hAnsi="Calibri"/>
                <w:sz w:val="16"/>
                <w:szCs w:val="16"/>
                <w:lang w:eastAsia="sk-SK"/>
              </w:rPr>
              <w:t xml:space="preserve">Povinnosť dodržať pravidlá týkajúce sa kumulácie pomoci (ak sa poskytuje pomoc na rovnaké oprávnené náklady z rôznych verejných zdrojov, resp. minimálna pomoc) a dodržanie povinnosti „Deggendorf“ boli upravené už vo všetkých schémach štátnej a minimálnej pomoci v programovom období 2007 – 2013. Vzhľadom na to, že štruktúra schém zostáva zachovaná, budú upravené v schémach pomoci aj </w:t>
            </w:r>
            <w:r w:rsidR="00913324">
              <w:rPr>
                <w:rFonts w:ascii="Calibri" w:hAnsi="Calibri"/>
                <w:sz w:val="16"/>
                <w:szCs w:val="16"/>
                <w:lang w:eastAsia="sk-SK"/>
              </w:rPr>
              <w:br/>
            </w:r>
            <w:r w:rsidRPr="00BA185A">
              <w:rPr>
                <w:rFonts w:ascii="Calibri" w:hAnsi="Calibri"/>
                <w:sz w:val="16"/>
                <w:szCs w:val="16"/>
                <w:lang w:eastAsia="sk-SK"/>
              </w:rPr>
              <w:t xml:space="preserve">v programovom období 2014 – 2020. Kontrolu zavedenia opatrení na dodržiavanie pravidiel kumulácie a dodržania povinnosti „Deggendorf“ bude zabezpečovať koordinátor štátnej pomoci formou pripomienkovania schém štátnej pomoci a schém minimálnej pomoci. Podmienky poskytnutia pomoci v jednotlivých schémach budú zahŕňať aj podmienky predloženia čestného prehlásenia príjemcu týkajúceho sa kumulácie pomoci vo vzťahu k rovnakým oprávneným nákladom a čestného prehlásenia o tom, že od príjemcu nie je žiadané vrátenie </w:t>
            </w:r>
            <w:r w:rsidRPr="008B0518">
              <w:rPr>
                <w:rFonts w:asciiTheme="majorHAnsi" w:hAnsiTheme="majorHAnsi"/>
                <w:sz w:val="16"/>
                <w:szCs w:val="16"/>
                <w:lang w:eastAsia="sk-SK"/>
              </w:rPr>
              <w:t>pomoci.</w:t>
            </w:r>
            <w:r w:rsidR="008B0518" w:rsidRPr="008B0518">
              <w:rPr>
                <w:rFonts w:asciiTheme="majorHAnsi" w:hAnsiTheme="majorHAnsi"/>
                <w:sz w:val="16"/>
                <w:szCs w:val="16"/>
                <w:lang w:eastAsia="sk-SK"/>
              </w:rPr>
              <w:t xml:space="preserve"> </w:t>
            </w:r>
            <w:r w:rsidR="008B0518" w:rsidRPr="008B0518">
              <w:rPr>
                <w:rFonts w:asciiTheme="majorHAnsi" w:hAnsiTheme="majorHAnsi"/>
                <w:sz w:val="16"/>
                <w:szCs w:val="16"/>
              </w:rPr>
              <w:t>Kontrola kumulácie pomoci ako aj dodržanie povinnosti "Deggendorf" bude nasledovne posilnená zriadením centrálneho IT registra pre štátnu pomoc v rozsahu a v štruktúre, ako ich vymedzí nové nariadenie o skupinových výnimkách, ktoré má nadobudnúť účinnosť od 1.7.2014, ako aj príslušné usmernenia Európskej komisie.</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Vláda SR na svojom zasadnutí dňa 9.</w:t>
            </w:r>
            <w:r w:rsidR="00A11C30">
              <w:rPr>
                <w:rFonts w:ascii="Calibri" w:hAnsi="Calibri"/>
                <w:sz w:val="16"/>
                <w:szCs w:val="16"/>
                <w:lang w:eastAsia="sk-SK"/>
              </w:rPr>
              <w:t xml:space="preserve"> </w:t>
            </w:r>
            <w:r w:rsidRPr="00BA185A">
              <w:rPr>
                <w:rFonts w:ascii="Calibri" w:hAnsi="Calibri"/>
                <w:sz w:val="16"/>
                <w:szCs w:val="16"/>
                <w:lang w:eastAsia="sk-SK"/>
              </w:rPr>
              <w:t>4.</w:t>
            </w:r>
            <w:r w:rsidR="00A11C30">
              <w:rPr>
                <w:rFonts w:ascii="Calibri" w:hAnsi="Calibri"/>
                <w:sz w:val="16"/>
                <w:szCs w:val="16"/>
                <w:lang w:eastAsia="sk-SK"/>
              </w:rPr>
              <w:t xml:space="preserve"> </w:t>
            </w:r>
            <w:r w:rsidRPr="00BA185A">
              <w:rPr>
                <w:rFonts w:ascii="Calibri" w:hAnsi="Calibri"/>
                <w:sz w:val="16"/>
                <w:szCs w:val="16"/>
                <w:lang w:eastAsia="sk-SK"/>
              </w:rPr>
              <w:t>2014 schválila uznesenie vlády SR č. 156 k materiálu „Spôsob uplatnenia ex ante kondicionalít pri príprave implementačného mechanizmu politiky súdržnosti EÚ po roku 2013 v podmienkach SR“, ktorým posilnila postavenie Ministerstva financií SR ako koordinátora štátnej pomoci (úloha B.5). Príslušným ministrom (pre ministerstvá, ktoré sú riadiacimi orgánmi) bolo uložené uplatňovať v súvislosti s využívaním prostriedkov z Európskych štrukturálnych a investičných fondov v SR na programové obdobie 2014 – 2020 stanoviská a pozície Ministerstva financií SR ako koordinátora štátnej pomoci pre aplikáciu pravidiel štátnej pomoci.</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 xml:space="preserve">Zmeny v schémach pomoci je možné robiť len formou písomných dodatkov. Koordinátor štátnej pomoci </w:t>
            </w:r>
            <w:r w:rsidRPr="00BA185A">
              <w:rPr>
                <w:rFonts w:ascii="Calibri" w:hAnsi="Calibri"/>
                <w:sz w:val="16"/>
                <w:szCs w:val="16"/>
                <w:lang w:eastAsia="sk-SK"/>
              </w:rPr>
              <w:lastRenderedPageBreak/>
              <w:t>pripomienkuje predmetné dodatky k schémam štátnej pomoci aj k schémam minimálnej pomoci a overuje, či vykonané zmeny v schémach sú v súlade s pravidlami EÚ pre štátnu pomoc. Konzultačný mechanizmus koordinátora štátnej pomoci a riadiacich orgánov je zavedený. Riadiace orgány (ako aj iní poskytovatelia pomoci) môžu opatrenia pomoci konzultovať s koordinátorom štátnej pomoci buď formou osobného pracovného rokovania</w:t>
            </w:r>
            <w:r w:rsidR="00A11C30">
              <w:rPr>
                <w:rFonts w:ascii="Calibri" w:hAnsi="Calibri"/>
                <w:sz w:val="16"/>
                <w:szCs w:val="16"/>
                <w:lang w:eastAsia="sk-SK"/>
              </w:rPr>
              <w:t>,</w:t>
            </w:r>
            <w:r w:rsidRPr="00BA185A">
              <w:rPr>
                <w:rFonts w:ascii="Calibri" w:hAnsi="Calibri"/>
                <w:sz w:val="16"/>
                <w:szCs w:val="16"/>
                <w:lang w:eastAsia="sk-SK"/>
              </w:rPr>
              <w:t xml:space="preserve"> alebo príslušnej písomnej komunikácie.</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Návratná pomoc prostredníctvom finančných nástrojov je poskytovaná v rámci schém štátnej pomoci, resp. schém minimálnej pomoci. Takéto schémy taktiež pripomienkuje koordinátor štátnej pomoci, pričom pravidlá EÚ pre štátnu pomoc musia byť dodržiavané na úrovni správcu fondu, finančných sprostredkovateľov, spoluinvestorov a konečných prijímateľov pomoci.</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 xml:space="preserve">Mechanizmus vymáhania neoprávnenej štátnej pomoci sa </w:t>
            </w:r>
            <w:r w:rsidR="00913324">
              <w:rPr>
                <w:rFonts w:ascii="Calibri" w:hAnsi="Calibri"/>
                <w:sz w:val="16"/>
                <w:szCs w:val="16"/>
                <w:lang w:eastAsia="sk-SK"/>
              </w:rPr>
              <w:br/>
            </w:r>
            <w:r w:rsidRPr="00BA185A">
              <w:rPr>
                <w:rFonts w:ascii="Calibri" w:hAnsi="Calibri"/>
                <w:sz w:val="16"/>
                <w:szCs w:val="16"/>
                <w:lang w:eastAsia="sk-SK"/>
              </w:rPr>
              <w:t xml:space="preserve">v </w:t>
            </w:r>
            <w:r w:rsidR="00A11C30">
              <w:rPr>
                <w:rFonts w:ascii="Calibri" w:hAnsi="Calibri"/>
                <w:sz w:val="16"/>
                <w:szCs w:val="16"/>
                <w:lang w:eastAsia="sk-SK"/>
              </w:rPr>
              <w:t>SR</w:t>
            </w:r>
            <w:r w:rsidRPr="00BA185A">
              <w:rPr>
                <w:rFonts w:ascii="Calibri" w:hAnsi="Calibri"/>
                <w:sz w:val="16"/>
                <w:szCs w:val="16"/>
                <w:lang w:eastAsia="sk-SK"/>
              </w:rPr>
              <w:t xml:space="preserve"> reformoval zákonom č. 102/2011 Z. z. (novela zákona </w:t>
            </w:r>
            <w:r w:rsidR="00913324">
              <w:rPr>
                <w:rFonts w:ascii="Calibri" w:hAnsi="Calibri"/>
                <w:sz w:val="16"/>
                <w:szCs w:val="16"/>
                <w:lang w:eastAsia="sk-SK"/>
              </w:rPr>
              <w:br/>
            </w:r>
            <w:r w:rsidRPr="00BA185A">
              <w:rPr>
                <w:rFonts w:ascii="Calibri" w:hAnsi="Calibri"/>
                <w:sz w:val="16"/>
                <w:szCs w:val="16"/>
                <w:lang w:eastAsia="sk-SK"/>
              </w:rPr>
              <w:t>o štátnej pomoci), ktorý nadobudol účinnosť 1. júna 2011. Týmto zákonom sa ustanovilo, že rozhodnutie Európskej komisie o neoprávnenej štátnej pomoci predstavuje priamo exekučný titul, na základe ktorého sa bude neoprávnená štátna pomoc vymáhať v exekučnom konaní. Na základe rozhodnutia Komisie o poskytnutí neoprávnenej štátnej pomoci a na základe podnetu koordinátora štátnej pomoci je poskytovateľ povinný podať návrh na vykonanie exekúcie podľa Exekučného poriadku, a to do 30 dní od doručenia podnetu. Rozhodnutie Komisie o neoprávnenej štátnej pomoci je priamo vykonateľné voči príjemcovi dňom doručenia takého rozhodnutia Slovenskej republike.</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Existujú aj opatrenia na zabezpečenie výkonu kontrol dodržania nariadenia GBER a schválených schém. Poskytovatelia štátnej pomoci si môžu overiť podmienky oprávnenosti a zlučiteľnosti pomoci (napríklad stimulačný účinok, obmedzenie pomoci na maximálnu intenzitu pomoci, podmienky oprávnenosti schém, štatút MSP ako príjemcov) na základe § 19 zákona o štátnej pomoci.</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 xml:space="preserve">Evidencia minimálnej pomoci sa na Ministerstve financií SR realizuje prostredníctvom informačného systému Slovak Aid Monitoring Authority – IS SAMA. V súčasnosti je do IS </w:t>
            </w:r>
            <w:r w:rsidRPr="00BA185A">
              <w:rPr>
                <w:rFonts w:ascii="Calibri" w:hAnsi="Calibri"/>
                <w:sz w:val="16"/>
                <w:szCs w:val="16"/>
                <w:lang w:eastAsia="sk-SK"/>
              </w:rPr>
              <w:lastRenderedPageBreak/>
              <w:t>SAMA umožnený prístup len koordinátorovi štátnej pomoci (MF SR), ktorý na základe písomných oznámení poskytovateľov/príjemcov minimálnej pomoci vkladá do informačného systému údaje o poskytnutí/prijatí minimálnej pomoci. IS SAMA v súčasnej podobe slúži na kontrolu, či sa novou pomocou nepresiahne strop minimálnej pomoci. Ak strop minimálnej pomoci bol prekročený, MF SR upozorní poskytovateľa. Po doručení aktualizovaných údajov od poskytovateľa minimálnej pomoci sú údaje v IS SAMA upravené. Po dobudovaní IS SAMA bude zabezpečené portálové riešenie tohto informačného systému. Prístup na webovú lokalitu a prehliadanie údajov o poskytnutej pomoci bude verejne prístupné. Dobudovaný informačný systém bude obsahovať aj register štátnej pomoci, do ktorého sa budú zadávať súhrnné informácie o každom opatrení.</w:t>
            </w:r>
          </w:p>
          <w:p w:rsidR="004E2D6C" w:rsidRPr="004E2D6C" w:rsidRDefault="008B0518" w:rsidP="00A11C30">
            <w:pPr>
              <w:spacing w:before="0"/>
              <w:rPr>
                <w:rFonts w:ascii="Calibri" w:hAnsi="Calibri"/>
                <w:sz w:val="16"/>
                <w:szCs w:val="16"/>
                <w:lang w:eastAsia="sk-SK"/>
              </w:rPr>
            </w:pPr>
            <w:r w:rsidRPr="00431C32">
              <w:rPr>
                <w:rFonts w:ascii="Calibri" w:hAnsi="Calibri"/>
                <w:sz w:val="16"/>
                <w:szCs w:val="16"/>
                <w:lang w:eastAsia="sk-SK"/>
              </w:rPr>
              <w:t>Centrálny IT register pre štátnu pomoc bude zriadený v rozsahu a v štruktúre, ako ich vymedzí nové nariadenie o skupinových výnimkách, ktoré má nadobudnúť účinnosť od 1.7.2014, ako aj príslušné usmernenia Európskej komisie</w:t>
            </w:r>
            <w:r>
              <w:rPr>
                <w:rFonts w:ascii="Calibri" w:hAnsi="Calibri"/>
                <w:sz w:val="16"/>
                <w:szCs w:val="16"/>
                <w:lang w:eastAsia="sk-SK"/>
              </w:rPr>
              <w:t>.</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218"/>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F866C0">
              <w:rPr>
                <w:rFonts w:ascii="Calibri" w:hAnsi="Calibri"/>
                <w:sz w:val="16"/>
                <w:szCs w:val="16"/>
                <w:lang w:eastAsia="sk-SK"/>
              </w:rPr>
              <w:t>Opatrenia na zabezpečenie odbornej prípravy a informovania zamestnancov zapojených do vykonávania EŠIF.</w:t>
            </w:r>
          </w:p>
        </w:tc>
        <w:tc>
          <w:tcPr>
            <w:tcW w:w="850" w:type="dxa"/>
            <w:vAlign w:val="center"/>
          </w:tcPr>
          <w:p w:rsidR="004E2D6C" w:rsidRPr="004E2D6C" w:rsidRDefault="001144E6" w:rsidP="00A14E7D">
            <w:pPr>
              <w:spacing w:before="0"/>
              <w:jc w:val="center"/>
              <w:rPr>
                <w:rFonts w:ascii="Calibri" w:hAnsi="Calibri"/>
                <w:b/>
                <w:sz w:val="16"/>
                <w:szCs w:val="16"/>
                <w:lang w:eastAsia="sk-SK"/>
              </w:rPr>
            </w:pPr>
            <w:r>
              <w:rPr>
                <w:rFonts w:ascii="Calibri" w:hAnsi="Calibri"/>
                <w:b/>
                <w:sz w:val="16"/>
                <w:szCs w:val="16"/>
                <w:lang w:eastAsia="sk-SK"/>
              </w:rPr>
              <w:t>Áno</w:t>
            </w:r>
          </w:p>
        </w:tc>
        <w:tc>
          <w:tcPr>
            <w:tcW w:w="3119" w:type="dxa"/>
          </w:tcPr>
          <w:p w:rsidR="004E2D6C" w:rsidRPr="004E2D6C" w:rsidRDefault="004E2D6C" w:rsidP="00620D27">
            <w:pPr>
              <w:spacing w:before="0" w:line="280" w:lineRule="auto"/>
              <w:rPr>
                <w:rFonts w:ascii="Calibri" w:hAnsi="Calibri"/>
                <w:sz w:val="16"/>
                <w:szCs w:val="16"/>
                <w:lang w:eastAsia="sk-SK"/>
              </w:rPr>
            </w:pPr>
          </w:p>
        </w:tc>
        <w:tc>
          <w:tcPr>
            <w:tcW w:w="4111" w:type="dxa"/>
            <w:tcBorders>
              <w:right w:val="single" w:sz="12" w:space="0" w:color="auto"/>
            </w:tcBorders>
          </w:tcPr>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Príslušné školenia pracovníkov na tému uplatňovania pravidiel EÚ o štátnej pomoci na všetkých relevantných úrovniach (t.j., príslušné oddelenia) sa už konali alebo sú naplánované.</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Zaviedol sa systém šírenia a výmeny informácií pre všetkých pracovníkov zodpovedných za uplatňovanie pravidiel štátnej pomoci v spojení s implementáciou a riadením EŠIF (riadiace orgány, sprostredkovateľské orgány, certifikačné orgány, orgány auditu, a v prípade finančných nástrojov aj fond fondov a orgány zodpovedné za implementáciu finančných nástrojov (napr. prostredníctvom webových stránok, reklamných adresovaných zásielok (direct mail), atď.).</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V</w:t>
            </w:r>
            <w:r w:rsidR="00A11C30">
              <w:rPr>
                <w:rFonts w:ascii="Calibri" w:hAnsi="Calibri"/>
                <w:sz w:val="16"/>
                <w:szCs w:val="16"/>
                <w:lang w:eastAsia="sk-SK"/>
              </w:rPr>
              <w:t>o</w:t>
            </w:r>
            <w:r w:rsidRPr="00BA185A">
              <w:rPr>
                <w:rFonts w:ascii="Calibri" w:hAnsi="Calibri"/>
                <w:sz w:val="16"/>
                <w:szCs w:val="16"/>
                <w:lang w:eastAsia="sk-SK"/>
              </w:rPr>
              <w:t xml:space="preserve"> februári 2013 CKO pripravil školenie na tému „Uplatňovanie pravidiel štátnej pomoci v EÚ, systém riadenia ŠF a KF na programové obdobie 2007 - 2013 a zákon č. 528/2008 Z. z. o pomoci a podpore poskytovanej z fondov EÚ v praxi“ pre všetky riadiace orgány, ako aj sprostredkovateľské orgány pod riadiacimi orgánmi. Prednášky o pravidlách štátnej pomoci zabezpečuje </w:t>
            </w:r>
            <w:r w:rsidRPr="00BA185A">
              <w:rPr>
                <w:rFonts w:ascii="Calibri" w:hAnsi="Calibri"/>
                <w:sz w:val="16"/>
                <w:szCs w:val="16"/>
                <w:lang w:eastAsia="sk-SK"/>
              </w:rPr>
              <w:lastRenderedPageBreak/>
              <w:t xml:space="preserve">zástupca koordinátora. Koordinátor zverejňuje na svojej internetovej stránke právne predpisy EÚ v oblasti štátnej pomoci, referenčné, diskontné a úrokové sadzby pre vymáhanie štátnej pomoci, ako aj usmernenia Európskej komisie. Všetky dokumenty sú verejne dostupné pracovníkom zodpovedným za uplatňovanie pravidiel štátnej pomoci pri implementácii a riadení EŠIF. </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Ministerstvo financií SR v súčasnosti pripravuje stratégiu odbornej prípravy pre nové pravidlá štátnej pomoci, ktoré prijala Európska komisia v súvislosti s uskutočnenou modernizáciou štátnej pomoci, a ktoré nadobudnú účinnosť od 1.</w:t>
            </w:r>
            <w:r w:rsidR="00A11C30">
              <w:rPr>
                <w:rFonts w:ascii="Calibri" w:hAnsi="Calibri"/>
                <w:sz w:val="16"/>
                <w:szCs w:val="16"/>
                <w:lang w:eastAsia="sk-SK"/>
              </w:rPr>
              <w:t xml:space="preserve"> </w:t>
            </w:r>
            <w:r w:rsidRPr="00BA185A">
              <w:rPr>
                <w:rFonts w:ascii="Calibri" w:hAnsi="Calibri"/>
                <w:sz w:val="16"/>
                <w:szCs w:val="16"/>
                <w:lang w:eastAsia="sk-SK"/>
              </w:rPr>
              <w:t>7.</w:t>
            </w:r>
            <w:r w:rsidR="00A11C30">
              <w:rPr>
                <w:rFonts w:ascii="Calibri" w:hAnsi="Calibri"/>
                <w:sz w:val="16"/>
                <w:szCs w:val="16"/>
                <w:lang w:eastAsia="sk-SK"/>
              </w:rPr>
              <w:t xml:space="preserve"> </w:t>
            </w:r>
            <w:r w:rsidRPr="00BA185A">
              <w:rPr>
                <w:rFonts w:ascii="Calibri" w:hAnsi="Calibri"/>
                <w:sz w:val="16"/>
                <w:szCs w:val="16"/>
                <w:lang w:eastAsia="sk-SK"/>
              </w:rPr>
              <w:t>2014. Súčasťou stratégie je aj vzdelávanie, ktoré by malo byť rozdelené do šiestich samostatných blokov:</w:t>
            </w:r>
          </w:p>
          <w:p w:rsidR="00D07B15" w:rsidRPr="00BA185A" w:rsidRDefault="00D07B15" w:rsidP="00A11C30">
            <w:pPr>
              <w:spacing w:after="0"/>
              <w:rPr>
                <w:rFonts w:ascii="Calibri" w:hAnsi="Calibri"/>
                <w:sz w:val="16"/>
                <w:szCs w:val="16"/>
                <w:lang w:eastAsia="sk-SK"/>
              </w:rPr>
            </w:pPr>
            <w:r w:rsidRPr="00BA185A">
              <w:rPr>
                <w:rFonts w:ascii="Calibri" w:hAnsi="Calibri"/>
                <w:sz w:val="16"/>
                <w:szCs w:val="16"/>
                <w:lang w:eastAsia="sk-SK"/>
              </w:rPr>
              <w:t>Vzdelávací blok I. (pojem pomoc, procedurálne aspekty, skupinové výnimky, pomoc de minimis, štátna pomoc pre oblasť rizikového kapitálu, dopravy a dopravnej infraštruktúry) – po dohode s Európskou komisiou sa školenie uskutoční dňa 27.</w:t>
            </w:r>
            <w:r w:rsidR="002C4C80">
              <w:rPr>
                <w:rFonts w:ascii="Calibri" w:hAnsi="Calibri"/>
                <w:sz w:val="16"/>
                <w:szCs w:val="16"/>
                <w:lang w:eastAsia="sk-SK"/>
              </w:rPr>
              <w:t xml:space="preserve"> </w:t>
            </w:r>
            <w:r w:rsidRPr="00BA185A">
              <w:rPr>
                <w:rFonts w:ascii="Calibri" w:hAnsi="Calibri"/>
                <w:sz w:val="16"/>
                <w:szCs w:val="16"/>
                <w:lang w:eastAsia="sk-SK"/>
              </w:rPr>
              <w:t>5.</w:t>
            </w:r>
            <w:r w:rsidR="002C4C80">
              <w:rPr>
                <w:rFonts w:ascii="Calibri" w:hAnsi="Calibri"/>
                <w:sz w:val="16"/>
                <w:szCs w:val="16"/>
                <w:lang w:eastAsia="sk-SK"/>
              </w:rPr>
              <w:t xml:space="preserve"> </w:t>
            </w:r>
            <w:r w:rsidRPr="00BA185A">
              <w:rPr>
                <w:rFonts w:ascii="Calibri" w:hAnsi="Calibri"/>
                <w:sz w:val="16"/>
                <w:szCs w:val="16"/>
                <w:lang w:eastAsia="sk-SK"/>
              </w:rPr>
              <w:t>2014 za účasti lektorov z Európskej komisie</w:t>
            </w:r>
          </w:p>
          <w:p w:rsidR="00D07B15" w:rsidRPr="00BA185A" w:rsidRDefault="00D07B15" w:rsidP="00E961A8">
            <w:pPr>
              <w:spacing w:after="0"/>
              <w:rPr>
                <w:rFonts w:ascii="Calibri" w:hAnsi="Calibri"/>
                <w:sz w:val="16"/>
                <w:szCs w:val="16"/>
                <w:lang w:eastAsia="sk-SK"/>
              </w:rPr>
            </w:pPr>
            <w:r w:rsidRPr="00BA185A">
              <w:rPr>
                <w:rFonts w:ascii="Calibri" w:hAnsi="Calibri"/>
                <w:sz w:val="16"/>
                <w:szCs w:val="16"/>
                <w:lang w:eastAsia="sk-SK"/>
              </w:rPr>
              <w:t>Vzdelávací blok II. (nové nariadenie o skupinových výnimkách - GBER, transparentnosť, ex post hodnotenie štátnej pomoci)</w:t>
            </w:r>
          </w:p>
          <w:p w:rsidR="00D07B15" w:rsidRPr="00BA185A" w:rsidRDefault="00D07B15" w:rsidP="00E961A8">
            <w:pPr>
              <w:spacing w:after="0"/>
              <w:rPr>
                <w:rFonts w:ascii="Calibri" w:hAnsi="Calibri"/>
                <w:sz w:val="16"/>
                <w:szCs w:val="16"/>
                <w:lang w:eastAsia="sk-SK"/>
              </w:rPr>
            </w:pPr>
            <w:r w:rsidRPr="00BA185A">
              <w:rPr>
                <w:rFonts w:ascii="Calibri" w:hAnsi="Calibri"/>
                <w:sz w:val="16"/>
                <w:szCs w:val="16"/>
                <w:lang w:eastAsia="sk-SK"/>
              </w:rPr>
              <w:t>Vzdelávací blok III. (štátna pomoc pre oblasť ochrany životného prostredia a energetiky, štátna pomoc pre oblasť výskumu, vývoja a inovácií)</w:t>
            </w:r>
          </w:p>
          <w:p w:rsidR="00D07B15" w:rsidRPr="00BA185A" w:rsidRDefault="00D07B15" w:rsidP="00267480">
            <w:pPr>
              <w:spacing w:after="0"/>
              <w:rPr>
                <w:rFonts w:ascii="Calibri" w:hAnsi="Calibri"/>
                <w:sz w:val="16"/>
                <w:szCs w:val="16"/>
                <w:lang w:eastAsia="sk-SK"/>
              </w:rPr>
            </w:pPr>
            <w:r w:rsidRPr="00BA185A">
              <w:rPr>
                <w:rFonts w:ascii="Calibri" w:hAnsi="Calibri"/>
                <w:sz w:val="16"/>
                <w:szCs w:val="16"/>
                <w:lang w:eastAsia="sk-SK"/>
              </w:rPr>
              <w:t>Vzdelávací blok IV. (kalkulácia prvku pomoci pri rôznych formách pomoci, služby vo všeobecnom hospodárskom záujme)</w:t>
            </w:r>
          </w:p>
          <w:p w:rsidR="00D07B15" w:rsidRPr="00BA185A" w:rsidRDefault="00D07B15" w:rsidP="0026189E">
            <w:pPr>
              <w:spacing w:after="0"/>
              <w:rPr>
                <w:rFonts w:ascii="Calibri" w:hAnsi="Calibri"/>
                <w:sz w:val="16"/>
                <w:szCs w:val="16"/>
                <w:lang w:eastAsia="sk-SK"/>
              </w:rPr>
            </w:pPr>
            <w:r w:rsidRPr="00BA185A">
              <w:rPr>
                <w:rFonts w:ascii="Calibri" w:hAnsi="Calibri"/>
                <w:sz w:val="16"/>
                <w:szCs w:val="16"/>
                <w:lang w:eastAsia="sk-SK"/>
              </w:rPr>
              <w:t>Vzdelávací blok V. (školenie pre zástupcov miestnej štátnej správy)</w:t>
            </w:r>
          </w:p>
          <w:p w:rsidR="00D07B15" w:rsidRPr="00BA185A" w:rsidRDefault="00D07B15" w:rsidP="0026189E">
            <w:pPr>
              <w:spacing w:after="0"/>
              <w:rPr>
                <w:rFonts w:ascii="Calibri" w:hAnsi="Calibri"/>
                <w:sz w:val="16"/>
                <w:szCs w:val="16"/>
                <w:lang w:eastAsia="sk-SK"/>
              </w:rPr>
            </w:pPr>
            <w:r w:rsidRPr="00BA185A">
              <w:rPr>
                <w:rFonts w:ascii="Calibri" w:hAnsi="Calibri"/>
                <w:sz w:val="16"/>
                <w:szCs w:val="16"/>
                <w:lang w:eastAsia="sk-SK"/>
              </w:rPr>
              <w:t>Vzdelávací blok VI. (podľa požiadaviek a aktuálnych potrieb poskytovateľov pomoci)</w:t>
            </w:r>
          </w:p>
          <w:p w:rsidR="004E2D6C" w:rsidRPr="004E2D6C" w:rsidRDefault="00D07B15" w:rsidP="00C408E8">
            <w:pPr>
              <w:spacing w:before="0"/>
              <w:rPr>
                <w:rFonts w:ascii="Calibri" w:hAnsi="Calibri"/>
                <w:sz w:val="16"/>
                <w:szCs w:val="16"/>
                <w:lang w:eastAsia="sk-SK"/>
              </w:rPr>
            </w:pPr>
            <w:r w:rsidRPr="00BA185A">
              <w:rPr>
                <w:rFonts w:ascii="Calibri" w:hAnsi="Calibri"/>
                <w:sz w:val="16"/>
                <w:szCs w:val="16"/>
                <w:lang w:eastAsia="sk-SK"/>
              </w:rPr>
              <w:t>Zabezpečenie lektorov na uvedených školeniach zo strany Európskej komisie, ako aj časový harmonogram realizácie školení bude predmetom rokovania na stretnutí so zástupcami GR pre hospodársku súťaž, ktoré sa uskutoční dňa 26.</w:t>
            </w:r>
            <w:r w:rsidR="002C4C80">
              <w:rPr>
                <w:rFonts w:ascii="Calibri" w:hAnsi="Calibri"/>
                <w:sz w:val="16"/>
                <w:szCs w:val="16"/>
                <w:lang w:eastAsia="sk-SK"/>
              </w:rPr>
              <w:t xml:space="preserve"> </w:t>
            </w:r>
            <w:r w:rsidRPr="00BA185A">
              <w:rPr>
                <w:rFonts w:ascii="Calibri" w:hAnsi="Calibri"/>
                <w:sz w:val="16"/>
                <w:szCs w:val="16"/>
                <w:lang w:eastAsia="sk-SK"/>
              </w:rPr>
              <w:t>5.</w:t>
            </w:r>
            <w:r w:rsidR="002C4C80">
              <w:rPr>
                <w:rFonts w:ascii="Calibri" w:hAnsi="Calibri"/>
                <w:sz w:val="16"/>
                <w:szCs w:val="16"/>
                <w:lang w:eastAsia="sk-SK"/>
              </w:rPr>
              <w:t xml:space="preserve"> </w:t>
            </w:r>
            <w:r w:rsidRPr="00BA185A">
              <w:rPr>
                <w:rFonts w:ascii="Calibri" w:hAnsi="Calibri"/>
                <w:sz w:val="16"/>
                <w:szCs w:val="16"/>
                <w:lang w:eastAsia="sk-SK"/>
              </w:rPr>
              <w:t>2014 v Bratislave.</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218"/>
        </w:trPr>
        <w:tc>
          <w:tcPr>
            <w:tcW w:w="1843"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Borders>
              <w:bottom w:val="single" w:sz="12" w:space="0" w:color="auto"/>
            </w:tcBorders>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bottom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administratívnej kapacity na vykonávanie a uplatňovanie pravidiel Únie o štátnej pomoci.</w:t>
            </w:r>
          </w:p>
        </w:tc>
        <w:tc>
          <w:tcPr>
            <w:tcW w:w="850" w:type="dxa"/>
            <w:tcBorders>
              <w:bottom w:val="single" w:sz="12" w:space="0" w:color="auto"/>
            </w:tcBorders>
            <w:vAlign w:val="center"/>
          </w:tcPr>
          <w:p w:rsidR="004E2D6C" w:rsidRPr="004E2D6C" w:rsidRDefault="00D07B15" w:rsidP="00A14E7D">
            <w:pPr>
              <w:spacing w:before="0"/>
              <w:jc w:val="center"/>
              <w:rPr>
                <w:rFonts w:ascii="Calibri" w:hAnsi="Calibri"/>
                <w:sz w:val="16"/>
                <w:szCs w:val="16"/>
                <w:lang w:eastAsia="sk-SK"/>
              </w:rPr>
            </w:pPr>
            <w:r>
              <w:rPr>
                <w:rFonts w:ascii="Calibri" w:hAnsi="Calibri"/>
                <w:b/>
                <w:sz w:val="16"/>
                <w:szCs w:val="16"/>
                <w:lang w:eastAsia="sk-SK"/>
              </w:rPr>
              <w:t>Nie</w:t>
            </w:r>
          </w:p>
        </w:tc>
        <w:tc>
          <w:tcPr>
            <w:tcW w:w="3119" w:type="dxa"/>
            <w:tcBorders>
              <w:bottom w:val="single" w:sz="12" w:space="0" w:color="auto"/>
            </w:tcBorders>
          </w:tcPr>
          <w:p w:rsidR="004E2D6C" w:rsidRPr="004E2D6C" w:rsidRDefault="004E2D6C" w:rsidP="004E2D6C">
            <w:pPr>
              <w:spacing w:before="0" w:line="280" w:lineRule="auto"/>
              <w:rPr>
                <w:rFonts w:ascii="Calibri" w:hAnsi="Calibri"/>
                <w:sz w:val="16"/>
                <w:szCs w:val="16"/>
                <w:lang w:eastAsia="sk-SK"/>
              </w:rPr>
            </w:pPr>
          </w:p>
        </w:tc>
        <w:tc>
          <w:tcPr>
            <w:tcW w:w="4111" w:type="dxa"/>
            <w:tcBorders>
              <w:bottom w:val="single" w:sz="12" w:space="0" w:color="auto"/>
              <w:right w:val="single" w:sz="12" w:space="0" w:color="auto"/>
            </w:tcBorders>
          </w:tcPr>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Koordinátor štátnej pomoci požiadal RO, aby predložili výsledky analýz hodnotenia dostatočnosti administratívnych kapacít v oblasti štátnej pomoci Ministerstvu financií Slovenskej republiky do konca septembra 2013. Pri vypracovaní analýz bolo potrebné vychádzať z priorít obsiahnutých v operačných programo</w:t>
            </w:r>
            <w:r w:rsidR="002C4C80">
              <w:rPr>
                <w:rFonts w:ascii="Calibri" w:hAnsi="Calibri"/>
                <w:sz w:val="16"/>
                <w:szCs w:val="16"/>
                <w:lang w:eastAsia="sk-SK"/>
              </w:rPr>
              <w:t>ch</w:t>
            </w:r>
            <w:r w:rsidRPr="00BA185A">
              <w:rPr>
                <w:rFonts w:ascii="Calibri" w:hAnsi="Calibri"/>
                <w:sz w:val="16"/>
                <w:szCs w:val="16"/>
                <w:lang w:eastAsia="sk-SK"/>
              </w:rPr>
              <w:t xml:space="preserve"> na programové obdobie 2014 – 2020. </w:t>
            </w:r>
            <w:r w:rsidR="002C4C80">
              <w:rPr>
                <w:rFonts w:ascii="Calibri" w:hAnsi="Calibri"/>
                <w:sz w:val="16"/>
                <w:szCs w:val="16"/>
                <w:lang w:eastAsia="sk-SK"/>
              </w:rPr>
              <w:t>MF SR</w:t>
            </w:r>
            <w:r w:rsidRPr="00BA185A">
              <w:rPr>
                <w:rFonts w:ascii="Calibri" w:hAnsi="Calibri"/>
                <w:sz w:val="16"/>
                <w:szCs w:val="16"/>
                <w:lang w:eastAsia="sk-SK"/>
              </w:rPr>
              <w:t xml:space="preserve"> vopred oboznámilo riadiace orgány so štruktúrou analýz. Analýzy sa mali zamerať najmä na tieto oblasti:</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 xml:space="preserve">- súčasný počet zamestnancov, t.j. počet a mená zamestnancov </w:t>
            </w:r>
            <w:r w:rsidR="002C4C80">
              <w:rPr>
                <w:rFonts w:ascii="Calibri" w:hAnsi="Calibri"/>
                <w:sz w:val="16"/>
                <w:szCs w:val="16"/>
                <w:lang w:eastAsia="sk-SK"/>
              </w:rPr>
              <w:t>RO</w:t>
            </w:r>
            <w:r w:rsidRPr="00BA185A">
              <w:rPr>
                <w:rFonts w:ascii="Calibri" w:hAnsi="Calibri"/>
                <w:sz w:val="16"/>
                <w:szCs w:val="16"/>
                <w:lang w:eastAsia="sk-SK"/>
              </w:rPr>
              <w:t>, ktorí sú v súčasnosti zodpovední za implementáciu pravidiel EÚ o štátnej pomoci (zamestnanci, ktorí majú tieto úlohy uvedené aj v náplni práce), vrátane uvedenia ich funkcie,</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 xml:space="preserve">- potenciál na zvýšenie súčasného počtu, t.j. návrh týkajúci sa možného zvýšenia počtu zamestnancov, </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 zdôvodnenie zvýšenia počtu vo vzťahu k efektívnemu uplatňovaniu štátnej pomoci v rámci fondov EÚ.</w:t>
            </w:r>
          </w:p>
          <w:p w:rsidR="00D07B15" w:rsidRPr="00BA185A" w:rsidRDefault="00D07B15" w:rsidP="00BA185A">
            <w:pPr>
              <w:spacing w:after="0"/>
              <w:rPr>
                <w:rFonts w:ascii="Calibri" w:hAnsi="Calibri"/>
                <w:sz w:val="16"/>
                <w:szCs w:val="16"/>
                <w:lang w:eastAsia="sk-SK"/>
              </w:rPr>
            </w:pPr>
            <w:r w:rsidRPr="00BA185A">
              <w:rPr>
                <w:rFonts w:ascii="Calibri" w:hAnsi="Calibri"/>
                <w:sz w:val="16"/>
                <w:szCs w:val="16"/>
                <w:lang w:eastAsia="sk-SK"/>
              </w:rPr>
              <w:t>Takmer všetky orgány vyjadrili potrebu zvýšiť počet zamestnancov aspoň o jedného pracovníka. Celková potreba bola kvantifikovaná v počte 14 zamestnancov.</w:t>
            </w:r>
          </w:p>
          <w:p w:rsidR="00D07B15" w:rsidRPr="00BA185A" w:rsidRDefault="002C4C80" w:rsidP="00BA185A">
            <w:pPr>
              <w:spacing w:after="0"/>
              <w:rPr>
                <w:rFonts w:ascii="Calibri" w:hAnsi="Calibri"/>
                <w:sz w:val="16"/>
                <w:szCs w:val="16"/>
                <w:lang w:eastAsia="sk-SK"/>
              </w:rPr>
            </w:pPr>
            <w:r>
              <w:rPr>
                <w:rFonts w:ascii="Calibri" w:hAnsi="Calibri"/>
                <w:sz w:val="16"/>
                <w:szCs w:val="16"/>
                <w:lang w:eastAsia="sk-SK"/>
              </w:rPr>
              <w:t>MF</w:t>
            </w:r>
            <w:r w:rsidR="00D07B15" w:rsidRPr="00BA185A">
              <w:rPr>
                <w:rFonts w:ascii="Calibri" w:hAnsi="Calibri"/>
                <w:sz w:val="16"/>
                <w:szCs w:val="16"/>
                <w:lang w:eastAsia="sk-SK"/>
              </w:rPr>
              <w:t xml:space="preserve"> SR listom zo dňa 12.</w:t>
            </w:r>
            <w:r>
              <w:rPr>
                <w:rFonts w:ascii="Calibri" w:hAnsi="Calibri"/>
                <w:sz w:val="16"/>
                <w:szCs w:val="16"/>
                <w:lang w:eastAsia="sk-SK"/>
              </w:rPr>
              <w:t xml:space="preserve"> </w:t>
            </w:r>
            <w:r w:rsidR="00D07B15" w:rsidRPr="00BA185A">
              <w:rPr>
                <w:rFonts w:ascii="Calibri" w:hAnsi="Calibri"/>
                <w:sz w:val="16"/>
                <w:szCs w:val="16"/>
                <w:lang w:eastAsia="sk-SK"/>
              </w:rPr>
              <w:t>5.</w:t>
            </w:r>
            <w:r>
              <w:rPr>
                <w:rFonts w:ascii="Calibri" w:hAnsi="Calibri"/>
                <w:sz w:val="16"/>
                <w:szCs w:val="16"/>
                <w:lang w:eastAsia="sk-SK"/>
              </w:rPr>
              <w:t xml:space="preserve"> </w:t>
            </w:r>
            <w:r w:rsidR="00D07B15" w:rsidRPr="00BA185A">
              <w:rPr>
                <w:rFonts w:ascii="Calibri" w:hAnsi="Calibri"/>
                <w:sz w:val="16"/>
                <w:szCs w:val="16"/>
                <w:lang w:eastAsia="sk-SK"/>
              </w:rPr>
              <w:t xml:space="preserve">2014 požiadalo o úpravu operačného programu Technická pomoc tak, aby z jeho prostriedkov bolo možné financovať prípadné zvýšenie administratívnej kapacity </w:t>
            </w:r>
            <w:r>
              <w:rPr>
                <w:rFonts w:ascii="Calibri" w:hAnsi="Calibri"/>
                <w:sz w:val="16"/>
                <w:szCs w:val="16"/>
                <w:lang w:eastAsia="sk-SK"/>
              </w:rPr>
              <w:t>MF</w:t>
            </w:r>
            <w:r w:rsidR="00D07B15" w:rsidRPr="00BA185A">
              <w:rPr>
                <w:rFonts w:ascii="Calibri" w:hAnsi="Calibri"/>
                <w:sz w:val="16"/>
                <w:szCs w:val="16"/>
                <w:lang w:eastAsia="sk-SK"/>
              </w:rPr>
              <w:t xml:space="preserve"> SR ako koordinátora štátnej pomoci. Podľa vyjadrenia Úradu vlády SR riadiaci orgán pre OP Technická pomoc akceptuje požiadavku </w:t>
            </w:r>
            <w:r>
              <w:rPr>
                <w:rFonts w:ascii="Calibri" w:hAnsi="Calibri"/>
                <w:sz w:val="16"/>
                <w:szCs w:val="16"/>
                <w:lang w:eastAsia="sk-SK"/>
              </w:rPr>
              <w:t>MF</w:t>
            </w:r>
            <w:r w:rsidR="00D07B15" w:rsidRPr="00BA185A">
              <w:rPr>
                <w:rFonts w:ascii="Calibri" w:hAnsi="Calibri"/>
                <w:sz w:val="16"/>
                <w:szCs w:val="16"/>
                <w:lang w:eastAsia="sk-SK"/>
              </w:rPr>
              <w:t xml:space="preserve"> SR a oblasť štátnej pomoci bude do operačného programu zapracovaná v ďalšej fáze jeho prípravy (dňa 14.</w:t>
            </w:r>
            <w:r>
              <w:rPr>
                <w:rFonts w:ascii="Calibri" w:hAnsi="Calibri"/>
                <w:sz w:val="16"/>
                <w:szCs w:val="16"/>
                <w:lang w:eastAsia="sk-SK"/>
              </w:rPr>
              <w:t xml:space="preserve"> </w:t>
            </w:r>
            <w:r w:rsidR="00D07B15" w:rsidRPr="00BA185A">
              <w:rPr>
                <w:rFonts w:ascii="Calibri" w:hAnsi="Calibri"/>
                <w:sz w:val="16"/>
                <w:szCs w:val="16"/>
                <w:lang w:eastAsia="sk-SK"/>
              </w:rPr>
              <w:t>5.</w:t>
            </w:r>
            <w:r>
              <w:rPr>
                <w:rFonts w:ascii="Calibri" w:hAnsi="Calibri"/>
                <w:sz w:val="16"/>
                <w:szCs w:val="16"/>
                <w:lang w:eastAsia="sk-SK"/>
              </w:rPr>
              <w:t xml:space="preserve"> </w:t>
            </w:r>
            <w:r w:rsidR="00D07B15" w:rsidRPr="00BA185A">
              <w:rPr>
                <w:rFonts w:ascii="Calibri" w:hAnsi="Calibri"/>
                <w:sz w:val="16"/>
                <w:szCs w:val="16"/>
                <w:lang w:eastAsia="sk-SK"/>
              </w:rPr>
              <w:t>2014 bol predložený na rokovanie vlády SR).</w:t>
            </w:r>
          </w:p>
          <w:p w:rsidR="004E2D6C" w:rsidRPr="004E2D6C" w:rsidRDefault="00D07B15" w:rsidP="002C4C80">
            <w:pPr>
              <w:spacing w:before="0"/>
              <w:rPr>
                <w:rFonts w:ascii="Calibri" w:hAnsi="Calibri"/>
                <w:sz w:val="16"/>
                <w:szCs w:val="16"/>
                <w:lang w:eastAsia="sk-SK"/>
              </w:rPr>
            </w:pPr>
            <w:r w:rsidRPr="00BA185A">
              <w:rPr>
                <w:rFonts w:ascii="Calibri" w:hAnsi="Calibri"/>
                <w:sz w:val="16"/>
                <w:szCs w:val="16"/>
                <w:lang w:eastAsia="sk-SK"/>
              </w:rPr>
              <w:t>Kvantifikácia potreby posilnenia administratívnej kapacity koordinátora štátnej pomoci v nadväznosti na potrebu zabezpečenia splnenia ex</w:t>
            </w:r>
            <w:r w:rsidR="002C4C80">
              <w:rPr>
                <w:rFonts w:ascii="Calibri" w:hAnsi="Calibri"/>
                <w:sz w:val="16"/>
                <w:szCs w:val="16"/>
                <w:lang w:eastAsia="sk-SK"/>
              </w:rPr>
              <w:t xml:space="preserve"> </w:t>
            </w:r>
            <w:r w:rsidRPr="00BA185A">
              <w:rPr>
                <w:rFonts w:ascii="Calibri" w:hAnsi="Calibri"/>
                <w:sz w:val="16"/>
                <w:szCs w:val="16"/>
                <w:lang w:eastAsia="sk-SK"/>
              </w:rPr>
              <w:t xml:space="preserve">ante kondicionality „Štátna pomoc“, ako aj vytvorenie metodických centier požadovaných </w:t>
            </w:r>
            <w:r w:rsidR="002C4C80">
              <w:rPr>
                <w:rFonts w:ascii="Calibri" w:hAnsi="Calibri"/>
                <w:sz w:val="16"/>
                <w:szCs w:val="16"/>
                <w:lang w:eastAsia="sk-SK"/>
              </w:rPr>
              <w:t>EK</w:t>
            </w:r>
            <w:r w:rsidRPr="00BA185A">
              <w:rPr>
                <w:rFonts w:ascii="Calibri" w:hAnsi="Calibri"/>
                <w:sz w:val="16"/>
                <w:szCs w:val="16"/>
                <w:lang w:eastAsia="sk-SK"/>
              </w:rPr>
              <w:t xml:space="preserve"> bude predmetom rokovania na stretnutí so zástupcami GR pre hospodársku súťaž, ktoré sa uskutoční dňa 26.</w:t>
            </w:r>
            <w:r w:rsidR="002C4C80">
              <w:rPr>
                <w:rFonts w:ascii="Calibri" w:hAnsi="Calibri"/>
                <w:sz w:val="16"/>
                <w:szCs w:val="16"/>
                <w:lang w:eastAsia="sk-SK"/>
              </w:rPr>
              <w:t xml:space="preserve"> </w:t>
            </w:r>
            <w:r w:rsidRPr="00BA185A">
              <w:rPr>
                <w:rFonts w:ascii="Calibri" w:hAnsi="Calibri"/>
                <w:sz w:val="16"/>
                <w:szCs w:val="16"/>
                <w:lang w:eastAsia="sk-SK"/>
              </w:rPr>
              <w:t>5.</w:t>
            </w:r>
            <w:r w:rsidR="002C4C80">
              <w:rPr>
                <w:rFonts w:ascii="Calibri" w:hAnsi="Calibri"/>
                <w:sz w:val="16"/>
                <w:szCs w:val="16"/>
                <w:lang w:eastAsia="sk-SK"/>
              </w:rPr>
              <w:t xml:space="preserve"> </w:t>
            </w:r>
            <w:r w:rsidRPr="00BA185A">
              <w:rPr>
                <w:rFonts w:ascii="Calibri" w:hAnsi="Calibri"/>
                <w:sz w:val="16"/>
                <w:szCs w:val="16"/>
                <w:lang w:eastAsia="sk-SK"/>
              </w:rPr>
              <w:t>2014 v Bratislave.</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265"/>
        </w:trPr>
        <w:tc>
          <w:tcPr>
            <w:tcW w:w="1843" w:type="dxa"/>
            <w:vMerge w:val="restart"/>
            <w:tcBorders>
              <w:top w:val="single" w:sz="12" w:space="0" w:color="auto"/>
              <w:left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6. Právne predpisy v </w:t>
            </w:r>
            <w:r w:rsidRPr="004E2D6C">
              <w:rPr>
                <w:rFonts w:ascii="Calibri" w:hAnsi="Calibri"/>
                <w:sz w:val="16"/>
                <w:szCs w:val="16"/>
                <w:lang w:eastAsia="sk-SK"/>
              </w:rPr>
              <w:lastRenderedPageBreak/>
              <w:t>oblasti životného prostredia týkajúce sa posudzovania vplyvov na životné prostredie (EIA) a strategického environmentálneho posudzovania (SEA)</w:t>
            </w:r>
          </w:p>
          <w:p w:rsidR="004E2D6C" w:rsidRPr="004E2D6C" w:rsidRDefault="004E2D6C" w:rsidP="004E2D6C">
            <w:pPr>
              <w:spacing w:before="0"/>
              <w:rPr>
                <w:rFonts w:ascii="Calibri" w:hAnsi="Calibri"/>
                <w:sz w:val="16"/>
                <w:szCs w:val="16"/>
                <w:lang w:eastAsia="sk-SK"/>
              </w:rPr>
            </w:pPr>
          </w:p>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Existencia pravidiel na efektívne uplatňovanie právnych predpisov Únie v oblasti životného prostredia týkajúcich sa EIA a SEA.</w:t>
            </w:r>
          </w:p>
        </w:tc>
        <w:tc>
          <w:tcPr>
            <w:tcW w:w="1701" w:type="dxa"/>
            <w:vMerge w:val="restart"/>
            <w:tcBorders>
              <w:top w:val="single" w:sz="12" w:space="0" w:color="auto"/>
            </w:tcBorders>
            <w:vAlign w:val="center"/>
          </w:tcPr>
          <w:p w:rsidR="004E2D6C" w:rsidRPr="004E2D6C" w:rsidRDefault="004E2D6C" w:rsidP="00A14E7D">
            <w:pPr>
              <w:spacing w:before="0"/>
              <w:jc w:val="center"/>
              <w:rPr>
                <w:rFonts w:ascii="Calibri" w:hAnsi="Calibri"/>
                <w:b/>
                <w:sz w:val="16"/>
                <w:szCs w:val="16"/>
                <w:lang w:eastAsia="sk-SK"/>
              </w:rPr>
            </w:pPr>
            <w:r w:rsidRPr="004E2D6C">
              <w:rPr>
                <w:rFonts w:ascii="Calibri" w:hAnsi="Calibri"/>
                <w:b/>
                <w:sz w:val="16"/>
                <w:szCs w:val="16"/>
                <w:lang w:eastAsia="sk-SK"/>
              </w:rPr>
              <w:lastRenderedPageBreak/>
              <w:t>Čiastočne</w:t>
            </w:r>
          </w:p>
        </w:tc>
        <w:tc>
          <w:tcPr>
            <w:tcW w:w="2552" w:type="dxa"/>
            <w:tcBorders>
              <w:top w:val="single" w:sz="1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 xml:space="preserve">Opatrenia na zabezpečenie </w:t>
            </w:r>
            <w:r w:rsidRPr="004E2D6C">
              <w:rPr>
                <w:rFonts w:ascii="Calibri" w:hAnsi="Calibri"/>
                <w:sz w:val="16"/>
                <w:szCs w:val="16"/>
                <w:lang w:eastAsia="sk-SK"/>
              </w:rPr>
              <w:lastRenderedPageBreak/>
              <w:t>účinného uplatňovania smernice Európskeho parlamentu a Rady 2011/92/EÚ (EIA) a smernice Európskeho parlamentu a Rady 2001/42/ES (SEA).</w:t>
            </w:r>
          </w:p>
        </w:tc>
        <w:tc>
          <w:tcPr>
            <w:tcW w:w="850" w:type="dxa"/>
            <w:tcBorders>
              <w:top w:val="single" w:sz="12" w:space="0" w:color="auto"/>
            </w:tcBorders>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lastRenderedPageBreak/>
              <w:t>Nie</w:t>
            </w:r>
          </w:p>
        </w:tc>
        <w:tc>
          <w:tcPr>
            <w:tcW w:w="3119" w:type="dxa"/>
            <w:tcBorders>
              <w:top w:val="single" w:sz="12" w:space="0" w:color="auto"/>
            </w:tcBorders>
          </w:tcPr>
          <w:p w:rsidR="004E2D6C" w:rsidRPr="004E2D6C" w:rsidRDefault="004E2D6C" w:rsidP="00966411">
            <w:pPr>
              <w:spacing w:before="0"/>
              <w:rPr>
                <w:rFonts w:ascii="Calibri" w:hAnsi="Calibri"/>
                <w:sz w:val="16"/>
                <w:szCs w:val="16"/>
              </w:rPr>
            </w:pPr>
            <w:r w:rsidRPr="004E2D6C">
              <w:rPr>
                <w:rFonts w:ascii="Calibri" w:hAnsi="Calibri"/>
                <w:sz w:val="16"/>
                <w:szCs w:val="16"/>
              </w:rPr>
              <w:t xml:space="preserve">Zákon 24/2006 Z. z. o posudzovaní vplyvov </w:t>
            </w:r>
            <w:r w:rsidRPr="004E2D6C">
              <w:rPr>
                <w:rFonts w:ascii="Calibri" w:hAnsi="Calibri"/>
                <w:sz w:val="16"/>
                <w:szCs w:val="16"/>
              </w:rPr>
              <w:lastRenderedPageBreak/>
              <w:t>na životné prostredie a o zmene a doplnení niektorých zákonov v znení neskorších predpisov</w:t>
            </w:r>
          </w:p>
          <w:p w:rsidR="004E2D6C" w:rsidRPr="00396928" w:rsidRDefault="002F62D4" w:rsidP="00966411">
            <w:pPr>
              <w:spacing w:before="0"/>
              <w:rPr>
                <w:rFonts w:ascii="Calibri" w:hAnsi="Calibri"/>
                <w:sz w:val="16"/>
                <w:szCs w:val="16"/>
              </w:rPr>
            </w:pPr>
            <w:r w:rsidRPr="003F0750">
              <w:rPr>
                <w:rFonts w:ascii="Calibri" w:hAnsi="Calibri"/>
                <w:sz w:val="16"/>
                <w:szCs w:val="16"/>
              </w:rPr>
              <w:t xml:space="preserve">Zákon je uverejnený na stránke </w:t>
            </w:r>
            <w:hyperlink r:id="rId189" w:history="1">
              <w:r w:rsidRPr="006F002B">
                <w:rPr>
                  <w:rFonts w:ascii="Calibri" w:hAnsi="Calibri"/>
                  <w:sz w:val="16"/>
                  <w:szCs w:val="16"/>
                </w:rPr>
                <w:t>www.jaspi.justice.gov.sk</w:t>
              </w:r>
            </w:hyperlink>
            <w:r w:rsidR="00D761A5">
              <w:rPr>
                <w:rFonts w:ascii="Calibri" w:hAnsi="Calibri"/>
                <w:sz w:val="16"/>
                <w:szCs w:val="16"/>
              </w:rPr>
              <w:t xml:space="preserve">  </w:t>
            </w:r>
          </w:p>
        </w:tc>
        <w:tc>
          <w:tcPr>
            <w:tcW w:w="4111" w:type="dxa"/>
            <w:tcBorders>
              <w:top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Listom zo dňa 21.3.2013 bola začatá procedúra </w:t>
            </w:r>
            <w:r w:rsidRPr="004E2D6C">
              <w:rPr>
                <w:rFonts w:ascii="Calibri" w:hAnsi="Calibri"/>
                <w:sz w:val="16"/>
                <w:szCs w:val="16"/>
              </w:rPr>
              <w:lastRenderedPageBreak/>
              <w:t>infringementu vo veci transpozičného deficitu vo vzťahu k smernici Európskeho parlamentu a Rady 2011/92/EÚ z 13. decembra 2011 o posudzovaní vplyvov určitých verejných a súkromných projektov na životné prostredie (smernica EIA).</w:t>
            </w:r>
          </w:p>
          <w:p w:rsidR="004E2D6C" w:rsidRPr="004E2D6C" w:rsidRDefault="004E2D6C" w:rsidP="004E2D6C">
            <w:pPr>
              <w:spacing w:before="0"/>
              <w:rPr>
                <w:rFonts w:ascii="Calibri" w:hAnsi="Calibri"/>
                <w:sz w:val="16"/>
                <w:szCs w:val="16"/>
              </w:rPr>
            </w:pPr>
            <w:r w:rsidRPr="004E2D6C">
              <w:rPr>
                <w:rFonts w:ascii="Calibri" w:hAnsi="Calibri"/>
                <w:sz w:val="16"/>
                <w:szCs w:val="16"/>
              </w:rPr>
              <w:t>Vo výzve sú uvedené ďalšie právne predpisy dotknuté potrebou úplnej a správnej transpozície smernice EIA, vrátane právnych predpisov, ku ktorým neboli oznámené opatrenia na transpozíciu (zákony upravujúce práva a povinnosti dotknutých orgánov, navrhovateľov a verejnosti a zákony upravujúce povoľovacie konanie). Zoznam zákonov je uvedený vo formálnom oznámení EK adresovanej ministrovi zahraničných vecí a európskych záležitostí SR.</w:t>
            </w:r>
          </w:p>
          <w:p w:rsidR="004E2D6C" w:rsidRPr="004E2D6C" w:rsidRDefault="004E2D6C" w:rsidP="004E2D6C">
            <w:pPr>
              <w:spacing w:before="0"/>
              <w:rPr>
                <w:rFonts w:ascii="Calibri" w:hAnsi="Calibri"/>
                <w:sz w:val="16"/>
                <w:szCs w:val="16"/>
              </w:rPr>
            </w:pPr>
            <w:r w:rsidRPr="004E2D6C">
              <w:rPr>
                <w:rFonts w:ascii="Calibri" w:hAnsi="Calibri"/>
                <w:sz w:val="16"/>
                <w:szCs w:val="16"/>
              </w:rPr>
              <w:t>Koordinácia s ostatnými rezortmi je na základe identifikovaných problémov kľúčová vzhľadom na prepojenie procesu posudzovania vplyvov s procesom povoľovania projektov a s prístupom verejnosti k spravodlivosti. Tieto oblasti sú pokryté legislatívou iných rezortov, najmä MDVRR SR (stavebný zákon, cestný zákon), MV SR (Správny poriadok), MS SR (Občiansky súdny poriadok).</w:t>
            </w:r>
          </w:p>
          <w:p w:rsidR="004E2D6C" w:rsidRPr="004E2D6C" w:rsidRDefault="004E2D6C" w:rsidP="004E2D6C">
            <w:pPr>
              <w:spacing w:before="0"/>
              <w:rPr>
                <w:rFonts w:ascii="Calibri" w:hAnsi="Calibri"/>
                <w:sz w:val="16"/>
                <w:szCs w:val="16"/>
              </w:rPr>
            </w:pPr>
            <w:r w:rsidRPr="004E2D6C">
              <w:rPr>
                <w:rFonts w:ascii="Calibri" w:hAnsi="Calibri"/>
                <w:sz w:val="16"/>
                <w:szCs w:val="16"/>
              </w:rPr>
              <w:t>Dňa 12.7.2013 bola zaslaná finálna odpoveď SR na formálne oznámenie EK, v ktorej SR deklaruje, že vykoná príslušné legislatívne úpravy a metodické usmernenia s cieľom odstrániť uvádzaný transpozičný deficit najneskôr v čase, kedy bude mať za povinnosť transponovať v súčasnosti pripravovanú novelu smernice EIA, ktorá predstavuje závažné zmeny voči súčasnému zneniu smernice EIA, t.j. dva a pol roka.</w:t>
            </w:r>
          </w:p>
          <w:p w:rsidR="002F62D4" w:rsidRPr="00FC7E65" w:rsidRDefault="002F62D4" w:rsidP="002F62D4">
            <w:pPr>
              <w:spacing w:before="0"/>
              <w:contextualSpacing/>
              <w:rPr>
                <w:rFonts w:ascii="Calibri" w:hAnsi="Calibri"/>
                <w:sz w:val="16"/>
                <w:szCs w:val="16"/>
              </w:rPr>
            </w:pPr>
            <w:r w:rsidRPr="00FC7E65">
              <w:rPr>
                <w:rFonts w:ascii="Calibri" w:hAnsi="Calibri"/>
                <w:sz w:val="16"/>
                <w:szCs w:val="16"/>
              </w:rPr>
              <w:t xml:space="preserve">Príprava príslušných legislatívnych úprav na úrovni rezortu prebiehala v nasledovných krokoch: </w:t>
            </w:r>
          </w:p>
          <w:p w:rsidR="002F62D4" w:rsidRPr="005A192A" w:rsidRDefault="002F62D4" w:rsidP="001C5C9E">
            <w:pPr>
              <w:pStyle w:val="Odsekzoznamu"/>
              <w:numPr>
                <w:ilvl w:val="0"/>
                <w:numId w:val="121"/>
              </w:numPr>
              <w:spacing w:before="0"/>
              <w:ind w:left="175" w:hanging="141"/>
              <w:rPr>
                <w:rFonts w:ascii="Calibri" w:hAnsi="Calibri"/>
                <w:sz w:val="16"/>
                <w:szCs w:val="16"/>
              </w:rPr>
            </w:pPr>
            <w:r w:rsidRPr="005A192A">
              <w:rPr>
                <w:rFonts w:ascii="Calibri" w:hAnsi="Calibri"/>
                <w:sz w:val="16"/>
                <w:szCs w:val="16"/>
              </w:rPr>
              <w:t>dňa 5.</w:t>
            </w:r>
            <w:r w:rsidR="002C4C80" w:rsidRPr="005A192A">
              <w:rPr>
                <w:rFonts w:ascii="Calibri" w:hAnsi="Calibri"/>
                <w:sz w:val="16"/>
                <w:szCs w:val="16"/>
              </w:rPr>
              <w:t xml:space="preserve"> </w:t>
            </w:r>
            <w:r w:rsidRPr="005A192A">
              <w:rPr>
                <w:rFonts w:ascii="Calibri" w:hAnsi="Calibri"/>
                <w:sz w:val="16"/>
                <w:szCs w:val="16"/>
              </w:rPr>
              <w:t>12.</w:t>
            </w:r>
            <w:r w:rsidR="002C4C80" w:rsidRPr="005A192A">
              <w:rPr>
                <w:rFonts w:ascii="Calibri" w:hAnsi="Calibri"/>
                <w:sz w:val="16"/>
                <w:szCs w:val="16"/>
              </w:rPr>
              <w:t xml:space="preserve"> </w:t>
            </w:r>
            <w:r w:rsidRPr="005A192A">
              <w:rPr>
                <w:rFonts w:ascii="Calibri" w:hAnsi="Calibri"/>
                <w:sz w:val="16"/>
                <w:szCs w:val="16"/>
              </w:rPr>
              <w:t>2013 technické konzultácie k prvému návrhu paragrafového znenia so zástupcami DG Environment,</w:t>
            </w:r>
          </w:p>
          <w:p w:rsidR="004E2D6C" w:rsidRPr="005A192A" w:rsidRDefault="002F62D4" w:rsidP="001C5C9E">
            <w:pPr>
              <w:pStyle w:val="Odsekzoznamu"/>
              <w:numPr>
                <w:ilvl w:val="0"/>
                <w:numId w:val="121"/>
              </w:numPr>
              <w:spacing w:before="0"/>
              <w:ind w:left="175" w:hanging="141"/>
              <w:rPr>
                <w:rFonts w:ascii="Calibri" w:hAnsi="Calibri"/>
                <w:sz w:val="16"/>
                <w:szCs w:val="16"/>
              </w:rPr>
            </w:pPr>
            <w:r w:rsidRPr="005A192A">
              <w:rPr>
                <w:rFonts w:ascii="Calibri" w:hAnsi="Calibri"/>
                <w:sz w:val="16"/>
                <w:szCs w:val="16"/>
              </w:rPr>
              <w:t>od 17.</w:t>
            </w:r>
            <w:r w:rsidR="002C4C80" w:rsidRPr="005A192A">
              <w:rPr>
                <w:rFonts w:ascii="Calibri" w:hAnsi="Calibri"/>
                <w:sz w:val="16"/>
                <w:szCs w:val="16"/>
              </w:rPr>
              <w:t xml:space="preserve"> </w:t>
            </w:r>
            <w:r w:rsidRPr="005A192A">
              <w:rPr>
                <w:rFonts w:ascii="Calibri" w:hAnsi="Calibri"/>
                <w:sz w:val="16"/>
                <w:szCs w:val="16"/>
              </w:rPr>
              <w:t>1.</w:t>
            </w:r>
            <w:r w:rsidR="002C4C80" w:rsidRPr="005A192A">
              <w:rPr>
                <w:rFonts w:ascii="Calibri" w:hAnsi="Calibri"/>
                <w:sz w:val="16"/>
                <w:szCs w:val="16"/>
              </w:rPr>
              <w:t xml:space="preserve"> </w:t>
            </w:r>
            <w:r w:rsidRPr="005A192A">
              <w:rPr>
                <w:rFonts w:ascii="Calibri" w:hAnsi="Calibri"/>
                <w:sz w:val="16"/>
                <w:szCs w:val="16"/>
              </w:rPr>
              <w:t>2014 do 6.</w:t>
            </w:r>
            <w:r w:rsidR="002C4C80" w:rsidRPr="005A192A">
              <w:rPr>
                <w:rFonts w:ascii="Calibri" w:hAnsi="Calibri"/>
                <w:sz w:val="16"/>
                <w:szCs w:val="16"/>
              </w:rPr>
              <w:t xml:space="preserve"> </w:t>
            </w:r>
            <w:r w:rsidRPr="005A192A">
              <w:rPr>
                <w:rFonts w:ascii="Calibri" w:hAnsi="Calibri"/>
                <w:sz w:val="16"/>
                <w:szCs w:val="16"/>
              </w:rPr>
              <w:t>2.</w:t>
            </w:r>
            <w:r w:rsidR="002C4C80" w:rsidRPr="005A192A">
              <w:rPr>
                <w:rFonts w:ascii="Calibri" w:hAnsi="Calibri"/>
                <w:sz w:val="16"/>
                <w:szCs w:val="16"/>
              </w:rPr>
              <w:t xml:space="preserve"> </w:t>
            </w:r>
            <w:r w:rsidRPr="005A192A">
              <w:rPr>
                <w:rFonts w:ascii="Calibri" w:hAnsi="Calibri"/>
                <w:sz w:val="16"/>
                <w:szCs w:val="16"/>
              </w:rPr>
              <w:t xml:space="preserve">2014 medzirezortné pripomienkové konanie návrhu zákona, ktorým sa mení zákon č. 24/2006 Z. z. o posudzovaní vplyvov na životné prostredie a o zmene </w:t>
            </w:r>
            <w:r w:rsidR="00544389" w:rsidRPr="005A192A">
              <w:rPr>
                <w:rFonts w:ascii="Calibri" w:hAnsi="Calibri"/>
                <w:sz w:val="16"/>
                <w:szCs w:val="16"/>
              </w:rPr>
              <w:br/>
            </w:r>
            <w:r w:rsidRPr="005A192A">
              <w:rPr>
                <w:rFonts w:ascii="Calibri" w:hAnsi="Calibri"/>
                <w:sz w:val="16"/>
                <w:szCs w:val="16"/>
              </w:rPr>
              <w:t xml:space="preserve">a doplnení niektorých zákonov v znení neskorších predpisov </w:t>
            </w:r>
            <w:r w:rsidR="00544389" w:rsidRPr="005A192A">
              <w:rPr>
                <w:rFonts w:ascii="Calibri" w:hAnsi="Calibri"/>
                <w:sz w:val="16"/>
                <w:szCs w:val="16"/>
              </w:rPr>
              <w:br/>
            </w:r>
            <w:r w:rsidRPr="005A192A">
              <w:rPr>
                <w:rFonts w:ascii="Calibri" w:hAnsi="Calibri"/>
                <w:sz w:val="16"/>
                <w:szCs w:val="16"/>
              </w:rPr>
              <w:lastRenderedPageBreak/>
              <w:t>a o zmene a doplnení niektorých zákonov</w:t>
            </w:r>
          </w:p>
          <w:p w:rsidR="00D07B15" w:rsidRPr="00BB74EF" w:rsidRDefault="00D07B15" w:rsidP="00D07B15">
            <w:pPr>
              <w:spacing w:before="0"/>
              <w:rPr>
                <w:rFonts w:ascii="Calibri" w:hAnsi="Calibri"/>
                <w:sz w:val="16"/>
                <w:szCs w:val="16"/>
              </w:rPr>
            </w:pPr>
            <w:r w:rsidRPr="00BB74EF">
              <w:rPr>
                <w:rFonts w:ascii="Calibri" w:hAnsi="Calibri"/>
                <w:sz w:val="16"/>
                <w:szCs w:val="16"/>
              </w:rPr>
              <w:t>Zverejnený na portáli právnych predpisov: https://lt.justice.gov.sk/Material/MaterialHome.aspx?instEID=-1&amp;matEID=6958&amp;langEID=1</w:t>
            </w:r>
          </w:p>
          <w:p w:rsidR="00D07B15" w:rsidRPr="00BB74EF" w:rsidRDefault="00D07B15" w:rsidP="00D07B15">
            <w:pPr>
              <w:spacing w:before="0"/>
              <w:rPr>
                <w:rFonts w:ascii="Calibri" w:hAnsi="Calibri"/>
                <w:sz w:val="16"/>
                <w:szCs w:val="16"/>
              </w:rPr>
            </w:pPr>
            <w:r w:rsidRPr="00BB74EF">
              <w:rPr>
                <w:rFonts w:ascii="Calibri" w:hAnsi="Calibri"/>
                <w:sz w:val="16"/>
                <w:szCs w:val="16"/>
              </w:rPr>
              <w:t>Dňa 6.</w:t>
            </w:r>
            <w:r w:rsidR="002C4C80">
              <w:rPr>
                <w:rFonts w:ascii="Calibri" w:hAnsi="Calibri"/>
                <w:sz w:val="16"/>
                <w:szCs w:val="16"/>
              </w:rPr>
              <w:t xml:space="preserve"> </w:t>
            </w:r>
            <w:r w:rsidRPr="00BB74EF">
              <w:rPr>
                <w:rFonts w:ascii="Calibri" w:hAnsi="Calibri"/>
                <w:sz w:val="16"/>
                <w:szCs w:val="16"/>
              </w:rPr>
              <w:t>2.</w:t>
            </w:r>
            <w:r w:rsidR="002C4C80">
              <w:rPr>
                <w:rFonts w:ascii="Calibri" w:hAnsi="Calibri"/>
                <w:sz w:val="16"/>
                <w:szCs w:val="16"/>
              </w:rPr>
              <w:t xml:space="preserve"> </w:t>
            </w:r>
            <w:r w:rsidRPr="00BB74EF">
              <w:rPr>
                <w:rFonts w:ascii="Calibri" w:hAnsi="Calibri"/>
                <w:sz w:val="16"/>
                <w:szCs w:val="16"/>
              </w:rPr>
              <w:t>2014 bolo ukončené MPK.</w:t>
            </w:r>
          </w:p>
          <w:p w:rsidR="00D07B15" w:rsidRDefault="00D07B15" w:rsidP="00D07B15">
            <w:pPr>
              <w:spacing w:before="0"/>
              <w:rPr>
                <w:rFonts w:ascii="Calibri" w:hAnsi="Calibri"/>
                <w:sz w:val="16"/>
                <w:szCs w:val="16"/>
              </w:rPr>
            </w:pPr>
            <w:r w:rsidRPr="00BB74EF">
              <w:rPr>
                <w:rFonts w:ascii="Calibri" w:hAnsi="Calibri"/>
                <w:sz w:val="16"/>
                <w:szCs w:val="16"/>
              </w:rPr>
              <w:t>Dňa 31.</w:t>
            </w:r>
            <w:r w:rsidR="002C4C80">
              <w:rPr>
                <w:rFonts w:ascii="Calibri" w:hAnsi="Calibri"/>
                <w:sz w:val="16"/>
                <w:szCs w:val="16"/>
              </w:rPr>
              <w:t xml:space="preserve"> </w:t>
            </w:r>
            <w:r w:rsidRPr="00BB74EF">
              <w:rPr>
                <w:rFonts w:ascii="Calibri" w:hAnsi="Calibri"/>
                <w:sz w:val="16"/>
                <w:szCs w:val="16"/>
              </w:rPr>
              <w:t>3.</w:t>
            </w:r>
            <w:r w:rsidR="002C4C80">
              <w:rPr>
                <w:rFonts w:ascii="Calibri" w:hAnsi="Calibri"/>
                <w:sz w:val="16"/>
                <w:szCs w:val="16"/>
              </w:rPr>
              <w:t xml:space="preserve"> </w:t>
            </w:r>
            <w:r w:rsidRPr="00BB74EF">
              <w:rPr>
                <w:rFonts w:ascii="Calibri" w:hAnsi="Calibri"/>
                <w:sz w:val="16"/>
                <w:szCs w:val="16"/>
              </w:rPr>
              <w:t>2014</w:t>
            </w:r>
            <w:r>
              <w:rPr>
                <w:rFonts w:ascii="Calibri" w:hAnsi="Calibri"/>
                <w:sz w:val="16"/>
                <w:szCs w:val="16"/>
              </w:rPr>
              <w:t xml:space="preserve"> </w:t>
            </w:r>
            <w:r w:rsidRPr="001D5EE3">
              <w:rPr>
                <w:rFonts w:ascii="Calibri" w:hAnsi="Calibri"/>
                <w:sz w:val="16"/>
                <w:szCs w:val="16"/>
              </w:rPr>
              <w:t>zač</w:t>
            </w:r>
            <w:r>
              <w:rPr>
                <w:rFonts w:ascii="Calibri" w:hAnsi="Calibri"/>
                <w:sz w:val="16"/>
                <w:szCs w:val="16"/>
              </w:rPr>
              <w:t>alo</w:t>
            </w:r>
            <w:r w:rsidRPr="001D5EE3">
              <w:rPr>
                <w:rFonts w:ascii="Calibri" w:hAnsi="Calibri"/>
                <w:sz w:val="16"/>
                <w:szCs w:val="16"/>
              </w:rPr>
              <w:t xml:space="preserve"> </w:t>
            </w:r>
            <w:r w:rsidRPr="00BB74EF">
              <w:rPr>
                <w:rFonts w:ascii="Calibri" w:hAnsi="Calibri"/>
                <w:sz w:val="16"/>
                <w:szCs w:val="16"/>
              </w:rPr>
              <w:t xml:space="preserve">druhé kolo rozporových konaní </w:t>
            </w:r>
            <w:r w:rsidR="00544389">
              <w:rPr>
                <w:rFonts w:ascii="Calibri" w:hAnsi="Calibri"/>
                <w:sz w:val="16"/>
                <w:szCs w:val="16"/>
              </w:rPr>
              <w:br/>
            </w:r>
            <w:r w:rsidRPr="00BB74EF">
              <w:rPr>
                <w:rFonts w:ascii="Calibri" w:hAnsi="Calibri"/>
                <w:sz w:val="16"/>
                <w:szCs w:val="16"/>
              </w:rPr>
              <w:t>k novele zákona o</w:t>
            </w:r>
            <w:r>
              <w:rPr>
                <w:rFonts w:ascii="Calibri" w:hAnsi="Calibri"/>
                <w:sz w:val="16"/>
                <w:szCs w:val="16"/>
              </w:rPr>
              <w:t> </w:t>
            </w:r>
            <w:r w:rsidRPr="00BB74EF">
              <w:rPr>
                <w:rFonts w:ascii="Calibri" w:hAnsi="Calibri"/>
                <w:sz w:val="16"/>
                <w:szCs w:val="16"/>
              </w:rPr>
              <w:t>posudzovaní</w:t>
            </w:r>
            <w:r>
              <w:rPr>
                <w:rFonts w:ascii="Calibri" w:hAnsi="Calibri"/>
                <w:sz w:val="16"/>
                <w:szCs w:val="16"/>
              </w:rPr>
              <w:t xml:space="preserve">. </w:t>
            </w:r>
            <w:r w:rsidRPr="001D5EE3">
              <w:rPr>
                <w:rFonts w:ascii="Calibri" w:hAnsi="Calibri"/>
                <w:sz w:val="16"/>
                <w:szCs w:val="16"/>
              </w:rPr>
              <w:t xml:space="preserve">Na základe výsledkov týchto konaní boli pripravené alternatívne návrhy novely zákona </w:t>
            </w:r>
            <w:r w:rsidR="00544389">
              <w:rPr>
                <w:rFonts w:ascii="Calibri" w:hAnsi="Calibri"/>
                <w:sz w:val="16"/>
                <w:szCs w:val="16"/>
              </w:rPr>
              <w:br/>
            </w:r>
            <w:r w:rsidRPr="001D5EE3">
              <w:rPr>
                <w:rFonts w:ascii="Calibri" w:hAnsi="Calibri"/>
                <w:sz w:val="16"/>
                <w:szCs w:val="16"/>
              </w:rPr>
              <w:t>o posudzovaní vplyvov na životné prostredie, ktoré boli predložené na vyjadrenie EK.</w:t>
            </w:r>
          </w:p>
          <w:p w:rsidR="00D07B15" w:rsidRPr="004E2D6C" w:rsidRDefault="00D07B15" w:rsidP="002C4C80">
            <w:pPr>
              <w:spacing w:before="0"/>
              <w:rPr>
                <w:rFonts w:ascii="Calibri" w:hAnsi="Calibri"/>
                <w:sz w:val="16"/>
                <w:szCs w:val="16"/>
              </w:rPr>
            </w:pPr>
            <w:r w:rsidRPr="001D5EE3">
              <w:rPr>
                <w:rFonts w:ascii="Calibri" w:hAnsi="Calibri"/>
                <w:sz w:val="16"/>
                <w:szCs w:val="16"/>
              </w:rPr>
              <w:t>Vo vzťahu k opatreniam na priame uplatňovanie smernice EIA sa dňa 7.</w:t>
            </w:r>
            <w:r w:rsidR="002C4C80">
              <w:rPr>
                <w:rFonts w:ascii="Calibri" w:hAnsi="Calibri"/>
                <w:sz w:val="16"/>
                <w:szCs w:val="16"/>
              </w:rPr>
              <w:t xml:space="preserve"> </w:t>
            </w:r>
            <w:r w:rsidRPr="001D5EE3">
              <w:rPr>
                <w:rFonts w:ascii="Calibri" w:hAnsi="Calibri"/>
                <w:sz w:val="16"/>
                <w:szCs w:val="16"/>
              </w:rPr>
              <w:t>5.</w:t>
            </w:r>
            <w:r w:rsidR="002C4C80">
              <w:rPr>
                <w:rFonts w:ascii="Calibri" w:hAnsi="Calibri"/>
                <w:sz w:val="16"/>
                <w:szCs w:val="16"/>
              </w:rPr>
              <w:t xml:space="preserve"> </w:t>
            </w:r>
            <w:r w:rsidRPr="001D5EE3">
              <w:rPr>
                <w:rFonts w:ascii="Calibri" w:hAnsi="Calibri"/>
                <w:sz w:val="16"/>
                <w:szCs w:val="16"/>
              </w:rPr>
              <w:t xml:space="preserve">2014 uskutočnilo koordinačné stretnutie za účasti zástupcov CKO, MŽP SR a MDVRR SR. Pri formulovaní návrhu opatrení bolo prihliadané na skúsenosti MDVRR SR v oblasti opätovného posudzovania a schvaľovania projektov v prípade zmien v projektoch v rámci uplatnenia inštitútu oznámenia </w:t>
            </w:r>
            <w:r w:rsidR="00544389">
              <w:rPr>
                <w:rFonts w:ascii="Calibri" w:hAnsi="Calibri"/>
                <w:sz w:val="16"/>
                <w:szCs w:val="16"/>
              </w:rPr>
              <w:br/>
            </w:r>
            <w:r w:rsidRPr="001D5EE3">
              <w:rPr>
                <w:rFonts w:ascii="Calibri" w:hAnsi="Calibri"/>
                <w:sz w:val="16"/>
                <w:szCs w:val="16"/>
              </w:rPr>
              <w:t>o zmene navrhovanej činnosti podľa zákona č. 24/2006 Z. z., ako aj oznámenie o zmene stavby podľa stavebného zákona (zákon č. 50/1976 Zb. v znení neskorších predpisov). Návrh konkrétneho opatrenia je uvedený v Akčnom pláne, pričom jeho uplatnenie musí byť koordinované z úrovne CKO horizontálne, v rámci všetkých relevantných OP.</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265"/>
        </w:trPr>
        <w:tc>
          <w:tcPr>
            <w:tcW w:w="1843" w:type="dxa"/>
            <w:vMerge/>
            <w:tcBorders>
              <w:left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bottom w:val="single" w:sz="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v oblasti odbornej prípravy a informovania zamestnancov zapojených do vykonávania smerníc EIA a SEA.</w:t>
            </w:r>
          </w:p>
        </w:tc>
        <w:tc>
          <w:tcPr>
            <w:tcW w:w="850" w:type="dxa"/>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Nie</w:t>
            </w:r>
          </w:p>
        </w:tc>
        <w:tc>
          <w:tcPr>
            <w:tcW w:w="3119" w:type="dxa"/>
          </w:tcPr>
          <w:p w:rsidR="004E2D6C" w:rsidRPr="004E2D6C" w:rsidRDefault="004E2D6C" w:rsidP="005634F2">
            <w:pPr>
              <w:spacing w:before="0"/>
              <w:rPr>
                <w:rFonts w:ascii="Calibri" w:hAnsi="Calibri"/>
                <w:sz w:val="16"/>
                <w:szCs w:val="16"/>
              </w:rPr>
            </w:pPr>
            <w:r w:rsidRPr="004E2D6C">
              <w:rPr>
                <w:rFonts w:ascii="Calibri" w:hAnsi="Calibri"/>
                <w:sz w:val="16"/>
                <w:szCs w:val="16"/>
              </w:rPr>
              <w:t>Stratégia školenia a informovania zamestnancov zapojených do vykonávania smerníc EIA a SEA, vrátane návrhu opatrení na jej realizáciu schválená rokovaním 7. porady vedenia MŽP SR, ktorá sa konala dňa 7.</w:t>
            </w:r>
            <w:r w:rsidR="00544389">
              <w:rPr>
                <w:rFonts w:ascii="Calibri" w:hAnsi="Calibri"/>
                <w:sz w:val="16"/>
                <w:szCs w:val="16"/>
              </w:rPr>
              <w:t xml:space="preserve"> </w:t>
            </w:r>
            <w:r w:rsidRPr="004E2D6C">
              <w:rPr>
                <w:rFonts w:ascii="Calibri" w:hAnsi="Calibri"/>
                <w:sz w:val="16"/>
                <w:szCs w:val="16"/>
              </w:rPr>
              <w:t>3.</w:t>
            </w:r>
            <w:r w:rsidR="00544389">
              <w:rPr>
                <w:rFonts w:ascii="Calibri" w:hAnsi="Calibri"/>
                <w:sz w:val="16"/>
                <w:szCs w:val="16"/>
              </w:rPr>
              <w:t xml:space="preserve"> </w:t>
            </w:r>
            <w:r w:rsidRPr="004E2D6C">
              <w:rPr>
                <w:rFonts w:ascii="Calibri" w:hAnsi="Calibri"/>
                <w:sz w:val="16"/>
                <w:szCs w:val="16"/>
              </w:rPr>
              <w:t>2013.</w:t>
            </w: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4E2D6C" w:rsidP="004E2D6C">
            <w:pPr>
              <w:spacing w:before="0"/>
              <w:jc w:val="left"/>
              <w:rPr>
                <w:rFonts w:ascii="Calibri" w:hAnsi="Calibri"/>
                <w:sz w:val="16"/>
                <w:szCs w:val="16"/>
              </w:rPr>
            </w:pPr>
          </w:p>
          <w:p w:rsidR="004E2D6C" w:rsidRPr="004E2D6C" w:rsidRDefault="00ED6BC8" w:rsidP="004E2D6C">
            <w:pPr>
              <w:spacing w:before="0"/>
              <w:jc w:val="left"/>
              <w:rPr>
                <w:rFonts w:ascii="Calibri" w:hAnsi="Calibri"/>
                <w:sz w:val="16"/>
                <w:szCs w:val="16"/>
              </w:rPr>
            </w:pPr>
            <w:hyperlink r:id="rId190" w:anchor="38;prm3=686" w:history="1">
              <w:r w:rsidR="004E2D6C" w:rsidRPr="004E2D6C">
                <w:rPr>
                  <w:rFonts w:ascii="Calibri" w:hAnsi="Calibri"/>
                  <w:color w:val="0000FF"/>
                  <w:sz w:val="16"/>
                  <w:szCs w:val="16"/>
                  <w:u w:val="single"/>
                </w:rPr>
                <w:t>http://www.sazp.sk/public/index/go.php?id=81&amp;prm3=686</w:t>
              </w:r>
            </w:hyperlink>
            <w:r w:rsidR="004E2D6C" w:rsidRPr="004E2D6C">
              <w:rPr>
                <w:rFonts w:ascii="Calibri" w:hAnsi="Calibri"/>
                <w:sz w:val="16"/>
                <w:szCs w:val="16"/>
              </w:rPr>
              <w:t xml:space="preserve"> </w:t>
            </w:r>
          </w:p>
        </w:tc>
        <w:tc>
          <w:tcPr>
            <w:tcW w:w="4111" w:type="dxa"/>
            <w:tcBorders>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lastRenderedPageBreak/>
              <w:t xml:space="preserve">Cieľom Stratégie je zabezpečiť odbornú prípravu zamestnancov participujúcich na procesoch EIA a SEA.  </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Odborná príprava zamestnancov participujúcich na procesoch EIA a SEA je viazaná na zamestnancov rezortu životného prostredia, MH SR, MDVRR SR, MPRV SR, MZ SR, MŠVVŠ SR, MV SR, MO SR a Úradu jadrového dozoru SR, obce a odbornú verejnosť. Samotné vzdelávanie bude zabezpečované najmä prostredníctvom prednášok, workshopov, seminárov a konferencií. S ohľadom na skutočnosť, že bola začatá procedúra infringementu vo veci transpozičného deficitu vo vzťahu k smernici Európskeho parlamentu a Rady 2011/92/EÚ bude potrebné vykonať aktualizáciu </w:t>
            </w:r>
            <w:r w:rsidR="00267480">
              <w:rPr>
                <w:rFonts w:ascii="Calibri" w:hAnsi="Calibri"/>
                <w:sz w:val="16"/>
                <w:szCs w:val="16"/>
              </w:rPr>
              <w:t>s</w:t>
            </w:r>
            <w:r w:rsidR="00267480" w:rsidRPr="004E2D6C">
              <w:rPr>
                <w:rFonts w:ascii="Calibri" w:hAnsi="Calibri"/>
                <w:sz w:val="16"/>
                <w:szCs w:val="16"/>
              </w:rPr>
              <w:t xml:space="preserve">tratégie </w:t>
            </w:r>
            <w:r w:rsidRPr="004E2D6C">
              <w:rPr>
                <w:rFonts w:ascii="Calibri" w:hAnsi="Calibri"/>
                <w:sz w:val="16"/>
                <w:szCs w:val="16"/>
              </w:rPr>
              <w:t xml:space="preserve">školení, ktorá bude reflektovať na potrebu metodického usmernenia v „prechodnom“ období (do schválenia a nadobudnutia účinnosti príslušných </w:t>
            </w:r>
            <w:r w:rsidRPr="004E2D6C">
              <w:rPr>
                <w:rFonts w:ascii="Calibri" w:hAnsi="Calibri"/>
                <w:sz w:val="16"/>
                <w:szCs w:val="16"/>
              </w:rPr>
              <w:lastRenderedPageBreak/>
              <w:t>legislatívnych úprav) a na príslušné legislatívne úpravy.</w:t>
            </w:r>
          </w:p>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Z plánovaných aktivít podľa schválenej </w:t>
            </w:r>
            <w:r w:rsidR="00267480">
              <w:rPr>
                <w:rFonts w:ascii="Calibri" w:hAnsi="Calibri"/>
                <w:sz w:val="16"/>
                <w:szCs w:val="16"/>
              </w:rPr>
              <w:t>s</w:t>
            </w:r>
            <w:r w:rsidR="00267480" w:rsidRPr="004E2D6C">
              <w:rPr>
                <w:rFonts w:ascii="Calibri" w:hAnsi="Calibri"/>
                <w:sz w:val="16"/>
                <w:szCs w:val="16"/>
              </w:rPr>
              <w:t xml:space="preserve">tratégie </w:t>
            </w:r>
            <w:r w:rsidRPr="004E2D6C">
              <w:rPr>
                <w:rFonts w:ascii="Calibri" w:hAnsi="Calibri"/>
                <w:sz w:val="16"/>
                <w:szCs w:val="16"/>
              </w:rPr>
              <w:t>sa zrealizovali tieto aktivity:</w:t>
            </w:r>
          </w:p>
          <w:p w:rsidR="004E2D6C"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dňa 24.</w:t>
            </w:r>
            <w:r w:rsidR="00267480" w:rsidRPr="005A192A">
              <w:rPr>
                <w:rFonts w:ascii="Calibri" w:hAnsi="Calibri"/>
                <w:sz w:val="16"/>
                <w:szCs w:val="16"/>
              </w:rPr>
              <w:t xml:space="preserve"> </w:t>
            </w:r>
            <w:r w:rsidRPr="005A192A">
              <w:rPr>
                <w:rFonts w:ascii="Calibri" w:hAnsi="Calibri"/>
                <w:sz w:val="16"/>
                <w:szCs w:val="16"/>
              </w:rPr>
              <w:t>10.</w:t>
            </w:r>
            <w:r w:rsidR="00267480" w:rsidRPr="005A192A">
              <w:rPr>
                <w:rFonts w:ascii="Calibri" w:hAnsi="Calibri"/>
                <w:sz w:val="16"/>
                <w:szCs w:val="16"/>
              </w:rPr>
              <w:t xml:space="preserve"> </w:t>
            </w:r>
            <w:r w:rsidRPr="005A192A">
              <w:rPr>
                <w:rFonts w:ascii="Calibri" w:hAnsi="Calibri"/>
                <w:sz w:val="16"/>
                <w:szCs w:val="16"/>
              </w:rPr>
              <w:t xml:space="preserve">2013 workshop v spolupráci s MDVRR SR zameraný na zmeny v projektoch, </w:t>
            </w:r>
          </w:p>
          <w:p w:rsidR="004E2D6C"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pravidelné školenie zamestnancov okresných úradov so zameraním na výkon štátnej správy v oblasti posudzovania vplyvov na životné prostredie:</w:t>
            </w:r>
          </w:p>
          <w:p w:rsidR="004E2D6C"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v rámci Prešovského a Košického kraja dňa 29.</w:t>
            </w:r>
            <w:r w:rsidR="00267480" w:rsidRPr="005A192A">
              <w:rPr>
                <w:rFonts w:ascii="Calibri" w:hAnsi="Calibri"/>
                <w:sz w:val="16"/>
                <w:szCs w:val="16"/>
              </w:rPr>
              <w:t xml:space="preserve"> </w:t>
            </w:r>
            <w:r w:rsidRPr="005A192A">
              <w:rPr>
                <w:rFonts w:ascii="Calibri" w:hAnsi="Calibri"/>
                <w:sz w:val="16"/>
                <w:szCs w:val="16"/>
              </w:rPr>
              <w:t>10.</w:t>
            </w:r>
            <w:r w:rsidR="00267480" w:rsidRPr="005A192A">
              <w:rPr>
                <w:rFonts w:ascii="Calibri" w:hAnsi="Calibri"/>
                <w:sz w:val="16"/>
                <w:szCs w:val="16"/>
              </w:rPr>
              <w:t xml:space="preserve"> </w:t>
            </w:r>
            <w:r w:rsidRPr="005A192A">
              <w:rPr>
                <w:rFonts w:ascii="Calibri" w:hAnsi="Calibri"/>
                <w:sz w:val="16"/>
                <w:szCs w:val="16"/>
              </w:rPr>
              <w:t>2013,</w:t>
            </w:r>
          </w:p>
          <w:p w:rsidR="004E2D6C"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Banskobystrického, Žilinského a Trenčianskeho kraja dňa 06.</w:t>
            </w:r>
            <w:r w:rsidR="00267480" w:rsidRPr="005A192A">
              <w:rPr>
                <w:rFonts w:ascii="Calibri" w:hAnsi="Calibri"/>
                <w:sz w:val="16"/>
                <w:szCs w:val="16"/>
              </w:rPr>
              <w:t xml:space="preserve"> </w:t>
            </w:r>
            <w:r w:rsidRPr="005A192A">
              <w:rPr>
                <w:rFonts w:ascii="Calibri" w:hAnsi="Calibri"/>
                <w:sz w:val="16"/>
                <w:szCs w:val="16"/>
              </w:rPr>
              <w:t>11.</w:t>
            </w:r>
            <w:r w:rsidR="00267480" w:rsidRPr="005A192A">
              <w:rPr>
                <w:rFonts w:ascii="Calibri" w:hAnsi="Calibri"/>
                <w:sz w:val="16"/>
                <w:szCs w:val="16"/>
              </w:rPr>
              <w:t xml:space="preserve"> </w:t>
            </w:r>
            <w:r w:rsidRPr="005A192A">
              <w:rPr>
                <w:rFonts w:ascii="Calibri" w:hAnsi="Calibri"/>
                <w:sz w:val="16"/>
                <w:szCs w:val="16"/>
              </w:rPr>
              <w:t>2013,</w:t>
            </w:r>
          </w:p>
          <w:p w:rsidR="004E2D6C"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Nitrianskeho, Trnavského a Bratislavského kraja dňa 13.</w:t>
            </w:r>
            <w:r w:rsidR="00267480" w:rsidRPr="005A192A">
              <w:rPr>
                <w:rFonts w:ascii="Calibri" w:hAnsi="Calibri"/>
                <w:sz w:val="16"/>
                <w:szCs w:val="16"/>
              </w:rPr>
              <w:t xml:space="preserve"> </w:t>
            </w:r>
            <w:r w:rsidRPr="005A192A">
              <w:rPr>
                <w:rFonts w:ascii="Calibri" w:hAnsi="Calibri"/>
                <w:sz w:val="16"/>
                <w:szCs w:val="16"/>
              </w:rPr>
              <w:t>11.</w:t>
            </w:r>
            <w:r w:rsidR="00267480" w:rsidRPr="005A192A">
              <w:rPr>
                <w:rFonts w:ascii="Calibri" w:hAnsi="Calibri"/>
                <w:sz w:val="16"/>
                <w:szCs w:val="16"/>
              </w:rPr>
              <w:t xml:space="preserve"> </w:t>
            </w:r>
            <w:r w:rsidRPr="005A192A">
              <w:rPr>
                <w:rFonts w:ascii="Calibri" w:hAnsi="Calibri"/>
                <w:sz w:val="16"/>
                <w:szCs w:val="16"/>
              </w:rPr>
              <w:t xml:space="preserve">2013, </w:t>
            </w:r>
          </w:p>
          <w:p w:rsidR="004E2D6C"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dňa 3.</w:t>
            </w:r>
            <w:r w:rsidR="00267480" w:rsidRPr="005A192A">
              <w:rPr>
                <w:rFonts w:ascii="Calibri" w:hAnsi="Calibri"/>
                <w:sz w:val="16"/>
                <w:szCs w:val="16"/>
              </w:rPr>
              <w:t xml:space="preserve"> </w:t>
            </w:r>
            <w:r w:rsidRPr="005A192A">
              <w:rPr>
                <w:rFonts w:ascii="Calibri" w:hAnsi="Calibri"/>
                <w:sz w:val="16"/>
                <w:szCs w:val="16"/>
              </w:rPr>
              <w:t xml:space="preserve">12. 2013 Záverečná konferencia projektu e-MAT "Vývoj nástrojov manažmentu v rámci posudzovania vplyvov na životné prostredie v hraničných regiónoch medzi Rakúskom a Slovenskom", </w:t>
            </w:r>
          </w:p>
          <w:p w:rsidR="00267480"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v dňoch 10.-</w:t>
            </w:r>
            <w:r w:rsidR="00267480" w:rsidRPr="005A192A">
              <w:rPr>
                <w:rFonts w:ascii="Calibri" w:hAnsi="Calibri"/>
                <w:sz w:val="16"/>
                <w:szCs w:val="16"/>
              </w:rPr>
              <w:t xml:space="preserve"> </w:t>
            </w:r>
            <w:r w:rsidRPr="005A192A">
              <w:rPr>
                <w:rFonts w:ascii="Calibri" w:hAnsi="Calibri"/>
                <w:sz w:val="16"/>
                <w:szCs w:val="16"/>
              </w:rPr>
              <w:t>11.</w:t>
            </w:r>
            <w:r w:rsidR="00267480" w:rsidRPr="005A192A">
              <w:rPr>
                <w:rFonts w:ascii="Calibri" w:hAnsi="Calibri"/>
                <w:sz w:val="16"/>
                <w:szCs w:val="16"/>
              </w:rPr>
              <w:t xml:space="preserve"> </w:t>
            </w:r>
            <w:r w:rsidRPr="005A192A">
              <w:rPr>
                <w:rFonts w:ascii="Calibri" w:hAnsi="Calibri"/>
                <w:sz w:val="16"/>
                <w:szCs w:val="16"/>
              </w:rPr>
              <w:t>12.</w:t>
            </w:r>
            <w:r w:rsidR="00267480" w:rsidRPr="005A192A">
              <w:rPr>
                <w:rFonts w:ascii="Calibri" w:hAnsi="Calibri"/>
                <w:sz w:val="16"/>
                <w:szCs w:val="16"/>
              </w:rPr>
              <w:t xml:space="preserve"> </w:t>
            </w:r>
            <w:r w:rsidRPr="005A192A">
              <w:rPr>
                <w:rFonts w:ascii="Calibri" w:hAnsi="Calibri"/>
                <w:sz w:val="16"/>
                <w:szCs w:val="16"/>
              </w:rPr>
              <w:t>2013 školenie fyzických a právnických osôb pre získanie odbornej spôsobilosti v oblasti posudzovania vplyvov na životné prostredie,</w:t>
            </w:r>
          </w:p>
          <w:p w:rsidR="004E2D6C" w:rsidRPr="005A192A" w:rsidRDefault="004E2D6C" w:rsidP="001C5C9E">
            <w:pPr>
              <w:pStyle w:val="Odsekzoznamu"/>
              <w:numPr>
                <w:ilvl w:val="0"/>
                <w:numId w:val="122"/>
              </w:numPr>
              <w:spacing w:before="0"/>
              <w:ind w:left="175" w:hanging="141"/>
              <w:rPr>
                <w:rFonts w:ascii="Calibri" w:hAnsi="Calibri"/>
                <w:sz w:val="16"/>
                <w:szCs w:val="16"/>
              </w:rPr>
            </w:pPr>
            <w:r w:rsidRPr="005A192A">
              <w:rPr>
                <w:rFonts w:ascii="Calibri" w:hAnsi="Calibri"/>
                <w:sz w:val="16"/>
                <w:szCs w:val="16"/>
              </w:rPr>
              <w:t>dňa 17.</w:t>
            </w:r>
            <w:r w:rsidR="00267480" w:rsidRPr="005A192A">
              <w:rPr>
                <w:rFonts w:ascii="Calibri" w:hAnsi="Calibri"/>
                <w:sz w:val="16"/>
                <w:szCs w:val="16"/>
              </w:rPr>
              <w:t xml:space="preserve"> </w:t>
            </w:r>
            <w:r w:rsidRPr="005A192A">
              <w:rPr>
                <w:rFonts w:ascii="Calibri" w:hAnsi="Calibri"/>
                <w:sz w:val="16"/>
                <w:szCs w:val="16"/>
              </w:rPr>
              <w:t>12.</w:t>
            </w:r>
            <w:r w:rsidR="00267480" w:rsidRPr="005A192A">
              <w:rPr>
                <w:rFonts w:ascii="Calibri" w:hAnsi="Calibri"/>
                <w:sz w:val="16"/>
                <w:szCs w:val="16"/>
              </w:rPr>
              <w:t xml:space="preserve"> </w:t>
            </w:r>
            <w:r w:rsidRPr="005A192A">
              <w:rPr>
                <w:rFonts w:ascii="Calibri" w:hAnsi="Calibri"/>
                <w:sz w:val="16"/>
                <w:szCs w:val="16"/>
              </w:rPr>
              <w:t>2013 preverenie znalostí fyzických a právnických osôb za účelom získania od</w:t>
            </w:r>
            <w:r w:rsidR="00147D76" w:rsidRPr="005A192A">
              <w:rPr>
                <w:rFonts w:ascii="Calibri" w:hAnsi="Calibri"/>
                <w:sz w:val="16"/>
                <w:szCs w:val="16"/>
              </w:rPr>
              <w:t>b</w:t>
            </w:r>
            <w:r w:rsidRPr="005A192A">
              <w:rPr>
                <w:rFonts w:ascii="Calibri" w:hAnsi="Calibri"/>
                <w:sz w:val="16"/>
                <w:szCs w:val="16"/>
              </w:rPr>
              <w:t>ornej spôsobilosti v oblasti posudzovania vplyvov na životné prostredie.</w:t>
            </w:r>
          </w:p>
          <w:p w:rsidR="004E2D6C" w:rsidRPr="004E2D6C" w:rsidRDefault="004E2D6C" w:rsidP="004E2D6C">
            <w:pPr>
              <w:spacing w:before="0"/>
              <w:rPr>
                <w:rFonts w:ascii="Calibri" w:hAnsi="Calibri"/>
                <w:sz w:val="16"/>
                <w:szCs w:val="16"/>
              </w:rPr>
            </w:pPr>
            <w:r w:rsidRPr="004E2D6C">
              <w:rPr>
                <w:rFonts w:ascii="Calibri" w:hAnsi="Calibri"/>
                <w:sz w:val="16"/>
                <w:szCs w:val="16"/>
              </w:rPr>
              <w:t>Odbor environmentálneho posudzovania zabezpečuje metodické usmernenie aj v súčasnosti, t.j. priebežne pre prebiehajúce procesy posudzovania, tak na svojej úrovni ako aj na úrovni ostaných príslušných orgánov</w:t>
            </w:r>
            <w:r w:rsidR="0098353D">
              <w:rPr>
                <w:rFonts w:ascii="Calibri" w:hAnsi="Calibri"/>
                <w:sz w:val="16"/>
                <w:szCs w:val="16"/>
              </w:rPr>
              <w:t>.</w:t>
            </w:r>
          </w:p>
        </w:tc>
      </w:tr>
      <w:tr w:rsidR="004E2D6C" w:rsidRPr="004E2D6C" w:rsidTr="005634F2">
        <w:tblPrEx>
          <w:tblBorders>
            <w:top w:val="single" w:sz="2" w:space="0" w:color="auto"/>
            <w:left w:val="single" w:sz="2" w:space="0" w:color="auto"/>
            <w:bottom w:val="single" w:sz="2" w:space="0" w:color="auto"/>
            <w:right w:val="single" w:sz="2" w:space="0" w:color="auto"/>
          </w:tblBorders>
        </w:tblPrEx>
        <w:trPr>
          <w:trHeight w:val="265"/>
        </w:trPr>
        <w:tc>
          <w:tcPr>
            <w:tcW w:w="1843" w:type="dxa"/>
            <w:vMerge/>
            <w:tcBorders>
              <w:left w:val="single" w:sz="12" w:space="0" w:color="auto"/>
              <w:bottom w:val="single" w:sz="12" w:space="0" w:color="auto"/>
            </w:tcBorders>
          </w:tcPr>
          <w:p w:rsidR="004E2D6C" w:rsidRPr="004E2D6C" w:rsidRDefault="004E2D6C" w:rsidP="004E2D6C">
            <w:pPr>
              <w:spacing w:before="0"/>
              <w:rPr>
                <w:rFonts w:ascii="Calibri" w:hAnsi="Calibri"/>
                <w:sz w:val="16"/>
                <w:szCs w:val="16"/>
                <w:lang w:eastAsia="sk-SK"/>
              </w:rPr>
            </w:pPr>
          </w:p>
        </w:tc>
        <w:tc>
          <w:tcPr>
            <w:tcW w:w="1701" w:type="dxa"/>
            <w:vMerge/>
            <w:tcBorders>
              <w:bottom w:val="single" w:sz="12" w:space="0" w:color="auto"/>
            </w:tcBorders>
          </w:tcPr>
          <w:p w:rsidR="004E2D6C" w:rsidRPr="004E2D6C" w:rsidRDefault="004E2D6C" w:rsidP="004E2D6C">
            <w:pPr>
              <w:spacing w:before="0"/>
              <w:rPr>
                <w:rFonts w:ascii="Calibri" w:hAnsi="Calibri"/>
                <w:sz w:val="16"/>
                <w:szCs w:val="16"/>
                <w:lang w:eastAsia="sk-SK"/>
              </w:rPr>
            </w:pPr>
          </w:p>
        </w:tc>
        <w:tc>
          <w:tcPr>
            <w:tcW w:w="2552" w:type="dxa"/>
            <w:tcBorders>
              <w:top w:val="single" w:sz="2" w:space="0" w:color="auto"/>
              <w:bottom w:val="single" w:sz="12" w:space="0" w:color="auto"/>
            </w:tcBorders>
          </w:tcPr>
          <w:p w:rsidR="004E2D6C" w:rsidRPr="004E2D6C" w:rsidRDefault="004E2D6C" w:rsidP="004E2D6C">
            <w:pPr>
              <w:spacing w:before="0"/>
              <w:rPr>
                <w:rFonts w:ascii="Calibri" w:hAnsi="Calibri"/>
                <w:sz w:val="16"/>
                <w:szCs w:val="16"/>
                <w:lang w:eastAsia="sk-SK"/>
              </w:rPr>
            </w:pPr>
            <w:r w:rsidRPr="004E2D6C">
              <w:rPr>
                <w:rFonts w:ascii="Calibri" w:hAnsi="Calibri"/>
                <w:sz w:val="16"/>
                <w:szCs w:val="16"/>
                <w:lang w:eastAsia="sk-SK"/>
              </w:rPr>
              <w:t>Opatrenia na zabezpečenie dostatočnej administratívnej kapacity.</w:t>
            </w:r>
          </w:p>
        </w:tc>
        <w:tc>
          <w:tcPr>
            <w:tcW w:w="850" w:type="dxa"/>
            <w:tcBorders>
              <w:bottom w:val="single" w:sz="12" w:space="0" w:color="auto"/>
            </w:tcBorders>
            <w:vAlign w:val="center"/>
          </w:tcPr>
          <w:p w:rsidR="004E2D6C" w:rsidRPr="004E2D6C" w:rsidRDefault="004E2D6C" w:rsidP="00A14E7D">
            <w:pPr>
              <w:spacing w:before="0"/>
              <w:jc w:val="center"/>
              <w:rPr>
                <w:rFonts w:ascii="Calibri" w:hAnsi="Calibri"/>
                <w:b/>
                <w:sz w:val="16"/>
                <w:szCs w:val="16"/>
              </w:rPr>
            </w:pPr>
            <w:r w:rsidRPr="004E2D6C">
              <w:rPr>
                <w:rFonts w:ascii="Calibri" w:hAnsi="Calibri"/>
                <w:b/>
                <w:sz w:val="16"/>
                <w:szCs w:val="16"/>
              </w:rPr>
              <w:t>Áno</w:t>
            </w:r>
          </w:p>
        </w:tc>
        <w:tc>
          <w:tcPr>
            <w:tcW w:w="3119" w:type="dxa"/>
            <w:tcBorders>
              <w:bottom w:val="single" w:sz="12" w:space="0" w:color="auto"/>
            </w:tcBorders>
          </w:tcPr>
          <w:p w:rsidR="004E2D6C" w:rsidRPr="004E2D6C" w:rsidRDefault="004E2D6C" w:rsidP="005634F2">
            <w:pPr>
              <w:spacing w:before="0"/>
              <w:rPr>
                <w:rFonts w:ascii="Calibri" w:hAnsi="Calibri"/>
                <w:sz w:val="16"/>
                <w:szCs w:val="16"/>
              </w:rPr>
            </w:pPr>
            <w:r w:rsidRPr="004E2D6C">
              <w:rPr>
                <w:rFonts w:ascii="Calibri" w:hAnsi="Calibri"/>
                <w:sz w:val="16"/>
                <w:szCs w:val="16"/>
              </w:rPr>
              <w:t>Analýza administratívnych kapacít v oblasti posudzovania vplyvov na životné prostredie (vykonávania smerníc EIA a SEA), vrátane návrhu opatrení na zabezpečenie ich dostatočného stavu schválená rokovaním 3. porady vedenia MŽP SR, ktorá sa konala dňa 24.</w:t>
            </w:r>
            <w:r w:rsidR="00544389">
              <w:rPr>
                <w:rFonts w:ascii="Calibri" w:hAnsi="Calibri"/>
                <w:sz w:val="16"/>
                <w:szCs w:val="16"/>
              </w:rPr>
              <w:t xml:space="preserve"> </w:t>
            </w:r>
            <w:r w:rsidRPr="004E2D6C">
              <w:rPr>
                <w:rFonts w:ascii="Calibri" w:hAnsi="Calibri"/>
                <w:sz w:val="16"/>
                <w:szCs w:val="16"/>
              </w:rPr>
              <w:t>1.</w:t>
            </w:r>
            <w:r w:rsidR="00544389">
              <w:rPr>
                <w:rFonts w:ascii="Calibri" w:hAnsi="Calibri"/>
                <w:sz w:val="16"/>
                <w:szCs w:val="16"/>
              </w:rPr>
              <w:t xml:space="preserve"> </w:t>
            </w:r>
            <w:r w:rsidRPr="004E2D6C">
              <w:rPr>
                <w:rFonts w:ascii="Calibri" w:hAnsi="Calibri"/>
                <w:sz w:val="16"/>
                <w:szCs w:val="16"/>
              </w:rPr>
              <w:t>2013.</w:t>
            </w:r>
          </w:p>
        </w:tc>
        <w:tc>
          <w:tcPr>
            <w:tcW w:w="4111" w:type="dxa"/>
            <w:tcBorders>
              <w:bottom w:val="single" w:sz="12" w:space="0" w:color="auto"/>
              <w:right w:val="single" w:sz="12" w:space="0" w:color="auto"/>
            </w:tcBorders>
          </w:tcPr>
          <w:p w:rsidR="004E2D6C" w:rsidRPr="004E2D6C" w:rsidRDefault="004E2D6C" w:rsidP="004E2D6C">
            <w:pPr>
              <w:spacing w:before="0"/>
              <w:rPr>
                <w:rFonts w:ascii="Calibri" w:hAnsi="Calibri"/>
                <w:sz w:val="16"/>
                <w:szCs w:val="16"/>
              </w:rPr>
            </w:pPr>
            <w:r w:rsidRPr="004E2D6C">
              <w:rPr>
                <w:rFonts w:ascii="Calibri" w:hAnsi="Calibri"/>
                <w:sz w:val="16"/>
                <w:szCs w:val="16"/>
              </w:rPr>
              <w:t xml:space="preserve">Záver </w:t>
            </w:r>
            <w:r w:rsidR="00267480">
              <w:rPr>
                <w:rFonts w:ascii="Calibri" w:hAnsi="Calibri"/>
                <w:sz w:val="16"/>
                <w:szCs w:val="16"/>
              </w:rPr>
              <w:t>a</w:t>
            </w:r>
            <w:r w:rsidR="00267480" w:rsidRPr="004E2D6C">
              <w:rPr>
                <w:rFonts w:ascii="Calibri" w:hAnsi="Calibri"/>
                <w:sz w:val="16"/>
                <w:szCs w:val="16"/>
              </w:rPr>
              <w:t xml:space="preserve">nalýzy </w:t>
            </w:r>
            <w:r w:rsidRPr="004E2D6C">
              <w:rPr>
                <w:rFonts w:ascii="Calibri" w:hAnsi="Calibri"/>
                <w:sz w:val="16"/>
                <w:szCs w:val="16"/>
              </w:rPr>
              <w:t xml:space="preserve">poukazuje na skutočnosť, že súčasný stav administratívnych kapacít v oblasti posudzovania vplyvov na životné prostredie je dostatočný. </w:t>
            </w:r>
          </w:p>
          <w:p w:rsidR="00D07B15" w:rsidRPr="00A53902" w:rsidRDefault="00D07B15" w:rsidP="00D07B15">
            <w:pPr>
              <w:spacing w:before="0"/>
              <w:rPr>
                <w:rFonts w:ascii="Calibri" w:hAnsi="Calibri"/>
                <w:sz w:val="16"/>
                <w:szCs w:val="16"/>
              </w:rPr>
            </w:pPr>
            <w:r w:rsidRPr="00A53902">
              <w:rPr>
                <w:rFonts w:ascii="Calibri" w:hAnsi="Calibri"/>
                <w:sz w:val="16"/>
                <w:szCs w:val="16"/>
              </w:rPr>
              <w:t xml:space="preserve">Aktuálne nebola identifikovaná potreba revízie predmetnej analýzy, </w:t>
            </w:r>
            <w:r>
              <w:rPr>
                <w:rFonts w:ascii="Calibri" w:hAnsi="Calibri"/>
                <w:sz w:val="16"/>
                <w:szCs w:val="16"/>
              </w:rPr>
              <w:t xml:space="preserve">ani nevznikla </w:t>
            </w:r>
            <w:r w:rsidRPr="00A53902">
              <w:rPr>
                <w:rFonts w:ascii="Calibri" w:hAnsi="Calibri"/>
                <w:sz w:val="16"/>
                <w:szCs w:val="16"/>
              </w:rPr>
              <w:t>potreb</w:t>
            </w:r>
            <w:r>
              <w:rPr>
                <w:rFonts w:ascii="Calibri" w:hAnsi="Calibri"/>
                <w:sz w:val="16"/>
                <w:szCs w:val="16"/>
              </w:rPr>
              <w:t>a jej</w:t>
            </w:r>
            <w:r w:rsidRPr="00A53902">
              <w:rPr>
                <w:rFonts w:ascii="Calibri" w:hAnsi="Calibri"/>
                <w:sz w:val="16"/>
                <w:szCs w:val="16"/>
              </w:rPr>
              <w:t xml:space="preserve"> reambulácie na základe pripomienok vznesených k návrhu legislatívnych úprav </w:t>
            </w:r>
            <w:r>
              <w:rPr>
                <w:rFonts w:ascii="Calibri" w:hAnsi="Calibri"/>
                <w:sz w:val="16"/>
                <w:szCs w:val="16"/>
              </w:rPr>
              <w:t>vo vzťahu k zákonu č. 24/2006 Z.z.</w:t>
            </w:r>
          </w:p>
          <w:p w:rsidR="004E2D6C" w:rsidRPr="004E2D6C" w:rsidRDefault="00D07B15" w:rsidP="00267480">
            <w:pPr>
              <w:spacing w:before="0"/>
              <w:rPr>
                <w:rFonts w:ascii="Calibri" w:hAnsi="Calibri"/>
                <w:sz w:val="16"/>
                <w:szCs w:val="16"/>
              </w:rPr>
            </w:pPr>
            <w:r w:rsidRPr="00A53902">
              <w:rPr>
                <w:rFonts w:ascii="Calibri" w:hAnsi="Calibri"/>
                <w:sz w:val="16"/>
                <w:szCs w:val="16"/>
              </w:rPr>
              <w:t xml:space="preserve">V rámci súčasnej platnej legislatívy, ako aj v rámci pripravovanej novely zákona č. 24/2006 Z. z. sú administratívne kapacity zabezpečené (a nevznikajú nároky na nové administratívne kapacity). V súvislosti s </w:t>
            </w:r>
            <w:r w:rsidRPr="00A53902">
              <w:rPr>
                <w:rFonts w:ascii="Calibri" w:hAnsi="Calibri"/>
                <w:sz w:val="16"/>
                <w:szCs w:val="16"/>
              </w:rPr>
              <w:lastRenderedPageBreak/>
              <w:t>prebiehajúcou novelizáciou zákona o posudzovaní vplyvov na životné prostredie bola riešená aj otázka</w:t>
            </w:r>
            <w:r w:rsidR="00966411">
              <w:rPr>
                <w:rFonts w:ascii="Calibri" w:hAnsi="Calibri"/>
                <w:sz w:val="16"/>
                <w:szCs w:val="16"/>
              </w:rPr>
              <w:t xml:space="preserve"> </w:t>
            </w:r>
            <w:r w:rsidRPr="00A53902">
              <w:rPr>
                <w:rFonts w:ascii="Calibri" w:hAnsi="Calibri"/>
                <w:sz w:val="16"/>
                <w:szCs w:val="16"/>
              </w:rPr>
              <w:t xml:space="preserve">administratívnych kapacít </w:t>
            </w:r>
            <w:r w:rsidR="00966411">
              <w:rPr>
                <w:rFonts w:ascii="Calibri" w:hAnsi="Calibri"/>
                <w:sz w:val="16"/>
                <w:szCs w:val="16"/>
              </w:rPr>
              <w:t xml:space="preserve"> </w:t>
            </w:r>
            <w:r w:rsidRPr="00A53902">
              <w:rPr>
                <w:rFonts w:ascii="Calibri" w:hAnsi="Calibri"/>
                <w:sz w:val="16"/>
                <w:szCs w:val="16"/>
              </w:rPr>
              <w:t>v rámci doložky vplyvov na rozpočet verejnej správy, ktorá je súčasťou návrhu zákona</w:t>
            </w:r>
            <w:r>
              <w:rPr>
                <w:rFonts w:ascii="Calibri" w:hAnsi="Calibri"/>
                <w:sz w:val="16"/>
                <w:szCs w:val="16"/>
              </w:rPr>
              <w:t>.</w:t>
            </w:r>
            <w:r w:rsidRPr="00A53902">
              <w:rPr>
                <w:rFonts w:ascii="Calibri" w:hAnsi="Calibri"/>
                <w:sz w:val="16"/>
                <w:szCs w:val="16"/>
              </w:rPr>
              <w:t xml:space="preserve"> Potreba navýšenia počtu pracovníkov v oblasti posudzovania vplyvov na životné prostredie aktuálne nebola identifikovaná, t.j. súčasné administratívne kapacity možno z kvantitatívneho hľadiska považovať za dostatočné. Potrebné však bude zlepšiť kvalitatívny aspekt a zamerať sa na posilnenie kvalitatívnej úrovne administratívnych kapacít (najmä formou školení, workshopov a pod.), čo sa týka tiež administratívnych kapacít v tých oblastiach, ktoré budú dotknuté novelizáciou zákona o posudzovaní vplyvov na životné prostredie (stavebný, atómový a banský zákon).</w:t>
            </w:r>
          </w:p>
        </w:tc>
      </w:tr>
    </w:tbl>
    <w:p w:rsidR="00590EC6" w:rsidRDefault="00590EC6" w:rsidP="004E2D6C">
      <w:pPr>
        <w:spacing w:before="0" w:after="200" w:line="276" w:lineRule="auto"/>
        <w:ind w:left="1620"/>
        <w:contextualSpacing/>
        <w:rPr>
          <w:rFonts w:ascii="Calibri" w:hAnsi="Calibri"/>
          <w:sz w:val="24"/>
        </w:rPr>
      </w:pPr>
      <w:r>
        <w:rPr>
          <w:rFonts w:ascii="Calibri" w:hAnsi="Calibri"/>
          <w:sz w:val="24"/>
        </w:rPr>
        <w:lastRenderedPageBreak/>
        <w:br w:type="page"/>
      </w:r>
    </w:p>
    <w:p w:rsidR="006857E5" w:rsidRPr="006857E5" w:rsidRDefault="006857E5" w:rsidP="006857E5">
      <w:pPr>
        <w:spacing w:before="0" w:after="200" w:line="276" w:lineRule="auto"/>
        <w:rPr>
          <w:rFonts w:ascii="Calibri" w:hAnsi="Calibri"/>
          <w:sz w:val="24"/>
        </w:rPr>
      </w:pPr>
      <w:r w:rsidRPr="006857E5">
        <w:rPr>
          <w:rFonts w:ascii="Calibri" w:hAnsi="Calibri"/>
          <w:sz w:val="24"/>
        </w:rPr>
        <w:lastRenderedPageBreak/>
        <w:t>2. Rozvoj vidieka</w:t>
      </w: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
        <w:gridCol w:w="1951"/>
        <w:gridCol w:w="8"/>
        <w:gridCol w:w="1126"/>
        <w:gridCol w:w="10"/>
        <w:gridCol w:w="2399"/>
        <w:gridCol w:w="8"/>
        <w:gridCol w:w="1126"/>
        <w:gridCol w:w="15"/>
        <w:gridCol w:w="3810"/>
        <w:gridCol w:w="14"/>
        <w:gridCol w:w="3960"/>
      </w:tblGrid>
      <w:tr w:rsidR="006857E5" w:rsidRPr="006857E5" w:rsidTr="00966411">
        <w:trPr>
          <w:gridBefore w:val="1"/>
          <w:wBefore w:w="32" w:type="dxa"/>
          <w:trHeight w:val="1225"/>
          <w:tblHeader/>
        </w:trPr>
        <w:tc>
          <w:tcPr>
            <w:tcW w:w="1959" w:type="dxa"/>
            <w:gridSpan w:val="2"/>
            <w:shd w:val="clear" w:color="auto" w:fill="EEECE1"/>
            <w:vAlign w:val="center"/>
          </w:tcPr>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Ex ante kondicionalita</w:t>
            </w:r>
          </w:p>
        </w:tc>
        <w:tc>
          <w:tcPr>
            <w:tcW w:w="1136" w:type="dxa"/>
            <w:gridSpan w:val="2"/>
            <w:shd w:val="clear" w:color="auto" w:fill="EEECE1"/>
            <w:vAlign w:val="center"/>
          </w:tcPr>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Plnenie</w:t>
            </w:r>
          </w:p>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áno/ nie/ čiastočne</w:t>
            </w:r>
          </w:p>
        </w:tc>
        <w:tc>
          <w:tcPr>
            <w:tcW w:w="2407" w:type="dxa"/>
            <w:gridSpan w:val="2"/>
            <w:shd w:val="clear" w:color="auto" w:fill="EEECE1"/>
            <w:vAlign w:val="center"/>
          </w:tcPr>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Kritérium</w:t>
            </w:r>
          </w:p>
        </w:tc>
        <w:tc>
          <w:tcPr>
            <w:tcW w:w="1141" w:type="dxa"/>
            <w:gridSpan w:val="2"/>
            <w:shd w:val="clear" w:color="auto" w:fill="EEECE1"/>
            <w:vAlign w:val="center"/>
          </w:tcPr>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Plnenie kritéria</w:t>
            </w:r>
          </w:p>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áno/nie</w:t>
            </w:r>
          </w:p>
        </w:tc>
        <w:tc>
          <w:tcPr>
            <w:tcW w:w="3824" w:type="dxa"/>
            <w:gridSpan w:val="2"/>
            <w:shd w:val="clear" w:color="auto" w:fill="EEECE1"/>
            <w:vAlign w:val="center"/>
          </w:tcPr>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Odkaz (ak splnené)</w:t>
            </w:r>
          </w:p>
          <w:p w:rsidR="006857E5" w:rsidRPr="006857E5" w:rsidRDefault="006857E5" w:rsidP="00B763E3">
            <w:pPr>
              <w:jc w:val="center"/>
              <w:rPr>
                <w:rFonts w:asciiTheme="majorHAnsi" w:hAnsiTheme="majorHAnsi"/>
                <w:b/>
                <w:i/>
                <w:sz w:val="16"/>
                <w:szCs w:val="16"/>
              </w:rPr>
            </w:pPr>
            <w:r w:rsidRPr="006857E5">
              <w:rPr>
                <w:rFonts w:asciiTheme="majorHAnsi" w:hAnsiTheme="majorHAnsi"/>
                <w:b/>
                <w:i/>
                <w:sz w:val="16"/>
                <w:szCs w:val="16"/>
              </w:rPr>
              <w:t>Poznámka</w:t>
            </w:r>
          </w:p>
        </w:tc>
        <w:tc>
          <w:tcPr>
            <w:tcW w:w="3960" w:type="dxa"/>
            <w:shd w:val="clear" w:color="auto" w:fill="EEECE1"/>
            <w:vAlign w:val="center"/>
          </w:tcPr>
          <w:p w:rsidR="006857E5" w:rsidRPr="006857E5" w:rsidRDefault="006857E5" w:rsidP="00B763E3">
            <w:pPr>
              <w:jc w:val="center"/>
              <w:rPr>
                <w:rFonts w:asciiTheme="majorHAnsi" w:hAnsiTheme="majorHAnsi"/>
                <w:b/>
                <w:sz w:val="16"/>
                <w:szCs w:val="16"/>
              </w:rPr>
            </w:pPr>
            <w:r w:rsidRPr="006857E5">
              <w:rPr>
                <w:rFonts w:asciiTheme="majorHAnsi" w:hAnsiTheme="majorHAnsi"/>
                <w:b/>
                <w:sz w:val="16"/>
                <w:szCs w:val="16"/>
              </w:rPr>
              <w:t>Vysvetlenie (ak je vhodné)</w:t>
            </w:r>
          </w:p>
        </w:tc>
      </w:tr>
      <w:tr w:rsidR="000B311E" w:rsidRPr="004E2D6C" w:rsidTr="00832815">
        <w:trPr>
          <w:trHeight w:val="1813"/>
        </w:trPr>
        <w:tc>
          <w:tcPr>
            <w:tcW w:w="1983" w:type="dxa"/>
            <w:gridSpan w:val="2"/>
            <w:tcBorders>
              <w:top w:val="single" w:sz="12" w:space="0" w:color="auto"/>
              <w:left w:val="single" w:sz="12" w:space="0" w:color="auto"/>
            </w:tcBorders>
          </w:tcPr>
          <w:p w:rsidR="000B311E" w:rsidRPr="004E2D6C" w:rsidRDefault="000B311E" w:rsidP="000B311E">
            <w:pPr>
              <w:spacing w:before="0" w:line="276" w:lineRule="auto"/>
              <w:rPr>
                <w:rFonts w:ascii="Calibri" w:hAnsi="Calibri"/>
                <w:sz w:val="16"/>
                <w:szCs w:val="16"/>
              </w:rPr>
            </w:pPr>
            <w:r w:rsidRPr="004E2D6C">
              <w:rPr>
                <w:rFonts w:ascii="Calibri" w:hAnsi="Calibri"/>
                <w:sz w:val="16"/>
                <w:szCs w:val="16"/>
              </w:rPr>
              <w:t>3.1. Prevencia a riadenie rizík: existencia národných alebo regionálnych hodnotení rizík na účely riadenia katastrof s ohľadom na prispôsobovanie sa zmene klímy.</w:t>
            </w:r>
          </w:p>
        </w:tc>
        <w:tc>
          <w:tcPr>
            <w:tcW w:w="12476" w:type="dxa"/>
            <w:gridSpan w:val="10"/>
            <w:tcBorders>
              <w:top w:val="single" w:sz="12" w:space="0" w:color="auto"/>
              <w:right w:val="single" w:sz="12" w:space="0" w:color="auto"/>
            </w:tcBorders>
          </w:tcPr>
          <w:p w:rsidR="000B311E" w:rsidRPr="004E2D6C" w:rsidRDefault="000B311E" w:rsidP="00B05B51">
            <w:pPr>
              <w:spacing w:before="0" w:line="276" w:lineRule="auto"/>
              <w:rPr>
                <w:rFonts w:ascii="Calibri" w:hAnsi="Calibri"/>
                <w:sz w:val="16"/>
                <w:szCs w:val="16"/>
              </w:rPr>
            </w:pPr>
            <w:r>
              <w:rPr>
                <w:rFonts w:ascii="Calibri" w:hAnsi="Calibri"/>
                <w:sz w:val="16"/>
                <w:szCs w:val="16"/>
              </w:rPr>
              <w:t xml:space="preserve">Pozri vyhodenie EAK </w:t>
            </w:r>
            <w:r w:rsidRPr="00674E02">
              <w:rPr>
                <w:rFonts w:ascii="Calibri" w:hAnsi="Calibri"/>
                <w:sz w:val="16"/>
                <w:szCs w:val="16"/>
              </w:rPr>
              <w:t>5.1. Predchádzanie rizikám a riadenie rizika: existencia národných alebo regionálnych hodnotení rizík na účely riadenia katastrof s ohľadom na prispôsobovanie sa zmene klímy.</w:t>
            </w:r>
          </w:p>
        </w:tc>
      </w:tr>
      <w:tr w:rsidR="006857E5" w:rsidRPr="006857E5" w:rsidTr="00966411">
        <w:trPr>
          <w:gridBefore w:val="1"/>
          <w:wBefore w:w="32" w:type="dxa"/>
          <w:trHeight w:val="717"/>
        </w:trPr>
        <w:tc>
          <w:tcPr>
            <w:tcW w:w="1959" w:type="dxa"/>
            <w:gridSpan w:val="2"/>
            <w:shd w:val="clear" w:color="auto" w:fill="auto"/>
          </w:tcPr>
          <w:p w:rsidR="006857E5" w:rsidRPr="006857E5" w:rsidRDefault="006857E5" w:rsidP="006857E5">
            <w:pPr>
              <w:rPr>
                <w:rFonts w:asciiTheme="majorHAnsi" w:hAnsiTheme="majorHAnsi"/>
                <w:sz w:val="16"/>
                <w:szCs w:val="16"/>
              </w:rPr>
            </w:pPr>
            <w:r w:rsidRPr="006857E5">
              <w:rPr>
                <w:rFonts w:asciiTheme="majorHAnsi" w:hAnsiTheme="majorHAnsi"/>
                <w:b/>
                <w:sz w:val="16"/>
                <w:szCs w:val="16"/>
              </w:rPr>
              <w:t>4.1</w:t>
            </w:r>
            <w:r w:rsidRPr="006857E5">
              <w:rPr>
                <w:rFonts w:asciiTheme="majorHAnsi" w:hAnsiTheme="majorHAnsi"/>
                <w:sz w:val="16"/>
                <w:szCs w:val="16"/>
              </w:rPr>
              <w:t xml:space="preserve"> Dobrý poľnohospodársky a environmentálny stav</w:t>
            </w:r>
            <w:r w:rsidR="00267480">
              <w:rPr>
                <w:rFonts w:asciiTheme="majorHAnsi" w:hAnsiTheme="majorHAnsi"/>
                <w:sz w:val="16"/>
                <w:szCs w:val="16"/>
              </w:rPr>
              <w:t>u</w:t>
            </w:r>
            <w:r w:rsidRPr="006857E5">
              <w:rPr>
                <w:rFonts w:asciiTheme="majorHAnsi" w:hAnsiTheme="majorHAnsi"/>
                <w:sz w:val="16"/>
                <w:szCs w:val="16"/>
              </w:rPr>
              <w:t xml:space="preserve"> : normy dobrého poľnohospodárskeho a environmentálneho stavu pôdy uvedené v kapitole I hlavy VI nariadenia (EÚ) č. 1306/2013 sú zavedené na vnútroštátnej úrovni.</w:t>
            </w:r>
          </w:p>
        </w:tc>
        <w:tc>
          <w:tcPr>
            <w:tcW w:w="1136" w:type="dxa"/>
            <w:gridSpan w:val="2"/>
            <w:shd w:val="clear" w:color="auto" w:fill="auto"/>
            <w:vAlign w:val="center"/>
          </w:tcPr>
          <w:p w:rsidR="006857E5" w:rsidRPr="006857E5" w:rsidRDefault="005634F2" w:rsidP="005634F2">
            <w:pPr>
              <w:rPr>
                <w:rFonts w:asciiTheme="majorHAnsi" w:hAnsiTheme="majorHAnsi"/>
                <w:b/>
                <w:sz w:val="16"/>
                <w:szCs w:val="16"/>
              </w:rPr>
            </w:pPr>
            <w:r>
              <w:rPr>
                <w:rFonts w:asciiTheme="majorHAnsi" w:hAnsiTheme="majorHAnsi"/>
                <w:b/>
                <w:sz w:val="16"/>
                <w:szCs w:val="16"/>
              </w:rPr>
              <w:t xml:space="preserve">         </w:t>
            </w:r>
            <w:r w:rsidR="00832815">
              <w:rPr>
                <w:rFonts w:asciiTheme="majorHAnsi" w:hAnsiTheme="majorHAnsi"/>
                <w:b/>
                <w:sz w:val="16"/>
                <w:szCs w:val="16"/>
              </w:rPr>
              <w:t>Áno</w:t>
            </w:r>
          </w:p>
        </w:tc>
        <w:tc>
          <w:tcPr>
            <w:tcW w:w="2407" w:type="dxa"/>
            <w:gridSpan w:val="2"/>
            <w:shd w:val="clear" w:color="auto" w:fill="auto"/>
          </w:tcPr>
          <w:p w:rsidR="006857E5" w:rsidRPr="006857E5" w:rsidRDefault="006857E5" w:rsidP="006857E5">
            <w:pPr>
              <w:rPr>
                <w:rFonts w:asciiTheme="majorHAnsi" w:hAnsiTheme="majorHAnsi"/>
                <w:sz w:val="16"/>
                <w:szCs w:val="16"/>
              </w:rPr>
            </w:pPr>
            <w:r w:rsidRPr="006857E5">
              <w:rPr>
                <w:rFonts w:asciiTheme="majorHAnsi" w:hAnsiTheme="majorHAnsi"/>
                <w:sz w:val="16"/>
                <w:szCs w:val="16"/>
              </w:rPr>
              <w:t>Normy dobrého poľnohospodárskeho a environmentálneho stavu sú vymedzené vo vnútroštátnych právnych predpisoch a špecifikované v programe.</w:t>
            </w:r>
          </w:p>
        </w:tc>
        <w:tc>
          <w:tcPr>
            <w:tcW w:w="1141" w:type="dxa"/>
            <w:gridSpan w:val="2"/>
            <w:shd w:val="clear" w:color="auto" w:fill="auto"/>
            <w:vAlign w:val="center"/>
          </w:tcPr>
          <w:p w:rsidR="006857E5" w:rsidRPr="00B763E3" w:rsidRDefault="00832815" w:rsidP="00B763E3">
            <w:pPr>
              <w:jc w:val="center"/>
              <w:rPr>
                <w:rFonts w:asciiTheme="majorHAnsi" w:hAnsiTheme="majorHAnsi"/>
                <w:b/>
                <w:sz w:val="16"/>
                <w:szCs w:val="16"/>
                <w:highlight w:val="yellow"/>
              </w:rPr>
            </w:pPr>
            <w:r w:rsidRPr="005634F2">
              <w:rPr>
                <w:rFonts w:asciiTheme="majorHAnsi" w:hAnsiTheme="majorHAnsi"/>
                <w:b/>
                <w:sz w:val="16"/>
                <w:szCs w:val="16"/>
              </w:rPr>
              <w:t>Á</w:t>
            </w:r>
            <w:r w:rsidR="000F08AE" w:rsidRPr="005634F2">
              <w:rPr>
                <w:rFonts w:asciiTheme="majorHAnsi" w:hAnsiTheme="majorHAnsi"/>
                <w:b/>
                <w:sz w:val="16"/>
                <w:szCs w:val="16"/>
              </w:rPr>
              <w:t>no</w:t>
            </w:r>
          </w:p>
        </w:tc>
        <w:tc>
          <w:tcPr>
            <w:tcW w:w="3824" w:type="dxa"/>
            <w:gridSpan w:val="2"/>
            <w:shd w:val="clear" w:color="auto" w:fill="auto"/>
          </w:tcPr>
          <w:p w:rsidR="006857E5" w:rsidRPr="005634F2" w:rsidRDefault="000F08AE" w:rsidP="006857E5">
            <w:pPr>
              <w:rPr>
                <w:rFonts w:asciiTheme="majorHAnsi" w:hAnsiTheme="majorHAnsi"/>
                <w:sz w:val="16"/>
                <w:szCs w:val="16"/>
              </w:rPr>
            </w:pPr>
            <w:r w:rsidRPr="005634F2">
              <w:rPr>
                <w:rFonts w:asciiTheme="majorHAnsi" w:hAnsiTheme="majorHAnsi"/>
                <w:sz w:val="16"/>
                <w:szCs w:val="16"/>
              </w:rPr>
              <w:t>Ex</w:t>
            </w:r>
            <w:r w:rsidR="00BC3A81">
              <w:rPr>
                <w:rFonts w:asciiTheme="majorHAnsi" w:hAnsiTheme="majorHAnsi"/>
                <w:sz w:val="16"/>
                <w:szCs w:val="16"/>
              </w:rPr>
              <w:t xml:space="preserve"> </w:t>
            </w:r>
            <w:r w:rsidRPr="005634F2">
              <w:rPr>
                <w:rFonts w:asciiTheme="majorHAnsi" w:hAnsiTheme="majorHAnsi"/>
                <w:sz w:val="16"/>
                <w:szCs w:val="16"/>
              </w:rPr>
              <w:t xml:space="preserve">ante kondicionalita je splnená na základe platného legislatívneho rámca v roku 2014. Rok 2014 je prechodný v zmysle platnej legislatívy v rámci reformy SPP. </w:t>
            </w:r>
          </w:p>
        </w:tc>
        <w:tc>
          <w:tcPr>
            <w:tcW w:w="3960" w:type="dxa"/>
            <w:shd w:val="clear" w:color="auto" w:fill="auto"/>
          </w:tcPr>
          <w:p w:rsidR="006857E5" w:rsidRPr="005634F2" w:rsidRDefault="000F08AE" w:rsidP="002C1C68">
            <w:pPr>
              <w:rPr>
                <w:rFonts w:asciiTheme="majorHAnsi" w:hAnsiTheme="majorHAnsi"/>
                <w:sz w:val="16"/>
                <w:szCs w:val="16"/>
              </w:rPr>
            </w:pPr>
            <w:r w:rsidRPr="005634F2">
              <w:rPr>
                <w:rFonts w:asciiTheme="majorHAnsi" w:hAnsiTheme="majorHAnsi"/>
                <w:sz w:val="16"/>
                <w:szCs w:val="16"/>
              </w:rPr>
              <w:t>SR zaktualizuje príslušné ustanovenia od roku 2015, kedy nov</w:t>
            </w:r>
            <w:r w:rsidR="002C1C68">
              <w:rPr>
                <w:rFonts w:asciiTheme="majorHAnsi" w:hAnsiTheme="majorHAnsi"/>
                <w:sz w:val="16"/>
                <w:szCs w:val="16"/>
              </w:rPr>
              <w:t>é</w:t>
            </w:r>
            <w:r w:rsidRPr="005634F2">
              <w:rPr>
                <w:rFonts w:asciiTheme="majorHAnsi" w:hAnsiTheme="majorHAnsi"/>
                <w:sz w:val="16"/>
                <w:szCs w:val="16"/>
              </w:rPr>
              <w:t xml:space="preserve"> podmienky vyplývajúce z reformy SPP vstupujú do platnosti</w:t>
            </w:r>
            <w:r w:rsidR="002C1C68">
              <w:rPr>
                <w:rFonts w:asciiTheme="majorHAnsi" w:hAnsiTheme="majorHAnsi"/>
                <w:sz w:val="16"/>
                <w:szCs w:val="16"/>
              </w:rPr>
              <w:t>.</w:t>
            </w:r>
          </w:p>
        </w:tc>
      </w:tr>
      <w:tr w:rsidR="006857E5" w:rsidRPr="006857E5" w:rsidTr="00966411">
        <w:trPr>
          <w:gridBefore w:val="1"/>
          <w:wBefore w:w="32" w:type="dxa"/>
          <w:trHeight w:val="1576"/>
        </w:trPr>
        <w:tc>
          <w:tcPr>
            <w:tcW w:w="1959" w:type="dxa"/>
            <w:gridSpan w:val="2"/>
            <w:shd w:val="clear" w:color="auto" w:fill="auto"/>
          </w:tcPr>
          <w:p w:rsidR="006857E5" w:rsidRPr="006857E5" w:rsidRDefault="006857E5" w:rsidP="006857E5">
            <w:pPr>
              <w:rPr>
                <w:rFonts w:asciiTheme="majorHAnsi" w:hAnsiTheme="majorHAnsi"/>
                <w:sz w:val="16"/>
                <w:szCs w:val="16"/>
              </w:rPr>
            </w:pPr>
            <w:r w:rsidRPr="006857E5">
              <w:rPr>
                <w:rFonts w:asciiTheme="majorHAnsi" w:hAnsiTheme="majorHAnsi"/>
                <w:b/>
                <w:sz w:val="16"/>
                <w:szCs w:val="16"/>
              </w:rPr>
              <w:t>4.2</w:t>
            </w:r>
            <w:r w:rsidRPr="006857E5">
              <w:rPr>
                <w:rFonts w:asciiTheme="majorHAnsi" w:hAnsiTheme="majorHAnsi"/>
                <w:sz w:val="16"/>
                <w:szCs w:val="16"/>
              </w:rPr>
              <w:t xml:space="preserve"> Minimálne požiadavky na hnojivá a prostriedky na ochranu rastlín: minimálne požiadavky na hnojivá a prostriedky na ochranu rastlín uvedené v hlave III kapitole I článku 28 nariadenia (EÚ) 1305/2013 sú definované na vnútroštátnej úrovni</w:t>
            </w:r>
          </w:p>
        </w:tc>
        <w:tc>
          <w:tcPr>
            <w:tcW w:w="1136" w:type="dxa"/>
            <w:gridSpan w:val="2"/>
            <w:shd w:val="clear" w:color="auto" w:fill="auto"/>
            <w:vAlign w:val="center"/>
          </w:tcPr>
          <w:p w:rsidR="005634F2" w:rsidRDefault="005634F2" w:rsidP="00B763E3">
            <w:pPr>
              <w:jc w:val="center"/>
              <w:rPr>
                <w:rFonts w:asciiTheme="majorHAnsi" w:hAnsiTheme="majorHAnsi"/>
                <w:b/>
                <w:sz w:val="16"/>
                <w:szCs w:val="16"/>
              </w:rPr>
            </w:pPr>
          </w:p>
          <w:p w:rsidR="006857E5" w:rsidRPr="006857E5" w:rsidRDefault="005634F2" w:rsidP="00B763E3">
            <w:pPr>
              <w:jc w:val="center"/>
              <w:rPr>
                <w:rFonts w:asciiTheme="majorHAnsi" w:hAnsiTheme="majorHAnsi"/>
                <w:b/>
                <w:sz w:val="16"/>
                <w:szCs w:val="16"/>
              </w:rPr>
            </w:pPr>
            <w:r>
              <w:rPr>
                <w:rFonts w:asciiTheme="majorHAnsi" w:hAnsiTheme="majorHAnsi"/>
                <w:b/>
                <w:sz w:val="16"/>
                <w:szCs w:val="16"/>
              </w:rPr>
              <w:t>Á</w:t>
            </w:r>
            <w:r w:rsidR="006857E5" w:rsidRPr="006857E5">
              <w:rPr>
                <w:rFonts w:asciiTheme="majorHAnsi" w:hAnsiTheme="majorHAnsi"/>
                <w:b/>
                <w:sz w:val="16"/>
                <w:szCs w:val="16"/>
              </w:rPr>
              <w:t>no</w:t>
            </w:r>
          </w:p>
        </w:tc>
        <w:tc>
          <w:tcPr>
            <w:tcW w:w="2407" w:type="dxa"/>
            <w:gridSpan w:val="2"/>
            <w:shd w:val="clear" w:color="auto" w:fill="auto"/>
          </w:tcPr>
          <w:p w:rsidR="006857E5" w:rsidRPr="006857E5" w:rsidRDefault="006857E5" w:rsidP="006857E5">
            <w:pPr>
              <w:rPr>
                <w:rFonts w:asciiTheme="majorHAnsi" w:hAnsiTheme="majorHAnsi"/>
                <w:sz w:val="16"/>
                <w:szCs w:val="16"/>
              </w:rPr>
            </w:pPr>
            <w:r w:rsidRPr="006857E5">
              <w:rPr>
                <w:rFonts w:asciiTheme="majorHAnsi" w:hAnsiTheme="majorHAnsi"/>
                <w:sz w:val="16"/>
                <w:szCs w:val="16"/>
              </w:rPr>
              <w:t>Minimálne požiadavky na hnojivá a prostriedky na ochranu rastlín uvedené v hlave III, kapitole I článku 28 nariadenia (EÚ) 1305/2013 sú špecifikované v programe.</w:t>
            </w:r>
          </w:p>
        </w:tc>
        <w:tc>
          <w:tcPr>
            <w:tcW w:w="1141" w:type="dxa"/>
            <w:gridSpan w:val="2"/>
            <w:shd w:val="clear" w:color="auto" w:fill="auto"/>
            <w:vAlign w:val="center"/>
          </w:tcPr>
          <w:p w:rsidR="006857E5" w:rsidRPr="006857E5" w:rsidRDefault="005634F2" w:rsidP="00B763E3">
            <w:pPr>
              <w:jc w:val="center"/>
              <w:rPr>
                <w:rFonts w:asciiTheme="majorHAnsi" w:hAnsiTheme="majorHAnsi"/>
                <w:b/>
                <w:sz w:val="16"/>
                <w:szCs w:val="16"/>
              </w:rPr>
            </w:pPr>
            <w:r>
              <w:rPr>
                <w:rFonts w:asciiTheme="majorHAnsi" w:hAnsiTheme="majorHAnsi"/>
                <w:b/>
                <w:sz w:val="16"/>
                <w:szCs w:val="16"/>
              </w:rPr>
              <w:t>Á</w:t>
            </w:r>
            <w:r w:rsidR="006857E5" w:rsidRPr="006857E5">
              <w:rPr>
                <w:rFonts w:asciiTheme="majorHAnsi" w:hAnsiTheme="majorHAnsi"/>
                <w:b/>
                <w:sz w:val="16"/>
                <w:szCs w:val="16"/>
              </w:rPr>
              <w:t>no</w:t>
            </w:r>
          </w:p>
        </w:tc>
        <w:tc>
          <w:tcPr>
            <w:tcW w:w="3824" w:type="dxa"/>
            <w:gridSpan w:val="2"/>
            <w:shd w:val="clear" w:color="auto" w:fill="auto"/>
          </w:tcPr>
          <w:p w:rsidR="006857E5" w:rsidRPr="006857E5" w:rsidRDefault="006857E5" w:rsidP="00267480">
            <w:pPr>
              <w:tabs>
                <w:tab w:val="left" w:pos="-36"/>
                <w:tab w:val="num" w:pos="2575"/>
              </w:tabs>
              <w:spacing w:afterLines="20" w:after="48"/>
              <w:rPr>
                <w:rFonts w:asciiTheme="majorHAnsi" w:hAnsiTheme="majorHAnsi"/>
                <w:noProof/>
                <w:sz w:val="16"/>
                <w:szCs w:val="16"/>
              </w:rPr>
            </w:pPr>
            <w:r w:rsidRPr="006857E5">
              <w:rPr>
                <w:rFonts w:asciiTheme="majorHAnsi" w:hAnsiTheme="majorHAnsi"/>
                <w:noProof/>
                <w:sz w:val="16"/>
                <w:szCs w:val="16"/>
              </w:rPr>
              <w:t xml:space="preserve">Minimálne požiadavky na hnojivá a prípravky na ochranu rastlín sú uvedené v rámci podmienok opatrení a špecifikované v prílohe programu. </w:t>
            </w:r>
          </w:p>
          <w:p w:rsidR="006857E5" w:rsidRPr="006857E5" w:rsidRDefault="006857E5" w:rsidP="0026189E">
            <w:pPr>
              <w:tabs>
                <w:tab w:val="left" w:pos="-36"/>
                <w:tab w:val="num" w:pos="2575"/>
              </w:tabs>
              <w:spacing w:afterLines="20" w:after="48"/>
              <w:rPr>
                <w:rFonts w:asciiTheme="majorHAnsi" w:hAnsiTheme="majorHAnsi"/>
                <w:noProof/>
                <w:sz w:val="16"/>
                <w:szCs w:val="16"/>
              </w:rPr>
            </w:pPr>
            <w:r w:rsidRPr="006857E5">
              <w:rPr>
                <w:rFonts w:asciiTheme="majorHAnsi" w:hAnsiTheme="majorHAnsi"/>
                <w:sz w:val="16"/>
                <w:szCs w:val="16"/>
              </w:rPr>
              <w:t xml:space="preserve">Minimálne požiadavky na hnojivá a prípravky na ochranu rastlín </w:t>
            </w:r>
            <w:r w:rsidRPr="006857E5">
              <w:rPr>
                <w:rFonts w:asciiTheme="majorHAnsi" w:hAnsiTheme="majorHAnsi"/>
                <w:noProof/>
                <w:sz w:val="16"/>
                <w:szCs w:val="16"/>
              </w:rPr>
              <w:t>s</w:t>
            </w:r>
            <w:r w:rsidR="00267480">
              <w:rPr>
                <w:rFonts w:asciiTheme="majorHAnsi" w:hAnsiTheme="majorHAnsi"/>
                <w:noProof/>
                <w:sz w:val="16"/>
                <w:szCs w:val="16"/>
              </w:rPr>
              <w:t>ú</w:t>
            </w:r>
            <w:r w:rsidRPr="006857E5">
              <w:rPr>
                <w:rFonts w:asciiTheme="majorHAnsi" w:hAnsiTheme="majorHAnsi"/>
                <w:noProof/>
                <w:sz w:val="16"/>
                <w:szCs w:val="16"/>
              </w:rPr>
              <w:t xml:space="preserve"> stanovené v národnej legislatíve:</w:t>
            </w:r>
          </w:p>
          <w:p w:rsidR="006857E5" w:rsidRPr="006857E5" w:rsidRDefault="006857E5" w:rsidP="001C5C9E">
            <w:pPr>
              <w:numPr>
                <w:ilvl w:val="0"/>
                <w:numId w:val="64"/>
              </w:numPr>
              <w:tabs>
                <w:tab w:val="left" w:pos="170"/>
                <w:tab w:val="num" w:pos="2575"/>
              </w:tabs>
              <w:spacing w:before="0" w:afterLines="50"/>
              <w:ind w:left="176" w:hanging="142"/>
              <w:rPr>
                <w:rFonts w:asciiTheme="majorHAnsi" w:hAnsiTheme="majorHAnsi"/>
                <w:noProof/>
                <w:sz w:val="16"/>
                <w:szCs w:val="16"/>
                <w:lang w:eastAsia="de-DE"/>
              </w:rPr>
            </w:pPr>
            <w:r w:rsidRPr="006857E5">
              <w:rPr>
                <w:rFonts w:asciiTheme="majorHAnsi" w:hAnsiTheme="majorHAnsi"/>
                <w:noProof/>
                <w:sz w:val="16"/>
                <w:szCs w:val="16"/>
                <w:lang w:eastAsia="de-DE"/>
              </w:rPr>
              <w:t>oblasť hnojív</w:t>
            </w:r>
            <w:r w:rsidRPr="006857E5">
              <w:rPr>
                <w:rFonts w:asciiTheme="majorHAnsi" w:hAnsiTheme="majorHAnsi"/>
                <w:b/>
                <w:noProof/>
                <w:sz w:val="16"/>
                <w:szCs w:val="16"/>
                <w:lang w:eastAsia="de-DE"/>
              </w:rPr>
              <w:t xml:space="preserve"> </w:t>
            </w:r>
            <w:r w:rsidRPr="006857E5">
              <w:rPr>
                <w:rFonts w:asciiTheme="majorHAnsi" w:hAnsiTheme="majorHAnsi"/>
                <w:noProof/>
                <w:sz w:val="16"/>
                <w:szCs w:val="16"/>
                <w:lang w:eastAsia="de-DE"/>
              </w:rPr>
              <w:t>(používanie hnojív) je v podmienkach SR legislatívne zabezpečená v rámci § 10 zákona č.136/2000 Z. z. o hnojivách.</w:t>
            </w:r>
          </w:p>
          <w:p w:rsidR="006857E5" w:rsidRPr="006857E5" w:rsidRDefault="008B2A4E" w:rsidP="001C5C9E">
            <w:pPr>
              <w:numPr>
                <w:ilvl w:val="0"/>
                <w:numId w:val="64"/>
              </w:numPr>
              <w:tabs>
                <w:tab w:val="left" w:pos="170"/>
                <w:tab w:val="num" w:pos="2575"/>
              </w:tabs>
              <w:spacing w:before="0" w:afterLines="20" w:after="48"/>
              <w:ind w:left="176" w:hanging="142"/>
              <w:contextualSpacing/>
              <w:rPr>
                <w:rFonts w:asciiTheme="majorHAnsi" w:hAnsiTheme="majorHAnsi"/>
                <w:noProof/>
                <w:sz w:val="16"/>
                <w:szCs w:val="16"/>
                <w:lang w:eastAsia="de-DE"/>
              </w:rPr>
            </w:pPr>
            <w:r>
              <w:rPr>
                <w:rFonts w:asciiTheme="majorHAnsi" w:hAnsiTheme="majorHAnsi"/>
                <w:noProof/>
                <w:sz w:val="16"/>
                <w:szCs w:val="16"/>
                <w:lang w:eastAsia="de-DE"/>
              </w:rPr>
              <w:t>o</w:t>
            </w:r>
            <w:r w:rsidR="006857E5" w:rsidRPr="006857E5">
              <w:rPr>
                <w:rFonts w:asciiTheme="majorHAnsi" w:hAnsiTheme="majorHAnsi"/>
                <w:noProof/>
                <w:sz w:val="16"/>
                <w:szCs w:val="16"/>
                <w:lang w:eastAsia="de-DE"/>
              </w:rPr>
              <w:t>blasť ochrany rastlín je v podmienkach SR legislatívne zabezpečená v rámci  § 8, § 30 a § 32 zákona č.405/2011 Z. z. o rastlinolekárskej starostlivosti.</w:t>
            </w:r>
          </w:p>
        </w:tc>
        <w:tc>
          <w:tcPr>
            <w:tcW w:w="3960" w:type="dxa"/>
            <w:shd w:val="clear" w:color="auto" w:fill="auto"/>
          </w:tcPr>
          <w:p w:rsidR="006857E5" w:rsidRPr="006857E5" w:rsidRDefault="000B311E" w:rsidP="006857E5">
            <w:pPr>
              <w:tabs>
                <w:tab w:val="num" w:pos="2575"/>
              </w:tabs>
              <w:spacing w:afterLines="20" w:after="48"/>
              <w:ind w:left="33"/>
              <w:rPr>
                <w:rFonts w:asciiTheme="majorHAnsi" w:hAnsiTheme="majorHAnsi"/>
                <w:noProof/>
                <w:color w:val="800000"/>
                <w:sz w:val="16"/>
                <w:szCs w:val="16"/>
                <w:lang w:eastAsia="de-DE"/>
              </w:rPr>
            </w:pPr>
            <w:r w:rsidRPr="00B763E3">
              <w:rPr>
                <w:rFonts w:asciiTheme="majorHAnsi" w:hAnsiTheme="majorHAnsi"/>
                <w:noProof/>
                <w:sz w:val="16"/>
                <w:szCs w:val="16"/>
                <w:lang w:eastAsia="de-DE"/>
              </w:rPr>
              <w:t>Ex ante kondicionalita je splnená. Národná legislatíva upravuje minimálne požiadavky na hnojivá a prostriedky na ochranu rastlín. Tiet</w:t>
            </w:r>
            <w:r w:rsidR="00267480" w:rsidRPr="00B763E3">
              <w:rPr>
                <w:rFonts w:asciiTheme="majorHAnsi" w:hAnsiTheme="majorHAnsi"/>
                <w:noProof/>
                <w:sz w:val="16"/>
                <w:szCs w:val="16"/>
                <w:lang w:eastAsia="de-DE"/>
              </w:rPr>
              <w:t>o</w:t>
            </w:r>
            <w:r w:rsidRPr="00B763E3">
              <w:rPr>
                <w:rFonts w:asciiTheme="majorHAnsi" w:hAnsiTheme="majorHAnsi"/>
                <w:noProof/>
                <w:sz w:val="16"/>
                <w:szCs w:val="16"/>
                <w:lang w:eastAsia="de-DE"/>
              </w:rPr>
              <w:t xml:space="preserve"> požiadavky budú špecifikované v programe.</w:t>
            </w:r>
          </w:p>
        </w:tc>
      </w:tr>
      <w:tr w:rsidR="006857E5" w:rsidRPr="006857E5" w:rsidTr="00966411">
        <w:trPr>
          <w:gridBefore w:val="1"/>
          <w:wBefore w:w="32" w:type="dxa"/>
          <w:trHeight w:val="1247"/>
        </w:trPr>
        <w:tc>
          <w:tcPr>
            <w:tcW w:w="1959" w:type="dxa"/>
            <w:gridSpan w:val="2"/>
            <w:shd w:val="clear" w:color="auto" w:fill="auto"/>
          </w:tcPr>
          <w:p w:rsidR="006857E5" w:rsidRPr="006857E5" w:rsidRDefault="006857E5" w:rsidP="006857E5">
            <w:pPr>
              <w:rPr>
                <w:rFonts w:asciiTheme="majorHAnsi" w:hAnsiTheme="majorHAnsi"/>
                <w:sz w:val="16"/>
                <w:szCs w:val="16"/>
              </w:rPr>
            </w:pPr>
            <w:r w:rsidRPr="006857E5">
              <w:rPr>
                <w:rFonts w:asciiTheme="majorHAnsi" w:hAnsiTheme="majorHAnsi"/>
                <w:b/>
                <w:sz w:val="16"/>
                <w:szCs w:val="16"/>
              </w:rPr>
              <w:lastRenderedPageBreak/>
              <w:t>4.3</w:t>
            </w:r>
            <w:r w:rsidRPr="006857E5">
              <w:rPr>
                <w:rFonts w:asciiTheme="majorHAnsi" w:hAnsiTheme="majorHAnsi"/>
                <w:sz w:val="16"/>
                <w:szCs w:val="16"/>
              </w:rPr>
              <w:t xml:space="preserve"> Iné príslušné vnútroštátne normy: príslušné povinné vnútroštátne normy sú definované na účely článku 28 kapitoly I hlavy III nariadenia (EÚ) 1305/2013.</w:t>
            </w:r>
          </w:p>
        </w:tc>
        <w:tc>
          <w:tcPr>
            <w:tcW w:w="1136" w:type="dxa"/>
            <w:gridSpan w:val="2"/>
            <w:shd w:val="clear" w:color="auto" w:fill="auto"/>
            <w:vAlign w:val="center"/>
          </w:tcPr>
          <w:p w:rsidR="006857E5" w:rsidRPr="006857E5" w:rsidRDefault="005634F2" w:rsidP="00B763E3">
            <w:pPr>
              <w:jc w:val="center"/>
              <w:rPr>
                <w:rFonts w:asciiTheme="majorHAnsi" w:hAnsiTheme="majorHAnsi"/>
                <w:b/>
                <w:sz w:val="16"/>
                <w:szCs w:val="16"/>
              </w:rPr>
            </w:pPr>
            <w:r>
              <w:rPr>
                <w:rFonts w:asciiTheme="majorHAnsi" w:hAnsiTheme="majorHAnsi"/>
                <w:b/>
                <w:sz w:val="16"/>
                <w:szCs w:val="16"/>
              </w:rPr>
              <w:t>Á</w:t>
            </w:r>
            <w:r w:rsidR="006857E5" w:rsidRPr="006857E5">
              <w:rPr>
                <w:rFonts w:asciiTheme="majorHAnsi" w:hAnsiTheme="majorHAnsi"/>
                <w:b/>
                <w:sz w:val="16"/>
                <w:szCs w:val="16"/>
              </w:rPr>
              <w:t>no</w:t>
            </w:r>
          </w:p>
        </w:tc>
        <w:tc>
          <w:tcPr>
            <w:tcW w:w="2407" w:type="dxa"/>
            <w:gridSpan w:val="2"/>
            <w:shd w:val="clear" w:color="auto" w:fill="auto"/>
          </w:tcPr>
          <w:p w:rsidR="006857E5" w:rsidRPr="006857E5" w:rsidRDefault="006857E5" w:rsidP="006857E5">
            <w:pPr>
              <w:rPr>
                <w:rFonts w:asciiTheme="majorHAnsi" w:hAnsiTheme="majorHAnsi"/>
                <w:sz w:val="16"/>
                <w:szCs w:val="16"/>
              </w:rPr>
            </w:pPr>
            <w:r w:rsidRPr="006857E5">
              <w:rPr>
                <w:rFonts w:asciiTheme="majorHAnsi" w:hAnsiTheme="majorHAnsi"/>
                <w:sz w:val="16"/>
                <w:szCs w:val="16"/>
              </w:rPr>
              <w:t>Príslušné povinné vnútroštátne normy sú špecifikované v programe.</w:t>
            </w:r>
          </w:p>
        </w:tc>
        <w:tc>
          <w:tcPr>
            <w:tcW w:w="1141" w:type="dxa"/>
            <w:gridSpan w:val="2"/>
            <w:shd w:val="clear" w:color="auto" w:fill="auto"/>
            <w:vAlign w:val="center"/>
          </w:tcPr>
          <w:p w:rsidR="006857E5" w:rsidRPr="006857E5" w:rsidRDefault="005634F2" w:rsidP="00B763E3">
            <w:pPr>
              <w:jc w:val="center"/>
              <w:rPr>
                <w:rFonts w:asciiTheme="majorHAnsi" w:hAnsiTheme="majorHAnsi"/>
                <w:b/>
                <w:sz w:val="16"/>
                <w:szCs w:val="16"/>
              </w:rPr>
            </w:pPr>
            <w:r>
              <w:rPr>
                <w:rFonts w:asciiTheme="majorHAnsi" w:hAnsiTheme="majorHAnsi"/>
                <w:b/>
                <w:sz w:val="16"/>
                <w:szCs w:val="16"/>
              </w:rPr>
              <w:t>Á</w:t>
            </w:r>
            <w:r w:rsidR="006857E5" w:rsidRPr="006857E5">
              <w:rPr>
                <w:rFonts w:asciiTheme="majorHAnsi" w:hAnsiTheme="majorHAnsi"/>
                <w:b/>
                <w:sz w:val="16"/>
                <w:szCs w:val="16"/>
              </w:rPr>
              <w:t>no</w:t>
            </w:r>
          </w:p>
        </w:tc>
        <w:tc>
          <w:tcPr>
            <w:tcW w:w="3824" w:type="dxa"/>
            <w:gridSpan w:val="2"/>
            <w:shd w:val="clear" w:color="auto" w:fill="auto"/>
          </w:tcPr>
          <w:p w:rsidR="000B311E" w:rsidRPr="004E2D6C" w:rsidRDefault="000B311E" w:rsidP="000B311E">
            <w:pPr>
              <w:spacing w:before="0" w:line="276" w:lineRule="auto"/>
              <w:ind w:left="-35"/>
              <w:rPr>
                <w:rFonts w:ascii="Calibri" w:hAnsi="Calibri"/>
                <w:sz w:val="16"/>
                <w:szCs w:val="16"/>
              </w:rPr>
            </w:pPr>
            <w:r w:rsidRPr="00F01DC9">
              <w:rPr>
                <w:rFonts w:ascii="Calibri" w:hAnsi="Calibri"/>
                <w:sz w:val="16"/>
                <w:szCs w:val="16"/>
              </w:rPr>
              <w:t xml:space="preserve">Relevantné povinné národné normy definované na účely článku 28 kapitoly I hlavy III budú špecifikované </w:t>
            </w:r>
            <w:r w:rsidR="00544389">
              <w:rPr>
                <w:rFonts w:ascii="Calibri" w:hAnsi="Calibri"/>
                <w:sz w:val="16"/>
                <w:szCs w:val="16"/>
              </w:rPr>
              <w:br/>
            </w:r>
            <w:r w:rsidRPr="00F01DC9">
              <w:rPr>
                <w:rFonts w:ascii="Calibri" w:hAnsi="Calibri"/>
                <w:sz w:val="16"/>
                <w:szCs w:val="16"/>
              </w:rPr>
              <w:t>v programe v rámci relevantných opatrení.</w:t>
            </w:r>
          </w:p>
          <w:p w:rsidR="006857E5" w:rsidRPr="006857E5" w:rsidRDefault="006857E5" w:rsidP="006857E5">
            <w:pPr>
              <w:ind w:left="-35"/>
              <w:rPr>
                <w:rFonts w:asciiTheme="majorHAnsi" w:hAnsiTheme="majorHAnsi"/>
                <w:sz w:val="16"/>
                <w:szCs w:val="16"/>
              </w:rPr>
            </w:pPr>
          </w:p>
        </w:tc>
        <w:tc>
          <w:tcPr>
            <w:tcW w:w="3960" w:type="dxa"/>
            <w:shd w:val="clear" w:color="auto" w:fill="auto"/>
          </w:tcPr>
          <w:p w:rsidR="006857E5" w:rsidRPr="00F866C0" w:rsidRDefault="000B311E" w:rsidP="006857E5">
            <w:pPr>
              <w:tabs>
                <w:tab w:val="num" w:pos="2575"/>
              </w:tabs>
              <w:spacing w:afterLines="20" w:after="48"/>
              <w:ind w:left="33" w:hanging="33"/>
              <w:rPr>
                <w:rFonts w:asciiTheme="majorHAnsi" w:hAnsiTheme="majorHAnsi"/>
                <w:sz w:val="16"/>
                <w:szCs w:val="16"/>
                <w:lang w:eastAsia="de-DE"/>
              </w:rPr>
            </w:pPr>
            <w:r w:rsidRPr="00B763E3">
              <w:rPr>
                <w:rFonts w:asciiTheme="majorHAnsi" w:hAnsiTheme="majorHAnsi"/>
                <w:noProof/>
                <w:sz w:val="16"/>
                <w:szCs w:val="16"/>
                <w:lang w:eastAsia="de-DE"/>
              </w:rPr>
              <w:t xml:space="preserve">Ex ante kondicionalita je splnená. Relevantné </w:t>
            </w:r>
            <w:r w:rsidR="00267480" w:rsidRPr="00B763E3">
              <w:rPr>
                <w:rFonts w:asciiTheme="majorHAnsi" w:hAnsiTheme="majorHAnsi"/>
                <w:noProof/>
                <w:sz w:val="16"/>
                <w:szCs w:val="16"/>
                <w:lang w:eastAsia="de-DE"/>
              </w:rPr>
              <w:t>v</w:t>
            </w:r>
            <w:r w:rsidRPr="00B763E3">
              <w:rPr>
                <w:rFonts w:asciiTheme="majorHAnsi" w:hAnsiTheme="majorHAnsi"/>
                <w:noProof/>
                <w:sz w:val="16"/>
                <w:szCs w:val="16"/>
                <w:lang w:eastAsia="de-DE"/>
              </w:rPr>
              <w:t>nútroštátne predpisy budú špecifikované v</w:t>
            </w:r>
            <w:r w:rsidR="002C1C68">
              <w:rPr>
                <w:rFonts w:asciiTheme="majorHAnsi" w:hAnsiTheme="majorHAnsi"/>
                <w:noProof/>
                <w:sz w:val="16"/>
                <w:szCs w:val="16"/>
                <w:lang w:eastAsia="de-DE"/>
              </w:rPr>
              <w:t> </w:t>
            </w:r>
            <w:r w:rsidRPr="00B763E3">
              <w:rPr>
                <w:rFonts w:asciiTheme="majorHAnsi" w:hAnsiTheme="majorHAnsi"/>
                <w:noProof/>
                <w:sz w:val="16"/>
                <w:szCs w:val="16"/>
                <w:lang w:eastAsia="de-DE"/>
              </w:rPr>
              <w:t>programe</w:t>
            </w:r>
            <w:r w:rsidR="002C1C68">
              <w:rPr>
                <w:rFonts w:asciiTheme="majorHAnsi" w:hAnsiTheme="majorHAnsi"/>
                <w:noProof/>
                <w:sz w:val="16"/>
                <w:szCs w:val="16"/>
                <w:lang w:eastAsia="de-DE"/>
              </w:rPr>
              <w:t>.</w:t>
            </w:r>
          </w:p>
        </w:tc>
      </w:tr>
      <w:tr w:rsidR="000B311E" w:rsidRPr="004E2D6C" w:rsidTr="001C5C9E">
        <w:trPr>
          <w:trHeight w:val="2964"/>
        </w:trPr>
        <w:tc>
          <w:tcPr>
            <w:tcW w:w="1983" w:type="dxa"/>
            <w:gridSpan w:val="2"/>
            <w:tcBorders>
              <w:top w:val="single" w:sz="12" w:space="0" w:color="auto"/>
              <w:left w:val="single" w:sz="12" w:space="0" w:color="auto"/>
            </w:tcBorders>
            <w:vAlign w:val="center"/>
          </w:tcPr>
          <w:p w:rsidR="000B311E" w:rsidRPr="004E2D6C" w:rsidRDefault="000B311E" w:rsidP="000B311E">
            <w:pPr>
              <w:spacing w:before="0" w:line="276" w:lineRule="auto"/>
              <w:rPr>
                <w:rFonts w:ascii="Calibri" w:hAnsi="Calibri"/>
                <w:sz w:val="16"/>
                <w:szCs w:val="16"/>
              </w:rPr>
            </w:pPr>
            <w:r w:rsidRPr="004E2D6C">
              <w:rPr>
                <w:rFonts w:ascii="Calibri" w:hAnsi="Calibri"/>
                <w:sz w:val="16"/>
                <w:szCs w:val="16"/>
              </w:rPr>
              <w:t>5.1 Energetická efektívnosť: Uskutočnili sa akcie na propagáciu nákladovo efektívnych zlepšení efektívnosti koncového využívania energie a nákladovo efektívnych investícií do energetickej efektívnosti pri stavbe alebo renovácii budov.</w:t>
            </w:r>
          </w:p>
        </w:tc>
        <w:tc>
          <w:tcPr>
            <w:tcW w:w="12476" w:type="dxa"/>
            <w:gridSpan w:val="10"/>
            <w:tcBorders>
              <w:top w:val="single" w:sz="12" w:space="0" w:color="auto"/>
              <w:right w:val="single" w:sz="12" w:space="0" w:color="auto"/>
            </w:tcBorders>
            <w:vAlign w:val="center"/>
          </w:tcPr>
          <w:p w:rsidR="000B311E" w:rsidRPr="004E2D6C" w:rsidRDefault="000B311E" w:rsidP="000B311E">
            <w:pPr>
              <w:spacing w:before="0" w:line="276" w:lineRule="auto"/>
              <w:rPr>
                <w:rFonts w:ascii="Calibri" w:hAnsi="Calibri"/>
                <w:sz w:val="16"/>
                <w:szCs w:val="16"/>
              </w:rPr>
            </w:pPr>
            <w:r>
              <w:rPr>
                <w:rFonts w:ascii="Calibri" w:hAnsi="Calibri"/>
                <w:sz w:val="16"/>
                <w:szCs w:val="16"/>
              </w:rPr>
              <w:t xml:space="preserve">Pozri vyhodenie EAK 4.1. </w:t>
            </w:r>
            <w:r w:rsidRPr="007E03D5">
              <w:rPr>
                <w:rFonts w:ascii="Calibri" w:hAnsi="Calibri"/>
                <w:sz w:val="16"/>
                <w:szCs w:val="16"/>
              </w:rPr>
              <w:t>Uskutočnili sa opatrenia na podporu nákladovo efektívnych zlepšení efektívnosti koncového využívania energie a nákladovo efektívnych investícií do energetickej efektívnosti pri stavbe alebo renovácii budov.</w:t>
            </w:r>
          </w:p>
        </w:tc>
      </w:tr>
      <w:tr w:rsidR="00832815" w:rsidRPr="004E2D6C" w:rsidTr="00832815">
        <w:trPr>
          <w:trHeight w:val="1122"/>
        </w:trPr>
        <w:tc>
          <w:tcPr>
            <w:tcW w:w="1983" w:type="dxa"/>
            <w:gridSpan w:val="2"/>
            <w:tcBorders>
              <w:top w:val="single" w:sz="12" w:space="0" w:color="auto"/>
              <w:left w:val="single" w:sz="12" w:space="0" w:color="auto"/>
            </w:tcBorders>
          </w:tcPr>
          <w:p w:rsidR="00832815" w:rsidRPr="004E2D6C" w:rsidRDefault="00832815" w:rsidP="00832815">
            <w:pPr>
              <w:spacing w:before="0" w:line="276" w:lineRule="auto"/>
              <w:rPr>
                <w:rFonts w:ascii="Calibri" w:hAnsi="Calibri"/>
                <w:b/>
                <w:sz w:val="16"/>
                <w:szCs w:val="16"/>
              </w:rPr>
            </w:pPr>
            <w:r w:rsidRPr="004E2D6C">
              <w:rPr>
                <w:rFonts w:ascii="Calibri" w:hAnsi="Calibri"/>
                <w:sz w:val="16"/>
                <w:szCs w:val="16"/>
              </w:rPr>
              <w:t xml:space="preserve">5.2 Odvetvie vody: existencia a) cenovej politiky v oblasti vôd, ktorá poskytuje primerané stimuly pre používateľov na efektívne využívanie vody, a b) primeraný príspevok rozličných spôsobov využívania vody k úhrade nákladov na vodohospodárske služby v sadzbe stanovenej v schválenom pláne riadenia </w:t>
            </w:r>
            <w:r w:rsidRPr="004E2D6C">
              <w:rPr>
                <w:rFonts w:ascii="Calibri" w:hAnsi="Calibri"/>
                <w:sz w:val="16"/>
                <w:szCs w:val="16"/>
              </w:rPr>
              <w:lastRenderedPageBreak/>
              <w:t>povodia pre investície podporované z programov</w:t>
            </w:r>
            <w:r w:rsidRPr="004E2D6C">
              <w:rPr>
                <w:rFonts w:ascii="Calibri" w:hAnsi="Calibri"/>
                <w:b/>
                <w:sz w:val="16"/>
                <w:szCs w:val="16"/>
              </w:rPr>
              <w:t>.</w:t>
            </w:r>
          </w:p>
        </w:tc>
        <w:tc>
          <w:tcPr>
            <w:tcW w:w="1134" w:type="dxa"/>
            <w:gridSpan w:val="2"/>
            <w:tcBorders>
              <w:top w:val="single" w:sz="12" w:space="0" w:color="auto"/>
              <w:right w:val="single" w:sz="2" w:space="0" w:color="auto"/>
            </w:tcBorders>
          </w:tcPr>
          <w:p w:rsidR="00832815" w:rsidRDefault="00832815" w:rsidP="00832815">
            <w:pPr>
              <w:spacing w:before="0" w:line="276" w:lineRule="auto"/>
              <w:rPr>
                <w:rFonts w:ascii="Calibri" w:hAnsi="Calibri"/>
                <w:sz w:val="16"/>
                <w:szCs w:val="16"/>
              </w:rPr>
            </w:pPr>
            <w:r>
              <w:rPr>
                <w:rFonts w:ascii="Calibri" w:hAnsi="Calibri"/>
                <w:sz w:val="16"/>
                <w:szCs w:val="16"/>
              </w:rPr>
              <w:lastRenderedPageBreak/>
              <w:t xml:space="preserve">Nie </w:t>
            </w:r>
          </w:p>
        </w:tc>
        <w:tc>
          <w:tcPr>
            <w:tcW w:w="2409" w:type="dxa"/>
            <w:gridSpan w:val="2"/>
            <w:tcBorders>
              <w:top w:val="single" w:sz="12" w:space="0" w:color="auto"/>
              <w:left w:val="single" w:sz="2" w:space="0" w:color="auto"/>
              <w:right w:val="single" w:sz="2" w:space="0" w:color="auto"/>
            </w:tcBorders>
          </w:tcPr>
          <w:p w:rsidR="00832815" w:rsidRPr="00832815" w:rsidRDefault="00832815" w:rsidP="005634F2">
            <w:pPr>
              <w:rPr>
                <w:rFonts w:ascii="Calibri" w:hAnsi="Calibri"/>
                <w:sz w:val="16"/>
                <w:szCs w:val="16"/>
              </w:rPr>
            </w:pPr>
            <w:r w:rsidRPr="00832815">
              <w:rPr>
                <w:rFonts w:ascii="Calibri" w:hAnsi="Calibri"/>
                <w:sz w:val="16"/>
                <w:szCs w:val="16"/>
              </w:rPr>
              <w:t>V odvetviach podporovaných z EPFRV členský štát zabezpečil, rôzne spôsoby využitia vody prispeli k tomu, že odvetviu sa vrátia náklady na vodo</w:t>
            </w:r>
            <w:r w:rsidR="00E61814">
              <w:rPr>
                <w:rFonts w:ascii="Calibri" w:hAnsi="Calibri"/>
                <w:sz w:val="16"/>
                <w:szCs w:val="16"/>
              </w:rPr>
              <w:t xml:space="preserve">hospodárske služby, v súlade s </w:t>
            </w:r>
            <w:r w:rsidRPr="00832815">
              <w:rPr>
                <w:rFonts w:ascii="Calibri" w:hAnsi="Calibri"/>
                <w:sz w:val="16"/>
                <w:szCs w:val="16"/>
              </w:rPr>
              <w:t>čl</w:t>
            </w:r>
            <w:r w:rsidR="00E61814">
              <w:rPr>
                <w:rFonts w:ascii="Calibri" w:hAnsi="Calibri"/>
                <w:sz w:val="16"/>
                <w:szCs w:val="16"/>
              </w:rPr>
              <w:t xml:space="preserve">ánkom 9 ods. 1 prvou  zarážkou </w:t>
            </w:r>
            <w:r w:rsidRPr="00832815">
              <w:rPr>
                <w:rFonts w:ascii="Calibri" w:hAnsi="Calibri"/>
                <w:sz w:val="16"/>
                <w:szCs w:val="16"/>
              </w:rPr>
              <w:t>rámcovej smernice o vode, v prís</w:t>
            </w:r>
            <w:r w:rsidR="00E61814">
              <w:rPr>
                <w:rFonts w:ascii="Calibri" w:hAnsi="Calibri"/>
                <w:sz w:val="16"/>
                <w:szCs w:val="16"/>
              </w:rPr>
              <w:t xml:space="preserve">lušných prípadoch s ohľadom na </w:t>
            </w:r>
            <w:r w:rsidRPr="00832815">
              <w:rPr>
                <w:rFonts w:ascii="Calibri" w:hAnsi="Calibri"/>
                <w:sz w:val="16"/>
                <w:szCs w:val="16"/>
              </w:rPr>
              <w:t xml:space="preserve">sociálne, environmentálne a hospodárske účinky tohto vrátenia nákladov ako aj geografické a klimatické podmienky príslušného regiónu </w:t>
            </w:r>
            <w:r w:rsidRPr="00832815">
              <w:rPr>
                <w:rFonts w:ascii="Calibri" w:hAnsi="Calibri"/>
                <w:sz w:val="16"/>
                <w:szCs w:val="16"/>
              </w:rPr>
              <w:lastRenderedPageBreak/>
              <w:t>alebo regiónov.</w:t>
            </w:r>
          </w:p>
          <w:p w:rsidR="00832815" w:rsidRPr="00832815" w:rsidRDefault="00832815" w:rsidP="00832815">
            <w:pPr>
              <w:spacing w:before="0" w:line="276" w:lineRule="auto"/>
              <w:rPr>
                <w:rFonts w:ascii="Calibri" w:hAnsi="Calibri"/>
                <w:sz w:val="16"/>
                <w:szCs w:val="16"/>
              </w:rPr>
            </w:pPr>
          </w:p>
        </w:tc>
        <w:tc>
          <w:tcPr>
            <w:tcW w:w="1134" w:type="dxa"/>
            <w:gridSpan w:val="2"/>
            <w:tcBorders>
              <w:top w:val="single" w:sz="12" w:space="0" w:color="auto"/>
              <w:left w:val="single" w:sz="2" w:space="0" w:color="auto"/>
              <w:right w:val="single" w:sz="2" w:space="0" w:color="auto"/>
            </w:tcBorders>
          </w:tcPr>
          <w:p w:rsidR="00832815" w:rsidRPr="00832815" w:rsidRDefault="00832815" w:rsidP="00832815">
            <w:pPr>
              <w:spacing w:before="0" w:line="276" w:lineRule="auto"/>
              <w:rPr>
                <w:rFonts w:ascii="Calibri" w:hAnsi="Calibri"/>
                <w:sz w:val="16"/>
                <w:szCs w:val="16"/>
              </w:rPr>
            </w:pPr>
            <w:r w:rsidRPr="00832815">
              <w:rPr>
                <w:rFonts w:ascii="Calibri" w:hAnsi="Calibri"/>
                <w:sz w:val="16"/>
                <w:szCs w:val="16"/>
              </w:rPr>
              <w:lastRenderedPageBreak/>
              <w:t>Nie</w:t>
            </w:r>
          </w:p>
        </w:tc>
        <w:tc>
          <w:tcPr>
            <w:tcW w:w="3825" w:type="dxa"/>
            <w:gridSpan w:val="2"/>
            <w:tcBorders>
              <w:top w:val="single" w:sz="12" w:space="0" w:color="auto"/>
              <w:left w:val="single" w:sz="2" w:space="0" w:color="auto"/>
              <w:right w:val="single" w:sz="2" w:space="0" w:color="auto"/>
            </w:tcBorders>
          </w:tcPr>
          <w:p w:rsidR="00832815" w:rsidRPr="005634F2" w:rsidRDefault="00832815" w:rsidP="005634F2">
            <w:pPr>
              <w:rPr>
                <w:rFonts w:ascii="Calibri" w:hAnsi="Calibri"/>
                <w:sz w:val="16"/>
                <w:szCs w:val="16"/>
              </w:rPr>
            </w:pPr>
            <w:r w:rsidRPr="005634F2">
              <w:rPr>
                <w:rFonts w:ascii="Calibri" w:hAnsi="Calibri"/>
                <w:sz w:val="16"/>
                <w:szCs w:val="16"/>
              </w:rPr>
              <w:t xml:space="preserve">Vodný zákon: § 78a č. 364/2004 Z. z. o vodách a o zmene zákona Slovenskej národnej rady č. 372/1990 Zb. o priestupkoch v znení neskorších predpisov (vodný zákon) v znení neskorších predpisov </w:t>
            </w:r>
          </w:p>
          <w:p w:rsidR="00832815" w:rsidRPr="00832815" w:rsidRDefault="00832815" w:rsidP="005634F2">
            <w:pPr>
              <w:rPr>
                <w:rFonts w:asciiTheme="majorHAnsi" w:hAnsiTheme="majorHAnsi"/>
                <w:sz w:val="16"/>
                <w:szCs w:val="16"/>
              </w:rPr>
            </w:pPr>
            <w:r w:rsidRPr="00832815">
              <w:rPr>
                <w:rFonts w:asciiTheme="majorHAnsi" w:hAnsiTheme="majorHAnsi"/>
                <w:sz w:val="16"/>
                <w:szCs w:val="16"/>
                <w:u w:val="single"/>
              </w:rPr>
              <w:t>http://jaspi.justice.gov.sk</w:t>
            </w:r>
          </w:p>
          <w:p w:rsidR="00832815" w:rsidRPr="00832815" w:rsidRDefault="00832815" w:rsidP="005634F2">
            <w:pPr>
              <w:rPr>
                <w:rFonts w:asciiTheme="majorHAnsi" w:hAnsiTheme="majorHAnsi"/>
                <w:sz w:val="16"/>
                <w:szCs w:val="16"/>
              </w:rPr>
            </w:pP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Nariadenia vlády SR č. 755/2004 Z.</w:t>
            </w:r>
            <w:r w:rsidR="00FA04A3">
              <w:rPr>
                <w:rFonts w:asciiTheme="majorHAnsi" w:hAnsiTheme="majorHAnsi"/>
                <w:sz w:val="16"/>
                <w:szCs w:val="16"/>
              </w:rPr>
              <w:t xml:space="preserve"> </w:t>
            </w:r>
            <w:r w:rsidRPr="00832815">
              <w:rPr>
                <w:rFonts w:asciiTheme="majorHAnsi" w:hAnsiTheme="majorHAnsi"/>
                <w:sz w:val="16"/>
                <w:szCs w:val="16"/>
              </w:rPr>
              <w:t xml:space="preserve">z., ktorým sa ustanovuje výška neregulovaných platieb, výška poplatkov a podrobnosti súvisiace so spoplatňovaním užívania vôd , v znení nariadenia vlády </w:t>
            </w:r>
            <w:r w:rsidR="00FA04A3">
              <w:rPr>
                <w:rFonts w:asciiTheme="majorHAnsi" w:hAnsiTheme="majorHAnsi"/>
                <w:sz w:val="16"/>
                <w:szCs w:val="16"/>
              </w:rPr>
              <w:t>SR</w:t>
            </w:r>
            <w:r w:rsidRPr="00832815">
              <w:rPr>
                <w:rFonts w:asciiTheme="majorHAnsi" w:hAnsiTheme="majorHAnsi"/>
                <w:sz w:val="16"/>
                <w:szCs w:val="16"/>
              </w:rPr>
              <w:t xml:space="preserve"> č. 367/2008 Z. z., ktorým sa mení a dopĺňa nariadenie vlády Slovenskej republiky č. 755/2004 Z. z., ktorým sa </w:t>
            </w:r>
            <w:r w:rsidRPr="00832815">
              <w:rPr>
                <w:rFonts w:asciiTheme="majorHAnsi" w:hAnsiTheme="majorHAnsi"/>
                <w:sz w:val="16"/>
                <w:szCs w:val="16"/>
              </w:rPr>
              <w:lastRenderedPageBreak/>
              <w:t>ustanovuje výška neregulovaných platieb, výška poplatkov a podrobnosti súvisiace so spoplatňovaním užívania vôd</w:t>
            </w:r>
          </w:p>
          <w:p w:rsidR="00832815" w:rsidRPr="005634F2" w:rsidRDefault="00832815" w:rsidP="005634F2">
            <w:pPr>
              <w:rPr>
                <w:rFonts w:asciiTheme="majorHAnsi" w:hAnsiTheme="majorHAnsi"/>
                <w:sz w:val="16"/>
                <w:szCs w:val="16"/>
              </w:rPr>
            </w:pPr>
            <w:r w:rsidRPr="005634F2">
              <w:rPr>
                <w:rFonts w:asciiTheme="majorHAnsi" w:hAnsiTheme="majorHAnsi"/>
                <w:sz w:val="16"/>
                <w:szCs w:val="16"/>
                <w:u w:val="single"/>
              </w:rPr>
              <w:t>http://jaspi.justice.gov.sk</w:t>
            </w:r>
          </w:p>
          <w:p w:rsidR="00832815" w:rsidRPr="005634F2" w:rsidRDefault="00832815" w:rsidP="005634F2">
            <w:pPr>
              <w:rPr>
                <w:rFonts w:asciiTheme="majorHAnsi" w:hAnsiTheme="majorHAnsi"/>
                <w:sz w:val="16"/>
                <w:szCs w:val="16"/>
              </w:rPr>
            </w:pPr>
            <w:r w:rsidRPr="005634F2">
              <w:rPr>
                <w:rFonts w:asciiTheme="majorHAnsi" w:hAnsiTheme="majorHAnsi"/>
                <w:sz w:val="16"/>
                <w:szCs w:val="16"/>
              </w:rPr>
              <w:t>Cen</w:t>
            </w:r>
            <w:r w:rsidR="00A729C2" w:rsidRPr="005634F2">
              <w:rPr>
                <w:rFonts w:asciiTheme="majorHAnsi" w:hAnsiTheme="majorHAnsi"/>
                <w:sz w:val="16"/>
                <w:szCs w:val="16"/>
              </w:rPr>
              <w:t xml:space="preserve">ová politika v oblasti vodného </w:t>
            </w:r>
            <w:r w:rsidRPr="005634F2">
              <w:rPr>
                <w:rFonts w:asciiTheme="majorHAnsi" w:hAnsiTheme="majorHAnsi"/>
                <w:sz w:val="16"/>
                <w:szCs w:val="16"/>
              </w:rPr>
              <w:t>hospodárstva schválená uznesením vlády</w:t>
            </w:r>
            <w:r w:rsidR="00A729C2" w:rsidRPr="005634F2">
              <w:rPr>
                <w:rFonts w:asciiTheme="majorHAnsi" w:hAnsiTheme="majorHAnsi"/>
                <w:sz w:val="16"/>
                <w:szCs w:val="16"/>
              </w:rPr>
              <w:t xml:space="preserve"> SR</w:t>
            </w:r>
            <w:r w:rsidRPr="005634F2">
              <w:rPr>
                <w:rFonts w:asciiTheme="majorHAnsi" w:hAnsiTheme="majorHAnsi"/>
                <w:sz w:val="16"/>
                <w:szCs w:val="16"/>
              </w:rPr>
              <w:t xml:space="preserve"> č. 17 zo dňa 12. </w:t>
            </w:r>
            <w:r w:rsidR="00E61814" w:rsidRPr="005634F2">
              <w:rPr>
                <w:rFonts w:asciiTheme="majorHAnsi" w:hAnsiTheme="majorHAnsi"/>
                <w:sz w:val="16"/>
                <w:szCs w:val="16"/>
              </w:rPr>
              <w:t>1.</w:t>
            </w:r>
            <w:r w:rsidRPr="005634F2">
              <w:rPr>
                <w:rFonts w:asciiTheme="majorHAnsi" w:hAnsiTheme="majorHAnsi"/>
                <w:sz w:val="16"/>
                <w:szCs w:val="16"/>
              </w:rPr>
              <w:t xml:space="preserve"> 2011 </w:t>
            </w:r>
            <w:hyperlink r:id="rId191" w:anchor="38;attEID=29620&amp;" w:history="1">
              <w:r w:rsidRPr="005634F2">
                <w:rPr>
                  <w:rFonts w:asciiTheme="majorHAnsi" w:hAnsiTheme="majorHAnsi"/>
                  <w:sz w:val="16"/>
                  <w:szCs w:val="16"/>
                </w:rPr>
                <w:t>https://lt.justice.gov.sk/Attachment/vlastn%C3%BD%20materi%C3%A1l_doc.pdf?instEID=-1&amp;attEID=29620&amp;docEID=144483&amp;matEID=3384&amp;langEID=1&amp;tStamp=20101129113946687</w:t>
              </w:r>
            </w:hyperlink>
          </w:p>
          <w:p w:rsidR="00832815" w:rsidRPr="005634F2" w:rsidRDefault="00832815" w:rsidP="005634F2">
            <w:pPr>
              <w:rPr>
                <w:rFonts w:asciiTheme="majorHAnsi" w:hAnsiTheme="majorHAnsi"/>
                <w:sz w:val="16"/>
                <w:szCs w:val="16"/>
                <w:u w:val="single"/>
              </w:rPr>
            </w:pPr>
          </w:p>
          <w:p w:rsidR="005634F2" w:rsidRDefault="005634F2" w:rsidP="005634F2">
            <w:pPr>
              <w:rPr>
                <w:rFonts w:asciiTheme="majorHAnsi" w:hAnsiTheme="majorHAnsi"/>
                <w:sz w:val="16"/>
                <w:szCs w:val="16"/>
              </w:rPr>
            </w:pPr>
          </w:p>
          <w:p w:rsidR="00832815" w:rsidRPr="005634F2" w:rsidRDefault="00832815" w:rsidP="005634F2">
            <w:pPr>
              <w:rPr>
                <w:rFonts w:asciiTheme="majorHAnsi" w:hAnsiTheme="majorHAnsi"/>
                <w:sz w:val="16"/>
                <w:szCs w:val="16"/>
              </w:rPr>
            </w:pPr>
            <w:r w:rsidRPr="005634F2">
              <w:rPr>
                <w:rFonts w:asciiTheme="majorHAnsi" w:hAnsiTheme="majorHAnsi"/>
                <w:sz w:val="16"/>
                <w:szCs w:val="16"/>
              </w:rPr>
              <w:t xml:space="preserve">Regulačná politika na regulačné obdobie 2012 - 2016 </w:t>
            </w:r>
            <w:hyperlink r:id="rId192" w:history="1">
              <w:r w:rsidRPr="005634F2">
                <w:rPr>
                  <w:rFonts w:asciiTheme="majorHAnsi" w:hAnsiTheme="majorHAnsi"/>
                  <w:sz w:val="16"/>
                  <w:szCs w:val="16"/>
                </w:rPr>
                <w:t>www.urso.gov.sk/doc/urad/RegulacnaPolitika_2012-2016.pdf</w:t>
              </w:r>
            </w:hyperlink>
            <w:r w:rsidRPr="005634F2">
              <w:rPr>
                <w:rFonts w:asciiTheme="majorHAnsi" w:hAnsiTheme="majorHAnsi"/>
                <w:sz w:val="16"/>
                <w:szCs w:val="16"/>
              </w:rPr>
              <w:t xml:space="preserve"> </w:t>
            </w:r>
          </w:p>
          <w:p w:rsidR="00832815" w:rsidRPr="005634F2" w:rsidRDefault="00832815" w:rsidP="005634F2">
            <w:pPr>
              <w:rPr>
                <w:rFonts w:asciiTheme="majorHAnsi" w:hAnsiTheme="majorHAnsi"/>
                <w:sz w:val="16"/>
                <w:szCs w:val="16"/>
              </w:rPr>
            </w:pPr>
          </w:p>
          <w:p w:rsidR="005634F2" w:rsidRDefault="005634F2" w:rsidP="005634F2">
            <w:pPr>
              <w:rPr>
                <w:rFonts w:asciiTheme="majorHAnsi" w:hAnsiTheme="majorHAnsi"/>
                <w:sz w:val="16"/>
                <w:szCs w:val="16"/>
              </w:rPr>
            </w:pPr>
          </w:p>
          <w:p w:rsidR="005634F2" w:rsidRDefault="005634F2" w:rsidP="005634F2">
            <w:pPr>
              <w:rPr>
                <w:rFonts w:asciiTheme="majorHAnsi" w:hAnsiTheme="majorHAnsi"/>
                <w:sz w:val="16"/>
                <w:szCs w:val="16"/>
              </w:rPr>
            </w:pPr>
          </w:p>
          <w:p w:rsidR="005634F2" w:rsidRDefault="005634F2" w:rsidP="005634F2">
            <w:pPr>
              <w:rPr>
                <w:rFonts w:asciiTheme="majorHAnsi" w:hAnsiTheme="majorHAnsi"/>
                <w:sz w:val="16"/>
                <w:szCs w:val="16"/>
              </w:rPr>
            </w:pPr>
          </w:p>
          <w:p w:rsidR="005634F2" w:rsidRDefault="005634F2" w:rsidP="005634F2">
            <w:pPr>
              <w:rPr>
                <w:rFonts w:asciiTheme="majorHAnsi" w:hAnsiTheme="majorHAnsi"/>
                <w:sz w:val="16"/>
                <w:szCs w:val="16"/>
              </w:rPr>
            </w:pPr>
          </w:p>
          <w:p w:rsidR="00832815" w:rsidRPr="005634F2" w:rsidRDefault="00832815" w:rsidP="005634F2">
            <w:pPr>
              <w:rPr>
                <w:rFonts w:asciiTheme="majorHAnsi" w:hAnsiTheme="majorHAnsi"/>
                <w:sz w:val="16"/>
                <w:szCs w:val="16"/>
              </w:rPr>
            </w:pPr>
            <w:r w:rsidRPr="005634F2">
              <w:rPr>
                <w:rFonts w:asciiTheme="majorHAnsi" w:hAnsiTheme="majorHAnsi"/>
                <w:sz w:val="16"/>
                <w:szCs w:val="16"/>
              </w:rPr>
              <w:t xml:space="preserve">Vodný plán Slovenska, kap. 7,  </w:t>
            </w:r>
            <w:hyperlink r:id="rId193" w:anchor="38;view=article&amp;" w:history="1">
              <w:r w:rsidRPr="005634F2">
                <w:rPr>
                  <w:rFonts w:asciiTheme="majorHAnsi" w:hAnsiTheme="majorHAnsi"/>
                  <w:sz w:val="16"/>
                  <w:szCs w:val="16"/>
                </w:rPr>
                <w:t>http://www.vuvh.sk/rsv2/index.php?option=com_content&amp;view=article&amp;id=67&amp;Itemid=87&amp;lang=sk</w:t>
              </w:r>
            </w:hyperlink>
            <w:r w:rsidRPr="005634F2">
              <w:rPr>
                <w:rFonts w:asciiTheme="majorHAnsi" w:hAnsiTheme="majorHAnsi"/>
                <w:sz w:val="16"/>
                <w:szCs w:val="16"/>
              </w:rPr>
              <w:t xml:space="preserve">            </w:t>
            </w:r>
          </w:p>
          <w:p w:rsidR="00832815" w:rsidRPr="005634F2" w:rsidRDefault="00832815" w:rsidP="005634F2">
            <w:pPr>
              <w:rPr>
                <w:rFonts w:asciiTheme="majorHAnsi" w:hAnsiTheme="majorHAnsi"/>
                <w:sz w:val="16"/>
                <w:szCs w:val="16"/>
              </w:rPr>
            </w:pPr>
          </w:p>
          <w:p w:rsidR="005634F2" w:rsidRDefault="005634F2" w:rsidP="005634F2">
            <w:pPr>
              <w:rPr>
                <w:rFonts w:asciiTheme="majorHAnsi" w:hAnsiTheme="majorHAnsi"/>
                <w:sz w:val="16"/>
                <w:szCs w:val="16"/>
              </w:rPr>
            </w:pPr>
          </w:p>
          <w:p w:rsidR="00832815" w:rsidRPr="005634F2" w:rsidRDefault="00832815" w:rsidP="005634F2">
            <w:pPr>
              <w:rPr>
                <w:rFonts w:asciiTheme="majorHAnsi" w:hAnsiTheme="majorHAnsi"/>
                <w:sz w:val="16"/>
                <w:szCs w:val="16"/>
              </w:rPr>
            </w:pPr>
            <w:r w:rsidRPr="005634F2">
              <w:rPr>
                <w:rFonts w:asciiTheme="majorHAnsi" w:hAnsiTheme="majorHAnsi"/>
                <w:sz w:val="16"/>
                <w:szCs w:val="16"/>
              </w:rPr>
              <w:t xml:space="preserve">Analýza pokroku dosiahnutého pri zavádzaní Programu opatrení obsiahnutom vo Vodnom pláne Slovenska, kap.5 „Cenová politika za vodohospodárske služby“ </w:t>
            </w:r>
          </w:p>
          <w:p w:rsidR="00832815" w:rsidRPr="00E61814" w:rsidRDefault="00ED6BC8" w:rsidP="005634F2">
            <w:pPr>
              <w:spacing w:before="0"/>
              <w:rPr>
                <w:rFonts w:ascii="Calibri" w:hAnsi="Calibri"/>
                <w:sz w:val="16"/>
                <w:szCs w:val="16"/>
              </w:rPr>
            </w:pPr>
            <w:hyperlink r:id="rId194" w:anchor="38;view=article&amp;" w:history="1">
              <w:r w:rsidR="00832815" w:rsidRPr="005634F2">
                <w:rPr>
                  <w:rFonts w:asciiTheme="majorHAnsi" w:hAnsiTheme="majorHAnsi"/>
                  <w:sz w:val="16"/>
                  <w:szCs w:val="16"/>
                </w:rPr>
                <w:t>http://www.vuvh.sk/rsv2/index.php?option=com_content&amp;view=article&amp;id=51&amp;Itemid=58&amp;lang=sk</w:t>
              </w:r>
            </w:hyperlink>
            <w:r w:rsidR="00832815" w:rsidRPr="005634F2">
              <w:rPr>
                <w:rFonts w:asciiTheme="majorHAnsi" w:hAnsiTheme="majorHAnsi"/>
                <w:sz w:val="16"/>
                <w:szCs w:val="16"/>
              </w:rPr>
              <w:t xml:space="preserve">  </w:t>
            </w:r>
          </w:p>
        </w:tc>
        <w:tc>
          <w:tcPr>
            <w:tcW w:w="3974" w:type="dxa"/>
            <w:gridSpan w:val="2"/>
            <w:tcBorders>
              <w:top w:val="single" w:sz="12" w:space="0" w:color="auto"/>
              <w:left w:val="single" w:sz="2" w:space="0" w:color="auto"/>
              <w:right w:val="single" w:sz="12" w:space="0" w:color="auto"/>
            </w:tcBorders>
          </w:tcPr>
          <w:p w:rsidR="00832815" w:rsidRPr="00832815" w:rsidRDefault="00832815" w:rsidP="005634F2">
            <w:pPr>
              <w:rPr>
                <w:rFonts w:asciiTheme="majorHAnsi" w:hAnsiTheme="majorHAnsi"/>
                <w:sz w:val="16"/>
                <w:szCs w:val="16"/>
              </w:rPr>
            </w:pPr>
            <w:r w:rsidRPr="00832815">
              <w:rPr>
                <w:rFonts w:asciiTheme="majorHAnsi" w:hAnsiTheme="majorHAnsi"/>
                <w:sz w:val="16"/>
                <w:szCs w:val="16"/>
              </w:rPr>
              <w:lastRenderedPageBreak/>
              <w:t>Súvisí s ex ante kondicionalitou č. 6.1 v zmysle nariadenia</w:t>
            </w:r>
            <w:r w:rsidR="00A729C2">
              <w:rPr>
                <w:rFonts w:asciiTheme="majorHAnsi" w:hAnsiTheme="majorHAnsi"/>
                <w:sz w:val="16"/>
                <w:szCs w:val="16"/>
              </w:rPr>
              <w:t xml:space="preserve"> EP a Rady</w:t>
            </w:r>
            <w:r w:rsidRPr="00832815">
              <w:rPr>
                <w:rFonts w:asciiTheme="majorHAnsi" w:hAnsiTheme="majorHAnsi"/>
                <w:sz w:val="16"/>
                <w:szCs w:val="16"/>
              </w:rPr>
              <w:t xml:space="preserve"> (EÚ)</w:t>
            </w:r>
            <w:r w:rsidR="00A729C2">
              <w:rPr>
                <w:rFonts w:asciiTheme="majorHAnsi" w:hAnsiTheme="majorHAnsi"/>
                <w:sz w:val="16"/>
                <w:szCs w:val="16"/>
              </w:rPr>
              <w:t xml:space="preserve"> č.</w:t>
            </w:r>
            <w:r w:rsidRPr="00832815">
              <w:rPr>
                <w:rFonts w:asciiTheme="majorHAnsi" w:hAnsiTheme="majorHAnsi"/>
                <w:sz w:val="16"/>
                <w:szCs w:val="16"/>
              </w:rPr>
              <w:t xml:space="preserve"> 1303/2013. </w:t>
            </w: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Princíp refundácie nákladov za všetky vodohospodárske služby je splnený s výnimkou primeraného príspevku  za službu spojenú s odberom vody na závlahy, ktorý je v štádiu legislatívne</w:t>
            </w:r>
            <w:r w:rsidR="00FA04A3">
              <w:rPr>
                <w:rFonts w:asciiTheme="majorHAnsi" w:hAnsiTheme="majorHAnsi"/>
                <w:sz w:val="16"/>
                <w:szCs w:val="16"/>
              </w:rPr>
              <w:t>ho návrhu novely vodného zákona</w:t>
            </w:r>
            <w:r w:rsidRPr="00832815">
              <w:rPr>
                <w:rFonts w:asciiTheme="majorHAnsi" w:hAnsiTheme="majorHAnsi"/>
                <w:sz w:val="16"/>
                <w:szCs w:val="16"/>
              </w:rPr>
              <w:t xml:space="preserve">, následne novela Nariadenia vlády SR č. 755/2004 Z. z., ktorým sa ustanovuje výška neregulovaných platieb, výška poplatkov a podrobnosti súvisiace so spoplatňovaním užívania vôd. </w:t>
            </w: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 xml:space="preserve">Predmetný návrh novely vodného zákona </w:t>
            </w:r>
            <w:r w:rsidR="00E61814">
              <w:rPr>
                <w:rFonts w:asciiTheme="majorHAnsi" w:hAnsiTheme="majorHAnsi"/>
                <w:sz w:val="16"/>
                <w:szCs w:val="16"/>
              </w:rPr>
              <w:t>musí prejsť celým legislatívnym</w:t>
            </w:r>
            <w:r w:rsidRPr="00832815">
              <w:rPr>
                <w:rFonts w:asciiTheme="majorHAnsi" w:hAnsiTheme="majorHAnsi"/>
                <w:sz w:val="16"/>
                <w:szCs w:val="16"/>
              </w:rPr>
              <w:t xml:space="preserve"> procesom (opätovné prerokovanie vo vláde SR a následne vo výboroch NR SR a samotnej </w:t>
            </w:r>
            <w:r w:rsidRPr="00832815">
              <w:rPr>
                <w:rFonts w:asciiTheme="majorHAnsi" w:hAnsiTheme="majorHAnsi"/>
                <w:sz w:val="16"/>
                <w:szCs w:val="16"/>
              </w:rPr>
              <w:lastRenderedPageBreak/>
              <w:t xml:space="preserve">Národnej rade SR). </w:t>
            </w:r>
          </w:p>
          <w:p w:rsidR="00832815" w:rsidRPr="00832815" w:rsidRDefault="00832815" w:rsidP="005634F2">
            <w:pPr>
              <w:rPr>
                <w:rFonts w:asciiTheme="majorHAnsi" w:hAnsiTheme="majorHAnsi"/>
                <w:sz w:val="16"/>
                <w:szCs w:val="16"/>
              </w:rPr>
            </w:pP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 xml:space="preserve">Novela vodného zákona má pozitívny vplyv na </w:t>
            </w:r>
            <w:r w:rsidRPr="00832815">
              <w:rPr>
                <w:rFonts w:asciiTheme="majorHAnsi" w:hAnsiTheme="majorHAnsi"/>
                <w:sz w:val="16"/>
                <w:szCs w:val="16"/>
                <w:u w:val="single"/>
              </w:rPr>
              <w:t>všestrannú ochranu vôd, s dôrazom na podzemné vody</w:t>
            </w:r>
            <w:r w:rsidRPr="00832815">
              <w:rPr>
                <w:rFonts w:asciiTheme="majorHAnsi" w:hAnsiTheme="majorHAnsi"/>
                <w:sz w:val="16"/>
                <w:szCs w:val="16"/>
              </w:rPr>
              <w:t xml:space="preserve"> v chránených vodohospodárskych oblastiach, má zabezpečiť zvýšenú ochranu vodných zdrojov situovaných na území Slovenskej republiky a stanovenie postupov pri využívaní vody s ohľadom na jej strategický význam pre štát </w:t>
            </w:r>
            <w:r w:rsidR="00E61814">
              <w:rPr>
                <w:rFonts w:asciiTheme="majorHAnsi" w:hAnsiTheme="majorHAnsi"/>
                <w:sz w:val="16"/>
                <w:szCs w:val="16"/>
              </w:rPr>
              <w:br/>
            </w:r>
            <w:r w:rsidRPr="00832815">
              <w:rPr>
                <w:rFonts w:asciiTheme="majorHAnsi" w:hAnsiTheme="majorHAnsi"/>
                <w:sz w:val="16"/>
                <w:szCs w:val="16"/>
              </w:rPr>
              <w:t>a verejný záujem.</w:t>
            </w: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V SR  za  cenovú reguláciu zodpovedá Úrad pre reguláciu sieťových odvetví  (URSO).</w:t>
            </w:r>
          </w:p>
          <w:p w:rsidR="00832815" w:rsidRPr="00832815" w:rsidRDefault="00832815" w:rsidP="005634F2">
            <w:pPr>
              <w:rPr>
                <w:rFonts w:asciiTheme="majorHAnsi" w:hAnsiTheme="majorHAnsi"/>
                <w:sz w:val="16"/>
                <w:szCs w:val="16"/>
              </w:rPr>
            </w:pP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Súčasná cenová regulácia v oblasti vodárenstva sa vykonáva v súlade s platnou legislatívou (zákon č. 250/2012 Z.</w:t>
            </w:r>
            <w:r w:rsidR="00A729C2">
              <w:rPr>
                <w:rFonts w:asciiTheme="majorHAnsi" w:hAnsiTheme="majorHAnsi"/>
                <w:sz w:val="16"/>
                <w:szCs w:val="16"/>
              </w:rPr>
              <w:t xml:space="preserve"> </w:t>
            </w:r>
            <w:r w:rsidRPr="00832815">
              <w:rPr>
                <w:rFonts w:asciiTheme="majorHAnsi" w:hAnsiTheme="majorHAnsi"/>
                <w:sz w:val="16"/>
                <w:szCs w:val="16"/>
              </w:rPr>
              <w:t xml:space="preserve">z. o regulácii v sieťových odvetviach </w:t>
            </w:r>
            <w:r w:rsidR="00E61814">
              <w:rPr>
                <w:rFonts w:asciiTheme="majorHAnsi" w:hAnsiTheme="majorHAnsi"/>
                <w:sz w:val="16"/>
                <w:szCs w:val="16"/>
              </w:rPr>
              <w:br/>
            </w:r>
            <w:r w:rsidRPr="00832815">
              <w:rPr>
                <w:rFonts w:asciiTheme="majorHAnsi" w:hAnsiTheme="majorHAnsi"/>
                <w:sz w:val="16"/>
                <w:szCs w:val="16"/>
              </w:rPr>
              <w:t>a vyhláška č. 195/2013 Z.</w:t>
            </w:r>
            <w:r w:rsidR="00A729C2">
              <w:rPr>
                <w:rFonts w:asciiTheme="majorHAnsi" w:hAnsiTheme="majorHAnsi"/>
                <w:sz w:val="16"/>
                <w:szCs w:val="16"/>
              </w:rPr>
              <w:t xml:space="preserve"> </w:t>
            </w:r>
            <w:r w:rsidRPr="00832815">
              <w:rPr>
                <w:rFonts w:asciiTheme="majorHAnsi" w:hAnsiTheme="majorHAnsi"/>
                <w:sz w:val="16"/>
                <w:szCs w:val="16"/>
              </w:rPr>
              <w:t xml:space="preserve">z.) Pri stanovení cien sa zohľadňujú oprávnené náklady a primeraný zisk, nové investície a ich využívanie na výrobu a dodávku pitnej vody verejným vodovodom a na odvádzanie a čistenie odpadovej vody verejnou kanalizáciou, vrátane sociálnej únosnosti, ktorá je jednou z priorít samotnej regulácie. </w:t>
            </w:r>
          </w:p>
          <w:p w:rsidR="00832815" w:rsidRPr="00832815" w:rsidRDefault="00832815" w:rsidP="005634F2">
            <w:pPr>
              <w:rPr>
                <w:rFonts w:asciiTheme="majorHAnsi" w:hAnsiTheme="majorHAnsi"/>
                <w:sz w:val="16"/>
                <w:szCs w:val="16"/>
              </w:rPr>
            </w:pP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Jedným z cieľov schválenej Regulačnej politiky v oblasti vodárenstva na roky 2012-2016 je vytvoriť legislatívne prostredie pre uplatnenie dvojzložkovej ceny (fixn</w:t>
            </w:r>
            <w:r w:rsidR="00E61814">
              <w:rPr>
                <w:rFonts w:asciiTheme="majorHAnsi" w:hAnsiTheme="majorHAnsi"/>
                <w:sz w:val="16"/>
                <w:szCs w:val="16"/>
              </w:rPr>
              <w:t xml:space="preserve">ej a variabilnej zložky), a to </w:t>
            </w:r>
            <w:r w:rsidRPr="00832815">
              <w:rPr>
                <w:rFonts w:asciiTheme="majorHAnsi" w:hAnsiTheme="majorHAnsi"/>
                <w:sz w:val="16"/>
                <w:szCs w:val="16"/>
              </w:rPr>
              <w:t xml:space="preserve">na základe dôslednej a objektívnej analýzy opodstatnenosti jej uplatnenia pri zohľadnení sociálno-ekonomických dopadov, ktorým úrad </w:t>
            </w:r>
            <w:r w:rsidR="00E61814">
              <w:rPr>
                <w:rFonts w:asciiTheme="majorHAnsi" w:hAnsiTheme="majorHAnsi"/>
                <w:sz w:val="16"/>
                <w:szCs w:val="16"/>
              </w:rPr>
              <w:br/>
            </w:r>
            <w:r w:rsidRPr="00832815">
              <w:rPr>
                <w:rFonts w:asciiTheme="majorHAnsi" w:hAnsiTheme="majorHAnsi"/>
                <w:sz w:val="16"/>
                <w:szCs w:val="16"/>
              </w:rPr>
              <w:t>v sú</w:t>
            </w:r>
            <w:r w:rsidR="00E61814">
              <w:rPr>
                <w:rFonts w:asciiTheme="majorHAnsi" w:hAnsiTheme="majorHAnsi"/>
                <w:sz w:val="16"/>
                <w:szCs w:val="16"/>
              </w:rPr>
              <w:t>časnom období venuje pozornosť.</w:t>
            </w:r>
          </w:p>
          <w:p w:rsidR="00832815" w:rsidRPr="00832815" w:rsidRDefault="00832815" w:rsidP="005634F2">
            <w:pPr>
              <w:rPr>
                <w:rFonts w:asciiTheme="majorHAnsi" w:hAnsiTheme="majorHAnsi"/>
                <w:sz w:val="16"/>
                <w:szCs w:val="16"/>
              </w:rPr>
            </w:pPr>
            <w:r w:rsidRPr="00832815">
              <w:rPr>
                <w:rFonts w:asciiTheme="majorHAnsi" w:hAnsiTheme="majorHAnsi"/>
                <w:sz w:val="16"/>
                <w:szCs w:val="16"/>
              </w:rPr>
              <w:t xml:space="preserve">V SR sú v cenách kalkulované všetky oprávnené náklady, ktoré súvisia s tou ktorou vodohospodárskou službou (vrátane nákladov súvisiacich s opravou, údržbou </w:t>
            </w:r>
            <w:r w:rsidR="00E61814">
              <w:rPr>
                <w:rFonts w:asciiTheme="majorHAnsi" w:hAnsiTheme="majorHAnsi"/>
                <w:sz w:val="16"/>
                <w:szCs w:val="16"/>
              </w:rPr>
              <w:br/>
            </w:r>
            <w:r w:rsidRPr="00832815">
              <w:rPr>
                <w:rFonts w:asciiTheme="majorHAnsi" w:hAnsiTheme="majorHAnsi"/>
                <w:sz w:val="16"/>
                <w:szCs w:val="16"/>
              </w:rPr>
              <w:t>a obno</w:t>
            </w:r>
            <w:r w:rsidR="00E61814">
              <w:rPr>
                <w:rFonts w:asciiTheme="majorHAnsi" w:hAnsiTheme="majorHAnsi"/>
                <w:sz w:val="16"/>
                <w:szCs w:val="16"/>
              </w:rPr>
              <w:t xml:space="preserve">vou majetku). V cenách vodného </w:t>
            </w:r>
            <w:r w:rsidRPr="00832815">
              <w:rPr>
                <w:rFonts w:asciiTheme="majorHAnsi" w:hAnsiTheme="majorHAnsi"/>
                <w:sz w:val="16"/>
                <w:szCs w:val="16"/>
              </w:rPr>
              <w:t xml:space="preserve">a stočného za dodávku </w:t>
            </w:r>
            <w:r w:rsidR="00E61814">
              <w:rPr>
                <w:rFonts w:asciiTheme="majorHAnsi" w:hAnsiTheme="majorHAnsi"/>
                <w:sz w:val="16"/>
                <w:szCs w:val="16"/>
              </w:rPr>
              <w:t xml:space="preserve">pitnej vody verejným vodovodom </w:t>
            </w:r>
            <w:r w:rsidRPr="00832815">
              <w:rPr>
                <w:rFonts w:asciiTheme="majorHAnsi" w:hAnsiTheme="majorHAnsi"/>
                <w:sz w:val="16"/>
                <w:szCs w:val="16"/>
              </w:rPr>
              <w:t xml:space="preserve">a za </w:t>
            </w:r>
            <w:r w:rsidRPr="00832815">
              <w:rPr>
                <w:rFonts w:asciiTheme="majorHAnsi" w:hAnsiTheme="majorHAnsi"/>
                <w:sz w:val="16"/>
                <w:szCs w:val="16"/>
              </w:rPr>
              <w:lastRenderedPageBreak/>
              <w:t xml:space="preserve">odvedenie a čistenie odpadových vôd verejnou kanalizáciou boli odstránené všetky krížové dotácie cca do roku 2007 (t. j. boli odstránené medzi pitnou </w:t>
            </w:r>
            <w:r w:rsidR="00E61814">
              <w:rPr>
                <w:rFonts w:asciiTheme="majorHAnsi" w:hAnsiTheme="majorHAnsi"/>
                <w:sz w:val="16"/>
                <w:szCs w:val="16"/>
              </w:rPr>
              <w:br/>
            </w:r>
            <w:r w:rsidRPr="00832815">
              <w:rPr>
                <w:rFonts w:asciiTheme="majorHAnsi" w:hAnsiTheme="majorHAnsi"/>
                <w:sz w:val="16"/>
                <w:szCs w:val="16"/>
              </w:rPr>
              <w:t xml:space="preserve">a odpadovou vodou, resp. aj medzi obyvateľstvom </w:t>
            </w:r>
            <w:r w:rsidR="00E61814">
              <w:rPr>
                <w:rFonts w:asciiTheme="majorHAnsi" w:hAnsiTheme="majorHAnsi"/>
                <w:sz w:val="16"/>
                <w:szCs w:val="16"/>
              </w:rPr>
              <w:br/>
            </w:r>
            <w:r w:rsidRPr="00832815">
              <w:rPr>
                <w:rFonts w:asciiTheme="majorHAnsi" w:hAnsiTheme="majorHAnsi"/>
                <w:sz w:val="16"/>
                <w:szCs w:val="16"/>
              </w:rPr>
              <w:t>a priemyslom).</w:t>
            </w:r>
          </w:p>
          <w:p w:rsidR="00832815" w:rsidRPr="00832815" w:rsidRDefault="00832815" w:rsidP="005634F2">
            <w:pPr>
              <w:spacing w:before="0"/>
              <w:rPr>
                <w:rFonts w:ascii="Calibri" w:hAnsi="Calibri"/>
                <w:sz w:val="16"/>
                <w:szCs w:val="16"/>
              </w:rPr>
            </w:pPr>
            <w:r w:rsidRPr="00832815">
              <w:rPr>
                <w:rFonts w:asciiTheme="majorHAnsi" w:hAnsiTheme="majorHAnsi"/>
                <w:sz w:val="16"/>
                <w:szCs w:val="16"/>
              </w:rPr>
              <w:t>Čo sa týka bodových a difúznych zdrojov; bodové zdroje znečistenia sú už v súčasnosti riešené cez poplatky za vypúšťanie vyčistených odpadových vôd. Analyzujú sa možnosti pokrytia nákladov na difúzne zdroje znečistenia zo sektora poľnohospodárstva, ktoré sa budú koordinovať s prístupmi ostatných členských krajín.</w:t>
            </w:r>
          </w:p>
        </w:tc>
      </w:tr>
      <w:tr w:rsidR="000B311E" w:rsidRPr="004E2D6C" w:rsidTr="00832815">
        <w:trPr>
          <w:trHeight w:val="703"/>
        </w:trPr>
        <w:tc>
          <w:tcPr>
            <w:tcW w:w="1983" w:type="dxa"/>
            <w:gridSpan w:val="2"/>
            <w:tcBorders>
              <w:top w:val="single" w:sz="12" w:space="0" w:color="auto"/>
              <w:left w:val="single" w:sz="12" w:space="0" w:color="auto"/>
            </w:tcBorders>
          </w:tcPr>
          <w:p w:rsidR="000B311E" w:rsidRPr="004E2D6C" w:rsidRDefault="000B311E" w:rsidP="000B311E">
            <w:pPr>
              <w:spacing w:before="0" w:line="276" w:lineRule="auto"/>
              <w:rPr>
                <w:rFonts w:ascii="Calibri" w:hAnsi="Calibri"/>
                <w:sz w:val="16"/>
                <w:szCs w:val="16"/>
              </w:rPr>
            </w:pPr>
            <w:r w:rsidRPr="004E2D6C">
              <w:rPr>
                <w:rFonts w:ascii="Calibri" w:hAnsi="Calibri"/>
                <w:sz w:val="16"/>
                <w:szCs w:val="16"/>
              </w:rPr>
              <w:lastRenderedPageBreak/>
              <w:t>5.3 Energia z obnoviteľných zdrojov: Uskutočnili sa akcie na propagáciu výroby a distribúcie energie z obnoviteľných zdrojov.</w:t>
            </w:r>
          </w:p>
        </w:tc>
        <w:tc>
          <w:tcPr>
            <w:tcW w:w="12476" w:type="dxa"/>
            <w:gridSpan w:val="10"/>
            <w:tcBorders>
              <w:top w:val="single" w:sz="12" w:space="0" w:color="auto"/>
              <w:right w:val="single" w:sz="12" w:space="0" w:color="auto"/>
            </w:tcBorders>
          </w:tcPr>
          <w:p w:rsidR="000B311E" w:rsidRPr="00620D27" w:rsidRDefault="000B311E" w:rsidP="00A729C2">
            <w:pPr>
              <w:pStyle w:val="CM1"/>
              <w:spacing w:before="200" w:after="200"/>
              <w:rPr>
                <w:rFonts w:cs="EUAlbertina"/>
                <w:color w:val="000000"/>
              </w:rPr>
            </w:pPr>
            <w:r>
              <w:rPr>
                <w:rFonts w:ascii="Calibri" w:hAnsi="Calibri"/>
                <w:sz w:val="16"/>
                <w:szCs w:val="16"/>
              </w:rPr>
              <w:t>Pozri vyhod</w:t>
            </w:r>
            <w:r w:rsidR="00A729C2">
              <w:rPr>
                <w:rFonts w:ascii="Calibri" w:hAnsi="Calibri"/>
                <w:sz w:val="16"/>
                <w:szCs w:val="16"/>
              </w:rPr>
              <w:t>notenie</w:t>
            </w:r>
            <w:r>
              <w:rPr>
                <w:rFonts w:ascii="Calibri" w:hAnsi="Calibri"/>
                <w:sz w:val="16"/>
                <w:szCs w:val="16"/>
              </w:rPr>
              <w:t xml:space="preserve"> EAK č. </w:t>
            </w:r>
            <w:r w:rsidRPr="00620D27">
              <w:rPr>
                <w:rFonts w:ascii="Calibri" w:hAnsi="Calibri" w:cs="EUAlbertina"/>
                <w:color w:val="000000"/>
                <w:sz w:val="16"/>
                <w:szCs w:val="16"/>
              </w:rPr>
              <w:t>4.3. Vykonali sa opatrenia na podporu výroby a distribúcie energie z obnoviteľných zdrojov</w:t>
            </w:r>
          </w:p>
        </w:tc>
      </w:tr>
      <w:tr w:rsidR="000B311E" w:rsidRPr="004E2D6C" w:rsidTr="00832815">
        <w:trPr>
          <w:trHeight w:val="703"/>
        </w:trPr>
        <w:tc>
          <w:tcPr>
            <w:tcW w:w="1983" w:type="dxa"/>
            <w:gridSpan w:val="2"/>
            <w:tcBorders>
              <w:top w:val="single" w:sz="12" w:space="0" w:color="auto"/>
              <w:left w:val="single" w:sz="12" w:space="0" w:color="auto"/>
              <w:bottom w:val="single" w:sz="12" w:space="0" w:color="auto"/>
            </w:tcBorders>
          </w:tcPr>
          <w:p w:rsidR="000B311E" w:rsidRPr="004E2D6C" w:rsidRDefault="000B311E" w:rsidP="000B311E">
            <w:pPr>
              <w:spacing w:before="0" w:line="276" w:lineRule="auto"/>
              <w:rPr>
                <w:rFonts w:ascii="Calibri" w:hAnsi="Calibri"/>
                <w:sz w:val="16"/>
                <w:szCs w:val="16"/>
              </w:rPr>
            </w:pPr>
            <w:r w:rsidRPr="004E2D6C">
              <w:rPr>
                <w:rFonts w:ascii="Calibri" w:hAnsi="Calibri"/>
                <w:sz w:val="16"/>
                <w:szCs w:val="16"/>
              </w:rPr>
              <w:t xml:space="preserve">6. Infraštruktúra pre siete budúcej generácie (NGN) Existencia vnútroštátnych alebo regionálnych plánov NGA, ktoré zohľadňujú regionálne činnosti s cieľom dosiahnuť ciele Únie týkajúce sa vysokorýchlostného prístupu na internet, zameriavajúc sa na oblasti, kde trh neposkytuje otvorenú infraštruktúru za dostupnú cenu a kvalitu v súlade s pravidlami Únie v oblasti hospodárskej súťaže a štátnej pomoci, a </w:t>
            </w:r>
            <w:r w:rsidRPr="004E2D6C">
              <w:rPr>
                <w:rFonts w:ascii="Calibri" w:hAnsi="Calibri"/>
                <w:sz w:val="16"/>
                <w:szCs w:val="16"/>
              </w:rPr>
              <w:lastRenderedPageBreak/>
              <w:t>poskytovanie dostupných služieb pre zraniteľné skupiny.</w:t>
            </w:r>
          </w:p>
        </w:tc>
        <w:tc>
          <w:tcPr>
            <w:tcW w:w="12476" w:type="dxa"/>
            <w:gridSpan w:val="10"/>
            <w:tcBorders>
              <w:top w:val="single" w:sz="12" w:space="0" w:color="auto"/>
              <w:bottom w:val="single" w:sz="12" w:space="0" w:color="auto"/>
              <w:right w:val="single" w:sz="12" w:space="0" w:color="auto"/>
            </w:tcBorders>
          </w:tcPr>
          <w:p w:rsidR="000B311E" w:rsidRPr="004E2D6C" w:rsidRDefault="000B311E" w:rsidP="00A729C2">
            <w:pPr>
              <w:spacing w:before="0" w:line="276" w:lineRule="auto"/>
              <w:rPr>
                <w:rFonts w:ascii="Calibri" w:hAnsi="Calibri"/>
                <w:sz w:val="16"/>
                <w:szCs w:val="16"/>
              </w:rPr>
            </w:pPr>
            <w:r>
              <w:rPr>
                <w:rFonts w:ascii="Calibri" w:hAnsi="Calibri"/>
                <w:sz w:val="16"/>
                <w:szCs w:val="16"/>
              </w:rPr>
              <w:lastRenderedPageBreak/>
              <w:t>Pozri vyhod</w:t>
            </w:r>
            <w:r w:rsidR="00A729C2">
              <w:rPr>
                <w:rFonts w:ascii="Calibri" w:hAnsi="Calibri"/>
                <w:sz w:val="16"/>
                <w:szCs w:val="16"/>
              </w:rPr>
              <w:t>notenie</w:t>
            </w:r>
            <w:r>
              <w:rPr>
                <w:rFonts w:ascii="Calibri" w:hAnsi="Calibri"/>
                <w:sz w:val="16"/>
                <w:szCs w:val="16"/>
              </w:rPr>
              <w:t xml:space="preserve"> EAK č. </w:t>
            </w:r>
            <w:r w:rsidRPr="00F01DC9">
              <w:rPr>
                <w:rFonts w:ascii="Calibri" w:hAnsi="Calibri"/>
                <w:sz w:val="16"/>
                <w:szCs w:val="16"/>
              </w:rPr>
              <w:t>2.2. Infraštruktúra sietí novej generácie (NGN): existencia národných alebo regionálnych plánov NGN, ktoré zohľadňujú regionálne činnosti s cieľom dosiahnuť ciele Únie týkajúce sa vysokorýchlostného prístupu na internet, zameriavajúc sa na oblasti, kde trh neposkytuje otvorenú infraštruktúru za dostupnú cenu a kvalitu v súlade s pravidlami hospodárskej súťaže a štátnej pomoci v Únii, a poskytovanie dostupných služieb pre zraniteľné skupiny.</w:t>
            </w:r>
          </w:p>
        </w:tc>
      </w:tr>
    </w:tbl>
    <w:p w:rsidR="006857E5" w:rsidRPr="006857E5" w:rsidRDefault="006857E5" w:rsidP="006857E5">
      <w:pPr>
        <w:spacing w:before="0" w:after="200" w:line="276" w:lineRule="auto"/>
        <w:ind w:left="1620"/>
        <w:contextualSpacing/>
        <w:rPr>
          <w:rFonts w:ascii="Calibri" w:hAnsi="Calibri"/>
          <w:sz w:val="24"/>
        </w:rPr>
      </w:pPr>
      <w:r w:rsidRPr="006857E5">
        <w:rPr>
          <w:rFonts w:ascii="Calibri" w:hAnsi="Calibri"/>
          <w:sz w:val="24"/>
        </w:rPr>
        <w:lastRenderedPageBreak/>
        <w:br w:type="page"/>
      </w:r>
    </w:p>
    <w:p w:rsidR="004E2D6C" w:rsidRPr="004E2D6C" w:rsidRDefault="004E2D6C" w:rsidP="004E2D6C">
      <w:pPr>
        <w:spacing w:before="0" w:after="200" w:line="276" w:lineRule="auto"/>
        <w:jc w:val="center"/>
        <w:rPr>
          <w:rFonts w:ascii="Calibri" w:hAnsi="Calibri"/>
          <w:b/>
          <w:sz w:val="26"/>
          <w:szCs w:val="26"/>
          <w:lang w:eastAsia="cs-CZ"/>
        </w:rPr>
      </w:pPr>
      <w:r w:rsidRPr="004E2D6C">
        <w:rPr>
          <w:rFonts w:ascii="Calibri" w:hAnsi="Calibri"/>
          <w:b/>
          <w:sz w:val="26"/>
          <w:szCs w:val="26"/>
          <w:lang w:eastAsia="cs-CZ"/>
        </w:rPr>
        <w:lastRenderedPageBreak/>
        <w:t>Akčné plány pre splnenie ex ante kondicionalít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14"/>
        <w:gridCol w:w="2086"/>
        <w:gridCol w:w="27"/>
        <w:gridCol w:w="4826"/>
        <w:gridCol w:w="43"/>
        <w:gridCol w:w="2781"/>
        <w:gridCol w:w="38"/>
        <w:gridCol w:w="2346"/>
      </w:tblGrid>
      <w:tr w:rsidR="004E2D6C" w:rsidRPr="00DF567A" w:rsidTr="00CC23CF">
        <w:trPr>
          <w:tblHeader/>
        </w:trPr>
        <w:tc>
          <w:tcPr>
            <w:tcW w:w="1949" w:type="dxa"/>
            <w:tcBorders>
              <w:top w:val="single" w:sz="12" w:space="0" w:color="auto"/>
              <w:left w:val="single" w:sz="12" w:space="0" w:color="auto"/>
              <w:bottom w:val="single" w:sz="12" w:space="0" w:color="auto"/>
              <w:right w:val="single" w:sz="12" w:space="0" w:color="auto"/>
            </w:tcBorders>
            <w:vAlign w:val="center"/>
          </w:tcPr>
          <w:p w:rsidR="004E2D6C" w:rsidRPr="00B763E3" w:rsidRDefault="004E2D6C" w:rsidP="00590EC6">
            <w:pPr>
              <w:spacing w:before="0" w:line="276" w:lineRule="auto"/>
              <w:jc w:val="center"/>
              <w:rPr>
                <w:rFonts w:asciiTheme="majorHAnsi" w:hAnsiTheme="majorHAnsi"/>
                <w:b/>
                <w:sz w:val="16"/>
                <w:szCs w:val="16"/>
                <w:lang w:eastAsia="cs-CZ"/>
              </w:rPr>
            </w:pPr>
            <w:r w:rsidRPr="00B763E3">
              <w:rPr>
                <w:rFonts w:asciiTheme="majorHAnsi" w:hAnsiTheme="majorHAnsi"/>
                <w:b/>
                <w:sz w:val="16"/>
                <w:szCs w:val="16"/>
                <w:lang w:eastAsia="cs-CZ"/>
              </w:rPr>
              <w:t>Nesplnená alebo čiastočne splnená ex ante kondicionalita</w:t>
            </w:r>
          </w:p>
        </w:tc>
        <w:tc>
          <w:tcPr>
            <w:tcW w:w="2100" w:type="dxa"/>
            <w:gridSpan w:val="2"/>
            <w:tcBorders>
              <w:top w:val="single" w:sz="12" w:space="0" w:color="auto"/>
              <w:left w:val="single" w:sz="12" w:space="0" w:color="auto"/>
              <w:bottom w:val="single" w:sz="12" w:space="0" w:color="auto"/>
              <w:right w:val="single" w:sz="12" w:space="0" w:color="auto"/>
            </w:tcBorders>
            <w:vAlign w:val="center"/>
          </w:tcPr>
          <w:p w:rsidR="004E2D6C" w:rsidRPr="00B763E3" w:rsidRDefault="004E2D6C" w:rsidP="00590EC6">
            <w:pPr>
              <w:spacing w:before="0" w:line="276" w:lineRule="auto"/>
              <w:jc w:val="center"/>
              <w:rPr>
                <w:rFonts w:asciiTheme="majorHAnsi" w:hAnsiTheme="majorHAnsi"/>
                <w:b/>
                <w:sz w:val="16"/>
                <w:szCs w:val="16"/>
                <w:lang w:eastAsia="cs-CZ"/>
              </w:rPr>
            </w:pPr>
            <w:r w:rsidRPr="00B763E3">
              <w:rPr>
                <w:rFonts w:asciiTheme="majorHAnsi" w:hAnsiTheme="majorHAnsi"/>
                <w:b/>
                <w:sz w:val="16"/>
                <w:szCs w:val="16"/>
                <w:lang w:eastAsia="cs-CZ"/>
              </w:rPr>
              <w:t>Nesplnené kritériá</w:t>
            </w:r>
          </w:p>
        </w:tc>
        <w:tc>
          <w:tcPr>
            <w:tcW w:w="4853" w:type="dxa"/>
            <w:gridSpan w:val="2"/>
            <w:tcBorders>
              <w:top w:val="single" w:sz="12" w:space="0" w:color="auto"/>
              <w:left w:val="single" w:sz="12" w:space="0" w:color="auto"/>
              <w:bottom w:val="single" w:sz="12" w:space="0" w:color="auto"/>
              <w:right w:val="single" w:sz="12" w:space="0" w:color="auto"/>
            </w:tcBorders>
            <w:vAlign w:val="center"/>
          </w:tcPr>
          <w:p w:rsidR="004E2D6C" w:rsidRPr="00B763E3" w:rsidRDefault="004E2D6C" w:rsidP="003F0750">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Plánované aktivity</w:t>
            </w:r>
          </w:p>
        </w:tc>
        <w:tc>
          <w:tcPr>
            <w:tcW w:w="2862" w:type="dxa"/>
            <w:gridSpan w:val="3"/>
            <w:tcBorders>
              <w:top w:val="single" w:sz="12" w:space="0" w:color="auto"/>
              <w:left w:val="single" w:sz="12" w:space="0" w:color="auto"/>
              <w:bottom w:val="single" w:sz="12" w:space="0" w:color="auto"/>
              <w:right w:val="single" w:sz="12" w:space="0" w:color="auto"/>
            </w:tcBorders>
            <w:vAlign w:val="center"/>
          </w:tcPr>
          <w:p w:rsidR="004E2D6C" w:rsidRPr="00B763E3" w:rsidRDefault="004E2D6C" w:rsidP="003F0750">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Termíny</w:t>
            </w:r>
          </w:p>
        </w:tc>
        <w:tc>
          <w:tcPr>
            <w:tcW w:w="2346" w:type="dxa"/>
            <w:tcBorders>
              <w:top w:val="single" w:sz="12" w:space="0" w:color="auto"/>
              <w:left w:val="single" w:sz="12" w:space="0" w:color="auto"/>
              <w:bottom w:val="single" w:sz="12" w:space="0" w:color="auto"/>
              <w:right w:val="single" w:sz="12" w:space="0" w:color="auto"/>
            </w:tcBorders>
            <w:vAlign w:val="center"/>
          </w:tcPr>
          <w:p w:rsidR="004E2D6C" w:rsidRPr="00B763E3" w:rsidRDefault="004E2D6C" w:rsidP="003F0750">
            <w:pPr>
              <w:spacing w:before="0" w:after="0"/>
              <w:jc w:val="center"/>
              <w:rPr>
                <w:rFonts w:asciiTheme="majorHAnsi" w:hAnsiTheme="majorHAnsi"/>
                <w:b/>
                <w:sz w:val="16"/>
                <w:szCs w:val="16"/>
                <w:lang w:eastAsia="cs-CZ"/>
              </w:rPr>
            </w:pPr>
            <w:r w:rsidRPr="00B763E3">
              <w:rPr>
                <w:rFonts w:asciiTheme="majorHAnsi" w:hAnsiTheme="majorHAnsi"/>
                <w:b/>
                <w:sz w:val="16"/>
                <w:szCs w:val="16"/>
                <w:lang w:eastAsia="cs-CZ"/>
              </w:rPr>
              <w:t>Zodpovedné orgány</w:t>
            </w:r>
          </w:p>
        </w:tc>
      </w:tr>
      <w:tr w:rsidR="00F116B3" w:rsidRPr="00DF567A" w:rsidTr="00B763E3">
        <w:trPr>
          <w:trHeight w:val="282"/>
        </w:trPr>
        <w:tc>
          <w:tcPr>
            <w:tcW w:w="14110" w:type="dxa"/>
            <w:gridSpan w:val="9"/>
            <w:tcBorders>
              <w:top w:val="single" w:sz="12" w:space="0" w:color="auto"/>
              <w:left w:val="single" w:sz="12" w:space="0" w:color="auto"/>
              <w:bottom w:val="single" w:sz="12" w:space="0" w:color="auto"/>
              <w:right w:val="single" w:sz="12" w:space="0" w:color="auto"/>
            </w:tcBorders>
            <w:vAlign w:val="center"/>
          </w:tcPr>
          <w:p w:rsidR="00F116B3" w:rsidRPr="00B763E3" w:rsidRDefault="00F116B3" w:rsidP="00B763E3">
            <w:pPr>
              <w:jc w:val="center"/>
              <w:rPr>
                <w:rFonts w:asciiTheme="majorHAnsi" w:hAnsiTheme="majorHAnsi"/>
                <w:sz w:val="16"/>
                <w:szCs w:val="16"/>
                <w:lang w:eastAsia="cs-CZ"/>
              </w:rPr>
            </w:pPr>
            <w:r w:rsidRPr="00B763E3">
              <w:rPr>
                <w:rFonts w:asciiTheme="majorHAnsi" w:hAnsiTheme="majorHAnsi"/>
                <w:b/>
                <w:bCs/>
                <w:sz w:val="16"/>
                <w:szCs w:val="16"/>
              </w:rPr>
              <w:t>Tematické ex ante kondicionality</w:t>
            </w:r>
          </w:p>
        </w:tc>
      </w:tr>
      <w:tr w:rsidR="002C3B6D" w:rsidRPr="00DF567A" w:rsidTr="00CC23CF">
        <w:trPr>
          <w:trHeight w:val="1256"/>
        </w:trPr>
        <w:tc>
          <w:tcPr>
            <w:tcW w:w="1949" w:type="dxa"/>
            <w:vMerge w:val="restart"/>
            <w:tcBorders>
              <w:top w:val="single" w:sz="12" w:space="0" w:color="auto"/>
              <w:left w:val="single" w:sz="12" w:space="0" w:color="auto"/>
              <w:right w:val="single" w:sz="2" w:space="0" w:color="auto"/>
            </w:tcBorders>
          </w:tcPr>
          <w:p w:rsidR="002C3B6D" w:rsidRPr="00B763E3" w:rsidRDefault="002C3B6D"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1.1. Výskum a inovácie: existencia národnej a/alebo regionálnej stratégie inteligentnej špecializácie, ktorá je v súlade s národným programom reforiem, na získanie súkromných financií na výskum a vývoj, ktoré spĺňajú znaky národných a regionálnych systémov výskumu a inovácií dosahujúcich vynikajúce výsledky.</w:t>
            </w:r>
          </w:p>
        </w:tc>
        <w:tc>
          <w:tcPr>
            <w:tcW w:w="2100" w:type="dxa"/>
            <w:gridSpan w:val="2"/>
            <w:tcBorders>
              <w:top w:val="single" w:sz="12" w:space="0" w:color="auto"/>
              <w:left w:val="single" w:sz="2" w:space="0" w:color="auto"/>
              <w:bottom w:val="single" w:sz="4" w:space="0" w:color="auto"/>
              <w:right w:val="single" w:sz="2" w:space="0" w:color="auto"/>
            </w:tcBorders>
          </w:tcPr>
          <w:p w:rsidR="002C3B6D" w:rsidRPr="00B763E3" w:rsidRDefault="002C3B6D" w:rsidP="002C3B6D">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Je zavedená vnútroštátna alebo regionálna stratégia inteligentnej špecializácie, ktorá:</w:t>
            </w:r>
          </w:p>
          <w:p w:rsidR="002C3B6D" w:rsidRPr="00B763E3" w:rsidRDefault="002C3B6D"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obsahuje monitorovací mechanizmus.</w:t>
            </w:r>
          </w:p>
        </w:tc>
        <w:tc>
          <w:tcPr>
            <w:tcW w:w="4853" w:type="dxa"/>
            <w:gridSpan w:val="2"/>
            <w:vMerge w:val="restart"/>
            <w:tcBorders>
              <w:top w:val="single" w:sz="12" w:space="0" w:color="auto"/>
              <w:left w:val="single" w:sz="2" w:space="0" w:color="auto"/>
              <w:right w:val="single" w:sz="2" w:space="0" w:color="auto"/>
            </w:tcBorders>
          </w:tcPr>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Vypracovanie Akčného plánu implementácie RIS3 pre roky 2014 – 2016.</w:t>
            </w:r>
          </w:p>
          <w:p w:rsidR="00E16CCC" w:rsidRPr="00B763E3" w:rsidRDefault="00E16CCC" w:rsidP="00E16CCC">
            <w:pPr>
              <w:rPr>
                <w:rFonts w:asciiTheme="majorHAnsi" w:hAnsiTheme="majorHAnsi"/>
                <w:sz w:val="16"/>
                <w:szCs w:val="16"/>
              </w:rPr>
            </w:pPr>
            <w:r w:rsidRPr="00B763E3">
              <w:rPr>
                <w:rFonts w:asciiTheme="majorHAnsi" w:hAnsiTheme="majorHAnsi"/>
                <w:sz w:val="16"/>
                <w:szCs w:val="16"/>
              </w:rPr>
              <w:t>Bude obsahovať najdôležitejšie tematické oblasti, rámce a aktivity podmieňujúce úspešnú implementáciu RIS3  a zohľadňujúce podmienky naplnenia ex ante kondicionalít najmä:</w:t>
            </w:r>
          </w:p>
          <w:p w:rsidR="00E16CCC" w:rsidRPr="00836B8C" w:rsidRDefault="00E16CCC" w:rsidP="00836B8C">
            <w:pPr>
              <w:pStyle w:val="Odsekzoznamu"/>
              <w:numPr>
                <w:ilvl w:val="0"/>
                <w:numId w:val="165"/>
              </w:numPr>
              <w:ind w:left="238" w:hanging="238"/>
              <w:rPr>
                <w:rFonts w:asciiTheme="majorHAnsi" w:hAnsiTheme="majorHAnsi"/>
                <w:sz w:val="16"/>
                <w:szCs w:val="16"/>
              </w:rPr>
            </w:pPr>
            <w:r w:rsidRPr="00836B8C">
              <w:rPr>
                <w:rFonts w:asciiTheme="majorHAnsi" w:hAnsiTheme="majorHAnsi"/>
                <w:sz w:val="16"/>
                <w:szCs w:val="16"/>
              </w:rPr>
              <w:t>dopracovanie finančných rámcov s indikatívnymi alokáciami podľa opatrení, zdrojov financovania a typov finančných nástrojov,</w:t>
            </w:r>
          </w:p>
          <w:p w:rsidR="00E16CCC" w:rsidRPr="00836B8C" w:rsidRDefault="00E16CCC" w:rsidP="00836B8C">
            <w:pPr>
              <w:pStyle w:val="Odsekzoznamu"/>
              <w:numPr>
                <w:ilvl w:val="0"/>
                <w:numId w:val="165"/>
              </w:numPr>
              <w:ind w:left="238" w:hanging="238"/>
              <w:rPr>
                <w:rFonts w:asciiTheme="majorHAnsi" w:hAnsiTheme="majorHAnsi"/>
                <w:sz w:val="16"/>
                <w:szCs w:val="16"/>
              </w:rPr>
            </w:pPr>
            <w:r w:rsidRPr="00836B8C">
              <w:rPr>
                <w:rFonts w:asciiTheme="majorHAnsi" w:hAnsiTheme="majorHAnsi"/>
                <w:sz w:val="16"/>
                <w:szCs w:val="16"/>
              </w:rPr>
              <w:t>dopracovanie systému monitorovania plnenia cieľov RIS 3 a napĺňania merateľných ukazovateľov (systém monitorovania je aktuálne pripravovaný a jeho cieľom bude včasné identifikovanie potreby prípadných úprav nastavenia cieľov a opatrení RIS3 tak, aby tieto odrážali aktuálne potreby a vývoj), dopracovanie prepojení medzi navrhovanými oblasťami špecializácie. V rámci systému monitorovania pôjde najmä o:</w:t>
            </w:r>
          </w:p>
          <w:p w:rsidR="00E16CCC" w:rsidRPr="00836B8C" w:rsidRDefault="00E16CCC" w:rsidP="00836B8C">
            <w:pPr>
              <w:pStyle w:val="Odsekzoznamu"/>
              <w:numPr>
                <w:ilvl w:val="0"/>
                <w:numId w:val="165"/>
              </w:numPr>
              <w:ind w:left="238" w:hanging="238"/>
              <w:rPr>
                <w:rFonts w:asciiTheme="majorHAnsi" w:hAnsiTheme="majorHAnsi"/>
                <w:sz w:val="16"/>
                <w:szCs w:val="16"/>
              </w:rPr>
            </w:pPr>
            <w:r w:rsidRPr="00836B8C">
              <w:rPr>
                <w:rFonts w:asciiTheme="majorHAnsi" w:hAnsiTheme="majorHAnsi"/>
                <w:sz w:val="16"/>
                <w:szCs w:val="16"/>
              </w:rPr>
              <w:t>exaktné stanovenie počiatočnej hodnoty, cieľovej hodnoty, definície a zdroja dát pre každý ukazovateľ,</w:t>
            </w:r>
          </w:p>
          <w:p w:rsidR="00E16CCC" w:rsidRPr="00836B8C" w:rsidRDefault="00E16CCC" w:rsidP="00836B8C">
            <w:pPr>
              <w:pStyle w:val="Odsekzoznamu"/>
              <w:numPr>
                <w:ilvl w:val="0"/>
                <w:numId w:val="165"/>
              </w:numPr>
              <w:ind w:left="238" w:hanging="238"/>
              <w:rPr>
                <w:rFonts w:asciiTheme="majorHAnsi" w:hAnsiTheme="majorHAnsi"/>
                <w:sz w:val="16"/>
                <w:szCs w:val="16"/>
              </w:rPr>
            </w:pPr>
            <w:r w:rsidRPr="00836B8C">
              <w:rPr>
                <w:rFonts w:asciiTheme="majorHAnsi" w:hAnsiTheme="majorHAnsi"/>
                <w:sz w:val="16"/>
                <w:szCs w:val="16"/>
              </w:rPr>
              <w:t>kontrolu výstupových ukazovateľov v RIS3,</w:t>
            </w:r>
          </w:p>
          <w:p w:rsidR="00E16CCC" w:rsidRPr="00836B8C" w:rsidRDefault="00E16CCC" w:rsidP="00836B8C">
            <w:pPr>
              <w:pStyle w:val="Odsekzoznamu"/>
              <w:numPr>
                <w:ilvl w:val="0"/>
                <w:numId w:val="165"/>
              </w:numPr>
              <w:ind w:left="238" w:hanging="238"/>
              <w:rPr>
                <w:rFonts w:asciiTheme="majorHAnsi" w:hAnsiTheme="majorHAnsi"/>
                <w:sz w:val="16"/>
                <w:szCs w:val="16"/>
              </w:rPr>
            </w:pPr>
            <w:r w:rsidRPr="00836B8C">
              <w:rPr>
                <w:rFonts w:asciiTheme="majorHAnsi" w:hAnsiTheme="majorHAnsi"/>
                <w:sz w:val="16"/>
                <w:szCs w:val="16"/>
              </w:rPr>
              <w:t>prepojenie výstupových a výsledkových ukazovateľov,</w:t>
            </w:r>
          </w:p>
          <w:p w:rsidR="00E16CCC" w:rsidRPr="00836B8C" w:rsidRDefault="00E16CCC" w:rsidP="00836B8C">
            <w:pPr>
              <w:pStyle w:val="Odsekzoznamu"/>
              <w:numPr>
                <w:ilvl w:val="0"/>
                <w:numId w:val="165"/>
              </w:numPr>
              <w:spacing w:before="0"/>
              <w:ind w:left="238" w:hanging="238"/>
              <w:rPr>
                <w:rFonts w:asciiTheme="majorHAnsi" w:hAnsiTheme="majorHAnsi"/>
                <w:sz w:val="16"/>
                <w:szCs w:val="16"/>
                <w:lang w:eastAsia="cs-CZ"/>
              </w:rPr>
            </w:pPr>
            <w:r w:rsidRPr="00836B8C">
              <w:rPr>
                <w:rFonts w:asciiTheme="majorHAnsi" w:hAnsiTheme="majorHAnsi"/>
                <w:sz w:val="16"/>
                <w:szCs w:val="16"/>
              </w:rPr>
              <w:t>dopracovanie procesu monitorovania z RIS3– zber primárnych údajov pre vyhodnocovanie a sledovanie ukazovateľov, zodpovednosť, periodicita, atď. Súčasťou mechanizmu predbežne predpokladanému už v nastavení monitorovania musí byť aj spôsob a nastavenie hodnotenia monitorovaných údajov a úprav RIS3 SK v nadväznosti na priebežné zistenia plnenia jednotlivých cieľov RIS3.</w:t>
            </w:r>
          </w:p>
        </w:tc>
        <w:tc>
          <w:tcPr>
            <w:tcW w:w="2862" w:type="dxa"/>
            <w:gridSpan w:val="3"/>
            <w:vMerge w:val="restart"/>
            <w:tcBorders>
              <w:top w:val="single" w:sz="12" w:space="0" w:color="auto"/>
              <w:left w:val="single" w:sz="2" w:space="0" w:color="auto"/>
              <w:right w:val="single" w:sz="2" w:space="0" w:color="auto"/>
            </w:tcBorders>
          </w:tcPr>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E16CCC" w:rsidP="003F0750">
            <w:pPr>
              <w:tabs>
                <w:tab w:val="left" w:pos="2302"/>
              </w:tabs>
              <w:spacing w:before="0" w:line="276" w:lineRule="auto"/>
              <w:jc w:val="left"/>
              <w:rPr>
                <w:rFonts w:asciiTheme="majorHAnsi" w:hAnsiTheme="majorHAnsi"/>
                <w:color w:val="FF0000"/>
                <w:sz w:val="16"/>
                <w:szCs w:val="16"/>
                <w:lang w:eastAsia="cs-CZ"/>
              </w:rPr>
            </w:pPr>
            <w:r w:rsidRPr="00B763E3">
              <w:rPr>
                <w:rFonts w:asciiTheme="majorHAnsi" w:hAnsiTheme="majorHAnsi"/>
                <w:sz w:val="16"/>
                <w:szCs w:val="16"/>
                <w:lang w:eastAsia="cs-CZ"/>
              </w:rPr>
              <w:t>30. 11. 2014</w:t>
            </w:r>
          </w:p>
        </w:tc>
        <w:tc>
          <w:tcPr>
            <w:tcW w:w="2346" w:type="dxa"/>
            <w:vMerge w:val="restart"/>
            <w:tcBorders>
              <w:top w:val="single" w:sz="12" w:space="0" w:color="auto"/>
              <w:left w:val="single" w:sz="2" w:space="0" w:color="auto"/>
              <w:right w:val="single" w:sz="12" w:space="0" w:color="auto"/>
            </w:tcBorders>
          </w:tcPr>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p>
          <w:p w:rsidR="002C3B6D" w:rsidRPr="00B763E3" w:rsidRDefault="002C3B6D"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p w:rsidR="002C3B6D" w:rsidRPr="00B763E3" w:rsidRDefault="002C3B6D"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MH SR</w:t>
            </w:r>
          </w:p>
        </w:tc>
      </w:tr>
      <w:tr w:rsidR="002C3B6D" w:rsidRPr="00DF567A" w:rsidTr="00CC23CF">
        <w:trPr>
          <w:trHeight w:val="1255"/>
        </w:trPr>
        <w:tc>
          <w:tcPr>
            <w:tcW w:w="1949" w:type="dxa"/>
            <w:vMerge/>
            <w:tcBorders>
              <w:left w:val="single" w:sz="12" w:space="0" w:color="auto"/>
              <w:bottom w:val="single" w:sz="12" w:space="0" w:color="auto"/>
              <w:right w:val="single" w:sz="2" w:space="0" w:color="auto"/>
            </w:tcBorders>
          </w:tcPr>
          <w:p w:rsidR="002C3B6D" w:rsidRPr="001C5C9E" w:rsidRDefault="002C3B6D" w:rsidP="004E2D6C">
            <w:pPr>
              <w:spacing w:before="0" w:line="276" w:lineRule="auto"/>
              <w:rPr>
                <w:rFonts w:asciiTheme="majorHAnsi" w:hAnsiTheme="majorHAnsi"/>
                <w:sz w:val="16"/>
                <w:szCs w:val="16"/>
                <w:lang w:eastAsia="cs-CZ"/>
              </w:rPr>
            </w:pPr>
          </w:p>
        </w:tc>
        <w:tc>
          <w:tcPr>
            <w:tcW w:w="2100" w:type="dxa"/>
            <w:gridSpan w:val="2"/>
            <w:tcBorders>
              <w:top w:val="single" w:sz="4" w:space="0" w:color="auto"/>
              <w:left w:val="single" w:sz="2" w:space="0" w:color="auto"/>
              <w:bottom w:val="single" w:sz="12" w:space="0" w:color="auto"/>
              <w:right w:val="single" w:sz="2" w:space="0" w:color="auto"/>
            </w:tcBorders>
          </w:tcPr>
          <w:p w:rsidR="002C3B6D" w:rsidRPr="001C5C9E" w:rsidRDefault="002C3B6D" w:rsidP="004E2D6C">
            <w:pPr>
              <w:spacing w:before="0" w:line="276" w:lineRule="auto"/>
              <w:rPr>
                <w:rFonts w:asciiTheme="majorHAnsi" w:hAnsiTheme="majorHAnsi"/>
                <w:sz w:val="16"/>
                <w:szCs w:val="16"/>
                <w:lang w:eastAsia="cs-CZ"/>
              </w:rPr>
            </w:pPr>
            <w:r w:rsidRPr="001C5C9E">
              <w:rPr>
                <w:rFonts w:asciiTheme="majorHAnsi" w:hAnsiTheme="majorHAnsi"/>
                <w:sz w:val="16"/>
                <w:szCs w:val="16"/>
                <w:lang w:eastAsia="cs-CZ"/>
              </w:rPr>
              <w:t>Bol prijatý rámec opisujúci dostupné rozpočtové zdroje na výskum a inovácie.</w:t>
            </w:r>
          </w:p>
        </w:tc>
        <w:tc>
          <w:tcPr>
            <w:tcW w:w="4853" w:type="dxa"/>
            <w:gridSpan w:val="2"/>
            <w:vMerge/>
            <w:tcBorders>
              <w:left w:val="single" w:sz="2" w:space="0" w:color="auto"/>
              <w:bottom w:val="single" w:sz="12" w:space="0" w:color="auto"/>
              <w:right w:val="single" w:sz="2" w:space="0" w:color="auto"/>
            </w:tcBorders>
          </w:tcPr>
          <w:p w:rsidR="002C3B6D" w:rsidRPr="001C5C9E" w:rsidRDefault="002C3B6D" w:rsidP="004E2D6C">
            <w:pPr>
              <w:spacing w:before="0" w:line="276" w:lineRule="auto"/>
              <w:rPr>
                <w:rFonts w:asciiTheme="majorHAnsi" w:hAnsiTheme="majorHAnsi"/>
                <w:sz w:val="16"/>
                <w:szCs w:val="16"/>
                <w:lang w:eastAsia="cs-CZ"/>
              </w:rPr>
            </w:pPr>
          </w:p>
        </w:tc>
        <w:tc>
          <w:tcPr>
            <w:tcW w:w="2862" w:type="dxa"/>
            <w:gridSpan w:val="3"/>
            <w:vMerge/>
            <w:tcBorders>
              <w:left w:val="single" w:sz="2" w:space="0" w:color="auto"/>
              <w:bottom w:val="single" w:sz="12" w:space="0" w:color="auto"/>
              <w:right w:val="single" w:sz="2" w:space="0" w:color="auto"/>
            </w:tcBorders>
          </w:tcPr>
          <w:p w:rsidR="002C3B6D" w:rsidRPr="001C5C9E" w:rsidRDefault="002C3B6D" w:rsidP="004E2D6C">
            <w:pPr>
              <w:spacing w:before="0" w:line="276" w:lineRule="auto"/>
              <w:rPr>
                <w:rFonts w:asciiTheme="majorHAnsi" w:hAnsiTheme="majorHAnsi"/>
                <w:sz w:val="16"/>
                <w:szCs w:val="16"/>
                <w:lang w:eastAsia="cs-CZ"/>
              </w:rPr>
            </w:pPr>
          </w:p>
        </w:tc>
        <w:tc>
          <w:tcPr>
            <w:tcW w:w="2346" w:type="dxa"/>
            <w:vMerge/>
            <w:tcBorders>
              <w:left w:val="single" w:sz="2" w:space="0" w:color="auto"/>
              <w:bottom w:val="single" w:sz="12" w:space="0" w:color="auto"/>
              <w:right w:val="single" w:sz="12" w:space="0" w:color="auto"/>
            </w:tcBorders>
          </w:tcPr>
          <w:p w:rsidR="002C3B6D" w:rsidRPr="001C5C9E" w:rsidRDefault="002C3B6D" w:rsidP="004E2D6C">
            <w:pPr>
              <w:spacing w:before="0" w:line="276" w:lineRule="auto"/>
              <w:rPr>
                <w:rFonts w:asciiTheme="majorHAnsi" w:hAnsiTheme="majorHAnsi"/>
                <w:sz w:val="16"/>
                <w:szCs w:val="16"/>
                <w:lang w:eastAsia="cs-CZ"/>
              </w:rPr>
            </w:pPr>
          </w:p>
        </w:tc>
      </w:tr>
      <w:tr w:rsidR="004E2D6C" w:rsidRPr="00DF567A" w:rsidTr="00CC23CF">
        <w:tc>
          <w:tcPr>
            <w:tcW w:w="1949" w:type="dxa"/>
            <w:tcBorders>
              <w:top w:val="single" w:sz="12" w:space="0" w:color="auto"/>
              <w:left w:val="single" w:sz="12" w:space="0" w:color="auto"/>
              <w:bottom w:val="single" w:sz="12" w:space="0" w:color="auto"/>
              <w:right w:val="single" w:sz="2" w:space="0" w:color="auto"/>
            </w:tcBorders>
          </w:tcPr>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1.2.  Výskumná a inovačná </w:t>
            </w:r>
            <w:r w:rsidRPr="00B763E3">
              <w:rPr>
                <w:rFonts w:asciiTheme="majorHAnsi" w:hAnsiTheme="majorHAnsi"/>
                <w:sz w:val="16"/>
                <w:szCs w:val="16"/>
                <w:lang w:eastAsia="cs-CZ"/>
              </w:rPr>
              <w:lastRenderedPageBreak/>
              <w:t>infraštruktúra. Existencia viacročného plánu na zostavenie rozpočtu a zoradenie investícií podľa priority.</w:t>
            </w:r>
          </w:p>
        </w:tc>
        <w:tc>
          <w:tcPr>
            <w:tcW w:w="2100" w:type="dxa"/>
            <w:gridSpan w:val="2"/>
            <w:tcBorders>
              <w:top w:val="single" w:sz="12" w:space="0" w:color="auto"/>
              <w:left w:val="single" w:sz="2" w:space="0" w:color="auto"/>
              <w:bottom w:val="single" w:sz="12" w:space="0" w:color="auto"/>
              <w:right w:val="single" w:sz="2" w:space="0" w:color="auto"/>
            </w:tcBorders>
          </w:tcPr>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 xml:space="preserve">Bol prijatý orientačný </w:t>
            </w:r>
            <w:r w:rsidRPr="00B763E3">
              <w:rPr>
                <w:rFonts w:asciiTheme="majorHAnsi" w:hAnsiTheme="majorHAnsi"/>
                <w:sz w:val="16"/>
                <w:szCs w:val="16"/>
                <w:lang w:eastAsia="cs-CZ"/>
              </w:rPr>
              <w:lastRenderedPageBreak/>
              <w:t xml:space="preserve">viacročný plán na zostavenie rozpočtu a zoradenie investícií, súvisiacich </w:t>
            </w:r>
            <w:r w:rsidR="00544389" w:rsidRPr="00B763E3">
              <w:rPr>
                <w:rFonts w:asciiTheme="majorHAnsi" w:hAnsiTheme="majorHAnsi"/>
                <w:sz w:val="16"/>
                <w:szCs w:val="16"/>
                <w:lang w:eastAsia="cs-CZ"/>
              </w:rPr>
              <w:br/>
            </w:r>
            <w:r w:rsidRPr="00B763E3">
              <w:rPr>
                <w:rFonts w:asciiTheme="majorHAnsi" w:hAnsiTheme="majorHAnsi"/>
                <w:sz w:val="16"/>
                <w:szCs w:val="16"/>
                <w:lang w:eastAsia="cs-CZ"/>
              </w:rPr>
              <w:t xml:space="preserve">s prioritami EÚ a v prípade potreby s Európskym strategickým fórom </w:t>
            </w:r>
            <w:r w:rsidR="00544389" w:rsidRPr="00B763E3">
              <w:rPr>
                <w:rFonts w:asciiTheme="majorHAnsi" w:hAnsiTheme="majorHAnsi"/>
                <w:sz w:val="16"/>
                <w:szCs w:val="16"/>
                <w:lang w:eastAsia="cs-CZ"/>
              </w:rPr>
              <w:br/>
            </w:r>
            <w:r w:rsidRPr="00B763E3">
              <w:rPr>
                <w:rFonts w:asciiTheme="majorHAnsi" w:hAnsiTheme="majorHAnsi"/>
                <w:sz w:val="16"/>
                <w:szCs w:val="16"/>
                <w:lang w:eastAsia="cs-CZ"/>
              </w:rPr>
              <w:t>o výskumných infraštruktúrach (ESFRI) podľa pr</w:t>
            </w:r>
            <w:r w:rsidR="002F34D3" w:rsidRPr="00B763E3">
              <w:rPr>
                <w:rFonts w:asciiTheme="majorHAnsi" w:hAnsiTheme="majorHAnsi"/>
                <w:sz w:val="16"/>
                <w:szCs w:val="16"/>
                <w:lang w:eastAsia="cs-CZ"/>
              </w:rPr>
              <w:t>i</w:t>
            </w:r>
            <w:r w:rsidRPr="00B763E3">
              <w:rPr>
                <w:rFonts w:asciiTheme="majorHAnsi" w:hAnsiTheme="majorHAnsi"/>
                <w:sz w:val="16"/>
                <w:szCs w:val="16"/>
                <w:lang w:eastAsia="cs-CZ"/>
              </w:rPr>
              <w:t>ority.</w:t>
            </w:r>
          </w:p>
        </w:tc>
        <w:tc>
          <w:tcPr>
            <w:tcW w:w="4853" w:type="dxa"/>
            <w:gridSpan w:val="2"/>
            <w:tcBorders>
              <w:top w:val="single" w:sz="12" w:space="0" w:color="auto"/>
              <w:left w:val="single" w:sz="2" w:space="0" w:color="auto"/>
              <w:bottom w:val="single" w:sz="12" w:space="0" w:color="auto"/>
              <w:right w:val="single" w:sz="2" w:space="0" w:color="auto"/>
            </w:tcBorders>
          </w:tcPr>
          <w:p w:rsidR="004E2D6C" w:rsidRPr="005634F2" w:rsidRDefault="004E2D6C" w:rsidP="004E2D6C">
            <w:pPr>
              <w:spacing w:before="0" w:line="276" w:lineRule="auto"/>
              <w:rPr>
                <w:rFonts w:asciiTheme="majorHAnsi" w:hAnsiTheme="majorHAnsi"/>
                <w:sz w:val="16"/>
                <w:szCs w:val="16"/>
                <w:lang w:eastAsia="cs-CZ"/>
              </w:rPr>
            </w:pPr>
            <w:r w:rsidRPr="005634F2">
              <w:rPr>
                <w:rFonts w:asciiTheme="majorHAnsi" w:hAnsiTheme="majorHAnsi"/>
                <w:sz w:val="16"/>
                <w:szCs w:val="16"/>
                <w:lang w:eastAsia="cs-CZ"/>
              </w:rPr>
              <w:lastRenderedPageBreak/>
              <w:t xml:space="preserve">Vypracovanie Akčného plánu implementácie RIS3 pre roky 2014 – </w:t>
            </w:r>
            <w:r w:rsidRPr="005634F2">
              <w:rPr>
                <w:rFonts w:asciiTheme="majorHAnsi" w:hAnsiTheme="majorHAnsi"/>
                <w:sz w:val="16"/>
                <w:szCs w:val="16"/>
                <w:lang w:eastAsia="cs-CZ"/>
              </w:rPr>
              <w:lastRenderedPageBreak/>
              <w:t>2016.</w:t>
            </w:r>
          </w:p>
          <w:p w:rsidR="00E16CCC" w:rsidRPr="005634F2" w:rsidRDefault="00E16CCC" w:rsidP="005634F2">
            <w:pPr>
              <w:spacing w:before="0"/>
              <w:rPr>
                <w:rFonts w:asciiTheme="majorHAnsi" w:hAnsiTheme="majorHAnsi"/>
                <w:sz w:val="16"/>
                <w:szCs w:val="16"/>
                <w:lang w:eastAsia="cs-CZ"/>
              </w:rPr>
            </w:pPr>
            <w:r w:rsidRPr="005634F2">
              <w:rPr>
                <w:rFonts w:asciiTheme="majorHAnsi" w:hAnsiTheme="majorHAnsi"/>
                <w:sz w:val="16"/>
                <w:szCs w:val="16"/>
              </w:rPr>
              <w:t>Prioritizácia investícií bude súvisieť aj s pripravovanou SK cestovnou mapou výskumnej infraštruktúry, ktorá bude identifikovať doterajšie národné zariadenia infraštruktúr vhodné pre zapojenie sa do ESFRI, vrátane kritickej analýzy (ktoré VaV centrá, kompetenčné centrá a centrá excelentnosti sú dlhodobo udržateľné, majú potenciál pre vylepšenie a môžu sa stať súčasťou ESFRI projektov) ako aj potenciál ďalšieho rozvoja v nadväznosti na oblasti špecializácie definované RIS3 . Dôležitým špecifikom bude aj možnosť prepojení medzi RIS3 v prioritnom priemysle a participáciou v ESFRI iniciatívach. V rámci cestovnej mapy sa vytvoria predpoklady, aby výskumná infraštruktúra bola riadená profesionálne a aby bola schopná poskytnúť vysokú pridanú hodnotu, vrátane podporných služieb pre podnikateľskú sféru. Pri ďalšom budovaní infraštruktúry na základe cestovnej mapy bude zamedzené  duplicitám v investíciách do podobnej infraštruktúry, ktorá je už v blízkom regióne resp. lokalite.</w:t>
            </w:r>
          </w:p>
        </w:tc>
        <w:tc>
          <w:tcPr>
            <w:tcW w:w="2862" w:type="dxa"/>
            <w:gridSpan w:val="3"/>
            <w:tcBorders>
              <w:top w:val="single" w:sz="12" w:space="0" w:color="auto"/>
              <w:left w:val="single" w:sz="2" w:space="0" w:color="auto"/>
              <w:bottom w:val="single" w:sz="12" w:space="0" w:color="auto"/>
              <w:right w:val="single" w:sz="2" w:space="0" w:color="auto"/>
            </w:tcBorders>
          </w:tcPr>
          <w:p w:rsidR="004E2D6C" w:rsidRPr="005634F2" w:rsidRDefault="004E2D6C" w:rsidP="004E2D6C">
            <w:pPr>
              <w:spacing w:before="0" w:line="276" w:lineRule="auto"/>
              <w:rPr>
                <w:rFonts w:asciiTheme="majorHAnsi" w:hAnsiTheme="majorHAnsi"/>
                <w:color w:val="FF0000"/>
                <w:sz w:val="16"/>
                <w:szCs w:val="16"/>
                <w:lang w:eastAsia="cs-CZ"/>
              </w:rPr>
            </w:pPr>
          </w:p>
          <w:p w:rsidR="004E2D6C" w:rsidRPr="005634F2" w:rsidRDefault="004E2D6C" w:rsidP="004E2D6C">
            <w:pPr>
              <w:spacing w:before="0" w:line="276" w:lineRule="auto"/>
              <w:rPr>
                <w:rFonts w:asciiTheme="majorHAnsi" w:hAnsiTheme="majorHAnsi"/>
                <w:color w:val="FF0000"/>
                <w:sz w:val="16"/>
                <w:szCs w:val="16"/>
                <w:lang w:eastAsia="cs-CZ"/>
              </w:rPr>
            </w:pPr>
          </w:p>
          <w:p w:rsidR="004E2D6C" w:rsidRPr="005634F2" w:rsidRDefault="004E2D6C" w:rsidP="004E2D6C">
            <w:pPr>
              <w:spacing w:before="0" w:line="276" w:lineRule="auto"/>
              <w:rPr>
                <w:rFonts w:asciiTheme="majorHAnsi" w:hAnsiTheme="majorHAnsi"/>
                <w:color w:val="FF0000"/>
                <w:sz w:val="16"/>
                <w:szCs w:val="16"/>
                <w:lang w:eastAsia="cs-CZ"/>
              </w:rPr>
            </w:pPr>
          </w:p>
          <w:p w:rsidR="004E2D6C" w:rsidRPr="005634F2" w:rsidRDefault="00E16CCC" w:rsidP="004E2D6C">
            <w:pPr>
              <w:spacing w:before="0" w:line="276" w:lineRule="auto"/>
              <w:rPr>
                <w:rFonts w:asciiTheme="majorHAnsi" w:hAnsiTheme="majorHAnsi"/>
                <w:color w:val="FF0000"/>
                <w:sz w:val="16"/>
                <w:szCs w:val="16"/>
                <w:lang w:eastAsia="cs-CZ"/>
              </w:rPr>
            </w:pPr>
            <w:r w:rsidRPr="005634F2">
              <w:rPr>
                <w:rFonts w:asciiTheme="majorHAnsi" w:hAnsiTheme="majorHAnsi"/>
                <w:sz w:val="16"/>
                <w:szCs w:val="16"/>
                <w:lang w:eastAsia="cs-CZ"/>
              </w:rPr>
              <w:t>30. 11. 2014</w:t>
            </w:r>
          </w:p>
        </w:tc>
        <w:tc>
          <w:tcPr>
            <w:tcW w:w="2346" w:type="dxa"/>
            <w:tcBorders>
              <w:top w:val="single" w:sz="12" w:space="0" w:color="auto"/>
              <w:left w:val="single" w:sz="2" w:space="0" w:color="auto"/>
              <w:bottom w:val="single" w:sz="12" w:space="0" w:color="auto"/>
              <w:right w:val="single" w:sz="12" w:space="0" w:color="auto"/>
            </w:tcBorders>
          </w:tcPr>
          <w:p w:rsidR="004E2D6C" w:rsidRPr="005634F2" w:rsidRDefault="004E2D6C" w:rsidP="004E2D6C">
            <w:pPr>
              <w:spacing w:before="0" w:line="276" w:lineRule="auto"/>
              <w:rPr>
                <w:rFonts w:asciiTheme="majorHAnsi" w:hAnsiTheme="majorHAnsi"/>
                <w:sz w:val="16"/>
                <w:szCs w:val="16"/>
                <w:lang w:eastAsia="cs-CZ"/>
              </w:rPr>
            </w:pPr>
          </w:p>
          <w:p w:rsidR="004E2D6C" w:rsidRPr="005634F2" w:rsidRDefault="004E2D6C" w:rsidP="004E2D6C">
            <w:pPr>
              <w:spacing w:before="0" w:line="276" w:lineRule="auto"/>
              <w:rPr>
                <w:rFonts w:asciiTheme="majorHAnsi" w:hAnsiTheme="majorHAnsi"/>
                <w:sz w:val="16"/>
                <w:szCs w:val="16"/>
                <w:lang w:eastAsia="cs-CZ"/>
              </w:rPr>
            </w:pPr>
          </w:p>
          <w:p w:rsidR="004E2D6C" w:rsidRPr="005634F2" w:rsidRDefault="004E2D6C" w:rsidP="004E2D6C">
            <w:pPr>
              <w:spacing w:before="0" w:line="276" w:lineRule="auto"/>
              <w:rPr>
                <w:rFonts w:asciiTheme="majorHAnsi" w:hAnsiTheme="majorHAnsi"/>
                <w:sz w:val="16"/>
                <w:szCs w:val="16"/>
                <w:lang w:eastAsia="cs-CZ"/>
              </w:rPr>
            </w:pPr>
          </w:p>
          <w:p w:rsidR="004E2D6C" w:rsidRPr="005634F2" w:rsidRDefault="004E2D6C" w:rsidP="004E2D6C">
            <w:pPr>
              <w:spacing w:before="0" w:line="276" w:lineRule="auto"/>
              <w:rPr>
                <w:rFonts w:asciiTheme="majorHAnsi" w:hAnsiTheme="majorHAnsi"/>
                <w:sz w:val="16"/>
                <w:szCs w:val="16"/>
                <w:lang w:eastAsia="cs-CZ"/>
              </w:rPr>
            </w:pPr>
            <w:r w:rsidRPr="005634F2">
              <w:rPr>
                <w:rFonts w:asciiTheme="majorHAnsi" w:hAnsiTheme="majorHAnsi"/>
                <w:sz w:val="16"/>
                <w:szCs w:val="16"/>
                <w:lang w:eastAsia="cs-CZ"/>
              </w:rPr>
              <w:t>MŠVVŠ SR</w:t>
            </w:r>
          </w:p>
          <w:p w:rsidR="004E2D6C" w:rsidRPr="005634F2" w:rsidRDefault="004E2D6C" w:rsidP="004E2D6C">
            <w:pPr>
              <w:spacing w:before="0" w:line="276" w:lineRule="auto"/>
              <w:rPr>
                <w:rFonts w:asciiTheme="majorHAnsi" w:hAnsiTheme="majorHAnsi"/>
                <w:sz w:val="16"/>
                <w:szCs w:val="16"/>
                <w:lang w:eastAsia="cs-CZ"/>
              </w:rPr>
            </w:pPr>
            <w:r w:rsidRPr="005634F2">
              <w:rPr>
                <w:rFonts w:asciiTheme="majorHAnsi" w:hAnsiTheme="majorHAnsi"/>
                <w:sz w:val="16"/>
                <w:szCs w:val="16"/>
                <w:lang w:eastAsia="cs-CZ"/>
              </w:rPr>
              <w:t>MH SR</w:t>
            </w:r>
          </w:p>
        </w:tc>
      </w:tr>
      <w:tr w:rsidR="00BE1F95" w:rsidRPr="00DF567A" w:rsidTr="00620D27">
        <w:trPr>
          <w:trHeight w:val="2116"/>
        </w:trPr>
        <w:tc>
          <w:tcPr>
            <w:tcW w:w="1949" w:type="dxa"/>
            <w:vMerge w:val="restart"/>
            <w:tcBorders>
              <w:top w:val="single" w:sz="12" w:space="0" w:color="auto"/>
              <w:left w:val="single" w:sz="12" w:space="0" w:color="auto"/>
              <w:right w:val="single" w:sz="2" w:space="0" w:color="auto"/>
            </w:tcBorders>
          </w:tcPr>
          <w:p w:rsidR="00BE1F95" w:rsidRPr="00B763E3" w:rsidRDefault="00BE1F95"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3.1. Vykonali sa konkrétne činnosti  na posilnenie presadzovania podnikania s prihliadnutím na iniciatívu „Small Business Act“ (SBA).</w:t>
            </w: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p>
        </w:tc>
        <w:tc>
          <w:tcPr>
            <w:tcW w:w="2100" w:type="dxa"/>
            <w:gridSpan w:val="2"/>
            <w:vMerge w:val="restart"/>
            <w:tcBorders>
              <w:top w:val="single" w:sz="12" w:space="0" w:color="auto"/>
              <w:left w:val="single" w:sz="2" w:space="0" w:color="auto"/>
              <w:right w:val="single" w:sz="2" w:space="0" w:color="auto"/>
            </w:tcBorders>
          </w:tcPr>
          <w:p w:rsidR="00BE1F95" w:rsidRPr="00B763E3" w:rsidRDefault="00BE1F95" w:rsidP="004E2D6C">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mechanizmus zavedený na monitorovanie realizácie opatrení SBA, ktoré boli zavedené, a na posudzovanie vplyvu na MSP.</w:t>
            </w:r>
          </w:p>
          <w:p w:rsidR="00BE1F95" w:rsidRPr="00B763E3" w:rsidRDefault="00BE1F95" w:rsidP="004E2D6C">
            <w:pPr>
              <w:spacing w:before="0" w:line="276" w:lineRule="auto"/>
              <w:rPr>
                <w:rFonts w:asciiTheme="majorHAnsi" w:hAnsiTheme="majorHAnsi"/>
                <w:sz w:val="16"/>
                <w:szCs w:val="16"/>
                <w:lang w:eastAsia="cs-CZ"/>
              </w:rPr>
            </w:pPr>
          </w:p>
        </w:tc>
        <w:tc>
          <w:tcPr>
            <w:tcW w:w="4853" w:type="dxa"/>
            <w:gridSpan w:val="2"/>
            <w:tcBorders>
              <w:top w:val="single" w:sz="12" w:space="0" w:color="auto"/>
              <w:left w:val="single" w:sz="2" w:space="0" w:color="auto"/>
              <w:right w:val="single" w:sz="2" w:space="0" w:color="auto"/>
            </w:tcBorders>
          </w:tcPr>
          <w:p w:rsidR="00E16CCC" w:rsidRPr="005634F2" w:rsidRDefault="00BE1F95" w:rsidP="004E2D6C">
            <w:pPr>
              <w:spacing w:before="0" w:line="276" w:lineRule="auto"/>
              <w:rPr>
                <w:rFonts w:asciiTheme="majorHAnsi" w:hAnsiTheme="majorHAnsi"/>
                <w:sz w:val="16"/>
                <w:szCs w:val="16"/>
                <w:lang w:eastAsia="cs-CZ"/>
              </w:rPr>
            </w:pPr>
            <w:r w:rsidRPr="005634F2">
              <w:rPr>
                <w:rFonts w:asciiTheme="majorHAnsi" w:hAnsiTheme="majorHAnsi"/>
                <w:sz w:val="16"/>
                <w:szCs w:val="16"/>
                <w:lang w:eastAsia="cs-CZ"/>
              </w:rPr>
              <w:t>3) Zákon o podpore MSP</w:t>
            </w:r>
          </w:p>
          <w:p w:rsidR="00E16CCC" w:rsidRPr="00B763E3" w:rsidRDefault="00E16CCC" w:rsidP="00B763E3">
            <w:pPr>
              <w:rPr>
                <w:rFonts w:asciiTheme="majorHAnsi" w:hAnsiTheme="majorHAnsi"/>
                <w:sz w:val="16"/>
                <w:szCs w:val="16"/>
              </w:rPr>
            </w:pPr>
            <w:r w:rsidRPr="00B05B51">
              <w:rPr>
                <w:rFonts w:asciiTheme="majorHAnsi" w:hAnsiTheme="majorHAnsi"/>
                <w:sz w:val="16"/>
                <w:szCs w:val="16"/>
              </w:rPr>
              <w:t xml:space="preserve">Potreba prijatia zákona o podpore MSP vyplynula z realizovanej Analýzy stavu MSP a Stratégie rozvoja MSP v SR. Ide o historicky prvú legislatívnu normu osobitne zameranú na podporu MSP. Cieľom zákona je vytvoriť systémový rámec podpory MSP. Jedným z účelov zákona je zavedenie mechanizmu na monitorovanie realizácie opatrení Iniciatívy „Small Business Act“ pre Európu a na posudzovanie vplyvu na malé a stredné podniky. Týmto zákonom sa  upraví test vplyvu regulácií na MSP (MSP test) a tiež pravidelné monitorovanie realizácie opatrení SBA. </w:t>
            </w:r>
          </w:p>
          <w:p w:rsidR="00BE1F95" w:rsidRPr="00B763E3" w:rsidRDefault="00BE1F95"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Predloženie návrhu zákona na medzirezortné pripomienkové konanie</w:t>
            </w:r>
          </w:p>
          <w:p w:rsidR="00BE1F95" w:rsidRPr="00B763E3" w:rsidRDefault="00BE1F95"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Predloženie návrhu zákona na rokovanie vlády SR</w:t>
            </w:r>
          </w:p>
          <w:p w:rsidR="00BE1F95" w:rsidRPr="00B763E3" w:rsidRDefault="00BE1F95" w:rsidP="00620D2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Schválenie zákona Národnou radou SR</w:t>
            </w:r>
          </w:p>
          <w:p w:rsidR="00E16CCC" w:rsidRPr="00B05B51" w:rsidRDefault="00E16CCC" w:rsidP="005634F2">
            <w:pPr>
              <w:pStyle w:val="Normlnywebov"/>
              <w:tabs>
                <w:tab w:val="left" w:pos="3"/>
                <w:tab w:val="num" w:pos="2580"/>
              </w:tabs>
              <w:jc w:val="both"/>
              <w:rPr>
                <w:rFonts w:asciiTheme="majorHAnsi" w:hAnsiTheme="majorHAnsi"/>
                <w:sz w:val="16"/>
                <w:szCs w:val="16"/>
                <w:lang w:val="sk-SK"/>
              </w:rPr>
            </w:pPr>
            <w:r w:rsidRPr="00B05B51">
              <w:rPr>
                <w:rFonts w:asciiTheme="majorHAnsi" w:hAnsiTheme="majorHAnsi"/>
                <w:sz w:val="16"/>
                <w:szCs w:val="16"/>
                <w:lang w:val="sk-SK"/>
              </w:rPr>
              <w:t xml:space="preserve">Sfunkčnenie mechanizmu </w:t>
            </w:r>
            <w:r w:rsidR="00E61814">
              <w:rPr>
                <w:rFonts w:asciiTheme="majorHAnsi" w:hAnsiTheme="majorHAnsi"/>
                <w:sz w:val="16"/>
                <w:szCs w:val="16"/>
                <w:lang w:val="sk-SK" w:eastAsia="cs-CZ"/>
              </w:rPr>
              <w:t xml:space="preserve">na monitorovanie realizácie </w:t>
            </w:r>
            <w:r w:rsidRPr="00B05B51">
              <w:rPr>
                <w:rFonts w:asciiTheme="majorHAnsi" w:hAnsiTheme="majorHAnsi"/>
                <w:sz w:val="16"/>
                <w:szCs w:val="16"/>
                <w:lang w:val="sk-SK" w:eastAsia="cs-CZ"/>
              </w:rPr>
              <w:t xml:space="preserve">opatrení SBA a na posudzovanie vplyvu na MSP </w:t>
            </w:r>
          </w:p>
          <w:p w:rsidR="00E16CCC" w:rsidRPr="00B763E3" w:rsidRDefault="00E16CCC" w:rsidP="00620D27">
            <w:pPr>
              <w:spacing w:before="0" w:line="276" w:lineRule="auto"/>
              <w:rPr>
                <w:rFonts w:asciiTheme="majorHAnsi" w:hAnsiTheme="majorHAnsi"/>
                <w:sz w:val="16"/>
                <w:szCs w:val="16"/>
                <w:lang w:eastAsia="cs-CZ"/>
              </w:rPr>
            </w:pPr>
          </w:p>
        </w:tc>
        <w:tc>
          <w:tcPr>
            <w:tcW w:w="2862" w:type="dxa"/>
            <w:gridSpan w:val="3"/>
            <w:tcBorders>
              <w:top w:val="single" w:sz="12" w:space="0" w:color="auto"/>
              <w:left w:val="single" w:sz="2" w:space="0" w:color="auto"/>
              <w:right w:val="single" w:sz="2" w:space="0" w:color="auto"/>
            </w:tcBorders>
          </w:tcPr>
          <w:p w:rsidR="00BE1F95" w:rsidRPr="00B763E3" w:rsidRDefault="00BE1F95" w:rsidP="004E2D6C">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BE1F95" w:rsidRPr="00B763E3" w:rsidRDefault="00BE1F95" w:rsidP="002C3B6D">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31. </w:t>
            </w:r>
            <w:r w:rsidR="00E16CCC" w:rsidRPr="00B763E3">
              <w:rPr>
                <w:rFonts w:asciiTheme="majorHAnsi" w:hAnsiTheme="majorHAnsi"/>
                <w:sz w:val="16"/>
                <w:szCs w:val="16"/>
                <w:lang w:eastAsia="cs-CZ"/>
              </w:rPr>
              <w:t>7</w:t>
            </w:r>
            <w:r w:rsidRPr="00B763E3">
              <w:rPr>
                <w:rFonts w:asciiTheme="majorHAnsi" w:hAnsiTheme="majorHAnsi"/>
                <w:sz w:val="16"/>
                <w:szCs w:val="16"/>
                <w:lang w:eastAsia="cs-CZ"/>
              </w:rPr>
              <w:t>. 2014</w:t>
            </w:r>
          </w:p>
          <w:p w:rsidR="00BE1F95" w:rsidRPr="00B763E3" w:rsidRDefault="00BE1F95" w:rsidP="002C3B6D">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30. </w:t>
            </w:r>
            <w:r w:rsidR="00E16CCC" w:rsidRPr="00B763E3">
              <w:rPr>
                <w:rFonts w:asciiTheme="majorHAnsi" w:hAnsiTheme="majorHAnsi"/>
                <w:sz w:val="16"/>
                <w:szCs w:val="16"/>
                <w:lang w:eastAsia="cs-CZ"/>
              </w:rPr>
              <w:t>8</w:t>
            </w:r>
            <w:r w:rsidRPr="00B763E3">
              <w:rPr>
                <w:rFonts w:asciiTheme="majorHAnsi" w:hAnsiTheme="majorHAnsi"/>
                <w:sz w:val="16"/>
                <w:szCs w:val="16"/>
                <w:lang w:eastAsia="cs-CZ"/>
              </w:rPr>
              <w:t>. 2014</w:t>
            </w:r>
          </w:p>
          <w:p w:rsidR="00BE1F95" w:rsidRPr="00B763E3" w:rsidRDefault="00BE1F95"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31. </w:t>
            </w:r>
            <w:r w:rsidR="00E16CCC" w:rsidRPr="00B763E3">
              <w:rPr>
                <w:rFonts w:asciiTheme="majorHAnsi" w:hAnsiTheme="majorHAnsi"/>
                <w:sz w:val="16"/>
                <w:szCs w:val="16"/>
                <w:lang w:eastAsia="cs-CZ"/>
              </w:rPr>
              <w:t>10</w:t>
            </w:r>
            <w:r w:rsidRPr="00B763E3">
              <w:rPr>
                <w:rFonts w:asciiTheme="majorHAnsi" w:hAnsiTheme="majorHAnsi"/>
                <w:sz w:val="16"/>
                <w:szCs w:val="16"/>
                <w:lang w:eastAsia="cs-CZ"/>
              </w:rPr>
              <w:t>. 2014</w:t>
            </w:r>
          </w:p>
          <w:p w:rsidR="005634F2" w:rsidRDefault="005634F2" w:rsidP="004E2D6C">
            <w:pPr>
              <w:spacing w:before="0" w:line="276" w:lineRule="auto"/>
              <w:rPr>
                <w:rFonts w:asciiTheme="majorHAnsi" w:hAnsiTheme="majorHAnsi"/>
                <w:sz w:val="16"/>
                <w:szCs w:val="16"/>
                <w:lang w:eastAsia="cs-CZ"/>
              </w:rPr>
            </w:pPr>
          </w:p>
          <w:p w:rsidR="00E16CCC" w:rsidRPr="00B763E3" w:rsidRDefault="00E16CC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1. 1. 2015</w:t>
            </w:r>
          </w:p>
        </w:tc>
        <w:tc>
          <w:tcPr>
            <w:tcW w:w="2346" w:type="dxa"/>
            <w:vMerge w:val="restart"/>
            <w:tcBorders>
              <w:top w:val="single" w:sz="12" w:space="0" w:color="auto"/>
              <w:left w:val="single" w:sz="2" w:space="0" w:color="auto"/>
              <w:right w:val="single" w:sz="12" w:space="0" w:color="auto"/>
            </w:tcBorders>
          </w:tcPr>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MH SR</w:t>
            </w:r>
          </w:p>
          <w:p w:rsidR="00BE1F95" w:rsidRPr="00B763E3" w:rsidRDefault="00BE1F95" w:rsidP="004E2D6C">
            <w:pPr>
              <w:spacing w:before="0" w:line="276" w:lineRule="auto"/>
              <w:rPr>
                <w:rFonts w:asciiTheme="majorHAnsi" w:hAnsiTheme="majorHAnsi"/>
                <w:sz w:val="16"/>
                <w:szCs w:val="16"/>
                <w:lang w:eastAsia="cs-CZ"/>
              </w:rPr>
            </w:pPr>
          </w:p>
          <w:p w:rsidR="00BE1F95" w:rsidRPr="00B763E3" w:rsidRDefault="00BE1F95"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NARMSP</w:t>
            </w:r>
          </w:p>
        </w:tc>
      </w:tr>
      <w:tr w:rsidR="004E2D6C" w:rsidRPr="00DF567A" w:rsidTr="00CC23CF">
        <w:trPr>
          <w:trHeight w:val="1332"/>
        </w:trPr>
        <w:tc>
          <w:tcPr>
            <w:tcW w:w="1949" w:type="dxa"/>
            <w:vMerge/>
            <w:tcBorders>
              <w:left w:val="single" w:sz="12" w:space="0" w:color="auto"/>
              <w:right w:val="single" w:sz="2" w:space="0" w:color="auto"/>
            </w:tcBorders>
          </w:tcPr>
          <w:p w:rsidR="004E2D6C" w:rsidRPr="001C5C9E" w:rsidRDefault="004E2D6C" w:rsidP="004E2D6C">
            <w:pPr>
              <w:spacing w:before="0" w:line="276" w:lineRule="auto"/>
              <w:rPr>
                <w:rFonts w:asciiTheme="majorHAnsi" w:hAnsiTheme="majorHAnsi"/>
                <w:sz w:val="16"/>
                <w:szCs w:val="16"/>
                <w:lang w:eastAsia="cs-CZ"/>
              </w:rPr>
            </w:pPr>
          </w:p>
        </w:tc>
        <w:tc>
          <w:tcPr>
            <w:tcW w:w="2100" w:type="dxa"/>
            <w:gridSpan w:val="2"/>
            <w:vMerge/>
            <w:tcBorders>
              <w:left w:val="single" w:sz="2" w:space="0" w:color="auto"/>
              <w:right w:val="single" w:sz="2" w:space="0" w:color="auto"/>
            </w:tcBorders>
          </w:tcPr>
          <w:p w:rsidR="004E2D6C" w:rsidRPr="001C5C9E" w:rsidRDefault="004E2D6C" w:rsidP="004E2D6C">
            <w:pPr>
              <w:tabs>
                <w:tab w:val="left" w:pos="3"/>
                <w:tab w:val="num" w:pos="2580"/>
              </w:tabs>
              <w:spacing w:before="0"/>
              <w:rPr>
                <w:rFonts w:asciiTheme="majorHAnsi" w:hAnsiTheme="majorHAnsi"/>
                <w:sz w:val="16"/>
                <w:szCs w:val="16"/>
                <w:lang w:eastAsia="sk-SK"/>
              </w:rPr>
            </w:pPr>
          </w:p>
        </w:tc>
        <w:tc>
          <w:tcPr>
            <w:tcW w:w="4853" w:type="dxa"/>
            <w:gridSpan w:val="2"/>
            <w:tcBorders>
              <w:left w:val="single" w:sz="2" w:space="0" w:color="auto"/>
              <w:bottom w:val="single" w:sz="12" w:space="0" w:color="auto"/>
            </w:tcBorders>
          </w:tcPr>
          <w:p w:rsidR="004E2D6C" w:rsidRPr="005634F2" w:rsidRDefault="004E2D6C" w:rsidP="004E2D6C">
            <w:pPr>
              <w:spacing w:before="0" w:line="276" w:lineRule="auto"/>
              <w:rPr>
                <w:rFonts w:asciiTheme="majorHAnsi" w:hAnsiTheme="majorHAnsi"/>
                <w:sz w:val="16"/>
                <w:szCs w:val="16"/>
                <w:lang w:eastAsia="cs-CZ"/>
              </w:rPr>
            </w:pPr>
            <w:r w:rsidRPr="005634F2">
              <w:rPr>
                <w:rFonts w:asciiTheme="majorHAnsi" w:hAnsiTheme="majorHAnsi"/>
                <w:sz w:val="16"/>
                <w:szCs w:val="16"/>
                <w:lang w:eastAsia="cs-CZ"/>
              </w:rPr>
              <w:t>4) Metodika pre aplikovanie MSP testu</w:t>
            </w:r>
          </w:p>
          <w:p w:rsidR="00E16CCC" w:rsidRPr="00B763E3" w:rsidRDefault="00E16CCC" w:rsidP="005634F2">
            <w:pPr>
              <w:spacing w:before="0"/>
              <w:rPr>
                <w:rFonts w:asciiTheme="majorHAnsi" w:hAnsiTheme="majorHAnsi"/>
                <w:sz w:val="16"/>
                <w:szCs w:val="16"/>
                <w:lang w:eastAsia="cs-CZ"/>
              </w:rPr>
            </w:pPr>
            <w:r w:rsidRPr="005634F2">
              <w:rPr>
                <w:rFonts w:asciiTheme="majorHAnsi" w:hAnsiTheme="majorHAnsi"/>
                <w:sz w:val="16"/>
                <w:szCs w:val="16"/>
                <w:lang w:eastAsia="cs-CZ"/>
              </w:rPr>
              <w:t>Spracovanie metodiky pre aplikovanie MSP testu súvisí s potrebou zavedenia mechanizmu na posudzovanie vplyvu regulácií na MSP definovanou v zákone o podpore MSP a zároveň v Stratégii rozvoja MSP. MSP test je proces komplexného posudzovania vplyvu pripravovaných i existujúcich právnych predpisov na MSP. Cieľom metodiky pre aplik</w:t>
            </w:r>
            <w:r w:rsidR="00E61814" w:rsidRPr="00E61814">
              <w:rPr>
                <w:rFonts w:asciiTheme="majorHAnsi" w:hAnsiTheme="majorHAnsi"/>
                <w:sz w:val="16"/>
                <w:szCs w:val="16"/>
                <w:lang w:eastAsia="cs-CZ"/>
              </w:rPr>
              <w:t xml:space="preserve">ovanie MSP testu je integrovať </w:t>
            </w:r>
            <w:r w:rsidRPr="005634F2">
              <w:rPr>
                <w:rFonts w:asciiTheme="majorHAnsi" w:hAnsiTheme="majorHAnsi"/>
                <w:sz w:val="16"/>
                <w:szCs w:val="16"/>
                <w:lang w:eastAsia="cs-CZ"/>
              </w:rPr>
              <w:t>pravidlá a postupy pre vykonávanie MSP testu do jednotnej metodiky na posudzovanie vybraných vplyvov, a tým zabezpečiť ich uplatňovanie v legislatívnej praxi.</w:t>
            </w:r>
          </w:p>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Predloženie návrhu metodiky na medzirezortné pripomienkové konanie</w:t>
            </w:r>
          </w:p>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Predloženie metodiky na rokovanie vlády SR</w:t>
            </w:r>
          </w:p>
          <w:p w:rsidR="00BE1F95" w:rsidRPr="00B763E3" w:rsidRDefault="00E16CCC" w:rsidP="00B05B51">
            <w:pPr>
              <w:spacing w:before="0" w:line="276" w:lineRule="auto"/>
              <w:rPr>
                <w:rFonts w:asciiTheme="majorHAnsi" w:hAnsiTheme="majorHAnsi"/>
                <w:sz w:val="16"/>
                <w:szCs w:val="16"/>
                <w:lang w:eastAsia="cs-CZ"/>
              </w:rPr>
            </w:pPr>
            <w:r w:rsidRPr="005634F2">
              <w:rPr>
                <w:rFonts w:asciiTheme="majorHAnsi" w:hAnsiTheme="majorHAnsi"/>
                <w:sz w:val="16"/>
                <w:szCs w:val="16"/>
                <w:lang w:eastAsia="sk-SK"/>
              </w:rPr>
              <w:t xml:space="preserve">Sfunkčnenie metodiky pre aplikovanie MSP testu </w:t>
            </w:r>
          </w:p>
        </w:tc>
        <w:tc>
          <w:tcPr>
            <w:tcW w:w="2862" w:type="dxa"/>
            <w:gridSpan w:val="3"/>
            <w:tcBorders>
              <w:bottom w:val="single" w:sz="12" w:space="0" w:color="auto"/>
              <w:right w:val="single" w:sz="2" w:space="0" w:color="auto"/>
            </w:tcBorders>
          </w:tcPr>
          <w:p w:rsidR="004E2D6C" w:rsidRPr="00B763E3" w:rsidRDefault="004E2D6C" w:rsidP="004E2D6C">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E16CCC" w:rsidRPr="00B763E3" w:rsidRDefault="00E16CCC" w:rsidP="002C3B6D">
            <w:pPr>
              <w:spacing w:before="0" w:line="276" w:lineRule="auto"/>
              <w:rPr>
                <w:rFonts w:asciiTheme="majorHAnsi" w:hAnsiTheme="majorHAnsi"/>
                <w:sz w:val="16"/>
                <w:szCs w:val="16"/>
                <w:lang w:eastAsia="cs-CZ"/>
              </w:rPr>
            </w:pPr>
          </w:p>
          <w:p w:rsidR="002C3B6D" w:rsidRPr="00B763E3" w:rsidRDefault="002C3B6D" w:rsidP="002C3B6D">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3</w:t>
            </w:r>
            <w:r w:rsidR="00E16CCC" w:rsidRPr="00B763E3">
              <w:rPr>
                <w:rFonts w:asciiTheme="majorHAnsi" w:hAnsiTheme="majorHAnsi"/>
                <w:sz w:val="16"/>
                <w:szCs w:val="16"/>
                <w:lang w:eastAsia="cs-CZ"/>
              </w:rPr>
              <w:t>0</w:t>
            </w:r>
            <w:r w:rsidRPr="00B763E3">
              <w:rPr>
                <w:rFonts w:asciiTheme="majorHAnsi" w:hAnsiTheme="majorHAnsi"/>
                <w:sz w:val="16"/>
                <w:szCs w:val="16"/>
                <w:lang w:eastAsia="cs-CZ"/>
              </w:rPr>
              <w:t xml:space="preserve">. </w:t>
            </w:r>
            <w:r w:rsidR="00E16CCC" w:rsidRPr="00B763E3">
              <w:rPr>
                <w:rFonts w:asciiTheme="majorHAnsi" w:hAnsiTheme="majorHAnsi"/>
                <w:sz w:val="16"/>
                <w:szCs w:val="16"/>
                <w:lang w:eastAsia="cs-CZ"/>
              </w:rPr>
              <w:t>6</w:t>
            </w:r>
            <w:r w:rsidRPr="00B763E3">
              <w:rPr>
                <w:rFonts w:asciiTheme="majorHAnsi" w:hAnsiTheme="majorHAnsi"/>
                <w:sz w:val="16"/>
                <w:szCs w:val="16"/>
                <w:lang w:eastAsia="cs-CZ"/>
              </w:rPr>
              <w:t>. 2014</w:t>
            </w:r>
          </w:p>
          <w:p w:rsidR="002C3B6D" w:rsidRPr="00B763E3" w:rsidRDefault="002C3B6D" w:rsidP="002C3B6D">
            <w:pPr>
              <w:spacing w:before="0" w:line="276" w:lineRule="auto"/>
              <w:rPr>
                <w:rFonts w:asciiTheme="majorHAnsi" w:hAnsiTheme="majorHAnsi"/>
                <w:sz w:val="16"/>
                <w:szCs w:val="16"/>
                <w:lang w:eastAsia="cs-CZ"/>
              </w:rPr>
            </w:pPr>
          </w:p>
          <w:p w:rsidR="004E2D6C" w:rsidRPr="00B763E3" w:rsidRDefault="002C3B6D"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3</w:t>
            </w:r>
            <w:r w:rsidR="00E16CCC" w:rsidRPr="00B763E3">
              <w:rPr>
                <w:rFonts w:asciiTheme="majorHAnsi" w:hAnsiTheme="majorHAnsi"/>
                <w:sz w:val="16"/>
                <w:szCs w:val="16"/>
                <w:lang w:eastAsia="cs-CZ"/>
              </w:rPr>
              <w:t>1</w:t>
            </w:r>
            <w:r w:rsidRPr="00B763E3">
              <w:rPr>
                <w:rFonts w:asciiTheme="majorHAnsi" w:hAnsiTheme="majorHAnsi"/>
                <w:sz w:val="16"/>
                <w:szCs w:val="16"/>
                <w:lang w:eastAsia="cs-CZ"/>
              </w:rPr>
              <w:t xml:space="preserve">. </w:t>
            </w:r>
            <w:r w:rsidR="00E16CCC" w:rsidRPr="00B763E3">
              <w:rPr>
                <w:rFonts w:asciiTheme="majorHAnsi" w:hAnsiTheme="majorHAnsi"/>
                <w:sz w:val="16"/>
                <w:szCs w:val="16"/>
                <w:lang w:eastAsia="cs-CZ"/>
              </w:rPr>
              <w:t>8</w:t>
            </w:r>
            <w:r w:rsidRPr="00B763E3">
              <w:rPr>
                <w:rFonts w:asciiTheme="majorHAnsi" w:hAnsiTheme="majorHAnsi"/>
                <w:sz w:val="16"/>
                <w:szCs w:val="16"/>
                <w:lang w:eastAsia="cs-CZ"/>
              </w:rPr>
              <w:t>. 2014</w:t>
            </w:r>
          </w:p>
          <w:p w:rsidR="00E16CCC" w:rsidRPr="00B763E3" w:rsidRDefault="00E16CC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1. 1. 2015</w:t>
            </w:r>
          </w:p>
        </w:tc>
        <w:tc>
          <w:tcPr>
            <w:tcW w:w="2346" w:type="dxa"/>
            <w:vMerge/>
            <w:tcBorders>
              <w:left w:val="single" w:sz="2" w:space="0" w:color="auto"/>
              <w:right w:val="single" w:sz="12" w:space="0" w:color="auto"/>
            </w:tcBorders>
          </w:tcPr>
          <w:p w:rsidR="004E2D6C" w:rsidRPr="00B763E3" w:rsidRDefault="004E2D6C" w:rsidP="004E2D6C">
            <w:pPr>
              <w:spacing w:before="0" w:line="276" w:lineRule="auto"/>
              <w:rPr>
                <w:rFonts w:asciiTheme="majorHAnsi" w:hAnsiTheme="majorHAnsi"/>
                <w:sz w:val="16"/>
                <w:szCs w:val="16"/>
                <w:lang w:eastAsia="cs-CZ"/>
              </w:rPr>
            </w:pPr>
          </w:p>
        </w:tc>
      </w:tr>
      <w:tr w:rsidR="004E2D6C" w:rsidRPr="00DF567A" w:rsidTr="00BA185A">
        <w:trPr>
          <w:trHeight w:val="557"/>
        </w:trPr>
        <w:tc>
          <w:tcPr>
            <w:tcW w:w="1949" w:type="dxa"/>
            <w:tcBorders>
              <w:top w:val="single" w:sz="12" w:space="0" w:color="auto"/>
              <w:left w:val="single" w:sz="12" w:space="0" w:color="auto"/>
            </w:tcBorders>
          </w:tcPr>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5.1. Predchádzanie rizikám a riadenie rizika: existencia národných alebo regionálnych hodnotení rizík na účely riadenia katastrof s ohľadom na prispôsobovanie sa zmene klímy.</w:t>
            </w:r>
          </w:p>
        </w:tc>
        <w:tc>
          <w:tcPr>
            <w:tcW w:w="2100" w:type="dxa"/>
            <w:gridSpan w:val="2"/>
            <w:tcBorders>
              <w:top w:val="single" w:sz="12" w:space="0" w:color="auto"/>
            </w:tcBorders>
          </w:tcPr>
          <w:p w:rsidR="0033145A" w:rsidRPr="00064274" w:rsidRDefault="0033145A" w:rsidP="0033145A">
            <w:pPr>
              <w:pStyle w:val="Odsekzoznamu"/>
              <w:numPr>
                <w:ilvl w:val="0"/>
                <w:numId w:val="100"/>
              </w:numPr>
              <w:spacing w:before="0"/>
              <w:ind w:left="175" w:hanging="175"/>
              <w:rPr>
                <w:rFonts w:ascii="Calibri" w:hAnsi="Calibri"/>
                <w:sz w:val="16"/>
                <w:szCs w:val="16"/>
              </w:rPr>
            </w:pPr>
            <w:r w:rsidRPr="00064274">
              <w:rPr>
                <w:rFonts w:ascii="Calibri" w:hAnsi="Calibri"/>
                <w:sz w:val="16"/>
                <w:szCs w:val="16"/>
              </w:rPr>
              <w:t>Zavedie sa národné alebo regionálne posúdenie rizika s týmito prvkami:</w:t>
            </w:r>
          </w:p>
          <w:p w:rsidR="004E2D6C" w:rsidRPr="00B763E3" w:rsidRDefault="00347E28" w:rsidP="004E2D6C">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opis postupu, metodiky, metód a údajov, ktoré nie sú citlivé, využívaných na posúdenie rizika, a kritériá prioritizácie investícií založených na riziku</w:t>
            </w:r>
          </w:p>
        </w:tc>
        <w:tc>
          <w:tcPr>
            <w:tcW w:w="4853" w:type="dxa"/>
            <w:gridSpan w:val="2"/>
            <w:tcBorders>
              <w:top w:val="single" w:sz="12" w:space="0" w:color="auto"/>
            </w:tcBorders>
          </w:tcPr>
          <w:p w:rsidR="004E2D6C" w:rsidRPr="00B763E3" w:rsidRDefault="00347E28" w:rsidP="004E2D6C">
            <w:pPr>
              <w:spacing w:before="0"/>
              <w:rPr>
                <w:rFonts w:asciiTheme="majorHAnsi" w:hAnsiTheme="majorHAnsi"/>
                <w:i/>
                <w:sz w:val="16"/>
                <w:szCs w:val="16"/>
              </w:rPr>
            </w:pPr>
            <w:r w:rsidRPr="00B763E3">
              <w:rPr>
                <w:rFonts w:asciiTheme="majorHAnsi" w:hAnsiTheme="majorHAnsi"/>
                <w:sz w:val="16"/>
                <w:szCs w:val="16"/>
              </w:rPr>
              <w:t>V súlade s čl. 6  Rozhodnutia Európskeho parlamentu a Rady č. 1313/2013/EÚ zo 17. 12. 2013 o mechanizme Únie v oblasti civilnej ochrany SR vypracuje posúdenie rizík na vnútroštátnej úrovni  a Komisii sprístupní zhrnutie ich relevantných prvkov, a to do 22. decembra 2015 a potom každé tri roky na základe už existujúcich a zavedených postupov a metód posúdenia rizika.</w:t>
            </w:r>
          </w:p>
        </w:tc>
        <w:tc>
          <w:tcPr>
            <w:tcW w:w="2862" w:type="dxa"/>
            <w:gridSpan w:val="3"/>
            <w:tcBorders>
              <w:top w:val="single" w:sz="12" w:space="0" w:color="auto"/>
            </w:tcBorders>
          </w:tcPr>
          <w:p w:rsidR="004E2D6C" w:rsidRPr="00B763E3" w:rsidRDefault="00347E28" w:rsidP="004E2D6C">
            <w:pPr>
              <w:spacing w:before="0"/>
              <w:rPr>
                <w:rFonts w:asciiTheme="majorHAnsi" w:hAnsiTheme="majorHAnsi"/>
                <w:sz w:val="16"/>
                <w:szCs w:val="16"/>
              </w:rPr>
            </w:pPr>
            <w:r w:rsidRPr="00B763E3">
              <w:rPr>
                <w:rFonts w:asciiTheme="majorHAnsi" w:hAnsiTheme="majorHAnsi"/>
                <w:sz w:val="16"/>
                <w:szCs w:val="16"/>
              </w:rPr>
              <w:t>22.</w:t>
            </w:r>
            <w:r w:rsidR="00267480" w:rsidRPr="00B763E3">
              <w:rPr>
                <w:rFonts w:asciiTheme="majorHAnsi" w:hAnsiTheme="majorHAnsi"/>
                <w:sz w:val="16"/>
                <w:szCs w:val="16"/>
              </w:rPr>
              <w:t xml:space="preserve"> </w:t>
            </w:r>
            <w:r w:rsidR="00C43D6C" w:rsidRPr="00B763E3">
              <w:rPr>
                <w:rFonts w:asciiTheme="majorHAnsi" w:hAnsiTheme="majorHAnsi"/>
                <w:sz w:val="16"/>
                <w:szCs w:val="16"/>
              </w:rPr>
              <w:t xml:space="preserve">12. </w:t>
            </w:r>
            <w:r w:rsidRPr="00B763E3">
              <w:rPr>
                <w:rFonts w:asciiTheme="majorHAnsi" w:hAnsiTheme="majorHAnsi"/>
                <w:sz w:val="16"/>
                <w:szCs w:val="16"/>
              </w:rPr>
              <w:t>2015</w:t>
            </w:r>
          </w:p>
        </w:tc>
        <w:tc>
          <w:tcPr>
            <w:tcW w:w="2346" w:type="dxa"/>
            <w:tcBorders>
              <w:top w:val="single" w:sz="12" w:space="0" w:color="auto"/>
              <w:right w:val="single" w:sz="12" w:space="0" w:color="auto"/>
            </w:tcBorders>
          </w:tcPr>
          <w:p w:rsidR="004E2D6C" w:rsidRPr="00B763E3" w:rsidRDefault="00C43D6C" w:rsidP="00C43D6C">
            <w:pPr>
              <w:spacing w:before="0"/>
              <w:rPr>
                <w:rFonts w:asciiTheme="majorHAnsi" w:hAnsiTheme="majorHAnsi"/>
                <w:sz w:val="16"/>
                <w:szCs w:val="16"/>
              </w:rPr>
            </w:pPr>
            <w:r w:rsidRPr="00B763E3">
              <w:rPr>
                <w:rFonts w:asciiTheme="majorHAnsi" w:hAnsiTheme="majorHAnsi"/>
                <w:sz w:val="16"/>
                <w:szCs w:val="16"/>
              </w:rPr>
              <w:t xml:space="preserve">MV </w:t>
            </w:r>
            <w:r w:rsidR="004E2D6C" w:rsidRPr="00B763E3">
              <w:rPr>
                <w:rFonts w:asciiTheme="majorHAnsi" w:hAnsiTheme="majorHAnsi"/>
                <w:sz w:val="16"/>
                <w:szCs w:val="16"/>
              </w:rPr>
              <w:t>SR</w:t>
            </w:r>
          </w:p>
        </w:tc>
      </w:tr>
      <w:tr w:rsidR="004E2D6C" w:rsidRPr="00DF567A" w:rsidTr="00BA185A">
        <w:trPr>
          <w:trHeight w:val="719"/>
        </w:trPr>
        <w:tc>
          <w:tcPr>
            <w:tcW w:w="1949" w:type="dxa"/>
            <w:vMerge w:val="restart"/>
            <w:tcBorders>
              <w:left w:val="single" w:sz="12" w:space="0" w:color="auto"/>
            </w:tcBorders>
          </w:tcPr>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6.1. Vodné hospodárstvo: Existencia a) cenovej politiky v oblasti vôd, ktorá zabezpečuje primerané stimuly pre používateľov na efektívne využívanie vody a b) primeraný príspevok rozličných spôsobov využívania vody na úhradu nákladov za </w:t>
            </w:r>
            <w:r w:rsidRPr="00B763E3">
              <w:rPr>
                <w:rFonts w:asciiTheme="majorHAnsi" w:hAnsiTheme="majorHAnsi"/>
                <w:sz w:val="16"/>
                <w:szCs w:val="16"/>
                <w:lang w:eastAsia="cs-CZ"/>
              </w:rPr>
              <w:lastRenderedPageBreak/>
              <w:t>vodohospodárske služby vo výške schválenej v pláne riadenia povodia pre investície podporené z operačných programov.</w:t>
            </w:r>
          </w:p>
        </w:tc>
        <w:tc>
          <w:tcPr>
            <w:tcW w:w="2100" w:type="dxa"/>
            <w:gridSpan w:val="2"/>
          </w:tcPr>
          <w:p w:rsidR="004E2D6C" w:rsidRPr="00B763E3" w:rsidRDefault="004E2D6C" w:rsidP="004E2D6C">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lastRenderedPageBreak/>
              <w:t xml:space="preserve">V sektoroch podporovaných z EFRR a Kohézneho fondu členský štát zabezpečil príspevok rôznych spôsobov využívania vody k úhrade nákladov na vodohospodárske služby podľa sektorov v súlade </w:t>
            </w:r>
            <w:r w:rsidR="00544389" w:rsidRPr="00B763E3">
              <w:rPr>
                <w:rFonts w:asciiTheme="majorHAnsi" w:hAnsiTheme="majorHAnsi"/>
                <w:sz w:val="16"/>
                <w:szCs w:val="16"/>
                <w:lang w:eastAsia="sk-SK"/>
              </w:rPr>
              <w:br/>
            </w:r>
            <w:r w:rsidRPr="00B763E3">
              <w:rPr>
                <w:rFonts w:asciiTheme="majorHAnsi" w:hAnsiTheme="majorHAnsi"/>
                <w:sz w:val="16"/>
                <w:szCs w:val="16"/>
                <w:lang w:eastAsia="sk-SK"/>
              </w:rPr>
              <w:t xml:space="preserve">s článkom 9 ods. 1 prvou zarážkou smernice 2000/60/ES podľa potreby so zreteľom na sociálne, environmentálne </w:t>
            </w:r>
            <w:r w:rsidR="00544389" w:rsidRPr="00B763E3">
              <w:rPr>
                <w:rFonts w:asciiTheme="majorHAnsi" w:hAnsiTheme="majorHAnsi"/>
                <w:sz w:val="16"/>
                <w:szCs w:val="16"/>
                <w:lang w:eastAsia="sk-SK"/>
              </w:rPr>
              <w:br/>
            </w:r>
            <w:r w:rsidRPr="00B763E3">
              <w:rPr>
                <w:rFonts w:asciiTheme="majorHAnsi" w:hAnsiTheme="majorHAnsi"/>
                <w:sz w:val="16"/>
                <w:szCs w:val="16"/>
                <w:lang w:eastAsia="sk-SK"/>
              </w:rPr>
              <w:lastRenderedPageBreak/>
              <w:t>a hospodárske účinky tejto úhrady, ako aj na geografické a klimatické podmienky dotknutého regiónu alebo regiónov.</w:t>
            </w:r>
          </w:p>
        </w:tc>
        <w:tc>
          <w:tcPr>
            <w:tcW w:w="4853" w:type="dxa"/>
            <w:gridSpan w:val="2"/>
          </w:tcPr>
          <w:p w:rsidR="004E2D6C" w:rsidRPr="00B763E3" w:rsidRDefault="004E2D6C" w:rsidP="005634F2">
            <w:pPr>
              <w:spacing w:before="0" w:after="200"/>
              <w:rPr>
                <w:rFonts w:asciiTheme="majorHAnsi" w:hAnsiTheme="majorHAnsi"/>
                <w:sz w:val="16"/>
                <w:szCs w:val="16"/>
              </w:rPr>
            </w:pPr>
            <w:r w:rsidRPr="00B763E3">
              <w:rPr>
                <w:rFonts w:asciiTheme="majorHAnsi" w:hAnsiTheme="majorHAnsi"/>
                <w:sz w:val="16"/>
                <w:szCs w:val="16"/>
              </w:rPr>
              <w:lastRenderedPageBreak/>
              <w:t xml:space="preserve">Zahrnutie povinnosti úhrady nákladov za služby spojené s odberom vody na zavlažovanie poľnohospodárskej pôdy (ďalej len „závlahy“) prostredníctvom primeraného príspevku (platby) ako úhrada nákladov za vodohospodárske služby v zmysle zavedenia stimulačnej cenovej politiky podľa čl. 9 Rámcovej smernice o vode </w:t>
            </w:r>
            <w:r w:rsidRPr="005634F2">
              <w:rPr>
                <w:rFonts w:asciiTheme="majorHAnsi" w:hAnsiTheme="majorHAnsi"/>
                <w:sz w:val="16"/>
                <w:szCs w:val="16"/>
                <w:u w:val="single"/>
              </w:rPr>
              <w:t xml:space="preserve">do novely zákona č. 364/2004 Z. z. o vodách (vodný zákon) </w:t>
            </w:r>
            <w:r w:rsidRPr="005634F2">
              <w:rPr>
                <w:rFonts w:asciiTheme="majorHAnsi" w:hAnsiTheme="majorHAnsi"/>
                <w:sz w:val="16"/>
                <w:szCs w:val="16"/>
              </w:rPr>
              <w:t>v</w:t>
            </w:r>
            <w:r w:rsidRPr="00B763E3">
              <w:rPr>
                <w:rFonts w:asciiTheme="majorHAnsi" w:hAnsiTheme="majorHAnsi"/>
                <w:sz w:val="16"/>
                <w:szCs w:val="16"/>
              </w:rPr>
              <w:t xml:space="preserve"> znení neskorších predpisov, následne novely nariadenia vlády SR č. 755/2005 Z. z., ktorým sa ustanovuje výška neregulovaných platieb, výška poplatkov </w:t>
            </w:r>
            <w:r w:rsidR="00544389" w:rsidRPr="00B763E3">
              <w:rPr>
                <w:rFonts w:asciiTheme="majorHAnsi" w:hAnsiTheme="majorHAnsi"/>
                <w:sz w:val="16"/>
                <w:szCs w:val="16"/>
              </w:rPr>
              <w:br/>
            </w:r>
            <w:r w:rsidRPr="00B763E3">
              <w:rPr>
                <w:rFonts w:asciiTheme="majorHAnsi" w:hAnsiTheme="majorHAnsi"/>
                <w:sz w:val="16"/>
                <w:szCs w:val="16"/>
              </w:rPr>
              <w:t>a podrobnosti súvisiace so spoplatňovaním užívania vôd (zmena v nariadení vlády SR č. 367/2008 Z. z.)</w:t>
            </w:r>
            <w:r w:rsidR="00DE7098" w:rsidRPr="00B763E3">
              <w:rPr>
                <w:rFonts w:asciiTheme="majorHAnsi" w:hAnsiTheme="majorHAnsi"/>
                <w:sz w:val="16"/>
                <w:szCs w:val="16"/>
              </w:rPr>
              <w:t>.</w:t>
            </w:r>
            <w:r w:rsidRPr="00B763E3">
              <w:rPr>
                <w:rFonts w:asciiTheme="majorHAnsi" w:hAnsiTheme="majorHAnsi"/>
                <w:sz w:val="16"/>
                <w:szCs w:val="16"/>
              </w:rPr>
              <w:t xml:space="preserve"> </w:t>
            </w:r>
          </w:p>
          <w:p w:rsidR="004E2D6C" w:rsidRPr="005634F2" w:rsidRDefault="004E2D6C" w:rsidP="004E2D6C">
            <w:pPr>
              <w:spacing w:before="0" w:after="0"/>
              <w:rPr>
                <w:rFonts w:asciiTheme="majorHAnsi" w:hAnsiTheme="majorHAnsi"/>
                <w:sz w:val="16"/>
                <w:szCs w:val="16"/>
              </w:rPr>
            </w:pPr>
            <w:r w:rsidRPr="005634F2">
              <w:rPr>
                <w:rFonts w:asciiTheme="majorHAnsi" w:hAnsiTheme="majorHAnsi"/>
                <w:sz w:val="16"/>
                <w:szCs w:val="16"/>
              </w:rPr>
              <w:t>SR priprav</w:t>
            </w:r>
            <w:r w:rsidR="002F62D4" w:rsidRPr="005634F2">
              <w:rPr>
                <w:rFonts w:asciiTheme="majorHAnsi" w:hAnsiTheme="majorHAnsi"/>
                <w:sz w:val="16"/>
                <w:szCs w:val="16"/>
              </w:rPr>
              <w:t>ila</w:t>
            </w:r>
            <w:r w:rsidRPr="005634F2">
              <w:rPr>
                <w:rFonts w:asciiTheme="majorHAnsi" w:hAnsiTheme="majorHAnsi"/>
                <w:sz w:val="16"/>
                <w:szCs w:val="16"/>
              </w:rPr>
              <w:t xml:space="preserve"> novelu zákona č. 364/2004 Z. z. o vodách (vodný zákon), ktorá obsahuje aj:</w:t>
            </w:r>
          </w:p>
          <w:p w:rsidR="004E2D6C" w:rsidRPr="005634F2" w:rsidRDefault="004E2D6C" w:rsidP="00691C8F">
            <w:pPr>
              <w:numPr>
                <w:ilvl w:val="0"/>
                <w:numId w:val="61"/>
              </w:numPr>
              <w:spacing w:before="0" w:after="0" w:line="276" w:lineRule="auto"/>
              <w:ind w:left="238" w:hanging="142"/>
              <w:rPr>
                <w:rFonts w:asciiTheme="majorHAnsi" w:hAnsiTheme="majorHAnsi"/>
                <w:sz w:val="16"/>
                <w:szCs w:val="16"/>
                <w:lang w:eastAsia="en-GB"/>
              </w:rPr>
            </w:pPr>
            <w:r w:rsidRPr="005634F2">
              <w:rPr>
                <w:rFonts w:asciiTheme="majorHAnsi" w:hAnsiTheme="majorHAnsi"/>
                <w:sz w:val="16"/>
                <w:szCs w:val="16"/>
              </w:rPr>
              <w:lastRenderedPageBreak/>
              <w:t>opätovné spoplatnenie odberov vody na závlahy, ktoré boli politickým rozhodnutím zrušené v roku 2004,</w:t>
            </w:r>
          </w:p>
          <w:p w:rsidR="004E2D6C" w:rsidRPr="005634F2" w:rsidRDefault="004E2D6C" w:rsidP="00691C8F">
            <w:pPr>
              <w:numPr>
                <w:ilvl w:val="0"/>
                <w:numId w:val="61"/>
              </w:numPr>
              <w:spacing w:before="0" w:after="0" w:line="276" w:lineRule="auto"/>
              <w:ind w:left="238" w:hanging="142"/>
              <w:rPr>
                <w:rFonts w:asciiTheme="majorHAnsi" w:hAnsiTheme="majorHAnsi"/>
                <w:sz w:val="16"/>
                <w:szCs w:val="16"/>
                <w:lang w:eastAsia="en-GB"/>
              </w:rPr>
            </w:pPr>
            <w:r w:rsidRPr="005634F2">
              <w:rPr>
                <w:rFonts w:asciiTheme="majorHAnsi" w:hAnsiTheme="majorHAnsi"/>
                <w:sz w:val="16"/>
                <w:szCs w:val="16"/>
              </w:rPr>
              <w:t>predmetné návrhy novely zákona ešte musia prejsť celým legislatívnym  procesom. Následne bude pripravený vykonávací predpis na legislatívny proces – novela nariadenia vlády SR č. 755/2004 Z. z., ktorým sa ustanovuje výška neregulovaných platieb, výška poplatkov a podrobnosti súvisiace so spoplatňovaním užívania vôd.</w:t>
            </w:r>
          </w:p>
          <w:p w:rsidR="004E2D6C" w:rsidRPr="005634F2" w:rsidRDefault="004E2D6C" w:rsidP="004E2D6C">
            <w:pPr>
              <w:spacing w:before="0" w:after="0"/>
              <w:ind w:left="720"/>
              <w:rPr>
                <w:rFonts w:asciiTheme="majorHAnsi" w:hAnsiTheme="majorHAnsi"/>
                <w:sz w:val="16"/>
                <w:szCs w:val="16"/>
              </w:rPr>
            </w:pPr>
          </w:p>
          <w:p w:rsidR="004E2D6C" w:rsidRPr="005634F2" w:rsidRDefault="004E2D6C" w:rsidP="004E2D6C">
            <w:pPr>
              <w:spacing w:before="0" w:after="0"/>
              <w:rPr>
                <w:rFonts w:asciiTheme="majorHAnsi" w:hAnsiTheme="majorHAnsi"/>
                <w:sz w:val="16"/>
                <w:szCs w:val="16"/>
              </w:rPr>
            </w:pPr>
            <w:r w:rsidRPr="005634F2">
              <w:rPr>
                <w:rFonts w:asciiTheme="majorHAnsi" w:hAnsiTheme="majorHAnsi"/>
                <w:sz w:val="16"/>
                <w:szCs w:val="16"/>
              </w:rPr>
              <w:t>Ďalej treba uviesť, že v SR existuje regulácia vodohospodárskych služieb týkajúcich sa:</w:t>
            </w:r>
          </w:p>
          <w:p w:rsidR="004E2D6C" w:rsidRPr="005634F2" w:rsidRDefault="004E2D6C" w:rsidP="00691C8F">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výroby, distribúcie a dodávky pitnej vody verejným vodovodom a odvádzania a čistenia odpadových vôd verejnou kanalizáciou,</w:t>
            </w:r>
          </w:p>
          <w:p w:rsidR="004E2D6C" w:rsidRPr="005634F2" w:rsidRDefault="004E2D6C" w:rsidP="00691C8F">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využívania hydroenergetického potenciálu vodných tokov,</w:t>
            </w:r>
          </w:p>
          <w:p w:rsidR="004E2D6C" w:rsidRPr="005634F2" w:rsidRDefault="004E2D6C" w:rsidP="00691C8F">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odberov energetickej vody z vodných tokov na vodných stavbách,</w:t>
            </w:r>
          </w:p>
          <w:p w:rsidR="004E2D6C" w:rsidRPr="005634F2" w:rsidRDefault="004E2D6C" w:rsidP="00691C8F">
            <w:pPr>
              <w:numPr>
                <w:ilvl w:val="0"/>
                <w:numId w:val="61"/>
              </w:numPr>
              <w:spacing w:before="0" w:after="0" w:line="276" w:lineRule="auto"/>
              <w:ind w:left="238" w:hanging="108"/>
              <w:rPr>
                <w:rFonts w:asciiTheme="majorHAnsi" w:hAnsiTheme="majorHAnsi"/>
                <w:sz w:val="16"/>
                <w:szCs w:val="16"/>
                <w:lang w:eastAsia="en-GB"/>
              </w:rPr>
            </w:pPr>
            <w:r w:rsidRPr="005634F2">
              <w:rPr>
                <w:rFonts w:asciiTheme="majorHAnsi" w:hAnsiTheme="majorHAnsi"/>
                <w:sz w:val="16"/>
                <w:szCs w:val="16"/>
              </w:rPr>
              <w:t>odberov povrchovej vody z vodných tokov.</w:t>
            </w:r>
          </w:p>
          <w:p w:rsidR="004E2D6C" w:rsidRPr="005634F2"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i/>
                <w:sz w:val="16"/>
                <w:szCs w:val="16"/>
              </w:rPr>
            </w:pPr>
            <w:r w:rsidRPr="005634F2">
              <w:rPr>
                <w:rFonts w:asciiTheme="majorHAnsi" w:hAnsiTheme="majorHAnsi"/>
                <w:sz w:val="16"/>
                <w:szCs w:val="16"/>
              </w:rPr>
              <w:t>Regulácia uvedených vodohospodárskych služieb je uskutočňovaná prostredníctvom ÚRSO. Ceny za všetky tieto vodohospodárske služby sú jednotné pre všetky sektory (domácnosti, priemysel, poľnohospodárstvo). Tento spôsob regulácie je zakotvený v Regulačnej politike ÚRSO, platnej na dané obdobie (v súčasnosti pre roky 2012 - 2016).</w:t>
            </w:r>
          </w:p>
        </w:tc>
        <w:tc>
          <w:tcPr>
            <w:tcW w:w="2862" w:type="dxa"/>
            <w:gridSpan w:val="3"/>
          </w:tcPr>
          <w:p w:rsidR="004E2D6C" w:rsidRPr="00B763E3" w:rsidRDefault="00C43D6C" w:rsidP="004E2D6C">
            <w:pPr>
              <w:spacing w:before="0" w:after="0"/>
              <w:rPr>
                <w:rFonts w:asciiTheme="majorHAnsi" w:hAnsiTheme="majorHAnsi"/>
                <w:sz w:val="16"/>
                <w:szCs w:val="16"/>
              </w:rPr>
            </w:pPr>
            <w:r w:rsidRPr="00B763E3">
              <w:rPr>
                <w:rFonts w:asciiTheme="majorHAnsi" w:hAnsiTheme="majorHAnsi"/>
                <w:sz w:val="16"/>
                <w:szCs w:val="16"/>
              </w:rPr>
              <w:lastRenderedPageBreak/>
              <w:t xml:space="preserve">31. 12. </w:t>
            </w:r>
            <w:r w:rsidR="004E2D6C" w:rsidRPr="00B763E3">
              <w:rPr>
                <w:rFonts w:asciiTheme="majorHAnsi" w:hAnsiTheme="majorHAnsi"/>
                <w:sz w:val="16"/>
                <w:szCs w:val="16"/>
              </w:rPr>
              <w:t>2014</w:t>
            </w:r>
          </w:p>
        </w:tc>
        <w:tc>
          <w:tcPr>
            <w:tcW w:w="2346" w:type="dxa"/>
            <w:vMerge w:val="restart"/>
            <w:tcBorders>
              <w:right w:val="single" w:sz="12" w:space="0" w:color="auto"/>
            </w:tcBorders>
          </w:tcPr>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r w:rsidRPr="00B763E3">
              <w:rPr>
                <w:rFonts w:asciiTheme="majorHAnsi" w:hAnsiTheme="majorHAnsi"/>
                <w:sz w:val="16"/>
                <w:szCs w:val="16"/>
              </w:rPr>
              <w:t>MŽP SR</w:t>
            </w: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tc>
      </w:tr>
      <w:tr w:rsidR="004E2D6C" w:rsidRPr="00DF567A" w:rsidTr="00691C8F">
        <w:trPr>
          <w:trHeight w:val="560"/>
        </w:trPr>
        <w:tc>
          <w:tcPr>
            <w:tcW w:w="1949" w:type="dxa"/>
            <w:vMerge/>
            <w:tcBorders>
              <w:left w:val="single" w:sz="12" w:space="0" w:color="auto"/>
            </w:tcBorders>
          </w:tcPr>
          <w:p w:rsidR="004E2D6C" w:rsidRPr="00691C8F" w:rsidRDefault="004E2D6C" w:rsidP="004E2D6C">
            <w:pPr>
              <w:spacing w:before="0" w:line="276" w:lineRule="auto"/>
              <w:rPr>
                <w:rFonts w:asciiTheme="majorHAnsi" w:hAnsiTheme="majorHAnsi"/>
                <w:sz w:val="16"/>
                <w:szCs w:val="16"/>
                <w:lang w:eastAsia="cs-CZ"/>
              </w:rPr>
            </w:pPr>
          </w:p>
        </w:tc>
        <w:tc>
          <w:tcPr>
            <w:tcW w:w="2100" w:type="dxa"/>
            <w:gridSpan w:val="2"/>
            <w:vMerge w:val="restart"/>
          </w:tcPr>
          <w:p w:rsidR="004E2D6C" w:rsidRPr="00691C8F" w:rsidRDefault="004E2D6C" w:rsidP="004E2D6C">
            <w:pPr>
              <w:tabs>
                <w:tab w:val="left" w:pos="3"/>
                <w:tab w:val="num" w:pos="2580"/>
              </w:tabs>
              <w:spacing w:before="0"/>
              <w:rPr>
                <w:rFonts w:asciiTheme="majorHAnsi" w:hAnsiTheme="majorHAnsi"/>
                <w:sz w:val="16"/>
                <w:szCs w:val="16"/>
                <w:lang w:eastAsia="sk-SK"/>
              </w:rPr>
            </w:pPr>
            <w:r w:rsidRPr="00691C8F">
              <w:rPr>
                <w:rFonts w:asciiTheme="majorHAnsi" w:hAnsiTheme="majorHAnsi"/>
                <w:sz w:val="16"/>
                <w:szCs w:val="16"/>
                <w:lang w:eastAsia="sk-SK"/>
              </w:rPr>
              <w:t>Prijatie plánu manažmentu povodia pre správne územie povodia v súlade s článkom 13 smernice 2000/60/ES.</w:t>
            </w:r>
          </w:p>
        </w:tc>
        <w:tc>
          <w:tcPr>
            <w:tcW w:w="4853" w:type="dxa"/>
            <w:gridSpan w:val="2"/>
            <w:vAlign w:val="center"/>
          </w:tcPr>
          <w:p w:rsidR="004E2D6C" w:rsidRPr="00691C8F" w:rsidRDefault="004E2D6C" w:rsidP="004E2D6C">
            <w:pPr>
              <w:spacing w:before="0" w:after="0"/>
              <w:contextualSpacing/>
              <w:rPr>
                <w:rFonts w:asciiTheme="majorHAnsi" w:hAnsiTheme="majorHAnsi"/>
                <w:sz w:val="16"/>
                <w:szCs w:val="16"/>
              </w:rPr>
            </w:pPr>
            <w:r w:rsidRPr="00691C8F">
              <w:rPr>
                <w:rFonts w:asciiTheme="majorHAnsi" w:hAnsiTheme="majorHAnsi"/>
                <w:sz w:val="16"/>
                <w:szCs w:val="16"/>
              </w:rPr>
              <w:t>Realizácia programu monitorovania na príslušný rok na základe schváleného Rámcového programu monitorovania na roky 2010 - 2015 (ďalej len „Rámcový PM“).</w:t>
            </w:r>
          </w:p>
        </w:tc>
        <w:tc>
          <w:tcPr>
            <w:tcW w:w="2862" w:type="dxa"/>
            <w:gridSpan w:val="3"/>
            <w:vAlign w:val="center"/>
          </w:tcPr>
          <w:p w:rsidR="004E2D6C"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každoročne v súlade s Rámcovým programom monitorovania 2010 - 2015</w:t>
            </w:r>
          </w:p>
          <w:p w:rsidR="004E2D6C" w:rsidRPr="00691C8F" w:rsidRDefault="004E2D6C" w:rsidP="004E2D6C">
            <w:pPr>
              <w:spacing w:before="0" w:after="0"/>
              <w:rPr>
                <w:rFonts w:asciiTheme="majorHAnsi" w:hAnsiTheme="majorHAnsi"/>
                <w:sz w:val="16"/>
                <w:szCs w:val="16"/>
              </w:rPr>
            </w:pPr>
          </w:p>
          <w:p w:rsidR="004E2D6C" w:rsidRPr="00691C8F" w:rsidRDefault="004E2D6C" w:rsidP="004E2D6C">
            <w:pPr>
              <w:spacing w:before="0" w:after="0"/>
              <w:rPr>
                <w:rFonts w:asciiTheme="majorHAnsi" w:hAnsiTheme="majorHAnsi"/>
                <w:sz w:val="16"/>
                <w:szCs w:val="16"/>
              </w:rPr>
            </w:pPr>
          </w:p>
        </w:tc>
        <w:tc>
          <w:tcPr>
            <w:tcW w:w="2346" w:type="dxa"/>
            <w:vMerge/>
            <w:tcBorders>
              <w:right w:val="single" w:sz="12" w:space="0" w:color="auto"/>
            </w:tcBorders>
          </w:tcPr>
          <w:p w:rsidR="004E2D6C" w:rsidRPr="00691C8F" w:rsidRDefault="004E2D6C" w:rsidP="004E2D6C">
            <w:pPr>
              <w:spacing w:before="0" w:after="0"/>
              <w:rPr>
                <w:rFonts w:asciiTheme="majorHAnsi" w:hAnsiTheme="majorHAnsi"/>
                <w:sz w:val="16"/>
                <w:szCs w:val="16"/>
              </w:rPr>
            </w:pPr>
          </w:p>
        </w:tc>
      </w:tr>
      <w:tr w:rsidR="004E2D6C" w:rsidRPr="00DF567A" w:rsidTr="00691C8F">
        <w:trPr>
          <w:trHeight w:val="557"/>
        </w:trPr>
        <w:tc>
          <w:tcPr>
            <w:tcW w:w="1949" w:type="dxa"/>
            <w:vMerge/>
            <w:tcBorders>
              <w:left w:val="single" w:sz="12" w:space="0" w:color="auto"/>
            </w:tcBorders>
          </w:tcPr>
          <w:p w:rsidR="004E2D6C" w:rsidRPr="00691C8F" w:rsidRDefault="004E2D6C" w:rsidP="004E2D6C">
            <w:pPr>
              <w:spacing w:before="0" w:line="276" w:lineRule="auto"/>
              <w:rPr>
                <w:rFonts w:asciiTheme="majorHAnsi" w:hAnsiTheme="majorHAnsi"/>
                <w:sz w:val="16"/>
                <w:szCs w:val="16"/>
                <w:lang w:eastAsia="cs-CZ"/>
              </w:rPr>
            </w:pPr>
          </w:p>
        </w:tc>
        <w:tc>
          <w:tcPr>
            <w:tcW w:w="2100" w:type="dxa"/>
            <w:gridSpan w:val="2"/>
            <w:vMerge/>
          </w:tcPr>
          <w:p w:rsidR="004E2D6C" w:rsidRPr="00691C8F" w:rsidRDefault="004E2D6C" w:rsidP="004E2D6C">
            <w:pPr>
              <w:tabs>
                <w:tab w:val="left" w:pos="3"/>
                <w:tab w:val="num" w:pos="2580"/>
              </w:tabs>
              <w:spacing w:before="0"/>
              <w:rPr>
                <w:rFonts w:asciiTheme="majorHAnsi" w:hAnsiTheme="majorHAnsi"/>
                <w:sz w:val="16"/>
                <w:szCs w:val="16"/>
                <w:lang w:eastAsia="sk-SK"/>
              </w:rPr>
            </w:pPr>
          </w:p>
        </w:tc>
        <w:tc>
          <w:tcPr>
            <w:tcW w:w="4853" w:type="dxa"/>
            <w:gridSpan w:val="2"/>
            <w:vAlign w:val="center"/>
          </w:tcPr>
          <w:p w:rsidR="004E2D6C"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Hodnotenie ekologického stavu/potenciálu a chemického stavu útvarov povrchových vôd.</w:t>
            </w:r>
          </w:p>
        </w:tc>
        <w:tc>
          <w:tcPr>
            <w:tcW w:w="2862" w:type="dxa"/>
            <w:gridSpan w:val="3"/>
            <w:vAlign w:val="center"/>
          </w:tcPr>
          <w:p w:rsidR="004E2D6C" w:rsidRPr="00691C8F" w:rsidRDefault="00347E28" w:rsidP="004E2D6C">
            <w:pPr>
              <w:spacing w:before="0" w:after="0"/>
              <w:rPr>
                <w:rFonts w:asciiTheme="majorHAnsi" w:hAnsiTheme="majorHAnsi"/>
                <w:sz w:val="16"/>
                <w:szCs w:val="16"/>
              </w:rPr>
            </w:pPr>
            <w:r w:rsidRPr="00691C8F">
              <w:rPr>
                <w:rFonts w:asciiTheme="majorHAnsi" w:hAnsiTheme="majorHAnsi"/>
                <w:sz w:val="16"/>
                <w:szCs w:val="16"/>
              </w:rPr>
              <w:t>31.</w:t>
            </w:r>
            <w:r w:rsidR="00267480" w:rsidRPr="00691C8F">
              <w:rPr>
                <w:rFonts w:asciiTheme="majorHAnsi" w:hAnsiTheme="majorHAnsi"/>
                <w:sz w:val="16"/>
                <w:szCs w:val="16"/>
              </w:rPr>
              <w:t xml:space="preserve"> </w:t>
            </w:r>
            <w:r w:rsidRPr="00691C8F">
              <w:rPr>
                <w:rFonts w:asciiTheme="majorHAnsi" w:hAnsiTheme="majorHAnsi"/>
                <w:sz w:val="16"/>
                <w:szCs w:val="16"/>
              </w:rPr>
              <w:t>8.</w:t>
            </w:r>
            <w:r w:rsidR="005E23C5" w:rsidRPr="00691C8F">
              <w:rPr>
                <w:rFonts w:asciiTheme="majorHAnsi" w:hAnsiTheme="majorHAnsi"/>
                <w:sz w:val="16"/>
                <w:szCs w:val="16"/>
              </w:rPr>
              <w:t xml:space="preserve"> 2014</w:t>
            </w:r>
          </w:p>
        </w:tc>
        <w:tc>
          <w:tcPr>
            <w:tcW w:w="2346" w:type="dxa"/>
            <w:vMerge/>
            <w:tcBorders>
              <w:right w:val="single" w:sz="12" w:space="0" w:color="auto"/>
            </w:tcBorders>
          </w:tcPr>
          <w:p w:rsidR="004E2D6C" w:rsidRPr="00691C8F" w:rsidRDefault="004E2D6C" w:rsidP="004E2D6C">
            <w:pPr>
              <w:spacing w:before="0" w:after="0"/>
              <w:rPr>
                <w:rFonts w:asciiTheme="majorHAnsi" w:hAnsiTheme="majorHAnsi"/>
                <w:sz w:val="16"/>
                <w:szCs w:val="16"/>
              </w:rPr>
            </w:pPr>
          </w:p>
        </w:tc>
      </w:tr>
      <w:tr w:rsidR="004E2D6C" w:rsidRPr="00DF567A" w:rsidTr="00691C8F">
        <w:trPr>
          <w:trHeight w:val="606"/>
        </w:trPr>
        <w:tc>
          <w:tcPr>
            <w:tcW w:w="1949" w:type="dxa"/>
            <w:vMerge/>
            <w:tcBorders>
              <w:left w:val="single" w:sz="12" w:space="0" w:color="auto"/>
            </w:tcBorders>
          </w:tcPr>
          <w:p w:rsidR="004E2D6C" w:rsidRPr="008B2A4E" w:rsidRDefault="004E2D6C" w:rsidP="004E2D6C">
            <w:pPr>
              <w:spacing w:before="0" w:line="276" w:lineRule="auto"/>
              <w:rPr>
                <w:rFonts w:asciiTheme="majorHAnsi" w:hAnsiTheme="majorHAnsi"/>
                <w:sz w:val="16"/>
                <w:szCs w:val="16"/>
                <w:lang w:eastAsia="cs-CZ"/>
              </w:rPr>
            </w:pPr>
          </w:p>
        </w:tc>
        <w:tc>
          <w:tcPr>
            <w:tcW w:w="2100" w:type="dxa"/>
            <w:gridSpan w:val="2"/>
            <w:vMerge/>
          </w:tcPr>
          <w:p w:rsidR="004E2D6C" w:rsidRPr="008B2A4E" w:rsidRDefault="004E2D6C" w:rsidP="004E2D6C">
            <w:pPr>
              <w:tabs>
                <w:tab w:val="left" w:pos="3"/>
                <w:tab w:val="num" w:pos="2580"/>
              </w:tabs>
              <w:spacing w:before="0"/>
              <w:rPr>
                <w:rFonts w:asciiTheme="majorHAnsi" w:hAnsiTheme="majorHAnsi"/>
                <w:sz w:val="16"/>
                <w:szCs w:val="16"/>
                <w:lang w:eastAsia="sk-SK"/>
              </w:rPr>
            </w:pPr>
          </w:p>
        </w:tc>
        <w:tc>
          <w:tcPr>
            <w:tcW w:w="4853" w:type="dxa"/>
            <w:gridSpan w:val="2"/>
            <w:vAlign w:val="center"/>
          </w:tcPr>
          <w:p w:rsidR="005E23C5" w:rsidRPr="008B2A4E" w:rsidRDefault="004E2D6C" w:rsidP="00620D27">
            <w:pPr>
              <w:spacing w:before="0" w:after="0"/>
              <w:rPr>
                <w:rFonts w:asciiTheme="majorHAnsi" w:hAnsiTheme="majorHAnsi"/>
                <w:sz w:val="16"/>
                <w:szCs w:val="16"/>
              </w:rPr>
            </w:pPr>
            <w:r w:rsidRPr="008B2A4E">
              <w:rPr>
                <w:rFonts w:asciiTheme="majorHAnsi" w:hAnsiTheme="majorHAnsi"/>
                <w:sz w:val="16"/>
                <w:szCs w:val="16"/>
              </w:rPr>
              <w:t>Hodnotenie kvantitatívneho stavu a chemického stavu útvarov podzemných vôd.</w:t>
            </w:r>
          </w:p>
        </w:tc>
        <w:tc>
          <w:tcPr>
            <w:tcW w:w="2862" w:type="dxa"/>
            <w:gridSpan w:val="3"/>
            <w:vAlign w:val="center"/>
          </w:tcPr>
          <w:p w:rsidR="004E2D6C" w:rsidRPr="008B2A4E" w:rsidRDefault="00347E28" w:rsidP="004E2D6C">
            <w:pPr>
              <w:spacing w:before="0" w:after="0"/>
              <w:rPr>
                <w:rFonts w:asciiTheme="majorHAnsi" w:hAnsiTheme="majorHAnsi"/>
                <w:sz w:val="16"/>
                <w:szCs w:val="16"/>
              </w:rPr>
            </w:pPr>
            <w:r w:rsidRPr="008B2A4E">
              <w:rPr>
                <w:rFonts w:asciiTheme="majorHAnsi" w:hAnsiTheme="majorHAnsi"/>
                <w:sz w:val="16"/>
                <w:szCs w:val="16"/>
              </w:rPr>
              <w:t>31.</w:t>
            </w:r>
            <w:r w:rsidR="00267480" w:rsidRPr="008B2A4E">
              <w:rPr>
                <w:rFonts w:asciiTheme="majorHAnsi" w:hAnsiTheme="majorHAnsi"/>
                <w:sz w:val="16"/>
                <w:szCs w:val="16"/>
              </w:rPr>
              <w:t xml:space="preserve"> </w:t>
            </w:r>
            <w:r w:rsidRPr="008B2A4E">
              <w:rPr>
                <w:rFonts w:asciiTheme="majorHAnsi" w:hAnsiTheme="majorHAnsi"/>
                <w:sz w:val="16"/>
                <w:szCs w:val="16"/>
              </w:rPr>
              <w:t>8.</w:t>
            </w:r>
            <w:r w:rsidR="005E23C5" w:rsidRPr="008B2A4E">
              <w:rPr>
                <w:rFonts w:asciiTheme="majorHAnsi" w:hAnsiTheme="majorHAnsi"/>
                <w:sz w:val="16"/>
                <w:szCs w:val="16"/>
              </w:rPr>
              <w:t xml:space="preserve"> 2014</w:t>
            </w:r>
          </w:p>
          <w:p w:rsidR="005E23C5" w:rsidRPr="008B2A4E" w:rsidRDefault="005E23C5" w:rsidP="004E2D6C">
            <w:pPr>
              <w:spacing w:before="0" w:after="0"/>
              <w:rPr>
                <w:rFonts w:asciiTheme="majorHAnsi" w:hAnsiTheme="majorHAnsi"/>
                <w:sz w:val="16"/>
                <w:szCs w:val="16"/>
              </w:rPr>
            </w:pPr>
          </w:p>
        </w:tc>
        <w:tc>
          <w:tcPr>
            <w:tcW w:w="2346" w:type="dxa"/>
            <w:vMerge/>
            <w:tcBorders>
              <w:right w:val="single" w:sz="12" w:space="0" w:color="auto"/>
            </w:tcBorders>
          </w:tcPr>
          <w:p w:rsidR="004E2D6C" w:rsidRPr="008B2A4E" w:rsidRDefault="004E2D6C" w:rsidP="004E2D6C">
            <w:pPr>
              <w:spacing w:before="0" w:after="0"/>
              <w:rPr>
                <w:rFonts w:asciiTheme="majorHAnsi" w:hAnsiTheme="majorHAnsi"/>
                <w:sz w:val="16"/>
                <w:szCs w:val="16"/>
              </w:rPr>
            </w:pPr>
          </w:p>
        </w:tc>
      </w:tr>
      <w:tr w:rsidR="004E2D6C" w:rsidRPr="00DF567A" w:rsidTr="00691C8F">
        <w:trPr>
          <w:trHeight w:val="519"/>
        </w:trPr>
        <w:tc>
          <w:tcPr>
            <w:tcW w:w="1949" w:type="dxa"/>
            <w:vMerge/>
            <w:tcBorders>
              <w:left w:val="single" w:sz="12" w:space="0" w:color="auto"/>
            </w:tcBorders>
          </w:tcPr>
          <w:p w:rsidR="004E2D6C" w:rsidRPr="00691C8F" w:rsidRDefault="004E2D6C" w:rsidP="004E2D6C">
            <w:pPr>
              <w:spacing w:before="0" w:line="276" w:lineRule="auto"/>
              <w:rPr>
                <w:rFonts w:asciiTheme="majorHAnsi" w:hAnsiTheme="majorHAnsi"/>
                <w:sz w:val="16"/>
                <w:szCs w:val="16"/>
                <w:lang w:eastAsia="cs-CZ"/>
              </w:rPr>
            </w:pPr>
          </w:p>
        </w:tc>
        <w:tc>
          <w:tcPr>
            <w:tcW w:w="2100" w:type="dxa"/>
            <w:gridSpan w:val="2"/>
            <w:vMerge/>
          </w:tcPr>
          <w:p w:rsidR="004E2D6C" w:rsidRPr="00691C8F" w:rsidRDefault="004E2D6C" w:rsidP="004E2D6C">
            <w:pPr>
              <w:tabs>
                <w:tab w:val="left" w:pos="3"/>
                <w:tab w:val="num" w:pos="2580"/>
              </w:tabs>
              <w:spacing w:before="0"/>
              <w:rPr>
                <w:rFonts w:asciiTheme="majorHAnsi" w:hAnsiTheme="majorHAnsi"/>
                <w:sz w:val="16"/>
                <w:szCs w:val="16"/>
                <w:lang w:eastAsia="sk-SK"/>
              </w:rPr>
            </w:pPr>
          </w:p>
        </w:tc>
        <w:tc>
          <w:tcPr>
            <w:tcW w:w="4853" w:type="dxa"/>
            <w:gridSpan w:val="2"/>
            <w:vAlign w:val="center"/>
          </w:tcPr>
          <w:p w:rsidR="005E23C5" w:rsidRPr="00691C8F" w:rsidRDefault="004E2D6C" w:rsidP="00620D27">
            <w:pPr>
              <w:spacing w:before="0" w:after="0"/>
              <w:rPr>
                <w:rFonts w:asciiTheme="majorHAnsi" w:hAnsiTheme="majorHAnsi"/>
                <w:sz w:val="16"/>
                <w:szCs w:val="16"/>
              </w:rPr>
            </w:pPr>
            <w:r w:rsidRPr="00691C8F">
              <w:rPr>
                <w:rFonts w:asciiTheme="majorHAnsi" w:hAnsiTheme="majorHAnsi"/>
                <w:sz w:val="16"/>
                <w:szCs w:val="16"/>
              </w:rPr>
              <w:t>Vyhodnotenie pokroku pri dosahovaní environmentálnych cieľov.</w:t>
            </w:r>
          </w:p>
        </w:tc>
        <w:tc>
          <w:tcPr>
            <w:tcW w:w="2862" w:type="dxa"/>
            <w:gridSpan w:val="3"/>
            <w:vAlign w:val="center"/>
          </w:tcPr>
          <w:p w:rsidR="005E23C5"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2014</w:t>
            </w:r>
          </w:p>
        </w:tc>
        <w:tc>
          <w:tcPr>
            <w:tcW w:w="2346" w:type="dxa"/>
            <w:vMerge/>
            <w:tcBorders>
              <w:right w:val="single" w:sz="12" w:space="0" w:color="auto"/>
            </w:tcBorders>
          </w:tcPr>
          <w:p w:rsidR="004E2D6C" w:rsidRPr="00691C8F" w:rsidRDefault="004E2D6C" w:rsidP="004E2D6C">
            <w:pPr>
              <w:spacing w:before="0" w:after="0"/>
              <w:rPr>
                <w:rFonts w:asciiTheme="majorHAnsi" w:hAnsiTheme="majorHAnsi"/>
                <w:sz w:val="16"/>
                <w:szCs w:val="16"/>
              </w:rPr>
            </w:pPr>
          </w:p>
        </w:tc>
      </w:tr>
      <w:tr w:rsidR="004E2D6C" w:rsidRPr="00DF567A" w:rsidTr="00691C8F">
        <w:trPr>
          <w:trHeight w:val="281"/>
        </w:trPr>
        <w:tc>
          <w:tcPr>
            <w:tcW w:w="1949" w:type="dxa"/>
            <w:vMerge/>
            <w:tcBorders>
              <w:left w:val="single" w:sz="12" w:space="0" w:color="auto"/>
            </w:tcBorders>
          </w:tcPr>
          <w:p w:rsidR="004E2D6C" w:rsidRPr="00691C8F" w:rsidRDefault="004E2D6C" w:rsidP="004E2D6C">
            <w:pPr>
              <w:spacing w:before="0" w:line="276" w:lineRule="auto"/>
              <w:rPr>
                <w:rFonts w:asciiTheme="majorHAnsi" w:hAnsiTheme="majorHAnsi"/>
                <w:sz w:val="16"/>
                <w:szCs w:val="16"/>
                <w:lang w:eastAsia="cs-CZ"/>
              </w:rPr>
            </w:pPr>
          </w:p>
        </w:tc>
        <w:tc>
          <w:tcPr>
            <w:tcW w:w="2100" w:type="dxa"/>
            <w:gridSpan w:val="2"/>
            <w:vMerge/>
          </w:tcPr>
          <w:p w:rsidR="004E2D6C" w:rsidRPr="00691C8F" w:rsidRDefault="004E2D6C" w:rsidP="004E2D6C">
            <w:pPr>
              <w:tabs>
                <w:tab w:val="left" w:pos="3"/>
                <w:tab w:val="num" w:pos="2580"/>
              </w:tabs>
              <w:spacing w:before="0"/>
              <w:rPr>
                <w:rFonts w:asciiTheme="majorHAnsi" w:hAnsiTheme="majorHAnsi"/>
                <w:sz w:val="16"/>
                <w:szCs w:val="16"/>
                <w:lang w:eastAsia="sk-SK"/>
              </w:rPr>
            </w:pPr>
          </w:p>
        </w:tc>
        <w:tc>
          <w:tcPr>
            <w:tcW w:w="4853" w:type="dxa"/>
            <w:gridSpan w:val="2"/>
            <w:vAlign w:val="center"/>
          </w:tcPr>
          <w:p w:rsidR="004E2D6C"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Preverovanie, revízia a aktualizácia programu opatrení.</w:t>
            </w:r>
          </w:p>
        </w:tc>
        <w:tc>
          <w:tcPr>
            <w:tcW w:w="2862" w:type="dxa"/>
            <w:gridSpan w:val="3"/>
            <w:vAlign w:val="center"/>
          </w:tcPr>
          <w:p w:rsidR="004E2D6C"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2014</w:t>
            </w:r>
          </w:p>
        </w:tc>
        <w:tc>
          <w:tcPr>
            <w:tcW w:w="2346" w:type="dxa"/>
            <w:vMerge/>
            <w:tcBorders>
              <w:right w:val="single" w:sz="12" w:space="0" w:color="auto"/>
            </w:tcBorders>
          </w:tcPr>
          <w:p w:rsidR="004E2D6C" w:rsidRPr="00691C8F" w:rsidRDefault="004E2D6C" w:rsidP="004E2D6C">
            <w:pPr>
              <w:spacing w:before="0" w:after="0"/>
              <w:rPr>
                <w:rFonts w:asciiTheme="majorHAnsi" w:hAnsiTheme="majorHAnsi"/>
                <w:sz w:val="16"/>
                <w:szCs w:val="16"/>
              </w:rPr>
            </w:pPr>
          </w:p>
        </w:tc>
      </w:tr>
      <w:tr w:rsidR="004E2D6C" w:rsidRPr="00DF567A" w:rsidTr="00691C8F">
        <w:trPr>
          <w:trHeight w:val="257"/>
        </w:trPr>
        <w:tc>
          <w:tcPr>
            <w:tcW w:w="1949" w:type="dxa"/>
            <w:vMerge/>
            <w:tcBorders>
              <w:left w:val="single" w:sz="12" w:space="0" w:color="auto"/>
            </w:tcBorders>
          </w:tcPr>
          <w:p w:rsidR="004E2D6C" w:rsidRPr="00691C8F" w:rsidRDefault="004E2D6C" w:rsidP="004E2D6C">
            <w:pPr>
              <w:spacing w:before="0" w:line="276" w:lineRule="auto"/>
              <w:rPr>
                <w:rFonts w:asciiTheme="majorHAnsi" w:hAnsiTheme="majorHAnsi"/>
                <w:sz w:val="16"/>
                <w:szCs w:val="16"/>
                <w:lang w:eastAsia="cs-CZ"/>
              </w:rPr>
            </w:pPr>
          </w:p>
        </w:tc>
        <w:tc>
          <w:tcPr>
            <w:tcW w:w="2100" w:type="dxa"/>
            <w:gridSpan w:val="2"/>
            <w:vMerge/>
          </w:tcPr>
          <w:p w:rsidR="004E2D6C" w:rsidRPr="00691C8F" w:rsidRDefault="004E2D6C" w:rsidP="004E2D6C">
            <w:pPr>
              <w:tabs>
                <w:tab w:val="left" w:pos="3"/>
                <w:tab w:val="num" w:pos="2580"/>
              </w:tabs>
              <w:spacing w:before="0"/>
              <w:rPr>
                <w:rFonts w:asciiTheme="majorHAnsi" w:hAnsiTheme="majorHAnsi"/>
                <w:sz w:val="16"/>
                <w:szCs w:val="16"/>
                <w:lang w:eastAsia="sk-SK"/>
              </w:rPr>
            </w:pPr>
          </w:p>
        </w:tc>
        <w:tc>
          <w:tcPr>
            <w:tcW w:w="4853" w:type="dxa"/>
            <w:gridSpan w:val="2"/>
            <w:tcBorders>
              <w:bottom w:val="single" w:sz="4" w:space="0" w:color="auto"/>
            </w:tcBorders>
            <w:vAlign w:val="center"/>
          </w:tcPr>
          <w:p w:rsidR="004E2D6C"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Návrh plánov manažmentu povodí v súlade s čl. 13 RSV.</w:t>
            </w:r>
          </w:p>
        </w:tc>
        <w:tc>
          <w:tcPr>
            <w:tcW w:w="2862" w:type="dxa"/>
            <w:gridSpan w:val="3"/>
            <w:tcBorders>
              <w:bottom w:val="single" w:sz="12" w:space="0" w:color="auto"/>
            </w:tcBorders>
            <w:vAlign w:val="center"/>
          </w:tcPr>
          <w:p w:rsidR="004E2D6C"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2013 - 2015</w:t>
            </w:r>
          </w:p>
        </w:tc>
        <w:tc>
          <w:tcPr>
            <w:tcW w:w="2346" w:type="dxa"/>
            <w:vMerge/>
            <w:tcBorders>
              <w:bottom w:val="single" w:sz="12" w:space="0" w:color="auto"/>
              <w:right w:val="single" w:sz="12" w:space="0" w:color="auto"/>
            </w:tcBorders>
          </w:tcPr>
          <w:p w:rsidR="004E2D6C" w:rsidRPr="00691C8F" w:rsidRDefault="004E2D6C" w:rsidP="004E2D6C">
            <w:pPr>
              <w:spacing w:before="0" w:after="0"/>
              <w:rPr>
                <w:rFonts w:asciiTheme="majorHAnsi" w:hAnsiTheme="majorHAnsi"/>
                <w:sz w:val="16"/>
                <w:szCs w:val="16"/>
              </w:rPr>
            </w:pPr>
          </w:p>
        </w:tc>
      </w:tr>
      <w:tr w:rsidR="004E2D6C" w:rsidRPr="00DF567A" w:rsidTr="00BA185A">
        <w:trPr>
          <w:trHeight w:val="840"/>
        </w:trPr>
        <w:tc>
          <w:tcPr>
            <w:tcW w:w="1949" w:type="dxa"/>
            <w:tcBorders>
              <w:top w:val="single" w:sz="12" w:space="0" w:color="auto"/>
              <w:left w:val="single" w:sz="12" w:space="0" w:color="auto"/>
            </w:tcBorders>
          </w:tcPr>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6.2. Sektor odpadového hospodárstva: Podpora hospodárnych a environmentálne udržateľných investícií v sektore odpadového hospodárstva najmä prostredníctvom vypracovania plánov odpadového hospodárstva v súlade so smernicou 2008/98/ES o odpade a o zrušení určitých smerníc (ďalej len „smernica o odpade“) a v súlade s hierarchiou odpadového hospodárstva</w:t>
            </w:r>
          </w:p>
        </w:tc>
        <w:tc>
          <w:tcPr>
            <w:tcW w:w="2100" w:type="dxa"/>
            <w:gridSpan w:val="2"/>
            <w:tcBorders>
              <w:top w:val="single" w:sz="12" w:space="0" w:color="auto"/>
            </w:tcBorders>
          </w:tcPr>
          <w:p w:rsidR="004E2D6C" w:rsidRPr="00B763E3" w:rsidRDefault="00347E28" w:rsidP="004E2D6C">
            <w:pPr>
              <w:spacing w:before="0" w:after="0"/>
              <w:rPr>
                <w:rFonts w:asciiTheme="majorHAnsi" w:hAnsiTheme="majorHAnsi"/>
                <w:sz w:val="16"/>
                <w:szCs w:val="16"/>
              </w:rPr>
            </w:pPr>
            <w:r w:rsidRPr="00B763E3">
              <w:rPr>
                <w:rFonts w:asciiTheme="majorHAnsi" w:hAnsiTheme="majorHAnsi"/>
                <w:sz w:val="16"/>
                <w:szCs w:val="16"/>
              </w:rPr>
              <w:t>d) Prijali sa opatrenia potrebné na dosiahnutie cieľov prípravy na opätovné použitie a recykláciu do roku 2020 v súlade s článkom 11 ods. 2 smernice 2008/98/ES.</w:t>
            </w:r>
          </w:p>
        </w:tc>
        <w:tc>
          <w:tcPr>
            <w:tcW w:w="4853" w:type="dxa"/>
            <w:gridSpan w:val="2"/>
            <w:tcBorders>
              <w:top w:val="single" w:sz="4" w:space="0" w:color="auto"/>
            </w:tcBorders>
          </w:tcPr>
          <w:p w:rsidR="00347E28" w:rsidRPr="00B763E3" w:rsidRDefault="00347E28" w:rsidP="004E2D6C">
            <w:pPr>
              <w:spacing w:before="0" w:after="0"/>
              <w:rPr>
                <w:rFonts w:asciiTheme="majorHAnsi" w:hAnsiTheme="majorHAnsi"/>
                <w:sz w:val="16"/>
                <w:szCs w:val="16"/>
              </w:rPr>
            </w:pPr>
            <w:r w:rsidRPr="00B763E3">
              <w:rPr>
                <w:rFonts w:asciiTheme="majorHAnsi" w:hAnsiTheme="majorHAnsi"/>
                <w:sz w:val="16"/>
                <w:szCs w:val="16"/>
              </w:rPr>
              <w:t>Zavedenie zákazu skládkovania vytriedeného biologicky rozložiteľného odpadu za účelom obmedzovania ukladania biologicky rozložiteľných odpadov na skládky odpadov podľa cieľov smernice 1999/31/ES (nadobudnutím účinnosti nového zákona o odpadoch)</w:t>
            </w:r>
            <w:r w:rsidR="00A655E8" w:rsidRPr="00B763E3">
              <w:rPr>
                <w:rFonts w:asciiTheme="majorHAnsi" w:hAnsiTheme="majorHAnsi"/>
                <w:sz w:val="16"/>
                <w:szCs w:val="16"/>
              </w:rPr>
              <w:t>.</w:t>
            </w:r>
          </w:p>
          <w:p w:rsidR="00347E28" w:rsidRPr="00B763E3" w:rsidRDefault="00347E28" w:rsidP="004E2D6C">
            <w:pPr>
              <w:spacing w:before="0" w:after="0"/>
              <w:rPr>
                <w:rFonts w:asciiTheme="majorHAnsi" w:hAnsiTheme="majorHAnsi"/>
                <w:sz w:val="16"/>
                <w:szCs w:val="16"/>
              </w:rPr>
            </w:pPr>
          </w:p>
          <w:p w:rsidR="004454B6" w:rsidRPr="00B763E3" w:rsidRDefault="00347E28" w:rsidP="004E2D6C">
            <w:pPr>
              <w:spacing w:before="0" w:after="0"/>
              <w:rPr>
                <w:rFonts w:asciiTheme="majorHAnsi" w:hAnsiTheme="majorHAnsi"/>
                <w:sz w:val="16"/>
                <w:szCs w:val="16"/>
              </w:rPr>
            </w:pPr>
            <w:r w:rsidRPr="00B763E3">
              <w:rPr>
                <w:rFonts w:asciiTheme="majorHAnsi" w:hAnsiTheme="majorHAnsi"/>
                <w:sz w:val="16"/>
                <w:szCs w:val="16"/>
              </w:rPr>
              <w:t>Zavedenie zákazu skládkovania vytriedených zložiek komunálneho odpadu v súvislosti s cieľmi smernice 2008/98/ES týkajúcich sa opätovného použitia a recyklácie pre komunálny odpad (nadobudnutím účinnosti nového zákona o</w:t>
            </w:r>
            <w:r w:rsidR="00A655E8" w:rsidRPr="00B763E3">
              <w:rPr>
                <w:rFonts w:asciiTheme="majorHAnsi" w:hAnsiTheme="majorHAnsi"/>
                <w:sz w:val="16"/>
                <w:szCs w:val="16"/>
              </w:rPr>
              <w:t> </w:t>
            </w:r>
            <w:r w:rsidRPr="00B763E3">
              <w:rPr>
                <w:rFonts w:asciiTheme="majorHAnsi" w:hAnsiTheme="majorHAnsi"/>
                <w:sz w:val="16"/>
                <w:szCs w:val="16"/>
              </w:rPr>
              <w:t>odpadoch</w:t>
            </w:r>
            <w:r w:rsidR="00A655E8" w:rsidRPr="00B763E3">
              <w:rPr>
                <w:rFonts w:asciiTheme="majorHAnsi" w:hAnsiTheme="majorHAnsi"/>
                <w:sz w:val="16"/>
                <w:szCs w:val="16"/>
              </w:rPr>
              <w:t>.</w:t>
            </w:r>
            <w:r w:rsidRPr="00B763E3">
              <w:rPr>
                <w:rFonts w:asciiTheme="majorHAnsi" w:hAnsiTheme="majorHAnsi"/>
                <w:sz w:val="16"/>
                <w:szCs w:val="16"/>
              </w:rPr>
              <w:t>)</w:t>
            </w: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r w:rsidRPr="00B763E3">
              <w:rPr>
                <w:rFonts w:asciiTheme="majorHAnsi" w:hAnsiTheme="majorHAnsi"/>
                <w:sz w:val="16"/>
                <w:szCs w:val="16"/>
              </w:rPr>
              <w:t xml:space="preserve">Implementácia komplexného princípu rozšírenej zodpovednosti výrobcu – súčasný „čiastočný“ princíp rozšírenej zodpovednosti výrobcov uplatňovaný len pre obaly, elektrozariadenia a batérie </w:t>
            </w:r>
            <w:r w:rsidR="00544389" w:rsidRPr="00B763E3">
              <w:rPr>
                <w:rFonts w:asciiTheme="majorHAnsi" w:hAnsiTheme="majorHAnsi"/>
                <w:sz w:val="16"/>
                <w:szCs w:val="16"/>
              </w:rPr>
              <w:br/>
            </w:r>
            <w:r w:rsidRPr="00B763E3">
              <w:rPr>
                <w:rFonts w:asciiTheme="majorHAnsi" w:hAnsiTheme="majorHAnsi"/>
                <w:sz w:val="16"/>
                <w:szCs w:val="16"/>
              </w:rPr>
              <w:t xml:space="preserve">a akumulátory bude rozšírený o nové komodity: pneumatiky, oleje, staré vozidlá, odpady z humánnych a veterinárnych liekov neobalové komodity (papier, sklo, plasty). Navrhovaný princíp rozšírenej zodpovednosti výrobcov bude významným spôsobom sprísnený </w:t>
            </w:r>
            <w:r w:rsidR="00544389" w:rsidRPr="00B763E3">
              <w:rPr>
                <w:rFonts w:asciiTheme="majorHAnsi" w:hAnsiTheme="majorHAnsi"/>
                <w:sz w:val="16"/>
                <w:szCs w:val="16"/>
              </w:rPr>
              <w:br/>
            </w:r>
            <w:r w:rsidRPr="00B763E3">
              <w:rPr>
                <w:rFonts w:asciiTheme="majorHAnsi" w:hAnsiTheme="majorHAnsi"/>
                <w:sz w:val="16"/>
                <w:szCs w:val="16"/>
              </w:rPr>
              <w:t xml:space="preserve">a sprehľadnený, so zapojením všetkých zainteresovaných subjektov infraštruktúry odpadového hospodárstva vrátane obcí (v súlade </w:t>
            </w:r>
            <w:r w:rsidR="00544389" w:rsidRPr="00B763E3">
              <w:rPr>
                <w:rFonts w:asciiTheme="majorHAnsi" w:hAnsiTheme="majorHAnsi"/>
                <w:sz w:val="16"/>
                <w:szCs w:val="16"/>
              </w:rPr>
              <w:br/>
            </w:r>
            <w:r w:rsidRPr="00B763E3">
              <w:rPr>
                <w:rFonts w:asciiTheme="majorHAnsi" w:hAnsiTheme="majorHAnsi"/>
                <w:sz w:val="16"/>
                <w:szCs w:val="16"/>
              </w:rPr>
              <w:t>s ustanoveniami nového zákona o</w:t>
            </w:r>
            <w:r w:rsidR="00A655E8" w:rsidRPr="00B763E3">
              <w:rPr>
                <w:rFonts w:asciiTheme="majorHAnsi" w:hAnsiTheme="majorHAnsi"/>
                <w:sz w:val="16"/>
                <w:szCs w:val="16"/>
              </w:rPr>
              <w:t> </w:t>
            </w:r>
            <w:r w:rsidRPr="00B763E3">
              <w:rPr>
                <w:rFonts w:asciiTheme="majorHAnsi" w:hAnsiTheme="majorHAnsi"/>
                <w:sz w:val="16"/>
                <w:szCs w:val="16"/>
              </w:rPr>
              <w:t>odpadoch)</w:t>
            </w:r>
            <w:r w:rsidR="00A655E8" w:rsidRPr="00B763E3">
              <w:rPr>
                <w:rFonts w:asciiTheme="majorHAnsi" w:hAnsiTheme="majorHAnsi"/>
                <w:sz w:val="16"/>
                <w:szCs w:val="16"/>
              </w:rPr>
              <w:t>.</w:t>
            </w:r>
          </w:p>
          <w:p w:rsidR="004454B6" w:rsidRPr="00B763E3" w:rsidRDefault="004454B6" w:rsidP="004E2D6C">
            <w:pPr>
              <w:spacing w:before="0" w:after="0"/>
              <w:rPr>
                <w:rFonts w:asciiTheme="majorHAnsi" w:hAnsiTheme="majorHAnsi"/>
                <w:sz w:val="16"/>
                <w:szCs w:val="16"/>
              </w:rPr>
            </w:pPr>
          </w:p>
          <w:p w:rsidR="004E2D6C" w:rsidRPr="00B763E3" w:rsidRDefault="004454B6" w:rsidP="004E2D6C">
            <w:pPr>
              <w:spacing w:before="0" w:after="0"/>
              <w:rPr>
                <w:rFonts w:asciiTheme="majorHAnsi" w:hAnsiTheme="majorHAnsi"/>
                <w:sz w:val="16"/>
                <w:szCs w:val="16"/>
              </w:rPr>
            </w:pPr>
            <w:r w:rsidRPr="00B763E3">
              <w:rPr>
                <w:rFonts w:asciiTheme="majorHAnsi" w:hAnsiTheme="majorHAnsi"/>
                <w:sz w:val="16"/>
                <w:szCs w:val="16"/>
              </w:rPr>
              <w:t xml:space="preserve">Prijatie nového Programu odpadového hospodárstva na roky 2016-2025 s výrazným zameraním na podporu opätovného použitia </w:t>
            </w:r>
            <w:r w:rsidR="00544389" w:rsidRPr="00B763E3">
              <w:rPr>
                <w:rFonts w:asciiTheme="majorHAnsi" w:hAnsiTheme="majorHAnsi"/>
                <w:sz w:val="16"/>
                <w:szCs w:val="16"/>
              </w:rPr>
              <w:br/>
            </w:r>
            <w:r w:rsidRPr="00B763E3">
              <w:rPr>
                <w:rFonts w:asciiTheme="majorHAnsi" w:hAnsiTheme="majorHAnsi"/>
                <w:sz w:val="16"/>
                <w:szCs w:val="16"/>
              </w:rPr>
              <w:t>a recyklácie odpadu</w:t>
            </w:r>
            <w:r w:rsidR="00A655E8" w:rsidRPr="00B763E3">
              <w:rPr>
                <w:rFonts w:asciiTheme="majorHAnsi" w:hAnsiTheme="majorHAnsi"/>
                <w:sz w:val="16"/>
                <w:szCs w:val="16"/>
              </w:rPr>
              <w:t>.</w:t>
            </w:r>
          </w:p>
        </w:tc>
        <w:tc>
          <w:tcPr>
            <w:tcW w:w="2862" w:type="dxa"/>
            <w:gridSpan w:val="3"/>
            <w:tcBorders>
              <w:top w:val="single" w:sz="12" w:space="0" w:color="auto"/>
            </w:tcBorders>
          </w:tcPr>
          <w:p w:rsidR="004E2D6C" w:rsidRPr="00B763E3" w:rsidRDefault="00C43D6C" w:rsidP="004E2D6C">
            <w:pPr>
              <w:spacing w:before="0" w:after="0"/>
              <w:rPr>
                <w:rFonts w:asciiTheme="majorHAnsi" w:hAnsiTheme="majorHAnsi"/>
                <w:sz w:val="16"/>
                <w:szCs w:val="16"/>
              </w:rPr>
            </w:pPr>
            <w:r w:rsidRPr="00B763E3">
              <w:rPr>
                <w:rFonts w:asciiTheme="majorHAnsi" w:hAnsiTheme="majorHAnsi"/>
                <w:sz w:val="16"/>
                <w:szCs w:val="16"/>
              </w:rPr>
              <w:t xml:space="preserve">31. 12. </w:t>
            </w:r>
            <w:r w:rsidR="004E2D6C" w:rsidRPr="00B763E3">
              <w:rPr>
                <w:rFonts w:asciiTheme="majorHAnsi" w:hAnsiTheme="majorHAnsi"/>
                <w:sz w:val="16"/>
                <w:szCs w:val="16"/>
              </w:rPr>
              <w:t>201</w:t>
            </w:r>
            <w:r w:rsidR="00347E28" w:rsidRPr="00B763E3">
              <w:rPr>
                <w:rFonts w:asciiTheme="majorHAnsi" w:hAnsiTheme="majorHAnsi"/>
                <w:sz w:val="16"/>
                <w:szCs w:val="16"/>
              </w:rPr>
              <w:t>5</w:t>
            </w:r>
          </w:p>
          <w:p w:rsidR="004E2D6C" w:rsidRPr="00B763E3" w:rsidRDefault="004E2D6C"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C43D6C" w:rsidP="004E2D6C">
            <w:pPr>
              <w:spacing w:before="0" w:after="0"/>
              <w:rPr>
                <w:rFonts w:asciiTheme="majorHAnsi" w:hAnsiTheme="majorHAnsi"/>
                <w:sz w:val="16"/>
                <w:szCs w:val="16"/>
              </w:rPr>
            </w:pPr>
            <w:r w:rsidRPr="00B763E3">
              <w:rPr>
                <w:rFonts w:asciiTheme="majorHAnsi" w:hAnsiTheme="majorHAnsi"/>
                <w:sz w:val="16"/>
                <w:szCs w:val="16"/>
              </w:rPr>
              <w:t>31. 01</w:t>
            </w:r>
            <w:r w:rsidR="00A655E8" w:rsidRPr="00B763E3">
              <w:rPr>
                <w:rFonts w:asciiTheme="majorHAnsi" w:hAnsiTheme="majorHAnsi"/>
                <w:sz w:val="16"/>
                <w:szCs w:val="16"/>
              </w:rPr>
              <w:t>.</w:t>
            </w:r>
            <w:r w:rsidRPr="00B763E3">
              <w:rPr>
                <w:rFonts w:asciiTheme="majorHAnsi" w:hAnsiTheme="majorHAnsi"/>
                <w:sz w:val="16"/>
                <w:szCs w:val="16"/>
              </w:rPr>
              <w:t xml:space="preserve"> 2015</w:t>
            </w: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C43D6C" w:rsidP="004E2D6C">
            <w:pPr>
              <w:spacing w:before="0" w:after="0"/>
              <w:rPr>
                <w:rFonts w:asciiTheme="majorHAnsi" w:hAnsiTheme="majorHAnsi"/>
                <w:sz w:val="16"/>
                <w:szCs w:val="16"/>
              </w:rPr>
            </w:pPr>
            <w:r w:rsidRPr="00B763E3">
              <w:rPr>
                <w:rFonts w:asciiTheme="majorHAnsi" w:hAnsiTheme="majorHAnsi"/>
                <w:sz w:val="16"/>
                <w:szCs w:val="16"/>
              </w:rPr>
              <w:t xml:space="preserve">31. 12. </w:t>
            </w:r>
            <w:r w:rsidR="004454B6" w:rsidRPr="00B763E3">
              <w:rPr>
                <w:rFonts w:asciiTheme="majorHAnsi" w:hAnsiTheme="majorHAnsi"/>
                <w:sz w:val="16"/>
                <w:szCs w:val="16"/>
              </w:rPr>
              <w:t>2015</w:t>
            </w: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4454B6" w:rsidP="004E2D6C">
            <w:pPr>
              <w:spacing w:before="0" w:after="0"/>
              <w:rPr>
                <w:rFonts w:asciiTheme="majorHAnsi" w:hAnsiTheme="majorHAnsi"/>
                <w:sz w:val="16"/>
                <w:szCs w:val="16"/>
              </w:rPr>
            </w:pPr>
          </w:p>
          <w:p w:rsidR="004454B6" w:rsidRPr="00B763E3" w:rsidRDefault="00C43D6C" w:rsidP="004E2D6C">
            <w:pPr>
              <w:spacing w:before="0" w:after="0"/>
              <w:rPr>
                <w:rFonts w:asciiTheme="majorHAnsi" w:hAnsiTheme="majorHAnsi"/>
                <w:sz w:val="16"/>
                <w:szCs w:val="16"/>
              </w:rPr>
            </w:pPr>
            <w:r w:rsidRPr="00B763E3">
              <w:rPr>
                <w:rFonts w:asciiTheme="majorHAnsi" w:hAnsiTheme="majorHAnsi"/>
                <w:sz w:val="16"/>
                <w:szCs w:val="16"/>
              </w:rPr>
              <w:t>31. 12.</w:t>
            </w:r>
            <w:r w:rsidR="004454B6" w:rsidRPr="00B763E3">
              <w:rPr>
                <w:rFonts w:asciiTheme="majorHAnsi" w:hAnsiTheme="majorHAnsi"/>
                <w:sz w:val="16"/>
                <w:szCs w:val="16"/>
              </w:rPr>
              <w:t xml:space="preserve"> 2015</w:t>
            </w:r>
          </w:p>
        </w:tc>
        <w:tc>
          <w:tcPr>
            <w:tcW w:w="2346" w:type="dxa"/>
            <w:tcBorders>
              <w:top w:val="single" w:sz="12" w:space="0" w:color="auto"/>
              <w:right w:val="single" w:sz="12" w:space="0" w:color="auto"/>
            </w:tcBorders>
          </w:tcPr>
          <w:p w:rsidR="004E2D6C" w:rsidRPr="00B763E3" w:rsidRDefault="00347E28" w:rsidP="004E2D6C">
            <w:pPr>
              <w:spacing w:before="0" w:after="0"/>
              <w:rPr>
                <w:rFonts w:asciiTheme="majorHAnsi" w:hAnsiTheme="majorHAnsi"/>
                <w:sz w:val="16"/>
                <w:szCs w:val="16"/>
              </w:rPr>
            </w:pPr>
            <w:r w:rsidRPr="00B763E3">
              <w:rPr>
                <w:rFonts w:asciiTheme="majorHAnsi" w:hAnsiTheme="majorHAnsi"/>
                <w:sz w:val="16"/>
                <w:szCs w:val="16"/>
              </w:rPr>
              <w:t>MŽP SR</w:t>
            </w:r>
          </w:p>
          <w:p w:rsidR="004E2D6C" w:rsidRPr="00B763E3" w:rsidRDefault="004E2D6C" w:rsidP="004E2D6C">
            <w:pPr>
              <w:spacing w:before="0" w:after="0"/>
              <w:rPr>
                <w:rFonts w:asciiTheme="majorHAnsi" w:hAnsiTheme="majorHAnsi"/>
                <w:sz w:val="16"/>
                <w:szCs w:val="16"/>
              </w:rPr>
            </w:pPr>
          </w:p>
        </w:tc>
      </w:tr>
      <w:tr w:rsidR="004E2D6C" w:rsidRPr="00DF567A" w:rsidTr="00CC23CF">
        <w:trPr>
          <w:trHeight w:val="765"/>
        </w:trPr>
        <w:tc>
          <w:tcPr>
            <w:tcW w:w="1949" w:type="dxa"/>
            <w:vMerge w:val="restart"/>
            <w:tcBorders>
              <w:left w:val="single" w:sz="12" w:space="0" w:color="auto"/>
            </w:tcBorders>
          </w:tcPr>
          <w:p w:rsidR="004E2D6C" w:rsidRPr="00B763E3" w:rsidRDefault="004E2D6C" w:rsidP="004E2D6C">
            <w:pPr>
              <w:spacing w:before="0"/>
              <w:rPr>
                <w:rFonts w:asciiTheme="majorHAnsi" w:hAnsiTheme="majorHAnsi"/>
                <w:sz w:val="16"/>
                <w:szCs w:val="16"/>
              </w:rPr>
            </w:pPr>
            <w:r w:rsidRPr="00B763E3">
              <w:rPr>
                <w:rFonts w:asciiTheme="majorHAnsi" w:hAnsiTheme="majorHAnsi"/>
                <w:sz w:val="16"/>
                <w:szCs w:val="16"/>
              </w:rPr>
              <w:t>7.1.  Doprava:</w:t>
            </w:r>
          </w:p>
          <w:p w:rsidR="004E2D6C" w:rsidRPr="00B763E3" w:rsidRDefault="004E2D6C" w:rsidP="004E2D6C">
            <w:pPr>
              <w:spacing w:before="0" w:line="276" w:lineRule="auto"/>
              <w:rPr>
                <w:rFonts w:asciiTheme="majorHAnsi" w:hAnsiTheme="majorHAnsi"/>
                <w:sz w:val="16"/>
                <w:szCs w:val="16"/>
                <w:lang w:eastAsia="cs-CZ"/>
              </w:rPr>
            </w:pPr>
            <w:r w:rsidRPr="00B763E3">
              <w:rPr>
                <w:rFonts w:asciiTheme="majorHAnsi" w:hAnsiTheme="majorHAnsi"/>
                <w:sz w:val="16"/>
                <w:szCs w:val="16"/>
              </w:rPr>
              <w:t>existencia komplexného plánu alebo plánov alebo rámca či rámcov pre dopravné investície v súlade s inštitucionálnou štruktúrou členských štátov (vrátane verejnej dopravy na regionálnej a miestnej úrovni), ktorý podporuje rozvoj infraštruktúry a zlepšuje prepojenie na úplnú a základnú sieť TEN-T.</w:t>
            </w:r>
          </w:p>
        </w:tc>
        <w:tc>
          <w:tcPr>
            <w:tcW w:w="2100" w:type="dxa"/>
            <w:gridSpan w:val="2"/>
            <w:vMerge w:val="restart"/>
          </w:tcPr>
          <w:p w:rsidR="004E2D6C" w:rsidRPr="00B763E3" w:rsidRDefault="004E2D6C" w:rsidP="004E2D6C">
            <w:pPr>
              <w:spacing w:before="0" w:after="0"/>
              <w:rPr>
                <w:rFonts w:asciiTheme="majorHAnsi" w:hAnsiTheme="majorHAnsi"/>
                <w:sz w:val="16"/>
                <w:szCs w:val="16"/>
              </w:rPr>
            </w:pPr>
            <w:r w:rsidRPr="00B763E3">
              <w:rPr>
                <w:rFonts w:asciiTheme="majorHAnsi" w:hAnsiTheme="majorHAnsi"/>
                <w:sz w:val="16"/>
                <w:szCs w:val="16"/>
              </w:rPr>
              <w:t>Existuje komplexný plán či plány alebo rámec či rámce pre dopravné investície, ktoré spĺňajú právne požiadavky na strategické environmentálne posúdenie a stanovujú:</w:t>
            </w:r>
          </w:p>
        </w:tc>
        <w:tc>
          <w:tcPr>
            <w:tcW w:w="4853" w:type="dxa"/>
            <w:gridSpan w:val="2"/>
          </w:tcPr>
          <w:p w:rsidR="004E2D6C" w:rsidRPr="00B763E3" w:rsidRDefault="004E2D6C" w:rsidP="004E2D6C">
            <w:pPr>
              <w:spacing w:before="0" w:after="0"/>
              <w:rPr>
                <w:rFonts w:asciiTheme="majorHAnsi" w:hAnsiTheme="majorHAnsi"/>
                <w:i/>
                <w:sz w:val="16"/>
                <w:szCs w:val="16"/>
              </w:rPr>
            </w:pPr>
            <w:r w:rsidRPr="00B763E3">
              <w:rPr>
                <w:rFonts w:asciiTheme="majorHAnsi" w:hAnsiTheme="majorHAnsi"/>
                <w:i/>
                <w:sz w:val="16"/>
                <w:szCs w:val="16"/>
              </w:rPr>
              <w:t>Strategický plán rozvoja dopravnej infraštruktúry SR do roku 2020 (fáza I.)</w:t>
            </w:r>
          </w:p>
          <w:p w:rsidR="004E2D6C" w:rsidRPr="00B763E3" w:rsidRDefault="004E2D6C" w:rsidP="004E2D6C">
            <w:pPr>
              <w:spacing w:before="60" w:after="0"/>
              <w:rPr>
                <w:rFonts w:asciiTheme="majorHAnsi" w:hAnsiTheme="majorHAnsi"/>
                <w:sz w:val="16"/>
                <w:szCs w:val="16"/>
              </w:rPr>
            </w:pPr>
          </w:p>
          <w:p w:rsidR="00F3577D" w:rsidRPr="00B763E3" w:rsidRDefault="004E2D6C" w:rsidP="004E2D6C">
            <w:pPr>
              <w:spacing w:before="60" w:after="0"/>
              <w:rPr>
                <w:rFonts w:asciiTheme="majorHAnsi" w:hAnsiTheme="majorHAnsi"/>
                <w:b/>
                <w:sz w:val="16"/>
                <w:szCs w:val="16"/>
              </w:rPr>
            </w:pPr>
            <w:r w:rsidRPr="00B763E3">
              <w:rPr>
                <w:rFonts w:asciiTheme="majorHAnsi" w:hAnsiTheme="majorHAnsi"/>
                <w:sz w:val="16"/>
                <w:szCs w:val="16"/>
              </w:rPr>
              <w:t xml:space="preserve">Ukončenie procesu strategického environmentálneho posudzovania (SEA) Strategického plánu rozvoja dopravnej infraštruktúry SR do roku 2020 (fáza I.), vrátane </w:t>
            </w:r>
            <w:r w:rsidRPr="00B763E3">
              <w:rPr>
                <w:rFonts w:asciiTheme="majorHAnsi" w:hAnsiTheme="majorHAnsi"/>
                <w:i/>
                <w:sz w:val="16"/>
                <w:szCs w:val="16"/>
              </w:rPr>
              <w:t>Stratégie rozvoja verejnej osobnej a nemotorovej dopravy SR do roku 2020</w:t>
            </w:r>
            <w:r w:rsidRPr="00B763E3">
              <w:rPr>
                <w:rFonts w:asciiTheme="majorHAnsi" w:hAnsiTheme="majorHAnsi"/>
                <w:sz w:val="16"/>
                <w:szCs w:val="16"/>
              </w:rPr>
              <w:t>, ktorá tvorí jeho prílohu</w:t>
            </w:r>
            <w:r w:rsidR="00E16CCC" w:rsidRPr="00B763E3">
              <w:rPr>
                <w:rFonts w:asciiTheme="majorHAnsi" w:hAnsiTheme="majorHAnsi"/>
                <w:sz w:val="16"/>
                <w:szCs w:val="16"/>
              </w:rPr>
              <w:t>.</w:t>
            </w:r>
          </w:p>
        </w:tc>
        <w:tc>
          <w:tcPr>
            <w:tcW w:w="2862" w:type="dxa"/>
            <w:gridSpan w:val="3"/>
          </w:tcPr>
          <w:p w:rsidR="004E2D6C" w:rsidRPr="00B763E3" w:rsidRDefault="004E2D6C" w:rsidP="004E2D6C">
            <w:pPr>
              <w:spacing w:before="0" w:after="0"/>
              <w:rPr>
                <w:rFonts w:asciiTheme="majorHAnsi" w:hAnsiTheme="majorHAnsi"/>
                <w:b/>
                <w:sz w:val="16"/>
                <w:szCs w:val="16"/>
              </w:rPr>
            </w:pPr>
          </w:p>
          <w:p w:rsidR="004E2D6C" w:rsidRPr="00B763E3" w:rsidRDefault="004E2D6C" w:rsidP="004E2D6C">
            <w:pPr>
              <w:spacing w:before="0" w:after="0"/>
              <w:rPr>
                <w:rFonts w:asciiTheme="majorHAnsi" w:hAnsiTheme="majorHAnsi"/>
                <w:b/>
                <w:sz w:val="16"/>
                <w:szCs w:val="16"/>
              </w:rPr>
            </w:pPr>
          </w:p>
          <w:p w:rsidR="004E2D6C" w:rsidRPr="00B763E3" w:rsidRDefault="004E2D6C" w:rsidP="004E2D6C">
            <w:pPr>
              <w:spacing w:before="0" w:after="0"/>
              <w:rPr>
                <w:rFonts w:asciiTheme="majorHAnsi" w:hAnsiTheme="majorHAnsi"/>
                <w:b/>
                <w:sz w:val="16"/>
                <w:szCs w:val="16"/>
              </w:rPr>
            </w:pPr>
          </w:p>
          <w:p w:rsidR="004E2D6C" w:rsidRPr="00B763E3" w:rsidRDefault="004E2D6C" w:rsidP="004E2D6C">
            <w:pPr>
              <w:spacing w:before="0" w:after="0"/>
              <w:rPr>
                <w:rFonts w:asciiTheme="majorHAnsi" w:hAnsiTheme="majorHAnsi"/>
                <w:b/>
                <w:sz w:val="16"/>
                <w:szCs w:val="16"/>
              </w:rPr>
            </w:pPr>
          </w:p>
          <w:p w:rsidR="004E2D6C" w:rsidRPr="00B763E3" w:rsidRDefault="00F3577D" w:rsidP="004E2D6C">
            <w:pPr>
              <w:spacing w:before="0" w:after="0"/>
              <w:rPr>
                <w:rFonts w:asciiTheme="majorHAnsi" w:hAnsiTheme="majorHAnsi"/>
                <w:sz w:val="16"/>
                <w:szCs w:val="16"/>
              </w:rPr>
            </w:pPr>
            <w:r w:rsidRPr="00B763E3">
              <w:rPr>
                <w:rFonts w:asciiTheme="majorHAnsi" w:hAnsiTheme="majorHAnsi"/>
                <w:sz w:val="16"/>
                <w:szCs w:val="16"/>
              </w:rPr>
              <w:t xml:space="preserve">30. 6. </w:t>
            </w:r>
            <w:r w:rsidR="004E2D6C" w:rsidRPr="00B763E3">
              <w:rPr>
                <w:rFonts w:asciiTheme="majorHAnsi" w:hAnsiTheme="majorHAnsi"/>
                <w:sz w:val="16"/>
                <w:szCs w:val="16"/>
              </w:rPr>
              <w:t>2014</w:t>
            </w:r>
          </w:p>
          <w:p w:rsidR="00F3577D" w:rsidRPr="00B763E3" w:rsidRDefault="00F3577D" w:rsidP="004E2D6C">
            <w:pPr>
              <w:spacing w:before="0" w:after="0"/>
              <w:rPr>
                <w:rFonts w:asciiTheme="majorHAnsi" w:hAnsiTheme="majorHAnsi"/>
                <w:sz w:val="16"/>
                <w:szCs w:val="16"/>
              </w:rPr>
            </w:pPr>
          </w:p>
          <w:p w:rsidR="00F3577D" w:rsidRPr="00B763E3" w:rsidRDefault="00F3577D" w:rsidP="004E2D6C">
            <w:pPr>
              <w:spacing w:before="0" w:after="0"/>
              <w:rPr>
                <w:rFonts w:asciiTheme="majorHAnsi" w:hAnsiTheme="majorHAnsi"/>
                <w:sz w:val="16"/>
                <w:szCs w:val="16"/>
              </w:rPr>
            </w:pPr>
          </w:p>
          <w:p w:rsidR="00F3577D" w:rsidRPr="00B763E3" w:rsidRDefault="00F3577D" w:rsidP="004E2D6C">
            <w:pPr>
              <w:spacing w:before="0" w:after="0"/>
              <w:rPr>
                <w:rFonts w:asciiTheme="majorHAnsi" w:hAnsiTheme="majorHAnsi"/>
                <w:b/>
                <w:sz w:val="16"/>
                <w:szCs w:val="16"/>
              </w:rPr>
            </w:pPr>
          </w:p>
        </w:tc>
        <w:tc>
          <w:tcPr>
            <w:tcW w:w="2346" w:type="dxa"/>
            <w:vMerge w:val="restart"/>
            <w:tcBorders>
              <w:right w:val="single" w:sz="12" w:space="0" w:color="auto"/>
            </w:tcBorders>
          </w:tcPr>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p>
          <w:p w:rsidR="004E2D6C" w:rsidRPr="00B763E3" w:rsidRDefault="004E2D6C" w:rsidP="004E2D6C">
            <w:pPr>
              <w:spacing w:before="0" w:after="0"/>
              <w:rPr>
                <w:rFonts w:asciiTheme="majorHAnsi" w:hAnsiTheme="majorHAnsi"/>
                <w:sz w:val="16"/>
                <w:szCs w:val="16"/>
              </w:rPr>
            </w:pPr>
            <w:r w:rsidRPr="00B763E3">
              <w:rPr>
                <w:rFonts w:asciiTheme="majorHAnsi" w:hAnsiTheme="majorHAnsi"/>
                <w:sz w:val="16"/>
                <w:szCs w:val="16"/>
              </w:rPr>
              <w:t xml:space="preserve">MDVRR SR </w:t>
            </w:r>
          </w:p>
        </w:tc>
      </w:tr>
      <w:tr w:rsidR="004E2D6C" w:rsidRPr="00DF567A" w:rsidTr="00CC23CF">
        <w:trPr>
          <w:trHeight w:val="765"/>
        </w:trPr>
        <w:tc>
          <w:tcPr>
            <w:tcW w:w="1949" w:type="dxa"/>
            <w:vMerge/>
            <w:tcBorders>
              <w:left w:val="single" w:sz="12" w:space="0" w:color="auto"/>
            </w:tcBorders>
          </w:tcPr>
          <w:p w:rsidR="004E2D6C" w:rsidRPr="00691C8F" w:rsidRDefault="004E2D6C" w:rsidP="004E2D6C">
            <w:pPr>
              <w:spacing w:before="0"/>
              <w:rPr>
                <w:rFonts w:asciiTheme="majorHAnsi" w:hAnsiTheme="majorHAnsi"/>
                <w:sz w:val="16"/>
                <w:szCs w:val="16"/>
              </w:rPr>
            </w:pPr>
          </w:p>
        </w:tc>
        <w:tc>
          <w:tcPr>
            <w:tcW w:w="2100" w:type="dxa"/>
            <w:gridSpan w:val="2"/>
            <w:vMerge/>
          </w:tcPr>
          <w:p w:rsidR="004E2D6C" w:rsidRPr="00691C8F" w:rsidRDefault="004E2D6C" w:rsidP="004E2D6C">
            <w:pPr>
              <w:spacing w:before="0" w:after="0"/>
              <w:rPr>
                <w:rFonts w:asciiTheme="majorHAnsi" w:hAnsiTheme="majorHAnsi"/>
                <w:sz w:val="16"/>
                <w:szCs w:val="16"/>
              </w:rPr>
            </w:pPr>
          </w:p>
        </w:tc>
        <w:tc>
          <w:tcPr>
            <w:tcW w:w="4853" w:type="dxa"/>
            <w:gridSpan w:val="2"/>
          </w:tcPr>
          <w:p w:rsidR="004E2D6C" w:rsidRPr="005634F2" w:rsidRDefault="004E2D6C" w:rsidP="004E2D6C">
            <w:pPr>
              <w:spacing w:before="0" w:after="0"/>
              <w:rPr>
                <w:rFonts w:asciiTheme="majorHAnsi" w:hAnsiTheme="majorHAnsi"/>
                <w:i/>
                <w:sz w:val="16"/>
                <w:szCs w:val="16"/>
              </w:rPr>
            </w:pPr>
            <w:r w:rsidRPr="005634F2">
              <w:rPr>
                <w:rFonts w:asciiTheme="majorHAnsi" w:hAnsiTheme="majorHAnsi"/>
                <w:i/>
                <w:sz w:val="16"/>
                <w:szCs w:val="16"/>
              </w:rPr>
              <w:t xml:space="preserve">Strategický plán rozvoja dopravnej infraštruktúry SR do roku 2030 (fáza II.) </w:t>
            </w:r>
          </w:p>
          <w:p w:rsidR="004E2D6C" w:rsidRDefault="004E2D6C" w:rsidP="001C5C9E">
            <w:pPr>
              <w:pStyle w:val="Odsekzoznamu"/>
              <w:numPr>
                <w:ilvl w:val="0"/>
                <w:numId w:val="75"/>
              </w:numPr>
              <w:spacing w:before="0"/>
              <w:ind w:left="238" w:hanging="238"/>
              <w:rPr>
                <w:rFonts w:asciiTheme="majorHAnsi" w:hAnsiTheme="majorHAnsi"/>
                <w:sz w:val="16"/>
                <w:szCs w:val="16"/>
              </w:rPr>
            </w:pPr>
            <w:r w:rsidRPr="005634F2">
              <w:rPr>
                <w:rFonts w:asciiTheme="majorHAnsi" w:hAnsiTheme="majorHAnsi"/>
                <w:sz w:val="16"/>
                <w:szCs w:val="16"/>
              </w:rPr>
              <w:t xml:space="preserve">Zabezpečenie dopravného modelu SR za účelom účinnejšieho posúdenia potrieb a efektívnejšieho plánovania ďalšieho rozvoja dopravnej infraštruktúry SR.  </w:t>
            </w:r>
          </w:p>
          <w:p w:rsidR="005634F2" w:rsidRPr="005634F2" w:rsidRDefault="005634F2" w:rsidP="005634F2">
            <w:pPr>
              <w:pStyle w:val="Odsekzoznamu"/>
              <w:spacing w:before="0"/>
              <w:ind w:left="238"/>
              <w:rPr>
                <w:rFonts w:asciiTheme="majorHAnsi" w:hAnsiTheme="majorHAnsi"/>
                <w:sz w:val="16"/>
                <w:szCs w:val="16"/>
              </w:rPr>
            </w:pPr>
          </w:p>
          <w:p w:rsidR="004E2D6C" w:rsidRDefault="004E2D6C" w:rsidP="001C5C9E">
            <w:pPr>
              <w:pStyle w:val="Odsekzoznamu"/>
              <w:numPr>
                <w:ilvl w:val="0"/>
                <w:numId w:val="75"/>
              </w:numPr>
              <w:spacing w:before="0"/>
              <w:ind w:left="238" w:hanging="238"/>
              <w:rPr>
                <w:rFonts w:asciiTheme="majorHAnsi" w:hAnsiTheme="majorHAnsi"/>
                <w:sz w:val="16"/>
                <w:szCs w:val="16"/>
              </w:rPr>
            </w:pPr>
            <w:r w:rsidRPr="005634F2">
              <w:rPr>
                <w:rFonts w:asciiTheme="majorHAnsi" w:hAnsiTheme="majorHAnsi"/>
                <w:sz w:val="16"/>
                <w:szCs w:val="16"/>
              </w:rPr>
              <w:t>Vypracovanie na základe výstupov z dopravného modelu SR.</w:t>
            </w:r>
          </w:p>
          <w:p w:rsidR="005634F2" w:rsidRPr="005634F2" w:rsidRDefault="005634F2" w:rsidP="005634F2">
            <w:pPr>
              <w:pStyle w:val="Odsekzoznamu"/>
              <w:rPr>
                <w:rFonts w:asciiTheme="majorHAnsi" w:hAnsiTheme="majorHAnsi"/>
                <w:sz w:val="16"/>
                <w:szCs w:val="16"/>
              </w:rPr>
            </w:pPr>
          </w:p>
          <w:p w:rsidR="005634F2" w:rsidRPr="005634F2" w:rsidRDefault="005634F2" w:rsidP="005634F2">
            <w:pPr>
              <w:pStyle w:val="Odsekzoznamu"/>
              <w:spacing w:before="0"/>
              <w:ind w:left="238"/>
              <w:rPr>
                <w:rFonts w:asciiTheme="majorHAnsi" w:hAnsiTheme="majorHAnsi"/>
                <w:sz w:val="16"/>
                <w:szCs w:val="16"/>
              </w:rPr>
            </w:pPr>
          </w:p>
          <w:p w:rsidR="004E2D6C" w:rsidRDefault="004E2D6C" w:rsidP="001C5C9E">
            <w:pPr>
              <w:pStyle w:val="Odsekzoznamu"/>
              <w:numPr>
                <w:ilvl w:val="0"/>
                <w:numId w:val="75"/>
              </w:numPr>
              <w:spacing w:before="0"/>
              <w:ind w:left="238" w:hanging="238"/>
              <w:rPr>
                <w:rFonts w:asciiTheme="majorHAnsi" w:hAnsiTheme="majorHAnsi"/>
                <w:sz w:val="16"/>
                <w:szCs w:val="16"/>
              </w:rPr>
            </w:pPr>
            <w:r w:rsidRPr="005634F2">
              <w:rPr>
                <w:rFonts w:asciiTheme="majorHAnsi" w:hAnsiTheme="majorHAnsi"/>
                <w:sz w:val="16"/>
                <w:szCs w:val="16"/>
              </w:rPr>
              <w:lastRenderedPageBreak/>
              <w:t xml:space="preserve">Vykonanie strategického environmentálneho hodnotenia. </w:t>
            </w:r>
          </w:p>
          <w:p w:rsidR="005634F2" w:rsidRPr="005634F2" w:rsidRDefault="005634F2" w:rsidP="005634F2">
            <w:pPr>
              <w:pStyle w:val="Odsekzoznamu"/>
              <w:spacing w:before="0"/>
              <w:ind w:left="238"/>
              <w:rPr>
                <w:rFonts w:asciiTheme="majorHAnsi" w:hAnsiTheme="majorHAnsi"/>
                <w:sz w:val="16"/>
                <w:szCs w:val="16"/>
              </w:rPr>
            </w:pPr>
          </w:p>
          <w:p w:rsidR="005634F2" w:rsidRPr="005634F2" w:rsidRDefault="004E2D6C" w:rsidP="001C5C9E">
            <w:pPr>
              <w:pStyle w:val="Odsekzoznamu"/>
              <w:numPr>
                <w:ilvl w:val="0"/>
                <w:numId w:val="75"/>
              </w:numPr>
              <w:spacing w:before="0"/>
              <w:ind w:left="238" w:hanging="238"/>
              <w:rPr>
                <w:rFonts w:asciiTheme="majorHAnsi" w:hAnsiTheme="majorHAnsi"/>
                <w:sz w:val="16"/>
                <w:szCs w:val="16"/>
              </w:rPr>
            </w:pPr>
            <w:r w:rsidRPr="005634F2">
              <w:rPr>
                <w:rFonts w:asciiTheme="majorHAnsi" w:hAnsiTheme="majorHAnsi"/>
                <w:sz w:val="16"/>
                <w:szCs w:val="16"/>
              </w:rPr>
              <w:t>Predloženie Strategického plánu rozvoja dopravnej infraštruktúry SR do roku 2030 (fáza II.) na rokovanie Hospodárskej a sociálnej rady SR.</w:t>
            </w:r>
          </w:p>
          <w:p w:rsidR="005634F2" w:rsidRPr="005634F2" w:rsidRDefault="005634F2" w:rsidP="005634F2">
            <w:pPr>
              <w:pStyle w:val="Odsekzoznamu"/>
              <w:spacing w:before="0"/>
              <w:ind w:left="238"/>
              <w:rPr>
                <w:rFonts w:asciiTheme="majorHAnsi" w:hAnsiTheme="majorHAnsi"/>
                <w:sz w:val="16"/>
                <w:szCs w:val="16"/>
              </w:rPr>
            </w:pPr>
          </w:p>
          <w:p w:rsidR="004E2D6C" w:rsidRDefault="004E2D6C" w:rsidP="001C5C9E">
            <w:pPr>
              <w:pStyle w:val="Odsekzoznamu"/>
              <w:numPr>
                <w:ilvl w:val="0"/>
                <w:numId w:val="75"/>
              </w:numPr>
              <w:spacing w:before="0"/>
              <w:ind w:left="238" w:hanging="238"/>
              <w:rPr>
                <w:rFonts w:asciiTheme="majorHAnsi" w:hAnsiTheme="majorHAnsi"/>
                <w:sz w:val="16"/>
                <w:szCs w:val="16"/>
              </w:rPr>
            </w:pPr>
            <w:r w:rsidRPr="005634F2">
              <w:rPr>
                <w:rFonts w:asciiTheme="majorHAnsi" w:hAnsiTheme="majorHAnsi"/>
                <w:sz w:val="16"/>
                <w:szCs w:val="16"/>
              </w:rPr>
              <w:t xml:space="preserve">Predloženie na rokovanie vlády SR. </w:t>
            </w:r>
          </w:p>
          <w:p w:rsidR="005634F2" w:rsidRPr="005634F2" w:rsidRDefault="005634F2" w:rsidP="005634F2">
            <w:pPr>
              <w:pStyle w:val="Odsekzoznamu"/>
              <w:spacing w:before="0"/>
              <w:ind w:left="238"/>
              <w:rPr>
                <w:rFonts w:asciiTheme="majorHAnsi" w:hAnsiTheme="majorHAnsi"/>
                <w:sz w:val="16"/>
                <w:szCs w:val="16"/>
              </w:rPr>
            </w:pPr>
          </w:p>
          <w:p w:rsidR="004E2D6C" w:rsidRPr="005634F2" w:rsidRDefault="004E2D6C" w:rsidP="005634F2">
            <w:pPr>
              <w:pStyle w:val="Odsekzoznamu"/>
              <w:spacing w:before="0" w:after="0"/>
              <w:ind w:left="238"/>
              <w:rPr>
                <w:rFonts w:asciiTheme="majorHAnsi" w:hAnsiTheme="majorHAnsi"/>
                <w:i/>
                <w:sz w:val="16"/>
                <w:szCs w:val="16"/>
              </w:rPr>
            </w:pPr>
            <w:r w:rsidRPr="005634F2">
              <w:rPr>
                <w:rFonts w:asciiTheme="majorHAnsi" w:hAnsiTheme="majorHAnsi"/>
                <w:sz w:val="16"/>
                <w:szCs w:val="16"/>
              </w:rPr>
              <w:t>- Predloženie EK za účelom posúdenia úplného splnenia ex ante kondicionalít stanovených pre sektor dopravy.</w:t>
            </w:r>
          </w:p>
        </w:tc>
        <w:tc>
          <w:tcPr>
            <w:tcW w:w="2862" w:type="dxa"/>
            <w:gridSpan w:val="3"/>
          </w:tcPr>
          <w:p w:rsidR="004E2D6C" w:rsidRPr="005634F2" w:rsidRDefault="004E2D6C" w:rsidP="004E2D6C">
            <w:pPr>
              <w:spacing w:before="0" w:after="0"/>
              <w:rPr>
                <w:rFonts w:asciiTheme="majorHAnsi" w:hAnsiTheme="majorHAnsi"/>
                <w:b/>
                <w:sz w:val="16"/>
                <w:szCs w:val="16"/>
              </w:rPr>
            </w:pPr>
          </w:p>
          <w:p w:rsidR="00DE7098" w:rsidRPr="005634F2" w:rsidRDefault="00DE7098" w:rsidP="004E2D6C">
            <w:pPr>
              <w:spacing w:before="0" w:after="0"/>
              <w:rPr>
                <w:rFonts w:asciiTheme="majorHAnsi" w:hAnsiTheme="majorHAnsi"/>
                <w:b/>
                <w:sz w:val="16"/>
                <w:szCs w:val="16"/>
              </w:rPr>
            </w:pPr>
          </w:p>
          <w:p w:rsidR="004E2D6C" w:rsidRPr="005634F2" w:rsidRDefault="005A3ADF" w:rsidP="004E2D6C">
            <w:pPr>
              <w:spacing w:before="0" w:after="0"/>
              <w:rPr>
                <w:rFonts w:asciiTheme="majorHAnsi" w:hAnsiTheme="majorHAnsi"/>
                <w:sz w:val="16"/>
                <w:szCs w:val="16"/>
              </w:rPr>
            </w:pPr>
            <w:r w:rsidRPr="005634F2">
              <w:rPr>
                <w:rFonts w:asciiTheme="majorHAnsi" w:hAnsiTheme="majorHAnsi"/>
                <w:sz w:val="16"/>
                <w:szCs w:val="16"/>
              </w:rPr>
              <w:t xml:space="preserve">31. 10. </w:t>
            </w:r>
            <w:r w:rsidR="004E2D6C" w:rsidRPr="005634F2">
              <w:rPr>
                <w:rFonts w:asciiTheme="majorHAnsi" w:hAnsiTheme="majorHAnsi"/>
                <w:sz w:val="16"/>
                <w:szCs w:val="16"/>
              </w:rPr>
              <w:t>2015</w:t>
            </w:r>
          </w:p>
          <w:p w:rsidR="004E2D6C" w:rsidRPr="005634F2" w:rsidRDefault="004E2D6C" w:rsidP="004E2D6C">
            <w:pPr>
              <w:spacing w:before="0" w:after="0"/>
              <w:rPr>
                <w:rFonts w:asciiTheme="majorHAnsi" w:hAnsiTheme="majorHAnsi"/>
                <w:sz w:val="16"/>
                <w:szCs w:val="16"/>
              </w:rPr>
            </w:pPr>
          </w:p>
          <w:p w:rsidR="004E2D6C" w:rsidRPr="005634F2" w:rsidRDefault="004E2D6C" w:rsidP="004E2D6C">
            <w:pPr>
              <w:spacing w:before="0" w:after="0"/>
              <w:rPr>
                <w:rFonts w:asciiTheme="majorHAnsi" w:hAnsiTheme="majorHAnsi"/>
                <w:sz w:val="16"/>
                <w:szCs w:val="16"/>
              </w:rPr>
            </w:pPr>
          </w:p>
          <w:p w:rsidR="004E2D6C" w:rsidRPr="005634F2" w:rsidRDefault="004E2D6C" w:rsidP="004E2D6C">
            <w:pPr>
              <w:spacing w:before="0" w:after="0"/>
              <w:rPr>
                <w:rFonts w:asciiTheme="majorHAnsi" w:hAnsiTheme="majorHAnsi"/>
                <w:sz w:val="16"/>
                <w:szCs w:val="16"/>
              </w:rPr>
            </w:pPr>
          </w:p>
          <w:p w:rsidR="004E2D6C" w:rsidRPr="005634F2" w:rsidRDefault="005A3ADF" w:rsidP="004E2D6C">
            <w:pPr>
              <w:spacing w:before="0"/>
              <w:rPr>
                <w:rFonts w:asciiTheme="majorHAnsi" w:hAnsiTheme="majorHAnsi"/>
                <w:sz w:val="16"/>
                <w:szCs w:val="16"/>
              </w:rPr>
            </w:pPr>
            <w:r w:rsidRPr="005634F2">
              <w:rPr>
                <w:rFonts w:asciiTheme="majorHAnsi" w:hAnsiTheme="majorHAnsi"/>
                <w:sz w:val="16"/>
                <w:szCs w:val="16"/>
              </w:rPr>
              <w:t xml:space="preserve">30. 6. </w:t>
            </w:r>
            <w:r w:rsidR="004E2D6C" w:rsidRPr="005634F2">
              <w:rPr>
                <w:rFonts w:asciiTheme="majorHAnsi" w:hAnsiTheme="majorHAnsi"/>
                <w:sz w:val="16"/>
                <w:szCs w:val="16"/>
              </w:rPr>
              <w:t>2016</w:t>
            </w:r>
          </w:p>
          <w:p w:rsidR="005634F2" w:rsidRDefault="005634F2" w:rsidP="004E2D6C">
            <w:pPr>
              <w:spacing w:before="0" w:after="0"/>
              <w:rPr>
                <w:rFonts w:asciiTheme="majorHAnsi" w:hAnsiTheme="majorHAnsi"/>
                <w:sz w:val="16"/>
                <w:szCs w:val="16"/>
              </w:rPr>
            </w:pPr>
          </w:p>
          <w:p w:rsidR="008B2A4E" w:rsidRDefault="008B2A4E" w:rsidP="004E2D6C">
            <w:pPr>
              <w:spacing w:before="0" w:after="0"/>
              <w:rPr>
                <w:rFonts w:asciiTheme="majorHAnsi" w:hAnsiTheme="majorHAnsi"/>
                <w:sz w:val="16"/>
                <w:szCs w:val="16"/>
              </w:rPr>
            </w:pPr>
          </w:p>
          <w:p w:rsidR="004E2D6C" w:rsidRPr="005634F2" w:rsidRDefault="005A3ADF" w:rsidP="004E2D6C">
            <w:pPr>
              <w:spacing w:before="0" w:after="0"/>
              <w:rPr>
                <w:rFonts w:asciiTheme="majorHAnsi" w:hAnsiTheme="majorHAnsi"/>
                <w:sz w:val="16"/>
                <w:szCs w:val="16"/>
              </w:rPr>
            </w:pPr>
            <w:r w:rsidRPr="005634F2">
              <w:rPr>
                <w:rFonts w:asciiTheme="majorHAnsi" w:hAnsiTheme="majorHAnsi"/>
                <w:sz w:val="16"/>
                <w:szCs w:val="16"/>
              </w:rPr>
              <w:lastRenderedPageBreak/>
              <w:t>31. 10.</w:t>
            </w:r>
            <w:r w:rsidR="004E2D6C" w:rsidRPr="005634F2">
              <w:rPr>
                <w:rFonts w:asciiTheme="majorHAnsi" w:hAnsiTheme="majorHAnsi"/>
                <w:sz w:val="16"/>
                <w:szCs w:val="16"/>
              </w:rPr>
              <w:t xml:space="preserve"> 2016</w:t>
            </w:r>
          </w:p>
          <w:p w:rsidR="004E2D6C" w:rsidRPr="005634F2" w:rsidRDefault="004E2D6C" w:rsidP="004E2D6C">
            <w:pPr>
              <w:spacing w:before="0" w:after="0"/>
              <w:rPr>
                <w:rFonts w:asciiTheme="majorHAnsi" w:hAnsiTheme="majorHAnsi"/>
                <w:sz w:val="16"/>
                <w:szCs w:val="16"/>
              </w:rPr>
            </w:pPr>
          </w:p>
          <w:p w:rsidR="004E2D6C" w:rsidRPr="005634F2" w:rsidRDefault="005A3ADF" w:rsidP="004E2D6C">
            <w:pPr>
              <w:spacing w:before="0" w:after="0"/>
              <w:rPr>
                <w:rFonts w:asciiTheme="majorHAnsi" w:hAnsiTheme="majorHAnsi"/>
                <w:sz w:val="16"/>
                <w:szCs w:val="16"/>
              </w:rPr>
            </w:pPr>
            <w:r w:rsidRPr="005634F2">
              <w:rPr>
                <w:rFonts w:asciiTheme="majorHAnsi" w:hAnsiTheme="majorHAnsi"/>
                <w:sz w:val="16"/>
                <w:szCs w:val="16"/>
              </w:rPr>
              <w:t xml:space="preserve">30. 11. </w:t>
            </w:r>
            <w:r w:rsidR="004E2D6C" w:rsidRPr="005634F2">
              <w:rPr>
                <w:rFonts w:asciiTheme="majorHAnsi" w:hAnsiTheme="majorHAnsi"/>
                <w:sz w:val="16"/>
                <w:szCs w:val="16"/>
              </w:rPr>
              <w:t>2016</w:t>
            </w:r>
          </w:p>
          <w:p w:rsidR="004E2D6C" w:rsidRPr="005634F2" w:rsidRDefault="004E2D6C" w:rsidP="004E2D6C">
            <w:pPr>
              <w:spacing w:before="0" w:after="0"/>
              <w:rPr>
                <w:rFonts w:asciiTheme="majorHAnsi" w:hAnsiTheme="majorHAnsi"/>
                <w:sz w:val="16"/>
                <w:szCs w:val="16"/>
              </w:rPr>
            </w:pPr>
          </w:p>
          <w:p w:rsidR="005634F2" w:rsidRDefault="005634F2" w:rsidP="004E2D6C">
            <w:pPr>
              <w:spacing w:before="0" w:after="0"/>
              <w:rPr>
                <w:rFonts w:asciiTheme="majorHAnsi" w:hAnsiTheme="majorHAnsi"/>
                <w:sz w:val="16"/>
                <w:szCs w:val="16"/>
              </w:rPr>
            </w:pPr>
          </w:p>
          <w:p w:rsidR="005634F2" w:rsidRDefault="005634F2" w:rsidP="004E2D6C">
            <w:pPr>
              <w:spacing w:before="0" w:after="0"/>
              <w:rPr>
                <w:rFonts w:asciiTheme="majorHAnsi" w:hAnsiTheme="majorHAnsi"/>
                <w:sz w:val="16"/>
                <w:szCs w:val="16"/>
              </w:rPr>
            </w:pPr>
          </w:p>
          <w:p w:rsidR="004E2D6C" w:rsidRPr="005634F2" w:rsidRDefault="005A3ADF" w:rsidP="004E2D6C">
            <w:pPr>
              <w:spacing w:before="0" w:after="0"/>
              <w:rPr>
                <w:rFonts w:asciiTheme="majorHAnsi" w:hAnsiTheme="majorHAnsi"/>
                <w:sz w:val="16"/>
                <w:szCs w:val="16"/>
              </w:rPr>
            </w:pPr>
            <w:r w:rsidRPr="005634F2">
              <w:rPr>
                <w:rFonts w:asciiTheme="majorHAnsi" w:hAnsiTheme="majorHAnsi"/>
                <w:sz w:val="16"/>
                <w:szCs w:val="16"/>
              </w:rPr>
              <w:t xml:space="preserve">31. 12. </w:t>
            </w:r>
            <w:r w:rsidR="004E2D6C" w:rsidRPr="005634F2">
              <w:rPr>
                <w:rFonts w:asciiTheme="majorHAnsi" w:hAnsiTheme="majorHAnsi"/>
                <w:sz w:val="16"/>
                <w:szCs w:val="16"/>
              </w:rPr>
              <w:t>2016</w:t>
            </w:r>
          </w:p>
          <w:p w:rsidR="004E2D6C" w:rsidRPr="005634F2" w:rsidRDefault="004E2D6C" w:rsidP="004E2D6C">
            <w:pPr>
              <w:spacing w:before="0" w:after="0"/>
              <w:rPr>
                <w:rFonts w:asciiTheme="majorHAnsi" w:hAnsiTheme="majorHAnsi"/>
                <w:sz w:val="16"/>
                <w:szCs w:val="16"/>
              </w:rPr>
            </w:pPr>
          </w:p>
          <w:p w:rsidR="004E2D6C" w:rsidRPr="005634F2" w:rsidRDefault="005A3ADF" w:rsidP="004E2D6C">
            <w:pPr>
              <w:spacing w:before="0" w:after="0"/>
              <w:rPr>
                <w:rFonts w:asciiTheme="majorHAnsi" w:hAnsiTheme="majorHAnsi"/>
                <w:b/>
                <w:sz w:val="16"/>
                <w:szCs w:val="16"/>
              </w:rPr>
            </w:pPr>
            <w:r w:rsidRPr="005634F2">
              <w:rPr>
                <w:rFonts w:asciiTheme="majorHAnsi" w:hAnsiTheme="majorHAnsi"/>
                <w:sz w:val="16"/>
                <w:szCs w:val="16"/>
              </w:rPr>
              <w:t xml:space="preserve">31. 12. </w:t>
            </w:r>
            <w:r w:rsidR="004E2D6C" w:rsidRPr="005634F2">
              <w:rPr>
                <w:rFonts w:asciiTheme="majorHAnsi" w:hAnsiTheme="majorHAnsi"/>
                <w:sz w:val="16"/>
                <w:szCs w:val="16"/>
              </w:rPr>
              <w:t>2016</w:t>
            </w:r>
          </w:p>
        </w:tc>
        <w:tc>
          <w:tcPr>
            <w:tcW w:w="2346" w:type="dxa"/>
            <w:vMerge/>
            <w:tcBorders>
              <w:right w:val="single" w:sz="12" w:space="0" w:color="auto"/>
            </w:tcBorders>
          </w:tcPr>
          <w:p w:rsidR="004E2D6C" w:rsidRPr="005634F2" w:rsidRDefault="004E2D6C" w:rsidP="004E2D6C">
            <w:pPr>
              <w:spacing w:before="0" w:after="0"/>
              <w:rPr>
                <w:rFonts w:asciiTheme="majorHAnsi" w:hAnsiTheme="majorHAnsi"/>
                <w:sz w:val="16"/>
                <w:szCs w:val="16"/>
              </w:rPr>
            </w:pPr>
          </w:p>
        </w:tc>
      </w:tr>
      <w:tr w:rsidR="004E2D6C" w:rsidRPr="00DF567A" w:rsidTr="00CC23CF">
        <w:trPr>
          <w:trHeight w:val="1193"/>
        </w:trPr>
        <w:tc>
          <w:tcPr>
            <w:tcW w:w="1949" w:type="dxa"/>
            <w:vMerge/>
            <w:tcBorders>
              <w:left w:val="single" w:sz="12" w:space="0" w:color="auto"/>
            </w:tcBorders>
          </w:tcPr>
          <w:p w:rsidR="004E2D6C" w:rsidRPr="00691C8F" w:rsidRDefault="004E2D6C" w:rsidP="004E2D6C">
            <w:pPr>
              <w:spacing w:before="0"/>
              <w:rPr>
                <w:rFonts w:asciiTheme="majorHAnsi" w:hAnsiTheme="majorHAnsi"/>
                <w:sz w:val="16"/>
                <w:szCs w:val="16"/>
              </w:rPr>
            </w:pPr>
          </w:p>
        </w:tc>
        <w:tc>
          <w:tcPr>
            <w:tcW w:w="2100" w:type="dxa"/>
            <w:gridSpan w:val="2"/>
          </w:tcPr>
          <w:p w:rsidR="004E2D6C" w:rsidRPr="00691C8F" w:rsidRDefault="004E2D6C" w:rsidP="004E2D6C">
            <w:pPr>
              <w:spacing w:before="0" w:after="0"/>
              <w:rPr>
                <w:rFonts w:asciiTheme="majorHAnsi" w:hAnsiTheme="majorHAnsi"/>
                <w:sz w:val="16"/>
                <w:szCs w:val="16"/>
              </w:rPr>
            </w:pPr>
            <w:r w:rsidRPr="00691C8F">
              <w:rPr>
                <w:rFonts w:asciiTheme="majorHAnsi" w:hAnsiTheme="majorHAnsi"/>
                <w:sz w:val="16"/>
                <w:szCs w:val="16"/>
              </w:rPr>
              <w:t>- realistickú a kvalitnú realizáciu projektov, pri ktorých sa počíta s podporou zo strany EFRR a Kohézneho fondu</w:t>
            </w:r>
            <w:r w:rsidR="00A655E8" w:rsidRPr="00691C8F">
              <w:rPr>
                <w:rFonts w:asciiTheme="majorHAnsi" w:hAnsiTheme="majorHAnsi"/>
                <w:sz w:val="16"/>
                <w:szCs w:val="16"/>
              </w:rPr>
              <w:t>.</w:t>
            </w:r>
          </w:p>
        </w:tc>
        <w:tc>
          <w:tcPr>
            <w:tcW w:w="4853" w:type="dxa"/>
            <w:gridSpan w:val="2"/>
          </w:tcPr>
          <w:p w:rsidR="004E2D6C" w:rsidRPr="001C5C9E" w:rsidRDefault="004E2D6C" w:rsidP="00EE145F">
            <w:pPr>
              <w:spacing w:before="0" w:after="0" w:line="276" w:lineRule="auto"/>
              <w:contextualSpacing/>
              <w:rPr>
                <w:rFonts w:asciiTheme="majorHAnsi" w:hAnsiTheme="majorHAnsi"/>
                <w:sz w:val="16"/>
                <w:szCs w:val="16"/>
              </w:rPr>
            </w:pPr>
            <w:r w:rsidRPr="005634F2">
              <w:rPr>
                <w:rFonts w:asciiTheme="majorHAnsi" w:hAnsiTheme="majorHAnsi"/>
                <w:sz w:val="16"/>
                <w:szCs w:val="16"/>
              </w:rPr>
              <w:t xml:space="preserve">Vypracovanie implementačného plánu projektov financovaných z KF, EFRR a CEF </w:t>
            </w:r>
            <w:r w:rsidR="00F3577D" w:rsidRPr="005634F2">
              <w:rPr>
                <w:rFonts w:asciiTheme="majorHAnsi" w:hAnsiTheme="majorHAnsi"/>
                <w:sz w:val="16"/>
                <w:szCs w:val="16"/>
              </w:rPr>
              <w:t>ako súčasť Akčného plánu pre naplnenie ex ante kondicionality č. 7 na základe formy definovanej v Guidance Note EK k obsahu Akčných plánov</w:t>
            </w:r>
            <w:r w:rsidR="00A655E8" w:rsidRPr="005634F2">
              <w:rPr>
                <w:rFonts w:asciiTheme="majorHAnsi" w:hAnsiTheme="majorHAnsi"/>
                <w:sz w:val="16"/>
                <w:szCs w:val="16"/>
              </w:rPr>
              <w:t>.</w:t>
            </w:r>
          </w:p>
        </w:tc>
        <w:tc>
          <w:tcPr>
            <w:tcW w:w="2862" w:type="dxa"/>
            <w:gridSpan w:val="3"/>
          </w:tcPr>
          <w:p w:rsidR="004E2D6C" w:rsidRPr="001C5C9E" w:rsidRDefault="005A3ADF" w:rsidP="004E2D6C">
            <w:pPr>
              <w:spacing w:before="0" w:after="0"/>
              <w:rPr>
                <w:rFonts w:asciiTheme="majorHAnsi" w:hAnsiTheme="majorHAnsi"/>
                <w:sz w:val="16"/>
                <w:szCs w:val="16"/>
              </w:rPr>
            </w:pPr>
            <w:r w:rsidRPr="001C5C9E">
              <w:rPr>
                <w:rFonts w:asciiTheme="majorHAnsi" w:hAnsiTheme="majorHAnsi"/>
                <w:sz w:val="16"/>
                <w:szCs w:val="16"/>
              </w:rPr>
              <w:t xml:space="preserve">30. 6. </w:t>
            </w:r>
            <w:r w:rsidR="004E2D6C" w:rsidRPr="001C5C9E">
              <w:rPr>
                <w:rFonts w:asciiTheme="majorHAnsi" w:hAnsiTheme="majorHAnsi"/>
                <w:sz w:val="16"/>
                <w:szCs w:val="16"/>
              </w:rPr>
              <w:t>2014</w:t>
            </w:r>
          </w:p>
        </w:tc>
        <w:tc>
          <w:tcPr>
            <w:tcW w:w="2346" w:type="dxa"/>
            <w:vMerge/>
            <w:tcBorders>
              <w:right w:val="single" w:sz="12" w:space="0" w:color="auto"/>
            </w:tcBorders>
          </w:tcPr>
          <w:p w:rsidR="004E2D6C" w:rsidRPr="001C5C9E" w:rsidRDefault="004E2D6C" w:rsidP="004E2D6C">
            <w:pPr>
              <w:spacing w:before="0" w:after="0"/>
              <w:rPr>
                <w:rFonts w:asciiTheme="majorHAnsi" w:hAnsiTheme="majorHAnsi"/>
                <w:b/>
                <w:sz w:val="16"/>
                <w:szCs w:val="16"/>
              </w:rPr>
            </w:pPr>
          </w:p>
        </w:tc>
      </w:tr>
      <w:tr w:rsidR="002F62D4" w:rsidRPr="00DF567A" w:rsidTr="00CC23CF">
        <w:trPr>
          <w:trHeight w:val="1192"/>
        </w:trPr>
        <w:tc>
          <w:tcPr>
            <w:tcW w:w="1949" w:type="dxa"/>
            <w:vMerge/>
            <w:tcBorders>
              <w:left w:val="single" w:sz="12" w:space="0" w:color="auto"/>
              <w:bottom w:val="nil"/>
            </w:tcBorders>
          </w:tcPr>
          <w:p w:rsidR="002F62D4" w:rsidRPr="00691C8F" w:rsidRDefault="002F62D4" w:rsidP="004E2D6C">
            <w:pPr>
              <w:spacing w:before="0"/>
              <w:rPr>
                <w:rFonts w:asciiTheme="majorHAnsi" w:hAnsiTheme="majorHAnsi"/>
                <w:sz w:val="16"/>
                <w:szCs w:val="16"/>
              </w:rPr>
            </w:pPr>
          </w:p>
        </w:tc>
        <w:tc>
          <w:tcPr>
            <w:tcW w:w="2100" w:type="dxa"/>
            <w:gridSpan w:val="2"/>
            <w:vMerge w:val="restart"/>
          </w:tcPr>
          <w:p w:rsidR="002F62D4" w:rsidRPr="00691C8F" w:rsidRDefault="002F62D4" w:rsidP="004E2D6C">
            <w:pPr>
              <w:spacing w:before="0" w:after="0"/>
              <w:rPr>
                <w:rFonts w:asciiTheme="majorHAnsi" w:hAnsiTheme="majorHAnsi"/>
                <w:sz w:val="16"/>
                <w:szCs w:val="16"/>
              </w:rPr>
            </w:pPr>
            <w:r w:rsidRPr="00691C8F">
              <w:rPr>
                <w:rFonts w:asciiTheme="majorHAnsi" w:hAnsiTheme="majorHAnsi"/>
                <w:sz w:val="16"/>
                <w:szCs w:val="16"/>
              </w:rPr>
              <w:t>Opatrenia na zabezpečenie kapacity sprostredkovateľských orgánov a prijímateľov pri vykonávaní naplánovaných projektov.</w:t>
            </w:r>
          </w:p>
        </w:tc>
        <w:tc>
          <w:tcPr>
            <w:tcW w:w="4853" w:type="dxa"/>
            <w:gridSpan w:val="2"/>
            <w:tcBorders>
              <w:bottom w:val="nil"/>
            </w:tcBorders>
          </w:tcPr>
          <w:p w:rsidR="002F62D4" w:rsidRPr="00691C8F" w:rsidRDefault="002F62D4" w:rsidP="004E2D6C">
            <w:pPr>
              <w:spacing w:before="0" w:after="0"/>
              <w:rPr>
                <w:rFonts w:asciiTheme="majorHAnsi" w:hAnsiTheme="majorHAnsi"/>
                <w:sz w:val="16"/>
                <w:szCs w:val="16"/>
              </w:rPr>
            </w:pPr>
            <w:r w:rsidRPr="00691C8F">
              <w:rPr>
                <w:rFonts w:asciiTheme="majorHAnsi" w:hAnsiTheme="majorHAnsi"/>
                <w:sz w:val="16"/>
                <w:szCs w:val="16"/>
              </w:rPr>
              <w:t xml:space="preserve">Vypracovanie analýzy kapacít sprostredkovateľských orgánov </w:t>
            </w:r>
            <w:r w:rsidR="00544389" w:rsidRPr="00691C8F">
              <w:rPr>
                <w:rFonts w:asciiTheme="majorHAnsi" w:hAnsiTheme="majorHAnsi"/>
                <w:sz w:val="16"/>
                <w:szCs w:val="16"/>
              </w:rPr>
              <w:br/>
            </w:r>
            <w:r w:rsidRPr="00691C8F">
              <w:rPr>
                <w:rFonts w:asciiTheme="majorHAnsi" w:hAnsiTheme="majorHAnsi"/>
                <w:sz w:val="16"/>
                <w:szCs w:val="16"/>
              </w:rPr>
              <w:t>a prijímateľov. Analýza by mala identifikovať opatrenia, ktoré je potrebné prijať na posilnenie kapacít pri vykonávaní  naplánovaných projektov s cieľom predísť problémom, ktoré sa vyskytli pri implementácii v rámci programového obdobia 2007</w:t>
            </w:r>
            <w:r w:rsidR="00DE7098" w:rsidRPr="00691C8F">
              <w:rPr>
                <w:rFonts w:asciiTheme="majorHAnsi" w:hAnsiTheme="majorHAnsi"/>
                <w:sz w:val="16"/>
                <w:szCs w:val="16"/>
              </w:rPr>
              <w:t xml:space="preserve"> </w:t>
            </w:r>
            <w:r w:rsidRPr="00691C8F">
              <w:rPr>
                <w:rFonts w:asciiTheme="majorHAnsi" w:hAnsiTheme="majorHAnsi"/>
                <w:sz w:val="16"/>
                <w:szCs w:val="16"/>
              </w:rPr>
              <w:t>-</w:t>
            </w:r>
            <w:r w:rsidR="00DE7098" w:rsidRPr="00691C8F">
              <w:rPr>
                <w:rFonts w:asciiTheme="majorHAnsi" w:hAnsiTheme="majorHAnsi"/>
                <w:sz w:val="16"/>
                <w:szCs w:val="16"/>
              </w:rPr>
              <w:t xml:space="preserve"> </w:t>
            </w:r>
            <w:r w:rsidRPr="00691C8F">
              <w:rPr>
                <w:rFonts w:asciiTheme="majorHAnsi" w:hAnsiTheme="majorHAnsi"/>
                <w:sz w:val="16"/>
                <w:szCs w:val="16"/>
              </w:rPr>
              <w:t>2013.</w:t>
            </w:r>
          </w:p>
        </w:tc>
        <w:tc>
          <w:tcPr>
            <w:tcW w:w="2862" w:type="dxa"/>
            <w:gridSpan w:val="3"/>
            <w:tcBorders>
              <w:bottom w:val="nil"/>
            </w:tcBorders>
          </w:tcPr>
          <w:p w:rsidR="002F62D4" w:rsidRPr="00691C8F" w:rsidRDefault="005A3ADF" w:rsidP="004E2D6C">
            <w:pPr>
              <w:spacing w:before="0" w:after="0"/>
              <w:rPr>
                <w:rFonts w:asciiTheme="majorHAnsi" w:hAnsiTheme="majorHAnsi"/>
                <w:sz w:val="16"/>
                <w:szCs w:val="16"/>
              </w:rPr>
            </w:pPr>
            <w:r w:rsidRPr="00691C8F">
              <w:rPr>
                <w:rFonts w:asciiTheme="majorHAnsi" w:hAnsiTheme="majorHAnsi"/>
                <w:sz w:val="16"/>
                <w:szCs w:val="16"/>
              </w:rPr>
              <w:t xml:space="preserve">31. 5. </w:t>
            </w:r>
            <w:r w:rsidR="002F62D4" w:rsidRPr="00691C8F">
              <w:rPr>
                <w:rFonts w:asciiTheme="majorHAnsi" w:hAnsiTheme="majorHAnsi"/>
                <w:sz w:val="16"/>
                <w:szCs w:val="16"/>
              </w:rPr>
              <w:t>2014</w:t>
            </w:r>
          </w:p>
        </w:tc>
        <w:tc>
          <w:tcPr>
            <w:tcW w:w="2346" w:type="dxa"/>
            <w:vMerge/>
            <w:tcBorders>
              <w:right w:val="single" w:sz="12" w:space="0" w:color="auto"/>
            </w:tcBorders>
          </w:tcPr>
          <w:p w:rsidR="002F62D4" w:rsidRPr="00691C8F" w:rsidRDefault="002F62D4" w:rsidP="004E2D6C">
            <w:pPr>
              <w:spacing w:before="0" w:after="0"/>
              <w:rPr>
                <w:rFonts w:asciiTheme="majorHAnsi" w:hAnsiTheme="majorHAnsi"/>
                <w:b/>
                <w:sz w:val="16"/>
                <w:szCs w:val="16"/>
              </w:rPr>
            </w:pPr>
          </w:p>
        </w:tc>
      </w:tr>
      <w:tr w:rsidR="002F62D4" w:rsidRPr="00DF567A" w:rsidTr="00836B8C">
        <w:trPr>
          <w:trHeight w:val="521"/>
        </w:trPr>
        <w:tc>
          <w:tcPr>
            <w:tcW w:w="1949" w:type="dxa"/>
            <w:tcBorders>
              <w:top w:val="nil"/>
              <w:left w:val="single" w:sz="12" w:space="0" w:color="auto"/>
              <w:bottom w:val="single" w:sz="4" w:space="0" w:color="auto"/>
            </w:tcBorders>
          </w:tcPr>
          <w:p w:rsidR="002F62D4" w:rsidRPr="00B763E3" w:rsidRDefault="002F62D4" w:rsidP="004E2D6C">
            <w:pPr>
              <w:spacing w:before="0"/>
              <w:rPr>
                <w:rFonts w:asciiTheme="majorHAnsi" w:hAnsiTheme="majorHAnsi"/>
                <w:sz w:val="16"/>
                <w:szCs w:val="16"/>
              </w:rPr>
            </w:pPr>
          </w:p>
        </w:tc>
        <w:tc>
          <w:tcPr>
            <w:tcW w:w="2100" w:type="dxa"/>
            <w:gridSpan w:val="2"/>
            <w:vMerge/>
          </w:tcPr>
          <w:p w:rsidR="002F62D4" w:rsidRPr="00B763E3" w:rsidRDefault="002F62D4" w:rsidP="004E2D6C">
            <w:pPr>
              <w:spacing w:before="0" w:after="0"/>
              <w:rPr>
                <w:rFonts w:asciiTheme="majorHAnsi" w:hAnsiTheme="majorHAnsi"/>
                <w:sz w:val="16"/>
                <w:szCs w:val="16"/>
              </w:rPr>
            </w:pPr>
          </w:p>
        </w:tc>
        <w:tc>
          <w:tcPr>
            <w:tcW w:w="4853" w:type="dxa"/>
            <w:gridSpan w:val="2"/>
            <w:tcBorders>
              <w:top w:val="nil"/>
              <w:bottom w:val="single" w:sz="4" w:space="0" w:color="auto"/>
            </w:tcBorders>
            <w:vAlign w:val="center"/>
          </w:tcPr>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t>Aplikácia opatrení identifikovaných analýzou, tzn. prijatie potrebných krokov na zavedenie opatrení do praxe</w:t>
            </w:r>
            <w:r w:rsidR="00DE7098" w:rsidRPr="00B763E3">
              <w:rPr>
                <w:rFonts w:asciiTheme="majorHAnsi" w:hAnsiTheme="majorHAnsi"/>
                <w:sz w:val="16"/>
                <w:szCs w:val="16"/>
              </w:rPr>
              <w:t>.</w:t>
            </w:r>
            <w:r w:rsidRPr="00B763E3">
              <w:rPr>
                <w:rFonts w:asciiTheme="majorHAnsi" w:hAnsiTheme="majorHAnsi"/>
                <w:sz w:val="16"/>
                <w:szCs w:val="16"/>
              </w:rPr>
              <w:t xml:space="preserve"> </w:t>
            </w:r>
          </w:p>
        </w:tc>
        <w:tc>
          <w:tcPr>
            <w:tcW w:w="2862" w:type="dxa"/>
            <w:gridSpan w:val="3"/>
            <w:tcBorders>
              <w:top w:val="nil"/>
            </w:tcBorders>
            <w:vAlign w:val="center"/>
          </w:tcPr>
          <w:p w:rsidR="002F62D4" w:rsidRPr="00B763E3" w:rsidRDefault="005A3ADF" w:rsidP="004E2D6C">
            <w:pPr>
              <w:spacing w:before="0" w:after="0"/>
              <w:rPr>
                <w:rFonts w:asciiTheme="majorHAnsi" w:hAnsiTheme="majorHAnsi"/>
                <w:sz w:val="16"/>
                <w:szCs w:val="16"/>
              </w:rPr>
            </w:pPr>
            <w:r w:rsidRPr="00B763E3">
              <w:rPr>
                <w:rFonts w:asciiTheme="majorHAnsi" w:hAnsiTheme="majorHAnsi"/>
                <w:sz w:val="16"/>
                <w:szCs w:val="16"/>
              </w:rPr>
              <w:t xml:space="preserve">31. 10. </w:t>
            </w:r>
            <w:r w:rsidR="002F62D4" w:rsidRPr="00B763E3">
              <w:rPr>
                <w:rFonts w:asciiTheme="majorHAnsi" w:hAnsiTheme="majorHAnsi"/>
                <w:sz w:val="16"/>
                <w:szCs w:val="16"/>
              </w:rPr>
              <w:t>2014</w:t>
            </w:r>
          </w:p>
        </w:tc>
        <w:tc>
          <w:tcPr>
            <w:tcW w:w="2346" w:type="dxa"/>
            <w:vMerge/>
            <w:tcBorders>
              <w:right w:val="single" w:sz="12" w:space="0" w:color="auto"/>
            </w:tcBorders>
          </w:tcPr>
          <w:p w:rsidR="002F62D4" w:rsidRPr="00B763E3" w:rsidRDefault="002F62D4" w:rsidP="004E2D6C">
            <w:pPr>
              <w:spacing w:before="0" w:after="0"/>
              <w:rPr>
                <w:rFonts w:asciiTheme="majorHAnsi" w:hAnsiTheme="majorHAnsi"/>
                <w:b/>
                <w:sz w:val="16"/>
                <w:szCs w:val="16"/>
              </w:rPr>
            </w:pPr>
          </w:p>
        </w:tc>
      </w:tr>
      <w:tr w:rsidR="002F62D4" w:rsidRPr="00DF567A" w:rsidTr="00836B8C">
        <w:trPr>
          <w:trHeight w:val="1348"/>
        </w:trPr>
        <w:tc>
          <w:tcPr>
            <w:tcW w:w="1949" w:type="dxa"/>
            <w:vMerge w:val="restart"/>
            <w:tcBorders>
              <w:top w:val="single" w:sz="4" w:space="0" w:color="auto"/>
              <w:lef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rPr>
              <w:t xml:space="preserve">7.2. Železničná doprava: existencia komplexného plánu či plánov alebo rámca či rámcov dopravy s osobitnou časťou venovanou rozvoju železničnej siete v súlade s inštitucionálnou štruktúrou členských štátov (vrátane verejnej dopravy na regionálnej a miestnej úrovni), ktorý podporuje rozvoj infraštruktúry a zlepšuje </w:t>
            </w:r>
            <w:r w:rsidRPr="00B763E3">
              <w:rPr>
                <w:rFonts w:asciiTheme="majorHAnsi" w:hAnsiTheme="majorHAnsi"/>
                <w:sz w:val="16"/>
                <w:szCs w:val="16"/>
              </w:rPr>
              <w:lastRenderedPageBreak/>
              <w:t>prepojenie na úplnú a základnú sieť TEN-T. Investície zahŕňajú mobilné aktíva, interoperabilitu a budovanie kapacít.</w:t>
            </w:r>
          </w:p>
        </w:tc>
        <w:tc>
          <w:tcPr>
            <w:tcW w:w="2100" w:type="dxa"/>
            <w:gridSpan w:val="2"/>
            <w:vMerge w:val="restart"/>
          </w:tcPr>
          <w:p w:rsidR="002F62D4" w:rsidRPr="00B763E3" w:rsidRDefault="002F62D4" w:rsidP="004E2D6C">
            <w:pPr>
              <w:spacing w:before="0" w:after="200" w:line="276" w:lineRule="auto"/>
              <w:rPr>
                <w:rFonts w:asciiTheme="majorHAnsi" w:hAnsiTheme="majorHAnsi"/>
                <w:sz w:val="16"/>
                <w:szCs w:val="16"/>
              </w:rPr>
            </w:pPr>
            <w:r w:rsidRPr="00B763E3">
              <w:rPr>
                <w:rFonts w:asciiTheme="majorHAnsi" w:hAnsiTheme="majorHAnsi"/>
                <w:sz w:val="16"/>
                <w:szCs w:val="16"/>
              </w:rPr>
              <w:lastRenderedPageBreak/>
              <w:t>V rámci uvedeného plánu či plánov alebo rámca či rámcov dopravy existuje časť venovaná rozvoju železničnej siete, ktorá spĺňa právne požiadavky na strategické environmentálne posúdenie a stanovuje realisticky a kvalitne vypracovaný plán realizácie projektov (vrátane časového plánu a rozpočtového rámca).</w:t>
            </w:r>
          </w:p>
        </w:tc>
        <w:tc>
          <w:tcPr>
            <w:tcW w:w="4853" w:type="dxa"/>
            <w:gridSpan w:val="2"/>
            <w:tcBorders>
              <w:top w:val="single" w:sz="4" w:space="0" w:color="auto"/>
            </w:tcBorders>
            <w:vAlign w:val="center"/>
          </w:tcPr>
          <w:p w:rsidR="002F62D4" w:rsidRPr="00B763E3" w:rsidRDefault="002F62D4" w:rsidP="004E2D6C">
            <w:pPr>
              <w:spacing w:before="0" w:after="0"/>
              <w:rPr>
                <w:rFonts w:asciiTheme="majorHAnsi" w:hAnsiTheme="majorHAnsi"/>
                <w:i/>
                <w:sz w:val="16"/>
                <w:szCs w:val="16"/>
              </w:rPr>
            </w:pPr>
            <w:r w:rsidRPr="00B763E3">
              <w:rPr>
                <w:rFonts w:asciiTheme="majorHAnsi" w:hAnsiTheme="majorHAnsi"/>
                <w:i/>
                <w:sz w:val="16"/>
                <w:szCs w:val="16"/>
              </w:rPr>
              <w:t>Strategický plán rozvoja dopravnej infraštruktúry SR do roku 2020 (fáza I.)</w:t>
            </w:r>
          </w:p>
          <w:p w:rsidR="002F62D4" w:rsidRPr="00B763E3" w:rsidRDefault="002F62D4" w:rsidP="004E2D6C">
            <w:pPr>
              <w:spacing w:before="60" w:after="0"/>
              <w:contextualSpacing/>
              <w:rPr>
                <w:rFonts w:asciiTheme="majorHAnsi" w:hAnsiTheme="majorHAnsi"/>
                <w:sz w:val="16"/>
                <w:szCs w:val="16"/>
              </w:rPr>
            </w:pPr>
          </w:p>
          <w:p w:rsidR="005A3ADF" w:rsidRPr="00B763E3" w:rsidRDefault="002F62D4" w:rsidP="004E2D6C">
            <w:pPr>
              <w:spacing w:before="60" w:after="0"/>
              <w:contextualSpacing/>
              <w:rPr>
                <w:rFonts w:asciiTheme="majorHAnsi" w:hAnsiTheme="majorHAnsi"/>
                <w:i/>
                <w:sz w:val="16"/>
                <w:szCs w:val="16"/>
              </w:rPr>
            </w:pPr>
            <w:r w:rsidRPr="00B763E3">
              <w:rPr>
                <w:rFonts w:asciiTheme="majorHAnsi" w:hAnsiTheme="majorHAnsi"/>
                <w:sz w:val="16"/>
                <w:szCs w:val="16"/>
              </w:rPr>
              <w:t xml:space="preserve">Ukončenie procesu strategického environmentálneho posudzovania (SEA) Strategického plánu rozvoja dopravnej infraštruktúry SR do roku 2020 (fáza I.), vrátane Stratégie rozvoja verejnej osobnej a nemotorovej dopravy SR do roku 2020, ktorá tvorí jeho prílohu. </w:t>
            </w:r>
          </w:p>
        </w:tc>
        <w:tc>
          <w:tcPr>
            <w:tcW w:w="2862" w:type="dxa"/>
            <w:gridSpan w:val="3"/>
            <w:vAlign w:val="center"/>
          </w:tcPr>
          <w:p w:rsidR="002F62D4" w:rsidRPr="00B763E3" w:rsidRDefault="002F62D4" w:rsidP="004E2D6C">
            <w:pPr>
              <w:spacing w:before="0" w:after="0"/>
              <w:rPr>
                <w:rFonts w:asciiTheme="majorHAnsi" w:hAnsiTheme="majorHAnsi"/>
                <w:b/>
                <w:sz w:val="16"/>
                <w:szCs w:val="16"/>
              </w:rPr>
            </w:pPr>
          </w:p>
          <w:p w:rsidR="002F62D4" w:rsidRPr="00B763E3" w:rsidRDefault="002F62D4" w:rsidP="004E2D6C">
            <w:pPr>
              <w:spacing w:before="0" w:after="0"/>
              <w:rPr>
                <w:rFonts w:asciiTheme="majorHAnsi" w:hAnsiTheme="majorHAnsi"/>
                <w:b/>
                <w:sz w:val="16"/>
                <w:szCs w:val="16"/>
              </w:rPr>
            </w:pPr>
          </w:p>
          <w:p w:rsidR="002F62D4" w:rsidRPr="00B763E3" w:rsidRDefault="002F62D4" w:rsidP="004E2D6C">
            <w:pPr>
              <w:spacing w:before="0" w:after="0"/>
              <w:rPr>
                <w:rFonts w:asciiTheme="majorHAnsi" w:hAnsiTheme="majorHAnsi"/>
                <w:sz w:val="16"/>
                <w:szCs w:val="16"/>
              </w:rPr>
            </w:pPr>
          </w:p>
          <w:p w:rsidR="002F62D4" w:rsidRPr="00B763E3" w:rsidRDefault="005A3ADF" w:rsidP="004E2D6C">
            <w:pPr>
              <w:spacing w:before="0" w:after="0"/>
              <w:rPr>
                <w:rFonts w:asciiTheme="majorHAnsi" w:hAnsiTheme="majorHAnsi"/>
                <w:sz w:val="16"/>
                <w:szCs w:val="16"/>
              </w:rPr>
            </w:pPr>
            <w:r w:rsidRPr="00B763E3">
              <w:rPr>
                <w:rFonts w:asciiTheme="majorHAnsi" w:hAnsiTheme="majorHAnsi"/>
                <w:sz w:val="16"/>
                <w:szCs w:val="16"/>
              </w:rPr>
              <w:t xml:space="preserve">30. 6. </w:t>
            </w:r>
            <w:r w:rsidR="002F62D4" w:rsidRPr="00B763E3">
              <w:rPr>
                <w:rFonts w:asciiTheme="majorHAnsi" w:hAnsiTheme="majorHAnsi"/>
                <w:sz w:val="16"/>
                <w:szCs w:val="16"/>
              </w:rPr>
              <w:t>2014</w:t>
            </w:r>
          </w:p>
          <w:p w:rsidR="005A3ADF" w:rsidRPr="00B763E3" w:rsidRDefault="005A3ADF" w:rsidP="004E2D6C">
            <w:pPr>
              <w:spacing w:before="0" w:after="0"/>
              <w:rPr>
                <w:rFonts w:asciiTheme="majorHAnsi" w:hAnsiTheme="majorHAnsi"/>
                <w:sz w:val="16"/>
                <w:szCs w:val="16"/>
              </w:rPr>
            </w:pPr>
          </w:p>
          <w:p w:rsidR="005A3ADF" w:rsidRPr="00B763E3" w:rsidRDefault="005A3ADF" w:rsidP="004E2D6C">
            <w:pPr>
              <w:spacing w:before="0" w:after="0"/>
              <w:rPr>
                <w:rFonts w:asciiTheme="majorHAnsi" w:hAnsiTheme="majorHAnsi"/>
                <w:sz w:val="16"/>
                <w:szCs w:val="16"/>
              </w:rPr>
            </w:pPr>
          </w:p>
          <w:p w:rsidR="005A3ADF" w:rsidRPr="00B763E3" w:rsidRDefault="005A3ADF" w:rsidP="004E2D6C">
            <w:pPr>
              <w:spacing w:before="0" w:after="0"/>
              <w:rPr>
                <w:rFonts w:asciiTheme="majorHAnsi" w:hAnsiTheme="majorHAnsi"/>
                <w:sz w:val="16"/>
                <w:szCs w:val="16"/>
              </w:rPr>
            </w:pPr>
          </w:p>
          <w:p w:rsidR="005A3ADF" w:rsidRPr="00B763E3" w:rsidRDefault="005A3ADF" w:rsidP="004E2D6C">
            <w:pPr>
              <w:spacing w:before="0" w:after="0"/>
              <w:rPr>
                <w:rFonts w:asciiTheme="majorHAnsi" w:hAnsiTheme="majorHAnsi"/>
                <w:b/>
                <w:sz w:val="16"/>
                <w:szCs w:val="16"/>
              </w:rPr>
            </w:pPr>
          </w:p>
        </w:tc>
        <w:tc>
          <w:tcPr>
            <w:tcW w:w="2346" w:type="dxa"/>
            <w:vMerge/>
            <w:tcBorders>
              <w:right w:val="single" w:sz="12" w:space="0" w:color="auto"/>
            </w:tcBorders>
          </w:tcPr>
          <w:p w:rsidR="002F62D4" w:rsidRPr="00B763E3" w:rsidRDefault="002F62D4" w:rsidP="004E2D6C">
            <w:pPr>
              <w:spacing w:before="0" w:after="0"/>
              <w:rPr>
                <w:rFonts w:asciiTheme="majorHAnsi" w:hAnsiTheme="majorHAnsi"/>
                <w:sz w:val="16"/>
                <w:szCs w:val="16"/>
              </w:rPr>
            </w:pPr>
          </w:p>
        </w:tc>
      </w:tr>
      <w:tr w:rsidR="002F62D4" w:rsidRPr="00DF567A" w:rsidTr="00836B8C">
        <w:trPr>
          <w:trHeight w:val="228"/>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tcPr>
          <w:p w:rsidR="002F62D4" w:rsidRPr="009B7C77" w:rsidRDefault="002F62D4" w:rsidP="004E2D6C">
            <w:pPr>
              <w:spacing w:before="0" w:after="0"/>
              <w:rPr>
                <w:rFonts w:asciiTheme="majorHAnsi" w:hAnsiTheme="majorHAnsi"/>
                <w:sz w:val="16"/>
                <w:szCs w:val="16"/>
              </w:rPr>
            </w:pPr>
          </w:p>
        </w:tc>
        <w:tc>
          <w:tcPr>
            <w:tcW w:w="4853" w:type="dxa"/>
            <w:gridSpan w:val="2"/>
            <w:vAlign w:val="center"/>
          </w:tcPr>
          <w:p w:rsidR="002F62D4" w:rsidRPr="008B2A4E" w:rsidRDefault="002F62D4" w:rsidP="00EE145F">
            <w:pPr>
              <w:spacing w:before="0" w:after="0"/>
              <w:contextualSpacing/>
              <w:rPr>
                <w:rFonts w:asciiTheme="majorHAnsi" w:hAnsiTheme="majorHAnsi"/>
                <w:sz w:val="16"/>
                <w:szCs w:val="16"/>
              </w:rPr>
            </w:pPr>
            <w:r w:rsidRPr="008B2A4E">
              <w:rPr>
                <w:rFonts w:asciiTheme="majorHAnsi" w:hAnsiTheme="majorHAnsi"/>
                <w:sz w:val="16"/>
                <w:szCs w:val="16"/>
              </w:rPr>
              <w:t xml:space="preserve">Vypracovanie implementačného plánu projektov financovaných z KF, EFRR a CEF </w:t>
            </w:r>
            <w:r w:rsidR="005A3ADF" w:rsidRPr="008B2A4E">
              <w:rPr>
                <w:rFonts w:asciiTheme="majorHAnsi" w:hAnsiTheme="majorHAnsi"/>
                <w:sz w:val="16"/>
                <w:szCs w:val="16"/>
              </w:rPr>
              <w:t>ako súčasť Akčného plánu pre naplnenie ex ante kondicionality č. 7 na základe formy definovanej v Guidance Note EK k obsahu  Akčných plánov</w:t>
            </w:r>
            <w:r w:rsidRPr="008B2A4E">
              <w:rPr>
                <w:rFonts w:asciiTheme="majorHAnsi" w:hAnsiTheme="majorHAnsi"/>
                <w:sz w:val="16"/>
                <w:szCs w:val="16"/>
              </w:rPr>
              <w:t>.</w:t>
            </w:r>
          </w:p>
        </w:tc>
        <w:tc>
          <w:tcPr>
            <w:tcW w:w="2862" w:type="dxa"/>
            <w:gridSpan w:val="3"/>
            <w:vAlign w:val="center"/>
          </w:tcPr>
          <w:p w:rsidR="002F62D4" w:rsidRPr="001C5C9E" w:rsidRDefault="005A3ADF" w:rsidP="004E2D6C">
            <w:pPr>
              <w:spacing w:before="0" w:after="0"/>
              <w:rPr>
                <w:rFonts w:asciiTheme="majorHAnsi" w:hAnsiTheme="majorHAnsi"/>
                <w:sz w:val="16"/>
                <w:szCs w:val="16"/>
              </w:rPr>
            </w:pPr>
            <w:r w:rsidRPr="001C5C9E">
              <w:rPr>
                <w:rFonts w:asciiTheme="majorHAnsi" w:hAnsiTheme="majorHAnsi"/>
                <w:sz w:val="16"/>
                <w:szCs w:val="16"/>
              </w:rPr>
              <w:t xml:space="preserve">31. 5. </w:t>
            </w:r>
            <w:r w:rsidR="002F62D4" w:rsidRPr="001C5C9E">
              <w:rPr>
                <w:rFonts w:asciiTheme="majorHAnsi" w:hAnsiTheme="majorHAnsi"/>
                <w:sz w:val="16"/>
                <w:szCs w:val="16"/>
              </w:rPr>
              <w:t>2014</w:t>
            </w:r>
          </w:p>
        </w:tc>
        <w:tc>
          <w:tcPr>
            <w:tcW w:w="2346" w:type="dxa"/>
            <w:vMerge/>
            <w:tcBorders>
              <w:right w:val="single" w:sz="12" w:space="0" w:color="auto"/>
            </w:tcBorders>
          </w:tcPr>
          <w:p w:rsidR="002F62D4" w:rsidRPr="001C5C9E" w:rsidRDefault="002F62D4" w:rsidP="004E2D6C">
            <w:pPr>
              <w:spacing w:before="0" w:after="0"/>
              <w:rPr>
                <w:rFonts w:asciiTheme="majorHAnsi" w:hAnsiTheme="majorHAnsi"/>
                <w:sz w:val="16"/>
                <w:szCs w:val="16"/>
              </w:rPr>
            </w:pPr>
          </w:p>
        </w:tc>
      </w:tr>
      <w:tr w:rsidR="002F62D4" w:rsidRPr="00DF567A" w:rsidTr="00CC23CF">
        <w:trPr>
          <w:trHeight w:val="228"/>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tcPr>
          <w:p w:rsidR="002F62D4" w:rsidRPr="009B7C77" w:rsidRDefault="002F62D4" w:rsidP="004E2D6C">
            <w:pPr>
              <w:spacing w:before="0" w:after="0"/>
              <w:rPr>
                <w:rFonts w:asciiTheme="majorHAnsi" w:hAnsiTheme="majorHAnsi"/>
                <w:sz w:val="16"/>
                <w:szCs w:val="16"/>
              </w:rPr>
            </w:pPr>
          </w:p>
        </w:tc>
        <w:tc>
          <w:tcPr>
            <w:tcW w:w="4853" w:type="dxa"/>
            <w:gridSpan w:val="2"/>
          </w:tcPr>
          <w:p w:rsidR="002F62D4" w:rsidRPr="009B7C77" w:rsidRDefault="002F62D4" w:rsidP="004E2D6C">
            <w:pPr>
              <w:spacing w:before="0" w:after="0"/>
              <w:rPr>
                <w:rFonts w:asciiTheme="majorHAnsi" w:hAnsiTheme="majorHAnsi"/>
                <w:i/>
                <w:sz w:val="16"/>
                <w:szCs w:val="16"/>
              </w:rPr>
            </w:pPr>
            <w:r w:rsidRPr="009B7C77">
              <w:rPr>
                <w:rFonts w:asciiTheme="majorHAnsi" w:hAnsiTheme="majorHAnsi"/>
                <w:i/>
                <w:sz w:val="16"/>
                <w:szCs w:val="16"/>
              </w:rPr>
              <w:t xml:space="preserve">Strategický plán rozvoja dopravnej infraštruktúry SR do roku 2030 (fáza II.) </w:t>
            </w:r>
          </w:p>
          <w:p w:rsidR="002E18B6" w:rsidRDefault="002F62D4" w:rsidP="001C5C9E">
            <w:pPr>
              <w:pStyle w:val="Odsekzoznamu"/>
              <w:numPr>
                <w:ilvl w:val="0"/>
                <w:numId w:val="76"/>
              </w:numPr>
              <w:spacing w:before="0"/>
              <w:ind w:left="238" w:hanging="238"/>
              <w:rPr>
                <w:rFonts w:asciiTheme="majorHAnsi" w:hAnsiTheme="majorHAnsi"/>
                <w:sz w:val="16"/>
                <w:szCs w:val="16"/>
              </w:rPr>
            </w:pPr>
            <w:r w:rsidRPr="003D1B8F">
              <w:rPr>
                <w:rFonts w:asciiTheme="majorHAnsi" w:hAnsiTheme="majorHAnsi"/>
                <w:sz w:val="16"/>
                <w:szCs w:val="16"/>
              </w:rPr>
              <w:t xml:space="preserve">Zabezpečenie dopravného modelu SR za účelom účinnejšieho posúdenia potrieb a efektívnejšieho plánovania ďalšieho rozvoja </w:t>
            </w:r>
            <w:r w:rsidRPr="003D1B8F">
              <w:rPr>
                <w:rFonts w:asciiTheme="majorHAnsi" w:hAnsiTheme="majorHAnsi"/>
                <w:sz w:val="16"/>
                <w:szCs w:val="16"/>
              </w:rPr>
              <w:lastRenderedPageBreak/>
              <w:t xml:space="preserve">dopravnej infraštruktúry SR. </w:t>
            </w:r>
          </w:p>
          <w:p w:rsidR="002E18B6" w:rsidRDefault="002E18B6" w:rsidP="002E18B6">
            <w:pPr>
              <w:pStyle w:val="Odsekzoznamu"/>
              <w:spacing w:before="0"/>
              <w:ind w:left="238"/>
              <w:rPr>
                <w:rFonts w:asciiTheme="majorHAnsi" w:hAnsiTheme="majorHAnsi"/>
                <w:sz w:val="16"/>
                <w:szCs w:val="16"/>
              </w:rPr>
            </w:pPr>
          </w:p>
          <w:p w:rsidR="003D1B8F" w:rsidRPr="002E18B6" w:rsidRDefault="002E18B6" w:rsidP="002E18B6">
            <w:pPr>
              <w:pStyle w:val="Odsekzoznamu"/>
              <w:numPr>
                <w:ilvl w:val="0"/>
                <w:numId w:val="76"/>
              </w:numPr>
              <w:spacing w:before="0"/>
              <w:ind w:left="238" w:hanging="238"/>
              <w:rPr>
                <w:rFonts w:asciiTheme="majorHAnsi" w:hAnsiTheme="majorHAnsi"/>
                <w:sz w:val="16"/>
                <w:szCs w:val="16"/>
              </w:rPr>
            </w:pPr>
            <w:r w:rsidRPr="003D1B8F">
              <w:rPr>
                <w:rFonts w:asciiTheme="majorHAnsi" w:hAnsiTheme="majorHAnsi"/>
                <w:sz w:val="16"/>
                <w:szCs w:val="16"/>
              </w:rPr>
              <w:t>Vypracovanie na základe výstupov z dopravného modelu SR.</w:t>
            </w:r>
          </w:p>
          <w:p w:rsidR="003D1B8F" w:rsidRPr="003D1B8F" w:rsidRDefault="003D1B8F" w:rsidP="002E18B6">
            <w:pPr>
              <w:pStyle w:val="Odsekzoznamu"/>
              <w:spacing w:before="0"/>
              <w:ind w:left="238"/>
              <w:rPr>
                <w:rFonts w:asciiTheme="majorHAnsi" w:hAnsiTheme="majorHAnsi"/>
                <w:sz w:val="16"/>
                <w:szCs w:val="16"/>
              </w:rPr>
            </w:pPr>
          </w:p>
          <w:p w:rsidR="002F62D4" w:rsidRDefault="002F62D4" w:rsidP="009B7C77">
            <w:pPr>
              <w:pStyle w:val="Odsekzoznamu"/>
              <w:numPr>
                <w:ilvl w:val="0"/>
                <w:numId w:val="76"/>
              </w:numPr>
              <w:spacing w:before="0"/>
              <w:ind w:left="238" w:hanging="238"/>
              <w:rPr>
                <w:rFonts w:asciiTheme="majorHAnsi" w:hAnsiTheme="majorHAnsi"/>
                <w:sz w:val="16"/>
                <w:szCs w:val="16"/>
              </w:rPr>
            </w:pPr>
            <w:r w:rsidRPr="003D1B8F">
              <w:rPr>
                <w:rFonts w:asciiTheme="majorHAnsi" w:hAnsiTheme="majorHAnsi"/>
                <w:sz w:val="16"/>
                <w:szCs w:val="16"/>
              </w:rPr>
              <w:t xml:space="preserve">Vykonanie strategického environmentálneho hodnotenia. </w:t>
            </w:r>
          </w:p>
          <w:p w:rsidR="003D1B8F" w:rsidRPr="003D1B8F" w:rsidRDefault="003D1B8F" w:rsidP="003D1B8F">
            <w:pPr>
              <w:pStyle w:val="Odsekzoznamu"/>
              <w:spacing w:before="0"/>
              <w:ind w:left="238"/>
              <w:rPr>
                <w:rFonts w:asciiTheme="majorHAnsi" w:hAnsiTheme="majorHAnsi"/>
                <w:sz w:val="16"/>
                <w:szCs w:val="16"/>
              </w:rPr>
            </w:pPr>
          </w:p>
          <w:p w:rsidR="003D1B8F" w:rsidRPr="003D1B8F" w:rsidRDefault="002F62D4" w:rsidP="009B7C77">
            <w:pPr>
              <w:pStyle w:val="Odsekzoznamu"/>
              <w:numPr>
                <w:ilvl w:val="0"/>
                <w:numId w:val="76"/>
              </w:numPr>
              <w:spacing w:before="0"/>
              <w:ind w:left="238" w:hanging="238"/>
              <w:rPr>
                <w:rFonts w:asciiTheme="majorHAnsi" w:hAnsiTheme="majorHAnsi"/>
                <w:sz w:val="16"/>
                <w:szCs w:val="16"/>
              </w:rPr>
            </w:pPr>
            <w:r w:rsidRPr="003D1B8F">
              <w:rPr>
                <w:rFonts w:asciiTheme="majorHAnsi" w:hAnsiTheme="majorHAnsi"/>
                <w:sz w:val="16"/>
                <w:szCs w:val="16"/>
              </w:rPr>
              <w:t>Predloženie Strategického plánu rozvoja dopravnej infraštruktúry SR do roku 2030 (fáza II.) na rokovanie Hospodárskej a sociálnej rady SR.</w:t>
            </w:r>
          </w:p>
          <w:p w:rsidR="003D1B8F" w:rsidRPr="003D1B8F" w:rsidRDefault="003D1B8F" w:rsidP="003D1B8F">
            <w:pPr>
              <w:pStyle w:val="Odsekzoznamu"/>
              <w:spacing w:before="0"/>
              <w:ind w:left="238"/>
              <w:rPr>
                <w:rFonts w:asciiTheme="majorHAnsi" w:hAnsiTheme="majorHAnsi"/>
                <w:sz w:val="16"/>
                <w:szCs w:val="16"/>
              </w:rPr>
            </w:pPr>
          </w:p>
          <w:p w:rsidR="002F62D4" w:rsidRDefault="002F62D4" w:rsidP="009B7C77">
            <w:pPr>
              <w:pStyle w:val="Odsekzoznamu"/>
              <w:numPr>
                <w:ilvl w:val="0"/>
                <w:numId w:val="76"/>
              </w:numPr>
              <w:spacing w:before="0"/>
              <w:ind w:left="238" w:hanging="238"/>
              <w:rPr>
                <w:rFonts w:asciiTheme="majorHAnsi" w:hAnsiTheme="majorHAnsi"/>
                <w:sz w:val="16"/>
                <w:szCs w:val="16"/>
              </w:rPr>
            </w:pPr>
            <w:r w:rsidRPr="003D1B8F">
              <w:rPr>
                <w:rFonts w:asciiTheme="majorHAnsi" w:hAnsiTheme="majorHAnsi"/>
                <w:sz w:val="16"/>
                <w:szCs w:val="16"/>
              </w:rPr>
              <w:t xml:space="preserve">Predloženie na rokovanie vlády SR. </w:t>
            </w:r>
          </w:p>
          <w:p w:rsidR="003D1B8F" w:rsidRPr="003D1B8F" w:rsidRDefault="003D1B8F" w:rsidP="003D1B8F">
            <w:pPr>
              <w:pStyle w:val="Odsekzoznamu"/>
              <w:spacing w:before="0"/>
              <w:ind w:left="238"/>
              <w:rPr>
                <w:rFonts w:asciiTheme="majorHAnsi" w:hAnsiTheme="majorHAnsi"/>
                <w:sz w:val="16"/>
                <w:szCs w:val="16"/>
              </w:rPr>
            </w:pPr>
          </w:p>
          <w:p w:rsidR="002F62D4" w:rsidRPr="003D1B8F" w:rsidRDefault="002F62D4" w:rsidP="002E18B6">
            <w:pPr>
              <w:pStyle w:val="Odsekzoznamu"/>
              <w:numPr>
                <w:ilvl w:val="0"/>
                <w:numId w:val="76"/>
              </w:numPr>
              <w:spacing w:before="0" w:after="0"/>
              <w:ind w:left="238" w:hanging="238"/>
              <w:rPr>
                <w:rFonts w:asciiTheme="majorHAnsi" w:hAnsiTheme="majorHAnsi"/>
                <w:i/>
                <w:sz w:val="16"/>
                <w:szCs w:val="16"/>
              </w:rPr>
            </w:pPr>
            <w:r w:rsidRPr="003D1B8F">
              <w:rPr>
                <w:rFonts w:asciiTheme="majorHAnsi" w:hAnsiTheme="majorHAnsi"/>
                <w:sz w:val="16"/>
                <w:szCs w:val="16"/>
              </w:rPr>
              <w:t>Predloženie EK za účelom posúdenia úplného splnenia ex ante kondicionalít stanovených pre sektor dopravy.</w:t>
            </w:r>
          </w:p>
        </w:tc>
        <w:tc>
          <w:tcPr>
            <w:tcW w:w="2862" w:type="dxa"/>
            <w:gridSpan w:val="3"/>
          </w:tcPr>
          <w:p w:rsidR="002F62D4" w:rsidRPr="003D1B8F" w:rsidRDefault="002F62D4" w:rsidP="004E2D6C">
            <w:pPr>
              <w:spacing w:before="0" w:after="0"/>
              <w:rPr>
                <w:rFonts w:asciiTheme="majorHAnsi" w:hAnsiTheme="majorHAnsi"/>
                <w:b/>
                <w:sz w:val="16"/>
                <w:szCs w:val="16"/>
              </w:rPr>
            </w:pPr>
          </w:p>
          <w:p w:rsidR="003D1B8F" w:rsidRDefault="003D1B8F" w:rsidP="004E2D6C">
            <w:pPr>
              <w:spacing w:before="0" w:after="0"/>
              <w:rPr>
                <w:rFonts w:asciiTheme="majorHAnsi" w:hAnsiTheme="majorHAnsi"/>
                <w:sz w:val="16"/>
                <w:szCs w:val="16"/>
              </w:rPr>
            </w:pPr>
          </w:p>
          <w:p w:rsidR="002F62D4" w:rsidRPr="003D1B8F" w:rsidRDefault="005A3ADF" w:rsidP="004E2D6C">
            <w:pPr>
              <w:spacing w:before="0" w:after="0"/>
              <w:rPr>
                <w:rFonts w:asciiTheme="majorHAnsi" w:hAnsiTheme="majorHAnsi"/>
                <w:sz w:val="16"/>
                <w:szCs w:val="16"/>
              </w:rPr>
            </w:pPr>
            <w:r w:rsidRPr="003D1B8F">
              <w:rPr>
                <w:rFonts w:asciiTheme="majorHAnsi" w:hAnsiTheme="majorHAnsi"/>
                <w:sz w:val="16"/>
                <w:szCs w:val="16"/>
              </w:rPr>
              <w:t xml:space="preserve">31. 10. </w:t>
            </w:r>
            <w:r w:rsidR="002F62D4" w:rsidRPr="003D1B8F">
              <w:rPr>
                <w:rFonts w:asciiTheme="majorHAnsi" w:hAnsiTheme="majorHAnsi"/>
                <w:sz w:val="16"/>
                <w:szCs w:val="16"/>
              </w:rPr>
              <w:t>2015</w:t>
            </w:r>
          </w:p>
          <w:p w:rsidR="002F62D4" w:rsidRPr="003D1B8F" w:rsidRDefault="002F62D4" w:rsidP="004E2D6C">
            <w:pPr>
              <w:spacing w:before="0" w:after="0"/>
              <w:rPr>
                <w:rFonts w:asciiTheme="majorHAnsi" w:hAnsiTheme="majorHAnsi"/>
                <w:sz w:val="16"/>
                <w:szCs w:val="16"/>
              </w:rPr>
            </w:pPr>
          </w:p>
          <w:p w:rsidR="002F62D4" w:rsidRPr="003D1B8F" w:rsidRDefault="002F62D4" w:rsidP="004E2D6C">
            <w:pPr>
              <w:spacing w:before="0" w:after="0"/>
              <w:rPr>
                <w:rFonts w:asciiTheme="majorHAnsi" w:hAnsiTheme="majorHAnsi"/>
                <w:sz w:val="16"/>
                <w:szCs w:val="16"/>
              </w:rPr>
            </w:pPr>
          </w:p>
          <w:p w:rsidR="002F62D4" w:rsidRPr="003D1B8F" w:rsidRDefault="002F62D4" w:rsidP="004E2D6C">
            <w:pPr>
              <w:spacing w:before="0" w:after="0"/>
              <w:rPr>
                <w:rFonts w:asciiTheme="majorHAnsi" w:hAnsiTheme="majorHAnsi"/>
                <w:sz w:val="16"/>
                <w:szCs w:val="16"/>
              </w:rPr>
            </w:pPr>
          </w:p>
          <w:p w:rsidR="002F62D4" w:rsidRPr="003D1B8F" w:rsidRDefault="003A0974" w:rsidP="004E2D6C">
            <w:pPr>
              <w:spacing w:before="0"/>
              <w:rPr>
                <w:rFonts w:asciiTheme="majorHAnsi" w:hAnsiTheme="majorHAnsi"/>
                <w:sz w:val="16"/>
                <w:szCs w:val="16"/>
              </w:rPr>
            </w:pPr>
            <w:r w:rsidRPr="003D1B8F">
              <w:rPr>
                <w:rFonts w:asciiTheme="majorHAnsi" w:hAnsiTheme="majorHAnsi"/>
                <w:sz w:val="16"/>
                <w:szCs w:val="16"/>
              </w:rPr>
              <w:t xml:space="preserve">30. 6. </w:t>
            </w:r>
            <w:r w:rsidR="002F62D4" w:rsidRPr="003D1B8F">
              <w:rPr>
                <w:rFonts w:asciiTheme="majorHAnsi" w:hAnsiTheme="majorHAnsi"/>
                <w:sz w:val="16"/>
                <w:szCs w:val="16"/>
              </w:rPr>
              <w:t>2016</w:t>
            </w:r>
          </w:p>
          <w:p w:rsidR="002F62D4" w:rsidRPr="003D1B8F" w:rsidRDefault="003A0974" w:rsidP="004E2D6C">
            <w:pPr>
              <w:spacing w:before="0" w:after="0"/>
              <w:rPr>
                <w:rFonts w:asciiTheme="majorHAnsi" w:hAnsiTheme="majorHAnsi"/>
                <w:sz w:val="16"/>
                <w:szCs w:val="16"/>
              </w:rPr>
            </w:pPr>
            <w:r w:rsidRPr="003D1B8F">
              <w:rPr>
                <w:rFonts w:asciiTheme="majorHAnsi" w:hAnsiTheme="majorHAnsi"/>
                <w:sz w:val="16"/>
                <w:szCs w:val="16"/>
              </w:rPr>
              <w:t xml:space="preserve">31. 10. </w:t>
            </w:r>
            <w:r w:rsidR="002F62D4" w:rsidRPr="003D1B8F">
              <w:rPr>
                <w:rFonts w:asciiTheme="majorHAnsi" w:hAnsiTheme="majorHAnsi"/>
                <w:sz w:val="16"/>
                <w:szCs w:val="16"/>
              </w:rPr>
              <w:t>2016</w:t>
            </w:r>
          </w:p>
          <w:p w:rsidR="002F62D4" w:rsidRPr="003D1B8F" w:rsidRDefault="002F62D4" w:rsidP="004E2D6C">
            <w:pPr>
              <w:spacing w:before="0" w:after="0"/>
              <w:rPr>
                <w:rFonts w:asciiTheme="majorHAnsi" w:hAnsiTheme="majorHAnsi"/>
                <w:sz w:val="16"/>
                <w:szCs w:val="16"/>
              </w:rPr>
            </w:pPr>
          </w:p>
          <w:p w:rsidR="002F62D4" w:rsidRPr="003D1B8F" w:rsidRDefault="003A0974" w:rsidP="004E2D6C">
            <w:pPr>
              <w:spacing w:before="0" w:after="0"/>
              <w:rPr>
                <w:rFonts w:asciiTheme="majorHAnsi" w:hAnsiTheme="majorHAnsi"/>
                <w:sz w:val="16"/>
                <w:szCs w:val="16"/>
              </w:rPr>
            </w:pPr>
            <w:r w:rsidRPr="003D1B8F">
              <w:rPr>
                <w:rFonts w:asciiTheme="majorHAnsi" w:hAnsiTheme="majorHAnsi"/>
                <w:sz w:val="16"/>
                <w:szCs w:val="16"/>
              </w:rPr>
              <w:t xml:space="preserve">30. 11. </w:t>
            </w:r>
            <w:r w:rsidR="002F62D4" w:rsidRPr="003D1B8F">
              <w:rPr>
                <w:rFonts w:asciiTheme="majorHAnsi" w:hAnsiTheme="majorHAnsi"/>
                <w:sz w:val="16"/>
                <w:szCs w:val="16"/>
              </w:rPr>
              <w:t>2016</w:t>
            </w:r>
          </w:p>
          <w:p w:rsidR="002F62D4" w:rsidRPr="003D1B8F" w:rsidRDefault="002F62D4" w:rsidP="004E2D6C">
            <w:pPr>
              <w:spacing w:before="0" w:after="0"/>
              <w:rPr>
                <w:rFonts w:asciiTheme="majorHAnsi" w:hAnsiTheme="majorHAnsi"/>
                <w:sz w:val="16"/>
                <w:szCs w:val="16"/>
              </w:rPr>
            </w:pPr>
          </w:p>
          <w:p w:rsidR="002F62D4" w:rsidRPr="003D1B8F" w:rsidRDefault="002F62D4" w:rsidP="004E2D6C">
            <w:pPr>
              <w:spacing w:before="0" w:after="0"/>
              <w:rPr>
                <w:rFonts w:asciiTheme="majorHAnsi" w:hAnsiTheme="majorHAnsi"/>
                <w:sz w:val="16"/>
                <w:szCs w:val="16"/>
              </w:rPr>
            </w:pPr>
          </w:p>
          <w:p w:rsidR="003D1B8F" w:rsidRDefault="003D1B8F" w:rsidP="004E2D6C">
            <w:pPr>
              <w:spacing w:before="0" w:after="0"/>
              <w:rPr>
                <w:rFonts w:asciiTheme="majorHAnsi" w:hAnsiTheme="majorHAnsi"/>
                <w:sz w:val="16"/>
                <w:szCs w:val="16"/>
              </w:rPr>
            </w:pPr>
          </w:p>
          <w:p w:rsidR="002F62D4" w:rsidRPr="003D1B8F" w:rsidRDefault="003A0974" w:rsidP="004E2D6C">
            <w:pPr>
              <w:spacing w:before="0" w:after="0"/>
              <w:rPr>
                <w:rFonts w:asciiTheme="majorHAnsi" w:hAnsiTheme="majorHAnsi"/>
                <w:sz w:val="16"/>
                <w:szCs w:val="16"/>
              </w:rPr>
            </w:pPr>
            <w:r w:rsidRPr="003D1B8F">
              <w:rPr>
                <w:rFonts w:asciiTheme="majorHAnsi" w:hAnsiTheme="majorHAnsi"/>
                <w:sz w:val="16"/>
                <w:szCs w:val="16"/>
              </w:rPr>
              <w:t xml:space="preserve">31. 12. </w:t>
            </w:r>
            <w:r w:rsidR="002F62D4" w:rsidRPr="003D1B8F">
              <w:rPr>
                <w:rFonts w:asciiTheme="majorHAnsi" w:hAnsiTheme="majorHAnsi"/>
                <w:sz w:val="16"/>
                <w:szCs w:val="16"/>
              </w:rPr>
              <w:t>2016</w:t>
            </w:r>
          </w:p>
          <w:p w:rsidR="002F62D4" w:rsidRPr="003D1B8F" w:rsidRDefault="002F62D4" w:rsidP="004E2D6C">
            <w:pPr>
              <w:spacing w:before="0" w:after="0"/>
              <w:rPr>
                <w:rFonts w:asciiTheme="majorHAnsi" w:hAnsiTheme="majorHAnsi"/>
                <w:sz w:val="16"/>
                <w:szCs w:val="16"/>
              </w:rPr>
            </w:pPr>
          </w:p>
          <w:p w:rsidR="002F62D4" w:rsidRPr="003D1B8F" w:rsidRDefault="003A0974" w:rsidP="004E2D6C">
            <w:pPr>
              <w:spacing w:before="0" w:after="0"/>
              <w:rPr>
                <w:rFonts w:asciiTheme="majorHAnsi" w:hAnsiTheme="majorHAnsi"/>
                <w:b/>
                <w:sz w:val="16"/>
                <w:szCs w:val="16"/>
              </w:rPr>
            </w:pPr>
            <w:r w:rsidRPr="003D1B8F">
              <w:rPr>
                <w:rFonts w:asciiTheme="majorHAnsi" w:hAnsiTheme="majorHAnsi"/>
                <w:sz w:val="16"/>
                <w:szCs w:val="16"/>
              </w:rPr>
              <w:t xml:space="preserve">31. 12. </w:t>
            </w:r>
            <w:r w:rsidR="002F62D4" w:rsidRPr="003D1B8F">
              <w:rPr>
                <w:rFonts w:asciiTheme="majorHAnsi" w:hAnsiTheme="majorHAnsi"/>
                <w:sz w:val="16"/>
                <w:szCs w:val="16"/>
              </w:rPr>
              <w:t>2016</w:t>
            </w:r>
          </w:p>
        </w:tc>
        <w:tc>
          <w:tcPr>
            <w:tcW w:w="2346" w:type="dxa"/>
            <w:vMerge/>
            <w:tcBorders>
              <w:right w:val="single" w:sz="12" w:space="0" w:color="auto"/>
            </w:tcBorders>
          </w:tcPr>
          <w:p w:rsidR="002F62D4" w:rsidRPr="003D1B8F" w:rsidRDefault="002F62D4" w:rsidP="004E2D6C">
            <w:pPr>
              <w:spacing w:before="0" w:after="0"/>
              <w:rPr>
                <w:rFonts w:asciiTheme="majorHAnsi" w:hAnsiTheme="majorHAnsi"/>
                <w:sz w:val="16"/>
                <w:szCs w:val="16"/>
              </w:rPr>
            </w:pPr>
          </w:p>
        </w:tc>
      </w:tr>
      <w:tr w:rsidR="002F62D4" w:rsidRPr="00DF567A" w:rsidTr="000D7C6E">
        <w:trPr>
          <w:trHeight w:val="450"/>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val="restart"/>
          </w:tcPr>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Opatrenia na zabezpečenie kapacity sprostredkovateľských orgánov a prijímateľov pri vykonávaní naplánovaných projektov.</w:t>
            </w:r>
          </w:p>
        </w:tc>
        <w:tc>
          <w:tcPr>
            <w:tcW w:w="4853" w:type="dxa"/>
            <w:gridSpan w:val="2"/>
            <w:vAlign w:val="center"/>
          </w:tcPr>
          <w:p w:rsidR="002F62D4" w:rsidRPr="009B7C77" w:rsidRDefault="002F62D4" w:rsidP="004E2D6C">
            <w:pPr>
              <w:spacing w:before="0" w:after="0"/>
              <w:contextualSpacing/>
              <w:rPr>
                <w:rFonts w:asciiTheme="majorHAnsi" w:hAnsiTheme="majorHAnsi"/>
                <w:sz w:val="16"/>
                <w:szCs w:val="16"/>
              </w:rPr>
            </w:pPr>
            <w:r w:rsidRPr="009B7C77">
              <w:rPr>
                <w:rFonts w:asciiTheme="majorHAnsi" w:hAnsiTheme="majorHAnsi"/>
                <w:sz w:val="16"/>
                <w:szCs w:val="16"/>
              </w:rPr>
              <w:t xml:space="preserve">Vypracovanie analýzy kapacít sprostredkovateľských orgánov </w:t>
            </w:r>
            <w:r w:rsidR="00544389" w:rsidRPr="009B7C77">
              <w:rPr>
                <w:rFonts w:asciiTheme="majorHAnsi" w:hAnsiTheme="majorHAnsi"/>
                <w:sz w:val="16"/>
                <w:szCs w:val="16"/>
              </w:rPr>
              <w:br/>
            </w:r>
            <w:r w:rsidRPr="009B7C77">
              <w:rPr>
                <w:rFonts w:asciiTheme="majorHAnsi" w:hAnsiTheme="majorHAnsi"/>
                <w:sz w:val="16"/>
                <w:szCs w:val="16"/>
              </w:rPr>
              <w:t>a prijímateľov. Analýza by mala identifikovať opatrenia, ktoré je potrebné prijať na posilnenie kapacít pri vykonávaní  naplánovaných projektov s cieľom predísť problémom, ktoré sa vyskytli pri implementácii v rámci programového obdobia 2007</w:t>
            </w:r>
            <w:r w:rsidR="00DE7098" w:rsidRPr="009B7C77">
              <w:rPr>
                <w:rFonts w:asciiTheme="majorHAnsi" w:hAnsiTheme="majorHAnsi"/>
                <w:sz w:val="16"/>
                <w:szCs w:val="16"/>
              </w:rPr>
              <w:t xml:space="preserve"> </w:t>
            </w:r>
            <w:r w:rsidRPr="009B7C77">
              <w:rPr>
                <w:rFonts w:asciiTheme="majorHAnsi" w:hAnsiTheme="majorHAnsi"/>
                <w:sz w:val="16"/>
                <w:szCs w:val="16"/>
              </w:rPr>
              <w:t>-</w:t>
            </w:r>
            <w:r w:rsidR="00DE7098" w:rsidRPr="009B7C77">
              <w:rPr>
                <w:rFonts w:asciiTheme="majorHAnsi" w:hAnsiTheme="majorHAnsi"/>
                <w:sz w:val="16"/>
                <w:szCs w:val="16"/>
              </w:rPr>
              <w:t xml:space="preserve"> </w:t>
            </w:r>
            <w:r w:rsidRPr="009B7C77">
              <w:rPr>
                <w:rFonts w:asciiTheme="majorHAnsi" w:hAnsiTheme="majorHAnsi"/>
                <w:sz w:val="16"/>
                <w:szCs w:val="16"/>
              </w:rPr>
              <w:t xml:space="preserve">2013. </w:t>
            </w:r>
          </w:p>
        </w:tc>
        <w:tc>
          <w:tcPr>
            <w:tcW w:w="2862" w:type="dxa"/>
            <w:gridSpan w:val="3"/>
            <w:vAlign w:val="center"/>
          </w:tcPr>
          <w:p w:rsidR="002F62D4" w:rsidRPr="009B7C77" w:rsidRDefault="003A0974" w:rsidP="004E2D6C">
            <w:pPr>
              <w:spacing w:before="0" w:after="0"/>
              <w:rPr>
                <w:rFonts w:asciiTheme="majorHAnsi" w:hAnsiTheme="majorHAnsi"/>
                <w:sz w:val="16"/>
                <w:szCs w:val="16"/>
              </w:rPr>
            </w:pPr>
            <w:r w:rsidRPr="009B7C77">
              <w:rPr>
                <w:rFonts w:asciiTheme="majorHAnsi" w:hAnsiTheme="majorHAnsi"/>
                <w:sz w:val="16"/>
                <w:szCs w:val="16"/>
              </w:rPr>
              <w:t xml:space="preserve">30. 5. </w:t>
            </w:r>
            <w:r w:rsidR="002F62D4" w:rsidRPr="009B7C77">
              <w:rPr>
                <w:rFonts w:asciiTheme="majorHAnsi" w:hAnsiTheme="majorHAnsi"/>
                <w:sz w:val="16"/>
                <w:szCs w:val="16"/>
              </w:rPr>
              <w:t>2014</w:t>
            </w:r>
          </w:p>
        </w:tc>
        <w:tc>
          <w:tcPr>
            <w:tcW w:w="2346" w:type="dxa"/>
            <w:vMerge/>
            <w:tcBorders>
              <w:right w:val="single" w:sz="12" w:space="0" w:color="auto"/>
            </w:tcBorders>
          </w:tcPr>
          <w:p w:rsidR="002F62D4" w:rsidRPr="009B7C77" w:rsidRDefault="002F62D4" w:rsidP="004E2D6C">
            <w:pPr>
              <w:spacing w:before="0" w:after="0"/>
              <w:rPr>
                <w:rFonts w:asciiTheme="majorHAnsi" w:hAnsiTheme="majorHAnsi"/>
                <w:sz w:val="16"/>
                <w:szCs w:val="16"/>
              </w:rPr>
            </w:pPr>
          </w:p>
        </w:tc>
      </w:tr>
      <w:tr w:rsidR="002F62D4" w:rsidRPr="00DF567A" w:rsidTr="000D7C6E">
        <w:trPr>
          <w:trHeight w:val="450"/>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tcPr>
          <w:p w:rsidR="002F62D4" w:rsidRPr="009B7C77" w:rsidRDefault="002F62D4" w:rsidP="004E2D6C">
            <w:pPr>
              <w:spacing w:before="0" w:after="0"/>
              <w:rPr>
                <w:rFonts w:asciiTheme="majorHAnsi" w:hAnsiTheme="majorHAnsi"/>
                <w:sz w:val="16"/>
                <w:szCs w:val="16"/>
              </w:rPr>
            </w:pPr>
          </w:p>
        </w:tc>
        <w:tc>
          <w:tcPr>
            <w:tcW w:w="4853" w:type="dxa"/>
            <w:gridSpan w:val="2"/>
            <w:vAlign w:val="center"/>
          </w:tcPr>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 xml:space="preserve">Aplikácia opatrení identifikovaných analýzou, tzn. prijatie potrebných krokov na zavedenie opatrení do praxe. </w:t>
            </w:r>
          </w:p>
        </w:tc>
        <w:tc>
          <w:tcPr>
            <w:tcW w:w="2862" w:type="dxa"/>
            <w:gridSpan w:val="3"/>
            <w:vAlign w:val="center"/>
          </w:tcPr>
          <w:p w:rsidR="002F62D4" w:rsidRPr="009B7C77" w:rsidRDefault="003A0974" w:rsidP="004E2D6C">
            <w:pPr>
              <w:spacing w:before="0" w:after="0"/>
              <w:rPr>
                <w:rFonts w:asciiTheme="majorHAnsi" w:hAnsiTheme="majorHAnsi"/>
                <w:sz w:val="16"/>
                <w:szCs w:val="16"/>
              </w:rPr>
            </w:pPr>
            <w:r w:rsidRPr="009B7C77">
              <w:rPr>
                <w:rFonts w:asciiTheme="majorHAnsi" w:hAnsiTheme="majorHAnsi"/>
                <w:sz w:val="16"/>
                <w:szCs w:val="16"/>
              </w:rPr>
              <w:t xml:space="preserve">31. 10. </w:t>
            </w:r>
            <w:r w:rsidR="002F62D4" w:rsidRPr="009B7C77">
              <w:rPr>
                <w:rFonts w:asciiTheme="majorHAnsi" w:hAnsiTheme="majorHAnsi"/>
                <w:sz w:val="16"/>
                <w:szCs w:val="16"/>
              </w:rPr>
              <w:t>2014</w:t>
            </w:r>
          </w:p>
        </w:tc>
        <w:tc>
          <w:tcPr>
            <w:tcW w:w="2346" w:type="dxa"/>
            <w:vMerge/>
            <w:tcBorders>
              <w:right w:val="single" w:sz="12" w:space="0" w:color="auto"/>
            </w:tcBorders>
          </w:tcPr>
          <w:p w:rsidR="002F62D4" w:rsidRPr="009B7C77" w:rsidRDefault="002F62D4" w:rsidP="004E2D6C">
            <w:pPr>
              <w:spacing w:before="0" w:after="0"/>
              <w:rPr>
                <w:rFonts w:asciiTheme="majorHAnsi" w:hAnsiTheme="majorHAnsi"/>
                <w:sz w:val="16"/>
                <w:szCs w:val="16"/>
              </w:rPr>
            </w:pPr>
          </w:p>
        </w:tc>
      </w:tr>
      <w:tr w:rsidR="002F62D4" w:rsidRPr="00DF567A" w:rsidTr="00CC23CF">
        <w:trPr>
          <w:trHeight w:val="1140"/>
        </w:trPr>
        <w:tc>
          <w:tcPr>
            <w:tcW w:w="1949" w:type="dxa"/>
            <w:vMerge w:val="restart"/>
            <w:tcBorders>
              <w:lef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rPr>
              <w:t xml:space="preserve">7.3. Iné druhy dopravy vrátane vnútrozemských vodných ciest a námornej prepravy, prístavov, multimodálnych spojení a letiskovej infraštruktúry: existencia komplexného plánu či plánov alebo rámca či rámcov dopravy s osobitnou časťou venovanou vnútrozemským vodným cestám a námornej preprave, prístavom, multimodálnym spojeniam a letiskovej infraštruktúre, ktoré </w:t>
            </w:r>
            <w:r w:rsidRPr="00B763E3">
              <w:rPr>
                <w:rFonts w:asciiTheme="majorHAnsi" w:hAnsiTheme="majorHAnsi"/>
                <w:sz w:val="16"/>
                <w:szCs w:val="16"/>
              </w:rPr>
              <w:lastRenderedPageBreak/>
              <w:t>prispievajú k zlepšovaniu prepojenia na úplnú a základnú sieť TEN-T a podporujú udržateľnú regionálnu a miestnu mobilitu.</w:t>
            </w:r>
          </w:p>
        </w:tc>
        <w:tc>
          <w:tcPr>
            <w:tcW w:w="2100" w:type="dxa"/>
            <w:gridSpan w:val="2"/>
          </w:tcPr>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lastRenderedPageBreak/>
              <w:t>Existencia časti venovanej vnútrozemským vodným cestám a námornej preprave, prístavom, multimodálnym spojeniam a letiskovej infraštruktúre v rámci plánu či plánov alebo rámca či rámcov dopravy, ktorá:</w:t>
            </w:r>
          </w:p>
        </w:tc>
        <w:tc>
          <w:tcPr>
            <w:tcW w:w="4853" w:type="dxa"/>
            <w:gridSpan w:val="2"/>
          </w:tcPr>
          <w:p w:rsidR="003A0974" w:rsidRPr="00B763E3" w:rsidRDefault="003A0974" w:rsidP="003A0974">
            <w:pPr>
              <w:spacing w:before="0" w:after="0"/>
              <w:rPr>
                <w:rFonts w:asciiTheme="majorHAnsi" w:hAnsiTheme="majorHAnsi"/>
                <w:i/>
                <w:sz w:val="16"/>
                <w:szCs w:val="16"/>
              </w:rPr>
            </w:pPr>
            <w:r w:rsidRPr="00B763E3">
              <w:rPr>
                <w:rFonts w:asciiTheme="majorHAnsi" w:hAnsiTheme="majorHAnsi"/>
                <w:i/>
                <w:sz w:val="16"/>
                <w:szCs w:val="16"/>
              </w:rPr>
              <w:t>Strategický plán rozvoja dopravnej infraštruktúry SR do roku 2020 (fáza I.)</w:t>
            </w:r>
          </w:p>
          <w:p w:rsidR="00E16CCC" w:rsidRPr="00B763E3" w:rsidRDefault="003A0974" w:rsidP="00E16CCC">
            <w:pPr>
              <w:spacing w:before="60" w:after="0"/>
              <w:rPr>
                <w:rFonts w:asciiTheme="majorHAnsi" w:hAnsiTheme="majorHAnsi"/>
                <w:sz w:val="16"/>
                <w:szCs w:val="16"/>
              </w:rPr>
            </w:pPr>
            <w:r w:rsidRPr="00B763E3">
              <w:rPr>
                <w:rFonts w:asciiTheme="majorHAnsi" w:hAnsiTheme="majorHAnsi"/>
                <w:sz w:val="16"/>
                <w:szCs w:val="16"/>
              </w:rPr>
              <w:t xml:space="preserve">Ukončenie procesu strategického environmentálneho posudzovania (SEA) Strategického plánu rozvoja dopravnej infraštruktúry SR do roku 2020 (fáza I.), vrátane </w:t>
            </w:r>
            <w:r w:rsidRPr="00B763E3">
              <w:rPr>
                <w:rFonts w:asciiTheme="majorHAnsi" w:hAnsiTheme="majorHAnsi"/>
                <w:i/>
                <w:sz w:val="16"/>
                <w:szCs w:val="16"/>
              </w:rPr>
              <w:t>Stratégie rozvoja verejnej osobnej a nemotorovej dopravy SR do roku 2020</w:t>
            </w:r>
            <w:r w:rsidRPr="00B763E3">
              <w:rPr>
                <w:rFonts w:asciiTheme="majorHAnsi" w:hAnsiTheme="majorHAnsi"/>
                <w:sz w:val="16"/>
                <w:szCs w:val="16"/>
              </w:rPr>
              <w:t>, ktorá tvorí jeho prílohu.</w:t>
            </w:r>
          </w:p>
          <w:p w:rsidR="003A0974" w:rsidRPr="00B763E3" w:rsidRDefault="003A0974" w:rsidP="00B763E3">
            <w:pPr>
              <w:spacing w:before="60" w:after="0"/>
              <w:rPr>
                <w:rFonts w:asciiTheme="majorHAnsi" w:hAnsiTheme="majorHAnsi"/>
                <w:i/>
                <w:sz w:val="16"/>
                <w:szCs w:val="16"/>
              </w:rPr>
            </w:pPr>
          </w:p>
          <w:p w:rsidR="003A0974" w:rsidRPr="00B763E3" w:rsidRDefault="003A0974" w:rsidP="004E2D6C">
            <w:pPr>
              <w:spacing w:before="0" w:after="0"/>
              <w:rPr>
                <w:rFonts w:asciiTheme="majorHAnsi" w:hAnsiTheme="majorHAnsi"/>
                <w:i/>
                <w:sz w:val="16"/>
                <w:szCs w:val="16"/>
              </w:rPr>
            </w:pPr>
          </w:p>
          <w:p w:rsidR="002F62D4" w:rsidRPr="00B763E3" w:rsidRDefault="002F62D4" w:rsidP="004E2D6C">
            <w:pPr>
              <w:spacing w:before="0" w:after="0"/>
              <w:rPr>
                <w:rFonts w:asciiTheme="majorHAnsi" w:hAnsiTheme="majorHAnsi"/>
                <w:i/>
                <w:sz w:val="16"/>
                <w:szCs w:val="16"/>
              </w:rPr>
            </w:pPr>
            <w:r w:rsidRPr="00B763E3">
              <w:rPr>
                <w:rFonts w:asciiTheme="majorHAnsi" w:hAnsiTheme="majorHAnsi"/>
                <w:i/>
                <w:sz w:val="16"/>
                <w:szCs w:val="16"/>
              </w:rPr>
              <w:t xml:space="preserve">Strategický plán rozvoja dopravnej infraštruktúry SR do roku 2030 (fáza II.) </w:t>
            </w:r>
          </w:p>
          <w:p w:rsidR="002F62D4" w:rsidRDefault="002F62D4" w:rsidP="009B7C77">
            <w:pPr>
              <w:pStyle w:val="Odsekzoznamu"/>
              <w:numPr>
                <w:ilvl w:val="0"/>
                <w:numId w:val="77"/>
              </w:numPr>
              <w:spacing w:before="0"/>
              <w:ind w:left="238" w:hanging="238"/>
              <w:rPr>
                <w:rFonts w:asciiTheme="majorHAnsi" w:hAnsiTheme="majorHAnsi"/>
                <w:sz w:val="16"/>
                <w:szCs w:val="16"/>
              </w:rPr>
            </w:pPr>
            <w:r w:rsidRPr="006F1168">
              <w:rPr>
                <w:rFonts w:asciiTheme="majorHAnsi" w:hAnsiTheme="majorHAnsi"/>
                <w:sz w:val="16"/>
                <w:szCs w:val="16"/>
              </w:rPr>
              <w:t xml:space="preserve">Zabezpečenie dopravného modelu SR za účelom účinnejšieho posúdenia potrieb a efektívnejšieho plánovania ďalšieho rozvoja dopravnej infraštruktúry SR.  </w:t>
            </w:r>
          </w:p>
          <w:p w:rsidR="006F1168" w:rsidRPr="006F1168" w:rsidRDefault="006F1168" w:rsidP="006F1168">
            <w:pPr>
              <w:pStyle w:val="Odsekzoznamu"/>
              <w:spacing w:before="0"/>
              <w:ind w:left="238"/>
              <w:rPr>
                <w:rFonts w:asciiTheme="majorHAnsi" w:hAnsiTheme="majorHAnsi"/>
                <w:sz w:val="16"/>
                <w:szCs w:val="16"/>
              </w:rPr>
            </w:pPr>
          </w:p>
          <w:p w:rsidR="002F62D4" w:rsidRDefault="002F62D4" w:rsidP="009B7C77">
            <w:pPr>
              <w:pStyle w:val="Odsekzoznamu"/>
              <w:numPr>
                <w:ilvl w:val="0"/>
                <w:numId w:val="77"/>
              </w:numPr>
              <w:spacing w:before="0"/>
              <w:ind w:left="238" w:hanging="238"/>
              <w:rPr>
                <w:rFonts w:asciiTheme="majorHAnsi" w:hAnsiTheme="majorHAnsi"/>
                <w:sz w:val="16"/>
                <w:szCs w:val="16"/>
              </w:rPr>
            </w:pPr>
            <w:r w:rsidRPr="006F1168">
              <w:rPr>
                <w:rFonts w:asciiTheme="majorHAnsi" w:hAnsiTheme="majorHAnsi"/>
                <w:sz w:val="16"/>
                <w:szCs w:val="16"/>
              </w:rPr>
              <w:t>Vypracovanie na základe výstupov z dopravného modelu SR.</w:t>
            </w:r>
          </w:p>
          <w:p w:rsidR="006F1168" w:rsidRPr="006F1168" w:rsidRDefault="006F1168" w:rsidP="006F1168">
            <w:pPr>
              <w:pStyle w:val="Odsekzoznamu"/>
              <w:rPr>
                <w:rFonts w:asciiTheme="majorHAnsi" w:hAnsiTheme="majorHAnsi"/>
                <w:sz w:val="16"/>
                <w:szCs w:val="16"/>
              </w:rPr>
            </w:pPr>
          </w:p>
          <w:p w:rsidR="006F1168" w:rsidRPr="006F1168" w:rsidRDefault="006F1168" w:rsidP="006F1168">
            <w:pPr>
              <w:pStyle w:val="Odsekzoznamu"/>
              <w:spacing w:before="0"/>
              <w:ind w:left="238"/>
              <w:rPr>
                <w:rFonts w:asciiTheme="majorHAnsi" w:hAnsiTheme="majorHAnsi"/>
                <w:sz w:val="16"/>
                <w:szCs w:val="16"/>
              </w:rPr>
            </w:pPr>
          </w:p>
          <w:p w:rsidR="002F62D4" w:rsidRDefault="002F62D4" w:rsidP="009B7C77">
            <w:pPr>
              <w:pStyle w:val="Odsekzoznamu"/>
              <w:numPr>
                <w:ilvl w:val="0"/>
                <w:numId w:val="77"/>
              </w:numPr>
              <w:spacing w:before="0"/>
              <w:ind w:left="238" w:hanging="238"/>
              <w:rPr>
                <w:rFonts w:asciiTheme="majorHAnsi" w:hAnsiTheme="majorHAnsi"/>
                <w:sz w:val="16"/>
                <w:szCs w:val="16"/>
              </w:rPr>
            </w:pPr>
            <w:r w:rsidRPr="006F1168">
              <w:rPr>
                <w:rFonts w:asciiTheme="majorHAnsi" w:hAnsiTheme="majorHAnsi"/>
                <w:sz w:val="16"/>
                <w:szCs w:val="16"/>
              </w:rPr>
              <w:t xml:space="preserve">Vykonanie strategického environmentálneho hodnotenia. </w:t>
            </w:r>
          </w:p>
          <w:p w:rsidR="006F1168" w:rsidRPr="006F1168" w:rsidRDefault="006F1168" w:rsidP="006F1168">
            <w:pPr>
              <w:pStyle w:val="Odsekzoznamu"/>
              <w:spacing w:before="0"/>
              <w:ind w:left="238"/>
              <w:rPr>
                <w:rFonts w:asciiTheme="majorHAnsi" w:hAnsiTheme="majorHAnsi"/>
                <w:sz w:val="16"/>
                <w:szCs w:val="16"/>
              </w:rPr>
            </w:pPr>
          </w:p>
          <w:p w:rsidR="002F62D4" w:rsidRPr="006F1168" w:rsidRDefault="002F62D4" w:rsidP="009B7C77">
            <w:pPr>
              <w:pStyle w:val="Odsekzoznamu"/>
              <w:numPr>
                <w:ilvl w:val="0"/>
                <w:numId w:val="77"/>
              </w:numPr>
              <w:spacing w:before="0"/>
              <w:ind w:left="238" w:hanging="238"/>
              <w:rPr>
                <w:rFonts w:asciiTheme="majorHAnsi" w:hAnsiTheme="majorHAnsi"/>
                <w:sz w:val="16"/>
                <w:szCs w:val="16"/>
              </w:rPr>
            </w:pPr>
            <w:r w:rsidRPr="006F1168">
              <w:rPr>
                <w:rFonts w:asciiTheme="majorHAnsi" w:hAnsiTheme="majorHAnsi"/>
                <w:sz w:val="16"/>
                <w:szCs w:val="16"/>
              </w:rPr>
              <w:lastRenderedPageBreak/>
              <w:t>Predloženie Strategického plánu rozvoja dopravnej infraštruktúry SR do roku 2030 (fáza II.) na rokovanie Hospodárskej a sociálnej rady SR.</w:t>
            </w:r>
          </w:p>
          <w:p w:rsidR="002F62D4" w:rsidRDefault="002F62D4" w:rsidP="009B7C77">
            <w:pPr>
              <w:pStyle w:val="Odsekzoznamu"/>
              <w:numPr>
                <w:ilvl w:val="0"/>
                <w:numId w:val="77"/>
              </w:numPr>
              <w:spacing w:before="0"/>
              <w:ind w:left="238" w:hanging="238"/>
              <w:rPr>
                <w:rFonts w:asciiTheme="majorHAnsi" w:hAnsiTheme="majorHAnsi"/>
                <w:sz w:val="16"/>
                <w:szCs w:val="16"/>
              </w:rPr>
            </w:pPr>
            <w:r w:rsidRPr="006F1168">
              <w:rPr>
                <w:rFonts w:asciiTheme="majorHAnsi" w:hAnsiTheme="majorHAnsi"/>
                <w:sz w:val="16"/>
                <w:szCs w:val="16"/>
              </w:rPr>
              <w:t>Predloženie na rokovanie vlády SR.</w:t>
            </w:r>
          </w:p>
          <w:p w:rsidR="006F1168" w:rsidRPr="006F1168" w:rsidRDefault="006F1168" w:rsidP="006F1168">
            <w:pPr>
              <w:pStyle w:val="Odsekzoznamu"/>
              <w:spacing w:before="0"/>
              <w:ind w:left="238"/>
              <w:rPr>
                <w:rFonts w:asciiTheme="majorHAnsi" w:hAnsiTheme="majorHAnsi"/>
                <w:sz w:val="16"/>
                <w:szCs w:val="16"/>
              </w:rPr>
            </w:pPr>
          </w:p>
          <w:p w:rsidR="002F62D4" w:rsidRPr="006F1168" w:rsidRDefault="002F62D4" w:rsidP="009B7C77">
            <w:pPr>
              <w:pStyle w:val="Odsekzoznamu"/>
              <w:numPr>
                <w:ilvl w:val="0"/>
                <w:numId w:val="77"/>
              </w:numPr>
              <w:spacing w:before="0" w:after="0"/>
              <w:ind w:left="238" w:hanging="238"/>
              <w:rPr>
                <w:rFonts w:asciiTheme="majorHAnsi" w:hAnsiTheme="majorHAnsi"/>
                <w:i/>
                <w:sz w:val="16"/>
                <w:szCs w:val="16"/>
              </w:rPr>
            </w:pPr>
            <w:r w:rsidRPr="006F1168">
              <w:rPr>
                <w:rFonts w:asciiTheme="majorHAnsi" w:hAnsiTheme="majorHAnsi"/>
                <w:sz w:val="16"/>
                <w:szCs w:val="16"/>
              </w:rPr>
              <w:t>Predloženie EK za účelom posúdenia úplného splnenia ex ante kondicionalít stanovených pre sektor dopravy.</w:t>
            </w:r>
          </w:p>
        </w:tc>
        <w:tc>
          <w:tcPr>
            <w:tcW w:w="2862" w:type="dxa"/>
            <w:gridSpan w:val="3"/>
          </w:tcPr>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r w:rsidRPr="00B763E3">
              <w:rPr>
                <w:rFonts w:asciiTheme="majorHAnsi" w:hAnsiTheme="majorHAnsi"/>
                <w:sz w:val="16"/>
                <w:szCs w:val="16"/>
              </w:rPr>
              <w:t>30. 6. 2014</w:t>
            </w:r>
          </w:p>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p>
          <w:p w:rsidR="003A0974" w:rsidRPr="00B763E3" w:rsidRDefault="003A0974" w:rsidP="004E2D6C">
            <w:pPr>
              <w:spacing w:before="0" w:after="0"/>
              <w:rPr>
                <w:rFonts w:asciiTheme="majorHAnsi" w:hAnsiTheme="majorHAnsi"/>
                <w:sz w:val="16"/>
                <w:szCs w:val="16"/>
              </w:rPr>
            </w:pPr>
          </w:p>
          <w:p w:rsidR="006F1168" w:rsidRDefault="006F1168" w:rsidP="004E2D6C">
            <w:pPr>
              <w:spacing w:before="0" w:after="0"/>
              <w:rPr>
                <w:rFonts w:asciiTheme="majorHAnsi" w:hAnsiTheme="majorHAnsi"/>
                <w:sz w:val="16"/>
                <w:szCs w:val="16"/>
              </w:rPr>
            </w:pPr>
          </w:p>
          <w:p w:rsidR="002F62D4" w:rsidRPr="00B763E3" w:rsidRDefault="003A0974" w:rsidP="004E2D6C">
            <w:pPr>
              <w:spacing w:before="0" w:after="0"/>
              <w:rPr>
                <w:rFonts w:asciiTheme="majorHAnsi" w:hAnsiTheme="majorHAnsi"/>
                <w:sz w:val="16"/>
                <w:szCs w:val="16"/>
              </w:rPr>
            </w:pPr>
            <w:r w:rsidRPr="00B763E3">
              <w:rPr>
                <w:rFonts w:asciiTheme="majorHAnsi" w:hAnsiTheme="majorHAnsi"/>
                <w:sz w:val="16"/>
                <w:szCs w:val="16"/>
              </w:rPr>
              <w:t xml:space="preserve">31. 10. </w:t>
            </w:r>
            <w:r w:rsidR="002F62D4" w:rsidRPr="00B763E3">
              <w:rPr>
                <w:rFonts w:asciiTheme="majorHAnsi" w:hAnsiTheme="majorHAnsi"/>
                <w:sz w:val="16"/>
                <w:szCs w:val="16"/>
              </w:rPr>
              <w:t>2015</w:t>
            </w:r>
          </w:p>
          <w:p w:rsidR="002F62D4" w:rsidRPr="00B763E3" w:rsidRDefault="002F62D4" w:rsidP="004E2D6C">
            <w:pPr>
              <w:spacing w:before="0" w:after="0"/>
              <w:rPr>
                <w:rFonts w:asciiTheme="majorHAnsi" w:hAnsiTheme="majorHAnsi"/>
                <w:sz w:val="16"/>
                <w:szCs w:val="16"/>
              </w:rPr>
            </w:pPr>
          </w:p>
          <w:p w:rsidR="002F62D4" w:rsidRPr="00B763E3" w:rsidRDefault="002F62D4" w:rsidP="004E2D6C">
            <w:pPr>
              <w:spacing w:before="0" w:after="0"/>
              <w:rPr>
                <w:rFonts w:asciiTheme="majorHAnsi" w:hAnsiTheme="majorHAnsi"/>
                <w:sz w:val="16"/>
                <w:szCs w:val="16"/>
              </w:rPr>
            </w:pPr>
          </w:p>
          <w:p w:rsidR="002F62D4" w:rsidRPr="00B763E3" w:rsidRDefault="002F62D4" w:rsidP="004E2D6C">
            <w:pPr>
              <w:spacing w:before="0" w:after="0"/>
              <w:rPr>
                <w:rFonts w:asciiTheme="majorHAnsi" w:hAnsiTheme="majorHAnsi"/>
                <w:sz w:val="16"/>
                <w:szCs w:val="16"/>
              </w:rPr>
            </w:pPr>
          </w:p>
          <w:p w:rsidR="002F62D4" w:rsidRPr="00B763E3" w:rsidRDefault="003A0974" w:rsidP="004E2D6C">
            <w:pPr>
              <w:spacing w:before="0"/>
              <w:rPr>
                <w:rFonts w:asciiTheme="majorHAnsi" w:hAnsiTheme="majorHAnsi"/>
                <w:sz w:val="16"/>
                <w:szCs w:val="16"/>
              </w:rPr>
            </w:pPr>
            <w:r w:rsidRPr="00B763E3">
              <w:rPr>
                <w:rFonts w:asciiTheme="majorHAnsi" w:hAnsiTheme="majorHAnsi"/>
                <w:sz w:val="16"/>
                <w:szCs w:val="16"/>
              </w:rPr>
              <w:t xml:space="preserve">30. 6. </w:t>
            </w:r>
            <w:r w:rsidR="002F62D4" w:rsidRPr="00B763E3">
              <w:rPr>
                <w:rFonts w:asciiTheme="majorHAnsi" w:hAnsiTheme="majorHAnsi"/>
                <w:sz w:val="16"/>
                <w:szCs w:val="16"/>
              </w:rPr>
              <w:t>2016</w:t>
            </w:r>
          </w:p>
          <w:p w:rsidR="006F1168" w:rsidRDefault="006F1168" w:rsidP="004E2D6C">
            <w:pPr>
              <w:spacing w:before="0" w:after="0"/>
              <w:rPr>
                <w:rFonts w:asciiTheme="majorHAnsi" w:hAnsiTheme="majorHAnsi"/>
                <w:sz w:val="16"/>
                <w:szCs w:val="16"/>
              </w:rPr>
            </w:pPr>
          </w:p>
          <w:p w:rsidR="002F62D4" w:rsidRPr="00B763E3" w:rsidRDefault="003A0974" w:rsidP="004E2D6C">
            <w:pPr>
              <w:spacing w:before="0" w:after="0"/>
              <w:rPr>
                <w:rFonts w:asciiTheme="majorHAnsi" w:hAnsiTheme="majorHAnsi"/>
                <w:sz w:val="16"/>
                <w:szCs w:val="16"/>
              </w:rPr>
            </w:pPr>
            <w:r w:rsidRPr="00B763E3">
              <w:rPr>
                <w:rFonts w:asciiTheme="majorHAnsi" w:hAnsiTheme="majorHAnsi"/>
                <w:sz w:val="16"/>
                <w:szCs w:val="16"/>
              </w:rPr>
              <w:t xml:space="preserve">31. 10. </w:t>
            </w:r>
            <w:r w:rsidR="002F62D4" w:rsidRPr="00B763E3">
              <w:rPr>
                <w:rFonts w:asciiTheme="majorHAnsi" w:hAnsiTheme="majorHAnsi"/>
                <w:sz w:val="16"/>
                <w:szCs w:val="16"/>
              </w:rPr>
              <w:t>2016</w:t>
            </w:r>
          </w:p>
          <w:p w:rsidR="002F62D4" w:rsidRPr="00B763E3" w:rsidRDefault="002F62D4" w:rsidP="004E2D6C">
            <w:pPr>
              <w:spacing w:before="0" w:after="0"/>
              <w:rPr>
                <w:rFonts w:asciiTheme="majorHAnsi" w:hAnsiTheme="majorHAnsi"/>
                <w:sz w:val="16"/>
                <w:szCs w:val="16"/>
              </w:rPr>
            </w:pPr>
          </w:p>
          <w:p w:rsidR="002F62D4" w:rsidRPr="00B763E3" w:rsidRDefault="003A0974" w:rsidP="004E2D6C">
            <w:pPr>
              <w:spacing w:before="0" w:after="0"/>
              <w:rPr>
                <w:rFonts w:asciiTheme="majorHAnsi" w:hAnsiTheme="majorHAnsi"/>
                <w:sz w:val="16"/>
                <w:szCs w:val="16"/>
              </w:rPr>
            </w:pPr>
            <w:r w:rsidRPr="00B763E3">
              <w:rPr>
                <w:rFonts w:asciiTheme="majorHAnsi" w:hAnsiTheme="majorHAnsi"/>
                <w:sz w:val="16"/>
                <w:szCs w:val="16"/>
              </w:rPr>
              <w:lastRenderedPageBreak/>
              <w:t xml:space="preserve">30. 10. </w:t>
            </w:r>
            <w:r w:rsidR="002F62D4" w:rsidRPr="00B763E3">
              <w:rPr>
                <w:rFonts w:asciiTheme="majorHAnsi" w:hAnsiTheme="majorHAnsi"/>
                <w:sz w:val="16"/>
                <w:szCs w:val="16"/>
              </w:rPr>
              <w:t>2016</w:t>
            </w:r>
          </w:p>
          <w:p w:rsidR="002F62D4" w:rsidRPr="00B763E3" w:rsidRDefault="002F62D4" w:rsidP="004E2D6C">
            <w:pPr>
              <w:spacing w:before="0" w:after="0"/>
              <w:rPr>
                <w:rFonts w:asciiTheme="majorHAnsi" w:hAnsiTheme="majorHAnsi"/>
                <w:sz w:val="16"/>
                <w:szCs w:val="16"/>
              </w:rPr>
            </w:pPr>
          </w:p>
          <w:p w:rsidR="002F62D4" w:rsidRPr="00B763E3" w:rsidRDefault="002F62D4" w:rsidP="004E2D6C">
            <w:pPr>
              <w:spacing w:before="0" w:after="0"/>
              <w:rPr>
                <w:rFonts w:asciiTheme="majorHAnsi" w:hAnsiTheme="majorHAnsi"/>
                <w:sz w:val="16"/>
                <w:szCs w:val="16"/>
              </w:rPr>
            </w:pPr>
          </w:p>
          <w:p w:rsidR="002F62D4" w:rsidRPr="00B763E3" w:rsidRDefault="003A0974" w:rsidP="004E2D6C">
            <w:pPr>
              <w:spacing w:before="0" w:after="0"/>
              <w:rPr>
                <w:rFonts w:asciiTheme="majorHAnsi" w:hAnsiTheme="majorHAnsi"/>
                <w:sz w:val="16"/>
                <w:szCs w:val="16"/>
              </w:rPr>
            </w:pPr>
            <w:r w:rsidRPr="00B763E3">
              <w:rPr>
                <w:rFonts w:asciiTheme="majorHAnsi" w:hAnsiTheme="majorHAnsi"/>
                <w:sz w:val="16"/>
                <w:szCs w:val="16"/>
              </w:rPr>
              <w:t xml:space="preserve">31. 12. </w:t>
            </w:r>
            <w:r w:rsidR="002F62D4" w:rsidRPr="00B763E3">
              <w:rPr>
                <w:rFonts w:asciiTheme="majorHAnsi" w:hAnsiTheme="majorHAnsi"/>
                <w:sz w:val="16"/>
                <w:szCs w:val="16"/>
              </w:rPr>
              <w:t>2016</w:t>
            </w:r>
          </w:p>
          <w:p w:rsidR="006F1168" w:rsidRDefault="006F1168" w:rsidP="004E2D6C">
            <w:pPr>
              <w:spacing w:before="0" w:after="0"/>
              <w:rPr>
                <w:rFonts w:asciiTheme="majorHAnsi" w:hAnsiTheme="majorHAnsi"/>
                <w:sz w:val="16"/>
                <w:szCs w:val="16"/>
              </w:rPr>
            </w:pPr>
          </w:p>
          <w:p w:rsidR="002F62D4" w:rsidRPr="00B763E3" w:rsidRDefault="003A0974" w:rsidP="004E2D6C">
            <w:pPr>
              <w:spacing w:before="0" w:after="0"/>
              <w:rPr>
                <w:rFonts w:asciiTheme="majorHAnsi" w:hAnsiTheme="majorHAnsi"/>
                <w:b/>
                <w:sz w:val="16"/>
                <w:szCs w:val="16"/>
              </w:rPr>
            </w:pPr>
            <w:r w:rsidRPr="00B763E3">
              <w:rPr>
                <w:rFonts w:asciiTheme="majorHAnsi" w:hAnsiTheme="majorHAnsi"/>
                <w:sz w:val="16"/>
                <w:szCs w:val="16"/>
              </w:rPr>
              <w:t xml:space="preserve">31. 12. </w:t>
            </w:r>
            <w:r w:rsidR="002F62D4" w:rsidRPr="00B763E3">
              <w:rPr>
                <w:rFonts w:asciiTheme="majorHAnsi" w:hAnsiTheme="majorHAnsi"/>
                <w:sz w:val="16"/>
                <w:szCs w:val="16"/>
              </w:rPr>
              <w:t>2016</w:t>
            </w:r>
          </w:p>
        </w:tc>
        <w:tc>
          <w:tcPr>
            <w:tcW w:w="2346" w:type="dxa"/>
            <w:vMerge w:val="restart"/>
            <w:tcBorders>
              <w:right w:val="single" w:sz="12" w:space="0" w:color="auto"/>
            </w:tcBorders>
          </w:tcPr>
          <w:p w:rsidR="002F62D4" w:rsidRPr="00B763E3" w:rsidRDefault="002F62D4" w:rsidP="004E2D6C">
            <w:pPr>
              <w:spacing w:before="0" w:after="0"/>
              <w:rPr>
                <w:rFonts w:asciiTheme="majorHAnsi" w:hAnsiTheme="majorHAnsi"/>
                <w:sz w:val="16"/>
                <w:szCs w:val="16"/>
              </w:rPr>
            </w:pPr>
          </w:p>
        </w:tc>
      </w:tr>
      <w:tr w:rsidR="002F62D4" w:rsidRPr="00DF567A" w:rsidTr="000D7C6E">
        <w:trPr>
          <w:trHeight w:val="570"/>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val="restart"/>
          </w:tcPr>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 je v súlade s právnymi požiadavkami na strategické environmentálne posúdenie,</w:t>
            </w:r>
          </w:p>
        </w:tc>
        <w:tc>
          <w:tcPr>
            <w:tcW w:w="4853" w:type="dxa"/>
            <w:gridSpan w:val="2"/>
            <w:vAlign w:val="center"/>
          </w:tcPr>
          <w:p w:rsidR="002F62D4" w:rsidRPr="009B7C77" w:rsidRDefault="002F62D4" w:rsidP="004E2D6C">
            <w:pPr>
              <w:spacing w:before="0" w:after="0"/>
              <w:contextualSpacing/>
              <w:rPr>
                <w:rFonts w:asciiTheme="majorHAnsi" w:hAnsiTheme="majorHAnsi"/>
                <w:sz w:val="16"/>
                <w:szCs w:val="16"/>
              </w:rPr>
            </w:pPr>
            <w:r w:rsidRPr="009B7C77">
              <w:rPr>
                <w:rFonts w:asciiTheme="majorHAnsi" w:hAnsiTheme="majorHAnsi"/>
                <w:sz w:val="16"/>
                <w:szCs w:val="16"/>
              </w:rPr>
              <w:t>Ukončenie procesu strategického environmentálneho posudzovania (SEA) Strategického plánu rozvoja dopravnej infraštruktúry SR do roku 2020 (fáza I.), vrátane Stratégie rozvoja verejnej osobnej a nemotorovej dopravy SR do roku 2020, ktorá tvorí jeho prílohu.</w:t>
            </w:r>
          </w:p>
        </w:tc>
        <w:tc>
          <w:tcPr>
            <w:tcW w:w="2862" w:type="dxa"/>
            <w:gridSpan w:val="3"/>
            <w:vAlign w:val="center"/>
          </w:tcPr>
          <w:p w:rsidR="002F62D4" w:rsidRPr="009B7C77" w:rsidRDefault="003A0974" w:rsidP="004E2D6C">
            <w:pPr>
              <w:spacing w:before="0" w:after="0"/>
              <w:rPr>
                <w:rFonts w:asciiTheme="majorHAnsi" w:hAnsiTheme="majorHAnsi"/>
                <w:sz w:val="16"/>
                <w:szCs w:val="16"/>
              </w:rPr>
            </w:pPr>
            <w:r w:rsidRPr="009B7C77">
              <w:rPr>
                <w:rFonts w:asciiTheme="majorHAnsi" w:hAnsiTheme="majorHAnsi"/>
                <w:sz w:val="16"/>
                <w:szCs w:val="16"/>
              </w:rPr>
              <w:t xml:space="preserve">30. 6. </w:t>
            </w:r>
            <w:r w:rsidR="002F62D4" w:rsidRPr="009B7C77">
              <w:rPr>
                <w:rFonts w:asciiTheme="majorHAnsi" w:hAnsiTheme="majorHAnsi"/>
                <w:sz w:val="16"/>
                <w:szCs w:val="16"/>
              </w:rPr>
              <w:t>2014</w:t>
            </w:r>
          </w:p>
        </w:tc>
        <w:tc>
          <w:tcPr>
            <w:tcW w:w="2346" w:type="dxa"/>
            <w:vMerge/>
            <w:tcBorders>
              <w:right w:val="single" w:sz="12" w:space="0" w:color="auto"/>
            </w:tcBorders>
          </w:tcPr>
          <w:p w:rsidR="002F62D4" w:rsidRPr="009B7C77" w:rsidRDefault="002F62D4" w:rsidP="004E2D6C">
            <w:pPr>
              <w:spacing w:before="0" w:after="0"/>
              <w:rPr>
                <w:rFonts w:asciiTheme="majorHAnsi" w:hAnsiTheme="majorHAnsi"/>
                <w:sz w:val="16"/>
                <w:szCs w:val="16"/>
              </w:rPr>
            </w:pPr>
          </w:p>
        </w:tc>
      </w:tr>
      <w:tr w:rsidR="002F62D4" w:rsidRPr="00DF567A" w:rsidTr="000D7C6E">
        <w:trPr>
          <w:trHeight w:val="570"/>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tcPr>
          <w:p w:rsidR="002F62D4" w:rsidRPr="009B7C77" w:rsidRDefault="002F62D4" w:rsidP="004E2D6C">
            <w:pPr>
              <w:spacing w:before="0" w:after="0"/>
              <w:rPr>
                <w:rFonts w:asciiTheme="majorHAnsi" w:hAnsiTheme="majorHAnsi"/>
                <w:sz w:val="16"/>
                <w:szCs w:val="16"/>
              </w:rPr>
            </w:pPr>
          </w:p>
        </w:tc>
        <w:tc>
          <w:tcPr>
            <w:tcW w:w="4853" w:type="dxa"/>
            <w:gridSpan w:val="2"/>
            <w:vAlign w:val="center"/>
          </w:tcPr>
          <w:p w:rsidR="002F62D4" w:rsidRPr="009B7C77" w:rsidRDefault="002F62D4" w:rsidP="004E2D6C">
            <w:pPr>
              <w:spacing w:before="0" w:after="0"/>
              <w:contextualSpacing/>
              <w:rPr>
                <w:rFonts w:asciiTheme="majorHAnsi" w:hAnsiTheme="majorHAnsi"/>
                <w:sz w:val="16"/>
                <w:szCs w:val="16"/>
              </w:rPr>
            </w:pPr>
            <w:r w:rsidRPr="009B7C77">
              <w:rPr>
                <w:rFonts w:asciiTheme="majorHAnsi" w:hAnsiTheme="majorHAnsi"/>
                <w:sz w:val="16"/>
                <w:szCs w:val="16"/>
              </w:rPr>
              <w:t xml:space="preserve">Vykonanie strategického environmentálneho hodnotenia Strategického plánu rozvoja dopravnej infraštruktúry SR do roku 2030 (fáza II.)                             </w:t>
            </w:r>
          </w:p>
        </w:tc>
        <w:tc>
          <w:tcPr>
            <w:tcW w:w="2862" w:type="dxa"/>
            <w:gridSpan w:val="3"/>
            <w:vAlign w:val="center"/>
          </w:tcPr>
          <w:p w:rsidR="002F62D4" w:rsidRPr="009B7C77" w:rsidRDefault="003A0974" w:rsidP="004E2D6C">
            <w:pPr>
              <w:spacing w:before="0" w:after="0"/>
              <w:rPr>
                <w:rFonts w:asciiTheme="majorHAnsi" w:hAnsiTheme="majorHAnsi"/>
                <w:sz w:val="16"/>
                <w:szCs w:val="16"/>
              </w:rPr>
            </w:pPr>
            <w:r w:rsidRPr="009B7C77">
              <w:rPr>
                <w:rFonts w:asciiTheme="majorHAnsi" w:hAnsiTheme="majorHAnsi"/>
                <w:sz w:val="16"/>
                <w:szCs w:val="16"/>
              </w:rPr>
              <w:t xml:space="preserve">31. 10. </w:t>
            </w:r>
            <w:r w:rsidR="002F62D4" w:rsidRPr="009B7C77">
              <w:rPr>
                <w:rFonts w:asciiTheme="majorHAnsi" w:hAnsiTheme="majorHAnsi"/>
                <w:sz w:val="16"/>
                <w:szCs w:val="16"/>
              </w:rPr>
              <w:t>2016</w:t>
            </w:r>
          </w:p>
        </w:tc>
        <w:tc>
          <w:tcPr>
            <w:tcW w:w="2346" w:type="dxa"/>
            <w:vMerge/>
            <w:tcBorders>
              <w:right w:val="single" w:sz="12" w:space="0" w:color="auto"/>
            </w:tcBorders>
          </w:tcPr>
          <w:p w:rsidR="002F62D4" w:rsidRPr="009B7C77" w:rsidRDefault="002F62D4" w:rsidP="004E2D6C">
            <w:pPr>
              <w:spacing w:before="0" w:after="0"/>
              <w:rPr>
                <w:rFonts w:asciiTheme="majorHAnsi" w:hAnsiTheme="majorHAnsi"/>
                <w:sz w:val="16"/>
                <w:szCs w:val="16"/>
              </w:rPr>
            </w:pPr>
          </w:p>
        </w:tc>
      </w:tr>
      <w:tr w:rsidR="002F62D4" w:rsidRPr="00DF567A" w:rsidTr="000D7C6E">
        <w:trPr>
          <w:trHeight w:val="1140"/>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tcPr>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 stanovuje realisticky a kvalitne vypracovaný plán realizácie projektov (vrátane časového plánu a rozpočtového rámca).</w:t>
            </w:r>
          </w:p>
        </w:tc>
        <w:tc>
          <w:tcPr>
            <w:tcW w:w="4853" w:type="dxa"/>
            <w:gridSpan w:val="2"/>
            <w:vAlign w:val="center"/>
          </w:tcPr>
          <w:p w:rsidR="002F62D4" w:rsidRPr="009B7C77" w:rsidRDefault="002F62D4" w:rsidP="00EE145F">
            <w:pPr>
              <w:spacing w:before="0" w:after="0"/>
              <w:contextualSpacing/>
              <w:rPr>
                <w:rFonts w:asciiTheme="majorHAnsi" w:hAnsiTheme="majorHAnsi"/>
                <w:sz w:val="16"/>
                <w:szCs w:val="16"/>
              </w:rPr>
            </w:pPr>
            <w:r w:rsidRPr="009B7C77">
              <w:rPr>
                <w:rFonts w:asciiTheme="majorHAnsi" w:hAnsiTheme="majorHAnsi"/>
                <w:sz w:val="16"/>
                <w:szCs w:val="16"/>
              </w:rPr>
              <w:t xml:space="preserve">Vypracovanie implementačného plánu projektov financovaných z KF, EFRR a CEF </w:t>
            </w:r>
            <w:r w:rsidR="002C04D2" w:rsidRPr="009B7C77">
              <w:rPr>
                <w:rFonts w:asciiTheme="majorHAnsi" w:hAnsiTheme="majorHAnsi"/>
                <w:sz w:val="16"/>
                <w:szCs w:val="16"/>
              </w:rPr>
              <w:t>ako súčasť Akčného plánu pre naplnenie ex ante kondicionality č. 7 na základe formy definovanej v Guidance Note EK k obsahu Akčných plánov</w:t>
            </w:r>
            <w:r w:rsidR="00A655E8" w:rsidRPr="009B7C77">
              <w:rPr>
                <w:rFonts w:asciiTheme="majorHAnsi" w:hAnsiTheme="majorHAnsi"/>
                <w:sz w:val="16"/>
                <w:szCs w:val="16"/>
              </w:rPr>
              <w:t>.</w:t>
            </w:r>
          </w:p>
        </w:tc>
        <w:tc>
          <w:tcPr>
            <w:tcW w:w="2862" w:type="dxa"/>
            <w:gridSpan w:val="3"/>
            <w:vAlign w:val="center"/>
          </w:tcPr>
          <w:p w:rsidR="002F62D4" w:rsidRPr="009B7C77" w:rsidRDefault="002C04D2" w:rsidP="004E2D6C">
            <w:pPr>
              <w:spacing w:before="0" w:after="0"/>
              <w:rPr>
                <w:rFonts w:asciiTheme="majorHAnsi" w:hAnsiTheme="majorHAnsi"/>
                <w:sz w:val="16"/>
                <w:szCs w:val="16"/>
              </w:rPr>
            </w:pPr>
            <w:r w:rsidRPr="009B7C77">
              <w:rPr>
                <w:rFonts w:asciiTheme="majorHAnsi" w:hAnsiTheme="majorHAnsi"/>
                <w:sz w:val="16"/>
                <w:szCs w:val="16"/>
              </w:rPr>
              <w:t xml:space="preserve">30. 5. </w:t>
            </w:r>
            <w:r w:rsidR="002F62D4" w:rsidRPr="009B7C77">
              <w:rPr>
                <w:rFonts w:asciiTheme="majorHAnsi" w:hAnsiTheme="majorHAnsi"/>
                <w:sz w:val="16"/>
                <w:szCs w:val="16"/>
              </w:rPr>
              <w:t>2014</w:t>
            </w:r>
          </w:p>
        </w:tc>
        <w:tc>
          <w:tcPr>
            <w:tcW w:w="2346" w:type="dxa"/>
            <w:vMerge/>
            <w:tcBorders>
              <w:right w:val="single" w:sz="12" w:space="0" w:color="auto"/>
            </w:tcBorders>
          </w:tcPr>
          <w:p w:rsidR="002F62D4" w:rsidRPr="009B7C77" w:rsidRDefault="002F62D4" w:rsidP="004E2D6C">
            <w:pPr>
              <w:spacing w:before="0" w:after="0"/>
              <w:rPr>
                <w:rFonts w:asciiTheme="majorHAnsi" w:hAnsiTheme="majorHAnsi"/>
                <w:sz w:val="16"/>
                <w:szCs w:val="16"/>
              </w:rPr>
            </w:pPr>
          </w:p>
        </w:tc>
      </w:tr>
      <w:tr w:rsidR="002F62D4" w:rsidRPr="00DF567A" w:rsidTr="000D7C6E">
        <w:trPr>
          <w:trHeight w:val="570"/>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val="restart"/>
          </w:tcPr>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Opatrenia na zabezpečenie kapacity sprostredkovateľských orgánov a prijímateľov pri vykonávaní naplánovaných projektov.</w:t>
            </w:r>
          </w:p>
        </w:tc>
        <w:tc>
          <w:tcPr>
            <w:tcW w:w="4853" w:type="dxa"/>
            <w:gridSpan w:val="2"/>
            <w:vAlign w:val="center"/>
          </w:tcPr>
          <w:p w:rsidR="002F62D4" w:rsidRPr="009B7C77" w:rsidRDefault="002F62D4" w:rsidP="004E2D6C">
            <w:pPr>
              <w:spacing w:before="0" w:after="0"/>
              <w:contextualSpacing/>
              <w:rPr>
                <w:rFonts w:asciiTheme="majorHAnsi" w:hAnsiTheme="majorHAnsi"/>
                <w:sz w:val="16"/>
                <w:szCs w:val="16"/>
              </w:rPr>
            </w:pPr>
            <w:r w:rsidRPr="009B7C77">
              <w:rPr>
                <w:rFonts w:asciiTheme="majorHAnsi" w:hAnsiTheme="majorHAnsi"/>
                <w:sz w:val="16"/>
                <w:szCs w:val="16"/>
              </w:rPr>
              <w:t xml:space="preserve">Vypracovanie analýzy kapacít sprostredkovateľských orgánov </w:t>
            </w:r>
            <w:r w:rsidR="00544389" w:rsidRPr="009B7C77">
              <w:rPr>
                <w:rFonts w:asciiTheme="majorHAnsi" w:hAnsiTheme="majorHAnsi"/>
                <w:sz w:val="16"/>
                <w:szCs w:val="16"/>
              </w:rPr>
              <w:br/>
            </w:r>
            <w:r w:rsidRPr="009B7C77">
              <w:rPr>
                <w:rFonts w:asciiTheme="majorHAnsi" w:hAnsiTheme="majorHAnsi"/>
                <w:sz w:val="16"/>
                <w:szCs w:val="16"/>
              </w:rPr>
              <w:t xml:space="preserve">a prijímateľov. Analýza by mala identifikovať opatrenia, ktoré je potrebné prijať na posilnenie kapacít pri vykonávaní  naplánovaných projektov s cieľom predísť problémom, ktoré sa vyskytli pri implementácii v rámci súčasného programového obdobia. </w:t>
            </w:r>
          </w:p>
        </w:tc>
        <w:tc>
          <w:tcPr>
            <w:tcW w:w="2862" w:type="dxa"/>
            <w:gridSpan w:val="3"/>
            <w:vAlign w:val="center"/>
          </w:tcPr>
          <w:p w:rsidR="002F62D4" w:rsidRPr="009B7C77" w:rsidRDefault="002C04D2" w:rsidP="004E2D6C">
            <w:pPr>
              <w:spacing w:before="0" w:after="0"/>
              <w:rPr>
                <w:rFonts w:asciiTheme="majorHAnsi" w:hAnsiTheme="majorHAnsi"/>
                <w:sz w:val="16"/>
                <w:szCs w:val="16"/>
              </w:rPr>
            </w:pPr>
            <w:r w:rsidRPr="009B7C77">
              <w:rPr>
                <w:rFonts w:asciiTheme="majorHAnsi" w:hAnsiTheme="majorHAnsi"/>
                <w:sz w:val="16"/>
                <w:szCs w:val="16"/>
              </w:rPr>
              <w:t xml:space="preserve">30. 5. </w:t>
            </w:r>
            <w:r w:rsidR="002F62D4" w:rsidRPr="009B7C77">
              <w:rPr>
                <w:rFonts w:asciiTheme="majorHAnsi" w:hAnsiTheme="majorHAnsi"/>
                <w:sz w:val="16"/>
                <w:szCs w:val="16"/>
              </w:rPr>
              <w:t>2014</w:t>
            </w:r>
          </w:p>
        </w:tc>
        <w:tc>
          <w:tcPr>
            <w:tcW w:w="2346" w:type="dxa"/>
            <w:vMerge/>
            <w:tcBorders>
              <w:right w:val="single" w:sz="12" w:space="0" w:color="auto"/>
            </w:tcBorders>
          </w:tcPr>
          <w:p w:rsidR="002F62D4" w:rsidRPr="009B7C77" w:rsidRDefault="002F62D4" w:rsidP="004E2D6C">
            <w:pPr>
              <w:spacing w:before="0" w:after="0"/>
              <w:rPr>
                <w:rFonts w:asciiTheme="majorHAnsi" w:hAnsiTheme="majorHAnsi"/>
                <w:sz w:val="16"/>
                <w:szCs w:val="16"/>
              </w:rPr>
            </w:pPr>
          </w:p>
        </w:tc>
      </w:tr>
      <w:tr w:rsidR="002F62D4" w:rsidRPr="00DF567A" w:rsidTr="000D7C6E">
        <w:trPr>
          <w:trHeight w:val="570"/>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tcPr>
          <w:p w:rsidR="002F62D4" w:rsidRPr="009B7C77" w:rsidRDefault="002F62D4" w:rsidP="004E2D6C">
            <w:pPr>
              <w:spacing w:before="0" w:after="0"/>
              <w:rPr>
                <w:rFonts w:asciiTheme="majorHAnsi" w:hAnsiTheme="majorHAnsi"/>
                <w:sz w:val="16"/>
                <w:szCs w:val="16"/>
              </w:rPr>
            </w:pPr>
          </w:p>
        </w:tc>
        <w:tc>
          <w:tcPr>
            <w:tcW w:w="4853" w:type="dxa"/>
            <w:gridSpan w:val="2"/>
            <w:vAlign w:val="center"/>
          </w:tcPr>
          <w:p w:rsidR="002F62D4" w:rsidRPr="009B7C77" w:rsidRDefault="002F62D4" w:rsidP="004E2D6C">
            <w:pPr>
              <w:spacing w:before="0" w:after="0"/>
              <w:contextualSpacing/>
              <w:rPr>
                <w:rFonts w:asciiTheme="majorHAnsi" w:hAnsiTheme="majorHAnsi"/>
                <w:sz w:val="16"/>
                <w:szCs w:val="16"/>
              </w:rPr>
            </w:pPr>
            <w:r w:rsidRPr="009B7C77">
              <w:rPr>
                <w:rFonts w:asciiTheme="majorHAnsi" w:hAnsiTheme="majorHAnsi"/>
                <w:sz w:val="16"/>
                <w:szCs w:val="16"/>
              </w:rPr>
              <w:t xml:space="preserve">Aplikácia opatrení identifikovaných analýzou, tzn. prijatie potrebných krokov na zavedenie opatrení do praxe. </w:t>
            </w:r>
          </w:p>
        </w:tc>
        <w:tc>
          <w:tcPr>
            <w:tcW w:w="2862" w:type="dxa"/>
            <w:gridSpan w:val="3"/>
            <w:vAlign w:val="center"/>
          </w:tcPr>
          <w:p w:rsidR="002F62D4" w:rsidRPr="009B7C77" w:rsidRDefault="002C04D2" w:rsidP="004E2D6C">
            <w:pPr>
              <w:spacing w:before="0" w:after="0"/>
              <w:rPr>
                <w:rFonts w:asciiTheme="majorHAnsi" w:hAnsiTheme="majorHAnsi"/>
                <w:sz w:val="16"/>
                <w:szCs w:val="16"/>
              </w:rPr>
            </w:pPr>
            <w:r w:rsidRPr="009B7C77">
              <w:rPr>
                <w:rFonts w:asciiTheme="majorHAnsi" w:hAnsiTheme="majorHAnsi"/>
                <w:sz w:val="16"/>
                <w:szCs w:val="16"/>
              </w:rPr>
              <w:t xml:space="preserve">31. 10. </w:t>
            </w:r>
            <w:r w:rsidR="002F62D4" w:rsidRPr="009B7C77">
              <w:rPr>
                <w:rFonts w:asciiTheme="majorHAnsi" w:hAnsiTheme="majorHAnsi"/>
                <w:sz w:val="16"/>
                <w:szCs w:val="16"/>
              </w:rPr>
              <w:t>2014</w:t>
            </w:r>
          </w:p>
        </w:tc>
        <w:tc>
          <w:tcPr>
            <w:tcW w:w="2346" w:type="dxa"/>
            <w:vMerge/>
            <w:tcBorders>
              <w:right w:val="single" w:sz="12" w:space="0" w:color="auto"/>
            </w:tcBorders>
          </w:tcPr>
          <w:p w:rsidR="002F62D4" w:rsidRPr="009B7C77" w:rsidRDefault="002F62D4" w:rsidP="004E2D6C">
            <w:pPr>
              <w:spacing w:before="0" w:after="0"/>
              <w:rPr>
                <w:rFonts w:asciiTheme="majorHAnsi" w:hAnsiTheme="majorHAnsi"/>
                <w:sz w:val="16"/>
                <w:szCs w:val="16"/>
              </w:rPr>
            </w:pPr>
          </w:p>
        </w:tc>
      </w:tr>
      <w:tr w:rsidR="005E0FB0" w:rsidRPr="00DF567A" w:rsidTr="00CC23CF">
        <w:trPr>
          <w:trHeight w:val="978"/>
        </w:trPr>
        <w:tc>
          <w:tcPr>
            <w:tcW w:w="1949" w:type="dxa"/>
            <w:tcBorders>
              <w:top w:val="single" w:sz="12" w:space="0" w:color="auto"/>
              <w:left w:val="single" w:sz="12" w:space="0" w:color="auto"/>
            </w:tcBorders>
          </w:tcPr>
          <w:p w:rsidR="005E0FB0" w:rsidRPr="00B763E3" w:rsidRDefault="005E0FB0" w:rsidP="0051348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8.1. Vytváranie a realizácia aktívnych politík trhu práce so zreteľom na usmernenia politiky zamestnanosti.</w:t>
            </w:r>
          </w:p>
        </w:tc>
        <w:tc>
          <w:tcPr>
            <w:tcW w:w="2100" w:type="dxa"/>
            <w:gridSpan w:val="2"/>
            <w:tcBorders>
              <w:top w:val="single" w:sz="12" w:space="0" w:color="auto"/>
            </w:tcBorders>
          </w:tcPr>
          <w:p w:rsidR="005E0FB0" w:rsidRPr="00B763E3" w:rsidRDefault="005E0FB0" w:rsidP="00513482">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xml:space="preserve">Služby zamestnanosti majú možnosť zabezpečiť a zabezpečujú: </w:t>
            </w:r>
          </w:p>
          <w:p w:rsidR="005E0FB0" w:rsidRPr="00B763E3" w:rsidRDefault="005E0FB0" w:rsidP="00513482">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xml:space="preserve">- personalizované služby a aktívne a preventívne opatrenia na trhu práce, ktoré sa realizujú včas, sú prístupné pre všetkých uchádzačov o prácu a zameriavajú sa na osoby najviac ohrozené rizikom sociálneho vylúčenia vrátane osôb z marginalizovaných </w:t>
            </w:r>
            <w:r w:rsidRPr="00B763E3">
              <w:rPr>
                <w:rFonts w:asciiTheme="majorHAnsi" w:hAnsiTheme="majorHAnsi"/>
                <w:sz w:val="16"/>
                <w:szCs w:val="16"/>
                <w:lang w:eastAsia="sk-SK"/>
              </w:rPr>
              <w:lastRenderedPageBreak/>
              <w:t>komunít.</w:t>
            </w:r>
          </w:p>
        </w:tc>
        <w:tc>
          <w:tcPr>
            <w:tcW w:w="4853" w:type="dxa"/>
            <w:gridSpan w:val="2"/>
            <w:tcBorders>
              <w:top w:val="single" w:sz="12" w:space="0" w:color="auto"/>
            </w:tcBorders>
          </w:tcPr>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lastRenderedPageBreak/>
              <w:t>1) Pripraviť a prijať Národnú stratégiu zamestnanosti:</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Analýza mechanizmov podporujúcich rozvoj zamestnanosti vrátane služieb zamestnanosti.</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 xml:space="preserve">Návrh národnej stratégie zamestnanosti. </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 xml:space="preserve">Predloženie na pripomienkové konanie a na rokovanie Hospodárskej a sociálnej rady SR. </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lastRenderedPageBreak/>
              <w:t>Predloženie na rokovanie vlády SR.</w:t>
            </w: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2) Zabezpečiť prípravu a zavedenie inovatívneho riešenia spolupráce s neštátnymi službami zamestnanosti:</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Pripraviť návrh projektu na Sieťovanie verejných služieb zamestnanosti a neštátnych služieb zamestnanosti prepájajúceho štátne služby zamestnanosti s neštátnymi službami zamestnanosti.</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Vykonať sieťovanie verejných služieb zamestnanosti a neštátnych služieb zamestnanosti.</w:t>
            </w: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3) Zabezpečiť systém školení pre zamestnancov verejných služieb zamestnanosti vykonávajúcich personalizované služby (front-line officers) s cieľom zlepšiť ich poskytovanie pre uchádzačov o zamestnanie, predovšetkým osobám najviac ohrozeným rizikom sociálneho vylúčenia.</w:t>
            </w:r>
          </w:p>
        </w:tc>
        <w:tc>
          <w:tcPr>
            <w:tcW w:w="2862" w:type="dxa"/>
            <w:gridSpan w:val="3"/>
            <w:tcBorders>
              <w:top w:val="single" w:sz="12" w:space="0" w:color="auto"/>
            </w:tcBorders>
          </w:tcPr>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31. 5. 2014</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31. 10. 2014</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t>30. 11. 2014</w:t>
            </w: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r w:rsidRPr="00B763E3">
              <w:rPr>
                <w:rFonts w:asciiTheme="majorHAnsi" w:hAnsiTheme="majorHAnsi"/>
                <w:sz w:val="16"/>
                <w:szCs w:val="16"/>
              </w:rPr>
              <w:lastRenderedPageBreak/>
              <w:t>31. 12. 2014</w:t>
            </w:r>
          </w:p>
          <w:p w:rsidR="005E0FB0" w:rsidRPr="00B763E3" w:rsidRDefault="005E0FB0" w:rsidP="00513482">
            <w:pPr>
              <w:spacing w:before="0" w:line="276" w:lineRule="auto"/>
              <w:rPr>
                <w:rFonts w:asciiTheme="majorHAnsi" w:hAnsiTheme="majorHAnsi"/>
                <w:sz w:val="16"/>
                <w:szCs w:val="16"/>
              </w:rPr>
            </w:pPr>
          </w:p>
          <w:p w:rsidR="00A655E8" w:rsidRPr="00B763E3" w:rsidRDefault="00A655E8"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31. 5. 2014</w:t>
            </w:r>
          </w:p>
          <w:p w:rsidR="005E0FB0" w:rsidRPr="00B763E3" w:rsidRDefault="005E0FB0" w:rsidP="00513482">
            <w:pPr>
              <w:spacing w:line="276" w:lineRule="auto"/>
              <w:rPr>
                <w:rFonts w:asciiTheme="majorHAnsi" w:hAnsiTheme="majorHAnsi"/>
                <w:sz w:val="16"/>
                <w:szCs w:val="16"/>
              </w:rPr>
            </w:pPr>
          </w:p>
          <w:p w:rsidR="005E0FB0" w:rsidRPr="00B763E3" w:rsidRDefault="005E0FB0" w:rsidP="00513482">
            <w:pPr>
              <w:spacing w:before="0" w:after="0"/>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31. 12. 2016</w:t>
            </w:r>
          </w:p>
          <w:p w:rsidR="005E0FB0" w:rsidRPr="00B763E3" w:rsidRDefault="005E0FB0" w:rsidP="00513482">
            <w:pPr>
              <w:spacing w:before="0" w:line="276" w:lineRule="auto"/>
              <w:rPr>
                <w:rFonts w:asciiTheme="majorHAnsi" w:hAnsiTheme="majorHAnsi"/>
                <w:sz w:val="16"/>
                <w:szCs w:val="16"/>
              </w:rPr>
            </w:pPr>
          </w:p>
          <w:p w:rsidR="00A655E8" w:rsidRPr="00B763E3" w:rsidRDefault="00A655E8"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31. 12. 2015</w:t>
            </w:r>
          </w:p>
          <w:p w:rsidR="005E0FB0" w:rsidRPr="00B763E3" w:rsidRDefault="005E0FB0" w:rsidP="00513482">
            <w:pPr>
              <w:spacing w:before="0" w:line="276" w:lineRule="auto"/>
              <w:rPr>
                <w:rFonts w:asciiTheme="majorHAnsi" w:hAnsiTheme="majorHAnsi"/>
                <w:sz w:val="16"/>
                <w:szCs w:val="16"/>
              </w:rPr>
            </w:pPr>
          </w:p>
        </w:tc>
        <w:tc>
          <w:tcPr>
            <w:tcW w:w="2346" w:type="dxa"/>
            <w:tcBorders>
              <w:top w:val="single" w:sz="12" w:space="0" w:color="auto"/>
              <w:right w:val="single" w:sz="12" w:space="0" w:color="auto"/>
            </w:tcBorders>
          </w:tcPr>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lastRenderedPageBreak/>
              <w:t>MPSVR SR</w:t>
            </w: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MPSVR SR</w:t>
            </w: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ÚPSVR SR</w:t>
            </w: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before="0" w:line="276" w:lineRule="auto"/>
              <w:rPr>
                <w:rFonts w:asciiTheme="majorHAnsi" w:hAnsiTheme="majorHAnsi"/>
                <w:sz w:val="16"/>
                <w:szCs w:val="16"/>
              </w:rPr>
            </w:pPr>
          </w:p>
          <w:p w:rsidR="005E0FB0" w:rsidRPr="00B763E3" w:rsidRDefault="005E0FB0" w:rsidP="00513482">
            <w:pPr>
              <w:spacing w:line="276" w:lineRule="auto"/>
              <w:rPr>
                <w:rFonts w:asciiTheme="majorHAnsi" w:hAnsiTheme="majorHAnsi"/>
                <w:sz w:val="16"/>
                <w:szCs w:val="16"/>
              </w:rPr>
            </w:pPr>
            <w:r w:rsidRPr="00B763E3">
              <w:rPr>
                <w:rFonts w:asciiTheme="majorHAnsi" w:hAnsiTheme="majorHAnsi"/>
                <w:sz w:val="16"/>
                <w:szCs w:val="16"/>
              </w:rPr>
              <w:t>MPSVR SR</w:t>
            </w:r>
          </w:p>
          <w:p w:rsidR="005E0FB0" w:rsidRPr="00B763E3" w:rsidRDefault="005E0FB0" w:rsidP="00513482">
            <w:pPr>
              <w:spacing w:before="0" w:line="276" w:lineRule="auto"/>
              <w:rPr>
                <w:rFonts w:asciiTheme="majorHAnsi" w:hAnsiTheme="majorHAnsi"/>
                <w:sz w:val="16"/>
                <w:szCs w:val="16"/>
              </w:rPr>
            </w:pPr>
            <w:r w:rsidRPr="00B763E3">
              <w:rPr>
                <w:rFonts w:asciiTheme="majorHAnsi" w:hAnsiTheme="majorHAnsi"/>
                <w:sz w:val="16"/>
                <w:szCs w:val="16"/>
              </w:rPr>
              <w:t>ÚPSVR SR</w:t>
            </w:r>
          </w:p>
        </w:tc>
      </w:tr>
      <w:tr w:rsidR="00513482" w:rsidRPr="00DF567A" w:rsidTr="00CC23CF">
        <w:trPr>
          <w:trHeight w:val="1332"/>
        </w:trPr>
        <w:tc>
          <w:tcPr>
            <w:tcW w:w="1949" w:type="dxa"/>
            <w:tcBorders>
              <w:top w:val="single" w:sz="12" w:space="0" w:color="auto"/>
              <w:left w:val="single" w:sz="12" w:space="0" w:color="auto"/>
              <w:bottom w:val="single" w:sz="12" w:space="0" w:color="auto"/>
            </w:tcBorders>
          </w:tcPr>
          <w:p w:rsidR="00513482" w:rsidRPr="00B763E3" w:rsidRDefault="00513482" w:rsidP="0051348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 xml:space="preserve">8.3. Inštitúcie trhu práce sú modernizované a posilnené so zreteľom na usmernenia politiky zamestnanosti. </w:t>
            </w:r>
          </w:p>
          <w:p w:rsidR="00513482" w:rsidRPr="00B763E3" w:rsidRDefault="00513482" w:rsidP="0051348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Reformám inštitúcií trhu práce predchádza jasný strategický politický rámec a hodnotenie ex ante zahŕňajúce rodovú dimenziu.</w:t>
            </w:r>
          </w:p>
        </w:tc>
        <w:tc>
          <w:tcPr>
            <w:tcW w:w="2100" w:type="dxa"/>
            <w:gridSpan w:val="2"/>
            <w:tcBorders>
              <w:top w:val="single" w:sz="12" w:space="0" w:color="auto"/>
              <w:bottom w:val="single" w:sz="12" w:space="0" w:color="auto"/>
            </w:tcBorders>
          </w:tcPr>
          <w:p w:rsidR="00513482" w:rsidRPr="00B763E3" w:rsidRDefault="00513482" w:rsidP="00513482">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xml:space="preserve">Opatrenia zamerané na reformu služieb zamestnanosti s cieľom vybaviť ich kapacitou na zabezpečovanie: </w:t>
            </w:r>
          </w:p>
          <w:p w:rsidR="00513482" w:rsidRPr="00B763E3" w:rsidRDefault="00513482" w:rsidP="00513482">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xml:space="preserve">- personalizovaných služieb a aktívnych a preventívnych opatrení na trhu práce, ktoré sa realizujú včas, sú prístupné pre všetkých uchádzačov o prácu </w:t>
            </w:r>
            <w:r w:rsidR="00544389" w:rsidRPr="00B763E3">
              <w:rPr>
                <w:rFonts w:asciiTheme="majorHAnsi" w:hAnsiTheme="majorHAnsi"/>
                <w:sz w:val="16"/>
                <w:szCs w:val="16"/>
                <w:lang w:eastAsia="sk-SK"/>
              </w:rPr>
              <w:br/>
            </w:r>
            <w:r w:rsidRPr="00B763E3">
              <w:rPr>
                <w:rFonts w:asciiTheme="majorHAnsi" w:hAnsiTheme="majorHAnsi"/>
                <w:sz w:val="16"/>
                <w:szCs w:val="16"/>
                <w:lang w:eastAsia="sk-SK"/>
              </w:rPr>
              <w:t>a zameriavajú sa na osoby najviac ohrozené rizikom sociálneho vylúčenia vrátane osôb z marginalizovaných komunít.</w:t>
            </w:r>
          </w:p>
        </w:tc>
        <w:tc>
          <w:tcPr>
            <w:tcW w:w="4853" w:type="dxa"/>
            <w:gridSpan w:val="2"/>
            <w:tcBorders>
              <w:top w:val="single" w:sz="12" w:space="0" w:color="auto"/>
              <w:bottom w:val="single" w:sz="12" w:space="0" w:color="auto"/>
            </w:tcBorders>
          </w:tcPr>
          <w:p w:rsidR="00513482" w:rsidRPr="00B763E3" w:rsidRDefault="00513482" w:rsidP="00513482">
            <w:pPr>
              <w:spacing w:before="0" w:after="0"/>
              <w:rPr>
                <w:rFonts w:asciiTheme="majorHAnsi" w:hAnsiTheme="majorHAnsi"/>
                <w:sz w:val="16"/>
                <w:szCs w:val="16"/>
              </w:rPr>
            </w:pPr>
            <w:r w:rsidRPr="00B763E3">
              <w:rPr>
                <w:rFonts w:asciiTheme="majorHAnsi" w:hAnsiTheme="majorHAnsi"/>
                <w:sz w:val="16"/>
                <w:szCs w:val="16"/>
              </w:rPr>
              <w:t>Posilniť personálne kapacity úradov práce, sociálnych vecí a rodiny najmä pre oblasti personalizovaných služieb, aktívnych a preventívnych opatrení na trhu práce a priameho kontaktu s uchádzačmi o zamestnanie, osobitne s tými, ktorí sú najviac ohrození sociálnym vylúčením vrátane MRK:</w:t>
            </w:r>
          </w:p>
          <w:p w:rsidR="00513482" w:rsidRPr="00B763E3" w:rsidRDefault="00513482" w:rsidP="00513482">
            <w:pPr>
              <w:spacing w:before="0" w:after="0"/>
              <w:rPr>
                <w:rFonts w:asciiTheme="majorHAnsi" w:hAnsiTheme="majorHAnsi"/>
                <w:sz w:val="16"/>
                <w:szCs w:val="16"/>
              </w:rPr>
            </w:pPr>
          </w:p>
          <w:p w:rsidR="00513482" w:rsidRPr="00B763E3" w:rsidRDefault="00513482" w:rsidP="00513482">
            <w:pPr>
              <w:spacing w:before="0" w:after="0"/>
              <w:rPr>
                <w:rFonts w:asciiTheme="majorHAnsi" w:hAnsiTheme="majorHAnsi"/>
                <w:sz w:val="16"/>
                <w:szCs w:val="16"/>
              </w:rPr>
            </w:pPr>
            <w:r w:rsidRPr="00B763E3">
              <w:rPr>
                <w:rFonts w:asciiTheme="majorHAnsi" w:hAnsiTheme="majorHAnsi"/>
                <w:sz w:val="16"/>
                <w:szCs w:val="16"/>
              </w:rPr>
              <w:t xml:space="preserve">Vypracovanie analýzy kapacít na identifikáciu opatrení, ktoré je potrebné prijať na posilnenie kapacít a zvýšenia ich kvality </w:t>
            </w:r>
            <w:r w:rsidR="00544389" w:rsidRPr="00B763E3">
              <w:rPr>
                <w:rFonts w:asciiTheme="majorHAnsi" w:hAnsiTheme="majorHAnsi"/>
                <w:sz w:val="16"/>
                <w:szCs w:val="16"/>
              </w:rPr>
              <w:br/>
            </w:r>
            <w:r w:rsidRPr="00B763E3">
              <w:rPr>
                <w:rFonts w:asciiTheme="majorHAnsi" w:hAnsiTheme="majorHAnsi"/>
                <w:sz w:val="16"/>
                <w:szCs w:val="16"/>
              </w:rPr>
              <w:t>a efektívnosti.</w:t>
            </w:r>
          </w:p>
          <w:p w:rsidR="00513482" w:rsidRPr="00B763E3" w:rsidRDefault="00513482" w:rsidP="00513482">
            <w:pPr>
              <w:spacing w:before="0" w:after="0"/>
              <w:rPr>
                <w:rFonts w:asciiTheme="majorHAnsi" w:hAnsiTheme="majorHAnsi"/>
                <w:sz w:val="16"/>
                <w:szCs w:val="16"/>
              </w:rPr>
            </w:pPr>
          </w:p>
          <w:p w:rsidR="00513482" w:rsidRPr="00B763E3" w:rsidRDefault="00513482" w:rsidP="00B763E3">
            <w:pPr>
              <w:spacing w:before="0" w:after="0"/>
              <w:rPr>
                <w:rFonts w:asciiTheme="majorHAnsi" w:hAnsiTheme="majorHAnsi"/>
                <w:sz w:val="16"/>
                <w:szCs w:val="16"/>
              </w:rPr>
            </w:pPr>
            <w:r w:rsidRPr="00B763E3">
              <w:rPr>
                <w:rFonts w:asciiTheme="majorHAnsi" w:hAnsiTheme="majorHAnsi"/>
                <w:sz w:val="16"/>
                <w:szCs w:val="16"/>
              </w:rPr>
              <w:t xml:space="preserve">Aplikácia opatrení identifikovaných analýzou, tzn. realizácia potrebných krokov na posilnenie kapacít. </w:t>
            </w:r>
          </w:p>
        </w:tc>
        <w:tc>
          <w:tcPr>
            <w:tcW w:w="2862" w:type="dxa"/>
            <w:gridSpan w:val="3"/>
            <w:tcBorders>
              <w:top w:val="single" w:sz="12" w:space="0" w:color="auto"/>
              <w:bottom w:val="single" w:sz="12" w:space="0" w:color="auto"/>
            </w:tcBorders>
          </w:tcPr>
          <w:p w:rsidR="00513482" w:rsidRPr="00B763E3" w:rsidRDefault="00513482" w:rsidP="00513482">
            <w:pPr>
              <w:spacing w:line="276" w:lineRule="auto"/>
              <w:rPr>
                <w:rFonts w:asciiTheme="majorHAnsi" w:hAnsiTheme="majorHAnsi"/>
                <w:sz w:val="16"/>
                <w:szCs w:val="16"/>
              </w:rPr>
            </w:pPr>
          </w:p>
          <w:p w:rsidR="00513482" w:rsidRPr="00B763E3" w:rsidRDefault="00513482" w:rsidP="00513482">
            <w:pPr>
              <w:spacing w:line="276" w:lineRule="auto"/>
              <w:rPr>
                <w:rFonts w:asciiTheme="majorHAnsi" w:hAnsiTheme="majorHAnsi"/>
                <w:sz w:val="16"/>
                <w:szCs w:val="16"/>
              </w:rPr>
            </w:pPr>
          </w:p>
          <w:p w:rsidR="00513482" w:rsidRPr="00B763E3" w:rsidRDefault="00513482" w:rsidP="00513482">
            <w:pPr>
              <w:spacing w:line="276" w:lineRule="auto"/>
              <w:rPr>
                <w:rFonts w:asciiTheme="majorHAnsi" w:hAnsiTheme="majorHAnsi"/>
                <w:sz w:val="16"/>
                <w:szCs w:val="16"/>
              </w:rPr>
            </w:pPr>
          </w:p>
          <w:p w:rsidR="00513482" w:rsidRPr="00B763E3" w:rsidRDefault="00C43D6C" w:rsidP="00513482">
            <w:pPr>
              <w:spacing w:line="276" w:lineRule="auto"/>
              <w:rPr>
                <w:rFonts w:asciiTheme="majorHAnsi" w:hAnsiTheme="majorHAnsi"/>
                <w:sz w:val="16"/>
                <w:szCs w:val="16"/>
              </w:rPr>
            </w:pPr>
            <w:r w:rsidRPr="00B763E3">
              <w:rPr>
                <w:rFonts w:asciiTheme="majorHAnsi" w:hAnsiTheme="majorHAnsi"/>
                <w:sz w:val="16"/>
                <w:szCs w:val="16"/>
              </w:rPr>
              <w:t>31. 12.</w:t>
            </w:r>
            <w:r w:rsidR="00513482" w:rsidRPr="00B763E3">
              <w:rPr>
                <w:rFonts w:asciiTheme="majorHAnsi" w:hAnsiTheme="majorHAnsi"/>
                <w:sz w:val="16"/>
                <w:szCs w:val="16"/>
              </w:rPr>
              <w:t xml:space="preserve"> 2014</w:t>
            </w:r>
          </w:p>
          <w:p w:rsidR="00513482" w:rsidRPr="00B763E3" w:rsidRDefault="00513482" w:rsidP="00513482">
            <w:pPr>
              <w:spacing w:line="276" w:lineRule="auto"/>
              <w:rPr>
                <w:rFonts w:asciiTheme="majorHAnsi" w:hAnsiTheme="majorHAnsi"/>
                <w:sz w:val="16"/>
                <w:szCs w:val="16"/>
              </w:rPr>
            </w:pPr>
          </w:p>
          <w:p w:rsidR="00513482" w:rsidRPr="00B763E3" w:rsidRDefault="00C43D6C" w:rsidP="00C43D6C">
            <w:pPr>
              <w:spacing w:before="0" w:line="276" w:lineRule="auto"/>
              <w:rPr>
                <w:rFonts w:asciiTheme="majorHAnsi" w:hAnsiTheme="majorHAnsi"/>
                <w:sz w:val="16"/>
                <w:szCs w:val="16"/>
              </w:rPr>
            </w:pPr>
            <w:r w:rsidRPr="00B763E3">
              <w:rPr>
                <w:rFonts w:asciiTheme="majorHAnsi" w:hAnsiTheme="majorHAnsi"/>
                <w:sz w:val="16"/>
                <w:szCs w:val="16"/>
              </w:rPr>
              <w:t xml:space="preserve">31. 12. </w:t>
            </w:r>
            <w:r w:rsidR="00513482" w:rsidRPr="00B763E3">
              <w:rPr>
                <w:rFonts w:asciiTheme="majorHAnsi" w:hAnsiTheme="majorHAnsi"/>
                <w:sz w:val="16"/>
                <w:szCs w:val="16"/>
              </w:rPr>
              <w:t>2016</w:t>
            </w:r>
          </w:p>
        </w:tc>
        <w:tc>
          <w:tcPr>
            <w:tcW w:w="2346" w:type="dxa"/>
            <w:tcBorders>
              <w:top w:val="single" w:sz="12" w:space="0" w:color="auto"/>
              <w:bottom w:val="single" w:sz="12" w:space="0" w:color="auto"/>
              <w:right w:val="single" w:sz="12" w:space="0" w:color="auto"/>
            </w:tcBorders>
          </w:tcPr>
          <w:p w:rsidR="00513482" w:rsidRPr="00B763E3" w:rsidRDefault="00513482" w:rsidP="00513482">
            <w:pPr>
              <w:spacing w:line="276" w:lineRule="auto"/>
              <w:rPr>
                <w:rFonts w:asciiTheme="majorHAnsi" w:hAnsiTheme="majorHAnsi"/>
                <w:sz w:val="16"/>
                <w:szCs w:val="16"/>
              </w:rPr>
            </w:pPr>
            <w:r w:rsidRPr="00B763E3">
              <w:rPr>
                <w:rFonts w:asciiTheme="majorHAnsi" w:hAnsiTheme="majorHAnsi"/>
                <w:sz w:val="16"/>
                <w:szCs w:val="16"/>
              </w:rPr>
              <w:t>MPSVR SR</w:t>
            </w:r>
          </w:p>
          <w:p w:rsidR="00513482" w:rsidRPr="00B763E3" w:rsidRDefault="00513482" w:rsidP="00513482">
            <w:pPr>
              <w:spacing w:before="0" w:line="276" w:lineRule="auto"/>
              <w:rPr>
                <w:rFonts w:asciiTheme="majorHAnsi" w:hAnsiTheme="majorHAnsi"/>
                <w:sz w:val="16"/>
                <w:szCs w:val="16"/>
              </w:rPr>
            </w:pPr>
            <w:r w:rsidRPr="00B763E3">
              <w:rPr>
                <w:rFonts w:asciiTheme="majorHAnsi" w:hAnsiTheme="majorHAnsi"/>
                <w:sz w:val="16"/>
                <w:szCs w:val="16"/>
              </w:rPr>
              <w:t>ÚPSVR SR</w:t>
            </w:r>
          </w:p>
        </w:tc>
      </w:tr>
      <w:tr w:rsidR="002F62D4" w:rsidRPr="00DF567A" w:rsidTr="008B2A4E">
        <w:trPr>
          <w:trHeight w:val="1332"/>
        </w:trPr>
        <w:tc>
          <w:tcPr>
            <w:tcW w:w="1949" w:type="dxa"/>
            <w:tcBorders>
              <w:left w:val="single" w:sz="12" w:space="0" w:color="auto"/>
              <w:bottom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p>
        </w:tc>
        <w:tc>
          <w:tcPr>
            <w:tcW w:w="2100" w:type="dxa"/>
            <w:gridSpan w:val="2"/>
            <w:tcBorders>
              <w:bottom w:val="single" w:sz="12" w:space="0" w:color="auto"/>
            </w:tcBorders>
          </w:tcPr>
          <w:p w:rsidR="002F62D4" w:rsidRPr="00B763E3" w:rsidRDefault="002F62D4" w:rsidP="004E2D6C">
            <w:pPr>
              <w:tabs>
                <w:tab w:val="left" w:pos="3"/>
                <w:tab w:val="num" w:pos="2580"/>
              </w:tabs>
              <w:spacing w:before="0"/>
              <w:rPr>
                <w:rFonts w:asciiTheme="majorHAnsi" w:hAnsiTheme="majorHAnsi"/>
                <w:sz w:val="16"/>
                <w:szCs w:val="16"/>
                <w:lang w:eastAsia="sk-SK"/>
              </w:rPr>
            </w:pPr>
          </w:p>
        </w:tc>
        <w:tc>
          <w:tcPr>
            <w:tcW w:w="4853" w:type="dxa"/>
            <w:gridSpan w:val="2"/>
            <w:tcBorders>
              <w:bottom w:val="single" w:sz="12" w:space="0" w:color="auto"/>
            </w:tcBorders>
            <w:vAlign w:val="center"/>
          </w:tcPr>
          <w:p w:rsidR="002F62D4" w:rsidRPr="00B763E3" w:rsidRDefault="002F62D4" w:rsidP="004E2D6C">
            <w:pPr>
              <w:spacing w:before="0" w:line="276" w:lineRule="auto"/>
              <w:rPr>
                <w:rFonts w:asciiTheme="majorHAnsi" w:hAnsiTheme="majorHAnsi"/>
                <w:sz w:val="16"/>
                <w:szCs w:val="16"/>
                <w:lang w:eastAsia="cs-CZ"/>
              </w:rPr>
            </w:pPr>
          </w:p>
        </w:tc>
        <w:tc>
          <w:tcPr>
            <w:tcW w:w="2862" w:type="dxa"/>
            <w:gridSpan w:val="3"/>
            <w:tcBorders>
              <w:bottom w:val="single" w:sz="12" w:space="0" w:color="auto"/>
            </w:tcBorders>
            <w:vAlign w:val="center"/>
          </w:tcPr>
          <w:p w:rsidR="002F62D4" w:rsidRPr="00B763E3" w:rsidRDefault="002F62D4" w:rsidP="004E2D6C">
            <w:pPr>
              <w:spacing w:before="0" w:line="276" w:lineRule="auto"/>
              <w:rPr>
                <w:rFonts w:asciiTheme="majorHAnsi" w:hAnsiTheme="majorHAnsi"/>
                <w:sz w:val="16"/>
                <w:szCs w:val="16"/>
                <w:lang w:eastAsia="cs-CZ"/>
              </w:rPr>
            </w:pPr>
          </w:p>
        </w:tc>
        <w:tc>
          <w:tcPr>
            <w:tcW w:w="2346" w:type="dxa"/>
            <w:tcBorders>
              <w:bottom w:val="single" w:sz="12" w:space="0" w:color="auto"/>
              <w:right w:val="single" w:sz="12" w:space="0" w:color="auto"/>
            </w:tcBorders>
            <w:vAlign w:val="center"/>
          </w:tcPr>
          <w:p w:rsidR="002F62D4" w:rsidRPr="00B763E3" w:rsidRDefault="002F62D4" w:rsidP="004E2D6C">
            <w:pPr>
              <w:spacing w:before="0" w:line="276" w:lineRule="auto"/>
              <w:rPr>
                <w:rFonts w:asciiTheme="majorHAnsi" w:hAnsiTheme="majorHAnsi"/>
                <w:sz w:val="16"/>
                <w:szCs w:val="16"/>
                <w:lang w:eastAsia="cs-CZ"/>
              </w:rPr>
            </w:pPr>
          </w:p>
        </w:tc>
      </w:tr>
      <w:tr w:rsidR="002F62D4" w:rsidRPr="00DF567A" w:rsidTr="00CC23CF">
        <w:trPr>
          <w:trHeight w:val="675"/>
        </w:trPr>
        <w:tc>
          <w:tcPr>
            <w:tcW w:w="1949" w:type="dxa"/>
            <w:vMerge w:val="restart"/>
            <w:tcBorders>
              <w:top w:val="single" w:sz="12" w:space="0" w:color="auto"/>
              <w:lef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9.1. Existencia a vykonávanie národného strategického politického rámca pre znižovanie chudoby, ktorý je zameraný na aktívne začlenenie osôb vyčlenených z trhu práce so zreteľom na usmernenia politiky zamestnanosti.</w:t>
            </w:r>
          </w:p>
        </w:tc>
        <w:tc>
          <w:tcPr>
            <w:tcW w:w="2100" w:type="dxa"/>
            <w:gridSpan w:val="2"/>
            <w:tcBorders>
              <w:top w:val="single" w:sz="12" w:space="0" w:color="auto"/>
              <w:bottom w:val="single" w:sz="2" w:space="0" w:color="auto"/>
            </w:tcBorders>
          </w:tcPr>
          <w:p w:rsidR="002F62D4" w:rsidRPr="00B763E3" w:rsidRDefault="002F62D4" w:rsidP="004E2D6C">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Zavedený je národný strategický politický rámec pre znižovanie chudoby, zameraný na aktívne začleňovanie, ktorý:</w:t>
            </w:r>
          </w:p>
          <w:p w:rsidR="002F62D4" w:rsidRPr="00B763E3" w:rsidRDefault="002F62D4" w:rsidP="004E2D6C">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xml:space="preserve"> - poskytuje dostatok dôkazov, na základe ktorých sa dajú stanoviť politiky v oblasti znižovania chudoby a sledovať vývoj,</w:t>
            </w:r>
          </w:p>
        </w:tc>
        <w:tc>
          <w:tcPr>
            <w:tcW w:w="4853" w:type="dxa"/>
            <w:gridSpan w:val="2"/>
            <w:vMerge w:val="restart"/>
            <w:tcBorders>
              <w:top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2F62D4" w:rsidRPr="006F1168" w:rsidRDefault="002F62D4"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t>Implementácia projektu – príprava národnej rámcovej stratégie.</w:t>
            </w:r>
          </w:p>
          <w:p w:rsidR="002F62D4" w:rsidRDefault="002F62D4" w:rsidP="004E2D6C">
            <w:pPr>
              <w:spacing w:before="0" w:line="276" w:lineRule="auto"/>
              <w:rPr>
                <w:rFonts w:asciiTheme="majorHAnsi" w:hAnsiTheme="majorHAnsi"/>
                <w:sz w:val="16"/>
                <w:szCs w:val="16"/>
                <w:lang w:eastAsia="cs-CZ"/>
              </w:rPr>
            </w:pPr>
          </w:p>
          <w:p w:rsidR="008B2A4E" w:rsidRPr="006F1168" w:rsidRDefault="008B2A4E"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t>Tvorba analytickej časti Národnej rámcovej stratégie.</w:t>
            </w:r>
          </w:p>
        </w:tc>
        <w:tc>
          <w:tcPr>
            <w:tcW w:w="2862" w:type="dxa"/>
            <w:gridSpan w:val="3"/>
            <w:vMerge w:val="restart"/>
            <w:tcBorders>
              <w:top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513482" w:rsidRPr="00B763E3" w:rsidRDefault="00513482" w:rsidP="0051348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31.8. 2013 – 30. 6. 2014</w:t>
            </w:r>
          </w:p>
          <w:p w:rsidR="00513482" w:rsidRDefault="00513482" w:rsidP="00513482">
            <w:pPr>
              <w:spacing w:before="0" w:line="276" w:lineRule="auto"/>
              <w:rPr>
                <w:rFonts w:asciiTheme="majorHAnsi" w:hAnsiTheme="majorHAnsi"/>
                <w:sz w:val="16"/>
                <w:szCs w:val="16"/>
                <w:lang w:eastAsia="cs-CZ"/>
              </w:rPr>
            </w:pPr>
          </w:p>
          <w:p w:rsidR="008B2A4E" w:rsidRPr="00B763E3" w:rsidRDefault="008B2A4E" w:rsidP="00513482">
            <w:pPr>
              <w:spacing w:before="0" w:line="276" w:lineRule="auto"/>
              <w:rPr>
                <w:rFonts w:asciiTheme="majorHAnsi" w:hAnsiTheme="majorHAnsi"/>
                <w:sz w:val="16"/>
                <w:szCs w:val="16"/>
                <w:lang w:eastAsia="cs-CZ"/>
              </w:rPr>
            </w:pPr>
          </w:p>
          <w:p w:rsidR="002F62D4" w:rsidRPr="00B763E3" w:rsidRDefault="00C43D6C" w:rsidP="00504F81">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do 28. 02. </w:t>
            </w:r>
            <w:r w:rsidR="00513482" w:rsidRPr="00B763E3">
              <w:rPr>
                <w:rFonts w:asciiTheme="majorHAnsi" w:hAnsiTheme="majorHAnsi"/>
                <w:sz w:val="16"/>
                <w:szCs w:val="16"/>
                <w:lang w:eastAsia="cs-CZ"/>
              </w:rPr>
              <w:t>2014</w:t>
            </w:r>
          </w:p>
        </w:tc>
        <w:tc>
          <w:tcPr>
            <w:tcW w:w="2346" w:type="dxa"/>
            <w:vMerge w:val="restart"/>
            <w:tcBorders>
              <w:top w:val="single" w:sz="12" w:space="0" w:color="auto"/>
              <w:righ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MPSVR SR</w:t>
            </w:r>
          </w:p>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Inštitút pre výskum práce a rodiny SR</w:t>
            </w:r>
          </w:p>
        </w:tc>
      </w:tr>
      <w:tr w:rsidR="002F62D4" w:rsidRPr="00DF567A" w:rsidTr="00CC23CF">
        <w:trPr>
          <w:trHeight w:val="675"/>
        </w:trPr>
        <w:tc>
          <w:tcPr>
            <w:tcW w:w="1949" w:type="dxa"/>
            <w:vMerge/>
            <w:tcBorders>
              <w:left w:val="single" w:sz="12" w:space="0" w:color="auto"/>
              <w:right w:val="single" w:sz="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100" w:type="dxa"/>
            <w:gridSpan w:val="2"/>
            <w:tcBorders>
              <w:top w:val="single" w:sz="2" w:space="0" w:color="auto"/>
              <w:left w:val="single" w:sz="2" w:space="0" w:color="auto"/>
              <w:bottom w:val="single" w:sz="2" w:space="0" w:color="auto"/>
              <w:right w:val="single" w:sz="2" w:space="0" w:color="auto"/>
            </w:tcBorders>
          </w:tcPr>
          <w:p w:rsidR="002F62D4" w:rsidRPr="009B7C77" w:rsidRDefault="002F62D4" w:rsidP="00BA185A">
            <w:pPr>
              <w:tabs>
                <w:tab w:val="left" w:pos="3"/>
                <w:tab w:val="num" w:pos="2580"/>
              </w:tabs>
              <w:spacing w:before="100" w:beforeAutospacing="1" w:afterAutospacing="1"/>
              <w:rPr>
                <w:rFonts w:asciiTheme="majorHAnsi" w:hAnsiTheme="majorHAnsi"/>
                <w:sz w:val="16"/>
                <w:szCs w:val="16"/>
                <w:lang w:eastAsia="sk-SK"/>
              </w:rPr>
            </w:pPr>
            <w:r w:rsidRPr="009B7C77">
              <w:rPr>
                <w:rFonts w:asciiTheme="majorHAnsi" w:hAnsiTheme="majorHAnsi"/>
                <w:sz w:val="16"/>
                <w:szCs w:val="16"/>
                <w:lang w:eastAsia="sk-SK"/>
              </w:rPr>
              <w:t>- obsahuje opatrenia na podporu plnenia národného cieľa v oblasti chudoby a sociálneho vylúčenia (ako sa uvádza v národnom programe reforiem), ktorý zahŕňa podporu udržateľných a kvalitných pracovných príležitostí pre ľudí, ktorým najviac hrozí sociálne vylúčenie, vrátane osôb z marginalizovaných komunít</w:t>
            </w:r>
          </w:p>
        </w:tc>
        <w:tc>
          <w:tcPr>
            <w:tcW w:w="4853" w:type="dxa"/>
            <w:gridSpan w:val="2"/>
            <w:vMerge/>
            <w:tcBorders>
              <w:left w:val="single" w:sz="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862" w:type="dxa"/>
            <w:gridSpan w:val="3"/>
            <w:vMerge/>
          </w:tcPr>
          <w:p w:rsidR="002F62D4" w:rsidRPr="009B7C77" w:rsidRDefault="002F62D4" w:rsidP="004E2D6C">
            <w:pPr>
              <w:spacing w:before="0" w:line="276" w:lineRule="auto"/>
              <w:rPr>
                <w:rFonts w:asciiTheme="majorHAnsi" w:hAnsiTheme="majorHAnsi"/>
                <w:sz w:val="16"/>
                <w:szCs w:val="16"/>
                <w:lang w:eastAsia="cs-CZ"/>
              </w:rPr>
            </w:pPr>
          </w:p>
        </w:tc>
        <w:tc>
          <w:tcPr>
            <w:tcW w:w="2346" w:type="dxa"/>
            <w:vMerge/>
            <w:tcBorders>
              <w:right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r>
      <w:tr w:rsidR="002F62D4" w:rsidRPr="00DF567A" w:rsidTr="00CC23CF">
        <w:trPr>
          <w:trHeight w:val="675"/>
        </w:trPr>
        <w:tc>
          <w:tcPr>
            <w:tcW w:w="1949" w:type="dxa"/>
            <w:vMerge/>
            <w:tcBorders>
              <w:left w:val="single" w:sz="12" w:space="0" w:color="auto"/>
              <w:bottom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100" w:type="dxa"/>
            <w:gridSpan w:val="2"/>
            <w:tcBorders>
              <w:top w:val="single" w:sz="2" w:space="0" w:color="auto"/>
              <w:bottom w:val="single" w:sz="12" w:space="0" w:color="auto"/>
            </w:tcBorders>
          </w:tcPr>
          <w:p w:rsidR="002F62D4" w:rsidRPr="009B7C77" w:rsidRDefault="002F62D4" w:rsidP="004E2D6C">
            <w:pPr>
              <w:tabs>
                <w:tab w:val="left" w:pos="3"/>
                <w:tab w:val="num" w:pos="2580"/>
              </w:tabs>
              <w:spacing w:before="0"/>
              <w:rPr>
                <w:rFonts w:asciiTheme="majorHAnsi" w:hAnsiTheme="majorHAnsi"/>
                <w:sz w:val="16"/>
                <w:szCs w:val="16"/>
                <w:lang w:eastAsia="sk-SK"/>
              </w:rPr>
            </w:pPr>
            <w:r w:rsidRPr="009B7C77">
              <w:rPr>
                <w:rFonts w:asciiTheme="majorHAnsi" w:hAnsiTheme="majorHAnsi"/>
                <w:sz w:val="16"/>
                <w:szCs w:val="16"/>
                <w:lang w:eastAsia="sk-SK"/>
              </w:rPr>
              <w:t>Na žiadosť a podľa potreby sa príslušným zainteresovaným stranám poskytne podpora pri predkladaní žiadostí o projekty a pri vykonávaní a riadení vybraných projektov.</w:t>
            </w:r>
          </w:p>
        </w:tc>
        <w:tc>
          <w:tcPr>
            <w:tcW w:w="4853" w:type="dxa"/>
            <w:gridSpan w:val="2"/>
            <w:vMerge/>
            <w:tcBorders>
              <w:bottom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862" w:type="dxa"/>
            <w:gridSpan w:val="3"/>
            <w:vMerge/>
            <w:tcBorders>
              <w:bottom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346" w:type="dxa"/>
            <w:vMerge/>
            <w:tcBorders>
              <w:bottom w:val="single" w:sz="12" w:space="0" w:color="auto"/>
              <w:right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r>
      <w:tr w:rsidR="002F62D4" w:rsidRPr="00DF567A" w:rsidTr="00CC23CF">
        <w:trPr>
          <w:trHeight w:val="668"/>
        </w:trPr>
        <w:tc>
          <w:tcPr>
            <w:tcW w:w="1949" w:type="dxa"/>
            <w:vMerge w:val="restart"/>
            <w:tcBorders>
              <w:top w:val="single" w:sz="12" w:space="0" w:color="auto"/>
              <w:lef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rPr>
              <w:lastRenderedPageBreak/>
              <w:t>9.2. Zavedený je národný strategický politický rámec integrácie Rómov.</w:t>
            </w:r>
          </w:p>
        </w:tc>
        <w:tc>
          <w:tcPr>
            <w:tcW w:w="2100" w:type="dxa"/>
            <w:gridSpan w:val="2"/>
            <w:tcBorders>
              <w:top w:val="single" w:sz="12" w:space="0" w:color="auto"/>
              <w:bottom w:val="single" w:sz="2" w:space="0" w:color="auto"/>
            </w:tcBorders>
          </w:tcPr>
          <w:p w:rsidR="002F62D4" w:rsidRPr="00B763E3" w:rsidRDefault="002F62D4" w:rsidP="004E2D6C">
            <w:pPr>
              <w:keepNext/>
              <w:widowControl w:val="0"/>
              <w:tabs>
                <w:tab w:val="left" w:pos="365"/>
              </w:tabs>
              <w:spacing w:before="60" w:after="60"/>
              <w:rPr>
                <w:rFonts w:asciiTheme="majorHAnsi" w:hAnsiTheme="majorHAnsi"/>
                <w:sz w:val="16"/>
                <w:szCs w:val="16"/>
              </w:rPr>
            </w:pPr>
            <w:r w:rsidRPr="00B763E3">
              <w:rPr>
                <w:rFonts w:asciiTheme="majorHAnsi" w:hAnsiTheme="majorHAnsi"/>
                <w:sz w:val="16"/>
                <w:szCs w:val="16"/>
              </w:rPr>
              <w:t>Zavedený je národný strategický politický rámec integrácie Rómov, ktorý:</w:t>
            </w:r>
          </w:p>
          <w:p w:rsidR="002F62D4" w:rsidRPr="00B763E3" w:rsidRDefault="002F62D4" w:rsidP="004E2D6C">
            <w:pPr>
              <w:keepNext/>
              <w:widowControl w:val="0"/>
              <w:tabs>
                <w:tab w:val="left" w:pos="365"/>
              </w:tabs>
              <w:spacing w:before="60" w:after="60"/>
              <w:rPr>
                <w:rFonts w:asciiTheme="majorHAnsi" w:hAnsiTheme="majorHAnsi"/>
                <w:sz w:val="16"/>
                <w:szCs w:val="16"/>
              </w:rPr>
            </w:pPr>
            <w:r w:rsidRPr="00B763E3">
              <w:rPr>
                <w:rFonts w:asciiTheme="majorHAnsi" w:hAnsiTheme="majorHAnsi"/>
                <w:sz w:val="16"/>
                <w:szCs w:val="16"/>
              </w:rPr>
              <w:t>- zahŕňa výkonné metódy sledovania na posúdenie vplyvu opatrení na integráciu Rómov a mechanizmy preskúmania na prispôsobovanie stratégie.</w:t>
            </w:r>
          </w:p>
        </w:tc>
        <w:tc>
          <w:tcPr>
            <w:tcW w:w="4853" w:type="dxa"/>
            <w:gridSpan w:val="2"/>
            <w:tcBorders>
              <w:top w:val="single" w:sz="12" w:space="0" w:color="auto"/>
            </w:tcBorders>
          </w:tcPr>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t xml:space="preserve">Nastavenie monitorovania Stratégie Slovenskej republiky pre integráciu Rómov do roku 2020 </w:t>
            </w:r>
          </w:p>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t xml:space="preserve">a) Technicko-administratívna línia- prvá monitorovacia správa Stratégie bude predložená na rokovanie vlády SR. </w:t>
            </w:r>
          </w:p>
          <w:p w:rsidR="002F62D4" w:rsidRPr="00B763E3" w:rsidRDefault="002F62D4" w:rsidP="004E2D6C">
            <w:pPr>
              <w:spacing w:before="0" w:after="0"/>
              <w:rPr>
                <w:rFonts w:asciiTheme="majorHAnsi" w:hAnsiTheme="majorHAnsi"/>
                <w:sz w:val="16"/>
                <w:szCs w:val="16"/>
              </w:rPr>
            </w:pPr>
          </w:p>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t>b) Kvalitatívna línia - po vydaní Atlasu 2013 budú aktualizované východiskové a cieľové hodnoty ukazovateľov Stratégie.</w:t>
            </w:r>
          </w:p>
        </w:tc>
        <w:tc>
          <w:tcPr>
            <w:tcW w:w="2862" w:type="dxa"/>
            <w:gridSpan w:val="3"/>
            <w:tcBorders>
              <w:top w:val="single" w:sz="12" w:space="0" w:color="auto"/>
            </w:tcBorders>
          </w:tcPr>
          <w:p w:rsidR="002F62D4" w:rsidRPr="00B763E3" w:rsidRDefault="002F62D4" w:rsidP="004E2D6C">
            <w:pPr>
              <w:spacing w:before="0" w:after="0" w:line="276" w:lineRule="auto"/>
              <w:rPr>
                <w:rFonts w:asciiTheme="majorHAnsi" w:hAnsiTheme="majorHAnsi"/>
                <w:sz w:val="16"/>
                <w:szCs w:val="16"/>
              </w:rPr>
            </w:pPr>
          </w:p>
          <w:p w:rsidR="002F62D4" w:rsidRPr="00B763E3" w:rsidRDefault="002F62D4" w:rsidP="004E2D6C">
            <w:pPr>
              <w:spacing w:before="0" w:after="0" w:line="276" w:lineRule="auto"/>
              <w:rPr>
                <w:rFonts w:asciiTheme="majorHAnsi" w:hAnsiTheme="majorHAnsi"/>
                <w:sz w:val="16"/>
                <w:szCs w:val="16"/>
              </w:rPr>
            </w:pPr>
          </w:p>
          <w:p w:rsidR="002F62D4" w:rsidRPr="00B763E3" w:rsidRDefault="002F62D4" w:rsidP="004E2D6C">
            <w:pPr>
              <w:spacing w:before="0" w:after="0" w:line="276" w:lineRule="auto"/>
              <w:rPr>
                <w:rFonts w:asciiTheme="majorHAnsi" w:hAnsiTheme="majorHAnsi"/>
                <w:sz w:val="16"/>
                <w:szCs w:val="16"/>
              </w:rPr>
            </w:pPr>
          </w:p>
          <w:p w:rsidR="002F62D4" w:rsidRPr="00B763E3" w:rsidRDefault="002F62D4" w:rsidP="004E2D6C">
            <w:pPr>
              <w:spacing w:before="0" w:after="0" w:line="276" w:lineRule="auto"/>
              <w:rPr>
                <w:rFonts w:asciiTheme="majorHAnsi" w:hAnsiTheme="majorHAnsi"/>
                <w:sz w:val="16"/>
                <w:szCs w:val="16"/>
              </w:rPr>
            </w:pPr>
          </w:p>
          <w:p w:rsidR="002F62D4" w:rsidRPr="00B763E3" w:rsidRDefault="00513482" w:rsidP="004E2D6C">
            <w:pPr>
              <w:spacing w:before="0" w:after="0" w:line="276" w:lineRule="auto"/>
              <w:rPr>
                <w:rFonts w:asciiTheme="majorHAnsi" w:hAnsiTheme="majorHAnsi"/>
                <w:sz w:val="16"/>
                <w:szCs w:val="16"/>
              </w:rPr>
            </w:pPr>
            <w:r w:rsidRPr="00B763E3">
              <w:rPr>
                <w:rFonts w:asciiTheme="majorHAnsi" w:hAnsiTheme="majorHAnsi"/>
                <w:sz w:val="16"/>
                <w:szCs w:val="16"/>
              </w:rPr>
              <w:t>30. 6. 2014</w:t>
            </w:r>
          </w:p>
          <w:p w:rsidR="002F62D4" w:rsidRPr="00B763E3" w:rsidRDefault="002F62D4" w:rsidP="004E2D6C">
            <w:pPr>
              <w:spacing w:before="0" w:after="0" w:line="276" w:lineRule="auto"/>
              <w:rPr>
                <w:rFonts w:asciiTheme="majorHAnsi" w:hAnsiTheme="majorHAnsi"/>
                <w:sz w:val="16"/>
                <w:szCs w:val="16"/>
              </w:rPr>
            </w:pPr>
          </w:p>
        </w:tc>
        <w:tc>
          <w:tcPr>
            <w:tcW w:w="2346" w:type="dxa"/>
            <w:vMerge w:val="restart"/>
            <w:tcBorders>
              <w:top w:val="single" w:sz="12" w:space="0" w:color="auto"/>
              <w:right w:val="single" w:sz="12" w:space="0" w:color="auto"/>
            </w:tcBorders>
          </w:tcPr>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t>ÚSVRK</w:t>
            </w:r>
          </w:p>
        </w:tc>
      </w:tr>
      <w:tr w:rsidR="002F62D4" w:rsidRPr="00DF567A" w:rsidTr="00CC23CF">
        <w:trPr>
          <w:trHeight w:val="667"/>
        </w:trPr>
        <w:tc>
          <w:tcPr>
            <w:tcW w:w="1949" w:type="dxa"/>
            <w:vMerge/>
            <w:tcBorders>
              <w:left w:val="single" w:sz="12" w:space="0" w:color="auto"/>
              <w:bottom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tcBorders>
              <w:top w:val="single" w:sz="2" w:space="0" w:color="auto"/>
              <w:bottom w:val="single" w:sz="12" w:space="0" w:color="auto"/>
            </w:tcBorders>
          </w:tcPr>
          <w:p w:rsidR="00513482" w:rsidRPr="009B7C77" w:rsidRDefault="00513482" w:rsidP="004E2D6C">
            <w:pPr>
              <w:tabs>
                <w:tab w:val="left" w:pos="3"/>
                <w:tab w:val="num" w:pos="2580"/>
              </w:tabs>
              <w:spacing w:before="0" w:line="276" w:lineRule="auto"/>
              <w:rPr>
                <w:rFonts w:asciiTheme="majorHAnsi" w:hAnsiTheme="majorHAnsi"/>
                <w:sz w:val="16"/>
                <w:szCs w:val="16"/>
              </w:rPr>
            </w:pPr>
            <w:r w:rsidRPr="009B7C77">
              <w:rPr>
                <w:rFonts w:asciiTheme="majorHAnsi" w:hAnsiTheme="majorHAnsi"/>
                <w:sz w:val="16"/>
                <w:szCs w:val="16"/>
              </w:rPr>
              <w:t>- je navrhnutá, vykonáva sa a monitoruje v úzkej spolupráci a neustálom dialógu s rómskou občianskou spoločnosťou, regionálnymi a miestnymi orgánmi verejnej správy.</w:t>
            </w: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FB04B0" w:rsidRDefault="00FB04B0" w:rsidP="00B763E3">
            <w:pPr>
              <w:tabs>
                <w:tab w:val="left" w:pos="3"/>
                <w:tab w:val="num" w:pos="2580"/>
              </w:tabs>
              <w:spacing w:before="0" w:after="0"/>
              <w:rPr>
                <w:rFonts w:asciiTheme="majorHAnsi" w:hAnsiTheme="majorHAnsi"/>
                <w:sz w:val="16"/>
                <w:szCs w:val="16"/>
                <w:lang w:eastAsia="sk-SK"/>
              </w:rPr>
            </w:pPr>
          </w:p>
          <w:p w:rsidR="002F62D4" w:rsidRPr="00B763E3" w:rsidRDefault="00513482" w:rsidP="004E2D6C">
            <w:pPr>
              <w:tabs>
                <w:tab w:val="left" w:pos="3"/>
                <w:tab w:val="num" w:pos="2580"/>
              </w:tabs>
              <w:spacing w:before="0" w:line="276" w:lineRule="auto"/>
              <w:rPr>
                <w:rFonts w:asciiTheme="majorHAnsi" w:hAnsiTheme="majorHAnsi"/>
                <w:sz w:val="16"/>
                <w:szCs w:val="16"/>
              </w:rPr>
            </w:pPr>
            <w:r w:rsidRPr="00B763E3">
              <w:rPr>
                <w:rFonts w:asciiTheme="majorHAnsi" w:hAnsiTheme="majorHAnsi"/>
                <w:sz w:val="16"/>
                <w:szCs w:val="16"/>
                <w:lang w:eastAsia="sk-SK"/>
              </w:rPr>
              <w:t>Na žiadosť a podľa potreby sa príslušným zainteresovaným stranám poskytne podpora pri predkladaní žiadostí o projekty a pri vykonávaní a riadení vybraných projektov.</w:t>
            </w:r>
          </w:p>
        </w:tc>
        <w:tc>
          <w:tcPr>
            <w:tcW w:w="4853" w:type="dxa"/>
            <w:gridSpan w:val="2"/>
            <w:tcBorders>
              <w:bottom w:val="single" w:sz="12" w:space="0" w:color="auto"/>
            </w:tcBorders>
          </w:tcPr>
          <w:p w:rsidR="00513482" w:rsidRPr="00B763E3" w:rsidRDefault="00513482" w:rsidP="00513482">
            <w:pPr>
              <w:spacing w:before="0" w:after="0"/>
              <w:rPr>
                <w:rFonts w:asciiTheme="majorHAnsi" w:hAnsiTheme="majorHAnsi"/>
                <w:sz w:val="16"/>
                <w:szCs w:val="16"/>
              </w:rPr>
            </w:pPr>
            <w:r w:rsidRPr="00B763E3">
              <w:rPr>
                <w:rFonts w:asciiTheme="majorHAnsi" w:hAnsiTheme="majorHAnsi"/>
                <w:sz w:val="16"/>
                <w:szCs w:val="16"/>
              </w:rPr>
              <w:t xml:space="preserve">ÚSVRK pre účely zabezpečenia plnenia kritéria zriadi pracovnú skupinu pre vykonávanie a monitorovanie stratégie, ktorá bude vytvorená so zástupcov miestnej a regionálnej samosprávy, rezortov, ktoré zodpovedajú za plnenie opatrení a aktivít schválenej Stratégie SR pre integráciu Rómov do roku 2020 (ďalej len „Stratégia“) </w:t>
            </w:r>
            <w:r w:rsidR="00544389" w:rsidRPr="00B763E3">
              <w:rPr>
                <w:rFonts w:asciiTheme="majorHAnsi" w:hAnsiTheme="majorHAnsi"/>
                <w:sz w:val="16"/>
                <w:szCs w:val="16"/>
              </w:rPr>
              <w:br/>
            </w:r>
            <w:r w:rsidRPr="00B763E3">
              <w:rPr>
                <w:rFonts w:asciiTheme="majorHAnsi" w:hAnsiTheme="majorHAnsi"/>
                <w:sz w:val="16"/>
                <w:szCs w:val="16"/>
              </w:rPr>
              <w:t>a reprezentantov občianskej spoločnosti (MNO)</w:t>
            </w:r>
            <w:r w:rsidR="00C408E8" w:rsidRPr="00B763E3">
              <w:rPr>
                <w:rFonts w:asciiTheme="majorHAnsi" w:hAnsiTheme="majorHAnsi"/>
                <w:sz w:val="16"/>
                <w:szCs w:val="16"/>
              </w:rPr>
              <w:t>.</w:t>
            </w:r>
            <w:r w:rsidRPr="00B763E3">
              <w:rPr>
                <w:rFonts w:asciiTheme="majorHAnsi" w:hAnsiTheme="majorHAnsi"/>
                <w:sz w:val="16"/>
                <w:szCs w:val="16"/>
              </w:rPr>
              <w:t xml:space="preserve">                                                                                                                                                                                                                                                                                                                                                                                                                                                                                                                                                                                                                                                                        </w:t>
            </w:r>
          </w:p>
          <w:p w:rsidR="00513482" w:rsidRPr="00B763E3" w:rsidRDefault="00513482" w:rsidP="00513482">
            <w:pPr>
              <w:spacing w:before="0" w:after="0"/>
              <w:rPr>
                <w:rFonts w:asciiTheme="majorHAnsi" w:hAnsiTheme="majorHAnsi"/>
                <w:sz w:val="16"/>
                <w:szCs w:val="16"/>
              </w:rPr>
            </w:pPr>
          </w:p>
          <w:p w:rsidR="00513482" w:rsidRDefault="00513482" w:rsidP="00513482">
            <w:pPr>
              <w:spacing w:before="0" w:after="0"/>
              <w:rPr>
                <w:rFonts w:asciiTheme="majorHAnsi" w:hAnsiTheme="majorHAnsi"/>
                <w:sz w:val="16"/>
                <w:szCs w:val="16"/>
              </w:rPr>
            </w:pPr>
            <w:r w:rsidRPr="00B763E3">
              <w:rPr>
                <w:rFonts w:asciiTheme="majorHAnsi" w:hAnsiTheme="majorHAnsi"/>
                <w:sz w:val="16"/>
                <w:szCs w:val="16"/>
              </w:rPr>
              <w:t>Vypracovanie a schválenie štatútu monitorovacej pracovnej skupiny</w:t>
            </w:r>
            <w:r w:rsidR="00C408E8" w:rsidRPr="00B763E3">
              <w:rPr>
                <w:rFonts w:asciiTheme="majorHAnsi" w:hAnsiTheme="majorHAnsi"/>
                <w:sz w:val="16"/>
                <w:szCs w:val="16"/>
              </w:rPr>
              <w:t>,</w:t>
            </w:r>
            <w:r w:rsidRPr="00B763E3">
              <w:rPr>
                <w:rFonts w:asciiTheme="majorHAnsi" w:hAnsiTheme="majorHAnsi"/>
                <w:sz w:val="16"/>
                <w:szCs w:val="16"/>
              </w:rPr>
              <w:t xml:space="preserve"> v ktorom bude zadefinovaná zodpovednosť a úlohy členov/členiek v procese priebežného monitorovania </w:t>
            </w:r>
            <w:r w:rsidR="00C408E8" w:rsidRPr="00B763E3">
              <w:rPr>
                <w:rFonts w:asciiTheme="majorHAnsi" w:hAnsiTheme="majorHAnsi"/>
                <w:sz w:val="16"/>
                <w:szCs w:val="16"/>
              </w:rPr>
              <w:t>s</w:t>
            </w:r>
            <w:r w:rsidRPr="00B763E3">
              <w:rPr>
                <w:rFonts w:asciiTheme="majorHAnsi" w:hAnsiTheme="majorHAnsi"/>
                <w:sz w:val="16"/>
                <w:szCs w:val="16"/>
              </w:rPr>
              <w:t>tratégie</w:t>
            </w:r>
            <w:r w:rsidR="00C408E8" w:rsidRPr="00B763E3">
              <w:rPr>
                <w:rFonts w:asciiTheme="majorHAnsi" w:hAnsiTheme="majorHAnsi"/>
                <w:sz w:val="16"/>
                <w:szCs w:val="16"/>
              </w:rPr>
              <w:t>.</w:t>
            </w:r>
            <w:r w:rsidRPr="00B763E3">
              <w:rPr>
                <w:rFonts w:asciiTheme="majorHAnsi" w:hAnsiTheme="majorHAnsi"/>
                <w:sz w:val="16"/>
                <w:szCs w:val="16"/>
              </w:rPr>
              <w:t xml:space="preserve"> </w:t>
            </w:r>
          </w:p>
          <w:p w:rsidR="00FB04B0" w:rsidRDefault="00FB04B0" w:rsidP="00513482">
            <w:pPr>
              <w:spacing w:before="0" w:after="0"/>
              <w:rPr>
                <w:rFonts w:asciiTheme="majorHAnsi" w:hAnsiTheme="majorHAnsi"/>
                <w:sz w:val="16"/>
                <w:szCs w:val="16"/>
              </w:rPr>
            </w:pPr>
          </w:p>
          <w:p w:rsidR="00513482" w:rsidRPr="00B763E3" w:rsidRDefault="00513482" w:rsidP="00513482">
            <w:pPr>
              <w:spacing w:before="0" w:after="0"/>
              <w:rPr>
                <w:rFonts w:asciiTheme="majorHAnsi" w:hAnsiTheme="majorHAnsi"/>
                <w:sz w:val="16"/>
                <w:szCs w:val="16"/>
              </w:rPr>
            </w:pPr>
          </w:p>
          <w:p w:rsidR="002F62D4" w:rsidRPr="00B763E3" w:rsidRDefault="002F62D4" w:rsidP="00513482">
            <w:pPr>
              <w:spacing w:before="0" w:after="0"/>
              <w:rPr>
                <w:rFonts w:asciiTheme="majorHAnsi" w:hAnsiTheme="majorHAnsi"/>
                <w:sz w:val="16"/>
                <w:szCs w:val="16"/>
              </w:rPr>
            </w:pPr>
            <w:r w:rsidRPr="00B763E3">
              <w:rPr>
                <w:rFonts w:asciiTheme="majorHAnsi" w:hAnsiTheme="majorHAnsi"/>
                <w:i/>
                <w:sz w:val="16"/>
                <w:szCs w:val="16"/>
              </w:rPr>
              <w:t>"</w:t>
            </w:r>
            <w:r w:rsidRPr="006F1168">
              <w:rPr>
                <w:rFonts w:asciiTheme="majorHAnsi" w:hAnsiTheme="majorHAnsi"/>
                <w:sz w:val="16"/>
                <w:szCs w:val="16"/>
              </w:rPr>
              <w:t>Návrh na stabilizáciu administratívnych kapacít v roku 2014 a 2015",</w:t>
            </w:r>
            <w:r w:rsidRPr="00B763E3">
              <w:rPr>
                <w:rFonts w:asciiTheme="majorHAnsi" w:hAnsiTheme="majorHAnsi"/>
                <w:sz w:val="16"/>
                <w:szCs w:val="16"/>
              </w:rPr>
              <w:t xml:space="preserve"> </w:t>
            </w:r>
            <w:r w:rsidR="00544389" w:rsidRPr="00B763E3">
              <w:rPr>
                <w:rFonts w:asciiTheme="majorHAnsi" w:hAnsiTheme="majorHAnsi"/>
                <w:sz w:val="16"/>
                <w:szCs w:val="16"/>
              </w:rPr>
              <w:br/>
            </w:r>
            <w:r w:rsidRPr="00B763E3">
              <w:rPr>
                <w:rFonts w:asciiTheme="majorHAnsi" w:hAnsiTheme="majorHAnsi"/>
                <w:sz w:val="16"/>
                <w:szCs w:val="16"/>
              </w:rPr>
              <w:t xml:space="preserve">v ktorom je zadefinovaná potreba administratívnych kapacít pre programové obdobie 2014 – 2020 vzhľadom na kritérium ex ante kondicionality 9.2. https://lt.justice.gov.sk/Material/MaterialHome.aspx?instEID=-1&amp;matEID=6983&amp;langEID=1 </w:t>
            </w:r>
            <w:r w:rsidRPr="00B763E3">
              <w:rPr>
                <w:rFonts w:asciiTheme="majorHAnsi" w:hAnsiTheme="majorHAnsi"/>
                <w:sz w:val="16"/>
                <w:szCs w:val="16"/>
              </w:rPr>
              <w:br/>
            </w:r>
          </w:p>
          <w:p w:rsidR="002F62D4" w:rsidRPr="00B763E3" w:rsidRDefault="002F62D4" w:rsidP="004E2D6C">
            <w:pPr>
              <w:spacing w:before="0" w:line="276" w:lineRule="auto"/>
              <w:rPr>
                <w:rFonts w:asciiTheme="majorHAnsi" w:hAnsiTheme="majorHAnsi"/>
                <w:sz w:val="16"/>
                <w:szCs w:val="16"/>
              </w:rPr>
            </w:pPr>
            <w:r w:rsidRPr="00B763E3">
              <w:rPr>
                <w:rFonts w:asciiTheme="majorHAnsi" w:hAnsiTheme="majorHAnsi"/>
                <w:sz w:val="16"/>
                <w:szCs w:val="16"/>
              </w:rPr>
              <w:t xml:space="preserve">Nastavenie poskytovania podpory príslušným zainteresovaným stranám pri predkladaní žiadostí o projekty a pri vykonávaní a riadení vybraných projektov a zapracovanie do riadiacich dokumentov.  </w:t>
            </w:r>
          </w:p>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rPr>
              <w:t xml:space="preserve">Predloženie na rokovanie vlády SR. </w:t>
            </w:r>
          </w:p>
        </w:tc>
        <w:tc>
          <w:tcPr>
            <w:tcW w:w="2862" w:type="dxa"/>
            <w:gridSpan w:val="3"/>
            <w:tcBorders>
              <w:bottom w:val="single" w:sz="12" w:space="0" w:color="auto"/>
            </w:tcBorders>
          </w:tcPr>
          <w:p w:rsidR="002F62D4" w:rsidRPr="00B763E3" w:rsidRDefault="002F62D4" w:rsidP="004E2D6C">
            <w:pPr>
              <w:spacing w:before="0" w:line="276" w:lineRule="auto"/>
              <w:rPr>
                <w:rFonts w:asciiTheme="majorHAnsi" w:hAnsiTheme="majorHAnsi"/>
                <w:sz w:val="16"/>
                <w:szCs w:val="16"/>
              </w:rPr>
            </w:pPr>
          </w:p>
          <w:p w:rsidR="00513482" w:rsidRPr="00B763E3" w:rsidRDefault="00513482" w:rsidP="00513482">
            <w:pPr>
              <w:spacing w:before="0" w:after="0" w:line="276" w:lineRule="auto"/>
              <w:rPr>
                <w:rFonts w:asciiTheme="majorHAnsi" w:hAnsiTheme="majorHAnsi"/>
                <w:sz w:val="16"/>
                <w:szCs w:val="16"/>
              </w:rPr>
            </w:pPr>
            <w:r w:rsidRPr="00B763E3">
              <w:rPr>
                <w:rFonts w:asciiTheme="majorHAnsi" w:hAnsiTheme="majorHAnsi"/>
                <w:sz w:val="16"/>
                <w:szCs w:val="16"/>
              </w:rPr>
              <w:t>31. 12. 2014</w:t>
            </w:r>
          </w:p>
          <w:p w:rsidR="00513482" w:rsidRPr="00B763E3" w:rsidRDefault="00513482" w:rsidP="00513482">
            <w:pPr>
              <w:spacing w:before="0" w:after="0" w:line="276" w:lineRule="auto"/>
              <w:rPr>
                <w:rFonts w:asciiTheme="majorHAnsi" w:hAnsiTheme="majorHAnsi"/>
                <w:sz w:val="16"/>
                <w:szCs w:val="16"/>
              </w:rPr>
            </w:pPr>
          </w:p>
          <w:p w:rsidR="00513482" w:rsidRPr="00B763E3" w:rsidRDefault="00513482" w:rsidP="00513482">
            <w:pPr>
              <w:spacing w:before="0" w:after="0" w:line="276" w:lineRule="auto"/>
              <w:rPr>
                <w:rFonts w:asciiTheme="majorHAnsi" w:hAnsiTheme="majorHAnsi"/>
                <w:sz w:val="16"/>
                <w:szCs w:val="16"/>
              </w:rPr>
            </w:pPr>
          </w:p>
          <w:p w:rsidR="00513482" w:rsidRPr="00B763E3" w:rsidRDefault="00513482" w:rsidP="00513482">
            <w:pPr>
              <w:spacing w:before="0" w:after="0" w:line="276" w:lineRule="auto"/>
              <w:rPr>
                <w:rFonts w:asciiTheme="majorHAnsi" w:hAnsiTheme="majorHAnsi"/>
                <w:sz w:val="16"/>
                <w:szCs w:val="16"/>
              </w:rPr>
            </w:pPr>
          </w:p>
          <w:p w:rsidR="00513482" w:rsidRPr="00B763E3" w:rsidRDefault="00513482" w:rsidP="00513482">
            <w:pPr>
              <w:spacing w:before="0" w:after="0" w:line="276" w:lineRule="auto"/>
              <w:rPr>
                <w:rFonts w:asciiTheme="majorHAnsi" w:hAnsiTheme="majorHAnsi"/>
                <w:sz w:val="16"/>
                <w:szCs w:val="16"/>
              </w:rPr>
            </w:pPr>
          </w:p>
          <w:p w:rsidR="00513482" w:rsidRPr="00B763E3" w:rsidRDefault="00513482" w:rsidP="00513482">
            <w:pPr>
              <w:spacing w:before="0" w:after="0" w:line="276" w:lineRule="auto"/>
              <w:rPr>
                <w:rFonts w:asciiTheme="majorHAnsi" w:hAnsiTheme="majorHAnsi"/>
                <w:sz w:val="16"/>
                <w:szCs w:val="16"/>
              </w:rPr>
            </w:pPr>
            <w:r w:rsidRPr="00B763E3">
              <w:rPr>
                <w:rFonts w:asciiTheme="majorHAnsi" w:hAnsiTheme="majorHAnsi"/>
                <w:sz w:val="16"/>
                <w:szCs w:val="16"/>
              </w:rPr>
              <w:t>31. 12. 2014</w:t>
            </w:r>
          </w:p>
          <w:p w:rsidR="002F62D4" w:rsidRDefault="002F62D4"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FB04B0" w:rsidRDefault="00FB04B0" w:rsidP="00B763E3">
            <w:pPr>
              <w:spacing w:before="0" w:after="0"/>
              <w:rPr>
                <w:rFonts w:asciiTheme="majorHAnsi" w:hAnsiTheme="majorHAnsi"/>
                <w:sz w:val="16"/>
                <w:szCs w:val="16"/>
              </w:rPr>
            </w:pPr>
          </w:p>
          <w:p w:rsidR="002F62D4" w:rsidRPr="00B763E3" w:rsidRDefault="00513482" w:rsidP="004E2D6C">
            <w:pPr>
              <w:spacing w:before="0" w:line="276" w:lineRule="auto"/>
              <w:rPr>
                <w:rFonts w:asciiTheme="majorHAnsi" w:hAnsiTheme="majorHAnsi"/>
                <w:sz w:val="16"/>
                <w:szCs w:val="16"/>
                <w:lang w:eastAsia="cs-CZ"/>
              </w:rPr>
            </w:pPr>
            <w:r w:rsidRPr="00B763E3">
              <w:rPr>
                <w:rFonts w:asciiTheme="majorHAnsi" w:hAnsiTheme="majorHAnsi"/>
                <w:sz w:val="16"/>
                <w:szCs w:val="16"/>
              </w:rPr>
              <w:t>30.</w:t>
            </w:r>
            <w:r w:rsidR="00544389" w:rsidRPr="00B763E3">
              <w:rPr>
                <w:rFonts w:asciiTheme="majorHAnsi" w:hAnsiTheme="majorHAnsi"/>
                <w:sz w:val="16"/>
                <w:szCs w:val="16"/>
              </w:rPr>
              <w:t xml:space="preserve"> </w:t>
            </w:r>
            <w:r w:rsidRPr="00B763E3">
              <w:rPr>
                <w:rFonts w:asciiTheme="majorHAnsi" w:hAnsiTheme="majorHAnsi"/>
                <w:sz w:val="16"/>
                <w:szCs w:val="16"/>
              </w:rPr>
              <w:t xml:space="preserve">6. </w:t>
            </w:r>
            <w:r w:rsidR="002F62D4" w:rsidRPr="00B763E3">
              <w:rPr>
                <w:rFonts w:asciiTheme="majorHAnsi" w:hAnsiTheme="majorHAnsi"/>
                <w:sz w:val="16"/>
                <w:szCs w:val="16"/>
              </w:rPr>
              <w:t>2014</w:t>
            </w:r>
          </w:p>
        </w:tc>
        <w:tc>
          <w:tcPr>
            <w:tcW w:w="2346" w:type="dxa"/>
            <w:vMerge/>
            <w:tcBorders>
              <w:bottom w:val="single" w:sz="12" w:space="0" w:color="auto"/>
              <w:righ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p>
        </w:tc>
      </w:tr>
      <w:tr w:rsidR="00EF6430" w:rsidRPr="00DF567A" w:rsidTr="001D5BC5">
        <w:trPr>
          <w:trHeight w:val="437"/>
        </w:trPr>
        <w:tc>
          <w:tcPr>
            <w:tcW w:w="1963" w:type="dxa"/>
            <w:gridSpan w:val="2"/>
            <w:tcBorders>
              <w:left w:val="single" w:sz="12" w:space="0" w:color="auto"/>
            </w:tcBorders>
          </w:tcPr>
          <w:p w:rsidR="00EF6430" w:rsidRPr="00B763E3" w:rsidRDefault="00EF6430" w:rsidP="001D5BC5">
            <w:pPr>
              <w:spacing w:before="0" w:line="276" w:lineRule="auto"/>
              <w:rPr>
                <w:rFonts w:asciiTheme="majorHAnsi" w:hAnsiTheme="majorHAnsi"/>
                <w:sz w:val="16"/>
                <w:szCs w:val="16"/>
              </w:rPr>
            </w:pPr>
            <w:r w:rsidRPr="00B763E3">
              <w:rPr>
                <w:rFonts w:asciiTheme="majorHAnsi" w:hAnsiTheme="majorHAnsi"/>
                <w:sz w:val="16"/>
                <w:szCs w:val="16"/>
              </w:rPr>
              <w:lastRenderedPageBreak/>
              <w:t>9.3. Zdravie: existencia národného alebo regionálneho strategického politického rámca pre zdravie v medziach článku 168 ZFEÚ, ktorý zabezpečí ekonomickú udržateľnosť.</w:t>
            </w:r>
          </w:p>
        </w:tc>
        <w:tc>
          <w:tcPr>
            <w:tcW w:w="2113" w:type="dxa"/>
            <w:gridSpan w:val="2"/>
            <w:tcBorders>
              <w:top w:val="single" w:sz="2" w:space="0" w:color="auto"/>
              <w:bottom w:val="single" w:sz="4" w:space="0" w:color="auto"/>
            </w:tcBorders>
          </w:tcPr>
          <w:p w:rsidR="00EF6430" w:rsidRPr="00B763E3" w:rsidRDefault="00EF6430" w:rsidP="001D5BC5">
            <w:pPr>
              <w:tabs>
                <w:tab w:val="left" w:pos="3"/>
                <w:tab w:val="num" w:pos="2580"/>
              </w:tabs>
              <w:spacing w:before="0" w:line="276" w:lineRule="auto"/>
              <w:rPr>
                <w:rFonts w:asciiTheme="majorHAnsi" w:eastAsia="Times New Roman" w:hAnsiTheme="majorHAnsi"/>
                <w:sz w:val="16"/>
                <w:szCs w:val="16"/>
                <w:lang w:eastAsia="cs-CZ"/>
              </w:rPr>
            </w:pPr>
            <w:r w:rsidRPr="00B763E3">
              <w:rPr>
                <w:rFonts w:asciiTheme="majorHAnsi" w:eastAsia="Times New Roman" w:hAnsiTheme="majorHAnsi"/>
                <w:sz w:val="16"/>
                <w:szCs w:val="16"/>
                <w:lang w:eastAsia="cs-CZ"/>
              </w:rPr>
              <w:t>Koordinované opatrenia na zlepšenie prístupu k zdravotným službám</w:t>
            </w: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r w:rsidRPr="00B763E3">
              <w:rPr>
                <w:rFonts w:asciiTheme="majorHAnsi" w:hAnsiTheme="majorHAnsi"/>
                <w:sz w:val="16"/>
                <w:szCs w:val="16"/>
                <w:lang w:eastAsia="sk-SK"/>
              </w:rPr>
              <w:t>Opatrenia na podporu efektívnosti sektora zdravotníctva prostredníctvom zavádzania modelov poskytovania služieb a infraštruktúry</w:t>
            </w: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r w:rsidRPr="00B763E3">
              <w:rPr>
                <w:rFonts w:asciiTheme="majorHAnsi" w:hAnsiTheme="majorHAnsi"/>
                <w:sz w:val="16"/>
                <w:szCs w:val="16"/>
                <w:lang w:eastAsia="sk-SK"/>
              </w:rPr>
              <w:t>Systém monitorovania a kontroly</w:t>
            </w: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p>
          <w:p w:rsidR="003C2CF7" w:rsidRPr="00B763E3" w:rsidRDefault="003C2CF7" w:rsidP="001D5BC5">
            <w:pPr>
              <w:tabs>
                <w:tab w:val="left" w:pos="3"/>
                <w:tab w:val="num" w:pos="2580"/>
              </w:tabs>
              <w:spacing w:before="0" w:line="276" w:lineRule="auto"/>
              <w:rPr>
                <w:rFonts w:asciiTheme="majorHAnsi" w:hAnsiTheme="majorHAnsi"/>
                <w:sz w:val="16"/>
                <w:szCs w:val="16"/>
                <w:lang w:eastAsia="sk-SK"/>
              </w:rPr>
            </w:pPr>
          </w:p>
          <w:p w:rsidR="003C2CF7" w:rsidRPr="00B763E3" w:rsidRDefault="003C2CF7" w:rsidP="001D5BC5">
            <w:pPr>
              <w:tabs>
                <w:tab w:val="left" w:pos="3"/>
                <w:tab w:val="num" w:pos="2580"/>
              </w:tabs>
              <w:spacing w:before="0" w:line="276" w:lineRule="auto"/>
              <w:rPr>
                <w:rFonts w:asciiTheme="majorHAnsi" w:hAnsiTheme="majorHAnsi"/>
                <w:sz w:val="16"/>
                <w:szCs w:val="16"/>
                <w:lang w:eastAsia="sk-SK"/>
              </w:rPr>
            </w:pPr>
          </w:p>
          <w:p w:rsidR="003C2CF7" w:rsidRPr="00B763E3" w:rsidRDefault="003C2CF7" w:rsidP="001D5BC5">
            <w:pPr>
              <w:tabs>
                <w:tab w:val="left" w:pos="3"/>
                <w:tab w:val="num" w:pos="2580"/>
              </w:tabs>
              <w:spacing w:before="0" w:line="276" w:lineRule="auto"/>
              <w:rPr>
                <w:rFonts w:asciiTheme="majorHAnsi" w:hAnsiTheme="majorHAnsi"/>
                <w:sz w:val="16"/>
                <w:szCs w:val="16"/>
                <w:lang w:eastAsia="sk-SK"/>
              </w:rPr>
            </w:pPr>
          </w:p>
          <w:p w:rsidR="003C2CF7" w:rsidRPr="00B763E3" w:rsidRDefault="003C2CF7" w:rsidP="001D5BC5">
            <w:pPr>
              <w:tabs>
                <w:tab w:val="left" w:pos="3"/>
                <w:tab w:val="num" w:pos="2580"/>
              </w:tabs>
              <w:spacing w:before="0" w:line="276" w:lineRule="auto"/>
              <w:rPr>
                <w:rFonts w:asciiTheme="majorHAnsi" w:hAnsiTheme="majorHAnsi"/>
                <w:sz w:val="16"/>
                <w:szCs w:val="16"/>
                <w:lang w:eastAsia="sk-SK"/>
              </w:rPr>
            </w:pPr>
          </w:p>
          <w:p w:rsidR="00EF6430" w:rsidRPr="00B763E3" w:rsidRDefault="00EF6430" w:rsidP="001D5BC5">
            <w:pPr>
              <w:tabs>
                <w:tab w:val="left" w:pos="3"/>
                <w:tab w:val="num" w:pos="2580"/>
              </w:tabs>
              <w:spacing w:before="0" w:line="276" w:lineRule="auto"/>
              <w:rPr>
                <w:rFonts w:asciiTheme="majorHAnsi" w:hAnsiTheme="majorHAnsi"/>
                <w:sz w:val="16"/>
                <w:szCs w:val="16"/>
                <w:lang w:eastAsia="sk-SK"/>
              </w:rPr>
            </w:pPr>
            <w:r w:rsidRPr="00B763E3">
              <w:rPr>
                <w:rFonts w:asciiTheme="majorHAnsi" w:hAnsiTheme="majorHAnsi"/>
                <w:sz w:val="16"/>
                <w:szCs w:val="16"/>
                <w:lang w:eastAsia="sk-SK"/>
              </w:rPr>
              <w:t xml:space="preserve">Členský štát alebo región prijal rámec orientačne opisujúci dostupné rozpočtové prostriedky a </w:t>
            </w:r>
            <w:r w:rsidRPr="00B763E3">
              <w:rPr>
                <w:rFonts w:asciiTheme="majorHAnsi" w:hAnsiTheme="majorHAnsi"/>
                <w:sz w:val="16"/>
                <w:szCs w:val="16"/>
                <w:lang w:eastAsia="sk-SK"/>
              </w:rPr>
              <w:lastRenderedPageBreak/>
              <w:t>nákladovo efektívnu koncentráciu prostriedkov na prioritné potreby pre zdravotnú starostlivosť</w:t>
            </w:r>
          </w:p>
        </w:tc>
        <w:tc>
          <w:tcPr>
            <w:tcW w:w="4869" w:type="dxa"/>
            <w:gridSpan w:val="2"/>
          </w:tcPr>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lastRenderedPageBreak/>
              <w:t>Aktualizácia „</w:t>
            </w:r>
            <w:r w:rsidR="001D5BC5" w:rsidRPr="00B763E3">
              <w:rPr>
                <w:rFonts w:asciiTheme="majorHAnsi" w:hAnsiTheme="majorHAnsi"/>
                <w:sz w:val="16"/>
                <w:szCs w:val="20"/>
              </w:rPr>
              <w:t>A</w:t>
            </w:r>
            <w:r w:rsidRPr="00B763E3">
              <w:rPr>
                <w:rFonts w:asciiTheme="majorHAnsi" w:hAnsiTheme="majorHAnsi"/>
                <w:sz w:val="16"/>
                <w:szCs w:val="20"/>
              </w:rPr>
              <w:t>kčného plánu pre prípravu čiastkových stratégií/nástrojov zmien“ („</w:t>
            </w:r>
            <w:r w:rsidR="001D5BC5" w:rsidRPr="00B763E3">
              <w:rPr>
                <w:rFonts w:asciiTheme="majorHAnsi" w:hAnsiTheme="majorHAnsi"/>
                <w:sz w:val="16"/>
                <w:szCs w:val="20"/>
              </w:rPr>
              <w:t>A</w:t>
            </w:r>
            <w:r w:rsidRPr="00B763E3">
              <w:rPr>
                <w:rFonts w:asciiTheme="majorHAnsi" w:hAnsiTheme="majorHAnsi"/>
                <w:sz w:val="16"/>
                <w:szCs w:val="20"/>
              </w:rPr>
              <w:t>kčný plán pre prípravu čiastkových stratégií/nástrojov zmien“ bol schválený 11.</w:t>
            </w:r>
            <w:r w:rsidR="001D5BC5" w:rsidRPr="00B763E3">
              <w:rPr>
                <w:rFonts w:asciiTheme="majorHAnsi" w:hAnsiTheme="majorHAnsi"/>
                <w:sz w:val="16"/>
                <w:szCs w:val="20"/>
              </w:rPr>
              <w:t xml:space="preserve"> </w:t>
            </w:r>
            <w:r w:rsidRPr="00B763E3">
              <w:rPr>
                <w:rFonts w:asciiTheme="majorHAnsi" w:hAnsiTheme="majorHAnsi"/>
                <w:sz w:val="16"/>
                <w:szCs w:val="20"/>
              </w:rPr>
              <w:t>2.</w:t>
            </w:r>
            <w:r w:rsidR="001D5BC5" w:rsidRPr="00B763E3">
              <w:rPr>
                <w:rFonts w:asciiTheme="majorHAnsi" w:hAnsiTheme="majorHAnsi"/>
                <w:sz w:val="16"/>
                <w:szCs w:val="20"/>
              </w:rPr>
              <w:t xml:space="preserve"> </w:t>
            </w:r>
            <w:r w:rsidRPr="00B763E3">
              <w:rPr>
                <w:rFonts w:asciiTheme="majorHAnsi" w:hAnsiTheme="majorHAnsi"/>
                <w:sz w:val="16"/>
                <w:szCs w:val="20"/>
              </w:rPr>
              <w:t>2014 gremiálnou poradou ministerky zdravotníctva podľa bodu 1 kapitoly č. 6 strategického rámca). „Akčný plán pre prípravu čiastkových stratégií/nástrojov zmien“ je kľúčovým nástrojom pre koordináciu jednotlivých opatrení strategického rámca. „Akčný plán pre prípravu čiastkových stratégií/nástrojov zmien“ je schválený a aktualizovaný gremiálnou poradou ministerky zdravotníctva.</w:t>
            </w:r>
          </w:p>
          <w:p w:rsidR="00EF6430" w:rsidRPr="00B763E3" w:rsidRDefault="00EF6430" w:rsidP="001D5BC5">
            <w:pPr>
              <w:pStyle w:val="Obyajntext"/>
              <w:spacing w:line="276" w:lineRule="auto"/>
              <w:ind w:left="211"/>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Vypracovanie realizačnej stratégie v oblasti integrovanej zdravotnej starostlivosti. Jedna z kľúčových realizačných stratégií pre využívanie EŠIF, súčasťou bude aj detailnejší návrh rozpočtu.</w:t>
            </w:r>
          </w:p>
          <w:p w:rsidR="00EF6430" w:rsidRPr="00B763E3" w:rsidRDefault="00EF6430" w:rsidP="001D5BC5">
            <w:pPr>
              <w:pStyle w:val="Obyajntext"/>
              <w:spacing w:line="276" w:lineRule="auto"/>
              <w:jc w:val="both"/>
              <w:rPr>
                <w:rFonts w:asciiTheme="majorHAnsi" w:hAnsiTheme="majorHAnsi"/>
                <w:sz w:val="16"/>
                <w:szCs w:val="20"/>
              </w:rPr>
            </w:pPr>
          </w:p>
          <w:p w:rsidR="00EF6430" w:rsidRPr="00B05B51" w:rsidRDefault="00EF6430" w:rsidP="001D5BC5">
            <w:pPr>
              <w:pStyle w:val="Obyajntext"/>
              <w:jc w:val="both"/>
              <w:rPr>
                <w:rFonts w:asciiTheme="majorHAnsi" w:eastAsia="Times New Roman" w:hAnsiTheme="majorHAnsi"/>
                <w:sz w:val="16"/>
                <w:szCs w:val="16"/>
                <w:lang w:eastAsia="cs-CZ"/>
              </w:rPr>
            </w:pPr>
            <w:r w:rsidRPr="00B763E3">
              <w:rPr>
                <w:rFonts w:asciiTheme="majorHAnsi" w:hAnsiTheme="majorHAnsi"/>
                <w:sz w:val="16"/>
                <w:szCs w:val="20"/>
              </w:rPr>
              <w:t xml:space="preserve">Vypracovanie realizačnej stratégie v oblasti implementácie štandardizovaných preventívnych a klinických postupov. Jedna z kľúčových realizačných stratégií pre využívanie EŠIF, súčasťou bude aj detailnejší návrh rozpočtu.  </w:t>
            </w:r>
          </w:p>
          <w:p w:rsidR="00EF6430" w:rsidRPr="00B05B51" w:rsidRDefault="00E16CCC" w:rsidP="001D5BC5">
            <w:pPr>
              <w:pStyle w:val="Obyajntext"/>
              <w:jc w:val="both"/>
              <w:rPr>
                <w:rFonts w:asciiTheme="majorHAnsi" w:eastAsia="Times New Roman" w:hAnsiTheme="majorHAnsi"/>
                <w:sz w:val="16"/>
                <w:szCs w:val="16"/>
                <w:lang w:eastAsia="cs-CZ"/>
              </w:rPr>
            </w:pPr>
            <w:r w:rsidRPr="00B763E3">
              <w:rPr>
                <w:rFonts w:asciiTheme="majorHAnsi" w:hAnsiTheme="majorHAnsi"/>
                <w:sz w:val="16"/>
                <w:szCs w:val="16"/>
              </w:rPr>
              <w:t>Za</w:t>
            </w:r>
            <w:r w:rsidR="00E61814">
              <w:rPr>
                <w:rFonts w:asciiTheme="majorHAnsi" w:hAnsiTheme="majorHAnsi"/>
                <w:sz w:val="16"/>
                <w:szCs w:val="16"/>
              </w:rPr>
              <w:t xml:space="preserve">slanie kompletnej dokumentácie </w:t>
            </w:r>
            <w:r w:rsidRPr="00B763E3">
              <w:rPr>
                <w:rFonts w:asciiTheme="majorHAnsi" w:hAnsiTheme="majorHAnsi"/>
                <w:sz w:val="16"/>
                <w:szCs w:val="16"/>
              </w:rPr>
              <w:t>na EK k posúdeniu splnenia</w:t>
            </w:r>
            <w:r w:rsidR="00E61814">
              <w:rPr>
                <w:rFonts w:asciiTheme="majorHAnsi" w:hAnsiTheme="majorHAnsi"/>
                <w:sz w:val="16"/>
                <w:szCs w:val="16"/>
              </w:rPr>
              <w:t xml:space="preserve"> všetkých náležitostí kritéria </w:t>
            </w:r>
            <w:r w:rsidRPr="00B763E3">
              <w:rPr>
                <w:rFonts w:asciiTheme="majorHAnsi" w:hAnsiTheme="majorHAnsi"/>
                <w:sz w:val="16"/>
                <w:szCs w:val="16"/>
              </w:rPr>
              <w:t>ex ante kondicionality.</w:t>
            </w:r>
          </w:p>
          <w:p w:rsidR="00EF6430" w:rsidRPr="00B05B51" w:rsidRDefault="00EF6430" w:rsidP="001D5BC5">
            <w:pPr>
              <w:pStyle w:val="Obyajntext"/>
              <w:jc w:val="both"/>
              <w:rPr>
                <w:rFonts w:asciiTheme="majorHAnsi" w:eastAsia="Times New Roman" w:hAnsiTheme="majorHAnsi"/>
                <w:sz w:val="16"/>
                <w:szCs w:val="16"/>
                <w:lang w:eastAsia="cs-CZ"/>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Aktualizácia „</w:t>
            </w:r>
            <w:r w:rsidR="001D5BC5" w:rsidRPr="00B763E3">
              <w:rPr>
                <w:rFonts w:asciiTheme="majorHAnsi" w:hAnsiTheme="majorHAnsi"/>
                <w:sz w:val="16"/>
                <w:szCs w:val="20"/>
              </w:rPr>
              <w:t>A</w:t>
            </w:r>
            <w:r w:rsidRPr="00B763E3">
              <w:rPr>
                <w:rFonts w:asciiTheme="majorHAnsi" w:hAnsiTheme="majorHAnsi"/>
                <w:sz w:val="16"/>
                <w:szCs w:val="20"/>
              </w:rPr>
              <w:t>kčného plánu pre prípravu čiastkových stratégií/nástrojov zmien“ („</w:t>
            </w:r>
            <w:r w:rsidR="001D5BC5" w:rsidRPr="00B763E3">
              <w:rPr>
                <w:rFonts w:asciiTheme="majorHAnsi" w:hAnsiTheme="majorHAnsi"/>
                <w:sz w:val="16"/>
                <w:szCs w:val="20"/>
              </w:rPr>
              <w:t>A</w:t>
            </w:r>
            <w:r w:rsidRPr="00B763E3">
              <w:rPr>
                <w:rFonts w:asciiTheme="majorHAnsi" w:hAnsiTheme="majorHAnsi"/>
                <w:sz w:val="16"/>
                <w:szCs w:val="20"/>
              </w:rPr>
              <w:t>kčný plán pre prípravu čiastkových stratégií/nástrojov zmien“ bol schválený 11.</w:t>
            </w:r>
            <w:r w:rsidR="001D5BC5" w:rsidRPr="00B763E3">
              <w:rPr>
                <w:rFonts w:asciiTheme="majorHAnsi" w:hAnsiTheme="majorHAnsi"/>
                <w:sz w:val="16"/>
                <w:szCs w:val="20"/>
              </w:rPr>
              <w:t xml:space="preserve"> </w:t>
            </w:r>
            <w:r w:rsidRPr="00B763E3">
              <w:rPr>
                <w:rFonts w:asciiTheme="majorHAnsi" w:hAnsiTheme="majorHAnsi"/>
                <w:sz w:val="16"/>
                <w:szCs w:val="20"/>
              </w:rPr>
              <w:t>2.</w:t>
            </w:r>
            <w:r w:rsidR="001D5BC5" w:rsidRPr="00B763E3">
              <w:rPr>
                <w:rFonts w:asciiTheme="majorHAnsi" w:hAnsiTheme="majorHAnsi"/>
                <w:sz w:val="16"/>
                <w:szCs w:val="20"/>
              </w:rPr>
              <w:t xml:space="preserve"> </w:t>
            </w:r>
            <w:r w:rsidRPr="00B763E3">
              <w:rPr>
                <w:rFonts w:asciiTheme="majorHAnsi" w:hAnsiTheme="majorHAnsi"/>
                <w:sz w:val="16"/>
                <w:szCs w:val="20"/>
              </w:rPr>
              <w:t>2014 gremiálnou poradou ministerky zdravotníctva podľa bodu 1 kapitoly č. 6 strategického rámca). „Akčný plán pre prípravu čiastkových stratégií/nástrojov zmien“ je kľúčovým nástrojom pre koordináciu jednotlivých opatrení strategického rámca. „Akčný plán pre prípravu čiastkových stratégií/nástrojov zmien“ je schválený a aktualizovaný gremiálnou poradou ministerky zdravotníctva.</w:t>
            </w:r>
          </w:p>
          <w:p w:rsidR="00EF6430" w:rsidRPr="00B763E3" w:rsidRDefault="00EF6430" w:rsidP="001D5BC5">
            <w:pPr>
              <w:pStyle w:val="Obyajntext"/>
              <w:spacing w:line="276" w:lineRule="auto"/>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Vypracovanie realizačnej stratégie v oblasti integrovanej zdravotnej starostlivosti. Jedna z kľúčových realizačných stratégií pre využívanie EŠIF, súčasťou bude aj detailnejší návrh rozpočtu.</w:t>
            </w:r>
          </w:p>
          <w:p w:rsidR="00EF6430" w:rsidRPr="00B763E3" w:rsidRDefault="00EF6430" w:rsidP="001D5BC5">
            <w:pPr>
              <w:pStyle w:val="Obyajntext"/>
              <w:spacing w:line="276" w:lineRule="auto"/>
              <w:jc w:val="both"/>
              <w:rPr>
                <w:rFonts w:asciiTheme="majorHAnsi" w:hAnsiTheme="majorHAnsi"/>
                <w:sz w:val="16"/>
                <w:szCs w:val="20"/>
              </w:rPr>
            </w:pPr>
          </w:p>
          <w:p w:rsidR="00EF6430" w:rsidRPr="00B763E3" w:rsidRDefault="00EF6430" w:rsidP="001D5BC5">
            <w:pPr>
              <w:pStyle w:val="Obyajntext"/>
              <w:jc w:val="both"/>
              <w:rPr>
                <w:rFonts w:asciiTheme="majorHAnsi" w:hAnsiTheme="majorHAnsi"/>
                <w:sz w:val="16"/>
                <w:szCs w:val="20"/>
              </w:rPr>
            </w:pPr>
            <w:r w:rsidRPr="00B763E3">
              <w:rPr>
                <w:rFonts w:asciiTheme="majorHAnsi" w:hAnsiTheme="majorHAnsi"/>
                <w:sz w:val="16"/>
                <w:szCs w:val="20"/>
              </w:rPr>
              <w:t xml:space="preserve">Vypracovanie realizačnej stratégie v oblasti implementácie štandardizovaných preventívnych a klinických postupov. Jedna </w:t>
            </w:r>
            <w:r w:rsidRPr="00B763E3">
              <w:rPr>
                <w:rFonts w:asciiTheme="majorHAnsi" w:hAnsiTheme="majorHAnsi"/>
                <w:sz w:val="16"/>
                <w:szCs w:val="20"/>
              </w:rPr>
              <w:lastRenderedPageBreak/>
              <w:t xml:space="preserve">z kľúčových realizačných stratégií pre využívanie EŠIF, súčasťou bude aj detailnejší návrh rozpočtu. </w:t>
            </w:r>
          </w:p>
          <w:p w:rsidR="00EF6430" w:rsidRPr="00B763E3" w:rsidRDefault="00EF6430" w:rsidP="001D5BC5">
            <w:pPr>
              <w:pStyle w:val="Obyajntext"/>
              <w:jc w:val="both"/>
              <w:rPr>
                <w:rFonts w:asciiTheme="majorHAnsi" w:hAnsiTheme="majorHAnsi"/>
                <w:sz w:val="16"/>
                <w:szCs w:val="20"/>
              </w:rPr>
            </w:pPr>
          </w:p>
          <w:p w:rsidR="001D5BC5" w:rsidRPr="00B763E3" w:rsidRDefault="001D5BC5" w:rsidP="001D5BC5">
            <w:pPr>
              <w:pStyle w:val="Obyajntext"/>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Aktualizácia „</w:t>
            </w:r>
            <w:r w:rsidR="001D5BC5" w:rsidRPr="00B763E3">
              <w:rPr>
                <w:rFonts w:asciiTheme="majorHAnsi" w:hAnsiTheme="majorHAnsi"/>
                <w:sz w:val="16"/>
                <w:szCs w:val="20"/>
              </w:rPr>
              <w:t>A</w:t>
            </w:r>
            <w:r w:rsidRPr="00B763E3">
              <w:rPr>
                <w:rFonts w:asciiTheme="majorHAnsi" w:hAnsiTheme="majorHAnsi"/>
                <w:sz w:val="16"/>
                <w:szCs w:val="20"/>
              </w:rPr>
              <w:t>kčného plánu pre prípravu čiastkových stratégií/nástrojov zmien“ („</w:t>
            </w:r>
            <w:r w:rsidR="001D5BC5" w:rsidRPr="00B763E3">
              <w:rPr>
                <w:rFonts w:asciiTheme="majorHAnsi" w:hAnsiTheme="majorHAnsi"/>
                <w:sz w:val="16"/>
                <w:szCs w:val="20"/>
              </w:rPr>
              <w:t>A</w:t>
            </w:r>
            <w:r w:rsidRPr="00B763E3">
              <w:rPr>
                <w:rFonts w:asciiTheme="majorHAnsi" w:hAnsiTheme="majorHAnsi"/>
                <w:sz w:val="16"/>
                <w:szCs w:val="20"/>
              </w:rPr>
              <w:t>kčný plán pre prípravu čiastkových stratégií/nástrojov zmien“ bol schválený 11.</w:t>
            </w:r>
            <w:r w:rsidR="001D5BC5" w:rsidRPr="00B763E3">
              <w:rPr>
                <w:rFonts w:asciiTheme="majorHAnsi" w:hAnsiTheme="majorHAnsi"/>
                <w:sz w:val="16"/>
                <w:szCs w:val="20"/>
              </w:rPr>
              <w:t xml:space="preserve"> </w:t>
            </w:r>
            <w:r w:rsidRPr="00B763E3">
              <w:rPr>
                <w:rFonts w:asciiTheme="majorHAnsi" w:hAnsiTheme="majorHAnsi"/>
                <w:sz w:val="16"/>
                <w:szCs w:val="20"/>
              </w:rPr>
              <w:t>2.</w:t>
            </w:r>
            <w:r w:rsidR="001D5BC5" w:rsidRPr="00B763E3">
              <w:rPr>
                <w:rFonts w:asciiTheme="majorHAnsi" w:hAnsiTheme="majorHAnsi"/>
                <w:sz w:val="16"/>
                <w:szCs w:val="20"/>
              </w:rPr>
              <w:t xml:space="preserve"> </w:t>
            </w:r>
            <w:r w:rsidRPr="00B763E3">
              <w:rPr>
                <w:rFonts w:asciiTheme="majorHAnsi" w:hAnsiTheme="majorHAnsi"/>
                <w:sz w:val="16"/>
                <w:szCs w:val="20"/>
              </w:rPr>
              <w:t>2014 gremiálnou poradou ministerky zdravotníctva podľa bodu 1 kapitoly č. 6 strategického rámca). „Akčný plán pre prípravu čiastkových stratégií/nástrojov zmien“ je kľúčovým nástrojom pre koordináciu jednotlivých opatrení strategického rámca. „Akčný plán pre prípravu čiastkových stratégií/nástrojov zmien“ je schválený a aktualizovaný gremiálnou poradou ministerky zdravotníctva.</w:t>
            </w:r>
          </w:p>
          <w:p w:rsidR="00EF6430" w:rsidRPr="00B763E3" w:rsidRDefault="00EF6430" w:rsidP="001D5BC5">
            <w:pPr>
              <w:pStyle w:val="Obyajntext"/>
              <w:spacing w:line="276" w:lineRule="auto"/>
              <w:ind w:left="720"/>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 xml:space="preserve">Vypracovanie dokumentu popisujúceho systém monitorovania a kontroly realizácie a napĺňania čiastkových  implementačných stratégií a ich revízie. Dokument bude okrem iného detailnejšie popisovať prácu monitorovacej komisie (monitorovacia komisia už bola zriadená podľa bodu 2 kapitoly č. 6 strategického rámca. Štatút monitorovacej komisie </w:t>
            </w:r>
            <w:r w:rsidR="009A7351" w:rsidRPr="00B763E3">
              <w:rPr>
                <w:rFonts w:asciiTheme="majorHAnsi" w:hAnsiTheme="majorHAnsi"/>
                <w:sz w:val="16"/>
                <w:szCs w:val="20"/>
              </w:rPr>
              <w:t>je</w:t>
            </w:r>
            <w:r w:rsidRPr="00B763E3">
              <w:rPr>
                <w:rFonts w:asciiTheme="majorHAnsi" w:hAnsiTheme="majorHAnsi"/>
                <w:sz w:val="16"/>
                <w:szCs w:val="20"/>
              </w:rPr>
              <w:t> verejne dostupný vo Vestníku MZ SR.) v oblasti monitorovania a kontroly.</w:t>
            </w:r>
          </w:p>
          <w:p w:rsidR="00EF6430" w:rsidRPr="00B763E3" w:rsidRDefault="00EF6430" w:rsidP="001D5BC5">
            <w:pPr>
              <w:pStyle w:val="Obyajntext"/>
              <w:spacing w:line="276" w:lineRule="auto"/>
              <w:jc w:val="both"/>
              <w:rPr>
                <w:rFonts w:asciiTheme="majorHAnsi" w:hAnsiTheme="majorHAnsi"/>
                <w:sz w:val="16"/>
                <w:szCs w:val="20"/>
              </w:rPr>
            </w:pPr>
          </w:p>
          <w:p w:rsidR="00EF6430" w:rsidRPr="00B763E3" w:rsidRDefault="00EF6430" w:rsidP="001D5BC5">
            <w:pPr>
              <w:pStyle w:val="Obyajntext"/>
              <w:jc w:val="both"/>
              <w:rPr>
                <w:rFonts w:asciiTheme="majorHAnsi" w:hAnsiTheme="majorHAnsi"/>
                <w:sz w:val="16"/>
                <w:szCs w:val="20"/>
              </w:rPr>
            </w:pPr>
            <w:r w:rsidRPr="00B763E3">
              <w:rPr>
                <w:rFonts w:asciiTheme="majorHAnsi" w:hAnsiTheme="majorHAnsi"/>
                <w:sz w:val="16"/>
                <w:szCs w:val="20"/>
              </w:rPr>
              <w:t>Schválenie dokumentu popisujúceho systém monitorovania a</w:t>
            </w:r>
            <w:r w:rsidR="009A7351" w:rsidRPr="00B763E3">
              <w:rPr>
                <w:rFonts w:asciiTheme="majorHAnsi" w:hAnsiTheme="majorHAnsi"/>
                <w:sz w:val="16"/>
                <w:szCs w:val="20"/>
              </w:rPr>
              <w:t> </w:t>
            </w:r>
            <w:r w:rsidRPr="00B763E3">
              <w:rPr>
                <w:rFonts w:asciiTheme="majorHAnsi" w:hAnsiTheme="majorHAnsi"/>
                <w:sz w:val="16"/>
                <w:szCs w:val="20"/>
              </w:rPr>
              <w:t>kontroly</w:t>
            </w:r>
            <w:r w:rsidR="009A7351" w:rsidRPr="00B763E3">
              <w:rPr>
                <w:rFonts w:asciiTheme="majorHAnsi" w:hAnsiTheme="majorHAnsi"/>
                <w:sz w:val="16"/>
                <w:szCs w:val="20"/>
              </w:rPr>
              <w:t xml:space="preserve"> </w:t>
            </w:r>
            <w:r w:rsidRPr="00B763E3">
              <w:rPr>
                <w:rFonts w:asciiTheme="majorHAnsi" w:hAnsiTheme="majorHAnsi"/>
                <w:sz w:val="16"/>
                <w:szCs w:val="20"/>
              </w:rPr>
              <w:t xml:space="preserve">realizácie a napĺňania čiastkových  implementačných stratégií a ich revízie zo strany monitorovacej komisie. Schválením sa systém monitorovania a kontroly stáva funkčným.  </w:t>
            </w:r>
          </w:p>
          <w:p w:rsidR="003C2CF7" w:rsidRPr="00B763E3" w:rsidRDefault="003C2CF7" w:rsidP="001D5BC5">
            <w:pPr>
              <w:pStyle w:val="Obyajntext"/>
              <w:jc w:val="both"/>
              <w:rPr>
                <w:rFonts w:asciiTheme="majorHAnsi" w:hAnsiTheme="majorHAnsi"/>
                <w:sz w:val="16"/>
                <w:szCs w:val="16"/>
              </w:rPr>
            </w:pPr>
          </w:p>
          <w:p w:rsidR="003C2CF7" w:rsidRPr="00B763E3" w:rsidRDefault="003C2CF7" w:rsidP="001D5BC5">
            <w:pPr>
              <w:pStyle w:val="Obyajntext"/>
              <w:jc w:val="both"/>
              <w:rPr>
                <w:rFonts w:asciiTheme="majorHAnsi" w:hAnsiTheme="majorHAnsi"/>
                <w:sz w:val="16"/>
                <w:szCs w:val="20"/>
              </w:rPr>
            </w:pPr>
            <w:r w:rsidRPr="00B763E3">
              <w:rPr>
                <w:rFonts w:asciiTheme="majorHAnsi" w:hAnsiTheme="majorHAnsi"/>
                <w:sz w:val="16"/>
                <w:szCs w:val="16"/>
              </w:rPr>
              <w:t>Zaslanie kompletnej dokumentácie  na EK k posúdeniu splnenia všetkých náležitostí kritéria  ex ante kondicionality.</w:t>
            </w:r>
          </w:p>
          <w:p w:rsidR="00EF6430" w:rsidRPr="00B763E3" w:rsidRDefault="00EF6430" w:rsidP="001D5BC5">
            <w:pPr>
              <w:pStyle w:val="Obyajntext"/>
              <w:jc w:val="both"/>
              <w:rPr>
                <w:rFonts w:asciiTheme="majorHAnsi" w:hAnsiTheme="majorHAnsi"/>
                <w:sz w:val="16"/>
                <w:szCs w:val="20"/>
              </w:rPr>
            </w:pPr>
          </w:p>
          <w:p w:rsidR="00EF6430" w:rsidRPr="00B763E3" w:rsidRDefault="00EF6430" w:rsidP="001D5BC5">
            <w:pPr>
              <w:pStyle w:val="Obyajntext"/>
              <w:jc w:val="both"/>
              <w:rPr>
                <w:rFonts w:asciiTheme="majorHAnsi" w:hAnsiTheme="majorHAnsi"/>
                <w:sz w:val="16"/>
                <w:szCs w:val="20"/>
              </w:rPr>
            </w:pPr>
          </w:p>
          <w:p w:rsidR="00EF6430" w:rsidRPr="00B763E3" w:rsidRDefault="00EF6430" w:rsidP="001D5BC5">
            <w:pPr>
              <w:pStyle w:val="Obyajntext"/>
              <w:jc w:val="both"/>
              <w:rPr>
                <w:rFonts w:asciiTheme="majorHAnsi" w:hAnsiTheme="majorHAnsi"/>
                <w:sz w:val="16"/>
                <w:szCs w:val="20"/>
              </w:rPr>
            </w:pPr>
          </w:p>
          <w:p w:rsidR="003C2CF7" w:rsidRPr="00B763E3" w:rsidRDefault="003C2CF7" w:rsidP="001D5BC5">
            <w:pPr>
              <w:pStyle w:val="Obyajntext"/>
              <w:spacing w:line="276" w:lineRule="auto"/>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Aktualizácia „</w:t>
            </w:r>
            <w:r w:rsidR="001D5BC5" w:rsidRPr="00B763E3">
              <w:rPr>
                <w:rFonts w:asciiTheme="majorHAnsi" w:hAnsiTheme="majorHAnsi"/>
                <w:sz w:val="16"/>
                <w:szCs w:val="20"/>
              </w:rPr>
              <w:t>A</w:t>
            </w:r>
            <w:r w:rsidRPr="00B763E3">
              <w:rPr>
                <w:rFonts w:asciiTheme="majorHAnsi" w:hAnsiTheme="majorHAnsi"/>
                <w:sz w:val="16"/>
                <w:szCs w:val="20"/>
              </w:rPr>
              <w:t>kčného plánu pre prípravu čiastkových stratégií/nástrojov zmien“ („</w:t>
            </w:r>
            <w:r w:rsidR="001D5BC5" w:rsidRPr="00B763E3">
              <w:rPr>
                <w:rFonts w:asciiTheme="majorHAnsi" w:hAnsiTheme="majorHAnsi"/>
                <w:sz w:val="16"/>
                <w:szCs w:val="20"/>
              </w:rPr>
              <w:t>A</w:t>
            </w:r>
            <w:r w:rsidRPr="00B763E3">
              <w:rPr>
                <w:rFonts w:asciiTheme="majorHAnsi" w:hAnsiTheme="majorHAnsi"/>
                <w:sz w:val="16"/>
                <w:szCs w:val="20"/>
              </w:rPr>
              <w:t xml:space="preserve">kčný plán pre prípravu čiastkových stratégií/nástrojov zmien“ bol schválený 11.2.2014 gremiálnou poradou ministerky zdravotníctva podľa bodu 1 kapitoly č. 6 strategického rámca). „Akčný plán pre prípravu čiastkových </w:t>
            </w:r>
            <w:r w:rsidRPr="00B763E3">
              <w:rPr>
                <w:rFonts w:asciiTheme="majorHAnsi" w:hAnsiTheme="majorHAnsi"/>
                <w:sz w:val="16"/>
                <w:szCs w:val="20"/>
              </w:rPr>
              <w:lastRenderedPageBreak/>
              <w:t>stratégií/nástrojov zmien“ je kľúčovým nástrojom pre koordináciu jednotlivých opatrení strategického rámca. „Akčný plán pre prípravu čiastkových stratégií/nástrojov zmien“ je schválený a aktualizovaný gremiálnou poradou ministerky zdravotníctva.</w:t>
            </w:r>
          </w:p>
          <w:p w:rsidR="00EF6430" w:rsidRPr="00B763E3" w:rsidRDefault="00EF6430" w:rsidP="001D5BC5">
            <w:pPr>
              <w:pStyle w:val="Obyajntext"/>
              <w:spacing w:line="276" w:lineRule="auto"/>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Vypracovanie realizačnej stratégie v oblasti integrovanej zdravotnej starostlivosti. Jedna z kľúčových realizačných stratégií pre využívanie EŠIF, súčasťou bude aj detailnejší návrh rozpočtu.</w:t>
            </w:r>
          </w:p>
          <w:p w:rsidR="00EF6430" w:rsidRPr="00B763E3" w:rsidRDefault="00EF6430" w:rsidP="001D5BC5">
            <w:pPr>
              <w:pStyle w:val="Obyajntext"/>
              <w:spacing w:line="276" w:lineRule="auto"/>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Vypracovanie realizačnej stratégie v oblasti implementácie štandardizovaných preventívnych a klinických postupov. Jedna z kľúčových realizačných stratégií pre využívanie EŠIF, súčasťou bude aj detailnejší návrh rozpočtu.</w:t>
            </w:r>
          </w:p>
          <w:p w:rsidR="00EF6430" w:rsidRPr="00B763E3" w:rsidRDefault="00EF6430" w:rsidP="001D5BC5">
            <w:pPr>
              <w:pStyle w:val="Obyajntext"/>
              <w:spacing w:line="276" w:lineRule="auto"/>
              <w:jc w:val="both"/>
              <w:rPr>
                <w:rFonts w:asciiTheme="majorHAnsi" w:hAnsiTheme="majorHAnsi"/>
                <w:sz w:val="16"/>
                <w:szCs w:val="20"/>
              </w:rPr>
            </w:pPr>
          </w:p>
          <w:p w:rsidR="00EF6430" w:rsidRPr="00B763E3" w:rsidRDefault="00EF6430" w:rsidP="001D5BC5">
            <w:pPr>
              <w:pStyle w:val="Obyajntext"/>
              <w:spacing w:line="276" w:lineRule="auto"/>
              <w:jc w:val="both"/>
              <w:rPr>
                <w:rFonts w:asciiTheme="majorHAnsi" w:hAnsiTheme="majorHAnsi"/>
                <w:sz w:val="16"/>
                <w:szCs w:val="20"/>
              </w:rPr>
            </w:pPr>
            <w:r w:rsidRPr="00B763E3">
              <w:rPr>
                <w:rFonts w:asciiTheme="majorHAnsi" w:hAnsiTheme="majorHAnsi"/>
                <w:sz w:val="16"/>
                <w:szCs w:val="20"/>
              </w:rPr>
              <w:t xml:space="preserve">Vypracovanie dokumentu popisujúceho systém monitorovania a kontroly realizácie a napĺňania čiastkových  implementačných stratégií a ich revízie. Dokument bude okrem iného detailnejšie popisovať prácu monitorovacej komisie (monitorovacia komisia už bola zriadená podľa bodu 2 kapitoly č. 6 strategického rámca. Štatút monitorovacej komisie </w:t>
            </w:r>
            <w:r w:rsidR="009A7351" w:rsidRPr="00B763E3">
              <w:rPr>
                <w:rFonts w:asciiTheme="majorHAnsi" w:hAnsiTheme="majorHAnsi"/>
                <w:sz w:val="16"/>
                <w:szCs w:val="20"/>
              </w:rPr>
              <w:t>je</w:t>
            </w:r>
            <w:r w:rsidRPr="00B763E3">
              <w:rPr>
                <w:rFonts w:asciiTheme="majorHAnsi" w:hAnsiTheme="majorHAnsi"/>
                <w:sz w:val="16"/>
                <w:szCs w:val="20"/>
              </w:rPr>
              <w:t> verejne dostupný vo Vestníku MZ SR.) v oblasti monitorovania a kontroly.</w:t>
            </w:r>
          </w:p>
          <w:p w:rsidR="00EF6430" w:rsidRPr="00B763E3" w:rsidRDefault="00EF6430" w:rsidP="001D5BC5">
            <w:pPr>
              <w:pStyle w:val="Obyajntext"/>
              <w:spacing w:line="276" w:lineRule="auto"/>
              <w:jc w:val="both"/>
              <w:rPr>
                <w:rFonts w:asciiTheme="majorHAnsi" w:hAnsiTheme="majorHAnsi"/>
                <w:sz w:val="16"/>
                <w:szCs w:val="20"/>
              </w:rPr>
            </w:pPr>
          </w:p>
          <w:p w:rsidR="00EF6430" w:rsidRPr="00B763E3" w:rsidRDefault="00EF6430" w:rsidP="001D5BC5">
            <w:pPr>
              <w:spacing w:before="0" w:after="0"/>
              <w:rPr>
                <w:rFonts w:asciiTheme="majorHAnsi" w:hAnsiTheme="majorHAnsi"/>
                <w:sz w:val="16"/>
                <w:szCs w:val="20"/>
              </w:rPr>
            </w:pPr>
            <w:r w:rsidRPr="00B763E3">
              <w:rPr>
                <w:rFonts w:asciiTheme="majorHAnsi" w:hAnsiTheme="majorHAnsi"/>
                <w:sz w:val="16"/>
                <w:szCs w:val="20"/>
              </w:rPr>
              <w:t xml:space="preserve">Schválenie dokumentu popisujúceho systém monitorovania a kontroly realizácie a napĺňania čiastkových  implementačných stratégií a ich revízie zo strany monitorovacej komisie. Schválením sa systém monitorovania a kontroly stáva funkčným. </w:t>
            </w:r>
          </w:p>
          <w:p w:rsidR="003C2CF7" w:rsidRPr="00B763E3" w:rsidRDefault="003C2CF7" w:rsidP="001D5BC5">
            <w:pPr>
              <w:spacing w:before="0" w:after="0"/>
              <w:rPr>
                <w:rFonts w:asciiTheme="majorHAnsi" w:hAnsiTheme="majorHAnsi"/>
                <w:i/>
                <w:sz w:val="16"/>
                <w:szCs w:val="16"/>
              </w:rPr>
            </w:pPr>
            <w:r w:rsidRPr="00B763E3">
              <w:rPr>
                <w:rFonts w:asciiTheme="majorHAnsi" w:hAnsiTheme="majorHAnsi"/>
                <w:sz w:val="16"/>
                <w:szCs w:val="16"/>
              </w:rPr>
              <w:t>Za</w:t>
            </w:r>
            <w:r w:rsidR="00E61814">
              <w:rPr>
                <w:rFonts w:asciiTheme="majorHAnsi" w:hAnsiTheme="majorHAnsi"/>
                <w:sz w:val="16"/>
                <w:szCs w:val="16"/>
              </w:rPr>
              <w:t xml:space="preserve">slanie kompletnej dokumentácie </w:t>
            </w:r>
            <w:r w:rsidRPr="00B763E3">
              <w:rPr>
                <w:rFonts w:asciiTheme="majorHAnsi" w:hAnsiTheme="majorHAnsi"/>
                <w:sz w:val="16"/>
                <w:szCs w:val="16"/>
              </w:rPr>
              <w:t>na EK k posúdeniu splnenia všetkých náležitostí kritéria  ex ante kondicionality.</w:t>
            </w:r>
          </w:p>
        </w:tc>
        <w:tc>
          <w:tcPr>
            <w:tcW w:w="2781" w:type="dxa"/>
          </w:tcPr>
          <w:p w:rsidR="00EF6430" w:rsidRPr="00B05B51" w:rsidRDefault="00EF6430" w:rsidP="001D5BC5">
            <w:pPr>
              <w:spacing w:after="0"/>
              <w:rPr>
                <w:rFonts w:asciiTheme="majorHAnsi" w:eastAsia="Calibri" w:hAnsiTheme="majorHAnsi"/>
                <w:sz w:val="16"/>
                <w:szCs w:val="16"/>
                <w:lang w:eastAsia="cs-CZ"/>
              </w:rPr>
            </w:pPr>
            <w:r w:rsidRPr="00B05B51">
              <w:rPr>
                <w:rFonts w:asciiTheme="majorHAnsi" w:eastAsia="Calibri" w:hAnsiTheme="majorHAnsi"/>
                <w:sz w:val="16"/>
                <w:szCs w:val="16"/>
                <w:lang w:eastAsia="cs-CZ"/>
              </w:rPr>
              <w:lastRenderedPageBreak/>
              <w:t>Do 30. 06. 2014</w:t>
            </w:r>
          </w:p>
          <w:p w:rsidR="00EF6430" w:rsidRPr="00B05B51" w:rsidRDefault="00EF6430" w:rsidP="001D5BC5">
            <w:pPr>
              <w:spacing w:after="0"/>
              <w:rPr>
                <w:rFonts w:asciiTheme="majorHAnsi" w:eastAsia="Calibri" w:hAnsiTheme="majorHAnsi"/>
                <w:sz w:val="16"/>
                <w:szCs w:val="16"/>
                <w:lang w:eastAsia="cs-CZ"/>
              </w:rPr>
            </w:pPr>
          </w:p>
          <w:p w:rsidR="00EF6430" w:rsidRPr="00B05B51" w:rsidRDefault="00EF6430" w:rsidP="001D5BC5">
            <w:pPr>
              <w:rPr>
                <w:rFonts w:asciiTheme="majorHAnsi" w:eastAsia="Calibri" w:hAnsiTheme="majorHAnsi"/>
                <w:sz w:val="16"/>
                <w:szCs w:val="16"/>
                <w:lang w:eastAsia="cs-CZ"/>
              </w:rPr>
            </w:pPr>
          </w:p>
          <w:p w:rsidR="00EF6430" w:rsidRPr="00B05B51" w:rsidRDefault="00EF6430" w:rsidP="001D5BC5">
            <w:pPr>
              <w:rPr>
                <w:rFonts w:asciiTheme="majorHAnsi" w:eastAsia="Calibri" w:hAnsiTheme="majorHAnsi"/>
                <w:sz w:val="16"/>
                <w:szCs w:val="16"/>
                <w:lang w:eastAsia="cs-CZ"/>
              </w:rPr>
            </w:pPr>
          </w:p>
          <w:p w:rsidR="00EF6430" w:rsidRPr="00B05B51" w:rsidRDefault="00EF6430" w:rsidP="001D5BC5">
            <w:pPr>
              <w:rPr>
                <w:rFonts w:asciiTheme="majorHAnsi" w:eastAsia="Calibri" w:hAnsiTheme="majorHAnsi"/>
                <w:sz w:val="16"/>
                <w:szCs w:val="16"/>
                <w:lang w:eastAsia="cs-CZ"/>
              </w:rPr>
            </w:pPr>
          </w:p>
          <w:p w:rsidR="00EF6430" w:rsidRPr="00B05B51" w:rsidRDefault="00EF6430" w:rsidP="001D5BC5">
            <w:pPr>
              <w:spacing w:after="0"/>
              <w:rPr>
                <w:rFonts w:asciiTheme="majorHAnsi" w:eastAsia="Calibri" w:hAnsiTheme="majorHAnsi"/>
                <w:sz w:val="16"/>
                <w:szCs w:val="16"/>
                <w:lang w:eastAsia="cs-CZ"/>
              </w:rPr>
            </w:pPr>
          </w:p>
          <w:p w:rsidR="00EF6430" w:rsidRPr="00B05B51" w:rsidRDefault="00EF6430" w:rsidP="001D5BC5">
            <w:pPr>
              <w:spacing w:after="0"/>
              <w:rPr>
                <w:rFonts w:asciiTheme="majorHAnsi" w:eastAsia="Calibri" w:hAnsiTheme="majorHAnsi"/>
                <w:sz w:val="16"/>
                <w:szCs w:val="16"/>
                <w:lang w:eastAsia="cs-CZ"/>
              </w:rPr>
            </w:pPr>
          </w:p>
          <w:p w:rsidR="00EF6430" w:rsidRPr="00B05B51" w:rsidRDefault="00EF6430" w:rsidP="001D5BC5">
            <w:pPr>
              <w:spacing w:after="0"/>
              <w:rPr>
                <w:rFonts w:asciiTheme="majorHAnsi" w:eastAsia="Calibri" w:hAnsiTheme="majorHAnsi"/>
                <w:sz w:val="16"/>
                <w:szCs w:val="16"/>
                <w:lang w:eastAsia="cs-CZ"/>
              </w:rPr>
            </w:pPr>
            <w:r w:rsidRPr="00B05B51">
              <w:rPr>
                <w:rFonts w:asciiTheme="majorHAnsi" w:eastAsia="Calibri" w:hAnsiTheme="majorHAnsi"/>
                <w:sz w:val="16"/>
                <w:szCs w:val="16"/>
                <w:lang w:eastAsia="cs-CZ"/>
              </w:rPr>
              <w:t>Do 31. 7. 2014</w:t>
            </w:r>
          </w:p>
          <w:p w:rsidR="00EF6430" w:rsidRPr="00B05B51" w:rsidRDefault="00EF6430" w:rsidP="001D5BC5">
            <w:pPr>
              <w:spacing w:after="0"/>
              <w:rPr>
                <w:rFonts w:asciiTheme="majorHAnsi" w:eastAsia="Calibri" w:hAnsiTheme="majorHAnsi"/>
                <w:sz w:val="16"/>
                <w:szCs w:val="16"/>
                <w:lang w:eastAsia="cs-CZ"/>
              </w:rPr>
            </w:pPr>
          </w:p>
          <w:p w:rsidR="00EF6430" w:rsidRPr="00B05B51" w:rsidRDefault="00EF6430" w:rsidP="001D5BC5">
            <w:pPr>
              <w:spacing w:after="0"/>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31.</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7.</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E16CCC" w:rsidRPr="00B05B51" w:rsidRDefault="00E16CCC" w:rsidP="001D5BC5">
            <w:pPr>
              <w:spacing w:before="0" w:line="276" w:lineRule="auto"/>
              <w:rPr>
                <w:rFonts w:asciiTheme="majorHAnsi" w:eastAsia="Calibri" w:hAnsiTheme="majorHAnsi"/>
                <w:sz w:val="16"/>
                <w:szCs w:val="16"/>
                <w:lang w:eastAsia="cs-CZ"/>
              </w:rPr>
            </w:pPr>
          </w:p>
          <w:p w:rsidR="00E16CCC" w:rsidRPr="00B05B51" w:rsidRDefault="00E16CCC" w:rsidP="001D5BC5">
            <w:pPr>
              <w:spacing w:before="0" w:line="276" w:lineRule="auto"/>
              <w:rPr>
                <w:rFonts w:asciiTheme="majorHAnsi" w:eastAsia="Calibri" w:hAnsiTheme="majorHAnsi"/>
                <w:sz w:val="16"/>
                <w:szCs w:val="16"/>
                <w:lang w:eastAsia="cs-CZ"/>
              </w:rPr>
            </w:pPr>
            <w:r w:rsidRPr="00B763E3">
              <w:rPr>
                <w:rFonts w:asciiTheme="majorHAnsi" w:hAnsiTheme="majorHAnsi"/>
                <w:sz w:val="16"/>
                <w:szCs w:val="16"/>
              </w:rPr>
              <w:t>Do 31. 8. 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763E3" w:rsidRDefault="00EF6430" w:rsidP="001D5BC5">
            <w:pPr>
              <w:spacing w:line="276" w:lineRule="auto"/>
              <w:rPr>
                <w:rFonts w:asciiTheme="majorHAnsi" w:hAnsiTheme="majorHAnsi"/>
                <w:sz w:val="16"/>
                <w:szCs w:val="20"/>
              </w:rPr>
            </w:pPr>
          </w:p>
          <w:p w:rsidR="00EF6430" w:rsidRPr="00B763E3" w:rsidRDefault="00EF6430" w:rsidP="001D5BC5">
            <w:pPr>
              <w:spacing w:line="276" w:lineRule="auto"/>
              <w:rPr>
                <w:rFonts w:asciiTheme="majorHAnsi" w:hAnsiTheme="majorHAnsi"/>
                <w:color w:val="1F497D"/>
                <w:sz w:val="16"/>
                <w:szCs w:val="20"/>
              </w:rPr>
            </w:pPr>
            <w:r w:rsidRPr="00B763E3">
              <w:rPr>
                <w:rFonts w:asciiTheme="majorHAnsi" w:hAnsiTheme="majorHAnsi"/>
                <w:sz w:val="16"/>
                <w:szCs w:val="20"/>
              </w:rPr>
              <w:t>Do 30.</w:t>
            </w:r>
            <w:r w:rsidR="001D5BC5" w:rsidRPr="00B763E3">
              <w:rPr>
                <w:rFonts w:asciiTheme="majorHAnsi" w:hAnsiTheme="majorHAnsi"/>
                <w:sz w:val="16"/>
                <w:szCs w:val="20"/>
              </w:rPr>
              <w:t xml:space="preserve"> </w:t>
            </w:r>
            <w:r w:rsidRPr="00B763E3">
              <w:rPr>
                <w:rFonts w:asciiTheme="majorHAnsi" w:hAnsiTheme="majorHAnsi"/>
                <w:sz w:val="16"/>
                <w:szCs w:val="20"/>
              </w:rPr>
              <w:t>6.</w:t>
            </w:r>
            <w:r w:rsidR="001D5BC5" w:rsidRPr="00B763E3">
              <w:rPr>
                <w:rFonts w:asciiTheme="majorHAnsi" w:hAnsiTheme="majorHAnsi"/>
                <w:sz w:val="16"/>
                <w:szCs w:val="20"/>
              </w:rPr>
              <w:t xml:space="preserve"> </w:t>
            </w:r>
            <w:r w:rsidRPr="00B763E3">
              <w:rPr>
                <w:rFonts w:asciiTheme="majorHAnsi" w:hAnsiTheme="majorHAnsi"/>
                <w:sz w:val="16"/>
                <w:szCs w:val="20"/>
              </w:rPr>
              <w:t xml:space="preserve">2014 </w:t>
            </w:r>
          </w:p>
          <w:p w:rsidR="00EF6430" w:rsidRPr="00B763E3" w:rsidRDefault="00EF6430" w:rsidP="001D5BC5">
            <w:pPr>
              <w:spacing w:line="276" w:lineRule="auto"/>
              <w:rPr>
                <w:rFonts w:asciiTheme="majorHAnsi" w:hAnsiTheme="majorHAnsi"/>
                <w:color w:val="1F497D"/>
                <w:sz w:val="18"/>
                <w:szCs w:val="22"/>
              </w:rPr>
            </w:pPr>
          </w:p>
          <w:p w:rsidR="00EF6430" w:rsidRPr="00B763E3" w:rsidRDefault="00EF6430" w:rsidP="001D5BC5">
            <w:pPr>
              <w:spacing w:line="276" w:lineRule="auto"/>
              <w:rPr>
                <w:rFonts w:asciiTheme="majorHAnsi" w:hAnsiTheme="majorHAnsi"/>
                <w:color w:val="1F497D"/>
                <w:sz w:val="18"/>
              </w:rPr>
            </w:pPr>
          </w:p>
          <w:p w:rsidR="00EF6430" w:rsidRPr="00B763E3" w:rsidRDefault="00EF6430" w:rsidP="001D5BC5">
            <w:pPr>
              <w:spacing w:line="276" w:lineRule="auto"/>
              <w:rPr>
                <w:rFonts w:asciiTheme="majorHAnsi" w:hAnsiTheme="majorHAnsi"/>
                <w:color w:val="1F497D"/>
                <w:sz w:val="16"/>
                <w:szCs w:val="20"/>
              </w:rPr>
            </w:pPr>
          </w:p>
          <w:p w:rsidR="00EF6430" w:rsidRPr="00B763E3" w:rsidRDefault="00EF6430" w:rsidP="001D5BC5">
            <w:pPr>
              <w:spacing w:line="276" w:lineRule="auto"/>
              <w:rPr>
                <w:rFonts w:asciiTheme="majorHAnsi" w:hAnsiTheme="majorHAnsi"/>
                <w:sz w:val="16"/>
                <w:szCs w:val="20"/>
              </w:rPr>
            </w:pPr>
            <w:r w:rsidRPr="00B763E3">
              <w:rPr>
                <w:rFonts w:asciiTheme="majorHAnsi" w:hAnsiTheme="majorHAnsi"/>
                <w:sz w:val="16"/>
                <w:szCs w:val="20"/>
              </w:rPr>
              <w:t>Do 31.</w:t>
            </w:r>
            <w:r w:rsidR="001D5BC5" w:rsidRPr="00B763E3">
              <w:rPr>
                <w:rFonts w:asciiTheme="majorHAnsi" w:hAnsiTheme="majorHAnsi"/>
                <w:sz w:val="16"/>
                <w:szCs w:val="20"/>
              </w:rPr>
              <w:t xml:space="preserve"> </w:t>
            </w:r>
            <w:r w:rsidRPr="00B763E3">
              <w:rPr>
                <w:rFonts w:asciiTheme="majorHAnsi" w:hAnsiTheme="majorHAnsi"/>
                <w:sz w:val="16"/>
                <w:szCs w:val="20"/>
              </w:rPr>
              <w:t>7.</w:t>
            </w:r>
            <w:r w:rsidR="001D5BC5" w:rsidRPr="00B763E3">
              <w:rPr>
                <w:rFonts w:asciiTheme="majorHAnsi" w:hAnsiTheme="majorHAnsi"/>
                <w:sz w:val="16"/>
                <w:szCs w:val="20"/>
              </w:rPr>
              <w:t xml:space="preserve"> </w:t>
            </w:r>
            <w:r w:rsidRPr="00B763E3">
              <w:rPr>
                <w:rFonts w:asciiTheme="majorHAnsi" w:hAnsiTheme="majorHAnsi"/>
                <w:sz w:val="16"/>
                <w:szCs w:val="20"/>
              </w:rPr>
              <w:t>2014</w:t>
            </w:r>
          </w:p>
          <w:p w:rsidR="00EF6430" w:rsidRPr="00B763E3" w:rsidRDefault="00EF6430" w:rsidP="001D5BC5">
            <w:pPr>
              <w:spacing w:line="276" w:lineRule="auto"/>
              <w:rPr>
                <w:rFonts w:asciiTheme="majorHAnsi" w:hAnsiTheme="majorHAnsi"/>
                <w:sz w:val="16"/>
                <w:szCs w:val="20"/>
              </w:rPr>
            </w:pPr>
          </w:p>
          <w:p w:rsidR="006F1168" w:rsidRDefault="006F1168" w:rsidP="001D5BC5">
            <w:pPr>
              <w:spacing w:before="0" w:line="276" w:lineRule="auto"/>
              <w:rPr>
                <w:rFonts w:asciiTheme="majorHAnsi" w:hAnsiTheme="majorHAnsi"/>
                <w:sz w:val="16"/>
                <w:szCs w:val="20"/>
              </w:rPr>
            </w:pPr>
          </w:p>
          <w:p w:rsidR="00EF6430" w:rsidRPr="00B05B51" w:rsidRDefault="00EF6430" w:rsidP="001D5BC5">
            <w:pPr>
              <w:spacing w:before="0" w:line="276" w:lineRule="auto"/>
              <w:rPr>
                <w:rFonts w:asciiTheme="majorHAnsi" w:eastAsia="Calibri" w:hAnsiTheme="majorHAnsi"/>
                <w:sz w:val="16"/>
                <w:szCs w:val="16"/>
                <w:lang w:eastAsia="cs-CZ"/>
              </w:rPr>
            </w:pPr>
            <w:r w:rsidRPr="00B763E3">
              <w:rPr>
                <w:rFonts w:asciiTheme="majorHAnsi" w:hAnsiTheme="majorHAnsi"/>
                <w:sz w:val="16"/>
                <w:szCs w:val="20"/>
              </w:rPr>
              <w:t>Do 31.</w:t>
            </w:r>
            <w:r w:rsidR="001D5BC5" w:rsidRPr="00B763E3">
              <w:rPr>
                <w:rFonts w:asciiTheme="majorHAnsi" w:hAnsiTheme="majorHAnsi"/>
                <w:sz w:val="16"/>
                <w:szCs w:val="20"/>
              </w:rPr>
              <w:t xml:space="preserve"> </w:t>
            </w:r>
            <w:r w:rsidRPr="00B763E3">
              <w:rPr>
                <w:rFonts w:asciiTheme="majorHAnsi" w:hAnsiTheme="majorHAnsi"/>
                <w:sz w:val="16"/>
                <w:szCs w:val="20"/>
              </w:rPr>
              <w:t>7.</w:t>
            </w:r>
            <w:r w:rsidR="001D5BC5" w:rsidRPr="00B763E3">
              <w:rPr>
                <w:rFonts w:asciiTheme="majorHAnsi" w:hAnsiTheme="majorHAnsi"/>
                <w:sz w:val="16"/>
                <w:szCs w:val="20"/>
              </w:rPr>
              <w:t xml:space="preserve"> </w:t>
            </w:r>
            <w:r w:rsidRPr="00B763E3">
              <w:rPr>
                <w:rFonts w:asciiTheme="majorHAnsi" w:hAnsiTheme="majorHAnsi"/>
                <w:sz w:val="16"/>
                <w:szCs w:val="20"/>
              </w:rPr>
              <w:t>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1D5BC5" w:rsidRPr="00B05B51" w:rsidRDefault="001D5BC5"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30.</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6.</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31.</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8.</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6F1168" w:rsidRDefault="006F1168" w:rsidP="001D5BC5">
            <w:pPr>
              <w:spacing w:before="0" w:line="276" w:lineRule="auto"/>
              <w:rPr>
                <w:rFonts w:asciiTheme="majorHAnsi" w:eastAsia="Calibri" w:hAnsiTheme="majorHAnsi"/>
                <w:sz w:val="16"/>
                <w:szCs w:val="16"/>
                <w:lang w:eastAsia="cs-CZ"/>
              </w:rPr>
            </w:pPr>
          </w:p>
          <w:p w:rsidR="006F1168" w:rsidRDefault="006F1168"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31.</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10.</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EF6430" w:rsidRPr="00B05B51" w:rsidRDefault="00EF6430" w:rsidP="001D5BC5">
            <w:pPr>
              <w:spacing w:before="0" w:line="276" w:lineRule="auto"/>
              <w:rPr>
                <w:rFonts w:asciiTheme="majorHAnsi" w:eastAsia="Calibri" w:hAnsiTheme="majorHAnsi"/>
                <w:sz w:val="16"/>
                <w:szCs w:val="16"/>
                <w:lang w:eastAsia="cs-CZ"/>
              </w:rPr>
            </w:pPr>
          </w:p>
          <w:p w:rsidR="001D5BC5" w:rsidRPr="00B05B51" w:rsidRDefault="003C2CF7" w:rsidP="001D5BC5">
            <w:pPr>
              <w:spacing w:before="0" w:line="276" w:lineRule="auto"/>
              <w:rPr>
                <w:rFonts w:asciiTheme="majorHAnsi" w:eastAsia="Calibri" w:hAnsiTheme="majorHAnsi"/>
                <w:sz w:val="16"/>
                <w:szCs w:val="16"/>
                <w:lang w:eastAsia="cs-CZ"/>
              </w:rPr>
            </w:pPr>
            <w:r w:rsidRPr="00B763E3">
              <w:rPr>
                <w:rFonts w:asciiTheme="majorHAnsi" w:hAnsiTheme="majorHAnsi"/>
                <w:sz w:val="16"/>
                <w:szCs w:val="16"/>
              </w:rPr>
              <w:t>31. 10. 2014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30.</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6.</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 xml:space="preserve">2014 </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31.</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7.</w:t>
            </w:r>
            <w:r w:rsidR="001D5BC5"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31</w:t>
            </w:r>
            <w:r w:rsidR="009A7351"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.7.</w:t>
            </w:r>
            <w:r w:rsidR="009A7351"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31.</w:t>
            </w:r>
            <w:r w:rsidR="009A7351"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8.</w:t>
            </w:r>
            <w:r w:rsidR="009A7351"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p>
          <w:p w:rsidR="00EF6430" w:rsidRPr="00B05B51" w:rsidRDefault="00EF6430" w:rsidP="001D5BC5">
            <w:pPr>
              <w:spacing w:before="0" w:line="276" w:lineRule="auto"/>
              <w:rPr>
                <w:rFonts w:asciiTheme="majorHAnsi" w:eastAsia="Calibri" w:hAnsiTheme="majorHAnsi"/>
                <w:sz w:val="16"/>
                <w:szCs w:val="16"/>
                <w:lang w:eastAsia="cs-CZ"/>
              </w:rPr>
            </w:pPr>
            <w:r w:rsidRPr="00B05B51">
              <w:rPr>
                <w:rFonts w:asciiTheme="majorHAnsi" w:eastAsia="Calibri" w:hAnsiTheme="majorHAnsi"/>
                <w:sz w:val="16"/>
                <w:szCs w:val="16"/>
                <w:lang w:eastAsia="cs-CZ"/>
              </w:rPr>
              <w:t>Do 31.</w:t>
            </w:r>
            <w:r w:rsidR="009A7351"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10.</w:t>
            </w:r>
            <w:r w:rsidR="009A7351" w:rsidRPr="00B05B51">
              <w:rPr>
                <w:rFonts w:asciiTheme="majorHAnsi" w:eastAsia="Calibri" w:hAnsiTheme="majorHAnsi"/>
                <w:sz w:val="16"/>
                <w:szCs w:val="16"/>
                <w:lang w:eastAsia="cs-CZ"/>
              </w:rPr>
              <w:t xml:space="preserve"> </w:t>
            </w:r>
            <w:r w:rsidRPr="00B05B51">
              <w:rPr>
                <w:rFonts w:asciiTheme="majorHAnsi" w:eastAsia="Calibri" w:hAnsiTheme="majorHAnsi"/>
                <w:sz w:val="16"/>
                <w:szCs w:val="16"/>
                <w:lang w:eastAsia="cs-CZ"/>
              </w:rPr>
              <w:t>2014</w:t>
            </w:r>
          </w:p>
          <w:p w:rsidR="003C2CF7" w:rsidRPr="00B05B51" w:rsidRDefault="003C2CF7" w:rsidP="001D5BC5">
            <w:pPr>
              <w:spacing w:before="0" w:line="276" w:lineRule="auto"/>
              <w:rPr>
                <w:rFonts w:asciiTheme="majorHAnsi" w:eastAsia="Calibri" w:hAnsiTheme="majorHAnsi"/>
                <w:sz w:val="16"/>
                <w:szCs w:val="16"/>
                <w:lang w:eastAsia="cs-CZ"/>
              </w:rPr>
            </w:pPr>
          </w:p>
          <w:p w:rsidR="003C2CF7" w:rsidRPr="00B05B51" w:rsidRDefault="003C2CF7" w:rsidP="001D5BC5">
            <w:pPr>
              <w:spacing w:before="0" w:line="276" w:lineRule="auto"/>
              <w:rPr>
                <w:rFonts w:asciiTheme="majorHAnsi" w:eastAsia="Calibri" w:hAnsiTheme="majorHAnsi"/>
                <w:sz w:val="16"/>
                <w:szCs w:val="16"/>
                <w:lang w:eastAsia="cs-CZ"/>
              </w:rPr>
            </w:pPr>
          </w:p>
          <w:p w:rsidR="003C2CF7" w:rsidRPr="00B763E3" w:rsidRDefault="003C2CF7" w:rsidP="001D5BC5">
            <w:pPr>
              <w:spacing w:before="0" w:line="276" w:lineRule="auto"/>
              <w:rPr>
                <w:rFonts w:asciiTheme="majorHAnsi" w:hAnsiTheme="majorHAnsi"/>
                <w:sz w:val="16"/>
                <w:szCs w:val="16"/>
              </w:rPr>
            </w:pPr>
          </w:p>
          <w:p w:rsidR="003C2CF7" w:rsidRPr="00B763E3" w:rsidRDefault="00E61814" w:rsidP="001D5BC5">
            <w:pPr>
              <w:spacing w:before="0" w:line="276" w:lineRule="auto"/>
              <w:rPr>
                <w:rFonts w:asciiTheme="majorHAnsi" w:hAnsiTheme="majorHAnsi"/>
                <w:sz w:val="16"/>
                <w:szCs w:val="16"/>
              </w:rPr>
            </w:pPr>
            <w:r>
              <w:rPr>
                <w:rFonts w:asciiTheme="majorHAnsi" w:hAnsiTheme="majorHAnsi"/>
                <w:sz w:val="16"/>
                <w:szCs w:val="16"/>
              </w:rPr>
              <w:t xml:space="preserve">31. 10. </w:t>
            </w:r>
            <w:r w:rsidR="003C2CF7" w:rsidRPr="00B763E3">
              <w:rPr>
                <w:rFonts w:asciiTheme="majorHAnsi" w:hAnsiTheme="majorHAnsi"/>
                <w:sz w:val="16"/>
                <w:szCs w:val="16"/>
              </w:rPr>
              <w:t>2014</w:t>
            </w:r>
          </w:p>
        </w:tc>
        <w:tc>
          <w:tcPr>
            <w:tcW w:w="2384" w:type="dxa"/>
            <w:gridSpan w:val="2"/>
            <w:tcBorders>
              <w:right w:val="single" w:sz="12" w:space="0" w:color="auto"/>
            </w:tcBorders>
          </w:tcPr>
          <w:p w:rsidR="00EF6430" w:rsidRPr="00B763E3" w:rsidRDefault="00EF6430" w:rsidP="001D5BC5">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MZ SR</w:t>
            </w:r>
          </w:p>
        </w:tc>
      </w:tr>
      <w:tr w:rsidR="002F62D4" w:rsidRPr="00DF567A" w:rsidTr="00836B8C">
        <w:trPr>
          <w:trHeight w:val="1332"/>
        </w:trPr>
        <w:tc>
          <w:tcPr>
            <w:tcW w:w="1949" w:type="dxa"/>
            <w:tcBorders>
              <w:top w:val="single" w:sz="12" w:space="0" w:color="auto"/>
              <w:left w:val="single" w:sz="12" w:space="0" w:color="auto"/>
              <w:bottom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10.1.</w:t>
            </w:r>
            <w:r w:rsidRPr="00B763E3">
              <w:rPr>
                <w:rFonts w:asciiTheme="majorHAnsi" w:hAnsiTheme="majorHAnsi"/>
                <w:szCs w:val="22"/>
              </w:rPr>
              <w:t xml:space="preserve"> </w:t>
            </w:r>
            <w:r w:rsidRPr="00B763E3">
              <w:rPr>
                <w:rFonts w:asciiTheme="majorHAnsi" w:hAnsiTheme="majorHAnsi"/>
                <w:sz w:val="16"/>
                <w:szCs w:val="16"/>
              </w:rPr>
              <w:t xml:space="preserve">Predčasné ukončovanie školskej dochádzky: existencia strategického politického rámca na zníženie miery predčasného ukončenia školskej dochádzky v medziach článku 165 </w:t>
            </w:r>
            <w:r w:rsidRPr="00B763E3">
              <w:rPr>
                <w:rFonts w:asciiTheme="majorHAnsi" w:hAnsiTheme="majorHAnsi"/>
                <w:sz w:val="16"/>
                <w:szCs w:val="16"/>
              </w:rPr>
              <w:lastRenderedPageBreak/>
              <w:t>ZFEÚ.</w:t>
            </w:r>
          </w:p>
        </w:tc>
        <w:tc>
          <w:tcPr>
            <w:tcW w:w="2100" w:type="dxa"/>
            <w:gridSpan w:val="2"/>
            <w:tcBorders>
              <w:top w:val="single" w:sz="12" w:space="0" w:color="auto"/>
              <w:bottom w:val="single" w:sz="12" w:space="0" w:color="auto"/>
            </w:tcBorders>
          </w:tcPr>
          <w:p w:rsidR="002F62D4" w:rsidRPr="00B763E3" w:rsidRDefault="002F62D4" w:rsidP="004E2D6C">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lastRenderedPageBreak/>
              <w:t xml:space="preserve">Zavedený je systém na zhromažďovanie a analýzu údajov a informácií o predčasnom ukončovaní školskej dochádzky na príslušných úrovniach, ktorý: </w:t>
            </w:r>
          </w:p>
          <w:p w:rsidR="002F62D4" w:rsidRPr="00B763E3" w:rsidRDefault="002F62D4" w:rsidP="004E2D6C">
            <w:pPr>
              <w:tabs>
                <w:tab w:val="left" w:pos="3"/>
                <w:tab w:val="num" w:pos="2580"/>
              </w:tabs>
              <w:spacing w:before="0"/>
              <w:rPr>
                <w:rFonts w:asciiTheme="majorHAnsi" w:hAnsiTheme="majorHAnsi"/>
                <w:sz w:val="16"/>
                <w:szCs w:val="16"/>
                <w:lang w:eastAsia="sk-SK"/>
              </w:rPr>
            </w:pPr>
            <w:r w:rsidRPr="00B763E3">
              <w:rPr>
                <w:rFonts w:asciiTheme="majorHAnsi" w:hAnsiTheme="majorHAnsi"/>
                <w:sz w:val="16"/>
                <w:szCs w:val="16"/>
                <w:lang w:eastAsia="sk-SK"/>
              </w:rPr>
              <w:t xml:space="preserve">- poskytuje dostatok dôkazov, na základe ktorých sa dajú stanoviť cielené </w:t>
            </w:r>
            <w:r w:rsidRPr="00B763E3">
              <w:rPr>
                <w:rFonts w:asciiTheme="majorHAnsi" w:hAnsiTheme="majorHAnsi"/>
                <w:sz w:val="16"/>
                <w:szCs w:val="16"/>
                <w:lang w:eastAsia="sk-SK"/>
              </w:rPr>
              <w:lastRenderedPageBreak/>
              <w:t>politiky, a sleduje vývoj.</w:t>
            </w:r>
          </w:p>
        </w:tc>
        <w:tc>
          <w:tcPr>
            <w:tcW w:w="4853" w:type="dxa"/>
            <w:gridSpan w:val="2"/>
            <w:tcBorders>
              <w:top w:val="single" w:sz="12" w:space="0" w:color="auto"/>
              <w:bottom w:val="single" w:sz="12" w:space="0" w:color="auto"/>
            </w:tcBorders>
            <w:vAlign w:val="center"/>
          </w:tcPr>
          <w:p w:rsidR="002F62D4" w:rsidRPr="006F1168" w:rsidRDefault="002F62D4"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lastRenderedPageBreak/>
              <w:t>Spustenie Rezortného informačného systému (RzIS)</w:t>
            </w:r>
          </w:p>
          <w:p w:rsidR="00D32942" w:rsidRPr="00B763E3" w:rsidRDefault="00D32942" w:rsidP="00BA185A">
            <w:pPr>
              <w:spacing w:before="0"/>
              <w:rPr>
                <w:rFonts w:asciiTheme="majorHAnsi" w:hAnsiTheme="majorHAnsi"/>
                <w:sz w:val="16"/>
                <w:szCs w:val="16"/>
                <w:lang w:eastAsia="cs-CZ"/>
              </w:rPr>
            </w:pPr>
            <w:r w:rsidRPr="00B763E3">
              <w:rPr>
                <w:rFonts w:asciiTheme="majorHAnsi" w:hAnsiTheme="majorHAnsi"/>
                <w:sz w:val="16"/>
                <w:szCs w:val="16"/>
                <w:lang w:eastAsia="cs-CZ"/>
              </w:rPr>
              <w:t>Predpoklad plného prechodu systému RIS do prevádzky je koniec druhého kvartálu 2014, pričom je potrebné vykonať nasledovné aktivity:</w:t>
            </w:r>
          </w:p>
          <w:p w:rsidR="00D32942" w:rsidRPr="006F1168" w:rsidRDefault="00D32942" w:rsidP="009B7C77">
            <w:pPr>
              <w:pStyle w:val="Odsekzoznamu"/>
              <w:numPr>
                <w:ilvl w:val="0"/>
                <w:numId w:val="78"/>
              </w:numPr>
              <w:spacing w:before="0" w:after="0"/>
              <w:ind w:left="238" w:hanging="238"/>
              <w:rPr>
                <w:rFonts w:asciiTheme="majorHAnsi" w:hAnsiTheme="majorHAnsi"/>
                <w:sz w:val="16"/>
                <w:szCs w:val="16"/>
                <w:lang w:eastAsia="cs-CZ"/>
              </w:rPr>
            </w:pPr>
            <w:r w:rsidRPr="006F1168">
              <w:rPr>
                <w:rFonts w:asciiTheme="majorHAnsi" w:hAnsiTheme="majorHAnsi"/>
                <w:sz w:val="16"/>
                <w:szCs w:val="16"/>
                <w:lang w:eastAsia="cs-CZ"/>
              </w:rPr>
              <w:t>zber údajov kvalifikovanosti pedagogických zamestnancov;</w:t>
            </w:r>
          </w:p>
          <w:p w:rsidR="00D32942" w:rsidRPr="006F1168" w:rsidRDefault="00D32942" w:rsidP="009B7C77">
            <w:pPr>
              <w:pStyle w:val="Odsekzoznamu"/>
              <w:numPr>
                <w:ilvl w:val="0"/>
                <w:numId w:val="78"/>
              </w:numPr>
              <w:spacing w:before="0" w:after="0"/>
              <w:ind w:left="238" w:hanging="238"/>
              <w:rPr>
                <w:rFonts w:asciiTheme="majorHAnsi" w:hAnsiTheme="majorHAnsi"/>
                <w:sz w:val="16"/>
                <w:szCs w:val="16"/>
                <w:lang w:eastAsia="cs-CZ"/>
              </w:rPr>
            </w:pPr>
            <w:r w:rsidRPr="006F1168">
              <w:rPr>
                <w:rFonts w:asciiTheme="majorHAnsi" w:hAnsiTheme="majorHAnsi"/>
                <w:sz w:val="16"/>
                <w:szCs w:val="16"/>
                <w:lang w:eastAsia="cs-CZ"/>
              </w:rPr>
              <w:t xml:space="preserve">aktualizácia registrov škôl a školských zariadení; </w:t>
            </w:r>
          </w:p>
          <w:p w:rsidR="00D32942" w:rsidRPr="006F1168" w:rsidRDefault="00D32942" w:rsidP="009B7C77">
            <w:pPr>
              <w:pStyle w:val="Odsekzoznamu"/>
              <w:numPr>
                <w:ilvl w:val="0"/>
                <w:numId w:val="78"/>
              </w:numPr>
              <w:spacing w:before="0" w:after="0"/>
              <w:ind w:left="238" w:hanging="238"/>
              <w:rPr>
                <w:rFonts w:asciiTheme="majorHAnsi" w:hAnsiTheme="majorHAnsi"/>
                <w:sz w:val="16"/>
                <w:szCs w:val="16"/>
                <w:lang w:eastAsia="cs-CZ"/>
              </w:rPr>
            </w:pPr>
            <w:r w:rsidRPr="006F1168">
              <w:rPr>
                <w:rFonts w:asciiTheme="majorHAnsi" w:hAnsiTheme="majorHAnsi"/>
                <w:sz w:val="16"/>
                <w:szCs w:val="16"/>
                <w:lang w:eastAsia="cs-CZ"/>
              </w:rPr>
              <w:t>aktualizácia kontaktov pedagogických zamestnancov a žiakov základných a stredných škôl;</w:t>
            </w:r>
          </w:p>
          <w:p w:rsidR="00D32942" w:rsidRPr="006F1168" w:rsidRDefault="00D32942" w:rsidP="009B7C77">
            <w:pPr>
              <w:pStyle w:val="Odsekzoznamu"/>
              <w:numPr>
                <w:ilvl w:val="0"/>
                <w:numId w:val="78"/>
              </w:numPr>
              <w:spacing w:before="0" w:after="0"/>
              <w:ind w:left="238" w:hanging="238"/>
              <w:rPr>
                <w:rFonts w:asciiTheme="majorHAnsi" w:hAnsiTheme="majorHAnsi"/>
                <w:sz w:val="16"/>
                <w:szCs w:val="16"/>
                <w:lang w:eastAsia="cs-CZ"/>
              </w:rPr>
            </w:pPr>
            <w:r w:rsidRPr="006F1168">
              <w:rPr>
                <w:rFonts w:asciiTheme="majorHAnsi" w:hAnsiTheme="majorHAnsi"/>
                <w:sz w:val="16"/>
                <w:szCs w:val="16"/>
                <w:lang w:eastAsia="cs-CZ"/>
              </w:rPr>
              <w:t>aktualizácia základných číselníkov;</w:t>
            </w:r>
          </w:p>
          <w:p w:rsidR="002F62D4" w:rsidRPr="006F1168" w:rsidRDefault="00D32942" w:rsidP="009B7C77">
            <w:pPr>
              <w:pStyle w:val="Odsekzoznamu"/>
              <w:numPr>
                <w:ilvl w:val="0"/>
                <w:numId w:val="78"/>
              </w:numPr>
              <w:spacing w:before="0" w:after="0"/>
              <w:ind w:left="238" w:hanging="238"/>
              <w:rPr>
                <w:rFonts w:asciiTheme="majorHAnsi" w:hAnsiTheme="majorHAnsi"/>
                <w:sz w:val="16"/>
                <w:szCs w:val="16"/>
                <w:lang w:eastAsia="cs-CZ"/>
              </w:rPr>
            </w:pPr>
            <w:r w:rsidRPr="006F1168">
              <w:rPr>
                <w:rFonts w:asciiTheme="majorHAnsi" w:hAnsiTheme="majorHAnsi"/>
                <w:sz w:val="16"/>
                <w:szCs w:val="16"/>
                <w:lang w:eastAsia="cs-CZ"/>
              </w:rPr>
              <w:lastRenderedPageBreak/>
              <w:t>aktualizáciu registra nepedagogických zamestnancov škôl a školských zariadení.</w:t>
            </w:r>
          </w:p>
        </w:tc>
        <w:tc>
          <w:tcPr>
            <w:tcW w:w="2862" w:type="dxa"/>
            <w:gridSpan w:val="3"/>
            <w:tcBorders>
              <w:top w:val="single" w:sz="12" w:space="0" w:color="auto"/>
              <w:bottom w:val="single" w:sz="12" w:space="0" w:color="auto"/>
            </w:tcBorders>
            <w:vAlign w:val="center"/>
          </w:tcPr>
          <w:p w:rsidR="002F62D4" w:rsidRPr="00B763E3" w:rsidRDefault="00D32942"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 xml:space="preserve">30. 6. </w:t>
            </w:r>
            <w:r w:rsidR="002F62D4" w:rsidRPr="00B763E3">
              <w:rPr>
                <w:rFonts w:asciiTheme="majorHAnsi" w:hAnsiTheme="majorHAnsi"/>
                <w:sz w:val="16"/>
                <w:szCs w:val="16"/>
                <w:lang w:eastAsia="cs-CZ"/>
              </w:rPr>
              <w:t>2014</w:t>
            </w: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tc>
        <w:tc>
          <w:tcPr>
            <w:tcW w:w="2346" w:type="dxa"/>
            <w:tcBorders>
              <w:top w:val="single" w:sz="12" w:space="0" w:color="auto"/>
              <w:bottom w:val="single" w:sz="12" w:space="0" w:color="auto"/>
              <w:righ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tc>
      </w:tr>
      <w:tr w:rsidR="002F62D4" w:rsidRPr="00DF567A" w:rsidTr="00CC23CF">
        <w:trPr>
          <w:trHeight w:val="602"/>
        </w:trPr>
        <w:tc>
          <w:tcPr>
            <w:tcW w:w="1949" w:type="dxa"/>
            <w:vMerge w:val="restart"/>
            <w:tcBorders>
              <w:top w:val="single" w:sz="12" w:space="0" w:color="auto"/>
              <w:lef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rPr>
              <w:lastRenderedPageBreak/>
              <w:t>10.2. Vyššie vzdelávanie: existencia národného alebo regionálneho strategického politického rámca na zvýšenie dosahovania terciárneho vzdelávania a zvýšenie jeho kvality a účinnosti v medziach článku 165 ZFEÚ.</w:t>
            </w:r>
          </w:p>
        </w:tc>
        <w:tc>
          <w:tcPr>
            <w:tcW w:w="2100" w:type="dxa"/>
            <w:gridSpan w:val="2"/>
            <w:tcBorders>
              <w:top w:val="single" w:sz="12" w:space="0" w:color="auto"/>
            </w:tcBorders>
          </w:tcPr>
          <w:p w:rsidR="002F62D4" w:rsidRPr="00B763E3" w:rsidRDefault="002F62D4" w:rsidP="004E2D6C">
            <w:pPr>
              <w:autoSpaceDE w:val="0"/>
              <w:autoSpaceDN w:val="0"/>
              <w:adjustRightInd w:val="0"/>
              <w:spacing w:before="0"/>
              <w:rPr>
                <w:rFonts w:asciiTheme="majorHAnsi" w:hAnsiTheme="majorHAnsi"/>
                <w:sz w:val="16"/>
                <w:szCs w:val="16"/>
                <w:lang w:eastAsia="sk-SK"/>
              </w:rPr>
            </w:pPr>
            <w:r w:rsidRPr="00B763E3">
              <w:rPr>
                <w:rFonts w:asciiTheme="majorHAnsi" w:hAnsiTheme="majorHAnsi"/>
                <w:sz w:val="16"/>
                <w:szCs w:val="16"/>
                <w:lang w:eastAsia="sk-SK"/>
              </w:rPr>
              <w:t xml:space="preserve">Je zavedený národný alebo regionálny strategický politický rámec pre terciárne vzdelávanie, ktorý obsahuje tieto prvky: </w:t>
            </w:r>
          </w:p>
          <w:p w:rsidR="002F62D4" w:rsidRPr="00B763E3" w:rsidRDefault="002F62D4" w:rsidP="004E2D6C">
            <w:pPr>
              <w:autoSpaceDE w:val="0"/>
              <w:autoSpaceDN w:val="0"/>
              <w:adjustRightInd w:val="0"/>
              <w:spacing w:before="0"/>
              <w:rPr>
                <w:rFonts w:asciiTheme="majorHAnsi" w:hAnsiTheme="majorHAnsi"/>
                <w:sz w:val="16"/>
                <w:szCs w:val="16"/>
                <w:lang w:eastAsia="sk-SK"/>
              </w:rPr>
            </w:pPr>
            <w:r w:rsidRPr="00B763E3">
              <w:rPr>
                <w:rFonts w:asciiTheme="majorHAnsi" w:hAnsiTheme="majorHAnsi"/>
                <w:sz w:val="16"/>
                <w:szCs w:val="16"/>
                <w:lang w:eastAsia="sk-SK"/>
              </w:rPr>
              <w:t xml:space="preserve">- v prípade potreby opatrenia na zvýšenie účasti a výsledkov, ktoré: </w:t>
            </w:r>
          </w:p>
          <w:p w:rsidR="002F62D4" w:rsidRPr="00B763E3" w:rsidRDefault="002F62D4" w:rsidP="00BA185A">
            <w:pPr>
              <w:autoSpaceDE w:val="0"/>
              <w:autoSpaceDN w:val="0"/>
              <w:adjustRightInd w:val="0"/>
              <w:spacing w:before="0"/>
              <w:rPr>
                <w:rFonts w:asciiTheme="majorHAnsi" w:hAnsiTheme="majorHAnsi"/>
                <w:sz w:val="16"/>
                <w:szCs w:val="16"/>
                <w:highlight w:val="red"/>
                <w:lang w:eastAsia="sk-SK"/>
              </w:rPr>
            </w:pPr>
            <w:r w:rsidRPr="00B763E3">
              <w:rPr>
                <w:rFonts w:asciiTheme="majorHAnsi" w:hAnsiTheme="majorHAnsi"/>
                <w:sz w:val="16"/>
                <w:szCs w:val="16"/>
                <w:lang w:eastAsia="sk-SK"/>
              </w:rPr>
              <w:t xml:space="preserve">    - zvyšujú účasť na vysokoškolskom vzdelávaní u skupín s nižším príjmom a u ostatných nízko zastúpených skupín, s osobitným zreteľom na znevýhodnené skupiny vrátane marginalizovaných komunít.</w:t>
            </w:r>
          </w:p>
        </w:tc>
        <w:tc>
          <w:tcPr>
            <w:tcW w:w="4853" w:type="dxa"/>
            <w:gridSpan w:val="2"/>
            <w:tcBorders>
              <w:top w:val="single" w:sz="12" w:space="0" w:color="auto"/>
            </w:tcBorders>
          </w:tcPr>
          <w:p w:rsidR="002F62D4" w:rsidRPr="006F1168" w:rsidRDefault="002F62D4"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t xml:space="preserve">Národný strategický politický rámec pre oblasť vysokého školstva na roky 2014 - 2020 </w:t>
            </w:r>
          </w:p>
          <w:p w:rsidR="002F62D4" w:rsidRPr="00B763E3" w:rsidRDefault="002F62D4" w:rsidP="009B7C77">
            <w:pPr>
              <w:pStyle w:val="Odsekzoznamu"/>
              <w:numPr>
                <w:ilvl w:val="0"/>
                <w:numId w:val="61"/>
              </w:numPr>
              <w:tabs>
                <w:tab w:val="clear" w:pos="720"/>
                <w:tab w:val="num" w:pos="238"/>
              </w:tabs>
              <w:spacing w:before="0" w:line="276" w:lineRule="auto"/>
              <w:ind w:left="238" w:hanging="238"/>
              <w:rPr>
                <w:rFonts w:asciiTheme="majorHAnsi" w:hAnsiTheme="majorHAnsi"/>
                <w:sz w:val="16"/>
                <w:szCs w:val="16"/>
                <w:lang w:eastAsia="cs-CZ"/>
              </w:rPr>
            </w:pPr>
            <w:r w:rsidRPr="00B763E3">
              <w:rPr>
                <w:rFonts w:asciiTheme="majorHAnsi" w:hAnsiTheme="majorHAnsi"/>
                <w:sz w:val="16"/>
                <w:szCs w:val="16"/>
                <w:lang w:eastAsia="cs-CZ"/>
              </w:rPr>
              <w:t>Predloženie návrhu na verejnú diskusiu.</w:t>
            </w:r>
          </w:p>
          <w:p w:rsidR="002F62D4" w:rsidRPr="00B763E3" w:rsidRDefault="002F62D4" w:rsidP="008B2A4E">
            <w:pPr>
              <w:tabs>
                <w:tab w:val="num" w:pos="238"/>
              </w:tabs>
              <w:spacing w:before="0" w:line="276" w:lineRule="auto"/>
              <w:ind w:left="238" w:hanging="238"/>
              <w:rPr>
                <w:rFonts w:asciiTheme="majorHAnsi" w:hAnsiTheme="majorHAnsi"/>
                <w:sz w:val="16"/>
                <w:szCs w:val="16"/>
                <w:lang w:eastAsia="cs-CZ"/>
              </w:rPr>
            </w:pPr>
          </w:p>
          <w:p w:rsidR="002F62D4" w:rsidRPr="00B763E3" w:rsidRDefault="002F62D4" w:rsidP="008B2A4E">
            <w:pPr>
              <w:tabs>
                <w:tab w:val="num" w:pos="238"/>
              </w:tabs>
              <w:spacing w:before="0" w:line="276" w:lineRule="auto"/>
              <w:ind w:left="238" w:hanging="238"/>
              <w:rPr>
                <w:rFonts w:asciiTheme="majorHAnsi" w:hAnsiTheme="majorHAnsi"/>
                <w:sz w:val="16"/>
                <w:szCs w:val="16"/>
                <w:lang w:eastAsia="cs-CZ"/>
              </w:rPr>
            </w:pPr>
          </w:p>
          <w:p w:rsidR="002F62D4" w:rsidRPr="00B763E3" w:rsidRDefault="002F62D4" w:rsidP="009B7C77">
            <w:pPr>
              <w:pStyle w:val="Odsekzoznamu"/>
              <w:numPr>
                <w:ilvl w:val="0"/>
                <w:numId w:val="61"/>
              </w:numPr>
              <w:tabs>
                <w:tab w:val="clear" w:pos="720"/>
                <w:tab w:val="num" w:pos="238"/>
              </w:tabs>
              <w:spacing w:before="0" w:line="276" w:lineRule="auto"/>
              <w:ind w:left="238" w:hanging="238"/>
              <w:rPr>
                <w:rFonts w:asciiTheme="majorHAnsi" w:hAnsiTheme="majorHAnsi"/>
                <w:sz w:val="16"/>
                <w:szCs w:val="16"/>
                <w:lang w:eastAsia="cs-CZ"/>
              </w:rPr>
            </w:pPr>
            <w:r w:rsidRPr="00B763E3">
              <w:rPr>
                <w:rFonts w:asciiTheme="majorHAnsi" w:hAnsiTheme="majorHAnsi"/>
                <w:sz w:val="16"/>
                <w:szCs w:val="16"/>
                <w:lang w:eastAsia="cs-CZ"/>
              </w:rPr>
              <w:t>Predloženie návrhu na rokovanie vlády SR.</w:t>
            </w:r>
          </w:p>
          <w:p w:rsidR="002F62D4" w:rsidRPr="00B763E3" w:rsidRDefault="002F62D4" w:rsidP="004E2D6C">
            <w:pPr>
              <w:spacing w:before="0" w:line="276" w:lineRule="auto"/>
              <w:rPr>
                <w:rFonts w:asciiTheme="majorHAnsi" w:hAnsiTheme="majorHAnsi"/>
                <w:sz w:val="16"/>
                <w:szCs w:val="16"/>
                <w:lang w:eastAsia="cs-CZ"/>
              </w:rPr>
            </w:pPr>
          </w:p>
        </w:tc>
        <w:tc>
          <w:tcPr>
            <w:tcW w:w="2862" w:type="dxa"/>
            <w:gridSpan w:val="3"/>
            <w:tcBorders>
              <w:top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31.</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 xml:space="preserve">8. 2014  </w:t>
            </w: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b/>
                <w:sz w:val="16"/>
                <w:szCs w:val="16"/>
                <w:lang w:eastAsia="cs-CZ"/>
              </w:rPr>
            </w:pPr>
          </w:p>
          <w:p w:rsidR="002F62D4" w:rsidRPr="00B763E3" w:rsidRDefault="002F62D4" w:rsidP="005A3046">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31.</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 xml:space="preserve">12. 2014 </w:t>
            </w:r>
          </w:p>
        </w:tc>
        <w:tc>
          <w:tcPr>
            <w:tcW w:w="2346" w:type="dxa"/>
            <w:vMerge w:val="restart"/>
            <w:tcBorders>
              <w:top w:val="single" w:sz="12" w:space="0" w:color="auto"/>
              <w:righ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tc>
      </w:tr>
      <w:tr w:rsidR="002F62D4" w:rsidRPr="00DF567A" w:rsidTr="00CC23CF">
        <w:trPr>
          <w:trHeight w:val="527"/>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val="restart"/>
          </w:tcPr>
          <w:p w:rsidR="002F62D4" w:rsidRPr="009B7C77" w:rsidRDefault="002F62D4" w:rsidP="004E2D6C">
            <w:pPr>
              <w:autoSpaceDE w:val="0"/>
              <w:autoSpaceDN w:val="0"/>
              <w:adjustRightInd w:val="0"/>
              <w:spacing w:before="0"/>
              <w:rPr>
                <w:rFonts w:asciiTheme="majorHAnsi" w:hAnsiTheme="majorHAnsi" w:cs="EUAlbertina"/>
                <w:color w:val="000000"/>
                <w:sz w:val="24"/>
                <w:lang w:eastAsia="sk-SK"/>
              </w:rPr>
            </w:pPr>
            <w:r w:rsidRPr="009B7C77">
              <w:rPr>
                <w:rFonts w:asciiTheme="majorHAnsi" w:hAnsiTheme="majorHAnsi"/>
                <w:sz w:val="16"/>
                <w:szCs w:val="16"/>
                <w:lang w:eastAsia="sk-SK"/>
              </w:rPr>
              <w:t xml:space="preserve">    - </w:t>
            </w:r>
            <w:r w:rsidRPr="009B7C77">
              <w:rPr>
                <w:rFonts w:asciiTheme="majorHAnsi" w:hAnsiTheme="majorHAnsi"/>
                <w:color w:val="000000"/>
                <w:sz w:val="16"/>
                <w:szCs w:val="16"/>
                <w:lang w:eastAsia="sk-SK"/>
              </w:rPr>
              <w:t>podporia inovatívny obsah a tvorbu učebných osnov</w:t>
            </w:r>
            <w:r w:rsidRPr="009B7C77">
              <w:rPr>
                <w:rFonts w:asciiTheme="majorHAnsi" w:hAnsiTheme="majorHAnsi"/>
                <w:sz w:val="16"/>
                <w:szCs w:val="16"/>
                <w:lang w:eastAsia="sk-SK"/>
              </w:rPr>
              <w:t>.</w:t>
            </w:r>
          </w:p>
          <w:p w:rsidR="002F62D4" w:rsidRPr="009B7C77" w:rsidRDefault="002F62D4" w:rsidP="004E2D6C">
            <w:pPr>
              <w:autoSpaceDE w:val="0"/>
              <w:autoSpaceDN w:val="0"/>
              <w:adjustRightInd w:val="0"/>
              <w:spacing w:before="0"/>
              <w:rPr>
                <w:rFonts w:asciiTheme="majorHAnsi" w:hAnsiTheme="majorHAnsi"/>
                <w:sz w:val="16"/>
                <w:szCs w:val="16"/>
                <w:highlight w:val="red"/>
                <w:lang w:eastAsia="sk-SK"/>
              </w:rPr>
            </w:pPr>
          </w:p>
        </w:tc>
        <w:tc>
          <w:tcPr>
            <w:tcW w:w="4853" w:type="dxa"/>
            <w:gridSpan w:val="2"/>
          </w:tcPr>
          <w:p w:rsidR="002F62D4" w:rsidRPr="006F1168" w:rsidRDefault="002F62D4"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t xml:space="preserve">Národný strategický politický rámec pre oblasť vysokého školstva na roky 2014 - 2020 </w:t>
            </w:r>
          </w:p>
          <w:p w:rsidR="002F62D4" w:rsidRPr="008B2A4E" w:rsidRDefault="002F62D4" w:rsidP="00DE7098">
            <w:pPr>
              <w:spacing w:before="0" w:line="276" w:lineRule="auto"/>
              <w:rPr>
                <w:rFonts w:asciiTheme="majorHAnsi" w:hAnsiTheme="majorHAnsi"/>
                <w:sz w:val="16"/>
                <w:szCs w:val="16"/>
                <w:lang w:eastAsia="cs-CZ"/>
              </w:rPr>
            </w:pPr>
            <w:r w:rsidRPr="008B2A4E">
              <w:rPr>
                <w:rFonts w:asciiTheme="majorHAnsi" w:hAnsiTheme="majorHAnsi"/>
                <w:sz w:val="16"/>
                <w:szCs w:val="16"/>
                <w:lang w:eastAsia="cs-CZ"/>
              </w:rPr>
              <w:t>(</w:t>
            </w:r>
            <w:r w:rsidR="00DE7098" w:rsidRPr="008B2A4E">
              <w:rPr>
                <w:rFonts w:asciiTheme="majorHAnsi" w:hAnsiTheme="majorHAnsi"/>
                <w:sz w:val="16"/>
                <w:szCs w:val="16"/>
                <w:lang w:eastAsia="cs-CZ"/>
              </w:rPr>
              <w:t xml:space="preserve">pozri </w:t>
            </w:r>
            <w:r w:rsidRPr="008B2A4E">
              <w:rPr>
                <w:rFonts w:asciiTheme="majorHAnsi" w:hAnsiTheme="majorHAnsi"/>
                <w:sz w:val="16"/>
                <w:szCs w:val="16"/>
                <w:lang w:eastAsia="cs-CZ"/>
              </w:rPr>
              <w:t>vyššie)</w:t>
            </w:r>
          </w:p>
        </w:tc>
        <w:tc>
          <w:tcPr>
            <w:tcW w:w="2862" w:type="dxa"/>
            <w:gridSpan w:val="3"/>
          </w:tcPr>
          <w:p w:rsidR="002F62D4" w:rsidRPr="008B2A4E" w:rsidRDefault="002F62D4" w:rsidP="004E2D6C">
            <w:pPr>
              <w:spacing w:before="0" w:line="276" w:lineRule="auto"/>
              <w:rPr>
                <w:rFonts w:asciiTheme="majorHAnsi" w:hAnsiTheme="majorHAnsi"/>
                <w:sz w:val="16"/>
                <w:szCs w:val="16"/>
                <w:lang w:eastAsia="cs-CZ"/>
              </w:rPr>
            </w:pPr>
          </w:p>
        </w:tc>
        <w:tc>
          <w:tcPr>
            <w:tcW w:w="2346" w:type="dxa"/>
            <w:vMerge/>
            <w:tcBorders>
              <w:right w:val="single" w:sz="12" w:space="0" w:color="auto"/>
            </w:tcBorders>
          </w:tcPr>
          <w:p w:rsidR="002F62D4" w:rsidRPr="008B2A4E" w:rsidRDefault="002F62D4" w:rsidP="004E2D6C">
            <w:pPr>
              <w:spacing w:before="0" w:line="276" w:lineRule="auto"/>
              <w:rPr>
                <w:rFonts w:asciiTheme="majorHAnsi" w:hAnsiTheme="majorHAnsi"/>
                <w:sz w:val="16"/>
                <w:szCs w:val="16"/>
                <w:lang w:eastAsia="cs-CZ"/>
              </w:rPr>
            </w:pPr>
          </w:p>
        </w:tc>
      </w:tr>
      <w:tr w:rsidR="002F62D4" w:rsidRPr="00DF567A" w:rsidTr="00CC23CF">
        <w:trPr>
          <w:trHeight w:val="526"/>
        </w:trPr>
        <w:tc>
          <w:tcPr>
            <w:tcW w:w="1949" w:type="dxa"/>
            <w:vMerge/>
            <w:tcBorders>
              <w:left w:val="single" w:sz="12" w:space="0" w:color="auto"/>
              <w:bottom w:val="single" w:sz="12" w:space="0" w:color="auto"/>
            </w:tcBorders>
          </w:tcPr>
          <w:p w:rsidR="002F62D4" w:rsidRPr="009B7C77" w:rsidRDefault="002F62D4" w:rsidP="004E2D6C">
            <w:pPr>
              <w:spacing w:before="0" w:line="276" w:lineRule="auto"/>
              <w:rPr>
                <w:rFonts w:asciiTheme="majorHAnsi" w:hAnsiTheme="majorHAnsi"/>
                <w:sz w:val="16"/>
                <w:szCs w:val="16"/>
              </w:rPr>
            </w:pPr>
          </w:p>
        </w:tc>
        <w:tc>
          <w:tcPr>
            <w:tcW w:w="2100" w:type="dxa"/>
            <w:gridSpan w:val="2"/>
            <w:vMerge/>
            <w:tcBorders>
              <w:bottom w:val="single" w:sz="12" w:space="0" w:color="auto"/>
            </w:tcBorders>
          </w:tcPr>
          <w:p w:rsidR="002F62D4" w:rsidRPr="009B7C77" w:rsidRDefault="002F62D4" w:rsidP="004E2D6C">
            <w:pPr>
              <w:widowControl w:val="0"/>
              <w:autoSpaceDE w:val="0"/>
              <w:autoSpaceDN w:val="0"/>
              <w:adjustRightInd w:val="0"/>
              <w:spacing w:before="0"/>
              <w:rPr>
                <w:rFonts w:asciiTheme="majorHAnsi" w:hAnsiTheme="majorHAnsi"/>
                <w:sz w:val="16"/>
                <w:szCs w:val="16"/>
                <w:lang w:eastAsia="sk-SK"/>
              </w:rPr>
            </w:pPr>
          </w:p>
        </w:tc>
        <w:tc>
          <w:tcPr>
            <w:tcW w:w="4853" w:type="dxa"/>
            <w:gridSpan w:val="2"/>
            <w:tcBorders>
              <w:bottom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t xml:space="preserve">Projekt Vysoké školy ako motory rozvoja vedomostnej spoločnosti </w:t>
            </w:r>
            <w:hyperlink r:id="rId195" w:history="1">
              <w:r w:rsidR="00D32942" w:rsidRPr="00B05B51">
                <w:rPr>
                  <w:rStyle w:val="Hypertextovprepojenie"/>
                  <w:rFonts w:asciiTheme="majorHAnsi" w:hAnsiTheme="majorHAnsi"/>
                  <w:sz w:val="16"/>
                  <w:szCs w:val="16"/>
                </w:rPr>
                <w:t>http://www.vysokoskolacidopraxe.sk/</w:t>
              </w:r>
            </w:hyperlink>
            <w:r w:rsidRPr="00B763E3">
              <w:rPr>
                <w:rFonts w:asciiTheme="majorHAnsi" w:hAnsiTheme="majorHAnsi"/>
                <w:sz w:val="16"/>
                <w:szCs w:val="16"/>
                <w:lang w:eastAsia="cs-CZ"/>
              </w:rPr>
              <w:t xml:space="preserve"> </w:t>
            </w:r>
          </w:p>
          <w:p w:rsidR="002F62D4" w:rsidRPr="00B763E3" w:rsidRDefault="002F62D4" w:rsidP="004E2D6C">
            <w:pPr>
              <w:spacing w:before="0" w:line="276" w:lineRule="auto"/>
              <w:rPr>
                <w:rFonts w:asciiTheme="majorHAnsi" w:hAnsiTheme="majorHAnsi"/>
                <w:sz w:val="16"/>
                <w:szCs w:val="16"/>
                <w:lang w:eastAsia="cs-CZ"/>
              </w:rPr>
            </w:pPr>
          </w:p>
          <w:p w:rsidR="002F62D4" w:rsidRPr="006F1168" w:rsidRDefault="002F62D4" w:rsidP="009B7C77">
            <w:pPr>
              <w:pStyle w:val="Odsekzoznamu"/>
              <w:numPr>
                <w:ilvl w:val="0"/>
                <w:numId w:val="79"/>
              </w:numPr>
              <w:spacing w:before="0" w:line="276" w:lineRule="auto"/>
              <w:ind w:left="238" w:hanging="238"/>
              <w:rPr>
                <w:rFonts w:asciiTheme="majorHAnsi" w:hAnsiTheme="majorHAnsi"/>
                <w:sz w:val="16"/>
                <w:szCs w:val="16"/>
                <w:lang w:eastAsia="cs-CZ"/>
              </w:rPr>
            </w:pPr>
            <w:r w:rsidRPr="006F1168">
              <w:rPr>
                <w:rFonts w:asciiTheme="majorHAnsi" w:hAnsiTheme="majorHAnsi"/>
                <w:sz w:val="16"/>
                <w:szCs w:val="16"/>
                <w:lang w:eastAsia="cs-CZ"/>
              </w:rPr>
              <w:t xml:space="preserve">vybavenie a podpora vybraných perspektívnych študijných programov prostredníctvom vybavenia výučbových školiacich kontaktných centier praxe na vysokých školách študijnými pomôckami, učebnicami, licenciami na študijné pomôcky, SW nástrojmi modelovania procesov z praxe, </w:t>
            </w:r>
            <w:r w:rsidRPr="006F1168">
              <w:rPr>
                <w:rFonts w:asciiTheme="majorHAnsi" w:hAnsiTheme="majorHAnsi"/>
                <w:sz w:val="16"/>
                <w:szCs w:val="16"/>
                <w:lang w:eastAsia="cs-CZ"/>
              </w:rPr>
              <w:lastRenderedPageBreak/>
              <w:t>nosičmi/nástrojmi/licenciami s inovovaným digitálnym vzdelávacím obsahom,</w:t>
            </w:r>
          </w:p>
          <w:p w:rsidR="002F62D4" w:rsidRPr="00B763E3" w:rsidRDefault="002F62D4" w:rsidP="006F1168">
            <w:pPr>
              <w:spacing w:before="0" w:line="276" w:lineRule="auto"/>
              <w:ind w:left="238" w:hanging="238"/>
              <w:rPr>
                <w:rFonts w:asciiTheme="majorHAnsi" w:hAnsiTheme="majorHAnsi"/>
                <w:sz w:val="16"/>
                <w:szCs w:val="16"/>
                <w:lang w:eastAsia="cs-CZ"/>
              </w:rPr>
            </w:pPr>
          </w:p>
          <w:p w:rsidR="002F62D4" w:rsidRPr="006F1168" w:rsidRDefault="002F62D4" w:rsidP="009B7C77">
            <w:pPr>
              <w:pStyle w:val="Odsekzoznamu"/>
              <w:numPr>
                <w:ilvl w:val="0"/>
                <w:numId w:val="79"/>
              </w:numPr>
              <w:spacing w:before="0" w:line="276" w:lineRule="auto"/>
              <w:ind w:left="238" w:hanging="238"/>
              <w:rPr>
                <w:rFonts w:asciiTheme="majorHAnsi" w:hAnsiTheme="majorHAnsi"/>
                <w:i/>
                <w:sz w:val="16"/>
                <w:szCs w:val="16"/>
                <w:lang w:eastAsia="cs-CZ"/>
              </w:rPr>
            </w:pPr>
            <w:r w:rsidRPr="006F1168">
              <w:rPr>
                <w:rFonts w:asciiTheme="majorHAnsi" w:hAnsiTheme="majorHAnsi"/>
                <w:sz w:val="16"/>
                <w:szCs w:val="16"/>
                <w:lang w:eastAsia="cs-CZ"/>
              </w:rPr>
              <w:t>skvalitnenie vzdelávacieho obsahu a podpora inovatívnych foriem vzdelávania pre potreby trhu práce vo vybraných perspektívnych študijných odboroch</w:t>
            </w:r>
            <w:r w:rsidR="00DE7098" w:rsidRPr="006F1168">
              <w:rPr>
                <w:rFonts w:asciiTheme="majorHAnsi" w:hAnsiTheme="majorHAnsi"/>
                <w:sz w:val="16"/>
                <w:szCs w:val="16"/>
                <w:lang w:eastAsia="cs-CZ"/>
              </w:rPr>
              <w:t>.</w:t>
            </w:r>
          </w:p>
        </w:tc>
        <w:tc>
          <w:tcPr>
            <w:tcW w:w="2862" w:type="dxa"/>
            <w:gridSpan w:val="3"/>
            <w:tcBorders>
              <w:bottom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30.</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5.</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2013</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30.</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11.</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2015</w:t>
            </w:r>
          </w:p>
          <w:p w:rsidR="0057349A" w:rsidRPr="00B763E3" w:rsidRDefault="0057349A" w:rsidP="004E2D6C">
            <w:pPr>
              <w:spacing w:before="0" w:line="276" w:lineRule="auto"/>
              <w:rPr>
                <w:rFonts w:asciiTheme="majorHAnsi" w:hAnsiTheme="majorHAnsi"/>
                <w:sz w:val="16"/>
                <w:szCs w:val="16"/>
                <w:lang w:eastAsia="cs-CZ"/>
              </w:rPr>
            </w:pPr>
          </w:p>
          <w:p w:rsidR="0057349A" w:rsidRPr="00B763E3" w:rsidRDefault="0057349A"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31.</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12.</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2014</w:t>
            </w:r>
          </w:p>
          <w:p w:rsidR="002F62D4" w:rsidRPr="00B763E3" w:rsidRDefault="002F62D4"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p>
          <w:p w:rsidR="0057349A" w:rsidRPr="00B763E3" w:rsidRDefault="0057349A" w:rsidP="004E2D6C">
            <w:pPr>
              <w:spacing w:before="0" w:line="276" w:lineRule="auto"/>
              <w:rPr>
                <w:rFonts w:asciiTheme="majorHAnsi" w:hAnsiTheme="majorHAnsi"/>
                <w:sz w:val="16"/>
                <w:szCs w:val="16"/>
                <w:lang w:eastAsia="cs-CZ"/>
              </w:rPr>
            </w:pPr>
          </w:p>
          <w:p w:rsidR="0057349A" w:rsidRPr="00B763E3" w:rsidRDefault="0057349A" w:rsidP="004E2D6C">
            <w:pPr>
              <w:spacing w:before="0" w:line="276" w:lineRule="auto"/>
              <w:rPr>
                <w:rFonts w:asciiTheme="majorHAnsi" w:hAnsiTheme="majorHAnsi"/>
                <w:sz w:val="16"/>
                <w:szCs w:val="16"/>
                <w:lang w:eastAsia="cs-CZ"/>
              </w:rPr>
            </w:pPr>
          </w:p>
          <w:p w:rsidR="006F1168" w:rsidRDefault="006F1168" w:rsidP="004E2D6C">
            <w:pPr>
              <w:spacing w:before="0" w:line="276" w:lineRule="auto"/>
              <w:rPr>
                <w:rFonts w:asciiTheme="majorHAnsi" w:hAnsiTheme="majorHAnsi"/>
                <w:sz w:val="16"/>
                <w:szCs w:val="16"/>
                <w:lang w:eastAsia="cs-CZ"/>
              </w:rPr>
            </w:pPr>
          </w:p>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31.</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10.</w:t>
            </w:r>
            <w:r w:rsidR="00DE7098" w:rsidRPr="00B763E3">
              <w:rPr>
                <w:rFonts w:asciiTheme="majorHAnsi" w:hAnsiTheme="majorHAnsi"/>
                <w:sz w:val="16"/>
                <w:szCs w:val="16"/>
                <w:lang w:eastAsia="cs-CZ"/>
              </w:rPr>
              <w:t xml:space="preserve"> </w:t>
            </w:r>
            <w:r w:rsidRPr="00B763E3">
              <w:rPr>
                <w:rFonts w:asciiTheme="majorHAnsi" w:hAnsiTheme="majorHAnsi"/>
                <w:sz w:val="16"/>
                <w:szCs w:val="16"/>
                <w:lang w:eastAsia="cs-CZ"/>
              </w:rPr>
              <w:t>2015</w:t>
            </w:r>
          </w:p>
        </w:tc>
        <w:tc>
          <w:tcPr>
            <w:tcW w:w="2346" w:type="dxa"/>
            <w:tcBorders>
              <w:bottom w:val="single" w:sz="12" w:space="0" w:color="auto"/>
              <w:right w:val="single" w:sz="12" w:space="0" w:color="auto"/>
            </w:tcBorders>
          </w:tcPr>
          <w:p w:rsidR="002F62D4" w:rsidRPr="00B763E3" w:rsidRDefault="00D32942"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Centrum vedecko-technických informácií</w:t>
            </w:r>
          </w:p>
        </w:tc>
      </w:tr>
      <w:tr w:rsidR="001D2859" w:rsidRPr="00DF567A" w:rsidTr="00CC23CF">
        <w:trPr>
          <w:trHeight w:val="557"/>
        </w:trPr>
        <w:tc>
          <w:tcPr>
            <w:tcW w:w="1949" w:type="dxa"/>
            <w:vMerge w:val="restart"/>
            <w:tcBorders>
              <w:top w:val="single" w:sz="12" w:space="0" w:color="auto"/>
              <w:left w:val="single" w:sz="12" w:space="0" w:color="auto"/>
            </w:tcBorders>
          </w:tcPr>
          <w:p w:rsidR="001D2859" w:rsidRPr="00B763E3" w:rsidRDefault="001D2859" w:rsidP="004E2D6C">
            <w:pPr>
              <w:spacing w:before="0" w:line="276" w:lineRule="auto"/>
              <w:rPr>
                <w:rFonts w:asciiTheme="majorHAnsi" w:hAnsiTheme="majorHAnsi"/>
                <w:sz w:val="16"/>
                <w:szCs w:val="16"/>
              </w:rPr>
            </w:pPr>
            <w:r w:rsidRPr="00B763E3">
              <w:rPr>
                <w:rFonts w:asciiTheme="majorHAnsi" w:hAnsiTheme="majorHAnsi"/>
                <w:sz w:val="16"/>
                <w:szCs w:val="16"/>
              </w:rPr>
              <w:lastRenderedPageBreak/>
              <w:t>10.3. Celoživotné vzdelávanie: existencia národného a/alebo regionálneho strategického politického rámca pre celoživotné vzdelávanie v medziach článku 165 ZFEÚ.</w:t>
            </w:r>
          </w:p>
        </w:tc>
        <w:tc>
          <w:tcPr>
            <w:tcW w:w="2100" w:type="dxa"/>
            <w:gridSpan w:val="2"/>
            <w:tcBorders>
              <w:top w:val="single" w:sz="12" w:space="0" w:color="auto"/>
            </w:tcBorders>
          </w:tcPr>
          <w:p w:rsidR="001D2859" w:rsidRPr="00B763E3" w:rsidRDefault="001D2859" w:rsidP="004E2D6C">
            <w:pPr>
              <w:widowControl w:val="0"/>
              <w:autoSpaceDE w:val="0"/>
              <w:autoSpaceDN w:val="0"/>
              <w:adjustRightInd w:val="0"/>
              <w:spacing w:before="0"/>
              <w:rPr>
                <w:rFonts w:asciiTheme="majorHAnsi" w:hAnsiTheme="majorHAnsi"/>
                <w:sz w:val="16"/>
                <w:szCs w:val="16"/>
                <w:lang w:eastAsia="sk-SK"/>
              </w:rPr>
            </w:pPr>
            <w:r w:rsidRPr="00B763E3">
              <w:rPr>
                <w:rFonts w:asciiTheme="majorHAnsi" w:hAnsiTheme="majorHAnsi"/>
                <w:sz w:val="16"/>
                <w:szCs w:val="16"/>
                <w:lang w:eastAsia="sk-SK"/>
              </w:rPr>
              <w:t>Je zavedený národný alebo regionálny strategický politický rámec pre celoživotné vzdelávanie, ktorý zahŕňa opatrenia:</w:t>
            </w:r>
          </w:p>
          <w:p w:rsidR="001D2859" w:rsidRPr="00B763E3" w:rsidRDefault="001D2859" w:rsidP="009E6E57">
            <w:pPr>
              <w:widowControl w:val="0"/>
              <w:autoSpaceDE w:val="0"/>
              <w:autoSpaceDN w:val="0"/>
              <w:adjustRightInd w:val="0"/>
              <w:spacing w:before="0"/>
              <w:rPr>
                <w:rFonts w:asciiTheme="majorHAnsi" w:hAnsiTheme="majorHAnsi"/>
                <w:sz w:val="16"/>
                <w:szCs w:val="16"/>
                <w:lang w:eastAsia="sk-SK"/>
              </w:rPr>
            </w:pPr>
            <w:r w:rsidRPr="00B763E3">
              <w:rPr>
                <w:rFonts w:asciiTheme="majorHAnsi" w:hAnsiTheme="majorHAnsi"/>
                <w:sz w:val="16"/>
                <w:szCs w:val="16"/>
                <w:lang w:eastAsia="sk-SK"/>
              </w:rPr>
              <w:t>- na zabezpečovanie rozvoja zručností rôznych cieľových skupín, keď sú tieto skupiny určené ako priority v národnom alebo regionálnom strategickom politickom rámci (napríklad mladí ľudia zapojení do odbornej prípravy, dospelí, rodičia vracajúci sa na trh práce, nízkokvalifikovaní a starší pracovníci, migranti a ostatné znevýhodnené skupiny, najmä ľudia so zdravotným postihnutím)</w:t>
            </w:r>
          </w:p>
        </w:tc>
        <w:tc>
          <w:tcPr>
            <w:tcW w:w="4853" w:type="dxa"/>
            <w:gridSpan w:val="2"/>
            <w:vMerge w:val="restart"/>
            <w:tcBorders>
              <w:top w:val="single" w:sz="12" w:space="0" w:color="auto"/>
            </w:tcBorders>
          </w:tcPr>
          <w:p w:rsidR="006F1168" w:rsidRPr="006F1168" w:rsidRDefault="001D2859"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t>Zákon o uznávaní výsledkov neformálneho vzdelávania a neformálneho učenia sa</w:t>
            </w:r>
          </w:p>
          <w:p w:rsidR="001D2859" w:rsidRPr="006F1168" w:rsidRDefault="001D2859" w:rsidP="009B7C77">
            <w:pPr>
              <w:pStyle w:val="Odsekzoznamu"/>
              <w:numPr>
                <w:ilvl w:val="0"/>
                <w:numId w:val="80"/>
              </w:numPr>
              <w:spacing w:before="0" w:line="276" w:lineRule="auto"/>
              <w:ind w:left="238" w:hanging="238"/>
              <w:rPr>
                <w:rFonts w:asciiTheme="majorHAnsi" w:hAnsiTheme="majorHAnsi"/>
                <w:sz w:val="16"/>
                <w:szCs w:val="16"/>
                <w:lang w:eastAsia="cs-CZ"/>
              </w:rPr>
            </w:pPr>
            <w:r w:rsidRPr="006F1168">
              <w:rPr>
                <w:rFonts w:asciiTheme="majorHAnsi" w:hAnsiTheme="majorHAnsi"/>
                <w:sz w:val="16"/>
                <w:szCs w:val="16"/>
                <w:lang w:eastAsia="cs-CZ"/>
              </w:rPr>
              <w:t>(z dôvodu nutnosti finalizácie výstupov národného projektu ŠIOV Tvorba národnej sústavy kvalifikácií) predložiť návrh zákona o uznávaní výsledkov neformálneho vzdelávania a informálneho učenia sa do NR SR.</w:t>
            </w:r>
          </w:p>
          <w:p w:rsidR="006F1168"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Implementácia 2 kľúčových národných projektov:</w:t>
            </w:r>
          </w:p>
          <w:p w:rsidR="001D2859" w:rsidRPr="00B763E3" w:rsidRDefault="001D2859" w:rsidP="004E2D6C">
            <w:pPr>
              <w:spacing w:before="0" w:line="276" w:lineRule="auto"/>
              <w:rPr>
                <w:rFonts w:asciiTheme="majorHAnsi" w:hAnsiTheme="majorHAnsi"/>
                <w:sz w:val="16"/>
                <w:szCs w:val="16"/>
                <w:lang w:eastAsia="cs-CZ"/>
              </w:rPr>
            </w:pPr>
          </w:p>
          <w:p w:rsidR="001D2859" w:rsidRPr="006F1168" w:rsidRDefault="001D2859" w:rsidP="004E2D6C">
            <w:pPr>
              <w:spacing w:before="0" w:line="276" w:lineRule="auto"/>
              <w:rPr>
                <w:rFonts w:asciiTheme="majorHAnsi" w:hAnsiTheme="majorHAnsi"/>
                <w:sz w:val="16"/>
                <w:szCs w:val="16"/>
                <w:lang w:eastAsia="cs-CZ"/>
              </w:rPr>
            </w:pPr>
            <w:r w:rsidRPr="006F1168">
              <w:rPr>
                <w:rFonts w:asciiTheme="majorHAnsi" w:hAnsiTheme="majorHAnsi"/>
                <w:sz w:val="16"/>
                <w:szCs w:val="16"/>
                <w:lang w:eastAsia="cs-CZ"/>
              </w:rPr>
              <w:t>Tvorba Národnej sústavy kvalifikácií</w:t>
            </w:r>
          </w:p>
          <w:p w:rsidR="001D2859" w:rsidRPr="00B763E3" w:rsidRDefault="00ED6BC8" w:rsidP="004E2D6C">
            <w:pPr>
              <w:spacing w:before="0" w:line="276" w:lineRule="auto"/>
              <w:rPr>
                <w:rFonts w:asciiTheme="majorHAnsi" w:hAnsiTheme="majorHAnsi"/>
                <w:sz w:val="16"/>
                <w:szCs w:val="16"/>
                <w:lang w:eastAsia="cs-CZ"/>
              </w:rPr>
            </w:pPr>
            <w:hyperlink r:id="rId196" w:history="1">
              <w:r w:rsidR="001D2859" w:rsidRPr="00B763E3">
                <w:rPr>
                  <w:rFonts w:asciiTheme="majorHAnsi" w:hAnsiTheme="majorHAnsi"/>
                  <w:color w:val="0000FF"/>
                  <w:sz w:val="16"/>
                  <w:szCs w:val="16"/>
                  <w:u w:val="single"/>
                  <w:lang w:eastAsia="cs-CZ"/>
                </w:rPr>
                <w:t>http://www.tvorbansk.sk/</w:t>
              </w:r>
            </w:hyperlink>
            <w:r w:rsidR="001D2859" w:rsidRPr="00B763E3">
              <w:rPr>
                <w:rFonts w:asciiTheme="majorHAnsi" w:hAnsiTheme="majorHAnsi"/>
                <w:sz w:val="16"/>
                <w:szCs w:val="16"/>
                <w:lang w:eastAsia="cs-CZ"/>
              </w:rPr>
              <w:t xml:space="preserve"> </w:t>
            </w:r>
          </w:p>
          <w:p w:rsidR="006F1168" w:rsidRPr="006F1168" w:rsidRDefault="001D2859" w:rsidP="009B7C77">
            <w:pPr>
              <w:pStyle w:val="Odsekzoznamu"/>
              <w:numPr>
                <w:ilvl w:val="0"/>
                <w:numId w:val="81"/>
              </w:numPr>
              <w:ind w:left="238" w:hanging="238"/>
              <w:rPr>
                <w:lang w:eastAsia="cs-CZ"/>
              </w:rPr>
            </w:pPr>
            <w:r w:rsidRPr="006F1168">
              <w:rPr>
                <w:rFonts w:asciiTheme="majorHAnsi" w:hAnsiTheme="majorHAnsi"/>
                <w:sz w:val="16"/>
                <w:szCs w:val="16"/>
                <w:lang w:eastAsia="cs-CZ"/>
              </w:rPr>
              <w:t>tvorba a vytvorenie informačného systému Národného kvalifikačného rámca a Národnej sústavy kvalifikácií,</w:t>
            </w:r>
          </w:p>
          <w:p w:rsidR="006F1168" w:rsidRPr="00B763E3" w:rsidRDefault="006F1168" w:rsidP="006F1168">
            <w:pPr>
              <w:pStyle w:val="Odsekzoznamu"/>
              <w:ind w:left="238"/>
              <w:rPr>
                <w:lang w:eastAsia="cs-CZ"/>
              </w:rPr>
            </w:pPr>
          </w:p>
          <w:p w:rsidR="001D2859" w:rsidRPr="006F1168" w:rsidRDefault="001D2859" w:rsidP="009B7C77">
            <w:pPr>
              <w:pStyle w:val="Odsekzoznamu"/>
              <w:numPr>
                <w:ilvl w:val="0"/>
                <w:numId w:val="81"/>
              </w:numPr>
              <w:spacing w:before="0" w:line="276" w:lineRule="auto"/>
              <w:ind w:left="238" w:hanging="238"/>
              <w:rPr>
                <w:rFonts w:asciiTheme="majorHAnsi" w:hAnsiTheme="majorHAnsi"/>
                <w:sz w:val="16"/>
                <w:szCs w:val="16"/>
                <w:lang w:eastAsia="cs-CZ"/>
              </w:rPr>
            </w:pPr>
            <w:r w:rsidRPr="006F1168">
              <w:rPr>
                <w:rFonts w:asciiTheme="majorHAnsi" w:hAnsiTheme="majorHAnsi"/>
                <w:sz w:val="16"/>
                <w:szCs w:val="16"/>
                <w:lang w:eastAsia="cs-CZ"/>
              </w:rPr>
              <w:t xml:space="preserve"> ďalšie vzdelávanie cieľovej skupiny na tvorbu a používanie Národného kvalifikačného rámca, Národnej sústavy kvalifikácií a Informačného systému.</w:t>
            </w:r>
          </w:p>
          <w:p w:rsidR="001D2859" w:rsidRPr="00B763E3" w:rsidRDefault="001D2859" w:rsidP="004E2D6C">
            <w:pPr>
              <w:spacing w:before="0" w:line="276" w:lineRule="auto"/>
              <w:rPr>
                <w:rFonts w:asciiTheme="majorHAnsi" w:hAnsiTheme="majorHAnsi"/>
                <w:sz w:val="16"/>
                <w:szCs w:val="16"/>
                <w:lang w:eastAsia="cs-CZ"/>
              </w:rPr>
            </w:pPr>
          </w:p>
          <w:p w:rsidR="001D2859" w:rsidRPr="008B2A4E" w:rsidRDefault="001D2859" w:rsidP="004E2D6C">
            <w:pPr>
              <w:spacing w:before="0" w:line="276" w:lineRule="auto"/>
              <w:rPr>
                <w:rFonts w:asciiTheme="majorHAnsi" w:hAnsiTheme="majorHAnsi"/>
                <w:sz w:val="16"/>
                <w:szCs w:val="16"/>
                <w:lang w:eastAsia="cs-CZ"/>
              </w:rPr>
            </w:pPr>
            <w:r w:rsidRPr="008B2A4E">
              <w:rPr>
                <w:rFonts w:asciiTheme="majorHAnsi" w:hAnsiTheme="majorHAnsi"/>
                <w:sz w:val="16"/>
                <w:szCs w:val="16"/>
                <w:lang w:eastAsia="cs-CZ"/>
              </w:rPr>
              <w:t>Ďalšie vzdelávanie a poradenstvo pre dospelých ako nástroj lepšej uplatniteľnosti na trhu práce</w:t>
            </w:r>
          </w:p>
          <w:p w:rsidR="001D2859" w:rsidRPr="00B763E3" w:rsidRDefault="00ED6BC8" w:rsidP="004E2D6C">
            <w:pPr>
              <w:spacing w:before="0" w:line="276" w:lineRule="auto"/>
              <w:rPr>
                <w:rFonts w:asciiTheme="majorHAnsi" w:hAnsiTheme="majorHAnsi"/>
                <w:sz w:val="16"/>
                <w:szCs w:val="16"/>
                <w:lang w:eastAsia="cs-CZ"/>
              </w:rPr>
            </w:pPr>
            <w:hyperlink r:id="rId197" w:history="1">
              <w:r w:rsidR="001D2859" w:rsidRPr="00B763E3">
                <w:rPr>
                  <w:rFonts w:asciiTheme="majorHAnsi" w:hAnsiTheme="majorHAnsi"/>
                  <w:color w:val="0000FF"/>
                  <w:sz w:val="16"/>
                  <w:szCs w:val="16"/>
                  <w:u w:val="single"/>
                  <w:lang w:eastAsia="cs-CZ"/>
                </w:rPr>
                <w:t>http://nuczv.sk/dalsie-vzdelavanie-a-poradenstvo-pre-dospelych-ako-</w:t>
              </w:r>
              <w:r w:rsidR="001D2859" w:rsidRPr="00B763E3">
                <w:rPr>
                  <w:rFonts w:asciiTheme="majorHAnsi" w:hAnsiTheme="majorHAnsi"/>
                  <w:color w:val="0000FF"/>
                  <w:sz w:val="16"/>
                  <w:szCs w:val="16"/>
                  <w:u w:val="single"/>
                  <w:lang w:eastAsia="cs-CZ"/>
                </w:rPr>
                <w:lastRenderedPageBreak/>
                <w:t>nastroj-lepsej-uplatnitelnosti-na-trhu-prace/</w:t>
              </w:r>
            </w:hyperlink>
            <w:r w:rsidR="001D2859" w:rsidRPr="00B763E3">
              <w:rPr>
                <w:rFonts w:asciiTheme="majorHAnsi" w:hAnsiTheme="majorHAnsi"/>
                <w:sz w:val="16"/>
                <w:szCs w:val="16"/>
                <w:lang w:eastAsia="cs-CZ"/>
              </w:rPr>
              <w:t xml:space="preserve"> </w:t>
            </w:r>
          </w:p>
          <w:p w:rsidR="001D2859" w:rsidRPr="00B763E3" w:rsidRDefault="001D2859" w:rsidP="004E2D6C">
            <w:pPr>
              <w:spacing w:before="0" w:line="276" w:lineRule="auto"/>
              <w:rPr>
                <w:rFonts w:asciiTheme="majorHAnsi" w:hAnsiTheme="majorHAnsi"/>
                <w:sz w:val="16"/>
                <w:szCs w:val="16"/>
                <w:lang w:eastAsia="cs-CZ"/>
              </w:rPr>
            </w:pPr>
          </w:p>
          <w:p w:rsidR="001D2859" w:rsidRPr="008B2A4E" w:rsidRDefault="001D2859" w:rsidP="009B7C77">
            <w:pPr>
              <w:pStyle w:val="Odsekzoznamu"/>
              <w:numPr>
                <w:ilvl w:val="0"/>
                <w:numId w:val="82"/>
              </w:numPr>
              <w:spacing w:before="0" w:line="276" w:lineRule="auto"/>
              <w:ind w:left="238" w:hanging="238"/>
              <w:rPr>
                <w:rFonts w:asciiTheme="majorHAnsi" w:hAnsiTheme="majorHAnsi"/>
                <w:sz w:val="16"/>
                <w:szCs w:val="16"/>
                <w:lang w:eastAsia="cs-CZ"/>
              </w:rPr>
            </w:pPr>
            <w:r w:rsidRPr="008B2A4E">
              <w:rPr>
                <w:rFonts w:asciiTheme="majorHAnsi" w:hAnsiTheme="majorHAnsi"/>
                <w:sz w:val="16"/>
                <w:szCs w:val="16"/>
                <w:lang w:eastAsia="cs-CZ"/>
              </w:rPr>
              <w:t>zadefinovanie požiadaviek a vytvorenie vzdelávacích programov pre lektorov, manažérov, členov a predsedov skúšobných komisií, vypracovanie štandardov kvality inštitúcií ďalšieho vzdelávania,</w:t>
            </w:r>
          </w:p>
          <w:p w:rsidR="006F1168" w:rsidRPr="008B2A4E" w:rsidRDefault="006F1168" w:rsidP="006F1168">
            <w:pPr>
              <w:pStyle w:val="Odsekzoznamu"/>
              <w:spacing w:before="0" w:line="276" w:lineRule="auto"/>
              <w:ind w:left="238"/>
              <w:rPr>
                <w:rFonts w:asciiTheme="majorHAnsi" w:hAnsiTheme="majorHAnsi"/>
                <w:sz w:val="16"/>
                <w:szCs w:val="16"/>
                <w:lang w:eastAsia="cs-CZ"/>
              </w:rPr>
            </w:pPr>
          </w:p>
          <w:p w:rsidR="001D2859" w:rsidRPr="006F1168" w:rsidRDefault="001D2859" w:rsidP="009B7C77">
            <w:pPr>
              <w:pStyle w:val="Odsekzoznamu"/>
              <w:numPr>
                <w:ilvl w:val="0"/>
                <w:numId w:val="82"/>
              </w:numPr>
              <w:spacing w:before="0" w:line="276" w:lineRule="auto"/>
              <w:ind w:left="238" w:hanging="238"/>
              <w:rPr>
                <w:rFonts w:asciiTheme="majorHAnsi" w:hAnsiTheme="majorHAnsi"/>
                <w:i/>
                <w:sz w:val="16"/>
                <w:szCs w:val="16"/>
                <w:lang w:eastAsia="cs-CZ"/>
              </w:rPr>
            </w:pPr>
            <w:r w:rsidRPr="008B2A4E">
              <w:rPr>
                <w:rFonts w:asciiTheme="majorHAnsi" w:hAnsiTheme="majorHAnsi"/>
                <w:sz w:val="16"/>
                <w:szCs w:val="16"/>
                <w:lang w:eastAsia="cs-CZ"/>
              </w:rPr>
              <w:t xml:space="preserve">poskytnutie modulových vzdelávacích programov ďalšieho vzdelávania s uznávaním výsledkov ďalšieho vzdelávania </w:t>
            </w:r>
            <w:r w:rsidR="00544389" w:rsidRPr="008B2A4E">
              <w:rPr>
                <w:rFonts w:asciiTheme="majorHAnsi" w:hAnsiTheme="majorHAnsi"/>
                <w:sz w:val="16"/>
                <w:szCs w:val="16"/>
                <w:lang w:eastAsia="cs-CZ"/>
              </w:rPr>
              <w:br/>
            </w:r>
            <w:r w:rsidRPr="008B2A4E">
              <w:rPr>
                <w:rFonts w:asciiTheme="majorHAnsi" w:hAnsiTheme="majorHAnsi"/>
                <w:sz w:val="16"/>
                <w:szCs w:val="16"/>
                <w:lang w:eastAsia="cs-CZ"/>
              </w:rPr>
              <w:t>a informálneho učenia sa; prevádzka siete poradenských centier pre dospelých a poskytovanie poradenstva; vytvorenie a realizácia systému monitorovania a prognózovania  vzdelávacích potrieb; ďalší rozvoj elektronických nástrojov pre ďalšie vzdelávanie v kontexte celoživotného vzdelávania.</w:t>
            </w:r>
          </w:p>
        </w:tc>
        <w:tc>
          <w:tcPr>
            <w:tcW w:w="2862" w:type="dxa"/>
            <w:gridSpan w:val="3"/>
            <w:vMerge w:val="restart"/>
            <w:tcBorders>
              <w:top w:val="single" w:sz="12" w:space="0" w:color="auto"/>
            </w:tcBorders>
          </w:tcPr>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31. 12. 2015</w:t>
            </w: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1. 3. 2013 – 31. 10. 2015</w:t>
            </w:r>
          </w:p>
          <w:p w:rsidR="0057349A" w:rsidRPr="00B763E3" w:rsidRDefault="0057349A"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31.10.2015</w:t>
            </w:r>
          </w:p>
          <w:p w:rsidR="006F1168" w:rsidRDefault="006F1168" w:rsidP="00CA536D">
            <w:pPr>
              <w:spacing w:before="0" w:line="276" w:lineRule="auto"/>
              <w:rPr>
                <w:rFonts w:asciiTheme="majorHAnsi" w:hAnsiTheme="majorHAnsi"/>
                <w:sz w:val="16"/>
                <w:szCs w:val="16"/>
                <w:lang w:eastAsia="cs-CZ"/>
              </w:rPr>
            </w:pPr>
          </w:p>
          <w:p w:rsidR="001D2859" w:rsidRPr="00B763E3" w:rsidRDefault="001D2859" w:rsidP="00CA536D">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30. 6. 2015</w:t>
            </w: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57349A" w:rsidRPr="00B763E3" w:rsidRDefault="0057349A"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15. 3. 2013 – 30. 9. 2015 </w:t>
            </w:r>
          </w:p>
          <w:p w:rsidR="001D2859" w:rsidRPr="00B763E3" w:rsidRDefault="001D2859" w:rsidP="004E2D6C">
            <w:pPr>
              <w:spacing w:before="0" w:line="276" w:lineRule="auto"/>
              <w:rPr>
                <w:rFonts w:asciiTheme="majorHAnsi" w:hAnsiTheme="majorHAnsi"/>
                <w:sz w:val="16"/>
                <w:szCs w:val="16"/>
                <w:lang w:eastAsia="cs-CZ"/>
              </w:rPr>
            </w:pPr>
          </w:p>
          <w:p w:rsidR="006F1168" w:rsidRPr="00B763E3" w:rsidRDefault="006F1168"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28. 2. 2014</w:t>
            </w:r>
          </w:p>
          <w:p w:rsidR="006F1168" w:rsidRPr="00B763E3" w:rsidRDefault="006F1168"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do 30. 9. 2015</w:t>
            </w:r>
          </w:p>
        </w:tc>
        <w:tc>
          <w:tcPr>
            <w:tcW w:w="2346" w:type="dxa"/>
            <w:vMerge w:val="restart"/>
            <w:tcBorders>
              <w:top w:val="single" w:sz="12" w:space="0" w:color="auto"/>
              <w:right w:val="single" w:sz="12" w:space="0" w:color="auto"/>
            </w:tcBorders>
          </w:tcPr>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MŠVVŠ SR</w:t>
            </w: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Štátny inštitút odborného vzdelávania</w:t>
            </w: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1D2859" w:rsidRPr="00B763E3" w:rsidRDefault="001D2859"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Národný ústav celoživotného vzdelávania</w:t>
            </w:r>
          </w:p>
        </w:tc>
      </w:tr>
      <w:tr w:rsidR="001D2859" w:rsidRPr="00DF567A" w:rsidTr="00CC23CF">
        <w:trPr>
          <w:trHeight w:val="1710"/>
        </w:trPr>
        <w:tc>
          <w:tcPr>
            <w:tcW w:w="1949" w:type="dxa"/>
            <w:vMerge/>
            <w:tcBorders>
              <w:left w:val="single" w:sz="12" w:space="0" w:color="auto"/>
            </w:tcBorders>
          </w:tcPr>
          <w:p w:rsidR="001D2859" w:rsidRPr="009B7C77" w:rsidRDefault="001D2859" w:rsidP="004E2D6C">
            <w:pPr>
              <w:spacing w:before="0" w:line="276" w:lineRule="auto"/>
              <w:rPr>
                <w:rFonts w:asciiTheme="majorHAnsi" w:hAnsiTheme="majorHAnsi"/>
                <w:sz w:val="16"/>
                <w:szCs w:val="16"/>
              </w:rPr>
            </w:pPr>
          </w:p>
        </w:tc>
        <w:tc>
          <w:tcPr>
            <w:tcW w:w="2100" w:type="dxa"/>
            <w:gridSpan w:val="2"/>
            <w:tcBorders>
              <w:top w:val="single" w:sz="4" w:space="0" w:color="auto"/>
            </w:tcBorders>
          </w:tcPr>
          <w:p w:rsidR="001D2859" w:rsidRPr="009B7C77" w:rsidRDefault="001D2859" w:rsidP="004E2D6C">
            <w:pPr>
              <w:widowControl w:val="0"/>
              <w:autoSpaceDE w:val="0"/>
              <w:autoSpaceDN w:val="0"/>
              <w:adjustRightInd w:val="0"/>
              <w:spacing w:before="0"/>
              <w:rPr>
                <w:rFonts w:asciiTheme="majorHAnsi" w:hAnsiTheme="majorHAnsi"/>
                <w:sz w:val="16"/>
                <w:szCs w:val="16"/>
                <w:lang w:eastAsia="sk-SK"/>
              </w:rPr>
            </w:pPr>
          </w:p>
        </w:tc>
        <w:tc>
          <w:tcPr>
            <w:tcW w:w="4853" w:type="dxa"/>
            <w:gridSpan w:val="2"/>
            <w:vMerge/>
          </w:tcPr>
          <w:p w:rsidR="001D2859" w:rsidRPr="009B7C77" w:rsidRDefault="001D2859" w:rsidP="004E2D6C">
            <w:pPr>
              <w:spacing w:before="0" w:line="276" w:lineRule="auto"/>
              <w:rPr>
                <w:rFonts w:asciiTheme="majorHAnsi" w:hAnsiTheme="majorHAnsi"/>
                <w:i/>
                <w:sz w:val="16"/>
                <w:szCs w:val="16"/>
                <w:lang w:eastAsia="cs-CZ"/>
              </w:rPr>
            </w:pPr>
          </w:p>
        </w:tc>
        <w:tc>
          <w:tcPr>
            <w:tcW w:w="2862" w:type="dxa"/>
            <w:gridSpan w:val="3"/>
            <w:vMerge/>
          </w:tcPr>
          <w:p w:rsidR="001D2859" w:rsidRPr="009B7C77" w:rsidRDefault="001D2859" w:rsidP="004E2D6C">
            <w:pPr>
              <w:spacing w:before="0" w:line="276" w:lineRule="auto"/>
              <w:rPr>
                <w:rFonts w:asciiTheme="majorHAnsi" w:hAnsiTheme="majorHAnsi"/>
                <w:sz w:val="16"/>
                <w:szCs w:val="16"/>
                <w:lang w:eastAsia="cs-CZ"/>
              </w:rPr>
            </w:pPr>
          </w:p>
        </w:tc>
        <w:tc>
          <w:tcPr>
            <w:tcW w:w="2346" w:type="dxa"/>
            <w:vMerge/>
            <w:tcBorders>
              <w:right w:val="single" w:sz="12" w:space="0" w:color="auto"/>
            </w:tcBorders>
          </w:tcPr>
          <w:p w:rsidR="001D2859" w:rsidRPr="009B7C77" w:rsidRDefault="001D2859" w:rsidP="004E2D6C">
            <w:pPr>
              <w:spacing w:before="0" w:line="276" w:lineRule="auto"/>
              <w:rPr>
                <w:rFonts w:asciiTheme="majorHAnsi" w:hAnsiTheme="majorHAnsi"/>
                <w:sz w:val="16"/>
                <w:szCs w:val="16"/>
                <w:lang w:eastAsia="cs-CZ"/>
              </w:rPr>
            </w:pPr>
          </w:p>
        </w:tc>
      </w:tr>
      <w:tr w:rsidR="001D2859" w:rsidRPr="00DF567A" w:rsidTr="00CC23CF">
        <w:trPr>
          <w:trHeight w:val="1386"/>
        </w:trPr>
        <w:tc>
          <w:tcPr>
            <w:tcW w:w="1949" w:type="dxa"/>
            <w:vMerge/>
            <w:tcBorders>
              <w:left w:val="single" w:sz="12" w:space="0" w:color="auto"/>
            </w:tcBorders>
          </w:tcPr>
          <w:p w:rsidR="001D2859" w:rsidRPr="009B7C77" w:rsidRDefault="001D2859" w:rsidP="004E2D6C">
            <w:pPr>
              <w:spacing w:before="0" w:line="276" w:lineRule="auto"/>
              <w:rPr>
                <w:rFonts w:asciiTheme="majorHAnsi" w:hAnsiTheme="majorHAnsi"/>
                <w:sz w:val="16"/>
                <w:szCs w:val="16"/>
              </w:rPr>
            </w:pPr>
          </w:p>
        </w:tc>
        <w:tc>
          <w:tcPr>
            <w:tcW w:w="2100" w:type="dxa"/>
            <w:gridSpan w:val="2"/>
          </w:tcPr>
          <w:p w:rsidR="001D2859" w:rsidRPr="009B7C77" w:rsidRDefault="001D2859" w:rsidP="009E6E57">
            <w:pPr>
              <w:widowControl w:val="0"/>
              <w:autoSpaceDE w:val="0"/>
              <w:autoSpaceDN w:val="0"/>
              <w:adjustRightInd w:val="0"/>
              <w:spacing w:before="0"/>
              <w:rPr>
                <w:rFonts w:asciiTheme="majorHAnsi" w:hAnsiTheme="majorHAnsi"/>
                <w:sz w:val="16"/>
                <w:szCs w:val="16"/>
                <w:lang w:eastAsia="sk-SK"/>
              </w:rPr>
            </w:pPr>
            <w:r w:rsidRPr="009B7C77">
              <w:rPr>
                <w:rFonts w:asciiTheme="majorHAnsi" w:hAnsiTheme="majorHAnsi"/>
                <w:sz w:val="16"/>
                <w:szCs w:val="16"/>
                <w:lang w:eastAsia="sk-SK"/>
              </w:rPr>
              <w:t>- na rozšírenie prístupu k celoživotnému vzdelávaniu, a to aj prostredníctvom úsilia o účinné zavádzanie transparentných nástrojov (napríklad Európskeho kvalifikačného rámca, Národného kvalifikačného rámca, Európskeho systému kreditov pre odborné vzdelávanie a prípravu, Európskeho referenčného rámca zabezpečenia kvality odborného vzdelávania a prípravy).</w:t>
            </w:r>
          </w:p>
          <w:p w:rsidR="001D2859" w:rsidRPr="009B7C77" w:rsidRDefault="001D2859" w:rsidP="004E2D6C">
            <w:pPr>
              <w:widowControl w:val="0"/>
              <w:autoSpaceDE w:val="0"/>
              <w:autoSpaceDN w:val="0"/>
              <w:adjustRightInd w:val="0"/>
              <w:spacing w:before="0"/>
              <w:rPr>
                <w:rFonts w:asciiTheme="majorHAnsi" w:hAnsiTheme="majorHAnsi"/>
                <w:sz w:val="16"/>
                <w:szCs w:val="16"/>
                <w:lang w:eastAsia="sk-SK"/>
              </w:rPr>
            </w:pPr>
          </w:p>
        </w:tc>
        <w:tc>
          <w:tcPr>
            <w:tcW w:w="4853" w:type="dxa"/>
            <w:gridSpan w:val="2"/>
            <w:vMerge/>
          </w:tcPr>
          <w:p w:rsidR="001D2859" w:rsidRPr="009B7C77" w:rsidRDefault="001D2859" w:rsidP="004E2D6C">
            <w:pPr>
              <w:spacing w:before="0" w:line="276" w:lineRule="auto"/>
              <w:rPr>
                <w:rFonts w:asciiTheme="majorHAnsi" w:hAnsiTheme="majorHAnsi"/>
                <w:i/>
                <w:sz w:val="16"/>
                <w:szCs w:val="16"/>
                <w:lang w:eastAsia="cs-CZ"/>
              </w:rPr>
            </w:pPr>
          </w:p>
        </w:tc>
        <w:tc>
          <w:tcPr>
            <w:tcW w:w="2862" w:type="dxa"/>
            <w:gridSpan w:val="3"/>
            <w:vMerge/>
          </w:tcPr>
          <w:p w:rsidR="001D2859" w:rsidRPr="009B7C77" w:rsidRDefault="001D2859" w:rsidP="004E2D6C">
            <w:pPr>
              <w:spacing w:before="0" w:line="276" w:lineRule="auto"/>
              <w:rPr>
                <w:rFonts w:asciiTheme="majorHAnsi" w:hAnsiTheme="majorHAnsi"/>
                <w:sz w:val="16"/>
                <w:szCs w:val="16"/>
                <w:lang w:eastAsia="cs-CZ"/>
              </w:rPr>
            </w:pPr>
          </w:p>
        </w:tc>
        <w:tc>
          <w:tcPr>
            <w:tcW w:w="2346" w:type="dxa"/>
            <w:vMerge/>
            <w:tcBorders>
              <w:right w:val="single" w:sz="12" w:space="0" w:color="auto"/>
            </w:tcBorders>
          </w:tcPr>
          <w:p w:rsidR="001D2859" w:rsidRPr="009B7C77" w:rsidRDefault="001D2859" w:rsidP="004E2D6C">
            <w:pPr>
              <w:spacing w:before="0" w:line="276" w:lineRule="auto"/>
              <w:rPr>
                <w:rFonts w:asciiTheme="majorHAnsi" w:hAnsiTheme="majorHAnsi"/>
                <w:sz w:val="16"/>
                <w:szCs w:val="16"/>
                <w:lang w:eastAsia="cs-CZ"/>
              </w:rPr>
            </w:pPr>
          </w:p>
        </w:tc>
      </w:tr>
      <w:tr w:rsidR="001D2859" w:rsidRPr="00DF567A" w:rsidTr="00CC23CF">
        <w:trPr>
          <w:trHeight w:val="1386"/>
        </w:trPr>
        <w:tc>
          <w:tcPr>
            <w:tcW w:w="1949" w:type="dxa"/>
            <w:tcBorders>
              <w:left w:val="single" w:sz="12" w:space="0" w:color="auto"/>
            </w:tcBorders>
          </w:tcPr>
          <w:p w:rsidR="001D2859" w:rsidRPr="00B763E3" w:rsidRDefault="001D2859" w:rsidP="004E2D6C">
            <w:pPr>
              <w:spacing w:before="0" w:line="276" w:lineRule="auto"/>
              <w:rPr>
                <w:rFonts w:asciiTheme="majorHAnsi" w:hAnsiTheme="majorHAnsi"/>
                <w:sz w:val="16"/>
                <w:szCs w:val="16"/>
              </w:rPr>
            </w:pPr>
            <w:r w:rsidRPr="00B763E3">
              <w:rPr>
                <w:rFonts w:asciiTheme="majorHAnsi" w:hAnsiTheme="majorHAnsi"/>
                <w:sz w:val="16"/>
                <w:szCs w:val="16"/>
              </w:rPr>
              <w:lastRenderedPageBreak/>
              <w:t>10.4 Existencia národného alebo regionálneho strategického rámca politiky pre zvýšenie kvality a účinnosti systémov odborného vzdelávania a prípravy, v rámci článku 165 ZEÚ.</w:t>
            </w:r>
          </w:p>
        </w:tc>
        <w:tc>
          <w:tcPr>
            <w:tcW w:w="2100" w:type="dxa"/>
            <w:gridSpan w:val="2"/>
          </w:tcPr>
          <w:p w:rsidR="001D2859" w:rsidRPr="00B763E3" w:rsidRDefault="001D2859" w:rsidP="001D2859">
            <w:pPr>
              <w:widowControl w:val="0"/>
              <w:autoSpaceDE w:val="0"/>
              <w:autoSpaceDN w:val="0"/>
              <w:adjustRightInd w:val="0"/>
              <w:spacing w:before="0"/>
              <w:rPr>
                <w:rFonts w:asciiTheme="majorHAnsi" w:hAnsiTheme="majorHAnsi"/>
                <w:sz w:val="16"/>
                <w:szCs w:val="16"/>
                <w:lang w:eastAsia="sk-SK"/>
              </w:rPr>
            </w:pPr>
            <w:r w:rsidRPr="00B763E3">
              <w:rPr>
                <w:rFonts w:asciiTheme="majorHAnsi" w:hAnsiTheme="majorHAnsi"/>
                <w:sz w:val="16"/>
                <w:szCs w:val="16"/>
                <w:lang w:eastAsia="sk-SK"/>
              </w:rPr>
              <w:t>2. Je zavedený strategický rámec národnej alebo regionálnej politiky pre zvýšenie kvality a efektívnosti systémov odborného vzdelávania a prípravy v medziach článku 165 ZEÚ, ktorý zahŕňa:</w:t>
            </w:r>
          </w:p>
          <w:p w:rsidR="001D2859" w:rsidRPr="00B763E3" w:rsidRDefault="001D2859" w:rsidP="001D2859">
            <w:pPr>
              <w:widowControl w:val="0"/>
              <w:autoSpaceDE w:val="0"/>
              <w:autoSpaceDN w:val="0"/>
              <w:adjustRightInd w:val="0"/>
              <w:spacing w:before="0"/>
              <w:rPr>
                <w:rFonts w:asciiTheme="majorHAnsi" w:hAnsiTheme="majorHAnsi"/>
                <w:sz w:val="16"/>
                <w:szCs w:val="16"/>
                <w:lang w:eastAsia="sk-SK"/>
              </w:rPr>
            </w:pPr>
          </w:p>
          <w:p w:rsidR="001D2859" w:rsidRPr="00B763E3" w:rsidRDefault="001D2859" w:rsidP="001D2859">
            <w:pPr>
              <w:widowControl w:val="0"/>
              <w:autoSpaceDE w:val="0"/>
              <w:autoSpaceDN w:val="0"/>
              <w:adjustRightInd w:val="0"/>
              <w:spacing w:before="0"/>
              <w:rPr>
                <w:rFonts w:asciiTheme="majorHAnsi" w:hAnsiTheme="majorHAnsi"/>
                <w:sz w:val="16"/>
                <w:szCs w:val="16"/>
                <w:lang w:eastAsia="sk-SK"/>
              </w:rPr>
            </w:pPr>
            <w:r w:rsidRPr="00B763E3">
              <w:rPr>
                <w:rFonts w:asciiTheme="majorHAnsi" w:hAnsiTheme="majorHAnsi"/>
                <w:sz w:val="16"/>
                <w:szCs w:val="16"/>
                <w:lang w:eastAsia="sk-SK"/>
              </w:rPr>
              <w:t xml:space="preserve">- zvýšenie kvality a atraktívnosti odborného vzdelávania a prípravy prostredníctvom zriadenia národného prístupu na zabezpečenie kvality odborného vzdelávania a prípravy (napríklad v súlade s Európskym referenčným rámcom pre zabezpečenie kvality odborného vzdelávania a prípravy) a implementovanie transparentných a </w:t>
            </w:r>
            <w:r w:rsidRPr="00B763E3">
              <w:rPr>
                <w:rFonts w:asciiTheme="majorHAnsi" w:hAnsiTheme="majorHAnsi"/>
                <w:sz w:val="16"/>
                <w:szCs w:val="16"/>
                <w:lang w:eastAsia="sk-SK"/>
              </w:rPr>
              <w:lastRenderedPageBreak/>
              <w:t>rozlišovacích nástrojov, napríklad Európsky kreditný systém pre odborné vzdelávanie a prípravu (ECVET).</w:t>
            </w:r>
          </w:p>
        </w:tc>
        <w:tc>
          <w:tcPr>
            <w:tcW w:w="4853" w:type="dxa"/>
            <w:gridSpan w:val="2"/>
          </w:tcPr>
          <w:p w:rsidR="00C75AB3" w:rsidRPr="006F1168" w:rsidRDefault="00C75AB3" w:rsidP="009B7C77">
            <w:pPr>
              <w:pStyle w:val="Odsekzoznamu"/>
              <w:numPr>
                <w:ilvl w:val="0"/>
                <w:numId w:val="83"/>
              </w:numPr>
              <w:spacing w:before="0" w:line="276" w:lineRule="auto"/>
              <w:ind w:left="238" w:hanging="238"/>
              <w:rPr>
                <w:rFonts w:asciiTheme="majorHAnsi" w:hAnsiTheme="majorHAnsi"/>
                <w:sz w:val="16"/>
                <w:szCs w:val="16"/>
                <w:lang w:eastAsia="cs-CZ"/>
              </w:rPr>
            </w:pPr>
            <w:r w:rsidRPr="006F1168">
              <w:rPr>
                <w:rFonts w:asciiTheme="majorHAnsi" w:hAnsiTheme="majorHAnsi"/>
                <w:sz w:val="16"/>
                <w:szCs w:val="16"/>
                <w:lang w:eastAsia="cs-CZ"/>
              </w:rPr>
              <w:lastRenderedPageBreak/>
              <w:t>predložiť návrh nového zákona o odbornom vzdelávaní a príprave prostredníctvom ktorého budú predstavené prvky duálneho vzdelávania: učebná zmluva, zmluva medzi školou a zamestnávateľom o organizácii praktického vyučovania, realizácia praktického vyučovania priamo u zamestnávateľa, efektívnejšie prepojenie potrieb trhu práce a iniciačného odborného vzdelávania, tvorba vzorových učebných plánov a učebných osnov pre duálne vzdelávanie, povinná účasť zamestnávateľov na záverečných, maturitných a absolventských skúškach, overenie spôsobilosti zamestnávateľa poskytovať praktické vyučovanie v systéme duálneho vzdelávania</w:t>
            </w:r>
          </w:p>
          <w:p w:rsidR="00C75AB3" w:rsidRPr="00B763E3" w:rsidRDefault="00C75AB3" w:rsidP="00C75AB3">
            <w:pPr>
              <w:spacing w:before="0" w:line="276" w:lineRule="auto"/>
              <w:rPr>
                <w:rFonts w:asciiTheme="majorHAnsi" w:hAnsiTheme="majorHAnsi"/>
                <w:sz w:val="16"/>
                <w:szCs w:val="16"/>
                <w:lang w:eastAsia="cs-CZ"/>
              </w:rPr>
            </w:pPr>
          </w:p>
          <w:p w:rsidR="00C75AB3" w:rsidRPr="00B763E3" w:rsidRDefault="00C75AB3" w:rsidP="00C75AB3">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Implementácia 3 kľúčových národných projektov:</w:t>
            </w:r>
          </w:p>
          <w:p w:rsidR="00C75AB3" w:rsidRPr="006F1168" w:rsidRDefault="00C75AB3" w:rsidP="009B7C77">
            <w:pPr>
              <w:pStyle w:val="Odsekzoznamu"/>
              <w:numPr>
                <w:ilvl w:val="0"/>
                <w:numId w:val="84"/>
              </w:numPr>
              <w:spacing w:before="0" w:line="276" w:lineRule="auto"/>
              <w:ind w:left="238" w:hanging="284"/>
              <w:rPr>
                <w:rStyle w:val="FontStyle94"/>
                <w:rFonts w:asciiTheme="majorHAnsi" w:hAnsiTheme="majorHAnsi" w:cs="Arial"/>
                <w:sz w:val="16"/>
                <w:szCs w:val="16"/>
              </w:rPr>
            </w:pPr>
            <w:r w:rsidRPr="006F1168">
              <w:rPr>
                <w:rFonts w:asciiTheme="majorHAnsi" w:hAnsiTheme="majorHAnsi"/>
                <w:sz w:val="16"/>
                <w:szCs w:val="16"/>
                <w:lang w:eastAsia="cs-CZ"/>
              </w:rPr>
              <w:t>Podpora profesijnej orientácie žiakov základnej školy na odborné vzdelávanie a prípravu prostredníctvom rozvoja polytechnickej výchovy zameranej na rozvoj pracovných zručností a práca s talentami</w:t>
            </w:r>
          </w:p>
          <w:p w:rsidR="00C75AB3" w:rsidRPr="00B05B51" w:rsidRDefault="00C75AB3" w:rsidP="00C75AB3">
            <w:pPr>
              <w:pStyle w:val="Style31"/>
              <w:widowControl/>
              <w:jc w:val="both"/>
              <w:rPr>
                <w:rStyle w:val="FontStyle94"/>
                <w:rFonts w:asciiTheme="majorHAnsi" w:hAnsiTheme="majorHAnsi" w:cs="Arial"/>
                <w:sz w:val="16"/>
                <w:szCs w:val="16"/>
                <w:lang w:eastAsia="en-US"/>
              </w:rPr>
            </w:pPr>
          </w:p>
          <w:p w:rsidR="00C75AB3" w:rsidRPr="00B05B51" w:rsidRDefault="00C75AB3" w:rsidP="00C75AB3">
            <w:pPr>
              <w:pStyle w:val="Style31"/>
              <w:widowControl/>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t xml:space="preserve">Vybavenie odborných učební základných škôl, tvorba programov </w:t>
            </w:r>
            <w:r w:rsidRPr="00B05B51">
              <w:rPr>
                <w:rStyle w:val="FontStyle94"/>
                <w:rFonts w:asciiTheme="majorHAnsi" w:hAnsiTheme="majorHAnsi" w:cs="Arial"/>
                <w:sz w:val="16"/>
                <w:szCs w:val="16"/>
                <w:lang w:eastAsia="en-US"/>
              </w:rPr>
              <w:lastRenderedPageBreak/>
              <w:t>kontinuálneho vzdelávania pre učiteľov prírodovedných predmetov.</w:t>
            </w:r>
          </w:p>
          <w:p w:rsidR="00C75AB3" w:rsidRPr="00B05B51" w:rsidRDefault="00C75AB3" w:rsidP="00C75AB3">
            <w:pPr>
              <w:pStyle w:val="Style31"/>
              <w:widowControl/>
              <w:jc w:val="both"/>
              <w:rPr>
                <w:rStyle w:val="FontStyle94"/>
                <w:rFonts w:asciiTheme="majorHAnsi" w:hAnsiTheme="majorHAnsi" w:cs="Arial"/>
                <w:sz w:val="16"/>
                <w:szCs w:val="16"/>
                <w:lang w:eastAsia="en-US"/>
              </w:rPr>
            </w:pPr>
          </w:p>
          <w:p w:rsidR="00C75AB3" w:rsidRPr="00B05B51" w:rsidRDefault="00ED6BC8" w:rsidP="00C75AB3">
            <w:pPr>
              <w:pStyle w:val="Style31"/>
              <w:widowControl/>
              <w:jc w:val="both"/>
              <w:rPr>
                <w:rStyle w:val="FontStyle94"/>
                <w:rFonts w:asciiTheme="majorHAnsi" w:hAnsiTheme="majorHAnsi" w:cs="Arial"/>
                <w:sz w:val="16"/>
                <w:szCs w:val="16"/>
                <w:lang w:eastAsia="en-US"/>
              </w:rPr>
            </w:pPr>
            <w:hyperlink r:id="rId198" w:history="1">
              <w:r w:rsidR="00C75AB3" w:rsidRPr="00B05B51">
                <w:rPr>
                  <w:rStyle w:val="Hypertextovprepojenie"/>
                  <w:rFonts w:asciiTheme="majorHAnsi" w:hAnsiTheme="majorHAnsi" w:cs="Arial"/>
                  <w:sz w:val="16"/>
                  <w:szCs w:val="16"/>
                  <w:lang w:eastAsia="en-US"/>
                </w:rPr>
                <w:t>http://www.siov.sk/narodny-projekt-/24512s</w:t>
              </w:r>
            </w:hyperlink>
          </w:p>
          <w:p w:rsidR="00C75AB3" w:rsidRPr="00B763E3" w:rsidRDefault="00C75AB3" w:rsidP="00C75AB3">
            <w:pPr>
              <w:spacing w:before="0" w:line="276" w:lineRule="auto"/>
              <w:rPr>
                <w:rFonts w:asciiTheme="majorHAnsi" w:hAnsiTheme="majorHAnsi"/>
                <w:sz w:val="16"/>
                <w:szCs w:val="16"/>
                <w:lang w:eastAsia="cs-CZ"/>
              </w:rPr>
            </w:pPr>
          </w:p>
          <w:p w:rsidR="00C75AB3" w:rsidRPr="006F1168" w:rsidRDefault="00C75AB3" w:rsidP="009B7C77">
            <w:pPr>
              <w:pStyle w:val="Odsekzoznamu"/>
              <w:numPr>
                <w:ilvl w:val="0"/>
                <w:numId w:val="85"/>
              </w:numPr>
              <w:spacing w:before="0" w:line="276" w:lineRule="auto"/>
              <w:ind w:left="238" w:hanging="284"/>
              <w:rPr>
                <w:rFonts w:asciiTheme="majorHAnsi" w:hAnsiTheme="majorHAnsi"/>
                <w:sz w:val="16"/>
                <w:szCs w:val="16"/>
                <w:lang w:eastAsia="cs-CZ"/>
              </w:rPr>
            </w:pPr>
            <w:r w:rsidRPr="006F1168">
              <w:rPr>
                <w:rFonts w:asciiTheme="majorHAnsi" w:hAnsiTheme="majorHAnsi"/>
                <w:sz w:val="16"/>
                <w:szCs w:val="16"/>
                <w:lang w:eastAsia="cs-CZ"/>
              </w:rPr>
              <w:t>Tvorba Národnej sústavy kvalifikácií</w:t>
            </w:r>
          </w:p>
          <w:p w:rsidR="00C75AB3" w:rsidRPr="00B05B51" w:rsidRDefault="00C75AB3" w:rsidP="00C75AB3">
            <w:pPr>
              <w:pStyle w:val="Style31"/>
              <w:widowControl/>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t xml:space="preserve">Tvorba 1 000 čiastočných a úplných kvalifikácií v podobe vytvorenia kvalifikačných štandardov postavených na vzdelávacích výstupoch </w:t>
            </w:r>
            <w:r w:rsidR="00544389" w:rsidRPr="00B05B51">
              <w:rPr>
                <w:rStyle w:val="FontStyle94"/>
                <w:rFonts w:asciiTheme="majorHAnsi" w:hAnsiTheme="majorHAnsi" w:cs="Arial"/>
                <w:sz w:val="16"/>
                <w:szCs w:val="16"/>
                <w:lang w:eastAsia="en-US"/>
              </w:rPr>
              <w:br/>
            </w:r>
            <w:r w:rsidRPr="00B05B51">
              <w:rPr>
                <w:rStyle w:val="FontStyle94"/>
                <w:rFonts w:asciiTheme="majorHAnsi" w:hAnsiTheme="majorHAnsi" w:cs="Arial"/>
                <w:sz w:val="16"/>
                <w:szCs w:val="16"/>
                <w:lang w:eastAsia="en-US"/>
              </w:rPr>
              <w:t>a hodnotiacich štandardov, tvorba Národného kvalifikačného rámca, a to aj v rámci Bolognského procesu.</w:t>
            </w:r>
          </w:p>
          <w:p w:rsidR="00C75AB3" w:rsidRPr="00B05B51" w:rsidRDefault="00C75AB3" w:rsidP="00C75AB3">
            <w:pPr>
              <w:pStyle w:val="Style31"/>
              <w:widowControl/>
              <w:jc w:val="both"/>
              <w:rPr>
                <w:rStyle w:val="FontStyle94"/>
                <w:rFonts w:asciiTheme="majorHAnsi" w:hAnsiTheme="majorHAnsi" w:cs="Arial"/>
                <w:sz w:val="16"/>
                <w:szCs w:val="16"/>
                <w:lang w:eastAsia="en-US"/>
              </w:rPr>
            </w:pPr>
          </w:p>
          <w:p w:rsidR="00C75AB3" w:rsidRPr="00B05B51" w:rsidRDefault="00ED6BC8" w:rsidP="00C75AB3">
            <w:pPr>
              <w:pStyle w:val="Style31"/>
              <w:widowControl/>
              <w:jc w:val="both"/>
              <w:rPr>
                <w:rStyle w:val="FontStyle94"/>
                <w:rFonts w:asciiTheme="majorHAnsi" w:hAnsiTheme="majorHAnsi" w:cs="Arial"/>
                <w:sz w:val="16"/>
                <w:szCs w:val="16"/>
                <w:lang w:eastAsia="en-US"/>
              </w:rPr>
            </w:pPr>
            <w:hyperlink r:id="rId199" w:history="1">
              <w:r w:rsidR="00C75AB3" w:rsidRPr="00B05B51">
                <w:rPr>
                  <w:rStyle w:val="Hypertextovprepojenie"/>
                  <w:rFonts w:asciiTheme="majorHAnsi" w:hAnsiTheme="majorHAnsi" w:cs="Arial"/>
                  <w:sz w:val="16"/>
                  <w:szCs w:val="16"/>
                  <w:lang w:eastAsia="en-US"/>
                </w:rPr>
                <w:t>http://www.tvorbansk.sk/</w:t>
              </w:r>
            </w:hyperlink>
          </w:p>
          <w:p w:rsidR="00C75AB3" w:rsidRPr="00B763E3" w:rsidRDefault="00C75AB3" w:rsidP="00C75AB3">
            <w:pPr>
              <w:spacing w:before="0" w:line="276" w:lineRule="auto"/>
              <w:rPr>
                <w:rFonts w:asciiTheme="majorHAnsi" w:hAnsiTheme="majorHAnsi"/>
                <w:i/>
                <w:sz w:val="16"/>
                <w:szCs w:val="16"/>
                <w:lang w:eastAsia="cs-CZ"/>
              </w:rPr>
            </w:pPr>
          </w:p>
          <w:p w:rsidR="00C75AB3" w:rsidRPr="006F1168" w:rsidRDefault="00C75AB3" w:rsidP="009B7C77">
            <w:pPr>
              <w:pStyle w:val="Odsekzoznamu"/>
              <w:numPr>
                <w:ilvl w:val="0"/>
                <w:numId w:val="86"/>
              </w:numPr>
              <w:spacing w:before="0" w:line="276" w:lineRule="auto"/>
              <w:ind w:left="238" w:hanging="284"/>
              <w:rPr>
                <w:rFonts w:asciiTheme="majorHAnsi" w:hAnsiTheme="majorHAnsi"/>
                <w:sz w:val="16"/>
                <w:szCs w:val="16"/>
                <w:lang w:eastAsia="cs-CZ"/>
              </w:rPr>
            </w:pPr>
            <w:r w:rsidRPr="006F1168">
              <w:rPr>
                <w:rFonts w:asciiTheme="majorHAnsi" w:hAnsiTheme="majorHAnsi"/>
                <w:sz w:val="16"/>
                <w:szCs w:val="16"/>
                <w:lang w:eastAsia="cs-CZ"/>
              </w:rPr>
              <w:t>Rozvoj stredného odborného vzdelávania</w:t>
            </w:r>
          </w:p>
          <w:p w:rsidR="00C75AB3" w:rsidRPr="00B05B51" w:rsidRDefault="00C75AB3" w:rsidP="009B7C77">
            <w:pPr>
              <w:pStyle w:val="Style31"/>
              <w:widowControl/>
              <w:numPr>
                <w:ilvl w:val="0"/>
                <w:numId w:val="86"/>
              </w:numPr>
              <w:ind w:left="238" w:hanging="284"/>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t>Analýza súladu zručností absolventov s ponukou na trhu práce</w:t>
            </w:r>
          </w:p>
          <w:p w:rsidR="00C75AB3" w:rsidRPr="00B05B51" w:rsidRDefault="00C75AB3" w:rsidP="009B7C77">
            <w:pPr>
              <w:pStyle w:val="Style31"/>
              <w:widowControl/>
              <w:numPr>
                <w:ilvl w:val="0"/>
                <w:numId w:val="86"/>
              </w:numPr>
              <w:ind w:left="238" w:hanging="284"/>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t>Pasportizácia SOŠ</w:t>
            </w:r>
          </w:p>
          <w:p w:rsidR="00C75AB3" w:rsidRPr="00B05B51" w:rsidRDefault="00C75AB3" w:rsidP="009B7C77">
            <w:pPr>
              <w:pStyle w:val="Style31"/>
              <w:widowControl/>
              <w:numPr>
                <w:ilvl w:val="0"/>
                <w:numId w:val="86"/>
              </w:numPr>
              <w:ind w:left="238" w:hanging="284"/>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t>Analyticko-metodické aktivity vo vzťahu k vývoju nezamestnanosti absolventov SOŠ a dopadu na odborné vzdelávanie a prípravu</w:t>
            </w:r>
          </w:p>
          <w:p w:rsidR="00C75AB3" w:rsidRPr="00B763E3" w:rsidRDefault="00C75AB3" w:rsidP="00C75AB3">
            <w:pPr>
              <w:spacing w:before="0" w:line="276" w:lineRule="auto"/>
              <w:rPr>
                <w:rFonts w:asciiTheme="majorHAnsi" w:hAnsiTheme="majorHAnsi"/>
                <w:sz w:val="16"/>
                <w:szCs w:val="16"/>
                <w:lang w:eastAsia="cs-CZ"/>
              </w:rPr>
            </w:pPr>
          </w:p>
          <w:p w:rsidR="00C75AB3" w:rsidRPr="00B05B51" w:rsidRDefault="00ED6BC8" w:rsidP="00C75AB3">
            <w:pPr>
              <w:pStyle w:val="Style31"/>
              <w:widowControl/>
              <w:jc w:val="both"/>
              <w:rPr>
                <w:rFonts w:asciiTheme="majorHAnsi" w:hAnsiTheme="majorHAnsi" w:cs="Arial"/>
                <w:sz w:val="16"/>
                <w:szCs w:val="16"/>
                <w:lang w:eastAsia="en-US"/>
              </w:rPr>
            </w:pPr>
            <w:hyperlink r:id="rId200" w:history="1">
              <w:r w:rsidR="00C75AB3" w:rsidRPr="00B05B51">
                <w:rPr>
                  <w:rStyle w:val="Hypertextovprepojenie"/>
                  <w:rFonts w:asciiTheme="majorHAnsi" w:hAnsiTheme="majorHAnsi" w:cs="Arial"/>
                  <w:sz w:val="16"/>
                  <w:szCs w:val="16"/>
                  <w:lang w:eastAsia="en-US"/>
                </w:rPr>
                <w:t>http://www.siov.sk/rozvoj-stredneho-odborneho-vzdelavania-rsov/24505s</w:t>
              </w:r>
            </w:hyperlink>
          </w:p>
          <w:p w:rsidR="00C75AB3" w:rsidRPr="00B05B51" w:rsidRDefault="00C75AB3" w:rsidP="00C75AB3">
            <w:pPr>
              <w:pStyle w:val="Style31"/>
              <w:widowControl/>
              <w:jc w:val="both"/>
              <w:rPr>
                <w:rFonts w:asciiTheme="majorHAnsi" w:hAnsiTheme="majorHAnsi" w:cs="Arial"/>
                <w:sz w:val="16"/>
                <w:szCs w:val="16"/>
                <w:lang w:eastAsia="en-US"/>
              </w:rPr>
            </w:pPr>
          </w:p>
          <w:p w:rsidR="001D2859" w:rsidRPr="006F1168" w:rsidRDefault="00C75AB3" w:rsidP="009B7C77">
            <w:pPr>
              <w:pStyle w:val="Odsekzoznamu"/>
              <w:numPr>
                <w:ilvl w:val="0"/>
                <w:numId w:val="87"/>
              </w:numPr>
              <w:spacing w:before="0" w:line="276" w:lineRule="auto"/>
              <w:ind w:left="238" w:hanging="284"/>
              <w:rPr>
                <w:rFonts w:asciiTheme="majorHAnsi" w:hAnsiTheme="majorHAnsi"/>
                <w:i/>
                <w:sz w:val="16"/>
                <w:szCs w:val="16"/>
                <w:lang w:eastAsia="cs-CZ"/>
              </w:rPr>
            </w:pPr>
            <w:r w:rsidRPr="006F1168">
              <w:rPr>
                <w:rFonts w:asciiTheme="majorHAnsi" w:hAnsiTheme="majorHAnsi"/>
                <w:sz w:val="16"/>
                <w:szCs w:val="16"/>
                <w:lang w:eastAsia="cs-CZ"/>
              </w:rPr>
              <w:t>Stratégia zabezpečenia kvality v počiatočnom odbornom vzdelávaní a príprave v SR (Feasibility study)</w:t>
            </w:r>
          </w:p>
        </w:tc>
        <w:tc>
          <w:tcPr>
            <w:tcW w:w="2862" w:type="dxa"/>
            <w:gridSpan w:val="3"/>
          </w:tcPr>
          <w:p w:rsidR="00C75AB3" w:rsidRPr="00B05B51" w:rsidRDefault="00C75AB3" w:rsidP="00C75AB3">
            <w:pPr>
              <w:pStyle w:val="Style31"/>
              <w:widowControl/>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lastRenderedPageBreak/>
              <w:t>Účinnosť zákona od 1.</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9.</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2015</w:t>
            </w:r>
          </w:p>
          <w:p w:rsidR="001D2859" w:rsidRPr="00B763E3" w:rsidRDefault="001D2859"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05B51" w:rsidRDefault="00C75AB3" w:rsidP="004E2D6C">
            <w:pPr>
              <w:spacing w:before="0" w:line="276" w:lineRule="auto"/>
              <w:rPr>
                <w:rStyle w:val="FontStyle94"/>
                <w:rFonts w:asciiTheme="majorHAnsi" w:hAnsiTheme="majorHAnsi" w:cs="Arial"/>
                <w:sz w:val="16"/>
                <w:szCs w:val="16"/>
              </w:rPr>
            </w:pPr>
            <w:r w:rsidRPr="00B05B51">
              <w:rPr>
                <w:rStyle w:val="FontStyle94"/>
                <w:rFonts w:asciiTheme="majorHAnsi" w:hAnsiTheme="majorHAnsi" w:cs="Arial"/>
                <w:sz w:val="16"/>
                <w:szCs w:val="16"/>
              </w:rPr>
              <w:t>01.</w:t>
            </w:r>
            <w:r w:rsidR="0057349A"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4.</w:t>
            </w:r>
            <w:r w:rsidR="0057349A"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2013-31.</w:t>
            </w:r>
            <w:r w:rsidR="0057349A"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10.</w:t>
            </w:r>
            <w:r w:rsidR="0057349A"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2015</w:t>
            </w:r>
          </w:p>
          <w:p w:rsidR="00C75AB3" w:rsidRPr="00B05B51" w:rsidRDefault="00C75AB3" w:rsidP="004E2D6C">
            <w:pPr>
              <w:spacing w:before="0" w:line="276" w:lineRule="auto"/>
              <w:rPr>
                <w:rStyle w:val="FontStyle94"/>
                <w:rFonts w:asciiTheme="majorHAnsi" w:hAnsiTheme="majorHAnsi" w:cs="Arial"/>
                <w:sz w:val="16"/>
                <w:szCs w:val="16"/>
              </w:rPr>
            </w:pPr>
          </w:p>
          <w:p w:rsidR="00C75AB3" w:rsidRPr="00B05B51" w:rsidRDefault="00C75AB3" w:rsidP="004E2D6C">
            <w:pPr>
              <w:spacing w:before="0" w:line="276" w:lineRule="auto"/>
              <w:rPr>
                <w:rStyle w:val="FontStyle94"/>
                <w:rFonts w:asciiTheme="majorHAnsi" w:hAnsiTheme="majorHAnsi" w:cs="Arial"/>
                <w:sz w:val="16"/>
                <w:szCs w:val="16"/>
              </w:rPr>
            </w:pPr>
          </w:p>
          <w:p w:rsidR="00C75AB3" w:rsidRPr="00B05B51" w:rsidRDefault="00C75AB3" w:rsidP="004E2D6C">
            <w:pPr>
              <w:spacing w:before="0" w:line="276" w:lineRule="auto"/>
              <w:rPr>
                <w:rStyle w:val="FontStyle94"/>
                <w:rFonts w:asciiTheme="majorHAnsi" w:hAnsiTheme="majorHAnsi" w:cs="Arial"/>
                <w:sz w:val="16"/>
                <w:szCs w:val="16"/>
              </w:rPr>
            </w:pPr>
          </w:p>
          <w:p w:rsidR="00C75AB3" w:rsidRPr="00B05B51" w:rsidRDefault="00C75AB3" w:rsidP="004E2D6C">
            <w:pPr>
              <w:spacing w:before="0" w:line="276" w:lineRule="auto"/>
              <w:rPr>
                <w:rStyle w:val="FontStyle94"/>
                <w:rFonts w:asciiTheme="majorHAnsi" w:hAnsiTheme="majorHAnsi" w:cs="Arial"/>
                <w:sz w:val="16"/>
                <w:szCs w:val="16"/>
              </w:rPr>
            </w:pPr>
          </w:p>
          <w:p w:rsidR="00C75AB3" w:rsidRPr="00B05B51" w:rsidRDefault="00C75AB3" w:rsidP="004E2D6C">
            <w:pPr>
              <w:spacing w:before="0" w:line="276" w:lineRule="auto"/>
              <w:rPr>
                <w:rStyle w:val="FontStyle94"/>
                <w:rFonts w:asciiTheme="majorHAnsi" w:hAnsiTheme="majorHAnsi" w:cs="Arial"/>
                <w:sz w:val="16"/>
                <w:szCs w:val="16"/>
              </w:rPr>
            </w:pPr>
          </w:p>
          <w:p w:rsidR="006F1168" w:rsidRDefault="006F1168" w:rsidP="00C75AB3">
            <w:pPr>
              <w:pStyle w:val="Style31"/>
              <w:widowControl/>
              <w:jc w:val="both"/>
              <w:rPr>
                <w:rStyle w:val="FontStyle94"/>
                <w:rFonts w:asciiTheme="majorHAnsi" w:hAnsiTheme="majorHAnsi" w:cs="Arial"/>
                <w:sz w:val="16"/>
                <w:szCs w:val="16"/>
                <w:lang w:eastAsia="en-US"/>
              </w:rPr>
            </w:pPr>
          </w:p>
          <w:p w:rsidR="006F1168" w:rsidRDefault="006F1168" w:rsidP="00C75AB3">
            <w:pPr>
              <w:pStyle w:val="Style31"/>
              <w:widowControl/>
              <w:jc w:val="both"/>
              <w:rPr>
                <w:rStyle w:val="FontStyle94"/>
                <w:rFonts w:asciiTheme="majorHAnsi" w:hAnsiTheme="majorHAnsi" w:cs="Arial"/>
                <w:sz w:val="16"/>
                <w:szCs w:val="16"/>
                <w:lang w:eastAsia="en-US"/>
              </w:rPr>
            </w:pPr>
          </w:p>
          <w:p w:rsidR="006F1168" w:rsidRDefault="006F1168" w:rsidP="00C75AB3">
            <w:pPr>
              <w:pStyle w:val="Style31"/>
              <w:widowControl/>
              <w:jc w:val="both"/>
              <w:rPr>
                <w:rStyle w:val="FontStyle94"/>
                <w:rFonts w:asciiTheme="majorHAnsi" w:hAnsiTheme="majorHAnsi" w:cs="Arial"/>
                <w:sz w:val="16"/>
                <w:szCs w:val="16"/>
                <w:lang w:eastAsia="en-US"/>
              </w:rPr>
            </w:pPr>
          </w:p>
          <w:p w:rsidR="00C75AB3" w:rsidRPr="00B05B51" w:rsidRDefault="00C75AB3" w:rsidP="00C75AB3">
            <w:pPr>
              <w:pStyle w:val="Style31"/>
              <w:widowControl/>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t>01.</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3.</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2013 – 31.</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10.</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 xml:space="preserve">2015 </w:t>
            </w: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C75AB3" w:rsidRPr="00B763E3" w:rsidRDefault="00C75AB3" w:rsidP="004E2D6C">
            <w:pPr>
              <w:spacing w:before="0" w:line="276" w:lineRule="auto"/>
              <w:rPr>
                <w:rFonts w:asciiTheme="majorHAnsi" w:hAnsiTheme="majorHAnsi"/>
                <w:sz w:val="16"/>
                <w:szCs w:val="16"/>
                <w:lang w:eastAsia="cs-CZ"/>
              </w:rPr>
            </w:pPr>
          </w:p>
          <w:p w:rsidR="006F1168" w:rsidRPr="00B763E3" w:rsidRDefault="006F1168"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D32942" w:rsidRPr="00B05B51" w:rsidRDefault="00D32942" w:rsidP="00D32942">
            <w:pPr>
              <w:pStyle w:val="Style31"/>
              <w:widowControl/>
              <w:jc w:val="both"/>
              <w:rPr>
                <w:rStyle w:val="FontStyle94"/>
                <w:rFonts w:asciiTheme="majorHAnsi" w:hAnsiTheme="majorHAnsi" w:cs="Arial"/>
                <w:sz w:val="16"/>
                <w:szCs w:val="16"/>
                <w:lang w:eastAsia="en-US"/>
              </w:rPr>
            </w:pPr>
            <w:r w:rsidRPr="00B05B51">
              <w:rPr>
                <w:rStyle w:val="FontStyle94"/>
                <w:rFonts w:asciiTheme="majorHAnsi" w:hAnsiTheme="majorHAnsi" w:cs="Arial"/>
                <w:sz w:val="16"/>
                <w:szCs w:val="16"/>
                <w:lang w:eastAsia="en-US"/>
              </w:rPr>
              <w:t>23.</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3.</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2013 - 31.</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10.</w:t>
            </w:r>
            <w:r w:rsidR="0057349A" w:rsidRPr="00B05B51">
              <w:rPr>
                <w:rStyle w:val="FontStyle94"/>
                <w:rFonts w:asciiTheme="majorHAnsi" w:hAnsiTheme="majorHAnsi" w:cs="Arial"/>
                <w:sz w:val="16"/>
                <w:szCs w:val="16"/>
                <w:lang w:eastAsia="en-US"/>
              </w:rPr>
              <w:t xml:space="preserve"> </w:t>
            </w:r>
            <w:r w:rsidRPr="00B05B51">
              <w:rPr>
                <w:rStyle w:val="FontStyle94"/>
                <w:rFonts w:asciiTheme="majorHAnsi" w:hAnsiTheme="majorHAnsi" w:cs="Arial"/>
                <w:sz w:val="16"/>
                <w:szCs w:val="16"/>
                <w:lang w:eastAsia="en-US"/>
              </w:rPr>
              <w:t>2015</w:t>
            </w:r>
          </w:p>
          <w:p w:rsidR="00C75AB3" w:rsidRPr="00B763E3" w:rsidRDefault="00C75AB3"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p>
          <w:p w:rsidR="00D32942" w:rsidRPr="00B763E3" w:rsidRDefault="00D32942"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30. 9. 2014</w:t>
            </w:r>
          </w:p>
          <w:p w:rsidR="00D32942" w:rsidRPr="00B763E3" w:rsidRDefault="00D32942" w:rsidP="004E2D6C">
            <w:pPr>
              <w:spacing w:before="0" w:line="276" w:lineRule="auto"/>
              <w:rPr>
                <w:rFonts w:asciiTheme="majorHAnsi" w:hAnsiTheme="majorHAnsi"/>
                <w:sz w:val="16"/>
                <w:szCs w:val="16"/>
                <w:lang w:eastAsia="cs-CZ"/>
              </w:rPr>
            </w:pPr>
          </w:p>
        </w:tc>
        <w:tc>
          <w:tcPr>
            <w:tcW w:w="2346" w:type="dxa"/>
            <w:tcBorders>
              <w:right w:val="single" w:sz="12" w:space="0" w:color="auto"/>
            </w:tcBorders>
          </w:tcPr>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MŠVVŠ SR</w:t>
            </w: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MPSVR SR</w:t>
            </w: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ŠIOV</w:t>
            </w: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ŠIOV</w:t>
            </w: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ŠIOV</w:t>
            </w: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p>
          <w:p w:rsidR="00D32942"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MŠVVŠ SR</w:t>
            </w:r>
          </w:p>
          <w:p w:rsidR="001D2859" w:rsidRPr="00B763E3" w:rsidRDefault="00D32942" w:rsidP="00D32942">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ŠIOV</w:t>
            </w:r>
          </w:p>
        </w:tc>
      </w:tr>
      <w:tr w:rsidR="006126A7" w:rsidRPr="00DF567A" w:rsidTr="00CC23CF">
        <w:trPr>
          <w:trHeight w:val="365"/>
        </w:trPr>
        <w:tc>
          <w:tcPr>
            <w:tcW w:w="1949" w:type="dxa"/>
            <w:vMerge w:val="restart"/>
            <w:tcBorders>
              <w:top w:val="single" w:sz="12" w:space="0" w:color="auto"/>
              <w:left w:val="single" w:sz="12" w:space="0" w:color="auto"/>
            </w:tcBorders>
          </w:tcPr>
          <w:p w:rsidR="006126A7" w:rsidRPr="00B763E3" w:rsidRDefault="006126A7" w:rsidP="00B52ED3">
            <w:pPr>
              <w:spacing w:before="0" w:line="276" w:lineRule="auto"/>
              <w:rPr>
                <w:rFonts w:asciiTheme="majorHAnsi" w:hAnsiTheme="majorHAnsi"/>
                <w:sz w:val="16"/>
                <w:szCs w:val="16"/>
              </w:rPr>
            </w:pPr>
            <w:r w:rsidRPr="00B763E3">
              <w:rPr>
                <w:rFonts w:asciiTheme="majorHAnsi" w:hAnsiTheme="majorHAnsi"/>
                <w:sz w:val="16"/>
                <w:szCs w:val="16"/>
              </w:rPr>
              <w:lastRenderedPageBreak/>
              <w:t xml:space="preserve">11. </w:t>
            </w:r>
            <w:r w:rsidRPr="00B763E3">
              <w:rPr>
                <w:rFonts w:asciiTheme="majorHAnsi" w:eastAsia="Calibri" w:hAnsiTheme="majorHAnsi"/>
                <w:sz w:val="16"/>
                <w:szCs w:val="16"/>
              </w:rPr>
              <w:t>Existencia strategického politického rámca na posilňovanie efektivity verejnej správy členských štátov vrátane reformy verejnej správy.</w:t>
            </w:r>
            <w:r w:rsidRPr="00B763E3">
              <w:rPr>
                <w:rFonts w:asciiTheme="majorHAnsi" w:hAnsiTheme="majorHAnsi"/>
                <w:sz w:val="16"/>
                <w:szCs w:val="16"/>
              </w:rPr>
              <w:t>)</w:t>
            </w:r>
          </w:p>
        </w:tc>
        <w:tc>
          <w:tcPr>
            <w:tcW w:w="2100" w:type="dxa"/>
            <w:gridSpan w:val="2"/>
            <w:vMerge w:val="restart"/>
            <w:tcBorders>
              <w:top w:val="single" w:sz="12" w:space="0" w:color="auto"/>
            </w:tcBorders>
          </w:tcPr>
          <w:p w:rsidR="00086C0E" w:rsidRDefault="00086C0E" w:rsidP="00B52ED3">
            <w:pPr>
              <w:spacing w:before="0" w:line="276" w:lineRule="auto"/>
              <w:rPr>
                <w:rFonts w:ascii="Calibri" w:hAnsi="Calibri"/>
                <w:sz w:val="16"/>
                <w:szCs w:val="16"/>
              </w:rPr>
            </w:pPr>
            <w:r w:rsidRPr="004E2D6C">
              <w:rPr>
                <w:rFonts w:ascii="Calibri" w:hAnsi="Calibri"/>
                <w:sz w:val="16"/>
                <w:szCs w:val="16"/>
              </w:rPr>
              <w:t>Zavedený je a vykonáva sa strategický politický rámec na posilňovanie efektivity orgánov verejnej správy členského štátu a ich zručností, ktorý zahŕňa tieto prvky:</w:t>
            </w:r>
          </w:p>
          <w:p w:rsidR="006126A7" w:rsidRPr="00B763E3" w:rsidRDefault="00086C0E" w:rsidP="000D7C6E">
            <w:pPr>
              <w:rPr>
                <w:rFonts w:asciiTheme="majorHAnsi" w:hAnsiTheme="majorHAnsi"/>
              </w:rPr>
            </w:pPr>
            <w:r w:rsidRPr="00086C0E">
              <w:rPr>
                <w:rFonts w:ascii="Calibri" w:hAnsi="Calibri"/>
                <w:sz w:val="16"/>
                <w:szCs w:val="16"/>
              </w:rPr>
              <w:t>-</w:t>
            </w:r>
            <w:r>
              <w:rPr>
                <w:rFonts w:ascii="Calibri" w:hAnsi="Calibri"/>
                <w:sz w:val="16"/>
                <w:szCs w:val="16"/>
              </w:rPr>
              <w:t xml:space="preserve"> </w:t>
            </w:r>
            <w:r w:rsidRPr="000D7C6E">
              <w:rPr>
                <w:rFonts w:ascii="Calibri" w:hAnsi="Calibri"/>
                <w:sz w:val="16"/>
                <w:szCs w:val="16"/>
              </w:rPr>
              <w:t>analýzu a strategický plán právnych, organizačných a/alebo procesných reformných opatrení,</w:t>
            </w:r>
          </w:p>
        </w:tc>
        <w:tc>
          <w:tcPr>
            <w:tcW w:w="4853" w:type="dxa"/>
            <w:gridSpan w:val="2"/>
            <w:tcBorders>
              <w:top w:val="single" w:sz="12" w:space="0" w:color="auto"/>
            </w:tcBorders>
          </w:tcPr>
          <w:p w:rsidR="003C2CF7" w:rsidRPr="00B763E3" w:rsidRDefault="003C2CF7" w:rsidP="003C2CF7">
            <w:pPr>
              <w:spacing w:before="200" w:after="200" w:line="276" w:lineRule="auto"/>
              <w:rPr>
                <w:rStyle w:val="FontStyle98"/>
                <w:rFonts w:asciiTheme="majorHAnsi" w:hAnsiTheme="majorHAnsi"/>
                <w:b w:val="0"/>
                <w:sz w:val="16"/>
              </w:rPr>
            </w:pPr>
            <w:r w:rsidRPr="00B763E3">
              <w:rPr>
                <w:rStyle w:val="FontStyle98"/>
                <w:rFonts w:asciiTheme="majorHAnsi" w:hAnsiTheme="majorHAnsi"/>
                <w:b w:val="0"/>
                <w:sz w:val="16"/>
              </w:rPr>
              <w:t>Rozvoj reformných koncepcií v jednotlivých segmentoch verejnej správy v SR.</w:t>
            </w:r>
          </w:p>
          <w:p w:rsidR="003C2CF7" w:rsidRPr="00B763E3" w:rsidRDefault="003C2CF7" w:rsidP="003C2CF7">
            <w:pPr>
              <w:spacing w:before="200" w:after="200" w:line="276" w:lineRule="auto"/>
              <w:rPr>
                <w:rStyle w:val="FontStyle98"/>
                <w:rFonts w:asciiTheme="majorHAnsi" w:hAnsiTheme="majorHAnsi"/>
                <w:b w:val="0"/>
                <w:sz w:val="16"/>
              </w:rPr>
            </w:pPr>
            <w:r w:rsidRPr="00B763E3">
              <w:rPr>
                <w:rStyle w:val="FontStyle98"/>
                <w:rFonts w:asciiTheme="majorHAnsi" w:hAnsiTheme="majorHAnsi"/>
                <w:b w:val="0"/>
                <w:sz w:val="16"/>
              </w:rPr>
              <w:t>Zadefinovanie Východiskovej stratégi</w:t>
            </w:r>
            <w:r w:rsidRPr="00B763E3">
              <w:rPr>
                <w:rStyle w:val="FontStyle98"/>
                <w:rFonts w:asciiTheme="majorHAnsi" w:hAnsiTheme="majorHAnsi"/>
                <w:b w:val="0"/>
                <w:sz w:val="16"/>
                <w:szCs w:val="20"/>
                <w:lang w:eastAsia="da-DK"/>
              </w:rPr>
              <w:t>e pre reformu verejnej správy</w:t>
            </w:r>
            <w:r w:rsidRPr="00B763E3">
              <w:rPr>
                <w:rStyle w:val="FontStyle98"/>
                <w:rFonts w:asciiTheme="majorHAnsi" w:hAnsiTheme="majorHAnsi"/>
                <w:b w:val="0"/>
                <w:sz w:val="16"/>
              </w:rPr>
              <w:t xml:space="preserve"> </w:t>
            </w:r>
            <w:r w:rsidR="00E61814">
              <w:rPr>
                <w:rStyle w:val="FontStyle98"/>
                <w:rFonts w:asciiTheme="majorHAnsi" w:hAnsiTheme="majorHAnsi"/>
                <w:b w:val="0"/>
                <w:sz w:val="16"/>
              </w:rPr>
              <w:br/>
            </w:r>
            <w:r w:rsidRPr="00B763E3">
              <w:rPr>
                <w:rStyle w:val="FontStyle98"/>
                <w:rFonts w:asciiTheme="majorHAnsi" w:hAnsiTheme="majorHAnsi"/>
                <w:b w:val="0"/>
                <w:sz w:val="16"/>
              </w:rPr>
              <w:t>v SR</w:t>
            </w:r>
          </w:p>
          <w:p w:rsidR="003C2CF7" w:rsidRPr="00B763E3" w:rsidRDefault="003C2CF7" w:rsidP="003C2CF7">
            <w:pPr>
              <w:spacing w:before="200" w:after="200" w:line="276" w:lineRule="auto"/>
              <w:rPr>
                <w:rStyle w:val="FontStyle98"/>
                <w:rFonts w:asciiTheme="majorHAnsi" w:hAnsiTheme="majorHAnsi"/>
                <w:b w:val="0"/>
                <w:sz w:val="16"/>
                <w:lang w:val="da-DK"/>
              </w:rPr>
            </w:pPr>
            <w:r w:rsidRPr="00B763E3">
              <w:rPr>
                <w:rStyle w:val="FontStyle98"/>
                <w:rFonts w:asciiTheme="majorHAnsi" w:hAnsiTheme="majorHAnsi"/>
                <w:b w:val="0"/>
                <w:sz w:val="16"/>
                <w:szCs w:val="20"/>
                <w:lang w:eastAsia="da-DK"/>
              </w:rPr>
              <w:t xml:space="preserve">Východisková stratégia bude obsahovať ciele, priority, </w:t>
            </w:r>
            <w:r w:rsidR="00A729C2" w:rsidRPr="00B763E3">
              <w:rPr>
                <w:rStyle w:val="FontStyle98"/>
                <w:rFonts w:asciiTheme="majorHAnsi" w:hAnsiTheme="majorHAnsi"/>
                <w:b w:val="0"/>
                <w:sz w:val="16"/>
                <w:szCs w:val="20"/>
                <w:lang w:eastAsia="da-DK"/>
              </w:rPr>
              <w:t>míľniky</w:t>
            </w:r>
            <w:r w:rsidRPr="00B763E3">
              <w:rPr>
                <w:rStyle w:val="FontStyle98"/>
                <w:rFonts w:asciiTheme="majorHAnsi" w:hAnsiTheme="majorHAnsi"/>
                <w:b w:val="0"/>
                <w:sz w:val="16"/>
              </w:rPr>
              <w:t xml:space="preserve"> </w:t>
            </w:r>
            <w:r w:rsidR="00E61814">
              <w:rPr>
                <w:rStyle w:val="FontStyle98"/>
                <w:rFonts w:asciiTheme="majorHAnsi" w:hAnsiTheme="majorHAnsi"/>
                <w:b w:val="0"/>
                <w:sz w:val="16"/>
              </w:rPr>
              <w:br/>
            </w:r>
            <w:r w:rsidRPr="00B763E3">
              <w:rPr>
                <w:rStyle w:val="FontStyle98"/>
                <w:rFonts w:asciiTheme="majorHAnsi" w:hAnsiTheme="majorHAnsi"/>
                <w:b w:val="0"/>
                <w:sz w:val="16"/>
                <w:szCs w:val="20"/>
                <w:lang w:eastAsia="da-DK"/>
              </w:rPr>
              <w:t xml:space="preserve">a predbežnú alokáciu rozpočtových prostriedkov verejnej správy </w:t>
            </w:r>
            <w:r w:rsidR="00E61814">
              <w:rPr>
                <w:rStyle w:val="FontStyle98"/>
                <w:rFonts w:asciiTheme="majorHAnsi" w:hAnsiTheme="majorHAnsi"/>
                <w:b w:val="0"/>
                <w:sz w:val="16"/>
                <w:szCs w:val="20"/>
                <w:lang w:eastAsia="da-DK"/>
              </w:rPr>
              <w:br/>
            </w:r>
            <w:r w:rsidRPr="00B763E3">
              <w:rPr>
                <w:rStyle w:val="FontStyle98"/>
                <w:rFonts w:asciiTheme="majorHAnsi" w:hAnsiTheme="majorHAnsi"/>
                <w:b w:val="0"/>
                <w:sz w:val="16"/>
                <w:szCs w:val="20"/>
                <w:lang w:eastAsia="da-DK"/>
              </w:rPr>
              <w:t xml:space="preserve">v jednotilivých segmentoch. </w:t>
            </w:r>
          </w:p>
          <w:p w:rsidR="006126A7" w:rsidRPr="00B05B51" w:rsidRDefault="003C2CF7" w:rsidP="003C2CF7">
            <w:pPr>
              <w:widowControl w:val="0"/>
              <w:shd w:val="clear" w:color="auto" w:fill="FFFFFF"/>
              <w:autoSpaceDE w:val="0"/>
              <w:autoSpaceDN w:val="0"/>
              <w:adjustRightInd w:val="0"/>
              <w:spacing w:before="0" w:line="235" w:lineRule="exact"/>
              <w:rPr>
                <w:rStyle w:val="FontStyle94"/>
                <w:rFonts w:asciiTheme="majorHAnsi" w:hAnsiTheme="majorHAnsi" w:cs="Arial"/>
                <w:sz w:val="16"/>
              </w:rPr>
            </w:pPr>
            <w:r w:rsidRPr="00B763E3">
              <w:rPr>
                <w:rStyle w:val="FontStyle98"/>
                <w:rFonts w:asciiTheme="majorHAnsi" w:hAnsiTheme="majorHAnsi"/>
                <w:b w:val="0"/>
                <w:sz w:val="16"/>
                <w:szCs w:val="20"/>
                <w:lang w:eastAsia="da-DK"/>
              </w:rPr>
              <w:t>Prijatie Akčného plánu s časovým harmonogramom</w:t>
            </w:r>
            <w:r w:rsidRPr="00B763E3">
              <w:rPr>
                <w:rStyle w:val="FontStyle98"/>
                <w:rFonts w:asciiTheme="majorHAnsi" w:hAnsiTheme="majorHAnsi"/>
                <w:b w:val="0"/>
                <w:sz w:val="16"/>
              </w:rPr>
              <w:t xml:space="preserve"> a monitorovacím </w:t>
            </w:r>
            <w:r w:rsidRPr="00B763E3">
              <w:rPr>
                <w:rStyle w:val="FontStyle98"/>
                <w:rFonts w:asciiTheme="majorHAnsi" w:hAnsiTheme="majorHAnsi"/>
                <w:b w:val="0"/>
                <w:sz w:val="16"/>
              </w:rPr>
              <w:lastRenderedPageBreak/>
              <w:t>plánom</w:t>
            </w:r>
            <w:r w:rsidRPr="00B763E3">
              <w:rPr>
                <w:rStyle w:val="FontStyle98"/>
                <w:rFonts w:asciiTheme="majorHAnsi" w:hAnsiTheme="majorHAnsi"/>
                <w:b w:val="0"/>
                <w:sz w:val="16"/>
                <w:szCs w:val="20"/>
                <w:lang w:eastAsia="da-DK"/>
              </w:rPr>
              <w:t xml:space="preserve"> pre implementáciu stratégie.</w:t>
            </w:r>
          </w:p>
        </w:tc>
        <w:tc>
          <w:tcPr>
            <w:tcW w:w="2862" w:type="dxa"/>
            <w:gridSpan w:val="3"/>
            <w:tcBorders>
              <w:top w:val="single" w:sz="12" w:space="0" w:color="auto"/>
            </w:tcBorders>
          </w:tcPr>
          <w:p w:rsidR="006126A7" w:rsidRPr="00B05B51" w:rsidRDefault="006126A7" w:rsidP="00B52ED3">
            <w:pPr>
              <w:shd w:val="clear" w:color="auto" w:fill="FFFFFF"/>
              <w:autoSpaceDE w:val="0"/>
              <w:autoSpaceDN w:val="0"/>
              <w:adjustRightInd w:val="0"/>
              <w:spacing w:before="60"/>
              <w:jc w:val="left"/>
              <w:rPr>
                <w:rStyle w:val="FontStyle94"/>
                <w:rFonts w:asciiTheme="majorHAnsi" w:hAnsiTheme="majorHAnsi" w:cs="Arial"/>
                <w:sz w:val="16"/>
              </w:rPr>
            </w:pPr>
            <w:r w:rsidRPr="00B05B51">
              <w:rPr>
                <w:rStyle w:val="FontStyle94"/>
                <w:rFonts w:asciiTheme="majorHAnsi" w:hAnsiTheme="majorHAnsi" w:cs="Arial"/>
                <w:sz w:val="16"/>
                <w:szCs w:val="16"/>
              </w:rPr>
              <w:lastRenderedPageBreak/>
              <w:t>31. 12. 201</w:t>
            </w:r>
            <w:r w:rsidR="003C2CF7" w:rsidRPr="00B05B51">
              <w:rPr>
                <w:rStyle w:val="FontStyle94"/>
                <w:rFonts w:asciiTheme="majorHAnsi" w:hAnsiTheme="majorHAnsi" w:cs="Arial"/>
                <w:sz w:val="16"/>
                <w:szCs w:val="16"/>
              </w:rPr>
              <w:t>5</w:t>
            </w:r>
          </w:p>
        </w:tc>
        <w:tc>
          <w:tcPr>
            <w:tcW w:w="2346" w:type="dxa"/>
            <w:tcBorders>
              <w:top w:val="single" w:sz="12" w:space="0" w:color="auto"/>
              <w:right w:val="single" w:sz="12" w:space="0" w:color="auto"/>
            </w:tcBorders>
          </w:tcPr>
          <w:p w:rsidR="006126A7" w:rsidRPr="00B05B51" w:rsidRDefault="006126A7" w:rsidP="00B52ED3">
            <w:pPr>
              <w:shd w:val="clear" w:color="auto" w:fill="FFFFFF"/>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Členovia Riadiaceho výboru</w:t>
            </w:r>
          </w:p>
        </w:tc>
      </w:tr>
      <w:tr w:rsidR="006126A7" w:rsidRPr="00DF567A" w:rsidTr="000D7C6E">
        <w:trPr>
          <w:trHeight w:val="365"/>
        </w:trPr>
        <w:tc>
          <w:tcPr>
            <w:tcW w:w="1949" w:type="dxa"/>
            <w:vMerge/>
            <w:tcBorders>
              <w:left w:val="single" w:sz="12" w:space="0" w:color="auto"/>
            </w:tcBorders>
          </w:tcPr>
          <w:p w:rsidR="006126A7" w:rsidRPr="009B7C77" w:rsidRDefault="006126A7" w:rsidP="00B52ED3">
            <w:pPr>
              <w:spacing w:before="0" w:line="276" w:lineRule="auto"/>
              <w:rPr>
                <w:rFonts w:asciiTheme="majorHAnsi" w:hAnsiTheme="majorHAnsi"/>
                <w:sz w:val="16"/>
                <w:szCs w:val="16"/>
              </w:rPr>
            </w:pPr>
          </w:p>
        </w:tc>
        <w:tc>
          <w:tcPr>
            <w:tcW w:w="2100" w:type="dxa"/>
            <w:gridSpan w:val="2"/>
            <w:vMerge/>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57349A">
            <w:pPr>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 xml:space="preserve">Tretia etapa ESO III je v procese implementácie. Budú reštrukturalizované a reorganizované ďalšie špecializované miestne orgány štátnej správy (regionálne veterinárne a potravinové správy, regionálne úrady verejného zdravotníctva a úrady práce, sociálnych vecí a rodiny). Prípadná integrácia resp. reorganizácia a reštrukturalizácia predmetných špecializovaných miestnych orgánov štátnej správy je v súčasnosti ešte predmetom vzájomných rokovaní na úrovni zainteresovaných ústredných orgánov štátnej správy. Viď zákon č. 180/2013 Z. z. o organizácií miestnej štátnej správy a príslušnej novelizácie dostupný na </w:t>
            </w:r>
            <w:hyperlink r:id="rId201" w:history="1">
              <w:r w:rsidRPr="00B05B51">
                <w:rPr>
                  <w:rStyle w:val="FontStyle94"/>
                  <w:rFonts w:asciiTheme="majorHAnsi" w:hAnsiTheme="majorHAnsi" w:cs="Arial"/>
                  <w:sz w:val="16"/>
                  <w:szCs w:val="16"/>
                </w:rPr>
                <w:t>http://bit.ly/1dv8NiS</w:t>
              </w:r>
            </w:hyperlink>
            <w:r w:rsidRPr="00B05B51">
              <w:rPr>
                <w:rStyle w:val="FontStyle94"/>
                <w:rFonts w:asciiTheme="majorHAnsi" w:hAnsiTheme="majorHAnsi" w:cs="Arial"/>
                <w:sz w:val="16"/>
                <w:szCs w:val="16"/>
              </w:rPr>
              <w:t xml:space="preserve"> a </w:t>
            </w:r>
            <w:hyperlink r:id="rId202" w:history="1">
              <w:r w:rsidRPr="00B05B51">
                <w:rPr>
                  <w:rStyle w:val="FontStyle94"/>
                  <w:rFonts w:asciiTheme="majorHAnsi" w:hAnsiTheme="majorHAnsi" w:cs="Arial"/>
                  <w:sz w:val="16"/>
                  <w:szCs w:val="16"/>
                </w:rPr>
                <w:t>http://bit.ly/1eRyIFp</w:t>
              </w:r>
            </w:hyperlink>
            <w:r w:rsidRPr="00B05B51">
              <w:rPr>
                <w:rStyle w:val="FontStyle94"/>
                <w:rFonts w:asciiTheme="majorHAnsi" w:hAnsiTheme="majorHAnsi" w:cs="Arial"/>
                <w:sz w:val="16"/>
                <w:szCs w:val="16"/>
              </w:rPr>
              <w:t xml:space="preserve">   </w:t>
            </w:r>
          </w:p>
        </w:tc>
        <w:tc>
          <w:tcPr>
            <w:tcW w:w="2862" w:type="dxa"/>
            <w:gridSpan w:val="3"/>
            <w:vAlign w:val="center"/>
          </w:tcPr>
          <w:p w:rsidR="006126A7" w:rsidRPr="00B05B51" w:rsidRDefault="000F3BD0" w:rsidP="000F3BD0">
            <w:pPr>
              <w:shd w:val="clear" w:color="auto" w:fill="FFFFFF"/>
              <w:autoSpaceDE w:val="0"/>
              <w:autoSpaceDN w:val="0"/>
              <w:adjustRightInd w:val="0"/>
              <w:spacing w:before="60"/>
              <w:jc w:val="left"/>
              <w:rPr>
                <w:rStyle w:val="FontStyle94"/>
                <w:rFonts w:asciiTheme="majorHAnsi" w:hAnsiTheme="majorHAnsi" w:cs="Arial"/>
                <w:sz w:val="16"/>
              </w:rPr>
            </w:pPr>
            <w:r w:rsidRPr="00B05B51">
              <w:rPr>
                <w:rStyle w:val="FontStyle94"/>
                <w:rFonts w:asciiTheme="majorHAnsi" w:hAnsiTheme="majorHAnsi" w:cs="Arial"/>
                <w:sz w:val="16"/>
                <w:szCs w:val="16"/>
              </w:rPr>
              <w:t xml:space="preserve">31. 12. </w:t>
            </w:r>
            <w:r w:rsidR="006126A7" w:rsidRPr="00B05B51">
              <w:rPr>
                <w:rStyle w:val="FontStyle94"/>
                <w:rFonts w:asciiTheme="majorHAnsi" w:hAnsiTheme="majorHAnsi" w:cs="Arial"/>
                <w:sz w:val="16"/>
                <w:szCs w:val="16"/>
              </w:rPr>
              <w:t>2014</w:t>
            </w:r>
          </w:p>
        </w:tc>
        <w:tc>
          <w:tcPr>
            <w:tcW w:w="2346" w:type="dxa"/>
            <w:tcBorders>
              <w:right w:val="single" w:sz="12" w:space="0" w:color="auto"/>
            </w:tcBorders>
          </w:tcPr>
          <w:p w:rsidR="006126A7" w:rsidRPr="00B05B51" w:rsidRDefault="006126A7" w:rsidP="00B52ED3">
            <w:pPr>
              <w:shd w:val="clear" w:color="auto" w:fill="FFFFFF"/>
              <w:spacing w:before="0"/>
              <w:rPr>
                <w:rStyle w:val="FontStyle94"/>
                <w:rFonts w:asciiTheme="majorHAnsi" w:hAnsiTheme="majorHAnsi" w:cs="Arial"/>
                <w:sz w:val="16"/>
              </w:rPr>
            </w:pPr>
            <w:r w:rsidRPr="00B05B51">
              <w:rPr>
                <w:rStyle w:val="FontStyle94"/>
                <w:rFonts w:asciiTheme="majorHAnsi" w:hAnsiTheme="majorHAnsi" w:cs="Arial"/>
                <w:sz w:val="16"/>
                <w:szCs w:val="16"/>
              </w:rPr>
              <w:t xml:space="preserve">MPSVR SR, MZ SR, MPRV SR v spolupráci s MV SR  </w:t>
            </w:r>
          </w:p>
        </w:tc>
      </w:tr>
      <w:tr w:rsidR="006126A7" w:rsidRPr="00DF567A" w:rsidTr="000D7C6E">
        <w:trPr>
          <w:trHeight w:val="365"/>
        </w:trPr>
        <w:tc>
          <w:tcPr>
            <w:tcW w:w="1949" w:type="dxa"/>
            <w:vMerge/>
            <w:tcBorders>
              <w:left w:val="single" w:sz="12" w:space="0" w:color="auto"/>
            </w:tcBorders>
          </w:tcPr>
          <w:p w:rsidR="006126A7" w:rsidRPr="009B7C77" w:rsidRDefault="006126A7" w:rsidP="00B52ED3">
            <w:pPr>
              <w:spacing w:before="0" w:line="276" w:lineRule="auto"/>
              <w:rPr>
                <w:rFonts w:asciiTheme="majorHAnsi" w:hAnsiTheme="majorHAnsi"/>
                <w:sz w:val="16"/>
                <w:szCs w:val="16"/>
              </w:rPr>
            </w:pPr>
          </w:p>
        </w:tc>
        <w:tc>
          <w:tcPr>
            <w:tcW w:w="2100" w:type="dxa"/>
            <w:gridSpan w:val="2"/>
            <w:vMerge/>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E14B67">
            <w:pPr>
              <w:autoSpaceDE w:val="0"/>
              <w:autoSpaceDN w:val="0"/>
              <w:adjustRightInd w:val="0"/>
              <w:spacing w:before="60"/>
              <w:rPr>
                <w:rStyle w:val="FontStyle94"/>
                <w:rFonts w:asciiTheme="majorHAnsi" w:hAnsiTheme="majorHAnsi" w:cs="Arial"/>
                <w:sz w:val="16"/>
              </w:rPr>
            </w:pPr>
            <w:r w:rsidRPr="00B05B51">
              <w:rPr>
                <w:rStyle w:val="FontStyle94"/>
                <w:rFonts w:asciiTheme="majorHAnsi" w:hAnsiTheme="majorHAnsi" w:cs="Arial"/>
                <w:sz w:val="16"/>
                <w:szCs w:val="16"/>
              </w:rPr>
              <w:t xml:space="preserve">Prezídium Policajného zboru ako vecný gestor plnenia úlohy „Vytvorenia legislatívneho rámca pre ochranu oznamovateľa korupčného správania“ predložil návrh zákona o niektorých opatreniach súvisiacich s oznamovaním protispoločenskej činnosti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a o zmene a doplnení niektorých zákonov do medzirezortného pripomienkového konania.</w:t>
            </w:r>
            <w:r w:rsidR="00D40896"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Tiež sa plánuje úprava existujúcej legislatívy v rôznych oblastiach: pracovnoprávne predpisy, podávania sťažností, trestnoprávne predpisy, tlačový zákon a antidiskriminačný zákon. Prosím viď uznesenie vlády SR č. 137 z 20.</w:t>
            </w:r>
            <w:r w:rsidR="00D40896"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03.</w:t>
            </w:r>
            <w:r w:rsidR="00D40896"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 xml:space="preserve">2013 </w:t>
            </w:r>
            <w:hyperlink r:id="rId203" w:history="1">
              <w:r w:rsidRPr="00B05B51">
                <w:rPr>
                  <w:rStyle w:val="FontStyle94"/>
                  <w:rFonts w:asciiTheme="majorHAnsi" w:hAnsiTheme="majorHAnsi" w:cs="Arial"/>
                  <w:sz w:val="16"/>
                  <w:szCs w:val="16"/>
                </w:rPr>
                <w:t>http://bit.ly/HW5MhO</w:t>
              </w:r>
            </w:hyperlink>
            <w:r w:rsidRPr="00B05B51">
              <w:rPr>
                <w:rStyle w:val="FontStyle94"/>
                <w:rFonts w:asciiTheme="majorHAnsi" w:hAnsiTheme="majorHAnsi" w:cs="Arial"/>
                <w:sz w:val="16"/>
                <w:szCs w:val="16"/>
              </w:rPr>
              <w:t>.</w:t>
            </w:r>
          </w:p>
        </w:tc>
        <w:tc>
          <w:tcPr>
            <w:tcW w:w="2862" w:type="dxa"/>
            <w:gridSpan w:val="3"/>
            <w:vAlign w:val="center"/>
          </w:tcPr>
          <w:p w:rsidR="006126A7" w:rsidRPr="00B05B51" w:rsidRDefault="006126A7" w:rsidP="00B52ED3">
            <w:pPr>
              <w:shd w:val="clear" w:color="auto" w:fill="FFFFFF"/>
              <w:autoSpaceDE w:val="0"/>
              <w:autoSpaceDN w:val="0"/>
              <w:adjustRightInd w:val="0"/>
              <w:spacing w:before="60"/>
              <w:jc w:val="left"/>
              <w:rPr>
                <w:rStyle w:val="FontStyle94"/>
                <w:rFonts w:asciiTheme="majorHAnsi" w:hAnsiTheme="majorHAnsi" w:cs="Arial"/>
                <w:sz w:val="16"/>
              </w:rPr>
            </w:pPr>
            <w:r w:rsidRPr="00B05B51">
              <w:rPr>
                <w:rStyle w:val="FontStyle94"/>
                <w:rFonts w:asciiTheme="majorHAnsi" w:hAnsiTheme="majorHAnsi" w:cs="Arial"/>
                <w:sz w:val="16"/>
                <w:szCs w:val="16"/>
              </w:rPr>
              <w:t>31. 03. 2014</w:t>
            </w:r>
          </w:p>
        </w:tc>
        <w:tc>
          <w:tcPr>
            <w:tcW w:w="2346" w:type="dxa"/>
            <w:tcBorders>
              <w:right w:val="single" w:sz="12" w:space="0" w:color="auto"/>
            </w:tcBorders>
          </w:tcPr>
          <w:p w:rsidR="006126A7" w:rsidRPr="00B05B51" w:rsidRDefault="006126A7" w:rsidP="00B52ED3">
            <w:pPr>
              <w:shd w:val="clear" w:color="auto" w:fill="FFFFFF"/>
              <w:spacing w:before="0"/>
              <w:rPr>
                <w:rStyle w:val="FontStyle94"/>
                <w:rFonts w:asciiTheme="majorHAnsi" w:hAnsiTheme="majorHAnsi" w:cs="Arial"/>
                <w:sz w:val="16"/>
              </w:rPr>
            </w:pPr>
            <w:r w:rsidRPr="00B05B51">
              <w:rPr>
                <w:rStyle w:val="FontStyle94"/>
                <w:rFonts w:asciiTheme="majorHAnsi" w:hAnsiTheme="majorHAnsi" w:cs="Arial"/>
                <w:sz w:val="16"/>
                <w:szCs w:val="16"/>
              </w:rPr>
              <w:t>ÚV SR v spolupráci s MV SR (Prezídium policajného zboru SR), ÚSV ROS, MVO</w:t>
            </w:r>
          </w:p>
        </w:tc>
      </w:tr>
      <w:tr w:rsidR="006126A7" w:rsidRPr="00DF567A" w:rsidTr="00CC23CF">
        <w:trPr>
          <w:trHeight w:val="485"/>
        </w:trPr>
        <w:tc>
          <w:tcPr>
            <w:tcW w:w="1949" w:type="dxa"/>
            <w:vMerge/>
            <w:tcBorders>
              <w:left w:val="single" w:sz="12" w:space="0" w:color="auto"/>
            </w:tcBorders>
          </w:tcPr>
          <w:p w:rsidR="006126A7" w:rsidRPr="009B7C77" w:rsidRDefault="006126A7" w:rsidP="00B52ED3">
            <w:pPr>
              <w:spacing w:before="0" w:line="276" w:lineRule="auto"/>
              <w:rPr>
                <w:rFonts w:asciiTheme="majorHAnsi" w:hAnsiTheme="majorHAnsi"/>
                <w:sz w:val="16"/>
                <w:szCs w:val="16"/>
              </w:rPr>
            </w:pPr>
          </w:p>
        </w:tc>
        <w:tc>
          <w:tcPr>
            <w:tcW w:w="2100" w:type="dxa"/>
            <w:gridSpan w:val="2"/>
            <w:vMerge/>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tcPr>
          <w:p w:rsidR="006126A7" w:rsidRPr="00B05B51" w:rsidRDefault="006126A7" w:rsidP="0057349A">
            <w:pPr>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Koncepcia modernizácie a stabilizácie súdnictva je strategický dokument, ktorý je vypracovaný a bude predložený vláde SR na schválenie v najbližšom období.</w:t>
            </w:r>
            <w:r w:rsidR="009D6A71" w:rsidRPr="00B05B51">
              <w:rPr>
                <w:rStyle w:val="FontStyle94"/>
                <w:rFonts w:asciiTheme="majorHAnsi" w:hAnsiTheme="majorHAnsi" w:cs="Arial"/>
                <w:sz w:val="16"/>
              </w:rPr>
              <w:t xml:space="preserve"> </w:t>
            </w:r>
            <w:r w:rsidRPr="00B05B51">
              <w:rPr>
                <w:rStyle w:val="FontStyle94"/>
                <w:rFonts w:asciiTheme="majorHAnsi" w:hAnsiTheme="majorHAnsi" w:cs="Arial"/>
                <w:sz w:val="16"/>
              </w:rPr>
              <w:t>Opatrenia pripravované v oblasti súdnictva a justície:</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zavádzanie nástrojov a systémov smerujúcich k vyššej transparentnosti súdnictva a potlačeniu korupcie v súdnictve; posilnenie etických princípov pri výkone súdnictva; </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podpora efektívneho predchádzania konfliktu záujmov v súdnictve;</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podpora transparentnosti justície prostredníctvom prístupu verejnosti k relevantným informáciám o práci, činnosti a rozhodovaní súdov (sprístupňovanie otvorených dát z oblasti súdnictva a súdnej praxe); </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implementácia hodnotenia dopadov regulácií (RIA) v oblasti súdnictva;</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podpora zapojenia mimovládneho sektora, odborných a profesijných organizácií do procesu rozvoja, monitorovania a hodnotenia činností súdov, činnosti súdnej rady, reformných </w:t>
            </w:r>
            <w:r w:rsidRPr="006F1168">
              <w:rPr>
                <w:rStyle w:val="FontStyle94"/>
                <w:rFonts w:asciiTheme="majorHAnsi" w:hAnsiTheme="majorHAnsi" w:cs="Arial"/>
                <w:sz w:val="16"/>
              </w:rPr>
              <w:lastRenderedPageBreak/>
              <w:t>stratégií a koncepcií pri dôslednom zachovaní nezávislého postavenia súdnej moci;</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podpora reformy štruktúry a optimalizácie procesov v súdnictve, vrátane zjednocovania systémov a postupov; </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zabezpečenie kontinuálneho vzdelávania a realizácia vzdelávacích aktivít zamestnancov súdneho systému s dôrazom na špecializáciu v jednotlivých vecných oblastiach a s dôrazom na získanie digitálnych zručností, ako aj vzdelávania poskytovaného alternatívnymi inštitúciami vrátane MNO;</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podpora strategického a rozpočtového plánovania; </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podpora zvyšovania kvality a presvedčivosti súdnych rozhodnutí </w:t>
            </w:r>
            <w:r w:rsidR="00E61814" w:rsidRPr="006F1168">
              <w:rPr>
                <w:rStyle w:val="FontStyle94"/>
                <w:rFonts w:asciiTheme="majorHAnsi" w:hAnsiTheme="majorHAnsi" w:cs="Arial"/>
                <w:sz w:val="16"/>
              </w:rPr>
              <w:br/>
            </w:r>
            <w:r w:rsidRPr="006F1168">
              <w:rPr>
                <w:rStyle w:val="FontStyle94"/>
                <w:rFonts w:asciiTheme="majorHAnsi" w:hAnsiTheme="majorHAnsi" w:cs="Arial"/>
                <w:sz w:val="16"/>
              </w:rPr>
              <w:t>a odstraňovanie procesných chýb s cieľom zvýšiť dôveryhodnosť súdnictva;</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vytvorenie podmienok pre elektronizáciu súdneho spisu;</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 rozvoj a podpora alternatívnych metód riešenia sporov;</w:t>
            </w:r>
          </w:p>
          <w:p w:rsidR="006F1168"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 xml:space="preserve">zavedenie efektívneho systému monitorovania a </w:t>
            </w:r>
            <w:r w:rsidR="00A729C2" w:rsidRPr="006F1168">
              <w:rPr>
                <w:rStyle w:val="FontStyle94"/>
                <w:rFonts w:asciiTheme="majorHAnsi" w:hAnsiTheme="majorHAnsi" w:cs="Arial"/>
                <w:sz w:val="16"/>
              </w:rPr>
              <w:t xml:space="preserve">hodnotenia </w:t>
            </w:r>
            <w:r w:rsidRPr="006F1168">
              <w:rPr>
                <w:rStyle w:val="FontStyle94"/>
                <w:rFonts w:asciiTheme="majorHAnsi" w:hAnsiTheme="majorHAnsi" w:cs="Arial"/>
                <w:sz w:val="16"/>
              </w:rPr>
              <w:t xml:space="preserve">fungovania a výkonnosti súdneho systému; </w:t>
            </w:r>
          </w:p>
          <w:p w:rsidR="006126A7" w:rsidRPr="006F1168" w:rsidRDefault="006126A7" w:rsidP="009B7C77">
            <w:pPr>
              <w:pStyle w:val="Odsekzoznamu"/>
              <w:numPr>
                <w:ilvl w:val="0"/>
                <w:numId w:val="68"/>
              </w:numPr>
              <w:autoSpaceDE w:val="0"/>
              <w:autoSpaceDN w:val="0"/>
              <w:adjustRightInd w:val="0"/>
              <w:spacing w:before="0"/>
              <w:ind w:left="238" w:hanging="284"/>
              <w:rPr>
                <w:rStyle w:val="FontStyle94"/>
                <w:rFonts w:asciiTheme="majorHAnsi" w:hAnsiTheme="majorHAnsi" w:cs="Arial"/>
                <w:sz w:val="16"/>
              </w:rPr>
            </w:pPr>
            <w:r w:rsidRPr="006F1168">
              <w:rPr>
                <w:rStyle w:val="FontStyle94"/>
                <w:rFonts w:asciiTheme="majorHAnsi" w:hAnsiTheme="majorHAnsi" w:cs="Arial"/>
                <w:sz w:val="16"/>
              </w:rPr>
              <w:t>podpora systémových zmien vedúcich k skráteniu dĺžky súdnych konaní a odstraňovaniu prieťahov v súdnych konaniach, posilňovanie špecializácie súdov a sudcov.</w:t>
            </w:r>
          </w:p>
        </w:tc>
        <w:tc>
          <w:tcPr>
            <w:tcW w:w="2862" w:type="dxa"/>
            <w:gridSpan w:val="3"/>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lastRenderedPageBreak/>
              <w:t>30. 06. 2014</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 xml:space="preserve">MS SR v spolupráci s MV SR  </w:t>
            </w:r>
          </w:p>
        </w:tc>
      </w:tr>
      <w:tr w:rsidR="006126A7" w:rsidRPr="00DF567A" w:rsidTr="000D7C6E">
        <w:trPr>
          <w:trHeight w:val="485"/>
        </w:trPr>
        <w:tc>
          <w:tcPr>
            <w:tcW w:w="1949" w:type="dxa"/>
            <w:vMerge/>
            <w:tcBorders>
              <w:left w:val="single" w:sz="12" w:space="0" w:color="auto"/>
            </w:tcBorders>
          </w:tcPr>
          <w:p w:rsidR="006126A7" w:rsidRPr="00691C8F" w:rsidRDefault="006126A7" w:rsidP="00B52ED3">
            <w:pPr>
              <w:spacing w:before="0" w:line="276" w:lineRule="auto"/>
              <w:rPr>
                <w:rFonts w:asciiTheme="majorHAnsi" w:hAnsiTheme="majorHAnsi"/>
                <w:sz w:val="16"/>
                <w:szCs w:val="16"/>
              </w:rPr>
            </w:pPr>
          </w:p>
        </w:tc>
        <w:tc>
          <w:tcPr>
            <w:tcW w:w="2100" w:type="dxa"/>
            <w:gridSpan w:val="2"/>
            <w:vMerge/>
          </w:tcPr>
          <w:p w:rsidR="006126A7" w:rsidRPr="00691C8F"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 xml:space="preserve">Koncepcia Centra právnej pomoci na roky 2016 – 2018 sa pripravuje, cieľom </w:t>
            </w:r>
            <w:r w:rsidR="00D40896" w:rsidRPr="00B05B51">
              <w:rPr>
                <w:rStyle w:val="FontStyle94"/>
                <w:rFonts w:asciiTheme="majorHAnsi" w:hAnsiTheme="majorHAnsi" w:cs="Arial"/>
                <w:sz w:val="16"/>
              </w:rPr>
              <w:t xml:space="preserve">ktorej </w:t>
            </w:r>
            <w:r w:rsidRPr="00B05B51">
              <w:rPr>
                <w:rStyle w:val="FontStyle94"/>
                <w:rFonts w:asciiTheme="majorHAnsi" w:hAnsiTheme="majorHAnsi" w:cs="Arial"/>
                <w:sz w:val="16"/>
              </w:rPr>
              <w:t>je poskytovať zvýšený prístup k právnej pomoci tým, čo to potrebujú najviac.</w:t>
            </w:r>
          </w:p>
        </w:tc>
        <w:tc>
          <w:tcPr>
            <w:tcW w:w="2862" w:type="dxa"/>
            <w:gridSpan w:val="3"/>
            <w:vAlign w:val="center"/>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31. 12. 2006</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 xml:space="preserve">MS SR v spolupráci s Centrum právnej pomoci a MV SR  </w:t>
            </w:r>
          </w:p>
        </w:tc>
      </w:tr>
      <w:tr w:rsidR="006126A7" w:rsidRPr="00DF567A" w:rsidTr="000D7C6E">
        <w:trPr>
          <w:trHeight w:val="485"/>
        </w:trPr>
        <w:tc>
          <w:tcPr>
            <w:tcW w:w="1949" w:type="dxa"/>
            <w:vMerge/>
            <w:tcBorders>
              <w:left w:val="single" w:sz="12" w:space="0" w:color="auto"/>
            </w:tcBorders>
          </w:tcPr>
          <w:p w:rsidR="006126A7" w:rsidRPr="00691C8F" w:rsidRDefault="006126A7" w:rsidP="00B52ED3">
            <w:pPr>
              <w:spacing w:before="0" w:line="276" w:lineRule="auto"/>
              <w:rPr>
                <w:rFonts w:asciiTheme="majorHAnsi" w:hAnsiTheme="majorHAnsi"/>
                <w:sz w:val="16"/>
                <w:szCs w:val="16"/>
              </w:rPr>
            </w:pPr>
          </w:p>
        </w:tc>
        <w:tc>
          <w:tcPr>
            <w:tcW w:w="2100" w:type="dxa"/>
            <w:gridSpan w:val="2"/>
            <w:vMerge/>
          </w:tcPr>
          <w:p w:rsidR="006126A7" w:rsidRPr="00691C8F"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 xml:space="preserve">Zákon o trestnej zodpovednosti právnických osôb sa pripravuje a je </w:t>
            </w:r>
            <w:r w:rsidR="00544389" w:rsidRPr="00B05B51">
              <w:rPr>
                <w:rStyle w:val="FontStyle94"/>
                <w:rFonts w:asciiTheme="majorHAnsi" w:hAnsiTheme="majorHAnsi" w:cs="Arial"/>
                <w:sz w:val="16"/>
              </w:rPr>
              <w:br/>
            </w:r>
            <w:r w:rsidRPr="00B05B51">
              <w:rPr>
                <w:rStyle w:val="FontStyle94"/>
                <w:rFonts w:asciiTheme="majorHAnsi" w:hAnsiTheme="majorHAnsi" w:cs="Arial"/>
                <w:sz w:val="16"/>
              </w:rPr>
              <w:t xml:space="preserve">v súčasnosti po pripomienkovom konaní a prebieha vyhodnocovanie pripomienok. Zákon ustanoví tzv. pravú trestnú zodpovednosť právnických osôb. To znamená priame trestné stíhanie právnickej osoby bez ohľadu na dokázanie viny konkrétnej fyzickej osoby. Zákon je v štádiu vyhodnocovania medzirezortného pripomienkového konania. </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30. 6. 2014</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 xml:space="preserve">MS SR v spolupráci s MV SR  </w:t>
            </w:r>
          </w:p>
        </w:tc>
      </w:tr>
      <w:tr w:rsidR="006126A7" w:rsidRPr="00DF567A" w:rsidTr="000D7C6E">
        <w:trPr>
          <w:trHeight w:val="63"/>
        </w:trPr>
        <w:tc>
          <w:tcPr>
            <w:tcW w:w="1963" w:type="dxa"/>
            <w:gridSpan w:val="2"/>
            <w:vMerge w:val="restart"/>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val="restart"/>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57349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Novelizácia zákona č. 7/2005 Z.</w:t>
            </w:r>
            <w:r w:rsidR="00A729C2">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 xml:space="preserve">z. o konkurze a reštrukturalizácii bude regulovať riešenie platobnej neschopnosti dlžníka tým, že predá majetok dlžníka, podľa kolektívneho uspokojenia veriteľov dlžníka; postupné uspokojovanie dlžníkovho veriteľa, spôsobom dohodnutým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 xml:space="preserve">v reštrukturalizačnom pláne; zákon bude upravovať riešenie platobnej neschopnosti dlžníka a dlhov fyzických osôb. Viac informácií je dostupných na </w:t>
            </w:r>
            <w:hyperlink r:id="rId204" w:history="1">
              <w:r w:rsidRPr="00B05B51">
                <w:rPr>
                  <w:rStyle w:val="FontStyle94"/>
                  <w:rFonts w:asciiTheme="majorHAnsi" w:hAnsiTheme="majorHAnsi" w:cs="Arial"/>
                  <w:sz w:val="16"/>
                  <w:szCs w:val="16"/>
                </w:rPr>
                <w:t>http://bit.ly/HTmPAB</w:t>
              </w:r>
            </w:hyperlink>
            <w:r w:rsidRPr="00B05B51">
              <w:rPr>
                <w:rStyle w:val="FontStyle94"/>
                <w:rFonts w:asciiTheme="majorHAnsi" w:hAnsiTheme="majorHAnsi" w:cs="Arial"/>
                <w:sz w:val="16"/>
                <w:szCs w:val="16"/>
              </w:rPr>
              <w:t xml:space="preserve"> </w:t>
            </w:r>
          </w:p>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 xml:space="preserve">Novely zavedené v roku 2014 v Obchodnom zákonníku si budú </w:t>
            </w:r>
            <w:r w:rsidRPr="00B05B51">
              <w:rPr>
                <w:rStyle w:val="FontStyle94"/>
                <w:rFonts w:asciiTheme="majorHAnsi" w:hAnsiTheme="majorHAnsi" w:cs="Arial"/>
                <w:sz w:val="16"/>
                <w:szCs w:val="16"/>
              </w:rPr>
              <w:lastRenderedPageBreak/>
              <w:t xml:space="preserve">vyžadovať väzbu na predpisy konkurzného práva, a preto dôjde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k zmene niektorých pravidiel najmä pokiaľ ide o zlepšenie postavenia veriteľov v prípadoch, ak na majetok obchodnej spoločnosti je vyhlásený konkurz v čase, kedy táto nemá už žiaden majetok. Právna úprava bude tiež reagovať na implementáciu tzv. Registra dlžníkov, ktorý by mal byť vytvorený v roku 2015 a mal by veriteľom priniesť možnosť sledovania konkurzného konania bez nevyhnutnosti nahliadať do konkurzného, či správcovského spisu.</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lastRenderedPageBreak/>
              <w:t>31. 12 .2015</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MS SR v spolupráci s MV SR  </w:t>
            </w:r>
          </w:p>
        </w:tc>
      </w:tr>
      <w:tr w:rsidR="006126A7" w:rsidRPr="00DF567A" w:rsidTr="000D7C6E">
        <w:trPr>
          <w:trHeight w:val="62"/>
        </w:trPr>
        <w:tc>
          <w:tcPr>
            <w:tcW w:w="1963" w:type="dxa"/>
            <w:gridSpan w:val="2"/>
            <w:vMerge/>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Príprava novelizácie zákona č. 244/2002 Z.z. o rozhodcovskom konaní je pripravovan</w:t>
            </w:r>
            <w:r w:rsidR="00D40896" w:rsidRPr="00B05B51">
              <w:rPr>
                <w:rStyle w:val="FontStyle94"/>
                <w:rFonts w:asciiTheme="majorHAnsi" w:hAnsiTheme="majorHAnsi" w:cs="Arial"/>
                <w:sz w:val="16"/>
                <w:szCs w:val="16"/>
              </w:rPr>
              <w:t>á</w:t>
            </w:r>
            <w:r w:rsidRPr="00B05B51">
              <w:rPr>
                <w:rStyle w:val="FontStyle94"/>
                <w:rFonts w:asciiTheme="majorHAnsi" w:hAnsiTheme="majorHAnsi" w:cs="Arial"/>
                <w:sz w:val="16"/>
                <w:szCs w:val="16"/>
              </w:rPr>
              <w:t xml:space="preserve"> a bude sprístupnená na </w:t>
            </w:r>
            <w:hyperlink r:id="rId205" w:history="1">
              <w:r w:rsidRPr="00B05B51">
                <w:rPr>
                  <w:rStyle w:val="FontStyle94"/>
                  <w:rFonts w:asciiTheme="majorHAnsi" w:hAnsiTheme="majorHAnsi" w:cs="Arial"/>
                  <w:sz w:val="16"/>
                  <w:szCs w:val="16"/>
                </w:rPr>
                <w:t>http://bit.ly/I1FERz</w:t>
              </w:r>
            </w:hyperlink>
            <w:r w:rsidRPr="00B05B51">
              <w:rPr>
                <w:rStyle w:val="FontStyle94"/>
                <w:rFonts w:asciiTheme="majorHAnsi" w:hAnsiTheme="majorHAnsi" w:cs="Arial"/>
                <w:sz w:val="16"/>
                <w:szCs w:val="16"/>
              </w:rPr>
              <w:t xml:space="preserve">. Ide o dva samostatné návrhy zákonov, ktoré riešia osobitne obchodnú arbitráž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a alternatívne riešenie spotrebiteľských sporov. Návrhy zákonov sú vypracované a boli predložené do pripomienkového konania, pričom v súčasnosti prebieha proces vyhodnocovania pripomienok.</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30. 6. 2014</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MS SR v spolupráci s MV SR  </w:t>
            </w:r>
          </w:p>
        </w:tc>
      </w:tr>
      <w:tr w:rsidR="006126A7" w:rsidRPr="00DF567A" w:rsidTr="000D7C6E">
        <w:trPr>
          <w:trHeight w:val="62"/>
        </w:trPr>
        <w:tc>
          <w:tcPr>
            <w:tcW w:w="1963" w:type="dxa"/>
            <w:gridSpan w:val="2"/>
            <w:vMerge/>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57349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Rekodifikácia civilného práva procesného zákon č. 99/1963 Zb. Občiansky súdny poriadok</w:t>
            </w:r>
          </w:p>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 xml:space="preserve">Nový Občiansky súdny poriadok nahradí súčasný Občiansky súdny poriadok a budú ho tvoriť tri časti: (1) Civilný sporový poriadok, (2) Civilný mimo sporový poriadok, (3) Správny súdny poriadok. Viac informácií je na </w:t>
            </w:r>
            <w:hyperlink r:id="rId206" w:history="1">
              <w:r w:rsidRPr="00B05B51">
                <w:rPr>
                  <w:rStyle w:val="FontStyle94"/>
                  <w:rFonts w:asciiTheme="majorHAnsi" w:hAnsiTheme="majorHAnsi" w:cs="Arial"/>
                  <w:sz w:val="16"/>
                  <w:szCs w:val="16"/>
                </w:rPr>
                <w:t>http://bit.ly/17tFkSp</w:t>
              </w:r>
            </w:hyperlink>
            <w:r w:rsidRPr="00B05B51">
              <w:rPr>
                <w:rStyle w:val="FontStyle94"/>
                <w:rFonts w:asciiTheme="majorHAnsi" w:hAnsiTheme="majorHAnsi" w:cs="Arial"/>
                <w:sz w:val="16"/>
                <w:szCs w:val="16"/>
              </w:rPr>
              <w:t xml:space="preserve"> </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31. 12 .2016</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MS SR v spolupráci s MV SR  </w:t>
            </w:r>
          </w:p>
        </w:tc>
      </w:tr>
      <w:tr w:rsidR="006126A7" w:rsidRPr="00DF567A" w:rsidTr="000D7C6E">
        <w:trPr>
          <w:trHeight w:val="62"/>
        </w:trPr>
        <w:tc>
          <w:tcPr>
            <w:tcW w:w="1963" w:type="dxa"/>
            <w:gridSpan w:val="2"/>
            <w:vMerge/>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Rekodifikácia zákona č. 40/1964 Zb. Občiansky zákonník, Rekodifikácie súkromného práva v SR.</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31. 12 .2016</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MS SR v spolupráci s MV SR  </w:t>
            </w:r>
          </w:p>
        </w:tc>
      </w:tr>
      <w:tr w:rsidR="006126A7" w:rsidRPr="00DF567A" w:rsidTr="00CC23CF">
        <w:trPr>
          <w:trHeight w:val="62"/>
        </w:trPr>
        <w:tc>
          <w:tcPr>
            <w:tcW w:w="1963" w:type="dxa"/>
            <w:gridSpan w:val="2"/>
            <w:vMerge/>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4853" w:type="dxa"/>
            <w:gridSpan w:val="2"/>
          </w:tcPr>
          <w:p w:rsidR="006126A7" w:rsidRPr="00B05B51" w:rsidRDefault="006126A7" w:rsidP="0057349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Novelizácia zákona č. 300/2005 Z. v znení neskorších predpisov a zákona č. 301/2005 Z.z. Trestný poriadok v znení neskorších predpisov. Z hľadiska bližšieho vymedzenia právnej regulácie sú návrhom zákona dotknuté najmä tieto inštitúty:</w:t>
            </w:r>
          </w:p>
          <w:p w:rsidR="006126A7" w:rsidRPr="006F1168" w:rsidRDefault="006126A7" w:rsidP="009B7C77">
            <w:pPr>
              <w:pStyle w:val="Odsekzoznamu"/>
              <w:numPr>
                <w:ilvl w:val="0"/>
                <w:numId w:val="88"/>
              </w:numPr>
              <w:autoSpaceDE w:val="0"/>
              <w:autoSpaceDN w:val="0"/>
              <w:adjustRightInd w:val="0"/>
              <w:spacing w:before="60"/>
              <w:ind w:left="238" w:hanging="238"/>
              <w:rPr>
                <w:rStyle w:val="FontStyle94"/>
                <w:rFonts w:asciiTheme="majorHAnsi" w:hAnsiTheme="majorHAnsi" w:cs="Arial"/>
                <w:sz w:val="16"/>
                <w:szCs w:val="16"/>
              </w:rPr>
            </w:pPr>
            <w:r w:rsidRPr="006F1168">
              <w:rPr>
                <w:rStyle w:val="FontStyle94"/>
                <w:rFonts w:asciiTheme="majorHAnsi" w:hAnsiTheme="majorHAnsi" w:cs="Arial"/>
                <w:sz w:val="16"/>
                <w:szCs w:val="16"/>
              </w:rPr>
              <w:t>kategorizácia trestných činov prostredníctvom zavedenia tri partície trestných činov  na prečiny, zločiny a obzvlášť závažné zločiny,</w:t>
            </w:r>
          </w:p>
          <w:p w:rsidR="006126A7" w:rsidRPr="006F1168" w:rsidRDefault="006126A7" w:rsidP="009B7C77">
            <w:pPr>
              <w:pStyle w:val="Odsekzoznamu"/>
              <w:numPr>
                <w:ilvl w:val="0"/>
                <w:numId w:val="88"/>
              </w:numPr>
              <w:autoSpaceDE w:val="0"/>
              <w:autoSpaceDN w:val="0"/>
              <w:adjustRightInd w:val="0"/>
              <w:spacing w:before="60"/>
              <w:ind w:left="238" w:hanging="238"/>
              <w:rPr>
                <w:rStyle w:val="FontStyle94"/>
                <w:rFonts w:asciiTheme="majorHAnsi" w:hAnsiTheme="majorHAnsi" w:cs="Arial"/>
                <w:sz w:val="16"/>
                <w:szCs w:val="16"/>
              </w:rPr>
            </w:pPr>
            <w:r w:rsidRPr="006F1168">
              <w:rPr>
                <w:rStyle w:val="FontStyle94"/>
                <w:rFonts w:asciiTheme="majorHAnsi" w:hAnsiTheme="majorHAnsi" w:cs="Arial"/>
                <w:sz w:val="16"/>
                <w:szCs w:val="16"/>
              </w:rPr>
              <w:t>zvýšenie dolnej hranice trestu odňatia slobody pri kategórii obzvlášť závažných zločinov z desať rokov na dvanásť rokov,</w:t>
            </w:r>
          </w:p>
          <w:p w:rsidR="006126A7" w:rsidRPr="006F1168" w:rsidRDefault="006126A7" w:rsidP="009B7C77">
            <w:pPr>
              <w:pStyle w:val="Odsekzoznamu"/>
              <w:numPr>
                <w:ilvl w:val="0"/>
                <w:numId w:val="88"/>
              </w:numPr>
              <w:autoSpaceDE w:val="0"/>
              <w:autoSpaceDN w:val="0"/>
              <w:adjustRightInd w:val="0"/>
              <w:spacing w:before="60"/>
              <w:ind w:left="238" w:hanging="238"/>
              <w:rPr>
                <w:rStyle w:val="FontStyle94"/>
                <w:rFonts w:asciiTheme="majorHAnsi" w:hAnsiTheme="majorHAnsi" w:cs="Arial"/>
                <w:sz w:val="16"/>
                <w:szCs w:val="16"/>
              </w:rPr>
            </w:pPr>
            <w:r w:rsidRPr="006F1168">
              <w:rPr>
                <w:rStyle w:val="FontStyle94"/>
                <w:rFonts w:asciiTheme="majorHAnsi" w:hAnsiTheme="majorHAnsi" w:cs="Arial"/>
                <w:sz w:val="16"/>
                <w:szCs w:val="16"/>
              </w:rPr>
              <w:t>ukladanie trestov pri aplikácii aspiračej zásady,</w:t>
            </w:r>
          </w:p>
          <w:p w:rsidR="006126A7" w:rsidRPr="006F1168" w:rsidRDefault="006126A7" w:rsidP="009B7C77">
            <w:pPr>
              <w:pStyle w:val="Odsekzoznamu"/>
              <w:numPr>
                <w:ilvl w:val="0"/>
                <w:numId w:val="88"/>
              </w:numPr>
              <w:autoSpaceDE w:val="0"/>
              <w:autoSpaceDN w:val="0"/>
              <w:adjustRightInd w:val="0"/>
              <w:spacing w:before="60"/>
              <w:ind w:left="238" w:hanging="238"/>
              <w:rPr>
                <w:rStyle w:val="FontStyle94"/>
                <w:rFonts w:asciiTheme="majorHAnsi" w:hAnsiTheme="majorHAnsi" w:cs="Arial"/>
                <w:sz w:val="16"/>
                <w:szCs w:val="16"/>
              </w:rPr>
            </w:pPr>
            <w:r w:rsidRPr="006F1168">
              <w:rPr>
                <w:rStyle w:val="FontStyle94"/>
                <w:rFonts w:asciiTheme="majorHAnsi" w:hAnsiTheme="majorHAnsi" w:cs="Arial"/>
                <w:sz w:val="16"/>
                <w:szCs w:val="16"/>
              </w:rPr>
              <w:t>zásada trikrát a dosť a jej úprava vo vzťahu k najzávažnejším formám trestnej činnosti,</w:t>
            </w:r>
          </w:p>
          <w:p w:rsidR="006126A7" w:rsidRPr="006F1168" w:rsidRDefault="006126A7" w:rsidP="009B7C77">
            <w:pPr>
              <w:pStyle w:val="Odsekzoznamu"/>
              <w:numPr>
                <w:ilvl w:val="0"/>
                <w:numId w:val="88"/>
              </w:numPr>
              <w:autoSpaceDE w:val="0"/>
              <w:autoSpaceDN w:val="0"/>
              <w:adjustRightInd w:val="0"/>
              <w:spacing w:before="60"/>
              <w:ind w:left="238" w:hanging="238"/>
              <w:rPr>
                <w:rStyle w:val="FontStyle94"/>
                <w:rFonts w:asciiTheme="majorHAnsi" w:hAnsiTheme="majorHAnsi" w:cs="Arial"/>
                <w:sz w:val="16"/>
                <w:szCs w:val="16"/>
              </w:rPr>
            </w:pPr>
            <w:r w:rsidRPr="006F1168">
              <w:rPr>
                <w:rStyle w:val="FontStyle94"/>
                <w:rFonts w:asciiTheme="majorHAnsi" w:hAnsiTheme="majorHAnsi" w:cs="Arial"/>
                <w:sz w:val="16"/>
                <w:szCs w:val="16"/>
              </w:rPr>
              <w:t xml:space="preserve">doplnenie definície veci o peňažné prostriedky na účte, </w:t>
            </w:r>
          </w:p>
          <w:p w:rsidR="006126A7" w:rsidRPr="006F1168" w:rsidRDefault="006126A7" w:rsidP="009B7C77">
            <w:pPr>
              <w:pStyle w:val="Odsekzoznamu"/>
              <w:numPr>
                <w:ilvl w:val="0"/>
                <w:numId w:val="88"/>
              </w:numPr>
              <w:autoSpaceDE w:val="0"/>
              <w:autoSpaceDN w:val="0"/>
              <w:adjustRightInd w:val="0"/>
              <w:spacing w:before="60"/>
              <w:ind w:left="238" w:hanging="238"/>
              <w:rPr>
                <w:rStyle w:val="FontStyle94"/>
                <w:rFonts w:asciiTheme="majorHAnsi" w:hAnsiTheme="majorHAnsi" w:cs="Arial"/>
                <w:sz w:val="16"/>
                <w:szCs w:val="16"/>
              </w:rPr>
            </w:pPr>
            <w:r w:rsidRPr="006F1168">
              <w:rPr>
                <w:rStyle w:val="FontStyle94"/>
                <w:rFonts w:asciiTheme="majorHAnsi" w:hAnsiTheme="majorHAnsi" w:cs="Arial"/>
                <w:sz w:val="16"/>
                <w:szCs w:val="16"/>
              </w:rPr>
              <w:t xml:space="preserve">zavedenie trestnej zodpovednosti majiteľov psov, ktorí zanedbaním svojich povinnosti spôsobia ublíženie na zdraví útokom psa, </w:t>
            </w:r>
          </w:p>
          <w:p w:rsidR="006126A7" w:rsidRPr="006F1168" w:rsidRDefault="006126A7" w:rsidP="009B7C77">
            <w:pPr>
              <w:pStyle w:val="Odsekzoznamu"/>
              <w:widowControl w:val="0"/>
              <w:numPr>
                <w:ilvl w:val="0"/>
                <w:numId w:val="88"/>
              </w:numPr>
              <w:shd w:val="clear" w:color="auto" w:fill="FFFFFF"/>
              <w:autoSpaceDE w:val="0"/>
              <w:autoSpaceDN w:val="0"/>
              <w:adjustRightInd w:val="0"/>
              <w:spacing w:before="0"/>
              <w:ind w:left="238" w:hanging="238"/>
              <w:rPr>
                <w:rStyle w:val="FontStyle94"/>
                <w:rFonts w:asciiTheme="majorHAnsi" w:hAnsiTheme="majorHAnsi" w:cs="Arial"/>
                <w:sz w:val="16"/>
              </w:rPr>
            </w:pPr>
            <w:r w:rsidRPr="006F1168">
              <w:rPr>
                <w:rStyle w:val="FontStyle94"/>
                <w:rFonts w:asciiTheme="majorHAnsi" w:hAnsiTheme="majorHAnsi" w:cs="Arial"/>
                <w:sz w:val="16"/>
                <w:szCs w:val="16"/>
              </w:rPr>
              <w:lastRenderedPageBreak/>
              <w:t>diferenciácia trestného činu týrania blízkej osoby a zverenej osoby na formy psychického týrania a osobitn</w:t>
            </w:r>
            <w:r w:rsidR="00D40896" w:rsidRPr="006F1168">
              <w:rPr>
                <w:rStyle w:val="FontStyle94"/>
                <w:rFonts w:asciiTheme="majorHAnsi" w:hAnsiTheme="majorHAnsi" w:cs="Arial"/>
                <w:sz w:val="16"/>
                <w:szCs w:val="16"/>
              </w:rPr>
              <w:t>e</w:t>
            </w:r>
            <w:r w:rsidRPr="006F1168">
              <w:rPr>
                <w:rStyle w:val="FontStyle94"/>
                <w:rFonts w:asciiTheme="majorHAnsi" w:hAnsiTheme="majorHAnsi" w:cs="Arial"/>
                <w:sz w:val="16"/>
                <w:szCs w:val="16"/>
              </w:rPr>
              <w:t xml:space="preserve"> fyzického týrania, - odstránenie ostatných identifikovaných aplikačných nedostatkov Trestného zákona. Viac informácií na </w:t>
            </w:r>
            <w:hyperlink r:id="rId207" w:history="1">
              <w:r w:rsidRPr="006F1168">
                <w:rPr>
                  <w:rStyle w:val="FontStyle94"/>
                  <w:rFonts w:asciiTheme="majorHAnsi" w:hAnsiTheme="majorHAnsi" w:cs="Arial"/>
                  <w:sz w:val="16"/>
                  <w:szCs w:val="16"/>
                </w:rPr>
                <w:t>http://bit.ly/1asFEV5</w:t>
              </w:r>
            </w:hyperlink>
          </w:p>
        </w:tc>
        <w:tc>
          <w:tcPr>
            <w:tcW w:w="2862" w:type="dxa"/>
            <w:gridSpan w:val="3"/>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lastRenderedPageBreak/>
              <w:t>30. 06. 2014</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MS SR v spolupráci s MV SR  </w:t>
            </w:r>
          </w:p>
        </w:tc>
      </w:tr>
      <w:tr w:rsidR="006126A7" w:rsidRPr="00DF567A" w:rsidTr="00CC23CF">
        <w:trPr>
          <w:trHeight w:val="62"/>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 xml:space="preserve">Koncepcia zjednotenia výberu daní a cla s výberom odvodov – 2. fáza UNITAS II. Existuje návrh koncepčného zámeru, ktorý bude rozpracovaný. </w:t>
            </w:r>
          </w:p>
        </w:tc>
        <w:tc>
          <w:tcPr>
            <w:tcW w:w="2862" w:type="dxa"/>
            <w:gridSpan w:val="3"/>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nový termín nebol stanovený</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MF SR (Finančné riaditeľstvo SR)  v spolupráci s MV SR  </w:t>
            </w:r>
          </w:p>
        </w:tc>
      </w:tr>
      <w:tr w:rsidR="006126A7" w:rsidRPr="00DF567A" w:rsidTr="00CC23CF">
        <w:trPr>
          <w:trHeight w:val="62"/>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Implementácia projektov súvisiacich s realizáciou reformných zámerov programu UNITAS je realizovaná v zmysle schválených koncepčných zámerov a je predmetom návrhu „Koncepcie rozvoja finančnej správy“.</w:t>
            </w:r>
          </w:p>
        </w:tc>
        <w:tc>
          <w:tcPr>
            <w:tcW w:w="2862" w:type="dxa"/>
            <w:gridSpan w:val="3"/>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31. 12. 2016</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rPr>
              <w:t xml:space="preserve">MF SR (Finančné riaditeľstvo SR)  v spolupráci s MV SR  </w:t>
            </w:r>
          </w:p>
        </w:tc>
      </w:tr>
      <w:tr w:rsidR="006126A7" w:rsidRPr="00DF567A" w:rsidTr="00CC23CF">
        <w:trPr>
          <w:trHeight w:val="146"/>
        </w:trPr>
        <w:tc>
          <w:tcPr>
            <w:tcW w:w="1963" w:type="dxa"/>
            <w:gridSpan w:val="2"/>
            <w:vMerge w:val="restart"/>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val="restart"/>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r w:rsidRPr="00B763E3">
              <w:rPr>
                <w:rFonts w:asciiTheme="majorHAnsi" w:hAnsiTheme="majorHAnsi"/>
                <w:color w:val="000000"/>
                <w:sz w:val="16"/>
                <w:szCs w:val="16"/>
              </w:rPr>
              <w:t>Vývoj systémov riadenia kvality</w:t>
            </w:r>
          </w:p>
        </w:tc>
        <w:tc>
          <w:tcPr>
            <w:tcW w:w="4853" w:type="dxa"/>
            <w:gridSpan w:val="2"/>
          </w:tcPr>
          <w:p w:rsidR="006126A7" w:rsidRPr="008C4B14" w:rsidRDefault="003C2CF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8C4B14">
              <w:rPr>
                <w:rFonts w:asciiTheme="majorHAnsi" w:hAnsiTheme="majorHAnsi"/>
                <w:b/>
                <w:sz w:val="16"/>
                <w:szCs w:val="16"/>
                <w:lang w:eastAsia="it-IT"/>
              </w:rPr>
              <w:t>Zabezpečenie hodnotenia potrieb relevantných aktérov</w:t>
            </w:r>
            <w:r w:rsidRPr="008C4B14">
              <w:rPr>
                <w:rFonts w:asciiTheme="majorHAnsi" w:hAnsiTheme="majorHAnsi"/>
                <w:sz w:val="16"/>
                <w:szCs w:val="16"/>
                <w:lang w:eastAsia="it-IT"/>
              </w:rPr>
              <w:t xml:space="preserve"> (záujmových strán), vrátane občianskej spoločnosti, zástupcov zamestnávateľov, </w:t>
            </w:r>
            <w:r w:rsidR="00E61814">
              <w:rPr>
                <w:rFonts w:asciiTheme="majorHAnsi" w:hAnsiTheme="majorHAnsi"/>
                <w:sz w:val="16"/>
                <w:szCs w:val="16"/>
                <w:lang w:eastAsia="it-IT"/>
              </w:rPr>
              <w:br/>
            </w:r>
            <w:r w:rsidRPr="008C4B14">
              <w:rPr>
                <w:rFonts w:asciiTheme="majorHAnsi" w:hAnsiTheme="majorHAnsi"/>
                <w:sz w:val="16"/>
                <w:szCs w:val="16"/>
                <w:lang w:eastAsia="it-IT"/>
              </w:rPr>
              <w:t>a iných akt</w:t>
            </w:r>
            <w:r w:rsidR="00E61814">
              <w:rPr>
                <w:rFonts w:asciiTheme="majorHAnsi" w:hAnsiTheme="majorHAnsi"/>
                <w:sz w:val="16"/>
                <w:szCs w:val="16"/>
                <w:lang w:eastAsia="it-IT"/>
              </w:rPr>
              <w:t xml:space="preserve">érov (sociálni partneri, MVO), </w:t>
            </w:r>
            <w:r w:rsidRPr="008C4B14">
              <w:rPr>
                <w:rFonts w:asciiTheme="majorHAnsi" w:hAnsiTheme="majorHAnsi"/>
                <w:sz w:val="16"/>
                <w:szCs w:val="16"/>
                <w:lang w:eastAsia="it-IT"/>
              </w:rPr>
              <w:t>a existujú ciele zlepšiť ich poskytovanie prostredníctvom systémov riadenia kvality (QMS: hlavné medzery, hlavné potreby, hlavné praktiky a použité modely) vo verejnej správe.</w:t>
            </w:r>
          </w:p>
          <w:p w:rsidR="003C2CF7" w:rsidRPr="008C4B14" w:rsidRDefault="003C2CF7" w:rsidP="00BA185A">
            <w:pPr>
              <w:widowControl w:val="0"/>
              <w:shd w:val="clear" w:color="auto" w:fill="FFFFFF"/>
              <w:autoSpaceDE w:val="0"/>
              <w:autoSpaceDN w:val="0"/>
              <w:adjustRightInd w:val="0"/>
              <w:spacing w:before="0"/>
              <w:rPr>
                <w:rFonts w:asciiTheme="majorHAnsi" w:hAnsiTheme="majorHAnsi"/>
                <w:b/>
                <w:sz w:val="16"/>
              </w:rPr>
            </w:pPr>
            <w:r w:rsidRPr="008C4B14">
              <w:rPr>
                <w:rFonts w:asciiTheme="majorHAnsi" w:hAnsiTheme="majorHAnsi"/>
                <w:sz w:val="16"/>
              </w:rPr>
              <w:t xml:space="preserve">Vychádzajúc zo Základných východísk reformy VS a z Národného Programu Kvality 2013 – 2016 bude pripravená </w:t>
            </w:r>
            <w:r w:rsidRPr="008C4B14">
              <w:rPr>
                <w:rFonts w:asciiTheme="majorHAnsi" w:hAnsiTheme="majorHAnsi"/>
                <w:b/>
                <w:sz w:val="16"/>
              </w:rPr>
              <w:t>Koncepcia implementácie systémov riadenia kvality v štátnej a verejnej správe.</w:t>
            </w:r>
          </w:p>
          <w:p w:rsidR="003C2CF7" w:rsidRPr="008C4B14" w:rsidRDefault="003C2CF7" w:rsidP="00BA185A">
            <w:pPr>
              <w:widowControl w:val="0"/>
              <w:shd w:val="clear" w:color="auto" w:fill="FFFFFF"/>
              <w:autoSpaceDE w:val="0"/>
              <w:autoSpaceDN w:val="0"/>
              <w:adjustRightInd w:val="0"/>
              <w:spacing w:before="0"/>
              <w:rPr>
                <w:rFonts w:asciiTheme="majorHAnsi" w:hAnsiTheme="majorHAnsi"/>
                <w:sz w:val="16"/>
                <w:szCs w:val="16"/>
                <w:lang w:eastAsia="it-IT"/>
              </w:rPr>
            </w:pPr>
            <w:r w:rsidRPr="008C4B14">
              <w:rPr>
                <w:rFonts w:asciiTheme="majorHAnsi" w:hAnsiTheme="majorHAnsi"/>
                <w:b/>
                <w:sz w:val="16"/>
                <w:szCs w:val="16"/>
                <w:lang w:eastAsia="it-IT"/>
              </w:rPr>
              <w:t>Prijatie Koncepcie</w:t>
            </w:r>
            <w:r w:rsidRPr="008C4B14">
              <w:rPr>
                <w:rFonts w:asciiTheme="majorHAnsi" w:hAnsiTheme="majorHAnsi"/>
                <w:sz w:val="16"/>
                <w:szCs w:val="16"/>
                <w:lang w:eastAsia="it-IT"/>
              </w:rPr>
              <w:t xml:space="preserve"> na implementáciu systémov riadenia kvality (QMS) vo verejnej správe</w:t>
            </w:r>
          </w:p>
          <w:p w:rsidR="003C2CF7" w:rsidRPr="008C4B14" w:rsidRDefault="003C2CF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90520">
              <w:rPr>
                <w:rFonts w:asciiTheme="majorHAnsi" w:hAnsiTheme="majorHAnsi"/>
                <w:b/>
                <w:sz w:val="16"/>
                <w:szCs w:val="16"/>
                <w:lang w:eastAsia="it-IT"/>
              </w:rPr>
              <w:t>Vytvorenie zoznamu opatrení</w:t>
            </w:r>
            <w:r w:rsidRPr="00B90520">
              <w:rPr>
                <w:rFonts w:asciiTheme="majorHAnsi" w:hAnsiTheme="majorHAnsi"/>
                <w:sz w:val="16"/>
                <w:szCs w:val="16"/>
                <w:lang w:eastAsia="it-IT"/>
              </w:rPr>
              <w:t xml:space="preserve"> týkajúci sa zavedenia a používania už zavedených systémov riadenia kvality (QMS) udržateľným spôsobom.</w:t>
            </w:r>
          </w:p>
        </w:tc>
        <w:tc>
          <w:tcPr>
            <w:tcW w:w="2862" w:type="dxa"/>
            <w:gridSpan w:val="3"/>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31. 12. 2014</w:t>
            </w:r>
          </w:p>
          <w:p w:rsidR="003C2CF7" w:rsidRPr="00B05B51" w:rsidRDefault="003C2CF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p>
          <w:p w:rsidR="003C2CF7" w:rsidRPr="00B05B51" w:rsidRDefault="003C2CF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p>
          <w:p w:rsidR="003C2CF7" w:rsidRPr="00B05B51" w:rsidRDefault="003C2CF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p>
          <w:p w:rsidR="003C2CF7" w:rsidRPr="00B763E3" w:rsidRDefault="003C2CF7" w:rsidP="00B52ED3">
            <w:pPr>
              <w:shd w:val="clear" w:color="auto" w:fill="FFFFFF"/>
              <w:tabs>
                <w:tab w:val="left" w:pos="2302"/>
              </w:tabs>
              <w:autoSpaceDE w:val="0"/>
              <w:autoSpaceDN w:val="0"/>
              <w:adjustRightInd w:val="0"/>
              <w:spacing w:before="0"/>
              <w:rPr>
                <w:rFonts w:asciiTheme="majorHAnsi" w:hAnsiTheme="majorHAnsi"/>
                <w:sz w:val="16"/>
              </w:rPr>
            </w:pPr>
            <w:r w:rsidRPr="00B763E3">
              <w:rPr>
                <w:rFonts w:asciiTheme="majorHAnsi" w:hAnsiTheme="majorHAnsi"/>
                <w:sz w:val="16"/>
              </w:rPr>
              <w:t>31.12.2014</w:t>
            </w:r>
          </w:p>
          <w:p w:rsidR="003C2CF7" w:rsidRPr="00B763E3" w:rsidRDefault="003C2CF7" w:rsidP="00B52ED3">
            <w:pPr>
              <w:shd w:val="clear" w:color="auto" w:fill="FFFFFF"/>
              <w:tabs>
                <w:tab w:val="left" w:pos="2302"/>
              </w:tabs>
              <w:autoSpaceDE w:val="0"/>
              <w:autoSpaceDN w:val="0"/>
              <w:adjustRightInd w:val="0"/>
              <w:spacing w:before="0"/>
              <w:rPr>
                <w:rFonts w:asciiTheme="majorHAnsi" w:hAnsiTheme="majorHAnsi"/>
                <w:sz w:val="16"/>
              </w:rPr>
            </w:pPr>
          </w:p>
          <w:p w:rsidR="003C2CF7" w:rsidRPr="00B763E3" w:rsidRDefault="003C2CF7" w:rsidP="00B52ED3">
            <w:pPr>
              <w:shd w:val="clear" w:color="auto" w:fill="FFFFFF"/>
              <w:tabs>
                <w:tab w:val="left" w:pos="2302"/>
              </w:tabs>
              <w:autoSpaceDE w:val="0"/>
              <w:autoSpaceDN w:val="0"/>
              <w:adjustRightInd w:val="0"/>
              <w:spacing w:before="0"/>
              <w:rPr>
                <w:rFonts w:asciiTheme="majorHAnsi" w:hAnsiTheme="majorHAnsi"/>
                <w:sz w:val="16"/>
              </w:rPr>
            </w:pPr>
          </w:p>
          <w:p w:rsidR="003C2CF7" w:rsidRPr="00B763E3" w:rsidRDefault="003C2CF7" w:rsidP="00B52ED3">
            <w:pPr>
              <w:shd w:val="clear" w:color="auto" w:fill="FFFFFF"/>
              <w:tabs>
                <w:tab w:val="left" w:pos="2302"/>
              </w:tabs>
              <w:autoSpaceDE w:val="0"/>
              <w:autoSpaceDN w:val="0"/>
              <w:adjustRightInd w:val="0"/>
              <w:spacing w:before="0"/>
              <w:rPr>
                <w:rFonts w:asciiTheme="majorHAnsi" w:hAnsiTheme="majorHAnsi"/>
                <w:sz w:val="16"/>
              </w:rPr>
            </w:pPr>
            <w:r w:rsidRPr="00B763E3">
              <w:rPr>
                <w:rFonts w:asciiTheme="majorHAnsi" w:hAnsiTheme="majorHAnsi"/>
                <w:sz w:val="16"/>
              </w:rPr>
              <w:t>31. 03. 2015</w:t>
            </w:r>
          </w:p>
          <w:p w:rsidR="003C2CF7" w:rsidRPr="00B763E3" w:rsidRDefault="003C2CF7" w:rsidP="00B52ED3">
            <w:pPr>
              <w:shd w:val="clear" w:color="auto" w:fill="FFFFFF"/>
              <w:tabs>
                <w:tab w:val="left" w:pos="2302"/>
              </w:tabs>
              <w:autoSpaceDE w:val="0"/>
              <w:autoSpaceDN w:val="0"/>
              <w:adjustRightInd w:val="0"/>
              <w:spacing w:before="0"/>
              <w:rPr>
                <w:rFonts w:asciiTheme="majorHAnsi" w:hAnsiTheme="majorHAnsi"/>
                <w:sz w:val="16"/>
              </w:rPr>
            </w:pPr>
          </w:p>
          <w:p w:rsidR="003C2CF7" w:rsidRPr="00B05B51" w:rsidRDefault="003C2CF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763E3">
              <w:rPr>
                <w:rFonts w:asciiTheme="majorHAnsi" w:hAnsiTheme="majorHAnsi"/>
                <w:sz w:val="16"/>
              </w:rPr>
              <w:t>31. 12. 2015</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Členovia Riadiaceho výboru</w:t>
            </w:r>
          </w:p>
          <w:p w:rsidR="003C2CF7" w:rsidRPr="00B05B51" w:rsidRDefault="003C2CF7" w:rsidP="00B52ED3">
            <w:pPr>
              <w:shd w:val="clear" w:color="auto" w:fill="FFFFFF"/>
              <w:autoSpaceDE w:val="0"/>
              <w:autoSpaceDN w:val="0"/>
              <w:adjustRightInd w:val="0"/>
              <w:spacing w:before="0"/>
              <w:rPr>
                <w:rStyle w:val="FontStyle94"/>
                <w:rFonts w:asciiTheme="majorHAnsi" w:hAnsiTheme="majorHAnsi" w:cs="Arial"/>
                <w:sz w:val="16"/>
                <w:szCs w:val="16"/>
              </w:rPr>
            </w:pPr>
          </w:p>
          <w:p w:rsidR="003C2CF7" w:rsidRPr="00B05B51" w:rsidRDefault="003C2CF7" w:rsidP="00B52ED3">
            <w:pPr>
              <w:shd w:val="clear" w:color="auto" w:fill="FFFFFF"/>
              <w:autoSpaceDE w:val="0"/>
              <w:autoSpaceDN w:val="0"/>
              <w:adjustRightInd w:val="0"/>
              <w:spacing w:before="0"/>
              <w:rPr>
                <w:rStyle w:val="FontStyle94"/>
                <w:rFonts w:asciiTheme="majorHAnsi" w:hAnsiTheme="majorHAnsi" w:cs="Arial"/>
                <w:sz w:val="16"/>
                <w:szCs w:val="16"/>
              </w:rPr>
            </w:pPr>
          </w:p>
          <w:p w:rsidR="003C2CF7" w:rsidRPr="00B05B51" w:rsidRDefault="003C2CF7" w:rsidP="00B52ED3">
            <w:pPr>
              <w:shd w:val="clear" w:color="auto" w:fill="FFFFFF"/>
              <w:autoSpaceDE w:val="0"/>
              <w:autoSpaceDN w:val="0"/>
              <w:adjustRightInd w:val="0"/>
              <w:spacing w:before="0"/>
              <w:rPr>
                <w:rStyle w:val="FontStyle94"/>
                <w:rFonts w:asciiTheme="majorHAnsi" w:hAnsiTheme="majorHAnsi" w:cs="Arial"/>
                <w:sz w:val="16"/>
                <w:szCs w:val="16"/>
              </w:rPr>
            </w:pPr>
          </w:p>
          <w:p w:rsidR="003C2CF7" w:rsidRPr="00B763E3" w:rsidRDefault="003C2CF7" w:rsidP="00B52ED3">
            <w:pPr>
              <w:shd w:val="clear" w:color="auto" w:fill="FFFFFF"/>
              <w:autoSpaceDE w:val="0"/>
              <w:autoSpaceDN w:val="0"/>
              <w:adjustRightInd w:val="0"/>
              <w:spacing w:before="0"/>
              <w:rPr>
                <w:rFonts w:asciiTheme="majorHAnsi" w:hAnsiTheme="majorHAnsi"/>
                <w:color w:val="000000"/>
                <w:sz w:val="16"/>
                <w:szCs w:val="16"/>
              </w:rPr>
            </w:pPr>
            <w:r w:rsidRPr="00B763E3">
              <w:rPr>
                <w:rFonts w:asciiTheme="majorHAnsi" w:hAnsiTheme="majorHAnsi"/>
                <w:color w:val="000000"/>
                <w:sz w:val="16"/>
                <w:szCs w:val="16"/>
              </w:rPr>
              <w:t>ÚNMS SR v spolupráci s MV SR</w:t>
            </w:r>
          </w:p>
          <w:p w:rsidR="003C2CF7" w:rsidRPr="00B763E3" w:rsidRDefault="003C2CF7" w:rsidP="00B52ED3">
            <w:pPr>
              <w:shd w:val="clear" w:color="auto" w:fill="FFFFFF"/>
              <w:autoSpaceDE w:val="0"/>
              <w:autoSpaceDN w:val="0"/>
              <w:adjustRightInd w:val="0"/>
              <w:spacing w:before="0"/>
              <w:rPr>
                <w:rFonts w:asciiTheme="majorHAnsi" w:hAnsiTheme="majorHAnsi"/>
                <w:color w:val="000000"/>
                <w:sz w:val="16"/>
                <w:szCs w:val="16"/>
              </w:rPr>
            </w:pPr>
          </w:p>
          <w:p w:rsidR="003C2CF7" w:rsidRPr="00B763E3" w:rsidRDefault="003C2CF7" w:rsidP="00B52ED3">
            <w:pPr>
              <w:shd w:val="clear" w:color="auto" w:fill="FFFFFF"/>
              <w:autoSpaceDE w:val="0"/>
              <w:autoSpaceDN w:val="0"/>
              <w:adjustRightInd w:val="0"/>
              <w:spacing w:before="0"/>
              <w:rPr>
                <w:rFonts w:asciiTheme="majorHAnsi" w:hAnsiTheme="majorHAnsi"/>
                <w:sz w:val="16"/>
              </w:rPr>
            </w:pPr>
            <w:r w:rsidRPr="00B763E3">
              <w:rPr>
                <w:rFonts w:asciiTheme="majorHAnsi" w:hAnsiTheme="majorHAnsi"/>
                <w:sz w:val="16"/>
              </w:rPr>
              <w:t>Členovia Riadiaceho výboru</w:t>
            </w:r>
          </w:p>
          <w:p w:rsidR="003C2CF7" w:rsidRPr="00B763E3" w:rsidRDefault="003C2CF7" w:rsidP="00B52ED3">
            <w:pPr>
              <w:shd w:val="clear" w:color="auto" w:fill="FFFFFF"/>
              <w:autoSpaceDE w:val="0"/>
              <w:autoSpaceDN w:val="0"/>
              <w:adjustRightInd w:val="0"/>
              <w:spacing w:before="0"/>
              <w:rPr>
                <w:rFonts w:asciiTheme="majorHAnsi" w:hAnsiTheme="majorHAnsi"/>
                <w:sz w:val="16"/>
              </w:rPr>
            </w:pPr>
          </w:p>
          <w:p w:rsidR="003C2CF7" w:rsidRPr="00B05B51" w:rsidRDefault="003C2CF7" w:rsidP="00B52ED3">
            <w:pPr>
              <w:shd w:val="clear" w:color="auto" w:fill="FFFFFF"/>
              <w:autoSpaceDE w:val="0"/>
              <w:autoSpaceDN w:val="0"/>
              <w:adjustRightInd w:val="0"/>
              <w:spacing w:before="0"/>
              <w:rPr>
                <w:rStyle w:val="FontStyle94"/>
                <w:rFonts w:asciiTheme="majorHAnsi" w:hAnsiTheme="majorHAnsi" w:cs="Arial"/>
                <w:sz w:val="16"/>
              </w:rPr>
            </w:pPr>
            <w:r w:rsidRPr="00B763E3">
              <w:rPr>
                <w:rFonts w:asciiTheme="majorHAnsi" w:hAnsiTheme="majorHAnsi"/>
                <w:sz w:val="16"/>
              </w:rPr>
              <w:t>Členovia Riadiaceho výboru</w:t>
            </w:r>
          </w:p>
        </w:tc>
      </w:tr>
      <w:tr w:rsidR="006126A7" w:rsidRPr="00DF567A" w:rsidTr="00CC23CF">
        <w:trPr>
          <w:trHeight w:val="146"/>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tcPr>
          <w:p w:rsidR="006126A7" w:rsidRPr="008C4B14"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8C4B14">
              <w:rPr>
                <w:rStyle w:val="FontStyle94"/>
                <w:rFonts w:asciiTheme="majorHAnsi" w:hAnsiTheme="majorHAnsi" w:cs="Arial"/>
                <w:sz w:val="16"/>
                <w:szCs w:val="16"/>
              </w:rPr>
              <w:t xml:space="preserve">MV SR má pilotný projekt: „Systém riadenia a monitorovania kvality“, ktorý je v súčasnosti v procese nastavenia parametrov sledovania kvality výkonu miestnej štátnej správy. MV SR plánuje použiť model CAF respektíve alternatívne iné modely QMS. Proces mapovania už prebieha a zoznam aktivít na zavedenie modelov QMS je pripravený. </w:t>
            </w:r>
            <w:r w:rsidR="00544389" w:rsidRPr="008C4B14">
              <w:rPr>
                <w:rStyle w:val="FontStyle94"/>
                <w:rFonts w:asciiTheme="majorHAnsi" w:hAnsiTheme="majorHAnsi" w:cs="Arial"/>
                <w:sz w:val="16"/>
                <w:szCs w:val="16"/>
              </w:rPr>
              <w:br/>
            </w:r>
            <w:r w:rsidRPr="008C4B14">
              <w:rPr>
                <w:rStyle w:val="FontStyle94"/>
                <w:rFonts w:asciiTheme="majorHAnsi" w:hAnsiTheme="majorHAnsi" w:cs="Arial"/>
                <w:sz w:val="16"/>
                <w:szCs w:val="16"/>
              </w:rPr>
              <w:t xml:space="preserve">V rámci projektu bol v </w:t>
            </w:r>
            <w:r w:rsidR="00A07FC7" w:rsidRPr="008C4B14">
              <w:rPr>
                <w:rStyle w:val="FontStyle94"/>
                <w:rFonts w:asciiTheme="majorHAnsi" w:hAnsiTheme="majorHAnsi" w:cs="Arial"/>
                <w:sz w:val="16"/>
                <w:szCs w:val="16"/>
              </w:rPr>
              <w:t>klientskych</w:t>
            </w:r>
            <w:r w:rsidRPr="008C4B14">
              <w:rPr>
                <w:rStyle w:val="FontStyle94"/>
                <w:rFonts w:asciiTheme="majorHAnsi" w:hAnsiTheme="majorHAnsi" w:cs="Arial"/>
                <w:sz w:val="16"/>
                <w:szCs w:val="16"/>
              </w:rPr>
              <w:t xml:space="preserve"> centrách zavedený vyvolávací systém, ktorý sleduje časový a agendový pohyb klienta v úrade. Nastavil sa aj centrálny registratúrny systém na okresných úradoch. Momentálne prebieha zber dotazníkov klientskej spokojnosti. </w:t>
            </w:r>
          </w:p>
        </w:tc>
        <w:tc>
          <w:tcPr>
            <w:tcW w:w="2862" w:type="dxa"/>
            <w:gridSpan w:val="3"/>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30. 06. 2014</w:t>
            </w:r>
          </w:p>
        </w:tc>
        <w:tc>
          <w:tcPr>
            <w:tcW w:w="2346" w:type="dxa"/>
            <w:tcBorders>
              <w:right w:val="single" w:sz="12" w:space="0" w:color="auto"/>
            </w:tcBorders>
          </w:tcPr>
          <w:p w:rsidR="006126A7" w:rsidRPr="00B05B51" w:rsidRDefault="006126A7" w:rsidP="00B52ED3">
            <w:pPr>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MV SR</w:t>
            </w:r>
          </w:p>
        </w:tc>
      </w:tr>
      <w:tr w:rsidR="006126A7" w:rsidRPr="00DF567A" w:rsidTr="009B7C77">
        <w:trPr>
          <w:trHeight w:val="1472"/>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Realizácia projektu „Implementácia systému kvality výkonov vo finančnej správe“ a zabezpečenie SW nástroja, školení, konzultácií, workshopov je súčasťou „Koncepcie rozvoja finančnej správy“. Porada vedenia FS schválila 25. 03. 2014 Kartu vyrovnaných výkonov finančnej správy na rok 2014 (KVV FS), ako jeden zo spôsobov monitorovania a  hodnotenia plnenia strategických cieľov schválených v Koncepcii rozvoja finančnej správy na roky 2014 – 2020. Rok  2014 je pilotným rokom pre implementáciu KVV FS.</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31. 12. 2015</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rPr>
            </w:pPr>
            <w:r w:rsidRPr="00B05B51">
              <w:rPr>
                <w:rStyle w:val="FontStyle94"/>
                <w:rFonts w:asciiTheme="majorHAnsi" w:hAnsiTheme="majorHAnsi" w:cs="Arial"/>
                <w:sz w:val="16"/>
              </w:rPr>
              <w:t xml:space="preserve">MF SR (Finančné riaditeľstvo SR)  v spolupráci s MV SR  </w:t>
            </w:r>
          </w:p>
          <w:p w:rsidR="006126A7" w:rsidRPr="00B05B51" w:rsidRDefault="006126A7" w:rsidP="00A07FC7">
            <w:pPr>
              <w:shd w:val="clear" w:color="auto" w:fill="FFFFFF"/>
              <w:autoSpaceDE w:val="0"/>
              <w:autoSpaceDN w:val="0"/>
              <w:adjustRightInd w:val="0"/>
              <w:spacing w:before="0"/>
              <w:rPr>
                <w:rStyle w:val="FontStyle94"/>
                <w:rFonts w:asciiTheme="majorHAnsi" w:hAnsiTheme="majorHAnsi" w:cs="Arial"/>
                <w:sz w:val="16"/>
              </w:rPr>
            </w:pPr>
          </w:p>
        </w:tc>
      </w:tr>
      <w:tr w:rsidR="006126A7" w:rsidRPr="00DF567A" w:rsidTr="009B7C77">
        <w:trPr>
          <w:trHeight w:val="335"/>
        </w:trPr>
        <w:tc>
          <w:tcPr>
            <w:tcW w:w="1963" w:type="dxa"/>
            <w:gridSpan w:val="2"/>
            <w:vMerge w:val="restart"/>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val="restart"/>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r w:rsidRPr="00B763E3">
              <w:rPr>
                <w:rFonts w:asciiTheme="majorHAnsi" w:hAnsiTheme="majorHAnsi"/>
                <w:color w:val="000000"/>
                <w:sz w:val="16"/>
                <w:szCs w:val="16"/>
              </w:rPr>
              <w:t>Vývoj a vykonávanie stratégií a politík ľudských zdrojov, ktoré zahŕňajú hlavné nedostatky identifikované v tejto oblasti</w:t>
            </w: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 xml:space="preserve">Národný projekt budovania kapacít a zlepšenia efektivity VS SR nadväzuje na prebiehajúcu reformu VS , ktorá má horizontálne prispieť k zvýšeniu kvality jej fungovania. Tento projekt kladie dôraz na tvorbu dlhodobej stratégie v oblasti manažmentu ľudských zdrojov, bude viesť k optimalizácii a racionalizácii  VS a povedie k finančným úsporám. VS taktiež pociťuje nedostatok analytických kapacít, ktoré by prispeli </w:t>
            </w:r>
            <w:r w:rsidR="00544389" w:rsidRPr="00B05B51">
              <w:rPr>
                <w:rStyle w:val="FontStyle94"/>
                <w:rFonts w:asciiTheme="majorHAnsi" w:hAnsiTheme="majorHAnsi" w:cs="Arial"/>
                <w:sz w:val="16"/>
              </w:rPr>
              <w:br/>
            </w:r>
            <w:r w:rsidRPr="00B05B51">
              <w:rPr>
                <w:rStyle w:val="FontStyle94"/>
                <w:rFonts w:asciiTheme="majorHAnsi" w:hAnsiTheme="majorHAnsi" w:cs="Arial"/>
                <w:sz w:val="16"/>
              </w:rPr>
              <w:t xml:space="preserve">k úspešnosti štrukturálnych reforiem. Projekt v širokej miere prispeje </w:t>
            </w:r>
            <w:r w:rsidR="00544389" w:rsidRPr="00B05B51">
              <w:rPr>
                <w:rStyle w:val="FontStyle94"/>
                <w:rFonts w:asciiTheme="majorHAnsi" w:hAnsiTheme="majorHAnsi" w:cs="Arial"/>
                <w:sz w:val="16"/>
              </w:rPr>
              <w:br/>
            </w:r>
            <w:r w:rsidRPr="00B05B51">
              <w:rPr>
                <w:rStyle w:val="FontStyle94"/>
                <w:rFonts w:asciiTheme="majorHAnsi" w:hAnsiTheme="majorHAnsi" w:cs="Arial"/>
                <w:sz w:val="16"/>
              </w:rPr>
              <w:t xml:space="preserve">k naplneniu ex ante kondicionality 11.1. OECD výrazným spôsobom posilní odbornú stránku reformy a napomôže preneseniu know-how OECD do slovenských podmienok. </w:t>
            </w:r>
          </w:p>
        </w:tc>
        <w:tc>
          <w:tcPr>
            <w:tcW w:w="2862" w:type="dxa"/>
            <w:gridSpan w:val="3"/>
            <w:vAlign w:val="center"/>
          </w:tcPr>
          <w:p w:rsidR="006126A7" w:rsidRPr="00B05B51" w:rsidRDefault="006126A7" w:rsidP="00B52ED3">
            <w:pPr>
              <w:autoSpaceDE w:val="0"/>
              <w:autoSpaceDN w:val="0"/>
              <w:adjustRightInd w:val="0"/>
              <w:spacing w:before="60" w:after="0"/>
              <w:rPr>
                <w:rStyle w:val="FontStyle94"/>
                <w:rFonts w:asciiTheme="majorHAnsi" w:hAnsiTheme="majorHAnsi" w:cs="Arial"/>
                <w:sz w:val="16"/>
              </w:rPr>
            </w:pPr>
            <w:r w:rsidRPr="00B05B51">
              <w:rPr>
                <w:rStyle w:val="FontStyle94"/>
                <w:rFonts w:asciiTheme="majorHAnsi" w:hAnsiTheme="majorHAnsi" w:cs="Arial"/>
                <w:sz w:val="16"/>
              </w:rPr>
              <w:t>31. 12. 2014</w:t>
            </w: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after="0"/>
              <w:rPr>
                <w:rStyle w:val="FontStyle94"/>
                <w:rFonts w:asciiTheme="majorHAnsi" w:hAnsiTheme="majorHAnsi" w:cs="Arial"/>
                <w:sz w:val="16"/>
              </w:rPr>
            </w:pPr>
            <w:r w:rsidRPr="00B05B51">
              <w:rPr>
                <w:rStyle w:val="FontStyle94"/>
                <w:rFonts w:asciiTheme="majorHAnsi" w:hAnsiTheme="majorHAnsi" w:cs="Arial"/>
                <w:sz w:val="16"/>
              </w:rPr>
              <w:t>MV SR (SVS), ÚSV ROS v spolupráci s ÚV SR</w:t>
            </w:r>
          </w:p>
          <w:p w:rsidR="006126A7" w:rsidRPr="00B05B51" w:rsidRDefault="006126A7" w:rsidP="00BA185A">
            <w:pPr>
              <w:autoSpaceDE w:val="0"/>
              <w:autoSpaceDN w:val="0"/>
              <w:adjustRightInd w:val="0"/>
              <w:spacing w:before="60" w:after="0"/>
              <w:rPr>
                <w:rStyle w:val="FontStyle94"/>
                <w:rFonts w:asciiTheme="majorHAnsi" w:hAnsiTheme="majorHAnsi" w:cs="Arial"/>
                <w:sz w:val="16"/>
              </w:rPr>
            </w:pPr>
          </w:p>
          <w:p w:rsidR="006126A7" w:rsidRPr="00B05B51" w:rsidRDefault="006126A7" w:rsidP="00BA185A">
            <w:pPr>
              <w:autoSpaceDE w:val="0"/>
              <w:autoSpaceDN w:val="0"/>
              <w:adjustRightInd w:val="0"/>
              <w:spacing w:before="60"/>
              <w:rPr>
                <w:rStyle w:val="FontStyle94"/>
                <w:rFonts w:asciiTheme="majorHAnsi" w:hAnsiTheme="majorHAnsi" w:cs="Arial"/>
                <w:sz w:val="16"/>
              </w:rPr>
            </w:pPr>
          </w:p>
        </w:tc>
      </w:tr>
      <w:tr w:rsidR="006126A7" w:rsidRPr="00DF567A" w:rsidTr="009B7C77">
        <w:trPr>
          <w:trHeight w:val="332"/>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V rámci rezortov MF SR, MŽP SR, MPSVR SR, MDVRR SR, MZ SR, MŠVVŠ SR sú vytvorené analytické kapacity, ktoré budú posilnené. AK na ostatných ústredných orgánoch štátnej správy budú dobudované. Uvedené rezorty sú partneri projektu „Budovanie odborných kapacít MF SR a ďalších organizácií VS v BA samosprávnom kraji,“ ktorého gestorom je MF SR, Inštitút finančnej politiky. Projekt bude implementovaný prostredníctvom jednej hlavnej aktivity, ktorej obsahom je účasť zamestnancov na stážach/podujatiach organizovaných/poskytovaných najprestížnejšími inštitúciami v oblasti analýz, tvorby a hodnotenia politík na medzinárodnej úrovni. Bude detailne dopracovaná analýza potrieb. Na zabezpečenie efektívnosti celého procesu bude obstaraná agentúra. Projekt sa spúšťa od 04/2014.</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rPr>
              <w:t>31. 12. 2016</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rPr>
            </w:pPr>
            <w:r w:rsidRPr="00B05B51">
              <w:rPr>
                <w:rStyle w:val="FontStyle94"/>
                <w:rFonts w:asciiTheme="majorHAnsi" w:hAnsiTheme="majorHAnsi" w:cs="Arial"/>
                <w:sz w:val="16"/>
              </w:rPr>
              <w:t>MF SR v spolupráci s MV SR, MH SR, MPSVR SR, MDVRR SR, MZ SR, MŠVVŠ SR</w:t>
            </w:r>
          </w:p>
        </w:tc>
      </w:tr>
      <w:tr w:rsidR="006126A7" w:rsidRPr="00DF567A" w:rsidTr="00CC23CF">
        <w:trPr>
          <w:trHeight w:val="332"/>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tcPr>
          <w:p w:rsidR="006126A7" w:rsidRPr="00B05B51" w:rsidRDefault="006126A7" w:rsidP="0057349A">
            <w:pPr>
              <w:shd w:val="clear" w:color="auto" w:fill="FFFFFF"/>
              <w:autoSpaceDE w:val="0"/>
              <w:autoSpaceDN w:val="0"/>
              <w:adjustRightInd w:val="0"/>
              <w:rPr>
                <w:rStyle w:val="FontStyle94"/>
                <w:rFonts w:asciiTheme="majorHAnsi" w:hAnsiTheme="majorHAnsi" w:cs="Arial"/>
                <w:sz w:val="16"/>
                <w:szCs w:val="16"/>
              </w:rPr>
            </w:pPr>
            <w:r w:rsidRPr="00B05B51">
              <w:rPr>
                <w:rStyle w:val="FontStyle94"/>
                <w:rFonts w:asciiTheme="majorHAnsi" w:hAnsiTheme="majorHAnsi" w:cs="Arial"/>
                <w:sz w:val="16"/>
              </w:rPr>
              <w:t xml:space="preserve">Novelizácia zákona č. 400/2009 Z. z. o štátnej službe a o zmene </w:t>
            </w:r>
            <w:r w:rsidR="00544389" w:rsidRPr="00B05B51">
              <w:rPr>
                <w:rStyle w:val="FontStyle94"/>
                <w:rFonts w:asciiTheme="majorHAnsi" w:hAnsiTheme="majorHAnsi" w:cs="Arial"/>
                <w:sz w:val="16"/>
              </w:rPr>
              <w:br/>
            </w:r>
            <w:r w:rsidRPr="00B05B51">
              <w:rPr>
                <w:rStyle w:val="FontStyle94"/>
                <w:rFonts w:asciiTheme="majorHAnsi" w:hAnsiTheme="majorHAnsi" w:cs="Arial"/>
                <w:sz w:val="16"/>
              </w:rPr>
              <w:t xml:space="preserve">a doplnení niektorých zákonov v znení neskorších predpisov. </w:t>
            </w:r>
            <w:r w:rsidRPr="00B05B51">
              <w:rPr>
                <w:rStyle w:val="FontStyle94"/>
                <w:rFonts w:asciiTheme="majorHAnsi" w:hAnsiTheme="majorHAnsi" w:cs="Arial"/>
                <w:sz w:val="16"/>
                <w:szCs w:val="16"/>
              </w:rPr>
              <w:t xml:space="preserve">Príprava jednotnej stratégie </w:t>
            </w:r>
            <w:r w:rsidR="00BE4C1D">
              <w:rPr>
                <w:rStyle w:val="FontStyle94"/>
                <w:rFonts w:asciiTheme="majorHAnsi" w:hAnsiTheme="majorHAnsi" w:cs="Arial"/>
                <w:sz w:val="16"/>
                <w:szCs w:val="16"/>
              </w:rPr>
              <w:t>rozvoja ľudských zdrojov (</w:t>
            </w:r>
            <w:r w:rsidRPr="00B05B51">
              <w:rPr>
                <w:rStyle w:val="FontStyle94"/>
                <w:rFonts w:asciiTheme="majorHAnsi" w:hAnsiTheme="majorHAnsi" w:cs="Arial"/>
                <w:sz w:val="16"/>
                <w:szCs w:val="16"/>
              </w:rPr>
              <w:t>RĽZ</w:t>
            </w:r>
            <w:r w:rsidR="00BE4C1D">
              <w:rPr>
                <w:rStyle w:val="FontStyle94"/>
                <w:rFonts w:asciiTheme="majorHAnsi" w:hAnsiTheme="majorHAnsi" w:cs="Arial"/>
                <w:sz w:val="16"/>
                <w:szCs w:val="16"/>
              </w:rPr>
              <w:t>)</w:t>
            </w:r>
            <w:r w:rsidRPr="00B05B51">
              <w:rPr>
                <w:rStyle w:val="FontStyle94"/>
                <w:rFonts w:asciiTheme="majorHAnsi" w:hAnsiTheme="majorHAnsi" w:cs="Arial"/>
                <w:sz w:val="16"/>
                <w:szCs w:val="16"/>
              </w:rPr>
              <w:t xml:space="preserve"> (panel expertov ÚV SR). </w:t>
            </w:r>
          </w:p>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V rámci projektu Budovanie kapacít a zlepšenia efektivity VS, realizovaného s NFP poskytnutého MPSVR SR</w:t>
            </w:r>
            <w:r w:rsidR="00A07FC7" w:rsidRPr="00B05B51">
              <w:rPr>
                <w:rStyle w:val="FontStyle94"/>
                <w:rFonts w:asciiTheme="majorHAnsi" w:hAnsiTheme="majorHAnsi" w:cs="Arial"/>
                <w:sz w:val="16"/>
                <w:szCs w:val="16"/>
              </w:rPr>
              <w:t>,</w:t>
            </w:r>
            <w:r w:rsidRPr="00B05B51">
              <w:rPr>
                <w:rStyle w:val="FontStyle94"/>
                <w:rFonts w:asciiTheme="majorHAnsi" w:hAnsiTheme="majorHAnsi" w:cs="Arial"/>
                <w:sz w:val="16"/>
                <w:szCs w:val="16"/>
              </w:rPr>
              <w:t xml:space="preserve"> MV SR v spolupráci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s OECD</w:t>
            </w:r>
            <w:r w:rsidRPr="00B05B51">
              <w:rPr>
                <w:rStyle w:val="FontStyle94"/>
                <w:rFonts w:asciiTheme="majorHAnsi" w:hAnsiTheme="majorHAnsi" w:cs="Arial"/>
                <w:sz w:val="16"/>
              </w:rPr>
              <w:t xml:space="preserve"> </w:t>
            </w:r>
            <w:r w:rsidRPr="00B05B51">
              <w:rPr>
                <w:rStyle w:val="FontStyle94"/>
                <w:rFonts w:asciiTheme="majorHAnsi" w:hAnsiTheme="majorHAnsi" w:cs="Arial"/>
                <w:sz w:val="16"/>
                <w:szCs w:val="16"/>
              </w:rPr>
              <w:t xml:space="preserve">sa vypracuje </w:t>
            </w:r>
            <w:r w:rsidRPr="00B05B51">
              <w:rPr>
                <w:rStyle w:val="FontStyle94"/>
                <w:rFonts w:asciiTheme="majorHAnsi" w:hAnsiTheme="majorHAnsi" w:cs="Arial"/>
                <w:sz w:val="16"/>
              </w:rPr>
              <w:t>analýza</w:t>
            </w:r>
            <w:r w:rsidRPr="00B05B51">
              <w:rPr>
                <w:rStyle w:val="FontStyle94"/>
                <w:rFonts w:asciiTheme="majorHAnsi" w:hAnsiTheme="majorHAnsi" w:cs="Arial"/>
                <w:sz w:val="16"/>
                <w:szCs w:val="16"/>
              </w:rPr>
              <w:t xml:space="preserve">, ako </w:t>
            </w:r>
            <w:r w:rsidRPr="00B05B51">
              <w:rPr>
                <w:rStyle w:val="FontStyle94"/>
                <w:rFonts w:asciiTheme="majorHAnsi" w:hAnsiTheme="majorHAnsi" w:cs="Arial"/>
                <w:sz w:val="16"/>
              </w:rPr>
              <w:t>argumentačná báza</w:t>
            </w:r>
            <w:r w:rsidRPr="00B05B51">
              <w:rPr>
                <w:rStyle w:val="FontStyle94"/>
                <w:rFonts w:asciiTheme="majorHAnsi" w:hAnsiTheme="majorHAnsi" w:cs="Arial"/>
                <w:sz w:val="16"/>
                <w:szCs w:val="16"/>
              </w:rPr>
              <w:t xml:space="preserve"> pri spracovaní </w:t>
            </w:r>
            <w:r w:rsidRPr="00B05B51">
              <w:rPr>
                <w:rStyle w:val="FontStyle94"/>
                <w:rFonts w:asciiTheme="majorHAnsi" w:hAnsiTheme="majorHAnsi" w:cs="Arial"/>
                <w:sz w:val="16"/>
                <w:szCs w:val="16"/>
              </w:rPr>
              <w:lastRenderedPageBreak/>
              <w:t>nového zákona o štátnej službe. Základným obsahom bude analytické porovnanie štátnej služby SR so systémami štátnej služby</w:t>
            </w:r>
            <w:r w:rsidRPr="00B05B51">
              <w:rPr>
                <w:rStyle w:val="FontStyle94"/>
                <w:rFonts w:asciiTheme="majorHAnsi" w:hAnsiTheme="majorHAnsi" w:cs="Arial"/>
                <w:sz w:val="16"/>
              </w:rPr>
              <w:t>,</w:t>
            </w:r>
            <w:r w:rsidRPr="00B05B51">
              <w:rPr>
                <w:rStyle w:val="FontStyle94"/>
                <w:rFonts w:asciiTheme="majorHAnsi" w:hAnsiTheme="majorHAnsi" w:cs="Arial"/>
                <w:sz w:val="16"/>
                <w:szCs w:val="16"/>
              </w:rPr>
              <w:t xml:space="preserve"> a to nielen legislatívneho prostredia, ale aj metodiky a spôsobov implementačnej praxe aspoň v 5 krajinách EÚ a OECD. Cieľmi analýzy sú zadefinovanie jednotlivých systémov štátnej služby s dôrazom na právny stav štátnej služby v každej krajine, legislatívna úprava štátnej služby ako i zákonná úprava niektorých inštitútov. Analýza bude obsahovať poznatky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 xml:space="preserve">o komplexnom fungovaní štátnej služby, pričom sa dôraz bude klásť na rozpracovanie a porovnanie jednotlivých systémov fungovania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 xml:space="preserve">z hľadiska efektívnosti, stability a apolitickosti fungovania, prípadové štúdie a benchmarking analyzovaných systémov, vrátane návrhov aplikácie výstupov a odporúčaní v komparácii s podmienkami v SR. </w:t>
            </w:r>
          </w:p>
        </w:tc>
        <w:tc>
          <w:tcPr>
            <w:tcW w:w="2862" w:type="dxa"/>
            <w:gridSpan w:val="3"/>
          </w:tcPr>
          <w:p w:rsidR="006126A7" w:rsidRPr="00B05B51" w:rsidRDefault="006126A7" w:rsidP="00B52ED3">
            <w:pPr>
              <w:autoSpaceDE w:val="0"/>
              <w:autoSpaceDN w:val="0"/>
              <w:adjustRightInd w:val="0"/>
              <w:spacing w:before="60" w:after="0"/>
              <w:rPr>
                <w:rStyle w:val="FontStyle94"/>
                <w:rFonts w:asciiTheme="majorHAnsi" w:hAnsiTheme="majorHAnsi" w:cs="Arial"/>
                <w:sz w:val="16"/>
              </w:rPr>
            </w:pPr>
            <w:r w:rsidRPr="00B05B51">
              <w:rPr>
                <w:rStyle w:val="FontStyle94"/>
                <w:rFonts w:asciiTheme="majorHAnsi" w:hAnsiTheme="majorHAnsi" w:cs="Arial"/>
                <w:sz w:val="16"/>
              </w:rPr>
              <w:lastRenderedPageBreak/>
              <w:t>2015</w:t>
            </w: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autoSpaceDE w:val="0"/>
              <w:autoSpaceDN w:val="0"/>
              <w:adjustRightInd w:val="0"/>
              <w:spacing w:before="60" w:after="0"/>
              <w:rPr>
                <w:rStyle w:val="FontStyle94"/>
                <w:rFonts w:asciiTheme="majorHAnsi" w:hAnsiTheme="majorHAnsi" w:cs="Arial"/>
                <w:sz w:val="16"/>
              </w:rPr>
            </w:pPr>
          </w:p>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rPr>
            </w:pPr>
          </w:p>
        </w:tc>
        <w:tc>
          <w:tcPr>
            <w:tcW w:w="2346" w:type="dxa"/>
            <w:tcBorders>
              <w:right w:val="single" w:sz="12" w:space="0" w:color="auto"/>
            </w:tcBorders>
          </w:tcPr>
          <w:p w:rsidR="006126A7" w:rsidRPr="00B05B51" w:rsidRDefault="006126A7" w:rsidP="00B52ED3">
            <w:pPr>
              <w:autoSpaceDE w:val="0"/>
              <w:autoSpaceDN w:val="0"/>
              <w:adjustRightInd w:val="0"/>
              <w:spacing w:before="60"/>
              <w:jc w:val="left"/>
              <w:rPr>
                <w:rStyle w:val="FontStyle94"/>
                <w:rFonts w:asciiTheme="majorHAnsi" w:hAnsiTheme="majorHAnsi" w:cs="Arial"/>
                <w:sz w:val="16"/>
              </w:rPr>
            </w:pPr>
            <w:r w:rsidRPr="00B05B51">
              <w:rPr>
                <w:rStyle w:val="FontStyle94"/>
                <w:rFonts w:asciiTheme="majorHAnsi" w:hAnsiTheme="majorHAnsi" w:cs="Arial"/>
                <w:sz w:val="16"/>
              </w:rPr>
              <w:lastRenderedPageBreak/>
              <w:t>ÚV SR v spolupráci s MV SR</w:t>
            </w:r>
          </w:p>
        </w:tc>
      </w:tr>
      <w:tr w:rsidR="006126A7" w:rsidRPr="00DF567A" w:rsidTr="009B7C77">
        <w:trPr>
          <w:trHeight w:val="332"/>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rPr>
            </w:pPr>
            <w:r w:rsidRPr="00B05B51">
              <w:rPr>
                <w:rStyle w:val="FontStyle94"/>
                <w:rFonts w:asciiTheme="majorHAnsi" w:hAnsiTheme="majorHAnsi" w:cs="Arial"/>
                <w:sz w:val="16"/>
                <w:szCs w:val="16"/>
              </w:rPr>
              <w:t xml:space="preserve">Prijatie novej právnej úpravy o finančnej správe, ktorou sa zrovnoprávnia podmienky zamestnancov zabezpečujúcich činnosti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 xml:space="preserve">v daňovej a v colnej oblasti. </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31.12.2016</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MF SR (Finančné riaditeľstvo SR)  v spolupráci s MV SR  </w:t>
            </w:r>
          </w:p>
        </w:tc>
      </w:tr>
      <w:tr w:rsidR="006126A7" w:rsidRPr="00DF567A" w:rsidTr="009B7C77">
        <w:trPr>
          <w:trHeight w:val="332"/>
        </w:trPr>
        <w:tc>
          <w:tcPr>
            <w:tcW w:w="1963" w:type="dxa"/>
            <w:gridSpan w:val="2"/>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Na ďalších stretnutiach Riadiaceho výboru sa spoločne prediskutujú ďalšie kroky a opatrenia s cieľom zabezpečiť splnenie tejto ex ante kondicionality.</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31. 12. 2014</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Členovia Riadiaceho výboru</w:t>
            </w:r>
          </w:p>
        </w:tc>
      </w:tr>
      <w:tr w:rsidR="006126A7" w:rsidRPr="00DF567A" w:rsidTr="009B7C77">
        <w:trPr>
          <w:trHeight w:val="163"/>
        </w:trPr>
        <w:tc>
          <w:tcPr>
            <w:tcW w:w="1963" w:type="dxa"/>
            <w:gridSpan w:val="2"/>
            <w:vMerge w:val="restart"/>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val="restart"/>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r w:rsidRPr="00B763E3">
              <w:rPr>
                <w:rFonts w:asciiTheme="majorHAnsi" w:hAnsiTheme="majorHAnsi"/>
                <w:color w:val="000000"/>
                <w:sz w:val="16"/>
                <w:szCs w:val="16"/>
              </w:rPr>
              <w:t>Rozširovanie zručností na všetkých úrovniach odbornej hierarchie v rámci orgánov VS</w:t>
            </w:r>
          </w:p>
        </w:tc>
        <w:tc>
          <w:tcPr>
            <w:tcW w:w="4853" w:type="dxa"/>
            <w:gridSpan w:val="2"/>
            <w:vAlign w:val="center"/>
          </w:tcPr>
          <w:p w:rsidR="006126A7" w:rsidRPr="00B05B51" w:rsidRDefault="006126A7" w:rsidP="00063489">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MV SR v súčasnosti buduje systém vzdelávania vo VS a pracuje na vzdelávacích programoch</w:t>
            </w:r>
            <w:r w:rsidR="003C2CF7" w:rsidRPr="00B05B51">
              <w:rPr>
                <w:rStyle w:val="FontStyle94"/>
                <w:rFonts w:asciiTheme="majorHAnsi" w:hAnsiTheme="majorHAnsi" w:cs="Arial"/>
                <w:sz w:val="16"/>
                <w:szCs w:val="16"/>
              </w:rPr>
              <w:t xml:space="preserve"> </w:t>
            </w:r>
            <w:r w:rsidR="003C2CF7" w:rsidRPr="00B763E3">
              <w:rPr>
                <w:rFonts w:asciiTheme="majorHAnsi" w:hAnsiTheme="majorHAnsi"/>
                <w:b/>
                <w:sz w:val="16"/>
              </w:rPr>
              <w:t>pre štátnych zamestnancov VS v SR</w:t>
            </w:r>
            <w:r w:rsidRPr="00B05B51">
              <w:rPr>
                <w:rStyle w:val="FontStyle94"/>
                <w:rFonts w:asciiTheme="majorHAnsi" w:hAnsiTheme="majorHAnsi" w:cs="Arial"/>
                <w:sz w:val="16"/>
                <w:szCs w:val="16"/>
              </w:rPr>
              <w:t xml:space="preserve">. Vzdelávanie vo VS je zabezpečované prostredníctvom Centra účelových zariadení – stredisko Inštitút pre VS. Inštitút pre VS má záujem neustále monitorovať požiadavky kladené na vzdelávanie a kvalitu vzdelávania vo VS a podľa toho modifikovať vzdelávacie aktivity. Na základe identifikovaných potrieb vo vzťahu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 xml:space="preserve">k rozširovaniu zručností na zamestnancov VS na všetkých úrovniach Inštitút predloží projektové návrhy na možné realizácie národných projektov z prostriedkov ESF. </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31. 12. 2014</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after="0"/>
              <w:rPr>
                <w:rStyle w:val="FontStyle94"/>
                <w:rFonts w:asciiTheme="majorHAnsi" w:hAnsiTheme="majorHAnsi" w:cs="Arial"/>
                <w:sz w:val="16"/>
                <w:szCs w:val="16"/>
              </w:rPr>
            </w:pPr>
            <w:r w:rsidRPr="00B05B51">
              <w:rPr>
                <w:rStyle w:val="FontStyle94"/>
                <w:rFonts w:asciiTheme="majorHAnsi" w:hAnsiTheme="majorHAnsi" w:cs="Arial"/>
                <w:sz w:val="16"/>
                <w:szCs w:val="16"/>
              </w:rPr>
              <w:t>MV SR</w:t>
            </w:r>
          </w:p>
          <w:p w:rsidR="006126A7" w:rsidRPr="00B05B51" w:rsidRDefault="006126A7" w:rsidP="00BA185A">
            <w:pPr>
              <w:autoSpaceDE w:val="0"/>
              <w:autoSpaceDN w:val="0"/>
              <w:adjustRightInd w:val="0"/>
              <w:spacing w:before="60"/>
              <w:ind w:firstLine="720"/>
              <w:rPr>
                <w:rStyle w:val="FontStyle94"/>
                <w:rFonts w:asciiTheme="majorHAnsi" w:hAnsiTheme="majorHAnsi" w:cs="Arial"/>
                <w:sz w:val="16"/>
                <w:szCs w:val="16"/>
              </w:rPr>
            </w:pPr>
          </w:p>
        </w:tc>
      </w:tr>
      <w:tr w:rsidR="006126A7" w:rsidRPr="00DF567A" w:rsidTr="009B7C77">
        <w:trPr>
          <w:trHeight w:val="163"/>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3C2CF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ÚV SR za účelom prípravy nového zákona o štátnej službe zriadil </w:t>
            </w:r>
            <w:r w:rsidR="00544389" w:rsidRPr="00B05B51">
              <w:rPr>
                <w:rStyle w:val="FontStyle94"/>
                <w:rFonts w:asciiTheme="majorHAnsi" w:hAnsiTheme="majorHAnsi" w:cs="Arial"/>
                <w:sz w:val="16"/>
                <w:szCs w:val="16"/>
              </w:rPr>
              <w:br/>
            </w:r>
            <w:r w:rsidRPr="00B05B51">
              <w:rPr>
                <w:rStyle w:val="FontStyle94"/>
                <w:rFonts w:asciiTheme="majorHAnsi" w:hAnsiTheme="majorHAnsi" w:cs="Arial"/>
                <w:sz w:val="16"/>
                <w:szCs w:val="16"/>
              </w:rPr>
              <w:t>v spolupráci s ostanými ministerstvami a ústrednými orgánmi štátnej správy z odborníkov na štátnu službu pracovné skupiny, ktoré sa zaoberajú prípravou nového zákona. Jedna z pracovných skupín je venovaná vzdelávaniu</w:t>
            </w:r>
            <w:r w:rsidR="00B86ED1">
              <w:rPr>
                <w:rStyle w:val="FontStyle94"/>
                <w:rFonts w:asciiTheme="majorHAnsi" w:hAnsiTheme="majorHAnsi" w:cs="Arial"/>
                <w:sz w:val="16"/>
                <w:szCs w:val="16"/>
              </w:rPr>
              <w:t>.</w:t>
            </w:r>
          </w:p>
          <w:p w:rsidR="006126A7" w:rsidRPr="00B05B51" w:rsidRDefault="003C2CF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763E3">
              <w:rPr>
                <w:rFonts w:asciiTheme="majorHAnsi" w:hAnsiTheme="majorHAnsi"/>
                <w:sz w:val="16"/>
                <w:lang w:eastAsia="sk-SK"/>
              </w:rPr>
              <w:t xml:space="preserve">Pracovná skupina identifikuje potreby v oblasti vzdelávania, tréningov a rozvoja zručností vo vzťahu k vzdelávaniu štátnych zamestnancov </w:t>
            </w:r>
            <w:r w:rsidR="00E61814">
              <w:rPr>
                <w:rFonts w:asciiTheme="majorHAnsi" w:hAnsiTheme="majorHAnsi"/>
                <w:sz w:val="16"/>
                <w:lang w:eastAsia="sk-SK"/>
              </w:rPr>
              <w:br/>
            </w:r>
            <w:r w:rsidRPr="00B763E3">
              <w:rPr>
                <w:rFonts w:asciiTheme="majorHAnsi" w:hAnsiTheme="majorHAnsi"/>
                <w:sz w:val="16"/>
                <w:lang w:eastAsia="sk-SK"/>
              </w:rPr>
              <w:t xml:space="preserve">s ohľadom novú </w:t>
            </w:r>
            <w:r w:rsidRPr="00B763E3">
              <w:rPr>
                <w:rFonts w:asciiTheme="majorHAnsi" w:hAnsiTheme="majorHAnsi"/>
                <w:b/>
                <w:sz w:val="16"/>
              </w:rPr>
              <w:t>jednotnú stratégie RĽZ</w:t>
            </w:r>
            <w:r w:rsidRPr="00B763E3">
              <w:rPr>
                <w:rFonts w:asciiTheme="majorHAnsi" w:hAnsiTheme="majorHAnsi"/>
                <w:sz w:val="16"/>
              </w:rPr>
              <w:t xml:space="preserve"> v štátnej správe</w:t>
            </w:r>
            <w:r w:rsidRPr="00B763E3">
              <w:rPr>
                <w:rFonts w:asciiTheme="majorHAnsi" w:hAnsiTheme="majorHAnsi"/>
                <w:sz w:val="16"/>
                <w:lang w:eastAsia="sk-SK"/>
              </w:rPr>
              <w:t xml:space="preserve">. Taktiež pomôže vypracovať analýzy a plán rozvoja kompetencií, zručností </w:t>
            </w:r>
            <w:r w:rsidR="00E61814">
              <w:rPr>
                <w:rFonts w:asciiTheme="majorHAnsi" w:hAnsiTheme="majorHAnsi"/>
                <w:sz w:val="16"/>
                <w:lang w:eastAsia="sk-SK"/>
              </w:rPr>
              <w:br/>
            </w:r>
            <w:r w:rsidRPr="00B763E3">
              <w:rPr>
                <w:rFonts w:asciiTheme="majorHAnsi" w:hAnsiTheme="majorHAnsi"/>
                <w:sz w:val="16"/>
                <w:lang w:eastAsia="sk-SK"/>
              </w:rPr>
              <w:t xml:space="preserve">a schopností na všetkých úrovniach profesionálnej hierarchie v rámci </w:t>
            </w:r>
            <w:r w:rsidRPr="00B763E3">
              <w:rPr>
                <w:rFonts w:asciiTheme="majorHAnsi" w:hAnsiTheme="majorHAnsi"/>
                <w:sz w:val="16"/>
                <w:lang w:eastAsia="sk-SK"/>
              </w:rPr>
              <w:lastRenderedPageBreak/>
              <w:t>inštitúcií štátnej správy.</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lastRenderedPageBreak/>
              <w:t>31.</w:t>
            </w:r>
            <w:r w:rsidR="003C2CF7" w:rsidRPr="00B05B51">
              <w:rPr>
                <w:rStyle w:val="FontStyle94"/>
                <w:rFonts w:asciiTheme="majorHAnsi" w:hAnsiTheme="majorHAnsi" w:cs="Arial"/>
                <w:sz w:val="16"/>
                <w:szCs w:val="16"/>
              </w:rPr>
              <w:t>5</w:t>
            </w:r>
            <w:r w:rsidRPr="00B05B51">
              <w:rPr>
                <w:rStyle w:val="FontStyle94"/>
                <w:rFonts w:asciiTheme="majorHAnsi" w:hAnsiTheme="majorHAnsi" w:cs="Arial"/>
                <w:sz w:val="16"/>
                <w:szCs w:val="16"/>
              </w:rPr>
              <w:t>. 201</w:t>
            </w:r>
            <w:r w:rsidR="003C2CF7" w:rsidRPr="00B05B51">
              <w:rPr>
                <w:rStyle w:val="FontStyle94"/>
                <w:rFonts w:asciiTheme="majorHAnsi" w:hAnsiTheme="majorHAnsi" w:cs="Arial"/>
                <w:sz w:val="16"/>
                <w:szCs w:val="16"/>
              </w:rPr>
              <w:t>5</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ÚV v spolupráci s MV SR</w:t>
            </w:r>
          </w:p>
        </w:tc>
      </w:tr>
      <w:tr w:rsidR="006126A7" w:rsidRPr="00DF567A" w:rsidTr="009B7C77">
        <w:trPr>
          <w:trHeight w:val="308"/>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57349A">
            <w:pPr>
              <w:autoSpaceDE w:val="0"/>
              <w:autoSpaceDN w:val="0"/>
              <w:adjustRightInd w:val="0"/>
              <w:spacing w:before="60" w:after="0"/>
              <w:rPr>
                <w:rStyle w:val="FontStyle94"/>
                <w:rFonts w:asciiTheme="majorHAnsi" w:hAnsiTheme="majorHAnsi" w:cs="Arial"/>
                <w:sz w:val="16"/>
                <w:szCs w:val="16"/>
              </w:rPr>
            </w:pPr>
            <w:r w:rsidRPr="00B05B51">
              <w:rPr>
                <w:rStyle w:val="FontStyle94"/>
                <w:rFonts w:asciiTheme="majorHAnsi" w:hAnsiTheme="majorHAnsi" w:cs="Arial"/>
                <w:sz w:val="16"/>
                <w:szCs w:val="16"/>
              </w:rPr>
              <w:t>Analýza súčasného stavu, nastavenie žiaduceho stavu, definícia vzdelávacích potrieb na úrovni „front office“ služieb.</w:t>
            </w:r>
          </w:p>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V súlade so vzdelávacími potrebami sa budú uskutočňovať  vzdelávacie aktivity pre zamestnancov klientskych centier, ktorí sú primárne určení na priamy kontakt s klientmi a tiež ich riadiacich pracovníkov. Vzdelávanie bude prebiehať v jednotlivých klientskych centrách. Cieľom kurzov je oboznámiť účastníkov s novými prístupmi k zmenám v myslení ľudí a pracovných procesov, odbúrať manažérske pravidlá o udržovaní a fungovaní nepružných zažitých štandardov, poskytnúť návod, ako zavádzať zmenu v myslení a pracovných procesov. Taktiež je cieľom kurzov rozšíriť a podporiť zručnosti účastníkov v komunikácii s rôznymi cieľovými skupinami obyvateľov, rešpektujúc ich kultúrne a socio-ekonomické špecifiká, podporiť využívanie techník a postupov uľahčujúcich vzájomné porozumenie, identifikáciu potrieb cieľových skupín a voľbu efektívnych komunikačných postupov, poskytnúť účastníkom nástroje na identifikáciu a efektívne riešenie krízových situácii, naučiť rozpoznať krízu v jej začiatkoch alebo dokonca pre</w:t>
            </w:r>
            <w:r w:rsidR="00A07FC7" w:rsidRPr="00B05B51">
              <w:rPr>
                <w:rStyle w:val="FontStyle94"/>
                <w:rFonts w:asciiTheme="majorHAnsi" w:hAnsiTheme="majorHAnsi" w:cs="Arial"/>
                <w:sz w:val="16"/>
                <w:szCs w:val="16"/>
              </w:rPr>
              <w:t>d</w:t>
            </w:r>
            <w:r w:rsidRPr="00B05B51">
              <w:rPr>
                <w:rStyle w:val="FontStyle94"/>
                <w:rFonts w:asciiTheme="majorHAnsi" w:hAnsiTheme="majorHAnsi" w:cs="Arial"/>
                <w:sz w:val="16"/>
                <w:szCs w:val="16"/>
              </w:rPr>
              <w:t xml:space="preserve"> jej vypuknutím, naučiť ich rôzne spôsoby komunikácie v krízových situáciách, </w:t>
            </w:r>
            <w:r w:rsidR="00A07FC7" w:rsidRPr="00B05B51">
              <w:rPr>
                <w:rStyle w:val="FontStyle94"/>
                <w:rFonts w:asciiTheme="majorHAnsi" w:hAnsiTheme="majorHAnsi" w:cs="Arial"/>
                <w:sz w:val="16"/>
                <w:szCs w:val="16"/>
              </w:rPr>
              <w:t>ako aj</w:t>
            </w:r>
            <w:r w:rsidRPr="00B05B51">
              <w:rPr>
                <w:rStyle w:val="FontStyle94"/>
                <w:rFonts w:asciiTheme="majorHAnsi" w:hAnsiTheme="majorHAnsi" w:cs="Arial"/>
                <w:sz w:val="16"/>
                <w:szCs w:val="16"/>
              </w:rPr>
              <w:t xml:space="preserve"> reagovať na krízu vo všetkých jej štádiách. Pre riadiacich zamestnancov budú kurzy zamerané na posilnenie líderskych – vodcovských  postojov a zručností.</w:t>
            </w:r>
          </w:p>
        </w:tc>
        <w:tc>
          <w:tcPr>
            <w:tcW w:w="2862" w:type="dxa"/>
            <w:gridSpan w:val="3"/>
            <w:vAlign w:val="center"/>
          </w:tcPr>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31. 12. 2014</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MV SR v spolupráci s MPSVR SR</w:t>
            </w:r>
          </w:p>
        </w:tc>
      </w:tr>
      <w:tr w:rsidR="006126A7" w:rsidRPr="00DF567A" w:rsidTr="009B7C77">
        <w:trPr>
          <w:trHeight w:val="308"/>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Dobudovanie systému vzdelávania zamestnancov Finančného riaditeľstva SR - zabezpečenie rozvoja ľudských zdrojov. FR SR vypracúva program vzdelávania finančnej správy, ktorý poukazuje na zjednotenie systému vzdelávania zamestnancov Finančného riaditeľstva SR.</w:t>
            </w:r>
          </w:p>
        </w:tc>
        <w:tc>
          <w:tcPr>
            <w:tcW w:w="2862" w:type="dxa"/>
            <w:gridSpan w:val="3"/>
            <w:vAlign w:val="center"/>
          </w:tcPr>
          <w:p w:rsidR="006126A7" w:rsidRPr="00B05B51" w:rsidRDefault="006126A7" w:rsidP="00B52ED3">
            <w:pPr>
              <w:autoSpaceDE w:val="0"/>
              <w:autoSpaceDN w:val="0"/>
              <w:adjustRightInd w:val="0"/>
              <w:spacing w:before="60" w:after="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31. 12. 2016 </w:t>
            </w:r>
          </w:p>
          <w:p w:rsidR="006126A7" w:rsidRPr="00B05B51" w:rsidRDefault="006126A7" w:rsidP="00B52ED3">
            <w:pPr>
              <w:shd w:val="clear" w:color="auto" w:fill="FFFFFF"/>
              <w:tabs>
                <w:tab w:val="left" w:pos="2302"/>
              </w:tabs>
              <w:autoSpaceDE w:val="0"/>
              <w:autoSpaceDN w:val="0"/>
              <w:adjustRightInd w:val="0"/>
              <w:spacing w:before="0"/>
              <w:rPr>
                <w:rStyle w:val="FontStyle94"/>
                <w:rFonts w:asciiTheme="majorHAnsi" w:hAnsiTheme="majorHAnsi" w:cs="Arial"/>
                <w:sz w:val="16"/>
                <w:szCs w:val="16"/>
              </w:rPr>
            </w:pP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MF SR (Finančné riaditeľstvo SR)  v spolupráci s MV SR  </w:t>
            </w:r>
          </w:p>
        </w:tc>
      </w:tr>
      <w:tr w:rsidR="006126A7" w:rsidRPr="00DF567A" w:rsidTr="009B7C77">
        <w:trPr>
          <w:trHeight w:val="180"/>
        </w:trPr>
        <w:tc>
          <w:tcPr>
            <w:tcW w:w="1963" w:type="dxa"/>
            <w:gridSpan w:val="2"/>
            <w:vMerge w:val="restart"/>
            <w:tcBorders>
              <w:left w:val="single" w:sz="12" w:space="0" w:color="auto"/>
              <w:righ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p>
        </w:tc>
        <w:tc>
          <w:tcPr>
            <w:tcW w:w="2086" w:type="dxa"/>
            <w:vMerge w:val="restart"/>
            <w:tcBorders>
              <w:left w:val="single" w:sz="4" w:space="0" w:color="auto"/>
            </w:tcBorders>
          </w:tcPr>
          <w:p w:rsidR="006126A7" w:rsidRPr="00B763E3" w:rsidRDefault="006126A7" w:rsidP="00B52ED3">
            <w:pPr>
              <w:spacing w:before="0" w:line="276" w:lineRule="auto"/>
              <w:rPr>
                <w:rFonts w:asciiTheme="majorHAnsi" w:hAnsiTheme="majorHAnsi"/>
                <w:color w:val="000000"/>
                <w:sz w:val="16"/>
                <w:szCs w:val="16"/>
              </w:rPr>
            </w:pPr>
            <w:r w:rsidRPr="00B763E3">
              <w:rPr>
                <w:rFonts w:asciiTheme="majorHAnsi" w:hAnsiTheme="majorHAnsi"/>
                <w:color w:val="000000"/>
                <w:sz w:val="16"/>
                <w:szCs w:val="16"/>
              </w:rPr>
              <w:t>Vývoj postupov a nástrojov na monitorovanie a hodnotenie</w:t>
            </w: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Optimalizácia procesov miestnej štátnej správy - audit procesov na úrovni okresných úradov. Zber a nastavenie štatistických a analytických výstupov zameraných na výkon okresných úradov.</w:t>
            </w:r>
          </w:p>
        </w:tc>
        <w:tc>
          <w:tcPr>
            <w:tcW w:w="2862" w:type="dxa"/>
            <w:gridSpan w:val="3"/>
            <w:vAlign w:val="center"/>
          </w:tcPr>
          <w:p w:rsidR="006126A7" w:rsidRPr="00B05B51" w:rsidRDefault="006126A7" w:rsidP="00B52ED3">
            <w:pPr>
              <w:autoSpaceDE w:val="0"/>
              <w:autoSpaceDN w:val="0"/>
              <w:adjustRightInd w:val="0"/>
              <w:spacing w:before="60" w:after="0"/>
              <w:rPr>
                <w:rStyle w:val="FontStyle94"/>
                <w:rFonts w:asciiTheme="majorHAnsi" w:hAnsiTheme="majorHAnsi" w:cs="Arial"/>
                <w:sz w:val="16"/>
                <w:szCs w:val="16"/>
              </w:rPr>
            </w:pPr>
            <w:r w:rsidRPr="00B05B51">
              <w:rPr>
                <w:rStyle w:val="FontStyle94"/>
                <w:rFonts w:asciiTheme="majorHAnsi" w:hAnsiTheme="majorHAnsi" w:cs="Arial"/>
                <w:sz w:val="16"/>
                <w:szCs w:val="16"/>
              </w:rPr>
              <w:t>31. 12. 2014</w:t>
            </w:r>
          </w:p>
        </w:tc>
        <w:tc>
          <w:tcPr>
            <w:tcW w:w="2346" w:type="dxa"/>
            <w:tcBorders>
              <w:right w:val="single" w:sz="12" w:space="0" w:color="auto"/>
            </w:tcBorders>
            <w:vAlign w:val="center"/>
          </w:tcPr>
          <w:p w:rsidR="006126A7" w:rsidRPr="00B05B51" w:rsidRDefault="006126A7" w:rsidP="00B52ED3">
            <w:pPr>
              <w:autoSpaceDE w:val="0"/>
              <w:autoSpaceDN w:val="0"/>
              <w:adjustRightInd w:val="0"/>
              <w:spacing w:before="60"/>
              <w:jc w:val="left"/>
              <w:rPr>
                <w:rStyle w:val="FontStyle94"/>
                <w:rFonts w:asciiTheme="majorHAnsi" w:hAnsiTheme="majorHAnsi" w:cs="Arial"/>
                <w:sz w:val="16"/>
                <w:szCs w:val="16"/>
              </w:rPr>
            </w:pPr>
            <w:r w:rsidRPr="00B05B51">
              <w:rPr>
                <w:rStyle w:val="FontStyle94"/>
                <w:rFonts w:asciiTheme="majorHAnsi" w:hAnsiTheme="majorHAnsi" w:cs="Arial"/>
                <w:sz w:val="16"/>
                <w:szCs w:val="16"/>
              </w:rPr>
              <w:t>MV SR</w:t>
            </w:r>
          </w:p>
        </w:tc>
      </w:tr>
      <w:tr w:rsidR="006126A7" w:rsidRPr="00DF567A" w:rsidTr="009B7C77">
        <w:trPr>
          <w:trHeight w:val="180"/>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r w:rsidRPr="00B05B51">
              <w:rPr>
                <w:rStyle w:val="FontStyle94"/>
                <w:rFonts w:asciiTheme="majorHAnsi" w:hAnsiTheme="majorHAnsi" w:cs="Arial"/>
                <w:sz w:val="16"/>
                <w:szCs w:val="16"/>
              </w:rPr>
              <w:t>Audit ústredných orgánov štátnej správy. Aktuálne prebiehajú prieskumy podriadených organizácií ústredných orgánov a v pláne je finalizácia prieskumov ústredných orgánov do 30.</w:t>
            </w:r>
            <w:r w:rsidR="00A07FC7"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6.</w:t>
            </w:r>
            <w:r w:rsidR="00A07FC7"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2014. Bolo navštívených spolu 49 ústredných orgánov a podriadených organizácii. Do 30.</w:t>
            </w:r>
            <w:r w:rsidR="00A07FC7"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06.</w:t>
            </w:r>
            <w:r w:rsidR="00A07FC7"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2014 bude prieskum pokračovať v ďalších približne 15 organizáciách.</w:t>
            </w:r>
          </w:p>
        </w:tc>
        <w:tc>
          <w:tcPr>
            <w:tcW w:w="2862" w:type="dxa"/>
            <w:gridSpan w:val="3"/>
            <w:vAlign w:val="center"/>
          </w:tcPr>
          <w:p w:rsidR="006126A7" w:rsidRPr="00B05B51" w:rsidRDefault="006126A7" w:rsidP="00B52ED3">
            <w:pPr>
              <w:autoSpaceDE w:val="0"/>
              <w:autoSpaceDN w:val="0"/>
              <w:adjustRightInd w:val="0"/>
              <w:spacing w:before="60" w:after="0"/>
              <w:rPr>
                <w:rStyle w:val="FontStyle94"/>
                <w:rFonts w:asciiTheme="majorHAnsi" w:hAnsiTheme="majorHAnsi" w:cs="Arial"/>
                <w:sz w:val="16"/>
                <w:szCs w:val="16"/>
              </w:rPr>
            </w:pPr>
            <w:r w:rsidRPr="00B05B51">
              <w:rPr>
                <w:rStyle w:val="FontStyle94"/>
                <w:rFonts w:asciiTheme="majorHAnsi" w:hAnsiTheme="majorHAnsi" w:cs="Arial"/>
                <w:sz w:val="16"/>
                <w:szCs w:val="16"/>
              </w:rPr>
              <w:t>30. 06. 2014</w:t>
            </w:r>
          </w:p>
        </w:tc>
        <w:tc>
          <w:tcPr>
            <w:tcW w:w="2346" w:type="dxa"/>
            <w:tcBorders>
              <w:right w:val="single" w:sz="12" w:space="0" w:color="auto"/>
            </w:tcBorders>
            <w:vAlign w:val="center"/>
          </w:tcPr>
          <w:p w:rsidR="006126A7" w:rsidRPr="00B05B51" w:rsidRDefault="006126A7" w:rsidP="00B52ED3">
            <w:pPr>
              <w:autoSpaceDE w:val="0"/>
              <w:autoSpaceDN w:val="0"/>
              <w:adjustRightInd w:val="0"/>
              <w:spacing w:before="60"/>
              <w:jc w:val="left"/>
              <w:rPr>
                <w:rStyle w:val="FontStyle94"/>
                <w:rFonts w:asciiTheme="majorHAnsi" w:hAnsiTheme="majorHAnsi" w:cs="Arial"/>
                <w:sz w:val="16"/>
                <w:szCs w:val="16"/>
              </w:rPr>
            </w:pPr>
            <w:r w:rsidRPr="00B05B51">
              <w:rPr>
                <w:rStyle w:val="FontStyle94"/>
                <w:rFonts w:asciiTheme="majorHAnsi" w:hAnsiTheme="majorHAnsi" w:cs="Arial"/>
                <w:sz w:val="16"/>
                <w:szCs w:val="16"/>
              </w:rPr>
              <w:t>MV SR</w:t>
            </w:r>
          </w:p>
        </w:tc>
      </w:tr>
      <w:tr w:rsidR="006126A7" w:rsidRPr="00DF567A" w:rsidTr="009B7C77">
        <w:trPr>
          <w:trHeight w:val="180"/>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vAlign w:val="center"/>
          </w:tcPr>
          <w:p w:rsidR="006126A7" w:rsidRPr="00B05B51" w:rsidRDefault="006126A7" w:rsidP="0057349A">
            <w:pPr>
              <w:autoSpaceDE w:val="0"/>
              <w:autoSpaceDN w:val="0"/>
              <w:adjustRightInd w:val="0"/>
              <w:spacing w:before="60" w:after="0"/>
              <w:rPr>
                <w:rStyle w:val="FontStyle94"/>
                <w:rFonts w:asciiTheme="majorHAnsi" w:hAnsiTheme="majorHAnsi" w:cs="Arial"/>
                <w:sz w:val="16"/>
                <w:szCs w:val="16"/>
              </w:rPr>
            </w:pPr>
            <w:r w:rsidRPr="00B05B51">
              <w:rPr>
                <w:rStyle w:val="FontStyle94"/>
                <w:rFonts w:asciiTheme="majorHAnsi" w:hAnsiTheme="majorHAnsi" w:cs="Arial"/>
                <w:sz w:val="16"/>
                <w:szCs w:val="16"/>
              </w:rPr>
              <w:t xml:space="preserve">Vybudovanie a implementácia informačných systémov (DWH a pod.) slúžiacich na analýzy dát, monitorovanie a hodnotenie výkonov </w:t>
            </w:r>
            <w:r w:rsidRPr="00B05B51">
              <w:rPr>
                <w:rStyle w:val="FontStyle94"/>
                <w:rFonts w:asciiTheme="majorHAnsi" w:hAnsiTheme="majorHAnsi" w:cs="Arial"/>
                <w:sz w:val="16"/>
                <w:szCs w:val="16"/>
              </w:rPr>
              <w:lastRenderedPageBreak/>
              <w:t>finančnej správy.</w:t>
            </w:r>
          </w:p>
          <w:p w:rsidR="006126A7" w:rsidRPr="00B763E3" w:rsidRDefault="003C2CF7" w:rsidP="00BA185A">
            <w:pPr>
              <w:widowControl w:val="0"/>
              <w:shd w:val="clear" w:color="auto" w:fill="FFFFFF"/>
              <w:autoSpaceDE w:val="0"/>
              <w:autoSpaceDN w:val="0"/>
              <w:adjustRightInd w:val="0"/>
              <w:spacing w:before="0"/>
              <w:rPr>
                <w:rFonts w:asciiTheme="majorHAnsi" w:hAnsiTheme="majorHAnsi"/>
                <w:sz w:val="16"/>
                <w:szCs w:val="16"/>
              </w:rPr>
            </w:pPr>
            <w:r w:rsidRPr="00B763E3">
              <w:rPr>
                <w:rFonts w:asciiTheme="majorHAnsi" w:hAnsiTheme="majorHAnsi"/>
                <w:sz w:val="16"/>
                <w:szCs w:val="16"/>
                <w:lang w:eastAsia="sk-SK"/>
              </w:rPr>
              <w:t xml:space="preserve">Vychádzajúc zo štúdie „Ako merať pokrok - návrh výsledkových ukazovateľov ministerstiev“ bude pripravený </w:t>
            </w:r>
            <w:r w:rsidRPr="00B763E3">
              <w:rPr>
                <w:rFonts w:asciiTheme="majorHAnsi" w:hAnsiTheme="majorHAnsi"/>
                <w:b/>
                <w:sz w:val="16"/>
                <w:szCs w:val="16"/>
              </w:rPr>
              <w:t>Inštitucionálno-metodický návrh pre vyhodnocovanie verejných politík</w:t>
            </w:r>
            <w:r w:rsidRPr="00B763E3">
              <w:rPr>
                <w:rFonts w:asciiTheme="majorHAnsi" w:hAnsiTheme="majorHAnsi"/>
                <w:sz w:val="16"/>
                <w:szCs w:val="16"/>
              </w:rPr>
              <w:t>, ktorý bude naviazaný na prípravu ŠR a bude obsahovať vstupové, výstupové, výsledkové ukazovatele zamerané na činnosť štátnej a verejnej správy.</w:t>
            </w:r>
          </w:p>
          <w:p w:rsidR="003C2CF7" w:rsidRPr="00B763E3" w:rsidRDefault="003C2CF7" w:rsidP="003C2CF7">
            <w:pPr>
              <w:autoSpaceDE w:val="0"/>
              <w:autoSpaceDN w:val="0"/>
              <w:adjustRightInd w:val="0"/>
              <w:spacing w:before="60" w:after="0"/>
              <w:rPr>
                <w:rFonts w:asciiTheme="majorHAnsi" w:hAnsiTheme="majorHAnsi"/>
                <w:sz w:val="16"/>
                <w:lang w:eastAsia="cs-CZ"/>
              </w:rPr>
            </w:pPr>
            <w:r w:rsidRPr="00B763E3">
              <w:rPr>
                <w:rFonts w:asciiTheme="majorHAnsi" w:hAnsiTheme="majorHAnsi"/>
                <w:sz w:val="16"/>
                <w:lang w:eastAsia="cs-CZ"/>
              </w:rPr>
              <w:t>Identifikovanie cieľov a potrieb pre rozvoj monitorovania a hodnotenia dopadov verejných politík</w:t>
            </w:r>
          </w:p>
          <w:p w:rsidR="003C2CF7" w:rsidRPr="00B763E3" w:rsidRDefault="003C2CF7" w:rsidP="006F1168">
            <w:pPr>
              <w:autoSpaceDE w:val="0"/>
              <w:autoSpaceDN w:val="0"/>
              <w:adjustRightInd w:val="0"/>
              <w:spacing w:before="60" w:after="0"/>
              <w:jc w:val="left"/>
              <w:rPr>
                <w:rFonts w:asciiTheme="majorHAnsi" w:hAnsiTheme="majorHAnsi"/>
                <w:sz w:val="16"/>
                <w:lang w:eastAsia="cs-CZ"/>
              </w:rPr>
            </w:pPr>
            <w:r w:rsidRPr="00B763E3">
              <w:rPr>
                <w:rFonts w:asciiTheme="majorHAnsi" w:hAnsiTheme="majorHAnsi"/>
                <w:sz w:val="16"/>
                <w:lang w:eastAsia="cs-CZ"/>
              </w:rPr>
              <w:t>Identifikovanie postupov a nástrojov pre monitorovanie a hodnotenie</w:t>
            </w:r>
          </w:p>
          <w:p w:rsidR="003C2CF7" w:rsidRPr="00B763E3" w:rsidRDefault="003C2CF7" w:rsidP="006F1168">
            <w:pPr>
              <w:autoSpaceDE w:val="0"/>
              <w:autoSpaceDN w:val="0"/>
              <w:adjustRightInd w:val="0"/>
              <w:spacing w:before="60" w:after="0"/>
              <w:jc w:val="left"/>
              <w:rPr>
                <w:rFonts w:asciiTheme="majorHAnsi" w:hAnsiTheme="majorHAnsi"/>
                <w:sz w:val="16"/>
                <w:lang w:eastAsia="cs-CZ"/>
              </w:rPr>
            </w:pPr>
            <w:r w:rsidRPr="00B763E3">
              <w:rPr>
                <w:rFonts w:asciiTheme="majorHAnsi" w:hAnsiTheme="majorHAnsi"/>
                <w:sz w:val="16"/>
                <w:lang w:eastAsia="cs-CZ"/>
              </w:rPr>
              <w:t>Identifikovanie merateľných ukazovateľov a východiskových hodnôt</w:t>
            </w:r>
          </w:p>
          <w:p w:rsidR="003C2CF7" w:rsidRPr="00B05B51" w:rsidRDefault="003C2CF7" w:rsidP="006F1168">
            <w:pPr>
              <w:widowControl w:val="0"/>
              <w:shd w:val="clear" w:color="auto" w:fill="FFFFFF"/>
              <w:autoSpaceDE w:val="0"/>
              <w:autoSpaceDN w:val="0"/>
              <w:adjustRightInd w:val="0"/>
              <w:spacing w:before="0"/>
              <w:jc w:val="left"/>
              <w:rPr>
                <w:rStyle w:val="FontStyle94"/>
                <w:rFonts w:asciiTheme="majorHAnsi" w:hAnsiTheme="majorHAnsi" w:cs="Arial"/>
                <w:sz w:val="16"/>
                <w:szCs w:val="16"/>
              </w:rPr>
            </w:pPr>
            <w:r w:rsidRPr="00B763E3">
              <w:rPr>
                <w:rFonts w:asciiTheme="majorHAnsi" w:hAnsiTheme="majorHAnsi"/>
                <w:sz w:val="16"/>
                <w:lang w:eastAsia="cs-CZ"/>
              </w:rPr>
              <w:t>Prijatie monitorovacieho a hodnotiaceho plánu/stratégie</w:t>
            </w:r>
          </w:p>
        </w:tc>
        <w:tc>
          <w:tcPr>
            <w:tcW w:w="2862" w:type="dxa"/>
            <w:gridSpan w:val="3"/>
            <w:vAlign w:val="center"/>
          </w:tcPr>
          <w:p w:rsidR="006126A7" w:rsidRPr="00B05B51" w:rsidRDefault="006126A7" w:rsidP="00B52ED3">
            <w:pPr>
              <w:autoSpaceDE w:val="0"/>
              <w:autoSpaceDN w:val="0"/>
              <w:adjustRightInd w:val="0"/>
              <w:spacing w:before="60" w:after="0"/>
              <w:rPr>
                <w:rStyle w:val="FontStyle94"/>
                <w:rFonts w:asciiTheme="majorHAnsi" w:hAnsiTheme="majorHAnsi" w:cs="Arial"/>
                <w:sz w:val="16"/>
                <w:szCs w:val="16"/>
              </w:rPr>
            </w:pPr>
            <w:r w:rsidRPr="00B05B51">
              <w:rPr>
                <w:rStyle w:val="FontStyle94"/>
                <w:rFonts w:asciiTheme="majorHAnsi" w:hAnsiTheme="majorHAnsi" w:cs="Arial"/>
                <w:sz w:val="16"/>
                <w:szCs w:val="16"/>
              </w:rPr>
              <w:lastRenderedPageBreak/>
              <w:t>31. 12 .</w:t>
            </w:r>
            <w:r w:rsidR="00A07FC7" w:rsidRPr="00B05B51">
              <w:rPr>
                <w:rStyle w:val="FontStyle94"/>
                <w:rFonts w:asciiTheme="majorHAnsi" w:hAnsiTheme="majorHAnsi" w:cs="Arial"/>
                <w:sz w:val="16"/>
                <w:szCs w:val="16"/>
              </w:rPr>
              <w:t xml:space="preserve"> </w:t>
            </w:r>
            <w:r w:rsidRPr="00B05B51">
              <w:rPr>
                <w:rStyle w:val="FontStyle94"/>
                <w:rFonts w:asciiTheme="majorHAnsi" w:hAnsiTheme="majorHAnsi" w:cs="Arial"/>
                <w:sz w:val="16"/>
                <w:szCs w:val="16"/>
              </w:rPr>
              <w:t>2015</w:t>
            </w:r>
          </w:p>
          <w:p w:rsidR="003C2CF7" w:rsidRPr="00B05B51" w:rsidRDefault="003C2CF7" w:rsidP="00B52ED3">
            <w:pPr>
              <w:autoSpaceDE w:val="0"/>
              <w:autoSpaceDN w:val="0"/>
              <w:adjustRightInd w:val="0"/>
              <w:spacing w:before="60" w:after="0"/>
              <w:rPr>
                <w:rStyle w:val="FontStyle94"/>
                <w:rFonts w:asciiTheme="majorHAnsi" w:hAnsiTheme="majorHAnsi" w:cs="Arial"/>
                <w:sz w:val="16"/>
                <w:szCs w:val="16"/>
              </w:rPr>
            </w:pPr>
          </w:p>
          <w:p w:rsidR="003C2CF7" w:rsidRPr="00B05B51" w:rsidRDefault="003C2CF7" w:rsidP="00B52ED3">
            <w:pPr>
              <w:autoSpaceDE w:val="0"/>
              <w:autoSpaceDN w:val="0"/>
              <w:adjustRightInd w:val="0"/>
              <w:spacing w:before="60" w:after="0"/>
              <w:rPr>
                <w:rStyle w:val="FontStyle94"/>
                <w:rFonts w:asciiTheme="majorHAnsi" w:hAnsiTheme="majorHAnsi" w:cs="Arial"/>
                <w:sz w:val="16"/>
                <w:szCs w:val="16"/>
              </w:rPr>
            </w:pPr>
          </w:p>
          <w:p w:rsidR="003C2CF7" w:rsidRPr="00B05B51" w:rsidRDefault="003C2CF7" w:rsidP="00B52ED3">
            <w:pPr>
              <w:autoSpaceDE w:val="0"/>
              <w:autoSpaceDN w:val="0"/>
              <w:adjustRightInd w:val="0"/>
              <w:spacing w:before="60" w:after="0"/>
              <w:rPr>
                <w:rStyle w:val="FontStyle94"/>
                <w:rFonts w:asciiTheme="majorHAnsi" w:hAnsiTheme="majorHAnsi" w:cs="Arial"/>
                <w:sz w:val="16"/>
                <w:szCs w:val="16"/>
              </w:rPr>
            </w:pPr>
          </w:p>
          <w:p w:rsidR="003C2CF7" w:rsidRPr="00B05B51" w:rsidRDefault="003C2CF7" w:rsidP="00B52ED3">
            <w:pPr>
              <w:autoSpaceDE w:val="0"/>
              <w:autoSpaceDN w:val="0"/>
              <w:adjustRightInd w:val="0"/>
              <w:spacing w:before="60" w:after="0"/>
              <w:rPr>
                <w:rStyle w:val="FontStyle94"/>
                <w:rFonts w:asciiTheme="majorHAnsi" w:hAnsiTheme="majorHAnsi" w:cs="Arial"/>
                <w:sz w:val="16"/>
                <w:szCs w:val="16"/>
              </w:rPr>
            </w:pPr>
          </w:p>
          <w:p w:rsidR="003C2CF7" w:rsidRPr="00B05B51" w:rsidRDefault="003C2CF7" w:rsidP="00B52ED3">
            <w:pPr>
              <w:autoSpaceDE w:val="0"/>
              <w:autoSpaceDN w:val="0"/>
              <w:adjustRightInd w:val="0"/>
              <w:spacing w:before="60" w:after="0"/>
              <w:rPr>
                <w:rStyle w:val="FontStyle94"/>
                <w:rFonts w:asciiTheme="majorHAnsi" w:hAnsiTheme="majorHAnsi" w:cs="Arial"/>
                <w:sz w:val="16"/>
                <w:szCs w:val="16"/>
              </w:rPr>
            </w:pPr>
          </w:p>
          <w:p w:rsidR="003C2CF7" w:rsidRPr="00B05B51" w:rsidRDefault="003C2CF7" w:rsidP="00B52ED3">
            <w:pPr>
              <w:autoSpaceDE w:val="0"/>
              <w:autoSpaceDN w:val="0"/>
              <w:adjustRightInd w:val="0"/>
              <w:spacing w:before="60" w:after="0"/>
              <w:rPr>
                <w:rStyle w:val="FontStyle94"/>
                <w:rFonts w:asciiTheme="majorHAnsi" w:hAnsiTheme="majorHAnsi" w:cs="Arial"/>
                <w:sz w:val="16"/>
                <w:szCs w:val="16"/>
              </w:rPr>
            </w:pPr>
          </w:p>
          <w:p w:rsidR="003C2CF7" w:rsidRPr="00B05B51" w:rsidRDefault="003C2CF7" w:rsidP="00B52ED3">
            <w:pPr>
              <w:autoSpaceDE w:val="0"/>
              <w:autoSpaceDN w:val="0"/>
              <w:adjustRightInd w:val="0"/>
              <w:spacing w:before="60" w:after="0"/>
              <w:rPr>
                <w:rStyle w:val="FontStyle94"/>
                <w:rFonts w:asciiTheme="majorHAnsi" w:hAnsiTheme="majorHAnsi" w:cs="Arial"/>
                <w:sz w:val="16"/>
                <w:szCs w:val="16"/>
              </w:rPr>
            </w:pPr>
            <w:r w:rsidRPr="00B763E3">
              <w:rPr>
                <w:rFonts w:asciiTheme="majorHAnsi" w:hAnsiTheme="majorHAnsi"/>
                <w:sz w:val="16"/>
              </w:rPr>
              <w:t>31. 6. 2015</w:t>
            </w:r>
          </w:p>
        </w:tc>
        <w:tc>
          <w:tcPr>
            <w:tcW w:w="2346" w:type="dxa"/>
            <w:tcBorders>
              <w:right w:val="single" w:sz="12" w:space="0" w:color="auto"/>
            </w:tcBorders>
            <w:vAlign w:val="center"/>
          </w:tcPr>
          <w:p w:rsidR="006126A7" w:rsidRPr="00B05B51" w:rsidRDefault="006126A7" w:rsidP="00BA185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lastRenderedPageBreak/>
              <w:t xml:space="preserve">MF SR (Finančné riaditeľstvo SR)  </w:t>
            </w:r>
            <w:r w:rsidRPr="00B05B51">
              <w:rPr>
                <w:rStyle w:val="FontStyle94"/>
                <w:rFonts w:asciiTheme="majorHAnsi" w:hAnsiTheme="majorHAnsi" w:cs="Arial"/>
                <w:sz w:val="16"/>
                <w:szCs w:val="16"/>
              </w:rPr>
              <w:lastRenderedPageBreak/>
              <w:t xml:space="preserve">v spolupráci s MV SR  </w:t>
            </w:r>
          </w:p>
          <w:p w:rsidR="00CA0E4F" w:rsidRPr="00B05B51" w:rsidRDefault="00CA0E4F" w:rsidP="00BA185A">
            <w:pPr>
              <w:autoSpaceDE w:val="0"/>
              <w:autoSpaceDN w:val="0"/>
              <w:adjustRightInd w:val="0"/>
              <w:spacing w:before="60"/>
              <w:rPr>
                <w:rStyle w:val="FontStyle94"/>
                <w:rFonts w:asciiTheme="majorHAnsi" w:hAnsiTheme="majorHAnsi" w:cs="Arial"/>
                <w:sz w:val="16"/>
                <w:szCs w:val="16"/>
              </w:rPr>
            </w:pPr>
          </w:p>
          <w:p w:rsidR="00CA0E4F" w:rsidRPr="00B05B51" w:rsidRDefault="00CA0E4F" w:rsidP="00BA185A">
            <w:pPr>
              <w:autoSpaceDE w:val="0"/>
              <w:autoSpaceDN w:val="0"/>
              <w:adjustRightInd w:val="0"/>
              <w:spacing w:before="60"/>
              <w:rPr>
                <w:rStyle w:val="FontStyle94"/>
                <w:rFonts w:asciiTheme="majorHAnsi" w:hAnsiTheme="majorHAnsi" w:cs="Arial"/>
                <w:sz w:val="16"/>
                <w:szCs w:val="16"/>
              </w:rPr>
            </w:pPr>
          </w:p>
          <w:p w:rsidR="00CA0E4F" w:rsidRPr="00B05B51" w:rsidRDefault="00CA0E4F" w:rsidP="00BA185A">
            <w:pPr>
              <w:autoSpaceDE w:val="0"/>
              <w:autoSpaceDN w:val="0"/>
              <w:adjustRightInd w:val="0"/>
              <w:spacing w:before="60"/>
              <w:rPr>
                <w:rStyle w:val="FontStyle94"/>
                <w:rFonts w:asciiTheme="majorHAnsi" w:hAnsiTheme="majorHAnsi" w:cs="Arial"/>
                <w:sz w:val="16"/>
                <w:szCs w:val="16"/>
              </w:rPr>
            </w:pPr>
          </w:p>
          <w:p w:rsidR="00CA0E4F" w:rsidRPr="00B05B51" w:rsidRDefault="00CA0E4F" w:rsidP="00BA185A">
            <w:pPr>
              <w:autoSpaceDE w:val="0"/>
              <w:autoSpaceDN w:val="0"/>
              <w:adjustRightInd w:val="0"/>
              <w:spacing w:before="60"/>
              <w:rPr>
                <w:rStyle w:val="FontStyle94"/>
                <w:rFonts w:asciiTheme="majorHAnsi" w:hAnsiTheme="majorHAnsi" w:cs="Arial"/>
                <w:sz w:val="16"/>
                <w:szCs w:val="16"/>
              </w:rPr>
            </w:pPr>
          </w:p>
          <w:p w:rsidR="00CA0E4F" w:rsidRPr="00B05B51" w:rsidRDefault="00CA0E4F" w:rsidP="00BA185A">
            <w:pPr>
              <w:autoSpaceDE w:val="0"/>
              <w:autoSpaceDN w:val="0"/>
              <w:adjustRightInd w:val="0"/>
              <w:spacing w:before="60"/>
              <w:rPr>
                <w:rStyle w:val="FontStyle94"/>
                <w:rFonts w:asciiTheme="majorHAnsi" w:hAnsiTheme="majorHAnsi" w:cs="Arial"/>
                <w:sz w:val="16"/>
                <w:szCs w:val="16"/>
              </w:rPr>
            </w:pPr>
            <w:r w:rsidRPr="00B05B51">
              <w:rPr>
                <w:rStyle w:val="FontStyle94"/>
                <w:rFonts w:asciiTheme="majorHAnsi" w:hAnsiTheme="majorHAnsi" w:cs="Arial"/>
                <w:sz w:val="16"/>
                <w:szCs w:val="16"/>
              </w:rPr>
              <w:t>Členovia Riadiaceho výboru</w:t>
            </w:r>
          </w:p>
          <w:p w:rsidR="00CA0E4F" w:rsidRPr="00B05B51" w:rsidRDefault="00CA0E4F" w:rsidP="00BA185A">
            <w:pPr>
              <w:autoSpaceDE w:val="0"/>
              <w:autoSpaceDN w:val="0"/>
              <w:adjustRightInd w:val="0"/>
              <w:spacing w:before="60"/>
              <w:rPr>
                <w:rStyle w:val="FontStyle94"/>
                <w:rFonts w:asciiTheme="majorHAnsi" w:hAnsiTheme="majorHAnsi" w:cs="Arial"/>
                <w:sz w:val="16"/>
                <w:szCs w:val="16"/>
              </w:rPr>
            </w:pPr>
          </w:p>
        </w:tc>
      </w:tr>
      <w:tr w:rsidR="006126A7" w:rsidRPr="00DF567A" w:rsidTr="00CC23CF">
        <w:trPr>
          <w:trHeight w:val="180"/>
        </w:trPr>
        <w:tc>
          <w:tcPr>
            <w:tcW w:w="1963" w:type="dxa"/>
            <w:gridSpan w:val="2"/>
            <w:vMerge/>
            <w:tcBorders>
              <w:left w:val="single" w:sz="12" w:space="0" w:color="auto"/>
              <w:righ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2086" w:type="dxa"/>
            <w:vMerge/>
            <w:tcBorders>
              <w:left w:val="single" w:sz="4" w:space="0" w:color="auto"/>
            </w:tcBorders>
          </w:tcPr>
          <w:p w:rsidR="006126A7" w:rsidRPr="009B7C77" w:rsidRDefault="006126A7" w:rsidP="00B52ED3">
            <w:pPr>
              <w:spacing w:before="0" w:line="276" w:lineRule="auto"/>
              <w:rPr>
                <w:rFonts w:asciiTheme="majorHAnsi" w:hAnsiTheme="majorHAnsi"/>
                <w:color w:val="000000"/>
                <w:sz w:val="16"/>
                <w:szCs w:val="16"/>
              </w:rPr>
            </w:pPr>
          </w:p>
        </w:tc>
        <w:tc>
          <w:tcPr>
            <w:tcW w:w="4853" w:type="dxa"/>
            <w:gridSpan w:val="2"/>
          </w:tcPr>
          <w:p w:rsidR="006126A7" w:rsidRPr="00B05B51" w:rsidRDefault="006126A7" w:rsidP="00BA185A">
            <w:pPr>
              <w:widowControl w:val="0"/>
              <w:shd w:val="clear" w:color="auto" w:fill="FFFFFF"/>
              <w:autoSpaceDE w:val="0"/>
              <w:autoSpaceDN w:val="0"/>
              <w:adjustRightInd w:val="0"/>
              <w:spacing w:before="0"/>
              <w:rPr>
                <w:rStyle w:val="FontStyle94"/>
                <w:rFonts w:asciiTheme="majorHAnsi" w:hAnsiTheme="majorHAnsi" w:cs="Arial"/>
                <w:sz w:val="16"/>
                <w:szCs w:val="16"/>
              </w:rPr>
            </w:pPr>
          </w:p>
        </w:tc>
        <w:tc>
          <w:tcPr>
            <w:tcW w:w="2862" w:type="dxa"/>
            <w:gridSpan w:val="3"/>
          </w:tcPr>
          <w:p w:rsidR="006126A7" w:rsidRPr="00B05B51" w:rsidRDefault="006126A7" w:rsidP="00B52ED3">
            <w:pPr>
              <w:autoSpaceDE w:val="0"/>
              <w:autoSpaceDN w:val="0"/>
              <w:adjustRightInd w:val="0"/>
              <w:spacing w:before="60" w:after="0"/>
              <w:rPr>
                <w:rStyle w:val="FontStyle94"/>
                <w:rFonts w:asciiTheme="majorHAnsi" w:hAnsiTheme="majorHAnsi" w:cs="Arial"/>
                <w:sz w:val="16"/>
                <w:szCs w:val="16"/>
              </w:rPr>
            </w:pPr>
          </w:p>
        </w:tc>
        <w:tc>
          <w:tcPr>
            <w:tcW w:w="2346" w:type="dxa"/>
            <w:tcBorders>
              <w:right w:val="single" w:sz="12" w:space="0" w:color="auto"/>
            </w:tcBorders>
          </w:tcPr>
          <w:p w:rsidR="006126A7" w:rsidRPr="00B05B51" w:rsidRDefault="006126A7" w:rsidP="00BA185A">
            <w:pPr>
              <w:autoSpaceDE w:val="0"/>
              <w:autoSpaceDN w:val="0"/>
              <w:adjustRightInd w:val="0"/>
              <w:spacing w:before="60"/>
              <w:rPr>
                <w:rStyle w:val="FontStyle94"/>
                <w:rFonts w:asciiTheme="majorHAnsi" w:hAnsiTheme="majorHAnsi" w:cs="Arial"/>
                <w:sz w:val="16"/>
                <w:szCs w:val="16"/>
              </w:rPr>
            </w:pPr>
          </w:p>
        </w:tc>
      </w:tr>
      <w:tr w:rsidR="002F62D4" w:rsidRPr="00DF567A" w:rsidTr="00CC23CF">
        <w:tc>
          <w:tcPr>
            <w:tcW w:w="14110" w:type="dxa"/>
            <w:gridSpan w:val="9"/>
            <w:tcBorders>
              <w:top w:val="single" w:sz="12" w:space="0" w:color="auto"/>
              <w:left w:val="single" w:sz="12" w:space="0" w:color="auto"/>
              <w:right w:val="single" w:sz="12" w:space="0" w:color="auto"/>
            </w:tcBorders>
            <w:vAlign w:val="center"/>
          </w:tcPr>
          <w:p w:rsidR="002F62D4" w:rsidRPr="00B763E3" w:rsidRDefault="002F62D4" w:rsidP="00B763E3">
            <w:pPr>
              <w:jc w:val="center"/>
              <w:rPr>
                <w:rFonts w:asciiTheme="majorHAnsi" w:hAnsiTheme="majorHAnsi"/>
                <w:b/>
                <w:sz w:val="16"/>
                <w:szCs w:val="16"/>
                <w:lang w:eastAsia="cs-CZ"/>
              </w:rPr>
            </w:pPr>
            <w:r w:rsidRPr="00B763E3">
              <w:rPr>
                <w:rFonts w:asciiTheme="majorHAnsi" w:hAnsiTheme="majorHAnsi"/>
                <w:b/>
                <w:sz w:val="16"/>
                <w:szCs w:val="16"/>
                <w:lang w:eastAsia="cs-CZ"/>
              </w:rPr>
              <w:t>Všeobecné ex ante kondicionality</w:t>
            </w:r>
          </w:p>
        </w:tc>
      </w:tr>
      <w:tr w:rsidR="002F62D4" w:rsidRPr="00DF567A" w:rsidTr="00CC23CF">
        <w:trPr>
          <w:trHeight w:val="639"/>
        </w:trPr>
        <w:tc>
          <w:tcPr>
            <w:tcW w:w="1949" w:type="dxa"/>
            <w:tcBorders>
              <w:top w:val="single" w:sz="12" w:space="0" w:color="auto"/>
              <w:left w:val="single" w:sz="12" w:space="0" w:color="auto"/>
              <w:bottom w:val="single" w:sz="12" w:space="0" w:color="auto"/>
            </w:tcBorders>
            <w:vAlign w:val="center"/>
          </w:tcPr>
          <w:p w:rsidR="002F62D4" w:rsidRPr="00B763E3" w:rsidRDefault="002F62D4" w:rsidP="00B763E3">
            <w:pPr>
              <w:jc w:val="center"/>
              <w:rPr>
                <w:rFonts w:asciiTheme="majorHAnsi" w:hAnsiTheme="majorHAnsi"/>
                <w:b/>
                <w:sz w:val="16"/>
                <w:szCs w:val="16"/>
                <w:lang w:eastAsia="cs-CZ"/>
              </w:rPr>
            </w:pPr>
            <w:r w:rsidRPr="00B763E3">
              <w:rPr>
                <w:rFonts w:asciiTheme="majorHAnsi" w:hAnsiTheme="majorHAnsi"/>
                <w:b/>
                <w:sz w:val="16"/>
                <w:szCs w:val="16"/>
                <w:lang w:eastAsia="cs-CZ"/>
              </w:rPr>
              <w:t>Nesplnená alebo čiastočne splnená ex ante kondicionalita</w:t>
            </w:r>
          </w:p>
        </w:tc>
        <w:tc>
          <w:tcPr>
            <w:tcW w:w="2100" w:type="dxa"/>
            <w:gridSpan w:val="2"/>
            <w:tcBorders>
              <w:top w:val="single" w:sz="12" w:space="0" w:color="auto"/>
              <w:bottom w:val="single" w:sz="12" w:space="0" w:color="auto"/>
            </w:tcBorders>
            <w:vAlign w:val="center"/>
          </w:tcPr>
          <w:p w:rsidR="002F62D4" w:rsidRPr="00B763E3" w:rsidRDefault="002F62D4" w:rsidP="00B763E3">
            <w:pPr>
              <w:jc w:val="center"/>
              <w:rPr>
                <w:rFonts w:asciiTheme="majorHAnsi" w:hAnsiTheme="majorHAnsi"/>
                <w:b/>
                <w:sz w:val="16"/>
                <w:szCs w:val="16"/>
                <w:lang w:eastAsia="cs-CZ"/>
              </w:rPr>
            </w:pPr>
            <w:r w:rsidRPr="00B763E3">
              <w:rPr>
                <w:rFonts w:asciiTheme="majorHAnsi" w:hAnsiTheme="majorHAnsi"/>
                <w:b/>
                <w:sz w:val="16"/>
                <w:szCs w:val="16"/>
                <w:lang w:eastAsia="cs-CZ"/>
              </w:rPr>
              <w:t>Nesplnené kritériá</w:t>
            </w:r>
          </w:p>
        </w:tc>
        <w:tc>
          <w:tcPr>
            <w:tcW w:w="4853" w:type="dxa"/>
            <w:gridSpan w:val="2"/>
            <w:tcBorders>
              <w:top w:val="single" w:sz="12" w:space="0" w:color="auto"/>
              <w:bottom w:val="single" w:sz="12" w:space="0" w:color="auto"/>
              <w:right w:val="single" w:sz="12" w:space="0" w:color="auto"/>
            </w:tcBorders>
            <w:vAlign w:val="center"/>
          </w:tcPr>
          <w:p w:rsidR="002F62D4" w:rsidRPr="00B763E3" w:rsidRDefault="002F62D4" w:rsidP="00B763E3">
            <w:pPr>
              <w:jc w:val="center"/>
              <w:rPr>
                <w:rFonts w:asciiTheme="majorHAnsi" w:hAnsiTheme="majorHAnsi"/>
                <w:b/>
                <w:sz w:val="16"/>
                <w:szCs w:val="16"/>
                <w:lang w:eastAsia="cs-CZ"/>
              </w:rPr>
            </w:pPr>
            <w:r w:rsidRPr="00B763E3">
              <w:rPr>
                <w:rFonts w:asciiTheme="majorHAnsi" w:hAnsiTheme="majorHAnsi"/>
                <w:b/>
                <w:sz w:val="16"/>
                <w:szCs w:val="16"/>
                <w:lang w:eastAsia="cs-CZ"/>
              </w:rPr>
              <w:t>Plánované aktivity</w:t>
            </w:r>
          </w:p>
        </w:tc>
        <w:tc>
          <w:tcPr>
            <w:tcW w:w="2862" w:type="dxa"/>
            <w:gridSpan w:val="3"/>
            <w:tcBorders>
              <w:top w:val="single" w:sz="12" w:space="0" w:color="auto"/>
              <w:left w:val="single" w:sz="12" w:space="0" w:color="auto"/>
              <w:bottom w:val="single" w:sz="12" w:space="0" w:color="auto"/>
              <w:right w:val="single" w:sz="12" w:space="0" w:color="auto"/>
            </w:tcBorders>
            <w:vAlign w:val="center"/>
          </w:tcPr>
          <w:p w:rsidR="002F62D4" w:rsidRPr="00B763E3" w:rsidRDefault="002F62D4" w:rsidP="00B763E3">
            <w:pPr>
              <w:jc w:val="center"/>
              <w:rPr>
                <w:rFonts w:asciiTheme="majorHAnsi" w:hAnsiTheme="majorHAnsi"/>
                <w:b/>
                <w:sz w:val="16"/>
                <w:szCs w:val="16"/>
                <w:lang w:eastAsia="cs-CZ"/>
              </w:rPr>
            </w:pPr>
            <w:r w:rsidRPr="00B763E3">
              <w:rPr>
                <w:rFonts w:asciiTheme="majorHAnsi" w:hAnsiTheme="majorHAnsi"/>
                <w:b/>
                <w:sz w:val="16"/>
                <w:szCs w:val="16"/>
                <w:lang w:eastAsia="cs-CZ"/>
              </w:rPr>
              <w:t>Termíny</w:t>
            </w:r>
          </w:p>
        </w:tc>
        <w:tc>
          <w:tcPr>
            <w:tcW w:w="2346" w:type="dxa"/>
            <w:tcBorders>
              <w:top w:val="single" w:sz="12" w:space="0" w:color="auto"/>
              <w:left w:val="single" w:sz="12" w:space="0" w:color="auto"/>
              <w:bottom w:val="single" w:sz="12" w:space="0" w:color="auto"/>
              <w:right w:val="single" w:sz="12" w:space="0" w:color="auto"/>
            </w:tcBorders>
            <w:vAlign w:val="center"/>
          </w:tcPr>
          <w:p w:rsidR="002F62D4" w:rsidRPr="00B763E3" w:rsidRDefault="002F62D4" w:rsidP="00B763E3">
            <w:pPr>
              <w:jc w:val="center"/>
              <w:rPr>
                <w:rFonts w:asciiTheme="majorHAnsi" w:hAnsiTheme="majorHAnsi"/>
                <w:b/>
                <w:sz w:val="16"/>
                <w:szCs w:val="16"/>
                <w:lang w:eastAsia="cs-CZ"/>
              </w:rPr>
            </w:pPr>
            <w:r w:rsidRPr="00B763E3">
              <w:rPr>
                <w:rFonts w:asciiTheme="majorHAnsi" w:hAnsiTheme="majorHAnsi"/>
                <w:b/>
                <w:sz w:val="16"/>
                <w:szCs w:val="16"/>
                <w:lang w:eastAsia="cs-CZ"/>
              </w:rPr>
              <w:t>Zodpovedné orgány</w:t>
            </w:r>
          </w:p>
        </w:tc>
      </w:tr>
      <w:tr w:rsidR="00717DD9" w:rsidRPr="00DF567A" w:rsidTr="00E3445F">
        <w:trPr>
          <w:trHeight w:val="1106"/>
        </w:trPr>
        <w:tc>
          <w:tcPr>
            <w:tcW w:w="1949" w:type="dxa"/>
            <w:vMerge w:val="restart"/>
            <w:tcBorders>
              <w:top w:val="single" w:sz="12" w:space="0" w:color="auto"/>
              <w:left w:val="single" w:sz="12" w:space="0" w:color="auto"/>
            </w:tcBorders>
          </w:tcPr>
          <w:p w:rsidR="00717DD9" w:rsidRPr="00B763E3" w:rsidRDefault="00717DD9" w:rsidP="00E3445F">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1. Nediskriminácia </w:t>
            </w:r>
          </w:p>
          <w:p w:rsidR="00717DD9" w:rsidRPr="00B763E3" w:rsidRDefault="00717DD9" w:rsidP="00E3445F">
            <w:pPr>
              <w:spacing w:before="0" w:line="276" w:lineRule="auto"/>
              <w:rPr>
                <w:rFonts w:asciiTheme="majorHAnsi" w:hAnsiTheme="majorHAnsi"/>
                <w:b/>
                <w:sz w:val="16"/>
                <w:szCs w:val="16"/>
                <w:lang w:eastAsia="cs-CZ"/>
              </w:rPr>
            </w:pPr>
            <w:r w:rsidRPr="00B763E3">
              <w:rPr>
                <w:rFonts w:asciiTheme="majorHAnsi" w:hAnsiTheme="majorHAnsi"/>
                <w:sz w:val="16"/>
                <w:szCs w:val="16"/>
                <w:lang w:eastAsia="cs-CZ"/>
              </w:rPr>
              <w:t>Existencia administratívnej kapacity na vykonávanie a uplatňovanie práva Únie v oblasti nediskriminácie a politiky v oblasti EŠIF.</w:t>
            </w:r>
          </w:p>
        </w:tc>
        <w:tc>
          <w:tcPr>
            <w:tcW w:w="2100" w:type="dxa"/>
            <w:gridSpan w:val="2"/>
            <w:vMerge w:val="restart"/>
            <w:tcBorders>
              <w:top w:val="single" w:sz="12" w:space="0" w:color="auto"/>
            </w:tcBorders>
          </w:tcPr>
          <w:p w:rsidR="00717DD9" w:rsidRPr="00B763E3" w:rsidRDefault="00717DD9" w:rsidP="00E3445F">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Opatrenia v súlade s inštitucionálnym a právnym rámcom členských štátov na zapojenie orgánov zodpovedných za podporu rovnakého zaobchádzania so všetkými osobami počas prípravy a vykonávania programov, a to vrátane poskytovania poradenstva o rovnosti v rámci činností spojených s EŠIF.</w:t>
            </w: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p>
          <w:p w:rsidR="00066DCE" w:rsidRPr="00B763E3" w:rsidRDefault="00066DCE" w:rsidP="00E3445F">
            <w:pPr>
              <w:spacing w:before="0" w:line="276" w:lineRule="auto"/>
              <w:rPr>
                <w:rFonts w:asciiTheme="majorHAnsi" w:hAnsiTheme="majorHAnsi"/>
                <w:sz w:val="16"/>
                <w:szCs w:val="16"/>
                <w:lang w:eastAsia="cs-CZ"/>
              </w:rPr>
            </w:pPr>
          </w:p>
          <w:p w:rsidR="00717DD9" w:rsidRPr="00B763E3" w:rsidRDefault="00717DD9" w:rsidP="00E3445F">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Opatrenia na zabezpečenie odbornej prípravy pre zamestnancov orgánov zapojených do riadenia a kontroly EŠIF v oblasti práva a politiky Únie v oblasti nediskriminácie.</w:t>
            </w:r>
          </w:p>
        </w:tc>
        <w:tc>
          <w:tcPr>
            <w:tcW w:w="4853" w:type="dxa"/>
            <w:gridSpan w:val="2"/>
            <w:tcBorders>
              <w:top w:val="single" w:sz="12" w:space="0" w:color="auto"/>
            </w:tcBorders>
          </w:tcPr>
          <w:p w:rsidR="00717DD9" w:rsidRPr="00B05B51" w:rsidRDefault="00717DD9" w:rsidP="00E3445F">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lastRenderedPageBreak/>
              <w:t xml:space="preserve">Zabezpečenie inštitucionálnych a strategických podmienok </w:t>
            </w:r>
          </w:p>
          <w:p w:rsidR="00717DD9" w:rsidRPr="00B05B51" w:rsidRDefault="00717DD9" w:rsidP="00E3445F">
            <w:pPr>
              <w:spacing w:line="276" w:lineRule="auto"/>
              <w:rPr>
                <w:rFonts w:asciiTheme="majorHAnsi" w:hAnsiTheme="majorHAnsi"/>
                <w:b/>
                <w:sz w:val="16"/>
                <w:szCs w:val="16"/>
                <w:lang w:eastAsia="cs-CZ"/>
              </w:rPr>
            </w:pPr>
          </w:p>
          <w:p w:rsidR="00717DD9" w:rsidRPr="00B05B51" w:rsidRDefault="00717DD9" w:rsidP="00E3445F">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t xml:space="preserve">Posilnenie administratívnych kapacít odboru rodovej rovnosti </w:t>
            </w:r>
            <w:r w:rsidR="00544389" w:rsidRPr="00B05B51">
              <w:rPr>
                <w:rFonts w:asciiTheme="majorHAnsi" w:hAnsiTheme="majorHAnsi"/>
                <w:b/>
                <w:sz w:val="16"/>
                <w:szCs w:val="16"/>
                <w:lang w:eastAsia="cs-CZ"/>
              </w:rPr>
              <w:br/>
            </w:r>
            <w:r w:rsidRPr="00B05B51">
              <w:rPr>
                <w:rFonts w:asciiTheme="majorHAnsi" w:hAnsiTheme="majorHAnsi"/>
                <w:b/>
                <w:sz w:val="16"/>
                <w:szCs w:val="16"/>
                <w:lang w:eastAsia="cs-CZ"/>
              </w:rPr>
              <w:t xml:space="preserve">a rovnosti príležitostí MPSVR SR. </w:t>
            </w:r>
          </w:p>
          <w:p w:rsidR="00717DD9" w:rsidRPr="00B05B51" w:rsidRDefault="00717DD9" w:rsidP="00E3445F">
            <w:pPr>
              <w:spacing w:line="276" w:lineRule="auto"/>
              <w:rPr>
                <w:rFonts w:asciiTheme="majorHAnsi" w:hAnsiTheme="majorHAnsi"/>
                <w:b/>
                <w:sz w:val="16"/>
                <w:szCs w:val="16"/>
                <w:lang w:eastAsia="cs-CZ"/>
              </w:rPr>
            </w:pPr>
          </w:p>
          <w:p w:rsidR="00717DD9" w:rsidRPr="00B05B51" w:rsidRDefault="00717DD9" w:rsidP="00E3445F">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t xml:space="preserve">Navýšenie administratívnych kapacít odboru rodovej rovnosti </w:t>
            </w:r>
            <w:r w:rsidR="00544389" w:rsidRPr="00B05B51">
              <w:rPr>
                <w:rFonts w:asciiTheme="majorHAnsi" w:hAnsiTheme="majorHAnsi"/>
                <w:b/>
                <w:sz w:val="16"/>
                <w:szCs w:val="16"/>
                <w:lang w:eastAsia="cs-CZ"/>
              </w:rPr>
              <w:br/>
            </w:r>
            <w:r w:rsidRPr="00B05B51">
              <w:rPr>
                <w:rFonts w:asciiTheme="majorHAnsi" w:hAnsiTheme="majorHAnsi"/>
                <w:b/>
                <w:sz w:val="16"/>
                <w:szCs w:val="16"/>
                <w:lang w:eastAsia="cs-CZ"/>
              </w:rPr>
              <w:t xml:space="preserve">a rovnosti príležitostí MPSVR SR. </w:t>
            </w:r>
          </w:p>
          <w:p w:rsidR="00717DD9" w:rsidRPr="00B05B51" w:rsidRDefault="00717DD9" w:rsidP="00E3445F">
            <w:pPr>
              <w:spacing w:line="276" w:lineRule="auto"/>
              <w:rPr>
                <w:rFonts w:asciiTheme="majorHAnsi" w:hAnsiTheme="majorHAnsi"/>
                <w:sz w:val="16"/>
                <w:szCs w:val="16"/>
                <w:lang w:eastAsia="cs-CZ"/>
              </w:rPr>
            </w:pPr>
          </w:p>
          <w:p w:rsidR="00717DD9" w:rsidRPr="00B763E3" w:rsidRDefault="00717DD9" w:rsidP="00BA185A">
            <w:pPr>
              <w:spacing w:before="0"/>
              <w:rPr>
                <w:rFonts w:asciiTheme="majorHAnsi" w:hAnsiTheme="majorHAnsi"/>
                <w:sz w:val="16"/>
                <w:szCs w:val="16"/>
                <w:lang w:eastAsia="cs-CZ"/>
              </w:rPr>
            </w:pPr>
            <w:r w:rsidRPr="00B05B51">
              <w:rPr>
                <w:rFonts w:asciiTheme="majorHAnsi" w:hAnsiTheme="majorHAnsi"/>
                <w:sz w:val="16"/>
                <w:szCs w:val="16"/>
                <w:lang w:eastAsia="cs-CZ"/>
              </w:rPr>
              <w:t xml:space="preserve">Vychádzajúc z návrhu Systému riadenia a kontroly pre PO 2014 – 2020 konštatujeme, že prierezovosť úloh koodinátora HP nediskriminácia, prístupnosť a rovnosť mužov a žien a rozšírenie pôsobnosti v novom PO si vyžaduje posilnenie administratívnych kapacít u súčasného koordinátora HP RP. Inštitucionálny mechanizmus koordinácie HP bude budovaný s dôrazom na metodické vedenie, publicitu, školiace </w:t>
            </w:r>
            <w:r w:rsidR="00544389" w:rsidRPr="00B05B51">
              <w:rPr>
                <w:rFonts w:asciiTheme="majorHAnsi" w:hAnsiTheme="majorHAnsi"/>
                <w:sz w:val="16"/>
                <w:szCs w:val="16"/>
                <w:lang w:eastAsia="cs-CZ"/>
              </w:rPr>
              <w:br/>
            </w:r>
            <w:r w:rsidRPr="00B05B51">
              <w:rPr>
                <w:rFonts w:asciiTheme="majorHAnsi" w:hAnsiTheme="majorHAnsi"/>
                <w:sz w:val="16"/>
                <w:szCs w:val="16"/>
                <w:lang w:eastAsia="cs-CZ"/>
              </w:rPr>
              <w:lastRenderedPageBreak/>
              <w:t xml:space="preserve">a vzdelávacie aktivity, hodnotiaci a výberový proces ako aj na monitorovanie a kontrolu. V tomto zmysle bude vytvorený samostatný subjekt koordinácie horizontálnych princípov, v ktorom predpokladáme 7 pracovných miest plus 1 asistenta/ku. Všetky miesta v rámci subjektu budú refundované v rámci technickej pomoci. Novo vytvorené miesta budú zamerané na metodické vedenie,  analytickú, strategickú, legislatívnu a vzdelávaciu činnosť súvisiacu </w:t>
            </w:r>
            <w:r w:rsidR="00544389" w:rsidRPr="00B05B51">
              <w:rPr>
                <w:rFonts w:asciiTheme="majorHAnsi" w:hAnsiTheme="majorHAnsi"/>
                <w:sz w:val="16"/>
                <w:szCs w:val="16"/>
                <w:lang w:eastAsia="cs-CZ"/>
              </w:rPr>
              <w:br/>
            </w:r>
            <w:r w:rsidRPr="00B05B51">
              <w:rPr>
                <w:rFonts w:asciiTheme="majorHAnsi" w:hAnsiTheme="majorHAnsi"/>
                <w:sz w:val="16"/>
                <w:szCs w:val="16"/>
                <w:lang w:eastAsia="cs-CZ"/>
              </w:rPr>
              <w:t>s implementáciou oboch horizontálnych princípov v EŠIF. Ich náplň práce bude zameraná na aktivity súvisiace s povinnosťami každého subjektu fondov so zameraním na tematickú prierezovosť daných horizontálnych princípov.</w:t>
            </w:r>
          </w:p>
        </w:tc>
        <w:tc>
          <w:tcPr>
            <w:tcW w:w="2862" w:type="dxa"/>
            <w:gridSpan w:val="3"/>
            <w:tcBorders>
              <w:top w:val="single" w:sz="12" w:space="0" w:color="auto"/>
            </w:tcBorders>
          </w:tcPr>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lastRenderedPageBreak/>
              <w:t>1. 6. 2014 - navýšenie stavu administratívnych kapacít formou zamestnancov na dohodu, dosiahnutý počet 2 zamestnanci + 3 dohodou + riaditeľka ORRRP</w:t>
            </w: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31. 8. 2014 - dosiahnutie optimalizovaného stavu administratívnych kapacít vytvorením oddelenia pre implementáciu horizontálnych princípov nediskriminácie a rovnosti mužov a žien v 7 pracovných miest</w:t>
            </w:r>
            <w:r w:rsidR="00121F01" w:rsidRPr="00B05B51">
              <w:rPr>
                <w:rFonts w:asciiTheme="majorHAnsi" w:hAnsiTheme="majorHAnsi"/>
                <w:sz w:val="16"/>
                <w:szCs w:val="16"/>
                <w:lang w:eastAsia="cs-CZ"/>
              </w:rPr>
              <w:t xml:space="preserve"> </w:t>
            </w:r>
            <w:r w:rsidRPr="00B05B51">
              <w:rPr>
                <w:rFonts w:asciiTheme="majorHAnsi" w:hAnsiTheme="majorHAnsi"/>
                <w:sz w:val="16"/>
                <w:szCs w:val="16"/>
                <w:lang w:eastAsia="cs-CZ"/>
              </w:rPr>
              <w:t xml:space="preserve">na TPP plus 1 asistenta/ku. Spôsob financovania predpokladáme v rámci technickej pomoci pre súčasné PO a nadväzne nové </w:t>
            </w:r>
            <w:r w:rsidRPr="00B05B51">
              <w:rPr>
                <w:rFonts w:asciiTheme="majorHAnsi" w:hAnsiTheme="majorHAnsi"/>
                <w:sz w:val="16"/>
                <w:szCs w:val="16"/>
                <w:lang w:eastAsia="cs-CZ"/>
              </w:rPr>
              <w:lastRenderedPageBreak/>
              <w:t>PO. Predloženie projektu predpokladáme v termíne júl 2014.</w:t>
            </w:r>
          </w:p>
          <w:p w:rsidR="00717DD9" w:rsidRPr="00B763E3" w:rsidRDefault="00717DD9" w:rsidP="00E3445F">
            <w:pPr>
              <w:spacing w:before="0" w:line="276" w:lineRule="auto"/>
              <w:jc w:val="left"/>
              <w:rPr>
                <w:rFonts w:asciiTheme="majorHAnsi" w:hAnsiTheme="majorHAnsi"/>
                <w:b/>
                <w:sz w:val="16"/>
                <w:szCs w:val="16"/>
                <w:lang w:eastAsia="cs-CZ"/>
              </w:rPr>
            </w:pPr>
          </w:p>
        </w:tc>
        <w:tc>
          <w:tcPr>
            <w:tcW w:w="2346" w:type="dxa"/>
            <w:vMerge w:val="restart"/>
            <w:tcBorders>
              <w:top w:val="single" w:sz="12" w:space="0" w:color="auto"/>
              <w:right w:val="single" w:sz="12" w:space="0" w:color="auto"/>
            </w:tcBorders>
          </w:tcPr>
          <w:p w:rsidR="00717DD9" w:rsidRPr="00B763E3" w:rsidRDefault="00717DD9" w:rsidP="00E3445F">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lastRenderedPageBreak/>
              <w:t>MPSVR SR</w:t>
            </w:r>
          </w:p>
          <w:p w:rsidR="00717DD9" w:rsidRPr="00B763E3" w:rsidRDefault="00717DD9" w:rsidP="00E3445F">
            <w:pPr>
              <w:spacing w:before="0" w:line="276" w:lineRule="auto"/>
              <w:jc w:val="center"/>
              <w:rPr>
                <w:rFonts w:asciiTheme="majorHAnsi" w:hAnsiTheme="majorHAnsi"/>
                <w:b/>
                <w:sz w:val="16"/>
                <w:szCs w:val="16"/>
                <w:lang w:eastAsia="cs-CZ"/>
              </w:rPr>
            </w:pPr>
          </w:p>
        </w:tc>
      </w:tr>
      <w:tr w:rsidR="00717DD9" w:rsidRPr="00DF567A" w:rsidTr="00E3445F">
        <w:trPr>
          <w:trHeight w:val="1103"/>
        </w:trPr>
        <w:tc>
          <w:tcPr>
            <w:tcW w:w="1949" w:type="dxa"/>
            <w:vMerge/>
            <w:tcBorders>
              <w:left w:val="single" w:sz="12" w:space="0" w:color="auto"/>
            </w:tcBorders>
          </w:tcPr>
          <w:p w:rsidR="00717DD9" w:rsidRPr="00691C8F" w:rsidRDefault="00717DD9" w:rsidP="00E3445F">
            <w:pPr>
              <w:spacing w:before="0" w:line="276" w:lineRule="auto"/>
              <w:rPr>
                <w:rFonts w:asciiTheme="majorHAnsi" w:hAnsiTheme="majorHAnsi"/>
                <w:sz w:val="16"/>
                <w:szCs w:val="16"/>
                <w:lang w:eastAsia="cs-CZ"/>
              </w:rPr>
            </w:pPr>
          </w:p>
        </w:tc>
        <w:tc>
          <w:tcPr>
            <w:tcW w:w="2100" w:type="dxa"/>
            <w:gridSpan w:val="2"/>
            <w:vMerge/>
          </w:tcPr>
          <w:p w:rsidR="00717DD9" w:rsidRPr="00691C8F" w:rsidRDefault="00717DD9" w:rsidP="00E3445F">
            <w:pPr>
              <w:spacing w:before="0" w:line="276" w:lineRule="auto"/>
              <w:rPr>
                <w:rFonts w:asciiTheme="majorHAnsi" w:hAnsiTheme="majorHAnsi"/>
                <w:sz w:val="16"/>
                <w:szCs w:val="16"/>
                <w:lang w:eastAsia="cs-CZ"/>
              </w:rPr>
            </w:pPr>
          </w:p>
        </w:tc>
        <w:tc>
          <w:tcPr>
            <w:tcW w:w="4853" w:type="dxa"/>
            <w:gridSpan w:val="2"/>
            <w:tcBorders>
              <w:top w:val="single" w:sz="4" w:space="0" w:color="auto"/>
            </w:tcBorders>
          </w:tcPr>
          <w:p w:rsidR="00717DD9" w:rsidRPr="00B05B51" w:rsidRDefault="00717DD9" w:rsidP="00E3445F">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t xml:space="preserve">Zapojenie Slovenského národného strediska pre ľudské práva </w:t>
            </w:r>
          </w:p>
          <w:p w:rsidR="00717DD9" w:rsidRPr="00B05B51" w:rsidRDefault="00717DD9" w:rsidP="00E3445F">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t xml:space="preserve">ako „equality body“. </w:t>
            </w:r>
          </w:p>
          <w:p w:rsidR="00717DD9" w:rsidRPr="00B05B51" w:rsidRDefault="00717DD9" w:rsidP="00E3445F">
            <w:pPr>
              <w:spacing w:line="276" w:lineRule="auto"/>
              <w:rPr>
                <w:rFonts w:asciiTheme="majorHAnsi" w:hAnsiTheme="majorHAnsi"/>
                <w:i/>
                <w:sz w:val="16"/>
                <w:szCs w:val="16"/>
                <w:lang w:eastAsia="cs-CZ"/>
              </w:rPr>
            </w:pPr>
            <w:r w:rsidRPr="00B05B51">
              <w:rPr>
                <w:rFonts w:asciiTheme="majorHAnsi" w:hAnsiTheme="majorHAnsi"/>
                <w:i/>
                <w:sz w:val="16"/>
                <w:szCs w:val="20"/>
              </w:rPr>
              <w:t>(Pripomienka EK: Naplnenie požiadavky podľa článku 13 smernice 2000/43/ES o úlohách orgánu na podporu rovnakého zaobchádzania pre všetky osoby bez diskriminácie na základe rasy alebo etnického pôvodu.)</w:t>
            </w:r>
          </w:p>
          <w:p w:rsidR="00717DD9" w:rsidRPr="00B05B51" w:rsidRDefault="00717DD9" w:rsidP="00BA185A">
            <w:pPr>
              <w:rPr>
                <w:rFonts w:asciiTheme="majorHAnsi" w:hAnsiTheme="majorHAnsi"/>
                <w:sz w:val="16"/>
                <w:szCs w:val="16"/>
                <w:lang w:eastAsia="cs-CZ"/>
              </w:rPr>
            </w:pPr>
            <w:r w:rsidRPr="00B05B51">
              <w:rPr>
                <w:rFonts w:asciiTheme="majorHAnsi" w:hAnsiTheme="majorHAnsi"/>
                <w:sz w:val="16"/>
                <w:szCs w:val="16"/>
                <w:lang w:eastAsia="cs-CZ"/>
              </w:rPr>
              <w:t>SR si je vedomá určitých problémov s fungovaním Slovenského národného strediska pre ľudské práva (SNSĽP), čím sa opakovane zaoberala aj Rada vlády pre ľudské práva, národnostné menšiny a rodovú rovnosť. Pre zlepšenie činnosti SNSĽP sú plánované a uskutočnené nasledujúce kroky:</w:t>
            </w:r>
          </w:p>
          <w:p w:rsidR="00717DD9" w:rsidRPr="00B05B51" w:rsidRDefault="00717DD9" w:rsidP="00E3445F">
            <w:pPr>
              <w:spacing w:before="0" w:after="0"/>
              <w:rPr>
                <w:rFonts w:asciiTheme="majorHAnsi" w:hAnsiTheme="majorHAnsi"/>
                <w:sz w:val="16"/>
                <w:szCs w:val="16"/>
                <w:lang w:eastAsia="cs-CZ"/>
              </w:rPr>
            </w:pPr>
            <w:r w:rsidRPr="00B05B51">
              <w:rPr>
                <w:rFonts w:asciiTheme="majorHAnsi" w:hAnsiTheme="majorHAnsi"/>
                <w:sz w:val="16"/>
                <w:szCs w:val="16"/>
                <w:lang w:eastAsia="cs-CZ"/>
              </w:rPr>
              <w:t>Novela Zákona 308/1993 Z.z. o zriadení Slovenského národného strediska pre ľudské práva. Novela zákona bola vypracovaná MS SR a je v súčasnosti v prvom pripomienkovaní. Novela má zabezpečiť účinnejšie fungovanie SNSĽP podľa tzv. Parížskych princípov, ako aj jeho funkcie ako „equality body“. Termín prerokovania novely zákona vo vláde SR predpokladáme v 3. kvartáli 2014.</w:t>
            </w:r>
          </w:p>
          <w:p w:rsidR="00717DD9" w:rsidRPr="00B05B51" w:rsidRDefault="00717DD9" w:rsidP="00E3445F">
            <w:pPr>
              <w:spacing w:before="0" w:after="0"/>
              <w:jc w:val="left"/>
              <w:rPr>
                <w:rFonts w:asciiTheme="majorHAnsi" w:hAnsiTheme="majorHAnsi"/>
                <w:sz w:val="16"/>
                <w:szCs w:val="16"/>
                <w:lang w:eastAsia="cs-CZ"/>
              </w:rPr>
            </w:pPr>
          </w:p>
          <w:p w:rsidR="00717DD9" w:rsidRPr="00B05B51" w:rsidRDefault="00717DD9" w:rsidP="00BA185A">
            <w:pPr>
              <w:spacing w:before="0" w:after="0"/>
              <w:rPr>
                <w:rFonts w:asciiTheme="majorHAnsi" w:hAnsiTheme="majorHAnsi"/>
                <w:sz w:val="16"/>
                <w:szCs w:val="16"/>
                <w:lang w:eastAsia="cs-CZ"/>
              </w:rPr>
            </w:pPr>
            <w:r w:rsidRPr="00B05B51">
              <w:rPr>
                <w:rFonts w:asciiTheme="majorHAnsi" w:hAnsiTheme="majorHAnsi"/>
                <w:sz w:val="16"/>
                <w:szCs w:val="16"/>
                <w:lang w:eastAsia="cs-CZ"/>
              </w:rPr>
              <w:t>Zapojenie SNSĽP do zabezpečenia uplatňovania práva Únie v oblasti nediskriminácie a politiky v oblasti EŠIF. Zástupca/kyňa SNSĽP bude členom/kou pracovnej skupiny pre HP RP, ktorá plní v súčasnosti úlohy aj v oblasti zabezpečovania HP nediskriminácia a rovnosť mužov a žien pre nové PO a plnenia EAK. SNSĽP bude zapojené do procesov hodnotenia, monitorovania a poskytovania poradenstva v oblasti dodržiavania rovnakého zaobchádzania aj pre subjekty, zapojené do EŠIF.</w:t>
            </w:r>
          </w:p>
          <w:p w:rsidR="00717DD9" w:rsidRPr="00B05B51" w:rsidRDefault="00717DD9" w:rsidP="006F1168">
            <w:pPr>
              <w:rPr>
                <w:rFonts w:asciiTheme="majorHAnsi" w:hAnsiTheme="majorHAnsi"/>
                <w:sz w:val="16"/>
                <w:szCs w:val="16"/>
                <w:lang w:eastAsia="cs-CZ"/>
              </w:rPr>
            </w:pPr>
            <w:r w:rsidRPr="00B05B51">
              <w:rPr>
                <w:rFonts w:asciiTheme="majorHAnsi" w:hAnsiTheme="majorHAnsi"/>
                <w:i/>
                <w:sz w:val="16"/>
                <w:szCs w:val="16"/>
                <w:lang w:eastAsia="cs-CZ"/>
              </w:rPr>
              <w:lastRenderedPageBreak/>
              <w:t>Poznámka: Vyjadrenie SNSĽP k plneniu EAK je priložené v prílohe.</w:t>
            </w:r>
          </w:p>
        </w:tc>
        <w:tc>
          <w:tcPr>
            <w:tcW w:w="2862" w:type="dxa"/>
            <w:gridSpan w:val="3"/>
          </w:tcPr>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30. 9. 2014 </w:t>
            </w: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ORRRP uskutočnil rokovanie so SNSĽP k plneniu EAK 27.</w:t>
            </w:r>
            <w:r w:rsidR="00121F01" w:rsidRPr="00B05B51">
              <w:rPr>
                <w:rFonts w:asciiTheme="majorHAnsi" w:hAnsiTheme="majorHAnsi"/>
                <w:sz w:val="16"/>
                <w:szCs w:val="16"/>
                <w:lang w:eastAsia="cs-CZ"/>
              </w:rPr>
              <w:t xml:space="preserve"> </w:t>
            </w:r>
            <w:r w:rsidRPr="00B05B51">
              <w:rPr>
                <w:rFonts w:asciiTheme="majorHAnsi" w:hAnsiTheme="majorHAnsi"/>
                <w:sz w:val="16"/>
                <w:szCs w:val="16"/>
                <w:lang w:eastAsia="cs-CZ"/>
              </w:rPr>
              <w:t>4.</w:t>
            </w:r>
            <w:r w:rsidR="00121F01" w:rsidRPr="00B05B51">
              <w:rPr>
                <w:rFonts w:asciiTheme="majorHAnsi" w:hAnsiTheme="majorHAnsi"/>
                <w:sz w:val="16"/>
                <w:szCs w:val="16"/>
                <w:lang w:eastAsia="cs-CZ"/>
              </w:rPr>
              <w:t xml:space="preserve"> </w:t>
            </w:r>
            <w:r w:rsidRPr="00B05B51">
              <w:rPr>
                <w:rFonts w:asciiTheme="majorHAnsi" w:hAnsiTheme="majorHAnsi"/>
                <w:sz w:val="16"/>
                <w:szCs w:val="16"/>
                <w:lang w:eastAsia="cs-CZ"/>
              </w:rPr>
              <w:t>2014.</w:t>
            </w: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Zasadnutie PS pre HP RP s rozšírením </w:t>
            </w:r>
            <w:r w:rsidRPr="00B05B51">
              <w:rPr>
                <w:rFonts w:asciiTheme="majorHAnsi" w:hAnsiTheme="majorHAnsi"/>
                <w:sz w:val="16"/>
                <w:szCs w:val="16"/>
                <w:lang w:eastAsia="cs-CZ"/>
              </w:rPr>
              <w:lastRenderedPageBreak/>
              <w:t>členstva bude 27.</w:t>
            </w:r>
            <w:r w:rsidR="00121F01" w:rsidRPr="00B05B51">
              <w:rPr>
                <w:rFonts w:asciiTheme="majorHAnsi" w:hAnsiTheme="majorHAnsi"/>
                <w:sz w:val="16"/>
                <w:szCs w:val="16"/>
                <w:lang w:eastAsia="cs-CZ"/>
              </w:rPr>
              <w:t xml:space="preserve"> </w:t>
            </w:r>
            <w:r w:rsidRPr="00B05B51">
              <w:rPr>
                <w:rFonts w:asciiTheme="majorHAnsi" w:hAnsiTheme="majorHAnsi"/>
                <w:sz w:val="16"/>
                <w:szCs w:val="16"/>
                <w:lang w:eastAsia="cs-CZ"/>
              </w:rPr>
              <w:t>5.</w:t>
            </w:r>
            <w:r w:rsidR="00121F01" w:rsidRPr="00B05B51">
              <w:rPr>
                <w:rFonts w:asciiTheme="majorHAnsi" w:hAnsiTheme="majorHAnsi"/>
                <w:sz w:val="16"/>
                <w:szCs w:val="16"/>
                <w:lang w:eastAsia="cs-CZ"/>
              </w:rPr>
              <w:t xml:space="preserve"> </w:t>
            </w:r>
            <w:r w:rsidRPr="00B05B51">
              <w:rPr>
                <w:rFonts w:asciiTheme="majorHAnsi" w:hAnsiTheme="majorHAnsi"/>
                <w:sz w:val="16"/>
                <w:szCs w:val="16"/>
                <w:lang w:eastAsia="cs-CZ"/>
              </w:rPr>
              <w:t xml:space="preserve">2014 na MPSVR SR </w:t>
            </w:r>
          </w:p>
        </w:tc>
        <w:tc>
          <w:tcPr>
            <w:tcW w:w="2346" w:type="dxa"/>
            <w:vMerge/>
            <w:tcBorders>
              <w:right w:val="single" w:sz="12" w:space="0" w:color="auto"/>
            </w:tcBorders>
          </w:tcPr>
          <w:p w:rsidR="00717DD9" w:rsidRPr="00691C8F" w:rsidRDefault="00717DD9" w:rsidP="00E3445F">
            <w:pPr>
              <w:autoSpaceDE w:val="0"/>
              <w:autoSpaceDN w:val="0"/>
              <w:adjustRightInd w:val="0"/>
              <w:spacing w:before="0"/>
              <w:jc w:val="left"/>
              <w:rPr>
                <w:rFonts w:asciiTheme="majorHAnsi" w:hAnsiTheme="majorHAnsi"/>
                <w:sz w:val="16"/>
                <w:szCs w:val="16"/>
                <w:lang w:eastAsia="sk-SK"/>
              </w:rPr>
            </w:pPr>
          </w:p>
        </w:tc>
      </w:tr>
      <w:tr w:rsidR="00717DD9" w:rsidRPr="00DF567A" w:rsidTr="00E3445F">
        <w:trPr>
          <w:trHeight w:val="1103"/>
        </w:trPr>
        <w:tc>
          <w:tcPr>
            <w:tcW w:w="1949" w:type="dxa"/>
            <w:vMerge/>
            <w:tcBorders>
              <w:left w:val="single" w:sz="12" w:space="0" w:color="auto"/>
            </w:tcBorders>
          </w:tcPr>
          <w:p w:rsidR="00717DD9" w:rsidRPr="00691C8F" w:rsidRDefault="00717DD9" w:rsidP="00E3445F">
            <w:pPr>
              <w:spacing w:before="0" w:line="276" w:lineRule="auto"/>
              <w:rPr>
                <w:rFonts w:asciiTheme="majorHAnsi" w:hAnsiTheme="majorHAnsi"/>
                <w:sz w:val="16"/>
                <w:szCs w:val="16"/>
                <w:lang w:eastAsia="cs-CZ"/>
              </w:rPr>
            </w:pPr>
          </w:p>
        </w:tc>
        <w:tc>
          <w:tcPr>
            <w:tcW w:w="2100" w:type="dxa"/>
            <w:gridSpan w:val="2"/>
            <w:vMerge/>
          </w:tcPr>
          <w:p w:rsidR="00717DD9" w:rsidRPr="00691C8F" w:rsidRDefault="00717DD9" w:rsidP="00E3445F">
            <w:pPr>
              <w:spacing w:before="0" w:line="276" w:lineRule="auto"/>
              <w:rPr>
                <w:rFonts w:asciiTheme="majorHAnsi" w:hAnsiTheme="majorHAnsi"/>
                <w:sz w:val="16"/>
                <w:szCs w:val="16"/>
                <w:lang w:eastAsia="cs-CZ"/>
              </w:rPr>
            </w:pPr>
          </w:p>
        </w:tc>
        <w:tc>
          <w:tcPr>
            <w:tcW w:w="4853" w:type="dxa"/>
            <w:gridSpan w:val="2"/>
            <w:tcBorders>
              <w:top w:val="single" w:sz="4" w:space="0" w:color="auto"/>
            </w:tcBorders>
          </w:tcPr>
          <w:p w:rsidR="00717DD9" w:rsidRPr="00B05B51" w:rsidRDefault="00717DD9" w:rsidP="00E3445F">
            <w:pPr>
              <w:rPr>
                <w:rFonts w:asciiTheme="majorHAnsi" w:hAnsiTheme="majorHAnsi"/>
                <w:b/>
                <w:sz w:val="16"/>
                <w:szCs w:val="20"/>
              </w:rPr>
            </w:pPr>
            <w:r w:rsidRPr="00B05B51">
              <w:rPr>
                <w:rFonts w:asciiTheme="majorHAnsi" w:hAnsiTheme="majorHAnsi"/>
                <w:b/>
                <w:sz w:val="16"/>
                <w:szCs w:val="20"/>
              </w:rPr>
              <w:t>Národný akčný plán pre prevenciu a elimináciu diskriminácie</w:t>
            </w:r>
          </w:p>
          <w:p w:rsidR="00717DD9" w:rsidRPr="00B05B51" w:rsidRDefault="00717DD9" w:rsidP="00E3445F">
            <w:pPr>
              <w:rPr>
                <w:rFonts w:asciiTheme="majorHAnsi" w:hAnsiTheme="majorHAnsi"/>
                <w:b/>
                <w:sz w:val="16"/>
                <w:szCs w:val="20"/>
              </w:rPr>
            </w:pP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Vláda Slovenskej republiky v novembri 2011 prijala úlohu vypracovať </w:t>
            </w:r>
            <w:r w:rsidRPr="00B05B51">
              <w:rPr>
                <w:rFonts w:asciiTheme="majorHAnsi" w:hAnsiTheme="majorHAnsi"/>
                <w:b/>
                <w:sz w:val="16"/>
                <w:szCs w:val="16"/>
                <w:lang w:eastAsia="cs-CZ"/>
              </w:rPr>
              <w:t>Celoštátnu stratégiu ochrany a podpory ľudských práv v Slovenskej republike</w:t>
            </w:r>
            <w:r w:rsidRPr="00B05B51">
              <w:rPr>
                <w:rFonts w:asciiTheme="majorHAnsi" w:hAnsiTheme="majorHAnsi"/>
                <w:sz w:val="16"/>
                <w:szCs w:val="16"/>
                <w:lang w:eastAsia="cs-CZ"/>
              </w:rPr>
              <w:t xml:space="preserve">. Koordinovaním činnosti vypracovania stratégie </w:t>
            </w:r>
            <w:r w:rsidR="00121F01" w:rsidRPr="00B05B51">
              <w:rPr>
                <w:rFonts w:asciiTheme="majorHAnsi" w:hAnsiTheme="majorHAnsi"/>
                <w:sz w:val="16"/>
                <w:szCs w:val="16"/>
                <w:lang w:eastAsia="cs-CZ"/>
              </w:rPr>
              <w:br/>
            </w:r>
            <w:r w:rsidRPr="00B05B51">
              <w:rPr>
                <w:rFonts w:asciiTheme="majorHAnsi" w:hAnsiTheme="majorHAnsi"/>
                <w:sz w:val="16"/>
                <w:szCs w:val="16"/>
                <w:lang w:eastAsia="cs-CZ"/>
              </w:rPr>
              <w:t xml:space="preserve">a predložením stratégie na rokovanie vlády SR je poverený podpredseda vlády a minister zahraničných vecí a európskych záležitostí SR, ktorý je súčasne predsedom Rady vlády pre ľudské práva, národnostné menšiny a rodová rovnosť. Cieľom pripravovaného vládneho dokumentu je zdokonaliť systém vnútroštátnej ochrany </w:t>
            </w:r>
            <w:r w:rsidR="00121F01" w:rsidRPr="00B05B51">
              <w:rPr>
                <w:rFonts w:asciiTheme="majorHAnsi" w:hAnsiTheme="majorHAnsi"/>
                <w:sz w:val="16"/>
                <w:szCs w:val="16"/>
                <w:lang w:eastAsia="cs-CZ"/>
              </w:rPr>
              <w:br/>
            </w:r>
            <w:r w:rsidRPr="00B05B51">
              <w:rPr>
                <w:rFonts w:asciiTheme="majorHAnsi" w:hAnsiTheme="majorHAnsi"/>
                <w:sz w:val="16"/>
                <w:szCs w:val="16"/>
                <w:lang w:eastAsia="cs-CZ"/>
              </w:rPr>
              <w:t xml:space="preserve">a podpory ľudských práv, vrátane identifikovania potrieb a požiadaviek zraniteľných skupín. Tvorba stratégie je založená na participatívnom mechanizme. Do procesu definovania obsahu a priorít stratégie je okrem štátnej správy zapojené najširšie spektrum mimovládnych organizácií a iných relevantných zástupcov občianskej spoločnosti. </w:t>
            </w:r>
          </w:p>
          <w:p w:rsidR="00717DD9" w:rsidRPr="00B05B51" w:rsidRDefault="00717DD9" w:rsidP="00E3445F">
            <w:pPr>
              <w:rPr>
                <w:rFonts w:asciiTheme="majorHAnsi" w:hAnsiTheme="majorHAnsi"/>
                <w:sz w:val="16"/>
                <w:szCs w:val="16"/>
                <w:lang w:eastAsia="cs-CZ"/>
              </w:rPr>
            </w:pPr>
          </w:p>
          <w:p w:rsidR="00717DD9" w:rsidRPr="00B05B51" w:rsidRDefault="00717DD9" w:rsidP="00E3445F">
            <w:pPr>
              <w:spacing w:before="0"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Stratégia má definovať aj potrebu vypracovania rôznych akčných plánov a koncepcií, o.i. úlohu prijatia </w:t>
            </w:r>
            <w:r w:rsidRPr="00B05B51">
              <w:rPr>
                <w:rFonts w:asciiTheme="majorHAnsi" w:hAnsiTheme="majorHAnsi"/>
                <w:b/>
                <w:sz w:val="16"/>
                <w:szCs w:val="16"/>
                <w:lang w:eastAsia="cs-CZ"/>
              </w:rPr>
              <w:t xml:space="preserve">Národného akčného plánu na elimináciu a prevenciu diskriminácie, </w:t>
            </w:r>
            <w:r w:rsidRPr="00B05B51">
              <w:rPr>
                <w:rFonts w:asciiTheme="majorHAnsi" w:hAnsiTheme="majorHAnsi"/>
                <w:sz w:val="16"/>
                <w:szCs w:val="16"/>
                <w:lang w:eastAsia="cs-CZ"/>
              </w:rPr>
              <w:t>ktorého cieľom bude posilniť mechanizmy pre dodržiavani</w:t>
            </w:r>
            <w:r w:rsidR="00E3445F" w:rsidRPr="00B05B51">
              <w:rPr>
                <w:rFonts w:asciiTheme="majorHAnsi" w:hAnsiTheme="majorHAnsi"/>
                <w:sz w:val="16"/>
                <w:szCs w:val="16"/>
                <w:lang w:eastAsia="cs-CZ"/>
              </w:rPr>
              <w:t>e</w:t>
            </w:r>
            <w:r w:rsidRPr="00B05B51">
              <w:rPr>
                <w:rFonts w:asciiTheme="majorHAnsi" w:hAnsiTheme="majorHAnsi"/>
                <w:sz w:val="16"/>
                <w:szCs w:val="16"/>
                <w:lang w:eastAsia="cs-CZ"/>
              </w:rPr>
              <w:t xml:space="preserve"> zásady rovnakého zaobchádzania v zmysle Antidiskriminačného zákona.</w:t>
            </w:r>
          </w:p>
        </w:tc>
        <w:tc>
          <w:tcPr>
            <w:tcW w:w="2862" w:type="dxa"/>
            <w:gridSpan w:val="3"/>
          </w:tcPr>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Predloženie stratégie na rokovanie vlády SR: 30. 6. 2014</w:t>
            </w: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Príprava NAP: 30. 6. 2015</w:t>
            </w:r>
          </w:p>
        </w:tc>
        <w:tc>
          <w:tcPr>
            <w:tcW w:w="2346" w:type="dxa"/>
            <w:vMerge/>
            <w:tcBorders>
              <w:right w:val="single" w:sz="12" w:space="0" w:color="auto"/>
            </w:tcBorders>
          </w:tcPr>
          <w:p w:rsidR="00717DD9" w:rsidRPr="00691C8F" w:rsidRDefault="00717DD9" w:rsidP="00E3445F">
            <w:pPr>
              <w:autoSpaceDE w:val="0"/>
              <w:autoSpaceDN w:val="0"/>
              <w:adjustRightInd w:val="0"/>
              <w:spacing w:before="0"/>
              <w:jc w:val="left"/>
              <w:rPr>
                <w:rFonts w:asciiTheme="majorHAnsi" w:hAnsiTheme="majorHAnsi"/>
                <w:sz w:val="16"/>
                <w:szCs w:val="16"/>
                <w:lang w:eastAsia="sk-SK"/>
              </w:rPr>
            </w:pPr>
          </w:p>
        </w:tc>
      </w:tr>
      <w:tr w:rsidR="00717DD9" w:rsidRPr="00DF567A" w:rsidTr="00E3445F">
        <w:trPr>
          <w:trHeight w:val="4784"/>
        </w:trPr>
        <w:tc>
          <w:tcPr>
            <w:tcW w:w="1949" w:type="dxa"/>
            <w:vMerge/>
            <w:tcBorders>
              <w:left w:val="single" w:sz="12" w:space="0" w:color="auto"/>
            </w:tcBorders>
          </w:tcPr>
          <w:p w:rsidR="00717DD9" w:rsidRPr="00691C8F" w:rsidRDefault="00717DD9" w:rsidP="00E3445F">
            <w:pPr>
              <w:spacing w:before="0" w:line="276" w:lineRule="auto"/>
              <w:rPr>
                <w:rFonts w:asciiTheme="majorHAnsi" w:hAnsiTheme="majorHAnsi"/>
                <w:sz w:val="16"/>
                <w:szCs w:val="16"/>
                <w:lang w:eastAsia="cs-CZ"/>
              </w:rPr>
            </w:pPr>
          </w:p>
        </w:tc>
        <w:tc>
          <w:tcPr>
            <w:tcW w:w="2100" w:type="dxa"/>
            <w:gridSpan w:val="2"/>
            <w:vMerge/>
          </w:tcPr>
          <w:p w:rsidR="00717DD9" w:rsidRPr="00691C8F" w:rsidRDefault="00717DD9" w:rsidP="00E3445F">
            <w:pPr>
              <w:spacing w:before="0" w:line="276" w:lineRule="auto"/>
              <w:rPr>
                <w:rFonts w:asciiTheme="majorHAnsi" w:hAnsiTheme="majorHAnsi"/>
                <w:sz w:val="16"/>
                <w:szCs w:val="16"/>
                <w:lang w:eastAsia="cs-CZ"/>
              </w:rPr>
            </w:pPr>
          </w:p>
        </w:tc>
        <w:tc>
          <w:tcPr>
            <w:tcW w:w="4853" w:type="dxa"/>
            <w:gridSpan w:val="2"/>
            <w:tcBorders>
              <w:top w:val="single" w:sz="4" w:space="0" w:color="auto"/>
            </w:tcBorders>
          </w:tcPr>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b/>
                <w:sz w:val="16"/>
                <w:szCs w:val="16"/>
                <w:lang w:eastAsia="cs-CZ"/>
              </w:rPr>
              <w:t>Vypracovanie stratégie školenia a informovania zamestnancov zapojených do využívania fondov</w:t>
            </w:r>
            <w:r w:rsidRPr="00B05B51">
              <w:rPr>
                <w:rFonts w:asciiTheme="majorHAnsi" w:hAnsiTheme="majorHAnsi"/>
                <w:sz w:val="16"/>
                <w:szCs w:val="16"/>
                <w:lang w:eastAsia="cs-CZ"/>
              </w:rPr>
              <w:t xml:space="preserve"> a následné podanie projektu z OP TP na finančné zabezpečenie školení. </w:t>
            </w: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Školiace a vzdelávacie aktivity (školenia, semináre, tréningy </w:t>
            </w:r>
            <w:r w:rsidR="00E3445F" w:rsidRPr="00B05B51">
              <w:rPr>
                <w:rFonts w:asciiTheme="majorHAnsi" w:hAnsiTheme="majorHAnsi"/>
                <w:sz w:val="16"/>
                <w:szCs w:val="16"/>
                <w:lang w:eastAsia="cs-CZ"/>
              </w:rPr>
              <w:br/>
            </w:r>
            <w:r w:rsidRPr="00B05B51">
              <w:rPr>
                <w:rFonts w:asciiTheme="majorHAnsi" w:hAnsiTheme="majorHAnsi"/>
                <w:sz w:val="16"/>
                <w:szCs w:val="16"/>
                <w:lang w:eastAsia="cs-CZ"/>
              </w:rPr>
              <w:t>a informovania zamestnancov/kyň zapojených do využívania fondov; konferencie, publikácie a propagačné tlačoviny/materiál, zverejňovanie správ v národných a regionálnych/lokálnych masmédiách a iné, bude vykonávať garant za HP pre nasledovné cieľové skupiny:</w:t>
            </w:r>
          </w:p>
          <w:p w:rsidR="00717DD9" w:rsidRPr="00B05B51" w:rsidRDefault="00717DD9" w:rsidP="00E3445F">
            <w:pPr>
              <w:spacing w:line="276" w:lineRule="auto"/>
              <w:rPr>
                <w:rFonts w:asciiTheme="majorHAnsi" w:hAnsiTheme="majorHAnsi"/>
                <w:sz w:val="16"/>
                <w:szCs w:val="16"/>
                <w:lang w:eastAsia="cs-CZ"/>
              </w:rPr>
            </w:pPr>
            <w:r w:rsidRPr="00B05B51">
              <w:rPr>
                <w:rFonts w:asciiTheme="majorHAnsi" w:hAnsiTheme="majorHAnsi"/>
                <w:sz w:val="16"/>
                <w:szCs w:val="16"/>
                <w:lang w:eastAsia="cs-CZ"/>
              </w:rPr>
              <w:t>Osoby na RO zodpovedné za prípravu OP, kontaktné osoby pre HP RP zodpovedné za koordináciu HP RP na úrovni jednotlivých OP, členovia pracovnej skupiny HP RP, manažéri monitorovania a hodnotenia, vyšší riadiaci pracovníci, hodnotitelia projektov a taktiež personál orgánov zahrnutých do riadenia a kontroly EŠIF v oblastiach zákonov a politiky EÚ o nediskriminácii. Školenia sa budú týkať spôsobu hodnotenia, procesu implementácie, monitorovania, kontroly.</w:t>
            </w:r>
          </w:p>
          <w:p w:rsidR="00717DD9" w:rsidRPr="00B05B51" w:rsidRDefault="00717DD9" w:rsidP="00E3445F">
            <w:pPr>
              <w:spacing w:before="0" w:line="276" w:lineRule="auto"/>
              <w:rPr>
                <w:rFonts w:asciiTheme="majorHAnsi" w:hAnsiTheme="majorHAnsi"/>
                <w:sz w:val="16"/>
                <w:szCs w:val="16"/>
                <w:lang w:eastAsia="cs-CZ"/>
              </w:rPr>
            </w:pPr>
            <w:r w:rsidRPr="00B05B51">
              <w:rPr>
                <w:rFonts w:asciiTheme="majorHAnsi" w:hAnsiTheme="majorHAnsi"/>
                <w:sz w:val="16"/>
                <w:szCs w:val="16"/>
                <w:lang w:eastAsia="cs-CZ"/>
              </w:rPr>
              <w:t>Pri vzdelávaní bude ORRRP spolupracovať najmä s lektormi/kami zo SNSĽP, ako aj odbornej občianskej spoločnosti.</w:t>
            </w:r>
          </w:p>
        </w:tc>
        <w:tc>
          <w:tcPr>
            <w:tcW w:w="2862" w:type="dxa"/>
            <w:gridSpan w:val="3"/>
          </w:tcPr>
          <w:p w:rsidR="00717DD9" w:rsidRPr="00B05B51" w:rsidRDefault="00717DD9" w:rsidP="00E3445F">
            <w:pPr>
              <w:spacing w:line="276" w:lineRule="auto"/>
              <w:rPr>
                <w:rFonts w:asciiTheme="majorHAnsi" w:hAnsiTheme="majorHAnsi"/>
                <w:sz w:val="16"/>
                <w:szCs w:val="16"/>
              </w:rPr>
            </w:pPr>
            <w:r w:rsidRPr="00B05B51">
              <w:rPr>
                <w:rFonts w:asciiTheme="majorHAnsi" w:hAnsiTheme="majorHAnsi"/>
                <w:sz w:val="16"/>
                <w:szCs w:val="16"/>
              </w:rPr>
              <w:t xml:space="preserve">Vypracovanie a podanie projektu z OP </w:t>
            </w:r>
            <w:r w:rsidRPr="00B05B51">
              <w:rPr>
                <w:rFonts w:asciiTheme="majorHAnsi" w:hAnsiTheme="majorHAnsi"/>
                <w:sz w:val="16"/>
                <w:szCs w:val="16"/>
                <w:lang w:eastAsia="cs-CZ"/>
              </w:rPr>
              <w:t xml:space="preserve">30. 6. </w:t>
            </w:r>
            <w:r w:rsidRPr="00B05B51">
              <w:rPr>
                <w:rFonts w:asciiTheme="majorHAnsi" w:hAnsiTheme="majorHAnsi"/>
                <w:sz w:val="16"/>
                <w:szCs w:val="16"/>
              </w:rPr>
              <w:t>2014</w:t>
            </w:r>
          </w:p>
          <w:p w:rsidR="00717DD9" w:rsidRPr="00B05B51" w:rsidRDefault="00717DD9" w:rsidP="00E3445F">
            <w:pPr>
              <w:spacing w:line="276" w:lineRule="auto"/>
              <w:rPr>
                <w:rFonts w:asciiTheme="majorHAnsi" w:hAnsiTheme="majorHAnsi"/>
                <w:sz w:val="16"/>
                <w:szCs w:val="16"/>
              </w:rPr>
            </w:pPr>
          </w:p>
          <w:p w:rsidR="00717DD9" w:rsidRPr="00B05B51" w:rsidRDefault="00717DD9" w:rsidP="00E3445F">
            <w:pPr>
              <w:spacing w:line="276" w:lineRule="auto"/>
              <w:rPr>
                <w:rFonts w:asciiTheme="majorHAnsi" w:hAnsiTheme="majorHAnsi"/>
                <w:sz w:val="16"/>
                <w:szCs w:val="16"/>
              </w:rPr>
            </w:pPr>
            <w:r w:rsidRPr="00B05B51">
              <w:rPr>
                <w:rFonts w:asciiTheme="majorHAnsi" w:hAnsiTheme="majorHAnsi"/>
                <w:sz w:val="16"/>
                <w:szCs w:val="16"/>
              </w:rPr>
              <w:t>Uskutočnenie vzdelávacích aktivít pre prvotné vzdelávanie RO: 30. 6. 2015.</w:t>
            </w:r>
          </w:p>
          <w:p w:rsidR="00717DD9" w:rsidRPr="00B05B51" w:rsidRDefault="00717DD9" w:rsidP="00E3445F">
            <w:pPr>
              <w:spacing w:line="276" w:lineRule="auto"/>
              <w:rPr>
                <w:rFonts w:asciiTheme="majorHAnsi" w:hAnsiTheme="majorHAnsi"/>
                <w:sz w:val="16"/>
                <w:szCs w:val="16"/>
              </w:rPr>
            </w:pPr>
          </w:p>
          <w:p w:rsidR="00717DD9" w:rsidRPr="00B05B51" w:rsidRDefault="00717DD9" w:rsidP="00E3445F">
            <w:pPr>
              <w:spacing w:before="0" w:line="276" w:lineRule="auto"/>
              <w:rPr>
                <w:rFonts w:asciiTheme="majorHAnsi" w:hAnsiTheme="majorHAnsi"/>
                <w:sz w:val="16"/>
                <w:szCs w:val="16"/>
                <w:lang w:eastAsia="cs-CZ"/>
              </w:rPr>
            </w:pPr>
            <w:r w:rsidRPr="00B05B51">
              <w:rPr>
                <w:rFonts w:asciiTheme="majorHAnsi" w:hAnsiTheme="majorHAnsi"/>
                <w:sz w:val="16"/>
                <w:szCs w:val="16"/>
              </w:rPr>
              <w:t>Vzdelávacie aktivity budú prebiehať priebežne počas celého PO, pričom budú zamerané špecificky na potreby daného RO</w:t>
            </w:r>
          </w:p>
        </w:tc>
        <w:tc>
          <w:tcPr>
            <w:tcW w:w="2346" w:type="dxa"/>
            <w:vMerge/>
            <w:tcBorders>
              <w:right w:val="single" w:sz="12" w:space="0" w:color="auto"/>
            </w:tcBorders>
          </w:tcPr>
          <w:p w:rsidR="00717DD9" w:rsidRPr="00691C8F" w:rsidRDefault="00717DD9" w:rsidP="00E3445F">
            <w:pPr>
              <w:autoSpaceDE w:val="0"/>
              <w:autoSpaceDN w:val="0"/>
              <w:adjustRightInd w:val="0"/>
              <w:spacing w:before="0"/>
              <w:jc w:val="left"/>
              <w:rPr>
                <w:rFonts w:asciiTheme="majorHAnsi" w:hAnsiTheme="majorHAnsi"/>
                <w:sz w:val="16"/>
                <w:szCs w:val="16"/>
                <w:lang w:eastAsia="sk-SK"/>
              </w:rPr>
            </w:pPr>
          </w:p>
        </w:tc>
      </w:tr>
      <w:tr w:rsidR="00CC23CF" w:rsidRPr="00DF567A" w:rsidTr="00CC23CF">
        <w:trPr>
          <w:trHeight w:val="1332"/>
        </w:trPr>
        <w:tc>
          <w:tcPr>
            <w:tcW w:w="1949" w:type="dxa"/>
            <w:vMerge w:val="restart"/>
            <w:tcBorders>
              <w:top w:val="single" w:sz="12" w:space="0" w:color="auto"/>
              <w:left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2. Rodová rovnosť</w:t>
            </w:r>
          </w:p>
          <w:p w:rsidR="00CC23CF" w:rsidRPr="00B763E3" w:rsidRDefault="00CC23CF" w:rsidP="003D475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Existencia administratívnej kapacity na vykonávanie a uplatňovanie práva a politiky Únie týkajúcich sa rodovej rovnosti v oblasti EŠIF.</w:t>
            </w:r>
          </w:p>
        </w:tc>
        <w:tc>
          <w:tcPr>
            <w:tcW w:w="2100" w:type="dxa"/>
            <w:gridSpan w:val="2"/>
            <w:vMerge w:val="restart"/>
            <w:tcBorders>
              <w:top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Opatrenia v súlade s inštitucionálnym a právnym rámcom členských štátov na zapojenie orgánov zodpovedných za podporu rodovej rovnosti počas prípravy a vykonávania programov, a to vrátane poskytovania poradenstva o rodovej rovnosti v rámci činností spojených s EŠIF.</w:t>
            </w:r>
          </w:p>
          <w:p w:rsidR="00CC23CF" w:rsidRPr="00B763E3" w:rsidRDefault="00CC23CF" w:rsidP="003D4757">
            <w:pPr>
              <w:spacing w:before="0" w:line="276" w:lineRule="auto"/>
              <w:rPr>
                <w:rFonts w:asciiTheme="majorHAnsi" w:hAnsiTheme="majorHAnsi"/>
                <w:sz w:val="16"/>
                <w:szCs w:val="16"/>
                <w:lang w:eastAsia="cs-CZ"/>
              </w:rPr>
            </w:pPr>
          </w:p>
          <w:p w:rsidR="00CC23CF" w:rsidRPr="00B763E3" w:rsidRDefault="00CC23CF" w:rsidP="003D4757">
            <w:pPr>
              <w:spacing w:before="0" w:line="276" w:lineRule="auto"/>
              <w:rPr>
                <w:rFonts w:asciiTheme="majorHAnsi" w:hAnsiTheme="majorHAnsi"/>
                <w:sz w:val="16"/>
                <w:szCs w:val="16"/>
                <w:lang w:eastAsia="cs-CZ"/>
              </w:rPr>
            </w:pPr>
          </w:p>
          <w:p w:rsidR="00CC23CF" w:rsidRPr="00B763E3" w:rsidRDefault="00CC23CF" w:rsidP="003D4757">
            <w:pPr>
              <w:spacing w:before="0" w:line="276" w:lineRule="auto"/>
              <w:rPr>
                <w:rFonts w:asciiTheme="majorHAnsi" w:hAnsiTheme="majorHAnsi"/>
                <w:sz w:val="16"/>
                <w:szCs w:val="16"/>
                <w:lang w:eastAsia="cs-CZ"/>
              </w:rPr>
            </w:pPr>
          </w:p>
          <w:p w:rsidR="00CC23CF" w:rsidRPr="00B763E3" w:rsidRDefault="00CC23CF" w:rsidP="003D4757">
            <w:pPr>
              <w:spacing w:before="0" w:line="276" w:lineRule="auto"/>
              <w:rPr>
                <w:rFonts w:asciiTheme="majorHAnsi" w:hAnsiTheme="majorHAnsi"/>
                <w:sz w:val="16"/>
                <w:szCs w:val="16"/>
                <w:lang w:eastAsia="cs-CZ"/>
              </w:rPr>
            </w:pPr>
          </w:p>
          <w:p w:rsidR="00CC23CF" w:rsidRPr="00B763E3" w:rsidRDefault="00CC23CF" w:rsidP="003D4757">
            <w:pPr>
              <w:spacing w:before="0" w:line="276" w:lineRule="auto"/>
              <w:rPr>
                <w:rFonts w:asciiTheme="majorHAnsi" w:hAnsiTheme="majorHAnsi"/>
                <w:sz w:val="16"/>
                <w:szCs w:val="16"/>
                <w:lang w:eastAsia="cs-CZ"/>
              </w:rPr>
            </w:pPr>
          </w:p>
        </w:tc>
        <w:tc>
          <w:tcPr>
            <w:tcW w:w="4853" w:type="dxa"/>
            <w:gridSpan w:val="2"/>
            <w:tcBorders>
              <w:top w:val="single" w:sz="12" w:space="0" w:color="auto"/>
            </w:tcBorders>
          </w:tcPr>
          <w:p w:rsidR="00CC23CF" w:rsidRPr="00B05B51" w:rsidRDefault="00CC23CF" w:rsidP="003D4757">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lastRenderedPageBreak/>
              <w:t xml:space="preserve">Zabezpečenie inštitucionálnych a strategických podmienok </w:t>
            </w:r>
          </w:p>
          <w:p w:rsidR="00CC23CF" w:rsidRPr="00B05B51" w:rsidRDefault="00CC23CF" w:rsidP="003D4757">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t xml:space="preserve">Posilnenie administratívnych kapacít odboru rodovej rovnosti </w:t>
            </w:r>
            <w:r w:rsidR="00544389" w:rsidRPr="00B05B51">
              <w:rPr>
                <w:rFonts w:asciiTheme="majorHAnsi" w:hAnsiTheme="majorHAnsi"/>
                <w:b/>
                <w:sz w:val="16"/>
                <w:szCs w:val="16"/>
                <w:lang w:eastAsia="cs-CZ"/>
              </w:rPr>
              <w:br/>
            </w:r>
            <w:r w:rsidRPr="00B05B51">
              <w:rPr>
                <w:rFonts w:asciiTheme="majorHAnsi" w:hAnsiTheme="majorHAnsi"/>
                <w:b/>
                <w:sz w:val="16"/>
                <w:szCs w:val="16"/>
                <w:lang w:eastAsia="cs-CZ"/>
              </w:rPr>
              <w:t xml:space="preserve">a rovnosti príležitostí MPSVR SR. </w:t>
            </w:r>
          </w:p>
          <w:p w:rsidR="00CC23CF" w:rsidRPr="00B05B51" w:rsidRDefault="00CC23CF" w:rsidP="003D4757">
            <w:pPr>
              <w:spacing w:line="276" w:lineRule="auto"/>
              <w:rPr>
                <w:rFonts w:asciiTheme="majorHAnsi" w:hAnsiTheme="majorHAnsi"/>
                <w:sz w:val="16"/>
                <w:szCs w:val="16"/>
                <w:lang w:eastAsia="cs-CZ"/>
              </w:rPr>
            </w:pPr>
          </w:p>
          <w:p w:rsidR="00CC23CF" w:rsidRPr="00B763E3" w:rsidRDefault="00CC23CF" w:rsidP="008B2A4E">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Vychádzajúc z návrhu Systému riadenia a kontroly pre PO 2014 – 2020 konštatujeme, že prierezovosť úloh koodinátora HP nediskriminácia, prístupnosť a rovnosť mužov a žien a rozšírenie pôsobnosti v novom PO si vyžaduje posilnenie </w:t>
            </w:r>
            <w:r w:rsidR="0076035B" w:rsidRPr="00B05B51">
              <w:rPr>
                <w:rFonts w:asciiTheme="majorHAnsi" w:hAnsiTheme="majorHAnsi"/>
                <w:sz w:val="16"/>
                <w:szCs w:val="16"/>
                <w:lang w:eastAsia="cs-CZ"/>
              </w:rPr>
              <w:t>AK</w:t>
            </w:r>
            <w:r w:rsidRPr="00B05B51">
              <w:rPr>
                <w:rFonts w:asciiTheme="majorHAnsi" w:hAnsiTheme="majorHAnsi"/>
                <w:sz w:val="16"/>
                <w:szCs w:val="16"/>
                <w:lang w:eastAsia="cs-CZ"/>
              </w:rPr>
              <w:t xml:space="preserve"> u súčasného koordinátora HP RP. Inštitucionálny mechanizmus koordinácie HP bude budovaný </w:t>
            </w:r>
            <w:r w:rsidR="0076035B" w:rsidRPr="00B05B51">
              <w:rPr>
                <w:rFonts w:asciiTheme="majorHAnsi" w:hAnsiTheme="majorHAnsi"/>
                <w:sz w:val="16"/>
                <w:szCs w:val="16"/>
                <w:lang w:eastAsia="cs-CZ"/>
              </w:rPr>
              <w:br/>
            </w:r>
            <w:r w:rsidRPr="00B05B51">
              <w:rPr>
                <w:rFonts w:asciiTheme="majorHAnsi" w:hAnsiTheme="majorHAnsi"/>
                <w:sz w:val="16"/>
                <w:szCs w:val="16"/>
                <w:lang w:eastAsia="cs-CZ"/>
              </w:rPr>
              <w:t xml:space="preserve">s dôrazom na metodické vedenie, publicitu, školiace a vzdelávacie aktivity, hodnotiaci a výberový proces ako aj na monitorovanie a kontrolu. V tomto zmysle bude vytvorený samostatný subjekt </w:t>
            </w:r>
            <w:r w:rsidRPr="00B05B51">
              <w:rPr>
                <w:rFonts w:asciiTheme="majorHAnsi" w:hAnsiTheme="majorHAnsi"/>
                <w:sz w:val="16"/>
                <w:szCs w:val="16"/>
                <w:lang w:eastAsia="cs-CZ"/>
              </w:rPr>
              <w:lastRenderedPageBreak/>
              <w:t>koordinácie horizontálnych princípov, v ktorom predpokladáme 7 pracovných miest plus 1 asistenta/ku. Všetky miesta v rámci subjektu budú refundované v rámci technickej pomoci. Novo vytvorené miesta budú zamerané na metodické vedenie, analytickú, strategickú, legislatívnu a vzdelávaciu činnosť súvisiacu s implementáciou oboch horizontálnych princípov v EŠIF. Ich náplň práce bude zameraná na aktivity súvisiace s povinnosťami každého subjektu fondov so zameraním na tematickú prierezovosť daných horizontálnych princípov.</w:t>
            </w:r>
          </w:p>
        </w:tc>
        <w:tc>
          <w:tcPr>
            <w:tcW w:w="2862" w:type="dxa"/>
            <w:gridSpan w:val="3"/>
            <w:tcBorders>
              <w:top w:val="single" w:sz="12" w:space="0" w:color="auto"/>
            </w:tcBorders>
          </w:tcPr>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lastRenderedPageBreak/>
              <w:t>1. 6. 2014 - navýšenie stavu administratívnych kapacít formou externých spolupracovníkov (dohoda o vykonaní práce), dosiahnutý počet 2 zamestnanci + 3 dohodou + riaditeľka ORRRP</w:t>
            </w:r>
          </w:p>
          <w:p w:rsidR="00CC23CF" w:rsidRPr="00B05B51" w:rsidRDefault="00CC23CF" w:rsidP="003D4757">
            <w:pPr>
              <w:spacing w:line="276" w:lineRule="auto"/>
              <w:rPr>
                <w:rFonts w:asciiTheme="majorHAnsi" w:hAnsiTheme="majorHAnsi"/>
                <w:sz w:val="16"/>
                <w:szCs w:val="16"/>
                <w:lang w:eastAsia="cs-CZ"/>
              </w:rPr>
            </w:pP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31. 8. 2014 - dosiahnutie optimalizovaného stavu </w:t>
            </w:r>
            <w:r w:rsidR="0076035B" w:rsidRPr="00B05B51">
              <w:rPr>
                <w:rFonts w:asciiTheme="majorHAnsi" w:hAnsiTheme="majorHAnsi"/>
                <w:sz w:val="16"/>
                <w:szCs w:val="16"/>
                <w:lang w:eastAsia="cs-CZ"/>
              </w:rPr>
              <w:t>AK</w:t>
            </w:r>
            <w:r w:rsidRPr="00B05B51">
              <w:rPr>
                <w:rFonts w:asciiTheme="majorHAnsi" w:hAnsiTheme="majorHAnsi"/>
                <w:sz w:val="16"/>
                <w:szCs w:val="16"/>
                <w:lang w:eastAsia="cs-CZ"/>
              </w:rPr>
              <w:t xml:space="preserve"> vytvorením oddelenia pre implementáciu horizontálnych princípov nediskriminácie a rovnosti mužov a žien </w:t>
            </w:r>
            <w:r w:rsidRPr="00B05B51">
              <w:rPr>
                <w:rFonts w:asciiTheme="majorHAnsi" w:hAnsiTheme="majorHAnsi"/>
                <w:sz w:val="16"/>
                <w:szCs w:val="16"/>
                <w:lang w:eastAsia="cs-CZ"/>
              </w:rPr>
              <w:lastRenderedPageBreak/>
              <w:t>so 7 zamestnancami plus 1 asistenta/ku.</w:t>
            </w:r>
          </w:p>
          <w:p w:rsidR="00CC23CF" w:rsidRPr="00B763E3" w:rsidRDefault="00CC23CF" w:rsidP="003D4757">
            <w:pPr>
              <w:spacing w:before="0" w:line="276" w:lineRule="auto"/>
              <w:rPr>
                <w:rFonts w:asciiTheme="majorHAnsi" w:hAnsiTheme="majorHAnsi"/>
                <w:sz w:val="16"/>
                <w:szCs w:val="16"/>
                <w:lang w:eastAsia="cs-CZ"/>
              </w:rPr>
            </w:pPr>
          </w:p>
        </w:tc>
        <w:tc>
          <w:tcPr>
            <w:tcW w:w="2346" w:type="dxa"/>
            <w:vMerge w:val="restart"/>
            <w:tcBorders>
              <w:top w:val="single" w:sz="12" w:space="0" w:color="auto"/>
              <w:right w:val="single" w:sz="12" w:space="0" w:color="auto"/>
            </w:tcBorders>
          </w:tcPr>
          <w:p w:rsidR="00CC23CF" w:rsidRPr="00B763E3" w:rsidDel="00524AFC" w:rsidRDefault="00CC23CF" w:rsidP="003D4757">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lastRenderedPageBreak/>
              <w:t>MPSVR SR</w:t>
            </w:r>
          </w:p>
        </w:tc>
      </w:tr>
      <w:tr w:rsidR="00CC23CF" w:rsidRPr="00DF567A" w:rsidTr="00CC23CF">
        <w:trPr>
          <w:trHeight w:val="1331"/>
        </w:trPr>
        <w:tc>
          <w:tcPr>
            <w:tcW w:w="1949" w:type="dxa"/>
            <w:vMerge/>
            <w:tcBorders>
              <w:left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p>
        </w:tc>
        <w:tc>
          <w:tcPr>
            <w:tcW w:w="2100" w:type="dxa"/>
            <w:gridSpan w:val="2"/>
            <w:vMerge/>
          </w:tcPr>
          <w:p w:rsidR="00CC23CF" w:rsidRPr="00B763E3" w:rsidRDefault="00CC23CF" w:rsidP="003D4757">
            <w:pPr>
              <w:spacing w:before="0" w:line="276" w:lineRule="auto"/>
              <w:rPr>
                <w:rFonts w:asciiTheme="majorHAnsi" w:hAnsiTheme="majorHAnsi"/>
                <w:sz w:val="16"/>
                <w:szCs w:val="16"/>
                <w:lang w:eastAsia="cs-CZ"/>
              </w:rPr>
            </w:pPr>
          </w:p>
        </w:tc>
        <w:tc>
          <w:tcPr>
            <w:tcW w:w="4853" w:type="dxa"/>
            <w:gridSpan w:val="2"/>
            <w:tcBorders>
              <w:top w:val="single" w:sz="4" w:space="0" w:color="auto"/>
            </w:tcBorders>
          </w:tcPr>
          <w:p w:rsidR="00CC23CF" w:rsidRPr="00B05B51" w:rsidRDefault="00CC23CF" w:rsidP="003D4757">
            <w:pPr>
              <w:rPr>
                <w:rFonts w:asciiTheme="majorHAnsi" w:hAnsiTheme="majorHAnsi"/>
                <w:b/>
                <w:sz w:val="16"/>
                <w:szCs w:val="16"/>
                <w:lang w:eastAsia="cs-CZ"/>
              </w:rPr>
            </w:pPr>
            <w:r w:rsidRPr="00B05B51">
              <w:rPr>
                <w:rFonts w:asciiTheme="majorHAnsi" w:hAnsiTheme="majorHAnsi"/>
                <w:b/>
                <w:sz w:val="16"/>
                <w:szCs w:val="16"/>
                <w:lang w:eastAsia="cs-CZ"/>
              </w:rPr>
              <w:t xml:space="preserve">Stratégia rodovej rovnosti na roky 2014 – 2020. </w:t>
            </w:r>
          </w:p>
          <w:p w:rsidR="00CC23CF" w:rsidRPr="00B05B51" w:rsidRDefault="00CC23CF" w:rsidP="0076035B">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V súčasnosti pracuje ORRRP na vyhodnotení plnenia súčasnej Národnej stratégie rodovej rovnosti na roky 2009 – 2013 a príslušného NAP. Na základe vyhodnotených úloh a potreby definovania nových aktivít bude v spolupráci s občianskou spoločnosťou, zapojenou vo Výbore pre rodovú rovnosť, vypracovaná nová stratégia rodovej rovnosti a následne k tomu zodpovedajúci akčný plán. Oba dokumenty budú zdôrazňovať potrebu synergie plnenia úloh s programami EŠIF, najmä so zameraním na OP </w:t>
            </w:r>
            <w:r w:rsidR="0076035B" w:rsidRPr="00B05B51">
              <w:rPr>
                <w:rFonts w:asciiTheme="majorHAnsi" w:hAnsiTheme="majorHAnsi"/>
                <w:sz w:val="16"/>
                <w:szCs w:val="16"/>
                <w:lang w:eastAsia="cs-CZ"/>
              </w:rPr>
              <w:t>Ľ</w:t>
            </w:r>
            <w:r w:rsidRPr="00B05B51">
              <w:rPr>
                <w:rFonts w:asciiTheme="majorHAnsi" w:hAnsiTheme="majorHAnsi"/>
                <w:sz w:val="16"/>
                <w:szCs w:val="16"/>
                <w:lang w:eastAsia="cs-CZ"/>
              </w:rPr>
              <w:t>udské zdroje, pričom konkrétne aktivity z OP ĽZ budú premietnuté v stratégii a následne v národnom akčnom pláne.</w:t>
            </w:r>
          </w:p>
        </w:tc>
        <w:tc>
          <w:tcPr>
            <w:tcW w:w="2862" w:type="dxa"/>
            <w:gridSpan w:val="3"/>
          </w:tcPr>
          <w:p w:rsidR="00CC23CF" w:rsidRPr="00B05B51" w:rsidRDefault="00CC23CF" w:rsidP="003D4757">
            <w:pPr>
              <w:spacing w:line="276" w:lineRule="auto"/>
              <w:rPr>
                <w:rFonts w:asciiTheme="majorHAnsi" w:hAnsiTheme="majorHAnsi"/>
                <w:sz w:val="16"/>
                <w:szCs w:val="16"/>
                <w:lang w:eastAsia="cs-CZ"/>
              </w:rPr>
            </w:pPr>
          </w:p>
          <w:p w:rsidR="00CC23CF" w:rsidRPr="00B05B51" w:rsidRDefault="00CC23CF" w:rsidP="003D4757">
            <w:pPr>
              <w:spacing w:line="276" w:lineRule="auto"/>
              <w:rPr>
                <w:rFonts w:asciiTheme="majorHAnsi" w:hAnsiTheme="majorHAnsi"/>
                <w:sz w:val="16"/>
                <w:szCs w:val="16"/>
                <w:lang w:eastAsia="cs-CZ"/>
              </w:rPr>
            </w:pP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Termín vyhodnotenia súčasnej stratégie rodovej rovnosti: 30. 6. 2014</w:t>
            </w:r>
          </w:p>
          <w:p w:rsidR="00CC23CF" w:rsidRPr="00B05B51" w:rsidRDefault="00CC23CF" w:rsidP="003D4757">
            <w:pPr>
              <w:spacing w:line="276" w:lineRule="auto"/>
              <w:rPr>
                <w:rFonts w:asciiTheme="majorHAnsi" w:hAnsiTheme="majorHAnsi"/>
                <w:sz w:val="16"/>
                <w:szCs w:val="16"/>
                <w:lang w:eastAsia="cs-CZ"/>
              </w:rPr>
            </w:pPr>
          </w:p>
          <w:p w:rsidR="00CC23CF" w:rsidRPr="00B763E3" w:rsidDel="00C37295" w:rsidRDefault="00CC23CF" w:rsidP="006F1168">
            <w:pPr>
              <w:spacing w:line="276" w:lineRule="auto"/>
              <w:rPr>
                <w:rFonts w:asciiTheme="majorHAnsi" w:hAnsiTheme="majorHAnsi"/>
                <w:sz w:val="16"/>
                <w:szCs w:val="16"/>
              </w:rPr>
            </w:pPr>
            <w:r w:rsidRPr="00B05B51">
              <w:rPr>
                <w:rFonts w:asciiTheme="majorHAnsi" w:hAnsiTheme="majorHAnsi"/>
                <w:sz w:val="16"/>
                <w:szCs w:val="16"/>
                <w:lang w:eastAsia="cs-CZ"/>
              </w:rPr>
              <w:t xml:space="preserve">Termín predloženia novej stratégie rodovej rovnosti na rokovanie vlády SR:  30. 10. 2014 </w:t>
            </w:r>
          </w:p>
        </w:tc>
        <w:tc>
          <w:tcPr>
            <w:tcW w:w="2346" w:type="dxa"/>
            <w:vMerge/>
            <w:tcBorders>
              <w:right w:val="single" w:sz="12" w:space="0" w:color="auto"/>
            </w:tcBorders>
          </w:tcPr>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DF567A" w:rsidTr="00CC23CF">
        <w:trPr>
          <w:trHeight w:val="1331"/>
        </w:trPr>
        <w:tc>
          <w:tcPr>
            <w:tcW w:w="1949" w:type="dxa"/>
            <w:vMerge/>
            <w:tcBorders>
              <w:left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p>
        </w:tc>
        <w:tc>
          <w:tcPr>
            <w:tcW w:w="2100" w:type="dxa"/>
            <w:gridSpan w:val="2"/>
            <w:vMerge/>
          </w:tcPr>
          <w:p w:rsidR="00CC23CF" w:rsidRPr="00B763E3" w:rsidRDefault="00CC23CF" w:rsidP="003D4757">
            <w:pPr>
              <w:spacing w:before="0" w:line="276" w:lineRule="auto"/>
              <w:rPr>
                <w:rFonts w:asciiTheme="majorHAnsi" w:hAnsiTheme="majorHAnsi"/>
                <w:sz w:val="16"/>
                <w:szCs w:val="16"/>
                <w:lang w:eastAsia="cs-CZ"/>
              </w:rPr>
            </w:pPr>
          </w:p>
        </w:tc>
        <w:tc>
          <w:tcPr>
            <w:tcW w:w="4853" w:type="dxa"/>
            <w:gridSpan w:val="2"/>
            <w:tcBorders>
              <w:top w:val="single" w:sz="4" w:space="0" w:color="auto"/>
            </w:tcBorders>
          </w:tcPr>
          <w:p w:rsidR="00CC23CF" w:rsidRPr="00B05B51" w:rsidRDefault="00CC23CF" w:rsidP="003D4757">
            <w:pPr>
              <w:rPr>
                <w:rFonts w:asciiTheme="majorHAnsi" w:hAnsiTheme="majorHAnsi"/>
                <w:b/>
                <w:sz w:val="16"/>
                <w:szCs w:val="20"/>
              </w:rPr>
            </w:pPr>
            <w:r w:rsidRPr="00B05B51">
              <w:rPr>
                <w:rFonts w:asciiTheme="majorHAnsi" w:hAnsiTheme="majorHAnsi"/>
                <w:b/>
                <w:sz w:val="16"/>
                <w:szCs w:val="16"/>
                <w:lang w:eastAsia="cs-CZ"/>
              </w:rPr>
              <w:t>Celoštátna stratégia ochrany a podpory ľudských práv v Slovenskej republike</w:t>
            </w: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Vláda </w:t>
            </w:r>
            <w:r w:rsidR="00E61814">
              <w:rPr>
                <w:rFonts w:asciiTheme="majorHAnsi" w:hAnsiTheme="majorHAnsi"/>
                <w:sz w:val="16"/>
                <w:szCs w:val="16"/>
                <w:lang w:eastAsia="cs-CZ"/>
              </w:rPr>
              <w:t>SR</w:t>
            </w:r>
            <w:r w:rsidRPr="00B05B51">
              <w:rPr>
                <w:rFonts w:asciiTheme="majorHAnsi" w:hAnsiTheme="majorHAnsi"/>
                <w:sz w:val="16"/>
                <w:szCs w:val="16"/>
                <w:lang w:eastAsia="cs-CZ"/>
              </w:rPr>
              <w:t xml:space="preserve"> v novembri 2011 prijala úlohu vypracovať </w:t>
            </w:r>
            <w:r w:rsidRPr="00B05B51">
              <w:rPr>
                <w:rFonts w:asciiTheme="majorHAnsi" w:hAnsiTheme="majorHAnsi"/>
                <w:b/>
                <w:sz w:val="16"/>
                <w:szCs w:val="16"/>
                <w:lang w:eastAsia="cs-CZ"/>
              </w:rPr>
              <w:t>Celoštátnu stratégiu ochrany a podpory ľudských práv v Slovenskej republike</w:t>
            </w:r>
            <w:r w:rsidRPr="00B05B51">
              <w:rPr>
                <w:rFonts w:asciiTheme="majorHAnsi" w:hAnsiTheme="majorHAnsi"/>
                <w:sz w:val="16"/>
                <w:szCs w:val="16"/>
                <w:lang w:eastAsia="cs-CZ"/>
              </w:rPr>
              <w:t xml:space="preserve">. Koordinovaním činnosti vypracovania stratégie </w:t>
            </w:r>
            <w:r w:rsidR="0076035B" w:rsidRPr="00B05B51">
              <w:rPr>
                <w:rFonts w:asciiTheme="majorHAnsi" w:hAnsiTheme="majorHAnsi"/>
                <w:sz w:val="16"/>
                <w:szCs w:val="16"/>
                <w:lang w:eastAsia="cs-CZ"/>
              </w:rPr>
              <w:br/>
            </w:r>
            <w:r w:rsidRPr="00B05B51">
              <w:rPr>
                <w:rFonts w:asciiTheme="majorHAnsi" w:hAnsiTheme="majorHAnsi"/>
                <w:sz w:val="16"/>
                <w:szCs w:val="16"/>
                <w:lang w:eastAsia="cs-CZ"/>
              </w:rPr>
              <w:t xml:space="preserve">a predložením stratégie na rokovanie vlády SR je poverený podpredseda vlády a minister zahraničných vecí a európskych záležitostí SR, ktorý je súčasne predsedom Rady vlády pre ľudské práva, národnostné menšiny a rodová rovnosť. Cieľom pripravovaného vládneho dokumentu je zdokonaliť systém vnútroštátnej ochrany </w:t>
            </w:r>
            <w:r w:rsidR="00544389" w:rsidRPr="00B05B51">
              <w:rPr>
                <w:rFonts w:asciiTheme="majorHAnsi" w:hAnsiTheme="majorHAnsi"/>
                <w:sz w:val="16"/>
                <w:szCs w:val="16"/>
                <w:lang w:eastAsia="cs-CZ"/>
              </w:rPr>
              <w:br/>
            </w:r>
            <w:r w:rsidRPr="00B05B51">
              <w:rPr>
                <w:rFonts w:asciiTheme="majorHAnsi" w:hAnsiTheme="majorHAnsi"/>
                <w:sz w:val="16"/>
                <w:szCs w:val="16"/>
                <w:lang w:eastAsia="cs-CZ"/>
              </w:rPr>
              <w:t xml:space="preserve">a podpory ľudských práv, vrátane identifikovania potrieb a požiadaviek zraniteľných skupín. Tvorba stratégie je založená na participatívnom mechanizme. Do procesu definovania obsahu a priorít stratégie je okrem štátnej správy zapojené najširšie spektrum mimovládnych </w:t>
            </w:r>
            <w:r w:rsidRPr="00B05B51">
              <w:rPr>
                <w:rFonts w:asciiTheme="majorHAnsi" w:hAnsiTheme="majorHAnsi"/>
                <w:sz w:val="16"/>
                <w:szCs w:val="16"/>
                <w:lang w:eastAsia="cs-CZ"/>
              </w:rPr>
              <w:lastRenderedPageBreak/>
              <w:t xml:space="preserve">organizácií a iných relevantných zástupcov občianskej spoločnosti. </w:t>
            </w: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Stratégia obsahuje o.i. aj </w:t>
            </w:r>
            <w:r w:rsidRPr="00B05B51">
              <w:rPr>
                <w:rFonts w:asciiTheme="majorHAnsi" w:hAnsiTheme="majorHAnsi"/>
                <w:b/>
                <w:sz w:val="16"/>
                <w:szCs w:val="16"/>
                <w:lang w:eastAsia="cs-CZ"/>
              </w:rPr>
              <w:t>kapitolu, venovanú rodovej rovnosti a právam žien</w:t>
            </w:r>
            <w:r w:rsidRPr="00B05B51">
              <w:rPr>
                <w:rFonts w:asciiTheme="majorHAnsi" w:hAnsiTheme="majorHAnsi"/>
                <w:sz w:val="16"/>
                <w:szCs w:val="16"/>
                <w:lang w:eastAsia="cs-CZ"/>
              </w:rPr>
              <w:t>. V danej kapitole sú zadefinované základné potreby pre napĺňanie odporúčaní Komisie pre postavenie žien, monitorujúcej plnenie Dohovoru pre odstránenie všetkých foriem diskriminácie žien (CEDAW), a to v oblastiach inštitucionálne a strategické zabezpečenie, občianske a politické práva, hospodárske a sociálne práva a dôstojnosť a telesná integrita žien.</w:t>
            </w:r>
          </w:p>
        </w:tc>
        <w:tc>
          <w:tcPr>
            <w:tcW w:w="2862" w:type="dxa"/>
            <w:gridSpan w:val="3"/>
          </w:tcPr>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lastRenderedPageBreak/>
              <w:t>Predloženie stratégie ĽP na rokovanie vlády SR: 30. 6. 2014</w:t>
            </w:r>
          </w:p>
          <w:p w:rsidR="00CC23CF" w:rsidRPr="00B763E3" w:rsidDel="00C37295" w:rsidRDefault="00CC23CF" w:rsidP="003D4757">
            <w:pPr>
              <w:tabs>
                <w:tab w:val="left" w:pos="2302"/>
              </w:tabs>
              <w:spacing w:before="0" w:line="276" w:lineRule="auto"/>
              <w:rPr>
                <w:rFonts w:asciiTheme="majorHAnsi" w:hAnsiTheme="majorHAnsi"/>
                <w:sz w:val="16"/>
                <w:szCs w:val="16"/>
              </w:rPr>
            </w:pPr>
          </w:p>
        </w:tc>
        <w:tc>
          <w:tcPr>
            <w:tcW w:w="2346" w:type="dxa"/>
            <w:vMerge/>
            <w:tcBorders>
              <w:right w:val="single" w:sz="12" w:space="0" w:color="auto"/>
            </w:tcBorders>
          </w:tcPr>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DF567A" w:rsidTr="00CC23CF">
        <w:trPr>
          <w:trHeight w:val="1898"/>
        </w:trPr>
        <w:tc>
          <w:tcPr>
            <w:tcW w:w="1949" w:type="dxa"/>
            <w:vMerge/>
            <w:tcBorders>
              <w:left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p>
        </w:tc>
        <w:tc>
          <w:tcPr>
            <w:tcW w:w="2100" w:type="dxa"/>
            <w:gridSpan w:val="2"/>
          </w:tcPr>
          <w:p w:rsidR="00CC23CF" w:rsidRPr="00B763E3" w:rsidRDefault="00CC23CF" w:rsidP="003D475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Opatrenia na zabezpečenie odbornej prípravy pre zamestnancov orgánov zapojených do riadenia a kontroly EŠIF v oblasti práva a politiky Únie týkajúcich sa rodovej rovnosti a jej uplatňovania.</w:t>
            </w:r>
          </w:p>
        </w:tc>
        <w:tc>
          <w:tcPr>
            <w:tcW w:w="4853" w:type="dxa"/>
            <w:gridSpan w:val="2"/>
          </w:tcPr>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b/>
                <w:sz w:val="16"/>
                <w:szCs w:val="16"/>
                <w:lang w:eastAsia="cs-CZ"/>
              </w:rPr>
              <w:t>Vypracovanie stratégie školenia a informovania zamestnancov zapojených do využívania fondov</w:t>
            </w:r>
            <w:r w:rsidRPr="00B05B51">
              <w:rPr>
                <w:rFonts w:asciiTheme="majorHAnsi" w:hAnsiTheme="majorHAnsi"/>
                <w:sz w:val="16"/>
                <w:szCs w:val="16"/>
                <w:lang w:eastAsia="cs-CZ"/>
              </w:rPr>
              <w:t xml:space="preserve"> a následné podanie projektu z OP TP na finančné zabezpečenie školení.</w:t>
            </w: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Školiace a vzdelávacie aktivity (školenia, semináre, tréningy </w:t>
            </w:r>
            <w:r w:rsidR="00544389" w:rsidRPr="00B05B51">
              <w:rPr>
                <w:rFonts w:asciiTheme="majorHAnsi" w:hAnsiTheme="majorHAnsi"/>
                <w:sz w:val="16"/>
                <w:szCs w:val="16"/>
                <w:lang w:eastAsia="cs-CZ"/>
              </w:rPr>
              <w:br/>
            </w:r>
            <w:r w:rsidRPr="00B05B51">
              <w:rPr>
                <w:rFonts w:asciiTheme="majorHAnsi" w:hAnsiTheme="majorHAnsi"/>
                <w:sz w:val="16"/>
                <w:szCs w:val="16"/>
                <w:lang w:eastAsia="cs-CZ"/>
              </w:rPr>
              <w:t>a informovani</w:t>
            </w:r>
            <w:r w:rsidR="0076035B" w:rsidRPr="00B05B51">
              <w:rPr>
                <w:rFonts w:asciiTheme="majorHAnsi" w:hAnsiTheme="majorHAnsi"/>
                <w:sz w:val="16"/>
                <w:szCs w:val="16"/>
                <w:lang w:eastAsia="cs-CZ"/>
              </w:rPr>
              <w:t>e</w:t>
            </w:r>
            <w:r w:rsidRPr="00B05B51">
              <w:rPr>
                <w:rFonts w:asciiTheme="majorHAnsi" w:hAnsiTheme="majorHAnsi"/>
                <w:sz w:val="16"/>
                <w:szCs w:val="16"/>
                <w:lang w:eastAsia="cs-CZ"/>
              </w:rPr>
              <w:t xml:space="preserve"> zamestnancov/kyň zapojených do využívania fondov; konferencie, publikácie a propagačné tlačoviny/materiál, zverejňovanie správ v národných a regionálnych/lokálnych masmédiách a iné, bude vykonávať garant za HP pre nasledovné cieľové skupiny:</w:t>
            </w: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Osoby na RO zodpovedné za prípravu OP, kontaktné osoby pre HP RP zodpovedné za koordináciu HP RP na úrovni jednotlivých OP, členovia pracovnej skupiny HP RP, manažéri monitorovania a hodnotenia, vyšší riadiaci pracovníci, hodnotitelia projektov a taktiež personál orgánov zahrnutých do riadenia a kontroly EŠIF v oblastiach zákonov a politiky EÚ rodovej rovnosti a uplatňovania „gender mainstreamingu“. Školenia sa budú týkať spôsobu hodnotenia, procesu implementácie, monitorovania, kontroly.</w:t>
            </w:r>
          </w:p>
          <w:p w:rsidR="00CC23CF" w:rsidRPr="00B763E3" w:rsidRDefault="00CC23CF" w:rsidP="003D4757">
            <w:pPr>
              <w:spacing w:before="0" w:line="276" w:lineRule="auto"/>
              <w:rPr>
                <w:rFonts w:asciiTheme="majorHAnsi" w:hAnsiTheme="majorHAnsi"/>
                <w:i/>
                <w:sz w:val="16"/>
                <w:szCs w:val="16"/>
                <w:lang w:eastAsia="cs-CZ"/>
              </w:rPr>
            </w:pPr>
            <w:r w:rsidRPr="00B05B51">
              <w:rPr>
                <w:rFonts w:asciiTheme="majorHAnsi" w:hAnsiTheme="majorHAnsi"/>
                <w:sz w:val="16"/>
                <w:szCs w:val="16"/>
                <w:lang w:eastAsia="cs-CZ"/>
              </w:rPr>
              <w:t>Pri vzdelávaní bude ORRRP spolupracovať najmä s lektormi/kami zo SNSĽP, ako aj odbornej občianskej spoločnosti.</w:t>
            </w:r>
          </w:p>
        </w:tc>
        <w:tc>
          <w:tcPr>
            <w:tcW w:w="2862" w:type="dxa"/>
            <w:gridSpan w:val="3"/>
          </w:tcPr>
          <w:p w:rsidR="00CC23CF" w:rsidRPr="00B05B51" w:rsidRDefault="00CC23CF" w:rsidP="003D4757">
            <w:pPr>
              <w:spacing w:line="276" w:lineRule="auto"/>
              <w:rPr>
                <w:rFonts w:asciiTheme="majorHAnsi" w:hAnsiTheme="majorHAnsi"/>
                <w:sz w:val="16"/>
                <w:szCs w:val="16"/>
              </w:rPr>
            </w:pPr>
            <w:r w:rsidRPr="00B05B51">
              <w:rPr>
                <w:rFonts w:asciiTheme="majorHAnsi" w:hAnsiTheme="majorHAnsi"/>
                <w:sz w:val="16"/>
                <w:szCs w:val="16"/>
              </w:rPr>
              <w:t>Vypracovanie a podanie projektu z OP TP: 30. 6. 2014</w:t>
            </w:r>
          </w:p>
          <w:p w:rsidR="00CC23CF" w:rsidRPr="00B05B51" w:rsidRDefault="00CC23CF" w:rsidP="003D4757">
            <w:pPr>
              <w:spacing w:line="276" w:lineRule="auto"/>
              <w:rPr>
                <w:rFonts w:asciiTheme="majorHAnsi" w:hAnsiTheme="majorHAnsi"/>
                <w:sz w:val="16"/>
                <w:szCs w:val="16"/>
              </w:rPr>
            </w:pPr>
          </w:p>
          <w:p w:rsidR="00CC23CF" w:rsidRPr="00B05B51" w:rsidRDefault="00CC23CF" w:rsidP="003D4757">
            <w:pPr>
              <w:spacing w:line="276" w:lineRule="auto"/>
              <w:rPr>
                <w:rFonts w:asciiTheme="majorHAnsi" w:hAnsiTheme="majorHAnsi"/>
                <w:sz w:val="16"/>
                <w:szCs w:val="16"/>
              </w:rPr>
            </w:pPr>
          </w:p>
          <w:p w:rsidR="00CC23CF" w:rsidRPr="00B05B51" w:rsidRDefault="00CC23CF" w:rsidP="003D4757">
            <w:pPr>
              <w:spacing w:line="276" w:lineRule="auto"/>
              <w:rPr>
                <w:rFonts w:asciiTheme="majorHAnsi" w:hAnsiTheme="majorHAnsi"/>
                <w:sz w:val="16"/>
                <w:szCs w:val="16"/>
              </w:rPr>
            </w:pPr>
            <w:r w:rsidRPr="00B05B51">
              <w:rPr>
                <w:rFonts w:asciiTheme="majorHAnsi" w:hAnsiTheme="majorHAnsi"/>
                <w:sz w:val="16"/>
                <w:szCs w:val="16"/>
              </w:rPr>
              <w:t>Uskutočnenie vzdelávacích aktivít pre prvotné vzdelávanie RO: 30. 6. 2015.</w:t>
            </w:r>
          </w:p>
          <w:p w:rsidR="00CC23CF" w:rsidRPr="00B05B51" w:rsidRDefault="00CC23CF" w:rsidP="003D4757">
            <w:pPr>
              <w:spacing w:line="276" w:lineRule="auto"/>
              <w:rPr>
                <w:rFonts w:asciiTheme="majorHAnsi" w:hAnsiTheme="majorHAnsi"/>
                <w:sz w:val="16"/>
                <w:szCs w:val="16"/>
              </w:rPr>
            </w:pPr>
          </w:p>
          <w:p w:rsidR="00CC23CF" w:rsidRPr="00B763E3" w:rsidRDefault="00CC23CF" w:rsidP="003D4757">
            <w:pPr>
              <w:spacing w:before="0" w:line="276" w:lineRule="auto"/>
              <w:rPr>
                <w:rFonts w:asciiTheme="majorHAnsi" w:hAnsiTheme="majorHAnsi"/>
                <w:sz w:val="16"/>
                <w:szCs w:val="16"/>
                <w:lang w:eastAsia="cs-CZ"/>
              </w:rPr>
            </w:pPr>
            <w:r w:rsidRPr="00B05B51">
              <w:rPr>
                <w:rFonts w:asciiTheme="majorHAnsi" w:hAnsiTheme="majorHAnsi"/>
                <w:sz w:val="16"/>
                <w:szCs w:val="16"/>
              </w:rPr>
              <w:t>Vzdelávacie aktivity budú prebiehať priebežne počas celého PO, pričom budú zamerané špecificky na potreby daného RO</w:t>
            </w:r>
          </w:p>
        </w:tc>
        <w:tc>
          <w:tcPr>
            <w:tcW w:w="2346" w:type="dxa"/>
            <w:vMerge/>
            <w:tcBorders>
              <w:right w:val="single" w:sz="12" w:space="0" w:color="auto"/>
            </w:tcBorders>
          </w:tcPr>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DF567A" w:rsidTr="00CC23CF">
        <w:trPr>
          <w:trHeight w:val="3015"/>
        </w:trPr>
        <w:tc>
          <w:tcPr>
            <w:tcW w:w="1949" w:type="dxa"/>
            <w:vMerge w:val="restart"/>
            <w:tcBorders>
              <w:top w:val="single" w:sz="12" w:space="0" w:color="auto"/>
              <w:left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lastRenderedPageBreak/>
              <w:t>3. Zdravotné postihnutie</w:t>
            </w:r>
          </w:p>
          <w:p w:rsidR="00CC23CF" w:rsidRPr="00B763E3" w:rsidRDefault="00CC23CF" w:rsidP="003D475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Existencia administratívnej kapacity na vykonávanie a uplatňovanie Dohovoru OSN o právach osôb so zdravotným postihnutím v oblasti EŠIF v súlade s rozhodnutím Rady 2010/48/ES</w:t>
            </w:r>
          </w:p>
        </w:tc>
        <w:tc>
          <w:tcPr>
            <w:tcW w:w="2100" w:type="dxa"/>
            <w:gridSpan w:val="2"/>
            <w:tcBorders>
              <w:top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Opatrenia v súlade s inštitucionálnym a právnym rámcom členských štátov na vykonávanie konzultácií a zapojenie orgánov, ktoré sú zodpovedné za ochranu práv osôb so zdravotným postihnutím, alebo organizácií zastupujúcich osoby so zdravotným postihnutím, a ďalšie príslušné zainteresované osoby počas prípravy a vykonávania programov.</w:t>
            </w:r>
          </w:p>
        </w:tc>
        <w:tc>
          <w:tcPr>
            <w:tcW w:w="4853" w:type="dxa"/>
            <w:gridSpan w:val="2"/>
            <w:tcBorders>
              <w:top w:val="single" w:sz="12" w:space="0" w:color="auto"/>
            </w:tcBorders>
          </w:tcPr>
          <w:p w:rsidR="00CC23CF" w:rsidRPr="00B05B51" w:rsidRDefault="00CC23CF" w:rsidP="003D4757">
            <w:pPr>
              <w:spacing w:line="276" w:lineRule="auto"/>
              <w:rPr>
                <w:rFonts w:asciiTheme="majorHAnsi" w:hAnsiTheme="majorHAnsi"/>
                <w:b/>
                <w:sz w:val="16"/>
                <w:szCs w:val="16"/>
                <w:lang w:eastAsia="cs-CZ"/>
              </w:rPr>
            </w:pPr>
            <w:r w:rsidRPr="00B05B51">
              <w:rPr>
                <w:rFonts w:asciiTheme="majorHAnsi" w:hAnsiTheme="majorHAnsi"/>
                <w:b/>
                <w:sz w:val="16"/>
                <w:szCs w:val="16"/>
                <w:lang w:eastAsia="cs-CZ"/>
              </w:rPr>
              <w:t>Posilnenie administratívnych kapacít u orgánov zodpovedných za implementáciu Dohovoru OSN</w:t>
            </w:r>
          </w:p>
          <w:p w:rsidR="00CC23CF" w:rsidRPr="00B05B51" w:rsidRDefault="00CC23CF" w:rsidP="003D4757">
            <w:pPr>
              <w:spacing w:line="276" w:lineRule="auto"/>
              <w:rPr>
                <w:rFonts w:asciiTheme="majorHAnsi" w:hAnsiTheme="majorHAnsi"/>
                <w:sz w:val="16"/>
                <w:szCs w:val="16"/>
                <w:lang w:eastAsia="cs-CZ"/>
              </w:rPr>
            </w:pP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Vychádzajúc z návrhu Systému riadenia a kontroly pre PO 2014 – 2020 konštatujeme, že prierezovosť úloh koo</w:t>
            </w:r>
            <w:r w:rsidR="00A729C2">
              <w:rPr>
                <w:rFonts w:asciiTheme="majorHAnsi" w:hAnsiTheme="majorHAnsi"/>
                <w:sz w:val="16"/>
                <w:szCs w:val="16"/>
                <w:lang w:eastAsia="cs-CZ"/>
              </w:rPr>
              <w:t>r</w:t>
            </w:r>
            <w:r w:rsidRPr="00B05B51">
              <w:rPr>
                <w:rFonts w:asciiTheme="majorHAnsi" w:hAnsiTheme="majorHAnsi"/>
                <w:sz w:val="16"/>
                <w:szCs w:val="16"/>
                <w:lang w:eastAsia="cs-CZ"/>
              </w:rPr>
              <w:t xml:space="preserve">dinátora HP nediskriminácia, prístupnosť a rovnosť mužov a žien a rozšírenie pôsobnosti v novom PO si vyžaduje posilnenie </w:t>
            </w:r>
            <w:r w:rsidR="00A238E8" w:rsidRPr="00B05B51">
              <w:rPr>
                <w:rFonts w:asciiTheme="majorHAnsi" w:hAnsiTheme="majorHAnsi"/>
                <w:sz w:val="16"/>
                <w:szCs w:val="16"/>
                <w:lang w:eastAsia="cs-CZ"/>
              </w:rPr>
              <w:t>AK</w:t>
            </w:r>
            <w:r w:rsidRPr="00B05B51">
              <w:rPr>
                <w:rFonts w:asciiTheme="majorHAnsi" w:hAnsiTheme="majorHAnsi"/>
                <w:sz w:val="16"/>
                <w:szCs w:val="16"/>
                <w:lang w:eastAsia="cs-CZ"/>
              </w:rPr>
              <w:t xml:space="preserve"> u súčasného koordinátora HP RP, čo bolo zohľadnené v predchádzajúcich EAK</w:t>
            </w:r>
          </w:p>
          <w:p w:rsidR="00CC23CF" w:rsidRPr="00B05B51" w:rsidRDefault="00CC23CF" w:rsidP="003D4757">
            <w:pPr>
              <w:spacing w:line="276" w:lineRule="auto"/>
              <w:rPr>
                <w:rFonts w:asciiTheme="majorHAnsi" w:hAnsiTheme="majorHAnsi"/>
                <w:color w:val="000000" w:themeColor="text1"/>
                <w:sz w:val="16"/>
                <w:szCs w:val="16"/>
                <w:lang w:eastAsia="cs-CZ"/>
              </w:rPr>
            </w:pPr>
            <w:r w:rsidRPr="00B05B51">
              <w:rPr>
                <w:rFonts w:asciiTheme="majorHAnsi" w:hAnsiTheme="majorHAnsi"/>
                <w:color w:val="000000" w:themeColor="text1"/>
                <w:sz w:val="16"/>
                <w:szCs w:val="16"/>
                <w:lang w:eastAsia="cs-CZ"/>
              </w:rPr>
              <w:t xml:space="preserve">Potreba posilniť administratívne kapacity odboru integrácie osôb so zdravotným postihnutím vyplýva priamo z HP, v ktorých je v rámci nediskriminácie venovaná náležitá pozornosť aj prístupnosti, ktorá musí byť zohľadnená aj na projektovej úrovni. </w:t>
            </w:r>
          </w:p>
          <w:p w:rsidR="00CC23CF" w:rsidRPr="00B05B51" w:rsidRDefault="00CC23CF" w:rsidP="003D4757">
            <w:pPr>
              <w:spacing w:line="276" w:lineRule="auto"/>
              <w:rPr>
                <w:rFonts w:asciiTheme="majorHAnsi" w:hAnsiTheme="majorHAnsi"/>
                <w:i/>
                <w:sz w:val="16"/>
                <w:szCs w:val="16"/>
              </w:rPr>
            </w:pPr>
            <w:r w:rsidRPr="00B05B51">
              <w:rPr>
                <w:rFonts w:asciiTheme="majorHAnsi" w:hAnsiTheme="majorHAnsi"/>
                <w:i/>
                <w:sz w:val="16"/>
                <w:szCs w:val="16"/>
              </w:rPr>
              <w:t>Ďalšie aktivity pre napĺňanie EAK:</w:t>
            </w:r>
          </w:p>
          <w:p w:rsidR="00394471" w:rsidRDefault="00394471" w:rsidP="003D4757">
            <w:pPr>
              <w:spacing w:before="0" w:line="276" w:lineRule="auto"/>
              <w:rPr>
                <w:rFonts w:asciiTheme="majorHAnsi" w:hAnsiTheme="majorHAnsi"/>
                <w:sz w:val="16"/>
                <w:szCs w:val="16"/>
                <w:lang w:eastAsia="cs-CZ"/>
              </w:rPr>
            </w:pPr>
          </w:p>
          <w:p w:rsidR="00CC23CF" w:rsidRPr="00B763E3" w:rsidRDefault="00CC23CF" w:rsidP="003D4757">
            <w:pPr>
              <w:spacing w:before="0" w:line="276" w:lineRule="auto"/>
              <w:rPr>
                <w:rFonts w:asciiTheme="majorHAnsi" w:hAnsiTheme="majorHAnsi"/>
                <w:i/>
                <w:sz w:val="16"/>
                <w:szCs w:val="16"/>
                <w:lang w:eastAsia="cs-CZ"/>
              </w:rPr>
            </w:pPr>
            <w:r w:rsidRPr="00B05B51">
              <w:rPr>
                <w:rFonts w:asciiTheme="majorHAnsi" w:hAnsiTheme="majorHAnsi"/>
                <w:sz w:val="16"/>
                <w:szCs w:val="16"/>
                <w:lang w:eastAsia="cs-CZ"/>
              </w:rPr>
              <w:t xml:space="preserve">SR v súčasnosti pripravuje </w:t>
            </w:r>
            <w:r w:rsidRPr="00B05B51">
              <w:rPr>
                <w:rFonts w:asciiTheme="majorHAnsi" w:hAnsiTheme="majorHAnsi"/>
                <w:b/>
                <w:sz w:val="16"/>
                <w:szCs w:val="16"/>
                <w:lang w:eastAsia="cs-CZ"/>
              </w:rPr>
              <w:t>Celoštátnu stratégiu ochrany a podpory ľudských práv v SR</w:t>
            </w:r>
            <w:r w:rsidRPr="00B05B51">
              <w:rPr>
                <w:rFonts w:asciiTheme="majorHAnsi" w:hAnsiTheme="majorHAnsi"/>
                <w:sz w:val="16"/>
                <w:szCs w:val="16"/>
                <w:lang w:eastAsia="cs-CZ"/>
              </w:rPr>
              <w:t>, ktorá má definovať aj úlohy v oblasti zabezpečenia práv osôb so ZP.</w:t>
            </w:r>
          </w:p>
        </w:tc>
        <w:tc>
          <w:tcPr>
            <w:tcW w:w="2862" w:type="dxa"/>
            <w:gridSpan w:val="3"/>
            <w:tcBorders>
              <w:top w:val="single" w:sz="12" w:space="0" w:color="auto"/>
            </w:tcBorders>
          </w:tcPr>
          <w:p w:rsidR="00CC23CF" w:rsidRPr="00B05B51" w:rsidRDefault="00CC23CF" w:rsidP="003D4757">
            <w:pPr>
              <w:spacing w:line="276" w:lineRule="auto"/>
              <w:rPr>
                <w:rFonts w:asciiTheme="majorHAnsi" w:hAnsiTheme="majorHAnsi"/>
                <w:sz w:val="16"/>
                <w:szCs w:val="16"/>
                <w:lang w:eastAsia="cs-CZ"/>
              </w:rPr>
            </w:pPr>
          </w:p>
          <w:p w:rsidR="00394471" w:rsidRDefault="00394471" w:rsidP="003D4757">
            <w:pPr>
              <w:spacing w:line="276" w:lineRule="auto"/>
              <w:rPr>
                <w:rFonts w:asciiTheme="majorHAnsi" w:hAnsiTheme="majorHAnsi"/>
                <w:color w:val="000000" w:themeColor="text1"/>
                <w:sz w:val="16"/>
                <w:szCs w:val="16"/>
                <w:lang w:eastAsia="cs-CZ"/>
              </w:rPr>
            </w:pPr>
          </w:p>
          <w:p w:rsidR="00394471" w:rsidRDefault="00394471" w:rsidP="003D4757">
            <w:pPr>
              <w:spacing w:line="276" w:lineRule="auto"/>
              <w:rPr>
                <w:rFonts w:asciiTheme="majorHAnsi" w:hAnsiTheme="majorHAnsi"/>
                <w:color w:val="000000" w:themeColor="text1"/>
                <w:sz w:val="16"/>
                <w:szCs w:val="16"/>
                <w:lang w:eastAsia="cs-CZ"/>
              </w:rPr>
            </w:pPr>
          </w:p>
          <w:p w:rsidR="00CC23CF" w:rsidRPr="00B05B51" w:rsidRDefault="00CC23CF" w:rsidP="003D4757">
            <w:pPr>
              <w:spacing w:line="276" w:lineRule="auto"/>
              <w:rPr>
                <w:rFonts w:asciiTheme="majorHAnsi" w:hAnsiTheme="majorHAnsi"/>
                <w:color w:val="000000" w:themeColor="text1"/>
                <w:sz w:val="16"/>
                <w:szCs w:val="16"/>
                <w:lang w:eastAsia="cs-CZ"/>
              </w:rPr>
            </w:pPr>
            <w:r w:rsidRPr="00B05B51">
              <w:rPr>
                <w:rFonts w:asciiTheme="majorHAnsi" w:hAnsiTheme="majorHAnsi"/>
                <w:color w:val="000000" w:themeColor="text1"/>
                <w:sz w:val="16"/>
                <w:szCs w:val="16"/>
                <w:lang w:eastAsia="cs-CZ"/>
              </w:rPr>
              <w:t>31.</w:t>
            </w:r>
            <w:r w:rsidR="00A238E8" w:rsidRPr="00B05B51">
              <w:rPr>
                <w:rFonts w:asciiTheme="majorHAnsi" w:hAnsiTheme="majorHAnsi"/>
                <w:color w:val="000000" w:themeColor="text1"/>
                <w:sz w:val="16"/>
                <w:szCs w:val="16"/>
                <w:lang w:eastAsia="cs-CZ"/>
              </w:rPr>
              <w:t xml:space="preserve"> </w:t>
            </w:r>
            <w:r w:rsidRPr="00B05B51">
              <w:rPr>
                <w:rFonts w:asciiTheme="majorHAnsi" w:hAnsiTheme="majorHAnsi"/>
                <w:color w:val="000000" w:themeColor="text1"/>
                <w:sz w:val="16"/>
                <w:szCs w:val="16"/>
                <w:lang w:eastAsia="cs-CZ"/>
              </w:rPr>
              <w:t xml:space="preserve">8. 2014 - posilnenie </w:t>
            </w:r>
            <w:r w:rsidR="00A238E8" w:rsidRPr="00B05B51">
              <w:rPr>
                <w:rFonts w:asciiTheme="majorHAnsi" w:hAnsiTheme="majorHAnsi"/>
                <w:color w:val="000000" w:themeColor="text1"/>
                <w:sz w:val="16"/>
                <w:szCs w:val="16"/>
                <w:lang w:eastAsia="cs-CZ"/>
              </w:rPr>
              <w:t>AK</w:t>
            </w:r>
            <w:r w:rsidRPr="00B05B51">
              <w:rPr>
                <w:rFonts w:asciiTheme="majorHAnsi" w:hAnsiTheme="majorHAnsi"/>
                <w:color w:val="000000" w:themeColor="text1"/>
                <w:sz w:val="16"/>
                <w:szCs w:val="16"/>
                <w:lang w:eastAsia="cs-CZ"/>
              </w:rPr>
              <w:t xml:space="preserve"> odboru integrácie osôb so zdravotným postihnutím o 3 pracovné miesta TPP.</w:t>
            </w:r>
          </w:p>
          <w:p w:rsidR="00CC23CF" w:rsidRPr="00B05B51" w:rsidRDefault="00CC23CF" w:rsidP="003D4757">
            <w:pPr>
              <w:spacing w:line="276" w:lineRule="auto"/>
              <w:rPr>
                <w:rFonts w:asciiTheme="majorHAnsi" w:hAnsiTheme="majorHAnsi"/>
                <w:color w:val="000000" w:themeColor="text1"/>
                <w:sz w:val="16"/>
                <w:szCs w:val="16"/>
                <w:lang w:eastAsia="cs-CZ"/>
              </w:rPr>
            </w:pPr>
            <w:r w:rsidRPr="00B05B51">
              <w:rPr>
                <w:rFonts w:asciiTheme="majorHAnsi" w:hAnsiTheme="majorHAnsi"/>
                <w:color w:val="000000" w:themeColor="text1"/>
                <w:sz w:val="16"/>
                <w:szCs w:val="16"/>
                <w:lang w:eastAsia="cs-CZ"/>
              </w:rPr>
              <w:t xml:space="preserve">Uvedení zamestnanci budú spolupracovať s oddelením pre implementáciu horizontálnych princípov nediskriminácie a rovnosti mužov a žien po obsahovej stránke napĺňania Dohovoru OSN o právach osôb so zdravotným postihnutím  </w:t>
            </w:r>
          </w:p>
          <w:p w:rsidR="00CC23CF" w:rsidRPr="00B05B51" w:rsidRDefault="00CC23CF" w:rsidP="003D4757">
            <w:pPr>
              <w:spacing w:line="276" w:lineRule="auto"/>
              <w:rPr>
                <w:rFonts w:asciiTheme="majorHAnsi" w:hAnsiTheme="majorHAnsi"/>
                <w:color w:val="FF0000"/>
                <w:sz w:val="16"/>
                <w:szCs w:val="16"/>
                <w:lang w:eastAsia="cs-CZ"/>
              </w:rPr>
            </w:pPr>
          </w:p>
          <w:p w:rsidR="00CC23CF" w:rsidRPr="00B763E3" w:rsidRDefault="00CC23CF" w:rsidP="003D4757">
            <w:pPr>
              <w:spacing w:before="0" w:line="276" w:lineRule="auto"/>
              <w:rPr>
                <w:rFonts w:asciiTheme="majorHAnsi" w:hAnsiTheme="majorHAnsi"/>
                <w:sz w:val="16"/>
                <w:szCs w:val="16"/>
                <w:lang w:eastAsia="cs-CZ"/>
              </w:rPr>
            </w:pPr>
            <w:r w:rsidRPr="00B05B51">
              <w:rPr>
                <w:rFonts w:asciiTheme="majorHAnsi" w:hAnsiTheme="majorHAnsi"/>
                <w:sz w:val="16"/>
                <w:szCs w:val="16"/>
                <w:lang w:eastAsia="cs-CZ"/>
              </w:rPr>
              <w:t>Predloženie stratégie ĽP na rokovanie vlády SR: 30. 6. 2014</w:t>
            </w:r>
          </w:p>
        </w:tc>
        <w:tc>
          <w:tcPr>
            <w:tcW w:w="2346" w:type="dxa"/>
            <w:vMerge w:val="restart"/>
            <w:tcBorders>
              <w:top w:val="single" w:sz="12" w:space="0" w:color="auto"/>
              <w:right w:val="single" w:sz="12" w:space="0" w:color="auto"/>
            </w:tcBorders>
          </w:tcPr>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MPSVR SR</w:t>
            </w: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DF567A" w:rsidTr="00CC23CF">
        <w:trPr>
          <w:trHeight w:val="3195"/>
        </w:trPr>
        <w:tc>
          <w:tcPr>
            <w:tcW w:w="1949" w:type="dxa"/>
            <w:vMerge/>
            <w:tcBorders>
              <w:left w:val="single" w:sz="12" w:space="0" w:color="auto"/>
            </w:tcBorders>
          </w:tcPr>
          <w:p w:rsidR="00CC23CF" w:rsidRPr="00B763E3" w:rsidRDefault="00CC23CF" w:rsidP="003D4757">
            <w:pPr>
              <w:spacing w:before="0" w:line="276" w:lineRule="auto"/>
              <w:rPr>
                <w:rFonts w:asciiTheme="majorHAnsi" w:hAnsiTheme="majorHAnsi"/>
                <w:sz w:val="16"/>
                <w:szCs w:val="16"/>
                <w:lang w:eastAsia="cs-CZ"/>
              </w:rPr>
            </w:pPr>
          </w:p>
        </w:tc>
        <w:tc>
          <w:tcPr>
            <w:tcW w:w="2100" w:type="dxa"/>
            <w:gridSpan w:val="2"/>
          </w:tcPr>
          <w:p w:rsidR="00CC23CF" w:rsidRPr="00B763E3" w:rsidRDefault="00CC23CF" w:rsidP="003D4757">
            <w:pPr>
              <w:spacing w:before="0" w:line="276" w:lineRule="auto"/>
              <w:rPr>
                <w:rFonts w:asciiTheme="majorHAnsi" w:hAnsiTheme="majorHAnsi"/>
                <w:bCs/>
                <w:spacing w:val="-3"/>
                <w:sz w:val="16"/>
                <w:szCs w:val="16"/>
                <w:lang w:eastAsia="fr-FR"/>
              </w:rPr>
            </w:pPr>
            <w:r w:rsidRPr="00B763E3">
              <w:rPr>
                <w:rFonts w:asciiTheme="majorHAnsi" w:hAnsiTheme="majorHAnsi"/>
                <w:sz w:val="16"/>
                <w:szCs w:val="16"/>
              </w:rPr>
              <w:t>O</w:t>
            </w:r>
            <w:r w:rsidRPr="00B763E3">
              <w:rPr>
                <w:rFonts w:asciiTheme="majorHAnsi" w:hAnsiTheme="majorHAnsi"/>
                <w:bCs/>
                <w:spacing w:val="-3"/>
                <w:sz w:val="16"/>
                <w:szCs w:val="16"/>
                <w:lang w:eastAsia="fr-FR"/>
              </w:rPr>
              <w:t xml:space="preserve">patrenia na zabezpečenie odbornej prípravy pre zamestnancov orgánov zapojených do riadenia a kontroly EŠIF v oblasti platného práva a politiky Únie a členských štátov týkajúcich sa zdravotného postihnutia vrátane dostupnosti a praktického uplatňovania Dohovoru OSN o právach osôb so zdravotným postihnutím transponovaného v právnych predpisoch Únie, a členských </w:t>
            </w:r>
            <w:r w:rsidRPr="00B763E3">
              <w:rPr>
                <w:rFonts w:asciiTheme="majorHAnsi" w:hAnsiTheme="majorHAnsi"/>
                <w:bCs/>
                <w:spacing w:val="-3"/>
                <w:sz w:val="16"/>
                <w:szCs w:val="16"/>
                <w:lang w:eastAsia="fr-FR"/>
              </w:rPr>
              <w:lastRenderedPageBreak/>
              <w:t>štátov.</w:t>
            </w:r>
          </w:p>
        </w:tc>
        <w:tc>
          <w:tcPr>
            <w:tcW w:w="4853" w:type="dxa"/>
            <w:gridSpan w:val="2"/>
          </w:tcPr>
          <w:p w:rsidR="00CC23CF" w:rsidRPr="00B05B51" w:rsidRDefault="00CC23CF" w:rsidP="003D4757">
            <w:pPr>
              <w:spacing w:line="276" w:lineRule="auto"/>
              <w:rPr>
                <w:rFonts w:asciiTheme="majorHAnsi" w:hAnsiTheme="majorHAnsi" w:cs="Calibri"/>
                <w:sz w:val="16"/>
                <w:szCs w:val="16"/>
              </w:rPr>
            </w:pPr>
            <w:r w:rsidRPr="00B05B51">
              <w:rPr>
                <w:rFonts w:asciiTheme="majorHAnsi" w:hAnsiTheme="majorHAnsi" w:cs="Calibri"/>
                <w:sz w:val="16"/>
                <w:szCs w:val="16"/>
              </w:rPr>
              <w:lastRenderedPageBreak/>
              <w:t xml:space="preserve">Vypracovanie stratégie školenia a informovania zamestnancov zapojených do využívania fondov a </w:t>
            </w:r>
            <w:r w:rsidRPr="00B05B51">
              <w:rPr>
                <w:rFonts w:asciiTheme="majorHAnsi" w:hAnsiTheme="majorHAnsi"/>
                <w:sz w:val="16"/>
                <w:szCs w:val="16"/>
                <w:lang w:eastAsia="cs-CZ"/>
              </w:rPr>
              <w:t>následné</w:t>
            </w:r>
            <w:r w:rsidRPr="00B05B51">
              <w:rPr>
                <w:rFonts w:asciiTheme="majorHAnsi" w:hAnsiTheme="majorHAnsi" w:cs="Calibri"/>
                <w:sz w:val="16"/>
                <w:szCs w:val="16"/>
              </w:rPr>
              <w:t xml:space="preserve"> podanie projektu z OP TP na finančné zabezpečenie školení. Školenia sa budú týkať spôsobu hodnotenia, procesu implementácie, monitorovania, kontroly.</w:t>
            </w: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Školiace a vzdelávacie aktivity (školenia, semináre, tréningy a informovania zamestnancov/kyň zapojených do využívania fondov; konferencie, publikácie a propagačné tlačoviny/materiál, zverejňovanie správ v národných a regionálnych/lokálnych masmédiách a iné, bude vykonávať garant za HP pre nasledovné cieľové skupiny:</w:t>
            </w:r>
          </w:p>
          <w:p w:rsidR="00CC23CF" w:rsidRPr="00B05B51" w:rsidRDefault="00CC23CF" w:rsidP="003D4757">
            <w:pPr>
              <w:spacing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Osoby na RO zodpovedné za prípravu OP, kontaktné osoby pre HP RP zodpovedné za koordináciu HP RP na úrovni jednotlivých OP, členovia pracovnej skupiny HP RP, manažéri monitorovania a hodnotenia, vyšší riadiaci pracovníci, hodnotitelia projektov a taktiež personál orgánov </w:t>
            </w:r>
            <w:r w:rsidRPr="00B05B51">
              <w:rPr>
                <w:rFonts w:asciiTheme="majorHAnsi" w:hAnsiTheme="majorHAnsi"/>
                <w:sz w:val="16"/>
                <w:szCs w:val="16"/>
                <w:lang w:eastAsia="cs-CZ"/>
              </w:rPr>
              <w:lastRenderedPageBreak/>
              <w:t xml:space="preserve">zahrnutých do riadenia a kontroly EŠIF v oblastiach zákonov a politiky EÚ v oblasti ZP a </w:t>
            </w:r>
            <w:r w:rsidRPr="00B05B51">
              <w:rPr>
                <w:rFonts w:asciiTheme="majorHAnsi" w:hAnsiTheme="majorHAnsi"/>
                <w:bCs/>
                <w:spacing w:val="-3"/>
                <w:sz w:val="16"/>
                <w:szCs w:val="16"/>
                <w:lang w:eastAsia="fr-FR"/>
              </w:rPr>
              <w:t>uplatňovania Dohovoru OSN o právach osôb so zdravotným postihnutím</w:t>
            </w:r>
            <w:r w:rsidRPr="00B05B51">
              <w:rPr>
                <w:rFonts w:asciiTheme="majorHAnsi" w:hAnsiTheme="majorHAnsi"/>
                <w:sz w:val="16"/>
                <w:szCs w:val="16"/>
                <w:lang w:eastAsia="cs-CZ"/>
              </w:rPr>
              <w:t>. Školenia sa budú  týkať spôsobu hodnotenia, procesu implementácie, monitorovania, kontroly.</w:t>
            </w:r>
          </w:p>
          <w:p w:rsidR="00CC23CF" w:rsidRPr="00B763E3" w:rsidRDefault="00CC23CF" w:rsidP="00620D27">
            <w:pPr>
              <w:spacing w:line="276" w:lineRule="auto"/>
              <w:rPr>
                <w:rFonts w:asciiTheme="majorHAnsi" w:hAnsiTheme="majorHAnsi"/>
                <w:sz w:val="16"/>
                <w:szCs w:val="16"/>
              </w:rPr>
            </w:pPr>
            <w:r w:rsidRPr="00B05B51">
              <w:rPr>
                <w:rFonts w:asciiTheme="majorHAnsi" w:hAnsiTheme="majorHAnsi"/>
                <w:sz w:val="16"/>
                <w:szCs w:val="16"/>
                <w:lang w:eastAsia="cs-CZ"/>
              </w:rPr>
              <w:t>Školenia budú uskutočňované koordinátorom HP RP v úzkej súčinnosti so zamestnancami, ktorí plnia úlohy Hlavného kontaktného miesta pre vykonávanie dohovoru OSN o právach osôb so zdravotným postihnutím, ktorým je MPSVR SR ako aj odbornou občianskou verejnosťou.</w:t>
            </w:r>
            <w:r w:rsidRPr="00B05B51">
              <w:rPr>
                <w:rFonts w:asciiTheme="majorHAnsi" w:hAnsiTheme="majorHAnsi" w:cs="Calibri"/>
                <w:sz w:val="16"/>
                <w:szCs w:val="16"/>
              </w:rPr>
              <w:t xml:space="preserve"> </w:t>
            </w:r>
          </w:p>
        </w:tc>
        <w:tc>
          <w:tcPr>
            <w:tcW w:w="2862" w:type="dxa"/>
            <w:gridSpan w:val="3"/>
          </w:tcPr>
          <w:p w:rsidR="00CC23CF" w:rsidRPr="00B05B51" w:rsidRDefault="00CC23CF" w:rsidP="003D4757">
            <w:pPr>
              <w:spacing w:line="276" w:lineRule="auto"/>
              <w:rPr>
                <w:rFonts w:asciiTheme="majorHAnsi" w:hAnsiTheme="majorHAnsi"/>
                <w:color w:val="000000" w:themeColor="text1"/>
                <w:sz w:val="16"/>
                <w:szCs w:val="16"/>
              </w:rPr>
            </w:pPr>
            <w:r w:rsidRPr="00B05B51">
              <w:rPr>
                <w:rFonts w:asciiTheme="majorHAnsi" w:hAnsiTheme="majorHAnsi"/>
                <w:color w:val="000000" w:themeColor="text1"/>
                <w:sz w:val="16"/>
                <w:szCs w:val="16"/>
              </w:rPr>
              <w:lastRenderedPageBreak/>
              <w:t>Vypracovanie stratégie vzdelávania a informovania zamestnancov: 30.</w:t>
            </w:r>
            <w:r w:rsidR="00E56A26">
              <w:rPr>
                <w:rFonts w:asciiTheme="majorHAnsi" w:hAnsiTheme="majorHAnsi"/>
                <w:color w:val="000000" w:themeColor="text1"/>
                <w:sz w:val="16"/>
                <w:szCs w:val="16"/>
              </w:rPr>
              <w:t xml:space="preserve"> </w:t>
            </w:r>
            <w:r w:rsidRPr="00B05B51">
              <w:rPr>
                <w:rFonts w:asciiTheme="majorHAnsi" w:hAnsiTheme="majorHAnsi"/>
                <w:color w:val="000000" w:themeColor="text1"/>
                <w:sz w:val="16"/>
                <w:szCs w:val="16"/>
              </w:rPr>
              <w:t>6. 2014</w:t>
            </w:r>
          </w:p>
          <w:p w:rsidR="00394471" w:rsidRDefault="00394471" w:rsidP="003D4757">
            <w:pPr>
              <w:spacing w:line="276" w:lineRule="auto"/>
              <w:rPr>
                <w:rFonts w:asciiTheme="majorHAnsi" w:hAnsiTheme="majorHAnsi"/>
                <w:sz w:val="16"/>
                <w:szCs w:val="16"/>
              </w:rPr>
            </w:pPr>
          </w:p>
          <w:p w:rsidR="00CC23CF" w:rsidRPr="00B05B51" w:rsidRDefault="00CC23CF" w:rsidP="003D4757">
            <w:pPr>
              <w:spacing w:line="276" w:lineRule="auto"/>
              <w:rPr>
                <w:rFonts w:asciiTheme="majorHAnsi" w:hAnsiTheme="majorHAnsi"/>
                <w:sz w:val="16"/>
                <w:szCs w:val="16"/>
              </w:rPr>
            </w:pPr>
            <w:r w:rsidRPr="00B05B51">
              <w:rPr>
                <w:rFonts w:asciiTheme="majorHAnsi" w:hAnsiTheme="majorHAnsi"/>
                <w:sz w:val="16"/>
                <w:szCs w:val="16"/>
              </w:rPr>
              <w:t>Vypracovanie a podanie projektu z OP TP: 30. 6. 2014</w:t>
            </w:r>
          </w:p>
          <w:p w:rsidR="00CC23CF" w:rsidRPr="00B05B51" w:rsidRDefault="00CC23CF" w:rsidP="003D4757">
            <w:pPr>
              <w:spacing w:line="276" w:lineRule="auto"/>
              <w:rPr>
                <w:rFonts w:asciiTheme="majorHAnsi" w:hAnsiTheme="majorHAnsi"/>
                <w:sz w:val="16"/>
                <w:szCs w:val="16"/>
              </w:rPr>
            </w:pPr>
          </w:p>
          <w:p w:rsidR="00394471" w:rsidRDefault="00394471" w:rsidP="003D4757">
            <w:pPr>
              <w:spacing w:line="276" w:lineRule="auto"/>
              <w:rPr>
                <w:rFonts w:asciiTheme="majorHAnsi" w:hAnsiTheme="majorHAnsi"/>
                <w:sz w:val="16"/>
                <w:szCs w:val="16"/>
              </w:rPr>
            </w:pPr>
          </w:p>
          <w:p w:rsidR="00CC23CF" w:rsidRPr="00B05B51" w:rsidRDefault="00CC23CF" w:rsidP="003D4757">
            <w:pPr>
              <w:spacing w:line="276" w:lineRule="auto"/>
              <w:rPr>
                <w:rFonts w:asciiTheme="majorHAnsi" w:hAnsiTheme="majorHAnsi"/>
                <w:sz w:val="16"/>
                <w:szCs w:val="16"/>
              </w:rPr>
            </w:pPr>
            <w:r w:rsidRPr="00B05B51">
              <w:rPr>
                <w:rFonts w:asciiTheme="majorHAnsi" w:hAnsiTheme="majorHAnsi"/>
                <w:sz w:val="16"/>
                <w:szCs w:val="16"/>
              </w:rPr>
              <w:t>Uskutočnenie vzdelávacích aktivít pre prvotné vzdelávanie RO: 30. 6. 2015.</w:t>
            </w:r>
          </w:p>
          <w:p w:rsidR="00CC23CF" w:rsidRPr="00B05B51" w:rsidRDefault="00CC23CF" w:rsidP="003D4757">
            <w:pPr>
              <w:spacing w:line="276" w:lineRule="auto"/>
              <w:rPr>
                <w:rFonts w:asciiTheme="majorHAnsi" w:hAnsiTheme="majorHAnsi"/>
                <w:sz w:val="16"/>
                <w:szCs w:val="16"/>
              </w:rPr>
            </w:pPr>
          </w:p>
          <w:p w:rsidR="00394471" w:rsidRDefault="00394471" w:rsidP="003D4757">
            <w:pPr>
              <w:spacing w:line="276" w:lineRule="auto"/>
              <w:rPr>
                <w:rFonts w:asciiTheme="majorHAnsi" w:hAnsiTheme="majorHAnsi"/>
                <w:sz w:val="16"/>
                <w:szCs w:val="16"/>
              </w:rPr>
            </w:pPr>
          </w:p>
          <w:p w:rsidR="00394471" w:rsidRDefault="00394471" w:rsidP="003D4757">
            <w:pPr>
              <w:spacing w:line="276" w:lineRule="auto"/>
              <w:rPr>
                <w:rFonts w:asciiTheme="majorHAnsi" w:hAnsiTheme="majorHAnsi"/>
                <w:sz w:val="16"/>
                <w:szCs w:val="16"/>
              </w:rPr>
            </w:pPr>
          </w:p>
          <w:p w:rsidR="00CC23CF" w:rsidRPr="00B763E3" w:rsidRDefault="00CC23CF" w:rsidP="008B2A4E">
            <w:pPr>
              <w:spacing w:line="276" w:lineRule="auto"/>
              <w:rPr>
                <w:rFonts w:asciiTheme="majorHAnsi" w:hAnsiTheme="majorHAnsi"/>
                <w:sz w:val="16"/>
                <w:szCs w:val="16"/>
              </w:rPr>
            </w:pPr>
            <w:r w:rsidRPr="00B05B51">
              <w:rPr>
                <w:rFonts w:asciiTheme="majorHAnsi" w:hAnsiTheme="majorHAnsi"/>
                <w:sz w:val="16"/>
                <w:szCs w:val="16"/>
              </w:rPr>
              <w:t>Vzdelávacie aktivity budú prebiehať priebežne počas celého PO, pričom budú zamerané špecificky na potreby daného RO</w:t>
            </w:r>
          </w:p>
        </w:tc>
        <w:tc>
          <w:tcPr>
            <w:tcW w:w="2346" w:type="dxa"/>
            <w:vMerge/>
            <w:tcBorders>
              <w:right w:val="single" w:sz="12" w:space="0" w:color="auto"/>
            </w:tcBorders>
          </w:tcPr>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tc>
      </w:tr>
      <w:tr w:rsidR="00CC23CF" w:rsidRPr="00DF567A" w:rsidTr="00CC23CF">
        <w:trPr>
          <w:trHeight w:val="1593"/>
        </w:trPr>
        <w:tc>
          <w:tcPr>
            <w:tcW w:w="1949" w:type="dxa"/>
            <w:vMerge/>
            <w:tcBorders>
              <w:left w:val="single" w:sz="12" w:space="0" w:color="auto"/>
            </w:tcBorders>
          </w:tcPr>
          <w:p w:rsidR="00CC23CF" w:rsidRPr="009B7C77" w:rsidRDefault="00CC23CF" w:rsidP="003D4757">
            <w:pPr>
              <w:spacing w:before="0" w:line="276" w:lineRule="auto"/>
              <w:rPr>
                <w:rFonts w:asciiTheme="majorHAnsi" w:hAnsiTheme="majorHAnsi"/>
                <w:sz w:val="16"/>
                <w:szCs w:val="16"/>
                <w:lang w:eastAsia="cs-CZ"/>
              </w:rPr>
            </w:pPr>
          </w:p>
        </w:tc>
        <w:tc>
          <w:tcPr>
            <w:tcW w:w="2100" w:type="dxa"/>
            <w:gridSpan w:val="2"/>
            <w:tcBorders>
              <w:bottom w:val="single" w:sz="12" w:space="0" w:color="auto"/>
            </w:tcBorders>
          </w:tcPr>
          <w:p w:rsidR="00CC23CF" w:rsidRPr="009B7C77" w:rsidRDefault="00CC23CF" w:rsidP="003D4757">
            <w:pPr>
              <w:spacing w:before="0" w:line="276" w:lineRule="auto"/>
              <w:rPr>
                <w:rFonts w:asciiTheme="majorHAnsi" w:hAnsiTheme="majorHAnsi"/>
                <w:sz w:val="16"/>
                <w:szCs w:val="16"/>
              </w:rPr>
            </w:pPr>
            <w:r w:rsidRPr="009B7C77">
              <w:rPr>
                <w:rFonts w:asciiTheme="majorHAnsi" w:hAnsiTheme="majorHAnsi"/>
                <w:bCs/>
                <w:spacing w:val="-3"/>
                <w:sz w:val="16"/>
                <w:szCs w:val="16"/>
                <w:lang w:eastAsia="fr-FR"/>
              </w:rPr>
              <w:t>Opatrenia na zabezpečenie sledovania vykonávania článku 9 Dohovoru OSN o právach osôb so zdravotným postihnutím vo vzťahu k EŠIF počas prípravy a vykonávania programov.</w:t>
            </w:r>
          </w:p>
        </w:tc>
        <w:tc>
          <w:tcPr>
            <w:tcW w:w="4853" w:type="dxa"/>
            <w:gridSpan w:val="2"/>
            <w:tcBorders>
              <w:bottom w:val="single" w:sz="12" w:space="0" w:color="auto"/>
            </w:tcBorders>
          </w:tcPr>
          <w:p w:rsidR="00CC23CF" w:rsidRPr="00B763E3" w:rsidRDefault="00CC23CF" w:rsidP="003D4757">
            <w:pPr>
              <w:spacing w:before="0" w:line="276" w:lineRule="auto"/>
              <w:rPr>
                <w:rFonts w:asciiTheme="majorHAnsi" w:hAnsiTheme="majorHAnsi"/>
                <w:sz w:val="16"/>
                <w:szCs w:val="16"/>
              </w:rPr>
            </w:pPr>
            <w:r w:rsidRPr="00B05B51">
              <w:rPr>
                <w:rFonts w:asciiTheme="majorHAnsi" w:hAnsiTheme="majorHAnsi"/>
                <w:sz w:val="16"/>
                <w:szCs w:val="16"/>
              </w:rPr>
              <w:t xml:space="preserve">Proces monitorovania plnenia horizontálnych princípov bude na projektovej úrovni sledovaný prostredníctvom monitorovacích správ, ktorých súčasťou bude samostatný výstup obsahujúci informácie </w:t>
            </w:r>
            <w:r w:rsidR="00970B19" w:rsidRPr="00B05B51">
              <w:rPr>
                <w:rFonts w:asciiTheme="majorHAnsi" w:hAnsiTheme="majorHAnsi"/>
                <w:sz w:val="16"/>
                <w:szCs w:val="16"/>
              </w:rPr>
              <w:br/>
            </w:r>
            <w:r w:rsidRPr="00B05B51">
              <w:rPr>
                <w:rFonts w:asciiTheme="majorHAnsi" w:hAnsiTheme="majorHAnsi"/>
                <w:sz w:val="16"/>
                <w:szCs w:val="16"/>
              </w:rPr>
              <w:t>o horizontálnych princípoch (t. j. popisom vykonaných aktivít, ich výsledkov a vyhodnotením ich príspevku k dosahovaniu stanovených cieľov horizontálnych princípov), ako aj kontrolou na mieste realizácie projektov a následne hodnotením príspevku k cieľom horizontálnych princípov. Samostatný výstup obsahujúci informácie o uplatňovaní horizontálneho princípu bude podkladom pre proces hodnotenia príspevku EŠIF k plneniu cieľov identifikovaných v národnom strategickom dokumente. Odpočet plnenia dosiahnutej úrovne stanovených cieľov v národnom strategickom dokumente, vrátane návrhu nápravných opatrení a odporúčaní k ich dosiahnutiu, bude každoročne predkladaný do vlády SR. Ukazovatele v oblasti osôb so zdravotným postihnutím (assessment grid) bude súčasťou monitorovacej správy – príloha HP.</w:t>
            </w:r>
          </w:p>
        </w:tc>
        <w:tc>
          <w:tcPr>
            <w:tcW w:w="2862" w:type="dxa"/>
            <w:gridSpan w:val="3"/>
            <w:tcBorders>
              <w:bottom w:val="single" w:sz="12" w:space="0" w:color="auto"/>
            </w:tcBorders>
          </w:tcPr>
          <w:p w:rsidR="00CC23CF" w:rsidRPr="00B05B51" w:rsidRDefault="00CC23CF" w:rsidP="003D4757">
            <w:pPr>
              <w:tabs>
                <w:tab w:val="left" w:pos="2302"/>
              </w:tabs>
              <w:rPr>
                <w:rFonts w:asciiTheme="majorHAnsi" w:hAnsiTheme="majorHAnsi"/>
                <w:sz w:val="16"/>
                <w:szCs w:val="16"/>
              </w:rPr>
            </w:pPr>
            <w:r w:rsidRPr="00B05B51">
              <w:rPr>
                <w:rFonts w:asciiTheme="majorHAnsi" w:hAnsiTheme="majorHAnsi"/>
                <w:sz w:val="16"/>
                <w:szCs w:val="16"/>
              </w:rPr>
              <w:t>31. 10. 2014</w:t>
            </w:r>
          </w:p>
          <w:p w:rsidR="00CC23CF" w:rsidRPr="00B05B51" w:rsidRDefault="00970B19" w:rsidP="003D4757">
            <w:pPr>
              <w:rPr>
                <w:rFonts w:asciiTheme="majorHAnsi" w:hAnsiTheme="majorHAnsi"/>
                <w:sz w:val="16"/>
                <w:szCs w:val="16"/>
              </w:rPr>
            </w:pPr>
            <w:r w:rsidRPr="00B05B51">
              <w:rPr>
                <w:rFonts w:asciiTheme="majorHAnsi" w:hAnsiTheme="majorHAnsi"/>
                <w:sz w:val="16"/>
                <w:szCs w:val="16"/>
              </w:rPr>
              <w:t>D</w:t>
            </w:r>
            <w:r w:rsidR="00CC23CF" w:rsidRPr="00B05B51">
              <w:rPr>
                <w:rFonts w:asciiTheme="majorHAnsi" w:hAnsiTheme="majorHAnsi"/>
                <w:sz w:val="16"/>
                <w:szCs w:val="16"/>
              </w:rPr>
              <w:t xml:space="preserve">o 30. 6. 2014 - zapracovanie článku 9 Dohovoru OSN do všetkých OP. </w:t>
            </w:r>
          </w:p>
          <w:p w:rsidR="00CC23CF" w:rsidRPr="00B05B51" w:rsidRDefault="00CC23CF" w:rsidP="003D4757">
            <w:pPr>
              <w:rPr>
                <w:rFonts w:asciiTheme="majorHAnsi" w:hAnsiTheme="majorHAnsi"/>
                <w:sz w:val="16"/>
                <w:szCs w:val="16"/>
              </w:rPr>
            </w:pPr>
          </w:p>
          <w:p w:rsidR="00CC23CF" w:rsidRPr="00B05B51" w:rsidRDefault="00CC23CF" w:rsidP="003D4757">
            <w:pPr>
              <w:rPr>
                <w:rFonts w:asciiTheme="majorHAnsi" w:hAnsiTheme="majorHAnsi"/>
                <w:sz w:val="16"/>
                <w:szCs w:val="16"/>
              </w:rPr>
            </w:pPr>
            <w:r w:rsidRPr="00B05B51">
              <w:rPr>
                <w:rFonts w:asciiTheme="majorHAnsi" w:hAnsiTheme="majorHAnsi"/>
                <w:sz w:val="16"/>
                <w:szCs w:val="16"/>
              </w:rPr>
              <w:t xml:space="preserve">Do 31. 10. 2014 - následné zapracovanie do riadiacej dokumentácie, proces uplatňovania v hodnotení , monitorovaní a kontrole, príprava assessment grid. </w:t>
            </w:r>
          </w:p>
          <w:p w:rsidR="00CC23CF" w:rsidRPr="00B05B51" w:rsidRDefault="00CC23CF" w:rsidP="003D4757">
            <w:pPr>
              <w:spacing w:before="0" w:line="276" w:lineRule="auto"/>
              <w:rPr>
                <w:rFonts w:asciiTheme="majorHAnsi" w:hAnsiTheme="majorHAnsi"/>
                <w:sz w:val="16"/>
                <w:szCs w:val="16"/>
              </w:rPr>
            </w:pPr>
          </w:p>
          <w:p w:rsidR="00CC23CF" w:rsidRPr="00B05B51" w:rsidRDefault="00CC23CF" w:rsidP="003D4757">
            <w:pPr>
              <w:spacing w:before="0" w:line="276" w:lineRule="auto"/>
              <w:rPr>
                <w:rFonts w:asciiTheme="majorHAnsi" w:hAnsiTheme="majorHAnsi"/>
                <w:sz w:val="16"/>
                <w:szCs w:val="16"/>
              </w:rPr>
            </w:pPr>
          </w:p>
          <w:p w:rsidR="00CC23CF" w:rsidRPr="00B763E3" w:rsidRDefault="00CC23CF" w:rsidP="003D4757">
            <w:pPr>
              <w:spacing w:before="0" w:line="276" w:lineRule="auto"/>
              <w:rPr>
                <w:rFonts w:asciiTheme="majorHAnsi" w:hAnsiTheme="majorHAnsi"/>
                <w:sz w:val="16"/>
                <w:szCs w:val="16"/>
              </w:rPr>
            </w:pPr>
          </w:p>
        </w:tc>
        <w:tc>
          <w:tcPr>
            <w:tcW w:w="2346" w:type="dxa"/>
            <w:vMerge/>
            <w:tcBorders>
              <w:bottom w:val="single" w:sz="12" w:space="0" w:color="auto"/>
              <w:right w:val="single" w:sz="12" w:space="0" w:color="auto"/>
            </w:tcBorders>
          </w:tcPr>
          <w:p w:rsidR="00CC23CF" w:rsidRPr="00B763E3" w:rsidRDefault="00CC23CF" w:rsidP="003D4757">
            <w:pPr>
              <w:autoSpaceDE w:val="0"/>
              <w:autoSpaceDN w:val="0"/>
              <w:adjustRightInd w:val="0"/>
              <w:spacing w:before="0"/>
              <w:jc w:val="left"/>
              <w:rPr>
                <w:rFonts w:asciiTheme="majorHAnsi" w:hAnsiTheme="majorHAnsi"/>
                <w:sz w:val="16"/>
                <w:szCs w:val="16"/>
                <w:lang w:eastAsia="sk-SK"/>
              </w:rPr>
            </w:pPr>
          </w:p>
        </w:tc>
      </w:tr>
      <w:tr w:rsidR="00D36671" w:rsidRPr="00DF567A" w:rsidTr="00BA185A">
        <w:trPr>
          <w:trHeight w:val="841"/>
        </w:trPr>
        <w:tc>
          <w:tcPr>
            <w:tcW w:w="1949" w:type="dxa"/>
            <w:vMerge w:val="restart"/>
            <w:tcBorders>
              <w:top w:val="single" w:sz="12" w:space="0" w:color="auto"/>
              <w:left w:val="single" w:sz="12" w:space="0" w:color="auto"/>
            </w:tcBorders>
          </w:tcPr>
          <w:p w:rsidR="00D36671" w:rsidRPr="00B763E3" w:rsidRDefault="00D36671" w:rsidP="003A6140">
            <w:pPr>
              <w:spacing w:before="0" w:line="276" w:lineRule="auto"/>
              <w:rPr>
                <w:rFonts w:asciiTheme="majorHAnsi" w:hAnsiTheme="majorHAnsi" w:cs="EUAlbertina"/>
                <w:color w:val="000000"/>
                <w:sz w:val="16"/>
                <w:szCs w:val="16"/>
              </w:rPr>
            </w:pPr>
            <w:r w:rsidRPr="00B763E3">
              <w:rPr>
                <w:rFonts w:asciiTheme="majorHAnsi" w:hAnsiTheme="majorHAnsi" w:cs="EUAlbertina"/>
                <w:color w:val="000000"/>
                <w:sz w:val="16"/>
                <w:szCs w:val="16"/>
              </w:rPr>
              <w:t>4. Verejné obstarávanie</w:t>
            </w:r>
          </w:p>
          <w:p w:rsidR="00D36671" w:rsidRPr="00B763E3" w:rsidRDefault="00D36671" w:rsidP="003A6140">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Existencia pravidiel na efektívnu aplikáciu legislatívy Únie v oblasti </w:t>
            </w:r>
            <w:r w:rsidRPr="00B763E3">
              <w:rPr>
                <w:rFonts w:asciiTheme="majorHAnsi" w:hAnsiTheme="majorHAnsi"/>
                <w:sz w:val="16"/>
                <w:szCs w:val="16"/>
                <w:lang w:eastAsia="cs-CZ"/>
              </w:rPr>
              <w:lastRenderedPageBreak/>
              <w:t>verejného obstarávania.</w:t>
            </w:r>
          </w:p>
        </w:tc>
        <w:tc>
          <w:tcPr>
            <w:tcW w:w="2100" w:type="dxa"/>
            <w:gridSpan w:val="2"/>
          </w:tcPr>
          <w:p w:rsidR="00D36671" w:rsidRPr="00B763E3" w:rsidRDefault="00D36671" w:rsidP="003A6140">
            <w:pPr>
              <w:spacing w:before="0" w:line="276" w:lineRule="auto"/>
              <w:rPr>
                <w:rFonts w:asciiTheme="majorHAnsi" w:hAnsiTheme="majorHAnsi"/>
                <w:bCs/>
                <w:spacing w:val="-3"/>
                <w:sz w:val="16"/>
                <w:szCs w:val="16"/>
                <w:lang w:eastAsia="fr-FR"/>
              </w:rPr>
            </w:pPr>
            <w:r w:rsidRPr="00B763E3">
              <w:rPr>
                <w:rFonts w:asciiTheme="majorHAnsi" w:hAnsiTheme="majorHAnsi"/>
                <w:bCs/>
                <w:spacing w:val="-3"/>
                <w:sz w:val="16"/>
                <w:szCs w:val="16"/>
                <w:lang w:eastAsia="fr-FR"/>
              </w:rPr>
              <w:lastRenderedPageBreak/>
              <w:t xml:space="preserve">Opatrenia na účinné uplatňovanie pravidiel Únie </w:t>
            </w:r>
            <w:r w:rsidR="005E28E6" w:rsidRPr="00B763E3">
              <w:rPr>
                <w:rFonts w:asciiTheme="majorHAnsi" w:hAnsiTheme="majorHAnsi"/>
                <w:bCs/>
                <w:spacing w:val="-3"/>
                <w:sz w:val="16"/>
                <w:szCs w:val="16"/>
                <w:lang w:eastAsia="fr-FR"/>
              </w:rPr>
              <w:br/>
            </w:r>
            <w:r w:rsidRPr="00B763E3">
              <w:rPr>
                <w:rFonts w:asciiTheme="majorHAnsi" w:hAnsiTheme="majorHAnsi"/>
                <w:bCs/>
                <w:spacing w:val="-3"/>
                <w:sz w:val="16"/>
                <w:szCs w:val="16"/>
                <w:lang w:eastAsia="fr-FR"/>
              </w:rPr>
              <w:t>o verejnom obstarávaní prostredníctvom primeraných mechanizmov.</w:t>
            </w:r>
          </w:p>
        </w:tc>
        <w:tc>
          <w:tcPr>
            <w:tcW w:w="4853" w:type="dxa"/>
            <w:gridSpan w:val="2"/>
          </w:tcPr>
          <w:p w:rsidR="00D36671" w:rsidRPr="00B05B51" w:rsidRDefault="00D36671" w:rsidP="003A6140">
            <w:pPr>
              <w:spacing w:before="0" w:line="276" w:lineRule="auto"/>
              <w:rPr>
                <w:rFonts w:asciiTheme="majorHAnsi" w:hAnsiTheme="majorHAnsi"/>
                <w:sz w:val="16"/>
                <w:szCs w:val="16"/>
              </w:rPr>
            </w:pPr>
            <w:r w:rsidRPr="00B05B51">
              <w:rPr>
                <w:rFonts w:asciiTheme="majorHAnsi" w:hAnsiTheme="majorHAnsi"/>
                <w:sz w:val="16"/>
                <w:szCs w:val="16"/>
              </w:rPr>
              <w:t xml:space="preserve">V oblasti legislatívy sú v súčasnom platnom a účinnom znení zákona </w:t>
            </w:r>
            <w:r w:rsidR="005E28E6" w:rsidRPr="00B05B51">
              <w:rPr>
                <w:rFonts w:asciiTheme="majorHAnsi" w:hAnsiTheme="majorHAnsi"/>
                <w:sz w:val="16"/>
                <w:szCs w:val="16"/>
              </w:rPr>
              <w:br/>
            </w:r>
            <w:r w:rsidRPr="00B05B51">
              <w:rPr>
                <w:rFonts w:asciiTheme="majorHAnsi" w:hAnsiTheme="majorHAnsi"/>
                <w:sz w:val="16"/>
                <w:szCs w:val="16"/>
              </w:rPr>
              <w:t xml:space="preserve">č. 25/2006 Z. z. o verejnom obstarávaní a o zmene a doplnení niektorých zákonov v znení neskorších predpisov (ďalej len ,,zákon </w:t>
            </w:r>
            <w:r w:rsidR="00544389" w:rsidRPr="00B05B51">
              <w:rPr>
                <w:rFonts w:asciiTheme="majorHAnsi" w:hAnsiTheme="majorHAnsi"/>
                <w:sz w:val="16"/>
                <w:szCs w:val="16"/>
              </w:rPr>
              <w:br/>
            </w:r>
            <w:r w:rsidRPr="00B05B51">
              <w:rPr>
                <w:rFonts w:asciiTheme="majorHAnsi" w:hAnsiTheme="majorHAnsi"/>
                <w:sz w:val="16"/>
                <w:szCs w:val="16"/>
              </w:rPr>
              <w:t xml:space="preserve">o VO“) transponované všetky platné smernice EÚ v oblasti verejného obstarávania. V lehote určenej novou smernicou bude prijatý nový </w:t>
            </w:r>
            <w:r w:rsidRPr="00B05B51">
              <w:rPr>
                <w:rFonts w:asciiTheme="majorHAnsi" w:hAnsiTheme="majorHAnsi"/>
                <w:sz w:val="16"/>
                <w:szCs w:val="16"/>
              </w:rPr>
              <w:lastRenderedPageBreak/>
              <w:t>zákon o verejnom obstarávaní, ktorý  transponuje novoprijaté smernice EÚ do právneho poriadku v Slovenskej republike.</w:t>
            </w:r>
          </w:p>
          <w:p w:rsidR="00D36671" w:rsidRPr="00B05B51" w:rsidRDefault="00D36671" w:rsidP="003A6140">
            <w:pPr>
              <w:spacing w:before="0" w:after="0" w:line="276" w:lineRule="auto"/>
              <w:rPr>
                <w:rFonts w:asciiTheme="majorHAnsi" w:hAnsiTheme="majorHAnsi"/>
                <w:sz w:val="16"/>
                <w:szCs w:val="16"/>
              </w:rPr>
            </w:pPr>
            <w:r w:rsidRPr="00B05B51">
              <w:rPr>
                <w:rFonts w:asciiTheme="majorHAnsi" w:hAnsiTheme="majorHAnsi"/>
                <w:sz w:val="16"/>
                <w:szCs w:val="16"/>
              </w:rPr>
              <w:t>Elektronické verejné obstarávanie</w:t>
            </w:r>
          </w:p>
          <w:p w:rsidR="00D36671" w:rsidRPr="00B05B51" w:rsidRDefault="00D36671" w:rsidP="003A6140">
            <w:pPr>
              <w:spacing w:before="0" w:line="276" w:lineRule="auto"/>
              <w:rPr>
                <w:rFonts w:asciiTheme="majorHAnsi" w:hAnsiTheme="majorHAnsi"/>
                <w:sz w:val="16"/>
                <w:szCs w:val="16"/>
              </w:rPr>
            </w:pPr>
            <w:r w:rsidRPr="00B05B51">
              <w:rPr>
                <w:rFonts w:asciiTheme="majorHAnsi" w:hAnsiTheme="majorHAnsi"/>
                <w:sz w:val="16"/>
                <w:szCs w:val="16"/>
              </w:rPr>
              <w:t xml:space="preserve">Plne elektronické verejné obstarávanie ako prostriedok modernizácie verejnej správy je prioritou </w:t>
            </w:r>
            <w:r w:rsidR="005E28E6" w:rsidRPr="00B05B51">
              <w:rPr>
                <w:rFonts w:asciiTheme="majorHAnsi" w:hAnsiTheme="majorHAnsi"/>
                <w:sz w:val="16"/>
                <w:szCs w:val="16"/>
              </w:rPr>
              <w:t>SR</w:t>
            </w:r>
            <w:r w:rsidRPr="00B05B51">
              <w:rPr>
                <w:rFonts w:asciiTheme="majorHAnsi" w:hAnsiTheme="majorHAnsi"/>
                <w:sz w:val="16"/>
                <w:szCs w:val="16"/>
              </w:rPr>
              <w:t xml:space="preserve">. V zmysle smerníc č. 2014/23/EÚ, 2014/24/EÚ, 2014/25/EÚ bude nevyhnutné prijať a zabezpečiť a) priamy a neobmedzený prístup k elektronickým súťažným podkladom, b) elektronické predkladanie ponúk, c) posilniť úlohu e-Certis, d) Elektronický formulár (PAS) pre uchádzačov a záujemcov, slúžiaci na preukázanie podmienok účasti, e) elektronické katalógy ako forma elektronickej ponuky, f) dynamický nákupný systém prepracovaný </w:t>
            </w:r>
            <w:r w:rsidR="005E28E6" w:rsidRPr="00B05B51">
              <w:rPr>
                <w:rFonts w:asciiTheme="majorHAnsi" w:hAnsiTheme="majorHAnsi"/>
                <w:sz w:val="16"/>
                <w:szCs w:val="16"/>
              </w:rPr>
              <w:br/>
            </w:r>
            <w:r w:rsidRPr="00B05B51">
              <w:rPr>
                <w:rFonts w:asciiTheme="majorHAnsi" w:hAnsiTheme="majorHAnsi"/>
                <w:sz w:val="16"/>
                <w:szCs w:val="16"/>
              </w:rPr>
              <w:t>a zdokonalený na elektronický systém.</w:t>
            </w:r>
          </w:p>
          <w:p w:rsidR="00D36671" w:rsidRPr="00B05B51" w:rsidRDefault="00D36671" w:rsidP="003A6140">
            <w:pPr>
              <w:spacing w:before="0" w:line="276" w:lineRule="auto"/>
              <w:rPr>
                <w:rFonts w:asciiTheme="majorHAnsi" w:hAnsiTheme="majorHAnsi"/>
                <w:sz w:val="16"/>
                <w:szCs w:val="16"/>
              </w:rPr>
            </w:pPr>
            <w:r w:rsidRPr="00B05B51">
              <w:rPr>
                <w:rFonts w:asciiTheme="majorHAnsi" w:hAnsiTheme="majorHAnsi"/>
                <w:sz w:val="16"/>
                <w:szCs w:val="16"/>
              </w:rPr>
              <w:t>Centrálna obstarávateľská organizácia má povinnosť obstarávať plne elektronicky do 36 mesiacov od platnosti smerníc, t.j. do 18. 04. 2017. Pre ostatné subjekty povinnosť plne elektronicky obstarávať vzniká do 54 mesiacov od platnosti smerníc.</w:t>
            </w:r>
          </w:p>
          <w:p w:rsidR="00D36671" w:rsidRPr="00B05B51" w:rsidRDefault="00D36671" w:rsidP="003A6140">
            <w:pPr>
              <w:spacing w:before="0" w:line="276" w:lineRule="auto"/>
              <w:rPr>
                <w:rFonts w:asciiTheme="majorHAnsi" w:hAnsiTheme="majorHAnsi"/>
                <w:sz w:val="16"/>
                <w:szCs w:val="16"/>
              </w:rPr>
            </w:pPr>
            <w:r w:rsidRPr="00B05B51">
              <w:rPr>
                <w:rFonts w:asciiTheme="majorHAnsi" w:hAnsiTheme="majorHAnsi"/>
                <w:sz w:val="16"/>
                <w:szCs w:val="16"/>
              </w:rPr>
              <w:t xml:space="preserve">ÚVO toho času prevádzkuje systém EVO (Elektronického verejného obstarávania), ktorý bude dopracovaný na nové podmienky v zmysle smerníc EÚ, aby bolo elektronické verejné obstarávanie jednoduchšie </w:t>
            </w:r>
            <w:r w:rsidR="00544389" w:rsidRPr="00B05B51">
              <w:rPr>
                <w:rFonts w:asciiTheme="majorHAnsi" w:hAnsiTheme="majorHAnsi"/>
                <w:sz w:val="16"/>
                <w:szCs w:val="16"/>
              </w:rPr>
              <w:br/>
            </w:r>
            <w:r w:rsidRPr="00B05B51">
              <w:rPr>
                <w:rFonts w:asciiTheme="majorHAnsi" w:hAnsiTheme="majorHAnsi"/>
                <w:sz w:val="16"/>
                <w:szCs w:val="16"/>
              </w:rPr>
              <w:t>a efektívnejšie.</w:t>
            </w:r>
          </w:p>
          <w:p w:rsidR="00D36671" w:rsidRPr="00B05B51" w:rsidRDefault="005E28E6" w:rsidP="003A6140">
            <w:pPr>
              <w:spacing w:before="0" w:line="276" w:lineRule="auto"/>
              <w:rPr>
                <w:rFonts w:asciiTheme="majorHAnsi" w:hAnsiTheme="majorHAnsi"/>
                <w:sz w:val="16"/>
                <w:szCs w:val="16"/>
              </w:rPr>
            </w:pPr>
            <w:r w:rsidRPr="00B05B51">
              <w:rPr>
                <w:rFonts w:asciiTheme="majorHAnsi" w:hAnsiTheme="majorHAnsi"/>
                <w:sz w:val="16"/>
                <w:szCs w:val="16"/>
              </w:rPr>
              <w:t>SR</w:t>
            </w:r>
            <w:r w:rsidR="00D36671" w:rsidRPr="00B05B51">
              <w:rPr>
                <w:rFonts w:asciiTheme="majorHAnsi" w:hAnsiTheme="majorHAnsi"/>
                <w:sz w:val="16"/>
                <w:szCs w:val="16"/>
              </w:rPr>
              <w:t xml:space="preserve">, v zastúpení svojich orgánov vypracuje vnútroštátnu stratégiu na zabezpečenie včasného a efektívneho prechodu na plne elektronické obstarávanie podľa požiadaviek uvedených v článku 5.3 oznámenia Komisie o „plne elektronickom verejnom obstarávaní ako prostriedku modernizácie verejnej správy“ (KOM(2013)453 finálna verzia). Táto stratégia bude stanovovať špecifické ciele, ktoré sa majú dosiahnuť, postup, ktorý treba dodržať, míľniky a akékoľvek potrebné indikátory. Pri implementácii tejto stratégie sa bude využívať adekvátna pomoc zo </w:t>
            </w:r>
            <w:r w:rsidR="00661D68" w:rsidRPr="00B05B51">
              <w:rPr>
                <w:rFonts w:asciiTheme="majorHAnsi" w:hAnsiTheme="majorHAnsi"/>
                <w:sz w:val="16"/>
                <w:szCs w:val="16"/>
              </w:rPr>
              <w:t>ŠF</w:t>
            </w:r>
            <w:r w:rsidR="00D36671" w:rsidRPr="00B05B51">
              <w:rPr>
                <w:rFonts w:asciiTheme="majorHAnsi" w:hAnsiTheme="majorHAnsi"/>
                <w:sz w:val="16"/>
                <w:szCs w:val="16"/>
              </w:rPr>
              <w:t xml:space="preserve">, najmä pokiaľ ide o vývoj alebo modernizáciu infraštruktúry plne elektronického obstarávania, posilnenie </w:t>
            </w:r>
            <w:r w:rsidR="00661D68" w:rsidRPr="00B05B51">
              <w:rPr>
                <w:rFonts w:asciiTheme="majorHAnsi" w:hAnsiTheme="majorHAnsi"/>
                <w:sz w:val="16"/>
                <w:szCs w:val="16"/>
              </w:rPr>
              <w:t>AK</w:t>
            </w:r>
            <w:r w:rsidR="00D36671" w:rsidRPr="00B05B51">
              <w:rPr>
                <w:rFonts w:asciiTheme="majorHAnsi" w:hAnsiTheme="majorHAnsi"/>
                <w:sz w:val="16"/>
                <w:szCs w:val="16"/>
              </w:rPr>
              <w:t xml:space="preserve">, školenia a zvyšovanie povedomia. Pomocou stratégie sa zabezpečí uplatňovanie čo najúčinnejšieho a nákladovo najefektívnejšieho prístupu pri implementácii povinného elektronického obstarávania na Slovensku </w:t>
            </w:r>
            <w:r w:rsidR="00661D68" w:rsidRPr="00B05B51">
              <w:rPr>
                <w:rFonts w:asciiTheme="majorHAnsi" w:hAnsiTheme="majorHAnsi"/>
                <w:sz w:val="16"/>
                <w:szCs w:val="16"/>
              </w:rPr>
              <w:br/>
            </w:r>
            <w:r w:rsidR="00D36671" w:rsidRPr="00B05B51">
              <w:rPr>
                <w:rFonts w:asciiTheme="majorHAnsi" w:hAnsiTheme="majorHAnsi"/>
                <w:sz w:val="16"/>
                <w:szCs w:val="16"/>
              </w:rPr>
              <w:t xml:space="preserve">a malo by sa zamedziť vytváraniu duplicít na národnej regionálnej </w:t>
            </w:r>
            <w:r w:rsidR="00D36671" w:rsidRPr="00B05B51">
              <w:rPr>
                <w:rFonts w:asciiTheme="majorHAnsi" w:hAnsiTheme="majorHAnsi"/>
                <w:sz w:val="16"/>
                <w:szCs w:val="16"/>
              </w:rPr>
              <w:lastRenderedPageBreak/>
              <w:t>úrovni, ktoré môžu spôsobiť problémy s interoperabilitou. Celkovým výsledkom by mal byť lepší, jednoduchší a efektívnejší systém verejného obstarávania.</w:t>
            </w:r>
          </w:p>
          <w:p w:rsidR="00D36671" w:rsidRPr="00B05B51" w:rsidRDefault="00D36671" w:rsidP="003A6140">
            <w:pPr>
              <w:spacing w:before="0" w:line="276" w:lineRule="auto"/>
              <w:rPr>
                <w:rFonts w:asciiTheme="majorHAnsi" w:hAnsiTheme="majorHAnsi"/>
                <w:sz w:val="16"/>
                <w:szCs w:val="16"/>
              </w:rPr>
            </w:pPr>
          </w:p>
          <w:p w:rsidR="00D36671" w:rsidRPr="00B05B51" w:rsidRDefault="00D36671" w:rsidP="003A6140">
            <w:pPr>
              <w:spacing w:before="0" w:line="276" w:lineRule="auto"/>
              <w:rPr>
                <w:rFonts w:asciiTheme="majorHAnsi" w:hAnsiTheme="majorHAnsi"/>
                <w:sz w:val="16"/>
                <w:szCs w:val="16"/>
              </w:rPr>
            </w:pPr>
            <w:r w:rsidRPr="00B05B51">
              <w:rPr>
                <w:rFonts w:asciiTheme="majorHAnsi" w:hAnsiTheme="majorHAnsi"/>
                <w:sz w:val="16"/>
                <w:szCs w:val="16"/>
              </w:rPr>
              <w:t>Ako všeobecné opatrenia na riešenie nedostatkov zistených pri kontrolách budú zavedené tieto opatrenia:</w:t>
            </w:r>
          </w:p>
          <w:p w:rsidR="00D36671" w:rsidRPr="00B05B51" w:rsidRDefault="00D36671" w:rsidP="003A6140">
            <w:pPr>
              <w:spacing w:before="0" w:line="276" w:lineRule="auto"/>
              <w:rPr>
                <w:rFonts w:asciiTheme="majorHAnsi" w:hAnsiTheme="majorHAnsi"/>
                <w:sz w:val="16"/>
                <w:szCs w:val="16"/>
              </w:rPr>
            </w:pPr>
            <w:r w:rsidRPr="00B05B51">
              <w:rPr>
                <w:rFonts w:asciiTheme="majorHAnsi" w:hAnsiTheme="majorHAnsi"/>
                <w:sz w:val="16"/>
                <w:szCs w:val="16"/>
              </w:rPr>
              <w:t xml:space="preserve">- Zvýšená podpora ÚVO pre subjekty vykonávajúce kontrolu verejného obstarávania prostredníctvom Dohody o spolupráci. Na základe tejto dohody budú RO oprávnené ÚVO požiadať o </w:t>
            </w:r>
          </w:p>
          <w:p w:rsidR="00D36671" w:rsidRPr="00836B8C" w:rsidRDefault="00D36671" w:rsidP="00836B8C">
            <w:pPr>
              <w:pStyle w:val="Odsekzoznamu"/>
              <w:numPr>
                <w:ilvl w:val="1"/>
                <w:numId w:val="166"/>
              </w:numPr>
              <w:spacing w:before="0" w:line="276" w:lineRule="auto"/>
              <w:ind w:left="238" w:hanging="238"/>
              <w:rPr>
                <w:rFonts w:asciiTheme="majorHAnsi" w:hAnsiTheme="majorHAnsi"/>
                <w:sz w:val="16"/>
                <w:szCs w:val="16"/>
              </w:rPr>
            </w:pPr>
            <w:r w:rsidRPr="00836B8C">
              <w:rPr>
                <w:rFonts w:asciiTheme="majorHAnsi" w:hAnsiTheme="majorHAnsi"/>
                <w:sz w:val="16"/>
                <w:szCs w:val="16"/>
              </w:rPr>
              <w:t>ex</w:t>
            </w:r>
            <w:r w:rsidR="000D7C6E">
              <w:rPr>
                <w:rFonts w:asciiTheme="majorHAnsi" w:hAnsiTheme="majorHAnsi"/>
                <w:sz w:val="16"/>
                <w:szCs w:val="16"/>
              </w:rPr>
              <w:t xml:space="preserve"> </w:t>
            </w:r>
            <w:r w:rsidRPr="00836B8C">
              <w:rPr>
                <w:rFonts w:asciiTheme="majorHAnsi" w:hAnsiTheme="majorHAnsi"/>
                <w:sz w:val="16"/>
                <w:szCs w:val="16"/>
              </w:rPr>
              <w:t xml:space="preserve">ante posúdenie dokumentácie k pripravovanému verejnému obstarávaniu, </w:t>
            </w:r>
          </w:p>
          <w:p w:rsidR="00D36671" w:rsidRPr="00836B8C" w:rsidRDefault="00D36671" w:rsidP="00836B8C">
            <w:pPr>
              <w:pStyle w:val="Odsekzoznamu"/>
              <w:numPr>
                <w:ilvl w:val="1"/>
                <w:numId w:val="166"/>
              </w:numPr>
              <w:spacing w:before="0" w:line="276" w:lineRule="auto"/>
              <w:ind w:left="238" w:hanging="238"/>
              <w:rPr>
                <w:rFonts w:asciiTheme="majorHAnsi" w:hAnsiTheme="majorHAnsi"/>
                <w:sz w:val="16"/>
                <w:szCs w:val="16"/>
              </w:rPr>
            </w:pPr>
            <w:r w:rsidRPr="00836B8C">
              <w:rPr>
                <w:rFonts w:asciiTheme="majorHAnsi" w:hAnsiTheme="majorHAnsi"/>
                <w:sz w:val="16"/>
                <w:szCs w:val="16"/>
              </w:rPr>
              <w:t xml:space="preserve">osobnú konzultáciu k čiastkovému problému verejného obstarávania, </w:t>
            </w:r>
          </w:p>
          <w:p w:rsidR="00D36671" w:rsidRPr="00836B8C" w:rsidRDefault="00D36671" w:rsidP="00836B8C">
            <w:pPr>
              <w:pStyle w:val="Odsekzoznamu"/>
              <w:numPr>
                <w:ilvl w:val="1"/>
                <w:numId w:val="166"/>
              </w:numPr>
              <w:spacing w:before="0" w:line="276" w:lineRule="auto"/>
              <w:ind w:left="238" w:hanging="238"/>
              <w:rPr>
                <w:rFonts w:asciiTheme="majorHAnsi" w:hAnsiTheme="majorHAnsi"/>
                <w:sz w:val="16"/>
                <w:szCs w:val="16"/>
              </w:rPr>
            </w:pPr>
            <w:r w:rsidRPr="00836B8C">
              <w:rPr>
                <w:rFonts w:asciiTheme="majorHAnsi" w:hAnsiTheme="majorHAnsi"/>
                <w:sz w:val="16"/>
                <w:szCs w:val="16"/>
              </w:rPr>
              <w:t xml:space="preserve">vypracovanie stanoviska o súlade čiastkových problémov verejného obstarávania so zákonom o verejnom obstarávaní v štádiu pred uzavretím zmluvy, </w:t>
            </w:r>
          </w:p>
          <w:p w:rsidR="00D36671" w:rsidRPr="00836B8C" w:rsidRDefault="00D36671" w:rsidP="00836B8C">
            <w:pPr>
              <w:pStyle w:val="Odsekzoznamu"/>
              <w:numPr>
                <w:ilvl w:val="1"/>
                <w:numId w:val="166"/>
              </w:numPr>
              <w:spacing w:before="0" w:line="276" w:lineRule="auto"/>
              <w:ind w:left="238" w:hanging="238"/>
              <w:rPr>
                <w:rFonts w:asciiTheme="majorHAnsi" w:hAnsiTheme="majorHAnsi"/>
                <w:sz w:val="16"/>
                <w:szCs w:val="16"/>
              </w:rPr>
            </w:pPr>
            <w:r w:rsidRPr="00836B8C">
              <w:rPr>
                <w:rFonts w:asciiTheme="majorHAnsi" w:hAnsiTheme="majorHAnsi"/>
                <w:sz w:val="16"/>
                <w:szCs w:val="16"/>
              </w:rPr>
              <w:t>vykonanie kontroly verejného obstarávania,</w:t>
            </w:r>
          </w:p>
          <w:p w:rsidR="00D36671" w:rsidRPr="00836B8C" w:rsidRDefault="00D36671" w:rsidP="00836B8C">
            <w:pPr>
              <w:pStyle w:val="Odsekzoznamu"/>
              <w:numPr>
                <w:ilvl w:val="1"/>
                <w:numId w:val="166"/>
              </w:numPr>
              <w:spacing w:before="0" w:line="276" w:lineRule="auto"/>
              <w:ind w:left="238" w:hanging="238"/>
              <w:rPr>
                <w:rFonts w:asciiTheme="majorHAnsi" w:hAnsiTheme="majorHAnsi"/>
                <w:sz w:val="16"/>
                <w:szCs w:val="16"/>
              </w:rPr>
            </w:pPr>
            <w:r w:rsidRPr="00836B8C">
              <w:rPr>
                <w:rFonts w:asciiTheme="majorHAnsi" w:hAnsiTheme="majorHAnsi"/>
                <w:sz w:val="16"/>
                <w:szCs w:val="16"/>
              </w:rPr>
              <w:t xml:space="preserve">spoluprácu pri vyhodnocovaní auditných zistení EK týkajúcich sa verejného obstarávania. </w:t>
            </w:r>
          </w:p>
          <w:p w:rsidR="00D36671" w:rsidRPr="008B2A4E" w:rsidRDefault="00D36671" w:rsidP="009B7C77">
            <w:pPr>
              <w:pStyle w:val="Odsekzoznamu"/>
              <w:numPr>
                <w:ilvl w:val="0"/>
                <w:numId w:val="123"/>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Zavedenie analýzy rizík pri výkone kontroly VO zo strany RO, ktorá identifikuje riziko zákazky z pohľadu potrebnej spolupráce s ÚVO a to spôsobom vykonania kontroly podľa § 146 ods. 4 zákona o 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Samotná analýza bude predstavovať súbor údajov, ktoré budú vyhodnocované (napr. predpokladaná hodnota zákazky, postup obstarávania, existencia revíznych postupov, rozsah podmienok účasti a pod.) pričom každý z týchto údajov bude mať svoju bodovú hodnotu, predstavujúcu úroveň rizika (napr. hodnota postupu verejnej súťaže bude mať hodnotu </w:t>
            </w:r>
            <w:r w:rsidRPr="008B2A4E">
              <w:rPr>
                <w:rFonts w:asciiTheme="majorHAnsi" w:hAnsiTheme="majorHAnsi"/>
                <w:sz w:val="16"/>
                <w:szCs w:val="16"/>
              </w:rPr>
              <w:lastRenderedPageBreak/>
              <w:t xml:space="preserve">rizika 0, zatiaľ čo rokovacie konanie 15 bodov. Sumárna hodnota všetkých týchto čiastkových bodov bude predstavovať celkové riziko zákazky a podľa tejto hodnoty v nadväznosti na hodnotiaci kľúč bude RO oprávnené, neoprávnené alebo povinné požiadať ÚVO </w:t>
            </w:r>
            <w:r w:rsidR="00661D68" w:rsidRPr="008B2A4E">
              <w:rPr>
                <w:rFonts w:asciiTheme="majorHAnsi" w:hAnsiTheme="majorHAnsi"/>
                <w:sz w:val="16"/>
                <w:szCs w:val="16"/>
              </w:rPr>
              <w:br/>
            </w:r>
            <w:r w:rsidRPr="008B2A4E">
              <w:rPr>
                <w:rFonts w:asciiTheme="majorHAnsi" w:hAnsiTheme="majorHAnsi"/>
                <w:sz w:val="16"/>
                <w:szCs w:val="16"/>
              </w:rPr>
              <w:t xml:space="preserve">o kontrolu tohto VO . </w:t>
            </w:r>
          </w:p>
          <w:p w:rsidR="00D36671" w:rsidRPr="008B2A4E" w:rsidRDefault="00D36671" w:rsidP="009B7C77">
            <w:pPr>
              <w:pStyle w:val="Odsekzoznamu"/>
              <w:numPr>
                <w:ilvl w:val="0"/>
                <w:numId w:val="123"/>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Vypracovanie vzorových dokumentov využívaných v procese </w:t>
            </w:r>
            <w:r w:rsidR="00661D68" w:rsidRPr="008B2A4E">
              <w:rPr>
                <w:rFonts w:asciiTheme="majorHAnsi" w:hAnsiTheme="majorHAnsi"/>
                <w:sz w:val="16"/>
                <w:szCs w:val="16"/>
              </w:rPr>
              <w:t>VO</w:t>
            </w:r>
            <w:r w:rsidRPr="008B2A4E">
              <w:rPr>
                <w:rFonts w:asciiTheme="majorHAnsi" w:hAnsiTheme="majorHAnsi"/>
                <w:sz w:val="16"/>
                <w:szCs w:val="16"/>
              </w:rPr>
              <w:t xml:space="preserve"> (napr. súťažné podklady, návrhy oznámení využívaných v procesoch VO) a ich zverejnenie a sprístupnenie prijímateľom pomoci. Opatrenie má za cieľ znížiť chybovosť v procesoch </w:t>
            </w:r>
            <w:r w:rsidR="00661D68" w:rsidRPr="008B2A4E">
              <w:rPr>
                <w:rFonts w:asciiTheme="majorHAnsi" w:hAnsiTheme="majorHAnsi"/>
                <w:sz w:val="16"/>
                <w:szCs w:val="16"/>
              </w:rPr>
              <w:t>VO</w:t>
            </w:r>
            <w:r w:rsidRPr="008B2A4E">
              <w:rPr>
                <w:rFonts w:asciiTheme="majorHAnsi" w:hAnsiTheme="majorHAnsi"/>
                <w:sz w:val="16"/>
                <w:szCs w:val="16"/>
              </w:rPr>
              <w:t xml:space="preserve"> zo strany verejných obstarávateľov alebo obstarávateľov a zvýšenie transparentnosti. </w:t>
            </w:r>
          </w:p>
          <w:p w:rsidR="00D36671" w:rsidRPr="008B2A4E" w:rsidRDefault="00D36671" w:rsidP="009B7C77">
            <w:pPr>
              <w:pStyle w:val="Odsekzoznamu"/>
              <w:numPr>
                <w:ilvl w:val="0"/>
                <w:numId w:val="123"/>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V nadväznosti na prijatie nového zákona o verejnom obstarávaní sa pripravia vzorové súťažné podklady, vzory oznámení používaných </w:t>
            </w:r>
            <w:r w:rsidR="006A78FC" w:rsidRPr="008B2A4E">
              <w:rPr>
                <w:rFonts w:asciiTheme="majorHAnsi" w:hAnsiTheme="majorHAnsi"/>
                <w:sz w:val="16"/>
                <w:szCs w:val="16"/>
              </w:rPr>
              <w:br/>
            </w:r>
            <w:r w:rsidRPr="008B2A4E">
              <w:rPr>
                <w:rFonts w:asciiTheme="majorHAnsi" w:hAnsiTheme="majorHAnsi"/>
                <w:sz w:val="16"/>
                <w:szCs w:val="16"/>
              </w:rPr>
              <w:t xml:space="preserve">v procese </w:t>
            </w:r>
            <w:r w:rsidR="00661D68" w:rsidRPr="008B2A4E">
              <w:rPr>
                <w:rFonts w:asciiTheme="majorHAnsi" w:hAnsiTheme="majorHAnsi"/>
                <w:sz w:val="16"/>
                <w:szCs w:val="16"/>
              </w:rPr>
              <w:t>VO</w:t>
            </w:r>
            <w:r w:rsidRPr="008B2A4E">
              <w:rPr>
                <w:rFonts w:asciiTheme="majorHAnsi" w:hAnsiTheme="majorHAnsi"/>
                <w:sz w:val="16"/>
                <w:szCs w:val="16"/>
              </w:rPr>
              <w:t>.</w:t>
            </w:r>
          </w:p>
          <w:p w:rsidR="00D36671" w:rsidRPr="008B2A4E" w:rsidRDefault="00D36671" w:rsidP="009B7C77">
            <w:pPr>
              <w:pStyle w:val="Odsekzoznamu"/>
              <w:numPr>
                <w:ilvl w:val="0"/>
                <w:numId w:val="123"/>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Na úrovni systému riadenia vypracovanie kontrolných zoznamov pre kontrolu RO, ktoré budú zohľadňovať špecifiká rôznych druhov </w:t>
            </w:r>
            <w:r w:rsidR="00661D68" w:rsidRPr="008B2A4E">
              <w:rPr>
                <w:rFonts w:asciiTheme="majorHAnsi" w:hAnsiTheme="majorHAnsi"/>
                <w:sz w:val="16"/>
                <w:szCs w:val="16"/>
              </w:rPr>
              <w:t>VO</w:t>
            </w:r>
            <w:r w:rsidRPr="008B2A4E">
              <w:rPr>
                <w:rFonts w:asciiTheme="majorHAnsi" w:hAnsiTheme="majorHAnsi"/>
                <w:sz w:val="16"/>
                <w:szCs w:val="16"/>
              </w:rPr>
              <w:t xml:space="preserve"> (verejná súťaž, užšia súťaž, rokovacie konanie a pod.) a odrážať najčastejšie pochybenia pri procesoch VO zistených </w:t>
            </w:r>
            <w:r w:rsidR="00661D68" w:rsidRPr="008B2A4E">
              <w:rPr>
                <w:rFonts w:asciiTheme="majorHAnsi" w:hAnsiTheme="majorHAnsi"/>
                <w:sz w:val="16"/>
                <w:szCs w:val="16"/>
              </w:rPr>
              <w:br/>
            </w:r>
            <w:r w:rsidRPr="008B2A4E">
              <w:rPr>
                <w:rFonts w:asciiTheme="majorHAnsi" w:hAnsiTheme="majorHAnsi"/>
                <w:sz w:val="16"/>
                <w:szCs w:val="16"/>
              </w:rPr>
              <w:t>v predchádzajúcom období 2007 -</w:t>
            </w:r>
            <w:r w:rsidR="00661D68" w:rsidRPr="008B2A4E">
              <w:rPr>
                <w:rFonts w:asciiTheme="majorHAnsi" w:hAnsiTheme="majorHAnsi"/>
                <w:sz w:val="16"/>
                <w:szCs w:val="16"/>
              </w:rPr>
              <w:t xml:space="preserve"> </w:t>
            </w:r>
            <w:r w:rsidRPr="008B2A4E">
              <w:rPr>
                <w:rFonts w:asciiTheme="majorHAnsi" w:hAnsiTheme="majorHAnsi"/>
                <w:sz w:val="16"/>
                <w:szCs w:val="16"/>
              </w:rPr>
              <w:t>2013,</w:t>
            </w:r>
          </w:p>
          <w:p w:rsidR="00D36671" w:rsidRPr="008B2A4E" w:rsidRDefault="00D36671" w:rsidP="009B7C77">
            <w:pPr>
              <w:pStyle w:val="Odsekzoznamu"/>
              <w:numPr>
                <w:ilvl w:val="0"/>
                <w:numId w:val="123"/>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Príprava jednotných pravidiel a požiadaviek na VO a požiadaviek na dokumentáciu VO. Na úrovni aplikácie zákona o verejnom obstarávaní bude ÚVO jednotnými metodickými výkladmi a jednotnou rozhodovacou praxou v rámci kontroly a revíznych postupov zabezpečovať transparentné, konzistentné a predvídateľné obstarávateľské prostredie. </w:t>
            </w:r>
          </w:p>
          <w:p w:rsidR="00D36671" w:rsidRPr="00B05B51" w:rsidRDefault="00D36671" w:rsidP="003A6140">
            <w:pPr>
              <w:spacing w:before="0" w:line="276" w:lineRule="auto"/>
              <w:rPr>
                <w:rFonts w:asciiTheme="majorHAnsi" w:hAnsiTheme="majorHAnsi"/>
                <w:sz w:val="16"/>
                <w:szCs w:val="16"/>
              </w:rPr>
            </w:pPr>
            <w:r w:rsidRPr="00B05B51">
              <w:rPr>
                <w:rFonts w:asciiTheme="majorHAnsi" w:hAnsiTheme="majorHAnsi"/>
                <w:sz w:val="16"/>
                <w:szCs w:val="16"/>
              </w:rPr>
              <w:t xml:space="preserve">V rámci záväzných postupov definovaných v metodických a riadiacich dokumentáciách na úrovni systému riadenia, ktorými sa budú riadiť RO pri výkone kontroly a tiež prijímatelia pri realizácii VO a následného predkladania dokumentácie, dôjde k zosúladeniu postupov a prípravy jednotných pravidiel (napr. jednotné výstupy z kontrol, jednotné požiadavky na prijímateľov ohľadne rozsahu potrebnej dokumentácie, jednotné požiadavky na úroveň zverejňovania zákaziek s veľmi malou hodnotou a pod.).  </w:t>
            </w: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t>Zavedenie povinnej ex</w:t>
            </w:r>
            <w:r w:rsidR="000D7C6E">
              <w:rPr>
                <w:rFonts w:asciiTheme="majorHAnsi" w:hAnsiTheme="majorHAnsi"/>
                <w:sz w:val="16"/>
                <w:szCs w:val="16"/>
              </w:rPr>
              <w:t xml:space="preserve"> </w:t>
            </w:r>
            <w:r w:rsidRPr="008B2A4E">
              <w:rPr>
                <w:rFonts w:asciiTheme="majorHAnsi" w:hAnsiTheme="majorHAnsi"/>
                <w:sz w:val="16"/>
                <w:szCs w:val="16"/>
              </w:rPr>
              <w:t xml:space="preserve">ante kontroly dokumentácie zo strany RO </w:t>
            </w:r>
            <w:r w:rsidRPr="008B2A4E">
              <w:rPr>
                <w:rFonts w:asciiTheme="majorHAnsi" w:hAnsiTheme="majorHAnsi"/>
                <w:sz w:val="16"/>
                <w:szCs w:val="16"/>
              </w:rPr>
              <w:lastRenderedPageBreak/>
              <w:t xml:space="preserve">(kontrola návrhu súťažných podkladov a oznámenia o vyhlásení </w:t>
            </w:r>
            <w:r w:rsidR="00661D68" w:rsidRPr="008B2A4E">
              <w:rPr>
                <w:rFonts w:asciiTheme="majorHAnsi" w:hAnsiTheme="majorHAnsi"/>
                <w:sz w:val="16"/>
                <w:szCs w:val="16"/>
              </w:rPr>
              <w:t>VO</w:t>
            </w:r>
            <w:r w:rsidRPr="008B2A4E">
              <w:rPr>
                <w:rFonts w:asciiTheme="majorHAnsi" w:hAnsiTheme="majorHAnsi"/>
                <w:sz w:val="16"/>
                <w:szCs w:val="16"/>
              </w:rPr>
              <w:t xml:space="preserve"> pred jej vyhlásením) a kontroly </w:t>
            </w:r>
            <w:r w:rsidR="00661D68" w:rsidRPr="008B2A4E">
              <w:rPr>
                <w:rFonts w:asciiTheme="majorHAnsi" w:hAnsiTheme="majorHAnsi"/>
                <w:sz w:val="16"/>
                <w:szCs w:val="16"/>
              </w:rPr>
              <w:t>VO</w:t>
            </w:r>
            <w:r w:rsidRPr="008B2A4E">
              <w:rPr>
                <w:rFonts w:asciiTheme="majorHAnsi" w:hAnsiTheme="majorHAnsi"/>
                <w:sz w:val="16"/>
                <w:szCs w:val="16"/>
              </w:rPr>
              <w:t xml:space="preserve"> pred podpisom zmluvy s úspešným uchádzačom. Uvedený typ kontroly má za úlohu preventívne eliminovať chyby a nedostatky v návrhoch dokumentácie k </w:t>
            </w:r>
            <w:r w:rsidR="00661D68" w:rsidRPr="008B2A4E">
              <w:rPr>
                <w:rFonts w:asciiTheme="majorHAnsi" w:hAnsiTheme="majorHAnsi"/>
                <w:sz w:val="16"/>
                <w:szCs w:val="16"/>
              </w:rPr>
              <w:t>VO</w:t>
            </w:r>
            <w:r w:rsidRPr="008B2A4E">
              <w:rPr>
                <w:rFonts w:asciiTheme="majorHAnsi" w:hAnsiTheme="majorHAnsi"/>
                <w:sz w:val="16"/>
                <w:szCs w:val="16"/>
              </w:rPr>
              <w:t xml:space="preserve"> a tým znížiť riziko porušenia zákona o verejnom obstarávaní. Pri tejto kontrole bude RO tiež spolupracovať s ÚVO. </w:t>
            </w: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t>Zvedenie spolupráce s Protimonopolným úradom SR</w:t>
            </w:r>
            <w:r w:rsidR="00661D68" w:rsidRPr="008B2A4E">
              <w:rPr>
                <w:rFonts w:asciiTheme="majorHAnsi" w:hAnsiTheme="majorHAnsi"/>
                <w:sz w:val="16"/>
                <w:szCs w:val="16"/>
              </w:rPr>
              <w:t>,</w:t>
            </w:r>
            <w:r w:rsidRPr="008B2A4E">
              <w:rPr>
                <w:rFonts w:asciiTheme="majorHAnsi" w:hAnsiTheme="majorHAnsi"/>
                <w:sz w:val="16"/>
                <w:szCs w:val="16"/>
              </w:rPr>
              <w:t xml:space="preserve"> posilnenie ochrany hospodárskej súťaže zavedením spolupráce tohto subjektu </w:t>
            </w:r>
            <w:r w:rsidR="00661D68" w:rsidRPr="008B2A4E">
              <w:rPr>
                <w:rFonts w:asciiTheme="majorHAnsi" w:hAnsiTheme="majorHAnsi"/>
                <w:sz w:val="16"/>
                <w:szCs w:val="16"/>
              </w:rPr>
              <w:br/>
            </w:r>
            <w:r w:rsidRPr="008B2A4E">
              <w:rPr>
                <w:rFonts w:asciiTheme="majorHAnsi" w:hAnsiTheme="majorHAnsi"/>
                <w:sz w:val="16"/>
                <w:szCs w:val="16"/>
              </w:rPr>
              <w:t xml:space="preserve">s RO v rámci Dohody o spolupráci. RO budú v prípade identifikácie rizikových faktorov „redflags“ povinný požiadať PMÚ o spoluprácu -formou konzultácií alebo podania podnetu. Ďalšia oblasť spolupráce je pri tvorbe všeobecnej metodiky systému kontroly VO a v rámci školiacej činnosti zamestnancov vykonávajúcich kontrolu. PMÚ zabezpečuje ochranu hospodárskej súťaže v zmysle Nariadenia Rady (ES) č. 1/2003 zo 16. </w:t>
            </w:r>
            <w:r w:rsidR="00661D68" w:rsidRPr="008B2A4E">
              <w:rPr>
                <w:rFonts w:asciiTheme="majorHAnsi" w:hAnsiTheme="majorHAnsi"/>
                <w:sz w:val="16"/>
                <w:szCs w:val="16"/>
              </w:rPr>
              <w:t>d</w:t>
            </w:r>
            <w:r w:rsidRPr="008B2A4E">
              <w:rPr>
                <w:rFonts w:asciiTheme="majorHAnsi" w:hAnsiTheme="majorHAnsi"/>
                <w:sz w:val="16"/>
                <w:szCs w:val="16"/>
              </w:rPr>
              <w:t xml:space="preserve">ecembra 2002 o vykonávaní pravidiel hospodárskej súťaže ustanovených v článkoch 81 a 82 Zmluvy </w:t>
            </w:r>
            <w:r w:rsidR="00661D68" w:rsidRPr="008B2A4E">
              <w:rPr>
                <w:rFonts w:asciiTheme="majorHAnsi" w:hAnsiTheme="majorHAnsi"/>
                <w:sz w:val="16"/>
                <w:szCs w:val="16"/>
              </w:rPr>
              <w:br/>
            </w:r>
            <w:r w:rsidRPr="008B2A4E">
              <w:rPr>
                <w:rFonts w:asciiTheme="majorHAnsi" w:hAnsiTheme="majorHAnsi"/>
                <w:sz w:val="16"/>
                <w:szCs w:val="16"/>
              </w:rPr>
              <w:t xml:space="preserve">o fungovaní EÚ. </w:t>
            </w: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Zavedenie cenových máp, benchmarkov a limitov pre posúdenie hospodárnosti. Na úrovni systému riadenia sa zavedie povinnosť RO posudzovať maximálnu výšku požadovaného nenávratného príspevku </w:t>
            </w:r>
            <w:r w:rsidR="006A78FC" w:rsidRPr="008B2A4E">
              <w:rPr>
                <w:rFonts w:asciiTheme="majorHAnsi" w:hAnsiTheme="majorHAnsi"/>
                <w:sz w:val="16"/>
                <w:szCs w:val="16"/>
              </w:rPr>
              <w:br/>
            </w:r>
            <w:r w:rsidRPr="008B2A4E">
              <w:rPr>
                <w:rFonts w:asciiTheme="majorHAnsi" w:hAnsiTheme="majorHAnsi"/>
                <w:sz w:val="16"/>
                <w:szCs w:val="16"/>
              </w:rPr>
              <w:t xml:space="preserve">s ohľadom na zavedený systém cenových máp, benchmarkov a limitov pre najčastejšie resp. najpodstatnejšie typy výdavkov. Dodržanie týchto limitov bude následne overované pri kontrole </w:t>
            </w:r>
            <w:r w:rsidR="00661D68" w:rsidRPr="008B2A4E">
              <w:rPr>
                <w:rFonts w:asciiTheme="majorHAnsi" w:hAnsiTheme="majorHAnsi"/>
                <w:sz w:val="16"/>
                <w:szCs w:val="16"/>
              </w:rPr>
              <w:t>VO</w:t>
            </w:r>
            <w:r w:rsidRPr="008B2A4E">
              <w:rPr>
                <w:rFonts w:asciiTheme="majorHAnsi" w:hAnsiTheme="majorHAnsi"/>
                <w:sz w:val="16"/>
                <w:szCs w:val="16"/>
              </w:rPr>
              <w:t xml:space="preserve"> resp. jeho výsledku. Zároveň sa zadefinuje metodický postup na zostavovanie týchto ukazovateľov, aby bol zabezpečený ich jednotný </w:t>
            </w:r>
            <w:r w:rsidR="00661D68" w:rsidRPr="008B2A4E">
              <w:rPr>
                <w:rFonts w:asciiTheme="majorHAnsi" w:hAnsiTheme="majorHAnsi"/>
                <w:sz w:val="16"/>
                <w:szCs w:val="16"/>
              </w:rPr>
              <w:br/>
            </w:r>
            <w:r w:rsidRPr="008B2A4E">
              <w:rPr>
                <w:rFonts w:asciiTheme="majorHAnsi" w:hAnsiTheme="majorHAnsi"/>
                <w:sz w:val="16"/>
                <w:szCs w:val="16"/>
              </w:rPr>
              <w:t>a transparentný spôsob určovania</w:t>
            </w:r>
          </w:p>
          <w:p w:rsidR="00D36671" w:rsidRPr="00B05B51" w:rsidRDefault="00D36671" w:rsidP="008B2A4E">
            <w:pPr>
              <w:spacing w:before="0" w:line="276" w:lineRule="auto"/>
              <w:ind w:left="238" w:hanging="238"/>
              <w:rPr>
                <w:rFonts w:asciiTheme="majorHAnsi" w:hAnsiTheme="majorHAnsi"/>
                <w:sz w:val="16"/>
                <w:szCs w:val="16"/>
              </w:rPr>
            </w:pP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t>Konflikt záujmov: V zmysle a na účely zákona o verejnom obstarávaní je možné konflikt záujmov riešiť iba na vertikálnej úrovni a teda na úrovni konfliktu medzi záujmami verejného obstarávateľa/obstarávateľa/osoby podľa § 7 a uchádzača /záujemcu.</w:t>
            </w: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lastRenderedPageBreak/>
              <w:t xml:space="preserve">Ak je ohrozená alebo narušená nestranná a objektívna realizácia </w:t>
            </w:r>
            <w:r w:rsidR="00661D68" w:rsidRPr="008B2A4E">
              <w:rPr>
                <w:rFonts w:asciiTheme="majorHAnsi" w:hAnsiTheme="majorHAnsi"/>
                <w:sz w:val="16"/>
                <w:szCs w:val="16"/>
              </w:rPr>
              <w:t>VO</w:t>
            </w:r>
            <w:r w:rsidRPr="008B2A4E">
              <w:rPr>
                <w:rFonts w:asciiTheme="majorHAnsi" w:hAnsiTheme="majorHAnsi"/>
                <w:sz w:val="16"/>
                <w:szCs w:val="16"/>
              </w:rPr>
              <w:t xml:space="preserve">, ktorej následkom môže byť narušenie hospodárskej súťaže alebo ohrozenie zásady rovnakého zaobchádzania so všetkými uchádzačmi/záujemcami, a to priamo alebo nepriamo z dôvodu vzájomne si odporujúcich rodinných alebo citových záujmov, ekonomických, politických alebo profesijných záujmov alebo akýchkoľvek iných záujmov osôb (konflikt záujmov) ide o konanie, ktoré je v rozpore so základnými princípmi vo </w:t>
            </w:r>
            <w:r w:rsidR="00661D68" w:rsidRPr="008B2A4E">
              <w:rPr>
                <w:rFonts w:asciiTheme="majorHAnsi" w:hAnsiTheme="majorHAnsi"/>
                <w:sz w:val="16"/>
                <w:szCs w:val="16"/>
              </w:rPr>
              <w:t>VO</w:t>
            </w:r>
            <w:r w:rsidRPr="008B2A4E">
              <w:rPr>
                <w:rFonts w:asciiTheme="majorHAnsi" w:hAnsiTheme="majorHAnsi"/>
                <w:sz w:val="16"/>
                <w:szCs w:val="16"/>
              </w:rPr>
              <w:t xml:space="preserve"> podľa § 9 ods. 3 zákona o verejnom obstarávaní.</w:t>
            </w: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Problematika bude riešená na úrovni legislatívnej a úrovni systémovej. Na úrovni legislatívnej SR v transpozičnej lehote plne transponuje úpravu konfliktu záujmov vychádzajúcu z novej smernice EÚ k verejnému obstarávaniu. Na úrovni systému riadenia a kontroly budú zadefinované postupy výkonu administratívnej kontroly RO pre identifikovanie konfliktu záujmov a jeho ďalšie posúdenie </w:t>
            </w:r>
            <w:r w:rsidR="00661D68" w:rsidRPr="008B2A4E">
              <w:rPr>
                <w:rFonts w:asciiTheme="majorHAnsi" w:hAnsiTheme="majorHAnsi"/>
                <w:sz w:val="16"/>
                <w:szCs w:val="16"/>
              </w:rPr>
              <w:br/>
            </w:r>
            <w:r w:rsidRPr="008B2A4E">
              <w:rPr>
                <w:rFonts w:asciiTheme="majorHAnsi" w:hAnsiTheme="majorHAnsi"/>
                <w:sz w:val="16"/>
                <w:szCs w:val="16"/>
              </w:rPr>
              <w:t>a spracovanie.</w:t>
            </w: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t>Nedostatočná hospodárska súťaž – predloženie len 1 ponuky: Tento nedostatok bol riešený na úrovni legislatívnej a úrovni systémovej. Na úrovni legislatívnej bol novelou zákona o verejnom obstarávaní ustanovená možnosť verejného obstarávateľa zrušiť postup zadávania zákazky v prípadoch, že bude predložená len jedna alebo dve ponuky. Na úrovni systémovej bol tento nedostatok riešený úpravou systému riadenia, podľa ktorej je RO povinný pri identifikácii VO v rámci ktorého bola predložená len jedna ponuka, požiadať ÚVO o výkon kontroly celého VO. Táto povinnosť bude prenesená aj do nového systému riadenia a kontroly. Zároveň bude ochrana hospodárskej súťaže posilnená spoluprácou subjektov kontroly s Protimonopolným úradom SR.</w:t>
            </w:r>
          </w:p>
          <w:p w:rsidR="00D36671" w:rsidRPr="008B2A4E" w:rsidRDefault="00D36671" w:rsidP="009B7C77">
            <w:pPr>
              <w:pStyle w:val="Odsekzoznamu"/>
              <w:numPr>
                <w:ilvl w:val="0"/>
                <w:numId w:val="124"/>
              </w:numPr>
              <w:spacing w:before="0" w:line="276" w:lineRule="auto"/>
              <w:ind w:left="238" w:hanging="238"/>
              <w:rPr>
                <w:rFonts w:asciiTheme="majorHAnsi" w:hAnsiTheme="majorHAnsi"/>
                <w:sz w:val="16"/>
                <w:szCs w:val="16"/>
              </w:rPr>
            </w:pPr>
            <w:r w:rsidRPr="008B2A4E">
              <w:rPr>
                <w:rFonts w:asciiTheme="majorHAnsi" w:hAnsiTheme="majorHAnsi"/>
                <w:sz w:val="16"/>
                <w:szCs w:val="16"/>
              </w:rPr>
              <w:t xml:space="preserve">Diskriminačné podmienky súťaže: Na odstránenie resp. identifikáciu diskriminačných podmienok súťaže sú zamerané viaceré z vyššie uvedených opatrení ako napr. spolupráca s ÚVO, </w:t>
            </w:r>
            <w:r w:rsidR="000D7C6E">
              <w:rPr>
                <w:rFonts w:asciiTheme="majorHAnsi" w:hAnsiTheme="majorHAnsi"/>
                <w:sz w:val="16"/>
                <w:szCs w:val="16"/>
              </w:rPr>
              <w:br/>
            </w:r>
            <w:r w:rsidRPr="008B2A4E">
              <w:rPr>
                <w:rFonts w:asciiTheme="majorHAnsi" w:hAnsiTheme="majorHAnsi"/>
                <w:sz w:val="16"/>
                <w:szCs w:val="16"/>
              </w:rPr>
              <w:t>ex</w:t>
            </w:r>
            <w:r w:rsidR="000D7C6E">
              <w:rPr>
                <w:rFonts w:asciiTheme="majorHAnsi" w:hAnsiTheme="majorHAnsi"/>
                <w:sz w:val="16"/>
                <w:szCs w:val="16"/>
              </w:rPr>
              <w:t xml:space="preserve"> </w:t>
            </w:r>
            <w:r w:rsidRPr="008B2A4E">
              <w:rPr>
                <w:rFonts w:asciiTheme="majorHAnsi" w:hAnsiTheme="majorHAnsi"/>
                <w:sz w:val="16"/>
                <w:szCs w:val="16"/>
              </w:rPr>
              <w:t xml:space="preserve">ante kontrola oznámení a súťažných podkladov pred vyhlásením súťaže a aj opatrenia uvedené pri časti odborných príprav zamestnancov a využitia technickej pomoci pre zavádzanie a uplatňovanie pravidiel EÚ v oblasti verejného obstarávania (napr. </w:t>
            </w:r>
            <w:r w:rsidRPr="008B2A4E">
              <w:rPr>
                <w:rFonts w:asciiTheme="majorHAnsi" w:hAnsiTheme="majorHAnsi"/>
                <w:sz w:val="16"/>
                <w:szCs w:val="16"/>
              </w:rPr>
              <w:lastRenderedPageBreak/>
              <w:t xml:space="preserve">školenia zamestnancov, školenia prijímateľov, zverejňovanie a informovanie o zistených nedostatkoch)  </w:t>
            </w:r>
          </w:p>
        </w:tc>
        <w:tc>
          <w:tcPr>
            <w:tcW w:w="2862" w:type="dxa"/>
            <w:gridSpan w:val="3"/>
          </w:tcPr>
          <w:p w:rsidR="00CA0E4F" w:rsidRPr="00B763E3" w:rsidRDefault="00CA0E4F" w:rsidP="00CA0E4F">
            <w:pPr>
              <w:tabs>
                <w:tab w:val="left" w:pos="2302"/>
              </w:tabs>
              <w:rPr>
                <w:rFonts w:asciiTheme="majorHAnsi" w:hAnsiTheme="majorHAnsi"/>
                <w:sz w:val="16"/>
                <w:szCs w:val="16"/>
              </w:rPr>
            </w:pPr>
            <w:r w:rsidRPr="00B763E3">
              <w:rPr>
                <w:rFonts w:asciiTheme="majorHAnsi" w:hAnsiTheme="majorHAnsi"/>
                <w:sz w:val="16"/>
                <w:szCs w:val="16"/>
              </w:rPr>
              <w:lastRenderedPageBreak/>
              <w:t>Z</w:t>
            </w:r>
            <w:r w:rsidR="00E61814">
              <w:rPr>
                <w:rFonts w:asciiTheme="majorHAnsi" w:hAnsiTheme="majorHAnsi"/>
                <w:sz w:val="16"/>
                <w:szCs w:val="16"/>
              </w:rPr>
              <w:t xml:space="preserve">hodnotenie </w:t>
            </w:r>
            <w:r w:rsidRPr="00B763E3">
              <w:rPr>
                <w:rFonts w:asciiTheme="majorHAnsi" w:hAnsiTheme="majorHAnsi"/>
                <w:sz w:val="16"/>
                <w:szCs w:val="16"/>
              </w:rPr>
              <w:t>efektívnosti opatrení v rámci kritérií 1 až 4. Termín: 30.</w:t>
            </w:r>
            <w:r w:rsidR="00A729C2">
              <w:rPr>
                <w:rFonts w:asciiTheme="majorHAnsi" w:hAnsiTheme="majorHAnsi"/>
                <w:sz w:val="16"/>
                <w:szCs w:val="16"/>
              </w:rPr>
              <w:t xml:space="preserve"> </w:t>
            </w:r>
            <w:r w:rsidRPr="00B763E3">
              <w:rPr>
                <w:rFonts w:asciiTheme="majorHAnsi" w:hAnsiTheme="majorHAnsi"/>
                <w:sz w:val="16"/>
                <w:szCs w:val="16"/>
              </w:rPr>
              <w:t>6.</w:t>
            </w:r>
            <w:r w:rsidR="00A729C2">
              <w:rPr>
                <w:rFonts w:asciiTheme="majorHAnsi" w:hAnsiTheme="majorHAnsi"/>
                <w:sz w:val="16"/>
                <w:szCs w:val="16"/>
              </w:rPr>
              <w:t xml:space="preserve"> </w:t>
            </w:r>
            <w:r w:rsidRPr="00B763E3">
              <w:rPr>
                <w:rFonts w:asciiTheme="majorHAnsi" w:hAnsiTheme="majorHAnsi"/>
                <w:sz w:val="16"/>
                <w:szCs w:val="16"/>
              </w:rPr>
              <w:t>2015</w:t>
            </w:r>
          </w:p>
          <w:p w:rsidR="00D36671" w:rsidRPr="00B763E3" w:rsidRDefault="00D36671" w:rsidP="003A6140">
            <w:pPr>
              <w:tabs>
                <w:tab w:val="left" w:pos="2302"/>
              </w:tabs>
              <w:rPr>
                <w:rFonts w:asciiTheme="majorHAnsi" w:hAnsiTheme="majorHAnsi"/>
                <w:sz w:val="16"/>
                <w:szCs w:val="16"/>
              </w:rPr>
            </w:pPr>
            <w:r w:rsidRPr="00B763E3">
              <w:rPr>
                <w:rFonts w:asciiTheme="majorHAnsi" w:hAnsiTheme="majorHAnsi"/>
                <w:sz w:val="16"/>
                <w:szCs w:val="16"/>
              </w:rPr>
              <w:t>Do 18.</w:t>
            </w:r>
            <w:r w:rsidR="005E28E6" w:rsidRPr="00B763E3">
              <w:rPr>
                <w:rFonts w:asciiTheme="majorHAnsi" w:hAnsiTheme="majorHAnsi"/>
                <w:sz w:val="16"/>
                <w:szCs w:val="16"/>
              </w:rPr>
              <w:t xml:space="preserve"> </w:t>
            </w:r>
            <w:r w:rsidRPr="00B763E3">
              <w:rPr>
                <w:rFonts w:asciiTheme="majorHAnsi" w:hAnsiTheme="majorHAnsi"/>
                <w:sz w:val="16"/>
                <w:szCs w:val="16"/>
              </w:rPr>
              <w:t>04.</w:t>
            </w:r>
            <w:r w:rsidR="005E28E6" w:rsidRPr="00B763E3">
              <w:rPr>
                <w:rFonts w:asciiTheme="majorHAnsi" w:hAnsiTheme="majorHAnsi"/>
                <w:sz w:val="16"/>
                <w:szCs w:val="16"/>
              </w:rPr>
              <w:t xml:space="preserve"> </w:t>
            </w:r>
            <w:r w:rsidRPr="00B763E3">
              <w:rPr>
                <w:rFonts w:asciiTheme="majorHAnsi" w:hAnsiTheme="majorHAnsi"/>
                <w:sz w:val="16"/>
                <w:szCs w:val="16"/>
              </w:rPr>
              <w:t xml:space="preserve">2016 prijatie nového zákona o verejnom obstarávaní, ktorý transponuje smernice č. 2014/23/EÚ, </w:t>
            </w:r>
            <w:r w:rsidRPr="00B763E3">
              <w:rPr>
                <w:rFonts w:asciiTheme="majorHAnsi" w:hAnsiTheme="majorHAnsi"/>
                <w:sz w:val="16"/>
                <w:szCs w:val="16"/>
              </w:rPr>
              <w:lastRenderedPageBreak/>
              <w:t>2014/24/EÚ, 2014/25/EÚ</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r w:rsidRPr="00B763E3">
              <w:rPr>
                <w:rFonts w:asciiTheme="majorHAnsi" w:hAnsiTheme="majorHAnsi"/>
                <w:sz w:val="16"/>
                <w:szCs w:val="16"/>
              </w:rPr>
              <w:t>Termín: V lehote určenej smernicou EP a Rady č. 2014/23/EÚ, 2014/24/EÚ, 2014/25/EÚ</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394471" w:rsidRPr="00B763E3" w:rsidRDefault="003944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r w:rsidRPr="00B763E3">
              <w:rPr>
                <w:rFonts w:asciiTheme="majorHAnsi" w:hAnsiTheme="majorHAnsi"/>
                <w:sz w:val="16"/>
                <w:szCs w:val="16"/>
              </w:rPr>
              <w:t>Na nové PO 2014-2020 bude uzatvorená nová Dohoda o spolupráci Termín: 30.</w:t>
            </w:r>
            <w:r w:rsidR="00661D68" w:rsidRPr="00B763E3">
              <w:rPr>
                <w:rFonts w:asciiTheme="majorHAnsi" w:hAnsiTheme="majorHAnsi"/>
                <w:sz w:val="16"/>
                <w:szCs w:val="16"/>
              </w:rPr>
              <w:t xml:space="preserve"> </w:t>
            </w:r>
            <w:r w:rsidRPr="00B763E3">
              <w:rPr>
                <w:rFonts w:asciiTheme="majorHAnsi" w:hAnsiTheme="majorHAnsi"/>
                <w:sz w:val="16"/>
                <w:szCs w:val="16"/>
              </w:rPr>
              <w:t>9.</w:t>
            </w:r>
            <w:r w:rsidR="00661D68" w:rsidRPr="00B763E3">
              <w:rPr>
                <w:rFonts w:asciiTheme="majorHAnsi" w:hAnsiTheme="majorHAnsi"/>
                <w:sz w:val="16"/>
                <w:szCs w:val="16"/>
              </w:rPr>
              <w:t xml:space="preserve"> </w:t>
            </w:r>
            <w:r w:rsidRPr="00B763E3">
              <w:rPr>
                <w:rFonts w:asciiTheme="majorHAnsi" w:hAnsiTheme="majorHAnsi"/>
                <w:sz w:val="16"/>
                <w:szCs w:val="16"/>
              </w:rPr>
              <w:t>2014</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rPr>
                <w:rFonts w:asciiTheme="majorHAnsi" w:hAnsiTheme="majorHAnsi" w:cs="Arial"/>
                <w:sz w:val="16"/>
                <w:szCs w:val="16"/>
              </w:rPr>
            </w:pPr>
            <w:r w:rsidRPr="00B763E3">
              <w:rPr>
                <w:rFonts w:asciiTheme="majorHAnsi" w:hAnsiTheme="majorHAnsi" w:cs="Arial"/>
                <w:sz w:val="16"/>
                <w:szCs w:val="16"/>
              </w:rPr>
              <w:t>Termín: 30.</w:t>
            </w:r>
            <w:r w:rsidR="00661D68" w:rsidRPr="00B763E3">
              <w:rPr>
                <w:rFonts w:asciiTheme="majorHAnsi" w:hAnsiTheme="majorHAnsi" w:cs="Arial"/>
                <w:sz w:val="16"/>
                <w:szCs w:val="16"/>
              </w:rPr>
              <w:t xml:space="preserve"> </w:t>
            </w:r>
            <w:r w:rsidRPr="00B763E3">
              <w:rPr>
                <w:rFonts w:asciiTheme="majorHAnsi" w:hAnsiTheme="majorHAnsi" w:cs="Arial"/>
                <w:sz w:val="16"/>
                <w:szCs w:val="16"/>
              </w:rPr>
              <w:t>9.</w:t>
            </w:r>
            <w:r w:rsidR="00661D68" w:rsidRPr="00B763E3">
              <w:rPr>
                <w:rFonts w:asciiTheme="majorHAnsi" w:hAnsiTheme="majorHAnsi" w:cs="Arial"/>
                <w:sz w:val="16"/>
                <w:szCs w:val="16"/>
              </w:rPr>
              <w:t xml:space="preserve"> </w:t>
            </w:r>
            <w:r w:rsidRPr="00B763E3">
              <w:rPr>
                <w:rFonts w:asciiTheme="majorHAnsi" w:hAnsiTheme="majorHAnsi" w:cs="Arial"/>
                <w:sz w:val="16"/>
                <w:szCs w:val="16"/>
              </w:rPr>
              <w:t xml:space="preserve">2014 </w:t>
            </w:r>
          </w:p>
          <w:p w:rsidR="00D36671" w:rsidRPr="00B763E3" w:rsidRDefault="00D36671" w:rsidP="003A6140">
            <w:pPr>
              <w:rPr>
                <w:rFonts w:asciiTheme="majorHAnsi" w:hAnsiTheme="majorHAnsi" w:cs="Arial"/>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r w:rsidRPr="00B763E3">
              <w:rPr>
                <w:rFonts w:asciiTheme="majorHAnsi" w:hAnsiTheme="majorHAnsi"/>
                <w:sz w:val="16"/>
                <w:szCs w:val="16"/>
              </w:rPr>
              <w:t xml:space="preserve">Termín: </w:t>
            </w:r>
            <w:r w:rsidR="00CA0E4F" w:rsidRPr="00B763E3">
              <w:rPr>
                <w:rFonts w:asciiTheme="majorHAnsi" w:hAnsiTheme="majorHAnsi"/>
                <w:sz w:val="16"/>
                <w:szCs w:val="16"/>
              </w:rPr>
              <w:t>31.8. 2016</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CA0E4F" w:rsidP="003A6140">
            <w:pPr>
              <w:tabs>
                <w:tab w:val="left" w:pos="2302"/>
              </w:tabs>
              <w:rPr>
                <w:rFonts w:asciiTheme="majorHAnsi" w:hAnsiTheme="majorHAnsi"/>
                <w:sz w:val="16"/>
                <w:szCs w:val="16"/>
              </w:rPr>
            </w:pPr>
            <w:r w:rsidRPr="00B763E3">
              <w:rPr>
                <w:rFonts w:asciiTheme="majorHAnsi" w:hAnsiTheme="majorHAnsi"/>
                <w:sz w:val="16"/>
                <w:szCs w:val="16"/>
              </w:rPr>
              <w:t>T</w:t>
            </w:r>
            <w:r w:rsidR="00D36671" w:rsidRPr="00B763E3">
              <w:rPr>
                <w:rFonts w:asciiTheme="majorHAnsi" w:hAnsiTheme="majorHAnsi"/>
                <w:sz w:val="16"/>
                <w:szCs w:val="16"/>
              </w:rPr>
              <w:t>ermín: 30.</w:t>
            </w:r>
            <w:r w:rsidR="00661D68" w:rsidRPr="00B763E3">
              <w:rPr>
                <w:rFonts w:asciiTheme="majorHAnsi" w:hAnsiTheme="majorHAnsi"/>
                <w:sz w:val="16"/>
                <w:szCs w:val="16"/>
              </w:rPr>
              <w:t xml:space="preserve"> </w:t>
            </w:r>
            <w:r w:rsidR="00D36671" w:rsidRPr="00B763E3">
              <w:rPr>
                <w:rFonts w:asciiTheme="majorHAnsi" w:hAnsiTheme="majorHAnsi"/>
                <w:sz w:val="16"/>
                <w:szCs w:val="16"/>
              </w:rPr>
              <w:t>9.</w:t>
            </w:r>
            <w:r w:rsidR="00661D68" w:rsidRPr="00B763E3">
              <w:rPr>
                <w:rFonts w:asciiTheme="majorHAnsi" w:hAnsiTheme="majorHAnsi"/>
                <w:sz w:val="16"/>
                <w:szCs w:val="16"/>
              </w:rPr>
              <w:t xml:space="preserve"> </w:t>
            </w:r>
            <w:r w:rsidR="00D36671" w:rsidRPr="00B763E3">
              <w:rPr>
                <w:rFonts w:asciiTheme="majorHAnsi" w:hAnsiTheme="majorHAnsi"/>
                <w:sz w:val="16"/>
                <w:szCs w:val="16"/>
              </w:rPr>
              <w:t>2014</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CA0E4F" w:rsidRPr="00B763E3" w:rsidRDefault="00CA0E4F" w:rsidP="003A6140">
            <w:pPr>
              <w:tabs>
                <w:tab w:val="left" w:pos="2302"/>
              </w:tabs>
              <w:rPr>
                <w:rFonts w:asciiTheme="majorHAnsi" w:hAnsiTheme="majorHAnsi"/>
                <w:sz w:val="16"/>
                <w:szCs w:val="16"/>
              </w:rPr>
            </w:pPr>
          </w:p>
          <w:p w:rsidR="00CA0E4F" w:rsidRPr="00B763E3" w:rsidRDefault="00CA0E4F" w:rsidP="003A6140">
            <w:pPr>
              <w:tabs>
                <w:tab w:val="left" w:pos="2302"/>
              </w:tabs>
              <w:rPr>
                <w:rFonts w:asciiTheme="majorHAnsi" w:hAnsiTheme="majorHAnsi"/>
                <w:sz w:val="16"/>
                <w:szCs w:val="16"/>
              </w:rPr>
            </w:pPr>
          </w:p>
          <w:p w:rsidR="00CA0E4F" w:rsidRPr="00B763E3" w:rsidRDefault="00CA0E4F" w:rsidP="003A6140">
            <w:pPr>
              <w:tabs>
                <w:tab w:val="left" w:pos="2302"/>
              </w:tabs>
              <w:rPr>
                <w:rFonts w:asciiTheme="majorHAnsi" w:hAnsiTheme="majorHAnsi"/>
                <w:sz w:val="16"/>
                <w:szCs w:val="16"/>
              </w:rPr>
            </w:pPr>
          </w:p>
          <w:p w:rsidR="00D36671" w:rsidRPr="00B763E3" w:rsidRDefault="00CA0E4F" w:rsidP="003A6140">
            <w:pPr>
              <w:tabs>
                <w:tab w:val="left" w:pos="2302"/>
              </w:tabs>
              <w:rPr>
                <w:rFonts w:asciiTheme="majorHAnsi" w:hAnsiTheme="majorHAnsi"/>
                <w:sz w:val="16"/>
                <w:szCs w:val="16"/>
              </w:rPr>
            </w:pPr>
            <w:r w:rsidRPr="00B763E3">
              <w:rPr>
                <w:rFonts w:asciiTheme="majorHAnsi" w:hAnsiTheme="majorHAnsi"/>
                <w:sz w:val="16"/>
                <w:szCs w:val="16"/>
              </w:rPr>
              <w:t>T</w:t>
            </w:r>
            <w:r w:rsidR="00D36671" w:rsidRPr="00B763E3">
              <w:rPr>
                <w:rFonts w:asciiTheme="majorHAnsi" w:hAnsiTheme="majorHAnsi"/>
                <w:sz w:val="16"/>
                <w:szCs w:val="16"/>
              </w:rPr>
              <w:t>ermín: 30.</w:t>
            </w:r>
            <w:r w:rsidR="00661D68" w:rsidRPr="00B763E3">
              <w:rPr>
                <w:rFonts w:asciiTheme="majorHAnsi" w:hAnsiTheme="majorHAnsi"/>
                <w:sz w:val="16"/>
                <w:szCs w:val="16"/>
              </w:rPr>
              <w:t xml:space="preserve"> </w:t>
            </w:r>
            <w:r w:rsidRPr="00B763E3">
              <w:rPr>
                <w:rFonts w:asciiTheme="majorHAnsi" w:hAnsiTheme="majorHAnsi"/>
                <w:sz w:val="16"/>
                <w:szCs w:val="16"/>
              </w:rPr>
              <w:t>6</w:t>
            </w:r>
            <w:r w:rsidR="00D36671" w:rsidRPr="00B763E3">
              <w:rPr>
                <w:rFonts w:asciiTheme="majorHAnsi" w:hAnsiTheme="majorHAnsi"/>
                <w:sz w:val="16"/>
                <w:szCs w:val="16"/>
              </w:rPr>
              <w:t>.</w:t>
            </w:r>
            <w:r w:rsidR="00661D68" w:rsidRPr="00B763E3">
              <w:rPr>
                <w:rFonts w:asciiTheme="majorHAnsi" w:hAnsiTheme="majorHAnsi"/>
                <w:sz w:val="16"/>
                <w:szCs w:val="16"/>
              </w:rPr>
              <w:t xml:space="preserve"> </w:t>
            </w:r>
            <w:r w:rsidR="00D36671" w:rsidRPr="00B763E3">
              <w:rPr>
                <w:rFonts w:asciiTheme="majorHAnsi" w:hAnsiTheme="majorHAnsi"/>
                <w:sz w:val="16"/>
                <w:szCs w:val="16"/>
              </w:rPr>
              <w:t>201</w:t>
            </w:r>
            <w:r w:rsidRPr="00B763E3">
              <w:rPr>
                <w:rFonts w:asciiTheme="majorHAnsi" w:hAnsiTheme="majorHAnsi"/>
                <w:sz w:val="16"/>
                <w:szCs w:val="16"/>
              </w:rPr>
              <w:t>5</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CA0E4F" w:rsidRPr="00B763E3" w:rsidRDefault="00CA0E4F" w:rsidP="003A6140">
            <w:pPr>
              <w:tabs>
                <w:tab w:val="left" w:pos="2302"/>
              </w:tabs>
              <w:rPr>
                <w:rFonts w:asciiTheme="majorHAnsi" w:hAnsiTheme="majorHAnsi"/>
                <w:sz w:val="16"/>
                <w:szCs w:val="16"/>
              </w:rPr>
            </w:pPr>
          </w:p>
          <w:p w:rsidR="00D36671" w:rsidRPr="00B763E3" w:rsidRDefault="00CA0E4F" w:rsidP="003A6140">
            <w:pPr>
              <w:tabs>
                <w:tab w:val="left" w:pos="2302"/>
              </w:tabs>
              <w:rPr>
                <w:rFonts w:asciiTheme="majorHAnsi" w:hAnsiTheme="majorHAnsi"/>
                <w:sz w:val="16"/>
                <w:szCs w:val="16"/>
              </w:rPr>
            </w:pPr>
            <w:r w:rsidRPr="00B763E3">
              <w:rPr>
                <w:rFonts w:asciiTheme="majorHAnsi" w:hAnsiTheme="majorHAnsi"/>
                <w:sz w:val="16"/>
                <w:szCs w:val="16"/>
              </w:rPr>
              <w:t xml:space="preserve">Termín: </w:t>
            </w:r>
            <w:r w:rsidR="00D36671" w:rsidRPr="00B763E3">
              <w:rPr>
                <w:rFonts w:asciiTheme="majorHAnsi" w:hAnsiTheme="majorHAnsi"/>
                <w:sz w:val="16"/>
                <w:szCs w:val="16"/>
              </w:rPr>
              <w:t>30.</w:t>
            </w:r>
            <w:r w:rsidR="00661D68" w:rsidRPr="00B763E3">
              <w:rPr>
                <w:rFonts w:asciiTheme="majorHAnsi" w:hAnsiTheme="majorHAnsi"/>
                <w:sz w:val="16"/>
                <w:szCs w:val="16"/>
              </w:rPr>
              <w:t xml:space="preserve"> </w:t>
            </w:r>
            <w:r w:rsidR="00D36671" w:rsidRPr="00B763E3">
              <w:rPr>
                <w:rFonts w:asciiTheme="majorHAnsi" w:hAnsiTheme="majorHAnsi"/>
                <w:sz w:val="16"/>
                <w:szCs w:val="16"/>
              </w:rPr>
              <w:t>9.</w:t>
            </w:r>
            <w:r w:rsidR="00661D68" w:rsidRPr="00B763E3">
              <w:rPr>
                <w:rFonts w:asciiTheme="majorHAnsi" w:hAnsiTheme="majorHAnsi"/>
                <w:sz w:val="16"/>
                <w:szCs w:val="16"/>
              </w:rPr>
              <w:t xml:space="preserve"> </w:t>
            </w:r>
            <w:r w:rsidR="00D36671" w:rsidRPr="00B763E3">
              <w:rPr>
                <w:rFonts w:asciiTheme="majorHAnsi" w:hAnsiTheme="majorHAnsi"/>
                <w:sz w:val="16"/>
                <w:szCs w:val="16"/>
              </w:rPr>
              <w:t>2014</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CA0E4F" w:rsidRPr="00B763E3" w:rsidRDefault="00CA0E4F"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r w:rsidRPr="00B763E3">
              <w:rPr>
                <w:rFonts w:asciiTheme="majorHAnsi" w:hAnsiTheme="majorHAnsi"/>
                <w:sz w:val="16"/>
                <w:szCs w:val="16"/>
              </w:rPr>
              <w:t>Termín: 30.</w:t>
            </w:r>
            <w:r w:rsidR="00661D68" w:rsidRPr="00B763E3">
              <w:rPr>
                <w:rFonts w:asciiTheme="majorHAnsi" w:hAnsiTheme="majorHAnsi"/>
                <w:sz w:val="16"/>
                <w:szCs w:val="16"/>
              </w:rPr>
              <w:t xml:space="preserve"> </w:t>
            </w:r>
            <w:r w:rsidRPr="00B763E3">
              <w:rPr>
                <w:rFonts w:asciiTheme="majorHAnsi" w:hAnsiTheme="majorHAnsi"/>
                <w:sz w:val="16"/>
                <w:szCs w:val="16"/>
              </w:rPr>
              <w:t>9.</w:t>
            </w:r>
            <w:r w:rsidR="00661D68" w:rsidRPr="00B763E3">
              <w:rPr>
                <w:rFonts w:asciiTheme="majorHAnsi" w:hAnsiTheme="majorHAnsi"/>
                <w:sz w:val="16"/>
                <w:szCs w:val="16"/>
              </w:rPr>
              <w:t xml:space="preserve"> </w:t>
            </w:r>
            <w:r w:rsidRPr="00B763E3">
              <w:rPr>
                <w:rFonts w:asciiTheme="majorHAnsi" w:hAnsiTheme="majorHAnsi"/>
                <w:sz w:val="16"/>
                <w:szCs w:val="16"/>
              </w:rPr>
              <w:t>2014</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CA0E4F" w:rsidRPr="00B763E3" w:rsidRDefault="00CA0E4F"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r w:rsidRPr="00B763E3">
              <w:rPr>
                <w:rFonts w:asciiTheme="majorHAnsi" w:hAnsiTheme="majorHAnsi"/>
                <w:sz w:val="16"/>
                <w:szCs w:val="16"/>
              </w:rPr>
              <w:t>Termín: 30.</w:t>
            </w:r>
            <w:r w:rsidR="00661D68" w:rsidRPr="00B763E3">
              <w:rPr>
                <w:rFonts w:asciiTheme="majorHAnsi" w:hAnsiTheme="majorHAnsi"/>
                <w:sz w:val="16"/>
                <w:szCs w:val="16"/>
              </w:rPr>
              <w:t xml:space="preserve"> </w:t>
            </w:r>
            <w:r w:rsidRPr="00B763E3">
              <w:rPr>
                <w:rFonts w:asciiTheme="majorHAnsi" w:hAnsiTheme="majorHAnsi"/>
                <w:sz w:val="16"/>
                <w:szCs w:val="16"/>
              </w:rPr>
              <w:t>9.</w:t>
            </w:r>
            <w:r w:rsidR="00661D68" w:rsidRPr="00B763E3">
              <w:rPr>
                <w:rFonts w:asciiTheme="majorHAnsi" w:hAnsiTheme="majorHAnsi"/>
                <w:sz w:val="16"/>
                <w:szCs w:val="16"/>
              </w:rPr>
              <w:t xml:space="preserve"> </w:t>
            </w:r>
            <w:r w:rsidRPr="00B763E3">
              <w:rPr>
                <w:rFonts w:asciiTheme="majorHAnsi" w:hAnsiTheme="majorHAnsi"/>
                <w:sz w:val="16"/>
                <w:szCs w:val="16"/>
              </w:rPr>
              <w:t>2014</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CA0E4F" w:rsidRPr="00B763E3" w:rsidRDefault="00CA0E4F" w:rsidP="00CA0E4F">
            <w:pPr>
              <w:tabs>
                <w:tab w:val="left" w:pos="2302"/>
              </w:tabs>
              <w:rPr>
                <w:rFonts w:asciiTheme="majorHAnsi" w:hAnsiTheme="majorHAnsi"/>
                <w:sz w:val="16"/>
                <w:szCs w:val="16"/>
              </w:rPr>
            </w:pPr>
            <w:r w:rsidRPr="00B763E3">
              <w:rPr>
                <w:rFonts w:asciiTheme="majorHAnsi" w:hAnsiTheme="majorHAnsi"/>
                <w:sz w:val="16"/>
                <w:szCs w:val="16"/>
              </w:rPr>
              <w:t>18. 4. 2016</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r w:rsidRPr="00B763E3">
              <w:rPr>
                <w:rFonts w:asciiTheme="majorHAnsi" w:hAnsiTheme="majorHAnsi"/>
                <w:sz w:val="16"/>
                <w:szCs w:val="16"/>
              </w:rPr>
              <w:t>Termín: 30.</w:t>
            </w:r>
            <w:r w:rsidR="00661D68" w:rsidRPr="00B763E3">
              <w:rPr>
                <w:rFonts w:asciiTheme="majorHAnsi" w:hAnsiTheme="majorHAnsi"/>
                <w:sz w:val="16"/>
                <w:szCs w:val="16"/>
              </w:rPr>
              <w:t xml:space="preserve"> </w:t>
            </w:r>
            <w:r w:rsidRPr="00B763E3">
              <w:rPr>
                <w:rFonts w:asciiTheme="majorHAnsi" w:hAnsiTheme="majorHAnsi"/>
                <w:sz w:val="16"/>
                <w:szCs w:val="16"/>
              </w:rPr>
              <w:t>9.</w:t>
            </w:r>
            <w:r w:rsidR="00661D68" w:rsidRPr="00B763E3">
              <w:rPr>
                <w:rFonts w:asciiTheme="majorHAnsi" w:hAnsiTheme="majorHAnsi"/>
                <w:sz w:val="16"/>
                <w:szCs w:val="16"/>
              </w:rPr>
              <w:t xml:space="preserve"> </w:t>
            </w:r>
            <w:r w:rsidRPr="00B763E3">
              <w:rPr>
                <w:rFonts w:asciiTheme="majorHAnsi" w:hAnsiTheme="majorHAnsi"/>
                <w:sz w:val="16"/>
                <w:szCs w:val="16"/>
              </w:rPr>
              <w:t>2014</w:t>
            </w: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D36671" w:rsidRPr="00B763E3" w:rsidRDefault="00D36671" w:rsidP="003A6140">
            <w:pPr>
              <w:tabs>
                <w:tab w:val="left" w:pos="2302"/>
              </w:tabs>
              <w:rPr>
                <w:rFonts w:asciiTheme="majorHAnsi" w:hAnsiTheme="majorHAnsi"/>
                <w:sz w:val="16"/>
                <w:szCs w:val="16"/>
              </w:rPr>
            </w:pPr>
          </w:p>
          <w:p w:rsidR="00CA0E4F" w:rsidRPr="00B763E3" w:rsidRDefault="00CA0E4F" w:rsidP="00CA0E4F">
            <w:pPr>
              <w:tabs>
                <w:tab w:val="left" w:pos="2302"/>
              </w:tabs>
              <w:rPr>
                <w:rFonts w:asciiTheme="majorHAnsi" w:hAnsiTheme="majorHAnsi"/>
                <w:sz w:val="16"/>
                <w:szCs w:val="16"/>
              </w:rPr>
            </w:pPr>
          </w:p>
          <w:p w:rsidR="00CA0E4F" w:rsidRPr="00B763E3" w:rsidRDefault="00CA0E4F" w:rsidP="00CA0E4F">
            <w:pPr>
              <w:tabs>
                <w:tab w:val="left" w:pos="2302"/>
              </w:tabs>
              <w:rPr>
                <w:rFonts w:asciiTheme="majorHAnsi" w:hAnsiTheme="majorHAnsi"/>
                <w:sz w:val="16"/>
                <w:szCs w:val="16"/>
              </w:rPr>
            </w:pPr>
          </w:p>
          <w:p w:rsidR="00CA0E4F" w:rsidRPr="00B763E3" w:rsidRDefault="00CA0E4F" w:rsidP="00CA0E4F">
            <w:pPr>
              <w:tabs>
                <w:tab w:val="left" w:pos="2302"/>
              </w:tabs>
              <w:rPr>
                <w:rFonts w:asciiTheme="majorHAnsi" w:hAnsiTheme="majorHAnsi"/>
                <w:sz w:val="16"/>
                <w:szCs w:val="16"/>
              </w:rPr>
            </w:pPr>
          </w:p>
          <w:p w:rsidR="00CA0E4F" w:rsidRPr="00B763E3" w:rsidRDefault="00CA0E4F" w:rsidP="00CA0E4F">
            <w:pPr>
              <w:tabs>
                <w:tab w:val="left" w:pos="2302"/>
              </w:tabs>
              <w:rPr>
                <w:rFonts w:asciiTheme="majorHAnsi" w:hAnsiTheme="majorHAnsi"/>
                <w:sz w:val="16"/>
                <w:szCs w:val="16"/>
              </w:rPr>
            </w:pPr>
          </w:p>
          <w:p w:rsidR="00D36671" w:rsidRPr="00B763E3" w:rsidRDefault="00D36671" w:rsidP="00CA0E4F">
            <w:pPr>
              <w:tabs>
                <w:tab w:val="left" w:pos="2302"/>
              </w:tabs>
              <w:rPr>
                <w:rFonts w:asciiTheme="majorHAnsi" w:hAnsiTheme="majorHAnsi"/>
                <w:sz w:val="16"/>
                <w:szCs w:val="16"/>
              </w:rPr>
            </w:pPr>
            <w:r w:rsidRPr="00B763E3">
              <w:rPr>
                <w:rFonts w:asciiTheme="majorHAnsi" w:hAnsiTheme="majorHAnsi"/>
                <w:sz w:val="16"/>
                <w:szCs w:val="16"/>
              </w:rPr>
              <w:t xml:space="preserve">Termín: </w:t>
            </w:r>
            <w:r w:rsidR="00CA0E4F" w:rsidRPr="00B763E3">
              <w:rPr>
                <w:rFonts w:asciiTheme="majorHAnsi" w:hAnsiTheme="majorHAnsi"/>
                <w:sz w:val="16"/>
                <w:szCs w:val="16"/>
              </w:rPr>
              <w:t>30.</w:t>
            </w:r>
            <w:r w:rsidR="006567E9">
              <w:rPr>
                <w:rFonts w:asciiTheme="majorHAnsi" w:hAnsiTheme="majorHAnsi"/>
                <w:sz w:val="16"/>
                <w:szCs w:val="16"/>
              </w:rPr>
              <w:t xml:space="preserve"> </w:t>
            </w:r>
            <w:r w:rsidR="00CA0E4F" w:rsidRPr="00B763E3">
              <w:rPr>
                <w:rFonts w:asciiTheme="majorHAnsi" w:hAnsiTheme="majorHAnsi"/>
                <w:sz w:val="16"/>
                <w:szCs w:val="16"/>
              </w:rPr>
              <w:t>6.</w:t>
            </w:r>
            <w:r w:rsidR="006567E9">
              <w:rPr>
                <w:rFonts w:asciiTheme="majorHAnsi" w:hAnsiTheme="majorHAnsi"/>
                <w:sz w:val="16"/>
                <w:szCs w:val="16"/>
              </w:rPr>
              <w:t xml:space="preserve"> </w:t>
            </w:r>
            <w:r w:rsidR="00CA0E4F" w:rsidRPr="00B763E3">
              <w:rPr>
                <w:rFonts w:asciiTheme="majorHAnsi" w:hAnsiTheme="majorHAnsi"/>
                <w:sz w:val="16"/>
                <w:szCs w:val="16"/>
              </w:rPr>
              <w:t>2015</w:t>
            </w:r>
          </w:p>
        </w:tc>
        <w:tc>
          <w:tcPr>
            <w:tcW w:w="2346" w:type="dxa"/>
            <w:tcBorders>
              <w:top w:val="single" w:sz="12" w:space="0" w:color="auto"/>
              <w:right w:val="single" w:sz="12" w:space="0" w:color="auto"/>
            </w:tcBorders>
          </w:tcPr>
          <w:p w:rsidR="00D36671" w:rsidRPr="00B763E3" w:rsidRDefault="00D36671" w:rsidP="003A6140">
            <w:pPr>
              <w:rPr>
                <w:rFonts w:asciiTheme="majorHAnsi" w:hAnsiTheme="majorHAnsi" w:cs="Arial"/>
                <w:sz w:val="16"/>
                <w:szCs w:val="16"/>
              </w:rPr>
            </w:pPr>
            <w:r w:rsidRPr="00B763E3">
              <w:rPr>
                <w:rFonts w:asciiTheme="majorHAnsi" w:hAnsiTheme="majorHAnsi" w:cs="Arial"/>
                <w:sz w:val="16"/>
                <w:szCs w:val="16"/>
              </w:rPr>
              <w:lastRenderedPageBreak/>
              <w:t>Úrad pre verejné obstarávanie (ÚVO)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 xml:space="preserve">Zodpovedný: ÚVO v spolupráci </w:t>
            </w:r>
            <w:r w:rsidR="006A78FC" w:rsidRPr="00B763E3">
              <w:rPr>
                <w:rFonts w:asciiTheme="majorHAnsi" w:hAnsiTheme="majorHAnsi"/>
                <w:sz w:val="16"/>
                <w:szCs w:val="16"/>
                <w:lang w:eastAsia="sk-SK"/>
              </w:rPr>
              <w:br/>
            </w:r>
            <w:r w:rsidRPr="00B763E3">
              <w:rPr>
                <w:rFonts w:asciiTheme="majorHAnsi" w:hAnsiTheme="majorHAnsi"/>
                <w:sz w:val="16"/>
                <w:szCs w:val="16"/>
                <w:lang w:eastAsia="sk-SK"/>
              </w:rPr>
              <w:t>s OP EVS</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CKO v spolupráci s ÚVO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ÚVO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CKO v spolupráci s ÚVO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ÚVO a CKO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CKO v spolupráci s ÚVO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CKO v spolupráci s PMÚ</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CKO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CKO v spolupráci s ÚVO</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CKO v spolupráci s ÚVO a PMÚ</w:t>
            </w: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p>
          <w:p w:rsidR="00D36671" w:rsidRPr="00B763E3" w:rsidRDefault="00D36671" w:rsidP="003A6140">
            <w:pPr>
              <w:autoSpaceDE w:val="0"/>
              <w:autoSpaceDN w:val="0"/>
              <w:adjustRightInd w:val="0"/>
              <w:spacing w:before="0"/>
              <w:jc w:val="left"/>
              <w:rPr>
                <w:rFonts w:asciiTheme="majorHAnsi" w:hAnsiTheme="majorHAnsi"/>
                <w:sz w:val="16"/>
                <w:szCs w:val="16"/>
                <w:lang w:eastAsia="sk-SK"/>
              </w:rPr>
            </w:pPr>
            <w:r w:rsidRPr="00B763E3">
              <w:rPr>
                <w:rFonts w:asciiTheme="majorHAnsi" w:hAnsiTheme="majorHAnsi"/>
                <w:sz w:val="16"/>
                <w:szCs w:val="16"/>
                <w:lang w:eastAsia="sk-SK"/>
              </w:rPr>
              <w:t>Zodpovedný: v závislosti od konkrétneho opatrenia uvedeného v tomto AP.</w:t>
            </w:r>
          </w:p>
        </w:tc>
      </w:tr>
      <w:tr w:rsidR="00D36671" w:rsidRPr="00DF567A" w:rsidTr="003A6140">
        <w:trPr>
          <w:trHeight w:val="6"/>
        </w:trPr>
        <w:tc>
          <w:tcPr>
            <w:tcW w:w="1949" w:type="dxa"/>
            <w:vMerge/>
            <w:tcBorders>
              <w:left w:val="single" w:sz="12" w:space="0" w:color="auto"/>
            </w:tcBorders>
          </w:tcPr>
          <w:p w:rsidR="00D36671" w:rsidRPr="009B7C77" w:rsidRDefault="00D36671" w:rsidP="003A6140">
            <w:pPr>
              <w:spacing w:before="0" w:line="276" w:lineRule="auto"/>
              <w:rPr>
                <w:rFonts w:asciiTheme="majorHAnsi" w:hAnsiTheme="majorHAnsi" w:cs="EUAlbertina"/>
                <w:color w:val="000000"/>
                <w:sz w:val="16"/>
                <w:szCs w:val="16"/>
              </w:rPr>
            </w:pPr>
          </w:p>
        </w:tc>
        <w:tc>
          <w:tcPr>
            <w:tcW w:w="2100" w:type="dxa"/>
            <w:gridSpan w:val="2"/>
            <w:tcBorders>
              <w:top w:val="single" w:sz="2" w:space="0" w:color="auto"/>
              <w:bottom w:val="single" w:sz="2" w:space="0" w:color="auto"/>
            </w:tcBorders>
          </w:tcPr>
          <w:p w:rsidR="00D36671" w:rsidRPr="009B7C77" w:rsidRDefault="00D36671" w:rsidP="003A6140">
            <w:pPr>
              <w:spacing w:before="0" w:line="276" w:lineRule="auto"/>
              <w:rPr>
                <w:rFonts w:asciiTheme="majorHAnsi" w:hAnsiTheme="majorHAnsi"/>
                <w:bCs/>
                <w:spacing w:val="-3"/>
                <w:sz w:val="16"/>
                <w:szCs w:val="16"/>
                <w:lang w:eastAsia="fr-FR"/>
              </w:rPr>
            </w:pPr>
            <w:r w:rsidRPr="009B7C77">
              <w:rPr>
                <w:rFonts w:asciiTheme="majorHAnsi" w:hAnsiTheme="majorHAnsi"/>
                <w:bCs/>
                <w:spacing w:val="-3"/>
                <w:sz w:val="16"/>
                <w:szCs w:val="16"/>
                <w:lang w:eastAsia="fr-FR"/>
              </w:rPr>
              <w:t>Opatrenia, ktorými sa zabezpečia transparentné postupy prideľovania zákaziek.</w:t>
            </w:r>
          </w:p>
        </w:tc>
        <w:tc>
          <w:tcPr>
            <w:tcW w:w="4853" w:type="dxa"/>
            <w:gridSpan w:val="2"/>
          </w:tcPr>
          <w:p w:rsidR="00D36671" w:rsidRPr="009B7C77" w:rsidRDefault="00D36671" w:rsidP="00947D1A">
            <w:pPr>
              <w:spacing w:before="0" w:line="276" w:lineRule="auto"/>
              <w:rPr>
                <w:rFonts w:asciiTheme="majorHAnsi" w:hAnsiTheme="majorHAnsi"/>
                <w:sz w:val="16"/>
                <w:szCs w:val="16"/>
              </w:rPr>
            </w:pPr>
            <w:r w:rsidRPr="009B7C77">
              <w:rPr>
                <w:rFonts w:asciiTheme="majorHAnsi" w:hAnsiTheme="majorHAnsi" w:cs="Arial"/>
                <w:sz w:val="16"/>
                <w:szCs w:val="16"/>
              </w:rPr>
              <w:t xml:space="preserve">Oblasť zadávania zákaziek nepodliehajúcich príslušným smerniciam EÚ v oblasti VO (podlimitné zákazky) je v SR legislatívne pokrytá samotným zákonom o VO. Takto je zabezpečená povinnosť postupu podľa tohto zákona pri obstarávaní prác, tovarov a služieb pre verejných obstarávateľov, obstarávateľov ako aj osôb, ktoré sú prijímateľmi nenávratného finančného príspevku. Postupy pre takéto zákazky vychádzajú zo základných princípov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uvádzaných </w:t>
            </w:r>
            <w:r w:rsidR="00947D1A" w:rsidRPr="009B7C77">
              <w:rPr>
                <w:rFonts w:asciiTheme="majorHAnsi" w:hAnsiTheme="majorHAnsi" w:cs="Arial"/>
                <w:sz w:val="16"/>
                <w:szCs w:val="16"/>
              </w:rPr>
              <w:br/>
            </w:r>
            <w:r w:rsidRPr="009B7C77">
              <w:rPr>
                <w:rFonts w:asciiTheme="majorHAnsi" w:hAnsiTheme="majorHAnsi" w:cs="Arial"/>
                <w:sz w:val="16"/>
                <w:szCs w:val="16"/>
              </w:rPr>
              <w:t xml:space="preserve">v predmetných smerniciach EÚ, preto zabezpečujú transparentné postupy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aj pre zákazky, ktoré nespadajú pod smernice EÚ v oblasti verejného obstarávania. Na postupy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týchto zákaziek sa budú vzťahovať rovnaké opatrenia uvedené vyššie, v kritériu 1.</w:t>
            </w:r>
          </w:p>
        </w:tc>
        <w:tc>
          <w:tcPr>
            <w:tcW w:w="2862" w:type="dxa"/>
            <w:gridSpan w:val="3"/>
          </w:tcPr>
          <w:p w:rsidR="00D36671" w:rsidRPr="009B7C77" w:rsidRDefault="00D36671" w:rsidP="00CA0E4F">
            <w:pPr>
              <w:tabs>
                <w:tab w:val="left" w:pos="2302"/>
              </w:tabs>
              <w:rPr>
                <w:rFonts w:asciiTheme="majorHAnsi" w:hAnsiTheme="majorHAnsi"/>
                <w:sz w:val="16"/>
                <w:szCs w:val="16"/>
              </w:rPr>
            </w:pPr>
            <w:r w:rsidRPr="009B7C77">
              <w:rPr>
                <w:rFonts w:asciiTheme="majorHAnsi" w:hAnsiTheme="majorHAnsi" w:cs="Arial"/>
                <w:sz w:val="16"/>
                <w:szCs w:val="16"/>
              </w:rPr>
              <w:t xml:space="preserve"> Termín: </w:t>
            </w:r>
            <w:r w:rsidR="00CA0E4F" w:rsidRPr="009B7C77">
              <w:rPr>
                <w:rFonts w:asciiTheme="majorHAnsi" w:hAnsiTheme="majorHAnsi" w:cs="Arial"/>
                <w:sz w:val="16"/>
                <w:szCs w:val="16"/>
              </w:rPr>
              <w:t xml:space="preserve">30. 6. 2015 </w:t>
            </w:r>
          </w:p>
        </w:tc>
        <w:tc>
          <w:tcPr>
            <w:tcW w:w="2346" w:type="dxa"/>
            <w:tcBorders>
              <w:right w:val="single" w:sz="12" w:space="0" w:color="auto"/>
            </w:tcBorders>
          </w:tcPr>
          <w:p w:rsidR="00D36671" w:rsidRPr="009B7C77" w:rsidRDefault="00D36671" w:rsidP="00BA185A">
            <w:pPr>
              <w:autoSpaceDE w:val="0"/>
              <w:autoSpaceDN w:val="0"/>
              <w:adjustRightInd w:val="0"/>
              <w:spacing w:before="0"/>
              <w:rPr>
                <w:rFonts w:asciiTheme="majorHAnsi" w:hAnsiTheme="majorHAnsi"/>
                <w:sz w:val="16"/>
                <w:szCs w:val="16"/>
                <w:lang w:eastAsia="sk-SK"/>
              </w:rPr>
            </w:pPr>
            <w:r w:rsidRPr="009B7C77">
              <w:rPr>
                <w:rFonts w:asciiTheme="majorHAnsi" w:hAnsiTheme="majorHAnsi" w:cs="Arial"/>
                <w:sz w:val="16"/>
                <w:szCs w:val="16"/>
              </w:rPr>
              <w:t xml:space="preserve"> Zodpovedný: V závislosti od typu opatrenia uvádzaného v kritériu 1</w:t>
            </w:r>
          </w:p>
        </w:tc>
      </w:tr>
      <w:tr w:rsidR="00D36671" w:rsidRPr="00DF567A" w:rsidTr="003A6140">
        <w:trPr>
          <w:trHeight w:val="340"/>
        </w:trPr>
        <w:tc>
          <w:tcPr>
            <w:tcW w:w="1949" w:type="dxa"/>
            <w:vMerge/>
            <w:tcBorders>
              <w:left w:val="single" w:sz="12" w:space="0" w:color="auto"/>
            </w:tcBorders>
          </w:tcPr>
          <w:p w:rsidR="00D36671" w:rsidRPr="009B7C77" w:rsidRDefault="00D36671" w:rsidP="003A6140">
            <w:pPr>
              <w:spacing w:before="0" w:line="276" w:lineRule="auto"/>
              <w:rPr>
                <w:rFonts w:asciiTheme="majorHAnsi" w:hAnsiTheme="majorHAnsi" w:cs="EUAlbertina"/>
                <w:color w:val="000000"/>
                <w:sz w:val="16"/>
                <w:szCs w:val="16"/>
              </w:rPr>
            </w:pPr>
          </w:p>
        </w:tc>
        <w:tc>
          <w:tcPr>
            <w:tcW w:w="2100" w:type="dxa"/>
            <w:gridSpan w:val="2"/>
            <w:tcBorders>
              <w:top w:val="single" w:sz="2" w:space="0" w:color="auto"/>
              <w:bottom w:val="single" w:sz="2" w:space="0" w:color="auto"/>
            </w:tcBorders>
          </w:tcPr>
          <w:p w:rsidR="00D36671" w:rsidRPr="009B7C77" w:rsidRDefault="00D36671" w:rsidP="003A6140">
            <w:pPr>
              <w:spacing w:before="0" w:line="276" w:lineRule="auto"/>
              <w:rPr>
                <w:rFonts w:asciiTheme="majorHAnsi" w:hAnsiTheme="majorHAnsi"/>
                <w:bCs/>
                <w:spacing w:val="-3"/>
                <w:sz w:val="16"/>
                <w:szCs w:val="16"/>
                <w:lang w:eastAsia="fr-FR"/>
              </w:rPr>
            </w:pPr>
            <w:r w:rsidRPr="009B7C77">
              <w:rPr>
                <w:rFonts w:asciiTheme="majorHAnsi" w:hAnsiTheme="majorHAnsi"/>
                <w:bCs/>
                <w:spacing w:val="-3"/>
                <w:sz w:val="16"/>
                <w:szCs w:val="16"/>
                <w:lang w:eastAsia="fr-FR"/>
              </w:rPr>
              <w:t>Opatrenia na zabezpečenie odbornej prípravy a informovanie zamestnancov zapojených do vykonávania EŠIF.</w:t>
            </w:r>
          </w:p>
        </w:tc>
        <w:tc>
          <w:tcPr>
            <w:tcW w:w="4853" w:type="dxa"/>
            <w:gridSpan w:val="2"/>
          </w:tcPr>
          <w:p w:rsidR="00D36671" w:rsidRPr="009B7C77" w:rsidRDefault="00D36671" w:rsidP="003A6140">
            <w:pPr>
              <w:pStyle w:val="Style30"/>
              <w:widowControl/>
              <w:jc w:val="both"/>
              <w:rPr>
                <w:rFonts w:asciiTheme="majorHAnsi" w:hAnsiTheme="majorHAnsi" w:cs="Arial"/>
                <w:sz w:val="16"/>
                <w:szCs w:val="16"/>
              </w:rPr>
            </w:pPr>
            <w:r w:rsidRPr="009B7C77">
              <w:rPr>
                <w:rFonts w:asciiTheme="majorHAnsi" w:hAnsiTheme="majorHAnsi" w:cs="Arial"/>
                <w:sz w:val="16"/>
                <w:szCs w:val="16"/>
              </w:rPr>
              <w:t xml:space="preserve">3.1 Zabezpečenie školení CKO týkajúcich sa postupov administratívnej kontroly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v rámci systému riadenia, prezentovanie najčastejších nedostatkov identifikovaných pri kontrolách </w:t>
            </w:r>
            <w:r w:rsidR="00947D1A" w:rsidRPr="009B7C77">
              <w:rPr>
                <w:rFonts w:asciiTheme="majorHAnsi" w:hAnsiTheme="majorHAnsi" w:cs="Arial"/>
                <w:sz w:val="16"/>
                <w:szCs w:val="16"/>
              </w:rPr>
              <w:t>VO</w:t>
            </w:r>
            <w:r w:rsidRPr="009B7C77">
              <w:rPr>
                <w:rFonts w:asciiTheme="majorHAnsi" w:hAnsiTheme="majorHAnsi" w:cs="Arial"/>
                <w:sz w:val="16"/>
                <w:szCs w:val="16"/>
              </w:rPr>
              <w:t>.</w:t>
            </w:r>
          </w:p>
          <w:p w:rsidR="00CA0E4F" w:rsidRPr="009B7C77" w:rsidRDefault="00D36671" w:rsidP="00CA0E4F">
            <w:pPr>
              <w:pStyle w:val="Style30"/>
              <w:widowControl/>
              <w:ind w:left="-40"/>
              <w:jc w:val="both"/>
              <w:rPr>
                <w:rFonts w:asciiTheme="majorHAnsi" w:hAnsiTheme="majorHAnsi" w:cs="Arial"/>
                <w:sz w:val="16"/>
                <w:szCs w:val="16"/>
              </w:rPr>
            </w:pPr>
            <w:r w:rsidRPr="009B7C77">
              <w:rPr>
                <w:rFonts w:asciiTheme="majorHAnsi" w:hAnsiTheme="majorHAnsi" w:cs="Arial"/>
                <w:sz w:val="16"/>
                <w:szCs w:val="16"/>
              </w:rPr>
              <w:t xml:space="preserve">CKO už v súčasnosti zabezpečuje školenia pre RO/SORO týkajúce sa postupov administratívnej kontroly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v rámci systému riadenia, prezentovanie najčastejších nedostatkov identifikovaných pri kontrolách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výklad k metodike CKO týkajúcej sa verejného obstarávania. Za rok 2013 bolo takto vyškolených 179 zamestnancov. </w:t>
            </w:r>
            <w:r w:rsidR="00947D1A" w:rsidRPr="009B7C77">
              <w:rPr>
                <w:rFonts w:asciiTheme="majorHAnsi" w:hAnsiTheme="majorHAnsi" w:cs="Arial"/>
                <w:sz w:val="16"/>
                <w:szCs w:val="16"/>
              </w:rPr>
              <w:br/>
            </w:r>
            <w:r w:rsidRPr="009B7C77">
              <w:rPr>
                <w:rFonts w:asciiTheme="majorHAnsi" w:hAnsiTheme="majorHAnsi" w:cs="Arial"/>
                <w:sz w:val="16"/>
                <w:szCs w:val="16"/>
              </w:rPr>
              <w:t>V roku 2014</w:t>
            </w:r>
            <w:r w:rsidR="00CA0E4F" w:rsidRPr="009B7C77">
              <w:rPr>
                <w:rFonts w:asciiTheme="majorHAnsi" w:hAnsiTheme="majorHAnsi" w:cs="Arial"/>
                <w:sz w:val="16"/>
                <w:szCs w:val="16"/>
              </w:rPr>
              <w:t xml:space="preserve"> – 2015 </w:t>
            </w:r>
            <w:r w:rsidRPr="009B7C77">
              <w:rPr>
                <w:rFonts w:asciiTheme="majorHAnsi" w:hAnsiTheme="majorHAnsi" w:cs="Arial"/>
                <w:sz w:val="16"/>
                <w:szCs w:val="16"/>
              </w:rPr>
              <w:t xml:space="preserve"> CKO rovnako plánuje organizovať a zabezpečovať školenia tohto zamerania</w:t>
            </w:r>
            <w:r w:rsidR="00CA0E4F" w:rsidRPr="009B7C77">
              <w:rPr>
                <w:rFonts w:asciiTheme="majorHAnsi" w:hAnsiTheme="majorHAnsi" w:cs="Arial"/>
                <w:sz w:val="16"/>
                <w:szCs w:val="16"/>
              </w:rPr>
              <w:t>, pričom základný modul vyškolenia všetkých zamestnancov je plánovaný ukončiť do 30.6.2015.</w:t>
            </w:r>
          </w:p>
          <w:p w:rsidR="00D36671" w:rsidRPr="009B7C77" w:rsidRDefault="00D36671" w:rsidP="003A6140">
            <w:pPr>
              <w:pStyle w:val="Style30"/>
              <w:widowControl/>
              <w:ind w:left="-40"/>
              <w:jc w:val="both"/>
              <w:rPr>
                <w:rFonts w:asciiTheme="majorHAnsi" w:hAnsiTheme="majorHAnsi" w:cs="Arial"/>
                <w:sz w:val="16"/>
                <w:szCs w:val="16"/>
              </w:rPr>
            </w:pPr>
          </w:p>
          <w:p w:rsidR="00D36671" w:rsidRPr="009B7C77" w:rsidRDefault="00D36671" w:rsidP="003A6140">
            <w:pPr>
              <w:pStyle w:val="Style30"/>
              <w:widowControl/>
              <w:ind w:left="-40"/>
              <w:jc w:val="both"/>
              <w:rPr>
                <w:rFonts w:asciiTheme="majorHAnsi" w:hAnsiTheme="majorHAnsi" w:cs="Arial"/>
                <w:sz w:val="16"/>
                <w:szCs w:val="16"/>
              </w:rPr>
            </w:pPr>
          </w:p>
          <w:p w:rsidR="00D36671" w:rsidRPr="009B7C77" w:rsidRDefault="00D36671" w:rsidP="003A6140">
            <w:pPr>
              <w:spacing w:before="0" w:line="276" w:lineRule="auto"/>
              <w:rPr>
                <w:rFonts w:asciiTheme="majorHAnsi" w:hAnsiTheme="majorHAnsi" w:cs="Arial"/>
                <w:sz w:val="16"/>
                <w:szCs w:val="16"/>
              </w:rPr>
            </w:pPr>
            <w:r w:rsidRPr="009B7C77">
              <w:rPr>
                <w:rFonts w:asciiTheme="majorHAnsi" w:hAnsiTheme="majorHAnsi" w:cs="Arial"/>
                <w:sz w:val="16"/>
                <w:szCs w:val="16"/>
              </w:rPr>
              <w:t xml:space="preserve">Zavedenie jednotného systému vzdelávania zamestnancov v rámci Systému riadenia a kontroly EŠIF. RO bude povinné zabezpečiť pre všetkých zamestnancov zúčastnených na implementácii fondov pravidelnú odbornú prípravu a školenia, pričom títo zamestnanci budú povinní sa tohto vzdelávania zúčastniť. Systém vzdelávania bude nastavený s dôrazom na zabezpečenie cieleného odborného vzdelávania pre konkrétnu skupinu zamestnancov (napr. kontrolórov VO). Uvedená odborná príprava sa týka školení CKO, školení ÚVO a tiež školení organizovanými Protimonopolným úradom vo veci ochrany </w:t>
            </w:r>
            <w:r w:rsidRPr="009B7C77">
              <w:rPr>
                <w:rFonts w:asciiTheme="majorHAnsi" w:hAnsiTheme="majorHAnsi" w:cs="Arial"/>
                <w:sz w:val="16"/>
                <w:szCs w:val="16"/>
              </w:rPr>
              <w:lastRenderedPageBreak/>
              <w:t xml:space="preserve">hospodárskej súťaže.  </w:t>
            </w:r>
          </w:p>
          <w:p w:rsidR="00D36671" w:rsidRPr="009B7C77" w:rsidRDefault="00D36671" w:rsidP="003A6140">
            <w:pPr>
              <w:spacing w:before="0" w:line="276" w:lineRule="auto"/>
              <w:rPr>
                <w:rFonts w:asciiTheme="majorHAnsi" w:hAnsiTheme="majorHAnsi" w:cs="Arial"/>
                <w:sz w:val="16"/>
                <w:szCs w:val="16"/>
              </w:rPr>
            </w:pPr>
            <w:r w:rsidRPr="009B7C77">
              <w:rPr>
                <w:rFonts w:asciiTheme="majorHAnsi" w:hAnsiTheme="majorHAnsi" w:cs="Arial"/>
                <w:sz w:val="16"/>
                <w:szCs w:val="16"/>
              </w:rPr>
              <w:t>Existujúce formy zverejňovania šírenia informácií o nedostatkoch zistených pri kontrole VO budú využívané aj PO 2014</w:t>
            </w:r>
            <w:r w:rsidR="00947D1A" w:rsidRPr="009B7C77">
              <w:rPr>
                <w:rFonts w:asciiTheme="majorHAnsi" w:hAnsiTheme="majorHAnsi" w:cs="Arial"/>
                <w:sz w:val="16"/>
                <w:szCs w:val="16"/>
              </w:rPr>
              <w:t xml:space="preserve"> -</w:t>
            </w:r>
            <w:r w:rsidRPr="009B7C77">
              <w:rPr>
                <w:rFonts w:asciiTheme="majorHAnsi" w:hAnsiTheme="majorHAnsi" w:cs="Arial"/>
                <w:sz w:val="16"/>
                <w:szCs w:val="16"/>
              </w:rPr>
              <w:t xml:space="preserve"> 2020, pričom dôraz bude kladený na ich lepšiu výpovednú hodnotu. </w:t>
            </w:r>
          </w:p>
          <w:p w:rsidR="00D36671" w:rsidRPr="009B7C77" w:rsidRDefault="00D36671" w:rsidP="003A6140">
            <w:pPr>
              <w:spacing w:before="0" w:line="276" w:lineRule="auto"/>
              <w:rPr>
                <w:rFonts w:asciiTheme="majorHAnsi" w:hAnsiTheme="majorHAnsi"/>
                <w:sz w:val="16"/>
                <w:szCs w:val="16"/>
              </w:rPr>
            </w:pPr>
            <w:r w:rsidRPr="009B7C77">
              <w:rPr>
                <w:rFonts w:asciiTheme="majorHAnsi" w:hAnsiTheme="majorHAnsi" w:cs="Arial"/>
                <w:sz w:val="16"/>
                <w:szCs w:val="16"/>
              </w:rPr>
              <w:t xml:space="preserve">Navrhuje sa tiež zriadenie Koordinačného výboru pre spoluprácu pri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Toto odborné fórum pozostávajúce najmä zo zástupcov CKO, ÚVO, CO, OA, RO zabezpečí spoločný postup v rámci aplikácie pravidiel VO (spolupráca pri vydávaní metodických  výkladov, pokynov a usmernení prispôsobených podľa potrieb implementácie fondov EÚ). Jednoznačnou výhodou zriadenia tohto orgánu bude okamžité identifikovanie prípadných závažných pochybení (systémových nezrovnalostí) v postupoch RO/SORO pri kontrole VO a efektívna možnosť prijatia adekvátnych nápravných opatrení na ich odstránenie. Jednotný postup všetkých subjektov a formulovanie spoločného stanoviska bude nepriamo zvyšovať tlak na zvýšený dôraz na včasné odhaľovanie chýb pri VO zo strany subjektov realizujúcich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(pri spoločnom postupe sa zabezpečí rýchlejšia a efektívna reakcia na identifikované chyby).</w:t>
            </w:r>
          </w:p>
        </w:tc>
        <w:tc>
          <w:tcPr>
            <w:tcW w:w="2862" w:type="dxa"/>
            <w:gridSpan w:val="3"/>
          </w:tcPr>
          <w:p w:rsidR="00D36671" w:rsidRPr="009B7C77" w:rsidRDefault="00D36671" w:rsidP="003A6140">
            <w:pPr>
              <w:rPr>
                <w:rFonts w:asciiTheme="majorHAnsi" w:hAnsiTheme="majorHAnsi" w:cs="Arial"/>
                <w:sz w:val="16"/>
                <w:szCs w:val="16"/>
              </w:rPr>
            </w:pPr>
            <w:r w:rsidRPr="009B7C77">
              <w:rPr>
                <w:rFonts w:asciiTheme="majorHAnsi" w:hAnsiTheme="majorHAnsi" w:cs="Arial"/>
                <w:sz w:val="16"/>
                <w:szCs w:val="16"/>
              </w:rPr>
              <w:lastRenderedPageBreak/>
              <w:t xml:space="preserve">Termín: </w:t>
            </w:r>
            <w:r w:rsidR="00CA0E4F" w:rsidRPr="009B7C77">
              <w:rPr>
                <w:rFonts w:asciiTheme="majorHAnsi" w:hAnsiTheme="majorHAnsi" w:cs="Arial"/>
                <w:sz w:val="16"/>
                <w:szCs w:val="16"/>
              </w:rPr>
              <w:t>30. 6. 2015</w:t>
            </w:r>
          </w:p>
          <w:p w:rsidR="00D36671" w:rsidRPr="009B7C77" w:rsidRDefault="00D36671" w:rsidP="003A6140">
            <w:pPr>
              <w:rPr>
                <w:rFonts w:asciiTheme="majorHAnsi" w:hAnsiTheme="majorHAnsi" w:cs="Arial"/>
                <w:sz w:val="16"/>
                <w:szCs w:val="16"/>
              </w:rPr>
            </w:pPr>
          </w:p>
          <w:p w:rsidR="00D36671" w:rsidRPr="009B7C77" w:rsidRDefault="00D36671" w:rsidP="003A6140">
            <w:pPr>
              <w:rPr>
                <w:rFonts w:asciiTheme="majorHAnsi" w:hAnsiTheme="majorHAnsi" w:cs="Arial"/>
                <w:sz w:val="16"/>
                <w:szCs w:val="16"/>
              </w:rPr>
            </w:pPr>
          </w:p>
          <w:p w:rsidR="00D36671" w:rsidRPr="009B7C77" w:rsidRDefault="00D36671" w:rsidP="003A6140">
            <w:pPr>
              <w:rPr>
                <w:rFonts w:asciiTheme="majorHAnsi" w:hAnsiTheme="majorHAnsi" w:cs="Arial"/>
                <w:sz w:val="16"/>
                <w:szCs w:val="16"/>
              </w:rPr>
            </w:pPr>
          </w:p>
          <w:p w:rsidR="00D36671" w:rsidRPr="009B7C77" w:rsidRDefault="00D36671" w:rsidP="003A6140">
            <w:pPr>
              <w:rPr>
                <w:rFonts w:asciiTheme="majorHAnsi" w:hAnsiTheme="majorHAnsi" w:cs="Arial"/>
                <w:sz w:val="16"/>
                <w:szCs w:val="16"/>
              </w:rPr>
            </w:pPr>
          </w:p>
          <w:p w:rsidR="00CA0E4F" w:rsidRPr="009B7C77" w:rsidRDefault="00CA0E4F" w:rsidP="003A6140">
            <w:pPr>
              <w:rPr>
                <w:rFonts w:asciiTheme="majorHAnsi" w:hAnsiTheme="majorHAnsi" w:cs="Arial"/>
                <w:sz w:val="16"/>
                <w:szCs w:val="16"/>
              </w:rPr>
            </w:pPr>
          </w:p>
          <w:p w:rsidR="00CA0E4F" w:rsidRPr="009B7C77" w:rsidRDefault="00CA0E4F" w:rsidP="003A6140">
            <w:pPr>
              <w:rPr>
                <w:rFonts w:asciiTheme="majorHAnsi" w:hAnsiTheme="majorHAnsi" w:cs="Arial"/>
                <w:sz w:val="16"/>
                <w:szCs w:val="16"/>
              </w:rPr>
            </w:pPr>
          </w:p>
          <w:p w:rsidR="00394471" w:rsidRDefault="003944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t>Termín: 30.</w:t>
            </w:r>
            <w:r w:rsidR="00947D1A" w:rsidRPr="00394471">
              <w:rPr>
                <w:rFonts w:asciiTheme="majorHAnsi" w:hAnsiTheme="majorHAnsi" w:cs="Arial"/>
                <w:sz w:val="16"/>
                <w:szCs w:val="16"/>
              </w:rPr>
              <w:t xml:space="preserve"> </w:t>
            </w:r>
            <w:r w:rsidRPr="00394471">
              <w:rPr>
                <w:rFonts w:asciiTheme="majorHAnsi" w:hAnsiTheme="majorHAnsi" w:cs="Arial"/>
                <w:sz w:val="16"/>
                <w:szCs w:val="16"/>
              </w:rPr>
              <w:t>9.</w:t>
            </w:r>
            <w:r w:rsidR="00947D1A" w:rsidRPr="00394471">
              <w:rPr>
                <w:rFonts w:asciiTheme="majorHAnsi" w:hAnsiTheme="majorHAnsi" w:cs="Arial"/>
                <w:sz w:val="16"/>
                <w:szCs w:val="16"/>
              </w:rPr>
              <w:t xml:space="preserve"> </w:t>
            </w:r>
            <w:r w:rsidRPr="00394471">
              <w:rPr>
                <w:rFonts w:asciiTheme="majorHAnsi" w:hAnsiTheme="majorHAnsi" w:cs="Arial"/>
                <w:sz w:val="16"/>
                <w:szCs w:val="16"/>
              </w:rPr>
              <w:t>2014</w:t>
            </w: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394471" w:rsidRDefault="00394471" w:rsidP="003A6140">
            <w:pPr>
              <w:rPr>
                <w:rFonts w:asciiTheme="majorHAnsi" w:hAnsiTheme="majorHAnsi" w:cs="Arial"/>
                <w:sz w:val="16"/>
                <w:szCs w:val="16"/>
              </w:rPr>
            </w:pPr>
          </w:p>
          <w:p w:rsidR="00394471" w:rsidRDefault="003944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t>Termín</w:t>
            </w:r>
            <w:r w:rsidR="00CA0D00">
              <w:rPr>
                <w:rFonts w:asciiTheme="majorHAnsi" w:hAnsiTheme="majorHAnsi" w:cs="Arial"/>
                <w:sz w:val="16"/>
                <w:szCs w:val="16"/>
              </w:rPr>
              <w:t>:</w:t>
            </w:r>
            <w:r w:rsidRPr="00394471">
              <w:rPr>
                <w:rFonts w:asciiTheme="majorHAnsi" w:hAnsiTheme="majorHAnsi" w:cs="Arial"/>
                <w:sz w:val="16"/>
                <w:szCs w:val="16"/>
              </w:rPr>
              <w:t xml:space="preserve"> </w:t>
            </w:r>
            <w:r w:rsidR="00CA0E4F" w:rsidRPr="00394471">
              <w:rPr>
                <w:rFonts w:asciiTheme="majorHAnsi" w:hAnsiTheme="majorHAnsi" w:cs="Arial"/>
                <w:sz w:val="16"/>
                <w:szCs w:val="16"/>
              </w:rPr>
              <w:t>30.6. 2015</w:t>
            </w:r>
          </w:p>
          <w:p w:rsidR="00CA0E4F" w:rsidRPr="00394471" w:rsidRDefault="00CA0E4F" w:rsidP="003A6140">
            <w:pPr>
              <w:rPr>
                <w:rFonts w:asciiTheme="majorHAnsi" w:hAnsiTheme="majorHAnsi" w:cs="Arial"/>
                <w:sz w:val="16"/>
                <w:szCs w:val="16"/>
              </w:rPr>
            </w:pPr>
          </w:p>
          <w:p w:rsidR="00CA0E4F" w:rsidRPr="00394471" w:rsidRDefault="00CA0E4F"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t>Termín: 30.</w:t>
            </w:r>
            <w:r w:rsidR="00947D1A" w:rsidRPr="00394471">
              <w:rPr>
                <w:rFonts w:asciiTheme="majorHAnsi" w:hAnsiTheme="majorHAnsi" w:cs="Arial"/>
                <w:sz w:val="16"/>
                <w:szCs w:val="16"/>
              </w:rPr>
              <w:t xml:space="preserve"> </w:t>
            </w:r>
            <w:r w:rsidRPr="00394471">
              <w:rPr>
                <w:rFonts w:asciiTheme="majorHAnsi" w:hAnsiTheme="majorHAnsi" w:cs="Arial"/>
                <w:sz w:val="16"/>
                <w:szCs w:val="16"/>
              </w:rPr>
              <w:t>9.</w:t>
            </w:r>
            <w:r w:rsidR="00947D1A" w:rsidRPr="00394471">
              <w:rPr>
                <w:rFonts w:asciiTheme="majorHAnsi" w:hAnsiTheme="majorHAnsi" w:cs="Arial"/>
                <w:sz w:val="16"/>
                <w:szCs w:val="16"/>
              </w:rPr>
              <w:t xml:space="preserve"> </w:t>
            </w:r>
            <w:r w:rsidRPr="00394471">
              <w:rPr>
                <w:rFonts w:asciiTheme="majorHAnsi" w:hAnsiTheme="majorHAnsi" w:cs="Arial"/>
                <w:sz w:val="16"/>
                <w:szCs w:val="16"/>
              </w:rPr>
              <w:t>2014</w:t>
            </w:r>
          </w:p>
          <w:p w:rsidR="00D36671" w:rsidRPr="00394471" w:rsidRDefault="00D36671" w:rsidP="003A6140">
            <w:pPr>
              <w:rPr>
                <w:rFonts w:asciiTheme="majorHAnsi" w:hAnsiTheme="majorHAnsi" w:cs="Arial"/>
                <w:sz w:val="16"/>
                <w:szCs w:val="16"/>
              </w:rPr>
            </w:pPr>
          </w:p>
          <w:p w:rsidR="00D36671" w:rsidRPr="00394471" w:rsidRDefault="00D36671" w:rsidP="003A6140">
            <w:pPr>
              <w:tabs>
                <w:tab w:val="left" w:pos="2302"/>
              </w:tabs>
              <w:rPr>
                <w:rFonts w:asciiTheme="majorHAnsi" w:hAnsiTheme="majorHAnsi"/>
                <w:sz w:val="16"/>
                <w:szCs w:val="16"/>
              </w:rPr>
            </w:pPr>
          </w:p>
        </w:tc>
        <w:tc>
          <w:tcPr>
            <w:tcW w:w="2346" w:type="dxa"/>
            <w:tcBorders>
              <w:right w:val="single" w:sz="12" w:space="0" w:color="auto"/>
            </w:tcBorders>
          </w:tcPr>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lastRenderedPageBreak/>
              <w:t xml:space="preserve">CKO v spolupráci s príslušným organizačným útvarom Úradu vlády SR </w:t>
            </w: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t xml:space="preserve">CKO v spolupráci s príslušným organizačným útvarom Úradu vlády SR </w:t>
            </w: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lastRenderedPageBreak/>
              <w:t>CKO, ÚVO, RO</w:t>
            </w: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t>CKO</w:t>
            </w: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tc>
      </w:tr>
      <w:tr w:rsidR="00D36671" w:rsidRPr="00DF567A" w:rsidTr="003A6140">
        <w:trPr>
          <w:trHeight w:val="360"/>
        </w:trPr>
        <w:tc>
          <w:tcPr>
            <w:tcW w:w="1949" w:type="dxa"/>
            <w:vMerge/>
            <w:tcBorders>
              <w:left w:val="single" w:sz="12" w:space="0" w:color="auto"/>
            </w:tcBorders>
          </w:tcPr>
          <w:p w:rsidR="00D36671" w:rsidRPr="009B7C77" w:rsidRDefault="00D36671" w:rsidP="003A6140">
            <w:pPr>
              <w:spacing w:before="0" w:line="276" w:lineRule="auto"/>
              <w:rPr>
                <w:rFonts w:asciiTheme="majorHAnsi" w:hAnsiTheme="majorHAnsi" w:cs="EUAlbertina"/>
                <w:color w:val="000000"/>
                <w:sz w:val="16"/>
                <w:szCs w:val="16"/>
              </w:rPr>
            </w:pPr>
          </w:p>
        </w:tc>
        <w:tc>
          <w:tcPr>
            <w:tcW w:w="2100" w:type="dxa"/>
            <w:gridSpan w:val="2"/>
            <w:tcBorders>
              <w:top w:val="single" w:sz="2" w:space="0" w:color="auto"/>
              <w:bottom w:val="single" w:sz="12" w:space="0" w:color="auto"/>
            </w:tcBorders>
          </w:tcPr>
          <w:p w:rsidR="00D36671" w:rsidRPr="009B7C77" w:rsidRDefault="00D36671" w:rsidP="003A6140">
            <w:pPr>
              <w:spacing w:before="0" w:line="276" w:lineRule="auto"/>
              <w:rPr>
                <w:rFonts w:asciiTheme="majorHAnsi" w:hAnsiTheme="majorHAnsi"/>
                <w:bCs/>
                <w:spacing w:val="-3"/>
                <w:sz w:val="16"/>
                <w:szCs w:val="16"/>
                <w:lang w:eastAsia="fr-FR"/>
              </w:rPr>
            </w:pPr>
            <w:r w:rsidRPr="009B7C77">
              <w:rPr>
                <w:rFonts w:asciiTheme="majorHAnsi" w:hAnsiTheme="majorHAnsi"/>
                <w:bCs/>
                <w:spacing w:val="-3"/>
                <w:sz w:val="16"/>
                <w:szCs w:val="16"/>
                <w:lang w:eastAsia="fr-FR"/>
              </w:rPr>
              <w:t>Opatrenia na zabezpečenie administratívnej kapacity na vykonávanie a uplatňovanie pravidiel Únie o verejnom obstarávaní.</w:t>
            </w:r>
          </w:p>
        </w:tc>
        <w:tc>
          <w:tcPr>
            <w:tcW w:w="4853" w:type="dxa"/>
            <w:gridSpan w:val="2"/>
            <w:tcBorders>
              <w:bottom w:val="single" w:sz="12" w:space="0" w:color="auto"/>
            </w:tcBorders>
          </w:tcPr>
          <w:p w:rsidR="00D36671" w:rsidRPr="009B7C77" w:rsidRDefault="00D36671" w:rsidP="003A6140">
            <w:pPr>
              <w:pStyle w:val="Style30"/>
              <w:jc w:val="both"/>
              <w:rPr>
                <w:rFonts w:asciiTheme="majorHAnsi" w:hAnsiTheme="majorHAnsi" w:cs="Arial"/>
                <w:sz w:val="16"/>
                <w:szCs w:val="16"/>
              </w:rPr>
            </w:pPr>
            <w:r w:rsidRPr="009B7C77">
              <w:rPr>
                <w:rFonts w:asciiTheme="majorHAnsi" w:hAnsiTheme="majorHAnsi" w:cs="Arial"/>
                <w:sz w:val="16"/>
                <w:szCs w:val="16"/>
              </w:rPr>
              <w:t xml:space="preserve">Pre zvýšenie spolupráce subjektov štátnej správy participujúcich </w:t>
            </w:r>
            <w:r w:rsidR="006A78FC" w:rsidRPr="009B7C77">
              <w:rPr>
                <w:rFonts w:asciiTheme="majorHAnsi" w:hAnsiTheme="majorHAnsi" w:cs="Arial"/>
                <w:sz w:val="16"/>
                <w:szCs w:val="16"/>
              </w:rPr>
              <w:br/>
            </w:r>
            <w:r w:rsidRPr="009B7C77">
              <w:rPr>
                <w:rFonts w:asciiTheme="majorHAnsi" w:hAnsiTheme="majorHAnsi" w:cs="Arial"/>
                <w:sz w:val="16"/>
                <w:szCs w:val="16"/>
              </w:rPr>
              <w:t xml:space="preserve">v oblasti VO a kontroly hospodárskej súťaž bude táto spolupráca posilnená medzi ÚVO a Protimonopolnými úradom SR a to aj na úrovni zabezpečenia </w:t>
            </w:r>
            <w:r w:rsidR="00947D1A" w:rsidRPr="009B7C77">
              <w:rPr>
                <w:rFonts w:asciiTheme="majorHAnsi" w:hAnsiTheme="majorHAnsi" w:cs="Arial"/>
                <w:sz w:val="16"/>
                <w:szCs w:val="16"/>
              </w:rPr>
              <w:t>AK</w:t>
            </w:r>
            <w:r w:rsidRPr="009B7C77">
              <w:rPr>
                <w:rFonts w:asciiTheme="majorHAnsi" w:hAnsiTheme="majorHAnsi" w:cs="Arial"/>
                <w:sz w:val="16"/>
                <w:szCs w:val="16"/>
              </w:rPr>
              <w:t xml:space="preserve"> týchto subjektov prostredníctvom technickej pomoci.</w:t>
            </w:r>
          </w:p>
          <w:p w:rsidR="00D36671" w:rsidRPr="009B7C77" w:rsidRDefault="00D36671" w:rsidP="003A6140">
            <w:pPr>
              <w:pStyle w:val="Style30"/>
              <w:ind w:left="-40"/>
              <w:jc w:val="both"/>
              <w:rPr>
                <w:rFonts w:asciiTheme="majorHAnsi" w:hAnsiTheme="majorHAnsi" w:cs="Arial"/>
                <w:sz w:val="16"/>
                <w:szCs w:val="16"/>
              </w:rPr>
            </w:pPr>
          </w:p>
          <w:p w:rsidR="00D36671" w:rsidRPr="009B7C77" w:rsidRDefault="00D36671" w:rsidP="003A6140">
            <w:pPr>
              <w:pStyle w:val="Style30"/>
              <w:ind w:left="-40"/>
              <w:jc w:val="both"/>
              <w:rPr>
                <w:rFonts w:asciiTheme="majorHAnsi" w:hAnsiTheme="majorHAnsi" w:cs="Arial"/>
                <w:sz w:val="16"/>
                <w:szCs w:val="16"/>
              </w:rPr>
            </w:pPr>
            <w:r w:rsidRPr="009B7C77">
              <w:rPr>
                <w:rFonts w:asciiTheme="majorHAnsi" w:hAnsiTheme="majorHAnsi" w:cs="Arial"/>
                <w:sz w:val="16"/>
                <w:szCs w:val="16"/>
              </w:rPr>
              <w:t>V priebehu roku 2014 si zvýšené nároky na spoluprácu a kontrolnú činnosť ÚVO vyžiadajú potrebu navýšenia personálnych kapacít o cca 25 zamestnancov, ktorí budú prijímaní postupne v závislosti od množstva požadovanej činnosti zo strany CKO a RO.</w:t>
            </w:r>
          </w:p>
          <w:p w:rsidR="00D36671" w:rsidRPr="009B7C77" w:rsidRDefault="00D36671" w:rsidP="003A6140">
            <w:pPr>
              <w:pStyle w:val="Style30"/>
              <w:ind w:left="-40"/>
              <w:jc w:val="both"/>
              <w:rPr>
                <w:rFonts w:asciiTheme="majorHAnsi" w:hAnsiTheme="majorHAnsi" w:cs="Arial"/>
                <w:sz w:val="16"/>
                <w:szCs w:val="16"/>
              </w:rPr>
            </w:pPr>
          </w:p>
          <w:p w:rsidR="00D36671" w:rsidRPr="009B7C77" w:rsidRDefault="00D36671" w:rsidP="003A6140">
            <w:pPr>
              <w:pStyle w:val="Style30"/>
              <w:ind w:left="-40"/>
              <w:jc w:val="both"/>
              <w:rPr>
                <w:rFonts w:asciiTheme="majorHAnsi" w:hAnsiTheme="majorHAnsi" w:cs="Arial"/>
                <w:sz w:val="16"/>
                <w:szCs w:val="16"/>
              </w:rPr>
            </w:pPr>
            <w:r w:rsidRPr="009B7C77">
              <w:rPr>
                <w:rFonts w:asciiTheme="majorHAnsi" w:hAnsiTheme="majorHAnsi" w:cs="Arial"/>
                <w:sz w:val="16"/>
                <w:szCs w:val="16"/>
              </w:rPr>
              <w:t xml:space="preserve">ÚVO pre účely efektívnejšieho riadenia tento spolupráce a pre dôslednejšie uplatňovanie pravidiel EÚ v oblasti </w:t>
            </w:r>
            <w:r w:rsidR="00947D1A" w:rsidRPr="009B7C77">
              <w:rPr>
                <w:rFonts w:asciiTheme="majorHAnsi" w:hAnsiTheme="majorHAnsi" w:cs="Arial"/>
                <w:sz w:val="16"/>
                <w:szCs w:val="16"/>
              </w:rPr>
              <w:t>VO</w:t>
            </w:r>
            <w:r w:rsidRPr="009B7C77">
              <w:rPr>
                <w:rFonts w:asciiTheme="majorHAnsi" w:hAnsiTheme="majorHAnsi" w:cs="Arial"/>
                <w:sz w:val="16"/>
                <w:szCs w:val="16"/>
              </w:rPr>
              <w:t xml:space="preserve"> v rámci činností súvisiacich s implementáciou EÚ fondov, poverilo týmito agendami samostatného  podpredsedu ÚVO.</w:t>
            </w:r>
          </w:p>
          <w:p w:rsidR="00D36671" w:rsidRPr="009B7C77" w:rsidRDefault="00D36671" w:rsidP="003A6140">
            <w:pPr>
              <w:spacing w:before="0" w:line="276" w:lineRule="auto"/>
              <w:rPr>
                <w:rFonts w:asciiTheme="majorHAnsi" w:hAnsiTheme="majorHAnsi"/>
                <w:sz w:val="16"/>
                <w:szCs w:val="16"/>
              </w:rPr>
            </w:pPr>
          </w:p>
          <w:p w:rsidR="00D36671" w:rsidRPr="009B7C77" w:rsidRDefault="00D36671" w:rsidP="00BA185A">
            <w:pPr>
              <w:spacing w:before="0"/>
              <w:rPr>
                <w:rFonts w:asciiTheme="majorHAnsi" w:hAnsiTheme="majorHAnsi"/>
                <w:sz w:val="16"/>
                <w:szCs w:val="16"/>
              </w:rPr>
            </w:pPr>
            <w:r w:rsidRPr="009B7C77">
              <w:rPr>
                <w:rFonts w:asciiTheme="majorHAnsi" w:hAnsiTheme="majorHAnsi"/>
                <w:sz w:val="16"/>
                <w:szCs w:val="16"/>
              </w:rPr>
              <w:t xml:space="preserve">Zabezpečenie technickej pomoci v rámci spolupráce s ÚVO na refundáciu mzdových nákladov zamestnancov vykonávajúcich </w:t>
            </w:r>
            <w:r w:rsidRPr="009B7C77">
              <w:rPr>
                <w:rFonts w:asciiTheme="majorHAnsi" w:hAnsiTheme="majorHAnsi"/>
                <w:sz w:val="16"/>
                <w:szCs w:val="16"/>
              </w:rPr>
              <w:lastRenderedPageBreak/>
              <w:t>podporné činnosti pre RO, SORO, OA, CO v rámci Dohody o spolupráci.</w:t>
            </w:r>
          </w:p>
          <w:p w:rsidR="00D36671" w:rsidRPr="009B7C77" w:rsidRDefault="00D36671" w:rsidP="003A6140">
            <w:pPr>
              <w:spacing w:before="0" w:line="276" w:lineRule="auto"/>
              <w:rPr>
                <w:rFonts w:asciiTheme="majorHAnsi" w:hAnsiTheme="majorHAnsi"/>
                <w:sz w:val="16"/>
                <w:szCs w:val="16"/>
              </w:rPr>
            </w:pPr>
          </w:p>
          <w:p w:rsidR="00D36671" w:rsidRPr="009B7C77" w:rsidRDefault="00D36671" w:rsidP="003A6140">
            <w:pPr>
              <w:spacing w:before="0" w:line="276" w:lineRule="auto"/>
              <w:rPr>
                <w:rFonts w:asciiTheme="majorHAnsi" w:hAnsiTheme="majorHAnsi"/>
                <w:sz w:val="16"/>
                <w:szCs w:val="16"/>
              </w:rPr>
            </w:pPr>
            <w:r w:rsidRPr="009B7C77">
              <w:rPr>
                <w:rFonts w:asciiTheme="majorHAnsi" w:hAnsiTheme="majorHAnsi"/>
                <w:sz w:val="16"/>
                <w:szCs w:val="16"/>
              </w:rPr>
              <w:t xml:space="preserve">Technická pomoc v rámci spolupráce s ÚVO na refundáciu nákladov na znalecké posudky a odborné stanoviská, ktoré budú potrebné pre výkon podporných činností pre RO, SORO, OA, CO v rámci Dohody </w:t>
            </w:r>
            <w:r w:rsidR="00947D1A" w:rsidRPr="009B7C77">
              <w:rPr>
                <w:rFonts w:asciiTheme="majorHAnsi" w:hAnsiTheme="majorHAnsi"/>
                <w:sz w:val="16"/>
                <w:szCs w:val="16"/>
              </w:rPr>
              <w:br/>
            </w:r>
            <w:r w:rsidRPr="009B7C77">
              <w:rPr>
                <w:rFonts w:asciiTheme="majorHAnsi" w:hAnsiTheme="majorHAnsi"/>
                <w:sz w:val="16"/>
                <w:szCs w:val="16"/>
              </w:rPr>
              <w:t>o spolupráci</w:t>
            </w:r>
          </w:p>
          <w:p w:rsidR="00D36671" w:rsidRPr="009B7C77" w:rsidRDefault="00D36671" w:rsidP="003A6140">
            <w:pPr>
              <w:spacing w:before="0" w:line="276" w:lineRule="auto"/>
              <w:rPr>
                <w:rFonts w:asciiTheme="majorHAnsi" w:hAnsiTheme="majorHAnsi"/>
                <w:sz w:val="16"/>
                <w:szCs w:val="16"/>
              </w:rPr>
            </w:pPr>
          </w:p>
          <w:p w:rsidR="00D36671" w:rsidRPr="009B7C77" w:rsidRDefault="00D36671" w:rsidP="003A6140">
            <w:pPr>
              <w:spacing w:before="0" w:line="276" w:lineRule="auto"/>
              <w:rPr>
                <w:rFonts w:asciiTheme="majorHAnsi" w:hAnsiTheme="majorHAnsi"/>
                <w:sz w:val="16"/>
                <w:szCs w:val="16"/>
              </w:rPr>
            </w:pPr>
            <w:r w:rsidRPr="009B7C77">
              <w:rPr>
                <w:rFonts w:asciiTheme="majorHAnsi" w:hAnsiTheme="majorHAnsi"/>
                <w:sz w:val="16"/>
                <w:szCs w:val="16"/>
              </w:rPr>
              <w:t>Technická pomoc pre spoluprácu s Protimonopolným úradom SR</w:t>
            </w:r>
          </w:p>
          <w:p w:rsidR="00D36671" w:rsidRPr="009B7C77" w:rsidRDefault="00D36671" w:rsidP="003A6140">
            <w:pPr>
              <w:spacing w:before="0" w:line="276" w:lineRule="auto"/>
              <w:rPr>
                <w:rFonts w:asciiTheme="majorHAnsi" w:hAnsiTheme="majorHAnsi"/>
                <w:sz w:val="16"/>
                <w:szCs w:val="16"/>
              </w:rPr>
            </w:pPr>
          </w:p>
          <w:p w:rsidR="00D36671" w:rsidRPr="009B7C77" w:rsidRDefault="00D36671" w:rsidP="003A6140">
            <w:pPr>
              <w:spacing w:before="0" w:line="276" w:lineRule="auto"/>
              <w:rPr>
                <w:rFonts w:asciiTheme="majorHAnsi" w:hAnsiTheme="majorHAnsi"/>
                <w:sz w:val="16"/>
                <w:szCs w:val="16"/>
              </w:rPr>
            </w:pPr>
          </w:p>
          <w:p w:rsidR="00D36671" w:rsidRPr="009B7C77" w:rsidRDefault="00D36671" w:rsidP="003A6140">
            <w:pPr>
              <w:spacing w:before="0" w:line="276" w:lineRule="auto"/>
              <w:rPr>
                <w:rFonts w:asciiTheme="majorHAnsi" w:hAnsiTheme="majorHAnsi"/>
                <w:sz w:val="16"/>
                <w:szCs w:val="16"/>
              </w:rPr>
            </w:pPr>
            <w:r w:rsidRPr="009B7C77">
              <w:rPr>
                <w:rFonts w:asciiTheme="majorHAnsi" w:hAnsiTheme="majorHAnsi"/>
                <w:sz w:val="16"/>
                <w:szCs w:val="16"/>
              </w:rPr>
              <w:t xml:space="preserve">Metodické usmerňovanie účastníkov procesu VO zo strany ÚVO </w:t>
            </w:r>
            <w:r w:rsidR="00947D1A" w:rsidRPr="009B7C77">
              <w:rPr>
                <w:rFonts w:asciiTheme="majorHAnsi" w:hAnsiTheme="majorHAnsi"/>
                <w:sz w:val="16"/>
                <w:szCs w:val="16"/>
              </w:rPr>
              <w:br/>
            </w:r>
            <w:r w:rsidRPr="009B7C77">
              <w:rPr>
                <w:rFonts w:asciiTheme="majorHAnsi" w:hAnsiTheme="majorHAnsi"/>
                <w:sz w:val="16"/>
                <w:szCs w:val="16"/>
              </w:rPr>
              <w:t>a zverejňovanie týchto usmernení na verejne prístupnom mieste – na webovom sídle úradu.</w:t>
            </w:r>
          </w:p>
          <w:p w:rsidR="00D36671" w:rsidRPr="009B7C77" w:rsidRDefault="00D36671" w:rsidP="003A6140">
            <w:pPr>
              <w:spacing w:before="0" w:line="276" w:lineRule="auto"/>
              <w:rPr>
                <w:rFonts w:asciiTheme="majorHAnsi" w:hAnsiTheme="majorHAnsi"/>
                <w:sz w:val="16"/>
                <w:szCs w:val="16"/>
              </w:rPr>
            </w:pPr>
          </w:p>
          <w:p w:rsidR="00D36671" w:rsidRPr="009B7C77" w:rsidRDefault="00D36671" w:rsidP="003A6140">
            <w:pPr>
              <w:spacing w:before="0" w:line="276" w:lineRule="auto"/>
              <w:rPr>
                <w:rFonts w:asciiTheme="majorHAnsi" w:hAnsiTheme="majorHAnsi"/>
                <w:sz w:val="16"/>
                <w:szCs w:val="16"/>
              </w:rPr>
            </w:pPr>
            <w:r w:rsidRPr="009B7C77">
              <w:rPr>
                <w:rFonts w:asciiTheme="majorHAnsi" w:hAnsiTheme="majorHAnsi"/>
                <w:sz w:val="16"/>
                <w:szCs w:val="16"/>
              </w:rPr>
              <w:t>Technická pomoc na školenia prijímateľov</w:t>
            </w:r>
          </w:p>
          <w:p w:rsidR="00D36671" w:rsidRPr="009B7C77" w:rsidRDefault="00D36671" w:rsidP="00947D1A">
            <w:pPr>
              <w:spacing w:before="0" w:line="276" w:lineRule="auto"/>
              <w:rPr>
                <w:rFonts w:asciiTheme="majorHAnsi" w:hAnsiTheme="majorHAnsi"/>
                <w:sz w:val="16"/>
                <w:szCs w:val="16"/>
              </w:rPr>
            </w:pPr>
            <w:r w:rsidRPr="009B7C77">
              <w:rPr>
                <w:rFonts w:asciiTheme="majorHAnsi" w:hAnsiTheme="majorHAnsi"/>
                <w:sz w:val="16"/>
                <w:szCs w:val="16"/>
              </w:rPr>
              <w:t>Školenia budú zamerané na prijímateľov resp. žiadateľov a ich úlohou bude napr. prezentovať platný systém kontroly, upozorniť na zmluvné požiadavky a povinnosti k výkonu kontroly VO a predkladania dokumentácie na kontrolu, informovať prijímateľov o najčastejších nedostatko</w:t>
            </w:r>
            <w:r w:rsidR="00947D1A" w:rsidRPr="009B7C77">
              <w:rPr>
                <w:rFonts w:asciiTheme="majorHAnsi" w:hAnsiTheme="majorHAnsi"/>
                <w:sz w:val="16"/>
                <w:szCs w:val="16"/>
              </w:rPr>
              <w:t>ch</w:t>
            </w:r>
            <w:r w:rsidRPr="009B7C77">
              <w:rPr>
                <w:rFonts w:asciiTheme="majorHAnsi" w:hAnsiTheme="majorHAnsi"/>
                <w:sz w:val="16"/>
                <w:szCs w:val="16"/>
              </w:rPr>
              <w:t xml:space="preserve"> zistených pri kontrole VO so súčasnou prezentáciou dobrých príkladov („best practice“). Tieto školenia by mali byť realizované najmä zo strany jednotlivých RO, aby ich obsah </w:t>
            </w:r>
            <w:r w:rsidR="00947D1A" w:rsidRPr="009B7C77">
              <w:rPr>
                <w:rFonts w:asciiTheme="majorHAnsi" w:hAnsiTheme="majorHAnsi"/>
                <w:sz w:val="16"/>
                <w:szCs w:val="16"/>
              </w:rPr>
              <w:br/>
            </w:r>
            <w:r w:rsidRPr="009B7C77">
              <w:rPr>
                <w:rFonts w:asciiTheme="majorHAnsi" w:hAnsiTheme="majorHAnsi"/>
                <w:sz w:val="16"/>
                <w:szCs w:val="16"/>
              </w:rPr>
              <w:t>a zameranie vyplývalo zo špecifík daného OP (napr. v závislosti od obvyklých predmetov obstarávania ).</w:t>
            </w:r>
          </w:p>
        </w:tc>
        <w:tc>
          <w:tcPr>
            <w:tcW w:w="2862" w:type="dxa"/>
            <w:gridSpan w:val="3"/>
            <w:tcBorders>
              <w:bottom w:val="single" w:sz="12" w:space="0" w:color="auto"/>
            </w:tcBorders>
          </w:tcPr>
          <w:p w:rsidR="00CA0E4F" w:rsidRPr="009B7C77" w:rsidRDefault="00CA0E4F" w:rsidP="00CA0E4F">
            <w:pPr>
              <w:tabs>
                <w:tab w:val="left" w:pos="2302"/>
              </w:tabs>
              <w:rPr>
                <w:rFonts w:asciiTheme="majorHAnsi" w:hAnsiTheme="majorHAnsi" w:cs="Arial"/>
                <w:sz w:val="16"/>
                <w:szCs w:val="16"/>
              </w:rPr>
            </w:pPr>
            <w:r w:rsidRPr="009B7C77">
              <w:rPr>
                <w:rFonts w:asciiTheme="majorHAnsi" w:hAnsiTheme="majorHAnsi" w:cs="Arial"/>
                <w:sz w:val="16"/>
                <w:szCs w:val="16"/>
              </w:rPr>
              <w:lastRenderedPageBreak/>
              <w:t>Termín ÚVO: 31. 12. 2014</w:t>
            </w:r>
          </w:p>
          <w:p w:rsidR="00CA0E4F" w:rsidRPr="009B7C77" w:rsidRDefault="00CA0E4F" w:rsidP="00CA0E4F">
            <w:pPr>
              <w:tabs>
                <w:tab w:val="left" w:pos="2302"/>
              </w:tabs>
              <w:rPr>
                <w:rFonts w:asciiTheme="majorHAnsi" w:hAnsiTheme="majorHAnsi" w:cs="Arial"/>
                <w:sz w:val="16"/>
                <w:szCs w:val="16"/>
              </w:rPr>
            </w:pPr>
            <w:r w:rsidRPr="009B7C77">
              <w:rPr>
                <w:rFonts w:asciiTheme="majorHAnsi" w:hAnsiTheme="majorHAnsi" w:cs="Arial"/>
                <w:sz w:val="16"/>
                <w:szCs w:val="16"/>
              </w:rPr>
              <w:t>Termín PMÚ: 30.5. 2015</w:t>
            </w:r>
          </w:p>
          <w:p w:rsidR="00D36671" w:rsidRPr="009B7C77" w:rsidRDefault="00D36671" w:rsidP="003A6140">
            <w:pPr>
              <w:tabs>
                <w:tab w:val="left" w:pos="2302"/>
              </w:tabs>
              <w:rPr>
                <w:rFonts w:asciiTheme="majorHAnsi" w:hAnsiTheme="majorHAnsi" w:cs="Arial"/>
                <w:sz w:val="16"/>
                <w:szCs w:val="16"/>
              </w:rPr>
            </w:pPr>
          </w:p>
          <w:p w:rsidR="00D36671" w:rsidRPr="009B7C77" w:rsidRDefault="00D36671" w:rsidP="003A6140">
            <w:pPr>
              <w:tabs>
                <w:tab w:val="left" w:pos="2302"/>
              </w:tabs>
              <w:rPr>
                <w:rFonts w:asciiTheme="majorHAnsi" w:hAnsiTheme="majorHAnsi" w:cs="Arial"/>
                <w:sz w:val="16"/>
                <w:szCs w:val="16"/>
              </w:rPr>
            </w:pPr>
          </w:p>
          <w:p w:rsidR="00D36671" w:rsidRPr="009B7C77" w:rsidRDefault="00D36671" w:rsidP="003A6140">
            <w:pPr>
              <w:tabs>
                <w:tab w:val="left" w:pos="2302"/>
              </w:tabs>
              <w:rPr>
                <w:rFonts w:asciiTheme="majorHAnsi" w:hAnsiTheme="majorHAnsi" w:cs="Arial"/>
                <w:sz w:val="16"/>
                <w:szCs w:val="16"/>
              </w:rPr>
            </w:pPr>
          </w:p>
          <w:p w:rsidR="00D36671" w:rsidRPr="009B7C77" w:rsidRDefault="00D36671" w:rsidP="003A6140">
            <w:pPr>
              <w:tabs>
                <w:tab w:val="left" w:pos="2302"/>
              </w:tabs>
              <w:rPr>
                <w:rFonts w:asciiTheme="majorHAnsi" w:hAnsiTheme="majorHAnsi" w:cs="Arial"/>
                <w:sz w:val="16"/>
                <w:szCs w:val="16"/>
              </w:rPr>
            </w:pPr>
          </w:p>
          <w:p w:rsidR="00D36671" w:rsidRPr="009B7C77" w:rsidRDefault="00D36671" w:rsidP="003A6140">
            <w:pPr>
              <w:tabs>
                <w:tab w:val="left" w:pos="2302"/>
              </w:tabs>
              <w:rPr>
                <w:rFonts w:asciiTheme="majorHAnsi" w:hAnsiTheme="majorHAnsi" w:cs="Arial"/>
                <w:sz w:val="16"/>
                <w:szCs w:val="16"/>
              </w:rPr>
            </w:pPr>
          </w:p>
          <w:p w:rsidR="00D36671" w:rsidRPr="009B7C77" w:rsidRDefault="00D36671" w:rsidP="003A6140">
            <w:pPr>
              <w:tabs>
                <w:tab w:val="left" w:pos="2302"/>
              </w:tabs>
              <w:rPr>
                <w:rFonts w:asciiTheme="majorHAnsi" w:hAnsiTheme="majorHAnsi"/>
                <w:sz w:val="16"/>
                <w:szCs w:val="16"/>
              </w:rPr>
            </w:pPr>
          </w:p>
          <w:p w:rsidR="00D36671" w:rsidRPr="009B7C77" w:rsidRDefault="00D36671" w:rsidP="003A6140">
            <w:pPr>
              <w:tabs>
                <w:tab w:val="left" w:pos="2302"/>
              </w:tabs>
              <w:rPr>
                <w:rFonts w:asciiTheme="majorHAnsi" w:hAnsiTheme="majorHAnsi"/>
                <w:sz w:val="16"/>
                <w:szCs w:val="16"/>
              </w:rPr>
            </w:pPr>
          </w:p>
          <w:p w:rsidR="00D36671" w:rsidRPr="009B7C77" w:rsidRDefault="00D36671" w:rsidP="003A6140">
            <w:pPr>
              <w:tabs>
                <w:tab w:val="left" w:pos="2302"/>
              </w:tabs>
              <w:rPr>
                <w:rFonts w:asciiTheme="majorHAnsi" w:hAnsiTheme="majorHAnsi"/>
                <w:sz w:val="16"/>
                <w:szCs w:val="16"/>
              </w:rPr>
            </w:pPr>
          </w:p>
          <w:p w:rsidR="00911E0B" w:rsidRPr="009B7C77" w:rsidRDefault="00911E0B" w:rsidP="003A6140">
            <w:pPr>
              <w:tabs>
                <w:tab w:val="left" w:pos="2302"/>
              </w:tabs>
              <w:rPr>
                <w:rFonts w:asciiTheme="majorHAnsi" w:hAnsiTheme="majorHAnsi"/>
                <w:sz w:val="16"/>
                <w:szCs w:val="16"/>
              </w:rPr>
            </w:pPr>
          </w:p>
          <w:p w:rsidR="00911E0B" w:rsidRPr="009B7C77" w:rsidRDefault="00911E0B" w:rsidP="003A6140">
            <w:pPr>
              <w:tabs>
                <w:tab w:val="left" w:pos="2302"/>
              </w:tabs>
              <w:rPr>
                <w:rFonts w:asciiTheme="majorHAnsi" w:hAnsiTheme="majorHAnsi"/>
                <w:sz w:val="16"/>
                <w:szCs w:val="16"/>
              </w:rPr>
            </w:pPr>
          </w:p>
          <w:p w:rsidR="00911E0B" w:rsidRPr="009B7C77" w:rsidRDefault="00911E0B" w:rsidP="003A6140">
            <w:pPr>
              <w:tabs>
                <w:tab w:val="left" w:pos="2302"/>
              </w:tabs>
              <w:rPr>
                <w:rFonts w:asciiTheme="majorHAnsi" w:hAnsiTheme="majorHAnsi"/>
                <w:sz w:val="16"/>
                <w:szCs w:val="16"/>
              </w:rPr>
            </w:pPr>
          </w:p>
          <w:p w:rsidR="00D36671" w:rsidRPr="00394471" w:rsidRDefault="00D36671" w:rsidP="003A6140">
            <w:pPr>
              <w:tabs>
                <w:tab w:val="left" w:pos="2302"/>
              </w:tabs>
              <w:rPr>
                <w:rFonts w:asciiTheme="majorHAnsi" w:hAnsiTheme="majorHAnsi"/>
                <w:sz w:val="16"/>
                <w:szCs w:val="16"/>
              </w:rPr>
            </w:pPr>
            <w:r w:rsidRPr="009B7C77">
              <w:rPr>
                <w:rFonts w:asciiTheme="majorHAnsi" w:hAnsiTheme="majorHAnsi"/>
                <w:sz w:val="16"/>
                <w:szCs w:val="16"/>
              </w:rPr>
              <w:t xml:space="preserve">Termín: </w:t>
            </w:r>
            <w:r w:rsidR="00911E0B" w:rsidRPr="009B7C77">
              <w:rPr>
                <w:rFonts w:asciiTheme="majorHAnsi" w:hAnsiTheme="majorHAnsi"/>
                <w:sz w:val="16"/>
                <w:szCs w:val="16"/>
              </w:rPr>
              <w:t>30.</w:t>
            </w:r>
            <w:r w:rsidR="006567E9">
              <w:rPr>
                <w:rFonts w:asciiTheme="majorHAnsi" w:hAnsiTheme="majorHAnsi"/>
                <w:sz w:val="16"/>
                <w:szCs w:val="16"/>
              </w:rPr>
              <w:t xml:space="preserve"> </w:t>
            </w:r>
            <w:r w:rsidR="00911E0B" w:rsidRPr="00394471">
              <w:rPr>
                <w:rFonts w:asciiTheme="majorHAnsi" w:hAnsiTheme="majorHAnsi"/>
                <w:sz w:val="16"/>
                <w:szCs w:val="16"/>
              </w:rPr>
              <w:t xml:space="preserve">6. 2015 </w:t>
            </w:r>
          </w:p>
          <w:p w:rsidR="00D36671" w:rsidRPr="00394471" w:rsidRDefault="00D36671" w:rsidP="003A6140">
            <w:pPr>
              <w:tabs>
                <w:tab w:val="left" w:pos="2302"/>
              </w:tabs>
              <w:rPr>
                <w:rFonts w:asciiTheme="majorHAnsi" w:hAnsiTheme="majorHAnsi"/>
                <w:sz w:val="16"/>
                <w:szCs w:val="16"/>
              </w:rPr>
            </w:pPr>
          </w:p>
          <w:p w:rsidR="00911E0B" w:rsidRPr="00394471" w:rsidRDefault="00911E0B" w:rsidP="003A6140">
            <w:pPr>
              <w:tabs>
                <w:tab w:val="left" w:pos="2302"/>
              </w:tabs>
              <w:rPr>
                <w:rFonts w:asciiTheme="majorHAnsi" w:hAnsiTheme="majorHAnsi"/>
                <w:sz w:val="16"/>
                <w:szCs w:val="16"/>
              </w:rPr>
            </w:pPr>
          </w:p>
          <w:p w:rsidR="00911E0B" w:rsidRPr="00394471" w:rsidRDefault="00911E0B" w:rsidP="003A6140">
            <w:pPr>
              <w:tabs>
                <w:tab w:val="left" w:pos="2302"/>
              </w:tabs>
              <w:rPr>
                <w:rFonts w:asciiTheme="majorHAnsi" w:hAnsiTheme="majorHAnsi"/>
                <w:sz w:val="16"/>
                <w:szCs w:val="16"/>
              </w:rPr>
            </w:pPr>
          </w:p>
          <w:p w:rsidR="00D36671" w:rsidRPr="00394471" w:rsidRDefault="00D36671" w:rsidP="003A6140">
            <w:pPr>
              <w:tabs>
                <w:tab w:val="left" w:pos="2302"/>
              </w:tabs>
              <w:rPr>
                <w:rFonts w:asciiTheme="majorHAnsi" w:hAnsiTheme="majorHAnsi"/>
                <w:sz w:val="16"/>
                <w:szCs w:val="16"/>
              </w:rPr>
            </w:pPr>
            <w:r w:rsidRPr="00394471">
              <w:rPr>
                <w:rFonts w:asciiTheme="majorHAnsi" w:hAnsiTheme="majorHAnsi"/>
                <w:sz w:val="16"/>
                <w:szCs w:val="16"/>
              </w:rPr>
              <w:t xml:space="preserve">Termín: </w:t>
            </w:r>
            <w:r w:rsidR="00911E0B" w:rsidRPr="00394471">
              <w:rPr>
                <w:rFonts w:asciiTheme="majorHAnsi" w:hAnsiTheme="majorHAnsi"/>
                <w:sz w:val="16"/>
                <w:szCs w:val="16"/>
              </w:rPr>
              <w:t>30.</w:t>
            </w:r>
            <w:r w:rsidR="006567E9">
              <w:rPr>
                <w:rFonts w:asciiTheme="majorHAnsi" w:hAnsiTheme="majorHAnsi"/>
                <w:sz w:val="16"/>
                <w:szCs w:val="16"/>
              </w:rPr>
              <w:t xml:space="preserve"> </w:t>
            </w:r>
            <w:r w:rsidR="00911E0B" w:rsidRPr="00394471">
              <w:rPr>
                <w:rFonts w:asciiTheme="majorHAnsi" w:hAnsiTheme="majorHAnsi"/>
                <w:sz w:val="16"/>
                <w:szCs w:val="16"/>
              </w:rPr>
              <w:t>6. 2015</w:t>
            </w:r>
          </w:p>
          <w:p w:rsidR="00D36671" w:rsidRPr="00394471" w:rsidRDefault="00D36671" w:rsidP="003A6140">
            <w:pPr>
              <w:tabs>
                <w:tab w:val="left" w:pos="2302"/>
              </w:tabs>
              <w:rPr>
                <w:rFonts w:asciiTheme="majorHAnsi" w:hAnsiTheme="majorHAnsi"/>
                <w:sz w:val="16"/>
                <w:szCs w:val="16"/>
              </w:rPr>
            </w:pPr>
          </w:p>
          <w:p w:rsidR="00911E0B" w:rsidRPr="00394471" w:rsidRDefault="00911E0B" w:rsidP="003A6140">
            <w:pPr>
              <w:tabs>
                <w:tab w:val="left" w:pos="2302"/>
              </w:tabs>
              <w:rPr>
                <w:rFonts w:asciiTheme="majorHAnsi" w:hAnsiTheme="majorHAnsi"/>
                <w:sz w:val="16"/>
                <w:szCs w:val="16"/>
              </w:rPr>
            </w:pPr>
          </w:p>
          <w:p w:rsidR="00911E0B" w:rsidRPr="00394471" w:rsidRDefault="00911E0B" w:rsidP="003A6140">
            <w:pPr>
              <w:tabs>
                <w:tab w:val="left" w:pos="2302"/>
              </w:tabs>
              <w:rPr>
                <w:rFonts w:asciiTheme="majorHAnsi" w:hAnsiTheme="majorHAnsi"/>
                <w:sz w:val="16"/>
                <w:szCs w:val="16"/>
              </w:rPr>
            </w:pPr>
          </w:p>
          <w:p w:rsidR="00D36671" w:rsidRPr="00394471" w:rsidRDefault="00D36671" w:rsidP="003A6140">
            <w:pPr>
              <w:tabs>
                <w:tab w:val="left" w:pos="2302"/>
              </w:tabs>
              <w:rPr>
                <w:rFonts w:asciiTheme="majorHAnsi" w:hAnsiTheme="majorHAnsi"/>
                <w:sz w:val="16"/>
                <w:szCs w:val="16"/>
              </w:rPr>
            </w:pPr>
            <w:r w:rsidRPr="00394471">
              <w:rPr>
                <w:rFonts w:asciiTheme="majorHAnsi" w:hAnsiTheme="majorHAnsi"/>
                <w:sz w:val="16"/>
                <w:szCs w:val="16"/>
              </w:rPr>
              <w:t xml:space="preserve">Termín: </w:t>
            </w:r>
            <w:r w:rsidR="00911E0B" w:rsidRPr="00394471">
              <w:rPr>
                <w:rFonts w:asciiTheme="majorHAnsi" w:hAnsiTheme="majorHAnsi"/>
                <w:sz w:val="16"/>
                <w:szCs w:val="16"/>
              </w:rPr>
              <w:t>30.</w:t>
            </w:r>
            <w:r w:rsidR="006567E9">
              <w:rPr>
                <w:rFonts w:asciiTheme="majorHAnsi" w:hAnsiTheme="majorHAnsi"/>
                <w:sz w:val="16"/>
                <w:szCs w:val="16"/>
              </w:rPr>
              <w:t xml:space="preserve"> </w:t>
            </w:r>
            <w:r w:rsidR="00911E0B" w:rsidRPr="00394471">
              <w:rPr>
                <w:rFonts w:asciiTheme="majorHAnsi" w:hAnsiTheme="majorHAnsi"/>
                <w:sz w:val="16"/>
                <w:szCs w:val="16"/>
              </w:rPr>
              <w:t>6. 2015</w:t>
            </w:r>
          </w:p>
          <w:p w:rsidR="00D36671" w:rsidRPr="00394471" w:rsidRDefault="00D36671" w:rsidP="003A6140">
            <w:pPr>
              <w:tabs>
                <w:tab w:val="left" w:pos="2302"/>
              </w:tabs>
              <w:rPr>
                <w:rFonts w:asciiTheme="majorHAnsi" w:hAnsiTheme="majorHAnsi"/>
                <w:sz w:val="16"/>
                <w:szCs w:val="16"/>
              </w:rPr>
            </w:pPr>
          </w:p>
          <w:p w:rsidR="00D36671" w:rsidRPr="00394471" w:rsidRDefault="00D36671" w:rsidP="003A6140">
            <w:pPr>
              <w:tabs>
                <w:tab w:val="left" w:pos="2302"/>
              </w:tabs>
              <w:rPr>
                <w:rFonts w:asciiTheme="majorHAnsi" w:hAnsiTheme="majorHAnsi"/>
                <w:sz w:val="16"/>
                <w:szCs w:val="16"/>
              </w:rPr>
            </w:pPr>
          </w:p>
          <w:p w:rsidR="00D36671" w:rsidRPr="00394471" w:rsidRDefault="00D36671" w:rsidP="003A6140">
            <w:pPr>
              <w:tabs>
                <w:tab w:val="left" w:pos="2302"/>
              </w:tabs>
              <w:rPr>
                <w:rFonts w:asciiTheme="majorHAnsi" w:hAnsiTheme="majorHAnsi"/>
                <w:sz w:val="16"/>
                <w:szCs w:val="16"/>
              </w:rPr>
            </w:pPr>
          </w:p>
          <w:p w:rsidR="00D36671" w:rsidRPr="00394471" w:rsidRDefault="00D36671" w:rsidP="003A6140">
            <w:pPr>
              <w:tabs>
                <w:tab w:val="left" w:pos="2302"/>
              </w:tabs>
              <w:rPr>
                <w:rFonts w:asciiTheme="majorHAnsi" w:hAnsiTheme="majorHAnsi"/>
                <w:sz w:val="16"/>
                <w:szCs w:val="16"/>
              </w:rPr>
            </w:pPr>
            <w:r w:rsidRPr="00394471">
              <w:rPr>
                <w:rFonts w:asciiTheme="majorHAnsi" w:hAnsiTheme="majorHAnsi"/>
                <w:sz w:val="16"/>
                <w:szCs w:val="16"/>
              </w:rPr>
              <w:t xml:space="preserve">Termín: </w:t>
            </w:r>
            <w:r w:rsidR="00911E0B" w:rsidRPr="00394471">
              <w:rPr>
                <w:rFonts w:asciiTheme="majorHAnsi" w:hAnsiTheme="majorHAnsi"/>
                <w:sz w:val="16"/>
                <w:szCs w:val="16"/>
              </w:rPr>
              <w:t>30.</w:t>
            </w:r>
            <w:r w:rsidR="006567E9">
              <w:rPr>
                <w:rFonts w:asciiTheme="majorHAnsi" w:hAnsiTheme="majorHAnsi"/>
                <w:sz w:val="16"/>
                <w:szCs w:val="16"/>
              </w:rPr>
              <w:t xml:space="preserve"> </w:t>
            </w:r>
            <w:r w:rsidR="00911E0B" w:rsidRPr="00394471">
              <w:rPr>
                <w:rFonts w:asciiTheme="majorHAnsi" w:hAnsiTheme="majorHAnsi"/>
                <w:sz w:val="16"/>
                <w:szCs w:val="16"/>
              </w:rPr>
              <w:t>6. 2015</w:t>
            </w:r>
          </w:p>
        </w:tc>
        <w:tc>
          <w:tcPr>
            <w:tcW w:w="2346" w:type="dxa"/>
            <w:tcBorders>
              <w:right w:val="single" w:sz="12" w:space="0" w:color="auto"/>
            </w:tcBorders>
          </w:tcPr>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lastRenderedPageBreak/>
              <w:t xml:space="preserve">V oblasti posilnenia </w:t>
            </w:r>
            <w:r w:rsidR="00947D1A" w:rsidRPr="00394471">
              <w:rPr>
                <w:rFonts w:asciiTheme="majorHAnsi" w:hAnsiTheme="majorHAnsi" w:cs="Arial"/>
                <w:sz w:val="16"/>
                <w:szCs w:val="16"/>
              </w:rPr>
              <w:t>AK</w:t>
            </w:r>
            <w:r w:rsidRPr="00394471">
              <w:rPr>
                <w:rFonts w:asciiTheme="majorHAnsi" w:hAnsiTheme="majorHAnsi" w:cs="Arial"/>
                <w:sz w:val="16"/>
                <w:szCs w:val="16"/>
              </w:rPr>
              <w:t>: OP TP</w:t>
            </w:r>
          </w:p>
          <w:p w:rsidR="00D36671" w:rsidRPr="00394471" w:rsidRDefault="00D36671" w:rsidP="003A6140">
            <w:pPr>
              <w:rPr>
                <w:rFonts w:asciiTheme="majorHAnsi" w:hAnsiTheme="majorHAnsi" w:cs="Arial"/>
                <w:sz w:val="16"/>
                <w:szCs w:val="16"/>
              </w:rPr>
            </w:pPr>
            <w:r w:rsidRPr="00394471">
              <w:rPr>
                <w:rFonts w:asciiTheme="majorHAnsi" w:hAnsiTheme="majorHAnsi" w:cs="Arial"/>
                <w:sz w:val="16"/>
                <w:szCs w:val="16"/>
              </w:rPr>
              <w:t>V oblasti poskytovania poradenstva o uplatňovaní pravidiel EÚ v oblasti VO: ÚVO</w:t>
            </w: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rPr>
                <w:rFonts w:asciiTheme="majorHAnsi" w:hAnsiTheme="majorHAnsi" w:cs="Arial"/>
                <w:sz w:val="16"/>
                <w:szCs w:val="16"/>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r w:rsidRPr="00394471">
              <w:rPr>
                <w:rFonts w:asciiTheme="majorHAnsi" w:hAnsiTheme="majorHAnsi"/>
                <w:sz w:val="16"/>
                <w:szCs w:val="16"/>
                <w:lang w:eastAsia="sk-SK"/>
              </w:rPr>
              <w:t>OP TP v spolupráci s CKO a ÚVO</w:t>
            </w: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r w:rsidRPr="00394471">
              <w:rPr>
                <w:rFonts w:asciiTheme="majorHAnsi" w:hAnsiTheme="majorHAnsi"/>
                <w:sz w:val="16"/>
                <w:szCs w:val="16"/>
                <w:lang w:eastAsia="sk-SK"/>
              </w:rPr>
              <w:t>OP TP v spolupráci s CKO a PMÚ</w:t>
            </w: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r w:rsidRPr="00394471">
              <w:rPr>
                <w:rFonts w:asciiTheme="majorHAnsi" w:hAnsiTheme="majorHAnsi"/>
                <w:sz w:val="16"/>
                <w:szCs w:val="16"/>
                <w:lang w:eastAsia="sk-SK"/>
              </w:rPr>
              <w:t>ÚVO</w:t>
            </w: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p>
          <w:p w:rsidR="00D36671" w:rsidRPr="00394471" w:rsidRDefault="00D36671" w:rsidP="003A6140">
            <w:pPr>
              <w:autoSpaceDE w:val="0"/>
              <w:autoSpaceDN w:val="0"/>
              <w:adjustRightInd w:val="0"/>
              <w:spacing w:before="0"/>
              <w:jc w:val="left"/>
              <w:rPr>
                <w:rFonts w:asciiTheme="majorHAnsi" w:hAnsiTheme="majorHAnsi"/>
                <w:sz w:val="16"/>
                <w:szCs w:val="16"/>
                <w:lang w:eastAsia="sk-SK"/>
              </w:rPr>
            </w:pPr>
            <w:r w:rsidRPr="00394471">
              <w:rPr>
                <w:rFonts w:asciiTheme="majorHAnsi" w:hAnsiTheme="majorHAnsi"/>
                <w:sz w:val="16"/>
                <w:szCs w:val="16"/>
                <w:lang w:eastAsia="sk-SK"/>
              </w:rPr>
              <w:t>OP TP a jednotlivé RO v rámci ich TP</w:t>
            </w:r>
          </w:p>
        </w:tc>
      </w:tr>
      <w:tr w:rsidR="00CC23CF" w:rsidRPr="00DF567A" w:rsidTr="00CC23CF">
        <w:trPr>
          <w:trHeight w:val="412"/>
        </w:trPr>
        <w:tc>
          <w:tcPr>
            <w:tcW w:w="1949" w:type="dxa"/>
            <w:vMerge w:val="restart"/>
            <w:tcBorders>
              <w:top w:val="single" w:sz="12" w:space="0" w:color="auto"/>
              <w:left w:val="single" w:sz="12" w:space="0" w:color="auto"/>
            </w:tcBorders>
          </w:tcPr>
          <w:p w:rsidR="00CC23CF" w:rsidRPr="008C4B14" w:rsidRDefault="00CC23CF" w:rsidP="003D4757">
            <w:pPr>
              <w:spacing w:before="0" w:line="276" w:lineRule="auto"/>
              <w:rPr>
                <w:rFonts w:asciiTheme="majorHAnsi" w:hAnsiTheme="majorHAnsi"/>
                <w:sz w:val="16"/>
                <w:szCs w:val="16"/>
                <w:lang w:eastAsia="cs-CZ"/>
              </w:rPr>
            </w:pPr>
            <w:r w:rsidRPr="008C4B14">
              <w:rPr>
                <w:rFonts w:asciiTheme="majorHAnsi" w:hAnsiTheme="majorHAnsi"/>
                <w:sz w:val="16"/>
                <w:szCs w:val="16"/>
                <w:lang w:eastAsia="cs-CZ"/>
              </w:rPr>
              <w:lastRenderedPageBreak/>
              <w:t>5. Štátna pomoc</w:t>
            </w:r>
          </w:p>
          <w:p w:rsidR="00CC23CF" w:rsidRPr="008C4B14" w:rsidRDefault="00CC23CF" w:rsidP="003D4757">
            <w:pPr>
              <w:spacing w:before="0" w:line="276" w:lineRule="auto"/>
              <w:rPr>
                <w:rFonts w:asciiTheme="majorHAnsi" w:hAnsiTheme="majorHAnsi"/>
                <w:sz w:val="16"/>
                <w:szCs w:val="16"/>
                <w:lang w:eastAsia="cs-CZ"/>
              </w:rPr>
            </w:pPr>
            <w:r w:rsidRPr="008C4B14">
              <w:rPr>
                <w:rFonts w:asciiTheme="majorHAnsi" w:hAnsiTheme="majorHAnsi"/>
                <w:sz w:val="16"/>
                <w:szCs w:val="16"/>
                <w:lang w:eastAsia="cs-CZ"/>
              </w:rPr>
              <w:t xml:space="preserve">Existencia pravidiel na efektívne uplatňovanie práva Únie o štátnej </w:t>
            </w:r>
            <w:r w:rsidRPr="008C4B14">
              <w:rPr>
                <w:rFonts w:asciiTheme="majorHAnsi" w:hAnsiTheme="majorHAnsi"/>
                <w:sz w:val="16"/>
                <w:szCs w:val="16"/>
                <w:lang w:eastAsia="cs-CZ"/>
              </w:rPr>
              <w:lastRenderedPageBreak/>
              <w:t>pomoci v oblasti EŠIF.</w:t>
            </w:r>
          </w:p>
        </w:tc>
        <w:tc>
          <w:tcPr>
            <w:tcW w:w="2100" w:type="dxa"/>
            <w:gridSpan w:val="2"/>
            <w:tcBorders>
              <w:top w:val="single" w:sz="12" w:space="0" w:color="auto"/>
              <w:bottom w:val="single" w:sz="4" w:space="0" w:color="auto"/>
            </w:tcBorders>
          </w:tcPr>
          <w:p w:rsidR="00CC23CF" w:rsidRPr="008C4B14" w:rsidRDefault="00CC23CF" w:rsidP="003D4757">
            <w:pPr>
              <w:spacing w:before="0" w:line="276" w:lineRule="auto"/>
              <w:rPr>
                <w:rFonts w:asciiTheme="majorHAnsi" w:hAnsiTheme="majorHAnsi"/>
                <w:sz w:val="16"/>
                <w:szCs w:val="16"/>
                <w:lang w:eastAsia="cs-CZ"/>
              </w:rPr>
            </w:pPr>
            <w:r w:rsidRPr="008C4B14">
              <w:rPr>
                <w:rFonts w:asciiTheme="majorHAnsi" w:hAnsiTheme="majorHAnsi"/>
                <w:sz w:val="16"/>
                <w:szCs w:val="16"/>
                <w:lang w:eastAsia="sk-SK"/>
              </w:rPr>
              <w:lastRenderedPageBreak/>
              <w:t>Opatrenia na zabezpečenie účinného uplatňovania pravidiel Únie o štátnej pomoci.</w:t>
            </w:r>
          </w:p>
        </w:tc>
        <w:tc>
          <w:tcPr>
            <w:tcW w:w="4853" w:type="dxa"/>
            <w:gridSpan w:val="2"/>
            <w:tcBorders>
              <w:top w:val="single" w:sz="12" w:space="0" w:color="auto"/>
            </w:tcBorders>
          </w:tcPr>
          <w:p w:rsidR="00CC23CF" w:rsidRPr="008C4B14" w:rsidRDefault="00CC23CF" w:rsidP="003D4757">
            <w:pPr>
              <w:spacing w:after="0"/>
              <w:rPr>
                <w:rFonts w:asciiTheme="majorHAnsi" w:hAnsiTheme="majorHAnsi"/>
                <w:sz w:val="16"/>
                <w:szCs w:val="16"/>
                <w:lang w:eastAsia="cs-CZ"/>
              </w:rPr>
            </w:pPr>
            <w:r w:rsidRPr="008C4B14">
              <w:rPr>
                <w:rFonts w:asciiTheme="majorHAnsi" w:hAnsiTheme="majorHAnsi"/>
                <w:sz w:val="16"/>
                <w:szCs w:val="16"/>
                <w:lang w:eastAsia="cs-CZ"/>
              </w:rPr>
              <w:t>Novela zákona č. 231/1999 Z. z. o štátnej pomoci v znení neskorších predpisov s cieľom:</w:t>
            </w:r>
          </w:p>
          <w:p w:rsidR="00CC23CF" w:rsidRPr="008C4B14" w:rsidRDefault="00CC23CF" w:rsidP="003D4757">
            <w:pPr>
              <w:spacing w:after="0"/>
              <w:rPr>
                <w:rFonts w:asciiTheme="majorHAnsi" w:hAnsiTheme="majorHAnsi"/>
                <w:sz w:val="16"/>
                <w:szCs w:val="16"/>
                <w:lang w:eastAsia="cs-CZ"/>
              </w:rPr>
            </w:pPr>
          </w:p>
          <w:p w:rsidR="00CC23CF" w:rsidRPr="000D7C6E" w:rsidRDefault="000D6110" w:rsidP="001F33D1">
            <w:pPr>
              <w:pStyle w:val="Odsekzoznamu"/>
              <w:numPr>
                <w:ilvl w:val="0"/>
                <w:numId w:val="89"/>
              </w:numPr>
              <w:spacing w:before="0" w:after="0" w:line="276" w:lineRule="auto"/>
              <w:ind w:left="238" w:hanging="238"/>
              <w:rPr>
                <w:rFonts w:asciiTheme="majorHAnsi" w:hAnsiTheme="majorHAnsi"/>
                <w:sz w:val="16"/>
                <w:szCs w:val="16"/>
                <w:lang w:eastAsia="cs-CZ"/>
              </w:rPr>
            </w:pPr>
            <w:r w:rsidRPr="000D7C6E">
              <w:rPr>
                <w:rFonts w:asciiTheme="majorHAnsi" w:hAnsiTheme="majorHAnsi"/>
                <w:sz w:val="16"/>
                <w:szCs w:val="16"/>
                <w:lang w:eastAsia="cs-CZ"/>
              </w:rPr>
              <w:t>p</w:t>
            </w:r>
            <w:r w:rsidR="00CC23CF" w:rsidRPr="000D7C6E">
              <w:rPr>
                <w:rFonts w:asciiTheme="majorHAnsi" w:hAnsiTheme="majorHAnsi"/>
                <w:sz w:val="16"/>
                <w:szCs w:val="16"/>
                <w:lang w:eastAsia="cs-CZ"/>
              </w:rPr>
              <w:t>osiln</w:t>
            </w:r>
            <w:r w:rsidRPr="000D7C6E">
              <w:rPr>
                <w:rFonts w:asciiTheme="majorHAnsi" w:hAnsiTheme="majorHAnsi"/>
                <w:sz w:val="16"/>
                <w:szCs w:val="16"/>
                <w:lang w:eastAsia="cs-CZ"/>
              </w:rPr>
              <w:t>enia úlohy</w:t>
            </w:r>
            <w:r w:rsidR="00CC23CF" w:rsidRPr="000D7C6E">
              <w:rPr>
                <w:rFonts w:asciiTheme="majorHAnsi" w:hAnsiTheme="majorHAnsi"/>
                <w:sz w:val="16"/>
                <w:szCs w:val="16"/>
                <w:lang w:eastAsia="cs-CZ"/>
              </w:rPr>
              <w:t xml:space="preserve"> koordinátora štátnej pomoci tak, aby jeho stanoviská a pozície boli záväzné a každý poskytovateľ štátnej </w:t>
            </w:r>
            <w:r w:rsidR="00CC23CF" w:rsidRPr="000D7C6E">
              <w:rPr>
                <w:rFonts w:asciiTheme="majorHAnsi" w:hAnsiTheme="majorHAnsi"/>
                <w:sz w:val="16"/>
                <w:szCs w:val="16"/>
                <w:lang w:eastAsia="cs-CZ"/>
              </w:rPr>
              <w:lastRenderedPageBreak/>
              <w:t>pomoci pred jej poskytnutím musel predložiť koordinátorovi štátnej pomoci žiadosť o poskytnutie pomoci (na základe uznesenia vlády SR č. 156 z 9.</w:t>
            </w:r>
            <w:r w:rsidRPr="000D7C6E">
              <w:rPr>
                <w:rFonts w:asciiTheme="majorHAnsi" w:hAnsiTheme="majorHAnsi"/>
                <w:sz w:val="16"/>
                <w:szCs w:val="16"/>
                <w:lang w:eastAsia="cs-CZ"/>
              </w:rPr>
              <w:t xml:space="preserve"> </w:t>
            </w:r>
            <w:r w:rsidR="00CC23CF" w:rsidRPr="000D7C6E">
              <w:rPr>
                <w:rFonts w:asciiTheme="majorHAnsi" w:hAnsiTheme="majorHAnsi"/>
                <w:sz w:val="16"/>
                <w:szCs w:val="16"/>
                <w:lang w:eastAsia="cs-CZ"/>
              </w:rPr>
              <w:t>4.</w:t>
            </w:r>
            <w:r w:rsidRPr="000D7C6E">
              <w:rPr>
                <w:rFonts w:asciiTheme="majorHAnsi" w:hAnsiTheme="majorHAnsi"/>
                <w:sz w:val="16"/>
                <w:szCs w:val="16"/>
                <w:lang w:eastAsia="cs-CZ"/>
              </w:rPr>
              <w:t xml:space="preserve"> </w:t>
            </w:r>
            <w:r w:rsidR="00CC23CF" w:rsidRPr="000D7C6E">
              <w:rPr>
                <w:rFonts w:asciiTheme="majorHAnsi" w:hAnsiTheme="majorHAnsi"/>
                <w:sz w:val="16"/>
                <w:szCs w:val="16"/>
                <w:lang w:eastAsia="cs-CZ"/>
              </w:rPr>
              <w:t>2014 stanoviská a pozície koordinátora štátnej pomoci sú už záväzné pre všetky RO a SORO),</w:t>
            </w:r>
          </w:p>
          <w:p w:rsidR="00CC23CF" w:rsidRPr="008C4B14" w:rsidRDefault="00CC23CF" w:rsidP="00394471">
            <w:pPr>
              <w:spacing w:before="0" w:after="0" w:line="276" w:lineRule="auto"/>
              <w:ind w:left="238" w:hanging="238"/>
              <w:rPr>
                <w:rFonts w:asciiTheme="majorHAnsi" w:hAnsiTheme="majorHAnsi"/>
                <w:sz w:val="16"/>
                <w:szCs w:val="16"/>
                <w:lang w:eastAsia="cs-CZ"/>
              </w:rPr>
            </w:pPr>
          </w:p>
          <w:p w:rsidR="00CC23CF" w:rsidRPr="00394471" w:rsidRDefault="00CC23CF" w:rsidP="001F33D1">
            <w:pPr>
              <w:pStyle w:val="Odsekzoznamu"/>
              <w:numPr>
                <w:ilvl w:val="0"/>
                <w:numId w:val="89"/>
              </w:numPr>
              <w:spacing w:before="0" w:after="0" w:line="276" w:lineRule="auto"/>
              <w:ind w:left="238" w:hanging="238"/>
              <w:rPr>
                <w:rFonts w:asciiTheme="majorHAnsi" w:hAnsiTheme="majorHAnsi"/>
                <w:sz w:val="16"/>
                <w:szCs w:val="16"/>
                <w:lang w:eastAsia="cs-CZ"/>
              </w:rPr>
            </w:pPr>
            <w:r w:rsidRPr="00394471">
              <w:rPr>
                <w:rFonts w:asciiTheme="majorHAnsi" w:hAnsiTheme="majorHAnsi"/>
                <w:sz w:val="16"/>
                <w:szCs w:val="16"/>
                <w:lang w:eastAsia="cs-CZ"/>
              </w:rPr>
              <w:t>vytvorenia právneho rámca pre zriadenie centrálneho IT registra pre štátnu pomoc, ktorý by mal zahŕňať aj individuálnu pomoc a pomoc podliehajúcu všeobecnej skupinovej výnimke,</w:t>
            </w:r>
          </w:p>
          <w:p w:rsidR="00CC23CF" w:rsidRPr="008C4B14" w:rsidRDefault="00CA0D00" w:rsidP="00CA0D00">
            <w:pPr>
              <w:spacing w:before="0" w:after="0" w:line="276" w:lineRule="auto"/>
              <w:ind w:left="238" w:hanging="238"/>
              <w:rPr>
                <w:rFonts w:asciiTheme="majorHAnsi" w:hAnsiTheme="majorHAnsi"/>
                <w:sz w:val="16"/>
                <w:szCs w:val="16"/>
                <w:lang w:eastAsia="cs-CZ"/>
              </w:rPr>
            </w:pPr>
            <w:r>
              <w:rPr>
                <w:rFonts w:asciiTheme="majorHAnsi" w:hAnsiTheme="majorHAnsi"/>
                <w:sz w:val="16"/>
                <w:szCs w:val="16"/>
                <w:lang w:eastAsia="cs-CZ"/>
              </w:rPr>
              <w:tab/>
            </w:r>
            <w:r>
              <w:rPr>
                <w:rFonts w:asciiTheme="majorHAnsi" w:hAnsiTheme="majorHAnsi"/>
                <w:sz w:val="16"/>
                <w:szCs w:val="16"/>
                <w:lang w:eastAsia="cs-CZ"/>
              </w:rPr>
              <w:tab/>
            </w:r>
          </w:p>
          <w:p w:rsidR="00CC23CF" w:rsidRPr="00394471" w:rsidRDefault="00CC23CF" w:rsidP="001F33D1">
            <w:pPr>
              <w:pStyle w:val="Odsekzoznamu"/>
              <w:numPr>
                <w:ilvl w:val="0"/>
                <w:numId w:val="89"/>
              </w:numPr>
              <w:spacing w:before="0" w:line="280" w:lineRule="auto"/>
              <w:ind w:left="238" w:hanging="238"/>
              <w:rPr>
                <w:rFonts w:asciiTheme="majorHAnsi" w:hAnsiTheme="majorHAnsi"/>
                <w:sz w:val="16"/>
                <w:szCs w:val="16"/>
              </w:rPr>
            </w:pPr>
            <w:r w:rsidRPr="00394471">
              <w:rPr>
                <w:rFonts w:asciiTheme="majorHAnsi" w:hAnsiTheme="majorHAnsi"/>
                <w:sz w:val="16"/>
                <w:szCs w:val="16"/>
                <w:lang w:eastAsia="cs-CZ"/>
              </w:rPr>
              <w:t>zriadeni</w:t>
            </w:r>
            <w:r w:rsidR="000D6110" w:rsidRPr="00394471">
              <w:rPr>
                <w:rFonts w:asciiTheme="majorHAnsi" w:hAnsiTheme="majorHAnsi"/>
                <w:sz w:val="16"/>
                <w:szCs w:val="16"/>
                <w:lang w:eastAsia="cs-CZ"/>
              </w:rPr>
              <w:t>a</w:t>
            </w:r>
            <w:r w:rsidRPr="00394471">
              <w:rPr>
                <w:rFonts w:asciiTheme="majorHAnsi" w:hAnsiTheme="majorHAnsi"/>
                <w:sz w:val="16"/>
                <w:szCs w:val="16"/>
                <w:lang w:eastAsia="cs-CZ"/>
              </w:rPr>
              <w:t xml:space="preserve"> centrálneho IT registra pre štátnu pomoc v rozsahu a v štruktúre ako ich vymedzí nové nariadenie GBER, ktoré nadobudne účinnosť od 1.</w:t>
            </w:r>
            <w:r w:rsidR="000D6110" w:rsidRPr="00394471">
              <w:rPr>
                <w:rFonts w:asciiTheme="majorHAnsi" w:hAnsiTheme="majorHAnsi"/>
                <w:sz w:val="16"/>
                <w:szCs w:val="16"/>
                <w:lang w:eastAsia="cs-CZ"/>
              </w:rPr>
              <w:t xml:space="preserve"> </w:t>
            </w:r>
            <w:r w:rsidRPr="00394471">
              <w:rPr>
                <w:rFonts w:asciiTheme="majorHAnsi" w:hAnsiTheme="majorHAnsi"/>
                <w:sz w:val="16"/>
                <w:szCs w:val="16"/>
                <w:lang w:eastAsia="cs-CZ"/>
              </w:rPr>
              <w:t>7.</w:t>
            </w:r>
            <w:r w:rsidR="000D6110" w:rsidRPr="00394471">
              <w:rPr>
                <w:rFonts w:asciiTheme="majorHAnsi" w:hAnsiTheme="majorHAnsi"/>
                <w:sz w:val="16"/>
                <w:szCs w:val="16"/>
                <w:lang w:eastAsia="cs-CZ"/>
              </w:rPr>
              <w:t xml:space="preserve"> </w:t>
            </w:r>
            <w:r w:rsidRPr="00394471">
              <w:rPr>
                <w:rFonts w:asciiTheme="majorHAnsi" w:hAnsiTheme="majorHAnsi"/>
                <w:sz w:val="16"/>
                <w:szCs w:val="16"/>
                <w:lang w:eastAsia="cs-CZ"/>
              </w:rPr>
              <w:t>2014 a príslušné usmernenia Európskej komisie</w:t>
            </w:r>
            <w:r w:rsidR="000D6110" w:rsidRPr="00394471">
              <w:rPr>
                <w:rFonts w:asciiTheme="majorHAnsi" w:hAnsiTheme="majorHAnsi"/>
                <w:sz w:val="16"/>
                <w:szCs w:val="16"/>
                <w:lang w:eastAsia="cs-CZ"/>
              </w:rPr>
              <w:t>.</w:t>
            </w:r>
          </w:p>
        </w:tc>
        <w:tc>
          <w:tcPr>
            <w:tcW w:w="2862" w:type="dxa"/>
            <w:gridSpan w:val="3"/>
            <w:tcBorders>
              <w:top w:val="single" w:sz="12" w:space="0" w:color="auto"/>
            </w:tcBorders>
          </w:tcPr>
          <w:p w:rsidR="00CC23CF" w:rsidRPr="008C4B14" w:rsidRDefault="00CC23CF" w:rsidP="003D4757">
            <w:pPr>
              <w:spacing w:after="0"/>
              <w:rPr>
                <w:rFonts w:asciiTheme="majorHAnsi" w:hAnsiTheme="majorHAnsi"/>
                <w:sz w:val="16"/>
                <w:szCs w:val="16"/>
                <w:lang w:eastAsia="cs-CZ"/>
              </w:rPr>
            </w:pPr>
          </w:p>
          <w:p w:rsidR="00CC23CF" w:rsidRPr="008C4B14" w:rsidRDefault="00CC23CF" w:rsidP="003D4757">
            <w:pPr>
              <w:spacing w:after="0"/>
              <w:rPr>
                <w:rFonts w:asciiTheme="majorHAnsi" w:hAnsiTheme="majorHAnsi"/>
                <w:sz w:val="16"/>
                <w:szCs w:val="16"/>
                <w:lang w:eastAsia="cs-CZ"/>
              </w:rPr>
            </w:pPr>
          </w:p>
          <w:p w:rsidR="00CC23CF" w:rsidRPr="008C4B14" w:rsidRDefault="00CC23CF" w:rsidP="003D4757">
            <w:pPr>
              <w:spacing w:after="0"/>
              <w:rPr>
                <w:rFonts w:asciiTheme="majorHAnsi" w:hAnsiTheme="majorHAnsi"/>
                <w:sz w:val="16"/>
                <w:szCs w:val="16"/>
                <w:lang w:eastAsia="cs-CZ"/>
              </w:rPr>
            </w:pPr>
          </w:p>
          <w:p w:rsidR="00CC23CF" w:rsidRPr="008C4B14" w:rsidRDefault="00CC23CF" w:rsidP="003D4757">
            <w:pPr>
              <w:spacing w:after="0"/>
              <w:rPr>
                <w:rFonts w:asciiTheme="majorHAnsi" w:hAnsiTheme="majorHAnsi"/>
                <w:sz w:val="16"/>
                <w:szCs w:val="16"/>
                <w:lang w:eastAsia="cs-CZ"/>
              </w:rPr>
            </w:pPr>
            <w:r w:rsidRPr="008C4B14">
              <w:rPr>
                <w:rFonts w:asciiTheme="majorHAnsi" w:hAnsiTheme="majorHAnsi"/>
                <w:sz w:val="16"/>
                <w:szCs w:val="16"/>
                <w:lang w:eastAsia="cs-CZ"/>
              </w:rPr>
              <w:t>31. 7. 2015</w:t>
            </w:r>
          </w:p>
          <w:p w:rsidR="00CC23CF" w:rsidRPr="008C4B14" w:rsidRDefault="00CC23CF" w:rsidP="003D4757">
            <w:pPr>
              <w:spacing w:after="0"/>
              <w:rPr>
                <w:rFonts w:asciiTheme="majorHAnsi" w:hAnsiTheme="majorHAnsi"/>
                <w:sz w:val="16"/>
                <w:szCs w:val="16"/>
                <w:lang w:eastAsia="cs-CZ"/>
              </w:rPr>
            </w:pPr>
          </w:p>
          <w:p w:rsidR="00CC23CF" w:rsidRPr="008C4B14" w:rsidRDefault="00CC23CF" w:rsidP="003D4757">
            <w:pPr>
              <w:spacing w:after="0"/>
              <w:rPr>
                <w:rFonts w:asciiTheme="majorHAnsi" w:hAnsiTheme="majorHAnsi"/>
                <w:sz w:val="16"/>
                <w:szCs w:val="16"/>
                <w:lang w:eastAsia="cs-CZ"/>
              </w:rPr>
            </w:pPr>
          </w:p>
          <w:p w:rsidR="00CC23CF" w:rsidRPr="008C4B14" w:rsidRDefault="00CC23CF" w:rsidP="003D4757">
            <w:pPr>
              <w:rPr>
                <w:rFonts w:asciiTheme="majorHAnsi" w:hAnsiTheme="majorHAnsi"/>
                <w:sz w:val="16"/>
                <w:szCs w:val="16"/>
                <w:lang w:eastAsia="cs-CZ"/>
              </w:rPr>
            </w:pPr>
          </w:p>
          <w:p w:rsidR="00CC23CF" w:rsidRPr="008C4B14" w:rsidRDefault="00CC23CF" w:rsidP="003D4757">
            <w:pPr>
              <w:spacing w:after="0"/>
              <w:rPr>
                <w:rFonts w:asciiTheme="majorHAnsi" w:hAnsiTheme="majorHAnsi"/>
                <w:sz w:val="16"/>
                <w:szCs w:val="16"/>
                <w:lang w:eastAsia="cs-CZ"/>
              </w:rPr>
            </w:pPr>
          </w:p>
          <w:p w:rsidR="00CC23CF" w:rsidRPr="008C4B14" w:rsidRDefault="00CC23CF" w:rsidP="003D4757">
            <w:pPr>
              <w:spacing w:after="0"/>
              <w:rPr>
                <w:rFonts w:asciiTheme="majorHAnsi" w:hAnsiTheme="majorHAnsi"/>
                <w:sz w:val="16"/>
                <w:szCs w:val="16"/>
                <w:lang w:eastAsia="cs-CZ"/>
              </w:rPr>
            </w:pPr>
            <w:r w:rsidRPr="008C4B14">
              <w:rPr>
                <w:rFonts w:asciiTheme="majorHAnsi" w:hAnsiTheme="majorHAnsi"/>
                <w:sz w:val="16"/>
                <w:szCs w:val="16"/>
                <w:lang w:eastAsia="cs-CZ"/>
              </w:rPr>
              <w:t>31. 7. 2015</w:t>
            </w:r>
          </w:p>
          <w:p w:rsidR="00CC23CF" w:rsidRPr="008C4B14" w:rsidRDefault="00CC23CF" w:rsidP="003D4757">
            <w:pPr>
              <w:spacing w:after="0"/>
              <w:rPr>
                <w:rFonts w:asciiTheme="majorHAnsi" w:hAnsiTheme="majorHAnsi"/>
                <w:sz w:val="16"/>
                <w:szCs w:val="16"/>
                <w:lang w:eastAsia="cs-CZ"/>
              </w:rPr>
            </w:pPr>
          </w:p>
          <w:p w:rsidR="00CC23CF" w:rsidRPr="008C4B14" w:rsidRDefault="00CC23CF" w:rsidP="003D4757">
            <w:pPr>
              <w:rPr>
                <w:rFonts w:asciiTheme="majorHAnsi" w:hAnsiTheme="majorHAnsi"/>
                <w:sz w:val="16"/>
                <w:szCs w:val="16"/>
                <w:lang w:eastAsia="cs-CZ"/>
              </w:rPr>
            </w:pPr>
            <w:r w:rsidRPr="008C4B14">
              <w:rPr>
                <w:rFonts w:asciiTheme="majorHAnsi" w:hAnsiTheme="majorHAnsi"/>
                <w:sz w:val="16"/>
                <w:szCs w:val="16"/>
                <w:lang w:eastAsia="cs-CZ"/>
              </w:rPr>
              <w:t>31. 12. 2015</w:t>
            </w:r>
          </w:p>
          <w:p w:rsidR="00CC23CF" w:rsidRPr="008C4B14" w:rsidRDefault="00CC23CF" w:rsidP="003D4757">
            <w:pPr>
              <w:spacing w:before="0" w:line="276" w:lineRule="auto"/>
              <w:rPr>
                <w:rFonts w:asciiTheme="majorHAnsi" w:hAnsiTheme="majorHAnsi"/>
                <w:sz w:val="16"/>
                <w:szCs w:val="16"/>
                <w:lang w:eastAsia="cs-CZ"/>
              </w:rPr>
            </w:pPr>
          </w:p>
        </w:tc>
        <w:tc>
          <w:tcPr>
            <w:tcW w:w="2346" w:type="dxa"/>
            <w:tcBorders>
              <w:top w:val="single" w:sz="12" w:space="0" w:color="auto"/>
              <w:right w:val="single" w:sz="12" w:space="0" w:color="auto"/>
            </w:tcBorders>
          </w:tcPr>
          <w:p w:rsidR="00CC23CF" w:rsidRPr="008C4B14" w:rsidRDefault="00CC23CF" w:rsidP="003D4757">
            <w:pPr>
              <w:spacing w:before="0" w:line="276" w:lineRule="auto"/>
              <w:jc w:val="center"/>
              <w:rPr>
                <w:rFonts w:asciiTheme="majorHAnsi" w:hAnsiTheme="majorHAnsi"/>
                <w:sz w:val="16"/>
                <w:szCs w:val="16"/>
                <w:lang w:eastAsia="cs-CZ"/>
              </w:rPr>
            </w:pPr>
            <w:r w:rsidRPr="008C4B14">
              <w:rPr>
                <w:rFonts w:asciiTheme="majorHAnsi" w:hAnsiTheme="majorHAnsi"/>
                <w:sz w:val="16"/>
                <w:szCs w:val="16"/>
                <w:lang w:eastAsia="cs-CZ"/>
              </w:rPr>
              <w:lastRenderedPageBreak/>
              <w:t>MF SR</w:t>
            </w:r>
          </w:p>
        </w:tc>
      </w:tr>
      <w:tr w:rsidR="00CC23CF" w:rsidRPr="00DF567A" w:rsidTr="00CC23CF">
        <w:trPr>
          <w:trHeight w:val="412"/>
        </w:trPr>
        <w:tc>
          <w:tcPr>
            <w:tcW w:w="1949" w:type="dxa"/>
            <w:vMerge/>
            <w:tcBorders>
              <w:left w:val="single" w:sz="12" w:space="0" w:color="auto"/>
            </w:tcBorders>
          </w:tcPr>
          <w:p w:rsidR="00CC23CF" w:rsidRPr="00691C8F" w:rsidRDefault="00CC23CF" w:rsidP="003D4757">
            <w:pPr>
              <w:spacing w:before="0" w:line="276" w:lineRule="auto"/>
              <w:rPr>
                <w:rFonts w:asciiTheme="majorHAnsi" w:hAnsiTheme="majorHAnsi"/>
                <w:sz w:val="16"/>
                <w:szCs w:val="16"/>
                <w:lang w:eastAsia="cs-CZ"/>
              </w:rPr>
            </w:pPr>
          </w:p>
        </w:tc>
        <w:tc>
          <w:tcPr>
            <w:tcW w:w="2100" w:type="dxa"/>
            <w:gridSpan w:val="2"/>
            <w:tcBorders>
              <w:top w:val="single" w:sz="4" w:space="0" w:color="auto"/>
              <w:bottom w:val="single" w:sz="4" w:space="0" w:color="auto"/>
            </w:tcBorders>
          </w:tcPr>
          <w:p w:rsidR="00CC23CF" w:rsidRPr="00B90520" w:rsidRDefault="00CC23CF" w:rsidP="003D4757">
            <w:pPr>
              <w:spacing w:before="0" w:line="276" w:lineRule="auto"/>
              <w:rPr>
                <w:rFonts w:asciiTheme="majorHAnsi" w:hAnsiTheme="majorHAnsi"/>
                <w:sz w:val="16"/>
                <w:szCs w:val="16"/>
                <w:lang w:eastAsia="sk-SK"/>
              </w:rPr>
            </w:pPr>
          </w:p>
        </w:tc>
        <w:tc>
          <w:tcPr>
            <w:tcW w:w="4853" w:type="dxa"/>
            <w:gridSpan w:val="2"/>
          </w:tcPr>
          <w:p w:rsidR="00CC23CF" w:rsidRPr="00B90520" w:rsidRDefault="00CC23CF" w:rsidP="003D4757">
            <w:pPr>
              <w:spacing w:before="0" w:line="280" w:lineRule="auto"/>
              <w:rPr>
                <w:rFonts w:asciiTheme="majorHAnsi" w:hAnsiTheme="majorHAnsi"/>
                <w:sz w:val="16"/>
                <w:szCs w:val="16"/>
              </w:rPr>
            </w:pPr>
          </w:p>
        </w:tc>
        <w:tc>
          <w:tcPr>
            <w:tcW w:w="2862" w:type="dxa"/>
            <w:gridSpan w:val="3"/>
          </w:tcPr>
          <w:p w:rsidR="00CC23CF" w:rsidRPr="00B90520" w:rsidRDefault="00CC23CF" w:rsidP="003D4757">
            <w:pPr>
              <w:spacing w:before="0" w:line="276" w:lineRule="auto"/>
              <w:rPr>
                <w:rFonts w:asciiTheme="majorHAnsi" w:hAnsiTheme="majorHAnsi"/>
                <w:sz w:val="16"/>
                <w:szCs w:val="16"/>
              </w:rPr>
            </w:pPr>
          </w:p>
        </w:tc>
        <w:tc>
          <w:tcPr>
            <w:tcW w:w="2346" w:type="dxa"/>
            <w:tcBorders>
              <w:right w:val="single" w:sz="12" w:space="0" w:color="auto"/>
            </w:tcBorders>
          </w:tcPr>
          <w:p w:rsidR="00CC23CF" w:rsidRPr="00B90520" w:rsidRDefault="00CC23CF" w:rsidP="003D4757">
            <w:pPr>
              <w:spacing w:before="0" w:line="276" w:lineRule="auto"/>
              <w:rPr>
                <w:rFonts w:asciiTheme="majorHAnsi" w:hAnsiTheme="majorHAnsi"/>
                <w:sz w:val="16"/>
                <w:szCs w:val="16"/>
                <w:lang w:eastAsia="cs-CZ"/>
              </w:rPr>
            </w:pPr>
          </w:p>
        </w:tc>
      </w:tr>
      <w:tr w:rsidR="00CC23CF" w:rsidRPr="00DF567A" w:rsidTr="000D7C6E">
        <w:trPr>
          <w:trHeight w:val="412"/>
        </w:trPr>
        <w:tc>
          <w:tcPr>
            <w:tcW w:w="1949" w:type="dxa"/>
            <w:vMerge/>
            <w:tcBorders>
              <w:left w:val="single" w:sz="12" w:space="0" w:color="auto"/>
              <w:bottom w:val="single" w:sz="12" w:space="0" w:color="auto"/>
            </w:tcBorders>
          </w:tcPr>
          <w:p w:rsidR="00CC23CF" w:rsidRPr="00691C8F" w:rsidRDefault="00CC23CF" w:rsidP="003D4757">
            <w:pPr>
              <w:spacing w:before="0" w:line="276" w:lineRule="auto"/>
              <w:rPr>
                <w:rFonts w:asciiTheme="majorHAnsi" w:hAnsiTheme="majorHAnsi"/>
                <w:sz w:val="16"/>
                <w:szCs w:val="16"/>
                <w:lang w:eastAsia="cs-CZ"/>
              </w:rPr>
            </w:pPr>
          </w:p>
        </w:tc>
        <w:tc>
          <w:tcPr>
            <w:tcW w:w="2100" w:type="dxa"/>
            <w:gridSpan w:val="2"/>
            <w:tcBorders>
              <w:top w:val="single" w:sz="4" w:space="0" w:color="auto"/>
              <w:bottom w:val="single" w:sz="12" w:space="0" w:color="auto"/>
            </w:tcBorders>
          </w:tcPr>
          <w:p w:rsidR="00CC23CF" w:rsidRPr="00B05B51" w:rsidRDefault="00CC23CF" w:rsidP="00BA185A">
            <w:pPr>
              <w:spacing w:before="0" w:line="276" w:lineRule="auto"/>
              <w:rPr>
                <w:rFonts w:asciiTheme="majorHAnsi" w:hAnsiTheme="majorHAnsi"/>
                <w:sz w:val="18"/>
                <w:szCs w:val="16"/>
                <w:lang w:eastAsia="sk-SK"/>
              </w:rPr>
            </w:pPr>
            <w:r w:rsidRPr="00B05B51">
              <w:rPr>
                <w:rFonts w:asciiTheme="majorHAnsi" w:hAnsiTheme="majorHAnsi"/>
                <w:sz w:val="16"/>
                <w:szCs w:val="16"/>
                <w:lang w:eastAsia="cs-CZ"/>
              </w:rPr>
              <w:t>Opatrenia na zabezpečenie administratívnej kapacity na vykonávanie a uplatňovanie pravidiel Únie o štátnej pomoci</w:t>
            </w:r>
          </w:p>
        </w:tc>
        <w:tc>
          <w:tcPr>
            <w:tcW w:w="4853" w:type="dxa"/>
            <w:gridSpan w:val="2"/>
            <w:tcBorders>
              <w:bottom w:val="single" w:sz="12" w:space="0" w:color="auto"/>
            </w:tcBorders>
            <w:vAlign w:val="center"/>
          </w:tcPr>
          <w:p w:rsidR="003572D6" w:rsidRPr="00B05B51" w:rsidRDefault="003572D6" w:rsidP="003572D6">
            <w:pPr>
              <w:spacing w:before="0"/>
              <w:rPr>
                <w:rFonts w:asciiTheme="majorHAnsi" w:hAnsiTheme="majorHAnsi"/>
                <w:sz w:val="16"/>
                <w:szCs w:val="16"/>
                <w:lang w:eastAsia="cs-CZ"/>
              </w:rPr>
            </w:pPr>
            <w:r w:rsidRPr="00B05B51">
              <w:rPr>
                <w:rFonts w:asciiTheme="majorHAnsi" w:hAnsiTheme="majorHAnsi"/>
                <w:sz w:val="16"/>
                <w:szCs w:val="16"/>
                <w:lang w:eastAsia="cs-CZ"/>
              </w:rPr>
              <w:t>Posilnenie administratívnej kapacity koordinátora štátnej pomoci o 10 až 15 miest ( 100 % až 150 % navýšenie).</w:t>
            </w:r>
          </w:p>
          <w:p w:rsidR="00CC23CF" w:rsidRPr="00B05B51" w:rsidRDefault="003572D6" w:rsidP="003572D6">
            <w:pPr>
              <w:spacing w:before="0" w:line="276" w:lineRule="auto"/>
              <w:rPr>
                <w:rFonts w:asciiTheme="majorHAnsi" w:hAnsiTheme="majorHAnsi"/>
                <w:sz w:val="16"/>
                <w:szCs w:val="16"/>
                <w:lang w:eastAsia="cs-CZ"/>
              </w:rPr>
            </w:pPr>
            <w:r w:rsidRPr="00B05B51">
              <w:rPr>
                <w:rFonts w:asciiTheme="majorHAnsi" w:hAnsiTheme="majorHAnsi"/>
                <w:sz w:val="16"/>
                <w:szCs w:val="16"/>
                <w:lang w:eastAsia="cs-CZ"/>
              </w:rPr>
              <w:t xml:space="preserve">V útvare koordinátora štátnej pomoci budú zabezpečované aj úlohy centra znalostí, ktoré poskytnú potrebné usmernenia v oblasti štátnej pomoci vrátane </w:t>
            </w:r>
          </w:p>
        </w:tc>
        <w:tc>
          <w:tcPr>
            <w:tcW w:w="2862" w:type="dxa"/>
            <w:gridSpan w:val="3"/>
            <w:vAlign w:val="center"/>
          </w:tcPr>
          <w:p w:rsidR="00CC23CF" w:rsidRPr="00B05B51" w:rsidRDefault="00022CD9" w:rsidP="003D4757">
            <w:pPr>
              <w:spacing w:before="0" w:after="0" w:line="276" w:lineRule="auto"/>
              <w:rPr>
                <w:rFonts w:asciiTheme="majorHAnsi" w:hAnsiTheme="majorHAnsi"/>
                <w:sz w:val="16"/>
                <w:szCs w:val="16"/>
                <w:lang w:eastAsia="cs-CZ"/>
              </w:rPr>
            </w:pPr>
            <w:r w:rsidRPr="00B05B51">
              <w:rPr>
                <w:rFonts w:asciiTheme="majorHAnsi" w:hAnsiTheme="majorHAnsi"/>
                <w:sz w:val="16"/>
                <w:szCs w:val="16"/>
                <w:lang w:eastAsia="cs-CZ"/>
              </w:rPr>
              <w:t>31. 12. 2014</w:t>
            </w:r>
          </w:p>
          <w:p w:rsidR="00CC23CF" w:rsidRPr="00B05B51" w:rsidRDefault="00CC23CF" w:rsidP="003D4757">
            <w:pPr>
              <w:spacing w:before="0" w:line="276" w:lineRule="auto"/>
              <w:rPr>
                <w:rFonts w:asciiTheme="majorHAnsi" w:hAnsiTheme="majorHAnsi"/>
                <w:sz w:val="16"/>
                <w:szCs w:val="16"/>
              </w:rPr>
            </w:pPr>
          </w:p>
        </w:tc>
        <w:tc>
          <w:tcPr>
            <w:tcW w:w="2346" w:type="dxa"/>
            <w:tcBorders>
              <w:right w:val="single" w:sz="12" w:space="0" w:color="auto"/>
            </w:tcBorders>
          </w:tcPr>
          <w:p w:rsidR="00CC23CF" w:rsidRPr="00B05B51" w:rsidRDefault="00CC23CF" w:rsidP="003D4757">
            <w:pPr>
              <w:spacing w:before="0" w:after="0"/>
              <w:rPr>
                <w:rFonts w:asciiTheme="majorHAnsi" w:hAnsiTheme="majorHAnsi"/>
                <w:sz w:val="16"/>
                <w:szCs w:val="16"/>
                <w:lang w:eastAsia="cs-CZ"/>
              </w:rPr>
            </w:pPr>
            <w:r w:rsidRPr="00B05B51">
              <w:rPr>
                <w:rFonts w:asciiTheme="majorHAnsi" w:hAnsiTheme="majorHAnsi"/>
                <w:sz w:val="16"/>
                <w:szCs w:val="16"/>
                <w:lang w:eastAsia="cs-CZ"/>
              </w:rPr>
              <w:t>MF SR</w:t>
            </w:r>
          </w:p>
          <w:p w:rsidR="00CC23CF" w:rsidRPr="00B05B51" w:rsidRDefault="00CC23CF" w:rsidP="003D4757">
            <w:pPr>
              <w:spacing w:before="0" w:line="276" w:lineRule="auto"/>
              <w:jc w:val="center"/>
              <w:rPr>
                <w:rFonts w:asciiTheme="majorHAnsi" w:hAnsiTheme="majorHAnsi"/>
                <w:sz w:val="16"/>
                <w:szCs w:val="16"/>
                <w:lang w:eastAsia="cs-CZ"/>
              </w:rPr>
            </w:pPr>
          </w:p>
        </w:tc>
      </w:tr>
      <w:tr w:rsidR="002F62D4" w:rsidRPr="00DF567A" w:rsidTr="00836B8C">
        <w:trPr>
          <w:trHeight w:val="925"/>
        </w:trPr>
        <w:tc>
          <w:tcPr>
            <w:tcW w:w="1949" w:type="dxa"/>
            <w:vMerge w:val="restart"/>
            <w:tcBorders>
              <w:left w:val="single" w:sz="12" w:space="0" w:color="auto"/>
            </w:tcBorders>
          </w:tcPr>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6. Právne predpisy v oblasti životného prostredia týkajúce sa posudzovania vplyvov na životné prostredie (EIA) a strategického environmentálneho posudzovania (SEA)</w:t>
            </w:r>
          </w:p>
          <w:p w:rsidR="002F62D4" w:rsidRPr="00B763E3" w:rsidRDefault="002F62D4" w:rsidP="004E2D6C">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 xml:space="preserve">Existencia pravidiel na efektívne uplatňovanie právnych predpisov Únie v oblasti životného prostredia týkajúcich sa </w:t>
            </w:r>
            <w:r w:rsidRPr="00B763E3">
              <w:rPr>
                <w:rFonts w:asciiTheme="majorHAnsi" w:hAnsiTheme="majorHAnsi"/>
                <w:sz w:val="16"/>
                <w:szCs w:val="16"/>
                <w:lang w:eastAsia="cs-CZ"/>
              </w:rPr>
              <w:lastRenderedPageBreak/>
              <w:t>EIA a SEA.</w:t>
            </w:r>
          </w:p>
        </w:tc>
        <w:tc>
          <w:tcPr>
            <w:tcW w:w="2100" w:type="dxa"/>
            <w:gridSpan w:val="2"/>
            <w:vAlign w:val="center"/>
          </w:tcPr>
          <w:p w:rsidR="002F62D4" w:rsidRPr="00B763E3" w:rsidRDefault="002F62D4" w:rsidP="004E2D6C">
            <w:pPr>
              <w:spacing w:before="0" w:line="276" w:lineRule="auto"/>
              <w:rPr>
                <w:rFonts w:asciiTheme="majorHAnsi" w:hAnsiTheme="majorHAnsi"/>
                <w:sz w:val="16"/>
                <w:szCs w:val="16"/>
                <w:lang w:eastAsia="sk-SK"/>
              </w:rPr>
            </w:pPr>
            <w:r w:rsidRPr="00B763E3">
              <w:rPr>
                <w:rFonts w:asciiTheme="majorHAnsi" w:hAnsiTheme="majorHAnsi"/>
                <w:sz w:val="16"/>
                <w:szCs w:val="16"/>
                <w:lang w:eastAsia="sk-SK"/>
              </w:rPr>
              <w:lastRenderedPageBreak/>
              <w:t>Opatrenia na zabezpečenie účinného uplatňovania smernice Európskeho parlamentu a Rady 2011/92/EÚ (EIA) a smernice Európskeho parlamentu a Rady 2001/42/ES (SEA).</w:t>
            </w:r>
          </w:p>
        </w:tc>
        <w:tc>
          <w:tcPr>
            <w:tcW w:w="4853" w:type="dxa"/>
            <w:gridSpan w:val="2"/>
            <w:vAlign w:val="center"/>
          </w:tcPr>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t>Plánovaná účinnosť novely zákona</w:t>
            </w:r>
          </w:p>
        </w:tc>
        <w:tc>
          <w:tcPr>
            <w:tcW w:w="2862" w:type="dxa"/>
            <w:gridSpan w:val="3"/>
            <w:vAlign w:val="center"/>
          </w:tcPr>
          <w:p w:rsidR="002F62D4" w:rsidRPr="00B763E3" w:rsidRDefault="002F62D4" w:rsidP="00250898">
            <w:pPr>
              <w:spacing w:before="0" w:after="0"/>
              <w:rPr>
                <w:rFonts w:asciiTheme="majorHAnsi" w:hAnsiTheme="majorHAnsi"/>
                <w:sz w:val="16"/>
                <w:szCs w:val="16"/>
              </w:rPr>
            </w:pPr>
            <w:r w:rsidRPr="00B763E3">
              <w:rPr>
                <w:rFonts w:asciiTheme="majorHAnsi" w:hAnsiTheme="majorHAnsi"/>
                <w:sz w:val="16"/>
                <w:szCs w:val="16"/>
              </w:rPr>
              <w:t xml:space="preserve">1. </w:t>
            </w:r>
            <w:r w:rsidR="00250898" w:rsidRPr="00B763E3">
              <w:rPr>
                <w:rFonts w:asciiTheme="majorHAnsi" w:hAnsiTheme="majorHAnsi"/>
                <w:sz w:val="16"/>
                <w:szCs w:val="16"/>
              </w:rPr>
              <w:t>12.</w:t>
            </w:r>
            <w:r w:rsidRPr="00B763E3">
              <w:rPr>
                <w:rFonts w:asciiTheme="majorHAnsi" w:hAnsiTheme="majorHAnsi"/>
                <w:sz w:val="16"/>
                <w:szCs w:val="16"/>
              </w:rPr>
              <w:t xml:space="preserve"> 2014</w:t>
            </w:r>
          </w:p>
        </w:tc>
        <w:tc>
          <w:tcPr>
            <w:tcW w:w="2346" w:type="dxa"/>
            <w:vMerge w:val="restart"/>
            <w:tcBorders>
              <w:right w:val="single" w:sz="12" w:space="0" w:color="auto"/>
            </w:tcBorders>
          </w:tcPr>
          <w:p w:rsidR="002F62D4" w:rsidRPr="00B763E3" w:rsidRDefault="002F62D4" w:rsidP="00BA185A">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MŽP SR</w:t>
            </w: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BA185A">
            <w:pPr>
              <w:spacing w:before="0" w:line="276" w:lineRule="auto"/>
              <w:rPr>
                <w:rFonts w:asciiTheme="majorHAnsi" w:hAnsiTheme="majorHAnsi"/>
                <w:sz w:val="16"/>
                <w:szCs w:val="16"/>
                <w:lang w:eastAsia="cs-CZ"/>
              </w:rPr>
            </w:pPr>
            <w:r w:rsidRPr="00B763E3">
              <w:rPr>
                <w:rFonts w:asciiTheme="majorHAnsi" w:hAnsiTheme="majorHAnsi"/>
                <w:sz w:val="16"/>
                <w:szCs w:val="16"/>
                <w:lang w:eastAsia="cs-CZ"/>
              </w:rPr>
              <w:t>MŽP SR v spoluprác</w:t>
            </w:r>
            <w:r w:rsidR="004E1B37" w:rsidRPr="00B763E3">
              <w:rPr>
                <w:rFonts w:asciiTheme="majorHAnsi" w:hAnsiTheme="majorHAnsi"/>
                <w:sz w:val="16"/>
                <w:szCs w:val="16"/>
                <w:lang w:eastAsia="cs-CZ"/>
              </w:rPr>
              <w:t>i</w:t>
            </w:r>
            <w:r w:rsidRPr="00B763E3">
              <w:rPr>
                <w:rFonts w:asciiTheme="majorHAnsi" w:hAnsiTheme="majorHAnsi"/>
                <w:sz w:val="16"/>
                <w:szCs w:val="16"/>
                <w:lang w:eastAsia="cs-CZ"/>
              </w:rPr>
              <w:t xml:space="preserve"> s dotknutými orgánmi štátnej správy</w:t>
            </w:r>
          </w:p>
          <w:p w:rsidR="002A11AA" w:rsidRPr="00B763E3" w:rsidRDefault="002A11AA" w:rsidP="004E1B37">
            <w:pPr>
              <w:spacing w:before="0" w:after="0"/>
              <w:rPr>
                <w:rFonts w:asciiTheme="majorHAnsi" w:hAnsiTheme="majorHAnsi"/>
                <w:sz w:val="16"/>
                <w:szCs w:val="16"/>
              </w:rPr>
            </w:pPr>
            <w:r w:rsidRPr="00B763E3">
              <w:rPr>
                <w:rFonts w:asciiTheme="majorHAnsi" w:hAnsiTheme="majorHAnsi"/>
                <w:sz w:val="16"/>
                <w:szCs w:val="16"/>
              </w:rPr>
              <w:t>MZP SR, CKO, relevantné RO</w:t>
            </w: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p w:rsidR="002A11AA" w:rsidRPr="00B763E3" w:rsidRDefault="002A11AA" w:rsidP="004E2D6C">
            <w:pPr>
              <w:spacing w:before="0" w:line="276" w:lineRule="auto"/>
              <w:jc w:val="center"/>
              <w:rPr>
                <w:rFonts w:asciiTheme="majorHAnsi" w:hAnsiTheme="majorHAnsi"/>
                <w:sz w:val="16"/>
                <w:szCs w:val="16"/>
                <w:lang w:eastAsia="cs-CZ"/>
              </w:rPr>
            </w:pPr>
          </w:p>
        </w:tc>
      </w:tr>
      <w:tr w:rsidR="002F62D4" w:rsidRPr="00DF567A" w:rsidTr="00CC23CF">
        <w:trPr>
          <w:trHeight w:val="416"/>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100" w:type="dxa"/>
            <w:gridSpan w:val="2"/>
            <w:vMerge w:val="restart"/>
          </w:tcPr>
          <w:p w:rsidR="002F62D4" w:rsidRPr="009B7C77" w:rsidRDefault="002F62D4" w:rsidP="004E2D6C">
            <w:pPr>
              <w:spacing w:before="0" w:line="276" w:lineRule="auto"/>
              <w:rPr>
                <w:rFonts w:asciiTheme="majorHAnsi" w:hAnsiTheme="majorHAnsi"/>
                <w:sz w:val="16"/>
                <w:szCs w:val="16"/>
                <w:lang w:eastAsia="sk-SK"/>
              </w:rPr>
            </w:pPr>
          </w:p>
        </w:tc>
        <w:tc>
          <w:tcPr>
            <w:tcW w:w="4853" w:type="dxa"/>
            <w:gridSpan w:val="2"/>
          </w:tcPr>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Metodické usmernenie postupu príslušných orgánov pre posudzovanie vplyvov v „prechodnom“ období (do schválenia a nadobudnutia účinnosti príslušných legislatívnych úprav):</w:t>
            </w:r>
          </w:p>
          <w:p w:rsidR="002F62D4" w:rsidRPr="009B7C77" w:rsidRDefault="002F62D4" w:rsidP="001F33D1">
            <w:pPr>
              <w:numPr>
                <w:ilvl w:val="0"/>
                <w:numId w:val="59"/>
              </w:numPr>
              <w:spacing w:before="0" w:after="0" w:line="276" w:lineRule="auto"/>
              <w:ind w:left="238" w:hanging="238"/>
              <w:contextualSpacing/>
              <w:rPr>
                <w:rFonts w:asciiTheme="majorHAnsi" w:hAnsiTheme="majorHAnsi"/>
                <w:sz w:val="16"/>
                <w:szCs w:val="16"/>
                <w:lang w:eastAsia="en-GB"/>
              </w:rPr>
            </w:pPr>
            <w:r w:rsidRPr="009B7C77">
              <w:rPr>
                <w:rFonts w:asciiTheme="majorHAnsi" w:hAnsiTheme="majorHAnsi"/>
                <w:sz w:val="16"/>
                <w:szCs w:val="16"/>
              </w:rPr>
              <w:t xml:space="preserve">písomná forma pre príslušné orgány štátnej správy v oblasti posudzovania vplyvov na životné prostredie obsahujúca správne a dôsledné využívanie výberových kritérií pre zisťovacie konanie (príloha III. smernice EIA, ktorá je premietnutá v prílohe č. 10 </w:t>
            </w:r>
            <w:r w:rsidRPr="009B7C77">
              <w:rPr>
                <w:rFonts w:asciiTheme="majorHAnsi" w:hAnsiTheme="majorHAnsi"/>
                <w:sz w:val="16"/>
                <w:szCs w:val="16"/>
              </w:rPr>
              <w:lastRenderedPageBreak/>
              <w:t>zákona EIA</w:t>
            </w:r>
            <w:r w:rsidR="00250898" w:rsidRPr="009B7C77">
              <w:rPr>
                <w:rFonts w:asciiTheme="majorHAnsi" w:hAnsiTheme="majorHAnsi"/>
                <w:sz w:val="16"/>
                <w:szCs w:val="16"/>
              </w:rPr>
              <w:t>)</w:t>
            </w:r>
            <w:r w:rsidRPr="009B7C77">
              <w:rPr>
                <w:rFonts w:asciiTheme="majorHAnsi" w:hAnsiTheme="majorHAnsi"/>
                <w:sz w:val="16"/>
                <w:szCs w:val="16"/>
              </w:rPr>
              <w:t>,</w:t>
            </w:r>
          </w:p>
          <w:p w:rsidR="002F62D4" w:rsidRPr="009B7C77" w:rsidRDefault="002F62D4" w:rsidP="001F33D1">
            <w:pPr>
              <w:numPr>
                <w:ilvl w:val="0"/>
                <w:numId w:val="59"/>
              </w:numPr>
              <w:spacing w:before="0" w:after="0" w:line="276" w:lineRule="auto"/>
              <w:ind w:left="238" w:hanging="238"/>
              <w:contextualSpacing/>
              <w:rPr>
                <w:rFonts w:asciiTheme="majorHAnsi" w:hAnsiTheme="majorHAnsi"/>
                <w:sz w:val="16"/>
                <w:szCs w:val="16"/>
                <w:lang w:eastAsia="en-GB"/>
              </w:rPr>
            </w:pPr>
            <w:r w:rsidRPr="009B7C77">
              <w:rPr>
                <w:rFonts w:asciiTheme="majorHAnsi" w:hAnsiTheme="majorHAnsi"/>
                <w:sz w:val="16"/>
                <w:szCs w:val="16"/>
              </w:rPr>
              <w:t>písomná forma pre príslušné orgány štátnej správy v oblasti posudzovania vplyvov na životné prostredie obsahujúca dôsledný postup pri odôvodnení rozhodnutí zo zisťovacieho konania uvedením vysporiadania sa so stanoviskami dotknutých orgánov a dotknutých obcí a tiež náležitým odôvodnením zo strany príslušného orgánu,</w:t>
            </w:r>
          </w:p>
          <w:p w:rsidR="002F62D4" w:rsidRPr="009B7C77" w:rsidRDefault="00250898" w:rsidP="001F33D1">
            <w:pPr>
              <w:numPr>
                <w:ilvl w:val="0"/>
                <w:numId w:val="59"/>
              </w:numPr>
              <w:spacing w:before="0" w:after="0" w:line="276" w:lineRule="auto"/>
              <w:ind w:left="238" w:hanging="238"/>
              <w:contextualSpacing/>
              <w:rPr>
                <w:rFonts w:asciiTheme="majorHAnsi" w:hAnsiTheme="majorHAnsi"/>
                <w:sz w:val="16"/>
                <w:szCs w:val="16"/>
              </w:rPr>
            </w:pPr>
            <w:r w:rsidRPr="009B7C77">
              <w:rPr>
                <w:rFonts w:asciiTheme="majorHAnsi" w:hAnsiTheme="majorHAnsi"/>
                <w:sz w:val="16"/>
                <w:szCs w:val="16"/>
              </w:rPr>
              <w:t xml:space="preserve">písomná </w:t>
            </w:r>
            <w:r w:rsidR="002F62D4" w:rsidRPr="009B7C77">
              <w:rPr>
                <w:rFonts w:asciiTheme="majorHAnsi" w:hAnsiTheme="majorHAnsi"/>
                <w:sz w:val="16"/>
                <w:szCs w:val="16"/>
              </w:rPr>
              <w:t>forma pre povoľujúce orgány ako sa zverejní upovedomenie o začatí povoľovacieho konania, z ktorého bude jednoznačne vyplývať právo k prístupu k úplnej žiadosti o povolenie.</w:t>
            </w:r>
          </w:p>
        </w:tc>
        <w:tc>
          <w:tcPr>
            <w:tcW w:w="2862" w:type="dxa"/>
            <w:gridSpan w:val="3"/>
          </w:tcPr>
          <w:p w:rsidR="002F62D4" w:rsidRPr="009B7C77" w:rsidRDefault="002A11AA" w:rsidP="004E2D6C">
            <w:pPr>
              <w:spacing w:before="0" w:after="0"/>
              <w:rPr>
                <w:rFonts w:asciiTheme="majorHAnsi" w:hAnsiTheme="majorHAnsi"/>
                <w:sz w:val="16"/>
                <w:szCs w:val="16"/>
              </w:rPr>
            </w:pPr>
            <w:r w:rsidRPr="009B7C77">
              <w:rPr>
                <w:rFonts w:asciiTheme="majorHAnsi" w:hAnsiTheme="majorHAnsi"/>
                <w:sz w:val="16"/>
                <w:szCs w:val="16"/>
              </w:rPr>
              <w:lastRenderedPageBreak/>
              <w:t>31. 05. 2014</w:t>
            </w:r>
          </w:p>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(v nadväznosti na postup prípravy legislatívnych úprav, môže dôjsť k posunu termínu)</w:t>
            </w:r>
          </w:p>
          <w:p w:rsidR="002A11AA" w:rsidRPr="009B7C77" w:rsidRDefault="002A11AA" w:rsidP="002A11AA">
            <w:pPr>
              <w:spacing w:before="0" w:after="0"/>
              <w:rPr>
                <w:rFonts w:asciiTheme="majorHAnsi" w:hAnsiTheme="majorHAnsi"/>
                <w:sz w:val="16"/>
                <w:szCs w:val="16"/>
              </w:rPr>
            </w:pPr>
            <w:r w:rsidRPr="009B7C77">
              <w:rPr>
                <w:rFonts w:asciiTheme="majorHAnsi" w:hAnsiTheme="majorHAnsi"/>
                <w:sz w:val="16"/>
                <w:szCs w:val="16"/>
              </w:rPr>
              <w:t xml:space="preserve">Poznámka: MŽP SR zabezpečuje metodické usmernenie aj v súčasnosti, t.j. priebežne pre prebiehajúce procesy posudzovania, tak na svojej úrovni ako </w:t>
            </w:r>
            <w:r w:rsidRPr="009B7C77">
              <w:rPr>
                <w:rFonts w:asciiTheme="majorHAnsi" w:hAnsiTheme="majorHAnsi"/>
                <w:sz w:val="16"/>
                <w:szCs w:val="16"/>
              </w:rPr>
              <w:lastRenderedPageBreak/>
              <w:t>aj na úrovni ostaných príslušných orgánov</w:t>
            </w:r>
            <w:r w:rsidR="004E1B37" w:rsidRPr="009B7C77">
              <w:rPr>
                <w:rFonts w:asciiTheme="majorHAnsi" w:hAnsiTheme="majorHAnsi"/>
                <w:sz w:val="16"/>
                <w:szCs w:val="16"/>
              </w:rPr>
              <w:t>.</w:t>
            </w:r>
          </w:p>
          <w:p w:rsidR="002F62D4" w:rsidRPr="009B7C77" w:rsidRDefault="002F62D4" w:rsidP="004E2D6C">
            <w:pPr>
              <w:spacing w:before="0" w:after="0"/>
              <w:rPr>
                <w:rFonts w:asciiTheme="majorHAnsi" w:hAnsiTheme="majorHAnsi"/>
                <w:sz w:val="16"/>
                <w:szCs w:val="16"/>
              </w:rPr>
            </w:pPr>
          </w:p>
        </w:tc>
        <w:tc>
          <w:tcPr>
            <w:tcW w:w="2346" w:type="dxa"/>
            <w:vMerge/>
            <w:tcBorders>
              <w:right w:val="single" w:sz="12" w:space="0" w:color="auto"/>
            </w:tcBorders>
          </w:tcPr>
          <w:p w:rsidR="002F62D4" w:rsidRPr="009B7C77" w:rsidRDefault="002F62D4" w:rsidP="004E2D6C">
            <w:pPr>
              <w:spacing w:before="0" w:line="276" w:lineRule="auto"/>
              <w:jc w:val="center"/>
              <w:rPr>
                <w:rFonts w:asciiTheme="majorHAnsi" w:hAnsiTheme="majorHAnsi"/>
                <w:sz w:val="16"/>
                <w:szCs w:val="16"/>
                <w:lang w:eastAsia="cs-CZ"/>
              </w:rPr>
            </w:pPr>
          </w:p>
        </w:tc>
      </w:tr>
      <w:tr w:rsidR="002F62D4" w:rsidRPr="00DF567A" w:rsidTr="00CC23CF">
        <w:trPr>
          <w:trHeight w:val="788"/>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100" w:type="dxa"/>
            <w:gridSpan w:val="2"/>
            <w:vMerge/>
          </w:tcPr>
          <w:p w:rsidR="002F62D4" w:rsidRPr="009B7C77" w:rsidRDefault="002F62D4" w:rsidP="004E2D6C">
            <w:pPr>
              <w:spacing w:before="0" w:line="276" w:lineRule="auto"/>
              <w:rPr>
                <w:rFonts w:asciiTheme="majorHAnsi" w:hAnsiTheme="majorHAnsi"/>
                <w:sz w:val="16"/>
                <w:szCs w:val="16"/>
                <w:lang w:eastAsia="sk-SK"/>
              </w:rPr>
            </w:pPr>
          </w:p>
        </w:tc>
        <w:tc>
          <w:tcPr>
            <w:tcW w:w="4853" w:type="dxa"/>
            <w:gridSpan w:val="2"/>
          </w:tcPr>
          <w:p w:rsidR="002A11AA" w:rsidRPr="009B7C77" w:rsidRDefault="002A11AA" w:rsidP="002A11AA">
            <w:pPr>
              <w:spacing w:before="0"/>
              <w:rPr>
                <w:rFonts w:asciiTheme="majorHAnsi" w:hAnsiTheme="majorHAnsi"/>
                <w:sz w:val="16"/>
                <w:szCs w:val="16"/>
              </w:rPr>
            </w:pPr>
            <w:r w:rsidRPr="009B7C77">
              <w:rPr>
                <w:rFonts w:asciiTheme="majorHAnsi" w:hAnsiTheme="majorHAnsi"/>
                <w:sz w:val="16"/>
                <w:szCs w:val="16"/>
              </w:rPr>
              <w:t>Po ukončení rozporových konaní boli legislatívne úpravy predložené EK a budú vykonané technické konzultácie formou priebežnej komunikácie cez stále zastúpenie SR pri EÚ</w:t>
            </w:r>
          </w:p>
          <w:p w:rsidR="002F62D4" w:rsidRPr="009B7C77" w:rsidRDefault="002F62D4" w:rsidP="004E2D6C">
            <w:pPr>
              <w:spacing w:before="0" w:after="200" w:line="276" w:lineRule="auto"/>
              <w:rPr>
                <w:rFonts w:asciiTheme="majorHAnsi" w:hAnsiTheme="majorHAnsi"/>
                <w:szCs w:val="22"/>
              </w:rPr>
            </w:pPr>
            <w:r w:rsidRPr="009B7C77">
              <w:rPr>
                <w:rFonts w:asciiTheme="majorHAnsi" w:hAnsiTheme="majorHAnsi"/>
                <w:sz w:val="16"/>
                <w:szCs w:val="16"/>
              </w:rPr>
              <w:t>Predloženie príslušných legislatívnych úprav na schválenie vláde SR.</w:t>
            </w:r>
          </w:p>
          <w:p w:rsidR="002F62D4" w:rsidRPr="009B7C77" w:rsidRDefault="002F62D4" w:rsidP="004E2D6C">
            <w:pPr>
              <w:spacing w:before="0" w:after="200" w:line="276" w:lineRule="auto"/>
              <w:rPr>
                <w:rFonts w:asciiTheme="majorHAnsi" w:hAnsiTheme="majorHAnsi"/>
                <w:szCs w:val="22"/>
              </w:rPr>
            </w:pPr>
            <w:r w:rsidRPr="009B7C77">
              <w:rPr>
                <w:rFonts w:asciiTheme="majorHAnsi" w:hAnsiTheme="majorHAnsi"/>
                <w:sz w:val="16"/>
                <w:szCs w:val="16"/>
              </w:rPr>
              <w:t>Predloženie príslušných legislatívnych úprav na schválenie Národnej rade SR.</w:t>
            </w:r>
          </w:p>
        </w:tc>
        <w:tc>
          <w:tcPr>
            <w:tcW w:w="2862" w:type="dxa"/>
            <w:gridSpan w:val="3"/>
          </w:tcPr>
          <w:p w:rsidR="002F62D4" w:rsidRPr="009B7C77" w:rsidRDefault="002A11AA" w:rsidP="004E2D6C">
            <w:pPr>
              <w:spacing w:before="0" w:after="0"/>
              <w:rPr>
                <w:rFonts w:asciiTheme="majorHAnsi" w:hAnsiTheme="majorHAnsi"/>
                <w:sz w:val="16"/>
                <w:szCs w:val="16"/>
              </w:rPr>
            </w:pPr>
            <w:r w:rsidRPr="009B7C77">
              <w:rPr>
                <w:rFonts w:asciiTheme="majorHAnsi" w:hAnsiTheme="majorHAnsi"/>
                <w:sz w:val="16"/>
                <w:szCs w:val="16"/>
              </w:rPr>
              <w:t>31.</w:t>
            </w:r>
            <w:r w:rsidR="004E1B37" w:rsidRPr="009B7C77">
              <w:rPr>
                <w:rFonts w:asciiTheme="majorHAnsi" w:hAnsiTheme="majorHAnsi"/>
                <w:sz w:val="16"/>
                <w:szCs w:val="16"/>
              </w:rPr>
              <w:t xml:space="preserve"> </w:t>
            </w:r>
            <w:r w:rsidRPr="009B7C77">
              <w:rPr>
                <w:rFonts w:asciiTheme="majorHAnsi" w:hAnsiTheme="majorHAnsi"/>
                <w:sz w:val="16"/>
                <w:szCs w:val="16"/>
              </w:rPr>
              <w:t xml:space="preserve">05. </w:t>
            </w:r>
            <w:r w:rsidR="002F62D4" w:rsidRPr="009B7C77">
              <w:rPr>
                <w:rFonts w:asciiTheme="majorHAnsi" w:hAnsiTheme="majorHAnsi"/>
                <w:sz w:val="16"/>
                <w:szCs w:val="16"/>
              </w:rPr>
              <w:t>2014</w:t>
            </w:r>
          </w:p>
          <w:p w:rsidR="002A11AA" w:rsidRPr="009B7C77" w:rsidRDefault="002A11AA" w:rsidP="004E2D6C">
            <w:pPr>
              <w:spacing w:before="0" w:after="200" w:line="276" w:lineRule="auto"/>
              <w:rPr>
                <w:rFonts w:asciiTheme="majorHAnsi" w:hAnsiTheme="majorHAnsi"/>
                <w:sz w:val="16"/>
                <w:szCs w:val="16"/>
              </w:rPr>
            </w:pPr>
          </w:p>
          <w:p w:rsidR="002F62D4" w:rsidRPr="009B7C77" w:rsidRDefault="002A11AA" w:rsidP="004E2D6C">
            <w:pPr>
              <w:spacing w:before="0" w:after="200" w:line="276" w:lineRule="auto"/>
              <w:rPr>
                <w:rFonts w:asciiTheme="majorHAnsi" w:hAnsiTheme="majorHAnsi"/>
                <w:szCs w:val="22"/>
              </w:rPr>
            </w:pPr>
            <w:r w:rsidRPr="009B7C77">
              <w:rPr>
                <w:rFonts w:asciiTheme="majorHAnsi" w:hAnsiTheme="majorHAnsi"/>
                <w:sz w:val="16"/>
                <w:szCs w:val="16"/>
              </w:rPr>
              <w:t xml:space="preserve">30. 06. </w:t>
            </w:r>
            <w:r w:rsidR="002F62D4" w:rsidRPr="009B7C77">
              <w:rPr>
                <w:rFonts w:asciiTheme="majorHAnsi" w:hAnsiTheme="majorHAnsi"/>
                <w:sz w:val="16"/>
                <w:szCs w:val="16"/>
              </w:rPr>
              <w:t>2014</w:t>
            </w:r>
          </w:p>
          <w:p w:rsidR="002F62D4" w:rsidRPr="009B7C77" w:rsidRDefault="002A11AA" w:rsidP="004E2D6C">
            <w:pPr>
              <w:spacing w:before="0" w:after="200" w:line="276" w:lineRule="auto"/>
              <w:rPr>
                <w:rFonts w:asciiTheme="majorHAnsi" w:hAnsiTheme="majorHAnsi"/>
                <w:szCs w:val="22"/>
              </w:rPr>
            </w:pPr>
            <w:r w:rsidRPr="009B7C77">
              <w:rPr>
                <w:rFonts w:asciiTheme="majorHAnsi" w:hAnsiTheme="majorHAnsi"/>
                <w:sz w:val="16"/>
                <w:szCs w:val="16"/>
              </w:rPr>
              <w:t xml:space="preserve">30. 09. </w:t>
            </w:r>
            <w:r w:rsidR="002F62D4" w:rsidRPr="009B7C77">
              <w:rPr>
                <w:rFonts w:asciiTheme="majorHAnsi" w:hAnsiTheme="majorHAnsi"/>
                <w:sz w:val="16"/>
                <w:szCs w:val="16"/>
              </w:rPr>
              <w:t>2014</w:t>
            </w:r>
          </w:p>
        </w:tc>
        <w:tc>
          <w:tcPr>
            <w:tcW w:w="2346" w:type="dxa"/>
            <w:vMerge/>
            <w:tcBorders>
              <w:right w:val="single" w:sz="12" w:space="0" w:color="auto"/>
            </w:tcBorders>
          </w:tcPr>
          <w:p w:rsidR="002F62D4" w:rsidRPr="009B7C77" w:rsidRDefault="002F62D4" w:rsidP="004E2D6C">
            <w:pPr>
              <w:spacing w:before="0" w:line="276" w:lineRule="auto"/>
              <w:jc w:val="center"/>
              <w:rPr>
                <w:rFonts w:asciiTheme="majorHAnsi" w:hAnsiTheme="majorHAnsi"/>
                <w:sz w:val="16"/>
                <w:szCs w:val="16"/>
                <w:lang w:eastAsia="cs-CZ"/>
              </w:rPr>
            </w:pPr>
          </w:p>
        </w:tc>
      </w:tr>
      <w:tr w:rsidR="002F62D4" w:rsidRPr="00DF567A" w:rsidTr="00CC23CF">
        <w:trPr>
          <w:trHeight w:val="439"/>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100" w:type="dxa"/>
            <w:gridSpan w:val="2"/>
            <w:vMerge/>
          </w:tcPr>
          <w:p w:rsidR="002F62D4" w:rsidRPr="009B7C77" w:rsidRDefault="002F62D4" w:rsidP="004E2D6C">
            <w:pPr>
              <w:spacing w:before="0" w:line="276" w:lineRule="auto"/>
              <w:rPr>
                <w:rFonts w:asciiTheme="majorHAnsi" w:hAnsiTheme="majorHAnsi"/>
                <w:sz w:val="16"/>
                <w:szCs w:val="16"/>
                <w:lang w:eastAsia="sk-SK"/>
              </w:rPr>
            </w:pPr>
          </w:p>
        </w:tc>
        <w:tc>
          <w:tcPr>
            <w:tcW w:w="4853" w:type="dxa"/>
            <w:gridSpan w:val="2"/>
          </w:tcPr>
          <w:p w:rsidR="002F62D4" w:rsidRPr="00B763E3" w:rsidRDefault="002F62D4" w:rsidP="004E2D6C">
            <w:pPr>
              <w:spacing w:before="0" w:after="0"/>
              <w:rPr>
                <w:rFonts w:asciiTheme="majorHAnsi" w:hAnsiTheme="majorHAnsi"/>
                <w:sz w:val="16"/>
                <w:szCs w:val="16"/>
              </w:rPr>
            </w:pPr>
            <w:r w:rsidRPr="00B763E3">
              <w:rPr>
                <w:rFonts w:asciiTheme="majorHAnsi" w:hAnsiTheme="majorHAnsi"/>
                <w:sz w:val="16"/>
                <w:szCs w:val="16"/>
              </w:rPr>
              <w:t xml:space="preserve">Príprava III. ročníka konferencie s medzinárodnou účasťou SEA/EIA 2014 </w:t>
            </w:r>
            <w:hyperlink r:id="rId208" w:history="1">
              <w:r w:rsidR="002A11AA" w:rsidRPr="00B763E3">
                <w:rPr>
                  <w:rStyle w:val="Hypertextovprepojenie"/>
                  <w:rFonts w:asciiTheme="majorHAnsi" w:hAnsiTheme="majorHAnsi"/>
                  <w:sz w:val="16"/>
                  <w:szCs w:val="16"/>
                </w:rPr>
                <w:t>http://www.enviroportal.sk/kalendar-udalosti/den/27-05-2014</w:t>
              </w:r>
            </w:hyperlink>
          </w:p>
          <w:p w:rsidR="002A11AA" w:rsidRPr="00B763E3" w:rsidRDefault="002A11AA" w:rsidP="002A11AA">
            <w:pPr>
              <w:spacing w:before="0" w:after="0"/>
              <w:rPr>
                <w:rFonts w:asciiTheme="majorHAnsi" w:hAnsiTheme="majorHAnsi"/>
                <w:sz w:val="16"/>
                <w:szCs w:val="16"/>
              </w:rPr>
            </w:pPr>
            <w:r w:rsidRPr="00B763E3">
              <w:rPr>
                <w:rFonts w:asciiTheme="majorHAnsi" w:hAnsiTheme="majorHAnsi"/>
                <w:sz w:val="16"/>
                <w:szCs w:val="16"/>
              </w:rPr>
              <w:t xml:space="preserve">Overenie materiálno-technického a personálneho zabezpečenia pre vykonávanie novely zákona </w:t>
            </w:r>
            <w:r w:rsidR="004E1B37" w:rsidRPr="00B763E3">
              <w:rPr>
                <w:rFonts w:asciiTheme="majorHAnsi" w:hAnsiTheme="majorHAnsi"/>
                <w:sz w:val="16"/>
                <w:szCs w:val="16"/>
              </w:rPr>
              <w:t>.</w:t>
            </w:r>
            <w:r w:rsidRPr="00B763E3">
              <w:rPr>
                <w:rFonts w:asciiTheme="majorHAnsi" w:hAnsiTheme="majorHAnsi"/>
                <w:sz w:val="16"/>
                <w:szCs w:val="16"/>
              </w:rPr>
              <w:tab/>
            </w:r>
            <w:r w:rsidRPr="00B763E3">
              <w:rPr>
                <w:rFonts w:asciiTheme="majorHAnsi" w:hAnsiTheme="majorHAnsi"/>
                <w:sz w:val="16"/>
                <w:szCs w:val="16"/>
              </w:rPr>
              <w:tab/>
            </w:r>
          </w:p>
          <w:p w:rsidR="002A11AA" w:rsidRPr="00B763E3" w:rsidRDefault="002A11AA" w:rsidP="002A11AA">
            <w:pPr>
              <w:spacing w:before="0" w:after="0"/>
              <w:rPr>
                <w:rFonts w:asciiTheme="majorHAnsi" w:hAnsiTheme="majorHAnsi"/>
                <w:sz w:val="16"/>
                <w:szCs w:val="16"/>
              </w:rPr>
            </w:pPr>
          </w:p>
          <w:p w:rsidR="004E1B37" w:rsidRPr="00B763E3" w:rsidRDefault="004E1B37" w:rsidP="002A11AA">
            <w:pPr>
              <w:spacing w:before="0" w:after="0"/>
              <w:rPr>
                <w:rFonts w:asciiTheme="majorHAnsi" w:hAnsiTheme="majorHAnsi"/>
                <w:sz w:val="16"/>
                <w:szCs w:val="16"/>
              </w:rPr>
            </w:pPr>
          </w:p>
          <w:p w:rsidR="004E1B37" w:rsidRPr="00B763E3" w:rsidRDefault="004E1B37" w:rsidP="002A11AA">
            <w:pPr>
              <w:spacing w:before="0" w:after="0"/>
              <w:rPr>
                <w:rFonts w:asciiTheme="majorHAnsi" w:hAnsiTheme="majorHAnsi"/>
                <w:sz w:val="16"/>
                <w:szCs w:val="16"/>
              </w:rPr>
            </w:pPr>
          </w:p>
          <w:p w:rsidR="004E1B37" w:rsidRPr="00B90520" w:rsidRDefault="004E1B37" w:rsidP="002A11AA">
            <w:pPr>
              <w:spacing w:before="0" w:after="0"/>
              <w:rPr>
                <w:rFonts w:asciiTheme="majorHAnsi" w:hAnsiTheme="majorHAnsi"/>
                <w:sz w:val="16"/>
                <w:szCs w:val="16"/>
              </w:rPr>
            </w:pPr>
          </w:p>
          <w:p w:rsidR="004E1B37" w:rsidRPr="00B90520" w:rsidRDefault="004E1B37" w:rsidP="002A11AA">
            <w:pPr>
              <w:spacing w:before="0" w:after="0"/>
              <w:rPr>
                <w:rFonts w:asciiTheme="majorHAnsi" w:hAnsiTheme="majorHAnsi"/>
                <w:sz w:val="16"/>
                <w:szCs w:val="16"/>
              </w:rPr>
            </w:pPr>
          </w:p>
          <w:p w:rsidR="002A11AA" w:rsidRPr="00B90520" w:rsidRDefault="002A11AA" w:rsidP="002A11AA">
            <w:pPr>
              <w:spacing w:before="0" w:after="0"/>
              <w:rPr>
                <w:rFonts w:asciiTheme="majorHAnsi" w:hAnsiTheme="majorHAnsi"/>
                <w:sz w:val="16"/>
                <w:szCs w:val="16"/>
              </w:rPr>
            </w:pPr>
            <w:r w:rsidRPr="00B90520">
              <w:rPr>
                <w:rFonts w:asciiTheme="majorHAnsi" w:hAnsiTheme="majorHAnsi"/>
                <w:sz w:val="16"/>
                <w:szCs w:val="16"/>
              </w:rPr>
              <w:t>Zavedenie opatrenia na priame uplatňovanie smernice EIA:</w:t>
            </w:r>
          </w:p>
          <w:p w:rsidR="002A11AA" w:rsidRPr="00B90520" w:rsidRDefault="002A11AA" w:rsidP="002A11AA">
            <w:pPr>
              <w:spacing w:before="0" w:after="0"/>
              <w:rPr>
                <w:rFonts w:asciiTheme="majorHAnsi" w:hAnsiTheme="majorHAnsi"/>
                <w:sz w:val="16"/>
                <w:szCs w:val="16"/>
              </w:rPr>
            </w:pPr>
            <w:r w:rsidRPr="00B90520">
              <w:rPr>
                <w:rFonts w:asciiTheme="majorHAnsi" w:hAnsiTheme="majorHAnsi"/>
                <w:sz w:val="16"/>
                <w:szCs w:val="16"/>
              </w:rPr>
              <w:t xml:space="preserve">V rámci konania o žiadostiach - v prípade žiadostí o príspevok, ku ktorým bol záverečný dokument z procesu posudzovania vydaný pred nadobudnutím účinnosti novely zákona o posudzovaní vplyvov na životné prostredie, bude vykonané preskúmanie súladu predloženého projektu s predmetom posudzovania. V prípadoch, kde došlo </w:t>
            </w:r>
            <w:r w:rsidR="004E1B37" w:rsidRPr="00B90520">
              <w:rPr>
                <w:rFonts w:asciiTheme="majorHAnsi" w:hAnsiTheme="majorHAnsi"/>
                <w:sz w:val="16"/>
                <w:szCs w:val="16"/>
              </w:rPr>
              <w:br/>
            </w:r>
            <w:r w:rsidRPr="00B90520">
              <w:rPr>
                <w:rFonts w:asciiTheme="majorHAnsi" w:hAnsiTheme="majorHAnsi"/>
                <w:sz w:val="16"/>
                <w:szCs w:val="16"/>
              </w:rPr>
              <w:t>k zmenám projektu, bude vykonané opätovné posudzovanie (re-assessment), a v prípade identifikovanej potreby aj opätovné povoľovacie konanie (re-permitting).</w:t>
            </w:r>
          </w:p>
          <w:p w:rsidR="002A11AA" w:rsidRPr="00B90520" w:rsidRDefault="002A11AA" w:rsidP="002A11AA">
            <w:pPr>
              <w:spacing w:before="0" w:after="0"/>
              <w:rPr>
                <w:rFonts w:asciiTheme="majorHAnsi" w:hAnsiTheme="majorHAnsi"/>
                <w:sz w:val="16"/>
                <w:szCs w:val="16"/>
              </w:rPr>
            </w:pPr>
            <w:r w:rsidRPr="00B90520">
              <w:rPr>
                <w:rFonts w:asciiTheme="majorHAnsi" w:hAnsiTheme="majorHAnsi"/>
                <w:sz w:val="16"/>
                <w:szCs w:val="16"/>
              </w:rPr>
              <w:t xml:space="preserve">Opatrenia týkajúce sa preskúmania súladu predloženého projektu </w:t>
            </w:r>
            <w:r w:rsidR="004E1B37" w:rsidRPr="00B90520">
              <w:rPr>
                <w:rFonts w:asciiTheme="majorHAnsi" w:hAnsiTheme="majorHAnsi"/>
                <w:sz w:val="16"/>
                <w:szCs w:val="16"/>
              </w:rPr>
              <w:br/>
            </w:r>
            <w:r w:rsidRPr="00B90520">
              <w:rPr>
                <w:rFonts w:asciiTheme="majorHAnsi" w:hAnsiTheme="majorHAnsi"/>
                <w:sz w:val="16"/>
                <w:szCs w:val="16"/>
              </w:rPr>
              <w:t xml:space="preserve">s predmetom posudzovania budú upravené v Systéme riadenia </w:t>
            </w:r>
            <w:r w:rsidR="004E1B37" w:rsidRPr="00B90520">
              <w:rPr>
                <w:rFonts w:asciiTheme="majorHAnsi" w:hAnsiTheme="majorHAnsi"/>
                <w:sz w:val="16"/>
                <w:szCs w:val="16"/>
              </w:rPr>
              <w:br/>
            </w:r>
            <w:r w:rsidRPr="00B90520">
              <w:rPr>
                <w:rFonts w:asciiTheme="majorHAnsi" w:hAnsiTheme="majorHAnsi"/>
                <w:sz w:val="16"/>
                <w:szCs w:val="16"/>
              </w:rPr>
              <w:lastRenderedPageBreak/>
              <w:t>a kontroly EŠIF na programové obdobie 2014</w:t>
            </w:r>
            <w:r w:rsidR="004E1B37" w:rsidRPr="00B90520">
              <w:rPr>
                <w:rFonts w:asciiTheme="majorHAnsi" w:hAnsiTheme="majorHAnsi"/>
                <w:sz w:val="16"/>
                <w:szCs w:val="16"/>
              </w:rPr>
              <w:t xml:space="preserve"> </w:t>
            </w:r>
            <w:r w:rsidRPr="00B90520">
              <w:rPr>
                <w:rFonts w:asciiTheme="majorHAnsi" w:hAnsiTheme="majorHAnsi"/>
                <w:sz w:val="16"/>
                <w:szCs w:val="16"/>
              </w:rPr>
              <w:t>-</w:t>
            </w:r>
            <w:r w:rsidR="004E1B37" w:rsidRPr="00B90520">
              <w:rPr>
                <w:rFonts w:asciiTheme="majorHAnsi" w:hAnsiTheme="majorHAnsi"/>
                <w:sz w:val="16"/>
                <w:szCs w:val="16"/>
              </w:rPr>
              <w:t xml:space="preserve"> </w:t>
            </w:r>
            <w:r w:rsidRPr="00B90520">
              <w:rPr>
                <w:rFonts w:asciiTheme="majorHAnsi" w:hAnsiTheme="majorHAnsi"/>
                <w:sz w:val="16"/>
                <w:szCs w:val="16"/>
              </w:rPr>
              <w:t>2020.</w:t>
            </w:r>
            <w:r w:rsidRPr="00B90520">
              <w:rPr>
                <w:rFonts w:asciiTheme="majorHAnsi" w:hAnsiTheme="majorHAnsi"/>
                <w:sz w:val="16"/>
                <w:szCs w:val="16"/>
              </w:rPr>
              <w:tab/>
            </w:r>
            <w:r w:rsidRPr="00B90520">
              <w:rPr>
                <w:rFonts w:asciiTheme="majorHAnsi" w:hAnsiTheme="majorHAnsi"/>
                <w:sz w:val="16"/>
                <w:szCs w:val="16"/>
              </w:rPr>
              <w:tab/>
            </w:r>
          </w:p>
        </w:tc>
        <w:tc>
          <w:tcPr>
            <w:tcW w:w="2862" w:type="dxa"/>
            <w:gridSpan w:val="3"/>
          </w:tcPr>
          <w:p w:rsidR="002F62D4" w:rsidRPr="00B90520" w:rsidRDefault="004E1B37" w:rsidP="002A11AA">
            <w:pPr>
              <w:spacing w:before="0" w:after="0"/>
              <w:rPr>
                <w:rFonts w:asciiTheme="majorHAnsi" w:hAnsiTheme="majorHAnsi"/>
                <w:sz w:val="16"/>
                <w:szCs w:val="16"/>
              </w:rPr>
            </w:pPr>
            <w:r w:rsidRPr="00B90520">
              <w:rPr>
                <w:rFonts w:asciiTheme="majorHAnsi" w:hAnsiTheme="majorHAnsi"/>
                <w:sz w:val="16"/>
                <w:szCs w:val="16"/>
              </w:rPr>
              <w:lastRenderedPageBreak/>
              <w:t>D</w:t>
            </w:r>
            <w:r w:rsidR="002A11AA" w:rsidRPr="00B90520">
              <w:rPr>
                <w:rFonts w:asciiTheme="majorHAnsi" w:hAnsiTheme="majorHAnsi"/>
                <w:sz w:val="16"/>
                <w:szCs w:val="16"/>
              </w:rPr>
              <w:t xml:space="preserve">o </w:t>
            </w:r>
            <w:r w:rsidR="002F62D4" w:rsidRPr="00B90520">
              <w:rPr>
                <w:rFonts w:asciiTheme="majorHAnsi" w:hAnsiTheme="majorHAnsi"/>
                <w:sz w:val="16"/>
                <w:szCs w:val="16"/>
              </w:rPr>
              <w:t xml:space="preserve">28. </w:t>
            </w:r>
            <w:r w:rsidR="002A11AA" w:rsidRPr="00B90520">
              <w:rPr>
                <w:rFonts w:asciiTheme="majorHAnsi" w:hAnsiTheme="majorHAnsi"/>
                <w:sz w:val="16"/>
                <w:szCs w:val="16"/>
              </w:rPr>
              <w:t>05</w:t>
            </w:r>
            <w:r w:rsidRPr="00B90520">
              <w:rPr>
                <w:rFonts w:asciiTheme="majorHAnsi" w:hAnsiTheme="majorHAnsi"/>
                <w:sz w:val="16"/>
                <w:szCs w:val="16"/>
              </w:rPr>
              <w:t>.</w:t>
            </w:r>
            <w:r w:rsidR="002A11AA" w:rsidRPr="00B90520">
              <w:rPr>
                <w:rFonts w:asciiTheme="majorHAnsi" w:hAnsiTheme="majorHAnsi"/>
                <w:sz w:val="16"/>
                <w:szCs w:val="16"/>
              </w:rPr>
              <w:t xml:space="preserve"> </w:t>
            </w:r>
            <w:r w:rsidR="002F62D4" w:rsidRPr="00B90520">
              <w:rPr>
                <w:rFonts w:asciiTheme="majorHAnsi" w:hAnsiTheme="majorHAnsi"/>
                <w:sz w:val="16"/>
                <w:szCs w:val="16"/>
              </w:rPr>
              <w:t xml:space="preserve">2014 </w:t>
            </w:r>
          </w:p>
          <w:p w:rsidR="002A11AA" w:rsidRPr="00B90520" w:rsidRDefault="002A11AA" w:rsidP="002A11AA">
            <w:pPr>
              <w:spacing w:before="0" w:after="0"/>
              <w:rPr>
                <w:rFonts w:asciiTheme="majorHAnsi" w:hAnsiTheme="majorHAnsi"/>
                <w:sz w:val="16"/>
                <w:szCs w:val="16"/>
              </w:rPr>
            </w:pPr>
          </w:p>
          <w:p w:rsidR="002A11AA" w:rsidRPr="00B90520" w:rsidRDefault="002A11AA" w:rsidP="002A11AA">
            <w:pPr>
              <w:spacing w:before="0" w:after="0"/>
              <w:rPr>
                <w:rFonts w:asciiTheme="majorHAnsi" w:hAnsiTheme="majorHAnsi"/>
                <w:sz w:val="16"/>
                <w:szCs w:val="16"/>
              </w:rPr>
            </w:pPr>
            <w:r w:rsidRPr="00B90520">
              <w:rPr>
                <w:rFonts w:asciiTheme="majorHAnsi" w:hAnsiTheme="majorHAnsi"/>
                <w:sz w:val="16"/>
                <w:szCs w:val="16"/>
              </w:rPr>
              <w:t>30. 6. 2015</w:t>
            </w:r>
          </w:p>
          <w:p w:rsidR="002A11AA" w:rsidRPr="00B90520" w:rsidRDefault="002A11AA" w:rsidP="002A11AA">
            <w:pPr>
              <w:spacing w:before="0" w:after="0"/>
              <w:rPr>
                <w:rFonts w:asciiTheme="majorHAnsi" w:hAnsiTheme="majorHAnsi"/>
                <w:sz w:val="16"/>
                <w:szCs w:val="16"/>
              </w:rPr>
            </w:pPr>
          </w:p>
          <w:p w:rsidR="002A11AA" w:rsidRPr="00B90520" w:rsidRDefault="002A11AA" w:rsidP="002A11AA">
            <w:pPr>
              <w:spacing w:before="0" w:after="0"/>
              <w:rPr>
                <w:rFonts w:asciiTheme="majorHAnsi" w:hAnsiTheme="majorHAnsi"/>
                <w:sz w:val="16"/>
                <w:szCs w:val="16"/>
              </w:rPr>
            </w:pPr>
          </w:p>
          <w:p w:rsidR="002A11AA" w:rsidRPr="00B90520" w:rsidRDefault="002A11AA" w:rsidP="002A11AA">
            <w:pPr>
              <w:spacing w:before="0" w:after="0"/>
              <w:rPr>
                <w:rFonts w:asciiTheme="majorHAnsi" w:hAnsiTheme="majorHAnsi"/>
                <w:sz w:val="16"/>
                <w:szCs w:val="16"/>
              </w:rPr>
            </w:pPr>
          </w:p>
          <w:p w:rsidR="004E1B37" w:rsidRPr="00B90520" w:rsidRDefault="004E1B37" w:rsidP="002A11AA">
            <w:pPr>
              <w:spacing w:before="0" w:after="0"/>
              <w:rPr>
                <w:rFonts w:asciiTheme="majorHAnsi" w:hAnsiTheme="majorHAnsi"/>
                <w:sz w:val="16"/>
                <w:szCs w:val="16"/>
              </w:rPr>
            </w:pPr>
          </w:p>
          <w:p w:rsidR="004E1B37" w:rsidRPr="00B90520" w:rsidRDefault="004E1B37" w:rsidP="002A11AA">
            <w:pPr>
              <w:spacing w:before="0" w:after="0"/>
              <w:rPr>
                <w:rFonts w:asciiTheme="majorHAnsi" w:hAnsiTheme="majorHAnsi"/>
                <w:sz w:val="16"/>
                <w:szCs w:val="16"/>
              </w:rPr>
            </w:pPr>
          </w:p>
          <w:p w:rsidR="004E1B37" w:rsidRPr="00B90520" w:rsidRDefault="004E1B37" w:rsidP="002A11AA">
            <w:pPr>
              <w:spacing w:before="0" w:after="0"/>
              <w:rPr>
                <w:rFonts w:asciiTheme="majorHAnsi" w:hAnsiTheme="majorHAnsi"/>
                <w:sz w:val="16"/>
                <w:szCs w:val="16"/>
              </w:rPr>
            </w:pPr>
          </w:p>
          <w:p w:rsidR="002A11AA" w:rsidRPr="00B90520" w:rsidRDefault="002A11AA" w:rsidP="002A11AA">
            <w:pPr>
              <w:spacing w:before="0" w:after="0"/>
              <w:rPr>
                <w:rFonts w:asciiTheme="majorHAnsi" w:hAnsiTheme="majorHAnsi"/>
                <w:sz w:val="16"/>
                <w:szCs w:val="16"/>
              </w:rPr>
            </w:pPr>
            <w:r w:rsidRPr="00B90520">
              <w:rPr>
                <w:rFonts w:asciiTheme="majorHAnsi" w:hAnsiTheme="majorHAnsi"/>
                <w:sz w:val="16"/>
                <w:szCs w:val="16"/>
              </w:rPr>
              <w:t>31. 12. 2014</w:t>
            </w:r>
          </w:p>
        </w:tc>
        <w:tc>
          <w:tcPr>
            <w:tcW w:w="2346" w:type="dxa"/>
            <w:vMerge/>
            <w:tcBorders>
              <w:right w:val="single" w:sz="12" w:space="0" w:color="auto"/>
            </w:tcBorders>
          </w:tcPr>
          <w:p w:rsidR="002F62D4" w:rsidRPr="00B90520" w:rsidRDefault="002F62D4" w:rsidP="004E2D6C">
            <w:pPr>
              <w:spacing w:before="0" w:line="276" w:lineRule="auto"/>
              <w:jc w:val="center"/>
              <w:rPr>
                <w:rFonts w:asciiTheme="majorHAnsi" w:hAnsiTheme="majorHAnsi"/>
                <w:sz w:val="16"/>
                <w:szCs w:val="16"/>
                <w:lang w:eastAsia="cs-CZ"/>
              </w:rPr>
            </w:pPr>
          </w:p>
        </w:tc>
      </w:tr>
      <w:tr w:rsidR="002F62D4" w:rsidRPr="00DF567A" w:rsidTr="00CC23CF">
        <w:trPr>
          <w:trHeight w:val="925"/>
        </w:trPr>
        <w:tc>
          <w:tcPr>
            <w:tcW w:w="1949" w:type="dxa"/>
            <w:vMerge/>
            <w:tcBorders>
              <w:left w:val="single" w:sz="12" w:space="0" w:color="auto"/>
            </w:tcBorders>
          </w:tcPr>
          <w:p w:rsidR="002F62D4" w:rsidRPr="009B7C77" w:rsidRDefault="002F62D4" w:rsidP="004E2D6C">
            <w:pPr>
              <w:spacing w:before="0" w:line="276" w:lineRule="auto"/>
              <w:rPr>
                <w:rFonts w:asciiTheme="majorHAnsi" w:hAnsiTheme="majorHAnsi"/>
                <w:sz w:val="16"/>
                <w:szCs w:val="16"/>
                <w:lang w:eastAsia="cs-CZ"/>
              </w:rPr>
            </w:pPr>
          </w:p>
        </w:tc>
        <w:tc>
          <w:tcPr>
            <w:tcW w:w="2100" w:type="dxa"/>
            <w:gridSpan w:val="2"/>
          </w:tcPr>
          <w:p w:rsidR="002F62D4" w:rsidRPr="009B7C77" w:rsidRDefault="002F62D4" w:rsidP="004E2D6C">
            <w:pPr>
              <w:spacing w:before="0" w:line="276" w:lineRule="auto"/>
              <w:rPr>
                <w:rFonts w:asciiTheme="majorHAnsi" w:hAnsiTheme="majorHAnsi"/>
                <w:sz w:val="16"/>
                <w:szCs w:val="16"/>
                <w:lang w:eastAsia="sk-SK"/>
              </w:rPr>
            </w:pPr>
            <w:r w:rsidRPr="009B7C77">
              <w:rPr>
                <w:rFonts w:asciiTheme="majorHAnsi" w:hAnsiTheme="majorHAnsi"/>
                <w:sz w:val="16"/>
                <w:szCs w:val="16"/>
                <w:lang w:eastAsia="sk-SK"/>
              </w:rPr>
              <w:t>Opatrenia v oblasti odbornej prípravy a informovania zamestnancov zapojených do vykonávania smerníc EIA a SEA.</w:t>
            </w:r>
          </w:p>
        </w:tc>
        <w:tc>
          <w:tcPr>
            <w:tcW w:w="4853" w:type="dxa"/>
            <w:gridSpan w:val="2"/>
          </w:tcPr>
          <w:p w:rsidR="002F62D4" w:rsidRPr="009B7C77" w:rsidRDefault="002F62D4" w:rsidP="004E2D6C">
            <w:pPr>
              <w:spacing w:before="0" w:after="0"/>
              <w:rPr>
                <w:rFonts w:asciiTheme="majorHAnsi" w:hAnsiTheme="majorHAnsi"/>
                <w:sz w:val="16"/>
                <w:szCs w:val="16"/>
              </w:rPr>
            </w:pPr>
            <w:r w:rsidRPr="009B7C77">
              <w:rPr>
                <w:rFonts w:asciiTheme="majorHAnsi" w:hAnsiTheme="majorHAnsi"/>
                <w:sz w:val="16"/>
                <w:szCs w:val="16"/>
              </w:rPr>
              <w:t>Vykonanie školení reflektujúcich na príslušné legislatívne úpravy.</w:t>
            </w:r>
          </w:p>
        </w:tc>
        <w:tc>
          <w:tcPr>
            <w:tcW w:w="2862" w:type="dxa"/>
            <w:gridSpan w:val="3"/>
          </w:tcPr>
          <w:p w:rsidR="002F62D4" w:rsidRPr="009B7C77" w:rsidDel="00C83129" w:rsidRDefault="002A11AA" w:rsidP="004E2D6C">
            <w:pPr>
              <w:spacing w:before="0" w:after="0"/>
              <w:rPr>
                <w:rFonts w:asciiTheme="majorHAnsi" w:hAnsiTheme="majorHAnsi"/>
                <w:sz w:val="16"/>
                <w:szCs w:val="16"/>
              </w:rPr>
            </w:pPr>
            <w:r w:rsidRPr="009B7C77">
              <w:rPr>
                <w:rFonts w:asciiTheme="majorHAnsi" w:hAnsiTheme="majorHAnsi"/>
                <w:sz w:val="16"/>
                <w:szCs w:val="16"/>
              </w:rPr>
              <w:t>31. 12.</w:t>
            </w:r>
            <w:r w:rsidR="002F62D4" w:rsidRPr="009B7C77">
              <w:rPr>
                <w:rFonts w:asciiTheme="majorHAnsi" w:hAnsiTheme="majorHAnsi"/>
                <w:sz w:val="16"/>
                <w:szCs w:val="16"/>
              </w:rPr>
              <w:t xml:space="preserve"> 2014</w:t>
            </w:r>
          </w:p>
        </w:tc>
        <w:tc>
          <w:tcPr>
            <w:tcW w:w="2346" w:type="dxa"/>
            <w:vMerge/>
            <w:tcBorders>
              <w:right w:val="single" w:sz="12" w:space="0" w:color="auto"/>
            </w:tcBorders>
          </w:tcPr>
          <w:p w:rsidR="002F62D4" w:rsidRPr="009B7C77" w:rsidRDefault="002F62D4" w:rsidP="004E2D6C">
            <w:pPr>
              <w:spacing w:before="0" w:line="276" w:lineRule="auto"/>
              <w:jc w:val="center"/>
              <w:rPr>
                <w:rFonts w:asciiTheme="majorHAnsi" w:hAnsiTheme="majorHAnsi"/>
                <w:sz w:val="16"/>
                <w:szCs w:val="16"/>
                <w:lang w:eastAsia="cs-CZ"/>
              </w:rPr>
            </w:pPr>
          </w:p>
        </w:tc>
      </w:tr>
      <w:tr w:rsidR="00CF7212" w:rsidRPr="00DF567A" w:rsidTr="00CC23CF">
        <w:trPr>
          <w:trHeight w:val="423"/>
        </w:trPr>
        <w:tc>
          <w:tcPr>
            <w:tcW w:w="14110" w:type="dxa"/>
            <w:gridSpan w:val="9"/>
            <w:tcBorders>
              <w:left w:val="single" w:sz="12" w:space="0" w:color="auto"/>
              <w:right w:val="single" w:sz="12" w:space="0" w:color="auto"/>
            </w:tcBorders>
          </w:tcPr>
          <w:p w:rsidR="00CF7212" w:rsidRPr="00B763E3" w:rsidRDefault="00CF7212" w:rsidP="004E2D6C">
            <w:pPr>
              <w:spacing w:before="0" w:line="276" w:lineRule="auto"/>
              <w:jc w:val="center"/>
              <w:rPr>
                <w:rFonts w:asciiTheme="majorHAnsi" w:hAnsiTheme="majorHAnsi"/>
                <w:sz w:val="16"/>
                <w:szCs w:val="16"/>
                <w:lang w:eastAsia="cs-CZ"/>
              </w:rPr>
            </w:pPr>
            <w:r w:rsidRPr="00B763E3">
              <w:rPr>
                <w:rFonts w:asciiTheme="majorHAnsi" w:hAnsiTheme="majorHAnsi"/>
                <w:b/>
                <w:sz w:val="16"/>
                <w:szCs w:val="16"/>
                <w:lang w:eastAsia="cs-CZ"/>
              </w:rPr>
              <w:t>Ex ante kondicionality Programu rozvoja vidieka</w:t>
            </w:r>
          </w:p>
        </w:tc>
      </w:tr>
      <w:tr w:rsidR="00832815" w:rsidRPr="004E2D6C" w:rsidTr="00832815">
        <w:trPr>
          <w:trHeight w:val="1320"/>
        </w:trPr>
        <w:tc>
          <w:tcPr>
            <w:tcW w:w="1949" w:type="dxa"/>
            <w:tcBorders>
              <w:top w:val="single" w:sz="4" w:space="0" w:color="auto"/>
              <w:left w:val="single" w:sz="12" w:space="0" w:color="auto"/>
              <w:bottom w:val="single" w:sz="4" w:space="0" w:color="auto"/>
              <w:right w:val="single" w:sz="4" w:space="0" w:color="auto"/>
            </w:tcBorders>
          </w:tcPr>
          <w:p w:rsidR="00832815" w:rsidRPr="00832815" w:rsidRDefault="00832815" w:rsidP="00832815">
            <w:pPr>
              <w:spacing w:before="0" w:line="276" w:lineRule="auto"/>
              <w:rPr>
                <w:rFonts w:asciiTheme="majorHAnsi" w:hAnsiTheme="majorHAnsi"/>
                <w:b/>
                <w:sz w:val="16"/>
                <w:szCs w:val="16"/>
                <w:lang w:eastAsia="cs-CZ"/>
              </w:rPr>
            </w:pPr>
          </w:p>
        </w:tc>
        <w:tc>
          <w:tcPr>
            <w:tcW w:w="2100" w:type="dxa"/>
            <w:gridSpan w:val="2"/>
            <w:tcBorders>
              <w:top w:val="single" w:sz="4" w:space="0" w:color="auto"/>
              <w:left w:val="single" w:sz="4" w:space="0" w:color="auto"/>
              <w:bottom w:val="single" w:sz="4" w:space="0" w:color="auto"/>
              <w:right w:val="single" w:sz="4" w:space="0" w:color="auto"/>
            </w:tcBorders>
          </w:tcPr>
          <w:p w:rsidR="00832815" w:rsidRPr="00832815" w:rsidRDefault="00832815" w:rsidP="00832815">
            <w:pPr>
              <w:spacing w:before="0" w:line="276" w:lineRule="auto"/>
              <w:rPr>
                <w:rFonts w:asciiTheme="majorHAnsi" w:hAnsiTheme="majorHAnsi"/>
                <w:sz w:val="16"/>
                <w:szCs w:val="16"/>
                <w:lang w:eastAsia="cs-CZ"/>
              </w:rPr>
            </w:pPr>
          </w:p>
        </w:tc>
        <w:tc>
          <w:tcPr>
            <w:tcW w:w="4853" w:type="dxa"/>
            <w:gridSpan w:val="2"/>
            <w:tcBorders>
              <w:top w:val="single" w:sz="4" w:space="0" w:color="auto"/>
              <w:left w:val="single" w:sz="4" w:space="0" w:color="auto"/>
              <w:bottom w:val="single" w:sz="4" w:space="0" w:color="auto"/>
              <w:right w:val="single" w:sz="4" w:space="0" w:color="auto"/>
            </w:tcBorders>
          </w:tcPr>
          <w:p w:rsidR="00832815" w:rsidRPr="00832815" w:rsidRDefault="00832815" w:rsidP="00832815">
            <w:pPr>
              <w:spacing w:before="0" w:line="276" w:lineRule="auto"/>
              <w:rPr>
                <w:rFonts w:asciiTheme="majorHAnsi" w:hAnsiTheme="majorHAnsi"/>
                <w:i/>
                <w:sz w:val="16"/>
                <w:szCs w:val="16"/>
                <w:lang w:eastAsia="cs-CZ"/>
              </w:rPr>
            </w:pPr>
          </w:p>
        </w:tc>
        <w:tc>
          <w:tcPr>
            <w:tcW w:w="2862" w:type="dxa"/>
            <w:gridSpan w:val="3"/>
            <w:tcBorders>
              <w:top w:val="single" w:sz="4" w:space="0" w:color="auto"/>
              <w:left w:val="single" w:sz="4" w:space="0" w:color="auto"/>
              <w:bottom w:val="single" w:sz="4" w:space="0" w:color="auto"/>
              <w:right w:val="single" w:sz="4" w:space="0" w:color="auto"/>
            </w:tcBorders>
          </w:tcPr>
          <w:p w:rsidR="00832815" w:rsidRPr="00832815" w:rsidRDefault="00832815" w:rsidP="00832815">
            <w:pPr>
              <w:spacing w:before="0" w:line="276" w:lineRule="auto"/>
              <w:rPr>
                <w:rFonts w:asciiTheme="majorHAnsi" w:hAnsiTheme="majorHAnsi"/>
                <w:sz w:val="16"/>
                <w:szCs w:val="16"/>
              </w:rPr>
            </w:pPr>
          </w:p>
        </w:tc>
        <w:tc>
          <w:tcPr>
            <w:tcW w:w="2346" w:type="dxa"/>
            <w:tcBorders>
              <w:top w:val="single" w:sz="4" w:space="0" w:color="auto"/>
              <w:left w:val="single" w:sz="4" w:space="0" w:color="auto"/>
              <w:bottom w:val="single" w:sz="4" w:space="0" w:color="auto"/>
              <w:right w:val="single" w:sz="12" w:space="0" w:color="auto"/>
            </w:tcBorders>
          </w:tcPr>
          <w:p w:rsidR="00832815" w:rsidRPr="00832815" w:rsidRDefault="00832815" w:rsidP="00832815">
            <w:pPr>
              <w:spacing w:before="0" w:line="276" w:lineRule="auto"/>
              <w:rPr>
                <w:rFonts w:asciiTheme="majorHAnsi" w:hAnsiTheme="majorHAnsi"/>
                <w:sz w:val="16"/>
                <w:szCs w:val="16"/>
              </w:rPr>
            </w:pPr>
          </w:p>
        </w:tc>
      </w:tr>
      <w:tr w:rsidR="00832815" w:rsidRPr="004E2D6C" w:rsidTr="00832815">
        <w:trPr>
          <w:trHeight w:val="1320"/>
        </w:trPr>
        <w:tc>
          <w:tcPr>
            <w:tcW w:w="1949" w:type="dxa"/>
            <w:tcBorders>
              <w:top w:val="single" w:sz="4" w:space="0" w:color="auto"/>
              <w:left w:val="single" w:sz="12" w:space="0" w:color="auto"/>
              <w:bottom w:val="single" w:sz="4" w:space="0" w:color="auto"/>
              <w:right w:val="single" w:sz="4" w:space="0" w:color="auto"/>
            </w:tcBorders>
          </w:tcPr>
          <w:p w:rsidR="00832815" w:rsidRPr="00B90520" w:rsidRDefault="00832815" w:rsidP="00832815">
            <w:pPr>
              <w:spacing w:before="0" w:line="276" w:lineRule="auto"/>
              <w:rPr>
                <w:rFonts w:asciiTheme="majorHAnsi" w:hAnsiTheme="majorHAnsi"/>
                <w:sz w:val="16"/>
                <w:szCs w:val="16"/>
                <w:lang w:eastAsia="cs-CZ"/>
              </w:rPr>
            </w:pPr>
            <w:r w:rsidRPr="00B90520">
              <w:rPr>
                <w:rFonts w:asciiTheme="majorHAnsi" w:hAnsiTheme="majorHAnsi"/>
                <w:sz w:val="16"/>
                <w:szCs w:val="16"/>
                <w:lang w:eastAsia="cs-CZ"/>
              </w:rPr>
              <w:t>5.2 Odvetvie vody: existencia a) cenovej politiky v oblasti vôd, ktorá poskytuje primerané stimuly pre používateľov na efektívne využívanie vody, a b) primeraný príspevok rozličných spôsobov využívania vody k úhrade nákladov na vodohospodárske služby v sadzbe stanovenej v schválenom pláne riadenia povodia pre investície podporované z programov.</w:t>
            </w:r>
          </w:p>
        </w:tc>
        <w:tc>
          <w:tcPr>
            <w:tcW w:w="2100" w:type="dxa"/>
            <w:gridSpan w:val="2"/>
            <w:tcBorders>
              <w:top w:val="single" w:sz="4" w:space="0" w:color="auto"/>
              <w:left w:val="single" w:sz="4" w:space="0" w:color="auto"/>
              <w:bottom w:val="single" w:sz="4" w:space="0" w:color="auto"/>
              <w:right w:val="single" w:sz="4" w:space="0" w:color="auto"/>
            </w:tcBorders>
          </w:tcPr>
          <w:p w:rsidR="00832815" w:rsidRPr="00832815" w:rsidRDefault="00832815" w:rsidP="00832815">
            <w:pPr>
              <w:spacing w:before="0" w:line="276" w:lineRule="auto"/>
              <w:rPr>
                <w:rFonts w:asciiTheme="majorHAnsi" w:hAnsiTheme="majorHAnsi"/>
                <w:sz w:val="16"/>
                <w:szCs w:val="16"/>
                <w:lang w:eastAsia="cs-CZ"/>
              </w:rPr>
            </w:pPr>
            <w:r w:rsidRPr="00832815">
              <w:rPr>
                <w:rFonts w:asciiTheme="majorHAnsi" w:hAnsiTheme="majorHAnsi"/>
                <w:sz w:val="16"/>
                <w:szCs w:val="16"/>
                <w:lang w:eastAsia="cs-CZ"/>
              </w:rPr>
              <w:t>V odvetviach podporovaných z EPFRV členský štát zabezpečil, rôzne spôsoby využitia vody prispeli k tomu, že odvetviu sa vrátia náklady na vodohospodárske služby, v súlade s  článkom 9 ods. 1 prvou  zarážkou  rámcovej smernice o vode, v príslušných prípadoch s ohľadom na  sociálne, environmentálne a hospodárske účinky tohto vrátenia nákladov ako aj geografické a klimatické podmienky príslušného regiónu alebo regiónov.</w:t>
            </w:r>
          </w:p>
        </w:tc>
        <w:tc>
          <w:tcPr>
            <w:tcW w:w="4853" w:type="dxa"/>
            <w:gridSpan w:val="2"/>
            <w:tcBorders>
              <w:top w:val="single" w:sz="4" w:space="0" w:color="auto"/>
              <w:left w:val="single" w:sz="4" w:space="0" w:color="auto"/>
              <w:bottom w:val="single" w:sz="4" w:space="0" w:color="auto"/>
              <w:right w:val="single" w:sz="4" w:space="0" w:color="auto"/>
            </w:tcBorders>
          </w:tcPr>
          <w:p w:rsidR="00832815" w:rsidRPr="00B90520" w:rsidRDefault="00832815" w:rsidP="00832815">
            <w:pPr>
              <w:spacing w:before="0" w:line="276" w:lineRule="auto"/>
              <w:rPr>
                <w:rFonts w:asciiTheme="majorHAnsi" w:hAnsiTheme="majorHAnsi"/>
                <w:sz w:val="16"/>
                <w:szCs w:val="16"/>
                <w:lang w:eastAsia="cs-CZ"/>
              </w:rPr>
            </w:pPr>
            <w:r w:rsidRPr="00B90520">
              <w:rPr>
                <w:rFonts w:asciiTheme="majorHAnsi" w:hAnsiTheme="majorHAnsi"/>
                <w:sz w:val="16"/>
                <w:szCs w:val="16"/>
                <w:lang w:eastAsia="cs-CZ"/>
              </w:rPr>
              <w:t xml:space="preserve">Zahrnutie povinnosti úhrady nákladov za služby spojené s odberom vody na zavlažovanie poľnohospodárskej pôdy (ďalej len „závlahy“)  prostredníctvom primeraného príspevku (platby) ako úhrada nákladov za vodohospodárske služby v zmysle zavedenia stimulačnej cenovej politiky podľa čl. 9 Rámcovej smernice o vode do novely zákona č. 364/2004 Z. z. o vodách (vodný zákon) v znení neskorších predpisov, následne novely nariadenia vlády SR č. 755/2005 Z. z., ktorým sa ustanovuje výška neregulovaných platieb, výška poplatkov a podrobnosti súvisiace so spoplatňovaním užívania vôd (zmena v nariadení vlády SR č. 367/2008 Z. z.). </w:t>
            </w:r>
          </w:p>
          <w:p w:rsidR="00832815" w:rsidRPr="00B90520" w:rsidRDefault="00832815" w:rsidP="00832815">
            <w:pPr>
              <w:spacing w:before="0" w:line="276" w:lineRule="auto"/>
              <w:rPr>
                <w:rFonts w:asciiTheme="majorHAnsi" w:hAnsiTheme="majorHAnsi"/>
                <w:sz w:val="16"/>
                <w:szCs w:val="16"/>
                <w:lang w:eastAsia="cs-CZ"/>
              </w:rPr>
            </w:pPr>
            <w:r w:rsidRPr="00B90520">
              <w:rPr>
                <w:rFonts w:asciiTheme="majorHAnsi" w:hAnsiTheme="majorHAnsi"/>
                <w:sz w:val="16"/>
                <w:szCs w:val="16"/>
                <w:lang w:eastAsia="cs-CZ"/>
              </w:rPr>
              <w:t>SR pripravila novelu zákona č. 364/2004 Z. z. o vodách (vodný zákon), ktorá obsahuje aj:</w:t>
            </w:r>
          </w:p>
          <w:p w:rsidR="00832815" w:rsidRPr="00B90520" w:rsidRDefault="00832815" w:rsidP="001F33D1">
            <w:pPr>
              <w:numPr>
                <w:ilvl w:val="0"/>
                <w:numId w:val="61"/>
              </w:numPr>
              <w:spacing w:before="0" w:after="0" w:line="276" w:lineRule="auto"/>
              <w:ind w:left="238" w:hanging="238"/>
              <w:rPr>
                <w:rFonts w:asciiTheme="majorHAnsi" w:hAnsiTheme="majorHAnsi"/>
                <w:sz w:val="16"/>
                <w:szCs w:val="16"/>
                <w:lang w:eastAsia="cs-CZ"/>
              </w:rPr>
            </w:pPr>
            <w:r w:rsidRPr="00B90520">
              <w:rPr>
                <w:rFonts w:asciiTheme="majorHAnsi" w:hAnsiTheme="majorHAnsi"/>
                <w:sz w:val="16"/>
                <w:szCs w:val="16"/>
                <w:lang w:eastAsia="cs-CZ"/>
              </w:rPr>
              <w:t>opätovné spoplatnenie odberov vody na závlahy, ktoré boli politickým rozhodnutím zrušené v roku 2004,</w:t>
            </w:r>
          </w:p>
          <w:p w:rsidR="00832815" w:rsidRPr="00B90520" w:rsidRDefault="00832815" w:rsidP="001F33D1">
            <w:pPr>
              <w:numPr>
                <w:ilvl w:val="0"/>
                <w:numId w:val="61"/>
              </w:numPr>
              <w:spacing w:before="0" w:after="0" w:line="276" w:lineRule="auto"/>
              <w:ind w:left="238" w:hanging="238"/>
              <w:rPr>
                <w:rFonts w:asciiTheme="majorHAnsi" w:hAnsiTheme="majorHAnsi"/>
                <w:sz w:val="16"/>
                <w:szCs w:val="16"/>
                <w:lang w:eastAsia="cs-CZ"/>
              </w:rPr>
            </w:pPr>
            <w:r w:rsidRPr="00B90520">
              <w:rPr>
                <w:rFonts w:asciiTheme="majorHAnsi" w:hAnsiTheme="majorHAnsi"/>
                <w:sz w:val="16"/>
                <w:szCs w:val="16"/>
                <w:lang w:eastAsia="cs-CZ"/>
              </w:rPr>
              <w:t>predmetné návrhy novely zákona ešte musia prejsť celým legislatívnym  procesom.  Následne bude pripravený vykonávací predpis na legislatívny proces – novela nariadenia vlády SR č. 755/2004 Z. z., ktorým sa ustanovuje výška neregulovaných platieb, výška poplatkov a podrobnosti súvisiace so spoplatňovaním užívania vôd.</w:t>
            </w:r>
          </w:p>
          <w:p w:rsidR="00832815" w:rsidRPr="00B90520" w:rsidRDefault="00832815" w:rsidP="00832815">
            <w:pPr>
              <w:spacing w:before="0" w:line="276" w:lineRule="auto"/>
              <w:rPr>
                <w:rFonts w:asciiTheme="majorHAnsi" w:hAnsiTheme="majorHAnsi"/>
                <w:sz w:val="16"/>
                <w:szCs w:val="16"/>
                <w:lang w:eastAsia="cs-CZ"/>
              </w:rPr>
            </w:pPr>
          </w:p>
          <w:p w:rsidR="00832815" w:rsidRPr="00B90520" w:rsidRDefault="00832815" w:rsidP="00832815">
            <w:pPr>
              <w:spacing w:before="0" w:line="276" w:lineRule="auto"/>
              <w:rPr>
                <w:rFonts w:asciiTheme="majorHAnsi" w:hAnsiTheme="majorHAnsi"/>
                <w:sz w:val="16"/>
                <w:szCs w:val="16"/>
                <w:lang w:eastAsia="cs-CZ"/>
              </w:rPr>
            </w:pPr>
            <w:r w:rsidRPr="00B90520">
              <w:rPr>
                <w:rFonts w:asciiTheme="majorHAnsi" w:hAnsiTheme="majorHAnsi"/>
                <w:sz w:val="16"/>
                <w:szCs w:val="16"/>
                <w:lang w:eastAsia="cs-CZ"/>
              </w:rPr>
              <w:t>Ďalej treba uviesť, že v SR existuje regulácia vodohospodárskych služieb týkajúcich sa:</w:t>
            </w:r>
          </w:p>
          <w:p w:rsidR="00832815" w:rsidRPr="00B90520" w:rsidRDefault="00832815" w:rsidP="001F33D1">
            <w:pPr>
              <w:numPr>
                <w:ilvl w:val="0"/>
                <w:numId w:val="61"/>
              </w:numPr>
              <w:spacing w:before="0" w:after="0" w:line="276" w:lineRule="auto"/>
              <w:ind w:left="238" w:hanging="238"/>
              <w:rPr>
                <w:rFonts w:asciiTheme="majorHAnsi" w:hAnsiTheme="majorHAnsi"/>
                <w:sz w:val="16"/>
                <w:szCs w:val="16"/>
                <w:lang w:eastAsia="cs-CZ"/>
              </w:rPr>
            </w:pPr>
            <w:r w:rsidRPr="00B90520">
              <w:rPr>
                <w:rFonts w:asciiTheme="majorHAnsi" w:hAnsiTheme="majorHAnsi"/>
                <w:sz w:val="16"/>
                <w:szCs w:val="16"/>
                <w:lang w:eastAsia="cs-CZ"/>
              </w:rPr>
              <w:t>výroby, distribúcie a dodávky pitnej vody verejným vodovodom a odvádzania a čistenia odpadových vôd verejnou kanalizáciou,</w:t>
            </w:r>
          </w:p>
          <w:p w:rsidR="00832815" w:rsidRPr="00B90520" w:rsidRDefault="00832815" w:rsidP="001F33D1">
            <w:pPr>
              <w:numPr>
                <w:ilvl w:val="0"/>
                <w:numId w:val="61"/>
              </w:numPr>
              <w:spacing w:before="0" w:after="0" w:line="276" w:lineRule="auto"/>
              <w:ind w:left="238" w:hanging="238"/>
              <w:rPr>
                <w:rFonts w:asciiTheme="majorHAnsi" w:hAnsiTheme="majorHAnsi"/>
                <w:sz w:val="16"/>
                <w:szCs w:val="16"/>
                <w:lang w:eastAsia="cs-CZ"/>
              </w:rPr>
            </w:pPr>
            <w:r w:rsidRPr="00B90520">
              <w:rPr>
                <w:rFonts w:asciiTheme="majorHAnsi" w:hAnsiTheme="majorHAnsi"/>
                <w:sz w:val="16"/>
                <w:szCs w:val="16"/>
                <w:lang w:eastAsia="cs-CZ"/>
              </w:rPr>
              <w:t>využívania hydroenergetického potenciálu vodných tokov,</w:t>
            </w:r>
          </w:p>
          <w:p w:rsidR="00832815" w:rsidRPr="00B90520" w:rsidRDefault="00832815" w:rsidP="001F33D1">
            <w:pPr>
              <w:numPr>
                <w:ilvl w:val="0"/>
                <w:numId w:val="61"/>
              </w:numPr>
              <w:spacing w:before="0" w:after="0" w:line="276" w:lineRule="auto"/>
              <w:ind w:left="238" w:hanging="238"/>
              <w:rPr>
                <w:rFonts w:asciiTheme="majorHAnsi" w:hAnsiTheme="majorHAnsi"/>
                <w:sz w:val="16"/>
                <w:szCs w:val="16"/>
                <w:lang w:eastAsia="cs-CZ"/>
              </w:rPr>
            </w:pPr>
            <w:r w:rsidRPr="00B90520">
              <w:rPr>
                <w:rFonts w:asciiTheme="majorHAnsi" w:hAnsiTheme="majorHAnsi"/>
                <w:sz w:val="16"/>
                <w:szCs w:val="16"/>
                <w:lang w:eastAsia="cs-CZ"/>
              </w:rPr>
              <w:t>odberov energetickej vody z vodných tokov na vodných stavbách,</w:t>
            </w:r>
          </w:p>
          <w:p w:rsidR="00832815" w:rsidRPr="00B90520" w:rsidRDefault="00832815" w:rsidP="001F33D1">
            <w:pPr>
              <w:numPr>
                <w:ilvl w:val="0"/>
                <w:numId w:val="61"/>
              </w:numPr>
              <w:spacing w:before="0" w:after="0" w:line="276" w:lineRule="auto"/>
              <w:ind w:left="238" w:hanging="238"/>
              <w:rPr>
                <w:rFonts w:asciiTheme="majorHAnsi" w:hAnsiTheme="majorHAnsi"/>
                <w:sz w:val="16"/>
                <w:szCs w:val="16"/>
                <w:lang w:eastAsia="cs-CZ"/>
              </w:rPr>
            </w:pPr>
            <w:r w:rsidRPr="00B90520">
              <w:rPr>
                <w:rFonts w:asciiTheme="majorHAnsi" w:hAnsiTheme="majorHAnsi"/>
                <w:sz w:val="16"/>
                <w:szCs w:val="16"/>
                <w:lang w:eastAsia="cs-CZ"/>
              </w:rPr>
              <w:t>odberov povrchovej vody z vodných tokov.</w:t>
            </w:r>
          </w:p>
          <w:p w:rsidR="00832815" w:rsidRPr="00B90520" w:rsidRDefault="00832815" w:rsidP="00832815">
            <w:pPr>
              <w:spacing w:before="0" w:line="276" w:lineRule="auto"/>
              <w:rPr>
                <w:rFonts w:asciiTheme="majorHAnsi" w:hAnsiTheme="majorHAnsi"/>
                <w:sz w:val="16"/>
                <w:szCs w:val="16"/>
                <w:lang w:eastAsia="cs-CZ"/>
              </w:rPr>
            </w:pPr>
          </w:p>
          <w:p w:rsidR="00832815" w:rsidRPr="00832815" w:rsidRDefault="00832815" w:rsidP="00832815">
            <w:pPr>
              <w:spacing w:before="0" w:line="276" w:lineRule="auto"/>
              <w:rPr>
                <w:rFonts w:asciiTheme="majorHAnsi" w:hAnsiTheme="majorHAnsi"/>
                <w:i/>
                <w:sz w:val="16"/>
                <w:szCs w:val="16"/>
                <w:lang w:eastAsia="cs-CZ"/>
              </w:rPr>
            </w:pPr>
            <w:r w:rsidRPr="00B90520">
              <w:rPr>
                <w:rFonts w:asciiTheme="majorHAnsi" w:hAnsiTheme="majorHAnsi"/>
                <w:sz w:val="16"/>
                <w:szCs w:val="16"/>
                <w:lang w:eastAsia="cs-CZ"/>
              </w:rPr>
              <w:t>Regulácia uvedených vodohospodárskych služieb je uskutočňovaná prostredníctvom ÚRSO. Ceny za všetky tieto vodohospodárske služby sú jednotné pre všetky sektory (domácnosti, priemysel, poľnohospodárstvo). Tento spôsob regulácie je zakotvený v Regulačnej politike ÚRSO, platnej na dané obdobie (v súčasnosti pre roky 2012 - 2016).</w:t>
            </w:r>
          </w:p>
        </w:tc>
        <w:tc>
          <w:tcPr>
            <w:tcW w:w="2862" w:type="dxa"/>
            <w:gridSpan w:val="3"/>
            <w:tcBorders>
              <w:top w:val="single" w:sz="4" w:space="0" w:color="auto"/>
              <w:left w:val="single" w:sz="4" w:space="0" w:color="auto"/>
              <w:bottom w:val="single" w:sz="4" w:space="0" w:color="auto"/>
              <w:right w:val="single" w:sz="4" w:space="0" w:color="auto"/>
            </w:tcBorders>
          </w:tcPr>
          <w:p w:rsidR="00832815" w:rsidRPr="00832815" w:rsidRDefault="006567E9" w:rsidP="00832815">
            <w:pPr>
              <w:spacing w:before="0" w:line="276" w:lineRule="auto"/>
              <w:rPr>
                <w:rFonts w:asciiTheme="majorHAnsi" w:hAnsiTheme="majorHAnsi"/>
                <w:sz w:val="16"/>
                <w:szCs w:val="16"/>
              </w:rPr>
            </w:pPr>
            <w:r>
              <w:rPr>
                <w:rFonts w:asciiTheme="majorHAnsi" w:hAnsiTheme="majorHAnsi"/>
                <w:sz w:val="16"/>
                <w:szCs w:val="16"/>
              </w:rPr>
              <w:lastRenderedPageBreak/>
              <w:t xml:space="preserve">31. 12. </w:t>
            </w:r>
            <w:r w:rsidR="00832815" w:rsidRPr="00832815">
              <w:rPr>
                <w:rFonts w:asciiTheme="majorHAnsi" w:hAnsiTheme="majorHAnsi"/>
                <w:sz w:val="16"/>
                <w:szCs w:val="16"/>
              </w:rPr>
              <w:t>2014</w:t>
            </w:r>
          </w:p>
        </w:tc>
        <w:tc>
          <w:tcPr>
            <w:tcW w:w="2346" w:type="dxa"/>
            <w:tcBorders>
              <w:top w:val="single" w:sz="4" w:space="0" w:color="auto"/>
              <w:left w:val="single" w:sz="4" w:space="0" w:color="auto"/>
              <w:bottom w:val="single" w:sz="4" w:space="0" w:color="auto"/>
              <w:right w:val="single" w:sz="12" w:space="0" w:color="auto"/>
            </w:tcBorders>
          </w:tcPr>
          <w:p w:rsidR="00832815" w:rsidRPr="00832815" w:rsidRDefault="00832815" w:rsidP="00832815">
            <w:pPr>
              <w:spacing w:before="0" w:line="276" w:lineRule="auto"/>
              <w:rPr>
                <w:rFonts w:asciiTheme="majorHAnsi" w:hAnsiTheme="majorHAnsi"/>
                <w:sz w:val="16"/>
                <w:szCs w:val="16"/>
              </w:rPr>
            </w:pPr>
            <w:r w:rsidRPr="00832815">
              <w:rPr>
                <w:rFonts w:asciiTheme="majorHAnsi" w:hAnsiTheme="majorHAnsi"/>
                <w:sz w:val="16"/>
                <w:szCs w:val="16"/>
              </w:rPr>
              <w:t>MŽP SR</w:t>
            </w:r>
          </w:p>
        </w:tc>
      </w:tr>
    </w:tbl>
    <w:p w:rsidR="009E246D" w:rsidRDefault="009E246D" w:rsidP="009E246D">
      <w:pPr>
        <w:spacing w:before="0" w:after="0"/>
        <w:jc w:val="left"/>
        <w:rPr>
          <w:rFonts w:asciiTheme="majorHAnsi" w:hAnsiTheme="majorHAnsi"/>
          <w:szCs w:val="22"/>
        </w:rPr>
      </w:pPr>
    </w:p>
    <w:p w:rsidR="009E246D" w:rsidRDefault="009E246D" w:rsidP="009E246D">
      <w:pPr>
        <w:spacing w:before="0" w:after="0"/>
        <w:jc w:val="left"/>
        <w:rPr>
          <w:rFonts w:asciiTheme="majorHAnsi" w:hAnsiTheme="majorHAnsi"/>
          <w:szCs w:val="22"/>
        </w:rPr>
      </w:pPr>
    </w:p>
    <w:p w:rsidR="00A11FE0" w:rsidRPr="00A11FE0" w:rsidRDefault="00A11FE0" w:rsidP="00A11FE0">
      <w:pPr>
        <w:spacing w:before="0" w:after="0"/>
        <w:jc w:val="left"/>
        <w:rPr>
          <w:rFonts w:asciiTheme="majorHAnsi" w:hAnsiTheme="majorHAnsi"/>
          <w:szCs w:val="22"/>
          <w:lang w:val="en-GB"/>
        </w:rPr>
      </w:pPr>
    </w:p>
    <w:p w:rsidR="009D6566" w:rsidRDefault="009D6566" w:rsidP="00A11FE0">
      <w:pPr>
        <w:spacing w:before="0" w:after="0"/>
        <w:jc w:val="left"/>
        <w:rPr>
          <w:rFonts w:asciiTheme="majorHAnsi" w:hAnsiTheme="majorHAnsi"/>
          <w:szCs w:val="22"/>
          <w:lang w:val="en-GB"/>
        </w:rPr>
        <w:sectPr w:rsidR="009D6566" w:rsidSect="003F0750">
          <w:pgSz w:w="16838" w:h="11906" w:orient="landscape" w:code="9"/>
          <w:pgMar w:top="1418" w:right="1418" w:bottom="1418" w:left="1418" w:header="709" w:footer="709" w:gutter="0"/>
          <w:cols w:space="708"/>
          <w:docGrid w:linePitch="360"/>
        </w:sectPr>
      </w:pPr>
    </w:p>
    <w:p w:rsidR="00496893" w:rsidRPr="00A11FE0" w:rsidRDefault="00496893" w:rsidP="007F0E6D">
      <w:pPr>
        <w:pStyle w:val="Nadpis2"/>
        <w:numPr>
          <w:ilvl w:val="1"/>
          <w:numId w:val="2"/>
        </w:numPr>
      </w:pPr>
      <w:bookmarkStart w:id="650" w:name="_Toc378168739"/>
      <w:bookmarkStart w:id="651" w:name="_Toc490655232"/>
      <w:r w:rsidRPr="00A11FE0">
        <w:lastRenderedPageBreak/>
        <w:t xml:space="preserve">Metodika </w:t>
      </w:r>
      <w:r w:rsidR="00BD5FD5">
        <w:t>a</w:t>
      </w:r>
      <w:r w:rsidR="00510D1C">
        <w:t> </w:t>
      </w:r>
      <w:r w:rsidRPr="00A11FE0">
        <w:t>mechanizm</w:t>
      </w:r>
      <w:r w:rsidR="009F6220">
        <w:t>y</w:t>
      </w:r>
      <w:r w:rsidR="00510D1C">
        <w:t xml:space="preserve"> </w:t>
      </w:r>
      <w:r w:rsidRPr="00A11FE0">
        <w:t xml:space="preserve">na zabezpečenie </w:t>
      </w:r>
      <w:r w:rsidR="00BD5FD5">
        <w:t>s</w:t>
      </w:r>
      <w:r w:rsidRPr="00A11FE0">
        <w:t>úladu vo fungovaní výkonnostného rámca</w:t>
      </w:r>
      <w:bookmarkEnd w:id="650"/>
      <w:bookmarkEnd w:id="651"/>
    </w:p>
    <w:p w:rsidR="00863B48" w:rsidRPr="00863B48" w:rsidRDefault="00863B48" w:rsidP="00863B48">
      <w:pPr>
        <w:rPr>
          <w:rFonts w:ascii="Calibri" w:hAnsi="Calibri"/>
        </w:rPr>
      </w:pPr>
      <w:r w:rsidRPr="00863B48">
        <w:rPr>
          <w:rFonts w:ascii="Calibri" w:hAnsi="Calibri"/>
        </w:rPr>
        <w:t>Výkonnostný rámec je jeden zo základných prvkov výsledkovo orientovaného prístupu v programovom období 2014 – 2020. Správne a účinné nastavenie súboru ukazovateľov je rozhodujúce pre úspešnú realizáciu výkonnostného rámca. Navrhnutý prístup predstavuje minimálne požiadavky pre výkonnostný rámec v rámci EŠIF v </w:t>
      </w:r>
      <w:r w:rsidR="00C81D00">
        <w:rPr>
          <w:rFonts w:ascii="Calibri" w:hAnsi="Calibri"/>
        </w:rPr>
        <w:t>SR</w:t>
      </w:r>
      <w:r w:rsidRPr="00863B48">
        <w:rPr>
          <w:rFonts w:ascii="Calibri" w:hAnsi="Calibri"/>
        </w:rPr>
        <w:t xml:space="preserve">. S cieľom zachovania súladu vo výbere ukazovateľov a určení míľnikov bude potrebné vychádzať zo spoľahlivej analýzy, ktorú vypracujú RO. Analýza predstavuje štyri kroky, ktoré uskutočnia </w:t>
      </w:r>
      <w:r w:rsidR="007F6E38">
        <w:rPr>
          <w:rFonts w:ascii="Calibri" w:hAnsi="Calibri"/>
        </w:rPr>
        <w:t>RO</w:t>
      </w:r>
      <w:r w:rsidRPr="00863B48">
        <w:rPr>
          <w:rFonts w:ascii="Calibri" w:hAnsi="Calibri"/>
        </w:rPr>
        <w:t>:</w:t>
      </w:r>
    </w:p>
    <w:p w:rsidR="00863B48" w:rsidRPr="00863B48" w:rsidRDefault="006D6733" w:rsidP="009B7C77">
      <w:pPr>
        <w:numPr>
          <w:ilvl w:val="0"/>
          <w:numId w:val="45"/>
        </w:numPr>
        <w:spacing w:after="0"/>
        <w:ind w:left="284" w:hanging="284"/>
        <w:rPr>
          <w:rFonts w:ascii="Calibri" w:hAnsi="Calibri"/>
        </w:rPr>
      </w:pPr>
      <w:r>
        <w:rPr>
          <w:rFonts w:ascii="Calibri" w:hAnsi="Calibri"/>
        </w:rPr>
        <w:t>V</w:t>
      </w:r>
      <w:r w:rsidR="00863B48" w:rsidRPr="00863B48">
        <w:rPr>
          <w:rFonts w:ascii="Calibri" w:hAnsi="Calibri"/>
        </w:rPr>
        <w:t>ýber vhodných ukazovateľov:</w:t>
      </w:r>
    </w:p>
    <w:p w:rsidR="00863B48" w:rsidRPr="00863B48" w:rsidRDefault="006D6733" w:rsidP="009B7C77">
      <w:pPr>
        <w:numPr>
          <w:ilvl w:val="1"/>
          <w:numId w:val="45"/>
        </w:numPr>
        <w:spacing w:before="0"/>
        <w:ind w:left="709" w:hanging="357"/>
        <w:rPr>
          <w:rFonts w:ascii="Calibri" w:hAnsi="Calibri"/>
        </w:rPr>
      </w:pPr>
      <w:r>
        <w:rPr>
          <w:rFonts w:ascii="Calibri" w:hAnsi="Calibri"/>
        </w:rPr>
        <w:t>v</w:t>
      </w:r>
      <w:r w:rsidR="00863B48" w:rsidRPr="00863B48">
        <w:rPr>
          <w:rFonts w:ascii="Calibri" w:hAnsi="Calibri"/>
        </w:rPr>
        <w:t xml:space="preserve">ýber ukazovateľov podlieha legislatívnym pravidlám v rámci jednotlivých </w:t>
      </w:r>
      <w:r>
        <w:rPr>
          <w:rFonts w:ascii="Calibri" w:hAnsi="Calibri"/>
        </w:rPr>
        <w:t>EŠIF</w:t>
      </w:r>
      <w:r w:rsidR="00863B48" w:rsidRPr="00863B48">
        <w:rPr>
          <w:rFonts w:ascii="Calibri" w:hAnsi="Calibri"/>
        </w:rPr>
        <w:t>. Vybrané ukazovatele by mali byť reprezentatívne, realistické, overiteľné a dosiahnuteľné;</w:t>
      </w:r>
    </w:p>
    <w:p w:rsidR="00863B48" w:rsidRPr="00863B48" w:rsidRDefault="006D6733" w:rsidP="009B7C77">
      <w:pPr>
        <w:numPr>
          <w:ilvl w:val="0"/>
          <w:numId w:val="45"/>
        </w:numPr>
        <w:spacing w:after="0"/>
        <w:ind w:left="284" w:hanging="284"/>
        <w:rPr>
          <w:rFonts w:ascii="Calibri" w:hAnsi="Calibri"/>
        </w:rPr>
      </w:pPr>
      <w:r>
        <w:rPr>
          <w:rFonts w:ascii="Calibri" w:hAnsi="Calibri"/>
        </w:rPr>
        <w:t>U</w:t>
      </w:r>
      <w:r w:rsidR="00863B48" w:rsidRPr="00863B48">
        <w:rPr>
          <w:rFonts w:ascii="Calibri" w:hAnsi="Calibri"/>
        </w:rPr>
        <w:t>rčenie hodnôt</w:t>
      </w:r>
      <w:r w:rsidR="00FC64BC">
        <w:rPr>
          <w:rFonts w:ascii="Calibri" w:hAnsi="Calibri"/>
        </w:rPr>
        <w:t xml:space="preserve"> zámerov</w:t>
      </w:r>
      <w:r w:rsidR="00863B48" w:rsidRPr="00863B48">
        <w:rPr>
          <w:rFonts w:ascii="Calibri" w:hAnsi="Calibri"/>
        </w:rPr>
        <w:t xml:space="preserve"> ukazovateľov, ktoré majú byť dosiahnuté do 31. 12. 2023, na základe výdavkov potrebných na uskutočnenie aktivít s najvýraznejším podielom pri splnení cieľov prioritných osí</w:t>
      </w:r>
      <w:r w:rsidR="00C96D85">
        <w:rPr>
          <w:rStyle w:val="Odkaznapoznmkupodiarou"/>
          <w:rFonts w:ascii="Calibri" w:hAnsi="Calibri"/>
        </w:rPr>
        <w:footnoteReference w:id="326"/>
      </w:r>
      <w:r w:rsidR="00863B48" w:rsidRPr="00863B48">
        <w:rPr>
          <w:rFonts w:ascii="Calibri" w:hAnsi="Calibri"/>
        </w:rPr>
        <w:t>:</w:t>
      </w:r>
    </w:p>
    <w:p w:rsidR="00863B48" w:rsidRPr="00863B48" w:rsidRDefault="006D6733" w:rsidP="009B7C77">
      <w:pPr>
        <w:numPr>
          <w:ilvl w:val="1"/>
          <w:numId w:val="45"/>
        </w:numPr>
        <w:spacing w:before="0"/>
        <w:ind w:left="709" w:hanging="357"/>
        <w:rPr>
          <w:rFonts w:ascii="Calibri" w:hAnsi="Calibri"/>
        </w:rPr>
      </w:pPr>
      <w:r>
        <w:rPr>
          <w:rFonts w:ascii="Calibri" w:hAnsi="Calibri"/>
        </w:rPr>
        <w:t>v</w:t>
      </w:r>
      <w:r w:rsidR="00863B48" w:rsidRPr="00863B48">
        <w:rPr>
          <w:rFonts w:ascii="Calibri" w:hAnsi="Calibri"/>
        </w:rPr>
        <w:t>hodné je vykonať analýzu optimalizácie zdrojov (Value for Money) vo vzťahu k</w:t>
      </w:r>
      <w:r w:rsidR="0026287F">
        <w:rPr>
          <w:rFonts w:ascii="Calibri" w:hAnsi="Calibri"/>
        </w:rPr>
        <w:t> </w:t>
      </w:r>
      <w:r w:rsidR="00863B48" w:rsidRPr="00863B48">
        <w:rPr>
          <w:rFonts w:ascii="Calibri" w:hAnsi="Calibri"/>
        </w:rPr>
        <w:t>želanej hodnote ukazovateľa, ktorá má byť dosiahnutá použitím pridelenej alokácie. Je potrebné rozlišovať medzi uskutočnenými aktivitami, ktoré poskytujú užitočnú skúsenosť z minulosti a novými aktivitami. Uskutočnené aktivity predstavujú databázu aktivít, ktoré umožnia určiť náklady aktivít pre obdobie 2014 – 2020 na základe projektových nákladov z programového obdobia 2007 – 2013, alebo iných relevantných projektových schém s podobnými aktivitami. Nové aktivity, vzhľadom na absenciu skúseností s projektmi, z</w:t>
      </w:r>
      <w:r w:rsidR="00CA132F">
        <w:rPr>
          <w:rFonts w:ascii="Calibri" w:hAnsi="Calibri"/>
        </w:rPr>
        <w:t> </w:t>
      </w:r>
      <w:r w:rsidR="00863B48" w:rsidRPr="00863B48">
        <w:rPr>
          <w:rFonts w:ascii="Calibri" w:hAnsi="Calibri"/>
        </w:rPr>
        <w:t>ktorých by bolo možné určiť náklady, je možné ohodnotiť na základe štandardizovaných cenníkov, vykonaných prieskumov trhu, štatistických prieskumov, štúdií, analýz a relevantných správ. Odporúča sa použiť uznávané kvantitatívne alebo kvalitatívne metódy zavedené v rámci ESF, alebo iné relevantné medzinárodné metódy tak, aby bolo zabezpečené overiteľné určenie výšky nákladov nových aktivít. Ak nie sú prístupné relevantné vstupné údaje pre vykonanie analýzy optimalizácie zdrojov, bude potrebné použiť kvalifikovaný odborný odhad. Aj keď vykonanie analýzy môže byť náročné, je nevyhnutné, aby ju RO vykonal dôsledne tak, aby bolo identifikované prepojenie medzi očakávanými výstupmi a pridelenými finančnými prostriedkami. Tento postup umožní odhadnúť, koľko výstupov bude možné reálne vytvoriť realizáciou navrhovaných aktivít s použitím pridelenej alokácie;</w:t>
      </w:r>
    </w:p>
    <w:p w:rsidR="00863B48" w:rsidRPr="00863B48" w:rsidRDefault="006D6733" w:rsidP="009B7C77">
      <w:pPr>
        <w:numPr>
          <w:ilvl w:val="0"/>
          <w:numId w:val="45"/>
        </w:numPr>
        <w:spacing w:after="0"/>
        <w:ind w:left="284" w:hanging="284"/>
        <w:rPr>
          <w:rFonts w:ascii="Calibri" w:hAnsi="Calibri"/>
        </w:rPr>
      </w:pPr>
      <w:r>
        <w:rPr>
          <w:rFonts w:ascii="Calibri" w:hAnsi="Calibri"/>
        </w:rPr>
        <w:t>V</w:t>
      </w:r>
      <w:r w:rsidR="00863B48" w:rsidRPr="00863B48">
        <w:rPr>
          <w:rFonts w:ascii="Calibri" w:hAnsi="Calibri"/>
        </w:rPr>
        <w:t xml:space="preserve">ýber vhodných ukazovateľov pre stanovenie </w:t>
      </w:r>
      <w:r w:rsidR="00FC64BC">
        <w:rPr>
          <w:rFonts w:ascii="Calibri" w:hAnsi="Calibri"/>
        </w:rPr>
        <w:t>čiastkových cieľov</w:t>
      </w:r>
      <w:r w:rsidR="00FC64BC" w:rsidRPr="00863B48">
        <w:rPr>
          <w:rFonts w:ascii="Calibri" w:hAnsi="Calibri"/>
        </w:rPr>
        <w:t xml:space="preserve"> </w:t>
      </w:r>
      <w:r w:rsidR="00863B48" w:rsidRPr="00863B48">
        <w:rPr>
          <w:rFonts w:ascii="Calibri" w:hAnsi="Calibri"/>
        </w:rPr>
        <w:t>na základe plánovaných aktivít s ohľadom na ich potenciál vytvoriť výstupy do roku 2018:</w:t>
      </w:r>
    </w:p>
    <w:p w:rsidR="00863B48" w:rsidRPr="00863B48" w:rsidRDefault="006D6733" w:rsidP="009B7C77">
      <w:pPr>
        <w:numPr>
          <w:ilvl w:val="1"/>
          <w:numId w:val="45"/>
        </w:numPr>
        <w:spacing w:before="0"/>
        <w:ind w:left="709" w:hanging="357"/>
        <w:rPr>
          <w:rFonts w:ascii="Calibri" w:hAnsi="Calibri"/>
        </w:rPr>
      </w:pPr>
      <w:r>
        <w:rPr>
          <w:rFonts w:ascii="Calibri" w:hAnsi="Calibri"/>
        </w:rPr>
        <w:t>z</w:t>
      </w:r>
      <w:r w:rsidR="00863B48" w:rsidRPr="00863B48">
        <w:rPr>
          <w:rFonts w:ascii="Calibri" w:hAnsi="Calibri"/>
        </w:rPr>
        <w:t xml:space="preserve">a účelom výberu vhodnejšieho ukazovateľa pre potreby výkonnostného rámca, RO pri výbere medzi výstupovým ukazovateľom a kľúčovým </w:t>
      </w:r>
      <w:r w:rsidR="00FC64BC">
        <w:rPr>
          <w:rFonts w:ascii="Calibri" w:hAnsi="Calibri"/>
        </w:rPr>
        <w:t>vykonávacím</w:t>
      </w:r>
      <w:r w:rsidR="00FC64BC" w:rsidRPr="00863B48">
        <w:rPr>
          <w:rFonts w:ascii="Calibri" w:hAnsi="Calibri"/>
        </w:rPr>
        <w:t xml:space="preserve"> </w:t>
      </w:r>
      <w:r w:rsidR="00863B48" w:rsidRPr="00863B48">
        <w:rPr>
          <w:rFonts w:ascii="Calibri" w:hAnsi="Calibri"/>
        </w:rPr>
        <w:t>krokom vykoná analýzu typu aktivít s ohľadom na potenciál vytvoriť výstup do roku 2018. Analýza zohľadní čas potrebný na prípravnú a implementačnú fázu daného typu operácie.</w:t>
      </w:r>
    </w:p>
    <w:p w:rsidR="00863B48" w:rsidRPr="00863B48" w:rsidRDefault="006D6733" w:rsidP="009B7C77">
      <w:pPr>
        <w:numPr>
          <w:ilvl w:val="0"/>
          <w:numId w:val="45"/>
        </w:numPr>
        <w:spacing w:after="0"/>
        <w:ind w:left="284" w:hanging="284"/>
        <w:rPr>
          <w:rFonts w:ascii="Calibri" w:hAnsi="Calibri"/>
        </w:rPr>
      </w:pPr>
      <w:r>
        <w:rPr>
          <w:rFonts w:ascii="Calibri" w:hAnsi="Calibri"/>
        </w:rPr>
        <w:t>U</w:t>
      </w:r>
      <w:r w:rsidR="00863B48" w:rsidRPr="00863B48">
        <w:rPr>
          <w:rFonts w:ascii="Calibri" w:hAnsi="Calibri"/>
        </w:rPr>
        <w:t xml:space="preserve">rčenie </w:t>
      </w:r>
      <w:r w:rsidR="00FC64BC">
        <w:rPr>
          <w:rFonts w:ascii="Calibri" w:hAnsi="Calibri"/>
        </w:rPr>
        <w:t>čiastkových cieľov</w:t>
      </w:r>
      <w:r w:rsidR="00863B48" w:rsidRPr="00863B48">
        <w:rPr>
          <w:rFonts w:ascii="Calibri" w:hAnsi="Calibri"/>
        </w:rPr>
        <w:t>, ktoré majú byť dosiahnuté do 31.</w:t>
      </w:r>
      <w:r w:rsidR="00C81D00">
        <w:rPr>
          <w:rFonts w:ascii="Calibri" w:hAnsi="Calibri"/>
        </w:rPr>
        <w:t xml:space="preserve"> </w:t>
      </w:r>
      <w:r w:rsidR="00863B48" w:rsidRPr="00863B48">
        <w:rPr>
          <w:rFonts w:ascii="Calibri" w:hAnsi="Calibri"/>
        </w:rPr>
        <w:t>12.</w:t>
      </w:r>
      <w:r w:rsidR="00C81D00">
        <w:rPr>
          <w:rFonts w:ascii="Calibri" w:hAnsi="Calibri"/>
        </w:rPr>
        <w:t xml:space="preserve"> </w:t>
      </w:r>
      <w:r w:rsidR="00863B48" w:rsidRPr="00863B48">
        <w:rPr>
          <w:rFonts w:ascii="Calibri" w:hAnsi="Calibri"/>
        </w:rPr>
        <w:t>2018 na základe predpokladaného vývoja implementácie:</w:t>
      </w:r>
    </w:p>
    <w:p w:rsidR="00863B48" w:rsidRPr="00863B48" w:rsidRDefault="00FC64BC" w:rsidP="009B7C77">
      <w:pPr>
        <w:numPr>
          <w:ilvl w:val="1"/>
          <w:numId w:val="45"/>
        </w:numPr>
        <w:spacing w:before="0"/>
        <w:ind w:left="709" w:hanging="357"/>
        <w:rPr>
          <w:rFonts w:ascii="Calibri" w:hAnsi="Calibri"/>
        </w:rPr>
      </w:pPr>
      <w:r>
        <w:rPr>
          <w:rFonts w:ascii="Calibri" w:hAnsi="Calibri"/>
        </w:rPr>
        <w:t>čiaskové ciele</w:t>
      </w:r>
      <w:r w:rsidRPr="00863B48">
        <w:rPr>
          <w:rFonts w:ascii="Calibri" w:hAnsi="Calibri"/>
        </w:rPr>
        <w:t xml:space="preserve"> </w:t>
      </w:r>
      <w:r w:rsidR="00863B48" w:rsidRPr="00863B48">
        <w:rPr>
          <w:rFonts w:ascii="Calibri" w:hAnsi="Calibri"/>
        </w:rPr>
        <w:t xml:space="preserve">sú priebežné ciele predstavujúce prvé výstupy, ktoré bude hodnotiť EK. Ich hodnoty sa stanovia na základe aktivít, ktoré vytvoria výstupy do roku 2018. S cieľom stanoviť vhodné hodnoty </w:t>
      </w:r>
      <w:r>
        <w:rPr>
          <w:rFonts w:ascii="Calibri" w:hAnsi="Calibri"/>
        </w:rPr>
        <w:t>čiastkových cieľov</w:t>
      </w:r>
      <w:r w:rsidRPr="00863B48">
        <w:rPr>
          <w:rFonts w:ascii="Calibri" w:hAnsi="Calibri"/>
        </w:rPr>
        <w:t xml:space="preserve"> </w:t>
      </w:r>
      <w:r w:rsidR="00863B48" w:rsidRPr="00863B48">
        <w:rPr>
          <w:rFonts w:ascii="Calibri" w:hAnsi="Calibri"/>
        </w:rPr>
        <w:t xml:space="preserve">bude potrebné navrhnúť predpokladanú implementačnú krivku špecifickú pre typ ukazovateľa (finančný ukazovateľ; výstupový ukazovateľ alebo kľúčový </w:t>
      </w:r>
      <w:r>
        <w:rPr>
          <w:rFonts w:ascii="Calibri" w:hAnsi="Calibri"/>
        </w:rPr>
        <w:t>vykonávací</w:t>
      </w:r>
      <w:r w:rsidRPr="00863B48">
        <w:rPr>
          <w:rFonts w:ascii="Calibri" w:hAnsi="Calibri"/>
        </w:rPr>
        <w:t xml:space="preserve"> </w:t>
      </w:r>
      <w:r w:rsidR="00863B48" w:rsidRPr="00863B48">
        <w:rPr>
          <w:rFonts w:ascii="Calibri" w:hAnsi="Calibri"/>
        </w:rPr>
        <w:t>krok; prípadne výsledkový ukazovateľ).</w:t>
      </w:r>
    </w:p>
    <w:p w:rsidR="00863B48" w:rsidRDefault="00863B48" w:rsidP="00863B48">
      <w:pPr>
        <w:rPr>
          <w:rFonts w:ascii="Calibri" w:hAnsi="Calibri"/>
        </w:rPr>
      </w:pPr>
      <w:r w:rsidRPr="00863B48">
        <w:rPr>
          <w:rFonts w:ascii="Calibri" w:hAnsi="Calibri"/>
        </w:rPr>
        <w:lastRenderedPageBreak/>
        <w:t xml:space="preserve">Správne použitie metód, odborné odhady a určenie </w:t>
      </w:r>
      <w:r w:rsidR="00FC64BC">
        <w:rPr>
          <w:rFonts w:ascii="Calibri" w:hAnsi="Calibri"/>
        </w:rPr>
        <w:t>zámerov</w:t>
      </w:r>
      <w:r w:rsidR="00FC64BC" w:rsidRPr="00863B48">
        <w:rPr>
          <w:rFonts w:ascii="Calibri" w:hAnsi="Calibri"/>
        </w:rPr>
        <w:t xml:space="preserve"> </w:t>
      </w:r>
      <w:r w:rsidRPr="00863B48">
        <w:rPr>
          <w:rFonts w:ascii="Calibri" w:hAnsi="Calibri"/>
        </w:rPr>
        <w:t>a </w:t>
      </w:r>
      <w:r w:rsidR="00FC64BC">
        <w:rPr>
          <w:rFonts w:ascii="Calibri" w:hAnsi="Calibri"/>
        </w:rPr>
        <w:t>čiastkových cieľov</w:t>
      </w:r>
      <w:r w:rsidR="00FC64BC" w:rsidRPr="00863B48">
        <w:rPr>
          <w:rFonts w:ascii="Calibri" w:hAnsi="Calibri"/>
        </w:rPr>
        <w:t xml:space="preserve"> </w:t>
      </w:r>
      <w:r w:rsidRPr="00863B48">
        <w:rPr>
          <w:rFonts w:ascii="Calibri" w:hAnsi="Calibri"/>
        </w:rPr>
        <w:t>bude predmetom ex ante hodnotenia OP.</w:t>
      </w:r>
    </w:p>
    <w:p w:rsidR="001E5203" w:rsidRPr="00863B48" w:rsidRDefault="001E5203" w:rsidP="001E5203">
      <w:pPr>
        <w:rPr>
          <w:rFonts w:ascii="Calibri" w:hAnsi="Calibri"/>
        </w:rPr>
      </w:pPr>
      <w:r>
        <w:rPr>
          <w:rFonts w:ascii="Calibri" w:eastAsia="Calibri" w:hAnsi="Calibri"/>
        </w:rPr>
        <w:t>V prípade EPFRV bude výber ukazovateľov</w:t>
      </w:r>
      <w:r w:rsidR="007B3D7D">
        <w:rPr>
          <w:rFonts w:ascii="Calibri" w:eastAsia="Calibri" w:hAnsi="Calibri"/>
        </w:rPr>
        <w:t xml:space="preserve"> cieľov</w:t>
      </w:r>
      <w:r>
        <w:rPr>
          <w:rFonts w:ascii="Calibri" w:eastAsia="Calibri" w:hAnsi="Calibri"/>
        </w:rPr>
        <w:t xml:space="preserve"> a  </w:t>
      </w:r>
      <w:r w:rsidR="00FC64BC">
        <w:rPr>
          <w:rFonts w:ascii="Calibri" w:eastAsia="Calibri" w:hAnsi="Calibri"/>
        </w:rPr>
        <w:t xml:space="preserve">čiastkových cieľov </w:t>
      </w:r>
      <w:r w:rsidR="007B3D7D">
        <w:rPr>
          <w:rFonts w:ascii="Calibri" w:eastAsia="Calibri" w:hAnsi="Calibri"/>
        </w:rPr>
        <w:t>pre potreby preskúmania výkonnosti</w:t>
      </w:r>
      <w:r>
        <w:rPr>
          <w:rFonts w:ascii="Calibri" w:eastAsia="Calibri" w:hAnsi="Calibri"/>
        </w:rPr>
        <w:t xml:space="preserve"> stanovený na základe spoločného systému monitorovania a hodnotenia, ktorého pravidlá budú definované priamo pre EPFRV, a to vrátane relevantných mechanizmov monitorovania. Ciele budú stanovené na základe analýzy a intervenčnej logiky PRV.</w:t>
      </w:r>
      <w:r w:rsidR="007B3D7D">
        <w:rPr>
          <w:rFonts w:ascii="Calibri" w:eastAsia="Calibri" w:hAnsi="Calibri"/>
        </w:rPr>
        <w:t xml:space="preserve"> </w:t>
      </w:r>
      <w:r w:rsidR="007B3D7D" w:rsidRPr="007B3D7D">
        <w:rPr>
          <w:rFonts w:ascii="Calibri" w:eastAsia="Calibri" w:hAnsi="Calibri"/>
        </w:rPr>
        <w:t>Hodnoty míľnikov budú stanovené a</w:t>
      </w:r>
      <w:r w:rsidR="00CA132F">
        <w:rPr>
          <w:rFonts w:ascii="Calibri" w:eastAsia="Calibri" w:hAnsi="Calibri"/>
        </w:rPr>
        <w:t> </w:t>
      </w:r>
      <w:r w:rsidR="007B3D7D" w:rsidRPr="007B3D7D">
        <w:rPr>
          <w:rFonts w:ascii="Calibri" w:eastAsia="Calibri" w:hAnsi="Calibri"/>
        </w:rPr>
        <w:t>odôvodnené v</w:t>
      </w:r>
      <w:r w:rsidR="007B3D7D">
        <w:rPr>
          <w:rFonts w:ascii="Calibri" w:eastAsia="Calibri" w:hAnsi="Calibri"/>
        </w:rPr>
        <w:t> </w:t>
      </w:r>
      <w:r w:rsidR="007B3D7D" w:rsidRPr="007B3D7D">
        <w:rPr>
          <w:rFonts w:ascii="Calibri" w:eastAsia="Calibri" w:hAnsi="Calibri"/>
        </w:rPr>
        <w:t>PRV</w:t>
      </w:r>
      <w:r w:rsidR="007B3D7D">
        <w:rPr>
          <w:rFonts w:ascii="Calibri" w:eastAsia="Calibri" w:hAnsi="Calibri"/>
        </w:rPr>
        <w:t>.</w:t>
      </w:r>
    </w:p>
    <w:p w:rsidR="00863B48" w:rsidRPr="00863B48" w:rsidRDefault="00863B48" w:rsidP="00863B48">
      <w:pPr>
        <w:tabs>
          <w:tab w:val="left" w:pos="709"/>
          <w:tab w:val="left" w:pos="9072"/>
        </w:tabs>
        <w:rPr>
          <w:rFonts w:ascii="Calibri" w:hAnsi="Calibri"/>
        </w:rPr>
      </w:pPr>
      <w:r w:rsidRPr="00863B48">
        <w:rPr>
          <w:rFonts w:ascii="Calibri" w:hAnsi="Calibri"/>
        </w:rPr>
        <w:t>Výber ukazovateľov a nastavenie</w:t>
      </w:r>
      <w:r w:rsidR="00FC64BC">
        <w:rPr>
          <w:rFonts w:ascii="Calibri" w:hAnsi="Calibri"/>
        </w:rPr>
        <w:t> </w:t>
      </w:r>
      <w:r w:rsidR="00FC64BC" w:rsidRPr="00FC64BC">
        <w:rPr>
          <w:rFonts w:ascii="Calibri" w:hAnsi="Calibri"/>
        </w:rPr>
        <w:t>zámerov a čiastkových cieľov</w:t>
      </w:r>
      <w:r w:rsidRPr="00863B48">
        <w:rPr>
          <w:rFonts w:ascii="Calibri" w:hAnsi="Calibri"/>
        </w:rPr>
        <w:t xml:space="preserve"> je prvým krokom pri implementácii výkonnostného rámca. Druhým krokom je návrh mechanizmu monitorovania a hodnotenia</w:t>
      </w:r>
      <w:r w:rsidR="00FC64BC">
        <w:rPr>
          <w:rFonts w:ascii="Calibri" w:hAnsi="Calibri"/>
        </w:rPr>
        <w:t> </w:t>
      </w:r>
      <w:r w:rsidR="00FC64BC" w:rsidRPr="00FC64BC">
        <w:rPr>
          <w:rFonts w:ascii="Calibri" w:hAnsi="Calibri"/>
        </w:rPr>
        <w:t>zámerov a čiastkových cieľov</w:t>
      </w:r>
      <w:r w:rsidRPr="00863B48">
        <w:rPr>
          <w:rFonts w:ascii="Calibri" w:hAnsi="Calibri"/>
        </w:rPr>
        <w:t>. Sú dva dôležité predpoklady pre existenciu tohto mechanizmu:</w:t>
      </w:r>
    </w:p>
    <w:p w:rsidR="00863B48" w:rsidRPr="00863B48" w:rsidRDefault="00863B48" w:rsidP="00863B48">
      <w:pPr>
        <w:tabs>
          <w:tab w:val="left" w:pos="709"/>
          <w:tab w:val="left" w:pos="9072"/>
        </w:tabs>
        <w:spacing w:after="0"/>
        <w:rPr>
          <w:rFonts w:ascii="Calibri" w:hAnsi="Calibri"/>
        </w:rPr>
      </w:pPr>
      <w:r w:rsidRPr="00863B48">
        <w:rPr>
          <w:rFonts w:ascii="Calibri" w:hAnsi="Calibri"/>
        </w:rPr>
        <w:t>1) Sledované obdobie:</w:t>
      </w:r>
    </w:p>
    <w:p w:rsidR="00863B48" w:rsidRPr="00863B48" w:rsidRDefault="006D6733" w:rsidP="009B7C77">
      <w:pPr>
        <w:numPr>
          <w:ilvl w:val="0"/>
          <w:numId w:val="46"/>
        </w:numPr>
        <w:tabs>
          <w:tab w:val="left" w:pos="567"/>
          <w:tab w:val="left" w:pos="9072"/>
        </w:tabs>
        <w:spacing w:before="0"/>
        <w:ind w:left="567" w:hanging="357"/>
        <w:rPr>
          <w:rFonts w:ascii="Calibri" w:hAnsi="Calibri"/>
        </w:rPr>
      </w:pPr>
      <w:r>
        <w:rPr>
          <w:rFonts w:ascii="Calibri" w:hAnsi="Calibri"/>
        </w:rPr>
        <w:t>c</w:t>
      </w:r>
      <w:r w:rsidR="00863B48" w:rsidRPr="00863B48">
        <w:rPr>
          <w:rFonts w:ascii="Calibri" w:hAnsi="Calibri"/>
        </w:rPr>
        <w:t>ieľom je zabezpečiť monitorovanie a hodnotenie počas celého programového obdobia, so začiatkom v</w:t>
      </w:r>
      <w:r w:rsidR="00CA132F">
        <w:rPr>
          <w:rFonts w:ascii="Calibri" w:hAnsi="Calibri"/>
        </w:rPr>
        <w:t> </w:t>
      </w:r>
      <w:r w:rsidR="00863B48" w:rsidRPr="00863B48">
        <w:rPr>
          <w:rFonts w:ascii="Calibri" w:hAnsi="Calibri"/>
        </w:rPr>
        <w:t>roku</w:t>
      </w:r>
      <w:r w:rsidR="00CA132F">
        <w:rPr>
          <w:rFonts w:ascii="Calibri" w:hAnsi="Calibri"/>
        </w:rPr>
        <w:t xml:space="preserve"> </w:t>
      </w:r>
      <w:r w:rsidR="00863B48" w:rsidRPr="00863B48">
        <w:rPr>
          <w:rFonts w:ascii="Calibri" w:hAnsi="Calibri"/>
        </w:rPr>
        <w:t>2014. To znamená, neobmedziť sa len na roky 2018 a 2023. Monitorovanie a hodnotenie sa uskutoční na ročnej báze a bude zhrnuté v </w:t>
      </w:r>
      <w:r>
        <w:rPr>
          <w:rFonts w:ascii="Calibri" w:hAnsi="Calibri"/>
        </w:rPr>
        <w:t>s</w:t>
      </w:r>
      <w:r w:rsidR="00863B48" w:rsidRPr="00863B48">
        <w:rPr>
          <w:rFonts w:ascii="Calibri" w:hAnsi="Calibri"/>
        </w:rPr>
        <w:t xml:space="preserve">práve o stave implementácie EŠIF pripravenej </w:t>
      </w:r>
      <w:r w:rsidR="005912F7">
        <w:rPr>
          <w:rFonts w:ascii="Calibri" w:hAnsi="Calibri"/>
        </w:rPr>
        <w:t>CKO</w:t>
      </w:r>
      <w:r w:rsidR="00863B48" w:rsidRPr="00863B48">
        <w:rPr>
          <w:rFonts w:ascii="Calibri" w:hAnsi="Calibri"/>
        </w:rPr>
        <w:t xml:space="preserve"> v spolupráci s </w:t>
      </w:r>
      <w:r w:rsidR="007F6E38">
        <w:rPr>
          <w:rFonts w:ascii="Calibri" w:hAnsi="Calibri"/>
        </w:rPr>
        <w:t>RO</w:t>
      </w:r>
      <w:r w:rsidR="00863B48" w:rsidRPr="00863B48">
        <w:rPr>
          <w:rFonts w:ascii="Calibri" w:hAnsi="Calibri"/>
        </w:rPr>
        <w:t xml:space="preserve"> a schválenej vládou SR. Rovnako bude monitorovanie a hodnotenie zhrnuté vo výročných správach o vykonávaní OP, ktoré pripravia </w:t>
      </w:r>
      <w:r>
        <w:rPr>
          <w:rFonts w:ascii="Calibri" w:hAnsi="Calibri"/>
        </w:rPr>
        <w:t>RO</w:t>
      </w:r>
      <w:r w:rsidR="00863B48" w:rsidRPr="00863B48">
        <w:rPr>
          <w:rFonts w:ascii="Calibri" w:hAnsi="Calibri"/>
        </w:rPr>
        <w:t>.</w:t>
      </w:r>
    </w:p>
    <w:p w:rsidR="00863B48" w:rsidRPr="00863B48" w:rsidRDefault="00863B48" w:rsidP="00863B48">
      <w:pPr>
        <w:tabs>
          <w:tab w:val="left" w:pos="709"/>
          <w:tab w:val="left" w:pos="9072"/>
        </w:tabs>
        <w:spacing w:after="0"/>
        <w:ind w:left="284" w:hanging="284"/>
        <w:rPr>
          <w:rFonts w:ascii="Calibri" w:hAnsi="Calibri"/>
        </w:rPr>
      </w:pPr>
      <w:r w:rsidRPr="00863B48">
        <w:rPr>
          <w:rFonts w:ascii="Calibri" w:hAnsi="Calibri"/>
        </w:rPr>
        <w:t xml:space="preserve">2) </w:t>
      </w:r>
      <w:r w:rsidR="00FC64BC">
        <w:rPr>
          <w:rFonts w:ascii="Calibri" w:hAnsi="Calibri"/>
        </w:rPr>
        <w:t xml:space="preserve">Čiastkové ciele a zámery </w:t>
      </w:r>
      <w:r w:rsidRPr="00863B48">
        <w:rPr>
          <w:rFonts w:ascii="Calibri" w:hAnsi="Calibri"/>
        </w:rPr>
        <w:t>podliehajú detekčnému a nápravnému mechanizmu, a to od roku 2014:</w:t>
      </w:r>
    </w:p>
    <w:p w:rsidR="00863B48" w:rsidRPr="00863B48" w:rsidRDefault="007F6E38" w:rsidP="009B7C77">
      <w:pPr>
        <w:numPr>
          <w:ilvl w:val="0"/>
          <w:numId w:val="46"/>
        </w:numPr>
        <w:tabs>
          <w:tab w:val="left" w:pos="567"/>
          <w:tab w:val="left" w:pos="9072"/>
        </w:tabs>
        <w:spacing w:before="0"/>
        <w:ind w:left="567" w:hanging="357"/>
        <w:rPr>
          <w:rFonts w:ascii="Calibri" w:hAnsi="Calibri"/>
        </w:rPr>
      </w:pPr>
      <w:r>
        <w:rPr>
          <w:rFonts w:ascii="Calibri" w:hAnsi="Calibri"/>
        </w:rPr>
        <w:t>o</w:t>
      </w:r>
      <w:r w:rsidRPr="00863B48">
        <w:rPr>
          <w:rFonts w:ascii="Calibri" w:hAnsi="Calibri"/>
        </w:rPr>
        <w:t>krem </w:t>
      </w:r>
      <w:r w:rsidR="00863B48" w:rsidRPr="00863B48">
        <w:rPr>
          <w:rFonts w:ascii="Calibri" w:hAnsi="Calibri"/>
        </w:rPr>
        <w:t xml:space="preserve">stanovenia </w:t>
      </w:r>
      <w:r w:rsidR="00FC64BC">
        <w:rPr>
          <w:rFonts w:ascii="Calibri" w:hAnsi="Calibri"/>
        </w:rPr>
        <w:t> čiastkových cieľov a zámerov</w:t>
      </w:r>
      <w:r w:rsidR="00863B48" w:rsidRPr="00863B48">
        <w:rPr>
          <w:rFonts w:ascii="Calibri" w:hAnsi="Calibri"/>
        </w:rPr>
        <w:t>, stanoví RO aj čiastkové hodnoty ukazovateľov pre každý rok programového obdobia</w:t>
      </w:r>
      <w:r w:rsidR="00FC64BC">
        <w:rPr>
          <w:rFonts w:ascii="Calibri" w:hAnsi="Calibri"/>
        </w:rPr>
        <w:t xml:space="preserve"> 2014 </w:t>
      </w:r>
      <w:r w:rsidR="00FC64BC" w:rsidRPr="00FC64BC">
        <w:rPr>
          <w:rFonts w:ascii="Calibri" w:hAnsi="Calibri"/>
        </w:rPr>
        <w:t>–</w:t>
      </w:r>
      <w:r w:rsidR="00FC64BC">
        <w:rPr>
          <w:rFonts w:ascii="Calibri" w:hAnsi="Calibri"/>
        </w:rPr>
        <w:t xml:space="preserve"> 2020</w:t>
      </w:r>
      <w:r w:rsidR="00863B48" w:rsidRPr="00863B48">
        <w:rPr>
          <w:rFonts w:ascii="Calibri" w:hAnsi="Calibri"/>
        </w:rPr>
        <w:t xml:space="preserve"> a</w:t>
      </w:r>
      <w:r w:rsidR="00FC64BC">
        <w:rPr>
          <w:rFonts w:ascii="Calibri" w:hAnsi="Calibri"/>
        </w:rPr>
        <w:t> to vrátane</w:t>
      </w:r>
      <w:r w:rsidR="00863B48" w:rsidRPr="00863B48">
        <w:rPr>
          <w:rFonts w:ascii="Calibri" w:hAnsi="Calibri"/>
        </w:rPr>
        <w:t> </w:t>
      </w:r>
      <w:r w:rsidR="00FC64BC">
        <w:rPr>
          <w:rFonts w:ascii="Calibri" w:hAnsi="Calibri"/>
        </w:rPr>
        <w:t>rokov</w:t>
      </w:r>
      <w:r w:rsidR="00863B48" w:rsidRPr="00863B48">
        <w:rPr>
          <w:rFonts w:ascii="Calibri" w:hAnsi="Calibri"/>
        </w:rPr>
        <w:t xml:space="preserve"> 2021 a 2022</w:t>
      </w:r>
      <w:r w:rsidR="00863B48" w:rsidRPr="00863B48">
        <w:rPr>
          <w:rFonts w:ascii="Times New Roman" w:hAnsi="Times New Roman"/>
          <w:color w:val="000000"/>
          <w:sz w:val="24"/>
        </w:rPr>
        <w:t xml:space="preserve">. </w:t>
      </w:r>
      <w:r w:rsidR="00863B48" w:rsidRPr="00863B48">
        <w:rPr>
          <w:rFonts w:ascii="Calibri" w:hAnsi="Calibri"/>
        </w:rPr>
        <w:t>RO určí čiastkové hodnoty ukazovateľov na základe plánovaného vývoja implementačnej krivky, projektového cyklu, skúseností z</w:t>
      </w:r>
      <w:r w:rsidR="00CA132F">
        <w:rPr>
          <w:rFonts w:ascii="Calibri" w:hAnsi="Calibri"/>
        </w:rPr>
        <w:t> </w:t>
      </w:r>
      <w:r w:rsidR="00863B48" w:rsidRPr="00863B48">
        <w:rPr>
          <w:rFonts w:ascii="Calibri" w:hAnsi="Calibri"/>
        </w:rPr>
        <w:t>programového</w:t>
      </w:r>
      <w:r w:rsidR="00CA132F">
        <w:rPr>
          <w:rFonts w:ascii="Calibri" w:hAnsi="Calibri"/>
        </w:rPr>
        <w:t xml:space="preserve"> </w:t>
      </w:r>
      <w:r w:rsidR="00863B48" w:rsidRPr="00863B48">
        <w:rPr>
          <w:rFonts w:ascii="Calibri" w:hAnsi="Calibri"/>
        </w:rPr>
        <w:t>obdobia 2007 – 2013, alebo iného relevantného hľadiska.</w:t>
      </w:r>
    </w:p>
    <w:p w:rsidR="00863B48" w:rsidRPr="00863B48" w:rsidRDefault="00863B48" w:rsidP="00863B48">
      <w:pPr>
        <w:tabs>
          <w:tab w:val="left" w:pos="567"/>
          <w:tab w:val="left" w:pos="9072"/>
        </w:tabs>
        <w:rPr>
          <w:rFonts w:ascii="Calibri" w:hAnsi="Calibri"/>
        </w:rPr>
      </w:pPr>
      <w:r w:rsidRPr="00863B48">
        <w:rPr>
          <w:rFonts w:ascii="Calibri" w:hAnsi="Calibri"/>
        </w:rPr>
        <w:t xml:space="preserve">Monitorovanie a hodnotenie je dvojfázový proces. Prvá fáza končí po roku 2018 vyhodnotením </w:t>
      </w:r>
      <w:r w:rsidR="00FC64BC">
        <w:rPr>
          <w:rFonts w:ascii="Calibri" w:hAnsi="Calibri"/>
        </w:rPr>
        <w:t>čiastkových cieľov</w:t>
      </w:r>
      <w:r w:rsidR="00FC64BC" w:rsidRPr="00863B48">
        <w:rPr>
          <w:rFonts w:ascii="Calibri" w:hAnsi="Calibri"/>
        </w:rPr>
        <w:t xml:space="preserve"> </w:t>
      </w:r>
      <w:r w:rsidRPr="00863B48">
        <w:rPr>
          <w:rFonts w:ascii="Calibri" w:hAnsi="Calibri"/>
        </w:rPr>
        <w:t xml:space="preserve">a druhá po roku 2023 vyhodnotením </w:t>
      </w:r>
      <w:r w:rsidR="00FC64BC">
        <w:rPr>
          <w:rFonts w:ascii="Calibri" w:hAnsi="Calibri"/>
        </w:rPr>
        <w:t>zámerov</w:t>
      </w:r>
      <w:r w:rsidRPr="00863B48">
        <w:rPr>
          <w:rFonts w:ascii="Calibri" w:hAnsi="Calibri"/>
        </w:rPr>
        <w:t xml:space="preserve">. Účelom hodnotenia </w:t>
      </w:r>
      <w:r w:rsidR="006D6733">
        <w:rPr>
          <w:rFonts w:ascii="Calibri" w:hAnsi="Calibri"/>
        </w:rPr>
        <w:t xml:space="preserve">je </w:t>
      </w:r>
      <w:r w:rsidRPr="00863B48">
        <w:rPr>
          <w:rFonts w:ascii="Calibri" w:hAnsi="Calibri"/>
        </w:rPr>
        <w:t xml:space="preserve">v prvej fáze vytvorenie podmienok </w:t>
      </w:r>
      <w:r w:rsidR="006D6733">
        <w:rPr>
          <w:rFonts w:ascii="Calibri" w:hAnsi="Calibri"/>
        </w:rPr>
        <w:t>na</w:t>
      </w:r>
      <w:r w:rsidR="006D6733" w:rsidRPr="00863B48">
        <w:rPr>
          <w:rFonts w:ascii="Calibri" w:hAnsi="Calibri"/>
        </w:rPr>
        <w:t xml:space="preserve"> </w:t>
      </w:r>
      <w:r w:rsidRPr="00863B48">
        <w:rPr>
          <w:rFonts w:ascii="Calibri" w:hAnsi="Calibri"/>
        </w:rPr>
        <w:t>pridelenie rezervy</w:t>
      </w:r>
      <w:r w:rsidRPr="00863B48">
        <w:rPr>
          <w:rFonts w:ascii="Calibri" w:hAnsi="Calibri"/>
          <w:vertAlign w:val="superscript"/>
        </w:rPr>
        <w:footnoteReference w:id="327"/>
      </w:r>
      <w:r w:rsidRPr="00863B48">
        <w:rPr>
          <w:rFonts w:ascii="Calibri" w:hAnsi="Calibri"/>
        </w:rPr>
        <w:t xml:space="preserve"> pre prioritné osi plniace výkonnostný rámec a minimalizovať riziko pozastavenia priebežných platieb. Navyše, prioritné osi plniace výkonnostný rámec môžu mať prospech z pridelenia dodatočnej rezervy </w:t>
      </w:r>
      <w:r w:rsidR="006D6733">
        <w:rPr>
          <w:rFonts w:ascii="Calibri" w:hAnsi="Calibri"/>
        </w:rPr>
        <w:t xml:space="preserve">tých </w:t>
      </w:r>
      <w:r w:rsidRPr="00863B48">
        <w:rPr>
          <w:rFonts w:ascii="Calibri" w:hAnsi="Calibri"/>
        </w:rPr>
        <w:t>prioritných osí, ktoré nesplnili výkonnostný rámec. Pridelenie dodatočnej rezervy bude podmienené analýzou potrieb, ktorá bude zahŕňať aj identifikáciu priorít s</w:t>
      </w:r>
      <w:r w:rsidR="00CA132F">
        <w:rPr>
          <w:rFonts w:ascii="Calibri" w:hAnsi="Calibri"/>
        </w:rPr>
        <w:t> </w:t>
      </w:r>
      <w:r w:rsidRPr="00863B48">
        <w:rPr>
          <w:rFonts w:ascii="Calibri" w:hAnsi="Calibri"/>
        </w:rPr>
        <w:t>cieľom</w:t>
      </w:r>
      <w:r w:rsidR="00CA132F">
        <w:rPr>
          <w:rFonts w:ascii="Calibri" w:hAnsi="Calibri"/>
        </w:rPr>
        <w:t xml:space="preserve"> </w:t>
      </w:r>
      <w:r w:rsidRPr="00863B48">
        <w:rPr>
          <w:rFonts w:ascii="Calibri" w:hAnsi="Calibri"/>
        </w:rPr>
        <w:t xml:space="preserve">určiť, ktoré prioritné osi sú najvhodnejšie </w:t>
      </w:r>
      <w:r w:rsidR="006D6733">
        <w:rPr>
          <w:rFonts w:ascii="Calibri" w:hAnsi="Calibri"/>
        </w:rPr>
        <w:t>na</w:t>
      </w:r>
      <w:r w:rsidR="006D6733" w:rsidRPr="00863B48">
        <w:rPr>
          <w:rFonts w:ascii="Calibri" w:hAnsi="Calibri"/>
        </w:rPr>
        <w:t xml:space="preserve"> </w:t>
      </w:r>
      <w:r w:rsidRPr="00863B48">
        <w:rPr>
          <w:rFonts w:ascii="Calibri" w:hAnsi="Calibri"/>
        </w:rPr>
        <w:t xml:space="preserve">pridelenie dodatočnej výkonnostnej rezervy. Analýza zohľadní aj absorpčnú kapacitu prioritných osí s ohľadom na ich potenciálne zvýšenú alokáciu pri posúdení vonkajších faktorov vplývajúcich na realizáciu prioritných osí, napr. aktuálna makroekonomická situácia. Analýza bude pripravená </w:t>
      </w:r>
      <w:r w:rsidR="005912F7">
        <w:rPr>
          <w:rFonts w:ascii="Calibri" w:hAnsi="Calibri"/>
        </w:rPr>
        <w:t>CKO</w:t>
      </w:r>
      <w:r w:rsidRPr="00863B48">
        <w:rPr>
          <w:rFonts w:ascii="Calibri" w:hAnsi="Calibri"/>
        </w:rPr>
        <w:t xml:space="preserve"> v</w:t>
      </w:r>
      <w:r w:rsidR="00CA132F">
        <w:rPr>
          <w:rFonts w:ascii="Calibri" w:hAnsi="Calibri"/>
        </w:rPr>
        <w:t> </w:t>
      </w:r>
      <w:r w:rsidRPr="00863B48">
        <w:rPr>
          <w:rFonts w:ascii="Calibri" w:hAnsi="Calibri"/>
        </w:rPr>
        <w:t>spolupráci</w:t>
      </w:r>
      <w:r w:rsidR="00CA132F">
        <w:rPr>
          <w:rFonts w:ascii="Calibri" w:hAnsi="Calibri"/>
        </w:rPr>
        <w:t xml:space="preserve"> </w:t>
      </w:r>
      <w:r w:rsidRPr="00863B48">
        <w:rPr>
          <w:rFonts w:ascii="Calibri" w:hAnsi="Calibri"/>
        </w:rPr>
        <w:t>s</w:t>
      </w:r>
      <w:r w:rsidR="006D6733">
        <w:rPr>
          <w:rFonts w:ascii="Calibri" w:hAnsi="Calibri"/>
        </w:rPr>
        <w:t> </w:t>
      </w:r>
      <w:r w:rsidRPr="00863B48">
        <w:rPr>
          <w:rFonts w:ascii="Calibri" w:hAnsi="Calibri"/>
        </w:rPr>
        <w:t>RO</w:t>
      </w:r>
      <w:r w:rsidR="006D6733">
        <w:rPr>
          <w:rFonts w:ascii="Calibri" w:hAnsi="Calibri"/>
        </w:rPr>
        <w:t xml:space="preserve"> </w:t>
      </w:r>
      <w:r w:rsidRPr="00863B48">
        <w:rPr>
          <w:rFonts w:ascii="Calibri" w:hAnsi="Calibri"/>
        </w:rPr>
        <w:t>a</w:t>
      </w:r>
      <w:r w:rsidR="006D6733">
        <w:rPr>
          <w:rFonts w:ascii="Calibri" w:hAnsi="Calibri"/>
        </w:rPr>
        <w:t> </w:t>
      </w:r>
      <w:r w:rsidRPr="00863B48">
        <w:rPr>
          <w:rFonts w:ascii="Calibri" w:hAnsi="Calibri"/>
        </w:rPr>
        <w:t xml:space="preserve">zástupcami </w:t>
      </w:r>
      <w:r w:rsidR="007F6E38">
        <w:rPr>
          <w:rFonts w:ascii="Calibri" w:hAnsi="Calibri"/>
        </w:rPr>
        <w:t>HP</w:t>
      </w:r>
      <w:r w:rsidRPr="00863B48">
        <w:rPr>
          <w:rFonts w:ascii="Calibri" w:hAnsi="Calibri"/>
        </w:rPr>
        <w:t xml:space="preserve">. S cieľom zabezpečenia čo najvyššieho počtu prioritných osí plniacich výkonnostný rámec sa zavedie detekčný mechanizmus pre neplnenie výkonnostného rámca založený na nápravných opatreniach. To znamená, že výročné správy o vykonávaní </w:t>
      </w:r>
      <w:r w:rsidR="00CA132F">
        <w:rPr>
          <w:rFonts w:ascii="Calibri" w:hAnsi="Calibri"/>
        </w:rPr>
        <w:t>programov</w:t>
      </w:r>
      <w:r w:rsidR="00CA132F" w:rsidRPr="00863B48">
        <w:rPr>
          <w:rFonts w:ascii="Calibri" w:hAnsi="Calibri"/>
        </w:rPr>
        <w:t xml:space="preserve"> </w:t>
      </w:r>
      <w:r w:rsidRPr="00863B48">
        <w:rPr>
          <w:rFonts w:ascii="Calibri" w:hAnsi="Calibri"/>
        </w:rPr>
        <w:t>budú obsahovať aj hodnotenie dosiahnutia čiastkových hodnôt ukazovateľov a</w:t>
      </w:r>
      <w:r w:rsidR="00FC64BC">
        <w:rPr>
          <w:rFonts w:ascii="Calibri" w:hAnsi="Calibri"/>
        </w:rPr>
        <w:t> čiastkových cieľov</w:t>
      </w:r>
      <w:r w:rsidRPr="00863B48">
        <w:rPr>
          <w:rFonts w:ascii="Calibri" w:hAnsi="Calibri"/>
        </w:rPr>
        <w:t xml:space="preserve">. V prípade identifikácie neplnenia výkonnostného rámca </w:t>
      </w:r>
      <w:r w:rsidR="006D6733">
        <w:rPr>
          <w:rFonts w:ascii="Calibri" w:hAnsi="Calibri"/>
        </w:rPr>
        <w:t xml:space="preserve">na úrovni </w:t>
      </w:r>
      <w:r w:rsidRPr="00863B48">
        <w:rPr>
          <w:rFonts w:ascii="Calibri" w:hAnsi="Calibri"/>
        </w:rPr>
        <w:t>prioritn</w:t>
      </w:r>
      <w:r w:rsidR="006D6733">
        <w:rPr>
          <w:rFonts w:ascii="Calibri" w:hAnsi="Calibri"/>
        </w:rPr>
        <w:t>ej</w:t>
      </w:r>
      <w:r w:rsidRPr="00863B48">
        <w:rPr>
          <w:rFonts w:ascii="Calibri" w:hAnsi="Calibri"/>
        </w:rPr>
        <w:t xml:space="preserve"> os</w:t>
      </w:r>
      <w:r w:rsidR="006D6733">
        <w:rPr>
          <w:rFonts w:ascii="Calibri" w:hAnsi="Calibri"/>
        </w:rPr>
        <w:t>i</w:t>
      </w:r>
      <w:r w:rsidRPr="00863B48">
        <w:rPr>
          <w:rFonts w:ascii="Calibri" w:hAnsi="Calibri"/>
        </w:rPr>
        <w:t xml:space="preserve">, príslušný </w:t>
      </w:r>
      <w:r w:rsidR="006D6733">
        <w:rPr>
          <w:rFonts w:ascii="Calibri" w:hAnsi="Calibri"/>
        </w:rPr>
        <w:t>RO vypracuje</w:t>
      </w:r>
      <w:r w:rsidRPr="00863B48">
        <w:rPr>
          <w:rFonts w:ascii="Calibri" w:hAnsi="Calibri"/>
        </w:rPr>
        <w:t xml:space="preserve"> v spolupráci s </w:t>
      </w:r>
      <w:r w:rsidR="005912F7">
        <w:rPr>
          <w:rFonts w:ascii="Calibri" w:hAnsi="Calibri"/>
        </w:rPr>
        <w:t>CKO</w:t>
      </w:r>
      <w:r w:rsidRPr="00863B48">
        <w:rPr>
          <w:rFonts w:ascii="Calibri" w:hAnsi="Calibri"/>
        </w:rPr>
        <w:t xml:space="preserve"> </w:t>
      </w:r>
      <w:r w:rsidR="006D6733">
        <w:rPr>
          <w:rFonts w:ascii="Calibri" w:hAnsi="Calibri"/>
        </w:rPr>
        <w:t>a</w:t>
      </w:r>
      <w:r w:rsidRPr="00863B48">
        <w:rPr>
          <w:rFonts w:ascii="Calibri" w:hAnsi="Calibri"/>
        </w:rPr>
        <w:t>kčný plán pre včasnú nápravu, ktorý schváli vláda SR s</w:t>
      </w:r>
      <w:r w:rsidR="00CA132F">
        <w:rPr>
          <w:rFonts w:ascii="Calibri" w:hAnsi="Calibri"/>
        </w:rPr>
        <w:t> </w:t>
      </w:r>
      <w:r w:rsidRPr="00863B48">
        <w:rPr>
          <w:rFonts w:ascii="Calibri" w:hAnsi="Calibri"/>
        </w:rPr>
        <w:t>cieľom</w:t>
      </w:r>
      <w:r w:rsidR="00CA132F">
        <w:rPr>
          <w:rFonts w:ascii="Calibri" w:hAnsi="Calibri"/>
        </w:rPr>
        <w:t xml:space="preserve"> </w:t>
      </w:r>
      <w:r w:rsidRPr="00863B48">
        <w:rPr>
          <w:rFonts w:ascii="Calibri" w:hAnsi="Calibri"/>
        </w:rPr>
        <w:t>zvýšiť politickú legitimitu</w:t>
      </w:r>
      <w:r w:rsidR="00147D76">
        <w:rPr>
          <w:rFonts w:ascii="Calibri" w:hAnsi="Calibri"/>
        </w:rPr>
        <w:t xml:space="preserve"> Akčného</w:t>
      </w:r>
      <w:r w:rsidRPr="00863B48">
        <w:rPr>
          <w:rFonts w:ascii="Calibri" w:hAnsi="Calibri"/>
        </w:rPr>
        <w:t xml:space="preserve"> plánu. Na druhej strane, nepridelenie výkonnostnej rezervy v dôsledku neplnenia výkonnostného rámca by nemalo byť prekážkou pre splnenie kritérií tematickej koncentrácie, obzvlášť tzv. „earmarking“. Účelom hodnotenia v rámci druhej fázy od roku 2019 bude vytvoriť podmienky pre naplnenie </w:t>
      </w:r>
      <w:r w:rsidR="00FC64BC">
        <w:rPr>
          <w:rFonts w:ascii="Calibri" w:hAnsi="Calibri"/>
        </w:rPr>
        <w:t>zámerov</w:t>
      </w:r>
      <w:r w:rsidR="00FC64BC" w:rsidRPr="00863B48">
        <w:rPr>
          <w:rFonts w:ascii="Calibri" w:hAnsi="Calibri"/>
        </w:rPr>
        <w:t xml:space="preserve"> </w:t>
      </w:r>
      <w:r w:rsidRPr="00863B48">
        <w:rPr>
          <w:rFonts w:ascii="Calibri" w:hAnsi="Calibri"/>
        </w:rPr>
        <w:t>a minimalizovať riziko finančných opráv. Na tento účel bude použitý, rovnako ako v prvej fáze, mechanizmus včasnej detekcie pre neplnenie výkonnostného rámca založený na nápravných opatreniach.</w:t>
      </w:r>
    </w:p>
    <w:p w:rsidR="00863B48" w:rsidRPr="00863B48" w:rsidRDefault="00863B48" w:rsidP="00863B48">
      <w:pPr>
        <w:tabs>
          <w:tab w:val="left" w:pos="709"/>
          <w:tab w:val="left" w:pos="9072"/>
        </w:tabs>
        <w:rPr>
          <w:rFonts w:ascii="Calibri" w:hAnsi="Calibri"/>
        </w:rPr>
      </w:pPr>
      <w:r w:rsidRPr="00863B48">
        <w:rPr>
          <w:rFonts w:ascii="Calibri" w:hAnsi="Calibri"/>
        </w:rPr>
        <w:lastRenderedPageBreak/>
        <w:t xml:space="preserve">Podrobnosti týkajúce sa mechanizmu implementácie výkonnostného rámca budú uvedené v metodickom pokyne k výkonnostnej rezerve a výkonnostnému rámcu, ktorý vypracuje </w:t>
      </w:r>
      <w:r w:rsidR="005912F7">
        <w:rPr>
          <w:rFonts w:ascii="Calibri" w:hAnsi="Calibri"/>
        </w:rPr>
        <w:t>CKO</w:t>
      </w:r>
      <w:r w:rsidRPr="00863B48">
        <w:rPr>
          <w:rFonts w:ascii="Calibri" w:hAnsi="Calibri"/>
        </w:rPr>
        <w:t>.</w:t>
      </w:r>
    </w:p>
    <w:p w:rsidR="002855C4" w:rsidRPr="00A11FE0" w:rsidRDefault="007F528A" w:rsidP="007F0E6D">
      <w:pPr>
        <w:pStyle w:val="Nadpis2"/>
        <w:numPr>
          <w:ilvl w:val="1"/>
          <w:numId w:val="2"/>
        </w:numPr>
      </w:pPr>
      <w:bookmarkStart w:id="652" w:name="_Toc377406506"/>
      <w:bookmarkStart w:id="653" w:name="_Toc377406507"/>
      <w:bookmarkStart w:id="654" w:name="_Toc377406508"/>
      <w:bookmarkStart w:id="655" w:name="_Toc358142856"/>
      <w:bookmarkStart w:id="656" w:name="_Toc378168740"/>
      <w:bookmarkStart w:id="657" w:name="_Toc490655233"/>
      <w:bookmarkEnd w:id="652"/>
      <w:bookmarkEnd w:id="653"/>
      <w:bookmarkEnd w:id="654"/>
      <w:r>
        <w:t>Posúdenie</w:t>
      </w:r>
      <w:r w:rsidRPr="00A11FE0">
        <w:t xml:space="preserve"> </w:t>
      </w:r>
      <w:r>
        <w:t>potreby</w:t>
      </w:r>
      <w:r w:rsidRPr="00A11FE0">
        <w:t xml:space="preserve"> </w:t>
      </w:r>
      <w:r w:rsidR="002855C4" w:rsidRPr="00A11FE0">
        <w:t xml:space="preserve">posilnenia </w:t>
      </w:r>
      <w:r w:rsidR="00BD5FD5">
        <w:t>a</w:t>
      </w:r>
      <w:r w:rsidR="002855C4" w:rsidRPr="00A11FE0">
        <w:t xml:space="preserve">dministratívnych </w:t>
      </w:r>
      <w:r w:rsidR="00BD5FD5">
        <w:t>k</w:t>
      </w:r>
      <w:r w:rsidR="002855C4" w:rsidRPr="00A11FE0">
        <w:t xml:space="preserve">apacít orgánov zapojených do riadenia </w:t>
      </w:r>
      <w:r w:rsidR="00BD5FD5">
        <w:t>a</w:t>
      </w:r>
      <w:r w:rsidR="00186FB3">
        <w:t> </w:t>
      </w:r>
      <w:r w:rsidR="00BD5FD5">
        <w:t>k</w:t>
      </w:r>
      <w:r w:rsidR="002855C4" w:rsidRPr="00A11FE0">
        <w:t>ontroly</w:t>
      </w:r>
      <w:r w:rsidR="00186FB3">
        <w:t xml:space="preserve"> </w:t>
      </w:r>
      <w:r w:rsidR="002855C4" w:rsidRPr="00A11FE0">
        <w:t>programov</w:t>
      </w:r>
      <w:r>
        <w:t xml:space="preserve"> a </w:t>
      </w:r>
      <w:r w:rsidR="00186FB3">
        <w:t> </w:t>
      </w:r>
      <w:r w:rsidR="002855C4" w:rsidRPr="00A11FE0">
        <w:t>prípad</w:t>
      </w:r>
      <w:r>
        <w:t>n</w:t>
      </w:r>
      <w:r w:rsidR="002855C4" w:rsidRPr="00A11FE0">
        <w:t>e</w:t>
      </w:r>
      <w:r w:rsidR="00186FB3">
        <w:t xml:space="preserve"> </w:t>
      </w:r>
      <w:r w:rsidR="002855C4" w:rsidRPr="00A11FE0">
        <w:t>prijímateľov</w:t>
      </w:r>
      <w:r>
        <w:t>, ako aj</w:t>
      </w:r>
      <w:r w:rsidR="00186FB3">
        <w:t> </w:t>
      </w:r>
      <w:r w:rsidR="002855C4" w:rsidRPr="00A11FE0">
        <w:t>prípadné</w:t>
      </w:r>
      <w:r w:rsidR="00186FB3">
        <w:t xml:space="preserve"> </w:t>
      </w:r>
      <w:r w:rsidR="002855C4" w:rsidRPr="00A11FE0">
        <w:t xml:space="preserve">zhrnutie </w:t>
      </w:r>
      <w:r w:rsidR="00BD5FD5">
        <w:t>ak</w:t>
      </w:r>
      <w:r w:rsidR="002855C4" w:rsidRPr="00A11FE0">
        <w:t>tivít potrebných na tento účel</w:t>
      </w:r>
      <w:bookmarkEnd w:id="655"/>
      <w:bookmarkEnd w:id="656"/>
      <w:bookmarkEnd w:id="657"/>
    </w:p>
    <w:p w:rsidR="002855C4" w:rsidRPr="00A11FE0" w:rsidRDefault="002855C4" w:rsidP="00174E83">
      <w:pPr>
        <w:pStyle w:val="Zkladntext"/>
        <w:spacing w:before="120" w:after="120"/>
        <w:rPr>
          <w:rFonts w:asciiTheme="majorHAnsi" w:hAnsiTheme="majorHAnsi" w:cs="Calibri"/>
          <w:szCs w:val="22"/>
          <w:lang w:val="sk-SK"/>
        </w:rPr>
      </w:pPr>
      <w:r w:rsidRPr="00A11FE0">
        <w:rPr>
          <w:rFonts w:asciiTheme="majorHAnsi" w:hAnsiTheme="majorHAnsi"/>
          <w:szCs w:val="22"/>
          <w:lang w:val="sk-SK"/>
        </w:rPr>
        <w:t xml:space="preserve">Doterajšia implementácia politiky </w:t>
      </w:r>
      <w:r w:rsidR="00BD5FD5">
        <w:rPr>
          <w:rFonts w:asciiTheme="majorHAnsi" w:hAnsiTheme="majorHAnsi"/>
          <w:szCs w:val="22"/>
          <w:lang w:val="sk-SK"/>
        </w:rPr>
        <w:t>s</w:t>
      </w:r>
      <w:r w:rsidRPr="00A11FE0">
        <w:rPr>
          <w:rFonts w:asciiTheme="majorHAnsi" w:hAnsiTheme="majorHAnsi"/>
          <w:szCs w:val="22"/>
          <w:lang w:val="sk-SK"/>
        </w:rPr>
        <w:t>údržnosti EÚ v</w:t>
      </w:r>
      <w:r w:rsidR="006D6733">
        <w:rPr>
          <w:rFonts w:asciiTheme="majorHAnsi" w:hAnsiTheme="majorHAnsi"/>
          <w:szCs w:val="22"/>
          <w:lang w:val="sk-SK"/>
        </w:rPr>
        <w:t xml:space="preserve"> podmienkach </w:t>
      </w:r>
      <w:r w:rsidR="00BD5FD5">
        <w:rPr>
          <w:rFonts w:asciiTheme="majorHAnsi" w:hAnsiTheme="majorHAnsi"/>
          <w:szCs w:val="22"/>
          <w:lang w:val="sk-SK"/>
        </w:rPr>
        <w:t>S</w:t>
      </w:r>
      <w:r w:rsidRPr="00A11FE0">
        <w:rPr>
          <w:rFonts w:asciiTheme="majorHAnsi" w:hAnsiTheme="majorHAnsi"/>
          <w:szCs w:val="22"/>
          <w:lang w:val="sk-SK"/>
        </w:rPr>
        <w:t xml:space="preserve">R bola významným </w:t>
      </w:r>
      <w:r w:rsidR="00BD5FD5">
        <w:rPr>
          <w:rFonts w:asciiTheme="majorHAnsi" w:hAnsiTheme="majorHAnsi"/>
          <w:szCs w:val="22"/>
          <w:lang w:val="sk-SK"/>
        </w:rPr>
        <w:t>s</w:t>
      </w:r>
      <w:r w:rsidRPr="00A11FE0">
        <w:rPr>
          <w:rFonts w:asciiTheme="majorHAnsi" w:hAnsiTheme="majorHAnsi"/>
          <w:szCs w:val="22"/>
          <w:lang w:val="sk-SK"/>
        </w:rPr>
        <w:t xml:space="preserve">pôsobom ovplyvnená nedostatkami v oblasti </w:t>
      </w:r>
      <w:r w:rsidR="00BD5FD5">
        <w:rPr>
          <w:rFonts w:asciiTheme="majorHAnsi" w:hAnsiTheme="majorHAnsi"/>
          <w:szCs w:val="22"/>
          <w:lang w:val="sk-SK"/>
        </w:rPr>
        <w:t>a</w:t>
      </w:r>
      <w:r w:rsidRPr="00A11FE0">
        <w:rPr>
          <w:rFonts w:asciiTheme="majorHAnsi" w:hAnsiTheme="majorHAnsi"/>
          <w:szCs w:val="22"/>
          <w:lang w:val="sk-SK"/>
        </w:rPr>
        <w:t xml:space="preserve">dministratívnych </w:t>
      </w:r>
      <w:r w:rsidR="00BD5FD5">
        <w:rPr>
          <w:rFonts w:asciiTheme="majorHAnsi" w:hAnsiTheme="majorHAnsi"/>
          <w:szCs w:val="22"/>
          <w:lang w:val="sk-SK"/>
        </w:rPr>
        <w:t>k</w:t>
      </w:r>
      <w:r w:rsidRPr="00A11FE0">
        <w:rPr>
          <w:rFonts w:asciiTheme="majorHAnsi" w:hAnsiTheme="majorHAnsi"/>
          <w:szCs w:val="22"/>
          <w:lang w:val="sk-SK"/>
        </w:rPr>
        <w:t>apacít</w:t>
      </w:r>
      <w:r w:rsidR="008935E8">
        <w:rPr>
          <w:rFonts w:asciiTheme="majorHAnsi" w:hAnsiTheme="majorHAnsi"/>
          <w:szCs w:val="22"/>
          <w:lang w:val="sk-SK"/>
        </w:rPr>
        <w:t xml:space="preserve"> (ďalej len „AK“)</w:t>
      </w:r>
      <w:r w:rsidRPr="00A11FE0">
        <w:rPr>
          <w:rFonts w:asciiTheme="majorHAnsi" w:hAnsiTheme="majorHAnsi"/>
          <w:szCs w:val="22"/>
          <w:lang w:val="sk-SK"/>
        </w:rPr>
        <w:t xml:space="preserve">. </w:t>
      </w:r>
      <w:r w:rsidR="008935E8">
        <w:rPr>
          <w:rFonts w:asciiTheme="majorHAnsi" w:hAnsiTheme="majorHAnsi" w:cs="Calibri"/>
          <w:szCs w:val="22"/>
          <w:lang w:val="sk-SK"/>
        </w:rPr>
        <w:t>AK</w:t>
      </w:r>
      <w:r w:rsidRPr="00A11FE0">
        <w:rPr>
          <w:rFonts w:asciiTheme="majorHAnsi" w:hAnsiTheme="majorHAnsi" w:cs="Calibri"/>
          <w:szCs w:val="22"/>
          <w:lang w:val="sk-SK"/>
        </w:rPr>
        <w:t xml:space="preserve">, ich </w:t>
      </w:r>
      <w:r w:rsidR="00BD5FD5">
        <w:rPr>
          <w:rFonts w:asciiTheme="majorHAnsi" w:hAnsiTheme="majorHAnsi" w:cs="Calibri"/>
          <w:szCs w:val="22"/>
          <w:lang w:val="sk-SK"/>
        </w:rPr>
        <w:t>k</w:t>
      </w:r>
      <w:r w:rsidRPr="00A11FE0">
        <w:rPr>
          <w:rFonts w:asciiTheme="majorHAnsi" w:hAnsiTheme="majorHAnsi" w:cs="Calibri"/>
          <w:szCs w:val="22"/>
          <w:lang w:val="sk-SK"/>
        </w:rPr>
        <w:t>valita, štruktúra, pôsobnosť i</w:t>
      </w:r>
      <w:r w:rsidR="00186FB3">
        <w:rPr>
          <w:rFonts w:asciiTheme="majorHAnsi" w:hAnsiTheme="majorHAnsi" w:cs="Calibri"/>
          <w:szCs w:val="22"/>
          <w:lang w:val="sk-SK"/>
        </w:rPr>
        <w:t> </w:t>
      </w:r>
      <w:r w:rsidRPr="00A11FE0">
        <w:rPr>
          <w:rFonts w:asciiTheme="majorHAnsi" w:hAnsiTheme="majorHAnsi" w:cs="Calibri"/>
          <w:szCs w:val="22"/>
          <w:lang w:val="sk-SK"/>
        </w:rPr>
        <w:t xml:space="preserve">flexibilita, </w:t>
      </w:r>
      <w:r w:rsidR="00BD5FD5">
        <w:rPr>
          <w:rFonts w:asciiTheme="majorHAnsi" w:hAnsiTheme="majorHAnsi" w:cs="Calibri"/>
          <w:szCs w:val="22"/>
          <w:lang w:val="sk-SK"/>
        </w:rPr>
        <w:t>s</w:t>
      </w:r>
      <w:r w:rsidRPr="00A11FE0">
        <w:rPr>
          <w:rFonts w:asciiTheme="majorHAnsi" w:hAnsiTheme="majorHAnsi" w:cs="Calibri"/>
          <w:szCs w:val="22"/>
          <w:lang w:val="sk-SK"/>
        </w:rPr>
        <w:t>ú jedným z</w:t>
      </w:r>
      <w:r w:rsidR="00186FB3">
        <w:rPr>
          <w:rFonts w:asciiTheme="majorHAnsi" w:hAnsiTheme="majorHAnsi" w:cs="Calibri"/>
          <w:szCs w:val="22"/>
          <w:lang w:val="sk-SK"/>
        </w:rPr>
        <w:t> </w:t>
      </w:r>
      <w:r w:rsidRPr="00A11FE0">
        <w:rPr>
          <w:rFonts w:asciiTheme="majorHAnsi" w:hAnsiTheme="majorHAnsi" w:cs="Calibri"/>
          <w:szCs w:val="22"/>
          <w:lang w:val="sk-SK"/>
        </w:rPr>
        <w:t>rozhodujúcich</w:t>
      </w:r>
      <w:r w:rsidR="00186FB3">
        <w:rPr>
          <w:rFonts w:asciiTheme="majorHAnsi" w:hAnsiTheme="majorHAnsi" w:cs="Calibri"/>
          <w:szCs w:val="22"/>
          <w:lang w:val="sk-SK"/>
        </w:rPr>
        <w:t xml:space="preserve"> </w:t>
      </w:r>
      <w:r w:rsidRPr="00A11FE0">
        <w:rPr>
          <w:rFonts w:asciiTheme="majorHAnsi" w:hAnsiTheme="majorHAnsi" w:cs="Calibri"/>
          <w:szCs w:val="22"/>
          <w:lang w:val="sk-SK"/>
        </w:rPr>
        <w:t>faktorov pre úspešné využívanie EŠIF,</w:t>
      </w:r>
      <w:r w:rsidRPr="00A11FE0">
        <w:rPr>
          <w:rFonts w:asciiTheme="majorHAnsi" w:hAnsiTheme="majorHAnsi"/>
          <w:szCs w:val="22"/>
          <w:lang w:val="sk-SK"/>
        </w:rPr>
        <w:t xml:space="preserve"> pri zohľadnení špecifík EPFRV </w:t>
      </w:r>
      <w:r w:rsidR="00BD5FD5">
        <w:rPr>
          <w:rFonts w:asciiTheme="majorHAnsi" w:hAnsiTheme="majorHAnsi"/>
          <w:szCs w:val="22"/>
          <w:lang w:val="sk-SK"/>
        </w:rPr>
        <w:t>a</w:t>
      </w:r>
      <w:r w:rsidR="00186FB3">
        <w:rPr>
          <w:rFonts w:asciiTheme="majorHAnsi" w:hAnsiTheme="majorHAnsi"/>
          <w:szCs w:val="22"/>
          <w:lang w:val="sk-SK"/>
        </w:rPr>
        <w:t> </w:t>
      </w:r>
      <w:r w:rsidRPr="00A11FE0">
        <w:rPr>
          <w:rFonts w:asciiTheme="majorHAnsi" w:hAnsiTheme="majorHAnsi"/>
          <w:szCs w:val="22"/>
          <w:lang w:val="sk-SK"/>
        </w:rPr>
        <w:t>ENRF.</w:t>
      </w:r>
      <w:r w:rsidRPr="00A11FE0">
        <w:rPr>
          <w:rFonts w:asciiTheme="majorHAnsi" w:hAnsiTheme="majorHAnsi" w:cs="Calibri"/>
          <w:szCs w:val="22"/>
          <w:lang w:val="sk-SK"/>
        </w:rPr>
        <w:t xml:space="preserve"> </w:t>
      </w:r>
      <w:r w:rsidR="00BD5FD5">
        <w:rPr>
          <w:rFonts w:asciiTheme="majorHAnsi" w:hAnsiTheme="majorHAnsi" w:cs="Calibri"/>
          <w:szCs w:val="22"/>
          <w:lang w:val="sk-SK"/>
        </w:rPr>
        <w:t>S</w:t>
      </w:r>
      <w:r w:rsidRPr="00A11FE0">
        <w:rPr>
          <w:rFonts w:asciiTheme="majorHAnsi" w:hAnsiTheme="majorHAnsi" w:cs="Calibri"/>
          <w:szCs w:val="22"/>
          <w:lang w:val="sk-SK"/>
        </w:rPr>
        <w:t>kúsenosti z</w:t>
      </w:r>
      <w:r w:rsidR="00186FB3">
        <w:rPr>
          <w:rFonts w:asciiTheme="majorHAnsi" w:hAnsiTheme="majorHAnsi" w:cs="Calibri"/>
          <w:szCs w:val="22"/>
          <w:lang w:val="sk-SK"/>
        </w:rPr>
        <w:t> </w:t>
      </w:r>
      <w:r w:rsidRPr="00A11FE0">
        <w:rPr>
          <w:rFonts w:asciiTheme="majorHAnsi" w:hAnsiTheme="majorHAnsi" w:cs="Calibri"/>
          <w:szCs w:val="22"/>
          <w:lang w:val="sk-SK"/>
        </w:rPr>
        <w:t>predchádzajúcich</w:t>
      </w:r>
      <w:r w:rsidR="00186FB3">
        <w:rPr>
          <w:rFonts w:asciiTheme="majorHAnsi" w:hAnsiTheme="majorHAnsi" w:cs="Calibri"/>
          <w:szCs w:val="22"/>
          <w:lang w:val="sk-SK"/>
        </w:rPr>
        <w:t xml:space="preserve"> </w:t>
      </w:r>
      <w:r w:rsidRPr="00A11FE0">
        <w:rPr>
          <w:rFonts w:asciiTheme="majorHAnsi" w:hAnsiTheme="majorHAnsi" w:cs="Calibri"/>
          <w:szCs w:val="22"/>
          <w:lang w:val="sk-SK"/>
        </w:rPr>
        <w:t xml:space="preserve">programových období poukazujú na potrebu efektívnejšieho nastavenia vzájomných väzieb </w:t>
      </w:r>
      <w:r w:rsidR="00BD5FD5">
        <w:rPr>
          <w:rFonts w:asciiTheme="majorHAnsi" w:hAnsiTheme="majorHAnsi" w:cs="Calibri"/>
          <w:szCs w:val="22"/>
          <w:lang w:val="sk-SK"/>
        </w:rPr>
        <w:t>a</w:t>
      </w:r>
      <w:r w:rsidR="00186FB3">
        <w:rPr>
          <w:rFonts w:asciiTheme="majorHAnsi" w:hAnsiTheme="majorHAnsi" w:cs="Calibri"/>
          <w:szCs w:val="22"/>
          <w:lang w:val="sk-SK"/>
        </w:rPr>
        <w:t> </w:t>
      </w:r>
      <w:r w:rsidR="00BD5FD5">
        <w:rPr>
          <w:rFonts w:asciiTheme="majorHAnsi" w:hAnsiTheme="majorHAnsi" w:cs="Calibri"/>
          <w:szCs w:val="22"/>
          <w:lang w:val="sk-SK"/>
        </w:rPr>
        <w:t>k</w:t>
      </w:r>
      <w:r w:rsidRPr="00A11FE0">
        <w:rPr>
          <w:rFonts w:asciiTheme="majorHAnsi" w:hAnsiTheme="majorHAnsi" w:cs="Calibri"/>
          <w:szCs w:val="22"/>
          <w:lang w:val="sk-SK"/>
        </w:rPr>
        <w:t>oordinácie</w:t>
      </w:r>
      <w:r w:rsidR="00186FB3">
        <w:rPr>
          <w:rFonts w:asciiTheme="majorHAnsi" w:hAnsiTheme="majorHAnsi" w:cs="Calibri"/>
          <w:szCs w:val="22"/>
          <w:lang w:val="sk-SK"/>
        </w:rPr>
        <w:t xml:space="preserve"> </w:t>
      </w:r>
      <w:r w:rsidRPr="00A11FE0">
        <w:rPr>
          <w:rFonts w:asciiTheme="majorHAnsi" w:hAnsiTheme="majorHAnsi" w:cs="Calibri"/>
          <w:szCs w:val="22"/>
          <w:lang w:val="sk-SK"/>
        </w:rPr>
        <w:t xml:space="preserve">činností medzi </w:t>
      </w:r>
      <w:r w:rsidR="00BD5FD5">
        <w:rPr>
          <w:rFonts w:asciiTheme="majorHAnsi" w:hAnsiTheme="majorHAnsi" w:cs="Calibri"/>
          <w:szCs w:val="22"/>
          <w:lang w:val="sk-SK"/>
        </w:rPr>
        <w:t>s</w:t>
      </w:r>
      <w:r w:rsidRPr="00A11FE0">
        <w:rPr>
          <w:rFonts w:asciiTheme="majorHAnsi" w:hAnsiTheme="majorHAnsi" w:cs="Calibri"/>
          <w:szCs w:val="22"/>
          <w:lang w:val="sk-SK"/>
        </w:rPr>
        <w:t xml:space="preserve">ubjektmi </w:t>
      </w:r>
      <w:r w:rsidR="00BD5FD5">
        <w:rPr>
          <w:rFonts w:asciiTheme="majorHAnsi" w:hAnsiTheme="majorHAnsi" w:cs="Calibri"/>
          <w:szCs w:val="22"/>
          <w:lang w:val="sk-SK"/>
        </w:rPr>
        <w:t>a</w:t>
      </w:r>
      <w:r w:rsidRPr="00A11FE0">
        <w:rPr>
          <w:rFonts w:asciiTheme="majorHAnsi" w:hAnsiTheme="majorHAnsi" w:cs="Calibri"/>
          <w:szCs w:val="22"/>
          <w:lang w:val="sk-SK"/>
        </w:rPr>
        <w:t xml:space="preserve">dministratívneho </w:t>
      </w:r>
      <w:r w:rsidR="00BD5FD5">
        <w:rPr>
          <w:rFonts w:asciiTheme="majorHAnsi" w:hAnsiTheme="majorHAnsi" w:cs="Calibri"/>
          <w:szCs w:val="22"/>
          <w:lang w:val="sk-SK"/>
        </w:rPr>
        <w:t>a</w:t>
      </w:r>
      <w:r w:rsidR="00186FB3">
        <w:rPr>
          <w:rFonts w:asciiTheme="majorHAnsi" w:hAnsiTheme="majorHAnsi" w:cs="Calibri"/>
          <w:szCs w:val="22"/>
          <w:lang w:val="sk-SK"/>
        </w:rPr>
        <w:t> </w:t>
      </w:r>
      <w:r w:rsidRPr="00A11FE0">
        <w:rPr>
          <w:rFonts w:asciiTheme="majorHAnsi" w:hAnsiTheme="majorHAnsi" w:cs="Calibri"/>
          <w:szCs w:val="22"/>
          <w:lang w:val="sk-SK"/>
        </w:rPr>
        <w:t>finančného</w:t>
      </w:r>
      <w:r w:rsidR="00186FB3">
        <w:rPr>
          <w:rFonts w:asciiTheme="majorHAnsi" w:hAnsiTheme="majorHAnsi" w:cs="Calibri"/>
          <w:szCs w:val="22"/>
          <w:lang w:val="sk-SK"/>
        </w:rPr>
        <w:t xml:space="preserve"> </w:t>
      </w:r>
      <w:r w:rsidRPr="00A11FE0">
        <w:rPr>
          <w:rFonts w:asciiTheme="majorHAnsi" w:hAnsiTheme="majorHAnsi" w:cs="Calibri"/>
          <w:szCs w:val="22"/>
          <w:lang w:val="sk-SK"/>
        </w:rPr>
        <w:t xml:space="preserve">riadenia EŠIF, potrebu opatrení pre </w:t>
      </w:r>
      <w:r w:rsidR="00BD5FD5">
        <w:rPr>
          <w:rFonts w:asciiTheme="majorHAnsi" w:hAnsiTheme="majorHAnsi" w:cs="Calibri"/>
          <w:szCs w:val="22"/>
          <w:lang w:val="sk-SK"/>
        </w:rPr>
        <w:t>s</w:t>
      </w:r>
      <w:r w:rsidRPr="00A11FE0">
        <w:rPr>
          <w:rFonts w:asciiTheme="majorHAnsi" w:hAnsiTheme="majorHAnsi" w:cs="Calibri"/>
          <w:szCs w:val="22"/>
          <w:lang w:val="sk-SK"/>
        </w:rPr>
        <w:t xml:space="preserve">tabilizáciu </w:t>
      </w:r>
      <w:r w:rsidR="00BD5FD5">
        <w:rPr>
          <w:rFonts w:asciiTheme="majorHAnsi" w:hAnsiTheme="majorHAnsi" w:cs="Calibri"/>
          <w:szCs w:val="22"/>
          <w:lang w:val="sk-SK"/>
        </w:rPr>
        <w:t>a</w:t>
      </w:r>
      <w:r w:rsidR="00186FB3">
        <w:rPr>
          <w:rFonts w:asciiTheme="majorHAnsi" w:hAnsiTheme="majorHAnsi" w:cs="Calibri"/>
          <w:szCs w:val="22"/>
          <w:lang w:val="sk-SK"/>
        </w:rPr>
        <w:t> </w:t>
      </w:r>
      <w:r w:rsidRPr="00A11FE0">
        <w:rPr>
          <w:rFonts w:asciiTheme="majorHAnsi" w:hAnsiTheme="majorHAnsi" w:cs="Calibri"/>
          <w:szCs w:val="22"/>
          <w:lang w:val="sk-SK"/>
        </w:rPr>
        <w:t>podporu</w:t>
      </w:r>
      <w:r w:rsidR="00186FB3">
        <w:rPr>
          <w:rFonts w:asciiTheme="majorHAnsi" w:hAnsiTheme="majorHAnsi" w:cs="Calibri"/>
          <w:szCs w:val="22"/>
          <w:lang w:val="sk-SK"/>
        </w:rPr>
        <w:t xml:space="preserve"> </w:t>
      </w:r>
      <w:r w:rsidR="008935E8">
        <w:rPr>
          <w:rFonts w:asciiTheme="majorHAnsi" w:hAnsiTheme="majorHAnsi" w:cs="Calibri"/>
          <w:szCs w:val="22"/>
          <w:lang w:val="sk-SK"/>
        </w:rPr>
        <w:t>AK</w:t>
      </w:r>
      <w:r w:rsidRPr="00A11FE0">
        <w:rPr>
          <w:rFonts w:asciiTheme="majorHAnsi" w:hAnsiTheme="majorHAnsi" w:cs="Calibri"/>
          <w:szCs w:val="22"/>
          <w:lang w:val="sk-SK"/>
        </w:rPr>
        <w:t xml:space="preserve">, </w:t>
      </w:r>
      <w:r w:rsidR="006D6733">
        <w:rPr>
          <w:rFonts w:asciiTheme="majorHAnsi" w:hAnsiTheme="majorHAnsi" w:cs="Calibri"/>
          <w:szCs w:val="22"/>
          <w:lang w:val="sk-SK"/>
        </w:rPr>
        <w:t>ako aj</w:t>
      </w:r>
      <w:r w:rsidR="00186FB3">
        <w:rPr>
          <w:rFonts w:asciiTheme="majorHAnsi" w:hAnsiTheme="majorHAnsi" w:cs="Calibri"/>
          <w:szCs w:val="22"/>
          <w:lang w:val="sk-SK"/>
        </w:rPr>
        <w:t> </w:t>
      </w:r>
      <w:r w:rsidRPr="00A11FE0">
        <w:rPr>
          <w:rFonts w:asciiTheme="majorHAnsi" w:hAnsiTheme="majorHAnsi" w:cs="Calibri"/>
          <w:szCs w:val="22"/>
          <w:lang w:val="sk-SK"/>
        </w:rPr>
        <w:t>potrebu</w:t>
      </w:r>
      <w:r w:rsidR="00186FB3">
        <w:rPr>
          <w:rFonts w:asciiTheme="majorHAnsi" w:hAnsiTheme="majorHAnsi" w:cs="Calibri"/>
          <w:szCs w:val="22"/>
          <w:lang w:val="sk-SK"/>
        </w:rPr>
        <w:t xml:space="preserve"> </w:t>
      </w:r>
      <w:r w:rsidR="00BD5FD5">
        <w:rPr>
          <w:rFonts w:asciiTheme="majorHAnsi" w:hAnsiTheme="majorHAnsi" w:cs="Calibri"/>
          <w:szCs w:val="22"/>
          <w:lang w:val="sk-SK"/>
        </w:rPr>
        <w:t>a</w:t>
      </w:r>
      <w:r w:rsidRPr="00A11FE0">
        <w:rPr>
          <w:rFonts w:asciiTheme="majorHAnsi" w:hAnsiTheme="majorHAnsi" w:cs="Calibri"/>
          <w:szCs w:val="22"/>
          <w:lang w:val="sk-SK"/>
        </w:rPr>
        <w:t xml:space="preserve">dekvátneho zamerania </w:t>
      </w:r>
      <w:r w:rsidR="00BD5FD5">
        <w:rPr>
          <w:rFonts w:asciiTheme="majorHAnsi" w:hAnsiTheme="majorHAnsi" w:cs="Calibri"/>
          <w:szCs w:val="22"/>
          <w:lang w:val="sk-SK"/>
        </w:rPr>
        <w:t>a</w:t>
      </w:r>
      <w:r w:rsidR="00323F70">
        <w:rPr>
          <w:rFonts w:asciiTheme="majorHAnsi" w:hAnsiTheme="majorHAnsi" w:cs="Calibri"/>
          <w:szCs w:val="22"/>
          <w:lang w:val="sk-SK"/>
        </w:rPr>
        <w:t> </w:t>
      </w:r>
      <w:r w:rsidRPr="00A11FE0">
        <w:rPr>
          <w:rFonts w:asciiTheme="majorHAnsi" w:hAnsiTheme="majorHAnsi" w:cs="Calibri"/>
          <w:szCs w:val="22"/>
          <w:lang w:val="sk-SK"/>
        </w:rPr>
        <w:t>využitia</w:t>
      </w:r>
      <w:r w:rsidR="00323F70">
        <w:rPr>
          <w:rFonts w:asciiTheme="majorHAnsi" w:hAnsiTheme="majorHAnsi" w:cs="Calibri"/>
          <w:szCs w:val="22"/>
          <w:lang w:val="sk-SK"/>
        </w:rPr>
        <w:t xml:space="preserve"> </w:t>
      </w:r>
      <w:r w:rsidRPr="00A11FE0">
        <w:rPr>
          <w:rFonts w:asciiTheme="majorHAnsi" w:hAnsiTheme="majorHAnsi" w:cs="Calibri"/>
          <w:szCs w:val="22"/>
          <w:lang w:val="sk-SK"/>
        </w:rPr>
        <w:t>prostriedkov technickej pomoci</w:t>
      </w:r>
      <w:r w:rsidR="006D6733">
        <w:rPr>
          <w:rFonts w:asciiTheme="majorHAnsi" w:hAnsiTheme="majorHAnsi" w:cs="Calibri"/>
          <w:szCs w:val="22"/>
          <w:lang w:val="sk-SK"/>
        </w:rPr>
        <w:t xml:space="preserve"> EÚ</w:t>
      </w:r>
      <w:r w:rsidRPr="00A11FE0">
        <w:rPr>
          <w:rFonts w:asciiTheme="majorHAnsi" w:hAnsiTheme="majorHAnsi" w:cs="Calibri"/>
          <w:szCs w:val="22"/>
          <w:lang w:val="sk-SK"/>
        </w:rPr>
        <w:t xml:space="preserve"> </w:t>
      </w:r>
      <w:r w:rsidR="00BD5FD5">
        <w:rPr>
          <w:rFonts w:asciiTheme="majorHAnsi" w:hAnsiTheme="majorHAnsi" w:cs="Calibri"/>
          <w:szCs w:val="22"/>
          <w:lang w:val="sk-SK"/>
        </w:rPr>
        <w:t>s</w:t>
      </w:r>
      <w:r w:rsidR="00186FB3">
        <w:rPr>
          <w:rFonts w:asciiTheme="majorHAnsi" w:hAnsiTheme="majorHAnsi" w:cs="Calibri"/>
          <w:szCs w:val="22"/>
          <w:lang w:val="sk-SK"/>
        </w:rPr>
        <w:t> </w:t>
      </w:r>
      <w:r w:rsidRPr="00A11FE0">
        <w:rPr>
          <w:rFonts w:asciiTheme="majorHAnsi" w:hAnsiTheme="majorHAnsi" w:cs="Calibri"/>
          <w:szCs w:val="22"/>
          <w:lang w:val="sk-SK"/>
        </w:rPr>
        <w:t>cieľom</w:t>
      </w:r>
      <w:r w:rsidR="00186FB3">
        <w:rPr>
          <w:rFonts w:asciiTheme="majorHAnsi" w:hAnsiTheme="majorHAnsi" w:cs="Calibri"/>
          <w:szCs w:val="22"/>
          <w:lang w:val="sk-SK"/>
        </w:rPr>
        <w:t xml:space="preserve"> </w:t>
      </w:r>
      <w:r w:rsidRPr="00A11FE0">
        <w:rPr>
          <w:rFonts w:asciiTheme="majorHAnsi" w:hAnsiTheme="majorHAnsi" w:cs="Calibri"/>
          <w:szCs w:val="22"/>
          <w:lang w:val="sk-SK"/>
        </w:rPr>
        <w:t xml:space="preserve">zvýšiť efektivitu </w:t>
      </w:r>
      <w:r w:rsidR="008935E8">
        <w:rPr>
          <w:rFonts w:asciiTheme="majorHAnsi" w:hAnsiTheme="majorHAnsi" w:cs="Calibri"/>
          <w:szCs w:val="22"/>
          <w:lang w:val="sk-SK"/>
        </w:rPr>
        <w:t>AK</w:t>
      </w:r>
      <w:r w:rsidRPr="00A11FE0">
        <w:rPr>
          <w:rFonts w:asciiTheme="majorHAnsi" w:hAnsiTheme="majorHAnsi" w:cs="Calibri"/>
          <w:szCs w:val="22"/>
          <w:lang w:val="sk-SK"/>
        </w:rPr>
        <w:t xml:space="preserve"> </w:t>
      </w:r>
      <w:r w:rsidR="00BD5FD5">
        <w:rPr>
          <w:rFonts w:asciiTheme="majorHAnsi" w:hAnsiTheme="majorHAnsi" w:cs="Calibri"/>
          <w:szCs w:val="22"/>
          <w:lang w:val="sk-SK"/>
        </w:rPr>
        <w:t>a</w:t>
      </w:r>
      <w:r w:rsidR="00186FB3">
        <w:rPr>
          <w:rFonts w:asciiTheme="majorHAnsi" w:hAnsiTheme="majorHAnsi" w:cs="Calibri"/>
          <w:szCs w:val="22"/>
          <w:lang w:val="sk-SK"/>
        </w:rPr>
        <w:t> </w:t>
      </w:r>
      <w:r w:rsidRPr="00A11FE0">
        <w:rPr>
          <w:rFonts w:asciiTheme="majorHAnsi" w:hAnsiTheme="majorHAnsi" w:cs="Calibri"/>
          <w:szCs w:val="22"/>
          <w:lang w:val="sk-SK"/>
        </w:rPr>
        <w:t>obmedziť</w:t>
      </w:r>
      <w:r w:rsidR="00186FB3">
        <w:rPr>
          <w:rFonts w:asciiTheme="majorHAnsi" w:hAnsiTheme="majorHAnsi" w:cs="Calibri"/>
          <w:szCs w:val="22"/>
          <w:lang w:val="sk-SK"/>
        </w:rPr>
        <w:t xml:space="preserve"> </w:t>
      </w:r>
      <w:r w:rsidR="00BD5FD5">
        <w:rPr>
          <w:rFonts w:asciiTheme="majorHAnsi" w:hAnsiTheme="majorHAnsi" w:cs="Calibri"/>
          <w:szCs w:val="22"/>
          <w:lang w:val="sk-SK"/>
        </w:rPr>
        <w:t>a</w:t>
      </w:r>
      <w:r w:rsidRPr="00A11FE0">
        <w:rPr>
          <w:rFonts w:asciiTheme="majorHAnsi" w:hAnsiTheme="majorHAnsi" w:cs="Calibri"/>
          <w:szCs w:val="22"/>
          <w:lang w:val="sk-SK"/>
        </w:rPr>
        <w:t xml:space="preserve">dministratívne prekážky pri výkone programovania, riadenia, implementácie, monitorovania, hodnotenia </w:t>
      </w:r>
      <w:r w:rsidR="00BD5FD5">
        <w:rPr>
          <w:rFonts w:asciiTheme="majorHAnsi" w:hAnsiTheme="majorHAnsi" w:cs="Calibri"/>
          <w:szCs w:val="22"/>
          <w:lang w:val="sk-SK"/>
        </w:rPr>
        <w:t>a</w:t>
      </w:r>
      <w:r w:rsidR="00323F70">
        <w:rPr>
          <w:rFonts w:asciiTheme="majorHAnsi" w:hAnsiTheme="majorHAnsi" w:cs="Calibri"/>
          <w:szCs w:val="22"/>
          <w:lang w:val="sk-SK"/>
        </w:rPr>
        <w:t> </w:t>
      </w:r>
      <w:r w:rsidR="00BD5FD5">
        <w:rPr>
          <w:rFonts w:asciiTheme="majorHAnsi" w:hAnsiTheme="majorHAnsi" w:cs="Calibri"/>
          <w:szCs w:val="22"/>
          <w:lang w:val="sk-SK"/>
        </w:rPr>
        <w:t>k</w:t>
      </w:r>
      <w:r w:rsidRPr="00A11FE0">
        <w:rPr>
          <w:rFonts w:asciiTheme="majorHAnsi" w:hAnsiTheme="majorHAnsi" w:cs="Calibri"/>
          <w:szCs w:val="22"/>
          <w:lang w:val="sk-SK"/>
        </w:rPr>
        <w:t>ontroly</w:t>
      </w:r>
      <w:r w:rsidR="00323F70">
        <w:rPr>
          <w:rFonts w:asciiTheme="majorHAnsi" w:hAnsiTheme="majorHAnsi" w:cs="Calibri"/>
          <w:szCs w:val="22"/>
          <w:lang w:val="sk-SK"/>
        </w:rPr>
        <w:t xml:space="preserve"> </w:t>
      </w:r>
      <w:r w:rsidRPr="00A11FE0">
        <w:rPr>
          <w:rFonts w:asciiTheme="majorHAnsi" w:hAnsiTheme="majorHAnsi" w:cs="Calibri"/>
          <w:szCs w:val="22"/>
          <w:lang w:val="sk-SK"/>
        </w:rPr>
        <w:t>EŠIF.</w:t>
      </w:r>
    </w:p>
    <w:p w:rsidR="002855C4" w:rsidRPr="00A11FE0" w:rsidRDefault="00D018E1" w:rsidP="002855C4">
      <w:pPr>
        <w:rPr>
          <w:rFonts w:asciiTheme="majorHAnsi" w:hAnsiTheme="majorHAnsi"/>
          <w:szCs w:val="22"/>
        </w:rPr>
      </w:pPr>
      <w:r>
        <w:rPr>
          <w:rFonts w:asciiTheme="majorHAnsi" w:hAnsiTheme="majorHAnsi"/>
          <w:szCs w:val="22"/>
        </w:rPr>
        <w:t xml:space="preserve">Medzi </w:t>
      </w:r>
      <w:r w:rsidR="006D6733">
        <w:rPr>
          <w:rFonts w:asciiTheme="majorHAnsi" w:hAnsiTheme="majorHAnsi"/>
          <w:szCs w:val="22"/>
        </w:rPr>
        <w:t xml:space="preserve">hlavné </w:t>
      </w:r>
      <w:r>
        <w:rPr>
          <w:rFonts w:asciiTheme="majorHAnsi" w:hAnsiTheme="majorHAnsi"/>
          <w:szCs w:val="22"/>
        </w:rPr>
        <w:t xml:space="preserve">identifikované </w:t>
      </w:r>
      <w:r w:rsidR="002855C4" w:rsidRPr="00A11FE0">
        <w:rPr>
          <w:rFonts w:asciiTheme="majorHAnsi" w:hAnsiTheme="majorHAnsi"/>
          <w:szCs w:val="22"/>
        </w:rPr>
        <w:t xml:space="preserve">príčiny nedostatočného </w:t>
      </w:r>
      <w:r w:rsidR="00BD5FD5">
        <w:rPr>
          <w:rFonts w:asciiTheme="majorHAnsi" w:hAnsiTheme="majorHAnsi"/>
          <w:szCs w:val="22"/>
        </w:rPr>
        <w:t>s</w:t>
      </w:r>
      <w:r w:rsidR="002855C4" w:rsidRPr="00A11FE0">
        <w:rPr>
          <w:rFonts w:asciiTheme="majorHAnsi" w:hAnsiTheme="majorHAnsi"/>
          <w:szCs w:val="22"/>
        </w:rPr>
        <w:t xml:space="preserve">tavu </w:t>
      </w:r>
      <w:r w:rsidR="008935E8">
        <w:rPr>
          <w:rFonts w:asciiTheme="majorHAnsi" w:hAnsiTheme="majorHAnsi"/>
          <w:szCs w:val="22"/>
        </w:rPr>
        <w:t>AK</w:t>
      </w:r>
      <w:r w:rsidR="002855C4" w:rsidRPr="00A11FE0">
        <w:rPr>
          <w:rFonts w:asciiTheme="majorHAnsi" w:hAnsiTheme="majorHAnsi"/>
          <w:szCs w:val="22"/>
        </w:rPr>
        <w:t xml:space="preserve"> </w:t>
      </w:r>
      <w:r w:rsidR="006D6733">
        <w:rPr>
          <w:rFonts w:asciiTheme="majorHAnsi" w:hAnsiTheme="majorHAnsi"/>
          <w:szCs w:val="22"/>
        </w:rPr>
        <w:t xml:space="preserve">v programovom období 2007 – 2013 </w:t>
      </w:r>
      <w:r w:rsidR="006D6733" w:rsidRPr="00A11FE0">
        <w:rPr>
          <w:rFonts w:asciiTheme="majorHAnsi" w:hAnsiTheme="majorHAnsi"/>
          <w:szCs w:val="22"/>
        </w:rPr>
        <w:t xml:space="preserve">možno </w:t>
      </w:r>
      <w:r w:rsidR="002855C4" w:rsidRPr="00A11FE0">
        <w:rPr>
          <w:rFonts w:asciiTheme="majorHAnsi" w:hAnsiTheme="majorHAnsi"/>
          <w:szCs w:val="22"/>
        </w:rPr>
        <w:t>zaradiť:</w:t>
      </w:r>
    </w:p>
    <w:p w:rsidR="002855C4" w:rsidRPr="00A11FE0" w:rsidRDefault="00BD5FD5" w:rsidP="002855C4">
      <w:pPr>
        <w:pStyle w:val="Zoznamsodrkami"/>
        <w:spacing w:before="0" w:after="0"/>
        <w:rPr>
          <w:rFonts w:asciiTheme="majorHAnsi" w:hAnsiTheme="majorHAnsi"/>
          <w:szCs w:val="22"/>
          <w:lang w:val="sk-SK"/>
        </w:rPr>
      </w:pPr>
      <w:r>
        <w:rPr>
          <w:rFonts w:asciiTheme="majorHAnsi" w:hAnsiTheme="majorHAnsi"/>
          <w:szCs w:val="22"/>
          <w:lang w:val="sk-SK"/>
        </w:rPr>
        <w:t>k</w:t>
      </w:r>
      <w:r w:rsidR="002855C4" w:rsidRPr="00A11FE0">
        <w:rPr>
          <w:rFonts w:asciiTheme="majorHAnsi" w:hAnsiTheme="majorHAnsi"/>
          <w:szCs w:val="22"/>
          <w:lang w:val="sk-SK"/>
        </w:rPr>
        <w:t xml:space="preserve">omplikované nastavenie </w:t>
      </w:r>
      <w:r>
        <w:rPr>
          <w:rFonts w:asciiTheme="majorHAnsi" w:hAnsiTheme="majorHAnsi"/>
          <w:szCs w:val="22"/>
          <w:lang w:val="sk-SK"/>
        </w:rPr>
        <w:t>s</w:t>
      </w:r>
      <w:r w:rsidR="002855C4" w:rsidRPr="00A11FE0">
        <w:rPr>
          <w:rFonts w:asciiTheme="majorHAnsi" w:hAnsiTheme="majorHAnsi"/>
          <w:szCs w:val="22"/>
          <w:lang w:val="sk-SK"/>
        </w:rPr>
        <w:t xml:space="preserve">ystému riadenia </w:t>
      </w:r>
      <w:r>
        <w:rPr>
          <w:rFonts w:asciiTheme="majorHAnsi" w:hAnsiTheme="majorHAnsi"/>
          <w:szCs w:val="22"/>
          <w:lang w:val="sk-SK"/>
        </w:rPr>
        <w:t>a</w:t>
      </w:r>
      <w:r w:rsidR="002855C4" w:rsidRPr="00A11FE0">
        <w:rPr>
          <w:rFonts w:asciiTheme="majorHAnsi" w:hAnsiTheme="majorHAnsi"/>
          <w:szCs w:val="22"/>
          <w:lang w:val="sk-SK"/>
        </w:rPr>
        <w:t xml:space="preserve"> finančného riadenia, </w:t>
      </w:r>
      <w:r>
        <w:rPr>
          <w:rFonts w:asciiTheme="majorHAnsi" w:hAnsiTheme="majorHAnsi"/>
          <w:szCs w:val="22"/>
          <w:lang w:val="sk-SK"/>
        </w:rPr>
        <w:t>ak</w:t>
      </w:r>
      <w:r w:rsidR="002855C4" w:rsidRPr="00A11FE0">
        <w:rPr>
          <w:rFonts w:asciiTheme="majorHAnsi" w:hAnsiTheme="majorHAnsi"/>
          <w:szCs w:val="22"/>
          <w:lang w:val="sk-SK"/>
        </w:rPr>
        <w:t xml:space="preserve">o </w:t>
      </w:r>
      <w:r>
        <w:rPr>
          <w:rFonts w:asciiTheme="majorHAnsi" w:hAnsiTheme="majorHAnsi"/>
          <w:szCs w:val="22"/>
          <w:lang w:val="sk-SK"/>
        </w:rPr>
        <w:t>a</w:t>
      </w:r>
      <w:r w:rsidR="002855C4" w:rsidRPr="00A11FE0">
        <w:rPr>
          <w:rFonts w:asciiTheme="majorHAnsi" w:hAnsiTheme="majorHAnsi"/>
          <w:szCs w:val="22"/>
          <w:lang w:val="sk-SK"/>
        </w:rPr>
        <w:t xml:space="preserve">j nejednoznačné rozdelenie </w:t>
      </w:r>
      <w:r>
        <w:rPr>
          <w:rFonts w:asciiTheme="majorHAnsi" w:hAnsiTheme="majorHAnsi"/>
          <w:szCs w:val="22"/>
          <w:lang w:val="sk-SK"/>
        </w:rPr>
        <w:t>k</w:t>
      </w:r>
      <w:r w:rsidR="002855C4" w:rsidRPr="00A11FE0">
        <w:rPr>
          <w:rFonts w:asciiTheme="majorHAnsi" w:hAnsiTheme="majorHAnsi"/>
          <w:szCs w:val="22"/>
          <w:lang w:val="sk-SK"/>
        </w:rPr>
        <w:t xml:space="preserve">ompetencií medzi </w:t>
      </w:r>
      <w:r>
        <w:rPr>
          <w:rFonts w:asciiTheme="majorHAnsi" w:hAnsiTheme="majorHAnsi"/>
          <w:szCs w:val="22"/>
          <w:lang w:val="sk-SK"/>
        </w:rPr>
        <w:t>s</w:t>
      </w:r>
      <w:r w:rsidR="002855C4" w:rsidRPr="00A11FE0">
        <w:rPr>
          <w:rFonts w:asciiTheme="majorHAnsi" w:hAnsiTheme="majorHAnsi"/>
          <w:szCs w:val="22"/>
          <w:lang w:val="sk-SK"/>
        </w:rPr>
        <w:t xml:space="preserve">ubjektmi </w:t>
      </w:r>
      <w:r>
        <w:rPr>
          <w:rFonts w:asciiTheme="majorHAnsi" w:hAnsiTheme="majorHAnsi"/>
          <w:szCs w:val="22"/>
          <w:lang w:val="sk-SK"/>
        </w:rPr>
        <w:t>k</w:t>
      </w:r>
      <w:r w:rsidR="002855C4" w:rsidRPr="00A11FE0">
        <w:rPr>
          <w:rFonts w:asciiTheme="majorHAnsi" w:hAnsiTheme="majorHAnsi"/>
          <w:szCs w:val="22"/>
          <w:lang w:val="sk-SK"/>
        </w:rPr>
        <w:t xml:space="preserve">oordinácie ŠF </w:t>
      </w:r>
      <w:r>
        <w:rPr>
          <w:rFonts w:asciiTheme="majorHAnsi" w:hAnsiTheme="majorHAnsi"/>
          <w:szCs w:val="22"/>
          <w:lang w:val="sk-SK"/>
        </w:rPr>
        <w:t>a</w:t>
      </w:r>
      <w:r w:rsidR="002855C4" w:rsidRPr="00A11FE0">
        <w:rPr>
          <w:rFonts w:asciiTheme="majorHAnsi" w:hAnsiTheme="majorHAnsi"/>
          <w:szCs w:val="22"/>
          <w:lang w:val="sk-SK"/>
        </w:rPr>
        <w:t> </w:t>
      </w:r>
      <w:r>
        <w:rPr>
          <w:rFonts w:asciiTheme="majorHAnsi" w:hAnsiTheme="majorHAnsi"/>
          <w:szCs w:val="22"/>
          <w:lang w:val="sk-SK"/>
        </w:rPr>
        <w:t>K</w:t>
      </w:r>
      <w:r w:rsidR="002855C4" w:rsidRPr="00A11FE0">
        <w:rPr>
          <w:rFonts w:asciiTheme="majorHAnsi" w:hAnsiTheme="majorHAnsi"/>
          <w:szCs w:val="22"/>
          <w:lang w:val="sk-SK"/>
        </w:rPr>
        <w:t>F;</w:t>
      </w:r>
    </w:p>
    <w:p w:rsidR="002855C4" w:rsidRPr="00A11FE0" w:rsidRDefault="002855C4" w:rsidP="002855C4">
      <w:pPr>
        <w:pStyle w:val="Zoznamsodrkami"/>
        <w:spacing w:before="0" w:after="0"/>
        <w:rPr>
          <w:rFonts w:asciiTheme="majorHAnsi" w:hAnsiTheme="majorHAnsi"/>
          <w:szCs w:val="22"/>
          <w:lang w:val="sk-SK"/>
        </w:rPr>
      </w:pPr>
      <w:r w:rsidRPr="00A11FE0">
        <w:rPr>
          <w:rFonts w:asciiTheme="majorHAnsi" w:hAnsiTheme="majorHAnsi"/>
          <w:szCs w:val="22"/>
          <w:lang w:val="sk-SK"/>
        </w:rPr>
        <w:t xml:space="preserve">znížená odolnosť </w:t>
      </w:r>
      <w:r w:rsidR="00BD5FD5">
        <w:rPr>
          <w:rFonts w:asciiTheme="majorHAnsi" w:hAnsiTheme="majorHAnsi"/>
          <w:szCs w:val="22"/>
          <w:lang w:val="sk-SK"/>
        </w:rPr>
        <w:t>s</w:t>
      </w:r>
      <w:r w:rsidRPr="00A11FE0">
        <w:rPr>
          <w:rFonts w:asciiTheme="majorHAnsi" w:hAnsiTheme="majorHAnsi"/>
          <w:szCs w:val="22"/>
          <w:lang w:val="sk-SK"/>
        </w:rPr>
        <w:t xml:space="preserve">ystému verejnej </w:t>
      </w:r>
      <w:r w:rsidR="00BD5FD5">
        <w:rPr>
          <w:rFonts w:asciiTheme="majorHAnsi" w:hAnsiTheme="majorHAnsi"/>
          <w:szCs w:val="22"/>
          <w:lang w:val="sk-SK"/>
        </w:rPr>
        <w:t>s</w:t>
      </w:r>
      <w:r w:rsidRPr="00A11FE0">
        <w:rPr>
          <w:rFonts w:asciiTheme="majorHAnsi" w:hAnsiTheme="majorHAnsi"/>
          <w:szCs w:val="22"/>
          <w:lang w:val="sk-SK"/>
        </w:rPr>
        <w:t>právy voči politickým</w:t>
      </w:r>
      <w:r w:rsidR="00D018E1">
        <w:rPr>
          <w:rFonts w:asciiTheme="majorHAnsi" w:hAnsiTheme="majorHAnsi"/>
          <w:szCs w:val="22"/>
          <w:lang w:val="sk-SK"/>
        </w:rPr>
        <w:t xml:space="preserve"> vplyvom, </w:t>
      </w:r>
      <w:r w:rsidR="00BD5FD5">
        <w:rPr>
          <w:rFonts w:asciiTheme="majorHAnsi" w:hAnsiTheme="majorHAnsi"/>
          <w:szCs w:val="22"/>
          <w:lang w:val="sk-SK"/>
        </w:rPr>
        <w:t>k</w:t>
      </w:r>
      <w:r w:rsidR="00D018E1">
        <w:rPr>
          <w:rFonts w:asciiTheme="majorHAnsi" w:hAnsiTheme="majorHAnsi"/>
          <w:szCs w:val="22"/>
          <w:lang w:val="sk-SK"/>
        </w:rPr>
        <w:t xml:space="preserve">toré </w:t>
      </w:r>
      <w:r w:rsidR="00BD5FD5">
        <w:rPr>
          <w:rFonts w:asciiTheme="majorHAnsi" w:hAnsiTheme="majorHAnsi"/>
          <w:szCs w:val="22"/>
          <w:lang w:val="sk-SK"/>
        </w:rPr>
        <w:t>s</w:t>
      </w:r>
      <w:r w:rsidR="00D018E1">
        <w:rPr>
          <w:rFonts w:asciiTheme="majorHAnsi" w:hAnsiTheme="majorHAnsi"/>
          <w:szCs w:val="22"/>
          <w:lang w:val="sk-SK"/>
        </w:rPr>
        <w:t xml:space="preserve">a prejavujú </w:t>
      </w:r>
      <w:r w:rsidR="00BD5FD5">
        <w:rPr>
          <w:rFonts w:asciiTheme="majorHAnsi" w:hAnsiTheme="majorHAnsi"/>
          <w:szCs w:val="22"/>
          <w:lang w:val="sk-SK"/>
        </w:rPr>
        <w:t>a</w:t>
      </w:r>
      <w:r w:rsidR="00D018E1">
        <w:rPr>
          <w:rFonts w:asciiTheme="majorHAnsi" w:hAnsiTheme="majorHAnsi"/>
          <w:szCs w:val="22"/>
          <w:lang w:val="sk-SK"/>
        </w:rPr>
        <w:t>j</w:t>
      </w:r>
      <w:r w:rsidRPr="00A11FE0">
        <w:rPr>
          <w:rFonts w:asciiTheme="majorHAnsi" w:hAnsiTheme="majorHAnsi"/>
          <w:szCs w:val="22"/>
          <w:lang w:val="sk-SK"/>
        </w:rPr>
        <w:t xml:space="preserve"> v rámci implementácie </w:t>
      </w:r>
      <w:r w:rsidR="00BD5FD5">
        <w:rPr>
          <w:rFonts w:asciiTheme="majorHAnsi" w:hAnsiTheme="majorHAnsi"/>
          <w:szCs w:val="22"/>
          <w:lang w:val="sk-SK"/>
        </w:rPr>
        <w:t>a</w:t>
      </w:r>
      <w:r w:rsidRPr="00A11FE0">
        <w:rPr>
          <w:rFonts w:asciiTheme="majorHAnsi" w:hAnsiTheme="majorHAnsi"/>
          <w:szCs w:val="22"/>
          <w:lang w:val="sk-SK"/>
        </w:rPr>
        <w:t xml:space="preserve"> riadenia politiky </w:t>
      </w:r>
      <w:r w:rsidR="00BD5FD5">
        <w:rPr>
          <w:rFonts w:asciiTheme="majorHAnsi" w:hAnsiTheme="majorHAnsi"/>
          <w:szCs w:val="22"/>
          <w:lang w:val="sk-SK"/>
        </w:rPr>
        <w:t>s</w:t>
      </w:r>
      <w:r w:rsidRPr="00A11FE0">
        <w:rPr>
          <w:rFonts w:asciiTheme="majorHAnsi" w:hAnsiTheme="majorHAnsi"/>
          <w:szCs w:val="22"/>
          <w:lang w:val="sk-SK"/>
        </w:rPr>
        <w:t>údržnosti</w:t>
      </w:r>
      <w:r w:rsidR="006D6733">
        <w:rPr>
          <w:rFonts w:asciiTheme="majorHAnsi" w:hAnsiTheme="majorHAnsi"/>
          <w:szCs w:val="22"/>
          <w:lang w:val="sk-SK"/>
        </w:rPr>
        <w:t xml:space="preserve"> EÚ</w:t>
      </w:r>
      <w:r w:rsidRPr="00A11FE0">
        <w:rPr>
          <w:rFonts w:asciiTheme="majorHAnsi" w:hAnsiTheme="majorHAnsi"/>
          <w:szCs w:val="22"/>
          <w:lang w:val="sk-SK"/>
        </w:rPr>
        <w:t>;</w:t>
      </w:r>
    </w:p>
    <w:p w:rsidR="002855C4" w:rsidRPr="00A11FE0" w:rsidRDefault="002855C4" w:rsidP="002855C4">
      <w:pPr>
        <w:pStyle w:val="Zoznamsodrkami"/>
        <w:spacing w:before="0" w:after="0"/>
        <w:rPr>
          <w:rFonts w:asciiTheme="majorHAnsi" w:hAnsiTheme="majorHAnsi"/>
          <w:szCs w:val="22"/>
          <w:lang w:val="sk-SK"/>
        </w:rPr>
      </w:pPr>
      <w:r w:rsidRPr="00A11FE0">
        <w:rPr>
          <w:rFonts w:asciiTheme="majorHAnsi" w:hAnsiTheme="majorHAnsi"/>
          <w:szCs w:val="22"/>
          <w:lang w:val="sk-SK"/>
        </w:rPr>
        <w:t xml:space="preserve">fluktuácia </w:t>
      </w:r>
      <w:r w:rsidR="008935E8">
        <w:rPr>
          <w:rFonts w:asciiTheme="majorHAnsi" w:hAnsiTheme="majorHAnsi"/>
          <w:szCs w:val="22"/>
          <w:lang w:val="sk-SK"/>
        </w:rPr>
        <w:t>AK</w:t>
      </w:r>
      <w:r w:rsidRPr="00A11FE0">
        <w:rPr>
          <w:rFonts w:asciiTheme="majorHAnsi" w:hAnsiTheme="majorHAnsi"/>
          <w:szCs w:val="22"/>
          <w:lang w:val="sk-SK"/>
        </w:rPr>
        <w:t xml:space="preserve">, zvlášť v prípade riadiacich </w:t>
      </w:r>
      <w:r w:rsidR="008935E8">
        <w:rPr>
          <w:rFonts w:asciiTheme="majorHAnsi" w:hAnsiTheme="majorHAnsi"/>
          <w:szCs w:val="22"/>
          <w:lang w:val="sk-SK"/>
        </w:rPr>
        <w:t>zamestnancov</w:t>
      </w:r>
      <w:r w:rsidR="008935E8" w:rsidRPr="00A11FE0">
        <w:rPr>
          <w:rFonts w:asciiTheme="majorHAnsi" w:hAnsiTheme="majorHAnsi"/>
          <w:szCs w:val="22"/>
          <w:lang w:val="sk-SK"/>
        </w:rPr>
        <w:t xml:space="preserve"> </w:t>
      </w:r>
      <w:r w:rsidRPr="00A11FE0">
        <w:rPr>
          <w:rFonts w:asciiTheme="majorHAnsi" w:hAnsiTheme="majorHAnsi"/>
          <w:szCs w:val="22"/>
          <w:lang w:val="sk-SK"/>
        </w:rPr>
        <w:t xml:space="preserve">pod vplyvom politických cyklov </w:t>
      </w:r>
      <w:r w:rsidR="00BD5FD5">
        <w:rPr>
          <w:rFonts w:asciiTheme="majorHAnsi" w:hAnsiTheme="majorHAnsi"/>
          <w:szCs w:val="22"/>
          <w:lang w:val="sk-SK"/>
        </w:rPr>
        <w:t>a</w:t>
      </w:r>
      <w:r w:rsidRPr="00A11FE0">
        <w:rPr>
          <w:rFonts w:asciiTheme="majorHAnsi" w:hAnsiTheme="majorHAnsi"/>
          <w:szCs w:val="22"/>
          <w:lang w:val="sk-SK"/>
        </w:rPr>
        <w:t xml:space="preserve"> zmien, </w:t>
      </w:r>
      <w:r w:rsidR="00BD5FD5">
        <w:rPr>
          <w:rFonts w:asciiTheme="majorHAnsi" w:hAnsiTheme="majorHAnsi"/>
          <w:szCs w:val="22"/>
          <w:lang w:val="sk-SK"/>
        </w:rPr>
        <w:t>ak</w:t>
      </w:r>
      <w:r w:rsidRPr="00A11FE0">
        <w:rPr>
          <w:rFonts w:asciiTheme="majorHAnsi" w:hAnsiTheme="majorHAnsi"/>
          <w:szCs w:val="22"/>
          <w:lang w:val="sk-SK"/>
        </w:rPr>
        <w:t xml:space="preserve">o </w:t>
      </w:r>
      <w:r w:rsidR="00BD5FD5">
        <w:rPr>
          <w:rFonts w:asciiTheme="majorHAnsi" w:hAnsiTheme="majorHAnsi"/>
          <w:szCs w:val="22"/>
          <w:lang w:val="sk-SK"/>
        </w:rPr>
        <w:t>a</w:t>
      </w:r>
      <w:r w:rsidRPr="00A11FE0">
        <w:rPr>
          <w:rFonts w:asciiTheme="majorHAnsi" w:hAnsiTheme="majorHAnsi"/>
          <w:szCs w:val="22"/>
          <w:lang w:val="sk-SK"/>
        </w:rPr>
        <w:t>j ostatných faktorov;</w:t>
      </w:r>
    </w:p>
    <w:p w:rsidR="002855C4" w:rsidRPr="00A11FE0" w:rsidRDefault="002855C4" w:rsidP="002855C4">
      <w:pPr>
        <w:pStyle w:val="Zoznamsodrkami"/>
        <w:spacing w:before="0" w:after="0"/>
        <w:rPr>
          <w:rFonts w:asciiTheme="majorHAnsi" w:hAnsiTheme="majorHAnsi"/>
          <w:szCs w:val="22"/>
          <w:lang w:val="sk-SK"/>
        </w:rPr>
      </w:pPr>
      <w:r w:rsidRPr="00A11FE0">
        <w:rPr>
          <w:rFonts w:asciiTheme="majorHAnsi" w:hAnsiTheme="majorHAnsi"/>
          <w:szCs w:val="22"/>
          <w:lang w:val="sk-SK"/>
        </w:rPr>
        <w:t xml:space="preserve">nedostatočná integrita informačných </w:t>
      </w:r>
      <w:r w:rsidR="00BD5FD5">
        <w:rPr>
          <w:rFonts w:asciiTheme="majorHAnsi" w:hAnsiTheme="majorHAnsi"/>
          <w:szCs w:val="22"/>
          <w:lang w:val="sk-SK"/>
        </w:rPr>
        <w:t>s</w:t>
      </w:r>
      <w:r w:rsidRPr="00A11FE0">
        <w:rPr>
          <w:rFonts w:asciiTheme="majorHAnsi" w:hAnsiTheme="majorHAnsi"/>
          <w:szCs w:val="22"/>
          <w:lang w:val="sk-SK"/>
        </w:rPr>
        <w:t xml:space="preserve">lužieb v rámci implementujúcich </w:t>
      </w:r>
      <w:r w:rsidR="00BD5FD5">
        <w:rPr>
          <w:rFonts w:asciiTheme="majorHAnsi" w:hAnsiTheme="majorHAnsi"/>
          <w:szCs w:val="22"/>
          <w:lang w:val="sk-SK"/>
        </w:rPr>
        <w:t>s</w:t>
      </w:r>
      <w:r w:rsidRPr="00A11FE0">
        <w:rPr>
          <w:rFonts w:asciiTheme="majorHAnsi" w:hAnsiTheme="majorHAnsi"/>
          <w:szCs w:val="22"/>
          <w:lang w:val="sk-SK"/>
        </w:rPr>
        <w:t xml:space="preserve">ubjektov, </w:t>
      </w:r>
      <w:r w:rsidR="00BD5FD5">
        <w:rPr>
          <w:rFonts w:asciiTheme="majorHAnsi" w:hAnsiTheme="majorHAnsi"/>
          <w:szCs w:val="22"/>
          <w:lang w:val="sk-SK"/>
        </w:rPr>
        <w:t>a</w:t>
      </w:r>
      <w:r w:rsidRPr="00A11FE0">
        <w:rPr>
          <w:rFonts w:asciiTheme="majorHAnsi" w:hAnsiTheme="majorHAnsi"/>
          <w:szCs w:val="22"/>
          <w:lang w:val="sk-SK"/>
        </w:rPr>
        <w:t>j</w:t>
      </w:r>
      <w:r w:rsidR="006979B1">
        <w:rPr>
          <w:rFonts w:asciiTheme="majorHAnsi" w:hAnsiTheme="majorHAnsi"/>
          <w:szCs w:val="22"/>
          <w:lang w:val="sk-SK"/>
        </w:rPr>
        <w:t xml:space="preserve"> </w:t>
      </w:r>
      <w:r w:rsidRPr="00A11FE0">
        <w:rPr>
          <w:rFonts w:asciiTheme="majorHAnsi" w:hAnsiTheme="majorHAnsi"/>
          <w:szCs w:val="22"/>
          <w:lang w:val="sk-SK"/>
        </w:rPr>
        <w:t xml:space="preserve">voči žiadateľom </w:t>
      </w:r>
      <w:r w:rsidR="00BD5FD5">
        <w:rPr>
          <w:rFonts w:asciiTheme="majorHAnsi" w:hAnsiTheme="majorHAnsi"/>
          <w:szCs w:val="22"/>
          <w:lang w:val="sk-SK"/>
        </w:rPr>
        <w:t>a</w:t>
      </w:r>
      <w:r w:rsidR="008935E8">
        <w:rPr>
          <w:rFonts w:asciiTheme="majorHAnsi" w:hAnsiTheme="majorHAnsi"/>
          <w:szCs w:val="22"/>
          <w:lang w:val="sk-SK"/>
        </w:rPr>
        <w:t> </w:t>
      </w:r>
      <w:r w:rsidRPr="00A11FE0">
        <w:rPr>
          <w:rFonts w:asciiTheme="majorHAnsi" w:hAnsiTheme="majorHAnsi"/>
          <w:szCs w:val="22"/>
          <w:lang w:val="sk-SK"/>
        </w:rPr>
        <w:t>prijímateľom</w:t>
      </w:r>
      <w:r w:rsidR="008935E8">
        <w:rPr>
          <w:rFonts w:asciiTheme="majorHAnsi" w:hAnsiTheme="majorHAnsi"/>
          <w:szCs w:val="22"/>
          <w:lang w:val="sk-SK"/>
        </w:rPr>
        <w:t xml:space="preserve"> podpory</w:t>
      </w:r>
      <w:r w:rsidRPr="00A11FE0">
        <w:rPr>
          <w:rFonts w:asciiTheme="majorHAnsi" w:hAnsiTheme="majorHAnsi"/>
          <w:szCs w:val="22"/>
          <w:lang w:val="sk-SK"/>
        </w:rPr>
        <w:t>;</w:t>
      </w:r>
    </w:p>
    <w:p w:rsidR="002855C4" w:rsidRPr="00A11FE0" w:rsidRDefault="002855C4" w:rsidP="002855C4">
      <w:pPr>
        <w:pStyle w:val="Zoznamsodrkami"/>
        <w:spacing w:before="0" w:after="120"/>
        <w:rPr>
          <w:rFonts w:asciiTheme="majorHAnsi" w:hAnsiTheme="majorHAnsi"/>
          <w:szCs w:val="22"/>
          <w:lang w:val="sk-SK"/>
        </w:rPr>
      </w:pPr>
      <w:r w:rsidRPr="00A11FE0">
        <w:rPr>
          <w:rFonts w:asciiTheme="majorHAnsi" w:hAnsiTheme="majorHAnsi"/>
          <w:szCs w:val="22"/>
          <w:lang w:val="sk-SK"/>
        </w:rPr>
        <w:t xml:space="preserve">nedostatok nástrojov pre meranie </w:t>
      </w:r>
      <w:r w:rsidR="00BD5FD5">
        <w:rPr>
          <w:rFonts w:asciiTheme="majorHAnsi" w:hAnsiTheme="majorHAnsi"/>
          <w:szCs w:val="22"/>
          <w:lang w:val="sk-SK"/>
        </w:rPr>
        <w:t>a</w:t>
      </w:r>
      <w:r w:rsidRPr="00A11FE0">
        <w:rPr>
          <w:rFonts w:asciiTheme="majorHAnsi" w:hAnsiTheme="majorHAnsi"/>
          <w:szCs w:val="22"/>
          <w:lang w:val="sk-SK"/>
        </w:rPr>
        <w:t xml:space="preserve"> hodnotenie výkonnosti </w:t>
      </w:r>
      <w:r w:rsidR="007975D1">
        <w:rPr>
          <w:rFonts w:asciiTheme="majorHAnsi" w:hAnsiTheme="majorHAnsi"/>
          <w:szCs w:val="22"/>
          <w:lang w:val="sk-SK"/>
        </w:rPr>
        <w:t>AK</w:t>
      </w:r>
      <w:r w:rsidRPr="00A11FE0">
        <w:rPr>
          <w:rFonts w:asciiTheme="majorHAnsi" w:hAnsiTheme="majorHAnsi"/>
          <w:szCs w:val="22"/>
          <w:lang w:val="sk-SK"/>
        </w:rPr>
        <w:t>.</w:t>
      </w:r>
    </w:p>
    <w:p w:rsidR="002855C4" w:rsidRDefault="00BD5FD5" w:rsidP="002855C4">
      <w:pPr>
        <w:pStyle w:val="Zoznamsodrkami"/>
        <w:numPr>
          <w:ilvl w:val="0"/>
          <w:numId w:val="0"/>
        </w:numPr>
        <w:spacing w:before="0" w:after="0"/>
        <w:rPr>
          <w:rFonts w:asciiTheme="majorHAnsi" w:hAnsiTheme="majorHAnsi" w:cs="Calibri"/>
          <w:szCs w:val="22"/>
          <w:lang w:val="sk-SK"/>
        </w:rPr>
      </w:pPr>
      <w:r>
        <w:rPr>
          <w:rFonts w:asciiTheme="majorHAnsi" w:hAnsiTheme="majorHAnsi"/>
          <w:szCs w:val="22"/>
          <w:lang w:val="sk-SK"/>
        </w:rPr>
        <w:t>S</w:t>
      </w:r>
      <w:r w:rsidR="002855C4" w:rsidRPr="00A11FE0">
        <w:rPr>
          <w:rFonts w:asciiTheme="majorHAnsi" w:hAnsiTheme="majorHAnsi"/>
          <w:szCs w:val="22"/>
          <w:lang w:val="sk-SK"/>
        </w:rPr>
        <w:t xml:space="preserve">R </w:t>
      </w:r>
      <w:r>
        <w:rPr>
          <w:rFonts w:asciiTheme="majorHAnsi" w:hAnsiTheme="majorHAnsi"/>
          <w:szCs w:val="22"/>
          <w:lang w:val="sk-SK"/>
        </w:rPr>
        <w:t>s</w:t>
      </w:r>
      <w:r w:rsidR="002855C4" w:rsidRPr="00A11FE0">
        <w:rPr>
          <w:rFonts w:asciiTheme="majorHAnsi" w:hAnsiTheme="majorHAnsi"/>
          <w:szCs w:val="22"/>
          <w:lang w:val="sk-SK"/>
        </w:rPr>
        <w:t xml:space="preserve">i plne uvedomuje </w:t>
      </w:r>
      <w:r>
        <w:rPr>
          <w:rFonts w:asciiTheme="majorHAnsi" w:hAnsiTheme="majorHAnsi"/>
          <w:szCs w:val="22"/>
          <w:lang w:val="sk-SK"/>
        </w:rPr>
        <w:t>s</w:t>
      </w:r>
      <w:r w:rsidR="002855C4" w:rsidRPr="00A11FE0">
        <w:rPr>
          <w:rFonts w:asciiTheme="majorHAnsi" w:hAnsiTheme="majorHAnsi"/>
          <w:szCs w:val="22"/>
          <w:lang w:val="sk-SK"/>
        </w:rPr>
        <w:t xml:space="preserve">trategický význam </w:t>
      </w:r>
      <w:r w:rsidR="007975D1">
        <w:rPr>
          <w:rFonts w:asciiTheme="majorHAnsi" w:hAnsiTheme="majorHAnsi"/>
          <w:szCs w:val="22"/>
          <w:lang w:val="sk-SK"/>
        </w:rPr>
        <w:t>AK</w:t>
      </w:r>
      <w:r w:rsidR="002855C4" w:rsidRPr="00A11FE0">
        <w:rPr>
          <w:rFonts w:asciiTheme="majorHAnsi" w:hAnsiTheme="majorHAnsi"/>
          <w:szCs w:val="22"/>
          <w:lang w:val="sk-SK"/>
        </w:rPr>
        <w:t xml:space="preserve">, </w:t>
      </w:r>
      <w:r>
        <w:rPr>
          <w:rFonts w:asciiTheme="majorHAnsi" w:hAnsiTheme="majorHAnsi"/>
          <w:szCs w:val="22"/>
          <w:lang w:val="sk-SK"/>
        </w:rPr>
        <w:t>ak</w:t>
      </w:r>
      <w:r w:rsidR="002855C4" w:rsidRPr="00A11FE0">
        <w:rPr>
          <w:rFonts w:asciiTheme="majorHAnsi" w:hAnsiTheme="majorHAnsi"/>
          <w:szCs w:val="22"/>
          <w:lang w:val="sk-SK"/>
        </w:rPr>
        <w:t>o základného predpokladu efektívnej</w:t>
      </w:r>
      <w:r w:rsidR="00D018E1">
        <w:rPr>
          <w:rFonts w:asciiTheme="majorHAnsi" w:hAnsiTheme="majorHAnsi"/>
          <w:szCs w:val="22"/>
          <w:lang w:val="sk-SK"/>
        </w:rPr>
        <w:t xml:space="preserve"> </w:t>
      </w:r>
      <w:r>
        <w:rPr>
          <w:rFonts w:asciiTheme="majorHAnsi" w:hAnsiTheme="majorHAnsi"/>
          <w:szCs w:val="22"/>
          <w:lang w:val="sk-SK"/>
        </w:rPr>
        <w:t>a</w:t>
      </w:r>
      <w:r w:rsidR="00186FB3">
        <w:rPr>
          <w:rFonts w:asciiTheme="majorHAnsi" w:hAnsiTheme="majorHAnsi"/>
          <w:szCs w:val="22"/>
          <w:lang w:val="sk-SK"/>
        </w:rPr>
        <w:t> </w:t>
      </w:r>
      <w:r w:rsidR="00D018E1">
        <w:rPr>
          <w:rFonts w:asciiTheme="majorHAnsi" w:hAnsiTheme="majorHAnsi"/>
          <w:szCs w:val="22"/>
          <w:lang w:val="sk-SK"/>
        </w:rPr>
        <w:t>účinnej</w:t>
      </w:r>
      <w:r w:rsidR="00186FB3">
        <w:rPr>
          <w:rFonts w:asciiTheme="majorHAnsi" w:hAnsiTheme="majorHAnsi"/>
          <w:szCs w:val="22"/>
          <w:lang w:val="sk-SK"/>
        </w:rPr>
        <w:t xml:space="preserve"> </w:t>
      </w:r>
      <w:r w:rsidR="00D018E1">
        <w:rPr>
          <w:rFonts w:asciiTheme="majorHAnsi" w:hAnsiTheme="majorHAnsi"/>
          <w:szCs w:val="22"/>
          <w:lang w:val="sk-SK"/>
        </w:rPr>
        <w:t xml:space="preserve">implementácie EŠIF. </w:t>
      </w:r>
      <w:r>
        <w:rPr>
          <w:rFonts w:asciiTheme="majorHAnsi" w:hAnsiTheme="majorHAnsi"/>
          <w:szCs w:val="22"/>
          <w:lang w:val="sk-SK"/>
        </w:rPr>
        <w:t>S</w:t>
      </w:r>
      <w:r w:rsidR="002855C4" w:rsidRPr="00A11FE0">
        <w:rPr>
          <w:rFonts w:asciiTheme="majorHAnsi" w:hAnsiTheme="majorHAnsi"/>
          <w:szCs w:val="22"/>
          <w:lang w:val="sk-SK"/>
        </w:rPr>
        <w:t xml:space="preserve">tratégia posilnenia </w:t>
      </w:r>
      <w:r w:rsidR="007975D1">
        <w:rPr>
          <w:rFonts w:asciiTheme="majorHAnsi" w:hAnsiTheme="majorHAnsi"/>
          <w:szCs w:val="22"/>
          <w:lang w:val="sk-SK"/>
        </w:rPr>
        <w:t>AK</w:t>
      </w:r>
      <w:r w:rsidR="002855C4" w:rsidRPr="00A11FE0">
        <w:rPr>
          <w:rFonts w:asciiTheme="majorHAnsi" w:hAnsiTheme="majorHAnsi"/>
          <w:szCs w:val="22"/>
          <w:lang w:val="sk-SK"/>
        </w:rPr>
        <w:t xml:space="preserve"> </w:t>
      </w:r>
      <w:r>
        <w:rPr>
          <w:rFonts w:asciiTheme="majorHAnsi" w:hAnsiTheme="majorHAnsi"/>
          <w:szCs w:val="22"/>
          <w:lang w:val="sk-SK"/>
        </w:rPr>
        <w:t>s</w:t>
      </w:r>
      <w:r w:rsidR="002855C4" w:rsidRPr="00A11FE0">
        <w:rPr>
          <w:rFonts w:asciiTheme="majorHAnsi" w:hAnsiTheme="majorHAnsi"/>
          <w:szCs w:val="22"/>
          <w:lang w:val="sk-SK"/>
        </w:rPr>
        <w:t xml:space="preserve">a </w:t>
      </w:r>
      <w:r>
        <w:rPr>
          <w:rFonts w:asciiTheme="majorHAnsi" w:hAnsiTheme="majorHAnsi"/>
          <w:szCs w:val="22"/>
          <w:lang w:val="sk-SK"/>
        </w:rPr>
        <w:t>s</w:t>
      </w:r>
      <w:r w:rsidR="002855C4" w:rsidRPr="00A11FE0">
        <w:rPr>
          <w:rFonts w:asciiTheme="majorHAnsi" w:hAnsiTheme="majorHAnsi"/>
          <w:szCs w:val="22"/>
          <w:lang w:val="sk-SK"/>
        </w:rPr>
        <w:t xml:space="preserve">ústredí na </w:t>
      </w:r>
      <w:r>
        <w:rPr>
          <w:rFonts w:asciiTheme="majorHAnsi" w:hAnsiTheme="majorHAnsi"/>
          <w:szCs w:val="22"/>
          <w:lang w:val="sk-SK"/>
        </w:rPr>
        <w:t>s</w:t>
      </w:r>
      <w:r w:rsidR="002855C4" w:rsidRPr="00A11FE0">
        <w:rPr>
          <w:rFonts w:asciiTheme="majorHAnsi" w:hAnsiTheme="majorHAnsi"/>
          <w:szCs w:val="22"/>
          <w:lang w:val="sk-SK"/>
        </w:rPr>
        <w:t xml:space="preserve">ystematické zvyšovanie výkonnosti </w:t>
      </w:r>
      <w:r>
        <w:rPr>
          <w:rFonts w:asciiTheme="majorHAnsi" w:hAnsiTheme="majorHAnsi"/>
          <w:szCs w:val="22"/>
          <w:lang w:val="sk-SK"/>
        </w:rPr>
        <w:t>a</w:t>
      </w:r>
      <w:r w:rsidR="00186FB3">
        <w:rPr>
          <w:rFonts w:asciiTheme="majorHAnsi" w:hAnsiTheme="majorHAnsi"/>
          <w:szCs w:val="22"/>
          <w:lang w:val="sk-SK"/>
        </w:rPr>
        <w:t> </w:t>
      </w:r>
      <w:r w:rsidR="002855C4" w:rsidRPr="00A11FE0">
        <w:rPr>
          <w:rFonts w:asciiTheme="majorHAnsi" w:hAnsiTheme="majorHAnsi"/>
          <w:szCs w:val="22"/>
          <w:lang w:val="sk-SK"/>
        </w:rPr>
        <w:t>efektívnosti</w:t>
      </w:r>
      <w:r w:rsidR="00186FB3">
        <w:rPr>
          <w:rFonts w:asciiTheme="majorHAnsi" w:hAnsiTheme="majorHAnsi"/>
          <w:szCs w:val="22"/>
          <w:lang w:val="sk-SK"/>
        </w:rPr>
        <w:t xml:space="preserve"> </w:t>
      </w:r>
      <w:r w:rsidR="007975D1">
        <w:rPr>
          <w:rFonts w:asciiTheme="majorHAnsi" w:hAnsiTheme="majorHAnsi"/>
          <w:szCs w:val="22"/>
          <w:lang w:val="sk-SK"/>
        </w:rPr>
        <w:t>AK</w:t>
      </w:r>
      <w:r w:rsidR="002855C4" w:rsidRPr="00A11FE0">
        <w:rPr>
          <w:rFonts w:asciiTheme="majorHAnsi" w:hAnsiTheme="majorHAnsi"/>
          <w:szCs w:val="22"/>
          <w:lang w:val="sk-SK"/>
        </w:rPr>
        <w:t xml:space="preserve"> zapojených do riadenia </w:t>
      </w:r>
      <w:r>
        <w:rPr>
          <w:rFonts w:asciiTheme="majorHAnsi" w:hAnsiTheme="majorHAnsi"/>
          <w:szCs w:val="22"/>
          <w:lang w:val="sk-SK"/>
        </w:rPr>
        <w:t>a</w:t>
      </w:r>
      <w:r w:rsidR="00186FB3">
        <w:rPr>
          <w:rFonts w:asciiTheme="majorHAnsi" w:hAnsiTheme="majorHAnsi"/>
          <w:szCs w:val="22"/>
          <w:lang w:val="sk-SK"/>
        </w:rPr>
        <w:t> </w:t>
      </w:r>
      <w:r>
        <w:rPr>
          <w:rFonts w:asciiTheme="majorHAnsi" w:hAnsiTheme="majorHAnsi"/>
          <w:szCs w:val="22"/>
          <w:lang w:val="sk-SK"/>
        </w:rPr>
        <w:t>k</w:t>
      </w:r>
      <w:r w:rsidR="002855C4" w:rsidRPr="00A11FE0">
        <w:rPr>
          <w:rFonts w:asciiTheme="majorHAnsi" w:hAnsiTheme="majorHAnsi"/>
          <w:szCs w:val="22"/>
          <w:lang w:val="sk-SK"/>
        </w:rPr>
        <w:t>ontroly</w:t>
      </w:r>
      <w:r w:rsidR="00186FB3">
        <w:rPr>
          <w:rFonts w:asciiTheme="majorHAnsi" w:hAnsiTheme="majorHAnsi"/>
          <w:szCs w:val="22"/>
          <w:lang w:val="sk-SK"/>
        </w:rPr>
        <w:t xml:space="preserve"> </w:t>
      </w:r>
      <w:r w:rsidR="002855C4" w:rsidRPr="00A11FE0">
        <w:rPr>
          <w:rFonts w:asciiTheme="majorHAnsi" w:hAnsiTheme="majorHAnsi"/>
          <w:szCs w:val="22"/>
          <w:lang w:val="sk-SK"/>
        </w:rPr>
        <w:t xml:space="preserve">EŠIF, </w:t>
      </w:r>
      <w:r>
        <w:rPr>
          <w:rFonts w:asciiTheme="majorHAnsi" w:hAnsiTheme="majorHAnsi"/>
          <w:szCs w:val="22"/>
          <w:lang w:val="sk-SK"/>
        </w:rPr>
        <w:t>s</w:t>
      </w:r>
      <w:r w:rsidR="002855C4" w:rsidRPr="00A11FE0">
        <w:rPr>
          <w:rFonts w:asciiTheme="majorHAnsi" w:hAnsiTheme="majorHAnsi"/>
          <w:szCs w:val="22"/>
          <w:lang w:val="sk-SK"/>
        </w:rPr>
        <w:t xml:space="preserve"> prihliadnutím na potreby EPFRV </w:t>
      </w:r>
      <w:r>
        <w:rPr>
          <w:rFonts w:asciiTheme="majorHAnsi" w:hAnsiTheme="majorHAnsi"/>
          <w:szCs w:val="22"/>
          <w:lang w:val="sk-SK"/>
        </w:rPr>
        <w:t>a</w:t>
      </w:r>
      <w:r w:rsidR="002855C4" w:rsidRPr="00A11FE0">
        <w:rPr>
          <w:rFonts w:asciiTheme="majorHAnsi" w:hAnsiTheme="majorHAnsi"/>
          <w:szCs w:val="22"/>
          <w:lang w:val="sk-SK"/>
        </w:rPr>
        <w:t> ENRF.</w:t>
      </w:r>
      <w:r w:rsidR="002855C4" w:rsidRPr="00A11FE0">
        <w:rPr>
          <w:rFonts w:asciiTheme="majorHAnsi" w:hAnsiTheme="majorHAnsi" w:cs="Calibri"/>
          <w:szCs w:val="22"/>
          <w:lang w:val="sk-SK"/>
        </w:rPr>
        <w:t xml:space="preserve"> </w:t>
      </w:r>
      <w:r w:rsidR="002855C4" w:rsidRPr="00A11FE0">
        <w:rPr>
          <w:rFonts w:asciiTheme="majorHAnsi" w:hAnsiTheme="majorHAnsi"/>
          <w:szCs w:val="22"/>
          <w:lang w:val="sk-SK"/>
        </w:rPr>
        <w:t xml:space="preserve">V oblasti </w:t>
      </w:r>
      <w:r w:rsidR="007975D1">
        <w:rPr>
          <w:rFonts w:asciiTheme="majorHAnsi" w:hAnsiTheme="majorHAnsi"/>
          <w:szCs w:val="22"/>
          <w:lang w:val="sk-SK"/>
        </w:rPr>
        <w:t>AK</w:t>
      </w:r>
      <w:r w:rsidR="002855C4" w:rsidRPr="00A11FE0">
        <w:rPr>
          <w:rFonts w:asciiTheme="majorHAnsi" w:hAnsiTheme="majorHAnsi"/>
          <w:szCs w:val="22"/>
          <w:lang w:val="sk-SK"/>
        </w:rPr>
        <w:t xml:space="preserve"> </w:t>
      </w:r>
      <w:r>
        <w:rPr>
          <w:rFonts w:asciiTheme="majorHAnsi" w:hAnsiTheme="majorHAnsi"/>
          <w:szCs w:val="22"/>
          <w:lang w:val="sk-SK"/>
        </w:rPr>
        <w:t>s</w:t>
      </w:r>
      <w:r w:rsidR="002855C4" w:rsidRPr="00A11FE0">
        <w:rPr>
          <w:rFonts w:asciiTheme="majorHAnsi" w:hAnsiTheme="majorHAnsi"/>
          <w:szCs w:val="22"/>
          <w:lang w:val="sk-SK"/>
        </w:rPr>
        <w:t xml:space="preserve">a predpokladajú zmeny </w:t>
      </w:r>
      <w:r>
        <w:rPr>
          <w:rFonts w:asciiTheme="majorHAnsi" w:hAnsiTheme="majorHAnsi"/>
          <w:szCs w:val="22"/>
          <w:lang w:val="sk-SK"/>
        </w:rPr>
        <w:t>a</w:t>
      </w:r>
      <w:r w:rsidR="007975D1">
        <w:rPr>
          <w:rFonts w:asciiTheme="majorHAnsi" w:hAnsiTheme="majorHAnsi"/>
          <w:szCs w:val="22"/>
          <w:lang w:val="sk-SK"/>
        </w:rPr>
        <w:t> </w:t>
      </w:r>
      <w:r w:rsidR="002855C4" w:rsidRPr="00A11FE0">
        <w:rPr>
          <w:rFonts w:asciiTheme="majorHAnsi" w:hAnsiTheme="majorHAnsi"/>
          <w:szCs w:val="22"/>
          <w:lang w:val="sk-SK"/>
        </w:rPr>
        <w:t>nápravné</w:t>
      </w:r>
      <w:r w:rsidR="007975D1">
        <w:rPr>
          <w:rFonts w:asciiTheme="majorHAnsi" w:hAnsiTheme="majorHAnsi"/>
          <w:szCs w:val="22"/>
          <w:lang w:val="sk-SK"/>
        </w:rPr>
        <w:t xml:space="preserve"> a</w:t>
      </w:r>
      <w:r w:rsidR="00CA132F">
        <w:rPr>
          <w:rFonts w:asciiTheme="majorHAnsi" w:hAnsiTheme="majorHAnsi"/>
          <w:szCs w:val="22"/>
          <w:lang w:val="sk-SK"/>
        </w:rPr>
        <w:t> </w:t>
      </w:r>
      <w:r w:rsidR="007975D1">
        <w:rPr>
          <w:rFonts w:asciiTheme="majorHAnsi" w:hAnsiTheme="majorHAnsi"/>
          <w:szCs w:val="22"/>
          <w:lang w:val="sk-SK"/>
        </w:rPr>
        <w:t>preventívne</w:t>
      </w:r>
      <w:r w:rsidR="00CA132F">
        <w:rPr>
          <w:rFonts w:asciiTheme="majorHAnsi" w:hAnsiTheme="majorHAnsi"/>
          <w:szCs w:val="22"/>
          <w:lang w:val="sk-SK"/>
        </w:rPr>
        <w:t xml:space="preserve"> </w:t>
      </w:r>
      <w:r w:rsidR="002855C4" w:rsidRPr="00A11FE0">
        <w:rPr>
          <w:rFonts w:asciiTheme="majorHAnsi" w:hAnsiTheme="majorHAnsi"/>
          <w:szCs w:val="22"/>
          <w:lang w:val="sk-SK"/>
        </w:rPr>
        <w:t xml:space="preserve">opatrenia vo viacerých oblastiach, </w:t>
      </w:r>
      <w:r>
        <w:rPr>
          <w:rFonts w:asciiTheme="majorHAnsi" w:hAnsiTheme="majorHAnsi"/>
          <w:szCs w:val="22"/>
          <w:lang w:val="sk-SK"/>
        </w:rPr>
        <w:t>ak</w:t>
      </w:r>
      <w:r w:rsidR="002855C4" w:rsidRPr="00A11FE0">
        <w:rPr>
          <w:rFonts w:asciiTheme="majorHAnsi" w:hAnsiTheme="majorHAnsi"/>
          <w:szCs w:val="22"/>
          <w:lang w:val="sk-SK"/>
        </w:rPr>
        <w:t xml:space="preserve">o napríklad v nastavení </w:t>
      </w:r>
      <w:r>
        <w:rPr>
          <w:rFonts w:asciiTheme="majorHAnsi" w:hAnsiTheme="majorHAnsi"/>
          <w:szCs w:val="22"/>
          <w:lang w:val="sk-SK"/>
        </w:rPr>
        <w:t>a</w:t>
      </w:r>
      <w:r w:rsidR="002855C4" w:rsidRPr="00A11FE0">
        <w:rPr>
          <w:rFonts w:asciiTheme="majorHAnsi" w:hAnsiTheme="majorHAnsi"/>
          <w:szCs w:val="22"/>
          <w:lang w:val="sk-SK"/>
        </w:rPr>
        <w:t xml:space="preserve"> riadení procesov </w:t>
      </w:r>
      <w:r>
        <w:rPr>
          <w:rFonts w:asciiTheme="majorHAnsi" w:hAnsiTheme="majorHAnsi"/>
          <w:szCs w:val="22"/>
          <w:lang w:val="sk-SK"/>
        </w:rPr>
        <w:t>a</w:t>
      </w:r>
      <w:r w:rsidR="002855C4" w:rsidRPr="00A11FE0">
        <w:rPr>
          <w:rFonts w:asciiTheme="majorHAnsi" w:hAnsiTheme="majorHAnsi"/>
          <w:szCs w:val="22"/>
          <w:lang w:val="sk-SK"/>
        </w:rPr>
        <w:t> mechanizmov pre všetky fázy implementácie programov/projektov, v </w:t>
      </w:r>
      <w:r>
        <w:rPr>
          <w:rFonts w:asciiTheme="majorHAnsi" w:hAnsiTheme="majorHAnsi"/>
          <w:szCs w:val="22"/>
          <w:lang w:val="sk-SK"/>
        </w:rPr>
        <w:t>s</w:t>
      </w:r>
      <w:r w:rsidR="002855C4" w:rsidRPr="00A11FE0">
        <w:rPr>
          <w:rFonts w:asciiTheme="majorHAnsi" w:hAnsiTheme="majorHAnsi"/>
          <w:szCs w:val="22"/>
          <w:lang w:val="sk-SK"/>
        </w:rPr>
        <w:t xml:space="preserve">právnej </w:t>
      </w:r>
      <w:r>
        <w:rPr>
          <w:rFonts w:asciiTheme="majorHAnsi" w:hAnsiTheme="majorHAnsi"/>
          <w:szCs w:val="22"/>
          <w:lang w:val="sk-SK"/>
        </w:rPr>
        <w:t>k</w:t>
      </w:r>
      <w:r w:rsidR="002855C4" w:rsidRPr="00A11FE0">
        <w:rPr>
          <w:rFonts w:asciiTheme="majorHAnsi" w:hAnsiTheme="majorHAnsi"/>
          <w:szCs w:val="22"/>
          <w:lang w:val="sk-SK"/>
        </w:rPr>
        <w:t xml:space="preserve">vantifikácii </w:t>
      </w:r>
      <w:r w:rsidR="007975D1">
        <w:rPr>
          <w:rFonts w:asciiTheme="majorHAnsi" w:hAnsiTheme="majorHAnsi"/>
          <w:szCs w:val="22"/>
          <w:lang w:val="sk-SK"/>
        </w:rPr>
        <w:t>AK</w:t>
      </w:r>
      <w:r w:rsidR="002855C4" w:rsidRPr="00A11FE0">
        <w:rPr>
          <w:rFonts w:asciiTheme="majorHAnsi" w:hAnsiTheme="majorHAnsi"/>
          <w:szCs w:val="22"/>
          <w:lang w:val="sk-SK"/>
        </w:rPr>
        <w:t xml:space="preserve"> </w:t>
      </w:r>
      <w:r>
        <w:rPr>
          <w:rFonts w:asciiTheme="majorHAnsi" w:hAnsiTheme="majorHAnsi"/>
          <w:szCs w:val="22"/>
          <w:lang w:val="sk-SK"/>
        </w:rPr>
        <w:t>a</w:t>
      </w:r>
      <w:r w:rsidR="002855C4" w:rsidRPr="00A11FE0">
        <w:rPr>
          <w:rFonts w:asciiTheme="majorHAnsi" w:hAnsiTheme="majorHAnsi"/>
          <w:szCs w:val="22"/>
          <w:lang w:val="sk-SK"/>
        </w:rPr>
        <w:t xml:space="preserve"> optimalizácii pracovných pozícií </w:t>
      </w:r>
      <w:r>
        <w:rPr>
          <w:rFonts w:asciiTheme="majorHAnsi" w:hAnsiTheme="majorHAnsi"/>
          <w:szCs w:val="22"/>
          <w:lang w:val="sk-SK"/>
        </w:rPr>
        <w:t>a</w:t>
      </w:r>
      <w:r w:rsidR="002855C4" w:rsidRPr="00A11FE0">
        <w:rPr>
          <w:rFonts w:asciiTheme="majorHAnsi" w:hAnsiTheme="majorHAnsi"/>
          <w:szCs w:val="22"/>
          <w:lang w:val="sk-SK"/>
        </w:rPr>
        <w:t xml:space="preserve"> procesných rolí pri </w:t>
      </w:r>
      <w:r>
        <w:rPr>
          <w:rFonts w:asciiTheme="majorHAnsi" w:hAnsiTheme="majorHAnsi"/>
          <w:szCs w:val="22"/>
          <w:lang w:val="sk-SK"/>
        </w:rPr>
        <w:t>k</w:t>
      </w:r>
      <w:r w:rsidR="002855C4" w:rsidRPr="00A11FE0">
        <w:rPr>
          <w:rFonts w:asciiTheme="majorHAnsi" w:hAnsiTheme="majorHAnsi"/>
          <w:szCs w:val="22"/>
          <w:lang w:val="sk-SK"/>
        </w:rPr>
        <w:t>oordinácii EŠIF,</w:t>
      </w:r>
      <w:r w:rsidR="002855C4" w:rsidRPr="00A11FE0">
        <w:rPr>
          <w:rFonts w:asciiTheme="majorHAnsi" w:hAnsiTheme="majorHAnsi" w:cs="Calibri"/>
          <w:szCs w:val="22"/>
          <w:lang w:val="sk-SK"/>
        </w:rPr>
        <w:t xml:space="preserve"> zavedení motivačných nástrojov</w:t>
      </w:r>
      <w:r w:rsidR="00603225">
        <w:rPr>
          <w:rFonts w:asciiTheme="majorHAnsi" w:hAnsiTheme="majorHAnsi" w:cs="Calibri"/>
          <w:szCs w:val="22"/>
          <w:lang w:val="sk-SK"/>
        </w:rPr>
        <w:t xml:space="preserve"> </w:t>
      </w:r>
      <w:r w:rsidR="002855C4" w:rsidRPr="00A11FE0">
        <w:rPr>
          <w:rFonts w:asciiTheme="majorHAnsi" w:hAnsiTheme="majorHAnsi" w:cs="Calibri"/>
          <w:szCs w:val="22"/>
          <w:lang w:val="sk-SK"/>
        </w:rPr>
        <w:t xml:space="preserve">pre </w:t>
      </w:r>
      <w:r>
        <w:rPr>
          <w:rFonts w:asciiTheme="majorHAnsi" w:hAnsiTheme="majorHAnsi" w:cs="Calibri"/>
          <w:szCs w:val="22"/>
          <w:lang w:val="sk-SK"/>
        </w:rPr>
        <w:t>k</w:t>
      </w:r>
      <w:r w:rsidR="002855C4" w:rsidRPr="00A11FE0">
        <w:rPr>
          <w:rFonts w:asciiTheme="majorHAnsi" w:hAnsiTheme="majorHAnsi" w:cs="Calibri"/>
          <w:szCs w:val="22"/>
          <w:lang w:val="sk-SK"/>
        </w:rPr>
        <w:t xml:space="preserve">onsolidáciu </w:t>
      </w:r>
      <w:r w:rsidR="007975D1">
        <w:rPr>
          <w:rFonts w:asciiTheme="majorHAnsi" w:hAnsiTheme="majorHAnsi" w:cs="Calibri"/>
          <w:szCs w:val="22"/>
          <w:lang w:val="sk-SK"/>
        </w:rPr>
        <w:t>AK</w:t>
      </w:r>
      <w:r w:rsidR="002855C4" w:rsidRPr="00A11FE0">
        <w:rPr>
          <w:rFonts w:asciiTheme="majorHAnsi" w:hAnsiTheme="majorHAnsi" w:cs="Calibri"/>
          <w:szCs w:val="22"/>
          <w:lang w:val="sk-SK"/>
        </w:rPr>
        <w:t xml:space="preserve"> </w:t>
      </w:r>
      <w:r>
        <w:rPr>
          <w:rFonts w:asciiTheme="majorHAnsi" w:hAnsiTheme="majorHAnsi" w:cs="Calibri"/>
          <w:szCs w:val="22"/>
          <w:lang w:val="sk-SK"/>
        </w:rPr>
        <w:t>ak</w:t>
      </w:r>
      <w:r w:rsidR="002855C4" w:rsidRPr="00A11FE0">
        <w:rPr>
          <w:rFonts w:asciiTheme="majorHAnsi" w:hAnsiTheme="majorHAnsi" w:cs="Calibri"/>
          <w:szCs w:val="22"/>
          <w:lang w:val="sk-SK"/>
        </w:rPr>
        <w:t>o dynamického</w:t>
      </w:r>
      <w:r w:rsidR="00CA132F">
        <w:rPr>
          <w:rFonts w:asciiTheme="majorHAnsi" w:hAnsiTheme="majorHAnsi" w:cs="Calibri"/>
          <w:szCs w:val="22"/>
          <w:lang w:val="sk-SK"/>
        </w:rPr>
        <w:t xml:space="preserve"> </w:t>
      </w:r>
      <w:r>
        <w:rPr>
          <w:rFonts w:asciiTheme="majorHAnsi" w:hAnsiTheme="majorHAnsi" w:cs="Calibri"/>
          <w:szCs w:val="22"/>
          <w:lang w:val="sk-SK"/>
        </w:rPr>
        <w:t>a</w:t>
      </w:r>
      <w:r w:rsidR="00CA132F">
        <w:rPr>
          <w:rFonts w:asciiTheme="majorHAnsi" w:hAnsiTheme="majorHAnsi" w:cs="Calibri"/>
          <w:szCs w:val="22"/>
          <w:lang w:val="sk-SK"/>
        </w:rPr>
        <w:t> </w:t>
      </w:r>
      <w:r w:rsidR="002855C4" w:rsidRPr="00A11FE0">
        <w:rPr>
          <w:rFonts w:asciiTheme="majorHAnsi" w:hAnsiTheme="majorHAnsi" w:cs="Calibri"/>
          <w:szCs w:val="22"/>
          <w:lang w:val="sk-SK"/>
        </w:rPr>
        <w:t>vzájomne</w:t>
      </w:r>
      <w:r w:rsidR="00CA132F">
        <w:rPr>
          <w:rFonts w:asciiTheme="majorHAnsi" w:hAnsiTheme="majorHAnsi" w:cs="Calibri"/>
          <w:szCs w:val="22"/>
          <w:lang w:val="sk-SK"/>
        </w:rPr>
        <w:t xml:space="preserve"> </w:t>
      </w:r>
      <w:r w:rsidR="002855C4" w:rsidRPr="00A11FE0">
        <w:rPr>
          <w:rFonts w:asciiTheme="majorHAnsi" w:hAnsiTheme="majorHAnsi" w:cs="Calibri"/>
          <w:szCs w:val="22"/>
          <w:lang w:val="sk-SK"/>
        </w:rPr>
        <w:t>prepojeného celku.</w:t>
      </w:r>
    </w:p>
    <w:p w:rsidR="00090380" w:rsidRPr="002232BB" w:rsidRDefault="00090380" w:rsidP="003F0750">
      <w:pPr>
        <w:pStyle w:val="Zoznamsodrkami"/>
        <w:numPr>
          <w:ilvl w:val="0"/>
          <w:numId w:val="0"/>
        </w:numPr>
        <w:spacing w:before="120" w:after="120"/>
        <w:rPr>
          <w:rFonts w:asciiTheme="majorHAnsi" w:hAnsiTheme="majorHAnsi" w:cs="Calibri"/>
          <w:szCs w:val="22"/>
          <w:lang w:val="sk-SK"/>
        </w:rPr>
      </w:pPr>
      <w:r>
        <w:rPr>
          <w:rFonts w:asciiTheme="majorHAnsi" w:hAnsiTheme="majorHAnsi" w:cs="Calibri"/>
          <w:szCs w:val="22"/>
          <w:lang w:val="sk-SK"/>
        </w:rPr>
        <w:t>Pre efektívnu a účinnú implementáciu EPFRV</w:t>
      </w:r>
      <w:r w:rsidR="007975D1">
        <w:rPr>
          <w:rFonts w:asciiTheme="majorHAnsi" w:hAnsiTheme="majorHAnsi" w:cs="Calibri"/>
          <w:szCs w:val="22"/>
          <w:lang w:val="sk-SK"/>
        </w:rPr>
        <w:t xml:space="preserve"> a</w:t>
      </w:r>
      <w:r w:rsidR="00CA132F">
        <w:rPr>
          <w:rFonts w:asciiTheme="majorHAnsi" w:hAnsiTheme="majorHAnsi" w:cs="Calibri"/>
          <w:szCs w:val="22"/>
          <w:lang w:val="sk-SK"/>
        </w:rPr>
        <w:t> </w:t>
      </w:r>
      <w:r w:rsidR="007975D1">
        <w:rPr>
          <w:rFonts w:asciiTheme="majorHAnsi" w:hAnsiTheme="majorHAnsi" w:cs="Calibri"/>
          <w:szCs w:val="22"/>
          <w:lang w:val="sk-SK"/>
        </w:rPr>
        <w:t>ENRF</w:t>
      </w:r>
      <w:r>
        <w:rPr>
          <w:rFonts w:asciiTheme="majorHAnsi" w:hAnsiTheme="majorHAnsi" w:cs="Calibri"/>
          <w:szCs w:val="22"/>
          <w:lang w:val="sk-SK"/>
        </w:rPr>
        <w:t xml:space="preserve"> bude potrebné posilnenie </w:t>
      </w:r>
      <w:r w:rsidR="007975D1">
        <w:rPr>
          <w:rFonts w:asciiTheme="majorHAnsi" w:hAnsiTheme="majorHAnsi" w:cs="Calibri"/>
          <w:szCs w:val="22"/>
          <w:lang w:val="sk-SK"/>
        </w:rPr>
        <w:t>AK</w:t>
      </w:r>
      <w:r>
        <w:rPr>
          <w:rFonts w:asciiTheme="majorHAnsi" w:hAnsiTheme="majorHAnsi" w:cs="Calibri"/>
          <w:szCs w:val="22"/>
          <w:lang w:val="sk-SK"/>
        </w:rPr>
        <w:t>, vo väzbe na nov</w:t>
      </w:r>
      <w:r w:rsidR="004F50A5">
        <w:rPr>
          <w:rFonts w:asciiTheme="majorHAnsi" w:hAnsiTheme="majorHAnsi" w:cs="Calibri"/>
          <w:szCs w:val="22"/>
          <w:lang w:val="sk-SK"/>
        </w:rPr>
        <w:t>é</w:t>
      </w:r>
      <w:r>
        <w:rPr>
          <w:rFonts w:asciiTheme="majorHAnsi" w:hAnsiTheme="majorHAnsi" w:cs="Calibri"/>
          <w:szCs w:val="22"/>
          <w:lang w:val="sk-SK"/>
        </w:rPr>
        <w:t xml:space="preserve"> prvky SPP, v oblasti </w:t>
      </w:r>
      <w:r w:rsidR="006D6733">
        <w:rPr>
          <w:rFonts w:asciiTheme="majorHAnsi" w:hAnsiTheme="majorHAnsi" w:cs="Calibri"/>
          <w:szCs w:val="22"/>
          <w:lang w:val="sk-SK"/>
        </w:rPr>
        <w:t xml:space="preserve">monitorovania </w:t>
      </w:r>
      <w:r>
        <w:rPr>
          <w:rFonts w:asciiTheme="majorHAnsi" w:hAnsiTheme="majorHAnsi" w:cs="Calibri"/>
          <w:szCs w:val="22"/>
          <w:lang w:val="sk-SK"/>
        </w:rPr>
        <w:t>a hodnotenia v rámci oboch pilierov SPP, zadefinovanie potrieb vo vzťahu k zabezpečeniu výkonného a efektívneho riadenia a kontroly.</w:t>
      </w:r>
    </w:p>
    <w:p w:rsidR="002855C4" w:rsidRPr="00A11FE0" w:rsidRDefault="002855C4" w:rsidP="002232BB">
      <w:pPr>
        <w:spacing w:before="240"/>
        <w:rPr>
          <w:rFonts w:asciiTheme="majorHAnsi" w:hAnsiTheme="majorHAnsi"/>
          <w:b/>
          <w:szCs w:val="22"/>
        </w:rPr>
      </w:pPr>
      <w:r w:rsidRPr="00A11FE0">
        <w:rPr>
          <w:rFonts w:asciiTheme="majorHAnsi" w:hAnsiTheme="majorHAnsi"/>
          <w:b/>
          <w:szCs w:val="22"/>
        </w:rPr>
        <w:t xml:space="preserve">Štruktúra </w:t>
      </w:r>
      <w:r w:rsidR="00BD5FD5">
        <w:rPr>
          <w:rFonts w:asciiTheme="majorHAnsi" w:hAnsiTheme="majorHAnsi"/>
          <w:b/>
          <w:szCs w:val="22"/>
        </w:rPr>
        <w:t>a</w:t>
      </w:r>
      <w:r w:rsidR="00186FB3">
        <w:rPr>
          <w:rFonts w:asciiTheme="majorHAnsi" w:hAnsiTheme="majorHAnsi"/>
          <w:b/>
          <w:szCs w:val="22"/>
        </w:rPr>
        <w:t> </w:t>
      </w:r>
      <w:r w:rsidRPr="00A11FE0">
        <w:rPr>
          <w:rFonts w:asciiTheme="majorHAnsi" w:hAnsiTheme="majorHAnsi"/>
          <w:b/>
          <w:szCs w:val="22"/>
        </w:rPr>
        <w:t>procesná</w:t>
      </w:r>
      <w:r w:rsidR="00186FB3">
        <w:rPr>
          <w:rFonts w:asciiTheme="majorHAnsi" w:hAnsiTheme="majorHAnsi"/>
          <w:b/>
          <w:szCs w:val="22"/>
        </w:rPr>
        <w:t xml:space="preserve"> </w:t>
      </w:r>
      <w:r w:rsidRPr="00A11FE0">
        <w:rPr>
          <w:rFonts w:asciiTheme="majorHAnsi" w:hAnsiTheme="majorHAnsi"/>
          <w:b/>
          <w:szCs w:val="22"/>
        </w:rPr>
        <w:t xml:space="preserve">optimalizácia </w:t>
      </w:r>
      <w:r w:rsidR="00BD5FD5">
        <w:rPr>
          <w:rFonts w:asciiTheme="majorHAnsi" w:hAnsiTheme="majorHAnsi"/>
          <w:b/>
          <w:szCs w:val="22"/>
        </w:rPr>
        <w:t>a</w:t>
      </w:r>
      <w:r w:rsidRPr="00A11FE0">
        <w:rPr>
          <w:rFonts w:asciiTheme="majorHAnsi" w:hAnsiTheme="majorHAnsi"/>
          <w:b/>
          <w:szCs w:val="22"/>
        </w:rPr>
        <w:t xml:space="preserve">dministratívnych </w:t>
      </w:r>
      <w:r w:rsidR="00BD5FD5">
        <w:rPr>
          <w:rFonts w:asciiTheme="majorHAnsi" w:hAnsiTheme="majorHAnsi"/>
          <w:b/>
          <w:szCs w:val="22"/>
        </w:rPr>
        <w:t>k</w:t>
      </w:r>
      <w:r w:rsidRPr="00A11FE0">
        <w:rPr>
          <w:rFonts w:asciiTheme="majorHAnsi" w:hAnsiTheme="majorHAnsi"/>
          <w:b/>
          <w:szCs w:val="22"/>
        </w:rPr>
        <w:t>apacít</w:t>
      </w:r>
    </w:p>
    <w:p w:rsidR="00D621F6" w:rsidRDefault="002855C4" w:rsidP="002855C4">
      <w:pPr>
        <w:rPr>
          <w:rFonts w:asciiTheme="majorHAnsi" w:hAnsiTheme="majorHAnsi"/>
          <w:szCs w:val="22"/>
        </w:rPr>
      </w:pPr>
      <w:r w:rsidRPr="00A11FE0">
        <w:rPr>
          <w:rFonts w:asciiTheme="majorHAnsi" w:hAnsiTheme="majorHAnsi"/>
          <w:szCs w:val="22"/>
        </w:rPr>
        <w:t>V</w:t>
      </w:r>
      <w:r w:rsidR="00186FB3">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úlade</w:t>
      </w:r>
      <w:r w:rsidR="00186FB3">
        <w:rPr>
          <w:rFonts w:asciiTheme="majorHAnsi" w:hAnsiTheme="majorHAnsi"/>
          <w:szCs w:val="22"/>
        </w:rPr>
        <w:t xml:space="preserve"> </w:t>
      </w:r>
      <w:r w:rsidR="00BD5FD5">
        <w:rPr>
          <w:rFonts w:asciiTheme="majorHAnsi" w:hAnsiTheme="majorHAnsi"/>
          <w:szCs w:val="22"/>
        </w:rPr>
        <w:t>s</w:t>
      </w:r>
      <w:r w:rsidR="00186FB3">
        <w:rPr>
          <w:rFonts w:asciiTheme="majorHAnsi" w:hAnsiTheme="majorHAnsi"/>
          <w:szCs w:val="22"/>
        </w:rPr>
        <w:t> </w:t>
      </w:r>
      <w:r w:rsidRPr="00A11FE0">
        <w:rPr>
          <w:rFonts w:asciiTheme="majorHAnsi" w:hAnsiTheme="majorHAnsi"/>
          <w:szCs w:val="22"/>
        </w:rPr>
        <w:t>princípom</w:t>
      </w:r>
      <w:r w:rsidR="00186FB3">
        <w:rPr>
          <w:rFonts w:asciiTheme="majorHAnsi" w:hAnsiTheme="majorHAnsi"/>
          <w:szCs w:val="22"/>
        </w:rPr>
        <w:t xml:space="preserve"> </w:t>
      </w:r>
      <w:r w:rsidRPr="00A11FE0">
        <w:rPr>
          <w:rFonts w:asciiTheme="majorHAnsi" w:hAnsiTheme="majorHAnsi"/>
          <w:szCs w:val="22"/>
        </w:rPr>
        <w:t xml:space="preserve">tematickej </w:t>
      </w:r>
      <w:r w:rsidR="00BD5FD5">
        <w:rPr>
          <w:rFonts w:asciiTheme="majorHAnsi" w:hAnsiTheme="majorHAnsi"/>
          <w:szCs w:val="22"/>
        </w:rPr>
        <w:t>k</w:t>
      </w:r>
      <w:r w:rsidRPr="00A11FE0">
        <w:rPr>
          <w:rFonts w:asciiTheme="majorHAnsi" w:hAnsiTheme="majorHAnsi"/>
          <w:szCs w:val="22"/>
        </w:rPr>
        <w:t xml:space="preserve">oncentrácie dôjde </w:t>
      </w:r>
      <w:r w:rsidR="00BD5FD5">
        <w:rPr>
          <w:rFonts w:asciiTheme="majorHAnsi" w:hAnsiTheme="majorHAnsi"/>
          <w:szCs w:val="22"/>
        </w:rPr>
        <w:t>k</w:t>
      </w:r>
      <w:r w:rsidR="00186FB3">
        <w:rPr>
          <w:rFonts w:asciiTheme="majorHAnsi" w:hAnsiTheme="majorHAnsi"/>
          <w:szCs w:val="22"/>
        </w:rPr>
        <w:t> </w:t>
      </w:r>
      <w:r w:rsidRPr="00A11FE0">
        <w:rPr>
          <w:rFonts w:asciiTheme="majorHAnsi" w:hAnsiTheme="majorHAnsi"/>
          <w:szCs w:val="22"/>
        </w:rPr>
        <w:t>zníženiu</w:t>
      </w:r>
      <w:r w:rsidR="00186FB3">
        <w:rPr>
          <w:rFonts w:asciiTheme="majorHAnsi" w:hAnsiTheme="majorHAnsi"/>
          <w:szCs w:val="22"/>
        </w:rPr>
        <w:t xml:space="preserve"> </w:t>
      </w:r>
      <w:r w:rsidRPr="00A11FE0">
        <w:rPr>
          <w:rFonts w:asciiTheme="majorHAnsi" w:hAnsiTheme="majorHAnsi"/>
          <w:szCs w:val="22"/>
        </w:rPr>
        <w:t xml:space="preserve">počtu </w:t>
      </w:r>
      <w:r w:rsidR="00BD5FD5">
        <w:rPr>
          <w:rFonts w:asciiTheme="majorHAnsi" w:hAnsiTheme="majorHAnsi"/>
          <w:szCs w:val="22"/>
        </w:rPr>
        <w:t>s</w:t>
      </w:r>
      <w:r w:rsidRPr="00A11FE0">
        <w:rPr>
          <w:rFonts w:asciiTheme="majorHAnsi" w:hAnsiTheme="majorHAnsi"/>
          <w:szCs w:val="22"/>
        </w:rPr>
        <w:t xml:space="preserve">ubjektov zapojených do implementácie EŠIF </w:t>
      </w:r>
      <w:r w:rsidR="00BD5FD5">
        <w:rPr>
          <w:rFonts w:asciiTheme="majorHAnsi" w:hAnsiTheme="majorHAnsi"/>
          <w:szCs w:val="22"/>
        </w:rPr>
        <w:t>a</w:t>
      </w:r>
      <w:r w:rsidRPr="00A11FE0">
        <w:rPr>
          <w:rFonts w:asciiTheme="majorHAnsi" w:hAnsiTheme="majorHAnsi"/>
          <w:szCs w:val="22"/>
        </w:rPr>
        <w:t xml:space="preserve"> zníženiu počtu implementačných </w:t>
      </w:r>
      <w:r w:rsidR="00BD5FD5">
        <w:rPr>
          <w:rFonts w:asciiTheme="majorHAnsi" w:hAnsiTheme="majorHAnsi"/>
          <w:szCs w:val="22"/>
        </w:rPr>
        <w:t>s</w:t>
      </w:r>
      <w:r w:rsidRPr="00A11FE0">
        <w:rPr>
          <w:rFonts w:asciiTheme="majorHAnsi" w:hAnsiTheme="majorHAnsi"/>
          <w:szCs w:val="22"/>
        </w:rPr>
        <w:t xml:space="preserve">tupňov, čo však </w:t>
      </w:r>
      <w:r w:rsidR="00BD5FD5">
        <w:rPr>
          <w:rFonts w:asciiTheme="majorHAnsi" w:hAnsiTheme="majorHAnsi"/>
          <w:szCs w:val="22"/>
        </w:rPr>
        <w:t>s</w:t>
      </w:r>
      <w:r w:rsidRPr="00A11FE0">
        <w:rPr>
          <w:rFonts w:asciiTheme="majorHAnsi" w:hAnsiTheme="majorHAnsi"/>
          <w:szCs w:val="22"/>
        </w:rPr>
        <w:t>amé o </w:t>
      </w:r>
      <w:r w:rsidR="00BD5FD5">
        <w:rPr>
          <w:rFonts w:asciiTheme="majorHAnsi" w:hAnsiTheme="majorHAnsi"/>
          <w:szCs w:val="22"/>
        </w:rPr>
        <w:t>s</w:t>
      </w:r>
      <w:r w:rsidRPr="00A11FE0">
        <w:rPr>
          <w:rFonts w:asciiTheme="majorHAnsi" w:hAnsiTheme="majorHAnsi"/>
          <w:szCs w:val="22"/>
        </w:rPr>
        <w:t xml:space="preserve">ebe </w:t>
      </w:r>
      <w:r w:rsidR="00FE3191">
        <w:rPr>
          <w:rFonts w:asciiTheme="majorHAnsi" w:hAnsiTheme="majorHAnsi"/>
          <w:szCs w:val="22"/>
        </w:rPr>
        <w:t>nepostačuje</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účasťou prípravy využívania EŠIF v programovom období 2014 – 2020 je i</w:t>
      </w:r>
      <w:r w:rsidR="00186FB3">
        <w:rPr>
          <w:rFonts w:asciiTheme="majorHAnsi" w:hAnsiTheme="majorHAnsi"/>
          <w:szCs w:val="22"/>
        </w:rPr>
        <w:t> </w:t>
      </w:r>
      <w:r w:rsidRPr="00A11FE0">
        <w:rPr>
          <w:rFonts w:asciiTheme="majorHAnsi" w:hAnsiTheme="majorHAnsi"/>
          <w:szCs w:val="22"/>
        </w:rPr>
        <w:t>vyhodnotenie</w:t>
      </w:r>
      <w:r w:rsidR="00186FB3">
        <w:rPr>
          <w:rFonts w:asciiTheme="majorHAnsi" w:hAnsiTheme="majorHAnsi"/>
          <w:szCs w:val="22"/>
        </w:rPr>
        <w:t xml:space="preserve"> </w:t>
      </w:r>
      <w:r w:rsidRPr="00A11FE0">
        <w:rPr>
          <w:rFonts w:asciiTheme="majorHAnsi" w:hAnsiTheme="majorHAnsi"/>
          <w:szCs w:val="22"/>
        </w:rPr>
        <w:t xml:space="preserve">fungovania riadiacich </w:t>
      </w:r>
      <w:r w:rsidR="00BD5FD5">
        <w:rPr>
          <w:rFonts w:asciiTheme="majorHAnsi" w:hAnsiTheme="majorHAnsi"/>
          <w:szCs w:val="22"/>
        </w:rPr>
        <w:t>a</w:t>
      </w:r>
      <w:r w:rsidR="00323F70">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oordinačných</w:t>
      </w:r>
      <w:r w:rsidR="00323F70">
        <w:rPr>
          <w:rFonts w:asciiTheme="majorHAnsi" w:hAnsiTheme="majorHAnsi"/>
          <w:szCs w:val="22"/>
        </w:rPr>
        <w:t xml:space="preserve"> </w:t>
      </w:r>
      <w:r w:rsidRPr="00A11FE0">
        <w:rPr>
          <w:rFonts w:asciiTheme="majorHAnsi" w:hAnsiTheme="majorHAnsi"/>
          <w:szCs w:val="22"/>
        </w:rPr>
        <w:t xml:space="preserve">štruktúr </w:t>
      </w:r>
      <w:r w:rsidR="00BD5FD5">
        <w:rPr>
          <w:rFonts w:asciiTheme="majorHAnsi" w:hAnsiTheme="majorHAnsi"/>
          <w:szCs w:val="22"/>
        </w:rPr>
        <w:t>a</w:t>
      </w:r>
      <w:r w:rsidR="00186FB3">
        <w:rPr>
          <w:rFonts w:asciiTheme="majorHAnsi" w:hAnsiTheme="majorHAnsi"/>
          <w:szCs w:val="22"/>
        </w:rPr>
        <w:t> </w:t>
      </w:r>
      <w:r w:rsidRPr="00A11FE0">
        <w:rPr>
          <w:rFonts w:asciiTheme="majorHAnsi" w:hAnsiTheme="majorHAnsi"/>
          <w:szCs w:val="22"/>
        </w:rPr>
        <w:t>následná</w:t>
      </w:r>
      <w:r w:rsidR="00186FB3">
        <w:rPr>
          <w:rFonts w:asciiTheme="majorHAnsi" w:hAnsiTheme="majorHAnsi"/>
          <w:szCs w:val="22"/>
        </w:rPr>
        <w:t xml:space="preserve"> </w:t>
      </w:r>
      <w:r w:rsidRPr="00A11FE0">
        <w:rPr>
          <w:rFonts w:asciiTheme="majorHAnsi" w:hAnsiTheme="majorHAnsi"/>
          <w:szCs w:val="22"/>
        </w:rPr>
        <w:t xml:space="preserve">racionalizácia štruktúry </w:t>
      </w:r>
      <w:r w:rsidR="00BD5FD5">
        <w:rPr>
          <w:rFonts w:asciiTheme="majorHAnsi" w:hAnsiTheme="majorHAnsi"/>
          <w:szCs w:val="22"/>
        </w:rPr>
        <w:t>s</w:t>
      </w:r>
      <w:r w:rsidRPr="00A11FE0">
        <w:rPr>
          <w:rFonts w:asciiTheme="majorHAnsi" w:hAnsiTheme="majorHAnsi"/>
          <w:szCs w:val="22"/>
        </w:rPr>
        <w:t xml:space="preserve">ubjektov </w:t>
      </w:r>
      <w:r w:rsidR="00BD5FD5">
        <w:rPr>
          <w:rFonts w:asciiTheme="majorHAnsi" w:hAnsiTheme="majorHAnsi"/>
          <w:szCs w:val="22"/>
        </w:rPr>
        <w:t>a</w:t>
      </w:r>
      <w:r w:rsidRPr="00A11FE0">
        <w:rPr>
          <w:rFonts w:asciiTheme="majorHAnsi" w:hAnsiTheme="majorHAnsi"/>
          <w:szCs w:val="22"/>
        </w:rPr>
        <w:t xml:space="preserve"> procesov, </w:t>
      </w:r>
      <w:r w:rsidR="00BD5FD5">
        <w:rPr>
          <w:rFonts w:asciiTheme="majorHAnsi" w:hAnsiTheme="majorHAnsi"/>
          <w:szCs w:val="22"/>
        </w:rPr>
        <w:t>s</w:t>
      </w:r>
      <w:r w:rsidRPr="00A11FE0">
        <w:rPr>
          <w:rFonts w:asciiTheme="majorHAnsi" w:hAnsiTheme="majorHAnsi"/>
          <w:szCs w:val="22"/>
        </w:rPr>
        <w:t xml:space="preserve">polu </w:t>
      </w:r>
      <w:r w:rsidR="00BD5FD5">
        <w:rPr>
          <w:rFonts w:asciiTheme="majorHAnsi" w:hAnsiTheme="majorHAnsi"/>
          <w:szCs w:val="22"/>
        </w:rPr>
        <w:t>s</w:t>
      </w:r>
      <w:r w:rsidRPr="00A11FE0">
        <w:rPr>
          <w:rFonts w:asciiTheme="majorHAnsi" w:hAnsiTheme="majorHAnsi"/>
          <w:szCs w:val="22"/>
        </w:rPr>
        <w:t xml:space="preserve">o zjednodušením metód, pravidiel </w:t>
      </w:r>
      <w:r w:rsidR="00BD5FD5">
        <w:rPr>
          <w:rFonts w:asciiTheme="majorHAnsi" w:hAnsiTheme="majorHAnsi"/>
          <w:szCs w:val="22"/>
        </w:rPr>
        <w:t>a</w:t>
      </w:r>
      <w:r w:rsidR="00186FB3">
        <w:rPr>
          <w:rFonts w:asciiTheme="majorHAnsi" w:hAnsiTheme="majorHAnsi"/>
          <w:szCs w:val="22"/>
        </w:rPr>
        <w:t> </w:t>
      </w:r>
      <w:r w:rsidRPr="00A11FE0">
        <w:rPr>
          <w:rFonts w:asciiTheme="majorHAnsi" w:hAnsiTheme="majorHAnsi"/>
          <w:szCs w:val="22"/>
        </w:rPr>
        <w:t>postupov</w:t>
      </w:r>
      <w:r w:rsidR="00186FB3">
        <w:rPr>
          <w:rFonts w:asciiTheme="majorHAnsi" w:hAnsiTheme="majorHAnsi"/>
          <w:szCs w:val="22"/>
        </w:rPr>
        <w:t xml:space="preserve"> </w:t>
      </w:r>
      <w:r w:rsidRPr="00A11FE0">
        <w:rPr>
          <w:rFonts w:asciiTheme="majorHAnsi" w:hAnsiTheme="majorHAnsi"/>
          <w:szCs w:val="22"/>
        </w:rPr>
        <w:t>pri implementácii EŠIF. Z</w:t>
      </w:r>
      <w:r w:rsidR="00186FB3">
        <w:rPr>
          <w:rFonts w:asciiTheme="majorHAnsi" w:hAnsiTheme="majorHAnsi"/>
          <w:szCs w:val="22"/>
        </w:rPr>
        <w:t> </w:t>
      </w:r>
      <w:r w:rsidRPr="00A11FE0">
        <w:rPr>
          <w:rFonts w:asciiTheme="majorHAnsi" w:hAnsiTheme="majorHAnsi"/>
          <w:szCs w:val="22"/>
        </w:rPr>
        <w:t>hľadiska</w:t>
      </w:r>
      <w:r w:rsidR="00186FB3">
        <w:rPr>
          <w:rFonts w:asciiTheme="majorHAnsi" w:hAnsiTheme="majorHAnsi"/>
          <w:szCs w:val="22"/>
        </w:rPr>
        <w:t xml:space="preserve"> </w:t>
      </w:r>
      <w:r w:rsidR="00FE3191">
        <w:rPr>
          <w:rFonts w:asciiTheme="majorHAnsi" w:hAnsiTheme="majorHAnsi"/>
          <w:szCs w:val="22"/>
        </w:rPr>
        <w:t>AK</w:t>
      </w:r>
      <w:r w:rsidRPr="00A11FE0">
        <w:rPr>
          <w:rFonts w:asciiTheme="majorHAnsi" w:hAnsiTheme="majorHAnsi"/>
          <w:szCs w:val="22"/>
        </w:rPr>
        <w:t xml:space="preserve"> </w:t>
      </w:r>
      <w:r w:rsidR="00BD5FD5">
        <w:rPr>
          <w:rFonts w:asciiTheme="majorHAnsi" w:hAnsiTheme="majorHAnsi"/>
          <w:szCs w:val="22"/>
        </w:rPr>
        <w:t>a</w:t>
      </w:r>
      <w:r w:rsidR="00186FB3">
        <w:rPr>
          <w:rFonts w:asciiTheme="majorHAnsi" w:hAnsiTheme="majorHAnsi"/>
          <w:szCs w:val="22"/>
        </w:rPr>
        <w:t> </w:t>
      </w:r>
      <w:r w:rsidRPr="00A11FE0">
        <w:rPr>
          <w:rFonts w:asciiTheme="majorHAnsi" w:hAnsiTheme="majorHAnsi"/>
          <w:szCs w:val="22"/>
        </w:rPr>
        <w:t>ich</w:t>
      </w:r>
      <w:r w:rsidR="00186FB3">
        <w:rPr>
          <w:rFonts w:asciiTheme="majorHAnsi" w:hAnsiTheme="majorHAnsi"/>
          <w:szCs w:val="22"/>
        </w:rPr>
        <w:t xml:space="preserve"> </w:t>
      </w:r>
      <w:r w:rsidRPr="00A11FE0">
        <w:rPr>
          <w:rFonts w:asciiTheme="majorHAnsi" w:hAnsiTheme="majorHAnsi"/>
          <w:szCs w:val="22"/>
        </w:rPr>
        <w:t xml:space="preserve">výkonu je potrebné zaviesť opatrenia na zvýšenie plynulosti </w:t>
      </w:r>
      <w:r w:rsidR="00BD5FD5">
        <w:rPr>
          <w:rFonts w:asciiTheme="majorHAnsi" w:hAnsiTheme="majorHAnsi"/>
          <w:szCs w:val="22"/>
        </w:rPr>
        <w:t>a</w:t>
      </w:r>
      <w:r w:rsidR="00186FB3">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orektnosti</w:t>
      </w:r>
      <w:r w:rsidR="00186FB3">
        <w:rPr>
          <w:rFonts w:asciiTheme="majorHAnsi" w:hAnsiTheme="majorHAnsi"/>
          <w:szCs w:val="22"/>
        </w:rPr>
        <w:t xml:space="preserve"> </w:t>
      </w:r>
      <w:r w:rsidR="00090380">
        <w:rPr>
          <w:rFonts w:asciiTheme="majorHAnsi" w:hAnsiTheme="majorHAnsi"/>
          <w:szCs w:val="22"/>
        </w:rPr>
        <w:t>VO</w:t>
      </w:r>
      <w:r w:rsidRPr="00A11FE0">
        <w:rPr>
          <w:rFonts w:asciiTheme="majorHAnsi" w:hAnsiTheme="majorHAnsi"/>
          <w:szCs w:val="22"/>
        </w:rPr>
        <w:t xml:space="preserve"> </w:t>
      </w:r>
      <w:r w:rsidR="00BD5FD5">
        <w:rPr>
          <w:rFonts w:asciiTheme="majorHAnsi" w:hAnsiTheme="majorHAnsi"/>
          <w:szCs w:val="22"/>
        </w:rPr>
        <w:t>ak</w:t>
      </w:r>
      <w:r w:rsidRPr="00A11FE0">
        <w:rPr>
          <w:rFonts w:asciiTheme="majorHAnsi" w:hAnsiTheme="majorHAnsi"/>
          <w:szCs w:val="22"/>
        </w:rPr>
        <w:t>o jednej z</w:t>
      </w:r>
      <w:r w:rsidR="00323F70">
        <w:rPr>
          <w:rFonts w:asciiTheme="majorHAnsi" w:hAnsiTheme="majorHAnsi"/>
          <w:szCs w:val="22"/>
        </w:rPr>
        <w:t> </w:t>
      </w:r>
      <w:r w:rsidRPr="00A11FE0">
        <w:rPr>
          <w:rFonts w:asciiTheme="majorHAnsi" w:hAnsiTheme="majorHAnsi"/>
          <w:szCs w:val="22"/>
        </w:rPr>
        <w:t>najproblematickejších</w:t>
      </w:r>
      <w:r w:rsidR="00323F70">
        <w:rPr>
          <w:rFonts w:asciiTheme="majorHAnsi" w:hAnsiTheme="majorHAnsi"/>
          <w:szCs w:val="22"/>
        </w:rPr>
        <w:t xml:space="preserve"> </w:t>
      </w:r>
      <w:r w:rsidRPr="00A11FE0">
        <w:rPr>
          <w:rFonts w:asciiTheme="majorHAnsi" w:hAnsiTheme="majorHAnsi"/>
          <w:szCs w:val="22"/>
        </w:rPr>
        <w:t>oblastí implementácie EŠIF</w:t>
      </w:r>
      <w:r w:rsidR="00FA03AA">
        <w:rPr>
          <w:rFonts w:asciiTheme="majorHAnsi" w:hAnsiTheme="majorHAnsi"/>
          <w:szCs w:val="22"/>
        </w:rPr>
        <w:t>,</w:t>
      </w:r>
      <w:r w:rsidRPr="00A11FE0">
        <w:rPr>
          <w:rFonts w:asciiTheme="majorHAnsi" w:hAnsiTheme="majorHAnsi"/>
          <w:szCs w:val="22"/>
        </w:rPr>
        <w:t xml:space="preserve"> vrátane intenzívnejšieho zapojenia Úradu pre verejné obstarávanie (</w:t>
      </w:r>
      <w:r w:rsidR="00186FB3">
        <w:rPr>
          <w:rFonts w:asciiTheme="majorHAnsi" w:hAnsiTheme="majorHAnsi"/>
          <w:szCs w:val="22"/>
        </w:rPr>
        <w:t>ďalej len „</w:t>
      </w:r>
      <w:r w:rsidRPr="00A11FE0">
        <w:rPr>
          <w:rFonts w:asciiTheme="majorHAnsi" w:hAnsiTheme="majorHAnsi"/>
          <w:szCs w:val="22"/>
        </w:rPr>
        <w:t>ÚVO</w:t>
      </w:r>
      <w:r w:rsidR="00186FB3">
        <w:rPr>
          <w:rFonts w:asciiTheme="majorHAnsi" w:hAnsiTheme="majorHAnsi"/>
          <w:szCs w:val="22"/>
        </w:rPr>
        <w:t>“</w:t>
      </w:r>
      <w:r w:rsidRPr="00A11FE0">
        <w:rPr>
          <w:rFonts w:asciiTheme="majorHAnsi" w:hAnsiTheme="majorHAnsi"/>
          <w:szCs w:val="22"/>
        </w:rPr>
        <w:t xml:space="preserve">) do </w:t>
      </w:r>
      <w:r w:rsidR="00BD5FD5">
        <w:rPr>
          <w:rFonts w:asciiTheme="majorHAnsi" w:hAnsiTheme="majorHAnsi"/>
          <w:szCs w:val="22"/>
        </w:rPr>
        <w:t>k</w:t>
      </w:r>
      <w:r w:rsidRPr="00A11FE0">
        <w:rPr>
          <w:rFonts w:asciiTheme="majorHAnsi" w:hAnsiTheme="majorHAnsi"/>
          <w:szCs w:val="22"/>
        </w:rPr>
        <w:t xml:space="preserve">ontroly </w:t>
      </w:r>
      <w:r w:rsidR="00090380">
        <w:rPr>
          <w:rFonts w:asciiTheme="majorHAnsi" w:hAnsiTheme="majorHAnsi"/>
          <w:szCs w:val="22"/>
        </w:rPr>
        <w:t>VO</w:t>
      </w:r>
      <w:r w:rsidRPr="00A11FE0">
        <w:rPr>
          <w:rFonts w:asciiTheme="majorHAnsi" w:hAnsiTheme="majorHAnsi"/>
          <w:szCs w:val="22"/>
        </w:rPr>
        <w:t xml:space="preserve">. </w:t>
      </w:r>
      <w:r w:rsidR="00D621F6">
        <w:rPr>
          <w:rFonts w:asciiTheme="majorHAnsi" w:hAnsiTheme="majorHAnsi"/>
          <w:szCs w:val="22"/>
        </w:rPr>
        <w:t xml:space="preserve">Konkrétne opatrenia pre zvýšenie plynulosti a korektnosti VO z hľadiska </w:t>
      </w:r>
      <w:r w:rsidR="00FE3191">
        <w:rPr>
          <w:rFonts w:asciiTheme="majorHAnsi" w:hAnsiTheme="majorHAnsi"/>
          <w:szCs w:val="22"/>
        </w:rPr>
        <w:t xml:space="preserve">AK </w:t>
      </w:r>
      <w:r w:rsidR="00D621F6">
        <w:rPr>
          <w:rFonts w:asciiTheme="majorHAnsi" w:hAnsiTheme="majorHAnsi"/>
          <w:szCs w:val="22"/>
        </w:rPr>
        <w:t xml:space="preserve">budú založené na zintenzívnení spolupráce ÚVO a RO. RO bude povinný na základe centrálne stanovenej rizikovej analýzy zasielať rizikové VO na kontrolu ÚVO </w:t>
      </w:r>
      <w:r w:rsidR="00D621F6">
        <w:rPr>
          <w:rFonts w:asciiTheme="majorHAnsi" w:hAnsiTheme="majorHAnsi"/>
          <w:szCs w:val="22"/>
        </w:rPr>
        <w:lastRenderedPageBreak/>
        <w:t xml:space="preserve">v rámci formalizovanej spolupráce v oblasti poskytovania </w:t>
      </w:r>
      <w:r w:rsidR="00FC64BC">
        <w:rPr>
          <w:rFonts w:asciiTheme="majorHAnsi" w:hAnsiTheme="majorHAnsi"/>
          <w:szCs w:val="22"/>
        </w:rPr>
        <w:t xml:space="preserve">podpory </w:t>
      </w:r>
      <w:r w:rsidR="00D621F6">
        <w:rPr>
          <w:rFonts w:asciiTheme="majorHAnsi" w:hAnsiTheme="majorHAnsi"/>
          <w:szCs w:val="22"/>
        </w:rPr>
        <w:t>z EŠIF, ktorú bude zastrešovať CKO</w:t>
      </w:r>
      <w:r w:rsidR="00B34B14">
        <w:rPr>
          <w:rStyle w:val="Odkaznapoznmkupodiarou"/>
          <w:rFonts w:asciiTheme="majorHAnsi" w:hAnsiTheme="majorHAnsi"/>
          <w:szCs w:val="22"/>
        </w:rPr>
        <w:footnoteReference w:id="328"/>
      </w:r>
      <w:r w:rsidR="00D621F6">
        <w:rPr>
          <w:rFonts w:asciiTheme="majorHAnsi" w:hAnsiTheme="majorHAnsi"/>
          <w:szCs w:val="22"/>
        </w:rPr>
        <w:t xml:space="preserve">. </w:t>
      </w:r>
      <w:r w:rsidR="00D621F6" w:rsidRPr="004F50A5">
        <w:rPr>
          <w:rFonts w:asciiTheme="majorHAnsi" w:hAnsiTheme="majorHAnsi"/>
          <w:szCs w:val="22"/>
        </w:rPr>
        <w:t>ÚVO vypracuje jednotný výklad a metodiku pri uplatňovaní pravidiel VO pre potreby EŠIF.</w:t>
      </w:r>
    </w:p>
    <w:p w:rsidR="00186FB3" w:rsidRDefault="002855C4" w:rsidP="002855C4">
      <w:pPr>
        <w:rPr>
          <w:rFonts w:asciiTheme="majorHAnsi" w:hAnsiTheme="majorHAnsi"/>
          <w:szCs w:val="22"/>
        </w:rPr>
      </w:pPr>
      <w:r w:rsidRPr="00A11FE0">
        <w:rPr>
          <w:rFonts w:asciiTheme="majorHAnsi" w:hAnsiTheme="majorHAnsi"/>
          <w:szCs w:val="22"/>
        </w:rPr>
        <w:t xml:space="preserve">Procesná zmena </w:t>
      </w:r>
      <w:r w:rsidR="00BD5FD5">
        <w:rPr>
          <w:rFonts w:asciiTheme="majorHAnsi" w:hAnsiTheme="majorHAnsi"/>
          <w:szCs w:val="22"/>
        </w:rPr>
        <w:t>s</w:t>
      </w:r>
      <w:r w:rsidRPr="00A11FE0">
        <w:rPr>
          <w:rFonts w:asciiTheme="majorHAnsi" w:hAnsiTheme="majorHAnsi"/>
          <w:szCs w:val="22"/>
        </w:rPr>
        <w:t xml:space="preserve">a zameria </w:t>
      </w:r>
      <w:r w:rsidR="006D6733">
        <w:rPr>
          <w:rFonts w:asciiTheme="majorHAnsi" w:hAnsiTheme="majorHAnsi"/>
          <w:szCs w:val="22"/>
        </w:rPr>
        <w:t xml:space="preserve">aj </w:t>
      </w:r>
      <w:r w:rsidRPr="00A11FE0">
        <w:rPr>
          <w:rFonts w:asciiTheme="majorHAnsi" w:hAnsiTheme="majorHAnsi"/>
          <w:szCs w:val="22"/>
        </w:rPr>
        <w:t>na</w:t>
      </w:r>
      <w:r w:rsidR="00186FB3">
        <w:rPr>
          <w:rFonts w:asciiTheme="majorHAnsi" w:hAnsiTheme="majorHAnsi"/>
          <w:szCs w:val="22"/>
        </w:rPr>
        <w:t xml:space="preserve"> </w:t>
      </w:r>
      <w:r w:rsidRPr="00A11FE0">
        <w:rPr>
          <w:rFonts w:asciiTheme="majorHAnsi" w:hAnsiTheme="majorHAnsi"/>
          <w:szCs w:val="22"/>
        </w:rPr>
        <w:t xml:space="preserve">efektívnejšie rozdelenie </w:t>
      </w:r>
      <w:r w:rsidR="00BD5FD5">
        <w:rPr>
          <w:rFonts w:asciiTheme="majorHAnsi" w:hAnsiTheme="majorHAnsi"/>
          <w:szCs w:val="22"/>
        </w:rPr>
        <w:t>a</w:t>
      </w:r>
      <w:r w:rsidR="00186FB3">
        <w:rPr>
          <w:rFonts w:asciiTheme="majorHAnsi" w:hAnsiTheme="majorHAnsi"/>
          <w:szCs w:val="22"/>
        </w:rPr>
        <w:t> </w:t>
      </w:r>
      <w:r w:rsidRPr="00A11FE0">
        <w:rPr>
          <w:rFonts w:asciiTheme="majorHAnsi" w:hAnsiTheme="majorHAnsi"/>
          <w:szCs w:val="22"/>
        </w:rPr>
        <w:t>delegovanie</w:t>
      </w:r>
      <w:r w:rsidR="00186FB3">
        <w:rPr>
          <w:rFonts w:asciiTheme="majorHAnsi" w:hAnsiTheme="majorHAnsi"/>
          <w:szCs w:val="22"/>
        </w:rPr>
        <w:t xml:space="preserve"> </w:t>
      </w:r>
      <w:r w:rsidRPr="00A11FE0">
        <w:rPr>
          <w:rFonts w:asciiTheme="majorHAnsi" w:hAnsiTheme="majorHAnsi"/>
          <w:szCs w:val="22"/>
        </w:rPr>
        <w:t xml:space="preserve">činností </w:t>
      </w:r>
      <w:r w:rsidR="00BD5FD5">
        <w:rPr>
          <w:rFonts w:asciiTheme="majorHAnsi" w:hAnsiTheme="majorHAnsi"/>
          <w:szCs w:val="22"/>
        </w:rPr>
        <w:t>a</w:t>
      </w:r>
      <w:r w:rsidR="00186FB3">
        <w:rPr>
          <w:rFonts w:asciiTheme="majorHAnsi" w:hAnsiTheme="majorHAnsi"/>
          <w:szCs w:val="22"/>
        </w:rPr>
        <w:t> </w:t>
      </w:r>
      <w:r w:rsidRPr="00A11FE0">
        <w:rPr>
          <w:rFonts w:asciiTheme="majorHAnsi" w:hAnsiTheme="majorHAnsi"/>
          <w:szCs w:val="22"/>
        </w:rPr>
        <w:t>právomocí</w:t>
      </w:r>
      <w:r w:rsidR="00186FB3">
        <w:rPr>
          <w:rFonts w:asciiTheme="majorHAnsi" w:hAnsiTheme="majorHAnsi"/>
          <w:szCs w:val="22"/>
        </w:rPr>
        <w:t xml:space="preserve"> </w:t>
      </w:r>
      <w:r w:rsidRPr="00A11FE0">
        <w:rPr>
          <w:rFonts w:asciiTheme="majorHAnsi" w:hAnsiTheme="majorHAnsi"/>
          <w:szCs w:val="22"/>
        </w:rPr>
        <w:t>na úrovni RO</w:t>
      </w:r>
      <w:r w:rsidR="006D6733">
        <w:rPr>
          <w:rFonts w:asciiTheme="majorHAnsi" w:hAnsiTheme="majorHAnsi"/>
          <w:szCs w:val="22"/>
        </w:rPr>
        <w:t>.</w:t>
      </w:r>
      <w:r w:rsidR="005F0012">
        <w:rPr>
          <w:rFonts w:asciiTheme="majorHAnsi" w:hAnsiTheme="majorHAnsi"/>
          <w:szCs w:val="22"/>
        </w:rPr>
        <w:t xml:space="preserve"> </w:t>
      </w:r>
      <w:r w:rsidR="00D621F6">
        <w:rPr>
          <w:rFonts w:asciiTheme="majorHAnsi" w:hAnsiTheme="majorHAnsi"/>
          <w:szCs w:val="22"/>
        </w:rPr>
        <w:t>Bude zabezpečené posilnenie centrálnej regulačnej pozície CKO v prípravnej fáze (programovanie, metodická činnosť a pod.) a počas implementácie vo všetkých fázach</w:t>
      </w:r>
      <w:r w:rsidR="00F13AE5">
        <w:rPr>
          <w:rFonts w:asciiTheme="majorHAnsi" w:hAnsiTheme="majorHAnsi"/>
          <w:szCs w:val="22"/>
        </w:rPr>
        <w:t>. Uvedené sa zabezpečí</w:t>
      </w:r>
      <w:r w:rsidR="00D621F6">
        <w:rPr>
          <w:rFonts w:asciiTheme="majorHAnsi" w:hAnsiTheme="majorHAnsi"/>
          <w:szCs w:val="22"/>
        </w:rPr>
        <w:t xml:space="preserve"> prostredníctvom efektívneho systému monitorovania a hodnotenia napĺňania cieľov </w:t>
      </w:r>
      <w:r w:rsidR="005F0012">
        <w:rPr>
          <w:rFonts w:asciiTheme="majorHAnsi" w:hAnsiTheme="majorHAnsi"/>
          <w:szCs w:val="22"/>
        </w:rPr>
        <w:t xml:space="preserve">jednotlivých </w:t>
      </w:r>
      <w:r w:rsidR="00FE3191">
        <w:rPr>
          <w:rFonts w:asciiTheme="majorHAnsi" w:hAnsiTheme="majorHAnsi"/>
          <w:szCs w:val="22"/>
        </w:rPr>
        <w:t>programov</w:t>
      </w:r>
      <w:r w:rsidR="00D621F6">
        <w:rPr>
          <w:rFonts w:asciiTheme="majorHAnsi" w:hAnsiTheme="majorHAnsi"/>
          <w:szCs w:val="22"/>
        </w:rPr>
        <w:t xml:space="preserve">, s možnosťou reálneho dosahu na navrhovanie konkrétnych nápravných opatrení pri ich neplnení. Konkrétne práva </w:t>
      </w:r>
      <w:r w:rsidR="00F13AE5">
        <w:rPr>
          <w:rFonts w:asciiTheme="majorHAnsi" w:hAnsiTheme="majorHAnsi"/>
          <w:szCs w:val="22"/>
        </w:rPr>
        <w:t>a</w:t>
      </w:r>
      <w:r w:rsidR="00CA132F">
        <w:rPr>
          <w:rFonts w:asciiTheme="majorHAnsi" w:hAnsiTheme="majorHAnsi"/>
          <w:szCs w:val="22"/>
        </w:rPr>
        <w:t> </w:t>
      </w:r>
      <w:r w:rsidR="00D621F6">
        <w:rPr>
          <w:rFonts w:asciiTheme="majorHAnsi" w:hAnsiTheme="majorHAnsi"/>
          <w:szCs w:val="22"/>
        </w:rPr>
        <w:t>povinnosti</w:t>
      </w:r>
      <w:r w:rsidR="00CA132F">
        <w:rPr>
          <w:rFonts w:asciiTheme="majorHAnsi" w:hAnsiTheme="majorHAnsi"/>
          <w:szCs w:val="22"/>
        </w:rPr>
        <w:t xml:space="preserve"> </w:t>
      </w:r>
      <w:r w:rsidR="00D621F6">
        <w:rPr>
          <w:rFonts w:asciiTheme="majorHAnsi" w:hAnsiTheme="majorHAnsi"/>
          <w:szCs w:val="22"/>
        </w:rPr>
        <w:t>spojené s realizáciou nápravných</w:t>
      </w:r>
      <w:r w:rsidR="00FE3191">
        <w:rPr>
          <w:rFonts w:asciiTheme="majorHAnsi" w:hAnsiTheme="majorHAnsi"/>
          <w:szCs w:val="22"/>
        </w:rPr>
        <w:t xml:space="preserve"> a</w:t>
      </w:r>
      <w:r w:rsidR="00CA132F">
        <w:rPr>
          <w:rFonts w:asciiTheme="majorHAnsi" w:hAnsiTheme="majorHAnsi"/>
          <w:szCs w:val="22"/>
        </w:rPr>
        <w:t> </w:t>
      </w:r>
      <w:r w:rsidR="00FE3191">
        <w:rPr>
          <w:rFonts w:asciiTheme="majorHAnsi" w:hAnsiTheme="majorHAnsi"/>
          <w:szCs w:val="22"/>
        </w:rPr>
        <w:t>preventívnych</w:t>
      </w:r>
      <w:r w:rsidR="00CA132F">
        <w:rPr>
          <w:rFonts w:asciiTheme="majorHAnsi" w:hAnsiTheme="majorHAnsi"/>
          <w:szCs w:val="22"/>
        </w:rPr>
        <w:t xml:space="preserve"> </w:t>
      </w:r>
      <w:r w:rsidR="00D621F6">
        <w:rPr>
          <w:rFonts w:asciiTheme="majorHAnsi" w:hAnsiTheme="majorHAnsi"/>
          <w:szCs w:val="22"/>
        </w:rPr>
        <w:t>opatrení budú zadefinované v</w:t>
      </w:r>
      <w:r w:rsidR="00F13AE5">
        <w:rPr>
          <w:rFonts w:asciiTheme="majorHAnsi" w:hAnsiTheme="majorHAnsi"/>
          <w:szCs w:val="22"/>
        </w:rPr>
        <w:t> </w:t>
      </w:r>
      <w:r w:rsidR="00D621F6">
        <w:rPr>
          <w:rFonts w:asciiTheme="majorHAnsi" w:hAnsiTheme="majorHAnsi"/>
          <w:szCs w:val="22"/>
        </w:rPr>
        <w:t>legislatíve</w:t>
      </w:r>
      <w:r w:rsidR="00F13AE5">
        <w:rPr>
          <w:rFonts w:asciiTheme="majorHAnsi" w:hAnsiTheme="majorHAnsi"/>
          <w:szCs w:val="22"/>
        </w:rPr>
        <w:t xml:space="preserve"> S</w:t>
      </w:r>
      <w:r w:rsidR="00E60EFC">
        <w:rPr>
          <w:rFonts w:asciiTheme="majorHAnsi" w:hAnsiTheme="majorHAnsi"/>
          <w:szCs w:val="22"/>
        </w:rPr>
        <w:t>R</w:t>
      </w:r>
      <w:r w:rsidR="00D621F6">
        <w:rPr>
          <w:rFonts w:asciiTheme="majorHAnsi" w:hAnsiTheme="majorHAnsi"/>
          <w:szCs w:val="22"/>
        </w:rPr>
        <w:t xml:space="preserve"> a riadiacich dokumentoch EŠIF (napr. zákon o </w:t>
      </w:r>
      <w:r w:rsidR="00743134">
        <w:rPr>
          <w:rFonts w:asciiTheme="majorHAnsi" w:hAnsiTheme="majorHAnsi"/>
          <w:szCs w:val="22"/>
        </w:rPr>
        <w:t xml:space="preserve">podpore </w:t>
      </w:r>
      <w:r w:rsidR="00D621F6">
        <w:rPr>
          <w:rFonts w:asciiTheme="majorHAnsi" w:hAnsiTheme="majorHAnsi"/>
          <w:szCs w:val="22"/>
        </w:rPr>
        <w:t xml:space="preserve">z EŠIF, systém riadenia a kontroly EŠIF, akčné plány a pod.). </w:t>
      </w:r>
      <w:r w:rsidR="00E926FA">
        <w:rPr>
          <w:rFonts w:asciiTheme="majorHAnsi" w:hAnsiTheme="majorHAnsi"/>
          <w:szCs w:val="22"/>
        </w:rPr>
        <w:t xml:space="preserve">Predpokladom efektívneho výkonu uvedených činností je zabezpečenie inštitucionálnej stabilizácie CKO prostredníctvom posilnenia </w:t>
      </w:r>
      <w:r w:rsidR="00FE3191">
        <w:rPr>
          <w:rFonts w:asciiTheme="majorHAnsi" w:hAnsiTheme="majorHAnsi"/>
          <w:szCs w:val="22"/>
        </w:rPr>
        <w:t>AK</w:t>
      </w:r>
      <w:r w:rsidR="00E926FA">
        <w:rPr>
          <w:rFonts w:asciiTheme="majorHAnsi" w:hAnsiTheme="majorHAnsi"/>
          <w:szCs w:val="22"/>
        </w:rPr>
        <w:t xml:space="preserve"> a zefektívnenia štruktúry, vrátane dobudovania analytických kapacít.</w:t>
      </w:r>
    </w:p>
    <w:p w:rsidR="002855C4" w:rsidRPr="00A11FE0" w:rsidRDefault="00FE3191" w:rsidP="004F50A5">
      <w:pPr>
        <w:spacing w:before="0" w:after="0"/>
        <w:jc w:val="left"/>
        <w:rPr>
          <w:rFonts w:asciiTheme="majorHAnsi" w:hAnsiTheme="majorHAnsi"/>
          <w:b/>
          <w:szCs w:val="22"/>
        </w:rPr>
      </w:pPr>
      <w:r>
        <w:rPr>
          <w:rFonts w:asciiTheme="majorHAnsi" w:hAnsiTheme="majorHAnsi"/>
          <w:b/>
          <w:szCs w:val="22"/>
        </w:rPr>
        <w:t>Riadenie administratívnych kapacít</w:t>
      </w:r>
    </w:p>
    <w:p w:rsidR="00E926FA" w:rsidRDefault="00FE3191" w:rsidP="002855C4">
      <w:pPr>
        <w:rPr>
          <w:rFonts w:asciiTheme="majorHAnsi" w:hAnsiTheme="majorHAnsi"/>
          <w:szCs w:val="22"/>
        </w:rPr>
      </w:pPr>
      <w:r>
        <w:rPr>
          <w:rFonts w:asciiTheme="majorHAnsi" w:hAnsiTheme="majorHAnsi"/>
          <w:szCs w:val="22"/>
        </w:rPr>
        <w:t>AK</w:t>
      </w:r>
      <w:r w:rsidR="002855C4" w:rsidRPr="00A11FE0">
        <w:rPr>
          <w:rFonts w:asciiTheme="majorHAnsi" w:hAnsiTheme="majorHAnsi"/>
          <w:szCs w:val="22"/>
        </w:rPr>
        <w:t xml:space="preserve"> </w:t>
      </w:r>
      <w:r w:rsidR="00BD5FD5">
        <w:rPr>
          <w:rFonts w:asciiTheme="majorHAnsi" w:hAnsiTheme="majorHAnsi"/>
          <w:szCs w:val="22"/>
        </w:rPr>
        <w:t>s</w:t>
      </w:r>
      <w:r w:rsidR="002855C4" w:rsidRPr="00A11FE0">
        <w:rPr>
          <w:rFonts w:asciiTheme="majorHAnsi" w:hAnsiTheme="majorHAnsi"/>
          <w:szCs w:val="22"/>
        </w:rPr>
        <w:t xml:space="preserve">ú </w:t>
      </w:r>
      <w:r w:rsidR="00BD5FD5">
        <w:rPr>
          <w:rFonts w:asciiTheme="majorHAnsi" w:hAnsiTheme="majorHAnsi"/>
          <w:szCs w:val="22"/>
        </w:rPr>
        <w:t>k</w:t>
      </w:r>
      <w:r w:rsidR="002855C4" w:rsidRPr="00A11FE0">
        <w:rPr>
          <w:rFonts w:asciiTheme="majorHAnsi" w:hAnsiTheme="majorHAnsi"/>
          <w:szCs w:val="22"/>
        </w:rPr>
        <w:t xml:space="preserve">onfrontované nielen </w:t>
      </w:r>
      <w:r w:rsidR="00BD5FD5">
        <w:rPr>
          <w:rFonts w:asciiTheme="majorHAnsi" w:hAnsiTheme="majorHAnsi"/>
          <w:szCs w:val="22"/>
        </w:rPr>
        <w:t>s</w:t>
      </w:r>
      <w:r w:rsidR="002855C4" w:rsidRPr="00A11FE0">
        <w:rPr>
          <w:rFonts w:asciiTheme="majorHAnsi" w:hAnsiTheme="majorHAnsi"/>
          <w:szCs w:val="22"/>
        </w:rPr>
        <w:t xml:space="preserve"> výzvou vzájomnej </w:t>
      </w:r>
      <w:r w:rsidR="00BD5FD5">
        <w:rPr>
          <w:rFonts w:asciiTheme="majorHAnsi" w:hAnsiTheme="majorHAnsi"/>
          <w:szCs w:val="22"/>
        </w:rPr>
        <w:t>s</w:t>
      </w:r>
      <w:r w:rsidR="002855C4" w:rsidRPr="00A11FE0">
        <w:rPr>
          <w:rFonts w:asciiTheme="majorHAnsi" w:hAnsiTheme="majorHAnsi"/>
          <w:szCs w:val="22"/>
        </w:rPr>
        <w:t>polupráce</w:t>
      </w:r>
      <w:r w:rsidR="00F13AE5">
        <w:rPr>
          <w:rFonts w:asciiTheme="majorHAnsi" w:hAnsiTheme="majorHAnsi"/>
          <w:szCs w:val="22"/>
        </w:rPr>
        <w:t xml:space="preserve">, </w:t>
      </w:r>
      <w:r w:rsidR="002855C4" w:rsidRPr="00A11FE0">
        <w:rPr>
          <w:rFonts w:asciiTheme="majorHAnsi" w:hAnsiTheme="majorHAnsi"/>
          <w:szCs w:val="22"/>
        </w:rPr>
        <w:t xml:space="preserve">efektívneho vnútorného usporiadania </w:t>
      </w:r>
      <w:r w:rsidR="00BD5FD5">
        <w:rPr>
          <w:rFonts w:asciiTheme="majorHAnsi" w:hAnsiTheme="majorHAnsi"/>
          <w:szCs w:val="22"/>
        </w:rPr>
        <w:t>a</w:t>
      </w:r>
      <w:r w:rsidR="00186FB3">
        <w:rPr>
          <w:rFonts w:asciiTheme="majorHAnsi" w:hAnsiTheme="majorHAnsi"/>
          <w:szCs w:val="22"/>
        </w:rPr>
        <w:t> </w:t>
      </w:r>
      <w:r w:rsidR="002855C4" w:rsidRPr="00A11FE0">
        <w:rPr>
          <w:rFonts w:asciiTheme="majorHAnsi" w:hAnsiTheme="majorHAnsi"/>
          <w:szCs w:val="22"/>
        </w:rPr>
        <w:t>rozdelenia</w:t>
      </w:r>
      <w:r w:rsidR="00186FB3">
        <w:rPr>
          <w:rFonts w:asciiTheme="majorHAnsi" w:hAnsiTheme="majorHAnsi"/>
          <w:szCs w:val="22"/>
        </w:rPr>
        <w:t xml:space="preserve"> </w:t>
      </w:r>
      <w:r w:rsidR="002855C4" w:rsidRPr="00A11FE0">
        <w:rPr>
          <w:rFonts w:asciiTheme="majorHAnsi" w:hAnsiTheme="majorHAnsi"/>
          <w:szCs w:val="22"/>
        </w:rPr>
        <w:t xml:space="preserve">činností </w:t>
      </w:r>
      <w:r w:rsidR="00BD5FD5">
        <w:rPr>
          <w:rFonts w:asciiTheme="majorHAnsi" w:hAnsiTheme="majorHAnsi"/>
          <w:szCs w:val="22"/>
        </w:rPr>
        <w:t>a</w:t>
      </w:r>
      <w:r w:rsidR="002855C4" w:rsidRPr="00A11FE0">
        <w:rPr>
          <w:rFonts w:asciiTheme="majorHAnsi" w:hAnsiTheme="majorHAnsi"/>
          <w:szCs w:val="22"/>
        </w:rPr>
        <w:t xml:space="preserve"> právomocí, </w:t>
      </w:r>
      <w:r w:rsidR="00BD5FD5">
        <w:rPr>
          <w:rFonts w:asciiTheme="majorHAnsi" w:hAnsiTheme="majorHAnsi"/>
          <w:szCs w:val="22"/>
        </w:rPr>
        <w:t>a</w:t>
      </w:r>
      <w:r w:rsidR="002855C4" w:rsidRPr="00A11FE0">
        <w:rPr>
          <w:rFonts w:asciiTheme="majorHAnsi" w:hAnsiTheme="majorHAnsi"/>
          <w:szCs w:val="22"/>
        </w:rPr>
        <w:t>le i </w:t>
      </w:r>
      <w:r w:rsidR="00BD5FD5">
        <w:rPr>
          <w:rFonts w:asciiTheme="majorHAnsi" w:hAnsiTheme="majorHAnsi"/>
          <w:szCs w:val="22"/>
        </w:rPr>
        <w:t>s</w:t>
      </w:r>
      <w:r w:rsidR="002855C4" w:rsidRPr="00A11FE0">
        <w:rPr>
          <w:rFonts w:asciiTheme="majorHAnsi" w:hAnsiTheme="majorHAnsi"/>
          <w:szCs w:val="22"/>
        </w:rPr>
        <w:t xml:space="preserve"> potrebou vysokokvalitného personálneho </w:t>
      </w:r>
      <w:r w:rsidR="00F13AE5">
        <w:rPr>
          <w:rFonts w:asciiTheme="majorHAnsi" w:hAnsiTheme="majorHAnsi"/>
          <w:szCs w:val="22"/>
        </w:rPr>
        <w:t>riadenia</w:t>
      </w:r>
      <w:r w:rsidR="00F13AE5" w:rsidRPr="00A11FE0">
        <w:rPr>
          <w:rFonts w:asciiTheme="majorHAnsi" w:hAnsiTheme="majorHAnsi"/>
          <w:szCs w:val="22"/>
        </w:rPr>
        <w:t xml:space="preserve"> </w:t>
      </w:r>
      <w:r w:rsidR="00BD5FD5">
        <w:rPr>
          <w:rFonts w:asciiTheme="majorHAnsi" w:hAnsiTheme="majorHAnsi"/>
          <w:szCs w:val="22"/>
        </w:rPr>
        <w:t>a</w:t>
      </w:r>
      <w:r w:rsidR="002855C4" w:rsidRPr="00A11FE0">
        <w:rPr>
          <w:rFonts w:asciiTheme="majorHAnsi" w:hAnsiTheme="majorHAnsi"/>
          <w:szCs w:val="22"/>
        </w:rPr>
        <w:t xml:space="preserve"> rozvoja </w:t>
      </w:r>
      <w:r>
        <w:rPr>
          <w:rFonts w:asciiTheme="majorHAnsi" w:hAnsiTheme="majorHAnsi"/>
          <w:szCs w:val="22"/>
        </w:rPr>
        <w:t>AK</w:t>
      </w:r>
      <w:r w:rsidR="002855C4" w:rsidRPr="00A11FE0">
        <w:rPr>
          <w:rFonts w:asciiTheme="majorHAnsi" w:hAnsiTheme="majorHAnsi"/>
          <w:szCs w:val="22"/>
        </w:rPr>
        <w:t xml:space="preserve">. </w:t>
      </w:r>
      <w:r>
        <w:rPr>
          <w:rFonts w:asciiTheme="majorHAnsi" w:hAnsiTheme="majorHAnsi"/>
          <w:szCs w:val="22"/>
        </w:rPr>
        <w:t>Pre účely AK bude s</w:t>
      </w:r>
      <w:r w:rsidR="00E926FA">
        <w:rPr>
          <w:rFonts w:asciiTheme="majorHAnsi" w:hAnsiTheme="majorHAnsi"/>
          <w:szCs w:val="22"/>
        </w:rPr>
        <w:t xml:space="preserve">úbor opatrení </w:t>
      </w:r>
      <w:r>
        <w:rPr>
          <w:rFonts w:asciiTheme="majorHAnsi" w:hAnsiTheme="majorHAnsi"/>
          <w:szCs w:val="22"/>
        </w:rPr>
        <w:t xml:space="preserve">premietnutý </w:t>
      </w:r>
      <w:r w:rsidR="00E926FA">
        <w:rPr>
          <w:rFonts w:asciiTheme="majorHAnsi" w:hAnsiTheme="majorHAnsi"/>
          <w:szCs w:val="22"/>
        </w:rPr>
        <w:t xml:space="preserve">do ucelenej stratégie posilnenia a riadenia </w:t>
      </w:r>
      <w:r>
        <w:rPr>
          <w:rFonts w:asciiTheme="majorHAnsi" w:hAnsiTheme="majorHAnsi"/>
          <w:szCs w:val="22"/>
        </w:rPr>
        <w:t>AK</w:t>
      </w:r>
      <w:r w:rsidR="00E926FA">
        <w:rPr>
          <w:rFonts w:asciiTheme="majorHAnsi" w:hAnsiTheme="majorHAnsi"/>
          <w:szCs w:val="22"/>
        </w:rPr>
        <w:t xml:space="preserve"> zameranej na systémové zvyšovanie výkonnosti a dosiahnutie pozitívnych zmien už od začiatku programového obdobia 2014 – 2020.</w:t>
      </w:r>
    </w:p>
    <w:p w:rsidR="002855C4" w:rsidRPr="00A11FE0" w:rsidRDefault="00E926FA" w:rsidP="002855C4">
      <w:pPr>
        <w:rPr>
          <w:rFonts w:asciiTheme="majorHAnsi" w:hAnsiTheme="majorHAnsi"/>
          <w:szCs w:val="22"/>
        </w:rPr>
      </w:pPr>
      <w:r>
        <w:rPr>
          <w:rFonts w:asciiTheme="majorHAnsi" w:hAnsiTheme="majorHAnsi"/>
          <w:szCs w:val="22"/>
        </w:rPr>
        <w:t xml:space="preserve">Na základe výsledkov realizovanej analýzy </w:t>
      </w:r>
      <w:r w:rsidR="00FE3191">
        <w:rPr>
          <w:rFonts w:asciiTheme="majorHAnsi" w:hAnsiTheme="majorHAnsi"/>
          <w:szCs w:val="22"/>
        </w:rPr>
        <w:t>AK</w:t>
      </w:r>
      <w:r w:rsidR="00FE3191">
        <w:rPr>
          <w:rStyle w:val="Odkaznapoznmkupodiarou"/>
          <w:rFonts w:asciiTheme="majorHAnsi" w:hAnsiTheme="majorHAnsi"/>
          <w:szCs w:val="22"/>
        </w:rPr>
        <w:footnoteReference w:id="329"/>
      </w:r>
      <w:r w:rsidR="00F13AE5">
        <w:rPr>
          <w:rFonts w:asciiTheme="majorHAnsi" w:hAnsiTheme="majorHAnsi"/>
          <w:szCs w:val="22"/>
        </w:rPr>
        <w:t xml:space="preserve">, </w:t>
      </w:r>
      <w:r w:rsidR="005B4B68">
        <w:rPr>
          <w:rFonts w:asciiTheme="majorHAnsi" w:hAnsiTheme="majorHAnsi"/>
          <w:szCs w:val="22"/>
        </w:rPr>
        <w:t xml:space="preserve">je plánované </w:t>
      </w:r>
      <w:r w:rsidR="00F13AE5">
        <w:rPr>
          <w:rFonts w:asciiTheme="majorHAnsi" w:hAnsiTheme="majorHAnsi"/>
          <w:szCs w:val="22"/>
        </w:rPr>
        <w:t>na úrovni</w:t>
      </w:r>
      <w:r>
        <w:rPr>
          <w:rFonts w:asciiTheme="majorHAnsi" w:hAnsiTheme="majorHAnsi"/>
          <w:szCs w:val="22"/>
        </w:rPr>
        <w:t xml:space="preserve"> </w:t>
      </w:r>
      <w:r w:rsidR="00BD5FD5">
        <w:rPr>
          <w:rFonts w:asciiTheme="majorHAnsi" w:hAnsiTheme="majorHAnsi"/>
          <w:szCs w:val="22"/>
        </w:rPr>
        <w:t>S</w:t>
      </w:r>
      <w:r w:rsidR="002855C4" w:rsidRPr="00A11FE0">
        <w:rPr>
          <w:rFonts w:asciiTheme="majorHAnsi" w:hAnsiTheme="majorHAnsi"/>
          <w:szCs w:val="22"/>
        </w:rPr>
        <w:t xml:space="preserve">R </w:t>
      </w:r>
      <w:r w:rsidR="005B4B68" w:rsidRPr="00A11FE0">
        <w:rPr>
          <w:rFonts w:asciiTheme="majorHAnsi" w:hAnsiTheme="majorHAnsi"/>
          <w:szCs w:val="22"/>
        </w:rPr>
        <w:t>prij</w:t>
      </w:r>
      <w:r w:rsidR="005B4B68">
        <w:rPr>
          <w:rFonts w:asciiTheme="majorHAnsi" w:hAnsiTheme="majorHAnsi"/>
          <w:szCs w:val="22"/>
        </w:rPr>
        <w:t>atie</w:t>
      </w:r>
      <w:r w:rsidR="005B4B68" w:rsidRPr="00A11FE0">
        <w:rPr>
          <w:rFonts w:asciiTheme="majorHAnsi" w:hAnsiTheme="majorHAnsi"/>
          <w:szCs w:val="22"/>
        </w:rPr>
        <w:t xml:space="preserve"> </w:t>
      </w:r>
      <w:r w:rsidR="005B4B68">
        <w:rPr>
          <w:rFonts w:asciiTheme="majorHAnsi" w:hAnsiTheme="majorHAnsi"/>
          <w:szCs w:val="22"/>
        </w:rPr>
        <w:t xml:space="preserve">ucelenej stratégie </w:t>
      </w:r>
      <w:r>
        <w:rPr>
          <w:rFonts w:asciiTheme="majorHAnsi" w:hAnsiTheme="majorHAnsi"/>
          <w:szCs w:val="22"/>
        </w:rPr>
        <w:t xml:space="preserve">posilnenia a riadenia </w:t>
      </w:r>
      <w:r w:rsidR="005D048D">
        <w:rPr>
          <w:rFonts w:asciiTheme="majorHAnsi" w:hAnsiTheme="majorHAnsi"/>
          <w:szCs w:val="22"/>
        </w:rPr>
        <w:t>AK</w:t>
      </w:r>
      <w:r>
        <w:rPr>
          <w:rFonts w:asciiTheme="majorHAnsi" w:hAnsiTheme="majorHAnsi"/>
          <w:szCs w:val="22"/>
        </w:rPr>
        <w:t>. O</w:t>
      </w:r>
      <w:r w:rsidR="002855C4" w:rsidRPr="00A11FE0">
        <w:rPr>
          <w:rFonts w:asciiTheme="majorHAnsi" w:hAnsiTheme="majorHAnsi"/>
          <w:szCs w:val="22"/>
        </w:rPr>
        <w:t xml:space="preserve">patrenia </w:t>
      </w:r>
      <w:r>
        <w:rPr>
          <w:rFonts w:asciiTheme="majorHAnsi" w:hAnsiTheme="majorHAnsi"/>
          <w:szCs w:val="22"/>
        </w:rPr>
        <w:t xml:space="preserve">realizované v rámci tejto stratégie budú zamerané najmä </w:t>
      </w:r>
      <w:r w:rsidR="002855C4" w:rsidRPr="00A11FE0">
        <w:rPr>
          <w:rFonts w:asciiTheme="majorHAnsi" w:hAnsiTheme="majorHAnsi"/>
          <w:szCs w:val="22"/>
        </w:rPr>
        <w:t xml:space="preserve">na zvýšenie </w:t>
      </w:r>
      <w:r w:rsidR="00BD5FD5">
        <w:rPr>
          <w:rFonts w:asciiTheme="majorHAnsi" w:hAnsiTheme="majorHAnsi"/>
          <w:szCs w:val="22"/>
        </w:rPr>
        <w:t>k</w:t>
      </w:r>
      <w:r w:rsidR="002855C4" w:rsidRPr="00A11FE0">
        <w:rPr>
          <w:rFonts w:asciiTheme="majorHAnsi" w:hAnsiTheme="majorHAnsi"/>
          <w:szCs w:val="22"/>
        </w:rPr>
        <w:t xml:space="preserve">vality </w:t>
      </w:r>
      <w:r w:rsidR="00FE3191">
        <w:rPr>
          <w:rFonts w:asciiTheme="majorHAnsi" w:hAnsiTheme="majorHAnsi"/>
          <w:szCs w:val="22"/>
        </w:rPr>
        <w:t>AK</w:t>
      </w:r>
      <w:r w:rsidR="002855C4" w:rsidRPr="00A11FE0">
        <w:rPr>
          <w:rFonts w:asciiTheme="majorHAnsi" w:hAnsiTheme="majorHAnsi"/>
          <w:szCs w:val="22"/>
        </w:rPr>
        <w:t xml:space="preserve"> </w:t>
      </w:r>
      <w:r w:rsidR="00BD5FD5">
        <w:rPr>
          <w:rFonts w:asciiTheme="majorHAnsi" w:hAnsiTheme="majorHAnsi"/>
          <w:szCs w:val="22"/>
        </w:rPr>
        <w:t>s</w:t>
      </w:r>
      <w:r w:rsidR="002855C4" w:rsidRPr="00A11FE0">
        <w:rPr>
          <w:rFonts w:asciiTheme="majorHAnsi" w:hAnsiTheme="majorHAnsi"/>
          <w:szCs w:val="22"/>
        </w:rPr>
        <w:t> osobitným dôrazom na nasledovné oblasti:</w:t>
      </w:r>
    </w:p>
    <w:p w:rsidR="002855C4" w:rsidRPr="00A11FE0" w:rsidRDefault="00BD5FD5" w:rsidP="009B7C77">
      <w:pPr>
        <w:pStyle w:val="Odsekzoznamu"/>
        <w:numPr>
          <w:ilvl w:val="0"/>
          <w:numId w:val="22"/>
        </w:numPr>
        <w:spacing w:after="0"/>
        <w:ind w:left="425" w:hanging="357"/>
        <w:rPr>
          <w:rFonts w:asciiTheme="majorHAnsi" w:hAnsiTheme="majorHAnsi"/>
        </w:rPr>
      </w:pPr>
      <w:r>
        <w:rPr>
          <w:rFonts w:asciiTheme="majorHAnsi" w:hAnsiTheme="majorHAnsi"/>
        </w:rPr>
        <w:t>s</w:t>
      </w:r>
      <w:r w:rsidR="002855C4" w:rsidRPr="00A11FE0">
        <w:rPr>
          <w:rFonts w:asciiTheme="majorHAnsi" w:hAnsiTheme="majorHAnsi"/>
        </w:rPr>
        <w:t xml:space="preserve">tanovenie optimalizovanej pôsobnosti pre jednotlivé typové pozície, identifikácia </w:t>
      </w:r>
      <w:r>
        <w:rPr>
          <w:rFonts w:asciiTheme="majorHAnsi" w:hAnsiTheme="majorHAnsi"/>
        </w:rPr>
        <w:t>a</w:t>
      </w:r>
      <w:r w:rsidR="002855C4" w:rsidRPr="00A11FE0">
        <w:rPr>
          <w:rFonts w:asciiTheme="majorHAnsi" w:hAnsiTheme="majorHAnsi"/>
        </w:rPr>
        <w:t xml:space="preserve"> eliminácia duplicitných činností </w:t>
      </w:r>
      <w:r>
        <w:rPr>
          <w:rFonts w:asciiTheme="majorHAnsi" w:hAnsiTheme="majorHAnsi"/>
        </w:rPr>
        <w:t>a</w:t>
      </w:r>
      <w:r w:rsidR="002855C4" w:rsidRPr="00A11FE0">
        <w:rPr>
          <w:rFonts w:asciiTheme="majorHAnsi" w:hAnsiTheme="majorHAnsi"/>
        </w:rPr>
        <w:t xml:space="preserve"> vytvorenie štandardizovanej personálnej štruktúry pre </w:t>
      </w:r>
      <w:r>
        <w:rPr>
          <w:rFonts w:asciiTheme="majorHAnsi" w:hAnsiTheme="majorHAnsi"/>
        </w:rPr>
        <w:t>a</w:t>
      </w:r>
      <w:r w:rsidR="002855C4" w:rsidRPr="00A11FE0">
        <w:rPr>
          <w:rFonts w:asciiTheme="majorHAnsi" w:hAnsiTheme="majorHAnsi"/>
        </w:rPr>
        <w:t>dministráciu projektového (programového) cyklu;</w:t>
      </w:r>
    </w:p>
    <w:p w:rsidR="002855C4" w:rsidRPr="00A11FE0" w:rsidRDefault="002855C4" w:rsidP="009B7C77">
      <w:pPr>
        <w:pStyle w:val="Odsekzoznamu"/>
        <w:numPr>
          <w:ilvl w:val="0"/>
          <w:numId w:val="22"/>
        </w:numPr>
        <w:spacing w:before="0" w:after="0"/>
        <w:ind w:left="426"/>
        <w:rPr>
          <w:rFonts w:asciiTheme="majorHAnsi" w:hAnsiTheme="majorHAnsi"/>
        </w:rPr>
      </w:pPr>
      <w:r w:rsidRPr="00A11FE0">
        <w:rPr>
          <w:rFonts w:asciiTheme="majorHAnsi" w:hAnsiTheme="majorHAnsi"/>
        </w:rPr>
        <w:t xml:space="preserve">vytvorenie štandardizovaného </w:t>
      </w:r>
      <w:r w:rsidR="00BD5FD5">
        <w:rPr>
          <w:rFonts w:asciiTheme="majorHAnsi" w:hAnsiTheme="majorHAnsi"/>
        </w:rPr>
        <w:t>s</w:t>
      </w:r>
      <w:r w:rsidRPr="00A11FE0">
        <w:rPr>
          <w:rFonts w:asciiTheme="majorHAnsi" w:hAnsiTheme="majorHAnsi"/>
        </w:rPr>
        <w:t xml:space="preserve">ystému hodnotenia výkonnosti </w:t>
      </w:r>
      <w:r w:rsidR="00BD5FD5">
        <w:rPr>
          <w:rFonts w:asciiTheme="majorHAnsi" w:hAnsiTheme="majorHAnsi"/>
        </w:rPr>
        <w:t>a</w:t>
      </w:r>
      <w:r w:rsidRPr="00A11FE0">
        <w:rPr>
          <w:rFonts w:asciiTheme="majorHAnsi" w:hAnsiTheme="majorHAnsi"/>
        </w:rPr>
        <w:t> zjedno</w:t>
      </w:r>
      <w:r w:rsidR="00D018E1">
        <w:rPr>
          <w:rFonts w:asciiTheme="majorHAnsi" w:hAnsiTheme="majorHAnsi"/>
        </w:rPr>
        <w:t xml:space="preserve">tenie odmeňovania </w:t>
      </w:r>
      <w:r w:rsidR="00FE3191">
        <w:rPr>
          <w:rFonts w:asciiTheme="majorHAnsi" w:hAnsiTheme="majorHAnsi"/>
        </w:rPr>
        <w:t xml:space="preserve">AK </w:t>
      </w:r>
      <w:r w:rsidRPr="00A11FE0">
        <w:rPr>
          <w:rFonts w:asciiTheme="majorHAnsi" w:hAnsiTheme="majorHAnsi"/>
        </w:rPr>
        <w:t xml:space="preserve">pre všetky </w:t>
      </w:r>
      <w:r w:rsidR="00BD5FD5">
        <w:rPr>
          <w:rFonts w:asciiTheme="majorHAnsi" w:hAnsiTheme="majorHAnsi"/>
        </w:rPr>
        <w:t>s</w:t>
      </w:r>
      <w:r w:rsidRPr="00A11FE0">
        <w:rPr>
          <w:rFonts w:asciiTheme="majorHAnsi" w:hAnsiTheme="majorHAnsi"/>
        </w:rPr>
        <w:t xml:space="preserve">ubjekty, </w:t>
      </w:r>
      <w:r w:rsidR="00BD5FD5">
        <w:rPr>
          <w:rFonts w:asciiTheme="majorHAnsi" w:hAnsiTheme="majorHAnsi"/>
        </w:rPr>
        <w:t>k</w:t>
      </w:r>
      <w:r w:rsidRPr="00A11FE0">
        <w:rPr>
          <w:rFonts w:asciiTheme="majorHAnsi" w:hAnsiTheme="majorHAnsi"/>
        </w:rPr>
        <w:t xml:space="preserve">torý bude prevenciou pred vnútornou fluktuáciou v rámci </w:t>
      </w:r>
      <w:r w:rsidR="00111E14">
        <w:rPr>
          <w:rFonts w:asciiTheme="majorHAnsi" w:hAnsiTheme="majorHAnsi"/>
          <w:iCs/>
        </w:rPr>
        <w:t>subjektov</w:t>
      </w:r>
      <w:r w:rsidR="00111E14" w:rsidRPr="003F0750">
        <w:rPr>
          <w:rFonts w:asciiTheme="majorHAnsi" w:hAnsiTheme="majorHAnsi"/>
          <w:iCs/>
        </w:rPr>
        <w:t xml:space="preserve"> </w:t>
      </w:r>
      <w:r w:rsidR="00181612" w:rsidRPr="003F0750">
        <w:rPr>
          <w:rFonts w:asciiTheme="majorHAnsi" w:hAnsiTheme="majorHAnsi"/>
          <w:iCs/>
        </w:rPr>
        <w:t>zapojených do riadenia a</w:t>
      </w:r>
      <w:r w:rsidR="00F13AE5">
        <w:rPr>
          <w:rFonts w:asciiTheme="majorHAnsi" w:hAnsiTheme="majorHAnsi"/>
          <w:iCs/>
        </w:rPr>
        <w:t> </w:t>
      </w:r>
      <w:r w:rsidR="00181612" w:rsidRPr="003F0750">
        <w:rPr>
          <w:rFonts w:asciiTheme="majorHAnsi" w:hAnsiTheme="majorHAnsi"/>
          <w:iCs/>
        </w:rPr>
        <w:t>kontroly</w:t>
      </w:r>
      <w:r w:rsidR="00181612" w:rsidRPr="00181612" w:rsidDel="00181612">
        <w:rPr>
          <w:rFonts w:asciiTheme="majorHAnsi" w:hAnsiTheme="majorHAnsi"/>
        </w:rPr>
        <w:t xml:space="preserve"> </w:t>
      </w:r>
      <w:r w:rsidR="00BD5FD5">
        <w:rPr>
          <w:rFonts w:asciiTheme="majorHAnsi" w:hAnsiTheme="majorHAnsi"/>
        </w:rPr>
        <w:t>a</w:t>
      </w:r>
      <w:r w:rsidRPr="00A11FE0">
        <w:rPr>
          <w:rFonts w:asciiTheme="majorHAnsi" w:hAnsiTheme="majorHAnsi"/>
        </w:rPr>
        <w:t xml:space="preserve"> presunom </w:t>
      </w:r>
      <w:r w:rsidR="00FE3191">
        <w:rPr>
          <w:rFonts w:asciiTheme="majorHAnsi" w:hAnsiTheme="majorHAnsi"/>
        </w:rPr>
        <w:t>AK</w:t>
      </w:r>
      <w:r w:rsidRPr="00A11FE0">
        <w:rPr>
          <w:rFonts w:asciiTheme="majorHAnsi" w:hAnsiTheme="majorHAnsi"/>
        </w:rPr>
        <w:t xml:space="preserve"> medzi jednotlivými </w:t>
      </w:r>
      <w:r w:rsidR="00BD5FD5">
        <w:rPr>
          <w:rFonts w:asciiTheme="majorHAnsi" w:hAnsiTheme="majorHAnsi"/>
        </w:rPr>
        <w:t>s</w:t>
      </w:r>
      <w:r w:rsidRPr="00A11FE0">
        <w:rPr>
          <w:rFonts w:asciiTheme="majorHAnsi" w:hAnsiTheme="majorHAnsi"/>
        </w:rPr>
        <w:t>ubjektmi;</w:t>
      </w:r>
    </w:p>
    <w:p w:rsidR="002855C4" w:rsidRPr="00A11FE0" w:rsidRDefault="002855C4" w:rsidP="009B7C77">
      <w:pPr>
        <w:pStyle w:val="Odsekzoznamu"/>
        <w:numPr>
          <w:ilvl w:val="0"/>
          <w:numId w:val="22"/>
        </w:numPr>
        <w:spacing w:before="0" w:after="0"/>
        <w:ind w:left="426"/>
        <w:rPr>
          <w:rFonts w:asciiTheme="majorHAnsi" w:hAnsiTheme="majorHAnsi"/>
        </w:rPr>
      </w:pPr>
      <w:r w:rsidRPr="00A11FE0">
        <w:rPr>
          <w:rFonts w:asciiTheme="majorHAnsi" w:hAnsiTheme="majorHAnsi"/>
        </w:rPr>
        <w:t xml:space="preserve">vytvorenie štandardizovaného </w:t>
      </w:r>
      <w:r w:rsidR="00BD5FD5">
        <w:rPr>
          <w:rFonts w:asciiTheme="majorHAnsi" w:hAnsiTheme="majorHAnsi"/>
        </w:rPr>
        <w:t>s</w:t>
      </w:r>
      <w:r w:rsidRPr="00A11FE0">
        <w:rPr>
          <w:rFonts w:asciiTheme="majorHAnsi" w:hAnsiTheme="majorHAnsi"/>
        </w:rPr>
        <w:t xml:space="preserve">ystému </w:t>
      </w:r>
      <w:r w:rsidR="00BD5FD5">
        <w:rPr>
          <w:rFonts w:asciiTheme="majorHAnsi" w:hAnsiTheme="majorHAnsi"/>
        </w:rPr>
        <w:t>k</w:t>
      </w:r>
      <w:r w:rsidRPr="00A11FE0">
        <w:rPr>
          <w:rFonts w:asciiTheme="majorHAnsi" w:hAnsiTheme="majorHAnsi"/>
        </w:rPr>
        <w:t xml:space="preserve">ariérneho rastu </w:t>
      </w:r>
      <w:r w:rsidR="00BD5FD5">
        <w:rPr>
          <w:rFonts w:asciiTheme="majorHAnsi" w:hAnsiTheme="majorHAnsi"/>
        </w:rPr>
        <w:t>a</w:t>
      </w:r>
      <w:r w:rsidRPr="00A11FE0">
        <w:rPr>
          <w:rFonts w:asciiTheme="majorHAnsi" w:hAnsiTheme="majorHAnsi"/>
        </w:rPr>
        <w:t xml:space="preserve"> vzdelávania, </w:t>
      </w:r>
      <w:r w:rsidR="00BD5FD5">
        <w:rPr>
          <w:rFonts w:asciiTheme="majorHAnsi" w:hAnsiTheme="majorHAnsi"/>
        </w:rPr>
        <w:t>k</w:t>
      </w:r>
      <w:r w:rsidRPr="00A11FE0">
        <w:rPr>
          <w:rFonts w:asciiTheme="majorHAnsi" w:hAnsiTheme="majorHAnsi"/>
        </w:rPr>
        <w:t xml:space="preserve">torý by poskytoval perspektívu rozvoja </w:t>
      </w:r>
      <w:r w:rsidR="00FE3191">
        <w:rPr>
          <w:rFonts w:asciiTheme="majorHAnsi" w:hAnsiTheme="majorHAnsi"/>
        </w:rPr>
        <w:t>AK</w:t>
      </w:r>
      <w:r w:rsidR="00186FB3">
        <w:rPr>
          <w:rFonts w:asciiTheme="majorHAnsi" w:hAnsiTheme="majorHAnsi"/>
        </w:rPr>
        <w:t>;</w:t>
      </w:r>
    </w:p>
    <w:p w:rsidR="002855C4" w:rsidRPr="00A11FE0" w:rsidRDefault="00BD5FD5" w:rsidP="009B7C77">
      <w:pPr>
        <w:pStyle w:val="Odsekzoznamu"/>
        <w:numPr>
          <w:ilvl w:val="0"/>
          <w:numId w:val="22"/>
        </w:numPr>
        <w:spacing w:before="0" w:after="0"/>
        <w:ind w:left="426"/>
        <w:rPr>
          <w:rFonts w:asciiTheme="majorHAnsi" w:hAnsiTheme="majorHAnsi"/>
        </w:rPr>
      </w:pPr>
      <w:r>
        <w:rPr>
          <w:rFonts w:asciiTheme="majorHAnsi" w:hAnsiTheme="majorHAnsi"/>
        </w:rPr>
        <w:t>s</w:t>
      </w:r>
      <w:r w:rsidR="002855C4" w:rsidRPr="00A11FE0">
        <w:rPr>
          <w:rFonts w:asciiTheme="majorHAnsi" w:hAnsiTheme="majorHAnsi"/>
        </w:rPr>
        <w:t xml:space="preserve">tanovenie </w:t>
      </w:r>
      <w:r>
        <w:rPr>
          <w:rFonts w:asciiTheme="majorHAnsi" w:hAnsiTheme="majorHAnsi"/>
        </w:rPr>
        <w:t>k</w:t>
      </w:r>
      <w:r w:rsidR="002855C4" w:rsidRPr="00A11FE0">
        <w:rPr>
          <w:rFonts w:asciiTheme="majorHAnsi" w:hAnsiTheme="majorHAnsi"/>
        </w:rPr>
        <w:t xml:space="preserve">ritérií pre </w:t>
      </w:r>
      <w:r>
        <w:rPr>
          <w:rFonts w:asciiTheme="majorHAnsi" w:hAnsiTheme="majorHAnsi"/>
        </w:rPr>
        <w:t>s</w:t>
      </w:r>
      <w:r w:rsidR="002855C4" w:rsidRPr="00A11FE0">
        <w:rPr>
          <w:rFonts w:asciiTheme="majorHAnsi" w:hAnsiTheme="majorHAnsi"/>
        </w:rPr>
        <w:t xml:space="preserve">chémy tvorby </w:t>
      </w:r>
      <w:r>
        <w:rPr>
          <w:rFonts w:asciiTheme="majorHAnsi" w:hAnsiTheme="majorHAnsi"/>
        </w:rPr>
        <w:t>a</w:t>
      </w:r>
      <w:r w:rsidR="002855C4" w:rsidRPr="00A11FE0">
        <w:rPr>
          <w:rFonts w:asciiTheme="majorHAnsi" w:hAnsiTheme="majorHAnsi"/>
        </w:rPr>
        <w:t xml:space="preserve">dministratívno-personálnych potrieb jednotlivých </w:t>
      </w:r>
      <w:r>
        <w:rPr>
          <w:rFonts w:asciiTheme="majorHAnsi" w:hAnsiTheme="majorHAnsi"/>
        </w:rPr>
        <w:t>s</w:t>
      </w:r>
      <w:r w:rsidR="002855C4" w:rsidRPr="00A11FE0">
        <w:rPr>
          <w:rFonts w:asciiTheme="majorHAnsi" w:hAnsiTheme="majorHAnsi"/>
        </w:rPr>
        <w:t xml:space="preserve">ubjektov </w:t>
      </w:r>
      <w:r>
        <w:rPr>
          <w:rFonts w:asciiTheme="majorHAnsi" w:hAnsiTheme="majorHAnsi"/>
        </w:rPr>
        <w:t>a</w:t>
      </w:r>
      <w:r w:rsidR="002855C4" w:rsidRPr="00A11FE0">
        <w:rPr>
          <w:rFonts w:asciiTheme="majorHAnsi" w:hAnsiTheme="majorHAnsi"/>
        </w:rPr>
        <w:t xml:space="preserve"> vytvorenie </w:t>
      </w:r>
      <w:r>
        <w:rPr>
          <w:rFonts w:asciiTheme="majorHAnsi" w:hAnsiTheme="majorHAnsi"/>
        </w:rPr>
        <w:t>k</w:t>
      </w:r>
      <w:r w:rsidR="002855C4" w:rsidRPr="00A11FE0">
        <w:rPr>
          <w:rFonts w:asciiTheme="majorHAnsi" w:hAnsiTheme="majorHAnsi"/>
        </w:rPr>
        <w:t>valifikačných štandardov pre jednotlivé pozície;</w:t>
      </w:r>
    </w:p>
    <w:p w:rsidR="002855C4" w:rsidRDefault="002855C4" w:rsidP="009B7C77">
      <w:pPr>
        <w:pStyle w:val="Odsekzoznamu"/>
        <w:numPr>
          <w:ilvl w:val="0"/>
          <w:numId w:val="22"/>
        </w:numPr>
        <w:spacing w:before="0" w:after="0"/>
        <w:ind w:left="426"/>
        <w:rPr>
          <w:rFonts w:asciiTheme="majorHAnsi" w:hAnsiTheme="majorHAnsi"/>
        </w:rPr>
      </w:pPr>
      <w:r w:rsidRPr="00A11FE0">
        <w:rPr>
          <w:rFonts w:asciiTheme="majorHAnsi" w:hAnsiTheme="majorHAnsi"/>
        </w:rPr>
        <w:t xml:space="preserve">vytvorenie </w:t>
      </w:r>
      <w:r w:rsidR="00BD5FD5">
        <w:rPr>
          <w:rFonts w:asciiTheme="majorHAnsi" w:hAnsiTheme="majorHAnsi"/>
        </w:rPr>
        <w:t>s</w:t>
      </w:r>
      <w:r w:rsidRPr="00A11FE0">
        <w:rPr>
          <w:rFonts w:asciiTheme="majorHAnsi" w:hAnsiTheme="majorHAnsi"/>
        </w:rPr>
        <w:t xml:space="preserve">ystému tvorby opatrení na riešenie problémov </w:t>
      </w:r>
      <w:r w:rsidR="00FE3191">
        <w:rPr>
          <w:rFonts w:asciiTheme="majorHAnsi" w:hAnsiTheme="majorHAnsi"/>
        </w:rPr>
        <w:t>AK</w:t>
      </w:r>
      <w:r w:rsidRPr="00A11FE0">
        <w:rPr>
          <w:rFonts w:asciiTheme="majorHAnsi" w:hAnsiTheme="majorHAnsi"/>
        </w:rPr>
        <w:t xml:space="preserve"> na základe výsledkov </w:t>
      </w:r>
      <w:r w:rsidR="00BD5FD5">
        <w:rPr>
          <w:rFonts w:asciiTheme="majorHAnsi" w:hAnsiTheme="majorHAnsi"/>
        </w:rPr>
        <w:t>a</w:t>
      </w:r>
      <w:r w:rsidRPr="00A11FE0">
        <w:rPr>
          <w:rFonts w:asciiTheme="majorHAnsi" w:hAnsiTheme="majorHAnsi"/>
        </w:rPr>
        <w:t xml:space="preserve">nalýz, </w:t>
      </w:r>
      <w:r w:rsidR="00BD5FD5">
        <w:rPr>
          <w:rFonts w:asciiTheme="majorHAnsi" w:hAnsiTheme="majorHAnsi"/>
        </w:rPr>
        <w:t>a</w:t>
      </w:r>
      <w:r w:rsidRPr="00A11FE0">
        <w:rPr>
          <w:rFonts w:asciiTheme="majorHAnsi" w:hAnsiTheme="majorHAnsi"/>
        </w:rPr>
        <w:t xml:space="preserve">uditov </w:t>
      </w:r>
      <w:r w:rsidR="00BD5FD5">
        <w:rPr>
          <w:rFonts w:asciiTheme="majorHAnsi" w:hAnsiTheme="majorHAnsi"/>
        </w:rPr>
        <w:t>a</w:t>
      </w:r>
      <w:r w:rsidRPr="00A11FE0">
        <w:rPr>
          <w:rFonts w:asciiTheme="majorHAnsi" w:hAnsiTheme="majorHAnsi"/>
        </w:rPr>
        <w:t> </w:t>
      </w:r>
      <w:r w:rsidR="00BD5FD5">
        <w:rPr>
          <w:rFonts w:asciiTheme="majorHAnsi" w:hAnsiTheme="majorHAnsi"/>
        </w:rPr>
        <w:t>k</w:t>
      </w:r>
      <w:r w:rsidRPr="00A11FE0">
        <w:rPr>
          <w:rFonts w:asciiTheme="majorHAnsi" w:hAnsiTheme="majorHAnsi"/>
        </w:rPr>
        <w:t>ontrol;</w:t>
      </w:r>
    </w:p>
    <w:p w:rsidR="00E926FA" w:rsidRDefault="00E926FA" w:rsidP="009B7C77">
      <w:pPr>
        <w:pStyle w:val="Odsekzoznamu"/>
        <w:numPr>
          <w:ilvl w:val="0"/>
          <w:numId w:val="22"/>
        </w:numPr>
        <w:spacing w:before="0" w:after="0"/>
        <w:ind w:left="426"/>
        <w:rPr>
          <w:rFonts w:asciiTheme="majorHAnsi" w:hAnsiTheme="majorHAnsi"/>
        </w:rPr>
      </w:pPr>
      <w:r>
        <w:rPr>
          <w:rFonts w:asciiTheme="majorHAnsi" w:hAnsiTheme="majorHAnsi"/>
        </w:rPr>
        <w:t>obmedzenie vplyvu politických cyklov na personálne zmeny bude do 31. 12. 2014 zabezpečené prijatím nového zákona o štátnej službe</w:t>
      </w:r>
      <w:r w:rsidR="00F13AE5">
        <w:rPr>
          <w:rFonts w:asciiTheme="majorHAnsi" w:hAnsiTheme="majorHAnsi"/>
        </w:rPr>
        <w:t>. Tento zákon bude</w:t>
      </w:r>
      <w:r>
        <w:rPr>
          <w:rFonts w:asciiTheme="majorHAnsi" w:hAnsiTheme="majorHAnsi"/>
        </w:rPr>
        <w:t xml:space="preserve"> uprav</w:t>
      </w:r>
      <w:r w:rsidR="00F13AE5">
        <w:rPr>
          <w:rFonts w:asciiTheme="majorHAnsi" w:hAnsiTheme="majorHAnsi"/>
        </w:rPr>
        <w:t>ovať</w:t>
      </w:r>
      <w:r>
        <w:rPr>
          <w:rFonts w:asciiTheme="majorHAnsi" w:hAnsiTheme="majorHAnsi"/>
        </w:rPr>
        <w:t xml:space="preserve"> legislatívno-právne normy a postupy výberu a</w:t>
      </w:r>
      <w:r w:rsidR="00FE3191">
        <w:rPr>
          <w:rFonts w:asciiTheme="majorHAnsi" w:hAnsiTheme="majorHAnsi"/>
        </w:rPr>
        <w:t> </w:t>
      </w:r>
      <w:r>
        <w:rPr>
          <w:rFonts w:asciiTheme="majorHAnsi" w:hAnsiTheme="majorHAnsi"/>
        </w:rPr>
        <w:t>preraďovania</w:t>
      </w:r>
      <w:r w:rsidR="00FE3191">
        <w:rPr>
          <w:rFonts w:asciiTheme="majorHAnsi" w:hAnsiTheme="majorHAnsi"/>
        </w:rPr>
        <w:t xml:space="preserve"> </w:t>
      </w:r>
      <w:r w:rsidR="00FE3191" w:rsidRPr="00A813F4">
        <w:rPr>
          <w:rFonts w:asciiTheme="majorHAnsi" w:hAnsiTheme="majorHAnsi"/>
        </w:rPr>
        <w:t>štátnych</w:t>
      </w:r>
      <w:r w:rsidRPr="00E95CF8">
        <w:rPr>
          <w:rFonts w:asciiTheme="majorHAnsi" w:hAnsiTheme="majorHAnsi"/>
        </w:rPr>
        <w:t xml:space="preserve"> zamestnancov a</w:t>
      </w:r>
      <w:r w:rsidR="00FE3191" w:rsidRPr="00E95CF8">
        <w:rPr>
          <w:rFonts w:asciiTheme="majorHAnsi" w:hAnsiTheme="majorHAnsi"/>
        </w:rPr>
        <w:t> </w:t>
      </w:r>
      <w:r w:rsidRPr="00E95CF8">
        <w:rPr>
          <w:rFonts w:asciiTheme="majorHAnsi" w:hAnsiTheme="majorHAnsi"/>
        </w:rPr>
        <w:t>ukončovania</w:t>
      </w:r>
      <w:r w:rsidR="00FE3191" w:rsidRPr="00E95CF8">
        <w:rPr>
          <w:rFonts w:asciiTheme="majorHAnsi" w:hAnsiTheme="majorHAnsi"/>
        </w:rPr>
        <w:t xml:space="preserve"> </w:t>
      </w:r>
      <w:r w:rsidR="00FE3191" w:rsidRPr="00A813F4">
        <w:rPr>
          <w:rFonts w:asciiTheme="majorHAnsi" w:hAnsiTheme="majorHAnsi"/>
        </w:rPr>
        <w:t>štátnozamestnaneckého</w:t>
      </w:r>
      <w:r w:rsidRPr="00A813F4">
        <w:rPr>
          <w:rFonts w:asciiTheme="majorHAnsi" w:hAnsiTheme="majorHAnsi"/>
        </w:rPr>
        <w:t xml:space="preserve"> pomeru smerom</w:t>
      </w:r>
      <w:r>
        <w:rPr>
          <w:rFonts w:asciiTheme="majorHAnsi" w:hAnsiTheme="majorHAnsi"/>
        </w:rPr>
        <w:t xml:space="preserve"> k objektívnosti a transparentnosti riadenia </w:t>
      </w:r>
      <w:r w:rsidR="004651A8">
        <w:rPr>
          <w:rFonts w:asciiTheme="majorHAnsi" w:hAnsiTheme="majorHAnsi"/>
        </w:rPr>
        <w:t>AK</w:t>
      </w:r>
      <w:r>
        <w:rPr>
          <w:rFonts w:asciiTheme="majorHAnsi" w:hAnsiTheme="majorHAnsi"/>
        </w:rPr>
        <w:t xml:space="preserve">. </w:t>
      </w:r>
      <w:r w:rsidR="00F13AE5">
        <w:rPr>
          <w:rFonts w:asciiTheme="majorHAnsi" w:hAnsiTheme="majorHAnsi"/>
        </w:rPr>
        <w:t>Uvedená l</w:t>
      </w:r>
      <w:r>
        <w:rPr>
          <w:rFonts w:asciiTheme="majorHAnsi" w:hAnsiTheme="majorHAnsi"/>
        </w:rPr>
        <w:t>egislatívna úprava bude doplnená konkrétnymi opatreniami vo vzťahu k</w:t>
      </w:r>
      <w:r w:rsidR="00F13AE5">
        <w:rPr>
          <w:rFonts w:asciiTheme="majorHAnsi" w:hAnsiTheme="majorHAnsi"/>
        </w:rPr>
        <w:t> </w:t>
      </w:r>
      <w:r>
        <w:rPr>
          <w:rFonts w:asciiTheme="majorHAnsi" w:hAnsiTheme="majorHAnsi"/>
        </w:rPr>
        <w:t>EŠIF</w:t>
      </w:r>
      <w:r w:rsidR="00F13AE5">
        <w:rPr>
          <w:rFonts w:asciiTheme="majorHAnsi" w:hAnsiTheme="majorHAnsi"/>
        </w:rPr>
        <w:t>,</w:t>
      </w:r>
      <w:r>
        <w:rPr>
          <w:rFonts w:asciiTheme="majorHAnsi" w:hAnsiTheme="majorHAnsi"/>
        </w:rPr>
        <w:t xml:space="preserve"> a to najmä:</w:t>
      </w:r>
    </w:p>
    <w:p w:rsidR="00E926FA" w:rsidRDefault="00E926FA" w:rsidP="009B7C77">
      <w:pPr>
        <w:pStyle w:val="Odsekzoznamu"/>
        <w:numPr>
          <w:ilvl w:val="0"/>
          <w:numId w:val="21"/>
        </w:numPr>
        <w:spacing w:before="0" w:after="0"/>
        <w:rPr>
          <w:rFonts w:asciiTheme="majorHAnsi" w:hAnsiTheme="majorHAnsi"/>
        </w:rPr>
      </w:pPr>
      <w:r>
        <w:rPr>
          <w:rFonts w:asciiTheme="majorHAnsi" w:hAnsiTheme="majorHAnsi"/>
        </w:rPr>
        <w:t>zadefinovan</w:t>
      </w:r>
      <w:r w:rsidR="00F13AE5">
        <w:rPr>
          <w:rFonts w:asciiTheme="majorHAnsi" w:hAnsiTheme="majorHAnsi"/>
        </w:rPr>
        <w:t>ím</w:t>
      </w:r>
      <w:r>
        <w:rPr>
          <w:rFonts w:asciiTheme="majorHAnsi" w:hAnsiTheme="majorHAnsi"/>
        </w:rPr>
        <w:t xml:space="preserve"> návrhu optimalizácie organizačnej štruktúry a vytvorenie štandardizovanej personálnej štruktúry v rámci subjektov zapojených do implementácie EŠIF</w:t>
      </w:r>
      <w:r w:rsidR="006979B1">
        <w:rPr>
          <w:rFonts w:asciiTheme="majorHAnsi" w:hAnsiTheme="majorHAnsi"/>
        </w:rPr>
        <w:t>;</w:t>
      </w:r>
    </w:p>
    <w:p w:rsidR="00E926FA" w:rsidRDefault="00E926FA" w:rsidP="009B7C77">
      <w:pPr>
        <w:pStyle w:val="Odsekzoznamu"/>
        <w:numPr>
          <w:ilvl w:val="0"/>
          <w:numId w:val="21"/>
        </w:numPr>
        <w:spacing w:before="0" w:after="0"/>
        <w:rPr>
          <w:rFonts w:asciiTheme="majorHAnsi" w:hAnsiTheme="majorHAnsi"/>
        </w:rPr>
      </w:pPr>
      <w:r>
        <w:rPr>
          <w:rFonts w:asciiTheme="majorHAnsi" w:hAnsiTheme="majorHAnsi"/>
        </w:rPr>
        <w:t>osobitný</w:t>
      </w:r>
      <w:r w:rsidR="00F13AE5">
        <w:rPr>
          <w:rFonts w:asciiTheme="majorHAnsi" w:hAnsiTheme="majorHAnsi"/>
        </w:rPr>
        <w:t>m</w:t>
      </w:r>
      <w:r>
        <w:rPr>
          <w:rFonts w:asciiTheme="majorHAnsi" w:hAnsiTheme="majorHAnsi"/>
        </w:rPr>
        <w:t xml:space="preserve"> centrálny</w:t>
      </w:r>
      <w:r w:rsidR="00F13AE5">
        <w:rPr>
          <w:rFonts w:asciiTheme="majorHAnsi" w:hAnsiTheme="majorHAnsi"/>
        </w:rPr>
        <w:t>m</w:t>
      </w:r>
      <w:r>
        <w:rPr>
          <w:rFonts w:asciiTheme="majorHAnsi" w:hAnsiTheme="majorHAnsi"/>
        </w:rPr>
        <w:t xml:space="preserve"> dohľad</w:t>
      </w:r>
      <w:r w:rsidR="00F13AE5">
        <w:rPr>
          <w:rFonts w:asciiTheme="majorHAnsi" w:hAnsiTheme="majorHAnsi"/>
        </w:rPr>
        <w:t>om</w:t>
      </w:r>
      <w:r>
        <w:rPr>
          <w:rFonts w:asciiTheme="majorHAnsi" w:hAnsiTheme="majorHAnsi"/>
        </w:rPr>
        <w:t xml:space="preserve"> nad výkonom organizačných zmien na úrovni subjektov zapojených do implementácie EŠIF</w:t>
      </w:r>
      <w:r w:rsidR="006979B1">
        <w:rPr>
          <w:rFonts w:asciiTheme="majorHAnsi" w:hAnsiTheme="majorHAnsi"/>
        </w:rPr>
        <w:t>;</w:t>
      </w:r>
    </w:p>
    <w:p w:rsidR="00E926FA" w:rsidRPr="00A11FE0" w:rsidRDefault="00E926FA" w:rsidP="009B7C77">
      <w:pPr>
        <w:pStyle w:val="Odsekzoznamu"/>
        <w:numPr>
          <w:ilvl w:val="0"/>
          <w:numId w:val="21"/>
        </w:numPr>
        <w:spacing w:before="0" w:after="0"/>
        <w:rPr>
          <w:rFonts w:asciiTheme="majorHAnsi" w:hAnsiTheme="majorHAnsi"/>
        </w:rPr>
      </w:pPr>
      <w:r>
        <w:rPr>
          <w:rFonts w:asciiTheme="majorHAnsi" w:hAnsiTheme="majorHAnsi"/>
        </w:rPr>
        <w:t>prepojen</w:t>
      </w:r>
      <w:r w:rsidR="00F13AE5">
        <w:rPr>
          <w:rFonts w:asciiTheme="majorHAnsi" w:hAnsiTheme="majorHAnsi"/>
        </w:rPr>
        <w:t>ím</w:t>
      </w:r>
      <w:r>
        <w:rPr>
          <w:rFonts w:asciiTheme="majorHAnsi" w:hAnsiTheme="majorHAnsi"/>
        </w:rPr>
        <w:t xml:space="preserve"> oprávnenosti výdavkov na financovanie </w:t>
      </w:r>
      <w:r w:rsidR="004651A8">
        <w:rPr>
          <w:rFonts w:asciiTheme="majorHAnsi" w:hAnsiTheme="majorHAnsi"/>
        </w:rPr>
        <w:t>AK</w:t>
      </w:r>
      <w:r>
        <w:rPr>
          <w:rFonts w:asciiTheme="majorHAnsi" w:hAnsiTheme="majorHAnsi"/>
        </w:rPr>
        <w:t xml:space="preserve"> – identifikácia neoprávnenosti výdavkov v prípade účelových a politicky motivovaných zásahov v oblasti </w:t>
      </w:r>
      <w:r w:rsidR="004651A8">
        <w:rPr>
          <w:rFonts w:asciiTheme="majorHAnsi" w:hAnsiTheme="majorHAnsi"/>
        </w:rPr>
        <w:t>AK</w:t>
      </w:r>
      <w:r>
        <w:rPr>
          <w:rFonts w:asciiTheme="majorHAnsi" w:hAnsiTheme="majorHAnsi"/>
        </w:rPr>
        <w:t>.</w:t>
      </w:r>
    </w:p>
    <w:p w:rsidR="00B34B14" w:rsidRDefault="002855C4" w:rsidP="009B7C77">
      <w:pPr>
        <w:pStyle w:val="Odsekzoznamu"/>
        <w:numPr>
          <w:ilvl w:val="0"/>
          <w:numId w:val="22"/>
        </w:numPr>
        <w:spacing w:before="0"/>
        <w:ind w:left="425" w:hanging="357"/>
        <w:rPr>
          <w:rFonts w:asciiTheme="majorHAnsi" w:hAnsiTheme="majorHAnsi"/>
        </w:rPr>
      </w:pPr>
      <w:r w:rsidRPr="00A11FE0">
        <w:rPr>
          <w:rFonts w:asciiTheme="majorHAnsi" w:hAnsiTheme="majorHAnsi"/>
        </w:rPr>
        <w:lastRenderedPageBreak/>
        <w:t xml:space="preserve">zavedenie </w:t>
      </w:r>
      <w:r w:rsidR="00BD5FD5">
        <w:rPr>
          <w:rFonts w:asciiTheme="majorHAnsi" w:hAnsiTheme="majorHAnsi"/>
        </w:rPr>
        <w:t>s</w:t>
      </w:r>
      <w:r w:rsidRPr="00A11FE0">
        <w:rPr>
          <w:rFonts w:asciiTheme="majorHAnsi" w:hAnsiTheme="majorHAnsi"/>
        </w:rPr>
        <w:t xml:space="preserve">ystematických opatrení umožňujúcich </w:t>
      </w:r>
      <w:r w:rsidR="00BD5FD5">
        <w:rPr>
          <w:rFonts w:asciiTheme="majorHAnsi" w:hAnsiTheme="majorHAnsi"/>
        </w:rPr>
        <w:t>k</w:t>
      </w:r>
      <w:r w:rsidRPr="00A11FE0">
        <w:rPr>
          <w:rFonts w:asciiTheme="majorHAnsi" w:hAnsiTheme="majorHAnsi"/>
        </w:rPr>
        <w:t xml:space="preserve">ontrolu výkonu verejnej moci </w:t>
      </w:r>
      <w:r w:rsidR="00BD5FD5">
        <w:rPr>
          <w:rFonts w:asciiTheme="majorHAnsi" w:hAnsiTheme="majorHAnsi"/>
        </w:rPr>
        <w:t>a</w:t>
      </w:r>
      <w:r w:rsidRPr="00A11FE0">
        <w:rPr>
          <w:rFonts w:asciiTheme="majorHAnsi" w:hAnsiTheme="majorHAnsi"/>
        </w:rPr>
        <w:t xml:space="preserve"> podporujúcich boj proti </w:t>
      </w:r>
      <w:r w:rsidR="00BD5FD5">
        <w:rPr>
          <w:rFonts w:asciiTheme="majorHAnsi" w:hAnsiTheme="majorHAnsi"/>
        </w:rPr>
        <w:t>k</w:t>
      </w:r>
      <w:r w:rsidRPr="00A11FE0">
        <w:rPr>
          <w:rFonts w:asciiTheme="majorHAnsi" w:hAnsiTheme="majorHAnsi"/>
        </w:rPr>
        <w:t>orupcii</w:t>
      </w:r>
      <w:r w:rsidR="00B34B14">
        <w:rPr>
          <w:rFonts w:asciiTheme="majorHAnsi" w:hAnsiTheme="majorHAnsi"/>
        </w:rPr>
        <w:t xml:space="preserve">. Na národnej úrovni je ako zodpovedný gestor v tejto oblasti určené MV SR, ktoré bude zastrešovať v rámci komplexnej reformy </w:t>
      </w:r>
      <w:r w:rsidR="00CA132F">
        <w:rPr>
          <w:rFonts w:asciiTheme="majorHAnsi" w:hAnsiTheme="majorHAnsi"/>
        </w:rPr>
        <w:t>VS</w:t>
      </w:r>
      <w:r w:rsidR="00B34B14">
        <w:rPr>
          <w:rFonts w:asciiTheme="majorHAnsi" w:hAnsiTheme="majorHAnsi"/>
        </w:rPr>
        <w:t xml:space="preserve"> aj aktivity v tejto oblasti</w:t>
      </w:r>
      <w:r w:rsidR="00F13AE5">
        <w:rPr>
          <w:rFonts w:asciiTheme="majorHAnsi" w:hAnsiTheme="majorHAnsi"/>
        </w:rPr>
        <w:t>, a</w:t>
      </w:r>
      <w:r w:rsidR="00CA132F">
        <w:rPr>
          <w:rFonts w:asciiTheme="majorHAnsi" w:hAnsiTheme="majorHAnsi"/>
        </w:rPr>
        <w:t> </w:t>
      </w:r>
      <w:r w:rsidR="00F13AE5">
        <w:rPr>
          <w:rFonts w:asciiTheme="majorHAnsi" w:hAnsiTheme="majorHAnsi"/>
        </w:rPr>
        <w:t>to</w:t>
      </w:r>
      <w:r w:rsidR="00B34B14">
        <w:rPr>
          <w:rFonts w:asciiTheme="majorHAnsi" w:hAnsiTheme="majorHAnsi"/>
        </w:rPr>
        <w:t xml:space="preserve"> v úzkej spolupráci s</w:t>
      </w:r>
      <w:r w:rsidR="008B45C1">
        <w:rPr>
          <w:rFonts w:asciiTheme="majorHAnsi" w:hAnsiTheme="majorHAnsi"/>
        </w:rPr>
        <w:t> </w:t>
      </w:r>
      <w:r w:rsidR="00B34B14">
        <w:rPr>
          <w:rFonts w:asciiTheme="majorHAnsi" w:hAnsiTheme="majorHAnsi"/>
        </w:rPr>
        <w:t>o</w:t>
      </w:r>
      <w:r w:rsidR="008B45C1">
        <w:rPr>
          <w:rFonts w:asciiTheme="majorHAnsi" w:hAnsiTheme="majorHAnsi"/>
        </w:rPr>
        <w:t xml:space="preserve">dborom prevencie korupcie </w:t>
      </w:r>
      <w:r w:rsidR="00B34B14">
        <w:rPr>
          <w:rFonts w:asciiTheme="majorHAnsi" w:hAnsiTheme="majorHAnsi"/>
        </w:rPr>
        <w:t xml:space="preserve"> ÚV SR</w:t>
      </w:r>
      <w:r w:rsidR="004651A8">
        <w:rPr>
          <w:rFonts w:asciiTheme="majorHAnsi" w:hAnsiTheme="majorHAnsi"/>
        </w:rPr>
        <w:t xml:space="preserve"> </w:t>
      </w:r>
      <w:r w:rsidR="00B34B14">
        <w:rPr>
          <w:rFonts w:asciiTheme="majorHAnsi" w:hAnsiTheme="majorHAnsi"/>
        </w:rPr>
        <w:t>. Š</w:t>
      </w:r>
      <w:r w:rsidR="004F50A5">
        <w:rPr>
          <w:rFonts w:asciiTheme="majorHAnsi" w:hAnsiTheme="majorHAnsi"/>
        </w:rPr>
        <w:t>p</w:t>
      </w:r>
      <w:r w:rsidR="00B34B14">
        <w:rPr>
          <w:rFonts w:asciiTheme="majorHAnsi" w:hAnsiTheme="majorHAnsi"/>
        </w:rPr>
        <w:t xml:space="preserve">ecifické opatrenia v oblasti systému riadenia EŠIF </w:t>
      </w:r>
      <w:r w:rsidR="004651A8">
        <w:rPr>
          <w:rFonts w:asciiTheme="majorHAnsi" w:hAnsiTheme="majorHAnsi"/>
        </w:rPr>
        <w:t xml:space="preserve">bude zastrešovať </w:t>
      </w:r>
      <w:r w:rsidR="00B34B14">
        <w:rPr>
          <w:rFonts w:asciiTheme="majorHAnsi" w:hAnsiTheme="majorHAnsi"/>
        </w:rPr>
        <w:t>CKO, v úzkej spolupráci s MV SR ako národným gestorom a ostatnými relevantnými subjektmi. CKO v tejto súvislosti pripraví stratégiu</w:t>
      </w:r>
      <w:r w:rsidR="00B34B14">
        <w:rPr>
          <w:rStyle w:val="Odkaznapoznmkupodiarou"/>
          <w:rFonts w:asciiTheme="majorHAnsi" w:hAnsiTheme="majorHAnsi"/>
        </w:rPr>
        <w:footnoteReference w:id="330"/>
      </w:r>
      <w:r w:rsidR="00B34B14">
        <w:rPr>
          <w:rFonts w:asciiTheme="majorHAnsi" w:hAnsiTheme="majorHAnsi"/>
        </w:rPr>
        <w:t xml:space="preserve"> obsahujúcu konkrétne opatrenia, ktorá bude založená na nasledujúcich princípoch:</w:t>
      </w:r>
    </w:p>
    <w:p w:rsidR="00B34B14" w:rsidRDefault="00B34B14" w:rsidP="009B7C77">
      <w:pPr>
        <w:pStyle w:val="Odsekzoznamu"/>
        <w:numPr>
          <w:ilvl w:val="0"/>
          <w:numId w:val="21"/>
        </w:numPr>
        <w:spacing w:before="0" w:after="0"/>
        <w:rPr>
          <w:rFonts w:asciiTheme="majorHAnsi" w:hAnsiTheme="majorHAnsi"/>
        </w:rPr>
      </w:pPr>
      <w:r>
        <w:rPr>
          <w:rFonts w:asciiTheme="majorHAnsi" w:hAnsiTheme="majorHAnsi"/>
        </w:rPr>
        <w:t>zvýšenie transparentnosti procesov efektívnym zapojením zástupcov partnerov do vykonávaných činností a zintenzívnenie spolupráce s týmito zástupcami</w:t>
      </w:r>
      <w:r w:rsidR="006979B1">
        <w:rPr>
          <w:rFonts w:asciiTheme="majorHAnsi" w:hAnsiTheme="majorHAnsi"/>
        </w:rPr>
        <w:t>;</w:t>
      </w:r>
    </w:p>
    <w:p w:rsidR="00B34B14" w:rsidRDefault="00B34B14" w:rsidP="009B7C77">
      <w:pPr>
        <w:pStyle w:val="Odsekzoznamu"/>
        <w:numPr>
          <w:ilvl w:val="0"/>
          <w:numId w:val="21"/>
        </w:numPr>
        <w:spacing w:before="0" w:after="0"/>
        <w:rPr>
          <w:rFonts w:asciiTheme="majorHAnsi" w:hAnsiTheme="majorHAnsi"/>
        </w:rPr>
      </w:pPr>
      <w:r>
        <w:rPr>
          <w:rFonts w:asciiTheme="majorHAnsi" w:hAnsiTheme="majorHAnsi"/>
        </w:rPr>
        <w:t>zvýšenie verejnej kontroly prostredníctvom sprístupnenia čo najširšieho rozsahu údajov</w:t>
      </w:r>
      <w:r w:rsidR="006979B1">
        <w:rPr>
          <w:rFonts w:asciiTheme="majorHAnsi" w:hAnsiTheme="majorHAnsi"/>
        </w:rPr>
        <w:t>;</w:t>
      </w:r>
    </w:p>
    <w:p w:rsidR="00B34B14" w:rsidRDefault="00B34B14" w:rsidP="009B7C77">
      <w:pPr>
        <w:pStyle w:val="Odsekzoznamu"/>
        <w:numPr>
          <w:ilvl w:val="0"/>
          <w:numId w:val="21"/>
        </w:numPr>
        <w:spacing w:before="0" w:after="0"/>
        <w:rPr>
          <w:rFonts w:asciiTheme="majorHAnsi" w:hAnsiTheme="majorHAnsi"/>
        </w:rPr>
      </w:pPr>
      <w:r>
        <w:rPr>
          <w:rFonts w:asciiTheme="majorHAnsi" w:hAnsiTheme="majorHAnsi"/>
        </w:rPr>
        <w:t>zavedenie opatrení na boj proti podvodom</w:t>
      </w:r>
      <w:r>
        <w:rPr>
          <w:rStyle w:val="Odkaznapoznmkupodiarou"/>
          <w:rFonts w:asciiTheme="majorHAnsi" w:hAnsiTheme="majorHAnsi"/>
        </w:rPr>
        <w:footnoteReference w:id="331"/>
      </w:r>
      <w:r>
        <w:rPr>
          <w:rFonts w:asciiTheme="majorHAnsi" w:hAnsiTheme="majorHAnsi"/>
        </w:rPr>
        <w:t xml:space="preserve"> a zvýšený dohľad CKO </w:t>
      </w:r>
      <w:r w:rsidR="00517F4C">
        <w:rPr>
          <w:rFonts w:asciiTheme="majorHAnsi" w:hAnsiTheme="majorHAnsi"/>
        </w:rPr>
        <w:t>v spolupráci so sekciou kontroly ÚV SR</w:t>
      </w:r>
      <w:r w:rsidR="0026363A">
        <w:rPr>
          <w:rFonts w:asciiTheme="majorHAnsi" w:hAnsiTheme="majorHAnsi"/>
        </w:rPr>
        <w:t xml:space="preserve"> </w:t>
      </w:r>
      <w:r w:rsidR="00CA132F">
        <w:rPr>
          <w:rFonts w:asciiTheme="majorHAnsi" w:hAnsiTheme="majorHAnsi"/>
        </w:rPr>
        <w:t>–</w:t>
      </w:r>
      <w:r w:rsidR="0026363A">
        <w:rPr>
          <w:rFonts w:asciiTheme="majorHAnsi" w:hAnsiTheme="majorHAnsi"/>
        </w:rPr>
        <w:t xml:space="preserve"> </w:t>
      </w:r>
      <w:r w:rsidR="008B45C1">
        <w:rPr>
          <w:rFonts w:asciiTheme="majorHAnsi" w:hAnsiTheme="majorHAnsi"/>
        </w:rPr>
        <w:t>odbor</w:t>
      </w:r>
      <w:r w:rsidR="00B43E2B">
        <w:rPr>
          <w:rFonts w:asciiTheme="majorHAnsi" w:hAnsiTheme="majorHAnsi"/>
        </w:rPr>
        <w:t>om</w:t>
      </w:r>
      <w:r w:rsidR="008B45C1">
        <w:rPr>
          <w:rFonts w:asciiTheme="majorHAnsi" w:hAnsiTheme="majorHAnsi"/>
        </w:rPr>
        <w:t xml:space="preserve"> Centrálny kontaktný útvar pre </w:t>
      </w:r>
      <w:r w:rsidR="0026363A">
        <w:rPr>
          <w:rFonts w:asciiTheme="majorHAnsi" w:hAnsiTheme="majorHAnsi"/>
        </w:rPr>
        <w:t>OLAF</w:t>
      </w:r>
      <w:r w:rsidR="00517F4C">
        <w:rPr>
          <w:rFonts w:asciiTheme="majorHAnsi" w:hAnsiTheme="majorHAnsi"/>
        </w:rPr>
        <w:t xml:space="preserve"> </w:t>
      </w:r>
      <w:r>
        <w:rPr>
          <w:rFonts w:asciiTheme="majorHAnsi" w:hAnsiTheme="majorHAnsi"/>
        </w:rPr>
        <w:t>nad rozhodovacou právomocou RO na úrovni najrizikovejších procesov (napr. centrálny výber hodnotiteľov, proces výberu projektov a VO).</w:t>
      </w:r>
    </w:p>
    <w:p w:rsidR="00B34B14" w:rsidRDefault="00743134" w:rsidP="009B7C77">
      <w:pPr>
        <w:pStyle w:val="Odsekzoznamu"/>
        <w:numPr>
          <w:ilvl w:val="0"/>
          <w:numId w:val="22"/>
        </w:numPr>
        <w:spacing w:before="0"/>
        <w:ind w:left="425" w:hanging="357"/>
        <w:rPr>
          <w:rFonts w:asciiTheme="majorHAnsi" w:hAnsiTheme="majorHAnsi"/>
        </w:rPr>
      </w:pPr>
      <w:r>
        <w:rPr>
          <w:rFonts w:asciiTheme="majorHAnsi" w:hAnsiTheme="majorHAnsi"/>
        </w:rPr>
        <w:t xml:space="preserve">posilnenie </w:t>
      </w:r>
      <w:r w:rsidR="0026363A">
        <w:rPr>
          <w:rFonts w:asciiTheme="majorHAnsi" w:hAnsiTheme="majorHAnsi"/>
        </w:rPr>
        <w:t>AK</w:t>
      </w:r>
      <w:r w:rsidR="00B34B14">
        <w:rPr>
          <w:rFonts w:asciiTheme="majorHAnsi" w:hAnsiTheme="majorHAnsi"/>
        </w:rPr>
        <w:t xml:space="preserve"> žiadateľov a</w:t>
      </w:r>
      <w:r w:rsidR="0026363A">
        <w:rPr>
          <w:rFonts w:asciiTheme="majorHAnsi" w:hAnsiTheme="majorHAnsi"/>
        </w:rPr>
        <w:t> </w:t>
      </w:r>
      <w:r w:rsidR="00B34B14">
        <w:rPr>
          <w:rFonts w:asciiTheme="majorHAnsi" w:hAnsiTheme="majorHAnsi"/>
        </w:rPr>
        <w:t>prijímateľov</w:t>
      </w:r>
      <w:r w:rsidR="0026363A">
        <w:rPr>
          <w:rFonts w:asciiTheme="majorHAnsi" w:hAnsiTheme="majorHAnsi"/>
        </w:rPr>
        <w:t xml:space="preserve"> podpory</w:t>
      </w:r>
      <w:r w:rsidR="00B34B14">
        <w:rPr>
          <w:rFonts w:asciiTheme="majorHAnsi" w:hAnsiTheme="majorHAnsi"/>
        </w:rPr>
        <w:t>. V tejto oblasti sú plánované viaceré opatrenia</w:t>
      </w:r>
      <w:r w:rsidR="00F02806">
        <w:rPr>
          <w:rStyle w:val="Odkaznapoznmkupodiarou"/>
          <w:rFonts w:asciiTheme="majorHAnsi" w:hAnsiTheme="majorHAnsi"/>
        </w:rPr>
        <w:footnoteReference w:id="332"/>
      </w:r>
      <w:r w:rsidR="00F02806">
        <w:rPr>
          <w:rFonts w:asciiTheme="majorHAnsi" w:hAnsiTheme="majorHAnsi"/>
        </w:rPr>
        <w:t>, ktoré je možné rozdeliť na nasledujúce kľúčové oblasti:</w:t>
      </w:r>
    </w:p>
    <w:p w:rsidR="00F02806" w:rsidRDefault="00F02806" w:rsidP="009B7C77">
      <w:pPr>
        <w:pStyle w:val="Odsekzoznamu"/>
        <w:numPr>
          <w:ilvl w:val="0"/>
          <w:numId w:val="21"/>
        </w:numPr>
        <w:spacing w:before="0" w:after="0"/>
        <w:rPr>
          <w:rFonts w:asciiTheme="majorHAnsi" w:hAnsiTheme="majorHAnsi"/>
        </w:rPr>
      </w:pPr>
      <w:r>
        <w:rPr>
          <w:rFonts w:asciiTheme="majorHAnsi" w:hAnsiTheme="majorHAnsi"/>
        </w:rPr>
        <w:t>zabezpečenie zvýšenej dostupnosti informácií a poradenstva pre žiadateľov a prijímateľov</w:t>
      </w:r>
      <w:r>
        <w:rPr>
          <w:rStyle w:val="Odkaznapoznmkupodiarou"/>
          <w:rFonts w:asciiTheme="majorHAnsi" w:hAnsiTheme="majorHAnsi"/>
        </w:rPr>
        <w:footnoteReference w:id="333"/>
      </w:r>
      <w:r w:rsidR="006979B1">
        <w:rPr>
          <w:rFonts w:asciiTheme="majorHAnsi" w:hAnsiTheme="majorHAnsi"/>
        </w:rPr>
        <w:t>;</w:t>
      </w:r>
    </w:p>
    <w:p w:rsidR="00F02806" w:rsidRDefault="00F02806" w:rsidP="009B7C77">
      <w:pPr>
        <w:pStyle w:val="Odsekzoznamu"/>
        <w:numPr>
          <w:ilvl w:val="0"/>
          <w:numId w:val="21"/>
        </w:numPr>
        <w:spacing w:before="0" w:after="0"/>
        <w:rPr>
          <w:rFonts w:asciiTheme="majorHAnsi" w:hAnsiTheme="majorHAnsi"/>
        </w:rPr>
      </w:pPr>
      <w:r>
        <w:rPr>
          <w:rFonts w:asciiTheme="majorHAnsi" w:hAnsiTheme="majorHAnsi"/>
        </w:rPr>
        <w:t>zmena systému implementácie národných projektov a veľkých projektov – zvýšenie dôrazu na aktívnu spoluprácu RO a</w:t>
      </w:r>
      <w:r w:rsidR="0026363A">
        <w:rPr>
          <w:rFonts w:asciiTheme="majorHAnsi" w:hAnsiTheme="majorHAnsi"/>
        </w:rPr>
        <w:t> </w:t>
      </w:r>
      <w:r>
        <w:rPr>
          <w:rFonts w:asciiTheme="majorHAnsi" w:hAnsiTheme="majorHAnsi"/>
        </w:rPr>
        <w:t>prijímateľa</w:t>
      </w:r>
      <w:r w:rsidR="0026363A">
        <w:rPr>
          <w:rFonts w:asciiTheme="majorHAnsi" w:hAnsiTheme="majorHAnsi"/>
        </w:rPr>
        <w:t xml:space="preserve"> podpory</w:t>
      </w:r>
      <w:r>
        <w:rPr>
          <w:rFonts w:asciiTheme="majorHAnsi" w:hAnsiTheme="majorHAnsi"/>
        </w:rPr>
        <w:t xml:space="preserve"> pri príprave projektov, najmä v prípravnej fáze, s vhodným zapojením expertov JASPERS (veľké projekty)</w:t>
      </w:r>
      <w:r w:rsidR="006979B1">
        <w:rPr>
          <w:rFonts w:asciiTheme="majorHAnsi" w:hAnsiTheme="majorHAnsi"/>
        </w:rPr>
        <w:t>;</w:t>
      </w:r>
    </w:p>
    <w:p w:rsidR="00F02806" w:rsidRDefault="00F02806" w:rsidP="009B7C77">
      <w:pPr>
        <w:pStyle w:val="Odsekzoznamu"/>
        <w:numPr>
          <w:ilvl w:val="0"/>
          <w:numId w:val="21"/>
        </w:numPr>
        <w:spacing w:before="0" w:after="0"/>
        <w:rPr>
          <w:rFonts w:asciiTheme="majorHAnsi" w:hAnsiTheme="majorHAnsi"/>
        </w:rPr>
      </w:pPr>
      <w:r>
        <w:rPr>
          <w:rFonts w:asciiTheme="majorHAnsi" w:hAnsiTheme="majorHAnsi"/>
        </w:rPr>
        <w:t xml:space="preserve">zabezpečenie systému vzdelávania žiadateľov/prijímateľov </w:t>
      </w:r>
      <w:r w:rsidR="0026363A">
        <w:rPr>
          <w:rFonts w:asciiTheme="majorHAnsi" w:hAnsiTheme="majorHAnsi"/>
        </w:rPr>
        <w:t xml:space="preserve">podpory </w:t>
      </w:r>
      <w:r>
        <w:rPr>
          <w:rFonts w:asciiTheme="majorHAnsi" w:hAnsiTheme="majorHAnsi"/>
        </w:rPr>
        <w:t>o podmienkach implementácie EŠIF (školenia, semináre, atď.).</w:t>
      </w:r>
    </w:p>
    <w:p w:rsidR="00F02806" w:rsidRDefault="00F02806" w:rsidP="004F50A5">
      <w:pPr>
        <w:rPr>
          <w:rFonts w:asciiTheme="majorHAnsi" w:hAnsiTheme="majorHAnsi"/>
        </w:rPr>
      </w:pPr>
      <w:r>
        <w:rPr>
          <w:rFonts w:asciiTheme="majorHAnsi" w:hAnsiTheme="majorHAnsi"/>
        </w:rPr>
        <w:t xml:space="preserve">Pri stanovovaní počtu </w:t>
      </w:r>
      <w:r w:rsidR="0026363A">
        <w:rPr>
          <w:rFonts w:asciiTheme="majorHAnsi" w:hAnsiTheme="majorHAnsi"/>
        </w:rPr>
        <w:t>AK</w:t>
      </w:r>
      <w:r>
        <w:rPr>
          <w:rFonts w:asciiTheme="majorHAnsi" w:hAnsiTheme="majorHAnsi"/>
        </w:rPr>
        <w:t xml:space="preserve"> zapojených do EŠIF sa bude vychádzať zo záverov realizovanej analýzy AK</w:t>
      </w:r>
      <w:r w:rsidR="00B12F56">
        <w:rPr>
          <w:rStyle w:val="Odkaznapoznmkupodiarou"/>
          <w:rFonts w:asciiTheme="majorHAnsi" w:hAnsiTheme="majorHAnsi"/>
        </w:rPr>
        <w:footnoteReference w:id="334"/>
      </w:r>
      <w:r>
        <w:rPr>
          <w:rFonts w:asciiTheme="majorHAnsi" w:hAnsiTheme="majorHAnsi"/>
        </w:rPr>
        <w:t xml:space="preserve"> so zohľadnením:</w:t>
      </w:r>
    </w:p>
    <w:p w:rsidR="00F02806" w:rsidRDefault="00F02806" w:rsidP="009B7C77">
      <w:pPr>
        <w:pStyle w:val="Odsekzoznamu"/>
        <w:numPr>
          <w:ilvl w:val="0"/>
          <w:numId w:val="22"/>
        </w:numPr>
        <w:spacing w:before="0"/>
        <w:ind w:left="425" w:hanging="357"/>
        <w:rPr>
          <w:rFonts w:asciiTheme="majorHAnsi" w:hAnsiTheme="majorHAnsi"/>
        </w:rPr>
      </w:pPr>
      <w:r>
        <w:rPr>
          <w:rFonts w:asciiTheme="majorHAnsi" w:hAnsiTheme="majorHAnsi"/>
        </w:rPr>
        <w:t xml:space="preserve">súčasného stavu </w:t>
      </w:r>
      <w:r w:rsidR="0026363A">
        <w:rPr>
          <w:rFonts w:asciiTheme="majorHAnsi" w:hAnsiTheme="majorHAnsi"/>
        </w:rPr>
        <w:t>AK</w:t>
      </w:r>
      <w:r>
        <w:rPr>
          <w:rFonts w:asciiTheme="majorHAnsi" w:hAnsiTheme="majorHAnsi"/>
        </w:rPr>
        <w:t xml:space="preserve"> (cca 2 500 AK);</w:t>
      </w:r>
    </w:p>
    <w:p w:rsidR="00F02806" w:rsidRDefault="00F02806" w:rsidP="009B7C77">
      <w:pPr>
        <w:pStyle w:val="Odsekzoznamu"/>
        <w:numPr>
          <w:ilvl w:val="0"/>
          <w:numId w:val="22"/>
        </w:numPr>
        <w:spacing w:before="0"/>
        <w:ind w:left="425" w:hanging="357"/>
        <w:rPr>
          <w:rFonts w:asciiTheme="majorHAnsi" w:hAnsiTheme="majorHAnsi"/>
        </w:rPr>
      </w:pPr>
      <w:r>
        <w:rPr>
          <w:rFonts w:asciiTheme="majorHAnsi" w:hAnsiTheme="majorHAnsi"/>
        </w:rPr>
        <w:t xml:space="preserve">zvýšenej potreby </w:t>
      </w:r>
      <w:r w:rsidR="0026363A">
        <w:rPr>
          <w:rFonts w:asciiTheme="majorHAnsi" w:hAnsiTheme="majorHAnsi"/>
        </w:rPr>
        <w:t>AK</w:t>
      </w:r>
      <w:r>
        <w:rPr>
          <w:rFonts w:asciiTheme="majorHAnsi" w:hAnsiTheme="majorHAnsi"/>
        </w:rPr>
        <w:t xml:space="preserve"> pri súbehu dvoch programových období;</w:t>
      </w:r>
    </w:p>
    <w:p w:rsidR="00F02806" w:rsidRDefault="00F02806" w:rsidP="009B7C77">
      <w:pPr>
        <w:pStyle w:val="Odsekzoznamu"/>
        <w:numPr>
          <w:ilvl w:val="0"/>
          <w:numId w:val="22"/>
        </w:numPr>
        <w:spacing w:before="0"/>
        <w:ind w:left="425" w:hanging="357"/>
        <w:rPr>
          <w:rFonts w:asciiTheme="majorHAnsi" w:hAnsiTheme="majorHAnsi"/>
        </w:rPr>
      </w:pPr>
      <w:r>
        <w:rPr>
          <w:rFonts w:asciiTheme="majorHAnsi" w:hAnsiTheme="majorHAnsi"/>
        </w:rPr>
        <w:t xml:space="preserve">novej štruktúry subjektov a identifikovaných potrieb </w:t>
      </w:r>
      <w:r w:rsidR="0026363A">
        <w:rPr>
          <w:rFonts w:asciiTheme="majorHAnsi" w:hAnsiTheme="majorHAnsi"/>
        </w:rPr>
        <w:t>AK</w:t>
      </w:r>
      <w:r>
        <w:rPr>
          <w:rFonts w:asciiTheme="majorHAnsi" w:hAnsiTheme="majorHAnsi"/>
        </w:rPr>
        <w:t xml:space="preserve"> </w:t>
      </w:r>
      <w:r w:rsidR="00F13AE5">
        <w:rPr>
          <w:rFonts w:asciiTheme="majorHAnsi" w:hAnsiTheme="majorHAnsi"/>
        </w:rPr>
        <w:t xml:space="preserve">na </w:t>
      </w:r>
      <w:r>
        <w:rPr>
          <w:rFonts w:asciiTheme="majorHAnsi" w:hAnsiTheme="majorHAnsi"/>
        </w:rPr>
        <w:t>programové obdobie 2014 – 2020.</w:t>
      </w:r>
    </w:p>
    <w:p w:rsidR="00D71FFE" w:rsidRDefault="00894C8B" w:rsidP="004979C0">
      <w:pPr>
        <w:spacing w:before="240"/>
        <w:rPr>
          <w:rFonts w:asciiTheme="majorHAnsi" w:hAnsiTheme="majorHAnsi"/>
          <w:b/>
          <w:szCs w:val="22"/>
        </w:rPr>
      </w:pPr>
      <w:r>
        <w:rPr>
          <w:rFonts w:asciiTheme="majorHAnsi" w:hAnsiTheme="majorHAnsi"/>
          <w:b/>
          <w:szCs w:val="22"/>
        </w:rPr>
        <w:t>Opatrenia v boji proti korupcii a podvodom</w:t>
      </w:r>
    </w:p>
    <w:p w:rsidR="00D71FFE" w:rsidRPr="0026598A" w:rsidRDefault="00D71FFE" w:rsidP="00D71FFE">
      <w:pPr>
        <w:rPr>
          <w:rFonts w:asciiTheme="majorHAnsi" w:hAnsiTheme="majorHAnsi"/>
        </w:rPr>
      </w:pPr>
      <w:r w:rsidRPr="0026598A">
        <w:rPr>
          <w:rFonts w:asciiTheme="majorHAnsi" w:hAnsiTheme="majorHAnsi"/>
        </w:rPr>
        <w:t>Oblasti boja proti korupcii a podvodom je z pohľadu SR venovaná náležitá pozornosť. Prijatie „Strategického plánu boja proti korupcii v SR“</w:t>
      </w:r>
      <w:r w:rsidR="0026598A" w:rsidRPr="00DB74FC">
        <w:rPr>
          <w:rStyle w:val="Odkaznapoznmkupodiarou"/>
          <w:rFonts w:asciiTheme="majorHAnsi" w:hAnsiTheme="majorHAnsi"/>
        </w:rPr>
        <w:footnoteReference w:id="335"/>
      </w:r>
      <w:r w:rsidRPr="0026598A">
        <w:rPr>
          <w:rFonts w:asciiTheme="majorHAnsi" w:hAnsiTheme="majorHAnsi"/>
        </w:rPr>
        <w:t xml:space="preserve"> vytvorilo priestor na koncepčné riešenie problematiky boja proti korupcii a podvodom a zároveň zvýrazňuje záväzok SR pokračovať v prijímaní efektívnych opatrení v tejto oblasti.</w:t>
      </w:r>
    </w:p>
    <w:p w:rsidR="00D71FFE" w:rsidRPr="0026598A" w:rsidRDefault="00D71FFE" w:rsidP="00BA185A">
      <w:pPr>
        <w:spacing w:before="0" w:after="200"/>
        <w:rPr>
          <w:rFonts w:asciiTheme="majorHAnsi" w:hAnsiTheme="majorHAnsi"/>
        </w:rPr>
      </w:pPr>
      <w:r w:rsidRPr="0026598A">
        <w:rPr>
          <w:rFonts w:asciiTheme="majorHAnsi" w:hAnsiTheme="majorHAnsi"/>
        </w:rPr>
        <w:t>Vychádzajúc z odporúčaní EK adresovaných orgánom SR (najmä Pozičný dokument a </w:t>
      </w:r>
      <w:r w:rsidRPr="00EF33FC">
        <w:rPr>
          <w:rFonts w:asciiTheme="majorHAnsi" w:hAnsiTheme="majorHAnsi"/>
        </w:rPr>
        <w:t>Anti-korupčná správa</w:t>
      </w:r>
      <w:r w:rsidR="00232DEE">
        <w:rPr>
          <w:rFonts w:asciiTheme="majorHAnsi" w:hAnsiTheme="majorHAnsi"/>
        </w:rPr>
        <w:t xml:space="preserve"> prijatá EK 3. februára 2014</w:t>
      </w:r>
      <w:r w:rsidRPr="0026598A">
        <w:rPr>
          <w:rFonts w:asciiTheme="majorHAnsi" w:hAnsiTheme="majorHAnsi"/>
        </w:rPr>
        <w:t>), prijme SR v rámci snahy napomôcť odhaľovaniu a účinnejšiemu postihu závažnej protispoločenskej činnosti legislatívu upravujúcu ochranu oznamovateľov korupčného správania</w:t>
      </w:r>
      <w:r w:rsidR="00232DEE">
        <w:rPr>
          <w:rFonts w:asciiTheme="majorHAnsi" w:hAnsiTheme="majorHAnsi"/>
        </w:rPr>
        <w:t xml:space="preserve"> </w:t>
      </w:r>
      <w:r w:rsidR="00232DEE" w:rsidRPr="00DB74FC">
        <w:rPr>
          <w:rFonts w:asciiTheme="majorHAnsi" w:hAnsiTheme="majorHAnsi"/>
        </w:rPr>
        <w:t>a</w:t>
      </w:r>
      <w:r w:rsidR="00CA132F">
        <w:rPr>
          <w:rFonts w:asciiTheme="majorHAnsi" w:hAnsiTheme="majorHAnsi"/>
        </w:rPr>
        <w:t> </w:t>
      </w:r>
      <w:r w:rsidR="00232DEE" w:rsidRPr="00DB74FC">
        <w:rPr>
          <w:rFonts w:asciiTheme="majorHAnsi" w:hAnsiTheme="majorHAnsi"/>
        </w:rPr>
        <w:t>zavedie</w:t>
      </w:r>
      <w:r w:rsidR="00CA132F">
        <w:rPr>
          <w:rFonts w:asciiTheme="majorHAnsi" w:hAnsiTheme="majorHAnsi"/>
        </w:rPr>
        <w:t xml:space="preserve"> </w:t>
      </w:r>
      <w:r w:rsidR="00232DEE" w:rsidRPr="00DB74FC">
        <w:rPr>
          <w:rFonts w:asciiTheme="majorHAnsi" w:hAnsiTheme="majorHAnsi"/>
        </w:rPr>
        <w:t>inštitút trestno-právnej zodpovednosti právnických osôb v predmetnej oblasti do svojho právneho poriadku</w:t>
      </w:r>
      <w:r w:rsidRPr="0026598A">
        <w:rPr>
          <w:rFonts w:asciiTheme="majorHAnsi" w:hAnsiTheme="majorHAnsi"/>
        </w:rPr>
        <w:t xml:space="preserve">. Medzi ďalšie opatrenia smerujúce k posilneniu </w:t>
      </w:r>
      <w:r w:rsidRPr="0026598A">
        <w:rPr>
          <w:rFonts w:asciiTheme="majorHAnsi" w:hAnsiTheme="majorHAnsi"/>
        </w:rPr>
        <w:lastRenderedPageBreak/>
        <w:t>transparentného a nekorupčného prostredia, ktoré SR prijala, resp. plánuje prijať aj za pomoci finančných prostriedkov z fondov EÚ možno spomenúť nasledovné opatrenia:</w:t>
      </w:r>
    </w:p>
    <w:p w:rsidR="00D71FFE" w:rsidRPr="0026598A" w:rsidRDefault="00D71FFE" w:rsidP="00174E83">
      <w:pPr>
        <w:spacing w:before="0"/>
        <w:rPr>
          <w:rFonts w:asciiTheme="majorHAnsi" w:hAnsiTheme="majorHAnsi"/>
        </w:rPr>
      </w:pPr>
      <w:r w:rsidRPr="0026598A">
        <w:rPr>
          <w:rFonts w:asciiTheme="majorHAnsi" w:hAnsiTheme="majorHAnsi"/>
        </w:rPr>
        <w:t>a) opatrenia na posilnenie represívnej zložky boja proti korupcii a podvodom</w:t>
      </w:r>
    </w:p>
    <w:p w:rsidR="00232DEE" w:rsidRPr="00DB74FC" w:rsidRDefault="00232DEE" w:rsidP="00174E83">
      <w:pPr>
        <w:rPr>
          <w:rFonts w:asciiTheme="majorHAnsi" w:hAnsiTheme="majorHAnsi"/>
        </w:rPr>
      </w:pPr>
      <w:r w:rsidRPr="00DB74FC">
        <w:rPr>
          <w:rFonts w:asciiTheme="majorHAnsi" w:hAnsiTheme="majorHAnsi"/>
        </w:rPr>
        <w:t>Súbor opatrení v oblasti posilňovania represívnej zložky boja proti korupcii definuje schválené uznesenie vlády SR č. 137/2013 z</w:t>
      </w:r>
      <w:r w:rsidR="00CA132F">
        <w:rPr>
          <w:rFonts w:asciiTheme="majorHAnsi" w:hAnsiTheme="majorHAnsi"/>
        </w:rPr>
        <w:t> </w:t>
      </w:r>
      <w:r w:rsidRPr="00DB74FC">
        <w:rPr>
          <w:rFonts w:asciiTheme="majorHAnsi" w:hAnsiTheme="majorHAnsi"/>
        </w:rPr>
        <w:t>20. marca 2013 k „Návrhu opatrení na zabezpečenie plnenia odporúčaní prijatých Pracovnou skupinou OECD pre úplatkárstvo v</w:t>
      </w:r>
      <w:r w:rsidR="00CA132F">
        <w:rPr>
          <w:rFonts w:asciiTheme="majorHAnsi" w:hAnsiTheme="majorHAnsi"/>
        </w:rPr>
        <w:t> </w:t>
      </w:r>
      <w:r w:rsidRPr="00DB74FC">
        <w:rPr>
          <w:rFonts w:asciiTheme="majorHAnsi" w:hAnsiTheme="majorHAnsi"/>
        </w:rPr>
        <w:t>medzinárodných obchodných transakciách“. V rámci predmetného dokumentu sa SR zaväzuje posilniť vyšetrovacie kapacity špecializovaných vyšetrovacích zložiek zameraných na boj proti korupcii a s ňou súvisiacou legalizáciou príjmov z trestnej činnosti. SR plánuje v tejto súvislosti navýšiť finančné prostriedky na činnosť finančnej polície a špecializovaných vyšetrovacích zložiek zameraných na boj proti korupcii a legalizáciu príjmov z trestnej činnosti, vrátane zabezpečenia školení a vzdelávacích programov pre policajtov špecializovaných vyšetrovacích zložiek zameraných na boj proti korupcii.</w:t>
      </w:r>
    </w:p>
    <w:p w:rsidR="00232DEE" w:rsidRPr="00DB74FC" w:rsidRDefault="00232DEE" w:rsidP="00BA185A">
      <w:pPr>
        <w:spacing w:before="0" w:after="200"/>
        <w:rPr>
          <w:rFonts w:asciiTheme="majorHAnsi" w:hAnsiTheme="majorHAnsi"/>
        </w:rPr>
      </w:pPr>
      <w:r w:rsidRPr="00DB74FC">
        <w:rPr>
          <w:rFonts w:asciiTheme="majorHAnsi" w:hAnsiTheme="majorHAnsi"/>
        </w:rPr>
        <w:t>V</w:t>
      </w:r>
      <w:r w:rsidR="00CA132F">
        <w:rPr>
          <w:rFonts w:asciiTheme="majorHAnsi" w:hAnsiTheme="majorHAnsi"/>
        </w:rPr>
        <w:t> </w:t>
      </w:r>
      <w:r w:rsidRPr="00DB74FC">
        <w:rPr>
          <w:rFonts w:asciiTheme="majorHAnsi" w:hAnsiTheme="majorHAnsi"/>
        </w:rPr>
        <w:t>rámci</w:t>
      </w:r>
      <w:r w:rsidR="00CA132F">
        <w:rPr>
          <w:rFonts w:asciiTheme="majorHAnsi" w:hAnsiTheme="majorHAnsi"/>
        </w:rPr>
        <w:t xml:space="preserve"> </w:t>
      </w:r>
      <w:r w:rsidRPr="00DB74FC">
        <w:rPr>
          <w:rFonts w:asciiTheme="majorHAnsi" w:hAnsiTheme="majorHAnsi"/>
        </w:rPr>
        <w:t>plánovaných opatrení je kladený dôraz na uplatňovanie zásady zásluhovosti pri menovaní manažérskych pozícií v</w:t>
      </w:r>
      <w:r w:rsidR="00CA132F">
        <w:rPr>
          <w:rFonts w:asciiTheme="majorHAnsi" w:hAnsiTheme="majorHAnsi"/>
        </w:rPr>
        <w:t> </w:t>
      </w:r>
      <w:r w:rsidRPr="00DB74FC">
        <w:rPr>
          <w:rFonts w:asciiTheme="majorHAnsi" w:hAnsiTheme="majorHAnsi"/>
        </w:rPr>
        <w:t>Policajnom</w:t>
      </w:r>
      <w:r w:rsidR="00CA132F">
        <w:rPr>
          <w:rFonts w:asciiTheme="majorHAnsi" w:hAnsiTheme="majorHAnsi"/>
        </w:rPr>
        <w:t xml:space="preserve"> </w:t>
      </w:r>
      <w:r w:rsidRPr="00DB74FC">
        <w:rPr>
          <w:rFonts w:asciiTheme="majorHAnsi" w:hAnsiTheme="majorHAnsi"/>
        </w:rPr>
        <w:t>zbore MV SR a na potrebu vytvorenia stratégie na účinnejšie zisťovanie a</w:t>
      </w:r>
      <w:r w:rsidR="00CA132F">
        <w:rPr>
          <w:rFonts w:asciiTheme="majorHAnsi" w:hAnsiTheme="majorHAnsi"/>
        </w:rPr>
        <w:t> </w:t>
      </w:r>
      <w:r w:rsidRPr="00DB74FC">
        <w:rPr>
          <w:rFonts w:asciiTheme="majorHAnsi" w:hAnsiTheme="majorHAnsi"/>
        </w:rPr>
        <w:t>trestné</w:t>
      </w:r>
      <w:r w:rsidR="00CA132F">
        <w:rPr>
          <w:rFonts w:asciiTheme="majorHAnsi" w:hAnsiTheme="majorHAnsi"/>
        </w:rPr>
        <w:t xml:space="preserve"> </w:t>
      </w:r>
      <w:r w:rsidRPr="00DB74FC">
        <w:rPr>
          <w:rFonts w:asciiTheme="majorHAnsi" w:hAnsiTheme="majorHAnsi"/>
        </w:rPr>
        <w:t>stíhanie trestných činov korupcie. Koordinovaný postup a</w:t>
      </w:r>
      <w:r w:rsidR="00CA132F">
        <w:rPr>
          <w:rFonts w:asciiTheme="majorHAnsi" w:hAnsiTheme="majorHAnsi"/>
        </w:rPr>
        <w:t> </w:t>
      </w:r>
      <w:r w:rsidRPr="00DB74FC">
        <w:rPr>
          <w:rFonts w:asciiTheme="majorHAnsi" w:hAnsiTheme="majorHAnsi"/>
        </w:rPr>
        <w:t>vzájomná</w:t>
      </w:r>
      <w:r w:rsidR="00CA132F">
        <w:rPr>
          <w:rFonts w:asciiTheme="majorHAnsi" w:hAnsiTheme="majorHAnsi"/>
        </w:rPr>
        <w:t xml:space="preserve"> </w:t>
      </w:r>
      <w:r w:rsidRPr="00DB74FC">
        <w:rPr>
          <w:rFonts w:asciiTheme="majorHAnsi" w:hAnsiTheme="majorHAnsi"/>
        </w:rPr>
        <w:t>informovanosť pri prijímaní a realizácii opatrení v oblasti boja proti korupcii a podvodom je zabezpečená zriadením medzirezortného Expertného koordinačného orgánu pre boj so zločinnosťou pri Policajnom zbore SR. Zastúpenie pri navrhovaní konkrétnych opatrením v</w:t>
      </w:r>
      <w:r w:rsidR="00CA132F">
        <w:rPr>
          <w:rFonts w:asciiTheme="majorHAnsi" w:hAnsiTheme="majorHAnsi"/>
        </w:rPr>
        <w:t> </w:t>
      </w:r>
      <w:r w:rsidRPr="00DB74FC">
        <w:rPr>
          <w:rFonts w:asciiTheme="majorHAnsi" w:hAnsiTheme="majorHAnsi"/>
        </w:rPr>
        <w:t>rámci</w:t>
      </w:r>
      <w:r w:rsidR="00CA132F">
        <w:rPr>
          <w:rFonts w:asciiTheme="majorHAnsi" w:hAnsiTheme="majorHAnsi"/>
        </w:rPr>
        <w:t xml:space="preserve"> </w:t>
      </w:r>
      <w:r w:rsidRPr="00DB74FC">
        <w:rPr>
          <w:rFonts w:asciiTheme="majorHAnsi" w:hAnsiTheme="majorHAnsi"/>
        </w:rPr>
        <w:t>tejto platformy má široké spektrum aktérov z</w:t>
      </w:r>
      <w:r w:rsidR="00CA132F">
        <w:rPr>
          <w:rFonts w:asciiTheme="majorHAnsi" w:hAnsiTheme="majorHAnsi"/>
        </w:rPr>
        <w:t> </w:t>
      </w:r>
      <w:r w:rsidRPr="00DB74FC">
        <w:rPr>
          <w:rFonts w:asciiTheme="majorHAnsi" w:hAnsiTheme="majorHAnsi"/>
        </w:rPr>
        <w:t>ústredných</w:t>
      </w:r>
      <w:r w:rsidR="00CA132F">
        <w:rPr>
          <w:rFonts w:asciiTheme="majorHAnsi" w:hAnsiTheme="majorHAnsi"/>
        </w:rPr>
        <w:t xml:space="preserve"> </w:t>
      </w:r>
      <w:r w:rsidRPr="00DB74FC">
        <w:rPr>
          <w:rFonts w:asciiTheme="majorHAnsi" w:hAnsiTheme="majorHAnsi"/>
        </w:rPr>
        <w:t xml:space="preserve">orgánov štátnej správy, Generálnej prokuratúry, </w:t>
      </w:r>
      <w:r w:rsidR="0036108B" w:rsidRPr="00DB74FC">
        <w:rPr>
          <w:rFonts w:asciiTheme="majorHAnsi" w:hAnsiTheme="majorHAnsi"/>
        </w:rPr>
        <w:t>ZMOS</w:t>
      </w:r>
      <w:r w:rsidRPr="00DB74FC">
        <w:rPr>
          <w:rFonts w:asciiTheme="majorHAnsi" w:hAnsiTheme="majorHAnsi"/>
        </w:rPr>
        <w:t>, pričom štatút pozorovateľov budú plniť zástupcovia mimovládnych organizácii. Takýto postup je systémovým riešení</w:t>
      </w:r>
      <w:r w:rsidR="002E27FB">
        <w:rPr>
          <w:rFonts w:asciiTheme="majorHAnsi" w:hAnsiTheme="majorHAnsi"/>
        </w:rPr>
        <w:t>m</w:t>
      </w:r>
      <w:r w:rsidRPr="00DB74FC">
        <w:rPr>
          <w:rFonts w:asciiTheme="majorHAnsi" w:hAnsiTheme="majorHAnsi"/>
        </w:rPr>
        <w:t xml:space="preserve"> s</w:t>
      </w:r>
      <w:r w:rsidR="00CA132F">
        <w:rPr>
          <w:rFonts w:asciiTheme="majorHAnsi" w:hAnsiTheme="majorHAnsi"/>
        </w:rPr>
        <w:t> </w:t>
      </w:r>
      <w:r w:rsidRPr="00DB74FC">
        <w:rPr>
          <w:rFonts w:asciiTheme="majorHAnsi" w:hAnsiTheme="majorHAnsi"/>
        </w:rPr>
        <w:t>potenciálom</w:t>
      </w:r>
      <w:r w:rsidR="00CA132F">
        <w:rPr>
          <w:rFonts w:asciiTheme="majorHAnsi" w:hAnsiTheme="majorHAnsi"/>
        </w:rPr>
        <w:t xml:space="preserve"> </w:t>
      </w:r>
      <w:r w:rsidRPr="00DB74FC">
        <w:rPr>
          <w:rFonts w:asciiTheme="majorHAnsi" w:hAnsiTheme="majorHAnsi"/>
        </w:rPr>
        <w:t>zabezpečiť koordináciu, súbežnosť a</w:t>
      </w:r>
      <w:r w:rsidR="00CA132F">
        <w:rPr>
          <w:rFonts w:asciiTheme="majorHAnsi" w:hAnsiTheme="majorHAnsi"/>
        </w:rPr>
        <w:t> </w:t>
      </w:r>
      <w:r w:rsidRPr="00DB74FC">
        <w:rPr>
          <w:rFonts w:asciiTheme="majorHAnsi" w:hAnsiTheme="majorHAnsi"/>
        </w:rPr>
        <w:t>nadväznosť</w:t>
      </w:r>
      <w:r w:rsidR="00CA132F">
        <w:rPr>
          <w:rFonts w:asciiTheme="majorHAnsi" w:hAnsiTheme="majorHAnsi"/>
        </w:rPr>
        <w:t xml:space="preserve"> </w:t>
      </w:r>
      <w:r w:rsidRPr="00DB74FC">
        <w:rPr>
          <w:rFonts w:asciiTheme="majorHAnsi" w:hAnsiTheme="majorHAnsi"/>
        </w:rPr>
        <w:t>opatrení a</w:t>
      </w:r>
      <w:r w:rsidR="00CA132F">
        <w:rPr>
          <w:rFonts w:asciiTheme="majorHAnsi" w:hAnsiTheme="majorHAnsi"/>
        </w:rPr>
        <w:t> </w:t>
      </w:r>
      <w:r w:rsidRPr="00DB74FC">
        <w:rPr>
          <w:rFonts w:asciiTheme="majorHAnsi" w:hAnsiTheme="majorHAnsi"/>
        </w:rPr>
        <w:t>aktivít</w:t>
      </w:r>
      <w:r w:rsidR="00CA132F">
        <w:rPr>
          <w:rFonts w:asciiTheme="majorHAnsi" w:hAnsiTheme="majorHAnsi"/>
        </w:rPr>
        <w:t xml:space="preserve"> </w:t>
      </w:r>
      <w:r w:rsidRPr="00DB74FC">
        <w:rPr>
          <w:rFonts w:asciiTheme="majorHAnsi" w:hAnsiTheme="majorHAnsi"/>
        </w:rPr>
        <w:t>tak z</w:t>
      </w:r>
      <w:r w:rsidR="00CA132F">
        <w:rPr>
          <w:rFonts w:asciiTheme="majorHAnsi" w:hAnsiTheme="majorHAnsi"/>
        </w:rPr>
        <w:t> </w:t>
      </w:r>
      <w:r w:rsidRPr="00DB74FC">
        <w:rPr>
          <w:rFonts w:asciiTheme="majorHAnsi" w:hAnsiTheme="majorHAnsi"/>
        </w:rPr>
        <w:t>hľadiska</w:t>
      </w:r>
      <w:r w:rsidR="00CA132F">
        <w:rPr>
          <w:rFonts w:asciiTheme="majorHAnsi" w:hAnsiTheme="majorHAnsi"/>
        </w:rPr>
        <w:t xml:space="preserve"> </w:t>
      </w:r>
      <w:r w:rsidRPr="00DB74FC">
        <w:rPr>
          <w:rFonts w:asciiTheme="majorHAnsi" w:hAnsiTheme="majorHAnsi"/>
        </w:rPr>
        <w:t>časového a</w:t>
      </w:r>
      <w:r w:rsidR="00CA132F">
        <w:rPr>
          <w:rFonts w:asciiTheme="majorHAnsi" w:hAnsiTheme="majorHAnsi"/>
        </w:rPr>
        <w:t> </w:t>
      </w:r>
      <w:r w:rsidRPr="00DB74FC">
        <w:rPr>
          <w:rFonts w:asciiTheme="majorHAnsi" w:hAnsiTheme="majorHAnsi"/>
        </w:rPr>
        <w:t>priestorového</w:t>
      </w:r>
      <w:r w:rsidR="00CA132F">
        <w:rPr>
          <w:rFonts w:asciiTheme="majorHAnsi" w:hAnsiTheme="majorHAnsi"/>
        </w:rPr>
        <w:t xml:space="preserve"> </w:t>
      </w:r>
      <w:r w:rsidRPr="00DB74FC">
        <w:rPr>
          <w:rFonts w:asciiTheme="majorHAnsi" w:hAnsiTheme="majorHAnsi"/>
        </w:rPr>
        <w:t>ako aj z hľadiska spôsobov ich realizácie.</w:t>
      </w:r>
    </w:p>
    <w:p w:rsidR="00D71FFE" w:rsidRPr="0026598A" w:rsidRDefault="00D71FFE" w:rsidP="00174E83">
      <w:pPr>
        <w:spacing w:before="0"/>
        <w:rPr>
          <w:rFonts w:asciiTheme="majorHAnsi" w:hAnsiTheme="majorHAnsi"/>
        </w:rPr>
      </w:pPr>
      <w:r w:rsidRPr="0026598A">
        <w:rPr>
          <w:rFonts w:asciiTheme="majorHAnsi" w:hAnsiTheme="majorHAnsi"/>
        </w:rPr>
        <w:t>b) opatrenia v oblasti transparentnosti financovania politických strán</w:t>
      </w:r>
    </w:p>
    <w:p w:rsidR="00232DEE" w:rsidRPr="00DB74FC" w:rsidRDefault="00232DEE" w:rsidP="00BA185A">
      <w:pPr>
        <w:tabs>
          <w:tab w:val="left" w:pos="432"/>
          <w:tab w:val="left" w:pos="720"/>
          <w:tab w:val="left" w:pos="864"/>
        </w:tabs>
        <w:rPr>
          <w:rFonts w:asciiTheme="majorHAnsi" w:hAnsiTheme="majorHAnsi"/>
        </w:rPr>
      </w:pPr>
      <w:r w:rsidRPr="00DB74FC">
        <w:rPr>
          <w:rFonts w:asciiTheme="majorHAnsi" w:hAnsiTheme="majorHAnsi"/>
        </w:rPr>
        <w:t>Za účelom zabezpečenia väčšej transparentnosti a</w:t>
      </w:r>
      <w:r w:rsidR="00CA132F">
        <w:rPr>
          <w:rFonts w:asciiTheme="majorHAnsi" w:hAnsiTheme="majorHAnsi"/>
        </w:rPr>
        <w:t> </w:t>
      </w:r>
      <w:r w:rsidRPr="00DB74FC">
        <w:rPr>
          <w:rFonts w:asciiTheme="majorHAnsi" w:hAnsiTheme="majorHAnsi"/>
        </w:rPr>
        <w:t>efektívnejšej</w:t>
      </w:r>
      <w:r w:rsidR="00CA132F">
        <w:rPr>
          <w:rFonts w:asciiTheme="majorHAnsi" w:hAnsiTheme="majorHAnsi"/>
        </w:rPr>
        <w:t xml:space="preserve"> </w:t>
      </w:r>
      <w:r w:rsidRPr="00DB74FC">
        <w:rPr>
          <w:rFonts w:asciiTheme="majorHAnsi" w:hAnsiTheme="majorHAnsi"/>
        </w:rPr>
        <w:t xml:space="preserve">kontroly financovania politických strán vypracovalo </w:t>
      </w:r>
      <w:r w:rsidR="002E27FB">
        <w:rPr>
          <w:rFonts w:asciiTheme="majorHAnsi" w:hAnsiTheme="majorHAnsi"/>
        </w:rPr>
        <w:t>MV</w:t>
      </w:r>
      <w:r w:rsidRPr="00DB74FC">
        <w:rPr>
          <w:rFonts w:asciiTheme="majorHAnsi" w:hAnsiTheme="majorHAnsi"/>
        </w:rPr>
        <w:t xml:space="preserve"> SR vládny návrh novely zákona č. 85/2005 Z. z. o politických stranách a politických hnutiach v znení neskorších predpisov. Predmetom uvedenej novely zákona je právna úprava týkajúca sa financovania a</w:t>
      </w:r>
      <w:r w:rsidR="00CA132F">
        <w:rPr>
          <w:rFonts w:asciiTheme="majorHAnsi" w:hAnsiTheme="majorHAnsi"/>
        </w:rPr>
        <w:t> </w:t>
      </w:r>
      <w:r w:rsidRPr="00DB74FC">
        <w:rPr>
          <w:rFonts w:asciiTheme="majorHAnsi" w:hAnsiTheme="majorHAnsi"/>
        </w:rPr>
        <w:t>kontroly</w:t>
      </w:r>
      <w:r w:rsidR="00CA132F">
        <w:rPr>
          <w:rFonts w:asciiTheme="majorHAnsi" w:hAnsiTheme="majorHAnsi"/>
        </w:rPr>
        <w:t xml:space="preserve"> </w:t>
      </w:r>
      <w:r w:rsidRPr="00DB74FC">
        <w:rPr>
          <w:rFonts w:asciiTheme="majorHAnsi" w:hAnsiTheme="majorHAnsi"/>
        </w:rPr>
        <w:t>financovania politických strán spočívajúca v tom, že politická strana bude môcť prijímať finančné dary výlučne prevodom na bankový účet politickej strany. Ďalej sa zavádza povinnosť politických strán viesť prehľadnú evidenciu o daroch, bezodplatných plneniach a</w:t>
      </w:r>
      <w:r w:rsidR="00CA132F">
        <w:rPr>
          <w:rFonts w:asciiTheme="majorHAnsi" w:hAnsiTheme="majorHAnsi"/>
        </w:rPr>
        <w:t> </w:t>
      </w:r>
      <w:r w:rsidRPr="00DB74FC">
        <w:rPr>
          <w:rFonts w:asciiTheme="majorHAnsi" w:hAnsiTheme="majorHAnsi"/>
        </w:rPr>
        <w:t>darcoch</w:t>
      </w:r>
      <w:r w:rsidR="00CA132F">
        <w:rPr>
          <w:rFonts w:asciiTheme="majorHAnsi" w:hAnsiTheme="majorHAnsi"/>
        </w:rPr>
        <w:t xml:space="preserve"> </w:t>
      </w:r>
      <w:r w:rsidRPr="00DB74FC">
        <w:rPr>
          <w:rFonts w:asciiTheme="majorHAnsi" w:hAnsiTheme="majorHAnsi"/>
        </w:rPr>
        <w:t>na svojom webovom sídle, čím sa sprísňujú pravidlá pre prijímanie darov a</w:t>
      </w:r>
      <w:r w:rsidR="00CA132F">
        <w:rPr>
          <w:rFonts w:asciiTheme="majorHAnsi" w:hAnsiTheme="majorHAnsi"/>
        </w:rPr>
        <w:t> </w:t>
      </w:r>
      <w:r w:rsidRPr="00DB74FC">
        <w:rPr>
          <w:rFonts w:asciiTheme="majorHAnsi" w:hAnsiTheme="majorHAnsi"/>
        </w:rPr>
        <w:t>bezodplatných</w:t>
      </w:r>
      <w:r w:rsidR="00CA132F">
        <w:rPr>
          <w:rFonts w:asciiTheme="majorHAnsi" w:hAnsiTheme="majorHAnsi"/>
        </w:rPr>
        <w:t xml:space="preserve"> </w:t>
      </w:r>
      <w:r w:rsidRPr="00DB74FC">
        <w:rPr>
          <w:rFonts w:asciiTheme="majorHAnsi" w:hAnsiTheme="majorHAnsi"/>
        </w:rPr>
        <w:t>plnení, ako aj ich evidencie. Výročné správy politických strán sa dop</w:t>
      </w:r>
      <w:r w:rsidR="002E27FB">
        <w:rPr>
          <w:rFonts w:asciiTheme="majorHAnsi" w:hAnsiTheme="majorHAnsi"/>
        </w:rPr>
        <w:t>ĺ</w:t>
      </w:r>
      <w:r w:rsidRPr="00DB74FC">
        <w:rPr>
          <w:rFonts w:asciiTheme="majorHAnsi" w:hAnsiTheme="majorHAnsi"/>
        </w:rPr>
        <w:t>ň</w:t>
      </w:r>
      <w:r w:rsidR="002E27FB">
        <w:rPr>
          <w:rFonts w:asciiTheme="majorHAnsi" w:hAnsiTheme="majorHAnsi"/>
        </w:rPr>
        <w:t>a</w:t>
      </w:r>
      <w:r w:rsidRPr="00DB74FC">
        <w:rPr>
          <w:rFonts w:asciiTheme="majorHAnsi" w:hAnsiTheme="majorHAnsi"/>
        </w:rPr>
        <w:t>jú o</w:t>
      </w:r>
      <w:r w:rsidR="00CA132F">
        <w:rPr>
          <w:rFonts w:asciiTheme="majorHAnsi" w:hAnsiTheme="majorHAnsi"/>
        </w:rPr>
        <w:t> </w:t>
      </w:r>
      <w:r w:rsidRPr="00DB74FC">
        <w:rPr>
          <w:rFonts w:asciiTheme="majorHAnsi" w:hAnsiTheme="majorHAnsi"/>
        </w:rPr>
        <w:t>ďalšie</w:t>
      </w:r>
      <w:r w:rsidR="00CA132F">
        <w:rPr>
          <w:rFonts w:asciiTheme="majorHAnsi" w:hAnsiTheme="majorHAnsi"/>
        </w:rPr>
        <w:t xml:space="preserve"> </w:t>
      </w:r>
      <w:r w:rsidRPr="00DB74FC">
        <w:rPr>
          <w:rFonts w:asciiTheme="majorHAnsi" w:hAnsiTheme="majorHAnsi"/>
        </w:rPr>
        <w:t>doklady preukazujúce finančnú disciplínu politickej strany a</w:t>
      </w:r>
      <w:r w:rsidR="00CA132F">
        <w:rPr>
          <w:rFonts w:asciiTheme="majorHAnsi" w:hAnsiTheme="majorHAnsi"/>
        </w:rPr>
        <w:t> </w:t>
      </w:r>
      <w:r w:rsidRPr="00DB74FC">
        <w:rPr>
          <w:rFonts w:asciiTheme="majorHAnsi" w:hAnsiTheme="majorHAnsi"/>
        </w:rPr>
        <w:t>o</w:t>
      </w:r>
      <w:r w:rsidR="00CA132F">
        <w:rPr>
          <w:rFonts w:asciiTheme="majorHAnsi" w:hAnsiTheme="majorHAnsi"/>
        </w:rPr>
        <w:t> </w:t>
      </w:r>
      <w:r w:rsidRPr="00DB74FC">
        <w:rPr>
          <w:rFonts w:asciiTheme="majorHAnsi" w:hAnsiTheme="majorHAnsi"/>
        </w:rPr>
        <w:t>prehľady</w:t>
      </w:r>
      <w:r w:rsidR="00CA132F">
        <w:rPr>
          <w:rFonts w:asciiTheme="majorHAnsi" w:hAnsiTheme="majorHAnsi"/>
        </w:rPr>
        <w:t xml:space="preserve"> </w:t>
      </w:r>
      <w:r w:rsidRPr="00DB74FC">
        <w:rPr>
          <w:rFonts w:asciiTheme="majorHAnsi" w:hAnsiTheme="majorHAnsi"/>
        </w:rPr>
        <w:t>výdavkov na volebnú kampaň. Zároveň sa sprísňujú sankcie za porušovanie pravidiel financovania politickej strany.</w:t>
      </w:r>
    </w:p>
    <w:p w:rsidR="00D71FFE" w:rsidRPr="0026598A" w:rsidRDefault="00232DEE" w:rsidP="00BA185A">
      <w:pPr>
        <w:tabs>
          <w:tab w:val="left" w:pos="432"/>
          <w:tab w:val="left" w:pos="720"/>
          <w:tab w:val="left" w:pos="864"/>
        </w:tabs>
        <w:rPr>
          <w:rFonts w:asciiTheme="majorHAnsi" w:hAnsiTheme="majorHAnsi"/>
        </w:rPr>
      </w:pPr>
      <w:r w:rsidRPr="00DB74FC">
        <w:rPr>
          <w:rFonts w:asciiTheme="majorHAnsi" w:hAnsiTheme="majorHAnsi"/>
        </w:rPr>
        <w:t>Návrh novely zákona č. 85/2005 Z. z. o</w:t>
      </w:r>
      <w:r w:rsidR="00CA132F">
        <w:rPr>
          <w:rFonts w:asciiTheme="majorHAnsi" w:hAnsiTheme="majorHAnsi"/>
        </w:rPr>
        <w:t> </w:t>
      </w:r>
      <w:r w:rsidRPr="00DB74FC">
        <w:rPr>
          <w:rFonts w:asciiTheme="majorHAnsi" w:hAnsiTheme="majorHAnsi"/>
        </w:rPr>
        <w:t>politických</w:t>
      </w:r>
      <w:r w:rsidR="00CA132F">
        <w:rPr>
          <w:rFonts w:asciiTheme="majorHAnsi" w:hAnsiTheme="majorHAnsi"/>
        </w:rPr>
        <w:t xml:space="preserve"> </w:t>
      </w:r>
      <w:r w:rsidRPr="00DB74FC">
        <w:rPr>
          <w:rFonts w:asciiTheme="majorHAnsi" w:hAnsiTheme="majorHAnsi"/>
        </w:rPr>
        <w:t>stranách a</w:t>
      </w:r>
      <w:r w:rsidR="00CA132F">
        <w:rPr>
          <w:rFonts w:asciiTheme="majorHAnsi" w:hAnsiTheme="majorHAnsi"/>
        </w:rPr>
        <w:t> </w:t>
      </w:r>
      <w:r w:rsidRPr="00DB74FC">
        <w:rPr>
          <w:rFonts w:asciiTheme="majorHAnsi" w:hAnsiTheme="majorHAnsi"/>
        </w:rPr>
        <w:t>politických</w:t>
      </w:r>
      <w:r w:rsidR="00CA132F">
        <w:rPr>
          <w:rFonts w:asciiTheme="majorHAnsi" w:hAnsiTheme="majorHAnsi"/>
        </w:rPr>
        <w:t xml:space="preserve"> </w:t>
      </w:r>
      <w:r w:rsidRPr="00DB74FC">
        <w:rPr>
          <w:rFonts w:asciiTheme="majorHAnsi" w:hAnsiTheme="majorHAnsi"/>
        </w:rPr>
        <w:t>hnutiach v</w:t>
      </w:r>
      <w:r w:rsidR="00CA132F">
        <w:rPr>
          <w:rFonts w:asciiTheme="majorHAnsi" w:hAnsiTheme="majorHAnsi"/>
        </w:rPr>
        <w:t> </w:t>
      </w:r>
      <w:r w:rsidRPr="00DB74FC">
        <w:rPr>
          <w:rFonts w:asciiTheme="majorHAnsi" w:hAnsiTheme="majorHAnsi"/>
        </w:rPr>
        <w:t>znení</w:t>
      </w:r>
      <w:r w:rsidR="00CA132F">
        <w:rPr>
          <w:rFonts w:asciiTheme="majorHAnsi" w:hAnsiTheme="majorHAnsi"/>
        </w:rPr>
        <w:t xml:space="preserve"> </w:t>
      </w:r>
      <w:r w:rsidRPr="00DB74FC">
        <w:rPr>
          <w:rFonts w:asciiTheme="majorHAnsi" w:hAnsiTheme="majorHAnsi"/>
        </w:rPr>
        <w:t xml:space="preserve">neskorších predpisov bol predložený na rokovanie Národnej rady </w:t>
      </w:r>
      <w:r w:rsidR="002E27FB">
        <w:rPr>
          <w:rFonts w:asciiTheme="majorHAnsi" w:hAnsiTheme="majorHAnsi"/>
        </w:rPr>
        <w:t>SR</w:t>
      </w:r>
      <w:r w:rsidRPr="00DB74FC">
        <w:rPr>
          <w:rFonts w:asciiTheme="majorHAnsi" w:hAnsiTheme="majorHAnsi"/>
        </w:rPr>
        <w:t>, ktorá ho schválila v</w:t>
      </w:r>
      <w:r w:rsidR="00CA132F">
        <w:rPr>
          <w:rFonts w:asciiTheme="majorHAnsi" w:hAnsiTheme="majorHAnsi"/>
        </w:rPr>
        <w:t> </w:t>
      </w:r>
      <w:r w:rsidRPr="00DB74FC">
        <w:rPr>
          <w:rFonts w:asciiTheme="majorHAnsi" w:hAnsiTheme="majorHAnsi"/>
        </w:rPr>
        <w:t>prvom</w:t>
      </w:r>
      <w:r w:rsidR="00CA132F">
        <w:rPr>
          <w:rFonts w:asciiTheme="majorHAnsi" w:hAnsiTheme="majorHAnsi"/>
        </w:rPr>
        <w:t xml:space="preserve"> </w:t>
      </w:r>
      <w:r w:rsidRPr="00DB74FC">
        <w:rPr>
          <w:rFonts w:asciiTheme="majorHAnsi" w:hAnsiTheme="majorHAnsi"/>
        </w:rPr>
        <w:t xml:space="preserve">čítaní dňa </w:t>
      </w:r>
      <w:r w:rsidR="002E27FB">
        <w:rPr>
          <w:rFonts w:asciiTheme="majorHAnsi" w:hAnsiTheme="majorHAnsi"/>
        </w:rPr>
        <w:br/>
      </w:r>
      <w:r w:rsidRPr="00DB74FC">
        <w:rPr>
          <w:rFonts w:asciiTheme="majorHAnsi" w:hAnsiTheme="majorHAnsi"/>
        </w:rPr>
        <w:t xml:space="preserve">11. </w:t>
      </w:r>
      <w:r w:rsidR="002E27FB">
        <w:rPr>
          <w:rFonts w:asciiTheme="majorHAnsi" w:hAnsiTheme="majorHAnsi"/>
        </w:rPr>
        <w:t>9</w:t>
      </w:r>
      <w:r w:rsidRPr="00DB74FC">
        <w:rPr>
          <w:rFonts w:asciiTheme="majorHAnsi" w:hAnsiTheme="majorHAnsi"/>
        </w:rPr>
        <w:t xml:space="preserve"> 2013. V rámci druhého čítania bude návrh novely zákona č. 85/2005 Z. z. o</w:t>
      </w:r>
      <w:r w:rsidR="00CA132F">
        <w:rPr>
          <w:rFonts w:asciiTheme="majorHAnsi" w:hAnsiTheme="majorHAnsi"/>
        </w:rPr>
        <w:t> </w:t>
      </w:r>
      <w:r w:rsidRPr="00DB74FC">
        <w:rPr>
          <w:rFonts w:asciiTheme="majorHAnsi" w:hAnsiTheme="majorHAnsi"/>
        </w:rPr>
        <w:t>politických</w:t>
      </w:r>
      <w:r w:rsidR="00CA132F">
        <w:rPr>
          <w:rFonts w:asciiTheme="majorHAnsi" w:hAnsiTheme="majorHAnsi"/>
        </w:rPr>
        <w:t xml:space="preserve"> </w:t>
      </w:r>
      <w:r w:rsidRPr="00DB74FC">
        <w:rPr>
          <w:rFonts w:asciiTheme="majorHAnsi" w:hAnsiTheme="majorHAnsi"/>
        </w:rPr>
        <w:t>stranách a</w:t>
      </w:r>
      <w:r w:rsidR="00CA132F">
        <w:rPr>
          <w:rFonts w:asciiTheme="majorHAnsi" w:hAnsiTheme="majorHAnsi"/>
        </w:rPr>
        <w:t> </w:t>
      </w:r>
      <w:r w:rsidRPr="00DB74FC">
        <w:rPr>
          <w:rFonts w:asciiTheme="majorHAnsi" w:hAnsiTheme="majorHAnsi"/>
        </w:rPr>
        <w:t>politických</w:t>
      </w:r>
      <w:r w:rsidR="00CA132F">
        <w:rPr>
          <w:rFonts w:asciiTheme="majorHAnsi" w:hAnsiTheme="majorHAnsi"/>
        </w:rPr>
        <w:t xml:space="preserve"> </w:t>
      </w:r>
      <w:r w:rsidRPr="00DB74FC">
        <w:rPr>
          <w:rFonts w:asciiTheme="majorHAnsi" w:hAnsiTheme="majorHAnsi"/>
        </w:rPr>
        <w:t>hnutiach v</w:t>
      </w:r>
      <w:r w:rsidR="00CA132F">
        <w:rPr>
          <w:rFonts w:asciiTheme="majorHAnsi" w:hAnsiTheme="majorHAnsi"/>
        </w:rPr>
        <w:t> </w:t>
      </w:r>
      <w:r w:rsidRPr="00DB74FC">
        <w:rPr>
          <w:rFonts w:asciiTheme="majorHAnsi" w:hAnsiTheme="majorHAnsi"/>
        </w:rPr>
        <w:t>znení</w:t>
      </w:r>
      <w:r w:rsidR="00CA132F">
        <w:rPr>
          <w:rFonts w:asciiTheme="majorHAnsi" w:hAnsiTheme="majorHAnsi"/>
        </w:rPr>
        <w:t xml:space="preserve"> </w:t>
      </w:r>
      <w:r w:rsidRPr="00DB74FC">
        <w:rPr>
          <w:rFonts w:asciiTheme="majorHAnsi" w:hAnsiTheme="majorHAnsi"/>
        </w:rPr>
        <w:t xml:space="preserve">neskorších predpisov prerokovaný v pléne Národnej rady </w:t>
      </w:r>
      <w:r w:rsidR="002E27FB">
        <w:rPr>
          <w:rFonts w:asciiTheme="majorHAnsi" w:hAnsiTheme="majorHAnsi"/>
        </w:rPr>
        <w:t>SR</w:t>
      </w:r>
      <w:r w:rsidRPr="00DB74FC">
        <w:rPr>
          <w:rFonts w:asciiTheme="majorHAnsi" w:hAnsiTheme="majorHAnsi"/>
        </w:rPr>
        <w:t xml:space="preserve"> dňa </w:t>
      </w:r>
      <w:r w:rsidR="00835157">
        <w:rPr>
          <w:rFonts w:asciiTheme="majorHAnsi" w:hAnsiTheme="majorHAnsi"/>
        </w:rPr>
        <w:br/>
      </w:r>
      <w:r w:rsidRPr="00DB74FC">
        <w:rPr>
          <w:rFonts w:asciiTheme="majorHAnsi" w:hAnsiTheme="majorHAnsi"/>
        </w:rPr>
        <w:t xml:space="preserve">27. </w:t>
      </w:r>
      <w:r w:rsidR="002E27FB">
        <w:rPr>
          <w:rFonts w:asciiTheme="majorHAnsi" w:hAnsiTheme="majorHAnsi"/>
        </w:rPr>
        <w:t>5</w:t>
      </w:r>
      <w:r w:rsidRPr="00DB74FC">
        <w:rPr>
          <w:rFonts w:asciiTheme="majorHAnsi" w:hAnsiTheme="majorHAnsi"/>
        </w:rPr>
        <w:t xml:space="preserve"> 2014.</w:t>
      </w:r>
    </w:p>
    <w:p w:rsidR="00D71FFE" w:rsidRPr="0026598A" w:rsidRDefault="00D71FFE" w:rsidP="00174E83">
      <w:pPr>
        <w:spacing w:before="240"/>
        <w:rPr>
          <w:rFonts w:asciiTheme="majorHAnsi" w:hAnsiTheme="majorHAnsi"/>
        </w:rPr>
      </w:pPr>
      <w:r w:rsidRPr="0026598A">
        <w:rPr>
          <w:rFonts w:asciiTheme="majorHAnsi" w:hAnsiTheme="majorHAnsi"/>
        </w:rPr>
        <w:t>c) opatrenia v oblasti implementácie fondov EÚ</w:t>
      </w:r>
    </w:p>
    <w:p w:rsidR="00232DEE" w:rsidRPr="00DB74FC" w:rsidRDefault="00232DEE" w:rsidP="00BA185A">
      <w:pPr>
        <w:spacing w:before="0" w:after="200"/>
        <w:rPr>
          <w:rFonts w:asciiTheme="majorHAnsi" w:hAnsiTheme="majorHAnsi"/>
        </w:rPr>
      </w:pPr>
      <w:r w:rsidRPr="00DB74FC">
        <w:rPr>
          <w:rFonts w:asciiTheme="majorHAnsi" w:hAnsiTheme="majorHAnsi"/>
        </w:rPr>
        <w:t xml:space="preserve">SR si uvedomuje potrebu prijímania efektívnych opatrení na boj proti korupcii, podvodom a rodinkárstvu v rámci implementácie fondov EÚ. V tejto oblasti plánuje SR prijať všeobecne záväzný právny predpis, ktorý podrobne upraví práva a povinnosti subjektov zapojených do procesu implementácie, pričom počíta so zavedením nových inštitútov posilňujúcich jeho objektívnosť a transparentnosť. Ide najmä o zadefinovanie zákazu konfliktu záujmov osôb podieľajúcich sa na procese implementácie, rozšírenie možnosti dožadovať sa nápravy v prípade neschválenia </w:t>
      </w:r>
      <w:r w:rsidR="00835157">
        <w:rPr>
          <w:rFonts w:asciiTheme="majorHAnsi" w:hAnsiTheme="majorHAnsi"/>
        </w:rPr>
        <w:t>žiadostí o podporu</w:t>
      </w:r>
      <w:r w:rsidR="00835157" w:rsidRPr="00DB74FC">
        <w:rPr>
          <w:rFonts w:asciiTheme="majorHAnsi" w:hAnsiTheme="majorHAnsi"/>
        </w:rPr>
        <w:t xml:space="preserve"> </w:t>
      </w:r>
      <w:r w:rsidRPr="00DB74FC">
        <w:rPr>
          <w:rFonts w:asciiTheme="majorHAnsi" w:hAnsiTheme="majorHAnsi"/>
        </w:rPr>
        <w:t xml:space="preserve">ako aj efektívne zapojenie partnerov dozerajúcich na proces schvaľovania, vrátane posilnenia ich kapacít dohľadu nad transparentnosťou a objektívnosťou procesu implementácie. </w:t>
      </w:r>
      <w:r w:rsidRPr="00DB74FC">
        <w:rPr>
          <w:rFonts w:asciiTheme="majorHAnsi" w:hAnsiTheme="majorHAnsi"/>
        </w:rPr>
        <w:lastRenderedPageBreak/>
        <w:t xml:space="preserve">Osobitným inštitútom zriadeným pre účely dohľadu nad objektívnosťou a transparentnosťou procesu implementácie bude Rada </w:t>
      </w:r>
      <w:r w:rsidR="00835157">
        <w:rPr>
          <w:rFonts w:asciiTheme="majorHAnsi" w:hAnsiTheme="majorHAnsi"/>
        </w:rPr>
        <w:t>CKO</w:t>
      </w:r>
      <w:r w:rsidRPr="00DB74FC">
        <w:rPr>
          <w:rFonts w:asciiTheme="majorHAnsi" w:hAnsiTheme="majorHAnsi"/>
        </w:rPr>
        <w:t>.</w:t>
      </w:r>
    </w:p>
    <w:p w:rsidR="00D71FFE" w:rsidRPr="0026598A" w:rsidRDefault="00232DEE" w:rsidP="00BA185A">
      <w:pPr>
        <w:spacing w:before="0" w:after="200"/>
        <w:rPr>
          <w:rFonts w:asciiTheme="majorHAnsi" w:hAnsiTheme="majorHAnsi"/>
        </w:rPr>
      </w:pPr>
      <w:r w:rsidRPr="00DB74FC">
        <w:rPr>
          <w:rFonts w:asciiTheme="majorHAnsi" w:hAnsiTheme="majorHAnsi"/>
        </w:rPr>
        <w:t>Podrobnejšie opatrenia v oblasti implementácie fondov EÚ sú pripravované na úrovni Systému riadenia a kontroly EŠIF ako súboru záväzných pravidiel pre poskytovanie prostriedkov EÚ pre všetky subjekty, ktoré majú za úlohu zamerať sa na zvýšenie transparentnosti a kontroly v</w:t>
      </w:r>
      <w:r w:rsidR="00835157">
        <w:rPr>
          <w:rFonts w:asciiTheme="majorHAnsi" w:hAnsiTheme="majorHAnsi"/>
        </w:rPr>
        <w:t> </w:t>
      </w:r>
      <w:r w:rsidRPr="00DB74FC">
        <w:rPr>
          <w:rFonts w:asciiTheme="majorHAnsi" w:hAnsiTheme="majorHAnsi"/>
        </w:rPr>
        <w:t>rámci najrizikovejších procesov (oblasť schvaľovacieho procesu, verejného obstarávania a kontroly).</w:t>
      </w:r>
    </w:p>
    <w:p w:rsidR="00D71FFE" w:rsidRPr="0026598A" w:rsidRDefault="00D71FFE" w:rsidP="00174E83">
      <w:pPr>
        <w:spacing w:before="240"/>
        <w:rPr>
          <w:rFonts w:asciiTheme="majorHAnsi" w:hAnsiTheme="majorHAnsi"/>
        </w:rPr>
      </w:pPr>
      <w:r w:rsidRPr="0026598A">
        <w:rPr>
          <w:rFonts w:asciiTheme="majorHAnsi" w:hAnsiTheme="majorHAnsi"/>
        </w:rPr>
        <w:t>d) opatrenia v oblasti VO</w:t>
      </w:r>
    </w:p>
    <w:p w:rsidR="00D71FFE" w:rsidRPr="0026598A" w:rsidRDefault="00D71FFE" w:rsidP="00174E83">
      <w:pPr>
        <w:spacing w:before="0"/>
        <w:rPr>
          <w:rFonts w:asciiTheme="majorHAnsi" w:hAnsiTheme="majorHAnsi"/>
        </w:rPr>
      </w:pPr>
      <w:r w:rsidRPr="0026598A">
        <w:rPr>
          <w:rFonts w:asciiTheme="majorHAnsi" w:hAnsiTheme="majorHAnsi"/>
        </w:rPr>
        <w:t>SR prijme najneskôr do I. polroku 2015 novú komplexnú právnu úpravu pre oblasť VO, v rámci ktorej okrem transpozície nových smerníc EÚ zohľadní skúsenosti z doterajšej aplikačnej praxe vo VO. Konkrétne opatrenia pre oblasť VO sú súčasťou Akčného plánu k ex</w:t>
      </w:r>
      <w:r w:rsidR="00835157">
        <w:rPr>
          <w:rFonts w:asciiTheme="majorHAnsi" w:hAnsiTheme="majorHAnsi"/>
        </w:rPr>
        <w:t xml:space="preserve"> </w:t>
      </w:r>
      <w:r w:rsidRPr="0026598A">
        <w:rPr>
          <w:rFonts w:asciiTheme="majorHAnsi" w:hAnsiTheme="majorHAnsi"/>
        </w:rPr>
        <w:t>ante kondicionalit</w:t>
      </w:r>
      <w:r w:rsidR="00E83C74">
        <w:rPr>
          <w:rFonts w:asciiTheme="majorHAnsi" w:hAnsiTheme="majorHAnsi"/>
        </w:rPr>
        <w:t>e</w:t>
      </w:r>
      <w:r w:rsidRPr="0026598A">
        <w:rPr>
          <w:rFonts w:asciiTheme="majorHAnsi" w:hAnsiTheme="majorHAnsi"/>
        </w:rPr>
        <w:t xml:space="preserve"> VO.</w:t>
      </w:r>
    </w:p>
    <w:p w:rsidR="002855C4" w:rsidRPr="00A11FE0" w:rsidRDefault="00BD5FD5" w:rsidP="00835157">
      <w:pPr>
        <w:spacing w:before="240"/>
        <w:rPr>
          <w:rFonts w:asciiTheme="majorHAnsi" w:hAnsiTheme="majorHAnsi"/>
          <w:b/>
          <w:szCs w:val="22"/>
        </w:rPr>
      </w:pPr>
      <w:r>
        <w:rPr>
          <w:rFonts w:asciiTheme="majorHAnsi" w:hAnsiTheme="majorHAnsi"/>
          <w:b/>
          <w:szCs w:val="22"/>
        </w:rPr>
        <w:t>S</w:t>
      </w:r>
      <w:r w:rsidR="002855C4" w:rsidRPr="00A11FE0">
        <w:rPr>
          <w:rFonts w:asciiTheme="majorHAnsi" w:hAnsiTheme="majorHAnsi"/>
          <w:b/>
          <w:szCs w:val="22"/>
        </w:rPr>
        <w:t xml:space="preserve">ystémy </w:t>
      </w:r>
      <w:r>
        <w:rPr>
          <w:rFonts w:asciiTheme="majorHAnsi" w:hAnsiTheme="majorHAnsi"/>
          <w:b/>
          <w:szCs w:val="22"/>
        </w:rPr>
        <w:t>a</w:t>
      </w:r>
      <w:r w:rsidR="002855C4" w:rsidRPr="00A11FE0">
        <w:rPr>
          <w:rFonts w:asciiTheme="majorHAnsi" w:hAnsiTheme="majorHAnsi"/>
          <w:b/>
          <w:szCs w:val="22"/>
        </w:rPr>
        <w:t xml:space="preserve"> nástroje efektívnej verejnej </w:t>
      </w:r>
      <w:r>
        <w:rPr>
          <w:rFonts w:asciiTheme="majorHAnsi" w:hAnsiTheme="majorHAnsi"/>
          <w:b/>
          <w:szCs w:val="22"/>
        </w:rPr>
        <w:t>s</w:t>
      </w:r>
      <w:r w:rsidR="002855C4" w:rsidRPr="00A11FE0">
        <w:rPr>
          <w:rFonts w:asciiTheme="majorHAnsi" w:hAnsiTheme="majorHAnsi"/>
          <w:b/>
          <w:szCs w:val="22"/>
        </w:rPr>
        <w:t xml:space="preserve">právy </w:t>
      </w:r>
      <w:r>
        <w:rPr>
          <w:rFonts w:asciiTheme="majorHAnsi" w:hAnsiTheme="majorHAnsi"/>
          <w:b/>
          <w:szCs w:val="22"/>
        </w:rPr>
        <w:t>a</w:t>
      </w:r>
      <w:r w:rsidR="00186FB3">
        <w:rPr>
          <w:rFonts w:asciiTheme="majorHAnsi" w:hAnsiTheme="majorHAnsi"/>
          <w:b/>
          <w:szCs w:val="22"/>
        </w:rPr>
        <w:t> </w:t>
      </w:r>
      <w:r w:rsidR="002855C4" w:rsidRPr="00A11FE0">
        <w:rPr>
          <w:rFonts w:asciiTheme="majorHAnsi" w:hAnsiTheme="majorHAnsi"/>
          <w:b/>
          <w:szCs w:val="22"/>
        </w:rPr>
        <w:t>zhodnotenie</w:t>
      </w:r>
      <w:r w:rsidR="00186FB3">
        <w:rPr>
          <w:rFonts w:asciiTheme="majorHAnsi" w:hAnsiTheme="majorHAnsi"/>
          <w:b/>
          <w:szCs w:val="22"/>
        </w:rPr>
        <w:t xml:space="preserve"> </w:t>
      </w:r>
      <w:r w:rsidR="002855C4" w:rsidRPr="00A11FE0">
        <w:rPr>
          <w:rFonts w:asciiTheme="majorHAnsi" w:hAnsiTheme="majorHAnsi"/>
          <w:b/>
          <w:szCs w:val="22"/>
        </w:rPr>
        <w:t xml:space="preserve">budúcich </w:t>
      </w:r>
      <w:r>
        <w:rPr>
          <w:rFonts w:asciiTheme="majorHAnsi" w:hAnsiTheme="majorHAnsi"/>
          <w:b/>
          <w:szCs w:val="22"/>
        </w:rPr>
        <w:t>k</w:t>
      </w:r>
      <w:r w:rsidR="002855C4" w:rsidRPr="00A11FE0">
        <w:rPr>
          <w:rFonts w:asciiTheme="majorHAnsi" w:hAnsiTheme="majorHAnsi"/>
          <w:b/>
          <w:szCs w:val="22"/>
        </w:rPr>
        <w:t>apacitných potrieb</w:t>
      </w:r>
    </w:p>
    <w:p w:rsidR="002855C4" w:rsidRPr="00A11FE0" w:rsidRDefault="002855C4" w:rsidP="002855C4">
      <w:pPr>
        <w:rPr>
          <w:rFonts w:asciiTheme="majorHAnsi" w:hAnsiTheme="majorHAnsi"/>
          <w:szCs w:val="22"/>
        </w:rPr>
      </w:pPr>
      <w:r w:rsidRPr="00A11FE0">
        <w:rPr>
          <w:rFonts w:asciiTheme="majorHAnsi" w:hAnsiTheme="majorHAnsi"/>
          <w:szCs w:val="22"/>
        </w:rPr>
        <w:t>Na základe</w:t>
      </w:r>
      <w:r w:rsidR="00070968">
        <w:rPr>
          <w:rFonts w:asciiTheme="majorHAnsi" w:hAnsiTheme="majorHAnsi"/>
          <w:szCs w:val="22"/>
        </w:rPr>
        <w:t xml:space="preserve"> realizovanej</w:t>
      </w:r>
      <w:r w:rsidRPr="00A11FE0">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 xml:space="preserve">nalýzy </w:t>
      </w:r>
      <w:r w:rsidR="00070968">
        <w:rPr>
          <w:rFonts w:asciiTheme="majorHAnsi" w:hAnsiTheme="majorHAnsi"/>
          <w:szCs w:val="22"/>
        </w:rPr>
        <w:t>AK</w:t>
      </w:r>
      <w:r w:rsidR="00B12F56">
        <w:rPr>
          <w:rStyle w:val="Odkaznapoznmkupodiarou"/>
          <w:rFonts w:asciiTheme="majorHAnsi" w:hAnsiTheme="majorHAnsi"/>
          <w:szCs w:val="22"/>
        </w:rPr>
        <w:footnoteReference w:id="336"/>
      </w:r>
      <w:r w:rsidR="00070968">
        <w:rPr>
          <w:rFonts w:asciiTheme="majorHAnsi" w:hAnsiTheme="majorHAnsi"/>
          <w:szCs w:val="22"/>
        </w:rPr>
        <w:t xml:space="preserve"> </w:t>
      </w:r>
      <w:r w:rsidR="00D018E1">
        <w:rPr>
          <w:rFonts w:asciiTheme="majorHAnsi" w:hAnsiTheme="majorHAnsi"/>
          <w:szCs w:val="22"/>
        </w:rPr>
        <w:t>, zhodnotenia výkonnosti</w:t>
      </w:r>
      <w:r w:rsidRPr="00A11FE0">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 xml:space="preserve"> efektívnosti, </w:t>
      </w:r>
      <w:r w:rsidR="00BD5FD5">
        <w:rPr>
          <w:rFonts w:asciiTheme="majorHAnsi" w:hAnsiTheme="majorHAnsi"/>
          <w:szCs w:val="22"/>
        </w:rPr>
        <w:t>ak</w:t>
      </w:r>
      <w:r w:rsidRPr="00A11FE0">
        <w:rPr>
          <w:rFonts w:asciiTheme="majorHAnsi" w:hAnsiTheme="majorHAnsi"/>
          <w:szCs w:val="22"/>
        </w:rPr>
        <w:t xml:space="preserve">o </w:t>
      </w:r>
      <w:r w:rsidR="00BD5FD5">
        <w:rPr>
          <w:rFonts w:asciiTheme="majorHAnsi" w:hAnsiTheme="majorHAnsi"/>
          <w:szCs w:val="22"/>
        </w:rPr>
        <w:t>a</w:t>
      </w:r>
      <w:r w:rsidRPr="00A11FE0">
        <w:rPr>
          <w:rFonts w:asciiTheme="majorHAnsi" w:hAnsiTheme="majorHAnsi"/>
          <w:szCs w:val="22"/>
        </w:rPr>
        <w:t xml:space="preserve">j miery </w:t>
      </w:r>
      <w:r w:rsidR="00BD5FD5">
        <w:rPr>
          <w:rFonts w:asciiTheme="majorHAnsi" w:hAnsiTheme="majorHAnsi"/>
          <w:szCs w:val="22"/>
        </w:rPr>
        <w:t>s</w:t>
      </w:r>
      <w:r w:rsidRPr="00A11FE0">
        <w:rPr>
          <w:rFonts w:asciiTheme="majorHAnsi" w:hAnsiTheme="majorHAnsi"/>
          <w:szCs w:val="22"/>
        </w:rPr>
        <w:t xml:space="preserve">ynergie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tability </w:t>
      </w:r>
      <w:r w:rsidR="00070968">
        <w:rPr>
          <w:rFonts w:asciiTheme="majorHAnsi" w:hAnsiTheme="majorHAnsi"/>
          <w:szCs w:val="22"/>
        </w:rPr>
        <w:t>AK</w:t>
      </w:r>
      <w:r w:rsidRPr="00A11FE0">
        <w:rPr>
          <w:rFonts w:asciiTheme="majorHAnsi" w:hAnsiTheme="majorHAnsi"/>
          <w:szCs w:val="22"/>
        </w:rPr>
        <w:t xml:space="preserve"> v</w:t>
      </w:r>
      <w:r w:rsidR="00186FB3">
        <w:rPr>
          <w:rFonts w:asciiTheme="majorHAnsi" w:hAnsiTheme="majorHAnsi"/>
          <w:szCs w:val="22"/>
        </w:rPr>
        <w:t> </w:t>
      </w:r>
      <w:r w:rsidRPr="00A11FE0">
        <w:rPr>
          <w:rFonts w:asciiTheme="majorHAnsi" w:hAnsiTheme="majorHAnsi"/>
          <w:szCs w:val="22"/>
        </w:rPr>
        <w:t>programovom</w:t>
      </w:r>
      <w:r w:rsidR="00186FB3">
        <w:rPr>
          <w:rFonts w:asciiTheme="majorHAnsi" w:hAnsiTheme="majorHAnsi"/>
          <w:szCs w:val="22"/>
        </w:rPr>
        <w:t xml:space="preserve"> </w:t>
      </w:r>
      <w:r w:rsidRPr="00A11FE0">
        <w:rPr>
          <w:rFonts w:asciiTheme="majorHAnsi" w:hAnsiTheme="majorHAnsi"/>
          <w:szCs w:val="22"/>
        </w:rPr>
        <w:t xml:space="preserve">období 2007 – 2013, bude definovaná potreba </w:t>
      </w:r>
      <w:r w:rsidR="00070968">
        <w:rPr>
          <w:rFonts w:asciiTheme="majorHAnsi" w:hAnsiTheme="majorHAnsi"/>
          <w:szCs w:val="22"/>
        </w:rPr>
        <w:t>AK</w:t>
      </w:r>
      <w:r w:rsidRPr="00A11FE0">
        <w:rPr>
          <w:rFonts w:asciiTheme="majorHAnsi" w:hAnsiTheme="majorHAnsi"/>
          <w:szCs w:val="22"/>
        </w:rPr>
        <w:t xml:space="preserve"> </w:t>
      </w:r>
      <w:r w:rsidR="00BD5FD5">
        <w:rPr>
          <w:rFonts w:asciiTheme="majorHAnsi" w:hAnsiTheme="majorHAnsi"/>
          <w:szCs w:val="22"/>
        </w:rPr>
        <w:t>a</w:t>
      </w:r>
      <w:r w:rsidR="00186FB3">
        <w:rPr>
          <w:rFonts w:asciiTheme="majorHAnsi" w:hAnsiTheme="majorHAnsi"/>
          <w:szCs w:val="22"/>
        </w:rPr>
        <w:t> </w:t>
      </w:r>
      <w:r w:rsidRPr="00A11FE0">
        <w:rPr>
          <w:rFonts w:asciiTheme="majorHAnsi" w:hAnsiTheme="majorHAnsi"/>
          <w:szCs w:val="22"/>
        </w:rPr>
        <w:t>nástrojov</w:t>
      </w:r>
      <w:r w:rsidR="00186FB3">
        <w:rPr>
          <w:rFonts w:asciiTheme="majorHAnsi" w:hAnsiTheme="majorHAnsi"/>
          <w:szCs w:val="22"/>
        </w:rPr>
        <w:t xml:space="preserve"> </w:t>
      </w:r>
      <w:r w:rsidR="00070968">
        <w:rPr>
          <w:rFonts w:asciiTheme="majorHAnsi" w:hAnsiTheme="majorHAnsi"/>
          <w:szCs w:val="22"/>
        </w:rPr>
        <w:t>na</w:t>
      </w:r>
      <w:r w:rsidR="00070968" w:rsidRPr="00A11FE0">
        <w:rPr>
          <w:rFonts w:asciiTheme="majorHAnsi" w:hAnsiTheme="majorHAnsi"/>
          <w:szCs w:val="22"/>
        </w:rPr>
        <w:t xml:space="preserve"> </w:t>
      </w:r>
      <w:r w:rsidRPr="00A11FE0">
        <w:rPr>
          <w:rFonts w:asciiTheme="majorHAnsi" w:hAnsiTheme="majorHAnsi"/>
          <w:szCs w:val="22"/>
        </w:rPr>
        <w:t xml:space="preserve">programové obdobie </w:t>
      </w:r>
      <w:r w:rsidR="00F13AE5">
        <w:rPr>
          <w:rFonts w:asciiTheme="majorHAnsi" w:hAnsiTheme="majorHAnsi"/>
          <w:szCs w:val="22"/>
        </w:rPr>
        <w:t xml:space="preserve">2014 – 2020 </w:t>
      </w:r>
      <w:r w:rsidR="00BD5FD5">
        <w:rPr>
          <w:rFonts w:asciiTheme="majorHAnsi" w:hAnsiTheme="majorHAnsi"/>
          <w:szCs w:val="22"/>
        </w:rPr>
        <w:t>s</w:t>
      </w:r>
      <w:r w:rsidRPr="00A11FE0">
        <w:rPr>
          <w:rFonts w:asciiTheme="majorHAnsi" w:hAnsiTheme="majorHAnsi"/>
          <w:szCs w:val="22"/>
        </w:rPr>
        <w:t> dôrazom na nasledovné oblasti:</w:t>
      </w:r>
    </w:p>
    <w:p w:rsidR="002855C4" w:rsidRPr="00A11FE0" w:rsidRDefault="002855C4" w:rsidP="009B7C77">
      <w:pPr>
        <w:pStyle w:val="Odsekzoznamu"/>
        <w:numPr>
          <w:ilvl w:val="0"/>
          <w:numId w:val="23"/>
        </w:numPr>
        <w:spacing w:after="0"/>
        <w:ind w:left="425" w:hanging="357"/>
        <w:rPr>
          <w:rFonts w:asciiTheme="majorHAnsi" w:hAnsiTheme="majorHAnsi"/>
        </w:rPr>
      </w:pPr>
      <w:r w:rsidRPr="00A11FE0">
        <w:rPr>
          <w:rFonts w:asciiTheme="majorHAnsi" w:hAnsiTheme="majorHAnsi"/>
        </w:rPr>
        <w:t xml:space="preserve">zavedenie jednotnej metodiky pre implementáciu finančnej </w:t>
      </w:r>
      <w:r w:rsidR="006F6412">
        <w:rPr>
          <w:rFonts w:asciiTheme="majorHAnsi" w:hAnsiTheme="majorHAnsi"/>
        </w:rPr>
        <w:t>podpory</w:t>
      </w:r>
      <w:r w:rsidR="006F6412" w:rsidRPr="00A11FE0">
        <w:rPr>
          <w:rFonts w:asciiTheme="majorHAnsi" w:hAnsiTheme="majorHAnsi"/>
        </w:rPr>
        <w:t xml:space="preserve"> </w:t>
      </w:r>
      <w:r w:rsidRPr="00A11FE0">
        <w:rPr>
          <w:rFonts w:asciiTheme="majorHAnsi" w:hAnsiTheme="majorHAnsi"/>
        </w:rPr>
        <w:t>z</w:t>
      </w:r>
      <w:r w:rsidR="00ED0E5A">
        <w:rPr>
          <w:rFonts w:asciiTheme="majorHAnsi" w:hAnsiTheme="majorHAnsi"/>
        </w:rPr>
        <w:t> </w:t>
      </w:r>
      <w:r w:rsidRPr="00A11FE0">
        <w:rPr>
          <w:rFonts w:asciiTheme="majorHAnsi" w:hAnsiTheme="majorHAnsi"/>
        </w:rPr>
        <w:t>EŠIF</w:t>
      </w:r>
      <w:r w:rsidR="00ED0E5A">
        <w:rPr>
          <w:rFonts w:asciiTheme="majorHAnsi" w:hAnsiTheme="majorHAnsi"/>
        </w:rPr>
        <w:t xml:space="preserve"> pri zohľadnení špecifík</w:t>
      </w:r>
      <w:r w:rsidR="0026363A">
        <w:rPr>
          <w:rFonts w:asciiTheme="majorHAnsi" w:hAnsiTheme="majorHAnsi"/>
        </w:rPr>
        <w:t xml:space="preserve"> EPFRV a</w:t>
      </w:r>
      <w:r w:rsidR="00ED0E5A">
        <w:rPr>
          <w:rFonts w:asciiTheme="majorHAnsi" w:hAnsiTheme="majorHAnsi"/>
        </w:rPr>
        <w:t xml:space="preserve"> ENRF</w:t>
      </w:r>
      <w:r w:rsidRPr="00A11FE0">
        <w:rPr>
          <w:rFonts w:asciiTheme="majorHAnsi" w:hAnsiTheme="majorHAnsi"/>
        </w:rPr>
        <w:t>;</w:t>
      </w:r>
    </w:p>
    <w:p w:rsidR="002855C4" w:rsidRPr="00A11FE0" w:rsidRDefault="002855C4" w:rsidP="009B7C77">
      <w:pPr>
        <w:pStyle w:val="Odsekzoznamu"/>
        <w:numPr>
          <w:ilvl w:val="0"/>
          <w:numId w:val="23"/>
        </w:numPr>
        <w:spacing w:before="0" w:after="0"/>
        <w:ind w:left="426"/>
        <w:rPr>
          <w:rFonts w:asciiTheme="majorHAnsi" w:hAnsiTheme="majorHAnsi"/>
        </w:rPr>
      </w:pPr>
      <w:r w:rsidRPr="00A11FE0">
        <w:rPr>
          <w:rFonts w:asciiTheme="majorHAnsi" w:hAnsiTheme="majorHAnsi"/>
        </w:rPr>
        <w:t xml:space="preserve">zjednodušenie </w:t>
      </w:r>
      <w:r w:rsidR="00BD5FD5">
        <w:rPr>
          <w:rFonts w:asciiTheme="majorHAnsi" w:hAnsiTheme="majorHAnsi"/>
        </w:rPr>
        <w:t>a</w:t>
      </w:r>
      <w:r w:rsidRPr="00A11FE0">
        <w:rPr>
          <w:rFonts w:asciiTheme="majorHAnsi" w:hAnsiTheme="majorHAnsi"/>
        </w:rPr>
        <w:t> </w:t>
      </w:r>
      <w:r w:rsidR="00BD5FD5">
        <w:rPr>
          <w:rFonts w:asciiTheme="majorHAnsi" w:hAnsiTheme="majorHAnsi"/>
        </w:rPr>
        <w:t>s</w:t>
      </w:r>
      <w:r w:rsidRPr="00A11FE0">
        <w:rPr>
          <w:rFonts w:asciiTheme="majorHAnsi" w:hAnsiTheme="majorHAnsi"/>
        </w:rPr>
        <w:t xml:space="preserve">prehľadnenie procesov riadenia </w:t>
      </w:r>
      <w:r w:rsidR="00BD5FD5">
        <w:rPr>
          <w:rFonts w:asciiTheme="majorHAnsi" w:hAnsiTheme="majorHAnsi"/>
        </w:rPr>
        <w:t>a</w:t>
      </w:r>
      <w:r w:rsidRPr="00A11FE0">
        <w:rPr>
          <w:rFonts w:asciiTheme="majorHAnsi" w:hAnsiTheme="majorHAnsi"/>
        </w:rPr>
        <w:t xml:space="preserve"> finančného riadenia, identifikácia možností </w:t>
      </w:r>
      <w:r w:rsidR="00BD5FD5">
        <w:rPr>
          <w:rFonts w:asciiTheme="majorHAnsi" w:hAnsiTheme="majorHAnsi"/>
        </w:rPr>
        <w:t>a</w:t>
      </w:r>
      <w:r w:rsidRPr="00A11FE0">
        <w:rPr>
          <w:rFonts w:asciiTheme="majorHAnsi" w:hAnsiTheme="majorHAnsi"/>
        </w:rPr>
        <w:t xml:space="preserve">utomatizácie procesov </w:t>
      </w:r>
      <w:r w:rsidR="00BD5FD5">
        <w:rPr>
          <w:rFonts w:asciiTheme="majorHAnsi" w:hAnsiTheme="majorHAnsi"/>
        </w:rPr>
        <w:t>a</w:t>
      </w:r>
      <w:r w:rsidRPr="00A11FE0">
        <w:rPr>
          <w:rFonts w:asciiTheme="majorHAnsi" w:hAnsiTheme="majorHAnsi"/>
        </w:rPr>
        <w:t xml:space="preserve"> rozšírenia elektronickej výmeny podkladov, dokumentov </w:t>
      </w:r>
      <w:r w:rsidR="00BD5FD5">
        <w:rPr>
          <w:rFonts w:asciiTheme="majorHAnsi" w:hAnsiTheme="majorHAnsi"/>
        </w:rPr>
        <w:t>a</w:t>
      </w:r>
      <w:r w:rsidRPr="00A11FE0">
        <w:rPr>
          <w:rFonts w:asciiTheme="majorHAnsi" w:hAnsiTheme="majorHAnsi"/>
        </w:rPr>
        <w:t> informácií;</w:t>
      </w:r>
    </w:p>
    <w:p w:rsidR="002855C4" w:rsidRPr="00A11FE0" w:rsidRDefault="002855C4" w:rsidP="009B7C77">
      <w:pPr>
        <w:pStyle w:val="Odsekzoznamu"/>
        <w:numPr>
          <w:ilvl w:val="0"/>
          <w:numId w:val="23"/>
        </w:numPr>
        <w:spacing w:before="0" w:after="0"/>
        <w:ind w:left="426"/>
        <w:rPr>
          <w:rFonts w:asciiTheme="majorHAnsi" w:hAnsiTheme="majorHAnsi"/>
        </w:rPr>
      </w:pPr>
      <w:r w:rsidRPr="00A11FE0">
        <w:rPr>
          <w:rFonts w:asciiTheme="majorHAnsi" w:hAnsiTheme="majorHAnsi"/>
        </w:rPr>
        <w:t xml:space="preserve">zavedenie opatrení pre zvýšenie </w:t>
      </w:r>
      <w:r w:rsidR="00BD5FD5">
        <w:rPr>
          <w:rFonts w:asciiTheme="majorHAnsi" w:hAnsiTheme="majorHAnsi"/>
        </w:rPr>
        <w:t>k</w:t>
      </w:r>
      <w:r w:rsidRPr="00A11FE0">
        <w:rPr>
          <w:rFonts w:asciiTheme="majorHAnsi" w:hAnsiTheme="majorHAnsi"/>
        </w:rPr>
        <w:t xml:space="preserve">vality, dostupnosti, transparentnosti </w:t>
      </w:r>
      <w:r w:rsidR="00BD5FD5">
        <w:rPr>
          <w:rFonts w:asciiTheme="majorHAnsi" w:hAnsiTheme="majorHAnsi"/>
        </w:rPr>
        <w:t>a</w:t>
      </w:r>
      <w:r w:rsidRPr="00A11FE0">
        <w:rPr>
          <w:rFonts w:asciiTheme="majorHAnsi" w:hAnsiTheme="majorHAnsi"/>
        </w:rPr>
        <w:t> </w:t>
      </w:r>
      <w:r w:rsidR="00BD5FD5">
        <w:rPr>
          <w:rFonts w:asciiTheme="majorHAnsi" w:hAnsiTheme="majorHAnsi"/>
        </w:rPr>
        <w:t>s</w:t>
      </w:r>
      <w:r w:rsidRPr="00A11FE0">
        <w:rPr>
          <w:rFonts w:asciiTheme="majorHAnsi" w:hAnsiTheme="majorHAnsi"/>
        </w:rPr>
        <w:t xml:space="preserve">poľahlivosti verejných </w:t>
      </w:r>
      <w:r w:rsidR="00BD5FD5">
        <w:rPr>
          <w:rFonts w:asciiTheme="majorHAnsi" w:hAnsiTheme="majorHAnsi"/>
        </w:rPr>
        <w:t>s</w:t>
      </w:r>
      <w:r w:rsidRPr="00A11FE0">
        <w:rPr>
          <w:rFonts w:asciiTheme="majorHAnsi" w:hAnsiTheme="majorHAnsi"/>
        </w:rPr>
        <w:t xml:space="preserve">lužieb </w:t>
      </w:r>
      <w:r w:rsidR="00BD5FD5">
        <w:rPr>
          <w:rFonts w:asciiTheme="majorHAnsi" w:hAnsiTheme="majorHAnsi"/>
        </w:rPr>
        <w:t>a</w:t>
      </w:r>
      <w:r w:rsidRPr="00A11FE0">
        <w:rPr>
          <w:rFonts w:asciiTheme="majorHAnsi" w:hAnsiTheme="majorHAnsi"/>
        </w:rPr>
        <w:t> </w:t>
      </w:r>
      <w:r w:rsidR="00BD5FD5">
        <w:rPr>
          <w:rFonts w:asciiTheme="majorHAnsi" w:hAnsiTheme="majorHAnsi"/>
        </w:rPr>
        <w:t>s</w:t>
      </w:r>
      <w:r w:rsidRPr="00A11FE0">
        <w:rPr>
          <w:rFonts w:asciiTheme="majorHAnsi" w:hAnsiTheme="majorHAnsi"/>
        </w:rPr>
        <w:t xml:space="preserve">lužieb poradenstva v oblasti implementácie EŠIF, elektronizácia časti </w:t>
      </w:r>
      <w:r w:rsidR="00BD5FD5">
        <w:rPr>
          <w:rFonts w:asciiTheme="majorHAnsi" w:hAnsiTheme="majorHAnsi"/>
        </w:rPr>
        <w:t>a</w:t>
      </w:r>
      <w:r w:rsidRPr="00A11FE0">
        <w:rPr>
          <w:rFonts w:asciiTheme="majorHAnsi" w:hAnsiTheme="majorHAnsi"/>
        </w:rPr>
        <w:t xml:space="preserve">gendy </w:t>
      </w:r>
      <w:r w:rsidR="00BD5FD5">
        <w:rPr>
          <w:rFonts w:asciiTheme="majorHAnsi" w:hAnsiTheme="majorHAnsi"/>
        </w:rPr>
        <w:t>s</w:t>
      </w:r>
      <w:r w:rsidRPr="00A11FE0">
        <w:rPr>
          <w:rFonts w:asciiTheme="majorHAnsi" w:hAnsiTheme="majorHAnsi"/>
        </w:rPr>
        <w:t>lužieb;</w:t>
      </w:r>
    </w:p>
    <w:p w:rsidR="002855C4" w:rsidRPr="00A11FE0" w:rsidRDefault="002855C4" w:rsidP="009B7C77">
      <w:pPr>
        <w:pStyle w:val="Odsekzoznamu"/>
        <w:numPr>
          <w:ilvl w:val="0"/>
          <w:numId w:val="23"/>
        </w:numPr>
        <w:spacing w:before="0" w:after="0"/>
        <w:ind w:left="426"/>
        <w:rPr>
          <w:rFonts w:asciiTheme="majorHAnsi" w:hAnsiTheme="majorHAnsi"/>
        </w:rPr>
      </w:pPr>
      <w:r w:rsidRPr="00A11FE0">
        <w:rPr>
          <w:rFonts w:asciiTheme="majorHAnsi" w:hAnsiTheme="majorHAnsi"/>
        </w:rPr>
        <w:t xml:space="preserve">vytvorenie </w:t>
      </w:r>
      <w:r w:rsidR="00BD5FD5">
        <w:rPr>
          <w:rFonts w:asciiTheme="majorHAnsi" w:hAnsiTheme="majorHAnsi"/>
        </w:rPr>
        <w:t>a</w:t>
      </w:r>
      <w:r w:rsidRPr="00A11FE0">
        <w:rPr>
          <w:rFonts w:asciiTheme="majorHAnsi" w:hAnsiTheme="majorHAnsi"/>
        </w:rPr>
        <w:t xml:space="preserve"> zavedenie </w:t>
      </w:r>
      <w:r w:rsidR="00BD5FD5">
        <w:rPr>
          <w:rFonts w:asciiTheme="majorHAnsi" w:hAnsiTheme="majorHAnsi"/>
        </w:rPr>
        <w:t>s</w:t>
      </w:r>
      <w:r w:rsidRPr="00A11FE0">
        <w:rPr>
          <w:rFonts w:asciiTheme="majorHAnsi" w:hAnsiTheme="majorHAnsi"/>
        </w:rPr>
        <w:t xml:space="preserve">poločnej metodiky </w:t>
      </w:r>
      <w:r w:rsidR="00BD5FD5">
        <w:rPr>
          <w:rFonts w:asciiTheme="majorHAnsi" w:hAnsiTheme="majorHAnsi"/>
        </w:rPr>
        <w:t>a</w:t>
      </w:r>
      <w:r w:rsidRPr="00A11FE0">
        <w:rPr>
          <w:rFonts w:asciiTheme="majorHAnsi" w:hAnsiTheme="majorHAnsi"/>
        </w:rPr>
        <w:t xml:space="preserve"> jednotného výkladu inštitútov </w:t>
      </w:r>
      <w:r w:rsidR="00BD5FD5">
        <w:rPr>
          <w:rFonts w:asciiTheme="majorHAnsi" w:hAnsiTheme="majorHAnsi"/>
        </w:rPr>
        <w:t>a</w:t>
      </w:r>
      <w:r w:rsidRPr="00A11FE0">
        <w:rPr>
          <w:rFonts w:asciiTheme="majorHAnsi" w:hAnsiTheme="majorHAnsi"/>
        </w:rPr>
        <w:t xml:space="preserve"> postupov zadávania verejných zákaziek </w:t>
      </w:r>
      <w:r w:rsidR="00BD5FD5">
        <w:rPr>
          <w:rFonts w:asciiTheme="majorHAnsi" w:hAnsiTheme="majorHAnsi"/>
        </w:rPr>
        <w:t>a</w:t>
      </w:r>
      <w:r w:rsidRPr="00A11FE0">
        <w:rPr>
          <w:rFonts w:asciiTheme="majorHAnsi" w:hAnsiTheme="majorHAnsi"/>
        </w:rPr>
        <w:t> </w:t>
      </w:r>
      <w:r w:rsidR="00BD5FD5">
        <w:rPr>
          <w:rFonts w:asciiTheme="majorHAnsi" w:hAnsiTheme="majorHAnsi"/>
        </w:rPr>
        <w:t>k</w:t>
      </w:r>
      <w:r w:rsidRPr="00A11FE0">
        <w:rPr>
          <w:rFonts w:asciiTheme="majorHAnsi" w:hAnsiTheme="majorHAnsi"/>
        </w:rPr>
        <w:t xml:space="preserve">ontroly </w:t>
      </w:r>
      <w:r w:rsidR="00F02806">
        <w:rPr>
          <w:rFonts w:asciiTheme="majorHAnsi" w:hAnsiTheme="majorHAnsi"/>
        </w:rPr>
        <w:t>VO</w:t>
      </w:r>
      <w:r w:rsidRPr="00A11FE0">
        <w:rPr>
          <w:rFonts w:asciiTheme="majorHAnsi" w:hAnsiTheme="majorHAnsi"/>
        </w:rPr>
        <w:t xml:space="preserve"> na centrálnej úrovni </w:t>
      </w:r>
      <w:r w:rsidR="00F13AE5">
        <w:rPr>
          <w:rFonts w:asciiTheme="majorHAnsi" w:hAnsiTheme="majorHAnsi"/>
        </w:rPr>
        <w:t>a</w:t>
      </w:r>
      <w:r w:rsidR="00F13AE5" w:rsidRPr="00A11FE0">
        <w:rPr>
          <w:rFonts w:asciiTheme="majorHAnsi" w:hAnsiTheme="majorHAnsi"/>
        </w:rPr>
        <w:t> </w:t>
      </w:r>
      <w:r w:rsidRPr="00A11FE0">
        <w:rPr>
          <w:rFonts w:asciiTheme="majorHAnsi" w:hAnsiTheme="majorHAnsi"/>
        </w:rPr>
        <w:t>v </w:t>
      </w:r>
      <w:r w:rsidR="00BD5FD5">
        <w:rPr>
          <w:rFonts w:asciiTheme="majorHAnsi" w:hAnsiTheme="majorHAnsi"/>
        </w:rPr>
        <w:t>s</w:t>
      </w:r>
      <w:r w:rsidRPr="00A11FE0">
        <w:rPr>
          <w:rFonts w:asciiTheme="majorHAnsi" w:hAnsiTheme="majorHAnsi"/>
        </w:rPr>
        <w:t xml:space="preserve">polupráci </w:t>
      </w:r>
      <w:r w:rsidR="00BD5FD5">
        <w:rPr>
          <w:rFonts w:asciiTheme="majorHAnsi" w:hAnsiTheme="majorHAnsi"/>
        </w:rPr>
        <w:t>s</w:t>
      </w:r>
      <w:r w:rsidRPr="00A11FE0">
        <w:rPr>
          <w:rFonts w:asciiTheme="majorHAnsi" w:hAnsiTheme="majorHAnsi"/>
        </w:rPr>
        <w:t> ÚVO;</w:t>
      </w:r>
    </w:p>
    <w:p w:rsidR="002855C4" w:rsidRPr="00A11FE0" w:rsidRDefault="002855C4" w:rsidP="009B7C77">
      <w:pPr>
        <w:pStyle w:val="Odsekzoznamu"/>
        <w:numPr>
          <w:ilvl w:val="0"/>
          <w:numId w:val="23"/>
        </w:numPr>
        <w:spacing w:before="0" w:after="0"/>
        <w:ind w:left="426"/>
        <w:rPr>
          <w:rFonts w:asciiTheme="majorHAnsi" w:hAnsiTheme="majorHAnsi"/>
        </w:rPr>
      </w:pPr>
      <w:r w:rsidRPr="00A11FE0">
        <w:rPr>
          <w:rFonts w:asciiTheme="majorHAnsi" w:hAnsiTheme="majorHAnsi"/>
        </w:rPr>
        <w:t xml:space="preserve">posilnenie hodnotenia programov </w:t>
      </w:r>
      <w:r w:rsidR="00BD5FD5">
        <w:rPr>
          <w:rFonts w:asciiTheme="majorHAnsi" w:hAnsiTheme="majorHAnsi"/>
        </w:rPr>
        <w:t>a</w:t>
      </w:r>
      <w:r w:rsidRPr="00A11FE0">
        <w:rPr>
          <w:rFonts w:asciiTheme="majorHAnsi" w:hAnsiTheme="majorHAnsi"/>
        </w:rPr>
        <w:t xml:space="preserve"> vykonania štúdií </w:t>
      </w:r>
      <w:r w:rsidR="00BD5FD5">
        <w:rPr>
          <w:rFonts w:asciiTheme="majorHAnsi" w:hAnsiTheme="majorHAnsi"/>
        </w:rPr>
        <w:t>a</w:t>
      </w:r>
      <w:r w:rsidRPr="00A11FE0">
        <w:rPr>
          <w:rFonts w:asciiTheme="majorHAnsi" w:hAnsiTheme="majorHAnsi"/>
        </w:rPr>
        <w:t> </w:t>
      </w:r>
      <w:r w:rsidR="00BD5FD5">
        <w:rPr>
          <w:rFonts w:asciiTheme="majorHAnsi" w:hAnsiTheme="majorHAnsi"/>
        </w:rPr>
        <w:t>a</w:t>
      </w:r>
      <w:r w:rsidRPr="00A11FE0">
        <w:rPr>
          <w:rFonts w:asciiTheme="majorHAnsi" w:hAnsiTheme="majorHAnsi"/>
        </w:rPr>
        <w:t xml:space="preserve">nalýz </w:t>
      </w:r>
      <w:r w:rsidR="00BD5FD5">
        <w:rPr>
          <w:rFonts w:asciiTheme="majorHAnsi" w:hAnsiTheme="majorHAnsi"/>
        </w:rPr>
        <w:t>s</w:t>
      </w:r>
      <w:r w:rsidRPr="00A11FE0">
        <w:rPr>
          <w:rFonts w:asciiTheme="majorHAnsi" w:hAnsiTheme="majorHAnsi"/>
        </w:rPr>
        <w:t> využitím prostriedkov technickej pomoci</w:t>
      </w:r>
      <w:r w:rsidR="00F13AE5">
        <w:rPr>
          <w:rFonts w:asciiTheme="majorHAnsi" w:hAnsiTheme="majorHAnsi"/>
        </w:rPr>
        <w:t xml:space="preserve"> EÚ</w:t>
      </w:r>
      <w:r w:rsidRPr="00A11FE0">
        <w:rPr>
          <w:rFonts w:asciiTheme="majorHAnsi" w:hAnsiTheme="majorHAnsi"/>
        </w:rPr>
        <w:t>;</w:t>
      </w:r>
    </w:p>
    <w:p w:rsidR="002855C4" w:rsidRPr="00A11FE0" w:rsidRDefault="00BD5FD5" w:rsidP="009B7C77">
      <w:pPr>
        <w:pStyle w:val="Odsekzoznamu"/>
        <w:numPr>
          <w:ilvl w:val="0"/>
          <w:numId w:val="23"/>
        </w:numPr>
        <w:spacing w:before="0" w:after="0"/>
        <w:ind w:left="426"/>
        <w:rPr>
          <w:rFonts w:asciiTheme="majorHAnsi" w:hAnsiTheme="majorHAnsi"/>
        </w:rPr>
      </w:pPr>
      <w:r>
        <w:rPr>
          <w:rFonts w:asciiTheme="majorHAnsi" w:hAnsiTheme="majorHAnsi"/>
        </w:rPr>
        <w:t>s</w:t>
      </w:r>
      <w:r w:rsidR="002855C4" w:rsidRPr="00A11FE0">
        <w:rPr>
          <w:rFonts w:asciiTheme="majorHAnsi" w:hAnsiTheme="majorHAnsi"/>
        </w:rPr>
        <w:t xml:space="preserve">ledovanie </w:t>
      </w:r>
      <w:r>
        <w:rPr>
          <w:rFonts w:asciiTheme="majorHAnsi" w:hAnsiTheme="majorHAnsi"/>
        </w:rPr>
        <w:t>a</w:t>
      </w:r>
      <w:r w:rsidR="00186FB3">
        <w:rPr>
          <w:rFonts w:asciiTheme="majorHAnsi" w:hAnsiTheme="majorHAnsi"/>
        </w:rPr>
        <w:t> </w:t>
      </w:r>
      <w:r w:rsidR="002855C4" w:rsidRPr="00A11FE0">
        <w:rPr>
          <w:rFonts w:asciiTheme="majorHAnsi" w:hAnsiTheme="majorHAnsi"/>
        </w:rPr>
        <w:t>pravidelné</w:t>
      </w:r>
      <w:r w:rsidR="00186FB3">
        <w:rPr>
          <w:rFonts w:asciiTheme="majorHAnsi" w:hAnsiTheme="majorHAnsi"/>
        </w:rPr>
        <w:t xml:space="preserve"> </w:t>
      </w:r>
      <w:r w:rsidR="002855C4" w:rsidRPr="00A11FE0">
        <w:rPr>
          <w:rFonts w:asciiTheme="majorHAnsi" w:hAnsiTheme="majorHAnsi"/>
        </w:rPr>
        <w:t xml:space="preserve">vyhodnocovanie výsledkov realizovaných programov/projektov </w:t>
      </w:r>
      <w:r>
        <w:rPr>
          <w:rFonts w:asciiTheme="majorHAnsi" w:hAnsiTheme="majorHAnsi"/>
        </w:rPr>
        <w:t>a </w:t>
      </w:r>
      <w:r w:rsidR="002855C4" w:rsidRPr="00A11FE0">
        <w:rPr>
          <w:rFonts w:asciiTheme="majorHAnsi" w:hAnsiTheme="majorHAnsi"/>
        </w:rPr>
        <w:t xml:space="preserve">zavedenie postupov pre tvorbu </w:t>
      </w:r>
      <w:r>
        <w:rPr>
          <w:rFonts w:asciiTheme="majorHAnsi" w:hAnsiTheme="majorHAnsi"/>
        </w:rPr>
        <w:t>a</w:t>
      </w:r>
      <w:r w:rsidR="002855C4" w:rsidRPr="00A11FE0">
        <w:rPr>
          <w:rFonts w:asciiTheme="majorHAnsi" w:hAnsiTheme="majorHAnsi"/>
        </w:rPr>
        <w:t> distribúciu finančných prostriedkov v </w:t>
      </w:r>
      <w:r>
        <w:rPr>
          <w:rFonts w:asciiTheme="majorHAnsi" w:hAnsiTheme="majorHAnsi"/>
        </w:rPr>
        <w:t>s</w:t>
      </w:r>
      <w:r w:rsidR="002855C4" w:rsidRPr="00A11FE0">
        <w:rPr>
          <w:rFonts w:asciiTheme="majorHAnsi" w:hAnsiTheme="majorHAnsi"/>
        </w:rPr>
        <w:t xml:space="preserve">úlade </w:t>
      </w:r>
      <w:r>
        <w:rPr>
          <w:rFonts w:asciiTheme="majorHAnsi" w:hAnsiTheme="majorHAnsi"/>
        </w:rPr>
        <w:t>s</w:t>
      </w:r>
      <w:r w:rsidR="002855C4" w:rsidRPr="00A11FE0">
        <w:rPr>
          <w:rFonts w:asciiTheme="majorHAnsi" w:hAnsiTheme="majorHAnsi"/>
        </w:rPr>
        <w:t xml:space="preserve">o zisteniami </w:t>
      </w:r>
      <w:r>
        <w:rPr>
          <w:rFonts w:asciiTheme="majorHAnsi" w:hAnsiTheme="majorHAnsi"/>
        </w:rPr>
        <w:t>a</w:t>
      </w:r>
      <w:r w:rsidR="002855C4" w:rsidRPr="00A11FE0">
        <w:rPr>
          <w:rFonts w:asciiTheme="majorHAnsi" w:hAnsiTheme="majorHAnsi"/>
        </w:rPr>
        <w:t xml:space="preserve"> pravidlami </w:t>
      </w:r>
      <w:r>
        <w:rPr>
          <w:rFonts w:asciiTheme="majorHAnsi" w:hAnsiTheme="majorHAnsi"/>
        </w:rPr>
        <w:t>s</w:t>
      </w:r>
      <w:r w:rsidR="002855C4" w:rsidRPr="00A11FE0">
        <w:rPr>
          <w:rFonts w:asciiTheme="majorHAnsi" w:hAnsiTheme="majorHAnsi"/>
        </w:rPr>
        <w:t>trategického hodnotenia;</w:t>
      </w:r>
    </w:p>
    <w:p w:rsidR="002855C4" w:rsidRDefault="002855C4" w:rsidP="009B7C77">
      <w:pPr>
        <w:pStyle w:val="Odsekzoznamu"/>
        <w:numPr>
          <w:ilvl w:val="0"/>
          <w:numId w:val="23"/>
        </w:numPr>
        <w:spacing w:before="0"/>
        <w:ind w:left="425" w:hanging="357"/>
        <w:rPr>
          <w:rFonts w:asciiTheme="majorHAnsi" w:hAnsiTheme="majorHAnsi"/>
        </w:rPr>
      </w:pPr>
      <w:r w:rsidRPr="00A11FE0">
        <w:rPr>
          <w:rFonts w:asciiTheme="majorHAnsi" w:hAnsiTheme="majorHAnsi"/>
        </w:rPr>
        <w:t xml:space="preserve">realizácia pravidelného porovnania výkonnosti jednotlivých </w:t>
      </w:r>
      <w:r w:rsidR="00BD5FD5">
        <w:rPr>
          <w:rFonts w:asciiTheme="majorHAnsi" w:hAnsiTheme="majorHAnsi"/>
        </w:rPr>
        <w:t>s</w:t>
      </w:r>
      <w:r w:rsidRPr="00A11FE0">
        <w:rPr>
          <w:rFonts w:asciiTheme="majorHAnsi" w:hAnsiTheme="majorHAnsi"/>
        </w:rPr>
        <w:t xml:space="preserve">ubjektov </w:t>
      </w:r>
      <w:r w:rsidR="00BD5FD5">
        <w:rPr>
          <w:rFonts w:asciiTheme="majorHAnsi" w:hAnsiTheme="majorHAnsi"/>
        </w:rPr>
        <w:t>a</w:t>
      </w:r>
      <w:r w:rsidRPr="00A11FE0">
        <w:rPr>
          <w:rFonts w:asciiTheme="majorHAnsi" w:hAnsiTheme="majorHAnsi"/>
        </w:rPr>
        <w:t xml:space="preserve"> benchmarking implementačného </w:t>
      </w:r>
      <w:r w:rsidR="00BD5FD5">
        <w:rPr>
          <w:rFonts w:asciiTheme="majorHAnsi" w:hAnsiTheme="majorHAnsi"/>
        </w:rPr>
        <w:t>s</w:t>
      </w:r>
      <w:r w:rsidRPr="00A11FE0">
        <w:rPr>
          <w:rFonts w:asciiTheme="majorHAnsi" w:hAnsiTheme="majorHAnsi"/>
        </w:rPr>
        <w:t xml:space="preserve">ystému, </w:t>
      </w:r>
      <w:r w:rsidR="00BD5FD5">
        <w:rPr>
          <w:rFonts w:asciiTheme="majorHAnsi" w:hAnsiTheme="majorHAnsi"/>
        </w:rPr>
        <w:t>k</w:t>
      </w:r>
      <w:r w:rsidRPr="00A11FE0">
        <w:rPr>
          <w:rFonts w:asciiTheme="majorHAnsi" w:hAnsiTheme="majorHAnsi"/>
        </w:rPr>
        <w:t xml:space="preserve">torý bude </w:t>
      </w:r>
      <w:r w:rsidR="00BD5FD5">
        <w:rPr>
          <w:rFonts w:asciiTheme="majorHAnsi" w:hAnsiTheme="majorHAnsi"/>
        </w:rPr>
        <w:t>s</w:t>
      </w:r>
      <w:r w:rsidRPr="00A11FE0">
        <w:rPr>
          <w:rFonts w:asciiTheme="majorHAnsi" w:hAnsiTheme="majorHAnsi"/>
        </w:rPr>
        <w:t xml:space="preserve">lúžiť </w:t>
      </w:r>
      <w:r w:rsidR="00BD5FD5">
        <w:rPr>
          <w:rFonts w:asciiTheme="majorHAnsi" w:hAnsiTheme="majorHAnsi"/>
        </w:rPr>
        <w:t>ak</w:t>
      </w:r>
      <w:r w:rsidRPr="00A11FE0">
        <w:rPr>
          <w:rFonts w:asciiTheme="majorHAnsi" w:hAnsiTheme="majorHAnsi"/>
        </w:rPr>
        <w:t xml:space="preserve">o identifikátor rozdielov </w:t>
      </w:r>
      <w:r w:rsidR="00BD5FD5">
        <w:rPr>
          <w:rFonts w:asciiTheme="majorHAnsi" w:hAnsiTheme="majorHAnsi"/>
        </w:rPr>
        <w:t>a</w:t>
      </w:r>
      <w:r w:rsidRPr="00A11FE0">
        <w:rPr>
          <w:rFonts w:asciiTheme="majorHAnsi" w:hAnsiTheme="majorHAnsi"/>
        </w:rPr>
        <w:t xml:space="preserve"> nedostatkov v realizácii EŠIF </w:t>
      </w:r>
      <w:r w:rsidR="00BD5FD5">
        <w:rPr>
          <w:rFonts w:asciiTheme="majorHAnsi" w:hAnsiTheme="majorHAnsi"/>
        </w:rPr>
        <w:t>a</w:t>
      </w:r>
      <w:r w:rsidRPr="00A11FE0">
        <w:rPr>
          <w:rFonts w:asciiTheme="majorHAnsi" w:hAnsiTheme="majorHAnsi"/>
        </w:rPr>
        <w:t> </w:t>
      </w:r>
      <w:r w:rsidR="00BD5FD5">
        <w:rPr>
          <w:rFonts w:asciiTheme="majorHAnsi" w:hAnsiTheme="majorHAnsi"/>
        </w:rPr>
        <w:t>ak</w:t>
      </w:r>
      <w:r w:rsidRPr="00A11FE0">
        <w:rPr>
          <w:rFonts w:asciiTheme="majorHAnsi" w:hAnsiTheme="majorHAnsi"/>
        </w:rPr>
        <w:t>o nástroj pre uplatnenie tzv. „best practice“.</w:t>
      </w:r>
    </w:p>
    <w:p w:rsidR="005A4BF1" w:rsidRPr="007F0E6D" w:rsidRDefault="005A4BF1" w:rsidP="005A4BF1">
      <w:pPr>
        <w:spacing w:before="0"/>
        <w:rPr>
          <w:rFonts w:asciiTheme="majorHAnsi" w:hAnsiTheme="majorHAnsi"/>
        </w:rPr>
      </w:pPr>
      <w:r w:rsidRPr="005A4BF1">
        <w:rPr>
          <w:rFonts w:asciiTheme="majorHAnsi" w:hAnsiTheme="majorHAnsi"/>
        </w:rPr>
        <w:t>Využitie zdrojov technickej pomoci EÚ bude v plnej miere rešpektovať uvedené opatrenia orientované na zlepšenie AK na</w:t>
      </w:r>
      <w:r>
        <w:rPr>
          <w:rFonts w:asciiTheme="majorHAnsi" w:hAnsiTheme="majorHAnsi"/>
        </w:rPr>
        <w:t xml:space="preserve"> strategickej </w:t>
      </w:r>
      <w:r w:rsidRPr="005A4BF1">
        <w:rPr>
          <w:rFonts w:asciiTheme="majorHAnsi" w:hAnsiTheme="majorHAnsi"/>
        </w:rPr>
        <w:t>úrovni</w:t>
      </w:r>
      <w:r>
        <w:rPr>
          <w:rFonts w:asciiTheme="majorHAnsi" w:hAnsiTheme="majorHAnsi"/>
        </w:rPr>
        <w:t xml:space="preserve"> vo vzťahu k</w:t>
      </w:r>
      <w:r w:rsidR="00835157">
        <w:rPr>
          <w:rFonts w:asciiTheme="majorHAnsi" w:hAnsiTheme="majorHAnsi"/>
        </w:rPr>
        <w:t> </w:t>
      </w:r>
      <w:r w:rsidRPr="005A4BF1">
        <w:rPr>
          <w:rFonts w:asciiTheme="majorHAnsi" w:hAnsiTheme="majorHAnsi"/>
        </w:rPr>
        <w:t>PD SR, ako i na úrovni</w:t>
      </w:r>
      <w:r>
        <w:rPr>
          <w:rFonts w:asciiTheme="majorHAnsi" w:hAnsiTheme="majorHAnsi"/>
        </w:rPr>
        <w:t xml:space="preserve"> programov</w:t>
      </w:r>
      <w:r w:rsidRPr="005A4BF1">
        <w:rPr>
          <w:rFonts w:asciiTheme="majorHAnsi" w:hAnsiTheme="majorHAnsi"/>
        </w:rPr>
        <w:t xml:space="preserve">. Pre celkové zlepšenie kvality a efektívnosti implementácie EŠIF v programovom období 2014 – 2020 prostredníctvom naplnenia uvedených cieľov je nevyhnutná optimalizácia procesov, zapojenie AK do implementácie EŠIF, </w:t>
      </w:r>
      <w:r w:rsidR="002658E7">
        <w:rPr>
          <w:rFonts w:asciiTheme="majorHAnsi" w:hAnsiTheme="majorHAnsi"/>
        </w:rPr>
        <w:t xml:space="preserve">posilnené riadenie </w:t>
      </w:r>
      <w:r w:rsidRPr="005A4BF1">
        <w:rPr>
          <w:rFonts w:asciiTheme="majorHAnsi" w:hAnsiTheme="majorHAnsi"/>
        </w:rPr>
        <w:t>a opatrenia na zvýšenie kvality implementácie podporované prostredníctvom technickej pomoci EÚ.</w:t>
      </w:r>
    </w:p>
    <w:p w:rsidR="00496893" w:rsidRPr="00417303" w:rsidRDefault="007F528A" w:rsidP="00290E63">
      <w:pPr>
        <w:pStyle w:val="Nadpis2"/>
        <w:numPr>
          <w:ilvl w:val="1"/>
          <w:numId w:val="2"/>
        </w:numPr>
        <w:spacing w:before="240" w:after="120"/>
        <w:ind w:left="578" w:hanging="578"/>
      </w:pPr>
      <w:bookmarkStart w:id="658" w:name="_Toc377406510"/>
      <w:bookmarkStart w:id="659" w:name="_Toc378168741"/>
      <w:bookmarkStart w:id="660" w:name="_Toc490655234"/>
      <w:bookmarkEnd w:id="658"/>
      <w:r w:rsidRPr="00417303">
        <w:t>Súhrn plánovaných opatrení</w:t>
      </w:r>
      <w:r w:rsidR="007566A6" w:rsidRPr="00417303">
        <w:t xml:space="preserve"> </w:t>
      </w:r>
      <w:r w:rsidR="00496893" w:rsidRPr="00417303">
        <w:t>v</w:t>
      </w:r>
      <w:r w:rsidR="005361F3" w:rsidRPr="00417303">
        <w:t> </w:t>
      </w:r>
      <w:r w:rsidR="00496893" w:rsidRPr="00417303">
        <w:t>programo</w:t>
      </w:r>
      <w:r w:rsidR="007566A6" w:rsidRPr="00417303">
        <w:t>ch</w:t>
      </w:r>
      <w:r w:rsidR="00496893" w:rsidRPr="00417303">
        <w:t xml:space="preserve">, vrátane </w:t>
      </w:r>
      <w:r w:rsidR="007566A6" w:rsidRPr="00417303">
        <w:t xml:space="preserve">orientačného </w:t>
      </w:r>
      <w:r w:rsidR="00496893" w:rsidRPr="00417303">
        <w:t xml:space="preserve">harmonogramu na dosiahnutie zníženia </w:t>
      </w:r>
      <w:r w:rsidR="00BD5FD5" w:rsidRPr="00417303">
        <w:t>a</w:t>
      </w:r>
      <w:r w:rsidR="00496893" w:rsidRPr="00417303">
        <w:t>dministratívnej záťaže prijímateľov</w:t>
      </w:r>
      <w:bookmarkEnd w:id="659"/>
      <w:bookmarkEnd w:id="660"/>
    </w:p>
    <w:p w:rsidR="00D20ED7" w:rsidRPr="00417303" w:rsidRDefault="00D20ED7" w:rsidP="00417303">
      <w:pPr>
        <w:tabs>
          <w:tab w:val="left" w:pos="709"/>
        </w:tabs>
        <w:spacing w:before="0" w:after="0"/>
        <w:ind w:right="-8"/>
        <w:rPr>
          <w:rFonts w:asciiTheme="majorHAnsi" w:hAnsiTheme="majorHAnsi"/>
          <w:szCs w:val="22"/>
        </w:rPr>
      </w:pPr>
      <w:r w:rsidRPr="00417303">
        <w:rPr>
          <w:rFonts w:asciiTheme="majorHAnsi" w:hAnsiTheme="majorHAnsi"/>
          <w:szCs w:val="22"/>
        </w:rPr>
        <w:t>V</w:t>
      </w:r>
      <w:r w:rsidR="00835157">
        <w:rPr>
          <w:rFonts w:asciiTheme="majorHAnsi" w:hAnsiTheme="majorHAnsi"/>
          <w:szCs w:val="22"/>
        </w:rPr>
        <w:t> </w:t>
      </w:r>
      <w:r w:rsidRPr="00417303">
        <w:rPr>
          <w:rFonts w:asciiTheme="majorHAnsi" w:hAnsiTheme="majorHAnsi"/>
          <w:szCs w:val="22"/>
        </w:rPr>
        <w:t>súvislosti s opatreniami na dosiahnutie zníženia administratívnej záťaže</w:t>
      </w:r>
      <w:r w:rsidR="000603F8">
        <w:rPr>
          <w:rFonts w:asciiTheme="majorHAnsi" w:hAnsiTheme="majorHAnsi"/>
          <w:szCs w:val="22"/>
        </w:rPr>
        <w:t xml:space="preserve"> (ďalej len „AZ“)</w:t>
      </w:r>
      <w:r w:rsidRPr="00417303">
        <w:rPr>
          <w:rFonts w:asciiTheme="majorHAnsi" w:hAnsiTheme="majorHAnsi"/>
          <w:szCs w:val="22"/>
        </w:rPr>
        <w:t xml:space="preserve"> je potrebné identifikovať a odstrániť bariéry až na úroveň žiadateľov o poskytnutie </w:t>
      </w:r>
      <w:r w:rsidR="006F6412">
        <w:rPr>
          <w:rFonts w:asciiTheme="majorHAnsi" w:hAnsiTheme="majorHAnsi"/>
          <w:szCs w:val="22"/>
        </w:rPr>
        <w:t>podpory</w:t>
      </w:r>
      <w:r w:rsidR="006F6412" w:rsidRPr="00417303">
        <w:rPr>
          <w:rFonts w:asciiTheme="majorHAnsi" w:hAnsiTheme="majorHAnsi"/>
          <w:szCs w:val="22"/>
        </w:rPr>
        <w:t xml:space="preserve"> </w:t>
      </w:r>
      <w:r w:rsidRPr="00417303">
        <w:rPr>
          <w:rFonts w:asciiTheme="majorHAnsi" w:hAnsiTheme="majorHAnsi"/>
          <w:szCs w:val="22"/>
        </w:rPr>
        <w:t>z EŠIF, pri zohľadnení špecifík EPFRV a</w:t>
      </w:r>
      <w:r w:rsidR="00835157">
        <w:rPr>
          <w:rFonts w:asciiTheme="majorHAnsi" w:hAnsiTheme="majorHAnsi"/>
          <w:szCs w:val="22"/>
        </w:rPr>
        <w:t> </w:t>
      </w:r>
      <w:r w:rsidRPr="00417303">
        <w:rPr>
          <w:rFonts w:asciiTheme="majorHAnsi" w:hAnsiTheme="majorHAnsi"/>
          <w:szCs w:val="22"/>
        </w:rPr>
        <w:t>ENR</w:t>
      </w:r>
      <w:r w:rsidR="00417303">
        <w:rPr>
          <w:rFonts w:asciiTheme="majorHAnsi" w:hAnsiTheme="majorHAnsi"/>
          <w:szCs w:val="22"/>
        </w:rPr>
        <w:t>F</w:t>
      </w:r>
      <w:r w:rsidRPr="00417303">
        <w:rPr>
          <w:rFonts w:asciiTheme="majorHAnsi" w:hAnsiTheme="majorHAnsi"/>
          <w:szCs w:val="22"/>
        </w:rPr>
        <w:t>. Viaceré opatrenia v</w:t>
      </w:r>
      <w:r w:rsidR="00835157">
        <w:rPr>
          <w:rFonts w:asciiTheme="majorHAnsi" w:hAnsiTheme="majorHAnsi"/>
          <w:szCs w:val="22"/>
        </w:rPr>
        <w:t> </w:t>
      </w:r>
      <w:r w:rsidRPr="00417303">
        <w:rPr>
          <w:rFonts w:asciiTheme="majorHAnsi" w:hAnsiTheme="majorHAnsi"/>
          <w:szCs w:val="22"/>
        </w:rPr>
        <w:t xml:space="preserve">tejto oblasti boli, alebo v programovom období 2007 – 2013 sú priebežne prijímané (ako napr. vyžadovanie oficiálnych potvrdení preukazujúcich splnenie podmienok poskytnutia </w:t>
      </w:r>
      <w:r w:rsidR="006F6412">
        <w:rPr>
          <w:rFonts w:asciiTheme="majorHAnsi" w:hAnsiTheme="majorHAnsi"/>
          <w:szCs w:val="22"/>
        </w:rPr>
        <w:t>podpory</w:t>
      </w:r>
      <w:r w:rsidR="006F6412" w:rsidRPr="00417303">
        <w:rPr>
          <w:rFonts w:asciiTheme="majorHAnsi" w:hAnsiTheme="majorHAnsi"/>
          <w:szCs w:val="22"/>
        </w:rPr>
        <w:t xml:space="preserve"> </w:t>
      </w:r>
      <w:r w:rsidRPr="00417303">
        <w:rPr>
          <w:rFonts w:asciiTheme="majorHAnsi" w:hAnsiTheme="majorHAnsi"/>
          <w:szCs w:val="22"/>
        </w:rPr>
        <w:t>až vo fáze pred vydaním rozhodnutia o schválení a</w:t>
      </w:r>
      <w:r w:rsidR="00835157">
        <w:rPr>
          <w:rFonts w:asciiTheme="majorHAnsi" w:hAnsiTheme="majorHAnsi"/>
          <w:szCs w:val="22"/>
        </w:rPr>
        <w:t> </w:t>
      </w:r>
      <w:r w:rsidRPr="00417303">
        <w:rPr>
          <w:rFonts w:asciiTheme="majorHAnsi" w:hAnsiTheme="majorHAnsi"/>
          <w:szCs w:val="22"/>
        </w:rPr>
        <w:t>bez</w:t>
      </w:r>
      <w:r w:rsidR="00835157">
        <w:rPr>
          <w:rFonts w:asciiTheme="majorHAnsi" w:hAnsiTheme="majorHAnsi"/>
          <w:szCs w:val="22"/>
        </w:rPr>
        <w:t xml:space="preserve"> </w:t>
      </w:r>
      <w:r w:rsidRPr="00417303">
        <w:rPr>
          <w:rFonts w:asciiTheme="majorHAnsi" w:hAnsiTheme="majorHAnsi"/>
          <w:szCs w:val="22"/>
        </w:rPr>
        <w:t xml:space="preserve">nutnosti ich </w:t>
      </w:r>
      <w:r w:rsidRPr="00417303">
        <w:rPr>
          <w:rFonts w:asciiTheme="majorHAnsi" w:hAnsiTheme="majorHAnsi"/>
          <w:szCs w:val="22"/>
        </w:rPr>
        <w:lastRenderedPageBreak/>
        <w:t xml:space="preserve">predkladania zo strany väčšiny neúspešných žiadateľov, spustenie testovacej verzie centrálneho dožadovania dokladov preukazujúcich splnenie niektorých podmienok poskytnutia </w:t>
      </w:r>
      <w:r w:rsidR="006F6412">
        <w:rPr>
          <w:rFonts w:asciiTheme="majorHAnsi" w:hAnsiTheme="majorHAnsi"/>
          <w:szCs w:val="22"/>
        </w:rPr>
        <w:t>podpory</w:t>
      </w:r>
      <w:r w:rsidRPr="00417303">
        <w:rPr>
          <w:rFonts w:asciiTheme="majorHAnsi" w:hAnsiTheme="majorHAnsi"/>
          <w:szCs w:val="22"/>
        </w:rPr>
        <w:t>). V programovom období</w:t>
      </w:r>
      <w:r w:rsidR="006979B1">
        <w:rPr>
          <w:rFonts w:asciiTheme="majorHAnsi" w:hAnsiTheme="majorHAnsi"/>
          <w:szCs w:val="22"/>
        </w:rPr>
        <w:t xml:space="preserve"> </w:t>
      </w:r>
      <w:r w:rsidRPr="00417303">
        <w:rPr>
          <w:rFonts w:asciiTheme="majorHAnsi" w:hAnsiTheme="majorHAnsi"/>
          <w:szCs w:val="22"/>
        </w:rPr>
        <w:t>2014 – 2020 sa počíta so zavedením ďalších opatrení, ktorými sa zvýši efektívnosť poskytovania finančných prostriedkov z</w:t>
      </w:r>
      <w:r w:rsidR="00835157">
        <w:rPr>
          <w:rFonts w:asciiTheme="majorHAnsi" w:hAnsiTheme="majorHAnsi"/>
          <w:szCs w:val="22"/>
        </w:rPr>
        <w:t> </w:t>
      </w:r>
      <w:r w:rsidRPr="00417303">
        <w:rPr>
          <w:rFonts w:asciiTheme="majorHAnsi" w:hAnsiTheme="majorHAnsi"/>
          <w:szCs w:val="22"/>
        </w:rPr>
        <w:t xml:space="preserve">EŠIF. Potenciál znižovania </w:t>
      </w:r>
      <w:r w:rsidR="000603F8">
        <w:rPr>
          <w:rFonts w:asciiTheme="majorHAnsi" w:hAnsiTheme="majorHAnsi"/>
          <w:szCs w:val="22"/>
        </w:rPr>
        <w:t>AZ</w:t>
      </w:r>
      <w:r w:rsidRPr="00417303">
        <w:rPr>
          <w:rFonts w:asciiTheme="majorHAnsi" w:hAnsiTheme="majorHAnsi"/>
          <w:szCs w:val="22"/>
        </w:rPr>
        <w:t xml:space="preserve"> pri poskytovaní finančných prostriedkov z EŠIF v</w:t>
      </w:r>
      <w:r w:rsidR="00835157">
        <w:rPr>
          <w:rFonts w:asciiTheme="majorHAnsi" w:hAnsiTheme="majorHAnsi"/>
          <w:szCs w:val="22"/>
        </w:rPr>
        <w:t> </w:t>
      </w:r>
      <w:r w:rsidRPr="00417303">
        <w:rPr>
          <w:rFonts w:asciiTheme="majorHAnsi" w:hAnsiTheme="majorHAnsi"/>
          <w:szCs w:val="22"/>
        </w:rPr>
        <w:t>programovom</w:t>
      </w:r>
      <w:r w:rsidR="00835157">
        <w:rPr>
          <w:rFonts w:asciiTheme="majorHAnsi" w:hAnsiTheme="majorHAnsi"/>
          <w:szCs w:val="22"/>
        </w:rPr>
        <w:t xml:space="preserve"> </w:t>
      </w:r>
      <w:r w:rsidRPr="00417303">
        <w:rPr>
          <w:rFonts w:asciiTheme="majorHAnsi" w:hAnsiTheme="majorHAnsi"/>
          <w:szCs w:val="22"/>
        </w:rPr>
        <w:t xml:space="preserve">období 2014 – 2020, ktorý bol identifikovaný na základe skúseností </w:t>
      </w:r>
      <w:r w:rsidR="00417303">
        <w:rPr>
          <w:rFonts w:asciiTheme="majorHAnsi" w:hAnsiTheme="majorHAnsi"/>
          <w:szCs w:val="22"/>
        </w:rPr>
        <w:t>CKO</w:t>
      </w:r>
      <w:r w:rsidRPr="00417303">
        <w:rPr>
          <w:rFonts w:asciiTheme="majorHAnsi" w:hAnsiTheme="majorHAnsi"/>
          <w:szCs w:val="22"/>
        </w:rPr>
        <w:t xml:space="preserve"> a jednotlivých subjektov zapojených do implementácie </w:t>
      </w:r>
      <w:r w:rsidR="006F6412">
        <w:rPr>
          <w:rFonts w:asciiTheme="majorHAnsi" w:hAnsiTheme="majorHAnsi"/>
          <w:szCs w:val="22"/>
        </w:rPr>
        <w:t>podpory</w:t>
      </w:r>
      <w:r w:rsidR="006F6412" w:rsidRPr="00417303">
        <w:rPr>
          <w:rFonts w:asciiTheme="majorHAnsi" w:hAnsiTheme="majorHAnsi"/>
          <w:szCs w:val="22"/>
        </w:rPr>
        <w:t xml:space="preserve"> </w:t>
      </w:r>
      <w:r w:rsidRPr="00417303">
        <w:rPr>
          <w:rFonts w:asciiTheme="majorHAnsi" w:hAnsiTheme="majorHAnsi"/>
          <w:szCs w:val="22"/>
        </w:rPr>
        <w:t>v programovom období 2007 – 2013</w:t>
      </w:r>
      <w:r w:rsidRPr="00BA185A">
        <w:rPr>
          <w:sz w:val="16"/>
          <w:szCs w:val="16"/>
          <w:vertAlign w:val="superscript"/>
        </w:rPr>
        <w:footnoteReference w:id="337"/>
      </w:r>
      <w:r w:rsidRPr="00BA185A">
        <w:rPr>
          <w:rFonts w:asciiTheme="majorHAnsi" w:hAnsiTheme="majorHAnsi"/>
          <w:sz w:val="16"/>
          <w:szCs w:val="16"/>
          <w:vertAlign w:val="superscript"/>
        </w:rPr>
        <w:t xml:space="preserve"> </w:t>
      </w:r>
      <w:r w:rsidR="006F6412">
        <w:rPr>
          <w:rFonts w:asciiTheme="majorHAnsi" w:hAnsiTheme="majorHAnsi"/>
          <w:szCs w:val="22"/>
          <w:vertAlign w:val="superscript"/>
        </w:rPr>
        <w:t xml:space="preserve"> </w:t>
      </w:r>
      <w:r w:rsidR="006F6412">
        <w:rPr>
          <w:rFonts w:asciiTheme="majorHAnsi" w:hAnsiTheme="majorHAnsi"/>
          <w:szCs w:val="22"/>
        </w:rPr>
        <w:t>, sa</w:t>
      </w:r>
      <w:r w:rsidR="006F6412" w:rsidRPr="00417303">
        <w:rPr>
          <w:rFonts w:asciiTheme="majorHAnsi" w:hAnsiTheme="majorHAnsi"/>
          <w:szCs w:val="22"/>
        </w:rPr>
        <w:t> </w:t>
      </w:r>
      <w:r w:rsidRPr="00417303">
        <w:rPr>
          <w:rFonts w:asciiTheme="majorHAnsi" w:hAnsiTheme="majorHAnsi"/>
          <w:szCs w:val="22"/>
        </w:rPr>
        <w:t>týka najmä nasled</w:t>
      </w:r>
      <w:r w:rsidR="00E60EFC">
        <w:rPr>
          <w:rFonts w:asciiTheme="majorHAnsi" w:hAnsiTheme="majorHAnsi"/>
          <w:szCs w:val="22"/>
        </w:rPr>
        <w:t>o</w:t>
      </w:r>
      <w:r w:rsidR="00E666F6">
        <w:rPr>
          <w:rFonts w:asciiTheme="majorHAnsi" w:hAnsiTheme="majorHAnsi"/>
          <w:szCs w:val="22"/>
        </w:rPr>
        <w:t>vných</w:t>
      </w:r>
      <w:r w:rsidRPr="00417303">
        <w:rPr>
          <w:rFonts w:asciiTheme="majorHAnsi" w:hAnsiTheme="majorHAnsi"/>
          <w:szCs w:val="22"/>
        </w:rPr>
        <w:t xml:space="preserve"> oblastí:</w:t>
      </w:r>
    </w:p>
    <w:p w:rsidR="00D20ED7" w:rsidRPr="00417303" w:rsidRDefault="00D20ED7" w:rsidP="009B7C77">
      <w:pPr>
        <w:numPr>
          <w:ilvl w:val="0"/>
          <w:numId w:val="53"/>
        </w:numPr>
        <w:tabs>
          <w:tab w:val="left" w:pos="709"/>
          <w:tab w:val="left" w:pos="9072"/>
        </w:tabs>
        <w:spacing w:after="0"/>
        <w:ind w:left="714" w:right="-6" w:hanging="357"/>
        <w:rPr>
          <w:rFonts w:asciiTheme="majorHAnsi" w:hAnsiTheme="majorHAnsi"/>
          <w:szCs w:val="22"/>
        </w:rPr>
      </w:pPr>
      <w:r w:rsidRPr="00417303">
        <w:rPr>
          <w:rFonts w:asciiTheme="majorHAnsi" w:hAnsiTheme="majorHAnsi"/>
          <w:szCs w:val="22"/>
        </w:rPr>
        <w:t>potreba zjednodušenia, sprehľadnenia a zjednotenia formy a obsahu vyhlasovaných výziev na predkladanie žiadostí o</w:t>
      </w:r>
      <w:r w:rsidR="000603F8">
        <w:rPr>
          <w:rFonts w:asciiTheme="majorHAnsi" w:hAnsiTheme="majorHAnsi"/>
          <w:szCs w:val="22"/>
        </w:rPr>
        <w:t xml:space="preserve"> poskytnutie</w:t>
      </w:r>
      <w:r w:rsidRPr="00417303">
        <w:rPr>
          <w:rFonts w:asciiTheme="majorHAnsi" w:hAnsiTheme="majorHAnsi"/>
          <w:szCs w:val="22"/>
        </w:rPr>
        <w:t xml:space="preserve"> </w:t>
      </w:r>
      <w:r w:rsidR="000603F8">
        <w:rPr>
          <w:rFonts w:asciiTheme="majorHAnsi" w:hAnsiTheme="majorHAnsi"/>
          <w:szCs w:val="22"/>
        </w:rPr>
        <w:t>podpory</w:t>
      </w:r>
      <w:r w:rsidR="000603F8" w:rsidRPr="00417303">
        <w:rPr>
          <w:rFonts w:asciiTheme="majorHAnsi" w:hAnsiTheme="majorHAnsi"/>
          <w:szCs w:val="22"/>
        </w:rPr>
        <w:t xml:space="preserve"> </w:t>
      </w:r>
      <w:r w:rsidRPr="00417303">
        <w:rPr>
          <w:rFonts w:asciiTheme="majorHAnsi" w:hAnsiTheme="majorHAnsi"/>
          <w:szCs w:val="22"/>
        </w:rPr>
        <w:t>v rámci jednotlivých EŠIF;</w:t>
      </w:r>
    </w:p>
    <w:p w:rsidR="00D20ED7" w:rsidRPr="00417303" w:rsidRDefault="00D20ED7" w:rsidP="009B7C77">
      <w:pPr>
        <w:numPr>
          <w:ilvl w:val="0"/>
          <w:numId w:val="53"/>
        </w:numPr>
        <w:tabs>
          <w:tab w:val="left" w:pos="709"/>
          <w:tab w:val="left" w:pos="9072"/>
        </w:tabs>
        <w:spacing w:before="0" w:after="200"/>
        <w:ind w:right="-8"/>
        <w:contextualSpacing/>
        <w:rPr>
          <w:rFonts w:asciiTheme="majorHAnsi" w:hAnsiTheme="majorHAnsi"/>
          <w:szCs w:val="22"/>
        </w:rPr>
      </w:pPr>
      <w:r w:rsidRPr="00417303">
        <w:rPr>
          <w:rFonts w:asciiTheme="majorHAnsi" w:hAnsiTheme="majorHAnsi"/>
          <w:szCs w:val="22"/>
        </w:rPr>
        <w:t>potreba zavedenia možnosti dvojkolového výberu žiadostí o</w:t>
      </w:r>
      <w:r w:rsidR="000603F8">
        <w:rPr>
          <w:rFonts w:asciiTheme="majorHAnsi" w:hAnsiTheme="majorHAnsi"/>
          <w:szCs w:val="22"/>
        </w:rPr>
        <w:t xml:space="preserve"> poskytnutí podpory </w:t>
      </w:r>
      <w:r w:rsidRPr="00417303">
        <w:rPr>
          <w:rFonts w:asciiTheme="majorHAnsi" w:hAnsiTheme="majorHAnsi"/>
          <w:szCs w:val="22"/>
        </w:rPr>
        <w:t>s dôrazom na minimalizáciu administratívnej a finančnej náročnosti prvého kola výberu;</w:t>
      </w:r>
    </w:p>
    <w:p w:rsidR="00D20ED7" w:rsidRPr="00417303" w:rsidRDefault="00D20ED7" w:rsidP="009B7C77">
      <w:pPr>
        <w:numPr>
          <w:ilvl w:val="0"/>
          <w:numId w:val="53"/>
        </w:numPr>
        <w:tabs>
          <w:tab w:val="left" w:pos="709"/>
          <w:tab w:val="left" w:pos="9072"/>
        </w:tabs>
        <w:spacing w:before="0" w:after="200"/>
        <w:ind w:right="-8"/>
        <w:contextualSpacing/>
        <w:rPr>
          <w:rFonts w:asciiTheme="majorHAnsi" w:hAnsiTheme="majorHAnsi"/>
          <w:szCs w:val="22"/>
        </w:rPr>
      </w:pPr>
      <w:r w:rsidRPr="00417303">
        <w:rPr>
          <w:rFonts w:asciiTheme="majorHAnsi" w:hAnsiTheme="majorHAnsi"/>
          <w:szCs w:val="22"/>
        </w:rPr>
        <w:t xml:space="preserve">potreba zvýšenia dostupnosti informácií o možnostiach a podmienkach získania </w:t>
      </w:r>
      <w:r w:rsidR="006F6412">
        <w:rPr>
          <w:rFonts w:asciiTheme="majorHAnsi" w:hAnsiTheme="majorHAnsi"/>
          <w:szCs w:val="22"/>
        </w:rPr>
        <w:t>podpory</w:t>
      </w:r>
      <w:r w:rsidR="006F6412" w:rsidRPr="00417303">
        <w:rPr>
          <w:rFonts w:asciiTheme="majorHAnsi" w:hAnsiTheme="majorHAnsi"/>
          <w:szCs w:val="22"/>
        </w:rPr>
        <w:t xml:space="preserve"> </w:t>
      </w:r>
      <w:r w:rsidRPr="00417303">
        <w:rPr>
          <w:rFonts w:asciiTheme="majorHAnsi" w:hAnsiTheme="majorHAnsi"/>
          <w:szCs w:val="22"/>
        </w:rPr>
        <w:t>z EŠIF a centralizovaného poskytnutia kvalitného a odborného poradenstva v danej oblasti, vrátane zvýšenia informovanosti a publicity o EŠIF prostredníctvom printových a elektronických médií;</w:t>
      </w:r>
    </w:p>
    <w:p w:rsidR="00D20ED7" w:rsidRPr="00417303" w:rsidRDefault="00D20ED7" w:rsidP="009B7C77">
      <w:pPr>
        <w:numPr>
          <w:ilvl w:val="0"/>
          <w:numId w:val="53"/>
        </w:numPr>
        <w:tabs>
          <w:tab w:val="left" w:pos="709"/>
          <w:tab w:val="left" w:pos="9072"/>
        </w:tabs>
        <w:spacing w:before="0" w:after="200"/>
        <w:ind w:right="-8"/>
        <w:contextualSpacing/>
        <w:rPr>
          <w:rFonts w:asciiTheme="majorHAnsi" w:hAnsiTheme="majorHAnsi"/>
          <w:szCs w:val="22"/>
        </w:rPr>
      </w:pPr>
      <w:r w:rsidRPr="00417303">
        <w:rPr>
          <w:rFonts w:asciiTheme="majorHAnsi" w:hAnsiTheme="majorHAnsi"/>
          <w:szCs w:val="22"/>
        </w:rPr>
        <w:t xml:space="preserve">potreba štandardizácie dokumentov týkajúcich sa podmienok poskytnutia </w:t>
      </w:r>
      <w:r w:rsidR="006F6412">
        <w:rPr>
          <w:rFonts w:asciiTheme="majorHAnsi" w:hAnsiTheme="majorHAnsi"/>
          <w:szCs w:val="22"/>
        </w:rPr>
        <w:t>podpory</w:t>
      </w:r>
      <w:r w:rsidR="00835157">
        <w:rPr>
          <w:rFonts w:asciiTheme="majorHAnsi" w:hAnsiTheme="majorHAnsi"/>
          <w:szCs w:val="22"/>
        </w:rPr>
        <w:t xml:space="preserve"> </w:t>
      </w:r>
      <w:r w:rsidRPr="00417303">
        <w:rPr>
          <w:rFonts w:asciiTheme="majorHAnsi" w:hAnsiTheme="majorHAnsi"/>
          <w:szCs w:val="22"/>
        </w:rPr>
        <w:t>a ich koncipovania s dôrazom na ,</w:t>
      </w:r>
      <w:r w:rsidR="00EF4280">
        <w:rPr>
          <w:rFonts w:asciiTheme="majorHAnsi" w:hAnsiTheme="majorHAnsi"/>
          <w:szCs w:val="22"/>
        </w:rPr>
        <w:t>“</w:t>
      </w:r>
      <w:r w:rsidRPr="00417303">
        <w:rPr>
          <w:rFonts w:asciiTheme="majorHAnsi" w:hAnsiTheme="majorHAnsi"/>
          <w:szCs w:val="22"/>
        </w:rPr>
        <w:t>user-friendly</w:t>
      </w:r>
      <w:r w:rsidR="00EF4280">
        <w:rPr>
          <w:rFonts w:asciiTheme="majorHAnsi" w:hAnsiTheme="majorHAnsi"/>
          <w:szCs w:val="22"/>
        </w:rPr>
        <w:t>“</w:t>
      </w:r>
      <w:r w:rsidRPr="00417303">
        <w:rPr>
          <w:rFonts w:asciiTheme="majorHAnsi" w:hAnsiTheme="majorHAnsi"/>
          <w:szCs w:val="22"/>
        </w:rPr>
        <w:t xml:space="preserve"> formát;</w:t>
      </w:r>
    </w:p>
    <w:p w:rsidR="00D20ED7" w:rsidRPr="00417303" w:rsidRDefault="00D20ED7" w:rsidP="009B7C77">
      <w:pPr>
        <w:numPr>
          <w:ilvl w:val="0"/>
          <w:numId w:val="53"/>
        </w:numPr>
        <w:tabs>
          <w:tab w:val="left" w:pos="709"/>
          <w:tab w:val="left" w:pos="9072"/>
        </w:tabs>
        <w:spacing w:before="0" w:after="200"/>
        <w:ind w:right="-8"/>
        <w:contextualSpacing/>
        <w:rPr>
          <w:rFonts w:asciiTheme="majorHAnsi" w:hAnsiTheme="majorHAnsi"/>
          <w:szCs w:val="22"/>
        </w:rPr>
      </w:pPr>
      <w:r w:rsidRPr="00417303">
        <w:rPr>
          <w:rFonts w:asciiTheme="majorHAnsi" w:hAnsiTheme="majorHAnsi"/>
          <w:szCs w:val="22"/>
        </w:rPr>
        <w:t>potreba zabezpečenia výmeny relevantných informácií o žiadateľoch a projektoch, ktorými disponujú štátne orgány priamou vzájomnou komunikáciou, bez ich vyžadovania od žiadateľov a</w:t>
      </w:r>
      <w:r w:rsidR="00835157">
        <w:rPr>
          <w:rFonts w:asciiTheme="majorHAnsi" w:hAnsiTheme="majorHAnsi"/>
          <w:szCs w:val="22"/>
        </w:rPr>
        <w:t> </w:t>
      </w:r>
      <w:r w:rsidRPr="00417303">
        <w:rPr>
          <w:rFonts w:asciiTheme="majorHAnsi" w:hAnsiTheme="majorHAnsi"/>
          <w:szCs w:val="22"/>
        </w:rPr>
        <w:t>maximalizácia</w:t>
      </w:r>
      <w:r w:rsidR="00835157">
        <w:rPr>
          <w:rFonts w:asciiTheme="majorHAnsi" w:hAnsiTheme="majorHAnsi"/>
          <w:szCs w:val="22"/>
        </w:rPr>
        <w:t xml:space="preserve"> </w:t>
      </w:r>
      <w:r w:rsidRPr="00417303">
        <w:rPr>
          <w:rFonts w:asciiTheme="majorHAnsi" w:hAnsiTheme="majorHAnsi"/>
          <w:szCs w:val="22"/>
        </w:rPr>
        <w:t>pozitívnych efektov spojených so zavedením efektívneho IT systému aj pri komunikácii vo väzbe poskytovateľ – prijímateľ;</w:t>
      </w:r>
    </w:p>
    <w:p w:rsidR="00E23700" w:rsidRPr="00835157" w:rsidRDefault="00D20ED7" w:rsidP="009B7C77">
      <w:pPr>
        <w:numPr>
          <w:ilvl w:val="0"/>
          <w:numId w:val="53"/>
        </w:numPr>
        <w:tabs>
          <w:tab w:val="left" w:pos="709"/>
          <w:tab w:val="left" w:pos="9072"/>
        </w:tabs>
        <w:spacing w:before="0" w:after="200"/>
        <w:ind w:right="-8"/>
        <w:contextualSpacing/>
        <w:rPr>
          <w:rFonts w:asciiTheme="majorHAnsi" w:hAnsiTheme="majorHAnsi"/>
          <w:szCs w:val="22"/>
        </w:rPr>
      </w:pPr>
      <w:r w:rsidRPr="00835157">
        <w:rPr>
          <w:rFonts w:asciiTheme="majorHAnsi" w:hAnsiTheme="majorHAnsi"/>
          <w:szCs w:val="22"/>
        </w:rPr>
        <w:t xml:space="preserve">úprava jestvujúcich informačných systémov v kontexte princípov e-kohézie, ktoré umožnia výrazné zníženie </w:t>
      </w:r>
      <w:r w:rsidR="000603F8" w:rsidRPr="00835157">
        <w:rPr>
          <w:rFonts w:asciiTheme="majorHAnsi" w:hAnsiTheme="majorHAnsi"/>
          <w:szCs w:val="22"/>
        </w:rPr>
        <w:t>AZ</w:t>
      </w:r>
      <w:r w:rsidRPr="00835157">
        <w:rPr>
          <w:rFonts w:asciiTheme="majorHAnsi" w:hAnsiTheme="majorHAnsi"/>
          <w:szCs w:val="22"/>
        </w:rPr>
        <w:t xml:space="preserve"> a pr</w:t>
      </w:r>
      <w:r w:rsidR="006979B1" w:rsidRPr="00835157">
        <w:rPr>
          <w:rFonts w:asciiTheme="majorHAnsi" w:hAnsiTheme="majorHAnsi"/>
          <w:szCs w:val="22"/>
        </w:rPr>
        <w:t>á</w:t>
      </w:r>
      <w:r w:rsidRPr="00835157">
        <w:rPr>
          <w:rFonts w:asciiTheme="majorHAnsi" w:hAnsiTheme="majorHAnsi"/>
          <w:szCs w:val="22"/>
        </w:rPr>
        <w:t>cnosti implementácie EŠIF na strane žiadateľa, prijímateľa, poskytovateľa, auditu a kontroly. Bližšie očakávané prínosy zavedenia princípov e-kohézie sú popísané v časti 4.1.</w:t>
      </w:r>
    </w:p>
    <w:p w:rsidR="00D20ED7" w:rsidRPr="00E23700" w:rsidRDefault="00D20ED7" w:rsidP="00174E83">
      <w:pPr>
        <w:tabs>
          <w:tab w:val="left" w:pos="709"/>
          <w:tab w:val="left" w:pos="9072"/>
        </w:tabs>
        <w:spacing w:before="240"/>
        <w:ind w:right="-6"/>
        <w:rPr>
          <w:rFonts w:asciiTheme="majorHAnsi" w:hAnsiTheme="majorHAnsi"/>
          <w:szCs w:val="22"/>
        </w:rPr>
      </w:pPr>
      <w:r w:rsidRPr="00417303">
        <w:rPr>
          <w:rFonts w:asciiTheme="majorHAnsi" w:hAnsiTheme="majorHAnsi"/>
          <w:szCs w:val="22"/>
        </w:rPr>
        <w:t xml:space="preserve">Na tieto oblasti je žiaduce nadviazať aj pri nastavovaní procesov implementácie projektov a nárokov kladených na administratívu vo vzťahu k prijímateľom (najmä dostupné, kvalitné a zrozumiteľné informácie v podobe umožňujúcej jednoduchú prácu s nimi, overovanie informácií o prijímateľoch a projektoch priamou komunikáciou s relevantnými štátnymi organizáciami bez ich vyžadovania od prijímateľov a pod.). Okrem uvedených oblastí, sú navrhované nasledujúce opatrenia smerované na znižovanie </w:t>
      </w:r>
      <w:r w:rsidR="00E83C74">
        <w:rPr>
          <w:rFonts w:asciiTheme="majorHAnsi" w:hAnsiTheme="majorHAnsi"/>
          <w:szCs w:val="22"/>
        </w:rPr>
        <w:t>AZ</w:t>
      </w:r>
      <w:r w:rsidRPr="00417303">
        <w:rPr>
          <w:rFonts w:asciiTheme="majorHAnsi" w:hAnsiTheme="majorHAnsi"/>
          <w:szCs w:val="22"/>
        </w:rPr>
        <w:t xml:space="preserve"> prijímateľov:</w:t>
      </w:r>
    </w:p>
    <w:tbl>
      <w:tblPr>
        <w:tblW w:w="5000" w:type="pct"/>
        <w:tblLayout w:type="fixed"/>
        <w:tblCellMar>
          <w:left w:w="0" w:type="dxa"/>
          <w:right w:w="0" w:type="dxa"/>
        </w:tblCellMar>
        <w:tblLook w:val="04A0" w:firstRow="1" w:lastRow="0" w:firstColumn="1" w:lastColumn="0" w:noHBand="0" w:noVBand="1"/>
      </w:tblPr>
      <w:tblGrid>
        <w:gridCol w:w="4864"/>
        <w:gridCol w:w="1475"/>
        <w:gridCol w:w="2947"/>
      </w:tblGrid>
      <w:tr w:rsidR="00177B9B" w:rsidRPr="00E23700" w:rsidTr="00174E83">
        <w:tc>
          <w:tcPr>
            <w:tcW w:w="2619" w:type="pct"/>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D20ED7" w:rsidRPr="00E23700" w:rsidRDefault="00D20ED7" w:rsidP="00174E83">
            <w:pPr>
              <w:tabs>
                <w:tab w:val="left" w:pos="709"/>
                <w:tab w:val="left" w:pos="9072"/>
              </w:tabs>
              <w:spacing w:before="60" w:after="60"/>
              <w:ind w:right="175"/>
              <w:jc w:val="center"/>
              <w:rPr>
                <w:rFonts w:asciiTheme="majorHAnsi" w:hAnsiTheme="majorHAnsi"/>
                <w:b/>
                <w:szCs w:val="22"/>
              </w:rPr>
            </w:pPr>
            <w:r w:rsidRPr="00E23700">
              <w:rPr>
                <w:rFonts w:asciiTheme="majorHAnsi" w:hAnsiTheme="majorHAnsi"/>
                <w:b/>
                <w:szCs w:val="22"/>
              </w:rPr>
              <w:t>Plánované opatrenia</w:t>
            </w:r>
          </w:p>
        </w:tc>
        <w:tc>
          <w:tcPr>
            <w:tcW w:w="794" w:type="pct"/>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20ED7" w:rsidRPr="00E23700" w:rsidRDefault="00D20ED7" w:rsidP="00174E83">
            <w:pPr>
              <w:tabs>
                <w:tab w:val="left" w:pos="1310"/>
                <w:tab w:val="left" w:pos="9072"/>
              </w:tabs>
              <w:spacing w:before="60" w:after="60"/>
              <w:ind w:right="175"/>
              <w:jc w:val="center"/>
              <w:rPr>
                <w:rFonts w:asciiTheme="majorHAnsi" w:hAnsiTheme="majorHAnsi"/>
                <w:b/>
                <w:szCs w:val="22"/>
              </w:rPr>
            </w:pPr>
            <w:r w:rsidRPr="00E23700">
              <w:rPr>
                <w:rFonts w:asciiTheme="majorHAnsi" w:hAnsiTheme="majorHAnsi"/>
                <w:b/>
                <w:szCs w:val="22"/>
              </w:rPr>
              <w:t>Začiatok realizácie opatrenia</w:t>
            </w:r>
          </w:p>
        </w:tc>
        <w:tc>
          <w:tcPr>
            <w:tcW w:w="1587" w:type="pct"/>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D20ED7" w:rsidRPr="00E23700" w:rsidRDefault="00D20ED7" w:rsidP="00174E83">
            <w:pPr>
              <w:tabs>
                <w:tab w:val="left" w:pos="709"/>
                <w:tab w:val="left" w:pos="9072"/>
              </w:tabs>
              <w:spacing w:before="60" w:after="60"/>
              <w:ind w:right="317"/>
              <w:jc w:val="center"/>
              <w:rPr>
                <w:rFonts w:asciiTheme="majorHAnsi" w:hAnsiTheme="majorHAnsi"/>
                <w:b/>
                <w:szCs w:val="22"/>
              </w:rPr>
            </w:pPr>
            <w:r w:rsidRPr="00E23700">
              <w:rPr>
                <w:rFonts w:asciiTheme="majorHAnsi" w:hAnsiTheme="majorHAnsi"/>
                <w:b/>
                <w:szCs w:val="22"/>
              </w:rPr>
              <w:t>Plná realizácia opatrenia</w:t>
            </w:r>
          </w:p>
        </w:tc>
      </w:tr>
      <w:tr w:rsidR="00E23700" w:rsidRPr="00E23700" w:rsidTr="00174E83">
        <w:trPr>
          <w:trHeight w:val="1417"/>
        </w:trPr>
        <w:tc>
          <w:tcPr>
            <w:tcW w:w="26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0ED7" w:rsidRPr="00177B9B" w:rsidRDefault="00D20ED7" w:rsidP="00174E83">
            <w:pPr>
              <w:tabs>
                <w:tab w:val="left" w:pos="709"/>
                <w:tab w:val="left" w:pos="9072"/>
              </w:tabs>
              <w:spacing w:before="0" w:after="0"/>
              <w:rPr>
                <w:rFonts w:asciiTheme="majorHAnsi" w:hAnsiTheme="majorHAnsi"/>
                <w:szCs w:val="22"/>
              </w:rPr>
            </w:pPr>
            <w:r w:rsidRPr="00177B9B">
              <w:rPr>
                <w:rFonts w:asciiTheme="majorHAnsi" w:hAnsiTheme="majorHAnsi"/>
                <w:szCs w:val="22"/>
              </w:rPr>
              <w:t xml:space="preserve">Zapojenie zamestnancov do systému nepretržitého vzdelávania subjektov zapojených do implementácie EŠIF, s dopadom na zefektívnenie procesov implementácie a priame zníženie </w:t>
            </w:r>
            <w:r w:rsidR="000603F8">
              <w:rPr>
                <w:rFonts w:asciiTheme="majorHAnsi" w:hAnsiTheme="majorHAnsi"/>
                <w:szCs w:val="22"/>
              </w:rPr>
              <w:t xml:space="preserve">AZ </w:t>
            </w:r>
            <w:r w:rsidRPr="00177B9B">
              <w:rPr>
                <w:rFonts w:asciiTheme="majorHAnsi" w:hAnsiTheme="majorHAnsi"/>
                <w:szCs w:val="22"/>
              </w:rPr>
              <w:t>prijímateľov</w:t>
            </w:r>
            <w:r w:rsidR="000603F8">
              <w:rPr>
                <w:rFonts w:asciiTheme="majorHAnsi" w:hAnsiTheme="majorHAnsi"/>
                <w:szCs w:val="22"/>
              </w:rPr>
              <w:t>.</w:t>
            </w:r>
          </w:p>
        </w:tc>
        <w:tc>
          <w:tcPr>
            <w:tcW w:w="7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1168"/>
                <w:tab w:val="left" w:pos="9072"/>
              </w:tabs>
              <w:spacing w:before="0" w:after="0"/>
              <w:rPr>
                <w:rFonts w:asciiTheme="majorHAnsi" w:hAnsiTheme="majorHAnsi"/>
                <w:szCs w:val="22"/>
              </w:rPr>
            </w:pPr>
            <w:r w:rsidRPr="00177B9B">
              <w:rPr>
                <w:rFonts w:asciiTheme="majorHAnsi" w:hAnsiTheme="majorHAnsi"/>
                <w:szCs w:val="22"/>
              </w:rPr>
              <w:t>1. 1. 2014</w:t>
            </w:r>
          </w:p>
        </w:tc>
        <w:tc>
          <w:tcPr>
            <w:tcW w:w="15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709"/>
                <w:tab w:val="left" w:pos="9072"/>
              </w:tabs>
              <w:spacing w:before="0" w:after="0"/>
              <w:rPr>
                <w:rFonts w:asciiTheme="majorHAnsi" w:hAnsiTheme="majorHAnsi"/>
                <w:szCs w:val="22"/>
              </w:rPr>
            </w:pPr>
            <w:r w:rsidRPr="00177B9B">
              <w:rPr>
                <w:rFonts w:asciiTheme="majorHAnsi" w:hAnsiTheme="majorHAnsi"/>
                <w:szCs w:val="22"/>
              </w:rPr>
              <w:t>31. 12. 2014 a následne priebežne počas celého programového obdobia 2014 – 2020</w:t>
            </w:r>
          </w:p>
        </w:tc>
      </w:tr>
      <w:tr w:rsidR="00E23700" w:rsidRPr="00E23700" w:rsidTr="00174E83">
        <w:tc>
          <w:tcPr>
            <w:tcW w:w="26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0ED7" w:rsidRPr="00177B9B" w:rsidRDefault="00D20ED7" w:rsidP="00174E83">
            <w:pPr>
              <w:tabs>
                <w:tab w:val="left" w:pos="709"/>
                <w:tab w:val="left" w:pos="9072"/>
              </w:tabs>
              <w:spacing w:before="0" w:after="0"/>
              <w:rPr>
                <w:rFonts w:asciiTheme="majorHAnsi" w:hAnsiTheme="majorHAnsi"/>
                <w:szCs w:val="22"/>
              </w:rPr>
            </w:pPr>
            <w:r w:rsidRPr="00177B9B">
              <w:rPr>
                <w:rFonts w:asciiTheme="majorHAnsi" w:hAnsiTheme="majorHAnsi"/>
                <w:szCs w:val="22"/>
              </w:rPr>
              <w:t xml:space="preserve">Pre EŠIF okrem EPFRV </w:t>
            </w:r>
            <w:r w:rsidR="00835157">
              <w:rPr>
                <w:rFonts w:asciiTheme="majorHAnsi" w:hAnsiTheme="majorHAnsi"/>
                <w:szCs w:val="22"/>
              </w:rPr>
              <w:t>–</w:t>
            </w:r>
            <w:r w:rsidRPr="00177B9B">
              <w:rPr>
                <w:rFonts w:asciiTheme="majorHAnsi" w:hAnsiTheme="majorHAnsi"/>
                <w:szCs w:val="22"/>
              </w:rPr>
              <w:t xml:space="preserve"> prebudovanie</w:t>
            </w:r>
            <w:r w:rsidR="00835157">
              <w:rPr>
                <w:rFonts w:asciiTheme="majorHAnsi" w:hAnsiTheme="majorHAnsi"/>
                <w:szCs w:val="22"/>
              </w:rPr>
              <w:t xml:space="preserve"> </w:t>
            </w:r>
            <w:r w:rsidRPr="00177B9B">
              <w:rPr>
                <w:rFonts w:asciiTheme="majorHAnsi" w:hAnsiTheme="majorHAnsi"/>
                <w:szCs w:val="22"/>
              </w:rPr>
              <w:t xml:space="preserve">súčasného </w:t>
            </w:r>
            <w:r w:rsidRPr="00177B9B">
              <w:rPr>
                <w:rFonts w:asciiTheme="majorHAnsi" w:hAnsiTheme="majorHAnsi"/>
                <w:szCs w:val="22"/>
              </w:rPr>
              <w:lastRenderedPageBreak/>
              <w:t>informačného systému ITMS II na systém plne zohľadňujúci požiadavky e-kohézie, ktorého dizajn a funkcionality budú zodpovedať súčasným svetovým štandardom inteligentných otvorených informačných systémov. Pre P</w:t>
            </w:r>
            <w:r w:rsidR="006979B1">
              <w:rPr>
                <w:rFonts w:asciiTheme="majorHAnsi" w:hAnsiTheme="majorHAnsi"/>
                <w:szCs w:val="22"/>
              </w:rPr>
              <w:t xml:space="preserve">RV 2014 – 2020 </w:t>
            </w:r>
            <w:r w:rsidRPr="00177B9B">
              <w:rPr>
                <w:rFonts w:asciiTheme="majorHAnsi" w:hAnsiTheme="majorHAnsi"/>
                <w:szCs w:val="22"/>
              </w:rPr>
              <w:t>Pôdohospodárska platobná agentúra plánuje zavedenie elektronickej komunikácie v rovnakom termíne plnej realizácie opatrenia</w:t>
            </w:r>
            <w:r w:rsidR="000603F8">
              <w:rPr>
                <w:rFonts w:asciiTheme="majorHAnsi" w:hAnsiTheme="majorHAnsi"/>
                <w:szCs w:val="22"/>
              </w:rPr>
              <w:t xml:space="preserve"> </w:t>
            </w:r>
            <w:r w:rsidR="000603F8" w:rsidRPr="000603F8">
              <w:rPr>
                <w:rFonts w:asciiTheme="majorHAnsi" w:hAnsiTheme="majorHAnsi"/>
                <w:szCs w:val="22"/>
              </w:rPr>
              <w:t>so zohľadnením celosvetových štandardov v oblasti inteligentných a otvorených IT systémov</w:t>
            </w:r>
            <w:r w:rsidRPr="00177B9B">
              <w:rPr>
                <w:rFonts w:asciiTheme="majorHAnsi" w:hAnsiTheme="majorHAnsi"/>
                <w:szCs w:val="22"/>
              </w:rPr>
              <w:t>.</w:t>
            </w:r>
          </w:p>
        </w:tc>
        <w:tc>
          <w:tcPr>
            <w:tcW w:w="7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1168"/>
                <w:tab w:val="left" w:pos="9072"/>
              </w:tabs>
              <w:spacing w:before="0" w:after="0"/>
              <w:jc w:val="center"/>
              <w:rPr>
                <w:rFonts w:asciiTheme="majorHAnsi" w:hAnsiTheme="majorHAnsi"/>
                <w:szCs w:val="22"/>
              </w:rPr>
            </w:pPr>
            <w:r w:rsidRPr="00177B9B">
              <w:rPr>
                <w:rFonts w:asciiTheme="majorHAnsi" w:hAnsiTheme="majorHAnsi"/>
                <w:szCs w:val="22"/>
              </w:rPr>
              <w:lastRenderedPageBreak/>
              <w:t>1. 1. 2014</w:t>
            </w:r>
          </w:p>
        </w:tc>
        <w:tc>
          <w:tcPr>
            <w:tcW w:w="15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709"/>
                <w:tab w:val="left" w:pos="9072"/>
              </w:tabs>
              <w:spacing w:before="0" w:after="0"/>
              <w:jc w:val="center"/>
              <w:rPr>
                <w:rFonts w:asciiTheme="majorHAnsi" w:hAnsiTheme="majorHAnsi"/>
                <w:szCs w:val="22"/>
              </w:rPr>
            </w:pPr>
            <w:r w:rsidRPr="00177B9B">
              <w:rPr>
                <w:rFonts w:asciiTheme="majorHAnsi" w:hAnsiTheme="majorHAnsi"/>
                <w:szCs w:val="22"/>
              </w:rPr>
              <w:t>31. 12. 2015</w:t>
            </w:r>
          </w:p>
        </w:tc>
      </w:tr>
      <w:tr w:rsidR="00177B9B" w:rsidRPr="00E23700" w:rsidTr="00174E83">
        <w:trPr>
          <w:trHeight w:val="1113"/>
        </w:trPr>
        <w:tc>
          <w:tcPr>
            <w:tcW w:w="261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D20ED7" w:rsidRPr="00177B9B" w:rsidRDefault="00D20ED7" w:rsidP="00174E83">
            <w:pPr>
              <w:tabs>
                <w:tab w:val="left" w:pos="709"/>
                <w:tab w:val="left" w:pos="9072"/>
              </w:tabs>
              <w:spacing w:before="0" w:after="0"/>
              <w:rPr>
                <w:rFonts w:asciiTheme="majorHAnsi" w:hAnsiTheme="majorHAnsi"/>
                <w:szCs w:val="22"/>
              </w:rPr>
            </w:pPr>
            <w:r w:rsidRPr="00177B9B">
              <w:rPr>
                <w:rFonts w:asciiTheme="majorHAnsi" w:hAnsiTheme="majorHAnsi"/>
                <w:szCs w:val="22"/>
              </w:rPr>
              <w:lastRenderedPageBreak/>
              <w:t>Zavedenie  jednotných, jasných a</w:t>
            </w:r>
            <w:r w:rsidR="00835157">
              <w:rPr>
                <w:rFonts w:asciiTheme="majorHAnsi" w:hAnsiTheme="majorHAnsi"/>
                <w:szCs w:val="22"/>
              </w:rPr>
              <w:t> </w:t>
            </w:r>
            <w:r w:rsidRPr="00177B9B">
              <w:rPr>
                <w:rFonts w:asciiTheme="majorHAnsi" w:hAnsiTheme="majorHAnsi"/>
                <w:szCs w:val="22"/>
              </w:rPr>
              <w:t>efektívnych</w:t>
            </w:r>
            <w:r w:rsidR="00835157">
              <w:rPr>
                <w:rFonts w:asciiTheme="majorHAnsi" w:hAnsiTheme="majorHAnsi"/>
                <w:szCs w:val="22"/>
              </w:rPr>
              <w:t xml:space="preserve"> </w:t>
            </w:r>
            <w:r w:rsidRPr="00177B9B">
              <w:rPr>
                <w:rFonts w:asciiTheme="majorHAnsi" w:hAnsiTheme="majorHAnsi"/>
                <w:szCs w:val="22"/>
              </w:rPr>
              <w:t>pravidiel zmenového konania umožňujúceho optimálne reagovať na zmenené podmienky realizácie projektu</w:t>
            </w:r>
            <w:r w:rsidR="00E83C74">
              <w:rPr>
                <w:rFonts w:asciiTheme="majorHAnsi" w:hAnsiTheme="majorHAnsi"/>
                <w:szCs w:val="22"/>
              </w:rPr>
              <w:t>.</w:t>
            </w:r>
          </w:p>
        </w:tc>
        <w:tc>
          <w:tcPr>
            <w:tcW w:w="794"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1168"/>
                <w:tab w:val="left" w:pos="9072"/>
              </w:tabs>
              <w:spacing w:before="0" w:after="0"/>
              <w:jc w:val="center"/>
              <w:rPr>
                <w:rFonts w:asciiTheme="majorHAnsi" w:hAnsiTheme="majorHAnsi"/>
                <w:szCs w:val="22"/>
              </w:rPr>
            </w:pPr>
            <w:r w:rsidRPr="00177B9B">
              <w:rPr>
                <w:rFonts w:asciiTheme="majorHAnsi" w:hAnsiTheme="majorHAnsi"/>
                <w:szCs w:val="22"/>
              </w:rPr>
              <w:t>1. 1. 2014</w:t>
            </w:r>
          </w:p>
        </w:tc>
        <w:tc>
          <w:tcPr>
            <w:tcW w:w="1587"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709"/>
                <w:tab w:val="left" w:pos="9072"/>
              </w:tabs>
              <w:spacing w:before="0" w:after="0"/>
              <w:jc w:val="center"/>
              <w:rPr>
                <w:rFonts w:asciiTheme="majorHAnsi" w:hAnsiTheme="majorHAnsi"/>
                <w:szCs w:val="22"/>
              </w:rPr>
            </w:pPr>
            <w:r w:rsidRPr="00177B9B">
              <w:rPr>
                <w:rFonts w:asciiTheme="majorHAnsi" w:hAnsiTheme="majorHAnsi"/>
                <w:szCs w:val="22"/>
              </w:rPr>
              <w:t>31. 12. 2014</w:t>
            </w:r>
          </w:p>
        </w:tc>
      </w:tr>
      <w:tr w:rsidR="00177B9B" w:rsidRPr="00E23700" w:rsidTr="00174E83">
        <w:trPr>
          <w:trHeight w:val="1191"/>
        </w:trPr>
        <w:tc>
          <w:tcPr>
            <w:tcW w:w="261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0ED7" w:rsidRPr="00177B9B" w:rsidRDefault="00D20ED7" w:rsidP="00174E83">
            <w:pPr>
              <w:tabs>
                <w:tab w:val="left" w:pos="709"/>
                <w:tab w:val="left" w:pos="9072"/>
              </w:tabs>
              <w:spacing w:before="0" w:after="0"/>
              <w:rPr>
                <w:rFonts w:asciiTheme="majorHAnsi" w:hAnsiTheme="majorHAnsi"/>
                <w:szCs w:val="22"/>
              </w:rPr>
            </w:pPr>
            <w:r w:rsidRPr="00177B9B">
              <w:rPr>
                <w:rFonts w:asciiTheme="majorHAnsi" w:hAnsiTheme="majorHAnsi"/>
                <w:szCs w:val="22"/>
              </w:rPr>
              <w:t>Zverejňovanie modelových vzorov dokumentácie k</w:t>
            </w:r>
            <w:r w:rsidR="006979B1">
              <w:rPr>
                <w:rFonts w:asciiTheme="majorHAnsi" w:hAnsiTheme="majorHAnsi"/>
                <w:szCs w:val="22"/>
              </w:rPr>
              <w:t xml:space="preserve"> VO </w:t>
            </w:r>
            <w:r w:rsidRPr="00177B9B">
              <w:rPr>
                <w:rFonts w:asciiTheme="majorHAnsi" w:hAnsiTheme="majorHAnsi"/>
                <w:szCs w:val="22"/>
              </w:rPr>
              <w:t>na úrovni Ú</w:t>
            </w:r>
            <w:r w:rsidR="006979B1">
              <w:rPr>
                <w:rFonts w:asciiTheme="majorHAnsi" w:hAnsiTheme="majorHAnsi"/>
                <w:szCs w:val="22"/>
              </w:rPr>
              <w:t xml:space="preserve">VO </w:t>
            </w:r>
            <w:r w:rsidRPr="00177B9B">
              <w:rPr>
                <w:rFonts w:asciiTheme="majorHAnsi" w:hAnsiTheme="majorHAnsi"/>
                <w:szCs w:val="22"/>
              </w:rPr>
              <w:t xml:space="preserve">v užívateľsky jednoduchom online prostredí s cieľom šírenia príkladov dobrej praxe v oblasti </w:t>
            </w:r>
            <w:r w:rsidR="006979B1">
              <w:rPr>
                <w:rFonts w:asciiTheme="majorHAnsi" w:hAnsiTheme="majorHAnsi"/>
                <w:szCs w:val="22"/>
              </w:rPr>
              <w:t>VO</w:t>
            </w:r>
            <w:r w:rsidR="00E83C74">
              <w:rPr>
                <w:rFonts w:asciiTheme="majorHAnsi" w:hAnsiTheme="majorHAnsi"/>
                <w:szCs w:val="22"/>
              </w:rPr>
              <w:t>.</w:t>
            </w:r>
          </w:p>
        </w:tc>
        <w:tc>
          <w:tcPr>
            <w:tcW w:w="794"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1168"/>
                <w:tab w:val="left" w:pos="9072"/>
              </w:tabs>
              <w:spacing w:before="0" w:after="0"/>
              <w:jc w:val="center"/>
              <w:rPr>
                <w:rFonts w:asciiTheme="majorHAnsi" w:hAnsiTheme="majorHAnsi"/>
                <w:szCs w:val="22"/>
              </w:rPr>
            </w:pPr>
            <w:r w:rsidRPr="00177B9B">
              <w:rPr>
                <w:rFonts w:asciiTheme="majorHAnsi" w:hAnsiTheme="majorHAnsi"/>
                <w:szCs w:val="22"/>
              </w:rPr>
              <w:t>1.</w:t>
            </w:r>
            <w:r w:rsidR="00E23700" w:rsidRPr="00177B9B">
              <w:rPr>
                <w:rFonts w:asciiTheme="majorHAnsi" w:hAnsiTheme="majorHAnsi"/>
                <w:szCs w:val="22"/>
              </w:rPr>
              <w:t xml:space="preserve"> </w:t>
            </w:r>
            <w:r w:rsidRPr="00177B9B">
              <w:rPr>
                <w:rFonts w:asciiTheme="majorHAnsi" w:hAnsiTheme="majorHAnsi"/>
                <w:szCs w:val="22"/>
              </w:rPr>
              <w:t>11.</w:t>
            </w:r>
            <w:r w:rsidR="00E23700" w:rsidRPr="00177B9B">
              <w:rPr>
                <w:rFonts w:asciiTheme="majorHAnsi" w:hAnsiTheme="majorHAnsi"/>
                <w:szCs w:val="22"/>
              </w:rPr>
              <w:t xml:space="preserve"> </w:t>
            </w:r>
            <w:r w:rsidRPr="00177B9B">
              <w:rPr>
                <w:rFonts w:asciiTheme="majorHAnsi" w:hAnsiTheme="majorHAnsi"/>
                <w:szCs w:val="22"/>
              </w:rPr>
              <w:t>2013</w:t>
            </w:r>
          </w:p>
        </w:tc>
        <w:tc>
          <w:tcPr>
            <w:tcW w:w="15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20ED7" w:rsidRPr="00177B9B" w:rsidRDefault="00D20ED7" w:rsidP="00174E83">
            <w:pPr>
              <w:tabs>
                <w:tab w:val="left" w:pos="709"/>
                <w:tab w:val="left" w:pos="9072"/>
              </w:tabs>
              <w:spacing w:before="0" w:after="0"/>
              <w:jc w:val="center"/>
              <w:rPr>
                <w:rFonts w:asciiTheme="majorHAnsi" w:hAnsiTheme="majorHAnsi"/>
                <w:szCs w:val="22"/>
              </w:rPr>
            </w:pPr>
            <w:r w:rsidRPr="00177B9B">
              <w:rPr>
                <w:rFonts w:asciiTheme="majorHAnsi" w:hAnsiTheme="majorHAnsi"/>
                <w:szCs w:val="22"/>
              </w:rPr>
              <w:t>1.</w:t>
            </w:r>
            <w:r w:rsidR="00E23700" w:rsidRPr="00177B9B">
              <w:rPr>
                <w:rFonts w:asciiTheme="majorHAnsi" w:hAnsiTheme="majorHAnsi"/>
                <w:szCs w:val="22"/>
              </w:rPr>
              <w:t xml:space="preserve"> </w:t>
            </w:r>
            <w:r w:rsidRPr="00177B9B">
              <w:rPr>
                <w:rFonts w:asciiTheme="majorHAnsi" w:hAnsiTheme="majorHAnsi"/>
                <w:szCs w:val="22"/>
              </w:rPr>
              <w:t>7.</w:t>
            </w:r>
            <w:r w:rsidR="00E23700" w:rsidRPr="00177B9B">
              <w:rPr>
                <w:rFonts w:asciiTheme="majorHAnsi" w:hAnsiTheme="majorHAnsi"/>
                <w:szCs w:val="22"/>
              </w:rPr>
              <w:t xml:space="preserve"> </w:t>
            </w:r>
            <w:r w:rsidRPr="00177B9B">
              <w:rPr>
                <w:rFonts w:asciiTheme="majorHAnsi" w:hAnsiTheme="majorHAnsi"/>
                <w:szCs w:val="22"/>
              </w:rPr>
              <w:t>201</w:t>
            </w:r>
            <w:r w:rsidR="005C7B46">
              <w:rPr>
                <w:rFonts w:asciiTheme="majorHAnsi" w:hAnsiTheme="majorHAnsi"/>
                <w:szCs w:val="22"/>
              </w:rPr>
              <w:t>5</w:t>
            </w:r>
          </w:p>
        </w:tc>
      </w:tr>
    </w:tbl>
    <w:p w:rsidR="00D20ED7" w:rsidRPr="00C4538A" w:rsidRDefault="00D20ED7" w:rsidP="00174E83">
      <w:pPr>
        <w:tabs>
          <w:tab w:val="left" w:pos="709"/>
          <w:tab w:val="left" w:pos="9072"/>
        </w:tabs>
        <w:spacing w:before="240" w:after="0"/>
        <w:ind w:right="-6"/>
        <w:rPr>
          <w:rFonts w:asciiTheme="majorHAnsi" w:hAnsiTheme="majorHAnsi"/>
          <w:szCs w:val="22"/>
        </w:rPr>
      </w:pPr>
      <w:r w:rsidRPr="00C4538A">
        <w:rPr>
          <w:rFonts w:asciiTheme="majorHAnsi" w:hAnsiTheme="majorHAnsi"/>
          <w:szCs w:val="22"/>
        </w:rPr>
        <w:t xml:space="preserve">Zároveň boli identifikované aj nasledujúce oblasti s významným potenciálom ďalšieho znižovania </w:t>
      </w:r>
      <w:r w:rsidR="000603F8">
        <w:rPr>
          <w:rFonts w:asciiTheme="majorHAnsi" w:hAnsiTheme="majorHAnsi"/>
          <w:szCs w:val="22"/>
        </w:rPr>
        <w:t>AZ</w:t>
      </w:r>
      <w:r w:rsidRPr="00C4538A">
        <w:rPr>
          <w:rFonts w:asciiTheme="majorHAnsi" w:hAnsiTheme="majorHAnsi"/>
          <w:szCs w:val="22"/>
        </w:rPr>
        <w:t xml:space="preserve"> prijímateľov</w:t>
      </w:r>
      <w:r w:rsidR="003F0251">
        <w:rPr>
          <w:rFonts w:asciiTheme="majorHAnsi" w:hAnsiTheme="majorHAnsi"/>
          <w:szCs w:val="22"/>
        </w:rPr>
        <w:t xml:space="preserve"> a poskytovateľov</w:t>
      </w:r>
      <w:r w:rsidRPr="00C4538A">
        <w:rPr>
          <w:rFonts w:asciiTheme="majorHAnsi" w:hAnsiTheme="majorHAnsi"/>
          <w:szCs w:val="22"/>
        </w:rPr>
        <w:t>:</w:t>
      </w:r>
    </w:p>
    <w:p w:rsidR="00D20ED7" w:rsidRPr="00C4538A" w:rsidRDefault="00D20ED7" w:rsidP="009B7C77">
      <w:pPr>
        <w:numPr>
          <w:ilvl w:val="0"/>
          <w:numId w:val="54"/>
        </w:numPr>
        <w:tabs>
          <w:tab w:val="left" w:pos="709"/>
          <w:tab w:val="left" w:pos="9072"/>
        </w:tabs>
        <w:ind w:left="714" w:hanging="357"/>
        <w:rPr>
          <w:rFonts w:asciiTheme="majorHAnsi" w:hAnsiTheme="majorHAnsi"/>
          <w:szCs w:val="22"/>
        </w:rPr>
      </w:pPr>
      <w:r w:rsidRPr="00C4538A">
        <w:rPr>
          <w:rFonts w:asciiTheme="majorHAnsi" w:hAnsiTheme="majorHAnsi"/>
          <w:szCs w:val="22"/>
        </w:rPr>
        <w:t xml:space="preserve">zabezpečenie čo najširšieho využitia zjednodušeného vykazovania výdavkov projektov v rámci tých </w:t>
      </w:r>
      <w:r w:rsidR="00835157">
        <w:rPr>
          <w:rFonts w:asciiTheme="majorHAnsi" w:hAnsiTheme="majorHAnsi"/>
          <w:szCs w:val="22"/>
        </w:rPr>
        <w:t>programov</w:t>
      </w:r>
      <w:r w:rsidRPr="00C4538A">
        <w:rPr>
          <w:rFonts w:asciiTheme="majorHAnsi" w:hAnsiTheme="majorHAnsi"/>
          <w:szCs w:val="22"/>
        </w:rPr>
        <w:t>, ktoré sú vzhľadom na ich charakter pre využitie jednotlivých spôsobov vykazovania výdavkov vhodné (významný podiel chýb súvisiacich s oprávnenosťou výdavkov je dôsledkom komplikovanosti systému vykazovania výdavkov využívanom v programovom období 2007 – 2013, tzv. princíp skutočných výdavkov);</w:t>
      </w:r>
    </w:p>
    <w:p w:rsidR="00D20ED7" w:rsidRPr="00C4538A" w:rsidRDefault="00D20ED7" w:rsidP="009B7C77">
      <w:pPr>
        <w:numPr>
          <w:ilvl w:val="0"/>
          <w:numId w:val="54"/>
        </w:numPr>
        <w:tabs>
          <w:tab w:val="left" w:pos="709"/>
          <w:tab w:val="left" w:pos="9072"/>
        </w:tabs>
        <w:ind w:left="714" w:hanging="357"/>
        <w:rPr>
          <w:rFonts w:asciiTheme="majorHAnsi" w:hAnsiTheme="majorHAnsi"/>
          <w:szCs w:val="22"/>
        </w:rPr>
      </w:pPr>
      <w:r w:rsidRPr="00C4538A">
        <w:rPr>
          <w:rFonts w:asciiTheme="majorHAnsi" w:hAnsiTheme="majorHAnsi"/>
          <w:szCs w:val="22"/>
        </w:rPr>
        <w:t>vytvorenie jednotnej a unifikovanej dokumentácie upravujúcej spôsob a postupy implementácie projektov, vrátane pravidelnej aktualizácie zoznamov opakujúcich sa nedostatkov</w:t>
      </w:r>
      <w:r w:rsidR="00E83C74">
        <w:rPr>
          <w:rFonts w:asciiTheme="majorHAnsi" w:hAnsiTheme="majorHAnsi"/>
          <w:szCs w:val="22"/>
        </w:rPr>
        <w:t xml:space="preserve">, </w:t>
      </w:r>
      <w:r w:rsidRPr="00C4538A">
        <w:rPr>
          <w:rFonts w:asciiTheme="majorHAnsi" w:hAnsiTheme="majorHAnsi"/>
          <w:szCs w:val="22"/>
        </w:rPr>
        <w:t>pochybení a šírenia príkladov dobrej praxe v implementácii projektov;</w:t>
      </w:r>
    </w:p>
    <w:p w:rsidR="00D20ED7" w:rsidRPr="00C4538A" w:rsidRDefault="00D20ED7" w:rsidP="009B7C77">
      <w:pPr>
        <w:numPr>
          <w:ilvl w:val="0"/>
          <w:numId w:val="54"/>
        </w:numPr>
        <w:tabs>
          <w:tab w:val="left" w:pos="709"/>
          <w:tab w:val="left" w:pos="9072"/>
        </w:tabs>
        <w:ind w:left="714" w:hanging="357"/>
        <w:rPr>
          <w:rFonts w:asciiTheme="majorHAnsi" w:hAnsiTheme="majorHAnsi"/>
          <w:szCs w:val="22"/>
        </w:rPr>
      </w:pPr>
      <w:r w:rsidRPr="00C4538A">
        <w:rPr>
          <w:rFonts w:asciiTheme="majorHAnsi" w:hAnsiTheme="majorHAnsi"/>
          <w:szCs w:val="22"/>
        </w:rPr>
        <w:t>zabezpečenie jednotnej siete subjektov poskytujúcich poradenské a informačné služby s cieľom zvýšiť dostupnosť informácií pre prijímateľov, uľahčiť prípravu podkladov spojených s implementáciou projektu a znížiť finančnú náročnosť riadenia projektov spojenú s potrebou externe zabezpečovaných poradenských služieb pri implementácii projektov. Vo vzťahu k poskytovaniu informácií o možnostiach financovania z P</w:t>
      </w:r>
      <w:r w:rsidR="00E666F6">
        <w:rPr>
          <w:rFonts w:asciiTheme="majorHAnsi" w:hAnsiTheme="majorHAnsi"/>
          <w:szCs w:val="22"/>
        </w:rPr>
        <w:t>RV</w:t>
      </w:r>
      <w:r w:rsidRPr="00C4538A">
        <w:rPr>
          <w:rFonts w:asciiTheme="majorHAnsi" w:hAnsiTheme="majorHAnsi"/>
          <w:szCs w:val="22"/>
        </w:rPr>
        <w:t xml:space="preserve"> bude hlavnú úlohu vykonávať Národná sieť rozvoja vidieka SR a jej regionálne pracoviská, pričom všeobecné informácie ohľadne využívania finančných prostriedkov z EŠIF sa budú poskytovať na jednom mieste;</w:t>
      </w:r>
    </w:p>
    <w:p w:rsidR="00D20ED7" w:rsidRPr="00C4538A" w:rsidRDefault="00D20ED7" w:rsidP="009B7C77">
      <w:pPr>
        <w:numPr>
          <w:ilvl w:val="0"/>
          <w:numId w:val="54"/>
        </w:numPr>
        <w:tabs>
          <w:tab w:val="left" w:pos="709"/>
          <w:tab w:val="left" w:pos="9072"/>
        </w:tabs>
        <w:ind w:left="714" w:right="-6" w:hanging="357"/>
        <w:rPr>
          <w:rFonts w:asciiTheme="majorHAnsi" w:hAnsiTheme="majorHAnsi"/>
          <w:szCs w:val="22"/>
        </w:rPr>
      </w:pPr>
      <w:r w:rsidRPr="00C4538A">
        <w:rPr>
          <w:rFonts w:asciiTheme="majorHAnsi" w:hAnsiTheme="majorHAnsi"/>
          <w:szCs w:val="22"/>
        </w:rPr>
        <w:t xml:space="preserve">zavedenie dodržiavania pravidiel prehľadného a efektívneho projektového riadenia a poskytnutie odborného poradenstva v danej oblasti pre prijímateľov v rámci štruktúr jednotnej siete informačných a poradenských centier vrátane Národnej siete rozvoja vidieka SR. Aj v rámci implementačnej fázy bude cieľom zabezpečiť kompletnú dostupnosť informácií na jednom mieste, vrátane nastavenia efektívneho prepojenia informačných kanálov pre </w:t>
      </w:r>
      <w:r w:rsidR="00E666F6">
        <w:rPr>
          <w:rFonts w:asciiTheme="majorHAnsi" w:hAnsiTheme="majorHAnsi"/>
          <w:szCs w:val="22"/>
        </w:rPr>
        <w:t>PRV</w:t>
      </w:r>
      <w:r w:rsidRPr="00C4538A">
        <w:rPr>
          <w:rFonts w:asciiTheme="majorHAnsi" w:hAnsiTheme="majorHAnsi"/>
          <w:szCs w:val="22"/>
        </w:rPr>
        <w:t xml:space="preserve"> a ostatn</w:t>
      </w:r>
      <w:r w:rsidR="00E666F6">
        <w:rPr>
          <w:rFonts w:asciiTheme="majorHAnsi" w:hAnsiTheme="majorHAnsi"/>
          <w:szCs w:val="22"/>
        </w:rPr>
        <w:t>é</w:t>
      </w:r>
      <w:r w:rsidRPr="00C4538A">
        <w:rPr>
          <w:rFonts w:asciiTheme="majorHAnsi" w:hAnsiTheme="majorHAnsi"/>
          <w:szCs w:val="22"/>
        </w:rPr>
        <w:t xml:space="preserve"> program</w:t>
      </w:r>
      <w:r w:rsidR="00E666F6">
        <w:rPr>
          <w:rFonts w:asciiTheme="majorHAnsi" w:hAnsiTheme="majorHAnsi"/>
          <w:szCs w:val="22"/>
        </w:rPr>
        <w:t>y</w:t>
      </w:r>
      <w:r w:rsidRPr="00C4538A">
        <w:rPr>
          <w:rFonts w:asciiTheme="majorHAnsi" w:hAnsiTheme="majorHAnsi"/>
          <w:szCs w:val="22"/>
        </w:rPr>
        <w:t xml:space="preserve"> spolufinancovan</w:t>
      </w:r>
      <w:r w:rsidR="006979B1">
        <w:rPr>
          <w:rFonts w:asciiTheme="majorHAnsi" w:hAnsiTheme="majorHAnsi"/>
          <w:szCs w:val="22"/>
        </w:rPr>
        <w:t>é</w:t>
      </w:r>
      <w:r w:rsidRPr="00C4538A">
        <w:rPr>
          <w:rFonts w:asciiTheme="majorHAnsi" w:hAnsiTheme="majorHAnsi"/>
          <w:szCs w:val="22"/>
        </w:rPr>
        <w:t xml:space="preserve"> z EŠIF;</w:t>
      </w:r>
    </w:p>
    <w:p w:rsidR="00D20ED7" w:rsidRDefault="00D20ED7" w:rsidP="009B7C77">
      <w:pPr>
        <w:numPr>
          <w:ilvl w:val="0"/>
          <w:numId w:val="54"/>
        </w:numPr>
        <w:tabs>
          <w:tab w:val="left" w:pos="709"/>
          <w:tab w:val="left" w:pos="9072"/>
        </w:tabs>
        <w:ind w:left="714" w:hanging="357"/>
        <w:rPr>
          <w:rFonts w:asciiTheme="majorHAnsi" w:hAnsiTheme="majorHAnsi"/>
          <w:szCs w:val="22"/>
        </w:rPr>
      </w:pPr>
      <w:r w:rsidRPr="00C4538A">
        <w:rPr>
          <w:rFonts w:asciiTheme="majorHAnsi" w:hAnsiTheme="majorHAnsi"/>
          <w:szCs w:val="22"/>
        </w:rPr>
        <w:t xml:space="preserve">s ohľadom na identifikované ,,slabé miesta“ pri poskytovaní </w:t>
      </w:r>
      <w:r w:rsidR="006F6412">
        <w:rPr>
          <w:rFonts w:asciiTheme="majorHAnsi" w:hAnsiTheme="majorHAnsi"/>
          <w:szCs w:val="22"/>
        </w:rPr>
        <w:t>podpory</w:t>
      </w:r>
      <w:r w:rsidR="006F6412" w:rsidRPr="00C4538A">
        <w:rPr>
          <w:rFonts w:asciiTheme="majorHAnsi" w:hAnsiTheme="majorHAnsi"/>
          <w:szCs w:val="22"/>
        </w:rPr>
        <w:t xml:space="preserve"> </w:t>
      </w:r>
      <w:r w:rsidRPr="00C4538A">
        <w:rPr>
          <w:rFonts w:asciiTheme="majorHAnsi" w:hAnsiTheme="majorHAnsi"/>
          <w:szCs w:val="22"/>
        </w:rPr>
        <w:t>z ENR</w:t>
      </w:r>
      <w:r w:rsidR="00C4538A">
        <w:rPr>
          <w:rFonts w:asciiTheme="majorHAnsi" w:hAnsiTheme="majorHAnsi"/>
          <w:szCs w:val="22"/>
        </w:rPr>
        <w:t>F</w:t>
      </w:r>
      <w:r w:rsidRPr="00C4538A">
        <w:rPr>
          <w:rFonts w:asciiTheme="majorHAnsi" w:hAnsiTheme="majorHAnsi"/>
          <w:szCs w:val="22"/>
        </w:rPr>
        <w:t xml:space="preserve"> sú navyše plánované opatrenia na zvýraznenie povinnosti prijímateľa realizovať projekt</w:t>
      </w:r>
      <w:r w:rsidR="00E666F6">
        <w:rPr>
          <w:rFonts w:asciiTheme="majorHAnsi" w:hAnsiTheme="majorHAnsi"/>
          <w:szCs w:val="22"/>
        </w:rPr>
        <w:t>,</w:t>
      </w:r>
      <w:r w:rsidRPr="00C4538A">
        <w:rPr>
          <w:rFonts w:asciiTheme="majorHAnsi" w:hAnsiTheme="majorHAnsi"/>
          <w:szCs w:val="22"/>
        </w:rPr>
        <w:t xml:space="preserve"> v súlade so schválenou žiadosťou o</w:t>
      </w:r>
      <w:r w:rsidR="00EE145F">
        <w:rPr>
          <w:rFonts w:asciiTheme="majorHAnsi" w:hAnsiTheme="majorHAnsi"/>
          <w:szCs w:val="22"/>
        </w:rPr>
        <w:t xml:space="preserve"> podporu </w:t>
      </w:r>
      <w:r w:rsidRPr="00C4538A">
        <w:rPr>
          <w:rFonts w:asciiTheme="majorHAnsi" w:hAnsiTheme="majorHAnsi"/>
          <w:szCs w:val="22"/>
        </w:rPr>
        <w:t xml:space="preserve">a povinnosti dodržania podmienok udržateľnosti projektu. Cieľom má byť eliminácia potreby opakovaných žiadostí o zmenu projektu, resp. prípadov mimoriadneho ukončenia zmluvného vzťahu. Opatrenia v oblasti znižovania </w:t>
      </w:r>
      <w:r w:rsidR="00E83C74">
        <w:rPr>
          <w:rFonts w:asciiTheme="majorHAnsi" w:hAnsiTheme="majorHAnsi"/>
          <w:szCs w:val="22"/>
        </w:rPr>
        <w:t>AZ</w:t>
      </w:r>
      <w:r w:rsidRPr="00C4538A">
        <w:rPr>
          <w:rFonts w:asciiTheme="majorHAnsi" w:hAnsiTheme="majorHAnsi"/>
          <w:szCs w:val="22"/>
        </w:rPr>
        <w:t xml:space="preserve"> pre projekty podporované prostredníctvom </w:t>
      </w:r>
      <w:r w:rsidR="00177B9B" w:rsidRPr="00C4538A">
        <w:rPr>
          <w:rFonts w:asciiTheme="majorHAnsi" w:hAnsiTheme="majorHAnsi"/>
          <w:szCs w:val="22"/>
        </w:rPr>
        <w:t>ENR</w:t>
      </w:r>
      <w:r w:rsidR="00177B9B">
        <w:rPr>
          <w:rFonts w:asciiTheme="majorHAnsi" w:hAnsiTheme="majorHAnsi"/>
          <w:szCs w:val="22"/>
        </w:rPr>
        <w:t>F</w:t>
      </w:r>
      <w:r w:rsidRPr="00C4538A">
        <w:rPr>
          <w:rFonts w:asciiTheme="majorHAnsi" w:hAnsiTheme="majorHAnsi"/>
          <w:szCs w:val="22"/>
        </w:rPr>
        <w:t xml:space="preserve"> sa zameriavajú najmä na redukciu povinných príloh k žiadosti o</w:t>
      </w:r>
      <w:r w:rsidR="00EE145F">
        <w:rPr>
          <w:rFonts w:asciiTheme="majorHAnsi" w:hAnsiTheme="majorHAnsi"/>
          <w:szCs w:val="22"/>
        </w:rPr>
        <w:t xml:space="preserve"> podporu </w:t>
      </w:r>
      <w:r w:rsidRPr="00C4538A">
        <w:rPr>
          <w:rFonts w:asciiTheme="majorHAnsi" w:hAnsiTheme="majorHAnsi"/>
          <w:szCs w:val="22"/>
        </w:rPr>
        <w:t xml:space="preserve">a nadviažu na opatrenia týkajúce sa predkladania vybraných príloh len </w:t>
      </w:r>
      <w:r w:rsidRPr="00C4538A">
        <w:rPr>
          <w:rFonts w:asciiTheme="majorHAnsi" w:hAnsiTheme="majorHAnsi"/>
          <w:szCs w:val="22"/>
        </w:rPr>
        <w:lastRenderedPageBreak/>
        <w:t>pri žiadateľoch, pri ktorých boli overené ostatné podmienky potrebné na schválenie žiadosti o</w:t>
      </w:r>
      <w:r w:rsidR="00EE145F">
        <w:rPr>
          <w:rFonts w:asciiTheme="majorHAnsi" w:hAnsiTheme="majorHAnsi"/>
          <w:szCs w:val="22"/>
        </w:rPr>
        <w:t> podporu</w:t>
      </w:r>
      <w:r w:rsidR="00E666F6">
        <w:rPr>
          <w:rFonts w:asciiTheme="majorHAnsi" w:hAnsiTheme="majorHAnsi"/>
          <w:szCs w:val="22"/>
        </w:rPr>
        <w:t>;</w:t>
      </w:r>
    </w:p>
    <w:p w:rsidR="002437B3" w:rsidRPr="001D334F" w:rsidRDefault="002437B3" w:rsidP="009B7C77">
      <w:pPr>
        <w:numPr>
          <w:ilvl w:val="0"/>
          <w:numId w:val="54"/>
        </w:numPr>
        <w:tabs>
          <w:tab w:val="left" w:pos="709"/>
          <w:tab w:val="left" w:pos="9072"/>
        </w:tabs>
        <w:ind w:left="714" w:hanging="357"/>
        <w:rPr>
          <w:rFonts w:asciiTheme="majorHAnsi" w:hAnsiTheme="majorHAnsi"/>
          <w:szCs w:val="22"/>
        </w:rPr>
      </w:pPr>
      <w:r>
        <w:rPr>
          <w:rFonts w:asciiTheme="majorHAnsi" w:hAnsiTheme="majorHAnsi"/>
          <w:szCs w:val="22"/>
        </w:rPr>
        <w:t xml:space="preserve">v prípade projektov za oblasť problematiky MRK </w:t>
      </w:r>
      <w:r w:rsidR="003F0251">
        <w:rPr>
          <w:rFonts w:asciiTheme="majorHAnsi" w:hAnsiTheme="majorHAnsi"/>
          <w:szCs w:val="22"/>
        </w:rPr>
        <w:t>bude zabezpečené</w:t>
      </w:r>
      <w:r>
        <w:rPr>
          <w:rFonts w:asciiTheme="majorHAnsi" w:hAnsiTheme="majorHAnsi"/>
          <w:szCs w:val="22"/>
        </w:rPr>
        <w:t xml:space="preserve"> </w:t>
      </w:r>
      <w:r w:rsidR="003F0251">
        <w:rPr>
          <w:rFonts w:asciiTheme="majorHAnsi" w:hAnsiTheme="majorHAnsi"/>
          <w:szCs w:val="22"/>
        </w:rPr>
        <w:t xml:space="preserve">efektívne </w:t>
      </w:r>
      <w:r>
        <w:rPr>
          <w:rFonts w:asciiTheme="majorHAnsi" w:hAnsiTheme="majorHAnsi"/>
          <w:szCs w:val="22"/>
        </w:rPr>
        <w:t>monitorova</w:t>
      </w:r>
      <w:r w:rsidR="003F0251">
        <w:rPr>
          <w:rFonts w:asciiTheme="majorHAnsi" w:hAnsiTheme="majorHAnsi"/>
          <w:szCs w:val="22"/>
        </w:rPr>
        <w:t>nie a hodnotenie ako integrálna súčasť</w:t>
      </w:r>
      <w:r>
        <w:rPr>
          <w:rFonts w:asciiTheme="majorHAnsi" w:hAnsiTheme="majorHAnsi"/>
          <w:szCs w:val="22"/>
        </w:rPr>
        <w:t xml:space="preserve"> vnútroštátneho strategického rámca</w:t>
      </w:r>
      <w:r w:rsidR="00E666F6">
        <w:rPr>
          <w:rFonts w:asciiTheme="majorHAnsi" w:hAnsiTheme="majorHAnsi"/>
          <w:szCs w:val="22"/>
        </w:rPr>
        <w:t>. Ten bude</w:t>
      </w:r>
      <w:r>
        <w:rPr>
          <w:rFonts w:asciiTheme="majorHAnsi" w:hAnsiTheme="majorHAnsi"/>
          <w:szCs w:val="22"/>
        </w:rPr>
        <w:t xml:space="preserve"> základn</w:t>
      </w:r>
      <w:r w:rsidR="00E666F6">
        <w:rPr>
          <w:rFonts w:asciiTheme="majorHAnsi" w:hAnsiTheme="majorHAnsi"/>
          <w:szCs w:val="22"/>
        </w:rPr>
        <w:t>ým</w:t>
      </w:r>
      <w:r>
        <w:rPr>
          <w:rFonts w:asciiTheme="majorHAnsi" w:hAnsiTheme="majorHAnsi"/>
          <w:szCs w:val="22"/>
        </w:rPr>
        <w:t xml:space="preserve"> atribút</w:t>
      </w:r>
      <w:r w:rsidR="00E666F6">
        <w:rPr>
          <w:rFonts w:asciiTheme="majorHAnsi" w:hAnsiTheme="majorHAnsi"/>
          <w:szCs w:val="22"/>
        </w:rPr>
        <w:t>om</w:t>
      </w:r>
      <w:r>
        <w:rPr>
          <w:rFonts w:asciiTheme="majorHAnsi" w:hAnsiTheme="majorHAnsi"/>
          <w:szCs w:val="22"/>
        </w:rPr>
        <w:t xml:space="preserve"> nevyhnutn</w:t>
      </w:r>
      <w:r w:rsidR="00E666F6">
        <w:rPr>
          <w:rFonts w:asciiTheme="majorHAnsi" w:hAnsiTheme="majorHAnsi"/>
          <w:szCs w:val="22"/>
        </w:rPr>
        <w:t>ým</w:t>
      </w:r>
      <w:r>
        <w:rPr>
          <w:rFonts w:asciiTheme="majorHAnsi" w:hAnsiTheme="majorHAnsi"/>
          <w:szCs w:val="22"/>
        </w:rPr>
        <w:t xml:space="preserve"> na meranie pokroku prostredníctvom zavedenia pravidelného a efektívneho monitorovacieho a hodnotiaceho mechanizmu</w:t>
      </w:r>
      <w:r w:rsidR="006F6412">
        <w:rPr>
          <w:rFonts w:asciiTheme="majorHAnsi" w:hAnsiTheme="majorHAnsi"/>
          <w:szCs w:val="22"/>
        </w:rPr>
        <w:t>,</w:t>
      </w:r>
      <w:r w:rsidR="003F0251">
        <w:rPr>
          <w:rFonts w:asciiTheme="majorHAnsi" w:hAnsiTheme="majorHAnsi"/>
          <w:szCs w:val="22"/>
        </w:rPr>
        <w:t xml:space="preserve"> a</w:t>
      </w:r>
      <w:r w:rsidR="00E666F6">
        <w:rPr>
          <w:rFonts w:asciiTheme="majorHAnsi" w:hAnsiTheme="majorHAnsi"/>
          <w:szCs w:val="22"/>
        </w:rPr>
        <w:t xml:space="preserve"> to </w:t>
      </w:r>
      <w:r w:rsidR="003F0251">
        <w:rPr>
          <w:rFonts w:asciiTheme="majorHAnsi" w:hAnsiTheme="majorHAnsi"/>
          <w:szCs w:val="22"/>
        </w:rPr>
        <w:t xml:space="preserve">najmä </w:t>
      </w:r>
      <w:r w:rsidR="00E666F6">
        <w:rPr>
          <w:rFonts w:asciiTheme="majorHAnsi" w:hAnsiTheme="majorHAnsi"/>
          <w:szCs w:val="22"/>
        </w:rPr>
        <w:t>v programoch zameraných na podporu mobility pracovnej sily, sociálneho začlenenia, boja proti chudobe a akejkoľvek diskriminácii a programov vzdelávania,</w:t>
      </w:r>
      <w:r w:rsidR="001F1B13">
        <w:rPr>
          <w:rFonts w:asciiTheme="majorHAnsi" w:hAnsiTheme="majorHAnsi"/>
          <w:szCs w:val="22"/>
        </w:rPr>
        <w:t xml:space="preserve"> </w:t>
      </w:r>
      <w:r w:rsidR="00E666F6">
        <w:rPr>
          <w:rFonts w:asciiTheme="majorHAnsi" w:hAnsiTheme="majorHAnsi"/>
          <w:szCs w:val="22"/>
        </w:rPr>
        <w:t>školení</w:t>
      </w:r>
      <w:r w:rsidR="001F1B13">
        <w:rPr>
          <w:rFonts w:asciiTheme="majorHAnsi" w:hAnsiTheme="majorHAnsi"/>
          <w:szCs w:val="22"/>
        </w:rPr>
        <w:t xml:space="preserve"> a osvojovania zručnosti, vrátane celoživotného vzdelávania</w:t>
      </w:r>
      <w:r w:rsidR="003F0251" w:rsidRPr="001F1B13">
        <w:rPr>
          <w:rFonts w:asciiTheme="majorHAnsi" w:hAnsiTheme="majorHAnsi"/>
          <w:szCs w:val="22"/>
        </w:rPr>
        <w:t>.</w:t>
      </w:r>
    </w:p>
    <w:p w:rsidR="00D20ED7" w:rsidRDefault="00D20ED7" w:rsidP="00C4538A">
      <w:pPr>
        <w:tabs>
          <w:tab w:val="left" w:pos="709"/>
          <w:tab w:val="left" w:pos="9072"/>
        </w:tabs>
        <w:spacing w:before="0" w:after="200"/>
        <w:ind w:right="-8"/>
        <w:rPr>
          <w:rFonts w:asciiTheme="majorHAnsi" w:hAnsiTheme="majorHAnsi"/>
          <w:szCs w:val="22"/>
        </w:rPr>
      </w:pPr>
      <w:r w:rsidRPr="00177B9B">
        <w:rPr>
          <w:rFonts w:asciiTheme="majorHAnsi" w:hAnsiTheme="majorHAnsi"/>
          <w:szCs w:val="22"/>
        </w:rPr>
        <w:t xml:space="preserve">Vyššie uvedené opatrenia sa budú aplikovať na všetky EŠIF so zohľadnením osobitných potrieb </w:t>
      </w:r>
      <w:r w:rsidR="00177B9B" w:rsidRPr="00C4538A">
        <w:rPr>
          <w:rFonts w:asciiTheme="majorHAnsi" w:hAnsiTheme="majorHAnsi"/>
          <w:szCs w:val="22"/>
        </w:rPr>
        <w:t>ENR</w:t>
      </w:r>
      <w:r w:rsidR="00177B9B">
        <w:rPr>
          <w:rFonts w:asciiTheme="majorHAnsi" w:hAnsiTheme="majorHAnsi"/>
          <w:szCs w:val="22"/>
        </w:rPr>
        <w:t>F</w:t>
      </w:r>
      <w:r w:rsidRPr="00177B9B">
        <w:rPr>
          <w:rFonts w:asciiTheme="majorHAnsi" w:hAnsiTheme="majorHAnsi"/>
          <w:szCs w:val="22"/>
        </w:rPr>
        <w:t xml:space="preserve"> a EPFRV. Cieľom je v čo najväčšej miere zakotviť opatrenia na zníženie </w:t>
      </w:r>
      <w:r w:rsidR="00DE3D48">
        <w:rPr>
          <w:rFonts w:asciiTheme="majorHAnsi" w:hAnsiTheme="majorHAnsi"/>
          <w:szCs w:val="22"/>
        </w:rPr>
        <w:t>AZ</w:t>
      </w:r>
      <w:r w:rsidRPr="00177B9B">
        <w:rPr>
          <w:rFonts w:asciiTheme="majorHAnsi" w:hAnsiTheme="majorHAnsi"/>
          <w:szCs w:val="22"/>
        </w:rPr>
        <w:t xml:space="preserve"> na centrálnej úrovni, ktorá zabezpečí ich povinné zavedenie na úrovni všetkých subjektov poskytujúcich </w:t>
      </w:r>
      <w:r w:rsidR="006F6412">
        <w:rPr>
          <w:rFonts w:asciiTheme="majorHAnsi" w:hAnsiTheme="majorHAnsi"/>
          <w:szCs w:val="22"/>
        </w:rPr>
        <w:t xml:space="preserve">podporu </w:t>
      </w:r>
      <w:r w:rsidRPr="00177B9B">
        <w:rPr>
          <w:rFonts w:asciiTheme="majorHAnsi" w:hAnsiTheme="majorHAnsi"/>
          <w:szCs w:val="22"/>
        </w:rPr>
        <w:t xml:space="preserve">z EŠIF. Vo vzťahu k aplikácii konkrétnych opatrení na </w:t>
      </w:r>
      <w:r w:rsidR="006979B1">
        <w:rPr>
          <w:rFonts w:asciiTheme="majorHAnsi" w:hAnsiTheme="majorHAnsi"/>
          <w:szCs w:val="22"/>
        </w:rPr>
        <w:t xml:space="preserve">PRV 2014 </w:t>
      </w:r>
      <w:r w:rsidR="00E06659">
        <w:rPr>
          <w:rFonts w:asciiTheme="majorHAnsi" w:hAnsiTheme="majorHAnsi"/>
          <w:szCs w:val="22"/>
        </w:rPr>
        <w:t>–</w:t>
      </w:r>
      <w:r w:rsidR="006979B1">
        <w:rPr>
          <w:rFonts w:asciiTheme="majorHAnsi" w:hAnsiTheme="majorHAnsi"/>
          <w:szCs w:val="22"/>
        </w:rPr>
        <w:t xml:space="preserve"> 2020</w:t>
      </w:r>
      <w:r w:rsidRPr="00177B9B">
        <w:rPr>
          <w:rFonts w:asciiTheme="majorHAnsi" w:hAnsiTheme="majorHAnsi"/>
          <w:szCs w:val="22"/>
        </w:rPr>
        <w:t xml:space="preserve"> spolufinancovaného z EPFRV sa zabezpečí efektívny systém výmeny informácií a pravidelných konzultácií umožňujúcich využiť jednotlivé opatrenia v prípade relevantnosti aj na projekty spolufinancované z EPFRV.</w:t>
      </w:r>
    </w:p>
    <w:p w:rsidR="00844F25" w:rsidRPr="00177B9B" w:rsidRDefault="00844F25" w:rsidP="00174E83">
      <w:pPr>
        <w:tabs>
          <w:tab w:val="left" w:pos="709"/>
          <w:tab w:val="left" w:pos="9072"/>
        </w:tabs>
        <w:rPr>
          <w:rFonts w:asciiTheme="majorHAnsi" w:hAnsiTheme="majorHAnsi"/>
          <w:szCs w:val="22"/>
        </w:rPr>
      </w:pPr>
      <w:r w:rsidRPr="00844F25">
        <w:rPr>
          <w:rFonts w:asciiTheme="majorHAnsi" w:hAnsiTheme="majorHAnsi"/>
          <w:szCs w:val="22"/>
        </w:rPr>
        <w:t>PPA dlhodobo pracuje na vylepšovaní IT vybavenia s</w:t>
      </w:r>
      <w:r w:rsidR="00DF567A">
        <w:rPr>
          <w:rFonts w:asciiTheme="majorHAnsi" w:hAnsiTheme="majorHAnsi"/>
          <w:szCs w:val="22"/>
        </w:rPr>
        <w:t> </w:t>
      </w:r>
      <w:r w:rsidRPr="00844F25">
        <w:rPr>
          <w:rFonts w:asciiTheme="majorHAnsi" w:hAnsiTheme="majorHAnsi"/>
          <w:szCs w:val="22"/>
        </w:rPr>
        <w:t>ohľadom</w:t>
      </w:r>
      <w:r w:rsidR="00DF567A">
        <w:rPr>
          <w:rFonts w:asciiTheme="majorHAnsi" w:hAnsiTheme="majorHAnsi"/>
          <w:szCs w:val="22"/>
        </w:rPr>
        <w:t xml:space="preserve"> </w:t>
      </w:r>
      <w:r w:rsidRPr="00844F25">
        <w:rPr>
          <w:rFonts w:asciiTheme="majorHAnsi" w:hAnsiTheme="majorHAnsi"/>
          <w:szCs w:val="22"/>
        </w:rPr>
        <w:t>na otvorenosť použitých riešení. V</w:t>
      </w:r>
      <w:r w:rsidR="00DF567A">
        <w:rPr>
          <w:rFonts w:asciiTheme="majorHAnsi" w:hAnsiTheme="majorHAnsi"/>
          <w:szCs w:val="22"/>
        </w:rPr>
        <w:t> </w:t>
      </w:r>
      <w:r w:rsidRPr="00844F25">
        <w:rPr>
          <w:rFonts w:asciiTheme="majorHAnsi" w:hAnsiTheme="majorHAnsi"/>
          <w:szCs w:val="22"/>
        </w:rPr>
        <w:t>oblasti</w:t>
      </w:r>
      <w:r w:rsidR="00DF567A">
        <w:rPr>
          <w:rFonts w:asciiTheme="majorHAnsi" w:hAnsiTheme="majorHAnsi"/>
          <w:szCs w:val="22"/>
        </w:rPr>
        <w:t xml:space="preserve"> IT</w:t>
      </w:r>
      <w:r w:rsidRPr="00844F25">
        <w:rPr>
          <w:rFonts w:asciiTheme="majorHAnsi" w:hAnsiTheme="majorHAnsi"/>
          <w:szCs w:val="22"/>
        </w:rPr>
        <w:t xml:space="preserve"> uprednostňuje použitie otvorených štandardov, čo bráni vzniku závislosti na dodávateľoch a uľahčuje výmenu informácií. V</w:t>
      </w:r>
      <w:r w:rsidR="00DF567A">
        <w:rPr>
          <w:rFonts w:asciiTheme="majorHAnsi" w:hAnsiTheme="majorHAnsi"/>
          <w:szCs w:val="22"/>
        </w:rPr>
        <w:t> </w:t>
      </w:r>
      <w:r w:rsidRPr="00844F25">
        <w:rPr>
          <w:rFonts w:asciiTheme="majorHAnsi" w:hAnsiTheme="majorHAnsi"/>
          <w:szCs w:val="22"/>
        </w:rPr>
        <w:t>súčasnosti</w:t>
      </w:r>
      <w:r w:rsidR="00DF567A">
        <w:rPr>
          <w:rFonts w:asciiTheme="majorHAnsi" w:hAnsiTheme="majorHAnsi"/>
          <w:szCs w:val="22"/>
        </w:rPr>
        <w:t xml:space="preserve"> </w:t>
      </w:r>
      <w:r w:rsidRPr="00844F25">
        <w:rPr>
          <w:rFonts w:asciiTheme="majorHAnsi" w:hAnsiTheme="majorHAnsi"/>
          <w:szCs w:val="22"/>
        </w:rPr>
        <w:t>zavádzané informačné technológie modulov AGIS PRV a AGIS MFR z technického hľadiska vyhovujú podmienkam otvorenosti. Požiadavky vychádzajú z</w:t>
      </w:r>
      <w:r w:rsidR="00DF567A">
        <w:rPr>
          <w:rFonts w:asciiTheme="majorHAnsi" w:hAnsiTheme="majorHAnsi"/>
          <w:szCs w:val="22"/>
        </w:rPr>
        <w:t> </w:t>
      </w:r>
      <w:r w:rsidRPr="00844F25">
        <w:rPr>
          <w:rFonts w:asciiTheme="majorHAnsi" w:hAnsiTheme="majorHAnsi"/>
          <w:szCs w:val="22"/>
        </w:rPr>
        <w:t>celonárodných</w:t>
      </w:r>
      <w:r w:rsidR="00DF567A">
        <w:rPr>
          <w:rFonts w:asciiTheme="majorHAnsi" w:hAnsiTheme="majorHAnsi"/>
          <w:szCs w:val="22"/>
        </w:rPr>
        <w:t xml:space="preserve"> </w:t>
      </w:r>
      <w:r w:rsidRPr="00844F25">
        <w:rPr>
          <w:rFonts w:asciiTheme="majorHAnsi" w:hAnsiTheme="majorHAnsi"/>
          <w:szCs w:val="22"/>
        </w:rPr>
        <w:t>štandardov, nariadení a zákonov o</w:t>
      </w:r>
      <w:r w:rsidR="00DF567A">
        <w:rPr>
          <w:rFonts w:asciiTheme="majorHAnsi" w:hAnsiTheme="majorHAnsi"/>
          <w:szCs w:val="22"/>
        </w:rPr>
        <w:t> </w:t>
      </w:r>
      <w:r w:rsidRPr="00844F25">
        <w:rPr>
          <w:rFonts w:asciiTheme="majorHAnsi" w:hAnsiTheme="majorHAnsi"/>
          <w:szCs w:val="22"/>
        </w:rPr>
        <w:t>e</w:t>
      </w:r>
      <w:r w:rsidR="00DE3D48">
        <w:rPr>
          <w:rFonts w:asciiTheme="majorHAnsi" w:hAnsiTheme="majorHAnsi"/>
          <w:szCs w:val="22"/>
        </w:rPr>
        <w:t>-</w:t>
      </w:r>
      <w:r w:rsidRPr="00844F25">
        <w:rPr>
          <w:rFonts w:asciiTheme="majorHAnsi" w:hAnsiTheme="majorHAnsi"/>
          <w:szCs w:val="22"/>
        </w:rPr>
        <w:t>Governmente.</w:t>
      </w:r>
    </w:p>
    <w:p w:rsidR="00DE29B0" w:rsidRPr="00A11FE0" w:rsidRDefault="009E3742" w:rsidP="00174E83">
      <w:pPr>
        <w:pStyle w:val="Nadpis1"/>
        <w:numPr>
          <w:ilvl w:val="0"/>
          <w:numId w:val="2"/>
        </w:numPr>
        <w:spacing w:before="240"/>
        <w:ind w:left="431" w:hanging="431"/>
        <w:rPr>
          <w:noProof/>
        </w:rPr>
      </w:pPr>
      <w:bookmarkStart w:id="661" w:name="_Toc378168749"/>
      <w:bookmarkStart w:id="662" w:name="_Toc378168750"/>
      <w:bookmarkStart w:id="663" w:name="_Toc378168777"/>
      <w:bookmarkStart w:id="664" w:name="_Toc378168778"/>
      <w:bookmarkStart w:id="665" w:name="_Toc490655235"/>
      <w:bookmarkEnd w:id="661"/>
      <w:bookmarkEnd w:id="662"/>
      <w:bookmarkEnd w:id="663"/>
      <w:r>
        <w:rPr>
          <w:noProof/>
        </w:rPr>
        <w:t>I</w:t>
      </w:r>
      <w:r w:rsidR="00DE29B0" w:rsidRPr="00A11FE0">
        <w:rPr>
          <w:noProof/>
        </w:rPr>
        <w:t>ntegrovan</w:t>
      </w:r>
      <w:r>
        <w:rPr>
          <w:noProof/>
        </w:rPr>
        <w:t>ý</w:t>
      </w:r>
      <w:r w:rsidR="00DE29B0" w:rsidRPr="00A11FE0">
        <w:rPr>
          <w:noProof/>
        </w:rPr>
        <w:t xml:space="preserve"> prístup </w:t>
      </w:r>
      <w:r w:rsidR="00BD5FD5">
        <w:rPr>
          <w:noProof/>
        </w:rPr>
        <w:t>k</w:t>
      </w:r>
      <w:r w:rsidR="00B66842">
        <w:rPr>
          <w:noProof/>
        </w:rPr>
        <w:t> </w:t>
      </w:r>
      <w:r w:rsidR="00DE29B0" w:rsidRPr="00A11FE0">
        <w:rPr>
          <w:noProof/>
        </w:rPr>
        <w:t xml:space="preserve">územnému rozvoju </w:t>
      </w:r>
      <w:r w:rsidRPr="00A11FE0">
        <w:rPr>
          <w:noProof/>
        </w:rPr>
        <w:t>podporovan</w:t>
      </w:r>
      <w:r>
        <w:rPr>
          <w:noProof/>
        </w:rPr>
        <w:t>ý</w:t>
      </w:r>
      <w:r w:rsidRPr="00A11FE0">
        <w:rPr>
          <w:noProof/>
        </w:rPr>
        <w:t xml:space="preserve"> </w:t>
      </w:r>
      <w:r w:rsidR="00DE29B0" w:rsidRPr="00A11FE0">
        <w:rPr>
          <w:noProof/>
        </w:rPr>
        <w:t>z </w:t>
      </w:r>
      <w:r w:rsidR="00DE29B0" w:rsidRPr="00A11FE0">
        <w:t>EŠIF</w:t>
      </w:r>
      <w:r w:rsidR="00DE29B0" w:rsidRPr="00A11FE0">
        <w:rPr>
          <w:noProof/>
        </w:rPr>
        <w:t xml:space="preserve">, </w:t>
      </w:r>
      <w:r w:rsidR="00BD5FD5">
        <w:rPr>
          <w:noProof/>
        </w:rPr>
        <w:t>a</w:t>
      </w:r>
      <w:r w:rsidR="00DE29B0" w:rsidRPr="00A11FE0">
        <w:rPr>
          <w:noProof/>
        </w:rPr>
        <w:t xml:space="preserve">lebo </w:t>
      </w:r>
      <w:r w:rsidR="00BD5FD5">
        <w:rPr>
          <w:noProof/>
        </w:rPr>
        <w:t>s</w:t>
      </w:r>
      <w:r w:rsidR="00DE29B0" w:rsidRPr="00A11FE0">
        <w:rPr>
          <w:noProof/>
        </w:rPr>
        <w:t xml:space="preserve">úhrn integrovaných prístupov </w:t>
      </w:r>
      <w:r w:rsidR="00BD5FD5">
        <w:rPr>
          <w:noProof/>
        </w:rPr>
        <w:t>k</w:t>
      </w:r>
      <w:r w:rsidR="00AB3DA3">
        <w:rPr>
          <w:noProof/>
        </w:rPr>
        <w:t> </w:t>
      </w:r>
      <w:r w:rsidR="00DE29B0" w:rsidRPr="00A11FE0">
        <w:rPr>
          <w:noProof/>
        </w:rPr>
        <w:t>územnému</w:t>
      </w:r>
      <w:r w:rsidR="00AB3DA3">
        <w:rPr>
          <w:noProof/>
        </w:rPr>
        <w:t xml:space="preserve"> </w:t>
      </w:r>
      <w:r w:rsidR="00DE29B0" w:rsidRPr="00A11FE0">
        <w:rPr>
          <w:noProof/>
        </w:rPr>
        <w:t>rozvoju na základe</w:t>
      </w:r>
      <w:r w:rsidR="00323F70">
        <w:rPr>
          <w:noProof/>
        </w:rPr>
        <w:t xml:space="preserve"> </w:t>
      </w:r>
      <w:r w:rsidR="00DE29B0" w:rsidRPr="00A11FE0">
        <w:rPr>
          <w:noProof/>
        </w:rPr>
        <w:t>obsahu programov</w:t>
      </w:r>
      <w:bookmarkEnd w:id="664"/>
      <w:bookmarkEnd w:id="665"/>
    </w:p>
    <w:p w:rsidR="00DE29B0" w:rsidRPr="00A11FE0" w:rsidRDefault="00DE29B0" w:rsidP="00DE29B0">
      <w:pPr>
        <w:tabs>
          <w:tab w:val="left" w:pos="709"/>
        </w:tabs>
        <w:spacing w:after="0"/>
        <w:rPr>
          <w:rFonts w:asciiTheme="majorHAnsi" w:hAnsiTheme="majorHAnsi"/>
          <w:szCs w:val="22"/>
        </w:rPr>
      </w:pPr>
      <w:r w:rsidRPr="00A11FE0">
        <w:rPr>
          <w:rFonts w:asciiTheme="majorHAnsi" w:hAnsiTheme="majorHAnsi"/>
          <w:szCs w:val="22"/>
        </w:rPr>
        <w:t xml:space="preserve">V programovom období 2007 – 2013 </w:t>
      </w:r>
      <w:r w:rsidR="00BD5FD5">
        <w:rPr>
          <w:rFonts w:asciiTheme="majorHAnsi" w:hAnsiTheme="majorHAnsi"/>
          <w:szCs w:val="22"/>
        </w:rPr>
        <w:t>s</w:t>
      </w:r>
      <w:r w:rsidRPr="00A11FE0">
        <w:rPr>
          <w:rFonts w:asciiTheme="majorHAnsi" w:hAnsiTheme="majorHAnsi"/>
          <w:szCs w:val="22"/>
        </w:rPr>
        <w:t xml:space="preserve">a uplatňoval prístup územnej </w:t>
      </w:r>
      <w:r w:rsidR="00BD5FD5">
        <w:rPr>
          <w:rFonts w:asciiTheme="majorHAnsi" w:hAnsiTheme="majorHAnsi"/>
          <w:szCs w:val="22"/>
        </w:rPr>
        <w:t>k</w:t>
      </w:r>
      <w:r w:rsidRPr="00A11FE0">
        <w:rPr>
          <w:rFonts w:asciiTheme="majorHAnsi" w:hAnsiTheme="majorHAnsi"/>
          <w:szCs w:val="22"/>
        </w:rPr>
        <w:t xml:space="preserve">oncentrácie </w:t>
      </w:r>
      <w:r w:rsidR="00BD5FD5">
        <w:rPr>
          <w:rFonts w:asciiTheme="majorHAnsi" w:hAnsiTheme="majorHAnsi"/>
          <w:szCs w:val="22"/>
        </w:rPr>
        <w:t>s</w:t>
      </w:r>
      <w:r w:rsidRPr="00A11FE0">
        <w:rPr>
          <w:rFonts w:asciiTheme="majorHAnsi" w:hAnsiTheme="majorHAnsi"/>
          <w:szCs w:val="22"/>
        </w:rPr>
        <w:t xml:space="preserve"> cieľom </w:t>
      </w:r>
      <w:r w:rsidR="00BD5FD5">
        <w:rPr>
          <w:rFonts w:asciiTheme="majorHAnsi" w:hAnsiTheme="majorHAnsi"/>
          <w:szCs w:val="22"/>
        </w:rPr>
        <w:t>s</w:t>
      </w:r>
      <w:r w:rsidRPr="00A11FE0">
        <w:rPr>
          <w:rFonts w:asciiTheme="majorHAnsi" w:hAnsiTheme="majorHAnsi"/>
          <w:szCs w:val="22"/>
        </w:rPr>
        <w:t xml:space="preserve">merovať investície v území podľa tematickej príslušnosti. Obce </w:t>
      </w:r>
      <w:r w:rsidR="00BD5FD5">
        <w:rPr>
          <w:rFonts w:asciiTheme="majorHAnsi" w:hAnsiTheme="majorHAnsi"/>
          <w:szCs w:val="22"/>
        </w:rPr>
        <w:t>a</w:t>
      </w:r>
      <w:r w:rsidRPr="00A11FE0">
        <w:rPr>
          <w:rFonts w:asciiTheme="majorHAnsi" w:hAnsiTheme="majorHAnsi"/>
          <w:szCs w:val="22"/>
        </w:rPr>
        <w:t xml:space="preserve"> mestá boli rozdelené na inovačné </w:t>
      </w:r>
      <w:r w:rsidR="00BD5FD5">
        <w:rPr>
          <w:rFonts w:asciiTheme="majorHAnsi" w:hAnsiTheme="majorHAnsi"/>
          <w:szCs w:val="22"/>
        </w:rPr>
        <w:t>a</w:t>
      </w:r>
      <w:r w:rsidR="00794E0C">
        <w:rPr>
          <w:rFonts w:asciiTheme="majorHAnsi" w:hAnsiTheme="majorHAnsi"/>
          <w:szCs w:val="22"/>
        </w:rPr>
        <w:t> </w:t>
      </w:r>
      <w:r w:rsidR="00BD5FD5">
        <w:rPr>
          <w:rFonts w:asciiTheme="majorHAnsi" w:hAnsiTheme="majorHAnsi"/>
          <w:szCs w:val="22"/>
        </w:rPr>
        <w:t>k</w:t>
      </w:r>
      <w:r w:rsidRPr="00A11FE0">
        <w:rPr>
          <w:rFonts w:asciiTheme="majorHAnsi" w:hAnsiTheme="majorHAnsi"/>
          <w:szCs w:val="22"/>
        </w:rPr>
        <w:t xml:space="preserve">ohézne póly rastu </w:t>
      </w:r>
      <w:r w:rsidR="00BD5FD5">
        <w:rPr>
          <w:rFonts w:asciiTheme="majorHAnsi" w:hAnsiTheme="majorHAnsi"/>
          <w:szCs w:val="22"/>
        </w:rPr>
        <w:t>a</w:t>
      </w:r>
      <w:r w:rsidR="00794E0C">
        <w:rPr>
          <w:rFonts w:asciiTheme="majorHAnsi" w:hAnsiTheme="majorHAnsi"/>
          <w:szCs w:val="22"/>
        </w:rPr>
        <w:t> </w:t>
      </w:r>
      <w:r w:rsidRPr="00A11FE0">
        <w:rPr>
          <w:rFonts w:asciiTheme="majorHAnsi" w:hAnsiTheme="majorHAnsi"/>
          <w:szCs w:val="22"/>
        </w:rPr>
        <w:t xml:space="preserve">vidiecke oblasti. Realizované projekty však boli implementované </w:t>
      </w:r>
      <w:r w:rsidR="00BD5FD5">
        <w:rPr>
          <w:rFonts w:asciiTheme="majorHAnsi" w:hAnsiTheme="majorHAnsi"/>
          <w:szCs w:val="22"/>
        </w:rPr>
        <w:t>ak</w:t>
      </w:r>
      <w:r w:rsidRPr="00A11FE0">
        <w:rPr>
          <w:rFonts w:asciiTheme="majorHAnsi" w:hAnsiTheme="majorHAnsi"/>
          <w:szCs w:val="22"/>
        </w:rPr>
        <w:t xml:space="preserve">o dopytovo orientované, čo vytváralo tlak na </w:t>
      </w:r>
      <w:r w:rsidR="00BD5FD5">
        <w:rPr>
          <w:rFonts w:asciiTheme="majorHAnsi" w:hAnsiTheme="majorHAnsi"/>
          <w:szCs w:val="22"/>
        </w:rPr>
        <w:t>a</w:t>
      </w:r>
      <w:r w:rsidRPr="00A11FE0">
        <w:rPr>
          <w:rFonts w:asciiTheme="majorHAnsi" w:hAnsiTheme="majorHAnsi"/>
          <w:szCs w:val="22"/>
        </w:rPr>
        <w:t xml:space="preserve">dministráciu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pôsobovalo vysoké finančné výdavky žiadateľov na </w:t>
      </w:r>
      <w:r w:rsidR="00BD5FD5">
        <w:rPr>
          <w:rFonts w:asciiTheme="majorHAnsi" w:hAnsiTheme="majorHAnsi"/>
          <w:szCs w:val="22"/>
        </w:rPr>
        <w:t>s</w:t>
      </w:r>
      <w:r w:rsidRPr="00A11FE0">
        <w:rPr>
          <w:rFonts w:asciiTheme="majorHAnsi" w:hAnsiTheme="majorHAnsi"/>
          <w:szCs w:val="22"/>
        </w:rPr>
        <w:t xml:space="preserve">pracovanie projektových žiadostí. </w:t>
      </w:r>
      <w:r w:rsidR="00B951F4">
        <w:rPr>
          <w:rFonts w:asciiTheme="majorHAnsi" w:hAnsiTheme="majorHAnsi"/>
          <w:szCs w:val="22"/>
        </w:rPr>
        <w:t>S</w:t>
      </w:r>
      <w:r w:rsidRPr="00A11FE0">
        <w:rPr>
          <w:rFonts w:asciiTheme="majorHAnsi" w:hAnsiTheme="majorHAnsi"/>
          <w:szCs w:val="22"/>
        </w:rPr>
        <w:t xml:space="preserve">kúsenosti z programového obdobia 2007 – 2013 poukázali na nedostatky v oblasti prípravy, plánovania </w:t>
      </w:r>
      <w:r w:rsidR="00BD5FD5">
        <w:rPr>
          <w:rFonts w:asciiTheme="majorHAnsi" w:hAnsiTheme="majorHAnsi"/>
          <w:szCs w:val="22"/>
        </w:rPr>
        <w:t>a</w:t>
      </w:r>
      <w:r w:rsidRPr="00A11FE0">
        <w:rPr>
          <w:rFonts w:asciiTheme="majorHAnsi" w:hAnsiTheme="majorHAnsi"/>
          <w:szCs w:val="22"/>
        </w:rPr>
        <w:t xml:space="preserve"> pri činnostiach </w:t>
      </w:r>
      <w:r w:rsidR="00BD5FD5">
        <w:rPr>
          <w:rFonts w:asciiTheme="majorHAnsi" w:hAnsiTheme="majorHAnsi"/>
          <w:szCs w:val="22"/>
        </w:rPr>
        <w:t>s</w:t>
      </w:r>
      <w:r w:rsidRPr="00A11FE0">
        <w:rPr>
          <w:rFonts w:asciiTheme="majorHAnsi" w:hAnsiTheme="majorHAnsi"/>
          <w:szCs w:val="22"/>
        </w:rPr>
        <w:t xml:space="preserve">pojených </w:t>
      </w:r>
      <w:r w:rsidR="00BD5FD5">
        <w:rPr>
          <w:rFonts w:asciiTheme="majorHAnsi" w:hAnsiTheme="majorHAnsi"/>
          <w:szCs w:val="22"/>
        </w:rPr>
        <w:t>s</w:t>
      </w:r>
      <w:r w:rsidRPr="00A11FE0">
        <w:rPr>
          <w:rFonts w:asciiTheme="majorHAnsi" w:hAnsiTheme="majorHAnsi"/>
          <w:szCs w:val="22"/>
        </w:rPr>
        <w:t xml:space="preserve"> rozhodovaním na miestnej, regionálnej </w:t>
      </w:r>
      <w:r w:rsidR="00BD5FD5">
        <w:rPr>
          <w:rFonts w:asciiTheme="majorHAnsi" w:hAnsiTheme="majorHAnsi"/>
          <w:szCs w:val="22"/>
        </w:rPr>
        <w:t>a</w:t>
      </w:r>
      <w:r w:rsidRPr="00A11FE0">
        <w:rPr>
          <w:rFonts w:asciiTheme="majorHAnsi" w:hAnsiTheme="majorHAnsi"/>
          <w:szCs w:val="22"/>
        </w:rPr>
        <w:t xml:space="preserve"> národnej úrovni. Bez tejto vzájomnej previazanosti dochádza </w:t>
      </w:r>
      <w:r w:rsidR="00BD5FD5">
        <w:rPr>
          <w:rFonts w:asciiTheme="majorHAnsi" w:hAnsiTheme="majorHAnsi"/>
          <w:szCs w:val="22"/>
        </w:rPr>
        <w:t>k</w:t>
      </w:r>
      <w:r w:rsidRPr="00A11FE0">
        <w:rPr>
          <w:rFonts w:asciiTheme="majorHAnsi" w:hAnsiTheme="majorHAnsi"/>
          <w:szCs w:val="22"/>
        </w:rPr>
        <w:t xml:space="preserve"> presadzovaniu individuálnych projektov, </w:t>
      </w:r>
      <w:r w:rsidR="00BD5FD5">
        <w:rPr>
          <w:rFonts w:asciiTheme="majorHAnsi" w:hAnsiTheme="majorHAnsi"/>
          <w:szCs w:val="22"/>
        </w:rPr>
        <w:t>k</w:t>
      </w:r>
      <w:r w:rsidRPr="00A11FE0">
        <w:rPr>
          <w:rFonts w:asciiTheme="majorHAnsi" w:hAnsiTheme="majorHAnsi"/>
          <w:szCs w:val="22"/>
        </w:rPr>
        <w:t xml:space="preserve">toré majú </w:t>
      </w:r>
      <w:r w:rsidR="00BD5FD5">
        <w:rPr>
          <w:rFonts w:asciiTheme="majorHAnsi" w:hAnsiTheme="majorHAnsi"/>
          <w:szCs w:val="22"/>
        </w:rPr>
        <w:t>s</w:t>
      </w:r>
      <w:r w:rsidRPr="00A11FE0">
        <w:rPr>
          <w:rFonts w:asciiTheme="majorHAnsi" w:hAnsiTheme="majorHAnsi"/>
          <w:szCs w:val="22"/>
        </w:rPr>
        <w:t xml:space="preserve">labší vplyv na celkové dosahovanie </w:t>
      </w:r>
      <w:r w:rsidR="00BD5FD5">
        <w:rPr>
          <w:rFonts w:asciiTheme="majorHAnsi" w:hAnsiTheme="majorHAnsi"/>
          <w:szCs w:val="22"/>
        </w:rPr>
        <w:t>s</w:t>
      </w:r>
      <w:r w:rsidRPr="00A11FE0">
        <w:rPr>
          <w:rFonts w:asciiTheme="majorHAnsi" w:hAnsiTheme="majorHAnsi"/>
          <w:szCs w:val="22"/>
        </w:rPr>
        <w:t xml:space="preserve">tanovených cieľov v Národnom </w:t>
      </w:r>
      <w:r w:rsidR="00BD5FD5">
        <w:rPr>
          <w:rFonts w:asciiTheme="majorHAnsi" w:hAnsiTheme="majorHAnsi"/>
          <w:szCs w:val="22"/>
        </w:rPr>
        <w:t>s</w:t>
      </w:r>
      <w:r w:rsidRPr="00A11FE0">
        <w:rPr>
          <w:rFonts w:asciiTheme="majorHAnsi" w:hAnsiTheme="majorHAnsi"/>
          <w:szCs w:val="22"/>
        </w:rPr>
        <w:t xml:space="preserve">trategickom referenčnom rámci </w:t>
      </w:r>
      <w:r w:rsidR="00BD5FD5">
        <w:rPr>
          <w:rFonts w:asciiTheme="majorHAnsi" w:hAnsiTheme="majorHAnsi"/>
          <w:szCs w:val="22"/>
        </w:rPr>
        <w:t>S</w:t>
      </w:r>
      <w:r w:rsidRPr="00A11FE0">
        <w:rPr>
          <w:rFonts w:asciiTheme="majorHAnsi" w:hAnsiTheme="majorHAnsi"/>
          <w:szCs w:val="22"/>
        </w:rPr>
        <w:t>R na roky 2007 – 2013.</w:t>
      </w:r>
    </w:p>
    <w:p w:rsidR="00DE29B0" w:rsidRPr="00A11FE0" w:rsidRDefault="00DE29B0" w:rsidP="00DE29B0">
      <w:pPr>
        <w:tabs>
          <w:tab w:val="left" w:pos="709"/>
        </w:tabs>
        <w:spacing w:after="0"/>
        <w:rPr>
          <w:rFonts w:asciiTheme="majorHAnsi" w:hAnsiTheme="majorHAnsi"/>
          <w:szCs w:val="22"/>
        </w:rPr>
      </w:pPr>
      <w:r w:rsidRPr="00A11FE0">
        <w:rPr>
          <w:rFonts w:asciiTheme="majorHAnsi" w:hAnsiTheme="majorHAnsi"/>
          <w:szCs w:val="22"/>
        </w:rPr>
        <w:t>V</w:t>
      </w:r>
      <w:r w:rsidR="00783F54">
        <w:rPr>
          <w:rFonts w:asciiTheme="majorHAnsi" w:hAnsiTheme="majorHAnsi"/>
          <w:szCs w:val="22"/>
        </w:rPr>
        <w:t> </w:t>
      </w:r>
      <w:r w:rsidRPr="00A11FE0">
        <w:rPr>
          <w:rFonts w:asciiTheme="majorHAnsi" w:hAnsiTheme="majorHAnsi"/>
          <w:szCs w:val="22"/>
        </w:rPr>
        <w:t xml:space="preserve">programovom období 2014 – 2020 </w:t>
      </w:r>
      <w:r w:rsidR="00BD5FD5">
        <w:rPr>
          <w:rFonts w:asciiTheme="majorHAnsi" w:hAnsiTheme="majorHAnsi"/>
          <w:szCs w:val="22"/>
        </w:rPr>
        <w:t>s</w:t>
      </w:r>
      <w:r w:rsidRPr="00A11FE0">
        <w:rPr>
          <w:rFonts w:asciiTheme="majorHAnsi" w:hAnsiTheme="majorHAnsi"/>
          <w:szCs w:val="22"/>
        </w:rPr>
        <w:t xml:space="preserve">a pristupuje </w:t>
      </w:r>
      <w:r w:rsidR="00BD5FD5">
        <w:rPr>
          <w:rFonts w:asciiTheme="majorHAnsi" w:hAnsiTheme="majorHAnsi"/>
          <w:szCs w:val="22"/>
        </w:rPr>
        <w:t>k</w:t>
      </w:r>
      <w:r w:rsidRPr="00A11FE0">
        <w:rPr>
          <w:rFonts w:asciiTheme="majorHAnsi" w:hAnsiTheme="majorHAnsi"/>
          <w:szCs w:val="22"/>
        </w:rPr>
        <w:t xml:space="preserve"> uplatneniu integrovaného prístupu tak, </w:t>
      </w:r>
      <w:r w:rsidR="00BD5FD5">
        <w:rPr>
          <w:rFonts w:asciiTheme="majorHAnsi" w:hAnsiTheme="majorHAnsi"/>
          <w:szCs w:val="22"/>
        </w:rPr>
        <w:t>a</w:t>
      </w:r>
      <w:r w:rsidRPr="00A11FE0">
        <w:rPr>
          <w:rFonts w:asciiTheme="majorHAnsi" w:hAnsiTheme="majorHAnsi"/>
          <w:szCs w:val="22"/>
        </w:rPr>
        <w:t xml:space="preserve">by EŠIF čo najvýraznejšie prispievali </w:t>
      </w:r>
      <w:r w:rsidR="00BD5FD5">
        <w:rPr>
          <w:rFonts w:asciiTheme="majorHAnsi" w:hAnsiTheme="majorHAnsi"/>
          <w:szCs w:val="22"/>
        </w:rPr>
        <w:t>k</w:t>
      </w:r>
      <w:r w:rsidRPr="00A11FE0">
        <w:rPr>
          <w:rFonts w:asciiTheme="majorHAnsi" w:hAnsiTheme="majorHAnsi"/>
          <w:szCs w:val="22"/>
        </w:rPr>
        <w:t xml:space="preserve"> cieľom </w:t>
      </w:r>
      <w:r w:rsidR="00B951F4">
        <w:rPr>
          <w:rFonts w:asciiTheme="majorHAnsi" w:hAnsiTheme="majorHAnsi"/>
          <w:szCs w:val="22"/>
        </w:rPr>
        <w:t>s</w:t>
      </w:r>
      <w:r w:rsidR="00A16C38" w:rsidRPr="00A11FE0">
        <w:rPr>
          <w:rFonts w:asciiTheme="majorHAnsi" w:hAnsiTheme="majorHAnsi"/>
          <w:szCs w:val="22"/>
        </w:rPr>
        <w:t xml:space="preserve">tratégie </w:t>
      </w:r>
      <w:r w:rsidR="00992762">
        <w:rPr>
          <w:rFonts w:asciiTheme="majorHAnsi" w:hAnsiTheme="majorHAnsi"/>
          <w:szCs w:val="22"/>
        </w:rPr>
        <w:t>E</w:t>
      </w:r>
      <w:r w:rsidR="00DC5F52">
        <w:rPr>
          <w:rFonts w:asciiTheme="majorHAnsi" w:hAnsiTheme="majorHAnsi"/>
          <w:szCs w:val="22"/>
        </w:rPr>
        <w:t>ur</w:t>
      </w:r>
      <w:r w:rsidRPr="00A11FE0">
        <w:rPr>
          <w:rFonts w:asciiTheme="majorHAnsi" w:hAnsiTheme="majorHAnsi"/>
          <w:szCs w:val="22"/>
        </w:rPr>
        <w:t xml:space="preserve">ópa 2020. Predpokladom uplatnenia integrovaného prístupu je zlepšenie mechanizmov </w:t>
      </w:r>
      <w:r w:rsidR="00377E6D">
        <w:rPr>
          <w:rFonts w:asciiTheme="majorHAnsi" w:hAnsiTheme="majorHAnsi"/>
          <w:szCs w:val="22"/>
        </w:rPr>
        <w:t>strategického plánovania a rozhodovania za priamej účasti a zodpovednosti konkrétnych aktérov územného rozvoja formou partnerstva</w:t>
      </w:r>
      <w:r w:rsidR="00CB513D">
        <w:rPr>
          <w:rFonts w:asciiTheme="majorHAnsi" w:hAnsiTheme="majorHAnsi"/>
          <w:szCs w:val="22"/>
        </w:rPr>
        <w:t>, a</w:t>
      </w:r>
      <w:r w:rsidR="00783F54">
        <w:rPr>
          <w:rFonts w:asciiTheme="majorHAnsi" w:hAnsiTheme="majorHAnsi"/>
          <w:szCs w:val="22"/>
        </w:rPr>
        <w:t> </w:t>
      </w:r>
      <w:r w:rsidR="00CB513D">
        <w:rPr>
          <w:rFonts w:asciiTheme="majorHAnsi" w:hAnsiTheme="majorHAnsi"/>
          <w:szCs w:val="22"/>
        </w:rPr>
        <w:t>to</w:t>
      </w:r>
      <w:r w:rsidR="00377E6D">
        <w:rPr>
          <w:rFonts w:asciiTheme="majorHAnsi" w:hAnsiTheme="majorHAnsi"/>
          <w:szCs w:val="22"/>
        </w:rPr>
        <w:t xml:space="preserve"> s dôrazom na konkurencieschopnosť územia</w:t>
      </w:r>
      <w:r w:rsidR="00CB513D">
        <w:rPr>
          <w:rFonts w:asciiTheme="majorHAnsi" w:hAnsiTheme="majorHAnsi"/>
          <w:szCs w:val="22"/>
        </w:rPr>
        <w:t xml:space="preserve"> regiónu.</w:t>
      </w:r>
      <w:r w:rsidR="00377E6D">
        <w:rPr>
          <w:rFonts w:asciiTheme="majorHAnsi" w:hAnsiTheme="majorHAnsi"/>
          <w:szCs w:val="22"/>
        </w:rPr>
        <w:t xml:space="preserve"> Pre účely implementácie</w:t>
      </w:r>
      <w:r w:rsidR="00CB513D">
        <w:rPr>
          <w:rFonts w:asciiTheme="majorHAnsi" w:hAnsiTheme="majorHAnsi"/>
          <w:szCs w:val="22"/>
        </w:rPr>
        <w:t xml:space="preserve"> integrovaného prístupu</w:t>
      </w:r>
      <w:r w:rsidR="00377E6D">
        <w:rPr>
          <w:rFonts w:asciiTheme="majorHAnsi" w:hAnsiTheme="majorHAnsi"/>
          <w:szCs w:val="22"/>
        </w:rPr>
        <w:t xml:space="preserve"> sú základnými východiskami strategické dokumenty SR v oblasti regionálneho</w:t>
      </w:r>
      <w:r w:rsidR="001E5203">
        <w:rPr>
          <w:rFonts w:asciiTheme="majorHAnsi" w:hAnsiTheme="majorHAnsi"/>
          <w:szCs w:val="22"/>
        </w:rPr>
        <w:t xml:space="preserve"> rozvoja</w:t>
      </w:r>
      <w:r w:rsidR="00377E6D">
        <w:rPr>
          <w:rFonts w:asciiTheme="majorHAnsi" w:hAnsiTheme="majorHAnsi"/>
          <w:szCs w:val="22"/>
        </w:rPr>
        <w:t xml:space="preserve"> a územného plánovania. </w:t>
      </w:r>
      <w:r w:rsidRPr="00A11FE0">
        <w:rPr>
          <w:rFonts w:asciiTheme="majorHAnsi" w:hAnsiTheme="majorHAnsi"/>
          <w:szCs w:val="22"/>
        </w:rPr>
        <w:t>Hlavn</w:t>
      </w:r>
      <w:r w:rsidR="00E27339">
        <w:rPr>
          <w:rFonts w:asciiTheme="majorHAnsi" w:hAnsiTheme="majorHAnsi"/>
          <w:szCs w:val="22"/>
        </w:rPr>
        <w:t xml:space="preserve">ou úlohou </w:t>
      </w:r>
      <w:r w:rsidRPr="00A11FE0">
        <w:rPr>
          <w:rFonts w:asciiTheme="majorHAnsi" w:hAnsiTheme="majorHAnsi"/>
          <w:szCs w:val="22"/>
        </w:rPr>
        <w:t xml:space="preserve">územnej </w:t>
      </w:r>
      <w:r w:rsidR="00BD5FD5">
        <w:rPr>
          <w:rFonts w:asciiTheme="majorHAnsi" w:hAnsiTheme="majorHAnsi"/>
          <w:szCs w:val="22"/>
        </w:rPr>
        <w:t>k</w:t>
      </w:r>
      <w:r w:rsidRPr="00A11FE0">
        <w:rPr>
          <w:rFonts w:asciiTheme="majorHAnsi" w:hAnsiTheme="majorHAnsi"/>
          <w:szCs w:val="22"/>
        </w:rPr>
        <w:t xml:space="preserve">oncentrácie pre jednotlivé tematické ciele je členenie územia podľa jeho charakteru, funkčnosti </w:t>
      </w:r>
      <w:r w:rsidR="00BD5FD5">
        <w:rPr>
          <w:rFonts w:asciiTheme="majorHAnsi" w:hAnsiTheme="majorHAnsi"/>
          <w:szCs w:val="22"/>
        </w:rPr>
        <w:t>a</w:t>
      </w:r>
      <w:r w:rsidRPr="00A11FE0">
        <w:rPr>
          <w:rFonts w:asciiTheme="majorHAnsi" w:hAnsiTheme="majorHAnsi"/>
          <w:szCs w:val="22"/>
        </w:rPr>
        <w:t xml:space="preserve"> rozvojového potenciálu, </w:t>
      </w:r>
      <w:r w:rsidR="00BD5FD5">
        <w:rPr>
          <w:rFonts w:asciiTheme="majorHAnsi" w:hAnsiTheme="majorHAnsi"/>
          <w:szCs w:val="22"/>
        </w:rPr>
        <w:t>ak</w:t>
      </w:r>
      <w:r w:rsidRPr="00A11FE0">
        <w:rPr>
          <w:rFonts w:asciiTheme="majorHAnsi" w:hAnsiTheme="majorHAnsi"/>
          <w:szCs w:val="22"/>
        </w:rPr>
        <w:t xml:space="preserve">o predpokladu pre </w:t>
      </w:r>
      <w:r w:rsidR="00BD5FD5">
        <w:rPr>
          <w:rFonts w:asciiTheme="majorHAnsi" w:hAnsiTheme="majorHAnsi"/>
          <w:szCs w:val="22"/>
        </w:rPr>
        <w:t>s</w:t>
      </w:r>
      <w:r w:rsidRPr="00A11FE0">
        <w:rPr>
          <w:rFonts w:asciiTheme="majorHAnsi" w:hAnsiTheme="majorHAnsi"/>
          <w:szCs w:val="22"/>
        </w:rPr>
        <w:t xml:space="preserve">merovanie investícií EŠIF do riešenia špecifických problémov regiónov </w:t>
      </w:r>
      <w:r w:rsidR="00BD5FD5">
        <w:rPr>
          <w:rFonts w:asciiTheme="majorHAnsi" w:hAnsiTheme="majorHAnsi"/>
          <w:szCs w:val="22"/>
        </w:rPr>
        <w:t>s</w:t>
      </w:r>
      <w:r w:rsidR="00783F54">
        <w:rPr>
          <w:rFonts w:asciiTheme="majorHAnsi" w:hAnsiTheme="majorHAnsi"/>
          <w:szCs w:val="22"/>
        </w:rPr>
        <w:t> </w:t>
      </w:r>
      <w:r w:rsidRPr="00A11FE0">
        <w:rPr>
          <w:rFonts w:asciiTheme="majorHAnsi" w:hAnsiTheme="majorHAnsi"/>
          <w:szCs w:val="22"/>
        </w:rPr>
        <w:t>efektívnym</w:t>
      </w:r>
      <w:r w:rsidR="00783F54">
        <w:rPr>
          <w:rFonts w:asciiTheme="majorHAnsi" w:hAnsiTheme="majorHAnsi"/>
          <w:szCs w:val="22"/>
        </w:rPr>
        <w:t xml:space="preserve"> </w:t>
      </w:r>
      <w:r w:rsidRPr="00A11FE0">
        <w:rPr>
          <w:rFonts w:asciiTheme="majorHAnsi" w:hAnsiTheme="majorHAnsi"/>
          <w:szCs w:val="22"/>
        </w:rPr>
        <w:t xml:space="preserve">využitím miestneho potenciálu </w:t>
      </w:r>
      <w:r w:rsidR="00BD5FD5">
        <w:rPr>
          <w:rFonts w:asciiTheme="majorHAnsi" w:hAnsiTheme="majorHAnsi"/>
          <w:szCs w:val="22"/>
        </w:rPr>
        <w:t>a</w:t>
      </w:r>
      <w:r w:rsidRPr="00A11FE0">
        <w:rPr>
          <w:rFonts w:asciiTheme="majorHAnsi" w:hAnsiTheme="majorHAnsi"/>
          <w:szCs w:val="22"/>
        </w:rPr>
        <w:t xml:space="preserve"> zdrojov. Základným východiskom tohto členenia je celoštátny územno-plánovací dokument, </w:t>
      </w:r>
      <w:r w:rsidR="00BD5FD5">
        <w:rPr>
          <w:rFonts w:asciiTheme="majorHAnsi" w:hAnsiTheme="majorHAnsi"/>
          <w:szCs w:val="22"/>
        </w:rPr>
        <w:t>a</w:t>
      </w:r>
      <w:r w:rsidR="006A7D08">
        <w:rPr>
          <w:rFonts w:asciiTheme="majorHAnsi" w:hAnsiTheme="majorHAnsi"/>
          <w:szCs w:val="22"/>
        </w:rPr>
        <w:t> </w:t>
      </w:r>
      <w:r w:rsidRPr="00A11FE0">
        <w:rPr>
          <w:rFonts w:asciiTheme="majorHAnsi" w:hAnsiTheme="majorHAnsi"/>
          <w:szCs w:val="22"/>
        </w:rPr>
        <w:t xml:space="preserve">to </w:t>
      </w:r>
      <w:r w:rsidR="00BD5FD5">
        <w:rPr>
          <w:rFonts w:asciiTheme="majorHAnsi" w:hAnsiTheme="majorHAnsi"/>
          <w:szCs w:val="22"/>
        </w:rPr>
        <w:t>K</w:t>
      </w:r>
      <w:r w:rsidRPr="00A11FE0">
        <w:rPr>
          <w:rFonts w:asciiTheme="majorHAnsi" w:hAnsiTheme="majorHAnsi"/>
          <w:szCs w:val="22"/>
        </w:rPr>
        <w:t xml:space="preserve">URS (pozri časť 1.1.1 Územná </w:t>
      </w:r>
      <w:r w:rsidR="00BD5FD5">
        <w:rPr>
          <w:rFonts w:asciiTheme="majorHAnsi" w:hAnsiTheme="majorHAnsi"/>
          <w:szCs w:val="22"/>
        </w:rPr>
        <w:t>k</w:t>
      </w:r>
      <w:r w:rsidRPr="00A11FE0">
        <w:rPr>
          <w:rFonts w:asciiTheme="majorHAnsi" w:hAnsiTheme="majorHAnsi"/>
          <w:szCs w:val="22"/>
        </w:rPr>
        <w:t>oncentrácia investičných priorít tematických cieľov).</w:t>
      </w:r>
    </w:p>
    <w:p w:rsidR="00DE29B0" w:rsidRPr="00A11FE0" w:rsidRDefault="00DE29B0" w:rsidP="00DE29B0">
      <w:pPr>
        <w:tabs>
          <w:tab w:val="left" w:pos="709"/>
        </w:tabs>
        <w:spacing w:after="0"/>
        <w:rPr>
          <w:rFonts w:asciiTheme="majorHAnsi" w:hAnsiTheme="majorHAnsi"/>
          <w:szCs w:val="22"/>
        </w:rPr>
      </w:pPr>
      <w:r w:rsidRPr="00A11FE0">
        <w:rPr>
          <w:rFonts w:asciiTheme="majorHAnsi" w:hAnsiTheme="majorHAnsi"/>
          <w:szCs w:val="22"/>
        </w:rPr>
        <w:t>V</w:t>
      </w:r>
      <w:r w:rsidR="006A7D08">
        <w:rPr>
          <w:rFonts w:asciiTheme="majorHAnsi" w:hAnsiTheme="majorHAnsi"/>
          <w:szCs w:val="22"/>
        </w:rPr>
        <w:t> </w:t>
      </w:r>
      <w:r w:rsidRPr="00A11FE0">
        <w:rPr>
          <w:rFonts w:asciiTheme="majorHAnsi" w:hAnsiTheme="majorHAnsi"/>
          <w:szCs w:val="22"/>
        </w:rPr>
        <w:t xml:space="preserve">podmienkach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s</w:t>
      </w:r>
      <w:r w:rsidRPr="00A11FE0">
        <w:rPr>
          <w:rFonts w:asciiTheme="majorHAnsi" w:hAnsiTheme="majorHAnsi"/>
          <w:szCs w:val="22"/>
        </w:rPr>
        <w:t xml:space="preserve">a budú využívať </w:t>
      </w:r>
      <w:r w:rsidR="00BD5FD5">
        <w:rPr>
          <w:rFonts w:asciiTheme="majorHAnsi" w:hAnsiTheme="majorHAnsi"/>
          <w:szCs w:val="22"/>
        </w:rPr>
        <w:t>a</w:t>
      </w:r>
      <w:r w:rsidRPr="00A11FE0">
        <w:rPr>
          <w:rFonts w:asciiTheme="majorHAnsi" w:hAnsiTheme="majorHAnsi"/>
          <w:szCs w:val="22"/>
        </w:rPr>
        <w:t>j globálne granty</w:t>
      </w:r>
      <w:r w:rsidR="00CB513D">
        <w:rPr>
          <w:rFonts w:asciiTheme="majorHAnsi" w:hAnsiTheme="majorHAnsi"/>
          <w:szCs w:val="22"/>
        </w:rPr>
        <w:t>,</w:t>
      </w:r>
      <w:r w:rsidRPr="00A11FE0">
        <w:rPr>
          <w:rFonts w:asciiTheme="majorHAnsi" w:hAnsiTheme="majorHAnsi"/>
          <w:szCs w:val="22"/>
        </w:rPr>
        <w:t xml:space="preserve"> </w:t>
      </w:r>
      <w:r w:rsidR="00990089">
        <w:rPr>
          <w:rFonts w:asciiTheme="majorHAnsi" w:hAnsiTheme="majorHAnsi"/>
          <w:szCs w:val="22"/>
        </w:rPr>
        <w:t xml:space="preserve">najmä </w:t>
      </w:r>
      <w:r w:rsidRPr="00A11FE0">
        <w:rPr>
          <w:rFonts w:asciiTheme="majorHAnsi" w:hAnsiTheme="majorHAnsi"/>
          <w:szCs w:val="22"/>
        </w:rPr>
        <w:t xml:space="preserve">pre mimovládne neziskové organizácie, </w:t>
      </w:r>
      <w:r w:rsidR="00BD5FD5">
        <w:rPr>
          <w:rFonts w:asciiTheme="majorHAnsi" w:hAnsiTheme="majorHAnsi"/>
          <w:szCs w:val="22"/>
        </w:rPr>
        <w:t>k</w:t>
      </w:r>
      <w:r w:rsidRPr="00A11FE0">
        <w:rPr>
          <w:rFonts w:asciiTheme="majorHAnsi" w:hAnsiTheme="majorHAnsi"/>
          <w:szCs w:val="22"/>
        </w:rPr>
        <w:t xml:space="preserve">toré budú tematicky </w:t>
      </w:r>
      <w:r w:rsidR="00BD5FD5">
        <w:rPr>
          <w:rFonts w:asciiTheme="majorHAnsi" w:hAnsiTheme="majorHAnsi"/>
          <w:szCs w:val="22"/>
        </w:rPr>
        <w:t>a</w:t>
      </w:r>
      <w:r w:rsidRPr="00A11FE0">
        <w:rPr>
          <w:rFonts w:asciiTheme="majorHAnsi" w:hAnsiTheme="majorHAnsi"/>
          <w:szCs w:val="22"/>
        </w:rPr>
        <w:t xml:space="preserve"> územne zamerané, </w:t>
      </w:r>
      <w:r w:rsidR="00BD5FD5">
        <w:rPr>
          <w:rFonts w:asciiTheme="majorHAnsi" w:hAnsiTheme="majorHAnsi"/>
          <w:szCs w:val="22"/>
        </w:rPr>
        <w:t>a</w:t>
      </w:r>
      <w:r w:rsidR="006A7D08">
        <w:rPr>
          <w:rFonts w:asciiTheme="majorHAnsi" w:hAnsiTheme="majorHAnsi"/>
          <w:szCs w:val="22"/>
        </w:rPr>
        <w:t> </w:t>
      </w:r>
      <w:r w:rsidRPr="00A11FE0">
        <w:rPr>
          <w:rFonts w:asciiTheme="majorHAnsi" w:hAnsiTheme="majorHAnsi"/>
          <w:szCs w:val="22"/>
        </w:rPr>
        <w:t>to prostredníctvom podpory z</w:t>
      </w:r>
      <w:r w:rsidR="006A7D08">
        <w:rPr>
          <w:rFonts w:asciiTheme="majorHAnsi" w:hAnsiTheme="majorHAnsi"/>
          <w:szCs w:val="22"/>
        </w:rPr>
        <w:t> </w:t>
      </w:r>
      <w:r w:rsidRPr="00A11FE0">
        <w:rPr>
          <w:rFonts w:asciiTheme="majorHAnsi" w:hAnsiTheme="majorHAnsi"/>
          <w:szCs w:val="22"/>
        </w:rPr>
        <w:t xml:space="preserve">ESF </w:t>
      </w:r>
      <w:r w:rsidR="00BD5FD5">
        <w:rPr>
          <w:rFonts w:asciiTheme="majorHAnsi" w:hAnsiTheme="majorHAnsi"/>
          <w:szCs w:val="22"/>
        </w:rPr>
        <w:t>a</w:t>
      </w:r>
      <w:r w:rsidR="000D3C8B">
        <w:rPr>
          <w:rFonts w:asciiTheme="majorHAnsi" w:hAnsiTheme="majorHAnsi"/>
          <w:szCs w:val="22"/>
        </w:rPr>
        <w:t> </w:t>
      </w:r>
      <w:r w:rsidRPr="00A11FE0">
        <w:rPr>
          <w:rFonts w:asciiTheme="majorHAnsi" w:hAnsiTheme="majorHAnsi"/>
          <w:szCs w:val="22"/>
        </w:rPr>
        <w:t xml:space="preserve">EFRR. Globálne </w:t>
      </w:r>
      <w:r w:rsidRPr="00A11FE0">
        <w:rPr>
          <w:rFonts w:asciiTheme="majorHAnsi" w:hAnsiTheme="majorHAnsi"/>
          <w:szCs w:val="22"/>
        </w:rPr>
        <w:lastRenderedPageBreak/>
        <w:t xml:space="preserve">granty budú implementované prostredníctvom malých projektov </w:t>
      </w:r>
      <w:r w:rsidR="00BD5FD5">
        <w:rPr>
          <w:rFonts w:asciiTheme="majorHAnsi" w:hAnsiTheme="majorHAnsi"/>
          <w:szCs w:val="22"/>
        </w:rPr>
        <w:t>s</w:t>
      </w:r>
      <w:r w:rsidRPr="00A11FE0">
        <w:rPr>
          <w:rFonts w:asciiTheme="majorHAnsi" w:hAnsiTheme="majorHAnsi"/>
          <w:szCs w:val="22"/>
        </w:rPr>
        <w:t>prostredkovateľskými mimovládnymi neziskovými organizáciami, pri zabezpečení čo najširšieho využitia zjednodušeného vykazovania výdavkov.</w:t>
      </w:r>
    </w:p>
    <w:p w:rsidR="00DE29B0" w:rsidRPr="00A11FE0" w:rsidRDefault="00DE29B0" w:rsidP="007F0E6D">
      <w:pPr>
        <w:pStyle w:val="Nadpis2"/>
        <w:numPr>
          <w:ilvl w:val="1"/>
          <w:numId w:val="2"/>
        </w:numPr>
      </w:pPr>
      <w:bookmarkStart w:id="666" w:name="_Toc378168779"/>
      <w:bookmarkStart w:id="667" w:name="_Toc490655236"/>
      <w:r w:rsidRPr="00A11FE0">
        <w:t xml:space="preserve">Opatrenia na zabezpečenie integrovaného prístupu </w:t>
      </w:r>
      <w:r w:rsidR="009E3742">
        <w:t>k</w:t>
      </w:r>
      <w:r w:rsidR="00783F54">
        <w:t> </w:t>
      </w:r>
      <w:r w:rsidR="009E3742" w:rsidRPr="00A11FE0">
        <w:t>využívani</w:t>
      </w:r>
      <w:r w:rsidR="009E3742">
        <w:t>u</w:t>
      </w:r>
      <w:r w:rsidR="00783F54">
        <w:t xml:space="preserve"> </w:t>
      </w:r>
      <w:r w:rsidRPr="00A11FE0">
        <w:t xml:space="preserve">EŠIF pre územný rozvoj špecifických </w:t>
      </w:r>
      <w:r w:rsidR="00BD5FD5">
        <w:t>s</w:t>
      </w:r>
      <w:r w:rsidRPr="00A11FE0">
        <w:t>ubregionálnych oblastí</w:t>
      </w:r>
      <w:bookmarkEnd w:id="666"/>
      <w:bookmarkEnd w:id="667"/>
    </w:p>
    <w:p w:rsidR="00DE29B0" w:rsidRPr="00A11FE0" w:rsidRDefault="00DE29B0" w:rsidP="00174E83">
      <w:pPr>
        <w:tabs>
          <w:tab w:val="left" w:pos="709"/>
        </w:tabs>
        <w:spacing w:after="0"/>
        <w:rPr>
          <w:rFonts w:asciiTheme="majorHAnsi" w:hAnsiTheme="majorHAnsi"/>
          <w:szCs w:val="22"/>
        </w:rPr>
      </w:pPr>
      <w:r w:rsidRPr="00A11FE0">
        <w:rPr>
          <w:rFonts w:asciiTheme="majorHAnsi" w:hAnsiTheme="majorHAnsi"/>
          <w:szCs w:val="22"/>
        </w:rPr>
        <w:t xml:space="preserve">Opatrenia na zabezpečenie integrovaného prístupu na využívanie EŠIF </w:t>
      </w:r>
      <w:r w:rsidR="00BD5FD5">
        <w:rPr>
          <w:rFonts w:asciiTheme="majorHAnsi" w:hAnsiTheme="majorHAnsi"/>
          <w:szCs w:val="22"/>
        </w:rPr>
        <w:t>s</w:t>
      </w:r>
      <w:r w:rsidRPr="00A11FE0">
        <w:rPr>
          <w:rFonts w:asciiTheme="majorHAnsi" w:hAnsiTheme="majorHAnsi"/>
          <w:szCs w:val="22"/>
        </w:rPr>
        <w:t xml:space="preserve">a budú uplatňovať na viacerých úrovniach </w:t>
      </w:r>
      <w:r w:rsidR="00BD5FD5">
        <w:rPr>
          <w:rFonts w:asciiTheme="majorHAnsi" w:hAnsiTheme="majorHAnsi"/>
          <w:szCs w:val="22"/>
        </w:rPr>
        <w:t>a</w:t>
      </w:r>
      <w:r w:rsidR="00783F54">
        <w:rPr>
          <w:rFonts w:asciiTheme="majorHAnsi" w:hAnsiTheme="majorHAnsi"/>
          <w:szCs w:val="22"/>
        </w:rPr>
        <w:t> </w:t>
      </w:r>
      <w:r w:rsidRPr="00A11FE0">
        <w:rPr>
          <w:rFonts w:asciiTheme="majorHAnsi" w:hAnsiTheme="majorHAnsi"/>
          <w:szCs w:val="22"/>
        </w:rPr>
        <w:t>budú</w:t>
      </w:r>
      <w:r w:rsidR="00783F54">
        <w:rPr>
          <w:rFonts w:asciiTheme="majorHAnsi" w:hAnsiTheme="majorHAnsi"/>
          <w:szCs w:val="22"/>
        </w:rPr>
        <w:t xml:space="preserve"> </w:t>
      </w:r>
      <w:r w:rsidRPr="00A11FE0">
        <w:rPr>
          <w:rFonts w:asciiTheme="majorHAnsi" w:hAnsiTheme="majorHAnsi"/>
          <w:szCs w:val="22"/>
        </w:rPr>
        <w:t xml:space="preserve">založené na posilnení viacúrovňového plánovania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polupráce.</w:t>
      </w:r>
    </w:p>
    <w:p w:rsidR="00DE29B0" w:rsidRPr="00A11FE0" w:rsidRDefault="00DE29B0" w:rsidP="007F0E6D">
      <w:pPr>
        <w:pStyle w:val="Nadpis3"/>
        <w:numPr>
          <w:ilvl w:val="2"/>
          <w:numId w:val="2"/>
        </w:numPr>
      </w:pPr>
      <w:r w:rsidRPr="00A11FE0">
        <w:t xml:space="preserve">Miestny rozvoj vedený </w:t>
      </w:r>
      <w:r w:rsidR="00BD5FD5">
        <w:t>k</w:t>
      </w:r>
      <w:r w:rsidRPr="00A11FE0">
        <w:t>omunitou (CLLD)</w:t>
      </w:r>
    </w:p>
    <w:p w:rsidR="00DE29B0" w:rsidRPr="00A11FE0" w:rsidRDefault="00DE29B0" w:rsidP="00DE29B0">
      <w:pPr>
        <w:rPr>
          <w:rFonts w:asciiTheme="majorHAnsi" w:hAnsiTheme="majorHAnsi"/>
        </w:rPr>
      </w:pPr>
      <w:r w:rsidRPr="00A11FE0">
        <w:rPr>
          <w:rFonts w:asciiTheme="majorHAnsi" w:hAnsiTheme="majorHAnsi"/>
        </w:rPr>
        <w:t xml:space="preserve">Prostredníctvom nástroja miestny rozvoj vedený </w:t>
      </w:r>
      <w:r w:rsidR="00BD5FD5">
        <w:rPr>
          <w:rFonts w:asciiTheme="majorHAnsi" w:hAnsiTheme="majorHAnsi"/>
        </w:rPr>
        <w:t>k</w:t>
      </w:r>
      <w:r w:rsidRPr="00A11FE0">
        <w:rPr>
          <w:rFonts w:asciiTheme="majorHAnsi" w:hAnsiTheme="majorHAnsi"/>
        </w:rPr>
        <w:t>omunitou (CLLD) budú v </w:t>
      </w:r>
      <w:r w:rsidR="00BD5FD5">
        <w:rPr>
          <w:rFonts w:asciiTheme="majorHAnsi" w:hAnsiTheme="majorHAnsi"/>
        </w:rPr>
        <w:t>S</w:t>
      </w:r>
      <w:r w:rsidRPr="00A11FE0">
        <w:rPr>
          <w:rFonts w:asciiTheme="majorHAnsi" w:hAnsiTheme="majorHAnsi"/>
        </w:rPr>
        <w:t xml:space="preserve">R riešené výzvy na miestnej úrovni </w:t>
      </w:r>
      <w:r w:rsidR="00BD5FD5">
        <w:rPr>
          <w:rFonts w:asciiTheme="majorHAnsi" w:hAnsiTheme="majorHAnsi"/>
        </w:rPr>
        <w:t>s</w:t>
      </w:r>
      <w:r w:rsidRPr="00A11FE0">
        <w:rPr>
          <w:rFonts w:asciiTheme="majorHAnsi" w:hAnsiTheme="majorHAnsi"/>
        </w:rPr>
        <w:t xml:space="preserve">pôsobom, </w:t>
      </w:r>
      <w:r w:rsidR="00BD5FD5">
        <w:rPr>
          <w:rFonts w:asciiTheme="majorHAnsi" w:hAnsiTheme="majorHAnsi"/>
        </w:rPr>
        <w:t>k</w:t>
      </w:r>
      <w:r w:rsidRPr="00A11FE0">
        <w:rPr>
          <w:rFonts w:asciiTheme="majorHAnsi" w:hAnsiTheme="majorHAnsi"/>
        </w:rPr>
        <w:t xml:space="preserve">torý bol doteraz známy pod prístupom LEADER. Pre miestnu úroveň je typická široká rozmanitosť potrieb </w:t>
      </w:r>
      <w:r w:rsidR="00BD5FD5">
        <w:rPr>
          <w:rFonts w:asciiTheme="majorHAnsi" w:hAnsiTheme="majorHAnsi"/>
        </w:rPr>
        <w:t>a</w:t>
      </w:r>
      <w:r w:rsidRPr="00A11FE0">
        <w:rPr>
          <w:rFonts w:asciiTheme="majorHAnsi" w:hAnsiTheme="majorHAnsi"/>
        </w:rPr>
        <w:t xml:space="preserve"> výziev, </w:t>
      </w:r>
      <w:r w:rsidR="00BD5FD5">
        <w:rPr>
          <w:rFonts w:asciiTheme="majorHAnsi" w:hAnsiTheme="majorHAnsi"/>
        </w:rPr>
        <w:t>k</w:t>
      </w:r>
      <w:r w:rsidRPr="00A11FE0">
        <w:rPr>
          <w:rFonts w:asciiTheme="majorHAnsi" w:hAnsiTheme="majorHAnsi"/>
        </w:rPr>
        <w:t>torým jednotlivé územia čelia. Pri ich identifikácii ide o</w:t>
      </w:r>
      <w:r w:rsidR="00783F54">
        <w:rPr>
          <w:rFonts w:asciiTheme="majorHAnsi" w:hAnsiTheme="majorHAnsi"/>
        </w:rPr>
        <w:t> </w:t>
      </w:r>
      <w:r w:rsidRPr="00A11FE0">
        <w:rPr>
          <w:rFonts w:asciiTheme="majorHAnsi" w:hAnsiTheme="majorHAnsi"/>
        </w:rPr>
        <w:t xml:space="preserve">riešenia, </w:t>
      </w:r>
      <w:r w:rsidR="00BD5FD5">
        <w:rPr>
          <w:rFonts w:asciiTheme="majorHAnsi" w:hAnsiTheme="majorHAnsi"/>
        </w:rPr>
        <w:t>k</w:t>
      </w:r>
      <w:r w:rsidRPr="00A11FE0">
        <w:rPr>
          <w:rFonts w:asciiTheme="majorHAnsi" w:hAnsiTheme="majorHAnsi"/>
        </w:rPr>
        <w:t xml:space="preserve">toré majú priamy dopad na dané územie, </w:t>
      </w:r>
      <w:r w:rsidR="00BD5FD5">
        <w:rPr>
          <w:rFonts w:asciiTheme="majorHAnsi" w:hAnsiTheme="majorHAnsi"/>
        </w:rPr>
        <w:t>a</w:t>
      </w:r>
      <w:r w:rsidRPr="00A11FE0">
        <w:rPr>
          <w:rFonts w:asciiTheme="majorHAnsi" w:hAnsiTheme="majorHAnsi"/>
        </w:rPr>
        <w:t xml:space="preserve"> to za predpokladu, že príslušná miestna </w:t>
      </w:r>
      <w:r w:rsidR="00BD5FD5">
        <w:rPr>
          <w:rFonts w:asciiTheme="majorHAnsi" w:hAnsiTheme="majorHAnsi"/>
        </w:rPr>
        <w:t>k</w:t>
      </w:r>
      <w:r w:rsidRPr="00A11FE0">
        <w:rPr>
          <w:rFonts w:asciiTheme="majorHAnsi" w:hAnsiTheme="majorHAnsi"/>
        </w:rPr>
        <w:t xml:space="preserve">omunita disponuje organizačnou, technickou </w:t>
      </w:r>
      <w:r w:rsidR="00BD5FD5">
        <w:rPr>
          <w:rFonts w:asciiTheme="majorHAnsi" w:hAnsiTheme="majorHAnsi"/>
        </w:rPr>
        <w:t>a</w:t>
      </w:r>
      <w:r w:rsidR="00783F54">
        <w:rPr>
          <w:rFonts w:asciiTheme="majorHAnsi" w:hAnsiTheme="majorHAnsi"/>
        </w:rPr>
        <w:t> </w:t>
      </w:r>
      <w:r w:rsidRPr="00A11FE0">
        <w:rPr>
          <w:rFonts w:asciiTheme="majorHAnsi" w:hAnsiTheme="majorHAnsi"/>
        </w:rPr>
        <w:t>finančnou</w:t>
      </w:r>
      <w:r w:rsidR="00783F54">
        <w:rPr>
          <w:rFonts w:asciiTheme="majorHAnsi" w:hAnsiTheme="majorHAnsi"/>
        </w:rPr>
        <w:t xml:space="preserve"> </w:t>
      </w:r>
      <w:r w:rsidR="00BD5FD5">
        <w:rPr>
          <w:rFonts w:asciiTheme="majorHAnsi" w:hAnsiTheme="majorHAnsi"/>
        </w:rPr>
        <w:t>k</w:t>
      </w:r>
      <w:r w:rsidRPr="00A11FE0">
        <w:rPr>
          <w:rFonts w:asciiTheme="majorHAnsi" w:hAnsiTheme="majorHAnsi"/>
        </w:rPr>
        <w:t xml:space="preserve">apacitou </w:t>
      </w:r>
      <w:r w:rsidR="007146BC">
        <w:rPr>
          <w:rFonts w:asciiTheme="majorHAnsi" w:hAnsiTheme="majorHAnsi"/>
        </w:rPr>
        <w:t>pre</w:t>
      </w:r>
      <w:r w:rsidR="007146BC" w:rsidRPr="00A11FE0">
        <w:rPr>
          <w:rFonts w:asciiTheme="majorHAnsi" w:hAnsiTheme="majorHAnsi"/>
        </w:rPr>
        <w:t xml:space="preserve"> </w:t>
      </w:r>
      <w:r w:rsidRPr="00A11FE0">
        <w:rPr>
          <w:rFonts w:asciiTheme="majorHAnsi" w:hAnsiTheme="majorHAnsi"/>
        </w:rPr>
        <w:t xml:space="preserve">ich </w:t>
      </w:r>
      <w:r w:rsidR="007146BC">
        <w:rPr>
          <w:rFonts w:asciiTheme="majorHAnsi" w:hAnsiTheme="majorHAnsi"/>
        </w:rPr>
        <w:t>realizáciu</w:t>
      </w:r>
      <w:r w:rsidRPr="00A11FE0">
        <w:rPr>
          <w:rFonts w:asciiTheme="majorHAnsi" w:hAnsiTheme="majorHAnsi"/>
        </w:rPr>
        <w:t>.</w:t>
      </w:r>
    </w:p>
    <w:p w:rsidR="007146BC" w:rsidRDefault="007146BC" w:rsidP="007146BC">
      <w:pPr>
        <w:rPr>
          <w:rFonts w:asciiTheme="majorHAnsi" w:hAnsiTheme="majorHAnsi"/>
          <w:b/>
        </w:rPr>
      </w:pPr>
      <w:r>
        <w:rPr>
          <w:rFonts w:asciiTheme="majorHAnsi" w:hAnsiTheme="majorHAnsi"/>
          <w:b/>
        </w:rPr>
        <w:t>Hlavné výzvy na miestnej úrovni sú:</w:t>
      </w:r>
    </w:p>
    <w:p w:rsidR="007146BC" w:rsidRDefault="007146BC" w:rsidP="007146BC">
      <w:pPr>
        <w:rPr>
          <w:rFonts w:asciiTheme="majorHAnsi" w:hAnsiTheme="majorHAnsi"/>
        </w:rPr>
      </w:pPr>
      <w:r>
        <w:rPr>
          <w:rFonts w:asciiTheme="majorHAnsi" w:hAnsiTheme="majorHAnsi"/>
        </w:rPr>
        <w:t>A.</w:t>
      </w:r>
      <w:r>
        <w:rPr>
          <w:rFonts w:asciiTheme="majorHAnsi" w:hAnsiTheme="majorHAnsi"/>
        </w:rPr>
        <w:tab/>
        <w:t>Zníženie sociálno-ekonomickej zaostalosti</w:t>
      </w:r>
    </w:p>
    <w:p w:rsidR="007146BC" w:rsidRDefault="007146BC" w:rsidP="009B7C77">
      <w:pPr>
        <w:pStyle w:val="Odsekzoznamu"/>
        <w:numPr>
          <w:ilvl w:val="0"/>
          <w:numId w:val="28"/>
        </w:numPr>
        <w:rPr>
          <w:rFonts w:asciiTheme="majorHAnsi" w:hAnsiTheme="majorHAnsi"/>
        </w:rPr>
      </w:pPr>
      <w:r>
        <w:rPr>
          <w:rFonts w:asciiTheme="majorHAnsi" w:hAnsiTheme="majorHAnsi"/>
        </w:rPr>
        <w:t>zvýšiť konkurencieschopnosť zaostávajúcich vidieckych oblastí,</w:t>
      </w:r>
    </w:p>
    <w:p w:rsidR="007146BC" w:rsidRDefault="007146BC" w:rsidP="009B7C77">
      <w:pPr>
        <w:pStyle w:val="Odsekzoznamu"/>
        <w:numPr>
          <w:ilvl w:val="0"/>
          <w:numId w:val="28"/>
        </w:numPr>
        <w:rPr>
          <w:rFonts w:asciiTheme="majorHAnsi" w:hAnsiTheme="majorHAnsi"/>
        </w:rPr>
      </w:pPr>
      <w:r>
        <w:rPr>
          <w:rFonts w:asciiTheme="majorHAnsi" w:hAnsiTheme="majorHAnsi"/>
        </w:rPr>
        <w:t>zlepšiť podporu živnostníkov a samostatne hospodáriacich roľníkov (SHR), mikro a malých podnikov najmä v poľnohospodárskom sektore,</w:t>
      </w:r>
    </w:p>
    <w:p w:rsidR="007146BC" w:rsidRDefault="007146BC" w:rsidP="009B7C77">
      <w:pPr>
        <w:pStyle w:val="Odsekzoznamu"/>
        <w:numPr>
          <w:ilvl w:val="0"/>
          <w:numId w:val="28"/>
        </w:numPr>
        <w:rPr>
          <w:rFonts w:asciiTheme="majorHAnsi" w:hAnsiTheme="majorHAnsi"/>
        </w:rPr>
      </w:pPr>
      <w:r>
        <w:rPr>
          <w:rFonts w:asciiTheme="majorHAnsi" w:hAnsiTheme="majorHAnsi"/>
        </w:rPr>
        <w:t>zlepšiť kvalifikáciu a prax pracovnej sily,</w:t>
      </w:r>
    </w:p>
    <w:p w:rsidR="007146BC" w:rsidRDefault="007146BC" w:rsidP="009B7C77">
      <w:pPr>
        <w:pStyle w:val="Odsekzoznamu"/>
        <w:numPr>
          <w:ilvl w:val="0"/>
          <w:numId w:val="28"/>
        </w:numPr>
        <w:rPr>
          <w:rFonts w:asciiTheme="majorHAnsi" w:hAnsiTheme="majorHAnsi"/>
        </w:rPr>
      </w:pPr>
      <w:r>
        <w:rPr>
          <w:rFonts w:asciiTheme="majorHAnsi" w:hAnsiTheme="majorHAnsi"/>
        </w:rPr>
        <w:t>znížiť vysokú mieru nezamestnanosti, hlavne mladých na vidieku, a</w:t>
      </w:r>
      <w:r w:rsidR="00783F54">
        <w:rPr>
          <w:rFonts w:asciiTheme="majorHAnsi" w:hAnsiTheme="majorHAnsi"/>
        </w:rPr>
        <w:t> </w:t>
      </w:r>
      <w:r>
        <w:rPr>
          <w:rFonts w:asciiTheme="majorHAnsi" w:hAnsiTheme="majorHAnsi"/>
        </w:rPr>
        <w:t>tým</w:t>
      </w:r>
      <w:r w:rsidR="00783F54">
        <w:rPr>
          <w:rFonts w:asciiTheme="majorHAnsi" w:hAnsiTheme="majorHAnsi"/>
        </w:rPr>
        <w:t xml:space="preserve"> </w:t>
      </w:r>
      <w:r>
        <w:rPr>
          <w:rFonts w:asciiTheme="majorHAnsi" w:hAnsiTheme="majorHAnsi"/>
        </w:rPr>
        <w:t>znižovať riziko chudoby,</w:t>
      </w:r>
    </w:p>
    <w:p w:rsidR="007146BC" w:rsidRDefault="007146BC" w:rsidP="009B7C77">
      <w:pPr>
        <w:pStyle w:val="Odsekzoznamu"/>
        <w:numPr>
          <w:ilvl w:val="0"/>
          <w:numId w:val="28"/>
        </w:numPr>
        <w:rPr>
          <w:rFonts w:asciiTheme="majorHAnsi" w:hAnsiTheme="majorHAnsi"/>
        </w:rPr>
      </w:pPr>
      <w:r>
        <w:rPr>
          <w:rFonts w:asciiTheme="majorHAnsi" w:hAnsiTheme="majorHAnsi"/>
        </w:rPr>
        <w:t>rozšíriť príležitosti na vznik miestnych trhov a tvorbu krátkych produkčno-spotrebiteľských reťazcov (napr. potravinových),</w:t>
      </w:r>
    </w:p>
    <w:p w:rsidR="007146BC" w:rsidRDefault="007146BC" w:rsidP="009B7C77">
      <w:pPr>
        <w:pStyle w:val="Odsekzoznamu"/>
        <w:numPr>
          <w:ilvl w:val="0"/>
          <w:numId w:val="28"/>
        </w:numPr>
        <w:rPr>
          <w:rFonts w:asciiTheme="majorHAnsi" w:hAnsiTheme="majorHAnsi"/>
        </w:rPr>
      </w:pPr>
      <w:r>
        <w:rPr>
          <w:rFonts w:asciiTheme="majorHAnsi" w:hAnsiTheme="majorHAnsi"/>
        </w:rPr>
        <w:t>rozvinúť miestnu ekonomiku a zlepšiť zavádzanie inovácií na miestnej úrovni,</w:t>
      </w:r>
    </w:p>
    <w:p w:rsidR="007146BC" w:rsidRDefault="007146BC" w:rsidP="009B7C77">
      <w:pPr>
        <w:pStyle w:val="Odsekzoznamu"/>
        <w:numPr>
          <w:ilvl w:val="0"/>
          <w:numId w:val="28"/>
        </w:numPr>
        <w:rPr>
          <w:rFonts w:asciiTheme="majorHAnsi" w:hAnsiTheme="majorHAnsi"/>
        </w:rPr>
      </w:pPr>
      <w:r>
        <w:rPr>
          <w:rFonts w:asciiTheme="majorHAnsi" w:hAnsiTheme="majorHAnsi"/>
        </w:rPr>
        <w:t>zlepšiť využívanie zdrojov vo vidieckych oblastiach, napr. prírodno-kultúrneho dedičstva.</w:t>
      </w:r>
    </w:p>
    <w:p w:rsidR="007146BC" w:rsidRDefault="007146BC" w:rsidP="007146BC">
      <w:pPr>
        <w:rPr>
          <w:rFonts w:asciiTheme="majorHAnsi" w:hAnsiTheme="majorHAnsi"/>
        </w:rPr>
      </w:pPr>
      <w:r>
        <w:rPr>
          <w:rFonts w:asciiTheme="majorHAnsi" w:hAnsiTheme="majorHAnsi"/>
        </w:rPr>
        <w:t>B.</w:t>
      </w:r>
      <w:r>
        <w:rPr>
          <w:rFonts w:asciiTheme="majorHAnsi" w:hAnsiTheme="majorHAnsi"/>
        </w:rPr>
        <w:tab/>
        <w:t>Zvýšenie kvality života</w:t>
      </w:r>
    </w:p>
    <w:p w:rsidR="007146BC" w:rsidRDefault="007146BC" w:rsidP="009B7C77">
      <w:pPr>
        <w:pStyle w:val="Odsekzoznamu"/>
        <w:numPr>
          <w:ilvl w:val="0"/>
          <w:numId w:val="29"/>
        </w:numPr>
        <w:rPr>
          <w:rFonts w:asciiTheme="majorHAnsi" w:hAnsiTheme="majorHAnsi"/>
        </w:rPr>
      </w:pPr>
      <w:r>
        <w:rPr>
          <w:rFonts w:asciiTheme="majorHAnsi" w:hAnsiTheme="majorHAnsi"/>
        </w:rPr>
        <w:t>zlepšiť sociálnu a technickú infraštruktúru vo vidieckych oblastiach,</w:t>
      </w:r>
    </w:p>
    <w:p w:rsidR="007146BC" w:rsidRDefault="007146BC" w:rsidP="009B7C77">
      <w:pPr>
        <w:pStyle w:val="Odsekzoznamu"/>
        <w:numPr>
          <w:ilvl w:val="0"/>
          <w:numId w:val="29"/>
        </w:numPr>
        <w:rPr>
          <w:rFonts w:asciiTheme="majorHAnsi" w:hAnsiTheme="majorHAnsi"/>
        </w:rPr>
      </w:pPr>
      <w:r>
        <w:rPr>
          <w:rFonts w:asciiTheme="majorHAnsi" w:hAnsiTheme="majorHAnsi"/>
        </w:rPr>
        <w:t>zvýšiť atraktivitu územia pre obyvateľov a zlepšiť možnosti alternatívneho trávenia voľného času,</w:t>
      </w:r>
    </w:p>
    <w:p w:rsidR="007146BC" w:rsidRDefault="007146BC" w:rsidP="009B7C77">
      <w:pPr>
        <w:pStyle w:val="Odsekzoznamu"/>
        <w:numPr>
          <w:ilvl w:val="0"/>
          <w:numId w:val="29"/>
        </w:numPr>
        <w:rPr>
          <w:rFonts w:asciiTheme="majorHAnsi" w:hAnsiTheme="majorHAnsi"/>
        </w:rPr>
      </w:pPr>
      <w:r>
        <w:rPr>
          <w:rFonts w:asciiTheme="majorHAnsi" w:hAnsiTheme="majorHAnsi"/>
        </w:rPr>
        <w:t>zvýšiť povedomie o hodnotách kultúrneho dedičstva a o ochrane prírodných zdrojov vo vidieckych oblastiach,</w:t>
      </w:r>
    </w:p>
    <w:p w:rsidR="007146BC" w:rsidRDefault="007146BC" w:rsidP="009B7C77">
      <w:pPr>
        <w:pStyle w:val="Odsekzoznamu"/>
        <w:numPr>
          <w:ilvl w:val="0"/>
          <w:numId w:val="29"/>
        </w:numPr>
        <w:rPr>
          <w:rFonts w:asciiTheme="majorHAnsi" w:hAnsiTheme="majorHAnsi"/>
        </w:rPr>
      </w:pPr>
      <w:r>
        <w:rPr>
          <w:rFonts w:asciiTheme="majorHAnsi" w:hAnsiTheme="majorHAnsi"/>
        </w:rPr>
        <w:t>zvýšiť odolnosť a</w:t>
      </w:r>
      <w:r w:rsidR="00783F54">
        <w:rPr>
          <w:rFonts w:asciiTheme="majorHAnsi" w:hAnsiTheme="majorHAnsi"/>
        </w:rPr>
        <w:t> </w:t>
      </w:r>
      <w:r>
        <w:rPr>
          <w:rFonts w:asciiTheme="majorHAnsi" w:hAnsiTheme="majorHAnsi"/>
        </w:rPr>
        <w:t>ochranu</w:t>
      </w:r>
      <w:r w:rsidR="00783F54">
        <w:rPr>
          <w:rFonts w:asciiTheme="majorHAnsi" w:hAnsiTheme="majorHAnsi"/>
        </w:rPr>
        <w:t xml:space="preserve"> </w:t>
      </w:r>
      <w:r>
        <w:rPr>
          <w:rFonts w:asciiTheme="majorHAnsi" w:hAnsiTheme="majorHAnsi"/>
        </w:rPr>
        <w:t xml:space="preserve">voči živelným </w:t>
      </w:r>
      <w:r w:rsidR="00FF0DFB">
        <w:rPr>
          <w:rFonts w:asciiTheme="majorHAnsi" w:hAnsiTheme="majorHAnsi"/>
        </w:rPr>
        <w:t xml:space="preserve">mimoriadnym udalostiam </w:t>
      </w:r>
      <w:r>
        <w:rPr>
          <w:rFonts w:asciiTheme="majorHAnsi" w:hAnsiTheme="majorHAnsi"/>
        </w:rPr>
        <w:t>vo vidieckych oblastiach,</w:t>
      </w:r>
    </w:p>
    <w:p w:rsidR="007146BC" w:rsidRDefault="007146BC" w:rsidP="009B7C77">
      <w:pPr>
        <w:pStyle w:val="Odsekzoznamu"/>
        <w:numPr>
          <w:ilvl w:val="0"/>
          <w:numId w:val="29"/>
        </w:numPr>
        <w:rPr>
          <w:rFonts w:asciiTheme="majorHAnsi" w:hAnsiTheme="majorHAnsi"/>
        </w:rPr>
      </w:pPr>
      <w:r>
        <w:rPr>
          <w:rFonts w:asciiTheme="majorHAnsi" w:hAnsiTheme="majorHAnsi"/>
        </w:rPr>
        <w:t>zlepšiť zavádzanie nových progresívnych (zelených) technológií a inovácií vo vidieckych oblastiach,</w:t>
      </w:r>
    </w:p>
    <w:p w:rsidR="007146BC" w:rsidRDefault="007146BC" w:rsidP="009B7C77">
      <w:pPr>
        <w:pStyle w:val="Odsekzoznamu"/>
        <w:numPr>
          <w:ilvl w:val="0"/>
          <w:numId w:val="29"/>
        </w:numPr>
        <w:rPr>
          <w:rFonts w:asciiTheme="majorHAnsi" w:hAnsiTheme="majorHAnsi"/>
        </w:rPr>
      </w:pPr>
      <w:r>
        <w:rPr>
          <w:rFonts w:asciiTheme="majorHAnsi" w:hAnsiTheme="majorHAnsi"/>
        </w:rPr>
        <w:t>zvýšiť podporu sociálnej inklúzie a</w:t>
      </w:r>
      <w:r w:rsidR="00783F54">
        <w:rPr>
          <w:rFonts w:asciiTheme="majorHAnsi" w:hAnsiTheme="majorHAnsi"/>
        </w:rPr>
        <w:t> </w:t>
      </w:r>
      <w:r>
        <w:rPr>
          <w:rFonts w:asciiTheme="majorHAnsi" w:hAnsiTheme="majorHAnsi"/>
        </w:rPr>
        <w:t>zmierniť</w:t>
      </w:r>
      <w:r w:rsidR="00783F54">
        <w:rPr>
          <w:rFonts w:asciiTheme="majorHAnsi" w:hAnsiTheme="majorHAnsi"/>
        </w:rPr>
        <w:t xml:space="preserve"> </w:t>
      </w:r>
      <w:r>
        <w:rPr>
          <w:rFonts w:asciiTheme="majorHAnsi" w:hAnsiTheme="majorHAnsi"/>
        </w:rPr>
        <w:t>chudobu a zvýšiť hospodársky rast vo vidieckych oblastiach.</w:t>
      </w:r>
    </w:p>
    <w:p w:rsidR="007146BC" w:rsidRDefault="007146BC" w:rsidP="009B7C77">
      <w:pPr>
        <w:numPr>
          <w:ilvl w:val="0"/>
          <w:numId w:val="25"/>
        </w:numPr>
        <w:ind w:hanging="720"/>
        <w:contextualSpacing/>
        <w:rPr>
          <w:rFonts w:asciiTheme="majorHAnsi" w:hAnsiTheme="majorHAnsi"/>
          <w:szCs w:val="22"/>
        </w:rPr>
      </w:pPr>
      <w:r>
        <w:rPr>
          <w:rFonts w:asciiTheme="majorHAnsi" w:hAnsiTheme="majorHAnsi"/>
          <w:szCs w:val="22"/>
        </w:rPr>
        <w:t>Zlepš</w:t>
      </w:r>
      <w:r w:rsidR="002C32D0">
        <w:rPr>
          <w:rFonts w:asciiTheme="majorHAnsi" w:hAnsiTheme="majorHAnsi"/>
          <w:szCs w:val="22"/>
        </w:rPr>
        <w:t>enie</w:t>
      </w:r>
      <w:r>
        <w:rPr>
          <w:rFonts w:asciiTheme="majorHAnsi" w:hAnsiTheme="majorHAnsi"/>
          <w:szCs w:val="22"/>
        </w:rPr>
        <w:t xml:space="preserve"> infraštruktúr</w:t>
      </w:r>
      <w:r w:rsidR="002C32D0">
        <w:rPr>
          <w:rFonts w:asciiTheme="majorHAnsi" w:hAnsiTheme="majorHAnsi"/>
          <w:szCs w:val="22"/>
        </w:rPr>
        <w:t>y</w:t>
      </w:r>
      <w:r>
        <w:rPr>
          <w:rFonts w:asciiTheme="majorHAnsi" w:hAnsiTheme="majorHAnsi"/>
          <w:szCs w:val="22"/>
        </w:rPr>
        <w:t xml:space="preserve"> miestnych služieb </w:t>
      </w:r>
      <w:r>
        <w:rPr>
          <w:rFonts w:asciiTheme="majorHAnsi" w:hAnsiTheme="majorHAnsi"/>
        </w:rPr>
        <w:t>vo vidieckych oblastiach</w:t>
      </w:r>
    </w:p>
    <w:p w:rsidR="002C32D0" w:rsidRDefault="007146BC" w:rsidP="009B7C77">
      <w:pPr>
        <w:pStyle w:val="Odsekzoznamu"/>
        <w:widowControl w:val="0"/>
        <w:numPr>
          <w:ilvl w:val="0"/>
          <w:numId w:val="30"/>
        </w:numPr>
        <w:suppressAutoHyphens/>
        <w:spacing w:after="142"/>
        <w:rPr>
          <w:rFonts w:asciiTheme="majorHAnsi" w:eastAsia="SimSun" w:hAnsiTheme="majorHAnsi" w:cs="Calibri"/>
          <w:iCs/>
          <w:kern w:val="2"/>
          <w:szCs w:val="22"/>
          <w:lang w:eastAsia="zh-CN" w:bidi="hi-IN"/>
        </w:rPr>
      </w:pPr>
      <w:r w:rsidRPr="00591252">
        <w:rPr>
          <w:rFonts w:asciiTheme="majorHAnsi" w:eastAsia="SimSun" w:hAnsiTheme="majorHAnsi" w:cs="Calibri"/>
          <w:iCs/>
          <w:kern w:val="2"/>
          <w:szCs w:val="22"/>
          <w:lang w:eastAsia="zh-CN" w:bidi="hi-IN"/>
        </w:rPr>
        <w:t>zvýšiť efektívnosť, kvalitu a diverzitu miestnych služieb,</w:t>
      </w:r>
    </w:p>
    <w:p w:rsidR="007146BC" w:rsidRPr="00591252" w:rsidRDefault="007146BC" w:rsidP="009B7C77">
      <w:pPr>
        <w:pStyle w:val="Odsekzoznamu"/>
        <w:widowControl w:val="0"/>
        <w:numPr>
          <w:ilvl w:val="0"/>
          <w:numId w:val="30"/>
        </w:numPr>
        <w:suppressAutoHyphens/>
        <w:spacing w:after="142"/>
        <w:rPr>
          <w:rFonts w:asciiTheme="majorHAnsi" w:eastAsia="SimSun" w:hAnsiTheme="majorHAnsi" w:cs="Calibri"/>
          <w:iCs/>
          <w:kern w:val="2"/>
          <w:szCs w:val="22"/>
          <w:lang w:eastAsia="zh-CN" w:bidi="hi-IN"/>
        </w:rPr>
      </w:pPr>
      <w:r w:rsidRPr="00591252">
        <w:rPr>
          <w:rFonts w:asciiTheme="majorHAnsi" w:eastAsia="SimSun" w:hAnsiTheme="majorHAnsi" w:cs="Calibri"/>
          <w:iCs/>
          <w:kern w:val="2"/>
          <w:szCs w:val="22"/>
          <w:lang w:eastAsia="zh-CN" w:bidi="hi-IN"/>
        </w:rPr>
        <w:t>zvýšiť mieru zapojenia miestnych partnerov do prípravy a</w:t>
      </w:r>
      <w:r w:rsidR="00783F54">
        <w:rPr>
          <w:rFonts w:asciiTheme="majorHAnsi" w:eastAsia="SimSun" w:hAnsiTheme="majorHAnsi" w:cs="Calibri"/>
          <w:iCs/>
          <w:kern w:val="2"/>
          <w:szCs w:val="22"/>
          <w:lang w:eastAsia="zh-CN" w:bidi="hi-IN"/>
        </w:rPr>
        <w:t> </w:t>
      </w:r>
      <w:r w:rsidRPr="00591252">
        <w:rPr>
          <w:rFonts w:asciiTheme="majorHAnsi" w:eastAsia="SimSun" w:hAnsiTheme="majorHAnsi" w:cs="Calibri"/>
          <w:iCs/>
          <w:kern w:val="2"/>
          <w:szCs w:val="22"/>
          <w:lang w:eastAsia="zh-CN" w:bidi="hi-IN"/>
        </w:rPr>
        <w:t>implementácie</w:t>
      </w:r>
      <w:r w:rsidR="00783F54">
        <w:rPr>
          <w:rFonts w:asciiTheme="majorHAnsi" w:eastAsia="SimSun" w:hAnsiTheme="majorHAnsi" w:cs="Calibri"/>
          <w:iCs/>
          <w:kern w:val="2"/>
          <w:szCs w:val="22"/>
          <w:lang w:eastAsia="zh-CN" w:bidi="hi-IN"/>
        </w:rPr>
        <w:t xml:space="preserve"> </w:t>
      </w:r>
      <w:r w:rsidRPr="00591252">
        <w:rPr>
          <w:rFonts w:asciiTheme="majorHAnsi" w:eastAsia="SimSun" w:hAnsiTheme="majorHAnsi" w:cs="Calibri"/>
          <w:iCs/>
          <w:kern w:val="2"/>
          <w:szCs w:val="22"/>
          <w:lang w:eastAsia="zh-CN" w:bidi="hi-IN"/>
        </w:rPr>
        <w:t>projektov a znížiť dominanciu podpory subjektov verejného sektora.</w:t>
      </w:r>
    </w:p>
    <w:p w:rsidR="00475CDF" w:rsidRPr="00475CDF" w:rsidRDefault="00475CDF" w:rsidP="00475CDF">
      <w:pPr>
        <w:spacing w:after="113"/>
        <w:rPr>
          <w:rFonts w:asciiTheme="majorHAnsi" w:hAnsiTheme="majorHAnsi"/>
          <w:szCs w:val="22"/>
        </w:rPr>
      </w:pPr>
      <w:r w:rsidRPr="00475CDF">
        <w:rPr>
          <w:rFonts w:asciiTheme="majorHAnsi" w:hAnsiTheme="majorHAnsi"/>
          <w:szCs w:val="22"/>
        </w:rPr>
        <w:t xml:space="preserve">Medzi hlavné prioritné oblasti </w:t>
      </w:r>
      <w:r w:rsidR="007146BC">
        <w:rPr>
          <w:rFonts w:asciiTheme="majorHAnsi" w:hAnsiTheme="majorHAnsi"/>
          <w:szCs w:val="22"/>
        </w:rPr>
        <w:t>realizované</w:t>
      </w:r>
      <w:r w:rsidR="007146BC" w:rsidRPr="00475CDF">
        <w:rPr>
          <w:rFonts w:asciiTheme="majorHAnsi" w:hAnsiTheme="majorHAnsi"/>
          <w:szCs w:val="22"/>
        </w:rPr>
        <w:t xml:space="preserve"> </w:t>
      </w:r>
      <w:r w:rsidRPr="00475CDF">
        <w:rPr>
          <w:rFonts w:asciiTheme="majorHAnsi" w:hAnsiTheme="majorHAnsi"/>
          <w:szCs w:val="22"/>
        </w:rPr>
        <w:t>prostredníctvom prístupu CLLD patria:</w:t>
      </w:r>
    </w:p>
    <w:p w:rsidR="00475CDF" w:rsidRPr="00475CDF" w:rsidRDefault="00475CDF" w:rsidP="009B7C77">
      <w:pPr>
        <w:numPr>
          <w:ilvl w:val="0"/>
          <w:numId w:val="26"/>
        </w:numPr>
        <w:spacing w:after="113"/>
        <w:contextualSpacing/>
        <w:rPr>
          <w:rFonts w:asciiTheme="majorHAnsi" w:hAnsiTheme="majorHAnsi"/>
          <w:szCs w:val="22"/>
        </w:rPr>
      </w:pPr>
      <w:r w:rsidRPr="00475CDF">
        <w:rPr>
          <w:rFonts w:asciiTheme="majorHAnsi" w:hAnsiTheme="majorHAnsi"/>
          <w:szCs w:val="22"/>
        </w:rPr>
        <w:lastRenderedPageBreak/>
        <w:t xml:space="preserve">rozvoj miestnej ekonomiky a zamestnanosti využitím miestnych zdrojov a zavádzanie inovácií </w:t>
      </w:r>
      <w:r w:rsidRPr="00475CDF">
        <w:rPr>
          <w:rFonts w:asciiTheme="majorHAnsi" w:hAnsiTheme="majorHAnsi"/>
        </w:rPr>
        <w:t xml:space="preserve">vo vidieckych oblastiach, </w:t>
      </w:r>
      <w:r w:rsidRPr="00475CDF">
        <w:rPr>
          <w:rFonts w:asciiTheme="majorHAnsi" w:hAnsiTheme="majorHAnsi"/>
          <w:szCs w:val="22"/>
        </w:rPr>
        <w:t>ako aj podpora rôznych foriem zamestnávania vo vidieckych oblastiach,</w:t>
      </w:r>
    </w:p>
    <w:p w:rsidR="00475CDF" w:rsidRPr="00475CDF" w:rsidRDefault="00475CDF" w:rsidP="009B7C77">
      <w:pPr>
        <w:numPr>
          <w:ilvl w:val="0"/>
          <w:numId w:val="26"/>
        </w:numPr>
        <w:spacing w:after="113"/>
        <w:contextualSpacing/>
        <w:rPr>
          <w:rFonts w:asciiTheme="majorHAnsi" w:hAnsiTheme="majorHAnsi"/>
          <w:szCs w:val="22"/>
        </w:rPr>
      </w:pPr>
      <w:r w:rsidRPr="00475CDF">
        <w:rPr>
          <w:rFonts w:asciiTheme="majorHAnsi" w:hAnsiTheme="majorHAnsi"/>
          <w:szCs w:val="22"/>
        </w:rPr>
        <w:t xml:space="preserve">ochrana životného prostredia, adaptácia na dôsledky </w:t>
      </w:r>
      <w:r w:rsidR="00B951F4">
        <w:rPr>
          <w:rFonts w:asciiTheme="majorHAnsi" w:hAnsiTheme="majorHAnsi"/>
          <w:szCs w:val="22"/>
        </w:rPr>
        <w:t xml:space="preserve">zmeny </w:t>
      </w:r>
      <w:r w:rsidRPr="00475CDF">
        <w:rPr>
          <w:rFonts w:asciiTheme="majorHAnsi" w:hAnsiTheme="majorHAnsi"/>
          <w:szCs w:val="22"/>
        </w:rPr>
        <w:t>kl</w:t>
      </w:r>
      <w:r w:rsidR="00B951F4">
        <w:rPr>
          <w:rFonts w:asciiTheme="majorHAnsi" w:hAnsiTheme="majorHAnsi"/>
          <w:szCs w:val="22"/>
        </w:rPr>
        <w:t>ímy</w:t>
      </w:r>
      <w:r w:rsidRPr="00475CDF">
        <w:rPr>
          <w:rFonts w:asciiTheme="majorHAnsi" w:hAnsiTheme="majorHAnsi"/>
          <w:szCs w:val="22"/>
        </w:rPr>
        <w:t xml:space="preserve">, efektívne a udržateľné hospodárenie so zdrojmi </w:t>
      </w:r>
      <w:r w:rsidRPr="00475CDF">
        <w:rPr>
          <w:rFonts w:asciiTheme="majorHAnsi" w:hAnsiTheme="majorHAnsi"/>
        </w:rPr>
        <w:t>vo vidieckych oblastiach</w:t>
      </w:r>
      <w:r w:rsidRPr="00475CDF">
        <w:rPr>
          <w:rFonts w:asciiTheme="majorHAnsi" w:hAnsiTheme="majorHAnsi"/>
          <w:szCs w:val="22"/>
        </w:rPr>
        <w:t>,</w:t>
      </w:r>
    </w:p>
    <w:p w:rsidR="00475CDF" w:rsidRPr="00475CDF" w:rsidRDefault="00475CDF" w:rsidP="009B7C77">
      <w:pPr>
        <w:numPr>
          <w:ilvl w:val="0"/>
          <w:numId w:val="26"/>
        </w:numPr>
        <w:spacing w:after="113"/>
        <w:contextualSpacing/>
        <w:rPr>
          <w:rFonts w:asciiTheme="majorHAnsi" w:hAnsiTheme="majorHAnsi"/>
          <w:szCs w:val="22"/>
        </w:rPr>
      </w:pPr>
      <w:r w:rsidRPr="00475CDF">
        <w:rPr>
          <w:rFonts w:asciiTheme="majorHAnsi" w:hAnsiTheme="majorHAnsi"/>
          <w:szCs w:val="22"/>
        </w:rPr>
        <w:t>budovanie kapacít a rozvoj občianskej spoločnosti v regióne,</w:t>
      </w:r>
    </w:p>
    <w:p w:rsidR="00475CDF" w:rsidRPr="00475CDF" w:rsidRDefault="00475CDF" w:rsidP="009B7C77">
      <w:pPr>
        <w:numPr>
          <w:ilvl w:val="0"/>
          <w:numId w:val="26"/>
        </w:numPr>
        <w:spacing w:after="113"/>
        <w:contextualSpacing/>
        <w:rPr>
          <w:rFonts w:asciiTheme="majorHAnsi" w:hAnsiTheme="majorHAnsi"/>
          <w:szCs w:val="22"/>
        </w:rPr>
      </w:pPr>
      <w:r w:rsidRPr="00475CDF">
        <w:rPr>
          <w:rFonts w:asciiTheme="majorHAnsi" w:hAnsiTheme="majorHAnsi"/>
          <w:szCs w:val="22"/>
        </w:rPr>
        <w:t>zvýšenie kvality a bezpečnosti vybavenosti a fyzickej regenerácie vidieckych oblastí.</w:t>
      </w:r>
    </w:p>
    <w:p w:rsidR="00475CDF" w:rsidRPr="00475CDF" w:rsidRDefault="00475CDF" w:rsidP="00174E83">
      <w:pPr>
        <w:spacing w:before="240"/>
        <w:rPr>
          <w:rFonts w:asciiTheme="majorHAnsi" w:hAnsiTheme="majorHAnsi"/>
          <w:bCs/>
        </w:rPr>
      </w:pPr>
      <w:r w:rsidRPr="00475CDF">
        <w:rPr>
          <w:rFonts w:asciiTheme="majorHAnsi" w:hAnsiTheme="majorHAnsi"/>
          <w:bCs/>
        </w:rPr>
        <w:t>Uplatnenie prístupu CLLD bude primárne prispievať k TC9. Jednotlivé stratégie miestneho rozvoja budú môcť prispievať aj k ďalším tematickým cieľom v závislosti od stanovených cieľov miestnych stratégií, a to k tematickým cieľom 1, 2, 3, 4, 5, 6,</w:t>
      </w:r>
      <w:r w:rsidR="00730EE3">
        <w:rPr>
          <w:rFonts w:asciiTheme="majorHAnsi" w:hAnsiTheme="majorHAnsi"/>
          <w:bCs/>
        </w:rPr>
        <w:t>7,</w:t>
      </w:r>
      <w:r w:rsidRPr="00475CDF">
        <w:rPr>
          <w:rFonts w:asciiTheme="majorHAnsi" w:hAnsiTheme="majorHAnsi"/>
          <w:bCs/>
        </w:rPr>
        <w:t xml:space="preserve"> 8 a 10.</w:t>
      </w:r>
    </w:p>
    <w:p w:rsidR="00475CDF" w:rsidRPr="00475CDF" w:rsidRDefault="00475CDF" w:rsidP="00475CDF">
      <w:pPr>
        <w:rPr>
          <w:rFonts w:asciiTheme="majorHAnsi" w:hAnsiTheme="majorHAnsi"/>
          <w:b/>
        </w:rPr>
      </w:pPr>
      <w:r w:rsidRPr="00475CDF">
        <w:rPr>
          <w:rFonts w:asciiTheme="majorHAnsi" w:hAnsiTheme="majorHAnsi"/>
          <w:b/>
        </w:rPr>
        <w:t>Cieľové územie</w:t>
      </w:r>
    </w:p>
    <w:p w:rsidR="007146BC" w:rsidRDefault="00D854B5" w:rsidP="007146BC">
      <w:pPr>
        <w:autoSpaceDE w:val="0"/>
        <w:autoSpaceDN w:val="0"/>
        <w:adjustRightInd w:val="0"/>
        <w:spacing w:after="0"/>
        <w:rPr>
          <w:rFonts w:asciiTheme="majorHAnsi" w:hAnsiTheme="majorHAnsi"/>
        </w:rPr>
      </w:pPr>
      <w:r w:rsidRPr="00D854B5">
        <w:rPr>
          <w:rFonts w:asciiTheme="majorHAnsi" w:hAnsiTheme="majorHAnsi" w:cs="Calibri"/>
        </w:rPr>
        <w:t xml:space="preserve">Cieľovým územím pre CLLD je celé územie SR, t. </w:t>
      </w:r>
      <w:r w:rsidR="00B951F4">
        <w:rPr>
          <w:rFonts w:asciiTheme="majorHAnsi" w:hAnsiTheme="majorHAnsi" w:cs="Calibri"/>
        </w:rPr>
        <w:t>j</w:t>
      </w:r>
      <w:r w:rsidRPr="00D854B5">
        <w:rPr>
          <w:rFonts w:asciiTheme="majorHAnsi" w:hAnsiTheme="majorHAnsi" w:cs="Calibri"/>
        </w:rPr>
        <w:t>. vidiecke a</w:t>
      </w:r>
      <w:r w:rsidR="00783F54">
        <w:rPr>
          <w:rFonts w:asciiTheme="majorHAnsi" w:hAnsiTheme="majorHAnsi" w:cs="Calibri"/>
        </w:rPr>
        <w:t> </w:t>
      </w:r>
      <w:r w:rsidRPr="00D854B5">
        <w:rPr>
          <w:rFonts w:asciiTheme="majorHAnsi" w:hAnsiTheme="majorHAnsi" w:cs="Calibri"/>
        </w:rPr>
        <w:t xml:space="preserve">vidiecko-mestské oblasti. Na tomto území bude podporený vznik jedného typu MAS – vidiecke MAS. Vidieckosť MAS je ohraničená </w:t>
      </w:r>
      <w:r w:rsidR="00475CDF" w:rsidRPr="00475CDF">
        <w:rPr>
          <w:rFonts w:asciiTheme="majorHAnsi" w:hAnsiTheme="majorHAnsi" w:cs="Calibri"/>
        </w:rPr>
        <w:t xml:space="preserve">celkovou hustotou osídlenia </w:t>
      </w:r>
      <w:r>
        <w:rPr>
          <w:rFonts w:asciiTheme="majorHAnsi" w:hAnsiTheme="majorHAnsi" w:cs="Calibri"/>
        </w:rPr>
        <w:t>max.</w:t>
      </w:r>
      <w:r w:rsidRPr="00475CDF">
        <w:rPr>
          <w:rFonts w:asciiTheme="majorHAnsi" w:hAnsiTheme="majorHAnsi" w:cs="Calibri"/>
        </w:rPr>
        <w:t xml:space="preserve"> </w:t>
      </w:r>
      <w:r w:rsidR="00475CDF" w:rsidRPr="00475CDF">
        <w:rPr>
          <w:rFonts w:asciiTheme="majorHAnsi" w:hAnsiTheme="majorHAnsi" w:cs="Calibri"/>
        </w:rPr>
        <w:t>150 obyvateľov/km</w:t>
      </w:r>
      <w:r w:rsidR="00475CDF" w:rsidRPr="00475CDF">
        <w:rPr>
          <w:rFonts w:asciiTheme="majorHAnsi" w:hAnsiTheme="majorHAnsi" w:cs="Calibri"/>
          <w:vertAlign w:val="superscript"/>
        </w:rPr>
        <w:t>2</w:t>
      </w:r>
      <w:r w:rsidR="00475CDF" w:rsidRPr="00475CDF">
        <w:rPr>
          <w:rFonts w:asciiTheme="majorHAnsi" w:hAnsiTheme="majorHAnsi" w:cs="Calibri"/>
        </w:rPr>
        <w:t>.</w:t>
      </w:r>
      <w:r w:rsidR="00475CDF" w:rsidRPr="00475CDF">
        <w:rPr>
          <w:rFonts w:asciiTheme="majorHAnsi" w:hAnsiTheme="majorHAnsi" w:cs="Calibri"/>
          <w:vertAlign w:val="superscript"/>
        </w:rPr>
        <w:t xml:space="preserve"> </w:t>
      </w:r>
      <w:r>
        <w:rPr>
          <w:rFonts w:asciiTheme="majorHAnsi" w:hAnsiTheme="majorHAnsi" w:cs="Calibri"/>
        </w:rPr>
        <w:t>S</w:t>
      </w:r>
      <w:r w:rsidRPr="00475CDF">
        <w:rPr>
          <w:rFonts w:asciiTheme="majorHAnsi" w:hAnsiTheme="majorHAnsi" w:cs="Calibri"/>
        </w:rPr>
        <w:t>účasťou</w:t>
      </w:r>
      <w:r>
        <w:rPr>
          <w:rFonts w:asciiTheme="majorHAnsi" w:hAnsiTheme="majorHAnsi" w:cs="Calibri"/>
        </w:rPr>
        <w:t xml:space="preserve"> MAS</w:t>
      </w:r>
      <w:r w:rsidRPr="00475CDF">
        <w:rPr>
          <w:rFonts w:asciiTheme="majorHAnsi" w:hAnsiTheme="majorHAnsi" w:cs="Calibri"/>
        </w:rPr>
        <w:t xml:space="preserve"> </w:t>
      </w:r>
      <w:r w:rsidR="00475CDF" w:rsidRPr="00475CDF">
        <w:rPr>
          <w:rFonts w:asciiTheme="majorHAnsi" w:hAnsiTheme="majorHAnsi" w:cs="Calibri"/>
        </w:rPr>
        <w:t>môžu byť aj menšie, prípadne stredne veľké mestá, alebo mestské časti.</w:t>
      </w:r>
      <w:r>
        <w:rPr>
          <w:rFonts w:asciiTheme="majorHAnsi" w:hAnsiTheme="majorHAnsi" w:cs="Calibri"/>
        </w:rPr>
        <w:t xml:space="preserve"> </w:t>
      </w:r>
      <w:r w:rsidRPr="00D854B5">
        <w:rPr>
          <w:rFonts w:asciiTheme="majorHAnsi" w:hAnsiTheme="majorHAnsi" w:cs="Calibri"/>
        </w:rPr>
        <w:t>V</w:t>
      </w:r>
      <w:r w:rsidR="00783F54">
        <w:rPr>
          <w:rFonts w:asciiTheme="majorHAnsi" w:hAnsiTheme="majorHAnsi" w:cs="Calibri"/>
        </w:rPr>
        <w:t> </w:t>
      </w:r>
      <w:r w:rsidRPr="00D854B5">
        <w:rPr>
          <w:rFonts w:asciiTheme="majorHAnsi" w:hAnsiTheme="majorHAnsi" w:cs="Calibri"/>
        </w:rPr>
        <w:t>rámci</w:t>
      </w:r>
      <w:r w:rsidR="00783F54">
        <w:rPr>
          <w:rFonts w:asciiTheme="majorHAnsi" w:hAnsiTheme="majorHAnsi" w:cs="Calibri"/>
        </w:rPr>
        <w:t xml:space="preserve"> </w:t>
      </w:r>
      <w:r w:rsidRPr="00D854B5">
        <w:rPr>
          <w:rFonts w:asciiTheme="majorHAnsi" w:hAnsiTheme="majorHAnsi" w:cs="Calibri"/>
        </w:rPr>
        <w:t>územia MAS tak pôjde o</w:t>
      </w:r>
      <w:r w:rsidR="00783F54">
        <w:rPr>
          <w:rFonts w:asciiTheme="majorHAnsi" w:hAnsiTheme="majorHAnsi" w:cs="Calibri"/>
        </w:rPr>
        <w:t> </w:t>
      </w:r>
      <w:r w:rsidRPr="00D854B5">
        <w:rPr>
          <w:rFonts w:asciiTheme="majorHAnsi" w:hAnsiTheme="majorHAnsi" w:cs="Calibri"/>
        </w:rPr>
        <w:t>vidiecko-mestské prepojenia.</w:t>
      </w:r>
      <w:r w:rsidR="00475CDF" w:rsidRPr="00475CDF">
        <w:rPr>
          <w:rFonts w:asciiTheme="majorHAnsi" w:hAnsiTheme="majorHAnsi" w:cs="Calibri"/>
        </w:rPr>
        <w:t xml:space="preserve"> Kritériom pre oprávnenosť </w:t>
      </w:r>
      <w:r w:rsidR="00475CDF" w:rsidRPr="00475CDF">
        <w:rPr>
          <w:rFonts w:asciiTheme="majorHAnsi" w:hAnsiTheme="majorHAnsi" w:cs="TimesNewRoman"/>
          <w:szCs w:val="22"/>
        </w:rPr>
        <w:t xml:space="preserve">MAS </w:t>
      </w:r>
      <w:r w:rsidR="00475CDF" w:rsidRPr="00475CDF">
        <w:rPr>
          <w:rFonts w:asciiTheme="majorHAnsi" w:hAnsiTheme="majorHAnsi" w:cs="Calibri"/>
        </w:rPr>
        <w:t xml:space="preserve">je územie celej </w:t>
      </w:r>
      <w:r w:rsidR="00B951F4">
        <w:rPr>
          <w:rFonts w:asciiTheme="majorHAnsi" w:hAnsiTheme="majorHAnsi" w:cs="Calibri"/>
        </w:rPr>
        <w:t>MAS</w:t>
      </w:r>
      <w:r w:rsidR="00475CDF" w:rsidRPr="00475CDF">
        <w:rPr>
          <w:rFonts w:asciiTheme="majorHAnsi" w:hAnsiTheme="majorHAnsi" w:cs="Calibri"/>
        </w:rPr>
        <w:t xml:space="preserve">, nie územia (katastre) jej jednotlivých členov. </w:t>
      </w:r>
      <w:r w:rsidR="00475CDF" w:rsidRPr="00475CDF">
        <w:rPr>
          <w:rFonts w:asciiTheme="majorHAnsi" w:hAnsiTheme="majorHAnsi" w:cs="TimesNewRoman"/>
          <w:szCs w:val="22"/>
        </w:rPr>
        <w:t xml:space="preserve">Počet obyvateľov na území </w:t>
      </w:r>
      <w:r w:rsidR="00B951F4">
        <w:rPr>
          <w:rFonts w:asciiTheme="majorHAnsi" w:hAnsiTheme="majorHAnsi" w:cs="TimesNewRoman"/>
          <w:szCs w:val="22"/>
        </w:rPr>
        <w:t>MAS</w:t>
      </w:r>
      <w:r w:rsidR="00475CDF" w:rsidRPr="00475CDF">
        <w:rPr>
          <w:rFonts w:asciiTheme="majorHAnsi" w:hAnsiTheme="majorHAnsi" w:cs="TimesNewRoman"/>
          <w:szCs w:val="22"/>
        </w:rPr>
        <w:t xml:space="preserve"> musí byť vyšší ako 10 000 obyvateľov a</w:t>
      </w:r>
      <w:r w:rsidR="00783F54">
        <w:rPr>
          <w:rFonts w:asciiTheme="majorHAnsi" w:hAnsiTheme="majorHAnsi" w:cs="TimesNewRoman"/>
          <w:szCs w:val="22"/>
        </w:rPr>
        <w:t> </w:t>
      </w:r>
      <w:r w:rsidR="00475CDF" w:rsidRPr="00475CDF">
        <w:rPr>
          <w:rFonts w:asciiTheme="majorHAnsi" w:hAnsiTheme="majorHAnsi" w:cs="TimesNewRoman"/>
          <w:szCs w:val="22"/>
        </w:rPr>
        <w:t>nesmie</w:t>
      </w:r>
      <w:r w:rsidR="00783F54">
        <w:rPr>
          <w:rFonts w:asciiTheme="majorHAnsi" w:hAnsiTheme="majorHAnsi" w:cs="TimesNewRoman"/>
          <w:szCs w:val="22"/>
        </w:rPr>
        <w:t xml:space="preserve"> </w:t>
      </w:r>
      <w:r w:rsidR="00475CDF" w:rsidRPr="00475CDF">
        <w:rPr>
          <w:rFonts w:asciiTheme="majorHAnsi" w:hAnsiTheme="majorHAnsi" w:cs="TimesNewRoman"/>
          <w:szCs w:val="22"/>
        </w:rPr>
        <w:t xml:space="preserve">prekročiť počet 150 000 obyvateľov. </w:t>
      </w:r>
      <w:r w:rsidR="007146BC">
        <w:rPr>
          <w:rFonts w:asciiTheme="majorHAnsi" w:hAnsiTheme="majorHAnsi" w:cs="Calibri"/>
        </w:rPr>
        <w:t>V rámci CLLD budú ako oprávnení žiadatelia o podporu vylúčené obce nad 20 000 obyvateľov. Takéto obce/mestá, ako právnické osoby môžu byť členmi MAS, avšak oprávnenými žiadateľmi o</w:t>
      </w:r>
      <w:r w:rsidR="00783F54">
        <w:rPr>
          <w:rFonts w:asciiTheme="majorHAnsi" w:hAnsiTheme="majorHAnsi" w:cs="Calibri"/>
        </w:rPr>
        <w:t> </w:t>
      </w:r>
      <w:r w:rsidR="007146BC">
        <w:rPr>
          <w:rFonts w:asciiTheme="majorHAnsi" w:hAnsiTheme="majorHAnsi" w:cs="Calibri"/>
        </w:rPr>
        <w:t>podporu</w:t>
      </w:r>
      <w:r w:rsidR="00783F54">
        <w:rPr>
          <w:rFonts w:asciiTheme="majorHAnsi" w:hAnsiTheme="majorHAnsi" w:cs="Calibri"/>
        </w:rPr>
        <w:t xml:space="preserve"> </w:t>
      </w:r>
      <w:r w:rsidR="007146BC">
        <w:rPr>
          <w:rFonts w:asciiTheme="majorHAnsi" w:hAnsiTheme="majorHAnsi" w:cs="Calibri"/>
        </w:rPr>
        <w:t>budú môcť byť iba subjekty pôsobiace na ich území, resp. registrované na území danej obce/mesta.</w:t>
      </w:r>
      <w:r w:rsidR="00517F4C" w:rsidRPr="00517F4C">
        <w:rPr>
          <w:rFonts w:asciiTheme="majorHAnsi" w:hAnsiTheme="majorHAnsi" w:cs="Calibri"/>
        </w:rPr>
        <w:t xml:space="preserve"> </w:t>
      </w:r>
      <w:r w:rsidR="00517F4C" w:rsidRPr="00475CDF">
        <w:rPr>
          <w:rFonts w:asciiTheme="majorHAnsi" w:hAnsiTheme="majorHAnsi" w:cs="Calibri"/>
        </w:rPr>
        <w:t>Cieľom CLLD je posilnenie hospodárskej, sociálnej a</w:t>
      </w:r>
      <w:r w:rsidR="00783F54">
        <w:rPr>
          <w:rFonts w:asciiTheme="majorHAnsi" w:hAnsiTheme="majorHAnsi" w:cs="Calibri"/>
        </w:rPr>
        <w:t> </w:t>
      </w:r>
      <w:r w:rsidR="00517F4C" w:rsidRPr="00475CDF">
        <w:rPr>
          <w:rFonts w:asciiTheme="majorHAnsi" w:hAnsiTheme="majorHAnsi" w:cs="Calibri"/>
        </w:rPr>
        <w:t>územnej</w:t>
      </w:r>
      <w:r w:rsidR="00783F54">
        <w:rPr>
          <w:rFonts w:asciiTheme="majorHAnsi" w:hAnsiTheme="majorHAnsi" w:cs="Calibri"/>
        </w:rPr>
        <w:t xml:space="preserve"> </w:t>
      </w:r>
      <w:r w:rsidR="00517F4C" w:rsidRPr="00475CDF">
        <w:rPr>
          <w:rFonts w:asciiTheme="majorHAnsi" w:hAnsiTheme="majorHAnsi" w:cs="Calibri"/>
        </w:rPr>
        <w:t>súdržnosti prevažne vidieckeho územia a zaistenie dlhodobého udržateľného rozvoja územia s riešením vzťahov medzi vidieckymi rozvojovými centrami a ich funkčným zázemím</w:t>
      </w:r>
      <w:r w:rsidR="00FC03C1">
        <w:rPr>
          <w:rFonts w:asciiTheme="majorHAnsi" w:hAnsiTheme="majorHAnsi" w:cs="Calibri"/>
        </w:rPr>
        <w:t>, a</w:t>
      </w:r>
      <w:r w:rsidR="00783F54">
        <w:rPr>
          <w:rFonts w:asciiTheme="majorHAnsi" w:hAnsiTheme="majorHAnsi" w:cs="Calibri"/>
        </w:rPr>
        <w:t> </w:t>
      </w:r>
      <w:r w:rsidR="00FC03C1">
        <w:rPr>
          <w:rFonts w:asciiTheme="majorHAnsi" w:hAnsiTheme="majorHAnsi" w:cs="Calibri"/>
        </w:rPr>
        <w:t>to</w:t>
      </w:r>
      <w:r w:rsidR="00783F54">
        <w:rPr>
          <w:rFonts w:asciiTheme="majorHAnsi" w:hAnsiTheme="majorHAnsi" w:cs="Calibri"/>
        </w:rPr>
        <w:t xml:space="preserve"> </w:t>
      </w:r>
      <w:r w:rsidR="00FC03C1" w:rsidRPr="00475CDF">
        <w:rPr>
          <w:rFonts w:asciiTheme="majorHAnsi" w:hAnsiTheme="majorHAnsi"/>
        </w:rPr>
        <w:t>prostredníctvom multifondového miestneho rozvoja vedeného komunitou</w:t>
      </w:r>
      <w:r w:rsidR="00FC03C1">
        <w:rPr>
          <w:rFonts w:asciiTheme="majorHAnsi" w:hAnsiTheme="majorHAnsi"/>
        </w:rPr>
        <w:t xml:space="preserve"> s</w:t>
      </w:r>
      <w:r w:rsidR="00783F54">
        <w:rPr>
          <w:rFonts w:asciiTheme="majorHAnsi" w:hAnsiTheme="majorHAnsi"/>
        </w:rPr>
        <w:t> </w:t>
      </w:r>
      <w:r w:rsidR="00FC03C1">
        <w:rPr>
          <w:rFonts w:asciiTheme="majorHAnsi" w:hAnsiTheme="majorHAnsi"/>
        </w:rPr>
        <w:t>potenciálom</w:t>
      </w:r>
      <w:r w:rsidR="00783F54">
        <w:rPr>
          <w:rFonts w:asciiTheme="majorHAnsi" w:hAnsiTheme="majorHAnsi"/>
        </w:rPr>
        <w:t xml:space="preserve"> </w:t>
      </w:r>
      <w:r w:rsidR="00FC03C1">
        <w:rPr>
          <w:rFonts w:asciiTheme="majorHAnsi" w:hAnsiTheme="majorHAnsi"/>
        </w:rPr>
        <w:t>komplementarity k</w:t>
      </w:r>
      <w:r w:rsidR="00783F54">
        <w:rPr>
          <w:rFonts w:asciiTheme="majorHAnsi" w:hAnsiTheme="majorHAnsi"/>
        </w:rPr>
        <w:t> integrovaným územným investíciám (ďalej len „</w:t>
      </w:r>
      <w:r w:rsidR="00FC03C1">
        <w:rPr>
          <w:rFonts w:asciiTheme="majorHAnsi" w:hAnsiTheme="majorHAnsi"/>
        </w:rPr>
        <w:t>IÚI</w:t>
      </w:r>
      <w:r w:rsidR="00783F54">
        <w:rPr>
          <w:rFonts w:asciiTheme="majorHAnsi" w:hAnsiTheme="majorHAnsi"/>
        </w:rPr>
        <w:t>“)</w:t>
      </w:r>
      <w:r w:rsidR="00FC03C1">
        <w:rPr>
          <w:rFonts w:asciiTheme="majorHAnsi" w:hAnsiTheme="majorHAnsi"/>
        </w:rPr>
        <w:t xml:space="preserve"> a</w:t>
      </w:r>
      <w:r w:rsidR="00783F54">
        <w:rPr>
          <w:rFonts w:asciiTheme="majorHAnsi" w:hAnsiTheme="majorHAnsi"/>
        </w:rPr>
        <w:t> udržateľnému mestskému rozvoju (ďalej len „</w:t>
      </w:r>
      <w:r w:rsidR="00FC03C1">
        <w:rPr>
          <w:rFonts w:asciiTheme="majorHAnsi" w:hAnsiTheme="majorHAnsi"/>
        </w:rPr>
        <w:t>UMR</w:t>
      </w:r>
      <w:r w:rsidR="00783F54">
        <w:rPr>
          <w:rFonts w:asciiTheme="majorHAnsi" w:hAnsiTheme="majorHAnsi"/>
        </w:rPr>
        <w:t>“)</w:t>
      </w:r>
      <w:r w:rsidR="00FC03C1" w:rsidRPr="00475CDF">
        <w:rPr>
          <w:rFonts w:asciiTheme="majorHAnsi" w:hAnsiTheme="majorHAnsi"/>
        </w:rPr>
        <w:t>.</w:t>
      </w:r>
    </w:p>
    <w:p w:rsidR="00475CDF" w:rsidRPr="00475CDF" w:rsidRDefault="00475CDF" w:rsidP="001C0BBB">
      <w:pPr>
        <w:autoSpaceDE w:val="0"/>
        <w:autoSpaceDN w:val="0"/>
        <w:adjustRightInd w:val="0"/>
        <w:spacing w:before="240"/>
        <w:rPr>
          <w:rFonts w:asciiTheme="majorHAnsi" w:hAnsiTheme="majorHAnsi"/>
          <w:b/>
        </w:rPr>
      </w:pPr>
      <w:r w:rsidRPr="00475CDF">
        <w:rPr>
          <w:rFonts w:asciiTheme="majorHAnsi" w:hAnsiTheme="majorHAnsi"/>
          <w:b/>
        </w:rPr>
        <w:t>Identifikácia EŠIF použitých pre CLLD a ich alokácia</w:t>
      </w:r>
    </w:p>
    <w:p w:rsidR="00475CDF" w:rsidRDefault="00475CDF" w:rsidP="00475CDF">
      <w:pPr>
        <w:rPr>
          <w:rFonts w:asciiTheme="majorHAnsi" w:hAnsiTheme="majorHAnsi"/>
        </w:rPr>
      </w:pPr>
      <w:r w:rsidRPr="00475CDF">
        <w:rPr>
          <w:rFonts w:asciiTheme="majorHAnsi" w:hAnsiTheme="majorHAnsi"/>
        </w:rPr>
        <w:t>Na podporu CLLD sa bude využívať EPFRV</w:t>
      </w:r>
      <w:r w:rsidR="007146BC">
        <w:rPr>
          <w:rFonts w:asciiTheme="majorHAnsi" w:hAnsiTheme="majorHAnsi"/>
        </w:rPr>
        <w:t>, a</w:t>
      </w:r>
      <w:r w:rsidR="00783F54">
        <w:rPr>
          <w:rFonts w:asciiTheme="majorHAnsi" w:hAnsiTheme="majorHAnsi"/>
        </w:rPr>
        <w:t> </w:t>
      </w:r>
      <w:r w:rsidR="007146BC">
        <w:rPr>
          <w:rFonts w:asciiTheme="majorHAnsi" w:hAnsiTheme="majorHAnsi"/>
        </w:rPr>
        <w:t>to</w:t>
      </w:r>
      <w:r w:rsidR="00783F54">
        <w:rPr>
          <w:rFonts w:asciiTheme="majorHAnsi" w:hAnsiTheme="majorHAnsi"/>
        </w:rPr>
        <w:t xml:space="preserve"> </w:t>
      </w:r>
      <w:r w:rsidRPr="00475CDF">
        <w:rPr>
          <w:rFonts w:asciiTheme="majorHAnsi" w:hAnsiTheme="majorHAnsi"/>
        </w:rPr>
        <w:t>prostredníctvom PRV SR (opatrenie Iniciatíva LEADER) a</w:t>
      </w:r>
      <w:r w:rsidR="00783F54">
        <w:rPr>
          <w:rFonts w:asciiTheme="majorHAnsi" w:hAnsiTheme="majorHAnsi"/>
        </w:rPr>
        <w:t> </w:t>
      </w:r>
      <w:r w:rsidRPr="00475CDF">
        <w:rPr>
          <w:rFonts w:asciiTheme="majorHAnsi" w:hAnsiTheme="majorHAnsi"/>
        </w:rPr>
        <w:t>EFRR</w:t>
      </w:r>
      <w:r w:rsidR="00783F54">
        <w:rPr>
          <w:rFonts w:asciiTheme="majorHAnsi" w:hAnsiTheme="majorHAnsi"/>
        </w:rPr>
        <w:t xml:space="preserve"> </w:t>
      </w:r>
      <w:r w:rsidRPr="00475CDF">
        <w:rPr>
          <w:rFonts w:asciiTheme="majorHAnsi" w:hAnsiTheme="majorHAnsi"/>
        </w:rPr>
        <w:t>prostredníctvom IROP. CLLD sa nebude</w:t>
      </w:r>
      <w:r w:rsidR="00B42C74">
        <w:rPr>
          <w:rFonts w:asciiTheme="majorHAnsi" w:hAnsiTheme="majorHAnsi"/>
        </w:rPr>
        <w:t xml:space="preserve"> priamo</w:t>
      </w:r>
      <w:r w:rsidRPr="00475CDF">
        <w:rPr>
          <w:rFonts w:asciiTheme="majorHAnsi" w:hAnsiTheme="majorHAnsi"/>
        </w:rPr>
        <w:t xml:space="preserve"> implementovať prostredníctvom ESF</w:t>
      </w:r>
      <w:r w:rsidR="00463411">
        <w:rPr>
          <w:rFonts w:asciiTheme="majorHAnsi" w:hAnsiTheme="majorHAnsi"/>
        </w:rPr>
        <w:t xml:space="preserve"> a</w:t>
      </w:r>
      <w:r w:rsidR="008C79B8">
        <w:rPr>
          <w:rFonts w:asciiTheme="majorHAnsi" w:hAnsiTheme="majorHAnsi"/>
        </w:rPr>
        <w:t> </w:t>
      </w:r>
      <w:r w:rsidR="00463411">
        <w:rPr>
          <w:rFonts w:asciiTheme="majorHAnsi" w:hAnsiTheme="majorHAnsi"/>
        </w:rPr>
        <w:t>ENRF</w:t>
      </w:r>
      <w:r w:rsidRPr="00475CDF">
        <w:rPr>
          <w:rFonts w:asciiTheme="majorHAnsi" w:hAnsiTheme="majorHAnsi"/>
        </w:rPr>
        <w:t>.</w:t>
      </w:r>
      <w:r w:rsidR="00B42C74">
        <w:rPr>
          <w:rFonts w:asciiTheme="majorHAnsi" w:hAnsiTheme="majorHAnsi"/>
        </w:rPr>
        <w:t xml:space="preserve"> </w:t>
      </w:r>
      <w:r w:rsidR="00B42C74" w:rsidRPr="00B42C74">
        <w:rPr>
          <w:rFonts w:asciiTheme="majorHAnsi" w:hAnsiTheme="majorHAnsi"/>
        </w:rPr>
        <w:t xml:space="preserve">Avšak ESF, prostredníctvom </w:t>
      </w:r>
      <w:r w:rsidR="00B42C74" w:rsidRPr="00E06659">
        <w:rPr>
          <w:rFonts w:asciiTheme="majorHAnsi" w:hAnsiTheme="majorHAnsi"/>
        </w:rPr>
        <w:t xml:space="preserve">OP </w:t>
      </w:r>
      <w:r w:rsidR="00783F54" w:rsidRPr="00E06659">
        <w:rPr>
          <w:rFonts w:asciiTheme="majorHAnsi" w:hAnsiTheme="majorHAnsi"/>
        </w:rPr>
        <w:t>ĽZ</w:t>
      </w:r>
      <w:r w:rsidR="00B42C74" w:rsidRPr="00E06659">
        <w:rPr>
          <w:rFonts w:asciiTheme="majorHAnsi" w:hAnsiTheme="majorHAnsi"/>
        </w:rPr>
        <w:t>, bude</w:t>
      </w:r>
      <w:r w:rsidR="00B42C74" w:rsidRPr="00B42C74">
        <w:rPr>
          <w:rFonts w:asciiTheme="majorHAnsi" w:hAnsiTheme="majorHAnsi"/>
        </w:rPr>
        <w:t xml:space="preserve"> prispievať k</w:t>
      </w:r>
      <w:r w:rsidR="00783F54">
        <w:rPr>
          <w:rFonts w:asciiTheme="majorHAnsi" w:hAnsiTheme="majorHAnsi"/>
        </w:rPr>
        <w:t> </w:t>
      </w:r>
      <w:r w:rsidR="00B42C74" w:rsidRPr="00B42C74">
        <w:rPr>
          <w:rFonts w:asciiTheme="majorHAnsi" w:hAnsiTheme="majorHAnsi"/>
        </w:rPr>
        <w:t>definovaným</w:t>
      </w:r>
      <w:r w:rsidR="00783F54">
        <w:rPr>
          <w:rFonts w:asciiTheme="majorHAnsi" w:hAnsiTheme="majorHAnsi"/>
        </w:rPr>
        <w:t xml:space="preserve"> </w:t>
      </w:r>
      <w:r w:rsidR="00B42C74" w:rsidRPr="00B42C74">
        <w:rPr>
          <w:rFonts w:asciiTheme="majorHAnsi" w:hAnsiTheme="majorHAnsi"/>
        </w:rPr>
        <w:t>cieľom CLLD na komplementárnej báze prostredníctvom otvorených výziev z</w:t>
      </w:r>
      <w:r w:rsidR="00783F54">
        <w:rPr>
          <w:rFonts w:asciiTheme="majorHAnsi" w:hAnsiTheme="majorHAnsi"/>
        </w:rPr>
        <w:t> </w:t>
      </w:r>
      <w:r w:rsidR="00B42C74" w:rsidRPr="00B42C74">
        <w:rPr>
          <w:rFonts w:asciiTheme="majorHAnsi" w:hAnsiTheme="majorHAnsi"/>
        </w:rPr>
        <w:t>OP</w:t>
      </w:r>
      <w:r w:rsidR="00783F54">
        <w:rPr>
          <w:rFonts w:asciiTheme="majorHAnsi" w:hAnsiTheme="majorHAnsi"/>
        </w:rPr>
        <w:t xml:space="preserve"> </w:t>
      </w:r>
      <w:r w:rsidR="00B42C74" w:rsidRPr="00B42C74">
        <w:rPr>
          <w:rFonts w:asciiTheme="majorHAnsi" w:hAnsiTheme="majorHAnsi"/>
        </w:rPr>
        <w:t>ĽZ pre MAS.</w:t>
      </w:r>
      <w:r w:rsidRPr="00475CDF">
        <w:rPr>
          <w:rFonts w:asciiTheme="majorHAnsi" w:hAnsiTheme="majorHAnsi"/>
        </w:rPr>
        <w:t xml:space="preserve"> Alokácia z EPFRV na podporu CLLD bude</w:t>
      </w:r>
      <w:r w:rsidR="00735C92">
        <w:rPr>
          <w:rFonts w:asciiTheme="majorHAnsi" w:hAnsiTheme="majorHAnsi"/>
        </w:rPr>
        <w:t xml:space="preserve"> </w:t>
      </w:r>
      <w:r w:rsidRPr="00475CDF">
        <w:rPr>
          <w:rFonts w:asciiTheme="majorHAnsi" w:hAnsiTheme="majorHAnsi"/>
        </w:rPr>
        <w:t>vo výške</w:t>
      </w:r>
      <w:r w:rsidR="005902A9">
        <w:rPr>
          <w:rFonts w:asciiTheme="majorHAnsi" w:hAnsiTheme="majorHAnsi"/>
        </w:rPr>
        <w:t xml:space="preserve"> najmenej</w:t>
      </w:r>
      <w:r w:rsidRPr="00475CDF">
        <w:rPr>
          <w:rFonts w:asciiTheme="majorHAnsi" w:hAnsiTheme="majorHAnsi"/>
        </w:rPr>
        <w:t xml:space="preserve"> 5 % príspevku tohto fondu EÚ v rámci alokácie PRV SR</w:t>
      </w:r>
      <w:r w:rsidR="007146BC">
        <w:rPr>
          <w:rFonts w:asciiTheme="majorHAnsi" w:hAnsiTheme="majorHAnsi"/>
        </w:rPr>
        <w:t>. Al</w:t>
      </w:r>
      <w:r w:rsidRPr="00475CDF">
        <w:rPr>
          <w:rFonts w:asciiTheme="majorHAnsi" w:hAnsiTheme="majorHAnsi"/>
        </w:rPr>
        <w:t xml:space="preserve">okácia z EFRR prostredníctvom IROP </w:t>
      </w:r>
      <w:r w:rsidR="007146BC">
        <w:rPr>
          <w:rFonts w:asciiTheme="majorHAnsi" w:hAnsiTheme="majorHAnsi"/>
        </w:rPr>
        <w:t xml:space="preserve">bude </w:t>
      </w:r>
      <w:r w:rsidR="005902A9">
        <w:rPr>
          <w:rFonts w:asciiTheme="majorHAnsi" w:hAnsiTheme="majorHAnsi"/>
        </w:rPr>
        <w:t>predstav</w:t>
      </w:r>
      <w:r w:rsidR="007146BC">
        <w:rPr>
          <w:rFonts w:asciiTheme="majorHAnsi" w:hAnsiTheme="majorHAnsi"/>
        </w:rPr>
        <w:t xml:space="preserve">ovať </w:t>
      </w:r>
      <w:r w:rsidR="001E26F1">
        <w:rPr>
          <w:rFonts w:asciiTheme="majorHAnsi" w:hAnsiTheme="majorHAnsi"/>
        </w:rPr>
        <w:t xml:space="preserve">indikatívnu </w:t>
      </w:r>
      <w:r w:rsidR="005902A9">
        <w:rPr>
          <w:rFonts w:asciiTheme="majorHAnsi" w:hAnsiTheme="majorHAnsi"/>
        </w:rPr>
        <w:t xml:space="preserve">alokáciu </w:t>
      </w:r>
      <w:r w:rsidRPr="00475CDF">
        <w:rPr>
          <w:rFonts w:asciiTheme="majorHAnsi" w:hAnsiTheme="majorHAnsi"/>
        </w:rPr>
        <w:t xml:space="preserve">vo </w:t>
      </w:r>
      <w:r w:rsidRPr="005902A9">
        <w:rPr>
          <w:rFonts w:asciiTheme="majorHAnsi" w:hAnsiTheme="majorHAnsi"/>
        </w:rPr>
        <w:t xml:space="preserve">výške </w:t>
      </w:r>
      <w:r w:rsidR="001E26F1">
        <w:rPr>
          <w:rFonts w:asciiTheme="majorHAnsi" w:hAnsiTheme="majorHAnsi"/>
        </w:rPr>
        <w:t>99</w:t>
      </w:r>
      <w:r w:rsidR="001E26F1" w:rsidRPr="005902A9">
        <w:rPr>
          <w:rFonts w:asciiTheme="majorHAnsi" w:hAnsiTheme="majorHAnsi"/>
        </w:rPr>
        <w:t xml:space="preserve"> </w:t>
      </w:r>
      <w:r w:rsidRPr="005902A9">
        <w:rPr>
          <w:rFonts w:asciiTheme="majorHAnsi" w:hAnsiTheme="majorHAnsi"/>
        </w:rPr>
        <w:t>mil. EUR.</w:t>
      </w:r>
    </w:p>
    <w:p w:rsidR="0050519B" w:rsidRPr="00475CDF" w:rsidRDefault="0050519B" w:rsidP="00475CDF">
      <w:pPr>
        <w:rPr>
          <w:rFonts w:asciiTheme="majorHAnsi" w:hAnsiTheme="majorHAnsi"/>
        </w:rPr>
      </w:pPr>
      <w:r w:rsidRPr="0050519B">
        <w:rPr>
          <w:rFonts w:asciiTheme="majorHAnsi" w:hAnsiTheme="majorHAnsi"/>
        </w:rPr>
        <w:t>Keďže v</w:t>
      </w:r>
      <w:r w:rsidR="00783F54">
        <w:rPr>
          <w:rFonts w:asciiTheme="majorHAnsi" w:hAnsiTheme="majorHAnsi"/>
        </w:rPr>
        <w:t> </w:t>
      </w:r>
      <w:r w:rsidRPr="0050519B">
        <w:rPr>
          <w:rFonts w:asciiTheme="majorHAnsi" w:hAnsiTheme="majorHAnsi"/>
        </w:rPr>
        <w:t>rámci</w:t>
      </w:r>
      <w:r w:rsidR="00783F54">
        <w:rPr>
          <w:rFonts w:asciiTheme="majorHAnsi" w:hAnsiTheme="majorHAnsi"/>
        </w:rPr>
        <w:t xml:space="preserve"> </w:t>
      </w:r>
      <w:r w:rsidRPr="0050519B">
        <w:rPr>
          <w:rFonts w:asciiTheme="majorHAnsi" w:hAnsiTheme="majorHAnsi"/>
        </w:rPr>
        <w:t>CLLD bude podporený jeden typ MAS, úloha fondov EFRR a</w:t>
      </w:r>
      <w:r w:rsidR="00783F54">
        <w:rPr>
          <w:rFonts w:asciiTheme="majorHAnsi" w:hAnsiTheme="majorHAnsi"/>
        </w:rPr>
        <w:t> </w:t>
      </w:r>
      <w:r w:rsidRPr="0050519B">
        <w:rPr>
          <w:rFonts w:asciiTheme="majorHAnsi" w:hAnsiTheme="majorHAnsi"/>
        </w:rPr>
        <w:t>EPFRV</w:t>
      </w:r>
      <w:r w:rsidR="00783F54">
        <w:rPr>
          <w:rFonts w:asciiTheme="majorHAnsi" w:hAnsiTheme="majorHAnsi"/>
        </w:rPr>
        <w:t xml:space="preserve"> </w:t>
      </w:r>
      <w:r w:rsidRPr="0050519B">
        <w:rPr>
          <w:rFonts w:asciiTheme="majorHAnsi" w:hAnsiTheme="majorHAnsi"/>
        </w:rPr>
        <w:t>nebude diferencovaná podľa rôznych typov území, ale obidva fondy sa budú využívať na rovnakom území MAS. Pokiaľ ide o</w:t>
      </w:r>
      <w:r w:rsidR="00783F54">
        <w:rPr>
          <w:rFonts w:asciiTheme="majorHAnsi" w:hAnsiTheme="majorHAnsi"/>
        </w:rPr>
        <w:t> </w:t>
      </w:r>
      <w:r w:rsidRPr="0050519B">
        <w:rPr>
          <w:rFonts w:asciiTheme="majorHAnsi" w:hAnsiTheme="majorHAnsi"/>
        </w:rPr>
        <w:t>podporu</w:t>
      </w:r>
      <w:r w:rsidR="00783F54">
        <w:rPr>
          <w:rFonts w:asciiTheme="majorHAnsi" w:hAnsiTheme="majorHAnsi"/>
        </w:rPr>
        <w:t xml:space="preserve"> </w:t>
      </w:r>
      <w:r w:rsidRPr="0050519B">
        <w:rPr>
          <w:rFonts w:asciiTheme="majorHAnsi" w:hAnsiTheme="majorHAnsi"/>
        </w:rPr>
        <w:t>rozvoja podnikania a</w:t>
      </w:r>
      <w:r w:rsidR="00783F54">
        <w:rPr>
          <w:rFonts w:asciiTheme="majorHAnsi" w:hAnsiTheme="majorHAnsi"/>
        </w:rPr>
        <w:t> </w:t>
      </w:r>
      <w:r w:rsidRPr="0050519B">
        <w:rPr>
          <w:rFonts w:asciiTheme="majorHAnsi" w:hAnsiTheme="majorHAnsi"/>
        </w:rPr>
        <w:t>zamestnanosti</w:t>
      </w:r>
      <w:r w:rsidR="00783F54">
        <w:rPr>
          <w:rFonts w:asciiTheme="majorHAnsi" w:hAnsiTheme="majorHAnsi"/>
        </w:rPr>
        <w:t xml:space="preserve"> </w:t>
      </w:r>
      <w:r w:rsidRPr="0050519B">
        <w:rPr>
          <w:rFonts w:asciiTheme="majorHAnsi" w:hAnsiTheme="majorHAnsi"/>
        </w:rPr>
        <w:t xml:space="preserve"> EPFRV sa bude zameriavať v rámci PRV na oblasti podpory poľnohospodárstva, potravinárstva, lesníctva, vidieckeho cestovného ruchu, diverzifikácie poľnohospodárskych aktivít. Podpora EFRR bude zameraná na podporu ostatných podnikateľských aktivít v</w:t>
      </w:r>
      <w:r w:rsidR="00783F54">
        <w:rPr>
          <w:rFonts w:asciiTheme="majorHAnsi" w:hAnsiTheme="majorHAnsi"/>
        </w:rPr>
        <w:t> </w:t>
      </w:r>
      <w:r w:rsidRPr="0050519B">
        <w:rPr>
          <w:rFonts w:asciiTheme="majorHAnsi" w:hAnsiTheme="majorHAnsi"/>
        </w:rPr>
        <w:t>území</w:t>
      </w:r>
      <w:r w:rsidR="00783F54">
        <w:rPr>
          <w:rFonts w:asciiTheme="majorHAnsi" w:hAnsiTheme="majorHAnsi"/>
        </w:rPr>
        <w:t xml:space="preserve"> </w:t>
      </w:r>
      <w:r w:rsidRPr="0050519B">
        <w:rPr>
          <w:rFonts w:asciiTheme="majorHAnsi" w:hAnsiTheme="majorHAnsi"/>
        </w:rPr>
        <w:t>MAS. Pokiaľ ide o</w:t>
      </w:r>
      <w:r w:rsidR="00783F54">
        <w:rPr>
          <w:rFonts w:asciiTheme="majorHAnsi" w:hAnsiTheme="majorHAnsi"/>
        </w:rPr>
        <w:t> </w:t>
      </w:r>
      <w:r w:rsidRPr="0050519B">
        <w:rPr>
          <w:rFonts w:asciiTheme="majorHAnsi" w:hAnsiTheme="majorHAnsi"/>
        </w:rPr>
        <w:t>oblasť</w:t>
      </w:r>
      <w:r w:rsidR="00783F54">
        <w:rPr>
          <w:rFonts w:asciiTheme="majorHAnsi" w:hAnsiTheme="majorHAnsi"/>
        </w:rPr>
        <w:t xml:space="preserve"> </w:t>
      </w:r>
      <w:r w:rsidRPr="0050519B">
        <w:rPr>
          <w:rFonts w:asciiTheme="majorHAnsi" w:hAnsiTheme="majorHAnsi"/>
        </w:rPr>
        <w:t>zlepšovania fyzickej regenerácie územia, úlohou EFRR bude posilňovanie mestsko-vidieckych prepojení a</w:t>
      </w:r>
      <w:r w:rsidR="00783F54">
        <w:rPr>
          <w:rFonts w:asciiTheme="majorHAnsi" w:hAnsiTheme="majorHAnsi"/>
        </w:rPr>
        <w:t> </w:t>
      </w:r>
      <w:r w:rsidRPr="0050519B">
        <w:rPr>
          <w:rFonts w:asciiTheme="majorHAnsi" w:hAnsiTheme="majorHAnsi"/>
        </w:rPr>
        <w:t>vzťahov</w:t>
      </w:r>
      <w:r w:rsidR="00783F54">
        <w:rPr>
          <w:rFonts w:asciiTheme="majorHAnsi" w:hAnsiTheme="majorHAnsi"/>
        </w:rPr>
        <w:t xml:space="preserve"> </w:t>
      </w:r>
      <w:r w:rsidRPr="0050519B">
        <w:rPr>
          <w:rFonts w:asciiTheme="majorHAnsi" w:hAnsiTheme="majorHAnsi"/>
        </w:rPr>
        <w:t>medzi rozvojovými centrami a</w:t>
      </w:r>
      <w:r w:rsidR="00783F54">
        <w:rPr>
          <w:rFonts w:asciiTheme="majorHAnsi" w:hAnsiTheme="majorHAnsi"/>
        </w:rPr>
        <w:t> </w:t>
      </w:r>
      <w:r w:rsidRPr="0050519B">
        <w:rPr>
          <w:rFonts w:asciiTheme="majorHAnsi" w:hAnsiTheme="majorHAnsi"/>
        </w:rPr>
        <w:t>okolím</w:t>
      </w:r>
      <w:r w:rsidR="00783F54">
        <w:rPr>
          <w:rFonts w:asciiTheme="majorHAnsi" w:hAnsiTheme="majorHAnsi"/>
        </w:rPr>
        <w:t xml:space="preserve"> </w:t>
      </w:r>
      <w:r w:rsidRPr="0050519B">
        <w:rPr>
          <w:rFonts w:asciiTheme="majorHAnsi" w:hAnsiTheme="majorHAnsi"/>
        </w:rPr>
        <w:t>v</w:t>
      </w:r>
      <w:r w:rsidR="00783F54">
        <w:rPr>
          <w:rFonts w:asciiTheme="majorHAnsi" w:hAnsiTheme="majorHAnsi"/>
        </w:rPr>
        <w:t> </w:t>
      </w:r>
      <w:r w:rsidRPr="0050519B">
        <w:rPr>
          <w:rFonts w:asciiTheme="majorHAnsi" w:hAnsiTheme="majorHAnsi"/>
        </w:rPr>
        <w:t>rámci</w:t>
      </w:r>
      <w:r w:rsidR="00783F54">
        <w:rPr>
          <w:rFonts w:asciiTheme="majorHAnsi" w:hAnsiTheme="majorHAnsi"/>
        </w:rPr>
        <w:t xml:space="preserve"> </w:t>
      </w:r>
      <w:r w:rsidRPr="0050519B">
        <w:rPr>
          <w:rFonts w:asciiTheme="majorHAnsi" w:hAnsiTheme="majorHAnsi"/>
        </w:rPr>
        <w:t>územia MAS a</w:t>
      </w:r>
      <w:r w:rsidR="00783F54">
        <w:rPr>
          <w:rFonts w:asciiTheme="majorHAnsi" w:hAnsiTheme="majorHAnsi"/>
        </w:rPr>
        <w:t> </w:t>
      </w:r>
      <w:r w:rsidRPr="0050519B">
        <w:rPr>
          <w:rFonts w:asciiTheme="majorHAnsi" w:hAnsiTheme="majorHAnsi"/>
        </w:rPr>
        <w:t>úlohou</w:t>
      </w:r>
      <w:r w:rsidR="00783F54">
        <w:rPr>
          <w:rFonts w:asciiTheme="majorHAnsi" w:hAnsiTheme="majorHAnsi"/>
        </w:rPr>
        <w:t xml:space="preserve"> </w:t>
      </w:r>
      <w:r w:rsidRPr="0050519B">
        <w:rPr>
          <w:rFonts w:asciiTheme="majorHAnsi" w:hAnsiTheme="majorHAnsi"/>
        </w:rPr>
        <w:t>EPFRV bude zlepšovanie kvality života vo vidieckych obciach prostredníctvom investícií do drobnej infraštruktúry a</w:t>
      </w:r>
      <w:r w:rsidR="00783F54">
        <w:rPr>
          <w:rFonts w:asciiTheme="majorHAnsi" w:hAnsiTheme="majorHAnsi"/>
        </w:rPr>
        <w:t> </w:t>
      </w:r>
      <w:r w:rsidRPr="0050519B">
        <w:rPr>
          <w:rFonts w:asciiTheme="majorHAnsi" w:hAnsiTheme="majorHAnsi"/>
        </w:rPr>
        <w:t>zlepšovania</w:t>
      </w:r>
      <w:r w:rsidR="00783F54">
        <w:rPr>
          <w:rFonts w:asciiTheme="majorHAnsi" w:hAnsiTheme="majorHAnsi"/>
        </w:rPr>
        <w:t xml:space="preserve"> </w:t>
      </w:r>
      <w:r w:rsidRPr="0050519B">
        <w:rPr>
          <w:rFonts w:asciiTheme="majorHAnsi" w:hAnsiTheme="majorHAnsi"/>
        </w:rPr>
        <w:t>miestnych služieb</w:t>
      </w:r>
      <w:r>
        <w:rPr>
          <w:rFonts w:asciiTheme="majorHAnsi" w:hAnsiTheme="majorHAnsi"/>
        </w:rPr>
        <w:t>.</w:t>
      </w:r>
    </w:p>
    <w:p w:rsidR="00475CDF" w:rsidRPr="00475CDF" w:rsidRDefault="00475CDF" w:rsidP="001C0BBB">
      <w:pPr>
        <w:tabs>
          <w:tab w:val="left" w:pos="7845"/>
        </w:tabs>
        <w:spacing w:before="240"/>
        <w:rPr>
          <w:rFonts w:asciiTheme="majorHAnsi" w:hAnsiTheme="majorHAnsi"/>
          <w:b/>
        </w:rPr>
      </w:pPr>
      <w:r w:rsidRPr="00475CDF">
        <w:rPr>
          <w:rFonts w:asciiTheme="majorHAnsi" w:hAnsiTheme="majorHAnsi"/>
          <w:b/>
        </w:rPr>
        <w:t>Rozsah stratégií miestneho rozvoja</w:t>
      </w:r>
    </w:p>
    <w:p w:rsidR="00475CDF" w:rsidRPr="00475CDF" w:rsidRDefault="00475CDF" w:rsidP="007F22E3">
      <w:pPr>
        <w:tabs>
          <w:tab w:val="left" w:pos="7845"/>
        </w:tabs>
        <w:rPr>
          <w:rFonts w:asciiTheme="majorHAnsi" w:hAnsiTheme="majorHAnsi"/>
        </w:rPr>
      </w:pPr>
      <w:r w:rsidRPr="00475CDF">
        <w:rPr>
          <w:rFonts w:asciiTheme="majorHAnsi" w:hAnsiTheme="majorHAnsi"/>
        </w:rPr>
        <w:t xml:space="preserve">Integrované stratégie miestneho rozvoja budú pripravované ako multifondové stratégie, t. j. financované z EPFRV a EFRR. S cieľom zvýšiť prínos k plneniu cieľov </w:t>
      </w:r>
      <w:r w:rsidR="000C2306">
        <w:rPr>
          <w:rFonts w:asciiTheme="majorHAnsi" w:hAnsiTheme="majorHAnsi"/>
        </w:rPr>
        <w:t>s</w:t>
      </w:r>
      <w:r w:rsidR="000C2306" w:rsidRPr="00475CDF">
        <w:rPr>
          <w:rFonts w:asciiTheme="majorHAnsi" w:hAnsiTheme="majorHAnsi"/>
        </w:rPr>
        <w:t xml:space="preserve">tratégie </w:t>
      </w:r>
      <w:r w:rsidRPr="00475CDF">
        <w:rPr>
          <w:rFonts w:asciiTheme="majorHAnsi" w:hAnsiTheme="majorHAnsi"/>
        </w:rPr>
        <w:t>Európa 2020 môže mať ich rozsah širšie zameranie s priemetom na realizáciu aktivít z ostatných nástrojov podpory EÚ a SR mimo EŠIF.</w:t>
      </w:r>
    </w:p>
    <w:p w:rsidR="00380234" w:rsidRDefault="00475CDF" w:rsidP="007146BC">
      <w:pPr>
        <w:rPr>
          <w:rFonts w:asciiTheme="majorHAnsi" w:hAnsiTheme="majorHAnsi"/>
        </w:rPr>
      </w:pPr>
      <w:r w:rsidRPr="00475CDF">
        <w:rPr>
          <w:rFonts w:asciiTheme="majorHAnsi" w:hAnsiTheme="majorHAnsi"/>
        </w:rPr>
        <w:lastRenderedPageBreak/>
        <w:t xml:space="preserve">SR neuplatní financovanie prevádzkových nákladov na chod MAS a nákladov na oživenie stratégií </w:t>
      </w:r>
      <w:r w:rsidR="000C2306">
        <w:rPr>
          <w:rFonts w:asciiTheme="majorHAnsi" w:hAnsiTheme="majorHAnsi"/>
        </w:rPr>
        <w:t xml:space="preserve">(animácie) </w:t>
      </w:r>
      <w:r w:rsidRPr="00475CDF">
        <w:rPr>
          <w:rFonts w:asciiTheme="majorHAnsi" w:hAnsiTheme="majorHAnsi"/>
        </w:rPr>
        <w:t>prostredníctvom hlavného (lead) fondu. Tieto náklady budú financované z EPFRV a</w:t>
      </w:r>
      <w:r w:rsidR="00A875AE">
        <w:rPr>
          <w:rFonts w:asciiTheme="majorHAnsi" w:hAnsiTheme="majorHAnsi"/>
        </w:rPr>
        <w:t> </w:t>
      </w:r>
      <w:r w:rsidRPr="00475CDF">
        <w:rPr>
          <w:rFonts w:asciiTheme="majorHAnsi" w:hAnsiTheme="majorHAnsi"/>
        </w:rPr>
        <w:t>EFRR</w:t>
      </w:r>
      <w:r w:rsidR="000C2306">
        <w:rPr>
          <w:rFonts w:asciiTheme="majorHAnsi" w:hAnsiTheme="majorHAnsi"/>
        </w:rPr>
        <w:t xml:space="preserve"> nasledovne:</w:t>
      </w:r>
      <w:r w:rsidR="000C2306" w:rsidRPr="000C2306">
        <w:t xml:space="preserve"> </w:t>
      </w:r>
      <w:r w:rsidR="000C2306" w:rsidRPr="000C2306">
        <w:rPr>
          <w:rFonts w:asciiTheme="majorHAnsi" w:hAnsiTheme="majorHAnsi"/>
        </w:rPr>
        <w:t xml:space="preserve">Prevádzkové náklady na chod MAS (s výnimkou MAS na území </w:t>
      </w:r>
      <w:r w:rsidR="000C2306">
        <w:rPr>
          <w:rFonts w:asciiTheme="majorHAnsi" w:hAnsiTheme="majorHAnsi"/>
        </w:rPr>
        <w:t>BSK</w:t>
      </w:r>
      <w:r w:rsidR="000C2306" w:rsidRPr="000C2306">
        <w:rPr>
          <w:rFonts w:asciiTheme="majorHAnsi" w:hAnsiTheme="majorHAnsi"/>
        </w:rPr>
        <w:t>) budú hradené z</w:t>
      </w:r>
      <w:r w:rsidR="007F22E3">
        <w:rPr>
          <w:rFonts w:asciiTheme="majorHAnsi" w:hAnsiTheme="majorHAnsi"/>
        </w:rPr>
        <w:t> </w:t>
      </w:r>
      <w:r w:rsidR="000C2306" w:rsidRPr="000C2306">
        <w:rPr>
          <w:rFonts w:asciiTheme="majorHAnsi" w:hAnsiTheme="majorHAnsi"/>
        </w:rPr>
        <w:t>EFRR</w:t>
      </w:r>
      <w:r w:rsidR="007F22E3">
        <w:rPr>
          <w:rFonts w:asciiTheme="majorHAnsi" w:hAnsiTheme="majorHAnsi"/>
        </w:rPr>
        <w:t xml:space="preserve"> </w:t>
      </w:r>
      <w:r w:rsidR="000C2306" w:rsidRPr="000C2306">
        <w:rPr>
          <w:rFonts w:asciiTheme="majorHAnsi" w:hAnsiTheme="majorHAnsi"/>
        </w:rPr>
        <w:t>a</w:t>
      </w:r>
      <w:r w:rsidR="007F22E3">
        <w:rPr>
          <w:rFonts w:asciiTheme="majorHAnsi" w:hAnsiTheme="majorHAnsi"/>
        </w:rPr>
        <w:t> </w:t>
      </w:r>
      <w:r w:rsidR="000C2306" w:rsidRPr="000C2306">
        <w:rPr>
          <w:rFonts w:asciiTheme="majorHAnsi" w:hAnsiTheme="majorHAnsi"/>
        </w:rPr>
        <w:t>náklady</w:t>
      </w:r>
      <w:r w:rsidR="007F22E3">
        <w:rPr>
          <w:rFonts w:asciiTheme="majorHAnsi" w:hAnsiTheme="majorHAnsi"/>
        </w:rPr>
        <w:t xml:space="preserve"> </w:t>
      </w:r>
      <w:r w:rsidR="000C2306" w:rsidRPr="000C2306">
        <w:rPr>
          <w:rFonts w:asciiTheme="majorHAnsi" w:hAnsiTheme="majorHAnsi"/>
        </w:rPr>
        <w:t>na oživenie stratégií (animácie) budú hradené z</w:t>
      </w:r>
      <w:r w:rsidR="007F22E3">
        <w:rPr>
          <w:rFonts w:asciiTheme="majorHAnsi" w:hAnsiTheme="majorHAnsi"/>
        </w:rPr>
        <w:t> </w:t>
      </w:r>
      <w:r w:rsidR="000C2306" w:rsidRPr="000C2306">
        <w:rPr>
          <w:rFonts w:asciiTheme="majorHAnsi" w:hAnsiTheme="majorHAnsi"/>
        </w:rPr>
        <w:t>EPFRV. Z</w:t>
      </w:r>
      <w:r w:rsidR="007F22E3">
        <w:rPr>
          <w:rFonts w:asciiTheme="majorHAnsi" w:hAnsiTheme="majorHAnsi"/>
        </w:rPr>
        <w:t> </w:t>
      </w:r>
      <w:r w:rsidR="000C2306" w:rsidRPr="000C2306">
        <w:rPr>
          <w:rFonts w:asciiTheme="majorHAnsi" w:hAnsiTheme="majorHAnsi"/>
        </w:rPr>
        <w:t>EPFRV</w:t>
      </w:r>
      <w:r w:rsidR="007F22E3">
        <w:rPr>
          <w:rFonts w:asciiTheme="majorHAnsi" w:hAnsiTheme="majorHAnsi"/>
        </w:rPr>
        <w:t xml:space="preserve"> </w:t>
      </w:r>
      <w:r w:rsidR="000C2306" w:rsidRPr="000C2306">
        <w:rPr>
          <w:rFonts w:asciiTheme="majorHAnsi" w:hAnsiTheme="majorHAnsi"/>
        </w:rPr>
        <w:t xml:space="preserve">budú tiež hradené prevádzkové náklady na chod MAS nachádzajúcich sa na území </w:t>
      </w:r>
      <w:r w:rsidR="000C2306">
        <w:rPr>
          <w:rFonts w:asciiTheme="majorHAnsi" w:hAnsiTheme="majorHAnsi"/>
        </w:rPr>
        <w:t>BSK</w:t>
      </w:r>
      <w:r w:rsidRPr="00475CDF">
        <w:rPr>
          <w:rFonts w:asciiTheme="majorHAnsi" w:hAnsiTheme="majorHAnsi"/>
        </w:rPr>
        <w:t>.</w:t>
      </w:r>
    </w:p>
    <w:p w:rsidR="007146BC" w:rsidRPr="00591252" w:rsidRDefault="007146BC" w:rsidP="007146BC">
      <w:pPr>
        <w:rPr>
          <w:rFonts w:asciiTheme="majorHAnsi" w:hAnsiTheme="majorHAnsi"/>
        </w:rPr>
      </w:pPr>
      <w:r w:rsidRPr="00591252">
        <w:rPr>
          <w:rFonts w:asciiTheme="majorHAnsi" w:hAnsiTheme="majorHAnsi"/>
        </w:rPr>
        <w:t>Pre efektívnu implementáciu nástroja CLLD je potrebné zmobilizovať aktérov v území s cieľom analyzovania územia, zapojenia aktérov do rozhodovania a prípravy a následnej implementácie kvalitnej stratégie miestneho rozvoja. Zo zdrojov určených na implementáciu nástroja CLLD bude preto vyčlenená časť prostriedkov na</w:t>
      </w:r>
      <w:r w:rsidR="00380234">
        <w:rPr>
          <w:rFonts w:asciiTheme="majorHAnsi" w:hAnsiTheme="majorHAnsi"/>
        </w:rPr>
        <w:t xml:space="preserve"> prípravnú podporu</w:t>
      </w:r>
      <w:r>
        <w:rPr>
          <w:rFonts w:asciiTheme="majorHAnsi" w:hAnsiTheme="majorHAnsi"/>
        </w:rPr>
        <w:t>,</w:t>
      </w:r>
      <w:r w:rsidRPr="00BD5D5F">
        <w:rPr>
          <w:rFonts w:asciiTheme="majorHAnsi" w:hAnsiTheme="majorHAnsi"/>
        </w:rPr>
        <w:t xml:space="preserve"> predovšetkým</w:t>
      </w:r>
      <w:r>
        <w:rPr>
          <w:rFonts w:asciiTheme="majorHAnsi" w:hAnsiTheme="majorHAnsi"/>
        </w:rPr>
        <w:t xml:space="preserve"> </w:t>
      </w:r>
      <w:r w:rsidR="00B475C7">
        <w:rPr>
          <w:rFonts w:asciiTheme="majorHAnsi" w:hAnsiTheme="majorHAnsi"/>
        </w:rPr>
        <w:t>pre</w:t>
      </w:r>
      <w:r w:rsidRPr="00591252">
        <w:rPr>
          <w:rFonts w:asciiTheme="majorHAnsi" w:hAnsiTheme="majorHAnsi"/>
        </w:rPr>
        <w:t xml:space="preserve"> partnerstvá a územia, ktoré doteraz neimplementovali prístup zdola-nahor</w:t>
      </w:r>
      <w:r>
        <w:rPr>
          <w:rFonts w:asciiTheme="majorHAnsi" w:hAnsiTheme="majorHAnsi"/>
        </w:rPr>
        <w:t xml:space="preserve"> (LEADER).</w:t>
      </w:r>
      <w:r w:rsidRPr="00591252">
        <w:rPr>
          <w:rFonts w:asciiTheme="majorHAnsi" w:hAnsiTheme="majorHAnsi"/>
        </w:rPr>
        <w:t xml:space="preserve"> </w:t>
      </w:r>
      <w:r w:rsidR="00380234" w:rsidRPr="00380234">
        <w:rPr>
          <w:rFonts w:asciiTheme="majorHAnsi" w:hAnsiTheme="majorHAnsi"/>
        </w:rPr>
        <w:t>V rámci prípravnej podpory budú podporené</w:t>
      </w:r>
      <w:r w:rsidRPr="00591252">
        <w:rPr>
          <w:rFonts w:asciiTheme="majorHAnsi" w:hAnsiTheme="majorHAnsi"/>
        </w:rPr>
        <w:t> </w:t>
      </w:r>
      <w:r w:rsidR="00380234">
        <w:rPr>
          <w:rFonts w:asciiTheme="majorHAnsi" w:hAnsiTheme="majorHAnsi"/>
        </w:rPr>
        <w:t>náklady</w:t>
      </w:r>
      <w:r w:rsidR="00380234" w:rsidRPr="00591252">
        <w:rPr>
          <w:rFonts w:asciiTheme="majorHAnsi" w:hAnsiTheme="majorHAnsi"/>
        </w:rPr>
        <w:t xml:space="preserve"> </w:t>
      </w:r>
      <w:r w:rsidRPr="00591252">
        <w:rPr>
          <w:rFonts w:asciiTheme="majorHAnsi" w:hAnsiTheme="majorHAnsi"/>
        </w:rPr>
        <w:t>na budovanie kapacít (</w:t>
      </w:r>
      <w:r w:rsidRPr="00DA0F3D">
        <w:rPr>
          <w:rFonts w:asciiTheme="majorHAnsi" w:hAnsiTheme="majorHAnsi"/>
        </w:rPr>
        <w:t xml:space="preserve">tréningy, školenia pre </w:t>
      </w:r>
      <w:r>
        <w:rPr>
          <w:rFonts w:asciiTheme="majorHAnsi" w:hAnsiTheme="majorHAnsi"/>
        </w:rPr>
        <w:t>miestnych</w:t>
      </w:r>
      <w:r w:rsidRPr="00591252">
        <w:rPr>
          <w:rFonts w:asciiTheme="majorHAnsi" w:hAnsiTheme="majorHAnsi"/>
        </w:rPr>
        <w:t xml:space="preserve"> aktérov), </w:t>
      </w:r>
      <w:r w:rsidR="00380234">
        <w:rPr>
          <w:rFonts w:asciiTheme="majorHAnsi" w:hAnsiTheme="majorHAnsi"/>
        </w:rPr>
        <w:t>náklady</w:t>
      </w:r>
      <w:r w:rsidR="00380234" w:rsidRPr="00591252">
        <w:rPr>
          <w:rFonts w:asciiTheme="majorHAnsi" w:hAnsiTheme="majorHAnsi"/>
        </w:rPr>
        <w:t xml:space="preserve"> </w:t>
      </w:r>
      <w:r w:rsidRPr="00591252">
        <w:rPr>
          <w:rFonts w:asciiTheme="majorHAnsi" w:hAnsiTheme="majorHAnsi"/>
        </w:rPr>
        <w:t xml:space="preserve">na štúdie a analýzy dotknutého územia, </w:t>
      </w:r>
      <w:r w:rsidR="00380234" w:rsidRPr="00591252">
        <w:rPr>
          <w:rFonts w:asciiTheme="majorHAnsi" w:hAnsiTheme="majorHAnsi"/>
        </w:rPr>
        <w:t>náklad</w:t>
      </w:r>
      <w:r w:rsidR="00380234">
        <w:rPr>
          <w:rFonts w:asciiTheme="majorHAnsi" w:hAnsiTheme="majorHAnsi"/>
        </w:rPr>
        <w:t>y</w:t>
      </w:r>
      <w:r w:rsidR="00380234" w:rsidRPr="00591252">
        <w:rPr>
          <w:rFonts w:asciiTheme="majorHAnsi" w:hAnsiTheme="majorHAnsi"/>
        </w:rPr>
        <w:t xml:space="preserve"> spojen</w:t>
      </w:r>
      <w:r w:rsidR="00380234">
        <w:rPr>
          <w:rFonts w:asciiTheme="majorHAnsi" w:hAnsiTheme="majorHAnsi"/>
        </w:rPr>
        <w:t>é</w:t>
      </w:r>
      <w:r w:rsidR="00380234" w:rsidRPr="00591252">
        <w:rPr>
          <w:rFonts w:asciiTheme="majorHAnsi" w:hAnsiTheme="majorHAnsi"/>
        </w:rPr>
        <w:t xml:space="preserve"> </w:t>
      </w:r>
      <w:r w:rsidRPr="00591252">
        <w:rPr>
          <w:rFonts w:asciiTheme="majorHAnsi" w:hAnsiTheme="majorHAnsi"/>
        </w:rPr>
        <w:t>s prípravou stratégie vrátane administratívnych nákladov a pod.</w:t>
      </w:r>
      <w:r>
        <w:rPr>
          <w:rFonts w:asciiTheme="majorHAnsi" w:hAnsiTheme="majorHAnsi"/>
        </w:rPr>
        <w:t xml:space="preserve"> </w:t>
      </w:r>
      <w:r w:rsidR="00380234" w:rsidRPr="00380234">
        <w:rPr>
          <w:rFonts w:asciiTheme="majorHAnsi" w:hAnsiTheme="majorHAnsi"/>
        </w:rPr>
        <w:t>Pre partnerstvá a územia, ktoré doteraz neimplementovali prístup zdola-nahor bude vyhlásená výzva na prípravnú podporu. Prípravná podpora bude financovaná z</w:t>
      </w:r>
      <w:r w:rsidR="007F22E3">
        <w:rPr>
          <w:rFonts w:asciiTheme="majorHAnsi" w:hAnsiTheme="majorHAnsi"/>
        </w:rPr>
        <w:t> </w:t>
      </w:r>
      <w:r w:rsidR="00380234" w:rsidRPr="00380234">
        <w:rPr>
          <w:rFonts w:asciiTheme="majorHAnsi" w:hAnsiTheme="majorHAnsi"/>
        </w:rPr>
        <w:t>EPFRV. Po poskytnutí prípravnej podpory bude v</w:t>
      </w:r>
      <w:r w:rsidR="007F22E3">
        <w:rPr>
          <w:rFonts w:asciiTheme="majorHAnsi" w:hAnsiTheme="majorHAnsi"/>
        </w:rPr>
        <w:t> </w:t>
      </w:r>
      <w:r w:rsidR="00380234" w:rsidRPr="00380234">
        <w:rPr>
          <w:rFonts w:asciiTheme="majorHAnsi" w:hAnsiTheme="majorHAnsi"/>
        </w:rPr>
        <w:t>dostatočnom</w:t>
      </w:r>
      <w:r w:rsidR="007F22E3">
        <w:rPr>
          <w:rFonts w:asciiTheme="majorHAnsi" w:hAnsiTheme="majorHAnsi"/>
        </w:rPr>
        <w:t xml:space="preserve"> </w:t>
      </w:r>
      <w:r w:rsidR="00380234" w:rsidRPr="00380234">
        <w:rPr>
          <w:rFonts w:asciiTheme="majorHAnsi" w:hAnsiTheme="majorHAnsi"/>
        </w:rPr>
        <w:t>časovom odstupe vyhlásená výzva pre výber MAS, do ktorej sa budú môcť prihlásiť partnerstvá a územia, ktoré doteraz neimplementovali prístup zdola-nahor, a</w:t>
      </w:r>
      <w:r w:rsidR="007F22E3">
        <w:rPr>
          <w:rFonts w:asciiTheme="majorHAnsi" w:hAnsiTheme="majorHAnsi"/>
        </w:rPr>
        <w:t> </w:t>
      </w:r>
      <w:r w:rsidR="00380234" w:rsidRPr="00380234">
        <w:rPr>
          <w:rFonts w:asciiTheme="majorHAnsi" w:hAnsiTheme="majorHAnsi"/>
        </w:rPr>
        <w:t>ktoré</w:t>
      </w:r>
      <w:r w:rsidR="007F22E3">
        <w:rPr>
          <w:rFonts w:asciiTheme="majorHAnsi" w:hAnsiTheme="majorHAnsi"/>
        </w:rPr>
        <w:t xml:space="preserve"> </w:t>
      </w:r>
      <w:r w:rsidR="00380234" w:rsidRPr="00380234">
        <w:rPr>
          <w:rFonts w:asciiTheme="majorHAnsi" w:hAnsiTheme="majorHAnsi"/>
        </w:rPr>
        <w:t>využili prípravnú podporu, ako aj MAS, ktoré prípravnú podporu nevyužili. Prípravná podpora bude financovaná z</w:t>
      </w:r>
      <w:r w:rsidR="007F22E3">
        <w:rPr>
          <w:rFonts w:asciiTheme="majorHAnsi" w:hAnsiTheme="majorHAnsi"/>
        </w:rPr>
        <w:t> </w:t>
      </w:r>
      <w:r w:rsidR="00380234" w:rsidRPr="00380234">
        <w:rPr>
          <w:rFonts w:asciiTheme="majorHAnsi" w:hAnsiTheme="majorHAnsi"/>
        </w:rPr>
        <w:t xml:space="preserve">EPFRV. </w:t>
      </w:r>
      <w:r w:rsidRPr="00591252">
        <w:rPr>
          <w:rFonts w:asciiTheme="majorHAnsi" w:hAnsiTheme="majorHAnsi"/>
        </w:rPr>
        <w:t xml:space="preserve">Dôležitou súčasťou </w:t>
      </w:r>
      <w:r w:rsidRPr="002A362F">
        <w:rPr>
          <w:rFonts w:asciiTheme="majorHAnsi" w:hAnsiTheme="majorHAnsi"/>
        </w:rPr>
        <w:t>kvalitnej prípravy budú aj a</w:t>
      </w:r>
      <w:r>
        <w:rPr>
          <w:rFonts w:asciiTheme="majorHAnsi" w:hAnsiTheme="majorHAnsi"/>
        </w:rPr>
        <w:t>ktivity</w:t>
      </w:r>
      <w:r w:rsidRPr="00591252">
        <w:rPr>
          <w:rFonts w:asciiTheme="majorHAnsi" w:hAnsiTheme="majorHAnsi"/>
        </w:rPr>
        <w:t xml:space="preserve"> realizovan</w:t>
      </w:r>
      <w:r w:rsidRPr="002A362F">
        <w:rPr>
          <w:rFonts w:asciiTheme="majorHAnsi" w:hAnsiTheme="majorHAnsi"/>
        </w:rPr>
        <w:t xml:space="preserve">é príslušnými </w:t>
      </w:r>
      <w:r>
        <w:rPr>
          <w:rFonts w:asciiTheme="majorHAnsi" w:hAnsiTheme="majorHAnsi"/>
        </w:rPr>
        <w:t>RO</w:t>
      </w:r>
      <w:r w:rsidRPr="00591252">
        <w:rPr>
          <w:rFonts w:asciiTheme="majorHAnsi" w:hAnsiTheme="majorHAnsi"/>
        </w:rPr>
        <w:t xml:space="preserve"> s cieľom informovania relevantných partnerov o nástroji CLLD, o možnostiach podpory, tvorby stratégie a pod.</w:t>
      </w:r>
    </w:p>
    <w:p w:rsidR="00475CDF" w:rsidRPr="00475CDF" w:rsidRDefault="00475CDF" w:rsidP="001C0BBB">
      <w:pPr>
        <w:tabs>
          <w:tab w:val="left" w:pos="7845"/>
        </w:tabs>
        <w:spacing w:before="240"/>
        <w:rPr>
          <w:rFonts w:asciiTheme="majorHAnsi" w:hAnsiTheme="majorHAnsi"/>
          <w:b/>
        </w:rPr>
      </w:pPr>
      <w:r w:rsidRPr="00475CDF">
        <w:rPr>
          <w:rFonts w:asciiTheme="majorHAnsi" w:hAnsiTheme="majorHAnsi"/>
          <w:b/>
        </w:rPr>
        <w:t>Koordinácia a administratívne zabezpečenie CLLD</w:t>
      </w:r>
    </w:p>
    <w:p w:rsidR="00475CDF" w:rsidRPr="008C4B14" w:rsidRDefault="00475CDF" w:rsidP="00475CDF">
      <w:pPr>
        <w:spacing w:before="0"/>
        <w:rPr>
          <w:rFonts w:asciiTheme="majorHAnsi" w:hAnsiTheme="majorHAnsi"/>
        </w:rPr>
      </w:pPr>
      <w:r w:rsidRPr="00475CDF">
        <w:rPr>
          <w:rFonts w:asciiTheme="majorHAnsi" w:hAnsiTheme="majorHAnsi"/>
        </w:rPr>
        <w:t xml:space="preserve">Hlavným orgánom zodpovedným za koordináciu prípravy a implementácie CLLD na národnej úrovni bude </w:t>
      </w:r>
      <w:r w:rsidR="007A2739">
        <w:rPr>
          <w:rFonts w:asciiTheme="majorHAnsi" w:hAnsiTheme="majorHAnsi"/>
        </w:rPr>
        <w:t>MPRV</w:t>
      </w:r>
      <w:r w:rsidRPr="00475CDF">
        <w:rPr>
          <w:rFonts w:asciiTheme="majorHAnsi" w:hAnsiTheme="majorHAnsi"/>
        </w:rPr>
        <w:t xml:space="preserve"> SR z pozície </w:t>
      </w:r>
      <w:r w:rsidR="007F22E3">
        <w:rPr>
          <w:rFonts w:asciiTheme="majorHAnsi" w:hAnsiTheme="majorHAnsi"/>
        </w:rPr>
        <w:t>RO</w:t>
      </w:r>
      <w:r w:rsidRPr="00475CDF">
        <w:rPr>
          <w:rFonts w:asciiTheme="majorHAnsi" w:hAnsiTheme="majorHAnsi"/>
        </w:rPr>
        <w:t xml:space="preserve"> pre PRV SR 2014 – 2020 (ďalej aj „gestor CLLD“). Gestor CLLD spolu s</w:t>
      </w:r>
      <w:r w:rsidR="007F22E3">
        <w:rPr>
          <w:rFonts w:asciiTheme="majorHAnsi" w:hAnsiTheme="majorHAnsi"/>
        </w:rPr>
        <w:t> RO</w:t>
      </w:r>
      <w:r w:rsidRPr="00475CDF">
        <w:rPr>
          <w:rFonts w:asciiTheme="majorHAnsi" w:hAnsiTheme="majorHAnsi"/>
        </w:rPr>
        <w:t xml:space="preserve"> pre IROP vytvorí </w:t>
      </w:r>
      <w:r w:rsidR="007146BC">
        <w:rPr>
          <w:rFonts w:asciiTheme="majorHAnsi" w:hAnsiTheme="majorHAnsi"/>
        </w:rPr>
        <w:t>spoločný</w:t>
      </w:r>
      <w:r w:rsidRPr="00475CDF">
        <w:rPr>
          <w:rFonts w:asciiTheme="majorHAnsi" w:hAnsiTheme="majorHAnsi"/>
        </w:rPr>
        <w:t xml:space="preserve"> orgán </w:t>
      </w:r>
      <w:r w:rsidR="007146BC">
        <w:rPr>
          <w:rFonts w:asciiTheme="majorHAnsi" w:hAnsiTheme="majorHAnsi"/>
        </w:rPr>
        <w:t xml:space="preserve">na koordináciu </w:t>
      </w:r>
      <w:r w:rsidRPr="00475CDF">
        <w:rPr>
          <w:rFonts w:asciiTheme="majorHAnsi" w:hAnsiTheme="majorHAnsi"/>
        </w:rPr>
        <w:t>príprav</w:t>
      </w:r>
      <w:r w:rsidR="007146BC">
        <w:rPr>
          <w:rFonts w:asciiTheme="majorHAnsi" w:hAnsiTheme="majorHAnsi"/>
        </w:rPr>
        <w:t>y</w:t>
      </w:r>
      <w:r w:rsidRPr="00475CDF">
        <w:rPr>
          <w:rFonts w:asciiTheme="majorHAnsi" w:hAnsiTheme="majorHAnsi"/>
        </w:rPr>
        <w:t xml:space="preserve"> a implementáci</w:t>
      </w:r>
      <w:r w:rsidR="007146BC">
        <w:rPr>
          <w:rFonts w:asciiTheme="majorHAnsi" w:hAnsiTheme="majorHAnsi"/>
        </w:rPr>
        <w:t>e</w:t>
      </w:r>
      <w:r w:rsidRPr="00475CDF">
        <w:rPr>
          <w:rFonts w:asciiTheme="majorHAnsi" w:hAnsiTheme="majorHAnsi"/>
        </w:rPr>
        <w:t xml:space="preserve"> CLLD, ktorého hlavnou úlohou bude vecné a časové zlaďovanie činností vo vzťahu k CLLD. Vyhlásenie </w:t>
      </w:r>
      <w:r w:rsidR="001C6A58">
        <w:rPr>
          <w:rFonts w:asciiTheme="majorHAnsi" w:hAnsiTheme="majorHAnsi"/>
        </w:rPr>
        <w:t xml:space="preserve">výzvy (prípadne </w:t>
      </w:r>
      <w:r w:rsidRPr="00475CDF">
        <w:rPr>
          <w:rFonts w:asciiTheme="majorHAnsi" w:hAnsiTheme="majorHAnsi"/>
        </w:rPr>
        <w:t>výziev</w:t>
      </w:r>
      <w:r w:rsidR="001C6A58">
        <w:rPr>
          <w:rFonts w:asciiTheme="majorHAnsi" w:hAnsiTheme="majorHAnsi"/>
        </w:rPr>
        <w:t>)</w:t>
      </w:r>
      <w:r w:rsidRPr="00475CDF">
        <w:rPr>
          <w:rFonts w:asciiTheme="majorHAnsi" w:hAnsiTheme="majorHAnsi"/>
        </w:rPr>
        <w:t xml:space="preserve"> na výber MAS bude v kompetencii gestora CLLD. Pre výber stratégií miestneho rozvoja a následné </w:t>
      </w:r>
      <w:r w:rsidRPr="008C4B14">
        <w:rPr>
          <w:rFonts w:asciiTheme="majorHAnsi" w:hAnsiTheme="majorHAnsi"/>
        </w:rPr>
        <w:t>pridelenie štatútu MAS</w:t>
      </w:r>
      <w:r w:rsidR="007146BC" w:rsidRPr="008C4B14">
        <w:rPr>
          <w:rFonts w:asciiTheme="majorHAnsi" w:hAnsiTheme="majorHAnsi"/>
        </w:rPr>
        <w:t>,</w:t>
      </w:r>
      <w:r w:rsidRPr="008C4B14">
        <w:rPr>
          <w:rFonts w:asciiTheme="majorHAnsi" w:hAnsiTheme="majorHAnsi"/>
        </w:rPr>
        <w:t xml:space="preserve"> vytvorí gestor</w:t>
      </w:r>
      <w:r w:rsidRPr="008C4B14">
        <w:rPr>
          <w:rFonts w:asciiTheme="majorHAnsi" w:hAnsiTheme="majorHAnsi"/>
          <w:szCs w:val="22"/>
          <w:lang w:eastAsia="sk-SK"/>
        </w:rPr>
        <w:t xml:space="preserve"> CLLD výberovú komisiu so zastúpením RO pre IROP. V rámci oblastí, ktoré budú vyžadovať spoločný koordinovaný prístup, bude gestor CLLD pri implementácii CLLD spolupracovať s RO pre IROP a inými relevantnými partnermi.</w:t>
      </w:r>
    </w:p>
    <w:p w:rsidR="00BC2144" w:rsidRPr="009B7C77" w:rsidRDefault="00BC2144" w:rsidP="005D2203">
      <w:pPr>
        <w:spacing w:before="0" w:after="0"/>
        <w:rPr>
          <w:rFonts w:asciiTheme="majorHAnsi" w:hAnsiTheme="majorHAnsi"/>
        </w:rPr>
      </w:pPr>
      <w:r w:rsidRPr="009B7C77">
        <w:rPr>
          <w:rFonts w:asciiTheme="majorHAnsi" w:hAnsiTheme="majorHAnsi"/>
        </w:rPr>
        <w:t>Minimálne úlohy MAS sú definované v článku 34 nariadenia (EÚ) č. 1303/2013 a sú nasledovné:</w:t>
      </w:r>
    </w:p>
    <w:p w:rsidR="00BC2144" w:rsidRPr="009B7C77" w:rsidRDefault="00BC2144" w:rsidP="009B7C77">
      <w:pPr>
        <w:numPr>
          <w:ilvl w:val="0"/>
          <w:numId w:val="72"/>
        </w:numPr>
        <w:spacing w:before="0" w:after="0"/>
        <w:rPr>
          <w:rFonts w:asciiTheme="majorHAnsi" w:hAnsiTheme="majorHAnsi"/>
        </w:rPr>
      </w:pPr>
      <w:r w:rsidRPr="009B7C77">
        <w:rPr>
          <w:rFonts w:asciiTheme="majorHAnsi" w:hAnsiTheme="majorHAnsi"/>
        </w:rPr>
        <w:t>budovanie kapacít miestnych aktérov na vytváranie a uskutočňovanie operácií vrátane podporovania ich schopností na riadenie projektu,</w:t>
      </w:r>
    </w:p>
    <w:p w:rsidR="00BC2144" w:rsidRPr="009B7C77" w:rsidRDefault="00BC2144" w:rsidP="009B7C77">
      <w:pPr>
        <w:numPr>
          <w:ilvl w:val="0"/>
          <w:numId w:val="72"/>
        </w:numPr>
        <w:spacing w:before="0" w:after="0"/>
        <w:rPr>
          <w:rFonts w:asciiTheme="majorHAnsi" w:hAnsiTheme="majorHAnsi"/>
        </w:rPr>
      </w:pPr>
      <w:r w:rsidRPr="009B7C77">
        <w:rPr>
          <w:rFonts w:asciiTheme="majorHAnsi" w:hAnsiTheme="majorHAnsi"/>
        </w:rPr>
        <w:t>vypracovanie nediskriminačného a transparentného výberového konania a</w:t>
      </w:r>
      <w:r w:rsidR="007F22E3" w:rsidRPr="009B7C77">
        <w:rPr>
          <w:rFonts w:asciiTheme="majorHAnsi" w:hAnsiTheme="majorHAnsi"/>
        </w:rPr>
        <w:t> </w:t>
      </w:r>
      <w:r w:rsidRPr="009B7C77">
        <w:rPr>
          <w:rFonts w:asciiTheme="majorHAnsi" w:hAnsiTheme="majorHAnsi"/>
        </w:rPr>
        <w:t>objektívnych</w:t>
      </w:r>
      <w:r w:rsidR="007F22E3" w:rsidRPr="009B7C77">
        <w:rPr>
          <w:rFonts w:asciiTheme="majorHAnsi" w:hAnsiTheme="majorHAnsi"/>
        </w:rPr>
        <w:t xml:space="preserve"> </w:t>
      </w:r>
      <w:r w:rsidRPr="009B7C77">
        <w:rPr>
          <w:rFonts w:asciiTheme="majorHAnsi" w:hAnsiTheme="majorHAnsi"/>
        </w:rPr>
        <w:t xml:space="preserve">výberových kritérií, ktorými sa zabráni vzniku konfliktu záujmov (tak aby aspoň 50 </w:t>
      </w:r>
      <w:r w:rsidRPr="009B7C77">
        <w:rPr>
          <w:rFonts w:asciiTheme="majorHAnsi" w:hAnsiTheme="majorHAnsi"/>
          <w:b/>
        </w:rPr>
        <w:t xml:space="preserve">% </w:t>
      </w:r>
      <w:r w:rsidRPr="009B7C77">
        <w:rPr>
          <w:rFonts w:asciiTheme="majorHAnsi" w:hAnsiTheme="majorHAnsi"/>
        </w:rPr>
        <w:t>hlasov rozhodnutí o výbere patrilo partnerom, ktorí nie sú orgánmi verejnej správy) a umožní výber písomným konaním,</w:t>
      </w:r>
    </w:p>
    <w:p w:rsidR="00BC2144" w:rsidRPr="009B7C77" w:rsidRDefault="00BC2144" w:rsidP="009B7C77">
      <w:pPr>
        <w:numPr>
          <w:ilvl w:val="0"/>
          <w:numId w:val="72"/>
        </w:numPr>
        <w:spacing w:before="0" w:after="0"/>
        <w:rPr>
          <w:rFonts w:asciiTheme="majorHAnsi" w:hAnsiTheme="majorHAnsi"/>
        </w:rPr>
      </w:pPr>
      <w:r w:rsidRPr="009B7C77">
        <w:rPr>
          <w:rFonts w:asciiTheme="majorHAnsi" w:hAnsiTheme="majorHAnsi"/>
        </w:rPr>
        <w:t>zabezpečenie súladu so stratégiou miestneho rozvoja pri výbere operácií tak, že sa tieto operácie zoradia podľa ich prispievania k</w:t>
      </w:r>
      <w:r w:rsidR="007F22E3" w:rsidRPr="009B7C77">
        <w:rPr>
          <w:rFonts w:asciiTheme="majorHAnsi" w:hAnsiTheme="majorHAnsi"/>
        </w:rPr>
        <w:t> </w:t>
      </w:r>
      <w:r w:rsidRPr="009B7C77">
        <w:rPr>
          <w:rFonts w:asciiTheme="majorHAnsi" w:hAnsiTheme="majorHAnsi"/>
        </w:rPr>
        <w:t>plneniu</w:t>
      </w:r>
      <w:r w:rsidR="007F22E3" w:rsidRPr="009B7C77">
        <w:rPr>
          <w:rFonts w:asciiTheme="majorHAnsi" w:hAnsiTheme="majorHAnsi"/>
        </w:rPr>
        <w:t xml:space="preserve"> </w:t>
      </w:r>
      <w:r w:rsidRPr="009B7C77">
        <w:rPr>
          <w:rFonts w:asciiTheme="majorHAnsi" w:hAnsiTheme="majorHAnsi"/>
        </w:rPr>
        <w:t>cieľov a</w:t>
      </w:r>
      <w:r w:rsidR="007F22E3" w:rsidRPr="009B7C77">
        <w:rPr>
          <w:rFonts w:asciiTheme="majorHAnsi" w:hAnsiTheme="majorHAnsi"/>
        </w:rPr>
        <w:t> </w:t>
      </w:r>
      <w:r w:rsidRPr="009B7C77">
        <w:rPr>
          <w:rFonts w:asciiTheme="majorHAnsi" w:hAnsiTheme="majorHAnsi"/>
        </w:rPr>
        <w:t>zámerov</w:t>
      </w:r>
      <w:r w:rsidR="007F22E3" w:rsidRPr="009B7C77">
        <w:rPr>
          <w:rFonts w:asciiTheme="majorHAnsi" w:hAnsiTheme="majorHAnsi"/>
        </w:rPr>
        <w:t xml:space="preserve"> </w:t>
      </w:r>
      <w:r w:rsidRPr="009B7C77">
        <w:rPr>
          <w:rFonts w:asciiTheme="majorHAnsi" w:hAnsiTheme="majorHAnsi"/>
        </w:rPr>
        <w:t>tejto stratégie,</w:t>
      </w:r>
    </w:p>
    <w:p w:rsidR="00BC2144" w:rsidRPr="009B7C77" w:rsidRDefault="00BC2144" w:rsidP="009B7C77">
      <w:pPr>
        <w:numPr>
          <w:ilvl w:val="0"/>
          <w:numId w:val="72"/>
        </w:numPr>
        <w:spacing w:before="0" w:after="0"/>
        <w:rPr>
          <w:rFonts w:asciiTheme="majorHAnsi" w:hAnsiTheme="majorHAnsi"/>
        </w:rPr>
      </w:pPr>
      <w:r w:rsidRPr="009B7C77">
        <w:rPr>
          <w:rFonts w:asciiTheme="majorHAnsi" w:hAnsiTheme="majorHAnsi"/>
        </w:rPr>
        <w:t>príprava a uverejnenie výziev na predkladanie žiadostí o podporu vrátane vymedzenia výberových kritérií,</w:t>
      </w:r>
    </w:p>
    <w:p w:rsidR="00BC2144" w:rsidRPr="009B7C77" w:rsidRDefault="00BC2144" w:rsidP="009B7C77">
      <w:pPr>
        <w:numPr>
          <w:ilvl w:val="0"/>
          <w:numId w:val="72"/>
        </w:numPr>
        <w:spacing w:before="0" w:after="0"/>
        <w:rPr>
          <w:rFonts w:asciiTheme="majorHAnsi" w:hAnsiTheme="majorHAnsi"/>
        </w:rPr>
      </w:pPr>
      <w:r w:rsidRPr="009B7C77">
        <w:rPr>
          <w:rFonts w:asciiTheme="majorHAnsi" w:hAnsiTheme="majorHAnsi"/>
        </w:rPr>
        <w:t>prijímanie a posudzovanie žiadostí o podporu,</w:t>
      </w:r>
    </w:p>
    <w:p w:rsidR="00BC2144" w:rsidRPr="009B7C77" w:rsidRDefault="00BC2144" w:rsidP="009B7C77">
      <w:pPr>
        <w:numPr>
          <w:ilvl w:val="0"/>
          <w:numId w:val="72"/>
        </w:numPr>
        <w:spacing w:before="0" w:after="0"/>
        <w:rPr>
          <w:rFonts w:asciiTheme="majorHAnsi" w:hAnsiTheme="majorHAnsi"/>
        </w:rPr>
      </w:pPr>
      <w:r w:rsidRPr="009B7C77">
        <w:rPr>
          <w:rFonts w:asciiTheme="majorHAnsi" w:hAnsiTheme="majorHAnsi"/>
        </w:rPr>
        <w:t>výber operácií a stanovenie výšky podpory a ich predloženie orgánu zodpovednému za konečné overenie oprávnenosti pred schválením,</w:t>
      </w:r>
    </w:p>
    <w:p w:rsidR="00BC2144" w:rsidRPr="009B7C77" w:rsidRDefault="00BC2144" w:rsidP="009B7C77">
      <w:pPr>
        <w:numPr>
          <w:ilvl w:val="0"/>
          <w:numId w:val="72"/>
        </w:numPr>
        <w:spacing w:before="0" w:after="0"/>
        <w:rPr>
          <w:rFonts w:asciiTheme="majorHAnsi" w:hAnsiTheme="majorHAnsi"/>
        </w:rPr>
      </w:pPr>
      <w:r w:rsidRPr="009B7C77">
        <w:rPr>
          <w:rFonts w:asciiTheme="majorHAnsi" w:hAnsiTheme="majorHAnsi"/>
        </w:rPr>
        <w:t>monitorovanie vykonávania stratégie miestneho rozvoja a podporovaných operácií a vykonávanie špecifických hodnotiacich aktivít súvisiacich so stratégiou.</w:t>
      </w:r>
    </w:p>
    <w:p w:rsidR="00BC2144" w:rsidRPr="009B7C77" w:rsidRDefault="00BC2144" w:rsidP="001C0BBB">
      <w:pPr>
        <w:spacing w:before="240" w:after="0"/>
        <w:rPr>
          <w:rFonts w:asciiTheme="majorHAnsi" w:hAnsiTheme="majorHAnsi"/>
        </w:rPr>
      </w:pPr>
      <w:r w:rsidRPr="009B7C77">
        <w:rPr>
          <w:rFonts w:asciiTheme="majorHAnsi" w:hAnsiTheme="majorHAnsi"/>
        </w:rPr>
        <w:t>Medzi ďalšie úlohy MAS patrí:</w:t>
      </w:r>
    </w:p>
    <w:p w:rsidR="00BC2144" w:rsidRPr="009B7C77" w:rsidRDefault="00BC2144" w:rsidP="009B7C77">
      <w:pPr>
        <w:numPr>
          <w:ilvl w:val="0"/>
          <w:numId w:val="73"/>
        </w:numPr>
        <w:spacing w:before="0" w:after="0"/>
        <w:rPr>
          <w:rFonts w:asciiTheme="majorHAnsi" w:hAnsiTheme="majorHAnsi"/>
        </w:rPr>
      </w:pPr>
      <w:r w:rsidRPr="009B7C77">
        <w:rPr>
          <w:rFonts w:asciiTheme="majorHAnsi" w:hAnsiTheme="majorHAnsi"/>
        </w:rPr>
        <w:t>publicita a informovanie o dotknutej oblasti a výsledkoch stratégie miestneho rozvoja,</w:t>
      </w:r>
    </w:p>
    <w:p w:rsidR="00BC2144" w:rsidRPr="009B7C77" w:rsidRDefault="00BC2144" w:rsidP="009B7C77">
      <w:pPr>
        <w:numPr>
          <w:ilvl w:val="0"/>
          <w:numId w:val="73"/>
        </w:numPr>
        <w:spacing w:before="0" w:after="0"/>
        <w:rPr>
          <w:rFonts w:asciiTheme="majorHAnsi" w:hAnsiTheme="majorHAnsi"/>
        </w:rPr>
      </w:pPr>
      <w:r w:rsidRPr="009B7C77">
        <w:rPr>
          <w:rFonts w:asciiTheme="majorHAnsi" w:hAnsiTheme="majorHAnsi"/>
        </w:rPr>
        <w:t>sieťovanie a spolupráca s inými MAS, resp. subjektmi na vidieku,</w:t>
      </w:r>
    </w:p>
    <w:p w:rsidR="00BC2144" w:rsidRPr="009B7C77" w:rsidRDefault="00BC2144" w:rsidP="009B7C77">
      <w:pPr>
        <w:numPr>
          <w:ilvl w:val="0"/>
          <w:numId w:val="73"/>
        </w:numPr>
        <w:spacing w:before="0" w:after="0"/>
        <w:rPr>
          <w:rFonts w:asciiTheme="majorHAnsi" w:hAnsiTheme="majorHAnsi"/>
        </w:rPr>
      </w:pPr>
      <w:r w:rsidRPr="009B7C77">
        <w:rPr>
          <w:rFonts w:asciiTheme="majorHAnsi" w:hAnsiTheme="majorHAnsi"/>
        </w:rPr>
        <w:lastRenderedPageBreak/>
        <w:t>ďalšie úlohy zadefinované v príslušných programoch.</w:t>
      </w:r>
    </w:p>
    <w:p w:rsidR="00475CDF" w:rsidRPr="00475CDF" w:rsidRDefault="00475CDF" w:rsidP="007F0E6D">
      <w:pPr>
        <w:keepNext/>
        <w:keepLines/>
        <w:numPr>
          <w:ilvl w:val="2"/>
          <w:numId w:val="2"/>
        </w:numPr>
        <w:spacing w:before="200" w:after="0"/>
        <w:outlineLvl w:val="2"/>
        <w:rPr>
          <w:rFonts w:asciiTheme="majorHAnsi" w:eastAsiaTheme="majorEastAsia" w:hAnsiTheme="majorHAnsi"/>
          <w:b/>
          <w:bCs/>
          <w:color w:val="4F81BD" w:themeColor="accent1"/>
          <w:sz w:val="26"/>
        </w:rPr>
      </w:pPr>
      <w:r w:rsidRPr="00475CDF">
        <w:rPr>
          <w:rFonts w:asciiTheme="majorHAnsi" w:eastAsiaTheme="majorEastAsia" w:hAnsiTheme="majorHAnsi"/>
          <w:b/>
          <w:bCs/>
          <w:color w:val="4F81BD" w:themeColor="accent1"/>
          <w:sz w:val="26"/>
        </w:rPr>
        <w:t>Integrované územné investície (IÚI)</w:t>
      </w:r>
    </w:p>
    <w:p w:rsidR="00475CDF" w:rsidRPr="00475CDF" w:rsidRDefault="00475CDF" w:rsidP="00475CDF">
      <w:pPr>
        <w:rPr>
          <w:rFonts w:asciiTheme="majorHAnsi" w:hAnsiTheme="majorHAnsi"/>
        </w:rPr>
      </w:pPr>
      <w:r w:rsidRPr="00475CDF">
        <w:rPr>
          <w:rFonts w:asciiTheme="majorHAnsi" w:hAnsiTheme="majorHAnsi"/>
        </w:rPr>
        <w:t xml:space="preserve">Základná požiadavka pre implementáciu IÚI je existencia strategického dokumentu, ktorý definuje najmä celkové ciele, vrátane očakávaných výsledkov; príslušné územie, na ktorom sa majú IÚI realizovať; investičné priority zodpovedajúcich </w:t>
      </w:r>
      <w:r w:rsidR="007F22E3">
        <w:rPr>
          <w:rFonts w:asciiTheme="majorHAnsi" w:hAnsiTheme="majorHAnsi"/>
        </w:rPr>
        <w:t>programov</w:t>
      </w:r>
      <w:r w:rsidRPr="00475CDF">
        <w:rPr>
          <w:rFonts w:asciiTheme="majorHAnsi" w:hAnsiTheme="majorHAnsi"/>
        </w:rPr>
        <w:t>; implementačné procesy výkonu stratégií a</w:t>
      </w:r>
      <w:r w:rsidR="007F22E3">
        <w:rPr>
          <w:rFonts w:asciiTheme="majorHAnsi" w:hAnsiTheme="majorHAnsi"/>
        </w:rPr>
        <w:t> </w:t>
      </w:r>
      <w:r w:rsidRPr="00475CDF">
        <w:rPr>
          <w:rFonts w:asciiTheme="majorHAnsi" w:hAnsiTheme="majorHAnsi"/>
        </w:rPr>
        <w:t>monitorovací</w:t>
      </w:r>
      <w:r w:rsidR="007F22E3">
        <w:rPr>
          <w:rFonts w:asciiTheme="majorHAnsi" w:hAnsiTheme="majorHAnsi"/>
        </w:rPr>
        <w:t xml:space="preserve"> </w:t>
      </w:r>
      <w:r w:rsidRPr="00475CDF">
        <w:rPr>
          <w:rFonts w:asciiTheme="majorHAnsi" w:hAnsiTheme="majorHAnsi"/>
        </w:rPr>
        <w:t>mechanizmus</w:t>
      </w:r>
      <w:r w:rsidR="007F22E3">
        <w:rPr>
          <w:rFonts w:asciiTheme="majorHAnsi" w:hAnsiTheme="majorHAnsi"/>
        </w:rPr>
        <w:t>,</w:t>
      </w:r>
      <w:r w:rsidRPr="00475CDF">
        <w:rPr>
          <w:rFonts w:asciiTheme="majorHAnsi" w:hAnsiTheme="majorHAnsi"/>
        </w:rPr>
        <w:t xml:space="preserve"> vrátane výsledkových ukazovateľov.</w:t>
      </w:r>
    </w:p>
    <w:p w:rsidR="007146BC" w:rsidRDefault="00475CDF" w:rsidP="007146BC">
      <w:pPr>
        <w:rPr>
          <w:rFonts w:asciiTheme="majorHAnsi" w:hAnsiTheme="majorHAnsi"/>
        </w:rPr>
      </w:pPr>
      <w:r w:rsidRPr="00475CDF">
        <w:rPr>
          <w:rFonts w:asciiTheme="majorHAnsi" w:hAnsiTheme="majorHAnsi"/>
        </w:rPr>
        <w:t xml:space="preserve">IÚI sa budú realizovať na základe tzv. regionálnych integrovaných územných stratégií (ďalej aj „RIÚS“), a to prostredníctvom IROP. </w:t>
      </w:r>
      <w:r w:rsidR="007146BC">
        <w:rPr>
          <w:rFonts w:asciiTheme="majorHAnsi" w:hAnsiTheme="majorHAnsi"/>
        </w:rPr>
        <w:t>RIÚS bude východiskovým strategickým dokumentom pre realizáciu IÚI na regionálnej úrovni, s dopadom na miestnu úroveň. Na základe RIÚS sa budú realizovať IÚI na úrovni regiónu v zmysle individuálnych a</w:t>
      </w:r>
      <w:r w:rsidR="007F22E3">
        <w:rPr>
          <w:rFonts w:asciiTheme="majorHAnsi" w:hAnsiTheme="majorHAnsi"/>
        </w:rPr>
        <w:t> </w:t>
      </w:r>
      <w:r w:rsidR="007146BC">
        <w:rPr>
          <w:rFonts w:asciiTheme="majorHAnsi" w:hAnsiTheme="majorHAnsi"/>
        </w:rPr>
        <w:t>integrovaných</w:t>
      </w:r>
      <w:r w:rsidR="007F22E3">
        <w:rPr>
          <w:rFonts w:asciiTheme="majorHAnsi" w:hAnsiTheme="majorHAnsi"/>
        </w:rPr>
        <w:t xml:space="preserve"> </w:t>
      </w:r>
      <w:r w:rsidR="007146BC">
        <w:rPr>
          <w:rFonts w:asciiTheme="majorHAnsi" w:hAnsiTheme="majorHAnsi"/>
        </w:rPr>
        <w:t>projektov, ktorých vzájomná realizácia prispieva k plneniu cieľov danej RIÚS. RIÚS bude obsahovať analyticko-strategickú časť (analýza, tematické oblasti podpory, očakávané výsledky) a programovú časť (plánované opatrenia, ktoré sa majú realizovať na území RIÚS, harmonogram ich implementácie a</w:t>
      </w:r>
      <w:r w:rsidR="007F22E3">
        <w:rPr>
          <w:rFonts w:asciiTheme="majorHAnsi" w:hAnsiTheme="majorHAnsi"/>
        </w:rPr>
        <w:t> </w:t>
      </w:r>
      <w:r w:rsidR="007146BC">
        <w:rPr>
          <w:rFonts w:asciiTheme="majorHAnsi" w:hAnsiTheme="majorHAnsi"/>
        </w:rPr>
        <w:t>proces</w:t>
      </w:r>
      <w:r w:rsidR="007F22E3">
        <w:rPr>
          <w:rFonts w:asciiTheme="majorHAnsi" w:hAnsiTheme="majorHAnsi"/>
        </w:rPr>
        <w:t xml:space="preserve"> </w:t>
      </w:r>
      <w:r w:rsidR="007146BC">
        <w:rPr>
          <w:rFonts w:asciiTheme="majorHAnsi" w:hAnsiTheme="majorHAnsi"/>
        </w:rPr>
        <w:t>monitorovania danej RIÚS). Integrovaný prístup v danom funkčnom území bude zabezpečený tým, že prostredníctvom RIÚS budú musieť byť identifikované také plánované opatrenia, ktoré prispejú k</w:t>
      </w:r>
      <w:r w:rsidR="007F22E3">
        <w:rPr>
          <w:rFonts w:asciiTheme="majorHAnsi" w:hAnsiTheme="majorHAnsi"/>
        </w:rPr>
        <w:t> </w:t>
      </w:r>
      <w:r w:rsidR="007146BC">
        <w:rPr>
          <w:rFonts w:asciiTheme="majorHAnsi" w:hAnsiTheme="majorHAnsi"/>
        </w:rPr>
        <w:t>rozvoju</w:t>
      </w:r>
      <w:r w:rsidR="007F22E3">
        <w:rPr>
          <w:rFonts w:asciiTheme="majorHAnsi" w:hAnsiTheme="majorHAnsi"/>
        </w:rPr>
        <w:t xml:space="preserve"> </w:t>
      </w:r>
      <w:r w:rsidR="007146BC">
        <w:rPr>
          <w:rFonts w:asciiTheme="majorHAnsi" w:hAnsiTheme="majorHAnsi"/>
        </w:rPr>
        <w:t>celého funkčného územia RIÚS. Každá RIÚS bude pokrývať územie NUTS 3, t. j. celkovo bude implementovaných 8 RIÚS, vrátane BSK, ktoré spoločne pokrývajú územie celej SR.</w:t>
      </w:r>
    </w:p>
    <w:p w:rsidR="007146BC" w:rsidRDefault="007146BC" w:rsidP="007146BC">
      <w:pPr>
        <w:rPr>
          <w:rFonts w:asciiTheme="majorHAnsi" w:hAnsiTheme="majorHAnsi"/>
        </w:rPr>
      </w:pPr>
      <w:r>
        <w:rPr>
          <w:rFonts w:asciiTheme="majorHAnsi" w:hAnsiTheme="majorHAnsi"/>
        </w:rPr>
        <w:t>Plánované o</w:t>
      </w:r>
      <w:r w:rsidR="00475CDF" w:rsidRPr="00475CDF">
        <w:rPr>
          <w:rFonts w:asciiTheme="majorHAnsi" w:hAnsiTheme="majorHAnsi"/>
        </w:rPr>
        <w:t>patrenia a aktivity vychádzajúce z RIÚS budú financované z</w:t>
      </w:r>
      <w:r w:rsidR="007F4588">
        <w:rPr>
          <w:rFonts w:asciiTheme="majorHAnsi" w:hAnsiTheme="majorHAnsi"/>
        </w:rPr>
        <w:t xml:space="preserve"> väčšiny </w:t>
      </w:r>
      <w:r w:rsidR="00475CDF" w:rsidRPr="00475CDF">
        <w:rPr>
          <w:rFonts w:asciiTheme="majorHAnsi" w:hAnsiTheme="majorHAnsi"/>
        </w:rPr>
        <w:t xml:space="preserve">tematických prioritných osí IROP. Na zabezpečenie integrovaného charakteru a komplexných riešení budú </w:t>
      </w:r>
      <w:r>
        <w:rPr>
          <w:rFonts w:asciiTheme="majorHAnsi" w:hAnsiTheme="majorHAnsi"/>
        </w:rPr>
        <w:t xml:space="preserve">plánované </w:t>
      </w:r>
      <w:r w:rsidR="00475CDF" w:rsidRPr="00475CDF">
        <w:rPr>
          <w:rFonts w:asciiTheme="majorHAnsi" w:hAnsiTheme="majorHAnsi"/>
        </w:rPr>
        <w:t xml:space="preserve">opatrenia financované z IROP komplementárne podporované „mäkkými“ opatreniami financovanými z ESF prostredníctvom „OP ĽZ. V RIÚS budú navrhované aj „mäkké“ opatrenia, ktoré budú komplementárne zodpovedať investičným aktivitám IROP. Koordinácia podpory medzi IROP a OP ĽZ bude zabezpečovaná na úrovni </w:t>
      </w:r>
      <w:r w:rsidR="00BD1007">
        <w:rPr>
          <w:rFonts w:asciiTheme="majorHAnsi" w:hAnsiTheme="majorHAnsi"/>
        </w:rPr>
        <w:t>RO</w:t>
      </w:r>
      <w:r w:rsidR="00475CDF" w:rsidRPr="00475CDF">
        <w:rPr>
          <w:rFonts w:asciiTheme="majorHAnsi" w:hAnsiTheme="majorHAnsi"/>
        </w:rPr>
        <w:t>, a to prostredníctvom pracovných skupín pre oblasť deinštitucionalizácie poskytovania sociálnych služieb a náhradnej starostlivosti a pre oblasť vzdelávania.</w:t>
      </w:r>
      <w:r w:rsidRPr="007146BC">
        <w:rPr>
          <w:rFonts w:asciiTheme="majorHAnsi" w:hAnsiTheme="majorHAnsi"/>
        </w:rPr>
        <w:t xml:space="preserve"> </w:t>
      </w:r>
      <w:r>
        <w:rPr>
          <w:rFonts w:asciiTheme="majorHAnsi" w:hAnsiTheme="majorHAnsi"/>
        </w:rPr>
        <w:t>V rámci RIÚS sa nevylučuje aj možnosť identifikácie takých plánovaných opatrení, ktorých realizácia bude v kompetencii iných OP. Žiadosti o </w:t>
      </w:r>
      <w:r w:rsidR="00154311">
        <w:rPr>
          <w:rFonts w:asciiTheme="majorHAnsi" w:hAnsiTheme="majorHAnsi"/>
        </w:rPr>
        <w:t>podporu</w:t>
      </w:r>
      <w:r>
        <w:rPr>
          <w:rFonts w:asciiTheme="majorHAnsi" w:hAnsiTheme="majorHAnsi"/>
        </w:rPr>
        <w:t>, ktoré budú predkladané na schválenie iných OP, ako IROP, a ich ciele budú korešpondovať s plánovanými opatreniami v</w:t>
      </w:r>
      <w:r w:rsidR="007F22E3">
        <w:rPr>
          <w:rFonts w:asciiTheme="majorHAnsi" w:hAnsiTheme="majorHAnsi"/>
        </w:rPr>
        <w:t> </w:t>
      </w:r>
      <w:r>
        <w:rPr>
          <w:rFonts w:asciiTheme="majorHAnsi" w:hAnsiTheme="majorHAnsi"/>
        </w:rPr>
        <w:t>schválenej</w:t>
      </w:r>
      <w:r w:rsidR="007F22E3">
        <w:rPr>
          <w:rFonts w:asciiTheme="majorHAnsi" w:hAnsiTheme="majorHAnsi"/>
        </w:rPr>
        <w:t xml:space="preserve"> </w:t>
      </w:r>
      <w:r>
        <w:rPr>
          <w:rFonts w:asciiTheme="majorHAnsi" w:hAnsiTheme="majorHAnsi"/>
        </w:rPr>
        <w:t>RIÚS, budú zvýhodnené v hodnotiacom a výberovom procese.</w:t>
      </w:r>
    </w:p>
    <w:p w:rsidR="00475CDF" w:rsidRPr="00475CDF" w:rsidRDefault="00475CDF" w:rsidP="00475CDF">
      <w:pPr>
        <w:rPr>
          <w:rFonts w:asciiTheme="majorHAnsi" w:hAnsiTheme="majorHAnsi"/>
        </w:rPr>
      </w:pPr>
      <w:r w:rsidRPr="00475CDF">
        <w:rPr>
          <w:rFonts w:asciiTheme="majorHAnsi" w:hAnsiTheme="majorHAnsi"/>
        </w:rPr>
        <w:t>Model RIÚS predstavuje aplikáciu princípu partnerstva v súlade č</w:t>
      </w:r>
      <w:r w:rsidR="00BD1007">
        <w:rPr>
          <w:rFonts w:asciiTheme="majorHAnsi" w:hAnsiTheme="majorHAnsi"/>
        </w:rPr>
        <w:t>l</w:t>
      </w:r>
      <w:r w:rsidRPr="00475CDF">
        <w:rPr>
          <w:rFonts w:asciiTheme="majorHAnsi" w:hAnsiTheme="majorHAnsi"/>
        </w:rPr>
        <w:t xml:space="preserve">. 5 nariadenia EP a Rady (EÚ) </w:t>
      </w:r>
      <w:r w:rsidR="00BD1007">
        <w:rPr>
          <w:rFonts w:asciiTheme="majorHAnsi" w:hAnsiTheme="majorHAnsi"/>
        </w:rPr>
        <w:br/>
      </w:r>
      <w:r w:rsidRPr="00475CDF">
        <w:rPr>
          <w:rFonts w:asciiTheme="majorHAnsi" w:hAnsiTheme="majorHAnsi"/>
        </w:rPr>
        <w:t>č. 1303/2013. Nositeľom RIÚS bude „partnerstvo pre tvorbu a implementáciu RIÚS“ (ďalej aj „partnerstvo“) zložené z</w:t>
      </w:r>
      <w:r w:rsidR="007146BC">
        <w:rPr>
          <w:rFonts w:asciiTheme="majorHAnsi" w:hAnsiTheme="majorHAnsi"/>
        </w:rPr>
        <w:t>o zástupcov</w:t>
      </w:r>
      <w:r w:rsidR="00364F6E">
        <w:rPr>
          <w:rFonts w:asciiTheme="majorHAnsi" w:hAnsiTheme="majorHAnsi"/>
        </w:rPr>
        <w:t xml:space="preserve"> </w:t>
      </w:r>
      <w:r w:rsidRPr="00475CDF">
        <w:rPr>
          <w:rFonts w:asciiTheme="majorHAnsi" w:hAnsiTheme="majorHAnsi"/>
        </w:rPr>
        <w:t>regionálnej samosprávy (vyššie územné celky), miestnej samosprávy (mestá a obce), štátnej správy, miestnych iniciatív (miestne akčné skupiny, združenia obcí) a ďalších sociálno-ekonomických partnerov (podnikateľský sektor, záujmové združenia, tretí sektor). Regionálne partnerstvo bude inštitucionalizované vo forme Rady partnerstva pre RIÚS, zloženej z</w:t>
      </w:r>
      <w:r w:rsidR="007F22E3">
        <w:rPr>
          <w:rFonts w:asciiTheme="majorHAnsi" w:hAnsiTheme="majorHAnsi"/>
        </w:rPr>
        <w:t> </w:t>
      </w:r>
      <w:r w:rsidRPr="00475CDF">
        <w:rPr>
          <w:rFonts w:asciiTheme="majorHAnsi" w:hAnsiTheme="majorHAnsi"/>
        </w:rPr>
        <w:t>vybraných</w:t>
      </w:r>
      <w:r w:rsidR="007F22E3">
        <w:rPr>
          <w:rFonts w:asciiTheme="majorHAnsi" w:hAnsiTheme="majorHAnsi"/>
        </w:rPr>
        <w:t xml:space="preserve"> </w:t>
      </w:r>
      <w:r w:rsidRPr="00475CDF">
        <w:rPr>
          <w:rFonts w:asciiTheme="majorHAnsi" w:hAnsiTheme="majorHAnsi"/>
        </w:rPr>
        <w:t>zástupcov subjektov tvoriacich partnerstvo. Rada partnerstva pre RIÚS bude mať rozhodujúcu úlohu pri príprave RIÚS, najmä čo sa týka definovania územného priemetu cieľov IROP, ktoré sa majú realizovať na území pokrývanom RIÚS.</w:t>
      </w:r>
    </w:p>
    <w:p w:rsidR="007146BC" w:rsidRDefault="007146BC" w:rsidP="007146BC">
      <w:pPr>
        <w:rPr>
          <w:rFonts w:asciiTheme="majorHAnsi" w:hAnsiTheme="majorHAnsi"/>
        </w:rPr>
      </w:pPr>
      <w:r>
        <w:rPr>
          <w:rFonts w:asciiTheme="majorHAnsi" w:hAnsiTheme="majorHAnsi"/>
        </w:rPr>
        <w:t xml:space="preserve">Vyššie územné celky (NUTS 3) budú plniť úlohu </w:t>
      </w:r>
      <w:r w:rsidR="00475CDF" w:rsidRPr="00475CDF">
        <w:rPr>
          <w:rFonts w:asciiTheme="majorHAnsi" w:hAnsiTheme="majorHAnsi"/>
        </w:rPr>
        <w:t>gestora prípravy a implementácie RIÚS (ďalej len „gestor RIÚS“)</w:t>
      </w:r>
      <w:r>
        <w:rPr>
          <w:rFonts w:asciiTheme="majorHAnsi" w:hAnsiTheme="majorHAnsi"/>
        </w:rPr>
        <w:t>.</w:t>
      </w:r>
      <w:r w:rsidR="00475CDF" w:rsidRPr="00475CDF">
        <w:rPr>
          <w:rFonts w:asciiTheme="majorHAnsi" w:hAnsiTheme="majorHAnsi"/>
        </w:rPr>
        <w:t xml:space="preserve"> </w:t>
      </w:r>
      <w:r>
        <w:rPr>
          <w:rFonts w:asciiTheme="majorHAnsi" w:hAnsiTheme="majorHAnsi"/>
        </w:rPr>
        <w:t>V</w:t>
      </w:r>
      <w:r w:rsidR="00475CDF" w:rsidRPr="00475CDF">
        <w:rPr>
          <w:rFonts w:asciiTheme="majorHAnsi" w:hAnsiTheme="majorHAnsi"/>
        </w:rPr>
        <w:t xml:space="preserve">šetky zásadné rozhodnutia a výstupy gestorov RIÚS budú podliehať schváleniu Radou partnerstva pre RIÚS. Úloha </w:t>
      </w:r>
      <w:r w:rsidR="00BD1007">
        <w:rPr>
          <w:rFonts w:asciiTheme="majorHAnsi" w:hAnsiTheme="majorHAnsi"/>
        </w:rPr>
        <w:t>RO</w:t>
      </w:r>
      <w:r w:rsidR="00475CDF" w:rsidRPr="00475CDF">
        <w:rPr>
          <w:rFonts w:asciiTheme="majorHAnsi" w:hAnsiTheme="majorHAnsi"/>
        </w:rPr>
        <w:t xml:space="preserve"> pre IROP bude vo vzťahu k partnerstvu potvrdzovať jeho rozhodnutia, ako napr. schvaľovanie RIÚS, schvaľovanie predložených žiadostí o</w:t>
      </w:r>
      <w:r>
        <w:rPr>
          <w:rFonts w:asciiTheme="majorHAnsi" w:hAnsiTheme="majorHAnsi"/>
        </w:rPr>
        <w:t> </w:t>
      </w:r>
      <w:r w:rsidR="00154311">
        <w:rPr>
          <w:rFonts w:asciiTheme="majorHAnsi" w:hAnsiTheme="majorHAnsi"/>
        </w:rPr>
        <w:t>podporu</w:t>
      </w:r>
      <w:r>
        <w:rPr>
          <w:rFonts w:asciiTheme="majorHAnsi" w:hAnsiTheme="majorHAnsi"/>
        </w:rPr>
        <w:t xml:space="preserve">, </w:t>
      </w:r>
      <w:r w:rsidR="00475CDF" w:rsidRPr="00475CDF">
        <w:rPr>
          <w:rFonts w:asciiTheme="majorHAnsi" w:hAnsiTheme="majorHAnsi"/>
        </w:rPr>
        <w:t xml:space="preserve">na základe </w:t>
      </w:r>
      <w:r>
        <w:rPr>
          <w:rFonts w:asciiTheme="majorHAnsi" w:hAnsiTheme="majorHAnsi"/>
        </w:rPr>
        <w:t>plánovaných opatrení,</w:t>
      </w:r>
      <w:r w:rsidR="00475CDF" w:rsidRPr="00475CDF">
        <w:rPr>
          <w:rFonts w:asciiTheme="majorHAnsi" w:hAnsiTheme="majorHAnsi"/>
        </w:rPr>
        <w:t xml:space="preserve"> schválených na úrovni Rady partnerstva pre RIÚS a dohliadať na napĺňanie stratégie IROP.</w:t>
      </w:r>
      <w:r>
        <w:rPr>
          <w:rFonts w:asciiTheme="majorHAnsi" w:hAnsiTheme="majorHAnsi"/>
        </w:rPr>
        <w:t xml:space="preserve"> Proces monitorovania a hodnotenia na národnej úrovni bude zabezpečovať RO pre IROP, v spolupráci s  gestormi RIÚS.</w:t>
      </w:r>
    </w:p>
    <w:p w:rsidR="00475CDF" w:rsidRPr="00475CDF" w:rsidRDefault="00475CDF" w:rsidP="00475CDF">
      <w:pPr>
        <w:tabs>
          <w:tab w:val="left" w:pos="709"/>
        </w:tabs>
        <w:spacing w:before="0" w:after="0"/>
        <w:rPr>
          <w:rFonts w:asciiTheme="majorHAnsi" w:hAnsiTheme="majorHAnsi"/>
        </w:rPr>
      </w:pPr>
      <w:r w:rsidRPr="00475CDF">
        <w:rPr>
          <w:rFonts w:asciiTheme="majorHAnsi" w:hAnsiTheme="majorHAnsi"/>
        </w:rPr>
        <w:t xml:space="preserve">RIÚS bude vychádzať z programov hospodárskeho a sociálneho rozvoja samosprávnych krajov, programov hospodárskeho a sociálneho rozvoja miest a obcí, regionálnych, sektorových koncepčných a ďalších relevantných strategických dokumentov. RIÚS bude záväzným </w:t>
      </w:r>
      <w:r w:rsidR="007146BC">
        <w:rPr>
          <w:rFonts w:asciiTheme="majorHAnsi" w:hAnsiTheme="majorHAnsi"/>
        </w:rPr>
        <w:t>strategickým dokumentom</w:t>
      </w:r>
      <w:r w:rsidRPr="00475CDF">
        <w:rPr>
          <w:rFonts w:asciiTheme="majorHAnsi" w:hAnsiTheme="majorHAnsi"/>
        </w:rPr>
        <w:t xml:space="preserve"> </w:t>
      </w:r>
      <w:r w:rsidRPr="00475CDF">
        <w:rPr>
          <w:rFonts w:asciiTheme="majorHAnsi" w:hAnsiTheme="majorHAnsi"/>
        </w:rPr>
        <w:lastRenderedPageBreak/>
        <w:t>implementácie IROP v danom regióne definujúcim konkrétne plánované opatrenia</w:t>
      </w:r>
      <w:r w:rsidR="007146BC">
        <w:rPr>
          <w:rFonts w:asciiTheme="majorHAnsi" w:hAnsiTheme="majorHAnsi"/>
        </w:rPr>
        <w:t>, ktoré budú východiskom pre žiadosti o </w:t>
      </w:r>
      <w:r w:rsidR="00154311">
        <w:rPr>
          <w:rFonts w:asciiTheme="majorHAnsi" w:hAnsiTheme="majorHAnsi"/>
        </w:rPr>
        <w:t>podporu</w:t>
      </w:r>
      <w:r w:rsidR="007146BC">
        <w:rPr>
          <w:rFonts w:asciiTheme="majorHAnsi" w:hAnsiTheme="majorHAnsi"/>
        </w:rPr>
        <w:t xml:space="preserve">, </w:t>
      </w:r>
      <w:r w:rsidRPr="00475CDF">
        <w:rPr>
          <w:rFonts w:asciiTheme="majorHAnsi" w:hAnsiTheme="majorHAnsi"/>
        </w:rPr>
        <w:t>s dôrazom na integrovaný prístup pre rozvoj územia.</w:t>
      </w:r>
    </w:p>
    <w:p w:rsidR="00475CDF" w:rsidRPr="00475CDF" w:rsidRDefault="00475CDF" w:rsidP="00475CDF">
      <w:pPr>
        <w:keepNext/>
        <w:spacing w:before="240" w:after="0"/>
        <w:rPr>
          <w:rFonts w:asciiTheme="majorHAnsi" w:hAnsiTheme="majorHAnsi"/>
          <w:b/>
          <w:bCs/>
          <w:sz w:val="18"/>
          <w:szCs w:val="18"/>
        </w:rPr>
      </w:pPr>
      <w:r w:rsidRPr="00475CDF">
        <w:rPr>
          <w:rFonts w:asciiTheme="majorHAnsi" w:hAnsiTheme="majorHAnsi"/>
          <w:sz w:val="18"/>
          <w:szCs w:val="18"/>
        </w:rPr>
        <w:t xml:space="preserve">Tabuľka </w:t>
      </w:r>
      <w:r w:rsidR="004E018F">
        <w:rPr>
          <w:rFonts w:asciiTheme="majorHAnsi" w:hAnsiTheme="majorHAnsi"/>
          <w:sz w:val="18"/>
          <w:szCs w:val="18"/>
        </w:rPr>
        <w:t>1</w:t>
      </w:r>
      <w:r w:rsidRPr="00475CDF">
        <w:rPr>
          <w:rFonts w:asciiTheme="majorHAnsi" w:hAnsiTheme="majorHAnsi"/>
          <w:sz w:val="18"/>
          <w:szCs w:val="18"/>
        </w:rPr>
        <w:fldChar w:fldCharType="begin"/>
      </w:r>
      <w:r w:rsidRPr="00475CDF">
        <w:rPr>
          <w:rFonts w:asciiTheme="majorHAnsi" w:hAnsiTheme="majorHAnsi"/>
          <w:sz w:val="18"/>
          <w:szCs w:val="18"/>
        </w:rPr>
        <w:instrText xml:space="preserve"> SEQ Tabuľka \* ARABIC </w:instrText>
      </w:r>
      <w:r w:rsidRPr="00475CDF">
        <w:rPr>
          <w:rFonts w:asciiTheme="majorHAnsi" w:hAnsiTheme="majorHAnsi"/>
          <w:sz w:val="18"/>
          <w:szCs w:val="18"/>
        </w:rPr>
        <w:fldChar w:fldCharType="separate"/>
      </w:r>
      <w:r w:rsidR="00FA18BA">
        <w:rPr>
          <w:rFonts w:asciiTheme="majorHAnsi" w:hAnsiTheme="majorHAnsi"/>
          <w:noProof/>
          <w:sz w:val="18"/>
          <w:szCs w:val="18"/>
        </w:rPr>
        <w:t>7</w:t>
      </w:r>
      <w:r w:rsidRPr="00475CDF">
        <w:rPr>
          <w:rFonts w:asciiTheme="majorHAnsi" w:hAnsiTheme="majorHAnsi"/>
          <w:sz w:val="18"/>
          <w:szCs w:val="18"/>
        </w:rPr>
        <w:fldChar w:fldCharType="end"/>
      </w:r>
      <w:r w:rsidRPr="00475CDF">
        <w:rPr>
          <w:rFonts w:asciiTheme="majorHAnsi" w:hAnsiTheme="majorHAnsi"/>
          <w:sz w:val="18"/>
          <w:szCs w:val="18"/>
        </w:rPr>
        <w:t>: Indikatívna finančná alokácia pre IÚI okrem U</w:t>
      </w:r>
      <w:r w:rsidR="00B951F4">
        <w:rPr>
          <w:rFonts w:asciiTheme="majorHAnsi" w:hAnsiTheme="majorHAnsi"/>
          <w:sz w:val="18"/>
          <w:szCs w:val="18"/>
        </w:rPr>
        <w:t>M</w:t>
      </w:r>
      <w:r w:rsidRPr="00475CDF">
        <w:rPr>
          <w:rFonts w:asciiTheme="majorHAnsi" w:hAnsiTheme="majorHAnsi"/>
          <w:sz w:val="18"/>
          <w:szCs w:val="18"/>
        </w:rPr>
        <w:t>R</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8"/>
        <w:gridCol w:w="1134"/>
        <w:gridCol w:w="3685"/>
      </w:tblGrid>
      <w:tr w:rsidR="00475CDF" w:rsidRPr="005211F5" w:rsidTr="003F0750">
        <w:trPr>
          <w:trHeight w:val="397"/>
          <w:tblHeader/>
        </w:trPr>
        <w:tc>
          <w:tcPr>
            <w:tcW w:w="4268"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rPr>
            </w:pPr>
            <w:r w:rsidRPr="00174E83">
              <w:rPr>
                <w:rFonts w:asciiTheme="majorHAnsi" w:hAnsiTheme="majorHAnsi"/>
                <w:sz w:val="20"/>
                <w:szCs w:val="20"/>
              </w:rPr>
              <w:t>Prioritná os</w:t>
            </w:r>
          </w:p>
        </w:tc>
        <w:tc>
          <w:tcPr>
            <w:tcW w:w="1134"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rPr>
            </w:pPr>
            <w:r w:rsidRPr="00174E83">
              <w:rPr>
                <w:rFonts w:asciiTheme="majorHAnsi" w:hAnsiTheme="majorHAnsi"/>
                <w:sz w:val="20"/>
                <w:szCs w:val="20"/>
              </w:rPr>
              <w:t>Fond</w:t>
            </w:r>
          </w:p>
        </w:tc>
        <w:tc>
          <w:tcPr>
            <w:tcW w:w="3685" w:type="dxa"/>
            <w:noWrap/>
            <w:vAlign w:val="center"/>
            <w:hideMark/>
          </w:tcPr>
          <w:p w:rsidR="00475CDF" w:rsidRPr="00174E83" w:rsidRDefault="00475CDF" w:rsidP="007F22E3">
            <w:pPr>
              <w:tabs>
                <w:tab w:val="left" w:pos="709"/>
              </w:tabs>
              <w:spacing w:before="0" w:after="0"/>
              <w:jc w:val="center"/>
              <w:rPr>
                <w:rFonts w:asciiTheme="majorHAnsi" w:hAnsiTheme="majorHAnsi"/>
                <w:sz w:val="20"/>
                <w:szCs w:val="20"/>
              </w:rPr>
            </w:pPr>
            <w:r w:rsidRPr="00174E83">
              <w:rPr>
                <w:rFonts w:asciiTheme="majorHAnsi" w:hAnsiTheme="majorHAnsi"/>
                <w:sz w:val="20"/>
                <w:szCs w:val="20"/>
              </w:rPr>
              <w:t>Indikatívna alokácia v</w:t>
            </w:r>
            <w:r w:rsidR="007F22E3" w:rsidRPr="00174E83">
              <w:rPr>
                <w:rFonts w:asciiTheme="majorHAnsi" w:hAnsiTheme="majorHAnsi"/>
                <w:sz w:val="20"/>
                <w:szCs w:val="20"/>
              </w:rPr>
              <w:t> </w:t>
            </w:r>
            <w:r w:rsidRPr="00174E83">
              <w:rPr>
                <w:rFonts w:asciiTheme="majorHAnsi" w:hAnsiTheme="majorHAnsi"/>
                <w:sz w:val="20"/>
                <w:szCs w:val="20"/>
              </w:rPr>
              <w:t>EUR</w:t>
            </w:r>
            <w:r w:rsidR="007F22E3" w:rsidRPr="00174E83">
              <w:rPr>
                <w:rFonts w:asciiTheme="majorHAnsi" w:hAnsiTheme="majorHAnsi"/>
                <w:sz w:val="20"/>
                <w:szCs w:val="20"/>
              </w:rPr>
              <w:t xml:space="preserve"> </w:t>
            </w:r>
            <w:r w:rsidRPr="00174E83">
              <w:rPr>
                <w:rFonts w:asciiTheme="majorHAnsi" w:hAnsiTheme="majorHAnsi"/>
                <w:sz w:val="20"/>
                <w:szCs w:val="20"/>
              </w:rPr>
              <w:t>(zdroje EÚ)</w:t>
            </w:r>
          </w:p>
        </w:tc>
      </w:tr>
      <w:tr w:rsidR="00475CDF" w:rsidRPr="005211F5" w:rsidTr="003F0750">
        <w:trPr>
          <w:trHeight w:val="300"/>
        </w:trPr>
        <w:tc>
          <w:tcPr>
            <w:tcW w:w="4268" w:type="dxa"/>
            <w:noWrap/>
            <w:vAlign w:val="bottom"/>
            <w:hideMark/>
          </w:tcPr>
          <w:p w:rsidR="00475CDF" w:rsidRPr="00174E83" w:rsidRDefault="00475CDF" w:rsidP="00475CDF">
            <w:pPr>
              <w:tabs>
                <w:tab w:val="left" w:pos="709"/>
              </w:tabs>
              <w:spacing w:before="0" w:after="0"/>
              <w:rPr>
                <w:rFonts w:asciiTheme="majorHAnsi" w:hAnsiTheme="majorHAnsi"/>
                <w:sz w:val="20"/>
                <w:szCs w:val="20"/>
              </w:rPr>
            </w:pPr>
            <w:r w:rsidRPr="00174E83">
              <w:rPr>
                <w:rFonts w:asciiTheme="majorHAnsi" w:hAnsiTheme="majorHAnsi"/>
                <w:sz w:val="20"/>
                <w:szCs w:val="20"/>
              </w:rPr>
              <w:t>PO 1 Bezpečná a ekologická doprava v</w:t>
            </w:r>
            <w:r w:rsidR="000D3C8B" w:rsidRPr="00174E83">
              <w:rPr>
                <w:rFonts w:asciiTheme="majorHAnsi" w:hAnsiTheme="majorHAnsi"/>
                <w:sz w:val="20"/>
                <w:szCs w:val="20"/>
              </w:rPr>
              <w:t> </w:t>
            </w:r>
            <w:r w:rsidRPr="00174E83">
              <w:rPr>
                <w:rFonts w:asciiTheme="majorHAnsi" w:hAnsiTheme="majorHAnsi"/>
                <w:sz w:val="20"/>
                <w:szCs w:val="20"/>
              </w:rPr>
              <w:t>regiónoch</w:t>
            </w:r>
          </w:p>
        </w:tc>
        <w:tc>
          <w:tcPr>
            <w:tcW w:w="1134"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EFRR</w:t>
            </w:r>
          </w:p>
        </w:tc>
        <w:tc>
          <w:tcPr>
            <w:tcW w:w="3685"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3</w:t>
            </w:r>
            <w:r w:rsidR="00730EE3" w:rsidRPr="00174E83">
              <w:rPr>
                <w:rFonts w:asciiTheme="majorHAnsi" w:hAnsiTheme="majorHAnsi"/>
                <w:sz w:val="20"/>
                <w:szCs w:val="20"/>
              </w:rPr>
              <w:t>1</w:t>
            </w:r>
            <w:r w:rsidRPr="00174E83">
              <w:rPr>
                <w:rFonts w:asciiTheme="majorHAnsi" w:hAnsiTheme="majorHAnsi"/>
                <w:sz w:val="20"/>
                <w:szCs w:val="20"/>
              </w:rPr>
              <w:t>2 000 000,00</w:t>
            </w:r>
          </w:p>
        </w:tc>
      </w:tr>
      <w:tr w:rsidR="00475CDF" w:rsidRPr="005211F5" w:rsidTr="003F0750">
        <w:trPr>
          <w:trHeight w:val="300"/>
        </w:trPr>
        <w:tc>
          <w:tcPr>
            <w:tcW w:w="4268" w:type="dxa"/>
            <w:noWrap/>
            <w:vAlign w:val="bottom"/>
            <w:hideMark/>
          </w:tcPr>
          <w:p w:rsidR="00475CDF" w:rsidRPr="00174E83" w:rsidRDefault="00475CDF" w:rsidP="00475CDF">
            <w:pPr>
              <w:tabs>
                <w:tab w:val="left" w:pos="709"/>
              </w:tabs>
              <w:spacing w:before="0" w:after="0"/>
              <w:rPr>
                <w:rFonts w:asciiTheme="majorHAnsi" w:hAnsiTheme="majorHAnsi"/>
                <w:sz w:val="20"/>
                <w:szCs w:val="20"/>
              </w:rPr>
            </w:pPr>
            <w:r w:rsidRPr="00174E83">
              <w:rPr>
                <w:rFonts w:asciiTheme="majorHAnsi" w:hAnsiTheme="majorHAnsi"/>
                <w:sz w:val="20"/>
                <w:szCs w:val="20"/>
              </w:rPr>
              <w:t>PO 2 Ľahší prístup k efektívnym a kvalitnejším verejným službám</w:t>
            </w:r>
          </w:p>
        </w:tc>
        <w:tc>
          <w:tcPr>
            <w:tcW w:w="1134"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EFRR</w:t>
            </w:r>
          </w:p>
        </w:tc>
        <w:tc>
          <w:tcPr>
            <w:tcW w:w="3685"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47</w:t>
            </w:r>
            <w:r w:rsidR="00730EE3" w:rsidRPr="00174E83">
              <w:rPr>
                <w:rFonts w:asciiTheme="majorHAnsi" w:hAnsiTheme="majorHAnsi"/>
                <w:sz w:val="20"/>
                <w:szCs w:val="20"/>
              </w:rPr>
              <w:t>3</w:t>
            </w:r>
            <w:r w:rsidRPr="00174E83">
              <w:rPr>
                <w:rFonts w:asciiTheme="majorHAnsi" w:hAnsiTheme="majorHAnsi"/>
                <w:sz w:val="20"/>
                <w:szCs w:val="20"/>
              </w:rPr>
              <w:t xml:space="preserve"> </w:t>
            </w:r>
            <w:r w:rsidR="00730EE3" w:rsidRPr="00174E83">
              <w:rPr>
                <w:rFonts w:asciiTheme="majorHAnsi" w:hAnsiTheme="majorHAnsi"/>
                <w:sz w:val="20"/>
                <w:szCs w:val="20"/>
              </w:rPr>
              <w:t>18</w:t>
            </w:r>
            <w:r w:rsidRPr="00174E83">
              <w:rPr>
                <w:rFonts w:asciiTheme="majorHAnsi" w:hAnsiTheme="majorHAnsi"/>
                <w:sz w:val="20"/>
                <w:szCs w:val="20"/>
              </w:rPr>
              <w:t>3 197,00</w:t>
            </w:r>
          </w:p>
        </w:tc>
      </w:tr>
      <w:tr w:rsidR="00475CDF" w:rsidRPr="005211F5" w:rsidTr="003F0750">
        <w:trPr>
          <w:trHeight w:val="300"/>
        </w:trPr>
        <w:tc>
          <w:tcPr>
            <w:tcW w:w="4268" w:type="dxa"/>
            <w:noWrap/>
            <w:vAlign w:val="bottom"/>
            <w:hideMark/>
          </w:tcPr>
          <w:p w:rsidR="00475CDF" w:rsidRPr="00174E83" w:rsidRDefault="00475CDF" w:rsidP="00475CDF">
            <w:pPr>
              <w:tabs>
                <w:tab w:val="left" w:pos="709"/>
              </w:tabs>
              <w:spacing w:before="0" w:after="0"/>
              <w:rPr>
                <w:rFonts w:asciiTheme="majorHAnsi" w:hAnsiTheme="majorHAnsi"/>
                <w:sz w:val="20"/>
                <w:szCs w:val="20"/>
              </w:rPr>
            </w:pPr>
            <w:r w:rsidRPr="00174E83">
              <w:rPr>
                <w:rFonts w:asciiTheme="majorHAnsi" w:hAnsiTheme="majorHAnsi"/>
                <w:sz w:val="20"/>
                <w:szCs w:val="20"/>
              </w:rPr>
              <w:t xml:space="preserve">PO 3 </w:t>
            </w:r>
            <w:r w:rsidR="008D6AB1" w:rsidRPr="00174E83">
              <w:rPr>
                <w:rFonts w:asciiTheme="majorHAnsi" w:hAnsiTheme="majorHAnsi"/>
                <w:sz w:val="20"/>
                <w:szCs w:val="20"/>
              </w:rPr>
              <w:t>Mobilizácia kreatívneho potenciálu v regiónoch</w:t>
            </w:r>
          </w:p>
        </w:tc>
        <w:tc>
          <w:tcPr>
            <w:tcW w:w="1134"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EFRR</w:t>
            </w:r>
          </w:p>
        </w:tc>
        <w:tc>
          <w:tcPr>
            <w:tcW w:w="3685" w:type="dxa"/>
            <w:noWrap/>
            <w:vAlign w:val="center"/>
            <w:hideMark/>
          </w:tcPr>
          <w:p w:rsidR="00475CDF" w:rsidRPr="00174E83" w:rsidRDefault="00730EE3"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55 015 548</w:t>
            </w:r>
            <w:r w:rsidR="00475CDF" w:rsidRPr="00174E83">
              <w:rPr>
                <w:rFonts w:asciiTheme="majorHAnsi" w:hAnsiTheme="majorHAnsi"/>
                <w:sz w:val="20"/>
                <w:szCs w:val="20"/>
              </w:rPr>
              <w:t>,00</w:t>
            </w:r>
          </w:p>
        </w:tc>
      </w:tr>
      <w:tr w:rsidR="00475CDF" w:rsidRPr="005211F5" w:rsidTr="003F0750">
        <w:trPr>
          <w:trHeight w:val="300"/>
        </w:trPr>
        <w:tc>
          <w:tcPr>
            <w:tcW w:w="4268" w:type="dxa"/>
            <w:noWrap/>
            <w:vAlign w:val="bottom"/>
            <w:hideMark/>
          </w:tcPr>
          <w:p w:rsidR="00475CDF" w:rsidRPr="00174E83" w:rsidRDefault="00475CDF" w:rsidP="00475CDF">
            <w:pPr>
              <w:tabs>
                <w:tab w:val="left" w:pos="709"/>
              </w:tabs>
              <w:spacing w:before="0" w:after="0"/>
              <w:rPr>
                <w:rFonts w:asciiTheme="majorHAnsi" w:hAnsiTheme="majorHAnsi"/>
                <w:sz w:val="20"/>
                <w:szCs w:val="20"/>
              </w:rPr>
            </w:pPr>
            <w:r w:rsidRPr="00174E83">
              <w:rPr>
                <w:rFonts w:asciiTheme="majorHAnsi" w:hAnsiTheme="majorHAnsi"/>
                <w:sz w:val="20"/>
                <w:szCs w:val="20"/>
              </w:rPr>
              <w:t>PO 4 Zlepšenie kvality života v</w:t>
            </w:r>
            <w:r w:rsidR="000D3C8B" w:rsidRPr="00174E83">
              <w:rPr>
                <w:rFonts w:asciiTheme="majorHAnsi" w:hAnsiTheme="majorHAnsi"/>
                <w:sz w:val="20"/>
                <w:szCs w:val="20"/>
              </w:rPr>
              <w:t> </w:t>
            </w:r>
            <w:r w:rsidRPr="00174E83">
              <w:rPr>
                <w:rFonts w:asciiTheme="majorHAnsi" w:hAnsiTheme="majorHAnsi"/>
                <w:sz w:val="20"/>
                <w:szCs w:val="20"/>
              </w:rPr>
              <w:t>regiónoch s</w:t>
            </w:r>
            <w:r w:rsidR="000D3C8B" w:rsidRPr="00174E83">
              <w:rPr>
                <w:rFonts w:asciiTheme="majorHAnsi" w:hAnsiTheme="majorHAnsi"/>
                <w:sz w:val="20"/>
                <w:szCs w:val="20"/>
              </w:rPr>
              <w:t> </w:t>
            </w:r>
            <w:r w:rsidRPr="00174E83">
              <w:rPr>
                <w:rFonts w:asciiTheme="majorHAnsi" w:hAnsiTheme="majorHAnsi"/>
                <w:sz w:val="20"/>
                <w:szCs w:val="20"/>
              </w:rPr>
              <w:t>dôrazom na životné prostredie</w:t>
            </w:r>
          </w:p>
        </w:tc>
        <w:tc>
          <w:tcPr>
            <w:tcW w:w="1134"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EFRR</w:t>
            </w:r>
          </w:p>
        </w:tc>
        <w:tc>
          <w:tcPr>
            <w:tcW w:w="3685" w:type="dxa"/>
            <w:noWrap/>
            <w:vAlign w:val="center"/>
            <w:hideMark/>
          </w:tcPr>
          <w:p w:rsidR="00475CDF" w:rsidRPr="00174E83" w:rsidRDefault="00730EE3"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60 328 116</w:t>
            </w:r>
            <w:r w:rsidR="00475CDF" w:rsidRPr="00174E83">
              <w:rPr>
                <w:rFonts w:asciiTheme="majorHAnsi" w:hAnsiTheme="majorHAnsi"/>
                <w:sz w:val="20"/>
                <w:szCs w:val="20"/>
              </w:rPr>
              <w:t>,00</w:t>
            </w:r>
          </w:p>
        </w:tc>
      </w:tr>
      <w:tr w:rsidR="00475CDF" w:rsidRPr="005211F5" w:rsidTr="003F0750">
        <w:trPr>
          <w:trHeight w:val="300"/>
        </w:trPr>
        <w:tc>
          <w:tcPr>
            <w:tcW w:w="4268" w:type="dxa"/>
            <w:noWrap/>
            <w:vAlign w:val="bottom"/>
            <w:hideMark/>
          </w:tcPr>
          <w:p w:rsidR="00475CDF" w:rsidRPr="00174E83" w:rsidRDefault="00475CDF" w:rsidP="00475CDF">
            <w:pPr>
              <w:tabs>
                <w:tab w:val="left" w:pos="709"/>
              </w:tabs>
              <w:spacing w:before="0" w:after="0"/>
              <w:rPr>
                <w:rFonts w:asciiTheme="majorHAnsi" w:hAnsiTheme="majorHAnsi"/>
                <w:sz w:val="20"/>
                <w:szCs w:val="20"/>
              </w:rPr>
            </w:pPr>
            <w:r w:rsidRPr="00174E83">
              <w:rPr>
                <w:rFonts w:asciiTheme="majorHAnsi" w:hAnsiTheme="majorHAnsi"/>
                <w:sz w:val="20"/>
                <w:szCs w:val="20"/>
              </w:rPr>
              <w:t>Spolu IROP</w:t>
            </w:r>
          </w:p>
        </w:tc>
        <w:tc>
          <w:tcPr>
            <w:tcW w:w="1134" w:type="dxa"/>
            <w:noWrap/>
            <w:vAlign w:val="center"/>
            <w:hideMark/>
          </w:tcPr>
          <w:p w:rsidR="00475CDF" w:rsidRPr="00174E83" w:rsidRDefault="00475CDF"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EFRR</w:t>
            </w:r>
          </w:p>
        </w:tc>
        <w:tc>
          <w:tcPr>
            <w:tcW w:w="3685" w:type="dxa"/>
            <w:noWrap/>
            <w:vAlign w:val="center"/>
            <w:hideMark/>
          </w:tcPr>
          <w:p w:rsidR="00475CDF" w:rsidRPr="00174E83" w:rsidRDefault="00730EE3" w:rsidP="003F0750">
            <w:pPr>
              <w:tabs>
                <w:tab w:val="left" w:pos="709"/>
              </w:tabs>
              <w:spacing w:before="0" w:after="0"/>
              <w:jc w:val="center"/>
              <w:rPr>
                <w:rFonts w:asciiTheme="majorHAnsi" w:hAnsiTheme="majorHAnsi"/>
                <w:sz w:val="20"/>
                <w:szCs w:val="20"/>
                <w:lang w:eastAsia="en-GB"/>
              </w:rPr>
            </w:pPr>
            <w:r w:rsidRPr="00174E83">
              <w:rPr>
                <w:rFonts w:asciiTheme="majorHAnsi" w:hAnsiTheme="majorHAnsi"/>
                <w:sz w:val="20"/>
                <w:szCs w:val="20"/>
              </w:rPr>
              <w:t>900 526 861</w:t>
            </w:r>
            <w:r w:rsidR="00475CDF" w:rsidRPr="00174E83">
              <w:rPr>
                <w:rFonts w:asciiTheme="majorHAnsi" w:hAnsiTheme="majorHAnsi"/>
                <w:sz w:val="20"/>
                <w:szCs w:val="20"/>
              </w:rPr>
              <w:t>,00</w:t>
            </w:r>
          </w:p>
        </w:tc>
      </w:tr>
    </w:tbl>
    <w:p w:rsidR="00475CDF" w:rsidRPr="00475CDF" w:rsidRDefault="00475CDF" w:rsidP="007F0E6D">
      <w:pPr>
        <w:keepNext/>
        <w:keepLines/>
        <w:numPr>
          <w:ilvl w:val="2"/>
          <w:numId w:val="2"/>
        </w:numPr>
        <w:spacing w:before="200" w:after="0"/>
        <w:outlineLvl w:val="2"/>
        <w:rPr>
          <w:rFonts w:asciiTheme="majorHAnsi" w:eastAsiaTheme="majorEastAsia" w:hAnsiTheme="majorHAnsi"/>
          <w:b/>
          <w:bCs/>
          <w:color w:val="4F81BD" w:themeColor="accent1"/>
          <w:sz w:val="26"/>
        </w:rPr>
      </w:pPr>
      <w:r w:rsidRPr="00475CDF">
        <w:rPr>
          <w:rFonts w:asciiTheme="majorHAnsi" w:eastAsiaTheme="majorEastAsia" w:hAnsiTheme="majorHAnsi"/>
          <w:b/>
          <w:bCs/>
          <w:color w:val="4F81BD" w:themeColor="accent1"/>
          <w:sz w:val="26"/>
        </w:rPr>
        <w:t>Udržateľný mestský rozvoj, vrátane princípov na identifikovanie mestských oblastí, kde sa majú integrované aktivity udržateľného mestského rozvoja uskutočniť a indikatívna alokácia určená na aktivity v rámci EFRR na vnútroštátnej úrovni</w:t>
      </w:r>
    </w:p>
    <w:p w:rsidR="00475CDF" w:rsidRPr="00475CDF" w:rsidRDefault="00475CDF" w:rsidP="00475CDF">
      <w:pPr>
        <w:spacing w:after="0"/>
        <w:rPr>
          <w:rFonts w:asciiTheme="majorHAnsi" w:hAnsiTheme="majorHAnsi" w:cs="Calibri"/>
        </w:rPr>
      </w:pPr>
      <w:r w:rsidRPr="00475CDF">
        <w:rPr>
          <w:rFonts w:asciiTheme="majorHAnsi" w:hAnsiTheme="majorHAnsi" w:cs="Calibri"/>
        </w:rPr>
        <w:t>V podmienkach SR je mestský rozvoj legislatívne ustanovený v zákone č. 539/2008 Z.</w:t>
      </w:r>
      <w:r w:rsidR="00245DE5">
        <w:rPr>
          <w:rFonts w:asciiTheme="majorHAnsi" w:hAnsiTheme="majorHAnsi" w:cs="Calibri"/>
        </w:rPr>
        <w:t xml:space="preserve"> </w:t>
      </w:r>
      <w:r w:rsidRPr="00475CDF">
        <w:rPr>
          <w:rFonts w:asciiTheme="majorHAnsi" w:hAnsiTheme="majorHAnsi" w:cs="Calibri"/>
        </w:rPr>
        <w:t>z. o podpore regionálneho rozvoja, ktorý vyšším územným celkom a obciam ustanovuje vypracovať program hospodárskeho a sociálneho rozvoja v prípade, ak sa chcú uchádzať o verejné zdroje. Musia pritom rešpektovať hlavne výstupy nástrojov územného plánovania ustanovené Stavebným zákonom, ktoré sústavne a komplexne riešia priestorové usporiadanie a funkčné využívanie územia, určujú jeho zásady rozvoja a navrhujú vecnú a časovú koordináciu činností ovplyvňujúcich životné prostredie, ekologickú stabilitu, kultúrno-historické hodnoty územia, územný rozvoj a tvorbu krajiny v súlade s princípmi udržateľného rozvoja.</w:t>
      </w:r>
    </w:p>
    <w:p w:rsidR="00475CDF" w:rsidRPr="00475CDF" w:rsidRDefault="00475CDF" w:rsidP="00475CDF">
      <w:pPr>
        <w:spacing w:after="0"/>
        <w:rPr>
          <w:rFonts w:asciiTheme="majorHAnsi" w:hAnsiTheme="majorHAnsi" w:cs="Calibri"/>
        </w:rPr>
      </w:pPr>
      <w:r w:rsidRPr="00475CDF">
        <w:rPr>
          <w:rFonts w:asciiTheme="majorHAnsi" w:hAnsiTheme="majorHAnsi" w:cs="Calibri"/>
        </w:rPr>
        <w:t>KURS, ako hierarchicky najvyšší nástroj územného plánovania, vymedzil na základe komplexného zhodnotenia systému osídlenia SR najvýznamnejšie priestory mestského rozvoja. Toto bolo stanovené ako hlavné kritérium pre vymedzenie podporovaných mestských oblastí, nakoľko KURS je komplexne spracovaný a prerokovaný, dlhodobo platný dokument schválený vládou SR, ktorý je priebežne aktualizovaný.</w:t>
      </w:r>
    </w:p>
    <w:p w:rsidR="00475CDF" w:rsidRPr="00475CDF" w:rsidRDefault="00475CDF" w:rsidP="00475CDF">
      <w:pPr>
        <w:spacing w:after="0"/>
        <w:rPr>
          <w:rFonts w:asciiTheme="majorHAnsi" w:hAnsiTheme="majorHAnsi" w:cs="Calibri"/>
        </w:rPr>
      </w:pPr>
      <w:r w:rsidRPr="00475CDF">
        <w:rPr>
          <w:rFonts w:asciiTheme="majorHAnsi" w:hAnsiTheme="majorHAnsi" w:cs="Calibri"/>
        </w:rPr>
        <w:t>Mestami navrhnutými na podporu sú Bratislava, Košice a</w:t>
      </w:r>
      <w:r w:rsidR="007F22E3">
        <w:rPr>
          <w:rFonts w:asciiTheme="majorHAnsi" w:hAnsiTheme="majorHAnsi" w:cs="Calibri"/>
        </w:rPr>
        <w:t> </w:t>
      </w:r>
      <w:r w:rsidRPr="00475CDF">
        <w:rPr>
          <w:rFonts w:asciiTheme="majorHAnsi" w:hAnsiTheme="majorHAnsi" w:cs="Calibri"/>
        </w:rPr>
        <w:t>centrá</w:t>
      </w:r>
      <w:r w:rsidR="007F22E3">
        <w:rPr>
          <w:rFonts w:asciiTheme="majorHAnsi" w:hAnsiTheme="majorHAnsi" w:cs="Calibri"/>
        </w:rPr>
        <w:t xml:space="preserve"> </w:t>
      </w:r>
      <w:r w:rsidRPr="00475CDF">
        <w:rPr>
          <w:rFonts w:asciiTheme="majorHAnsi" w:hAnsiTheme="majorHAnsi" w:cs="Calibri"/>
        </w:rPr>
        <w:t>osídlenia prvej skupiny, ktoré tvoria jej prvú podskupinu vymedzenú KURS, t. j. všetky krajské mestá SR. Do oprávneného územia podpory UMR sa pritom zahŕňa jednak vlastné administratívne územie mesta, ako aj jadrové pásmo ťažiska osídlenia prvej úrovne vymedzené v KURS, ktoré spolu predstavujú mestské funkčné oblasti</w:t>
      </w:r>
      <w:r w:rsidRPr="00475CDF">
        <w:rPr>
          <w:rFonts w:asciiTheme="majorHAnsi" w:hAnsiTheme="majorHAnsi" w:cs="Calibri"/>
          <w:vertAlign w:val="superscript"/>
        </w:rPr>
        <w:footnoteReference w:id="338"/>
      </w:r>
      <w:r w:rsidRPr="00475CDF">
        <w:rPr>
          <w:rFonts w:asciiTheme="majorHAnsi" w:hAnsiTheme="majorHAnsi" w:cs="Calibri"/>
        </w:rPr>
        <w:t xml:space="preserve"> (pozri časť 1.1.1).</w:t>
      </w:r>
    </w:p>
    <w:p w:rsidR="00475CDF" w:rsidRPr="00475CDF" w:rsidRDefault="00475CDF" w:rsidP="00475CDF">
      <w:pPr>
        <w:spacing w:after="0"/>
        <w:rPr>
          <w:rFonts w:asciiTheme="majorHAnsi" w:hAnsiTheme="majorHAnsi" w:cs="Calibri"/>
        </w:rPr>
      </w:pPr>
      <w:r w:rsidRPr="00475CDF">
        <w:rPr>
          <w:rFonts w:asciiTheme="majorHAnsi" w:hAnsiTheme="majorHAnsi" w:cs="Calibri"/>
        </w:rPr>
        <w:t>Centrum najvyššieho významu – hlavné mesto SR Bratislava, predstavuje koncentráciu najvýznamnejších vzdelávacích, výskumných, zdravotných, finančných, kultúrnych a ostatných obslužných zariadení celoštátneho významu. Druhé najvýznamnejšie centrum je mesto Košice. Ďalej sú to mestá, ktoré plnia aj funkciu krajských miest. Ide o mestá medzinárodného a celoštátneho významu: Banská Bystrica, Nitra, Prešov, Trenčín, Trnava a Žilina.</w:t>
      </w:r>
    </w:p>
    <w:p w:rsidR="00475CDF" w:rsidRPr="00475CDF" w:rsidRDefault="00475CDF" w:rsidP="00475CDF">
      <w:pPr>
        <w:spacing w:after="0"/>
        <w:rPr>
          <w:rFonts w:asciiTheme="majorHAnsi" w:hAnsiTheme="majorHAnsi" w:cs="Calibri"/>
        </w:rPr>
      </w:pPr>
      <w:r w:rsidRPr="00475CDF">
        <w:rPr>
          <w:rFonts w:asciiTheme="majorHAnsi" w:hAnsiTheme="majorHAnsi" w:cs="Calibri"/>
        </w:rPr>
        <w:t xml:space="preserve">Veľmi dôležitým faktorom dopĺňajúcim uvedené hlavné kritérium sú aj skúsenosti z predchádzajúceho obdobia, existujúci dostatočný potenciál a kapacita k naplneniu cieľov ekonomického rastu, tvorby pracovných miest za súčasného zohľadňovania požiadaviek na sociálny rozvoj a environmentálnu udržateľnosť. U všetkých krajských miest sa predpokladá dostatočná </w:t>
      </w:r>
      <w:r w:rsidRPr="00475CDF">
        <w:rPr>
          <w:rFonts w:asciiTheme="majorHAnsi" w:hAnsiTheme="majorHAnsi" w:cs="Calibri"/>
        </w:rPr>
        <w:lastRenderedPageBreak/>
        <w:t>pripravenosť, kapacita a dosiahnutie multiplikačných a synergických efektov. Taktiež sa očakáva ich zvýšená schopnosť na podporu inovačných opatrení (štúdie a pilotné projekty) s cieľom identifikovať a realizovať nové riešenia problémov súvisiacich s UMR.</w:t>
      </w:r>
    </w:p>
    <w:p w:rsidR="00475CDF" w:rsidRPr="00475CDF" w:rsidRDefault="00475CDF" w:rsidP="00475CDF">
      <w:pPr>
        <w:rPr>
          <w:rFonts w:asciiTheme="majorHAnsi" w:hAnsiTheme="majorHAnsi"/>
        </w:rPr>
      </w:pPr>
      <w:r w:rsidRPr="00475CDF">
        <w:rPr>
          <w:rFonts w:asciiTheme="majorHAnsi" w:hAnsiTheme="majorHAnsi"/>
        </w:rPr>
        <w:t>Integrované opatrenia UMR budú podporované prostredníctvom rozsahu prioritných osí IROP.</w:t>
      </w:r>
    </w:p>
    <w:p w:rsidR="007146BC" w:rsidRDefault="007146BC" w:rsidP="007146BC">
      <w:pPr>
        <w:spacing w:after="0"/>
        <w:rPr>
          <w:rFonts w:asciiTheme="majorHAnsi" w:hAnsiTheme="majorHAnsi" w:cs="Calibri"/>
        </w:rPr>
      </w:pPr>
      <w:r>
        <w:rPr>
          <w:rFonts w:asciiTheme="majorHAnsi" w:hAnsiTheme="majorHAnsi" w:cs="Calibri"/>
        </w:rPr>
        <w:t xml:space="preserve">UMR sa bude realizovať ako súčasť modelu RIÚS, pričom každá RIÚS bude obsahovať aj samostatnú strategickú časť venovanú UMR vo vzťahu k stanoveným mestským funkčným oblastiam. Za účelom prípravy stratégie UMR vytvorí krajské mesto partnerstvo za účasti zástupcov partnerov tvoriacich mestskú funkčnú oblasť. </w:t>
      </w:r>
      <w:r w:rsidR="008D6AB1">
        <w:rPr>
          <w:rFonts w:asciiTheme="majorHAnsi" w:hAnsiTheme="majorHAnsi" w:cs="Calibri"/>
        </w:rPr>
        <w:t xml:space="preserve">Mestskú funkčnú oblasť v Rade </w:t>
      </w:r>
      <w:r w:rsidR="008D6AB1">
        <w:rPr>
          <w:rFonts w:asciiTheme="majorHAnsi" w:hAnsiTheme="majorHAnsi"/>
        </w:rPr>
        <w:t>partnerstva pre RIÚS</w:t>
      </w:r>
      <w:r w:rsidR="008D6AB1">
        <w:rPr>
          <w:rFonts w:asciiTheme="majorHAnsi" w:hAnsiTheme="majorHAnsi" w:cs="Calibri"/>
        </w:rPr>
        <w:t xml:space="preserve"> bude zastupovať minimálne z</w:t>
      </w:r>
      <w:r>
        <w:rPr>
          <w:rFonts w:asciiTheme="majorHAnsi" w:hAnsiTheme="majorHAnsi" w:cs="Calibri"/>
        </w:rPr>
        <w:t>ástupca krajského mesta</w:t>
      </w:r>
      <w:r>
        <w:rPr>
          <w:rFonts w:asciiTheme="majorHAnsi" w:hAnsiTheme="majorHAnsi"/>
        </w:rPr>
        <w:t>.</w:t>
      </w:r>
      <w:r>
        <w:rPr>
          <w:rFonts w:asciiTheme="majorHAnsi" w:hAnsiTheme="majorHAnsi" w:cs="Calibri"/>
        </w:rPr>
        <w:t xml:space="preserve"> Schvaľovanie plánovaných opatrení vychádzajúcich zo stratégie pre UMR bude vykonávané zo strany orgánov miest a obcí vo funkčných územiach UMR. Ostatné procesy spojené so schvaľovaním a implementáciou stratégií pre UMR budú obdobné, ako pri RIÚS.</w:t>
      </w:r>
    </w:p>
    <w:p w:rsidR="00475CDF" w:rsidRPr="00475CDF" w:rsidRDefault="00475CDF" w:rsidP="00475CDF">
      <w:pPr>
        <w:keepNext/>
        <w:spacing w:before="240" w:after="0"/>
        <w:rPr>
          <w:rFonts w:asciiTheme="majorHAnsi" w:hAnsiTheme="majorHAnsi"/>
          <w:b/>
          <w:bCs/>
          <w:sz w:val="18"/>
          <w:szCs w:val="18"/>
        </w:rPr>
      </w:pPr>
      <w:r w:rsidRPr="00A413E4">
        <w:rPr>
          <w:rFonts w:asciiTheme="majorHAnsi" w:eastAsia="MS Gothic" w:hAnsiTheme="majorHAnsi"/>
          <w:bCs/>
          <w:sz w:val="18"/>
          <w:szCs w:val="18"/>
          <w:lang w:eastAsia="x-none"/>
        </w:rPr>
        <w:t xml:space="preserve">Tabuľka </w:t>
      </w:r>
      <w:r w:rsidR="004E018F">
        <w:rPr>
          <w:rFonts w:asciiTheme="majorHAnsi" w:eastAsia="MS Gothic" w:hAnsiTheme="majorHAnsi"/>
          <w:bCs/>
          <w:sz w:val="18"/>
          <w:szCs w:val="18"/>
          <w:lang w:eastAsia="x-none"/>
        </w:rPr>
        <w:t>1</w:t>
      </w:r>
      <w:r w:rsidRPr="00A413E4">
        <w:rPr>
          <w:rFonts w:asciiTheme="majorHAnsi" w:eastAsia="MS Gothic" w:hAnsiTheme="majorHAnsi"/>
          <w:bCs/>
          <w:sz w:val="18"/>
          <w:szCs w:val="18"/>
          <w:lang w:eastAsia="x-none"/>
        </w:rPr>
        <w:fldChar w:fldCharType="begin"/>
      </w:r>
      <w:r w:rsidRPr="00A413E4">
        <w:rPr>
          <w:rFonts w:asciiTheme="majorHAnsi" w:eastAsia="MS Gothic" w:hAnsiTheme="majorHAnsi"/>
          <w:bCs/>
          <w:sz w:val="18"/>
          <w:szCs w:val="18"/>
          <w:lang w:eastAsia="x-none"/>
        </w:rPr>
        <w:instrText xml:space="preserve"> SEQ Tabuľka \* ARABIC </w:instrText>
      </w:r>
      <w:r w:rsidRPr="00A413E4">
        <w:rPr>
          <w:rFonts w:asciiTheme="majorHAnsi" w:eastAsia="MS Gothic" w:hAnsiTheme="majorHAnsi"/>
          <w:bCs/>
          <w:sz w:val="18"/>
          <w:szCs w:val="18"/>
          <w:lang w:eastAsia="x-none"/>
        </w:rPr>
        <w:fldChar w:fldCharType="separate"/>
      </w:r>
      <w:r w:rsidR="00FA18BA">
        <w:rPr>
          <w:rFonts w:asciiTheme="majorHAnsi" w:eastAsia="MS Gothic" w:hAnsiTheme="majorHAnsi"/>
          <w:bCs/>
          <w:noProof/>
          <w:sz w:val="18"/>
          <w:szCs w:val="18"/>
          <w:lang w:eastAsia="x-none"/>
        </w:rPr>
        <w:t>8</w:t>
      </w:r>
      <w:r w:rsidRPr="00A413E4">
        <w:rPr>
          <w:rFonts w:asciiTheme="majorHAnsi" w:eastAsia="MS Gothic" w:hAnsiTheme="majorHAnsi"/>
          <w:bCs/>
          <w:sz w:val="18"/>
          <w:szCs w:val="18"/>
          <w:lang w:eastAsia="x-none"/>
        </w:rPr>
        <w:fldChar w:fldCharType="end"/>
      </w:r>
      <w:r w:rsidRPr="00A413E4">
        <w:rPr>
          <w:rFonts w:asciiTheme="majorHAnsi" w:eastAsia="MS Gothic" w:hAnsiTheme="majorHAnsi"/>
          <w:bCs/>
          <w:sz w:val="18"/>
          <w:szCs w:val="18"/>
          <w:lang w:eastAsia="x-none"/>
        </w:rPr>
        <w:t>:</w:t>
      </w:r>
      <w:r w:rsidRPr="00A413E4">
        <w:rPr>
          <w:rFonts w:asciiTheme="majorHAnsi" w:eastAsia="MS Gothic" w:hAnsiTheme="majorHAnsi"/>
          <w:sz w:val="18"/>
          <w:szCs w:val="18"/>
          <w:lang w:eastAsia="x-none"/>
        </w:rPr>
        <w:t xml:space="preserve"> </w:t>
      </w:r>
      <w:r w:rsidRPr="00A413E4">
        <w:rPr>
          <w:rFonts w:asciiTheme="majorHAnsi" w:hAnsiTheme="majorHAnsi"/>
          <w:sz w:val="18"/>
          <w:szCs w:val="18"/>
        </w:rPr>
        <w:t xml:space="preserve">Indikatívna </w:t>
      </w:r>
      <w:r w:rsidRPr="00475CDF">
        <w:rPr>
          <w:rFonts w:asciiTheme="majorHAnsi" w:hAnsiTheme="majorHAnsi"/>
          <w:sz w:val="18"/>
          <w:szCs w:val="18"/>
        </w:rPr>
        <w:t xml:space="preserve">alokácia určená na integrované aktivity </w:t>
      </w:r>
      <w:r w:rsidR="00B951F4">
        <w:rPr>
          <w:rFonts w:asciiTheme="majorHAnsi" w:hAnsiTheme="majorHAnsi"/>
          <w:sz w:val="18"/>
          <w:szCs w:val="18"/>
        </w:rPr>
        <w:t>UMR</w:t>
      </w:r>
      <w:r w:rsidRPr="00475CDF">
        <w:rPr>
          <w:rFonts w:asciiTheme="majorHAnsi" w:hAnsiTheme="majorHAnsi"/>
          <w:sz w:val="18"/>
          <w:szCs w:val="18"/>
        </w:rPr>
        <w:t xml:space="preserve"> v rámci EFRR na národnej úrovni</w:t>
      </w:r>
    </w:p>
    <w:tbl>
      <w:tblPr>
        <w:tblStyle w:val="Mriekatabuky36"/>
        <w:tblW w:w="5000" w:type="pct"/>
        <w:tblLook w:val="04A0" w:firstRow="1" w:lastRow="0" w:firstColumn="1" w:lastColumn="0" w:noHBand="0" w:noVBand="1"/>
      </w:tblPr>
      <w:tblGrid>
        <w:gridCol w:w="3094"/>
        <w:gridCol w:w="3096"/>
        <w:gridCol w:w="3096"/>
      </w:tblGrid>
      <w:tr w:rsidR="00475CDF" w:rsidRPr="00475CDF" w:rsidTr="00475CDF">
        <w:tc>
          <w:tcPr>
            <w:tcW w:w="1666" w:type="pct"/>
            <w:vAlign w:val="center"/>
            <w:hideMark/>
          </w:tcPr>
          <w:p w:rsidR="00475CDF" w:rsidRPr="00475CDF" w:rsidRDefault="00475CDF" w:rsidP="00475CDF">
            <w:pPr>
              <w:tabs>
                <w:tab w:val="left" w:pos="709"/>
              </w:tabs>
              <w:spacing w:before="0" w:after="0"/>
              <w:jc w:val="center"/>
              <w:rPr>
                <w:rFonts w:asciiTheme="majorHAnsi" w:hAnsiTheme="majorHAnsi"/>
                <w:sz w:val="20"/>
                <w:szCs w:val="20"/>
              </w:rPr>
            </w:pPr>
            <w:r w:rsidRPr="00475CDF">
              <w:rPr>
                <w:rFonts w:asciiTheme="majorHAnsi" w:hAnsiTheme="majorHAnsi"/>
                <w:sz w:val="20"/>
                <w:szCs w:val="20"/>
              </w:rPr>
              <w:t>Fond</w:t>
            </w:r>
          </w:p>
        </w:tc>
        <w:tc>
          <w:tcPr>
            <w:tcW w:w="1667" w:type="pct"/>
            <w:vAlign w:val="center"/>
            <w:hideMark/>
          </w:tcPr>
          <w:p w:rsidR="00475CDF" w:rsidRPr="00475CDF" w:rsidRDefault="00475CDF" w:rsidP="00ED4BE2">
            <w:pPr>
              <w:tabs>
                <w:tab w:val="left" w:pos="709"/>
              </w:tabs>
              <w:spacing w:before="0" w:after="0"/>
              <w:jc w:val="center"/>
              <w:rPr>
                <w:rFonts w:asciiTheme="majorHAnsi" w:hAnsiTheme="majorHAnsi"/>
                <w:sz w:val="20"/>
                <w:szCs w:val="20"/>
              </w:rPr>
            </w:pPr>
            <w:r w:rsidRPr="00475CDF">
              <w:rPr>
                <w:rFonts w:asciiTheme="majorHAnsi" w:hAnsiTheme="majorHAnsi"/>
                <w:sz w:val="20"/>
                <w:szCs w:val="20"/>
              </w:rPr>
              <w:t>Indikatívna alokácia určená na integrované aktivity udržateľného mestského rozvoja</w:t>
            </w:r>
            <w:r w:rsidR="00ED4BE2">
              <w:rPr>
                <w:rFonts w:asciiTheme="majorHAnsi" w:hAnsiTheme="majorHAnsi"/>
                <w:sz w:val="20"/>
                <w:szCs w:val="20"/>
              </w:rPr>
              <w:t xml:space="preserve"> na národnej úrovni </w:t>
            </w:r>
            <w:r w:rsidRPr="00475CDF">
              <w:rPr>
                <w:rFonts w:asciiTheme="majorHAnsi" w:hAnsiTheme="majorHAnsi"/>
                <w:sz w:val="20"/>
                <w:szCs w:val="20"/>
              </w:rPr>
              <w:t>(EUR)</w:t>
            </w:r>
          </w:p>
        </w:tc>
        <w:tc>
          <w:tcPr>
            <w:tcW w:w="1667" w:type="pct"/>
            <w:vAlign w:val="center"/>
            <w:hideMark/>
          </w:tcPr>
          <w:p w:rsidR="00475CDF" w:rsidRPr="00475CDF" w:rsidRDefault="00475CDF" w:rsidP="00475CDF">
            <w:pPr>
              <w:tabs>
                <w:tab w:val="left" w:pos="709"/>
              </w:tabs>
              <w:spacing w:before="0" w:after="0"/>
              <w:jc w:val="center"/>
              <w:rPr>
                <w:rFonts w:asciiTheme="majorHAnsi" w:hAnsiTheme="majorHAnsi"/>
                <w:sz w:val="20"/>
                <w:szCs w:val="20"/>
              </w:rPr>
            </w:pPr>
            <w:r w:rsidRPr="00475CDF">
              <w:rPr>
                <w:rFonts w:asciiTheme="majorHAnsi" w:hAnsiTheme="majorHAnsi"/>
                <w:sz w:val="20"/>
                <w:szCs w:val="20"/>
              </w:rPr>
              <w:t>Podiel na celkovej alokácii fondu (%)</w:t>
            </w:r>
          </w:p>
        </w:tc>
      </w:tr>
      <w:tr w:rsidR="00475CDF" w:rsidRPr="00475CDF" w:rsidTr="00475CDF">
        <w:tc>
          <w:tcPr>
            <w:tcW w:w="1666" w:type="pct"/>
            <w:hideMark/>
          </w:tcPr>
          <w:p w:rsidR="00475CDF" w:rsidRPr="00475CDF" w:rsidRDefault="00475CDF" w:rsidP="00475CDF">
            <w:pPr>
              <w:tabs>
                <w:tab w:val="left" w:pos="709"/>
              </w:tabs>
              <w:spacing w:before="0" w:after="0"/>
              <w:rPr>
                <w:rFonts w:asciiTheme="majorHAnsi" w:hAnsiTheme="majorHAnsi"/>
                <w:sz w:val="20"/>
                <w:szCs w:val="20"/>
              </w:rPr>
            </w:pPr>
            <w:r w:rsidRPr="00475CDF">
              <w:rPr>
                <w:rFonts w:asciiTheme="majorHAnsi" w:hAnsiTheme="majorHAnsi"/>
                <w:sz w:val="20"/>
                <w:szCs w:val="20"/>
              </w:rPr>
              <w:t>EFRR</w:t>
            </w:r>
          </w:p>
        </w:tc>
        <w:tc>
          <w:tcPr>
            <w:tcW w:w="1667" w:type="pct"/>
          </w:tcPr>
          <w:p w:rsidR="00475CDF" w:rsidRPr="00475CDF" w:rsidRDefault="008D6AB1" w:rsidP="00475CDF">
            <w:pPr>
              <w:tabs>
                <w:tab w:val="left" w:pos="709"/>
              </w:tabs>
              <w:spacing w:before="0" w:after="0"/>
              <w:jc w:val="center"/>
              <w:rPr>
                <w:rFonts w:asciiTheme="majorHAnsi" w:hAnsiTheme="majorHAnsi"/>
                <w:sz w:val="20"/>
                <w:szCs w:val="20"/>
              </w:rPr>
            </w:pPr>
            <w:r>
              <w:rPr>
                <w:rFonts w:asciiTheme="majorHAnsi" w:hAnsiTheme="majorHAnsi"/>
                <w:sz w:val="20"/>
                <w:szCs w:val="20"/>
              </w:rPr>
              <w:t>368 100 000</w:t>
            </w:r>
            <w:r w:rsidR="00475CDF" w:rsidRPr="00475CDF">
              <w:rPr>
                <w:rFonts w:asciiTheme="majorHAnsi" w:hAnsiTheme="majorHAnsi"/>
                <w:sz w:val="20"/>
                <w:szCs w:val="20"/>
              </w:rPr>
              <w:t>,-</w:t>
            </w:r>
          </w:p>
        </w:tc>
        <w:tc>
          <w:tcPr>
            <w:tcW w:w="1667" w:type="pct"/>
            <w:hideMark/>
          </w:tcPr>
          <w:p w:rsidR="00475CDF" w:rsidRPr="00475CDF" w:rsidRDefault="00475CDF" w:rsidP="00475CDF">
            <w:pPr>
              <w:tabs>
                <w:tab w:val="left" w:pos="709"/>
              </w:tabs>
              <w:spacing w:before="0" w:after="0"/>
              <w:jc w:val="center"/>
              <w:rPr>
                <w:rFonts w:asciiTheme="majorHAnsi" w:hAnsiTheme="majorHAnsi"/>
                <w:sz w:val="20"/>
                <w:szCs w:val="20"/>
              </w:rPr>
            </w:pPr>
            <w:r w:rsidRPr="00475CDF">
              <w:rPr>
                <w:rFonts w:asciiTheme="majorHAnsi" w:hAnsiTheme="majorHAnsi"/>
                <w:sz w:val="20"/>
                <w:szCs w:val="20"/>
              </w:rPr>
              <w:t>5</w:t>
            </w:r>
            <w:r w:rsidR="008D6AB1">
              <w:rPr>
                <w:rFonts w:asciiTheme="majorHAnsi" w:hAnsiTheme="majorHAnsi"/>
                <w:sz w:val="20"/>
                <w:szCs w:val="20"/>
              </w:rPr>
              <w:t>,00</w:t>
            </w:r>
          </w:p>
        </w:tc>
      </w:tr>
    </w:tbl>
    <w:p w:rsidR="00D97293" w:rsidRPr="00A11FE0" w:rsidRDefault="00D97293" w:rsidP="007F0E6D">
      <w:pPr>
        <w:pStyle w:val="Nadpis3"/>
        <w:numPr>
          <w:ilvl w:val="2"/>
          <w:numId w:val="2"/>
        </w:numPr>
        <w:spacing w:before="240" w:after="120"/>
      </w:pPr>
      <w:r w:rsidRPr="00A11FE0">
        <w:t xml:space="preserve">Hlavné prioritné oblasti </w:t>
      </w:r>
      <w:r w:rsidR="00BD5FD5">
        <w:t>s</w:t>
      </w:r>
      <w:r w:rsidRPr="00A11FE0">
        <w:t>polupráce v</w:t>
      </w:r>
      <w:r w:rsidR="006A7D08">
        <w:t> </w:t>
      </w:r>
      <w:r w:rsidRPr="00A11FE0">
        <w:t>rámci EŠIF, v</w:t>
      </w:r>
      <w:r w:rsidR="006A7D08">
        <w:t> </w:t>
      </w:r>
      <w:r w:rsidRPr="00A11FE0">
        <w:t xml:space="preserve">prípade potreby </w:t>
      </w:r>
      <w:r w:rsidR="009E3742">
        <w:t xml:space="preserve">zohľadňujúce </w:t>
      </w:r>
      <w:r w:rsidRPr="00A11FE0">
        <w:t xml:space="preserve">makroregionálne </w:t>
      </w:r>
      <w:r w:rsidR="00BD5FD5">
        <w:t>s</w:t>
      </w:r>
      <w:r w:rsidRPr="00A11FE0">
        <w:t>tratégie</w:t>
      </w:r>
    </w:p>
    <w:p w:rsidR="00D97293" w:rsidRPr="003F0750" w:rsidRDefault="00BD5FD5" w:rsidP="00D97293">
      <w:pPr>
        <w:spacing w:after="0"/>
        <w:rPr>
          <w:rFonts w:asciiTheme="majorHAnsi" w:hAnsiTheme="majorHAnsi" w:cs="Calibri"/>
          <w:bCs/>
          <w:lang w:eastAsia="sk-SK"/>
        </w:rPr>
      </w:pPr>
      <w:r>
        <w:rPr>
          <w:rFonts w:asciiTheme="majorHAnsi" w:hAnsiTheme="majorHAnsi" w:cs="Calibri"/>
          <w:bCs/>
          <w:lang w:eastAsia="sk-SK"/>
        </w:rPr>
        <w:t>S</w:t>
      </w:r>
      <w:r w:rsidR="00D97293" w:rsidRPr="00A11FE0">
        <w:rPr>
          <w:rFonts w:asciiTheme="majorHAnsi" w:hAnsiTheme="majorHAnsi" w:cs="Calibri"/>
          <w:bCs/>
          <w:lang w:eastAsia="sk-SK"/>
        </w:rPr>
        <w:t>R bude v</w:t>
      </w:r>
      <w:r w:rsidR="006A7D08">
        <w:rPr>
          <w:rFonts w:asciiTheme="majorHAnsi" w:hAnsiTheme="majorHAnsi" w:cs="Calibri"/>
          <w:bCs/>
          <w:lang w:eastAsia="sk-SK"/>
        </w:rPr>
        <w:t> </w:t>
      </w:r>
      <w:r w:rsidR="00D97293" w:rsidRPr="00A11FE0">
        <w:rPr>
          <w:rFonts w:asciiTheme="majorHAnsi" w:hAnsiTheme="majorHAnsi" w:cs="Calibri"/>
          <w:bCs/>
          <w:lang w:eastAsia="sk-SK"/>
        </w:rPr>
        <w:t xml:space="preserve">programovom období 2014 – 2020 </w:t>
      </w:r>
      <w:r>
        <w:rPr>
          <w:rFonts w:asciiTheme="majorHAnsi" w:hAnsiTheme="majorHAnsi" w:cs="Calibri"/>
          <w:bCs/>
          <w:lang w:eastAsia="sk-SK"/>
        </w:rPr>
        <w:t>s</w:t>
      </w:r>
      <w:r w:rsidR="00D97293" w:rsidRPr="00A11FE0">
        <w:rPr>
          <w:rFonts w:asciiTheme="majorHAnsi" w:hAnsiTheme="majorHAnsi" w:cs="Calibri"/>
          <w:bCs/>
          <w:lang w:eastAsia="sk-SK"/>
        </w:rPr>
        <w:t xml:space="preserve">polupracovať na implementácii programov cezhraničnej </w:t>
      </w:r>
      <w:r w:rsidR="00D5000B">
        <w:rPr>
          <w:rFonts w:asciiTheme="majorHAnsi" w:hAnsiTheme="majorHAnsi" w:cs="Calibri"/>
          <w:bCs/>
          <w:lang w:eastAsia="sk-SK"/>
        </w:rPr>
        <w:t>s</w:t>
      </w:r>
      <w:r w:rsidR="00D97293" w:rsidRPr="00A11FE0">
        <w:rPr>
          <w:rFonts w:asciiTheme="majorHAnsi" w:hAnsiTheme="majorHAnsi" w:cs="Calibri"/>
          <w:bCs/>
          <w:lang w:eastAsia="sk-SK"/>
        </w:rPr>
        <w:t>polupráce (</w:t>
      </w:r>
      <w:r>
        <w:rPr>
          <w:rFonts w:asciiTheme="majorHAnsi" w:hAnsiTheme="majorHAnsi" w:cs="Calibri"/>
          <w:bCs/>
          <w:lang w:eastAsia="sk-SK"/>
        </w:rPr>
        <w:t>S</w:t>
      </w:r>
      <w:r w:rsidR="006A44F2">
        <w:rPr>
          <w:rFonts w:asciiTheme="majorHAnsi" w:hAnsiTheme="majorHAnsi" w:cs="Calibri"/>
          <w:bCs/>
          <w:lang w:eastAsia="sk-SK"/>
        </w:rPr>
        <w:t>K</w:t>
      </w:r>
      <w:r w:rsidR="00D97293" w:rsidRPr="00A11FE0">
        <w:rPr>
          <w:rFonts w:asciiTheme="majorHAnsi" w:hAnsiTheme="majorHAnsi" w:cs="Calibri"/>
          <w:bCs/>
          <w:lang w:eastAsia="sk-SK"/>
        </w:rPr>
        <w:t xml:space="preserve"> – </w:t>
      </w:r>
      <w:r w:rsidR="006A44F2">
        <w:rPr>
          <w:rFonts w:asciiTheme="majorHAnsi" w:hAnsiTheme="majorHAnsi" w:cs="Calibri"/>
          <w:bCs/>
          <w:lang w:eastAsia="sk-SK"/>
        </w:rPr>
        <w:t>CZ</w:t>
      </w:r>
      <w:r w:rsidR="00D97293" w:rsidRPr="00A11FE0">
        <w:rPr>
          <w:rFonts w:asciiTheme="majorHAnsi" w:hAnsiTheme="majorHAnsi" w:cs="Calibri"/>
          <w:bCs/>
          <w:lang w:eastAsia="sk-SK"/>
        </w:rPr>
        <w:t xml:space="preserve">, HU – </w:t>
      </w:r>
      <w:r>
        <w:rPr>
          <w:rFonts w:asciiTheme="majorHAnsi" w:hAnsiTheme="majorHAnsi" w:cs="Calibri"/>
          <w:bCs/>
          <w:lang w:eastAsia="sk-SK"/>
        </w:rPr>
        <w:t>S</w:t>
      </w:r>
      <w:r w:rsidR="006A44F2">
        <w:rPr>
          <w:rFonts w:asciiTheme="majorHAnsi" w:hAnsiTheme="majorHAnsi" w:cs="Calibri"/>
          <w:bCs/>
          <w:lang w:eastAsia="sk-SK"/>
        </w:rPr>
        <w:t>K</w:t>
      </w:r>
      <w:r w:rsidR="00D97293" w:rsidRPr="00A11FE0">
        <w:rPr>
          <w:rFonts w:asciiTheme="majorHAnsi" w:hAnsiTheme="majorHAnsi" w:cs="Calibri"/>
          <w:bCs/>
          <w:lang w:eastAsia="sk-SK"/>
        </w:rPr>
        <w:t xml:space="preserve">, PL – </w:t>
      </w:r>
      <w:r>
        <w:rPr>
          <w:rFonts w:asciiTheme="majorHAnsi" w:hAnsiTheme="majorHAnsi" w:cs="Calibri"/>
          <w:bCs/>
          <w:lang w:eastAsia="sk-SK"/>
        </w:rPr>
        <w:t>S</w:t>
      </w:r>
      <w:r w:rsidR="006A44F2">
        <w:rPr>
          <w:rFonts w:asciiTheme="majorHAnsi" w:hAnsiTheme="majorHAnsi" w:cs="Calibri"/>
          <w:bCs/>
          <w:lang w:eastAsia="sk-SK"/>
        </w:rPr>
        <w:t>K</w:t>
      </w:r>
      <w:r w:rsidR="00D97293" w:rsidRPr="00A11FE0">
        <w:rPr>
          <w:rFonts w:asciiTheme="majorHAnsi" w:hAnsiTheme="majorHAnsi" w:cs="Calibri"/>
          <w:bCs/>
          <w:lang w:eastAsia="sk-SK"/>
        </w:rPr>
        <w:t xml:space="preserve">, </w:t>
      </w:r>
      <w:r>
        <w:rPr>
          <w:rFonts w:asciiTheme="majorHAnsi" w:hAnsiTheme="majorHAnsi" w:cs="Calibri"/>
          <w:bCs/>
          <w:lang w:eastAsia="sk-SK"/>
        </w:rPr>
        <w:t>S</w:t>
      </w:r>
      <w:r w:rsidR="006A44F2">
        <w:rPr>
          <w:rFonts w:asciiTheme="majorHAnsi" w:hAnsiTheme="majorHAnsi" w:cs="Calibri"/>
          <w:bCs/>
          <w:lang w:eastAsia="sk-SK"/>
        </w:rPr>
        <w:t>K</w:t>
      </w:r>
      <w:r w:rsidR="00D97293" w:rsidRPr="00A11FE0">
        <w:rPr>
          <w:rFonts w:asciiTheme="majorHAnsi" w:hAnsiTheme="majorHAnsi" w:cs="Calibri"/>
          <w:bCs/>
          <w:lang w:eastAsia="sk-SK"/>
        </w:rPr>
        <w:t xml:space="preserve"> – </w:t>
      </w:r>
      <w:r>
        <w:rPr>
          <w:rFonts w:asciiTheme="majorHAnsi" w:hAnsiTheme="majorHAnsi" w:cs="Calibri"/>
          <w:bCs/>
          <w:lang w:eastAsia="sk-SK"/>
        </w:rPr>
        <w:t>A</w:t>
      </w:r>
      <w:r w:rsidR="00D97293" w:rsidRPr="00A11FE0">
        <w:rPr>
          <w:rFonts w:asciiTheme="majorHAnsi" w:hAnsiTheme="majorHAnsi" w:cs="Calibri"/>
          <w:bCs/>
          <w:lang w:eastAsia="sk-SK"/>
        </w:rPr>
        <w:t>T</w:t>
      </w:r>
      <w:r w:rsidR="004C486D">
        <w:rPr>
          <w:rFonts w:asciiTheme="majorHAnsi" w:hAnsiTheme="majorHAnsi" w:cs="Calibri"/>
          <w:bCs/>
          <w:lang w:eastAsia="sk-SK"/>
        </w:rPr>
        <w:t xml:space="preserve"> a</w:t>
      </w:r>
      <w:r w:rsidR="00D20C47">
        <w:rPr>
          <w:rFonts w:asciiTheme="majorHAnsi" w:hAnsiTheme="majorHAnsi" w:cs="Calibri"/>
          <w:bCs/>
          <w:lang w:eastAsia="sk-SK"/>
        </w:rPr>
        <w:t xml:space="preserve"> HU – SK – RO – UA</w:t>
      </w:r>
      <w:r w:rsidR="00D97293" w:rsidRPr="00A11FE0">
        <w:rPr>
          <w:rFonts w:asciiTheme="majorHAnsi" w:hAnsiTheme="majorHAnsi" w:cs="Calibri"/>
          <w:bCs/>
          <w:lang w:eastAsia="sk-SK"/>
        </w:rPr>
        <w:t>) v</w:t>
      </w:r>
      <w:r w:rsidR="006A7D08">
        <w:rPr>
          <w:rFonts w:asciiTheme="majorHAnsi" w:hAnsiTheme="majorHAnsi" w:cs="Calibri"/>
          <w:bCs/>
          <w:lang w:eastAsia="sk-SK"/>
        </w:rPr>
        <w:t> </w:t>
      </w:r>
      <w:r>
        <w:rPr>
          <w:rFonts w:asciiTheme="majorHAnsi" w:hAnsiTheme="majorHAnsi" w:cs="Calibri"/>
          <w:bCs/>
          <w:lang w:eastAsia="sk-SK"/>
        </w:rPr>
        <w:t>s</w:t>
      </w:r>
      <w:r w:rsidR="00D97293" w:rsidRPr="00A11FE0">
        <w:rPr>
          <w:rFonts w:asciiTheme="majorHAnsi" w:hAnsiTheme="majorHAnsi" w:cs="Calibri"/>
          <w:bCs/>
          <w:lang w:eastAsia="sk-SK"/>
        </w:rPr>
        <w:t xml:space="preserve">úlade </w:t>
      </w:r>
      <w:r>
        <w:rPr>
          <w:rFonts w:asciiTheme="majorHAnsi" w:hAnsiTheme="majorHAnsi" w:cs="Calibri"/>
          <w:bCs/>
          <w:lang w:eastAsia="sk-SK"/>
        </w:rPr>
        <w:t>s</w:t>
      </w:r>
      <w:r w:rsidR="00D97293" w:rsidRPr="00A11FE0">
        <w:rPr>
          <w:rFonts w:asciiTheme="majorHAnsi" w:hAnsiTheme="majorHAnsi" w:cs="Calibri"/>
          <w:bCs/>
          <w:lang w:eastAsia="sk-SK"/>
        </w:rPr>
        <w:t xml:space="preserve"> národnými, </w:t>
      </w:r>
      <w:r>
        <w:rPr>
          <w:rFonts w:asciiTheme="majorHAnsi" w:hAnsiTheme="majorHAnsi" w:cs="Calibri"/>
          <w:bCs/>
          <w:lang w:eastAsia="sk-SK"/>
        </w:rPr>
        <w:t>ak</w:t>
      </w:r>
      <w:r w:rsidR="00D97293" w:rsidRPr="00A11FE0">
        <w:rPr>
          <w:rFonts w:asciiTheme="majorHAnsi" w:hAnsiTheme="majorHAnsi" w:cs="Calibri"/>
          <w:bCs/>
          <w:lang w:eastAsia="sk-SK"/>
        </w:rPr>
        <w:t xml:space="preserve">o </w:t>
      </w:r>
      <w:r>
        <w:rPr>
          <w:rFonts w:asciiTheme="majorHAnsi" w:hAnsiTheme="majorHAnsi" w:cs="Calibri"/>
          <w:bCs/>
          <w:lang w:eastAsia="sk-SK"/>
        </w:rPr>
        <w:t>a</w:t>
      </w:r>
      <w:r w:rsidR="00D97293" w:rsidRPr="00A11FE0">
        <w:rPr>
          <w:rFonts w:asciiTheme="majorHAnsi" w:hAnsiTheme="majorHAnsi" w:cs="Calibri"/>
          <w:bCs/>
          <w:lang w:eastAsia="sk-SK"/>
        </w:rPr>
        <w:t xml:space="preserve">j nadnárodnými </w:t>
      </w:r>
      <w:r>
        <w:rPr>
          <w:rFonts w:asciiTheme="majorHAnsi" w:hAnsiTheme="majorHAnsi" w:cs="Calibri"/>
          <w:bCs/>
          <w:lang w:eastAsia="sk-SK"/>
        </w:rPr>
        <w:t>s</w:t>
      </w:r>
      <w:r w:rsidR="00D97293" w:rsidRPr="00A11FE0">
        <w:rPr>
          <w:rFonts w:asciiTheme="majorHAnsi" w:hAnsiTheme="majorHAnsi" w:cs="Calibri"/>
          <w:bCs/>
          <w:lang w:eastAsia="sk-SK"/>
        </w:rPr>
        <w:t xml:space="preserve">tratégiami </w:t>
      </w:r>
      <w:r>
        <w:rPr>
          <w:rFonts w:asciiTheme="majorHAnsi" w:hAnsiTheme="majorHAnsi" w:cs="Calibri"/>
          <w:bCs/>
          <w:lang w:eastAsia="sk-SK"/>
        </w:rPr>
        <w:t>s</w:t>
      </w:r>
      <w:r w:rsidR="00A13E12">
        <w:rPr>
          <w:rFonts w:asciiTheme="majorHAnsi" w:hAnsiTheme="majorHAnsi" w:cs="Calibri"/>
          <w:bCs/>
          <w:lang w:eastAsia="sk-SK"/>
        </w:rPr>
        <w:t> </w:t>
      </w:r>
      <w:r w:rsidR="00D97293" w:rsidRPr="00A11FE0">
        <w:rPr>
          <w:rFonts w:asciiTheme="majorHAnsi" w:hAnsiTheme="majorHAnsi" w:cs="Calibri"/>
          <w:bCs/>
          <w:lang w:eastAsia="sk-SK"/>
        </w:rPr>
        <w:t>cieľom</w:t>
      </w:r>
      <w:r w:rsidR="00A13E12">
        <w:rPr>
          <w:rFonts w:asciiTheme="majorHAnsi" w:hAnsiTheme="majorHAnsi" w:cs="Calibri"/>
          <w:bCs/>
          <w:lang w:eastAsia="sk-SK"/>
        </w:rPr>
        <w:t xml:space="preserve"> </w:t>
      </w:r>
      <w:r w:rsidR="00D97293" w:rsidRPr="00A11FE0">
        <w:rPr>
          <w:rFonts w:asciiTheme="majorHAnsi" w:hAnsiTheme="majorHAnsi" w:cs="Calibri"/>
          <w:bCs/>
          <w:lang w:eastAsia="sk-SK"/>
        </w:rPr>
        <w:t xml:space="preserve">zabezpečiť </w:t>
      </w:r>
      <w:r>
        <w:rPr>
          <w:rFonts w:asciiTheme="majorHAnsi" w:hAnsiTheme="majorHAnsi" w:cs="Calibri"/>
          <w:bCs/>
          <w:lang w:eastAsia="sk-SK"/>
        </w:rPr>
        <w:t>k</w:t>
      </w:r>
      <w:r w:rsidR="00D97293" w:rsidRPr="00A11FE0">
        <w:rPr>
          <w:rFonts w:asciiTheme="majorHAnsi" w:hAnsiTheme="majorHAnsi" w:cs="Calibri"/>
          <w:bCs/>
          <w:lang w:eastAsia="sk-SK"/>
        </w:rPr>
        <w:t xml:space="preserve">omplementaritu </w:t>
      </w:r>
      <w:r>
        <w:rPr>
          <w:rFonts w:asciiTheme="majorHAnsi" w:hAnsiTheme="majorHAnsi" w:cs="Calibri"/>
          <w:bCs/>
          <w:lang w:eastAsia="sk-SK"/>
        </w:rPr>
        <w:t>s</w:t>
      </w:r>
      <w:r w:rsidR="000D3C8B">
        <w:rPr>
          <w:rFonts w:asciiTheme="majorHAnsi" w:hAnsiTheme="majorHAnsi" w:cs="Calibri"/>
          <w:bCs/>
          <w:lang w:eastAsia="sk-SK"/>
        </w:rPr>
        <w:t> </w:t>
      </w:r>
      <w:r w:rsidR="00D97293" w:rsidRPr="00A11FE0">
        <w:rPr>
          <w:rFonts w:asciiTheme="majorHAnsi" w:hAnsiTheme="majorHAnsi" w:cs="Calibri"/>
          <w:bCs/>
          <w:lang w:eastAsia="sk-SK"/>
        </w:rPr>
        <w:t xml:space="preserve">hlavnými programami </w:t>
      </w:r>
      <w:r>
        <w:rPr>
          <w:rFonts w:asciiTheme="majorHAnsi" w:hAnsiTheme="majorHAnsi" w:cs="Calibri"/>
          <w:bCs/>
          <w:lang w:eastAsia="sk-SK"/>
        </w:rPr>
        <w:t>S</w:t>
      </w:r>
      <w:r w:rsidR="00D97293" w:rsidRPr="00A11FE0">
        <w:rPr>
          <w:rFonts w:asciiTheme="majorHAnsi" w:hAnsiTheme="majorHAnsi" w:cs="Calibri"/>
          <w:bCs/>
          <w:lang w:eastAsia="sk-SK"/>
        </w:rPr>
        <w:t xml:space="preserve">R </w:t>
      </w:r>
      <w:r w:rsidR="00D97293" w:rsidRPr="00A11FE0">
        <w:rPr>
          <w:rFonts w:asciiTheme="majorHAnsi" w:hAnsiTheme="majorHAnsi" w:cs="Calibri"/>
        </w:rPr>
        <w:t xml:space="preserve">pri identifikácii riešení </w:t>
      </w:r>
      <w:r>
        <w:rPr>
          <w:rFonts w:asciiTheme="majorHAnsi" w:hAnsiTheme="majorHAnsi" w:cs="Calibri"/>
        </w:rPr>
        <w:t>s</w:t>
      </w:r>
      <w:r w:rsidR="00D97293" w:rsidRPr="00A11FE0">
        <w:rPr>
          <w:rFonts w:asciiTheme="majorHAnsi" w:hAnsiTheme="majorHAnsi" w:cs="Calibri"/>
        </w:rPr>
        <w:t xml:space="preserve">poločných výziev, </w:t>
      </w:r>
      <w:r>
        <w:rPr>
          <w:rFonts w:asciiTheme="majorHAnsi" w:hAnsiTheme="majorHAnsi" w:cs="Calibri"/>
        </w:rPr>
        <w:t>k</w:t>
      </w:r>
      <w:r w:rsidR="00D97293" w:rsidRPr="00A11FE0">
        <w:rPr>
          <w:rFonts w:asciiTheme="majorHAnsi" w:hAnsiTheme="majorHAnsi" w:cs="Calibri"/>
        </w:rPr>
        <w:t>toré ovplyvňujú určitú geografickú oblasť.</w:t>
      </w:r>
    </w:p>
    <w:p w:rsidR="00D97293" w:rsidRPr="00A11FE0" w:rsidRDefault="00D97293" w:rsidP="00D97293">
      <w:pPr>
        <w:spacing w:after="0"/>
        <w:rPr>
          <w:rFonts w:asciiTheme="majorHAnsi" w:hAnsiTheme="majorHAnsi" w:cs="Calibri"/>
        </w:rPr>
      </w:pPr>
      <w:r w:rsidRPr="00A11FE0">
        <w:rPr>
          <w:rFonts w:asciiTheme="majorHAnsi" w:hAnsiTheme="majorHAnsi" w:cs="Calibri"/>
        </w:rPr>
        <w:t>Investície v</w:t>
      </w:r>
      <w:r w:rsidR="006A7D08">
        <w:rPr>
          <w:rFonts w:asciiTheme="majorHAnsi" w:hAnsiTheme="majorHAnsi" w:cs="Calibri"/>
        </w:rPr>
        <w:t> </w:t>
      </w:r>
      <w:r w:rsidRPr="00A11FE0">
        <w:rPr>
          <w:rFonts w:asciiTheme="majorHAnsi" w:hAnsiTheme="majorHAnsi" w:cs="Calibri"/>
        </w:rPr>
        <w:t xml:space="preserve">rámci cezhraničnej </w:t>
      </w:r>
      <w:r w:rsidR="00BD5FD5">
        <w:rPr>
          <w:rFonts w:asciiTheme="majorHAnsi" w:hAnsiTheme="majorHAnsi" w:cs="Calibri"/>
        </w:rPr>
        <w:t>s</w:t>
      </w:r>
      <w:r w:rsidRPr="00A11FE0">
        <w:rPr>
          <w:rFonts w:asciiTheme="majorHAnsi" w:hAnsiTheme="majorHAnsi" w:cs="Calibri"/>
        </w:rPr>
        <w:t xml:space="preserve">polupráce </w:t>
      </w:r>
      <w:r w:rsidR="00BD5FD5">
        <w:rPr>
          <w:rFonts w:asciiTheme="majorHAnsi" w:hAnsiTheme="majorHAnsi" w:cs="Calibri"/>
        </w:rPr>
        <w:t>s</w:t>
      </w:r>
      <w:r w:rsidRPr="00A11FE0">
        <w:rPr>
          <w:rFonts w:asciiTheme="majorHAnsi" w:hAnsiTheme="majorHAnsi" w:cs="Calibri"/>
        </w:rPr>
        <w:t xml:space="preserve">a primárne prejavia na </w:t>
      </w:r>
      <w:r w:rsidR="00BD5FD5">
        <w:rPr>
          <w:rFonts w:asciiTheme="majorHAnsi" w:hAnsiTheme="majorHAnsi" w:cs="Calibri"/>
        </w:rPr>
        <w:t>k</w:t>
      </w:r>
      <w:r w:rsidRPr="00A11FE0">
        <w:rPr>
          <w:rFonts w:asciiTheme="majorHAnsi" w:hAnsiTheme="majorHAnsi" w:cs="Calibri"/>
        </w:rPr>
        <w:t xml:space="preserve">valite života obyvateľov </w:t>
      </w:r>
      <w:r w:rsidR="00BD5FD5">
        <w:rPr>
          <w:rFonts w:asciiTheme="majorHAnsi" w:hAnsiTheme="majorHAnsi" w:cs="Calibri"/>
        </w:rPr>
        <w:t>a</w:t>
      </w:r>
      <w:r w:rsidRPr="00A11FE0">
        <w:rPr>
          <w:rFonts w:asciiTheme="majorHAnsi" w:hAnsiTheme="majorHAnsi" w:cs="Calibri"/>
        </w:rPr>
        <w:t xml:space="preserve"> fungovaní verejných </w:t>
      </w:r>
      <w:r w:rsidR="00BD5FD5">
        <w:rPr>
          <w:rFonts w:asciiTheme="majorHAnsi" w:hAnsiTheme="majorHAnsi" w:cs="Calibri"/>
        </w:rPr>
        <w:t>a</w:t>
      </w:r>
      <w:r w:rsidRPr="00A11FE0">
        <w:rPr>
          <w:rFonts w:asciiTheme="majorHAnsi" w:hAnsiTheme="majorHAnsi" w:cs="Calibri"/>
        </w:rPr>
        <w:t> </w:t>
      </w:r>
      <w:r w:rsidR="00BD5FD5">
        <w:rPr>
          <w:rFonts w:asciiTheme="majorHAnsi" w:hAnsiTheme="majorHAnsi" w:cs="Calibri"/>
        </w:rPr>
        <w:t>s</w:t>
      </w:r>
      <w:r w:rsidRPr="00A11FE0">
        <w:rPr>
          <w:rFonts w:asciiTheme="majorHAnsi" w:hAnsiTheme="majorHAnsi" w:cs="Calibri"/>
        </w:rPr>
        <w:t xml:space="preserve">úkromných inštitúcií pôsobiacich v danom území. Na základe tohto predpokladu </w:t>
      </w:r>
      <w:r w:rsidR="00BD5FD5">
        <w:rPr>
          <w:rFonts w:asciiTheme="majorHAnsi" w:hAnsiTheme="majorHAnsi" w:cs="Calibri"/>
        </w:rPr>
        <w:t>s</w:t>
      </w:r>
      <w:r w:rsidRPr="00A11FE0">
        <w:rPr>
          <w:rFonts w:asciiTheme="majorHAnsi" w:hAnsiTheme="majorHAnsi" w:cs="Calibri"/>
        </w:rPr>
        <w:t xml:space="preserve">a cezhraničná </w:t>
      </w:r>
      <w:r w:rsidR="00BD5FD5">
        <w:rPr>
          <w:rFonts w:asciiTheme="majorHAnsi" w:hAnsiTheme="majorHAnsi" w:cs="Calibri"/>
        </w:rPr>
        <w:t>s</w:t>
      </w:r>
      <w:r w:rsidRPr="00A11FE0">
        <w:rPr>
          <w:rFonts w:asciiTheme="majorHAnsi" w:hAnsiTheme="majorHAnsi" w:cs="Calibri"/>
        </w:rPr>
        <w:t xml:space="preserve">polupráca v nasledujúcom období </w:t>
      </w:r>
      <w:r w:rsidR="00BD5FD5">
        <w:rPr>
          <w:rFonts w:asciiTheme="majorHAnsi" w:hAnsiTheme="majorHAnsi" w:cs="Calibri"/>
        </w:rPr>
        <w:t>s</w:t>
      </w:r>
      <w:r w:rsidRPr="00A11FE0">
        <w:rPr>
          <w:rFonts w:asciiTheme="majorHAnsi" w:hAnsiTheme="majorHAnsi" w:cs="Calibri"/>
        </w:rPr>
        <w:t>ústredí na zhodnocovanie vnútorného potenciálu v prospech ďalšieho vyváženého rozvoja prihraničného územia.</w:t>
      </w:r>
    </w:p>
    <w:p w:rsidR="00D97293" w:rsidRPr="00A413E4" w:rsidRDefault="00D97293" w:rsidP="00D97293">
      <w:pPr>
        <w:spacing w:after="0"/>
        <w:rPr>
          <w:rFonts w:asciiTheme="majorHAnsi" w:hAnsiTheme="majorHAnsi"/>
          <w:bCs/>
          <w:lang w:eastAsia="sk-SK"/>
        </w:rPr>
      </w:pPr>
      <w:r w:rsidRPr="00A413E4">
        <w:rPr>
          <w:rFonts w:asciiTheme="majorHAnsi" w:hAnsiTheme="majorHAnsi"/>
          <w:bCs/>
          <w:lang w:eastAsia="sk-SK"/>
        </w:rPr>
        <w:t xml:space="preserve">Pre </w:t>
      </w:r>
      <w:r w:rsidR="00BD5FD5" w:rsidRPr="00A413E4">
        <w:rPr>
          <w:rFonts w:asciiTheme="majorHAnsi" w:hAnsiTheme="majorHAnsi"/>
          <w:bCs/>
          <w:lang w:eastAsia="sk-SK"/>
        </w:rPr>
        <w:t>ak</w:t>
      </w:r>
      <w:r w:rsidRPr="00A413E4">
        <w:rPr>
          <w:rFonts w:asciiTheme="majorHAnsi" w:hAnsiTheme="majorHAnsi"/>
          <w:bCs/>
          <w:lang w:eastAsia="sk-SK"/>
        </w:rPr>
        <w:t xml:space="preserve">tivity </w:t>
      </w:r>
      <w:r w:rsidR="00BD5FD5" w:rsidRPr="00A413E4">
        <w:rPr>
          <w:rFonts w:asciiTheme="majorHAnsi" w:hAnsiTheme="majorHAnsi"/>
          <w:bCs/>
          <w:lang w:eastAsia="sk-SK"/>
        </w:rPr>
        <w:t>s</w:t>
      </w:r>
      <w:r w:rsidRPr="00A413E4">
        <w:rPr>
          <w:rFonts w:asciiTheme="majorHAnsi" w:hAnsiTheme="majorHAnsi"/>
          <w:bCs/>
          <w:lang w:eastAsia="sk-SK"/>
        </w:rPr>
        <w:t xml:space="preserve">merujúce </w:t>
      </w:r>
      <w:r w:rsidR="00BD5FD5" w:rsidRPr="00A413E4">
        <w:rPr>
          <w:rFonts w:asciiTheme="majorHAnsi" w:hAnsiTheme="majorHAnsi"/>
          <w:bCs/>
          <w:lang w:eastAsia="sk-SK"/>
        </w:rPr>
        <w:t>k</w:t>
      </w:r>
      <w:r w:rsidR="007F22E3">
        <w:rPr>
          <w:rFonts w:asciiTheme="majorHAnsi" w:hAnsiTheme="majorHAnsi"/>
          <w:bCs/>
          <w:lang w:eastAsia="sk-SK"/>
        </w:rPr>
        <w:t> </w:t>
      </w:r>
      <w:r w:rsidRPr="00A413E4">
        <w:rPr>
          <w:rFonts w:asciiTheme="majorHAnsi" w:hAnsiTheme="majorHAnsi"/>
          <w:bCs/>
          <w:lang w:eastAsia="sk-SK"/>
        </w:rPr>
        <w:t>podpore</w:t>
      </w:r>
      <w:r w:rsidR="007F22E3">
        <w:rPr>
          <w:rFonts w:asciiTheme="majorHAnsi" w:hAnsiTheme="majorHAnsi"/>
          <w:bCs/>
          <w:lang w:eastAsia="sk-SK"/>
        </w:rPr>
        <w:t xml:space="preserve"> </w:t>
      </w:r>
      <w:r w:rsidRPr="00A413E4">
        <w:rPr>
          <w:rFonts w:asciiTheme="majorHAnsi" w:hAnsiTheme="majorHAnsi"/>
          <w:bCs/>
          <w:lang w:eastAsia="sk-SK"/>
        </w:rPr>
        <w:t xml:space="preserve">projektov, </w:t>
      </w:r>
      <w:r w:rsidR="00BD5FD5" w:rsidRPr="00A413E4">
        <w:rPr>
          <w:rFonts w:asciiTheme="majorHAnsi" w:hAnsiTheme="majorHAnsi"/>
          <w:bCs/>
          <w:lang w:eastAsia="sk-SK"/>
        </w:rPr>
        <w:t>k</w:t>
      </w:r>
      <w:r w:rsidRPr="00A413E4">
        <w:rPr>
          <w:rFonts w:asciiTheme="majorHAnsi" w:hAnsiTheme="majorHAnsi"/>
          <w:bCs/>
          <w:lang w:eastAsia="sk-SK"/>
        </w:rPr>
        <w:t>toré napĺňajú integrované riešenia na danom území</w:t>
      </w:r>
      <w:r w:rsidR="006F6412">
        <w:rPr>
          <w:rFonts w:asciiTheme="majorHAnsi" w:hAnsiTheme="majorHAnsi"/>
          <w:bCs/>
          <w:lang w:eastAsia="sk-SK"/>
        </w:rPr>
        <w:t>,</w:t>
      </w:r>
      <w:r w:rsidRPr="00A413E4">
        <w:rPr>
          <w:rFonts w:asciiTheme="majorHAnsi" w:hAnsiTheme="majorHAnsi"/>
          <w:bCs/>
          <w:lang w:eastAsia="sk-SK"/>
        </w:rPr>
        <w:t xml:space="preserve"> </w:t>
      </w:r>
      <w:r w:rsidR="00BD5FD5" w:rsidRPr="00A413E4">
        <w:rPr>
          <w:rFonts w:asciiTheme="majorHAnsi" w:hAnsiTheme="majorHAnsi"/>
          <w:bCs/>
          <w:lang w:eastAsia="sk-SK"/>
        </w:rPr>
        <w:t>s</w:t>
      </w:r>
      <w:r w:rsidRPr="00A413E4">
        <w:rPr>
          <w:rFonts w:asciiTheme="majorHAnsi" w:hAnsiTheme="majorHAnsi"/>
          <w:bCs/>
          <w:lang w:eastAsia="sk-SK"/>
        </w:rPr>
        <w:t xml:space="preserve">ú relevantné nasledovné oblasti podpory využívané </w:t>
      </w:r>
      <w:r w:rsidR="00BD5FD5" w:rsidRPr="00A413E4">
        <w:rPr>
          <w:rFonts w:asciiTheme="majorHAnsi" w:hAnsiTheme="majorHAnsi"/>
          <w:bCs/>
          <w:lang w:eastAsia="sk-SK"/>
        </w:rPr>
        <w:t>k</w:t>
      </w:r>
      <w:r w:rsidRPr="00A413E4">
        <w:rPr>
          <w:rFonts w:asciiTheme="majorHAnsi" w:hAnsiTheme="majorHAnsi"/>
          <w:bCs/>
          <w:lang w:eastAsia="sk-SK"/>
        </w:rPr>
        <w:t xml:space="preserve">omplementárnym </w:t>
      </w:r>
      <w:r w:rsidR="00BD5FD5" w:rsidRPr="00A413E4">
        <w:rPr>
          <w:rFonts w:asciiTheme="majorHAnsi" w:hAnsiTheme="majorHAnsi"/>
          <w:bCs/>
          <w:lang w:eastAsia="sk-SK"/>
        </w:rPr>
        <w:t>s</w:t>
      </w:r>
      <w:r w:rsidRPr="00A413E4">
        <w:rPr>
          <w:rFonts w:asciiTheme="majorHAnsi" w:hAnsiTheme="majorHAnsi"/>
          <w:bCs/>
          <w:lang w:eastAsia="sk-SK"/>
        </w:rPr>
        <w:t>pôsobom:</w:t>
      </w:r>
    </w:p>
    <w:p w:rsidR="00D97293" w:rsidRPr="00A413E4" w:rsidRDefault="00D97293" w:rsidP="009B7C77">
      <w:pPr>
        <w:pStyle w:val="Odsekzoznamu"/>
        <w:numPr>
          <w:ilvl w:val="0"/>
          <w:numId w:val="31"/>
        </w:numPr>
        <w:spacing w:before="0" w:after="0"/>
        <w:ind w:left="714" w:hanging="357"/>
        <w:rPr>
          <w:rFonts w:asciiTheme="majorHAnsi" w:hAnsiTheme="majorHAnsi"/>
          <w:bCs/>
          <w:lang w:eastAsia="sk-SK"/>
        </w:rPr>
      </w:pPr>
      <w:r w:rsidRPr="00A413E4">
        <w:rPr>
          <w:rFonts w:asciiTheme="majorHAnsi" w:hAnsiTheme="majorHAnsi"/>
          <w:bCs/>
          <w:lang w:eastAsia="sk-SK"/>
        </w:rPr>
        <w:t>v</w:t>
      </w:r>
      <w:r w:rsidR="007F22E3">
        <w:rPr>
          <w:rFonts w:asciiTheme="majorHAnsi" w:hAnsiTheme="majorHAnsi"/>
          <w:bCs/>
          <w:lang w:eastAsia="sk-SK"/>
        </w:rPr>
        <w:t> </w:t>
      </w:r>
      <w:r w:rsidRPr="00A413E4">
        <w:rPr>
          <w:rFonts w:asciiTheme="majorHAnsi" w:hAnsiTheme="majorHAnsi"/>
          <w:bCs/>
          <w:lang w:eastAsia="sk-SK"/>
        </w:rPr>
        <w:t>oblasti</w:t>
      </w:r>
      <w:r w:rsidR="007F22E3">
        <w:rPr>
          <w:rFonts w:asciiTheme="majorHAnsi" w:hAnsiTheme="majorHAnsi"/>
          <w:bCs/>
          <w:lang w:eastAsia="sk-SK"/>
        </w:rPr>
        <w:t xml:space="preserve"> </w:t>
      </w:r>
      <w:r w:rsidRPr="00A413E4">
        <w:rPr>
          <w:rFonts w:asciiTheme="majorHAnsi" w:hAnsiTheme="majorHAnsi"/>
          <w:bCs/>
          <w:lang w:eastAsia="sk-SK"/>
        </w:rPr>
        <w:t xml:space="preserve">dopravy budú programy cezhraničnej </w:t>
      </w:r>
      <w:r w:rsidR="00BD5FD5" w:rsidRPr="00A413E4">
        <w:rPr>
          <w:rFonts w:asciiTheme="majorHAnsi" w:hAnsiTheme="majorHAnsi"/>
          <w:bCs/>
          <w:lang w:eastAsia="sk-SK"/>
        </w:rPr>
        <w:t>s</w:t>
      </w:r>
      <w:r w:rsidRPr="00A413E4">
        <w:rPr>
          <w:rFonts w:asciiTheme="majorHAnsi" w:hAnsiTheme="majorHAnsi"/>
          <w:bCs/>
          <w:lang w:eastAsia="sk-SK"/>
        </w:rPr>
        <w:t xml:space="preserve">polupráce zamerané najmä na </w:t>
      </w:r>
      <w:r w:rsidR="00BD5FD5" w:rsidRPr="00A413E4">
        <w:rPr>
          <w:rFonts w:asciiTheme="majorHAnsi" w:hAnsiTheme="majorHAnsi"/>
          <w:bCs/>
          <w:lang w:eastAsia="sk-SK"/>
        </w:rPr>
        <w:t>ak</w:t>
      </w:r>
      <w:r w:rsidRPr="00A413E4">
        <w:rPr>
          <w:rFonts w:asciiTheme="majorHAnsi" w:hAnsiTheme="majorHAnsi"/>
          <w:bCs/>
          <w:lang w:eastAsia="sk-SK"/>
        </w:rPr>
        <w:t xml:space="preserve">tivity, </w:t>
      </w:r>
      <w:r w:rsidR="00BD5FD5" w:rsidRPr="00A413E4">
        <w:rPr>
          <w:rFonts w:asciiTheme="majorHAnsi" w:hAnsiTheme="majorHAnsi"/>
          <w:bCs/>
          <w:lang w:eastAsia="sk-SK"/>
        </w:rPr>
        <w:t>k</w:t>
      </w:r>
      <w:r w:rsidRPr="00A413E4">
        <w:rPr>
          <w:rFonts w:asciiTheme="majorHAnsi" w:hAnsiTheme="majorHAnsi"/>
          <w:bCs/>
          <w:lang w:eastAsia="sk-SK"/>
        </w:rPr>
        <w:t xml:space="preserve">toré prispejú </w:t>
      </w:r>
      <w:r w:rsidR="00BD5FD5" w:rsidRPr="00A413E4">
        <w:rPr>
          <w:rFonts w:asciiTheme="majorHAnsi" w:hAnsiTheme="majorHAnsi"/>
          <w:bCs/>
          <w:lang w:eastAsia="sk-SK"/>
        </w:rPr>
        <w:t>k</w:t>
      </w:r>
      <w:r w:rsidRPr="00A413E4">
        <w:rPr>
          <w:rFonts w:asciiTheme="majorHAnsi" w:hAnsiTheme="majorHAnsi"/>
          <w:bCs/>
          <w:lang w:eastAsia="sk-SK"/>
        </w:rPr>
        <w:t xml:space="preserve">u </w:t>
      </w:r>
      <w:r w:rsidR="00BD5FD5" w:rsidRPr="00A413E4">
        <w:rPr>
          <w:rFonts w:asciiTheme="majorHAnsi" w:hAnsiTheme="majorHAnsi"/>
          <w:bCs/>
          <w:lang w:eastAsia="sk-SK"/>
        </w:rPr>
        <w:t>k</w:t>
      </w:r>
      <w:r w:rsidRPr="00A413E4">
        <w:rPr>
          <w:rFonts w:asciiTheme="majorHAnsi" w:hAnsiTheme="majorHAnsi"/>
          <w:bCs/>
          <w:lang w:eastAsia="sk-SK"/>
        </w:rPr>
        <w:t xml:space="preserve">valite </w:t>
      </w:r>
      <w:r w:rsidR="00BD5FD5" w:rsidRPr="00A413E4">
        <w:rPr>
          <w:rFonts w:asciiTheme="majorHAnsi" w:hAnsiTheme="majorHAnsi"/>
          <w:bCs/>
          <w:lang w:eastAsia="sk-SK"/>
        </w:rPr>
        <w:t>a</w:t>
      </w:r>
      <w:r w:rsidR="007F22E3">
        <w:rPr>
          <w:rFonts w:asciiTheme="majorHAnsi" w:hAnsiTheme="majorHAnsi"/>
          <w:bCs/>
          <w:lang w:eastAsia="sk-SK"/>
        </w:rPr>
        <w:t> </w:t>
      </w:r>
      <w:r w:rsidRPr="00A413E4">
        <w:rPr>
          <w:rFonts w:asciiTheme="majorHAnsi" w:hAnsiTheme="majorHAnsi"/>
          <w:bCs/>
          <w:lang w:eastAsia="sk-SK"/>
        </w:rPr>
        <w:t>bezpečnosti</w:t>
      </w:r>
      <w:r w:rsidR="007F22E3">
        <w:rPr>
          <w:rFonts w:asciiTheme="majorHAnsi" w:hAnsiTheme="majorHAnsi"/>
          <w:bCs/>
          <w:lang w:eastAsia="sk-SK"/>
        </w:rPr>
        <w:t xml:space="preserve"> </w:t>
      </w:r>
      <w:r w:rsidRPr="00A413E4">
        <w:rPr>
          <w:rFonts w:asciiTheme="majorHAnsi" w:hAnsiTheme="majorHAnsi"/>
          <w:bCs/>
          <w:lang w:eastAsia="sk-SK"/>
        </w:rPr>
        <w:t xml:space="preserve">vybraných úsekov cestnej </w:t>
      </w:r>
      <w:r w:rsidR="00BD5FD5" w:rsidRPr="00A413E4">
        <w:rPr>
          <w:rFonts w:asciiTheme="majorHAnsi" w:hAnsiTheme="majorHAnsi"/>
          <w:bCs/>
          <w:lang w:eastAsia="sk-SK"/>
        </w:rPr>
        <w:t>s</w:t>
      </w:r>
      <w:r w:rsidRPr="00A413E4">
        <w:rPr>
          <w:rFonts w:asciiTheme="majorHAnsi" w:hAnsiTheme="majorHAnsi"/>
          <w:bCs/>
          <w:lang w:eastAsia="sk-SK"/>
        </w:rPr>
        <w:t xml:space="preserve">iete </w:t>
      </w:r>
      <w:r w:rsidR="00BD5FD5" w:rsidRPr="00A413E4">
        <w:rPr>
          <w:rFonts w:asciiTheme="majorHAnsi" w:hAnsiTheme="majorHAnsi"/>
          <w:bCs/>
          <w:lang w:eastAsia="sk-SK"/>
        </w:rPr>
        <w:t>s</w:t>
      </w:r>
      <w:r w:rsidR="007F22E3">
        <w:rPr>
          <w:rFonts w:asciiTheme="majorHAnsi" w:hAnsiTheme="majorHAnsi"/>
          <w:bCs/>
          <w:lang w:eastAsia="sk-SK"/>
        </w:rPr>
        <w:t> </w:t>
      </w:r>
      <w:r w:rsidRPr="00A413E4">
        <w:rPr>
          <w:rFonts w:asciiTheme="majorHAnsi" w:hAnsiTheme="majorHAnsi"/>
          <w:bCs/>
          <w:lang w:eastAsia="sk-SK"/>
        </w:rPr>
        <w:t>cieľom</w:t>
      </w:r>
      <w:r w:rsidR="007F22E3">
        <w:rPr>
          <w:rFonts w:asciiTheme="majorHAnsi" w:hAnsiTheme="majorHAnsi"/>
          <w:bCs/>
          <w:lang w:eastAsia="sk-SK"/>
        </w:rPr>
        <w:t xml:space="preserve"> </w:t>
      </w:r>
      <w:r w:rsidRPr="00A413E4">
        <w:rPr>
          <w:rFonts w:asciiTheme="majorHAnsi" w:hAnsiTheme="majorHAnsi"/>
          <w:bCs/>
          <w:lang w:eastAsia="sk-SK"/>
        </w:rPr>
        <w:t>zlepšiť prepojenosť</w:t>
      </w:r>
      <w:r w:rsidR="001B0DA7">
        <w:rPr>
          <w:rFonts w:asciiTheme="majorHAnsi" w:hAnsiTheme="majorHAnsi"/>
          <w:bCs/>
          <w:lang w:eastAsia="sk-SK"/>
        </w:rPr>
        <w:t xml:space="preserve"> sekundárnych a terciárnych uzlov na TEN-T sieť </w:t>
      </w:r>
      <w:r w:rsidR="00BD5FD5" w:rsidRPr="00A413E4">
        <w:rPr>
          <w:rFonts w:asciiTheme="majorHAnsi" w:hAnsiTheme="majorHAnsi"/>
          <w:bCs/>
          <w:lang w:eastAsia="sk-SK"/>
        </w:rPr>
        <w:t>a</w:t>
      </w:r>
      <w:r w:rsidR="007F22E3">
        <w:rPr>
          <w:rFonts w:asciiTheme="majorHAnsi" w:hAnsiTheme="majorHAnsi"/>
          <w:bCs/>
          <w:lang w:eastAsia="sk-SK"/>
        </w:rPr>
        <w:t> </w:t>
      </w:r>
      <w:r w:rsidR="001B0DA7" w:rsidRPr="00A413E4">
        <w:rPr>
          <w:rFonts w:asciiTheme="majorHAnsi" w:hAnsiTheme="majorHAnsi"/>
          <w:bCs/>
          <w:lang w:eastAsia="sk-SK"/>
        </w:rPr>
        <w:t>podpor</w:t>
      </w:r>
      <w:r w:rsidR="001B0DA7">
        <w:rPr>
          <w:rFonts w:asciiTheme="majorHAnsi" w:hAnsiTheme="majorHAnsi"/>
          <w:bCs/>
          <w:lang w:eastAsia="sk-SK"/>
        </w:rPr>
        <w:t>iť</w:t>
      </w:r>
      <w:r w:rsidR="007F22E3">
        <w:rPr>
          <w:rFonts w:asciiTheme="majorHAnsi" w:hAnsiTheme="majorHAnsi"/>
          <w:bCs/>
          <w:lang w:eastAsia="sk-SK"/>
        </w:rPr>
        <w:t xml:space="preserve"> </w:t>
      </w:r>
      <w:r w:rsidRPr="00A413E4">
        <w:rPr>
          <w:rFonts w:asciiTheme="majorHAnsi" w:hAnsiTheme="majorHAnsi"/>
          <w:bCs/>
          <w:lang w:eastAsia="sk-SK"/>
        </w:rPr>
        <w:t>využívanie ekologických foriem dopravy</w:t>
      </w:r>
      <w:r w:rsidR="00B951F4">
        <w:rPr>
          <w:rFonts w:asciiTheme="majorHAnsi" w:hAnsiTheme="majorHAnsi"/>
          <w:bCs/>
          <w:lang w:eastAsia="sk-SK"/>
        </w:rPr>
        <w:t>;</w:t>
      </w:r>
    </w:p>
    <w:p w:rsidR="00D97293" w:rsidRPr="00A11FE0" w:rsidRDefault="00D97293" w:rsidP="009B7C77">
      <w:pPr>
        <w:pStyle w:val="Odsekzoznamu"/>
        <w:numPr>
          <w:ilvl w:val="0"/>
          <w:numId w:val="31"/>
        </w:numPr>
        <w:spacing w:before="0" w:after="0"/>
        <w:ind w:left="714" w:hanging="357"/>
        <w:rPr>
          <w:rFonts w:asciiTheme="majorHAnsi" w:hAnsiTheme="majorHAnsi"/>
          <w:bCs/>
          <w:lang w:eastAsia="sk-SK"/>
        </w:rPr>
      </w:pPr>
      <w:r w:rsidRPr="00A413E4">
        <w:rPr>
          <w:rFonts w:asciiTheme="majorHAnsi" w:hAnsiTheme="majorHAnsi"/>
          <w:bCs/>
          <w:lang w:eastAsia="sk-SK"/>
        </w:rPr>
        <w:t>v</w:t>
      </w:r>
      <w:r w:rsidR="007F22E3">
        <w:rPr>
          <w:rFonts w:asciiTheme="majorHAnsi" w:hAnsiTheme="majorHAnsi"/>
          <w:bCs/>
          <w:lang w:eastAsia="sk-SK"/>
        </w:rPr>
        <w:t> </w:t>
      </w:r>
      <w:r w:rsidRPr="00A413E4">
        <w:rPr>
          <w:rFonts w:asciiTheme="majorHAnsi" w:hAnsiTheme="majorHAnsi"/>
          <w:bCs/>
          <w:lang w:eastAsia="sk-SK"/>
        </w:rPr>
        <w:t>oblasti</w:t>
      </w:r>
      <w:r w:rsidR="007F22E3">
        <w:rPr>
          <w:rFonts w:asciiTheme="majorHAnsi" w:hAnsiTheme="majorHAnsi"/>
          <w:bCs/>
          <w:lang w:eastAsia="sk-SK"/>
        </w:rPr>
        <w:t xml:space="preserve"> </w:t>
      </w:r>
      <w:r w:rsidRPr="00A413E4">
        <w:rPr>
          <w:rFonts w:asciiTheme="majorHAnsi" w:hAnsiTheme="majorHAnsi"/>
          <w:bCs/>
          <w:lang w:eastAsia="sk-SK"/>
        </w:rPr>
        <w:t>životného</w:t>
      </w:r>
      <w:r w:rsidRPr="00A11FE0">
        <w:rPr>
          <w:rFonts w:asciiTheme="majorHAnsi" w:hAnsiTheme="majorHAnsi"/>
          <w:bCs/>
          <w:lang w:eastAsia="sk-SK"/>
        </w:rPr>
        <w:t xml:space="preserve"> prostredia budú </w:t>
      </w:r>
      <w:r w:rsidR="00BD5FD5">
        <w:rPr>
          <w:rFonts w:asciiTheme="majorHAnsi" w:hAnsiTheme="majorHAnsi"/>
          <w:bCs/>
          <w:lang w:eastAsia="sk-SK"/>
        </w:rPr>
        <w:t>ak</w:t>
      </w:r>
      <w:r w:rsidRPr="00A11FE0">
        <w:rPr>
          <w:rFonts w:asciiTheme="majorHAnsi" w:hAnsiTheme="majorHAnsi"/>
          <w:bCs/>
          <w:lang w:eastAsia="sk-SK"/>
        </w:rPr>
        <w:t xml:space="preserve">tivity zamerané na ochranu </w:t>
      </w:r>
      <w:r w:rsidR="00BD5FD5">
        <w:rPr>
          <w:rFonts w:asciiTheme="majorHAnsi" w:hAnsiTheme="majorHAnsi"/>
          <w:bCs/>
          <w:lang w:eastAsia="sk-SK"/>
        </w:rPr>
        <w:t>a</w:t>
      </w:r>
      <w:r w:rsidR="006A7D08">
        <w:rPr>
          <w:rFonts w:asciiTheme="majorHAnsi" w:hAnsiTheme="majorHAnsi"/>
          <w:bCs/>
          <w:lang w:eastAsia="sk-SK"/>
        </w:rPr>
        <w:t> </w:t>
      </w:r>
      <w:r w:rsidRPr="00A11FE0">
        <w:rPr>
          <w:rFonts w:asciiTheme="majorHAnsi" w:hAnsiTheme="majorHAnsi"/>
          <w:bCs/>
          <w:lang w:eastAsia="sk-SK"/>
        </w:rPr>
        <w:t xml:space="preserve">rozvoj </w:t>
      </w:r>
      <w:r w:rsidR="00BD5FD5">
        <w:rPr>
          <w:rFonts w:asciiTheme="majorHAnsi" w:hAnsiTheme="majorHAnsi"/>
          <w:bCs/>
          <w:lang w:eastAsia="sk-SK"/>
        </w:rPr>
        <w:t>k</w:t>
      </w:r>
      <w:r w:rsidRPr="00A11FE0">
        <w:rPr>
          <w:rFonts w:asciiTheme="majorHAnsi" w:hAnsiTheme="majorHAnsi"/>
          <w:bCs/>
          <w:lang w:eastAsia="sk-SK"/>
        </w:rPr>
        <w:t xml:space="preserve">ultúrneho </w:t>
      </w:r>
      <w:r w:rsidR="00BD5FD5">
        <w:rPr>
          <w:rFonts w:asciiTheme="majorHAnsi" w:hAnsiTheme="majorHAnsi"/>
          <w:bCs/>
          <w:lang w:eastAsia="sk-SK"/>
        </w:rPr>
        <w:t>a</w:t>
      </w:r>
      <w:r w:rsidRPr="00A11FE0">
        <w:rPr>
          <w:rFonts w:asciiTheme="majorHAnsi" w:hAnsiTheme="majorHAnsi"/>
          <w:bCs/>
          <w:lang w:eastAsia="sk-SK"/>
        </w:rPr>
        <w:t xml:space="preserve"> prírodného dedičstva </w:t>
      </w:r>
      <w:r w:rsidR="00BD5FD5">
        <w:rPr>
          <w:rFonts w:asciiTheme="majorHAnsi" w:hAnsiTheme="majorHAnsi"/>
          <w:bCs/>
          <w:lang w:eastAsia="sk-SK"/>
        </w:rPr>
        <w:t>a</w:t>
      </w:r>
      <w:r w:rsidR="006A7D08">
        <w:rPr>
          <w:rFonts w:asciiTheme="majorHAnsi" w:hAnsiTheme="majorHAnsi"/>
          <w:bCs/>
          <w:lang w:eastAsia="sk-SK"/>
        </w:rPr>
        <w:t> </w:t>
      </w:r>
      <w:r w:rsidRPr="00A11FE0">
        <w:rPr>
          <w:rFonts w:asciiTheme="majorHAnsi" w:hAnsiTheme="majorHAnsi"/>
          <w:bCs/>
          <w:lang w:eastAsia="sk-SK"/>
        </w:rPr>
        <w:t xml:space="preserve">ochranu </w:t>
      </w:r>
      <w:r w:rsidR="00BD5FD5">
        <w:rPr>
          <w:rFonts w:asciiTheme="majorHAnsi" w:hAnsiTheme="majorHAnsi"/>
          <w:bCs/>
          <w:lang w:eastAsia="sk-SK"/>
        </w:rPr>
        <w:t>a</w:t>
      </w:r>
      <w:r w:rsidR="007F22E3">
        <w:rPr>
          <w:rFonts w:asciiTheme="majorHAnsi" w:hAnsiTheme="majorHAnsi"/>
          <w:bCs/>
          <w:lang w:eastAsia="sk-SK"/>
        </w:rPr>
        <w:t> </w:t>
      </w:r>
      <w:r w:rsidRPr="00A11FE0">
        <w:rPr>
          <w:rFonts w:asciiTheme="majorHAnsi" w:hAnsiTheme="majorHAnsi"/>
          <w:bCs/>
          <w:lang w:eastAsia="sk-SK"/>
        </w:rPr>
        <w:t>zachovanie</w:t>
      </w:r>
      <w:r w:rsidR="007F22E3">
        <w:rPr>
          <w:rFonts w:asciiTheme="majorHAnsi" w:hAnsiTheme="majorHAnsi"/>
          <w:bCs/>
          <w:lang w:eastAsia="sk-SK"/>
        </w:rPr>
        <w:t xml:space="preserve"> </w:t>
      </w:r>
      <w:r w:rsidRPr="00A11FE0">
        <w:rPr>
          <w:rFonts w:asciiTheme="majorHAnsi" w:hAnsiTheme="majorHAnsi"/>
          <w:bCs/>
          <w:lang w:eastAsia="sk-SK"/>
        </w:rPr>
        <w:t>biodiverzity;</w:t>
      </w:r>
    </w:p>
    <w:p w:rsidR="00D97293" w:rsidRPr="00A11FE0" w:rsidRDefault="00D97293" w:rsidP="009B7C77">
      <w:pPr>
        <w:pStyle w:val="Odsekzoznamu"/>
        <w:numPr>
          <w:ilvl w:val="0"/>
          <w:numId w:val="31"/>
        </w:numPr>
        <w:spacing w:before="0" w:after="0"/>
        <w:ind w:left="714" w:hanging="357"/>
        <w:rPr>
          <w:rFonts w:asciiTheme="majorHAnsi" w:hAnsiTheme="majorHAnsi"/>
          <w:lang w:eastAsia="sk-SK"/>
        </w:rPr>
      </w:pPr>
      <w:r w:rsidRPr="00A11FE0">
        <w:rPr>
          <w:rFonts w:asciiTheme="majorHAnsi" w:hAnsiTheme="majorHAnsi"/>
          <w:lang w:eastAsia="sk-SK"/>
        </w:rPr>
        <w:t>v</w:t>
      </w:r>
      <w:r w:rsidR="007F22E3">
        <w:rPr>
          <w:rFonts w:asciiTheme="majorHAnsi" w:hAnsiTheme="majorHAnsi"/>
          <w:lang w:eastAsia="sk-SK"/>
        </w:rPr>
        <w:t> </w:t>
      </w:r>
      <w:r w:rsidRPr="00A11FE0">
        <w:rPr>
          <w:rFonts w:asciiTheme="majorHAnsi" w:hAnsiTheme="majorHAnsi"/>
          <w:lang w:eastAsia="sk-SK"/>
        </w:rPr>
        <w:t>oblasti</w:t>
      </w:r>
      <w:r w:rsidR="007F22E3">
        <w:rPr>
          <w:rFonts w:asciiTheme="majorHAnsi" w:hAnsiTheme="majorHAnsi"/>
          <w:lang w:eastAsia="sk-SK"/>
        </w:rPr>
        <w:t xml:space="preserve"> VaI</w:t>
      </w:r>
      <w:r w:rsidRPr="00A11FE0">
        <w:rPr>
          <w:rFonts w:asciiTheme="majorHAnsi" w:hAnsiTheme="majorHAnsi"/>
          <w:lang w:eastAsia="sk-SK"/>
        </w:rPr>
        <w:t xml:space="preserve"> budú programy cezhraničnej </w:t>
      </w:r>
      <w:r w:rsidR="00BD5FD5">
        <w:rPr>
          <w:rFonts w:asciiTheme="majorHAnsi" w:hAnsiTheme="majorHAnsi"/>
          <w:lang w:eastAsia="sk-SK"/>
        </w:rPr>
        <w:t>s</w:t>
      </w:r>
      <w:r w:rsidRPr="00A11FE0">
        <w:rPr>
          <w:rFonts w:asciiTheme="majorHAnsi" w:hAnsiTheme="majorHAnsi"/>
          <w:lang w:eastAsia="sk-SK"/>
        </w:rPr>
        <w:t xml:space="preserve">polupráce podporovať </w:t>
      </w:r>
      <w:r w:rsidR="00BD5FD5">
        <w:rPr>
          <w:rFonts w:asciiTheme="majorHAnsi" w:hAnsiTheme="majorHAnsi"/>
          <w:lang w:eastAsia="sk-SK"/>
        </w:rPr>
        <w:t>ak</w:t>
      </w:r>
      <w:r w:rsidRPr="00A11FE0">
        <w:rPr>
          <w:rFonts w:asciiTheme="majorHAnsi" w:hAnsiTheme="majorHAnsi"/>
          <w:lang w:eastAsia="sk-SK"/>
        </w:rPr>
        <w:t xml:space="preserve">tivity zamerané na prepájanie </w:t>
      </w:r>
      <w:r w:rsidR="00BD5FD5">
        <w:rPr>
          <w:rFonts w:asciiTheme="majorHAnsi" w:hAnsiTheme="majorHAnsi"/>
          <w:lang w:eastAsia="sk-SK"/>
        </w:rPr>
        <w:t>a</w:t>
      </w:r>
      <w:r w:rsidR="006A7D08">
        <w:rPr>
          <w:rFonts w:asciiTheme="majorHAnsi" w:hAnsiTheme="majorHAnsi"/>
          <w:lang w:eastAsia="sk-SK"/>
        </w:rPr>
        <w:t> </w:t>
      </w:r>
      <w:r w:rsidRPr="00A11FE0">
        <w:rPr>
          <w:rFonts w:asciiTheme="majorHAnsi" w:hAnsiTheme="majorHAnsi"/>
          <w:lang w:eastAsia="sk-SK"/>
        </w:rPr>
        <w:t xml:space="preserve">podporu cezhraničnej </w:t>
      </w:r>
      <w:r w:rsidR="00BD5FD5">
        <w:rPr>
          <w:rFonts w:asciiTheme="majorHAnsi" w:hAnsiTheme="majorHAnsi"/>
          <w:lang w:eastAsia="sk-SK"/>
        </w:rPr>
        <w:t>s</w:t>
      </w:r>
      <w:r w:rsidRPr="00A11FE0">
        <w:rPr>
          <w:rFonts w:asciiTheme="majorHAnsi" w:hAnsiTheme="majorHAnsi"/>
          <w:lang w:eastAsia="sk-SK"/>
        </w:rPr>
        <w:t xml:space="preserve">polupráce medzi </w:t>
      </w:r>
      <w:r w:rsidR="00BD5FD5">
        <w:rPr>
          <w:rFonts w:asciiTheme="majorHAnsi" w:hAnsiTheme="majorHAnsi"/>
          <w:lang w:eastAsia="sk-SK"/>
        </w:rPr>
        <w:t>s</w:t>
      </w:r>
      <w:r w:rsidRPr="00A11FE0">
        <w:rPr>
          <w:rFonts w:asciiTheme="majorHAnsi" w:hAnsiTheme="majorHAnsi"/>
          <w:lang w:eastAsia="sk-SK"/>
        </w:rPr>
        <w:t xml:space="preserve">ubjektmi výskumu, vývoja </w:t>
      </w:r>
      <w:r w:rsidR="00BD5FD5">
        <w:rPr>
          <w:rFonts w:asciiTheme="majorHAnsi" w:hAnsiTheme="majorHAnsi"/>
          <w:lang w:eastAsia="sk-SK"/>
        </w:rPr>
        <w:t>a</w:t>
      </w:r>
      <w:r w:rsidRPr="00A11FE0">
        <w:rPr>
          <w:rFonts w:asciiTheme="majorHAnsi" w:hAnsiTheme="majorHAnsi"/>
          <w:lang w:eastAsia="sk-SK"/>
        </w:rPr>
        <w:t xml:space="preserve"> podnikateľskou </w:t>
      </w:r>
      <w:r w:rsidR="00BD5FD5">
        <w:rPr>
          <w:rFonts w:asciiTheme="majorHAnsi" w:hAnsiTheme="majorHAnsi"/>
          <w:lang w:eastAsia="sk-SK"/>
        </w:rPr>
        <w:t>s</w:t>
      </w:r>
      <w:r w:rsidRPr="00A11FE0">
        <w:rPr>
          <w:rFonts w:asciiTheme="majorHAnsi" w:hAnsiTheme="majorHAnsi"/>
          <w:lang w:eastAsia="sk-SK"/>
        </w:rPr>
        <w:t>férou, vytváranie cezhraničných inovačných platforiem (</w:t>
      </w:r>
      <w:r w:rsidR="00BD5FD5">
        <w:rPr>
          <w:rFonts w:asciiTheme="majorHAnsi" w:hAnsiTheme="majorHAnsi"/>
          <w:lang w:eastAsia="sk-SK"/>
        </w:rPr>
        <w:t>s</w:t>
      </w:r>
      <w:r w:rsidRPr="00A11FE0">
        <w:rPr>
          <w:rFonts w:asciiTheme="majorHAnsi" w:hAnsiTheme="majorHAnsi"/>
          <w:lang w:eastAsia="sk-SK"/>
        </w:rPr>
        <w:t xml:space="preserve">ietí), prenos výsledkov </w:t>
      </w:r>
      <w:r w:rsidR="00BD5FD5">
        <w:rPr>
          <w:rFonts w:asciiTheme="majorHAnsi" w:hAnsiTheme="majorHAnsi"/>
          <w:lang w:eastAsia="sk-SK"/>
        </w:rPr>
        <w:t>a</w:t>
      </w:r>
      <w:r w:rsidRPr="00A11FE0">
        <w:rPr>
          <w:rFonts w:asciiTheme="majorHAnsi" w:hAnsiTheme="majorHAnsi"/>
          <w:lang w:eastAsia="sk-SK"/>
        </w:rPr>
        <w:t xml:space="preserve">plikovaného výskumu do praxe </w:t>
      </w:r>
      <w:r w:rsidR="00BD5FD5">
        <w:rPr>
          <w:rFonts w:asciiTheme="majorHAnsi" w:hAnsiTheme="majorHAnsi"/>
          <w:lang w:eastAsia="sk-SK"/>
        </w:rPr>
        <w:t>a</w:t>
      </w:r>
      <w:r w:rsidR="006A7D08">
        <w:rPr>
          <w:rFonts w:asciiTheme="majorHAnsi" w:hAnsiTheme="majorHAnsi"/>
          <w:lang w:eastAsia="sk-SK"/>
        </w:rPr>
        <w:t> </w:t>
      </w:r>
      <w:r w:rsidRPr="00A11FE0">
        <w:rPr>
          <w:rFonts w:asciiTheme="majorHAnsi" w:hAnsiTheme="majorHAnsi"/>
          <w:lang w:eastAsia="sk-SK"/>
        </w:rPr>
        <w:t xml:space="preserve">jeho ďalšej </w:t>
      </w:r>
      <w:r w:rsidR="00BD5FD5">
        <w:rPr>
          <w:rFonts w:asciiTheme="majorHAnsi" w:hAnsiTheme="majorHAnsi"/>
          <w:lang w:eastAsia="sk-SK"/>
        </w:rPr>
        <w:t>k</w:t>
      </w:r>
      <w:r w:rsidRPr="00A11FE0">
        <w:rPr>
          <w:rFonts w:asciiTheme="majorHAnsi" w:hAnsiTheme="majorHAnsi"/>
          <w:lang w:eastAsia="sk-SK"/>
        </w:rPr>
        <w:t xml:space="preserve">omercializácie </w:t>
      </w:r>
      <w:r w:rsidR="00BD5FD5">
        <w:rPr>
          <w:rFonts w:asciiTheme="majorHAnsi" w:hAnsiTheme="majorHAnsi"/>
          <w:lang w:eastAsia="sk-SK"/>
        </w:rPr>
        <w:t>s</w:t>
      </w:r>
      <w:r w:rsidRPr="00A11FE0">
        <w:rPr>
          <w:rFonts w:asciiTheme="majorHAnsi" w:hAnsiTheme="majorHAnsi"/>
          <w:lang w:eastAsia="sk-SK"/>
        </w:rPr>
        <w:t>ubjektmi pôsobiacimi v</w:t>
      </w:r>
      <w:r w:rsidR="00A13E12">
        <w:rPr>
          <w:rFonts w:asciiTheme="majorHAnsi" w:hAnsiTheme="majorHAnsi"/>
          <w:lang w:eastAsia="sk-SK"/>
        </w:rPr>
        <w:t> </w:t>
      </w:r>
      <w:r w:rsidRPr="00A11FE0">
        <w:rPr>
          <w:rFonts w:asciiTheme="majorHAnsi" w:hAnsiTheme="majorHAnsi"/>
          <w:lang w:eastAsia="sk-SK"/>
        </w:rPr>
        <w:t>cezhraničnom</w:t>
      </w:r>
      <w:r w:rsidR="00A13E12">
        <w:rPr>
          <w:rFonts w:asciiTheme="majorHAnsi" w:hAnsiTheme="majorHAnsi"/>
          <w:lang w:eastAsia="sk-SK"/>
        </w:rPr>
        <w:t xml:space="preserve"> </w:t>
      </w:r>
      <w:r w:rsidRPr="00A11FE0">
        <w:rPr>
          <w:rFonts w:asciiTheme="majorHAnsi" w:hAnsiTheme="majorHAnsi"/>
          <w:lang w:eastAsia="sk-SK"/>
        </w:rPr>
        <w:t>regióne;</w:t>
      </w:r>
    </w:p>
    <w:p w:rsidR="00D97293" w:rsidRPr="00A11FE0" w:rsidRDefault="00D97293" w:rsidP="009B7C77">
      <w:pPr>
        <w:pStyle w:val="Odsekzoznamu"/>
        <w:numPr>
          <w:ilvl w:val="0"/>
          <w:numId w:val="31"/>
        </w:numPr>
        <w:spacing w:before="0" w:after="0"/>
        <w:ind w:left="714" w:hanging="357"/>
        <w:rPr>
          <w:rFonts w:asciiTheme="majorHAnsi" w:hAnsiTheme="majorHAnsi"/>
          <w:bCs/>
          <w:lang w:eastAsia="sk-SK"/>
        </w:rPr>
      </w:pPr>
      <w:r w:rsidRPr="00A11FE0">
        <w:rPr>
          <w:rFonts w:asciiTheme="majorHAnsi" w:hAnsiTheme="majorHAnsi"/>
          <w:bCs/>
          <w:lang w:eastAsia="sk-SK"/>
        </w:rPr>
        <w:t>v</w:t>
      </w:r>
      <w:r w:rsidR="006A7D08">
        <w:rPr>
          <w:rFonts w:asciiTheme="majorHAnsi" w:hAnsiTheme="majorHAnsi"/>
          <w:bCs/>
          <w:lang w:eastAsia="sk-SK"/>
        </w:rPr>
        <w:t> </w:t>
      </w:r>
      <w:r w:rsidRPr="00A11FE0">
        <w:rPr>
          <w:rFonts w:asciiTheme="majorHAnsi" w:hAnsiTheme="majorHAnsi"/>
          <w:bCs/>
          <w:lang w:eastAsia="sk-SK"/>
        </w:rPr>
        <w:t xml:space="preserve">oblasti vzdelávania budú programy cezhraničnej </w:t>
      </w:r>
      <w:r w:rsidR="00BD5FD5">
        <w:rPr>
          <w:rFonts w:asciiTheme="majorHAnsi" w:hAnsiTheme="majorHAnsi"/>
          <w:bCs/>
          <w:lang w:eastAsia="sk-SK"/>
        </w:rPr>
        <w:t>s</w:t>
      </w:r>
      <w:r w:rsidRPr="00A11FE0">
        <w:rPr>
          <w:rFonts w:asciiTheme="majorHAnsi" w:hAnsiTheme="majorHAnsi"/>
          <w:bCs/>
          <w:lang w:eastAsia="sk-SK"/>
        </w:rPr>
        <w:t xml:space="preserve">polupráce zamerané na </w:t>
      </w:r>
      <w:r w:rsidR="00BD5FD5">
        <w:rPr>
          <w:rFonts w:asciiTheme="majorHAnsi" w:hAnsiTheme="majorHAnsi"/>
          <w:bCs/>
          <w:lang w:eastAsia="sk-SK"/>
        </w:rPr>
        <w:t>ak</w:t>
      </w:r>
      <w:r w:rsidRPr="00A11FE0">
        <w:rPr>
          <w:rFonts w:asciiTheme="majorHAnsi" w:hAnsiTheme="majorHAnsi"/>
          <w:bCs/>
          <w:lang w:eastAsia="sk-SK"/>
        </w:rPr>
        <w:t xml:space="preserve">tivity, </w:t>
      </w:r>
      <w:r w:rsidR="00BD5FD5">
        <w:rPr>
          <w:rFonts w:asciiTheme="majorHAnsi" w:hAnsiTheme="majorHAnsi"/>
          <w:bCs/>
          <w:lang w:eastAsia="sk-SK"/>
        </w:rPr>
        <w:t>k</w:t>
      </w:r>
      <w:r w:rsidRPr="00A11FE0">
        <w:rPr>
          <w:rFonts w:asciiTheme="majorHAnsi" w:hAnsiTheme="majorHAnsi"/>
          <w:bCs/>
          <w:lang w:eastAsia="sk-SK"/>
        </w:rPr>
        <w:t xml:space="preserve">toré budú prispievať </w:t>
      </w:r>
      <w:r w:rsidR="00BD5FD5">
        <w:rPr>
          <w:rFonts w:asciiTheme="majorHAnsi" w:hAnsiTheme="majorHAnsi"/>
          <w:bCs/>
          <w:lang w:eastAsia="sk-SK"/>
        </w:rPr>
        <w:t>k</w:t>
      </w:r>
      <w:r w:rsidR="006A7D08">
        <w:rPr>
          <w:rFonts w:asciiTheme="majorHAnsi" w:hAnsiTheme="majorHAnsi"/>
          <w:bCs/>
          <w:lang w:eastAsia="sk-SK"/>
        </w:rPr>
        <w:t> </w:t>
      </w:r>
      <w:r w:rsidRPr="00A11FE0">
        <w:rPr>
          <w:rFonts w:asciiTheme="majorHAnsi" w:hAnsiTheme="majorHAnsi"/>
          <w:bCs/>
          <w:lang w:eastAsia="sk-SK"/>
        </w:rPr>
        <w:t xml:space="preserve">posilneniu odborného </w:t>
      </w:r>
      <w:r w:rsidR="00BD5FD5">
        <w:rPr>
          <w:rFonts w:asciiTheme="majorHAnsi" w:hAnsiTheme="majorHAnsi"/>
          <w:bCs/>
          <w:lang w:eastAsia="sk-SK"/>
        </w:rPr>
        <w:t>a</w:t>
      </w:r>
      <w:r w:rsidRPr="00A11FE0">
        <w:rPr>
          <w:rFonts w:asciiTheme="majorHAnsi" w:hAnsiTheme="majorHAnsi"/>
          <w:bCs/>
          <w:lang w:eastAsia="sk-SK"/>
        </w:rPr>
        <w:t> celoživotného vzdelávania pre potreby praxe;</w:t>
      </w:r>
    </w:p>
    <w:p w:rsidR="00D97293" w:rsidRPr="00A11FE0" w:rsidRDefault="00D97293" w:rsidP="009B7C77">
      <w:pPr>
        <w:pStyle w:val="Odsekzoznamu"/>
        <w:numPr>
          <w:ilvl w:val="0"/>
          <w:numId w:val="31"/>
        </w:numPr>
        <w:spacing w:before="0" w:after="0"/>
        <w:ind w:left="714" w:hanging="357"/>
        <w:rPr>
          <w:rFonts w:asciiTheme="majorHAnsi" w:hAnsiTheme="majorHAnsi"/>
          <w:bCs/>
          <w:lang w:eastAsia="sk-SK"/>
        </w:rPr>
      </w:pPr>
      <w:r w:rsidRPr="00A11FE0">
        <w:rPr>
          <w:rFonts w:asciiTheme="majorHAnsi" w:hAnsiTheme="majorHAnsi"/>
          <w:bCs/>
          <w:lang w:eastAsia="sk-SK"/>
        </w:rPr>
        <w:t>v</w:t>
      </w:r>
      <w:r w:rsidR="006A7D08">
        <w:rPr>
          <w:rFonts w:asciiTheme="majorHAnsi" w:hAnsiTheme="majorHAnsi"/>
          <w:bCs/>
          <w:lang w:eastAsia="sk-SK"/>
        </w:rPr>
        <w:t> </w:t>
      </w:r>
      <w:r w:rsidRPr="00A11FE0">
        <w:rPr>
          <w:rFonts w:asciiTheme="majorHAnsi" w:hAnsiTheme="majorHAnsi"/>
          <w:bCs/>
          <w:lang w:eastAsia="sk-SK"/>
        </w:rPr>
        <w:t xml:space="preserve">oblasti posilňovania inštitucionálnych </w:t>
      </w:r>
      <w:r w:rsidR="00BD5FD5">
        <w:rPr>
          <w:rFonts w:asciiTheme="majorHAnsi" w:hAnsiTheme="majorHAnsi"/>
          <w:bCs/>
          <w:lang w:eastAsia="sk-SK"/>
        </w:rPr>
        <w:t>k</w:t>
      </w:r>
      <w:r w:rsidRPr="00A11FE0">
        <w:rPr>
          <w:rFonts w:asciiTheme="majorHAnsi" w:hAnsiTheme="majorHAnsi"/>
          <w:bCs/>
          <w:lang w:eastAsia="sk-SK"/>
        </w:rPr>
        <w:t xml:space="preserve">apacít </w:t>
      </w:r>
      <w:r w:rsidR="00BD5FD5">
        <w:rPr>
          <w:rFonts w:asciiTheme="majorHAnsi" w:hAnsiTheme="majorHAnsi"/>
          <w:bCs/>
          <w:lang w:eastAsia="sk-SK"/>
        </w:rPr>
        <w:t>a</w:t>
      </w:r>
      <w:r w:rsidRPr="00A11FE0">
        <w:rPr>
          <w:rFonts w:asciiTheme="majorHAnsi" w:hAnsiTheme="majorHAnsi"/>
          <w:bCs/>
          <w:lang w:eastAsia="sk-SK"/>
        </w:rPr>
        <w:t xml:space="preserve"> efektívnej verejnej </w:t>
      </w:r>
      <w:r w:rsidR="00BD5FD5">
        <w:rPr>
          <w:rFonts w:asciiTheme="majorHAnsi" w:hAnsiTheme="majorHAnsi"/>
          <w:bCs/>
          <w:lang w:eastAsia="sk-SK"/>
        </w:rPr>
        <w:t>s</w:t>
      </w:r>
      <w:r w:rsidRPr="00A11FE0">
        <w:rPr>
          <w:rFonts w:asciiTheme="majorHAnsi" w:hAnsiTheme="majorHAnsi"/>
          <w:bCs/>
          <w:lang w:eastAsia="sk-SK"/>
        </w:rPr>
        <w:t xml:space="preserve">právy budú programy cezhraničnej </w:t>
      </w:r>
      <w:r w:rsidR="00BD5FD5">
        <w:rPr>
          <w:rFonts w:asciiTheme="majorHAnsi" w:hAnsiTheme="majorHAnsi"/>
          <w:bCs/>
          <w:lang w:eastAsia="sk-SK"/>
        </w:rPr>
        <w:t>s</w:t>
      </w:r>
      <w:r w:rsidRPr="00A11FE0">
        <w:rPr>
          <w:rFonts w:asciiTheme="majorHAnsi" w:hAnsiTheme="majorHAnsi"/>
          <w:bCs/>
          <w:lang w:eastAsia="sk-SK"/>
        </w:rPr>
        <w:t xml:space="preserve">polupráce zamerané na </w:t>
      </w:r>
      <w:r w:rsidR="00BD5FD5">
        <w:rPr>
          <w:rFonts w:asciiTheme="majorHAnsi" w:hAnsiTheme="majorHAnsi"/>
          <w:bCs/>
          <w:lang w:eastAsia="sk-SK"/>
        </w:rPr>
        <w:t>ak</w:t>
      </w:r>
      <w:r w:rsidRPr="00A11FE0">
        <w:rPr>
          <w:rFonts w:asciiTheme="majorHAnsi" w:hAnsiTheme="majorHAnsi"/>
          <w:bCs/>
          <w:lang w:eastAsia="sk-SK"/>
        </w:rPr>
        <w:t xml:space="preserve">tivity, </w:t>
      </w:r>
      <w:r w:rsidR="00BD5FD5">
        <w:rPr>
          <w:rFonts w:asciiTheme="majorHAnsi" w:hAnsiTheme="majorHAnsi"/>
          <w:bCs/>
          <w:lang w:eastAsia="sk-SK"/>
        </w:rPr>
        <w:t>k</w:t>
      </w:r>
      <w:r w:rsidRPr="00A11FE0">
        <w:rPr>
          <w:rFonts w:asciiTheme="majorHAnsi" w:hAnsiTheme="majorHAnsi"/>
          <w:bCs/>
          <w:lang w:eastAsia="sk-SK"/>
        </w:rPr>
        <w:t xml:space="preserve">toré prispejú </w:t>
      </w:r>
      <w:r w:rsidR="00BD5FD5">
        <w:rPr>
          <w:rFonts w:asciiTheme="majorHAnsi" w:hAnsiTheme="majorHAnsi"/>
          <w:bCs/>
          <w:lang w:eastAsia="sk-SK"/>
        </w:rPr>
        <w:t>k</w:t>
      </w:r>
      <w:r w:rsidRPr="00A11FE0">
        <w:rPr>
          <w:rFonts w:asciiTheme="majorHAnsi" w:hAnsiTheme="majorHAnsi"/>
          <w:bCs/>
          <w:lang w:eastAsia="sk-SK"/>
        </w:rPr>
        <w:t xml:space="preserve"> zintenzívneniu väzieb prostredníctvom miestnych iniciatív </w:t>
      </w:r>
      <w:r w:rsidR="00BD5FD5">
        <w:rPr>
          <w:rFonts w:asciiTheme="majorHAnsi" w:hAnsiTheme="majorHAnsi"/>
          <w:bCs/>
          <w:lang w:eastAsia="sk-SK"/>
        </w:rPr>
        <w:t>a</w:t>
      </w:r>
      <w:r w:rsidR="006A7D08">
        <w:rPr>
          <w:rFonts w:asciiTheme="majorHAnsi" w:hAnsiTheme="majorHAnsi"/>
          <w:bCs/>
          <w:lang w:eastAsia="sk-SK"/>
        </w:rPr>
        <w:t> </w:t>
      </w:r>
      <w:r w:rsidRPr="00A11FE0">
        <w:rPr>
          <w:rFonts w:asciiTheme="majorHAnsi" w:hAnsiTheme="majorHAnsi"/>
          <w:bCs/>
          <w:lang w:eastAsia="sk-SK"/>
        </w:rPr>
        <w:t xml:space="preserve">zlepšovaniu inštitucionálnej </w:t>
      </w:r>
      <w:r w:rsidR="00BD5FD5">
        <w:rPr>
          <w:rFonts w:asciiTheme="majorHAnsi" w:hAnsiTheme="majorHAnsi"/>
          <w:bCs/>
          <w:lang w:eastAsia="sk-SK"/>
        </w:rPr>
        <w:t>s</w:t>
      </w:r>
      <w:r w:rsidRPr="00A11FE0">
        <w:rPr>
          <w:rFonts w:asciiTheme="majorHAnsi" w:hAnsiTheme="majorHAnsi"/>
          <w:bCs/>
          <w:lang w:eastAsia="sk-SK"/>
        </w:rPr>
        <w:t>polupráce</w:t>
      </w:r>
      <w:r w:rsidR="007F22E3">
        <w:rPr>
          <w:rFonts w:asciiTheme="majorHAnsi" w:hAnsiTheme="majorHAnsi"/>
          <w:bCs/>
          <w:lang w:eastAsia="sk-SK"/>
        </w:rPr>
        <w:t>,</w:t>
      </w:r>
      <w:r w:rsidRPr="00A11FE0">
        <w:rPr>
          <w:rFonts w:asciiTheme="majorHAnsi" w:hAnsiTheme="majorHAnsi"/>
          <w:bCs/>
          <w:lang w:eastAsia="sk-SK"/>
        </w:rPr>
        <w:t xml:space="preserve"> vrátane rozvoja ľudských zdrojov </w:t>
      </w:r>
      <w:r w:rsidR="00BD5FD5">
        <w:rPr>
          <w:rFonts w:asciiTheme="majorHAnsi" w:hAnsiTheme="majorHAnsi"/>
          <w:bCs/>
          <w:lang w:eastAsia="sk-SK"/>
        </w:rPr>
        <w:t>a</w:t>
      </w:r>
      <w:r w:rsidR="006A7D08">
        <w:rPr>
          <w:rFonts w:asciiTheme="majorHAnsi" w:hAnsiTheme="majorHAnsi"/>
          <w:bCs/>
          <w:lang w:eastAsia="sk-SK"/>
        </w:rPr>
        <w:t> </w:t>
      </w:r>
      <w:r w:rsidR="00BD5FD5">
        <w:rPr>
          <w:rFonts w:asciiTheme="majorHAnsi" w:hAnsiTheme="majorHAnsi"/>
          <w:bCs/>
          <w:lang w:eastAsia="sk-SK"/>
        </w:rPr>
        <w:t>s</w:t>
      </w:r>
      <w:r w:rsidRPr="00A11FE0">
        <w:rPr>
          <w:rFonts w:asciiTheme="majorHAnsi" w:hAnsiTheme="majorHAnsi"/>
          <w:bCs/>
          <w:lang w:eastAsia="sk-SK"/>
        </w:rPr>
        <w:t>trategického plánovania.</w:t>
      </w:r>
    </w:p>
    <w:p w:rsidR="00D97293" w:rsidRPr="00A11FE0" w:rsidRDefault="00D97293" w:rsidP="00D97293">
      <w:pPr>
        <w:spacing w:after="0"/>
        <w:rPr>
          <w:rFonts w:asciiTheme="majorHAnsi" w:hAnsiTheme="majorHAnsi"/>
          <w:bCs/>
          <w:lang w:eastAsia="sk-SK"/>
        </w:rPr>
      </w:pPr>
      <w:r w:rsidRPr="00A11FE0">
        <w:rPr>
          <w:rFonts w:asciiTheme="majorHAnsi" w:hAnsiTheme="majorHAnsi"/>
          <w:bCs/>
          <w:lang w:eastAsia="sk-SK"/>
        </w:rPr>
        <w:lastRenderedPageBreak/>
        <w:t xml:space="preserve">Na základe </w:t>
      </w:r>
      <w:r w:rsidR="00BD5FD5">
        <w:rPr>
          <w:rFonts w:asciiTheme="majorHAnsi" w:hAnsiTheme="majorHAnsi"/>
          <w:bCs/>
          <w:lang w:eastAsia="sk-SK"/>
        </w:rPr>
        <w:t>s</w:t>
      </w:r>
      <w:r w:rsidRPr="00A11FE0">
        <w:rPr>
          <w:rFonts w:asciiTheme="majorHAnsi" w:hAnsiTheme="majorHAnsi"/>
          <w:bCs/>
          <w:lang w:eastAsia="sk-SK"/>
        </w:rPr>
        <w:t xml:space="preserve">kúseností z programového obdobia 2007 – 2013 je záujem </w:t>
      </w:r>
      <w:r w:rsidR="00BD5FD5">
        <w:rPr>
          <w:rFonts w:asciiTheme="majorHAnsi" w:hAnsiTheme="majorHAnsi"/>
          <w:bCs/>
          <w:lang w:eastAsia="sk-SK"/>
        </w:rPr>
        <w:t>a</w:t>
      </w:r>
      <w:r w:rsidRPr="00A11FE0">
        <w:rPr>
          <w:rFonts w:asciiTheme="majorHAnsi" w:hAnsiTheme="majorHAnsi"/>
          <w:bCs/>
          <w:lang w:eastAsia="sk-SK"/>
        </w:rPr>
        <w:t>j o</w:t>
      </w:r>
      <w:r w:rsidR="006A7D08">
        <w:rPr>
          <w:rFonts w:asciiTheme="majorHAnsi" w:hAnsiTheme="majorHAnsi"/>
          <w:bCs/>
          <w:lang w:eastAsia="sk-SK"/>
        </w:rPr>
        <w:t> </w:t>
      </w:r>
      <w:r w:rsidRPr="00A11FE0">
        <w:rPr>
          <w:rFonts w:asciiTheme="majorHAnsi" w:hAnsiTheme="majorHAnsi"/>
          <w:bCs/>
          <w:lang w:eastAsia="sk-SK"/>
        </w:rPr>
        <w:t xml:space="preserve">posilnenie cezhraničných vzťahov prostredníctvom realizácie malých projektov založených na </w:t>
      </w:r>
      <w:r w:rsidR="00BD5FD5">
        <w:rPr>
          <w:rFonts w:asciiTheme="majorHAnsi" w:hAnsiTheme="majorHAnsi"/>
          <w:bCs/>
          <w:lang w:eastAsia="sk-SK"/>
        </w:rPr>
        <w:t>ak</w:t>
      </w:r>
      <w:r w:rsidRPr="00A11FE0">
        <w:rPr>
          <w:rFonts w:asciiTheme="majorHAnsi" w:hAnsiTheme="majorHAnsi"/>
          <w:bCs/>
          <w:lang w:eastAsia="sk-SK"/>
        </w:rPr>
        <w:t xml:space="preserve">tivitách typu „ľudia ľuďom“. Predpokladá </w:t>
      </w:r>
      <w:r w:rsidR="00BD5FD5">
        <w:rPr>
          <w:rFonts w:asciiTheme="majorHAnsi" w:hAnsiTheme="majorHAnsi"/>
          <w:bCs/>
          <w:lang w:eastAsia="sk-SK"/>
        </w:rPr>
        <w:t>s</w:t>
      </w:r>
      <w:r w:rsidRPr="00A11FE0">
        <w:rPr>
          <w:rFonts w:asciiTheme="majorHAnsi" w:hAnsiTheme="majorHAnsi"/>
          <w:bCs/>
          <w:lang w:eastAsia="sk-SK"/>
        </w:rPr>
        <w:t xml:space="preserve">a podpora širokospektrálne zameraných </w:t>
      </w:r>
      <w:r w:rsidR="00BD5FD5">
        <w:rPr>
          <w:rFonts w:asciiTheme="majorHAnsi" w:hAnsiTheme="majorHAnsi"/>
          <w:bCs/>
          <w:lang w:eastAsia="sk-SK"/>
        </w:rPr>
        <w:t>ak</w:t>
      </w:r>
      <w:r w:rsidRPr="00A11FE0">
        <w:rPr>
          <w:rFonts w:asciiTheme="majorHAnsi" w:hAnsiTheme="majorHAnsi"/>
          <w:bCs/>
          <w:lang w:eastAsia="sk-SK"/>
        </w:rPr>
        <w:t xml:space="preserve">tivít </w:t>
      </w:r>
      <w:r w:rsidR="00BD5FD5">
        <w:rPr>
          <w:rFonts w:asciiTheme="majorHAnsi" w:hAnsiTheme="majorHAnsi"/>
          <w:bCs/>
          <w:lang w:eastAsia="sk-SK"/>
        </w:rPr>
        <w:t>s</w:t>
      </w:r>
      <w:r w:rsidR="006A7D08">
        <w:rPr>
          <w:rFonts w:asciiTheme="majorHAnsi" w:hAnsiTheme="majorHAnsi"/>
          <w:bCs/>
          <w:lang w:eastAsia="sk-SK"/>
        </w:rPr>
        <w:t> </w:t>
      </w:r>
      <w:r w:rsidRPr="00A11FE0">
        <w:rPr>
          <w:rFonts w:asciiTheme="majorHAnsi" w:hAnsiTheme="majorHAnsi"/>
          <w:bCs/>
          <w:lang w:eastAsia="sk-SK"/>
        </w:rPr>
        <w:t>prevažne neinvestičným charakterom.</w:t>
      </w:r>
    </w:p>
    <w:p w:rsidR="00D97293" w:rsidRPr="00A11FE0" w:rsidRDefault="00D97293" w:rsidP="00D97293">
      <w:pPr>
        <w:spacing w:after="0"/>
        <w:rPr>
          <w:rFonts w:asciiTheme="majorHAnsi" w:hAnsiTheme="majorHAnsi"/>
          <w:bCs/>
          <w:lang w:eastAsia="sk-SK"/>
        </w:rPr>
      </w:pPr>
      <w:r w:rsidRPr="00A11FE0">
        <w:rPr>
          <w:rFonts w:asciiTheme="majorHAnsi" w:hAnsiTheme="majorHAnsi"/>
          <w:bCs/>
          <w:lang w:eastAsia="sk-SK"/>
        </w:rPr>
        <w:t>Operačný program ENI HU-</w:t>
      </w:r>
      <w:r w:rsidR="00BD5FD5">
        <w:rPr>
          <w:rFonts w:asciiTheme="majorHAnsi" w:hAnsiTheme="majorHAnsi"/>
          <w:bCs/>
          <w:lang w:eastAsia="sk-SK"/>
        </w:rPr>
        <w:t>S</w:t>
      </w:r>
      <w:r w:rsidRPr="00A11FE0">
        <w:rPr>
          <w:rFonts w:asciiTheme="majorHAnsi" w:hAnsiTheme="majorHAnsi"/>
          <w:bCs/>
          <w:lang w:eastAsia="sk-SK"/>
        </w:rPr>
        <w:t xml:space="preserve">K-RO-UA 2014 – 2020 bude naďalej podporovať zintenzívnenie </w:t>
      </w:r>
      <w:r w:rsidR="00BD5FD5">
        <w:rPr>
          <w:rFonts w:asciiTheme="majorHAnsi" w:hAnsiTheme="majorHAnsi"/>
          <w:bCs/>
          <w:lang w:eastAsia="sk-SK"/>
        </w:rPr>
        <w:t>a</w:t>
      </w:r>
      <w:r w:rsidRPr="00A11FE0">
        <w:rPr>
          <w:rFonts w:asciiTheme="majorHAnsi" w:hAnsiTheme="majorHAnsi"/>
          <w:bCs/>
          <w:lang w:eastAsia="sk-SK"/>
        </w:rPr>
        <w:t xml:space="preserve"> prehĺbenie oblastí rozvoja vzájomnej </w:t>
      </w:r>
      <w:r w:rsidR="00BD5FD5">
        <w:rPr>
          <w:rFonts w:asciiTheme="majorHAnsi" w:hAnsiTheme="majorHAnsi"/>
          <w:bCs/>
          <w:lang w:eastAsia="sk-SK"/>
        </w:rPr>
        <w:t>s</w:t>
      </w:r>
      <w:r w:rsidRPr="00A11FE0">
        <w:rPr>
          <w:rFonts w:asciiTheme="majorHAnsi" w:hAnsiTheme="majorHAnsi"/>
          <w:bCs/>
          <w:lang w:eastAsia="sk-SK"/>
        </w:rPr>
        <w:t xml:space="preserve">polupráce medzi jednotlivými regiónmi </w:t>
      </w:r>
      <w:r w:rsidR="00BD5FD5">
        <w:rPr>
          <w:rFonts w:asciiTheme="majorHAnsi" w:hAnsiTheme="majorHAnsi"/>
          <w:bCs/>
          <w:lang w:eastAsia="sk-SK"/>
        </w:rPr>
        <w:t>s</w:t>
      </w:r>
      <w:r w:rsidRPr="00A11FE0">
        <w:rPr>
          <w:rFonts w:asciiTheme="majorHAnsi" w:hAnsiTheme="majorHAnsi"/>
          <w:bCs/>
          <w:lang w:eastAsia="sk-SK"/>
        </w:rPr>
        <w:t> prihliadnutím na udržateľnosť v</w:t>
      </w:r>
      <w:r w:rsidR="00E849D0">
        <w:rPr>
          <w:rFonts w:asciiTheme="majorHAnsi" w:hAnsiTheme="majorHAnsi"/>
          <w:bCs/>
          <w:lang w:eastAsia="sk-SK"/>
        </w:rPr>
        <w:t> </w:t>
      </w:r>
      <w:r w:rsidR="00BD5FD5">
        <w:rPr>
          <w:rFonts w:asciiTheme="majorHAnsi" w:hAnsiTheme="majorHAnsi"/>
          <w:bCs/>
          <w:lang w:eastAsia="sk-SK"/>
        </w:rPr>
        <w:t>s</w:t>
      </w:r>
      <w:r w:rsidRPr="00A11FE0">
        <w:rPr>
          <w:rFonts w:asciiTheme="majorHAnsi" w:hAnsiTheme="majorHAnsi"/>
          <w:bCs/>
          <w:lang w:eastAsia="sk-SK"/>
        </w:rPr>
        <w:t xml:space="preserve">ociálnej, environmentálnej </w:t>
      </w:r>
      <w:r w:rsidR="00BD5FD5">
        <w:rPr>
          <w:rFonts w:asciiTheme="majorHAnsi" w:hAnsiTheme="majorHAnsi"/>
          <w:bCs/>
          <w:lang w:eastAsia="sk-SK"/>
        </w:rPr>
        <w:t>a</w:t>
      </w:r>
      <w:r w:rsidR="006A7D08">
        <w:rPr>
          <w:rFonts w:asciiTheme="majorHAnsi" w:hAnsiTheme="majorHAnsi"/>
          <w:bCs/>
          <w:lang w:eastAsia="sk-SK"/>
        </w:rPr>
        <w:t> </w:t>
      </w:r>
      <w:r w:rsidRPr="00A11FE0">
        <w:rPr>
          <w:rFonts w:asciiTheme="majorHAnsi" w:hAnsiTheme="majorHAnsi"/>
          <w:bCs/>
          <w:lang w:eastAsia="sk-SK"/>
        </w:rPr>
        <w:t xml:space="preserve">ekonomickej oblasti. Program zároveň deklaruje potrebu zvýšenej podpory štvorstrannej </w:t>
      </w:r>
      <w:r w:rsidR="00BD5FD5">
        <w:rPr>
          <w:rFonts w:asciiTheme="majorHAnsi" w:hAnsiTheme="majorHAnsi"/>
          <w:bCs/>
          <w:lang w:eastAsia="sk-SK"/>
        </w:rPr>
        <w:t>s</w:t>
      </w:r>
      <w:r w:rsidRPr="00A11FE0">
        <w:rPr>
          <w:rFonts w:asciiTheme="majorHAnsi" w:hAnsiTheme="majorHAnsi"/>
          <w:bCs/>
          <w:lang w:eastAsia="sk-SK"/>
        </w:rPr>
        <w:t xml:space="preserve">polupráce pri príprave tzv. </w:t>
      </w:r>
      <w:r w:rsidR="00BD5FD5">
        <w:rPr>
          <w:rFonts w:asciiTheme="majorHAnsi" w:hAnsiTheme="majorHAnsi"/>
          <w:bCs/>
          <w:lang w:eastAsia="sk-SK"/>
        </w:rPr>
        <w:t>s</w:t>
      </w:r>
      <w:r w:rsidRPr="00A11FE0">
        <w:rPr>
          <w:rFonts w:asciiTheme="majorHAnsi" w:hAnsiTheme="majorHAnsi"/>
          <w:bCs/>
          <w:lang w:eastAsia="sk-SK"/>
        </w:rPr>
        <w:t>trategických projektov.</w:t>
      </w:r>
    </w:p>
    <w:p w:rsidR="00D97293" w:rsidRPr="00A11FE0" w:rsidRDefault="00D97293" w:rsidP="00D97293">
      <w:pPr>
        <w:spacing w:after="0"/>
        <w:rPr>
          <w:rFonts w:asciiTheme="majorHAnsi" w:hAnsiTheme="majorHAnsi"/>
          <w:bCs/>
          <w:lang w:eastAsia="sk-SK"/>
        </w:rPr>
      </w:pPr>
      <w:r w:rsidRPr="00A11FE0">
        <w:rPr>
          <w:rFonts w:asciiTheme="majorHAnsi" w:hAnsiTheme="majorHAnsi"/>
          <w:bCs/>
          <w:lang w:eastAsia="sk-SK"/>
        </w:rPr>
        <w:t xml:space="preserve">Iniciatíva LEADER </w:t>
      </w:r>
      <w:r w:rsidR="007F22E3">
        <w:rPr>
          <w:rFonts w:asciiTheme="majorHAnsi" w:hAnsiTheme="majorHAnsi"/>
          <w:bCs/>
          <w:lang w:eastAsia="sk-SK"/>
        </w:rPr>
        <w:t>PRV</w:t>
      </w:r>
      <w:r w:rsidRPr="00A11FE0">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R 2014 – 2020 nadviaže na </w:t>
      </w:r>
      <w:r w:rsidR="00BD5FD5">
        <w:rPr>
          <w:rFonts w:asciiTheme="majorHAnsi" w:hAnsiTheme="majorHAnsi"/>
          <w:bCs/>
          <w:lang w:eastAsia="sk-SK"/>
        </w:rPr>
        <w:t>s</w:t>
      </w:r>
      <w:r w:rsidRPr="00A11FE0">
        <w:rPr>
          <w:rFonts w:asciiTheme="majorHAnsi" w:hAnsiTheme="majorHAnsi"/>
          <w:bCs/>
          <w:lang w:eastAsia="sk-SK"/>
        </w:rPr>
        <w:t xml:space="preserve">kúsenosti z programového obdobia 2007 – 2013 </w:t>
      </w:r>
      <w:r w:rsidR="00BD5FD5">
        <w:rPr>
          <w:rFonts w:asciiTheme="majorHAnsi" w:hAnsiTheme="majorHAnsi"/>
          <w:bCs/>
          <w:lang w:eastAsia="sk-SK"/>
        </w:rPr>
        <w:t>a</w:t>
      </w:r>
      <w:r w:rsidRPr="00A11FE0">
        <w:rPr>
          <w:rFonts w:asciiTheme="majorHAnsi" w:hAnsiTheme="majorHAnsi"/>
          <w:bCs/>
          <w:lang w:eastAsia="sk-SK"/>
        </w:rPr>
        <w:t> bude pokračovať v</w:t>
      </w:r>
      <w:r w:rsidR="006A7D08">
        <w:rPr>
          <w:rFonts w:asciiTheme="majorHAnsi" w:hAnsiTheme="majorHAnsi"/>
          <w:bCs/>
          <w:lang w:eastAsia="sk-SK"/>
        </w:rPr>
        <w:t> </w:t>
      </w:r>
      <w:r w:rsidRPr="00A11FE0">
        <w:rPr>
          <w:rFonts w:asciiTheme="majorHAnsi" w:hAnsiTheme="majorHAnsi"/>
          <w:bCs/>
          <w:lang w:eastAsia="sk-SK"/>
        </w:rPr>
        <w:t xml:space="preserve">podpore nadnárodnej </w:t>
      </w:r>
      <w:r w:rsidR="00BD5FD5">
        <w:rPr>
          <w:rFonts w:asciiTheme="majorHAnsi" w:hAnsiTheme="majorHAnsi"/>
          <w:bCs/>
          <w:lang w:eastAsia="sk-SK"/>
        </w:rPr>
        <w:t>s</w:t>
      </w:r>
      <w:r w:rsidRPr="00A11FE0">
        <w:rPr>
          <w:rFonts w:asciiTheme="majorHAnsi" w:hAnsiTheme="majorHAnsi"/>
          <w:bCs/>
          <w:lang w:eastAsia="sk-SK"/>
        </w:rPr>
        <w:t xml:space="preserve">polupráce </w:t>
      </w:r>
      <w:r w:rsidR="00B951F4">
        <w:rPr>
          <w:rFonts w:asciiTheme="majorHAnsi" w:hAnsiTheme="majorHAnsi"/>
          <w:bCs/>
          <w:lang w:eastAsia="sk-SK"/>
        </w:rPr>
        <w:t>MAS</w:t>
      </w:r>
      <w:r w:rsidRPr="00A11FE0">
        <w:rPr>
          <w:rFonts w:asciiTheme="majorHAnsi" w:hAnsiTheme="majorHAnsi"/>
          <w:bCs/>
          <w:lang w:eastAsia="sk-SK"/>
        </w:rPr>
        <w:t xml:space="preserve"> v rámci EÚ, </w:t>
      </w:r>
      <w:r w:rsidR="00BD5FD5">
        <w:rPr>
          <w:rFonts w:asciiTheme="majorHAnsi" w:hAnsiTheme="majorHAnsi"/>
          <w:bCs/>
          <w:lang w:eastAsia="sk-SK"/>
        </w:rPr>
        <w:t>ak</w:t>
      </w:r>
      <w:r w:rsidRPr="00A11FE0">
        <w:rPr>
          <w:rFonts w:asciiTheme="majorHAnsi" w:hAnsiTheme="majorHAnsi"/>
          <w:bCs/>
          <w:lang w:eastAsia="sk-SK"/>
        </w:rPr>
        <w:t>o i</w:t>
      </w:r>
      <w:r w:rsidR="006A7D08">
        <w:rPr>
          <w:rFonts w:asciiTheme="majorHAnsi" w:hAnsiTheme="majorHAnsi"/>
          <w:bCs/>
          <w:lang w:eastAsia="sk-SK"/>
        </w:rPr>
        <w:t> </w:t>
      </w:r>
      <w:r w:rsidRPr="00A11FE0">
        <w:rPr>
          <w:rFonts w:asciiTheme="majorHAnsi" w:hAnsiTheme="majorHAnsi"/>
          <w:bCs/>
          <w:lang w:eastAsia="sk-SK"/>
        </w:rPr>
        <w:t xml:space="preserve">z tretích </w:t>
      </w:r>
      <w:r w:rsidR="00BD5FD5">
        <w:rPr>
          <w:rFonts w:asciiTheme="majorHAnsi" w:hAnsiTheme="majorHAnsi"/>
          <w:bCs/>
          <w:lang w:eastAsia="sk-SK"/>
        </w:rPr>
        <w:t>k</w:t>
      </w:r>
      <w:r w:rsidRPr="00A11FE0">
        <w:rPr>
          <w:rFonts w:asciiTheme="majorHAnsi" w:hAnsiTheme="majorHAnsi"/>
          <w:bCs/>
          <w:lang w:eastAsia="sk-SK"/>
        </w:rPr>
        <w:t xml:space="preserve">rajín. Podporené budú činnosti zamerané najmä na hľadanie </w:t>
      </w:r>
      <w:r w:rsidR="00BD5FD5">
        <w:rPr>
          <w:rFonts w:asciiTheme="majorHAnsi" w:hAnsiTheme="majorHAnsi"/>
          <w:bCs/>
          <w:lang w:eastAsia="sk-SK"/>
        </w:rPr>
        <w:t>s</w:t>
      </w:r>
      <w:r w:rsidRPr="00A11FE0">
        <w:rPr>
          <w:rFonts w:asciiTheme="majorHAnsi" w:hAnsiTheme="majorHAnsi"/>
          <w:bCs/>
          <w:lang w:eastAsia="sk-SK"/>
        </w:rPr>
        <w:t xml:space="preserve">poločného potenciálu rozvoja, budovanie </w:t>
      </w:r>
      <w:r w:rsidR="00BD5FD5">
        <w:rPr>
          <w:rFonts w:asciiTheme="majorHAnsi" w:hAnsiTheme="majorHAnsi"/>
          <w:bCs/>
          <w:lang w:eastAsia="sk-SK"/>
        </w:rPr>
        <w:t>s</w:t>
      </w:r>
      <w:r w:rsidRPr="00A11FE0">
        <w:rPr>
          <w:rFonts w:asciiTheme="majorHAnsi" w:hAnsiTheme="majorHAnsi"/>
          <w:bCs/>
          <w:lang w:eastAsia="sk-SK"/>
        </w:rPr>
        <w:t xml:space="preserve">poločných tradícií, zvyšovanie turistického potenciálu </w:t>
      </w:r>
      <w:r w:rsidR="00BD5FD5">
        <w:rPr>
          <w:rFonts w:asciiTheme="majorHAnsi" w:hAnsiTheme="majorHAnsi"/>
          <w:bCs/>
          <w:lang w:eastAsia="sk-SK"/>
        </w:rPr>
        <w:t>s</w:t>
      </w:r>
      <w:r w:rsidRPr="00A11FE0">
        <w:rPr>
          <w:rFonts w:asciiTheme="majorHAnsi" w:hAnsiTheme="majorHAnsi"/>
          <w:bCs/>
          <w:lang w:eastAsia="sk-SK"/>
        </w:rPr>
        <w:t xml:space="preserve">polupracujúcich území, </w:t>
      </w:r>
      <w:r w:rsidR="00BD5FD5">
        <w:rPr>
          <w:rFonts w:asciiTheme="majorHAnsi" w:hAnsiTheme="majorHAnsi"/>
          <w:bCs/>
          <w:lang w:eastAsia="sk-SK"/>
        </w:rPr>
        <w:t>a</w:t>
      </w:r>
      <w:r w:rsidRPr="00A11FE0">
        <w:rPr>
          <w:rFonts w:asciiTheme="majorHAnsi" w:hAnsiTheme="majorHAnsi"/>
          <w:bCs/>
          <w:lang w:eastAsia="sk-SK"/>
        </w:rPr>
        <w:t xml:space="preserve">le </w:t>
      </w:r>
      <w:r w:rsidR="00BD5FD5">
        <w:rPr>
          <w:rFonts w:asciiTheme="majorHAnsi" w:hAnsiTheme="majorHAnsi"/>
          <w:bCs/>
          <w:lang w:eastAsia="sk-SK"/>
        </w:rPr>
        <w:t>a</w:t>
      </w:r>
      <w:r w:rsidRPr="00A11FE0">
        <w:rPr>
          <w:rFonts w:asciiTheme="majorHAnsi" w:hAnsiTheme="majorHAnsi"/>
          <w:bCs/>
          <w:lang w:eastAsia="sk-SK"/>
        </w:rPr>
        <w:t xml:space="preserve">j výmenu </w:t>
      </w:r>
      <w:r w:rsidR="00BD5FD5">
        <w:rPr>
          <w:rFonts w:asciiTheme="majorHAnsi" w:hAnsiTheme="majorHAnsi"/>
          <w:bCs/>
          <w:lang w:eastAsia="sk-SK"/>
        </w:rPr>
        <w:t>s</w:t>
      </w:r>
      <w:r w:rsidRPr="00A11FE0">
        <w:rPr>
          <w:rFonts w:asciiTheme="majorHAnsi" w:hAnsiTheme="majorHAnsi"/>
          <w:bCs/>
          <w:lang w:eastAsia="sk-SK"/>
        </w:rPr>
        <w:t xml:space="preserve">kúseností, informačné </w:t>
      </w:r>
      <w:r w:rsidR="00BD5FD5">
        <w:rPr>
          <w:rFonts w:asciiTheme="majorHAnsi" w:hAnsiTheme="majorHAnsi"/>
          <w:bCs/>
          <w:lang w:eastAsia="sk-SK"/>
        </w:rPr>
        <w:t>a</w:t>
      </w:r>
      <w:r w:rsidRPr="00A11FE0">
        <w:rPr>
          <w:rFonts w:asciiTheme="majorHAnsi" w:hAnsiTheme="majorHAnsi"/>
          <w:bCs/>
          <w:lang w:eastAsia="sk-SK"/>
        </w:rPr>
        <w:t xml:space="preserve"> propagačné </w:t>
      </w:r>
      <w:r w:rsidR="00BD5FD5">
        <w:rPr>
          <w:rFonts w:asciiTheme="majorHAnsi" w:hAnsiTheme="majorHAnsi"/>
          <w:bCs/>
          <w:lang w:eastAsia="sk-SK"/>
        </w:rPr>
        <w:t>ak</w:t>
      </w:r>
      <w:r w:rsidRPr="00A11FE0">
        <w:rPr>
          <w:rFonts w:asciiTheme="majorHAnsi" w:hAnsiTheme="majorHAnsi"/>
          <w:bCs/>
          <w:lang w:eastAsia="sk-SK"/>
        </w:rPr>
        <w:t xml:space="preserve">tivity na vidieku </w:t>
      </w:r>
      <w:r w:rsidR="00BD5FD5">
        <w:rPr>
          <w:rFonts w:asciiTheme="majorHAnsi" w:hAnsiTheme="majorHAnsi"/>
          <w:bCs/>
          <w:lang w:eastAsia="sk-SK"/>
        </w:rPr>
        <w:t>a</w:t>
      </w:r>
      <w:r w:rsidRPr="00A11FE0">
        <w:rPr>
          <w:rFonts w:asciiTheme="majorHAnsi" w:hAnsiTheme="majorHAnsi"/>
          <w:bCs/>
          <w:lang w:eastAsia="sk-SK"/>
        </w:rPr>
        <w:t xml:space="preserve"> pod. Na účely zabezpečenia </w:t>
      </w:r>
      <w:r w:rsidR="00BD5FD5">
        <w:rPr>
          <w:rFonts w:asciiTheme="majorHAnsi" w:hAnsiTheme="majorHAnsi"/>
          <w:bCs/>
          <w:lang w:eastAsia="sk-SK"/>
        </w:rPr>
        <w:t>k</w:t>
      </w:r>
      <w:r w:rsidRPr="00A11FE0">
        <w:rPr>
          <w:rFonts w:asciiTheme="majorHAnsi" w:hAnsiTheme="majorHAnsi"/>
          <w:bCs/>
          <w:lang w:eastAsia="sk-SK"/>
        </w:rPr>
        <w:t xml:space="preserve">omplementarity medzi programami </w:t>
      </w:r>
      <w:r w:rsidR="00B16A93" w:rsidRPr="00A11FE0">
        <w:rPr>
          <w:rFonts w:asciiTheme="majorHAnsi" w:hAnsiTheme="majorHAnsi"/>
          <w:bCs/>
          <w:lang w:eastAsia="sk-SK"/>
        </w:rPr>
        <w:t>E</w:t>
      </w:r>
      <w:r w:rsidR="00B16A93">
        <w:rPr>
          <w:rFonts w:asciiTheme="majorHAnsi" w:hAnsiTheme="majorHAnsi"/>
          <w:bCs/>
          <w:lang w:eastAsia="sk-SK"/>
        </w:rPr>
        <w:t>ÚS</w:t>
      </w:r>
      <w:r w:rsidR="00B16A93" w:rsidRPr="00A11FE0">
        <w:rPr>
          <w:rFonts w:asciiTheme="majorHAnsi" w:hAnsiTheme="majorHAnsi"/>
          <w:bCs/>
          <w:lang w:eastAsia="sk-SK"/>
        </w:rPr>
        <w:t xml:space="preserve"> </w:t>
      </w:r>
      <w:r w:rsidR="00BD5FD5">
        <w:rPr>
          <w:rFonts w:asciiTheme="majorHAnsi" w:hAnsiTheme="majorHAnsi"/>
          <w:bCs/>
          <w:lang w:eastAsia="sk-SK"/>
        </w:rPr>
        <w:t>a</w:t>
      </w:r>
      <w:r w:rsidRPr="00A11FE0">
        <w:rPr>
          <w:rFonts w:asciiTheme="majorHAnsi" w:hAnsiTheme="majorHAnsi"/>
          <w:bCs/>
          <w:lang w:eastAsia="sk-SK"/>
        </w:rPr>
        <w:t xml:space="preserve"> projektmi nadnárodnej </w:t>
      </w:r>
      <w:r w:rsidR="00BD5FD5">
        <w:rPr>
          <w:rFonts w:asciiTheme="majorHAnsi" w:hAnsiTheme="majorHAnsi"/>
          <w:bCs/>
          <w:lang w:eastAsia="sk-SK"/>
        </w:rPr>
        <w:t>s</w:t>
      </w:r>
      <w:r w:rsidRPr="00A11FE0">
        <w:rPr>
          <w:rFonts w:asciiTheme="majorHAnsi" w:hAnsiTheme="majorHAnsi"/>
          <w:bCs/>
          <w:lang w:eastAsia="sk-SK"/>
        </w:rPr>
        <w:t xml:space="preserve">polupráce bude realizovaná </w:t>
      </w:r>
      <w:r w:rsidR="00BD5FD5">
        <w:rPr>
          <w:rFonts w:asciiTheme="majorHAnsi" w:hAnsiTheme="majorHAnsi"/>
          <w:bCs/>
          <w:lang w:eastAsia="sk-SK"/>
        </w:rPr>
        <w:t>s</w:t>
      </w:r>
      <w:r w:rsidRPr="00A11FE0">
        <w:rPr>
          <w:rFonts w:asciiTheme="majorHAnsi" w:hAnsiTheme="majorHAnsi"/>
          <w:bCs/>
          <w:lang w:eastAsia="sk-SK"/>
        </w:rPr>
        <w:t xml:space="preserve">polupráca </w:t>
      </w:r>
      <w:r w:rsidR="00B951F4">
        <w:rPr>
          <w:rFonts w:asciiTheme="majorHAnsi" w:hAnsiTheme="majorHAnsi"/>
          <w:bCs/>
          <w:lang w:eastAsia="sk-SK"/>
        </w:rPr>
        <w:t>MAS</w:t>
      </w:r>
      <w:r w:rsidRPr="00A11FE0">
        <w:rPr>
          <w:rFonts w:asciiTheme="majorHAnsi" w:hAnsiTheme="majorHAnsi"/>
          <w:bCs/>
          <w:lang w:eastAsia="sk-SK"/>
        </w:rPr>
        <w:t xml:space="preserve"> v rámci iniciatívy LEADER </w:t>
      </w:r>
      <w:r w:rsidR="00BD5FD5">
        <w:rPr>
          <w:rFonts w:asciiTheme="majorHAnsi" w:hAnsiTheme="majorHAnsi"/>
          <w:bCs/>
          <w:lang w:eastAsia="sk-SK"/>
        </w:rPr>
        <w:t>s</w:t>
      </w:r>
      <w:r w:rsidR="007255A8">
        <w:rPr>
          <w:rFonts w:asciiTheme="majorHAnsi" w:hAnsiTheme="majorHAnsi"/>
          <w:bCs/>
          <w:lang w:eastAsia="sk-SK"/>
        </w:rPr>
        <w:t> </w:t>
      </w:r>
      <w:r w:rsidRPr="00A11FE0">
        <w:rPr>
          <w:rFonts w:asciiTheme="majorHAnsi" w:hAnsiTheme="majorHAnsi"/>
          <w:bCs/>
          <w:lang w:eastAsia="sk-SK"/>
        </w:rPr>
        <w:t>partnermi</w:t>
      </w:r>
      <w:r w:rsidR="007255A8">
        <w:rPr>
          <w:rFonts w:asciiTheme="majorHAnsi" w:hAnsiTheme="majorHAnsi"/>
          <w:bCs/>
          <w:lang w:eastAsia="sk-SK"/>
        </w:rPr>
        <w:t xml:space="preserve"> </w:t>
      </w:r>
      <w:r w:rsidRPr="00A11FE0">
        <w:rPr>
          <w:rFonts w:asciiTheme="majorHAnsi" w:hAnsiTheme="majorHAnsi"/>
          <w:bCs/>
          <w:lang w:eastAsia="sk-SK"/>
        </w:rPr>
        <w:t xml:space="preserve">zo </w:t>
      </w:r>
      <w:r w:rsidR="00BD5FD5">
        <w:rPr>
          <w:rFonts w:asciiTheme="majorHAnsi" w:hAnsiTheme="majorHAnsi"/>
          <w:bCs/>
          <w:lang w:eastAsia="sk-SK"/>
        </w:rPr>
        <w:t>s</w:t>
      </w:r>
      <w:r w:rsidRPr="00A11FE0">
        <w:rPr>
          <w:rFonts w:asciiTheme="majorHAnsi" w:hAnsiTheme="majorHAnsi"/>
          <w:bCs/>
          <w:lang w:eastAsia="sk-SK"/>
        </w:rPr>
        <w:t xml:space="preserve">usediacich </w:t>
      </w:r>
      <w:r w:rsidR="00BD5FD5">
        <w:rPr>
          <w:rFonts w:asciiTheme="majorHAnsi" w:hAnsiTheme="majorHAnsi"/>
          <w:bCs/>
          <w:lang w:eastAsia="sk-SK"/>
        </w:rPr>
        <w:t>k</w:t>
      </w:r>
      <w:r w:rsidRPr="00A11FE0">
        <w:rPr>
          <w:rFonts w:asciiTheme="majorHAnsi" w:hAnsiTheme="majorHAnsi"/>
          <w:bCs/>
          <w:lang w:eastAsia="sk-SK"/>
        </w:rPr>
        <w:t xml:space="preserve">rajín zahrnutých do programov </w:t>
      </w:r>
      <w:r w:rsidR="00B16A93" w:rsidRPr="00A11FE0">
        <w:rPr>
          <w:rFonts w:asciiTheme="majorHAnsi" w:hAnsiTheme="majorHAnsi"/>
          <w:bCs/>
          <w:lang w:eastAsia="sk-SK"/>
        </w:rPr>
        <w:t>E</w:t>
      </w:r>
      <w:r w:rsidR="00B16A93">
        <w:rPr>
          <w:rFonts w:asciiTheme="majorHAnsi" w:hAnsiTheme="majorHAnsi"/>
          <w:bCs/>
          <w:lang w:eastAsia="sk-SK"/>
        </w:rPr>
        <w:t>ÚS</w:t>
      </w:r>
      <w:r w:rsidRPr="00A11FE0">
        <w:rPr>
          <w:rFonts w:asciiTheme="majorHAnsi" w:hAnsiTheme="majorHAnsi"/>
          <w:bCs/>
          <w:lang w:eastAsia="sk-SK"/>
        </w:rPr>
        <w:t xml:space="preserve">, </w:t>
      </w:r>
      <w:r w:rsidR="00BD5FD5">
        <w:rPr>
          <w:rFonts w:asciiTheme="majorHAnsi" w:hAnsiTheme="majorHAnsi"/>
          <w:bCs/>
          <w:lang w:eastAsia="sk-SK"/>
        </w:rPr>
        <w:t>a</w:t>
      </w:r>
      <w:r w:rsidRPr="00A11FE0">
        <w:rPr>
          <w:rFonts w:asciiTheme="majorHAnsi" w:hAnsiTheme="majorHAnsi"/>
          <w:bCs/>
          <w:lang w:eastAsia="sk-SK"/>
        </w:rPr>
        <w:t xml:space="preserve"> to nielen pri tvorbe </w:t>
      </w:r>
      <w:r w:rsidR="00BD5FD5">
        <w:rPr>
          <w:rFonts w:asciiTheme="majorHAnsi" w:hAnsiTheme="majorHAnsi"/>
          <w:bCs/>
          <w:lang w:eastAsia="sk-SK"/>
        </w:rPr>
        <w:t>s</w:t>
      </w:r>
      <w:r w:rsidRPr="00A11FE0">
        <w:rPr>
          <w:rFonts w:asciiTheme="majorHAnsi" w:hAnsiTheme="majorHAnsi"/>
          <w:bCs/>
          <w:lang w:eastAsia="sk-SK"/>
        </w:rPr>
        <w:t xml:space="preserve">tratégie rozvoja územia, </w:t>
      </w:r>
      <w:r w:rsidR="00BD5FD5">
        <w:rPr>
          <w:rFonts w:asciiTheme="majorHAnsi" w:hAnsiTheme="majorHAnsi"/>
          <w:bCs/>
          <w:lang w:eastAsia="sk-SK"/>
        </w:rPr>
        <w:t>a</w:t>
      </w:r>
      <w:r w:rsidRPr="00A11FE0">
        <w:rPr>
          <w:rFonts w:asciiTheme="majorHAnsi" w:hAnsiTheme="majorHAnsi"/>
          <w:bCs/>
          <w:lang w:eastAsia="sk-SK"/>
        </w:rPr>
        <w:t xml:space="preserve">le </w:t>
      </w:r>
      <w:r w:rsidR="00BD5FD5">
        <w:rPr>
          <w:rFonts w:asciiTheme="majorHAnsi" w:hAnsiTheme="majorHAnsi"/>
          <w:bCs/>
          <w:lang w:eastAsia="sk-SK"/>
        </w:rPr>
        <w:t>a</w:t>
      </w:r>
      <w:r w:rsidRPr="00A11FE0">
        <w:rPr>
          <w:rFonts w:asciiTheme="majorHAnsi" w:hAnsiTheme="majorHAnsi"/>
          <w:bCs/>
          <w:lang w:eastAsia="sk-SK"/>
        </w:rPr>
        <w:t xml:space="preserve">j pri plánovaní projektov </w:t>
      </w:r>
      <w:r w:rsidR="00BD5FD5">
        <w:rPr>
          <w:rFonts w:asciiTheme="majorHAnsi" w:hAnsiTheme="majorHAnsi"/>
          <w:bCs/>
          <w:lang w:eastAsia="sk-SK"/>
        </w:rPr>
        <w:t>s</w:t>
      </w:r>
      <w:r w:rsidRPr="00A11FE0">
        <w:rPr>
          <w:rFonts w:asciiTheme="majorHAnsi" w:hAnsiTheme="majorHAnsi"/>
          <w:bCs/>
          <w:lang w:eastAsia="sk-SK"/>
        </w:rPr>
        <w:t>polupráce v rámci iniciatívy LEADER.</w:t>
      </w:r>
    </w:p>
    <w:p w:rsidR="00044704" w:rsidRDefault="00BD5FD5" w:rsidP="00D97293">
      <w:pPr>
        <w:spacing w:after="0"/>
        <w:rPr>
          <w:rFonts w:asciiTheme="majorHAnsi" w:hAnsiTheme="majorHAnsi" w:cs="Calibri"/>
        </w:rPr>
      </w:pPr>
      <w:r>
        <w:rPr>
          <w:rFonts w:asciiTheme="majorHAnsi" w:hAnsiTheme="majorHAnsi" w:cs="Calibri"/>
        </w:rPr>
        <w:t>K</w:t>
      </w:r>
      <w:r w:rsidR="00D97293" w:rsidRPr="00A11FE0">
        <w:rPr>
          <w:rFonts w:asciiTheme="majorHAnsi" w:hAnsiTheme="majorHAnsi" w:cs="Calibri"/>
        </w:rPr>
        <w:t xml:space="preserve">omplementarita </w:t>
      </w:r>
      <w:r>
        <w:rPr>
          <w:rFonts w:asciiTheme="majorHAnsi" w:hAnsiTheme="majorHAnsi" w:cs="Calibri"/>
        </w:rPr>
        <w:t>a</w:t>
      </w:r>
      <w:r w:rsidR="00D97293" w:rsidRPr="00A11FE0">
        <w:rPr>
          <w:rFonts w:asciiTheme="majorHAnsi" w:hAnsiTheme="majorHAnsi" w:cs="Calibri"/>
        </w:rPr>
        <w:t> </w:t>
      </w:r>
      <w:r>
        <w:rPr>
          <w:rFonts w:asciiTheme="majorHAnsi" w:hAnsiTheme="majorHAnsi" w:cs="Calibri"/>
        </w:rPr>
        <w:t>s</w:t>
      </w:r>
      <w:r w:rsidR="00D97293" w:rsidRPr="00A11FE0">
        <w:rPr>
          <w:rFonts w:asciiTheme="majorHAnsi" w:hAnsiTheme="majorHAnsi" w:cs="Calibri"/>
        </w:rPr>
        <w:t xml:space="preserve">ynergia v rámci identifikovaných </w:t>
      </w:r>
      <w:r>
        <w:rPr>
          <w:rFonts w:asciiTheme="majorHAnsi" w:hAnsiTheme="majorHAnsi" w:cs="Calibri"/>
        </w:rPr>
        <w:t>s</w:t>
      </w:r>
      <w:r w:rsidR="00D97293" w:rsidRPr="00A11FE0">
        <w:rPr>
          <w:rFonts w:asciiTheme="majorHAnsi" w:hAnsiTheme="majorHAnsi" w:cs="Calibri"/>
        </w:rPr>
        <w:t xml:space="preserve">poločných </w:t>
      </w:r>
      <w:r>
        <w:rPr>
          <w:rFonts w:asciiTheme="majorHAnsi" w:hAnsiTheme="majorHAnsi" w:cs="Calibri"/>
        </w:rPr>
        <w:t>ak</w:t>
      </w:r>
      <w:r w:rsidR="00D97293" w:rsidRPr="00A11FE0">
        <w:rPr>
          <w:rFonts w:asciiTheme="majorHAnsi" w:hAnsiTheme="majorHAnsi" w:cs="Calibri"/>
        </w:rPr>
        <w:t xml:space="preserve">tivít bude zabezpečená výlučne podporou </w:t>
      </w:r>
      <w:r>
        <w:rPr>
          <w:rFonts w:asciiTheme="majorHAnsi" w:hAnsiTheme="majorHAnsi" w:cs="Calibri"/>
        </w:rPr>
        <w:t>s</w:t>
      </w:r>
      <w:r w:rsidR="00D97293" w:rsidRPr="00A11FE0">
        <w:rPr>
          <w:rFonts w:asciiTheme="majorHAnsi" w:hAnsiTheme="majorHAnsi" w:cs="Calibri"/>
        </w:rPr>
        <w:t xml:space="preserve">poločných projektov </w:t>
      </w:r>
      <w:r>
        <w:rPr>
          <w:rFonts w:asciiTheme="majorHAnsi" w:hAnsiTheme="majorHAnsi" w:cs="Calibri"/>
        </w:rPr>
        <w:t>s</w:t>
      </w:r>
      <w:r w:rsidR="00D97293" w:rsidRPr="00A11FE0">
        <w:rPr>
          <w:rFonts w:asciiTheme="majorHAnsi" w:hAnsiTheme="majorHAnsi" w:cs="Calibri"/>
        </w:rPr>
        <w:t xml:space="preserve"> významným cezhraničným dopadom. Ich realizáciou </w:t>
      </w:r>
      <w:r>
        <w:rPr>
          <w:rFonts w:asciiTheme="majorHAnsi" w:hAnsiTheme="majorHAnsi" w:cs="Calibri"/>
        </w:rPr>
        <w:t>s</w:t>
      </w:r>
      <w:r w:rsidR="00D97293" w:rsidRPr="00A11FE0">
        <w:rPr>
          <w:rFonts w:asciiTheme="majorHAnsi" w:hAnsiTheme="majorHAnsi" w:cs="Calibri"/>
        </w:rPr>
        <w:t xml:space="preserve">a bude </w:t>
      </w:r>
      <w:r>
        <w:rPr>
          <w:rFonts w:asciiTheme="majorHAnsi" w:hAnsiTheme="majorHAnsi" w:cs="Calibri"/>
        </w:rPr>
        <w:t>k</w:t>
      </w:r>
      <w:r w:rsidR="00D97293" w:rsidRPr="00A11FE0">
        <w:rPr>
          <w:rFonts w:asciiTheme="majorHAnsi" w:hAnsiTheme="majorHAnsi" w:cs="Calibri"/>
        </w:rPr>
        <w:t xml:space="preserve">lásť dôraz na riešenie </w:t>
      </w:r>
      <w:r>
        <w:rPr>
          <w:rFonts w:asciiTheme="majorHAnsi" w:hAnsiTheme="majorHAnsi" w:cs="Calibri"/>
        </w:rPr>
        <w:t>s</w:t>
      </w:r>
      <w:r w:rsidR="00D97293" w:rsidRPr="00A11FE0">
        <w:rPr>
          <w:rFonts w:asciiTheme="majorHAnsi" w:hAnsiTheme="majorHAnsi" w:cs="Calibri"/>
        </w:rPr>
        <w:t xml:space="preserve">poločných cezhraničných problémov, tvorbu nových </w:t>
      </w:r>
      <w:r>
        <w:rPr>
          <w:rFonts w:asciiTheme="majorHAnsi" w:hAnsiTheme="majorHAnsi" w:cs="Calibri"/>
        </w:rPr>
        <w:t>s</w:t>
      </w:r>
      <w:r w:rsidR="00D97293" w:rsidRPr="00A11FE0">
        <w:rPr>
          <w:rFonts w:asciiTheme="majorHAnsi" w:hAnsiTheme="majorHAnsi" w:cs="Calibri"/>
        </w:rPr>
        <w:t xml:space="preserve">poločných produktov </w:t>
      </w:r>
      <w:r>
        <w:rPr>
          <w:rFonts w:asciiTheme="majorHAnsi" w:hAnsiTheme="majorHAnsi" w:cs="Calibri"/>
        </w:rPr>
        <w:t>a</w:t>
      </w:r>
      <w:r w:rsidR="00D97293" w:rsidRPr="00A11FE0">
        <w:rPr>
          <w:rFonts w:asciiTheme="majorHAnsi" w:hAnsiTheme="majorHAnsi" w:cs="Calibri"/>
        </w:rPr>
        <w:t xml:space="preserve"> nástrojov </w:t>
      </w:r>
      <w:r>
        <w:rPr>
          <w:rFonts w:asciiTheme="majorHAnsi" w:hAnsiTheme="majorHAnsi" w:cs="Calibri"/>
        </w:rPr>
        <w:t>s</w:t>
      </w:r>
      <w:r w:rsidR="00D97293" w:rsidRPr="00A11FE0">
        <w:rPr>
          <w:rFonts w:asciiTheme="majorHAnsi" w:hAnsiTheme="majorHAnsi" w:cs="Calibri"/>
        </w:rPr>
        <w:t xml:space="preserve"> ich využitím pre cieľové </w:t>
      </w:r>
      <w:r>
        <w:rPr>
          <w:rFonts w:asciiTheme="majorHAnsi" w:hAnsiTheme="majorHAnsi" w:cs="Calibri"/>
        </w:rPr>
        <w:t>s</w:t>
      </w:r>
      <w:r w:rsidR="00D97293" w:rsidRPr="00A11FE0">
        <w:rPr>
          <w:rFonts w:asciiTheme="majorHAnsi" w:hAnsiTheme="majorHAnsi" w:cs="Calibri"/>
        </w:rPr>
        <w:t xml:space="preserve">kupiny na oboch </w:t>
      </w:r>
      <w:r>
        <w:rPr>
          <w:rFonts w:asciiTheme="majorHAnsi" w:hAnsiTheme="majorHAnsi" w:cs="Calibri"/>
        </w:rPr>
        <w:t>s</w:t>
      </w:r>
      <w:r w:rsidR="00D97293" w:rsidRPr="00A11FE0">
        <w:rPr>
          <w:rFonts w:asciiTheme="majorHAnsi" w:hAnsiTheme="majorHAnsi" w:cs="Calibri"/>
        </w:rPr>
        <w:t xml:space="preserve">tranách hranice. Programy cezhraničnej </w:t>
      </w:r>
      <w:r>
        <w:rPr>
          <w:rFonts w:asciiTheme="majorHAnsi" w:hAnsiTheme="majorHAnsi" w:cs="Calibri"/>
        </w:rPr>
        <w:t>s</w:t>
      </w:r>
      <w:r w:rsidR="00D97293" w:rsidRPr="00A11FE0">
        <w:rPr>
          <w:rFonts w:asciiTheme="majorHAnsi" w:hAnsiTheme="majorHAnsi" w:cs="Calibri"/>
        </w:rPr>
        <w:t xml:space="preserve">polupráce tak budú vytvárať priaznivé podmienky pre zintenzívnenie </w:t>
      </w:r>
      <w:r>
        <w:rPr>
          <w:rFonts w:asciiTheme="majorHAnsi" w:hAnsiTheme="majorHAnsi" w:cs="Calibri"/>
        </w:rPr>
        <w:t>a</w:t>
      </w:r>
      <w:r w:rsidR="00D97293" w:rsidRPr="00A11FE0">
        <w:rPr>
          <w:rFonts w:asciiTheme="majorHAnsi" w:hAnsiTheme="majorHAnsi" w:cs="Calibri"/>
        </w:rPr>
        <w:t xml:space="preserve"> rozšírenie cezhraničných väzieb, čo poukazuje na jasnú doplnkovosť </w:t>
      </w:r>
      <w:r>
        <w:rPr>
          <w:rFonts w:asciiTheme="majorHAnsi" w:hAnsiTheme="majorHAnsi" w:cs="Calibri"/>
        </w:rPr>
        <w:t>k</w:t>
      </w:r>
      <w:r w:rsidR="00D97293" w:rsidRPr="00A11FE0">
        <w:rPr>
          <w:rFonts w:asciiTheme="majorHAnsi" w:hAnsiTheme="majorHAnsi" w:cs="Calibri"/>
        </w:rPr>
        <w:t xml:space="preserve"> národným programom. </w:t>
      </w:r>
      <w:r w:rsidR="00044704" w:rsidRPr="00044704">
        <w:rPr>
          <w:rFonts w:asciiTheme="majorHAnsi" w:hAnsiTheme="majorHAnsi" w:cs="Calibri"/>
        </w:rPr>
        <w:t xml:space="preserve">Zároveň bude pre dosiahnutie </w:t>
      </w:r>
      <w:r>
        <w:rPr>
          <w:rFonts w:asciiTheme="majorHAnsi" w:hAnsiTheme="majorHAnsi" w:cs="Calibri"/>
        </w:rPr>
        <w:t>k</w:t>
      </w:r>
      <w:r w:rsidR="00044704" w:rsidRPr="00044704">
        <w:rPr>
          <w:rFonts w:asciiTheme="majorHAnsi" w:hAnsiTheme="majorHAnsi" w:cs="Calibri"/>
        </w:rPr>
        <w:t xml:space="preserve">omplementarity </w:t>
      </w:r>
      <w:r>
        <w:rPr>
          <w:rFonts w:asciiTheme="majorHAnsi" w:hAnsiTheme="majorHAnsi" w:cs="Calibri"/>
        </w:rPr>
        <w:t>s</w:t>
      </w:r>
      <w:r w:rsidR="00044704" w:rsidRPr="00044704">
        <w:rPr>
          <w:rFonts w:asciiTheme="majorHAnsi" w:hAnsiTheme="majorHAnsi" w:cs="Calibri"/>
        </w:rPr>
        <w:t> ostatnými programami financovanými z</w:t>
      </w:r>
      <w:r w:rsidR="00030BFC">
        <w:rPr>
          <w:rFonts w:asciiTheme="majorHAnsi" w:hAnsiTheme="majorHAnsi" w:cs="Calibri"/>
        </w:rPr>
        <w:t> </w:t>
      </w:r>
      <w:r w:rsidR="00044704" w:rsidRPr="00044704">
        <w:rPr>
          <w:rFonts w:asciiTheme="majorHAnsi" w:hAnsiTheme="majorHAnsi" w:cs="Calibri"/>
        </w:rPr>
        <w:t xml:space="preserve">EŠIF zabezpečená </w:t>
      </w:r>
      <w:r>
        <w:rPr>
          <w:rFonts w:asciiTheme="majorHAnsi" w:hAnsiTheme="majorHAnsi" w:cs="Calibri"/>
        </w:rPr>
        <w:t>k</w:t>
      </w:r>
      <w:r w:rsidR="00044704" w:rsidRPr="00044704">
        <w:rPr>
          <w:rFonts w:asciiTheme="majorHAnsi" w:hAnsiTheme="majorHAnsi" w:cs="Calibri"/>
        </w:rPr>
        <w:t xml:space="preserve">oordinácia na riadiacej úrovni, </w:t>
      </w:r>
      <w:r>
        <w:rPr>
          <w:rFonts w:asciiTheme="majorHAnsi" w:hAnsiTheme="majorHAnsi" w:cs="Calibri"/>
        </w:rPr>
        <w:t>a</w:t>
      </w:r>
      <w:r w:rsidR="00030BFC">
        <w:rPr>
          <w:rFonts w:asciiTheme="majorHAnsi" w:hAnsiTheme="majorHAnsi" w:cs="Calibri"/>
        </w:rPr>
        <w:t> </w:t>
      </w:r>
      <w:r w:rsidR="00044704" w:rsidRPr="00044704">
        <w:rPr>
          <w:rFonts w:asciiTheme="majorHAnsi" w:hAnsiTheme="majorHAnsi" w:cs="Calibri"/>
        </w:rPr>
        <w:t xml:space="preserve">to zriadením formálnej pracovnej </w:t>
      </w:r>
      <w:r>
        <w:rPr>
          <w:rFonts w:asciiTheme="majorHAnsi" w:hAnsiTheme="majorHAnsi" w:cs="Calibri"/>
        </w:rPr>
        <w:t>k</w:t>
      </w:r>
      <w:r w:rsidR="00044704" w:rsidRPr="00044704">
        <w:rPr>
          <w:rFonts w:asciiTheme="majorHAnsi" w:hAnsiTheme="majorHAnsi" w:cs="Calibri"/>
        </w:rPr>
        <w:t xml:space="preserve">omisie </w:t>
      </w:r>
      <w:r>
        <w:rPr>
          <w:rFonts w:asciiTheme="majorHAnsi" w:hAnsiTheme="majorHAnsi" w:cs="Calibri"/>
        </w:rPr>
        <w:t>s</w:t>
      </w:r>
      <w:r w:rsidR="00044704" w:rsidRPr="00044704">
        <w:rPr>
          <w:rFonts w:asciiTheme="majorHAnsi" w:hAnsiTheme="majorHAnsi" w:cs="Calibri"/>
        </w:rPr>
        <w:t xml:space="preserve"> pravidelným časovým intervalom jej zasadnutia za účelom zabezpečenia </w:t>
      </w:r>
      <w:r>
        <w:rPr>
          <w:rFonts w:asciiTheme="majorHAnsi" w:hAnsiTheme="majorHAnsi" w:cs="Calibri"/>
        </w:rPr>
        <w:t>k</w:t>
      </w:r>
      <w:r w:rsidR="00044704" w:rsidRPr="00044704">
        <w:rPr>
          <w:rFonts w:asciiTheme="majorHAnsi" w:hAnsiTheme="majorHAnsi" w:cs="Calibri"/>
        </w:rPr>
        <w:t xml:space="preserve">oordinácie medzi programami EŠIF </w:t>
      </w:r>
      <w:r>
        <w:rPr>
          <w:rFonts w:asciiTheme="majorHAnsi" w:hAnsiTheme="majorHAnsi" w:cs="Calibri"/>
        </w:rPr>
        <w:t>a</w:t>
      </w:r>
      <w:r w:rsidR="00044704" w:rsidRPr="00044704">
        <w:rPr>
          <w:rFonts w:asciiTheme="majorHAnsi" w:hAnsiTheme="majorHAnsi" w:cs="Calibri"/>
        </w:rPr>
        <w:t xml:space="preserve"> programami </w:t>
      </w:r>
      <w:r w:rsidR="00992762">
        <w:rPr>
          <w:rFonts w:asciiTheme="majorHAnsi" w:hAnsiTheme="majorHAnsi" w:cs="Calibri"/>
        </w:rPr>
        <w:t>E</w:t>
      </w:r>
      <w:r w:rsidR="00B951F4">
        <w:rPr>
          <w:rFonts w:asciiTheme="majorHAnsi" w:hAnsiTheme="majorHAnsi" w:cs="Calibri"/>
        </w:rPr>
        <w:t>ÚS</w:t>
      </w:r>
      <w:r w:rsidR="00044704" w:rsidRPr="00044704">
        <w:rPr>
          <w:rFonts w:asciiTheme="majorHAnsi" w:hAnsiTheme="majorHAnsi" w:cs="Calibri"/>
        </w:rPr>
        <w:t>, resp. ostatnými nástrojmi podpory</w:t>
      </w:r>
      <w:r w:rsidR="00C159FE">
        <w:rPr>
          <w:rFonts w:asciiTheme="majorHAnsi" w:hAnsiTheme="majorHAnsi" w:cs="Calibri"/>
        </w:rPr>
        <w:t xml:space="preserve"> EÚ a</w:t>
      </w:r>
      <w:r w:rsidR="00B66842">
        <w:rPr>
          <w:rFonts w:asciiTheme="majorHAnsi" w:hAnsiTheme="majorHAnsi" w:cs="Calibri"/>
        </w:rPr>
        <w:t> </w:t>
      </w:r>
      <w:r w:rsidR="00C159FE">
        <w:rPr>
          <w:rFonts w:asciiTheme="majorHAnsi" w:hAnsiTheme="majorHAnsi" w:cs="Calibri"/>
        </w:rPr>
        <w:t>SR</w:t>
      </w:r>
      <w:r w:rsidR="00044704" w:rsidRPr="00044704">
        <w:rPr>
          <w:rFonts w:asciiTheme="majorHAnsi" w:hAnsiTheme="majorHAnsi" w:cs="Calibri"/>
        </w:rPr>
        <w:t xml:space="preserve">. </w:t>
      </w:r>
      <w:r w:rsidR="00C159FE">
        <w:rPr>
          <w:rFonts w:asciiTheme="majorHAnsi" w:hAnsiTheme="majorHAnsi" w:cs="Calibri"/>
        </w:rPr>
        <w:t>(Bližšie viď kap. 2.1)</w:t>
      </w:r>
    </w:p>
    <w:p w:rsidR="00D97293" w:rsidRPr="00A11FE0" w:rsidRDefault="00D97293" w:rsidP="00D97293">
      <w:pPr>
        <w:rPr>
          <w:rFonts w:asciiTheme="majorHAnsi" w:hAnsiTheme="majorHAnsi" w:cs="Calibri"/>
          <w:bCs/>
          <w:lang w:eastAsia="sk-SK"/>
        </w:rPr>
      </w:pPr>
      <w:r w:rsidRPr="00A11FE0">
        <w:rPr>
          <w:rFonts w:asciiTheme="majorHAnsi" w:hAnsiTheme="majorHAnsi" w:cs="Calibri"/>
          <w:bCs/>
          <w:lang w:eastAsia="sk-SK"/>
        </w:rPr>
        <w:t xml:space="preserve">Programy cezhraničnej </w:t>
      </w:r>
      <w:r w:rsidR="00BD5FD5">
        <w:rPr>
          <w:rFonts w:asciiTheme="majorHAnsi" w:hAnsiTheme="majorHAnsi" w:cs="Calibri"/>
          <w:bCs/>
          <w:lang w:eastAsia="sk-SK"/>
        </w:rPr>
        <w:t>s</w:t>
      </w:r>
      <w:r w:rsidRPr="00A11FE0">
        <w:rPr>
          <w:rFonts w:asciiTheme="majorHAnsi" w:hAnsiTheme="majorHAnsi" w:cs="Calibri"/>
          <w:bCs/>
          <w:lang w:eastAsia="sk-SK"/>
        </w:rPr>
        <w:t xml:space="preserve">polupráce, na </w:t>
      </w:r>
      <w:r w:rsidR="00BD5FD5">
        <w:rPr>
          <w:rFonts w:asciiTheme="majorHAnsi" w:hAnsiTheme="majorHAnsi" w:cs="Calibri"/>
          <w:bCs/>
          <w:lang w:eastAsia="sk-SK"/>
        </w:rPr>
        <w:t>k</w:t>
      </w:r>
      <w:r w:rsidRPr="00A11FE0">
        <w:rPr>
          <w:rFonts w:asciiTheme="majorHAnsi" w:hAnsiTheme="majorHAnsi" w:cs="Calibri"/>
          <w:bCs/>
          <w:lang w:eastAsia="sk-SK"/>
        </w:rPr>
        <w:t xml:space="preserve">torých </w:t>
      </w:r>
      <w:r w:rsidR="00BD5FD5">
        <w:rPr>
          <w:rFonts w:asciiTheme="majorHAnsi" w:hAnsiTheme="majorHAnsi" w:cs="Calibri"/>
          <w:bCs/>
          <w:lang w:eastAsia="sk-SK"/>
        </w:rPr>
        <w:t>s</w:t>
      </w:r>
      <w:r w:rsidRPr="00A11FE0">
        <w:rPr>
          <w:rFonts w:asciiTheme="majorHAnsi" w:hAnsiTheme="majorHAnsi" w:cs="Calibri"/>
          <w:bCs/>
          <w:lang w:eastAsia="sk-SK"/>
        </w:rPr>
        <w:t xml:space="preserve">a podieľa </w:t>
      </w:r>
      <w:r w:rsidR="00BD5FD5">
        <w:rPr>
          <w:rFonts w:asciiTheme="majorHAnsi" w:hAnsiTheme="majorHAnsi" w:cs="Calibri"/>
          <w:bCs/>
          <w:lang w:eastAsia="sk-SK"/>
        </w:rPr>
        <w:t>S</w:t>
      </w:r>
      <w:r w:rsidRPr="00A11FE0">
        <w:rPr>
          <w:rFonts w:asciiTheme="majorHAnsi" w:hAnsiTheme="majorHAnsi" w:cs="Calibri"/>
          <w:bCs/>
          <w:lang w:eastAsia="sk-SK"/>
        </w:rPr>
        <w:t xml:space="preserve">R, môžu vďaka </w:t>
      </w:r>
      <w:r w:rsidR="00BD5FD5">
        <w:rPr>
          <w:rFonts w:asciiTheme="majorHAnsi" w:hAnsiTheme="majorHAnsi" w:cs="Calibri"/>
          <w:bCs/>
          <w:lang w:eastAsia="sk-SK"/>
        </w:rPr>
        <w:t>s</w:t>
      </w:r>
      <w:r w:rsidRPr="00A11FE0">
        <w:rPr>
          <w:rFonts w:asciiTheme="majorHAnsi" w:hAnsiTheme="majorHAnsi" w:cs="Calibri"/>
          <w:bCs/>
          <w:lang w:eastAsia="sk-SK"/>
        </w:rPr>
        <w:t xml:space="preserve">vojmu zameraniu podporiť čiastočné riešenia cieľov </w:t>
      </w:r>
      <w:r w:rsidR="00BD5FD5">
        <w:rPr>
          <w:rFonts w:asciiTheme="majorHAnsi" w:hAnsiTheme="majorHAnsi" w:cs="Calibri"/>
          <w:bCs/>
          <w:lang w:eastAsia="sk-SK"/>
        </w:rPr>
        <w:t>S</w:t>
      </w:r>
      <w:r w:rsidRPr="00A11FE0">
        <w:rPr>
          <w:rFonts w:asciiTheme="majorHAnsi" w:hAnsiTheme="majorHAnsi" w:cs="Calibri"/>
          <w:bCs/>
          <w:lang w:eastAsia="sk-SK"/>
        </w:rPr>
        <w:t xml:space="preserve">tratégie EÚ pre dunajský región (ďalej len „Dunajská </w:t>
      </w:r>
      <w:r w:rsidR="00BD5FD5">
        <w:rPr>
          <w:rFonts w:asciiTheme="majorHAnsi" w:hAnsiTheme="majorHAnsi" w:cs="Calibri"/>
          <w:bCs/>
          <w:lang w:eastAsia="sk-SK"/>
        </w:rPr>
        <w:t>s</w:t>
      </w:r>
      <w:r w:rsidRPr="00A11FE0">
        <w:rPr>
          <w:rFonts w:asciiTheme="majorHAnsi" w:hAnsiTheme="majorHAnsi" w:cs="Calibri"/>
          <w:bCs/>
          <w:lang w:eastAsia="sk-SK"/>
        </w:rPr>
        <w:t xml:space="preserve">tratégia“) prostredníctvom implementácie </w:t>
      </w:r>
      <w:r w:rsidR="00BD5FD5">
        <w:rPr>
          <w:rFonts w:asciiTheme="majorHAnsi" w:hAnsiTheme="majorHAnsi" w:cs="Calibri"/>
          <w:bCs/>
          <w:lang w:eastAsia="sk-SK"/>
        </w:rPr>
        <w:t>ak</w:t>
      </w:r>
      <w:r w:rsidRPr="00A11FE0">
        <w:rPr>
          <w:rFonts w:asciiTheme="majorHAnsi" w:hAnsiTheme="majorHAnsi" w:cs="Calibri"/>
          <w:bCs/>
          <w:lang w:eastAsia="sk-SK"/>
        </w:rPr>
        <w:t>tivít v</w:t>
      </w:r>
      <w:r w:rsidR="00A90DCD">
        <w:rPr>
          <w:rFonts w:asciiTheme="majorHAnsi" w:hAnsiTheme="majorHAnsi" w:cs="Calibri"/>
          <w:bCs/>
          <w:lang w:eastAsia="sk-SK"/>
        </w:rPr>
        <w:t> </w:t>
      </w:r>
      <w:r w:rsidRPr="00A11FE0">
        <w:rPr>
          <w:rFonts w:asciiTheme="majorHAnsi" w:hAnsiTheme="majorHAnsi" w:cs="Calibri"/>
          <w:bCs/>
          <w:lang w:eastAsia="sk-SK"/>
        </w:rPr>
        <w:t>oblasti</w:t>
      </w:r>
      <w:r w:rsidR="00A90DCD">
        <w:rPr>
          <w:rFonts w:asciiTheme="majorHAnsi" w:hAnsiTheme="majorHAnsi" w:cs="Calibri"/>
          <w:bCs/>
          <w:lang w:eastAsia="sk-SK"/>
        </w:rPr>
        <w:t xml:space="preserve"> </w:t>
      </w:r>
      <w:r w:rsidRPr="00A11FE0">
        <w:rPr>
          <w:rFonts w:asciiTheme="majorHAnsi" w:hAnsiTheme="majorHAnsi" w:cs="Calibri"/>
          <w:bCs/>
          <w:lang w:eastAsia="sk-SK"/>
        </w:rPr>
        <w:t xml:space="preserve">ochrany životného prostredia, prírodného </w:t>
      </w:r>
      <w:r w:rsidR="00BD5FD5">
        <w:rPr>
          <w:rFonts w:asciiTheme="majorHAnsi" w:hAnsiTheme="majorHAnsi" w:cs="Calibri"/>
          <w:bCs/>
          <w:lang w:eastAsia="sk-SK"/>
        </w:rPr>
        <w:t>a</w:t>
      </w:r>
      <w:r w:rsidRPr="00A11FE0">
        <w:rPr>
          <w:rFonts w:asciiTheme="majorHAnsi" w:hAnsiTheme="majorHAnsi" w:cs="Calibri"/>
          <w:bCs/>
          <w:lang w:eastAsia="sk-SK"/>
        </w:rPr>
        <w:t> </w:t>
      </w:r>
      <w:r w:rsidR="00BD5FD5">
        <w:rPr>
          <w:rFonts w:asciiTheme="majorHAnsi" w:hAnsiTheme="majorHAnsi" w:cs="Calibri"/>
          <w:bCs/>
          <w:lang w:eastAsia="sk-SK"/>
        </w:rPr>
        <w:t>k</w:t>
      </w:r>
      <w:r w:rsidRPr="00A11FE0">
        <w:rPr>
          <w:rFonts w:asciiTheme="majorHAnsi" w:hAnsiTheme="majorHAnsi" w:cs="Calibri"/>
          <w:bCs/>
          <w:lang w:eastAsia="sk-SK"/>
        </w:rPr>
        <w:t xml:space="preserve">ultúrneho dedičstva, udržateľnej dopravy, zvýšenia inštitucionálnej </w:t>
      </w:r>
      <w:r w:rsidR="00BD5FD5">
        <w:rPr>
          <w:rFonts w:asciiTheme="majorHAnsi" w:hAnsiTheme="majorHAnsi" w:cs="Calibri"/>
          <w:bCs/>
          <w:lang w:eastAsia="sk-SK"/>
        </w:rPr>
        <w:t>s</w:t>
      </w:r>
      <w:r w:rsidRPr="00A11FE0">
        <w:rPr>
          <w:rFonts w:asciiTheme="majorHAnsi" w:hAnsiTheme="majorHAnsi" w:cs="Calibri"/>
          <w:bCs/>
          <w:lang w:eastAsia="sk-SK"/>
        </w:rPr>
        <w:t xml:space="preserve">polupráce </w:t>
      </w:r>
      <w:r w:rsidR="00BD5FD5">
        <w:rPr>
          <w:rFonts w:asciiTheme="majorHAnsi" w:hAnsiTheme="majorHAnsi" w:cs="Calibri"/>
          <w:bCs/>
          <w:lang w:eastAsia="sk-SK"/>
        </w:rPr>
        <w:t>a</w:t>
      </w:r>
      <w:r w:rsidR="00A90DCD">
        <w:rPr>
          <w:rFonts w:asciiTheme="majorHAnsi" w:hAnsiTheme="majorHAnsi" w:cs="Calibri"/>
          <w:bCs/>
          <w:lang w:eastAsia="sk-SK"/>
        </w:rPr>
        <w:t> </w:t>
      </w:r>
      <w:r w:rsidRPr="00A11FE0">
        <w:rPr>
          <w:rFonts w:asciiTheme="majorHAnsi" w:hAnsiTheme="majorHAnsi" w:cs="Calibri"/>
          <w:bCs/>
          <w:lang w:eastAsia="sk-SK"/>
        </w:rPr>
        <w:t>zefektívnenia</w:t>
      </w:r>
      <w:r w:rsidR="00A90DCD">
        <w:rPr>
          <w:rFonts w:asciiTheme="majorHAnsi" w:hAnsiTheme="majorHAnsi" w:cs="Calibri"/>
          <w:bCs/>
          <w:lang w:eastAsia="sk-SK"/>
        </w:rPr>
        <w:t xml:space="preserve"> </w:t>
      </w:r>
      <w:r w:rsidR="00BD5FD5">
        <w:rPr>
          <w:rFonts w:asciiTheme="majorHAnsi" w:hAnsiTheme="majorHAnsi" w:cs="Calibri"/>
          <w:bCs/>
          <w:lang w:eastAsia="sk-SK"/>
        </w:rPr>
        <w:t>s</w:t>
      </w:r>
      <w:r w:rsidRPr="00A11FE0">
        <w:rPr>
          <w:rFonts w:asciiTheme="majorHAnsi" w:hAnsiTheme="majorHAnsi" w:cs="Calibri"/>
          <w:bCs/>
          <w:lang w:eastAsia="sk-SK"/>
        </w:rPr>
        <w:t>polupráce v</w:t>
      </w:r>
      <w:r w:rsidR="00030BFC">
        <w:rPr>
          <w:rFonts w:asciiTheme="majorHAnsi" w:hAnsiTheme="majorHAnsi" w:cs="Calibri"/>
          <w:bCs/>
          <w:lang w:eastAsia="sk-SK"/>
        </w:rPr>
        <w:t> </w:t>
      </w:r>
      <w:r w:rsidRPr="00A11FE0">
        <w:rPr>
          <w:rFonts w:asciiTheme="majorHAnsi" w:hAnsiTheme="majorHAnsi" w:cs="Calibri"/>
          <w:bCs/>
          <w:lang w:eastAsia="sk-SK"/>
        </w:rPr>
        <w:t xml:space="preserve">oblasti školstva, vedy </w:t>
      </w:r>
      <w:r w:rsidR="00BD5FD5">
        <w:rPr>
          <w:rFonts w:asciiTheme="majorHAnsi" w:hAnsiTheme="majorHAnsi" w:cs="Calibri"/>
          <w:bCs/>
          <w:lang w:eastAsia="sk-SK"/>
        </w:rPr>
        <w:t>a</w:t>
      </w:r>
      <w:r w:rsidRPr="00A11FE0">
        <w:rPr>
          <w:rFonts w:asciiTheme="majorHAnsi" w:hAnsiTheme="majorHAnsi" w:cs="Calibri"/>
          <w:bCs/>
          <w:lang w:eastAsia="sk-SK"/>
        </w:rPr>
        <w:t xml:space="preserve"> výskumu, </w:t>
      </w:r>
      <w:r w:rsidR="00BD5FD5">
        <w:rPr>
          <w:rFonts w:asciiTheme="majorHAnsi" w:hAnsiTheme="majorHAnsi" w:cs="Calibri"/>
          <w:bCs/>
          <w:lang w:eastAsia="sk-SK"/>
        </w:rPr>
        <w:t>ak</w:t>
      </w:r>
      <w:r w:rsidRPr="00A11FE0">
        <w:rPr>
          <w:rFonts w:asciiTheme="majorHAnsi" w:hAnsiTheme="majorHAnsi" w:cs="Calibri"/>
          <w:bCs/>
          <w:lang w:eastAsia="sk-SK"/>
        </w:rPr>
        <w:t xml:space="preserve">o </w:t>
      </w:r>
      <w:r w:rsidR="00BD5FD5">
        <w:rPr>
          <w:rFonts w:asciiTheme="majorHAnsi" w:hAnsiTheme="majorHAnsi" w:cs="Calibri"/>
          <w:bCs/>
          <w:lang w:eastAsia="sk-SK"/>
        </w:rPr>
        <w:t>a</w:t>
      </w:r>
      <w:r w:rsidRPr="00A11FE0">
        <w:rPr>
          <w:rFonts w:asciiTheme="majorHAnsi" w:hAnsiTheme="majorHAnsi" w:cs="Calibri"/>
          <w:bCs/>
          <w:lang w:eastAsia="sk-SK"/>
        </w:rPr>
        <w:t xml:space="preserve">j podpory cezhraničnej </w:t>
      </w:r>
      <w:r w:rsidR="00BD5FD5">
        <w:rPr>
          <w:rFonts w:asciiTheme="majorHAnsi" w:hAnsiTheme="majorHAnsi" w:cs="Calibri"/>
          <w:bCs/>
          <w:lang w:eastAsia="sk-SK"/>
        </w:rPr>
        <w:t>s</w:t>
      </w:r>
      <w:r w:rsidRPr="00A11FE0">
        <w:rPr>
          <w:rFonts w:asciiTheme="majorHAnsi" w:hAnsiTheme="majorHAnsi" w:cs="Calibri"/>
          <w:bCs/>
          <w:lang w:eastAsia="sk-SK"/>
        </w:rPr>
        <w:t xml:space="preserve">polupráce medzi podnikateľskými </w:t>
      </w:r>
      <w:r w:rsidR="00BD5FD5">
        <w:rPr>
          <w:rFonts w:asciiTheme="majorHAnsi" w:hAnsiTheme="majorHAnsi" w:cs="Calibri"/>
          <w:bCs/>
          <w:lang w:eastAsia="sk-SK"/>
        </w:rPr>
        <w:t>s</w:t>
      </w:r>
      <w:r w:rsidRPr="00A11FE0">
        <w:rPr>
          <w:rFonts w:asciiTheme="majorHAnsi" w:hAnsiTheme="majorHAnsi" w:cs="Calibri"/>
          <w:bCs/>
          <w:lang w:eastAsia="sk-SK"/>
        </w:rPr>
        <w:t xml:space="preserve">ubjektmi. Hlavné programy budú plnením </w:t>
      </w:r>
      <w:r w:rsidR="00BD5FD5">
        <w:rPr>
          <w:rFonts w:asciiTheme="majorHAnsi" w:hAnsiTheme="majorHAnsi" w:cs="Calibri"/>
          <w:bCs/>
          <w:lang w:eastAsia="sk-SK"/>
        </w:rPr>
        <w:t>s</w:t>
      </w:r>
      <w:r w:rsidRPr="00A11FE0">
        <w:rPr>
          <w:rFonts w:asciiTheme="majorHAnsi" w:hAnsiTheme="majorHAnsi" w:cs="Calibri"/>
          <w:bCs/>
          <w:lang w:eastAsia="sk-SK"/>
        </w:rPr>
        <w:t xml:space="preserve">vojich cieľov </w:t>
      </w:r>
      <w:r w:rsidR="00BD5FD5">
        <w:rPr>
          <w:rFonts w:asciiTheme="majorHAnsi" w:hAnsiTheme="majorHAnsi" w:cs="Calibri"/>
          <w:bCs/>
          <w:lang w:eastAsia="sk-SK"/>
        </w:rPr>
        <w:t>s</w:t>
      </w:r>
      <w:r w:rsidRPr="00A11FE0">
        <w:rPr>
          <w:rFonts w:asciiTheme="majorHAnsi" w:hAnsiTheme="majorHAnsi" w:cs="Calibri"/>
          <w:bCs/>
          <w:lang w:eastAsia="sk-SK"/>
        </w:rPr>
        <w:t xml:space="preserve">ynergicky podporovať plnenie priorít Dunajskej </w:t>
      </w:r>
      <w:r w:rsidR="00BD5FD5">
        <w:rPr>
          <w:rFonts w:asciiTheme="majorHAnsi" w:hAnsiTheme="majorHAnsi" w:cs="Calibri"/>
          <w:bCs/>
          <w:lang w:eastAsia="sk-SK"/>
        </w:rPr>
        <w:t>s</w:t>
      </w:r>
      <w:r w:rsidRPr="00A11FE0">
        <w:rPr>
          <w:rFonts w:asciiTheme="majorHAnsi" w:hAnsiTheme="majorHAnsi" w:cs="Calibri"/>
          <w:bCs/>
          <w:lang w:eastAsia="sk-SK"/>
        </w:rPr>
        <w:t xml:space="preserve">tratégie, </w:t>
      </w:r>
      <w:r w:rsidR="00BD5FD5">
        <w:rPr>
          <w:rFonts w:asciiTheme="majorHAnsi" w:hAnsiTheme="majorHAnsi" w:cs="Calibri"/>
          <w:bCs/>
          <w:lang w:eastAsia="sk-SK"/>
        </w:rPr>
        <w:t>a</w:t>
      </w:r>
      <w:r w:rsidRPr="00A11FE0">
        <w:rPr>
          <w:rFonts w:asciiTheme="majorHAnsi" w:hAnsiTheme="majorHAnsi" w:cs="Calibri"/>
          <w:bCs/>
          <w:lang w:eastAsia="sk-SK"/>
        </w:rPr>
        <w:t xml:space="preserve"> to </w:t>
      </w:r>
      <w:r w:rsidR="00BD5FD5">
        <w:rPr>
          <w:rFonts w:asciiTheme="majorHAnsi" w:hAnsiTheme="majorHAnsi" w:cs="Calibri"/>
          <w:bCs/>
          <w:lang w:eastAsia="sk-SK"/>
        </w:rPr>
        <w:t>a</w:t>
      </w:r>
      <w:r w:rsidRPr="00A11FE0">
        <w:rPr>
          <w:rFonts w:asciiTheme="majorHAnsi" w:hAnsiTheme="majorHAnsi" w:cs="Calibri"/>
          <w:bCs/>
          <w:lang w:eastAsia="sk-SK"/>
        </w:rPr>
        <w:t xml:space="preserve">j prostredníctvom opatrení na podporu rozvoja znalostnej </w:t>
      </w:r>
      <w:r w:rsidR="00BD5FD5">
        <w:rPr>
          <w:rFonts w:asciiTheme="majorHAnsi" w:hAnsiTheme="majorHAnsi" w:cs="Calibri"/>
          <w:bCs/>
          <w:lang w:eastAsia="sk-SK"/>
        </w:rPr>
        <w:t>s</w:t>
      </w:r>
      <w:r w:rsidRPr="00A11FE0">
        <w:rPr>
          <w:rFonts w:asciiTheme="majorHAnsi" w:hAnsiTheme="majorHAnsi" w:cs="Calibri"/>
          <w:bCs/>
          <w:lang w:eastAsia="sk-SK"/>
        </w:rPr>
        <w:t xml:space="preserve">poločnosti prostredníctvom výskumu, vzdelávania </w:t>
      </w:r>
      <w:r w:rsidR="00BD5FD5">
        <w:rPr>
          <w:rFonts w:asciiTheme="majorHAnsi" w:hAnsiTheme="majorHAnsi" w:cs="Calibri"/>
          <w:bCs/>
          <w:lang w:eastAsia="sk-SK"/>
        </w:rPr>
        <w:t>a</w:t>
      </w:r>
      <w:r w:rsidRPr="00A11FE0">
        <w:rPr>
          <w:rFonts w:asciiTheme="majorHAnsi" w:hAnsiTheme="majorHAnsi" w:cs="Calibri"/>
          <w:bCs/>
          <w:lang w:eastAsia="sk-SK"/>
        </w:rPr>
        <w:t xml:space="preserve"> IKT, </w:t>
      </w:r>
      <w:r w:rsidR="00BD5FD5">
        <w:rPr>
          <w:rFonts w:asciiTheme="majorHAnsi" w:hAnsiTheme="majorHAnsi" w:cs="Calibri"/>
          <w:bCs/>
          <w:lang w:eastAsia="sk-SK"/>
        </w:rPr>
        <w:t>ak</w:t>
      </w:r>
      <w:r w:rsidRPr="00A11FE0">
        <w:rPr>
          <w:rFonts w:asciiTheme="majorHAnsi" w:hAnsiTheme="majorHAnsi" w:cs="Calibri"/>
          <w:bCs/>
          <w:lang w:eastAsia="sk-SK"/>
        </w:rPr>
        <w:t xml:space="preserve">o </w:t>
      </w:r>
      <w:r w:rsidR="00BD5FD5">
        <w:rPr>
          <w:rFonts w:asciiTheme="majorHAnsi" w:hAnsiTheme="majorHAnsi" w:cs="Calibri"/>
          <w:bCs/>
          <w:lang w:eastAsia="sk-SK"/>
        </w:rPr>
        <w:t>a</w:t>
      </w:r>
      <w:r w:rsidRPr="00A11FE0">
        <w:rPr>
          <w:rFonts w:asciiTheme="majorHAnsi" w:hAnsiTheme="majorHAnsi" w:cs="Calibri"/>
          <w:bCs/>
          <w:lang w:eastAsia="sk-SK"/>
        </w:rPr>
        <w:t xml:space="preserve">j investíciami do ľudí, ich zručností </w:t>
      </w:r>
      <w:r w:rsidR="00BD5FD5">
        <w:rPr>
          <w:rFonts w:asciiTheme="majorHAnsi" w:hAnsiTheme="majorHAnsi" w:cs="Calibri"/>
          <w:bCs/>
          <w:lang w:eastAsia="sk-SK"/>
        </w:rPr>
        <w:t>a</w:t>
      </w:r>
      <w:r w:rsidRPr="00A11FE0">
        <w:rPr>
          <w:rFonts w:asciiTheme="majorHAnsi" w:hAnsiTheme="majorHAnsi" w:cs="Calibri"/>
          <w:bCs/>
          <w:lang w:eastAsia="sk-SK"/>
        </w:rPr>
        <w:t xml:space="preserve"> podporou zamestnanosti </w:t>
      </w:r>
      <w:r w:rsidR="00BD5FD5">
        <w:rPr>
          <w:rFonts w:asciiTheme="majorHAnsi" w:hAnsiTheme="majorHAnsi" w:cs="Calibri"/>
          <w:bCs/>
          <w:lang w:eastAsia="sk-SK"/>
        </w:rPr>
        <w:t>a</w:t>
      </w:r>
      <w:r w:rsidRPr="00A11FE0">
        <w:rPr>
          <w:rFonts w:asciiTheme="majorHAnsi" w:hAnsiTheme="majorHAnsi" w:cs="Calibri"/>
          <w:bCs/>
          <w:lang w:eastAsia="sk-SK"/>
        </w:rPr>
        <w:t xml:space="preserve"> </w:t>
      </w:r>
      <w:r w:rsidR="00BD5FD5">
        <w:rPr>
          <w:rFonts w:asciiTheme="majorHAnsi" w:hAnsiTheme="majorHAnsi" w:cs="Calibri"/>
          <w:bCs/>
          <w:lang w:eastAsia="sk-SK"/>
        </w:rPr>
        <w:t>s</w:t>
      </w:r>
      <w:r w:rsidRPr="00A11FE0">
        <w:rPr>
          <w:rFonts w:asciiTheme="majorHAnsi" w:hAnsiTheme="majorHAnsi" w:cs="Calibri"/>
          <w:bCs/>
          <w:lang w:eastAsia="sk-SK"/>
        </w:rPr>
        <w:t xml:space="preserve">ociálnej inklúzie vrátane začlenenia </w:t>
      </w:r>
      <w:r w:rsidR="00B951F4">
        <w:rPr>
          <w:rFonts w:asciiTheme="majorHAnsi" w:hAnsiTheme="majorHAnsi" w:cs="Calibri"/>
          <w:bCs/>
          <w:lang w:eastAsia="sk-SK"/>
        </w:rPr>
        <w:t>MRK</w:t>
      </w:r>
      <w:r w:rsidRPr="00A11FE0">
        <w:rPr>
          <w:rFonts w:asciiTheme="majorHAnsi" w:hAnsiTheme="majorHAnsi" w:cs="Calibri"/>
          <w:bCs/>
          <w:lang w:eastAsia="sk-SK"/>
        </w:rPr>
        <w:t>.</w:t>
      </w:r>
    </w:p>
    <w:p w:rsidR="00D97293" w:rsidRPr="00A11FE0" w:rsidRDefault="00B46A20" w:rsidP="00D97293">
      <w:pPr>
        <w:spacing w:after="0"/>
        <w:rPr>
          <w:rFonts w:asciiTheme="majorHAnsi" w:hAnsiTheme="majorHAnsi"/>
          <w:bCs/>
          <w:lang w:eastAsia="sk-SK"/>
        </w:rPr>
      </w:pPr>
      <w:r>
        <w:rPr>
          <w:rFonts w:asciiTheme="majorHAnsi" w:hAnsiTheme="majorHAnsi"/>
          <w:bCs/>
          <w:lang w:eastAsia="sk-SK"/>
        </w:rPr>
        <w:t>N</w:t>
      </w:r>
      <w:r w:rsidR="00D97293" w:rsidRPr="00A11FE0">
        <w:rPr>
          <w:rFonts w:asciiTheme="majorHAnsi" w:hAnsiTheme="majorHAnsi"/>
          <w:bCs/>
          <w:lang w:eastAsia="sk-SK"/>
        </w:rPr>
        <w:t>adnárodn</w:t>
      </w:r>
      <w:r>
        <w:rPr>
          <w:rFonts w:asciiTheme="majorHAnsi" w:hAnsiTheme="majorHAnsi"/>
          <w:bCs/>
          <w:lang w:eastAsia="sk-SK"/>
        </w:rPr>
        <w:t>ý</w:t>
      </w:r>
      <w:r w:rsidR="00D97293" w:rsidRPr="00A11FE0">
        <w:rPr>
          <w:rFonts w:asciiTheme="majorHAnsi" w:hAnsiTheme="majorHAnsi"/>
          <w:bCs/>
          <w:lang w:eastAsia="sk-SK"/>
        </w:rPr>
        <w:t xml:space="preserve"> program</w:t>
      </w:r>
      <w:r>
        <w:rPr>
          <w:rFonts w:asciiTheme="majorHAnsi" w:hAnsiTheme="majorHAnsi"/>
          <w:bCs/>
          <w:lang w:eastAsia="sk-SK"/>
        </w:rPr>
        <w:t xml:space="preserve"> E</w:t>
      </w:r>
      <w:r w:rsidR="0019644E">
        <w:rPr>
          <w:rFonts w:asciiTheme="majorHAnsi" w:hAnsiTheme="majorHAnsi"/>
          <w:bCs/>
          <w:lang w:eastAsia="sk-SK"/>
        </w:rPr>
        <w:t>Ú</w:t>
      </w:r>
      <w:r>
        <w:rPr>
          <w:rFonts w:asciiTheme="majorHAnsi" w:hAnsiTheme="majorHAnsi"/>
          <w:bCs/>
          <w:lang w:eastAsia="sk-SK"/>
        </w:rPr>
        <w:t xml:space="preserve">S pre </w:t>
      </w:r>
      <w:r w:rsidR="00BD5FD5">
        <w:rPr>
          <w:rFonts w:asciiTheme="majorHAnsi" w:hAnsiTheme="majorHAnsi"/>
          <w:bCs/>
          <w:lang w:eastAsia="sk-SK"/>
        </w:rPr>
        <w:t>S</w:t>
      </w:r>
      <w:r w:rsidR="00D97293" w:rsidRPr="00A11FE0">
        <w:rPr>
          <w:rFonts w:asciiTheme="majorHAnsi" w:hAnsiTheme="majorHAnsi"/>
          <w:bCs/>
          <w:lang w:eastAsia="sk-SK"/>
        </w:rPr>
        <w:t>tredn</w:t>
      </w:r>
      <w:r>
        <w:rPr>
          <w:rFonts w:asciiTheme="majorHAnsi" w:hAnsiTheme="majorHAnsi"/>
          <w:bCs/>
          <w:lang w:eastAsia="sk-SK"/>
        </w:rPr>
        <w:t xml:space="preserve">ú </w:t>
      </w:r>
      <w:r w:rsidR="00992762">
        <w:rPr>
          <w:rFonts w:asciiTheme="majorHAnsi" w:hAnsiTheme="majorHAnsi"/>
          <w:bCs/>
          <w:lang w:eastAsia="sk-SK"/>
        </w:rPr>
        <w:t>E</w:t>
      </w:r>
      <w:r w:rsidR="006A7C8F">
        <w:rPr>
          <w:rFonts w:asciiTheme="majorHAnsi" w:hAnsiTheme="majorHAnsi"/>
          <w:bCs/>
          <w:lang w:eastAsia="sk-SK"/>
        </w:rPr>
        <w:t>ur</w:t>
      </w:r>
      <w:r w:rsidR="00D97293" w:rsidRPr="00A11FE0">
        <w:rPr>
          <w:rFonts w:asciiTheme="majorHAnsi" w:hAnsiTheme="majorHAnsi"/>
          <w:bCs/>
          <w:lang w:eastAsia="sk-SK"/>
        </w:rPr>
        <w:t>óp</w:t>
      </w:r>
      <w:r>
        <w:rPr>
          <w:rFonts w:asciiTheme="majorHAnsi" w:hAnsiTheme="majorHAnsi"/>
          <w:bCs/>
          <w:lang w:eastAsia="sk-SK"/>
        </w:rPr>
        <w:t>u</w:t>
      </w:r>
      <w:r w:rsidR="00D97293" w:rsidRPr="00A11FE0">
        <w:rPr>
          <w:rFonts w:asciiTheme="majorHAnsi" w:hAnsiTheme="majorHAnsi"/>
          <w:bCs/>
          <w:lang w:eastAsia="sk-SK"/>
        </w:rPr>
        <w:t xml:space="preserve"> na obdobie 2014 – 2020 </w:t>
      </w:r>
      <w:r w:rsidR="00BD5FD5">
        <w:rPr>
          <w:rFonts w:asciiTheme="majorHAnsi" w:hAnsiTheme="majorHAnsi"/>
          <w:bCs/>
          <w:lang w:eastAsia="sk-SK"/>
        </w:rPr>
        <w:t>s</w:t>
      </w:r>
      <w:r w:rsidR="00D97293" w:rsidRPr="00A11FE0">
        <w:rPr>
          <w:rFonts w:asciiTheme="majorHAnsi" w:hAnsiTheme="majorHAnsi"/>
          <w:bCs/>
          <w:lang w:eastAsia="sk-SK"/>
        </w:rPr>
        <w:t xml:space="preserve">a zameriava na posilnenie nadnárodného charakteru </w:t>
      </w:r>
      <w:r w:rsidR="00BD5FD5">
        <w:rPr>
          <w:rFonts w:asciiTheme="majorHAnsi" w:hAnsiTheme="majorHAnsi"/>
          <w:bCs/>
          <w:lang w:eastAsia="sk-SK"/>
        </w:rPr>
        <w:t>s</w:t>
      </w:r>
      <w:r w:rsidR="00D97293" w:rsidRPr="00A11FE0">
        <w:rPr>
          <w:rFonts w:asciiTheme="majorHAnsi" w:hAnsiTheme="majorHAnsi"/>
          <w:bCs/>
          <w:lang w:eastAsia="sk-SK"/>
        </w:rPr>
        <w:t xml:space="preserve">polupráce medzi členskými štátmi EÚ v otázkach </w:t>
      </w:r>
      <w:r w:rsidR="00BD5FD5">
        <w:rPr>
          <w:rFonts w:asciiTheme="majorHAnsi" w:hAnsiTheme="majorHAnsi"/>
          <w:bCs/>
          <w:lang w:eastAsia="sk-SK"/>
        </w:rPr>
        <w:t>s</w:t>
      </w:r>
      <w:r w:rsidR="00D97293" w:rsidRPr="00A11FE0">
        <w:rPr>
          <w:rFonts w:asciiTheme="majorHAnsi" w:hAnsiTheme="majorHAnsi"/>
          <w:bCs/>
          <w:lang w:eastAsia="sk-SK"/>
        </w:rPr>
        <w:t xml:space="preserve">trategického významu. Program bude naďalej podporovať </w:t>
      </w:r>
      <w:r w:rsidR="00BD5FD5">
        <w:rPr>
          <w:rFonts w:asciiTheme="majorHAnsi" w:hAnsiTheme="majorHAnsi"/>
          <w:bCs/>
          <w:lang w:eastAsia="sk-SK"/>
        </w:rPr>
        <w:t>s</w:t>
      </w:r>
      <w:r w:rsidR="00D97293" w:rsidRPr="00A11FE0">
        <w:rPr>
          <w:rFonts w:asciiTheme="majorHAnsi" w:hAnsiTheme="majorHAnsi"/>
          <w:bCs/>
          <w:lang w:eastAsia="sk-SK"/>
        </w:rPr>
        <w:t>poluprácu v</w:t>
      </w:r>
      <w:r w:rsidR="00030BFC">
        <w:rPr>
          <w:rFonts w:asciiTheme="majorHAnsi" w:hAnsiTheme="majorHAnsi"/>
          <w:bCs/>
          <w:lang w:eastAsia="sk-SK"/>
        </w:rPr>
        <w:t> </w:t>
      </w:r>
      <w:r w:rsidR="00BD5FD5">
        <w:rPr>
          <w:rFonts w:asciiTheme="majorHAnsi" w:hAnsiTheme="majorHAnsi"/>
          <w:bCs/>
          <w:lang w:eastAsia="sk-SK"/>
        </w:rPr>
        <w:t>k</w:t>
      </w:r>
      <w:r w:rsidR="00D97293" w:rsidRPr="00A11FE0">
        <w:rPr>
          <w:rFonts w:asciiTheme="majorHAnsi" w:hAnsiTheme="majorHAnsi"/>
          <w:bCs/>
          <w:lang w:eastAsia="sk-SK"/>
        </w:rPr>
        <w:t xml:space="preserve">rajinách </w:t>
      </w:r>
      <w:r w:rsidR="00BD5FD5">
        <w:rPr>
          <w:rFonts w:asciiTheme="majorHAnsi" w:hAnsiTheme="majorHAnsi"/>
          <w:bCs/>
          <w:lang w:eastAsia="sk-SK"/>
        </w:rPr>
        <w:t>a</w:t>
      </w:r>
      <w:r w:rsidR="00030BFC">
        <w:rPr>
          <w:rFonts w:asciiTheme="majorHAnsi" w:hAnsiTheme="majorHAnsi"/>
          <w:bCs/>
          <w:lang w:eastAsia="sk-SK"/>
        </w:rPr>
        <w:t> </w:t>
      </w:r>
      <w:r w:rsidR="00D97293" w:rsidRPr="00A11FE0">
        <w:rPr>
          <w:rFonts w:asciiTheme="majorHAnsi" w:hAnsiTheme="majorHAnsi"/>
          <w:bCs/>
          <w:lang w:eastAsia="sk-SK"/>
        </w:rPr>
        <w:t xml:space="preserve">regiónoch </w:t>
      </w:r>
      <w:r w:rsidR="00BD5FD5">
        <w:rPr>
          <w:rFonts w:asciiTheme="majorHAnsi" w:hAnsiTheme="majorHAnsi"/>
          <w:bCs/>
          <w:lang w:eastAsia="sk-SK"/>
        </w:rPr>
        <w:t>s</w:t>
      </w:r>
      <w:r w:rsidR="00D97293" w:rsidRPr="00A11FE0">
        <w:rPr>
          <w:rFonts w:asciiTheme="majorHAnsi" w:hAnsiTheme="majorHAnsi"/>
          <w:bCs/>
          <w:lang w:eastAsia="sk-SK"/>
        </w:rPr>
        <w:t xml:space="preserve">trednej </w:t>
      </w:r>
      <w:r w:rsidR="00992762">
        <w:rPr>
          <w:rFonts w:asciiTheme="majorHAnsi" w:hAnsiTheme="majorHAnsi"/>
          <w:bCs/>
          <w:lang w:eastAsia="sk-SK"/>
        </w:rPr>
        <w:t>E</w:t>
      </w:r>
      <w:r w:rsidR="006A7C8F">
        <w:rPr>
          <w:rFonts w:asciiTheme="majorHAnsi" w:hAnsiTheme="majorHAnsi"/>
          <w:bCs/>
          <w:lang w:eastAsia="sk-SK"/>
        </w:rPr>
        <w:t>ur</w:t>
      </w:r>
      <w:r w:rsidR="00D97293" w:rsidRPr="00A11FE0">
        <w:rPr>
          <w:rFonts w:asciiTheme="majorHAnsi" w:hAnsiTheme="majorHAnsi"/>
          <w:bCs/>
          <w:lang w:eastAsia="sk-SK"/>
        </w:rPr>
        <w:t xml:space="preserve">ópy, čím prispeje </w:t>
      </w:r>
      <w:r w:rsidR="00BD5FD5">
        <w:rPr>
          <w:rFonts w:asciiTheme="majorHAnsi" w:hAnsiTheme="majorHAnsi"/>
          <w:bCs/>
          <w:lang w:eastAsia="sk-SK"/>
        </w:rPr>
        <w:t>k</w:t>
      </w:r>
      <w:r w:rsidR="00030BFC">
        <w:rPr>
          <w:rFonts w:asciiTheme="majorHAnsi" w:hAnsiTheme="majorHAnsi"/>
          <w:bCs/>
          <w:lang w:eastAsia="sk-SK"/>
        </w:rPr>
        <w:t> </w:t>
      </w:r>
      <w:r w:rsidR="00D97293" w:rsidRPr="00A11FE0">
        <w:rPr>
          <w:rFonts w:asciiTheme="majorHAnsi" w:hAnsiTheme="majorHAnsi"/>
          <w:bCs/>
          <w:lang w:eastAsia="sk-SK"/>
        </w:rPr>
        <w:t>zlepšeniu výskumu</w:t>
      </w:r>
      <w:r w:rsidR="00EC29AA">
        <w:rPr>
          <w:rFonts w:asciiTheme="majorHAnsi" w:hAnsiTheme="majorHAnsi"/>
          <w:bCs/>
          <w:lang w:eastAsia="sk-SK"/>
        </w:rPr>
        <w:t xml:space="preserve">, </w:t>
      </w:r>
      <w:r w:rsidR="00D97293" w:rsidRPr="00A11FE0">
        <w:rPr>
          <w:rFonts w:asciiTheme="majorHAnsi" w:hAnsiTheme="majorHAnsi"/>
          <w:bCs/>
          <w:lang w:eastAsia="sk-SK"/>
        </w:rPr>
        <w:t>inovácií</w:t>
      </w:r>
      <w:r w:rsidR="00EC29AA">
        <w:rPr>
          <w:rFonts w:asciiTheme="majorHAnsi" w:hAnsiTheme="majorHAnsi"/>
          <w:bCs/>
          <w:lang w:eastAsia="sk-SK"/>
        </w:rPr>
        <w:t xml:space="preserve"> </w:t>
      </w:r>
      <w:r w:rsidR="00BD5FD5">
        <w:rPr>
          <w:rFonts w:asciiTheme="majorHAnsi" w:hAnsiTheme="majorHAnsi"/>
          <w:bCs/>
          <w:lang w:eastAsia="sk-SK"/>
        </w:rPr>
        <w:t>a</w:t>
      </w:r>
      <w:r w:rsidR="00F31099">
        <w:rPr>
          <w:rFonts w:asciiTheme="majorHAnsi" w:hAnsiTheme="majorHAnsi"/>
          <w:bCs/>
          <w:lang w:eastAsia="sk-SK"/>
        </w:rPr>
        <w:t> </w:t>
      </w:r>
      <w:r w:rsidR="00BD5FD5">
        <w:rPr>
          <w:rFonts w:asciiTheme="majorHAnsi" w:hAnsiTheme="majorHAnsi"/>
          <w:bCs/>
          <w:lang w:eastAsia="sk-SK"/>
        </w:rPr>
        <w:t>k</w:t>
      </w:r>
      <w:r w:rsidR="00EC29AA">
        <w:rPr>
          <w:rFonts w:asciiTheme="majorHAnsi" w:hAnsiTheme="majorHAnsi"/>
          <w:bCs/>
          <w:lang w:eastAsia="sk-SK"/>
        </w:rPr>
        <w:t>onkurencieschopnosti</w:t>
      </w:r>
      <w:r w:rsidR="00D97293" w:rsidRPr="00A11FE0">
        <w:rPr>
          <w:rFonts w:asciiTheme="majorHAnsi" w:hAnsiTheme="majorHAnsi"/>
          <w:bCs/>
          <w:lang w:eastAsia="sk-SK"/>
        </w:rPr>
        <w:t>, využívaniu obnoviteľných zdrojov energie</w:t>
      </w:r>
      <w:r w:rsidR="00EC29AA">
        <w:rPr>
          <w:rFonts w:asciiTheme="majorHAnsi" w:hAnsiTheme="majorHAnsi"/>
          <w:bCs/>
          <w:lang w:eastAsia="sk-SK"/>
        </w:rPr>
        <w:t xml:space="preserve"> </w:t>
      </w:r>
      <w:r w:rsidR="00BD5FD5">
        <w:rPr>
          <w:rFonts w:asciiTheme="majorHAnsi" w:hAnsiTheme="majorHAnsi"/>
          <w:bCs/>
          <w:lang w:eastAsia="sk-SK"/>
        </w:rPr>
        <w:t>a</w:t>
      </w:r>
      <w:r w:rsidR="00A90DCD">
        <w:rPr>
          <w:rFonts w:asciiTheme="majorHAnsi" w:hAnsiTheme="majorHAnsi"/>
          <w:bCs/>
          <w:lang w:eastAsia="sk-SK"/>
        </w:rPr>
        <w:t> </w:t>
      </w:r>
      <w:r w:rsidR="00EC29AA">
        <w:rPr>
          <w:rFonts w:asciiTheme="majorHAnsi" w:hAnsiTheme="majorHAnsi"/>
          <w:bCs/>
          <w:lang w:eastAsia="sk-SK"/>
        </w:rPr>
        <w:t>nízkouhlíkových</w:t>
      </w:r>
      <w:r w:rsidR="00A90DCD">
        <w:rPr>
          <w:rFonts w:asciiTheme="majorHAnsi" w:hAnsiTheme="majorHAnsi"/>
          <w:bCs/>
          <w:lang w:eastAsia="sk-SK"/>
        </w:rPr>
        <w:t xml:space="preserve"> </w:t>
      </w:r>
      <w:r w:rsidR="00BD5FD5">
        <w:rPr>
          <w:rFonts w:asciiTheme="majorHAnsi" w:hAnsiTheme="majorHAnsi"/>
          <w:bCs/>
          <w:lang w:eastAsia="sk-SK"/>
        </w:rPr>
        <w:t>s</w:t>
      </w:r>
      <w:r w:rsidR="00EC29AA">
        <w:rPr>
          <w:rFonts w:asciiTheme="majorHAnsi" w:hAnsiTheme="majorHAnsi"/>
          <w:bCs/>
          <w:lang w:eastAsia="sk-SK"/>
        </w:rPr>
        <w:t>tratégií</w:t>
      </w:r>
      <w:r w:rsidR="00D97293" w:rsidRPr="00A11FE0">
        <w:rPr>
          <w:rFonts w:asciiTheme="majorHAnsi" w:hAnsiTheme="majorHAnsi"/>
          <w:bCs/>
          <w:lang w:eastAsia="sk-SK"/>
        </w:rPr>
        <w:t>, ochrane životného prostredia</w:t>
      </w:r>
      <w:r w:rsidR="00EC29AA">
        <w:rPr>
          <w:rFonts w:asciiTheme="majorHAnsi" w:hAnsiTheme="majorHAnsi"/>
          <w:bCs/>
          <w:lang w:eastAsia="sk-SK"/>
        </w:rPr>
        <w:t xml:space="preserve"> </w:t>
      </w:r>
      <w:r w:rsidR="00BD5FD5">
        <w:rPr>
          <w:rFonts w:asciiTheme="majorHAnsi" w:hAnsiTheme="majorHAnsi"/>
          <w:bCs/>
          <w:lang w:eastAsia="sk-SK"/>
        </w:rPr>
        <w:t>a</w:t>
      </w:r>
      <w:r w:rsidR="00A90DCD">
        <w:rPr>
          <w:rFonts w:asciiTheme="majorHAnsi" w:hAnsiTheme="majorHAnsi"/>
          <w:bCs/>
          <w:lang w:eastAsia="sk-SK"/>
        </w:rPr>
        <w:t> </w:t>
      </w:r>
      <w:r w:rsidR="00EC29AA">
        <w:rPr>
          <w:rFonts w:asciiTheme="majorHAnsi" w:hAnsiTheme="majorHAnsi"/>
          <w:bCs/>
          <w:lang w:eastAsia="sk-SK"/>
        </w:rPr>
        <w:t>udržateľného</w:t>
      </w:r>
      <w:r w:rsidR="00A90DCD">
        <w:rPr>
          <w:rFonts w:asciiTheme="majorHAnsi" w:hAnsiTheme="majorHAnsi"/>
          <w:bCs/>
          <w:lang w:eastAsia="sk-SK"/>
        </w:rPr>
        <w:t xml:space="preserve"> </w:t>
      </w:r>
      <w:r w:rsidR="00EC29AA">
        <w:rPr>
          <w:rFonts w:asciiTheme="majorHAnsi" w:hAnsiTheme="majorHAnsi"/>
          <w:bCs/>
          <w:lang w:eastAsia="sk-SK"/>
        </w:rPr>
        <w:t>využívania</w:t>
      </w:r>
      <w:r w:rsidR="00D97293" w:rsidRPr="00A11FE0">
        <w:rPr>
          <w:rFonts w:asciiTheme="majorHAnsi" w:hAnsiTheme="majorHAnsi"/>
          <w:bCs/>
          <w:lang w:eastAsia="sk-SK"/>
        </w:rPr>
        <w:t xml:space="preserve"> </w:t>
      </w:r>
      <w:r w:rsidR="00BD5FD5">
        <w:rPr>
          <w:rFonts w:asciiTheme="majorHAnsi" w:hAnsiTheme="majorHAnsi"/>
          <w:bCs/>
          <w:lang w:eastAsia="sk-SK"/>
        </w:rPr>
        <w:t>k</w:t>
      </w:r>
      <w:r w:rsidR="00D97293" w:rsidRPr="00A11FE0">
        <w:rPr>
          <w:rFonts w:asciiTheme="majorHAnsi" w:hAnsiTheme="majorHAnsi"/>
          <w:bCs/>
          <w:lang w:eastAsia="sk-SK"/>
        </w:rPr>
        <w:t xml:space="preserve">ultúrneho </w:t>
      </w:r>
      <w:r w:rsidR="00BD5FD5">
        <w:rPr>
          <w:rFonts w:asciiTheme="majorHAnsi" w:hAnsiTheme="majorHAnsi"/>
          <w:bCs/>
          <w:lang w:eastAsia="sk-SK"/>
        </w:rPr>
        <w:t>a</w:t>
      </w:r>
      <w:r w:rsidR="00D97293" w:rsidRPr="00A11FE0">
        <w:rPr>
          <w:rFonts w:asciiTheme="majorHAnsi" w:hAnsiTheme="majorHAnsi"/>
          <w:bCs/>
          <w:lang w:eastAsia="sk-SK"/>
        </w:rPr>
        <w:t xml:space="preserve"> prírodného dedičstva, regenerácii nevyužitých priemyselných zón </w:t>
      </w:r>
      <w:r w:rsidR="00BD5FD5">
        <w:rPr>
          <w:rFonts w:asciiTheme="majorHAnsi" w:hAnsiTheme="majorHAnsi"/>
          <w:bCs/>
          <w:lang w:eastAsia="sk-SK"/>
        </w:rPr>
        <w:t>a</w:t>
      </w:r>
      <w:r w:rsidR="00D97293" w:rsidRPr="00A11FE0">
        <w:rPr>
          <w:rFonts w:asciiTheme="majorHAnsi" w:hAnsiTheme="majorHAnsi"/>
          <w:bCs/>
          <w:lang w:eastAsia="sk-SK"/>
        </w:rPr>
        <w:t xml:space="preserve"> priestorov </w:t>
      </w:r>
      <w:r w:rsidR="00BD5FD5">
        <w:rPr>
          <w:rFonts w:asciiTheme="majorHAnsi" w:hAnsiTheme="majorHAnsi"/>
          <w:bCs/>
          <w:lang w:eastAsia="sk-SK"/>
        </w:rPr>
        <w:t>s</w:t>
      </w:r>
      <w:r w:rsidR="00D97293" w:rsidRPr="00A11FE0">
        <w:rPr>
          <w:rFonts w:asciiTheme="majorHAnsi" w:hAnsiTheme="majorHAnsi"/>
          <w:bCs/>
          <w:lang w:eastAsia="sk-SK"/>
        </w:rPr>
        <w:t xml:space="preserve"> environmentálnou záťažou, zvýšeniu využívania regionálnej dopravy </w:t>
      </w:r>
      <w:r w:rsidR="00BD5FD5">
        <w:rPr>
          <w:rFonts w:asciiTheme="majorHAnsi" w:hAnsiTheme="majorHAnsi"/>
          <w:bCs/>
          <w:lang w:eastAsia="sk-SK"/>
        </w:rPr>
        <w:t>a</w:t>
      </w:r>
      <w:r w:rsidR="00D97293" w:rsidRPr="00A11FE0">
        <w:rPr>
          <w:rFonts w:asciiTheme="majorHAnsi" w:hAnsiTheme="majorHAnsi"/>
          <w:bCs/>
          <w:lang w:eastAsia="sk-SK"/>
        </w:rPr>
        <w:t xml:space="preserve"> podpore prechodu na nízkouhlíkové dopravné </w:t>
      </w:r>
      <w:r w:rsidR="00BD5FD5">
        <w:rPr>
          <w:rFonts w:asciiTheme="majorHAnsi" w:hAnsiTheme="majorHAnsi"/>
          <w:bCs/>
          <w:lang w:eastAsia="sk-SK"/>
        </w:rPr>
        <w:t>s</w:t>
      </w:r>
      <w:r w:rsidR="00D97293" w:rsidRPr="00A11FE0">
        <w:rPr>
          <w:rFonts w:asciiTheme="majorHAnsi" w:hAnsiTheme="majorHAnsi"/>
          <w:bCs/>
          <w:lang w:eastAsia="sk-SK"/>
        </w:rPr>
        <w:t xml:space="preserve">ystémy. Taktiež </w:t>
      </w:r>
      <w:r w:rsidR="00BD5FD5">
        <w:rPr>
          <w:rFonts w:asciiTheme="majorHAnsi" w:hAnsiTheme="majorHAnsi"/>
          <w:bCs/>
          <w:lang w:eastAsia="sk-SK"/>
        </w:rPr>
        <w:t>s</w:t>
      </w:r>
      <w:r w:rsidR="00D97293" w:rsidRPr="00A11FE0">
        <w:rPr>
          <w:rFonts w:asciiTheme="majorHAnsi" w:hAnsiTheme="majorHAnsi"/>
          <w:bCs/>
          <w:lang w:eastAsia="sk-SK"/>
        </w:rPr>
        <w:t xml:space="preserve">a v rámci tohto programu očakáva podpora implementácie Dunajskej </w:t>
      </w:r>
      <w:r w:rsidR="00BD5FD5">
        <w:rPr>
          <w:rFonts w:asciiTheme="majorHAnsi" w:hAnsiTheme="majorHAnsi"/>
          <w:bCs/>
          <w:lang w:eastAsia="sk-SK"/>
        </w:rPr>
        <w:t>s</w:t>
      </w:r>
      <w:r w:rsidR="00D97293" w:rsidRPr="00A11FE0">
        <w:rPr>
          <w:rFonts w:asciiTheme="majorHAnsi" w:hAnsiTheme="majorHAnsi"/>
          <w:bCs/>
          <w:lang w:eastAsia="sk-SK"/>
        </w:rPr>
        <w:t>tratégie v</w:t>
      </w:r>
      <w:r w:rsidR="00A90DCD">
        <w:rPr>
          <w:rFonts w:asciiTheme="majorHAnsi" w:hAnsiTheme="majorHAnsi"/>
          <w:bCs/>
          <w:lang w:eastAsia="sk-SK"/>
        </w:rPr>
        <w:t> </w:t>
      </w:r>
      <w:r w:rsidR="00D97293" w:rsidRPr="00A11FE0">
        <w:rPr>
          <w:rFonts w:asciiTheme="majorHAnsi" w:hAnsiTheme="majorHAnsi"/>
          <w:bCs/>
          <w:lang w:eastAsia="sk-SK"/>
        </w:rPr>
        <w:t>oblasti</w:t>
      </w:r>
      <w:r w:rsidR="00A90DCD">
        <w:rPr>
          <w:rFonts w:asciiTheme="majorHAnsi" w:hAnsiTheme="majorHAnsi"/>
          <w:bCs/>
          <w:lang w:eastAsia="sk-SK"/>
        </w:rPr>
        <w:t xml:space="preserve"> </w:t>
      </w:r>
      <w:r w:rsidR="00BD5FD5">
        <w:rPr>
          <w:rFonts w:asciiTheme="majorHAnsi" w:hAnsiTheme="majorHAnsi"/>
          <w:bCs/>
          <w:lang w:eastAsia="sk-SK"/>
        </w:rPr>
        <w:t>s</w:t>
      </w:r>
      <w:r w:rsidR="00D97293" w:rsidRPr="00A11FE0">
        <w:rPr>
          <w:rFonts w:asciiTheme="majorHAnsi" w:hAnsiTheme="majorHAnsi"/>
          <w:bCs/>
          <w:lang w:eastAsia="sk-SK"/>
        </w:rPr>
        <w:t xml:space="preserve">trednej </w:t>
      </w:r>
      <w:r w:rsidR="00992762">
        <w:rPr>
          <w:rFonts w:asciiTheme="majorHAnsi" w:hAnsiTheme="majorHAnsi"/>
          <w:bCs/>
          <w:lang w:eastAsia="sk-SK"/>
        </w:rPr>
        <w:t>E</w:t>
      </w:r>
      <w:r w:rsidR="006A7C8F">
        <w:rPr>
          <w:rFonts w:asciiTheme="majorHAnsi" w:hAnsiTheme="majorHAnsi"/>
          <w:bCs/>
          <w:lang w:eastAsia="sk-SK"/>
        </w:rPr>
        <w:t>ur</w:t>
      </w:r>
      <w:r w:rsidR="00D97293" w:rsidRPr="00A11FE0">
        <w:rPr>
          <w:rFonts w:asciiTheme="majorHAnsi" w:hAnsiTheme="majorHAnsi"/>
          <w:bCs/>
          <w:lang w:eastAsia="sk-SK"/>
        </w:rPr>
        <w:t xml:space="preserve">ópy. Potenciál dunajského priestoru na rozvoj </w:t>
      </w:r>
      <w:r w:rsidR="00A90DCD">
        <w:rPr>
          <w:rFonts w:asciiTheme="majorHAnsi" w:hAnsiTheme="majorHAnsi"/>
          <w:bCs/>
          <w:lang w:eastAsia="sk-SK"/>
        </w:rPr>
        <w:t>VVaI</w:t>
      </w:r>
      <w:r w:rsidR="00D97293" w:rsidRPr="00A11FE0">
        <w:rPr>
          <w:rFonts w:asciiTheme="majorHAnsi" w:hAnsiTheme="majorHAnsi"/>
          <w:bCs/>
          <w:lang w:eastAsia="sk-SK"/>
        </w:rPr>
        <w:t xml:space="preserve"> </w:t>
      </w:r>
      <w:r w:rsidR="00BD5FD5">
        <w:rPr>
          <w:rFonts w:asciiTheme="majorHAnsi" w:hAnsiTheme="majorHAnsi"/>
          <w:bCs/>
          <w:lang w:eastAsia="sk-SK"/>
        </w:rPr>
        <w:t>s</w:t>
      </w:r>
      <w:r w:rsidR="00D97293" w:rsidRPr="00A11FE0">
        <w:rPr>
          <w:rFonts w:asciiTheme="majorHAnsi" w:hAnsiTheme="majorHAnsi"/>
          <w:bCs/>
          <w:lang w:eastAsia="sk-SK"/>
        </w:rPr>
        <w:t xml:space="preserve">o zapojením </w:t>
      </w:r>
      <w:r w:rsidR="00BD5FD5">
        <w:rPr>
          <w:rFonts w:asciiTheme="majorHAnsi" w:hAnsiTheme="majorHAnsi"/>
          <w:bCs/>
          <w:lang w:eastAsia="sk-SK"/>
        </w:rPr>
        <w:t>s</w:t>
      </w:r>
      <w:r w:rsidR="00D97293" w:rsidRPr="00A11FE0">
        <w:rPr>
          <w:rFonts w:asciiTheme="majorHAnsi" w:hAnsiTheme="majorHAnsi"/>
          <w:bCs/>
          <w:lang w:eastAsia="sk-SK"/>
        </w:rPr>
        <w:t xml:space="preserve">úkromného </w:t>
      </w:r>
      <w:r w:rsidR="00BD5FD5">
        <w:rPr>
          <w:rFonts w:asciiTheme="majorHAnsi" w:hAnsiTheme="majorHAnsi"/>
          <w:bCs/>
          <w:lang w:eastAsia="sk-SK"/>
        </w:rPr>
        <w:t>a</w:t>
      </w:r>
      <w:r w:rsidR="00D97293" w:rsidRPr="00A11FE0">
        <w:rPr>
          <w:rFonts w:asciiTheme="majorHAnsi" w:hAnsiTheme="majorHAnsi"/>
          <w:bCs/>
          <w:lang w:eastAsia="sk-SK"/>
        </w:rPr>
        <w:t xml:space="preserve"> verejného </w:t>
      </w:r>
      <w:r w:rsidR="00BD5FD5">
        <w:rPr>
          <w:rFonts w:asciiTheme="majorHAnsi" w:hAnsiTheme="majorHAnsi"/>
          <w:bCs/>
          <w:lang w:eastAsia="sk-SK"/>
        </w:rPr>
        <w:t>s</w:t>
      </w:r>
      <w:r w:rsidR="00D97293" w:rsidRPr="00A11FE0">
        <w:rPr>
          <w:rFonts w:asciiTheme="majorHAnsi" w:hAnsiTheme="majorHAnsi"/>
          <w:bCs/>
          <w:lang w:eastAsia="sk-SK"/>
        </w:rPr>
        <w:t xml:space="preserve">ektora bude podporený vypracovaním tzv. dunajskej štúdie </w:t>
      </w:r>
      <w:r w:rsidR="00BD5FD5">
        <w:rPr>
          <w:rFonts w:asciiTheme="majorHAnsi" w:hAnsiTheme="majorHAnsi"/>
          <w:bCs/>
          <w:lang w:eastAsia="sk-SK"/>
        </w:rPr>
        <w:t>a</w:t>
      </w:r>
      <w:r w:rsidR="00D97293" w:rsidRPr="00A11FE0">
        <w:rPr>
          <w:rFonts w:asciiTheme="majorHAnsi" w:hAnsiTheme="majorHAnsi"/>
          <w:bCs/>
          <w:lang w:eastAsia="sk-SK"/>
        </w:rPr>
        <w:t> jej praktickým využitím.</w:t>
      </w:r>
    </w:p>
    <w:p w:rsidR="00D97293" w:rsidRPr="00A11FE0" w:rsidRDefault="00D97293" w:rsidP="00D97293">
      <w:pPr>
        <w:spacing w:after="0"/>
        <w:rPr>
          <w:rFonts w:asciiTheme="majorHAnsi" w:hAnsiTheme="majorHAnsi"/>
          <w:bCs/>
          <w:lang w:eastAsia="sk-SK"/>
        </w:rPr>
      </w:pPr>
      <w:r w:rsidRPr="00A11FE0">
        <w:rPr>
          <w:rFonts w:asciiTheme="majorHAnsi" w:hAnsiTheme="majorHAnsi"/>
          <w:bCs/>
          <w:lang w:eastAsia="sk-SK"/>
        </w:rPr>
        <w:t xml:space="preserve">Program EÚS pre dunajský región (ďalej len „ETC Dunaj“) </w:t>
      </w:r>
      <w:r w:rsidR="00BD5FD5">
        <w:rPr>
          <w:rFonts w:asciiTheme="majorHAnsi" w:hAnsiTheme="majorHAnsi"/>
          <w:bCs/>
          <w:lang w:eastAsia="sk-SK"/>
        </w:rPr>
        <w:t>s</w:t>
      </w:r>
      <w:r w:rsidRPr="00A11FE0">
        <w:rPr>
          <w:rFonts w:asciiTheme="majorHAnsi" w:hAnsiTheme="majorHAnsi"/>
          <w:bCs/>
          <w:lang w:eastAsia="sk-SK"/>
        </w:rPr>
        <w:t xml:space="preserve">a bude geograficky zameriavať na tie isté </w:t>
      </w:r>
      <w:r w:rsidR="00BD5FD5">
        <w:rPr>
          <w:rFonts w:asciiTheme="majorHAnsi" w:hAnsiTheme="majorHAnsi"/>
          <w:bCs/>
          <w:lang w:eastAsia="sk-SK"/>
        </w:rPr>
        <w:t>k</w:t>
      </w:r>
      <w:r w:rsidRPr="00A11FE0">
        <w:rPr>
          <w:rFonts w:asciiTheme="majorHAnsi" w:hAnsiTheme="majorHAnsi"/>
          <w:bCs/>
          <w:lang w:eastAsia="sk-SK"/>
        </w:rPr>
        <w:t xml:space="preserve">rajiny </w:t>
      </w:r>
      <w:r w:rsidR="00BD5FD5">
        <w:rPr>
          <w:rFonts w:asciiTheme="majorHAnsi" w:hAnsiTheme="majorHAnsi"/>
          <w:bCs/>
          <w:lang w:eastAsia="sk-SK"/>
        </w:rPr>
        <w:t>ak</w:t>
      </w:r>
      <w:r w:rsidRPr="00A11FE0">
        <w:rPr>
          <w:rFonts w:asciiTheme="majorHAnsi" w:hAnsiTheme="majorHAnsi"/>
          <w:bCs/>
          <w:lang w:eastAsia="sk-SK"/>
        </w:rPr>
        <w:t xml:space="preserve">o Dunajská </w:t>
      </w:r>
      <w:r w:rsidR="00BD5FD5">
        <w:rPr>
          <w:rFonts w:asciiTheme="majorHAnsi" w:hAnsiTheme="majorHAnsi"/>
          <w:bCs/>
          <w:lang w:eastAsia="sk-SK"/>
        </w:rPr>
        <w:t>s</w:t>
      </w:r>
      <w:r w:rsidRPr="00A11FE0">
        <w:rPr>
          <w:rFonts w:asciiTheme="majorHAnsi" w:hAnsiTheme="majorHAnsi"/>
          <w:bCs/>
          <w:lang w:eastAsia="sk-SK"/>
        </w:rPr>
        <w:t xml:space="preserve">tratégia, pričom </w:t>
      </w:r>
      <w:r w:rsidR="00BD5FD5">
        <w:rPr>
          <w:rFonts w:asciiTheme="majorHAnsi" w:hAnsiTheme="majorHAnsi"/>
          <w:bCs/>
          <w:lang w:eastAsia="sk-SK"/>
        </w:rPr>
        <w:t>S</w:t>
      </w:r>
      <w:r w:rsidRPr="00A11FE0">
        <w:rPr>
          <w:rFonts w:asciiTheme="majorHAnsi" w:hAnsiTheme="majorHAnsi"/>
          <w:bCs/>
          <w:lang w:eastAsia="sk-SK"/>
        </w:rPr>
        <w:t>R v</w:t>
      </w:r>
      <w:r w:rsidR="00030BFC">
        <w:rPr>
          <w:rFonts w:asciiTheme="majorHAnsi" w:hAnsiTheme="majorHAnsi"/>
          <w:bCs/>
          <w:lang w:eastAsia="sk-SK"/>
        </w:rPr>
        <w:t> </w:t>
      </w:r>
      <w:r w:rsidRPr="00A11FE0">
        <w:rPr>
          <w:rFonts w:asciiTheme="majorHAnsi" w:hAnsiTheme="majorHAnsi"/>
          <w:bCs/>
          <w:lang w:eastAsia="sk-SK"/>
        </w:rPr>
        <w:t xml:space="preserve">ňom bude zohrávať </w:t>
      </w:r>
      <w:r w:rsidR="00BD5FD5">
        <w:rPr>
          <w:rFonts w:asciiTheme="majorHAnsi" w:hAnsiTheme="majorHAnsi"/>
          <w:bCs/>
          <w:lang w:eastAsia="sk-SK"/>
        </w:rPr>
        <w:t>ak</w:t>
      </w:r>
      <w:r w:rsidRPr="00A11FE0">
        <w:rPr>
          <w:rFonts w:asciiTheme="majorHAnsi" w:hAnsiTheme="majorHAnsi"/>
          <w:bCs/>
          <w:lang w:eastAsia="sk-SK"/>
        </w:rPr>
        <w:t xml:space="preserve">tívnu úlohu pri udržateľnom rozvoji regiónu. Program bude zameraný na posilnenie tých </w:t>
      </w:r>
      <w:r w:rsidR="00BD5FD5">
        <w:rPr>
          <w:rFonts w:asciiTheme="majorHAnsi" w:hAnsiTheme="majorHAnsi"/>
          <w:bCs/>
          <w:lang w:eastAsia="sk-SK"/>
        </w:rPr>
        <w:t>ak</w:t>
      </w:r>
      <w:r w:rsidRPr="00A11FE0">
        <w:rPr>
          <w:rFonts w:asciiTheme="majorHAnsi" w:hAnsiTheme="majorHAnsi"/>
          <w:bCs/>
          <w:lang w:eastAsia="sk-SK"/>
        </w:rPr>
        <w:t xml:space="preserve">tivít, </w:t>
      </w:r>
      <w:r w:rsidR="00BD5FD5">
        <w:rPr>
          <w:rFonts w:asciiTheme="majorHAnsi" w:hAnsiTheme="majorHAnsi"/>
          <w:bCs/>
          <w:lang w:eastAsia="sk-SK"/>
        </w:rPr>
        <w:t>k</w:t>
      </w:r>
      <w:r w:rsidRPr="00A11FE0">
        <w:rPr>
          <w:rFonts w:asciiTheme="majorHAnsi" w:hAnsiTheme="majorHAnsi"/>
          <w:bCs/>
          <w:lang w:eastAsia="sk-SK"/>
        </w:rPr>
        <w:t xml:space="preserve">toré prinášajú pridanú hodnotu vo forme cezhraničných riešení </w:t>
      </w:r>
      <w:r w:rsidR="00BD5FD5">
        <w:rPr>
          <w:rFonts w:asciiTheme="majorHAnsi" w:hAnsiTheme="majorHAnsi"/>
          <w:bCs/>
          <w:lang w:eastAsia="sk-SK"/>
        </w:rPr>
        <w:t>a</w:t>
      </w:r>
      <w:r w:rsidRPr="00A11FE0">
        <w:rPr>
          <w:rFonts w:asciiTheme="majorHAnsi" w:hAnsiTheme="majorHAnsi"/>
          <w:bCs/>
          <w:lang w:eastAsia="sk-SK"/>
        </w:rPr>
        <w:t xml:space="preserve"> foriem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a</w:t>
      </w:r>
      <w:r w:rsidRPr="00A11FE0">
        <w:rPr>
          <w:rFonts w:asciiTheme="majorHAnsi" w:hAnsiTheme="majorHAnsi"/>
          <w:bCs/>
          <w:lang w:eastAsia="sk-SK"/>
        </w:rPr>
        <w:t xml:space="preserve"> predstavujú udržateľné riešenie </w:t>
      </w:r>
      <w:r w:rsidR="00BD5FD5">
        <w:rPr>
          <w:rFonts w:asciiTheme="majorHAnsi" w:hAnsiTheme="majorHAnsi"/>
          <w:bCs/>
          <w:lang w:eastAsia="sk-SK"/>
        </w:rPr>
        <w:t>ak</w:t>
      </w:r>
      <w:r w:rsidRPr="00A11FE0">
        <w:rPr>
          <w:rFonts w:asciiTheme="majorHAnsi" w:hAnsiTheme="majorHAnsi"/>
          <w:bCs/>
          <w:lang w:eastAsia="sk-SK"/>
        </w:rPr>
        <w:t xml:space="preserve">tuálnych </w:t>
      </w:r>
      <w:r w:rsidRPr="00A11FE0">
        <w:rPr>
          <w:rFonts w:asciiTheme="majorHAnsi" w:hAnsiTheme="majorHAnsi"/>
          <w:bCs/>
          <w:lang w:eastAsia="sk-SK"/>
        </w:rPr>
        <w:lastRenderedPageBreak/>
        <w:t xml:space="preserve">problémov, či už environmentálnych, </w:t>
      </w:r>
      <w:r w:rsidR="00BD5FD5">
        <w:rPr>
          <w:rFonts w:asciiTheme="majorHAnsi" w:hAnsiTheme="majorHAnsi"/>
          <w:bCs/>
          <w:lang w:eastAsia="sk-SK"/>
        </w:rPr>
        <w:t>s</w:t>
      </w:r>
      <w:r w:rsidRPr="00A11FE0">
        <w:rPr>
          <w:rFonts w:asciiTheme="majorHAnsi" w:hAnsiTheme="majorHAnsi"/>
          <w:bCs/>
          <w:lang w:eastAsia="sk-SK"/>
        </w:rPr>
        <w:t xml:space="preserve">ociálnych, </w:t>
      </w:r>
      <w:r w:rsidR="00BD5FD5">
        <w:rPr>
          <w:rFonts w:asciiTheme="majorHAnsi" w:hAnsiTheme="majorHAnsi"/>
          <w:bCs/>
          <w:lang w:eastAsia="sk-SK"/>
        </w:rPr>
        <w:t>k</w:t>
      </w:r>
      <w:r w:rsidRPr="00A11FE0">
        <w:rPr>
          <w:rFonts w:asciiTheme="majorHAnsi" w:hAnsiTheme="majorHAnsi"/>
          <w:bCs/>
          <w:lang w:eastAsia="sk-SK"/>
        </w:rPr>
        <w:t xml:space="preserve">ultúrnych </w:t>
      </w:r>
      <w:r w:rsidR="00BD5FD5">
        <w:rPr>
          <w:rFonts w:asciiTheme="majorHAnsi" w:hAnsiTheme="majorHAnsi"/>
          <w:bCs/>
          <w:lang w:eastAsia="sk-SK"/>
        </w:rPr>
        <w:t>a</w:t>
      </w:r>
      <w:r w:rsidRPr="00A11FE0">
        <w:rPr>
          <w:rFonts w:asciiTheme="majorHAnsi" w:hAnsiTheme="majorHAnsi"/>
          <w:bCs/>
          <w:lang w:eastAsia="sk-SK"/>
        </w:rPr>
        <w:t xml:space="preserve"> ekonomických. ETC Dunaj bude plniť funkciu doplnkového zdroja pre financovanie Dunajskej </w:t>
      </w:r>
      <w:r w:rsidR="00BD5FD5">
        <w:rPr>
          <w:rFonts w:asciiTheme="majorHAnsi" w:hAnsiTheme="majorHAnsi"/>
          <w:bCs/>
          <w:lang w:eastAsia="sk-SK"/>
        </w:rPr>
        <w:t>s</w:t>
      </w:r>
      <w:r w:rsidRPr="00A11FE0">
        <w:rPr>
          <w:rFonts w:asciiTheme="majorHAnsi" w:hAnsiTheme="majorHAnsi"/>
          <w:bCs/>
          <w:lang w:eastAsia="sk-SK"/>
        </w:rPr>
        <w:t xml:space="preserve">tratégie, najmä pre lepšiu identifikáciu, </w:t>
      </w:r>
      <w:r w:rsidR="00BD5FD5">
        <w:rPr>
          <w:rFonts w:asciiTheme="majorHAnsi" w:hAnsiTheme="majorHAnsi"/>
          <w:bCs/>
          <w:lang w:eastAsia="sk-SK"/>
        </w:rPr>
        <w:t>s</w:t>
      </w:r>
      <w:r w:rsidRPr="00A11FE0">
        <w:rPr>
          <w:rFonts w:asciiTheme="majorHAnsi" w:hAnsiTheme="majorHAnsi"/>
          <w:bCs/>
          <w:lang w:eastAsia="sk-SK"/>
        </w:rPr>
        <w:t xml:space="preserve">ieťovanie </w:t>
      </w:r>
      <w:r w:rsidR="00BD5FD5">
        <w:rPr>
          <w:rFonts w:asciiTheme="majorHAnsi" w:hAnsiTheme="majorHAnsi"/>
          <w:bCs/>
          <w:lang w:eastAsia="sk-SK"/>
        </w:rPr>
        <w:t>a</w:t>
      </w:r>
      <w:r w:rsidR="00A13E12">
        <w:rPr>
          <w:rFonts w:asciiTheme="majorHAnsi" w:hAnsiTheme="majorHAnsi"/>
          <w:bCs/>
          <w:lang w:eastAsia="sk-SK"/>
        </w:rPr>
        <w:t> </w:t>
      </w:r>
      <w:r w:rsidR="00BD5FD5">
        <w:rPr>
          <w:rFonts w:asciiTheme="majorHAnsi" w:hAnsiTheme="majorHAnsi"/>
          <w:bCs/>
          <w:lang w:eastAsia="sk-SK"/>
        </w:rPr>
        <w:t>k</w:t>
      </w:r>
      <w:r w:rsidRPr="00A11FE0">
        <w:rPr>
          <w:rFonts w:asciiTheme="majorHAnsi" w:hAnsiTheme="majorHAnsi"/>
          <w:bCs/>
          <w:lang w:eastAsia="sk-SK"/>
        </w:rPr>
        <w:t>oordináciu</w:t>
      </w:r>
      <w:r w:rsidR="00A13E12">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poločných opatrení </w:t>
      </w:r>
      <w:r w:rsidR="00BD5FD5">
        <w:rPr>
          <w:rFonts w:asciiTheme="majorHAnsi" w:hAnsiTheme="majorHAnsi"/>
          <w:bCs/>
          <w:lang w:eastAsia="sk-SK"/>
        </w:rPr>
        <w:t>a</w:t>
      </w:r>
      <w:r w:rsidRPr="00A11FE0">
        <w:rPr>
          <w:rFonts w:asciiTheme="majorHAnsi" w:hAnsiTheme="majorHAnsi"/>
          <w:bCs/>
          <w:lang w:eastAsia="sk-SK"/>
        </w:rPr>
        <w:t xml:space="preserve"> </w:t>
      </w:r>
      <w:r w:rsidR="00BD5FD5">
        <w:rPr>
          <w:rFonts w:asciiTheme="majorHAnsi" w:hAnsiTheme="majorHAnsi"/>
          <w:bCs/>
          <w:lang w:eastAsia="sk-SK"/>
        </w:rPr>
        <w:t>ak</w:t>
      </w:r>
      <w:r w:rsidRPr="00A11FE0">
        <w:rPr>
          <w:rFonts w:asciiTheme="majorHAnsi" w:hAnsiTheme="majorHAnsi"/>
          <w:bCs/>
          <w:lang w:eastAsia="sk-SK"/>
        </w:rPr>
        <w:t xml:space="preserve">tivít. Prioritne </w:t>
      </w:r>
      <w:r w:rsidR="00BD5FD5">
        <w:rPr>
          <w:rFonts w:asciiTheme="majorHAnsi" w:hAnsiTheme="majorHAnsi"/>
          <w:bCs/>
          <w:lang w:eastAsia="sk-SK"/>
        </w:rPr>
        <w:t>s</w:t>
      </w:r>
      <w:r w:rsidRPr="00A11FE0">
        <w:rPr>
          <w:rFonts w:asciiTheme="majorHAnsi" w:hAnsiTheme="majorHAnsi"/>
          <w:bCs/>
          <w:lang w:eastAsia="sk-SK"/>
        </w:rPr>
        <w:t xml:space="preserve">a bude program obsahovo zameriavať na otázky zmeny </w:t>
      </w:r>
      <w:r w:rsidR="00BD5FD5">
        <w:rPr>
          <w:rFonts w:asciiTheme="majorHAnsi" w:hAnsiTheme="majorHAnsi"/>
          <w:bCs/>
          <w:lang w:eastAsia="sk-SK"/>
        </w:rPr>
        <w:t>k</w:t>
      </w:r>
      <w:r w:rsidRPr="00A11FE0">
        <w:rPr>
          <w:rFonts w:asciiTheme="majorHAnsi" w:hAnsiTheme="majorHAnsi"/>
          <w:bCs/>
          <w:lang w:eastAsia="sk-SK"/>
        </w:rPr>
        <w:t xml:space="preserve">límy </w:t>
      </w:r>
      <w:r w:rsidR="00BD5FD5">
        <w:rPr>
          <w:rFonts w:asciiTheme="majorHAnsi" w:hAnsiTheme="majorHAnsi"/>
          <w:bCs/>
          <w:lang w:eastAsia="sk-SK"/>
        </w:rPr>
        <w:t>a</w:t>
      </w:r>
      <w:r w:rsidRPr="00A11FE0">
        <w:rPr>
          <w:rFonts w:asciiTheme="majorHAnsi" w:hAnsiTheme="majorHAnsi"/>
          <w:bCs/>
          <w:lang w:eastAsia="sk-SK"/>
        </w:rPr>
        <w:t xml:space="preserve"> predchádzania rizikám, ochrany životného prostredia, využívania zdrojov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udržateľnej</w:t>
      </w:r>
      <w:r w:rsidR="00A90DCD">
        <w:rPr>
          <w:rFonts w:asciiTheme="majorHAnsi" w:hAnsiTheme="majorHAnsi"/>
          <w:bCs/>
          <w:lang w:eastAsia="sk-SK"/>
        </w:rPr>
        <w:t xml:space="preserve"> </w:t>
      </w:r>
      <w:r w:rsidRPr="00A11FE0">
        <w:rPr>
          <w:rFonts w:asciiTheme="majorHAnsi" w:hAnsiTheme="majorHAnsi"/>
          <w:bCs/>
          <w:lang w:eastAsia="sk-SK"/>
        </w:rPr>
        <w:t xml:space="preserve">dopravy. V týchto oblastiach </w:t>
      </w:r>
      <w:r w:rsidR="00BD5FD5">
        <w:rPr>
          <w:rFonts w:asciiTheme="majorHAnsi" w:hAnsiTheme="majorHAnsi"/>
          <w:bCs/>
          <w:lang w:eastAsia="sk-SK"/>
        </w:rPr>
        <w:t>s</w:t>
      </w:r>
      <w:r w:rsidRPr="00A11FE0">
        <w:rPr>
          <w:rFonts w:asciiTheme="majorHAnsi" w:hAnsiTheme="majorHAnsi"/>
          <w:bCs/>
          <w:lang w:eastAsia="sk-SK"/>
        </w:rPr>
        <w:t xml:space="preserve">a budú identifikovať prednostne projekty, </w:t>
      </w:r>
      <w:r w:rsidR="00BD5FD5">
        <w:rPr>
          <w:rFonts w:asciiTheme="majorHAnsi" w:hAnsiTheme="majorHAnsi"/>
          <w:bCs/>
          <w:lang w:eastAsia="sk-SK"/>
        </w:rPr>
        <w:t>k</w:t>
      </w:r>
      <w:r w:rsidRPr="00A11FE0">
        <w:rPr>
          <w:rFonts w:asciiTheme="majorHAnsi" w:hAnsiTheme="majorHAnsi"/>
          <w:bCs/>
          <w:lang w:eastAsia="sk-SK"/>
        </w:rPr>
        <w:t xml:space="preserve">toré budú </w:t>
      </w:r>
      <w:r w:rsidR="00BD5FD5">
        <w:rPr>
          <w:rFonts w:asciiTheme="majorHAnsi" w:hAnsiTheme="majorHAnsi"/>
          <w:bCs/>
          <w:lang w:eastAsia="sk-SK"/>
        </w:rPr>
        <w:t>s</w:t>
      </w:r>
      <w:r w:rsidRPr="00A11FE0">
        <w:rPr>
          <w:rFonts w:asciiTheme="majorHAnsi" w:hAnsiTheme="majorHAnsi"/>
          <w:bCs/>
          <w:lang w:eastAsia="sk-SK"/>
        </w:rPr>
        <w:t xml:space="preserve">ynergickým </w:t>
      </w:r>
      <w:r w:rsidR="00BD5FD5">
        <w:rPr>
          <w:rFonts w:asciiTheme="majorHAnsi" w:hAnsiTheme="majorHAnsi"/>
          <w:bCs/>
          <w:lang w:eastAsia="sk-SK"/>
        </w:rPr>
        <w:t>s</w:t>
      </w:r>
      <w:r w:rsidRPr="00A11FE0">
        <w:rPr>
          <w:rFonts w:asciiTheme="majorHAnsi" w:hAnsiTheme="majorHAnsi"/>
          <w:bCs/>
          <w:lang w:eastAsia="sk-SK"/>
        </w:rPr>
        <w:t xml:space="preserve">pôsobom napĺňať cieľ 1 Investovanie do rastu </w:t>
      </w:r>
      <w:r w:rsidR="00BD5FD5">
        <w:rPr>
          <w:rFonts w:asciiTheme="majorHAnsi" w:hAnsiTheme="majorHAnsi"/>
          <w:bCs/>
          <w:lang w:eastAsia="sk-SK"/>
        </w:rPr>
        <w:t>a</w:t>
      </w:r>
      <w:r w:rsidRPr="00A11FE0">
        <w:rPr>
          <w:rFonts w:asciiTheme="majorHAnsi" w:hAnsiTheme="majorHAnsi"/>
          <w:bCs/>
          <w:lang w:eastAsia="sk-SK"/>
        </w:rPr>
        <w:t xml:space="preserve"> zamestnanosti </w:t>
      </w:r>
      <w:r w:rsidR="00BD5FD5">
        <w:rPr>
          <w:rFonts w:asciiTheme="majorHAnsi" w:hAnsiTheme="majorHAnsi"/>
          <w:bCs/>
          <w:lang w:eastAsia="sk-SK"/>
        </w:rPr>
        <w:t>a</w:t>
      </w:r>
      <w:r w:rsidRPr="00A11FE0">
        <w:rPr>
          <w:rFonts w:asciiTheme="majorHAnsi" w:hAnsiTheme="majorHAnsi"/>
          <w:bCs/>
          <w:lang w:eastAsia="sk-SK"/>
        </w:rPr>
        <w:t xml:space="preserve"> cieľ 2 </w:t>
      </w:r>
      <w:r w:rsidR="00992762">
        <w:rPr>
          <w:rFonts w:asciiTheme="majorHAnsi" w:hAnsiTheme="majorHAnsi"/>
          <w:bCs/>
          <w:lang w:eastAsia="sk-SK"/>
        </w:rPr>
        <w:t>E</w:t>
      </w:r>
      <w:r w:rsidR="00B951F4">
        <w:rPr>
          <w:rFonts w:asciiTheme="majorHAnsi" w:hAnsiTheme="majorHAnsi"/>
          <w:bCs/>
          <w:lang w:eastAsia="sk-SK"/>
        </w:rPr>
        <w:t>ÚS</w:t>
      </w:r>
      <w:r w:rsidRPr="00A11FE0">
        <w:rPr>
          <w:rFonts w:asciiTheme="majorHAnsi" w:hAnsiTheme="majorHAnsi"/>
          <w:bCs/>
          <w:lang w:eastAsia="sk-SK"/>
        </w:rPr>
        <w:t xml:space="preserve">. V rámci programu ETC Dunaj boli identifikované tematické ciele, </w:t>
      </w:r>
      <w:r w:rsidR="00BD5FD5">
        <w:rPr>
          <w:rFonts w:asciiTheme="majorHAnsi" w:hAnsiTheme="majorHAnsi"/>
          <w:bCs/>
          <w:lang w:eastAsia="sk-SK"/>
        </w:rPr>
        <w:t>k</w:t>
      </w:r>
      <w:r w:rsidRPr="00A11FE0">
        <w:rPr>
          <w:rFonts w:asciiTheme="majorHAnsi" w:hAnsiTheme="majorHAnsi"/>
          <w:bCs/>
          <w:lang w:eastAsia="sk-SK"/>
        </w:rPr>
        <w:t xml:space="preserve">toré </w:t>
      </w:r>
      <w:r w:rsidR="00BD5FD5">
        <w:rPr>
          <w:rFonts w:asciiTheme="majorHAnsi" w:hAnsiTheme="majorHAnsi"/>
          <w:bCs/>
          <w:lang w:eastAsia="sk-SK"/>
        </w:rPr>
        <w:t>s</w:t>
      </w:r>
      <w:r w:rsidRPr="00A11FE0">
        <w:rPr>
          <w:rFonts w:asciiTheme="majorHAnsi" w:hAnsiTheme="majorHAnsi"/>
          <w:bCs/>
          <w:lang w:eastAsia="sk-SK"/>
        </w:rPr>
        <w:t>ú v </w:t>
      </w:r>
      <w:r w:rsidR="00BD5FD5">
        <w:rPr>
          <w:rFonts w:asciiTheme="majorHAnsi" w:hAnsiTheme="majorHAnsi"/>
          <w:bCs/>
          <w:lang w:eastAsia="sk-SK"/>
        </w:rPr>
        <w:t>k</w:t>
      </w:r>
      <w:r w:rsidRPr="00A11FE0">
        <w:rPr>
          <w:rFonts w:asciiTheme="majorHAnsi" w:hAnsiTheme="majorHAnsi"/>
          <w:bCs/>
          <w:lang w:eastAsia="sk-SK"/>
        </w:rPr>
        <w:t xml:space="preserve">orelácii </w:t>
      </w:r>
      <w:r w:rsidR="00BD5FD5">
        <w:rPr>
          <w:rFonts w:asciiTheme="majorHAnsi" w:hAnsiTheme="majorHAnsi"/>
          <w:bCs/>
          <w:lang w:eastAsia="sk-SK"/>
        </w:rPr>
        <w:t>s</w:t>
      </w:r>
      <w:r w:rsidRPr="00A11FE0">
        <w:rPr>
          <w:rFonts w:asciiTheme="majorHAnsi" w:hAnsiTheme="majorHAnsi"/>
          <w:bCs/>
          <w:lang w:eastAsia="sk-SK"/>
        </w:rPr>
        <w:t xml:space="preserve"> tematicky </w:t>
      </w:r>
      <w:r w:rsidR="00BD5FD5">
        <w:rPr>
          <w:rFonts w:asciiTheme="majorHAnsi" w:hAnsiTheme="majorHAnsi"/>
          <w:bCs/>
          <w:lang w:eastAsia="sk-SK"/>
        </w:rPr>
        <w:t>k</w:t>
      </w:r>
      <w:r w:rsidRPr="00A11FE0">
        <w:rPr>
          <w:rFonts w:asciiTheme="majorHAnsi" w:hAnsiTheme="majorHAnsi"/>
          <w:bCs/>
          <w:lang w:eastAsia="sk-SK"/>
        </w:rPr>
        <w:t xml:space="preserve">oncentrovanými zdrojmi </w:t>
      </w:r>
      <w:r w:rsidR="00BD5FD5">
        <w:rPr>
          <w:rFonts w:asciiTheme="majorHAnsi" w:hAnsiTheme="majorHAnsi"/>
          <w:bCs/>
          <w:lang w:eastAsia="sk-SK"/>
        </w:rPr>
        <w:t>s</w:t>
      </w:r>
      <w:r w:rsidRPr="00A11FE0">
        <w:rPr>
          <w:rFonts w:asciiTheme="majorHAnsi" w:hAnsiTheme="majorHAnsi"/>
          <w:bCs/>
          <w:lang w:eastAsia="sk-SK"/>
        </w:rPr>
        <w:t xml:space="preserve">tanovenými v hlavných programoch </w:t>
      </w:r>
      <w:r w:rsidR="00BD5FD5">
        <w:rPr>
          <w:rFonts w:asciiTheme="majorHAnsi" w:hAnsiTheme="majorHAnsi"/>
          <w:bCs/>
          <w:lang w:eastAsia="sk-SK"/>
        </w:rPr>
        <w:t>S</w:t>
      </w:r>
      <w:r w:rsidRPr="00A11FE0">
        <w:rPr>
          <w:rFonts w:asciiTheme="majorHAnsi" w:hAnsiTheme="majorHAnsi"/>
          <w:bCs/>
          <w:lang w:eastAsia="sk-SK"/>
        </w:rPr>
        <w:t xml:space="preserve">R. Pre účely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a</w:t>
      </w:r>
      <w:r w:rsidRPr="00A11FE0">
        <w:rPr>
          <w:rFonts w:asciiTheme="majorHAnsi" w:hAnsiTheme="majorHAnsi"/>
          <w:bCs/>
          <w:lang w:eastAsia="sk-SK"/>
        </w:rPr>
        <w:t xml:space="preserve"> transferu poznatkov za oblasť </w:t>
      </w:r>
      <w:r w:rsidR="00A90DCD">
        <w:rPr>
          <w:rFonts w:asciiTheme="majorHAnsi" w:hAnsiTheme="majorHAnsi"/>
          <w:bCs/>
          <w:lang w:eastAsia="sk-SK"/>
        </w:rPr>
        <w:t>VaI</w:t>
      </w:r>
      <w:r w:rsidRPr="00A11FE0">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a predpokladá začatie II. etapy implementačnej fázy v širšej </w:t>
      </w:r>
      <w:r w:rsidR="00BD5FD5">
        <w:rPr>
          <w:rFonts w:asciiTheme="majorHAnsi" w:hAnsiTheme="majorHAnsi"/>
          <w:bCs/>
          <w:lang w:eastAsia="sk-SK"/>
        </w:rPr>
        <w:t>s</w:t>
      </w:r>
      <w:r w:rsidRPr="00A11FE0">
        <w:rPr>
          <w:rFonts w:asciiTheme="majorHAnsi" w:hAnsiTheme="majorHAnsi"/>
          <w:bCs/>
          <w:lang w:eastAsia="sk-SK"/>
        </w:rPr>
        <w:t xml:space="preserve">polupráci </w:t>
      </w:r>
      <w:r w:rsidR="00BD5FD5">
        <w:rPr>
          <w:rFonts w:asciiTheme="majorHAnsi" w:hAnsiTheme="majorHAnsi"/>
          <w:bCs/>
          <w:lang w:eastAsia="sk-SK"/>
        </w:rPr>
        <w:t>s</w:t>
      </w:r>
      <w:r w:rsidRPr="00A11FE0">
        <w:rPr>
          <w:rFonts w:asciiTheme="majorHAnsi" w:hAnsiTheme="majorHAnsi"/>
          <w:bCs/>
          <w:lang w:eastAsia="sk-SK"/>
        </w:rPr>
        <w:t> </w:t>
      </w:r>
      <w:r w:rsidR="00BD5FD5">
        <w:rPr>
          <w:rFonts w:asciiTheme="majorHAnsi" w:hAnsiTheme="majorHAnsi"/>
          <w:bCs/>
          <w:lang w:eastAsia="sk-SK"/>
        </w:rPr>
        <w:t>k</w:t>
      </w:r>
      <w:r w:rsidRPr="00A11FE0">
        <w:rPr>
          <w:rFonts w:asciiTheme="majorHAnsi" w:hAnsiTheme="majorHAnsi"/>
          <w:bCs/>
          <w:lang w:eastAsia="sk-SK"/>
        </w:rPr>
        <w:t xml:space="preserve">rajinami CZ, </w:t>
      </w:r>
      <w:r w:rsidR="00BD5FD5">
        <w:rPr>
          <w:rFonts w:asciiTheme="majorHAnsi" w:hAnsiTheme="majorHAnsi"/>
          <w:bCs/>
          <w:lang w:eastAsia="sk-SK"/>
        </w:rPr>
        <w:t>A</w:t>
      </w:r>
      <w:r w:rsidRPr="00A11FE0">
        <w:rPr>
          <w:rFonts w:asciiTheme="majorHAnsi" w:hAnsiTheme="majorHAnsi"/>
          <w:bCs/>
          <w:lang w:eastAsia="sk-SK"/>
        </w:rPr>
        <w:t xml:space="preserve">T, HU, DE, RO, </w:t>
      </w:r>
      <w:r w:rsidR="00E7088E">
        <w:rPr>
          <w:rFonts w:asciiTheme="majorHAnsi" w:hAnsiTheme="majorHAnsi"/>
          <w:bCs/>
          <w:lang w:eastAsia="sk-SK"/>
        </w:rPr>
        <w:t>R</w:t>
      </w:r>
      <w:r w:rsidR="00BD5FD5">
        <w:rPr>
          <w:rFonts w:asciiTheme="majorHAnsi" w:hAnsiTheme="majorHAnsi"/>
          <w:bCs/>
          <w:lang w:eastAsia="sk-SK"/>
        </w:rPr>
        <w:t>S</w:t>
      </w:r>
      <w:r w:rsidRPr="00A11FE0">
        <w:rPr>
          <w:rFonts w:asciiTheme="majorHAnsi" w:hAnsiTheme="majorHAnsi"/>
          <w:bCs/>
          <w:lang w:eastAsia="sk-SK"/>
        </w:rPr>
        <w:t xml:space="preserve">, </w:t>
      </w:r>
      <w:r w:rsidR="00E7088E">
        <w:rPr>
          <w:rFonts w:asciiTheme="majorHAnsi" w:hAnsiTheme="majorHAnsi"/>
          <w:bCs/>
          <w:lang w:eastAsia="sk-SK"/>
        </w:rPr>
        <w:t>H</w:t>
      </w:r>
      <w:r w:rsidR="00E7088E" w:rsidRPr="00A11FE0">
        <w:rPr>
          <w:rFonts w:asciiTheme="majorHAnsi" w:hAnsiTheme="majorHAnsi"/>
          <w:bCs/>
          <w:lang w:eastAsia="sk-SK"/>
        </w:rPr>
        <w:t>R</w:t>
      </w:r>
      <w:r w:rsidRPr="00A11FE0">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I </w:t>
      </w:r>
      <w:r w:rsidR="00BD5FD5">
        <w:rPr>
          <w:rFonts w:asciiTheme="majorHAnsi" w:hAnsiTheme="majorHAnsi"/>
          <w:bCs/>
          <w:lang w:eastAsia="sk-SK"/>
        </w:rPr>
        <w:t>a</w:t>
      </w:r>
      <w:r w:rsidRPr="00A11FE0">
        <w:rPr>
          <w:rFonts w:asciiTheme="majorHAnsi" w:hAnsiTheme="majorHAnsi"/>
          <w:bCs/>
          <w:lang w:eastAsia="sk-SK"/>
        </w:rPr>
        <w:t xml:space="preserve"> zriadenie Inovačného fondu pre dunajský región. Pre dosiahnutie </w:t>
      </w:r>
      <w:r w:rsidR="00BD5FD5">
        <w:rPr>
          <w:rFonts w:asciiTheme="majorHAnsi" w:hAnsiTheme="majorHAnsi"/>
          <w:bCs/>
          <w:lang w:eastAsia="sk-SK"/>
        </w:rPr>
        <w:t>k</w:t>
      </w:r>
      <w:r w:rsidRPr="00A11FE0">
        <w:rPr>
          <w:rFonts w:asciiTheme="majorHAnsi" w:hAnsiTheme="majorHAnsi"/>
          <w:bCs/>
          <w:lang w:eastAsia="sk-SK"/>
        </w:rPr>
        <w:t xml:space="preserve">onkurencieschopnosti </w:t>
      </w:r>
      <w:r w:rsidR="00BD5FD5">
        <w:rPr>
          <w:rFonts w:asciiTheme="majorHAnsi" w:hAnsiTheme="majorHAnsi"/>
          <w:bCs/>
          <w:lang w:eastAsia="sk-SK"/>
        </w:rPr>
        <w:t>a</w:t>
      </w:r>
      <w:r w:rsidRPr="00A11FE0">
        <w:rPr>
          <w:rFonts w:asciiTheme="majorHAnsi" w:hAnsiTheme="majorHAnsi"/>
          <w:bCs/>
          <w:lang w:eastAsia="sk-SK"/>
        </w:rPr>
        <w:t> zamestnanosti je potrebné v</w:t>
      </w:r>
      <w:r w:rsidR="00A90DCD">
        <w:rPr>
          <w:rFonts w:asciiTheme="majorHAnsi" w:hAnsiTheme="majorHAnsi"/>
          <w:bCs/>
          <w:lang w:eastAsia="sk-SK"/>
        </w:rPr>
        <w:t> </w:t>
      </w:r>
      <w:r w:rsidR="00BD5FD5">
        <w:rPr>
          <w:rFonts w:asciiTheme="majorHAnsi" w:hAnsiTheme="majorHAnsi"/>
          <w:bCs/>
          <w:lang w:eastAsia="sk-SK"/>
        </w:rPr>
        <w:t>k</w:t>
      </w:r>
      <w:r w:rsidRPr="00A11FE0">
        <w:rPr>
          <w:rFonts w:asciiTheme="majorHAnsi" w:hAnsiTheme="majorHAnsi"/>
          <w:bCs/>
          <w:lang w:eastAsia="sk-SK"/>
        </w:rPr>
        <w:t>ľúčových</w:t>
      </w:r>
      <w:r w:rsidR="00A90DCD">
        <w:rPr>
          <w:rFonts w:asciiTheme="majorHAnsi" w:hAnsiTheme="majorHAnsi"/>
          <w:bCs/>
          <w:lang w:eastAsia="sk-SK"/>
        </w:rPr>
        <w:t xml:space="preserve"> </w:t>
      </w:r>
      <w:r w:rsidRPr="00A11FE0">
        <w:rPr>
          <w:rFonts w:asciiTheme="majorHAnsi" w:hAnsiTheme="majorHAnsi"/>
          <w:bCs/>
          <w:lang w:eastAsia="sk-SK"/>
        </w:rPr>
        <w:t xml:space="preserve">oblastiach posilniť </w:t>
      </w:r>
      <w:r w:rsidR="00BD5FD5">
        <w:rPr>
          <w:rFonts w:asciiTheme="majorHAnsi" w:hAnsiTheme="majorHAnsi"/>
          <w:bCs/>
          <w:lang w:eastAsia="sk-SK"/>
        </w:rPr>
        <w:t>s</w:t>
      </w:r>
      <w:r w:rsidRPr="00A11FE0">
        <w:rPr>
          <w:rFonts w:asciiTheme="majorHAnsi" w:hAnsiTheme="majorHAnsi"/>
          <w:bCs/>
          <w:lang w:eastAsia="sk-SK"/>
        </w:rPr>
        <w:t xml:space="preserve">poluprácu pre vytváranie </w:t>
      </w:r>
      <w:r w:rsidR="00BD5FD5">
        <w:rPr>
          <w:rFonts w:asciiTheme="majorHAnsi" w:hAnsiTheme="majorHAnsi"/>
          <w:bCs/>
          <w:lang w:eastAsia="sk-SK"/>
        </w:rPr>
        <w:t>s</w:t>
      </w:r>
      <w:r w:rsidRPr="00A11FE0">
        <w:rPr>
          <w:rFonts w:asciiTheme="majorHAnsi" w:hAnsiTheme="majorHAnsi"/>
          <w:bCs/>
          <w:lang w:eastAsia="sk-SK"/>
        </w:rPr>
        <w:t xml:space="preserve">ietí,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k</w:t>
      </w:r>
      <w:r w:rsidRPr="00A11FE0">
        <w:rPr>
          <w:rFonts w:asciiTheme="majorHAnsi" w:hAnsiTheme="majorHAnsi"/>
          <w:bCs/>
          <w:lang w:eastAsia="sk-SK"/>
        </w:rPr>
        <w:t xml:space="preserve">toré budú zahŕňať nadnárodné </w:t>
      </w:r>
      <w:r w:rsidR="00BD5FD5">
        <w:rPr>
          <w:rFonts w:asciiTheme="majorHAnsi" w:hAnsiTheme="majorHAnsi"/>
          <w:bCs/>
          <w:lang w:eastAsia="sk-SK"/>
        </w:rPr>
        <w:t>s</w:t>
      </w:r>
      <w:r w:rsidRPr="00A11FE0">
        <w:rPr>
          <w:rFonts w:asciiTheme="majorHAnsi" w:hAnsiTheme="majorHAnsi"/>
          <w:bCs/>
          <w:lang w:eastAsia="sk-SK"/>
        </w:rPr>
        <w:t xml:space="preserve">poločnosti, MSP, univerzity, výskumné centrá </w:t>
      </w:r>
      <w:r w:rsidR="00BD5FD5">
        <w:rPr>
          <w:rFonts w:asciiTheme="majorHAnsi" w:hAnsiTheme="majorHAnsi"/>
          <w:bCs/>
          <w:lang w:eastAsia="sk-SK"/>
        </w:rPr>
        <w:t>a</w:t>
      </w:r>
      <w:r w:rsidRPr="00A11FE0">
        <w:rPr>
          <w:rFonts w:asciiTheme="majorHAnsi" w:hAnsiTheme="majorHAnsi"/>
          <w:bCs/>
          <w:lang w:eastAsia="sk-SK"/>
        </w:rPr>
        <w:t xml:space="preserve"> regionálne </w:t>
      </w:r>
      <w:r w:rsidR="00BD5FD5">
        <w:rPr>
          <w:rFonts w:asciiTheme="majorHAnsi" w:hAnsiTheme="majorHAnsi"/>
          <w:bCs/>
          <w:lang w:eastAsia="sk-SK"/>
        </w:rPr>
        <w:t>a</w:t>
      </w:r>
      <w:r w:rsidRPr="00A11FE0">
        <w:rPr>
          <w:rFonts w:asciiTheme="majorHAnsi" w:hAnsiTheme="majorHAnsi"/>
          <w:bCs/>
          <w:lang w:eastAsia="sk-SK"/>
        </w:rPr>
        <w:t xml:space="preserve"> miestne </w:t>
      </w:r>
      <w:r w:rsidR="00BD5FD5">
        <w:rPr>
          <w:rFonts w:asciiTheme="majorHAnsi" w:hAnsiTheme="majorHAnsi"/>
          <w:bCs/>
          <w:lang w:eastAsia="sk-SK"/>
        </w:rPr>
        <w:t>s</w:t>
      </w:r>
      <w:r w:rsidRPr="00A11FE0">
        <w:rPr>
          <w:rFonts w:asciiTheme="majorHAnsi" w:hAnsiTheme="majorHAnsi"/>
          <w:bCs/>
          <w:lang w:eastAsia="sk-SK"/>
        </w:rPr>
        <w:t xml:space="preserve">amosprávy. V rámci </w:t>
      </w:r>
      <w:r w:rsidR="00A90DCD">
        <w:rPr>
          <w:rFonts w:asciiTheme="majorHAnsi" w:hAnsiTheme="majorHAnsi"/>
          <w:bCs/>
          <w:lang w:eastAsia="sk-SK"/>
        </w:rPr>
        <w:t>VVaI</w:t>
      </w:r>
      <w:r w:rsidRPr="00A11FE0">
        <w:rPr>
          <w:rFonts w:asciiTheme="majorHAnsi" w:hAnsiTheme="majorHAnsi"/>
          <w:bCs/>
          <w:lang w:eastAsia="sk-SK"/>
        </w:rPr>
        <w:t xml:space="preserve"> má </w:t>
      </w:r>
      <w:r w:rsidR="00BD5FD5">
        <w:rPr>
          <w:rFonts w:asciiTheme="majorHAnsi" w:hAnsiTheme="majorHAnsi"/>
          <w:bCs/>
          <w:lang w:eastAsia="sk-SK"/>
        </w:rPr>
        <w:t>S</w:t>
      </w:r>
      <w:r w:rsidRPr="00A11FE0">
        <w:rPr>
          <w:rFonts w:asciiTheme="majorHAnsi" w:hAnsiTheme="majorHAnsi"/>
          <w:bCs/>
          <w:lang w:eastAsia="sk-SK"/>
        </w:rPr>
        <w:t xml:space="preserve">R záujem o medzinárodnú </w:t>
      </w:r>
      <w:r w:rsidR="00BD5FD5">
        <w:rPr>
          <w:rFonts w:asciiTheme="majorHAnsi" w:hAnsiTheme="majorHAnsi"/>
          <w:bCs/>
          <w:lang w:eastAsia="sk-SK"/>
        </w:rPr>
        <w:t>s</w:t>
      </w:r>
      <w:r w:rsidRPr="00A11FE0">
        <w:rPr>
          <w:rFonts w:asciiTheme="majorHAnsi" w:hAnsiTheme="majorHAnsi"/>
          <w:bCs/>
          <w:lang w:eastAsia="sk-SK"/>
        </w:rPr>
        <w:t xml:space="preserve">poluprácu v rámci Dunajskej </w:t>
      </w:r>
      <w:r w:rsidR="00BD5FD5">
        <w:rPr>
          <w:rFonts w:asciiTheme="majorHAnsi" w:hAnsiTheme="majorHAnsi"/>
          <w:bCs/>
          <w:lang w:eastAsia="sk-SK"/>
        </w:rPr>
        <w:t>s</w:t>
      </w:r>
      <w:r w:rsidRPr="00A11FE0">
        <w:rPr>
          <w:rFonts w:asciiTheme="majorHAnsi" w:hAnsiTheme="majorHAnsi"/>
          <w:bCs/>
          <w:lang w:eastAsia="sk-SK"/>
        </w:rPr>
        <w:t>tratégie pri budovaní štruktúr ESFRI</w:t>
      </w:r>
      <w:r w:rsidRPr="00A11FE0">
        <w:rPr>
          <w:rStyle w:val="Odkaznapoznmkupodiarou"/>
          <w:rFonts w:asciiTheme="majorHAnsi" w:hAnsiTheme="majorHAnsi"/>
          <w:bCs/>
          <w:lang w:eastAsia="sk-SK"/>
        </w:rPr>
        <w:footnoteReference w:id="339"/>
      </w:r>
      <w:r w:rsidRPr="00A11FE0">
        <w:rPr>
          <w:rFonts w:asciiTheme="majorHAnsi" w:hAnsiTheme="majorHAnsi"/>
          <w:bCs/>
          <w:lang w:eastAsia="sk-SK"/>
        </w:rPr>
        <w:t>. Z</w:t>
      </w:r>
      <w:r w:rsidRPr="00A11FE0">
        <w:rPr>
          <w:rFonts w:asciiTheme="majorHAnsi" w:hAnsiTheme="majorHAnsi"/>
        </w:rPr>
        <w:t xml:space="preserve">ámerom je tiež iniciovať rozšírenie </w:t>
      </w:r>
      <w:r w:rsidR="00BD5FD5">
        <w:rPr>
          <w:rFonts w:asciiTheme="majorHAnsi" w:hAnsiTheme="majorHAnsi"/>
        </w:rPr>
        <w:t>s</w:t>
      </w:r>
      <w:r w:rsidRPr="00A11FE0">
        <w:rPr>
          <w:rFonts w:asciiTheme="majorHAnsi" w:hAnsiTheme="majorHAnsi"/>
        </w:rPr>
        <w:t xml:space="preserve">polupráce regionálnych </w:t>
      </w:r>
      <w:r w:rsidR="00BD5FD5">
        <w:rPr>
          <w:rFonts w:asciiTheme="majorHAnsi" w:hAnsiTheme="majorHAnsi"/>
        </w:rPr>
        <w:t>s</w:t>
      </w:r>
      <w:r w:rsidRPr="00A11FE0">
        <w:rPr>
          <w:rFonts w:asciiTheme="majorHAnsi" w:hAnsiTheme="majorHAnsi"/>
        </w:rPr>
        <w:t xml:space="preserve">kupín </w:t>
      </w:r>
      <w:r w:rsidR="00BD5FD5">
        <w:rPr>
          <w:rFonts w:asciiTheme="majorHAnsi" w:hAnsiTheme="majorHAnsi"/>
        </w:rPr>
        <w:t>s</w:t>
      </w:r>
      <w:r w:rsidRPr="00A11FE0">
        <w:rPr>
          <w:rFonts w:asciiTheme="majorHAnsi" w:hAnsiTheme="majorHAnsi"/>
        </w:rPr>
        <w:t xml:space="preserve">trednej </w:t>
      </w:r>
      <w:r w:rsidR="00BD5FD5">
        <w:rPr>
          <w:rFonts w:asciiTheme="majorHAnsi" w:hAnsiTheme="majorHAnsi"/>
        </w:rPr>
        <w:t>a</w:t>
      </w:r>
      <w:r w:rsidRPr="00A11FE0">
        <w:rPr>
          <w:rFonts w:asciiTheme="majorHAnsi" w:hAnsiTheme="majorHAnsi"/>
        </w:rPr>
        <w:t xml:space="preserve"> východnej </w:t>
      </w:r>
      <w:r w:rsidR="00992762">
        <w:rPr>
          <w:rFonts w:asciiTheme="majorHAnsi" w:hAnsiTheme="majorHAnsi"/>
        </w:rPr>
        <w:t>E</w:t>
      </w:r>
      <w:r w:rsidR="006A7C8F">
        <w:rPr>
          <w:rFonts w:asciiTheme="majorHAnsi" w:hAnsiTheme="majorHAnsi"/>
        </w:rPr>
        <w:t>ur</w:t>
      </w:r>
      <w:r w:rsidRPr="00A11FE0">
        <w:rPr>
          <w:rFonts w:asciiTheme="majorHAnsi" w:hAnsiTheme="majorHAnsi"/>
        </w:rPr>
        <w:t xml:space="preserve">ópy </w:t>
      </w:r>
      <w:r w:rsidR="00BD5FD5">
        <w:rPr>
          <w:rFonts w:asciiTheme="majorHAnsi" w:hAnsiTheme="majorHAnsi"/>
        </w:rPr>
        <w:t>a</w:t>
      </w:r>
      <w:r w:rsidRPr="00A11FE0">
        <w:rPr>
          <w:rFonts w:asciiTheme="majorHAnsi" w:hAnsiTheme="majorHAnsi"/>
        </w:rPr>
        <w:t>j o</w:t>
      </w:r>
      <w:r w:rsidR="00030BFC">
        <w:rPr>
          <w:rFonts w:asciiTheme="majorHAnsi" w:hAnsiTheme="majorHAnsi"/>
        </w:rPr>
        <w:t> </w:t>
      </w:r>
      <w:r w:rsidR="00BD5FD5">
        <w:rPr>
          <w:rFonts w:asciiTheme="majorHAnsi" w:hAnsiTheme="majorHAnsi"/>
        </w:rPr>
        <w:t>k</w:t>
      </w:r>
      <w:r w:rsidRPr="00A11FE0">
        <w:rPr>
          <w:rFonts w:asciiTheme="majorHAnsi" w:hAnsiTheme="majorHAnsi"/>
        </w:rPr>
        <w:t>rajiny západného Balkánu, najmä v</w:t>
      </w:r>
      <w:r w:rsidR="00030BFC">
        <w:rPr>
          <w:rFonts w:asciiTheme="majorHAnsi" w:hAnsiTheme="majorHAnsi"/>
        </w:rPr>
        <w:t> </w:t>
      </w:r>
      <w:r w:rsidRPr="00A11FE0">
        <w:rPr>
          <w:rFonts w:asciiTheme="majorHAnsi" w:hAnsiTheme="majorHAnsi"/>
        </w:rPr>
        <w:t>oblasti</w:t>
      </w:r>
      <w:r w:rsidR="00A13E12">
        <w:rPr>
          <w:rFonts w:asciiTheme="majorHAnsi" w:hAnsiTheme="majorHAnsi"/>
        </w:rPr>
        <w:t xml:space="preserve"> </w:t>
      </w:r>
      <w:r w:rsidRPr="00A11FE0">
        <w:rPr>
          <w:rFonts w:asciiTheme="majorHAnsi" w:hAnsiTheme="majorHAnsi"/>
        </w:rPr>
        <w:t xml:space="preserve">energetiky </w:t>
      </w:r>
      <w:r w:rsidR="00D5000B">
        <w:rPr>
          <w:rFonts w:asciiTheme="majorHAnsi" w:hAnsiTheme="majorHAnsi"/>
        </w:rPr>
        <w:t>s</w:t>
      </w:r>
      <w:r w:rsidRPr="00A11FE0">
        <w:rPr>
          <w:rFonts w:asciiTheme="majorHAnsi" w:hAnsiTheme="majorHAnsi"/>
        </w:rPr>
        <w:t>o zameraním na bezpečnosť, vývoj v</w:t>
      </w:r>
      <w:r w:rsidR="00030BFC">
        <w:rPr>
          <w:rFonts w:asciiTheme="majorHAnsi" w:hAnsiTheme="majorHAnsi"/>
        </w:rPr>
        <w:t> </w:t>
      </w:r>
      <w:r w:rsidRPr="00A11FE0">
        <w:rPr>
          <w:rFonts w:asciiTheme="majorHAnsi" w:hAnsiTheme="majorHAnsi"/>
        </w:rPr>
        <w:t xml:space="preserve">oblasti zlepšovania účinnosti materiálov </w:t>
      </w:r>
      <w:r w:rsidR="00BD5FD5">
        <w:rPr>
          <w:rFonts w:asciiTheme="majorHAnsi" w:hAnsiTheme="majorHAnsi"/>
        </w:rPr>
        <w:t>a</w:t>
      </w:r>
      <w:r w:rsidRPr="00A11FE0">
        <w:rPr>
          <w:rFonts w:asciiTheme="majorHAnsi" w:hAnsiTheme="majorHAnsi"/>
        </w:rPr>
        <w:t> </w:t>
      </w:r>
      <w:r w:rsidR="00BD5FD5">
        <w:rPr>
          <w:rFonts w:asciiTheme="majorHAnsi" w:hAnsiTheme="majorHAnsi"/>
        </w:rPr>
        <w:t>s</w:t>
      </w:r>
      <w:r w:rsidRPr="00A11FE0">
        <w:rPr>
          <w:rFonts w:asciiTheme="majorHAnsi" w:hAnsiTheme="majorHAnsi"/>
        </w:rPr>
        <w:t xml:space="preserve">ystémov </w:t>
      </w:r>
      <w:r w:rsidR="00BD5FD5">
        <w:rPr>
          <w:rFonts w:asciiTheme="majorHAnsi" w:hAnsiTheme="majorHAnsi"/>
        </w:rPr>
        <w:t>s</w:t>
      </w:r>
      <w:r w:rsidRPr="00A11FE0">
        <w:rPr>
          <w:rFonts w:asciiTheme="majorHAnsi" w:hAnsiTheme="majorHAnsi"/>
        </w:rPr>
        <w:t xml:space="preserve">lúžiacich na prenosy energie </w:t>
      </w:r>
      <w:r w:rsidR="00BD5FD5">
        <w:rPr>
          <w:rFonts w:asciiTheme="majorHAnsi" w:hAnsiTheme="majorHAnsi"/>
        </w:rPr>
        <w:t>a</w:t>
      </w:r>
      <w:r w:rsidR="00030BFC">
        <w:rPr>
          <w:rFonts w:asciiTheme="majorHAnsi" w:hAnsiTheme="majorHAnsi"/>
        </w:rPr>
        <w:t> </w:t>
      </w:r>
      <w:r w:rsidRPr="00A11FE0">
        <w:rPr>
          <w:rFonts w:asciiTheme="majorHAnsi" w:hAnsiTheme="majorHAnsi"/>
        </w:rPr>
        <w:t xml:space="preserve">tvorby </w:t>
      </w:r>
      <w:r w:rsidR="00BD5FD5">
        <w:rPr>
          <w:rFonts w:asciiTheme="majorHAnsi" w:hAnsiTheme="majorHAnsi"/>
        </w:rPr>
        <w:t>s</w:t>
      </w:r>
      <w:r w:rsidRPr="00A11FE0">
        <w:rPr>
          <w:rFonts w:asciiTheme="majorHAnsi" w:hAnsiTheme="majorHAnsi"/>
        </w:rPr>
        <w:t xml:space="preserve">ietí pre účasť </w:t>
      </w:r>
      <w:r w:rsidR="00BD5FD5">
        <w:rPr>
          <w:rFonts w:asciiTheme="majorHAnsi" w:hAnsiTheme="majorHAnsi"/>
        </w:rPr>
        <w:t>S</w:t>
      </w:r>
      <w:r w:rsidRPr="00A11FE0">
        <w:rPr>
          <w:rFonts w:asciiTheme="majorHAnsi" w:hAnsiTheme="majorHAnsi"/>
        </w:rPr>
        <w:t>R v</w:t>
      </w:r>
      <w:r w:rsidR="00030BFC">
        <w:rPr>
          <w:rFonts w:asciiTheme="majorHAnsi" w:hAnsiTheme="majorHAnsi"/>
        </w:rPr>
        <w:t> </w:t>
      </w:r>
      <w:r w:rsidRPr="00A11FE0">
        <w:rPr>
          <w:rFonts w:asciiTheme="majorHAnsi" w:hAnsiTheme="majorHAnsi"/>
        </w:rPr>
        <w:t>globálnych projektoch v týchto oblastiach.</w:t>
      </w:r>
    </w:p>
    <w:p w:rsidR="00D97293" w:rsidRDefault="00D97293" w:rsidP="00D97293">
      <w:pPr>
        <w:spacing w:after="0"/>
        <w:rPr>
          <w:rFonts w:asciiTheme="majorHAnsi" w:hAnsiTheme="majorHAnsi"/>
          <w:bCs/>
          <w:lang w:eastAsia="sk-SK"/>
        </w:rPr>
      </w:pPr>
      <w:r w:rsidRPr="00A11FE0">
        <w:rPr>
          <w:rFonts w:asciiTheme="majorHAnsi" w:hAnsiTheme="majorHAnsi"/>
          <w:bCs/>
          <w:lang w:eastAsia="sk-SK"/>
        </w:rPr>
        <w:t xml:space="preserve">Rozvoj dopravnej infraštruktúry, vrátane rozvoja dunajskej vodnej cesty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zabezpečenie</w:t>
      </w:r>
      <w:r w:rsidR="00A90DCD">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plavnosti Dunaja považuje </w:t>
      </w:r>
      <w:r w:rsidR="00BD5FD5">
        <w:rPr>
          <w:rFonts w:asciiTheme="majorHAnsi" w:hAnsiTheme="majorHAnsi"/>
          <w:bCs/>
          <w:lang w:eastAsia="sk-SK"/>
        </w:rPr>
        <w:t>S</w:t>
      </w:r>
      <w:r w:rsidRPr="00A11FE0">
        <w:rPr>
          <w:rFonts w:asciiTheme="majorHAnsi" w:hAnsiTheme="majorHAnsi"/>
          <w:bCs/>
          <w:lang w:eastAsia="sk-SK"/>
        </w:rPr>
        <w:t>R za jednu z</w:t>
      </w:r>
      <w:r w:rsidR="00A90DCD">
        <w:rPr>
          <w:rFonts w:asciiTheme="majorHAnsi" w:hAnsiTheme="majorHAnsi"/>
          <w:bCs/>
          <w:lang w:eastAsia="sk-SK"/>
        </w:rPr>
        <w:t> </w:t>
      </w:r>
      <w:r w:rsidRPr="00A11FE0">
        <w:rPr>
          <w:rFonts w:asciiTheme="majorHAnsi" w:hAnsiTheme="majorHAnsi"/>
          <w:bCs/>
          <w:lang w:eastAsia="sk-SK"/>
        </w:rPr>
        <w:t>hlavných</w:t>
      </w:r>
      <w:r w:rsidR="00A90DCD">
        <w:rPr>
          <w:rFonts w:asciiTheme="majorHAnsi" w:hAnsiTheme="majorHAnsi"/>
          <w:bCs/>
          <w:lang w:eastAsia="sk-SK"/>
        </w:rPr>
        <w:t xml:space="preserve"> </w:t>
      </w:r>
      <w:r w:rsidRPr="00A11FE0">
        <w:rPr>
          <w:rFonts w:asciiTheme="majorHAnsi" w:hAnsiTheme="majorHAnsi"/>
          <w:bCs/>
          <w:lang w:eastAsia="sk-SK"/>
        </w:rPr>
        <w:t xml:space="preserve">priorít. V oblasti dopravy je potrebné využiť potenciál </w:t>
      </w:r>
      <w:r w:rsidR="00BD5FD5">
        <w:rPr>
          <w:rFonts w:asciiTheme="majorHAnsi" w:hAnsiTheme="majorHAnsi"/>
          <w:bCs/>
          <w:lang w:eastAsia="sk-SK"/>
        </w:rPr>
        <w:t>s</w:t>
      </w:r>
      <w:r w:rsidRPr="00A11FE0">
        <w:rPr>
          <w:rFonts w:asciiTheme="majorHAnsi" w:hAnsiTheme="majorHAnsi"/>
          <w:bCs/>
          <w:lang w:eastAsia="sk-SK"/>
        </w:rPr>
        <w:t xml:space="preserve">plavnosti Dunaja v pôvodnom toku, vrátane vybudovania TEN-T, </w:t>
      </w:r>
      <w:r w:rsidR="00BD5FD5">
        <w:rPr>
          <w:rFonts w:asciiTheme="majorHAnsi" w:hAnsiTheme="majorHAnsi"/>
          <w:bCs/>
          <w:lang w:eastAsia="sk-SK"/>
        </w:rPr>
        <w:t>k</w:t>
      </w:r>
      <w:r w:rsidRPr="00A11FE0">
        <w:rPr>
          <w:rFonts w:asciiTheme="majorHAnsi" w:hAnsiTheme="majorHAnsi"/>
          <w:bCs/>
          <w:lang w:eastAsia="sk-SK"/>
        </w:rPr>
        <w:t xml:space="preserve">toré by odbremenili prepravné cesty regiónu, najmä od </w:t>
      </w:r>
      <w:r w:rsidR="00BD5FD5">
        <w:rPr>
          <w:rFonts w:asciiTheme="majorHAnsi" w:hAnsiTheme="majorHAnsi"/>
          <w:bCs/>
          <w:lang w:eastAsia="sk-SK"/>
        </w:rPr>
        <w:t>k</w:t>
      </w:r>
      <w:r w:rsidRPr="00A11FE0">
        <w:rPr>
          <w:rFonts w:asciiTheme="majorHAnsi" w:hAnsiTheme="majorHAnsi"/>
          <w:bCs/>
          <w:lang w:eastAsia="sk-SK"/>
        </w:rPr>
        <w:t xml:space="preserve">amiónovej dopravy, čo by malo priaznivejšie dôsledky na životné prostredie </w:t>
      </w:r>
      <w:r w:rsidR="00BD5FD5">
        <w:rPr>
          <w:rFonts w:asciiTheme="majorHAnsi" w:hAnsiTheme="majorHAnsi"/>
          <w:bCs/>
          <w:lang w:eastAsia="sk-SK"/>
        </w:rPr>
        <w:t>a</w:t>
      </w:r>
      <w:r w:rsidRPr="00A11FE0">
        <w:rPr>
          <w:rFonts w:asciiTheme="majorHAnsi" w:hAnsiTheme="majorHAnsi"/>
          <w:bCs/>
          <w:lang w:eastAsia="sk-SK"/>
        </w:rPr>
        <w:t xml:space="preserve"> taktiež </w:t>
      </w:r>
      <w:r w:rsidR="00BD5FD5">
        <w:rPr>
          <w:rFonts w:asciiTheme="majorHAnsi" w:hAnsiTheme="majorHAnsi"/>
          <w:bCs/>
          <w:lang w:eastAsia="sk-SK"/>
        </w:rPr>
        <w:t>s</w:t>
      </w:r>
      <w:r w:rsidRPr="00A11FE0">
        <w:rPr>
          <w:rFonts w:asciiTheme="majorHAnsi" w:hAnsiTheme="majorHAnsi"/>
          <w:bCs/>
          <w:lang w:eastAsia="sk-SK"/>
        </w:rPr>
        <w:t xml:space="preserve">a tým umožní </w:t>
      </w:r>
      <w:r w:rsidR="00A413E4" w:rsidRPr="00A11FE0">
        <w:rPr>
          <w:rFonts w:asciiTheme="majorHAnsi" w:hAnsiTheme="majorHAnsi"/>
          <w:bCs/>
          <w:lang w:eastAsia="sk-SK"/>
        </w:rPr>
        <w:t>rýchl</w:t>
      </w:r>
      <w:r w:rsidR="00A413E4">
        <w:rPr>
          <w:rFonts w:asciiTheme="majorHAnsi" w:hAnsiTheme="majorHAnsi"/>
          <w:bCs/>
          <w:lang w:eastAsia="sk-SK"/>
        </w:rPr>
        <w:t>a</w:t>
      </w:r>
      <w:r w:rsidR="00A413E4" w:rsidRPr="00A11FE0">
        <w:rPr>
          <w:rFonts w:asciiTheme="majorHAnsi" w:hAnsiTheme="majorHAnsi"/>
          <w:bCs/>
          <w:lang w:eastAsia="sk-SK"/>
        </w:rPr>
        <w:t xml:space="preserve"> </w:t>
      </w:r>
      <w:r w:rsidR="00BD5FD5">
        <w:rPr>
          <w:rFonts w:asciiTheme="majorHAnsi" w:hAnsiTheme="majorHAnsi"/>
          <w:bCs/>
          <w:lang w:eastAsia="sk-SK"/>
        </w:rPr>
        <w:t>a</w:t>
      </w:r>
      <w:r w:rsidRPr="00A11FE0">
        <w:rPr>
          <w:rFonts w:asciiTheme="majorHAnsi" w:hAnsiTheme="majorHAnsi"/>
          <w:bCs/>
          <w:lang w:eastAsia="sk-SK"/>
        </w:rPr>
        <w:t xml:space="preserve"> cenovo efektívna preprava tovarov. </w:t>
      </w:r>
      <w:r w:rsidR="00BA185A" w:rsidRPr="00BA185A">
        <w:rPr>
          <w:rFonts w:asciiTheme="majorHAnsi" w:hAnsiTheme="majorHAnsi"/>
          <w:bCs/>
          <w:iCs/>
          <w:lang w:eastAsia="sk-SK"/>
        </w:rPr>
        <w:t>Rozvoj dopravnej infraštruktúry dobudovaním ciest II. a III. triedy je potrebné realizovať s priamym napojením na koridory siete TEN-T.</w:t>
      </w:r>
      <w:r w:rsidR="00044704" w:rsidRPr="00BA185A">
        <w:rPr>
          <w:rFonts w:asciiTheme="majorHAnsi" w:hAnsiTheme="majorHAnsi"/>
          <w:bCs/>
          <w:lang w:eastAsia="sk-SK"/>
        </w:rPr>
        <w:t xml:space="preserve"> V</w:t>
      </w:r>
      <w:r w:rsidR="00B66842" w:rsidRPr="00BA185A">
        <w:rPr>
          <w:rFonts w:asciiTheme="majorHAnsi" w:hAnsiTheme="majorHAnsi"/>
          <w:bCs/>
          <w:lang w:eastAsia="sk-SK"/>
        </w:rPr>
        <w:t> </w:t>
      </w:r>
      <w:r w:rsidR="00BD5FD5" w:rsidRPr="00BA185A">
        <w:rPr>
          <w:rFonts w:asciiTheme="majorHAnsi" w:hAnsiTheme="majorHAnsi"/>
          <w:bCs/>
          <w:lang w:eastAsia="sk-SK"/>
        </w:rPr>
        <w:t>k</w:t>
      </w:r>
      <w:r w:rsidR="00044704" w:rsidRPr="00BA185A">
        <w:rPr>
          <w:rFonts w:asciiTheme="majorHAnsi" w:hAnsiTheme="majorHAnsi"/>
          <w:bCs/>
          <w:lang w:eastAsia="sk-SK"/>
        </w:rPr>
        <w:t xml:space="preserve">ontexte EÚS </w:t>
      </w:r>
      <w:r w:rsidR="00BD5FD5" w:rsidRPr="00BA185A">
        <w:rPr>
          <w:rFonts w:asciiTheme="majorHAnsi" w:hAnsiTheme="majorHAnsi"/>
          <w:bCs/>
          <w:lang w:eastAsia="sk-SK"/>
        </w:rPr>
        <w:t>s</w:t>
      </w:r>
      <w:r w:rsidR="00044704" w:rsidRPr="00BA185A">
        <w:rPr>
          <w:rFonts w:asciiTheme="majorHAnsi" w:hAnsiTheme="majorHAnsi"/>
          <w:bCs/>
          <w:lang w:eastAsia="sk-SK"/>
        </w:rPr>
        <w:t xml:space="preserve">a predpokladá </w:t>
      </w:r>
      <w:r w:rsidR="00BD5FD5" w:rsidRPr="00BA185A">
        <w:rPr>
          <w:rFonts w:asciiTheme="majorHAnsi" w:hAnsiTheme="majorHAnsi"/>
          <w:bCs/>
          <w:lang w:eastAsia="sk-SK"/>
        </w:rPr>
        <w:t>a</w:t>
      </w:r>
      <w:r w:rsidR="00044704" w:rsidRPr="00BA185A">
        <w:rPr>
          <w:rFonts w:asciiTheme="majorHAnsi" w:hAnsiTheme="majorHAnsi"/>
          <w:bCs/>
          <w:lang w:eastAsia="sk-SK"/>
        </w:rPr>
        <w:t>j finan</w:t>
      </w:r>
      <w:r w:rsidR="00044704" w:rsidRPr="00044704">
        <w:rPr>
          <w:rFonts w:asciiTheme="majorHAnsi" w:hAnsiTheme="majorHAnsi"/>
          <w:bCs/>
          <w:lang w:eastAsia="sk-SK"/>
        </w:rPr>
        <w:t xml:space="preserve">covanie lokálnych ciest </w:t>
      </w:r>
      <w:r w:rsidR="00BD5FD5">
        <w:rPr>
          <w:rFonts w:asciiTheme="majorHAnsi" w:hAnsiTheme="majorHAnsi"/>
          <w:bCs/>
          <w:lang w:eastAsia="sk-SK"/>
        </w:rPr>
        <w:t>a</w:t>
      </w:r>
      <w:r w:rsidR="00B66842">
        <w:rPr>
          <w:rFonts w:asciiTheme="majorHAnsi" w:hAnsiTheme="majorHAnsi"/>
          <w:bCs/>
          <w:lang w:eastAsia="sk-SK"/>
        </w:rPr>
        <w:t> </w:t>
      </w:r>
      <w:r w:rsidR="00044704" w:rsidRPr="00044704">
        <w:rPr>
          <w:rFonts w:asciiTheme="majorHAnsi" w:hAnsiTheme="majorHAnsi"/>
          <w:bCs/>
          <w:lang w:eastAsia="sk-SK"/>
        </w:rPr>
        <w:t xml:space="preserve">mostov </w:t>
      </w:r>
      <w:r w:rsidR="00BD5FD5">
        <w:rPr>
          <w:rFonts w:asciiTheme="majorHAnsi" w:hAnsiTheme="majorHAnsi"/>
          <w:bCs/>
          <w:lang w:eastAsia="sk-SK"/>
        </w:rPr>
        <w:t>ak</w:t>
      </w:r>
      <w:r w:rsidR="00044704" w:rsidRPr="00044704">
        <w:rPr>
          <w:rFonts w:asciiTheme="majorHAnsi" w:hAnsiTheme="majorHAnsi"/>
          <w:bCs/>
          <w:lang w:eastAsia="sk-SK"/>
        </w:rPr>
        <w:t xml:space="preserve">o </w:t>
      </w:r>
      <w:r w:rsidR="00BD5FD5">
        <w:rPr>
          <w:rFonts w:asciiTheme="majorHAnsi" w:hAnsiTheme="majorHAnsi"/>
          <w:bCs/>
          <w:lang w:eastAsia="sk-SK"/>
        </w:rPr>
        <w:t>s</w:t>
      </w:r>
      <w:r w:rsidR="00044704" w:rsidRPr="00044704">
        <w:rPr>
          <w:rFonts w:asciiTheme="majorHAnsi" w:hAnsiTheme="majorHAnsi"/>
          <w:bCs/>
          <w:lang w:eastAsia="sk-SK"/>
        </w:rPr>
        <w:t>účasť operácií zameraných na zvýšenie pracovnej mobility v</w:t>
      </w:r>
      <w:r w:rsidR="00B66842">
        <w:rPr>
          <w:rFonts w:asciiTheme="majorHAnsi" w:hAnsiTheme="majorHAnsi"/>
          <w:bCs/>
          <w:lang w:eastAsia="sk-SK"/>
        </w:rPr>
        <w:t> </w:t>
      </w:r>
      <w:r w:rsidR="00044704" w:rsidRPr="00044704">
        <w:rPr>
          <w:rFonts w:asciiTheme="majorHAnsi" w:hAnsiTheme="majorHAnsi"/>
          <w:bCs/>
          <w:lang w:eastAsia="sk-SK"/>
        </w:rPr>
        <w:t xml:space="preserve">prihraničnom pásme. </w:t>
      </w:r>
      <w:r w:rsidRPr="00A11FE0">
        <w:rPr>
          <w:rFonts w:asciiTheme="majorHAnsi" w:hAnsiTheme="majorHAnsi"/>
          <w:bCs/>
          <w:lang w:eastAsia="sk-SK"/>
        </w:rPr>
        <w:t xml:space="preserve">Predpokladom je vybudovanie integrovanej dopravy prostredníctvom </w:t>
      </w:r>
      <w:r w:rsidR="00BD5FD5">
        <w:rPr>
          <w:rFonts w:asciiTheme="majorHAnsi" w:hAnsiTheme="majorHAnsi"/>
          <w:bCs/>
          <w:lang w:eastAsia="sk-SK"/>
        </w:rPr>
        <w:t>s</w:t>
      </w:r>
      <w:r w:rsidRPr="00A11FE0">
        <w:rPr>
          <w:rFonts w:asciiTheme="majorHAnsi" w:hAnsiTheme="majorHAnsi"/>
          <w:bCs/>
          <w:lang w:eastAsia="sk-SK"/>
        </w:rPr>
        <w:t xml:space="preserve">polupráce medzi </w:t>
      </w:r>
      <w:r w:rsidR="00BD5FD5">
        <w:rPr>
          <w:rFonts w:asciiTheme="majorHAnsi" w:hAnsiTheme="majorHAnsi"/>
          <w:bCs/>
          <w:lang w:eastAsia="sk-SK"/>
        </w:rPr>
        <w:t>S</w:t>
      </w:r>
      <w:r w:rsidRPr="00A11FE0">
        <w:rPr>
          <w:rFonts w:asciiTheme="majorHAnsi" w:hAnsiTheme="majorHAnsi"/>
          <w:bCs/>
          <w:lang w:eastAsia="sk-SK"/>
        </w:rPr>
        <w:t xml:space="preserve">R </w:t>
      </w:r>
      <w:r w:rsidR="00BD5FD5">
        <w:rPr>
          <w:rFonts w:asciiTheme="majorHAnsi" w:hAnsiTheme="majorHAnsi"/>
          <w:bCs/>
          <w:lang w:eastAsia="sk-SK"/>
        </w:rPr>
        <w:t>a</w:t>
      </w:r>
      <w:r w:rsidRPr="00A11FE0">
        <w:rPr>
          <w:rFonts w:asciiTheme="majorHAnsi" w:hAnsiTheme="majorHAnsi"/>
          <w:bCs/>
          <w:lang w:eastAsia="sk-SK"/>
        </w:rPr>
        <w:t xml:space="preserve"> PL, HU </w:t>
      </w:r>
      <w:r w:rsidR="00BD5FD5">
        <w:rPr>
          <w:rFonts w:asciiTheme="majorHAnsi" w:hAnsiTheme="majorHAnsi"/>
          <w:bCs/>
          <w:lang w:eastAsia="sk-SK"/>
        </w:rPr>
        <w:t>a</w:t>
      </w:r>
      <w:r w:rsidRPr="00A11FE0">
        <w:rPr>
          <w:rFonts w:asciiTheme="majorHAnsi" w:hAnsiTheme="majorHAnsi"/>
          <w:bCs/>
          <w:lang w:eastAsia="sk-SK"/>
        </w:rPr>
        <w:t> </w:t>
      </w:r>
      <w:r w:rsidR="00BD5FD5">
        <w:rPr>
          <w:rFonts w:asciiTheme="majorHAnsi" w:hAnsiTheme="majorHAnsi"/>
          <w:bCs/>
          <w:lang w:eastAsia="sk-SK"/>
        </w:rPr>
        <w:t>A</w:t>
      </w:r>
      <w:r w:rsidRPr="00A11FE0">
        <w:rPr>
          <w:rFonts w:asciiTheme="majorHAnsi" w:hAnsiTheme="majorHAnsi"/>
          <w:bCs/>
          <w:lang w:eastAsia="sk-SK"/>
        </w:rPr>
        <w:t xml:space="preserve">T. Prepojenosť medzi jednotlivými časťami regiónu umožní plnohodnotný rozvoj miest </w:t>
      </w:r>
      <w:r w:rsidR="00BD5FD5">
        <w:rPr>
          <w:rFonts w:asciiTheme="majorHAnsi" w:hAnsiTheme="majorHAnsi"/>
          <w:bCs/>
          <w:lang w:eastAsia="sk-SK"/>
        </w:rPr>
        <w:t>a</w:t>
      </w:r>
      <w:r w:rsidRPr="00A11FE0">
        <w:rPr>
          <w:rFonts w:asciiTheme="majorHAnsi" w:hAnsiTheme="majorHAnsi"/>
          <w:bCs/>
          <w:lang w:eastAsia="sk-SK"/>
        </w:rPr>
        <w:t xml:space="preserve"> obcí regiónu, zvýšenie ich </w:t>
      </w:r>
      <w:r w:rsidR="00BD5FD5">
        <w:rPr>
          <w:rFonts w:asciiTheme="majorHAnsi" w:hAnsiTheme="majorHAnsi"/>
          <w:bCs/>
          <w:lang w:eastAsia="sk-SK"/>
        </w:rPr>
        <w:t>k</w:t>
      </w:r>
      <w:r w:rsidRPr="00A11FE0">
        <w:rPr>
          <w:rFonts w:asciiTheme="majorHAnsi" w:hAnsiTheme="majorHAnsi"/>
          <w:bCs/>
          <w:lang w:eastAsia="sk-SK"/>
        </w:rPr>
        <w:t xml:space="preserve">onkurencieschopnosti </w:t>
      </w:r>
      <w:r w:rsidR="00BD5FD5">
        <w:rPr>
          <w:rFonts w:asciiTheme="majorHAnsi" w:hAnsiTheme="majorHAnsi"/>
          <w:bCs/>
          <w:lang w:eastAsia="sk-SK"/>
        </w:rPr>
        <w:t>a</w:t>
      </w:r>
      <w:r w:rsidRPr="00A11FE0">
        <w:rPr>
          <w:rFonts w:asciiTheme="majorHAnsi" w:hAnsiTheme="majorHAnsi"/>
          <w:bCs/>
          <w:lang w:eastAsia="sk-SK"/>
        </w:rPr>
        <w:t> </w:t>
      </w:r>
      <w:r w:rsidR="00BD5FD5">
        <w:rPr>
          <w:rFonts w:asciiTheme="majorHAnsi" w:hAnsiTheme="majorHAnsi"/>
          <w:bCs/>
          <w:lang w:eastAsia="sk-SK"/>
        </w:rPr>
        <w:t>s</w:t>
      </w:r>
      <w:r w:rsidRPr="00A11FE0">
        <w:rPr>
          <w:rFonts w:asciiTheme="majorHAnsi" w:hAnsiTheme="majorHAnsi"/>
          <w:bCs/>
          <w:lang w:eastAsia="sk-SK"/>
        </w:rPr>
        <w:t>údržnosti.</w:t>
      </w:r>
      <w:r w:rsidR="009E3F40">
        <w:rPr>
          <w:rFonts w:asciiTheme="majorHAnsi" w:hAnsiTheme="majorHAnsi"/>
          <w:bCs/>
          <w:lang w:eastAsia="sk-SK"/>
        </w:rPr>
        <w:t xml:space="preserve"> </w:t>
      </w:r>
      <w:r w:rsidRPr="00A11FE0">
        <w:rPr>
          <w:rFonts w:asciiTheme="majorHAnsi" w:hAnsiTheme="majorHAnsi"/>
          <w:bCs/>
          <w:lang w:eastAsia="sk-SK"/>
        </w:rPr>
        <w:t xml:space="preserve">Čiastočne </w:t>
      </w:r>
      <w:r w:rsidR="00BD5FD5">
        <w:rPr>
          <w:rFonts w:asciiTheme="majorHAnsi" w:hAnsiTheme="majorHAnsi"/>
          <w:bCs/>
          <w:lang w:eastAsia="sk-SK"/>
        </w:rPr>
        <w:t>s</w:t>
      </w:r>
      <w:r w:rsidRPr="00A11FE0">
        <w:rPr>
          <w:rFonts w:asciiTheme="majorHAnsi" w:hAnsiTheme="majorHAnsi"/>
          <w:bCs/>
          <w:lang w:eastAsia="sk-SK"/>
        </w:rPr>
        <w:t xml:space="preserve">a Dunajská </w:t>
      </w:r>
      <w:r w:rsidR="00BD5FD5">
        <w:rPr>
          <w:rFonts w:asciiTheme="majorHAnsi" w:hAnsiTheme="majorHAnsi"/>
          <w:bCs/>
          <w:lang w:eastAsia="sk-SK"/>
        </w:rPr>
        <w:t>s</w:t>
      </w:r>
      <w:r w:rsidRPr="00A11FE0">
        <w:rPr>
          <w:rFonts w:asciiTheme="majorHAnsi" w:hAnsiTheme="majorHAnsi"/>
          <w:bCs/>
          <w:lang w:eastAsia="sk-SK"/>
        </w:rPr>
        <w:t xml:space="preserve">tratégia bude realizovať </w:t>
      </w:r>
      <w:r w:rsidR="00BD5FD5">
        <w:rPr>
          <w:rFonts w:asciiTheme="majorHAnsi" w:hAnsiTheme="majorHAnsi"/>
          <w:bCs/>
          <w:lang w:eastAsia="sk-SK"/>
        </w:rPr>
        <w:t>a</w:t>
      </w:r>
      <w:r w:rsidRPr="00A11FE0">
        <w:rPr>
          <w:rFonts w:asciiTheme="majorHAnsi" w:hAnsiTheme="majorHAnsi"/>
          <w:bCs/>
          <w:lang w:eastAsia="sk-SK"/>
        </w:rPr>
        <w:t xml:space="preserve">j prostredníctvom </w:t>
      </w:r>
      <w:r w:rsidR="00BD5FD5">
        <w:rPr>
          <w:rFonts w:asciiTheme="majorHAnsi" w:hAnsiTheme="majorHAnsi"/>
          <w:bCs/>
          <w:lang w:eastAsia="sk-SK"/>
        </w:rPr>
        <w:t>s</w:t>
      </w:r>
      <w:r w:rsidRPr="00A11FE0">
        <w:rPr>
          <w:rFonts w:asciiTheme="majorHAnsi" w:hAnsiTheme="majorHAnsi"/>
          <w:bCs/>
          <w:lang w:eastAsia="sk-SK"/>
        </w:rPr>
        <w:t xml:space="preserve">poločných </w:t>
      </w:r>
      <w:r w:rsidR="00BD5FD5">
        <w:rPr>
          <w:rFonts w:asciiTheme="majorHAnsi" w:hAnsiTheme="majorHAnsi"/>
          <w:bCs/>
          <w:lang w:eastAsia="sk-SK"/>
        </w:rPr>
        <w:t>ak</w:t>
      </w:r>
      <w:r w:rsidRPr="00A11FE0">
        <w:rPr>
          <w:rFonts w:asciiTheme="majorHAnsi" w:hAnsiTheme="majorHAnsi"/>
          <w:bCs/>
          <w:lang w:eastAsia="sk-SK"/>
        </w:rPr>
        <w:t>tivít v</w:t>
      </w:r>
      <w:r w:rsidR="00A90DCD">
        <w:rPr>
          <w:rFonts w:asciiTheme="majorHAnsi" w:hAnsiTheme="majorHAnsi"/>
          <w:bCs/>
          <w:lang w:eastAsia="sk-SK"/>
        </w:rPr>
        <w:t> </w:t>
      </w:r>
      <w:r w:rsidRPr="00A11FE0">
        <w:rPr>
          <w:rFonts w:asciiTheme="majorHAnsi" w:hAnsiTheme="majorHAnsi"/>
          <w:bCs/>
          <w:lang w:eastAsia="sk-SK"/>
        </w:rPr>
        <w:t>rámci</w:t>
      </w:r>
      <w:r w:rsidR="00A90DCD">
        <w:rPr>
          <w:rFonts w:asciiTheme="majorHAnsi" w:hAnsiTheme="majorHAnsi"/>
          <w:bCs/>
          <w:lang w:eastAsia="sk-SK"/>
        </w:rPr>
        <w:t xml:space="preserve"> </w:t>
      </w:r>
      <w:r w:rsidR="00992762">
        <w:rPr>
          <w:rFonts w:asciiTheme="majorHAnsi" w:hAnsiTheme="majorHAnsi"/>
          <w:bCs/>
          <w:lang w:eastAsia="sk-SK"/>
        </w:rPr>
        <w:t>E</w:t>
      </w:r>
      <w:r w:rsidR="006A7C8F">
        <w:rPr>
          <w:rFonts w:asciiTheme="majorHAnsi" w:hAnsiTheme="majorHAnsi"/>
          <w:bCs/>
          <w:lang w:eastAsia="sk-SK"/>
        </w:rPr>
        <w:t>ur</w:t>
      </w:r>
      <w:r w:rsidRPr="00A11FE0">
        <w:rPr>
          <w:rFonts w:asciiTheme="majorHAnsi" w:hAnsiTheme="majorHAnsi"/>
          <w:bCs/>
          <w:lang w:eastAsia="sk-SK"/>
        </w:rPr>
        <w:t xml:space="preserve">ópskeho výskumného priestoru, </w:t>
      </w:r>
      <w:r w:rsidR="00BD5FD5">
        <w:rPr>
          <w:rFonts w:asciiTheme="majorHAnsi" w:hAnsiTheme="majorHAnsi"/>
          <w:bCs/>
          <w:lang w:eastAsia="sk-SK"/>
        </w:rPr>
        <w:t>a</w:t>
      </w:r>
      <w:r w:rsidRPr="00A11FE0">
        <w:rPr>
          <w:rFonts w:asciiTheme="majorHAnsi" w:hAnsiTheme="majorHAnsi"/>
          <w:bCs/>
          <w:lang w:eastAsia="sk-SK"/>
        </w:rPr>
        <w:t xml:space="preserve">lebo Horizont 2020, </w:t>
      </w:r>
      <w:r w:rsidR="00BD5FD5">
        <w:rPr>
          <w:rFonts w:asciiTheme="majorHAnsi" w:hAnsiTheme="majorHAnsi"/>
          <w:bCs/>
          <w:lang w:eastAsia="sk-SK"/>
        </w:rPr>
        <w:t>ak</w:t>
      </w:r>
      <w:r w:rsidRPr="00A11FE0">
        <w:rPr>
          <w:rFonts w:asciiTheme="majorHAnsi" w:hAnsiTheme="majorHAnsi"/>
          <w:bCs/>
          <w:lang w:eastAsia="sk-SK"/>
        </w:rPr>
        <w:t xml:space="preserve">o </w:t>
      </w:r>
      <w:r w:rsidR="00BD5FD5">
        <w:rPr>
          <w:rFonts w:asciiTheme="majorHAnsi" w:hAnsiTheme="majorHAnsi"/>
          <w:bCs/>
          <w:lang w:eastAsia="sk-SK"/>
        </w:rPr>
        <w:t>a</w:t>
      </w:r>
      <w:r w:rsidRPr="00A11FE0">
        <w:rPr>
          <w:rFonts w:asciiTheme="majorHAnsi" w:hAnsiTheme="majorHAnsi"/>
          <w:bCs/>
          <w:lang w:eastAsia="sk-SK"/>
        </w:rPr>
        <w:t xml:space="preserve">j realizáciou opatrení </w:t>
      </w:r>
      <w:r w:rsidR="00BD5FD5">
        <w:rPr>
          <w:rFonts w:asciiTheme="majorHAnsi" w:hAnsiTheme="majorHAnsi"/>
          <w:bCs/>
          <w:lang w:eastAsia="sk-SK"/>
        </w:rPr>
        <w:t>s</w:t>
      </w:r>
      <w:r w:rsidRPr="00A11FE0">
        <w:rPr>
          <w:rFonts w:asciiTheme="majorHAnsi" w:hAnsiTheme="majorHAnsi"/>
          <w:bCs/>
          <w:lang w:eastAsia="sk-SK"/>
        </w:rPr>
        <w:t xml:space="preserve">merujúcich </w:t>
      </w:r>
      <w:r w:rsidR="00BD5FD5">
        <w:rPr>
          <w:rFonts w:asciiTheme="majorHAnsi" w:hAnsiTheme="majorHAnsi"/>
          <w:bCs/>
          <w:lang w:eastAsia="sk-SK"/>
        </w:rPr>
        <w:t>k</w:t>
      </w:r>
      <w:r w:rsidRPr="00A11FE0">
        <w:rPr>
          <w:rFonts w:asciiTheme="majorHAnsi" w:hAnsiTheme="majorHAnsi"/>
          <w:bCs/>
          <w:lang w:eastAsia="sk-SK"/>
        </w:rPr>
        <w:t xml:space="preserve"> podpore </w:t>
      </w:r>
      <w:r w:rsidR="00BD5FD5">
        <w:rPr>
          <w:rFonts w:asciiTheme="majorHAnsi" w:hAnsiTheme="majorHAnsi"/>
          <w:bCs/>
          <w:lang w:eastAsia="sk-SK"/>
        </w:rPr>
        <w:t>k</w:t>
      </w:r>
      <w:r w:rsidRPr="00A11FE0">
        <w:rPr>
          <w:rFonts w:asciiTheme="majorHAnsi" w:hAnsiTheme="majorHAnsi"/>
          <w:bCs/>
          <w:lang w:eastAsia="sk-SK"/>
        </w:rPr>
        <w:t xml:space="preserve">onkurencieschopnosti podnikov, vrátane rozvoja </w:t>
      </w:r>
      <w:r w:rsidR="00BD5FD5">
        <w:rPr>
          <w:rFonts w:asciiTheme="majorHAnsi" w:hAnsiTheme="majorHAnsi"/>
          <w:bCs/>
          <w:lang w:eastAsia="sk-SK"/>
        </w:rPr>
        <w:t>k</w:t>
      </w:r>
      <w:r w:rsidRPr="00A11FE0">
        <w:rPr>
          <w:rFonts w:asciiTheme="majorHAnsi" w:hAnsiTheme="majorHAnsi"/>
          <w:bCs/>
          <w:lang w:eastAsia="sk-SK"/>
        </w:rPr>
        <w:t xml:space="preserve">lastrov prostredníctvom vytvárania cezhraničných </w:t>
      </w:r>
      <w:r w:rsidR="00BD5FD5">
        <w:rPr>
          <w:rFonts w:asciiTheme="majorHAnsi" w:hAnsiTheme="majorHAnsi"/>
          <w:bCs/>
          <w:lang w:eastAsia="sk-SK"/>
        </w:rPr>
        <w:t>s</w:t>
      </w:r>
      <w:r w:rsidRPr="00A11FE0">
        <w:rPr>
          <w:rFonts w:asciiTheme="majorHAnsi" w:hAnsiTheme="majorHAnsi"/>
          <w:bCs/>
          <w:lang w:eastAsia="sk-SK"/>
        </w:rPr>
        <w:t xml:space="preserve">ietí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s</w:t>
      </w:r>
      <w:r w:rsidRPr="00A11FE0">
        <w:rPr>
          <w:rFonts w:asciiTheme="majorHAnsi" w:hAnsiTheme="majorHAnsi"/>
          <w:bCs/>
          <w:lang w:eastAsia="sk-SK"/>
        </w:rPr>
        <w:t xml:space="preserve">poločných </w:t>
      </w:r>
      <w:r w:rsidR="00BD5FD5">
        <w:rPr>
          <w:rFonts w:asciiTheme="majorHAnsi" w:hAnsiTheme="majorHAnsi"/>
          <w:bCs/>
          <w:lang w:eastAsia="sk-SK"/>
        </w:rPr>
        <w:t>ak</w:t>
      </w:r>
      <w:r w:rsidRPr="00A11FE0">
        <w:rPr>
          <w:rFonts w:asciiTheme="majorHAnsi" w:hAnsiTheme="majorHAnsi"/>
          <w:bCs/>
          <w:lang w:eastAsia="sk-SK"/>
        </w:rPr>
        <w:t>tivít v</w:t>
      </w:r>
      <w:r w:rsidR="00030BFC">
        <w:rPr>
          <w:rFonts w:asciiTheme="majorHAnsi" w:hAnsiTheme="majorHAnsi"/>
          <w:bCs/>
          <w:lang w:eastAsia="sk-SK"/>
        </w:rPr>
        <w:t> </w:t>
      </w:r>
      <w:r w:rsidRPr="00A11FE0">
        <w:rPr>
          <w:rFonts w:asciiTheme="majorHAnsi" w:hAnsiTheme="majorHAnsi"/>
          <w:bCs/>
          <w:lang w:eastAsia="sk-SK"/>
        </w:rPr>
        <w:t xml:space="preserve">rámci dunajského regiónu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podporou</w:t>
      </w:r>
      <w:r w:rsidR="00A90DCD">
        <w:rPr>
          <w:rFonts w:asciiTheme="majorHAnsi" w:hAnsiTheme="majorHAnsi"/>
          <w:bCs/>
          <w:lang w:eastAsia="sk-SK"/>
        </w:rPr>
        <w:t xml:space="preserve"> </w:t>
      </w:r>
      <w:r w:rsidRPr="00A11FE0">
        <w:rPr>
          <w:rFonts w:asciiTheme="majorHAnsi" w:hAnsiTheme="majorHAnsi"/>
          <w:bCs/>
          <w:lang w:eastAsia="sk-SK"/>
        </w:rPr>
        <w:t xml:space="preserve">prepojení medzi inštitúciami, </w:t>
      </w:r>
      <w:r w:rsidR="00BD5FD5">
        <w:rPr>
          <w:rFonts w:asciiTheme="majorHAnsi" w:hAnsiTheme="majorHAnsi"/>
          <w:bCs/>
          <w:lang w:eastAsia="sk-SK"/>
        </w:rPr>
        <w:t>k</w:t>
      </w:r>
      <w:r w:rsidRPr="00A11FE0">
        <w:rPr>
          <w:rFonts w:asciiTheme="majorHAnsi" w:hAnsiTheme="majorHAnsi"/>
          <w:bCs/>
          <w:lang w:eastAsia="sk-SK"/>
        </w:rPr>
        <w:t xml:space="preserve">toré </w:t>
      </w:r>
      <w:r w:rsidR="00BD5FD5">
        <w:rPr>
          <w:rFonts w:asciiTheme="majorHAnsi" w:hAnsiTheme="majorHAnsi"/>
          <w:bCs/>
          <w:lang w:eastAsia="sk-SK"/>
        </w:rPr>
        <w:t>s</w:t>
      </w:r>
      <w:r w:rsidRPr="00A11FE0">
        <w:rPr>
          <w:rFonts w:asciiTheme="majorHAnsi" w:hAnsiTheme="majorHAnsi"/>
          <w:bCs/>
          <w:lang w:eastAsia="sk-SK"/>
        </w:rPr>
        <w:t xml:space="preserve">a zaoberajú inováciami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 xml:space="preserve">tými, </w:t>
      </w:r>
      <w:r w:rsidR="00BD5FD5">
        <w:rPr>
          <w:rFonts w:asciiTheme="majorHAnsi" w:hAnsiTheme="majorHAnsi"/>
          <w:bCs/>
          <w:lang w:eastAsia="sk-SK"/>
        </w:rPr>
        <w:t>k</w:t>
      </w:r>
      <w:r w:rsidRPr="00A11FE0">
        <w:rPr>
          <w:rFonts w:asciiTheme="majorHAnsi" w:hAnsiTheme="majorHAnsi"/>
          <w:bCs/>
          <w:lang w:eastAsia="sk-SK"/>
        </w:rPr>
        <w:t>toré podporujú podnikanie.</w:t>
      </w:r>
    </w:p>
    <w:p w:rsidR="00F56EF3" w:rsidRPr="00A11FE0" w:rsidRDefault="00F56EF3" w:rsidP="00D97293">
      <w:pPr>
        <w:spacing w:after="0"/>
        <w:rPr>
          <w:rFonts w:asciiTheme="majorHAnsi" w:hAnsiTheme="majorHAnsi"/>
          <w:bCs/>
          <w:lang w:eastAsia="sk-SK"/>
        </w:rPr>
      </w:pPr>
      <w:r w:rsidRPr="00CB01B8">
        <w:rPr>
          <w:rFonts w:asciiTheme="majorHAnsi" w:hAnsiTheme="majorHAnsi"/>
          <w:bCs/>
          <w:lang w:eastAsia="sk-SK"/>
        </w:rPr>
        <w:t>Výstavba ciest v rámci investícií do dopravnej infraštruktúry prostredníctvom programov cezhraničnej spolupráce bude prispievať k dosahovaniu špecifických cieľov daných investičných priorít. Tieto investície do výstavby ciest budú komplementárne dopĺňať ostatné súvisiace investície financované z cezhraničných programov alebo iné programy v rámci cieľa 1 Investovanie do rastu a zamestnanosti. V rámci výstavby ciest bude posúdený cezhraničný charakter, pričom doplnkové investície do ciest v rámci príslušnej investičnej priority nebudú vo finančnom vyjadrení prevažovať iné projekty financované v rámci danej investičnej priority. Zároveň bude pri každej investícií do dopravnej infraštruktúry zabezpečený cezhraničný dopad</w:t>
      </w:r>
      <w:r>
        <w:rPr>
          <w:rStyle w:val="Odkaznapoznmkupodiarou"/>
          <w:rFonts w:ascii="Cambria" w:eastAsia="Times New Roman" w:hAnsi="Cambria"/>
          <w:bCs/>
          <w:lang w:eastAsia="sk-SK"/>
        </w:rPr>
        <w:footnoteReference w:id="340"/>
      </w:r>
      <w:r>
        <w:rPr>
          <w:rFonts w:ascii="Cambria" w:eastAsia="Times New Roman" w:hAnsi="Cambria"/>
          <w:bCs/>
          <w:lang w:eastAsia="sk-SK"/>
        </w:rPr>
        <w:t>.</w:t>
      </w:r>
    </w:p>
    <w:p w:rsidR="00D97293" w:rsidRPr="00A11FE0" w:rsidRDefault="00D97293" w:rsidP="00D97293">
      <w:pPr>
        <w:spacing w:after="0"/>
        <w:rPr>
          <w:rFonts w:asciiTheme="majorHAnsi" w:hAnsiTheme="majorHAnsi"/>
          <w:bCs/>
          <w:lang w:eastAsia="sk-SK"/>
        </w:rPr>
      </w:pPr>
      <w:r w:rsidRPr="00A11FE0">
        <w:rPr>
          <w:rFonts w:asciiTheme="majorHAnsi" w:hAnsiTheme="majorHAnsi"/>
          <w:bCs/>
          <w:lang w:eastAsia="sk-SK"/>
        </w:rPr>
        <w:t>Z</w:t>
      </w:r>
      <w:r w:rsidR="00030BFC">
        <w:rPr>
          <w:rFonts w:asciiTheme="majorHAnsi" w:hAnsiTheme="majorHAnsi"/>
          <w:bCs/>
          <w:lang w:eastAsia="sk-SK"/>
        </w:rPr>
        <w:t> </w:t>
      </w:r>
      <w:r w:rsidRPr="00A11FE0">
        <w:rPr>
          <w:rFonts w:asciiTheme="majorHAnsi" w:hAnsiTheme="majorHAnsi"/>
          <w:bCs/>
          <w:lang w:eastAsia="sk-SK"/>
        </w:rPr>
        <w:t xml:space="preserve">hľadiska energetickej bezpečnosti </w:t>
      </w:r>
      <w:r w:rsidR="00BD5FD5">
        <w:rPr>
          <w:rFonts w:asciiTheme="majorHAnsi" w:hAnsiTheme="majorHAnsi"/>
          <w:bCs/>
          <w:lang w:eastAsia="sk-SK"/>
        </w:rPr>
        <w:t>S</w:t>
      </w:r>
      <w:r w:rsidRPr="00A11FE0">
        <w:rPr>
          <w:rFonts w:asciiTheme="majorHAnsi" w:hAnsiTheme="majorHAnsi"/>
          <w:bCs/>
          <w:lang w:eastAsia="sk-SK"/>
        </w:rPr>
        <w:t xml:space="preserve">R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z</w:t>
      </w:r>
      <w:r w:rsidR="00030BFC">
        <w:rPr>
          <w:rFonts w:asciiTheme="majorHAnsi" w:hAnsiTheme="majorHAnsi"/>
          <w:bCs/>
          <w:lang w:eastAsia="sk-SK"/>
        </w:rPr>
        <w:t> </w:t>
      </w:r>
      <w:r w:rsidRPr="00A11FE0">
        <w:rPr>
          <w:rFonts w:asciiTheme="majorHAnsi" w:hAnsiTheme="majorHAnsi"/>
          <w:bCs/>
          <w:lang w:eastAsia="sk-SK"/>
        </w:rPr>
        <w:t xml:space="preserve">pohľadu udržateľného rozvoja dunajského regiónu je budovanie energetickej infraštruktúry nevyhnutné. Energetickú bezpečnosť je možné zvýšiť využívaním geotermálnej energie pri </w:t>
      </w:r>
      <w:r w:rsidR="00BD5FD5">
        <w:rPr>
          <w:rFonts w:asciiTheme="majorHAnsi" w:hAnsiTheme="majorHAnsi"/>
          <w:bCs/>
          <w:lang w:eastAsia="sk-SK"/>
        </w:rPr>
        <w:t>s</w:t>
      </w:r>
      <w:r w:rsidRPr="00A11FE0">
        <w:rPr>
          <w:rFonts w:asciiTheme="majorHAnsi" w:hAnsiTheme="majorHAnsi"/>
          <w:bCs/>
          <w:lang w:eastAsia="sk-SK"/>
        </w:rPr>
        <w:t xml:space="preserve">účasnom rešpektovaní ochrany životného prostredia. Výraznejšie využívanie energie Dunaja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jeho</w:t>
      </w:r>
      <w:r w:rsidR="00A13E12">
        <w:rPr>
          <w:rFonts w:asciiTheme="majorHAnsi" w:hAnsiTheme="majorHAnsi"/>
          <w:bCs/>
          <w:lang w:eastAsia="sk-SK"/>
        </w:rPr>
        <w:t xml:space="preserve"> </w:t>
      </w:r>
      <w:r w:rsidRPr="00A11FE0">
        <w:rPr>
          <w:rFonts w:asciiTheme="majorHAnsi" w:hAnsiTheme="majorHAnsi"/>
          <w:bCs/>
          <w:lang w:eastAsia="sk-SK"/>
        </w:rPr>
        <w:t xml:space="preserve">prítokov, </w:t>
      </w:r>
      <w:r w:rsidR="00BD5FD5">
        <w:rPr>
          <w:rFonts w:asciiTheme="majorHAnsi" w:hAnsiTheme="majorHAnsi"/>
          <w:bCs/>
          <w:lang w:eastAsia="sk-SK"/>
        </w:rPr>
        <w:t>ak</w:t>
      </w:r>
      <w:r w:rsidRPr="00A11FE0">
        <w:rPr>
          <w:rFonts w:asciiTheme="majorHAnsi" w:hAnsiTheme="majorHAnsi"/>
          <w:bCs/>
          <w:lang w:eastAsia="sk-SK"/>
        </w:rPr>
        <w:t xml:space="preserve">o </w:t>
      </w:r>
      <w:r w:rsidR="00B951F4">
        <w:rPr>
          <w:rFonts w:asciiTheme="majorHAnsi" w:hAnsiTheme="majorHAnsi"/>
          <w:bCs/>
          <w:lang w:eastAsia="sk-SK"/>
        </w:rPr>
        <w:t>OZE</w:t>
      </w:r>
      <w:r w:rsidRPr="00A11FE0">
        <w:rPr>
          <w:rFonts w:asciiTheme="majorHAnsi" w:hAnsiTheme="majorHAnsi"/>
          <w:bCs/>
          <w:lang w:eastAsia="sk-SK"/>
        </w:rPr>
        <w:t xml:space="preserve"> pri </w:t>
      </w:r>
      <w:r w:rsidR="00BD5FD5">
        <w:rPr>
          <w:rFonts w:asciiTheme="majorHAnsi" w:hAnsiTheme="majorHAnsi"/>
          <w:bCs/>
          <w:lang w:eastAsia="sk-SK"/>
        </w:rPr>
        <w:t>s</w:t>
      </w:r>
      <w:r w:rsidRPr="00A11FE0">
        <w:rPr>
          <w:rFonts w:asciiTheme="majorHAnsi" w:hAnsiTheme="majorHAnsi"/>
          <w:bCs/>
          <w:lang w:eastAsia="sk-SK"/>
        </w:rPr>
        <w:t xml:space="preserve">účasnej diverzifikácii energetických zdrojov, prispeje </w:t>
      </w:r>
      <w:r w:rsidR="00BD5FD5">
        <w:rPr>
          <w:rFonts w:asciiTheme="majorHAnsi" w:hAnsiTheme="majorHAnsi"/>
          <w:bCs/>
          <w:lang w:eastAsia="sk-SK"/>
        </w:rPr>
        <w:t>a</w:t>
      </w:r>
      <w:r w:rsidRPr="00A11FE0">
        <w:rPr>
          <w:rFonts w:asciiTheme="majorHAnsi" w:hAnsiTheme="majorHAnsi"/>
          <w:bCs/>
          <w:lang w:eastAsia="sk-SK"/>
        </w:rPr>
        <w:t xml:space="preserve">j </w:t>
      </w:r>
      <w:r w:rsidR="00BD5FD5">
        <w:rPr>
          <w:rFonts w:asciiTheme="majorHAnsi" w:hAnsiTheme="majorHAnsi"/>
          <w:bCs/>
          <w:lang w:eastAsia="sk-SK"/>
        </w:rPr>
        <w:t>k</w:t>
      </w:r>
      <w:r w:rsidR="00030BFC">
        <w:rPr>
          <w:rFonts w:asciiTheme="majorHAnsi" w:hAnsiTheme="majorHAnsi"/>
          <w:bCs/>
          <w:lang w:eastAsia="sk-SK"/>
        </w:rPr>
        <w:t> </w:t>
      </w:r>
      <w:r w:rsidRPr="00A11FE0">
        <w:rPr>
          <w:rFonts w:asciiTheme="majorHAnsi" w:hAnsiTheme="majorHAnsi"/>
          <w:bCs/>
          <w:lang w:eastAsia="sk-SK"/>
        </w:rPr>
        <w:t>plneniu záväzkov v</w:t>
      </w:r>
      <w:r w:rsidR="00030BFC">
        <w:rPr>
          <w:rFonts w:asciiTheme="majorHAnsi" w:hAnsiTheme="majorHAnsi"/>
          <w:bCs/>
          <w:lang w:eastAsia="sk-SK"/>
        </w:rPr>
        <w:t> </w:t>
      </w:r>
      <w:r w:rsidRPr="00A11FE0">
        <w:rPr>
          <w:rFonts w:asciiTheme="majorHAnsi" w:hAnsiTheme="majorHAnsi"/>
          <w:bCs/>
          <w:lang w:eastAsia="sk-SK"/>
        </w:rPr>
        <w:t xml:space="preserve">oblasti znižovania emisií </w:t>
      </w:r>
      <w:r w:rsidR="00BD5FD5">
        <w:rPr>
          <w:rFonts w:asciiTheme="majorHAnsi" w:hAnsiTheme="majorHAnsi"/>
          <w:bCs/>
          <w:lang w:eastAsia="sk-SK"/>
        </w:rPr>
        <w:t>s</w:t>
      </w:r>
      <w:r w:rsidRPr="00A11FE0">
        <w:rPr>
          <w:rFonts w:asciiTheme="majorHAnsi" w:hAnsiTheme="majorHAnsi"/>
          <w:bCs/>
          <w:lang w:eastAsia="sk-SK"/>
        </w:rPr>
        <w:t xml:space="preserve">kleníkových plynov. </w:t>
      </w:r>
      <w:r w:rsidRPr="00A11FE0">
        <w:rPr>
          <w:rFonts w:asciiTheme="majorHAnsi" w:hAnsiTheme="majorHAnsi"/>
          <w:bCs/>
          <w:lang w:eastAsia="sk-SK"/>
        </w:rPr>
        <w:lastRenderedPageBreak/>
        <w:t xml:space="preserve">Pre posilnenie energetickej bezpečnosti dunajského regiónu je nevyhnutné zabezpečiť </w:t>
      </w:r>
      <w:r w:rsidR="00BD5FD5">
        <w:rPr>
          <w:rFonts w:asciiTheme="majorHAnsi" w:hAnsiTheme="majorHAnsi"/>
          <w:bCs/>
          <w:lang w:eastAsia="sk-SK"/>
        </w:rPr>
        <w:t>k</w:t>
      </w:r>
      <w:r w:rsidRPr="00A11FE0">
        <w:rPr>
          <w:rFonts w:asciiTheme="majorHAnsi" w:hAnsiTheme="majorHAnsi"/>
          <w:bCs/>
          <w:lang w:eastAsia="sk-SK"/>
        </w:rPr>
        <w:t xml:space="preserve">ompatibilitu </w:t>
      </w:r>
      <w:r w:rsidR="00BD5FD5">
        <w:rPr>
          <w:rFonts w:asciiTheme="majorHAnsi" w:hAnsiTheme="majorHAnsi"/>
          <w:bCs/>
          <w:lang w:eastAsia="sk-SK"/>
        </w:rPr>
        <w:t>a</w:t>
      </w:r>
      <w:r w:rsidRPr="00A11FE0">
        <w:rPr>
          <w:rFonts w:asciiTheme="majorHAnsi" w:hAnsiTheme="majorHAnsi"/>
          <w:bCs/>
          <w:lang w:eastAsia="sk-SK"/>
        </w:rPr>
        <w:t xml:space="preserve"> prepojenosť národných energetických </w:t>
      </w:r>
      <w:r w:rsidR="00BD5FD5">
        <w:rPr>
          <w:rFonts w:asciiTheme="majorHAnsi" w:hAnsiTheme="majorHAnsi"/>
          <w:bCs/>
          <w:lang w:eastAsia="sk-SK"/>
        </w:rPr>
        <w:t>s</w:t>
      </w:r>
      <w:r w:rsidRPr="00A11FE0">
        <w:rPr>
          <w:rFonts w:asciiTheme="majorHAnsi" w:hAnsiTheme="majorHAnsi"/>
          <w:bCs/>
          <w:lang w:eastAsia="sk-SK"/>
        </w:rPr>
        <w:t xml:space="preserve">ietí. Z tohto dôvodu vynaloží </w:t>
      </w:r>
      <w:r w:rsidR="00BD5FD5">
        <w:rPr>
          <w:rFonts w:asciiTheme="majorHAnsi" w:hAnsiTheme="majorHAnsi"/>
          <w:bCs/>
          <w:lang w:eastAsia="sk-SK"/>
        </w:rPr>
        <w:t>S</w:t>
      </w:r>
      <w:r w:rsidRPr="00A11FE0">
        <w:rPr>
          <w:rFonts w:asciiTheme="majorHAnsi" w:hAnsiTheme="majorHAnsi"/>
          <w:bCs/>
          <w:lang w:eastAsia="sk-SK"/>
        </w:rPr>
        <w:t xml:space="preserve">R úsilie na hľadanie nových možností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 xml:space="preserve">riešení pre zlepšenie </w:t>
      </w:r>
      <w:r w:rsidR="00BD5FD5">
        <w:rPr>
          <w:rFonts w:asciiTheme="majorHAnsi" w:hAnsiTheme="majorHAnsi"/>
          <w:bCs/>
          <w:lang w:eastAsia="sk-SK"/>
        </w:rPr>
        <w:t>k</w:t>
      </w:r>
      <w:r w:rsidRPr="00A11FE0">
        <w:rPr>
          <w:rFonts w:asciiTheme="majorHAnsi" w:hAnsiTheme="majorHAnsi"/>
          <w:bCs/>
          <w:lang w:eastAsia="sk-SK"/>
        </w:rPr>
        <w:t xml:space="preserve">oordinácie </w:t>
      </w:r>
      <w:r w:rsidR="00BD5FD5">
        <w:rPr>
          <w:rFonts w:asciiTheme="majorHAnsi" w:hAnsiTheme="majorHAnsi"/>
          <w:bCs/>
          <w:lang w:eastAsia="sk-SK"/>
        </w:rPr>
        <w:t>a</w:t>
      </w:r>
      <w:r w:rsidR="00030BFC">
        <w:rPr>
          <w:rFonts w:asciiTheme="majorHAnsi" w:hAnsiTheme="majorHAnsi"/>
          <w:bCs/>
          <w:lang w:eastAsia="sk-SK"/>
        </w:rPr>
        <w:t> </w:t>
      </w:r>
      <w:r w:rsidR="00BD5FD5">
        <w:rPr>
          <w:rFonts w:asciiTheme="majorHAnsi" w:hAnsiTheme="majorHAnsi"/>
          <w:bCs/>
          <w:lang w:eastAsia="sk-SK"/>
        </w:rPr>
        <w:t>k</w:t>
      </w:r>
      <w:r w:rsidRPr="00A11FE0">
        <w:rPr>
          <w:rFonts w:asciiTheme="majorHAnsi" w:hAnsiTheme="majorHAnsi"/>
          <w:bCs/>
          <w:lang w:eastAsia="sk-SK"/>
        </w:rPr>
        <w:t xml:space="preserve">ooperácie </w:t>
      </w:r>
      <w:r w:rsidR="00BD5FD5">
        <w:rPr>
          <w:rFonts w:asciiTheme="majorHAnsi" w:hAnsiTheme="majorHAnsi"/>
          <w:bCs/>
          <w:lang w:eastAsia="sk-SK"/>
        </w:rPr>
        <w:t>ak</w:t>
      </w:r>
      <w:r w:rsidRPr="00A11FE0">
        <w:rPr>
          <w:rFonts w:asciiTheme="majorHAnsi" w:hAnsiTheme="majorHAnsi"/>
          <w:bCs/>
          <w:lang w:eastAsia="sk-SK"/>
        </w:rPr>
        <w:t xml:space="preserve">tivít </w:t>
      </w:r>
      <w:r w:rsidR="00BD5FD5">
        <w:rPr>
          <w:rFonts w:asciiTheme="majorHAnsi" w:hAnsiTheme="majorHAnsi"/>
          <w:bCs/>
          <w:lang w:eastAsia="sk-SK"/>
        </w:rPr>
        <w:t>s</w:t>
      </w:r>
      <w:r w:rsidR="00030BFC">
        <w:rPr>
          <w:rFonts w:asciiTheme="majorHAnsi" w:hAnsiTheme="majorHAnsi"/>
          <w:bCs/>
          <w:lang w:eastAsia="sk-SK"/>
        </w:rPr>
        <w:t> </w:t>
      </w:r>
      <w:r w:rsidRPr="00A11FE0">
        <w:rPr>
          <w:rFonts w:asciiTheme="majorHAnsi" w:hAnsiTheme="majorHAnsi"/>
          <w:bCs/>
          <w:lang w:eastAsia="sk-SK"/>
        </w:rPr>
        <w:t xml:space="preserve">cieľom zintenzívnenia </w:t>
      </w:r>
      <w:r w:rsidR="00BD5FD5">
        <w:rPr>
          <w:rFonts w:asciiTheme="majorHAnsi" w:hAnsiTheme="majorHAnsi"/>
          <w:bCs/>
          <w:lang w:eastAsia="sk-SK"/>
        </w:rPr>
        <w:t>s</w:t>
      </w:r>
      <w:r w:rsidRPr="00A11FE0">
        <w:rPr>
          <w:rFonts w:asciiTheme="majorHAnsi" w:hAnsiTheme="majorHAnsi"/>
          <w:bCs/>
          <w:lang w:eastAsia="sk-SK"/>
        </w:rPr>
        <w:t xml:space="preserve">kutočnej integrácie regiónov </w:t>
      </w:r>
      <w:r w:rsidR="00BD5FD5">
        <w:rPr>
          <w:rFonts w:asciiTheme="majorHAnsi" w:hAnsiTheme="majorHAnsi"/>
          <w:bCs/>
          <w:lang w:eastAsia="sk-SK"/>
        </w:rPr>
        <w:t>s</w:t>
      </w:r>
      <w:r w:rsidRPr="00A11FE0">
        <w:rPr>
          <w:rFonts w:asciiTheme="majorHAnsi" w:hAnsiTheme="majorHAnsi"/>
          <w:bCs/>
          <w:lang w:eastAsia="sk-SK"/>
        </w:rPr>
        <w:t> rešpektovaním zmeny národných politík na budovanie energetickej infraštruktúry.</w:t>
      </w:r>
      <w:r w:rsidR="009A2306">
        <w:rPr>
          <w:rFonts w:asciiTheme="majorHAnsi" w:hAnsiTheme="majorHAnsi"/>
          <w:bCs/>
          <w:lang w:eastAsia="sk-SK"/>
        </w:rPr>
        <w:t xml:space="preserve"> </w:t>
      </w:r>
      <w:r w:rsidR="009A2306" w:rsidRPr="008176E1">
        <w:rPr>
          <w:rFonts w:asciiTheme="majorHAnsi" w:hAnsiTheme="majorHAnsi"/>
          <w:bCs/>
          <w:lang w:eastAsia="sk-SK"/>
        </w:rPr>
        <w:t>V</w:t>
      </w:r>
      <w:r w:rsidR="00A90DCD">
        <w:rPr>
          <w:rFonts w:asciiTheme="majorHAnsi" w:hAnsiTheme="majorHAnsi"/>
          <w:bCs/>
          <w:lang w:eastAsia="sk-SK"/>
        </w:rPr>
        <w:t> </w:t>
      </w:r>
      <w:r w:rsidR="009A2306" w:rsidRPr="008176E1">
        <w:rPr>
          <w:rFonts w:asciiTheme="majorHAnsi" w:hAnsiTheme="majorHAnsi"/>
          <w:bCs/>
          <w:lang w:eastAsia="sk-SK"/>
        </w:rPr>
        <w:t>rámci</w:t>
      </w:r>
      <w:r w:rsidR="00A90DCD">
        <w:rPr>
          <w:rFonts w:asciiTheme="majorHAnsi" w:hAnsiTheme="majorHAnsi"/>
          <w:bCs/>
          <w:lang w:eastAsia="sk-SK"/>
        </w:rPr>
        <w:t xml:space="preserve"> </w:t>
      </w:r>
      <w:r w:rsidR="009A2306" w:rsidRPr="008176E1">
        <w:rPr>
          <w:rFonts w:asciiTheme="majorHAnsi" w:hAnsiTheme="majorHAnsi"/>
          <w:bCs/>
          <w:lang w:eastAsia="sk-SK"/>
        </w:rPr>
        <w:t>budovania infraštruktúrnych projektov v energetike (cezhraničné prepojenia) sa uvažuje s podporou financovania týchto projektov prostredníctvom finančného nástroja CEF.</w:t>
      </w:r>
    </w:p>
    <w:p w:rsidR="00D97293" w:rsidRPr="00A11FE0" w:rsidRDefault="00D97293" w:rsidP="00D97293">
      <w:pPr>
        <w:rPr>
          <w:rFonts w:asciiTheme="majorHAnsi" w:hAnsiTheme="majorHAnsi"/>
          <w:bCs/>
          <w:highlight w:val="yellow"/>
          <w:lang w:eastAsia="sk-SK"/>
        </w:rPr>
      </w:pPr>
      <w:r w:rsidRPr="00A11FE0">
        <w:rPr>
          <w:rFonts w:asciiTheme="majorHAnsi" w:hAnsiTheme="majorHAnsi"/>
          <w:bCs/>
          <w:lang w:eastAsia="sk-SK"/>
        </w:rPr>
        <w:t xml:space="preserve">Implementáciou </w:t>
      </w:r>
      <w:r w:rsidR="00BD5FD5">
        <w:rPr>
          <w:rFonts w:asciiTheme="majorHAnsi" w:hAnsiTheme="majorHAnsi"/>
          <w:bCs/>
          <w:lang w:eastAsia="sk-SK"/>
        </w:rPr>
        <w:t>ak</w:t>
      </w:r>
      <w:r w:rsidRPr="00A11FE0">
        <w:rPr>
          <w:rFonts w:asciiTheme="majorHAnsi" w:hAnsiTheme="majorHAnsi"/>
          <w:bCs/>
          <w:lang w:eastAsia="sk-SK"/>
        </w:rPr>
        <w:t>tivít v</w:t>
      </w:r>
      <w:r w:rsidR="00A90DCD">
        <w:rPr>
          <w:rFonts w:asciiTheme="majorHAnsi" w:hAnsiTheme="majorHAnsi"/>
          <w:bCs/>
          <w:lang w:eastAsia="sk-SK"/>
        </w:rPr>
        <w:t> </w:t>
      </w:r>
      <w:r w:rsidRPr="00A11FE0">
        <w:rPr>
          <w:rFonts w:asciiTheme="majorHAnsi" w:hAnsiTheme="majorHAnsi"/>
          <w:bCs/>
          <w:lang w:eastAsia="sk-SK"/>
        </w:rPr>
        <w:t>oblasti</w:t>
      </w:r>
      <w:r w:rsidR="00A90DCD">
        <w:rPr>
          <w:rFonts w:asciiTheme="majorHAnsi" w:hAnsiTheme="majorHAnsi"/>
          <w:bCs/>
          <w:lang w:eastAsia="sk-SK"/>
        </w:rPr>
        <w:t xml:space="preserve"> </w:t>
      </w:r>
      <w:r w:rsidRPr="00A11FE0">
        <w:rPr>
          <w:rFonts w:asciiTheme="majorHAnsi" w:hAnsiTheme="majorHAnsi"/>
          <w:bCs/>
          <w:lang w:eastAsia="sk-SK"/>
        </w:rPr>
        <w:t xml:space="preserve">životného prostredia </w:t>
      </w:r>
      <w:r w:rsidR="00BD5FD5">
        <w:rPr>
          <w:rFonts w:asciiTheme="majorHAnsi" w:hAnsiTheme="majorHAnsi"/>
          <w:bCs/>
          <w:lang w:eastAsia="sk-SK"/>
        </w:rPr>
        <w:t>s</w:t>
      </w:r>
      <w:r w:rsidRPr="00A11FE0">
        <w:rPr>
          <w:rFonts w:asciiTheme="majorHAnsi" w:hAnsiTheme="majorHAnsi"/>
          <w:bCs/>
          <w:lang w:eastAsia="sk-SK"/>
        </w:rPr>
        <w:t xml:space="preserve">a podporí plnenie priorít II. piliera Dunajskej </w:t>
      </w:r>
      <w:r w:rsidR="00BD5FD5">
        <w:rPr>
          <w:rFonts w:asciiTheme="majorHAnsi" w:hAnsiTheme="majorHAnsi"/>
          <w:bCs/>
          <w:lang w:eastAsia="sk-SK"/>
        </w:rPr>
        <w:t>s</w:t>
      </w:r>
      <w:r w:rsidRPr="00A11FE0">
        <w:rPr>
          <w:rFonts w:asciiTheme="majorHAnsi" w:hAnsiTheme="majorHAnsi"/>
          <w:bCs/>
          <w:lang w:eastAsia="sk-SK"/>
        </w:rPr>
        <w:t>tratégie „Ochrana životného prostredia v</w:t>
      </w:r>
      <w:r w:rsidR="00A90DCD">
        <w:rPr>
          <w:rFonts w:asciiTheme="majorHAnsi" w:hAnsiTheme="majorHAnsi"/>
          <w:bCs/>
          <w:lang w:eastAsia="sk-SK"/>
        </w:rPr>
        <w:t> </w:t>
      </w:r>
      <w:r w:rsidRPr="00A11FE0">
        <w:rPr>
          <w:rFonts w:asciiTheme="majorHAnsi" w:hAnsiTheme="majorHAnsi"/>
          <w:bCs/>
          <w:lang w:eastAsia="sk-SK"/>
        </w:rPr>
        <w:t>podunajskej</w:t>
      </w:r>
      <w:r w:rsidR="00A90DCD">
        <w:rPr>
          <w:rFonts w:asciiTheme="majorHAnsi" w:hAnsiTheme="majorHAnsi"/>
          <w:bCs/>
          <w:lang w:eastAsia="sk-SK"/>
        </w:rPr>
        <w:t xml:space="preserve"> </w:t>
      </w:r>
      <w:r w:rsidRPr="00A11FE0">
        <w:rPr>
          <w:rFonts w:asciiTheme="majorHAnsi" w:hAnsiTheme="majorHAnsi"/>
          <w:bCs/>
          <w:lang w:eastAsia="sk-SK"/>
        </w:rPr>
        <w:t xml:space="preserve">oblasti“. </w:t>
      </w:r>
      <w:r w:rsidR="00BD5FD5">
        <w:rPr>
          <w:rFonts w:asciiTheme="majorHAnsi" w:hAnsiTheme="majorHAnsi"/>
          <w:bCs/>
          <w:lang w:eastAsia="sk-SK"/>
        </w:rPr>
        <w:t>S</w:t>
      </w:r>
      <w:r w:rsidR="00030BFC">
        <w:rPr>
          <w:rFonts w:asciiTheme="majorHAnsi" w:hAnsiTheme="majorHAnsi"/>
          <w:bCs/>
          <w:lang w:eastAsia="sk-SK"/>
        </w:rPr>
        <w:t> </w:t>
      </w:r>
      <w:r w:rsidRPr="00A11FE0">
        <w:rPr>
          <w:rFonts w:asciiTheme="majorHAnsi" w:hAnsiTheme="majorHAnsi"/>
          <w:bCs/>
          <w:lang w:eastAsia="sk-SK"/>
        </w:rPr>
        <w:t xml:space="preserve">účasťou integrovaného prístupu dunajského regiónu v oblasti životného prostredia, </w:t>
      </w:r>
      <w:r w:rsidR="00BD5FD5">
        <w:rPr>
          <w:rFonts w:asciiTheme="majorHAnsi" w:hAnsiTheme="majorHAnsi"/>
          <w:bCs/>
          <w:lang w:eastAsia="sk-SK"/>
        </w:rPr>
        <w:t>k</w:t>
      </w:r>
      <w:r w:rsidRPr="00A11FE0">
        <w:rPr>
          <w:rFonts w:asciiTheme="majorHAnsi" w:hAnsiTheme="majorHAnsi"/>
          <w:bCs/>
          <w:lang w:eastAsia="sk-SK"/>
        </w:rPr>
        <w:t xml:space="preserve">torému je potrebné venovať osobitnú pozornosť, je </w:t>
      </w:r>
      <w:r w:rsidR="00BD5FD5">
        <w:rPr>
          <w:rFonts w:asciiTheme="majorHAnsi" w:hAnsiTheme="majorHAnsi"/>
          <w:bCs/>
          <w:lang w:eastAsia="sk-SK"/>
        </w:rPr>
        <w:t>k</w:t>
      </w:r>
      <w:r w:rsidRPr="00A11FE0">
        <w:rPr>
          <w:rFonts w:asciiTheme="majorHAnsi" w:hAnsiTheme="majorHAnsi"/>
          <w:bCs/>
          <w:lang w:eastAsia="sk-SK"/>
        </w:rPr>
        <w:t xml:space="preserve">valita vody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výdatnosť</w:t>
      </w:r>
      <w:r w:rsidR="00A90DCD">
        <w:rPr>
          <w:rFonts w:asciiTheme="majorHAnsi" w:hAnsiTheme="majorHAnsi"/>
          <w:bCs/>
          <w:lang w:eastAsia="sk-SK"/>
        </w:rPr>
        <w:t xml:space="preserve"> </w:t>
      </w:r>
      <w:r w:rsidRPr="00A11FE0">
        <w:rPr>
          <w:rFonts w:asciiTheme="majorHAnsi" w:hAnsiTheme="majorHAnsi"/>
          <w:bCs/>
          <w:lang w:eastAsia="sk-SK"/>
        </w:rPr>
        <w:t xml:space="preserve">vodných zdrojov. </w:t>
      </w:r>
      <w:r w:rsidR="00BD5FD5">
        <w:rPr>
          <w:rFonts w:asciiTheme="majorHAnsi" w:hAnsiTheme="majorHAnsi"/>
          <w:bCs/>
          <w:lang w:eastAsia="sk-SK"/>
        </w:rPr>
        <w:t>Ak</w:t>
      </w:r>
      <w:r w:rsidRPr="00A11FE0">
        <w:rPr>
          <w:rFonts w:asciiTheme="majorHAnsi" w:hAnsiTheme="majorHAnsi"/>
          <w:bCs/>
          <w:lang w:eastAsia="sk-SK"/>
        </w:rPr>
        <w:t xml:space="preserve">tivity, pri </w:t>
      </w:r>
      <w:r w:rsidR="00BD5FD5">
        <w:rPr>
          <w:rFonts w:asciiTheme="majorHAnsi" w:hAnsiTheme="majorHAnsi"/>
          <w:bCs/>
          <w:lang w:eastAsia="sk-SK"/>
        </w:rPr>
        <w:t>k</w:t>
      </w:r>
      <w:r w:rsidRPr="00A11FE0">
        <w:rPr>
          <w:rFonts w:asciiTheme="majorHAnsi" w:hAnsiTheme="majorHAnsi"/>
          <w:bCs/>
          <w:lang w:eastAsia="sk-SK"/>
        </w:rPr>
        <w:t xml:space="preserve">torých možno očakávať príspevok </w:t>
      </w:r>
      <w:r w:rsidR="00BD5FD5">
        <w:rPr>
          <w:rFonts w:asciiTheme="majorHAnsi" w:hAnsiTheme="majorHAnsi"/>
          <w:bCs/>
          <w:lang w:eastAsia="sk-SK"/>
        </w:rPr>
        <w:t>k</w:t>
      </w:r>
      <w:r w:rsidR="00A90DCD">
        <w:rPr>
          <w:rFonts w:asciiTheme="majorHAnsi" w:hAnsiTheme="majorHAnsi"/>
          <w:bCs/>
          <w:lang w:eastAsia="sk-SK"/>
        </w:rPr>
        <w:t> </w:t>
      </w:r>
      <w:r w:rsidRPr="00A11FE0">
        <w:rPr>
          <w:rFonts w:asciiTheme="majorHAnsi" w:hAnsiTheme="majorHAnsi"/>
          <w:bCs/>
          <w:lang w:eastAsia="sk-SK"/>
        </w:rPr>
        <w:t>plneniu</w:t>
      </w:r>
      <w:r w:rsidR="00A90DCD">
        <w:rPr>
          <w:rFonts w:asciiTheme="majorHAnsi" w:hAnsiTheme="majorHAnsi"/>
          <w:bCs/>
          <w:lang w:eastAsia="sk-SK"/>
        </w:rPr>
        <w:t xml:space="preserve"> </w:t>
      </w:r>
      <w:r w:rsidRPr="00A11FE0">
        <w:rPr>
          <w:rFonts w:asciiTheme="majorHAnsi" w:hAnsiTheme="majorHAnsi"/>
          <w:bCs/>
          <w:lang w:eastAsia="sk-SK"/>
        </w:rPr>
        <w:t xml:space="preserve">Dunajskej </w:t>
      </w:r>
      <w:r w:rsidR="00BD5FD5">
        <w:rPr>
          <w:rFonts w:asciiTheme="majorHAnsi" w:hAnsiTheme="majorHAnsi"/>
          <w:bCs/>
          <w:lang w:eastAsia="sk-SK"/>
        </w:rPr>
        <w:t>s</w:t>
      </w:r>
      <w:r w:rsidRPr="00A11FE0">
        <w:rPr>
          <w:rFonts w:asciiTheme="majorHAnsi" w:hAnsiTheme="majorHAnsi"/>
          <w:bCs/>
          <w:lang w:eastAsia="sk-SK"/>
        </w:rPr>
        <w:t xml:space="preserve">tratégie budú tiež </w:t>
      </w:r>
      <w:r w:rsidR="00BD5FD5">
        <w:rPr>
          <w:rFonts w:asciiTheme="majorHAnsi" w:hAnsiTheme="majorHAnsi"/>
          <w:bCs/>
          <w:lang w:eastAsia="sk-SK"/>
        </w:rPr>
        <w:t>s</w:t>
      </w:r>
      <w:r w:rsidRPr="00A11FE0">
        <w:rPr>
          <w:rFonts w:asciiTheme="majorHAnsi" w:hAnsiTheme="majorHAnsi"/>
          <w:bCs/>
          <w:lang w:eastAsia="sk-SK"/>
        </w:rPr>
        <w:t xml:space="preserve">úvisieť </w:t>
      </w:r>
      <w:r w:rsidR="00BD5FD5">
        <w:rPr>
          <w:rFonts w:asciiTheme="majorHAnsi" w:hAnsiTheme="majorHAnsi"/>
          <w:bCs/>
          <w:lang w:eastAsia="sk-SK"/>
        </w:rPr>
        <w:t>s</w:t>
      </w:r>
      <w:r w:rsidR="00A90DCD">
        <w:rPr>
          <w:rFonts w:asciiTheme="majorHAnsi" w:hAnsiTheme="majorHAnsi"/>
          <w:bCs/>
          <w:lang w:eastAsia="sk-SK"/>
        </w:rPr>
        <w:t> </w:t>
      </w:r>
      <w:r w:rsidRPr="00A11FE0">
        <w:rPr>
          <w:rFonts w:asciiTheme="majorHAnsi" w:hAnsiTheme="majorHAnsi"/>
          <w:bCs/>
          <w:lang w:eastAsia="sk-SK"/>
        </w:rPr>
        <w:t>riešením</w:t>
      </w:r>
      <w:r w:rsidR="00A90DCD">
        <w:rPr>
          <w:rFonts w:asciiTheme="majorHAnsi" w:hAnsiTheme="majorHAnsi"/>
          <w:bCs/>
          <w:lang w:eastAsia="sk-SK"/>
        </w:rPr>
        <w:t xml:space="preserve"> </w:t>
      </w:r>
      <w:r w:rsidRPr="00A11FE0">
        <w:rPr>
          <w:rFonts w:asciiTheme="majorHAnsi" w:hAnsiTheme="majorHAnsi"/>
          <w:bCs/>
          <w:lang w:eastAsia="sk-SK"/>
        </w:rPr>
        <w:t xml:space="preserve">problematiky environmentálnych záťaží, ochrany biodiverzity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 xml:space="preserve">biotopov, posilnenia </w:t>
      </w:r>
      <w:r w:rsidR="00BD5FD5">
        <w:rPr>
          <w:rFonts w:asciiTheme="majorHAnsi" w:hAnsiTheme="majorHAnsi"/>
          <w:bCs/>
          <w:lang w:eastAsia="sk-SK"/>
        </w:rPr>
        <w:t>s</w:t>
      </w:r>
      <w:r w:rsidRPr="00A11FE0">
        <w:rPr>
          <w:rFonts w:asciiTheme="majorHAnsi" w:hAnsiTheme="majorHAnsi"/>
          <w:bCs/>
          <w:lang w:eastAsia="sk-SK"/>
        </w:rPr>
        <w:t xml:space="preserve">ústavy NATURA 2000, </w:t>
      </w:r>
      <w:r w:rsidR="00BD5FD5">
        <w:rPr>
          <w:rFonts w:asciiTheme="majorHAnsi" w:hAnsiTheme="majorHAnsi"/>
          <w:bCs/>
          <w:lang w:eastAsia="sk-SK"/>
        </w:rPr>
        <w:t>ak</w:t>
      </w:r>
      <w:r w:rsidRPr="00A11FE0">
        <w:rPr>
          <w:rFonts w:asciiTheme="majorHAnsi" w:hAnsiTheme="majorHAnsi"/>
          <w:bCs/>
          <w:lang w:eastAsia="sk-SK"/>
        </w:rPr>
        <w:t xml:space="preserve">o </w:t>
      </w:r>
      <w:r w:rsidR="00BD5FD5">
        <w:rPr>
          <w:rFonts w:asciiTheme="majorHAnsi" w:hAnsiTheme="majorHAnsi"/>
          <w:bCs/>
          <w:lang w:eastAsia="sk-SK"/>
        </w:rPr>
        <w:t>a</w:t>
      </w:r>
      <w:r w:rsidRPr="00A11FE0">
        <w:rPr>
          <w:rFonts w:asciiTheme="majorHAnsi" w:hAnsiTheme="majorHAnsi"/>
          <w:bCs/>
          <w:lang w:eastAsia="sk-SK"/>
        </w:rPr>
        <w:t xml:space="preserve">j </w:t>
      </w:r>
      <w:r w:rsidR="00BD5FD5">
        <w:rPr>
          <w:rFonts w:asciiTheme="majorHAnsi" w:hAnsiTheme="majorHAnsi"/>
          <w:bCs/>
          <w:lang w:eastAsia="sk-SK"/>
        </w:rPr>
        <w:t>ak</w:t>
      </w:r>
      <w:r w:rsidRPr="00A11FE0">
        <w:rPr>
          <w:rFonts w:asciiTheme="majorHAnsi" w:hAnsiTheme="majorHAnsi"/>
          <w:bCs/>
          <w:lang w:eastAsia="sk-SK"/>
        </w:rPr>
        <w:t xml:space="preserve">tivitami zameranými na zlepšenie nakladania </w:t>
      </w:r>
      <w:r w:rsidR="00BD5FD5">
        <w:rPr>
          <w:rFonts w:asciiTheme="majorHAnsi" w:hAnsiTheme="majorHAnsi"/>
          <w:bCs/>
          <w:lang w:eastAsia="sk-SK"/>
        </w:rPr>
        <w:t>s</w:t>
      </w:r>
      <w:r w:rsidRPr="00A11FE0">
        <w:rPr>
          <w:rFonts w:asciiTheme="majorHAnsi" w:hAnsiTheme="majorHAnsi"/>
          <w:bCs/>
          <w:lang w:eastAsia="sk-SK"/>
        </w:rPr>
        <w:t xml:space="preserve"> odpadmi tak, </w:t>
      </w:r>
      <w:r w:rsidR="00BD5FD5">
        <w:rPr>
          <w:rFonts w:asciiTheme="majorHAnsi" w:hAnsiTheme="majorHAnsi"/>
          <w:bCs/>
          <w:lang w:eastAsia="sk-SK"/>
        </w:rPr>
        <w:t>a</w:t>
      </w:r>
      <w:r w:rsidRPr="00A11FE0">
        <w:rPr>
          <w:rFonts w:asciiTheme="majorHAnsi" w:hAnsiTheme="majorHAnsi"/>
          <w:bCs/>
          <w:lang w:eastAsia="sk-SK"/>
        </w:rPr>
        <w:t xml:space="preserve">by nedochádzalo </w:t>
      </w:r>
      <w:r w:rsidR="00BD5FD5">
        <w:rPr>
          <w:rFonts w:asciiTheme="majorHAnsi" w:hAnsiTheme="majorHAnsi"/>
          <w:bCs/>
          <w:lang w:eastAsia="sk-SK"/>
        </w:rPr>
        <w:t>k</w:t>
      </w:r>
      <w:r w:rsidRPr="00A11FE0">
        <w:rPr>
          <w:rFonts w:asciiTheme="majorHAnsi" w:hAnsiTheme="majorHAnsi"/>
          <w:bCs/>
          <w:lang w:eastAsia="sk-SK"/>
        </w:rPr>
        <w:t> prekr</w:t>
      </w:r>
      <w:r w:rsidR="00044704">
        <w:rPr>
          <w:rFonts w:asciiTheme="majorHAnsi" w:hAnsiTheme="majorHAnsi"/>
          <w:bCs/>
          <w:lang w:eastAsia="sk-SK"/>
        </w:rPr>
        <w:t>ývaniu</w:t>
      </w:r>
      <w:r w:rsidRPr="00A11FE0">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w:t>
      </w:r>
      <w:r w:rsidR="00BD5FD5">
        <w:rPr>
          <w:rFonts w:asciiTheme="majorHAnsi" w:hAnsiTheme="majorHAnsi"/>
          <w:bCs/>
          <w:lang w:eastAsia="sk-SK"/>
        </w:rPr>
        <w:t>ak</w:t>
      </w:r>
      <w:r w:rsidRPr="00A11FE0">
        <w:rPr>
          <w:rFonts w:asciiTheme="majorHAnsi" w:hAnsiTheme="majorHAnsi"/>
          <w:bCs/>
          <w:lang w:eastAsia="sk-SK"/>
        </w:rPr>
        <w:t xml:space="preserve">tivitami realizovanými v národných programoch. V rámci programov nadnárodnej </w:t>
      </w:r>
      <w:r w:rsidR="00BD5FD5">
        <w:rPr>
          <w:rFonts w:asciiTheme="majorHAnsi" w:hAnsiTheme="majorHAnsi"/>
          <w:bCs/>
          <w:lang w:eastAsia="sk-SK"/>
        </w:rPr>
        <w:t>s</w:t>
      </w:r>
      <w:r w:rsidRPr="00A11FE0">
        <w:rPr>
          <w:rFonts w:asciiTheme="majorHAnsi" w:hAnsiTheme="majorHAnsi"/>
          <w:bCs/>
          <w:lang w:eastAsia="sk-SK"/>
        </w:rPr>
        <w:t xml:space="preserve">polupráce je potrebné vo väčšej miere zapájať do partnerstiev </w:t>
      </w:r>
      <w:r w:rsidR="00BD5FD5">
        <w:rPr>
          <w:rFonts w:asciiTheme="majorHAnsi" w:hAnsiTheme="majorHAnsi"/>
          <w:bCs/>
          <w:lang w:eastAsia="sk-SK"/>
        </w:rPr>
        <w:t>a</w:t>
      </w:r>
      <w:r w:rsidRPr="00A11FE0">
        <w:rPr>
          <w:rFonts w:asciiTheme="majorHAnsi" w:hAnsiTheme="majorHAnsi"/>
          <w:bCs/>
          <w:lang w:eastAsia="sk-SK"/>
        </w:rPr>
        <w:t xml:space="preserve">j </w:t>
      </w:r>
      <w:r w:rsidR="00992762">
        <w:rPr>
          <w:rFonts w:asciiTheme="majorHAnsi" w:hAnsiTheme="majorHAnsi"/>
          <w:bCs/>
          <w:lang w:eastAsia="sk-SK"/>
        </w:rPr>
        <w:t>E</w:t>
      </w:r>
      <w:r w:rsidR="006A7C8F">
        <w:rPr>
          <w:rFonts w:asciiTheme="majorHAnsi" w:hAnsiTheme="majorHAnsi"/>
          <w:bCs/>
          <w:lang w:eastAsia="sk-SK"/>
        </w:rPr>
        <w:t>ur</w:t>
      </w:r>
      <w:r w:rsidRPr="00A11FE0">
        <w:rPr>
          <w:rFonts w:asciiTheme="majorHAnsi" w:hAnsiTheme="majorHAnsi"/>
          <w:bCs/>
          <w:lang w:eastAsia="sk-SK"/>
        </w:rPr>
        <w:t xml:space="preserve">ópske zoskupenia územnej </w:t>
      </w:r>
      <w:r w:rsidR="00BD5FD5">
        <w:rPr>
          <w:rFonts w:asciiTheme="majorHAnsi" w:hAnsiTheme="majorHAnsi"/>
          <w:bCs/>
          <w:lang w:eastAsia="sk-SK"/>
        </w:rPr>
        <w:t>s</w:t>
      </w:r>
      <w:r w:rsidRPr="00A11FE0">
        <w:rPr>
          <w:rFonts w:asciiTheme="majorHAnsi" w:hAnsiTheme="majorHAnsi"/>
          <w:bCs/>
          <w:lang w:eastAsia="sk-SK"/>
        </w:rPr>
        <w:t>polupráce (ďalej len „EZÚS“).</w:t>
      </w:r>
    </w:p>
    <w:p w:rsidR="00D97293" w:rsidRPr="00A11FE0" w:rsidRDefault="00D97293" w:rsidP="00D97293">
      <w:pPr>
        <w:spacing w:after="0"/>
        <w:rPr>
          <w:rFonts w:asciiTheme="majorHAnsi" w:hAnsiTheme="majorHAnsi"/>
          <w:bCs/>
          <w:lang w:eastAsia="sk-SK"/>
        </w:rPr>
      </w:pPr>
      <w:r w:rsidRPr="00A11FE0">
        <w:rPr>
          <w:rFonts w:asciiTheme="majorHAnsi" w:hAnsiTheme="majorHAnsi"/>
          <w:bCs/>
          <w:lang w:eastAsia="sk-SK"/>
        </w:rPr>
        <w:t xml:space="preserve">Zvýšenie </w:t>
      </w:r>
      <w:r w:rsidR="00BD5FD5">
        <w:rPr>
          <w:rFonts w:asciiTheme="majorHAnsi" w:hAnsiTheme="majorHAnsi"/>
          <w:bCs/>
          <w:lang w:eastAsia="sk-SK"/>
        </w:rPr>
        <w:t>s</w:t>
      </w:r>
      <w:r w:rsidRPr="00A11FE0">
        <w:rPr>
          <w:rFonts w:asciiTheme="majorHAnsi" w:hAnsiTheme="majorHAnsi"/>
          <w:bCs/>
          <w:lang w:eastAsia="sk-SK"/>
        </w:rPr>
        <w:t xml:space="preserve">ynergického efektu </w:t>
      </w:r>
      <w:r w:rsidR="00BD5FD5">
        <w:rPr>
          <w:rFonts w:asciiTheme="majorHAnsi" w:hAnsiTheme="majorHAnsi"/>
          <w:bCs/>
          <w:lang w:eastAsia="sk-SK"/>
        </w:rPr>
        <w:t>s</w:t>
      </w:r>
      <w:r w:rsidRPr="00A11FE0">
        <w:rPr>
          <w:rFonts w:asciiTheme="majorHAnsi" w:hAnsiTheme="majorHAnsi"/>
          <w:bCs/>
          <w:lang w:eastAsia="sk-SK"/>
        </w:rPr>
        <w:t xml:space="preserve">a bude v praxi dosahovať </w:t>
      </w:r>
      <w:r w:rsidR="00BD5FD5">
        <w:rPr>
          <w:rFonts w:asciiTheme="majorHAnsi" w:hAnsiTheme="majorHAnsi"/>
          <w:bCs/>
          <w:lang w:eastAsia="sk-SK"/>
        </w:rPr>
        <w:t>s</w:t>
      </w:r>
      <w:r w:rsidRPr="00A11FE0">
        <w:rPr>
          <w:rFonts w:asciiTheme="majorHAnsi" w:hAnsiTheme="majorHAnsi"/>
          <w:bCs/>
          <w:lang w:eastAsia="sk-SK"/>
        </w:rPr>
        <w:t xml:space="preserve">ústredením inštitucionálnych </w:t>
      </w:r>
      <w:r w:rsidR="00BD5FD5">
        <w:rPr>
          <w:rFonts w:asciiTheme="majorHAnsi" w:hAnsiTheme="majorHAnsi"/>
          <w:bCs/>
          <w:lang w:eastAsia="sk-SK"/>
        </w:rPr>
        <w:t>a</w:t>
      </w:r>
      <w:r w:rsidRPr="00A11FE0">
        <w:rPr>
          <w:rFonts w:asciiTheme="majorHAnsi" w:hAnsiTheme="majorHAnsi"/>
          <w:bCs/>
          <w:lang w:eastAsia="sk-SK"/>
        </w:rPr>
        <w:t xml:space="preserve">dministratívnych </w:t>
      </w:r>
      <w:r w:rsidR="00BD5FD5">
        <w:rPr>
          <w:rFonts w:asciiTheme="majorHAnsi" w:hAnsiTheme="majorHAnsi"/>
          <w:bCs/>
          <w:lang w:eastAsia="sk-SK"/>
        </w:rPr>
        <w:t>k</w:t>
      </w:r>
      <w:r w:rsidRPr="00A11FE0">
        <w:rPr>
          <w:rFonts w:asciiTheme="majorHAnsi" w:hAnsiTheme="majorHAnsi"/>
          <w:bCs/>
          <w:lang w:eastAsia="sk-SK"/>
        </w:rPr>
        <w:t xml:space="preserve">apacít pri </w:t>
      </w:r>
      <w:r w:rsidR="00BD5FD5">
        <w:rPr>
          <w:rFonts w:asciiTheme="majorHAnsi" w:hAnsiTheme="majorHAnsi"/>
          <w:bCs/>
          <w:lang w:eastAsia="sk-SK"/>
        </w:rPr>
        <w:t>k</w:t>
      </w:r>
      <w:r w:rsidRPr="00A11FE0">
        <w:rPr>
          <w:rFonts w:asciiTheme="majorHAnsi" w:hAnsiTheme="majorHAnsi"/>
          <w:bCs/>
          <w:lang w:eastAsia="sk-SK"/>
        </w:rPr>
        <w:t xml:space="preserve">oordinácii Dunajskej </w:t>
      </w:r>
      <w:r w:rsidR="00BD5FD5">
        <w:rPr>
          <w:rFonts w:asciiTheme="majorHAnsi" w:hAnsiTheme="majorHAnsi"/>
          <w:bCs/>
          <w:lang w:eastAsia="sk-SK"/>
        </w:rPr>
        <w:t>s</w:t>
      </w:r>
      <w:r w:rsidRPr="00A11FE0">
        <w:rPr>
          <w:rFonts w:asciiTheme="majorHAnsi" w:hAnsiTheme="majorHAnsi"/>
          <w:bCs/>
          <w:lang w:eastAsia="sk-SK"/>
        </w:rPr>
        <w:t xml:space="preserve">tratégie </w:t>
      </w:r>
      <w:r w:rsidR="00BD5FD5">
        <w:rPr>
          <w:rFonts w:asciiTheme="majorHAnsi" w:hAnsiTheme="majorHAnsi"/>
          <w:bCs/>
          <w:lang w:eastAsia="sk-SK"/>
        </w:rPr>
        <w:t>a</w:t>
      </w:r>
      <w:r w:rsidRPr="00A11FE0">
        <w:rPr>
          <w:rFonts w:asciiTheme="majorHAnsi" w:hAnsiTheme="majorHAnsi"/>
          <w:bCs/>
          <w:lang w:eastAsia="sk-SK"/>
        </w:rPr>
        <w:t xml:space="preserve"> programov nadnárodnej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ak</w:t>
      </w:r>
      <w:r w:rsidRPr="00A11FE0">
        <w:rPr>
          <w:rFonts w:asciiTheme="majorHAnsi" w:hAnsiTheme="majorHAnsi"/>
          <w:bCs/>
          <w:lang w:eastAsia="sk-SK"/>
        </w:rPr>
        <w:t xml:space="preserve">o </w:t>
      </w:r>
      <w:r w:rsidR="00BD5FD5">
        <w:rPr>
          <w:rFonts w:asciiTheme="majorHAnsi" w:hAnsiTheme="majorHAnsi"/>
          <w:bCs/>
          <w:lang w:eastAsia="sk-SK"/>
        </w:rPr>
        <w:t>a</w:t>
      </w:r>
      <w:r w:rsidRPr="00A11FE0">
        <w:rPr>
          <w:rFonts w:asciiTheme="majorHAnsi" w:hAnsiTheme="majorHAnsi"/>
          <w:bCs/>
          <w:lang w:eastAsia="sk-SK"/>
        </w:rPr>
        <w:t xml:space="preserve">j iniciatívy LEADER. Finančné prostriedky z programov nadnárodnej </w:t>
      </w:r>
      <w:r w:rsidR="00BD5FD5">
        <w:rPr>
          <w:rFonts w:asciiTheme="majorHAnsi" w:hAnsiTheme="majorHAnsi"/>
          <w:bCs/>
          <w:lang w:eastAsia="sk-SK"/>
        </w:rPr>
        <w:t>s</w:t>
      </w:r>
      <w:r w:rsidRPr="00A11FE0">
        <w:rPr>
          <w:rFonts w:asciiTheme="majorHAnsi" w:hAnsiTheme="majorHAnsi"/>
          <w:bCs/>
          <w:lang w:eastAsia="sk-SK"/>
        </w:rPr>
        <w:t xml:space="preserve">polupráce by mali byť prednostne využívané </w:t>
      </w:r>
      <w:r w:rsidR="00BD5FD5">
        <w:rPr>
          <w:rFonts w:asciiTheme="majorHAnsi" w:hAnsiTheme="majorHAnsi"/>
          <w:bCs/>
          <w:lang w:eastAsia="sk-SK"/>
        </w:rPr>
        <w:t>a</w:t>
      </w:r>
      <w:r w:rsidRPr="00A11FE0">
        <w:rPr>
          <w:rFonts w:asciiTheme="majorHAnsi" w:hAnsiTheme="majorHAnsi"/>
          <w:bCs/>
          <w:lang w:eastAsia="sk-SK"/>
        </w:rPr>
        <w:t xml:space="preserve">j na projekty napĺňajúce ciele Dunajskej </w:t>
      </w:r>
      <w:r w:rsidR="00BD5FD5">
        <w:rPr>
          <w:rFonts w:asciiTheme="majorHAnsi" w:hAnsiTheme="majorHAnsi"/>
          <w:bCs/>
          <w:lang w:eastAsia="sk-SK"/>
        </w:rPr>
        <w:t>s</w:t>
      </w:r>
      <w:r w:rsidRPr="00A11FE0">
        <w:rPr>
          <w:rFonts w:asciiTheme="majorHAnsi" w:hAnsiTheme="majorHAnsi"/>
          <w:bCs/>
          <w:lang w:eastAsia="sk-SK"/>
        </w:rPr>
        <w:t xml:space="preserve">tratégie. V praxi </w:t>
      </w:r>
      <w:r w:rsidR="00BD5FD5">
        <w:rPr>
          <w:rFonts w:asciiTheme="majorHAnsi" w:hAnsiTheme="majorHAnsi"/>
          <w:bCs/>
          <w:lang w:eastAsia="sk-SK"/>
        </w:rPr>
        <w:t>s</w:t>
      </w:r>
      <w:r w:rsidRPr="00A11FE0">
        <w:rPr>
          <w:rFonts w:asciiTheme="majorHAnsi" w:hAnsiTheme="majorHAnsi"/>
          <w:bCs/>
          <w:lang w:eastAsia="sk-SK"/>
        </w:rPr>
        <w:t xml:space="preserve">a bude implementácia prioritných oblastí Dunajskej </w:t>
      </w:r>
      <w:r w:rsidR="00BD5FD5">
        <w:rPr>
          <w:rFonts w:asciiTheme="majorHAnsi" w:hAnsiTheme="majorHAnsi"/>
          <w:bCs/>
          <w:lang w:eastAsia="sk-SK"/>
        </w:rPr>
        <w:t>s</w:t>
      </w:r>
      <w:r w:rsidRPr="00A11FE0">
        <w:rPr>
          <w:rFonts w:asciiTheme="majorHAnsi" w:hAnsiTheme="majorHAnsi"/>
          <w:bCs/>
          <w:lang w:eastAsia="sk-SK"/>
        </w:rPr>
        <w:t xml:space="preserve">tratégie realizovať cez relevantné tematické ciele programov nadnárodnej </w:t>
      </w:r>
      <w:r w:rsidR="00BD5FD5">
        <w:rPr>
          <w:rFonts w:asciiTheme="majorHAnsi" w:hAnsiTheme="majorHAnsi"/>
          <w:bCs/>
          <w:lang w:eastAsia="sk-SK"/>
        </w:rPr>
        <w:t>s</w:t>
      </w:r>
      <w:r w:rsidRPr="00A11FE0">
        <w:rPr>
          <w:rFonts w:asciiTheme="majorHAnsi" w:hAnsiTheme="majorHAnsi"/>
          <w:bCs/>
          <w:lang w:eastAsia="sk-SK"/>
        </w:rPr>
        <w:t xml:space="preserve">polupráce </w:t>
      </w:r>
      <w:r w:rsidRPr="00A413E4">
        <w:rPr>
          <w:rFonts w:asciiTheme="majorHAnsi" w:hAnsiTheme="majorHAnsi"/>
          <w:bCs/>
          <w:lang w:eastAsia="sk-SK"/>
        </w:rPr>
        <w:t>(tabuľka č.</w:t>
      </w:r>
      <w:r w:rsidRPr="005C5612">
        <w:rPr>
          <w:rFonts w:asciiTheme="majorHAnsi" w:hAnsiTheme="majorHAnsi"/>
          <w:bCs/>
          <w:lang w:eastAsia="sk-SK"/>
        </w:rPr>
        <w:t>1</w:t>
      </w:r>
      <w:r w:rsidR="005C5612">
        <w:rPr>
          <w:rFonts w:asciiTheme="majorHAnsi" w:hAnsiTheme="majorHAnsi"/>
          <w:bCs/>
          <w:lang w:eastAsia="sk-SK"/>
        </w:rPr>
        <w:t>9</w:t>
      </w:r>
      <w:r w:rsidRPr="00A413E4">
        <w:rPr>
          <w:rFonts w:asciiTheme="majorHAnsi" w:hAnsiTheme="majorHAnsi"/>
          <w:bCs/>
          <w:lang w:eastAsia="sk-SK"/>
        </w:rPr>
        <w:t>).</w:t>
      </w:r>
    </w:p>
    <w:p w:rsidR="00A90DCD" w:rsidRDefault="00BD5FD5">
      <w:pPr>
        <w:spacing w:before="0" w:after="0"/>
        <w:jc w:val="left"/>
        <w:rPr>
          <w:rFonts w:asciiTheme="majorHAnsi" w:hAnsiTheme="majorHAnsi"/>
          <w:bCs/>
          <w:lang w:eastAsia="sk-SK"/>
        </w:rPr>
      </w:pPr>
      <w:r>
        <w:rPr>
          <w:rFonts w:asciiTheme="majorHAnsi" w:hAnsiTheme="majorHAnsi"/>
          <w:bCs/>
          <w:lang w:eastAsia="sk-SK"/>
        </w:rPr>
        <w:t>S</w:t>
      </w:r>
      <w:r w:rsidR="00D97293" w:rsidRPr="00A11FE0">
        <w:rPr>
          <w:rFonts w:asciiTheme="majorHAnsi" w:hAnsiTheme="majorHAnsi"/>
          <w:bCs/>
          <w:lang w:eastAsia="sk-SK"/>
        </w:rPr>
        <w:t xml:space="preserve">ynergické prepojenia medzi prioritnými oblasťami Dunajskej </w:t>
      </w:r>
      <w:r>
        <w:rPr>
          <w:rFonts w:asciiTheme="majorHAnsi" w:hAnsiTheme="majorHAnsi"/>
          <w:bCs/>
          <w:lang w:eastAsia="sk-SK"/>
        </w:rPr>
        <w:t>s</w:t>
      </w:r>
      <w:r w:rsidR="00D97293" w:rsidRPr="00A11FE0">
        <w:rPr>
          <w:rFonts w:asciiTheme="majorHAnsi" w:hAnsiTheme="majorHAnsi"/>
          <w:bCs/>
          <w:lang w:eastAsia="sk-SK"/>
        </w:rPr>
        <w:t xml:space="preserve">tratégie, hlavnými programami </w:t>
      </w:r>
      <w:r>
        <w:rPr>
          <w:rFonts w:asciiTheme="majorHAnsi" w:hAnsiTheme="majorHAnsi"/>
          <w:bCs/>
          <w:lang w:eastAsia="sk-SK"/>
        </w:rPr>
        <w:t>S</w:t>
      </w:r>
      <w:r w:rsidR="00D97293" w:rsidRPr="00A11FE0">
        <w:rPr>
          <w:rFonts w:asciiTheme="majorHAnsi" w:hAnsiTheme="majorHAnsi"/>
          <w:bCs/>
          <w:lang w:eastAsia="sk-SK"/>
        </w:rPr>
        <w:t xml:space="preserve">R, programami EÚS </w:t>
      </w:r>
      <w:r>
        <w:rPr>
          <w:rFonts w:asciiTheme="majorHAnsi" w:hAnsiTheme="majorHAnsi"/>
          <w:bCs/>
          <w:lang w:eastAsia="sk-SK"/>
        </w:rPr>
        <w:t>a</w:t>
      </w:r>
      <w:r w:rsidR="00D97293" w:rsidRPr="00A11FE0">
        <w:rPr>
          <w:rFonts w:asciiTheme="majorHAnsi" w:hAnsiTheme="majorHAnsi"/>
          <w:bCs/>
          <w:lang w:eastAsia="sk-SK"/>
        </w:rPr>
        <w:t xml:space="preserve"> ostatnými nástrojmi podpory budú dosiahnuté </w:t>
      </w:r>
      <w:r>
        <w:rPr>
          <w:rFonts w:asciiTheme="majorHAnsi" w:hAnsiTheme="majorHAnsi"/>
          <w:bCs/>
          <w:lang w:eastAsia="sk-SK"/>
        </w:rPr>
        <w:t>a</w:t>
      </w:r>
      <w:r w:rsidR="00D97293" w:rsidRPr="00A11FE0">
        <w:rPr>
          <w:rFonts w:asciiTheme="majorHAnsi" w:hAnsiTheme="majorHAnsi"/>
          <w:bCs/>
          <w:lang w:eastAsia="sk-SK"/>
        </w:rPr>
        <w:t xml:space="preserve">j prostredníctvom zriadenia </w:t>
      </w:r>
      <w:r>
        <w:rPr>
          <w:rFonts w:asciiTheme="majorHAnsi" w:hAnsiTheme="majorHAnsi"/>
          <w:bCs/>
          <w:lang w:eastAsia="sk-SK"/>
        </w:rPr>
        <w:t>s</w:t>
      </w:r>
      <w:r w:rsidR="00D97293" w:rsidRPr="00A11FE0">
        <w:rPr>
          <w:rFonts w:asciiTheme="majorHAnsi" w:hAnsiTheme="majorHAnsi"/>
          <w:bCs/>
          <w:lang w:eastAsia="sk-SK"/>
        </w:rPr>
        <w:t xml:space="preserve">amostatnej pracovnej </w:t>
      </w:r>
      <w:r>
        <w:rPr>
          <w:rFonts w:asciiTheme="majorHAnsi" w:hAnsiTheme="majorHAnsi"/>
          <w:bCs/>
          <w:lang w:eastAsia="sk-SK"/>
        </w:rPr>
        <w:t>s</w:t>
      </w:r>
      <w:r w:rsidR="00D97293" w:rsidRPr="00A11FE0">
        <w:rPr>
          <w:rFonts w:asciiTheme="majorHAnsi" w:hAnsiTheme="majorHAnsi"/>
          <w:bCs/>
          <w:lang w:eastAsia="sk-SK"/>
        </w:rPr>
        <w:t xml:space="preserve">kupiny za účelom zabezpečenia implementácie Dunajskej </w:t>
      </w:r>
      <w:r>
        <w:rPr>
          <w:rFonts w:asciiTheme="majorHAnsi" w:hAnsiTheme="majorHAnsi"/>
          <w:bCs/>
          <w:lang w:eastAsia="sk-SK"/>
        </w:rPr>
        <w:t>s</w:t>
      </w:r>
      <w:r w:rsidR="00D97293" w:rsidRPr="00A11FE0">
        <w:rPr>
          <w:rFonts w:asciiTheme="majorHAnsi" w:hAnsiTheme="majorHAnsi"/>
          <w:bCs/>
          <w:lang w:eastAsia="sk-SK"/>
        </w:rPr>
        <w:t xml:space="preserve">tratégie v podmienkach </w:t>
      </w:r>
      <w:r>
        <w:rPr>
          <w:rFonts w:asciiTheme="majorHAnsi" w:hAnsiTheme="majorHAnsi"/>
          <w:bCs/>
          <w:lang w:eastAsia="sk-SK"/>
        </w:rPr>
        <w:t>S</w:t>
      </w:r>
      <w:r w:rsidR="00D97293" w:rsidRPr="00A11FE0">
        <w:rPr>
          <w:rFonts w:asciiTheme="majorHAnsi" w:hAnsiTheme="majorHAnsi"/>
          <w:bCs/>
          <w:lang w:eastAsia="sk-SK"/>
        </w:rPr>
        <w:t xml:space="preserve">R. V prípade </w:t>
      </w:r>
      <w:r>
        <w:rPr>
          <w:rFonts w:asciiTheme="majorHAnsi" w:hAnsiTheme="majorHAnsi"/>
          <w:bCs/>
          <w:lang w:eastAsia="sk-SK"/>
        </w:rPr>
        <w:t>ak</w:t>
      </w:r>
      <w:r w:rsidR="00D97293" w:rsidRPr="00A11FE0">
        <w:rPr>
          <w:rFonts w:asciiTheme="majorHAnsi" w:hAnsiTheme="majorHAnsi"/>
          <w:bCs/>
          <w:lang w:eastAsia="sk-SK"/>
        </w:rPr>
        <w:t xml:space="preserve">tivít, </w:t>
      </w:r>
      <w:r>
        <w:rPr>
          <w:rFonts w:asciiTheme="majorHAnsi" w:hAnsiTheme="majorHAnsi"/>
          <w:bCs/>
          <w:lang w:eastAsia="sk-SK"/>
        </w:rPr>
        <w:t>k</w:t>
      </w:r>
      <w:r w:rsidR="00D97293" w:rsidRPr="00A11FE0">
        <w:rPr>
          <w:rFonts w:asciiTheme="majorHAnsi" w:hAnsiTheme="majorHAnsi"/>
          <w:bCs/>
          <w:lang w:eastAsia="sk-SK"/>
        </w:rPr>
        <w:t xml:space="preserve">toré prispievajú </w:t>
      </w:r>
      <w:r>
        <w:rPr>
          <w:rFonts w:asciiTheme="majorHAnsi" w:hAnsiTheme="majorHAnsi"/>
          <w:bCs/>
          <w:lang w:eastAsia="sk-SK"/>
        </w:rPr>
        <w:t>k</w:t>
      </w:r>
      <w:r w:rsidR="00D97293" w:rsidRPr="00A11FE0">
        <w:rPr>
          <w:rFonts w:asciiTheme="majorHAnsi" w:hAnsiTheme="majorHAnsi"/>
          <w:bCs/>
          <w:lang w:eastAsia="sk-SK"/>
        </w:rPr>
        <w:t xml:space="preserve"> plneniu cieľov Dunajskej </w:t>
      </w:r>
      <w:r>
        <w:rPr>
          <w:rFonts w:asciiTheme="majorHAnsi" w:hAnsiTheme="majorHAnsi"/>
          <w:bCs/>
          <w:lang w:eastAsia="sk-SK"/>
        </w:rPr>
        <w:t>s</w:t>
      </w:r>
      <w:r w:rsidR="00D97293" w:rsidRPr="00A11FE0">
        <w:rPr>
          <w:rFonts w:asciiTheme="majorHAnsi" w:hAnsiTheme="majorHAnsi"/>
          <w:bCs/>
          <w:lang w:eastAsia="sk-SK"/>
        </w:rPr>
        <w:t xml:space="preserve">tratégie, riadiaci orgán vyhodnotí </w:t>
      </w:r>
      <w:r>
        <w:rPr>
          <w:rFonts w:asciiTheme="majorHAnsi" w:hAnsiTheme="majorHAnsi"/>
          <w:bCs/>
          <w:lang w:eastAsia="sk-SK"/>
        </w:rPr>
        <w:t>k</w:t>
      </w:r>
      <w:r w:rsidR="00D97293" w:rsidRPr="00A11FE0">
        <w:rPr>
          <w:rFonts w:asciiTheme="majorHAnsi" w:hAnsiTheme="majorHAnsi"/>
          <w:bCs/>
          <w:lang w:eastAsia="sk-SK"/>
        </w:rPr>
        <w:t xml:space="preserve">omplementaritu </w:t>
      </w:r>
      <w:r>
        <w:rPr>
          <w:rFonts w:asciiTheme="majorHAnsi" w:hAnsiTheme="majorHAnsi"/>
          <w:bCs/>
          <w:lang w:eastAsia="sk-SK"/>
        </w:rPr>
        <w:t>a</w:t>
      </w:r>
      <w:r w:rsidR="00D97293" w:rsidRPr="00A11FE0">
        <w:rPr>
          <w:rFonts w:asciiTheme="majorHAnsi" w:hAnsiTheme="majorHAnsi"/>
          <w:bCs/>
          <w:lang w:eastAsia="sk-SK"/>
        </w:rPr>
        <w:t> </w:t>
      </w:r>
      <w:r>
        <w:rPr>
          <w:rFonts w:asciiTheme="majorHAnsi" w:hAnsiTheme="majorHAnsi"/>
          <w:bCs/>
          <w:lang w:eastAsia="sk-SK"/>
        </w:rPr>
        <w:t>s</w:t>
      </w:r>
      <w:r w:rsidR="00D97293" w:rsidRPr="00A11FE0">
        <w:rPr>
          <w:rFonts w:asciiTheme="majorHAnsi" w:hAnsiTheme="majorHAnsi"/>
          <w:bCs/>
          <w:lang w:eastAsia="sk-SK"/>
        </w:rPr>
        <w:t xml:space="preserve">ynergiu výzvy </w:t>
      </w:r>
      <w:r>
        <w:rPr>
          <w:rFonts w:asciiTheme="majorHAnsi" w:hAnsiTheme="majorHAnsi"/>
          <w:bCs/>
          <w:lang w:eastAsia="sk-SK"/>
        </w:rPr>
        <w:t>s</w:t>
      </w:r>
      <w:r w:rsidR="00D97293" w:rsidRPr="00A11FE0">
        <w:rPr>
          <w:rFonts w:asciiTheme="majorHAnsi" w:hAnsiTheme="majorHAnsi"/>
          <w:bCs/>
          <w:lang w:eastAsia="sk-SK"/>
        </w:rPr>
        <w:t> </w:t>
      </w:r>
      <w:r>
        <w:rPr>
          <w:rFonts w:asciiTheme="majorHAnsi" w:hAnsiTheme="majorHAnsi"/>
          <w:bCs/>
          <w:lang w:eastAsia="sk-SK"/>
        </w:rPr>
        <w:t>ak</w:t>
      </w:r>
      <w:r w:rsidR="00D97293" w:rsidRPr="00A11FE0">
        <w:rPr>
          <w:rFonts w:asciiTheme="majorHAnsi" w:hAnsiTheme="majorHAnsi"/>
          <w:bCs/>
          <w:lang w:eastAsia="sk-SK"/>
        </w:rPr>
        <w:t xml:space="preserve">tivitami Dunajskej </w:t>
      </w:r>
      <w:r>
        <w:rPr>
          <w:rFonts w:asciiTheme="majorHAnsi" w:hAnsiTheme="majorHAnsi"/>
          <w:bCs/>
          <w:lang w:eastAsia="sk-SK"/>
        </w:rPr>
        <w:t>s</w:t>
      </w:r>
      <w:r w:rsidR="00D97293" w:rsidRPr="00A11FE0">
        <w:rPr>
          <w:rFonts w:asciiTheme="majorHAnsi" w:hAnsiTheme="majorHAnsi"/>
          <w:bCs/>
          <w:lang w:eastAsia="sk-SK"/>
        </w:rPr>
        <w:t xml:space="preserve">tratégie pred jej vyhlásením </w:t>
      </w:r>
      <w:r>
        <w:rPr>
          <w:rFonts w:asciiTheme="majorHAnsi" w:hAnsiTheme="majorHAnsi"/>
          <w:bCs/>
          <w:lang w:eastAsia="sk-SK"/>
        </w:rPr>
        <w:t>a</w:t>
      </w:r>
      <w:r w:rsidR="00D97293" w:rsidRPr="00A11FE0">
        <w:rPr>
          <w:rFonts w:asciiTheme="majorHAnsi" w:hAnsiTheme="majorHAnsi"/>
          <w:bCs/>
          <w:lang w:eastAsia="sk-SK"/>
        </w:rPr>
        <w:t xml:space="preserve"> vyhodnotenie príspevku predloží tejto pracovnej </w:t>
      </w:r>
      <w:r>
        <w:rPr>
          <w:rFonts w:asciiTheme="majorHAnsi" w:hAnsiTheme="majorHAnsi"/>
          <w:bCs/>
          <w:lang w:eastAsia="sk-SK"/>
        </w:rPr>
        <w:t>s</w:t>
      </w:r>
      <w:r w:rsidR="00D97293" w:rsidRPr="00A11FE0">
        <w:rPr>
          <w:rFonts w:asciiTheme="majorHAnsi" w:hAnsiTheme="majorHAnsi"/>
          <w:bCs/>
          <w:lang w:eastAsia="sk-SK"/>
        </w:rPr>
        <w:t>kupine na vyjadrenie.</w:t>
      </w:r>
      <w:r w:rsidR="00A90DCD">
        <w:rPr>
          <w:rFonts w:asciiTheme="majorHAnsi" w:hAnsiTheme="majorHAnsi"/>
          <w:bCs/>
          <w:lang w:eastAsia="sk-SK"/>
        </w:rPr>
        <w:br w:type="page"/>
      </w:r>
    </w:p>
    <w:p w:rsidR="00D97293" w:rsidRPr="00080D89" w:rsidRDefault="000D2E63" w:rsidP="00174E83">
      <w:pPr>
        <w:pStyle w:val="Popis"/>
        <w:keepNext/>
        <w:spacing w:before="240" w:after="0"/>
        <w:rPr>
          <w:rFonts w:asciiTheme="majorHAnsi" w:eastAsia="MS Gothic" w:hAnsiTheme="majorHAnsi"/>
          <w:b w:val="0"/>
          <w:sz w:val="18"/>
          <w:szCs w:val="18"/>
          <w:lang w:eastAsia="x-none"/>
        </w:rPr>
      </w:pPr>
      <w:r w:rsidRPr="00080D89">
        <w:rPr>
          <w:rFonts w:asciiTheme="majorHAnsi" w:eastAsia="MS Gothic" w:hAnsiTheme="majorHAnsi"/>
          <w:b w:val="0"/>
          <w:sz w:val="18"/>
          <w:szCs w:val="18"/>
          <w:lang w:eastAsia="x-none"/>
        </w:rPr>
        <w:lastRenderedPageBreak/>
        <w:t xml:space="preserve">Tabuľka </w:t>
      </w:r>
      <w:r w:rsidR="004B1847" w:rsidRPr="00080D89">
        <w:rPr>
          <w:rFonts w:asciiTheme="majorHAnsi" w:eastAsia="MS Gothic" w:hAnsiTheme="majorHAnsi"/>
          <w:b w:val="0"/>
          <w:sz w:val="18"/>
          <w:szCs w:val="18"/>
          <w:lang w:eastAsia="x-none"/>
        </w:rPr>
        <w:t>1</w:t>
      </w:r>
      <w:r w:rsidR="004E018F">
        <w:rPr>
          <w:rFonts w:asciiTheme="majorHAnsi" w:eastAsia="MS Gothic" w:hAnsiTheme="majorHAnsi"/>
          <w:b w:val="0"/>
          <w:sz w:val="18"/>
          <w:szCs w:val="18"/>
          <w:lang w:eastAsia="x-none"/>
        </w:rPr>
        <w:t>9</w:t>
      </w:r>
    </w:p>
    <w:tbl>
      <w:tblPr>
        <w:tblpPr w:leftFromText="141" w:rightFromText="141" w:vertAnchor="text" w:horzAnchor="page" w:tblpX="1410" w:tblpY="90"/>
        <w:tblW w:w="5000" w:type="pct"/>
        <w:tblCellMar>
          <w:left w:w="70" w:type="dxa"/>
          <w:right w:w="70" w:type="dxa"/>
        </w:tblCellMar>
        <w:tblLook w:val="04A0" w:firstRow="1" w:lastRow="0" w:firstColumn="1" w:lastColumn="0" w:noHBand="0" w:noVBand="1"/>
      </w:tblPr>
      <w:tblGrid>
        <w:gridCol w:w="5017"/>
        <w:gridCol w:w="450"/>
        <w:gridCol w:w="450"/>
        <w:gridCol w:w="449"/>
        <w:gridCol w:w="449"/>
        <w:gridCol w:w="449"/>
        <w:gridCol w:w="449"/>
        <w:gridCol w:w="449"/>
        <w:gridCol w:w="449"/>
        <w:gridCol w:w="599"/>
      </w:tblGrid>
      <w:tr w:rsidR="00D97293" w:rsidRPr="00A11FE0" w:rsidTr="00D97293">
        <w:trPr>
          <w:trHeight w:val="270"/>
          <w:tblHeader/>
        </w:trPr>
        <w:tc>
          <w:tcPr>
            <w:tcW w:w="2723" w:type="pct"/>
            <w:vMerge w:val="restart"/>
            <w:tcBorders>
              <w:top w:val="single" w:sz="4" w:space="0" w:color="auto"/>
              <w:left w:val="single" w:sz="4" w:space="0" w:color="auto"/>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 xml:space="preserve">Prioritné oblasti Dunajskej </w:t>
            </w:r>
            <w:r w:rsidR="00BD5FD5">
              <w:rPr>
                <w:rFonts w:asciiTheme="majorHAnsi" w:hAnsiTheme="majorHAnsi"/>
                <w:b/>
                <w:bCs/>
                <w:color w:val="000000"/>
                <w:sz w:val="16"/>
                <w:szCs w:val="16"/>
                <w:lang w:eastAsia="sk-SK"/>
              </w:rPr>
              <w:t>s</w:t>
            </w:r>
            <w:r w:rsidRPr="00A11FE0">
              <w:rPr>
                <w:rFonts w:asciiTheme="majorHAnsi" w:hAnsiTheme="majorHAnsi"/>
                <w:b/>
                <w:bCs/>
                <w:color w:val="000000"/>
                <w:sz w:val="16"/>
                <w:szCs w:val="16"/>
                <w:lang w:eastAsia="sk-SK"/>
              </w:rPr>
              <w:t>tratégie</w:t>
            </w:r>
          </w:p>
        </w:tc>
        <w:tc>
          <w:tcPr>
            <w:tcW w:w="976" w:type="pct"/>
            <w:gridSpan w:val="4"/>
            <w:tcBorders>
              <w:top w:val="single" w:sz="4" w:space="0" w:color="auto"/>
              <w:left w:val="nil"/>
              <w:bottom w:val="single" w:sz="4" w:space="0" w:color="auto"/>
              <w:right w:val="single" w:sz="4" w:space="0" w:color="auto"/>
            </w:tcBorders>
            <w:vAlign w:val="center"/>
            <w:hideMark/>
          </w:tcPr>
          <w:p w:rsidR="00D97293" w:rsidRPr="00A11FE0" w:rsidRDefault="00D97293" w:rsidP="00100908">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 xml:space="preserve">ETC </w:t>
            </w:r>
            <w:r w:rsidR="00BD5FD5">
              <w:rPr>
                <w:rFonts w:asciiTheme="majorHAnsi" w:hAnsiTheme="majorHAnsi"/>
                <w:b/>
                <w:bCs/>
                <w:color w:val="000000"/>
                <w:sz w:val="16"/>
                <w:szCs w:val="16"/>
                <w:lang w:eastAsia="sk-SK"/>
              </w:rPr>
              <w:t>S</w:t>
            </w:r>
            <w:r w:rsidRPr="00A11FE0">
              <w:rPr>
                <w:rFonts w:asciiTheme="majorHAnsi" w:hAnsiTheme="majorHAnsi"/>
                <w:b/>
                <w:bCs/>
                <w:color w:val="000000"/>
                <w:sz w:val="16"/>
                <w:szCs w:val="16"/>
                <w:lang w:eastAsia="sk-SK"/>
              </w:rPr>
              <w:t xml:space="preserve">tredná </w:t>
            </w:r>
            <w:r w:rsidR="00992762">
              <w:rPr>
                <w:rFonts w:asciiTheme="majorHAnsi" w:hAnsiTheme="majorHAnsi"/>
                <w:b/>
                <w:bCs/>
                <w:color w:val="000000"/>
                <w:sz w:val="16"/>
                <w:szCs w:val="16"/>
                <w:lang w:eastAsia="sk-SK"/>
              </w:rPr>
              <w:t>E</w:t>
            </w:r>
            <w:r w:rsidR="00B16A93">
              <w:rPr>
                <w:rFonts w:asciiTheme="majorHAnsi" w:hAnsiTheme="majorHAnsi"/>
                <w:b/>
                <w:bCs/>
                <w:color w:val="000000"/>
                <w:sz w:val="16"/>
                <w:szCs w:val="16"/>
                <w:lang w:eastAsia="sk-SK"/>
              </w:rPr>
              <w:t>ur</w:t>
            </w:r>
            <w:r w:rsidRPr="00A11FE0">
              <w:rPr>
                <w:rFonts w:asciiTheme="majorHAnsi" w:hAnsiTheme="majorHAnsi"/>
                <w:b/>
                <w:bCs/>
                <w:color w:val="000000"/>
                <w:sz w:val="16"/>
                <w:szCs w:val="16"/>
                <w:lang w:eastAsia="sk-SK"/>
              </w:rPr>
              <w:t>ópa</w:t>
            </w:r>
          </w:p>
        </w:tc>
        <w:tc>
          <w:tcPr>
            <w:tcW w:w="1301" w:type="pct"/>
            <w:gridSpan w:val="5"/>
            <w:tcBorders>
              <w:top w:val="single" w:sz="4" w:space="0" w:color="auto"/>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ETC Dunaj</w:t>
            </w:r>
          </w:p>
        </w:tc>
      </w:tr>
      <w:tr w:rsidR="00D97293" w:rsidRPr="00A11FE0" w:rsidTr="00D97293">
        <w:trPr>
          <w:trHeight w:val="430"/>
          <w:tblHeader/>
        </w:trPr>
        <w:tc>
          <w:tcPr>
            <w:tcW w:w="2723" w:type="pct"/>
            <w:vMerge/>
            <w:tcBorders>
              <w:top w:val="single" w:sz="4" w:space="0" w:color="auto"/>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6"/>
                <w:szCs w:val="16"/>
                <w:lang w:eastAsia="sk-SK"/>
              </w:rPr>
            </w:pPr>
          </w:p>
        </w:tc>
        <w:tc>
          <w:tcPr>
            <w:tcW w:w="244"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1</w:t>
            </w:r>
          </w:p>
        </w:tc>
        <w:tc>
          <w:tcPr>
            <w:tcW w:w="244"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4</w:t>
            </w:r>
          </w:p>
        </w:tc>
        <w:tc>
          <w:tcPr>
            <w:tcW w:w="244" w:type="pct"/>
            <w:tcBorders>
              <w:top w:val="single" w:sz="4" w:space="0" w:color="auto"/>
              <w:left w:val="nil"/>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6</w:t>
            </w:r>
          </w:p>
        </w:tc>
        <w:tc>
          <w:tcPr>
            <w:tcW w:w="244"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7</w:t>
            </w:r>
          </w:p>
        </w:tc>
        <w:tc>
          <w:tcPr>
            <w:tcW w:w="244"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1</w:t>
            </w:r>
          </w:p>
        </w:tc>
        <w:tc>
          <w:tcPr>
            <w:tcW w:w="244"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5</w:t>
            </w:r>
          </w:p>
        </w:tc>
        <w:tc>
          <w:tcPr>
            <w:tcW w:w="244"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6</w:t>
            </w:r>
          </w:p>
        </w:tc>
        <w:tc>
          <w:tcPr>
            <w:tcW w:w="244"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7</w:t>
            </w:r>
          </w:p>
        </w:tc>
        <w:tc>
          <w:tcPr>
            <w:tcW w:w="325"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4"/>
                <w:szCs w:val="14"/>
                <w:lang w:eastAsia="sk-SK"/>
              </w:rPr>
            </w:pPr>
            <w:r w:rsidRPr="00A11FE0">
              <w:rPr>
                <w:rFonts w:asciiTheme="majorHAnsi" w:hAnsiTheme="majorHAnsi"/>
                <w:bCs/>
                <w:color w:val="000000"/>
                <w:sz w:val="14"/>
                <w:szCs w:val="14"/>
                <w:lang w:eastAsia="sk-SK"/>
              </w:rPr>
              <w:t>TC 11</w:t>
            </w:r>
          </w:p>
        </w:tc>
      </w:tr>
      <w:tr w:rsidR="00D97293" w:rsidRPr="00A11FE0" w:rsidTr="00D97293">
        <w:trPr>
          <w:trHeight w:val="300"/>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 xml:space="preserve">1. Zlepšiť mobilitu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multimodalitu</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single" w:sz="4" w:space="0" w:color="auto"/>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300"/>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2.Podporovať udržateľné energetické zdroje</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362"/>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 xml:space="preserve">3. Podporovať </w:t>
            </w:r>
            <w:r w:rsidR="00BD5FD5">
              <w:rPr>
                <w:rFonts w:asciiTheme="majorHAnsi" w:hAnsiTheme="majorHAnsi"/>
                <w:bCs/>
                <w:color w:val="000000"/>
                <w:sz w:val="16"/>
                <w:szCs w:val="16"/>
                <w:lang w:eastAsia="sk-SK"/>
              </w:rPr>
              <w:t>k</w:t>
            </w:r>
            <w:r w:rsidRPr="00A11FE0">
              <w:rPr>
                <w:rFonts w:asciiTheme="majorHAnsi" w:hAnsiTheme="majorHAnsi"/>
                <w:bCs/>
                <w:color w:val="000000"/>
                <w:sz w:val="16"/>
                <w:szCs w:val="16"/>
                <w:lang w:eastAsia="sk-SK"/>
              </w:rPr>
              <w:t xml:space="preserve">ultúru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cestovný ruch, </w:t>
            </w:r>
            <w:r w:rsidR="00BD5FD5">
              <w:rPr>
                <w:rFonts w:asciiTheme="majorHAnsi" w:hAnsiTheme="majorHAnsi"/>
                <w:bCs/>
                <w:color w:val="000000"/>
                <w:sz w:val="16"/>
                <w:szCs w:val="16"/>
                <w:lang w:eastAsia="sk-SK"/>
              </w:rPr>
              <w:t>k</w:t>
            </w:r>
            <w:r w:rsidRPr="00A11FE0">
              <w:rPr>
                <w:rFonts w:asciiTheme="majorHAnsi" w:hAnsiTheme="majorHAnsi"/>
                <w:bCs/>
                <w:color w:val="000000"/>
                <w:sz w:val="16"/>
                <w:szCs w:val="16"/>
                <w:lang w:eastAsia="sk-SK"/>
              </w:rPr>
              <w:t>ontakty medzi ľuďmi</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300"/>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100908" w:rsidP="00100908">
            <w:pPr>
              <w:spacing w:after="0"/>
              <w:rPr>
                <w:rFonts w:asciiTheme="majorHAnsi" w:hAnsiTheme="majorHAnsi"/>
                <w:color w:val="000000"/>
                <w:sz w:val="16"/>
                <w:szCs w:val="16"/>
                <w:lang w:eastAsia="sk-SK"/>
              </w:rPr>
            </w:pPr>
            <w:r>
              <w:rPr>
                <w:rFonts w:asciiTheme="majorHAnsi" w:hAnsiTheme="majorHAnsi"/>
                <w:bCs/>
                <w:color w:val="000000"/>
                <w:sz w:val="16"/>
                <w:szCs w:val="16"/>
                <w:lang w:eastAsia="sk-SK"/>
              </w:rPr>
              <w:t>4. Obnoviť</w:t>
            </w:r>
            <w:r w:rsidR="00D97293" w:rsidRPr="00A11FE0">
              <w:rPr>
                <w:rFonts w:asciiTheme="majorHAnsi" w:hAnsiTheme="majorHAnsi"/>
                <w:bCs/>
                <w:color w:val="000000"/>
                <w:sz w:val="16"/>
                <w:szCs w:val="16"/>
                <w:lang w:eastAsia="sk-SK"/>
              </w:rPr>
              <w:t xml:space="preserve"> </w:t>
            </w:r>
            <w:r w:rsidR="00BD5FD5">
              <w:rPr>
                <w:rFonts w:asciiTheme="majorHAnsi" w:hAnsiTheme="majorHAnsi"/>
                <w:bCs/>
                <w:color w:val="000000"/>
                <w:sz w:val="16"/>
                <w:szCs w:val="16"/>
                <w:lang w:eastAsia="sk-SK"/>
              </w:rPr>
              <w:t>a</w:t>
            </w:r>
            <w:r w:rsidR="00D97293" w:rsidRPr="00A11FE0">
              <w:rPr>
                <w:rFonts w:asciiTheme="majorHAnsi" w:hAnsiTheme="majorHAnsi"/>
                <w:bCs/>
                <w:color w:val="000000"/>
                <w:sz w:val="16"/>
                <w:szCs w:val="16"/>
                <w:lang w:eastAsia="sk-SK"/>
              </w:rPr>
              <w:t xml:space="preserve"> udržať </w:t>
            </w:r>
            <w:r w:rsidR="00BD5FD5">
              <w:rPr>
                <w:rFonts w:asciiTheme="majorHAnsi" w:hAnsiTheme="majorHAnsi"/>
                <w:bCs/>
                <w:color w:val="000000"/>
                <w:sz w:val="16"/>
                <w:szCs w:val="16"/>
                <w:lang w:eastAsia="sk-SK"/>
              </w:rPr>
              <w:t>k</w:t>
            </w:r>
            <w:r w:rsidR="00D97293" w:rsidRPr="00A11FE0">
              <w:rPr>
                <w:rFonts w:asciiTheme="majorHAnsi" w:hAnsiTheme="majorHAnsi"/>
                <w:bCs/>
                <w:color w:val="000000"/>
                <w:sz w:val="16"/>
                <w:szCs w:val="16"/>
                <w:lang w:eastAsia="sk-SK"/>
              </w:rPr>
              <w:t>valitu vôd</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300"/>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D97293">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5. Riadiť riziká v oblasti životného prostredia</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362"/>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 xml:space="preserve">6. Chrániť biodiverzitu, </w:t>
            </w:r>
            <w:r w:rsidR="00BD5FD5">
              <w:rPr>
                <w:rFonts w:asciiTheme="majorHAnsi" w:hAnsiTheme="majorHAnsi"/>
                <w:bCs/>
                <w:color w:val="000000"/>
                <w:sz w:val="16"/>
                <w:szCs w:val="16"/>
                <w:lang w:eastAsia="sk-SK"/>
              </w:rPr>
              <w:t>k</w:t>
            </w:r>
            <w:r w:rsidRPr="00A11FE0">
              <w:rPr>
                <w:rFonts w:asciiTheme="majorHAnsi" w:hAnsiTheme="majorHAnsi"/>
                <w:bCs/>
                <w:color w:val="000000"/>
                <w:sz w:val="16"/>
                <w:szCs w:val="16"/>
                <w:lang w:eastAsia="sk-SK"/>
              </w:rPr>
              <w:t xml:space="preserve">rajinu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w:t>
            </w:r>
            <w:r w:rsidR="00BD5FD5">
              <w:rPr>
                <w:rFonts w:asciiTheme="majorHAnsi" w:hAnsiTheme="majorHAnsi"/>
                <w:bCs/>
                <w:color w:val="000000"/>
                <w:sz w:val="16"/>
                <w:szCs w:val="16"/>
                <w:lang w:eastAsia="sk-SK"/>
              </w:rPr>
              <w:t>k</w:t>
            </w:r>
            <w:r w:rsidRPr="00A11FE0">
              <w:rPr>
                <w:rFonts w:asciiTheme="majorHAnsi" w:hAnsiTheme="majorHAnsi"/>
                <w:bCs/>
                <w:color w:val="000000"/>
                <w:sz w:val="16"/>
                <w:szCs w:val="16"/>
                <w:lang w:eastAsia="sk-SK"/>
              </w:rPr>
              <w:t xml:space="preserve">valitu ovzdušia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pôd</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424"/>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 xml:space="preserve">7. Rozvíjať znalostnú </w:t>
            </w:r>
            <w:r w:rsidR="00BD5FD5">
              <w:rPr>
                <w:rFonts w:asciiTheme="majorHAnsi" w:hAnsiTheme="majorHAnsi"/>
                <w:bCs/>
                <w:color w:val="000000"/>
                <w:sz w:val="16"/>
                <w:szCs w:val="16"/>
                <w:lang w:eastAsia="sk-SK"/>
              </w:rPr>
              <w:t>s</w:t>
            </w:r>
            <w:r w:rsidRPr="00A11FE0">
              <w:rPr>
                <w:rFonts w:asciiTheme="majorHAnsi" w:hAnsiTheme="majorHAnsi"/>
                <w:bCs/>
                <w:color w:val="000000"/>
                <w:sz w:val="16"/>
                <w:szCs w:val="16"/>
                <w:lang w:eastAsia="sk-SK"/>
              </w:rPr>
              <w:t xml:space="preserve">poločnosť prostredníctvom výskumu, vzdelávania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informačných technológií</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427"/>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 xml:space="preserve">8. Podporovať </w:t>
            </w:r>
            <w:r w:rsidR="00BD5FD5">
              <w:rPr>
                <w:rFonts w:asciiTheme="majorHAnsi" w:hAnsiTheme="majorHAnsi"/>
                <w:bCs/>
                <w:color w:val="000000"/>
                <w:sz w:val="16"/>
                <w:szCs w:val="16"/>
                <w:lang w:eastAsia="sk-SK"/>
              </w:rPr>
              <w:t>k</w:t>
            </w:r>
            <w:r w:rsidRPr="00A11FE0">
              <w:rPr>
                <w:rFonts w:asciiTheme="majorHAnsi" w:hAnsiTheme="majorHAnsi"/>
                <w:bCs/>
                <w:color w:val="000000"/>
                <w:sz w:val="16"/>
                <w:szCs w:val="16"/>
                <w:lang w:eastAsia="sk-SK"/>
              </w:rPr>
              <w:t>onkurencieschopnosť podnikov vrátane rozvoja zoskupení</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r w:rsidR="00D97293" w:rsidRPr="00A11FE0" w:rsidTr="00D97293">
        <w:trPr>
          <w:trHeight w:val="261"/>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 xml:space="preserve">9. Investovať do ľudí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zručností</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bCs/>
                <w:color w:val="000000"/>
                <w:sz w:val="16"/>
                <w:szCs w:val="16"/>
                <w:lang w:eastAsia="sk-SK"/>
              </w:rPr>
              <w:t>X</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color w:val="000000"/>
                <w:sz w:val="16"/>
                <w:szCs w:val="16"/>
                <w:lang w:eastAsia="sk-SK"/>
              </w:rPr>
              <w:t>X</w:t>
            </w:r>
          </w:p>
        </w:tc>
      </w:tr>
      <w:tr w:rsidR="00D97293" w:rsidRPr="00A11FE0" w:rsidTr="00D97293">
        <w:trPr>
          <w:trHeight w:val="223"/>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 xml:space="preserve">10. Zvýšiť inštitucionálnu </w:t>
            </w:r>
            <w:r w:rsidR="00BD5FD5">
              <w:rPr>
                <w:rFonts w:asciiTheme="majorHAnsi" w:hAnsiTheme="majorHAnsi"/>
                <w:bCs/>
                <w:color w:val="000000"/>
                <w:sz w:val="16"/>
                <w:szCs w:val="16"/>
                <w:lang w:eastAsia="sk-SK"/>
              </w:rPr>
              <w:t>k</w:t>
            </w:r>
            <w:r w:rsidRPr="00A11FE0">
              <w:rPr>
                <w:rFonts w:asciiTheme="majorHAnsi" w:hAnsiTheme="majorHAnsi"/>
                <w:bCs/>
                <w:color w:val="000000"/>
                <w:sz w:val="16"/>
                <w:szCs w:val="16"/>
                <w:lang w:eastAsia="sk-SK"/>
              </w:rPr>
              <w:t xml:space="preserve">apacitu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w:t>
            </w:r>
            <w:r w:rsidR="00BD5FD5">
              <w:rPr>
                <w:rFonts w:asciiTheme="majorHAnsi" w:hAnsiTheme="majorHAnsi"/>
                <w:bCs/>
                <w:color w:val="000000"/>
                <w:sz w:val="16"/>
                <w:szCs w:val="16"/>
                <w:lang w:eastAsia="sk-SK"/>
              </w:rPr>
              <w:t>s</w:t>
            </w:r>
            <w:r w:rsidRPr="00A11FE0">
              <w:rPr>
                <w:rFonts w:asciiTheme="majorHAnsi" w:hAnsiTheme="majorHAnsi"/>
                <w:bCs/>
                <w:color w:val="000000"/>
                <w:sz w:val="16"/>
                <w:szCs w:val="16"/>
                <w:lang w:eastAsia="sk-SK"/>
              </w:rPr>
              <w:t>poluprácu</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r w:rsidRPr="00A11FE0">
              <w:rPr>
                <w:rFonts w:asciiTheme="majorHAnsi" w:hAnsiTheme="majorHAnsi"/>
                <w:b/>
                <w:color w:val="000000"/>
                <w:sz w:val="16"/>
                <w:szCs w:val="16"/>
                <w:lang w:eastAsia="sk-SK"/>
              </w:rPr>
              <w:t>X</w:t>
            </w:r>
          </w:p>
        </w:tc>
      </w:tr>
      <w:tr w:rsidR="00D97293" w:rsidRPr="00A11FE0" w:rsidTr="00D97293">
        <w:trPr>
          <w:trHeight w:val="269"/>
        </w:trPr>
        <w:tc>
          <w:tcPr>
            <w:tcW w:w="2723" w:type="pct"/>
            <w:tcBorders>
              <w:top w:val="nil"/>
              <w:left w:val="single" w:sz="4" w:space="0" w:color="auto"/>
              <w:bottom w:val="single" w:sz="4" w:space="0" w:color="auto"/>
              <w:right w:val="single" w:sz="4" w:space="0" w:color="auto"/>
            </w:tcBorders>
            <w:vAlign w:val="center"/>
            <w:hideMark/>
          </w:tcPr>
          <w:p w:rsidR="00D97293" w:rsidRPr="00A11FE0" w:rsidRDefault="00D97293" w:rsidP="00100908">
            <w:pPr>
              <w:spacing w:after="0"/>
              <w:rPr>
                <w:rFonts w:asciiTheme="majorHAnsi" w:hAnsiTheme="majorHAnsi"/>
                <w:color w:val="000000"/>
                <w:sz w:val="16"/>
                <w:szCs w:val="16"/>
                <w:lang w:eastAsia="sk-SK"/>
              </w:rPr>
            </w:pPr>
            <w:r w:rsidRPr="00A11FE0">
              <w:rPr>
                <w:rFonts w:asciiTheme="majorHAnsi" w:hAnsiTheme="majorHAnsi"/>
                <w:bCs/>
                <w:color w:val="000000"/>
                <w:sz w:val="16"/>
                <w:szCs w:val="16"/>
                <w:lang w:eastAsia="sk-SK"/>
              </w:rPr>
              <w:t>11.</w:t>
            </w:r>
            <w:r w:rsidR="00BD5FD5">
              <w:rPr>
                <w:rFonts w:asciiTheme="majorHAnsi" w:hAnsiTheme="majorHAnsi"/>
                <w:bCs/>
                <w:color w:val="000000"/>
                <w:sz w:val="16"/>
                <w:szCs w:val="16"/>
                <w:lang w:eastAsia="sk-SK"/>
              </w:rPr>
              <w:t>S</w:t>
            </w:r>
            <w:r w:rsidRPr="00A11FE0">
              <w:rPr>
                <w:rFonts w:asciiTheme="majorHAnsi" w:hAnsiTheme="majorHAnsi"/>
                <w:bCs/>
                <w:color w:val="000000"/>
                <w:sz w:val="16"/>
                <w:szCs w:val="16"/>
                <w:lang w:eastAsia="sk-SK"/>
              </w:rPr>
              <w:t xml:space="preserve">polupracovať </w:t>
            </w:r>
            <w:r w:rsidR="00BD5FD5">
              <w:rPr>
                <w:rFonts w:asciiTheme="majorHAnsi" w:hAnsiTheme="majorHAnsi"/>
                <w:bCs/>
                <w:color w:val="000000"/>
                <w:sz w:val="16"/>
                <w:szCs w:val="16"/>
                <w:lang w:eastAsia="sk-SK"/>
              </w:rPr>
              <w:t>s</w:t>
            </w:r>
            <w:r w:rsidRPr="00A11FE0">
              <w:rPr>
                <w:rFonts w:asciiTheme="majorHAnsi" w:hAnsiTheme="majorHAnsi"/>
                <w:bCs/>
                <w:color w:val="000000"/>
                <w:sz w:val="16"/>
                <w:szCs w:val="16"/>
                <w:lang w:eastAsia="sk-SK"/>
              </w:rPr>
              <w:t xml:space="preserve"> cieľom podporiť bezpečnosť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riešiť organizovanú </w:t>
            </w:r>
            <w:r w:rsidR="00BD5FD5">
              <w:rPr>
                <w:rFonts w:asciiTheme="majorHAnsi" w:hAnsiTheme="majorHAnsi"/>
                <w:bCs/>
                <w:color w:val="000000"/>
                <w:sz w:val="16"/>
                <w:szCs w:val="16"/>
                <w:lang w:eastAsia="sk-SK"/>
              </w:rPr>
              <w:t>a</w:t>
            </w:r>
            <w:r w:rsidRPr="00A11FE0">
              <w:rPr>
                <w:rFonts w:asciiTheme="majorHAnsi" w:hAnsiTheme="majorHAnsi"/>
                <w:bCs/>
                <w:color w:val="000000"/>
                <w:sz w:val="16"/>
                <w:szCs w:val="16"/>
                <w:lang w:eastAsia="sk-SK"/>
              </w:rPr>
              <w:t xml:space="preserve"> závažnú trestnú činnosť</w:t>
            </w: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244" w:type="pct"/>
            <w:tcBorders>
              <w:top w:val="nil"/>
              <w:left w:val="nil"/>
              <w:bottom w:val="single" w:sz="4" w:space="0" w:color="auto"/>
              <w:right w:val="single" w:sz="4" w:space="0" w:color="auto"/>
            </w:tcBorders>
            <w:vAlign w:val="center"/>
            <w:hideMark/>
          </w:tcPr>
          <w:p w:rsidR="00D97293" w:rsidRPr="00A11FE0" w:rsidRDefault="00D97293" w:rsidP="00D97293">
            <w:pPr>
              <w:spacing w:after="0"/>
              <w:jc w:val="center"/>
              <w:rPr>
                <w:rFonts w:asciiTheme="majorHAnsi" w:hAnsiTheme="majorHAnsi"/>
                <w:b/>
                <w:color w:val="000000"/>
                <w:sz w:val="16"/>
                <w:szCs w:val="16"/>
                <w:lang w:eastAsia="sk-SK"/>
              </w:rPr>
            </w:pPr>
          </w:p>
        </w:tc>
        <w:tc>
          <w:tcPr>
            <w:tcW w:w="325" w:type="pct"/>
            <w:tcBorders>
              <w:top w:val="nil"/>
              <w:left w:val="nil"/>
              <w:bottom w:val="single" w:sz="4" w:space="0" w:color="auto"/>
              <w:right w:val="single" w:sz="4" w:space="0" w:color="auto"/>
            </w:tcBorders>
            <w:noWrap/>
            <w:vAlign w:val="bottom"/>
            <w:hideMark/>
          </w:tcPr>
          <w:p w:rsidR="00D97293" w:rsidRPr="00A11FE0" w:rsidRDefault="00D97293" w:rsidP="00D97293">
            <w:pPr>
              <w:spacing w:after="0"/>
              <w:jc w:val="center"/>
              <w:rPr>
                <w:rFonts w:asciiTheme="majorHAnsi" w:hAnsiTheme="majorHAnsi"/>
                <w:b/>
                <w:color w:val="000000"/>
                <w:sz w:val="16"/>
                <w:szCs w:val="16"/>
                <w:lang w:eastAsia="sk-SK"/>
              </w:rPr>
            </w:pPr>
          </w:p>
        </w:tc>
      </w:tr>
    </w:tbl>
    <w:p w:rsidR="00D97293" w:rsidRPr="00A11FE0" w:rsidRDefault="00D97293" w:rsidP="00D97293">
      <w:pPr>
        <w:spacing w:after="0"/>
        <w:rPr>
          <w:rFonts w:asciiTheme="majorHAnsi" w:hAnsiTheme="majorHAnsi"/>
          <w:bCs/>
          <w:lang w:eastAsia="sk-SK"/>
        </w:rPr>
      </w:pPr>
      <w:r w:rsidRPr="00A11FE0">
        <w:rPr>
          <w:rFonts w:asciiTheme="majorHAnsi" w:hAnsiTheme="majorHAnsi"/>
          <w:bCs/>
          <w:lang w:eastAsia="sk-SK"/>
        </w:rPr>
        <w:t xml:space="preserve">Napĺňanie Dunajskej </w:t>
      </w:r>
      <w:r w:rsidR="00BD5FD5">
        <w:rPr>
          <w:rFonts w:asciiTheme="majorHAnsi" w:hAnsiTheme="majorHAnsi"/>
          <w:bCs/>
          <w:lang w:eastAsia="sk-SK"/>
        </w:rPr>
        <w:t>s</w:t>
      </w:r>
      <w:r w:rsidRPr="00A11FE0">
        <w:rPr>
          <w:rFonts w:asciiTheme="majorHAnsi" w:hAnsiTheme="majorHAnsi"/>
          <w:bCs/>
          <w:lang w:eastAsia="sk-SK"/>
        </w:rPr>
        <w:t xml:space="preserve">tratégie bude možné realizovať </w:t>
      </w:r>
      <w:r w:rsidR="00BD5FD5">
        <w:rPr>
          <w:rFonts w:asciiTheme="majorHAnsi" w:hAnsiTheme="majorHAnsi"/>
          <w:bCs/>
          <w:lang w:eastAsia="sk-SK"/>
        </w:rPr>
        <w:t>a</w:t>
      </w:r>
      <w:r w:rsidRPr="00A11FE0">
        <w:rPr>
          <w:rFonts w:asciiTheme="majorHAnsi" w:hAnsiTheme="majorHAnsi"/>
          <w:bCs/>
          <w:lang w:eastAsia="sk-SK"/>
        </w:rPr>
        <w:t xml:space="preserve">j cez relevantné hlavné programy podľa oblasti pôsobnosti. Tabuľka č. </w:t>
      </w:r>
      <w:r w:rsidR="005C5612">
        <w:rPr>
          <w:rFonts w:asciiTheme="majorHAnsi" w:hAnsiTheme="majorHAnsi"/>
          <w:bCs/>
          <w:lang w:eastAsia="sk-SK"/>
        </w:rPr>
        <w:t>20</w:t>
      </w:r>
      <w:r w:rsidR="004B1847" w:rsidRPr="00A11FE0">
        <w:rPr>
          <w:rFonts w:asciiTheme="majorHAnsi" w:hAnsiTheme="majorHAnsi"/>
          <w:bCs/>
          <w:lang w:eastAsia="sk-SK"/>
        </w:rPr>
        <w:t xml:space="preserve"> </w:t>
      </w:r>
      <w:r w:rsidRPr="00A11FE0">
        <w:rPr>
          <w:rFonts w:asciiTheme="majorHAnsi" w:hAnsiTheme="majorHAnsi"/>
          <w:bCs/>
          <w:lang w:eastAsia="sk-SK"/>
        </w:rPr>
        <w:t xml:space="preserve">zobrazuje </w:t>
      </w:r>
      <w:r w:rsidR="00BD5FD5">
        <w:rPr>
          <w:rFonts w:asciiTheme="majorHAnsi" w:hAnsiTheme="majorHAnsi"/>
          <w:bCs/>
          <w:lang w:eastAsia="sk-SK"/>
        </w:rPr>
        <w:t>s</w:t>
      </w:r>
      <w:r w:rsidRPr="00A11FE0">
        <w:rPr>
          <w:rFonts w:asciiTheme="majorHAnsi" w:hAnsiTheme="majorHAnsi"/>
          <w:bCs/>
          <w:lang w:eastAsia="sk-SK"/>
        </w:rPr>
        <w:t xml:space="preserve">ynergické prepojenia medzi prioritnými oblasťami Dunajskej </w:t>
      </w:r>
      <w:r w:rsidR="00BD5FD5">
        <w:rPr>
          <w:rFonts w:asciiTheme="majorHAnsi" w:hAnsiTheme="majorHAnsi"/>
          <w:bCs/>
          <w:lang w:eastAsia="sk-SK"/>
        </w:rPr>
        <w:t>s</w:t>
      </w:r>
      <w:r w:rsidRPr="00A11FE0">
        <w:rPr>
          <w:rFonts w:asciiTheme="majorHAnsi" w:hAnsiTheme="majorHAnsi"/>
          <w:bCs/>
          <w:lang w:eastAsia="sk-SK"/>
        </w:rPr>
        <w:t xml:space="preserve">tratégie </w:t>
      </w:r>
      <w:r w:rsidR="00BD5FD5">
        <w:rPr>
          <w:rFonts w:asciiTheme="majorHAnsi" w:hAnsiTheme="majorHAnsi"/>
          <w:bCs/>
          <w:lang w:eastAsia="sk-SK"/>
        </w:rPr>
        <w:t>a</w:t>
      </w:r>
      <w:r w:rsidRPr="00A11FE0">
        <w:rPr>
          <w:rFonts w:asciiTheme="majorHAnsi" w:hAnsiTheme="majorHAnsi"/>
          <w:bCs/>
          <w:lang w:eastAsia="sk-SK"/>
        </w:rPr>
        <w:t> hlavnými programami EŠIF.</w:t>
      </w:r>
    </w:p>
    <w:p w:rsidR="00D97293" w:rsidRPr="00080D89" w:rsidRDefault="000D2E63" w:rsidP="00174E83">
      <w:pPr>
        <w:pStyle w:val="Popis"/>
        <w:keepNext/>
        <w:spacing w:before="240" w:after="0"/>
        <w:rPr>
          <w:rFonts w:asciiTheme="majorHAnsi" w:eastAsia="MS Gothic" w:hAnsiTheme="majorHAnsi"/>
          <w:b w:val="0"/>
          <w:sz w:val="18"/>
          <w:szCs w:val="18"/>
          <w:lang w:eastAsia="x-none"/>
        </w:rPr>
      </w:pPr>
      <w:r w:rsidRPr="00080D89">
        <w:rPr>
          <w:rFonts w:asciiTheme="majorHAnsi" w:eastAsia="MS Gothic" w:hAnsiTheme="majorHAnsi"/>
          <w:b w:val="0"/>
          <w:sz w:val="18"/>
          <w:szCs w:val="18"/>
          <w:lang w:eastAsia="x-none"/>
        </w:rPr>
        <w:t xml:space="preserve">Tabuľka </w:t>
      </w:r>
      <w:r w:rsidR="004E018F">
        <w:rPr>
          <w:rFonts w:asciiTheme="majorHAnsi" w:eastAsia="MS Gothic" w:hAnsiTheme="majorHAnsi"/>
          <w:b w:val="0"/>
          <w:sz w:val="18"/>
          <w:szCs w:val="18"/>
          <w:lang w:eastAsia="x-none"/>
        </w:rPr>
        <w:t>20</w:t>
      </w:r>
    </w:p>
    <w:tbl>
      <w:tblPr>
        <w:tblW w:w="5000" w:type="pct"/>
        <w:tblCellMar>
          <w:left w:w="70" w:type="dxa"/>
          <w:right w:w="70" w:type="dxa"/>
        </w:tblCellMar>
        <w:tblLook w:val="04A0" w:firstRow="1" w:lastRow="0" w:firstColumn="1" w:lastColumn="0" w:noHBand="0" w:noVBand="1"/>
      </w:tblPr>
      <w:tblGrid>
        <w:gridCol w:w="3413"/>
        <w:gridCol w:w="774"/>
        <w:gridCol w:w="903"/>
        <w:gridCol w:w="772"/>
        <w:gridCol w:w="901"/>
        <w:gridCol w:w="903"/>
        <w:gridCol w:w="772"/>
        <w:gridCol w:w="772"/>
      </w:tblGrid>
      <w:tr w:rsidR="00E70845" w:rsidRPr="00A11FE0" w:rsidTr="00441780">
        <w:trPr>
          <w:trHeight w:val="60"/>
          <w:tblHeader/>
        </w:trPr>
        <w:tc>
          <w:tcPr>
            <w:tcW w:w="1853" w:type="pct"/>
            <w:vMerge w:val="restart"/>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100908">
            <w:pPr>
              <w:spacing w:after="0"/>
              <w:jc w:val="center"/>
              <w:rPr>
                <w:rFonts w:asciiTheme="majorHAnsi" w:hAnsiTheme="majorHAnsi" w:cs="Calibri"/>
                <w:b/>
                <w:bCs/>
                <w:color w:val="000000"/>
                <w:sz w:val="16"/>
                <w:szCs w:val="16"/>
                <w:lang w:eastAsia="sk-SK"/>
              </w:rPr>
            </w:pPr>
            <w:r w:rsidRPr="00A11FE0">
              <w:rPr>
                <w:rFonts w:asciiTheme="majorHAnsi" w:hAnsiTheme="majorHAnsi" w:cs="Calibri"/>
                <w:b/>
                <w:bCs/>
                <w:color w:val="000000"/>
                <w:sz w:val="16"/>
                <w:szCs w:val="16"/>
                <w:lang w:eastAsia="sk-SK"/>
              </w:rPr>
              <w:t xml:space="preserve">Prioritné oblasti </w:t>
            </w:r>
            <w:r w:rsidR="006A44F2">
              <w:rPr>
                <w:rFonts w:asciiTheme="majorHAnsi" w:hAnsiTheme="majorHAnsi" w:cs="Calibri"/>
                <w:b/>
                <w:bCs/>
                <w:color w:val="000000"/>
                <w:sz w:val="16"/>
                <w:szCs w:val="16"/>
                <w:lang w:eastAsia="sk-SK"/>
              </w:rPr>
              <w:t>D</w:t>
            </w:r>
            <w:r w:rsidRPr="00A11FE0">
              <w:rPr>
                <w:rFonts w:asciiTheme="majorHAnsi" w:hAnsiTheme="majorHAnsi" w:cs="Calibri"/>
                <w:b/>
                <w:bCs/>
                <w:color w:val="000000"/>
                <w:sz w:val="16"/>
                <w:szCs w:val="16"/>
                <w:lang w:eastAsia="sk-SK"/>
              </w:rPr>
              <w:t xml:space="preserve">unajskej </w:t>
            </w:r>
            <w:r w:rsidR="00BD5FD5">
              <w:rPr>
                <w:rFonts w:asciiTheme="majorHAnsi" w:hAnsiTheme="majorHAnsi" w:cs="Calibri"/>
                <w:b/>
                <w:bCs/>
                <w:color w:val="000000"/>
                <w:sz w:val="16"/>
                <w:szCs w:val="16"/>
                <w:lang w:eastAsia="sk-SK"/>
              </w:rPr>
              <w:t>s</w:t>
            </w:r>
            <w:r w:rsidRPr="00A11FE0">
              <w:rPr>
                <w:rFonts w:asciiTheme="majorHAnsi" w:hAnsiTheme="majorHAnsi" w:cs="Calibri"/>
                <w:b/>
                <w:bCs/>
                <w:color w:val="000000"/>
                <w:sz w:val="16"/>
                <w:szCs w:val="16"/>
                <w:lang w:eastAsia="sk-SK"/>
              </w:rPr>
              <w:t>tratégie</w:t>
            </w:r>
          </w:p>
        </w:tc>
        <w:tc>
          <w:tcPr>
            <w:tcW w:w="420" w:type="pct"/>
            <w:vMerge w:val="restart"/>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jc w:val="center"/>
              <w:rPr>
                <w:rFonts w:asciiTheme="majorHAnsi" w:hAnsiTheme="majorHAnsi" w:cs="Calibri"/>
                <w:b/>
                <w:color w:val="000000"/>
                <w:sz w:val="16"/>
                <w:szCs w:val="16"/>
                <w:lang w:eastAsia="sk-SK"/>
              </w:rPr>
            </w:pPr>
            <w:r w:rsidRPr="00A11FE0">
              <w:rPr>
                <w:rFonts w:asciiTheme="majorHAnsi" w:hAnsiTheme="majorHAnsi" w:cs="Calibri"/>
                <w:b/>
                <w:color w:val="000000"/>
                <w:sz w:val="16"/>
                <w:szCs w:val="16"/>
                <w:lang w:eastAsia="sk-SK"/>
              </w:rPr>
              <w:t>OP VaI</w:t>
            </w:r>
          </w:p>
        </w:tc>
        <w:tc>
          <w:tcPr>
            <w:tcW w:w="490" w:type="pct"/>
            <w:vMerge w:val="restart"/>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jc w:val="center"/>
              <w:rPr>
                <w:rFonts w:asciiTheme="majorHAnsi" w:hAnsiTheme="majorHAnsi" w:cs="Calibri"/>
                <w:b/>
                <w:color w:val="000000"/>
                <w:sz w:val="16"/>
                <w:szCs w:val="16"/>
                <w:lang w:eastAsia="sk-SK"/>
              </w:rPr>
            </w:pPr>
            <w:r w:rsidRPr="00A11FE0">
              <w:rPr>
                <w:rFonts w:asciiTheme="majorHAnsi" w:hAnsiTheme="majorHAnsi" w:cs="Calibri"/>
                <w:b/>
                <w:color w:val="000000"/>
                <w:sz w:val="16"/>
                <w:szCs w:val="16"/>
                <w:lang w:eastAsia="sk-SK"/>
              </w:rPr>
              <w:t>OP II</w:t>
            </w:r>
          </w:p>
        </w:tc>
        <w:tc>
          <w:tcPr>
            <w:tcW w:w="419" w:type="pct"/>
            <w:vMerge w:val="restart"/>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jc w:val="center"/>
              <w:rPr>
                <w:rFonts w:asciiTheme="majorHAnsi" w:hAnsiTheme="majorHAnsi" w:cs="Calibri"/>
                <w:b/>
                <w:color w:val="000000"/>
                <w:sz w:val="16"/>
                <w:szCs w:val="16"/>
                <w:lang w:eastAsia="sk-SK"/>
              </w:rPr>
            </w:pPr>
            <w:r w:rsidRPr="00A11FE0">
              <w:rPr>
                <w:rFonts w:asciiTheme="majorHAnsi" w:hAnsiTheme="majorHAnsi" w:cs="Calibri"/>
                <w:b/>
                <w:color w:val="000000"/>
                <w:sz w:val="16"/>
                <w:szCs w:val="16"/>
                <w:lang w:eastAsia="sk-SK"/>
              </w:rPr>
              <w:t>OP ĽZ</w:t>
            </w:r>
          </w:p>
        </w:tc>
        <w:tc>
          <w:tcPr>
            <w:tcW w:w="489" w:type="pct"/>
            <w:vMerge w:val="restart"/>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100908">
            <w:pPr>
              <w:spacing w:after="0"/>
              <w:jc w:val="center"/>
              <w:rPr>
                <w:rFonts w:asciiTheme="majorHAnsi" w:hAnsiTheme="majorHAnsi" w:cs="Calibri"/>
                <w:b/>
                <w:color w:val="000000"/>
                <w:sz w:val="16"/>
                <w:szCs w:val="16"/>
                <w:lang w:eastAsia="sk-SK"/>
              </w:rPr>
            </w:pPr>
            <w:r w:rsidRPr="00A11FE0">
              <w:rPr>
                <w:rFonts w:asciiTheme="majorHAnsi" w:hAnsiTheme="majorHAnsi" w:cs="Calibri"/>
                <w:b/>
                <w:color w:val="000000"/>
                <w:sz w:val="16"/>
                <w:szCs w:val="16"/>
                <w:lang w:eastAsia="sk-SK"/>
              </w:rPr>
              <w:t xml:space="preserve">OP </w:t>
            </w:r>
            <w:r w:rsidR="00BD5FD5">
              <w:rPr>
                <w:rFonts w:asciiTheme="majorHAnsi" w:hAnsiTheme="majorHAnsi" w:cs="Calibri"/>
                <w:b/>
                <w:color w:val="000000"/>
                <w:sz w:val="16"/>
                <w:szCs w:val="16"/>
                <w:lang w:eastAsia="sk-SK"/>
              </w:rPr>
              <w:t>K</w:t>
            </w:r>
            <w:r w:rsidRPr="00A11FE0">
              <w:rPr>
                <w:rFonts w:asciiTheme="majorHAnsi" w:hAnsiTheme="majorHAnsi" w:cs="Calibri"/>
                <w:b/>
                <w:color w:val="000000"/>
                <w:sz w:val="16"/>
                <w:szCs w:val="16"/>
                <w:lang w:eastAsia="sk-SK"/>
              </w:rPr>
              <w:t>ŽP</w:t>
            </w:r>
          </w:p>
        </w:tc>
        <w:tc>
          <w:tcPr>
            <w:tcW w:w="490" w:type="pct"/>
            <w:vMerge w:val="restart"/>
            <w:tcBorders>
              <w:top w:val="single" w:sz="8" w:space="0" w:color="auto"/>
              <w:left w:val="single" w:sz="8" w:space="0" w:color="auto"/>
              <w:bottom w:val="single" w:sz="8" w:space="0" w:color="000000"/>
              <w:right w:val="single" w:sz="4" w:space="0" w:color="auto"/>
            </w:tcBorders>
            <w:vAlign w:val="center"/>
            <w:hideMark/>
          </w:tcPr>
          <w:p w:rsidR="00EC29AA" w:rsidRPr="00A11FE0" w:rsidRDefault="00EC29AA" w:rsidP="00D97293">
            <w:pPr>
              <w:spacing w:after="0"/>
              <w:jc w:val="center"/>
              <w:rPr>
                <w:rFonts w:asciiTheme="majorHAnsi" w:hAnsiTheme="majorHAnsi" w:cs="Calibri"/>
                <w:b/>
                <w:color w:val="000000"/>
                <w:sz w:val="16"/>
                <w:szCs w:val="16"/>
                <w:lang w:eastAsia="sk-SK"/>
              </w:rPr>
            </w:pPr>
            <w:r w:rsidRPr="00A11FE0">
              <w:rPr>
                <w:rFonts w:asciiTheme="majorHAnsi" w:hAnsiTheme="majorHAnsi" w:cs="Calibri"/>
                <w:b/>
                <w:color w:val="000000"/>
                <w:sz w:val="16"/>
                <w:szCs w:val="16"/>
                <w:lang w:eastAsia="sk-SK"/>
              </w:rPr>
              <w:t xml:space="preserve"> IROP</w:t>
            </w:r>
          </w:p>
        </w:tc>
        <w:tc>
          <w:tcPr>
            <w:tcW w:w="419" w:type="pct"/>
            <w:tcBorders>
              <w:top w:val="single" w:sz="8" w:space="0" w:color="auto"/>
              <w:left w:val="single" w:sz="4" w:space="0" w:color="auto"/>
              <w:right w:val="single" w:sz="8" w:space="0" w:color="auto"/>
            </w:tcBorders>
          </w:tcPr>
          <w:p w:rsidR="00EC29AA" w:rsidRPr="00A11FE0" w:rsidRDefault="00EC29AA" w:rsidP="00D97293">
            <w:pPr>
              <w:spacing w:after="0"/>
              <w:jc w:val="center"/>
              <w:rPr>
                <w:rFonts w:asciiTheme="majorHAnsi" w:hAnsiTheme="majorHAnsi" w:cs="Calibri"/>
                <w:b/>
                <w:color w:val="000000"/>
                <w:sz w:val="16"/>
                <w:szCs w:val="16"/>
                <w:lang w:eastAsia="sk-SK"/>
              </w:rPr>
            </w:pPr>
          </w:p>
        </w:tc>
        <w:tc>
          <w:tcPr>
            <w:tcW w:w="419" w:type="pct"/>
            <w:vMerge w:val="restart"/>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jc w:val="center"/>
              <w:rPr>
                <w:rFonts w:asciiTheme="majorHAnsi" w:hAnsiTheme="majorHAnsi" w:cs="Calibri"/>
                <w:b/>
                <w:color w:val="000000"/>
                <w:sz w:val="16"/>
                <w:szCs w:val="16"/>
                <w:lang w:eastAsia="sk-SK"/>
              </w:rPr>
            </w:pPr>
            <w:r>
              <w:rPr>
                <w:rFonts w:asciiTheme="majorHAnsi" w:hAnsiTheme="majorHAnsi" w:cs="Calibri"/>
                <w:b/>
                <w:color w:val="000000"/>
                <w:sz w:val="16"/>
                <w:szCs w:val="16"/>
                <w:lang w:eastAsia="sk-SK"/>
              </w:rPr>
              <w:t>PRV</w:t>
            </w:r>
          </w:p>
        </w:tc>
      </w:tr>
      <w:tr w:rsidR="00E70845" w:rsidRPr="00A11FE0" w:rsidTr="00441780">
        <w:trPr>
          <w:trHeight w:val="315"/>
          <w:tblHeader/>
        </w:trPr>
        <w:tc>
          <w:tcPr>
            <w:tcW w:w="1853" w:type="pct"/>
            <w:vMerge/>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rPr>
                <w:rFonts w:asciiTheme="majorHAnsi" w:hAnsiTheme="majorHAnsi" w:cs="Calibri"/>
                <w:b/>
                <w:bCs/>
                <w:color w:val="000000"/>
                <w:sz w:val="16"/>
                <w:szCs w:val="16"/>
                <w:lang w:eastAsia="sk-SK"/>
              </w:rPr>
            </w:pPr>
          </w:p>
        </w:tc>
        <w:tc>
          <w:tcPr>
            <w:tcW w:w="420" w:type="pct"/>
            <w:vMerge/>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rPr>
                <w:rFonts w:asciiTheme="majorHAnsi" w:hAnsiTheme="majorHAnsi" w:cs="Calibri"/>
                <w:color w:val="000000"/>
                <w:sz w:val="20"/>
                <w:szCs w:val="20"/>
                <w:lang w:eastAsia="sk-SK"/>
              </w:rPr>
            </w:pPr>
          </w:p>
        </w:tc>
        <w:tc>
          <w:tcPr>
            <w:tcW w:w="490" w:type="pct"/>
            <w:vMerge/>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rPr>
                <w:rFonts w:asciiTheme="majorHAnsi" w:hAnsiTheme="majorHAnsi" w:cs="Calibri"/>
                <w:color w:val="000000"/>
                <w:sz w:val="20"/>
                <w:szCs w:val="20"/>
                <w:lang w:eastAsia="sk-SK"/>
              </w:rPr>
            </w:pPr>
          </w:p>
        </w:tc>
        <w:tc>
          <w:tcPr>
            <w:tcW w:w="419" w:type="pct"/>
            <w:vMerge/>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rPr>
                <w:rFonts w:asciiTheme="majorHAnsi" w:hAnsiTheme="majorHAnsi" w:cs="Calibri"/>
                <w:color w:val="000000"/>
                <w:sz w:val="20"/>
                <w:szCs w:val="20"/>
                <w:lang w:eastAsia="sk-SK"/>
              </w:rPr>
            </w:pPr>
          </w:p>
        </w:tc>
        <w:tc>
          <w:tcPr>
            <w:tcW w:w="489" w:type="pct"/>
            <w:vMerge/>
            <w:tcBorders>
              <w:top w:val="single" w:sz="8" w:space="0" w:color="auto"/>
              <w:left w:val="single" w:sz="8" w:space="0" w:color="auto"/>
              <w:bottom w:val="single" w:sz="8" w:space="0" w:color="000000"/>
              <w:right w:val="single" w:sz="8" w:space="0" w:color="auto"/>
            </w:tcBorders>
            <w:vAlign w:val="center"/>
            <w:hideMark/>
          </w:tcPr>
          <w:p w:rsidR="00EC29AA" w:rsidRPr="00A11FE0" w:rsidRDefault="00EC29AA" w:rsidP="00D97293">
            <w:pPr>
              <w:spacing w:after="0"/>
              <w:rPr>
                <w:rFonts w:asciiTheme="majorHAnsi" w:hAnsiTheme="majorHAnsi" w:cs="Calibri"/>
                <w:color w:val="000000"/>
                <w:sz w:val="20"/>
                <w:szCs w:val="20"/>
                <w:lang w:eastAsia="sk-SK"/>
              </w:rPr>
            </w:pPr>
          </w:p>
        </w:tc>
        <w:tc>
          <w:tcPr>
            <w:tcW w:w="490" w:type="pct"/>
            <w:vMerge/>
            <w:tcBorders>
              <w:top w:val="single" w:sz="8" w:space="0" w:color="000000"/>
              <w:left w:val="single" w:sz="8" w:space="0" w:color="auto"/>
              <w:bottom w:val="single" w:sz="8" w:space="0" w:color="000000"/>
              <w:right w:val="single" w:sz="4" w:space="0" w:color="auto"/>
            </w:tcBorders>
            <w:vAlign w:val="center"/>
            <w:hideMark/>
          </w:tcPr>
          <w:p w:rsidR="00EC29AA" w:rsidRPr="00A11FE0" w:rsidRDefault="00EC29AA" w:rsidP="00D97293">
            <w:pPr>
              <w:spacing w:after="0"/>
              <w:rPr>
                <w:rFonts w:asciiTheme="majorHAnsi" w:hAnsiTheme="majorHAnsi" w:cs="Calibri"/>
                <w:color w:val="000000"/>
                <w:sz w:val="20"/>
                <w:szCs w:val="20"/>
                <w:lang w:eastAsia="sk-SK"/>
              </w:rPr>
            </w:pPr>
          </w:p>
        </w:tc>
        <w:tc>
          <w:tcPr>
            <w:tcW w:w="419" w:type="pct"/>
            <w:tcBorders>
              <w:left w:val="single" w:sz="4" w:space="0" w:color="auto"/>
              <w:bottom w:val="single" w:sz="4" w:space="0" w:color="auto"/>
              <w:right w:val="single" w:sz="4" w:space="0" w:color="auto"/>
            </w:tcBorders>
          </w:tcPr>
          <w:p w:rsidR="00EC29AA" w:rsidRDefault="00EC29AA" w:rsidP="00D97293">
            <w:pPr>
              <w:spacing w:after="0"/>
              <w:rPr>
                <w:rFonts w:asciiTheme="majorHAnsi" w:hAnsiTheme="majorHAnsi" w:cs="Calibri"/>
                <w:b/>
                <w:color w:val="000000"/>
                <w:sz w:val="16"/>
                <w:szCs w:val="16"/>
                <w:lang w:eastAsia="sk-SK"/>
              </w:rPr>
            </w:pPr>
            <w:r w:rsidRPr="00A11FE0">
              <w:rPr>
                <w:rFonts w:asciiTheme="majorHAnsi" w:hAnsiTheme="majorHAnsi" w:cs="Calibri"/>
                <w:b/>
                <w:color w:val="000000"/>
                <w:sz w:val="16"/>
                <w:szCs w:val="16"/>
                <w:lang w:eastAsia="sk-SK"/>
              </w:rPr>
              <w:t>OP EVS</w:t>
            </w:r>
          </w:p>
          <w:p w:rsidR="00EC29AA" w:rsidRPr="00A11FE0" w:rsidRDefault="00EC29AA" w:rsidP="00D97293">
            <w:pPr>
              <w:spacing w:after="0"/>
              <w:rPr>
                <w:rFonts w:asciiTheme="majorHAnsi" w:hAnsiTheme="majorHAnsi" w:cs="Calibri"/>
                <w:color w:val="000000"/>
                <w:sz w:val="20"/>
                <w:szCs w:val="20"/>
                <w:lang w:eastAsia="sk-SK"/>
              </w:rPr>
            </w:pPr>
          </w:p>
        </w:tc>
        <w:tc>
          <w:tcPr>
            <w:tcW w:w="419" w:type="pct"/>
            <w:vMerge/>
            <w:tcBorders>
              <w:top w:val="single" w:sz="8" w:space="0" w:color="auto"/>
              <w:left w:val="single" w:sz="4" w:space="0" w:color="auto"/>
              <w:bottom w:val="single" w:sz="8" w:space="0" w:color="000000"/>
              <w:right w:val="single" w:sz="8" w:space="0" w:color="auto"/>
            </w:tcBorders>
            <w:vAlign w:val="center"/>
            <w:hideMark/>
          </w:tcPr>
          <w:p w:rsidR="00EC29AA" w:rsidRPr="00A11FE0" w:rsidRDefault="00EC29AA" w:rsidP="00D97293">
            <w:pPr>
              <w:spacing w:after="0"/>
              <w:rPr>
                <w:rFonts w:asciiTheme="majorHAnsi" w:hAnsiTheme="majorHAnsi" w:cs="Calibri"/>
                <w:color w:val="000000"/>
                <w:sz w:val="20"/>
                <w:szCs w:val="20"/>
                <w:lang w:eastAsia="sk-SK"/>
              </w:rPr>
            </w:pPr>
          </w:p>
        </w:tc>
      </w:tr>
      <w:tr w:rsidR="00E70845" w:rsidRPr="00A11FE0" w:rsidTr="00F31099">
        <w:trPr>
          <w:trHeight w:val="338"/>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1. Zlepšiť mobilitu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multimodalitu</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3C2005" w:rsidRDefault="00EC29AA" w:rsidP="00D97293">
            <w:pPr>
              <w:spacing w:after="0"/>
              <w:jc w:val="center"/>
              <w:rPr>
                <w:rFonts w:asciiTheme="majorHAnsi" w:hAnsiTheme="majorHAnsi" w:cs="Calibri"/>
                <w:bCs/>
                <w:color w:val="000000"/>
                <w:sz w:val="20"/>
                <w:szCs w:val="20"/>
                <w:lang w:eastAsia="sk-SK"/>
              </w:rPr>
            </w:pPr>
            <w:r w:rsidRPr="003C2005">
              <w:rPr>
                <w:rFonts w:asciiTheme="majorHAnsi" w:hAnsiTheme="majorHAnsi" w:cs="Calibri"/>
                <w:bCs/>
                <w:color w:val="000000"/>
                <w:sz w:val="20"/>
                <w:szCs w:val="20"/>
                <w:lang w:eastAsia="sk-SK"/>
              </w:rPr>
              <w:t>X</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19" w:type="pct"/>
            <w:tcBorders>
              <w:top w:val="single" w:sz="4"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color w:val="000000"/>
                <w:sz w:val="20"/>
                <w:szCs w:val="20"/>
                <w:lang w:eastAsia="sk-SK"/>
              </w:rPr>
            </w:pP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r>
      <w:tr w:rsidR="00E70845" w:rsidRPr="00A11FE0" w:rsidTr="00441780">
        <w:trPr>
          <w:trHeight w:val="316"/>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D97293">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2.</w:t>
            </w:r>
            <w:r w:rsidR="006A44F2">
              <w:rPr>
                <w:rFonts w:asciiTheme="majorHAnsi" w:hAnsiTheme="majorHAnsi" w:cs="Calibri"/>
                <w:color w:val="000000"/>
                <w:sz w:val="16"/>
                <w:szCs w:val="16"/>
                <w:lang w:eastAsia="sk-SK"/>
              </w:rPr>
              <w:t xml:space="preserve"> </w:t>
            </w:r>
            <w:r w:rsidRPr="00A11FE0">
              <w:rPr>
                <w:rFonts w:asciiTheme="majorHAnsi" w:hAnsiTheme="majorHAnsi" w:cs="Calibri"/>
                <w:color w:val="000000"/>
                <w:sz w:val="16"/>
                <w:szCs w:val="16"/>
                <w:lang w:eastAsia="sk-SK"/>
              </w:rPr>
              <w:t>Podporovať udržateľné energetické zdroje</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b/>
                <w:bCs/>
                <w:color w:val="000000"/>
                <w:sz w:val="20"/>
                <w:szCs w:val="20"/>
                <w:lang w:eastAsia="sk-SK"/>
              </w:rPr>
            </w:pP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r>
      <w:tr w:rsidR="00E70845" w:rsidRPr="00A11FE0" w:rsidTr="00F31099">
        <w:trPr>
          <w:trHeight w:val="510"/>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3. Podporovať </w:t>
            </w:r>
            <w:r w:rsidR="00BD5FD5">
              <w:rPr>
                <w:rFonts w:asciiTheme="majorHAnsi" w:hAnsiTheme="majorHAnsi" w:cs="Calibri"/>
                <w:color w:val="000000"/>
                <w:sz w:val="16"/>
                <w:szCs w:val="16"/>
                <w:lang w:eastAsia="sk-SK"/>
              </w:rPr>
              <w:t>k</w:t>
            </w:r>
            <w:r w:rsidRPr="00A11FE0">
              <w:rPr>
                <w:rFonts w:asciiTheme="majorHAnsi" w:hAnsiTheme="majorHAnsi" w:cs="Calibri"/>
                <w:color w:val="000000"/>
                <w:sz w:val="16"/>
                <w:szCs w:val="16"/>
                <w:lang w:eastAsia="sk-SK"/>
              </w:rPr>
              <w:t xml:space="preserve">ultúru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cestovný ruch, </w:t>
            </w:r>
            <w:r w:rsidR="00BD5FD5">
              <w:rPr>
                <w:rFonts w:asciiTheme="majorHAnsi" w:hAnsiTheme="majorHAnsi" w:cs="Calibri"/>
                <w:color w:val="000000"/>
                <w:sz w:val="16"/>
                <w:szCs w:val="16"/>
                <w:lang w:eastAsia="sk-SK"/>
              </w:rPr>
              <w:t>k</w:t>
            </w:r>
            <w:r w:rsidRPr="00A11FE0">
              <w:rPr>
                <w:rFonts w:asciiTheme="majorHAnsi" w:hAnsiTheme="majorHAnsi" w:cs="Calibri"/>
                <w:color w:val="000000"/>
                <w:sz w:val="16"/>
                <w:szCs w:val="16"/>
                <w:lang w:eastAsia="sk-SK"/>
              </w:rPr>
              <w:t>ontakty medzi ľuďmi</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X</w:t>
            </w: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color w:val="000000"/>
                <w:sz w:val="20"/>
                <w:szCs w:val="20"/>
                <w:lang w:eastAsia="sk-SK"/>
              </w:rPr>
            </w:pP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044704" w:rsidP="00D97293">
            <w:pPr>
              <w:spacing w:after="0"/>
              <w:jc w:val="center"/>
              <w:rPr>
                <w:rFonts w:asciiTheme="majorHAnsi" w:hAnsiTheme="majorHAnsi" w:cs="Calibri"/>
                <w:color w:val="000000"/>
                <w:sz w:val="20"/>
                <w:szCs w:val="20"/>
                <w:lang w:eastAsia="sk-SK"/>
              </w:rPr>
            </w:pPr>
            <w:r w:rsidRPr="00D31AD7">
              <w:rPr>
                <w:rFonts w:asciiTheme="majorHAnsi" w:hAnsiTheme="majorHAnsi" w:cs="Calibri"/>
                <w:bCs/>
                <w:color w:val="000000"/>
                <w:sz w:val="20"/>
                <w:szCs w:val="20"/>
                <w:lang w:eastAsia="sk-SK"/>
              </w:rPr>
              <w:t>X</w:t>
            </w:r>
            <w:r w:rsidR="00EC29AA" w:rsidRPr="00A11FE0">
              <w:rPr>
                <w:rFonts w:asciiTheme="majorHAnsi" w:hAnsiTheme="majorHAnsi" w:cs="Calibri"/>
                <w:color w:val="000000"/>
                <w:sz w:val="20"/>
                <w:szCs w:val="20"/>
                <w:lang w:eastAsia="sk-SK"/>
              </w:rPr>
              <w:t> </w:t>
            </w:r>
          </w:p>
        </w:tc>
      </w:tr>
      <w:tr w:rsidR="00E70845" w:rsidRPr="00A11FE0" w:rsidTr="00F31099">
        <w:trPr>
          <w:trHeight w:val="242"/>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4. Obnoviť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udržať </w:t>
            </w:r>
            <w:r w:rsidR="00BD5FD5">
              <w:rPr>
                <w:rFonts w:asciiTheme="majorHAnsi" w:hAnsiTheme="majorHAnsi" w:cs="Calibri"/>
                <w:color w:val="000000"/>
                <w:sz w:val="16"/>
                <w:szCs w:val="16"/>
                <w:lang w:eastAsia="sk-SK"/>
              </w:rPr>
              <w:t>k</w:t>
            </w:r>
            <w:r w:rsidRPr="00A11FE0">
              <w:rPr>
                <w:rFonts w:asciiTheme="majorHAnsi" w:hAnsiTheme="majorHAnsi" w:cs="Calibri"/>
                <w:color w:val="000000"/>
                <w:sz w:val="16"/>
                <w:szCs w:val="16"/>
                <w:lang w:eastAsia="sk-SK"/>
              </w:rPr>
              <w:t>valitu vôd</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X</w:t>
            </w: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b/>
                <w:bCs/>
                <w:color w:val="000000"/>
                <w:sz w:val="20"/>
                <w:szCs w:val="20"/>
                <w:lang w:eastAsia="sk-SK"/>
              </w:rPr>
            </w:pP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044704" w:rsidP="00D97293">
            <w:pPr>
              <w:spacing w:after="0"/>
              <w:jc w:val="center"/>
              <w:rPr>
                <w:rFonts w:asciiTheme="majorHAnsi" w:hAnsiTheme="majorHAnsi" w:cs="Calibri"/>
                <w:b/>
                <w:bCs/>
                <w:color w:val="000000"/>
                <w:sz w:val="20"/>
                <w:szCs w:val="20"/>
                <w:lang w:eastAsia="sk-SK"/>
              </w:rPr>
            </w:pPr>
            <w:r w:rsidRPr="00D31AD7">
              <w:rPr>
                <w:rFonts w:asciiTheme="majorHAnsi" w:hAnsiTheme="majorHAnsi" w:cs="Calibri"/>
                <w:bCs/>
                <w:color w:val="000000"/>
                <w:sz w:val="20"/>
                <w:szCs w:val="20"/>
                <w:lang w:eastAsia="sk-SK"/>
              </w:rPr>
              <w:t>X</w:t>
            </w:r>
            <w:r w:rsidR="00EC29AA" w:rsidRPr="00A11FE0">
              <w:rPr>
                <w:rFonts w:asciiTheme="majorHAnsi" w:hAnsiTheme="majorHAnsi" w:cs="Calibri"/>
                <w:b/>
                <w:bCs/>
                <w:color w:val="000000"/>
                <w:sz w:val="20"/>
                <w:szCs w:val="20"/>
                <w:lang w:eastAsia="sk-SK"/>
              </w:rPr>
              <w:t> </w:t>
            </w:r>
          </w:p>
        </w:tc>
      </w:tr>
      <w:tr w:rsidR="00E70845" w:rsidRPr="00A11FE0" w:rsidTr="00F31099">
        <w:trPr>
          <w:trHeight w:val="304"/>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D97293">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5. Riadiť riziká v oblasti životného prostredia</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b/>
                <w:bCs/>
                <w:color w:val="000000"/>
                <w:sz w:val="20"/>
                <w:szCs w:val="20"/>
                <w:lang w:eastAsia="sk-SK"/>
              </w:rPr>
            </w:pP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r>
      <w:tr w:rsidR="00E70845" w:rsidRPr="00A11FE0" w:rsidTr="00F31099">
        <w:trPr>
          <w:trHeight w:val="382"/>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6. Chrániť biodiverzitu, </w:t>
            </w:r>
            <w:r w:rsidR="00BD5FD5">
              <w:rPr>
                <w:rFonts w:asciiTheme="majorHAnsi" w:hAnsiTheme="majorHAnsi" w:cs="Calibri"/>
                <w:color w:val="000000"/>
                <w:sz w:val="16"/>
                <w:szCs w:val="16"/>
                <w:lang w:eastAsia="sk-SK"/>
              </w:rPr>
              <w:t>k</w:t>
            </w:r>
            <w:r w:rsidRPr="00A11FE0">
              <w:rPr>
                <w:rFonts w:asciiTheme="majorHAnsi" w:hAnsiTheme="majorHAnsi" w:cs="Calibri"/>
                <w:color w:val="000000"/>
                <w:sz w:val="16"/>
                <w:szCs w:val="16"/>
                <w:lang w:eastAsia="sk-SK"/>
              </w:rPr>
              <w:t xml:space="preserve">rajinu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w:t>
            </w:r>
            <w:r w:rsidR="00BD5FD5">
              <w:rPr>
                <w:rFonts w:asciiTheme="majorHAnsi" w:hAnsiTheme="majorHAnsi" w:cs="Calibri"/>
                <w:color w:val="000000"/>
                <w:sz w:val="16"/>
                <w:szCs w:val="16"/>
                <w:lang w:eastAsia="sk-SK"/>
              </w:rPr>
              <w:t>k</w:t>
            </w:r>
            <w:r w:rsidRPr="00A11FE0">
              <w:rPr>
                <w:rFonts w:asciiTheme="majorHAnsi" w:hAnsiTheme="majorHAnsi" w:cs="Calibri"/>
                <w:color w:val="000000"/>
                <w:sz w:val="16"/>
                <w:szCs w:val="16"/>
                <w:lang w:eastAsia="sk-SK"/>
              </w:rPr>
              <w:t xml:space="preserve">valitu ovzdušia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pôd</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X</w:t>
            </w: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b/>
                <w:bCs/>
                <w:color w:val="000000"/>
                <w:sz w:val="20"/>
                <w:szCs w:val="20"/>
                <w:lang w:eastAsia="sk-SK"/>
              </w:rPr>
            </w:pPr>
          </w:p>
        </w:tc>
        <w:tc>
          <w:tcPr>
            <w:tcW w:w="419" w:type="pct"/>
            <w:tcBorders>
              <w:top w:val="nil"/>
              <w:left w:val="single" w:sz="4" w:space="0" w:color="auto"/>
              <w:bottom w:val="single" w:sz="8" w:space="0" w:color="auto"/>
              <w:right w:val="single" w:sz="8" w:space="0" w:color="auto"/>
            </w:tcBorders>
            <w:vAlign w:val="center"/>
            <w:hideMark/>
          </w:tcPr>
          <w:p w:rsidR="00EC29AA" w:rsidRPr="00F31099" w:rsidRDefault="00EC29AA" w:rsidP="00D97293">
            <w:pPr>
              <w:spacing w:after="0"/>
              <w:jc w:val="center"/>
              <w:rPr>
                <w:rFonts w:asciiTheme="majorHAnsi" w:hAnsiTheme="majorHAnsi" w:cs="Calibri"/>
                <w:bCs/>
                <w:color w:val="000000"/>
                <w:sz w:val="20"/>
                <w:szCs w:val="20"/>
                <w:lang w:eastAsia="sk-SK"/>
              </w:rPr>
            </w:pPr>
            <w:r w:rsidRPr="00A11FE0">
              <w:rPr>
                <w:rFonts w:asciiTheme="majorHAnsi" w:hAnsiTheme="majorHAnsi" w:cs="Calibri"/>
                <w:b/>
                <w:bCs/>
                <w:color w:val="000000"/>
                <w:sz w:val="20"/>
                <w:szCs w:val="20"/>
                <w:lang w:eastAsia="sk-SK"/>
              </w:rPr>
              <w:t> </w:t>
            </w:r>
            <w:r w:rsidRPr="00F31099">
              <w:rPr>
                <w:rFonts w:asciiTheme="majorHAnsi" w:hAnsiTheme="majorHAnsi" w:cs="Calibri"/>
                <w:bCs/>
                <w:color w:val="000000"/>
                <w:sz w:val="20"/>
                <w:szCs w:val="20"/>
                <w:lang w:eastAsia="sk-SK"/>
              </w:rPr>
              <w:t>X</w:t>
            </w:r>
          </w:p>
        </w:tc>
      </w:tr>
      <w:tr w:rsidR="00E70845" w:rsidRPr="00A11FE0" w:rsidTr="00F31099">
        <w:trPr>
          <w:trHeight w:val="445"/>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7. Rozvíjať znalostnú </w:t>
            </w:r>
            <w:r w:rsidR="00BD5FD5">
              <w:rPr>
                <w:rFonts w:asciiTheme="majorHAnsi" w:hAnsiTheme="majorHAnsi" w:cs="Calibri"/>
                <w:color w:val="000000"/>
                <w:sz w:val="16"/>
                <w:szCs w:val="16"/>
                <w:lang w:eastAsia="sk-SK"/>
              </w:rPr>
              <w:t>s</w:t>
            </w:r>
            <w:r w:rsidRPr="00A11FE0">
              <w:rPr>
                <w:rFonts w:asciiTheme="majorHAnsi" w:hAnsiTheme="majorHAnsi" w:cs="Calibri"/>
                <w:color w:val="000000"/>
                <w:sz w:val="16"/>
                <w:szCs w:val="16"/>
                <w:lang w:eastAsia="sk-SK"/>
              </w:rPr>
              <w:t xml:space="preserve">poločnosť prostredníctvom výskumu, vzdelávania </w:t>
            </w:r>
            <w:r w:rsidR="00BD5FD5">
              <w:rPr>
                <w:rFonts w:asciiTheme="majorHAnsi" w:hAnsiTheme="majorHAnsi" w:cs="Calibri"/>
                <w:color w:val="000000"/>
                <w:sz w:val="16"/>
                <w:szCs w:val="16"/>
                <w:lang w:eastAsia="sk-SK"/>
              </w:rPr>
              <w:t>a </w:t>
            </w:r>
            <w:r w:rsidRPr="00A11FE0">
              <w:rPr>
                <w:rFonts w:asciiTheme="majorHAnsi" w:hAnsiTheme="majorHAnsi" w:cs="Calibri"/>
                <w:color w:val="000000"/>
                <w:sz w:val="16"/>
                <w:szCs w:val="16"/>
                <w:lang w:eastAsia="sk-SK"/>
              </w:rPr>
              <w:t xml:space="preserve"> informačných technológií</w:t>
            </w:r>
          </w:p>
        </w:tc>
        <w:tc>
          <w:tcPr>
            <w:tcW w:w="420" w:type="pct"/>
            <w:tcBorders>
              <w:top w:val="nil"/>
              <w:left w:val="nil"/>
              <w:bottom w:val="single" w:sz="8" w:space="0" w:color="auto"/>
              <w:right w:val="single" w:sz="8" w:space="0" w:color="auto"/>
            </w:tcBorders>
            <w:vAlign w:val="center"/>
            <w:hideMark/>
          </w:tcPr>
          <w:p w:rsidR="00EC29AA" w:rsidRPr="003C2005" w:rsidRDefault="00EC29AA" w:rsidP="00D97293">
            <w:pPr>
              <w:spacing w:after="0"/>
              <w:jc w:val="center"/>
              <w:rPr>
                <w:rFonts w:asciiTheme="majorHAnsi" w:hAnsiTheme="majorHAnsi" w:cs="Calibri"/>
                <w:bCs/>
                <w:color w:val="000000"/>
                <w:sz w:val="20"/>
                <w:szCs w:val="20"/>
                <w:lang w:eastAsia="sk-SK"/>
              </w:rPr>
            </w:pPr>
            <w:r w:rsidRPr="003C2005">
              <w:rPr>
                <w:rFonts w:asciiTheme="majorHAnsi" w:hAnsiTheme="majorHAnsi" w:cs="Calibri"/>
                <w:bCs/>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color w:val="000000"/>
                <w:sz w:val="20"/>
                <w:szCs w:val="20"/>
                <w:lang w:eastAsia="sk-SK"/>
              </w:rPr>
            </w:pP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r>
      <w:tr w:rsidR="00E70845" w:rsidRPr="00A11FE0" w:rsidTr="00F31099">
        <w:trPr>
          <w:trHeight w:val="480"/>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8. Podporovať </w:t>
            </w:r>
            <w:r w:rsidR="00BD5FD5">
              <w:rPr>
                <w:rFonts w:asciiTheme="majorHAnsi" w:hAnsiTheme="majorHAnsi" w:cs="Calibri"/>
                <w:color w:val="000000"/>
                <w:sz w:val="16"/>
                <w:szCs w:val="16"/>
                <w:lang w:eastAsia="sk-SK"/>
              </w:rPr>
              <w:t>k</w:t>
            </w:r>
            <w:r w:rsidRPr="00A11FE0">
              <w:rPr>
                <w:rFonts w:asciiTheme="majorHAnsi" w:hAnsiTheme="majorHAnsi" w:cs="Calibri"/>
                <w:color w:val="000000"/>
                <w:sz w:val="16"/>
                <w:szCs w:val="16"/>
                <w:lang w:eastAsia="sk-SK"/>
              </w:rPr>
              <w:t>onkurencieschopnosť podnikov vrátane rozvoja zoskupení</w:t>
            </w:r>
          </w:p>
        </w:tc>
        <w:tc>
          <w:tcPr>
            <w:tcW w:w="420" w:type="pct"/>
            <w:tcBorders>
              <w:top w:val="nil"/>
              <w:left w:val="nil"/>
              <w:bottom w:val="single" w:sz="8" w:space="0" w:color="auto"/>
              <w:right w:val="single" w:sz="8" w:space="0" w:color="auto"/>
            </w:tcBorders>
            <w:vAlign w:val="center"/>
            <w:hideMark/>
          </w:tcPr>
          <w:p w:rsidR="00EC29AA" w:rsidRPr="003C2005" w:rsidRDefault="00EC29AA" w:rsidP="00D97293">
            <w:pPr>
              <w:spacing w:after="0"/>
              <w:jc w:val="center"/>
              <w:rPr>
                <w:rFonts w:asciiTheme="majorHAnsi" w:hAnsiTheme="majorHAnsi" w:cs="Calibri"/>
                <w:bCs/>
                <w:color w:val="000000"/>
                <w:sz w:val="20"/>
                <w:szCs w:val="20"/>
                <w:lang w:eastAsia="sk-SK"/>
              </w:rPr>
            </w:pPr>
            <w:r w:rsidRPr="003C2005">
              <w:rPr>
                <w:rFonts w:asciiTheme="majorHAnsi" w:hAnsiTheme="majorHAnsi" w:cs="Calibri"/>
                <w:bCs/>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19" w:type="pct"/>
            <w:tcBorders>
              <w:top w:val="single" w:sz="8" w:space="0" w:color="auto"/>
              <w:left w:val="nil"/>
              <w:bottom w:val="single" w:sz="8" w:space="0" w:color="auto"/>
              <w:right w:val="single" w:sz="4" w:space="0" w:color="auto"/>
            </w:tcBorders>
          </w:tcPr>
          <w:p w:rsidR="00EC29AA" w:rsidRPr="00A11FE0" w:rsidRDefault="00E37887" w:rsidP="00D97293">
            <w:pPr>
              <w:spacing w:after="0"/>
              <w:jc w:val="center"/>
              <w:rPr>
                <w:rFonts w:asciiTheme="majorHAnsi" w:hAnsiTheme="majorHAnsi" w:cs="Calibri"/>
                <w:color w:val="000000"/>
                <w:sz w:val="20"/>
                <w:szCs w:val="20"/>
                <w:lang w:eastAsia="sk-SK"/>
              </w:rPr>
            </w:pPr>
            <w:r w:rsidRPr="002C32D0">
              <w:rPr>
                <w:rFonts w:asciiTheme="majorHAnsi" w:hAnsiTheme="majorHAnsi" w:cs="Calibri"/>
                <w:color w:val="000000"/>
                <w:sz w:val="20"/>
                <w:szCs w:val="20"/>
                <w:lang w:eastAsia="sk-SK"/>
              </w:rPr>
              <w:t>X</w:t>
            </w: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r>
              <w:rPr>
                <w:rFonts w:asciiTheme="majorHAnsi" w:hAnsiTheme="majorHAnsi" w:cs="Calibri"/>
                <w:color w:val="000000"/>
                <w:sz w:val="20"/>
                <w:szCs w:val="20"/>
                <w:lang w:eastAsia="sk-SK"/>
              </w:rPr>
              <w:t>X</w:t>
            </w:r>
          </w:p>
        </w:tc>
      </w:tr>
      <w:tr w:rsidR="00E70845" w:rsidRPr="00A11FE0" w:rsidTr="00F31099">
        <w:trPr>
          <w:trHeight w:val="248"/>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9. Investovať do ľudí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zručností</w:t>
            </w:r>
          </w:p>
        </w:tc>
        <w:tc>
          <w:tcPr>
            <w:tcW w:w="420" w:type="pct"/>
            <w:tcBorders>
              <w:top w:val="nil"/>
              <w:left w:val="nil"/>
              <w:bottom w:val="single" w:sz="8" w:space="0" w:color="auto"/>
              <w:right w:val="single" w:sz="8" w:space="0" w:color="auto"/>
            </w:tcBorders>
            <w:vAlign w:val="center"/>
            <w:hideMark/>
          </w:tcPr>
          <w:p w:rsidR="00EC29AA" w:rsidRPr="003C2005" w:rsidRDefault="00EC29AA" w:rsidP="00D97293">
            <w:pPr>
              <w:spacing w:after="0"/>
              <w:jc w:val="center"/>
              <w:rPr>
                <w:rFonts w:asciiTheme="majorHAnsi" w:hAnsiTheme="majorHAnsi" w:cs="Calibri"/>
                <w:bCs/>
                <w:color w:val="000000"/>
                <w:sz w:val="20"/>
                <w:szCs w:val="20"/>
                <w:lang w:eastAsia="sk-SK"/>
              </w:rPr>
            </w:pPr>
            <w:r w:rsidRPr="003C2005">
              <w:rPr>
                <w:rFonts w:asciiTheme="majorHAnsi" w:hAnsiTheme="majorHAnsi" w:cs="Calibri"/>
                <w:bCs/>
                <w:color w:val="000000"/>
                <w:sz w:val="20"/>
                <w:szCs w:val="20"/>
                <w:lang w:eastAsia="sk-SK"/>
              </w:rPr>
              <w:t>X</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b/>
                <w:bCs/>
                <w:color w:val="000000"/>
                <w:sz w:val="20"/>
                <w:szCs w:val="20"/>
                <w:lang w:eastAsia="sk-SK"/>
              </w:rPr>
            </w:pPr>
            <w:r w:rsidRPr="00A11FE0">
              <w:rPr>
                <w:rFonts w:asciiTheme="majorHAnsi" w:hAnsiTheme="majorHAnsi" w:cs="Calibri"/>
                <w:b/>
                <w:bCs/>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Pr>
                <w:rFonts w:asciiTheme="majorHAnsi" w:hAnsiTheme="majorHAnsi" w:cs="Calibri"/>
                <w:color w:val="000000"/>
                <w:sz w:val="20"/>
                <w:szCs w:val="20"/>
                <w:lang w:eastAsia="sk-SK"/>
              </w:rPr>
              <w:t>X</w:t>
            </w:r>
          </w:p>
        </w:tc>
      </w:tr>
      <w:tr w:rsidR="00E70845" w:rsidRPr="00A11FE0" w:rsidTr="00F31099">
        <w:trPr>
          <w:trHeight w:val="282"/>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 xml:space="preserve">10. Zvýšiť inštitucionálnu </w:t>
            </w:r>
            <w:r w:rsidR="00BD5FD5">
              <w:rPr>
                <w:rFonts w:asciiTheme="majorHAnsi" w:hAnsiTheme="majorHAnsi" w:cs="Calibri"/>
                <w:color w:val="000000"/>
                <w:sz w:val="16"/>
                <w:szCs w:val="16"/>
                <w:lang w:eastAsia="sk-SK"/>
              </w:rPr>
              <w:t>k</w:t>
            </w:r>
            <w:r w:rsidRPr="00A11FE0">
              <w:rPr>
                <w:rFonts w:asciiTheme="majorHAnsi" w:hAnsiTheme="majorHAnsi" w:cs="Calibri"/>
                <w:color w:val="000000"/>
                <w:sz w:val="16"/>
                <w:szCs w:val="16"/>
                <w:lang w:eastAsia="sk-SK"/>
              </w:rPr>
              <w:t xml:space="preserve">apacitu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w:t>
            </w:r>
            <w:r w:rsidR="00BD5FD5">
              <w:rPr>
                <w:rFonts w:asciiTheme="majorHAnsi" w:hAnsiTheme="majorHAnsi" w:cs="Calibri"/>
                <w:color w:val="000000"/>
                <w:sz w:val="16"/>
                <w:szCs w:val="16"/>
                <w:lang w:eastAsia="sk-SK"/>
              </w:rPr>
              <w:t>s</w:t>
            </w:r>
            <w:r w:rsidRPr="00A11FE0">
              <w:rPr>
                <w:rFonts w:asciiTheme="majorHAnsi" w:hAnsiTheme="majorHAnsi" w:cs="Calibri"/>
                <w:color w:val="000000"/>
                <w:sz w:val="16"/>
                <w:szCs w:val="16"/>
                <w:lang w:eastAsia="sk-SK"/>
              </w:rPr>
              <w:t>poluprácu</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single" w:sz="8" w:space="0" w:color="auto"/>
              <w:left w:val="nil"/>
              <w:bottom w:val="single" w:sz="8" w:space="0" w:color="auto"/>
              <w:right w:val="single" w:sz="4" w:space="0" w:color="auto"/>
            </w:tcBorders>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X</w:t>
            </w: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p>
        </w:tc>
      </w:tr>
      <w:tr w:rsidR="00E70845" w:rsidRPr="00A11FE0" w:rsidTr="00F31099">
        <w:trPr>
          <w:trHeight w:val="539"/>
        </w:trPr>
        <w:tc>
          <w:tcPr>
            <w:tcW w:w="1853" w:type="pct"/>
            <w:tcBorders>
              <w:top w:val="nil"/>
              <w:left w:val="single" w:sz="8" w:space="0" w:color="auto"/>
              <w:bottom w:val="single" w:sz="8" w:space="0" w:color="auto"/>
              <w:right w:val="single" w:sz="8" w:space="0" w:color="auto"/>
            </w:tcBorders>
            <w:vAlign w:val="center"/>
            <w:hideMark/>
          </w:tcPr>
          <w:p w:rsidR="00EC29AA" w:rsidRPr="00A11FE0" w:rsidRDefault="00EC29AA" w:rsidP="00100908">
            <w:pPr>
              <w:spacing w:after="0"/>
              <w:rPr>
                <w:rFonts w:asciiTheme="majorHAnsi" w:hAnsiTheme="majorHAnsi" w:cs="Calibri"/>
                <w:color w:val="000000"/>
                <w:sz w:val="16"/>
                <w:szCs w:val="16"/>
                <w:lang w:eastAsia="sk-SK"/>
              </w:rPr>
            </w:pPr>
            <w:r w:rsidRPr="00A11FE0">
              <w:rPr>
                <w:rFonts w:asciiTheme="majorHAnsi" w:hAnsiTheme="majorHAnsi" w:cs="Calibri"/>
                <w:color w:val="000000"/>
                <w:sz w:val="16"/>
                <w:szCs w:val="16"/>
                <w:lang w:eastAsia="sk-SK"/>
              </w:rPr>
              <w:t>11.</w:t>
            </w:r>
            <w:r w:rsidR="00BD5FD5">
              <w:rPr>
                <w:rFonts w:asciiTheme="majorHAnsi" w:hAnsiTheme="majorHAnsi" w:cs="Calibri"/>
                <w:color w:val="000000"/>
                <w:sz w:val="16"/>
                <w:szCs w:val="16"/>
                <w:lang w:eastAsia="sk-SK"/>
              </w:rPr>
              <w:t>S</w:t>
            </w:r>
            <w:r w:rsidRPr="00A11FE0">
              <w:rPr>
                <w:rFonts w:asciiTheme="majorHAnsi" w:hAnsiTheme="majorHAnsi" w:cs="Calibri"/>
                <w:color w:val="000000"/>
                <w:sz w:val="16"/>
                <w:szCs w:val="16"/>
                <w:lang w:eastAsia="sk-SK"/>
              </w:rPr>
              <w:t xml:space="preserve">polupracovať </w:t>
            </w:r>
            <w:r w:rsidR="00BD5FD5">
              <w:rPr>
                <w:rFonts w:asciiTheme="majorHAnsi" w:hAnsiTheme="majorHAnsi" w:cs="Calibri"/>
                <w:color w:val="000000"/>
                <w:sz w:val="16"/>
                <w:szCs w:val="16"/>
                <w:lang w:eastAsia="sk-SK"/>
              </w:rPr>
              <w:t>s</w:t>
            </w:r>
            <w:r w:rsidRPr="00A11FE0">
              <w:rPr>
                <w:rFonts w:asciiTheme="majorHAnsi" w:hAnsiTheme="majorHAnsi" w:cs="Calibri"/>
                <w:color w:val="000000"/>
                <w:sz w:val="16"/>
                <w:szCs w:val="16"/>
                <w:lang w:eastAsia="sk-SK"/>
              </w:rPr>
              <w:t xml:space="preserve"> cieľom podporiť bezpečnosť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riešiť organizovanú </w:t>
            </w:r>
            <w:r w:rsidR="00BD5FD5">
              <w:rPr>
                <w:rFonts w:asciiTheme="majorHAnsi" w:hAnsiTheme="majorHAnsi" w:cs="Calibri"/>
                <w:color w:val="000000"/>
                <w:sz w:val="16"/>
                <w:szCs w:val="16"/>
                <w:lang w:eastAsia="sk-SK"/>
              </w:rPr>
              <w:t>a</w:t>
            </w:r>
            <w:r w:rsidRPr="00A11FE0">
              <w:rPr>
                <w:rFonts w:asciiTheme="majorHAnsi" w:hAnsiTheme="majorHAnsi" w:cs="Calibri"/>
                <w:color w:val="000000"/>
                <w:sz w:val="16"/>
                <w:szCs w:val="16"/>
                <w:lang w:eastAsia="sk-SK"/>
              </w:rPr>
              <w:t xml:space="preserve"> závažnú trestnú činnosť</w:t>
            </w:r>
          </w:p>
        </w:tc>
        <w:tc>
          <w:tcPr>
            <w:tcW w:w="42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89"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90" w:type="pct"/>
            <w:tcBorders>
              <w:top w:val="nil"/>
              <w:left w:val="nil"/>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c>
          <w:tcPr>
            <w:tcW w:w="419" w:type="pct"/>
            <w:tcBorders>
              <w:top w:val="single" w:sz="8" w:space="0" w:color="auto"/>
              <w:left w:val="nil"/>
              <w:bottom w:val="single" w:sz="8" w:space="0" w:color="auto"/>
              <w:right w:val="single" w:sz="4" w:space="0" w:color="auto"/>
            </w:tcBorders>
          </w:tcPr>
          <w:p w:rsidR="00EC29AA" w:rsidRPr="00A11FE0" w:rsidRDefault="00E37887" w:rsidP="00D97293">
            <w:pPr>
              <w:spacing w:after="0"/>
              <w:jc w:val="center"/>
              <w:rPr>
                <w:rFonts w:asciiTheme="majorHAnsi" w:hAnsiTheme="majorHAnsi" w:cs="Calibri"/>
                <w:color w:val="000000"/>
                <w:sz w:val="20"/>
                <w:szCs w:val="20"/>
                <w:lang w:eastAsia="sk-SK"/>
              </w:rPr>
            </w:pPr>
            <w:r w:rsidRPr="002C32D0">
              <w:rPr>
                <w:rFonts w:asciiTheme="majorHAnsi" w:hAnsiTheme="majorHAnsi" w:cs="Calibri"/>
                <w:color w:val="000000"/>
                <w:sz w:val="20"/>
                <w:szCs w:val="20"/>
                <w:lang w:eastAsia="sk-SK"/>
              </w:rPr>
              <w:t>X</w:t>
            </w:r>
          </w:p>
        </w:tc>
        <w:tc>
          <w:tcPr>
            <w:tcW w:w="419" w:type="pct"/>
            <w:tcBorders>
              <w:top w:val="nil"/>
              <w:left w:val="single" w:sz="4" w:space="0" w:color="auto"/>
              <w:bottom w:val="single" w:sz="8" w:space="0" w:color="auto"/>
              <w:right w:val="single" w:sz="8" w:space="0" w:color="auto"/>
            </w:tcBorders>
            <w:vAlign w:val="center"/>
            <w:hideMark/>
          </w:tcPr>
          <w:p w:rsidR="00EC29AA" w:rsidRPr="00A11FE0" w:rsidRDefault="00EC29AA" w:rsidP="00D97293">
            <w:pPr>
              <w:spacing w:after="0"/>
              <w:jc w:val="center"/>
              <w:rPr>
                <w:rFonts w:asciiTheme="majorHAnsi" w:hAnsiTheme="majorHAnsi" w:cs="Calibri"/>
                <w:color w:val="000000"/>
                <w:sz w:val="20"/>
                <w:szCs w:val="20"/>
                <w:lang w:eastAsia="sk-SK"/>
              </w:rPr>
            </w:pPr>
            <w:r w:rsidRPr="00A11FE0">
              <w:rPr>
                <w:rFonts w:asciiTheme="majorHAnsi" w:hAnsiTheme="majorHAnsi" w:cs="Calibri"/>
                <w:color w:val="000000"/>
                <w:sz w:val="20"/>
                <w:szCs w:val="20"/>
                <w:lang w:eastAsia="sk-SK"/>
              </w:rPr>
              <w:t> </w:t>
            </w:r>
          </w:p>
        </w:tc>
      </w:tr>
    </w:tbl>
    <w:p w:rsidR="00D97293" w:rsidRPr="00A11FE0" w:rsidRDefault="00D97293" w:rsidP="00D97293">
      <w:pPr>
        <w:rPr>
          <w:rFonts w:asciiTheme="majorHAnsi" w:hAnsiTheme="majorHAnsi"/>
          <w:bCs/>
          <w:lang w:eastAsia="sk-SK"/>
        </w:rPr>
      </w:pPr>
      <w:r w:rsidRPr="00A11FE0">
        <w:rPr>
          <w:rFonts w:asciiTheme="majorHAnsi" w:hAnsiTheme="majorHAnsi"/>
          <w:bCs/>
          <w:lang w:eastAsia="sk-SK"/>
        </w:rPr>
        <w:t xml:space="preserve">Cieľom programu medziregionálnej </w:t>
      </w:r>
      <w:r w:rsidR="00BD5FD5">
        <w:rPr>
          <w:rFonts w:asciiTheme="majorHAnsi" w:hAnsiTheme="majorHAnsi"/>
          <w:bCs/>
          <w:lang w:eastAsia="sk-SK"/>
        </w:rPr>
        <w:t>s</w:t>
      </w:r>
      <w:r w:rsidRPr="00A11FE0">
        <w:rPr>
          <w:rFonts w:asciiTheme="majorHAnsi" w:hAnsiTheme="majorHAnsi"/>
          <w:bCs/>
          <w:lang w:eastAsia="sk-SK"/>
        </w:rPr>
        <w:t xml:space="preserve">polupráce INTERREG </w:t>
      </w:r>
      <w:r w:rsidR="00992762">
        <w:rPr>
          <w:rFonts w:asciiTheme="majorHAnsi" w:hAnsiTheme="majorHAnsi"/>
          <w:bCs/>
          <w:lang w:eastAsia="sk-SK"/>
        </w:rPr>
        <w:t>EUR</w:t>
      </w:r>
      <w:r w:rsidRPr="00A11FE0">
        <w:rPr>
          <w:rFonts w:asciiTheme="majorHAnsi" w:hAnsiTheme="majorHAnsi"/>
          <w:bCs/>
          <w:lang w:eastAsia="sk-SK"/>
        </w:rPr>
        <w:t xml:space="preserve">OPE je vytvoriť priestor pre identifikovanie, šírenie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výmenu</w:t>
      </w:r>
      <w:r w:rsidR="00A90DCD">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kúseností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osvedčených</w:t>
      </w:r>
      <w:r w:rsidR="00A90DCD">
        <w:rPr>
          <w:rFonts w:asciiTheme="majorHAnsi" w:hAnsiTheme="majorHAnsi"/>
          <w:bCs/>
          <w:lang w:eastAsia="sk-SK"/>
        </w:rPr>
        <w:t xml:space="preserve"> </w:t>
      </w:r>
      <w:r w:rsidRPr="00A11FE0">
        <w:rPr>
          <w:rFonts w:asciiTheme="majorHAnsi" w:hAnsiTheme="majorHAnsi"/>
          <w:bCs/>
          <w:lang w:eastAsia="sk-SK"/>
        </w:rPr>
        <w:t xml:space="preserve">postupov medzi regiónmi </w:t>
      </w:r>
      <w:r w:rsidR="00BD5FD5">
        <w:rPr>
          <w:rFonts w:asciiTheme="majorHAnsi" w:hAnsiTheme="majorHAnsi"/>
          <w:bCs/>
          <w:lang w:eastAsia="sk-SK"/>
        </w:rPr>
        <w:t>a</w:t>
      </w:r>
      <w:r w:rsidRPr="00A11FE0">
        <w:rPr>
          <w:rFonts w:asciiTheme="majorHAnsi" w:hAnsiTheme="majorHAnsi"/>
          <w:bCs/>
          <w:lang w:eastAsia="sk-SK"/>
        </w:rPr>
        <w:t xml:space="preserve"> ich následný transfer do hlavných programov </w:t>
      </w:r>
      <w:r w:rsidR="00BD5FD5">
        <w:rPr>
          <w:rFonts w:asciiTheme="majorHAnsi" w:hAnsiTheme="majorHAnsi"/>
          <w:bCs/>
          <w:lang w:eastAsia="sk-SK"/>
        </w:rPr>
        <w:t>S</w:t>
      </w:r>
      <w:r w:rsidRPr="00A11FE0">
        <w:rPr>
          <w:rFonts w:asciiTheme="majorHAnsi" w:hAnsiTheme="majorHAnsi"/>
          <w:bCs/>
          <w:lang w:eastAsia="sk-SK"/>
        </w:rPr>
        <w:t>R. V</w:t>
      </w:r>
      <w:r w:rsidR="00A90DCD">
        <w:rPr>
          <w:rFonts w:asciiTheme="majorHAnsi" w:hAnsiTheme="majorHAnsi"/>
          <w:bCs/>
          <w:lang w:eastAsia="sk-SK"/>
        </w:rPr>
        <w:t> </w:t>
      </w:r>
      <w:r w:rsidRPr="00A11FE0">
        <w:rPr>
          <w:rFonts w:asciiTheme="majorHAnsi" w:hAnsiTheme="majorHAnsi"/>
          <w:bCs/>
          <w:lang w:eastAsia="sk-SK"/>
        </w:rPr>
        <w:t>rámci</w:t>
      </w:r>
      <w:r w:rsidR="00A90DCD">
        <w:rPr>
          <w:rFonts w:asciiTheme="majorHAnsi" w:hAnsiTheme="majorHAnsi"/>
          <w:bCs/>
          <w:lang w:eastAsia="sk-SK"/>
        </w:rPr>
        <w:t xml:space="preserve"> </w:t>
      </w:r>
      <w:r w:rsidRPr="00A11FE0">
        <w:rPr>
          <w:rFonts w:asciiTheme="majorHAnsi" w:hAnsiTheme="majorHAnsi"/>
          <w:bCs/>
          <w:lang w:eastAsia="sk-SK"/>
        </w:rPr>
        <w:t xml:space="preserve">programu INTERREG </w:t>
      </w:r>
      <w:r w:rsidR="00992762">
        <w:rPr>
          <w:rFonts w:asciiTheme="majorHAnsi" w:hAnsiTheme="majorHAnsi"/>
          <w:bCs/>
          <w:lang w:eastAsia="sk-SK"/>
        </w:rPr>
        <w:t>EUR</w:t>
      </w:r>
      <w:r w:rsidRPr="00A11FE0">
        <w:rPr>
          <w:rFonts w:asciiTheme="majorHAnsi" w:hAnsiTheme="majorHAnsi"/>
          <w:bCs/>
          <w:lang w:eastAsia="sk-SK"/>
        </w:rPr>
        <w:t xml:space="preserve">OPE boli identifikované tematické ciele, </w:t>
      </w:r>
      <w:r w:rsidR="00BD5FD5">
        <w:rPr>
          <w:rFonts w:asciiTheme="majorHAnsi" w:hAnsiTheme="majorHAnsi"/>
          <w:bCs/>
          <w:lang w:eastAsia="sk-SK"/>
        </w:rPr>
        <w:t>k</w:t>
      </w:r>
      <w:r w:rsidRPr="00A11FE0">
        <w:rPr>
          <w:rFonts w:asciiTheme="majorHAnsi" w:hAnsiTheme="majorHAnsi"/>
          <w:bCs/>
          <w:lang w:eastAsia="sk-SK"/>
        </w:rPr>
        <w:t xml:space="preserve">toré odzrkadľujú tematickú </w:t>
      </w:r>
      <w:r w:rsidR="00BD5FD5">
        <w:rPr>
          <w:rFonts w:asciiTheme="majorHAnsi" w:hAnsiTheme="majorHAnsi"/>
          <w:bCs/>
          <w:lang w:eastAsia="sk-SK"/>
        </w:rPr>
        <w:t>k</w:t>
      </w:r>
      <w:r w:rsidRPr="00A11FE0">
        <w:rPr>
          <w:rFonts w:asciiTheme="majorHAnsi" w:hAnsiTheme="majorHAnsi"/>
          <w:bCs/>
          <w:lang w:eastAsia="sk-SK"/>
        </w:rPr>
        <w:t xml:space="preserve">oncentráciu </w:t>
      </w:r>
      <w:r w:rsidR="00BD5FD5">
        <w:rPr>
          <w:rFonts w:asciiTheme="majorHAnsi" w:hAnsiTheme="majorHAnsi"/>
          <w:bCs/>
          <w:lang w:eastAsia="sk-SK"/>
        </w:rPr>
        <w:t>s</w:t>
      </w:r>
      <w:r w:rsidRPr="00A11FE0">
        <w:rPr>
          <w:rFonts w:asciiTheme="majorHAnsi" w:hAnsiTheme="majorHAnsi"/>
          <w:bCs/>
          <w:lang w:eastAsia="sk-SK"/>
        </w:rPr>
        <w:t xml:space="preserve">tanovenú pre hlavné </w:t>
      </w:r>
      <w:r w:rsidRPr="00A11FE0">
        <w:rPr>
          <w:rFonts w:asciiTheme="majorHAnsi" w:hAnsiTheme="majorHAnsi"/>
          <w:bCs/>
          <w:lang w:eastAsia="sk-SK"/>
        </w:rPr>
        <w:lastRenderedPageBreak/>
        <w:t xml:space="preserve">programy </w:t>
      </w:r>
      <w:r w:rsidR="00BD5FD5">
        <w:rPr>
          <w:rFonts w:asciiTheme="majorHAnsi" w:hAnsiTheme="majorHAnsi"/>
          <w:bCs/>
          <w:lang w:eastAsia="sk-SK"/>
        </w:rPr>
        <w:t>S</w:t>
      </w:r>
      <w:r w:rsidRPr="00A11FE0">
        <w:rPr>
          <w:rFonts w:asciiTheme="majorHAnsi" w:hAnsiTheme="majorHAnsi"/>
          <w:bCs/>
          <w:lang w:eastAsia="sk-SK"/>
        </w:rPr>
        <w:t xml:space="preserve">R. Program bude podporovať </w:t>
      </w:r>
      <w:r w:rsidR="00BD5FD5">
        <w:rPr>
          <w:rFonts w:asciiTheme="majorHAnsi" w:hAnsiTheme="majorHAnsi"/>
          <w:bCs/>
          <w:lang w:eastAsia="sk-SK"/>
        </w:rPr>
        <w:t>ak</w:t>
      </w:r>
      <w:r w:rsidRPr="00A11FE0">
        <w:rPr>
          <w:rFonts w:asciiTheme="majorHAnsi" w:hAnsiTheme="majorHAnsi"/>
          <w:bCs/>
          <w:lang w:eastAsia="sk-SK"/>
        </w:rPr>
        <w:t xml:space="preserve">tivity </w:t>
      </w:r>
      <w:r w:rsidR="00BD5FD5">
        <w:rPr>
          <w:rFonts w:asciiTheme="majorHAnsi" w:hAnsiTheme="majorHAnsi"/>
          <w:bCs/>
          <w:lang w:eastAsia="sk-SK"/>
        </w:rPr>
        <w:t>s</w:t>
      </w:r>
      <w:r w:rsidRPr="00A11FE0">
        <w:rPr>
          <w:rFonts w:asciiTheme="majorHAnsi" w:hAnsiTheme="majorHAnsi"/>
          <w:bCs/>
          <w:lang w:eastAsia="sk-SK"/>
        </w:rPr>
        <w:t xml:space="preserve"> cieľom identifikovať osvedčené postupy v oblasti </w:t>
      </w:r>
      <w:r w:rsidR="00A90DCD">
        <w:rPr>
          <w:rFonts w:asciiTheme="majorHAnsi" w:hAnsiTheme="majorHAnsi"/>
          <w:bCs/>
          <w:lang w:eastAsia="sk-SK"/>
        </w:rPr>
        <w:t>VaI</w:t>
      </w:r>
      <w:r w:rsidRPr="00A11FE0">
        <w:rPr>
          <w:rFonts w:asciiTheme="majorHAnsi" w:hAnsiTheme="majorHAnsi"/>
          <w:bCs/>
          <w:lang w:eastAsia="sk-SK"/>
        </w:rPr>
        <w:t xml:space="preserve">, podpory MSP vo všetkých etapách ich životného cyklu, v oblasti prechodu na nízkouhlíkové hospodárstvo, ochrany prírodného </w:t>
      </w:r>
      <w:r w:rsidR="00BD5FD5">
        <w:rPr>
          <w:rFonts w:asciiTheme="majorHAnsi" w:hAnsiTheme="majorHAnsi"/>
          <w:bCs/>
          <w:lang w:eastAsia="sk-SK"/>
        </w:rPr>
        <w:t>a</w:t>
      </w:r>
      <w:r w:rsidRPr="00A11FE0">
        <w:rPr>
          <w:rFonts w:asciiTheme="majorHAnsi" w:hAnsiTheme="majorHAnsi"/>
          <w:bCs/>
          <w:lang w:eastAsia="sk-SK"/>
        </w:rPr>
        <w:t> </w:t>
      </w:r>
      <w:r w:rsidR="00BD5FD5">
        <w:rPr>
          <w:rFonts w:asciiTheme="majorHAnsi" w:hAnsiTheme="majorHAnsi"/>
          <w:bCs/>
          <w:lang w:eastAsia="sk-SK"/>
        </w:rPr>
        <w:t>k</w:t>
      </w:r>
      <w:r w:rsidRPr="00A11FE0">
        <w:rPr>
          <w:rFonts w:asciiTheme="majorHAnsi" w:hAnsiTheme="majorHAnsi"/>
          <w:bCs/>
          <w:lang w:eastAsia="sk-SK"/>
        </w:rPr>
        <w:t xml:space="preserve">ultúrneho dedičstva </w:t>
      </w:r>
      <w:r w:rsidR="00BD5FD5">
        <w:rPr>
          <w:rFonts w:asciiTheme="majorHAnsi" w:hAnsiTheme="majorHAnsi"/>
          <w:bCs/>
          <w:lang w:eastAsia="sk-SK"/>
        </w:rPr>
        <w:t>a</w:t>
      </w:r>
      <w:r w:rsidRPr="00A11FE0">
        <w:rPr>
          <w:rFonts w:asciiTheme="majorHAnsi" w:hAnsiTheme="majorHAnsi"/>
          <w:bCs/>
          <w:lang w:eastAsia="sk-SK"/>
        </w:rPr>
        <w:t xml:space="preserve"> v oblasti podpory efektívneho využívania zdrojov, </w:t>
      </w:r>
      <w:r w:rsidR="00BD5FD5">
        <w:rPr>
          <w:rFonts w:asciiTheme="majorHAnsi" w:hAnsiTheme="majorHAnsi"/>
          <w:bCs/>
          <w:lang w:eastAsia="sk-SK"/>
        </w:rPr>
        <w:t>ak</w:t>
      </w:r>
      <w:r w:rsidRPr="00A11FE0">
        <w:rPr>
          <w:rFonts w:asciiTheme="majorHAnsi" w:hAnsiTheme="majorHAnsi"/>
          <w:bCs/>
          <w:lang w:eastAsia="sk-SK"/>
        </w:rPr>
        <w:t xml:space="preserve">o </w:t>
      </w:r>
      <w:r w:rsidR="00BD5FD5">
        <w:rPr>
          <w:rFonts w:asciiTheme="majorHAnsi" w:hAnsiTheme="majorHAnsi"/>
          <w:bCs/>
          <w:lang w:eastAsia="sk-SK"/>
        </w:rPr>
        <w:t>a</w:t>
      </w:r>
      <w:r w:rsidRPr="00A11FE0">
        <w:rPr>
          <w:rFonts w:asciiTheme="majorHAnsi" w:hAnsiTheme="majorHAnsi"/>
          <w:bCs/>
          <w:lang w:eastAsia="sk-SK"/>
        </w:rPr>
        <w:t xml:space="preserve">j prenos týchto poznatkov do regionálnych rozvojových politík </w:t>
      </w:r>
      <w:r w:rsidR="00BD5FD5">
        <w:rPr>
          <w:rFonts w:asciiTheme="majorHAnsi" w:hAnsiTheme="majorHAnsi"/>
          <w:bCs/>
          <w:lang w:eastAsia="sk-SK"/>
        </w:rPr>
        <w:t>a</w:t>
      </w:r>
      <w:r w:rsidRPr="00A11FE0">
        <w:rPr>
          <w:rFonts w:asciiTheme="majorHAnsi" w:hAnsiTheme="majorHAnsi"/>
          <w:bCs/>
          <w:lang w:eastAsia="sk-SK"/>
        </w:rPr>
        <w:t xml:space="preserve"> hlavných programov </w:t>
      </w:r>
      <w:r w:rsidR="00BD5FD5">
        <w:rPr>
          <w:rFonts w:asciiTheme="majorHAnsi" w:hAnsiTheme="majorHAnsi"/>
          <w:bCs/>
          <w:lang w:eastAsia="sk-SK"/>
        </w:rPr>
        <w:t>S</w:t>
      </w:r>
      <w:r w:rsidRPr="00A11FE0">
        <w:rPr>
          <w:rFonts w:asciiTheme="majorHAnsi" w:hAnsiTheme="majorHAnsi"/>
          <w:bCs/>
          <w:lang w:eastAsia="sk-SK"/>
        </w:rPr>
        <w:t xml:space="preserve">R. Týmto </w:t>
      </w:r>
      <w:r w:rsidR="00BD5FD5">
        <w:rPr>
          <w:rFonts w:asciiTheme="majorHAnsi" w:hAnsiTheme="majorHAnsi"/>
          <w:bCs/>
          <w:lang w:eastAsia="sk-SK"/>
        </w:rPr>
        <w:t>s</w:t>
      </w:r>
      <w:r w:rsidRPr="00A11FE0">
        <w:rPr>
          <w:rFonts w:asciiTheme="majorHAnsi" w:hAnsiTheme="majorHAnsi"/>
          <w:bCs/>
          <w:lang w:eastAsia="sk-SK"/>
        </w:rPr>
        <w:t>a zároveň pris</w:t>
      </w:r>
      <w:r w:rsidR="00FE7586">
        <w:rPr>
          <w:rFonts w:asciiTheme="majorHAnsi" w:hAnsiTheme="majorHAnsi"/>
          <w:bCs/>
          <w:lang w:eastAsia="sk-SK"/>
        </w:rPr>
        <w:t xml:space="preserve">peje </w:t>
      </w:r>
      <w:r w:rsidR="00BD5FD5">
        <w:rPr>
          <w:rFonts w:asciiTheme="majorHAnsi" w:hAnsiTheme="majorHAnsi"/>
          <w:bCs/>
          <w:lang w:eastAsia="sk-SK"/>
        </w:rPr>
        <w:t>k</w:t>
      </w:r>
      <w:r w:rsidR="00FE7586">
        <w:rPr>
          <w:rFonts w:asciiTheme="majorHAnsi" w:hAnsiTheme="majorHAnsi"/>
          <w:bCs/>
          <w:lang w:eastAsia="sk-SK"/>
        </w:rPr>
        <w:t xml:space="preserve"> celkovému </w:t>
      </w:r>
      <w:r w:rsidRPr="00A11FE0">
        <w:rPr>
          <w:rFonts w:asciiTheme="majorHAnsi" w:hAnsiTheme="majorHAnsi"/>
          <w:bCs/>
          <w:lang w:eastAsia="sk-SK"/>
        </w:rPr>
        <w:t xml:space="preserve">zlepšeniu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zefektívneniu ich implementácie.</w:t>
      </w:r>
    </w:p>
    <w:p w:rsidR="00D97293" w:rsidRPr="00A11FE0" w:rsidRDefault="00BD5FD5" w:rsidP="00D97293">
      <w:pPr>
        <w:rPr>
          <w:rFonts w:asciiTheme="majorHAnsi" w:hAnsiTheme="majorHAnsi"/>
          <w:bCs/>
          <w:lang w:eastAsia="sk-SK"/>
        </w:rPr>
      </w:pPr>
      <w:r>
        <w:rPr>
          <w:rFonts w:asciiTheme="majorHAnsi" w:hAnsiTheme="majorHAnsi"/>
          <w:bCs/>
          <w:lang w:eastAsia="sk-SK"/>
        </w:rPr>
        <w:t>S</w:t>
      </w:r>
      <w:r w:rsidR="00D97293" w:rsidRPr="00A11FE0">
        <w:rPr>
          <w:rFonts w:asciiTheme="majorHAnsi" w:hAnsiTheme="majorHAnsi"/>
          <w:bCs/>
          <w:lang w:eastAsia="sk-SK"/>
        </w:rPr>
        <w:t xml:space="preserve">ynergia </w:t>
      </w:r>
      <w:r>
        <w:rPr>
          <w:rFonts w:asciiTheme="majorHAnsi" w:hAnsiTheme="majorHAnsi"/>
          <w:bCs/>
          <w:lang w:eastAsia="sk-SK"/>
        </w:rPr>
        <w:t>s</w:t>
      </w:r>
      <w:r w:rsidR="00A90DCD">
        <w:rPr>
          <w:rFonts w:asciiTheme="majorHAnsi" w:hAnsiTheme="majorHAnsi"/>
          <w:bCs/>
          <w:lang w:eastAsia="sk-SK"/>
        </w:rPr>
        <w:t> </w:t>
      </w:r>
      <w:r w:rsidR="00D97293" w:rsidRPr="00A11FE0">
        <w:rPr>
          <w:rFonts w:asciiTheme="majorHAnsi" w:hAnsiTheme="majorHAnsi"/>
          <w:bCs/>
          <w:lang w:eastAsia="sk-SK"/>
        </w:rPr>
        <w:t>hlavnými</w:t>
      </w:r>
      <w:r w:rsidR="00A90DCD">
        <w:rPr>
          <w:rFonts w:asciiTheme="majorHAnsi" w:hAnsiTheme="majorHAnsi"/>
          <w:bCs/>
          <w:lang w:eastAsia="sk-SK"/>
        </w:rPr>
        <w:t xml:space="preserve"> </w:t>
      </w:r>
      <w:r w:rsidR="00D97293" w:rsidRPr="00A11FE0">
        <w:rPr>
          <w:rFonts w:asciiTheme="majorHAnsi" w:hAnsiTheme="majorHAnsi"/>
          <w:bCs/>
          <w:lang w:eastAsia="sk-SK"/>
        </w:rPr>
        <w:t xml:space="preserve">programami </w:t>
      </w:r>
      <w:r>
        <w:rPr>
          <w:rFonts w:asciiTheme="majorHAnsi" w:hAnsiTheme="majorHAnsi"/>
          <w:bCs/>
          <w:lang w:eastAsia="sk-SK"/>
        </w:rPr>
        <w:t>S</w:t>
      </w:r>
      <w:r w:rsidR="00D97293" w:rsidRPr="00A11FE0">
        <w:rPr>
          <w:rFonts w:asciiTheme="majorHAnsi" w:hAnsiTheme="majorHAnsi"/>
          <w:bCs/>
          <w:lang w:eastAsia="sk-SK"/>
        </w:rPr>
        <w:t xml:space="preserve">R bude dosiahnutá prostredníctvom dvoch typov intervencií, </w:t>
      </w:r>
      <w:r>
        <w:rPr>
          <w:rFonts w:asciiTheme="majorHAnsi" w:hAnsiTheme="majorHAnsi"/>
          <w:bCs/>
          <w:lang w:eastAsia="sk-SK"/>
        </w:rPr>
        <w:t>a</w:t>
      </w:r>
      <w:r w:rsidR="00030BFC">
        <w:rPr>
          <w:rFonts w:asciiTheme="majorHAnsi" w:hAnsiTheme="majorHAnsi"/>
          <w:bCs/>
          <w:lang w:eastAsia="sk-SK"/>
        </w:rPr>
        <w:t> </w:t>
      </w:r>
      <w:r w:rsidR="00D97293" w:rsidRPr="00A11FE0">
        <w:rPr>
          <w:rFonts w:asciiTheme="majorHAnsi" w:hAnsiTheme="majorHAnsi"/>
          <w:bCs/>
          <w:lang w:eastAsia="sk-SK"/>
        </w:rPr>
        <w:t>to</w:t>
      </w:r>
      <w:r w:rsidR="00A13E12">
        <w:rPr>
          <w:rFonts w:asciiTheme="majorHAnsi" w:hAnsiTheme="majorHAnsi"/>
          <w:bCs/>
          <w:lang w:eastAsia="sk-SK"/>
        </w:rPr>
        <w:t xml:space="preserve"> </w:t>
      </w:r>
      <w:r w:rsidR="00D97293" w:rsidRPr="00A11FE0">
        <w:rPr>
          <w:rFonts w:asciiTheme="majorHAnsi" w:hAnsiTheme="majorHAnsi"/>
          <w:bCs/>
          <w:lang w:eastAsia="sk-SK"/>
        </w:rPr>
        <w:t xml:space="preserve">platforiem zameraných na politické vzdelávanie (Policy Learning Platforms), </w:t>
      </w:r>
      <w:r>
        <w:rPr>
          <w:rFonts w:asciiTheme="majorHAnsi" w:hAnsiTheme="majorHAnsi"/>
          <w:bCs/>
          <w:lang w:eastAsia="sk-SK"/>
        </w:rPr>
        <w:t>k</w:t>
      </w:r>
      <w:r w:rsidR="00D97293" w:rsidRPr="00A11FE0">
        <w:rPr>
          <w:rFonts w:asciiTheme="majorHAnsi" w:hAnsiTheme="majorHAnsi"/>
          <w:bCs/>
          <w:lang w:eastAsia="sk-SK"/>
        </w:rPr>
        <w:t xml:space="preserve">toré zabezpečia </w:t>
      </w:r>
      <w:r>
        <w:rPr>
          <w:rFonts w:asciiTheme="majorHAnsi" w:hAnsiTheme="majorHAnsi"/>
          <w:bCs/>
          <w:lang w:eastAsia="sk-SK"/>
        </w:rPr>
        <w:t>k</w:t>
      </w:r>
      <w:r w:rsidR="00D97293" w:rsidRPr="00A11FE0">
        <w:rPr>
          <w:rFonts w:asciiTheme="majorHAnsi" w:hAnsiTheme="majorHAnsi"/>
          <w:bCs/>
          <w:lang w:eastAsia="sk-SK"/>
        </w:rPr>
        <w:t xml:space="preserve">apitalizáciu získaných poznatkov v jednotlivých tematických oblastiach </w:t>
      </w:r>
      <w:r>
        <w:rPr>
          <w:rFonts w:asciiTheme="majorHAnsi" w:hAnsiTheme="majorHAnsi"/>
          <w:bCs/>
          <w:lang w:eastAsia="sk-SK"/>
        </w:rPr>
        <w:t>a</w:t>
      </w:r>
      <w:r w:rsidR="00D97293" w:rsidRPr="00A11FE0">
        <w:rPr>
          <w:rFonts w:asciiTheme="majorHAnsi" w:hAnsiTheme="majorHAnsi"/>
          <w:bCs/>
          <w:lang w:eastAsia="sk-SK"/>
        </w:rPr>
        <w:t xml:space="preserve"> podporia ich prenos do hlavných programov </w:t>
      </w:r>
      <w:r>
        <w:rPr>
          <w:rFonts w:asciiTheme="majorHAnsi" w:hAnsiTheme="majorHAnsi"/>
          <w:bCs/>
          <w:lang w:eastAsia="sk-SK"/>
        </w:rPr>
        <w:t>S</w:t>
      </w:r>
      <w:r w:rsidR="00D97293" w:rsidRPr="00A11FE0">
        <w:rPr>
          <w:rFonts w:asciiTheme="majorHAnsi" w:hAnsiTheme="majorHAnsi"/>
          <w:bCs/>
          <w:lang w:eastAsia="sk-SK"/>
        </w:rPr>
        <w:t xml:space="preserve">R, </w:t>
      </w:r>
      <w:r>
        <w:rPr>
          <w:rFonts w:asciiTheme="majorHAnsi" w:hAnsiTheme="majorHAnsi"/>
          <w:bCs/>
          <w:lang w:eastAsia="sk-SK"/>
        </w:rPr>
        <w:t>ak</w:t>
      </w:r>
      <w:r w:rsidR="00D97293" w:rsidRPr="00A11FE0">
        <w:rPr>
          <w:rFonts w:asciiTheme="majorHAnsi" w:hAnsiTheme="majorHAnsi"/>
          <w:bCs/>
          <w:lang w:eastAsia="sk-SK"/>
        </w:rPr>
        <w:t xml:space="preserve">o </w:t>
      </w:r>
      <w:r>
        <w:rPr>
          <w:rFonts w:asciiTheme="majorHAnsi" w:hAnsiTheme="majorHAnsi"/>
          <w:bCs/>
          <w:lang w:eastAsia="sk-SK"/>
        </w:rPr>
        <w:t>a</w:t>
      </w:r>
      <w:r w:rsidR="00D97293" w:rsidRPr="00A11FE0">
        <w:rPr>
          <w:rFonts w:asciiTheme="majorHAnsi" w:hAnsiTheme="majorHAnsi"/>
          <w:bCs/>
          <w:lang w:eastAsia="sk-SK"/>
        </w:rPr>
        <w:t xml:space="preserve">j prostredníctvom projektov medziregionálnej </w:t>
      </w:r>
      <w:r>
        <w:rPr>
          <w:rFonts w:asciiTheme="majorHAnsi" w:hAnsiTheme="majorHAnsi"/>
          <w:bCs/>
          <w:lang w:eastAsia="sk-SK"/>
        </w:rPr>
        <w:t>s</w:t>
      </w:r>
      <w:r w:rsidR="00D97293" w:rsidRPr="00A11FE0">
        <w:rPr>
          <w:rFonts w:asciiTheme="majorHAnsi" w:hAnsiTheme="majorHAnsi"/>
          <w:bCs/>
          <w:lang w:eastAsia="sk-SK"/>
        </w:rPr>
        <w:t xml:space="preserve">polupráce (Interregional Cooperation Projects), </w:t>
      </w:r>
      <w:r>
        <w:rPr>
          <w:rFonts w:asciiTheme="majorHAnsi" w:hAnsiTheme="majorHAnsi"/>
          <w:bCs/>
          <w:lang w:eastAsia="sk-SK"/>
        </w:rPr>
        <w:t>k</w:t>
      </w:r>
      <w:r w:rsidR="00D97293" w:rsidRPr="00A11FE0">
        <w:rPr>
          <w:rFonts w:asciiTheme="majorHAnsi" w:hAnsiTheme="majorHAnsi"/>
          <w:bCs/>
          <w:lang w:eastAsia="sk-SK"/>
        </w:rPr>
        <w:t xml:space="preserve">torých povinným výstupom budú </w:t>
      </w:r>
      <w:r>
        <w:rPr>
          <w:rFonts w:asciiTheme="majorHAnsi" w:hAnsiTheme="majorHAnsi"/>
          <w:bCs/>
          <w:lang w:eastAsia="sk-SK"/>
        </w:rPr>
        <w:t>ak</w:t>
      </w:r>
      <w:r w:rsidR="00D97293" w:rsidRPr="00A11FE0">
        <w:rPr>
          <w:rFonts w:asciiTheme="majorHAnsi" w:hAnsiTheme="majorHAnsi"/>
          <w:bCs/>
          <w:lang w:eastAsia="sk-SK"/>
        </w:rPr>
        <w:t xml:space="preserve">čné plány popisujúce proces prenosu získaných poznatkov do hlavných programov </w:t>
      </w:r>
      <w:r>
        <w:rPr>
          <w:rFonts w:asciiTheme="majorHAnsi" w:hAnsiTheme="majorHAnsi"/>
          <w:bCs/>
          <w:lang w:eastAsia="sk-SK"/>
        </w:rPr>
        <w:t>S</w:t>
      </w:r>
      <w:r w:rsidR="00D97293" w:rsidRPr="00A11FE0">
        <w:rPr>
          <w:rFonts w:asciiTheme="majorHAnsi" w:hAnsiTheme="majorHAnsi"/>
          <w:bCs/>
          <w:lang w:eastAsia="sk-SK"/>
        </w:rPr>
        <w:t xml:space="preserve">R </w:t>
      </w:r>
      <w:r>
        <w:rPr>
          <w:rFonts w:asciiTheme="majorHAnsi" w:hAnsiTheme="majorHAnsi"/>
          <w:bCs/>
          <w:lang w:eastAsia="sk-SK"/>
        </w:rPr>
        <w:t>a</w:t>
      </w:r>
      <w:r w:rsidR="00A90DCD">
        <w:rPr>
          <w:rFonts w:asciiTheme="majorHAnsi" w:hAnsiTheme="majorHAnsi"/>
          <w:bCs/>
          <w:lang w:eastAsia="sk-SK"/>
        </w:rPr>
        <w:t> </w:t>
      </w:r>
      <w:r>
        <w:rPr>
          <w:rFonts w:asciiTheme="majorHAnsi" w:hAnsiTheme="majorHAnsi"/>
          <w:bCs/>
          <w:lang w:eastAsia="sk-SK"/>
        </w:rPr>
        <w:t>k</w:t>
      </w:r>
      <w:r w:rsidR="00D97293" w:rsidRPr="00A11FE0">
        <w:rPr>
          <w:rFonts w:asciiTheme="majorHAnsi" w:hAnsiTheme="majorHAnsi"/>
          <w:bCs/>
          <w:lang w:eastAsia="sk-SK"/>
        </w:rPr>
        <w:t>torých</w:t>
      </w:r>
      <w:r w:rsidR="00A90DCD">
        <w:rPr>
          <w:rFonts w:asciiTheme="majorHAnsi" w:hAnsiTheme="majorHAnsi"/>
          <w:bCs/>
          <w:lang w:eastAsia="sk-SK"/>
        </w:rPr>
        <w:t xml:space="preserve"> </w:t>
      </w:r>
      <w:r w:rsidR="00D97293" w:rsidRPr="00A11FE0">
        <w:rPr>
          <w:rFonts w:asciiTheme="majorHAnsi" w:hAnsiTheme="majorHAnsi"/>
          <w:bCs/>
          <w:lang w:eastAsia="sk-SK"/>
        </w:rPr>
        <w:t xml:space="preserve">implementácia </w:t>
      </w:r>
      <w:r>
        <w:rPr>
          <w:rFonts w:asciiTheme="majorHAnsi" w:hAnsiTheme="majorHAnsi"/>
          <w:bCs/>
          <w:lang w:eastAsia="sk-SK"/>
        </w:rPr>
        <w:t>s</w:t>
      </w:r>
      <w:r w:rsidR="00D97293" w:rsidRPr="00A11FE0">
        <w:rPr>
          <w:rFonts w:asciiTheme="majorHAnsi" w:hAnsiTheme="majorHAnsi"/>
          <w:bCs/>
          <w:lang w:eastAsia="sk-SK"/>
        </w:rPr>
        <w:t xml:space="preserve">a bude monitorovať na úrovni programu. INTERREG </w:t>
      </w:r>
      <w:r w:rsidR="00992762">
        <w:rPr>
          <w:rFonts w:asciiTheme="majorHAnsi" w:hAnsiTheme="majorHAnsi"/>
          <w:bCs/>
          <w:lang w:eastAsia="sk-SK"/>
        </w:rPr>
        <w:t>EUR</w:t>
      </w:r>
      <w:r w:rsidR="00D97293" w:rsidRPr="00A11FE0">
        <w:rPr>
          <w:rFonts w:asciiTheme="majorHAnsi" w:hAnsiTheme="majorHAnsi"/>
          <w:bCs/>
          <w:lang w:eastAsia="sk-SK"/>
        </w:rPr>
        <w:t xml:space="preserve">OPE bude rovnako </w:t>
      </w:r>
      <w:r>
        <w:rPr>
          <w:rFonts w:asciiTheme="majorHAnsi" w:hAnsiTheme="majorHAnsi"/>
          <w:bCs/>
          <w:lang w:eastAsia="sk-SK"/>
        </w:rPr>
        <w:t>s</w:t>
      </w:r>
      <w:r w:rsidR="00D97293" w:rsidRPr="00A11FE0">
        <w:rPr>
          <w:rFonts w:asciiTheme="majorHAnsi" w:hAnsiTheme="majorHAnsi"/>
          <w:bCs/>
          <w:lang w:eastAsia="sk-SK"/>
        </w:rPr>
        <w:t xml:space="preserve">polupracovať </w:t>
      </w:r>
      <w:r>
        <w:rPr>
          <w:rFonts w:asciiTheme="majorHAnsi" w:hAnsiTheme="majorHAnsi"/>
          <w:bCs/>
          <w:lang w:eastAsia="sk-SK"/>
        </w:rPr>
        <w:t>s</w:t>
      </w:r>
      <w:r w:rsidR="00D97293" w:rsidRPr="00A11FE0">
        <w:rPr>
          <w:rFonts w:asciiTheme="majorHAnsi" w:hAnsiTheme="majorHAnsi"/>
          <w:bCs/>
          <w:lang w:eastAsia="sk-SK"/>
        </w:rPr>
        <w:t> ostatnými programami EÚS hlavne v</w:t>
      </w:r>
      <w:r w:rsidR="00A90DCD">
        <w:rPr>
          <w:rFonts w:asciiTheme="majorHAnsi" w:hAnsiTheme="majorHAnsi"/>
          <w:bCs/>
          <w:lang w:eastAsia="sk-SK"/>
        </w:rPr>
        <w:t> </w:t>
      </w:r>
      <w:r w:rsidR="00D97293" w:rsidRPr="00A11FE0">
        <w:rPr>
          <w:rFonts w:asciiTheme="majorHAnsi" w:hAnsiTheme="majorHAnsi"/>
          <w:bCs/>
          <w:lang w:eastAsia="sk-SK"/>
        </w:rPr>
        <w:t>oblasti</w:t>
      </w:r>
      <w:r w:rsidR="00A90DCD">
        <w:rPr>
          <w:rFonts w:asciiTheme="majorHAnsi" w:hAnsiTheme="majorHAnsi"/>
          <w:bCs/>
          <w:lang w:eastAsia="sk-SK"/>
        </w:rPr>
        <w:t xml:space="preserve"> </w:t>
      </w:r>
      <w:r w:rsidR="00D97293" w:rsidRPr="00A11FE0">
        <w:rPr>
          <w:rFonts w:asciiTheme="majorHAnsi" w:hAnsiTheme="majorHAnsi"/>
          <w:bCs/>
          <w:lang w:eastAsia="sk-SK"/>
        </w:rPr>
        <w:t xml:space="preserve">zefektívnenia implementácie programu INTERREG </w:t>
      </w:r>
      <w:r w:rsidR="00992762">
        <w:rPr>
          <w:rFonts w:asciiTheme="majorHAnsi" w:hAnsiTheme="majorHAnsi"/>
          <w:bCs/>
          <w:lang w:eastAsia="sk-SK"/>
        </w:rPr>
        <w:t>E</w:t>
      </w:r>
      <w:r w:rsidR="006A7C8F">
        <w:rPr>
          <w:rFonts w:asciiTheme="majorHAnsi" w:hAnsiTheme="majorHAnsi"/>
          <w:bCs/>
          <w:lang w:eastAsia="sk-SK"/>
        </w:rPr>
        <w:t>UR</w:t>
      </w:r>
      <w:r w:rsidR="00D97293" w:rsidRPr="00A11FE0">
        <w:rPr>
          <w:rFonts w:asciiTheme="majorHAnsi" w:hAnsiTheme="majorHAnsi"/>
          <w:bCs/>
          <w:lang w:eastAsia="sk-SK"/>
        </w:rPr>
        <w:t xml:space="preserve">OPE, </w:t>
      </w:r>
      <w:r>
        <w:rPr>
          <w:rFonts w:asciiTheme="majorHAnsi" w:hAnsiTheme="majorHAnsi"/>
          <w:bCs/>
          <w:lang w:eastAsia="sk-SK"/>
        </w:rPr>
        <w:t>ak</w:t>
      </w:r>
      <w:r w:rsidR="00D97293" w:rsidRPr="00A11FE0">
        <w:rPr>
          <w:rFonts w:asciiTheme="majorHAnsi" w:hAnsiTheme="majorHAnsi"/>
          <w:bCs/>
          <w:lang w:eastAsia="sk-SK"/>
        </w:rPr>
        <w:t xml:space="preserve">o </w:t>
      </w:r>
      <w:r>
        <w:rPr>
          <w:rFonts w:asciiTheme="majorHAnsi" w:hAnsiTheme="majorHAnsi"/>
          <w:bCs/>
          <w:lang w:eastAsia="sk-SK"/>
        </w:rPr>
        <w:t>a</w:t>
      </w:r>
      <w:r w:rsidR="00D97293" w:rsidRPr="00A11FE0">
        <w:rPr>
          <w:rFonts w:asciiTheme="majorHAnsi" w:hAnsiTheme="majorHAnsi"/>
          <w:bCs/>
          <w:lang w:eastAsia="sk-SK"/>
        </w:rPr>
        <w:t xml:space="preserve">j </w:t>
      </w:r>
      <w:r>
        <w:rPr>
          <w:rFonts w:asciiTheme="majorHAnsi" w:hAnsiTheme="majorHAnsi"/>
          <w:bCs/>
          <w:lang w:eastAsia="sk-SK"/>
        </w:rPr>
        <w:t>k</w:t>
      </w:r>
      <w:r w:rsidR="00D97293" w:rsidRPr="00A11FE0">
        <w:rPr>
          <w:rFonts w:asciiTheme="majorHAnsi" w:hAnsiTheme="majorHAnsi"/>
          <w:bCs/>
          <w:lang w:eastAsia="sk-SK"/>
        </w:rPr>
        <w:t xml:space="preserve">apitalizácie </w:t>
      </w:r>
      <w:r>
        <w:rPr>
          <w:rFonts w:asciiTheme="majorHAnsi" w:hAnsiTheme="majorHAnsi"/>
          <w:bCs/>
          <w:lang w:eastAsia="sk-SK"/>
        </w:rPr>
        <w:t>a</w:t>
      </w:r>
      <w:r w:rsidR="00A90DCD">
        <w:rPr>
          <w:rFonts w:asciiTheme="majorHAnsi" w:hAnsiTheme="majorHAnsi"/>
          <w:bCs/>
          <w:lang w:eastAsia="sk-SK"/>
        </w:rPr>
        <w:t> </w:t>
      </w:r>
      <w:r w:rsidR="00D97293" w:rsidRPr="00A11FE0">
        <w:rPr>
          <w:rFonts w:asciiTheme="majorHAnsi" w:hAnsiTheme="majorHAnsi"/>
          <w:bCs/>
          <w:lang w:eastAsia="sk-SK"/>
        </w:rPr>
        <w:t>prenosu</w:t>
      </w:r>
      <w:r w:rsidR="00A90DCD">
        <w:rPr>
          <w:rFonts w:asciiTheme="majorHAnsi" w:hAnsiTheme="majorHAnsi"/>
          <w:bCs/>
          <w:lang w:eastAsia="sk-SK"/>
        </w:rPr>
        <w:t xml:space="preserve"> </w:t>
      </w:r>
      <w:r w:rsidR="00D97293" w:rsidRPr="00A11FE0">
        <w:rPr>
          <w:rFonts w:asciiTheme="majorHAnsi" w:hAnsiTheme="majorHAnsi"/>
          <w:bCs/>
          <w:lang w:eastAsia="sk-SK"/>
        </w:rPr>
        <w:t xml:space="preserve">získaných poznatkov do hlavných programov </w:t>
      </w:r>
      <w:r>
        <w:rPr>
          <w:rFonts w:asciiTheme="majorHAnsi" w:hAnsiTheme="majorHAnsi"/>
          <w:bCs/>
          <w:lang w:eastAsia="sk-SK"/>
        </w:rPr>
        <w:t>a</w:t>
      </w:r>
      <w:r w:rsidR="00D97293" w:rsidRPr="00A11FE0">
        <w:rPr>
          <w:rFonts w:asciiTheme="majorHAnsi" w:hAnsiTheme="majorHAnsi"/>
          <w:bCs/>
          <w:lang w:eastAsia="sk-SK"/>
        </w:rPr>
        <w:t> programov cieľa EÚS.</w:t>
      </w:r>
    </w:p>
    <w:p w:rsidR="00D97293" w:rsidRPr="00A11FE0" w:rsidRDefault="00D97293" w:rsidP="00D97293">
      <w:pPr>
        <w:rPr>
          <w:rFonts w:asciiTheme="majorHAnsi" w:hAnsiTheme="majorHAnsi"/>
          <w:bCs/>
          <w:lang w:eastAsia="sk-SK"/>
        </w:rPr>
      </w:pPr>
      <w:r w:rsidRPr="00A11FE0">
        <w:rPr>
          <w:rFonts w:asciiTheme="majorHAnsi" w:hAnsiTheme="majorHAnsi"/>
          <w:bCs/>
          <w:lang w:eastAsia="sk-SK"/>
        </w:rPr>
        <w:t>Program INTERACT III bude v</w:t>
      </w:r>
      <w:r w:rsidR="00A90DCD">
        <w:rPr>
          <w:rFonts w:asciiTheme="majorHAnsi" w:hAnsiTheme="majorHAnsi"/>
          <w:bCs/>
          <w:lang w:eastAsia="sk-SK"/>
        </w:rPr>
        <w:t> </w:t>
      </w:r>
      <w:r w:rsidRPr="00A11FE0">
        <w:rPr>
          <w:rFonts w:asciiTheme="majorHAnsi" w:hAnsiTheme="majorHAnsi"/>
          <w:bCs/>
          <w:lang w:eastAsia="sk-SK"/>
        </w:rPr>
        <w:t>programovom</w:t>
      </w:r>
      <w:r w:rsidR="00A90DCD">
        <w:rPr>
          <w:rFonts w:asciiTheme="majorHAnsi" w:hAnsiTheme="majorHAnsi"/>
          <w:bCs/>
          <w:lang w:eastAsia="sk-SK"/>
        </w:rPr>
        <w:t xml:space="preserve"> </w:t>
      </w:r>
      <w:r w:rsidRPr="00A11FE0">
        <w:rPr>
          <w:rFonts w:asciiTheme="majorHAnsi" w:hAnsiTheme="majorHAnsi"/>
          <w:bCs/>
          <w:lang w:eastAsia="sk-SK"/>
        </w:rPr>
        <w:t xml:space="preserve">období 2014 – 2020 poskytovať podporu regiónom </w:t>
      </w:r>
      <w:r w:rsidR="00BD5FD5">
        <w:rPr>
          <w:rFonts w:asciiTheme="majorHAnsi" w:hAnsiTheme="majorHAnsi"/>
          <w:bCs/>
          <w:lang w:eastAsia="sk-SK"/>
        </w:rPr>
        <w:t>a</w:t>
      </w:r>
      <w:r w:rsidRPr="00A11FE0">
        <w:rPr>
          <w:rFonts w:asciiTheme="majorHAnsi" w:hAnsiTheme="majorHAnsi"/>
          <w:bCs/>
          <w:lang w:eastAsia="sk-SK"/>
        </w:rPr>
        <w:t xml:space="preserve"> členským štátom EÚ pri účinnejšej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efektívnejšej realizácii programov EÚS. Program bude naďalej pokračovať v</w:t>
      </w:r>
      <w:r w:rsidR="00100908">
        <w:rPr>
          <w:rFonts w:asciiTheme="majorHAnsi" w:hAnsiTheme="majorHAnsi"/>
          <w:bCs/>
          <w:lang w:eastAsia="sk-SK"/>
        </w:rPr>
        <w:t> </w:t>
      </w:r>
      <w:r w:rsidRPr="00A11FE0">
        <w:rPr>
          <w:rFonts w:asciiTheme="majorHAnsi" w:hAnsiTheme="majorHAnsi"/>
          <w:bCs/>
          <w:lang w:eastAsia="sk-SK"/>
        </w:rPr>
        <w:t>identifikácii</w:t>
      </w:r>
      <w:r w:rsidR="00100908">
        <w:rPr>
          <w:rFonts w:asciiTheme="majorHAnsi" w:hAnsiTheme="majorHAnsi"/>
          <w:bCs/>
          <w:lang w:eastAsia="sk-SK"/>
        </w:rPr>
        <w:t xml:space="preserve"> </w:t>
      </w:r>
      <w:r w:rsidRPr="00A11FE0">
        <w:rPr>
          <w:rFonts w:asciiTheme="majorHAnsi" w:hAnsiTheme="majorHAnsi"/>
          <w:bCs/>
          <w:lang w:eastAsia="sk-SK"/>
        </w:rPr>
        <w:t xml:space="preserve">možnej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zameria</w:t>
      </w:r>
      <w:r w:rsidR="00A90DCD">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a na metodologické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inovatívne</w:t>
      </w:r>
      <w:r w:rsidR="00A90DCD">
        <w:rPr>
          <w:rFonts w:asciiTheme="majorHAnsi" w:hAnsiTheme="majorHAnsi"/>
          <w:bCs/>
          <w:lang w:eastAsia="sk-SK"/>
        </w:rPr>
        <w:t xml:space="preserve"> </w:t>
      </w:r>
      <w:r w:rsidR="00BD5FD5">
        <w:rPr>
          <w:rFonts w:asciiTheme="majorHAnsi" w:hAnsiTheme="majorHAnsi"/>
          <w:bCs/>
          <w:lang w:eastAsia="sk-SK"/>
        </w:rPr>
        <w:t>as</w:t>
      </w:r>
      <w:r w:rsidRPr="00A11FE0">
        <w:rPr>
          <w:rFonts w:asciiTheme="majorHAnsi" w:hAnsiTheme="majorHAnsi"/>
          <w:bCs/>
          <w:lang w:eastAsia="sk-SK"/>
        </w:rPr>
        <w:t xml:space="preserve">pekty. Program bude zameraný hlavne na </w:t>
      </w:r>
      <w:r w:rsidR="006A44F2">
        <w:rPr>
          <w:rFonts w:asciiTheme="majorHAnsi" w:hAnsiTheme="majorHAnsi"/>
          <w:bCs/>
          <w:lang w:eastAsia="sk-SK"/>
        </w:rPr>
        <w:t>spoločné využívanie</w:t>
      </w:r>
      <w:r w:rsidR="006A44F2" w:rsidRPr="00A11FE0">
        <w:rPr>
          <w:rFonts w:asciiTheme="majorHAnsi" w:hAnsiTheme="majorHAnsi"/>
          <w:bCs/>
          <w:lang w:eastAsia="sk-SK"/>
        </w:rPr>
        <w:t xml:space="preserve"> </w:t>
      </w:r>
      <w:r w:rsidRPr="00A11FE0">
        <w:rPr>
          <w:rFonts w:asciiTheme="majorHAnsi" w:hAnsiTheme="majorHAnsi"/>
          <w:bCs/>
          <w:lang w:eastAsia="sk-SK"/>
        </w:rPr>
        <w:t xml:space="preserve">riadenia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expertízu v</w:t>
      </w:r>
      <w:r w:rsidR="00030BFC">
        <w:rPr>
          <w:rFonts w:asciiTheme="majorHAnsi" w:hAnsiTheme="majorHAnsi"/>
          <w:bCs/>
          <w:lang w:eastAsia="sk-SK"/>
        </w:rPr>
        <w:t> </w:t>
      </w:r>
      <w:r w:rsidRPr="00A11FE0">
        <w:rPr>
          <w:rFonts w:asciiTheme="majorHAnsi" w:hAnsiTheme="majorHAnsi"/>
          <w:bCs/>
          <w:lang w:eastAsia="sk-SK"/>
        </w:rPr>
        <w:t xml:space="preserve">oblasti </w:t>
      </w:r>
      <w:r w:rsidR="00BD5FD5">
        <w:rPr>
          <w:rFonts w:asciiTheme="majorHAnsi" w:hAnsiTheme="majorHAnsi"/>
          <w:bCs/>
          <w:lang w:eastAsia="sk-SK"/>
        </w:rPr>
        <w:t>k</w:t>
      </w:r>
      <w:r w:rsidRPr="00A11FE0">
        <w:rPr>
          <w:rFonts w:asciiTheme="majorHAnsi" w:hAnsiTheme="majorHAnsi"/>
          <w:bCs/>
          <w:lang w:eastAsia="sk-SK"/>
        </w:rPr>
        <w:t xml:space="preserve">ontroly, podporu inovačných prístupov v oblasti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podporu</w:t>
      </w:r>
      <w:r w:rsidR="00A90DCD">
        <w:rPr>
          <w:rFonts w:asciiTheme="majorHAnsi" w:hAnsiTheme="majorHAnsi"/>
          <w:bCs/>
          <w:lang w:eastAsia="sk-SK"/>
        </w:rPr>
        <w:t xml:space="preserve"> </w:t>
      </w:r>
      <w:r w:rsidRPr="00A11FE0">
        <w:rPr>
          <w:rFonts w:asciiTheme="majorHAnsi" w:hAnsiTheme="majorHAnsi"/>
          <w:bCs/>
          <w:lang w:eastAsia="sk-SK"/>
        </w:rPr>
        <w:t xml:space="preserve">tematických väzieb, </w:t>
      </w:r>
      <w:r w:rsidR="00BD5FD5">
        <w:rPr>
          <w:rFonts w:asciiTheme="majorHAnsi" w:hAnsiTheme="majorHAnsi"/>
          <w:bCs/>
          <w:lang w:eastAsia="sk-SK"/>
        </w:rPr>
        <w:t>ak</w:t>
      </w:r>
      <w:r w:rsidRPr="00A11FE0">
        <w:rPr>
          <w:rFonts w:asciiTheme="majorHAnsi" w:hAnsiTheme="majorHAnsi"/>
          <w:bCs/>
          <w:lang w:eastAsia="sk-SK"/>
        </w:rPr>
        <w:t xml:space="preserve">o </w:t>
      </w:r>
      <w:r w:rsidR="00BD5FD5">
        <w:rPr>
          <w:rFonts w:asciiTheme="majorHAnsi" w:hAnsiTheme="majorHAnsi"/>
          <w:bCs/>
          <w:lang w:eastAsia="sk-SK"/>
        </w:rPr>
        <w:t>a</w:t>
      </w:r>
      <w:r w:rsidRPr="00A11FE0">
        <w:rPr>
          <w:rFonts w:asciiTheme="majorHAnsi" w:hAnsiTheme="majorHAnsi"/>
          <w:bCs/>
          <w:lang w:eastAsia="sk-SK"/>
        </w:rPr>
        <w:t xml:space="preserve">j dosahovanie úspešnej </w:t>
      </w:r>
      <w:r w:rsidR="00BD5FD5">
        <w:rPr>
          <w:rFonts w:asciiTheme="majorHAnsi" w:hAnsiTheme="majorHAnsi"/>
          <w:bCs/>
          <w:lang w:eastAsia="sk-SK"/>
        </w:rPr>
        <w:t>s</w:t>
      </w:r>
      <w:r w:rsidRPr="00A11FE0">
        <w:rPr>
          <w:rFonts w:asciiTheme="majorHAnsi" w:hAnsiTheme="majorHAnsi"/>
          <w:bCs/>
          <w:lang w:eastAsia="sk-SK"/>
        </w:rPr>
        <w:t>polupráce.</w:t>
      </w:r>
    </w:p>
    <w:p w:rsidR="00D97293" w:rsidRPr="00A11FE0" w:rsidRDefault="00D97293" w:rsidP="00D97293">
      <w:pPr>
        <w:rPr>
          <w:rFonts w:asciiTheme="majorHAnsi" w:hAnsiTheme="majorHAnsi"/>
          <w:bCs/>
          <w:lang w:eastAsia="sk-SK"/>
        </w:rPr>
      </w:pPr>
      <w:r w:rsidRPr="00A11FE0">
        <w:rPr>
          <w:rFonts w:asciiTheme="majorHAnsi" w:hAnsiTheme="majorHAnsi"/>
          <w:bCs/>
          <w:lang w:eastAsia="sk-SK"/>
        </w:rPr>
        <w:t xml:space="preserve">Cieľom programu ESPON 2014 – 2020 bude prostredníctvom výskumu prehlbovať dôkazy </w:t>
      </w:r>
      <w:r w:rsidR="00BD5FD5">
        <w:rPr>
          <w:rFonts w:asciiTheme="majorHAnsi" w:hAnsiTheme="majorHAnsi"/>
          <w:bCs/>
          <w:lang w:eastAsia="sk-SK"/>
        </w:rPr>
        <w:t>a</w:t>
      </w:r>
      <w:r w:rsidRPr="00A11FE0">
        <w:rPr>
          <w:rFonts w:asciiTheme="majorHAnsi" w:hAnsiTheme="majorHAnsi"/>
          <w:bCs/>
          <w:lang w:eastAsia="sk-SK"/>
        </w:rPr>
        <w:t> poznatky o</w:t>
      </w:r>
      <w:r w:rsidR="00100908">
        <w:rPr>
          <w:rFonts w:asciiTheme="majorHAnsi" w:hAnsiTheme="majorHAnsi"/>
          <w:bCs/>
          <w:lang w:eastAsia="sk-SK"/>
        </w:rPr>
        <w:t> </w:t>
      </w:r>
      <w:r w:rsidR="00992762">
        <w:rPr>
          <w:rFonts w:asciiTheme="majorHAnsi" w:hAnsiTheme="majorHAnsi"/>
          <w:bCs/>
          <w:lang w:eastAsia="sk-SK"/>
        </w:rPr>
        <w:t>E</w:t>
      </w:r>
      <w:r w:rsidR="006A7C8F">
        <w:rPr>
          <w:rFonts w:asciiTheme="majorHAnsi" w:hAnsiTheme="majorHAnsi"/>
          <w:bCs/>
          <w:lang w:eastAsia="sk-SK"/>
        </w:rPr>
        <w:t>ur</w:t>
      </w:r>
      <w:r w:rsidRPr="00A11FE0">
        <w:rPr>
          <w:rFonts w:asciiTheme="majorHAnsi" w:hAnsiTheme="majorHAnsi"/>
          <w:bCs/>
          <w:lang w:eastAsia="sk-SK"/>
        </w:rPr>
        <w:t>ópskej</w:t>
      </w:r>
      <w:r w:rsidR="00100908">
        <w:rPr>
          <w:rFonts w:asciiTheme="majorHAnsi" w:hAnsiTheme="majorHAnsi"/>
          <w:bCs/>
          <w:lang w:eastAsia="sk-SK"/>
        </w:rPr>
        <w:t xml:space="preserve"> </w:t>
      </w:r>
      <w:r w:rsidRPr="00A11FE0">
        <w:rPr>
          <w:rFonts w:asciiTheme="majorHAnsi" w:hAnsiTheme="majorHAnsi"/>
          <w:bCs/>
          <w:lang w:eastAsia="sk-SK"/>
        </w:rPr>
        <w:t xml:space="preserve">územnej štruktúre, trendoch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perspektívach</w:t>
      </w:r>
      <w:r w:rsidR="00A90DCD">
        <w:rPr>
          <w:rFonts w:asciiTheme="majorHAnsi" w:hAnsiTheme="majorHAnsi"/>
          <w:bCs/>
          <w:lang w:eastAsia="sk-SK"/>
        </w:rPr>
        <w:t xml:space="preserve">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zabezpečovať</w:t>
      </w:r>
      <w:r w:rsidR="00A90DCD">
        <w:rPr>
          <w:rFonts w:asciiTheme="majorHAnsi" w:hAnsiTheme="majorHAnsi"/>
          <w:bCs/>
          <w:lang w:eastAsia="sk-SK"/>
        </w:rPr>
        <w:t xml:space="preserve"> </w:t>
      </w:r>
      <w:r w:rsidRPr="00A11FE0">
        <w:rPr>
          <w:rFonts w:asciiTheme="majorHAnsi" w:hAnsiTheme="majorHAnsi"/>
          <w:bCs/>
          <w:lang w:eastAsia="sk-SK"/>
        </w:rPr>
        <w:t xml:space="preserve">plynulú, efektívnu, cielenú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integrovanú</w:t>
      </w:r>
      <w:r w:rsidR="00A13E12">
        <w:rPr>
          <w:rFonts w:asciiTheme="majorHAnsi" w:hAnsiTheme="majorHAnsi"/>
          <w:bCs/>
          <w:lang w:eastAsia="sk-SK"/>
        </w:rPr>
        <w:t xml:space="preserve"> </w:t>
      </w:r>
      <w:r w:rsidRPr="00A11FE0">
        <w:rPr>
          <w:rFonts w:asciiTheme="majorHAnsi" w:hAnsiTheme="majorHAnsi"/>
          <w:bCs/>
          <w:lang w:eastAsia="sk-SK"/>
        </w:rPr>
        <w:t xml:space="preserve">implementáciu politiky </w:t>
      </w:r>
      <w:r w:rsidR="00BD5FD5">
        <w:rPr>
          <w:rFonts w:asciiTheme="majorHAnsi" w:hAnsiTheme="majorHAnsi"/>
          <w:bCs/>
          <w:lang w:eastAsia="sk-SK"/>
        </w:rPr>
        <w:t>s</w:t>
      </w:r>
      <w:r w:rsidRPr="00A11FE0">
        <w:rPr>
          <w:rFonts w:asciiTheme="majorHAnsi" w:hAnsiTheme="majorHAnsi"/>
          <w:bCs/>
          <w:lang w:eastAsia="sk-SK"/>
        </w:rPr>
        <w:t xml:space="preserve">údržnosti </w:t>
      </w:r>
      <w:r w:rsidR="00BD5FD5">
        <w:rPr>
          <w:rFonts w:asciiTheme="majorHAnsi" w:hAnsiTheme="majorHAnsi"/>
          <w:bCs/>
          <w:lang w:eastAsia="sk-SK"/>
        </w:rPr>
        <w:t>a</w:t>
      </w:r>
      <w:r w:rsidR="00A90DCD">
        <w:rPr>
          <w:rFonts w:asciiTheme="majorHAnsi" w:hAnsiTheme="majorHAnsi"/>
          <w:bCs/>
          <w:lang w:eastAsia="sk-SK"/>
        </w:rPr>
        <w:t> </w:t>
      </w:r>
      <w:r w:rsidR="00BD5FD5">
        <w:rPr>
          <w:rFonts w:asciiTheme="majorHAnsi" w:hAnsiTheme="majorHAnsi"/>
          <w:bCs/>
          <w:lang w:eastAsia="sk-SK"/>
        </w:rPr>
        <w:t>s</w:t>
      </w:r>
      <w:r w:rsidRPr="00A11FE0">
        <w:rPr>
          <w:rFonts w:asciiTheme="majorHAnsi" w:hAnsiTheme="majorHAnsi"/>
          <w:bCs/>
          <w:lang w:eastAsia="sk-SK"/>
        </w:rPr>
        <w:t>ektorových</w:t>
      </w:r>
      <w:r w:rsidR="00A90DCD">
        <w:rPr>
          <w:rFonts w:asciiTheme="majorHAnsi" w:hAnsiTheme="majorHAnsi"/>
          <w:bCs/>
          <w:lang w:eastAsia="sk-SK"/>
        </w:rPr>
        <w:t xml:space="preserve"> </w:t>
      </w:r>
      <w:r w:rsidRPr="00A11FE0">
        <w:rPr>
          <w:rFonts w:asciiTheme="majorHAnsi" w:hAnsiTheme="majorHAnsi"/>
          <w:bCs/>
          <w:lang w:eastAsia="sk-SK"/>
        </w:rPr>
        <w:t xml:space="preserve">politík, </w:t>
      </w:r>
      <w:r w:rsidR="00BD5FD5">
        <w:rPr>
          <w:rFonts w:asciiTheme="majorHAnsi" w:hAnsiTheme="majorHAnsi"/>
          <w:bCs/>
          <w:lang w:eastAsia="sk-SK"/>
        </w:rPr>
        <w:t>k</w:t>
      </w:r>
      <w:r w:rsidRPr="00A11FE0">
        <w:rPr>
          <w:rFonts w:asciiTheme="majorHAnsi" w:hAnsiTheme="majorHAnsi"/>
          <w:bCs/>
          <w:lang w:eastAsia="sk-SK"/>
        </w:rPr>
        <w:t xml:space="preserve">toré zahŕňajú územný rozmer. Program bude využívať </w:t>
      </w:r>
      <w:r w:rsidR="00BD5FD5">
        <w:rPr>
          <w:rFonts w:asciiTheme="majorHAnsi" w:hAnsiTheme="majorHAnsi"/>
          <w:bCs/>
          <w:lang w:eastAsia="sk-SK"/>
        </w:rPr>
        <w:t>s</w:t>
      </w:r>
      <w:r w:rsidRPr="00A11FE0">
        <w:rPr>
          <w:rFonts w:asciiTheme="majorHAnsi" w:hAnsiTheme="majorHAnsi"/>
          <w:bCs/>
          <w:lang w:eastAsia="sk-SK"/>
        </w:rPr>
        <w:t xml:space="preserve">voj potenciál pri meraní </w:t>
      </w:r>
      <w:r w:rsidR="00BD5FD5">
        <w:rPr>
          <w:rFonts w:asciiTheme="majorHAnsi" w:hAnsiTheme="majorHAnsi"/>
          <w:bCs/>
          <w:lang w:eastAsia="sk-SK"/>
        </w:rPr>
        <w:t>a</w:t>
      </w:r>
      <w:r w:rsidRPr="00A11FE0">
        <w:rPr>
          <w:rFonts w:asciiTheme="majorHAnsi" w:hAnsiTheme="majorHAnsi"/>
          <w:bCs/>
          <w:lang w:eastAsia="sk-SK"/>
        </w:rPr>
        <w:t xml:space="preserve"> hodnotení </w:t>
      </w:r>
      <w:r w:rsidR="00BD5FD5">
        <w:rPr>
          <w:rFonts w:asciiTheme="majorHAnsi" w:hAnsiTheme="majorHAnsi"/>
          <w:bCs/>
          <w:lang w:eastAsia="sk-SK"/>
        </w:rPr>
        <w:t>k</w:t>
      </w:r>
      <w:r w:rsidRPr="00A11FE0">
        <w:rPr>
          <w:rFonts w:asciiTheme="majorHAnsi" w:hAnsiTheme="majorHAnsi"/>
          <w:bCs/>
          <w:lang w:eastAsia="sk-SK"/>
        </w:rPr>
        <w:t xml:space="preserve">vality územia inými typmi ukazovateľov </w:t>
      </w:r>
      <w:r w:rsidR="00BD5FD5">
        <w:rPr>
          <w:rFonts w:asciiTheme="majorHAnsi" w:hAnsiTheme="majorHAnsi"/>
          <w:bCs/>
          <w:lang w:eastAsia="sk-SK"/>
        </w:rPr>
        <w:t>ak</w:t>
      </w:r>
      <w:r w:rsidRPr="00A11FE0">
        <w:rPr>
          <w:rFonts w:asciiTheme="majorHAnsi" w:hAnsiTheme="majorHAnsi"/>
          <w:bCs/>
          <w:lang w:eastAsia="sk-SK"/>
        </w:rPr>
        <w:t xml:space="preserve">o len na základe HDP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 xml:space="preserve">tým prinesie </w:t>
      </w:r>
      <w:r w:rsidR="00BD5FD5">
        <w:rPr>
          <w:rFonts w:asciiTheme="majorHAnsi" w:hAnsiTheme="majorHAnsi"/>
          <w:bCs/>
          <w:lang w:eastAsia="sk-SK"/>
        </w:rPr>
        <w:t>k</w:t>
      </w:r>
      <w:r w:rsidR="0073290E">
        <w:rPr>
          <w:rFonts w:asciiTheme="majorHAnsi" w:hAnsiTheme="majorHAnsi"/>
          <w:bCs/>
          <w:lang w:eastAsia="sk-SK"/>
        </w:rPr>
        <w:t>o</w:t>
      </w:r>
      <w:r w:rsidRPr="00A11FE0">
        <w:rPr>
          <w:rFonts w:asciiTheme="majorHAnsi" w:hAnsiTheme="majorHAnsi"/>
          <w:bCs/>
          <w:lang w:eastAsia="sk-SK"/>
        </w:rPr>
        <w:t xml:space="preserve">mplementárnosť </w:t>
      </w:r>
      <w:r w:rsidR="00BD5FD5">
        <w:rPr>
          <w:rFonts w:asciiTheme="majorHAnsi" w:hAnsiTheme="majorHAnsi"/>
          <w:bCs/>
          <w:lang w:eastAsia="sk-SK"/>
        </w:rPr>
        <w:t>k</w:t>
      </w:r>
      <w:r w:rsidRPr="00A11FE0">
        <w:rPr>
          <w:rFonts w:asciiTheme="majorHAnsi" w:hAnsiTheme="majorHAnsi"/>
          <w:bCs/>
          <w:lang w:eastAsia="sk-SK"/>
        </w:rPr>
        <w:t> </w:t>
      </w:r>
      <w:r w:rsidR="006A44F2">
        <w:rPr>
          <w:rFonts w:asciiTheme="majorHAnsi" w:hAnsiTheme="majorHAnsi"/>
          <w:bCs/>
          <w:lang w:eastAsia="sk-SK"/>
        </w:rPr>
        <w:t>eur</w:t>
      </w:r>
      <w:r w:rsidR="006A44F2" w:rsidRPr="00A11FE0">
        <w:rPr>
          <w:rFonts w:asciiTheme="majorHAnsi" w:hAnsiTheme="majorHAnsi"/>
          <w:bCs/>
          <w:lang w:eastAsia="sk-SK"/>
        </w:rPr>
        <w:t xml:space="preserve">ópskym </w:t>
      </w:r>
      <w:r w:rsidRPr="00A11FE0">
        <w:rPr>
          <w:rFonts w:asciiTheme="majorHAnsi" w:hAnsiTheme="majorHAnsi"/>
          <w:bCs/>
          <w:lang w:eastAsia="sk-SK"/>
        </w:rPr>
        <w:t xml:space="preserve">zdrojom dát </w:t>
      </w:r>
      <w:r w:rsidR="00BD5FD5">
        <w:rPr>
          <w:rFonts w:asciiTheme="majorHAnsi" w:hAnsiTheme="majorHAnsi"/>
          <w:bCs/>
          <w:lang w:eastAsia="sk-SK"/>
        </w:rPr>
        <w:t>a</w:t>
      </w:r>
      <w:r w:rsidRPr="00A11FE0">
        <w:rPr>
          <w:rFonts w:asciiTheme="majorHAnsi" w:hAnsiTheme="majorHAnsi"/>
          <w:bCs/>
          <w:lang w:eastAsia="sk-SK"/>
        </w:rPr>
        <w:t> </w:t>
      </w:r>
      <w:r w:rsidR="00BD5FD5">
        <w:rPr>
          <w:rFonts w:asciiTheme="majorHAnsi" w:hAnsiTheme="majorHAnsi"/>
          <w:bCs/>
          <w:lang w:eastAsia="sk-SK"/>
        </w:rPr>
        <w:t>k</w:t>
      </w:r>
      <w:r w:rsidRPr="00A11FE0">
        <w:rPr>
          <w:rFonts w:asciiTheme="majorHAnsi" w:hAnsiTheme="majorHAnsi"/>
          <w:bCs/>
          <w:lang w:eastAsia="sk-SK"/>
        </w:rPr>
        <w:t xml:space="preserve">ompatibilné informácie v širšom priestore. Vytvorená databáza poznatkov o území bude </w:t>
      </w:r>
      <w:r w:rsidR="00BD5FD5">
        <w:rPr>
          <w:rFonts w:asciiTheme="majorHAnsi" w:hAnsiTheme="majorHAnsi"/>
          <w:bCs/>
          <w:lang w:eastAsia="sk-SK"/>
        </w:rPr>
        <w:t>s</w:t>
      </w:r>
      <w:r w:rsidRPr="00A11FE0">
        <w:rPr>
          <w:rFonts w:asciiTheme="majorHAnsi" w:hAnsiTheme="majorHAnsi"/>
          <w:bCs/>
          <w:lang w:eastAsia="sk-SK"/>
        </w:rPr>
        <w:t xml:space="preserve">lúžiť tvorcom politík na všetkých úrovniach. Šírenie získaných poznatkov bude na národnej úrovni zabezpečené prostredníctvom organizovania informačných dní </w:t>
      </w:r>
      <w:r w:rsidR="00BD5FD5">
        <w:rPr>
          <w:rFonts w:asciiTheme="majorHAnsi" w:hAnsiTheme="majorHAnsi"/>
          <w:bCs/>
          <w:lang w:eastAsia="sk-SK"/>
        </w:rPr>
        <w:t>a</w:t>
      </w:r>
      <w:r w:rsidRPr="00A11FE0">
        <w:rPr>
          <w:rFonts w:asciiTheme="majorHAnsi" w:hAnsiTheme="majorHAnsi"/>
          <w:bCs/>
          <w:lang w:eastAsia="sk-SK"/>
        </w:rPr>
        <w:t xml:space="preserve"> vydávania informačných materiálov. </w:t>
      </w:r>
      <w:r w:rsidR="00BD5FD5">
        <w:rPr>
          <w:rFonts w:asciiTheme="majorHAnsi" w:hAnsiTheme="majorHAnsi"/>
          <w:bCs/>
          <w:lang w:eastAsia="sk-SK"/>
        </w:rPr>
        <w:t>S</w:t>
      </w:r>
      <w:r w:rsidRPr="00A11FE0">
        <w:rPr>
          <w:rFonts w:asciiTheme="majorHAnsi" w:hAnsiTheme="majorHAnsi"/>
          <w:bCs/>
          <w:lang w:eastAsia="sk-SK"/>
        </w:rPr>
        <w:t xml:space="preserve">ynergiu </w:t>
      </w:r>
      <w:r w:rsidR="00BD5FD5">
        <w:rPr>
          <w:rFonts w:asciiTheme="majorHAnsi" w:hAnsiTheme="majorHAnsi"/>
          <w:bCs/>
          <w:lang w:eastAsia="sk-SK"/>
        </w:rPr>
        <w:t>s</w:t>
      </w:r>
      <w:r w:rsidR="00030BFC">
        <w:rPr>
          <w:rFonts w:asciiTheme="majorHAnsi" w:hAnsiTheme="majorHAnsi"/>
          <w:bCs/>
          <w:lang w:eastAsia="sk-SK"/>
        </w:rPr>
        <w:t> </w:t>
      </w:r>
      <w:r w:rsidRPr="00A11FE0">
        <w:rPr>
          <w:rFonts w:asciiTheme="majorHAnsi" w:hAnsiTheme="majorHAnsi"/>
          <w:bCs/>
          <w:lang w:eastAsia="sk-SK"/>
        </w:rPr>
        <w:t xml:space="preserve">ostatnými programami EÚS bude program ESPON 2014 – 2020 uskutočňovať prostredníctvom podpory pri  implementácii hlavných programov </w:t>
      </w:r>
      <w:r w:rsidR="00BD5FD5">
        <w:rPr>
          <w:rFonts w:asciiTheme="majorHAnsi" w:hAnsiTheme="majorHAnsi"/>
          <w:bCs/>
          <w:lang w:eastAsia="sk-SK"/>
        </w:rPr>
        <w:t>S</w:t>
      </w:r>
      <w:r w:rsidRPr="00A11FE0">
        <w:rPr>
          <w:rFonts w:asciiTheme="majorHAnsi" w:hAnsiTheme="majorHAnsi"/>
          <w:bCs/>
          <w:lang w:eastAsia="sk-SK"/>
        </w:rPr>
        <w:t xml:space="preserve">R </w:t>
      </w:r>
      <w:r w:rsidR="00BD5FD5">
        <w:rPr>
          <w:rFonts w:asciiTheme="majorHAnsi" w:hAnsiTheme="majorHAnsi"/>
          <w:bCs/>
          <w:lang w:eastAsia="sk-SK"/>
        </w:rPr>
        <w:t>a</w:t>
      </w:r>
      <w:r w:rsidR="00A90DCD">
        <w:rPr>
          <w:rFonts w:asciiTheme="majorHAnsi" w:hAnsiTheme="majorHAnsi"/>
          <w:bCs/>
          <w:lang w:eastAsia="sk-SK"/>
        </w:rPr>
        <w:t> </w:t>
      </w:r>
      <w:r w:rsidRPr="00A11FE0">
        <w:rPr>
          <w:rFonts w:asciiTheme="majorHAnsi" w:hAnsiTheme="majorHAnsi"/>
          <w:bCs/>
          <w:lang w:eastAsia="sk-SK"/>
        </w:rPr>
        <w:t>budovaní</w:t>
      </w:r>
      <w:r w:rsidR="00A90DCD">
        <w:rPr>
          <w:rFonts w:asciiTheme="majorHAnsi" w:hAnsiTheme="majorHAnsi"/>
          <w:bCs/>
          <w:lang w:eastAsia="sk-SK"/>
        </w:rPr>
        <w:t xml:space="preserve"> </w:t>
      </w:r>
      <w:r w:rsidR="00BD5FD5">
        <w:rPr>
          <w:rFonts w:asciiTheme="majorHAnsi" w:hAnsiTheme="majorHAnsi"/>
          <w:bCs/>
          <w:lang w:eastAsia="sk-SK"/>
        </w:rPr>
        <w:t>a</w:t>
      </w:r>
      <w:r w:rsidRPr="00A11FE0">
        <w:rPr>
          <w:rFonts w:asciiTheme="majorHAnsi" w:hAnsiTheme="majorHAnsi"/>
          <w:bCs/>
          <w:lang w:eastAsia="sk-SK"/>
        </w:rPr>
        <w:t xml:space="preserve">nalytických </w:t>
      </w:r>
      <w:r w:rsidR="00BD5FD5">
        <w:rPr>
          <w:rFonts w:asciiTheme="majorHAnsi" w:hAnsiTheme="majorHAnsi"/>
          <w:bCs/>
          <w:lang w:eastAsia="sk-SK"/>
        </w:rPr>
        <w:t>k</w:t>
      </w:r>
      <w:r w:rsidRPr="00A11FE0">
        <w:rPr>
          <w:rFonts w:asciiTheme="majorHAnsi" w:hAnsiTheme="majorHAnsi"/>
          <w:bCs/>
          <w:lang w:eastAsia="sk-SK"/>
        </w:rPr>
        <w:t>apacít v oblasti územného plánovania.</w:t>
      </w:r>
    </w:p>
    <w:p w:rsidR="00D97293" w:rsidRPr="00A11FE0" w:rsidRDefault="00D97293" w:rsidP="00D97293">
      <w:pPr>
        <w:rPr>
          <w:rFonts w:asciiTheme="majorHAnsi" w:hAnsiTheme="majorHAnsi"/>
          <w:bCs/>
          <w:lang w:eastAsia="sk-SK"/>
        </w:rPr>
      </w:pPr>
      <w:r w:rsidRPr="00A11FE0">
        <w:rPr>
          <w:rFonts w:asciiTheme="majorHAnsi" w:hAnsiTheme="majorHAnsi"/>
          <w:bCs/>
          <w:lang w:eastAsia="sk-SK"/>
        </w:rPr>
        <w:t xml:space="preserve">Hlavným poslaním programu URBACT III bude podpora integrovaného prístupu </w:t>
      </w:r>
      <w:r w:rsidR="00BD5FD5">
        <w:rPr>
          <w:rFonts w:asciiTheme="majorHAnsi" w:hAnsiTheme="majorHAnsi"/>
          <w:bCs/>
          <w:lang w:eastAsia="sk-SK"/>
        </w:rPr>
        <w:t>k</w:t>
      </w:r>
      <w:r w:rsidRPr="00A11FE0">
        <w:rPr>
          <w:rFonts w:asciiTheme="majorHAnsi" w:hAnsiTheme="majorHAnsi"/>
          <w:bCs/>
          <w:lang w:eastAsia="sk-SK"/>
        </w:rPr>
        <w:t> </w:t>
      </w:r>
      <w:r w:rsidR="00A704DC">
        <w:rPr>
          <w:rFonts w:asciiTheme="majorHAnsi" w:hAnsiTheme="majorHAnsi"/>
          <w:bCs/>
          <w:lang w:eastAsia="sk-SK"/>
        </w:rPr>
        <w:t>UMR</w:t>
      </w:r>
      <w:r w:rsidRPr="00A11FE0">
        <w:rPr>
          <w:rFonts w:asciiTheme="majorHAnsi" w:hAnsiTheme="majorHAnsi"/>
          <w:bCs/>
          <w:lang w:eastAsia="sk-SK"/>
        </w:rPr>
        <w:t xml:space="preserve">. Pre zainteresované </w:t>
      </w:r>
      <w:r w:rsidR="00BD5FD5">
        <w:rPr>
          <w:rFonts w:asciiTheme="majorHAnsi" w:hAnsiTheme="majorHAnsi"/>
          <w:bCs/>
          <w:lang w:eastAsia="sk-SK"/>
        </w:rPr>
        <w:t>s</w:t>
      </w:r>
      <w:r w:rsidRPr="00A11FE0">
        <w:rPr>
          <w:rFonts w:asciiTheme="majorHAnsi" w:hAnsiTheme="majorHAnsi"/>
          <w:bCs/>
          <w:lang w:eastAsia="sk-SK"/>
        </w:rPr>
        <w:t xml:space="preserve">ubjekty zapojené do realizácie </w:t>
      </w:r>
      <w:r w:rsidR="00A704DC">
        <w:rPr>
          <w:rFonts w:asciiTheme="majorHAnsi" w:hAnsiTheme="majorHAnsi"/>
          <w:bCs/>
          <w:lang w:eastAsia="sk-SK"/>
        </w:rPr>
        <w:t>UMR</w:t>
      </w:r>
      <w:r w:rsidRPr="00A11FE0">
        <w:rPr>
          <w:rFonts w:asciiTheme="majorHAnsi" w:hAnsiTheme="majorHAnsi"/>
          <w:bCs/>
          <w:lang w:eastAsia="sk-SK"/>
        </w:rPr>
        <w:t xml:space="preserve">, poskytne program prostredníctvom </w:t>
      </w:r>
      <w:r w:rsidR="00BD5FD5">
        <w:rPr>
          <w:rFonts w:asciiTheme="majorHAnsi" w:hAnsiTheme="majorHAnsi"/>
          <w:bCs/>
          <w:lang w:eastAsia="sk-SK"/>
        </w:rPr>
        <w:t>s</w:t>
      </w:r>
      <w:r w:rsidRPr="00A11FE0">
        <w:rPr>
          <w:rFonts w:asciiTheme="majorHAnsi" w:hAnsiTheme="majorHAnsi"/>
          <w:bCs/>
          <w:lang w:eastAsia="sk-SK"/>
        </w:rPr>
        <w:t xml:space="preserve">polupracujúcich </w:t>
      </w:r>
      <w:r w:rsidR="00BD5FD5">
        <w:rPr>
          <w:rFonts w:asciiTheme="majorHAnsi" w:hAnsiTheme="majorHAnsi"/>
          <w:bCs/>
          <w:lang w:eastAsia="sk-SK"/>
        </w:rPr>
        <w:t>s</w:t>
      </w:r>
      <w:r w:rsidRPr="00A11FE0">
        <w:rPr>
          <w:rFonts w:asciiTheme="majorHAnsi" w:hAnsiTheme="majorHAnsi"/>
          <w:bCs/>
          <w:lang w:eastAsia="sk-SK"/>
        </w:rPr>
        <w:t xml:space="preserve">ietí miest prenos poznatkov </w:t>
      </w:r>
      <w:r w:rsidR="00BD5FD5">
        <w:rPr>
          <w:rFonts w:asciiTheme="majorHAnsi" w:hAnsiTheme="majorHAnsi"/>
          <w:bCs/>
          <w:lang w:eastAsia="sk-SK"/>
        </w:rPr>
        <w:t>a</w:t>
      </w:r>
      <w:r w:rsidRPr="00A11FE0">
        <w:rPr>
          <w:rFonts w:asciiTheme="majorHAnsi" w:hAnsiTheme="majorHAnsi"/>
          <w:bCs/>
          <w:lang w:eastAsia="sk-SK"/>
        </w:rPr>
        <w:t xml:space="preserve"> výmenu </w:t>
      </w:r>
      <w:r w:rsidR="00BD5FD5">
        <w:rPr>
          <w:rFonts w:asciiTheme="majorHAnsi" w:hAnsiTheme="majorHAnsi"/>
          <w:bCs/>
          <w:lang w:eastAsia="sk-SK"/>
        </w:rPr>
        <w:t>s</w:t>
      </w:r>
      <w:r w:rsidRPr="00A11FE0">
        <w:rPr>
          <w:rFonts w:asciiTheme="majorHAnsi" w:hAnsiTheme="majorHAnsi"/>
          <w:bCs/>
          <w:lang w:eastAsia="sk-SK"/>
        </w:rPr>
        <w:t>kúseností potrebných na účinnú prípravu politík pre inovatívne mestské riešenia.</w:t>
      </w:r>
    </w:p>
    <w:p w:rsidR="00D97293" w:rsidRPr="00A11FE0" w:rsidRDefault="00D97293" w:rsidP="00D97293">
      <w:pPr>
        <w:rPr>
          <w:rFonts w:asciiTheme="majorHAnsi" w:hAnsiTheme="majorHAnsi"/>
          <w:bCs/>
          <w:lang w:eastAsia="sk-SK"/>
        </w:rPr>
      </w:pPr>
      <w:r w:rsidRPr="00A11FE0">
        <w:rPr>
          <w:rFonts w:asciiTheme="majorHAnsi" w:hAnsiTheme="majorHAnsi"/>
          <w:bCs/>
          <w:lang w:eastAsia="sk-SK"/>
        </w:rPr>
        <w:t xml:space="preserve">V podmienkach </w:t>
      </w:r>
      <w:r w:rsidR="00BD5FD5">
        <w:rPr>
          <w:rFonts w:asciiTheme="majorHAnsi" w:hAnsiTheme="majorHAnsi"/>
          <w:bCs/>
          <w:lang w:eastAsia="sk-SK"/>
        </w:rPr>
        <w:t>S</w:t>
      </w:r>
      <w:r w:rsidRPr="00A11FE0">
        <w:rPr>
          <w:rFonts w:asciiTheme="majorHAnsi" w:hAnsiTheme="majorHAnsi"/>
          <w:bCs/>
          <w:lang w:eastAsia="sk-SK"/>
        </w:rPr>
        <w:t xml:space="preserve">R bude program URBACT III napomáhať mestám pri realizácii integrovaných mestských </w:t>
      </w:r>
      <w:r w:rsidR="00BD5FD5">
        <w:rPr>
          <w:rFonts w:asciiTheme="majorHAnsi" w:hAnsiTheme="majorHAnsi"/>
          <w:bCs/>
          <w:lang w:eastAsia="sk-SK"/>
        </w:rPr>
        <w:t>s</w:t>
      </w:r>
      <w:r w:rsidRPr="00A11FE0">
        <w:rPr>
          <w:rFonts w:asciiTheme="majorHAnsi" w:hAnsiTheme="majorHAnsi"/>
          <w:bCs/>
          <w:lang w:eastAsia="sk-SK"/>
        </w:rPr>
        <w:t xml:space="preserve">tratégií </w:t>
      </w:r>
      <w:r w:rsidR="00BD5FD5">
        <w:rPr>
          <w:rFonts w:asciiTheme="majorHAnsi" w:hAnsiTheme="majorHAnsi"/>
          <w:bCs/>
          <w:lang w:eastAsia="sk-SK"/>
        </w:rPr>
        <w:t>a</w:t>
      </w:r>
      <w:r w:rsidR="00030BFC">
        <w:rPr>
          <w:rFonts w:asciiTheme="majorHAnsi" w:hAnsiTheme="majorHAnsi"/>
          <w:bCs/>
          <w:lang w:eastAsia="sk-SK"/>
        </w:rPr>
        <w:t> </w:t>
      </w:r>
      <w:r w:rsidRPr="00A11FE0">
        <w:rPr>
          <w:rFonts w:asciiTheme="majorHAnsi" w:hAnsiTheme="majorHAnsi"/>
          <w:bCs/>
          <w:lang w:eastAsia="sk-SK"/>
        </w:rPr>
        <w:t xml:space="preserve">zároveň im umožní využiť techniky integrovaného </w:t>
      </w:r>
      <w:r w:rsidR="00BD5FD5">
        <w:rPr>
          <w:rFonts w:asciiTheme="majorHAnsi" w:hAnsiTheme="majorHAnsi"/>
          <w:bCs/>
          <w:lang w:eastAsia="sk-SK"/>
        </w:rPr>
        <w:t>a</w:t>
      </w:r>
      <w:r w:rsidRPr="00A11FE0">
        <w:rPr>
          <w:rFonts w:asciiTheme="majorHAnsi" w:hAnsiTheme="majorHAnsi"/>
          <w:bCs/>
          <w:lang w:eastAsia="sk-SK"/>
        </w:rPr>
        <w:t xml:space="preserve"> participatívneho plánovania. </w:t>
      </w:r>
      <w:r w:rsidR="00BD5FD5">
        <w:rPr>
          <w:rFonts w:asciiTheme="majorHAnsi" w:hAnsiTheme="majorHAnsi"/>
          <w:bCs/>
          <w:lang w:eastAsia="sk-SK"/>
        </w:rPr>
        <w:t>S</w:t>
      </w:r>
      <w:r w:rsidRPr="00A11FE0">
        <w:rPr>
          <w:rFonts w:asciiTheme="majorHAnsi" w:hAnsiTheme="majorHAnsi"/>
          <w:bCs/>
          <w:lang w:eastAsia="sk-SK"/>
        </w:rPr>
        <w:t xml:space="preserve">ynergia </w:t>
      </w:r>
      <w:r w:rsidR="00BD5FD5">
        <w:rPr>
          <w:rFonts w:asciiTheme="majorHAnsi" w:hAnsiTheme="majorHAnsi"/>
          <w:bCs/>
          <w:lang w:eastAsia="sk-SK"/>
        </w:rPr>
        <w:t>s</w:t>
      </w:r>
      <w:r w:rsidRPr="00A11FE0">
        <w:rPr>
          <w:rFonts w:asciiTheme="majorHAnsi" w:hAnsiTheme="majorHAnsi"/>
          <w:bCs/>
          <w:lang w:eastAsia="sk-SK"/>
        </w:rPr>
        <w:t xml:space="preserve"> hlavnými programami </w:t>
      </w:r>
      <w:r w:rsidR="00BD5FD5">
        <w:rPr>
          <w:rFonts w:asciiTheme="majorHAnsi" w:hAnsiTheme="majorHAnsi"/>
          <w:bCs/>
          <w:lang w:eastAsia="sk-SK"/>
        </w:rPr>
        <w:t>S</w:t>
      </w:r>
      <w:r w:rsidRPr="00A11FE0">
        <w:rPr>
          <w:rFonts w:asciiTheme="majorHAnsi" w:hAnsiTheme="majorHAnsi"/>
          <w:bCs/>
          <w:lang w:eastAsia="sk-SK"/>
        </w:rPr>
        <w:t xml:space="preserve">R bude dosiahnutá </w:t>
      </w:r>
      <w:r w:rsidR="00BD5FD5">
        <w:rPr>
          <w:rFonts w:asciiTheme="majorHAnsi" w:hAnsiTheme="majorHAnsi"/>
          <w:bCs/>
          <w:lang w:eastAsia="sk-SK"/>
        </w:rPr>
        <w:t>a</w:t>
      </w:r>
      <w:r w:rsidRPr="00A11FE0">
        <w:rPr>
          <w:rFonts w:asciiTheme="majorHAnsi" w:hAnsiTheme="majorHAnsi"/>
          <w:bCs/>
          <w:lang w:eastAsia="sk-SK"/>
        </w:rPr>
        <w:t xml:space="preserve">j v oblasti budovania </w:t>
      </w:r>
      <w:r w:rsidR="00BD5FD5">
        <w:rPr>
          <w:rFonts w:asciiTheme="majorHAnsi" w:hAnsiTheme="majorHAnsi"/>
          <w:bCs/>
          <w:lang w:eastAsia="sk-SK"/>
        </w:rPr>
        <w:t>a</w:t>
      </w:r>
      <w:r w:rsidRPr="00A11FE0">
        <w:rPr>
          <w:rFonts w:asciiTheme="majorHAnsi" w:hAnsiTheme="majorHAnsi"/>
          <w:bCs/>
          <w:lang w:eastAsia="sk-SK"/>
        </w:rPr>
        <w:t xml:space="preserve">dministratívnych </w:t>
      </w:r>
      <w:r w:rsidR="00BD5FD5">
        <w:rPr>
          <w:rFonts w:asciiTheme="majorHAnsi" w:hAnsiTheme="majorHAnsi"/>
          <w:bCs/>
          <w:lang w:eastAsia="sk-SK"/>
        </w:rPr>
        <w:t>k</w:t>
      </w:r>
      <w:r w:rsidRPr="00A11FE0">
        <w:rPr>
          <w:rFonts w:asciiTheme="majorHAnsi" w:hAnsiTheme="majorHAnsi"/>
          <w:bCs/>
          <w:lang w:eastAsia="sk-SK"/>
        </w:rPr>
        <w:t xml:space="preserve">apacít miest pri podpore nástrojov územného rozvoja, </w:t>
      </w:r>
      <w:r w:rsidR="00BD5FD5">
        <w:rPr>
          <w:rFonts w:asciiTheme="majorHAnsi" w:hAnsiTheme="majorHAnsi"/>
          <w:bCs/>
          <w:lang w:eastAsia="sk-SK"/>
        </w:rPr>
        <w:t>ak</w:t>
      </w:r>
      <w:r w:rsidRPr="00A11FE0">
        <w:rPr>
          <w:rFonts w:asciiTheme="majorHAnsi" w:hAnsiTheme="majorHAnsi"/>
          <w:bCs/>
          <w:lang w:eastAsia="sk-SK"/>
        </w:rPr>
        <w:t xml:space="preserve">o </w:t>
      </w:r>
      <w:r w:rsidR="00BD5FD5">
        <w:rPr>
          <w:rFonts w:asciiTheme="majorHAnsi" w:hAnsiTheme="majorHAnsi"/>
          <w:bCs/>
          <w:lang w:eastAsia="sk-SK"/>
        </w:rPr>
        <w:t>a</w:t>
      </w:r>
      <w:r w:rsidRPr="00A11FE0">
        <w:rPr>
          <w:rFonts w:asciiTheme="majorHAnsi" w:hAnsiTheme="majorHAnsi"/>
          <w:bCs/>
          <w:lang w:eastAsia="sk-SK"/>
        </w:rPr>
        <w:t xml:space="preserve">j vo vzťahu </w:t>
      </w:r>
      <w:r w:rsidR="00BD5FD5">
        <w:rPr>
          <w:rFonts w:asciiTheme="majorHAnsi" w:hAnsiTheme="majorHAnsi"/>
          <w:bCs/>
          <w:lang w:eastAsia="sk-SK"/>
        </w:rPr>
        <w:t>k</w:t>
      </w:r>
      <w:r w:rsidRPr="00A11FE0">
        <w:rPr>
          <w:rFonts w:asciiTheme="majorHAnsi" w:hAnsiTheme="majorHAnsi"/>
          <w:bCs/>
          <w:lang w:eastAsia="sk-SK"/>
        </w:rPr>
        <w:t xml:space="preserve"> verejnej </w:t>
      </w:r>
      <w:r w:rsidR="00BD5FD5">
        <w:rPr>
          <w:rFonts w:asciiTheme="majorHAnsi" w:hAnsiTheme="majorHAnsi"/>
          <w:bCs/>
          <w:lang w:eastAsia="sk-SK"/>
        </w:rPr>
        <w:t>s</w:t>
      </w:r>
      <w:r w:rsidRPr="00A11FE0">
        <w:rPr>
          <w:rFonts w:asciiTheme="majorHAnsi" w:hAnsiTheme="majorHAnsi"/>
          <w:bCs/>
          <w:lang w:eastAsia="sk-SK"/>
        </w:rPr>
        <w:t xml:space="preserve">práve na miestnej, regionálnej </w:t>
      </w:r>
      <w:r w:rsidR="00BD5FD5">
        <w:rPr>
          <w:rFonts w:asciiTheme="majorHAnsi" w:hAnsiTheme="majorHAnsi"/>
          <w:bCs/>
          <w:lang w:eastAsia="sk-SK"/>
        </w:rPr>
        <w:t>a</w:t>
      </w:r>
      <w:r w:rsidRPr="00A11FE0">
        <w:rPr>
          <w:rFonts w:asciiTheme="majorHAnsi" w:hAnsiTheme="majorHAnsi"/>
          <w:bCs/>
          <w:lang w:eastAsia="sk-SK"/>
        </w:rPr>
        <w:t> národnej úrovni.</w:t>
      </w:r>
    </w:p>
    <w:p w:rsidR="00D97293" w:rsidRDefault="00D97293" w:rsidP="00D97293">
      <w:pPr>
        <w:rPr>
          <w:rFonts w:asciiTheme="majorHAnsi" w:hAnsiTheme="majorHAnsi"/>
          <w:bCs/>
          <w:lang w:eastAsia="sk-SK"/>
        </w:rPr>
      </w:pPr>
      <w:r w:rsidRPr="00A11FE0">
        <w:rPr>
          <w:rFonts w:asciiTheme="majorHAnsi" w:hAnsiTheme="majorHAnsi"/>
          <w:bCs/>
          <w:lang w:eastAsia="sk-SK"/>
        </w:rPr>
        <w:t>V</w:t>
      </w:r>
      <w:r w:rsidR="00030BFC">
        <w:rPr>
          <w:rFonts w:asciiTheme="majorHAnsi" w:hAnsiTheme="majorHAnsi"/>
          <w:bCs/>
          <w:lang w:eastAsia="sk-SK"/>
        </w:rPr>
        <w:t> </w:t>
      </w:r>
      <w:r w:rsidRPr="00A11FE0">
        <w:rPr>
          <w:rFonts w:asciiTheme="majorHAnsi" w:hAnsiTheme="majorHAnsi"/>
          <w:bCs/>
          <w:lang w:eastAsia="sk-SK"/>
        </w:rPr>
        <w:t xml:space="preserve">rámci územnej </w:t>
      </w:r>
      <w:r w:rsidR="00BD5FD5">
        <w:rPr>
          <w:rFonts w:asciiTheme="majorHAnsi" w:hAnsiTheme="majorHAnsi"/>
          <w:bCs/>
          <w:lang w:eastAsia="sk-SK"/>
        </w:rPr>
        <w:t>s</w:t>
      </w:r>
      <w:r w:rsidRPr="00A11FE0">
        <w:rPr>
          <w:rFonts w:asciiTheme="majorHAnsi" w:hAnsiTheme="majorHAnsi"/>
          <w:bCs/>
          <w:lang w:eastAsia="sk-SK"/>
        </w:rPr>
        <w:t xml:space="preserve">polupráce budú naďalej podporované </w:t>
      </w:r>
      <w:r w:rsidR="00A413E4">
        <w:rPr>
          <w:rFonts w:asciiTheme="majorHAnsi" w:hAnsiTheme="majorHAnsi"/>
          <w:bCs/>
          <w:lang w:eastAsia="sk-SK"/>
        </w:rPr>
        <w:t>EZÚS</w:t>
      </w:r>
      <w:r w:rsidRPr="00A11FE0">
        <w:rPr>
          <w:rFonts w:asciiTheme="majorHAnsi" w:hAnsiTheme="majorHAnsi"/>
          <w:bCs/>
          <w:lang w:eastAsia="sk-SK"/>
        </w:rPr>
        <w:t xml:space="preserve"> </w:t>
      </w:r>
      <w:r w:rsidR="00BD5FD5">
        <w:rPr>
          <w:rFonts w:asciiTheme="majorHAnsi" w:hAnsiTheme="majorHAnsi"/>
          <w:bCs/>
          <w:lang w:eastAsia="sk-SK"/>
        </w:rPr>
        <w:t>s</w:t>
      </w:r>
      <w:r w:rsidRPr="00A11FE0">
        <w:rPr>
          <w:rFonts w:asciiTheme="majorHAnsi" w:hAnsiTheme="majorHAnsi"/>
          <w:bCs/>
          <w:lang w:eastAsia="sk-SK"/>
        </w:rPr>
        <w:t xml:space="preserve"> cieľom uľahčovať </w:t>
      </w:r>
      <w:r w:rsidR="00BD5FD5">
        <w:rPr>
          <w:rFonts w:asciiTheme="majorHAnsi" w:hAnsiTheme="majorHAnsi"/>
          <w:bCs/>
          <w:lang w:eastAsia="sk-SK"/>
        </w:rPr>
        <w:t>a</w:t>
      </w:r>
      <w:r w:rsidRPr="00A11FE0">
        <w:rPr>
          <w:rFonts w:asciiTheme="majorHAnsi" w:hAnsiTheme="majorHAnsi"/>
          <w:bCs/>
          <w:lang w:eastAsia="sk-SK"/>
        </w:rPr>
        <w:t xml:space="preserve"> podporovať prípravu </w:t>
      </w:r>
      <w:r w:rsidR="00BD5FD5">
        <w:rPr>
          <w:rFonts w:asciiTheme="majorHAnsi" w:hAnsiTheme="majorHAnsi"/>
          <w:bCs/>
          <w:lang w:eastAsia="sk-SK"/>
        </w:rPr>
        <w:t>s</w:t>
      </w:r>
      <w:r w:rsidRPr="00A11FE0">
        <w:rPr>
          <w:rFonts w:asciiTheme="majorHAnsi" w:hAnsiTheme="majorHAnsi"/>
          <w:bCs/>
          <w:lang w:eastAsia="sk-SK"/>
        </w:rPr>
        <w:t xml:space="preserve">poločných </w:t>
      </w:r>
      <w:r w:rsidR="00BD5FD5">
        <w:rPr>
          <w:rFonts w:asciiTheme="majorHAnsi" w:hAnsiTheme="majorHAnsi"/>
          <w:bCs/>
          <w:lang w:eastAsia="sk-SK"/>
        </w:rPr>
        <w:t>s</w:t>
      </w:r>
      <w:r w:rsidRPr="00A11FE0">
        <w:rPr>
          <w:rFonts w:asciiTheme="majorHAnsi" w:hAnsiTheme="majorHAnsi"/>
          <w:bCs/>
          <w:lang w:eastAsia="sk-SK"/>
        </w:rPr>
        <w:t xml:space="preserve">trategických </w:t>
      </w:r>
      <w:r w:rsidR="00BD5FD5">
        <w:rPr>
          <w:rFonts w:asciiTheme="majorHAnsi" w:hAnsiTheme="majorHAnsi"/>
          <w:bCs/>
          <w:lang w:eastAsia="sk-SK"/>
        </w:rPr>
        <w:t>a</w:t>
      </w:r>
      <w:r w:rsidRPr="00A11FE0">
        <w:rPr>
          <w:rFonts w:asciiTheme="majorHAnsi" w:hAnsiTheme="majorHAnsi"/>
          <w:bCs/>
          <w:lang w:eastAsia="sk-SK"/>
        </w:rPr>
        <w:t xml:space="preserve"> programových dokumentov územnej </w:t>
      </w:r>
      <w:r w:rsidR="00BD5FD5">
        <w:rPr>
          <w:rFonts w:asciiTheme="majorHAnsi" w:hAnsiTheme="majorHAnsi"/>
          <w:bCs/>
          <w:lang w:eastAsia="sk-SK"/>
        </w:rPr>
        <w:t>s</w:t>
      </w:r>
      <w:r w:rsidRPr="00A11FE0">
        <w:rPr>
          <w:rFonts w:asciiTheme="majorHAnsi" w:hAnsiTheme="majorHAnsi"/>
          <w:bCs/>
          <w:lang w:eastAsia="sk-SK"/>
        </w:rPr>
        <w:t xml:space="preserve">polupráce, </w:t>
      </w:r>
      <w:r w:rsidR="00BD5FD5">
        <w:rPr>
          <w:rFonts w:asciiTheme="majorHAnsi" w:hAnsiTheme="majorHAnsi"/>
          <w:bCs/>
          <w:lang w:eastAsia="sk-SK"/>
        </w:rPr>
        <w:t>ak</w:t>
      </w:r>
      <w:r w:rsidRPr="00A11FE0">
        <w:rPr>
          <w:rFonts w:asciiTheme="majorHAnsi" w:hAnsiTheme="majorHAnsi"/>
          <w:bCs/>
          <w:lang w:eastAsia="sk-SK"/>
        </w:rPr>
        <w:t xml:space="preserve">tivity </w:t>
      </w:r>
      <w:r w:rsidR="00BD5FD5">
        <w:rPr>
          <w:rFonts w:asciiTheme="majorHAnsi" w:hAnsiTheme="majorHAnsi"/>
          <w:bCs/>
          <w:lang w:eastAsia="sk-SK"/>
        </w:rPr>
        <w:t>s</w:t>
      </w:r>
      <w:r w:rsidRPr="00A11FE0">
        <w:rPr>
          <w:rFonts w:asciiTheme="majorHAnsi" w:hAnsiTheme="majorHAnsi"/>
          <w:bCs/>
          <w:lang w:eastAsia="sk-SK"/>
        </w:rPr>
        <w:t xml:space="preserve">merujúce </w:t>
      </w:r>
      <w:r w:rsidR="00BD5FD5">
        <w:rPr>
          <w:rFonts w:asciiTheme="majorHAnsi" w:hAnsiTheme="majorHAnsi"/>
          <w:bCs/>
          <w:lang w:eastAsia="sk-SK"/>
        </w:rPr>
        <w:t>k</w:t>
      </w:r>
      <w:r w:rsidRPr="00A11FE0">
        <w:rPr>
          <w:rFonts w:asciiTheme="majorHAnsi" w:hAnsiTheme="majorHAnsi"/>
          <w:bCs/>
          <w:lang w:eastAsia="sk-SK"/>
        </w:rPr>
        <w:t xml:space="preserve"> rozvoju územných špecifík </w:t>
      </w:r>
      <w:r w:rsidR="00BD5FD5">
        <w:rPr>
          <w:rFonts w:asciiTheme="majorHAnsi" w:hAnsiTheme="majorHAnsi"/>
          <w:bCs/>
          <w:lang w:eastAsia="sk-SK"/>
        </w:rPr>
        <w:t>s</w:t>
      </w:r>
      <w:r w:rsidRPr="00A11FE0">
        <w:rPr>
          <w:rFonts w:asciiTheme="majorHAnsi" w:hAnsiTheme="majorHAnsi"/>
          <w:bCs/>
          <w:lang w:eastAsia="sk-SK"/>
        </w:rPr>
        <w:t xml:space="preserve"> dôrazom na rozvoj prírodného </w:t>
      </w:r>
      <w:r w:rsidR="00BD5FD5">
        <w:rPr>
          <w:rFonts w:asciiTheme="majorHAnsi" w:hAnsiTheme="majorHAnsi"/>
          <w:bCs/>
          <w:lang w:eastAsia="sk-SK"/>
        </w:rPr>
        <w:t>a</w:t>
      </w:r>
      <w:r w:rsidRPr="00A11FE0">
        <w:rPr>
          <w:rFonts w:asciiTheme="majorHAnsi" w:hAnsiTheme="majorHAnsi"/>
          <w:bCs/>
          <w:lang w:eastAsia="sk-SK"/>
        </w:rPr>
        <w:t> </w:t>
      </w:r>
      <w:r w:rsidR="00BD5FD5">
        <w:rPr>
          <w:rFonts w:asciiTheme="majorHAnsi" w:hAnsiTheme="majorHAnsi"/>
          <w:bCs/>
          <w:lang w:eastAsia="sk-SK"/>
        </w:rPr>
        <w:t>k</w:t>
      </w:r>
      <w:r w:rsidRPr="00A11FE0">
        <w:rPr>
          <w:rFonts w:asciiTheme="majorHAnsi" w:hAnsiTheme="majorHAnsi"/>
          <w:bCs/>
          <w:lang w:eastAsia="sk-SK"/>
        </w:rPr>
        <w:t xml:space="preserve">ultúrneho dedičstva </w:t>
      </w:r>
      <w:r w:rsidR="00BD5FD5">
        <w:rPr>
          <w:rFonts w:asciiTheme="majorHAnsi" w:hAnsiTheme="majorHAnsi"/>
          <w:bCs/>
          <w:lang w:eastAsia="sk-SK"/>
        </w:rPr>
        <w:t>a</w:t>
      </w:r>
      <w:r w:rsidRPr="00A11FE0">
        <w:rPr>
          <w:rFonts w:asciiTheme="majorHAnsi" w:hAnsiTheme="majorHAnsi"/>
          <w:bCs/>
          <w:lang w:eastAsia="sk-SK"/>
        </w:rPr>
        <w:t> vytváranie partnerstiev.</w:t>
      </w:r>
    </w:p>
    <w:p w:rsidR="00EC008D" w:rsidRPr="00A11FE0" w:rsidRDefault="00EC008D" w:rsidP="007F0E6D">
      <w:pPr>
        <w:pStyle w:val="Nadpis3"/>
        <w:numPr>
          <w:ilvl w:val="2"/>
          <w:numId w:val="2"/>
        </w:numPr>
        <w:spacing w:before="240" w:after="120"/>
      </w:pPr>
      <w:r w:rsidRPr="00A11FE0">
        <w:lastRenderedPageBreak/>
        <w:t>V</w:t>
      </w:r>
      <w:r w:rsidR="00030BFC">
        <w:t> </w:t>
      </w:r>
      <w:r w:rsidRPr="00A11FE0">
        <w:t xml:space="preserve">prípade vhodnosti, integrovaný prístup na riešenie špecifických potrieb geografických oblastí najviac </w:t>
      </w:r>
      <w:r w:rsidR="009E3742">
        <w:t>postihnutých</w:t>
      </w:r>
      <w:r w:rsidR="009E3742" w:rsidRPr="00A11FE0">
        <w:t xml:space="preserve"> </w:t>
      </w:r>
      <w:r w:rsidRPr="00A11FE0">
        <w:t xml:space="preserve">chudobou, </w:t>
      </w:r>
      <w:r w:rsidR="00BD5FD5">
        <w:t>a</w:t>
      </w:r>
      <w:r w:rsidRPr="00A11FE0">
        <w:t xml:space="preserve">lebo cieľových </w:t>
      </w:r>
      <w:r w:rsidR="00BD5FD5">
        <w:t>s</w:t>
      </w:r>
      <w:r w:rsidRPr="00A11FE0">
        <w:t xml:space="preserve">kupín najviac ohrozených diskrimináciou, </w:t>
      </w:r>
      <w:r w:rsidR="00BD5FD5">
        <w:t>a</w:t>
      </w:r>
      <w:r w:rsidRPr="00A11FE0">
        <w:t xml:space="preserve">lebo </w:t>
      </w:r>
      <w:r w:rsidR="00BD5FD5">
        <w:t>s</w:t>
      </w:r>
      <w:r w:rsidRPr="00A11FE0">
        <w:t xml:space="preserve">ociálnym vylúčením, </w:t>
      </w:r>
      <w:r w:rsidR="00BD5FD5">
        <w:t>s</w:t>
      </w:r>
      <w:r w:rsidRPr="00A11FE0">
        <w:t xml:space="preserve"> osobitným ohľadom na marginalizované </w:t>
      </w:r>
      <w:r w:rsidR="00BD5FD5">
        <w:t>s</w:t>
      </w:r>
      <w:r w:rsidRPr="00A11FE0">
        <w:t xml:space="preserve">kupiny, osoby </w:t>
      </w:r>
      <w:r w:rsidR="00BD5FD5">
        <w:t>s</w:t>
      </w:r>
      <w:r w:rsidR="00030BFC">
        <w:t> </w:t>
      </w:r>
      <w:r w:rsidRPr="00A11FE0">
        <w:t xml:space="preserve">postihnutím, dlhodobo nezamestnaných </w:t>
      </w:r>
      <w:r w:rsidR="00BD5FD5">
        <w:t>a </w:t>
      </w:r>
      <w:r w:rsidRPr="00A11FE0">
        <w:t xml:space="preserve">mladých ľudí zaradených mimo pracovného pomeru, vzdelávania </w:t>
      </w:r>
      <w:r w:rsidR="00BD5FD5">
        <w:t>a</w:t>
      </w:r>
      <w:r w:rsidRPr="00A11FE0">
        <w:t>lebo školenia</w:t>
      </w:r>
    </w:p>
    <w:p w:rsidR="00D32466" w:rsidRPr="00D32466" w:rsidRDefault="00EC008D" w:rsidP="00D32466">
      <w:pPr>
        <w:tabs>
          <w:tab w:val="left" w:pos="709"/>
        </w:tabs>
        <w:rPr>
          <w:rFonts w:asciiTheme="majorHAnsi" w:hAnsiTheme="majorHAnsi"/>
          <w:szCs w:val="22"/>
        </w:rPr>
      </w:pPr>
      <w:r w:rsidRPr="00A11FE0">
        <w:rPr>
          <w:rFonts w:asciiTheme="majorHAnsi" w:hAnsiTheme="majorHAnsi"/>
          <w:szCs w:val="22"/>
        </w:rPr>
        <w:t>V </w:t>
      </w:r>
      <w:r w:rsidR="00BD5FD5">
        <w:rPr>
          <w:rFonts w:asciiTheme="majorHAnsi" w:hAnsiTheme="majorHAnsi"/>
          <w:szCs w:val="22"/>
        </w:rPr>
        <w:t>S</w:t>
      </w:r>
      <w:r w:rsidRPr="00A11FE0">
        <w:rPr>
          <w:rFonts w:asciiTheme="majorHAnsi" w:hAnsiTheme="majorHAnsi"/>
          <w:szCs w:val="22"/>
        </w:rPr>
        <w:t xml:space="preserve">R bude integrovaný prístup na riešenie špecifických potrieb geografických oblastí najviac zasiahnutých chudobou, </w:t>
      </w:r>
      <w:r w:rsidR="00BD5FD5">
        <w:rPr>
          <w:rFonts w:asciiTheme="majorHAnsi" w:hAnsiTheme="majorHAnsi"/>
          <w:szCs w:val="22"/>
        </w:rPr>
        <w:t>a</w:t>
      </w:r>
      <w:r w:rsidRPr="00A11FE0">
        <w:rPr>
          <w:rFonts w:asciiTheme="majorHAnsi" w:hAnsiTheme="majorHAnsi"/>
          <w:szCs w:val="22"/>
        </w:rPr>
        <w:t xml:space="preserve">lebo cieľových </w:t>
      </w:r>
      <w:r w:rsidR="00BD5FD5">
        <w:rPr>
          <w:rFonts w:asciiTheme="majorHAnsi" w:hAnsiTheme="majorHAnsi"/>
          <w:szCs w:val="22"/>
        </w:rPr>
        <w:t>s</w:t>
      </w:r>
      <w:r w:rsidRPr="00A11FE0">
        <w:rPr>
          <w:rFonts w:asciiTheme="majorHAnsi" w:hAnsiTheme="majorHAnsi"/>
          <w:szCs w:val="22"/>
        </w:rPr>
        <w:t xml:space="preserve">kupín najviac ohrozených diskrimináciou, </w:t>
      </w:r>
      <w:r w:rsidR="00BD5FD5">
        <w:rPr>
          <w:rFonts w:asciiTheme="majorHAnsi" w:hAnsiTheme="majorHAnsi"/>
          <w:szCs w:val="22"/>
        </w:rPr>
        <w:t>a</w:t>
      </w:r>
      <w:r w:rsidRPr="00A11FE0">
        <w:rPr>
          <w:rFonts w:asciiTheme="majorHAnsi" w:hAnsiTheme="majorHAnsi"/>
          <w:szCs w:val="22"/>
        </w:rPr>
        <w:t xml:space="preserve">lebo </w:t>
      </w:r>
      <w:r w:rsidR="00BD5FD5">
        <w:rPr>
          <w:rFonts w:asciiTheme="majorHAnsi" w:hAnsiTheme="majorHAnsi"/>
          <w:szCs w:val="22"/>
        </w:rPr>
        <w:t>s</w:t>
      </w:r>
      <w:r w:rsidRPr="00A11FE0">
        <w:rPr>
          <w:rFonts w:asciiTheme="majorHAnsi" w:hAnsiTheme="majorHAnsi"/>
          <w:szCs w:val="22"/>
        </w:rPr>
        <w:t xml:space="preserve">ociálnym vylúčením realizovaný pre cieľovú </w:t>
      </w:r>
      <w:r w:rsidR="00BD5FD5">
        <w:rPr>
          <w:rFonts w:asciiTheme="majorHAnsi" w:hAnsiTheme="majorHAnsi"/>
          <w:szCs w:val="22"/>
        </w:rPr>
        <w:t>s</w:t>
      </w:r>
      <w:r w:rsidRPr="00A11FE0">
        <w:rPr>
          <w:rFonts w:asciiTheme="majorHAnsi" w:hAnsiTheme="majorHAnsi"/>
          <w:szCs w:val="22"/>
        </w:rPr>
        <w:t>kupinu MRK.</w:t>
      </w:r>
      <w:r w:rsidR="00D32466" w:rsidRPr="00D32466">
        <w:rPr>
          <w:rFonts w:asciiTheme="majorHAnsi" w:hAnsiTheme="majorHAnsi"/>
          <w:szCs w:val="22"/>
        </w:rPr>
        <w:t xml:space="preserve"> V súlade s princípom „osobitného, ale nie výlučného zamerania “ budú podporované aktivity zacielené na Rómov (najmä MRK), pričom však nebudú vylučovať iné osoby, ktoré sa nachádzajú v podobnej sociálno-ekonomickej situácii.</w:t>
      </w:r>
      <w:r w:rsidR="00D32466" w:rsidRPr="00D32466">
        <w:rPr>
          <w:rFonts w:asciiTheme="majorHAnsi" w:hAnsiTheme="majorHAnsi"/>
          <w:szCs w:val="22"/>
          <w:vertAlign w:val="superscript"/>
        </w:rPr>
        <w:t xml:space="preserve"> </w:t>
      </w:r>
    </w:p>
    <w:p w:rsidR="00EC008D" w:rsidRPr="00A11FE0" w:rsidRDefault="00EC008D" w:rsidP="00353C33">
      <w:pPr>
        <w:tabs>
          <w:tab w:val="left" w:pos="709"/>
        </w:tabs>
        <w:rPr>
          <w:rFonts w:asciiTheme="majorHAnsi" w:hAnsiTheme="majorHAnsi"/>
          <w:szCs w:val="22"/>
        </w:rPr>
      </w:pPr>
      <w:r w:rsidRPr="00A11FE0">
        <w:rPr>
          <w:rFonts w:asciiTheme="majorHAnsi" w:hAnsiTheme="majorHAnsi"/>
          <w:szCs w:val="22"/>
        </w:rPr>
        <w:t xml:space="preserve">V podmienkach </w:t>
      </w:r>
      <w:r w:rsidR="00BD5FD5">
        <w:rPr>
          <w:rFonts w:asciiTheme="majorHAnsi" w:hAnsiTheme="majorHAnsi"/>
          <w:szCs w:val="22"/>
        </w:rPr>
        <w:t>S</w:t>
      </w:r>
      <w:r w:rsidRPr="00A11FE0">
        <w:rPr>
          <w:rFonts w:asciiTheme="majorHAnsi" w:hAnsiTheme="majorHAnsi"/>
          <w:szCs w:val="22"/>
        </w:rPr>
        <w:t xml:space="preserve">R </w:t>
      </w:r>
      <w:r w:rsidR="00BD5FD5">
        <w:rPr>
          <w:rFonts w:asciiTheme="majorHAnsi" w:hAnsiTheme="majorHAnsi"/>
          <w:szCs w:val="22"/>
        </w:rPr>
        <w:t>s</w:t>
      </w:r>
      <w:r w:rsidRPr="00A11FE0">
        <w:rPr>
          <w:rFonts w:asciiTheme="majorHAnsi" w:hAnsiTheme="majorHAnsi"/>
          <w:szCs w:val="22"/>
        </w:rPr>
        <w:t xml:space="preserve">ú najviac zasiahnuté chudobou </w:t>
      </w:r>
      <w:r w:rsidR="00BD5FD5">
        <w:rPr>
          <w:rFonts w:asciiTheme="majorHAnsi" w:hAnsiTheme="majorHAnsi"/>
          <w:szCs w:val="22"/>
        </w:rPr>
        <w:t>s</w:t>
      </w:r>
      <w:r w:rsidRPr="00A11FE0">
        <w:rPr>
          <w:rFonts w:asciiTheme="majorHAnsi" w:hAnsiTheme="majorHAnsi"/>
          <w:szCs w:val="22"/>
        </w:rPr>
        <w:t xml:space="preserve">egregované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eparované rómske </w:t>
      </w:r>
      <w:r w:rsidR="00BD5FD5">
        <w:rPr>
          <w:rFonts w:asciiTheme="majorHAnsi" w:hAnsiTheme="majorHAnsi"/>
          <w:szCs w:val="22"/>
        </w:rPr>
        <w:t>k</w:t>
      </w:r>
      <w:r w:rsidRPr="00A11FE0">
        <w:rPr>
          <w:rFonts w:asciiTheme="majorHAnsi" w:hAnsiTheme="majorHAnsi"/>
          <w:szCs w:val="22"/>
        </w:rPr>
        <w:t xml:space="preserve">omunity, </w:t>
      </w:r>
      <w:r w:rsidR="00BD5FD5">
        <w:rPr>
          <w:rFonts w:asciiTheme="majorHAnsi" w:hAnsiTheme="majorHAnsi"/>
          <w:szCs w:val="22"/>
        </w:rPr>
        <w:t>k</w:t>
      </w:r>
      <w:r w:rsidRPr="00A11FE0">
        <w:rPr>
          <w:rFonts w:asciiTheme="majorHAnsi" w:hAnsiTheme="majorHAnsi"/>
          <w:szCs w:val="22"/>
        </w:rPr>
        <w:t xml:space="preserve">torých priestorové rozptýlenie identifikuje </w:t>
      </w:r>
      <w:r w:rsidR="00BD5FD5">
        <w:rPr>
          <w:rFonts w:asciiTheme="majorHAnsi" w:hAnsiTheme="majorHAnsi"/>
          <w:szCs w:val="22"/>
        </w:rPr>
        <w:t>A</w:t>
      </w:r>
      <w:r w:rsidRPr="00A11FE0">
        <w:rPr>
          <w:rFonts w:asciiTheme="majorHAnsi" w:hAnsiTheme="majorHAnsi"/>
          <w:szCs w:val="22"/>
        </w:rPr>
        <w:t xml:space="preserve">tlas rómskych </w:t>
      </w:r>
      <w:r w:rsidR="00BD5FD5">
        <w:rPr>
          <w:rFonts w:asciiTheme="majorHAnsi" w:hAnsiTheme="majorHAnsi"/>
          <w:szCs w:val="22"/>
        </w:rPr>
        <w:t>k</w:t>
      </w:r>
      <w:r w:rsidRPr="00A11FE0">
        <w:rPr>
          <w:rFonts w:asciiTheme="majorHAnsi" w:hAnsiTheme="majorHAnsi"/>
          <w:szCs w:val="22"/>
        </w:rPr>
        <w:t>omunít 2013 na úrovni LAU2</w:t>
      </w:r>
      <w:r w:rsidRPr="00A11FE0">
        <w:rPr>
          <w:rStyle w:val="Odkaznapoznmkupodiarou"/>
          <w:rFonts w:asciiTheme="majorHAnsi" w:hAnsiTheme="majorHAnsi"/>
          <w:szCs w:val="22"/>
        </w:rPr>
        <w:footnoteReference w:id="341"/>
      </w:r>
      <w:r w:rsidRPr="00A11FE0">
        <w:rPr>
          <w:rFonts w:asciiTheme="majorHAnsi" w:hAnsiTheme="majorHAnsi"/>
          <w:szCs w:val="22"/>
        </w:rPr>
        <w:t xml:space="preserve">. Integrovaný prístup bude na úrovni </w:t>
      </w:r>
      <w:r w:rsidR="00BD5FD5">
        <w:rPr>
          <w:rFonts w:asciiTheme="majorHAnsi" w:hAnsiTheme="majorHAnsi"/>
          <w:szCs w:val="22"/>
        </w:rPr>
        <w:t>S</w:t>
      </w:r>
      <w:r w:rsidRPr="00A11FE0">
        <w:rPr>
          <w:rFonts w:asciiTheme="majorHAnsi" w:hAnsiTheme="majorHAnsi"/>
          <w:szCs w:val="22"/>
        </w:rPr>
        <w:t xml:space="preserve">R realizovaný najmä v rámci </w:t>
      </w:r>
      <w:r w:rsidR="007F08EE">
        <w:rPr>
          <w:rFonts w:asciiTheme="majorHAnsi" w:hAnsiTheme="majorHAnsi"/>
          <w:szCs w:val="22"/>
        </w:rPr>
        <w:t xml:space="preserve">OP ĽZ </w:t>
      </w:r>
      <w:r w:rsidRPr="00A11FE0">
        <w:rPr>
          <w:rFonts w:asciiTheme="majorHAnsi" w:hAnsiTheme="majorHAnsi"/>
          <w:szCs w:val="22"/>
        </w:rPr>
        <w:t xml:space="preserve">prostredníctvom </w:t>
      </w:r>
      <w:r w:rsidR="00FE7586">
        <w:rPr>
          <w:rFonts w:asciiTheme="majorHAnsi" w:hAnsiTheme="majorHAnsi"/>
          <w:szCs w:val="22"/>
        </w:rPr>
        <w:t>ESF</w:t>
      </w:r>
      <w:r w:rsidRPr="00A11FE0">
        <w:rPr>
          <w:rFonts w:asciiTheme="majorHAnsi" w:hAnsiTheme="majorHAnsi"/>
          <w:szCs w:val="22"/>
        </w:rPr>
        <w:t xml:space="preserve"> </w:t>
      </w:r>
      <w:r w:rsidR="00BD5FD5">
        <w:rPr>
          <w:rFonts w:asciiTheme="majorHAnsi" w:hAnsiTheme="majorHAnsi"/>
          <w:szCs w:val="22"/>
        </w:rPr>
        <w:t>a</w:t>
      </w:r>
      <w:r w:rsidRPr="00A11FE0">
        <w:rPr>
          <w:rFonts w:asciiTheme="majorHAnsi" w:hAnsiTheme="majorHAnsi"/>
          <w:szCs w:val="22"/>
        </w:rPr>
        <w:t> </w:t>
      </w:r>
      <w:r w:rsidR="00FE7586">
        <w:rPr>
          <w:rFonts w:asciiTheme="majorHAnsi" w:hAnsiTheme="majorHAnsi"/>
          <w:szCs w:val="22"/>
        </w:rPr>
        <w:t>EFRR</w:t>
      </w:r>
      <w:r w:rsidRPr="00A11FE0">
        <w:rPr>
          <w:rFonts w:asciiTheme="majorHAnsi" w:hAnsiTheme="majorHAnsi"/>
          <w:szCs w:val="22"/>
        </w:rPr>
        <w:t>.</w:t>
      </w:r>
    </w:p>
    <w:p w:rsidR="00EC008D" w:rsidRPr="00A11FE0" w:rsidRDefault="00BD5FD5" w:rsidP="007F08EE">
      <w:pPr>
        <w:tabs>
          <w:tab w:val="left" w:pos="709"/>
        </w:tabs>
        <w:rPr>
          <w:rFonts w:asciiTheme="majorHAnsi" w:hAnsiTheme="majorHAnsi"/>
          <w:szCs w:val="22"/>
        </w:rPr>
      </w:pPr>
      <w:r>
        <w:rPr>
          <w:rFonts w:asciiTheme="majorHAnsi" w:hAnsiTheme="majorHAnsi"/>
          <w:szCs w:val="22"/>
        </w:rPr>
        <w:t>S</w:t>
      </w:r>
      <w:r w:rsidR="00EC008D" w:rsidRPr="00A11FE0">
        <w:rPr>
          <w:rFonts w:asciiTheme="majorHAnsi" w:hAnsiTheme="majorHAnsi"/>
          <w:szCs w:val="22"/>
        </w:rPr>
        <w:t xml:space="preserve">tratégia </w:t>
      </w:r>
      <w:r>
        <w:rPr>
          <w:rFonts w:asciiTheme="majorHAnsi" w:hAnsiTheme="majorHAnsi"/>
          <w:szCs w:val="22"/>
        </w:rPr>
        <w:t>S</w:t>
      </w:r>
      <w:r w:rsidR="00EC008D" w:rsidRPr="00A11FE0">
        <w:rPr>
          <w:rFonts w:asciiTheme="majorHAnsi" w:hAnsiTheme="majorHAnsi"/>
          <w:szCs w:val="22"/>
        </w:rPr>
        <w:t>lovenskej republiky pre integráciu Rómov do roku 2020</w:t>
      </w:r>
      <w:r w:rsidR="00EC008D" w:rsidRPr="00A11FE0">
        <w:rPr>
          <w:rStyle w:val="Odkaznapoznmkupodiarou"/>
          <w:rFonts w:asciiTheme="majorHAnsi" w:hAnsiTheme="majorHAnsi"/>
          <w:szCs w:val="22"/>
        </w:rPr>
        <w:footnoteReference w:id="342"/>
      </w:r>
      <w:r w:rsidR="00EC008D" w:rsidRPr="00A11FE0">
        <w:rPr>
          <w:rFonts w:asciiTheme="majorHAnsi" w:hAnsiTheme="majorHAnsi"/>
          <w:szCs w:val="22"/>
        </w:rPr>
        <w:t xml:space="preserve"> </w:t>
      </w:r>
      <w:r>
        <w:rPr>
          <w:rFonts w:asciiTheme="majorHAnsi" w:hAnsiTheme="majorHAnsi"/>
          <w:szCs w:val="22"/>
        </w:rPr>
        <w:t>a</w:t>
      </w:r>
      <w:r w:rsidR="00EC008D" w:rsidRPr="00A11FE0">
        <w:rPr>
          <w:rFonts w:asciiTheme="majorHAnsi" w:hAnsiTheme="majorHAnsi"/>
          <w:szCs w:val="22"/>
        </w:rPr>
        <w:t xml:space="preserve"> Revidovaný národný </w:t>
      </w:r>
      <w:r>
        <w:rPr>
          <w:rFonts w:asciiTheme="majorHAnsi" w:hAnsiTheme="majorHAnsi"/>
          <w:szCs w:val="22"/>
        </w:rPr>
        <w:t>ak</w:t>
      </w:r>
      <w:r w:rsidR="00EC008D" w:rsidRPr="00A11FE0">
        <w:rPr>
          <w:rFonts w:asciiTheme="majorHAnsi" w:hAnsiTheme="majorHAnsi"/>
          <w:szCs w:val="22"/>
        </w:rPr>
        <w:t>čný plán Dekády začleňovania rómskej populácie 2005 – 2015 na roky 2011 – 2015</w:t>
      </w:r>
      <w:r w:rsidR="00EC008D" w:rsidRPr="00A11FE0">
        <w:rPr>
          <w:rStyle w:val="Odkaznapoznmkupodiarou"/>
          <w:rFonts w:asciiTheme="majorHAnsi" w:hAnsiTheme="majorHAnsi"/>
          <w:szCs w:val="22"/>
        </w:rPr>
        <w:footnoteReference w:id="343"/>
      </w:r>
      <w:r w:rsidR="00EC008D" w:rsidRPr="00A11FE0">
        <w:rPr>
          <w:rFonts w:asciiTheme="majorHAnsi" w:hAnsiTheme="majorHAnsi"/>
          <w:szCs w:val="22"/>
        </w:rPr>
        <w:t xml:space="preserve"> je v </w:t>
      </w:r>
      <w:r>
        <w:rPr>
          <w:rFonts w:asciiTheme="majorHAnsi" w:hAnsiTheme="majorHAnsi"/>
          <w:szCs w:val="22"/>
        </w:rPr>
        <w:t>s</w:t>
      </w:r>
      <w:r w:rsidR="00EC008D" w:rsidRPr="00A11FE0">
        <w:rPr>
          <w:rFonts w:asciiTheme="majorHAnsi" w:hAnsiTheme="majorHAnsi"/>
          <w:szCs w:val="22"/>
        </w:rPr>
        <w:t xml:space="preserve">úlade </w:t>
      </w:r>
      <w:r>
        <w:rPr>
          <w:rFonts w:asciiTheme="majorHAnsi" w:hAnsiTheme="majorHAnsi"/>
          <w:szCs w:val="22"/>
        </w:rPr>
        <w:t>s</w:t>
      </w:r>
      <w:r w:rsidR="007F08EE">
        <w:rPr>
          <w:rFonts w:asciiTheme="majorHAnsi" w:hAnsiTheme="majorHAnsi"/>
          <w:szCs w:val="22"/>
        </w:rPr>
        <w:t> </w:t>
      </w:r>
      <w:r w:rsidR="00EC008D" w:rsidRPr="00A11FE0">
        <w:rPr>
          <w:rFonts w:asciiTheme="majorHAnsi" w:hAnsiTheme="majorHAnsi"/>
          <w:szCs w:val="22"/>
        </w:rPr>
        <w:t>odporúčaniami Rady o</w:t>
      </w:r>
      <w:r w:rsidR="00914F83">
        <w:rPr>
          <w:rFonts w:asciiTheme="majorHAnsi" w:hAnsiTheme="majorHAnsi"/>
          <w:szCs w:val="22"/>
        </w:rPr>
        <w:t> </w:t>
      </w:r>
      <w:r w:rsidR="00EC008D" w:rsidRPr="00A11FE0">
        <w:rPr>
          <w:rFonts w:asciiTheme="majorHAnsi" w:hAnsiTheme="majorHAnsi"/>
          <w:szCs w:val="22"/>
        </w:rPr>
        <w:t>účinných opatreniach na integráciu Rómov v</w:t>
      </w:r>
      <w:r w:rsidR="00914F83">
        <w:rPr>
          <w:rFonts w:asciiTheme="majorHAnsi" w:hAnsiTheme="majorHAnsi"/>
          <w:szCs w:val="22"/>
        </w:rPr>
        <w:t> </w:t>
      </w:r>
      <w:r w:rsidR="00EC008D" w:rsidRPr="00A11FE0">
        <w:rPr>
          <w:rFonts w:asciiTheme="majorHAnsi" w:hAnsiTheme="majorHAnsi"/>
          <w:szCs w:val="22"/>
        </w:rPr>
        <w:t>členských štátoch</w:t>
      </w:r>
      <w:r w:rsidR="00EC008D" w:rsidRPr="00A11FE0">
        <w:rPr>
          <w:rStyle w:val="Odkaznapoznmkupodiarou"/>
          <w:rFonts w:asciiTheme="majorHAnsi" w:hAnsiTheme="majorHAnsi"/>
          <w:szCs w:val="22"/>
        </w:rPr>
        <w:footnoteReference w:id="344"/>
      </w:r>
      <w:r w:rsidR="00EC008D" w:rsidRPr="00A11FE0">
        <w:rPr>
          <w:rFonts w:asciiTheme="majorHAnsi" w:hAnsiTheme="majorHAnsi"/>
          <w:szCs w:val="22"/>
        </w:rPr>
        <w:t xml:space="preserve"> </w:t>
      </w:r>
      <w:r>
        <w:rPr>
          <w:rFonts w:asciiTheme="majorHAnsi" w:hAnsiTheme="majorHAnsi"/>
          <w:szCs w:val="22"/>
        </w:rPr>
        <w:t>a</w:t>
      </w:r>
      <w:r w:rsidR="00EC008D" w:rsidRPr="00A11FE0">
        <w:rPr>
          <w:rFonts w:asciiTheme="majorHAnsi" w:hAnsiTheme="majorHAnsi"/>
          <w:szCs w:val="22"/>
        </w:rPr>
        <w:t> </w:t>
      </w:r>
      <w:r>
        <w:rPr>
          <w:rFonts w:asciiTheme="majorHAnsi" w:hAnsiTheme="majorHAnsi"/>
          <w:szCs w:val="22"/>
        </w:rPr>
        <w:t>S</w:t>
      </w:r>
      <w:r w:rsidR="00EC008D" w:rsidRPr="00A11FE0">
        <w:rPr>
          <w:rFonts w:asciiTheme="majorHAnsi" w:hAnsiTheme="majorHAnsi"/>
          <w:szCs w:val="22"/>
        </w:rPr>
        <w:t>ociálnym investičným balíkom</w:t>
      </w:r>
      <w:r w:rsidR="00EC008D" w:rsidRPr="00A11FE0">
        <w:rPr>
          <w:rStyle w:val="Odkaznapoznmkupodiarou"/>
          <w:rFonts w:asciiTheme="majorHAnsi" w:hAnsiTheme="majorHAnsi"/>
          <w:szCs w:val="22"/>
        </w:rPr>
        <w:footnoteReference w:id="345"/>
      </w:r>
      <w:r w:rsidR="00EC008D" w:rsidRPr="00A11FE0">
        <w:rPr>
          <w:rFonts w:asciiTheme="majorHAnsi" w:hAnsiTheme="majorHAnsi"/>
          <w:szCs w:val="22"/>
        </w:rPr>
        <w:t>.</w:t>
      </w:r>
    </w:p>
    <w:p w:rsidR="00EC008D" w:rsidRPr="00A11FE0" w:rsidRDefault="00EC008D" w:rsidP="00EC008D">
      <w:pPr>
        <w:tabs>
          <w:tab w:val="left" w:pos="709"/>
        </w:tabs>
        <w:rPr>
          <w:rFonts w:asciiTheme="majorHAnsi" w:hAnsiTheme="majorHAnsi"/>
          <w:szCs w:val="22"/>
        </w:rPr>
      </w:pPr>
      <w:r w:rsidRPr="00A11FE0">
        <w:rPr>
          <w:rFonts w:asciiTheme="majorHAnsi" w:hAnsiTheme="majorHAnsi"/>
          <w:szCs w:val="22"/>
        </w:rPr>
        <w:t xml:space="preserve">Investičnou podporou štyroch opatrení (vzdelávanie, zamestnanosť, bývanie </w:t>
      </w:r>
      <w:r w:rsidR="00BD5FD5">
        <w:rPr>
          <w:rFonts w:asciiTheme="majorHAnsi" w:hAnsiTheme="majorHAnsi"/>
          <w:szCs w:val="22"/>
        </w:rPr>
        <w:t>a</w:t>
      </w:r>
      <w:r w:rsidRPr="00A11FE0">
        <w:rPr>
          <w:rFonts w:asciiTheme="majorHAnsi" w:hAnsiTheme="majorHAnsi"/>
          <w:szCs w:val="22"/>
        </w:rPr>
        <w:t xml:space="preserve"> zdravotná </w:t>
      </w:r>
      <w:r w:rsidR="00BD5FD5">
        <w:rPr>
          <w:rFonts w:asciiTheme="majorHAnsi" w:hAnsiTheme="majorHAnsi"/>
          <w:szCs w:val="22"/>
        </w:rPr>
        <w:t>s</w:t>
      </w:r>
      <w:r w:rsidRPr="00A11FE0">
        <w:rPr>
          <w:rFonts w:asciiTheme="majorHAnsi" w:hAnsiTheme="majorHAnsi"/>
          <w:szCs w:val="22"/>
        </w:rPr>
        <w:t xml:space="preserve">tarostlivosť) </w:t>
      </w:r>
      <w:r w:rsidR="00BD5FD5">
        <w:rPr>
          <w:rFonts w:asciiTheme="majorHAnsi" w:hAnsiTheme="majorHAnsi"/>
          <w:szCs w:val="22"/>
        </w:rPr>
        <w:t>s</w:t>
      </w:r>
      <w:r w:rsidRPr="00A11FE0">
        <w:rPr>
          <w:rFonts w:asciiTheme="majorHAnsi" w:hAnsiTheme="majorHAnsi"/>
          <w:szCs w:val="22"/>
        </w:rPr>
        <w:t xml:space="preserve">a dosiahne integrovaný prístup </w:t>
      </w:r>
      <w:r w:rsidR="00BD5FD5">
        <w:rPr>
          <w:rFonts w:asciiTheme="majorHAnsi" w:hAnsiTheme="majorHAnsi"/>
          <w:szCs w:val="22"/>
        </w:rPr>
        <w:t>k</w:t>
      </w:r>
      <w:r w:rsidRPr="00A11FE0">
        <w:rPr>
          <w:rFonts w:asciiTheme="majorHAnsi" w:hAnsiTheme="majorHAnsi"/>
          <w:szCs w:val="22"/>
        </w:rPr>
        <w:t xml:space="preserve"> inklúzii obyvateľov </w:t>
      </w:r>
      <w:r w:rsidR="007F08EE">
        <w:rPr>
          <w:rFonts w:asciiTheme="majorHAnsi" w:hAnsiTheme="majorHAnsi"/>
          <w:szCs w:val="22"/>
        </w:rPr>
        <w:t>MRK</w:t>
      </w:r>
      <w:r w:rsidRPr="00A11FE0">
        <w:rPr>
          <w:rFonts w:asciiTheme="majorHAnsi" w:hAnsiTheme="majorHAnsi"/>
          <w:szCs w:val="22"/>
        </w:rPr>
        <w:t>.</w:t>
      </w:r>
    </w:p>
    <w:p w:rsidR="00EC008D" w:rsidRPr="00A11FE0" w:rsidRDefault="00EC008D" w:rsidP="00EC008D">
      <w:pPr>
        <w:tabs>
          <w:tab w:val="left" w:pos="709"/>
        </w:tabs>
        <w:spacing w:before="0" w:after="0"/>
        <w:rPr>
          <w:rFonts w:asciiTheme="majorHAnsi" w:hAnsiTheme="majorHAnsi"/>
          <w:szCs w:val="22"/>
        </w:rPr>
      </w:pPr>
      <w:r w:rsidRPr="00A11FE0">
        <w:rPr>
          <w:rFonts w:asciiTheme="majorHAnsi" w:hAnsiTheme="majorHAnsi"/>
          <w:szCs w:val="22"/>
        </w:rPr>
        <w:t xml:space="preserve">Previazanosť </w:t>
      </w:r>
      <w:r w:rsidR="00BD5FD5">
        <w:rPr>
          <w:rFonts w:asciiTheme="majorHAnsi" w:hAnsiTheme="majorHAnsi"/>
          <w:szCs w:val="22"/>
        </w:rPr>
        <w:t>a</w:t>
      </w:r>
      <w:r w:rsidRPr="00A11FE0">
        <w:rPr>
          <w:rFonts w:asciiTheme="majorHAnsi" w:hAnsiTheme="majorHAnsi"/>
          <w:szCs w:val="22"/>
        </w:rPr>
        <w:t xml:space="preserve"> vzájomná interakcia týchto opatrení poukazuje na to, že vzájomnou </w:t>
      </w:r>
      <w:r w:rsidR="00BD5FD5">
        <w:rPr>
          <w:rFonts w:asciiTheme="majorHAnsi" w:hAnsiTheme="majorHAnsi"/>
          <w:szCs w:val="22"/>
        </w:rPr>
        <w:t>k</w:t>
      </w:r>
      <w:r w:rsidRPr="00A11FE0">
        <w:rPr>
          <w:rFonts w:asciiTheme="majorHAnsi" w:hAnsiTheme="majorHAnsi"/>
          <w:szCs w:val="22"/>
        </w:rPr>
        <w:t xml:space="preserve">ombináciou jedného opatrenia </w:t>
      </w:r>
      <w:r w:rsidR="00BD5FD5">
        <w:rPr>
          <w:rFonts w:asciiTheme="majorHAnsi" w:hAnsiTheme="majorHAnsi"/>
          <w:szCs w:val="22"/>
        </w:rPr>
        <w:t>s</w:t>
      </w:r>
      <w:r w:rsidRPr="00A11FE0">
        <w:rPr>
          <w:rFonts w:asciiTheme="majorHAnsi" w:hAnsiTheme="majorHAnsi"/>
          <w:szCs w:val="22"/>
        </w:rPr>
        <w:t xml:space="preserve"> iným opatrením </w:t>
      </w:r>
      <w:r w:rsidR="00BD5FD5">
        <w:rPr>
          <w:rFonts w:asciiTheme="majorHAnsi" w:hAnsiTheme="majorHAnsi"/>
          <w:szCs w:val="22"/>
        </w:rPr>
        <w:t>s</w:t>
      </w:r>
      <w:r w:rsidRPr="00A11FE0">
        <w:rPr>
          <w:rFonts w:asciiTheme="majorHAnsi" w:hAnsiTheme="majorHAnsi"/>
          <w:szCs w:val="22"/>
        </w:rPr>
        <w:t>a vytvárajú predpoklady pre naplnenie cieľov týchto opatrení napr.:</w:t>
      </w:r>
    </w:p>
    <w:p w:rsidR="00EC008D" w:rsidRPr="00A11FE0" w:rsidRDefault="00BD5FD5" w:rsidP="009B7C77">
      <w:pPr>
        <w:pStyle w:val="Odsekzoznamu"/>
        <w:numPr>
          <w:ilvl w:val="0"/>
          <w:numId w:val="32"/>
        </w:numPr>
        <w:tabs>
          <w:tab w:val="left" w:pos="709"/>
        </w:tabs>
        <w:spacing w:before="0" w:after="200"/>
        <w:rPr>
          <w:rFonts w:asciiTheme="majorHAnsi" w:hAnsiTheme="majorHAnsi"/>
          <w:szCs w:val="22"/>
        </w:rPr>
      </w:pPr>
      <w:r>
        <w:rPr>
          <w:rFonts w:asciiTheme="majorHAnsi" w:hAnsiTheme="majorHAnsi"/>
          <w:szCs w:val="22"/>
        </w:rPr>
        <w:t>ak</w:t>
      </w:r>
      <w:r w:rsidR="00EC008D" w:rsidRPr="00A11FE0">
        <w:rPr>
          <w:rFonts w:asciiTheme="majorHAnsi" w:hAnsiTheme="majorHAnsi"/>
          <w:szCs w:val="22"/>
        </w:rPr>
        <w:t xml:space="preserve"> </w:t>
      </w:r>
      <w:r>
        <w:rPr>
          <w:rFonts w:asciiTheme="majorHAnsi" w:hAnsiTheme="majorHAnsi"/>
          <w:szCs w:val="22"/>
        </w:rPr>
        <w:t>s</w:t>
      </w:r>
      <w:r w:rsidR="00EC008D" w:rsidRPr="00A11FE0">
        <w:rPr>
          <w:rFonts w:asciiTheme="majorHAnsi" w:hAnsiTheme="majorHAnsi"/>
          <w:szCs w:val="22"/>
        </w:rPr>
        <w:t xml:space="preserve">a zvýši podiel rómskych domácností </w:t>
      </w:r>
      <w:r>
        <w:rPr>
          <w:rFonts w:asciiTheme="majorHAnsi" w:hAnsiTheme="majorHAnsi"/>
          <w:szCs w:val="22"/>
        </w:rPr>
        <w:t>s</w:t>
      </w:r>
      <w:r w:rsidR="00A90DCD">
        <w:rPr>
          <w:rFonts w:asciiTheme="majorHAnsi" w:hAnsiTheme="majorHAnsi"/>
          <w:szCs w:val="22"/>
        </w:rPr>
        <w:t> </w:t>
      </w:r>
      <w:r w:rsidR="00EC008D" w:rsidRPr="00A11FE0">
        <w:rPr>
          <w:rFonts w:asciiTheme="majorHAnsi" w:hAnsiTheme="majorHAnsi"/>
          <w:szCs w:val="22"/>
        </w:rPr>
        <w:t>prístupom</w:t>
      </w:r>
      <w:r w:rsidR="00A90DCD">
        <w:rPr>
          <w:rFonts w:asciiTheme="majorHAnsi" w:hAnsiTheme="majorHAnsi"/>
          <w:szCs w:val="22"/>
        </w:rPr>
        <w:t xml:space="preserve"> </w:t>
      </w:r>
      <w:r>
        <w:rPr>
          <w:rFonts w:asciiTheme="majorHAnsi" w:hAnsiTheme="majorHAnsi"/>
          <w:szCs w:val="22"/>
        </w:rPr>
        <w:t>k</w:t>
      </w:r>
      <w:r w:rsidR="007F08EE">
        <w:rPr>
          <w:rFonts w:asciiTheme="majorHAnsi" w:hAnsiTheme="majorHAnsi"/>
          <w:szCs w:val="22"/>
        </w:rPr>
        <w:t> </w:t>
      </w:r>
      <w:r w:rsidR="00EC008D" w:rsidRPr="00A11FE0">
        <w:rPr>
          <w:rFonts w:asciiTheme="majorHAnsi" w:hAnsiTheme="majorHAnsi"/>
          <w:szCs w:val="22"/>
        </w:rPr>
        <w:t xml:space="preserve">bývaniu </w:t>
      </w:r>
      <w:r>
        <w:rPr>
          <w:rFonts w:asciiTheme="majorHAnsi" w:hAnsiTheme="majorHAnsi"/>
          <w:szCs w:val="22"/>
        </w:rPr>
        <w:t>a</w:t>
      </w:r>
      <w:r w:rsidR="007F08EE">
        <w:rPr>
          <w:rFonts w:asciiTheme="majorHAnsi" w:hAnsiTheme="majorHAnsi"/>
          <w:szCs w:val="22"/>
        </w:rPr>
        <w:t> </w:t>
      </w:r>
      <w:r w:rsidR="00EC008D" w:rsidRPr="00A11FE0">
        <w:rPr>
          <w:rFonts w:asciiTheme="majorHAnsi" w:hAnsiTheme="majorHAnsi"/>
          <w:szCs w:val="22"/>
        </w:rPr>
        <w:t xml:space="preserve">inžinierskym </w:t>
      </w:r>
      <w:r>
        <w:rPr>
          <w:rFonts w:asciiTheme="majorHAnsi" w:hAnsiTheme="majorHAnsi"/>
          <w:szCs w:val="22"/>
        </w:rPr>
        <w:t>s</w:t>
      </w:r>
      <w:r w:rsidR="00EC008D" w:rsidRPr="00A11FE0">
        <w:rPr>
          <w:rFonts w:asciiTheme="majorHAnsi" w:hAnsiTheme="majorHAnsi"/>
          <w:szCs w:val="22"/>
        </w:rPr>
        <w:t xml:space="preserve">ieťam je možné predpokladať, že </w:t>
      </w:r>
      <w:r>
        <w:rPr>
          <w:rFonts w:asciiTheme="majorHAnsi" w:hAnsiTheme="majorHAnsi"/>
          <w:szCs w:val="22"/>
        </w:rPr>
        <w:t>s</w:t>
      </w:r>
      <w:r w:rsidR="00EC008D" w:rsidRPr="00A11FE0">
        <w:rPr>
          <w:rFonts w:asciiTheme="majorHAnsi" w:hAnsiTheme="majorHAnsi"/>
          <w:szCs w:val="22"/>
        </w:rPr>
        <w:t xml:space="preserve">a tým </w:t>
      </w:r>
      <w:r>
        <w:rPr>
          <w:rFonts w:asciiTheme="majorHAnsi" w:hAnsiTheme="majorHAnsi"/>
          <w:szCs w:val="22"/>
        </w:rPr>
        <w:t>a</w:t>
      </w:r>
      <w:r w:rsidR="00EC008D" w:rsidRPr="00A11FE0">
        <w:rPr>
          <w:rFonts w:asciiTheme="majorHAnsi" w:hAnsiTheme="majorHAnsi"/>
          <w:szCs w:val="22"/>
        </w:rPr>
        <w:t xml:space="preserve">j </w:t>
      </w:r>
      <w:r>
        <w:rPr>
          <w:rFonts w:asciiTheme="majorHAnsi" w:hAnsiTheme="majorHAnsi"/>
          <w:szCs w:val="22"/>
        </w:rPr>
        <w:t>s</w:t>
      </w:r>
      <w:r w:rsidR="00EC008D" w:rsidRPr="00A11FE0">
        <w:rPr>
          <w:rFonts w:asciiTheme="majorHAnsi" w:hAnsiTheme="majorHAnsi"/>
          <w:szCs w:val="22"/>
        </w:rPr>
        <w:t xml:space="preserve">úbežne zvýši hygienický štandard </w:t>
      </w:r>
      <w:r>
        <w:rPr>
          <w:rFonts w:asciiTheme="majorHAnsi" w:hAnsiTheme="majorHAnsi"/>
          <w:szCs w:val="22"/>
        </w:rPr>
        <w:t>a</w:t>
      </w:r>
      <w:r w:rsidR="00EC008D" w:rsidRPr="00A11FE0">
        <w:rPr>
          <w:rFonts w:asciiTheme="majorHAnsi" w:hAnsiTheme="majorHAnsi"/>
          <w:szCs w:val="22"/>
        </w:rPr>
        <w:t xml:space="preserve"> zlepší </w:t>
      </w:r>
      <w:r>
        <w:rPr>
          <w:rFonts w:asciiTheme="majorHAnsi" w:hAnsiTheme="majorHAnsi"/>
          <w:szCs w:val="22"/>
        </w:rPr>
        <w:t>s</w:t>
      </w:r>
      <w:r w:rsidR="00EC008D" w:rsidRPr="00A11FE0">
        <w:rPr>
          <w:rFonts w:asciiTheme="majorHAnsi" w:hAnsiTheme="majorHAnsi"/>
          <w:szCs w:val="22"/>
        </w:rPr>
        <w:t xml:space="preserve">a </w:t>
      </w:r>
      <w:r>
        <w:rPr>
          <w:rFonts w:asciiTheme="majorHAnsi" w:hAnsiTheme="majorHAnsi"/>
          <w:szCs w:val="22"/>
        </w:rPr>
        <w:t>k</w:t>
      </w:r>
      <w:r w:rsidR="00EC008D" w:rsidRPr="00A11FE0">
        <w:rPr>
          <w:rFonts w:asciiTheme="majorHAnsi" w:hAnsiTheme="majorHAnsi"/>
          <w:szCs w:val="22"/>
        </w:rPr>
        <w:t xml:space="preserve">valita zdravia cieľovej </w:t>
      </w:r>
      <w:r>
        <w:rPr>
          <w:rFonts w:asciiTheme="majorHAnsi" w:hAnsiTheme="majorHAnsi"/>
          <w:szCs w:val="22"/>
        </w:rPr>
        <w:t>s</w:t>
      </w:r>
      <w:r w:rsidR="00EC008D" w:rsidRPr="00A11FE0">
        <w:rPr>
          <w:rFonts w:asciiTheme="majorHAnsi" w:hAnsiTheme="majorHAnsi"/>
          <w:szCs w:val="22"/>
        </w:rPr>
        <w:t xml:space="preserve">kupiny, </w:t>
      </w:r>
      <w:r>
        <w:rPr>
          <w:rFonts w:asciiTheme="majorHAnsi" w:hAnsiTheme="majorHAnsi"/>
          <w:szCs w:val="22"/>
        </w:rPr>
        <w:t>a</w:t>
      </w:r>
      <w:r w:rsidR="00EC008D" w:rsidRPr="00A11FE0">
        <w:rPr>
          <w:rFonts w:asciiTheme="majorHAnsi" w:hAnsiTheme="majorHAnsi"/>
          <w:szCs w:val="22"/>
        </w:rPr>
        <w:t>lebo</w:t>
      </w:r>
    </w:p>
    <w:p w:rsidR="00EC008D" w:rsidRPr="00A11FE0" w:rsidRDefault="00EC008D" w:rsidP="009B7C77">
      <w:pPr>
        <w:pStyle w:val="Odsekzoznamu"/>
        <w:numPr>
          <w:ilvl w:val="0"/>
          <w:numId w:val="32"/>
        </w:numPr>
        <w:tabs>
          <w:tab w:val="left" w:pos="709"/>
        </w:tabs>
        <w:spacing w:before="0" w:after="200"/>
        <w:rPr>
          <w:rFonts w:asciiTheme="majorHAnsi" w:hAnsiTheme="majorHAnsi"/>
          <w:szCs w:val="22"/>
        </w:rPr>
      </w:pPr>
      <w:r w:rsidRPr="00A11FE0">
        <w:rPr>
          <w:rFonts w:asciiTheme="majorHAnsi" w:hAnsiTheme="majorHAnsi"/>
          <w:szCs w:val="22"/>
        </w:rPr>
        <w:t xml:space="preserve">podporou </w:t>
      </w:r>
      <w:r w:rsidR="00BD5FD5">
        <w:rPr>
          <w:rFonts w:asciiTheme="majorHAnsi" w:hAnsiTheme="majorHAnsi"/>
          <w:szCs w:val="22"/>
        </w:rPr>
        <w:t>a</w:t>
      </w:r>
      <w:r w:rsidRPr="00A11FE0">
        <w:rPr>
          <w:rFonts w:asciiTheme="majorHAnsi" w:hAnsiTheme="majorHAnsi"/>
          <w:szCs w:val="22"/>
        </w:rPr>
        <w:t xml:space="preserve"> zlepšením prístupu </w:t>
      </w:r>
      <w:r w:rsidR="00BD5FD5">
        <w:rPr>
          <w:rFonts w:asciiTheme="majorHAnsi" w:hAnsiTheme="majorHAnsi"/>
          <w:szCs w:val="22"/>
        </w:rPr>
        <w:t>k</w:t>
      </w:r>
      <w:r w:rsidRPr="00A11FE0">
        <w:rPr>
          <w:rFonts w:asciiTheme="majorHAnsi" w:hAnsiTheme="majorHAnsi"/>
          <w:szCs w:val="22"/>
        </w:rPr>
        <w:t xml:space="preserve">u </w:t>
      </w:r>
      <w:r w:rsidR="00BD5FD5">
        <w:rPr>
          <w:rFonts w:asciiTheme="majorHAnsi" w:hAnsiTheme="majorHAnsi"/>
          <w:szCs w:val="22"/>
        </w:rPr>
        <w:t>k</w:t>
      </w:r>
      <w:r w:rsidRPr="00A11FE0">
        <w:rPr>
          <w:rFonts w:asciiTheme="majorHAnsi" w:hAnsiTheme="majorHAnsi"/>
          <w:szCs w:val="22"/>
        </w:rPr>
        <w:t xml:space="preserve">valitnému inkluzívnemu vzdelávaniu </w:t>
      </w:r>
      <w:r w:rsidR="00BD5FD5">
        <w:rPr>
          <w:rFonts w:asciiTheme="majorHAnsi" w:hAnsiTheme="majorHAnsi"/>
          <w:szCs w:val="22"/>
        </w:rPr>
        <w:t>s</w:t>
      </w:r>
      <w:r w:rsidRPr="00A11FE0">
        <w:rPr>
          <w:rFonts w:asciiTheme="majorHAnsi" w:hAnsiTheme="majorHAnsi"/>
          <w:szCs w:val="22"/>
        </w:rPr>
        <w:t xml:space="preserve">a zvyšuje miera participácie cieľovej </w:t>
      </w:r>
      <w:r w:rsidR="00BD5FD5">
        <w:rPr>
          <w:rFonts w:asciiTheme="majorHAnsi" w:hAnsiTheme="majorHAnsi"/>
          <w:szCs w:val="22"/>
        </w:rPr>
        <w:t>s</w:t>
      </w:r>
      <w:r w:rsidRPr="00A11FE0">
        <w:rPr>
          <w:rFonts w:asciiTheme="majorHAnsi" w:hAnsiTheme="majorHAnsi"/>
          <w:szCs w:val="22"/>
        </w:rPr>
        <w:t>kupiny na trhu práce</w:t>
      </w:r>
      <w:r w:rsidRPr="00A11FE0">
        <w:rPr>
          <w:rStyle w:val="Odkaznapoznmkupodiarou"/>
          <w:rFonts w:asciiTheme="majorHAnsi" w:hAnsiTheme="majorHAnsi"/>
          <w:szCs w:val="22"/>
        </w:rPr>
        <w:footnoteReference w:id="346"/>
      </w:r>
      <w:r w:rsidRPr="00A11FE0">
        <w:rPr>
          <w:rFonts w:asciiTheme="majorHAnsi" w:hAnsiTheme="majorHAnsi"/>
          <w:szCs w:val="22"/>
        </w:rPr>
        <w:t>,</w:t>
      </w:r>
    </w:p>
    <w:p w:rsidR="00EC008D" w:rsidRPr="00A11FE0" w:rsidRDefault="00EC008D" w:rsidP="009B7C77">
      <w:pPr>
        <w:pStyle w:val="Odsekzoznamu"/>
        <w:numPr>
          <w:ilvl w:val="0"/>
          <w:numId w:val="32"/>
        </w:numPr>
        <w:tabs>
          <w:tab w:val="left" w:pos="709"/>
        </w:tabs>
        <w:spacing w:before="0" w:after="200"/>
        <w:rPr>
          <w:rFonts w:asciiTheme="majorHAnsi" w:hAnsiTheme="majorHAnsi"/>
          <w:szCs w:val="22"/>
        </w:rPr>
      </w:pPr>
      <w:r w:rsidRPr="00A11FE0">
        <w:rPr>
          <w:rFonts w:asciiTheme="majorHAnsi" w:hAnsiTheme="majorHAnsi"/>
          <w:szCs w:val="22"/>
        </w:rPr>
        <w:t xml:space="preserve">investíciami do </w:t>
      </w:r>
      <w:r w:rsidR="00BD5FD5">
        <w:rPr>
          <w:rFonts w:asciiTheme="majorHAnsi" w:hAnsiTheme="majorHAnsi"/>
          <w:szCs w:val="22"/>
        </w:rPr>
        <w:t>s</w:t>
      </w:r>
      <w:r w:rsidRPr="00A11FE0">
        <w:rPr>
          <w:rFonts w:asciiTheme="majorHAnsi" w:hAnsiTheme="majorHAnsi"/>
          <w:szCs w:val="22"/>
        </w:rPr>
        <w:t xml:space="preserve">ietí funkčných </w:t>
      </w:r>
      <w:r w:rsidR="00BD5FD5">
        <w:rPr>
          <w:rFonts w:asciiTheme="majorHAnsi" w:hAnsiTheme="majorHAnsi"/>
          <w:szCs w:val="22"/>
        </w:rPr>
        <w:t>k</w:t>
      </w:r>
      <w:r w:rsidRPr="00A11FE0">
        <w:rPr>
          <w:rFonts w:asciiTheme="majorHAnsi" w:hAnsiTheme="majorHAnsi"/>
          <w:szCs w:val="22"/>
        </w:rPr>
        <w:t xml:space="preserve">omunitných centier vytvoria predpoklad pre realizáciu </w:t>
      </w:r>
      <w:r w:rsidR="00BD5FD5">
        <w:rPr>
          <w:rFonts w:asciiTheme="majorHAnsi" w:hAnsiTheme="majorHAnsi"/>
          <w:szCs w:val="22"/>
        </w:rPr>
        <w:t>a</w:t>
      </w:r>
      <w:r w:rsidRPr="00A11FE0">
        <w:rPr>
          <w:rFonts w:asciiTheme="majorHAnsi" w:hAnsiTheme="majorHAnsi"/>
          <w:szCs w:val="22"/>
        </w:rPr>
        <w:t xml:space="preserve">dresných programov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ak</w:t>
      </w:r>
      <w:r w:rsidRPr="00A11FE0">
        <w:rPr>
          <w:rFonts w:asciiTheme="majorHAnsi" w:hAnsiTheme="majorHAnsi"/>
          <w:szCs w:val="22"/>
        </w:rPr>
        <w:t xml:space="preserve">tivít </w:t>
      </w:r>
      <w:r w:rsidR="00BD5FD5">
        <w:rPr>
          <w:rFonts w:asciiTheme="majorHAnsi" w:hAnsiTheme="majorHAnsi"/>
          <w:szCs w:val="22"/>
        </w:rPr>
        <w:t>s</w:t>
      </w:r>
      <w:r w:rsidRPr="00A11FE0">
        <w:rPr>
          <w:rFonts w:asciiTheme="majorHAnsi" w:hAnsiTheme="majorHAnsi"/>
          <w:szCs w:val="22"/>
        </w:rPr>
        <w:t xml:space="preserve">merujúcich </w:t>
      </w:r>
      <w:r w:rsidR="00BD5FD5">
        <w:rPr>
          <w:rFonts w:asciiTheme="majorHAnsi" w:hAnsiTheme="majorHAnsi"/>
          <w:szCs w:val="22"/>
        </w:rPr>
        <w:t>k</w:t>
      </w:r>
      <w:r w:rsidRPr="00A11FE0">
        <w:rPr>
          <w:rFonts w:asciiTheme="majorHAnsi" w:hAnsiTheme="majorHAnsi"/>
          <w:szCs w:val="22"/>
        </w:rPr>
        <w:t xml:space="preserve"> podpore </w:t>
      </w:r>
      <w:r w:rsidR="00BD5FD5">
        <w:rPr>
          <w:rFonts w:asciiTheme="majorHAnsi" w:hAnsiTheme="majorHAnsi"/>
          <w:szCs w:val="22"/>
        </w:rPr>
        <w:t>k</w:t>
      </w:r>
      <w:r w:rsidRPr="00A11FE0">
        <w:rPr>
          <w:rFonts w:asciiTheme="majorHAnsi" w:hAnsiTheme="majorHAnsi"/>
          <w:szCs w:val="22"/>
        </w:rPr>
        <w:t xml:space="preserve">omunitného rozvoja, </w:t>
      </w:r>
      <w:r w:rsidR="00BD5FD5">
        <w:rPr>
          <w:rFonts w:asciiTheme="majorHAnsi" w:hAnsiTheme="majorHAnsi"/>
          <w:szCs w:val="22"/>
        </w:rPr>
        <w:t>ak</w:t>
      </w:r>
      <w:r w:rsidRPr="00A11FE0">
        <w:rPr>
          <w:rFonts w:asciiTheme="majorHAnsi" w:hAnsiTheme="majorHAnsi"/>
          <w:szCs w:val="22"/>
        </w:rPr>
        <w:t xml:space="preserve">tívnej participácie obyvateľov MRK </w:t>
      </w:r>
      <w:r w:rsidR="00BD5FD5">
        <w:rPr>
          <w:rFonts w:asciiTheme="majorHAnsi" w:hAnsiTheme="majorHAnsi"/>
          <w:szCs w:val="22"/>
        </w:rPr>
        <w:t>a</w:t>
      </w:r>
      <w:r w:rsidR="007F08EE">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enzibilizačným </w:t>
      </w:r>
      <w:r w:rsidR="00BD5FD5">
        <w:rPr>
          <w:rFonts w:asciiTheme="majorHAnsi" w:hAnsiTheme="majorHAnsi"/>
          <w:szCs w:val="22"/>
        </w:rPr>
        <w:t>ak</w:t>
      </w:r>
      <w:r w:rsidRPr="00A11FE0">
        <w:rPr>
          <w:rFonts w:asciiTheme="majorHAnsi" w:hAnsiTheme="majorHAnsi"/>
          <w:szCs w:val="22"/>
        </w:rPr>
        <w:t>tivitám.</w:t>
      </w:r>
    </w:p>
    <w:p w:rsidR="00F56146" w:rsidRDefault="00EC008D" w:rsidP="00174E83">
      <w:pPr>
        <w:tabs>
          <w:tab w:val="left" w:pos="709"/>
        </w:tabs>
        <w:spacing w:before="0"/>
        <w:rPr>
          <w:rFonts w:asciiTheme="majorHAnsi" w:hAnsiTheme="majorHAnsi"/>
          <w:szCs w:val="22"/>
        </w:rPr>
      </w:pPr>
      <w:r w:rsidRPr="00A11FE0">
        <w:rPr>
          <w:rFonts w:asciiTheme="majorHAnsi" w:hAnsiTheme="majorHAnsi"/>
          <w:szCs w:val="22"/>
        </w:rPr>
        <w:t xml:space="preserve">Cieľom </w:t>
      </w:r>
      <w:r w:rsidR="00BD5FD5">
        <w:rPr>
          <w:rFonts w:asciiTheme="majorHAnsi" w:hAnsiTheme="majorHAnsi"/>
          <w:szCs w:val="22"/>
        </w:rPr>
        <w:t>s</w:t>
      </w:r>
      <w:r w:rsidRPr="00A11FE0">
        <w:rPr>
          <w:rFonts w:asciiTheme="majorHAnsi" w:hAnsiTheme="majorHAnsi"/>
          <w:szCs w:val="22"/>
        </w:rPr>
        <w:t xml:space="preserve">úbežnej intervencie fondov EÚ </w:t>
      </w:r>
      <w:r w:rsidR="00BD5FD5">
        <w:rPr>
          <w:rFonts w:asciiTheme="majorHAnsi" w:hAnsiTheme="majorHAnsi"/>
          <w:szCs w:val="22"/>
        </w:rPr>
        <w:t>a</w:t>
      </w:r>
      <w:r w:rsidR="007F08EE">
        <w:rPr>
          <w:rFonts w:asciiTheme="majorHAnsi" w:hAnsiTheme="majorHAnsi"/>
          <w:szCs w:val="22"/>
        </w:rPr>
        <w:t> </w:t>
      </w:r>
      <w:r w:rsidRPr="00A11FE0">
        <w:rPr>
          <w:rFonts w:asciiTheme="majorHAnsi" w:hAnsiTheme="majorHAnsi"/>
          <w:szCs w:val="22"/>
        </w:rPr>
        <w:t xml:space="preserve">hlavných typov </w:t>
      </w:r>
      <w:r w:rsidR="00BD5FD5">
        <w:rPr>
          <w:rFonts w:asciiTheme="majorHAnsi" w:hAnsiTheme="majorHAnsi"/>
          <w:szCs w:val="22"/>
        </w:rPr>
        <w:t>ak</w:t>
      </w:r>
      <w:r w:rsidRPr="00A11FE0">
        <w:rPr>
          <w:rFonts w:asciiTheme="majorHAnsi" w:hAnsiTheme="majorHAnsi"/>
          <w:szCs w:val="22"/>
        </w:rPr>
        <w:t>tivít uvedených v</w:t>
      </w:r>
      <w:r w:rsidR="006B449D">
        <w:rPr>
          <w:rFonts w:asciiTheme="majorHAnsi" w:hAnsiTheme="majorHAnsi"/>
          <w:szCs w:val="22"/>
        </w:rPr>
        <w:t> </w:t>
      </w:r>
      <w:r w:rsidRPr="00A11FE0">
        <w:rPr>
          <w:rFonts w:asciiTheme="majorHAnsi" w:hAnsiTheme="majorHAnsi"/>
          <w:szCs w:val="22"/>
        </w:rPr>
        <w:t>tabuľke</w:t>
      </w:r>
      <w:r w:rsidR="006B449D">
        <w:rPr>
          <w:rFonts w:asciiTheme="majorHAnsi" w:hAnsiTheme="majorHAnsi"/>
          <w:szCs w:val="22"/>
        </w:rPr>
        <w:t xml:space="preserve"> č.</w:t>
      </w:r>
      <w:r w:rsidR="00A704DC">
        <w:rPr>
          <w:rFonts w:asciiTheme="majorHAnsi" w:hAnsiTheme="majorHAnsi"/>
          <w:szCs w:val="22"/>
        </w:rPr>
        <w:t xml:space="preserve"> </w:t>
      </w:r>
      <w:r w:rsidR="006C2112">
        <w:rPr>
          <w:rFonts w:asciiTheme="majorHAnsi" w:hAnsiTheme="majorHAnsi"/>
          <w:szCs w:val="22"/>
        </w:rPr>
        <w:t>2</w:t>
      </w:r>
      <w:r w:rsidR="00765951">
        <w:rPr>
          <w:rFonts w:asciiTheme="majorHAnsi" w:hAnsiTheme="majorHAnsi"/>
          <w:szCs w:val="22"/>
        </w:rPr>
        <w:t>1</w:t>
      </w:r>
      <w:r w:rsidRPr="00A11FE0">
        <w:rPr>
          <w:rFonts w:asciiTheme="majorHAnsi" w:hAnsiTheme="majorHAnsi"/>
          <w:szCs w:val="22"/>
        </w:rPr>
        <w:t xml:space="preserve"> je docieliť väčšiu integráciu </w:t>
      </w:r>
      <w:r w:rsidR="00BD5FD5">
        <w:rPr>
          <w:rFonts w:asciiTheme="majorHAnsi" w:hAnsiTheme="majorHAnsi"/>
          <w:szCs w:val="22"/>
        </w:rPr>
        <w:t>s</w:t>
      </w:r>
      <w:r w:rsidRPr="00A11FE0">
        <w:rPr>
          <w:rFonts w:asciiTheme="majorHAnsi" w:hAnsiTheme="majorHAnsi"/>
          <w:szCs w:val="22"/>
        </w:rPr>
        <w:t xml:space="preserve">eparovaných </w:t>
      </w:r>
      <w:r w:rsidR="00BD5FD5">
        <w:rPr>
          <w:rFonts w:asciiTheme="majorHAnsi" w:hAnsiTheme="majorHAnsi"/>
          <w:szCs w:val="22"/>
        </w:rPr>
        <w:t>a</w:t>
      </w:r>
      <w:r w:rsidRPr="00A11FE0">
        <w:rPr>
          <w:rFonts w:asciiTheme="majorHAnsi" w:hAnsiTheme="majorHAnsi"/>
          <w:szCs w:val="22"/>
        </w:rPr>
        <w:t> </w:t>
      </w:r>
      <w:r w:rsidR="00BD5FD5">
        <w:rPr>
          <w:rFonts w:asciiTheme="majorHAnsi" w:hAnsiTheme="majorHAnsi"/>
          <w:szCs w:val="22"/>
        </w:rPr>
        <w:t>s</w:t>
      </w:r>
      <w:r w:rsidRPr="00A11FE0">
        <w:rPr>
          <w:rFonts w:asciiTheme="majorHAnsi" w:hAnsiTheme="majorHAnsi"/>
          <w:szCs w:val="22"/>
        </w:rPr>
        <w:t xml:space="preserve">egregovaných rómskych </w:t>
      </w:r>
      <w:r w:rsidR="00BD5FD5">
        <w:rPr>
          <w:rFonts w:asciiTheme="majorHAnsi" w:hAnsiTheme="majorHAnsi"/>
          <w:szCs w:val="22"/>
        </w:rPr>
        <w:t>k</w:t>
      </w:r>
      <w:r w:rsidRPr="00A11FE0">
        <w:rPr>
          <w:rFonts w:asciiTheme="majorHAnsi" w:hAnsiTheme="majorHAnsi"/>
          <w:szCs w:val="22"/>
        </w:rPr>
        <w:t xml:space="preserve">omunít do </w:t>
      </w:r>
      <w:r w:rsidR="00BD5FD5">
        <w:rPr>
          <w:rFonts w:asciiTheme="majorHAnsi" w:hAnsiTheme="majorHAnsi"/>
          <w:szCs w:val="22"/>
        </w:rPr>
        <w:t>s</w:t>
      </w:r>
      <w:r w:rsidRPr="00A11FE0">
        <w:rPr>
          <w:rFonts w:asciiTheme="majorHAnsi" w:hAnsiTheme="majorHAnsi"/>
          <w:szCs w:val="22"/>
        </w:rPr>
        <w:t xml:space="preserve">poločnosti, </w:t>
      </w:r>
      <w:r w:rsidR="00BD5FD5">
        <w:rPr>
          <w:rFonts w:asciiTheme="majorHAnsi" w:hAnsiTheme="majorHAnsi"/>
          <w:szCs w:val="22"/>
        </w:rPr>
        <w:t>a</w:t>
      </w:r>
      <w:r w:rsidRPr="00A11FE0">
        <w:rPr>
          <w:rFonts w:asciiTheme="majorHAnsi" w:hAnsiTheme="majorHAnsi"/>
          <w:szCs w:val="22"/>
        </w:rPr>
        <w:t xml:space="preserve"> to </w:t>
      </w:r>
      <w:r w:rsidR="00BD5FD5">
        <w:rPr>
          <w:rFonts w:asciiTheme="majorHAnsi" w:hAnsiTheme="majorHAnsi"/>
          <w:szCs w:val="22"/>
        </w:rPr>
        <w:t>a</w:t>
      </w:r>
      <w:r w:rsidRPr="00A11FE0">
        <w:rPr>
          <w:rFonts w:asciiTheme="majorHAnsi" w:hAnsiTheme="majorHAnsi"/>
          <w:szCs w:val="22"/>
        </w:rPr>
        <w:t xml:space="preserve">j vo vzťahu </w:t>
      </w:r>
      <w:r w:rsidR="00BD5FD5">
        <w:rPr>
          <w:rFonts w:asciiTheme="majorHAnsi" w:hAnsiTheme="majorHAnsi"/>
          <w:szCs w:val="22"/>
        </w:rPr>
        <w:t>k</w:t>
      </w:r>
      <w:r w:rsidRPr="00A11FE0">
        <w:rPr>
          <w:rFonts w:asciiTheme="majorHAnsi" w:hAnsiTheme="majorHAnsi"/>
          <w:szCs w:val="22"/>
        </w:rPr>
        <w:t xml:space="preserve"> plneniu priorít </w:t>
      </w:r>
      <w:r w:rsidR="00BD5FD5">
        <w:rPr>
          <w:rFonts w:asciiTheme="majorHAnsi" w:hAnsiTheme="majorHAnsi"/>
          <w:szCs w:val="22"/>
        </w:rPr>
        <w:t>S</w:t>
      </w:r>
      <w:r w:rsidRPr="00A11FE0">
        <w:rPr>
          <w:rFonts w:asciiTheme="majorHAnsi" w:hAnsiTheme="majorHAnsi"/>
          <w:szCs w:val="22"/>
        </w:rPr>
        <w:t xml:space="preserve">tratégie </w:t>
      </w:r>
      <w:r w:rsidR="00BD5FD5">
        <w:rPr>
          <w:rFonts w:asciiTheme="majorHAnsi" w:hAnsiTheme="majorHAnsi"/>
          <w:szCs w:val="22"/>
        </w:rPr>
        <w:t>S</w:t>
      </w:r>
      <w:r w:rsidRPr="00A11FE0">
        <w:rPr>
          <w:rFonts w:asciiTheme="majorHAnsi" w:hAnsiTheme="majorHAnsi"/>
          <w:szCs w:val="22"/>
        </w:rPr>
        <w:t xml:space="preserve">R pre integráciu Rómov do roku 2020. Okrem toho bude v rámci </w:t>
      </w:r>
      <w:r w:rsidR="007F08EE">
        <w:rPr>
          <w:rFonts w:asciiTheme="majorHAnsi" w:hAnsiTheme="majorHAnsi"/>
          <w:szCs w:val="22"/>
        </w:rPr>
        <w:t>OP</w:t>
      </w:r>
      <w:r w:rsidRPr="00A11FE0">
        <w:rPr>
          <w:rFonts w:asciiTheme="majorHAnsi" w:hAnsiTheme="majorHAnsi"/>
          <w:szCs w:val="22"/>
        </w:rPr>
        <w:t xml:space="preserve"> </w:t>
      </w:r>
      <w:r w:rsidR="00BD5FD5">
        <w:rPr>
          <w:rFonts w:asciiTheme="majorHAnsi" w:hAnsiTheme="majorHAnsi"/>
          <w:szCs w:val="22"/>
        </w:rPr>
        <w:t>S</w:t>
      </w:r>
      <w:r w:rsidRPr="00A11FE0">
        <w:rPr>
          <w:rFonts w:asciiTheme="majorHAnsi" w:hAnsiTheme="majorHAnsi"/>
          <w:szCs w:val="22"/>
        </w:rPr>
        <w:t xml:space="preserve">R využitý </w:t>
      </w:r>
      <w:r w:rsidR="00BD5FD5">
        <w:rPr>
          <w:rFonts w:asciiTheme="majorHAnsi" w:hAnsiTheme="majorHAnsi"/>
          <w:szCs w:val="22"/>
        </w:rPr>
        <w:t>a</w:t>
      </w:r>
      <w:r w:rsidRPr="00A11FE0">
        <w:rPr>
          <w:rFonts w:asciiTheme="majorHAnsi" w:hAnsiTheme="majorHAnsi"/>
          <w:szCs w:val="22"/>
        </w:rPr>
        <w:t xml:space="preserve">j </w:t>
      </w:r>
      <w:r w:rsidR="00BD5FD5">
        <w:rPr>
          <w:rFonts w:asciiTheme="majorHAnsi" w:hAnsiTheme="majorHAnsi"/>
          <w:szCs w:val="22"/>
        </w:rPr>
        <w:t>s</w:t>
      </w:r>
      <w:r w:rsidRPr="00A11FE0">
        <w:rPr>
          <w:rFonts w:asciiTheme="majorHAnsi" w:hAnsiTheme="majorHAnsi"/>
          <w:szCs w:val="22"/>
        </w:rPr>
        <w:t xml:space="preserve">ociálny </w:t>
      </w:r>
      <w:r w:rsidR="00BD5FD5">
        <w:rPr>
          <w:rFonts w:asciiTheme="majorHAnsi" w:hAnsiTheme="majorHAnsi"/>
          <w:szCs w:val="22"/>
        </w:rPr>
        <w:t>a</w:t>
      </w:r>
      <w:r w:rsidR="00A96C30">
        <w:rPr>
          <w:rFonts w:asciiTheme="majorHAnsi" w:hAnsiTheme="majorHAnsi"/>
          <w:szCs w:val="22"/>
        </w:rPr>
        <w:t>s</w:t>
      </w:r>
      <w:r w:rsidRPr="00A11FE0">
        <w:rPr>
          <w:rFonts w:asciiTheme="majorHAnsi" w:hAnsiTheme="majorHAnsi"/>
          <w:szCs w:val="22"/>
        </w:rPr>
        <w:t xml:space="preserve">pekt vo </w:t>
      </w:r>
      <w:r w:rsidR="007F08EE">
        <w:rPr>
          <w:rFonts w:asciiTheme="majorHAnsi" w:hAnsiTheme="majorHAnsi"/>
          <w:szCs w:val="22"/>
        </w:rPr>
        <w:t>VO</w:t>
      </w:r>
      <w:r w:rsidRPr="00A11FE0">
        <w:rPr>
          <w:rFonts w:asciiTheme="majorHAnsi" w:hAnsiTheme="majorHAnsi"/>
          <w:szCs w:val="22"/>
        </w:rPr>
        <w:t xml:space="preserve">, </w:t>
      </w:r>
      <w:r w:rsidR="00BD5FD5">
        <w:rPr>
          <w:rFonts w:asciiTheme="majorHAnsi" w:hAnsiTheme="majorHAnsi"/>
          <w:szCs w:val="22"/>
        </w:rPr>
        <w:t>k</w:t>
      </w:r>
      <w:r w:rsidRPr="00A11FE0">
        <w:rPr>
          <w:rFonts w:asciiTheme="majorHAnsi" w:hAnsiTheme="majorHAnsi"/>
          <w:szCs w:val="22"/>
        </w:rPr>
        <w:t>torý by mal priniesť vyššiu mieru účasti na trhu práce nielen pre MRK.</w:t>
      </w:r>
    </w:p>
    <w:p w:rsidR="008C4F26" w:rsidRPr="008C4F26" w:rsidRDefault="00D01E7C" w:rsidP="008C4F26">
      <w:pPr>
        <w:spacing w:after="240"/>
        <w:rPr>
          <w:rFonts w:asciiTheme="majorHAnsi" w:hAnsiTheme="majorHAnsi"/>
          <w:szCs w:val="22"/>
        </w:rPr>
      </w:pPr>
      <w:r w:rsidRPr="00D01E7C">
        <w:rPr>
          <w:rFonts w:asciiTheme="majorHAnsi" w:hAnsiTheme="majorHAnsi"/>
          <w:szCs w:val="22"/>
        </w:rPr>
        <w:t>Pokiaľ ide o príspevok PRV k inklúzii marginalizovaných skupín obyvateľstva,</w:t>
      </w:r>
      <w:r w:rsidR="005D2203" w:rsidRPr="005D2203">
        <w:rPr>
          <w:rFonts w:asciiTheme="majorHAnsi" w:hAnsiTheme="majorHAnsi"/>
          <w:szCs w:val="22"/>
        </w:rPr>
        <w:t xml:space="preserve"> vrátane MRK, v rámci PRV budú zvažované možnosti pre</w:t>
      </w:r>
      <w:r w:rsidR="00A729C2">
        <w:rPr>
          <w:rFonts w:asciiTheme="majorHAnsi" w:hAnsiTheme="majorHAnsi"/>
          <w:szCs w:val="22"/>
        </w:rPr>
        <w:t xml:space="preserve"> využitie EPFRV pre inklúziu mar</w:t>
      </w:r>
      <w:r w:rsidR="005D2203" w:rsidRPr="005D2203">
        <w:rPr>
          <w:rFonts w:asciiTheme="majorHAnsi" w:hAnsiTheme="majorHAnsi"/>
          <w:szCs w:val="22"/>
        </w:rPr>
        <w:t>ginalizovaných skupín.</w:t>
      </w:r>
      <w:r w:rsidRPr="00D01E7C">
        <w:rPr>
          <w:rFonts w:asciiTheme="majorHAnsi" w:hAnsiTheme="majorHAnsi"/>
          <w:szCs w:val="22"/>
        </w:rPr>
        <w:t xml:space="preserve"> PRV je otvorený pre rôzne subjekty a skupiny obyvateľstva a</w:t>
      </w:r>
      <w:r w:rsidR="00A90DCD">
        <w:rPr>
          <w:rFonts w:asciiTheme="majorHAnsi" w:hAnsiTheme="majorHAnsi"/>
          <w:szCs w:val="22"/>
        </w:rPr>
        <w:t> </w:t>
      </w:r>
      <w:r w:rsidRPr="00D01E7C">
        <w:rPr>
          <w:rFonts w:asciiTheme="majorHAnsi" w:hAnsiTheme="majorHAnsi"/>
          <w:szCs w:val="22"/>
        </w:rPr>
        <w:t>umožňuje</w:t>
      </w:r>
      <w:r w:rsidR="00A90DCD">
        <w:rPr>
          <w:rFonts w:asciiTheme="majorHAnsi" w:hAnsiTheme="majorHAnsi"/>
          <w:szCs w:val="22"/>
        </w:rPr>
        <w:t xml:space="preserve"> </w:t>
      </w:r>
      <w:r w:rsidRPr="00D01E7C">
        <w:rPr>
          <w:rFonts w:asciiTheme="majorHAnsi" w:hAnsiTheme="majorHAnsi"/>
          <w:szCs w:val="22"/>
        </w:rPr>
        <w:t xml:space="preserve">zapojenie všetkých skupín </w:t>
      </w:r>
      <w:r w:rsidRPr="00D01E7C">
        <w:rPr>
          <w:rFonts w:asciiTheme="majorHAnsi" w:hAnsiTheme="majorHAnsi"/>
          <w:szCs w:val="22"/>
        </w:rPr>
        <w:lastRenderedPageBreak/>
        <w:t xml:space="preserve">ohrozených diskrimináciou do jeho implementácie. </w:t>
      </w:r>
      <w:r w:rsidR="008C4F26" w:rsidRPr="008C4F26">
        <w:rPr>
          <w:rFonts w:asciiTheme="majorHAnsi" w:hAnsiTheme="majorHAnsi"/>
          <w:szCs w:val="22"/>
        </w:rPr>
        <w:t>PRV je viazaný uplatňovaním horizontáln</w:t>
      </w:r>
      <w:r w:rsidR="00AE6DA0">
        <w:rPr>
          <w:rFonts w:asciiTheme="majorHAnsi" w:hAnsiTheme="majorHAnsi"/>
          <w:szCs w:val="22"/>
        </w:rPr>
        <w:t>ych</w:t>
      </w:r>
      <w:r w:rsidR="008C4F26" w:rsidRPr="008C4F26">
        <w:rPr>
          <w:rFonts w:asciiTheme="majorHAnsi" w:hAnsiTheme="majorHAnsi"/>
          <w:szCs w:val="22"/>
        </w:rPr>
        <w:t xml:space="preserve"> princíp</w:t>
      </w:r>
      <w:r w:rsidR="00AE6DA0">
        <w:rPr>
          <w:rFonts w:asciiTheme="majorHAnsi" w:hAnsiTheme="majorHAnsi"/>
          <w:szCs w:val="22"/>
        </w:rPr>
        <w:t>ov</w:t>
      </w:r>
      <w:r w:rsidR="008C4F26" w:rsidRPr="008C4F26">
        <w:rPr>
          <w:rFonts w:asciiTheme="majorHAnsi" w:hAnsiTheme="majorHAnsi"/>
          <w:szCs w:val="22"/>
        </w:rPr>
        <w:t xml:space="preserve"> rovnosti </w:t>
      </w:r>
      <w:r w:rsidR="00AE6DA0">
        <w:rPr>
          <w:rFonts w:asciiTheme="majorHAnsi" w:hAnsiTheme="majorHAnsi"/>
          <w:szCs w:val="22"/>
        </w:rPr>
        <w:t xml:space="preserve">medzi </w:t>
      </w:r>
      <w:r w:rsidR="008C4F26" w:rsidRPr="008C4F26">
        <w:rPr>
          <w:rFonts w:asciiTheme="majorHAnsi" w:hAnsiTheme="majorHAnsi"/>
          <w:szCs w:val="22"/>
        </w:rPr>
        <w:t>muž</w:t>
      </w:r>
      <w:r w:rsidR="00AE6DA0">
        <w:rPr>
          <w:rFonts w:asciiTheme="majorHAnsi" w:hAnsiTheme="majorHAnsi"/>
          <w:szCs w:val="22"/>
        </w:rPr>
        <w:t>mi</w:t>
      </w:r>
      <w:r w:rsidR="008C4F26" w:rsidRPr="008C4F26">
        <w:rPr>
          <w:rFonts w:asciiTheme="majorHAnsi" w:hAnsiTheme="majorHAnsi"/>
          <w:szCs w:val="22"/>
        </w:rPr>
        <w:t xml:space="preserve"> a</w:t>
      </w:r>
      <w:r w:rsidR="00A90DCD">
        <w:rPr>
          <w:rFonts w:asciiTheme="majorHAnsi" w:hAnsiTheme="majorHAnsi"/>
          <w:szCs w:val="22"/>
        </w:rPr>
        <w:t> </w:t>
      </w:r>
      <w:r w:rsidR="008C4F26" w:rsidRPr="008C4F26">
        <w:rPr>
          <w:rFonts w:asciiTheme="majorHAnsi" w:hAnsiTheme="majorHAnsi"/>
          <w:szCs w:val="22"/>
        </w:rPr>
        <w:t>ž</w:t>
      </w:r>
      <w:r w:rsidR="00AE6DA0">
        <w:rPr>
          <w:rFonts w:asciiTheme="majorHAnsi" w:hAnsiTheme="majorHAnsi"/>
          <w:szCs w:val="22"/>
        </w:rPr>
        <w:t>enami</w:t>
      </w:r>
      <w:r w:rsidR="00A90DCD">
        <w:rPr>
          <w:rFonts w:asciiTheme="majorHAnsi" w:hAnsiTheme="majorHAnsi"/>
          <w:szCs w:val="22"/>
        </w:rPr>
        <w:t xml:space="preserve"> </w:t>
      </w:r>
      <w:r w:rsidR="00AE6DA0">
        <w:rPr>
          <w:rFonts w:asciiTheme="majorHAnsi" w:hAnsiTheme="majorHAnsi"/>
          <w:szCs w:val="22"/>
        </w:rPr>
        <w:t>a</w:t>
      </w:r>
      <w:r w:rsidR="00A90DCD">
        <w:rPr>
          <w:rFonts w:asciiTheme="majorHAnsi" w:hAnsiTheme="majorHAnsi"/>
          <w:szCs w:val="22"/>
        </w:rPr>
        <w:t> </w:t>
      </w:r>
      <w:r w:rsidR="008C4F26" w:rsidRPr="008C4F26">
        <w:rPr>
          <w:rFonts w:asciiTheme="majorHAnsi" w:hAnsiTheme="majorHAnsi"/>
          <w:szCs w:val="22"/>
        </w:rPr>
        <w:t>nediskriminácie</w:t>
      </w:r>
      <w:r w:rsidR="00A90DCD">
        <w:rPr>
          <w:rFonts w:asciiTheme="majorHAnsi" w:hAnsiTheme="majorHAnsi"/>
          <w:szCs w:val="22"/>
        </w:rPr>
        <w:t xml:space="preserve"> </w:t>
      </w:r>
      <w:r w:rsidR="00AE6DA0">
        <w:rPr>
          <w:rFonts w:asciiTheme="majorHAnsi" w:hAnsiTheme="majorHAnsi"/>
          <w:szCs w:val="22"/>
        </w:rPr>
        <w:t>pre</w:t>
      </w:r>
      <w:r w:rsidR="008C4F26" w:rsidRPr="008C4F26">
        <w:rPr>
          <w:rFonts w:asciiTheme="majorHAnsi" w:hAnsiTheme="majorHAnsi"/>
          <w:szCs w:val="22"/>
        </w:rPr>
        <w:t xml:space="preserve"> všetký</w:t>
      </w:r>
      <w:r w:rsidR="00AE6DA0">
        <w:rPr>
          <w:rFonts w:asciiTheme="majorHAnsi" w:hAnsiTheme="majorHAnsi"/>
          <w:szCs w:val="22"/>
        </w:rPr>
        <w:t>ch</w:t>
      </w:r>
      <w:r w:rsidR="008C4F26" w:rsidRPr="008C4F26">
        <w:rPr>
          <w:rFonts w:asciiTheme="majorHAnsi" w:hAnsiTheme="majorHAnsi"/>
          <w:szCs w:val="22"/>
        </w:rPr>
        <w:t xml:space="preserve"> občan</w:t>
      </w:r>
      <w:r w:rsidR="00AE6DA0">
        <w:rPr>
          <w:rFonts w:asciiTheme="majorHAnsi" w:hAnsiTheme="majorHAnsi"/>
          <w:szCs w:val="22"/>
        </w:rPr>
        <w:t>ov</w:t>
      </w:r>
      <w:r w:rsidR="008C4F26" w:rsidRPr="008C4F26">
        <w:rPr>
          <w:rFonts w:asciiTheme="majorHAnsi" w:hAnsiTheme="majorHAnsi"/>
          <w:szCs w:val="22"/>
        </w:rPr>
        <w:t xml:space="preserve"> SR vrátane marginalizovaných skupín obyvateľstva. Zároveň PRV  bude využívať niekoľko nástrojov, ktoré priamo prispievajú k inklúzii marginalizovaných skupín obyvateľstva, napr.: v</w:t>
      </w:r>
      <w:r w:rsidR="005D2203">
        <w:rPr>
          <w:rFonts w:asciiTheme="majorHAnsi" w:hAnsiTheme="majorHAnsi"/>
          <w:szCs w:val="22"/>
        </w:rPr>
        <w:t xml:space="preserve"> niektorých </w:t>
      </w:r>
      <w:r w:rsidR="008C4F26" w:rsidRPr="008C4F26">
        <w:rPr>
          <w:rFonts w:asciiTheme="majorHAnsi" w:hAnsiTheme="majorHAnsi"/>
          <w:szCs w:val="22"/>
        </w:rPr>
        <w:t>opatreniach bude stanovená povinnosť uplatňovať sociálny aspekt pri VO. Pokiaľ ide o inklúziu MRK, tento aspekt sa bude uplatňovať vo vzťahu k </w:t>
      </w:r>
      <w:r w:rsidR="00AE6DA0">
        <w:rPr>
          <w:rFonts w:asciiTheme="majorHAnsi" w:hAnsiTheme="majorHAnsi"/>
          <w:szCs w:val="22"/>
        </w:rPr>
        <w:t>projektom</w:t>
      </w:r>
      <w:r w:rsidR="008C4F26" w:rsidRPr="008C4F26">
        <w:rPr>
          <w:rFonts w:asciiTheme="majorHAnsi" w:hAnsiTheme="majorHAnsi"/>
          <w:szCs w:val="22"/>
        </w:rPr>
        <w:t xml:space="preserve"> realizovaný</w:t>
      </w:r>
      <w:r w:rsidR="00AE6DA0">
        <w:rPr>
          <w:rFonts w:asciiTheme="majorHAnsi" w:hAnsiTheme="majorHAnsi"/>
          <w:szCs w:val="22"/>
        </w:rPr>
        <w:t>m</w:t>
      </w:r>
      <w:r w:rsidR="008C4F26" w:rsidRPr="008C4F26">
        <w:rPr>
          <w:rFonts w:asciiTheme="majorHAnsi" w:hAnsiTheme="majorHAnsi"/>
          <w:szCs w:val="22"/>
        </w:rPr>
        <w:t xml:space="preserve"> v obciach, ktoré sú identifikované v Atlase rómskych komunít 2013. V rámci CLLD </w:t>
      </w:r>
      <w:r w:rsidR="00AE6DA0" w:rsidRPr="008C4F26">
        <w:rPr>
          <w:rFonts w:asciiTheme="majorHAnsi" w:hAnsiTheme="majorHAnsi"/>
          <w:szCs w:val="22"/>
        </w:rPr>
        <w:t xml:space="preserve">bude </w:t>
      </w:r>
      <w:r w:rsidR="008C4F26" w:rsidRPr="008C4F26">
        <w:rPr>
          <w:rFonts w:asciiTheme="majorHAnsi" w:hAnsiTheme="majorHAnsi"/>
          <w:szCs w:val="22"/>
        </w:rPr>
        <w:t>jedným z</w:t>
      </w:r>
      <w:r w:rsidR="00A90DCD">
        <w:rPr>
          <w:rFonts w:asciiTheme="majorHAnsi" w:hAnsiTheme="majorHAnsi"/>
          <w:szCs w:val="22"/>
        </w:rPr>
        <w:t> </w:t>
      </w:r>
      <w:r w:rsidR="008C4F26" w:rsidRPr="008C4F26">
        <w:rPr>
          <w:rFonts w:asciiTheme="majorHAnsi" w:hAnsiTheme="majorHAnsi"/>
          <w:szCs w:val="22"/>
        </w:rPr>
        <w:t>výberových</w:t>
      </w:r>
      <w:r w:rsidR="00A90DCD">
        <w:rPr>
          <w:rFonts w:asciiTheme="majorHAnsi" w:hAnsiTheme="majorHAnsi"/>
          <w:szCs w:val="22"/>
        </w:rPr>
        <w:t xml:space="preserve"> </w:t>
      </w:r>
      <w:r w:rsidR="008C4F26" w:rsidRPr="008C4F26">
        <w:rPr>
          <w:rFonts w:asciiTheme="majorHAnsi" w:hAnsiTheme="majorHAnsi"/>
          <w:szCs w:val="22"/>
        </w:rPr>
        <w:t>kritérií pre výber</w:t>
      </w:r>
      <w:r w:rsidR="00AE6DA0">
        <w:rPr>
          <w:rFonts w:asciiTheme="majorHAnsi" w:hAnsiTheme="majorHAnsi"/>
          <w:szCs w:val="22"/>
        </w:rPr>
        <w:t xml:space="preserve"> MAS</w:t>
      </w:r>
      <w:r w:rsidR="008C4F26" w:rsidRPr="008C4F26">
        <w:rPr>
          <w:rFonts w:asciiTheme="majorHAnsi" w:hAnsiTheme="majorHAnsi"/>
          <w:szCs w:val="22"/>
        </w:rPr>
        <w:t xml:space="preserve"> aj prínos stratégie rozvoja územia k</w:t>
      </w:r>
      <w:r w:rsidR="00A90DCD">
        <w:rPr>
          <w:rFonts w:asciiTheme="majorHAnsi" w:hAnsiTheme="majorHAnsi"/>
          <w:szCs w:val="22"/>
        </w:rPr>
        <w:t> </w:t>
      </w:r>
      <w:r w:rsidR="008C4F26" w:rsidRPr="008C4F26">
        <w:rPr>
          <w:rFonts w:asciiTheme="majorHAnsi" w:hAnsiTheme="majorHAnsi"/>
          <w:szCs w:val="22"/>
        </w:rPr>
        <w:t>sociálnej</w:t>
      </w:r>
      <w:r w:rsidR="00A90DCD">
        <w:rPr>
          <w:rFonts w:asciiTheme="majorHAnsi" w:hAnsiTheme="majorHAnsi"/>
          <w:szCs w:val="22"/>
        </w:rPr>
        <w:t xml:space="preserve"> </w:t>
      </w:r>
      <w:r w:rsidR="008C4F26" w:rsidRPr="008C4F26">
        <w:rPr>
          <w:rFonts w:asciiTheme="majorHAnsi" w:hAnsiTheme="majorHAnsi"/>
          <w:szCs w:val="22"/>
        </w:rPr>
        <w:t>inklúzii marginalizovaných skupín obyvateľstva.</w:t>
      </w:r>
    </w:p>
    <w:p w:rsidR="005575C1" w:rsidRPr="00A62335" w:rsidRDefault="000D2E63" w:rsidP="00174E83">
      <w:pPr>
        <w:tabs>
          <w:tab w:val="left" w:pos="709"/>
        </w:tabs>
        <w:spacing w:before="0" w:after="240"/>
        <w:rPr>
          <w:sz w:val="24"/>
        </w:rPr>
      </w:pPr>
      <w:r w:rsidRPr="000D7C6E">
        <w:rPr>
          <w:rFonts w:asciiTheme="majorHAnsi" w:hAnsiTheme="majorHAnsi"/>
          <w:bCs/>
          <w:sz w:val="18"/>
          <w:szCs w:val="18"/>
        </w:rPr>
        <w:t xml:space="preserve">Tabuľka </w:t>
      </w:r>
      <w:r w:rsidR="004B1847" w:rsidRPr="000D7C6E">
        <w:rPr>
          <w:rFonts w:asciiTheme="majorHAnsi" w:hAnsiTheme="majorHAnsi"/>
          <w:bCs/>
          <w:noProof/>
          <w:sz w:val="18"/>
          <w:szCs w:val="18"/>
        </w:rPr>
        <w:t>2</w:t>
      </w:r>
      <w:r w:rsidR="004E018F">
        <w:rPr>
          <w:rFonts w:asciiTheme="majorHAnsi" w:hAnsiTheme="majorHAnsi"/>
          <w:bCs/>
          <w:noProof/>
          <w:sz w:val="18"/>
          <w:szCs w:val="18"/>
        </w:rPr>
        <w:t>1</w:t>
      </w:r>
      <w:r w:rsidR="00EC008D" w:rsidRPr="000D7C6E">
        <w:rPr>
          <w:rFonts w:asciiTheme="majorHAnsi" w:hAnsiTheme="majorHAnsi"/>
          <w:bCs/>
          <w:sz w:val="18"/>
          <w:szCs w:val="18"/>
        </w:rPr>
        <w:t xml:space="preserve">: Úloha </w:t>
      </w:r>
      <w:r w:rsidR="00BD5FD5" w:rsidRPr="000D7C6E">
        <w:rPr>
          <w:rFonts w:asciiTheme="majorHAnsi" w:hAnsiTheme="majorHAnsi"/>
          <w:bCs/>
          <w:sz w:val="18"/>
          <w:szCs w:val="18"/>
        </w:rPr>
        <w:t>a</w:t>
      </w:r>
      <w:r w:rsidR="00EC008D" w:rsidRPr="000D7C6E">
        <w:rPr>
          <w:rFonts w:asciiTheme="majorHAnsi" w:hAnsiTheme="majorHAnsi"/>
          <w:bCs/>
          <w:sz w:val="18"/>
          <w:szCs w:val="18"/>
        </w:rPr>
        <w:t xml:space="preserve"> prínos EŠIF na realizáciu integrovaného prístupu </w:t>
      </w:r>
      <w:r w:rsidR="00BD5FD5" w:rsidRPr="000D7C6E">
        <w:rPr>
          <w:rFonts w:asciiTheme="majorHAnsi" w:hAnsiTheme="majorHAnsi"/>
          <w:bCs/>
          <w:sz w:val="18"/>
          <w:szCs w:val="18"/>
        </w:rPr>
        <w:t>k</w:t>
      </w:r>
      <w:r w:rsidR="00EC008D" w:rsidRPr="000D7C6E">
        <w:rPr>
          <w:rFonts w:asciiTheme="majorHAnsi" w:hAnsiTheme="majorHAnsi"/>
          <w:bCs/>
          <w:sz w:val="18"/>
          <w:szCs w:val="18"/>
        </w:rPr>
        <w:t xml:space="preserve"> riešeniu osobitných potrieb geografických oblastí najviac zasiahnutých chudobou </w:t>
      </w:r>
      <w:r w:rsidR="00BD5FD5" w:rsidRPr="000D7C6E">
        <w:rPr>
          <w:rFonts w:asciiTheme="majorHAnsi" w:hAnsiTheme="majorHAnsi"/>
          <w:bCs/>
          <w:sz w:val="18"/>
          <w:szCs w:val="18"/>
        </w:rPr>
        <w:t>a</w:t>
      </w:r>
      <w:r w:rsidR="00EC008D" w:rsidRPr="000D7C6E">
        <w:rPr>
          <w:rFonts w:asciiTheme="majorHAnsi" w:hAnsiTheme="majorHAnsi"/>
          <w:bCs/>
          <w:sz w:val="18"/>
          <w:szCs w:val="18"/>
        </w:rPr>
        <w:t xml:space="preserve">lebo cieľových </w:t>
      </w:r>
      <w:r w:rsidR="00F31099" w:rsidRPr="000D7C6E">
        <w:rPr>
          <w:rFonts w:asciiTheme="majorHAnsi" w:hAnsiTheme="majorHAnsi"/>
          <w:bCs/>
          <w:sz w:val="18"/>
          <w:szCs w:val="18"/>
        </w:rPr>
        <w:t>s</w:t>
      </w:r>
      <w:r w:rsidR="00EC008D" w:rsidRPr="000D7C6E">
        <w:rPr>
          <w:rFonts w:asciiTheme="majorHAnsi" w:hAnsiTheme="majorHAnsi"/>
          <w:bCs/>
          <w:sz w:val="18"/>
          <w:szCs w:val="18"/>
        </w:rPr>
        <w:t xml:space="preserve">kupín najviac ohrozených diskrimináciou </w:t>
      </w:r>
      <w:r w:rsidR="00BD5FD5" w:rsidRPr="000D7C6E">
        <w:rPr>
          <w:rFonts w:asciiTheme="majorHAnsi" w:hAnsiTheme="majorHAnsi"/>
          <w:bCs/>
          <w:sz w:val="18"/>
          <w:szCs w:val="18"/>
        </w:rPr>
        <w:t>a</w:t>
      </w:r>
      <w:r w:rsidR="00EC008D" w:rsidRPr="000D7C6E">
        <w:rPr>
          <w:rFonts w:asciiTheme="majorHAnsi" w:hAnsiTheme="majorHAnsi"/>
          <w:bCs/>
          <w:sz w:val="18"/>
          <w:szCs w:val="18"/>
        </w:rPr>
        <w:t xml:space="preserve">lebo </w:t>
      </w:r>
      <w:r w:rsidR="00BD5FD5" w:rsidRPr="000D7C6E">
        <w:rPr>
          <w:rFonts w:asciiTheme="majorHAnsi" w:hAnsiTheme="majorHAnsi"/>
          <w:bCs/>
          <w:sz w:val="18"/>
          <w:szCs w:val="18"/>
        </w:rPr>
        <w:t>s</w:t>
      </w:r>
      <w:r w:rsidR="00EC008D" w:rsidRPr="000D7C6E">
        <w:rPr>
          <w:rFonts w:asciiTheme="majorHAnsi" w:hAnsiTheme="majorHAnsi"/>
          <w:bCs/>
          <w:sz w:val="18"/>
          <w:szCs w:val="18"/>
        </w:rPr>
        <w:t>ociálnym vylúčením</w:t>
      </w:r>
      <w:r w:rsidR="005575C1" w:rsidRPr="00435A12">
        <w:fldChar w:fldCharType="begin"/>
      </w:r>
      <w:r w:rsidR="005575C1" w:rsidRPr="00435A12">
        <w:instrText xml:space="preserve"> LINK Excel.Sheet.12 "Zošit1" "Hárok1!R1C1:R16C5" \a \f 5 \h  \* MERGEFORMAT </w:instrText>
      </w:r>
      <w:r w:rsidR="005575C1" w:rsidRPr="00435A12">
        <w:fldChar w:fldCharType="separate"/>
      </w:r>
    </w:p>
    <w:tbl>
      <w:tblPr>
        <w:tblStyle w:val="Mriekatabuky"/>
        <w:tblW w:w="9259" w:type="dxa"/>
        <w:tblLook w:val="04A0" w:firstRow="1" w:lastRow="0" w:firstColumn="1" w:lastColumn="0" w:noHBand="0" w:noVBand="1"/>
      </w:tblPr>
      <w:tblGrid>
        <w:gridCol w:w="1809"/>
        <w:gridCol w:w="1985"/>
        <w:gridCol w:w="992"/>
        <w:gridCol w:w="3544"/>
        <w:gridCol w:w="929"/>
      </w:tblGrid>
      <w:tr w:rsidR="005575C1" w:rsidRPr="00435A12" w:rsidTr="00451105">
        <w:trPr>
          <w:trHeight w:val="1011"/>
          <w:tblHeader/>
        </w:trPr>
        <w:tc>
          <w:tcPr>
            <w:tcW w:w="1809" w:type="dxa"/>
            <w:shd w:val="clear" w:color="auto" w:fill="D9D9D9" w:themeFill="background1" w:themeFillShade="D9"/>
            <w:vAlign w:val="center"/>
            <w:hideMark/>
          </w:tcPr>
          <w:p w:rsidR="005575C1" w:rsidRPr="000D7C6E" w:rsidRDefault="005575C1" w:rsidP="00451105">
            <w:pPr>
              <w:jc w:val="center"/>
              <w:rPr>
                <w:rFonts w:asciiTheme="majorHAnsi" w:hAnsiTheme="majorHAnsi"/>
                <w:bCs/>
                <w:sz w:val="18"/>
                <w:szCs w:val="18"/>
              </w:rPr>
            </w:pPr>
            <w:r w:rsidRPr="000D7C6E">
              <w:rPr>
                <w:rFonts w:asciiTheme="majorHAnsi" w:hAnsiTheme="majorHAnsi"/>
                <w:bCs/>
                <w:sz w:val="18"/>
                <w:szCs w:val="18"/>
              </w:rPr>
              <w:t>Špecifická cieľová skupina alebo geografická oblasť</w:t>
            </w:r>
          </w:p>
        </w:tc>
        <w:tc>
          <w:tcPr>
            <w:tcW w:w="1985" w:type="dxa"/>
            <w:shd w:val="clear" w:color="auto" w:fill="D9D9D9" w:themeFill="background1" w:themeFillShade="D9"/>
            <w:vAlign w:val="center"/>
            <w:hideMark/>
          </w:tcPr>
          <w:p w:rsidR="005575C1" w:rsidRPr="000D7C6E" w:rsidRDefault="005575C1" w:rsidP="00451105">
            <w:pPr>
              <w:jc w:val="center"/>
              <w:rPr>
                <w:rFonts w:asciiTheme="majorHAnsi" w:hAnsiTheme="majorHAnsi"/>
                <w:bCs/>
                <w:sz w:val="18"/>
                <w:szCs w:val="18"/>
              </w:rPr>
            </w:pPr>
            <w:r w:rsidRPr="000D7C6E">
              <w:rPr>
                <w:rFonts w:asciiTheme="majorHAnsi" w:hAnsiTheme="majorHAnsi"/>
                <w:bCs/>
                <w:sz w:val="18"/>
                <w:szCs w:val="18"/>
              </w:rPr>
              <w:t>Stručný opis potrieb</w:t>
            </w:r>
          </w:p>
        </w:tc>
        <w:tc>
          <w:tcPr>
            <w:tcW w:w="992" w:type="dxa"/>
            <w:shd w:val="clear" w:color="auto" w:fill="D9D9D9" w:themeFill="background1" w:themeFillShade="D9"/>
            <w:vAlign w:val="center"/>
            <w:hideMark/>
          </w:tcPr>
          <w:p w:rsidR="005575C1" w:rsidRPr="000D7C6E" w:rsidRDefault="005575C1" w:rsidP="00451105">
            <w:pPr>
              <w:jc w:val="center"/>
              <w:rPr>
                <w:rFonts w:asciiTheme="majorHAnsi" w:hAnsiTheme="majorHAnsi"/>
                <w:bCs/>
                <w:sz w:val="18"/>
                <w:szCs w:val="18"/>
              </w:rPr>
            </w:pPr>
            <w:r w:rsidRPr="000D7C6E">
              <w:rPr>
                <w:rFonts w:asciiTheme="majorHAnsi" w:hAnsiTheme="majorHAnsi"/>
                <w:bCs/>
                <w:sz w:val="18"/>
                <w:szCs w:val="18"/>
              </w:rPr>
              <w:t>EŠIF, ktoré budú použité</w:t>
            </w:r>
          </w:p>
        </w:tc>
        <w:tc>
          <w:tcPr>
            <w:tcW w:w="3544" w:type="dxa"/>
            <w:shd w:val="clear" w:color="auto" w:fill="D9D9D9" w:themeFill="background1" w:themeFillShade="D9"/>
            <w:vAlign w:val="center"/>
            <w:hideMark/>
          </w:tcPr>
          <w:p w:rsidR="005575C1" w:rsidRPr="000D7C6E" w:rsidRDefault="005575C1" w:rsidP="00451105">
            <w:pPr>
              <w:jc w:val="center"/>
              <w:rPr>
                <w:rFonts w:asciiTheme="majorHAnsi" w:hAnsiTheme="majorHAnsi"/>
                <w:bCs/>
                <w:sz w:val="18"/>
                <w:szCs w:val="18"/>
              </w:rPr>
            </w:pPr>
            <w:r w:rsidRPr="000D7C6E">
              <w:rPr>
                <w:rFonts w:asciiTheme="majorHAnsi" w:hAnsiTheme="majorHAnsi"/>
                <w:bCs/>
                <w:sz w:val="18"/>
                <w:szCs w:val="18"/>
              </w:rPr>
              <w:t>Hlavné typy plánovaných aktivít, ktoré sú súčasťou integrovaného prístupu</w:t>
            </w:r>
          </w:p>
        </w:tc>
        <w:tc>
          <w:tcPr>
            <w:tcW w:w="929" w:type="dxa"/>
            <w:shd w:val="clear" w:color="auto" w:fill="D9D9D9" w:themeFill="background1" w:themeFillShade="D9"/>
            <w:vAlign w:val="center"/>
            <w:hideMark/>
          </w:tcPr>
          <w:p w:rsidR="005575C1" w:rsidRPr="000D7C6E" w:rsidRDefault="005575C1" w:rsidP="00451105">
            <w:pPr>
              <w:jc w:val="center"/>
              <w:rPr>
                <w:rFonts w:asciiTheme="majorHAnsi" w:hAnsiTheme="majorHAnsi"/>
                <w:bCs/>
                <w:sz w:val="18"/>
                <w:szCs w:val="18"/>
              </w:rPr>
            </w:pPr>
            <w:r w:rsidRPr="000D7C6E">
              <w:rPr>
                <w:rFonts w:asciiTheme="majorHAnsi" w:hAnsiTheme="majorHAnsi"/>
                <w:bCs/>
                <w:sz w:val="18"/>
                <w:szCs w:val="18"/>
              </w:rPr>
              <w:t>Program</w:t>
            </w:r>
          </w:p>
        </w:tc>
      </w:tr>
      <w:tr w:rsidR="005575C1" w:rsidRPr="00435A12" w:rsidTr="00451105">
        <w:trPr>
          <w:trHeight w:val="780"/>
        </w:trPr>
        <w:tc>
          <w:tcPr>
            <w:tcW w:w="1809" w:type="dxa"/>
            <w:vMerge w:val="restart"/>
            <w:vAlign w:val="center"/>
            <w:hideMark/>
          </w:tcPr>
          <w:p w:rsidR="005575C1" w:rsidRPr="00435A12" w:rsidRDefault="005575C1" w:rsidP="00A704DC">
            <w:pPr>
              <w:jc w:val="center"/>
              <w:rPr>
                <w:rFonts w:asciiTheme="majorHAnsi" w:hAnsiTheme="majorHAnsi"/>
                <w:sz w:val="20"/>
                <w:szCs w:val="20"/>
              </w:rPr>
            </w:pPr>
            <w:r w:rsidRPr="00435A12">
              <w:rPr>
                <w:rFonts w:asciiTheme="majorHAnsi" w:hAnsiTheme="majorHAnsi"/>
                <w:sz w:val="20"/>
                <w:szCs w:val="20"/>
              </w:rPr>
              <w:t xml:space="preserve">V súvislosti </w:t>
            </w:r>
            <w:r w:rsidR="00F9081C" w:rsidRPr="00435A12">
              <w:rPr>
                <w:rFonts w:asciiTheme="majorHAnsi" w:hAnsiTheme="majorHAnsi"/>
                <w:sz w:val="20"/>
                <w:szCs w:val="20"/>
              </w:rPr>
              <w:br/>
            </w:r>
            <w:r w:rsidRPr="00435A12">
              <w:rPr>
                <w:rFonts w:asciiTheme="majorHAnsi" w:hAnsiTheme="majorHAnsi"/>
                <w:sz w:val="20"/>
                <w:szCs w:val="20"/>
              </w:rPr>
              <w:t>s inklúziou</w:t>
            </w:r>
            <w:r w:rsidR="00A704DC" w:rsidRPr="00435A12">
              <w:rPr>
                <w:rFonts w:asciiTheme="majorHAnsi" w:hAnsiTheme="majorHAnsi"/>
                <w:sz w:val="20"/>
                <w:szCs w:val="20"/>
              </w:rPr>
              <w:t xml:space="preserve"> </w:t>
            </w:r>
            <w:r w:rsidRPr="00435A12">
              <w:rPr>
                <w:rFonts w:asciiTheme="majorHAnsi" w:hAnsiTheme="majorHAnsi"/>
                <w:sz w:val="20"/>
                <w:szCs w:val="20"/>
              </w:rPr>
              <w:t xml:space="preserve">MRK, geografické oblasti budú identifikované na úrovni územných samospráv. </w:t>
            </w:r>
            <w:r w:rsidRPr="00435A12">
              <w:rPr>
                <w:rFonts w:asciiTheme="majorHAnsi" w:hAnsiTheme="majorHAnsi"/>
                <w:sz w:val="20"/>
                <w:szCs w:val="20"/>
              </w:rPr>
              <w:br/>
            </w:r>
            <w:r w:rsidRPr="00435A12">
              <w:rPr>
                <w:rFonts w:asciiTheme="majorHAnsi" w:hAnsiTheme="majorHAnsi"/>
                <w:sz w:val="20"/>
                <w:szCs w:val="20"/>
              </w:rPr>
              <w:br/>
              <w:t>Oprávnenými územiami budú územné samosprávy zaradené v Atlase rómskych komunít vykazujúce určený stupeň segregačného indexu.</w:t>
            </w:r>
          </w:p>
        </w:tc>
        <w:tc>
          <w:tcPr>
            <w:tcW w:w="1985" w:type="dxa"/>
            <w:vMerge w:val="restart"/>
            <w:vAlign w:val="center"/>
            <w:hideMark/>
          </w:tcPr>
          <w:p w:rsidR="005575C1" w:rsidRPr="00435A12" w:rsidRDefault="005575C1" w:rsidP="00A704DC">
            <w:pPr>
              <w:jc w:val="center"/>
              <w:rPr>
                <w:rFonts w:asciiTheme="majorHAnsi" w:hAnsiTheme="majorHAnsi"/>
                <w:sz w:val="20"/>
                <w:szCs w:val="20"/>
              </w:rPr>
            </w:pPr>
            <w:r w:rsidRPr="00435A12">
              <w:rPr>
                <w:rFonts w:asciiTheme="majorHAnsi" w:hAnsiTheme="majorHAnsi"/>
                <w:sz w:val="20"/>
                <w:szCs w:val="20"/>
              </w:rPr>
              <w:t xml:space="preserve">Obyvatelia </w:t>
            </w:r>
            <w:r w:rsidR="00A704DC" w:rsidRPr="00435A12">
              <w:rPr>
                <w:rFonts w:asciiTheme="majorHAnsi" w:hAnsiTheme="majorHAnsi"/>
                <w:sz w:val="20"/>
                <w:szCs w:val="20"/>
              </w:rPr>
              <w:t>MRK</w:t>
            </w:r>
            <w:r w:rsidRPr="00435A12">
              <w:rPr>
                <w:rFonts w:asciiTheme="majorHAnsi" w:hAnsiTheme="majorHAnsi"/>
                <w:sz w:val="20"/>
                <w:szCs w:val="20"/>
              </w:rPr>
              <w:t xml:space="preserve"> postihnutí chudobou a vysokou mierou sociálneho vylúčenia z dôvodu nerovného prístupu k bývaniu, vzdelávaniu, zamestnanosti </w:t>
            </w:r>
            <w:r w:rsidR="00F9081C" w:rsidRPr="00435A12">
              <w:rPr>
                <w:rFonts w:asciiTheme="majorHAnsi" w:hAnsiTheme="majorHAnsi"/>
                <w:sz w:val="20"/>
                <w:szCs w:val="20"/>
              </w:rPr>
              <w:br/>
            </w:r>
            <w:r w:rsidRPr="00435A12">
              <w:rPr>
                <w:rFonts w:asciiTheme="majorHAnsi" w:hAnsiTheme="majorHAnsi"/>
                <w:sz w:val="20"/>
                <w:szCs w:val="20"/>
              </w:rPr>
              <w:t>a</w:t>
            </w:r>
            <w:r w:rsidR="00F9081C" w:rsidRPr="00435A12">
              <w:rPr>
                <w:rFonts w:asciiTheme="majorHAnsi" w:hAnsiTheme="majorHAnsi"/>
                <w:sz w:val="20"/>
                <w:szCs w:val="20"/>
              </w:rPr>
              <w:t> </w:t>
            </w:r>
            <w:r w:rsidRPr="00435A12">
              <w:rPr>
                <w:rFonts w:asciiTheme="majorHAnsi" w:hAnsiTheme="majorHAnsi"/>
                <w:sz w:val="20"/>
                <w:szCs w:val="20"/>
              </w:rPr>
              <w:t>zdravotnej starostlivosti si vyžadujú integrovaný prístup.</w:t>
            </w:r>
          </w:p>
        </w:tc>
        <w:tc>
          <w:tcPr>
            <w:tcW w:w="992" w:type="dxa"/>
            <w:vMerge w:val="restart"/>
            <w:vAlign w:val="center"/>
            <w:hideMark/>
          </w:tcPr>
          <w:p w:rsidR="005575C1" w:rsidRPr="00435A12" w:rsidRDefault="005575C1" w:rsidP="00451105">
            <w:pPr>
              <w:jc w:val="center"/>
              <w:rPr>
                <w:rFonts w:asciiTheme="majorHAnsi" w:hAnsiTheme="majorHAnsi"/>
                <w:i/>
                <w:iCs/>
                <w:sz w:val="20"/>
                <w:szCs w:val="20"/>
              </w:rPr>
            </w:pPr>
            <w:r w:rsidRPr="00435A12">
              <w:rPr>
                <w:rFonts w:asciiTheme="majorHAnsi" w:hAnsiTheme="majorHAnsi"/>
                <w:i/>
                <w:iCs/>
                <w:sz w:val="20"/>
                <w:szCs w:val="20"/>
                <w:lang w:val="en-GB"/>
              </w:rPr>
              <w:t>ESF</w:t>
            </w:r>
          </w:p>
        </w:tc>
        <w:tc>
          <w:tcPr>
            <w:tcW w:w="3544" w:type="dxa"/>
            <w:hideMark/>
          </w:tcPr>
          <w:p w:rsidR="005575C1" w:rsidRPr="00435A12" w:rsidRDefault="005575C1" w:rsidP="009B7C77">
            <w:pPr>
              <w:pStyle w:val="Odsekzoznamu"/>
              <w:numPr>
                <w:ilvl w:val="0"/>
                <w:numId w:val="55"/>
              </w:numPr>
              <w:ind w:left="176"/>
              <w:rPr>
                <w:rFonts w:asciiTheme="majorHAnsi" w:hAnsiTheme="majorHAnsi"/>
                <w:sz w:val="20"/>
                <w:szCs w:val="20"/>
                <w:lang w:eastAsia="en-GB"/>
              </w:rPr>
            </w:pPr>
            <w:r w:rsidRPr="00435A12">
              <w:rPr>
                <w:rFonts w:asciiTheme="majorHAnsi" w:hAnsiTheme="majorHAnsi"/>
                <w:sz w:val="20"/>
                <w:szCs w:val="20"/>
              </w:rPr>
              <w:t>systematická podpora detí z prostredia MRK na predprimárnom vzdelávaní</w:t>
            </w:r>
          </w:p>
        </w:tc>
        <w:tc>
          <w:tcPr>
            <w:tcW w:w="929" w:type="dxa"/>
            <w:vMerge w:val="restart"/>
            <w:vAlign w:val="center"/>
            <w:hideMark/>
          </w:tcPr>
          <w:p w:rsidR="005575C1" w:rsidRPr="00435A12" w:rsidRDefault="005575C1" w:rsidP="00451105">
            <w:pPr>
              <w:jc w:val="center"/>
              <w:rPr>
                <w:rFonts w:asciiTheme="majorHAnsi" w:hAnsiTheme="majorHAnsi"/>
                <w:sz w:val="20"/>
                <w:szCs w:val="20"/>
              </w:rPr>
            </w:pPr>
            <w:r w:rsidRPr="00435A12">
              <w:rPr>
                <w:rFonts w:asciiTheme="majorHAnsi" w:hAnsiTheme="majorHAnsi"/>
                <w:sz w:val="20"/>
                <w:szCs w:val="20"/>
              </w:rPr>
              <w:t>OP ĽZ</w:t>
            </w:r>
          </w:p>
        </w:tc>
      </w:tr>
      <w:tr w:rsidR="005575C1" w:rsidRPr="00435A12" w:rsidTr="005575C1">
        <w:trPr>
          <w:trHeight w:val="1290"/>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rPr>
                <w:rFonts w:asciiTheme="majorHAnsi" w:hAnsiTheme="majorHAnsi"/>
                <w:sz w:val="20"/>
                <w:szCs w:val="20"/>
                <w:lang w:eastAsia="en-GB"/>
              </w:rPr>
            </w:pPr>
            <w:r w:rsidRPr="00435A12">
              <w:rPr>
                <w:rFonts w:asciiTheme="majorHAnsi" w:hAnsiTheme="majorHAnsi"/>
                <w:sz w:val="20"/>
                <w:szCs w:val="20"/>
              </w:rPr>
              <w:t>poradenstvo pre prechod medzi úrovňami vzdelania (od materských škôl na základnú, zo základnej na sekundárnu) vrátane zapojenie rodičov</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1035"/>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rPr>
                <w:rFonts w:asciiTheme="majorHAnsi" w:hAnsiTheme="majorHAnsi"/>
                <w:sz w:val="20"/>
                <w:szCs w:val="20"/>
                <w:lang w:eastAsia="en-GB"/>
              </w:rPr>
            </w:pPr>
            <w:r w:rsidRPr="00435A12">
              <w:rPr>
                <w:rFonts w:asciiTheme="majorHAnsi" w:hAnsiTheme="majorHAnsi"/>
                <w:sz w:val="20"/>
                <w:szCs w:val="20"/>
              </w:rPr>
              <w:t>podpora programov druhošancového vzdelávania, s dôrazom na také, ktoré sú priamo napojené na trh práce</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2036"/>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rPr>
                <w:rFonts w:asciiTheme="majorHAnsi" w:hAnsiTheme="majorHAnsi"/>
                <w:sz w:val="20"/>
                <w:szCs w:val="20"/>
                <w:lang w:eastAsia="en-GB"/>
              </w:rPr>
            </w:pPr>
            <w:r w:rsidRPr="00435A12">
              <w:rPr>
                <w:rFonts w:asciiTheme="majorHAnsi" w:hAnsiTheme="majorHAnsi"/>
                <w:sz w:val="20"/>
                <w:szCs w:val="20"/>
              </w:rPr>
              <w:t>podpora systematického poskytovania sociálnych a asistenčných služieb zameraných na zvýšenie zamestnateľnosti ľudí žijúcich v</w:t>
            </w:r>
            <w:r w:rsidR="00F9081C" w:rsidRPr="00435A12">
              <w:rPr>
                <w:rFonts w:asciiTheme="majorHAnsi" w:hAnsiTheme="majorHAnsi"/>
                <w:sz w:val="20"/>
                <w:szCs w:val="20"/>
              </w:rPr>
              <w:t> </w:t>
            </w:r>
            <w:r w:rsidRPr="00435A12">
              <w:rPr>
                <w:rFonts w:asciiTheme="majorHAnsi" w:hAnsiTheme="majorHAnsi"/>
                <w:sz w:val="20"/>
                <w:szCs w:val="20"/>
              </w:rPr>
              <w:t>prostredí MRK (t. j. TSP, komunitní pracovníci/pracovníčky v oblasti sociálnych služieb)</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1416"/>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rPr>
                <w:rFonts w:asciiTheme="majorHAnsi" w:hAnsiTheme="majorHAnsi"/>
                <w:sz w:val="20"/>
                <w:szCs w:val="20"/>
                <w:lang w:eastAsia="en-GB"/>
              </w:rPr>
            </w:pPr>
            <w:r w:rsidRPr="00435A12">
              <w:rPr>
                <w:rFonts w:asciiTheme="majorHAnsi" w:hAnsiTheme="majorHAnsi"/>
                <w:sz w:val="20"/>
                <w:szCs w:val="20"/>
              </w:rPr>
              <w:t xml:space="preserve">podpora inovatívnych programov zameraných na zvyšovanie lokálnej zamestnanosti prostredníctvom podpory </w:t>
            </w:r>
            <w:r w:rsidR="005A31D3" w:rsidRPr="00435A12">
              <w:rPr>
                <w:rFonts w:asciiTheme="majorHAnsi" w:hAnsiTheme="majorHAnsi"/>
                <w:sz w:val="20"/>
                <w:szCs w:val="20"/>
              </w:rPr>
              <w:t>subjektov soc</w:t>
            </w:r>
            <w:r w:rsidR="002C32D0" w:rsidRPr="00435A12">
              <w:rPr>
                <w:rFonts w:asciiTheme="majorHAnsi" w:hAnsiTheme="majorHAnsi"/>
                <w:sz w:val="20"/>
                <w:szCs w:val="20"/>
              </w:rPr>
              <w:t>i</w:t>
            </w:r>
            <w:r w:rsidR="005A31D3" w:rsidRPr="00435A12">
              <w:rPr>
                <w:rFonts w:asciiTheme="majorHAnsi" w:hAnsiTheme="majorHAnsi"/>
                <w:sz w:val="20"/>
                <w:szCs w:val="20"/>
              </w:rPr>
              <w:t>álnej ekonomiky</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765"/>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rPr>
                <w:rFonts w:asciiTheme="majorHAnsi" w:hAnsiTheme="majorHAnsi"/>
                <w:sz w:val="20"/>
                <w:szCs w:val="20"/>
                <w:lang w:eastAsia="en-GB"/>
              </w:rPr>
            </w:pPr>
            <w:r w:rsidRPr="00435A12">
              <w:rPr>
                <w:rFonts w:asciiTheme="majorHAnsi" w:hAnsiTheme="majorHAnsi"/>
                <w:sz w:val="20"/>
                <w:szCs w:val="20"/>
              </w:rPr>
              <w:t>podpora existencie a fungovania komunitných centier v obciach s prítomnosťou MRK</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1788"/>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rPr>
                <w:rFonts w:asciiTheme="majorHAnsi" w:hAnsiTheme="majorHAnsi"/>
                <w:sz w:val="20"/>
                <w:szCs w:val="20"/>
                <w:lang w:eastAsia="en-GB"/>
              </w:rPr>
            </w:pPr>
            <w:r w:rsidRPr="00435A12">
              <w:rPr>
                <w:rFonts w:asciiTheme="majorHAnsi" w:hAnsiTheme="majorHAnsi"/>
                <w:sz w:val="20"/>
                <w:szCs w:val="20"/>
              </w:rPr>
              <w:t>podpora systematického poskytovania služieb a asistencie prostredníctvom programu komunitných pracovníkov v oblasti zdravotnej výchovy v obciach s prítomnosťou separovaných a segregovaných MRK</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2743"/>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435A12">
              <w:rPr>
                <w:rFonts w:asciiTheme="majorHAnsi" w:hAnsiTheme="majorHAnsi"/>
                <w:sz w:val="20"/>
                <w:szCs w:val="20"/>
              </w:rPr>
              <w:t>podpora programov zameraných na dosiahnutie vyššieho hygienického štandardu marginalizovaných rómskych osídlení a systematické znižovanie počtu nelegálnych obydlí charakteristických extrémne nízkou mierou hygienických štandardov aj prostredníctvom poskytovania technickej asistencie obciam s prítomnosťou MRK zameranej na vysporiadanie pozemkov</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780"/>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3E583E">
              <w:rPr>
                <w:rFonts w:asciiTheme="majorHAnsi" w:hAnsiTheme="majorHAnsi"/>
                <w:sz w:val="20"/>
                <w:szCs w:val="20"/>
              </w:rPr>
              <w:t>program asistencie obciam s prítomnosťou MRK zameraný na zvýšenie absorpcie EŠIF</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1124"/>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val="restart"/>
            <w:hideMark/>
          </w:tcPr>
          <w:p w:rsidR="005575C1" w:rsidRPr="00435A12" w:rsidRDefault="005575C1" w:rsidP="005575C1">
            <w:pPr>
              <w:rPr>
                <w:rFonts w:asciiTheme="majorHAnsi" w:hAnsiTheme="majorHAnsi"/>
                <w:i/>
                <w:iCs/>
                <w:sz w:val="20"/>
                <w:szCs w:val="20"/>
              </w:rPr>
            </w:pPr>
            <w:r w:rsidRPr="00435A12">
              <w:rPr>
                <w:rFonts w:asciiTheme="majorHAnsi" w:hAnsiTheme="majorHAnsi"/>
                <w:i/>
                <w:iCs/>
                <w:sz w:val="20"/>
                <w:szCs w:val="20"/>
                <w:lang w:val="en-GB"/>
              </w:rPr>
              <w:t>EFRR</w:t>
            </w: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435A12">
              <w:rPr>
                <w:rFonts w:asciiTheme="majorHAnsi" w:hAnsiTheme="majorHAnsi"/>
                <w:sz w:val="20"/>
                <w:szCs w:val="20"/>
              </w:rPr>
              <w:t>podpora programov prestupného bývania v rámci sociálnej mobility a</w:t>
            </w:r>
            <w:r w:rsidR="00F9081C" w:rsidRPr="00435A12">
              <w:rPr>
                <w:rFonts w:asciiTheme="majorHAnsi" w:hAnsiTheme="majorHAnsi"/>
                <w:sz w:val="20"/>
                <w:szCs w:val="20"/>
              </w:rPr>
              <w:t> </w:t>
            </w:r>
            <w:r w:rsidRPr="00435A12">
              <w:rPr>
                <w:rFonts w:asciiTheme="majorHAnsi" w:hAnsiTheme="majorHAnsi"/>
                <w:sz w:val="20"/>
                <w:szCs w:val="20"/>
              </w:rPr>
              <w:t>integrácie obyvateľov MRK (výstavba a  rekonštrukcia obydlí)</w:t>
            </w:r>
          </w:p>
        </w:tc>
        <w:tc>
          <w:tcPr>
            <w:tcW w:w="929" w:type="dxa"/>
            <w:vMerge w:val="restart"/>
            <w:hideMark/>
          </w:tcPr>
          <w:p w:rsidR="005575C1" w:rsidRPr="00435A12" w:rsidRDefault="005575C1" w:rsidP="005575C1">
            <w:pPr>
              <w:rPr>
                <w:rFonts w:asciiTheme="majorHAnsi" w:hAnsiTheme="majorHAnsi"/>
                <w:sz w:val="20"/>
                <w:szCs w:val="20"/>
              </w:rPr>
            </w:pPr>
            <w:r w:rsidRPr="00435A12">
              <w:rPr>
                <w:rFonts w:asciiTheme="majorHAnsi" w:hAnsiTheme="majorHAnsi"/>
                <w:sz w:val="20"/>
                <w:szCs w:val="20"/>
              </w:rPr>
              <w:t>OP ĽZ</w:t>
            </w:r>
          </w:p>
        </w:tc>
      </w:tr>
      <w:tr w:rsidR="005575C1" w:rsidRPr="00435A12" w:rsidTr="005575C1">
        <w:trPr>
          <w:trHeight w:val="1383"/>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435A12">
              <w:rPr>
                <w:rFonts w:asciiTheme="majorHAnsi" w:hAnsiTheme="majorHAnsi"/>
                <w:sz w:val="20"/>
                <w:szCs w:val="20"/>
              </w:rPr>
              <w:t>podpora prístupu k</w:t>
            </w:r>
            <w:r w:rsidR="005A31D3" w:rsidRPr="00435A12">
              <w:rPr>
                <w:rFonts w:asciiTheme="majorHAnsi" w:hAnsiTheme="majorHAnsi"/>
                <w:sz w:val="20"/>
                <w:szCs w:val="20"/>
              </w:rPr>
              <w:t> </w:t>
            </w:r>
            <w:r w:rsidRPr="00435A12">
              <w:rPr>
                <w:rFonts w:asciiTheme="majorHAnsi" w:hAnsiTheme="majorHAnsi"/>
                <w:sz w:val="20"/>
                <w:szCs w:val="20"/>
              </w:rPr>
              <w:t>pitnej</w:t>
            </w:r>
            <w:r w:rsidR="005A31D3" w:rsidRPr="00435A12">
              <w:rPr>
                <w:rFonts w:asciiTheme="majorHAnsi" w:hAnsiTheme="majorHAnsi"/>
                <w:sz w:val="20"/>
                <w:szCs w:val="20"/>
              </w:rPr>
              <w:t xml:space="preserve"> a úžitkovej</w:t>
            </w:r>
            <w:r w:rsidRPr="00435A12">
              <w:rPr>
                <w:rFonts w:asciiTheme="majorHAnsi" w:hAnsiTheme="majorHAnsi"/>
                <w:sz w:val="20"/>
                <w:szCs w:val="20"/>
              </w:rPr>
              <w:t xml:space="preserve"> vode v</w:t>
            </w:r>
            <w:r w:rsidR="00884A00" w:rsidRPr="00435A12">
              <w:rPr>
                <w:rFonts w:asciiTheme="majorHAnsi" w:hAnsiTheme="majorHAnsi"/>
                <w:sz w:val="20"/>
                <w:szCs w:val="20"/>
              </w:rPr>
              <w:t> </w:t>
            </w:r>
            <w:r w:rsidRPr="00435A12">
              <w:rPr>
                <w:rFonts w:asciiTheme="majorHAnsi" w:hAnsiTheme="majorHAnsi"/>
                <w:sz w:val="20"/>
                <w:szCs w:val="20"/>
              </w:rPr>
              <w:t>prostredí separovaných a</w:t>
            </w:r>
            <w:r w:rsidR="005A31D3" w:rsidRPr="00435A12">
              <w:rPr>
                <w:rFonts w:asciiTheme="majorHAnsi" w:hAnsiTheme="majorHAnsi"/>
                <w:sz w:val="20"/>
                <w:szCs w:val="20"/>
              </w:rPr>
              <w:t> </w:t>
            </w:r>
            <w:r w:rsidRPr="00435A12">
              <w:rPr>
                <w:rFonts w:asciiTheme="majorHAnsi" w:hAnsiTheme="majorHAnsi"/>
                <w:sz w:val="20"/>
                <w:szCs w:val="20"/>
              </w:rPr>
              <w:t>segregovaných</w:t>
            </w:r>
            <w:r w:rsidR="005A31D3" w:rsidRPr="00435A12">
              <w:rPr>
                <w:rFonts w:asciiTheme="majorHAnsi" w:hAnsiTheme="majorHAnsi"/>
                <w:sz w:val="20"/>
                <w:szCs w:val="20"/>
              </w:rPr>
              <w:t xml:space="preserve"> </w:t>
            </w:r>
            <w:r w:rsidRPr="00435A12">
              <w:rPr>
                <w:rFonts w:asciiTheme="majorHAnsi" w:hAnsiTheme="majorHAnsi"/>
                <w:sz w:val="20"/>
                <w:szCs w:val="20"/>
              </w:rPr>
              <w:t>MRK s dôrazom na nízkonákladové opatrenia ako napr. vŕtanie a kopanie studní</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780"/>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435A12">
              <w:rPr>
                <w:rFonts w:asciiTheme="majorHAnsi" w:hAnsiTheme="majorHAnsi"/>
                <w:sz w:val="20"/>
                <w:szCs w:val="20"/>
              </w:rPr>
              <w:t>podpora výstavby, rekonštrukcie a modernizácie predškolských zariadení</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780"/>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435A12">
              <w:rPr>
                <w:rFonts w:asciiTheme="majorHAnsi" w:hAnsiTheme="majorHAnsi"/>
                <w:sz w:val="20"/>
                <w:szCs w:val="20"/>
              </w:rPr>
              <w:t>podpora, výstavby, rekonštrukcie, modernizácie komunitných centier</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525"/>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435A12">
              <w:rPr>
                <w:rFonts w:asciiTheme="majorHAnsi" w:hAnsiTheme="majorHAnsi"/>
                <w:sz w:val="20"/>
                <w:szCs w:val="20"/>
              </w:rPr>
              <w:t>podpora mikrofinančných nástrojov</w:t>
            </w:r>
          </w:p>
        </w:tc>
        <w:tc>
          <w:tcPr>
            <w:tcW w:w="929" w:type="dxa"/>
            <w:vMerge/>
            <w:hideMark/>
          </w:tcPr>
          <w:p w:rsidR="005575C1" w:rsidRPr="00435A12" w:rsidRDefault="005575C1">
            <w:pPr>
              <w:rPr>
                <w:rFonts w:asciiTheme="majorHAnsi" w:hAnsiTheme="majorHAnsi"/>
                <w:sz w:val="20"/>
                <w:szCs w:val="20"/>
              </w:rPr>
            </w:pPr>
          </w:p>
        </w:tc>
      </w:tr>
      <w:tr w:rsidR="005575C1" w:rsidRPr="00435A12" w:rsidTr="005575C1">
        <w:trPr>
          <w:trHeight w:val="1035"/>
        </w:trPr>
        <w:tc>
          <w:tcPr>
            <w:tcW w:w="1809" w:type="dxa"/>
            <w:vMerge/>
            <w:hideMark/>
          </w:tcPr>
          <w:p w:rsidR="005575C1" w:rsidRPr="00435A12" w:rsidRDefault="005575C1">
            <w:pPr>
              <w:rPr>
                <w:rFonts w:asciiTheme="majorHAnsi" w:hAnsiTheme="majorHAnsi"/>
                <w:sz w:val="20"/>
                <w:szCs w:val="20"/>
              </w:rPr>
            </w:pPr>
          </w:p>
        </w:tc>
        <w:tc>
          <w:tcPr>
            <w:tcW w:w="1985" w:type="dxa"/>
            <w:vMerge/>
            <w:hideMark/>
          </w:tcPr>
          <w:p w:rsidR="005575C1" w:rsidRPr="00435A12" w:rsidRDefault="005575C1">
            <w:pPr>
              <w:rPr>
                <w:rFonts w:asciiTheme="majorHAnsi" w:hAnsiTheme="majorHAnsi"/>
                <w:sz w:val="20"/>
                <w:szCs w:val="20"/>
              </w:rPr>
            </w:pPr>
          </w:p>
        </w:tc>
        <w:tc>
          <w:tcPr>
            <w:tcW w:w="992" w:type="dxa"/>
            <w:vMerge/>
            <w:hideMark/>
          </w:tcPr>
          <w:p w:rsidR="005575C1" w:rsidRPr="00435A12" w:rsidRDefault="005575C1">
            <w:pPr>
              <w:rPr>
                <w:rFonts w:asciiTheme="majorHAnsi" w:hAnsiTheme="majorHAnsi"/>
                <w:i/>
                <w:iCs/>
                <w:sz w:val="20"/>
                <w:szCs w:val="20"/>
              </w:rPr>
            </w:pPr>
          </w:p>
        </w:tc>
        <w:tc>
          <w:tcPr>
            <w:tcW w:w="3544" w:type="dxa"/>
            <w:hideMark/>
          </w:tcPr>
          <w:p w:rsidR="005575C1" w:rsidRPr="00435A12" w:rsidRDefault="005575C1" w:rsidP="009B7C77">
            <w:pPr>
              <w:pStyle w:val="Odsekzoznamu"/>
              <w:numPr>
                <w:ilvl w:val="0"/>
                <w:numId w:val="55"/>
              </w:numPr>
              <w:ind w:left="176" w:hanging="357"/>
              <w:rPr>
                <w:rFonts w:asciiTheme="majorHAnsi" w:hAnsiTheme="majorHAnsi"/>
                <w:sz w:val="20"/>
                <w:szCs w:val="20"/>
                <w:lang w:eastAsia="en-GB"/>
              </w:rPr>
            </w:pPr>
            <w:r w:rsidRPr="00435A12">
              <w:rPr>
                <w:rFonts w:asciiTheme="majorHAnsi" w:hAnsiTheme="majorHAnsi"/>
                <w:sz w:val="20"/>
                <w:szCs w:val="20"/>
              </w:rPr>
              <w:t xml:space="preserve">podpora rekonštrukcie a výstavba priestorov </w:t>
            </w:r>
            <w:r w:rsidR="005A31D3" w:rsidRPr="00435A12">
              <w:rPr>
                <w:rFonts w:asciiTheme="majorHAnsi" w:hAnsiTheme="majorHAnsi"/>
                <w:sz w:val="20"/>
                <w:szCs w:val="20"/>
              </w:rPr>
              <w:t xml:space="preserve">subjektov sociálnej ekonomiky </w:t>
            </w:r>
          </w:p>
        </w:tc>
        <w:tc>
          <w:tcPr>
            <w:tcW w:w="929" w:type="dxa"/>
            <w:vMerge/>
            <w:hideMark/>
          </w:tcPr>
          <w:p w:rsidR="005575C1" w:rsidRPr="00435A12" w:rsidRDefault="005575C1">
            <w:pPr>
              <w:rPr>
                <w:rFonts w:asciiTheme="majorHAnsi" w:hAnsiTheme="majorHAnsi"/>
                <w:sz w:val="20"/>
                <w:szCs w:val="20"/>
              </w:rPr>
            </w:pPr>
          </w:p>
        </w:tc>
      </w:tr>
    </w:tbl>
    <w:p w:rsidR="005575C1" w:rsidRDefault="005575C1" w:rsidP="0048355D">
      <w:r w:rsidRPr="00435A12">
        <w:fldChar w:fldCharType="end"/>
      </w:r>
    </w:p>
    <w:p w:rsidR="005575C1" w:rsidRDefault="005575C1">
      <w:pPr>
        <w:spacing w:before="0" w:after="0"/>
        <w:jc w:val="left"/>
      </w:pPr>
      <w:r>
        <w:br w:type="page"/>
      </w:r>
    </w:p>
    <w:p w:rsidR="00EC008D" w:rsidRPr="00A413E4" w:rsidRDefault="000D2E63" w:rsidP="00A413E4">
      <w:pPr>
        <w:pStyle w:val="Popis"/>
        <w:keepNext/>
        <w:spacing w:before="240" w:after="0"/>
        <w:rPr>
          <w:rFonts w:asciiTheme="majorHAnsi" w:hAnsiTheme="majorHAnsi"/>
          <w:b w:val="0"/>
          <w:bCs w:val="0"/>
          <w:sz w:val="18"/>
          <w:szCs w:val="18"/>
        </w:rPr>
      </w:pPr>
      <w:r w:rsidRPr="00A413E4">
        <w:rPr>
          <w:rFonts w:asciiTheme="majorHAnsi" w:hAnsiTheme="majorHAnsi"/>
          <w:b w:val="0"/>
          <w:bCs w:val="0"/>
          <w:sz w:val="18"/>
          <w:szCs w:val="18"/>
        </w:rPr>
        <w:lastRenderedPageBreak/>
        <w:t xml:space="preserve">Tabuľka </w:t>
      </w:r>
      <w:r w:rsidR="004B1847">
        <w:rPr>
          <w:rFonts w:asciiTheme="majorHAnsi" w:hAnsiTheme="majorHAnsi"/>
          <w:b w:val="0"/>
          <w:bCs w:val="0"/>
          <w:sz w:val="18"/>
          <w:szCs w:val="18"/>
        </w:rPr>
        <w:t>2</w:t>
      </w:r>
      <w:r w:rsidR="004E018F">
        <w:rPr>
          <w:rFonts w:asciiTheme="majorHAnsi" w:hAnsiTheme="majorHAnsi"/>
          <w:b w:val="0"/>
          <w:bCs w:val="0"/>
          <w:sz w:val="18"/>
          <w:szCs w:val="18"/>
        </w:rPr>
        <w:t>2</w:t>
      </w:r>
      <w:r w:rsidR="00EC008D" w:rsidRPr="00A413E4">
        <w:rPr>
          <w:rFonts w:asciiTheme="majorHAnsi" w:hAnsiTheme="majorHAnsi"/>
          <w:b w:val="0"/>
          <w:bCs w:val="0"/>
          <w:sz w:val="18"/>
          <w:szCs w:val="18"/>
        </w:rPr>
        <w:t xml:space="preserve">: Príspevok </w:t>
      </w:r>
      <w:r w:rsidR="00A704DC">
        <w:rPr>
          <w:rFonts w:asciiTheme="majorHAnsi" w:hAnsiTheme="majorHAnsi"/>
          <w:b w:val="0"/>
          <w:bCs w:val="0"/>
          <w:sz w:val="18"/>
          <w:szCs w:val="18"/>
        </w:rPr>
        <w:t>OPĽZ</w:t>
      </w:r>
      <w:r w:rsidR="00EC008D" w:rsidRPr="00A413E4">
        <w:rPr>
          <w:rFonts w:asciiTheme="majorHAnsi" w:hAnsiTheme="majorHAnsi"/>
          <w:b w:val="0"/>
          <w:bCs w:val="0"/>
          <w:sz w:val="18"/>
          <w:szCs w:val="18"/>
        </w:rPr>
        <w:t xml:space="preserve"> na riešenie osobitných potrieb geografických oblastí/cieľových </w:t>
      </w:r>
      <w:r w:rsidR="00BD5FD5" w:rsidRPr="00A413E4">
        <w:rPr>
          <w:rFonts w:asciiTheme="majorHAnsi" w:hAnsiTheme="majorHAnsi"/>
          <w:b w:val="0"/>
          <w:bCs w:val="0"/>
          <w:sz w:val="18"/>
          <w:szCs w:val="18"/>
        </w:rPr>
        <w:t>s</w:t>
      </w:r>
      <w:r w:rsidR="00EC008D" w:rsidRPr="00A413E4">
        <w:rPr>
          <w:rFonts w:asciiTheme="majorHAnsi" w:hAnsiTheme="majorHAnsi"/>
          <w:b w:val="0"/>
          <w:bCs w:val="0"/>
          <w:sz w:val="18"/>
          <w:szCs w:val="18"/>
        </w:rPr>
        <w:t xml:space="preserve">kupín, </w:t>
      </w:r>
      <w:r w:rsidR="00BD5FD5" w:rsidRPr="00A413E4">
        <w:rPr>
          <w:rFonts w:asciiTheme="majorHAnsi" w:hAnsiTheme="majorHAnsi"/>
          <w:b w:val="0"/>
          <w:bCs w:val="0"/>
          <w:sz w:val="18"/>
          <w:szCs w:val="18"/>
        </w:rPr>
        <w:t>k</w:t>
      </w:r>
      <w:r w:rsidR="00EC008D" w:rsidRPr="00A413E4">
        <w:rPr>
          <w:rFonts w:asciiTheme="majorHAnsi" w:hAnsiTheme="majorHAnsi"/>
          <w:b w:val="0"/>
          <w:bCs w:val="0"/>
          <w:sz w:val="18"/>
          <w:szCs w:val="18"/>
        </w:rPr>
        <w:t xml:space="preserve">toré </w:t>
      </w:r>
      <w:r w:rsidR="00BD5FD5" w:rsidRPr="00A413E4">
        <w:rPr>
          <w:rFonts w:asciiTheme="majorHAnsi" w:hAnsiTheme="majorHAnsi"/>
          <w:b w:val="0"/>
          <w:bCs w:val="0"/>
          <w:sz w:val="18"/>
          <w:szCs w:val="18"/>
        </w:rPr>
        <w:t>s</w:t>
      </w:r>
      <w:r w:rsidR="00EC008D" w:rsidRPr="00A413E4">
        <w:rPr>
          <w:rFonts w:asciiTheme="majorHAnsi" w:hAnsiTheme="majorHAnsi"/>
          <w:b w:val="0"/>
          <w:bCs w:val="0"/>
          <w:sz w:val="18"/>
          <w:szCs w:val="18"/>
        </w:rPr>
        <w:t>ú najviac postihnuté chudobou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3"/>
        <w:gridCol w:w="3118"/>
        <w:gridCol w:w="1280"/>
        <w:gridCol w:w="1272"/>
        <w:gridCol w:w="711"/>
        <w:gridCol w:w="1092"/>
      </w:tblGrid>
      <w:tr w:rsidR="006C2112" w:rsidRPr="00A11FE0" w:rsidTr="005575C1">
        <w:trPr>
          <w:trHeight w:val="283"/>
          <w:tblHeader/>
        </w:trPr>
        <w:tc>
          <w:tcPr>
            <w:tcW w:w="976" w:type="pct"/>
            <w:shd w:val="clear" w:color="auto" w:fill="D9D9D9" w:themeFill="background1" w:themeFillShade="D9"/>
            <w:vAlign w:val="center"/>
            <w:hideMark/>
          </w:tcPr>
          <w:p w:rsidR="00EC008D" w:rsidRPr="00A11FE0" w:rsidRDefault="00EC008D" w:rsidP="00AD6AA1">
            <w:pPr>
              <w:jc w:val="center"/>
              <w:rPr>
                <w:rFonts w:asciiTheme="majorHAnsi" w:hAnsiTheme="majorHAnsi"/>
                <w:b/>
                <w:sz w:val="18"/>
                <w:szCs w:val="18"/>
              </w:rPr>
            </w:pPr>
            <w:r w:rsidRPr="00A11FE0">
              <w:rPr>
                <w:rFonts w:asciiTheme="majorHAnsi" w:hAnsiTheme="majorHAnsi"/>
                <w:b/>
                <w:sz w:val="18"/>
                <w:szCs w:val="18"/>
              </w:rPr>
              <w:t xml:space="preserve">Cieľová </w:t>
            </w:r>
            <w:r w:rsidR="00BD5FD5">
              <w:rPr>
                <w:rFonts w:asciiTheme="majorHAnsi" w:hAnsiTheme="majorHAnsi"/>
                <w:b/>
                <w:sz w:val="18"/>
                <w:szCs w:val="18"/>
              </w:rPr>
              <w:t>s</w:t>
            </w:r>
            <w:r w:rsidRPr="00A11FE0">
              <w:rPr>
                <w:rFonts w:asciiTheme="majorHAnsi" w:hAnsiTheme="majorHAnsi"/>
                <w:b/>
                <w:sz w:val="18"/>
                <w:szCs w:val="18"/>
              </w:rPr>
              <w:t>kupina/</w:t>
            </w:r>
          </w:p>
          <w:p w:rsidR="00EC008D" w:rsidRPr="00A11FE0" w:rsidRDefault="00EC008D" w:rsidP="00AD6AA1">
            <w:pPr>
              <w:jc w:val="center"/>
              <w:rPr>
                <w:rFonts w:asciiTheme="majorHAnsi" w:hAnsiTheme="majorHAnsi"/>
                <w:b/>
                <w:sz w:val="18"/>
                <w:szCs w:val="18"/>
              </w:rPr>
            </w:pPr>
            <w:r w:rsidRPr="00A11FE0">
              <w:rPr>
                <w:rFonts w:asciiTheme="majorHAnsi" w:hAnsiTheme="majorHAnsi"/>
                <w:b/>
                <w:sz w:val="18"/>
                <w:szCs w:val="18"/>
              </w:rPr>
              <w:t>geografická oblasť</w:t>
            </w:r>
          </w:p>
        </w:tc>
        <w:tc>
          <w:tcPr>
            <w:tcW w:w="1679" w:type="pct"/>
            <w:shd w:val="clear" w:color="auto" w:fill="D9D9D9" w:themeFill="background1" w:themeFillShade="D9"/>
            <w:vAlign w:val="center"/>
            <w:hideMark/>
          </w:tcPr>
          <w:p w:rsidR="00EC008D" w:rsidRPr="00A11FE0" w:rsidRDefault="00EC008D" w:rsidP="00AA24C3">
            <w:pPr>
              <w:jc w:val="center"/>
              <w:rPr>
                <w:rFonts w:asciiTheme="majorHAnsi" w:hAnsiTheme="majorHAnsi"/>
                <w:b/>
                <w:sz w:val="18"/>
                <w:szCs w:val="18"/>
              </w:rPr>
            </w:pPr>
            <w:r w:rsidRPr="00A11FE0">
              <w:rPr>
                <w:rFonts w:asciiTheme="majorHAnsi" w:hAnsiTheme="majorHAnsi"/>
                <w:b/>
                <w:sz w:val="18"/>
                <w:szCs w:val="18"/>
              </w:rPr>
              <w:t xml:space="preserve">Hlavné typy plánovaných </w:t>
            </w:r>
            <w:r w:rsidR="00BD5FD5">
              <w:rPr>
                <w:rFonts w:asciiTheme="majorHAnsi" w:hAnsiTheme="majorHAnsi"/>
                <w:b/>
                <w:sz w:val="18"/>
                <w:szCs w:val="18"/>
              </w:rPr>
              <w:t>ak</w:t>
            </w:r>
            <w:r w:rsidRPr="00A11FE0">
              <w:rPr>
                <w:rFonts w:asciiTheme="majorHAnsi" w:hAnsiTheme="majorHAnsi"/>
                <w:b/>
                <w:sz w:val="18"/>
                <w:szCs w:val="18"/>
              </w:rPr>
              <w:t xml:space="preserve">tivít, </w:t>
            </w:r>
            <w:r w:rsidR="00BD5FD5">
              <w:rPr>
                <w:rFonts w:asciiTheme="majorHAnsi" w:hAnsiTheme="majorHAnsi"/>
                <w:b/>
                <w:sz w:val="18"/>
                <w:szCs w:val="18"/>
              </w:rPr>
              <w:t>k</w:t>
            </w:r>
            <w:r w:rsidRPr="00A11FE0">
              <w:rPr>
                <w:rFonts w:asciiTheme="majorHAnsi" w:hAnsiTheme="majorHAnsi"/>
                <w:b/>
                <w:sz w:val="18"/>
                <w:szCs w:val="18"/>
              </w:rPr>
              <w:t xml:space="preserve">toré </w:t>
            </w:r>
            <w:r w:rsidR="00BD5FD5">
              <w:rPr>
                <w:rFonts w:asciiTheme="majorHAnsi" w:hAnsiTheme="majorHAnsi"/>
                <w:b/>
                <w:sz w:val="18"/>
                <w:szCs w:val="18"/>
              </w:rPr>
              <w:t>s</w:t>
            </w:r>
            <w:r w:rsidRPr="00A11FE0">
              <w:rPr>
                <w:rFonts w:asciiTheme="majorHAnsi" w:hAnsiTheme="majorHAnsi"/>
                <w:b/>
                <w:sz w:val="18"/>
                <w:szCs w:val="18"/>
              </w:rPr>
              <w:t xml:space="preserve">ú </w:t>
            </w:r>
            <w:r w:rsidR="00BD5FD5">
              <w:rPr>
                <w:rFonts w:asciiTheme="majorHAnsi" w:hAnsiTheme="majorHAnsi"/>
                <w:b/>
                <w:sz w:val="18"/>
                <w:szCs w:val="18"/>
              </w:rPr>
              <w:t>s</w:t>
            </w:r>
            <w:r w:rsidRPr="00A11FE0">
              <w:rPr>
                <w:rFonts w:asciiTheme="majorHAnsi" w:hAnsiTheme="majorHAnsi"/>
                <w:b/>
                <w:sz w:val="18"/>
                <w:szCs w:val="18"/>
              </w:rPr>
              <w:t>účasťou integrovaného prístupu</w:t>
            </w:r>
          </w:p>
        </w:tc>
        <w:tc>
          <w:tcPr>
            <w:tcW w:w="689" w:type="pct"/>
            <w:shd w:val="clear" w:color="auto" w:fill="D9D9D9" w:themeFill="background1" w:themeFillShade="D9"/>
            <w:vAlign w:val="center"/>
            <w:hideMark/>
          </w:tcPr>
          <w:p w:rsidR="00EC008D" w:rsidRPr="00A11FE0" w:rsidRDefault="00EC008D" w:rsidP="00AD6AA1">
            <w:pPr>
              <w:jc w:val="center"/>
              <w:rPr>
                <w:rFonts w:asciiTheme="majorHAnsi" w:hAnsiTheme="majorHAnsi"/>
                <w:b/>
                <w:sz w:val="18"/>
                <w:szCs w:val="18"/>
              </w:rPr>
            </w:pPr>
            <w:r w:rsidRPr="00A11FE0">
              <w:rPr>
                <w:rFonts w:asciiTheme="majorHAnsi" w:hAnsiTheme="majorHAnsi"/>
                <w:b/>
                <w:sz w:val="18"/>
                <w:szCs w:val="18"/>
              </w:rPr>
              <w:t>Prioritná os</w:t>
            </w:r>
          </w:p>
        </w:tc>
        <w:tc>
          <w:tcPr>
            <w:tcW w:w="685" w:type="pct"/>
            <w:shd w:val="clear" w:color="auto" w:fill="D9D9D9" w:themeFill="background1" w:themeFillShade="D9"/>
            <w:vAlign w:val="center"/>
            <w:hideMark/>
          </w:tcPr>
          <w:p w:rsidR="00EC008D" w:rsidRPr="00A11FE0" w:rsidRDefault="00EC008D" w:rsidP="00AD6AA1">
            <w:pPr>
              <w:jc w:val="center"/>
              <w:rPr>
                <w:rFonts w:asciiTheme="majorHAnsi" w:hAnsiTheme="majorHAnsi"/>
                <w:b/>
                <w:sz w:val="18"/>
                <w:szCs w:val="18"/>
              </w:rPr>
            </w:pPr>
            <w:r w:rsidRPr="00A11FE0">
              <w:rPr>
                <w:rFonts w:asciiTheme="majorHAnsi" w:hAnsiTheme="majorHAnsi"/>
                <w:b/>
                <w:sz w:val="18"/>
                <w:szCs w:val="18"/>
              </w:rPr>
              <w:t>Investičné priority</w:t>
            </w:r>
          </w:p>
        </w:tc>
        <w:tc>
          <w:tcPr>
            <w:tcW w:w="383" w:type="pct"/>
            <w:shd w:val="clear" w:color="auto" w:fill="D9D9D9" w:themeFill="background1" w:themeFillShade="D9"/>
            <w:vAlign w:val="center"/>
            <w:hideMark/>
          </w:tcPr>
          <w:p w:rsidR="00EC008D" w:rsidRPr="00A11FE0" w:rsidRDefault="00EC008D" w:rsidP="00AD6AA1">
            <w:pPr>
              <w:jc w:val="center"/>
              <w:rPr>
                <w:rFonts w:asciiTheme="majorHAnsi" w:hAnsiTheme="majorHAnsi"/>
                <w:b/>
                <w:sz w:val="18"/>
                <w:szCs w:val="18"/>
              </w:rPr>
            </w:pPr>
            <w:r w:rsidRPr="00A11FE0">
              <w:rPr>
                <w:rFonts w:asciiTheme="majorHAnsi" w:hAnsiTheme="majorHAnsi"/>
                <w:b/>
                <w:sz w:val="18"/>
                <w:szCs w:val="18"/>
              </w:rPr>
              <w:t>Fond</w:t>
            </w:r>
          </w:p>
        </w:tc>
        <w:tc>
          <w:tcPr>
            <w:tcW w:w="588" w:type="pct"/>
            <w:shd w:val="clear" w:color="auto" w:fill="D9D9D9" w:themeFill="background1" w:themeFillShade="D9"/>
            <w:vAlign w:val="center"/>
          </w:tcPr>
          <w:p w:rsidR="00EC008D" w:rsidRPr="00A11FE0" w:rsidRDefault="00BD5FD5" w:rsidP="00AA24C3">
            <w:pPr>
              <w:jc w:val="center"/>
              <w:rPr>
                <w:rFonts w:asciiTheme="majorHAnsi" w:hAnsiTheme="majorHAnsi"/>
                <w:b/>
                <w:sz w:val="18"/>
                <w:szCs w:val="18"/>
              </w:rPr>
            </w:pPr>
            <w:r>
              <w:rPr>
                <w:rFonts w:asciiTheme="majorHAnsi" w:hAnsiTheme="majorHAnsi"/>
                <w:b/>
                <w:sz w:val="18"/>
                <w:szCs w:val="18"/>
              </w:rPr>
              <w:t>K</w:t>
            </w:r>
            <w:r w:rsidR="00EC008D" w:rsidRPr="00A11FE0">
              <w:rPr>
                <w:rFonts w:asciiTheme="majorHAnsi" w:hAnsiTheme="majorHAnsi"/>
                <w:b/>
                <w:sz w:val="18"/>
                <w:szCs w:val="18"/>
              </w:rPr>
              <w:t>ategórie regiónu</w:t>
            </w:r>
          </w:p>
        </w:tc>
      </w:tr>
      <w:tr w:rsidR="006C2112" w:rsidRPr="00A11FE0" w:rsidTr="00174E83">
        <w:trPr>
          <w:trHeight w:val="9997"/>
        </w:trPr>
        <w:tc>
          <w:tcPr>
            <w:tcW w:w="976" w:type="pct"/>
          </w:tcPr>
          <w:p w:rsidR="00223E65" w:rsidRPr="00A413E4" w:rsidRDefault="00223E65" w:rsidP="00223E65">
            <w:pPr>
              <w:spacing w:after="240"/>
              <w:rPr>
                <w:rFonts w:asciiTheme="majorHAnsi" w:hAnsiTheme="majorHAnsi"/>
                <w:sz w:val="20"/>
                <w:szCs w:val="20"/>
              </w:rPr>
            </w:pPr>
            <w:r w:rsidRPr="00A413E4">
              <w:rPr>
                <w:rFonts w:asciiTheme="majorHAnsi" w:hAnsiTheme="majorHAnsi"/>
                <w:sz w:val="20"/>
                <w:szCs w:val="20"/>
              </w:rPr>
              <w:t xml:space="preserve">Obyvatelia </w:t>
            </w:r>
            <w:r w:rsidR="00A704DC">
              <w:rPr>
                <w:rFonts w:asciiTheme="majorHAnsi" w:hAnsiTheme="majorHAnsi"/>
                <w:sz w:val="20"/>
                <w:szCs w:val="20"/>
              </w:rPr>
              <w:t>MRK</w:t>
            </w:r>
            <w:r w:rsidRPr="00A413E4">
              <w:rPr>
                <w:rFonts w:asciiTheme="majorHAnsi" w:hAnsiTheme="majorHAnsi"/>
                <w:sz w:val="20"/>
                <w:szCs w:val="20"/>
              </w:rPr>
              <w:t xml:space="preserve"> </w:t>
            </w:r>
          </w:p>
          <w:p w:rsidR="00EC008D" w:rsidRPr="00A413E4" w:rsidRDefault="00223E65" w:rsidP="00567B88">
            <w:pPr>
              <w:spacing w:after="240"/>
              <w:rPr>
                <w:rFonts w:asciiTheme="majorHAnsi" w:hAnsiTheme="majorHAnsi"/>
                <w:sz w:val="20"/>
                <w:szCs w:val="20"/>
              </w:rPr>
            </w:pPr>
            <w:r w:rsidRPr="00A413E4">
              <w:rPr>
                <w:rFonts w:asciiTheme="majorHAnsi" w:hAnsiTheme="majorHAnsi"/>
                <w:sz w:val="20"/>
                <w:szCs w:val="20"/>
              </w:rPr>
              <w:t>Oprávnenými územiami budú územné samosprávy zaradené v Atlase rómskych komunít vykazujúce určený stupeň segregačného indexu</w:t>
            </w:r>
          </w:p>
        </w:tc>
        <w:tc>
          <w:tcPr>
            <w:tcW w:w="1679" w:type="pct"/>
          </w:tcPr>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Systematická podpora detí z</w:t>
            </w:r>
            <w:r w:rsidR="00F9081C" w:rsidRPr="005575C1">
              <w:rPr>
                <w:rFonts w:asciiTheme="majorHAnsi" w:hAnsiTheme="majorHAnsi"/>
                <w:sz w:val="20"/>
                <w:szCs w:val="20"/>
              </w:rPr>
              <w:t> </w:t>
            </w:r>
            <w:r w:rsidRPr="00A413E4">
              <w:rPr>
                <w:rFonts w:asciiTheme="majorHAnsi" w:hAnsiTheme="majorHAnsi"/>
                <w:sz w:val="20"/>
                <w:szCs w:val="20"/>
              </w:rPr>
              <w:t>prostredia MRK na predprimárnom vzdelávaní</w:t>
            </w:r>
          </w:p>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Systematická podpora výchovno-vzdelávacích aktivít a voľno-časových aktivít pre deti z MRK s</w:t>
            </w:r>
            <w:r w:rsidR="00F9081C" w:rsidRPr="005575C1">
              <w:rPr>
                <w:rFonts w:asciiTheme="majorHAnsi" w:hAnsiTheme="majorHAnsi"/>
                <w:sz w:val="20"/>
                <w:szCs w:val="20"/>
              </w:rPr>
              <w:t> </w:t>
            </w:r>
            <w:r w:rsidRPr="00A413E4">
              <w:rPr>
                <w:rFonts w:asciiTheme="majorHAnsi" w:hAnsiTheme="majorHAnsi"/>
                <w:sz w:val="20"/>
                <w:szCs w:val="20"/>
              </w:rPr>
              <w:t xml:space="preserve">hlavným dôrazom na prepájanie majority s minoritou </w:t>
            </w:r>
          </w:p>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Podpora systematického poskytovania sociálnych a</w:t>
            </w:r>
            <w:r w:rsidR="00F9081C" w:rsidRPr="005575C1">
              <w:rPr>
                <w:rFonts w:asciiTheme="majorHAnsi" w:hAnsiTheme="majorHAnsi"/>
                <w:sz w:val="20"/>
                <w:szCs w:val="20"/>
              </w:rPr>
              <w:t> </w:t>
            </w:r>
            <w:r w:rsidRPr="00A413E4">
              <w:rPr>
                <w:rFonts w:asciiTheme="majorHAnsi" w:hAnsiTheme="majorHAnsi"/>
                <w:sz w:val="20"/>
                <w:szCs w:val="20"/>
              </w:rPr>
              <w:t>asistenčných služieb v obciach s</w:t>
            </w:r>
            <w:r w:rsidR="00F9081C" w:rsidRPr="005575C1">
              <w:rPr>
                <w:rFonts w:asciiTheme="majorHAnsi" w:hAnsiTheme="majorHAnsi"/>
                <w:sz w:val="20"/>
                <w:szCs w:val="20"/>
              </w:rPr>
              <w:t> </w:t>
            </w:r>
            <w:r w:rsidRPr="00A413E4">
              <w:rPr>
                <w:rFonts w:asciiTheme="majorHAnsi" w:hAnsiTheme="majorHAnsi"/>
                <w:sz w:val="20"/>
                <w:szCs w:val="20"/>
              </w:rPr>
              <w:t>prítomnosťou MRK zameraných na zvýšenie zamestnateľnosti ľudí žijúcich v prostredí MRK (t.j. TSP, komunitní pracovníci / pracovníčky v oblasti sociálnych služieb)</w:t>
            </w:r>
          </w:p>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 xml:space="preserve">Podpora inovatívnych programov zameraných na zvyšovanie lokálnej zamestnanosti prostredníctvom podpory subjektov sociálnej ekonomiky </w:t>
            </w:r>
          </w:p>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Podpora existencie a fungovania komunitných centier v obciach s</w:t>
            </w:r>
            <w:r w:rsidR="00F9081C" w:rsidRPr="005575C1">
              <w:rPr>
                <w:rFonts w:asciiTheme="majorHAnsi" w:hAnsiTheme="majorHAnsi"/>
                <w:sz w:val="20"/>
                <w:szCs w:val="20"/>
              </w:rPr>
              <w:t> </w:t>
            </w:r>
            <w:r w:rsidRPr="00A413E4">
              <w:rPr>
                <w:rFonts w:asciiTheme="majorHAnsi" w:hAnsiTheme="majorHAnsi"/>
                <w:sz w:val="20"/>
                <w:szCs w:val="20"/>
              </w:rPr>
              <w:t>prítomnosťou MRK</w:t>
            </w:r>
          </w:p>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Podpora systematického poskytovania služieb a asistencie prostredníctvom programu komunitných pracovníkov v oblasti zdravotnej výchovy v obciach s</w:t>
            </w:r>
            <w:r w:rsidR="00F9081C" w:rsidRPr="005575C1">
              <w:rPr>
                <w:rFonts w:asciiTheme="majorHAnsi" w:hAnsiTheme="majorHAnsi"/>
                <w:sz w:val="20"/>
                <w:szCs w:val="20"/>
              </w:rPr>
              <w:t> </w:t>
            </w:r>
            <w:r w:rsidRPr="00A413E4">
              <w:rPr>
                <w:rFonts w:asciiTheme="majorHAnsi" w:hAnsiTheme="majorHAnsi"/>
                <w:sz w:val="20"/>
                <w:szCs w:val="20"/>
              </w:rPr>
              <w:t>prítomnosťou separovaných a</w:t>
            </w:r>
            <w:r w:rsidR="00F9081C" w:rsidRPr="005575C1">
              <w:rPr>
                <w:rFonts w:asciiTheme="majorHAnsi" w:hAnsiTheme="majorHAnsi"/>
                <w:sz w:val="20"/>
                <w:szCs w:val="20"/>
              </w:rPr>
              <w:t> </w:t>
            </w:r>
            <w:r w:rsidRPr="00A413E4">
              <w:rPr>
                <w:rFonts w:asciiTheme="majorHAnsi" w:hAnsiTheme="majorHAnsi"/>
                <w:sz w:val="20"/>
                <w:szCs w:val="20"/>
              </w:rPr>
              <w:t>segregovaných MRK</w:t>
            </w:r>
          </w:p>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Podpora programov zameraných na dosiahnutie vyššieho hygienického štandardu marginalizovaných rómskych osídlení a systematické znižovanie počtu nelegálnych obydlí charakteristických extrémne nízkou mierou hygienických štandardov aj prostredníctvom poskytovania technickej asistencie obciam s</w:t>
            </w:r>
            <w:r w:rsidR="00F9081C" w:rsidRPr="005575C1">
              <w:rPr>
                <w:rFonts w:asciiTheme="majorHAnsi" w:hAnsiTheme="majorHAnsi"/>
                <w:sz w:val="20"/>
                <w:szCs w:val="20"/>
              </w:rPr>
              <w:t> </w:t>
            </w:r>
            <w:r w:rsidRPr="00A413E4">
              <w:rPr>
                <w:rFonts w:asciiTheme="majorHAnsi" w:hAnsiTheme="majorHAnsi"/>
                <w:sz w:val="20"/>
                <w:szCs w:val="20"/>
              </w:rPr>
              <w:t>prítomnosťou MRK zameranej na vysporiadavanie pozemkov</w:t>
            </w:r>
          </w:p>
          <w:p w:rsidR="00EC008D" w:rsidRPr="00A413E4" w:rsidRDefault="008F1751" w:rsidP="00F9081C">
            <w:pPr>
              <w:spacing w:before="0"/>
              <w:rPr>
                <w:rFonts w:asciiTheme="majorHAnsi" w:hAnsiTheme="majorHAnsi"/>
                <w:sz w:val="20"/>
                <w:szCs w:val="20"/>
              </w:rPr>
            </w:pPr>
            <w:r w:rsidRPr="00A413E4">
              <w:rPr>
                <w:rFonts w:asciiTheme="majorHAnsi" w:hAnsiTheme="majorHAnsi"/>
                <w:sz w:val="20"/>
                <w:szCs w:val="20"/>
              </w:rPr>
              <w:t>P</w:t>
            </w:r>
            <w:r w:rsidR="00223E65" w:rsidRPr="00A413E4">
              <w:rPr>
                <w:rFonts w:asciiTheme="majorHAnsi" w:hAnsiTheme="majorHAnsi"/>
                <w:sz w:val="20"/>
                <w:szCs w:val="20"/>
              </w:rPr>
              <w:t>rogram asistencie obciam s</w:t>
            </w:r>
            <w:r w:rsidR="00F9081C" w:rsidRPr="005575C1">
              <w:rPr>
                <w:rFonts w:asciiTheme="majorHAnsi" w:hAnsiTheme="majorHAnsi"/>
                <w:sz w:val="20"/>
                <w:szCs w:val="20"/>
              </w:rPr>
              <w:t> </w:t>
            </w:r>
            <w:r w:rsidR="00223E65" w:rsidRPr="00A413E4">
              <w:rPr>
                <w:rFonts w:asciiTheme="majorHAnsi" w:hAnsiTheme="majorHAnsi"/>
                <w:sz w:val="20"/>
                <w:szCs w:val="20"/>
              </w:rPr>
              <w:t>prítomnosťou MRK zameraný na zvýšenie absorpcie EŠIF</w:t>
            </w:r>
          </w:p>
        </w:tc>
        <w:tc>
          <w:tcPr>
            <w:tcW w:w="689" w:type="pct"/>
            <w:vAlign w:val="center"/>
          </w:tcPr>
          <w:p w:rsidR="00EC008D" w:rsidRPr="00A413E4" w:rsidRDefault="00223E65" w:rsidP="00A704DC">
            <w:pPr>
              <w:spacing w:after="240"/>
              <w:rPr>
                <w:rFonts w:asciiTheme="majorHAnsi" w:hAnsiTheme="majorHAnsi"/>
                <w:sz w:val="20"/>
                <w:szCs w:val="20"/>
              </w:rPr>
            </w:pPr>
            <w:r w:rsidRPr="00A413E4">
              <w:rPr>
                <w:rFonts w:asciiTheme="majorHAnsi" w:hAnsiTheme="majorHAnsi"/>
                <w:sz w:val="20"/>
                <w:szCs w:val="20"/>
              </w:rPr>
              <w:t xml:space="preserve">Integrácia </w:t>
            </w:r>
            <w:r w:rsidR="00A704DC">
              <w:rPr>
                <w:rFonts w:asciiTheme="majorHAnsi" w:hAnsiTheme="majorHAnsi"/>
                <w:sz w:val="20"/>
                <w:szCs w:val="20"/>
              </w:rPr>
              <w:t>MRK</w:t>
            </w:r>
          </w:p>
        </w:tc>
        <w:tc>
          <w:tcPr>
            <w:tcW w:w="685" w:type="pct"/>
            <w:vAlign w:val="center"/>
          </w:tcPr>
          <w:p w:rsidR="00EC008D" w:rsidRPr="00A413E4" w:rsidRDefault="00223E65" w:rsidP="00441780">
            <w:pPr>
              <w:spacing w:after="240"/>
              <w:rPr>
                <w:rFonts w:asciiTheme="majorHAnsi" w:hAnsiTheme="majorHAnsi"/>
                <w:i/>
                <w:color w:val="8DB3E2"/>
                <w:sz w:val="20"/>
                <w:szCs w:val="20"/>
              </w:rPr>
            </w:pPr>
            <w:r w:rsidRPr="00A413E4">
              <w:rPr>
                <w:rFonts w:asciiTheme="majorHAnsi" w:hAnsiTheme="majorHAnsi"/>
                <w:sz w:val="20"/>
                <w:szCs w:val="20"/>
              </w:rPr>
              <w:t>Sociálno-ekonomická integrácia marginalizovaných komunít, ako sú Rómovia</w:t>
            </w:r>
          </w:p>
        </w:tc>
        <w:tc>
          <w:tcPr>
            <w:tcW w:w="383" w:type="pct"/>
            <w:vAlign w:val="center"/>
          </w:tcPr>
          <w:p w:rsidR="00EC008D" w:rsidRPr="00A413E4" w:rsidRDefault="008F1751" w:rsidP="00AD6AA1">
            <w:pPr>
              <w:spacing w:after="240"/>
              <w:jc w:val="center"/>
              <w:rPr>
                <w:rFonts w:asciiTheme="majorHAnsi" w:hAnsiTheme="majorHAnsi"/>
                <w:sz w:val="20"/>
                <w:szCs w:val="20"/>
              </w:rPr>
            </w:pPr>
            <w:r w:rsidRPr="00A413E4">
              <w:rPr>
                <w:rFonts w:asciiTheme="majorHAnsi" w:hAnsiTheme="majorHAnsi"/>
                <w:sz w:val="20"/>
                <w:szCs w:val="20"/>
              </w:rPr>
              <w:t>ESF</w:t>
            </w:r>
          </w:p>
        </w:tc>
        <w:tc>
          <w:tcPr>
            <w:tcW w:w="588" w:type="pct"/>
            <w:vAlign w:val="center"/>
          </w:tcPr>
          <w:p w:rsidR="00EC008D" w:rsidRPr="00A413E4" w:rsidRDefault="00223E65" w:rsidP="00174E83">
            <w:pPr>
              <w:spacing w:after="240"/>
              <w:jc w:val="center"/>
              <w:rPr>
                <w:rFonts w:asciiTheme="majorHAnsi" w:hAnsiTheme="majorHAnsi"/>
                <w:sz w:val="20"/>
                <w:szCs w:val="20"/>
              </w:rPr>
            </w:pPr>
            <w:r w:rsidRPr="00A413E4">
              <w:rPr>
                <w:rFonts w:asciiTheme="majorHAnsi" w:hAnsiTheme="majorHAnsi"/>
                <w:sz w:val="20"/>
                <w:szCs w:val="20"/>
              </w:rPr>
              <w:t xml:space="preserve">Menej rozvinutý </w:t>
            </w:r>
            <w:r w:rsidR="008F1751" w:rsidRPr="00A413E4">
              <w:rPr>
                <w:rFonts w:asciiTheme="majorHAnsi" w:hAnsiTheme="majorHAnsi"/>
                <w:sz w:val="20"/>
                <w:szCs w:val="20"/>
              </w:rPr>
              <w:t>región</w:t>
            </w:r>
          </w:p>
        </w:tc>
      </w:tr>
      <w:tr w:rsidR="006C2112" w:rsidRPr="00A11FE0" w:rsidTr="00174E83">
        <w:trPr>
          <w:trHeight w:val="314"/>
        </w:trPr>
        <w:tc>
          <w:tcPr>
            <w:tcW w:w="976" w:type="pct"/>
          </w:tcPr>
          <w:p w:rsidR="00223E65" w:rsidRPr="00A413E4" w:rsidRDefault="00223E65" w:rsidP="00223E65">
            <w:pPr>
              <w:rPr>
                <w:rFonts w:asciiTheme="majorHAnsi" w:hAnsiTheme="majorHAnsi"/>
                <w:sz w:val="20"/>
                <w:szCs w:val="20"/>
              </w:rPr>
            </w:pPr>
            <w:r w:rsidRPr="00A413E4">
              <w:rPr>
                <w:rFonts w:asciiTheme="majorHAnsi" w:hAnsiTheme="majorHAnsi"/>
                <w:sz w:val="20"/>
                <w:szCs w:val="20"/>
              </w:rPr>
              <w:t xml:space="preserve">Obyvatelia </w:t>
            </w:r>
            <w:r w:rsidR="00A704DC">
              <w:rPr>
                <w:rFonts w:asciiTheme="majorHAnsi" w:hAnsiTheme="majorHAnsi"/>
                <w:sz w:val="20"/>
                <w:szCs w:val="20"/>
              </w:rPr>
              <w:t>MRK</w:t>
            </w:r>
            <w:r w:rsidRPr="00A413E4">
              <w:rPr>
                <w:rFonts w:asciiTheme="majorHAnsi" w:hAnsiTheme="majorHAnsi"/>
                <w:sz w:val="20"/>
                <w:szCs w:val="20"/>
              </w:rPr>
              <w:t xml:space="preserve"> </w:t>
            </w:r>
          </w:p>
          <w:p w:rsidR="00EC008D" w:rsidRPr="00A413E4" w:rsidRDefault="00223E65" w:rsidP="00223E65">
            <w:pPr>
              <w:rPr>
                <w:rFonts w:asciiTheme="majorHAnsi" w:hAnsiTheme="majorHAnsi"/>
                <w:sz w:val="20"/>
                <w:szCs w:val="20"/>
              </w:rPr>
            </w:pPr>
            <w:r w:rsidRPr="00A413E4">
              <w:rPr>
                <w:rFonts w:asciiTheme="majorHAnsi" w:hAnsiTheme="majorHAnsi"/>
                <w:sz w:val="20"/>
                <w:szCs w:val="20"/>
              </w:rPr>
              <w:lastRenderedPageBreak/>
              <w:t>Oprávnenými územiami budú územné samosprávy zaradené v Atlase rómskych komunít vykazujúce určený stupeň segregačného indexu.</w:t>
            </w:r>
          </w:p>
        </w:tc>
        <w:tc>
          <w:tcPr>
            <w:tcW w:w="1679" w:type="pct"/>
          </w:tcPr>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lastRenderedPageBreak/>
              <w:t xml:space="preserve">Podpora programov prestupného bývania v rámci sociálnej mobility </w:t>
            </w:r>
            <w:r w:rsidRPr="00A413E4">
              <w:rPr>
                <w:rFonts w:asciiTheme="majorHAnsi" w:hAnsiTheme="majorHAnsi"/>
                <w:sz w:val="20"/>
                <w:szCs w:val="20"/>
              </w:rPr>
              <w:lastRenderedPageBreak/>
              <w:t>a</w:t>
            </w:r>
            <w:r w:rsidR="00F9081C" w:rsidRPr="005575C1">
              <w:rPr>
                <w:rFonts w:asciiTheme="majorHAnsi" w:hAnsiTheme="majorHAnsi"/>
                <w:sz w:val="20"/>
                <w:szCs w:val="20"/>
              </w:rPr>
              <w:t> </w:t>
            </w:r>
            <w:r w:rsidRPr="00A413E4">
              <w:rPr>
                <w:rFonts w:asciiTheme="majorHAnsi" w:hAnsiTheme="majorHAnsi"/>
                <w:sz w:val="20"/>
                <w:szCs w:val="20"/>
              </w:rPr>
              <w:t xml:space="preserve">integrácie obyvateľov MRK </w:t>
            </w:r>
          </w:p>
          <w:p w:rsidR="00223E65" w:rsidRPr="00A413E4" w:rsidRDefault="00223E65" w:rsidP="00A413E4">
            <w:pPr>
              <w:spacing w:before="0"/>
              <w:rPr>
                <w:rFonts w:asciiTheme="majorHAnsi" w:hAnsiTheme="majorHAnsi"/>
                <w:sz w:val="20"/>
                <w:szCs w:val="20"/>
              </w:rPr>
            </w:pPr>
            <w:r w:rsidRPr="00A413E4">
              <w:rPr>
                <w:rFonts w:asciiTheme="majorHAnsi" w:hAnsiTheme="majorHAnsi"/>
                <w:sz w:val="20"/>
                <w:szCs w:val="20"/>
              </w:rPr>
              <w:t>Podpora prístupu k</w:t>
            </w:r>
            <w:r w:rsidR="006B1868">
              <w:rPr>
                <w:rFonts w:asciiTheme="majorHAnsi" w:hAnsiTheme="majorHAnsi"/>
                <w:sz w:val="20"/>
                <w:szCs w:val="20"/>
              </w:rPr>
              <w:t> </w:t>
            </w:r>
            <w:r w:rsidRPr="00A413E4">
              <w:rPr>
                <w:rFonts w:asciiTheme="majorHAnsi" w:hAnsiTheme="majorHAnsi"/>
                <w:sz w:val="20"/>
                <w:szCs w:val="20"/>
              </w:rPr>
              <w:t>pitnej</w:t>
            </w:r>
            <w:r w:rsidR="006B1868">
              <w:rPr>
                <w:rFonts w:asciiTheme="majorHAnsi" w:hAnsiTheme="majorHAnsi"/>
                <w:sz w:val="20"/>
                <w:szCs w:val="20"/>
              </w:rPr>
              <w:t xml:space="preserve"> a úžitkovej</w:t>
            </w:r>
            <w:r w:rsidRPr="00A413E4">
              <w:rPr>
                <w:rFonts w:asciiTheme="majorHAnsi" w:hAnsiTheme="majorHAnsi"/>
                <w:sz w:val="20"/>
                <w:szCs w:val="20"/>
              </w:rPr>
              <w:t xml:space="preserve"> vode v prostredí separovaných a segregovaných MRK s dôrazom na nízkonákladové opatrenia ako napr. vŕtanie a</w:t>
            </w:r>
            <w:r w:rsidR="00884A00">
              <w:rPr>
                <w:rFonts w:asciiTheme="majorHAnsi" w:hAnsiTheme="majorHAnsi"/>
                <w:sz w:val="20"/>
                <w:szCs w:val="20"/>
              </w:rPr>
              <w:t> </w:t>
            </w:r>
            <w:r w:rsidRPr="00A413E4">
              <w:rPr>
                <w:rFonts w:asciiTheme="majorHAnsi" w:hAnsiTheme="majorHAnsi"/>
                <w:sz w:val="20"/>
                <w:szCs w:val="20"/>
              </w:rPr>
              <w:t>kopanie studní</w:t>
            </w:r>
          </w:p>
          <w:p w:rsidR="00223E65" w:rsidRPr="00A413E4" w:rsidRDefault="008F1751" w:rsidP="00A413E4">
            <w:pPr>
              <w:spacing w:before="0"/>
              <w:rPr>
                <w:rFonts w:asciiTheme="majorHAnsi" w:hAnsiTheme="majorHAnsi"/>
                <w:sz w:val="20"/>
                <w:szCs w:val="20"/>
              </w:rPr>
            </w:pPr>
            <w:r w:rsidRPr="00A413E4">
              <w:rPr>
                <w:rFonts w:asciiTheme="majorHAnsi" w:hAnsiTheme="majorHAnsi"/>
                <w:sz w:val="20"/>
                <w:szCs w:val="20"/>
              </w:rPr>
              <w:t>P</w:t>
            </w:r>
            <w:r w:rsidR="00223E65" w:rsidRPr="00A413E4">
              <w:rPr>
                <w:rFonts w:asciiTheme="majorHAnsi" w:hAnsiTheme="majorHAnsi"/>
                <w:sz w:val="20"/>
                <w:szCs w:val="20"/>
              </w:rPr>
              <w:t>odpora výstavby, rekonštrukcie a modernizácie predškolských zariadení</w:t>
            </w:r>
          </w:p>
          <w:p w:rsidR="00EC008D" w:rsidRPr="00A413E4" w:rsidRDefault="008F1751" w:rsidP="00A413E4">
            <w:pPr>
              <w:spacing w:before="0"/>
              <w:rPr>
                <w:rFonts w:asciiTheme="majorHAnsi" w:hAnsiTheme="majorHAnsi"/>
                <w:sz w:val="20"/>
                <w:szCs w:val="20"/>
              </w:rPr>
            </w:pPr>
            <w:r w:rsidRPr="00A413E4">
              <w:rPr>
                <w:rFonts w:asciiTheme="majorHAnsi" w:hAnsiTheme="majorHAnsi"/>
                <w:sz w:val="20"/>
                <w:szCs w:val="20"/>
              </w:rPr>
              <w:t>P</w:t>
            </w:r>
            <w:r w:rsidR="00223E65" w:rsidRPr="00A413E4">
              <w:rPr>
                <w:rFonts w:asciiTheme="majorHAnsi" w:hAnsiTheme="majorHAnsi"/>
                <w:sz w:val="20"/>
                <w:szCs w:val="20"/>
              </w:rPr>
              <w:t>odpora výstavby, rekonštrukcie, modernizácie komunitných centier</w:t>
            </w:r>
          </w:p>
        </w:tc>
        <w:tc>
          <w:tcPr>
            <w:tcW w:w="689" w:type="pct"/>
          </w:tcPr>
          <w:p w:rsidR="00EC008D" w:rsidRPr="00A413E4" w:rsidRDefault="00223E65" w:rsidP="00AD6AA1">
            <w:pPr>
              <w:rPr>
                <w:rFonts w:asciiTheme="majorHAnsi" w:hAnsiTheme="majorHAnsi"/>
                <w:sz w:val="20"/>
                <w:szCs w:val="20"/>
              </w:rPr>
            </w:pPr>
            <w:r w:rsidRPr="00A413E4">
              <w:rPr>
                <w:rFonts w:asciiTheme="majorHAnsi" w:hAnsiTheme="majorHAnsi"/>
                <w:sz w:val="20"/>
                <w:szCs w:val="20"/>
              </w:rPr>
              <w:lastRenderedPageBreak/>
              <w:t xml:space="preserve">Technická </w:t>
            </w:r>
            <w:r w:rsidRPr="00A413E4">
              <w:rPr>
                <w:rFonts w:asciiTheme="majorHAnsi" w:hAnsiTheme="majorHAnsi"/>
                <w:sz w:val="20"/>
                <w:szCs w:val="20"/>
              </w:rPr>
              <w:lastRenderedPageBreak/>
              <w:t>vybavenosť v obciach s prítomnosťou MRK</w:t>
            </w:r>
          </w:p>
        </w:tc>
        <w:tc>
          <w:tcPr>
            <w:tcW w:w="685" w:type="pct"/>
          </w:tcPr>
          <w:p w:rsidR="00EC008D" w:rsidRPr="00A413E4" w:rsidRDefault="00223E65" w:rsidP="00A704DC">
            <w:pPr>
              <w:rPr>
                <w:rFonts w:asciiTheme="majorHAnsi" w:hAnsiTheme="majorHAnsi"/>
                <w:sz w:val="20"/>
                <w:szCs w:val="20"/>
              </w:rPr>
            </w:pPr>
            <w:r w:rsidRPr="00A413E4">
              <w:rPr>
                <w:rFonts w:asciiTheme="majorHAnsi" w:hAnsiTheme="majorHAnsi"/>
                <w:sz w:val="20"/>
                <w:szCs w:val="20"/>
              </w:rPr>
              <w:lastRenderedPageBreak/>
              <w:t>Poskytovani</w:t>
            </w:r>
            <w:r w:rsidRPr="00A413E4">
              <w:rPr>
                <w:rFonts w:asciiTheme="majorHAnsi" w:hAnsiTheme="majorHAnsi"/>
                <w:sz w:val="20"/>
                <w:szCs w:val="20"/>
              </w:rPr>
              <w:lastRenderedPageBreak/>
              <w:t>e podpory fyzickej, ekonomickej a sociálnej regenerácie zanedbaných komunít v</w:t>
            </w:r>
            <w:r w:rsidR="00F9081C" w:rsidRPr="005575C1">
              <w:rPr>
                <w:rFonts w:asciiTheme="majorHAnsi" w:hAnsiTheme="majorHAnsi"/>
                <w:sz w:val="20"/>
                <w:szCs w:val="20"/>
              </w:rPr>
              <w:t> </w:t>
            </w:r>
            <w:r w:rsidRPr="00A413E4">
              <w:rPr>
                <w:rFonts w:asciiTheme="majorHAnsi" w:hAnsiTheme="majorHAnsi"/>
                <w:sz w:val="20"/>
                <w:szCs w:val="20"/>
              </w:rPr>
              <w:t>mestských a</w:t>
            </w:r>
            <w:r w:rsidR="00F9081C" w:rsidRPr="005575C1">
              <w:rPr>
                <w:rFonts w:asciiTheme="majorHAnsi" w:hAnsiTheme="majorHAnsi"/>
                <w:sz w:val="20"/>
                <w:szCs w:val="20"/>
              </w:rPr>
              <w:t> </w:t>
            </w:r>
            <w:r w:rsidRPr="00A413E4">
              <w:rPr>
                <w:rFonts w:asciiTheme="majorHAnsi" w:hAnsiTheme="majorHAnsi"/>
                <w:sz w:val="20"/>
                <w:szCs w:val="20"/>
              </w:rPr>
              <w:t>vidieckych oblastiach</w:t>
            </w:r>
          </w:p>
        </w:tc>
        <w:tc>
          <w:tcPr>
            <w:tcW w:w="383" w:type="pct"/>
          </w:tcPr>
          <w:p w:rsidR="00EC008D" w:rsidRPr="00A413E4" w:rsidRDefault="00223E65" w:rsidP="00B16A93">
            <w:pPr>
              <w:rPr>
                <w:rFonts w:asciiTheme="majorHAnsi" w:hAnsiTheme="majorHAnsi"/>
                <w:sz w:val="20"/>
                <w:szCs w:val="20"/>
              </w:rPr>
            </w:pPr>
            <w:r w:rsidRPr="00A413E4">
              <w:rPr>
                <w:rFonts w:asciiTheme="majorHAnsi" w:hAnsiTheme="majorHAnsi"/>
                <w:sz w:val="20"/>
                <w:szCs w:val="20"/>
              </w:rPr>
              <w:lastRenderedPageBreak/>
              <w:t>E</w:t>
            </w:r>
            <w:r w:rsidR="00B16A93">
              <w:rPr>
                <w:rFonts w:asciiTheme="majorHAnsi" w:hAnsiTheme="majorHAnsi"/>
                <w:sz w:val="20"/>
                <w:szCs w:val="20"/>
              </w:rPr>
              <w:t>FRR</w:t>
            </w:r>
          </w:p>
        </w:tc>
        <w:tc>
          <w:tcPr>
            <w:tcW w:w="588" w:type="pct"/>
            <w:vAlign w:val="center"/>
          </w:tcPr>
          <w:p w:rsidR="00EC008D" w:rsidRPr="00A413E4" w:rsidRDefault="00223E65" w:rsidP="00174E83">
            <w:pPr>
              <w:jc w:val="center"/>
              <w:rPr>
                <w:rFonts w:asciiTheme="majorHAnsi" w:hAnsiTheme="majorHAnsi"/>
                <w:sz w:val="20"/>
                <w:szCs w:val="20"/>
              </w:rPr>
            </w:pPr>
            <w:r w:rsidRPr="00A413E4">
              <w:rPr>
                <w:rFonts w:asciiTheme="majorHAnsi" w:hAnsiTheme="majorHAnsi"/>
                <w:sz w:val="20"/>
                <w:szCs w:val="20"/>
              </w:rPr>
              <w:t xml:space="preserve">Menej </w:t>
            </w:r>
            <w:r w:rsidRPr="00A413E4">
              <w:rPr>
                <w:rFonts w:asciiTheme="majorHAnsi" w:hAnsiTheme="majorHAnsi"/>
                <w:sz w:val="20"/>
                <w:szCs w:val="20"/>
              </w:rPr>
              <w:lastRenderedPageBreak/>
              <w:t>rozvinutý regi</w:t>
            </w:r>
            <w:r w:rsidR="0064064A" w:rsidRPr="00A413E4">
              <w:rPr>
                <w:rFonts w:asciiTheme="majorHAnsi" w:hAnsiTheme="majorHAnsi"/>
                <w:sz w:val="20"/>
                <w:szCs w:val="20"/>
              </w:rPr>
              <w:t>ó</w:t>
            </w:r>
            <w:r w:rsidRPr="00A413E4">
              <w:rPr>
                <w:rFonts w:asciiTheme="majorHAnsi" w:hAnsiTheme="majorHAnsi"/>
                <w:sz w:val="20"/>
                <w:szCs w:val="20"/>
              </w:rPr>
              <w:t>n</w:t>
            </w:r>
          </w:p>
        </w:tc>
      </w:tr>
      <w:tr w:rsidR="006C2112" w:rsidRPr="00A11FE0" w:rsidTr="00174E83">
        <w:trPr>
          <w:trHeight w:val="1072"/>
        </w:trPr>
        <w:tc>
          <w:tcPr>
            <w:tcW w:w="976" w:type="pct"/>
          </w:tcPr>
          <w:p w:rsidR="00B66842" w:rsidRPr="00C25EC9" w:rsidRDefault="00B66842" w:rsidP="00B66842">
            <w:pPr>
              <w:spacing w:after="240"/>
              <w:rPr>
                <w:rFonts w:asciiTheme="majorHAnsi" w:hAnsiTheme="majorHAnsi"/>
                <w:sz w:val="20"/>
                <w:szCs w:val="20"/>
              </w:rPr>
            </w:pPr>
            <w:r w:rsidRPr="00C25EC9">
              <w:rPr>
                <w:rFonts w:asciiTheme="majorHAnsi" w:hAnsiTheme="majorHAnsi"/>
                <w:sz w:val="20"/>
                <w:szCs w:val="20"/>
              </w:rPr>
              <w:lastRenderedPageBreak/>
              <w:t xml:space="preserve">Obyvatelia </w:t>
            </w:r>
            <w:r w:rsidR="00A704DC">
              <w:rPr>
                <w:rFonts w:asciiTheme="majorHAnsi" w:hAnsiTheme="majorHAnsi"/>
                <w:sz w:val="20"/>
                <w:szCs w:val="20"/>
              </w:rPr>
              <w:t>MRK</w:t>
            </w:r>
            <w:r w:rsidRPr="00C25EC9">
              <w:rPr>
                <w:rFonts w:asciiTheme="majorHAnsi" w:hAnsiTheme="majorHAnsi"/>
                <w:sz w:val="20"/>
                <w:szCs w:val="20"/>
              </w:rPr>
              <w:t xml:space="preserve"> </w:t>
            </w:r>
          </w:p>
          <w:p w:rsidR="00EC008D" w:rsidRPr="00A413E4" w:rsidRDefault="00B66842" w:rsidP="00B66842">
            <w:pPr>
              <w:rPr>
                <w:rFonts w:asciiTheme="majorHAnsi" w:hAnsiTheme="majorHAnsi"/>
                <w:sz w:val="20"/>
                <w:szCs w:val="20"/>
              </w:rPr>
            </w:pPr>
            <w:r w:rsidRPr="00C25EC9">
              <w:rPr>
                <w:rFonts w:asciiTheme="majorHAnsi" w:hAnsiTheme="majorHAnsi"/>
                <w:sz w:val="20"/>
                <w:szCs w:val="20"/>
              </w:rPr>
              <w:t>Oprávnenými územiami budú územné samosprávy zaradené v Atlase rómskych komunít vykazujúce určený stupeň segregačného indexu.</w:t>
            </w:r>
          </w:p>
        </w:tc>
        <w:tc>
          <w:tcPr>
            <w:tcW w:w="1679" w:type="pct"/>
          </w:tcPr>
          <w:p w:rsidR="00EC008D" w:rsidRPr="00A413E4" w:rsidRDefault="000803E3" w:rsidP="0048355D">
            <w:pPr>
              <w:spacing w:before="0"/>
              <w:rPr>
                <w:rFonts w:asciiTheme="majorHAnsi" w:hAnsiTheme="majorHAnsi"/>
                <w:sz w:val="20"/>
                <w:szCs w:val="20"/>
              </w:rPr>
            </w:pPr>
            <w:r w:rsidRPr="00A413E4">
              <w:rPr>
                <w:rFonts w:asciiTheme="majorHAnsi" w:hAnsiTheme="majorHAnsi"/>
                <w:sz w:val="20"/>
                <w:szCs w:val="20"/>
              </w:rPr>
              <w:t>Podpora nákupu zariadení, technológií a licencií potrebných na realizáciu schváleného podnikateľského plánu subjektom sociálnej ekonomiky s dôrazom na využívanie mikropôžičiek</w:t>
            </w:r>
          </w:p>
        </w:tc>
        <w:tc>
          <w:tcPr>
            <w:tcW w:w="689" w:type="pct"/>
          </w:tcPr>
          <w:p w:rsidR="00EC008D" w:rsidRPr="00A413E4" w:rsidRDefault="00147D76" w:rsidP="00F9081C">
            <w:pPr>
              <w:rPr>
                <w:rFonts w:asciiTheme="majorHAnsi" w:hAnsiTheme="majorHAnsi"/>
                <w:sz w:val="20"/>
                <w:szCs w:val="20"/>
              </w:rPr>
            </w:pPr>
            <w:r w:rsidRPr="00A413E4">
              <w:rPr>
                <w:rFonts w:asciiTheme="majorHAnsi" w:hAnsiTheme="majorHAnsi"/>
                <w:sz w:val="20"/>
                <w:szCs w:val="20"/>
              </w:rPr>
              <w:t>Technická vybavenosť v obciach s</w:t>
            </w:r>
            <w:r w:rsidR="00F9081C" w:rsidRPr="005575C1">
              <w:rPr>
                <w:rFonts w:asciiTheme="majorHAnsi" w:hAnsiTheme="majorHAnsi"/>
                <w:sz w:val="20"/>
                <w:szCs w:val="20"/>
              </w:rPr>
              <w:t> </w:t>
            </w:r>
            <w:r w:rsidRPr="00A413E4">
              <w:rPr>
                <w:rFonts w:asciiTheme="majorHAnsi" w:hAnsiTheme="majorHAnsi"/>
                <w:sz w:val="20"/>
                <w:szCs w:val="20"/>
              </w:rPr>
              <w:t>prítomnosťou MRK</w:t>
            </w:r>
          </w:p>
        </w:tc>
        <w:tc>
          <w:tcPr>
            <w:tcW w:w="685" w:type="pct"/>
          </w:tcPr>
          <w:p w:rsidR="00EC008D" w:rsidRPr="00A413E4" w:rsidRDefault="000803E3" w:rsidP="00AD6AA1">
            <w:pPr>
              <w:rPr>
                <w:rFonts w:asciiTheme="majorHAnsi" w:hAnsiTheme="majorHAnsi"/>
                <w:sz w:val="20"/>
                <w:szCs w:val="20"/>
              </w:rPr>
            </w:pPr>
            <w:r w:rsidRPr="00A413E4">
              <w:rPr>
                <w:rFonts w:asciiTheme="majorHAnsi" w:hAnsiTheme="majorHAnsi"/>
                <w:sz w:val="20"/>
                <w:szCs w:val="20"/>
              </w:rPr>
              <w:t>Poskytovanie podpory sociálnym podnikom</w:t>
            </w:r>
          </w:p>
        </w:tc>
        <w:tc>
          <w:tcPr>
            <w:tcW w:w="383" w:type="pct"/>
            <w:vAlign w:val="center"/>
          </w:tcPr>
          <w:p w:rsidR="00EC008D" w:rsidRPr="00A413E4" w:rsidRDefault="00147D76" w:rsidP="00174E83">
            <w:pPr>
              <w:jc w:val="center"/>
              <w:rPr>
                <w:rFonts w:asciiTheme="majorHAnsi" w:hAnsiTheme="majorHAnsi"/>
                <w:sz w:val="20"/>
                <w:szCs w:val="20"/>
              </w:rPr>
            </w:pPr>
            <w:r>
              <w:rPr>
                <w:rFonts w:asciiTheme="majorHAnsi" w:hAnsiTheme="majorHAnsi"/>
                <w:sz w:val="20"/>
                <w:szCs w:val="20"/>
              </w:rPr>
              <w:t>EFRR</w:t>
            </w:r>
          </w:p>
        </w:tc>
        <w:tc>
          <w:tcPr>
            <w:tcW w:w="588" w:type="pct"/>
            <w:vAlign w:val="center"/>
          </w:tcPr>
          <w:p w:rsidR="00EC008D" w:rsidRPr="00A413E4" w:rsidRDefault="00147D76" w:rsidP="00174E83">
            <w:pPr>
              <w:jc w:val="center"/>
              <w:rPr>
                <w:rFonts w:asciiTheme="majorHAnsi" w:hAnsiTheme="majorHAnsi"/>
                <w:sz w:val="20"/>
                <w:szCs w:val="20"/>
              </w:rPr>
            </w:pPr>
            <w:r w:rsidRPr="00A413E4">
              <w:rPr>
                <w:rFonts w:asciiTheme="majorHAnsi" w:hAnsiTheme="majorHAnsi"/>
                <w:sz w:val="20"/>
                <w:szCs w:val="20"/>
              </w:rPr>
              <w:t>Menej rozvinutý región</w:t>
            </w:r>
          </w:p>
        </w:tc>
      </w:tr>
    </w:tbl>
    <w:p w:rsidR="00EC008D" w:rsidRPr="00A11FE0" w:rsidRDefault="00EC008D" w:rsidP="007F0E6D">
      <w:pPr>
        <w:pStyle w:val="Nadpis1"/>
        <w:numPr>
          <w:ilvl w:val="0"/>
          <w:numId w:val="2"/>
        </w:numPr>
        <w:spacing w:before="240"/>
        <w:ind w:left="431" w:hanging="431"/>
        <w:rPr>
          <w:noProof/>
        </w:rPr>
      </w:pPr>
      <w:bookmarkStart w:id="668" w:name="_Toc378168781"/>
      <w:bookmarkStart w:id="669" w:name="_Toc490655237"/>
      <w:r w:rsidRPr="00A11FE0">
        <w:rPr>
          <w:noProof/>
        </w:rPr>
        <w:t xml:space="preserve">Opatrenia na </w:t>
      </w:r>
      <w:r w:rsidRPr="00A11FE0">
        <w:t>zabezpečenie</w:t>
      </w:r>
      <w:r w:rsidRPr="00A11FE0">
        <w:rPr>
          <w:noProof/>
        </w:rPr>
        <w:t xml:space="preserve"> účinn</w:t>
      </w:r>
      <w:r w:rsidR="00851D12">
        <w:rPr>
          <w:noProof/>
        </w:rPr>
        <w:t>ého vykonávania EŠIF</w:t>
      </w:r>
      <w:bookmarkEnd w:id="668"/>
      <w:bookmarkEnd w:id="669"/>
    </w:p>
    <w:p w:rsidR="00EC008D" w:rsidRPr="00A11FE0" w:rsidRDefault="00851D12" w:rsidP="007F0E6D">
      <w:pPr>
        <w:pStyle w:val="Nadpis2"/>
        <w:numPr>
          <w:ilvl w:val="1"/>
          <w:numId w:val="2"/>
        </w:numPr>
      </w:pPr>
      <w:bookmarkStart w:id="670" w:name="_Toc377406515"/>
      <w:bookmarkStart w:id="671" w:name="_Toc378168782"/>
      <w:bookmarkStart w:id="672" w:name="_Toc490655238"/>
      <w:bookmarkEnd w:id="670"/>
      <w:r w:rsidRPr="00851D12">
        <w:t xml:space="preserve">Vyhodnotenie existujúcich </w:t>
      </w:r>
      <w:r w:rsidR="00BD5FD5">
        <w:t>s</w:t>
      </w:r>
      <w:r w:rsidRPr="00851D12">
        <w:t xml:space="preserve">ystémov elektronickej výmeny údajov </w:t>
      </w:r>
      <w:r w:rsidR="00BD5FD5">
        <w:t>a</w:t>
      </w:r>
      <w:r w:rsidR="007F08EE">
        <w:t> </w:t>
      </w:r>
      <w:r w:rsidR="00BD5FD5">
        <w:t>s</w:t>
      </w:r>
      <w:r w:rsidRPr="00851D12">
        <w:t xml:space="preserve">úhrn plánovaných opatrení </w:t>
      </w:r>
      <w:r w:rsidR="00BD5FD5">
        <w:t>s</w:t>
      </w:r>
      <w:r w:rsidR="007F08EE">
        <w:t> </w:t>
      </w:r>
      <w:r w:rsidRPr="00851D12">
        <w:t xml:space="preserve">cieľom postupne umožniť, </w:t>
      </w:r>
      <w:r w:rsidR="00BD5FD5">
        <w:t>a</w:t>
      </w:r>
      <w:r w:rsidRPr="00851D12">
        <w:t xml:space="preserve">by </w:t>
      </w:r>
      <w:r w:rsidR="00BD5FD5">
        <w:t>s</w:t>
      </w:r>
      <w:r w:rsidRPr="00851D12">
        <w:t xml:space="preserve">a všetky výmeny informácií medzi prijímateľmi </w:t>
      </w:r>
      <w:r w:rsidR="00BD5FD5">
        <w:t>a</w:t>
      </w:r>
      <w:r w:rsidR="007F08EE">
        <w:t> </w:t>
      </w:r>
      <w:r w:rsidRPr="00851D12">
        <w:t xml:space="preserve">orgánmi zodpovednými za riadenie </w:t>
      </w:r>
      <w:r w:rsidR="00BD5FD5">
        <w:t>a</w:t>
      </w:r>
      <w:r w:rsidR="007F08EE">
        <w:t> </w:t>
      </w:r>
      <w:r w:rsidR="00BD5FD5">
        <w:t>k</w:t>
      </w:r>
      <w:r w:rsidRPr="00851D12">
        <w:t xml:space="preserve">ontrolu programov uskutočňovali prostredníctvom elektronickej výmeny </w:t>
      </w:r>
      <w:r>
        <w:t>údajov</w:t>
      </w:r>
      <w:bookmarkEnd w:id="671"/>
      <w:bookmarkEnd w:id="672"/>
    </w:p>
    <w:p w:rsidR="0021713D" w:rsidRPr="00A11FE0" w:rsidRDefault="0021713D" w:rsidP="0021713D">
      <w:pPr>
        <w:rPr>
          <w:rFonts w:asciiTheme="majorHAnsi" w:hAnsiTheme="majorHAnsi"/>
          <w:szCs w:val="22"/>
        </w:rPr>
      </w:pPr>
      <w:r>
        <w:rPr>
          <w:rFonts w:asciiTheme="majorHAnsi" w:hAnsiTheme="majorHAnsi"/>
          <w:szCs w:val="22"/>
        </w:rPr>
        <w:t>SR</w:t>
      </w:r>
      <w:r w:rsidRPr="00A11FE0">
        <w:rPr>
          <w:rFonts w:asciiTheme="majorHAnsi" w:hAnsiTheme="majorHAnsi"/>
          <w:szCs w:val="22"/>
        </w:rPr>
        <w:t xml:space="preserve"> plánuje upraviť </w:t>
      </w:r>
      <w:r>
        <w:rPr>
          <w:rFonts w:asciiTheme="majorHAnsi" w:hAnsiTheme="majorHAnsi"/>
          <w:szCs w:val="22"/>
        </w:rPr>
        <w:t>s</w:t>
      </w:r>
      <w:r w:rsidRPr="00A11FE0">
        <w:rPr>
          <w:rFonts w:asciiTheme="majorHAnsi" w:hAnsiTheme="majorHAnsi"/>
          <w:szCs w:val="22"/>
        </w:rPr>
        <w:t xml:space="preserve">účasný informačný </w:t>
      </w:r>
      <w:r>
        <w:rPr>
          <w:rFonts w:asciiTheme="majorHAnsi" w:hAnsiTheme="majorHAnsi"/>
          <w:szCs w:val="22"/>
        </w:rPr>
        <w:t>s</w:t>
      </w:r>
      <w:r w:rsidRPr="00A11FE0">
        <w:rPr>
          <w:rFonts w:asciiTheme="majorHAnsi" w:hAnsiTheme="majorHAnsi"/>
          <w:szCs w:val="22"/>
        </w:rPr>
        <w:t>ystém ITMS pre EŠIF</w:t>
      </w:r>
      <w:r>
        <w:rPr>
          <w:rFonts w:asciiTheme="majorHAnsi" w:hAnsiTheme="majorHAnsi"/>
          <w:szCs w:val="22"/>
        </w:rPr>
        <w:t>,</w:t>
      </w:r>
      <w:r w:rsidRPr="00A11FE0">
        <w:rPr>
          <w:rFonts w:asciiTheme="majorHAnsi" w:hAnsiTheme="majorHAnsi"/>
          <w:szCs w:val="22"/>
        </w:rPr>
        <w:t xml:space="preserve"> okrem EPFRV</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 informačný </w:t>
      </w:r>
      <w:r>
        <w:rPr>
          <w:rFonts w:asciiTheme="majorHAnsi" w:hAnsiTheme="majorHAnsi"/>
          <w:szCs w:val="22"/>
        </w:rPr>
        <w:t>s</w:t>
      </w:r>
      <w:r w:rsidRPr="00A11FE0">
        <w:rPr>
          <w:rFonts w:asciiTheme="majorHAnsi" w:hAnsiTheme="majorHAnsi"/>
          <w:szCs w:val="22"/>
        </w:rPr>
        <w:t xml:space="preserve">ystém Pôdohospodárskej platobnej </w:t>
      </w:r>
      <w:r>
        <w:rPr>
          <w:rFonts w:asciiTheme="majorHAnsi" w:hAnsiTheme="majorHAnsi"/>
          <w:szCs w:val="22"/>
        </w:rPr>
        <w:t>a</w:t>
      </w:r>
      <w:r w:rsidRPr="00A11FE0">
        <w:rPr>
          <w:rFonts w:asciiTheme="majorHAnsi" w:hAnsiTheme="majorHAnsi"/>
          <w:szCs w:val="22"/>
        </w:rPr>
        <w:t xml:space="preserve">gentúry pre EPFRV (ďalej </w:t>
      </w:r>
      <w:r>
        <w:rPr>
          <w:rFonts w:asciiTheme="majorHAnsi" w:hAnsiTheme="majorHAnsi"/>
          <w:szCs w:val="22"/>
        </w:rPr>
        <w:t>a</w:t>
      </w:r>
      <w:r w:rsidRPr="00A11FE0">
        <w:rPr>
          <w:rFonts w:asciiTheme="majorHAnsi" w:hAnsiTheme="majorHAnsi"/>
          <w:szCs w:val="22"/>
        </w:rPr>
        <w:t>j „IS PPA“) najmä v zmysle požiadaviek princípov e-</w:t>
      </w:r>
      <w:r>
        <w:rPr>
          <w:rFonts w:asciiTheme="majorHAnsi" w:hAnsiTheme="majorHAnsi"/>
          <w:szCs w:val="22"/>
        </w:rPr>
        <w:t>k</w:t>
      </w:r>
      <w:r w:rsidRPr="00A11FE0">
        <w:rPr>
          <w:rFonts w:asciiTheme="majorHAnsi" w:hAnsiTheme="majorHAnsi"/>
          <w:szCs w:val="22"/>
        </w:rPr>
        <w:t>ohézie</w:t>
      </w:r>
      <w:r w:rsidRPr="00A11FE0">
        <w:rPr>
          <w:rFonts w:asciiTheme="majorHAnsi" w:hAnsiTheme="majorHAnsi"/>
          <w:i/>
          <w:szCs w:val="22"/>
        </w:rPr>
        <w:t xml:space="preserve"> </w:t>
      </w:r>
      <w:r w:rsidRPr="00A11FE0">
        <w:rPr>
          <w:rFonts w:asciiTheme="majorHAnsi" w:hAnsiTheme="majorHAnsi"/>
          <w:szCs w:val="22"/>
        </w:rPr>
        <w:t>uvedených v</w:t>
      </w:r>
      <w:r>
        <w:rPr>
          <w:rFonts w:asciiTheme="majorHAnsi" w:hAnsiTheme="majorHAnsi"/>
          <w:szCs w:val="22"/>
        </w:rPr>
        <w:t> </w:t>
      </w:r>
      <w:r w:rsidRPr="00A11FE0">
        <w:rPr>
          <w:rFonts w:asciiTheme="majorHAnsi" w:hAnsiTheme="majorHAnsi"/>
          <w:szCs w:val="22"/>
        </w:rPr>
        <w:t>nariadení</w:t>
      </w:r>
      <w:r>
        <w:rPr>
          <w:rFonts w:asciiTheme="majorHAnsi" w:hAnsiTheme="majorHAnsi"/>
          <w:szCs w:val="22"/>
        </w:rPr>
        <w:t xml:space="preserve"> Európskeho parlamentu a</w:t>
      </w:r>
      <w:r w:rsidR="005211F5">
        <w:rPr>
          <w:rFonts w:asciiTheme="majorHAnsi" w:hAnsiTheme="majorHAnsi"/>
          <w:szCs w:val="22"/>
        </w:rPr>
        <w:t> </w:t>
      </w:r>
      <w:r>
        <w:rPr>
          <w:rFonts w:asciiTheme="majorHAnsi" w:hAnsiTheme="majorHAnsi"/>
          <w:szCs w:val="22"/>
        </w:rPr>
        <w:t>Rady</w:t>
      </w:r>
      <w:r w:rsidR="005211F5">
        <w:rPr>
          <w:rFonts w:asciiTheme="majorHAnsi" w:hAnsiTheme="majorHAnsi"/>
          <w:szCs w:val="22"/>
        </w:rPr>
        <w:t xml:space="preserve"> </w:t>
      </w:r>
      <w:r>
        <w:rPr>
          <w:rFonts w:asciiTheme="majorHAnsi" w:hAnsiTheme="majorHAnsi"/>
          <w:szCs w:val="22"/>
        </w:rPr>
        <w:t>(</w:t>
      </w:r>
      <w:r w:rsidRPr="00A11FE0">
        <w:rPr>
          <w:rFonts w:asciiTheme="majorHAnsi" w:hAnsiTheme="majorHAnsi"/>
          <w:szCs w:val="22"/>
        </w:rPr>
        <w:t>EÚ</w:t>
      </w:r>
      <w:r>
        <w:rPr>
          <w:rFonts w:asciiTheme="majorHAnsi" w:hAnsiTheme="majorHAnsi"/>
          <w:szCs w:val="22"/>
        </w:rPr>
        <w:t xml:space="preserve">) </w:t>
      </w:r>
      <w:r w:rsidRPr="00851D12">
        <w:rPr>
          <w:rFonts w:asciiTheme="majorHAnsi" w:hAnsiTheme="majorHAnsi"/>
          <w:szCs w:val="22"/>
        </w:rPr>
        <w:t xml:space="preserve">č. 1303/2013 </w:t>
      </w:r>
      <w:r>
        <w:rPr>
          <w:rFonts w:asciiTheme="majorHAnsi" w:hAnsiTheme="majorHAnsi"/>
          <w:szCs w:val="22"/>
        </w:rPr>
        <w:t>a </w:t>
      </w:r>
      <w:r w:rsidRPr="00A11FE0">
        <w:rPr>
          <w:rFonts w:asciiTheme="majorHAnsi" w:hAnsiTheme="majorHAnsi"/>
          <w:szCs w:val="22"/>
        </w:rPr>
        <w:t xml:space="preserve">požiadaviek zákona č. 305/2013 Z. z. o elektronickej podobe výkonu pôsobnosti orgánov verejnej moci </w:t>
      </w:r>
      <w:r>
        <w:rPr>
          <w:rFonts w:asciiTheme="majorHAnsi" w:hAnsiTheme="majorHAnsi"/>
          <w:szCs w:val="22"/>
        </w:rPr>
        <w:t>a</w:t>
      </w:r>
      <w:r w:rsidRPr="00A11FE0">
        <w:rPr>
          <w:rFonts w:asciiTheme="majorHAnsi" w:hAnsiTheme="majorHAnsi"/>
          <w:szCs w:val="22"/>
        </w:rPr>
        <w:t xml:space="preserve"> o zmene </w:t>
      </w:r>
      <w:r>
        <w:rPr>
          <w:rFonts w:asciiTheme="majorHAnsi" w:hAnsiTheme="majorHAnsi"/>
          <w:szCs w:val="22"/>
        </w:rPr>
        <w:t>a</w:t>
      </w:r>
      <w:r w:rsidRPr="00A11FE0">
        <w:rPr>
          <w:rFonts w:asciiTheme="majorHAnsi" w:hAnsiTheme="majorHAnsi"/>
          <w:szCs w:val="22"/>
        </w:rPr>
        <w:t xml:space="preserve"> doplnení niektorých zákonov (ďalej </w:t>
      </w:r>
      <w:r>
        <w:rPr>
          <w:rFonts w:asciiTheme="majorHAnsi" w:hAnsiTheme="majorHAnsi"/>
          <w:szCs w:val="22"/>
        </w:rPr>
        <w:t>a</w:t>
      </w:r>
      <w:r w:rsidRPr="00A11FE0">
        <w:rPr>
          <w:rFonts w:asciiTheme="majorHAnsi" w:hAnsiTheme="majorHAnsi"/>
          <w:szCs w:val="22"/>
        </w:rPr>
        <w:t>j „zákon o e-Governmente“)</w:t>
      </w:r>
      <w:r w:rsidRPr="00A11FE0">
        <w:rPr>
          <w:rFonts w:asciiTheme="majorHAnsi" w:hAnsiTheme="majorHAnsi"/>
          <w:i/>
          <w:szCs w:val="22"/>
        </w:rPr>
        <w:t xml:space="preserve">, </w:t>
      </w:r>
      <w:r>
        <w:rPr>
          <w:rFonts w:asciiTheme="majorHAnsi" w:hAnsiTheme="majorHAnsi"/>
          <w:szCs w:val="22"/>
        </w:rPr>
        <w:t>k</w:t>
      </w:r>
      <w:r w:rsidRPr="00A11FE0">
        <w:rPr>
          <w:rFonts w:asciiTheme="majorHAnsi" w:hAnsiTheme="majorHAnsi"/>
          <w:szCs w:val="22"/>
        </w:rPr>
        <w:t xml:space="preserve">torý predstavuje všeobecnú právnu úpravu </w:t>
      </w:r>
      <w:r>
        <w:rPr>
          <w:rFonts w:asciiTheme="majorHAnsi" w:hAnsiTheme="majorHAnsi"/>
          <w:szCs w:val="22"/>
        </w:rPr>
        <w:t>s</w:t>
      </w:r>
      <w:r w:rsidRPr="00A11FE0">
        <w:rPr>
          <w:rFonts w:asciiTheme="majorHAnsi" w:hAnsiTheme="majorHAnsi"/>
          <w:szCs w:val="22"/>
        </w:rPr>
        <w:t>pôsobu výkonu verejnej moci elektronick</w:t>
      </w:r>
      <w:r>
        <w:rPr>
          <w:rFonts w:asciiTheme="majorHAnsi" w:hAnsiTheme="majorHAnsi"/>
          <w:szCs w:val="22"/>
        </w:rPr>
        <w:t>ými prostriedkami</w:t>
      </w:r>
      <w:r w:rsidRPr="00A11FE0">
        <w:rPr>
          <w:rFonts w:asciiTheme="majorHAnsi" w:hAnsiTheme="majorHAnsi"/>
          <w:szCs w:val="22"/>
        </w:rPr>
        <w:t>.</w:t>
      </w:r>
    </w:p>
    <w:p w:rsidR="0021713D" w:rsidRDefault="0021713D" w:rsidP="0021713D">
      <w:pPr>
        <w:rPr>
          <w:rFonts w:asciiTheme="majorHAnsi" w:hAnsiTheme="majorHAnsi"/>
          <w:szCs w:val="22"/>
        </w:rPr>
      </w:pPr>
      <w:r w:rsidRPr="00A11FE0">
        <w:rPr>
          <w:rFonts w:asciiTheme="majorHAnsi" w:hAnsiTheme="majorHAnsi"/>
          <w:szCs w:val="22"/>
        </w:rPr>
        <w:t>Princípy e-</w:t>
      </w:r>
      <w:r>
        <w:rPr>
          <w:rFonts w:asciiTheme="majorHAnsi" w:hAnsiTheme="majorHAnsi"/>
          <w:szCs w:val="22"/>
        </w:rPr>
        <w:t>k</w:t>
      </w:r>
      <w:r w:rsidRPr="00A11FE0">
        <w:rPr>
          <w:rFonts w:asciiTheme="majorHAnsi" w:hAnsiTheme="majorHAnsi"/>
          <w:szCs w:val="22"/>
        </w:rPr>
        <w:t xml:space="preserve">ohézie budú implementované vytvorením centralizovaných IS, navzájom prepojených </w:t>
      </w:r>
      <w:r>
        <w:rPr>
          <w:rFonts w:asciiTheme="majorHAnsi" w:hAnsiTheme="majorHAnsi"/>
          <w:szCs w:val="22"/>
        </w:rPr>
        <w:t>a</w:t>
      </w:r>
      <w:r w:rsidRPr="00A11FE0">
        <w:rPr>
          <w:rFonts w:asciiTheme="majorHAnsi" w:hAnsiTheme="majorHAnsi"/>
          <w:szCs w:val="22"/>
        </w:rPr>
        <w:t xml:space="preserve"> zároveň integrovaných </w:t>
      </w:r>
      <w:r>
        <w:rPr>
          <w:rFonts w:asciiTheme="majorHAnsi" w:hAnsiTheme="majorHAnsi"/>
          <w:szCs w:val="22"/>
        </w:rPr>
        <w:t>s</w:t>
      </w:r>
      <w:r w:rsidRPr="00A11FE0">
        <w:rPr>
          <w:rFonts w:asciiTheme="majorHAnsi" w:hAnsiTheme="majorHAnsi"/>
          <w:szCs w:val="22"/>
        </w:rPr>
        <w:t xml:space="preserve"> inými IS verejnej </w:t>
      </w:r>
      <w:r>
        <w:rPr>
          <w:rFonts w:asciiTheme="majorHAnsi" w:hAnsiTheme="majorHAnsi"/>
          <w:szCs w:val="22"/>
        </w:rPr>
        <w:t>s</w:t>
      </w:r>
      <w:r w:rsidRPr="00A11FE0">
        <w:rPr>
          <w:rFonts w:asciiTheme="majorHAnsi" w:hAnsiTheme="majorHAnsi"/>
          <w:szCs w:val="22"/>
        </w:rPr>
        <w:t xml:space="preserve">právy (ďalej </w:t>
      </w:r>
      <w:r>
        <w:rPr>
          <w:rFonts w:asciiTheme="majorHAnsi" w:hAnsiTheme="majorHAnsi"/>
          <w:szCs w:val="22"/>
        </w:rPr>
        <w:t>a</w:t>
      </w:r>
      <w:r w:rsidRPr="00A11FE0">
        <w:rPr>
          <w:rFonts w:asciiTheme="majorHAnsi" w:hAnsiTheme="majorHAnsi"/>
          <w:szCs w:val="22"/>
        </w:rPr>
        <w:t xml:space="preserve">j „IS VS“). </w:t>
      </w:r>
      <w:r w:rsidRPr="00851D12">
        <w:rPr>
          <w:rFonts w:asciiTheme="majorHAnsi" w:hAnsiTheme="majorHAnsi"/>
          <w:szCs w:val="22"/>
        </w:rPr>
        <w:t>Pre EŠIF bud</w:t>
      </w:r>
      <w:r>
        <w:rPr>
          <w:rFonts w:asciiTheme="majorHAnsi" w:hAnsiTheme="majorHAnsi"/>
          <w:szCs w:val="22"/>
        </w:rPr>
        <w:t>ú</w:t>
      </w:r>
      <w:r w:rsidRPr="00851D12">
        <w:rPr>
          <w:rFonts w:asciiTheme="majorHAnsi" w:hAnsiTheme="majorHAnsi"/>
          <w:szCs w:val="22"/>
        </w:rPr>
        <w:t xml:space="preserve"> použit</w:t>
      </w:r>
      <w:r>
        <w:rPr>
          <w:rFonts w:asciiTheme="majorHAnsi" w:hAnsiTheme="majorHAnsi"/>
          <w:szCs w:val="22"/>
        </w:rPr>
        <w:t>é nasledovné IS</w:t>
      </w:r>
      <w:r w:rsidR="00E1347F">
        <w:rPr>
          <w:rFonts w:asciiTheme="majorHAnsi" w:hAnsiTheme="majorHAnsi"/>
          <w:szCs w:val="22"/>
        </w:rPr>
        <w:t>:</w:t>
      </w:r>
      <w:r>
        <w:rPr>
          <w:rFonts w:asciiTheme="majorHAnsi" w:hAnsiTheme="majorHAnsi"/>
          <w:szCs w:val="22"/>
        </w:rPr>
        <w:t xml:space="preserve"> </w:t>
      </w:r>
      <w:r w:rsidRPr="00851D12">
        <w:rPr>
          <w:rFonts w:asciiTheme="majorHAnsi" w:hAnsiTheme="majorHAnsi"/>
          <w:szCs w:val="22"/>
        </w:rPr>
        <w:t>ITMS2014+</w:t>
      </w:r>
      <w:r>
        <w:rPr>
          <w:rFonts w:asciiTheme="majorHAnsi" w:hAnsiTheme="majorHAnsi"/>
          <w:szCs w:val="22"/>
        </w:rPr>
        <w:t xml:space="preserve"> a </w:t>
      </w:r>
      <w:r w:rsidRPr="00A11FE0">
        <w:rPr>
          <w:rFonts w:asciiTheme="majorHAnsi" w:hAnsiTheme="majorHAnsi"/>
          <w:szCs w:val="22"/>
        </w:rPr>
        <w:t>IS PPA</w:t>
      </w:r>
      <w:r>
        <w:rPr>
          <w:rFonts w:asciiTheme="majorHAnsi" w:hAnsiTheme="majorHAnsi"/>
          <w:szCs w:val="22"/>
        </w:rPr>
        <w:t>, ktorý bude</w:t>
      </w:r>
      <w:r w:rsidRPr="00A11FE0">
        <w:rPr>
          <w:rFonts w:asciiTheme="majorHAnsi" w:hAnsiTheme="majorHAnsi"/>
          <w:szCs w:val="22"/>
        </w:rPr>
        <w:t xml:space="preserve"> zahŕňa</w:t>
      </w:r>
      <w:r>
        <w:rPr>
          <w:rFonts w:asciiTheme="majorHAnsi" w:hAnsiTheme="majorHAnsi"/>
          <w:szCs w:val="22"/>
        </w:rPr>
        <w:t>ť</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dministráciu</w:t>
      </w:r>
      <w:r>
        <w:rPr>
          <w:rFonts w:asciiTheme="majorHAnsi" w:hAnsiTheme="majorHAnsi"/>
          <w:szCs w:val="22"/>
        </w:rPr>
        <w:t xml:space="preserve"> </w:t>
      </w:r>
      <w:r w:rsidRPr="00A11FE0">
        <w:rPr>
          <w:rFonts w:asciiTheme="majorHAnsi" w:hAnsiTheme="majorHAnsi"/>
          <w:szCs w:val="22"/>
        </w:rPr>
        <w:t xml:space="preserve">EPFRV </w:t>
      </w:r>
      <w:r>
        <w:rPr>
          <w:rFonts w:asciiTheme="majorHAnsi" w:hAnsiTheme="majorHAnsi"/>
          <w:szCs w:val="22"/>
        </w:rPr>
        <w:t>a</w:t>
      </w:r>
      <w:r w:rsidRPr="00A11FE0">
        <w:rPr>
          <w:rFonts w:asciiTheme="majorHAnsi" w:hAnsiTheme="majorHAnsi"/>
          <w:szCs w:val="22"/>
        </w:rPr>
        <w:t>j EPZF</w:t>
      </w:r>
      <w:r>
        <w:rPr>
          <w:rFonts w:asciiTheme="majorHAnsi" w:hAnsiTheme="majorHAnsi"/>
          <w:szCs w:val="22"/>
        </w:rPr>
        <w:t xml:space="preserve"> (</w:t>
      </w:r>
      <w:r w:rsidRPr="00A11FE0">
        <w:rPr>
          <w:rFonts w:asciiTheme="majorHAnsi" w:hAnsiTheme="majorHAnsi"/>
          <w:szCs w:val="22"/>
        </w:rPr>
        <w:t>n</w:t>
      </w:r>
      <w:r>
        <w:rPr>
          <w:rFonts w:asciiTheme="majorHAnsi" w:hAnsiTheme="majorHAnsi"/>
          <w:szCs w:val="22"/>
        </w:rPr>
        <w:t>ie je</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účasťou EŠIF</w:t>
      </w:r>
      <w:r>
        <w:rPr>
          <w:rFonts w:asciiTheme="majorHAnsi" w:hAnsiTheme="majorHAnsi"/>
          <w:szCs w:val="22"/>
        </w:rPr>
        <w:t xml:space="preserve">), a to z dôvodu, že </w:t>
      </w:r>
      <w:r w:rsidRPr="00A11FE0">
        <w:rPr>
          <w:rFonts w:asciiTheme="majorHAnsi" w:hAnsiTheme="majorHAnsi"/>
          <w:szCs w:val="22"/>
        </w:rPr>
        <w:t>ide o previazané typy podpô</w:t>
      </w:r>
      <w:r>
        <w:rPr>
          <w:rFonts w:asciiTheme="majorHAnsi" w:hAnsiTheme="majorHAnsi"/>
          <w:szCs w:val="22"/>
        </w:rPr>
        <w:t xml:space="preserve">r, ktoré by </w:t>
      </w:r>
      <w:r w:rsidRPr="00A11FE0">
        <w:rPr>
          <w:rFonts w:asciiTheme="majorHAnsi" w:hAnsiTheme="majorHAnsi"/>
          <w:szCs w:val="22"/>
        </w:rPr>
        <w:t xml:space="preserve">bolo </w:t>
      </w:r>
      <w:r>
        <w:rPr>
          <w:rFonts w:asciiTheme="majorHAnsi" w:hAnsiTheme="majorHAnsi"/>
          <w:szCs w:val="22"/>
        </w:rPr>
        <w:t xml:space="preserve">neefektívne a </w:t>
      </w:r>
      <w:r w:rsidRPr="00A11FE0">
        <w:rPr>
          <w:rFonts w:asciiTheme="majorHAnsi" w:hAnsiTheme="majorHAnsi"/>
          <w:szCs w:val="22"/>
        </w:rPr>
        <w:t>finančne nákladné oddeliť</w:t>
      </w:r>
      <w:r>
        <w:rPr>
          <w:rFonts w:asciiTheme="majorHAnsi" w:hAnsiTheme="majorHAnsi"/>
          <w:szCs w:val="22"/>
        </w:rPr>
        <w:t xml:space="preserve"> prostredníctvom s</w:t>
      </w:r>
      <w:r w:rsidRPr="00A11FE0">
        <w:rPr>
          <w:rFonts w:asciiTheme="majorHAnsi" w:hAnsiTheme="majorHAnsi"/>
          <w:szCs w:val="22"/>
        </w:rPr>
        <w:t>amostatn</w:t>
      </w:r>
      <w:r>
        <w:rPr>
          <w:rFonts w:asciiTheme="majorHAnsi" w:hAnsiTheme="majorHAnsi"/>
          <w:szCs w:val="22"/>
        </w:rPr>
        <w:t>ých</w:t>
      </w:r>
      <w:r w:rsidRPr="00A11FE0">
        <w:rPr>
          <w:rFonts w:asciiTheme="majorHAnsi" w:hAnsiTheme="majorHAnsi"/>
          <w:szCs w:val="22"/>
        </w:rPr>
        <w:t xml:space="preserve"> informačných </w:t>
      </w:r>
      <w:r>
        <w:rPr>
          <w:rFonts w:asciiTheme="majorHAnsi" w:hAnsiTheme="majorHAnsi"/>
          <w:szCs w:val="22"/>
        </w:rPr>
        <w:t>s</w:t>
      </w:r>
      <w:r w:rsidRPr="00A11FE0">
        <w:rPr>
          <w:rFonts w:asciiTheme="majorHAnsi" w:hAnsiTheme="majorHAnsi"/>
          <w:szCs w:val="22"/>
        </w:rPr>
        <w:t>ystémo</w:t>
      </w:r>
      <w:r>
        <w:rPr>
          <w:rFonts w:asciiTheme="majorHAnsi" w:hAnsiTheme="majorHAnsi"/>
          <w:szCs w:val="22"/>
        </w:rPr>
        <w:t>v.</w:t>
      </w:r>
    </w:p>
    <w:p w:rsidR="0021713D" w:rsidRDefault="0021713D" w:rsidP="0021713D">
      <w:pPr>
        <w:rPr>
          <w:rFonts w:asciiTheme="majorHAnsi" w:hAnsiTheme="majorHAnsi"/>
          <w:szCs w:val="22"/>
        </w:rPr>
      </w:pPr>
      <w:r>
        <w:rPr>
          <w:rFonts w:asciiTheme="majorHAnsi" w:hAnsiTheme="majorHAnsi"/>
          <w:szCs w:val="22"/>
        </w:rPr>
        <w:t>V podmienkach S</w:t>
      </w:r>
      <w:r w:rsidRPr="00A11FE0">
        <w:rPr>
          <w:rFonts w:asciiTheme="majorHAnsi" w:hAnsiTheme="majorHAnsi"/>
          <w:szCs w:val="22"/>
        </w:rPr>
        <w:t xml:space="preserve">R </w:t>
      </w:r>
      <w:r>
        <w:rPr>
          <w:rFonts w:asciiTheme="majorHAnsi" w:hAnsiTheme="majorHAnsi"/>
          <w:szCs w:val="22"/>
        </w:rPr>
        <w:t>budú tieto</w:t>
      </w:r>
      <w:r w:rsidRPr="00A11FE0">
        <w:rPr>
          <w:rFonts w:asciiTheme="majorHAnsi" w:hAnsiTheme="majorHAnsi"/>
          <w:szCs w:val="22"/>
        </w:rPr>
        <w:t xml:space="preserve"> </w:t>
      </w:r>
      <w:r w:rsidRPr="00851D12">
        <w:rPr>
          <w:rFonts w:asciiTheme="majorHAnsi" w:hAnsiTheme="majorHAnsi"/>
          <w:szCs w:val="22"/>
        </w:rPr>
        <w:t xml:space="preserve">dva </w:t>
      </w:r>
      <w:r>
        <w:rPr>
          <w:rFonts w:asciiTheme="majorHAnsi" w:hAnsiTheme="majorHAnsi"/>
          <w:szCs w:val="22"/>
        </w:rPr>
        <w:t>s</w:t>
      </w:r>
      <w:r w:rsidRPr="00851D12">
        <w:rPr>
          <w:rFonts w:asciiTheme="majorHAnsi" w:hAnsiTheme="majorHAnsi"/>
          <w:szCs w:val="22"/>
        </w:rPr>
        <w:t>amostatn</w:t>
      </w:r>
      <w:r>
        <w:rPr>
          <w:rFonts w:asciiTheme="majorHAnsi" w:hAnsiTheme="majorHAnsi"/>
          <w:szCs w:val="22"/>
        </w:rPr>
        <w:t>é</w:t>
      </w:r>
      <w:r w:rsidRPr="00851D12">
        <w:rPr>
          <w:rFonts w:asciiTheme="majorHAnsi" w:hAnsiTheme="majorHAnsi"/>
          <w:szCs w:val="22"/>
        </w:rPr>
        <w:t xml:space="preserve"> IS (ITMS2014+ </w:t>
      </w:r>
      <w:r>
        <w:rPr>
          <w:rFonts w:asciiTheme="majorHAnsi" w:hAnsiTheme="majorHAnsi"/>
          <w:szCs w:val="22"/>
        </w:rPr>
        <w:t>a </w:t>
      </w:r>
      <w:r w:rsidRPr="00851D12">
        <w:rPr>
          <w:rFonts w:asciiTheme="majorHAnsi" w:hAnsiTheme="majorHAnsi"/>
          <w:szCs w:val="22"/>
        </w:rPr>
        <w:t xml:space="preserve"> IS PPA)</w:t>
      </w:r>
      <w:r>
        <w:rPr>
          <w:rFonts w:asciiTheme="majorHAnsi" w:hAnsiTheme="majorHAnsi"/>
          <w:szCs w:val="22"/>
        </w:rPr>
        <w:t xml:space="preserve"> </w:t>
      </w:r>
      <w:r w:rsidRPr="00851D12">
        <w:rPr>
          <w:rFonts w:asciiTheme="majorHAnsi" w:hAnsiTheme="majorHAnsi"/>
          <w:szCs w:val="22"/>
        </w:rPr>
        <w:t xml:space="preserve">do určitej miery medzi </w:t>
      </w:r>
      <w:r>
        <w:rPr>
          <w:rFonts w:asciiTheme="majorHAnsi" w:hAnsiTheme="majorHAnsi"/>
          <w:szCs w:val="22"/>
        </w:rPr>
        <w:t>s</w:t>
      </w:r>
      <w:r w:rsidRPr="00851D12">
        <w:rPr>
          <w:rFonts w:asciiTheme="majorHAnsi" w:hAnsiTheme="majorHAnsi"/>
          <w:szCs w:val="22"/>
        </w:rPr>
        <w:t>ebou</w:t>
      </w:r>
      <w:r>
        <w:rPr>
          <w:rFonts w:asciiTheme="majorHAnsi" w:hAnsiTheme="majorHAnsi"/>
          <w:szCs w:val="22"/>
        </w:rPr>
        <w:t xml:space="preserve"> </w:t>
      </w:r>
      <w:r w:rsidR="006A44F2">
        <w:rPr>
          <w:rFonts w:asciiTheme="majorHAnsi" w:hAnsiTheme="majorHAnsi"/>
          <w:szCs w:val="22"/>
        </w:rPr>
        <w:t>spoločne využívať</w:t>
      </w:r>
      <w:r w:rsidR="006A44F2" w:rsidRPr="00851D12">
        <w:rPr>
          <w:rFonts w:asciiTheme="majorHAnsi" w:hAnsiTheme="majorHAnsi"/>
          <w:szCs w:val="22"/>
        </w:rPr>
        <w:t xml:space="preserve"> </w:t>
      </w:r>
      <w:r w:rsidRPr="00851D12">
        <w:rPr>
          <w:rFonts w:asciiTheme="majorHAnsi" w:hAnsiTheme="majorHAnsi"/>
          <w:szCs w:val="22"/>
        </w:rPr>
        <w:t xml:space="preserve">dáta </w:t>
      </w:r>
      <w:r>
        <w:rPr>
          <w:rFonts w:asciiTheme="majorHAnsi" w:hAnsiTheme="majorHAnsi"/>
          <w:szCs w:val="22"/>
        </w:rPr>
        <w:t>a </w:t>
      </w:r>
      <w:r w:rsidRPr="00851D12">
        <w:rPr>
          <w:rFonts w:asciiTheme="majorHAnsi" w:hAnsiTheme="majorHAnsi"/>
          <w:szCs w:val="22"/>
        </w:rPr>
        <w:t>informácie v</w:t>
      </w:r>
      <w:r>
        <w:rPr>
          <w:rFonts w:asciiTheme="majorHAnsi" w:hAnsiTheme="majorHAnsi"/>
          <w:szCs w:val="22"/>
        </w:rPr>
        <w:t> </w:t>
      </w:r>
      <w:r w:rsidRPr="00851D12">
        <w:rPr>
          <w:rFonts w:asciiTheme="majorHAnsi" w:hAnsiTheme="majorHAnsi"/>
          <w:szCs w:val="22"/>
        </w:rPr>
        <w:t>nich uložené.</w:t>
      </w:r>
    </w:p>
    <w:p w:rsidR="0021713D" w:rsidRPr="00A11FE0" w:rsidRDefault="0021713D" w:rsidP="0021713D">
      <w:pPr>
        <w:spacing w:after="0"/>
        <w:rPr>
          <w:rFonts w:asciiTheme="majorHAnsi" w:hAnsiTheme="majorHAnsi"/>
          <w:szCs w:val="22"/>
        </w:rPr>
      </w:pPr>
      <w:r>
        <w:rPr>
          <w:rFonts w:asciiTheme="majorHAnsi" w:hAnsiTheme="majorHAnsi"/>
          <w:szCs w:val="22"/>
        </w:rPr>
        <w:lastRenderedPageBreak/>
        <w:t>S</w:t>
      </w:r>
      <w:r w:rsidRPr="00A11FE0">
        <w:rPr>
          <w:rFonts w:asciiTheme="majorHAnsi" w:hAnsiTheme="majorHAnsi"/>
          <w:szCs w:val="22"/>
        </w:rPr>
        <w:t xml:space="preserve">účasný </w:t>
      </w:r>
      <w:r>
        <w:rPr>
          <w:rFonts w:asciiTheme="majorHAnsi" w:hAnsiTheme="majorHAnsi"/>
          <w:szCs w:val="22"/>
        </w:rPr>
        <w:t>s</w:t>
      </w:r>
      <w:r w:rsidRPr="00A11FE0">
        <w:rPr>
          <w:rFonts w:asciiTheme="majorHAnsi" w:hAnsiTheme="majorHAnsi"/>
          <w:szCs w:val="22"/>
        </w:rPr>
        <w:t>tav ITMS čiastkovo pokrýva určité požiadavky na implementáciu princíp</w:t>
      </w:r>
      <w:r>
        <w:rPr>
          <w:rFonts w:asciiTheme="majorHAnsi" w:hAnsiTheme="majorHAnsi"/>
          <w:szCs w:val="22"/>
        </w:rPr>
        <w:t>ov</w:t>
      </w:r>
      <w:r w:rsidRPr="00A11FE0">
        <w:rPr>
          <w:rFonts w:asciiTheme="majorHAnsi" w:hAnsiTheme="majorHAnsi"/>
          <w:szCs w:val="22"/>
        </w:rPr>
        <w:t xml:space="preserve"> e-</w:t>
      </w:r>
      <w:r>
        <w:rPr>
          <w:rFonts w:asciiTheme="majorHAnsi" w:hAnsiTheme="majorHAnsi"/>
          <w:szCs w:val="22"/>
        </w:rPr>
        <w:t>k</w:t>
      </w:r>
      <w:r w:rsidRPr="00A11FE0">
        <w:rPr>
          <w:rFonts w:asciiTheme="majorHAnsi" w:hAnsiTheme="majorHAnsi"/>
          <w:szCs w:val="22"/>
        </w:rPr>
        <w:t xml:space="preserve">ohézie. </w:t>
      </w:r>
      <w:r>
        <w:rPr>
          <w:rFonts w:asciiTheme="majorHAnsi" w:hAnsiTheme="majorHAnsi"/>
          <w:szCs w:val="22"/>
        </w:rPr>
        <w:t>Ide o</w:t>
      </w:r>
      <w:r w:rsidR="00F9081C" w:rsidRPr="005575C1">
        <w:rPr>
          <w:rFonts w:asciiTheme="majorHAnsi" w:hAnsiTheme="majorHAnsi"/>
          <w:sz w:val="20"/>
          <w:szCs w:val="20"/>
        </w:rPr>
        <w:t> </w:t>
      </w:r>
      <w:r w:rsidRPr="00A11FE0">
        <w:rPr>
          <w:rFonts w:asciiTheme="majorHAnsi" w:hAnsiTheme="majorHAnsi"/>
          <w:szCs w:val="22"/>
        </w:rPr>
        <w:t>tieto požiadavky:</w:t>
      </w:r>
    </w:p>
    <w:p w:rsidR="0021713D" w:rsidRPr="00174E83" w:rsidRDefault="0021713D" w:rsidP="009B7C77">
      <w:pPr>
        <w:pStyle w:val="Odsekzoznamu"/>
        <w:numPr>
          <w:ilvl w:val="0"/>
          <w:numId w:val="34"/>
        </w:numPr>
        <w:tabs>
          <w:tab w:val="left" w:pos="567"/>
        </w:tabs>
        <w:spacing w:before="0" w:after="0"/>
        <w:ind w:left="567" w:hanging="283"/>
        <w:rPr>
          <w:rFonts w:asciiTheme="majorHAnsi" w:hAnsiTheme="majorHAnsi"/>
          <w:szCs w:val="22"/>
        </w:rPr>
      </w:pPr>
      <w:r w:rsidRPr="00F31099">
        <w:rPr>
          <w:rFonts w:asciiTheme="majorHAnsi" w:hAnsiTheme="majorHAnsi"/>
          <w:b/>
          <w:szCs w:val="22"/>
        </w:rPr>
        <w:t>Only once encoding</w:t>
      </w:r>
      <w:r w:rsidRPr="00A11FE0">
        <w:rPr>
          <w:rFonts w:asciiTheme="majorHAnsi" w:hAnsiTheme="majorHAnsi"/>
          <w:b/>
          <w:szCs w:val="22"/>
        </w:rPr>
        <w:t xml:space="preserve"> </w:t>
      </w:r>
      <w:r w:rsidRPr="00A11FE0">
        <w:rPr>
          <w:rFonts w:asciiTheme="majorHAnsi" w:hAnsiTheme="majorHAnsi"/>
          <w:szCs w:val="22"/>
        </w:rPr>
        <w:t xml:space="preserve">– ITMS predstavuje centralizovaný IS </w:t>
      </w:r>
      <w:r>
        <w:rPr>
          <w:rFonts w:asciiTheme="majorHAnsi" w:hAnsiTheme="majorHAnsi"/>
          <w:szCs w:val="22"/>
        </w:rPr>
        <w:t>s</w:t>
      </w:r>
      <w:r w:rsidRPr="00A11FE0">
        <w:rPr>
          <w:rFonts w:asciiTheme="majorHAnsi" w:hAnsiTheme="majorHAnsi"/>
          <w:szCs w:val="22"/>
        </w:rPr>
        <w:t> jednotnou databázou. Určité údaje</w:t>
      </w:r>
      <w:r>
        <w:rPr>
          <w:rFonts w:asciiTheme="majorHAnsi" w:hAnsiTheme="majorHAnsi"/>
          <w:szCs w:val="22"/>
        </w:rPr>
        <w:t xml:space="preserve"> a </w:t>
      </w:r>
      <w:r w:rsidRPr="00A11FE0">
        <w:rPr>
          <w:rFonts w:asciiTheme="majorHAnsi" w:hAnsiTheme="majorHAnsi"/>
          <w:szCs w:val="22"/>
        </w:rPr>
        <w:t xml:space="preserve">informácie </w:t>
      </w:r>
      <w:r>
        <w:rPr>
          <w:rFonts w:asciiTheme="majorHAnsi" w:hAnsiTheme="majorHAnsi"/>
          <w:szCs w:val="22"/>
        </w:rPr>
        <w:t>s</w:t>
      </w:r>
      <w:r w:rsidRPr="00A11FE0">
        <w:rPr>
          <w:rFonts w:asciiTheme="majorHAnsi" w:hAnsiTheme="majorHAnsi"/>
          <w:szCs w:val="22"/>
        </w:rPr>
        <w:t>ú už v </w:t>
      </w:r>
      <w:r>
        <w:rPr>
          <w:rFonts w:asciiTheme="majorHAnsi" w:hAnsiTheme="majorHAnsi"/>
          <w:szCs w:val="22"/>
        </w:rPr>
        <w:t>s</w:t>
      </w:r>
      <w:r w:rsidRPr="00A11FE0">
        <w:rPr>
          <w:rFonts w:asciiTheme="majorHAnsi" w:hAnsiTheme="majorHAnsi"/>
          <w:szCs w:val="22"/>
        </w:rPr>
        <w:t>účasnosti do ITMS vložené iba raz</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N</w:t>
      </w:r>
      <w:r w:rsidRPr="00A11FE0">
        <w:rPr>
          <w:rFonts w:asciiTheme="majorHAnsi" w:hAnsiTheme="majorHAnsi"/>
          <w:szCs w:val="22"/>
        </w:rPr>
        <w:t xml:space="preserve">ásledne </w:t>
      </w:r>
      <w:r>
        <w:rPr>
          <w:rFonts w:asciiTheme="majorHAnsi" w:hAnsiTheme="majorHAnsi"/>
          <w:szCs w:val="22"/>
        </w:rPr>
        <w:t>s</w:t>
      </w:r>
      <w:r w:rsidRPr="00A11FE0">
        <w:rPr>
          <w:rFonts w:asciiTheme="majorHAnsi" w:hAnsiTheme="majorHAnsi"/>
          <w:szCs w:val="22"/>
        </w:rPr>
        <w:t xml:space="preserve">ú </w:t>
      </w:r>
      <w:r>
        <w:rPr>
          <w:rFonts w:asciiTheme="majorHAnsi" w:hAnsiTheme="majorHAnsi"/>
          <w:szCs w:val="22"/>
        </w:rPr>
        <w:t>s</w:t>
      </w:r>
      <w:r w:rsidRPr="00A11FE0">
        <w:rPr>
          <w:rFonts w:asciiTheme="majorHAnsi" w:hAnsiTheme="majorHAnsi"/>
          <w:szCs w:val="22"/>
        </w:rPr>
        <w:t xml:space="preserve">ystematicky </w:t>
      </w:r>
      <w:r>
        <w:rPr>
          <w:rFonts w:asciiTheme="majorHAnsi" w:hAnsiTheme="majorHAnsi"/>
          <w:szCs w:val="22"/>
        </w:rPr>
        <w:t>ak</w:t>
      </w:r>
      <w:r w:rsidRPr="00A11FE0">
        <w:rPr>
          <w:rFonts w:asciiTheme="majorHAnsi" w:hAnsiTheme="majorHAnsi"/>
          <w:szCs w:val="22"/>
        </w:rPr>
        <w:t xml:space="preserve">tualizované </w:t>
      </w:r>
      <w:r>
        <w:rPr>
          <w:rFonts w:asciiTheme="majorHAnsi" w:hAnsiTheme="majorHAnsi"/>
          <w:szCs w:val="22"/>
        </w:rPr>
        <w:t>a </w:t>
      </w:r>
      <w:r w:rsidRPr="00731FB8">
        <w:rPr>
          <w:rFonts w:asciiTheme="majorHAnsi" w:hAnsiTheme="majorHAnsi"/>
          <w:szCs w:val="22"/>
        </w:rPr>
        <w:t>využívané viacerými užívateľmi/</w:t>
      </w:r>
      <w:r w:rsidRPr="005211F5">
        <w:rPr>
          <w:rFonts w:asciiTheme="majorHAnsi" w:hAnsiTheme="majorHAnsi"/>
          <w:szCs w:val="22"/>
        </w:rPr>
        <w:t>orgánmi</w:t>
      </w:r>
      <w:r w:rsidRPr="00174E83">
        <w:rPr>
          <w:rFonts w:asciiTheme="majorHAnsi" w:hAnsiTheme="majorHAnsi"/>
          <w:szCs w:val="22"/>
        </w:rPr>
        <w:t>;</w:t>
      </w:r>
    </w:p>
    <w:p w:rsidR="0021713D" w:rsidRPr="00A11FE0" w:rsidRDefault="0021713D" w:rsidP="009B7C77">
      <w:pPr>
        <w:pStyle w:val="Odsekzoznamu"/>
        <w:numPr>
          <w:ilvl w:val="0"/>
          <w:numId w:val="33"/>
        </w:numPr>
        <w:tabs>
          <w:tab w:val="left" w:pos="567"/>
        </w:tabs>
        <w:spacing w:before="0" w:after="0"/>
        <w:ind w:left="567" w:hanging="283"/>
        <w:rPr>
          <w:rFonts w:asciiTheme="majorHAnsi" w:hAnsiTheme="majorHAnsi"/>
          <w:szCs w:val="22"/>
        </w:rPr>
      </w:pPr>
      <w:r w:rsidRPr="00F31099">
        <w:rPr>
          <w:rFonts w:asciiTheme="majorHAnsi" w:hAnsiTheme="majorHAnsi"/>
          <w:b/>
          <w:szCs w:val="22"/>
        </w:rPr>
        <w:t>e-</w:t>
      </w:r>
      <w:r>
        <w:rPr>
          <w:rFonts w:asciiTheme="majorHAnsi" w:hAnsiTheme="majorHAnsi"/>
          <w:b/>
          <w:szCs w:val="22"/>
        </w:rPr>
        <w:t>S</w:t>
      </w:r>
      <w:r w:rsidRPr="00F31099">
        <w:rPr>
          <w:rFonts w:asciiTheme="majorHAnsi" w:hAnsiTheme="majorHAnsi"/>
          <w:b/>
          <w:szCs w:val="22"/>
        </w:rPr>
        <w:t>ubmission</w:t>
      </w:r>
      <w:r w:rsidRPr="00A11FE0">
        <w:rPr>
          <w:rFonts w:asciiTheme="majorHAnsi" w:hAnsiTheme="majorHAnsi"/>
          <w:b/>
          <w:szCs w:val="22"/>
        </w:rPr>
        <w:t xml:space="preserve"> </w:t>
      </w:r>
      <w:r w:rsidRPr="00A11FE0">
        <w:rPr>
          <w:rFonts w:asciiTheme="majorHAnsi" w:hAnsiTheme="majorHAnsi"/>
          <w:szCs w:val="22"/>
        </w:rPr>
        <w:t xml:space="preserve">– ITMS podporuje </w:t>
      </w:r>
      <w:r>
        <w:rPr>
          <w:rFonts w:asciiTheme="majorHAnsi" w:hAnsiTheme="majorHAnsi"/>
          <w:szCs w:val="22"/>
        </w:rPr>
        <w:t>niektoré</w:t>
      </w:r>
      <w:r w:rsidRPr="00A11FE0">
        <w:rPr>
          <w:rFonts w:asciiTheme="majorHAnsi" w:hAnsiTheme="majorHAnsi"/>
          <w:szCs w:val="22"/>
        </w:rPr>
        <w:t xml:space="preserve"> hlavn</w:t>
      </w:r>
      <w:r>
        <w:rPr>
          <w:rFonts w:asciiTheme="majorHAnsi" w:hAnsiTheme="majorHAnsi"/>
          <w:szCs w:val="22"/>
        </w:rPr>
        <w:t>é</w:t>
      </w:r>
      <w:r w:rsidRPr="00A11FE0">
        <w:rPr>
          <w:rFonts w:asciiTheme="majorHAnsi" w:hAnsiTheme="majorHAnsi"/>
          <w:szCs w:val="22"/>
        </w:rPr>
        <w:t xml:space="preserve"> formulár</w:t>
      </w:r>
      <w:r>
        <w:rPr>
          <w:rFonts w:asciiTheme="majorHAnsi" w:hAnsiTheme="majorHAnsi"/>
          <w:szCs w:val="22"/>
        </w:rPr>
        <w:t>e</w:t>
      </w:r>
      <w:r w:rsidRPr="00A11FE0">
        <w:rPr>
          <w:rFonts w:asciiTheme="majorHAnsi" w:hAnsiTheme="majorHAnsi"/>
          <w:szCs w:val="22"/>
        </w:rPr>
        <w:t xml:space="preserve"> vo forme inteligentných elektronických formulárov. Technológia formulárov, metóda ich vypĺňania </w:t>
      </w:r>
      <w:r>
        <w:rPr>
          <w:rFonts w:asciiTheme="majorHAnsi" w:hAnsiTheme="majorHAnsi"/>
          <w:szCs w:val="22"/>
        </w:rPr>
        <w:t>a</w:t>
      </w:r>
      <w:r w:rsidRPr="00A11FE0">
        <w:rPr>
          <w:rFonts w:asciiTheme="majorHAnsi" w:hAnsiTheme="majorHAnsi"/>
          <w:szCs w:val="22"/>
        </w:rPr>
        <w:t xml:space="preserve"> ich </w:t>
      </w:r>
      <w:r>
        <w:rPr>
          <w:rFonts w:asciiTheme="majorHAnsi" w:hAnsiTheme="majorHAnsi"/>
          <w:szCs w:val="22"/>
        </w:rPr>
        <w:t>s</w:t>
      </w:r>
      <w:r w:rsidRPr="00A11FE0">
        <w:rPr>
          <w:rFonts w:asciiTheme="majorHAnsi" w:hAnsiTheme="majorHAnsi"/>
          <w:szCs w:val="22"/>
        </w:rPr>
        <w:t xml:space="preserve">pracovanie nie vždy dosahuje potrebnú úroveň štruktúrovanosti dát v IS, </w:t>
      </w:r>
      <w:r>
        <w:rPr>
          <w:rFonts w:asciiTheme="majorHAnsi" w:hAnsiTheme="majorHAnsi"/>
          <w:szCs w:val="22"/>
        </w:rPr>
        <w:t>k</w:t>
      </w:r>
      <w:r w:rsidRPr="00A11FE0">
        <w:rPr>
          <w:rFonts w:asciiTheme="majorHAnsi" w:hAnsiTheme="majorHAnsi"/>
          <w:szCs w:val="22"/>
        </w:rPr>
        <w:t xml:space="preserve">torú je možné efektívne využiť pre </w:t>
      </w:r>
      <w:r>
        <w:rPr>
          <w:rFonts w:asciiTheme="majorHAnsi" w:hAnsiTheme="majorHAnsi"/>
          <w:szCs w:val="22"/>
        </w:rPr>
        <w:t>a</w:t>
      </w:r>
      <w:r w:rsidRPr="00A11FE0">
        <w:rPr>
          <w:rFonts w:asciiTheme="majorHAnsi" w:hAnsiTheme="majorHAnsi"/>
          <w:szCs w:val="22"/>
        </w:rPr>
        <w:t xml:space="preserve">nalytické </w:t>
      </w:r>
      <w:r>
        <w:rPr>
          <w:rFonts w:asciiTheme="majorHAnsi" w:hAnsiTheme="majorHAnsi"/>
          <w:szCs w:val="22"/>
        </w:rPr>
        <w:t>a</w:t>
      </w:r>
      <w:r w:rsidRPr="00A11FE0">
        <w:rPr>
          <w:rFonts w:asciiTheme="majorHAnsi" w:hAnsiTheme="majorHAnsi"/>
          <w:szCs w:val="22"/>
        </w:rPr>
        <w:t> štatistické potreby;</w:t>
      </w:r>
    </w:p>
    <w:p w:rsidR="0021713D" w:rsidRPr="00A11FE0" w:rsidRDefault="0021713D" w:rsidP="009B7C77">
      <w:pPr>
        <w:pStyle w:val="Odsekzoznamu"/>
        <w:numPr>
          <w:ilvl w:val="0"/>
          <w:numId w:val="33"/>
        </w:numPr>
        <w:tabs>
          <w:tab w:val="left" w:pos="567"/>
        </w:tabs>
        <w:spacing w:before="0" w:after="0"/>
        <w:ind w:left="567" w:hanging="283"/>
        <w:rPr>
          <w:rFonts w:asciiTheme="majorHAnsi" w:hAnsiTheme="majorHAnsi"/>
          <w:b/>
          <w:szCs w:val="22"/>
        </w:rPr>
      </w:pPr>
      <w:r w:rsidRPr="00F31099">
        <w:rPr>
          <w:rFonts w:asciiTheme="majorHAnsi" w:hAnsiTheme="majorHAnsi"/>
          <w:b/>
          <w:szCs w:val="22"/>
        </w:rPr>
        <w:t>e-</w:t>
      </w:r>
      <w:r>
        <w:rPr>
          <w:rFonts w:asciiTheme="majorHAnsi" w:hAnsiTheme="majorHAnsi"/>
          <w:b/>
          <w:szCs w:val="22"/>
        </w:rPr>
        <w:t>S</w:t>
      </w:r>
      <w:r w:rsidRPr="007F08EE">
        <w:rPr>
          <w:rFonts w:asciiTheme="majorHAnsi" w:hAnsiTheme="majorHAnsi"/>
          <w:b/>
          <w:szCs w:val="22"/>
        </w:rPr>
        <w:t>ignature</w:t>
      </w:r>
      <w:r w:rsidRPr="00A11FE0">
        <w:rPr>
          <w:rFonts w:asciiTheme="majorHAnsi" w:hAnsiTheme="majorHAnsi"/>
          <w:szCs w:val="22"/>
        </w:rPr>
        <w:t xml:space="preserve"> – ITMS v </w:t>
      </w:r>
      <w:r>
        <w:rPr>
          <w:rFonts w:asciiTheme="majorHAnsi" w:hAnsiTheme="majorHAnsi"/>
          <w:szCs w:val="22"/>
        </w:rPr>
        <w:t>s</w:t>
      </w:r>
      <w:r w:rsidRPr="00A11FE0">
        <w:rPr>
          <w:rFonts w:asciiTheme="majorHAnsi" w:hAnsiTheme="majorHAnsi"/>
          <w:szCs w:val="22"/>
        </w:rPr>
        <w:t xml:space="preserve">účasnosti nemá implementované moduly, resp. funkcionality, </w:t>
      </w:r>
      <w:r>
        <w:rPr>
          <w:rFonts w:asciiTheme="majorHAnsi" w:hAnsiTheme="majorHAnsi"/>
          <w:szCs w:val="22"/>
        </w:rPr>
        <w:t>k</w:t>
      </w:r>
      <w:r w:rsidRPr="00A11FE0">
        <w:rPr>
          <w:rFonts w:asciiTheme="majorHAnsi" w:hAnsiTheme="majorHAnsi"/>
          <w:szCs w:val="22"/>
        </w:rPr>
        <w:t xml:space="preserve">toré by </w:t>
      </w:r>
      <w:r>
        <w:rPr>
          <w:rFonts w:asciiTheme="majorHAnsi" w:hAnsiTheme="majorHAnsi"/>
          <w:szCs w:val="22"/>
        </w:rPr>
        <w:t>s</w:t>
      </w:r>
      <w:r w:rsidRPr="00A11FE0">
        <w:rPr>
          <w:rFonts w:asciiTheme="majorHAnsi" w:hAnsiTheme="majorHAnsi"/>
          <w:szCs w:val="22"/>
        </w:rPr>
        <w:t xml:space="preserve">pĺňali požiadavku EK v oblasti elektronického podpisovania dokumentov, </w:t>
      </w:r>
      <w:r>
        <w:rPr>
          <w:rFonts w:asciiTheme="majorHAnsi" w:hAnsiTheme="majorHAnsi"/>
          <w:szCs w:val="22"/>
        </w:rPr>
        <w:t>a</w:t>
      </w:r>
      <w:r w:rsidRPr="00A11FE0">
        <w:rPr>
          <w:rFonts w:asciiTheme="majorHAnsi" w:hAnsiTheme="majorHAnsi"/>
          <w:szCs w:val="22"/>
        </w:rPr>
        <w:t xml:space="preserve">lebo iného typu </w:t>
      </w:r>
      <w:r>
        <w:rPr>
          <w:rFonts w:asciiTheme="majorHAnsi" w:hAnsiTheme="majorHAnsi"/>
          <w:szCs w:val="22"/>
        </w:rPr>
        <w:t>a</w:t>
      </w:r>
      <w:r w:rsidRPr="00A11FE0">
        <w:rPr>
          <w:rFonts w:asciiTheme="majorHAnsi" w:hAnsiTheme="majorHAnsi"/>
          <w:szCs w:val="22"/>
        </w:rPr>
        <w:t xml:space="preserve">utorizácie dokumentov </w:t>
      </w:r>
      <w:r>
        <w:rPr>
          <w:rFonts w:asciiTheme="majorHAnsi" w:hAnsiTheme="majorHAnsi"/>
          <w:szCs w:val="22"/>
        </w:rPr>
        <w:t>a</w:t>
      </w:r>
      <w:r w:rsidRPr="00A11FE0">
        <w:rPr>
          <w:rFonts w:asciiTheme="majorHAnsi" w:hAnsiTheme="majorHAnsi"/>
          <w:szCs w:val="22"/>
        </w:rPr>
        <w:t> informácií;</w:t>
      </w:r>
    </w:p>
    <w:p w:rsidR="0021713D" w:rsidRPr="00A11FE0" w:rsidRDefault="0021713D" w:rsidP="009B7C77">
      <w:pPr>
        <w:pStyle w:val="Odsekzoznamu"/>
        <w:numPr>
          <w:ilvl w:val="0"/>
          <w:numId w:val="33"/>
        </w:numPr>
        <w:tabs>
          <w:tab w:val="left" w:pos="567"/>
        </w:tabs>
        <w:spacing w:before="0" w:after="0"/>
        <w:ind w:left="567" w:hanging="283"/>
        <w:rPr>
          <w:rFonts w:asciiTheme="majorHAnsi" w:hAnsiTheme="majorHAnsi"/>
          <w:b/>
          <w:szCs w:val="22"/>
        </w:rPr>
      </w:pPr>
      <w:r w:rsidRPr="00F31099">
        <w:rPr>
          <w:rFonts w:asciiTheme="majorHAnsi" w:hAnsiTheme="majorHAnsi"/>
          <w:b/>
          <w:szCs w:val="22"/>
        </w:rPr>
        <w:t>e-</w:t>
      </w:r>
      <w:r>
        <w:rPr>
          <w:rFonts w:asciiTheme="majorHAnsi" w:hAnsiTheme="majorHAnsi"/>
          <w:b/>
          <w:szCs w:val="22"/>
        </w:rPr>
        <w:t>S</w:t>
      </w:r>
      <w:r w:rsidRPr="00F31099">
        <w:rPr>
          <w:rFonts w:asciiTheme="majorHAnsi" w:hAnsiTheme="majorHAnsi"/>
          <w:b/>
          <w:szCs w:val="22"/>
        </w:rPr>
        <w:t>torage</w:t>
      </w:r>
      <w:r w:rsidRPr="00A11FE0">
        <w:rPr>
          <w:rFonts w:asciiTheme="majorHAnsi" w:hAnsiTheme="majorHAnsi"/>
          <w:b/>
          <w:szCs w:val="22"/>
        </w:rPr>
        <w:t xml:space="preserve"> </w:t>
      </w:r>
      <w:r w:rsidRPr="00A11FE0">
        <w:rPr>
          <w:rFonts w:asciiTheme="majorHAnsi" w:hAnsiTheme="majorHAnsi"/>
          <w:szCs w:val="22"/>
        </w:rPr>
        <w:t>–</w:t>
      </w:r>
      <w:r>
        <w:rPr>
          <w:rFonts w:asciiTheme="majorHAnsi" w:hAnsiTheme="majorHAnsi"/>
          <w:szCs w:val="22"/>
        </w:rPr>
        <w:t xml:space="preserve"> </w:t>
      </w:r>
      <w:r w:rsidRPr="00A11FE0">
        <w:rPr>
          <w:rFonts w:asciiTheme="majorHAnsi" w:hAnsiTheme="majorHAnsi"/>
          <w:szCs w:val="22"/>
        </w:rPr>
        <w:t xml:space="preserve">ITMS </w:t>
      </w:r>
      <w:r w:rsidRPr="005949AC">
        <w:rPr>
          <w:rFonts w:asciiTheme="majorHAnsi" w:hAnsiTheme="majorHAnsi"/>
          <w:szCs w:val="22"/>
        </w:rPr>
        <w:t xml:space="preserve">je </w:t>
      </w:r>
      <w:r>
        <w:rPr>
          <w:rFonts w:asciiTheme="majorHAnsi" w:hAnsiTheme="majorHAnsi"/>
          <w:szCs w:val="22"/>
        </w:rPr>
        <w:t>s</w:t>
      </w:r>
      <w:r w:rsidRPr="005949AC">
        <w:rPr>
          <w:rFonts w:asciiTheme="majorHAnsi" w:hAnsiTheme="majorHAnsi"/>
          <w:szCs w:val="22"/>
        </w:rPr>
        <w:t xml:space="preserve">ystém </w:t>
      </w:r>
      <w:r>
        <w:rPr>
          <w:rFonts w:asciiTheme="majorHAnsi" w:hAnsiTheme="majorHAnsi"/>
          <w:szCs w:val="22"/>
        </w:rPr>
        <w:t>s</w:t>
      </w:r>
      <w:r w:rsidRPr="005949AC">
        <w:rPr>
          <w:rFonts w:asciiTheme="majorHAnsi" w:hAnsiTheme="majorHAnsi"/>
          <w:szCs w:val="22"/>
        </w:rPr>
        <w:t xml:space="preserve"> jednotnou databázou</w:t>
      </w:r>
      <w:r>
        <w:rPr>
          <w:rFonts w:asciiTheme="majorHAnsi" w:hAnsiTheme="majorHAnsi"/>
          <w:szCs w:val="22"/>
        </w:rPr>
        <w:t>, ktorý už</w:t>
      </w:r>
      <w:r w:rsidRPr="00A11FE0">
        <w:rPr>
          <w:rFonts w:asciiTheme="majorHAnsi" w:hAnsiTheme="majorHAnsi"/>
          <w:szCs w:val="22"/>
        </w:rPr>
        <w:t xml:space="preserve"> v </w:t>
      </w:r>
      <w:r>
        <w:rPr>
          <w:rFonts w:asciiTheme="majorHAnsi" w:hAnsiTheme="majorHAnsi"/>
          <w:szCs w:val="22"/>
        </w:rPr>
        <w:t>s</w:t>
      </w:r>
      <w:r w:rsidRPr="00A11FE0">
        <w:rPr>
          <w:rFonts w:asciiTheme="majorHAnsi" w:hAnsiTheme="majorHAnsi"/>
          <w:szCs w:val="22"/>
        </w:rPr>
        <w:t xml:space="preserve">účasnosti </w:t>
      </w:r>
      <w:r>
        <w:rPr>
          <w:rFonts w:asciiTheme="majorHAnsi" w:hAnsiTheme="majorHAnsi"/>
          <w:szCs w:val="22"/>
        </w:rPr>
        <w:t xml:space="preserve">poskytuje </w:t>
      </w:r>
      <w:r w:rsidRPr="00A11FE0">
        <w:rPr>
          <w:rFonts w:asciiTheme="majorHAnsi" w:hAnsiTheme="majorHAnsi"/>
          <w:szCs w:val="22"/>
        </w:rPr>
        <w:t>možnosti pre ukladanie určitých dokumentov v elektronickej podobe</w:t>
      </w:r>
      <w:r>
        <w:rPr>
          <w:rFonts w:asciiTheme="majorHAnsi" w:hAnsiTheme="majorHAnsi"/>
          <w:szCs w:val="22"/>
        </w:rPr>
        <w:t>;</w:t>
      </w:r>
    </w:p>
    <w:p w:rsidR="0021713D" w:rsidRPr="005949AC" w:rsidRDefault="0021713D" w:rsidP="009B7C77">
      <w:pPr>
        <w:pStyle w:val="Odsekzoznamu"/>
        <w:numPr>
          <w:ilvl w:val="0"/>
          <w:numId w:val="33"/>
        </w:numPr>
        <w:ind w:left="567" w:hanging="283"/>
        <w:rPr>
          <w:rFonts w:asciiTheme="majorHAnsi" w:hAnsiTheme="majorHAnsi"/>
          <w:szCs w:val="22"/>
        </w:rPr>
      </w:pPr>
      <w:r w:rsidRPr="003F0750">
        <w:rPr>
          <w:rFonts w:asciiTheme="majorHAnsi" w:hAnsiTheme="majorHAnsi"/>
          <w:b/>
          <w:szCs w:val="22"/>
        </w:rPr>
        <w:t>I</w:t>
      </w:r>
      <w:r w:rsidRPr="00F31099">
        <w:rPr>
          <w:rFonts w:asciiTheme="majorHAnsi" w:hAnsiTheme="majorHAnsi"/>
          <w:b/>
          <w:szCs w:val="22"/>
        </w:rPr>
        <w:t>nteroperability</w:t>
      </w:r>
      <w:r w:rsidRPr="005949AC">
        <w:rPr>
          <w:rFonts w:asciiTheme="majorHAnsi" w:hAnsiTheme="majorHAnsi"/>
          <w:b/>
          <w:szCs w:val="22"/>
        </w:rPr>
        <w:t xml:space="preserve"> </w:t>
      </w:r>
      <w:r w:rsidRPr="005949AC">
        <w:rPr>
          <w:rFonts w:asciiTheme="majorHAnsi" w:hAnsiTheme="majorHAnsi"/>
          <w:szCs w:val="22"/>
        </w:rPr>
        <w:t xml:space="preserve">– ITMS disponuje modulom pre riadenie integračných </w:t>
      </w:r>
      <w:r>
        <w:rPr>
          <w:rFonts w:asciiTheme="majorHAnsi" w:hAnsiTheme="majorHAnsi"/>
          <w:szCs w:val="22"/>
        </w:rPr>
        <w:t>ak</w:t>
      </w:r>
      <w:r w:rsidRPr="005949AC">
        <w:rPr>
          <w:rFonts w:asciiTheme="majorHAnsi" w:hAnsiTheme="majorHAnsi"/>
          <w:szCs w:val="22"/>
        </w:rPr>
        <w:t xml:space="preserve">cií. </w:t>
      </w:r>
      <w:r>
        <w:rPr>
          <w:rFonts w:asciiTheme="majorHAnsi" w:hAnsiTheme="majorHAnsi"/>
          <w:szCs w:val="22"/>
        </w:rPr>
        <w:t>S</w:t>
      </w:r>
      <w:r w:rsidRPr="005949AC">
        <w:rPr>
          <w:rFonts w:asciiTheme="majorHAnsi" w:hAnsiTheme="majorHAnsi"/>
          <w:szCs w:val="22"/>
        </w:rPr>
        <w:t xml:space="preserve">účasná miera interoperability v nadväznosti na možnosti, </w:t>
      </w:r>
      <w:r>
        <w:rPr>
          <w:rFonts w:asciiTheme="majorHAnsi" w:hAnsiTheme="majorHAnsi"/>
          <w:szCs w:val="22"/>
        </w:rPr>
        <w:t>k</w:t>
      </w:r>
      <w:r w:rsidRPr="005949AC">
        <w:rPr>
          <w:rFonts w:asciiTheme="majorHAnsi" w:hAnsiTheme="majorHAnsi"/>
          <w:szCs w:val="22"/>
        </w:rPr>
        <w:t>toré ponúka e-Government, je málo rozvinutá;</w:t>
      </w:r>
    </w:p>
    <w:p w:rsidR="0021713D" w:rsidRPr="005949AC" w:rsidRDefault="0021713D" w:rsidP="009B7C77">
      <w:pPr>
        <w:pStyle w:val="Odsekzoznamu"/>
        <w:numPr>
          <w:ilvl w:val="0"/>
          <w:numId w:val="33"/>
        </w:numPr>
        <w:tabs>
          <w:tab w:val="left" w:pos="567"/>
        </w:tabs>
        <w:spacing w:before="0" w:after="0"/>
        <w:ind w:left="567" w:hanging="283"/>
        <w:rPr>
          <w:rFonts w:asciiTheme="majorHAnsi" w:hAnsiTheme="majorHAnsi"/>
          <w:szCs w:val="22"/>
        </w:rPr>
      </w:pPr>
      <w:r w:rsidRPr="00F31099">
        <w:rPr>
          <w:rFonts w:asciiTheme="majorHAnsi" w:hAnsiTheme="majorHAnsi"/>
          <w:b/>
          <w:szCs w:val="22"/>
        </w:rPr>
        <w:t>e-</w:t>
      </w:r>
      <w:r>
        <w:rPr>
          <w:rFonts w:asciiTheme="majorHAnsi" w:hAnsiTheme="majorHAnsi"/>
          <w:b/>
          <w:szCs w:val="22"/>
        </w:rPr>
        <w:t>A</w:t>
      </w:r>
      <w:r w:rsidRPr="007F08EE">
        <w:rPr>
          <w:rFonts w:asciiTheme="majorHAnsi" w:hAnsiTheme="majorHAnsi"/>
          <w:b/>
          <w:szCs w:val="22"/>
        </w:rPr>
        <w:t>udit</w:t>
      </w:r>
      <w:r w:rsidRPr="005949AC">
        <w:rPr>
          <w:rFonts w:asciiTheme="majorHAnsi" w:hAnsiTheme="majorHAnsi"/>
          <w:b/>
          <w:szCs w:val="22"/>
        </w:rPr>
        <w:t xml:space="preserve"> </w:t>
      </w:r>
      <w:r w:rsidRPr="005949AC">
        <w:rPr>
          <w:rFonts w:asciiTheme="majorHAnsi" w:hAnsiTheme="majorHAnsi"/>
          <w:szCs w:val="22"/>
        </w:rPr>
        <w:t xml:space="preserve">– ITMS obsahuje základné procesy </w:t>
      </w:r>
      <w:r>
        <w:rPr>
          <w:rFonts w:asciiTheme="majorHAnsi" w:hAnsiTheme="majorHAnsi"/>
          <w:szCs w:val="22"/>
        </w:rPr>
        <w:t>a</w:t>
      </w:r>
      <w:r w:rsidRPr="005949AC">
        <w:rPr>
          <w:rFonts w:asciiTheme="majorHAnsi" w:hAnsiTheme="majorHAnsi"/>
          <w:szCs w:val="22"/>
        </w:rPr>
        <w:t xml:space="preserve"> funkcionality pre </w:t>
      </w:r>
      <w:r>
        <w:rPr>
          <w:rFonts w:asciiTheme="majorHAnsi" w:hAnsiTheme="majorHAnsi"/>
          <w:szCs w:val="22"/>
        </w:rPr>
        <w:t>s</w:t>
      </w:r>
      <w:r w:rsidRPr="005949AC">
        <w:rPr>
          <w:rFonts w:asciiTheme="majorHAnsi" w:hAnsiTheme="majorHAnsi"/>
          <w:szCs w:val="22"/>
        </w:rPr>
        <w:t xml:space="preserve">ledovanie </w:t>
      </w:r>
      <w:r>
        <w:rPr>
          <w:rFonts w:asciiTheme="majorHAnsi" w:hAnsiTheme="majorHAnsi"/>
          <w:szCs w:val="22"/>
        </w:rPr>
        <w:t>ak</w:t>
      </w:r>
      <w:r w:rsidRPr="005949AC">
        <w:rPr>
          <w:rFonts w:asciiTheme="majorHAnsi" w:hAnsiTheme="majorHAnsi"/>
          <w:szCs w:val="22"/>
        </w:rPr>
        <w:t>tivity používateľov v IS.</w:t>
      </w:r>
    </w:p>
    <w:p w:rsidR="0021713D" w:rsidRPr="00A11FE0" w:rsidRDefault="0021713D" w:rsidP="0021713D">
      <w:pPr>
        <w:spacing w:before="240" w:after="0"/>
        <w:rPr>
          <w:rFonts w:asciiTheme="majorHAnsi" w:hAnsiTheme="majorHAnsi"/>
          <w:szCs w:val="22"/>
        </w:rPr>
      </w:pPr>
      <w:r>
        <w:rPr>
          <w:rFonts w:asciiTheme="majorHAnsi" w:hAnsiTheme="majorHAnsi"/>
          <w:szCs w:val="22"/>
        </w:rPr>
        <w:t>S</w:t>
      </w:r>
      <w:r w:rsidRPr="00A11FE0">
        <w:rPr>
          <w:rFonts w:asciiTheme="majorHAnsi" w:hAnsiTheme="majorHAnsi"/>
          <w:szCs w:val="22"/>
        </w:rPr>
        <w:t xml:space="preserve">účasný </w:t>
      </w:r>
      <w:r>
        <w:rPr>
          <w:rFonts w:asciiTheme="majorHAnsi" w:hAnsiTheme="majorHAnsi"/>
          <w:szCs w:val="22"/>
        </w:rPr>
        <w:t>s</w:t>
      </w:r>
      <w:r w:rsidRPr="00A11FE0">
        <w:rPr>
          <w:rFonts w:asciiTheme="majorHAnsi" w:hAnsiTheme="majorHAnsi"/>
          <w:szCs w:val="22"/>
        </w:rPr>
        <w:t>tav IS PPA zatiaľ pokrýva požiadavky na implementáciu princípu e-</w:t>
      </w:r>
      <w:r>
        <w:rPr>
          <w:rFonts w:asciiTheme="majorHAnsi" w:hAnsiTheme="majorHAnsi"/>
          <w:szCs w:val="22"/>
        </w:rPr>
        <w:t>k</w:t>
      </w:r>
      <w:r w:rsidRPr="00A11FE0">
        <w:rPr>
          <w:rFonts w:asciiTheme="majorHAnsi" w:hAnsiTheme="majorHAnsi"/>
          <w:szCs w:val="22"/>
        </w:rPr>
        <w:t>ohézie</w:t>
      </w:r>
      <w:r w:rsidRPr="00A11FE0">
        <w:rPr>
          <w:rFonts w:asciiTheme="majorHAnsi" w:hAnsiTheme="majorHAnsi"/>
          <w:i/>
          <w:szCs w:val="22"/>
        </w:rPr>
        <w:t xml:space="preserve"> </w:t>
      </w:r>
      <w:r w:rsidRPr="00A11FE0">
        <w:rPr>
          <w:rFonts w:asciiTheme="majorHAnsi" w:hAnsiTheme="majorHAnsi"/>
          <w:szCs w:val="22"/>
        </w:rPr>
        <w:t>len veľmi</w:t>
      </w:r>
      <w:r w:rsidR="00245DE5">
        <w:rPr>
          <w:rFonts w:asciiTheme="majorHAnsi" w:hAnsiTheme="majorHAnsi"/>
          <w:szCs w:val="22"/>
        </w:rPr>
        <w:t xml:space="preserve"> </w:t>
      </w:r>
      <w:r w:rsidRPr="00A11FE0">
        <w:rPr>
          <w:rFonts w:asciiTheme="majorHAnsi" w:hAnsiTheme="majorHAnsi"/>
          <w:szCs w:val="22"/>
        </w:rPr>
        <w:t xml:space="preserve">obmedzene. Čiastkovo </w:t>
      </w:r>
      <w:r>
        <w:rPr>
          <w:rFonts w:asciiTheme="majorHAnsi" w:hAnsiTheme="majorHAnsi"/>
          <w:szCs w:val="22"/>
        </w:rPr>
        <w:t>s</w:t>
      </w:r>
      <w:r w:rsidRPr="00A11FE0">
        <w:rPr>
          <w:rFonts w:asciiTheme="majorHAnsi" w:hAnsiTheme="majorHAnsi"/>
          <w:szCs w:val="22"/>
        </w:rPr>
        <w:t>ú pokryté tieto požiadavky:</w:t>
      </w:r>
    </w:p>
    <w:p w:rsidR="0021713D" w:rsidRPr="00A11FE0" w:rsidRDefault="0021713D" w:rsidP="009B7C77">
      <w:pPr>
        <w:pStyle w:val="Odsekzoznamu"/>
        <w:numPr>
          <w:ilvl w:val="0"/>
          <w:numId w:val="34"/>
        </w:numPr>
        <w:tabs>
          <w:tab w:val="left" w:pos="567"/>
        </w:tabs>
        <w:spacing w:before="0" w:after="0"/>
        <w:ind w:left="567"/>
        <w:rPr>
          <w:rFonts w:asciiTheme="majorHAnsi" w:hAnsiTheme="majorHAnsi"/>
          <w:b/>
          <w:szCs w:val="22"/>
        </w:rPr>
      </w:pPr>
      <w:r w:rsidRPr="007F08EE">
        <w:rPr>
          <w:rFonts w:asciiTheme="majorHAnsi" w:hAnsiTheme="majorHAnsi"/>
          <w:b/>
          <w:szCs w:val="22"/>
        </w:rPr>
        <w:t>Only once encoding</w:t>
      </w:r>
      <w:r w:rsidRPr="00A11FE0">
        <w:rPr>
          <w:rFonts w:asciiTheme="majorHAnsi" w:hAnsiTheme="majorHAnsi"/>
          <w:b/>
          <w:szCs w:val="22"/>
        </w:rPr>
        <w:t xml:space="preserve"> </w:t>
      </w:r>
      <w:r w:rsidRPr="00A11FE0">
        <w:rPr>
          <w:rFonts w:asciiTheme="majorHAnsi" w:hAnsiTheme="majorHAnsi"/>
          <w:szCs w:val="22"/>
        </w:rPr>
        <w:t xml:space="preserve">– IS PPA predstavuje čiastočne centralizovaný IS </w:t>
      </w:r>
      <w:r>
        <w:rPr>
          <w:rFonts w:asciiTheme="majorHAnsi" w:hAnsiTheme="majorHAnsi"/>
          <w:szCs w:val="22"/>
        </w:rPr>
        <w:t>s</w:t>
      </w:r>
      <w:r w:rsidRPr="00A11FE0">
        <w:rPr>
          <w:rFonts w:asciiTheme="majorHAnsi" w:hAnsiTheme="majorHAnsi"/>
          <w:szCs w:val="22"/>
        </w:rPr>
        <w:t> jednotnou databázou. Určité údaje</w:t>
      </w:r>
      <w:r>
        <w:rPr>
          <w:rFonts w:asciiTheme="majorHAnsi" w:hAnsiTheme="majorHAnsi"/>
          <w:szCs w:val="22"/>
        </w:rPr>
        <w:t xml:space="preserve"> a</w:t>
      </w:r>
      <w:r w:rsidRPr="00A11FE0">
        <w:rPr>
          <w:rFonts w:asciiTheme="majorHAnsi" w:hAnsiTheme="majorHAnsi"/>
          <w:szCs w:val="22"/>
        </w:rPr>
        <w:t xml:space="preserve"> informácie </w:t>
      </w:r>
      <w:r>
        <w:rPr>
          <w:rFonts w:asciiTheme="majorHAnsi" w:hAnsiTheme="majorHAnsi"/>
          <w:szCs w:val="22"/>
        </w:rPr>
        <w:t>s</w:t>
      </w:r>
      <w:r w:rsidRPr="00A11FE0">
        <w:rPr>
          <w:rFonts w:asciiTheme="majorHAnsi" w:hAnsiTheme="majorHAnsi"/>
          <w:szCs w:val="22"/>
        </w:rPr>
        <w:t>ú už v </w:t>
      </w:r>
      <w:r>
        <w:rPr>
          <w:rFonts w:asciiTheme="majorHAnsi" w:hAnsiTheme="majorHAnsi"/>
          <w:szCs w:val="22"/>
        </w:rPr>
        <w:t>s</w:t>
      </w:r>
      <w:r w:rsidRPr="00A11FE0">
        <w:rPr>
          <w:rFonts w:asciiTheme="majorHAnsi" w:hAnsiTheme="majorHAnsi"/>
          <w:szCs w:val="22"/>
        </w:rPr>
        <w:t xml:space="preserve">účasnosti do IS PPA vložené iba raz, </w:t>
      </w:r>
      <w:r>
        <w:rPr>
          <w:rFonts w:asciiTheme="majorHAnsi" w:hAnsiTheme="majorHAnsi"/>
          <w:szCs w:val="22"/>
        </w:rPr>
        <w:t>a</w:t>
      </w:r>
      <w:r w:rsidRPr="00A11FE0">
        <w:rPr>
          <w:rFonts w:asciiTheme="majorHAnsi" w:hAnsiTheme="majorHAnsi"/>
          <w:szCs w:val="22"/>
        </w:rPr>
        <w:t xml:space="preserve">lebo </w:t>
      </w:r>
      <w:r>
        <w:rPr>
          <w:rFonts w:asciiTheme="majorHAnsi" w:hAnsiTheme="majorHAnsi"/>
          <w:szCs w:val="22"/>
        </w:rPr>
        <w:t>s</w:t>
      </w:r>
      <w:r w:rsidRPr="00A11FE0">
        <w:rPr>
          <w:rFonts w:asciiTheme="majorHAnsi" w:hAnsiTheme="majorHAnsi"/>
          <w:szCs w:val="22"/>
        </w:rPr>
        <w:t xml:space="preserve">ú </w:t>
      </w:r>
      <w:r>
        <w:rPr>
          <w:rFonts w:asciiTheme="majorHAnsi" w:hAnsiTheme="majorHAnsi"/>
          <w:szCs w:val="22"/>
        </w:rPr>
        <w:t>s</w:t>
      </w:r>
      <w:r w:rsidRPr="00A11FE0">
        <w:rPr>
          <w:rFonts w:asciiTheme="majorHAnsi" w:hAnsiTheme="majorHAnsi"/>
          <w:szCs w:val="22"/>
        </w:rPr>
        <w:t xml:space="preserve">ystematicky </w:t>
      </w:r>
      <w:r>
        <w:rPr>
          <w:rFonts w:asciiTheme="majorHAnsi" w:hAnsiTheme="majorHAnsi"/>
          <w:szCs w:val="22"/>
        </w:rPr>
        <w:t>ak</w:t>
      </w:r>
      <w:r w:rsidRPr="00A11FE0">
        <w:rPr>
          <w:rFonts w:asciiTheme="majorHAnsi" w:hAnsiTheme="majorHAnsi"/>
          <w:szCs w:val="22"/>
        </w:rPr>
        <w:t xml:space="preserve">tualizované </w:t>
      </w:r>
      <w:r>
        <w:rPr>
          <w:rFonts w:asciiTheme="majorHAnsi" w:hAnsiTheme="majorHAnsi"/>
          <w:szCs w:val="22"/>
        </w:rPr>
        <w:t>a</w:t>
      </w:r>
      <w:r w:rsidRPr="00A11FE0">
        <w:rPr>
          <w:rFonts w:asciiTheme="majorHAnsi" w:hAnsiTheme="majorHAnsi"/>
          <w:szCs w:val="22"/>
        </w:rPr>
        <w:t xml:space="preserve"> následne </w:t>
      </w:r>
      <w:r>
        <w:rPr>
          <w:rFonts w:asciiTheme="majorHAnsi" w:hAnsiTheme="majorHAnsi"/>
          <w:szCs w:val="22"/>
        </w:rPr>
        <w:t>s</w:t>
      </w:r>
      <w:r w:rsidRPr="00A11FE0">
        <w:rPr>
          <w:rFonts w:asciiTheme="majorHAnsi" w:hAnsiTheme="majorHAnsi"/>
          <w:szCs w:val="22"/>
        </w:rPr>
        <w:t xml:space="preserve">ú </w:t>
      </w:r>
      <w:r w:rsidR="006A44F2">
        <w:rPr>
          <w:rFonts w:asciiTheme="majorHAnsi" w:hAnsiTheme="majorHAnsi"/>
          <w:szCs w:val="22"/>
        </w:rPr>
        <w:t>spoločne využívané</w:t>
      </w:r>
      <w:r w:rsidR="006A44F2" w:rsidRPr="00A11FE0">
        <w:rPr>
          <w:rFonts w:asciiTheme="majorHAnsi" w:hAnsiTheme="majorHAnsi"/>
          <w:szCs w:val="22"/>
        </w:rPr>
        <w:t xml:space="preserve"> </w:t>
      </w:r>
      <w:r w:rsidRPr="00A11FE0">
        <w:rPr>
          <w:rFonts w:asciiTheme="majorHAnsi" w:hAnsiTheme="majorHAnsi"/>
          <w:szCs w:val="22"/>
        </w:rPr>
        <w:t>v rámci rôznych typov podpôr;</w:t>
      </w:r>
    </w:p>
    <w:p w:rsidR="0021713D" w:rsidRPr="00A11FE0" w:rsidRDefault="0021713D" w:rsidP="009B7C77">
      <w:pPr>
        <w:pStyle w:val="Odsekzoznamu"/>
        <w:numPr>
          <w:ilvl w:val="0"/>
          <w:numId w:val="33"/>
        </w:numPr>
        <w:tabs>
          <w:tab w:val="left" w:pos="567"/>
        </w:tabs>
        <w:spacing w:before="0" w:after="0"/>
        <w:ind w:left="567"/>
        <w:rPr>
          <w:rFonts w:asciiTheme="majorHAnsi" w:hAnsiTheme="majorHAnsi"/>
          <w:szCs w:val="22"/>
        </w:rPr>
      </w:pPr>
      <w:r w:rsidRPr="007F08EE">
        <w:rPr>
          <w:rFonts w:asciiTheme="majorHAnsi" w:hAnsiTheme="majorHAnsi"/>
          <w:b/>
          <w:szCs w:val="22"/>
        </w:rPr>
        <w:t>e-</w:t>
      </w:r>
      <w:r>
        <w:rPr>
          <w:rFonts w:asciiTheme="majorHAnsi" w:hAnsiTheme="majorHAnsi"/>
          <w:b/>
          <w:szCs w:val="22"/>
        </w:rPr>
        <w:t>S</w:t>
      </w:r>
      <w:r w:rsidRPr="007F08EE">
        <w:rPr>
          <w:rFonts w:asciiTheme="majorHAnsi" w:hAnsiTheme="majorHAnsi"/>
          <w:b/>
          <w:szCs w:val="22"/>
        </w:rPr>
        <w:t>ubmission</w:t>
      </w:r>
      <w:r w:rsidRPr="00A11FE0">
        <w:rPr>
          <w:rFonts w:asciiTheme="majorHAnsi" w:hAnsiTheme="majorHAnsi"/>
          <w:b/>
          <w:szCs w:val="22"/>
        </w:rPr>
        <w:t xml:space="preserve"> </w:t>
      </w:r>
      <w:r w:rsidRPr="00A11FE0">
        <w:rPr>
          <w:rFonts w:asciiTheme="majorHAnsi" w:hAnsiTheme="majorHAnsi"/>
          <w:szCs w:val="22"/>
        </w:rPr>
        <w:t>– IS PPA podporuje malú časť formulárov, hlavne v neprojektových podporách;</w:t>
      </w:r>
    </w:p>
    <w:p w:rsidR="0021713D" w:rsidRPr="00A11FE0" w:rsidRDefault="0021713D" w:rsidP="009B7C77">
      <w:pPr>
        <w:pStyle w:val="Odsekzoznamu"/>
        <w:numPr>
          <w:ilvl w:val="0"/>
          <w:numId w:val="33"/>
        </w:numPr>
        <w:tabs>
          <w:tab w:val="left" w:pos="567"/>
        </w:tabs>
        <w:spacing w:before="0"/>
        <w:ind w:left="567" w:hanging="357"/>
        <w:rPr>
          <w:rFonts w:asciiTheme="majorHAnsi" w:hAnsiTheme="majorHAnsi"/>
          <w:szCs w:val="22"/>
        </w:rPr>
      </w:pPr>
      <w:r w:rsidRPr="007F08EE">
        <w:rPr>
          <w:rFonts w:asciiTheme="majorHAnsi" w:hAnsiTheme="majorHAnsi"/>
          <w:b/>
          <w:szCs w:val="22"/>
        </w:rPr>
        <w:t>e-</w:t>
      </w:r>
      <w:r>
        <w:rPr>
          <w:rFonts w:asciiTheme="majorHAnsi" w:hAnsiTheme="majorHAnsi"/>
          <w:b/>
          <w:szCs w:val="22"/>
        </w:rPr>
        <w:t>S</w:t>
      </w:r>
      <w:r w:rsidRPr="007F08EE">
        <w:rPr>
          <w:rFonts w:asciiTheme="majorHAnsi" w:hAnsiTheme="majorHAnsi"/>
          <w:b/>
          <w:szCs w:val="22"/>
        </w:rPr>
        <w:t>ignature</w:t>
      </w:r>
      <w:r w:rsidRPr="00A11FE0">
        <w:rPr>
          <w:rFonts w:asciiTheme="majorHAnsi" w:hAnsiTheme="majorHAnsi"/>
          <w:szCs w:val="22"/>
        </w:rPr>
        <w:t xml:space="preserve"> – IS PPA v </w:t>
      </w:r>
      <w:r>
        <w:rPr>
          <w:rFonts w:asciiTheme="majorHAnsi" w:hAnsiTheme="majorHAnsi"/>
          <w:szCs w:val="22"/>
        </w:rPr>
        <w:t>s</w:t>
      </w:r>
      <w:r w:rsidRPr="00A11FE0">
        <w:rPr>
          <w:rFonts w:asciiTheme="majorHAnsi" w:hAnsiTheme="majorHAnsi"/>
          <w:szCs w:val="22"/>
        </w:rPr>
        <w:t xml:space="preserve">účasnosti nemá implementované moduly, resp. funkcionality, </w:t>
      </w:r>
      <w:r>
        <w:rPr>
          <w:rFonts w:asciiTheme="majorHAnsi" w:hAnsiTheme="majorHAnsi"/>
          <w:szCs w:val="22"/>
        </w:rPr>
        <w:t>k</w:t>
      </w:r>
      <w:r w:rsidRPr="00A11FE0">
        <w:rPr>
          <w:rFonts w:asciiTheme="majorHAnsi" w:hAnsiTheme="majorHAnsi"/>
          <w:szCs w:val="22"/>
        </w:rPr>
        <w:t xml:space="preserve">toré by </w:t>
      </w:r>
      <w:r>
        <w:rPr>
          <w:rFonts w:asciiTheme="majorHAnsi" w:hAnsiTheme="majorHAnsi"/>
          <w:szCs w:val="22"/>
        </w:rPr>
        <w:t>s</w:t>
      </w:r>
      <w:r w:rsidRPr="00A11FE0">
        <w:rPr>
          <w:rFonts w:asciiTheme="majorHAnsi" w:hAnsiTheme="majorHAnsi"/>
          <w:szCs w:val="22"/>
        </w:rPr>
        <w:t xml:space="preserve">pĺňali požiadavku EK v oblasti elektronického podpisovania dokumentov, </w:t>
      </w:r>
      <w:r>
        <w:rPr>
          <w:rFonts w:asciiTheme="majorHAnsi" w:hAnsiTheme="majorHAnsi"/>
          <w:szCs w:val="22"/>
        </w:rPr>
        <w:t>a</w:t>
      </w:r>
      <w:r w:rsidRPr="00A11FE0">
        <w:rPr>
          <w:rFonts w:asciiTheme="majorHAnsi" w:hAnsiTheme="majorHAnsi"/>
          <w:szCs w:val="22"/>
        </w:rPr>
        <w:t xml:space="preserve">lebo iného typu </w:t>
      </w:r>
      <w:r>
        <w:rPr>
          <w:rFonts w:asciiTheme="majorHAnsi" w:hAnsiTheme="majorHAnsi"/>
          <w:szCs w:val="22"/>
        </w:rPr>
        <w:t>a</w:t>
      </w:r>
      <w:r w:rsidRPr="00A11FE0">
        <w:rPr>
          <w:rFonts w:asciiTheme="majorHAnsi" w:hAnsiTheme="majorHAnsi"/>
          <w:szCs w:val="22"/>
        </w:rPr>
        <w:t xml:space="preserve">utorizácie dokumentov </w:t>
      </w:r>
      <w:r>
        <w:rPr>
          <w:rFonts w:asciiTheme="majorHAnsi" w:hAnsiTheme="majorHAnsi"/>
          <w:szCs w:val="22"/>
        </w:rPr>
        <w:t>a</w:t>
      </w:r>
      <w:r w:rsidRPr="00A11FE0">
        <w:rPr>
          <w:rFonts w:asciiTheme="majorHAnsi" w:hAnsiTheme="majorHAnsi"/>
          <w:szCs w:val="22"/>
        </w:rPr>
        <w:t> informácií</w:t>
      </w:r>
      <w:r w:rsidRPr="00A11FE0">
        <w:rPr>
          <w:rFonts w:asciiTheme="majorHAnsi" w:hAnsiTheme="majorHAnsi"/>
          <w:i/>
          <w:szCs w:val="22"/>
        </w:rPr>
        <w:t>;</w:t>
      </w:r>
    </w:p>
    <w:p w:rsidR="0021713D" w:rsidRPr="00A11FE0" w:rsidRDefault="0021713D" w:rsidP="009B7C77">
      <w:pPr>
        <w:pStyle w:val="Odsekzoznamu"/>
        <w:numPr>
          <w:ilvl w:val="0"/>
          <w:numId w:val="33"/>
        </w:numPr>
        <w:tabs>
          <w:tab w:val="left" w:pos="567"/>
        </w:tabs>
        <w:spacing w:before="0" w:after="0"/>
        <w:ind w:left="567"/>
        <w:rPr>
          <w:rFonts w:asciiTheme="majorHAnsi" w:hAnsiTheme="majorHAnsi"/>
          <w:b/>
          <w:szCs w:val="22"/>
        </w:rPr>
      </w:pPr>
      <w:r w:rsidRPr="007F08EE">
        <w:rPr>
          <w:rFonts w:asciiTheme="majorHAnsi" w:hAnsiTheme="majorHAnsi"/>
          <w:b/>
          <w:szCs w:val="22"/>
        </w:rPr>
        <w:t>e-</w:t>
      </w:r>
      <w:r>
        <w:rPr>
          <w:rFonts w:asciiTheme="majorHAnsi" w:hAnsiTheme="majorHAnsi"/>
          <w:b/>
          <w:szCs w:val="22"/>
        </w:rPr>
        <w:t>S</w:t>
      </w:r>
      <w:r w:rsidRPr="007F08EE">
        <w:rPr>
          <w:rFonts w:asciiTheme="majorHAnsi" w:hAnsiTheme="majorHAnsi"/>
          <w:b/>
          <w:szCs w:val="22"/>
        </w:rPr>
        <w:t>torage</w:t>
      </w:r>
      <w:r w:rsidRPr="00A11FE0">
        <w:rPr>
          <w:rFonts w:asciiTheme="majorHAnsi" w:hAnsiTheme="majorHAnsi"/>
          <w:b/>
          <w:szCs w:val="22"/>
        </w:rPr>
        <w:t xml:space="preserve"> </w:t>
      </w:r>
      <w:r w:rsidRPr="00A11FE0">
        <w:rPr>
          <w:rFonts w:asciiTheme="majorHAnsi" w:hAnsiTheme="majorHAnsi"/>
          <w:szCs w:val="22"/>
        </w:rPr>
        <w:t>–</w:t>
      </w:r>
      <w:r w:rsidR="00E1347F">
        <w:rPr>
          <w:rFonts w:asciiTheme="majorHAnsi" w:hAnsiTheme="majorHAnsi"/>
          <w:szCs w:val="22"/>
        </w:rPr>
        <w:t xml:space="preserve"> </w:t>
      </w:r>
      <w:r w:rsidRPr="00A11FE0">
        <w:rPr>
          <w:rFonts w:asciiTheme="majorHAnsi" w:hAnsiTheme="majorHAnsi"/>
          <w:szCs w:val="22"/>
        </w:rPr>
        <w:t>jednotná databáza vytvára priestor pre ukladanie dokumentácie</w:t>
      </w:r>
      <w:r>
        <w:rPr>
          <w:rFonts w:asciiTheme="majorHAnsi" w:hAnsiTheme="majorHAnsi"/>
          <w:szCs w:val="22"/>
        </w:rPr>
        <w:t>,</w:t>
      </w:r>
      <w:r w:rsidRPr="00A11FE0">
        <w:rPr>
          <w:rFonts w:asciiTheme="majorHAnsi" w:hAnsiTheme="majorHAnsi"/>
          <w:szCs w:val="22"/>
        </w:rPr>
        <w:t xml:space="preserve"> zatiaľ hlavne u neprojektových podpôr </w:t>
      </w:r>
      <w:r>
        <w:rPr>
          <w:rFonts w:asciiTheme="majorHAnsi" w:hAnsiTheme="majorHAnsi"/>
          <w:szCs w:val="22"/>
        </w:rPr>
        <w:t>a</w:t>
      </w:r>
      <w:r w:rsidRPr="00A11FE0">
        <w:rPr>
          <w:rFonts w:asciiTheme="majorHAnsi" w:hAnsiTheme="majorHAnsi"/>
          <w:szCs w:val="22"/>
        </w:rPr>
        <w:t>j v elektronickej podobe</w:t>
      </w:r>
      <w:r>
        <w:rPr>
          <w:rFonts w:asciiTheme="majorHAnsi" w:hAnsiTheme="majorHAnsi"/>
          <w:szCs w:val="22"/>
        </w:rPr>
        <w:t>;</w:t>
      </w:r>
    </w:p>
    <w:p w:rsidR="0021713D" w:rsidRPr="00A11FE0" w:rsidRDefault="0021713D" w:rsidP="009B7C77">
      <w:pPr>
        <w:pStyle w:val="Odsekzoznamu"/>
        <w:numPr>
          <w:ilvl w:val="0"/>
          <w:numId w:val="33"/>
        </w:numPr>
        <w:tabs>
          <w:tab w:val="left" w:pos="567"/>
        </w:tabs>
        <w:spacing w:before="0" w:after="0"/>
        <w:ind w:left="567"/>
        <w:rPr>
          <w:rFonts w:asciiTheme="majorHAnsi" w:hAnsiTheme="majorHAnsi"/>
          <w:szCs w:val="22"/>
        </w:rPr>
      </w:pPr>
      <w:r w:rsidRPr="00CB7030">
        <w:rPr>
          <w:rFonts w:asciiTheme="majorHAnsi" w:hAnsiTheme="majorHAnsi"/>
          <w:b/>
          <w:szCs w:val="22"/>
        </w:rPr>
        <w:t>I</w:t>
      </w:r>
      <w:r w:rsidRPr="007F08EE">
        <w:rPr>
          <w:rFonts w:asciiTheme="majorHAnsi" w:hAnsiTheme="majorHAnsi"/>
          <w:b/>
          <w:szCs w:val="22"/>
        </w:rPr>
        <w:t>nteroperability</w:t>
      </w:r>
      <w:r w:rsidRPr="00A11FE0">
        <w:rPr>
          <w:rFonts w:asciiTheme="majorHAnsi" w:hAnsiTheme="majorHAnsi"/>
          <w:b/>
          <w:szCs w:val="22"/>
        </w:rPr>
        <w:t xml:space="preserve"> </w:t>
      </w:r>
      <w:r w:rsidRPr="00A11FE0">
        <w:rPr>
          <w:rFonts w:asciiTheme="majorHAnsi" w:hAnsiTheme="majorHAnsi"/>
          <w:szCs w:val="22"/>
        </w:rPr>
        <w:t xml:space="preserve">– IS PPA zatiaľ disponuje modulom pre riadenie integračných </w:t>
      </w:r>
      <w:r>
        <w:rPr>
          <w:rFonts w:asciiTheme="majorHAnsi" w:hAnsiTheme="majorHAnsi"/>
          <w:szCs w:val="22"/>
        </w:rPr>
        <w:t>ak</w:t>
      </w:r>
      <w:r w:rsidRPr="00A11FE0">
        <w:rPr>
          <w:rFonts w:asciiTheme="majorHAnsi" w:hAnsiTheme="majorHAnsi"/>
          <w:szCs w:val="22"/>
        </w:rPr>
        <w:t>cií vo veľmi obmedzenej miere</w:t>
      </w:r>
      <w:r>
        <w:rPr>
          <w:rFonts w:asciiTheme="majorHAnsi" w:hAnsiTheme="majorHAnsi"/>
          <w:szCs w:val="22"/>
        </w:rPr>
        <w:t>,</w:t>
      </w:r>
      <w:r w:rsidRPr="00A11FE0">
        <w:rPr>
          <w:rFonts w:asciiTheme="majorHAnsi" w:hAnsiTheme="majorHAnsi"/>
          <w:szCs w:val="22"/>
        </w:rPr>
        <w:t xml:space="preserve"> hlavne u neprojektových podpôr;</w:t>
      </w:r>
      <w:r>
        <w:rPr>
          <w:rFonts w:asciiTheme="majorHAnsi" w:hAnsiTheme="majorHAnsi"/>
          <w:szCs w:val="22"/>
        </w:rPr>
        <w:t xml:space="preserve"> </w:t>
      </w:r>
    </w:p>
    <w:p w:rsidR="0021713D" w:rsidRPr="00A11FE0" w:rsidRDefault="0021713D" w:rsidP="009B7C77">
      <w:pPr>
        <w:pStyle w:val="Odsekzoznamu"/>
        <w:numPr>
          <w:ilvl w:val="0"/>
          <w:numId w:val="33"/>
        </w:numPr>
        <w:tabs>
          <w:tab w:val="left" w:pos="567"/>
        </w:tabs>
        <w:spacing w:before="0"/>
        <w:ind w:left="567" w:hanging="357"/>
        <w:rPr>
          <w:rFonts w:asciiTheme="majorHAnsi" w:hAnsiTheme="majorHAnsi"/>
          <w:szCs w:val="22"/>
        </w:rPr>
      </w:pPr>
      <w:r w:rsidRPr="00F31099">
        <w:rPr>
          <w:rFonts w:asciiTheme="majorHAnsi" w:hAnsiTheme="majorHAnsi"/>
          <w:b/>
          <w:szCs w:val="22"/>
        </w:rPr>
        <w:t>e-</w:t>
      </w:r>
      <w:r>
        <w:rPr>
          <w:rFonts w:asciiTheme="majorHAnsi" w:hAnsiTheme="majorHAnsi"/>
          <w:b/>
          <w:szCs w:val="22"/>
        </w:rPr>
        <w:t>A</w:t>
      </w:r>
      <w:r w:rsidRPr="007F08EE">
        <w:rPr>
          <w:rFonts w:asciiTheme="majorHAnsi" w:hAnsiTheme="majorHAnsi"/>
          <w:b/>
          <w:szCs w:val="22"/>
        </w:rPr>
        <w:t>udit</w:t>
      </w:r>
      <w:r w:rsidRPr="00A11FE0">
        <w:rPr>
          <w:rFonts w:asciiTheme="majorHAnsi" w:hAnsiTheme="majorHAnsi"/>
          <w:b/>
          <w:szCs w:val="22"/>
        </w:rPr>
        <w:t xml:space="preserve"> </w:t>
      </w:r>
      <w:r w:rsidRPr="00A11FE0">
        <w:rPr>
          <w:rFonts w:asciiTheme="majorHAnsi" w:hAnsiTheme="majorHAnsi"/>
          <w:szCs w:val="22"/>
        </w:rPr>
        <w:t xml:space="preserve">– IS PPA obsahuje základné procesy </w:t>
      </w:r>
      <w:r>
        <w:rPr>
          <w:rFonts w:asciiTheme="majorHAnsi" w:hAnsiTheme="majorHAnsi"/>
          <w:szCs w:val="22"/>
        </w:rPr>
        <w:t>a</w:t>
      </w:r>
      <w:r w:rsidRPr="00A11FE0">
        <w:rPr>
          <w:rFonts w:asciiTheme="majorHAnsi" w:hAnsiTheme="majorHAnsi"/>
          <w:szCs w:val="22"/>
        </w:rPr>
        <w:t xml:space="preserve"> funkcionality pre </w:t>
      </w:r>
      <w:r>
        <w:rPr>
          <w:rFonts w:asciiTheme="majorHAnsi" w:hAnsiTheme="majorHAnsi"/>
          <w:szCs w:val="22"/>
        </w:rPr>
        <w:t>s</w:t>
      </w:r>
      <w:r w:rsidRPr="00A11FE0">
        <w:rPr>
          <w:rFonts w:asciiTheme="majorHAnsi" w:hAnsiTheme="majorHAnsi"/>
          <w:szCs w:val="22"/>
        </w:rPr>
        <w:t xml:space="preserve">ledovanie </w:t>
      </w:r>
      <w:r>
        <w:rPr>
          <w:rFonts w:asciiTheme="majorHAnsi" w:hAnsiTheme="majorHAnsi"/>
          <w:szCs w:val="22"/>
        </w:rPr>
        <w:t>ak</w:t>
      </w:r>
      <w:r w:rsidRPr="00A11FE0">
        <w:rPr>
          <w:rFonts w:asciiTheme="majorHAnsi" w:hAnsiTheme="majorHAnsi"/>
          <w:szCs w:val="22"/>
        </w:rPr>
        <w:t>tivity používateľov v IS.</w:t>
      </w:r>
    </w:p>
    <w:p w:rsidR="0021713D" w:rsidRPr="00A11FE0" w:rsidRDefault="0021713D" w:rsidP="0021713D">
      <w:pPr>
        <w:spacing w:after="0"/>
        <w:rPr>
          <w:rFonts w:asciiTheme="majorHAnsi" w:hAnsiTheme="majorHAnsi"/>
          <w:szCs w:val="22"/>
        </w:rPr>
      </w:pPr>
      <w:r w:rsidRPr="00A11FE0">
        <w:rPr>
          <w:rFonts w:asciiTheme="majorHAnsi" w:hAnsiTheme="majorHAnsi"/>
          <w:szCs w:val="22"/>
        </w:rPr>
        <w:t xml:space="preserve">Zákon o e-Governmente </w:t>
      </w:r>
      <w:r>
        <w:rPr>
          <w:rFonts w:asciiTheme="majorHAnsi" w:hAnsiTheme="majorHAnsi"/>
          <w:szCs w:val="22"/>
        </w:rPr>
        <w:t>s</w:t>
      </w:r>
      <w:r w:rsidRPr="00A11FE0">
        <w:rPr>
          <w:rFonts w:asciiTheme="majorHAnsi" w:hAnsiTheme="majorHAnsi"/>
          <w:szCs w:val="22"/>
        </w:rPr>
        <w:t xml:space="preserve">tanovuje </w:t>
      </w:r>
      <w:r>
        <w:rPr>
          <w:rFonts w:asciiTheme="majorHAnsi" w:hAnsiTheme="majorHAnsi"/>
          <w:szCs w:val="22"/>
        </w:rPr>
        <w:t xml:space="preserve">pre </w:t>
      </w:r>
      <w:r w:rsidRPr="00A11FE0">
        <w:rPr>
          <w:rFonts w:asciiTheme="majorHAnsi" w:hAnsiTheme="majorHAnsi"/>
          <w:szCs w:val="22"/>
        </w:rPr>
        <w:t>IS VS povinne používať pre elektronick</w:t>
      </w:r>
      <w:r>
        <w:rPr>
          <w:rFonts w:asciiTheme="majorHAnsi" w:hAnsiTheme="majorHAnsi"/>
          <w:szCs w:val="22"/>
        </w:rPr>
        <w:t>ý výkon</w:t>
      </w:r>
      <w:r w:rsidRPr="00A11FE0">
        <w:rPr>
          <w:rFonts w:asciiTheme="majorHAnsi" w:hAnsiTheme="majorHAnsi"/>
          <w:szCs w:val="22"/>
        </w:rPr>
        <w:t xml:space="preserve"> verejnej moci nasledovné </w:t>
      </w:r>
      <w:r>
        <w:rPr>
          <w:rFonts w:asciiTheme="majorHAnsi" w:hAnsiTheme="majorHAnsi"/>
          <w:szCs w:val="22"/>
        </w:rPr>
        <w:t>s</w:t>
      </w:r>
      <w:r w:rsidRPr="00A11FE0">
        <w:rPr>
          <w:rFonts w:asciiTheme="majorHAnsi" w:hAnsiTheme="majorHAnsi"/>
          <w:szCs w:val="22"/>
        </w:rPr>
        <w:t>poločné moduly:</w:t>
      </w:r>
    </w:p>
    <w:p w:rsidR="0021713D" w:rsidRPr="00A11FE0" w:rsidRDefault="0021713D" w:rsidP="009B7C77">
      <w:pPr>
        <w:pStyle w:val="Odsekzoznamu"/>
        <w:numPr>
          <w:ilvl w:val="0"/>
          <w:numId w:val="43"/>
        </w:numPr>
        <w:spacing w:before="0" w:after="0"/>
        <w:rPr>
          <w:rFonts w:asciiTheme="majorHAnsi" w:hAnsiTheme="majorHAnsi"/>
          <w:szCs w:val="22"/>
        </w:rPr>
      </w:pPr>
      <w:r w:rsidRPr="00A11FE0">
        <w:rPr>
          <w:rFonts w:asciiTheme="majorHAnsi" w:hAnsiTheme="majorHAnsi"/>
          <w:szCs w:val="22"/>
        </w:rPr>
        <w:t xml:space="preserve">modul elektronických </w:t>
      </w:r>
      <w:r>
        <w:rPr>
          <w:rFonts w:asciiTheme="majorHAnsi" w:hAnsiTheme="majorHAnsi"/>
          <w:szCs w:val="22"/>
        </w:rPr>
        <w:t>s</w:t>
      </w:r>
      <w:r w:rsidRPr="00A11FE0">
        <w:rPr>
          <w:rFonts w:asciiTheme="majorHAnsi" w:hAnsiTheme="majorHAnsi"/>
          <w:szCs w:val="22"/>
        </w:rPr>
        <w:t>chránok,</w:t>
      </w:r>
    </w:p>
    <w:p w:rsidR="0021713D" w:rsidRPr="00A11FE0" w:rsidRDefault="0021713D" w:rsidP="009B7C77">
      <w:pPr>
        <w:pStyle w:val="Odsekzoznamu"/>
        <w:numPr>
          <w:ilvl w:val="0"/>
          <w:numId w:val="43"/>
        </w:numPr>
        <w:spacing w:before="0" w:after="0"/>
        <w:rPr>
          <w:rFonts w:asciiTheme="majorHAnsi" w:hAnsiTheme="majorHAnsi"/>
          <w:szCs w:val="22"/>
        </w:rPr>
      </w:pPr>
      <w:r>
        <w:rPr>
          <w:rFonts w:asciiTheme="majorHAnsi" w:hAnsiTheme="majorHAnsi"/>
          <w:szCs w:val="22"/>
        </w:rPr>
        <w:t>a</w:t>
      </w:r>
      <w:r w:rsidRPr="00A11FE0">
        <w:rPr>
          <w:rFonts w:asciiTheme="majorHAnsi" w:hAnsiTheme="majorHAnsi"/>
          <w:szCs w:val="22"/>
        </w:rPr>
        <w:t>utentifikačný modul (IAM),</w:t>
      </w:r>
    </w:p>
    <w:p w:rsidR="0021713D" w:rsidRPr="00A11FE0" w:rsidRDefault="0021713D" w:rsidP="009B7C77">
      <w:pPr>
        <w:pStyle w:val="Odsekzoznamu"/>
        <w:numPr>
          <w:ilvl w:val="0"/>
          <w:numId w:val="43"/>
        </w:numPr>
        <w:spacing w:before="0" w:after="0"/>
        <w:rPr>
          <w:rFonts w:asciiTheme="majorHAnsi" w:hAnsiTheme="majorHAnsi"/>
          <w:szCs w:val="22"/>
        </w:rPr>
      </w:pPr>
      <w:r w:rsidRPr="00A11FE0">
        <w:rPr>
          <w:rFonts w:asciiTheme="majorHAnsi" w:hAnsiTheme="majorHAnsi"/>
          <w:szCs w:val="22"/>
        </w:rPr>
        <w:t>modul elektronických formulárov,</w:t>
      </w:r>
    </w:p>
    <w:p w:rsidR="0021713D" w:rsidRPr="00A11FE0" w:rsidRDefault="0021713D" w:rsidP="009B7C77">
      <w:pPr>
        <w:pStyle w:val="Odsekzoznamu"/>
        <w:numPr>
          <w:ilvl w:val="0"/>
          <w:numId w:val="43"/>
        </w:numPr>
        <w:spacing w:before="0"/>
        <w:ind w:left="714" w:hanging="357"/>
        <w:rPr>
          <w:rFonts w:asciiTheme="majorHAnsi" w:hAnsiTheme="majorHAnsi"/>
          <w:szCs w:val="22"/>
        </w:rPr>
      </w:pPr>
      <w:r w:rsidRPr="00A11FE0">
        <w:rPr>
          <w:rFonts w:asciiTheme="majorHAnsi" w:hAnsiTheme="majorHAnsi"/>
          <w:szCs w:val="22"/>
        </w:rPr>
        <w:t>modul elektronického doručovania.</w:t>
      </w:r>
    </w:p>
    <w:p w:rsidR="0021713D" w:rsidRPr="00A11FE0" w:rsidRDefault="0021713D" w:rsidP="0021713D">
      <w:pPr>
        <w:rPr>
          <w:rFonts w:asciiTheme="majorHAnsi" w:hAnsiTheme="majorHAnsi"/>
          <w:szCs w:val="22"/>
        </w:rPr>
      </w:pPr>
      <w:r>
        <w:rPr>
          <w:rFonts w:asciiTheme="majorHAnsi" w:hAnsiTheme="majorHAnsi"/>
          <w:szCs w:val="22"/>
        </w:rPr>
        <w:t>S</w:t>
      </w:r>
      <w:r w:rsidRPr="00A11FE0">
        <w:rPr>
          <w:rFonts w:asciiTheme="majorHAnsi" w:hAnsiTheme="majorHAnsi"/>
          <w:szCs w:val="22"/>
        </w:rPr>
        <w:t xml:space="preserve">ystém ITMS </w:t>
      </w:r>
      <w:r>
        <w:rPr>
          <w:rFonts w:asciiTheme="majorHAnsi" w:hAnsiTheme="majorHAnsi"/>
          <w:szCs w:val="22"/>
        </w:rPr>
        <w:t>a a</w:t>
      </w:r>
      <w:r w:rsidRPr="00A11FE0">
        <w:rPr>
          <w:rFonts w:asciiTheme="majorHAnsi" w:hAnsiTheme="majorHAnsi"/>
          <w:szCs w:val="22"/>
        </w:rPr>
        <w:t xml:space="preserve">ni IS PPA momentálne nedisponujú integráciou na uvedené povinné moduly, </w:t>
      </w:r>
      <w:r>
        <w:rPr>
          <w:rFonts w:asciiTheme="majorHAnsi" w:hAnsiTheme="majorHAnsi"/>
          <w:szCs w:val="22"/>
        </w:rPr>
        <w:t>a</w:t>
      </w:r>
      <w:r w:rsidRPr="00A11FE0">
        <w:rPr>
          <w:rFonts w:asciiTheme="majorHAnsi" w:hAnsiTheme="majorHAnsi"/>
          <w:szCs w:val="22"/>
        </w:rPr>
        <w:t>ni ich natívne implementovanými variantmi</w:t>
      </w:r>
      <w:r>
        <w:rPr>
          <w:rFonts w:asciiTheme="majorHAnsi" w:hAnsiTheme="majorHAnsi"/>
          <w:szCs w:val="22"/>
        </w:rPr>
        <w:t>,</w:t>
      </w:r>
      <w:r w:rsidRPr="00A11FE0">
        <w:rPr>
          <w:rFonts w:asciiTheme="majorHAnsi" w:hAnsiTheme="majorHAnsi"/>
          <w:szCs w:val="22"/>
        </w:rPr>
        <w:t xml:space="preserve"> okrem proprietárneho IAM modulu, </w:t>
      </w:r>
      <w:r>
        <w:rPr>
          <w:rFonts w:asciiTheme="majorHAnsi" w:hAnsiTheme="majorHAnsi"/>
          <w:szCs w:val="22"/>
        </w:rPr>
        <w:t>k</w:t>
      </w:r>
      <w:r w:rsidRPr="00A11FE0">
        <w:rPr>
          <w:rFonts w:asciiTheme="majorHAnsi" w:hAnsiTheme="majorHAnsi"/>
          <w:szCs w:val="22"/>
        </w:rPr>
        <w:t>torý však nespĺňa všetky náležitosti definované zákonom</w:t>
      </w:r>
      <w:r>
        <w:rPr>
          <w:rFonts w:asciiTheme="majorHAnsi" w:hAnsiTheme="majorHAnsi"/>
          <w:szCs w:val="22"/>
        </w:rPr>
        <w:t xml:space="preserve"> o e-Governmente</w:t>
      </w:r>
      <w:r w:rsidRPr="00A11FE0">
        <w:rPr>
          <w:rFonts w:asciiTheme="majorHAnsi" w:hAnsiTheme="majorHAnsi"/>
          <w:szCs w:val="22"/>
        </w:rPr>
        <w:t>.</w:t>
      </w:r>
    </w:p>
    <w:p w:rsidR="0021713D" w:rsidRPr="00A11FE0" w:rsidRDefault="0021713D" w:rsidP="0021713D">
      <w:pPr>
        <w:rPr>
          <w:rFonts w:asciiTheme="majorHAnsi" w:hAnsiTheme="majorHAnsi"/>
          <w:szCs w:val="22"/>
        </w:rPr>
      </w:pPr>
      <w:r w:rsidRPr="00A11FE0">
        <w:rPr>
          <w:rFonts w:asciiTheme="majorHAnsi" w:hAnsiTheme="majorHAnsi"/>
          <w:szCs w:val="22"/>
        </w:rPr>
        <w:t>Pre naplnenie princípov e-</w:t>
      </w:r>
      <w:r>
        <w:rPr>
          <w:rFonts w:asciiTheme="majorHAnsi" w:hAnsiTheme="majorHAnsi"/>
          <w:szCs w:val="22"/>
        </w:rPr>
        <w:t>k</w:t>
      </w:r>
      <w:r w:rsidRPr="00A11FE0">
        <w:rPr>
          <w:rFonts w:asciiTheme="majorHAnsi" w:hAnsiTheme="majorHAnsi"/>
          <w:szCs w:val="22"/>
        </w:rPr>
        <w:t xml:space="preserve">ohézie </w:t>
      </w:r>
      <w:r>
        <w:rPr>
          <w:rFonts w:asciiTheme="majorHAnsi" w:hAnsiTheme="majorHAnsi"/>
          <w:szCs w:val="22"/>
        </w:rPr>
        <w:t>a</w:t>
      </w:r>
      <w:r w:rsidRPr="00A11FE0">
        <w:rPr>
          <w:rFonts w:asciiTheme="majorHAnsi" w:hAnsiTheme="majorHAnsi"/>
          <w:szCs w:val="22"/>
        </w:rPr>
        <w:t xml:space="preserve"> zákonných podmienok je nevyhnutné </w:t>
      </w:r>
      <w:r>
        <w:rPr>
          <w:rFonts w:asciiTheme="majorHAnsi" w:hAnsiTheme="majorHAnsi"/>
          <w:szCs w:val="22"/>
        </w:rPr>
        <w:t>s</w:t>
      </w:r>
      <w:r w:rsidRPr="00A11FE0">
        <w:rPr>
          <w:rFonts w:asciiTheme="majorHAnsi" w:hAnsiTheme="majorHAnsi"/>
          <w:szCs w:val="22"/>
        </w:rPr>
        <w:t xml:space="preserve">účasné </w:t>
      </w:r>
      <w:r>
        <w:rPr>
          <w:rFonts w:asciiTheme="majorHAnsi" w:hAnsiTheme="majorHAnsi"/>
          <w:szCs w:val="22"/>
        </w:rPr>
        <w:t>s</w:t>
      </w:r>
      <w:r w:rsidRPr="00A11FE0">
        <w:rPr>
          <w:rFonts w:asciiTheme="majorHAnsi" w:hAnsiTheme="majorHAnsi"/>
          <w:szCs w:val="22"/>
        </w:rPr>
        <w:t xml:space="preserve">ystémy ITMS </w:t>
      </w:r>
      <w:r>
        <w:rPr>
          <w:rFonts w:asciiTheme="majorHAnsi" w:hAnsiTheme="majorHAnsi"/>
          <w:szCs w:val="22"/>
        </w:rPr>
        <w:t>a</w:t>
      </w:r>
      <w:r w:rsidRPr="00A11FE0">
        <w:rPr>
          <w:rFonts w:asciiTheme="majorHAnsi" w:hAnsiTheme="majorHAnsi"/>
          <w:szCs w:val="22"/>
        </w:rPr>
        <w:t> IS PPA upraviť</w:t>
      </w:r>
      <w:r>
        <w:rPr>
          <w:rFonts w:asciiTheme="majorHAnsi" w:hAnsiTheme="majorHAnsi"/>
          <w:szCs w:val="22"/>
        </w:rPr>
        <w:t>.</w:t>
      </w:r>
    </w:p>
    <w:p w:rsidR="0021713D" w:rsidRPr="00A11FE0" w:rsidRDefault="0021713D" w:rsidP="0021713D">
      <w:pPr>
        <w:tabs>
          <w:tab w:val="left" w:pos="709"/>
          <w:tab w:val="left" w:pos="9072"/>
        </w:tabs>
        <w:rPr>
          <w:rFonts w:asciiTheme="majorHAnsi" w:hAnsiTheme="majorHAnsi"/>
          <w:szCs w:val="22"/>
        </w:rPr>
      </w:pPr>
      <w:r w:rsidRPr="00A11FE0">
        <w:rPr>
          <w:rFonts w:asciiTheme="majorHAnsi" w:hAnsiTheme="majorHAnsi"/>
          <w:szCs w:val="22"/>
        </w:rPr>
        <w:t xml:space="preserve">V programovom období 2014 – 2020 bude IS pre monitorovanie </w:t>
      </w:r>
      <w:r>
        <w:rPr>
          <w:rFonts w:asciiTheme="majorHAnsi" w:hAnsiTheme="majorHAnsi"/>
          <w:szCs w:val="22"/>
        </w:rPr>
        <w:t>EFRR, ESF, KF a</w:t>
      </w:r>
      <w:r w:rsidR="005211F5">
        <w:rPr>
          <w:rFonts w:asciiTheme="majorHAnsi" w:hAnsiTheme="majorHAnsi"/>
          <w:szCs w:val="22"/>
        </w:rPr>
        <w:t> </w:t>
      </w:r>
      <w:r>
        <w:rPr>
          <w:rFonts w:asciiTheme="majorHAnsi" w:hAnsiTheme="majorHAnsi"/>
          <w:szCs w:val="22"/>
        </w:rPr>
        <w:t>ENRF</w:t>
      </w:r>
      <w:r w:rsidRPr="00A11FE0">
        <w:rPr>
          <w:rFonts w:asciiTheme="majorHAnsi" w:hAnsiTheme="majorHAnsi"/>
          <w:szCs w:val="22"/>
        </w:rPr>
        <w:t xml:space="preserve"> (ďalej </w:t>
      </w:r>
      <w:r>
        <w:rPr>
          <w:rFonts w:asciiTheme="majorHAnsi" w:hAnsiTheme="majorHAnsi"/>
          <w:szCs w:val="22"/>
        </w:rPr>
        <w:t>a</w:t>
      </w:r>
      <w:r w:rsidRPr="00A11FE0">
        <w:rPr>
          <w:rFonts w:asciiTheme="majorHAnsi" w:hAnsiTheme="majorHAnsi"/>
          <w:szCs w:val="22"/>
        </w:rPr>
        <w:t xml:space="preserve">j „ITMS2014+“) základným nástrojom pre </w:t>
      </w:r>
      <w:r>
        <w:rPr>
          <w:rFonts w:asciiTheme="majorHAnsi" w:hAnsiTheme="majorHAnsi"/>
          <w:szCs w:val="22"/>
        </w:rPr>
        <w:t>s</w:t>
      </w:r>
      <w:r w:rsidRPr="00A11FE0">
        <w:rPr>
          <w:rFonts w:asciiTheme="majorHAnsi" w:hAnsiTheme="majorHAnsi"/>
          <w:szCs w:val="22"/>
        </w:rPr>
        <w:t xml:space="preserve">ledovanie využívania finančnej </w:t>
      </w:r>
      <w:r w:rsidR="006F6412">
        <w:rPr>
          <w:rFonts w:asciiTheme="majorHAnsi" w:hAnsiTheme="majorHAnsi"/>
          <w:szCs w:val="22"/>
        </w:rPr>
        <w:t>podpory</w:t>
      </w:r>
      <w:r w:rsidR="006F6412" w:rsidRPr="00A11FE0">
        <w:rPr>
          <w:rFonts w:asciiTheme="majorHAnsi" w:hAnsiTheme="majorHAnsi"/>
          <w:szCs w:val="22"/>
        </w:rPr>
        <w:t xml:space="preserve"> </w:t>
      </w:r>
      <w:r w:rsidRPr="00A11FE0">
        <w:rPr>
          <w:rFonts w:asciiTheme="majorHAnsi" w:hAnsiTheme="majorHAnsi"/>
          <w:szCs w:val="22"/>
        </w:rPr>
        <w:t>z fondov EÚ</w:t>
      </w:r>
      <w:r w:rsidRPr="00A11FE0">
        <w:rPr>
          <w:rFonts w:asciiTheme="majorHAnsi" w:hAnsiTheme="majorHAnsi"/>
          <w:i/>
          <w:szCs w:val="22"/>
        </w:rPr>
        <w:t xml:space="preserve">. </w:t>
      </w:r>
      <w:r w:rsidRPr="00A11FE0">
        <w:rPr>
          <w:rFonts w:asciiTheme="majorHAnsi" w:hAnsiTheme="majorHAnsi"/>
          <w:szCs w:val="22"/>
        </w:rPr>
        <w:t xml:space="preserve">ITMS2014+ vznikne prebudovaním ITMS II na základe požiadaviek definovaných legislatívou EÚ, právnym poriadkom </w:t>
      </w:r>
      <w:r>
        <w:rPr>
          <w:rFonts w:asciiTheme="majorHAnsi" w:hAnsiTheme="majorHAnsi"/>
          <w:szCs w:val="22"/>
        </w:rPr>
        <w:t>S</w:t>
      </w:r>
      <w:r w:rsidRPr="00A11FE0">
        <w:rPr>
          <w:rFonts w:asciiTheme="majorHAnsi" w:hAnsiTheme="majorHAnsi"/>
          <w:szCs w:val="22"/>
        </w:rPr>
        <w:t>R</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ak</w:t>
      </w:r>
      <w:r w:rsidRPr="00A11FE0">
        <w:rPr>
          <w:rFonts w:asciiTheme="majorHAnsi" w:hAnsiTheme="majorHAnsi"/>
          <w:szCs w:val="22"/>
        </w:rPr>
        <w:t xml:space="preserve">o </w:t>
      </w:r>
      <w:r>
        <w:rPr>
          <w:rFonts w:asciiTheme="majorHAnsi" w:hAnsiTheme="majorHAnsi"/>
          <w:szCs w:val="22"/>
        </w:rPr>
        <w:t>a</w:t>
      </w:r>
      <w:r w:rsidRPr="00A11FE0">
        <w:rPr>
          <w:rFonts w:asciiTheme="majorHAnsi" w:hAnsiTheme="majorHAnsi"/>
          <w:szCs w:val="22"/>
        </w:rPr>
        <w:t xml:space="preserve">j riadiacou dokumentáciou relevantných </w:t>
      </w:r>
      <w:r>
        <w:rPr>
          <w:rFonts w:asciiTheme="majorHAnsi" w:hAnsiTheme="majorHAnsi"/>
          <w:szCs w:val="22"/>
        </w:rPr>
        <w:t>s</w:t>
      </w:r>
      <w:r w:rsidRPr="00A11FE0">
        <w:rPr>
          <w:rFonts w:asciiTheme="majorHAnsi" w:hAnsiTheme="majorHAnsi"/>
          <w:szCs w:val="22"/>
        </w:rPr>
        <w:t xml:space="preserve">ubjektov </w:t>
      </w:r>
      <w:r>
        <w:rPr>
          <w:rFonts w:asciiTheme="majorHAnsi" w:hAnsiTheme="majorHAnsi"/>
          <w:szCs w:val="22"/>
        </w:rPr>
        <w:t>a</w:t>
      </w:r>
      <w:r w:rsidR="005211F5">
        <w:rPr>
          <w:rFonts w:asciiTheme="majorHAnsi" w:hAnsiTheme="majorHAnsi"/>
          <w:szCs w:val="22"/>
        </w:rPr>
        <w:t> </w:t>
      </w:r>
      <w:r w:rsidRPr="00A11FE0">
        <w:rPr>
          <w:rFonts w:asciiTheme="majorHAnsi" w:hAnsiTheme="majorHAnsi"/>
          <w:szCs w:val="22"/>
        </w:rPr>
        <w:t>orgánov. ITMS2014+</w:t>
      </w:r>
      <w:r w:rsidR="006A44F2">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ak</w:t>
      </w:r>
      <w:r w:rsidRPr="00A11FE0">
        <w:rPr>
          <w:rFonts w:asciiTheme="majorHAnsi" w:hAnsiTheme="majorHAnsi"/>
          <w:szCs w:val="22"/>
        </w:rPr>
        <w:t xml:space="preserve">o nástroj pre zber, prenos, </w:t>
      </w:r>
      <w:r>
        <w:rPr>
          <w:rFonts w:asciiTheme="majorHAnsi" w:hAnsiTheme="majorHAnsi"/>
          <w:szCs w:val="22"/>
        </w:rPr>
        <w:t>s</w:t>
      </w:r>
      <w:r w:rsidRPr="00A11FE0">
        <w:rPr>
          <w:rFonts w:asciiTheme="majorHAnsi" w:hAnsiTheme="majorHAnsi"/>
          <w:szCs w:val="22"/>
        </w:rPr>
        <w:t xml:space="preserve">pracovanie, uchovávanie </w:t>
      </w:r>
      <w:r>
        <w:rPr>
          <w:rFonts w:asciiTheme="majorHAnsi" w:hAnsiTheme="majorHAnsi"/>
          <w:szCs w:val="22"/>
        </w:rPr>
        <w:t>a</w:t>
      </w:r>
      <w:r w:rsidRPr="00A11FE0">
        <w:rPr>
          <w:rFonts w:asciiTheme="majorHAnsi" w:hAnsiTheme="majorHAnsi"/>
          <w:szCs w:val="22"/>
        </w:rPr>
        <w:t xml:space="preserve"> poskytovanie relevantných </w:t>
      </w:r>
      <w:r w:rsidRPr="00A11FE0">
        <w:rPr>
          <w:rFonts w:asciiTheme="majorHAnsi" w:hAnsiTheme="majorHAnsi"/>
          <w:szCs w:val="22"/>
        </w:rPr>
        <w:lastRenderedPageBreak/>
        <w:t xml:space="preserve">informácií </w:t>
      </w:r>
      <w:r>
        <w:rPr>
          <w:rFonts w:asciiTheme="majorHAnsi" w:hAnsiTheme="majorHAnsi"/>
          <w:szCs w:val="22"/>
        </w:rPr>
        <w:t>a</w:t>
      </w:r>
      <w:r w:rsidR="006A44F2">
        <w:rPr>
          <w:rFonts w:asciiTheme="majorHAnsi" w:hAnsiTheme="majorHAnsi"/>
          <w:szCs w:val="22"/>
        </w:rPr>
        <w:t> </w:t>
      </w:r>
      <w:r w:rsidRPr="00A11FE0">
        <w:rPr>
          <w:rFonts w:asciiTheme="majorHAnsi" w:hAnsiTheme="majorHAnsi"/>
          <w:szCs w:val="22"/>
        </w:rPr>
        <w:t>dát</w:t>
      </w:r>
      <w:r w:rsidR="006A44F2">
        <w:rPr>
          <w:rFonts w:asciiTheme="majorHAnsi" w:hAnsiTheme="majorHAnsi"/>
          <w:szCs w:val="22"/>
        </w:rPr>
        <w:t>,</w:t>
      </w:r>
      <w:r w:rsidRPr="00A11FE0">
        <w:rPr>
          <w:rFonts w:asciiTheme="majorHAnsi" w:hAnsiTheme="majorHAnsi"/>
          <w:szCs w:val="22"/>
        </w:rPr>
        <w:t xml:space="preserve"> predstavuje jeden z </w:t>
      </w:r>
      <w:r>
        <w:rPr>
          <w:rFonts w:asciiTheme="majorHAnsi" w:hAnsiTheme="majorHAnsi"/>
          <w:szCs w:val="22"/>
        </w:rPr>
        <w:t>k</w:t>
      </w:r>
      <w:r w:rsidRPr="00A11FE0">
        <w:rPr>
          <w:rFonts w:asciiTheme="majorHAnsi" w:hAnsiTheme="majorHAnsi"/>
          <w:szCs w:val="22"/>
        </w:rPr>
        <w:t xml:space="preserve">ľúčových nástrojov, </w:t>
      </w:r>
      <w:r>
        <w:rPr>
          <w:rFonts w:asciiTheme="majorHAnsi" w:hAnsiTheme="majorHAnsi"/>
          <w:szCs w:val="22"/>
        </w:rPr>
        <w:t>k</w:t>
      </w:r>
      <w:r w:rsidRPr="00A11FE0">
        <w:rPr>
          <w:rFonts w:asciiTheme="majorHAnsi" w:hAnsiTheme="majorHAnsi"/>
          <w:szCs w:val="22"/>
        </w:rPr>
        <w:t xml:space="preserve">torý výrazným </w:t>
      </w:r>
      <w:r>
        <w:rPr>
          <w:rFonts w:asciiTheme="majorHAnsi" w:hAnsiTheme="majorHAnsi"/>
          <w:szCs w:val="22"/>
        </w:rPr>
        <w:t>s</w:t>
      </w:r>
      <w:r w:rsidRPr="00A11FE0">
        <w:rPr>
          <w:rFonts w:asciiTheme="majorHAnsi" w:hAnsiTheme="majorHAnsi"/>
          <w:szCs w:val="22"/>
        </w:rPr>
        <w:t xml:space="preserve">pôsobom ovplyvní efektívnosť realizácie EŠIF pozitívnym </w:t>
      </w:r>
      <w:r>
        <w:rPr>
          <w:rFonts w:asciiTheme="majorHAnsi" w:hAnsiTheme="majorHAnsi"/>
          <w:szCs w:val="22"/>
        </w:rPr>
        <w:t>s</w:t>
      </w:r>
      <w:r w:rsidRPr="00A11FE0">
        <w:rPr>
          <w:rFonts w:asciiTheme="majorHAnsi" w:hAnsiTheme="majorHAnsi"/>
          <w:szCs w:val="22"/>
        </w:rPr>
        <w:t xml:space="preserve">merom. ITMS2014+ bude </w:t>
      </w:r>
      <w:r>
        <w:rPr>
          <w:rFonts w:asciiTheme="majorHAnsi" w:hAnsiTheme="majorHAnsi"/>
          <w:szCs w:val="22"/>
        </w:rPr>
        <w:t>s</w:t>
      </w:r>
      <w:r w:rsidRPr="00A11FE0">
        <w:rPr>
          <w:rFonts w:asciiTheme="majorHAnsi" w:hAnsiTheme="majorHAnsi"/>
          <w:szCs w:val="22"/>
        </w:rPr>
        <w:t xml:space="preserve">lúžiť všetkým žiadateľom </w:t>
      </w:r>
      <w:r>
        <w:rPr>
          <w:rFonts w:asciiTheme="majorHAnsi" w:hAnsiTheme="majorHAnsi"/>
          <w:szCs w:val="22"/>
        </w:rPr>
        <w:t>a</w:t>
      </w:r>
      <w:r w:rsidRPr="00A11FE0">
        <w:rPr>
          <w:rFonts w:asciiTheme="majorHAnsi" w:hAnsiTheme="majorHAnsi"/>
          <w:szCs w:val="22"/>
        </w:rPr>
        <w:t xml:space="preserve"> prijímateľom, orgánom štátnej </w:t>
      </w:r>
      <w:r>
        <w:rPr>
          <w:rFonts w:asciiTheme="majorHAnsi" w:hAnsiTheme="majorHAnsi"/>
          <w:szCs w:val="22"/>
        </w:rPr>
        <w:t>s</w:t>
      </w:r>
      <w:r w:rsidRPr="00A11FE0">
        <w:rPr>
          <w:rFonts w:asciiTheme="majorHAnsi" w:hAnsiTheme="majorHAnsi"/>
          <w:szCs w:val="22"/>
        </w:rPr>
        <w:t xml:space="preserve">právy, </w:t>
      </w:r>
      <w:r>
        <w:rPr>
          <w:rFonts w:asciiTheme="majorHAnsi" w:hAnsiTheme="majorHAnsi"/>
          <w:szCs w:val="22"/>
        </w:rPr>
        <w:t>územnej s</w:t>
      </w:r>
      <w:r w:rsidRPr="00A11FE0">
        <w:rPr>
          <w:rFonts w:asciiTheme="majorHAnsi" w:hAnsiTheme="majorHAnsi"/>
          <w:szCs w:val="22"/>
        </w:rPr>
        <w:t xml:space="preserve">amosprávy, ich príspevkovým organizáciám </w:t>
      </w:r>
      <w:r>
        <w:rPr>
          <w:rFonts w:asciiTheme="majorHAnsi" w:hAnsiTheme="majorHAnsi"/>
          <w:szCs w:val="22"/>
        </w:rPr>
        <w:t>a</w:t>
      </w:r>
      <w:r w:rsidRPr="00A11FE0">
        <w:rPr>
          <w:rFonts w:asciiTheme="majorHAnsi" w:hAnsiTheme="majorHAnsi"/>
          <w:szCs w:val="22"/>
        </w:rPr>
        <w:t xml:space="preserve"> ďalším </w:t>
      </w:r>
      <w:r>
        <w:rPr>
          <w:rFonts w:asciiTheme="majorHAnsi" w:hAnsiTheme="majorHAnsi"/>
          <w:szCs w:val="22"/>
        </w:rPr>
        <w:t>s</w:t>
      </w:r>
      <w:r w:rsidRPr="00A11FE0">
        <w:rPr>
          <w:rFonts w:asciiTheme="majorHAnsi" w:hAnsiTheme="majorHAnsi"/>
          <w:szCs w:val="22"/>
        </w:rPr>
        <w:t xml:space="preserve">ubjektom zapojeným do prípravy, </w:t>
      </w:r>
      <w:r>
        <w:rPr>
          <w:rFonts w:asciiTheme="majorHAnsi" w:hAnsiTheme="majorHAnsi"/>
          <w:szCs w:val="22"/>
        </w:rPr>
        <w:t>a</w:t>
      </w:r>
      <w:r w:rsidRPr="00A11FE0">
        <w:rPr>
          <w:rFonts w:asciiTheme="majorHAnsi" w:hAnsiTheme="majorHAnsi"/>
          <w:szCs w:val="22"/>
        </w:rPr>
        <w:t xml:space="preserve">dministrácie, výberu, </w:t>
      </w:r>
      <w:r>
        <w:rPr>
          <w:rFonts w:asciiTheme="majorHAnsi" w:hAnsiTheme="majorHAnsi"/>
          <w:szCs w:val="22"/>
        </w:rPr>
        <w:t>k</w:t>
      </w:r>
      <w:r w:rsidRPr="00A11FE0">
        <w:rPr>
          <w:rFonts w:asciiTheme="majorHAnsi" w:hAnsiTheme="majorHAnsi"/>
          <w:szCs w:val="22"/>
        </w:rPr>
        <w:t xml:space="preserve">ontroly, </w:t>
      </w:r>
      <w:r>
        <w:rPr>
          <w:rFonts w:asciiTheme="majorHAnsi" w:hAnsiTheme="majorHAnsi"/>
          <w:szCs w:val="22"/>
        </w:rPr>
        <w:t>a</w:t>
      </w:r>
      <w:r w:rsidRPr="00A11FE0">
        <w:rPr>
          <w:rFonts w:asciiTheme="majorHAnsi" w:hAnsiTheme="majorHAnsi"/>
          <w:szCs w:val="22"/>
        </w:rPr>
        <w:t xml:space="preserve">nalýzy (pokročilé štatistické metódy, manažérske prehľady </w:t>
      </w:r>
      <w:r>
        <w:rPr>
          <w:rFonts w:asciiTheme="majorHAnsi" w:hAnsiTheme="majorHAnsi"/>
          <w:szCs w:val="22"/>
        </w:rPr>
        <w:t>a</w:t>
      </w:r>
      <w:r w:rsidRPr="00A11FE0">
        <w:rPr>
          <w:rFonts w:asciiTheme="majorHAnsi" w:hAnsiTheme="majorHAnsi"/>
          <w:szCs w:val="22"/>
        </w:rPr>
        <w:t xml:space="preserve"> pod.), monitorovania </w:t>
      </w:r>
      <w:r>
        <w:rPr>
          <w:rFonts w:asciiTheme="majorHAnsi" w:hAnsiTheme="majorHAnsi"/>
          <w:szCs w:val="22"/>
        </w:rPr>
        <w:t>a</w:t>
      </w:r>
      <w:r w:rsidR="005211F5">
        <w:rPr>
          <w:rFonts w:asciiTheme="majorHAnsi" w:hAnsiTheme="majorHAnsi"/>
          <w:szCs w:val="22"/>
        </w:rPr>
        <w:t> </w:t>
      </w:r>
      <w:r w:rsidRPr="00A11FE0">
        <w:rPr>
          <w:rFonts w:asciiTheme="majorHAnsi" w:hAnsiTheme="majorHAnsi"/>
          <w:szCs w:val="22"/>
        </w:rPr>
        <w:t>hodnotenia poskytovaných finančných prostriedkov z EŠIF.</w:t>
      </w:r>
    </w:p>
    <w:p w:rsidR="0021713D" w:rsidRPr="00A11FE0" w:rsidRDefault="0021713D" w:rsidP="0021713D">
      <w:pPr>
        <w:spacing w:after="0"/>
        <w:rPr>
          <w:rFonts w:asciiTheme="majorHAnsi" w:hAnsiTheme="majorHAnsi"/>
          <w:szCs w:val="22"/>
        </w:rPr>
      </w:pPr>
      <w:r w:rsidRPr="00A11FE0">
        <w:rPr>
          <w:rFonts w:asciiTheme="majorHAnsi" w:hAnsiTheme="majorHAnsi"/>
          <w:szCs w:val="22"/>
        </w:rPr>
        <w:t xml:space="preserve">Plánovanou úpravou existujúcich </w:t>
      </w:r>
      <w:r>
        <w:rPr>
          <w:rFonts w:asciiTheme="majorHAnsi" w:hAnsiTheme="majorHAnsi"/>
          <w:szCs w:val="22"/>
        </w:rPr>
        <w:t>a</w:t>
      </w:r>
      <w:r w:rsidRPr="00A11FE0">
        <w:rPr>
          <w:rFonts w:asciiTheme="majorHAnsi" w:hAnsiTheme="majorHAnsi"/>
          <w:szCs w:val="22"/>
        </w:rPr>
        <w:t xml:space="preserve">utentifikačných procesov v ITMS </w:t>
      </w:r>
      <w:r>
        <w:rPr>
          <w:rFonts w:asciiTheme="majorHAnsi" w:hAnsiTheme="majorHAnsi"/>
          <w:szCs w:val="22"/>
        </w:rPr>
        <w:t>a</w:t>
      </w:r>
      <w:r w:rsidRPr="00A11FE0">
        <w:rPr>
          <w:rFonts w:asciiTheme="majorHAnsi" w:hAnsiTheme="majorHAnsi"/>
          <w:szCs w:val="22"/>
        </w:rPr>
        <w:t xml:space="preserve"> IS PPA </w:t>
      </w:r>
      <w:r>
        <w:rPr>
          <w:rFonts w:asciiTheme="majorHAnsi" w:hAnsiTheme="majorHAnsi"/>
          <w:szCs w:val="22"/>
        </w:rPr>
        <w:t>s</w:t>
      </w:r>
      <w:r w:rsidRPr="00A11FE0">
        <w:rPr>
          <w:rFonts w:asciiTheme="majorHAnsi" w:hAnsiTheme="majorHAnsi"/>
          <w:szCs w:val="22"/>
        </w:rPr>
        <w:t xml:space="preserve">a zabezpečí ich </w:t>
      </w:r>
      <w:r>
        <w:rPr>
          <w:rFonts w:asciiTheme="majorHAnsi" w:hAnsiTheme="majorHAnsi"/>
          <w:szCs w:val="22"/>
        </w:rPr>
        <w:t>s</w:t>
      </w:r>
      <w:r w:rsidRPr="00A11FE0">
        <w:rPr>
          <w:rFonts w:asciiTheme="majorHAnsi" w:hAnsiTheme="majorHAnsi"/>
          <w:szCs w:val="22"/>
        </w:rPr>
        <w:t xml:space="preserve">úlad </w:t>
      </w:r>
      <w:r>
        <w:rPr>
          <w:rFonts w:asciiTheme="majorHAnsi" w:hAnsiTheme="majorHAnsi"/>
          <w:szCs w:val="22"/>
        </w:rPr>
        <w:t>s</w:t>
      </w:r>
      <w:r w:rsidRPr="00A11FE0">
        <w:rPr>
          <w:rFonts w:asciiTheme="majorHAnsi" w:hAnsiTheme="majorHAnsi"/>
          <w:szCs w:val="22"/>
        </w:rPr>
        <w:t xml:space="preserve"> požiadavkami </w:t>
      </w:r>
      <w:r>
        <w:rPr>
          <w:rFonts w:asciiTheme="majorHAnsi" w:hAnsiTheme="majorHAnsi"/>
          <w:szCs w:val="22"/>
        </w:rPr>
        <w:t>a</w:t>
      </w:r>
      <w:r w:rsidRPr="00A11FE0">
        <w:rPr>
          <w:rFonts w:asciiTheme="majorHAnsi" w:hAnsiTheme="majorHAnsi"/>
          <w:szCs w:val="22"/>
        </w:rPr>
        <w:t xml:space="preserve"> štandardmi, </w:t>
      </w:r>
      <w:r>
        <w:rPr>
          <w:rFonts w:asciiTheme="majorHAnsi" w:hAnsiTheme="majorHAnsi"/>
          <w:szCs w:val="22"/>
        </w:rPr>
        <w:t>k</w:t>
      </w:r>
      <w:r w:rsidRPr="00A11FE0">
        <w:rPr>
          <w:rFonts w:asciiTheme="majorHAnsi" w:hAnsiTheme="majorHAnsi"/>
          <w:szCs w:val="22"/>
        </w:rPr>
        <w:t>toré definuje zákon</w:t>
      </w:r>
      <w:r>
        <w:rPr>
          <w:rFonts w:asciiTheme="majorHAnsi" w:hAnsiTheme="majorHAnsi"/>
          <w:szCs w:val="22"/>
        </w:rPr>
        <w:t xml:space="preserve"> o e-Governmente</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princípy e-</w:t>
      </w:r>
      <w:r>
        <w:rPr>
          <w:rFonts w:asciiTheme="majorHAnsi" w:hAnsiTheme="majorHAnsi"/>
          <w:szCs w:val="22"/>
        </w:rPr>
        <w:t>k</w:t>
      </w:r>
      <w:r w:rsidRPr="00A11FE0">
        <w:rPr>
          <w:rFonts w:asciiTheme="majorHAnsi" w:hAnsiTheme="majorHAnsi"/>
          <w:szCs w:val="22"/>
        </w:rPr>
        <w:t xml:space="preserve">ohézie. Úpravou existujúceho </w:t>
      </w:r>
      <w:r>
        <w:rPr>
          <w:rFonts w:asciiTheme="majorHAnsi" w:hAnsiTheme="majorHAnsi"/>
          <w:szCs w:val="22"/>
        </w:rPr>
        <w:t>a</w:t>
      </w:r>
      <w:r w:rsidRPr="00A11FE0">
        <w:rPr>
          <w:rFonts w:asciiTheme="majorHAnsi" w:hAnsiTheme="majorHAnsi"/>
          <w:szCs w:val="22"/>
        </w:rPr>
        <w:t xml:space="preserve">utentifikačného modulu ITMS </w:t>
      </w:r>
      <w:r>
        <w:rPr>
          <w:rFonts w:asciiTheme="majorHAnsi" w:hAnsiTheme="majorHAnsi"/>
          <w:szCs w:val="22"/>
        </w:rPr>
        <w:t>a</w:t>
      </w:r>
      <w:r w:rsidRPr="00A11FE0">
        <w:rPr>
          <w:rFonts w:asciiTheme="majorHAnsi" w:hAnsiTheme="majorHAnsi"/>
          <w:szCs w:val="22"/>
        </w:rPr>
        <w:t xml:space="preserve"> vytvorením uvedeného modulu v IS PPA </w:t>
      </w:r>
      <w:r>
        <w:rPr>
          <w:rFonts w:asciiTheme="majorHAnsi" w:hAnsiTheme="majorHAnsi"/>
          <w:szCs w:val="22"/>
        </w:rPr>
        <w:t>s</w:t>
      </w:r>
      <w:r w:rsidRPr="00A11FE0">
        <w:rPr>
          <w:rFonts w:asciiTheme="majorHAnsi" w:hAnsiTheme="majorHAnsi"/>
          <w:szCs w:val="22"/>
        </w:rPr>
        <w:t xml:space="preserve">a zabezpečí primárny </w:t>
      </w:r>
      <w:r>
        <w:rPr>
          <w:rFonts w:asciiTheme="majorHAnsi" w:hAnsiTheme="majorHAnsi"/>
          <w:szCs w:val="22"/>
        </w:rPr>
        <w:t>s</w:t>
      </w:r>
      <w:r w:rsidRPr="00A11FE0">
        <w:rPr>
          <w:rFonts w:asciiTheme="majorHAnsi" w:hAnsiTheme="majorHAnsi"/>
          <w:szCs w:val="22"/>
        </w:rPr>
        <w:t xml:space="preserve">úlad </w:t>
      </w:r>
      <w:r>
        <w:rPr>
          <w:rFonts w:asciiTheme="majorHAnsi" w:hAnsiTheme="majorHAnsi"/>
          <w:szCs w:val="22"/>
        </w:rPr>
        <w:t>s</w:t>
      </w:r>
      <w:r w:rsidRPr="00A11FE0">
        <w:rPr>
          <w:rFonts w:asciiTheme="majorHAnsi" w:hAnsiTheme="majorHAnsi"/>
          <w:szCs w:val="22"/>
        </w:rPr>
        <w:t xml:space="preserve"> princípom </w:t>
      </w:r>
      <w:r w:rsidRPr="00A11FE0">
        <w:rPr>
          <w:rFonts w:asciiTheme="majorHAnsi" w:hAnsiTheme="majorHAnsi"/>
          <w:i/>
          <w:szCs w:val="22"/>
        </w:rPr>
        <w:t>e-</w:t>
      </w:r>
      <w:r>
        <w:rPr>
          <w:rFonts w:asciiTheme="majorHAnsi" w:hAnsiTheme="majorHAnsi"/>
          <w:i/>
          <w:szCs w:val="22"/>
        </w:rPr>
        <w:t>A</w:t>
      </w:r>
      <w:r w:rsidRPr="00A11FE0">
        <w:rPr>
          <w:rFonts w:asciiTheme="majorHAnsi" w:hAnsiTheme="majorHAnsi"/>
          <w:i/>
          <w:szCs w:val="22"/>
        </w:rPr>
        <w:t>udit</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 xml:space="preserve">ekundárne </w:t>
      </w:r>
      <w:r>
        <w:rPr>
          <w:rFonts w:asciiTheme="majorHAnsi" w:hAnsiTheme="majorHAnsi"/>
          <w:szCs w:val="22"/>
        </w:rPr>
        <w:t>s</w:t>
      </w:r>
      <w:r w:rsidRPr="00A11FE0">
        <w:rPr>
          <w:rFonts w:asciiTheme="majorHAnsi" w:hAnsiTheme="majorHAnsi"/>
          <w:szCs w:val="22"/>
        </w:rPr>
        <w:t xml:space="preserve">a zabezpečí vytvorenie základných predpokladov pre implementáciu princípov </w:t>
      </w:r>
      <w:r w:rsidRPr="00A11FE0">
        <w:rPr>
          <w:rFonts w:asciiTheme="majorHAnsi" w:hAnsiTheme="majorHAnsi"/>
          <w:i/>
          <w:szCs w:val="22"/>
        </w:rPr>
        <w:t>Only once encoding, e-</w:t>
      </w:r>
      <w:r>
        <w:rPr>
          <w:rFonts w:asciiTheme="majorHAnsi" w:hAnsiTheme="majorHAnsi"/>
          <w:i/>
          <w:szCs w:val="22"/>
        </w:rPr>
        <w:t>S</w:t>
      </w:r>
      <w:r w:rsidRPr="00A11FE0">
        <w:rPr>
          <w:rFonts w:asciiTheme="majorHAnsi" w:hAnsiTheme="majorHAnsi"/>
          <w:i/>
          <w:szCs w:val="22"/>
        </w:rPr>
        <w:t xml:space="preserve">ubmission </w:t>
      </w:r>
      <w:r>
        <w:rPr>
          <w:rFonts w:asciiTheme="majorHAnsi" w:hAnsiTheme="majorHAnsi"/>
          <w:i/>
          <w:szCs w:val="22"/>
        </w:rPr>
        <w:t>a</w:t>
      </w:r>
      <w:r w:rsidRPr="00A11FE0">
        <w:rPr>
          <w:rFonts w:asciiTheme="majorHAnsi" w:hAnsiTheme="majorHAnsi"/>
          <w:i/>
          <w:szCs w:val="22"/>
        </w:rPr>
        <w:t> e-</w:t>
      </w:r>
      <w:r>
        <w:rPr>
          <w:rFonts w:asciiTheme="majorHAnsi" w:hAnsiTheme="majorHAnsi"/>
          <w:i/>
          <w:szCs w:val="22"/>
        </w:rPr>
        <w:t>S</w:t>
      </w:r>
      <w:r w:rsidRPr="00A11FE0">
        <w:rPr>
          <w:rFonts w:asciiTheme="majorHAnsi" w:hAnsiTheme="majorHAnsi"/>
          <w:i/>
          <w:szCs w:val="22"/>
        </w:rPr>
        <w:t>ignature</w:t>
      </w:r>
      <w:r w:rsidRPr="00A11FE0">
        <w:rPr>
          <w:rFonts w:asciiTheme="majorHAnsi" w:hAnsiTheme="majorHAnsi"/>
          <w:szCs w:val="22"/>
        </w:rPr>
        <w:t xml:space="preserve">. </w:t>
      </w:r>
      <w:r>
        <w:rPr>
          <w:rFonts w:asciiTheme="majorHAnsi" w:hAnsiTheme="majorHAnsi"/>
          <w:szCs w:val="22"/>
        </w:rPr>
        <w:t>Modifikáciou</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utentifikačného modulu ITMS </w:t>
      </w:r>
      <w:r>
        <w:rPr>
          <w:rFonts w:asciiTheme="majorHAnsi" w:hAnsiTheme="majorHAnsi"/>
          <w:szCs w:val="22"/>
        </w:rPr>
        <w:t>s</w:t>
      </w:r>
      <w:r w:rsidRPr="00A11FE0">
        <w:rPr>
          <w:rFonts w:asciiTheme="majorHAnsi" w:hAnsiTheme="majorHAnsi"/>
          <w:szCs w:val="22"/>
        </w:rPr>
        <w:t xml:space="preserve">a zjednodušia </w:t>
      </w:r>
      <w:r>
        <w:rPr>
          <w:rFonts w:asciiTheme="majorHAnsi" w:hAnsiTheme="majorHAnsi"/>
          <w:szCs w:val="22"/>
        </w:rPr>
        <w:t>a</w:t>
      </w:r>
      <w:r w:rsidRPr="00A11FE0">
        <w:rPr>
          <w:rFonts w:asciiTheme="majorHAnsi" w:hAnsiTheme="majorHAnsi"/>
          <w:szCs w:val="22"/>
        </w:rPr>
        <w:t> rozšíria možnosti:</w:t>
      </w:r>
    </w:p>
    <w:p w:rsidR="0021713D" w:rsidRPr="00A11FE0" w:rsidRDefault="0021713D" w:rsidP="009B7C77">
      <w:pPr>
        <w:pStyle w:val="Odsekzoznamu"/>
        <w:numPr>
          <w:ilvl w:val="0"/>
          <w:numId w:val="39"/>
        </w:numPr>
        <w:spacing w:before="0" w:after="0"/>
        <w:ind w:left="567"/>
        <w:rPr>
          <w:rFonts w:asciiTheme="majorHAnsi" w:hAnsiTheme="majorHAnsi"/>
          <w:szCs w:val="22"/>
        </w:rPr>
      </w:pPr>
      <w:r w:rsidRPr="00A11FE0">
        <w:rPr>
          <w:rFonts w:asciiTheme="majorHAnsi" w:hAnsiTheme="majorHAnsi"/>
          <w:szCs w:val="22"/>
        </w:rPr>
        <w:t>jednoznačného identifikovania, </w:t>
      </w:r>
      <w:r>
        <w:rPr>
          <w:rFonts w:asciiTheme="majorHAnsi" w:hAnsiTheme="majorHAnsi"/>
          <w:szCs w:val="22"/>
        </w:rPr>
        <w:t>a</w:t>
      </w:r>
      <w:r w:rsidRPr="00A11FE0">
        <w:rPr>
          <w:rFonts w:asciiTheme="majorHAnsi" w:hAnsiTheme="majorHAnsi"/>
          <w:szCs w:val="22"/>
        </w:rPr>
        <w:t xml:space="preserve">utentifikovania </w:t>
      </w:r>
      <w:r>
        <w:rPr>
          <w:rFonts w:asciiTheme="majorHAnsi" w:hAnsiTheme="majorHAnsi"/>
          <w:szCs w:val="22"/>
        </w:rPr>
        <w:t>a</w:t>
      </w:r>
      <w:r w:rsidR="005211F5">
        <w:rPr>
          <w:rFonts w:asciiTheme="majorHAnsi" w:hAnsiTheme="majorHAnsi"/>
          <w:szCs w:val="22"/>
        </w:rPr>
        <w:t> </w:t>
      </w:r>
      <w:r>
        <w:rPr>
          <w:rFonts w:asciiTheme="majorHAnsi" w:hAnsiTheme="majorHAnsi"/>
          <w:szCs w:val="22"/>
        </w:rPr>
        <w:t>a</w:t>
      </w:r>
      <w:r w:rsidRPr="00A11FE0">
        <w:rPr>
          <w:rFonts w:asciiTheme="majorHAnsi" w:hAnsiTheme="majorHAnsi"/>
          <w:szCs w:val="22"/>
        </w:rPr>
        <w:t>utorizácie používateľa v ITMS2014+,</w:t>
      </w:r>
    </w:p>
    <w:p w:rsidR="0021713D" w:rsidRPr="00A11FE0" w:rsidRDefault="0021713D" w:rsidP="009B7C77">
      <w:pPr>
        <w:pStyle w:val="Odsekzoznamu"/>
        <w:numPr>
          <w:ilvl w:val="0"/>
          <w:numId w:val="39"/>
        </w:numPr>
        <w:spacing w:before="0" w:after="0"/>
        <w:ind w:left="567"/>
        <w:rPr>
          <w:rFonts w:asciiTheme="majorHAnsi" w:hAnsiTheme="majorHAnsi"/>
          <w:szCs w:val="22"/>
        </w:rPr>
      </w:pPr>
      <w:r w:rsidRPr="00A11FE0">
        <w:rPr>
          <w:rFonts w:asciiTheme="majorHAnsi" w:hAnsiTheme="majorHAnsi"/>
          <w:szCs w:val="22"/>
        </w:rPr>
        <w:t xml:space="preserve">definovania </w:t>
      </w:r>
      <w:r>
        <w:rPr>
          <w:rFonts w:asciiTheme="majorHAnsi" w:hAnsiTheme="majorHAnsi"/>
          <w:szCs w:val="22"/>
        </w:rPr>
        <w:t>a</w:t>
      </w:r>
      <w:r w:rsidRPr="00A11FE0">
        <w:rPr>
          <w:rFonts w:asciiTheme="majorHAnsi" w:hAnsiTheme="majorHAnsi"/>
          <w:szCs w:val="22"/>
        </w:rPr>
        <w:t xml:space="preserve"> priraďovania používateľských rolí </w:t>
      </w:r>
      <w:r>
        <w:rPr>
          <w:rFonts w:asciiTheme="majorHAnsi" w:hAnsiTheme="majorHAnsi"/>
          <w:szCs w:val="22"/>
        </w:rPr>
        <w:t>a </w:t>
      </w:r>
      <w:r w:rsidRPr="00A11FE0">
        <w:rPr>
          <w:rFonts w:asciiTheme="majorHAnsi" w:hAnsiTheme="majorHAnsi"/>
          <w:szCs w:val="22"/>
        </w:rPr>
        <w:t xml:space="preserve">prístupových práv </w:t>
      </w:r>
      <w:r>
        <w:rPr>
          <w:rFonts w:asciiTheme="majorHAnsi" w:hAnsiTheme="majorHAnsi"/>
          <w:szCs w:val="22"/>
        </w:rPr>
        <w:t>k</w:t>
      </w:r>
      <w:r w:rsidRPr="00A11FE0">
        <w:rPr>
          <w:rFonts w:asciiTheme="majorHAnsi" w:hAnsiTheme="majorHAnsi"/>
          <w:szCs w:val="22"/>
        </w:rPr>
        <w:t xml:space="preserve"> jednotlivým modulom, funkcionalitám </w:t>
      </w:r>
      <w:r>
        <w:rPr>
          <w:rFonts w:asciiTheme="majorHAnsi" w:hAnsiTheme="majorHAnsi"/>
          <w:szCs w:val="22"/>
        </w:rPr>
        <w:t>a</w:t>
      </w:r>
      <w:r w:rsidRPr="00A11FE0">
        <w:rPr>
          <w:rFonts w:asciiTheme="majorHAnsi" w:hAnsiTheme="majorHAnsi"/>
          <w:szCs w:val="22"/>
        </w:rPr>
        <w:t> dátovým štruktúram ITMS2014+,</w:t>
      </w:r>
    </w:p>
    <w:p w:rsidR="0021713D" w:rsidRPr="00A11FE0" w:rsidRDefault="0021713D" w:rsidP="009B7C77">
      <w:pPr>
        <w:pStyle w:val="Odsekzoznamu"/>
        <w:numPr>
          <w:ilvl w:val="0"/>
          <w:numId w:val="39"/>
        </w:numPr>
        <w:spacing w:before="0" w:after="0"/>
        <w:ind w:left="567"/>
        <w:rPr>
          <w:rFonts w:asciiTheme="majorHAnsi" w:hAnsiTheme="majorHAnsi"/>
          <w:szCs w:val="22"/>
        </w:rPr>
      </w:pPr>
      <w:r w:rsidRPr="00A11FE0">
        <w:rPr>
          <w:rFonts w:asciiTheme="majorHAnsi" w:hAnsiTheme="majorHAnsi"/>
          <w:szCs w:val="22"/>
        </w:rPr>
        <w:t xml:space="preserve">vytvárania </w:t>
      </w:r>
      <w:r>
        <w:rPr>
          <w:rFonts w:asciiTheme="majorHAnsi" w:hAnsiTheme="majorHAnsi"/>
          <w:szCs w:val="22"/>
        </w:rPr>
        <w:t>s</w:t>
      </w:r>
      <w:r w:rsidRPr="00A11FE0">
        <w:rPr>
          <w:rFonts w:asciiTheme="majorHAnsi" w:hAnsiTheme="majorHAnsi"/>
          <w:szCs w:val="22"/>
        </w:rPr>
        <w:t xml:space="preserve">ofistikovanejších hierarchických </w:t>
      </w:r>
      <w:r>
        <w:rPr>
          <w:rFonts w:asciiTheme="majorHAnsi" w:hAnsiTheme="majorHAnsi"/>
          <w:szCs w:val="22"/>
        </w:rPr>
        <w:t>s</w:t>
      </w:r>
      <w:r w:rsidRPr="00A11FE0">
        <w:rPr>
          <w:rFonts w:asciiTheme="majorHAnsi" w:hAnsiTheme="majorHAnsi"/>
          <w:szCs w:val="22"/>
        </w:rPr>
        <w:t xml:space="preserve">kupín používateľov ITMS2014+, </w:t>
      </w:r>
      <w:r>
        <w:rPr>
          <w:rFonts w:asciiTheme="majorHAnsi" w:hAnsiTheme="majorHAnsi"/>
          <w:szCs w:val="22"/>
        </w:rPr>
        <w:t>k</w:t>
      </w:r>
      <w:r w:rsidRPr="00A11FE0">
        <w:rPr>
          <w:rFonts w:asciiTheme="majorHAnsi" w:hAnsiTheme="majorHAnsi"/>
          <w:szCs w:val="22"/>
        </w:rPr>
        <w:t xml:space="preserve">toré budú flexibilnejšie reflektovať rozloženie </w:t>
      </w:r>
      <w:r>
        <w:rPr>
          <w:rFonts w:asciiTheme="majorHAnsi" w:hAnsiTheme="majorHAnsi"/>
          <w:szCs w:val="22"/>
        </w:rPr>
        <w:t>k</w:t>
      </w:r>
      <w:r w:rsidRPr="00A11FE0">
        <w:rPr>
          <w:rFonts w:asciiTheme="majorHAnsi" w:hAnsiTheme="majorHAnsi"/>
          <w:szCs w:val="22"/>
        </w:rPr>
        <w:t>ompetencií orgánov v rámci procesov implementácie EŠIF</w:t>
      </w:r>
      <w:r>
        <w:rPr>
          <w:rFonts w:asciiTheme="majorHAnsi" w:hAnsiTheme="majorHAnsi"/>
          <w:szCs w:val="22"/>
        </w:rPr>
        <w:t>.</w:t>
      </w:r>
    </w:p>
    <w:p w:rsidR="0021713D" w:rsidRPr="00A11FE0" w:rsidRDefault="0021713D" w:rsidP="0021713D">
      <w:pPr>
        <w:spacing w:after="0"/>
        <w:rPr>
          <w:rFonts w:asciiTheme="majorHAnsi" w:hAnsiTheme="majorHAnsi"/>
          <w:szCs w:val="22"/>
        </w:rPr>
      </w:pPr>
      <w:r w:rsidRPr="00A11FE0">
        <w:rPr>
          <w:rFonts w:asciiTheme="majorHAnsi" w:hAnsiTheme="majorHAnsi"/>
          <w:szCs w:val="22"/>
        </w:rPr>
        <w:t xml:space="preserve">Jedinečnou identitou v rámci inovovaného modulu </w:t>
      </w:r>
      <w:r>
        <w:rPr>
          <w:rFonts w:asciiTheme="majorHAnsi" w:hAnsiTheme="majorHAnsi"/>
          <w:szCs w:val="22"/>
        </w:rPr>
        <w:t>a</w:t>
      </w:r>
      <w:r w:rsidRPr="00A11FE0">
        <w:rPr>
          <w:rFonts w:asciiTheme="majorHAnsi" w:hAnsiTheme="majorHAnsi"/>
          <w:szCs w:val="22"/>
        </w:rPr>
        <w:t xml:space="preserve">uditu v ITMS </w:t>
      </w:r>
      <w:r>
        <w:rPr>
          <w:rFonts w:asciiTheme="majorHAnsi" w:hAnsiTheme="majorHAnsi"/>
          <w:szCs w:val="22"/>
        </w:rPr>
        <w:t>s</w:t>
      </w:r>
      <w:r w:rsidRPr="00A11FE0">
        <w:rPr>
          <w:rFonts w:asciiTheme="majorHAnsi" w:hAnsiTheme="majorHAnsi"/>
          <w:szCs w:val="22"/>
        </w:rPr>
        <w:t>a zabezpečí</w:t>
      </w:r>
      <w:r w:rsidRPr="00D666FF">
        <w:t xml:space="preserve"> </w:t>
      </w:r>
      <w:r w:rsidRPr="00D666FF">
        <w:rPr>
          <w:rFonts w:asciiTheme="majorHAnsi" w:hAnsiTheme="majorHAnsi"/>
          <w:szCs w:val="22"/>
        </w:rPr>
        <w:t xml:space="preserve">zlepšenie zaznamenávania </w:t>
      </w:r>
      <w:r>
        <w:rPr>
          <w:rFonts w:asciiTheme="majorHAnsi" w:hAnsiTheme="majorHAnsi"/>
          <w:szCs w:val="22"/>
        </w:rPr>
        <w:t>ak</w:t>
      </w:r>
      <w:r w:rsidRPr="00D666FF">
        <w:rPr>
          <w:rFonts w:asciiTheme="majorHAnsi" w:hAnsiTheme="majorHAnsi"/>
          <w:szCs w:val="22"/>
        </w:rPr>
        <w:t>tivít používateľov v</w:t>
      </w:r>
      <w:r>
        <w:rPr>
          <w:rFonts w:asciiTheme="majorHAnsi" w:hAnsiTheme="majorHAnsi"/>
          <w:szCs w:val="22"/>
        </w:rPr>
        <w:t> s</w:t>
      </w:r>
      <w:r w:rsidRPr="00D666FF">
        <w:rPr>
          <w:rFonts w:asciiTheme="majorHAnsi" w:hAnsiTheme="majorHAnsi"/>
          <w:szCs w:val="22"/>
        </w:rPr>
        <w:t>ystéme</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Ú</w:t>
      </w:r>
      <w:r w:rsidRPr="00A11FE0">
        <w:rPr>
          <w:rFonts w:asciiTheme="majorHAnsi" w:hAnsiTheme="majorHAnsi"/>
          <w:szCs w:val="22"/>
        </w:rPr>
        <w:t xml:space="preserve">prava </w:t>
      </w:r>
      <w:r>
        <w:rPr>
          <w:rFonts w:asciiTheme="majorHAnsi" w:hAnsiTheme="majorHAnsi"/>
          <w:szCs w:val="22"/>
        </w:rPr>
        <w:t>a</w:t>
      </w:r>
      <w:r w:rsidRPr="00A11FE0">
        <w:rPr>
          <w:rFonts w:asciiTheme="majorHAnsi" w:hAnsiTheme="majorHAnsi"/>
          <w:szCs w:val="22"/>
        </w:rPr>
        <w:t>utentifik</w:t>
      </w:r>
      <w:r>
        <w:rPr>
          <w:rFonts w:asciiTheme="majorHAnsi" w:hAnsiTheme="majorHAnsi"/>
          <w:szCs w:val="22"/>
        </w:rPr>
        <w:t>a</w:t>
      </w:r>
      <w:r w:rsidRPr="00A11FE0">
        <w:rPr>
          <w:rFonts w:asciiTheme="majorHAnsi" w:hAnsiTheme="majorHAnsi"/>
          <w:szCs w:val="22"/>
        </w:rPr>
        <w:t>čn</w:t>
      </w:r>
      <w:r>
        <w:rPr>
          <w:rFonts w:asciiTheme="majorHAnsi" w:hAnsiTheme="majorHAnsi"/>
          <w:szCs w:val="22"/>
        </w:rPr>
        <w:t>é</w:t>
      </w:r>
      <w:r w:rsidRPr="00A11FE0">
        <w:rPr>
          <w:rFonts w:asciiTheme="majorHAnsi" w:hAnsiTheme="majorHAnsi"/>
          <w:szCs w:val="22"/>
        </w:rPr>
        <w:t>ho modulu prinesie:</w:t>
      </w:r>
    </w:p>
    <w:p w:rsidR="0021713D" w:rsidRPr="00A11FE0" w:rsidRDefault="0021713D" w:rsidP="009B7C77">
      <w:pPr>
        <w:pStyle w:val="Odsekzoznamu"/>
        <w:numPr>
          <w:ilvl w:val="0"/>
          <w:numId w:val="40"/>
        </w:numPr>
        <w:spacing w:before="0" w:after="0"/>
        <w:ind w:left="567"/>
        <w:rPr>
          <w:rFonts w:asciiTheme="majorHAnsi" w:hAnsiTheme="majorHAnsi"/>
          <w:szCs w:val="22"/>
        </w:rPr>
      </w:pPr>
      <w:r>
        <w:rPr>
          <w:rFonts w:asciiTheme="majorHAnsi" w:hAnsiTheme="majorHAnsi"/>
          <w:szCs w:val="22"/>
        </w:rPr>
        <w:t>s</w:t>
      </w:r>
      <w:r w:rsidRPr="00A11FE0">
        <w:rPr>
          <w:rFonts w:asciiTheme="majorHAnsi" w:hAnsiTheme="majorHAnsi"/>
          <w:szCs w:val="22"/>
        </w:rPr>
        <w:t xml:space="preserve">ofistikovanejšie zachytávanie </w:t>
      </w:r>
      <w:r>
        <w:rPr>
          <w:rFonts w:asciiTheme="majorHAnsi" w:hAnsiTheme="majorHAnsi"/>
          <w:szCs w:val="22"/>
        </w:rPr>
        <w:t>a</w:t>
      </w:r>
      <w:r w:rsidRPr="00A11FE0">
        <w:rPr>
          <w:rFonts w:asciiTheme="majorHAnsi" w:hAnsiTheme="majorHAnsi"/>
          <w:szCs w:val="22"/>
        </w:rPr>
        <w:t xml:space="preserve">uditných </w:t>
      </w:r>
      <w:r>
        <w:rPr>
          <w:rFonts w:asciiTheme="majorHAnsi" w:hAnsiTheme="majorHAnsi"/>
          <w:szCs w:val="22"/>
        </w:rPr>
        <w:t>s</w:t>
      </w:r>
      <w:r w:rsidRPr="00A11FE0">
        <w:rPr>
          <w:rFonts w:asciiTheme="majorHAnsi" w:hAnsiTheme="majorHAnsi"/>
          <w:szCs w:val="22"/>
        </w:rPr>
        <w:t xml:space="preserve">tôp o vykonaných operáciách </w:t>
      </w:r>
      <w:r>
        <w:rPr>
          <w:rFonts w:asciiTheme="majorHAnsi" w:hAnsiTheme="majorHAnsi"/>
          <w:szCs w:val="22"/>
        </w:rPr>
        <w:t>a</w:t>
      </w:r>
      <w:r w:rsidRPr="00A11FE0">
        <w:rPr>
          <w:rFonts w:asciiTheme="majorHAnsi" w:hAnsiTheme="majorHAnsi"/>
          <w:szCs w:val="22"/>
        </w:rPr>
        <w:t> procesoch v rámci ITMS2014+,</w:t>
      </w:r>
    </w:p>
    <w:p w:rsidR="0021713D" w:rsidRPr="00A11FE0" w:rsidRDefault="0021713D" w:rsidP="009B7C77">
      <w:pPr>
        <w:pStyle w:val="Odsekzoznamu"/>
        <w:numPr>
          <w:ilvl w:val="0"/>
          <w:numId w:val="40"/>
        </w:numPr>
        <w:spacing w:before="0" w:after="0"/>
        <w:ind w:left="567"/>
        <w:rPr>
          <w:rFonts w:asciiTheme="majorHAnsi" w:hAnsiTheme="majorHAnsi"/>
          <w:szCs w:val="22"/>
        </w:rPr>
      </w:pPr>
      <w:r w:rsidRPr="00A11FE0">
        <w:rPr>
          <w:rFonts w:asciiTheme="majorHAnsi" w:hAnsiTheme="majorHAnsi"/>
          <w:szCs w:val="22"/>
        </w:rPr>
        <w:t xml:space="preserve">detailnejšie </w:t>
      </w:r>
      <w:r>
        <w:rPr>
          <w:rFonts w:asciiTheme="majorHAnsi" w:hAnsiTheme="majorHAnsi"/>
          <w:szCs w:val="22"/>
        </w:rPr>
        <w:t>a </w:t>
      </w:r>
      <w:r w:rsidRPr="00A11FE0">
        <w:rPr>
          <w:rFonts w:asciiTheme="majorHAnsi" w:hAnsiTheme="majorHAnsi"/>
          <w:szCs w:val="22"/>
        </w:rPr>
        <w:t xml:space="preserve">exaktnejšie vypovedacie možnosti procesov vykonávaných </w:t>
      </w:r>
      <w:r>
        <w:rPr>
          <w:rFonts w:asciiTheme="majorHAnsi" w:hAnsiTheme="majorHAnsi"/>
          <w:szCs w:val="22"/>
        </w:rPr>
        <w:t>a</w:t>
      </w:r>
      <w:r w:rsidRPr="00A11FE0">
        <w:rPr>
          <w:rFonts w:asciiTheme="majorHAnsi" w:hAnsiTheme="majorHAnsi"/>
          <w:szCs w:val="22"/>
        </w:rPr>
        <w:t>utomaticky v</w:t>
      </w:r>
      <w:r>
        <w:rPr>
          <w:rFonts w:asciiTheme="majorHAnsi" w:hAnsiTheme="majorHAnsi"/>
          <w:szCs w:val="22"/>
        </w:rPr>
        <w:t> </w:t>
      </w:r>
      <w:r w:rsidRPr="00A11FE0">
        <w:rPr>
          <w:rFonts w:asciiTheme="majorHAnsi" w:hAnsiTheme="majorHAnsi"/>
          <w:szCs w:val="22"/>
        </w:rPr>
        <w:t>ITMS2014+,</w:t>
      </w:r>
    </w:p>
    <w:p w:rsidR="0021713D" w:rsidRPr="00A11FE0" w:rsidRDefault="0021713D" w:rsidP="009B7C77">
      <w:pPr>
        <w:pStyle w:val="Odsekzoznamu"/>
        <w:numPr>
          <w:ilvl w:val="0"/>
          <w:numId w:val="40"/>
        </w:numPr>
        <w:spacing w:before="0" w:after="0"/>
        <w:ind w:left="567"/>
        <w:rPr>
          <w:rFonts w:asciiTheme="majorHAnsi" w:hAnsiTheme="majorHAnsi"/>
          <w:szCs w:val="22"/>
        </w:rPr>
      </w:pPr>
      <w:r w:rsidRPr="00A11FE0">
        <w:rPr>
          <w:rFonts w:asciiTheme="majorHAnsi" w:hAnsiTheme="majorHAnsi"/>
          <w:szCs w:val="22"/>
        </w:rPr>
        <w:t>väčšiu transparentnosť vo vykonaných používateľských operáciách,</w:t>
      </w:r>
    </w:p>
    <w:p w:rsidR="0021713D" w:rsidRPr="00A11FE0" w:rsidRDefault="0021713D" w:rsidP="009B7C77">
      <w:pPr>
        <w:pStyle w:val="Odsekzoznamu"/>
        <w:numPr>
          <w:ilvl w:val="0"/>
          <w:numId w:val="40"/>
        </w:numPr>
        <w:spacing w:before="0" w:after="0"/>
        <w:ind w:left="567"/>
        <w:rPr>
          <w:rFonts w:asciiTheme="majorHAnsi" w:hAnsiTheme="majorHAnsi"/>
          <w:szCs w:val="22"/>
        </w:rPr>
      </w:pPr>
      <w:r w:rsidRPr="00A11FE0">
        <w:rPr>
          <w:rFonts w:asciiTheme="majorHAnsi" w:hAnsiTheme="majorHAnsi"/>
          <w:szCs w:val="22"/>
        </w:rPr>
        <w:t xml:space="preserve">používateľsky prijateľnejšie prostredie pre vyhľadávanie </w:t>
      </w:r>
      <w:r>
        <w:rPr>
          <w:rFonts w:asciiTheme="majorHAnsi" w:hAnsiTheme="majorHAnsi"/>
          <w:szCs w:val="22"/>
        </w:rPr>
        <w:t>a</w:t>
      </w:r>
      <w:r w:rsidRPr="00A11FE0">
        <w:rPr>
          <w:rFonts w:asciiTheme="majorHAnsi" w:hAnsiTheme="majorHAnsi"/>
          <w:szCs w:val="22"/>
        </w:rPr>
        <w:t xml:space="preserve"> filtrovanie v rámci </w:t>
      </w:r>
      <w:r>
        <w:rPr>
          <w:rFonts w:asciiTheme="majorHAnsi" w:hAnsiTheme="majorHAnsi"/>
          <w:szCs w:val="22"/>
        </w:rPr>
        <w:t>a</w:t>
      </w:r>
      <w:r w:rsidRPr="00A11FE0">
        <w:rPr>
          <w:rFonts w:asciiTheme="majorHAnsi" w:hAnsiTheme="majorHAnsi"/>
          <w:szCs w:val="22"/>
        </w:rPr>
        <w:t>uditného modulu,</w:t>
      </w:r>
    </w:p>
    <w:p w:rsidR="0021713D" w:rsidRPr="00A11FE0" w:rsidRDefault="0021713D" w:rsidP="009B7C77">
      <w:pPr>
        <w:pStyle w:val="Odsekzoznamu"/>
        <w:numPr>
          <w:ilvl w:val="0"/>
          <w:numId w:val="40"/>
        </w:numPr>
        <w:spacing w:before="0" w:after="0"/>
        <w:ind w:left="567"/>
        <w:rPr>
          <w:rFonts w:asciiTheme="majorHAnsi" w:hAnsiTheme="majorHAnsi"/>
          <w:szCs w:val="22"/>
        </w:rPr>
      </w:pPr>
      <w:r w:rsidRPr="00A11FE0">
        <w:rPr>
          <w:rFonts w:asciiTheme="majorHAnsi" w:hAnsiTheme="majorHAnsi"/>
          <w:szCs w:val="22"/>
        </w:rPr>
        <w:t xml:space="preserve">používateľsky prijateľnejšie prostredie pre interpretáciu zbieraných </w:t>
      </w:r>
      <w:r>
        <w:rPr>
          <w:rFonts w:asciiTheme="majorHAnsi" w:hAnsiTheme="majorHAnsi"/>
          <w:szCs w:val="22"/>
        </w:rPr>
        <w:t>a</w:t>
      </w:r>
      <w:r w:rsidRPr="00A11FE0">
        <w:rPr>
          <w:rFonts w:asciiTheme="majorHAnsi" w:hAnsiTheme="majorHAnsi"/>
          <w:szCs w:val="22"/>
        </w:rPr>
        <w:t> uchovávaných dát,</w:t>
      </w:r>
    </w:p>
    <w:p w:rsidR="0021713D" w:rsidRPr="00A11FE0" w:rsidRDefault="0021713D" w:rsidP="009B7C77">
      <w:pPr>
        <w:pStyle w:val="Odsekzoznamu"/>
        <w:numPr>
          <w:ilvl w:val="0"/>
          <w:numId w:val="40"/>
        </w:numPr>
        <w:spacing w:before="0"/>
        <w:ind w:left="567"/>
        <w:rPr>
          <w:rFonts w:asciiTheme="majorHAnsi" w:hAnsiTheme="majorHAnsi"/>
          <w:szCs w:val="22"/>
        </w:rPr>
      </w:pPr>
      <w:r w:rsidRPr="00A11FE0">
        <w:rPr>
          <w:rFonts w:asciiTheme="majorHAnsi" w:hAnsiTheme="majorHAnsi"/>
          <w:szCs w:val="22"/>
        </w:rPr>
        <w:t xml:space="preserve">vyčlenenie </w:t>
      </w:r>
      <w:r>
        <w:rPr>
          <w:rFonts w:asciiTheme="majorHAnsi" w:hAnsiTheme="majorHAnsi"/>
          <w:szCs w:val="22"/>
        </w:rPr>
        <w:t>a</w:t>
      </w:r>
      <w:r w:rsidRPr="00A11FE0">
        <w:rPr>
          <w:rFonts w:asciiTheme="majorHAnsi" w:hAnsiTheme="majorHAnsi"/>
          <w:szCs w:val="22"/>
        </w:rPr>
        <w:t xml:space="preserve">uditného modulu, </w:t>
      </w:r>
      <w:r>
        <w:rPr>
          <w:rFonts w:asciiTheme="majorHAnsi" w:hAnsiTheme="majorHAnsi"/>
          <w:szCs w:val="22"/>
        </w:rPr>
        <w:t>ak</w:t>
      </w:r>
      <w:r w:rsidRPr="00A11FE0">
        <w:rPr>
          <w:rFonts w:asciiTheme="majorHAnsi" w:hAnsiTheme="majorHAnsi"/>
          <w:szCs w:val="22"/>
        </w:rPr>
        <w:t xml:space="preserve">o </w:t>
      </w:r>
      <w:r>
        <w:rPr>
          <w:rFonts w:asciiTheme="majorHAnsi" w:hAnsiTheme="majorHAnsi"/>
          <w:szCs w:val="22"/>
        </w:rPr>
        <w:t>s</w:t>
      </w:r>
      <w:r w:rsidRPr="00A11FE0">
        <w:rPr>
          <w:rFonts w:asciiTheme="majorHAnsi" w:hAnsiTheme="majorHAnsi"/>
          <w:szCs w:val="22"/>
        </w:rPr>
        <w:t xml:space="preserve">amostatného bloku na úrovni databázy ITMS2014+, </w:t>
      </w:r>
      <w:r>
        <w:rPr>
          <w:rFonts w:asciiTheme="majorHAnsi" w:hAnsiTheme="majorHAnsi"/>
          <w:szCs w:val="22"/>
        </w:rPr>
        <w:t>s</w:t>
      </w:r>
      <w:r w:rsidRPr="00A11FE0">
        <w:rPr>
          <w:rFonts w:asciiTheme="majorHAnsi" w:hAnsiTheme="majorHAnsi"/>
          <w:szCs w:val="22"/>
        </w:rPr>
        <w:t xml:space="preserve">polu </w:t>
      </w:r>
      <w:r>
        <w:rPr>
          <w:rFonts w:asciiTheme="majorHAnsi" w:hAnsiTheme="majorHAnsi"/>
          <w:szCs w:val="22"/>
        </w:rPr>
        <w:t>s</w:t>
      </w:r>
      <w:r w:rsidRPr="00A11FE0">
        <w:rPr>
          <w:rFonts w:asciiTheme="majorHAnsi" w:hAnsiTheme="majorHAnsi"/>
          <w:szCs w:val="22"/>
        </w:rPr>
        <w:t xml:space="preserve"> procesmi </w:t>
      </w:r>
      <w:r>
        <w:rPr>
          <w:rFonts w:asciiTheme="majorHAnsi" w:hAnsiTheme="majorHAnsi"/>
          <w:szCs w:val="22"/>
        </w:rPr>
        <w:t>a</w:t>
      </w:r>
      <w:r w:rsidRPr="00A11FE0">
        <w:rPr>
          <w:rFonts w:asciiTheme="majorHAnsi" w:hAnsiTheme="majorHAnsi"/>
          <w:szCs w:val="22"/>
        </w:rPr>
        <w:t> zálohovaním dát</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 xml:space="preserve"> dôrazom na zvýšenie ich bezpečnosti </w:t>
      </w:r>
      <w:r>
        <w:rPr>
          <w:rFonts w:asciiTheme="majorHAnsi" w:hAnsiTheme="majorHAnsi"/>
          <w:szCs w:val="22"/>
        </w:rPr>
        <w:t>a</w:t>
      </w:r>
      <w:r w:rsidRPr="00A11FE0">
        <w:rPr>
          <w:rFonts w:asciiTheme="majorHAnsi" w:hAnsiTheme="majorHAnsi"/>
          <w:szCs w:val="22"/>
        </w:rPr>
        <w:t> dostupnosti.</w:t>
      </w:r>
    </w:p>
    <w:p w:rsidR="0021713D" w:rsidRPr="00A11FE0" w:rsidRDefault="0021713D" w:rsidP="0021713D">
      <w:pPr>
        <w:spacing w:after="0"/>
        <w:rPr>
          <w:rFonts w:asciiTheme="majorHAnsi" w:hAnsiTheme="majorHAnsi"/>
          <w:szCs w:val="22"/>
        </w:rPr>
      </w:pPr>
      <w:r w:rsidRPr="00A11FE0">
        <w:rPr>
          <w:rFonts w:asciiTheme="majorHAnsi" w:hAnsiTheme="majorHAnsi"/>
          <w:szCs w:val="22"/>
        </w:rPr>
        <w:t xml:space="preserve">Jedným zo </w:t>
      </w:r>
      <w:r>
        <w:rPr>
          <w:rFonts w:asciiTheme="majorHAnsi" w:hAnsiTheme="majorHAnsi"/>
          <w:szCs w:val="22"/>
        </w:rPr>
        <w:t>slabých miest</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 xml:space="preserve">účasného ITMS je práca </w:t>
      </w:r>
      <w:r>
        <w:rPr>
          <w:rFonts w:asciiTheme="majorHAnsi" w:hAnsiTheme="majorHAnsi"/>
          <w:szCs w:val="22"/>
        </w:rPr>
        <w:t>s</w:t>
      </w:r>
      <w:r w:rsidRPr="00A11FE0">
        <w:rPr>
          <w:rFonts w:asciiTheme="majorHAnsi" w:hAnsiTheme="majorHAnsi"/>
          <w:szCs w:val="22"/>
        </w:rPr>
        <w:t xml:space="preserve"> dokumentmi </w:t>
      </w:r>
      <w:r>
        <w:rPr>
          <w:rFonts w:asciiTheme="majorHAnsi" w:hAnsiTheme="majorHAnsi"/>
          <w:szCs w:val="22"/>
        </w:rPr>
        <w:t>a</w:t>
      </w:r>
      <w:r w:rsidRPr="00A11FE0">
        <w:rPr>
          <w:rFonts w:asciiTheme="majorHAnsi" w:hAnsiTheme="majorHAnsi"/>
          <w:szCs w:val="22"/>
        </w:rPr>
        <w:t xml:space="preserve"> prílohami v elektronickej podobe, </w:t>
      </w:r>
      <w:r>
        <w:rPr>
          <w:rFonts w:asciiTheme="majorHAnsi" w:hAnsiTheme="majorHAnsi"/>
          <w:szCs w:val="22"/>
        </w:rPr>
        <w:t>k</w:t>
      </w:r>
      <w:r w:rsidRPr="00A11FE0">
        <w:rPr>
          <w:rFonts w:asciiTheme="majorHAnsi" w:hAnsiTheme="majorHAnsi"/>
          <w:szCs w:val="22"/>
        </w:rPr>
        <w:t xml:space="preserve">toré </w:t>
      </w:r>
      <w:r>
        <w:rPr>
          <w:rFonts w:asciiTheme="majorHAnsi" w:hAnsiTheme="majorHAnsi"/>
          <w:szCs w:val="22"/>
        </w:rPr>
        <w:t>s</w:t>
      </w:r>
      <w:r w:rsidRPr="00A11FE0">
        <w:rPr>
          <w:rFonts w:asciiTheme="majorHAnsi" w:hAnsiTheme="majorHAnsi"/>
          <w:szCs w:val="22"/>
        </w:rPr>
        <w:t xml:space="preserve">ú vyžadované v rámci procesov implementácie ŠF </w:t>
      </w:r>
      <w:r>
        <w:rPr>
          <w:rFonts w:asciiTheme="majorHAnsi" w:hAnsiTheme="majorHAnsi"/>
          <w:szCs w:val="22"/>
        </w:rPr>
        <w:t>a</w:t>
      </w:r>
      <w:r w:rsidRPr="00A11FE0">
        <w:rPr>
          <w:rFonts w:asciiTheme="majorHAnsi" w:hAnsiTheme="majorHAnsi"/>
          <w:szCs w:val="22"/>
        </w:rPr>
        <w:t> </w:t>
      </w:r>
      <w:r>
        <w:rPr>
          <w:rFonts w:asciiTheme="majorHAnsi" w:hAnsiTheme="majorHAnsi"/>
          <w:szCs w:val="22"/>
        </w:rPr>
        <w:t>K</w:t>
      </w:r>
      <w:r w:rsidRPr="00A11FE0">
        <w:rPr>
          <w:rFonts w:asciiTheme="majorHAnsi" w:hAnsiTheme="majorHAnsi"/>
          <w:szCs w:val="22"/>
        </w:rPr>
        <w:t xml:space="preserve">F. Pre </w:t>
      </w:r>
      <w:r>
        <w:rPr>
          <w:rFonts w:asciiTheme="majorHAnsi" w:hAnsiTheme="majorHAnsi"/>
          <w:szCs w:val="22"/>
        </w:rPr>
        <w:t>s</w:t>
      </w:r>
      <w:r w:rsidRPr="00A11FE0">
        <w:rPr>
          <w:rFonts w:asciiTheme="majorHAnsi" w:hAnsiTheme="majorHAnsi"/>
          <w:szCs w:val="22"/>
        </w:rPr>
        <w:t xml:space="preserve">plnenie požiadaviek </w:t>
      </w:r>
      <w:r w:rsidRPr="00A11FE0">
        <w:rPr>
          <w:rFonts w:asciiTheme="majorHAnsi" w:hAnsiTheme="majorHAnsi"/>
          <w:i/>
          <w:szCs w:val="22"/>
        </w:rPr>
        <w:t>Only once encoding, e-</w:t>
      </w:r>
      <w:r>
        <w:rPr>
          <w:rFonts w:asciiTheme="majorHAnsi" w:hAnsiTheme="majorHAnsi"/>
          <w:i/>
          <w:szCs w:val="22"/>
        </w:rPr>
        <w:t>S</w:t>
      </w:r>
      <w:r w:rsidRPr="00A11FE0">
        <w:rPr>
          <w:rFonts w:asciiTheme="majorHAnsi" w:hAnsiTheme="majorHAnsi"/>
          <w:i/>
          <w:szCs w:val="22"/>
        </w:rPr>
        <w:t xml:space="preserve">torage </w:t>
      </w:r>
      <w:r>
        <w:rPr>
          <w:rFonts w:asciiTheme="majorHAnsi" w:hAnsiTheme="majorHAnsi"/>
          <w:szCs w:val="22"/>
        </w:rPr>
        <w:t>a</w:t>
      </w:r>
      <w:r w:rsidRPr="00A11FE0">
        <w:rPr>
          <w:rFonts w:asciiTheme="majorHAnsi" w:hAnsiTheme="majorHAnsi"/>
          <w:i/>
          <w:szCs w:val="22"/>
        </w:rPr>
        <w:t> e-</w:t>
      </w:r>
      <w:r>
        <w:rPr>
          <w:rFonts w:asciiTheme="majorHAnsi" w:hAnsiTheme="majorHAnsi"/>
          <w:i/>
          <w:szCs w:val="22"/>
        </w:rPr>
        <w:t>S</w:t>
      </w:r>
      <w:r w:rsidRPr="00A11FE0">
        <w:rPr>
          <w:rFonts w:asciiTheme="majorHAnsi" w:hAnsiTheme="majorHAnsi"/>
          <w:i/>
          <w:szCs w:val="22"/>
        </w:rPr>
        <w:t>ubmission</w:t>
      </w:r>
      <w:r w:rsidRPr="00A11FE0">
        <w:rPr>
          <w:rFonts w:asciiTheme="majorHAnsi" w:hAnsiTheme="majorHAnsi"/>
          <w:szCs w:val="22"/>
        </w:rPr>
        <w:t xml:space="preserve"> je potrebná modifikácia funkcionalít </w:t>
      </w:r>
      <w:r>
        <w:rPr>
          <w:rFonts w:asciiTheme="majorHAnsi" w:hAnsiTheme="majorHAnsi"/>
          <w:szCs w:val="22"/>
        </w:rPr>
        <w:t>a</w:t>
      </w:r>
      <w:r w:rsidRPr="00A11FE0">
        <w:rPr>
          <w:rFonts w:asciiTheme="majorHAnsi" w:hAnsiTheme="majorHAnsi"/>
          <w:szCs w:val="22"/>
        </w:rPr>
        <w:t xml:space="preserve"> procesov ITMS týkajúcich </w:t>
      </w:r>
      <w:r>
        <w:rPr>
          <w:rFonts w:asciiTheme="majorHAnsi" w:hAnsiTheme="majorHAnsi"/>
          <w:szCs w:val="22"/>
        </w:rPr>
        <w:t>s</w:t>
      </w:r>
      <w:r w:rsidRPr="00A11FE0">
        <w:rPr>
          <w:rFonts w:asciiTheme="majorHAnsi" w:hAnsiTheme="majorHAnsi"/>
          <w:szCs w:val="22"/>
        </w:rPr>
        <w:t xml:space="preserve">a práce </w:t>
      </w:r>
      <w:r>
        <w:rPr>
          <w:rFonts w:asciiTheme="majorHAnsi" w:hAnsiTheme="majorHAnsi"/>
          <w:szCs w:val="22"/>
        </w:rPr>
        <w:t>s</w:t>
      </w:r>
      <w:r w:rsidRPr="00A11FE0">
        <w:rPr>
          <w:rFonts w:asciiTheme="majorHAnsi" w:hAnsiTheme="majorHAnsi"/>
          <w:szCs w:val="22"/>
        </w:rPr>
        <w:t xml:space="preserve"> dokumentmi v elektronickej podobe. Rozšírenie možností pre prácu </w:t>
      </w:r>
      <w:r>
        <w:rPr>
          <w:rFonts w:asciiTheme="majorHAnsi" w:hAnsiTheme="majorHAnsi"/>
          <w:szCs w:val="22"/>
        </w:rPr>
        <w:t>s</w:t>
      </w:r>
      <w:r w:rsidRPr="00A11FE0">
        <w:rPr>
          <w:rFonts w:asciiTheme="majorHAnsi" w:hAnsiTheme="majorHAnsi"/>
          <w:szCs w:val="22"/>
        </w:rPr>
        <w:t xml:space="preserve"> dokumentmi </w:t>
      </w:r>
      <w:r>
        <w:rPr>
          <w:rFonts w:asciiTheme="majorHAnsi" w:hAnsiTheme="majorHAnsi"/>
          <w:szCs w:val="22"/>
        </w:rPr>
        <w:t>a</w:t>
      </w:r>
      <w:r w:rsidRPr="00A11FE0">
        <w:rPr>
          <w:rFonts w:asciiTheme="majorHAnsi" w:hAnsiTheme="majorHAnsi"/>
          <w:szCs w:val="22"/>
        </w:rPr>
        <w:t> prílohami v elektronickej podobe bude v </w:t>
      </w:r>
      <w:r>
        <w:rPr>
          <w:rFonts w:asciiTheme="majorHAnsi" w:hAnsiTheme="majorHAnsi"/>
          <w:szCs w:val="22"/>
        </w:rPr>
        <w:t>s</w:t>
      </w:r>
      <w:r w:rsidRPr="00A11FE0">
        <w:rPr>
          <w:rFonts w:asciiTheme="majorHAnsi" w:hAnsiTheme="majorHAnsi"/>
          <w:szCs w:val="22"/>
        </w:rPr>
        <w:t xml:space="preserve">úlade </w:t>
      </w:r>
      <w:r>
        <w:rPr>
          <w:rFonts w:asciiTheme="majorHAnsi" w:hAnsiTheme="majorHAnsi"/>
          <w:szCs w:val="22"/>
        </w:rPr>
        <w:t>s</w:t>
      </w:r>
      <w:r w:rsidRPr="00A11FE0">
        <w:rPr>
          <w:rFonts w:asciiTheme="majorHAnsi" w:hAnsiTheme="majorHAnsi"/>
          <w:szCs w:val="22"/>
        </w:rPr>
        <w:t xml:space="preserve"> nasledovnými požiadavkami </w:t>
      </w:r>
      <w:r>
        <w:rPr>
          <w:rFonts w:asciiTheme="majorHAnsi" w:hAnsiTheme="majorHAnsi"/>
          <w:szCs w:val="22"/>
        </w:rPr>
        <w:t>a</w:t>
      </w:r>
      <w:r w:rsidRPr="00A11FE0">
        <w:rPr>
          <w:rFonts w:asciiTheme="majorHAnsi" w:hAnsiTheme="majorHAnsi"/>
          <w:szCs w:val="22"/>
        </w:rPr>
        <w:t xml:space="preserve"> princípmi:</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Pr>
          <w:rFonts w:asciiTheme="majorHAnsi" w:hAnsiTheme="majorHAnsi"/>
          <w:szCs w:val="22"/>
        </w:rPr>
        <w:t>zabezpečenia s</w:t>
      </w:r>
      <w:r w:rsidRPr="00A11FE0">
        <w:rPr>
          <w:rFonts w:asciiTheme="majorHAnsi" w:hAnsiTheme="majorHAnsi"/>
          <w:szCs w:val="22"/>
        </w:rPr>
        <w:t>úlad</w:t>
      </w:r>
      <w:r>
        <w:rPr>
          <w:rFonts w:asciiTheme="majorHAnsi" w:hAnsiTheme="majorHAnsi"/>
          <w:szCs w:val="22"/>
        </w:rPr>
        <w:t>u</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 xml:space="preserve"> procesmi vyplývajúcimi z legislatívy riadenia registratúry </w:t>
      </w:r>
      <w:r>
        <w:rPr>
          <w:rFonts w:asciiTheme="majorHAnsi" w:hAnsiTheme="majorHAnsi"/>
          <w:szCs w:val="22"/>
        </w:rPr>
        <w:t>a</w:t>
      </w:r>
      <w:r w:rsidRPr="00A11FE0">
        <w:rPr>
          <w:rFonts w:asciiTheme="majorHAnsi" w:hAnsiTheme="majorHAnsi"/>
          <w:szCs w:val="22"/>
        </w:rPr>
        <w:t xml:space="preserve"> pod.,</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Pr>
          <w:rFonts w:asciiTheme="majorHAnsi" w:hAnsiTheme="majorHAnsi"/>
          <w:szCs w:val="22"/>
        </w:rPr>
        <w:t xml:space="preserve">vytvorenia </w:t>
      </w:r>
      <w:r w:rsidRPr="00A11FE0">
        <w:rPr>
          <w:rFonts w:asciiTheme="majorHAnsi" w:hAnsiTheme="majorHAnsi"/>
          <w:szCs w:val="22"/>
        </w:rPr>
        <w:t>prívetivé</w:t>
      </w:r>
      <w:r>
        <w:rPr>
          <w:rFonts w:asciiTheme="majorHAnsi" w:hAnsiTheme="majorHAnsi"/>
          <w:szCs w:val="22"/>
        </w:rPr>
        <w:t>ho</w:t>
      </w:r>
      <w:r w:rsidRPr="00A11FE0">
        <w:rPr>
          <w:rFonts w:asciiTheme="majorHAnsi" w:hAnsiTheme="majorHAnsi"/>
          <w:szCs w:val="22"/>
        </w:rPr>
        <w:t xml:space="preserve"> prostredi</w:t>
      </w:r>
      <w:r>
        <w:rPr>
          <w:rFonts w:asciiTheme="majorHAnsi" w:hAnsiTheme="majorHAnsi"/>
          <w:szCs w:val="22"/>
        </w:rPr>
        <w:t>a</w:t>
      </w:r>
      <w:r w:rsidRPr="00A11FE0">
        <w:rPr>
          <w:rFonts w:asciiTheme="majorHAnsi" w:hAnsiTheme="majorHAnsi"/>
          <w:szCs w:val="22"/>
        </w:rPr>
        <w:t xml:space="preserve"> pre prácu </w:t>
      </w:r>
      <w:r>
        <w:rPr>
          <w:rFonts w:asciiTheme="majorHAnsi" w:hAnsiTheme="majorHAnsi"/>
          <w:szCs w:val="22"/>
        </w:rPr>
        <w:t>s</w:t>
      </w:r>
      <w:r w:rsidRPr="00A11FE0">
        <w:rPr>
          <w:rFonts w:asciiTheme="majorHAnsi" w:hAnsiTheme="majorHAnsi"/>
          <w:szCs w:val="22"/>
        </w:rPr>
        <w:t xml:space="preserve"> dokumentmi </w:t>
      </w:r>
      <w:r>
        <w:rPr>
          <w:rFonts w:asciiTheme="majorHAnsi" w:hAnsiTheme="majorHAnsi"/>
          <w:szCs w:val="22"/>
        </w:rPr>
        <w:t>a</w:t>
      </w:r>
      <w:r w:rsidRPr="00A11FE0">
        <w:rPr>
          <w:rFonts w:asciiTheme="majorHAnsi" w:hAnsiTheme="majorHAnsi"/>
          <w:szCs w:val="22"/>
        </w:rPr>
        <w:t> prílohami v elektronickej podobe,</w:t>
      </w:r>
    </w:p>
    <w:p w:rsidR="0021713D" w:rsidRPr="00A11FE0" w:rsidRDefault="0021713D" w:rsidP="009B7C77">
      <w:pPr>
        <w:widowControl w:val="0"/>
        <w:numPr>
          <w:ilvl w:val="0"/>
          <w:numId w:val="35"/>
        </w:numPr>
        <w:autoSpaceDE w:val="0"/>
        <w:autoSpaceDN w:val="0"/>
        <w:adjustRightInd w:val="0"/>
        <w:spacing w:before="0" w:after="0"/>
        <w:ind w:left="567"/>
        <w:rPr>
          <w:rFonts w:asciiTheme="majorHAnsi" w:hAnsiTheme="majorHAnsi"/>
          <w:szCs w:val="22"/>
        </w:rPr>
      </w:pPr>
      <w:r>
        <w:rPr>
          <w:rFonts w:asciiTheme="majorHAnsi" w:hAnsiTheme="majorHAnsi"/>
          <w:szCs w:val="22"/>
        </w:rPr>
        <w:t>s</w:t>
      </w:r>
      <w:r w:rsidRPr="00A11FE0">
        <w:rPr>
          <w:rFonts w:asciiTheme="majorHAnsi" w:hAnsiTheme="majorHAnsi"/>
          <w:szCs w:val="22"/>
        </w:rPr>
        <w:t>pracovani</w:t>
      </w:r>
      <w:r>
        <w:rPr>
          <w:rFonts w:asciiTheme="majorHAnsi" w:hAnsiTheme="majorHAnsi"/>
          <w:szCs w:val="22"/>
        </w:rPr>
        <w:t>a</w:t>
      </w:r>
      <w:r w:rsidRPr="00A11FE0">
        <w:rPr>
          <w:rFonts w:asciiTheme="majorHAnsi" w:hAnsiTheme="majorHAnsi"/>
          <w:szCs w:val="22"/>
        </w:rPr>
        <w:t xml:space="preserve"> veľkého množstva dokumentov bez dopadu na celkový výkon </w:t>
      </w:r>
      <w:r>
        <w:rPr>
          <w:rFonts w:asciiTheme="majorHAnsi" w:hAnsiTheme="majorHAnsi"/>
          <w:szCs w:val="22"/>
        </w:rPr>
        <w:t>a</w:t>
      </w:r>
      <w:r w:rsidRPr="00A11FE0">
        <w:rPr>
          <w:rFonts w:asciiTheme="majorHAnsi" w:hAnsiTheme="majorHAnsi"/>
          <w:szCs w:val="22"/>
        </w:rPr>
        <w:t>plikácie</w:t>
      </w:r>
      <w:r>
        <w:rPr>
          <w:rFonts w:asciiTheme="majorHAnsi" w:hAnsiTheme="majorHAnsi"/>
          <w:szCs w:val="22"/>
        </w:rPr>
        <w:t>, a</w:t>
      </w:r>
      <w:r w:rsidR="00F9081C" w:rsidRPr="005575C1">
        <w:rPr>
          <w:rFonts w:asciiTheme="majorHAnsi" w:hAnsiTheme="majorHAnsi"/>
          <w:sz w:val="20"/>
          <w:szCs w:val="20"/>
        </w:rPr>
        <w:t> </w:t>
      </w:r>
      <w:r>
        <w:rPr>
          <w:rFonts w:asciiTheme="majorHAnsi" w:hAnsiTheme="majorHAnsi"/>
          <w:szCs w:val="22"/>
        </w:rPr>
        <w:t>to</w:t>
      </w:r>
      <w:r w:rsidRPr="00A11FE0">
        <w:rPr>
          <w:rFonts w:asciiTheme="majorHAnsi" w:hAnsiTheme="majorHAnsi"/>
          <w:szCs w:val="22"/>
        </w:rPr>
        <w:t xml:space="preserve"> rovnomern</w:t>
      </w:r>
      <w:r>
        <w:rPr>
          <w:rFonts w:asciiTheme="majorHAnsi" w:hAnsiTheme="majorHAnsi"/>
          <w:szCs w:val="22"/>
        </w:rPr>
        <w:t xml:space="preserve">ým </w:t>
      </w:r>
      <w:r w:rsidRPr="00A11FE0">
        <w:rPr>
          <w:rFonts w:asciiTheme="majorHAnsi" w:hAnsiTheme="majorHAnsi"/>
          <w:szCs w:val="22"/>
        </w:rPr>
        <w:t>rozložen</w:t>
      </w:r>
      <w:r>
        <w:rPr>
          <w:rFonts w:asciiTheme="majorHAnsi" w:hAnsiTheme="majorHAnsi"/>
          <w:szCs w:val="22"/>
        </w:rPr>
        <w:t>ím</w:t>
      </w:r>
      <w:r w:rsidRPr="00A11FE0">
        <w:rPr>
          <w:rFonts w:asciiTheme="majorHAnsi" w:hAnsiTheme="majorHAnsi"/>
          <w:szCs w:val="22"/>
        </w:rPr>
        <w:t xml:space="preserve"> záťaže v čase,</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sidRPr="00A11FE0">
        <w:rPr>
          <w:rFonts w:asciiTheme="majorHAnsi" w:hAnsiTheme="majorHAnsi"/>
          <w:szCs w:val="22"/>
        </w:rPr>
        <w:t>zachovani</w:t>
      </w:r>
      <w:r>
        <w:rPr>
          <w:rFonts w:asciiTheme="majorHAnsi" w:hAnsiTheme="majorHAnsi"/>
          <w:szCs w:val="22"/>
        </w:rPr>
        <w:t>a</w:t>
      </w:r>
      <w:r w:rsidRPr="00A11FE0">
        <w:rPr>
          <w:rFonts w:asciiTheme="majorHAnsi" w:hAnsiTheme="majorHAnsi"/>
          <w:szCs w:val="22"/>
        </w:rPr>
        <w:t xml:space="preserve"> integrity v dlhodobom časovom horizonte (</w:t>
      </w:r>
      <w:r>
        <w:rPr>
          <w:rFonts w:asciiTheme="majorHAnsi" w:hAnsiTheme="majorHAnsi"/>
          <w:szCs w:val="22"/>
        </w:rPr>
        <w:t>a</w:t>
      </w:r>
      <w:r w:rsidRPr="00A11FE0">
        <w:rPr>
          <w:rFonts w:asciiTheme="majorHAnsi" w:hAnsiTheme="majorHAnsi"/>
          <w:szCs w:val="22"/>
        </w:rPr>
        <w:t>rchivácia dokumentov do roku 2025),</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sidRPr="00A11FE0">
        <w:rPr>
          <w:rFonts w:asciiTheme="majorHAnsi" w:hAnsiTheme="majorHAnsi"/>
          <w:szCs w:val="22"/>
        </w:rPr>
        <w:t>nemennos</w:t>
      </w:r>
      <w:r>
        <w:rPr>
          <w:rFonts w:asciiTheme="majorHAnsi" w:hAnsiTheme="majorHAnsi"/>
          <w:szCs w:val="22"/>
        </w:rPr>
        <w:t>ti</w:t>
      </w:r>
      <w:r w:rsidRPr="00A11FE0">
        <w:rPr>
          <w:rFonts w:asciiTheme="majorHAnsi" w:hAnsiTheme="majorHAnsi"/>
          <w:szCs w:val="22"/>
        </w:rPr>
        <w:t>, nezmazateľnos</w:t>
      </w:r>
      <w:r>
        <w:rPr>
          <w:rFonts w:asciiTheme="majorHAnsi" w:hAnsiTheme="majorHAnsi"/>
          <w:szCs w:val="22"/>
        </w:rPr>
        <w:t>ti</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dostupnos</w:t>
      </w:r>
      <w:r>
        <w:rPr>
          <w:rFonts w:asciiTheme="majorHAnsi" w:hAnsiTheme="majorHAnsi"/>
          <w:szCs w:val="22"/>
        </w:rPr>
        <w:t>ti</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chválených dokumentov,</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sidRPr="00A11FE0">
        <w:rPr>
          <w:rFonts w:asciiTheme="majorHAnsi" w:hAnsiTheme="majorHAnsi"/>
          <w:szCs w:val="22"/>
        </w:rPr>
        <w:t>definovani</w:t>
      </w:r>
      <w:r>
        <w:rPr>
          <w:rFonts w:asciiTheme="majorHAnsi" w:hAnsiTheme="majorHAnsi"/>
          <w:szCs w:val="22"/>
        </w:rPr>
        <w:t>a</w:t>
      </w:r>
      <w:r w:rsidRPr="00A11FE0">
        <w:rPr>
          <w:rFonts w:asciiTheme="majorHAnsi" w:hAnsiTheme="majorHAnsi"/>
          <w:szCs w:val="22"/>
        </w:rPr>
        <w:t xml:space="preserve"> základných metadát dokumentov,</w:t>
      </w:r>
    </w:p>
    <w:p w:rsidR="0021713D"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Pr>
          <w:rFonts w:asciiTheme="majorHAnsi" w:hAnsiTheme="majorHAnsi"/>
          <w:szCs w:val="22"/>
        </w:rPr>
        <w:t>k</w:t>
      </w:r>
      <w:r w:rsidRPr="00D666FF">
        <w:rPr>
          <w:rFonts w:asciiTheme="majorHAnsi" w:hAnsiTheme="majorHAnsi"/>
          <w:szCs w:val="22"/>
        </w:rPr>
        <w:t>ategorizáci</w:t>
      </w:r>
      <w:r>
        <w:rPr>
          <w:rFonts w:asciiTheme="majorHAnsi" w:hAnsiTheme="majorHAnsi"/>
          <w:szCs w:val="22"/>
        </w:rPr>
        <w:t>e</w:t>
      </w:r>
      <w:r w:rsidRPr="00D666FF">
        <w:rPr>
          <w:rFonts w:asciiTheme="majorHAnsi" w:hAnsiTheme="majorHAnsi"/>
          <w:szCs w:val="22"/>
        </w:rPr>
        <w:t xml:space="preserve">, resp. </w:t>
      </w:r>
      <w:r>
        <w:rPr>
          <w:rFonts w:asciiTheme="majorHAnsi" w:hAnsiTheme="majorHAnsi"/>
          <w:szCs w:val="22"/>
        </w:rPr>
        <w:t>a</w:t>
      </w:r>
      <w:r w:rsidRPr="00D666FF">
        <w:rPr>
          <w:rFonts w:asciiTheme="majorHAnsi" w:hAnsiTheme="majorHAnsi"/>
          <w:szCs w:val="22"/>
        </w:rPr>
        <w:t>gregáci</w:t>
      </w:r>
      <w:r>
        <w:rPr>
          <w:rFonts w:asciiTheme="majorHAnsi" w:hAnsiTheme="majorHAnsi"/>
          <w:szCs w:val="22"/>
        </w:rPr>
        <w:t>e</w:t>
      </w:r>
      <w:r w:rsidRPr="00D666FF">
        <w:rPr>
          <w:rFonts w:asciiTheme="majorHAnsi" w:hAnsiTheme="majorHAnsi"/>
          <w:szCs w:val="22"/>
        </w:rPr>
        <w:t xml:space="preserve"> dokumentov na základe metadát </w:t>
      </w:r>
      <w:r>
        <w:rPr>
          <w:rFonts w:asciiTheme="majorHAnsi" w:hAnsiTheme="majorHAnsi"/>
          <w:szCs w:val="22"/>
        </w:rPr>
        <w:t>a</w:t>
      </w:r>
      <w:r w:rsidRPr="00D666FF">
        <w:rPr>
          <w:rFonts w:asciiTheme="majorHAnsi" w:hAnsiTheme="majorHAnsi"/>
          <w:szCs w:val="22"/>
        </w:rPr>
        <w:t> rôznych pohľadov,</w:t>
      </w:r>
    </w:p>
    <w:p w:rsidR="0021713D" w:rsidRPr="00D666FF" w:rsidRDefault="0021713D" w:rsidP="009B7C77">
      <w:pPr>
        <w:widowControl w:val="0"/>
        <w:numPr>
          <w:ilvl w:val="0"/>
          <w:numId w:val="35"/>
        </w:numPr>
        <w:autoSpaceDE w:val="0"/>
        <w:autoSpaceDN w:val="0"/>
        <w:adjustRightInd w:val="0"/>
        <w:spacing w:before="0" w:after="0"/>
        <w:ind w:left="567"/>
        <w:rPr>
          <w:rFonts w:asciiTheme="majorHAnsi" w:hAnsiTheme="majorHAnsi"/>
          <w:szCs w:val="22"/>
        </w:rPr>
      </w:pPr>
      <w:r w:rsidRPr="00D666FF">
        <w:rPr>
          <w:rFonts w:asciiTheme="majorHAnsi" w:hAnsiTheme="majorHAnsi"/>
          <w:szCs w:val="22"/>
        </w:rPr>
        <w:t>v</w:t>
      </w:r>
      <w:r>
        <w:rPr>
          <w:rFonts w:asciiTheme="majorHAnsi" w:hAnsiTheme="majorHAnsi"/>
          <w:szCs w:val="22"/>
        </w:rPr>
        <w:t> </w:t>
      </w:r>
      <w:r w:rsidRPr="00D666FF">
        <w:rPr>
          <w:rFonts w:asciiTheme="majorHAnsi" w:hAnsiTheme="majorHAnsi"/>
          <w:szCs w:val="22"/>
        </w:rPr>
        <w:t>relevantných prípadoch</w:t>
      </w:r>
      <w:r>
        <w:rPr>
          <w:rFonts w:asciiTheme="majorHAnsi" w:hAnsiTheme="majorHAnsi"/>
          <w:szCs w:val="22"/>
        </w:rPr>
        <w:t>,</w:t>
      </w:r>
      <w:r w:rsidRPr="00D666FF">
        <w:rPr>
          <w:rFonts w:asciiTheme="majorHAnsi" w:hAnsiTheme="majorHAnsi"/>
          <w:szCs w:val="22"/>
        </w:rPr>
        <w:t xml:space="preserve"> umožneni</w:t>
      </w:r>
      <w:r>
        <w:rPr>
          <w:rFonts w:asciiTheme="majorHAnsi" w:hAnsiTheme="majorHAnsi"/>
          <w:szCs w:val="22"/>
        </w:rPr>
        <w:t>a</w:t>
      </w:r>
      <w:r w:rsidRPr="00D666FF">
        <w:rPr>
          <w:rFonts w:asciiTheme="majorHAnsi" w:hAnsiTheme="majorHAnsi"/>
          <w:szCs w:val="22"/>
        </w:rPr>
        <w:t xml:space="preserve"> zberu </w:t>
      </w:r>
      <w:r>
        <w:rPr>
          <w:rFonts w:asciiTheme="majorHAnsi" w:hAnsiTheme="majorHAnsi"/>
          <w:szCs w:val="22"/>
        </w:rPr>
        <w:t>a </w:t>
      </w:r>
      <w:r w:rsidRPr="00D666FF">
        <w:rPr>
          <w:rFonts w:asciiTheme="majorHAnsi" w:hAnsiTheme="majorHAnsi"/>
          <w:szCs w:val="22"/>
        </w:rPr>
        <w:t xml:space="preserve">následného jednoduchého </w:t>
      </w:r>
      <w:r>
        <w:rPr>
          <w:rFonts w:asciiTheme="majorHAnsi" w:hAnsiTheme="majorHAnsi"/>
          <w:szCs w:val="22"/>
        </w:rPr>
        <w:t>a </w:t>
      </w:r>
      <w:r w:rsidRPr="00D666FF">
        <w:rPr>
          <w:rFonts w:asciiTheme="majorHAnsi" w:hAnsiTheme="majorHAnsi"/>
          <w:szCs w:val="22"/>
        </w:rPr>
        <w:t>presného vyhodnocovania podrobných mikroúdajov o</w:t>
      </w:r>
      <w:r>
        <w:rPr>
          <w:rFonts w:asciiTheme="majorHAnsi" w:hAnsiTheme="majorHAnsi"/>
          <w:szCs w:val="22"/>
        </w:rPr>
        <w:t> </w:t>
      </w:r>
      <w:r w:rsidRPr="00D666FF">
        <w:rPr>
          <w:rFonts w:asciiTheme="majorHAnsi" w:hAnsiTheme="majorHAnsi"/>
          <w:szCs w:val="22"/>
        </w:rPr>
        <w:t>účastníkoch operácií,</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sidRPr="00A11FE0">
        <w:rPr>
          <w:rFonts w:asciiTheme="majorHAnsi" w:hAnsiTheme="majorHAnsi"/>
          <w:szCs w:val="22"/>
        </w:rPr>
        <w:t>zavedeni</w:t>
      </w:r>
      <w:r>
        <w:rPr>
          <w:rFonts w:asciiTheme="majorHAnsi" w:hAnsiTheme="majorHAnsi"/>
          <w:szCs w:val="22"/>
        </w:rPr>
        <w:t>a</w:t>
      </w:r>
      <w:r w:rsidRPr="00A11FE0">
        <w:rPr>
          <w:rFonts w:asciiTheme="majorHAnsi" w:hAnsiTheme="majorHAnsi"/>
          <w:szCs w:val="22"/>
        </w:rPr>
        <w:t xml:space="preserve"> myšlienky priečinka pre dokumenty na opakované použitie,</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sidRPr="00A11FE0">
        <w:rPr>
          <w:rFonts w:asciiTheme="majorHAnsi" w:hAnsiTheme="majorHAnsi"/>
          <w:szCs w:val="22"/>
        </w:rPr>
        <w:t>zavedeni</w:t>
      </w:r>
      <w:r>
        <w:rPr>
          <w:rFonts w:asciiTheme="majorHAnsi" w:hAnsiTheme="majorHAnsi"/>
          <w:szCs w:val="22"/>
        </w:rPr>
        <w:t>a</w:t>
      </w:r>
      <w:r w:rsidRPr="00A11FE0">
        <w:rPr>
          <w:rFonts w:asciiTheme="majorHAnsi" w:hAnsiTheme="majorHAnsi"/>
          <w:szCs w:val="22"/>
        </w:rPr>
        <w:t xml:space="preserve"> myšlienky projektového </w:t>
      </w:r>
      <w:r>
        <w:rPr>
          <w:rFonts w:asciiTheme="majorHAnsi" w:hAnsiTheme="majorHAnsi"/>
          <w:szCs w:val="22"/>
        </w:rPr>
        <w:t>s</w:t>
      </w:r>
      <w:r w:rsidRPr="00A11FE0">
        <w:rPr>
          <w:rFonts w:asciiTheme="majorHAnsi" w:hAnsiTheme="majorHAnsi"/>
          <w:szCs w:val="22"/>
        </w:rPr>
        <w:t>pisu,</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sidRPr="00A11FE0">
        <w:rPr>
          <w:rFonts w:asciiTheme="majorHAnsi" w:hAnsiTheme="majorHAnsi"/>
          <w:szCs w:val="22"/>
        </w:rPr>
        <w:t>vytvárani</w:t>
      </w:r>
      <w:r>
        <w:rPr>
          <w:rFonts w:asciiTheme="majorHAnsi" w:hAnsiTheme="majorHAnsi"/>
          <w:szCs w:val="22"/>
        </w:rPr>
        <w:t>a</w:t>
      </w:r>
      <w:r w:rsidRPr="00A11FE0">
        <w:rPr>
          <w:rFonts w:asciiTheme="majorHAnsi" w:hAnsiTheme="majorHAnsi"/>
          <w:szCs w:val="22"/>
        </w:rPr>
        <w:t xml:space="preserve"> verzií pri určitých typoch dokumentov,</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sidRPr="00A11FE0">
        <w:rPr>
          <w:rFonts w:asciiTheme="majorHAnsi" w:hAnsiTheme="majorHAnsi"/>
          <w:szCs w:val="22"/>
        </w:rPr>
        <w:t>fulltextové</w:t>
      </w:r>
      <w:r>
        <w:rPr>
          <w:rFonts w:asciiTheme="majorHAnsi" w:hAnsiTheme="majorHAnsi"/>
          <w:szCs w:val="22"/>
        </w:rPr>
        <w:t>ho</w:t>
      </w:r>
      <w:r w:rsidRPr="00A11FE0">
        <w:rPr>
          <w:rFonts w:asciiTheme="majorHAnsi" w:hAnsiTheme="majorHAnsi"/>
          <w:szCs w:val="22"/>
        </w:rPr>
        <w:t xml:space="preserve"> vyhľadávani</w:t>
      </w:r>
      <w:r>
        <w:rPr>
          <w:rFonts w:asciiTheme="majorHAnsi" w:hAnsiTheme="majorHAnsi"/>
          <w:szCs w:val="22"/>
        </w:rPr>
        <w:t>a</w:t>
      </w:r>
      <w:r w:rsidRPr="00A11FE0">
        <w:rPr>
          <w:rFonts w:asciiTheme="majorHAnsi" w:hAnsiTheme="majorHAnsi"/>
          <w:szCs w:val="22"/>
        </w:rPr>
        <w:t xml:space="preserve"> v rámci dokumentov </w:t>
      </w:r>
      <w:r>
        <w:rPr>
          <w:rFonts w:asciiTheme="majorHAnsi" w:hAnsiTheme="majorHAnsi"/>
          <w:szCs w:val="22"/>
        </w:rPr>
        <w:t>a</w:t>
      </w:r>
      <w:r w:rsidRPr="00A11FE0">
        <w:rPr>
          <w:rFonts w:asciiTheme="majorHAnsi" w:hAnsiTheme="majorHAnsi"/>
          <w:szCs w:val="22"/>
        </w:rPr>
        <w:t> príloh,</w:t>
      </w:r>
    </w:p>
    <w:p w:rsidR="0021713D" w:rsidRPr="00A11FE0" w:rsidRDefault="0021713D" w:rsidP="009B7C77">
      <w:pPr>
        <w:widowControl w:val="0"/>
        <w:numPr>
          <w:ilvl w:val="0"/>
          <w:numId w:val="35"/>
        </w:numPr>
        <w:autoSpaceDE w:val="0"/>
        <w:autoSpaceDN w:val="0"/>
        <w:adjustRightInd w:val="0"/>
        <w:spacing w:before="0" w:after="0"/>
        <w:ind w:left="567"/>
        <w:jc w:val="left"/>
        <w:rPr>
          <w:rFonts w:asciiTheme="majorHAnsi" w:hAnsiTheme="majorHAnsi"/>
          <w:szCs w:val="22"/>
        </w:rPr>
      </w:pPr>
      <w:r>
        <w:rPr>
          <w:rFonts w:asciiTheme="majorHAnsi" w:hAnsiTheme="majorHAnsi"/>
          <w:szCs w:val="22"/>
        </w:rPr>
        <w:t>a</w:t>
      </w:r>
      <w:r w:rsidRPr="00A11FE0">
        <w:rPr>
          <w:rFonts w:asciiTheme="majorHAnsi" w:hAnsiTheme="majorHAnsi"/>
          <w:szCs w:val="22"/>
        </w:rPr>
        <w:t>dministráci</w:t>
      </w:r>
      <w:r>
        <w:rPr>
          <w:rFonts w:asciiTheme="majorHAnsi" w:hAnsiTheme="majorHAnsi"/>
          <w:szCs w:val="22"/>
        </w:rPr>
        <w:t>e</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 nastavenia práv nad uloženými dokumentmi,</w:t>
      </w:r>
    </w:p>
    <w:p w:rsidR="0021713D" w:rsidRPr="00A11FE0" w:rsidRDefault="0021713D" w:rsidP="009B7C77">
      <w:pPr>
        <w:widowControl w:val="0"/>
        <w:numPr>
          <w:ilvl w:val="0"/>
          <w:numId w:val="35"/>
        </w:numPr>
        <w:autoSpaceDE w:val="0"/>
        <w:autoSpaceDN w:val="0"/>
        <w:adjustRightInd w:val="0"/>
        <w:spacing w:before="0"/>
        <w:ind w:left="567"/>
        <w:jc w:val="left"/>
        <w:rPr>
          <w:rFonts w:asciiTheme="majorHAnsi" w:hAnsiTheme="majorHAnsi"/>
          <w:szCs w:val="22"/>
        </w:rPr>
      </w:pPr>
      <w:r>
        <w:rPr>
          <w:rFonts w:asciiTheme="majorHAnsi" w:hAnsiTheme="majorHAnsi"/>
          <w:szCs w:val="22"/>
        </w:rPr>
        <w:t xml:space="preserve">vytvorenia </w:t>
      </w:r>
      <w:r w:rsidRPr="00A11FE0">
        <w:rPr>
          <w:rFonts w:asciiTheme="majorHAnsi" w:hAnsiTheme="majorHAnsi"/>
          <w:szCs w:val="22"/>
        </w:rPr>
        <w:t>workflow</w:t>
      </w:r>
      <w:r>
        <w:rPr>
          <w:rFonts w:asciiTheme="majorHAnsi" w:hAnsiTheme="majorHAnsi"/>
          <w:szCs w:val="22"/>
        </w:rPr>
        <w:t>u</w:t>
      </w:r>
      <w:r w:rsidRPr="00A11FE0">
        <w:rPr>
          <w:rFonts w:asciiTheme="majorHAnsi" w:hAnsiTheme="majorHAnsi"/>
          <w:szCs w:val="22"/>
        </w:rPr>
        <w:t xml:space="preserve"> riadenia dokumentov (</w:t>
      </w:r>
      <w:r>
        <w:rPr>
          <w:rFonts w:asciiTheme="majorHAnsi" w:hAnsiTheme="majorHAnsi"/>
          <w:szCs w:val="22"/>
        </w:rPr>
        <w:t>s</w:t>
      </w:r>
      <w:r w:rsidRPr="00A11FE0">
        <w:rPr>
          <w:rFonts w:asciiTheme="majorHAnsi" w:hAnsiTheme="majorHAnsi"/>
          <w:szCs w:val="22"/>
        </w:rPr>
        <w:t>chvaľovanie, pripomienkovanie).</w:t>
      </w:r>
    </w:p>
    <w:p w:rsidR="0021713D" w:rsidRPr="00A11FE0" w:rsidRDefault="0021713D" w:rsidP="0021713D">
      <w:pPr>
        <w:spacing w:after="0"/>
        <w:rPr>
          <w:rFonts w:asciiTheme="majorHAnsi" w:hAnsiTheme="majorHAnsi"/>
          <w:szCs w:val="22"/>
        </w:rPr>
      </w:pPr>
      <w:r w:rsidRPr="00A11FE0">
        <w:rPr>
          <w:rFonts w:asciiTheme="majorHAnsi" w:hAnsiTheme="majorHAnsi"/>
          <w:szCs w:val="22"/>
        </w:rPr>
        <w:lastRenderedPageBreak/>
        <w:t xml:space="preserve">Požiadavka </w:t>
      </w:r>
      <w:r w:rsidRPr="00A11FE0">
        <w:rPr>
          <w:rFonts w:asciiTheme="majorHAnsi" w:hAnsiTheme="majorHAnsi"/>
          <w:i/>
          <w:szCs w:val="22"/>
        </w:rPr>
        <w:t>e-</w:t>
      </w:r>
      <w:r>
        <w:rPr>
          <w:rFonts w:asciiTheme="majorHAnsi" w:hAnsiTheme="majorHAnsi"/>
          <w:i/>
          <w:szCs w:val="22"/>
        </w:rPr>
        <w:t>S</w:t>
      </w:r>
      <w:r w:rsidRPr="00A11FE0">
        <w:rPr>
          <w:rFonts w:asciiTheme="majorHAnsi" w:hAnsiTheme="majorHAnsi"/>
          <w:i/>
          <w:szCs w:val="22"/>
        </w:rPr>
        <w:t>ubmission</w:t>
      </w:r>
      <w:r w:rsidRPr="00A11FE0">
        <w:rPr>
          <w:rFonts w:asciiTheme="majorHAnsi" w:hAnsiTheme="majorHAnsi"/>
          <w:szCs w:val="22"/>
        </w:rPr>
        <w:t xml:space="preserve"> bude zabezpečená v ITMS2014+ modifikáciou technológie </w:t>
      </w:r>
      <w:r>
        <w:rPr>
          <w:rFonts w:asciiTheme="majorHAnsi" w:hAnsiTheme="majorHAnsi"/>
          <w:szCs w:val="22"/>
        </w:rPr>
        <w:t>a</w:t>
      </w:r>
      <w:r w:rsidRPr="00A11FE0">
        <w:rPr>
          <w:rFonts w:asciiTheme="majorHAnsi" w:hAnsiTheme="majorHAnsi"/>
          <w:szCs w:val="22"/>
        </w:rPr>
        <w:t xml:space="preserve"> vybraných formulárov v ITMS, čo zabezpečí:</w:t>
      </w:r>
    </w:p>
    <w:p w:rsidR="0021713D" w:rsidRPr="00D666FF" w:rsidRDefault="0021713D" w:rsidP="009B7C77">
      <w:pPr>
        <w:pStyle w:val="Odsekzoznamu"/>
        <w:numPr>
          <w:ilvl w:val="0"/>
          <w:numId w:val="37"/>
        </w:numPr>
        <w:tabs>
          <w:tab w:val="left" w:pos="567"/>
        </w:tabs>
        <w:spacing w:before="0" w:after="0"/>
        <w:ind w:left="567"/>
        <w:rPr>
          <w:rFonts w:asciiTheme="majorHAnsi" w:hAnsiTheme="majorHAnsi"/>
          <w:szCs w:val="22"/>
        </w:rPr>
      </w:pPr>
      <w:r w:rsidRPr="00D666FF">
        <w:rPr>
          <w:rFonts w:asciiTheme="majorHAnsi" w:hAnsiTheme="majorHAnsi"/>
          <w:szCs w:val="22"/>
        </w:rPr>
        <w:t xml:space="preserve">podporu pre všetky bežne používané webové prehliadače, bez potreby inštalácie </w:t>
      </w:r>
      <w:r>
        <w:rPr>
          <w:rFonts w:asciiTheme="majorHAnsi" w:hAnsiTheme="majorHAnsi"/>
          <w:szCs w:val="22"/>
        </w:rPr>
        <w:t>ak</w:t>
      </w:r>
      <w:r w:rsidRPr="00D666FF">
        <w:rPr>
          <w:rFonts w:asciiTheme="majorHAnsi" w:hAnsiTheme="majorHAnsi"/>
          <w:szCs w:val="22"/>
        </w:rPr>
        <w:t xml:space="preserve">éhokoľvek dodatočného špeciálneho </w:t>
      </w:r>
      <w:r>
        <w:rPr>
          <w:rFonts w:asciiTheme="majorHAnsi" w:hAnsiTheme="majorHAnsi"/>
          <w:szCs w:val="22"/>
        </w:rPr>
        <w:t>s</w:t>
      </w:r>
      <w:r w:rsidRPr="00D666FF">
        <w:rPr>
          <w:rFonts w:asciiTheme="majorHAnsi" w:hAnsiTheme="majorHAnsi"/>
          <w:szCs w:val="22"/>
        </w:rPr>
        <w:t>oftvéru, podporu pre mobilné zariadenia,</w:t>
      </w:r>
    </w:p>
    <w:p w:rsidR="0021713D" w:rsidRPr="00A11FE0" w:rsidRDefault="0021713D" w:rsidP="009B7C77">
      <w:pPr>
        <w:pStyle w:val="Odsekzoznamu"/>
        <w:numPr>
          <w:ilvl w:val="0"/>
          <w:numId w:val="37"/>
        </w:numPr>
        <w:tabs>
          <w:tab w:val="left" w:pos="567"/>
        </w:tabs>
        <w:spacing w:before="0" w:after="0"/>
        <w:ind w:left="567"/>
        <w:rPr>
          <w:rFonts w:asciiTheme="majorHAnsi" w:hAnsiTheme="majorHAnsi"/>
          <w:szCs w:val="22"/>
        </w:rPr>
      </w:pPr>
      <w:r w:rsidRPr="00A11FE0">
        <w:rPr>
          <w:rFonts w:asciiTheme="majorHAnsi" w:hAnsiTheme="majorHAnsi"/>
          <w:szCs w:val="22"/>
        </w:rPr>
        <w:t>unifikovaný používateľsky prívetivý dizajn formulárov,</w:t>
      </w:r>
    </w:p>
    <w:p w:rsidR="0021713D" w:rsidRPr="00A11FE0" w:rsidRDefault="0021713D" w:rsidP="009B7C77">
      <w:pPr>
        <w:pStyle w:val="Odsekzoznamu"/>
        <w:numPr>
          <w:ilvl w:val="0"/>
          <w:numId w:val="37"/>
        </w:numPr>
        <w:tabs>
          <w:tab w:val="left" w:pos="567"/>
        </w:tabs>
        <w:spacing w:before="0" w:after="0"/>
        <w:ind w:left="567"/>
        <w:rPr>
          <w:rFonts w:asciiTheme="majorHAnsi" w:hAnsiTheme="majorHAnsi"/>
          <w:szCs w:val="22"/>
        </w:rPr>
      </w:pPr>
      <w:r w:rsidRPr="00A11FE0">
        <w:rPr>
          <w:rFonts w:asciiTheme="majorHAnsi" w:hAnsiTheme="majorHAnsi"/>
          <w:szCs w:val="22"/>
        </w:rPr>
        <w:t>interaktívnosť elektronických formulárov pre používateľa formou nápovede</w:t>
      </w:r>
      <w:r>
        <w:rPr>
          <w:rFonts w:asciiTheme="majorHAnsi" w:hAnsiTheme="majorHAnsi"/>
          <w:szCs w:val="22"/>
        </w:rPr>
        <w:t>, a</w:t>
      </w:r>
      <w:r w:rsidR="00F9081C" w:rsidRPr="005575C1">
        <w:rPr>
          <w:rFonts w:asciiTheme="majorHAnsi" w:hAnsiTheme="majorHAnsi"/>
          <w:sz w:val="20"/>
          <w:szCs w:val="20"/>
        </w:rPr>
        <w:t> </w:t>
      </w:r>
      <w:r>
        <w:rPr>
          <w:rFonts w:asciiTheme="majorHAnsi" w:hAnsiTheme="majorHAnsi"/>
          <w:szCs w:val="22"/>
        </w:rPr>
        <w:t>to</w:t>
      </w:r>
      <w:r w:rsidRPr="00A11FE0">
        <w:rPr>
          <w:rFonts w:asciiTheme="majorHAnsi" w:hAnsiTheme="majorHAnsi"/>
          <w:szCs w:val="22"/>
        </w:rPr>
        <w:t xml:space="preserve"> prostredníctvom multimediálnej príručky pre jednoduchšie pochopenie formulárov </w:t>
      </w:r>
      <w:r>
        <w:rPr>
          <w:rFonts w:asciiTheme="majorHAnsi" w:hAnsiTheme="majorHAnsi"/>
          <w:szCs w:val="22"/>
        </w:rPr>
        <w:t>a</w:t>
      </w:r>
      <w:r w:rsidRPr="00A11FE0">
        <w:rPr>
          <w:rFonts w:asciiTheme="majorHAnsi" w:hAnsiTheme="majorHAnsi"/>
          <w:szCs w:val="22"/>
        </w:rPr>
        <w:t> procesov ich vypĺňania,</w:t>
      </w:r>
    </w:p>
    <w:p w:rsidR="0021713D" w:rsidRPr="00A11FE0" w:rsidRDefault="0021713D" w:rsidP="009B7C77">
      <w:pPr>
        <w:pStyle w:val="Odsekzoznamu"/>
        <w:numPr>
          <w:ilvl w:val="0"/>
          <w:numId w:val="37"/>
        </w:numPr>
        <w:tabs>
          <w:tab w:val="left" w:pos="567"/>
        </w:tabs>
        <w:spacing w:before="0" w:after="0"/>
        <w:ind w:left="567"/>
        <w:rPr>
          <w:rFonts w:asciiTheme="majorHAnsi" w:hAnsiTheme="majorHAnsi"/>
          <w:szCs w:val="22"/>
        </w:rPr>
      </w:pPr>
      <w:r w:rsidRPr="00A11FE0">
        <w:rPr>
          <w:rFonts w:asciiTheme="majorHAnsi" w:hAnsiTheme="majorHAnsi"/>
          <w:szCs w:val="22"/>
        </w:rPr>
        <w:t xml:space="preserve">zavedenie jednoduchého nástroja pre otestovanie </w:t>
      </w:r>
      <w:r>
        <w:rPr>
          <w:rFonts w:asciiTheme="majorHAnsi" w:hAnsiTheme="majorHAnsi"/>
          <w:szCs w:val="22"/>
        </w:rPr>
        <w:t>k</w:t>
      </w:r>
      <w:r w:rsidRPr="00A11FE0">
        <w:rPr>
          <w:rFonts w:asciiTheme="majorHAnsi" w:hAnsiTheme="majorHAnsi"/>
          <w:szCs w:val="22"/>
        </w:rPr>
        <w:t xml:space="preserve">ompatibility </w:t>
      </w:r>
      <w:r>
        <w:rPr>
          <w:rFonts w:asciiTheme="majorHAnsi" w:hAnsiTheme="majorHAnsi"/>
          <w:szCs w:val="22"/>
        </w:rPr>
        <w:t>k</w:t>
      </w:r>
      <w:r w:rsidRPr="00A11FE0">
        <w:rPr>
          <w:rFonts w:asciiTheme="majorHAnsi" w:hAnsiTheme="majorHAnsi"/>
          <w:szCs w:val="22"/>
        </w:rPr>
        <w:t xml:space="preserve">lientskej </w:t>
      </w:r>
      <w:r>
        <w:rPr>
          <w:rFonts w:asciiTheme="majorHAnsi" w:hAnsiTheme="majorHAnsi"/>
          <w:szCs w:val="22"/>
        </w:rPr>
        <w:t>s</w:t>
      </w:r>
      <w:r w:rsidRPr="00A11FE0">
        <w:rPr>
          <w:rFonts w:asciiTheme="majorHAnsi" w:hAnsiTheme="majorHAnsi"/>
          <w:szCs w:val="22"/>
        </w:rPr>
        <w:t xml:space="preserve">tanice </w:t>
      </w:r>
      <w:r>
        <w:rPr>
          <w:rFonts w:asciiTheme="majorHAnsi" w:hAnsiTheme="majorHAnsi"/>
          <w:szCs w:val="22"/>
        </w:rPr>
        <w:t>s</w:t>
      </w:r>
      <w:r w:rsidRPr="00A11FE0">
        <w:rPr>
          <w:rFonts w:asciiTheme="majorHAnsi" w:hAnsiTheme="majorHAnsi"/>
          <w:szCs w:val="22"/>
        </w:rPr>
        <w:t xml:space="preserve"> minimálnymi technickými požiadavkami na prácu </w:t>
      </w:r>
      <w:r>
        <w:rPr>
          <w:rFonts w:asciiTheme="majorHAnsi" w:hAnsiTheme="majorHAnsi"/>
          <w:szCs w:val="22"/>
        </w:rPr>
        <w:t>s</w:t>
      </w:r>
      <w:r w:rsidRPr="00A11FE0">
        <w:rPr>
          <w:rFonts w:asciiTheme="majorHAnsi" w:hAnsiTheme="majorHAnsi"/>
          <w:szCs w:val="22"/>
        </w:rPr>
        <w:t xml:space="preserve"> ITMS2014+ </w:t>
      </w:r>
      <w:r>
        <w:rPr>
          <w:rFonts w:asciiTheme="majorHAnsi" w:hAnsiTheme="majorHAnsi"/>
          <w:szCs w:val="22"/>
        </w:rPr>
        <w:t>a</w:t>
      </w:r>
      <w:r w:rsidRPr="00A11FE0">
        <w:rPr>
          <w:rFonts w:asciiTheme="majorHAnsi" w:hAnsiTheme="majorHAnsi"/>
          <w:szCs w:val="22"/>
        </w:rPr>
        <w:t> inteligentnými elektronickými formulármi,</w:t>
      </w:r>
    </w:p>
    <w:p w:rsidR="0021713D" w:rsidRPr="00A11FE0" w:rsidRDefault="0021713D" w:rsidP="009B7C77">
      <w:pPr>
        <w:pStyle w:val="Odsekzoznamu"/>
        <w:numPr>
          <w:ilvl w:val="0"/>
          <w:numId w:val="37"/>
        </w:numPr>
        <w:tabs>
          <w:tab w:val="left" w:pos="567"/>
        </w:tabs>
        <w:spacing w:before="0"/>
        <w:ind w:left="567"/>
        <w:rPr>
          <w:rFonts w:asciiTheme="majorHAnsi" w:hAnsiTheme="majorHAnsi"/>
          <w:szCs w:val="22"/>
        </w:rPr>
      </w:pPr>
      <w:r w:rsidRPr="00A11FE0">
        <w:rPr>
          <w:rFonts w:asciiTheme="majorHAnsi" w:hAnsiTheme="majorHAnsi"/>
          <w:szCs w:val="22"/>
        </w:rPr>
        <w:t>transformáciu formulárov pre podporu viacjazyčných mutáci</w:t>
      </w:r>
      <w:r>
        <w:rPr>
          <w:rFonts w:asciiTheme="majorHAnsi" w:hAnsiTheme="majorHAnsi"/>
          <w:szCs w:val="22"/>
        </w:rPr>
        <w:t>í</w:t>
      </w:r>
      <w:r w:rsidRPr="00A11FE0">
        <w:rPr>
          <w:rFonts w:asciiTheme="majorHAnsi" w:hAnsiTheme="majorHAnsi"/>
          <w:szCs w:val="22"/>
        </w:rPr>
        <w:t xml:space="preserve"> (minimálne </w:t>
      </w:r>
      <w:r>
        <w:rPr>
          <w:rFonts w:asciiTheme="majorHAnsi" w:hAnsiTheme="majorHAnsi"/>
          <w:szCs w:val="22"/>
        </w:rPr>
        <w:t>a</w:t>
      </w:r>
      <w:r w:rsidRPr="00A11FE0">
        <w:rPr>
          <w:rFonts w:asciiTheme="majorHAnsi" w:hAnsiTheme="majorHAnsi"/>
          <w:szCs w:val="22"/>
        </w:rPr>
        <w:t>ngli</w:t>
      </w:r>
      <w:r>
        <w:rPr>
          <w:rFonts w:asciiTheme="majorHAnsi" w:hAnsiTheme="majorHAnsi"/>
          <w:szCs w:val="22"/>
        </w:rPr>
        <w:t>cký</w:t>
      </w:r>
      <w:r w:rsidRPr="00A11FE0">
        <w:rPr>
          <w:rFonts w:asciiTheme="majorHAnsi" w:hAnsiTheme="majorHAnsi"/>
          <w:szCs w:val="22"/>
        </w:rPr>
        <w:t xml:space="preserve"> </w:t>
      </w:r>
      <w:r>
        <w:rPr>
          <w:rFonts w:asciiTheme="majorHAnsi" w:hAnsiTheme="majorHAnsi"/>
          <w:szCs w:val="22"/>
        </w:rPr>
        <w:t>a s</w:t>
      </w:r>
      <w:r w:rsidRPr="00A11FE0">
        <w:rPr>
          <w:rFonts w:asciiTheme="majorHAnsi" w:hAnsiTheme="majorHAnsi"/>
          <w:szCs w:val="22"/>
        </w:rPr>
        <w:t>loven</w:t>
      </w:r>
      <w:r>
        <w:rPr>
          <w:rFonts w:asciiTheme="majorHAnsi" w:hAnsiTheme="majorHAnsi"/>
          <w:szCs w:val="22"/>
        </w:rPr>
        <w:t>ský jazyk</w:t>
      </w:r>
      <w:r w:rsidRPr="00A11FE0">
        <w:rPr>
          <w:rFonts w:asciiTheme="majorHAnsi" w:hAnsiTheme="majorHAnsi"/>
          <w:szCs w:val="22"/>
        </w:rPr>
        <w:t>).</w:t>
      </w:r>
    </w:p>
    <w:p w:rsidR="0021713D" w:rsidRPr="00A11FE0" w:rsidRDefault="0021713D" w:rsidP="0021713D">
      <w:pPr>
        <w:spacing w:after="0"/>
        <w:rPr>
          <w:rFonts w:asciiTheme="majorHAnsi" w:hAnsiTheme="majorHAnsi"/>
          <w:szCs w:val="22"/>
        </w:rPr>
      </w:pPr>
      <w:r w:rsidRPr="00A11FE0">
        <w:rPr>
          <w:rFonts w:asciiTheme="majorHAnsi" w:hAnsiTheme="majorHAnsi"/>
          <w:szCs w:val="22"/>
        </w:rPr>
        <w:t>Reporting je v </w:t>
      </w:r>
      <w:r>
        <w:rPr>
          <w:rFonts w:asciiTheme="majorHAnsi" w:hAnsiTheme="majorHAnsi"/>
          <w:szCs w:val="22"/>
        </w:rPr>
        <w:t>súčasnom</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 xml:space="preserve">ystéme ITMS rozpracovaný do širokej úrovne od </w:t>
      </w:r>
      <w:r>
        <w:rPr>
          <w:rFonts w:asciiTheme="majorHAnsi" w:hAnsiTheme="majorHAnsi"/>
          <w:szCs w:val="22"/>
        </w:rPr>
        <w:t>s</w:t>
      </w:r>
      <w:r w:rsidRPr="00A11FE0">
        <w:rPr>
          <w:rFonts w:asciiTheme="majorHAnsi" w:hAnsiTheme="majorHAnsi"/>
          <w:szCs w:val="22"/>
        </w:rPr>
        <w:t>tatických cez dynamické reporty</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ž </w:t>
      </w:r>
      <w:r>
        <w:rPr>
          <w:rFonts w:asciiTheme="majorHAnsi" w:hAnsiTheme="majorHAnsi"/>
          <w:szCs w:val="22"/>
        </w:rPr>
        <w:t>k</w:t>
      </w:r>
      <w:r w:rsidRPr="00A11FE0">
        <w:rPr>
          <w:rFonts w:asciiTheme="majorHAnsi" w:hAnsiTheme="majorHAnsi"/>
          <w:szCs w:val="22"/>
        </w:rPr>
        <w:t> nástrojom postavený</w:t>
      </w:r>
      <w:r>
        <w:rPr>
          <w:rFonts w:asciiTheme="majorHAnsi" w:hAnsiTheme="majorHAnsi"/>
          <w:szCs w:val="22"/>
        </w:rPr>
        <w:t>m</w:t>
      </w:r>
      <w:r w:rsidRPr="00A11FE0">
        <w:rPr>
          <w:rFonts w:asciiTheme="majorHAnsi" w:hAnsiTheme="majorHAnsi"/>
          <w:szCs w:val="22"/>
        </w:rPr>
        <w:t xml:space="preserve"> na OLAP technológii. I napriek tomu, nedostatočná štruktúrovanosť </w:t>
      </w:r>
      <w:r>
        <w:rPr>
          <w:rFonts w:asciiTheme="majorHAnsi" w:hAnsiTheme="majorHAnsi"/>
          <w:szCs w:val="22"/>
        </w:rPr>
        <w:t>a</w:t>
      </w:r>
      <w:r w:rsidRPr="00A11FE0">
        <w:rPr>
          <w:rFonts w:asciiTheme="majorHAnsi" w:hAnsiTheme="majorHAnsi"/>
          <w:szCs w:val="22"/>
        </w:rPr>
        <w:t xml:space="preserve"> vypovedacia </w:t>
      </w:r>
      <w:r>
        <w:rPr>
          <w:rFonts w:asciiTheme="majorHAnsi" w:hAnsiTheme="majorHAnsi"/>
          <w:szCs w:val="22"/>
        </w:rPr>
        <w:t>s</w:t>
      </w:r>
      <w:r w:rsidRPr="00A11FE0">
        <w:rPr>
          <w:rFonts w:asciiTheme="majorHAnsi" w:hAnsiTheme="majorHAnsi"/>
          <w:szCs w:val="22"/>
        </w:rPr>
        <w:t xml:space="preserve">chopnosť dát limituje </w:t>
      </w:r>
      <w:r>
        <w:rPr>
          <w:rFonts w:asciiTheme="majorHAnsi" w:hAnsiTheme="majorHAnsi"/>
          <w:szCs w:val="22"/>
        </w:rPr>
        <w:t>s</w:t>
      </w:r>
      <w:r w:rsidRPr="00A11FE0">
        <w:rPr>
          <w:rFonts w:asciiTheme="majorHAnsi" w:hAnsiTheme="majorHAnsi"/>
          <w:szCs w:val="22"/>
        </w:rPr>
        <w:t xml:space="preserve">účasný </w:t>
      </w:r>
      <w:r>
        <w:rPr>
          <w:rFonts w:asciiTheme="majorHAnsi" w:hAnsiTheme="majorHAnsi"/>
          <w:szCs w:val="22"/>
        </w:rPr>
        <w:t>s</w:t>
      </w:r>
      <w:r w:rsidRPr="00A11FE0">
        <w:rPr>
          <w:rFonts w:asciiTheme="majorHAnsi" w:hAnsiTheme="majorHAnsi"/>
          <w:szCs w:val="22"/>
        </w:rPr>
        <w:t xml:space="preserve">tav reportingu v ITMS. </w:t>
      </w:r>
      <w:r>
        <w:rPr>
          <w:rFonts w:asciiTheme="majorHAnsi" w:hAnsiTheme="majorHAnsi"/>
          <w:szCs w:val="22"/>
        </w:rPr>
        <w:t>Medzi d</w:t>
      </w:r>
      <w:r w:rsidRPr="00A11FE0">
        <w:rPr>
          <w:rFonts w:asciiTheme="majorHAnsi" w:hAnsiTheme="majorHAnsi"/>
          <w:szCs w:val="22"/>
        </w:rPr>
        <w:t>ôležit</w:t>
      </w:r>
      <w:r>
        <w:rPr>
          <w:rFonts w:asciiTheme="majorHAnsi" w:hAnsiTheme="majorHAnsi"/>
          <w:szCs w:val="22"/>
        </w:rPr>
        <w:t>é</w:t>
      </w:r>
      <w:r w:rsidRPr="00A11FE0">
        <w:rPr>
          <w:rFonts w:asciiTheme="majorHAnsi" w:hAnsiTheme="majorHAnsi"/>
          <w:szCs w:val="22"/>
        </w:rPr>
        <w:t xml:space="preserve"> </w:t>
      </w:r>
      <w:r>
        <w:rPr>
          <w:rFonts w:asciiTheme="majorHAnsi" w:hAnsiTheme="majorHAnsi"/>
          <w:szCs w:val="22"/>
        </w:rPr>
        <w:t>as</w:t>
      </w:r>
      <w:r w:rsidRPr="00A11FE0">
        <w:rPr>
          <w:rFonts w:asciiTheme="majorHAnsi" w:hAnsiTheme="majorHAnsi"/>
          <w:szCs w:val="22"/>
        </w:rPr>
        <w:t>pekt</w:t>
      </w:r>
      <w:r>
        <w:rPr>
          <w:rFonts w:asciiTheme="majorHAnsi" w:hAnsiTheme="majorHAnsi"/>
          <w:szCs w:val="22"/>
        </w:rPr>
        <w:t>y</w:t>
      </w:r>
      <w:r w:rsidRPr="00A11FE0">
        <w:rPr>
          <w:rFonts w:asciiTheme="majorHAnsi" w:hAnsiTheme="majorHAnsi"/>
          <w:szCs w:val="22"/>
        </w:rPr>
        <w:t xml:space="preserve">, </w:t>
      </w:r>
      <w:r>
        <w:rPr>
          <w:rFonts w:asciiTheme="majorHAnsi" w:hAnsiTheme="majorHAnsi"/>
          <w:szCs w:val="22"/>
        </w:rPr>
        <w:t>k</w:t>
      </w:r>
      <w:r w:rsidRPr="00A11FE0">
        <w:rPr>
          <w:rFonts w:asciiTheme="majorHAnsi" w:hAnsiTheme="majorHAnsi"/>
          <w:szCs w:val="22"/>
        </w:rPr>
        <w:t xml:space="preserve">torých úprava prispeje </w:t>
      </w:r>
      <w:r>
        <w:rPr>
          <w:rFonts w:asciiTheme="majorHAnsi" w:hAnsiTheme="majorHAnsi"/>
          <w:szCs w:val="22"/>
        </w:rPr>
        <w:t>k</w:t>
      </w:r>
      <w:r w:rsidRPr="00A11FE0">
        <w:rPr>
          <w:rFonts w:asciiTheme="majorHAnsi" w:hAnsiTheme="majorHAnsi"/>
          <w:szCs w:val="22"/>
        </w:rPr>
        <w:t> vyššej vypovedacej hodnote</w:t>
      </w:r>
      <w:r>
        <w:rPr>
          <w:rFonts w:asciiTheme="majorHAnsi" w:hAnsiTheme="majorHAnsi"/>
          <w:szCs w:val="22"/>
        </w:rPr>
        <w:t xml:space="preserve"> patrí</w:t>
      </w:r>
      <w:r w:rsidRPr="00A11FE0">
        <w:rPr>
          <w:rFonts w:asciiTheme="majorHAnsi" w:hAnsiTheme="majorHAnsi"/>
          <w:szCs w:val="22"/>
        </w:rPr>
        <w:t>:</w:t>
      </w:r>
    </w:p>
    <w:p w:rsidR="0021713D" w:rsidRPr="00A11FE0" w:rsidRDefault="0021713D" w:rsidP="009B7C77">
      <w:pPr>
        <w:pStyle w:val="Odsekzoznamu"/>
        <w:numPr>
          <w:ilvl w:val="0"/>
          <w:numId w:val="36"/>
        </w:numPr>
        <w:spacing w:before="0" w:after="0"/>
        <w:ind w:left="567"/>
        <w:rPr>
          <w:rFonts w:asciiTheme="majorHAnsi" w:hAnsiTheme="majorHAnsi"/>
          <w:szCs w:val="22"/>
        </w:rPr>
      </w:pPr>
      <w:r w:rsidRPr="00A11FE0">
        <w:rPr>
          <w:rFonts w:asciiTheme="majorHAnsi" w:hAnsiTheme="majorHAnsi"/>
          <w:szCs w:val="22"/>
        </w:rPr>
        <w:t>úprava logického modelu dát,</w:t>
      </w:r>
    </w:p>
    <w:p w:rsidR="0021713D" w:rsidRPr="00A11FE0" w:rsidRDefault="0021713D" w:rsidP="009B7C77">
      <w:pPr>
        <w:pStyle w:val="Odsekzoznamu"/>
        <w:numPr>
          <w:ilvl w:val="0"/>
          <w:numId w:val="36"/>
        </w:numPr>
        <w:spacing w:before="0" w:after="0"/>
        <w:ind w:left="567"/>
        <w:rPr>
          <w:rFonts w:asciiTheme="majorHAnsi" w:hAnsiTheme="majorHAnsi"/>
          <w:szCs w:val="22"/>
        </w:rPr>
      </w:pPr>
      <w:r w:rsidRPr="00A11FE0">
        <w:rPr>
          <w:rFonts w:asciiTheme="majorHAnsi" w:hAnsiTheme="majorHAnsi"/>
          <w:szCs w:val="22"/>
        </w:rPr>
        <w:t xml:space="preserve">úprava reportov </w:t>
      </w:r>
      <w:r>
        <w:rPr>
          <w:rFonts w:asciiTheme="majorHAnsi" w:hAnsiTheme="majorHAnsi"/>
          <w:szCs w:val="22"/>
        </w:rPr>
        <w:t>s</w:t>
      </w:r>
      <w:r w:rsidRPr="00A11FE0">
        <w:rPr>
          <w:rFonts w:asciiTheme="majorHAnsi" w:hAnsiTheme="majorHAnsi"/>
          <w:szCs w:val="22"/>
        </w:rPr>
        <w:t xml:space="preserve"> vyššou pridanou hodnotou do </w:t>
      </w:r>
      <w:r>
        <w:rPr>
          <w:rFonts w:asciiTheme="majorHAnsi" w:hAnsiTheme="majorHAnsi"/>
          <w:szCs w:val="22"/>
        </w:rPr>
        <w:t>s</w:t>
      </w:r>
      <w:r w:rsidRPr="00A11FE0">
        <w:rPr>
          <w:rFonts w:asciiTheme="majorHAnsi" w:hAnsiTheme="majorHAnsi"/>
          <w:szCs w:val="22"/>
        </w:rPr>
        <w:t xml:space="preserve">tavu, </w:t>
      </w:r>
      <w:r>
        <w:rPr>
          <w:rFonts w:asciiTheme="majorHAnsi" w:hAnsiTheme="majorHAnsi"/>
          <w:szCs w:val="22"/>
        </w:rPr>
        <w:t>k</w:t>
      </w:r>
      <w:r w:rsidRPr="00A11FE0">
        <w:rPr>
          <w:rFonts w:asciiTheme="majorHAnsi" w:hAnsiTheme="majorHAnsi"/>
          <w:szCs w:val="22"/>
        </w:rPr>
        <w:t xml:space="preserve">de používateľ bude môcť ovplyvňovať viac faktorov, </w:t>
      </w:r>
      <w:r>
        <w:rPr>
          <w:rFonts w:asciiTheme="majorHAnsi" w:hAnsiTheme="majorHAnsi"/>
          <w:szCs w:val="22"/>
        </w:rPr>
        <w:t>k</w:t>
      </w:r>
      <w:r w:rsidRPr="00A11FE0">
        <w:rPr>
          <w:rFonts w:asciiTheme="majorHAnsi" w:hAnsiTheme="majorHAnsi"/>
          <w:szCs w:val="22"/>
        </w:rPr>
        <w:t xml:space="preserve">toré vedú </w:t>
      </w:r>
      <w:r>
        <w:rPr>
          <w:rFonts w:asciiTheme="majorHAnsi" w:hAnsiTheme="majorHAnsi"/>
          <w:szCs w:val="22"/>
        </w:rPr>
        <w:t>k</w:t>
      </w:r>
      <w:r w:rsidRPr="00A11FE0">
        <w:rPr>
          <w:rFonts w:asciiTheme="majorHAnsi" w:hAnsiTheme="majorHAnsi"/>
          <w:szCs w:val="22"/>
        </w:rPr>
        <w:t xml:space="preserve">u </w:t>
      </w:r>
      <w:r>
        <w:rPr>
          <w:rFonts w:asciiTheme="majorHAnsi" w:hAnsiTheme="majorHAnsi"/>
          <w:szCs w:val="22"/>
        </w:rPr>
        <w:t>k</w:t>
      </w:r>
      <w:r w:rsidRPr="00A11FE0">
        <w:rPr>
          <w:rFonts w:asciiTheme="majorHAnsi" w:hAnsiTheme="majorHAnsi"/>
          <w:szCs w:val="22"/>
        </w:rPr>
        <w:t>orektnému výsledku, t.</w:t>
      </w:r>
      <w:r>
        <w:rPr>
          <w:rFonts w:asciiTheme="majorHAnsi" w:hAnsiTheme="majorHAnsi"/>
          <w:szCs w:val="22"/>
        </w:rPr>
        <w:t xml:space="preserve"> </w:t>
      </w:r>
      <w:r w:rsidRPr="00A11FE0">
        <w:rPr>
          <w:rFonts w:asciiTheme="majorHAnsi" w:hAnsiTheme="majorHAnsi"/>
          <w:szCs w:val="22"/>
        </w:rPr>
        <w:t xml:space="preserve">j. </w:t>
      </w:r>
      <w:r>
        <w:rPr>
          <w:rFonts w:asciiTheme="majorHAnsi" w:hAnsiTheme="majorHAnsi"/>
          <w:szCs w:val="22"/>
        </w:rPr>
        <w:t>a</w:t>
      </w:r>
      <w:r w:rsidRPr="00A11FE0">
        <w:rPr>
          <w:rFonts w:asciiTheme="majorHAnsi" w:hAnsiTheme="majorHAnsi"/>
          <w:szCs w:val="22"/>
        </w:rPr>
        <w:t xml:space="preserve">plikácia minimalizuje dopady chýb používateľa pri vytváraní </w:t>
      </w:r>
      <w:r>
        <w:rPr>
          <w:rFonts w:asciiTheme="majorHAnsi" w:hAnsiTheme="majorHAnsi"/>
          <w:szCs w:val="22"/>
        </w:rPr>
        <w:t>a</w:t>
      </w:r>
      <w:r w:rsidRPr="00A11FE0">
        <w:rPr>
          <w:rFonts w:asciiTheme="majorHAnsi" w:hAnsiTheme="majorHAnsi"/>
          <w:szCs w:val="22"/>
        </w:rPr>
        <w:t xml:space="preserve">nalýz </w:t>
      </w:r>
      <w:r>
        <w:rPr>
          <w:rFonts w:asciiTheme="majorHAnsi" w:hAnsiTheme="majorHAnsi"/>
          <w:szCs w:val="22"/>
        </w:rPr>
        <w:t>a</w:t>
      </w:r>
      <w:r w:rsidRPr="00A11FE0">
        <w:rPr>
          <w:rFonts w:asciiTheme="majorHAnsi" w:hAnsiTheme="majorHAnsi"/>
          <w:szCs w:val="22"/>
        </w:rPr>
        <w:t> štatistických prehľadov,</w:t>
      </w:r>
    </w:p>
    <w:p w:rsidR="0021713D" w:rsidRPr="00A11FE0" w:rsidRDefault="0021713D" w:rsidP="009B7C77">
      <w:pPr>
        <w:pStyle w:val="Odsekzoznamu"/>
        <w:numPr>
          <w:ilvl w:val="0"/>
          <w:numId w:val="36"/>
        </w:numPr>
        <w:spacing w:before="0" w:after="0"/>
        <w:ind w:left="567"/>
        <w:rPr>
          <w:rFonts w:asciiTheme="majorHAnsi" w:hAnsiTheme="majorHAnsi"/>
          <w:szCs w:val="22"/>
        </w:rPr>
      </w:pPr>
      <w:r w:rsidRPr="00A11FE0">
        <w:rPr>
          <w:rFonts w:asciiTheme="majorHAnsi" w:hAnsiTheme="majorHAnsi"/>
          <w:szCs w:val="22"/>
        </w:rPr>
        <w:t xml:space="preserve">úprava používateľského rozhrania pre prácu </w:t>
      </w:r>
      <w:r>
        <w:rPr>
          <w:rFonts w:asciiTheme="majorHAnsi" w:hAnsiTheme="majorHAnsi"/>
          <w:szCs w:val="22"/>
        </w:rPr>
        <w:t>s</w:t>
      </w:r>
      <w:r w:rsidRPr="00A11FE0">
        <w:rPr>
          <w:rFonts w:asciiTheme="majorHAnsi" w:hAnsiTheme="majorHAnsi"/>
          <w:szCs w:val="22"/>
        </w:rPr>
        <w:t xml:space="preserve"> OLAP </w:t>
      </w:r>
      <w:r>
        <w:rPr>
          <w:rFonts w:asciiTheme="majorHAnsi" w:hAnsiTheme="majorHAnsi"/>
          <w:szCs w:val="22"/>
        </w:rPr>
        <w:t>k</w:t>
      </w:r>
      <w:r w:rsidRPr="00A11FE0">
        <w:rPr>
          <w:rFonts w:asciiTheme="majorHAnsi" w:hAnsiTheme="majorHAnsi"/>
          <w:szCs w:val="22"/>
        </w:rPr>
        <w:t xml:space="preserve">ockami </w:t>
      </w:r>
      <w:r>
        <w:rPr>
          <w:rFonts w:asciiTheme="majorHAnsi" w:hAnsiTheme="majorHAnsi"/>
          <w:szCs w:val="22"/>
        </w:rPr>
        <w:t xml:space="preserve">a </w:t>
      </w:r>
      <w:r w:rsidRPr="00A11FE0">
        <w:rPr>
          <w:rFonts w:asciiTheme="majorHAnsi" w:hAnsiTheme="majorHAnsi"/>
          <w:szCs w:val="22"/>
        </w:rPr>
        <w:t xml:space="preserve">pre jednoduché, intuitívne vytváranie </w:t>
      </w:r>
      <w:r>
        <w:rPr>
          <w:rFonts w:asciiTheme="majorHAnsi" w:hAnsiTheme="majorHAnsi"/>
          <w:szCs w:val="22"/>
        </w:rPr>
        <w:t>a</w:t>
      </w:r>
      <w:r w:rsidRPr="00A11FE0">
        <w:rPr>
          <w:rFonts w:asciiTheme="majorHAnsi" w:hAnsiTheme="majorHAnsi"/>
          <w:szCs w:val="22"/>
        </w:rPr>
        <w:t xml:space="preserve">nalýz </w:t>
      </w:r>
      <w:r>
        <w:rPr>
          <w:rFonts w:asciiTheme="majorHAnsi" w:hAnsiTheme="majorHAnsi"/>
          <w:szCs w:val="22"/>
        </w:rPr>
        <w:t>a</w:t>
      </w:r>
      <w:r w:rsidRPr="00A11FE0">
        <w:rPr>
          <w:rFonts w:asciiTheme="majorHAnsi" w:hAnsiTheme="majorHAnsi"/>
          <w:szCs w:val="22"/>
        </w:rPr>
        <w:t> štatistických prehľadov,</w:t>
      </w:r>
    </w:p>
    <w:p w:rsidR="0021713D" w:rsidRPr="00A11FE0" w:rsidRDefault="0021713D" w:rsidP="009B7C77">
      <w:pPr>
        <w:pStyle w:val="Odsekzoznamu"/>
        <w:numPr>
          <w:ilvl w:val="0"/>
          <w:numId w:val="36"/>
        </w:numPr>
        <w:spacing w:before="0" w:after="0"/>
        <w:ind w:left="567"/>
        <w:rPr>
          <w:rFonts w:asciiTheme="majorHAnsi" w:hAnsiTheme="majorHAnsi"/>
          <w:szCs w:val="22"/>
        </w:rPr>
      </w:pPr>
      <w:r w:rsidRPr="00A11FE0">
        <w:rPr>
          <w:rFonts w:asciiTheme="majorHAnsi" w:hAnsiTheme="majorHAnsi"/>
          <w:szCs w:val="22"/>
        </w:rPr>
        <w:t xml:space="preserve">zavedenie myšlienky ukladania šablón používateľom definovaných reportov </w:t>
      </w:r>
      <w:r>
        <w:rPr>
          <w:rFonts w:asciiTheme="majorHAnsi" w:hAnsiTheme="majorHAnsi"/>
          <w:szCs w:val="22"/>
        </w:rPr>
        <w:t>a</w:t>
      </w:r>
      <w:r w:rsidRPr="00A11FE0">
        <w:rPr>
          <w:rFonts w:asciiTheme="majorHAnsi" w:hAnsiTheme="majorHAnsi"/>
          <w:szCs w:val="22"/>
        </w:rPr>
        <w:t xml:space="preserve"> prehľadov,</w:t>
      </w:r>
    </w:p>
    <w:p w:rsidR="0021713D" w:rsidRPr="00A11FE0" w:rsidRDefault="0021713D" w:rsidP="009B7C77">
      <w:pPr>
        <w:pStyle w:val="Odsekzoznamu"/>
        <w:numPr>
          <w:ilvl w:val="0"/>
          <w:numId w:val="36"/>
        </w:numPr>
        <w:spacing w:before="0"/>
        <w:ind w:left="567"/>
        <w:rPr>
          <w:rFonts w:asciiTheme="majorHAnsi" w:hAnsiTheme="majorHAnsi"/>
          <w:szCs w:val="22"/>
        </w:rPr>
      </w:pPr>
      <w:r w:rsidRPr="00A11FE0">
        <w:rPr>
          <w:rFonts w:asciiTheme="majorHAnsi" w:hAnsiTheme="majorHAnsi"/>
          <w:szCs w:val="22"/>
        </w:rPr>
        <w:t xml:space="preserve">úprava </w:t>
      </w:r>
      <w:r>
        <w:rPr>
          <w:rFonts w:asciiTheme="majorHAnsi" w:hAnsiTheme="majorHAnsi"/>
          <w:szCs w:val="22"/>
        </w:rPr>
        <w:t>s</w:t>
      </w:r>
      <w:r w:rsidRPr="00A11FE0">
        <w:rPr>
          <w:rFonts w:asciiTheme="majorHAnsi" w:hAnsiTheme="majorHAnsi"/>
          <w:szCs w:val="22"/>
        </w:rPr>
        <w:t xml:space="preserve">ofistikovaných výstupov do podoby, </w:t>
      </w:r>
      <w:r>
        <w:rPr>
          <w:rFonts w:asciiTheme="majorHAnsi" w:hAnsiTheme="majorHAnsi"/>
          <w:szCs w:val="22"/>
        </w:rPr>
        <w:t>k</w:t>
      </w:r>
      <w:r w:rsidRPr="00A11FE0">
        <w:rPr>
          <w:rFonts w:asciiTheme="majorHAnsi" w:hAnsiTheme="majorHAnsi"/>
          <w:szCs w:val="22"/>
        </w:rPr>
        <w:t xml:space="preserve">torá bude obsahovať </w:t>
      </w:r>
      <w:r>
        <w:rPr>
          <w:rFonts w:asciiTheme="majorHAnsi" w:hAnsiTheme="majorHAnsi"/>
          <w:szCs w:val="22"/>
        </w:rPr>
        <w:t>a</w:t>
      </w:r>
      <w:r w:rsidRPr="00A11FE0">
        <w:rPr>
          <w:rFonts w:asciiTheme="majorHAnsi" w:hAnsiTheme="majorHAnsi"/>
          <w:szCs w:val="22"/>
        </w:rPr>
        <w:t xml:space="preserve">j tzv. vizuálny databázový model extrahovaných dát pre lepšie pochopenie </w:t>
      </w:r>
      <w:r>
        <w:rPr>
          <w:rFonts w:asciiTheme="majorHAnsi" w:hAnsiTheme="majorHAnsi"/>
          <w:szCs w:val="22"/>
        </w:rPr>
        <w:t>a</w:t>
      </w:r>
      <w:r w:rsidRPr="00A11FE0">
        <w:rPr>
          <w:rFonts w:asciiTheme="majorHAnsi" w:hAnsiTheme="majorHAnsi"/>
          <w:szCs w:val="22"/>
        </w:rPr>
        <w:t>nalyzovanej domény/oblasti.</w:t>
      </w:r>
    </w:p>
    <w:p w:rsidR="0021713D" w:rsidRPr="00A11FE0" w:rsidRDefault="0021713D" w:rsidP="0021713D">
      <w:pPr>
        <w:spacing w:after="0"/>
        <w:rPr>
          <w:rFonts w:asciiTheme="majorHAnsi" w:hAnsiTheme="majorHAnsi"/>
          <w:szCs w:val="22"/>
        </w:rPr>
      </w:pPr>
      <w:r w:rsidRPr="00A11FE0">
        <w:rPr>
          <w:rFonts w:asciiTheme="majorHAnsi" w:hAnsiTheme="majorHAnsi"/>
          <w:szCs w:val="22"/>
        </w:rPr>
        <w:t xml:space="preserve">Proprietárny workflow mechanizmus v ITMS </w:t>
      </w:r>
      <w:r>
        <w:rPr>
          <w:rFonts w:asciiTheme="majorHAnsi" w:hAnsiTheme="majorHAnsi"/>
          <w:szCs w:val="22"/>
        </w:rPr>
        <w:t>s</w:t>
      </w:r>
      <w:r w:rsidRPr="00A11FE0">
        <w:rPr>
          <w:rFonts w:asciiTheme="majorHAnsi" w:hAnsiTheme="majorHAnsi"/>
          <w:szCs w:val="22"/>
        </w:rPr>
        <w:t>a dostáva v </w:t>
      </w:r>
      <w:r>
        <w:rPr>
          <w:rFonts w:asciiTheme="majorHAnsi" w:hAnsiTheme="majorHAnsi"/>
          <w:szCs w:val="22"/>
        </w:rPr>
        <w:t>s</w:t>
      </w:r>
      <w:r w:rsidRPr="00A11FE0">
        <w:rPr>
          <w:rFonts w:asciiTheme="majorHAnsi" w:hAnsiTheme="majorHAnsi"/>
          <w:szCs w:val="22"/>
        </w:rPr>
        <w:t xml:space="preserve">účasných nárokoch na škálovateľnosť, funkčnosť </w:t>
      </w:r>
      <w:r>
        <w:rPr>
          <w:rFonts w:asciiTheme="majorHAnsi" w:hAnsiTheme="majorHAnsi"/>
          <w:szCs w:val="22"/>
        </w:rPr>
        <w:t>a</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uditovateľnosť </w:t>
      </w:r>
      <w:r>
        <w:rPr>
          <w:rFonts w:asciiTheme="majorHAnsi" w:hAnsiTheme="majorHAnsi"/>
          <w:szCs w:val="22"/>
        </w:rPr>
        <w:t>s</w:t>
      </w:r>
      <w:r w:rsidRPr="00A11FE0">
        <w:rPr>
          <w:rFonts w:asciiTheme="majorHAnsi" w:hAnsiTheme="majorHAnsi"/>
          <w:szCs w:val="22"/>
        </w:rPr>
        <w:t xml:space="preserve">ystému implementácie ŠF </w:t>
      </w:r>
      <w:r>
        <w:rPr>
          <w:rFonts w:asciiTheme="majorHAnsi" w:hAnsiTheme="majorHAnsi"/>
          <w:szCs w:val="22"/>
        </w:rPr>
        <w:t>a K</w:t>
      </w:r>
      <w:r w:rsidRPr="00A11FE0">
        <w:rPr>
          <w:rFonts w:asciiTheme="majorHAnsi" w:hAnsiTheme="majorHAnsi"/>
          <w:szCs w:val="22"/>
        </w:rPr>
        <w:t xml:space="preserve">F na hranu </w:t>
      </w:r>
      <w:r>
        <w:rPr>
          <w:rFonts w:asciiTheme="majorHAnsi" w:hAnsiTheme="majorHAnsi"/>
          <w:szCs w:val="22"/>
        </w:rPr>
        <w:t>s</w:t>
      </w:r>
      <w:r w:rsidRPr="00A11FE0">
        <w:rPr>
          <w:rFonts w:asciiTheme="majorHAnsi" w:hAnsiTheme="majorHAnsi"/>
          <w:szCs w:val="22"/>
        </w:rPr>
        <w:t xml:space="preserve">vojich možností. Modifikáciou </w:t>
      </w:r>
      <w:r>
        <w:rPr>
          <w:rFonts w:asciiTheme="majorHAnsi" w:hAnsiTheme="majorHAnsi"/>
          <w:szCs w:val="22"/>
        </w:rPr>
        <w:t>s</w:t>
      </w:r>
      <w:r w:rsidRPr="00A11FE0">
        <w:rPr>
          <w:rFonts w:asciiTheme="majorHAnsi" w:hAnsiTheme="majorHAnsi"/>
          <w:szCs w:val="22"/>
        </w:rPr>
        <w:t>a dosiahne </w:t>
      </w:r>
      <w:r>
        <w:rPr>
          <w:rFonts w:asciiTheme="majorHAnsi" w:hAnsiTheme="majorHAnsi"/>
          <w:szCs w:val="22"/>
        </w:rPr>
        <w:t>s</w:t>
      </w:r>
      <w:r w:rsidRPr="00A11FE0">
        <w:rPr>
          <w:rFonts w:asciiTheme="majorHAnsi" w:hAnsiTheme="majorHAnsi"/>
          <w:szCs w:val="22"/>
        </w:rPr>
        <w:t>pružnenie vybraných procesov definovaných v princípe e-</w:t>
      </w:r>
      <w:r>
        <w:rPr>
          <w:rFonts w:asciiTheme="majorHAnsi" w:hAnsiTheme="majorHAnsi"/>
          <w:szCs w:val="22"/>
        </w:rPr>
        <w:t>k</w:t>
      </w:r>
      <w:r w:rsidRPr="00A11FE0">
        <w:rPr>
          <w:rFonts w:asciiTheme="majorHAnsi" w:hAnsiTheme="majorHAnsi"/>
          <w:szCs w:val="22"/>
        </w:rPr>
        <w:t xml:space="preserve">ohézie </w:t>
      </w:r>
      <w:r>
        <w:rPr>
          <w:rFonts w:asciiTheme="majorHAnsi" w:hAnsiTheme="majorHAnsi"/>
          <w:szCs w:val="22"/>
        </w:rPr>
        <w:t>a </w:t>
      </w:r>
      <w:r w:rsidRPr="00A11FE0">
        <w:rPr>
          <w:rFonts w:asciiTheme="majorHAnsi" w:hAnsiTheme="majorHAnsi"/>
          <w:szCs w:val="22"/>
        </w:rPr>
        <w:t xml:space="preserve">v zákone o e-Governmente, </w:t>
      </w:r>
      <w:r>
        <w:rPr>
          <w:rFonts w:asciiTheme="majorHAnsi" w:hAnsiTheme="majorHAnsi"/>
          <w:szCs w:val="22"/>
        </w:rPr>
        <w:t>a </w:t>
      </w:r>
      <w:r w:rsidRPr="00A11FE0">
        <w:rPr>
          <w:rFonts w:asciiTheme="majorHAnsi" w:hAnsiTheme="majorHAnsi"/>
          <w:szCs w:val="22"/>
        </w:rPr>
        <w:t>to hlavne v</w:t>
      </w:r>
      <w:r>
        <w:rPr>
          <w:rFonts w:asciiTheme="majorHAnsi" w:hAnsiTheme="majorHAnsi"/>
          <w:szCs w:val="22"/>
        </w:rPr>
        <w:t xml:space="preserve"> častiach </w:t>
      </w:r>
      <w:r w:rsidRPr="00A11FE0">
        <w:rPr>
          <w:rFonts w:asciiTheme="majorHAnsi" w:hAnsiTheme="majorHAnsi"/>
          <w:szCs w:val="22"/>
        </w:rPr>
        <w:t xml:space="preserve">týkajúcich </w:t>
      </w:r>
      <w:r>
        <w:rPr>
          <w:rFonts w:asciiTheme="majorHAnsi" w:hAnsiTheme="majorHAnsi"/>
          <w:szCs w:val="22"/>
        </w:rPr>
        <w:t>s</w:t>
      </w:r>
      <w:r w:rsidRPr="00A11FE0">
        <w:rPr>
          <w:rFonts w:asciiTheme="majorHAnsi" w:hAnsiTheme="majorHAnsi"/>
          <w:szCs w:val="22"/>
        </w:rPr>
        <w:t xml:space="preserve">a požiadavky </w:t>
      </w:r>
      <w:r w:rsidRPr="00A11FE0">
        <w:rPr>
          <w:rFonts w:asciiTheme="majorHAnsi" w:hAnsiTheme="majorHAnsi"/>
          <w:i/>
          <w:szCs w:val="22"/>
        </w:rPr>
        <w:t>Interoperability,</w:t>
      </w:r>
      <w:r w:rsidRPr="00A11FE0">
        <w:rPr>
          <w:rFonts w:asciiTheme="majorHAnsi" w:hAnsiTheme="majorHAnsi"/>
          <w:szCs w:val="22"/>
        </w:rPr>
        <w:t xml:space="preserve"> resp. integrácie ITMS </w:t>
      </w:r>
      <w:r>
        <w:rPr>
          <w:rFonts w:asciiTheme="majorHAnsi" w:hAnsiTheme="majorHAnsi"/>
          <w:szCs w:val="22"/>
        </w:rPr>
        <w:t>s</w:t>
      </w:r>
      <w:r w:rsidRPr="00A11FE0">
        <w:rPr>
          <w:rFonts w:asciiTheme="majorHAnsi" w:hAnsiTheme="majorHAnsi"/>
          <w:szCs w:val="22"/>
        </w:rPr>
        <w:t xml:space="preserve"> inými IS VS. Základné požiadavky na úpravu </w:t>
      </w:r>
      <w:r>
        <w:rPr>
          <w:rFonts w:asciiTheme="majorHAnsi" w:hAnsiTheme="majorHAnsi"/>
          <w:szCs w:val="22"/>
        </w:rPr>
        <w:t>s</w:t>
      </w:r>
      <w:r w:rsidRPr="00A11FE0">
        <w:rPr>
          <w:rFonts w:asciiTheme="majorHAnsi" w:hAnsiTheme="majorHAnsi"/>
          <w:szCs w:val="22"/>
        </w:rPr>
        <w:t>ú:</w:t>
      </w:r>
    </w:p>
    <w:p w:rsidR="0021713D" w:rsidRPr="00A11FE0" w:rsidRDefault="0021713D" w:rsidP="009B7C77">
      <w:pPr>
        <w:pStyle w:val="Odsekzoznamu"/>
        <w:numPr>
          <w:ilvl w:val="0"/>
          <w:numId w:val="38"/>
        </w:numPr>
        <w:tabs>
          <w:tab w:val="left" w:pos="567"/>
        </w:tabs>
        <w:spacing w:before="0" w:after="0"/>
        <w:ind w:left="567"/>
        <w:rPr>
          <w:rFonts w:asciiTheme="majorHAnsi" w:hAnsiTheme="majorHAnsi"/>
          <w:szCs w:val="22"/>
        </w:rPr>
      </w:pPr>
      <w:r w:rsidRPr="00A11FE0">
        <w:rPr>
          <w:rFonts w:asciiTheme="majorHAnsi" w:hAnsiTheme="majorHAnsi"/>
          <w:szCs w:val="22"/>
        </w:rPr>
        <w:t xml:space="preserve">úprava </w:t>
      </w:r>
      <w:r>
        <w:rPr>
          <w:rFonts w:asciiTheme="majorHAnsi" w:hAnsiTheme="majorHAnsi"/>
          <w:szCs w:val="22"/>
        </w:rPr>
        <w:t>s</w:t>
      </w:r>
      <w:r w:rsidRPr="00A11FE0">
        <w:rPr>
          <w:rFonts w:asciiTheme="majorHAnsi" w:hAnsiTheme="majorHAnsi"/>
          <w:szCs w:val="22"/>
        </w:rPr>
        <w:t xml:space="preserve">účasnej </w:t>
      </w:r>
      <w:r>
        <w:rPr>
          <w:rFonts w:asciiTheme="majorHAnsi" w:hAnsiTheme="majorHAnsi"/>
          <w:szCs w:val="22"/>
        </w:rPr>
        <w:t>s</w:t>
      </w:r>
      <w:r w:rsidRPr="00A11FE0">
        <w:rPr>
          <w:rFonts w:asciiTheme="majorHAnsi" w:hAnsiTheme="majorHAnsi"/>
          <w:szCs w:val="22"/>
        </w:rPr>
        <w:t xml:space="preserve">tatickej možnosti vytvárania workflowov do podoby </w:t>
      </w:r>
      <w:r>
        <w:rPr>
          <w:rFonts w:asciiTheme="majorHAnsi" w:hAnsiTheme="majorHAnsi"/>
          <w:szCs w:val="22"/>
        </w:rPr>
        <w:t>s</w:t>
      </w:r>
      <w:r w:rsidRPr="00A11FE0">
        <w:rPr>
          <w:rFonts w:asciiTheme="majorHAnsi" w:hAnsiTheme="majorHAnsi"/>
          <w:szCs w:val="22"/>
        </w:rPr>
        <w:t xml:space="preserve"> vyššou používateľskou interaktívnosťou – tzv. „drag </w:t>
      </w:r>
      <w:r>
        <w:rPr>
          <w:rFonts w:asciiTheme="majorHAnsi" w:hAnsiTheme="majorHAnsi"/>
          <w:szCs w:val="22"/>
        </w:rPr>
        <w:t>a</w:t>
      </w:r>
      <w:r w:rsidRPr="00A11FE0">
        <w:rPr>
          <w:rFonts w:asciiTheme="majorHAnsi" w:hAnsiTheme="majorHAnsi"/>
          <w:szCs w:val="22"/>
        </w:rPr>
        <w:t xml:space="preserve">nd drop“ </w:t>
      </w:r>
      <w:r>
        <w:rPr>
          <w:rFonts w:asciiTheme="majorHAnsi" w:hAnsiTheme="majorHAnsi"/>
          <w:szCs w:val="22"/>
        </w:rPr>
        <w:t>k</w:t>
      </w:r>
      <w:r w:rsidRPr="00A11FE0">
        <w:rPr>
          <w:rFonts w:asciiTheme="majorHAnsi" w:hAnsiTheme="majorHAnsi"/>
          <w:szCs w:val="22"/>
        </w:rPr>
        <w:t xml:space="preserve">onfigurátor workflowov. Takýto </w:t>
      </w:r>
      <w:r>
        <w:rPr>
          <w:rFonts w:asciiTheme="majorHAnsi" w:hAnsiTheme="majorHAnsi"/>
          <w:szCs w:val="22"/>
        </w:rPr>
        <w:t>k</w:t>
      </w:r>
      <w:r w:rsidRPr="00A11FE0">
        <w:rPr>
          <w:rFonts w:asciiTheme="majorHAnsi" w:hAnsiTheme="majorHAnsi"/>
          <w:szCs w:val="22"/>
        </w:rPr>
        <w:t xml:space="preserve">onfigurátor prinesie </w:t>
      </w:r>
      <w:r>
        <w:rPr>
          <w:rFonts w:asciiTheme="majorHAnsi" w:hAnsiTheme="majorHAnsi"/>
          <w:szCs w:val="22"/>
        </w:rPr>
        <w:t>a</w:t>
      </w:r>
      <w:r w:rsidRPr="00A11FE0">
        <w:rPr>
          <w:rFonts w:asciiTheme="majorHAnsi" w:hAnsiTheme="majorHAnsi"/>
          <w:szCs w:val="22"/>
        </w:rPr>
        <w:t xml:space="preserve">dministrátorom jednotlivých workflowov možnosť </w:t>
      </w:r>
      <w:r>
        <w:rPr>
          <w:rFonts w:asciiTheme="majorHAnsi" w:hAnsiTheme="majorHAnsi"/>
          <w:szCs w:val="22"/>
        </w:rPr>
        <w:t>navrhnutia</w:t>
      </w:r>
      <w:r w:rsidRPr="00A11FE0">
        <w:rPr>
          <w:rFonts w:asciiTheme="majorHAnsi" w:hAnsiTheme="majorHAnsi"/>
          <w:szCs w:val="22"/>
        </w:rPr>
        <w:t xml:space="preserve"> </w:t>
      </w:r>
      <w:r>
        <w:rPr>
          <w:rFonts w:asciiTheme="majorHAnsi" w:hAnsiTheme="majorHAnsi"/>
          <w:szCs w:val="22"/>
        </w:rPr>
        <w:t>a </w:t>
      </w:r>
      <w:r w:rsidRPr="00A11FE0">
        <w:rPr>
          <w:rFonts w:asciiTheme="majorHAnsi" w:hAnsiTheme="majorHAnsi"/>
          <w:szCs w:val="22"/>
        </w:rPr>
        <w:t xml:space="preserve">definovania jednotlivých </w:t>
      </w:r>
      <w:r>
        <w:rPr>
          <w:rFonts w:asciiTheme="majorHAnsi" w:hAnsiTheme="majorHAnsi"/>
          <w:szCs w:val="22"/>
        </w:rPr>
        <w:t>s</w:t>
      </w:r>
      <w:r w:rsidRPr="00A11FE0">
        <w:rPr>
          <w:rFonts w:asciiTheme="majorHAnsi" w:hAnsiTheme="majorHAnsi"/>
          <w:szCs w:val="22"/>
        </w:rPr>
        <w:t xml:space="preserve">tavov, fáz </w:t>
      </w:r>
      <w:r>
        <w:rPr>
          <w:rFonts w:asciiTheme="majorHAnsi" w:hAnsiTheme="majorHAnsi"/>
          <w:szCs w:val="22"/>
        </w:rPr>
        <w:t>a</w:t>
      </w:r>
      <w:r w:rsidRPr="00A11FE0">
        <w:rPr>
          <w:rFonts w:asciiTheme="majorHAnsi" w:hAnsiTheme="majorHAnsi"/>
          <w:szCs w:val="22"/>
        </w:rPr>
        <w:t> ich prechodov v graficko – interpretačnom nástroji,</w:t>
      </w:r>
    </w:p>
    <w:p w:rsidR="0021713D" w:rsidRPr="00A11FE0" w:rsidRDefault="0021713D" w:rsidP="009B7C77">
      <w:pPr>
        <w:pStyle w:val="Odsekzoznamu"/>
        <w:numPr>
          <w:ilvl w:val="0"/>
          <w:numId w:val="38"/>
        </w:numPr>
        <w:tabs>
          <w:tab w:val="left" w:pos="567"/>
        </w:tabs>
        <w:spacing w:before="0" w:after="0"/>
        <w:ind w:left="567"/>
        <w:rPr>
          <w:rFonts w:asciiTheme="majorHAnsi" w:hAnsiTheme="majorHAnsi"/>
          <w:szCs w:val="22"/>
        </w:rPr>
      </w:pPr>
      <w:r w:rsidRPr="00A11FE0">
        <w:rPr>
          <w:rFonts w:asciiTheme="majorHAnsi" w:hAnsiTheme="majorHAnsi"/>
          <w:szCs w:val="22"/>
        </w:rPr>
        <w:t xml:space="preserve">rozšírenie možností pre vytváranie </w:t>
      </w:r>
      <w:r>
        <w:rPr>
          <w:rFonts w:asciiTheme="majorHAnsi" w:hAnsiTheme="majorHAnsi"/>
          <w:szCs w:val="22"/>
        </w:rPr>
        <w:t>a</w:t>
      </w:r>
      <w:r w:rsidRPr="00A11FE0">
        <w:rPr>
          <w:rFonts w:asciiTheme="majorHAnsi" w:hAnsiTheme="majorHAnsi"/>
          <w:szCs w:val="22"/>
        </w:rPr>
        <w:t> </w:t>
      </w:r>
      <w:r>
        <w:rPr>
          <w:rFonts w:asciiTheme="majorHAnsi" w:hAnsiTheme="majorHAnsi"/>
          <w:szCs w:val="22"/>
        </w:rPr>
        <w:t>s</w:t>
      </w:r>
      <w:r w:rsidRPr="00A11FE0">
        <w:rPr>
          <w:rFonts w:asciiTheme="majorHAnsi" w:hAnsiTheme="majorHAnsi"/>
          <w:szCs w:val="22"/>
        </w:rPr>
        <w:t xml:space="preserve">právu prechodových polí </w:t>
      </w:r>
      <w:r>
        <w:rPr>
          <w:rFonts w:asciiTheme="majorHAnsi" w:hAnsiTheme="majorHAnsi"/>
          <w:szCs w:val="22"/>
        </w:rPr>
        <w:t>a</w:t>
      </w:r>
      <w:r w:rsidRPr="00A11FE0">
        <w:rPr>
          <w:rFonts w:asciiTheme="majorHAnsi" w:hAnsiTheme="majorHAnsi"/>
          <w:szCs w:val="22"/>
        </w:rPr>
        <w:t xml:space="preserve"> podmienok prechodu medzi dôležitými </w:t>
      </w:r>
      <w:r>
        <w:rPr>
          <w:rFonts w:asciiTheme="majorHAnsi" w:hAnsiTheme="majorHAnsi"/>
          <w:szCs w:val="22"/>
        </w:rPr>
        <w:t>s</w:t>
      </w:r>
      <w:r w:rsidRPr="00A11FE0">
        <w:rPr>
          <w:rFonts w:asciiTheme="majorHAnsi" w:hAnsiTheme="majorHAnsi"/>
          <w:szCs w:val="22"/>
        </w:rPr>
        <w:t>tavmi, resp. fázami workflowu,</w:t>
      </w:r>
    </w:p>
    <w:p w:rsidR="0021713D" w:rsidRPr="00A11FE0" w:rsidRDefault="0021713D" w:rsidP="009B7C77">
      <w:pPr>
        <w:pStyle w:val="Odsekzoznamu"/>
        <w:numPr>
          <w:ilvl w:val="0"/>
          <w:numId w:val="38"/>
        </w:numPr>
        <w:tabs>
          <w:tab w:val="left" w:pos="567"/>
        </w:tabs>
        <w:spacing w:before="0" w:after="0"/>
        <w:ind w:left="567"/>
        <w:rPr>
          <w:rFonts w:asciiTheme="majorHAnsi" w:hAnsiTheme="majorHAnsi"/>
          <w:szCs w:val="22"/>
        </w:rPr>
      </w:pPr>
      <w:r w:rsidRPr="00A11FE0">
        <w:rPr>
          <w:rFonts w:asciiTheme="majorHAnsi" w:hAnsiTheme="majorHAnsi"/>
          <w:szCs w:val="22"/>
        </w:rPr>
        <w:t xml:space="preserve">zjednodušenie vyvolania </w:t>
      </w:r>
      <w:r>
        <w:rPr>
          <w:rFonts w:asciiTheme="majorHAnsi" w:hAnsiTheme="majorHAnsi"/>
          <w:szCs w:val="22"/>
        </w:rPr>
        <w:t>a</w:t>
      </w:r>
      <w:r w:rsidRPr="00A11FE0">
        <w:rPr>
          <w:rFonts w:asciiTheme="majorHAnsi" w:hAnsiTheme="majorHAnsi"/>
          <w:szCs w:val="22"/>
        </w:rPr>
        <w:t xml:space="preserve">utomaticky vykonávaných </w:t>
      </w:r>
      <w:r>
        <w:rPr>
          <w:rFonts w:asciiTheme="majorHAnsi" w:hAnsiTheme="majorHAnsi"/>
          <w:szCs w:val="22"/>
        </w:rPr>
        <w:t>ak</w:t>
      </w:r>
      <w:r w:rsidRPr="00A11FE0">
        <w:rPr>
          <w:rFonts w:asciiTheme="majorHAnsi" w:hAnsiTheme="majorHAnsi"/>
          <w:szCs w:val="22"/>
        </w:rPr>
        <w:t xml:space="preserve">cií </w:t>
      </w:r>
      <w:r>
        <w:rPr>
          <w:rFonts w:asciiTheme="majorHAnsi" w:hAnsiTheme="majorHAnsi"/>
          <w:szCs w:val="22"/>
        </w:rPr>
        <w:t>s</w:t>
      </w:r>
      <w:r w:rsidRPr="00A11FE0">
        <w:rPr>
          <w:rFonts w:asciiTheme="majorHAnsi" w:hAnsiTheme="majorHAnsi"/>
          <w:szCs w:val="22"/>
        </w:rPr>
        <w:t xml:space="preserve">ystému ITMS2014+ pri posune objektu do určeného </w:t>
      </w:r>
      <w:r>
        <w:rPr>
          <w:rFonts w:asciiTheme="majorHAnsi" w:hAnsiTheme="majorHAnsi"/>
          <w:szCs w:val="22"/>
        </w:rPr>
        <w:t>s</w:t>
      </w:r>
      <w:r w:rsidRPr="00A11FE0">
        <w:rPr>
          <w:rFonts w:asciiTheme="majorHAnsi" w:hAnsiTheme="majorHAnsi"/>
          <w:szCs w:val="22"/>
        </w:rPr>
        <w:t>tavu, resp. fázy v rámci workflowu. Určit</w:t>
      </w:r>
      <w:r>
        <w:rPr>
          <w:rFonts w:asciiTheme="majorHAnsi" w:hAnsiTheme="majorHAnsi"/>
          <w:szCs w:val="22"/>
        </w:rPr>
        <w:t>ý súbor</w:t>
      </w:r>
      <w:r w:rsidRPr="00A11FE0">
        <w:rPr>
          <w:rFonts w:asciiTheme="majorHAnsi" w:hAnsiTheme="majorHAnsi"/>
          <w:szCs w:val="22"/>
        </w:rPr>
        <w:t xml:space="preserve"> prechodových </w:t>
      </w:r>
      <w:r>
        <w:rPr>
          <w:rFonts w:asciiTheme="majorHAnsi" w:hAnsiTheme="majorHAnsi"/>
          <w:szCs w:val="22"/>
        </w:rPr>
        <w:t>ak</w:t>
      </w:r>
      <w:r w:rsidRPr="00A11FE0">
        <w:rPr>
          <w:rFonts w:asciiTheme="majorHAnsi" w:hAnsiTheme="majorHAnsi"/>
          <w:szCs w:val="22"/>
        </w:rPr>
        <w:t>cií môže byť definovan</w:t>
      </w:r>
      <w:r>
        <w:rPr>
          <w:rFonts w:asciiTheme="majorHAnsi" w:hAnsiTheme="majorHAnsi"/>
          <w:szCs w:val="22"/>
        </w:rPr>
        <w:t>ý</w:t>
      </w:r>
      <w:r w:rsidRPr="00A11FE0">
        <w:rPr>
          <w:rFonts w:asciiTheme="majorHAnsi" w:hAnsiTheme="majorHAnsi"/>
          <w:szCs w:val="22"/>
        </w:rPr>
        <w:t xml:space="preserve"> priamo v ITMS2014+</w:t>
      </w:r>
      <w:r>
        <w:rPr>
          <w:rFonts w:asciiTheme="majorHAnsi" w:hAnsiTheme="majorHAnsi"/>
          <w:szCs w:val="22"/>
        </w:rPr>
        <w:t>,</w:t>
      </w:r>
      <w:r w:rsidRPr="00A11FE0">
        <w:rPr>
          <w:rFonts w:asciiTheme="majorHAnsi" w:hAnsiTheme="majorHAnsi"/>
          <w:szCs w:val="22"/>
        </w:rPr>
        <w:t xml:space="preserve"> bez potreby zmeny zdrojového </w:t>
      </w:r>
      <w:r>
        <w:rPr>
          <w:rFonts w:asciiTheme="majorHAnsi" w:hAnsiTheme="majorHAnsi"/>
          <w:szCs w:val="22"/>
        </w:rPr>
        <w:t>k</w:t>
      </w:r>
      <w:r w:rsidRPr="00A11FE0">
        <w:rPr>
          <w:rFonts w:asciiTheme="majorHAnsi" w:hAnsiTheme="majorHAnsi"/>
          <w:szCs w:val="22"/>
        </w:rPr>
        <w:t xml:space="preserve">ódu, resp. </w:t>
      </w:r>
      <w:r>
        <w:rPr>
          <w:rFonts w:asciiTheme="majorHAnsi" w:hAnsiTheme="majorHAnsi"/>
          <w:szCs w:val="22"/>
        </w:rPr>
        <w:t>s</w:t>
      </w:r>
      <w:r w:rsidRPr="00A11FE0">
        <w:rPr>
          <w:rFonts w:asciiTheme="majorHAnsi" w:hAnsiTheme="majorHAnsi"/>
          <w:szCs w:val="22"/>
        </w:rPr>
        <w:t xml:space="preserve">ervisného zásahu zo </w:t>
      </w:r>
      <w:r>
        <w:rPr>
          <w:rFonts w:asciiTheme="majorHAnsi" w:hAnsiTheme="majorHAnsi"/>
          <w:szCs w:val="22"/>
        </w:rPr>
        <w:t>s</w:t>
      </w:r>
      <w:r w:rsidRPr="00A11FE0">
        <w:rPr>
          <w:rFonts w:asciiTheme="majorHAnsi" w:hAnsiTheme="majorHAnsi"/>
          <w:szCs w:val="22"/>
        </w:rPr>
        <w:t xml:space="preserve">trany </w:t>
      </w:r>
      <w:r>
        <w:rPr>
          <w:rFonts w:asciiTheme="majorHAnsi" w:hAnsiTheme="majorHAnsi"/>
          <w:szCs w:val="22"/>
        </w:rPr>
        <w:t>vývojárov, ak</w:t>
      </w:r>
      <w:r w:rsidRPr="00A11FE0">
        <w:rPr>
          <w:rFonts w:asciiTheme="majorHAnsi" w:hAnsiTheme="majorHAnsi"/>
          <w:szCs w:val="22"/>
        </w:rPr>
        <w:t>o je tomu v </w:t>
      </w:r>
      <w:r>
        <w:rPr>
          <w:rFonts w:asciiTheme="majorHAnsi" w:hAnsiTheme="majorHAnsi"/>
          <w:szCs w:val="22"/>
        </w:rPr>
        <w:t>s</w:t>
      </w:r>
      <w:r w:rsidRPr="00A11FE0">
        <w:rPr>
          <w:rFonts w:asciiTheme="majorHAnsi" w:hAnsiTheme="majorHAnsi"/>
          <w:szCs w:val="22"/>
        </w:rPr>
        <w:t>účasnosti,</w:t>
      </w:r>
    </w:p>
    <w:p w:rsidR="0021713D" w:rsidRPr="00A11FE0" w:rsidRDefault="0021713D" w:rsidP="009B7C77">
      <w:pPr>
        <w:pStyle w:val="Odsekzoznamu"/>
        <w:numPr>
          <w:ilvl w:val="0"/>
          <w:numId w:val="38"/>
        </w:numPr>
        <w:tabs>
          <w:tab w:val="left" w:pos="567"/>
        </w:tabs>
        <w:spacing w:before="0" w:after="0"/>
        <w:ind w:left="567"/>
        <w:rPr>
          <w:rFonts w:asciiTheme="majorHAnsi" w:hAnsiTheme="majorHAnsi"/>
          <w:szCs w:val="22"/>
        </w:rPr>
      </w:pPr>
      <w:r w:rsidRPr="00A11FE0">
        <w:rPr>
          <w:rFonts w:asciiTheme="majorHAnsi" w:hAnsiTheme="majorHAnsi"/>
          <w:szCs w:val="22"/>
        </w:rPr>
        <w:t xml:space="preserve">dopracovanie funkcionalít na </w:t>
      </w:r>
      <w:r>
        <w:rPr>
          <w:rFonts w:asciiTheme="majorHAnsi" w:hAnsiTheme="majorHAnsi"/>
          <w:szCs w:val="22"/>
        </w:rPr>
        <w:t>s</w:t>
      </w:r>
      <w:r w:rsidRPr="00A11FE0">
        <w:rPr>
          <w:rFonts w:asciiTheme="majorHAnsi" w:hAnsiTheme="majorHAnsi"/>
          <w:szCs w:val="22"/>
        </w:rPr>
        <w:t xml:space="preserve">ledovanie dodržiavania definovaných leadtimeov, na úrovni procesu </w:t>
      </w:r>
      <w:r>
        <w:rPr>
          <w:rFonts w:asciiTheme="majorHAnsi" w:hAnsiTheme="majorHAnsi"/>
          <w:szCs w:val="22"/>
        </w:rPr>
        <w:t>ak</w:t>
      </w:r>
      <w:r w:rsidRPr="00A11FE0">
        <w:rPr>
          <w:rFonts w:asciiTheme="majorHAnsi" w:hAnsiTheme="majorHAnsi"/>
          <w:szCs w:val="22"/>
        </w:rPr>
        <w:t xml:space="preserve">o celku, na úrovni jednotlivých </w:t>
      </w:r>
      <w:r>
        <w:rPr>
          <w:rFonts w:asciiTheme="majorHAnsi" w:hAnsiTheme="majorHAnsi"/>
          <w:szCs w:val="22"/>
        </w:rPr>
        <w:t>s</w:t>
      </w:r>
      <w:r w:rsidRPr="00A11FE0">
        <w:rPr>
          <w:rFonts w:asciiTheme="majorHAnsi" w:hAnsiTheme="majorHAnsi"/>
          <w:szCs w:val="22"/>
        </w:rPr>
        <w:t xml:space="preserve">tavov </w:t>
      </w:r>
      <w:r>
        <w:rPr>
          <w:rFonts w:asciiTheme="majorHAnsi" w:hAnsiTheme="majorHAnsi"/>
          <w:szCs w:val="22"/>
        </w:rPr>
        <w:t>a</w:t>
      </w:r>
      <w:r w:rsidRPr="00A11FE0">
        <w:rPr>
          <w:rFonts w:asciiTheme="majorHAnsi" w:hAnsiTheme="majorHAnsi"/>
          <w:szCs w:val="22"/>
        </w:rPr>
        <w:t xml:space="preserve"> ľubovoľne definovaných </w:t>
      </w:r>
      <w:r>
        <w:rPr>
          <w:rFonts w:asciiTheme="majorHAnsi" w:hAnsiTheme="majorHAnsi"/>
          <w:szCs w:val="22"/>
        </w:rPr>
        <w:t>s</w:t>
      </w:r>
      <w:r w:rsidRPr="00A11FE0">
        <w:rPr>
          <w:rFonts w:asciiTheme="majorHAnsi" w:hAnsiTheme="majorHAnsi"/>
          <w:szCs w:val="22"/>
        </w:rPr>
        <w:t xml:space="preserve">kupín </w:t>
      </w:r>
      <w:r>
        <w:rPr>
          <w:rFonts w:asciiTheme="majorHAnsi" w:hAnsiTheme="majorHAnsi"/>
          <w:szCs w:val="22"/>
        </w:rPr>
        <w:t>s</w:t>
      </w:r>
      <w:r w:rsidRPr="00A11FE0">
        <w:rPr>
          <w:rFonts w:asciiTheme="majorHAnsi" w:hAnsiTheme="majorHAnsi"/>
          <w:szCs w:val="22"/>
        </w:rPr>
        <w:t xml:space="preserve">tavov. Procesy </w:t>
      </w:r>
      <w:r>
        <w:rPr>
          <w:rFonts w:asciiTheme="majorHAnsi" w:hAnsiTheme="majorHAnsi"/>
          <w:szCs w:val="22"/>
        </w:rPr>
        <w:t>a</w:t>
      </w:r>
      <w:r w:rsidRPr="00A11FE0">
        <w:rPr>
          <w:rFonts w:asciiTheme="majorHAnsi" w:hAnsiTheme="majorHAnsi"/>
          <w:szCs w:val="22"/>
        </w:rPr>
        <w:t xml:space="preserve"> jednotlivé </w:t>
      </w:r>
      <w:r>
        <w:rPr>
          <w:rFonts w:asciiTheme="majorHAnsi" w:hAnsiTheme="majorHAnsi"/>
          <w:szCs w:val="22"/>
        </w:rPr>
        <w:t>s</w:t>
      </w:r>
      <w:r w:rsidRPr="00A11FE0">
        <w:rPr>
          <w:rFonts w:asciiTheme="majorHAnsi" w:hAnsiTheme="majorHAnsi"/>
          <w:szCs w:val="22"/>
        </w:rPr>
        <w:t xml:space="preserve">tavy bude možné </w:t>
      </w:r>
      <w:r>
        <w:rPr>
          <w:rFonts w:asciiTheme="majorHAnsi" w:hAnsiTheme="majorHAnsi"/>
          <w:szCs w:val="22"/>
        </w:rPr>
        <w:t>s</w:t>
      </w:r>
      <w:r w:rsidRPr="00A11FE0">
        <w:rPr>
          <w:rFonts w:asciiTheme="majorHAnsi" w:hAnsiTheme="majorHAnsi"/>
          <w:szCs w:val="22"/>
        </w:rPr>
        <w:t xml:space="preserve">ledovať </w:t>
      </w:r>
      <w:r>
        <w:rPr>
          <w:rFonts w:asciiTheme="majorHAnsi" w:hAnsiTheme="majorHAnsi"/>
          <w:szCs w:val="22"/>
        </w:rPr>
        <w:t>a</w:t>
      </w:r>
      <w:r w:rsidRPr="00A11FE0">
        <w:rPr>
          <w:rFonts w:asciiTheme="majorHAnsi" w:hAnsiTheme="majorHAnsi"/>
          <w:szCs w:val="22"/>
        </w:rPr>
        <w:t xml:space="preserve"> ovplyvniť </w:t>
      </w:r>
      <w:r>
        <w:rPr>
          <w:rFonts w:asciiTheme="majorHAnsi" w:hAnsiTheme="majorHAnsi"/>
          <w:szCs w:val="22"/>
        </w:rPr>
        <w:t>toto s</w:t>
      </w:r>
      <w:r w:rsidRPr="00A11FE0">
        <w:rPr>
          <w:rFonts w:asciiTheme="majorHAnsi" w:hAnsiTheme="majorHAnsi"/>
          <w:szCs w:val="22"/>
        </w:rPr>
        <w:t xml:space="preserve">ledovanie (pozastaviť </w:t>
      </w:r>
      <w:r>
        <w:rPr>
          <w:rFonts w:asciiTheme="majorHAnsi" w:hAnsiTheme="majorHAnsi"/>
          <w:szCs w:val="22"/>
        </w:rPr>
        <w:t>s</w:t>
      </w:r>
      <w:r w:rsidRPr="00A11FE0">
        <w:rPr>
          <w:rFonts w:asciiTheme="majorHAnsi" w:hAnsiTheme="majorHAnsi"/>
          <w:szCs w:val="22"/>
        </w:rPr>
        <w:t xml:space="preserve">ledovanie leadtimeu procesu) na úrovni pracovných </w:t>
      </w:r>
      <w:r>
        <w:rPr>
          <w:rFonts w:asciiTheme="majorHAnsi" w:hAnsiTheme="majorHAnsi"/>
          <w:szCs w:val="22"/>
        </w:rPr>
        <w:t>a</w:t>
      </w:r>
      <w:r w:rsidRPr="00A11FE0">
        <w:rPr>
          <w:rFonts w:asciiTheme="majorHAnsi" w:hAnsiTheme="majorHAnsi"/>
          <w:szCs w:val="22"/>
        </w:rPr>
        <w:t xml:space="preserve">lebo </w:t>
      </w:r>
      <w:r>
        <w:rPr>
          <w:rFonts w:asciiTheme="majorHAnsi" w:hAnsiTheme="majorHAnsi"/>
          <w:szCs w:val="22"/>
        </w:rPr>
        <w:t>k</w:t>
      </w:r>
      <w:r w:rsidRPr="00A11FE0">
        <w:rPr>
          <w:rFonts w:asciiTheme="majorHAnsi" w:hAnsiTheme="majorHAnsi"/>
          <w:szCs w:val="22"/>
        </w:rPr>
        <w:t xml:space="preserve">alendárnych dní v rámci celého workflowu priradeného </w:t>
      </w:r>
      <w:r>
        <w:rPr>
          <w:rFonts w:asciiTheme="majorHAnsi" w:hAnsiTheme="majorHAnsi"/>
          <w:szCs w:val="22"/>
        </w:rPr>
        <w:t>k</w:t>
      </w:r>
      <w:r w:rsidRPr="00A11FE0">
        <w:rPr>
          <w:rFonts w:asciiTheme="majorHAnsi" w:hAnsiTheme="majorHAnsi"/>
          <w:szCs w:val="22"/>
        </w:rPr>
        <w:t> danému objektu,</w:t>
      </w:r>
    </w:p>
    <w:p w:rsidR="0021713D" w:rsidRPr="00A11FE0" w:rsidRDefault="0021713D" w:rsidP="009B7C77">
      <w:pPr>
        <w:pStyle w:val="Odsekzoznamu"/>
        <w:numPr>
          <w:ilvl w:val="0"/>
          <w:numId w:val="38"/>
        </w:numPr>
        <w:tabs>
          <w:tab w:val="left" w:pos="567"/>
        </w:tabs>
        <w:spacing w:before="0"/>
        <w:ind w:left="567" w:hanging="357"/>
        <w:rPr>
          <w:rFonts w:asciiTheme="majorHAnsi" w:hAnsiTheme="majorHAnsi"/>
          <w:szCs w:val="22"/>
        </w:rPr>
      </w:pPr>
      <w:r w:rsidRPr="00A11FE0">
        <w:rPr>
          <w:rFonts w:asciiTheme="majorHAnsi" w:hAnsiTheme="majorHAnsi"/>
          <w:szCs w:val="22"/>
        </w:rPr>
        <w:t xml:space="preserve">rozšírenie funkcionalít vizuálneho upozornenia </w:t>
      </w:r>
      <w:r>
        <w:rPr>
          <w:rFonts w:asciiTheme="majorHAnsi" w:hAnsiTheme="majorHAnsi"/>
          <w:szCs w:val="22"/>
        </w:rPr>
        <w:t>a</w:t>
      </w:r>
      <w:r w:rsidRPr="00A11FE0">
        <w:rPr>
          <w:rFonts w:asciiTheme="majorHAnsi" w:hAnsiTheme="majorHAnsi"/>
          <w:szCs w:val="22"/>
        </w:rPr>
        <w:t xml:space="preserve"> upozornení prostredníctvom notifikácií pri blížiacom </w:t>
      </w:r>
      <w:r>
        <w:rPr>
          <w:rFonts w:asciiTheme="majorHAnsi" w:hAnsiTheme="majorHAnsi"/>
          <w:szCs w:val="22"/>
        </w:rPr>
        <w:t>s</w:t>
      </w:r>
      <w:r w:rsidRPr="00A11FE0">
        <w:rPr>
          <w:rFonts w:asciiTheme="majorHAnsi" w:hAnsiTheme="majorHAnsi"/>
          <w:szCs w:val="22"/>
        </w:rPr>
        <w:t xml:space="preserve">a </w:t>
      </w:r>
      <w:r>
        <w:rPr>
          <w:rFonts w:asciiTheme="majorHAnsi" w:hAnsiTheme="majorHAnsi"/>
          <w:szCs w:val="22"/>
        </w:rPr>
        <w:t>a</w:t>
      </w:r>
      <w:r w:rsidRPr="00A11FE0">
        <w:rPr>
          <w:rFonts w:asciiTheme="majorHAnsi" w:hAnsiTheme="majorHAnsi"/>
          <w:szCs w:val="22"/>
        </w:rPr>
        <w:t xml:space="preserve">lebo prekročenom míľniku v rámci workflowu. </w:t>
      </w:r>
      <w:r>
        <w:rPr>
          <w:rFonts w:asciiTheme="majorHAnsi" w:hAnsiTheme="majorHAnsi"/>
          <w:szCs w:val="22"/>
        </w:rPr>
        <w:t>S</w:t>
      </w:r>
      <w:r w:rsidRPr="00A11FE0">
        <w:rPr>
          <w:rFonts w:asciiTheme="majorHAnsi" w:hAnsiTheme="majorHAnsi"/>
          <w:szCs w:val="22"/>
        </w:rPr>
        <w:t>účasťou úpravy je doplnenie možnosti zostavovania zoznamov </w:t>
      </w:r>
      <w:r>
        <w:rPr>
          <w:rFonts w:asciiTheme="majorHAnsi" w:hAnsiTheme="majorHAnsi"/>
          <w:szCs w:val="22"/>
        </w:rPr>
        <w:t>s</w:t>
      </w:r>
      <w:r w:rsidRPr="00A11FE0">
        <w:rPr>
          <w:rFonts w:asciiTheme="majorHAnsi" w:hAnsiTheme="majorHAnsi"/>
          <w:szCs w:val="22"/>
        </w:rPr>
        <w:t xml:space="preserve"> objektmi, </w:t>
      </w:r>
      <w:r>
        <w:rPr>
          <w:rFonts w:asciiTheme="majorHAnsi" w:hAnsiTheme="majorHAnsi"/>
          <w:szCs w:val="22"/>
        </w:rPr>
        <w:t>k</w:t>
      </w:r>
      <w:r w:rsidRPr="00A11FE0">
        <w:rPr>
          <w:rFonts w:asciiTheme="majorHAnsi" w:hAnsiTheme="majorHAnsi"/>
          <w:szCs w:val="22"/>
        </w:rPr>
        <w:t xml:space="preserve">toré prekračujú </w:t>
      </w:r>
      <w:r>
        <w:rPr>
          <w:rFonts w:asciiTheme="majorHAnsi" w:hAnsiTheme="majorHAnsi"/>
          <w:szCs w:val="22"/>
        </w:rPr>
        <w:t>s</w:t>
      </w:r>
      <w:r w:rsidRPr="00A11FE0">
        <w:rPr>
          <w:rFonts w:asciiTheme="majorHAnsi" w:hAnsiTheme="majorHAnsi"/>
          <w:szCs w:val="22"/>
        </w:rPr>
        <w:t>pomenuté míľniky workflowu.</w:t>
      </w:r>
    </w:p>
    <w:p w:rsidR="005211F5" w:rsidRDefault="005211F5">
      <w:pPr>
        <w:spacing w:before="0" w:after="0"/>
        <w:jc w:val="left"/>
        <w:rPr>
          <w:rFonts w:asciiTheme="majorHAnsi" w:hAnsiTheme="majorHAnsi"/>
          <w:szCs w:val="22"/>
        </w:rPr>
      </w:pPr>
      <w:r>
        <w:rPr>
          <w:rFonts w:asciiTheme="majorHAnsi" w:hAnsiTheme="majorHAnsi"/>
          <w:szCs w:val="22"/>
        </w:rPr>
        <w:br w:type="page"/>
      </w:r>
    </w:p>
    <w:p w:rsidR="0021713D" w:rsidRPr="00A11FE0" w:rsidRDefault="0021713D" w:rsidP="0021713D">
      <w:pPr>
        <w:spacing w:after="0"/>
        <w:rPr>
          <w:rFonts w:asciiTheme="majorHAnsi" w:hAnsiTheme="majorHAnsi"/>
          <w:szCs w:val="22"/>
        </w:rPr>
      </w:pPr>
      <w:r w:rsidRPr="00A11FE0">
        <w:rPr>
          <w:rFonts w:asciiTheme="majorHAnsi" w:hAnsiTheme="majorHAnsi"/>
          <w:szCs w:val="22"/>
        </w:rPr>
        <w:lastRenderedPageBreak/>
        <w:t xml:space="preserve">Úpravou existujúceho IS PPA </w:t>
      </w:r>
      <w:r>
        <w:rPr>
          <w:rFonts w:asciiTheme="majorHAnsi" w:hAnsiTheme="majorHAnsi"/>
          <w:szCs w:val="22"/>
        </w:rPr>
        <w:t>s</w:t>
      </w:r>
      <w:r w:rsidRPr="00A11FE0">
        <w:rPr>
          <w:rFonts w:asciiTheme="majorHAnsi" w:hAnsiTheme="majorHAnsi"/>
          <w:szCs w:val="22"/>
        </w:rPr>
        <w:t>a zabezpečí:</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sidRPr="00A11FE0">
        <w:rPr>
          <w:rFonts w:asciiTheme="majorHAnsi" w:hAnsiTheme="majorHAnsi"/>
          <w:szCs w:val="22"/>
        </w:rPr>
        <w:t xml:space="preserve">plne elektronická </w:t>
      </w:r>
      <w:r>
        <w:rPr>
          <w:rFonts w:asciiTheme="majorHAnsi" w:hAnsiTheme="majorHAnsi"/>
          <w:szCs w:val="22"/>
        </w:rPr>
        <w:t>k</w:t>
      </w:r>
      <w:r w:rsidRPr="00A11FE0">
        <w:rPr>
          <w:rFonts w:asciiTheme="majorHAnsi" w:hAnsiTheme="majorHAnsi"/>
          <w:szCs w:val="22"/>
        </w:rPr>
        <w:t xml:space="preserve">omunikácia </w:t>
      </w:r>
      <w:r>
        <w:rPr>
          <w:rFonts w:asciiTheme="majorHAnsi" w:hAnsiTheme="majorHAnsi"/>
          <w:szCs w:val="22"/>
        </w:rPr>
        <w:t>s</w:t>
      </w:r>
      <w:r w:rsidRPr="00A11FE0">
        <w:rPr>
          <w:rFonts w:asciiTheme="majorHAnsi" w:hAnsiTheme="majorHAnsi"/>
          <w:szCs w:val="22"/>
        </w:rPr>
        <w:t xml:space="preserve">o žiadateľmi, resp. prijímateľmi podpôr v rámci všetkých procesov </w:t>
      </w:r>
      <w:r>
        <w:rPr>
          <w:rFonts w:asciiTheme="majorHAnsi" w:hAnsiTheme="majorHAnsi"/>
          <w:szCs w:val="22"/>
        </w:rPr>
        <w:t>a</w:t>
      </w:r>
      <w:r w:rsidRPr="00A11FE0">
        <w:rPr>
          <w:rFonts w:asciiTheme="majorHAnsi" w:hAnsiTheme="majorHAnsi"/>
          <w:szCs w:val="22"/>
        </w:rPr>
        <w:t xml:space="preserve"> tiež </w:t>
      </w:r>
      <w:r>
        <w:rPr>
          <w:rFonts w:asciiTheme="majorHAnsi" w:hAnsiTheme="majorHAnsi"/>
          <w:szCs w:val="22"/>
        </w:rPr>
        <w:t>a</w:t>
      </w:r>
      <w:r w:rsidRPr="00A11FE0">
        <w:rPr>
          <w:rFonts w:asciiTheme="majorHAnsi" w:hAnsiTheme="majorHAnsi"/>
          <w:szCs w:val="22"/>
        </w:rPr>
        <w:t xml:space="preserve">dministrácie podpôr </w:t>
      </w:r>
      <w:r>
        <w:rPr>
          <w:rFonts w:asciiTheme="majorHAnsi" w:hAnsiTheme="majorHAnsi"/>
          <w:szCs w:val="22"/>
        </w:rPr>
        <w:t>a</w:t>
      </w:r>
      <w:r w:rsidRPr="00A11FE0">
        <w:rPr>
          <w:rFonts w:asciiTheme="majorHAnsi" w:hAnsiTheme="majorHAnsi"/>
          <w:szCs w:val="22"/>
        </w:rPr>
        <w:t> ochrany finančných záujmov EÚ,</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sidRPr="00A11FE0">
        <w:rPr>
          <w:rFonts w:asciiTheme="majorHAnsi" w:hAnsiTheme="majorHAnsi"/>
          <w:szCs w:val="22"/>
        </w:rPr>
        <w:t xml:space="preserve">plnohodnotné zavedenie funkcionalít na prácu </w:t>
      </w:r>
      <w:r>
        <w:rPr>
          <w:rFonts w:asciiTheme="majorHAnsi" w:hAnsiTheme="majorHAnsi"/>
          <w:szCs w:val="22"/>
        </w:rPr>
        <w:t>s</w:t>
      </w:r>
      <w:r w:rsidRPr="00A11FE0">
        <w:rPr>
          <w:rFonts w:asciiTheme="majorHAnsi" w:hAnsiTheme="majorHAnsi"/>
          <w:szCs w:val="22"/>
        </w:rPr>
        <w:t> elektronickými formulármi,</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sidRPr="00A11FE0">
        <w:rPr>
          <w:rFonts w:asciiTheme="majorHAnsi" w:hAnsiTheme="majorHAnsi"/>
          <w:szCs w:val="22"/>
        </w:rPr>
        <w:t xml:space="preserve">elektronický </w:t>
      </w:r>
      <w:r>
        <w:rPr>
          <w:rFonts w:asciiTheme="majorHAnsi" w:hAnsiTheme="majorHAnsi"/>
          <w:szCs w:val="22"/>
        </w:rPr>
        <w:t>a</w:t>
      </w:r>
      <w:r w:rsidRPr="00A11FE0">
        <w:rPr>
          <w:rFonts w:asciiTheme="majorHAnsi" w:hAnsiTheme="majorHAnsi"/>
          <w:szCs w:val="22"/>
        </w:rPr>
        <w:t xml:space="preserve">rchív príloh </w:t>
      </w:r>
      <w:r>
        <w:rPr>
          <w:rFonts w:asciiTheme="majorHAnsi" w:hAnsiTheme="majorHAnsi"/>
          <w:szCs w:val="22"/>
        </w:rPr>
        <w:t>a</w:t>
      </w:r>
      <w:r w:rsidRPr="00A11FE0">
        <w:rPr>
          <w:rFonts w:asciiTheme="majorHAnsi" w:hAnsiTheme="majorHAnsi"/>
          <w:szCs w:val="22"/>
        </w:rPr>
        <w:t> podpornej dokumentácie,</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sidRPr="00A11FE0">
        <w:rPr>
          <w:rFonts w:asciiTheme="majorHAnsi" w:hAnsiTheme="majorHAnsi"/>
          <w:szCs w:val="22"/>
        </w:rPr>
        <w:t xml:space="preserve">plne elektronická </w:t>
      </w:r>
      <w:r>
        <w:rPr>
          <w:rFonts w:asciiTheme="majorHAnsi" w:hAnsiTheme="majorHAnsi"/>
          <w:szCs w:val="22"/>
        </w:rPr>
        <w:t>k</w:t>
      </w:r>
      <w:r w:rsidRPr="00A11FE0">
        <w:rPr>
          <w:rFonts w:asciiTheme="majorHAnsi" w:hAnsiTheme="majorHAnsi"/>
          <w:szCs w:val="22"/>
        </w:rPr>
        <w:t xml:space="preserve">omunikácia </w:t>
      </w:r>
      <w:r>
        <w:rPr>
          <w:rFonts w:asciiTheme="majorHAnsi" w:hAnsiTheme="majorHAnsi"/>
          <w:szCs w:val="22"/>
        </w:rPr>
        <w:t>a</w:t>
      </w:r>
      <w:r w:rsidRPr="00A11FE0">
        <w:rPr>
          <w:rFonts w:asciiTheme="majorHAnsi" w:hAnsiTheme="majorHAnsi"/>
          <w:szCs w:val="22"/>
        </w:rPr>
        <w:t> obeh dokumentov v rámci IS PPA,</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sidRPr="00A11FE0">
        <w:rPr>
          <w:rFonts w:asciiTheme="majorHAnsi" w:hAnsiTheme="majorHAnsi"/>
          <w:szCs w:val="22"/>
        </w:rPr>
        <w:t>jednoznačné identifikovanie, </w:t>
      </w:r>
      <w:r>
        <w:rPr>
          <w:rFonts w:asciiTheme="majorHAnsi" w:hAnsiTheme="majorHAnsi"/>
          <w:szCs w:val="22"/>
        </w:rPr>
        <w:t>a</w:t>
      </w:r>
      <w:r w:rsidRPr="00A11FE0">
        <w:rPr>
          <w:rFonts w:asciiTheme="majorHAnsi" w:hAnsiTheme="majorHAnsi"/>
          <w:szCs w:val="22"/>
        </w:rPr>
        <w:t xml:space="preserve">utentifikovanie </w:t>
      </w:r>
      <w:r>
        <w:rPr>
          <w:rFonts w:asciiTheme="majorHAnsi" w:hAnsiTheme="majorHAnsi"/>
          <w:szCs w:val="22"/>
        </w:rPr>
        <w:t>a</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utorizácia používateľa v IS PPA,</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Pr>
          <w:rFonts w:asciiTheme="majorHAnsi" w:hAnsiTheme="majorHAnsi"/>
          <w:szCs w:val="22"/>
        </w:rPr>
        <w:t>ak</w:t>
      </w:r>
      <w:r w:rsidRPr="00A11FE0">
        <w:rPr>
          <w:rFonts w:asciiTheme="majorHAnsi" w:hAnsiTheme="majorHAnsi"/>
          <w:szCs w:val="22"/>
        </w:rPr>
        <w:t xml:space="preserve">tívne definovanie </w:t>
      </w:r>
      <w:r>
        <w:rPr>
          <w:rFonts w:asciiTheme="majorHAnsi" w:hAnsiTheme="majorHAnsi"/>
          <w:szCs w:val="22"/>
        </w:rPr>
        <w:t>a</w:t>
      </w:r>
      <w:r w:rsidRPr="00A11FE0">
        <w:rPr>
          <w:rFonts w:asciiTheme="majorHAnsi" w:hAnsiTheme="majorHAnsi"/>
          <w:szCs w:val="22"/>
        </w:rPr>
        <w:t xml:space="preserve"> priraďovanie používateľských rolí </w:t>
      </w:r>
      <w:r>
        <w:rPr>
          <w:rFonts w:asciiTheme="majorHAnsi" w:hAnsiTheme="majorHAnsi"/>
          <w:szCs w:val="22"/>
        </w:rPr>
        <w:t>a</w:t>
      </w:r>
      <w:r w:rsidRPr="00A11FE0">
        <w:rPr>
          <w:rFonts w:asciiTheme="majorHAnsi" w:hAnsiTheme="majorHAnsi"/>
          <w:szCs w:val="22"/>
        </w:rPr>
        <w:t xml:space="preserve"> prístupových práv </w:t>
      </w:r>
      <w:r>
        <w:rPr>
          <w:rFonts w:asciiTheme="majorHAnsi" w:hAnsiTheme="majorHAnsi"/>
          <w:szCs w:val="22"/>
        </w:rPr>
        <w:t>k</w:t>
      </w:r>
      <w:r w:rsidRPr="00A11FE0">
        <w:rPr>
          <w:rFonts w:asciiTheme="majorHAnsi" w:hAnsiTheme="majorHAnsi"/>
          <w:szCs w:val="22"/>
        </w:rPr>
        <w:t xml:space="preserve"> jednotlivým modulom, funkcionalitám </w:t>
      </w:r>
      <w:r>
        <w:rPr>
          <w:rFonts w:asciiTheme="majorHAnsi" w:hAnsiTheme="majorHAnsi"/>
          <w:szCs w:val="22"/>
        </w:rPr>
        <w:t>a</w:t>
      </w:r>
      <w:r w:rsidRPr="00A11FE0">
        <w:rPr>
          <w:rFonts w:asciiTheme="majorHAnsi" w:hAnsiTheme="majorHAnsi"/>
          <w:szCs w:val="22"/>
        </w:rPr>
        <w:t> dátovým štruktúram,</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sidRPr="00A11FE0">
        <w:rPr>
          <w:rFonts w:asciiTheme="majorHAnsi" w:hAnsiTheme="majorHAnsi"/>
          <w:szCs w:val="22"/>
        </w:rPr>
        <w:t xml:space="preserve">previazanie jednotlivých modulov </w:t>
      </w:r>
      <w:r>
        <w:rPr>
          <w:rFonts w:asciiTheme="majorHAnsi" w:hAnsiTheme="majorHAnsi"/>
          <w:szCs w:val="22"/>
        </w:rPr>
        <w:t>a</w:t>
      </w:r>
      <w:r w:rsidRPr="00A11FE0">
        <w:rPr>
          <w:rFonts w:asciiTheme="majorHAnsi" w:hAnsiTheme="majorHAnsi"/>
          <w:szCs w:val="22"/>
        </w:rPr>
        <w:t xml:space="preserve"> procesov na proces </w:t>
      </w:r>
      <w:r>
        <w:rPr>
          <w:rFonts w:asciiTheme="majorHAnsi" w:hAnsiTheme="majorHAnsi"/>
          <w:szCs w:val="22"/>
        </w:rPr>
        <w:t>k</w:t>
      </w:r>
      <w:r w:rsidRPr="00A11FE0">
        <w:rPr>
          <w:rFonts w:asciiTheme="majorHAnsi" w:hAnsiTheme="majorHAnsi"/>
          <w:szCs w:val="22"/>
        </w:rPr>
        <w:t>ontroly zachytený v module eKontrola,</w:t>
      </w:r>
    </w:p>
    <w:p w:rsidR="0021713D" w:rsidRPr="00A11FE0" w:rsidRDefault="0021713D" w:rsidP="009B7C77">
      <w:pPr>
        <w:pStyle w:val="Odsekzoznamu"/>
        <w:numPr>
          <w:ilvl w:val="0"/>
          <w:numId w:val="39"/>
        </w:numPr>
        <w:tabs>
          <w:tab w:val="left" w:pos="567"/>
        </w:tabs>
        <w:spacing w:before="0"/>
        <w:ind w:left="567"/>
        <w:rPr>
          <w:rFonts w:asciiTheme="majorHAnsi" w:hAnsiTheme="majorHAnsi"/>
          <w:szCs w:val="22"/>
        </w:rPr>
      </w:pPr>
      <w:r w:rsidRPr="00A11FE0">
        <w:rPr>
          <w:rFonts w:asciiTheme="majorHAnsi" w:hAnsiTheme="majorHAnsi"/>
          <w:szCs w:val="22"/>
        </w:rPr>
        <w:t xml:space="preserve">vytváranie </w:t>
      </w:r>
      <w:r>
        <w:rPr>
          <w:rFonts w:asciiTheme="majorHAnsi" w:hAnsiTheme="majorHAnsi"/>
          <w:szCs w:val="22"/>
        </w:rPr>
        <w:t>s</w:t>
      </w:r>
      <w:r w:rsidRPr="00A11FE0">
        <w:rPr>
          <w:rFonts w:asciiTheme="majorHAnsi" w:hAnsiTheme="majorHAnsi"/>
          <w:szCs w:val="22"/>
        </w:rPr>
        <w:t xml:space="preserve">ofistikovanejších hierarchických </w:t>
      </w:r>
      <w:r>
        <w:rPr>
          <w:rFonts w:asciiTheme="majorHAnsi" w:hAnsiTheme="majorHAnsi"/>
          <w:szCs w:val="22"/>
        </w:rPr>
        <w:t>s</w:t>
      </w:r>
      <w:r w:rsidRPr="00A11FE0">
        <w:rPr>
          <w:rFonts w:asciiTheme="majorHAnsi" w:hAnsiTheme="majorHAnsi"/>
          <w:szCs w:val="22"/>
        </w:rPr>
        <w:t>kupín používateľov IS PPA,</w:t>
      </w:r>
    </w:p>
    <w:p w:rsidR="0021713D" w:rsidRPr="00A11FE0" w:rsidRDefault="0021713D" w:rsidP="009B7C77">
      <w:pPr>
        <w:pStyle w:val="Odsekzoznamu"/>
        <w:numPr>
          <w:ilvl w:val="0"/>
          <w:numId w:val="39"/>
        </w:numPr>
        <w:tabs>
          <w:tab w:val="left" w:pos="567"/>
        </w:tabs>
        <w:spacing w:before="0"/>
        <w:ind w:left="567" w:hanging="357"/>
        <w:rPr>
          <w:rFonts w:asciiTheme="majorHAnsi" w:hAnsiTheme="majorHAnsi"/>
          <w:szCs w:val="22"/>
        </w:rPr>
      </w:pPr>
      <w:r w:rsidRPr="00A11FE0">
        <w:rPr>
          <w:rFonts w:asciiTheme="majorHAnsi" w:hAnsiTheme="majorHAnsi"/>
          <w:szCs w:val="22"/>
        </w:rPr>
        <w:t xml:space="preserve">úprava reportov </w:t>
      </w:r>
      <w:r>
        <w:rPr>
          <w:rFonts w:asciiTheme="majorHAnsi" w:hAnsiTheme="majorHAnsi"/>
          <w:szCs w:val="22"/>
        </w:rPr>
        <w:t>a</w:t>
      </w:r>
      <w:r w:rsidRPr="00A11FE0">
        <w:rPr>
          <w:rFonts w:asciiTheme="majorHAnsi" w:hAnsiTheme="majorHAnsi"/>
          <w:szCs w:val="22"/>
        </w:rPr>
        <w:t> monitorovania.</w:t>
      </w:r>
    </w:p>
    <w:p w:rsidR="0021713D" w:rsidRPr="00A11FE0" w:rsidRDefault="0021713D" w:rsidP="0021713D">
      <w:pPr>
        <w:tabs>
          <w:tab w:val="left" w:pos="709"/>
          <w:tab w:val="left" w:pos="9072"/>
        </w:tabs>
        <w:rPr>
          <w:rFonts w:asciiTheme="majorHAnsi" w:hAnsiTheme="majorHAnsi"/>
          <w:szCs w:val="22"/>
        </w:rPr>
      </w:pPr>
      <w:r w:rsidRPr="00A11FE0">
        <w:rPr>
          <w:rFonts w:asciiTheme="majorHAnsi" w:hAnsiTheme="majorHAnsi"/>
          <w:szCs w:val="22"/>
        </w:rPr>
        <w:t xml:space="preserve">ITMS2014+ prostredníctvom webového portálu poskytne žiadateľom prístup </w:t>
      </w:r>
      <w:r>
        <w:rPr>
          <w:rFonts w:asciiTheme="majorHAnsi" w:hAnsiTheme="majorHAnsi"/>
          <w:szCs w:val="22"/>
        </w:rPr>
        <w:t>k</w:t>
      </w:r>
      <w:r w:rsidRPr="00A11FE0">
        <w:rPr>
          <w:rFonts w:asciiTheme="majorHAnsi" w:hAnsiTheme="majorHAnsi"/>
          <w:szCs w:val="22"/>
        </w:rPr>
        <w:t> informáciám o </w:t>
      </w:r>
      <w:r>
        <w:rPr>
          <w:rFonts w:asciiTheme="majorHAnsi" w:hAnsiTheme="majorHAnsi"/>
          <w:szCs w:val="22"/>
        </w:rPr>
        <w:t>ak</w:t>
      </w:r>
      <w:r w:rsidRPr="00A11FE0">
        <w:rPr>
          <w:rFonts w:asciiTheme="majorHAnsi" w:hAnsiTheme="majorHAnsi"/>
          <w:szCs w:val="22"/>
        </w:rPr>
        <w:t xml:space="preserve">tuálne vyhlásených výzvach </w:t>
      </w:r>
      <w:r>
        <w:rPr>
          <w:rFonts w:asciiTheme="majorHAnsi" w:hAnsiTheme="majorHAnsi"/>
          <w:szCs w:val="22"/>
        </w:rPr>
        <w:t>a</w:t>
      </w:r>
      <w:r w:rsidRPr="00A11FE0">
        <w:rPr>
          <w:rFonts w:asciiTheme="majorHAnsi" w:hAnsiTheme="majorHAnsi"/>
          <w:szCs w:val="22"/>
        </w:rPr>
        <w:t> možnostiach predloženia žiadosti o </w:t>
      </w:r>
      <w:r w:rsidR="00470B0F">
        <w:rPr>
          <w:rFonts w:asciiTheme="majorHAnsi" w:hAnsiTheme="majorHAnsi"/>
          <w:szCs w:val="22"/>
        </w:rPr>
        <w:t>podporu</w:t>
      </w:r>
      <w:r w:rsidRPr="00A11FE0">
        <w:rPr>
          <w:rFonts w:asciiTheme="majorHAnsi" w:hAnsiTheme="majorHAnsi"/>
          <w:szCs w:val="22"/>
        </w:rPr>
        <w:t xml:space="preserve">. Pre tento účel budú využívané proaktívne </w:t>
      </w:r>
      <w:r>
        <w:rPr>
          <w:rFonts w:asciiTheme="majorHAnsi" w:hAnsiTheme="majorHAnsi"/>
          <w:szCs w:val="22"/>
        </w:rPr>
        <w:t>s</w:t>
      </w:r>
      <w:r w:rsidRPr="00A11FE0">
        <w:rPr>
          <w:rFonts w:asciiTheme="majorHAnsi" w:hAnsiTheme="majorHAnsi"/>
          <w:szCs w:val="22"/>
        </w:rPr>
        <w:t xml:space="preserve">lužby ITMS2014+. Po </w:t>
      </w:r>
      <w:r>
        <w:rPr>
          <w:rFonts w:asciiTheme="majorHAnsi" w:hAnsiTheme="majorHAnsi"/>
          <w:szCs w:val="22"/>
        </w:rPr>
        <w:t>s</w:t>
      </w:r>
      <w:r w:rsidRPr="00A11FE0">
        <w:rPr>
          <w:rFonts w:asciiTheme="majorHAnsi" w:hAnsiTheme="majorHAnsi"/>
          <w:szCs w:val="22"/>
        </w:rPr>
        <w:t>chválení žiadosti o</w:t>
      </w:r>
      <w:r w:rsidR="00470B0F">
        <w:rPr>
          <w:rFonts w:asciiTheme="majorHAnsi" w:hAnsiTheme="majorHAnsi"/>
          <w:szCs w:val="22"/>
        </w:rPr>
        <w:t xml:space="preserve"> podporu </w:t>
      </w:r>
      <w:r w:rsidRPr="00A11FE0">
        <w:rPr>
          <w:rFonts w:asciiTheme="majorHAnsi" w:hAnsiTheme="majorHAnsi"/>
          <w:szCs w:val="22"/>
        </w:rPr>
        <w:t xml:space="preserve">umožní webový portál prijímateľom predkladanie informácií o realizácii jednotlivých </w:t>
      </w:r>
      <w:r>
        <w:rPr>
          <w:rFonts w:asciiTheme="majorHAnsi" w:hAnsiTheme="majorHAnsi"/>
          <w:szCs w:val="22"/>
        </w:rPr>
        <w:t>ak</w:t>
      </w:r>
      <w:r w:rsidRPr="00A11FE0">
        <w:rPr>
          <w:rFonts w:asciiTheme="majorHAnsi" w:hAnsiTheme="majorHAnsi"/>
          <w:szCs w:val="22"/>
        </w:rPr>
        <w:t>tivít projektu, informácií o realizovaných výdavkoch prijímateľa v rámci projektu</w:t>
      </w:r>
      <w:r>
        <w:rPr>
          <w:rFonts w:asciiTheme="majorHAnsi" w:hAnsiTheme="majorHAnsi"/>
          <w:szCs w:val="22"/>
        </w:rPr>
        <w:t>, a</w:t>
      </w:r>
      <w:r w:rsidR="005211F5">
        <w:rPr>
          <w:rFonts w:asciiTheme="majorHAnsi" w:hAnsiTheme="majorHAnsi"/>
          <w:szCs w:val="22"/>
        </w:rPr>
        <w:t> </w:t>
      </w:r>
      <w:r>
        <w:rPr>
          <w:rFonts w:asciiTheme="majorHAnsi" w:hAnsiTheme="majorHAnsi"/>
          <w:szCs w:val="22"/>
        </w:rPr>
        <w:t>to</w:t>
      </w:r>
      <w:r w:rsidR="005211F5">
        <w:rPr>
          <w:rFonts w:asciiTheme="majorHAnsi" w:hAnsiTheme="majorHAnsi"/>
          <w:szCs w:val="22"/>
        </w:rPr>
        <w:t xml:space="preserve"> </w:t>
      </w:r>
      <w:r w:rsidRPr="00A11FE0">
        <w:rPr>
          <w:rFonts w:asciiTheme="majorHAnsi" w:hAnsiTheme="majorHAnsi"/>
          <w:szCs w:val="22"/>
        </w:rPr>
        <w:t xml:space="preserve">v nadväznosti na </w:t>
      </w:r>
      <w:r>
        <w:rPr>
          <w:rFonts w:asciiTheme="majorHAnsi" w:hAnsiTheme="majorHAnsi"/>
          <w:szCs w:val="22"/>
        </w:rPr>
        <w:t>ak</w:t>
      </w:r>
      <w:r w:rsidRPr="00A11FE0">
        <w:rPr>
          <w:rFonts w:asciiTheme="majorHAnsi" w:hAnsiTheme="majorHAnsi"/>
          <w:szCs w:val="22"/>
        </w:rPr>
        <w:t xml:space="preserve">tivity </w:t>
      </w:r>
      <w:r>
        <w:rPr>
          <w:rFonts w:asciiTheme="majorHAnsi" w:hAnsiTheme="majorHAnsi"/>
          <w:szCs w:val="22"/>
        </w:rPr>
        <w:t>a</w:t>
      </w:r>
      <w:r w:rsidRPr="00A11FE0">
        <w:rPr>
          <w:rFonts w:asciiTheme="majorHAnsi" w:hAnsiTheme="majorHAnsi"/>
          <w:szCs w:val="22"/>
        </w:rPr>
        <w:t xml:space="preserve"> očakávané výsledky </w:t>
      </w:r>
      <w:r>
        <w:rPr>
          <w:rFonts w:asciiTheme="majorHAnsi" w:hAnsiTheme="majorHAnsi"/>
          <w:szCs w:val="22"/>
        </w:rPr>
        <w:t>a</w:t>
      </w:r>
      <w:r w:rsidRPr="00A11FE0">
        <w:rPr>
          <w:rFonts w:asciiTheme="majorHAnsi" w:hAnsiTheme="majorHAnsi"/>
          <w:szCs w:val="22"/>
        </w:rPr>
        <w:t xml:space="preserve"> výstupy projektu. Webový portál zároveň poskytne žiadateľom/prijímateľom nástroj </w:t>
      </w:r>
      <w:r>
        <w:rPr>
          <w:rFonts w:asciiTheme="majorHAnsi" w:hAnsiTheme="majorHAnsi"/>
          <w:szCs w:val="22"/>
        </w:rPr>
        <w:t>na</w:t>
      </w:r>
      <w:r w:rsidRPr="00A11FE0">
        <w:rPr>
          <w:rFonts w:asciiTheme="majorHAnsi" w:hAnsiTheme="majorHAnsi"/>
          <w:szCs w:val="22"/>
        </w:rPr>
        <w:t xml:space="preserve"> získavanie informácií o </w:t>
      </w:r>
      <w:r>
        <w:rPr>
          <w:rFonts w:asciiTheme="majorHAnsi" w:hAnsiTheme="majorHAnsi"/>
          <w:szCs w:val="22"/>
        </w:rPr>
        <w:t>s</w:t>
      </w:r>
      <w:r w:rsidRPr="00A11FE0">
        <w:rPr>
          <w:rFonts w:asciiTheme="majorHAnsi" w:hAnsiTheme="majorHAnsi"/>
          <w:szCs w:val="22"/>
        </w:rPr>
        <w:t xml:space="preserve">tave </w:t>
      </w:r>
      <w:r>
        <w:rPr>
          <w:rFonts w:asciiTheme="majorHAnsi" w:hAnsiTheme="majorHAnsi"/>
          <w:szCs w:val="22"/>
        </w:rPr>
        <w:t>s</w:t>
      </w:r>
      <w:r w:rsidRPr="00A11FE0">
        <w:rPr>
          <w:rFonts w:asciiTheme="majorHAnsi" w:hAnsiTheme="majorHAnsi"/>
          <w:szCs w:val="22"/>
        </w:rPr>
        <w:t>pracovania predložených dokumentov</w:t>
      </w:r>
      <w:r>
        <w:rPr>
          <w:rFonts w:asciiTheme="majorHAnsi" w:hAnsiTheme="majorHAnsi"/>
          <w:szCs w:val="22"/>
        </w:rPr>
        <w:t>,</w:t>
      </w:r>
      <w:r w:rsidRPr="00A11FE0">
        <w:rPr>
          <w:rFonts w:asciiTheme="majorHAnsi" w:hAnsiTheme="majorHAnsi"/>
          <w:szCs w:val="22"/>
        </w:rPr>
        <w:t xml:space="preserve"> úpravu </w:t>
      </w:r>
      <w:r>
        <w:rPr>
          <w:rFonts w:asciiTheme="majorHAnsi" w:hAnsiTheme="majorHAnsi"/>
          <w:szCs w:val="22"/>
        </w:rPr>
        <w:t>a</w:t>
      </w:r>
      <w:r w:rsidRPr="00A11FE0">
        <w:rPr>
          <w:rFonts w:asciiTheme="majorHAnsi" w:hAnsiTheme="majorHAnsi"/>
          <w:szCs w:val="22"/>
        </w:rPr>
        <w:t> </w:t>
      </w:r>
      <w:r>
        <w:rPr>
          <w:rFonts w:asciiTheme="majorHAnsi" w:hAnsiTheme="majorHAnsi"/>
          <w:szCs w:val="22"/>
        </w:rPr>
        <w:t>s</w:t>
      </w:r>
      <w:r w:rsidRPr="00A11FE0">
        <w:rPr>
          <w:rFonts w:asciiTheme="majorHAnsi" w:hAnsiTheme="majorHAnsi"/>
          <w:szCs w:val="22"/>
        </w:rPr>
        <w:t>právu informácií o </w:t>
      </w:r>
      <w:r>
        <w:rPr>
          <w:rFonts w:asciiTheme="majorHAnsi" w:hAnsiTheme="majorHAnsi"/>
          <w:szCs w:val="22"/>
        </w:rPr>
        <w:t>s</w:t>
      </w:r>
      <w:r w:rsidRPr="00A11FE0">
        <w:rPr>
          <w:rFonts w:asciiTheme="majorHAnsi" w:hAnsiTheme="majorHAnsi"/>
          <w:szCs w:val="22"/>
        </w:rPr>
        <w:t xml:space="preserve">vojom projekte, efektívnu </w:t>
      </w:r>
      <w:r>
        <w:rPr>
          <w:rFonts w:asciiTheme="majorHAnsi" w:hAnsiTheme="majorHAnsi"/>
          <w:szCs w:val="22"/>
        </w:rPr>
        <w:t>k</w:t>
      </w:r>
      <w:r w:rsidRPr="00A11FE0">
        <w:rPr>
          <w:rFonts w:asciiTheme="majorHAnsi" w:hAnsiTheme="majorHAnsi"/>
          <w:szCs w:val="22"/>
        </w:rPr>
        <w:t xml:space="preserve">omunikáciu </w:t>
      </w:r>
      <w:r>
        <w:rPr>
          <w:rFonts w:asciiTheme="majorHAnsi" w:hAnsiTheme="majorHAnsi"/>
          <w:szCs w:val="22"/>
        </w:rPr>
        <w:t>s</w:t>
      </w:r>
      <w:r w:rsidRPr="00A11FE0">
        <w:rPr>
          <w:rFonts w:asciiTheme="majorHAnsi" w:hAnsiTheme="majorHAnsi"/>
          <w:szCs w:val="22"/>
        </w:rPr>
        <w:t xml:space="preserve"> poskytovateľom </w:t>
      </w:r>
      <w:r w:rsidR="006F6412">
        <w:rPr>
          <w:rFonts w:asciiTheme="majorHAnsi" w:hAnsiTheme="majorHAnsi"/>
          <w:szCs w:val="22"/>
        </w:rPr>
        <w:t>podpory</w:t>
      </w:r>
      <w:r w:rsidR="006F6412" w:rsidRPr="00A11FE0">
        <w:rPr>
          <w:rFonts w:asciiTheme="majorHAnsi" w:hAnsiTheme="majorHAnsi"/>
          <w:szCs w:val="22"/>
        </w:rPr>
        <w:t xml:space="preserve"> </w:t>
      </w:r>
      <w:r w:rsidRPr="00A11FE0">
        <w:rPr>
          <w:rFonts w:asciiTheme="majorHAnsi" w:hAnsiTheme="majorHAnsi"/>
          <w:szCs w:val="22"/>
        </w:rPr>
        <w:t xml:space="preserve">v elektronickej podobe </w:t>
      </w:r>
      <w:r>
        <w:rPr>
          <w:rFonts w:asciiTheme="majorHAnsi" w:hAnsiTheme="majorHAnsi"/>
          <w:szCs w:val="22"/>
        </w:rPr>
        <w:t>a</w:t>
      </w:r>
      <w:r w:rsidRPr="00A11FE0">
        <w:rPr>
          <w:rFonts w:asciiTheme="majorHAnsi" w:hAnsiTheme="majorHAnsi"/>
          <w:szCs w:val="22"/>
        </w:rPr>
        <w:t xml:space="preserve"> nástroj </w:t>
      </w:r>
      <w:r>
        <w:rPr>
          <w:rFonts w:asciiTheme="majorHAnsi" w:hAnsiTheme="majorHAnsi"/>
          <w:szCs w:val="22"/>
        </w:rPr>
        <w:t>na</w:t>
      </w:r>
      <w:r w:rsidRPr="00A11FE0">
        <w:rPr>
          <w:rFonts w:asciiTheme="majorHAnsi" w:hAnsiTheme="majorHAnsi"/>
          <w:szCs w:val="22"/>
        </w:rPr>
        <w:t xml:space="preserve"> informovanie verejnosti o podporených žiadostiach o</w:t>
      </w:r>
      <w:r w:rsidR="00470B0F">
        <w:rPr>
          <w:rFonts w:asciiTheme="majorHAnsi" w:hAnsiTheme="majorHAnsi"/>
          <w:szCs w:val="22"/>
        </w:rPr>
        <w:t xml:space="preserve"> podporu </w:t>
      </w:r>
      <w:r w:rsidRPr="00A11FE0">
        <w:rPr>
          <w:rFonts w:asciiTheme="majorHAnsi" w:hAnsiTheme="majorHAnsi"/>
          <w:szCs w:val="22"/>
        </w:rPr>
        <w:t>v rámci programového obdobia</w:t>
      </w:r>
      <w:r w:rsidR="00DF33FF">
        <w:rPr>
          <w:rFonts w:asciiTheme="majorHAnsi" w:hAnsiTheme="majorHAnsi"/>
          <w:szCs w:val="22"/>
        </w:rPr>
        <w:t xml:space="preserve"> </w:t>
      </w:r>
      <w:r w:rsidRPr="00A11FE0">
        <w:rPr>
          <w:rFonts w:asciiTheme="majorHAnsi" w:hAnsiTheme="majorHAnsi"/>
          <w:szCs w:val="22"/>
        </w:rPr>
        <w:t>2014 – 2020.</w:t>
      </w:r>
    </w:p>
    <w:p w:rsidR="0021713D" w:rsidRPr="00A11FE0" w:rsidRDefault="0021713D" w:rsidP="0021713D">
      <w:pPr>
        <w:tabs>
          <w:tab w:val="left" w:pos="709"/>
          <w:tab w:val="left" w:pos="9072"/>
        </w:tabs>
        <w:rPr>
          <w:rFonts w:asciiTheme="majorHAnsi" w:hAnsiTheme="majorHAnsi"/>
          <w:szCs w:val="22"/>
        </w:rPr>
      </w:pPr>
      <w:r w:rsidRPr="00A11FE0">
        <w:rPr>
          <w:rFonts w:asciiTheme="majorHAnsi" w:hAnsiTheme="majorHAnsi"/>
          <w:szCs w:val="22"/>
        </w:rPr>
        <w:t xml:space="preserve">ITMS2014+ bude užívateľsky prijateľný, jednoduchý, intuitívny </w:t>
      </w:r>
      <w:r>
        <w:rPr>
          <w:rFonts w:asciiTheme="majorHAnsi" w:hAnsiTheme="majorHAnsi"/>
          <w:szCs w:val="22"/>
        </w:rPr>
        <w:t>a</w:t>
      </w:r>
      <w:r w:rsidR="005211F5">
        <w:rPr>
          <w:rFonts w:asciiTheme="majorHAnsi" w:hAnsiTheme="majorHAnsi"/>
          <w:szCs w:val="22"/>
        </w:rPr>
        <w:t> </w:t>
      </w:r>
      <w:r w:rsidRPr="00A11FE0">
        <w:rPr>
          <w:rFonts w:asciiTheme="majorHAnsi" w:hAnsiTheme="majorHAnsi"/>
          <w:szCs w:val="22"/>
        </w:rPr>
        <w:t xml:space="preserve">interaktívny IS. </w:t>
      </w:r>
      <w:r>
        <w:rPr>
          <w:rFonts w:asciiTheme="majorHAnsi" w:hAnsiTheme="majorHAnsi"/>
          <w:szCs w:val="22"/>
        </w:rPr>
        <w:t>A</w:t>
      </w:r>
      <w:r w:rsidRPr="00A11FE0">
        <w:rPr>
          <w:rFonts w:asciiTheme="majorHAnsi" w:hAnsiTheme="majorHAnsi"/>
          <w:szCs w:val="22"/>
        </w:rPr>
        <w:t xml:space="preserve">rchitektúra </w:t>
      </w:r>
      <w:r>
        <w:rPr>
          <w:rFonts w:asciiTheme="majorHAnsi" w:hAnsiTheme="majorHAnsi"/>
          <w:szCs w:val="22"/>
        </w:rPr>
        <w:t>a</w:t>
      </w:r>
      <w:r w:rsidRPr="00A11FE0">
        <w:rPr>
          <w:rFonts w:asciiTheme="majorHAnsi" w:hAnsiTheme="majorHAnsi"/>
          <w:szCs w:val="22"/>
        </w:rPr>
        <w:t xml:space="preserve"> dizajn ITMS2014+ bude zodpovedať </w:t>
      </w:r>
      <w:r>
        <w:rPr>
          <w:rFonts w:asciiTheme="majorHAnsi" w:hAnsiTheme="majorHAnsi"/>
          <w:szCs w:val="22"/>
        </w:rPr>
        <w:t>s</w:t>
      </w:r>
      <w:r w:rsidRPr="00A11FE0">
        <w:rPr>
          <w:rFonts w:asciiTheme="majorHAnsi" w:hAnsiTheme="majorHAnsi"/>
          <w:szCs w:val="22"/>
        </w:rPr>
        <w:t>účasne platným štandardom pre navrhovanie inteligentných otvorených IS</w:t>
      </w:r>
      <w:r>
        <w:rPr>
          <w:rFonts w:asciiTheme="majorHAnsi" w:hAnsiTheme="majorHAnsi"/>
          <w:szCs w:val="22"/>
        </w:rPr>
        <w:t>,</w:t>
      </w:r>
      <w:r w:rsidRPr="00A11FE0">
        <w:rPr>
          <w:rFonts w:asciiTheme="majorHAnsi" w:hAnsiTheme="majorHAnsi"/>
          <w:szCs w:val="22"/>
        </w:rPr>
        <w:t xml:space="preserve"> pri rešpektovaní efektívneho </w:t>
      </w:r>
      <w:r>
        <w:rPr>
          <w:rFonts w:asciiTheme="majorHAnsi" w:hAnsiTheme="majorHAnsi"/>
          <w:szCs w:val="22"/>
        </w:rPr>
        <w:t>a</w:t>
      </w:r>
      <w:r w:rsidRPr="00A11FE0">
        <w:rPr>
          <w:rFonts w:asciiTheme="majorHAnsi" w:hAnsiTheme="majorHAnsi"/>
          <w:szCs w:val="22"/>
        </w:rPr>
        <w:t xml:space="preserve">lokovania </w:t>
      </w:r>
      <w:r>
        <w:rPr>
          <w:rFonts w:asciiTheme="majorHAnsi" w:hAnsiTheme="majorHAnsi"/>
          <w:szCs w:val="22"/>
        </w:rPr>
        <w:t>a</w:t>
      </w:r>
      <w:r w:rsidR="005211F5">
        <w:rPr>
          <w:rFonts w:asciiTheme="majorHAnsi" w:hAnsiTheme="majorHAnsi"/>
          <w:szCs w:val="22"/>
        </w:rPr>
        <w:t> </w:t>
      </w:r>
      <w:r w:rsidRPr="00A11FE0">
        <w:rPr>
          <w:rFonts w:asciiTheme="majorHAnsi" w:hAnsiTheme="majorHAnsi"/>
          <w:szCs w:val="22"/>
        </w:rPr>
        <w:t xml:space="preserve">použitia finančných prostriedkov na ďalší vývoj, prevádzku </w:t>
      </w:r>
      <w:r>
        <w:rPr>
          <w:rFonts w:asciiTheme="majorHAnsi" w:hAnsiTheme="majorHAnsi"/>
          <w:szCs w:val="22"/>
        </w:rPr>
        <w:t>a</w:t>
      </w:r>
      <w:r w:rsidRPr="00A11FE0">
        <w:rPr>
          <w:rFonts w:asciiTheme="majorHAnsi" w:hAnsiTheme="majorHAnsi"/>
          <w:szCs w:val="22"/>
        </w:rPr>
        <w:t> údržbu ITMS2014+.</w:t>
      </w:r>
    </w:p>
    <w:p w:rsidR="0021713D" w:rsidRPr="00713665" w:rsidRDefault="0021713D" w:rsidP="0021713D">
      <w:pPr>
        <w:tabs>
          <w:tab w:val="left" w:pos="709"/>
          <w:tab w:val="left" w:pos="9072"/>
        </w:tabs>
        <w:spacing w:after="0"/>
        <w:rPr>
          <w:rFonts w:asciiTheme="majorHAnsi" w:hAnsiTheme="majorHAnsi"/>
          <w:szCs w:val="22"/>
        </w:rPr>
      </w:pPr>
      <w:r w:rsidRPr="00A11FE0">
        <w:rPr>
          <w:rFonts w:asciiTheme="majorHAnsi" w:hAnsiTheme="majorHAnsi"/>
          <w:szCs w:val="22"/>
        </w:rPr>
        <w:t xml:space="preserve">Predpokladom pre vytvorenie efektívneho </w:t>
      </w:r>
      <w:r>
        <w:rPr>
          <w:rFonts w:asciiTheme="majorHAnsi" w:hAnsiTheme="majorHAnsi"/>
          <w:szCs w:val="22"/>
        </w:rPr>
        <w:t>s</w:t>
      </w:r>
      <w:r w:rsidRPr="00A11FE0">
        <w:rPr>
          <w:rFonts w:asciiTheme="majorHAnsi" w:hAnsiTheme="majorHAnsi"/>
          <w:szCs w:val="22"/>
        </w:rPr>
        <w:t xml:space="preserve">ystému na výmenu informácií </w:t>
      </w:r>
      <w:r>
        <w:rPr>
          <w:rFonts w:asciiTheme="majorHAnsi" w:hAnsiTheme="majorHAnsi"/>
          <w:szCs w:val="22"/>
        </w:rPr>
        <w:t>a</w:t>
      </w:r>
      <w:r w:rsidRPr="00A11FE0">
        <w:rPr>
          <w:rFonts w:asciiTheme="majorHAnsi" w:hAnsiTheme="majorHAnsi"/>
          <w:szCs w:val="22"/>
        </w:rPr>
        <w:t xml:space="preserve"> dát medzi prijímateľom </w:t>
      </w:r>
      <w:r>
        <w:rPr>
          <w:rFonts w:asciiTheme="majorHAnsi" w:hAnsiTheme="majorHAnsi"/>
          <w:szCs w:val="22"/>
        </w:rPr>
        <w:t>a</w:t>
      </w:r>
      <w:r w:rsidRPr="00A11FE0">
        <w:rPr>
          <w:rFonts w:asciiTheme="majorHAnsi" w:hAnsiTheme="majorHAnsi"/>
          <w:szCs w:val="22"/>
        </w:rPr>
        <w:t xml:space="preserve"> poskytovateľom </w:t>
      </w:r>
      <w:r w:rsidR="006F6412">
        <w:rPr>
          <w:rFonts w:asciiTheme="majorHAnsi" w:hAnsiTheme="majorHAnsi"/>
          <w:szCs w:val="22"/>
        </w:rPr>
        <w:t>podpory</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ako aj</w:t>
      </w:r>
      <w:r w:rsidRPr="00A11FE0">
        <w:rPr>
          <w:rFonts w:asciiTheme="majorHAnsi" w:hAnsiTheme="majorHAnsi"/>
          <w:szCs w:val="22"/>
        </w:rPr>
        <w:t> ďalšími orgánmi zapojenými do implementácie EŠIF</w:t>
      </w:r>
      <w:r w:rsidR="00E1347F">
        <w:rPr>
          <w:rFonts w:asciiTheme="majorHAnsi" w:hAnsiTheme="majorHAnsi"/>
          <w:szCs w:val="22"/>
        </w:rPr>
        <w:t>,</w:t>
      </w:r>
      <w:r w:rsidRPr="00A11FE0">
        <w:rPr>
          <w:rFonts w:asciiTheme="majorHAnsi" w:hAnsiTheme="majorHAnsi"/>
          <w:szCs w:val="22"/>
        </w:rPr>
        <w:t xml:space="preserve"> výlučne v elektronickej podobe</w:t>
      </w:r>
      <w:r w:rsidR="00E1347F">
        <w:rPr>
          <w:rFonts w:asciiTheme="majorHAnsi" w:hAnsiTheme="majorHAnsi"/>
          <w:szCs w:val="22"/>
        </w:rPr>
        <w:t>,</w:t>
      </w:r>
      <w:r w:rsidRPr="00A11FE0">
        <w:rPr>
          <w:rFonts w:asciiTheme="majorHAnsi" w:hAnsiTheme="majorHAnsi"/>
          <w:szCs w:val="22"/>
        </w:rPr>
        <w:t xml:space="preserve"> je integrácia ITMS2014+ </w:t>
      </w:r>
      <w:r>
        <w:rPr>
          <w:rFonts w:asciiTheme="majorHAnsi" w:hAnsiTheme="majorHAnsi"/>
          <w:szCs w:val="22"/>
        </w:rPr>
        <w:t>s</w:t>
      </w:r>
      <w:r w:rsidRPr="00A11FE0">
        <w:rPr>
          <w:rFonts w:asciiTheme="majorHAnsi" w:hAnsiTheme="majorHAnsi"/>
          <w:szCs w:val="22"/>
        </w:rPr>
        <w:t xml:space="preserve"> inými IS VS. Integráciou ITMS2014+ </w:t>
      </w:r>
      <w:r>
        <w:rPr>
          <w:rFonts w:asciiTheme="majorHAnsi" w:hAnsiTheme="majorHAnsi"/>
          <w:szCs w:val="22"/>
        </w:rPr>
        <w:t>s</w:t>
      </w:r>
      <w:r w:rsidRPr="00A11FE0">
        <w:rPr>
          <w:rFonts w:asciiTheme="majorHAnsi" w:hAnsiTheme="majorHAnsi"/>
          <w:szCs w:val="22"/>
        </w:rPr>
        <w:t xml:space="preserve"> inými IS VS </w:t>
      </w:r>
      <w:r>
        <w:rPr>
          <w:rFonts w:asciiTheme="majorHAnsi" w:hAnsiTheme="majorHAnsi"/>
          <w:szCs w:val="22"/>
        </w:rPr>
        <w:t>s</w:t>
      </w:r>
      <w:r w:rsidRPr="00A11FE0">
        <w:rPr>
          <w:rFonts w:asciiTheme="majorHAnsi" w:hAnsiTheme="majorHAnsi"/>
          <w:szCs w:val="22"/>
        </w:rPr>
        <w:t>a</w:t>
      </w:r>
      <w:r>
        <w:rPr>
          <w:rFonts w:asciiTheme="majorHAnsi" w:hAnsiTheme="majorHAnsi"/>
          <w:szCs w:val="22"/>
        </w:rPr>
        <w:t> </w:t>
      </w:r>
      <w:r w:rsidRPr="00A11FE0">
        <w:rPr>
          <w:rFonts w:asciiTheme="majorHAnsi" w:hAnsiTheme="majorHAnsi"/>
          <w:szCs w:val="22"/>
        </w:rPr>
        <w:t xml:space="preserve">dosiahne nižšia </w:t>
      </w:r>
      <w:r>
        <w:rPr>
          <w:rFonts w:asciiTheme="majorHAnsi" w:hAnsiTheme="majorHAnsi"/>
          <w:szCs w:val="22"/>
        </w:rPr>
        <w:t>a</w:t>
      </w:r>
      <w:r w:rsidRPr="00A11FE0">
        <w:rPr>
          <w:rFonts w:asciiTheme="majorHAnsi" w:hAnsiTheme="majorHAnsi"/>
          <w:szCs w:val="22"/>
        </w:rPr>
        <w:t xml:space="preserve">dministratívna </w:t>
      </w:r>
      <w:r>
        <w:rPr>
          <w:rFonts w:asciiTheme="majorHAnsi" w:hAnsiTheme="majorHAnsi"/>
          <w:szCs w:val="22"/>
        </w:rPr>
        <w:t>a</w:t>
      </w:r>
      <w:r w:rsidR="005211F5">
        <w:rPr>
          <w:rFonts w:asciiTheme="majorHAnsi" w:hAnsiTheme="majorHAnsi"/>
          <w:szCs w:val="22"/>
        </w:rPr>
        <w:t> </w:t>
      </w:r>
      <w:r w:rsidRPr="00A11FE0">
        <w:rPr>
          <w:rFonts w:asciiTheme="majorHAnsi" w:hAnsiTheme="majorHAnsi"/>
          <w:szCs w:val="22"/>
        </w:rPr>
        <w:t xml:space="preserve">časová záťaž </w:t>
      </w:r>
      <w:r>
        <w:rPr>
          <w:rFonts w:asciiTheme="majorHAnsi" w:hAnsiTheme="majorHAnsi"/>
          <w:szCs w:val="22"/>
        </w:rPr>
        <w:t>s</w:t>
      </w:r>
      <w:r w:rsidRPr="00A11FE0">
        <w:rPr>
          <w:rFonts w:asciiTheme="majorHAnsi" w:hAnsiTheme="majorHAnsi"/>
          <w:szCs w:val="22"/>
        </w:rPr>
        <w:t xml:space="preserve">ubjektov, zvýšenie </w:t>
      </w:r>
      <w:r>
        <w:rPr>
          <w:rFonts w:asciiTheme="majorHAnsi" w:hAnsiTheme="majorHAnsi"/>
          <w:szCs w:val="22"/>
        </w:rPr>
        <w:t>k</w:t>
      </w:r>
      <w:r w:rsidRPr="00A11FE0">
        <w:rPr>
          <w:rFonts w:asciiTheme="majorHAnsi" w:hAnsiTheme="majorHAnsi"/>
          <w:szCs w:val="22"/>
        </w:rPr>
        <w:t xml:space="preserve">onzistentnosti </w:t>
      </w:r>
      <w:r>
        <w:rPr>
          <w:rFonts w:asciiTheme="majorHAnsi" w:hAnsiTheme="majorHAnsi"/>
          <w:szCs w:val="22"/>
        </w:rPr>
        <w:t>a</w:t>
      </w:r>
      <w:r w:rsidRPr="00A11FE0">
        <w:rPr>
          <w:rFonts w:asciiTheme="majorHAnsi" w:hAnsiTheme="majorHAnsi"/>
          <w:szCs w:val="22"/>
        </w:rPr>
        <w:t xml:space="preserve"> validity dát. Externé IS, </w:t>
      </w:r>
      <w:r>
        <w:rPr>
          <w:rFonts w:asciiTheme="majorHAnsi" w:hAnsiTheme="majorHAnsi"/>
          <w:szCs w:val="22"/>
        </w:rPr>
        <w:t>s</w:t>
      </w:r>
      <w:r w:rsidRPr="00A11FE0">
        <w:rPr>
          <w:rFonts w:asciiTheme="majorHAnsi" w:hAnsiTheme="majorHAnsi"/>
          <w:szCs w:val="22"/>
        </w:rPr>
        <w:t> </w:t>
      </w:r>
      <w:r>
        <w:rPr>
          <w:rFonts w:asciiTheme="majorHAnsi" w:hAnsiTheme="majorHAnsi"/>
          <w:szCs w:val="22"/>
        </w:rPr>
        <w:t>k</w:t>
      </w:r>
      <w:r w:rsidRPr="00A11FE0">
        <w:rPr>
          <w:rFonts w:asciiTheme="majorHAnsi" w:hAnsiTheme="majorHAnsi"/>
          <w:szCs w:val="22"/>
        </w:rPr>
        <w:t xml:space="preserve">torými je potrebné ITMS2014+ integrovať, je možné rozdeliť do troch rámcových </w:t>
      </w:r>
      <w:r w:rsidRPr="00CB7030">
        <w:rPr>
          <w:rFonts w:asciiTheme="majorHAnsi" w:hAnsiTheme="majorHAnsi"/>
          <w:szCs w:val="22"/>
        </w:rPr>
        <w:t>skupín, a</w:t>
      </w:r>
      <w:r w:rsidR="00E1347F">
        <w:rPr>
          <w:rFonts w:asciiTheme="majorHAnsi" w:hAnsiTheme="majorHAnsi"/>
          <w:szCs w:val="22"/>
        </w:rPr>
        <w:t> </w:t>
      </w:r>
      <w:r w:rsidRPr="00CB7030">
        <w:rPr>
          <w:rFonts w:asciiTheme="majorHAnsi" w:hAnsiTheme="majorHAnsi"/>
          <w:szCs w:val="22"/>
        </w:rPr>
        <w:t>to</w:t>
      </w:r>
      <w:r w:rsidR="00E1347F">
        <w:rPr>
          <w:rFonts w:asciiTheme="majorHAnsi" w:hAnsiTheme="majorHAnsi"/>
          <w:szCs w:val="22"/>
        </w:rPr>
        <w:t>:</w:t>
      </w:r>
      <w:r w:rsidRPr="00CB7030">
        <w:rPr>
          <w:rFonts w:asciiTheme="majorHAnsi" w:hAnsiTheme="majorHAnsi"/>
          <w:szCs w:val="22"/>
        </w:rPr>
        <w:t xml:space="preserve"> základné externé IS, validačné a</w:t>
      </w:r>
      <w:r w:rsidR="005211F5">
        <w:rPr>
          <w:rFonts w:asciiTheme="majorHAnsi" w:hAnsiTheme="majorHAnsi"/>
          <w:szCs w:val="22"/>
        </w:rPr>
        <w:t> </w:t>
      </w:r>
      <w:r w:rsidRPr="00CB7030">
        <w:rPr>
          <w:rFonts w:asciiTheme="majorHAnsi" w:hAnsiTheme="majorHAnsi"/>
          <w:szCs w:val="22"/>
        </w:rPr>
        <w:t>komunikačné externé IS a</w:t>
      </w:r>
      <w:r w:rsidR="005211F5">
        <w:rPr>
          <w:rFonts w:asciiTheme="majorHAnsi" w:hAnsiTheme="majorHAnsi"/>
          <w:szCs w:val="22"/>
        </w:rPr>
        <w:t> </w:t>
      </w:r>
      <w:r w:rsidRPr="00CB7030">
        <w:rPr>
          <w:rFonts w:asciiTheme="majorHAnsi" w:hAnsiTheme="majorHAnsi"/>
          <w:szCs w:val="22"/>
        </w:rPr>
        <w:t>prezentačné externé IS. Skupina základných externých IS predstavuje IS VS SR a EK, kde integrácia s ITMS2014+ je nevyhnutná z hľadiska zabezpečenia implementácie EŠIF v SR v programovom období 2014 – 2020. Medzi tieto IS patria</w:t>
      </w:r>
      <w:r w:rsidRPr="00CB7030">
        <w:rPr>
          <w:rStyle w:val="Odkaznapoznmkupodiarou"/>
          <w:rFonts w:asciiTheme="majorHAnsi" w:hAnsiTheme="majorHAnsi"/>
          <w:szCs w:val="22"/>
        </w:rPr>
        <w:footnoteReference w:id="347"/>
      </w:r>
      <w:r w:rsidRPr="00CB7030">
        <w:rPr>
          <w:rFonts w:asciiTheme="majorHAnsi" w:hAnsiTheme="majorHAnsi"/>
          <w:szCs w:val="22"/>
        </w:rPr>
        <w:t>: Informačný systém účtovníctva fondov (ISUF), IS PPA, Štátna pokladnica SR (ŠP), Rozpočtový informačný systém (RIS), SFC2014.</w:t>
      </w:r>
      <w:r>
        <w:rPr>
          <w:rFonts w:asciiTheme="majorHAnsi" w:hAnsiTheme="majorHAnsi"/>
          <w:szCs w:val="22"/>
        </w:rPr>
        <w:t xml:space="preserve"> </w:t>
      </w:r>
    </w:p>
    <w:p w:rsidR="0021713D" w:rsidRPr="00A11FE0" w:rsidRDefault="0021713D" w:rsidP="0021713D">
      <w:pPr>
        <w:tabs>
          <w:tab w:val="left" w:pos="709"/>
          <w:tab w:val="left" w:pos="9072"/>
        </w:tabs>
        <w:spacing w:after="0"/>
        <w:rPr>
          <w:rFonts w:asciiTheme="majorHAnsi" w:hAnsiTheme="majorHAnsi"/>
          <w:szCs w:val="22"/>
        </w:rPr>
      </w:pPr>
      <w:r>
        <w:rPr>
          <w:rFonts w:asciiTheme="majorHAnsi" w:hAnsiTheme="majorHAnsi"/>
          <w:szCs w:val="22"/>
        </w:rPr>
        <w:t>S</w:t>
      </w:r>
      <w:r w:rsidRPr="00A11FE0">
        <w:rPr>
          <w:rFonts w:asciiTheme="majorHAnsi" w:hAnsiTheme="majorHAnsi"/>
          <w:szCs w:val="22"/>
        </w:rPr>
        <w:t xml:space="preserve">kupina validačných </w:t>
      </w:r>
      <w:r>
        <w:rPr>
          <w:rFonts w:asciiTheme="majorHAnsi" w:hAnsiTheme="majorHAnsi"/>
          <w:szCs w:val="22"/>
        </w:rPr>
        <w:t>a k</w:t>
      </w:r>
      <w:r w:rsidRPr="00A11FE0">
        <w:rPr>
          <w:rFonts w:asciiTheme="majorHAnsi" w:hAnsiTheme="majorHAnsi"/>
          <w:szCs w:val="22"/>
        </w:rPr>
        <w:t xml:space="preserve">omunikačných externých IS predstavuje IS VS </w:t>
      </w:r>
      <w:r>
        <w:rPr>
          <w:rFonts w:asciiTheme="majorHAnsi" w:hAnsiTheme="majorHAnsi"/>
          <w:szCs w:val="22"/>
        </w:rPr>
        <w:t>S</w:t>
      </w:r>
      <w:r w:rsidRPr="00A11FE0">
        <w:rPr>
          <w:rFonts w:asciiTheme="majorHAnsi" w:hAnsiTheme="majorHAnsi"/>
          <w:szCs w:val="22"/>
        </w:rPr>
        <w:t xml:space="preserve">R </w:t>
      </w:r>
      <w:r>
        <w:rPr>
          <w:rFonts w:asciiTheme="majorHAnsi" w:hAnsiTheme="majorHAnsi"/>
          <w:szCs w:val="22"/>
        </w:rPr>
        <w:t>a</w:t>
      </w:r>
      <w:r w:rsidRPr="00A11FE0">
        <w:rPr>
          <w:rFonts w:asciiTheme="majorHAnsi" w:hAnsiTheme="majorHAnsi"/>
          <w:szCs w:val="22"/>
        </w:rPr>
        <w:t xml:space="preserve"> EK, </w:t>
      </w:r>
      <w:r>
        <w:rPr>
          <w:rFonts w:asciiTheme="majorHAnsi" w:hAnsiTheme="majorHAnsi"/>
          <w:szCs w:val="22"/>
        </w:rPr>
        <w:t>k</w:t>
      </w:r>
      <w:r w:rsidRPr="00A11FE0">
        <w:rPr>
          <w:rFonts w:asciiTheme="majorHAnsi" w:hAnsiTheme="majorHAnsi"/>
          <w:szCs w:val="22"/>
        </w:rPr>
        <w:t xml:space="preserve">de integrácia </w:t>
      </w:r>
      <w:r>
        <w:rPr>
          <w:rFonts w:asciiTheme="majorHAnsi" w:hAnsiTheme="majorHAnsi"/>
          <w:szCs w:val="22"/>
        </w:rPr>
        <w:t>s</w:t>
      </w:r>
      <w:r w:rsidRPr="00A11FE0">
        <w:rPr>
          <w:rFonts w:asciiTheme="majorHAnsi" w:hAnsiTheme="majorHAnsi"/>
          <w:szCs w:val="22"/>
        </w:rPr>
        <w:t xml:space="preserve"> ITMS2014+ prispeje </w:t>
      </w:r>
      <w:r>
        <w:rPr>
          <w:rFonts w:asciiTheme="majorHAnsi" w:hAnsiTheme="majorHAnsi"/>
          <w:szCs w:val="22"/>
        </w:rPr>
        <w:t>k</w:t>
      </w:r>
      <w:r w:rsidRPr="00A11FE0">
        <w:rPr>
          <w:rFonts w:asciiTheme="majorHAnsi" w:hAnsiTheme="majorHAnsi"/>
          <w:szCs w:val="22"/>
        </w:rPr>
        <w:t xml:space="preserve"> znižovaniu </w:t>
      </w:r>
      <w:r>
        <w:rPr>
          <w:rFonts w:asciiTheme="majorHAnsi" w:hAnsiTheme="majorHAnsi"/>
          <w:szCs w:val="22"/>
        </w:rPr>
        <w:t>a</w:t>
      </w:r>
      <w:r w:rsidRPr="00A11FE0">
        <w:rPr>
          <w:rFonts w:asciiTheme="majorHAnsi" w:hAnsiTheme="majorHAnsi"/>
          <w:szCs w:val="22"/>
        </w:rPr>
        <w:t xml:space="preserve">dministratívnej záťaže </w:t>
      </w:r>
      <w:r>
        <w:rPr>
          <w:rFonts w:asciiTheme="majorHAnsi" w:hAnsiTheme="majorHAnsi"/>
          <w:szCs w:val="22"/>
        </w:rPr>
        <w:t>s</w:t>
      </w:r>
      <w:r w:rsidRPr="00A11FE0">
        <w:rPr>
          <w:rFonts w:asciiTheme="majorHAnsi" w:hAnsiTheme="majorHAnsi"/>
          <w:szCs w:val="22"/>
        </w:rPr>
        <w:t xml:space="preserve">ubjektov zapojených do implementácie EŠIF, </w:t>
      </w:r>
      <w:r>
        <w:rPr>
          <w:rFonts w:asciiTheme="majorHAnsi" w:hAnsiTheme="majorHAnsi"/>
          <w:szCs w:val="22"/>
        </w:rPr>
        <w:t>k</w:t>
      </w:r>
      <w:r w:rsidRPr="00A11FE0">
        <w:rPr>
          <w:rFonts w:asciiTheme="majorHAnsi" w:hAnsiTheme="majorHAnsi"/>
          <w:szCs w:val="22"/>
        </w:rPr>
        <w:t xml:space="preserve"> zvyšovaniu validačných procesov dát ITMS2014+ </w:t>
      </w:r>
      <w:r>
        <w:rPr>
          <w:rFonts w:asciiTheme="majorHAnsi" w:hAnsiTheme="majorHAnsi"/>
          <w:szCs w:val="22"/>
        </w:rPr>
        <w:t>a</w:t>
      </w:r>
      <w:r w:rsidRPr="00A11FE0">
        <w:rPr>
          <w:rFonts w:asciiTheme="majorHAnsi" w:hAnsiTheme="majorHAnsi"/>
          <w:szCs w:val="22"/>
        </w:rPr>
        <w:t> </w:t>
      </w:r>
      <w:r>
        <w:rPr>
          <w:rFonts w:asciiTheme="majorHAnsi" w:hAnsiTheme="majorHAnsi"/>
          <w:szCs w:val="22"/>
        </w:rPr>
        <w:t>k</w:t>
      </w:r>
      <w:r w:rsidRPr="00A11FE0">
        <w:rPr>
          <w:rFonts w:asciiTheme="majorHAnsi" w:hAnsiTheme="majorHAnsi"/>
          <w:szCs w:val="22"/>
        </w:rPr>
        <w:t xml:space="preserve"> zvyšovaniu interoperability ITMS2014+ </w:t>
      </w:r>
      <w:r>
        <w:rPr>
          <w:rFonts w:asciiTheme="majorHAnsi" w:hAnsiTheme="majorHAnsi"/>
          <w:szCs w:val="22"/>
        </w:rPr>
        <w:t>a</w:t>
      </w:r>
      <w:r w:rsidRPr="00A11FE0">
        <w:rPr>
          <w:rFonts w:asciiTheme="majorHAnsi" w:hAnsiTheme="majorHAnsi"/>
          <w:szCs w:val="22"/>
        </w:rPr>
        <w:t xml:space="preserve"> iných IS VS </w:t>
      </w:r>
      <w:r>
        <w:rPr>
          <w:rFonts w:asciiTheme="majorHAnsi" w:hAnsiTheme="majorHAnsi"/>
          <w:szCs w:val="22"/>
        </w:rPr>
        <w:t>S</w:t>
      </w:r>
      <w:r w:rsidRPr="00A11FE0">
        <w:rPr>
          <w:rFonts w:asciiTheme="majorHAnsi" w:hAnsiTheme="majorHAnsi"/>
          <w:szCs w:val="22"/>
        </w:rPr>
        <w:t>R. Medzi tieto IS patria najmä:</w:t>
      </w:r>
    </w:p>
    <w:p w:rsidR="0021713D" w:rsidRPr="00A11FE0" w:rsidRDefault="0021713D" w:rsidP="009B7C77">
      <w:pPr>
        <w:numPr>
          <w:ilvl w:val="0"/>
          <w:numId w:val="41"/>
        </w:numPr>
        <w:tabs>
          <w:tab w:val="left" w:pos="709"/>
          <w:tab w:val="left" w:pos="9072"/>
        </w:tabs>
        <w:spacing w:before="0" w:after="0"/>
        <w:contextualSpacing/>
        <w:rPr>
          <w:rFonts w:asciiTheme="majorHAnsi" w:hAnsiTheme="majorHAnsi"/>
          <w:szCs w:val="22"/>
        </w:rPr>
      </w:pPr>
      <w:r w:rsidRPr="00A11FE0">
        <w:rPr>
          <w:rFonts w:asciiTheme="majorHAnsi" w:hAnsiTheme="majorHAnsi"/>
          <w:szCs w:val="22"/>
        </w:rPr>
        <w:t xml:space="preserve">Ústredný portál verejnej </w:t>
      </w:r>
      <w:r>
        <w:rPr>
          <w:rFonts w:asciiTheme="majorHAnsi" w:hAnsiTheme="majorHAnsi"/>
          <w:szCs w:val="22"/>
        </w:rPr>
        <w:t>s</w:t>
      </w:r>
      <w:r w:rsidRPr="00A11FE0">
        <w:rPr>
          <w:rFonts w:asciiTheme="majorHAnsi" w:hAnsiTheme="majorHAnsi"/>
          <w:szCs w:val="22"/>
        </w:rPr>
        <w:t xml:space="preserve">právy </w:t>
      </w:r>
      <w:r>
        <w:rPr>
          <w:rFonts w:asciiTheme="majorHAnsi" w:hAnsiTheme="majorHAnsi"/>
          <w:szCs w:val="22"/>
        </w:rPr>
        <w:t>a</w:t>
      </w:r>
      <w:r w:rsidRPr="00A11FE0">
        <w:rPr>
          <w:rFonts w:asciiTheme="majorHAnsi" w:hAnsiTheme="majorHAnsi"/>
          <w:szCs w:val="22"/>
        </w:rPr>
        <w:t xml:space="preserve"> jeho moduly (napr. IAM, e-Desk, e-Notify, Modul elektronického doručovania </w:t>
      </w:r>
      <w:r>
        <w:rPr>
          <w:rFonts w:asciiTheme="majorHAnsi" w:hAnsiTheme="majorHAnsi"/>
          <w:szCs w:val="22"/>
        </w:rPr>
        <w:t>a </w:t>
      </w:r>
      <w:r w:rsidRPr="00A11FE0">
        <w:rPr>
          <w:rFonts w:asciiTheme="majorHAnsi" w:hAnsiTheme="majorHAnsi"/>
          <w:szCs w:val="22"/>
        </w:rPr>
        <w:t>pod.),</w:t>
      </w:r>
    </w:p>
    <w:p w:rsidR="0021713D" w:rsidRPr="00A11FE0" w:rsidRDefault="0021713D" w:rsidP="009B7C77">
      <w:pPr>
        <w:numPr>
          <w:ilvl w:val="0"/>
          <w:numId w:val="41"/>
        </w:numPr>
        <w:tabs>
          <w:tab w:val="left" w:pos="709"/>
          <w:tab w:val="left" w:pos="9072"/>
        </w:tabs>
        <w:spacing w:before="0" w:after="0"/>
        <w:contextualSpacing/>
        <w:rPr>
          <w:rFonts w:asciiTheme="majorHAnsi" w:hAnsiTheme="majorHAnsi"/>
          <w:szCs w:val="22"/>
        </w:rPr>
      </w:pPr>
      <w:r w:rsidRPr="00A11FE0">
        <w:rPr>
          <w:rFonts w:asciiTheme="majorHAnsi" w:hAnsiTheme="majorHAnsi"/>
          <w:szCs w:val="22"/>
        </w:rPr>
        <w:lastRenderedPageBreak/>
        <w:t xml:space="preserve">Základné číselníky </w:t>
      </w:r>
      <w:r>
        <w:rPr>
          <w:rFonts w:asciiTheme="majorHAnsi" w:hAnsiTheme="majorHAnsi"/>
          <w:szCs w:val="22"/>
        </w:rPr>
        <w:t>a</w:t>
      </w:r>
      <w:r w:rsidRPr="00A11FE0">
        <w:rPr>
          <w:rFonts w:asciiTheme="majorHAnsi" w:hAnsiTheme="majorHAnsi"/>
          <w:szCs w:val="22"/>
        </w:rPr>
        <w:t xml:space="preserve"> registre (napr. číselník právnych foriem, register fyzických osôb, register právnických osôb, register </w:t>
      </w:r>
      <w:r>
        <w:rPr>
          <w:rFonts w:asciiTheme="majorHAnsi" w:hAnsiTheme="majorHAnsi"/>
          <w:szCs w:val="22"/>
        </w:rPr>
        <w:t>a</w:t>
      </w:r>
      <w:r w:rsidRPr="00A11FE0">
        <w:rPr>
          <w:rFonts w:asciiTheme="majorHAnsi" w:hAnsiTheme="majorHAnsi"/>
          <w:szCs w:val="22"/>
        </w:rPr>
        <w:t xml:space="preserve">dries, </w:t>
      </w:r>
      <w:r>
        <w:rPr>
          <w:rFonts w:asciiTheme="majorHAnsi" w:hAnsiTheme="majorHAnsi"/>
          <w:szCs w:val="22"/>
        </w:rPr>
        <w:t>a</w:t>
      </w:r>
      <w:r w:rsidRPr="00A11FE0">
        <w:rPr>
          <w:rFonts w:asciiTheme="majorHAnsi" w:hAnsiTheme="majorHAnsi"/>
          <w:szCs w:val="22"/>
        </w:rPr>
        <w:t> pod.),</w:t>
      </w:r>
    </w:p>
    <w:p w:rsidR="0021713D" w:rsidRPr="00A11FE0" w:rsidRDefault="0021713D" w:rsidP="009B7C77">
      <w:pPr>
        <w:numPr>
          <w:ilvl w:val="0"/>
          <w:numId w:val="41"/>
        </w:numPr>
        <w:tabs>
          <w:tab w:val="left" w:pos="709"/>
          <w:tab w:val="left" w:pos="9072"/>
        </w:tabs>
        <w:spacing w:before="0" w:after="0"/>
        <w:contextualSpacing/>
        <w:rPr>
          <w:rFonts w:asciiTheme="majorHAnsi" w:hAnsiTheme="majorHAnsi"/>
          <w:szCs w:val="22"/>
        </w:rPr>
      </w:pPr>
      <w:r w:rsidRPr="00A11FE0">
        <w:rPr>
          <w:rFonts w:asciiTheme="majorHAnsi" w:hAnsiTheme="majorHAnsi"/>
          <w:szCs w:val="22"/>
        </w:rPr>
        <w:t xml:space="preserve">Elektronické </w:t>
      </w:r>
      <w:r>
        <w:rPr>
          <w:rFonts w:asciiTheme="majorHAnsi" w:hAnsiTheme="majorHAnsi"/>
          <w:szCs w:val="22"/>
        </w:rPr>
        <w:t>s</w:t>
      </w:r>
      <w:r w:rsidRPr="00A11FE0">
        <w:rPr>
          <w:rFonts w:asciiTheme="majorHAnsi" w:hAnsiTheme="majorHAnsi"/>
          <w:szCs w:val="22"/>
        </w:rPr>
        <w:t>lužby verejného obstarávania,</w:t>
      </w:r>
    </w:p>
    <w:p w:rsidR="0021713D" w:rsidRPr="00A11FE0" w:rsidRDefault="0021713D" w:rsidP="009B7C77">
      <w:pPr>
        <w:numPr>
          <w:ilvl w:val="0"/>
          <w:numId w:val="41"/>
        </w:numPr>
        <w:tabs>
          <w:tab w:val="left" w:pos="709"/>
          <w:tab w:val="left" w:pos="9072"/>
        </w:tabs>
        <w:spacing w:before="0" w:after="0"/>
        <w:contextualSpacing/>
        <w:rPr>
          <w:rFonts w:asciiTheme="majorHAnsi" w:hAnsiTheme="majorHAnsi"/>
          <w:szCs w:val="22"/>
        </w:rPr>
      </w:pPr>
      <w:r w:rsidRPr="00A11FE0">
        <w:rPr>
          <w:rFonts w:asciiTheme="majorHAnsi" w:hAnsiTheme="majorHAnsi"/>
          <w:szCs w:val="22"/>
        </w:rPr>
        <w:t xml:space="preserve">Elektronické </w:t>
      </w:r>
      <w:r>
        <w:rPr>
          <w:rFonts w:asciiTheme="majorHAnsi" w:hAnsiTheme="majorHAnsi"/>
          <w:szCs w:val="22"/>
        </w:rPr>
        <w:t>s</w:t>
      </w:r>
      <w:r w:rsidRPr="00A11FE0">
        <w:rPr>
          <w:rFonts w:asciiTheme="majorHAnsi" w:hAnsiTheme="majorHAnsi"/>
          <w:szCs w:val="22"/>
        </w:rPr>
        <w:t xml:space="preserve">lužby </w:t>
      </w:r>
      <w:r>
        <w:rPr>
          <w:rFonts w:asciiTheme="majorHAnsi" w:hAnsiTheme="majorHAnsi"/>
          <w:szCs w:val="22"/>
        </w:rPr>
        <w:t>s</w:t>
      </w:r>
      <w:r w:rsidRPr="00A11FE0">
        <w:rPr>
          <w:rFonts w:asciiTheme="majorHAnsi" w:hAnsiTheme="majorHAnsi"/>
          <w:szCs w:val="22"/>
        </w:rPr>
        <w:t xml:space="preserve">ociálnej poisťovne </w:t>
      </w:r>
      <w:r>
        <w:rPr>
          <w:rFonts w:asciiTheme="majorHAnsi" w:hAnsiTheme="majorHAnsi"/>
          <w:szCs w:val="22"/>
        </w:rPr>
        <w:t>a</w:t>
      </w:r>
      <w:r w:rsidRPr="00A11FE0">
        <w:rPr>
          <w:rFonts w:asciiTheme="majorHAnsi" w:hAnsiTheme="majorHAnsi"/>
          <w:szCs w:val="22"/>
        </w:rPr>
        <w:t> zdravotných poisťovní,</w:t>
      </w:r>
    </w:p>
    <w:p w:rsidR="0021713D" w:rsidRPr="00A11FE0" w:rsidRDefault="0021713D" w:rsidP="009B7C77">
      <w:pPr>
        <w:numPr>
          <w:ilvl w:val="0"/>
          <w:numId w:val="41"/>
        </w:numPr>
        <w:tabs>
          <w:tab w:val="left" w:pos="709"/>
          <w:tab w:val="left" w:pos="9072"/>
        </w:tabs>
        <w:spacing w:before="0" w:after="0"/>
        <w:contextualSpacing/>
        <w:rPr>
          <w:rFonts w:asciiTheme="majorHAnsi" w:hAnsiTheme="majorHAnsi"/>
          <w:szCs w:val="22"/>
        </w:rPr>
      </w:pPr>
      <w:r w:rsidRPr="00A11FE0">
        <w:rPr>
          <w:rFonts w:asciiTheme="majorHAnsi" w:hAnsiTheme="majorHAnsi"/>
          <w:szCs w:val="22"/>
        </w:rPr>
        <w:t xml:space="preserve">Elektronické </w:t>
      </w:r>
      <w:r>
        <w:rPr>
          <w:rFonts w:asciiTheme="majorHAnsi" w:hAnsiTheme="majorHAnsi"/>
          <w:szCs w:val="22"/>
        </w:rPr>
        <w:t>s</w:t>
      </w:r>
      <w:r w:rsidRPr="00A11FE0">
        <w:rPr>
          <w:rFonts w:asciiTheme="majorHAnsi" w:hAnsiTheme="majorHAnsi"/>
          <w:szCs w:val="22"/>
        </w:rPr>
        <w:t>chránky,</w:t>
      </w:r>
    </w:p>
    <w:p w:rsidR="0021713D" w:rsidRPr="00A11FE0" w:rsidRDefault="0021713D" w:rsidP="009B7C77">
      <w:pPr>
        <w:numPr>
          <w:ilvl w:val="0"/>
          <w:numId w:val="41"/>
        </w:numPr>
        <w:tabs>
          <w:tab w:val="left" w:pos="709"/>
          <w:tab w:val="left" w:pos="9072"/>
        </w:tabs>
        <w:spacing w:before="0" w:after="0"/>
        <w:contextualSpacing/>
        <w:rPr>
          <w:rFonts w:asciiTheme="majorHAnsi" w:hAnsiTheme="majorHAnsi"/>
          <w:szCs w:val="22"/>
        </w:rPr>
      </w:pPr>
      <w:r w:rsidRPr="00A11FE0">
        <w:rPr>
          <w:rFonts w:asciiTheme="majorHAnsi" w:hAnsiTheme="majorHAnsi"/>
          <w:szCs w:val="22"/>
        </w:rPr>
        <w:t>CEDIS,</w:t>
      </w:r>
    </w:p>
    <w:p w:rsidR="0021713D" w:rsidRPr="00A11FE0" w:rsidRDefault="0021713D" w:rsidP="009B7C77">
      <w:pPr>
        <w:numPr>
          <w:ilvl w:val="0"/>
          <w:numId w:val="41"/>
        </w:numPr>
        <w:tabs>
          <w:tab w:val="left" w:pos="709"/>
          <w:tab w:val="left" w:pos="9072"/>
        </w:tabs>
        <w:spacing w:before="0" w:after="0"/>
        <w:contextualSpacing/>
        <w:rPr>
          <w:rFonts w:asciiTheme="majorHAnsi" w:hAnsiTheme="majorHAnsi"/>
          <w:szCs w:val="22"/>
        </w:rPr>
      </w:pPr>
      <w:r w:rsidRPr="00A11FE0">
        <w:rPr>
          <w:rFonts w:asciiTheme="majorHAnsi" w:hAnsiTheme="majorHAnsi"/>
          <w:szCs w:val="22"/>
        </w:rPr>
        <w:t xml:space="preserve">Irregularity management </w:t>
      </w:r>
      <w:r>
        <w:rPr>
          <w:rFonts w:asciiTheme="majorHAnsi" w:hAnsiTheme="majorHAnsi"/>
          <w:szCs w:val="22"/>
        </w:rPr>
        <w:t>s</w:t>
      </w:r>
      <w:r w:rsidRPr="00A11FE0">
        <w:rPr>
          <w:rFonts w:asciiTheme="majorHAnsi" w:hAnsiTheme="majorHAnsi"/>
          <w:szCs w:val="22"/>
        </w:rPr>
        <w:t xml:space="preserve">ystem (IMS) – </w:t>
      </w:r>
      <w:r>
        <w:rPr>
          <w:rFonts w:asciiTheme="majorHAnsi" w:hAnsiTheme="majorHAnsi"/>
          <w:szCs w:val="22"/>
        </w:rPr>
        <w:t>S</w:t>
      </w:r>
      <w:r w:rsidRPr="00A11FE0">
        <w:rPr>
          <w:rFonts w:asciiTheme="majorHAnsi" w:hAnsiTheme="majorHAnsi"/>
          <w:szCs w:val="22"/>
        </w:rPr>
        <w:t>ystém riadenia nezrovnalostí,</w:t>
      </w:r>
    </w:p>
    <w:p w:rsidR="0021713D" w:rsidRPr="00A11FE0" w:rsidRDefault="0021713D" w:rsidP="009B7C77">
      <w:pPr>
        <w:numPr>
          <w:ilvl w:val="0"/>
          <w:numId w:val="41"/>
        </w:numPr>
        <w:tabs>
          <w:tab w:val="left" w:pos="709"/>
          <w:tab w:val="left" w:pos="9072"/>
        </w:tabs>
        <w:spacing w:before="0"/>
        <w:ind w:left="714" w:hanging="357"/>
        <w:contextualSpacing/>
        <w:rPr>
          <w:rFonts w:asciiTheme="majorHAnsi" w:hAnsiTheme="majorHAnsi"/>
          <w:szCs w:val="22"/>
        </w:rPr>
      </w:pPr>
      <w:r>
        <w:rPr>
          <w:rFonts w:asciiTheme="majorHAnsi" w:hAnsiTheme="majorHAnsi"/>
          <w:szCs w:val="22"/>
        </w:rPr>
        <w:t>a</w:t>
      </w:r>
      <w:r w:rsidRPr="00A11FE0">
        <w:rPr>
          <w:rFonts w:asciiTheme="majorHAnsi" w:hAnsiTheme="majorHAnsi"/>
          <w:szCs w:val="22"/>
        </w:rPr>
        <w:t> ďalšie relevantné IS.</w:t>
      </w:r>
    </w:p>
    <w:p w:rsidR="0021713D" w:rsidRDefault="0021713D" w:rsidP="005211F5">
      <w:pPr>
        <w:tabs>
          <w:tab w:val="left" w:pos="709"/>
          <w:tab w:val="left" w:pos="9072"/>
        </w:tabs>
        <w:spacing w:after="0"/>
        <w:rPr>
          <w:rFonts w:asciiTheme="majorHAnsi" w:hAnsiTheme="majorHAnsi"/>
          <w:szCs w:val="22"/>
        </w:rPr>
      </w:pPr>
      <w:r>
        <w:rPr>
          <w:rFonts w:asciiTheme="majorHAnsi" w:hAnsiTheme="majorHAnsi"/>
          <w:szCs w:val="22"/>
        </w:rPr>
        <w:t>S</w:t>
      </w:r>
      <w:r w:rsidRPr="00A11FE0">
        <w:rPr>
          <w:rFonts w:asciiTheme="majorHAnsi" w:hAnsiTheme="majorHAnsi"/>
          <w:szCs w:val="22"/>
        </w:rPr>
        <w:t xml:space="preserve">kupina prezentačných externých IS predstavuje IS VS </w:t>
      </w:r>
      <w:r>
        <w:rPr>
          <w:rFonts w:asciiTheme="majorHAnsi" w:hAnsiTheme="majorHAnsi"/>
          <w:szCs w:val="22"/>
        </w:rPr>
        <w:t>S</w:t>
      </w:r>
      <w:r w:rsidRPr="00A11FE0">
        <w:rPr>
          <w:rFonts w:asciiTheme="majorHAnsi" w:hAnsiTheme="majorHAnsi"/>
          <w:szCs w:val="22"/>
        </w:rPr>
        <w:t xml:space="preserve">R </w:t>
      </w:r>
      <w:r>
        <w:rPr>
          <w:rFonts w:asciiTheme="majorHAnsi" w:hAnsiTheme="majorHAnsi"/>
          <w:szCs w:val="22"/>
        </w:rPr>
        <w:t>a</w:t>
      </w:r>
      <w:r w:rsidRPr="00A11FE0">
        <w:rPr>
          <w:rFonts w:asciiTheme="majorHAnsi" w:hAnsiTheme="majorHAnsi"/>
          <w:szCs w:val="22"/>
        </w:rPr>
        <w:t xml:space="preserve"> EK, </w:t>
      </w:r>
      <w:r>
        <w:rPr>
          <w:rFonts w:asciiTheme="majorHAnsi" w:hAnsiTheme="majorHAnsi"/>
          <w:szCs w:val="22"/>
        </w:rPr>
        <w:t>k</w:t>
      </w:r>
      <w:r w:rsidRPr="00A11FE0">
        <w:rPr>
          <w:rFonts w:asciiTheme="majorHAnsi" w:hAnsiTheme="majorHAnsi"/>
          <w:szCs w:val="22"/>
        </w:rPr>
        <w:t xml:space="preserve">de integrácia </w:t>
      </w:r>
      <w:r>
        <w:rPr>
          <w:rFonts w:asciiTheme="majorHAnsi" w:hAnsiTheme="majorHAnsi"/>
          <w:szCs w:val="22"/>
        </w:rPr>
        <w:t>s</w:t>
      </w:r>
      <w:r w:rsidRPr="00A11FE0">
        <w:rPr>
          <w:rFonts w:asciiTheme="majorHAnsi" w:hAnsiTheme="majorHAnsi"/>
          <w:szCs w:val="22"/>
        </w:rPr>
        <w:t> ITMS2014+</w:t>
      </w:r>
      <w:r>
        <w:rPr>
          <w:rFonts w:asciiTheme="majorHAnsi" w:hAnsiTheme="majorHAnsi"/>
          <w:szCs w:val="22"/>
        </w:rPr>
        <w:t xml:space="preserve"> </w:t>
      </w:r>
      <w:r w:rsidRPr="00A11FE0">
        <w:rPr>
          <w:rFonts w:asciiTheme="majorHAnsi" w:hAnsiTheme="majorHAnsi"/>
          <w:szCs w:val="22"/>
        </w:rPr>
        <w:t xml:space="preserve">prinesie distribúciu </w:t>
      </w:r>
      <w:r>
        <w:rPr>
          <w:rFonts w:asciiTheme="majorHAnsi" w:hAnsiTheme="majorHAnsi"/>
          <w:szCs w:val="22"/>
        </w:rPr>
        <w:t>a</w:t>
      </w:r>
      <w:r w:rsidRPr="00A11FE0">
        <w:rPr>
          <w:rFonts w:asciiTheme="majorHAnsi" w:hAnsiTheme="majorHAnsi"/>
          <w:szCs w:val="22"/>
        </w:rPr>
        <w:t xml:space="preserve"> výmenu dát ohľadne implementácie EŠIF </w:t>
      </w:r>
      <w:r>
        <w:rPr>
          <w:rFonts w:asciiTheme="majorHAnsi" w:hAnsiTheme="majorHAnsi"/>
          <w:szCs w:val="22"/>
        </w:rPr>
        <w:t>s</w:t>
      </w:r>
      <w:r w:rsidRPr="00A11FE0">
        <w:rPr>
          <w:rFonts w:asciiTheme="majorHAnsi" w:hAnsiTheme="majorHAnsi"/>
          <w:szCs w:val="22"/>
        </w:rPr>
        <w:t xml:space="preserve"> inými IS </w:t>
      </w:r>
      <w:r>
        <w:rPr>
          <w:rFonts w:asciiTheme="majorHAnsi" w:hAnsiTheme="majorHAnsi"/>
          <w:szCs w:val="22"/>
        </w:rPr>
        <w:t>a</w:t>
      </w:r>
      <w:r w:rsidRPr="00A11FE0">
        <w:rPr>
          <w:rFonts w:asciiTheme="majorHAnsi" w:hAnsiTheme="majorHAnsi"/>
          <w:szCs w:val="22"/>
        </w:rPr>
        <w:t xml:space="preserve"> bude </w:t>
      </w:r>
      <w:r>
        <w:rPr>
          <w:rFonts w:asciiTheme="majorHAnsi" w:hAnsiTheme="majorHAnsi"/>
          <w:szCs w:val="22"/>
        </w:rPr>
        <w:t>s</w:t>
      </w:r>
      <w:r w:rsidRPr="00A11FE0">
        <w:rPr>
          <w:rFonts w:asciiTheme="majorHAnsi" w:hAnsiTheme="majorHAnsi"/>
          <w:szCs w:val="22"/>
        </w:rPr>
        <w:t xml:space="preserve">lúžiť na získavanie dát pre </w:t>
      </w:r>
      <w:r>
        <w:rPr>
          <w:rFonts w:asciiTheme="majorHAnsi" w:hAnsiTheme="majorHAnsi"/>
          <w:szCs w:val="22"/>
        </w:rPr>
        <w:t>s</w:t>
      </w:r>
      <w:r w:rsidRPr="00A11FE0">
        <w:rPr>
          <w:rFonts w:asciiTheme="majorHAnsi" w:hAnsiTheme="majorHAnsi"/>
          <w:szCs w:val="22"/>
        </w:rPr>
        <w:t xml:space="preserve">ekundárne </w:t>
      </w:r>
      <w:r>
        <w:rPr>
          <w:rFonts w:asciiTheme="majorHAnsi" w:hAnsiTheme="majorHAnsi"/>
          <w:szCs w:val="22"/>
        </w:rPr>
        <w:t>a</w:t>
      </w:r>
      <w:r w:rsidRPr="00A11FE0">
        <w:rPr>
          <w:rFonts w:asciiTheme="majorHAnsi" w:hAnsiTheme="majorHAnsi"/>
          <w:szCs w:val="22"/>
        </w:rPr>
        <w:t xml:space="preserve">nalýzy vplyvu implementácie EŠIF na ekonomiku </w:t>
      </w:r>
      <w:r>
        <w:rPr>
          <w:rFonts w:asciiTheme="majorHAnsi" w:hAnsiTheme="majorHAnsi"/>
          <w:szCs w:val="22"/>
        </w:rPr>
        <w:t>S</w:t>
      </w:r>
      <w:r w:rsidRPr="00A11FE0">
        <w:rPr>
          <w:rFonts w:asciiTheme="majorHAnsi" w:hAnsiTheme="majorHAnsi"/>
          <w:szCs w:val="22"/>
        </w:rPr>
        <w:t>R. Medzi tieto IS patria najmä:</w:t>
      </w:r>
      <w:r>
        <w:rPr>
          <w:rFonts w:asciiTheme="majorHAnsi" w:hAnsiTheme="majorHAnsi"/>
          <w:szCs w:val="22"/>
        </w:rPr>
        <w:t xml:space="preserve"> </w:t>
      </w:r>
      <w:r w:rsidRPr="00A11FE0">
        <w:rPr>
          <w:rFonts w:asciiTheme="majorHAnsi" w:hAnsiTheme="majorHAnsi"/>
          <w:szCs w:val="22"/>
        </w:rPr>
        <w:t xml:space="preserve">Elektronické </w:t>
      </w:r>
      <w:r>
        <w:rPr>
          <w:rFonts w:asciiTheme="majorHAnsi" w:hAnsiTheme="majorHAnsi"/>
          <w:szCs w:val="22"/>
        </w:rPr>
        <w:t>s</w:t>
      </w:r>
      <w:r w:rsidRPr="00A11FE0">
        <w:rPr>
          <w:rFonts w:asciiTheme="majorHAnsi" w:hAnsiTheme="majorHAnsi"/>
          <w:szCs w:val="22"/>
        </w:rPr>
        <w:t xml:space="preserve">lužby ŠÚ </w:t>
      </w:r>
      <w:r>
        <w:rPr>
          <w:rFonts w:asciiTheme="majorHAnsi" w:hAnsiTheme="majorHAnsi"/>
          <w:szCs w:val="22"/>
        </w:rPr>
        <w:t>S</w:t>
      </w:r>
      <w:r w:rsidRPr="00A11FE0">
        <w:rPr>
          <w:rFonts w:asciiTheme="majorHAnsi" w:hAnsiTheme="majorHAnsi"/>
          <w:szCs w:val="22"/>
        </w:rPr>
        <w:t>R,</w:t>
      </w:r>
      <w:r>
        <w:rPr>
          <w:rFonts w:asciiTheme="majorHAnsi" w:hAnsiTheme="majorHAnsi"/>
          <w:szCs w:val="22"/>
        </w:rPr>
        <w:t xml:space="preserve"> </w:t>
      </w:r>
      <w:r w:rsidRPr="00A11FE0">
        <w:rPr>
          <w:rFonts w:asciiTheme="majorHAnsi" w:hAnsiTheme="majorHAnsi"/>
          <w:szCs w:val="22"/>
        </w:rPr>
        <w:t xml:space="preserve">Mapa podporených projektov </w:t>
      </w:r>
      <w:r>
        <w:rPr>
          <w:rFonts w:asciiTheme="majorHAnsi" w:hAnsiTheme="majorHAnsi"/>
          <w:szCs w:val="22"/>
        </w:rPr>
        <w:t>a</w:t>
      </w:r>
      <w:r w:rsidRPr="00A11FE0">
        <w:rPr>
          <w:rFonts w:asciiTheme="majorHAnsi" w:hAnsiTheme="majorHAnsi"/>
          <w:szCs w:val="22"/>
        </w:rPr>
        <w:t> prijímateľov v programovom období 2014 – 2020,</w:t>
      </w:r>
      <w:r>
        <w:rPr>
          <w:rFonts w:asciiTheme="majorHAnsi" w:hAnsiTheme="majorHAnsi"/>
          <w:szCs w:val="22"/>
        </w:rPr>
        <w:t xml:space="preserve"> a</w:t>
      </w:r>
      <w:r w:rsidRPr="00A11FE0">
        <w:rPr>
          <w:rFonts w:asciiTheme="majorHAnsi" w:hAnsiTheme="majorHAnsi"/>
          <w:szCs w:val="22"/>
        </w:rPr>
        <w:t xml:space="preserve"> ďalšie relevantné IS </w:t>
      </w:r>
      <w:r>
        <w:rPr>
          <w:rFonts w:asciiTheme="majorHAnsi" w:hAnsiTheme="majorHAnsi"/>
          <w:szCs w:val="22"/>
        </w:rPr>
        <w:t>a</w:t>
      </w:r>
      <w:r w:rsidRPr="00A11FE0">
        <w:rPr>
          <w:rFonts w:asciiTheme="majorHAnsi" w:hAnsiTheme="majorHAnsi"/>
          <w:szCs w:val="22"/>
        </w:rPr>
        <w:t> </w:t>
      </w:r>
      <w:r>
        <w:rPr>
          <w:rFonts w:asciiTheme="majorHAnsi" w:hAnsiTheme="majorHAnsi"/>
          <w:szCs w:val="22"/>
        </w:rPr>
        <w:t>a</w:t>
      </w:r>
      <w:r w:rsidRPr="00A11FE0">
        <w:rPr>
          <w:rFonts w:asciiTheme="majorHAnsi" w:hAnsiTheme="majorHAnsi"/>
          <w:szCs w:val="22"/>
        </w:rPr>
        <w:t>plikácie.</w:t>
      </w:r>
    </w:p>
    <w:p w:rsidR="0021713D" w:rsidRPr="00A11FE0" w:rsidRDefault="0021713D" w:rsidP="0021713D">
      <w:pPr>
        <w:tabs>
          <w:tab w:val="left" w:pos="709"/>
          <w:tab w:val="left" w:pos="9072"/>
        </w:tabs>
        <w:spacing w:after="0"/>
        <w:rPr>
          <w:rFonts w:asciiTheme="majorHAnsi" w:hAnsiTheme="majorHAnsi"/>
          <w:szCs w:val="22"/>
        </w:rPr>
      </w:pPr>
      <w:r w:rsidRPr="0076625B">
        <w:rPr>
          <w:rFonts w:asciiTheme="majorHAnsi" w:hAnsiTheme="majorHAnsi"/>
          <w:szCs w:val="22"/>
        </w:rPr>
        <w:t xml:space="preserve">IS PPA bude integrovaný </w:t>
      </w:r>
      <w:r>
        <w:rPr>
          <w:rFonts w:asciiTheme="majorHAnsi" w:hAnsiTheme="majorHAnsi"/>
          <w:szCs w:val="22"/>
        </w:rPr>
        <w:t>s</w:t>
      </w:r>
      <w:r w:rsidRPr="0076625B">
        <w:rPr>
          <w:rFonts w:asciiTheme="majorHAnsi" w:hAnsiTheme="majorHAnsi"/>
          <w:szCs w:val="22"/>
        </w:rPr>
        <w:t>o všetkými uvedený</w:t>
      </w:r>
      <w:r>
        <w:rPr>
          <w:rFonts w:asciiTheme="majorHAnsi" w:hAnsiTheme="majorHAnsi"/>
          <w:szCs w:val="22"/>
        </w:rPr>
        <w:t>mi</w:t>
      </w:r>
      <w:r w:rsidRPr="0076625B">
        <w:rPr>
          <w:rFonts w:asciiTheme="majorHAnsi" w:hAnsiTheme="majorHAnsi"/>
          <w:szCs w:val="22"/>
        </w:rPr>
        <w:t xml:space="preserve"> IS VS, </w:t>
      </w:r>
      <w:r>
        <w:rPr>
          <w:rFonts w:asciiTheme="majorHAnsi" w:hAnsiTheme="majorHAnsi"/>
          <w:szCs w:val="22"/>
        </w:rPr>
        <w:t>s </w:t>
      </w:r>
      <w:r w:rsidRPr="0076625B">
        <w:rPr>
          <w:rFonts w:asciiTheme="majorHAnsi" w:hAnsiTheme="majorHAnsi"/>
          <w:szCs w:val="22"/>
        </w:rPr>
        <w:t xml:space="preserve">výnimkou CEDIS </w:t>
      </w:r>
      <w:r>
        <w:rPr>
          <w:rFonts w:asciiTheme="majorHAnsi" w:hAnsiTheme="majorHAnsi"/>
          <w:szCs w:val="22"/>
        </w:rPr>
        <w:t>a </w:t>
      </w:r>
      <w:r w:rsidRPr="0076625B">
        <w:rPr>
          <w:rFonts w:asciiTheme="majorHAnsi" w:hAnsiTheme="majorHAnsi"/>
          <w:szCs w:val="22"/>
        </w:rPr>
        <w:t xml:space="preserve">Mapy podporených projektov </w:t>
      </w:r>
      <w:r>
        <w:rPr>
          <w:rFonts w:asciiTheme="majorHAnsi" w:hAnsiTheme="majorHAnsi"/>
          <w:szCs w:val="22"/>
        </w:rPr>
        <w:t>a </w:t>
      </w:r>
      <w:r w:rsidRPr="0076625B">
        <w:rPr>
          <w:rFonts w:asciiTheme="majorHAnsi" w:hAnsiTheme="majorHAnsi"/>
          <w:szCs w:val="22"/>
        </w:rPr>
        <w:t>prijímateľov v</w:t>
      </w:r>
      <w:r>
        <w:rPr>
          <w:rFonts w:asciiTheme="majorHAnsi" w:hAnsiTheme="majorHAnsi"/>
          <w:szCs w:val="22"/>
        </w:rPr>
        <w:t> </w:t>
      </w:r>
      <w:r w:rsidRPr="0076625B">
        <w:rPr>
          <w:rFonts w:asciiTheme="majorHAnsi" w:hAnsiTheme="majorHAnsi"/>
          <w:szCs w:val="22"/>
        </w:rPr>
        <w:t>programovom období 2014 – 2020.</w:t>
      </w:r>
    </w:p>
    <w:p w:rsidR="0021713D" w:rsidRPr="00A11FE0" w:rsidRDefault="0021713D" w:rsidP="0021713D">
      <w:pPr>
        <w:tabs>
          <w:tab w:val="left" w:pos="709"/>
          <w:tab w:val="left" w:pos="9072"/>
        </w:tabs>
        <w:spacing w:after="0"/>
        <w:rPr>
          <w:rFonts w:asciiTheme="majorHAnsi" w:hAnsiTheme="majorHAnsi"/>
          <w:szCs w:val="22"/>
        </w:rPr>
      </w:pPr>
      <w:r w:rsidRPr="00A11FE0">
        <w:rPr>
          <w:rFonts w:asciiTheme="majorHAnsi" w:hAnsiTheme="majorHAnsi"/>
          <w:szCs w:val="22"/>
        </w:rPr>
        <w:t xml:space="preserve">V podmienkach </w:t>
      </w:r>
      <w:r>
        <w:rPr>
          <w:rFonts w:asciiTheme="majorHAnsi" w:hAnsiTheme="majorHAnsi"/>
          <w:szCs w:val="22"/>
        </w:rPr>
        <w:t>S</w:t>
      </w:r>
      <w:r w:rsidRPr="00A11FE0">
        <w:rPr>
          <w:rFonts w:asciiTheme="majorHAnsi" w:hAnsiTheme="majorHAnsi"/>
          <w:szCs w:val="22"/>
        </w:rPr>
        <w:t xml:space="preserve">R bude vytvorený efektívny </w:t>
      </w:r>
      <w:r>
        <w:rPr>
          <w:rFonts w:asciiTheme="majorHAnsi" w:hAnsiTheme="majorHAnsi"/>
          <w:szCs w:val="22"/>
        </w:rPr>
        <w:t>s</w:t>
      </w:r>
      <w:r w:rsidRPr="00A11FE0">
        <w:rPr>
          <w:rFonts w:asciiTheme="majorHAnsi" w:hAnsiTheme="majorHAnsi"/>
          <w:szCs w:val="22"/>
        </w:rPr>
        <w:t xml:space="preserve">ystém na výmenu informácií </w:t>
      </w:r>
      <w:r>
        <w:rPr>
          <w:rFonts w:asciiTheme="majorHAnsi" w:hAnsiTheme="majorHAnsi"/>
          <w:szCs w:val="22"/>
        </w:rPr>
        <w:t>a</w:t>
      </w:r>
      <w:r w:rsidRPr="00A11FE0">
        <w:rPr>
          <w:rFonts w:asciiTheme="majorHAnsi" w:hAnsiTheme="majorHAnsi"/>
          <w:szCs w:val="22"/>
        </w:rPr>
        <w:t xml:space="preserve"> dát medzi prijímateľom </w:t>
      </w:r>
      <w:r>
        <w:rPr>
          <w:rFonts w:asciiTheme="majorHAnsi" w:hAnsiTheme="majorHAnsi"/>
          <w:szCs w:val="22"/>
        </w:rPr>
        <w:t>a</w:t>
      </w:r>
      <w:r w:rsidRPr="00A11FE0">
        <w:rPr>
          <w:rFonts w:asciiTheme="majorHAnsi" w:hAnsiTheme="majorHAnsi"/>
          <w:szCs w:val="22"/>
        </w:rPr>
        <w:t xml:space="preserve"> poskytovateľom </w:t>
      </w:r>
      <w:r w:rsidR="006F6412">
        <w:rPr>
          <w:rFonts w:asciiTheme="majorHAnsi" w:hAnsiTheme="majorHAnsi"/>
          <w:szCs w:val="22"/>
        </w:rPr>
        <w:t>podpory</w:t>
      </w:r>
      <w:r w:rsidR="006F6412"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 ďalšími orgánmi zapojenými do implementácie EŠIF v elektronickej podobe </w:t>
      </w:r>
      <w:r>
        <w:rPr>
          <w:rFonts w:asciiTheme="majorHAnsi" w:hAnsiTheme="majorHAnsi"/>
          <w:szCs w:val="22"/>
        </w:rPr>
        <w:t>s</w:t>
      </w:r>
      <w:r w:rsidRPr="00A11FE0">
        <w:rPr>
          <w:rFonts w:asciiTheme="majorHAnsi" w:hAnsiTheme="majorHAnsi"/>
          <w:szCs w:val="22"/>
        </w:rPr>
        <w:t xml:space="preserve"> cieľom </w:t>
      </w:r>
      <w:r>
        <w:rPr>
          <w:rFonts w:asciiTheme="majorHAnsi" w:hAnsiTheme="majorHAnsi"/>
          <w:szCs w:val="22"/>
        </w:rPr>
        <w:t>s</w:t>
      </w:r>
      <w:r w:rsidRPr="00A11FE0">
        <w:rPr>
          <w:rFonts w:asciiTheme="majorHAnsi" w:hAnsiTheme="majorHAnsi"/>
          <w:szCs w:val="22"/>
        </w:rPr>
        <w:t xml:space="preserve">plnenia termínu do 31. 12. 2015. Výmena informácií </w:t>
      </w:r>
      <w:r>
        <w:rPr>
          <w:rFonts w:asciiTheme="majorHAnsi" w:hAnsiTheme="majorHAnsi"/>
          <w:szCs w:val="22"/>
        </w:rPr>
        <w:t>a</w:t>
      </w:r>
      <w:r w:rsidRPr="00A11FE0">
        <w:rPr>
          <w:rFonts w:asciiTheme="majorHAnsi" w:hAnsiTheme="majorHAnsi"/>
          <w:szCs w:val="22"/>
        </w:rPr>
        <w:t xml:space="preserve"> dát medzi prijímateľom </w:t>
      </w:r>
      <w:r>
        <w:rPr>
          <w:rFonts w:asciiTheme="majorHAnsi" w:hAnsiTheme="majorHAnsi"/>
          <w:szCs w:val="22"/>
        </w:rPr>
        <w:t>a</w:t>
      </w:r>
      <w:r w:rsidRPr="00A11FE0">
        <w:rPr>
          <w:rFonts w:asciiTheme="majorHAnsi" w:hAnsiTheme="majorHAnsi"/>
          <w:szCs w:val="22"/>
        </w:rPr>
        <w:t xml:space="preserve"> poskytovateľom </w:t>
      </w:r>
      <w:r w:rsidR="006F6412">
        <w:rPr>
          <w:rFonts w:asciiTheme="majorHAnsi" w:hAnsiTheme="majorHAnsi"/>
          <w:szCs w:val="22"/>
        </w:rPr>
        <w:t>podpory</w:t>
      </w:r>
      <w:r w:rsidR="006F6412"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 ďalšími orgánmi zapojenými do implementácie EŠIF v elektronickej podobe bude realizovaná iba pre určité procesy, formuláre </w:t>
      </w:r>
      <w:r>
        <w:rPr>
          <w:rFonts w:asciiTheme="majorHAnsi" w:hAnsiTheme="majorHAnsi"/>
          <w:szCs w:val="22"/>
        </w:rPr>
        <w:t>a</w:t>
      </w:r>
      <w:r w:rsidRPr="00A11FE0">
        <w:rPr>
          <w:rFonts w:asciiTheme="majorHAnsi" w:hAnsiTheme="majorHAnsi"/>
          <w:szCs w:val="22"/>
        </w:rPr>
        <w:t> informácie tak</w:t>
      </w:r>
      <w:r>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by bola zabezpečená maximálna efektívnosť vynaložených finančných prostriedkov. </w:t>
      </w:r>
      <w:r>
        <w:rPr>
          <w:rFonts w:asciiTheme="majorHAnsi" w:hAnsiTheme="majorHAnsi"/>
          <w:szCs w:val="22"/>
        </w:rPr>
        <w:t>S</w:t>
      </w:r>
      <w:r w:rsidRPr="00A11FE0">
        <w:rPr>
          <w:rFonts w:asciiTheme="majorHAnsi" w:hAnsiTheme="majorHAnsi"/>
          <w:szCs w:val="22"/>
        </w:rPr>
        <w:t xml:space="preserve">tratégia pre </w:t>
      </w:r>
      <w:r>
        <w:rPr>
          <w:rFonts w:asciiTheme="majorHAnsi" w:hAnsiTheme="majorHAnsi"/>
          <w:szCs w:val="22"/>
        </w:rPr>
        <w:t>s</w:t>
      </w:r>
      <w:r w:rsidRPr="00A11FE0">
        <w:rPr>
          <w:rFonts w:asciiTheme="majorHAnsi" w:hAnsiTheme="majorHAnsi"/>
          <w:szCs w:val="22"/>
        </w:rPr>
        <w:t xml:space="preserve">plnenie požiadavky je v postupnom nasadzovaní </w:t>
      </w:r>
      <w:r>
        <w:rPr>
          <w:rFonts w:asciiTheme="majorHAnsi" w:hAnsiTheme="majorHAnsi"/>
          <w:szCs w:val="22"/>
        </w:rPr>
        <w:t>a</w:t>
      </w:r>
      <w:r w:rsidR="00B27DB8">
        <w:rPr>
          <w:rFonts w:asciiTheme="majorHAnsi" w:hAnsiTheme="majorHAnsi"/>
          <w:szCs w:val="22"/>
        </w:rPr>
        <w:t> </w:t>
      </w:r>
      <w:r w:rsidRPr="00A11FE0">
        <w:rPr>
          <w:rFonts w:asciiTheme="majorHAnsi" w:hAnsiTheme="majorHAnsi"/>
          <w:szCs w:val="22"/>
        </w:rPr>
        <w:t xml:space="preserve">uvoľňovaní funkcionalít ITMS2014+, </w:t>
      </w:r>
      <w:r>
        <w:rPr>
          <w:rFonts w:asciiTheme="majorHAnsi" w:hAnsiTheme="majorHAnsi"/>
          <w:szCs w:val="22"/>
        </w:rPr>
        <w:t>k</w:t>
      </w:r>
      <w:r w:rsidRPr="00A11FE0">
        <w:rPr>
          <w:rFonts w:asciiTheme="majorHAnsi" w:hAnsiTheme="majorHAnsi"/>
          <w:szCs w:val="22"/>
        </w:rPr>
        <w:t xml:space="preserve">toré prispievajú </w:t>
      </w:r>
      <w:r>
        <w:rPr>
          <w:rFonts w:asciiTheme="majorHAnsi" w:hAnsiTheme="majorHAnsi"/>
          <w:szCs w:val="22"/>
        </w:rPr>
        <w:t>k</w:t>
      </w:r>
      <w:r w:rsidR="00B27DB8">
        <w:rPr>
          <w:rFonts w:asciiTheme="majorHAnsi" w:hAnsiTheme="majorHAnsi"/>
          <w:szCs w:val="22"/>
        </w:rPr>
        <w:t> </w:t>
      </w:r>
      <w:r w:rsidRPr="00A11FE0">
        <w:rPr>
          <w:rFonts w:asciiTheme="majorHAnsi" w:hAnsiTheme="majorHAnsi"/>
          <w:szCs w:val="22"/>
        </w:rPr>
        <w:t xml:space="preserve">možnostiam výmeny informácií </w:t>
      </w:r>
      <w:r>
        <w:rPr>
          <w:rFonts w:asciiTheme="majorHAnsi" w:hAnsiTheme="majorHAnsi"/>
          <w:szCs w:val="22"/>
        </w:rPr>
        <w:t>a</w:t>
      </w:r>
      <w:r w:rsidRPr="00A11FE0">
        <w:rPr>
          <w:rFonts w:asciiTheme="majorHAnsi" w:hAnsiTheme="majorHAnsi"/>
          <w:szCs w:val="22"/>
        </w:rPr>
        <w:t xml:space="preserve"> dát v elektronickej podobe. Rámcový pohľad na jednotlivé </w:t>
      </w:r>
      <w:r>
        <w:rPr>
          <w:rFonts w:asciiTheme="majorHAnsi" w:hAnsiTheme="majorHAnsi"/>
          <w:szCs w:val="22"/>
        </w:rPr>
        <w:t>k</w:t>
      </w:r>
      <w:r w:rsidRPr="00A11FE0">
        <w:rPr>
          <w:rFonts w:asciiTheme="majorHAnsi" w:hAnsiTheme="majorHAnsi"/>
          <w:szCs w:val="22"/>
        </w:rPr>
        <w:t xml:space="preserve">roky </w:t>
      </w:r>
      <w:r>
        <w:rPr>
          <w:rFonts w:asciiTheme="majorHAnsi" w:hAnsiTheme="majorHAnsi"/>
          <w:szCs w:val="22"/>
        </w:rPr>
        <w:t>zohľadňuje</w:t>
      </w:r>
      <w:r w:rsidRPr="00A11FE0">
        <w:rPr>
          <w:rFonts w:asciiTheme="majorHAnsi" w:hAnsiTheme="majorHAnsi"/>
          <w:szCs w:val="22"/>
        </w:rPr>
        <w:t xml:space="preserve"> proces implementácie EŠIF </w:t>
      </w:r>
      <w:r>
        <w:rPr>
          <w:rFonts w:asciiTheme="majorHAnsi" w:hAnsiTheme="majorHAnsi"/>
          <w:szCs w:val="22"/>
        </w:rPr>
        <w:t>a</w:t>
      </w:r>
      <w:r w:rsidRPr="00A11FE0">
        <w:rPr>
          <w:rFonts w:asciiTheme="majorHAnsi" w:hAnsiTheme="majorHAnsi"/>
          <w:szCs w:val="22"/>
        </w:rPr>
        <w:t xml:space="preserve"> je závislý na budovaní iných IS VS </w:t>
      </w:r>
      <w:r>
        <w:rPr>
          <w:rFonts w:asciiTheme="majorHAnsi" w:hAnsiTheme="majorHAnsi"/>
          <w:szCs w:val="22"/>
        </w:rPr>
        <w:t>S</w:t>
      </w:r>
      <w:r w:rsidRPr="00A11FE0">
        <w:rPr>
          <w:rFonts w:asciiTheme="majorHAnsi" w:hAnsiTheme="majorHAnsi"/>
          <w:szCs w:val="22"/>
        </w:rPr>
        <w:t>R:</w:t>
      </w:r>
    </w:p>
    <w:p w:rsidR="0021713D" w:rsidRPr="00A11FE0" w:rsidRDefault="0021713D" w:rsidP="009B7C77">
      <w:pPr>
        <w:numPr>
          <w:ilvl w:val="0"/>
          <w:numId w:val="42"/>
        </w:numPr>
        <w:tabs>
          <w:tab w:val="left" w:pos="709"/>
          <w:tab w:val="left" w:pos="9072"/>
        </w:tabs>
        <w:spacing w:before="0" w:after="0"/>
        <w:ind w:left="709"/>
        <w:contextualSpacing/>
        <w:rPr>
          <w:rFonts w:asciiTheme="majorHAnsi" w:hAnsiTheme="majorHAnsi"/>
          <w:szCs w:val="22"/>
        </w:rPr>
      </w:pPr>
      <w:r w:rsidRPr="00A11FE0">
        <w:rPr>
          <w:rFonts w:asciiTheme="majorHAnsi" w:hAnsiTheme="majorHAnsi"/>
          <w:szCs w:val="22"/>
        </w:rPr>
        <w:t xml:space="preserve">Funkcionality ITMS2014+ na </w:t>
      </w:r>
      <w:r>
        <w:rPr>
          <w:rFonts w:asciiTheme="majorHAnsi" w:hAnsiTheme="majorHAnsi"/>
          <w:szCs w:val="22"/>
        </w:rPr>
        <w:t>a</w:t>
      </w:r>
      <w:r w:rsidRPr="00A11FE0">
        <w:rPr>
          <w:rFonts w:asciiTheme="majorHAnsi" w:hAnsiTheme="majorHAnsi"/>
          <w:szCs w:val="22"/>
        </w:rPr>
        <w:t xml:space="preserve">utomatické získavanie/vkladanie informácií, štruktúrovaných dokumentov o žiadateľoch </w:t>
      </w:r>
      <w:r>
        <w:rPr>
          <w:rFonts w:asciiTheme="majorHAnsi" w:hAnsiTheme="majorHAnsi"/>
          <w:szCs w:val="22"/>
        </w:rPr>
        <w:t>a</w:t>
      </w:r>
      <w:r w:rsidRPr="00A11FE0">
        <w:rPr>
          <w:rFonts w:asciiTheme="majorHAnsi" w:hAnsiTheme="majorHAnsi"/>
          <w:szCs w:val="22"/>
        </w:rPr>
        <w:t> prijímateľoch z referenčných IS. Termín uvoľnenia do prevádzky je 31. 12. 2014.</w:t>
      </w:r>
    </w:p>
    <w:p w:rsidR="0021713D" w:rsidRPr="00A11FE0" w:rsidRDefault="0021713D" w:rsidP="009B7C77">
      <w:pPr>
        <w:numPr>
          <w:ilvl w:val="0"/>
          <w:numId w:val="42"/>
        </w:numPr>
        <w:tabs>
          <w:tab w:val="left" w:pos="709"/>
          <w:tab w:val="left" w:pos="9072"/>
        </w:tabs>
        <w:spacing w:before="0" w:after="0"/>
        <w:ind w:left="709"/>
        <w:contextualSpacing/>
        <w:rPr>
          <w:rFonts w:asciiTheme="majorHAnsi" w:hAnsiTheme="majorHAnsi"/>
          <w:szCs w:val="22"/>
        </w:rPr>
      </w:pPr>
      <w:r w:rsidRPr="00A11FE0">
        <w:rPr>
          <w:rFonts w:asciiTheme="majorHAnsi" w:hAnsiTheme="majorHAnsi"/>
          <w:szCs w:val="22"/>
        </w:rPr>
        <w:t xml:space="preserve">Funkcionality ITMS2014+ na </w:t>
      </w:r>
      <w:r>
        <w:rPr>
          <w:rFonts w:asciiTheme="majorHAnsi" w:hAnsiTheme="majorHAnsi"/>
          <w:szCs w:val="22"/>
        </w:rPr>
        <w:t>a</w:t>
      </w:r>
      <w:r w:rsidRPr="00A11FE0">
        <w:rPr>
          <w:rFonts w:asciiTheme="majorHAnsi" w:hAnsiTheme="majorHAnsi"/>
          <w:szCs w:val="22"/>
        </w:rPr>
        <w:t xml:space="preserve">utomatické </w:t>
      </w:r>
      <w:r>
        <w:rPr>
          <w:rFonts w:asciiTheme="majorHAnsi" w:hAnsiTheme="majorHAnsi"/>
          <w:szCs w:val="22"/>
        </w:rPr>
        <w:t>a</w:t>
      </w:r>
      <w:r w:rsidRPr="00A11FE0">
        <w:rPr>
          <w:rFonts w:asciiTheme="majorHAnsi" w:hAnsiTheme="majorHAnsi"/>
          <w:szCs w:val="22"/>
        </w:rPr>
        <w:t xml:space="preserve"> manuálne získavanie/vkladanie informácií, štruktúrovaných dokumentov týkajúcich </w:t>
      </w:r>
      <w:r>
        <w:rPr>
          <w:rFonts w:asciiTheme="majorHAnsi" w:hAnsiTheme="majorHAnsi"/>
          <w:szCs w:val="22"/>
        </w:rPr>
        <w:t>s</w:t>
      </w:r>
      <w:r w:rsidRPr="00A11FE0">
        <w:rPr>
          <w:rFonts w:asciiTheme="majorHAnsi" w:hAnsiTheme="majorHAnsi"/>
          <w:szCs w:val="22"/>
        </w:rPr>
        <w:t xml:space="preserve">a podpornej dokumentácie, </w:t>
      </w:r>
      <w:r>
        <w:rPr>
          <w:rFonts w:asciiTheme="majorHAnsi" w:hAnsiTheme="majorHAnsi"/>
          <w:szCs w:val="22"/>
        </w:rPr>
        <w:t>k</w:t>
      </w:r>
      <w:r w:rsidRPr="00A11FE0">
        <w:rPr>
          <w:rFonts w:asciiTheme="majorHAnsi" w:hAnsiTheme="majorHAnsi"/>
          <w:szCs w:val="22"/>
        </w:rPr>
        <w:t xml:space="preserve">torá </w:t>
      </w:r>
      <w:r>
        <w:rPr>
          <w:rFonts w:asciiTheme="majorHAnsi" w:hAnsiTheme="majorHAnsi"/>
          <w:szCs w:val="22"/>
        </w:rPr>
        <w:t>s</w:t>
      </w:r>
      <w:r w:rsidRPr="00A11FE0">
        <w:rPr>
          <w:rFonts w:asciiTheme="majorHAnsi" w:hAnsiTheme="majorHAnsi"/>
          <w:szCs w:val="22"/>
        </w:rPr>
        <w:t>a vyžaduje pre poskytnutie finančného príspevku. Te</w:t>
      </w:r>
      <w:r>
        <w:rPr>
          <w:rFonts w:asciiTheme="majorHAnsi" w:hAnsiTheme="majorHAnsi"/>
          <w:szCs w:val="22"/>
        </w:rPr>
        <w:t xml:space="preserve">rmín uvoľnenia do prevádzky je </w:t>
      </w:r>
      <w:r w:rsidRPr="00A11FE0">
        <w:rPr>
          <w:rFonts w:asciiTheme="majorHAnsi" w:hAnsiTheme="majorHAnsi"/>
          <w:szCs w:val="22"/>
        </w:rPr>
        <w:t>31. 12. 2014.</w:t>
      </w:r>
    </w:p>
    <w:p w:rsidR="0021713D" w:rsidRPr="00A11FE0" w:rsidRDefault="0021713D" w:rsidP="009B7C77">
      <w:pPr>
        <w:numPr>
          <w:ilvl w:val="0"/>
          <w:numId w:val="42"/>
        </w:numPr>
        <w:tabs>
          <w:tab w:val="left" w:pos="709"/>
          <w:tab w:val="left" w:pos="9072"/>
        </w:tabs>
        <w:spacing w:before="0" w:after="0"/>
        <w:ind w:left="709"/>
        <w:contextualSpacing/>
        <w:rPr>
          <w:rFonts w:asciiTheme="majorHAnsi" w:hAnsiTheme="majorHAnsi"/>
          <w:szCs w:val="22"/>
        </w:rPr>
      </w:pPr>
      <w:r w:rsidRPr="00A11FE0">
        <w:rPr>
          <w:rFonts w:asciiTheme="majorHAnsi" w:hAnsiTheme="majorHAnsi"/>
          <w:szCs w:val="22"/>
        </w:rPr>
        <w:t xml:space="preserve">Funkcionality ITMS2014+ na predkladanie </w:t>
      </w:r>
      <w:r>
        <w:rPr>
          <w:rFonts w:asciiTheme="majorHAnsi" w:hAnsiTheme="majorHAnsi"/>
          <w:szCs w:val="22"/>
        </w:rPr>
        <w:t>a</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 xml:space="preserve">pracovanie rôznych informácií </w:t>
      </w:r>
      <w:r>
        <w:rPr>
          <w:rFonts w:asciiTheme="majorHAnsi" w:hAnsiTheme="majorHAnsi"/>
          <w:szCs w:val="22"/>
        </w:rPr>
        <w:t>a</w:t>
      </w:r>
      <w:r w:rsidRPr="00A11FE0">
        <w:rPr>
          <w:rFonts w:asciiTheme="majorHAnsi" w:hAnsiTheme="majorHAnsi"/>
          <w:szCs w:val="22"/>
        </w:rPr>
        <w:t xml:space="preserve"> dokumentov </w:t>
      </w:r>
      <w:r>
        <w:rPr>
          <w:rFonts w:asciiTheme="majorHAnsi" w:hAnsiTheme="majorHAnsi"/>
          <w:szCs w:val="22"/>
        </w:rPr>
        <w:t>s</w:t>
      </w:r>
      <w:r w:rsidRPr="00A11FE0">
        <w:rPr>
          <w:rFonts w:asciiTheme="majorHAnsi" w:hAnsiTheme="majorHAnsi"/>
          <w:szCs w:val="22"/>
        </w:rPr>
        <w:t xml:space="preserve">pojených </w:t>
      </w:r>
      <w:r>
        <w:rPr>
          <w:rFonts w:asciiTheme="majorHAnsi" w:hAnsiTheme="majorHAnsi"/>
          <w:szCs w:val="22"/>
        </w:rPr>
        <w:t>s</w:t>
      </w:r>
      <w:r w:rsidRPr="00A11FE0">
        <w:rPr>
          <w:rFonts w:asciiTheme="majorHAnsi" w:hAnsiTheme="majorHAnsi"/>
          <w:szCs w:val="22"/>
        </w:rPr>
        <w:t> implementáciou projektov podporených z EŠIF v elektronickej podobe. Termín uvoľnenia do prevádzky je 31. 12. 2015.</w:t>
      </w:r>
    </w:p>
    <w:p w:rsidR="0021713D" w:rsidRDefault="0021713D" w:rsidP="009B7C77">
      <w:pPr>
        <w:numPr>
          <w:ilvl w:val="0"/>
          <w:numId w:val="42"/>
        </w:numPr>
        <w:tabs>
          <w:tab w:val="left" w:pos="709"/>
          <w:tab w:val="left" w:pos="9072"/>
        </w:tabs>
        <w:spacing w:before="0" w:after="0"/>
        <w:ind w:left="709"/>
        <w:contextualSpacing/>
        <w:rPr>
          <w:rFonts w:asciiTheme="majorHAnsi" w:hAnsiTheme="majorHAnsi"/>
          <w:szCs w:val="22"/>
        </w:rPr>
      </w:pPr>
      <w:r w:rsidRPr="00A11FE0">
        <w:rPr>
          <w:rFonts w:asciiTheme="majorHAnsi" w:hAnsiTheme="majorHAnsi"/>
          <w:szCs w:val="22"/>
        </w:rPr>
        <w:t>Plná funkčnosť elektronickej výmeny dát ITMS2014+ v zmysle požiadaviek e-</w:t>
      </w:r>
      <w:r>
        <w:rPr>
          <w:rFonts w:asciiTheme="majorHAnsi" w:hAnsiTheme="majorHAnsi"/>
          <w:szCs w:val="22"/>
        </w:rPr>
        <w:t>k</w:t>
      </w:r>
      <w:r w:rsidRPr="00A11FE0">
        <w:rPr>
          <w:rFonts w:asciiTheme="majorHAnsi" w:hAnsiTheme="majorHAnsi"/>
          <w:szCs w:val="22"/>
        </w:rPr>
        <w:t>ohézie. Termín uvoľnenia do prevádzky je 31. 12. 2015.</w:t>
      </w:r>
    </w:p>
    <w:p w:rsidR="00245DE5" w:rsidRPr="005F1CDE" w:rsidRDefault="00245DE5" w:rsidP="00174E83">
      <w:pPr>
        <w:tabs>
          <w:tab w:val="left" w:pos="709"/>
          <w:tab w:val="left" w:pos="9072"/>
        </w:tabs>
        <w:spacing w:before="240" w:after="0"/>
        <w:rPr>
          <w:rFonts w:asciiTheme="majorHAnsi" w:hAnsiTheme="majorHAnsi"/>
          <w:szCs w:val="22"/>
        </w:rPr>
      </w:pPr>
      <w:r w:rsidRPr="005F1CDE">
        <w:rPr>
          <w:rFonts w:asciiTheme="majorHAnsi" w:hAnsiTheme="majorHAnsi"/>
          <w:szCs w:val="22"/>
        </w:rPr>
        <w:t>Rámcový pohľad na implementáciu jednotlivých  krokov pre IS PPA zohľadňuje stav riešenia rozbehnutých projektov a tiež je závislý na budovaní iných IS VS SR:</w:t>
      </w:r>
    </w:p>
    <w:p w:rsidR="00245DE5" w:rsidRDefault="00245DE5" w:rsidP="009B7C77">
      <w:pPr>
        <w:pStyle w:val="Odsekzoznamu"/>
        <w:numPr>
          <w:ilvl w:val="3"/>
          <w:numId w:val="25"/>
        </w:numPr>
        <w:tabs>
          <w:tab w:val="left" w:pos="709"/>
          <w:tab w:val="left" w:pos="9072"/>
        </w:tabs>
        <w:spacing w:before="0" w:after="0"/>
        <w:ind w:left="709" w:hanging="357"/>
        <w:rPr>
          <w:rFonts w:asciiTheme="majorHAnsi" w:hAnsiTheme="majorHAnsi"/>
          <w:szCs w:val="22"/>
        </w:rPr>
      </w:pPr>
      <w:r w:rsidRPr="005F1CDE">
        <w:rPr>
          <w:rFonts w:asciiTheme="majorHAnsi" w:hAnsiTheme="majorHAnsi"/>
          <w:szCs w:val="22"/>
        </w:rPr>
        <w:t>Plný nábeh nosných agendových systémov, tvoriacich základ IS PPA, pre umožnenie vyplácania všetkých druhov podpôr s úplnou akceptáciou nových pravidiel  SPP</w:t>
      </w:r>
      <w:r w:rsidR="00E1347F">
        <w:rPr>
          <w:rFonts w:asciiTheme="majorHAnsi" w:hAnsiTheme="majorHAnsi"/>
          <w:szCs w:val="22"/>
        </w:rPr>
        <w:t>,</w:t>
      </w:r>
      <w:r w:rsidRPr="005F1CDE">
        <w:rPr>
          <w:rFonts w:asciiTheme="majorHAnsi" w:hAnsiTheme="majorHAnsi"/>
          <w:szCs w:val="22"/>
        </w:rPr>
        <w:t xml:space="preserve"> ako aj programového obdobia 2014</w:t>
      </w:r>
      <w:r>
        <w:rPr>
          <w:rFonts w:asciiTheme="majorHAnsi" w:hAnsiTheme="majorHAnsi"/>
          <w:szCs w:val="22"/>
        </w:rPr>
        <w:t xml:space="preserve"> </w:t>
      </w:r>
      <w:r w:rsidR="005211F5">
        <w:rPr>
          <w:rFonts w:asciiTheme="majorHAnsi" w:hAnsiTheme="majorHAnsi"/>
          <w:szCs w:val="22"/>
        </w:rPr>
        <w:t>–</w:t>
      </w:r>
      <w:r>
        <w:rPr>
          <w:rFonts w:asciiTheme="majorHAnsi" w:hAnsiTheme="majorHAnsi"/>
          <w:szCs w:val="22"/>
        </w:rPr>
        <w:t xml:space="preserve"> </w:t>
      </w:r>
      <w:r w:rsidRPr="005F1CDE">
        <w:rPr>
          <w:rFonts w:asciiTheme="majorHAnsi" w:hAnsiTheme="majorHAnsi"/>
          <w:szCs w:val="22"/>
        </w:rPr>
        <w:t>2020. Termín uvoľnenia do prevádzky je 31. 12. 2014.</w:t>
      </w:r>
    </w:p>
    <w:p w:rsidR="00245DE5" w:rsidRDefault="00245DE5" w:rsidP="009B7C77">
      <w:pPr>
        <w:pStyle w:val="Odsekzoznamu"/>
        <w:numPr>
          <w:ilvl w:val="3"/>
          <w:numId w:val="25"/>
        </w:numPr>
        <w:tabs>
          <w:tab w:val="left" w:pos="709"/>
          <w:tab w:val="left" w:pos="9072"/>
        </w:tabs>
        <w:spacing w:after="0"/>
        <w:ind w:left="709"/>
        <w:rPr>
          <w:rFonts w:asciiTheme="majorHAnsi" w:hAnsiTheme="majorHAnsi"/>
          <w:szCs w:val="22"/>
        </w:rPr>
      </w:pPr>
      <w:r w:rsidRPr="005F1CDE">
        <w:rPr>
          <w:rFonts w:asciiTheme="majorHAnsi" w:hAnsiTheme="majorHAnsi"/>
          <w:szCs w:val="22"/>
        </w:rPr>
        <w:t>Funkcionality IS PPA zabezpečujúce jeho obojsmerné prepojenia s externými systémami a registrami (ITMS, ŠP, ISUF a i.). Termín uvoľnenia do prevádzky je 30. 6. 2015.</w:t>
      </w:r>
    </w:p>
    <w:p w:rsidR="00245DE5" w:rsidRDefault="00245DE5" w:rsidP="009B7C77">
      <w:pPr>
        <w:pStyle w:val="Odsekzoznamu"/>
        <w:numPr>
          <w:ilvl w:val="3"/>
          <w:numId w:val="25"/>
        </w:numPr>
        <w:tabs>
          <w:tab w:val="left" w:pos="709"/>
          <w:tab w:val="left" w:pos="9072"/>
        </w:tabs>
        <w:spacing w:after="0"/>
        <w:ind w:left="709"/>
        <w:rPr>
          <w:rFonts w:asciiTheme="majorHAnsi" w:hAnsiTheme="majorHAnsi"/>
          <w:szCs w:val="22"/>
        </w:rPr>
      </w:pPr>
      <w:r w:rsidRPr="005F1CDE">
        <w:rPr>
          <w:rFonts w:asciiTheme="majorHAnsi" w:hAnsiTheme="majorHAnsi"/>
          <w:szCs w:val="22"/>
        </w:rPr>
        <w:t>Funkcionality IS PPA  na elektronické predkladanie, spracovanie a publikovanie rôznych informácií a dokumentov súvisiacich s informovanosťou a žiadosťami pre všetky druhy podpôr. Termín uvoľnenia do prevádzky je 31. 12. 2015.</w:t>
      </w:r>
    </w:p>
    <w:p w:rsidR="00245DE5" w:rsidRPr="005F1CDE" w:rsidRDefault="00245DE5" w:rsidP="009B7C77">
      <w:pPr>
        <w:pStyle w:val="Odsekzoznamu"/>
        <w:numPr>
          <w:ilvl w:val="3"/>
          <w:numId w:val="25"/>
        </w:numPr>
        <w:tabs>
          <w:tab w:val="left" w:pos="709"/>
          <w:tab w:val="left" w:pos="9072"/>
        </w:tabs>
        <w:spacing w:after="0"/>
        <w:ind w:left="709"/>
        <w:rPr>
          <w:rFonts w:asciiTheme="majorHAnsi" w:hAnsiTheme="majorHAnsi"/>
          <w:szCs w:val="22"/>
        </w:rPr>
      </w:pPr>
      <w:r w:rsidRPr="005F1CDE">
        <w:rPr>
          <w:rFonts w:asciiTheme="majorHAnsi" w:hAnsiTheme="majorHAnsi"/>
          <w:szCs w:val="22"/>
        </w:rPr>
        <w:t>Plná funkčnosť elektronickej výmeny dát IS PPA v zmysle požiadaviek e-kohézie. Termín uvoľnenia do prevádzky je 31. 12. 2015.</w:t>
      </w:r>
    </w:p>
    <w:p w:rsidR="0021713D" w:rsidRPr="00A11FE0" w:rsidRDefault="0021713D" w:rsidP="0021713D">
      <w:pPr>
        <w:tabs>
          <w:tab w:val="left" w:pos="709"/>
          <w:tab w:val="left" w:pos="9072"/>
        </w:tabs>
        <w:rPr>
          <w:rFonts w:asciiTheme="majorHAnsi" w:hAnsiTheme="majorHAnsi"/>
          <w:szCs w:val="22"/>
        </w:rPr>
      </w:pPr>
      <w:r w:rsidRPr="00A11FE0">
        <w:rPr>
          <w:rFonts w:asciiTheme="majorHAnsi" w:hAnsiTheme="majorHAnsi"/>
          <w:szCs w:val="22"/>
        </w:rPr>
        <w:t xml:space="preserve">V prechodnom období (do plnej funkčnosti </w:t>
      </w:r>
      <w:r>
        <w:rPr>
          <w:rFonts w:asciiTheme="majorHAnsi" w:hAnsiTheme="majorHAnsi"/>
          <w:szCs w:val="22"/>
        </w:rPr>
        <w:t>s</w:t>
      </w:r>
      <w:r w:rsidRPr="00A11FE0">
        <w:rPr>
          <w:rFonts w:asciiTheme="majorHAnsi" w:hAnsiTheme="majorHAnsi"/>
          <w:szCs w:val="22"/>
        </w:rPr>
        <w:t xml:space="preserve">ystému) budú postupne </w:t>
      </w:r>
      <w:r>
        <w:rPr>
          <w:rFonts w:asciiTheme="majorHAnsi" w:hAnsiTheme="majorHAnsi"/>
          <w:szCs w:val="22"/>
        </w:rPr>
        <w:t>s</w:t>
      </w:r>
      <w:r w:rsidRPr="00A11FE0">
        <w:rPr>
          <w:rFonts w:asciiTheme="majorHAnsi" w:hAnsiTheme="majorHAnsi"/>
          <w:szCs w:val="22"/>
        </w:rPr>
        <w:t xml:space="preserve">prístupňované funkcionality, </w:t>
      </w:r>
      <w:r>
        <w:rPr>
          <w:rFonts w:asciiTheme="majorHAnsi" w:hAnsiTheme="majorHAnsi"/>
          <w:szCs w:val="22"/>
        </w:rPr>
        <w:t>k</w:t>
      </w:r>
      <w:r w:rsidRPr="00A11FE0">
        <w:rPr>
          <w:rFonts w:asciiTheme="majorHAnsi" w:hAnsiTheme="majorHAnsi"/>
          <w:szCs w:val="22"/>
        </w:rPr>
        <w:t xml:space="preserve">toré umožnia prechod z „papierového“ procesu na elektronický. Papierová </w:t>
      </w:r>
      <w:r>
        <w:rPr>
          <w:rFonts w:asciiTheme="majorHAnsi" w:hAnsiTheme="majorHAnsi"/>
          <w:szCs w:val="22"/>
        </w:rPr>
        <w:t>k</w:t>
      </w:r>
      <w:r w:rsidRPr="00A11FE0">
        <w:rPr>
          <w:rFonts w:asciiTheme="majorHAnsi" w:hAnsiTheme="majorHAnsi"/>
          <w:szCs w:val="22"/>
        </w:rPr>
        <w:t xml:space="preserve">omunikácia prestane </w:t>
      </w:r>
      <w:r w:rsidRPr="00A11FE0">
        <w:rPr>
          <w:rFonts w:asciiTheme="majorHAnsi" w:hAnsiTheme="majorHAnsi"/>
          <w:szCs w:val="22"/>
        </w:rPr>
        <w:lastRenderedPageBreak/>
        <w:t xml:space="preserve">byť povinná v častiach ITMS2014+, pre </w:t>
      </w:r>
      <w:r>
        <w:rPr>
          <w:rFonts w:asciiTheme="majorHAnsi" w:hAnsiTheme="majorHAnsi"/>
          <w:szCs w:val="22"/>
        </w:rPr>
        <w:t>k</w:t>
      </w:r>
      <w:r w:rsidRPr="00A11FE0">
        <w:rPr>
          <w:rFonts w:asciiTheme="majorHAnsi" w:hAnsiTheme="majorHAnsi"/>
          <w:szCs w:val="22"/>
        </w:rPr>
        <w:t xml:space="preserve">toré bude </w:t>
      </w:r>
      <w:r>
        <w:rPr>
          <w:rFonts w:asciiTheme="majorHAnsi" w:hAnsiTheme="majorHAnsi"/>
          <w:szCs w:val="22"/>
        </w:rPr>
        <w:t>s</w:t>
      </w:r>
      <w:r w:rsidRPr="00A11FE0">
        <w:rPr>
          <w:rFonts w:asciiTheme="majorHAnsi" w:hAnsiTheme="majorHAnsi"/>
          <w:szCs w:val="22"/>
        </w:rPr>
        <w:t xml:space="preserve">prístupnená </w:t>
      </w:r>
      <w:r>
        <w:rPr>
          <w:rFonts w:asciiTheme="majorHAnsi" w:hAnsiTheme="majorHAnsi"/>
          <w:szCs w:val="22"/>
        </w:rPr>
        <w:t>k</w:t>
      </w:r>
      <w:r w:rsidRPr="00A11FE0">
        <w:rPr>
          <w:rFonts w:asciiTheme="majorHAnsi" w:hAnsiTheme="majorHAnsi"/>
          <w:szCs w:val="22"/>
        </w:rPr>
        <w:t xml:space="preserve">onkrétna funkcionalita </w:t>
      </w:r>
      <w:r>
        <w:rPr>
          <w:rFonts w:asciiTheme="majorHAnsi" w:hAnsiTheme="majorHAnsi"/>
          <w:szCs w:val="22"/>
        </w:rPr>
        <w:t>s</w:t>
      </w:r>
      <w:r w:rsidRPr="00A11FE0">
        <w:rPr>
          <w:rFonts w:asciiTheme="majorHAnsi" w:hAnsiTheme="majorHAnsi"/>
          <w:szCs w:val="22"/>
        </w:rPr>
        <w:t xml:space="preserve">ystému. </w:t>
      </w:r>
      <w:r>
        <w:rPr>
          <w:rFonts w:asciiTheme="majorHAnsi" w:hAnsiTheme="majorHAnsi"/>
          <w:szCs w:val="22"/>
        </w:rPr>
        <w:t>S</w:t>
      </w:r>
      <w:r w:rsidRPr="00A11FE0">
        <w:rPr>
          <w:rFonts w:asciiTheme="majorHAnsi" w:hAnsiTheme="majorHAnsi"/>
          <w:szCs w:val="22"/>
        </w:rPr>
        <w:t>úbežné požadovanie údajov v</w:t>
      </w:r>
      <w:r w:rsidR="00B27DB8">
        <w:rPr>
          <w:rFonts w:asciiTheme="majorHAnsi" w:hAnsiTheme="majorHAnsi"/>
          <w:szCs w:val="22"/>
        </w:rPr>
        <w:t> </w:t>
      </w:r>
      <w:r w:rsidRPr="00A11FE0">
        <w:rPr>
          <w:rFonts w:asciiTheme="majorHAnsi" w:hAnsiTheme="majorHAnsi"/>
          <w:szCs w:val="22"/>
        </w:rPr>
        <w:t xml:space="preserve">papierovej </w:t>
      </w:r>
      <w:r>
        <w:rPr>
          <w:rFonts w:asciiTheme="majorHAnsi" w:hAnsiTheme="majorHAnsi"/>
          <w:szCs w:val="22"/>
        </w:rPr>
        <w:t>a</w:t>
      </w:r>
      <w:r w:rsidRPr="00A11FE0">
        <w:rPr>
          <w:rFonts w:asciiTheme="majorHAnsi" w:hAnsiTheme="majorHAnsi"/>
          <w:szCs w:val="22"/>
        </w:rPr>
        <w:t xml:space="preserve"> elektronickej forme bude eliminované včas tak, </w:t>
      </w:r>
      <w:r>
        <w:rPr>
          <w:rFonts w:asciiTheme="majorHAnsi" w:hAnsiTheme="majorHAnsi"/>
          <w:szCs w:val="22"/>
        </w:rPr>
        <w:t>a</w:t>
      </w:r>
      <w:r w:rsidRPr="00A11FE0">
        <w:rPr>
          <w:rFonts w:asciiTheme="majorHAnsi" w:hAnsiTheme="majorHAnsi"/>
          <w:szCs w:val="22"/>
        </w:rPr>
        <w:t xml:space="preserve">by bola zabezpečená minimálna </w:t>
      </w:r>
      <w:r>
        <w:rPr>
          <w:rFonts w:asciiTheme="majorHAnsi" w:hAnsiTheme="majorHAnsi"/>
          <w:szCs w:val="22"/>
        </w:rPr>
        <w:t>a</w:t>
      </w:r>
      <w:r w:rsidRPr="00A11FE0">
        <w:rPr>
          <w:rFonts w:asciiTheme="majorHAnsi" w:hAnsiTheme="majorHAnsi"/>
          <w:szCs w:val="22"/>
        </w:rPr>
        <w:t>dministratívna náročnosť.</w:t>
      </w:r>
    </w:p>
    <w:p w:rsidR="0021713D" w:rsidRPr="00A11FE0" w:rsidRDefault="0021713D" w:rsidP="0021713D">
      <w:pPr>
        <w:tabs>
          <w:tab w:val="left" w:pos="709"/>
          <w:tab w:val="left" w:pos="9072"/>
        </w:tabs>
        <w:spacing w:after="0"/>
        <w:rPr>
          <w:rFonts w:asciiTheme="majorHAnsi" w:hAnsiTheme="majorHAnsi"/>
          <w:szCs w:val="22"/>
        </w:rPr>
      </w:pPr>
      <w:r w:rsidRPr="00A11FE0">
        <w:rPr>
          <w:rFonts w:asciiTheme="majorHAnsi" w:hAnsiTheme="majorHAnsi"/>
          <w:szCs w:val="22"/>
        </w:rPr>
        <w:t>Vytvorenie efektívneho IS pre monitorovanie EŠIF je podmienené</w:t>
      </w:r>
      <w:r>
        <w:rPr>
          <w:rFonts w:asciiTheme="majorHAnsi" w:hAnsiTheme="majorHAnsi"/>
          <w:szCs w:val="22"/>
        </w:rPr>
        <w:t xml:space="preserve"> </w:t>
      </w:r>
      <w:r w:rsidRPr="00A11FE0">
        <w:rPr>
          <w:rFonts w:asciiTheme="majorHAnsi" w:hAnsiTheme="majorHAnsi"/>
          <w:szCs w:val="22"/>
        </w:rPr>
        <w:t xml:space="preserve">zmenou procesného modelu implementácie EŠIF </w:t>
      </w:r>
      <w:r>
        <w:rPr>
          <w:rFonts w:asciiTheme="majorHAnsi" w:hAnsiTheme="majorHAnsi"/>
          <w:szCs w:val="22"/>
        </w:rPr>
        <w:t>na</w:t>
      </w:r>
      <w:r w:rsidRPr="00A11FE0">
        <w:rPr>
          <w:rFonts w:asciiTheme="majorHAnsi" w:hAnsiTheme="majorHAnsi"/>
          <w:szCs w:val="22"/>
        </w:rPr>
        <w:t xml:space="preserve"> programové obdobie 2014 </w:t>
      </w:r>
      <w:r>
        <w:rPr>
          <w:rFonts w:asciiTheme="majorHAnsi" w:hAnsiTheme="majorHAnsi"/>
          <w:szCs w:val="22"/>
        </w:rPr>
        <w:t>–</w:t>
      </w:r>
      <w:r w:rsidRPr="00A11FE0">
        <w:rPr>
          <w:rFonts w:asciiTheme="majorHAnsi" w:hAnsiTheme="majorHAnsi"/>
          <w:szCs w:val="22"/>
        </w:rPr>
        <w:t xml:space="preserve"> 2020</w:t>
      </w:r>
      <w:r>
        <w:rPr>
          <w:rFonts w:asciiTheme="majorHAnsi" w:hAnsiTheme="majorHAnsi"/>
          <w:szCs w:val="22"/>
        </w:rPr>
        <w:t xml:space="preserve"> a </w:t>
      </w:r>
      <w:r w:rsidRPr="00A11FE0">
        <w:rPr>
          <w:rFonts w:asciiTheme="majorHAnsi" w:hAnsiTheme="majorHAnsi"/>
          <w:szCs w:val="22"/>
        </w:rPr>
        <w:t xml:space="preserve">dobudovaním validačných </w:t>
      </w:r>
      <w:r>
        <w:rPr>
          <w:rFonts w:asciiTheme="majorHAnsi" w:hAnsiTheme="majorHAnsi"/>
          <w:szCs w:val="22"/>
        </w:rPr>
        <w:t>a</w:t>
      </w:r>
      <w:r w:rsidRPr="00A11FE0">
        <w:rPr>
          <w:rFonts w:asciiTheme="majorHAnsi" w:hAnsiTheme="majorHAnsi"/>
          <w:szCs w:val="22"/>
        </w:rPr>
        <w:t> </w:t>
      </w:r>
      <w:r>
        <w:rPr>
          <w:rFonts w:asciiTheme="majorHAnsi" w:hAnsiTheme="majorHAnsi"/>
          <w:szCs w:val="22"/>
        </w:rPr>
        <w:t>k</w:t>
      </w:r>
      <w:r w:rsidRPr="00A11FE0">
        <w:rPr>
          <w:rFonts w:asciiTheme="majorHAnsi" w:hAnsiTheme="majorHAnsi"/>
          <w:szCs w:val="22"/>
        </w:rPr>
        <w:t>omunikačných IS VS.</w:t>
      </w:r>
    </w:p>
    <w:p w:rsidR="0021713D" w:rsidRPr="00A11FE0" w:rsidRDefault="0021713D" w:rsidP="0021713D">
      <w:pPr>
        <w:tabs>
          <w:tab w:val="left" w:pos="709"/>
          <w:tab w:val="left" w:pos="9072"/>
        </w:tabs>
        <w:rPr>
          <w:rFonts w:asciiTheme="majorHAnsi" w:hAnsiTheme="majorHAnsi"/>
          <w:szCs w:val="22"/>
        </w:rPr>
      </w:pPr>
      <w:r w:rsidRPr="00A11FE0">
        <w:rPr>
          <w:rFonts w:asciiTheme="majorHAnsi" w:hAnsiTheme="majorHAnsi"/>
          <w:szCs w:val="22"/>
        </w:rPr>
        <w:t>Procesný model implementácie EŠIF musí byť jednoduchý, prehľadný</w:t>
      </w:r>
      <w:r w:rsidR="00E1347F">
        <w:rPr>
          <w:rFonts w:asciiTheme="majorHAnsi" w:hAnsiTheme="majorHAnsi"/>
          <w:szCs w:val="22"/>
        </w:rPr>
        <w:t>,</w:t>
      </w:r>
      <w:r w:rsidRPr="00A11FE0">
        <w:rPr>
          <w:rFonts w:asciiTheme="majorHAnsi" w:hAnsiTheme="majorHAnsi"/>
          <w:szCs w:val="22"/>
        </w:rPr>
        <w:t xml:space="preserve"> </w:t>
      </w:r>
      <w:r>
        <w:rPr>
          <w:rFonts w:asciiTheme="majorHAnsi" w:hAnsiTheme="majorHAnsi"/>
          <w:szCs w:val="22"/>
        </w:rPr>
        <w:t>a</w:t>
      </w:r>
      <w:r w:rsidRPr="00A11FE0">
        <w:rPr>
          <w:rFonts w:asciiTheme="majorHAnsi" w:hAnsiTheme="majorHAnsi"/>
          <w:szCs w:val="22"/>
        </w:rPr>
        <w:t xml:space="preserve"> to na všetkých úrovniach implementácie. Pre efektívny vývoj ITMS2014+ je potrebné docieliť redukciu </w:t>
      </w:r>
      <w:r>
        <w:rPr>
          <w:rFonts w:asciiTheme="majorHAnsi" w:hAnsiTheme="majorHAnsi"/>
          <w:szCs w:val="22"/>
        </w:rPr>
        <w:t>a</w:t>
      </w:r>
      <w:r w:rsidRPr="00A11FE0">
        <w:rPr>
          <w:rFonts w:asciiTheme="majorHAnsi" w:hAnsiTheme="majorHAnsi"/>
          <w:szCs w:val="22"/>
        </w:rPr>
        <w:t xml:space="preserve"> optimalizáciu procesov </w:t>
      </w:r>
      <w:r>
        <w:rPr>
          <w:rFonts w:asciiTheme="majorHAnsi" w:hAnsiTheme="majorHAnsi"/>
          <w:szCs w:val="22"/>
        </w:rPr>
        <w:t>a</w:t>
      </w:r>
      <w:r w:rsidRPr="00A11FE0">
        <w:rPr>
          <w:rFonts w:asciiTheme="majorHAnsi" w:hAnsiTheme="majorHAnsi"/>
          <w:szCs w:val="22"/>
        </w:rPr>
        <w:t xml:space="preserve"> štandardizovaných formulárov </w:t>
      </w:r>
      <w:r>
        <w:rPr>
          <w:rFonts w:asciiTheme="majorHAnsi" w:hAnsiTheme="majorHAnsi"/>
          <w:szCs w:val="22"/>
        </w:rPr>
        <w:t>s</w:t>
      </w:r>
      <w:r w:rsidRPr="00A11FE0">
        <w:rPr>
          <w:rFonts w:asciiTheme="majorHAnsi" w:hAnsiTheme="majorHAnsi"/>
          <w:szCs w:val="22"/>
        </w:rPr>
        <w:t xml:space="preserve">pojených </w:t>
      </w:r>
      <w:r>
        <w:rPr>
          <w:rFonts w:asciiTheme="majorHAnsi" w:hAnsiTheme="majorHAnsi"/>
          <w:szCs w:val="22"/>
        </w:rPr>
        <w:t>s</w:t>
      </w:r>
      <w:r w:rsidRPr="00A11FE0">
        <w:rPr>
          <w:rFonts w:asciiTheme="majorHAnsi" w:hAnsiTheme="majorHAnsi"/>
          <w:szCs w:val="22"/>
        </w:rPr>
        <w:t xml:space="preserve"> implementáciou EŠIF. Minimalizovaním počtu </w:t>
      </w:r>
      <w:r>
        <w:rPr>
          <w:rFonts w:asciiTheme="majorHAnsi" w:hAnsiTheme="majorHAnsi"/>
          <w:szCs w:val="22"/>
        </w:rPr>
        <w:t>a</w:t>
      </w:r>
      <w:r w:rsidRPr="00A11FE0">
        <w:rPr>
          <w:rFonts w:asciiTheme="majorHAnsi" w:hAnsiTheme="majorHAnsi"/>
          <w:szCs w:val="22"/>
        </w:rPr>
        <w:t xml:space="preserve"> definovaním relevantného obsahu štandardizovaných formulárov </w:t>
      </w:r>
      <w:r>
        <w:rPr>
          <w:rFonts w:asciiTheme="majorHAnsi" w:hAnsiTheme="majorHAnsi"/>
          <w:szCs w:val="22"/>
        </w:rPr>
        <w:t>s</w:t>
      </w:r>
      <w:r w:rsidRPr="00A11FE0">
        <w:rPr>
          <w:rFonts w:asciiTheme="majorHAnsi" w:hAnsiTheme="majorHAnsi"/>
          <w:szCs w:val="22"/>
        </w:rPr>
        <w:t xml:space="preserve">a dosiahne zníženie počtu procesov </w:t>
      </w:r>
      <w:r>
        <w:rPr>
          <w:rFonts w:asciiTheme="majorHAnsi" w:hAnsiTheme="majorHAnsi"/>
          <w:szCs w:val="22"/>
        </w:rPr>
        <w:t>a</w:t>
      </w:r>
      <w:r w:rsidRPr="00A11FE0">
        <w:rPr>
          <w:rFonts w:asciiTheme="majorHAnsi" w:hAnsiTheme="majorHAnsi"/>
          <w:szCs w:val="22"/>
        </w:rPr>
        <w:t xml:space="preserve"> úkonov na </w:t>
      </w:r>
      <w:r>
        <w:rPr>
          <w:rFonts w:asciiTheme="majorHAnsi" w:hAnsiTheme="majorHAnsi"/>
          <w:szCs w:val="22"/>
        </w:rPr>
        <w:t>s</w:t>
      </w:r>
      <w:r w:rsidRPr="00A11FE0">
        <w:rPr>
          <w:rFonts w:asciiTheme="majorHAnsi" w:hAnsiTheme="majorHAnsi"/>
          <w:szCs w:val="22"/>
        </w:rPr>
        <w:t xml:space="preserve">trane žiadateľa/prijímateľa, </w:t>
      </w:r>
      <w:r>
        <w:rPr>
          <w:rFonts w:asciiTheme="majorHAnsi" w:hAnsiTheme="majorHAnsi"/>
          <w:szCs w:val="22"/>
        </w:rPr>
        <w:t>a</w:t>
      </w:r>
      <w:r w:rsidRPr="00A11FE0">
        <w:rPr>
          <w:rFonts w:asciiTheme="majorHAnsi" w:hAnsiTheme="majorHAnsi"/>
          <w:szCs w:val="22"/>
        </w:rPr>
        <w:t xml:space="preserve">le </w:t>
      </w:r>
      <w:r>
        <w:rPr>
          <w:rFonts w:asciiTheme="majorHAnsi" w:hAnsiTheme="majorHAnsi"/>
          <w:szCs w:val="22"/>
        </w:rPr>
        <w:t>a</w:t>
      </w:r>
      <w:r w:rsidRPr="00A11FE0">
        <w:rPr>
          <w:rFonts w:asciiTheme="majorHAnsi" w:hAnsiTheme="majorHAnsi"/>
          <w:szCs w:val="22"/>
        </w:rPr>
        <w:t xml:space="preserve">j poskytovateľa </w:t>
      </w:r>
      <w:r w:rsidR="006F6412">
        <w:rPr>
          <w:rFonts w:asciiTheme="majorHAnsi" w:hAnsiTheme="majorHAnsi"/>
          <w:szCs w:val="22"/>
        </w:rPr>
        <w:t>podpory</w:t>
      </w:r>
      <w:r w:rsidRPr="00A11FE0">
        <w:rPr>
          <w:rFonts w:asciiTheme="majorHAnsi" w:hAnsiTheme="majorHAnsi"/>
          <w:szCs w:val="22"/>
        </w:rPr>
        <w:t xml:space="preserve">. Detailný, jednoduchý </w:t>
      </w:r>
      <w:r>
        <w:rPr>
          <w:rFonts w:asciiTheme="majorHAnsi" w:hAnsiTheme="majorHAnsi"/>
          <w:szCs w:val="22"/>
        </w:rPr>
        <w:t>a</w:t>
      </w:r>
      <w:r w:rsidRPr="00A11FE0">
        <w:rPr>
          <w:rFonts w:asciiTheme="majorHAnsi" w:hAnsiTheme="majorHAnsi"/>
          <w:szCs w:val="22"/>
        </w:rPr>
        <w:t> jasný procesný model zabezpečí</w:t>
      </w:r>
      <w:r>
        <w:rPr>
          <w:rFonts w:asciiTheme="majorHAnsi" w:hAnsiTheme="majorHAnsi"/>
          <w:szCs w:val="22"/>
        </w:rPr>
        <w:t xml:space="preserve"> </w:t>
      </w:r>
      <w:r w:rsidRPr="00A11FE0">
        <w:rPr>
          <w:rFonts w:asciiTheme="majorHAnsi" w:hAnsiTheme="majorHAnsi"/>
          <w:szCs w:val="22"/>
        </w:rPr>
        <w:t xml:space="preserve">zvýšenie </w:t>
      </w:r>
      <w:r>
        <w:rPr>
          <w:rFonts w:asciiTheme="majorHAnsi" w:hAnsiTheme="majorHAnsi"/>
          <w:szCs w:val="22"/>
        </w:rPr>
        <w:t>k</w:t>
      </w:r>
      <w:r w:rsidRPr="00A11FE0">
        <w:rPr>
          <w:rFonts w:asciiTheme="majorHAnsi" w:hAnsiTheme="majorHAnsi"/>
          <w:szCs w:val="22"/>
        </w:rPr>
        <w:t xml:space="preserve">onzistentnosti, integrity </w:t>
      </w:r>
      <w:r>
        <w:rPr>
          <w:rFonts w:asciiTheme="majorHAnsi" w:hAnsiTheme="majorHAnsi"/>
          <w:szCs w:val="22"/>
        </w:rPr>
        <w:t>a</w:t>
      </w:r>
      <w:r w:rsidR="005211F5">
        <w:rPr>
          <w:rFonts w:asciiTheme="majorHAnsi" w:hAnsiTheme="majorHAnsi"/>
          <w:szCs w:val="22"/>
        </w:rPr>
        <w:t> </w:t>
      </w:r>
      <w:r w:rsidRPr="00A11FE0">
        <w:rPr>
          <w:rFonts w:asciiTheme="majorHAnsi" w:hAnsiTheme="majorHAnsi"/>
          <w:szCs w:val="22"/>
        </w:rPr>
        <w:t>relevantnosti</w:t>
      </w:r>
      <w:r w:rsidR="005211F5">
        <w:rPr>
          <w:rFonts w:asciiTheme="majorHAnsi" w:hAnsiTheme="majorHAnsi"/>
          <w:szCs w:val="22"/>
        </w:rPr>
        <w:t xml:space="preserve"> </w:t>
      </w:r>
      <w:r w:rsidRPr="00A11FE0">
        <w:rPr>
          <w:rFonts w:asciiTheme="majorHAnsi" w:hAnsiTheme="majorHAnsi"/>
          <w:szCs w:val="22"/>
        </w:rPr>
        <w:t>dát v ITMS2014+.</w:t>
      </w:r>
    </w:p>
    <w:p w:rsidR="0021713D" w:rsidRPr="00A11FE0" w:rsidRDefault="0021713D" w:rsidP="0021713D">
      <w:pPr>
        <w:tabs>
          <w:tab w:val="left" w:pos="709"/>
          <w:tab w:val="left" w:pos="9072"/>
        </w:tabs>
        <w:rPr>
          <w:rFonts w:asciiTheme="majorHAnsi" w:hAnsiTheme="majorHAnsi"/>
          <w:szCs w:val="22"/>
        </w:rPr>
      </w:pPr>
      <w:r w:rsidRPr="00A11FE0">
        <w:rPr>
          <w:rFonts w:asciiTheme="majorHAnsi" w:hAnsiTheme="majorHAnsi"/>
          <w:szCs w:val="22"/>
        </w:rPr>
        <w:t xml:space="preserve">ITMS2014+ bude integrovaný </w:t>
      </w:r>
      <w:r>
        <w:rPr>
          <w:rFonts w:asciiTheme="majorHAnsi" w:hAnsiTheme="majorHAnsi"/>
          <w:szCs w:val="22"/>
        </w:rPr>
        <w:t>s</w:t>
      </w:r>
      <w:r w:rsidRPr="00A11FE0">
        <w:rPr>
          <w:rFonts w:asciiTheme="majorHAnsi" w:hAnsiTheme="majorHAnsi"/>
          <w:szCs w:val="22"/>
        </w:rPr>
        <w:t xml:space="preserve"> relevantnými základnými </w:t>
      </w:r>
      <w:r>
        <w:rPr>
          <w:rFonts w:asciiTheme="majorHAnsi" w:hAnsiTheme="majorHAnsi"/>
          <w:szCs w:val="22"/>
        </w:rPr>
        <w:t>k</w:t>
      </w:r>
      <w:r w:rsidRPr="00A11FE0">
        <w:rPr>
          <w:rFonts w:asciiTheme="majorHAnsi" w:hAnsiTheme="majorHAnsi"/>
          <w:szCs w:val="22"/>
        </w:rPr>
        <w:t xml:space="preserve">omponentmi e-Government </w:t>
      </w:r>
      <w:r>
        <w:rPr>
          <w:rFonts w:asciiTheme="majorHAnsi" w:hAnsiTheme="majorHAnsi"/>
          <w:szCs w:val="22"/>
        </w:rPr>
        <w:t>a</w:t>
      </w:r>
      <w:r w:rsidRPr="00A11FE0">
        <w:rPr>
          <w:rFonts w:asciiTheme="majorHAnsi" w:hAnsiTheme="majorHAnsi"/>
          <w:szCs w:val="22"/>
        </w:rPr>
        <w:t>rchitektúry v </w:t>
      </w:r>
      <w:r>
        <w:rPr>
          <w:rFonts w:asciiTheme="majorHAnsi" w:hAnsiTheme="majorHAnsi"/>
          <w:szCs w:val="22"/>
        </w:rPr>
        <w:t>S</w:t>
      </w:r>
      <w:r w:rsidRPr="00A11FE0">
        <w:rPr>
          <w:rFonts w:asciiTheme="majorHAnsi" w:hAnsiTheme="majorHAnsi"/>
          <w:szCs w:val="22"/>
        </w:rPr>
        <w:t xml:space="preserve">R. Ďalej </w:t>
      </w:r>
      <w:r>
        <w:rPr>
          <w:rFonts w:asciiTheme="majorHAnsi" w:hAnsiTheme="majorHAnsi"/>
          <w:szCs w:val="22"/>
        </w:rPr>
        <w:t>s</w:t>
      </w:r>
      <w:r w:rsidRPr="00A11FE0">
        <w:rPr>
          <w:rFonts w:asciiTheme="majorHAnsi" w:hAnsiTheme="majorHAnsi"/>
          <w:szCs w:val="22"/>
        </w:rPr>
        <w:t xml:space="preserve">a počíta </w:t>
      </w:r>
      <w:r>
        <w:rPr>
          <w:rFonts w:asciiTheme="majorHAnsi" w:hAnsiTheme="majorHAnsi"/>
          <w:szCs w:val="22"/>
        </w:rPr>
        <w:t>s</w:t>
      </w:r>
      <w:r w:rsidRPr="00A11FE0">
        <w:rPr>
          <w:rFonts w:asciiTheme="majorHAnsi" w:hAnsiTheme="majorHAnsi"/>
          <w:szCs w:val="22"/>
        </w:rPr>
        <w:t> implementáciou zásady jedného vkladania dát</w:t>
      </w:r>
      <w:r>
        <w:rPr>
          <w:rFonts w:asciiTheme="majorHAnsi" w:hAnsiTheme="majorHAnsi"/>
          <w:szCs w:val="22"/>
        </w:rPr>
        <w:t xml:space="preserve"> tak</w:t>
      </w:r>
      <w:r w:rsidRPr="00A11FE0">
        <w:rPr>
          <w:rFonts w:asciiTheme="majorHAnsi" w:hAnsiTheme="majorHAnsi"/>
          <w:szCs w:val="22"/>
        </w:rPr>
        <w:t xml:space="preserve">, </w:t>
      </w:r>
      <w:r>
        <w:rPr>
          <w:rFonts w:asciiTheme="majorHAnsi" w:hAnsiTheme="majorHAnsi"/>
          <w:szCs w:val="22"/>
        </w:rPr>
        <w:t xml:space="preserve">aby </w:t>
      </w:r>
      <w:r w:rsidRPr="00A11FE0">
        <w:rPr>
          <w:rFonts w:asciiTheme="majorHAnsi" w:hAnsiTheme="majorHAnsi"/>
          <w:szCs w:val="22"/>
        </w:rPr>
        <w:t xml:space="preserve">všetky </w:t>
      </w:r>
      <w:r>
        <w:rPr>
          <w:rFonts w:asciiTheme="majorHAnsi" w:hAnsiTheme="majorHAnsi"/>
          <w:szCs w:val="22"/>
        </w:rPr>
        <w:t>s</w:t>
      </w:r>
      <w:r w:rsidRPr="00A11FE0">
        <w:rPr>
          <w:rFonts w:asciiTheme="majorHAnsi" w:hAnsiTheme="majorHAnsi"/>
          <w:szCs w:val="22"/>
        </w:rPr>
        <w:t xml:space="preserve">ubjekty verejnej </w:t>
      </w:r>
      <w:r>
        <w:rPr>
          <w:rFonts w:asciiTheme="majorHAnsi" w:hAnsiTheme="majorHAnsi"/>
          <w:szCs w:val="22"/>
        </w:rPr>
        <w:t>s</w:t>
      </w:r>
      <w:r w:rsidRPr="00A11FE0">
        <w:rPr>
          <w:rFonts w:asciiTheme="majorHAnsi" w:hAnsiTheme="majorHAnsi"/>
          <w:szCs w:val="22"/>
        </w:rPr>
        <w:t>právy vystupova</w:t>
      </w:r>
      <w:r>
        <w:rPr>
          <w:rFonts w:asciiTheme="majorHAnsi" w:hAnsiTheme="majorHAnsi"/>
          <w:szCs w:val="22"/>
        </w:rPr>
        <w:t>li</w:t>
      </w:r>
      <w:r w:rsidRPr="00A11FE0">
        <w:rPr>
          <w:rFonts w:asciiTheme="majorHAnsi" w:hAnsiTheme="majorHAnsi"/>
          <w:szCs w:val="22"/>
        </w:rPr>
        <w:t xml:space="preserve"> voči žiadateľom/prijímateľom </w:t>
      </w:r>
      <w:r>
        <w:rPr>
          <w:rFonts w:asciiTheme="majorHAnsi" w:hAnsiTheme="majorHAnsi"/>
          <w:szCs w:val="22"/>
        </w:rPr>
        <w:t>ak</w:t>
      </w:r>
      <w:r w:rsidRPr="00A11FE0">
        <w:rPr>
          <w:rFonts w:asciiTheme="majorHAnsi" w:hAnsiTheme="majorHAnsi"/>
          <w:szCs w:val="22"/>
        </w:rPr>
        <w:t xml:space="preserve">o „jeden </w:t>
      </w:r>
      <w:r>
        <w:rPr>
          <w:rFonts w:asciiTheme="majorHAnsi" w:hAnsiTheme="majorHAnsi"/>
          <w:szCs w:val="22"/>
        </w:rPr>
        <w:t>s</w:t>
      </w:r>
      <w:r w:rsidRPr="00A11FE0">
        <w:rPr>
          <w:rFonts w:asciiTheme="majorHAnsi" w:hAnsiTheme="majorHAnsi"/>
          <w:szCs w:val="22"/>
        </w:rPr>
        <w:t xml:space="preserve">ubjekt“. Táto funkcionalita ITMS2014+ je výrazne ovplyvnená úrovňou interoperability IS VS </w:t>
      </w:r>
      <w:r>
        <w:rPr>
          <w:rFonts w:asciiTheme="majorHAnsi" w:hAnsiTheme="majorHAnsi"/>
          <w:szCs w:val="22"/>
        </w:rPr>
        <w:t>a</w:t>
      </w:r>
      <w:r w:rsidRPr="00A11FE0">
        <w:rPr>
          <w:rFonts w:asciiTheme="majorHAnsi" w:hAnsiTheme="majorHAnsi"/>
          <w:szCs w:val="22"/>
        </w:rPr>
        <w:t> harmonogramom uvoľňovania jednotlivých IS VS do prevádzky.</w:t>
      </w:r>
    </w:p>
    <w:p w:rsidR="0021713D" w:rsidRDefault="0021713D" w:rsidP="0021713D">
      <w:pPr>
        <w:spacing w:before="0" w:after="0"/>
        <w:rPr>
          <w:rFonts w:asciiTheme="majorHAnsi" w:hAnsiTheme="majorHAnsi"/>
        </w:rPr>
      </w:pPr>
      <w:r>
        <w:rPr>
          <w:rFonts w:asciiTheme="majorHAnsi" w:hAnsiTheme="majorHAnsi"/>
          <w:szCs w:val="22"/>
        </w:rPr>
        <w:t>A</w:t>
      </w:r>
      <w:r w:rsidRPr="00A11FE0">
        <w:rPr>
          <w:rFonts w:asciiTheme="majorHAnsi" w:hAnsiTheme="majorHAnsi"/>
          <w:szCs w:val="22"/>
        </w:rPr>
        <w:t xml:space="preserve">j napriek tomu, že pre potreby riadenia EPFRV bude vytvorený </w:t>
      </w:r>
      <w:r>
        <w:rPr>
          <w:rFonts w:asciiTheme="majorHAnsi" w:hAnsiTheme="majorHAnsi"/>
          <w:szCs w:val="22"/>
        </w:rPr>
        <w:t>s</w:t>
      </w:r>
      <w:r w:rsidRPr="00A11FE0">
        <w:rPr>
          <w:rFonts w:asciiTheme="majorHAnsi" w:hAnsiTheme="majorHAnsi"/>
          <w:szCs w:val="22"/>
        </w:rPr>
        <w:t xml:space="preserve">amostatný informačný </w:t>
      </w:r>
      <w:r>
        <w:rPr>
          <w:rFonts w:asciiTheme="majorHAnsi" w:hAnsiTheme="majorHAnsi"/>
          <w:szCs w:val="22"/>
        </w:rPr>
        <w:t>s</w:t>
      </w:r>
      <w:r w:rsidRPr="00A11FE0">
        <w:rPr>
          <w:rFonts w:asciiTheme="majorHAnsi" w:hAnsiTheme="majorHAnsi"/>
          <w:szCs w:val="22"/>
        </w:rPr>
        <w:t xml:space="preserve">ystém IS PPA, bude zabezpečená jeho interoperabilita </w:t>
      </w:r>
      <w:r>
        <w:rPr>
          <w:rFonts w:asciiTheme="majorHAnsi" w:hAnsiTheme="majorHAnsi"/>
          <w:szCs w:val="22"/>
        </w:rPr>
        <w:t>s</w:t>
      </w:r>
      <w:r w:rsidRPr="00A11FE0">
        <w:rPr>
          <w:rFonts w:asciiTheme="majorHAnsi" w:hAnsiTheme="majorHAnsi"/>
          <w:szCs w:val="22"/>
        </w:rPr>
        <w:t xml:space="preserve"> ITMS2014+ do takej miery, </w:t>
      </w:r>
      <w:r>
        <w:rPr>
          <w:rFonts w:asciiTheme="majorHAnsi" w:hAnsiTheme="majorHAnsi"/>
          <w:szCs w:val="22"/>
        </w:rPr>
        <w:t>a</w:t>
      </w:r>
      <w:r w:rsidRPr="00A11FE0">
        <w:rPr>
          <w:rFonts w:asciiTheme="majorHAnsi" w:hAnsiTheme="majorHAnsi"/>
          <w:szCs w:val="22"/>
        </w:rPr>
        <w:t xml:space="preserve">by bola umožnená efektívna podpora implementácie jednotlivých programov, zber </w:t>
      </w:r>
      <w:r>
        <w:rPr>
          <w:rFonts w:asciiTheme="majorHAnsi" w:hAnsiTheme="majorHAnsi"/>
          <w:szCs w:val="22"/>
        </w:rPr>
        <w:t>a</w:t>
      </w:r>
      <w:r w:rsidRPr="00A11FE0">
        <w:rPr>
          <w:rFonts w:asciiTheme="majorHAnsi" w:hAnsiTheme="majorHAnsi"/>
          <w:szCs w:val="22"/>
        </w:rPr>
        <w:t xml:space="preserve"> vyhodnocovanie potrebných dát pre účely monitorovania, hodnotenia </w:t>
      </w:r>
      <w:r>
        <w:rPr>
          <w:rFonts w:asciiTheme="majorHAnsi" w:hAnsiTheme="majorHAnsi"/>
          <w:szCs w:val="22"/>
        </w:rPr>
        <w:t>a</w:t>
      </w:r>
      <w:r w:rsidRPr="00A11FE0">
        <w:rPr>
          <w:rFonts w:asciiTheme="majorHAnsi" w:hAnsiTheme="majorHAnsi"/>
          <w:szCs w:val="22"/>
        </w:rPr>
        <w:t xml:space="preserve"> </w:t>
      </w:r>
      <w:r>
        <w:rPr>
          <w:rFonts w:asciiTheme="majorHAnsi" w:hAnsiTheme="majorHAnsi"/>
          <w:szCs w:val="22"/>
        </w:rPr>
        <w:t>s</w:t>
      </w:r>
      <w:r w:rsidRPr="00A11FE0">
        <w:rPr>
          <w:rFonts w:asciiTheme="majorHAnsi" w:hAnsiTheme="majorHAnsi"/>
          <w:szCs w:val="22"/>
        </w:rPr>
        <w:t xml:space="preserve">poľahlivého informovania EÚ, </w:t>
      </w:r>
      <w:r>
        <w:rPr>
          <w:rFonts w:asciiTheme="majorHAnsi" w:hAnsiTheme="majorHAnsi"/>
          <w:szCs w:val="22"/>
        </w:rPr>
        <w:t>ak</w:t>
      </w:r>
      <w:r w:rsidRPr="00A11FE0">
        <w:rPr>
          <w:rFonts w:asciiTheme="majorHAnsi" w:hAnsiTheme="majorHAnsi"/>
          <w:szCs w:val="22"/>
        </w:rPr>
        <w:t xml:space="preserve">o </w:t>
      </w:r>
      <w:r>
        <w:rPr>
          <w:rFonts w:asciiTheme="majorHAnsi" w:hAnsiTheme="majorHAnsi"/>
          <w:szCs w:val="22"/>
        </w:rPr>
        <w:t>a</w:t>
      </w:r>
      <w:r w:rsidRPr="00A11FE0">
        <w:rPr>
          <w:rFonts w:asciiTheme="majorHAnsi" w:hAnsiTheme="majorHAnsi"/>
          <w:szCs w:val="22"/>
        </w:rPr>
        <w:t>j verejnosti o</w:t>
      </w:r>
      <w:r>
        <w:rPr>
          <w:rFonts w:asciiTheme="majorHAnsi" w:hAnsiTheme="majorHAnsi"/>
          <w:szCs w:val="22"/>
        </w:rPr>
        <w:t> </w:t>
      </w:r>
      <w:r w:rsidRPr="00A11FE0">
        <w:rPr>
          <w:rFonts w:asciiTheme="majorHAnsi" w:hAnsiTheme="majorHAnsi"/>
          <w:szCs w:val="22"/>
        </w:rPr>
        <w:t xml:space="preserve">využívaní finančnej </w:t>
      </w:r>
      <w:r w:rsidR="006F6412">
        <w:rPr>
          <w:rFonts w:asciiTheme="majorHAnsi" w:hAnsiTheme="majorHAnsi"/>
          <w:szCs w:val="22"/>
        </w:rPr>
        <w:t>podpory</w:t>
      </w:r>
      <w:r w:rsidR="006F6412" w:rsidRPr="00A11FE0">
        <w:rPr>
          <w:rFonts w:asciiTheme="majorHAnsi" w:hAnsiTheme="majorHAnsi"/>
          <w:szCs w:val="22"/>
        </w:rPr>
        <w:t xml:space="preserve"> </w:t>
      </w:r>
      <w:r w:rsidRPr="00A11FE0">
        <w:rPr>
          <w:rFonts w:asciiTheme="majorHAnsi" w:hAnsiTheme="majorHAnsi"/>
          <w:szCs w:val="22"/>
        </w:rPr>
        <w:t>EÚ.</w:t>
      </w:r>
    </w:p>
    <w:p w:rsidR="0021713D" w:rsidRPr="0021713D" w:rsidRDefault="0021713D" w:rsidP="00174E83">
      <w:pPr>
        <w:pStyle w:val="Nadpis1"/>
        <w:numPr>
          <w:ilvl w:val="0"/>
          <w:numId w:val="2"/>
        </w:numPr>
        <w:spacing w:before="240" w:after="120"/>
        <w:ind w:left="431" w:hanging="431"/>
        <w:rPr>
          <w:rStyle w:val="Nadpis1Char"/>
          <w:b/>
          <w:bCs/>
        </w:rPr>
      </w:pPr>
      <w:bookmarkStart w:id="673" w:name="_Toc490655239"/>
      <w:r w:rsidRPr="0021713D">
        <w:rPr>
          <w:rStyle w:val="Nadpis1Char"/>
          <w:b/>
        </w:rPr>
        <w:t>Strategické environmentálne posudzovanie (SEA)</w:t>
      </w:r>
      <w:bookmarkEnd w:id="673"/>
    </w:p>
    <w:p w:rsidR="0021713D" w:rsidRDefault="0021713D" w:rsidP="003F0750">
      <w:pPr>
        <w:rPr>
          <w:rFonts w:asciiTheme="majorHAnsi" w:hAnsiTheme="majorHAnsi"/>
          <w:szCs w:val="22"/>
        </w:rPr>
      </w:pPr>
      <w:r w:rsidRPr="009E3742">
        <w:rPr>
          <w:rFonts w:asciiTheme="majorHAnsi" w:hAnsiTheme="majorHAnsi"/>
          <w:szCs w:val="22"/>
        </w:rPr>
        <w:t xml:space="preserve">Návrh PD SR bol ako strategický dokument </w:t>
      </w:r>
      <w:r w:rsidRPr="000E2DDD">
        <w:rPr>
          <w:rFonts w:asciiTheme="majorHAnsi" w:hAnsiTheme="majorHAnsi"/>
          <w:szCs w:val="22"/>
        </w:rPr>
        <w:t>posúdený z hľadiska vplyvu na životné prostredie podľa zákona č. 24/2006 Z. z. o posudzovaní vplyvov na životné prostredie a o zmene a doplnení niektorých zákonov v</w:t>
      </w:r>
      <w:r w:rsidR="00E52EC5">
        <w:rPr>
          <w:rFonts w:asciiTheme="majorHAnsi" w:hAnsiTheme="majorHAnsi"/>
          <w:szCs w:val="22"/>
        </w:rPr>
        <w:t> </w:t>
      </w:r>
      <w:r w:rsidRPr="000E2DDD">
        <w:rPr>
          <w:rFonts w:asciiTheme="majorHAnsi" w:hAnsiTheme="majorHAnsi"/>
          <w:szCs w:val="22"/>
        </w:rPr>
        <w:t xml:space="preserve">znení neskorších predpisov (ďalej len „zákon č. 24/2006 Z. z.“) </w:t>
      </w:r>
      <w:r w:rsidRPr="00857DBD">
        <w:rPr>
          <w:rFonts w:asciiTheme="majorHAnsi" w:hAnsiTheme="majorHAnsi"/>
          <w:szCs w:val="22"/>
        </w:rPr>
        <w:t>v súlade s ustanoveniami sm</w:t>
      </w:r>
      <w:r w:rsidRPr="00D9400E">
        <w:rPr>
          <w:rFonts w:asciiTheme="majorHAnsi" w:hAnsiTheme="majorHAnsi"/>
          <w:szCs w:val="22"/>
        </w:rPr>
        <w:t xml:space="preserve">ernice </w:t>
      </w:r>
      <w:r>
        <w:rPr>
          <w:rFonts w:asciiTheme="majorHAnsi" w:hAnsiTheme="majorHAnsi"/>
          <w:szCs w:val="22"/>
        </w:rPr>
        <w:t>Eur</w:t>
      </w:r>
      <w:r w:rsidRPr="00D9400E">
        <w:rPr>
          <w:rFonts w:asciiTheme="majorHAnsi" w:hAnsiTheme="majorHAnsi"/>
          <w:szCs w:val="22"/>
        </w:rPr>
        <w:t>ópskeho parlamentu a Rady 2001/42/ES z 27. júna 2001 o posudzovaní vplyvov určitých plánov a programov na životné prostredie.</w:t>
      </w:r>
    </w:p>
    <w:p w:rsidR="0021713D" w:rsidRPr="00B34B14" w:rsidRDefault="0021713D" w:rsidP="003F0750">
      <w:pPr>
        <w:rPr>
          <w:rFonts w:asciiTheme="majorHAnsi" w:hAnsiTheme="majorHAnsi"/>
          <w:szCs w:val="22"/>
        </w:rPr>
      </w:pPr>
      <w:r w:rsidRPr="00D621F6">
        <w:rPr>
          <w:rFonts w:asciiTheme="majorHAnsi" w:hAnsiTheme="majorHAnsi"/>
          <w:szCs w:val="22"/>
        </w:rPr>
        <w:t xml:space="preserve">V rámci posudzovania strategického dokumentu boli zhodnotené jeho predpokladané vplyvy na životné prostredie vrátane </w:t>
      </w:r>
      <w:r w:rsidRPr="00E926FA">
        <w:rPr>
          <w:rFonts w:asciiTheme="majorHAnsi" w:hAnsiTheme="majorHAnsi"/>
          <w:szCs w:val="22"/>
        </w:rPr>
        <w:t>zdravia (primárne, sekundárne, kumulatívne, synergické, krátkodobé, strednodobé, dlhodobé, trvalé, dočasné, pozitívne i negatívne). Vplyvy strategického dokumentu na</w:t>
      </w:r>
      <w:r w:rsidR="005211F5">
        <w:rPr>
          <w:rFonts w:asciiTheme="majorHAnsi" w:hAnsiTheme="majorHAnsi"/>
          <w:szCs w:val="22"/>
        </w:rPr>
        <w:t xml:space="preserve"> </w:t>
      </w:r>
      <w:r w:rsidRPr="00E926FA">
        <w:rPr>
          <w:rFonts w:asciiTheme="majorHAnsi" w:hAnsiTheme="majorHAnsi"/>
          <w:szCs w:val="22"/>
        </w:rPr>
        <w:t>životné prostredie boli posudzované komplexne</w:t>
      </w:r>
      <w:r>
        <w:rPr>
          <w:rFonts w:asciiTheme="majorHAnsi" w:hAnsiTheme="majorHAnsi"/>
          <w:szCs w:val="22"/>
        </w:rPr>
        <w:t>, a</w:t>
      </w:r>
      <w:r w:rsidR="005211F5">
        <w:rPr>
          <w:rFonts w:asciiTheme="majorHAnsi" w:hAnsiTheme="majorHAnsi"/>
          <w:szCs w:val="22"/>
        </w:rPr>
        <w:t> </w:t>
      </w:r>
      <w:r>
        <w:rPr>
          <w:rFonts w:asciiTheme="majorHAnsi" w:hAnsiTheme="majorHAnsi"/>
          <w:szCs w:val="22"/>
        </w:rPr>
        <w:t>to</w:t>
      </w:r>
      <w:r w:rsidR="005211F5">
        <w:rPr>
          <w:rFonts w:asciiTheme="majorHAnsi" w:hAnsiTheme="majorHAnsi"/>
          <w:szCs w:val="22"/>
        </w:rPr>
        <w:t xml:space="preserve"> </w:t>
      </w:r>
      <w:r w:rsidRPr="00E926FA">
        <w:rPr>
          <w:rFonts w:asciiTheme="majorHAnsi" w:hAnsiTheme="majorHAnsi"/>
          <w:szCs w:val="22"/>
        </w:rPr>
        <w:t xml:space="preserve">najmä z hľadiska únosného zaťaženia územia; </w:t>
      </w:r>
      <w:r w:rsidRPr="00B34B14">
        <w:rPr>
          <w:rFonts w:asciiTheme="majorHAnsi" w:hAnsiTheme="majorHAnsi"/>
          <w:szCs w:val="22"/>
        </w:rPr>
        <w:t>vplyvu na obyvateľstvo, jeho zdravie a</w:t>
      </w:r>
      <w:r w:rsidR="005211F5">
        <w:rPr>
          <w:rFonts w:asciiTheme="majorHAnsi" w:hAnsiTheme="majorHAnsi"/>
          <w:szCs w:val="22"/>
        </w:rPr>
        <w:t> </w:t>
      </w:r>
      <w:r w:rsidRPr="00B34B14">
        <w:rPr>
          <w:rFonts w:asciiTheme="majorHAnsi" w:hAnsiTheme="majorHAnsi"/>
          <w:szCs w:val="22"/>
        </w:rPr>
        <w:t>aktivity; horninové prostredie a pôdu; vplyvu na ovzdušie a klimatické pomery dotknutého územia; vplyvu na vodné pomery; vplyvu na faunu, flóru, ich biotopy a chránené územia</w:t>
      </w:r>
      <w:r>
        <w:rPr>
          <w:rFonts w:asciiTheme="majorHAnsi" w:hAnsiTheme="majorHAnsi"/>
          <w:szCs w:val="22"/>
        </w:rPr>
        <w:t>,</w:t>
      </w:r>
      <w:r w:rsidRPr="00B34B14">
        <w:rPr>
          <w:rFonts w:asciiTheme="majorHAnsi" w:hAnsiTheme="majorHAnsi"/>
          <w:szCs w:val="22"/>
        </w:rPr>
        <w:t xml:space="preserve"> vrátane sústavy chránených území Natura 2000.</w:t>
      </w:r>
    </w:p>
    <w:p w:rsidR="0021713D" w:rsidRPr="00B34B14" w:rsidRDefault="0021713D" w:rsidP="003F0750">
      <w:pPr>
        <w:rPr>
          <w:rFonts w:asciiTheme="majorHAnsi" w:hAnsiTheme="majorHAnsi"/>
          <w:szCs w:val="22"/>
        </w:rPr>
      </w:pPr>
      <w:r w:rsidRPr="00B34B14">
        <w:rPr>
          <w:rFonts w:asciiTheme="majorHAnsi" w:hAnsiTheme="majorHAnsi"/>
          <w:szCs w:val="22"/>
        </w:rPr>
        <w:t>Výsledok posudzovania bol uvedený v správe o hodnotení, ktorá bola spolu s návrhom PD SR sprístupnená verejnosti a</w:t>
      </w:r>
      <w:r w:rsidR="00E52EC5">
        <w:rPr>
          <w:rFonts w:asciiTheme="majorHAnsi" w:hAnsiTheme="majorHAnsi"/>
          <w:szCs w:val="22"/>
        </w:rPr>
        <w:t> </w:t>
      </w:r>
      <w:r w:rsidRPr="00B34B14">
        <w:rPr>
          <w:rFonts w:asciiTheme="majorHAnsi" w:hAnsiTheme="majorHAnsi"/>
          <w:szCs w:val="22"/>
        </w:rPr>
        <w:t>všetkým dotknutým orgánom</w:t>
      </w:r>
      <w:r w:rsidR="005211F5">
        <w:rPr>
          <w:rFonts w:asciiTheme="majorHAnsi" w:hAnsiTheme="majorHAnsi"/>
          <w:szCs w:val="22"/>
        </w:rPr>
        <w:t>,</w:t>
      </w:r>
      <w:r w:rsidRPr="00B34B14">
        <w:rPr>
          <w:rFonts w:asciiTheme="majorHAnsi" w:hAnsiTheme="majorHAnsi"/>
          <w:szCs w:val="22"/>
        </w:rPr>
        <w:t xml:space="preserve"> vrátane orgánov zodpovedných za ochranu životného prostredia a zdravia.</w:t>
      </w:r>
      <w:r>
        <w:rPr>
          <w:rFonts w:asciiTheme="majorHAnsi" w:hAnsiTheme="majorHAnsi"/>
          <w:szCs w:val="22"/>
        </w:rPr>
        <w:t xml:space="preserve"> </w:t>
      </w:r>
      <w:r w:rsidRPr="00B34B14">
        <w:rPr>
          <w:rFonts w:asciiTheme="majorHAnsi" w:hAnsiTheme="majorHAnsi"/>
          <w:szCs w:val="22"/>
        </w:rPr>
        <w:t>Opodstatnené požiadavky a</w:t>
      </w:r>
      <w:r w:rsidR="00E52EC5">
        <w:rPr>
          <w:rFonts w:asciiTheme="majorHAnsi" w:hAnsiTheme="majorHAnsi"/>
          <w:szCs w:val="22"/>
        </w:rPr>
        <w:t> </w:t>
      </w:r>
      <w:r w:rsidRPr="00B34B14">
        <w:rPr>
          <w:rFonts w:asciiTheme="majorHAnsi" w:hAnsiTheme="majorHAnsi"/>
          <w:szCs w:val="22"/>
        </w:rPr>
        <w:t>pripomienky verejnosti a dotknutých orgánov k návrhu PD SR a k</w:t>
      </w:r>
      <w:r w:rsidR="00E52EC5">
        <w:rPr>
          <w:rFonts w:asciiTheme="majorHAnsi" w:hAnsiTheme="majorHAnsi"/>
          <w:szCs w:val="22"/>
        </w:rPr>
        <w:t> </w:t>
      </w:r>
      <w:r w:rsidRPr="00B34B14">
        <w:rPr>
          <w:rFonts w:asciiTheme="majorHAnsi" w:hAnsiTheme="majorHAnsi"/>
          <w:szCs w:val="22"/>
        </w:rPr>
        <w:t xml:space="preserve">správe o hodnotení boli zohľadnené pri vypracovaní konečného </w:t>
      </w:r>
      <w:r>
        <w:rPr>
          <w:rFonts w:asciiTheme="majorHAnsi" w:hAnsiTheme="majorHAnsi"/>
          <w:szCs w:val="22"/>
        </w:rPr>
        <w:t xml:space="preserve">znenia </w:t>
      </w:r>
      <w:r w:rsidRPr="00B34B14">
        <w:rPr>
          <w:rFonts w:asciiTheme="majorHAnsi" w:hAnsiTheme="majorHAnsi"/>
          <w:szCs w:val="22"/>
        </w:rPr>
        <w:t>návrhu PD SR.</w:t>
      </w:r>
    </w:p>
    <w:p w:rsidR="0021713D" w:rsidRPr="00B34B14" w:rsidRDefault="0021713D" w:rsidP="003F0750">
      <w:pPr>
        <w:rPr>
          <w:rFonts w:asciiTheme="majorHAnsi" w:hAnsiTheme="majorHAnsi"/>
          <w:szCs w:val="22"/>
        </w:rPr>
      </w:pPr>
      <w:r w:rsidRPr="00B34B14">
        <w:rPr>
          <w:rFonts w:asciiTheme="majorHAnsi" w:hAnsiTheme="majorHAnsi"/>
          <w:szCs w:val="22"/>
        </w:rPr>
        <w:t>Pri realizácii strategického dokumentu bude nevyhnutné dôsledne akceptovať požiadavky</w:t>
      </w:r>
      <w:r>
        <w:rPr>
          <w:rFonts w:asciiTheme="majorHAnsi" w:hAnsiTheme="majorHAnsi"/>
          <w:szCs w:val="22"/>
        </w:rPr>
        <w:t>, ktoré</w:t>
      </w:r>
      <w:r w:rsidRPr="00B34B14">
        <w:rPr>
          <w:rFonts w:asciiTheme="majorHAnsi" w:hAnsiTheme="majorHAnsi"/>
          <w:szCs w:val="22"/>
        </w:rPr>
        <w:t xml:space="preserve"> vyplývajú zo všeobecne záväzných právnych predpisov</w:t>
      </w:r>
      <w:r>
        <w:rPr>
          <w:rFonts w:asciiTheme="majorHAnsi" w:hAnsiTheme="majorHAnsi"/>
          <w:szCs w:val="22"/>
        </w:rPr>
        <w:t xml:space="preserve"> SR</w:t>
      </w:r>
      <w:r w:rsidRPr="00B34B14">
        <w:rPr>
          <w:rFonts w:asciiTheme="majorHAnsi" w:hAnsiTheme="majorHAnsi"/>
          <w:szCs w:val="22"/>
        </w:rPr>
        <w:t xml:space="preserve"> v oblasti ochrany životného prostredia a zdravia obyvateľstva.</w:t>
      </w:r>
    </w:p>
    <w:p w:rsidR="0021713D" w:rsidRPr="00D621F6" w:rsidRDefault="0021713D" w:rsidP="003F0750">
      <w:pPr>
        <w:rPr>
          <w:rFonts w:asciiTheme="majorHAnsi" w:hAnsiTheme="majorHAnsi"/>
          <w:szCs w:val="22"/>
        </w:rPr>
      </w:pPr>
      <w:r w:rsidRPr="00F02806">
        <w:rPr>
          <w:rFonts w:asciiTheme="majorHAnsi" w:hAnsiTheme="majorHAnsi"/>
          <w:szCs w:val="22"/>
        </w:rPr>
        <w:t>Prípadné negatívne vplyvy strategického dokumentu na životné prostredie predpokladané v etape strategického posudzovania je možné eliminovať</w:t>
      </w:r>
      <w:r>
        <w:rPr>
          <w:rFonts w:asciiTheme="majorHAnsi" w:hAnsiTheme="majorHAnsi"/>
          <w:szCs w:val="22"/>
        </w:rPr>
        <w:t>,</w:t>
      </w:r>
      <w:r w:rsidRPr="00F02806">
        <w:rPr>
          <w:rFonts w:asciiTheme="majorHAnsi" w:hAnsiTheme="majorHAnsi"/>
          <w:szCs w:val="22"/>
        </w:rPr>
        <w:t xml:space="preserve"> prípadne zmierniť realizáciou účinných opatrení, </w:t>
      </w:r>
      <w:r w:rsidRPr="00F02806">
        <w:rPr>
          <w:rFonts w:asciiTheme="majorHAnsi" w:hAnsiTheme="majorHAnsi"/>
          <w:szCs w:val="22"/>
        </w:rPr>
        <w:lastRenderedPageBreak/>
        <w:t xml:space="preserve">napr. prehodnotením technického a využiteľného potenciálu </w:t>
      </w:r>
      <w:r w:rsidR="00E52EC5">
        <w:rPr>
          <w:rFonts w:asciiTheme="majorHAnsi" w:hAnsiTheme="majorHAnsi"/>
          <w:szCs w:val="22"/>
        </w:rPr>
        <w:t>OZE</w:t>
      </w:r>
      <w:r w:rsidRPr="00F02806">
        <w:rPr>
          <w:rFonts w:asciiTheme="majorHAnsi" w:hAnsiTheme="majorHAnsi"/>
          <w:szCs w:val="22"/>
        </w:rPr>
        <w:t xml:space="preserve"> v SR; vypracovaním zásad pre stanovenie únosnosti jednotlivých regiónov pre umiestnenie energetických zariadení s využívaním </w:t>
      </w:r>
      <w:r w:rsidR="00E52EC5">
        <w:rPr>
          <w:rFonts w:asciiTheme="majorHAnsi" w:hAnsiTheme="majorHAnsi"/>
          <w:szCs w:val="22"/>
        </w:rPr>
        <w:t>OZE</w:t>
      </w:r>
      <w:r w:rsidRPr="00F02806">
        <w:rPr>
          <w:rFonts w:asciiTheme="majorHAnsi" w:hAnsiTheme="majorHAnsi"/>
          <w:szCs w:val="22"/>
        </w:rPr>
        <w:t xml:space="preserve">; podrobnejším rozpracovaním opatrení súvisiacich s cieľmi Dunajskej stratégie; zohľadnením všetkých vplyvov identifikovaných v procese strategického hodnotenia návrhu PD SR už pri </w:t>
      </w:r>
      <w:r>
        <w:rPr>
          <w:rFonts w:asciiTheme="majorHAnsi" w:hAnsiTheme="majorHAnsi"/>
          <w:szCs w:val="22"/>
        </w:rPr>
        <w:t>príprave</w:t>
      </w:r>
      <w:r w:rsidRPr="00F02806">
        <w:rPr>
          <w:rFonts w:asciiTheme="majorHAnsi" w:hAnsiTheme="majorHAnsi"/>
          <w:szCs w:val="22"/>
        </w:rPr>
        <w:t xml:space="preserve"> jednotlivých </w:t>
      </w:r>
      <w:r w:rsidR="00E52EC5">
        <w:rPr>
          <w:rFonts w:asciiTheme="majorHAnsi" w:hAnsiTheme="majorHAnsi"/>
          <w:szCs w:val="22"/>
        </w:rPr>
        <w:t>OP</w:t>
      </w:r>
      <w:r>
        <w:rPr>
          <w:rFonts w:asciiTheme="majorHAnsi" w:hAnsiTheme="majorHAnsi"/>
          <w:szCs w:val="22"/>
        </w:rPr>
        <w:t xml:space="preserve"> SR na programové obdobie 2014 - 2020</w:t>
      </w:r>
      <w:r w:rsidRPr="00F02806">
        <w:rPr>
          <w:rFonts w:asciiTheme="majorHAnsi" w:hAnsiTheme="majorHAnsi"/>
          <w:szCs w:val="22"/>
        </w:rPr>
        <w:t xml:space="preserve">. Pripravované </w:t>
      </w:r>
      <w:r>
        <w:rPr>
          <w:rFonts w:asciiTheme="majorHAnsi" w:hAnsiTheme="majorHAnsi"/>
          <w:szCs w:val="22"/>
        </w:rPr>
        <w:t>OP</w:t>
      </w:r>
      <w:r w:rsidRPr="000E2DDD">
        <w:rPr>
          <w:rFonts w:asciiTheme="majorHAnsi" w:hAnsiTheme="majorHAnsi"/>
          <w:szCs w:val="22"/>
        </w:rPr>
        <w:t xml:space="preserve"> musia byť pred ich schválením</w:t>
      </w:r>
      <w:r>
        <w:rPr>
          <w:rFonts w:asciiTheme="majorHAnsi" w:hAnsiTheme="majorHAnsi"/>
          <w:szCs w:val="22"/>
        </w:rPr>
        <w:t xml:space="preserve"> tak</w:t>
      </w:r>
      <w:r w:rsidRPr="000E2DDD">
        <w:rPr>
          <w:rFonts w:asciiTheme="majorHAnsi" w:hAnsiTheme="majorHAnsi"/>
          <w:szCs w:val="22"/>
        </w:rPr>
        <w:t>, ako PD SR,</w:t>
      </w:r>
      <w:r w:rsidRPr="00857DBD">
        <w:rPr>
          <w:rFonts w:asciiTheme="majorHAnsi" w:hAnsiTheme="majorHAnsi"/>
          <w:szCs w:val="22"/>
        </w:rPr>
        <w:t xml:space="preserve"> </w:t>
      </w:r>
      <w:r w:rsidRPr="00D9400E">
        <w:rPr>
          <w:rFonts w:asciiTheme="majorHAnsi" w:hAnsiTheme="majorHAnsi"/>
          <w:szCs w:val="22"/>
        </w:rPr>
        <w:t>podrob</w:t>
      </w:r>
      <w:r w:rsidRPr="008C101D">
        <w:rPr>
          <w:rFonts w:asciiTheme="majorHAnsi" w:hAnsiTheme="majorHAnsi"/>
          <w:szCs w:val="22"/>
        </w:rPr>
        <w:t>ené</w:t>
      </w:r>
      <w:r w:rsidRPr="00090380">
        <w:rPr>
          <w:rFonts w:asciiTheme="majorHAnsi" w:hAnsiTheme="majorHAnsi"/>
          <w:szCs w:val="22"/>
        </w:rPr>
        <w:t xml:space="preserve"> strategickému environmentálnemu hodnoteniu (SEA) podľa zákona</w:t>
      </w:r>
      <w:r>
        <w:rPr>
          <w:rFonts w:asciiTheme="majorHAnsi" w:hAnsiTheme="majorHAnsi"/>
          <w:szCs w:val="22"/>
        </w:rPr>
        <w:t xml:space="preserve"> SR</w:t>
      </w:r>
      <w:r w:rsidR="00D425CF">
        <w:rPr>
          <w:rFonts w:asciiTheme="majorHAnsi" w:hAnsiTheme="majorHAnsi"/>
          <w:szCs w:val="22"/>
        </w:rPr>
        <w:t xml:space="preserve"> č. 24/2006 Z. z.</w:t>
      </w:r>
    </w:p>
    <w:p w:rsidR="0021713D" w:rsidRPr="00B34B14" w:rsidRDefault="0021713D" w:rsidP="0021713D">
      <w:pPr>
        <w:spacing w:before="0" w:after="0"/>
        <w:rPr>
          <w:rFonts w:asciiTheme="majorHAnsi" w:hAnsiTheme="majorHAnsi"/>
          <w:szCs w:val="22"/>
        </w:rPr>
      </w:pPr>
      <w:r w:rsidRPr="00D621F6">
        <w:rPr>
          <w:rFonts w:asciiTheme="majorHAnsi" w:hAnsiTheme="majorHAnsi"/>
          <w:szCs w:val="22"/>
        </w:rPr>
        <w:t>Dňa 7. 11. 2013 sa uskutočnilo verejné prerokovanie k</w:t>
      </w:r>
      <w:r w:rsidR="005211F5">
        <w:rPr>
          <w:rFonts w:asciiTheme="majorHAnsi" w:hAnsiTheme="majorHAnsi"/>
          <w:szCs w:val="22"/>
        </w:rPr>
        <w:t> </w:t>
      </w:r>
      <w:r w:rsidRPr="00D621F6">
        <w:rPr>
          <w:rFonts w:asciiTheme="majorHAnsi" w:hAnsiTheme="majorHAnsi"/>
          <w:szCs w:val="22"/>
        </w:rPr>
        <w:t>správe</w:t>
      </w:r>
      <w:r w:rsidR="005211F5">
        <w:rPr>
          <w:rFonts w:asciiTheme="majorHAnsi" w:hAnsiTheme="majorHAnsi"/>
          <w:szCs w:val="22"/>
        </w:rPr>
        <w:t xml:space="preserve"> </w:t>
      </w:r>
      <w:r w:rsidRPr="00D621F6">
        <w:rPr>
          <w:rFonts w:asciiTheme="majorHAnsi" w:hAnsiTheme="majorHAnsi"/>
          <w:szCs w:val="22"/>
        </w:rPr>
        <w:t xml:space="preserve">o hodnotení PD SR a k návrhu PD SR podľa § 17, ods. 9 zákona </w:t>
      </w:r>
      <w:r>
        <w:rPr>
          <w:rFonts w:asciiTheme="majorHAnsi" w:hAnsiTheme="majorHAnsi"/>
          <w:szCs w:val="22"/>
        </w:rPr>
        <w:t xml:space="preserve">SR </w:t>
      </w:r>
      <w:r w:rsidRPr="00D621F6">
        <w:rPr>
          <w:rFonts w:asciiTheme="majorHAnsi" w:hAnsiTheme="majorHAnsi"/>
          <w:szCs w:val="22"/>
        </w:rPr>
        <w:t xml:space="preserve">č. 24/2006 Z. </w:t>
      </w:r>
      <w:r w:rsidRPr="00E926FA">
        <w:rPr>
          <w:rFonts w:asciiTheme="majorHAnsi" w:hAnsiTheme="majorHAnsi"/>
          <w:szCs w:val="22"/>
        </w:rPr>
        <w:t xml:space="preserve">z., pričom relevantné pripomienky boli zapracované do návrhu PD SR. Na základe odborného posudku posudzovateľa SEA zo dňa 13. 12. 2013 bolo vydané súhlasné stanovisko Ministerstva životného prostredia SR k návrhu PD SR, ktorým bol dňa </w:t>
      </w:r>
      <w:r w:rsidR="002C5876">
        <w:rPr>
          <w:rFonts w:asciiTheme="majorHAnsi" w:hAnsiTheme="majorHAnsi"/>
          <w:szCs w:val="22"/>
        </w:rPr>
        <w:br/>
      </w:r>
      <w:r w:rsidRPr="00E926FA">
        <w:rPr>
          <w:rFonts w:asciiTheme="majorHAnsi" w:hAnsiTheme="majorHAnsi"/>
          <w:szCs w:val="22"/>
        </w:rPr>
        <w:t>27. 12. 2013 formálne</w:t>
      </w:r>
      <w:r w:rsidRPr="00B34B14">
        <w:rPr>
          <w:rFonts w:asciiTheme="majorHAnsi" w:hAnsiTheme="majorHAnsi"/>
          <w:szCs w:val="22"/>
        </w:rPr>
        <w:t xml:space="preserve"> ukončený proces SEA.</w:t>
      </w:r>
    </w:p>
    <w:p w:rsidR="0021713D" w:rsidRPr="00B34B14" w:rsidRDefault="0021713D" w:rsidP="003F0750">
      <w:pPr>
        <w:spacing w:after="0"/>
        <w:rPr>
          <w:rFonts w:asciiTheme="majorHAnsi" w:hAnsiTheme="majorHAnsi"/>
          <w:szCs w:val="22"/>
        </w:rPr>
      </w:pPr>
      <w:r w:rsidRPr="00B34B14">
        <w:rPr>
          <w:rFonts w:asciiTheme="majorHAnsi" w:hAnsiTheme="majorHAnsi"/>
          <w:szCs w:val="22"/>
        </w:rPr>
        <w:t>Vplyvy návrhu PD SR na životné prostredie, ktoré bolo možné predpokladať a</w:t>
      </w:r>
      <w:r w:rsidR="005211F5">
        <w:rPr>
          <w:rFonts w:asciiTheme="majorHAnsi" w:hAnsiTheme="majorHAnsi"/>
          <w:szCs w:val="22"/>
        </w:rPr>
        <w:t> </w:t>
      </w:r>
      <w:r w:rsidRPr="00B34B14">
        <w:rPr>
          <w:rFonts w:asciiTheme="majorHAnsi" w:hAnsiTheme="majorHAnsi"/>
          <w:szCs w:val="22"/>
        </w:rPr>
        <w:t>identifikovať</w:t>
      </w:r>
      <w:r w:rsidR="005211F5">
        <w:rPr>
          <w:rFonts w:asciiTheme="majorHAnsi" w:hAnsiTheme="majorHAnsi"/>
          <w:szCs w:val="22"/>
        </w:rPr>
        <w:t xml:space="preserve"> </w:t>
      </w:r>
      <w:r w:rsidRPr="00B34B14">
        <w:rPr>
          <w:rFonts w:asciiTheme="majorHAnsi" w:hAnsiTheme="majorHAnsi"/>
          <w:szCs w:val="22"/>
        </w:rPr>
        <w:t>v rámci procesu SEA, nie sú takého charakteru, aby spôsobili závažný vplyv na životné prostredie dotknutého územia a ktoré by boli prekážkou schválenia návrhu PD SR.</w:t>
      </w:r>
    </w:p>
    <w:p w:rsidR="000E2DDD" w:rsidRDefault="000E2DDD">
      <w:pPr>
        <w:spacing w:before="0" w:after="0"/>
        <w:jc w:val="left"/>
        <w:rPr>
          <w:rFonts w:asciiTheme="majorHAnsi" w:hAnsiTheme="majorHAnsi"/>
          <w:szCs w:val="22"/>
        </w:rPr>
      </w:pPr>
      <w:r>
        <w:rPr>
          <w:rFonts w:asciiTheme="majorHAnsi" w:hAnsiTheme="majorHAnsi"/>
          <w:szCs w:val="22"/>
        </w:rPr>
        <w:br w:type="page"/>
      </w:r>
    </w:p>
    <w:p w:rsidR="00894D52" w:rsidRDefault="00894D52" w:rsidP="007F08EE">
      <w:pPr>
        <w:pStyle w:val="Nadpis1"/>
        <w:spacing w:after="120"/>
        <w:ind w:left="431" w:hanging="431"/>
        <w:rPr>
          <w:lang w:eastAsia="cs-CZ"/>
        </w:rPr>
      </w:pPr>
      <w:bookmarkStart w:id="674" w:name="_Toc373497141"/>
      <w:bookmarkStart w:id="675" w:name="_Toc378168785"/>
      <w:bookmarkStart w:id="676" w:name="_Toc490655240"/>
      <w:r w:rsidRPr="00A11FE0">
        <w:rPr>
          <w:lang w:eastAsia="cs-CZ"/>
        </w:rPr>
        <w:lastRenderedPageBreak/>
        <w:t xml:space="preserve">Zoznam </w:t>
      </w:r>
      <w:r w:rsidR="00BD5FD5">
        <w:rPr>
          <w:lang w:eastAsia="cs-CZ"/>
        </w:rPr>
        <w:t>s</w:t>
      </w:r>
      <w:r w:rsidRPr="00A11FE0">
        <w:rPr>
          <w:lang w:eastAsia="cs-CZ"/>
        </w:rPr>
        <w:t>kratiek</w:t>
      </w:r>
      <w:bookmarkEnd w:id="674"/>
      <w:bookmarkEnd w:id="675"/>
      <w:bookmarkEnd w:id="676"/>
    </w:p>
    <w:tbl>
      <w:tblPr>
        <w:tblStyle w:val="Deloittetable31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9"/>
        <w:gridCol w:w="7267"/>
      </w:tblGrid>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AZ</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Administratívna záťaž</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BAT</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Best Available Technology – najlepšia dostupná technológia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AOTP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Aktívne opatrenia trhu práce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APTP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Aktívna politika trhu práce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APVV</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Agentúra na podporu výskumu a</w:t>
            </w:r>
            <w:r w:rsidR="00B27DB8">
              <w:rPr>
                <w:rFonts w:ascii="Calibri" w:hAnsi="Calibri"/>
                <w:lang w:eastAsia="cs-CZ"/>
              </w:rPr>
              <w:t> </w:t>
            </w:r>
            <w:r w:rsidRPr="009841A7">
              <w:rPr>
                <w:rFonts w:ascii="Calibri" w:hAnsi="Calibri"/>
                <w:lang w:eastAsia="cs-CZ"/>
              </w:rPr>
              <w:t>vývoja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ARRA</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Akademická rankingová a ratingová agentúra</w:t>
            </w:r>
          </w:p>
        </w:tc>
      </w:tr>
      <w:tr w:rsidR="009841A7" w:rsidRPr="009841A7" w:rsidTr="00174E83">
        <w:tc>
          <w:tcPr>
            <w:tcW w:w="1087" w:type="pct"/>
            <w:hideMark/>
          </w:tcPr>
          <w:p w:rsidR="004E2940" w:rsidRPr="009841A7" w:rsidRDefault="009841A7" w:rsidP="004E2940">
            <w:pPr>
              <w:spacing w:before="0" w:after="0"/>
              <w:jc w:val="left"/>
              <w:rPr>
                <w:rFonts w:ascii="Calibri" w:hAnsi="Calibri"/>
                <w:lang w:eastAsia="cs-CZ"/>
              </w:rPr>
            </w:pPr>
            <w:r w:rsidRPr="009841A7">
              <w:rPr>
                <w:rFonts w:ascii="Calibri" w:hAnsi="Calibri"/>
                <w:lang w:eastAsia="cs-CZ"/>
              </w:rPr>
              <w:t>ASFEU</w:t>
            </w:r>
          </w:p>
        </w:tc>
        <w:tc>
          <w:tcPr>
            <w:tcW w:w="3913" w:type="pct"/>
            <w:hideMark/>
          </w:tcPr>
          <w:p w:rsidR="004E2940" w:rsidRPr="009841A7" w:rsidRDefault="009841A7" w:rsidP="00174E83">
            <w:pPr>
              <w:spacing w:before="0" w:after="0"/>
              <w:rPr>
                <w:rFonts w:ascii="Calibri" w:hAnsi="Calibri"/>
                <w:lang w:eastAsia="cs-CZ"/>
              </w:rPr>
            </w:pPr>
            <w:r w:rsidRPr="009841A7">
              <w:rPr>
                <w:rFonts w:ascii="Calibri" w:hAnsi="Calibri"/>
                <w:lang w:eastAsia="cs-CZ"/>
              </w:rPr>
              <w:t>Agentúra Ministerstva školstva, vedy, výskumu a športu Slovenskej republiky pre štrukturálne fondy Európskej únie</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4E2940">
              <w:rPr>
                <w:rFonts w:ascii="Calibri" w:hAnsi="Calibri"/>
                <w:lang w:eastAsia="cs-CZ"/>
              </w:rPr>
              <w:t>AT</w:t>
            </w:r>
          </w:p>
        </w:tc>
        <w:tc>
          <w:tcPr>
            <w:tcW w:w="3913" w:type="pct"/>
          </w:tcPr>
          <w:p w:rsidR="00544C68" w:rsidRPr="009841A7" w:rsidRDefault="00544C68" w:rsidP="00EF7847">
            <w:pPr>
              <w:spacing w:before="0" w:after="0"/>
              <w:rPr>
                <w:rFonts w:ascii="Calibri" w:hAnsi="Calibri"/>
                <w:lang w:eastAsia="cs-CZ"/>
              </w:rPr>
            </w:pPr>
            <w:r w:rsidRPr="004E2940">
              <w:rPr>
                <w:rFonts w:ascii="Calibri" w:hAnsi="Calibri"/>
                <w:lang w:eastAsia="cs-CZ"/>
              </w:rPr>
              <w:t>Rakúsko</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BPK</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Biologické prvky kvality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BSK</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Bratislavský samosprávny kraj</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CEF</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Nástroj na prepájanie Európy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CKO</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Centrálny koordinačný orgán</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CLLD</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Miestny rozvoj vedený komunitou</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CO</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Certifikačný orgán</w:t>
            </w:r>
          </w:p>
        </w:tc>
      </w:tr>
      <w:tr w:rsidR="00544C68" w:rsidRPr="009841A7" w:rsidTr="00174E83">
        <w:tc>
          <w:tcPr>
            <w:tcW w:w="1087" w:type="pct"/>
          </w:tcPr>
          <w:p w:rsidR="00544C68" w:rsidRPr="009841A7" w:rsidRDefault="00544C68" w:rsidP="00544C68">
            <w:pPr>
              <w:spacing w:before="0" w:after="0"/>
              <w:jc w:val="left"/>
              <w:rPr>
                <w:rFonts w:ascii="Calibri" w:hAnsi="Calibri"/>
                <w:lang w:eastAsia="cs-CZ"/>
              </w:rPr>
            </w:pPr>
            <w:r w:rsidRPr="004E2940">
              <w:rPr>
                <w:rFonts w:ascii="Calibri" w:hAnsi="Calibri"/>
                <w:lang w:eastAsia="cs-CZ"/>
              </w:rPr>
              <w:t>CZ</w:t>
            </w:r>
          </w:p>
        </w:tc>
        <w:tc>
          <w:tcPr>
            <w:tcW w:w="3913" w:type="pct"/>
          </w:tcPr>
          <w:p w:rsidR="00544C68" w:rsidRPr="009841A7" w:rsidRDefault="00544C68" w:rsidP="00544C68">
            <w:pPr>
              <w:spacing w:before="0" w:after="0"/>
              <w:jc w:val="left"/>
              <w:rPr>
                <w:rFonts w:ascii="Calibri" w:hAnsi="Calibri"/>
                <w:lang w:eastAsia="cs-CZ"/>
              </w:rPr>
            </w:pPr>
            <w:r w:rsidRPr="004E2940">
              <w:rPr>
                <w:rFonts w:ascii="Calibri" w:hAnsi="Calibri"/>
                <w:lang w:eastAsia="cs-CZ"/>
              </w:rPr>
              <w:t>Česká republika</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CZT</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Centralizované zásobovanie teplom</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ČOV</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Čis</w:t>
            </w:r>
            <w:r w:rsidR="00320CC3">
              <w:rPr>
                <w:rFonts w:ascii="Calibri" w:hAnsi="Calibri"/>
                <w:lang w:eastAsia="cs-CZ"/>
              </w:rPr>
              <w:t>tiareň</w:t>
            </w:r>
            <w:r w:rsidRPr="009841A7">
              <w:rPr>
                <w:rFonts w:ascii="Calibri" w:hAnsi="Calibri"/>
                <w:lang w:eastAsia="cs-CZ"/>
              </w:rPr>
              <w:t xml:space="preserve"> odpadových vôd</w:t>
            </w:r>
          </w:p>
        </w:tc>
      </w:tr>
      <w:tr w:rsidR="009841A7" w:rsidRPr="009841A7" w:rsidTr="00174E83">
        <w:tc>
          <w:tcPr>
            <w:tcW w:w="1087" w:type="pct"/>
            <w:hideMark/>
          </w:tcPr>
          <w:p w:rsidR="004E2940" w:rsidRPr="009841A7" w:rsidRDefault="009841A7" w:rsidP="009841A7">
            <w:pPr>
              <w:spacing w:before="0" w:after="0"/>
              <w:jc w:val="left"/>
              <w:rPr>
                <w:rFonts w:ascii="Calibri" w:hAnsi="Calibri"/>
                <w:lang w:eastAsia="cs-CZ"/>
              </w:rPr>
            </w:pPr>
            <w:r w:rsidRPr="009841A7">
              <w:rPr>
                <w:rFonts w:ascii="Calibri" w:hAnsi="Calibri"/>
                <w:lang w:eastAsia="cs-CZ"/>
              </w:rPr>
              <w:t>DE</w:t>
            </w:r>
          </w:p>
        </w:tc>
        <w:tc>
          <w:tcPr>
            <w:tcW w:w="3913" w:type="pct"/>
            <w:hideMark/>
          </w:tcPr>
          <w:p w:rsidR="004E2940" w:rsidRPr="009841A7" w:rsidRDefault="009841A7" w:rsidP="009841A7">
            <w:pPr>
              <w:spacing w:before="0" w:after="0"/>
              <w:jc w:val="left"/>
              <w:rPr>
                <w:rFonts w:ascii="Calibri" w:hAnsi="Calibri"/>
                <w:lang w:eastAsia="cs-CZ"/>
              </w:rPr>
            </w:pPr>
            <w:r w:rsidRPr="009841A7">
              <w:rPr>
                <w:rFonts w:ascii="Calibri" w:hAnsi="Calibri"/>
                <w:lang w:eastAsia="cs-CZ"/>
              </w:rPr>
              <w:t>Digitálna ekonomika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EAO</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Ekonomicky aktívne obyvateľstvo</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EFRR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Európsky fond regionálneho rozvoja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EHS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Európske hospodárske spoločenstvo</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EIA</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Posudzovanie vplyvov na životné prostredie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EIB</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Európska investičná banka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EK</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Európska komisia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ENRF</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Európsky námorný a rybársky fond</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EO</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Ekvivalentný obyvateľ</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EPFRV</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 xml:space="preserve">Európsky poľnohospodársky fond </w:t>
            </w:r>
            <w:r w:rsidR="00DE4EBB">
              <w:rPr>
                <w:rFonts w:ascii="Calibri" w:hAnsi="Calibri"/>
                <w:lang w:eastAsia="cs-CZ"/>
              </w:rPr>
              <w:t xml:space="preserve">pre </w:t>
            </w:r>
            <w:r w:rsidRPr="009841A7">
              <w:rPr>
                <w:rFonts w:ascii="Calibri" w:hAnsi="Calibri"/>
                <w:lang w:eastAsia="cs-CZ"/>
              </w:rPr>
              <w:t>rozvoj vidieka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EPZF</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Európsky poľnohospodársky záručný fond</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ERA</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Európsky výskumný priestor</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Európske spoločenstvo</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ESF</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Európsky sociálny fond</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ESO</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Efektívne, spoľahlivá a otvorená verejná správa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EŠIF</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Európske štrukturálne a investičné fondy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ETS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Systém obchodovania s emisiami</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EÚ</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Európska únia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EÚS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Európska územná spolupráca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EZÚS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Európske zoskupenie územnej spolupráce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FEAD</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Fond Európskej pomoci pre najodkázanejšie osoby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HDP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Hrubý domáci produkt</w:t>
            </w:r>
          </w:p>
        </w:tc>
      </w:tr>
      <w:tr w:rsidR="009841A7" w:rsidRPr="009841A7" w:rsidTr="00174E83">
        <w:tc>
          <w:tcPr>
            <w:tcW w:w="1087" w:type="pct"/>
            <w:hideMark/>
          </w:tcPr>
          <w:p w:rsidR="00DC0AB0" w:rsidRPr="009841A7" w:rsidRDefault="009841A7" w:rsidP="00DC0AB0">
            <w:pPr>
              <w:spacing w:before="0" w:after="0"/>
              <w:jc w:val="left"/>
              <w:rPr>
                <w:rFonts w:ascii="Calibri" w:hAnsi="Calibri"/>
                <w:lang w:eastAsia="cs-CZ"/>
              </w:rPr>
            </w:pPr>
            <w:r w:rsidRPr="009841A7">
              <w:rPr>
                <w:rFonts w:ascii="Calibri" w:hAnsi="Calibri"/>
                <w:lang w:eastAsia="cs-CZ"/>
              </w:rPr>
              <w:t>HNV</w:t>
            </w:r>
          </w:p>
        </w:tc>
        <w:tc>
          <w:tcPr>
            <w:tcW w:w="3913" w:type="pct"/>
            <w:hideMark/>
          </w:tcPr>
          <w:p w:rsidR="00DC0AB0" w:rsidRPr="009841A7" w:rsidRDefault="009841A7" w:rsidP="009841A7">
            <w:pPr>
              <w:spacing w:before="0" w:after="0"/>
              <w:jc w:val="left"/>
              <w:rPr>
                <w:rFonts w:ascii="Calibri" w:hAnsi="Calibri"/>
                <w:lang w:eastAsia="cs-CZ"/>
              </w:rPr>
            </w:pPr>
            <w:r w:rsidRPr="009841A7">
              <w:rPr>
                <w:rFonts w:ascii="Calibri" w:hAnsi="Calibri"/>
                <w:lang w:eastAsia="cs-CZ"/>
              </w:rPr>
              <w:t>Územie s vysokou prírodnou hodnotou</w:t>
            </w:r>
          </w:p>
        </w:tc>
      </w:tr>
      <w:tr w:rsidR="00544C68" w:rsidRPr="009841A7" w:rsidTr="00174E83">
        <w:tc>
          <w:tcPr>
            <w:tcW w:w="1087" w:type="pct"/>
          </w:tcPr>
          <w:p w:rsidR="00544C68" w:rsidRPr="009841A7" w:rsidRDefault="00544C68" w:rsidP="00544C68">
            <w:pPr>
              <w:spacing w:before="0" w:after="0"/>
              <w:jc w:val="left"/>
              <w:rPr>
                <w:rFonts w:ascii="Calibri" w:hAnsi="Calibri"/>
                <w:lang w:eastAsia="cs-CZ"/>
              </w:rPr>
            </w:pPr>
            <w:r>
              <w:rPr>
                <w:rFonts w:ascii="Calibri" w:hAnsi="Calibri"/>
                <w:lang w:eastAsia="cs-CZ"/>
              </w:rPr>
              <w:t>HR</w:t>
            </w:r>
          </w:p>
        </w:tc>
        <w:tc>
          <w:tcPr>
            <w:tcW w:w="3913" w:type="pct"/>
          </w:tcPr>
          <w:p w:rsidR="00544C68" w:rsidRPr="009841A7" w:rsidRDefault="00544C68" w:rsidP="00544C68">
            <w:pPr>
              <w:spacing w:before="0" w:after="0"/>
              <w:jc w:val="left"/>
              <w:rPr>
                <w:rFonts w:ascii="Calibri" w:hAnsi="Calibri"/>
                <w:lang w:eastAsia="cs-CZ"/>
              </w:rPr>
            </w:pPr>
            <w:r w:rsidRPr="00DC0AB0">
              <w:rPr>
                <w:rFonts w:ascii="Calibri" w:hAnsi="Calibri"/>
                <w:lang w:eastAsia="cs-CZ"/>
              </w:rPr>
              <w:t>Chorvátsko</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Pr>
                <w:rFonts w:ascii="Calibri" w:hAnsi="Calibri"/>
                <w:lang w:eastAsia="cs-CZ"/>
              </w:rPr>
              <w:t>HU</w:t>
            </w:r>
          </w:p>
        </w:tc>
        <w:tc>
          <w:tcPr>
            <w:tcW w:w="3913" w:type="pct"/>
          </w:tcPr>
          <w:p w:rsidR="00544C68" w:rsidRPr="009841A7" w:rsidRDefault="00544C68" w:rsidP="009841A7">
            <w:pPr>
              <w:spacing w:before="0" w:after="0"/>
              <w:jc w:val="left"/>
              <w:rPr>
                <w:rFonts w:ascii="Calibri" w:hAnsi="Calibri"/>
                <w:lang w:eastAsia="cs-CZ"/>
              </w:rPr>
            </w:pPr>
            <w:r>
              <w:rPr>
                <w:rFonts w:ascii="Calibri" w:hAnsi="Calibri"/>
                <w:lang w:eastAsia="cs-CZ"/>
              </w:rPr>
              <w:t>Maďarsko</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IDS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Integrovaný dopravný systém</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IKT</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Informačno-komunikačné technológie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IPKZ</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Integrovaná prevencia a kontrola znečisťovania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IROP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Integrovaný regionálny operačný program</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IS PPA</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Informačný systém Pôdohospodárskej platobnej agentúry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IS VS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Informačný systém verejnej správy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ISUF</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Informačný systém účtovníctva fondov</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lastRenderedPageBreak/>
              <w:t>IT</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Informačné technológie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ITMS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IT monitorovací systém</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IÚI</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Integrované územné investície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IZM</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Iniciatíva na podporu zamestnanosti mladých ľudí</w:t>
            </w:r>
          </w:p>
        </w:tc>
      </w:tr>
      <w:tr w:rsidR="009841A7" w:rsidRPr="009841A7" w:rsidTr="00174E83">
        <w:tc>
          <w:tcPr>
            <w:tcW w:w="1087" w:type="pct"/>
            <w:hideMark/>
          </w:tcPr>
          <w:p w:rsidR="005D333D" w:rsidRPr="009841A7" w:rsidRDefault="009841A7" w:rsidP="00544C68">
            <w:pPr>
              <w:spacing w:before="0" w:after="0"/>
              <w:jc w:val="left"/>
              <w:rPr>
                <w:rFonts w:ascii="Calibri" w:hAnsi="Calibri"/>
                <w:lang w:eastAsia="cs-CZ"/>
              </w:rPr>
            </w:pPr>
            <w:r w:rsidRPr="009841A7">
              <w:rPr>
                <w:rFonts w:ascii="Calibri" w:hAnsi="Calibri"/>
                <w:lang w:eastAsia="cs-CZ"/>
              </w:rPr>
              <w:t>IZS</w:t>
            </w:r>
          </w:p>
        </w:tc>
        <w:tc>
          <w:tcPr>
            <w:tcW w:w="3913" w:type="pct"/>
            <w:hideMark/>
          </w:tcPr>
          <w:p w:rsidR="005D333D" w:rsidRPr="009841A7" w:rsidRDefault="009841A7" w:rsidP="00174E83">
            <w:pPr>
              <w:spacing w:before="0" w:after="0"/>
              <w:jc w:val="left"/>
              <w:rPr>
                <w:rFonts w:ascii="Calibri" w:hAnsi="Calibri"/>
                <w:szCs w:val="24"/>
                <w:lang w:eastAsia="cs-CZ"/>
              </w:rPr>
            </w:pPr>
            <w:r w:rsidRPr="009841A7">
              <w:rPr>
                <w:rFonts w:ascii="Calibri" w:hAnsi="Calibri"/>
                <w:lang w:eastAsia="cs-CZ"/>
              </w:rPr>
              <w:t>Integrovaný záchranný systém</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Pr>
                <w:rFonts w:ascii="Calibri" w:hAnsi="Calibri"/>
                <w:lang w:eastAsia="cs-CZ"/>
              </w:rPr>
              <w:t>JEREMIE</w:t>
            </w:r>
          </w:p>
        </w:tc>
        <w:tc>
          <w:tcPr>
            <w:tcW w:w="3913" w:type="pct"/>
          </w:tcPr>
          <w:p w:rsidR="00544C68" w:rsidRPr="009841A7" w:rsidRDefault="00544C68" w:rsidP="00174E83">
            <w:pPr>
              <w:spacing w:before="0" w:after="0"/>
              <w:rPr>
                <w:rFonts w:ascii="Calibri" w:hAnsi="Calibri"/>
                <w:lang w:eastAsia="cs-CZ"/>
              </w:rPr>
            </w:pPr>
            <w:r w:rsidRPr="005D333D">
              <w:rPr>
                <w:rFonts w:ascii="Calibri" w:hAnsi="Calibri"/>
                <w:lang w:eastAsia="cs-CZ"/>
              </w:rPr>
              <w:t>Joint Europea</w:t>
            </w:r>
            <w:r>
              <w:rPr>
                <w:rFonts w:ascii="Calibri" w:hAnsi="Calibri"/>
                <w:lang w:eastAsia="cs-CZ"/>
              </w:rPr>
              <w:t xml:space="preserve">n Resources for Micro to Medium </w:t>
            </w:r>
            <w:r w:rsidRPr="005D333D">
              <w:rPr>
                <w:rFonts w:ascii="Calibri" w:hAnsi="Calibri"/>
                <w:lang w:eastAsia="cs-CZ"/>
              </w:rPr>
              <w:t>Enterprises/Spoločné európske zdroje pre veľmi malé až stredné podniky</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JKM</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Jednotné kontaktné miesta</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KF</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Kohézny fond</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KIBS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Znalostne intenzívne služby pre podniky</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KO</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Komunálny odpad</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KSK</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Košický samosprávny kraj</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KURS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Koncepcia územného rozvoja Slovenska</w:t>
            </w:r>
          </w:p>
        </w:tc>
      </w:tr>
      <w:tr w:rsidR="009841A7" w:rsidRPr="009841A7" w:rsidTr="00174E83">
        <w:tc>
          <w:tcPr>
            <w:tcW w:w="1087" w:type="pct"/>
            <w:hideMark/>
          </w:tcPr>
          <w:p w:rsidR="0034477A" w:rsidRPr="009841A7" w:rsidRDefault="009841A7" w:rsidP="00544C68">
            <w:pPr>
              <w:spacing w:before="0" w:after="0"/>
              <w:jc w:val="left"/>
              <w:rPr>
                <w:rFonts w:ascii="Calibri" w:hAnsi="Calibri"/>
                <w:lang w:eastAsia="cs-CZ"/>
              </w:rPr>
            </w:pPr>
            <w:r w:rsidRPr="009841A7">
              <w:rPr>
                <w:rFonts w:ascii="Calibri" w:hAnsi="Calibri"/>
                <w:lang w:eastAsia="cs-CZ"/>
              </w:rPr>
              <w:t>KVET</w:t>
            </w:r>
          </w:p>
        </w:tc>
        <w:tc>
          <w:tcPr>
            <w:tcW w:w="3913" w:type="pct"/>
            <w:hideMark/>
          </w:tcPr>
          <w:p w:rsidR="0034477A" w:rsidRPr="009841A7" w:rsidRDefault="009841A7" w:rsidP="00174E83">
            <w:pPr>
              <w:spacing w:before="0" w:after="0"/>
              <w:jc w:val="left"/>
              <w:rPr>
                <w:rFonts w:ascii="Calibri" w:hAnsi="Calibri"/>
                <w:szCs w:val="24"/>
                <w:lang w:eastAsia="cs-CZ"/>
              </w:rPr>
            </w:pPr>
            <w:r w:rsidRPr="009841A7">
              <w:rPr>
                <w:rFonts w:ascii="Calibri" w:hAnsi="Calibri"/>
                <w:lang w:eastAsia="cs-CZ"/>
              </w:rPr>
              <w:t>Kombinovaná výroba elektriny a</w:t>
            </w:r>
            <w:r w:rsidR="0034477A">
              <w:rPr>
                <w:rFonts w:ascii="Calibri" w:hAnsi="Calibri"/>
                <w:lang w:eastAsia="cs-CZ"/>
              </w:rPr>
              <w:t> </w:t>
            </w:r>
            <w:r w:rsidRPr="009841A7">
              <w:rPr>
                <w:rFonts w:ascii="Calibri" w:hAnsi="Calibri"/>
                <w:lang w:eastAsia="cs-CZ"/>
              </w:rPr>
              <w:t>tepla</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Pr>
                <w:rFonts w:ascii="Calibri" w:hAnsi="Calibri"/>
                <w:lang w:eastAsia="cs-CZ"/>
              </w:rPr>
              <w:t>LEADER</w:t>
            </w:r>
          </w:p>
        </w:tc>
        <w:tc>
          <w:tcPr>
            <w:tcW w:w="3913" w:type="pct"/>
          </w:tcPr>
          <w:p w:rsidR="00544C68" w:rsidRPr="009841A7" w:rsidRDefault="00544C68" w:rsidP="00174E83">
            <w:pPr>
              <w:spacing w:before="0" w:after="0"/>
              <w:rPr>
                <w:rFonts w:ascii="Calibri" w:hAnsi="Calibri"/>
                <w:lang w:eastAsia="cs-CZ"/>
              </w:rPr>
            </w:pPr>
            <w:r w:rsidRPr="00A7721E">
              <w:rPr>
                <w:rFonts w:ascii="Calibri" w:hAnsi="Calibri"/>
                <w:lang w:eastAsia="cs-CZ"/>
              </w:rPr>
              <w:t>Liaison Entre Actions de Développement de le Économie Rurale (spájanie aktivít, ktoré podporujú hospodársky rozvoj vidieka)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LPIS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Informačný systém produkčných blokov na poľnohospodárskej pôde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MAS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Miestne akčné skupiny</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MDVRR SR</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Ministerstvo dopravy, výstavby a regionálneho rozvoja Slovenskej republiky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MF SR</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Ministerstvo financií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MH 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Ministerstvo hospodárstva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MHD</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Mestská hromadná doprava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MK 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Ministerstvo kultúry Slovenskej republiky</w:t>
            </w:r>
          </w:p>
        </w:tc>
      </w:tr>
      <w:tr w:rsidR="00544C68" w:rsidRPr="009841A7" w:rsidTr="00174E83">
        <w:tc>
          <w:tcPr>
            <w:tcW w:w="1087"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MO SR</w:t>
            </w:r>
          </w:p>
        </w:tc>
        <w:tc>
          <w:tcPr>
            <w:tcW w:w="3913"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Ministerstvo obrany Slovenskej republiky</w:t>
            </w:r>
          </w:p>
        </w:tc>
      </w:tr>
      <w:tr w:rsidR="00544C68" w:rsidRPr="009841A7" w:rsidTr="00174E83">
        <w:tc>
          <w:tcPr>
            <w:tcW w:w="1087"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MPRV SR</w:t>
            </w:r>
          </w:p>
        </w:tc>
        <w:tc>
          <w:tcPr>
            <w:tcW w:w="3913"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Ministerstvo pôdohospodárstva a rozvoja vidieka Slovenskej republiky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MPSVR SR</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Ministerstvo práce, sociálnych vecí a rodiny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MRK</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Marginalizované rómske komunity</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MS SR</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Ministerstvo spravodlivosti Slovenskej republiky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MSP</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Mikro, malé a stredné podniky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MŠ</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Materská škola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MŠVVŠ 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Ministerstvo školstva, vedy, výskumu a športu Slovenskej republiky</w:t>
            </w:r>
          </w:p>
        </w:tc>
      </w:tr>
      <w:tr w:rsidR="009841A7" w:rsidRPr="009841A7" w:rsidTr="00174E83">
        <w:tc>
          <w:tcPr>
            <w:tcW w:w="1087" w:type="pct"/>
            <w:hideMark/>
          </w:tcPr>
          <w:p w:rsidR="009841A7" w:rsidRPr="009841A7" w:rsidRDefault="009841A7" w:rsidP="00C71A2E">
            <w:pPr>
              <w:spacing w:before="0" w:after="0"/>
              <w:jc w:val="left"/>
              <w:rPr>
                <w:rFonts w:ascii="Calibri" w:hAnsi="Calibri"/>
                <w:lang w:eastAsia="cs-CZ"/>
              </w:rPr>
            </w:pPr>
            <w:r w:rsidRPr="009841A7">
              <w:rPr>
                <w:rFonts w:ascii="Calibri" w:hAnsi="Calibri"/>
                <w:lang w:eastAsia="cs-CZ"/>
              </w:rPr>
              <w:t>MU</w:t>
            </w:r>
          </w:p>
        </w:tc>
        <w:tc>
          <w:tcPr>
            <w:tcW w:w="3913" w:type="pct"/>
            <w:hideMark/>
          </w:tcPr>
          <w:p w:rsidR="009841A7" w:rsidRPr="009841A7" w:rsidRDefault="009841A7" w:rsidP="00C71A2E">
            <w:pPr>
              <w:spacing w:before="0" w:after="0"/>
              <w:jc w:val="left"/>
              <w:rPr>
                <w:rFonts w:ascii="Calibri" w:hAnsi="Calibri"/>
                <w:lang w:eastAsia="cs-CZ"/>
              </w:rPr>
            </w:pPr>
            <w:r w:rsidRPr="009841A7">
              <w:rPr>
                <w:rFonts w:ascii="Calibri" w:hAnsi="Calibri"/>
                <w:lang w:eastAsia="cs-CZ"/>
              </w:rPr>
              <w:t>Mimoriadna udalosť</w:t>
            </w:r>
          </w:p>
        </w:tc>
      </w:tr>
      <w:tr w:rsidR="00C71A2E" w:rsidRPr="009841A7" w:rsidTr="00174E83">
        <w:tc>
          <w:tcPr>
            <w:tcW w:w="1087"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MV SR</w:t>
            </w:r>
          </w:p>
        </w:tc>
        <w:tc>
          <w:tcPr>
            <w:tcW w:w="3913"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Ministerstvo vnútra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MZ 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Ministerstvo zdravotníctva Slovenskej republiky</w:t>
            </w:r>
          </w:p>
        </w:tc>
      </w:tr>
      <w:tr w:rsidR="00544C68" w:rsidRPr="009841A7" w:rsidTr="00174E83">
        <w:tc>
          <w:tcPr>
            <w:tcW w:w="1087"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MZVEZ SR</w:t>
            </w:r>
          </w:p>
        </w:tc>
        <w:tc>
          <w:tcPr>
            <w:tcW w:w="3913"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Ministerstvo zahraničných vecí a európskych záležitostí Slovenskej republiky</w:t>
            </w:r>
          </w:p>
        </w:tc>
      </w:tr>
      <w:tr w:rsidR="00544C68" w:rsidRPr="009841A7" w:rsidTr="00174E83">
        <w:tc>
          <w:tcPr>
            <w:tcW w:w="1087"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MŽP SR</w:t>
            </w:r>
          </w:p>
        </w:tc>
        <w:tc>
          <w:tcPr>
            <w:tcW w:w="3913" w:type="pct"/>
          </w:tcPr>
          <w:p w:rsidR="00544C68" w:rsidRPr="009841A7" w:rsidRDefault="00544C68" w:rsidP="00544C68">
            <w:pPr>
              <w:spacing w:before="0" w:after="0"/>
              <w:jc w:val="left"/>
              <w:rPr>
                <w:rFonts w:ascii="Calibri" w:hAnsi="Calibri"/>
                <w:lang w:eastAsia="cs-CZ"/>
              </w:rPr>
            </w:pPr>
            <w:r w:rsidRPr="009841A7">
              <w:rPr>
                <w:rFonts w:ascii="Calibri" w:hAnsi="Calibri"/>
                <w:lang w:eastAsia="cs-CZ"/>
              </w:rPr>
              <w:t>Ministerstvo životného prostredia Slovenskej republiky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NARMSP</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Národná agentúra rozvoja malého a stredného podnikania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NPR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Národný program reforiem Slovenskej republiky</w:t>
            </w:r>
          </w:p>
        </w:tc>
      </w:tr>
      <w:tr w:rsidR="00C71A2E" w:rsidRPr="009841A7" w:rsidTr="00174E83">
        <w:tc>
          <w:tcPr>
            <w:tcW w:w="1087" w:type="pct"/>
          </w:tcPr>
          <w:p w:rsidR="00C71A2E" w:rsidRPr="009841A7" w:rsidRDefault="00C71A2E" w:rsidP="00C71A2E">
            <w:pPr>
              <w:spacing w:before="0" w:after="0"/>
              <w:jc w:val="left"/>
              <w:rPr>
                <w:rFonts w:ascii="Calibri" w:hAnsi="Calibri"/>
                <w:lang w:eastAsia="cs-CZ"/>
              </w:rPr>
            </w:pPr>
            <w:r w:rsidRPr="009841A7">
              <w:rPr>
                <w:rFonts w:ascii="Calibri" w:hAnsi="Calibri"/>
                <w:lang w:eastAsia="cs-CZ"/>
              </w:rPr>
              <w:t>NR SR</w:t>
            </w:r>
          </w:p>
        </w:tc>
        <w:tc>
          <w:tcPr>
            <w:tcW w:w="3913" w:type="pct"/>
          </w:tcPr>
          <w:p w:rsidR="00C71A2E" w:rsidRPr="009841A7" w:rsidRDefault="00C71A2E" w:rsidP="00C71A2E">
            <w:pPr>
              <w:spacing w:before="0" w:after="0"/>
              <w:jc w:val="left"/>
              <w:rPr>
                <w:rFonts w:ascii="Calibri" w:hAnsi="Calibri"/>
                <w:lang w:eastAsia="cs-CZ"/>
              </w:rPr>
            </w:pPr>
            <w:r w:rsidRPr="009841A7">
              <w:rPr>
                <w:rFonts w:ascii="Calibri" w:hAnsi="Calibri"/>
                <w:lang w:eastAsia="cs-CZ"/>
              </w:rPr>
              <w:t>Národná rada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NUTS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Nomenklatúra územných štatistických jednotiek</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OA</w:t>
            </w:r>
          </w:p>
        </w:tc>
        <w:tc>
          <w:tcPr>
            <w:tcW w:w="3913" w:type="pct"/>
            <w:hideMark/>
          </w:tcPr>
          <w:p w:rsidR="009841A7" w:rsidRPr="009841A7" w:rsidRDefault="009841A7" w:rsidP="00544C68">
            <w:pPr>
              <w:spacing w:before="0" w:after="0"/>
              <w:rPr>
                <w:rFonts w:ascii="Calibri" w:hAnsi="Calibri"/>
                <w:lang w:eastAsia="cs-CZ"/>
              </w:rPr>
            </w:pPr>
            <w:r w:rsidRPr="009841A7">
              <w:rPr>
                <w:rFonts w:ascii="Calibri" w:hAnsi="Calibri"/>
                <w:lang w:eastAsia="cs-CZ"/>
              </w:rPr>
              <w:t>Orgán auditu</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OECD</w:t>
            </w:r>
          </w:p>
        </w:tc>
        <w:tc>
          <w:tcPr>
            <w:tcW w:w="3913" w:type="pct"/>
          </w:tcPr>
          <w:p w:rsidR="00544C68" w:rsidRPr="009841A7" w:rsidRDefault="00544C68" w:rsidP="009841A7">
            <w:pPr>
              <w:spacing w:before="0" w:after="0"/>
              <w:rPr>
                <w:rFonts w:ascii="Calibri" w:hAnsi="Calibri"/>
                <w:lang w:eastAsia="cs-CZ"/>
              </w:rPr>
            </w:pPr>
            <w:r w:rsidRPr="009841A7">
              <w:rPr>
                <w:rFonts w:ascii="Calibri" w:hAnsi="Calibri"/>
                <w:lang w:eastAsia="cs-CZ"/>
              </w:rPr>
              <w:t>Organizácia pre hospodársku spoluprácu a rozvoj</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EVS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 Efektívna verejná správa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II</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 Integrovaná infraštruktúra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IS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Operačná program Informatizácia spoločnosti</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KŽP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 Kvalita životného prostredia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ĽZ</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 Ľudské zdroje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RH</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 Rybné hospodárstvo</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TP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 Technická pomoc</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VaI</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Operačný program Výskum a inovácie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 ZaSI</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Operačná program Zamestnanosť a sociálna inklúzia</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lastRenderedPageBreak/>
              <w:t>OVP</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Odborné vzdelávanie a</w:t>
            </w:r>
            <w:r w:rsidR="00544C68">
              <w:rPr>
                <w:rFonts w:ascii="Calibri" w:hAnsi="Calibri"/>
                <w:lang w:eastAsia="cs-CZ"/>
              </w:rPr>
              <w:t> </w:t>
            </w:r>
            <w:r w:rsidRPr="009841A7">
              <w:rPr>
                <w:rFonts w:ascii="Calibri" w:hAnsi="Calibri"/>
                <w:lang w:eastAsia="cs-CZ"/>
              </w:rPr>
              <w:t>príprava</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OSN</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Organizácia spojených národov</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OZE</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Obnoviteľné zdroje energie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PD 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Partnerská dohoda Slovenskej republiky</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POH SR</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Program odpadového hospodárstva Slovenskej republiky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POVAPSYS</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Povodňový varovný a predpovedný systém</w:t>
            </w:r>
          </w:p>
        </w:tc>
      </w:tr>
      <w:tr w:rsidR="009841A7" w:rsidRPr="009841A7" w:rsidTr="00D17DFC">
        <w:tc>
          <w:tcPr>
            <w:tcW w:w="1087" w:type="pct"/>
          </w:tcPr>
          <w:p w:rsidR="009841A7" w:rsidRPr="009841A7" w:rsidRDefault="009841A7" w:rsidP="00544C68">
            <w:pPr>
              <w:spacing w:before="0" w:after="0"/>
              <w:jc w:val="left"/>
              <w:rPr>
                <w:rFonts w:ascii="Calibri" w:hAnsi="Calibri"/>
                <w:lang w:eastAsia="cs-CZ"/>
              </w:rPr>
            </w:pPr>
          </w:p>
        </w:tc>
        <w:tc>
          <w:tcPr>
            <w:tcW w:w="3913" w:type="pct"/>
          </w:tcPr>
          <w:p w:rsidR="009841A7" w:rsidRPr="009841A7" w:rsidRDefault="009841A7" w:rsidP="00544C68">
            <w:pPr>
              <w:spacing w:before="0" w:after="0"/>
              <w:jc w:val="left"/>
              <w:rPr>
                <w:rFonts w:ascii="Calibri" w:hAnsi="Calibri"/>
                <w:lang w:eastAsia="cs-CZ"/>
              </w:rPr>
            </w:pP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PRV</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Program rozvoja vidieka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RC</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Rýchlostná cesta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RIS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Riečny informačný systém</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RIS3</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Stratégia výskumu a inovácií pre inteligentnú špecializáciu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RIÚS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 xml:space="preserve">Regionálne integrované </w:t>
            </w:r>
            <w:r w:rsidR="00F33866">
              <w:rPr>
                <w:rFonts w:ascii="Calibri" w:hAnsi="Calibri"/>
                <w:lang w:eastAsia="cs-CZ"/>
              </w:rPr>
              <w:t xml:space="preserve">územné </w:t>
            </w:r>
            <w:r w:rsidRPr="009841A7">
              <w:rPr>
                <w:rFonts w:ascii="Calibri" w:hAnsi="Calibri"/>
                <w:lang w:eastAsia="cs-CZ"/>
              </w:rPr>
              <w:t>stratégie</w:t>
            </w:r>
          </w:p>
        </w:tc>
      </w:tr>
      <w:tr w:rsidR="009841A7" w:rsidRPr="009841A7" w:rsidTr="00174E83">
        <w:tc>
          <w:tcPr>
            <w:tcW w:w="1087" w:type="pct"/>
            <w:hideMark/>
          </w:tcPr>
          <w:p w:rsidR="00DC0AB0" w:rsidRPr="009841A7" w:rsidRDefault="009841A7" w:rsidP="00544C68">
            <w:pPr>
              <w:spacing w:before="0" w:after="0"/>
              <w:jc w:val="left"/>
              <w:rPr>
                <w:rFonts w:ascii="Calibri" w:hAnsi="Calibri"/>
                <w:lang w:eastAsia="cs-CZ"/>
              </w:rPr>
            </w:pPr>
            <w:r w:rsidRPr="009841A7">
              <w:rPr>
                <w:rFonts w:ascii="Calibri" w:hAnsi="Calibri"/>
                <w:lang w:eastAsia="cs-CZ"/>
              </w:rPr>
              <w:t>RO</w:t>
            </w:r>
          </w:p>
        </w:tc>
        <w:tc>
          <w:tcPr>
            <w:tcW w:w="3913" w:type="pct"/>
            <w:hideMark/>
          </w:tcPr>
          <w:p w:rsidR="00DC0AB0" w:rsidRPr="009841A7" w:rsidRDefault="009841A7" w:rsidP="00544C68">
            <w:pPr>
              <w:spacing w:before="0" w:after="0"/>
              <w:jc w:val="left"/>
              <w:rPr>
                <w:rFonts w:ascii="Calibri" w:hAnsi="Calibri"/>
                <w:lang w:eastAsia="cs-CZ"/>
              </w:rPr>
            </w:pPr>
            <w:r w:rsidRPr="009841A7">
              <w:rPr>
                <w:rFonts w:ascii="Calibri" w:hAnsi="Calibri"/>
                <w:lang w:eastAsia="cs-CZ"/>
              </w:rPr>
              <w:t>Riadiaci orgán</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Pr>
                <w:rFonts w:ascii="Calibri" w:hAnsi="Calibri"/>
                <w:lang w:eastAsia="cs-CZ"/>
              </w:rPr>
              <w:t>RS</w:t>
            </w:r>
          </w:p>
        </w:tc>
        <w:tc>
          <w:tcPr>
            <w:tcW w:w="3913" w:type="pct"/>
          </w:tcPr>
          <w:p w:rsidR="00544C68" w:rsidRPr="009841A7" w:rsidRDefault="00544C68" w:rsidP="009841A7">
            <w:pPr>
              <w:spacing w:before="0" w:after="0"/>
              <w:jc w:val="left"/>
              <w:rPr>
                <w:rFonts w:ascii="Calibri" w:hAnsi="Calibri"/>
                <w:lang w:eastAsia="cs-CZ"/>
              </w:rPr>
            </w:pPr>
            <w:r>
              <w:rPr>
                <w:rFonts w:ascii="Calibri" w:hAnsi="Calibri"/>
                <w:lang w:eastAsia="cs-CZ"/>
              </w:rPr>
              <w:t>Srbsko</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RzIS</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Rezortný informačný systém</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SARIO</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Slovenská agentúra pre rozvoj investícií a</w:t>
            </w:r>
            <w:r>
              <w:rPr>
                <w:rFonts w:ascii="Calibri" w:hAnsi="Calibri"/>
                <w:lang w:eastAsia="cs-CZ"/>
              </w:rPr>
              <w:t> </w:t>
            </w:r>
            <w:r w:rsidRPr="009841A7">
              <w:rPr>
                <w:rFonts w:ascii="Calibri" w:hAnsi="Calibri"/>
                <w:lang w:eastAsia="cs-CZ"/>
              </w:rPr>
              <w:t>obchodu</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SEA</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Strategické environmentálne hodnotenie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SHMÚ</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Slovenský hydrometeorologický ústav</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SHR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Samostatne hospodáriaci roľníci</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SIEA</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Slovenská inovačná a energetická agentúra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SK8</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Združenie samosprávnych krajov v Slovenskej republike</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SKM</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Spoločné kontaktné miesto</w:t>
            </w:r>
          </w:p>
        </w:tc>
      </w:tr>
      <w:tr w:rsidR="00544C68" w:rsidRPr="009841A7" w:rsidTr="00174E83">
        <w:tc>
          <w:tcPr>
            <w:tcW w:w="1087" w:type="pct"/>
          </w:tcPr>
          <w:p w:rsidR="00544C68" w:rsidRPr="009841A7" w:rsidRDefault="00544C68" w:rsidP="00544C68">
            <w:pPr>
              <w:spacing w:before="0" w:after="0"/>
              <w:jc w:val="left"/>
              <w:rPr>
                <w:rFonts w:ascii="Calibri" w:hAnsi="Calibri"/>
                <w:lang w:eastAsia="cs-CZ"/>
              </w:rPr>
            </w:pPr>
            <w:r w:rsidRPr="00443BAA">
              <w:rPr>
                <w:rFonts w:ascii="Calibri" w:hAnsi="Calibri"/>
                <w:lang w:eastAsia="cs-CZ"/>
              </w:rPr>
              <w:t>SNSĽP</w:t>
            </w:r>
          </w:p>
        </w:tc>
        <w:tc>
          <w:tcPr>
            <w:tcW w:w="3913" w:type="pct"/>
          </w:tcPr>
          <w:p w:rsidR="00544C68" w:rsidRPr="009841A7" w:rsidRDefault="00544C68" w:rsidP="009841A7">
            <w:pPr>
              <w:spacing w:before="0" w:after="0"/>
              <w:jc w:val="left"/>
              <w:rPr>
                <w:rFonts w:ascii="Calibri" w:hAnsi="Calibri"/>
                <w:lang w:eastAsia="cs-CZ"/>
              </w:rPr>
            </w:pPr>
            <w:r w:rsidRPr="00443BAA">
              <w:rPr>
                <w:rFonts w:ascii="Calibri" w:hAnsi="Calibri"/>
                <w:lang w:eastAsia="cs-CZ"/>
              </w:rPr>
              <w:t>Slovenské národné stredisko pre ľudské práva</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SORO</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Sprostredkovateľský orgán pod riadiacim orgánom</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SOŠ</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Stredná odborná škola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SPP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Spoločná poľnohospodárska politika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w:t>
            </w:r>
            <w:r w:rsidR="00463411">
              <w:rPr>
                <w:rFonts w:ascii="Calibri" w:hAnsi="Calibri"/>
                <w:lang w:eastAsia="cs-CZ"/>
              </w:rPr>
              <w:t xml:space="preserve">RP </w:t>
            </w:r>
          </w:p>
        </w:tc>
        <w:tc>
          <w:tcPr>
            <w:tcW w:w="3913" w:type="pct"/>
            <w:hideMark/>
          </w:tcPr>
          <w:p w:rsidR="009841A7" w:rsidRPr="009841A7" w:rsidRDefault="009841A7" w:rsidP="008C79B8">
            <w:pPr>
              <w:spacing w:before="0" w:after="0"/>
              <w:jc w:val="left"/>
              <w:rPr>
                <w:rFonts w:ascii="Calibri" w:hAnsi="Calibri"/>
                <w:lang w:eastAsia="cs-CZ"/>
              </w:rPr>
            </w:pPr>
            <w:r w:rsidRPr="009841A7">
              <w:rPr>
                <w:rFonts w:ascii="Calibri" w:hAnsi="Calibri"/>
                <w:lang w:eastAsia="cs-CZ"/>
              </w:rPr>
              <w:t>Spoločná</w:t>
            </w:r>
            <w:r w:rsidR="00463411">
              <w:rPr>
                <w:rFonts w:ascii="Calibri" w:hAnsi="Calibri"/>
                <w:lang w:eastAsia="cs-CZ"/>
              </w:rPr>
              <w:t xml:space="preserve"> rybárska politika </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Slovenská republika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SŠ</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Stredná škola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ŠP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Štátna pokladňa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ŠÚ 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Štatistický úrad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TC</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Tematický cieľ</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TEN-T</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Transeurópska dopravná sieť</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THFK</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Tvorba hrubého fixného kapitálu</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ŤZP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Ťažk</w:t>
            </w:r>
            <w:r w:rsidR="00D50186">
              <w:rPr>
                <w:rFonts w:ascii="Calibri" w:hAnsi="Calibri"/>
                <w:lang w:eastAsia="cs-CZ"/>
              </w:rPr>
              <w:t>é</w:t>
            </w:r>
            <w:r w:rsidRPr="009841A7">
              <w:rPr>
                <w:rFonts w:ascii="Calibri" w:hAnsi="Calibri"/>
                <w:lang w:eastAsia="cs-CZ"/>
              </w:rPr>
              <w:t xml:space="preserve"> zdravotn</w:t>
            </w:r>
            <w:r w:rsidR="00D50186">
              <w:rPr>
                <w:rFonts w:ascii="Calibri" w:hAnsi="Calibri"/>
                <w:lang w:eastAsia="cs-CZ"/>
              </w:rPr>
              <w:t>é</w:t>
            </w:r>
            <w:r w:rsidRPr="009841A7">
              <w:rPr>
                <w:rFonts w:ascii="Calibri" w:hAnsi="Calibri"/>
                <w:lang w:eastAsia="cs-CZ"/>
              </w:rPr>
              <w:t xml:space="preserve"> postihn</w:t>
            </w:r>
            <w:r w:rsidR="00D50186">
              <w:rPr>
                <w:rFonts w:ascii="Calibri" w:hAnsi="Calibri"/>
                <w:lang w:eastAsia="cs-CZ"/>
              </w:rPr>
              <w:t>utie</w:t>
            </w:r>
          </w:p>
        </w:tc>
      </w:tr>
      <w:tr w:rsidR="009841A7" w:rsidRPr="009841A7" w:rsidTr="00174E83">
        <w:tc>
          <w:tcPr>
            <w:tcW w:w="1087"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UGKK SR</w:t>
            </w:r>
          </w:p>
        </w:tc>
        <w:tc>
          <w:tcPr>
            <w:tcW w:w="3913" w:type="pct"/>
            <w:hideMark/>
          </w:tcPr>
          <w:p w:rsidR="009841A7" w:rsidRPr="009841A7" w:rsidRDefault="009841A7" w:rsidP="00544C68">
            <w:pPr>
              <w:spacing w:before="0" w:after="0"/>
              <w:jc w:val="left"/>
              <w:rPr>
                <w:rFonts w:ascii="Calibri" w:hAnsi="Calibri"/>
                <w:lang w:eastAsia="cs-CZ"/>
              </w:rPr>
            </w:pPr>
            <w:r w:rsidRPr="009841A7">
              <w:rPr>
                <w:rFonts w:ascii="Calibri" w:hAnsi="Calibri"/>
                <w:lang w:eastAsia="cs-CZ"/>
              </w:rPr>
              <w:t>Úrad geodézie, kartografie a katastra Slovenskej republiky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UMR</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Udržateľný mestský rozvoj</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UNDP</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Rozvojový program OSN</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Pr>
                <w:rFonts w:ascii="Calibri" w:hAnsi="Calibri"/>
                <w:lang w:eastAsia="cs-CZ"/>
              </w:rPr>
              <w:t>ÚNMS SR</w:t>
            </w:r>
          </w:p>
        </w:tc>
        <w:tc>
          <w:tcPr>
            <w:tcW w:w="3913"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Úrad pre normalizáciu, metrológiu a sk</w:t>
            </w:r>
            <w:r>
              <w:rPr>
                <w:rFonts w:ascii="Calibri" w:hAnsi="Calibri"/>
                <w:lang w:eastAsia="cs-CZ"/>
              </w:rPr>
              <w:t>úšobníctvo Slovenskej republiky</w:t>
            </w:r>
          </w:p>
        </w:tc>
      </w:tr>
      <w:tr w:rsidR="00544C68" w:rsidRPr="009841A7" w:rsidTr="00174E83">
        <w:tc>
          <w:tcPr>
            <w:tcW w:w="1087" w:type="pct"/>
          </w:tcPr>
          <w:p w:rsidR="00544C68" w:rsidRPr="009841A7" w:rsidRDefault="00544C68" w:rsidP="009841A7">
            <w:pPr>
              <w:spacing w:before="0" w:after="0"/>
              <w:jc w:val="left"/>
              <w:rPr>
                <w:rFonts w:ascii="Calibri" w:hAnsi="Calibri"/>
                <w:lang w:eastAsia="cs-CZ"/>
              </w:rPr>
            </w:pPr>
            <w:r w:rsidRPr="009841A7">
              <w:rPr>
                <w:rFonts w:ascii="Calibri" w:hAnsi="Calibri"/>
                <w:lang w:eastAsia="cs-CZ"/>
              </w:rPr>
              <w:t>ÚNS</w:t>
            </w:r>
          </w:p>
        </w:tc>
        <w:tc>
          <w:tcPr>
            <w:tcW w:w="3913" w:type="pct"/>
          </w:tcPr>
          <w:p w:rsidR="00D20E19" w:rsidRPr="009841A7" w:rsidRDefault="00544C68" w:rsidP="009841A7">
            <w:pPr>
              <w:spacing w:before="0" w:after="0"/>
              <w:jc w:val="left"/>
              <w:rPr>
                <w:rFonts w:ascii="Calibri" w:hAnsi="Calibri"/>
                <w:lang w:eastAsia="cs-CZ"/>
              </w:rPr>
            </w:pPr>
            <w:r w:rsidRPr="009841A7">
              <w:rPr>
                <w:rFonts w:ascii="Calibri" w:hAnsi="Calibri"/>
                <w:lang w:eastAsia="cs-CZ"/>
              </w:rPr>
              <w:t>Ústredná nákladná stanica</w:t>
            </w:r>
          </w:p>
        </w:tc>
      </w:tr>
      <w:tr w:rsidR="009841A7" w:rsidRPr="009841A7" w:rsidTr="00174E83">
        <w:tc>
          <w:tcPr>
            <w:tcW w:w="1087" w:type="pct"/>
            <w:hideMark/>
          </w:tcPr>
          <w:p w:rsidR="00DF46B2" w:rsidRDefault="00DF46B2" w:rsidP="0056526C">
            <w:pPr>
              <w:spacing w:before="0" w:after="0"/>
              <w:jc w:val="left"/>
              <w:rPr>
                <w:rFonts w:ascii="Calibri" w:hAnsi="Calibri"/>
                <w:lang w:eastAsia="cs-CZ"/>
              </w:rPr>
            </w:pPr>
            <w:r>
              <w:rPr>
                <w:rFonts w:ascii="Calibri" w:hAnsi="Calibri"/>
                <w:lang w:eastAsia="cs-CZ"/>
              </w:rPr>
              <w:t>ÚPPVII</w:t>
            </w:r>
          </w:p>
          <w:p w:rsidR="009841A7" w:rsidRPr="009841A7" w:rsidRDefault="009841A7" w:rsidP="0056526C">
            <w:pPr>
              <w:spacing w:before="0" w:after="0"/>
              <w:jc w:val="left"/>
              <w:rPr>
                <w:rFonts w:ascii="Calibri" w:hAnsi="Calibri"/>
                <w:lang w:eastAsia="cs-CZ"/>
              </w:rPr>
            </w:pPr>
            <w:r w:rsidRPr="009841A7">
              <w:rPr>
                <w:rFonts w:ascii="Calibri" w:hAnsi="Calibri"/>
                <w:lang w:eastAsia="cs-CZ"/>
              </w:rPr>
              <w:t>ÚPSVR</w:t>
            </w:r>
            <w:r w:rsidR="00DF46B2">
              <w:rPr>
                <w:rFonts w:ascii="Calibri" w:hAnsi="Calibri"/>
                <w:lang w:eastAsia="cs-CZ"/>
              </w:rPr>
              <w:t xml:space="preserve"> </w:t>
            </w:r>
          </w:p>
        </w:tc>
        <w:tc>
          <w:tcPr>
            <w:tcW w:w="3913" w:type="pct"/>
            <w:hideMark/>
          </w:tcPr>
          <w:p w:rsidR="009841A7" w:rsidRDefault="00DF46B2" w:rsidP="00DF46B2">
            <w:pPr>
              <w:spacing w:before="0" w:after="0"/>
              <w:jc w:val="left"/>
              <w:rPr>
                <w:rFonts w:ascii="Calibri" w:hAnsi="Calibri"/>
                <w:lang w:eastAsia="cs-CZ"/>
              </w:rPr>
            </w:pPr>
            <w:r w:rsidRPr="004274FF">
              <w:rPr>
                <w:rFonts w:ascii="Calibri" w:hAnsi="Calibri"/>
                <w:lang w:eastAsia="cs-CZ"/>
              </w:rPr>
              <w:t>Úrad podpredsedu vlády SR pre investície a informatizáciu</w:t>
            </w:r>
            <w:r w:rsidRPr="009841A7">
              <w:rPr>
                <w:rFonts w:ascii="Calibri" w:hAnsi="Calibri"/>
                <w:lang w:eastAsia="cs-CZ"/>
              </w:rPr>
              <w:t xml:space="preserve"> </w:t>
            </w:r>
          </w:p>
          <w:p w:rsidR="00DF46B2" w:rsidRPr="009841A7" w:rsidRDefault="00DF46B2" w:rsidP="00DF46B2">
            <w:pPr>
              <w:spacing w:before="0" w:after="0"/>
              <w:jc w:val="left"/>
              <w:rPr>
                <w:rFonts w:ascii="Calibri" w:hAnsi="Calibri"/>
                <w:lang w:eastAsia="cs-CZ"/>
              </w:rPr>
            </w:pPr>
            <w:r w:rsidRPr="009841A7">
              <w:rPr>
                <w:rFonts w:ascii="Calibri" w:hAnsi="Calibri"/>
                <w:lang w:eastAsia="cs-CZ"/>
              </w:rPr>
              <w:t>Ústredie práce, sociálnych vecí a rodiny</w:t>
            </w:r>
          </w:p>
        </w:tc>
      </w:tr>
      <w:tr w:rsidR="0056526C" w:rsidRPr="009841A7" w:rsidTr="00174E83">
        <w:tc>
          <w:tcPr>
            <w:tcW w:w="1087" w:type="pct"/>
          </w:tcPr>
          <w:p w:rsidR="0056526C" w:rsidRPr="009841A7" w:rsidRDefault="0056526C" w:rsidP="009841A7">
            <w:pPr>
              <w:spacing w:before="0" w:after="0"/>
              <w:jc w:val="left"/>
              <w:rPr>
                <w:rFonts w:ascii="Calibri" w:hAnsi="Calibri"/>
                <w:lang w:eastAsia="cs-CZ"/>
              </w:rPr>
            </w:pPr>
            <w:r w:rsidRPr="009841A7">
              <w:rPr>
                <w:rFonts w:ascii="Calibri" w:hAnsi="Calibri"/>
                <w:lang w:eastAsia="cs-CZ"/>
              </w:rPr>
              <w:t>ÚPVS</w:t>
            </w:r>
          </w:p>
        </w:tc>
        <w:tc>
          <w:tcPr>
            <w:tcW w:w="3913" w:type="pct"/>
          </w:tcPr>
          <w:p w:rsidR="0056526C" w:rsidRPr="009841A7" w:rsidRDefault="0056526C" w:rsidP="009841A7">
            <w:pPr>
              <w:spacing w:before="0" w:after="0"/>
              <w:jc w:val="left"/>
              <w:rPr>
                <w:rFonts w:ascii="Calibri" w:hAnsi="Calibri"/>
                <w:lang w:eastAsia="cs-CZ"/>
              </w:rPr>
            </w:pPr>
            <w:r w:rsidRPr="009841A7">
              <w:rPr>
                <w:rFonts w:ascii="Calibri" w:hAnsi="Calibri"/>
                <w:lang w:eastAsia="cs-CZ"/>
              </w:rPr>
              <w:t>Ústredný portál verejnej správy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ÚRSO</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Úrad pre reguláciu sieťových odvetví</w:t>
            </w:r>
          </w:p>
        </w:tc>
      </w:tr>
      <w:tr w:rsidR="00C71A2E" w:rsidRPr="009841A7" w:rsidTr="00174E83">
        <w:tc>
          <w:tcPr>
            <w:tcW w:w="1087" w:type="pct"/>
          </w:tcPr>
          <w:p w:rsidR="00C71A2E" w:rsidRPr="009841A7" w:rsidRDefault="00C71A2E" w:rsidP="00C71A2E">
            <w:pPr>
              <w:spacing w:before="0" w:after="0"/>
              <w:jc w:val="left"/>
              <w:rPr>
                <w:rFonts w:ascii="Calibri" w:hAnsi="Calibri"/>
                <w:lang w:eastAsia="cs-CZ"/>
              </w:rPr>
            </w:pPr>
            <w:r w:rsidRPr="009841A7">
              <w:rPr>
                <w:rFonts w:ascii="Calibri" w:hAnsi="Calibri"/>
                <w:lang w:eastAsia="cs-CZ"/>
              </w:rPr>
              <w:t>ÚSVRK</w:t>
            </w:r>
          </w:p>
        </w:tc>
        <w:tc>
          <w:tcPr>
            <w:tcW w:w="3913"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Úrad splnomocnenca vlády Slovenske</w:t>
            </w:r>
            <w:r>
              <w:rPr>
                <w:rFonts w:ascii="Calibri" w:hAnsi="Calibri"/>
                <w:lang w:eastAsia="cs-CZ"/>
              </w:rPr>
              <w:t>j republiky pre rómske komunity</w:t>
            </w:r>
          </w:p>
        </w:tc>
      </w:tr>
      <w:tr w:rsidR="00C71A2E" w:rsidRPr="009841A7" w:rsidTr="00174E83">
        <w:tc>
          <w:tcPr>
            <w:tcW w:w="1087" w:type="pct"/>
          </w:tcPr>
          <w:p w:rsidR="00C71A2E" w:rsidRPr="009841A7" w:rsidRDefault="00C71A2E" w:rsidP="00C71A2E">
            <w:pPr>
              <w:spacing w:before="0" w:after="0"/>
              <w:jc w:val="left"/>
              <w:rPr>
                <w:rFonts w:ascii="Calibri" w:hAnsi="Calibri"/>
                <w:lang w:eastAsia="cs-CZ"/>
              </w:rPr>
            </w:pPr>
            <w:r w:rsidRPr="009841A7">
              <w:rPr>
                <w:rFonts w:ascii="Calibri" w:hAnsi="Calibri"/>
                <w:lang w:eastAsia="cs-CZ"/>
              </w:rPr>
              <w:t>ÚSVROS</w:t>
            </w:r>
          </w:p>
        </w:tc>
        <w:tc>
          <w:tcPr>
            <w:tcW w:w="3913" w:type="pct"/>
          </w:tcPr>
          <w:p w:rsidR="00C71A2E" w:rsidRPr="009841A7" w:rsidRDefault="00C71A2E" w:rsidP="00174E83">
            <w:pPr>
              <w:spacing w:before="0" w:after="0"/>
              <w:rPr>
                <w:rFonts w:ascii="Calibri" w:hAnsi="Calibri"/>
                <w:lang w:eastAsia="cs-CZ"/>
              </w:rPr>
            </w:pPr>
            <w:r w:rsidRPr="009841A7">
              <w:rPr>
                <w:rFonts w:ascii="Calibri" w:hAnsi="Calibri"/>
                <w:lang w:eastAsia="cs-CZ"/>
              </w:rPr>
              <w:t>Úrad splnomocnenca vlády Slovenskej republiky pr</w:t>
            </w:r>
            <w:r>
              <w:rPr>
                <w:rFonts w:ascii="Calibri" w:hAnsi="Calibri"/>
                <w:lang w:eastAsia="cs-CZ"/>
              </w:rPr>
              <w:t>e rozvoj občianskej spoločnosti</w:t>
            </w:r>
          </w:p>
        </w:tc>
      </w:tr>
      <w:tr w:rsidR="00C71A2E" w:rsidRPr="009841A7" w:rsidTr="00174E83">
        <w:tc>
          <w:tcPr>
            <w:tcW w:w="1087"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ÚV SR</w:t>
            </w:r>
          </w:p>
        </w:tc>
        <w:tc>
          <w:tcPr>
            <w:tcW w:w="3913"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Úrad vlády Slovenskej republiky</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ÚVO</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Úrad pre verejné obstarávanie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HNV</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Územia s vysokou prírodnou hodnotou</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VaI</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Výskum a inovácie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VaV</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Výskum a vývoj</w:t>
            </w:r>
          </w:p>
        </w:tc>
      </w:tr>
      <w:tr w:rsidR="009841A7" w:rsidRPr="009841A7" w:rsidTr="00174E83">
        <w:tc>
          <w:tcPr>
            <w:tcW w:w="1087" w:type="pct"/>
            <w:hideMark/>
          </w:tcPr>
          <w:p w:rsidR="009841A7" w:rsidRPr="009841A7" w:rsidRDefault="009841A7" w:rsidP="00C71A2E">
            <w:pPr>
              <w:spacing w:before="0" w:after="0"/>
              <w:jc w:val="left"/>
              <w:rPr>
                <w:rFonts w:ascii="Calibri" w:hAnsi="Calibri"/>
                <w:lang w:eastAsia="cs-CZ"/>
              </w:rPr>
            </w:pPr>
            <w:r w:rsidRPr="009841A7">
              <w:rPr>
                <w:rFonts w:ascii="Calibri" w:hAnsi="Calibri"/>
                <w:lang w:eastAsia="cs-CZ"/>
              </w:rPr>
              <w:lastRenderedPageBreak/>
              <w:t>VO</w:t>
            </w:r>
          </w:p>
        </w:tc>
        <w:tc>
          <w:tcPr>
            <w:tcW w:w="3913" w:type="pct"/>
            <w:hideMark/>
          </w:tcPr>
          <w:p w:rsidR="009841A7" w:rsidRPr="009841A7" w:rsidRDefault="009841A7" w:rsidP="00C71A2E">
            <w:pPr>
              <w:spacing w:before="0" w:after="0"/>
              <w:jc w:val="left"/>
              <w:rPr>
                <w:rFonts w:ascii="Calibri" w:hAnsi="Calibri"/>
                <w:lang w:eastAsia="cs-CZ"/>
              </w:rPr>
            </w:pPr>
            <w:r w:rsidRPr="009841A7">
              <w:rPr>
                <w:rFonts w:ascii="Calibri" w:hAnsi="Calibri"/>
                <w:lang w:eastAsia="cs-CZ"/>
              </w:rPr>
              <w:t>Verejné obstarávanie</w:t>
            </w:r>
          </w:p>
        </w:tc>
      </w:tr>
      <w:tr w:rsidR="00C71A2E" w:rsidRPr="009841A7" w:rsidTr="00174E83">
        <w:tc>
          <w:tcPr>
            <w:tcW w:w="1087"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VS</w:t>
            </w:r>
          </w:p>
        </w:tc>
        <w:tc>
          <w:tcPr>
            <w:tcW w:w="3913"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Verejná správa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VŠ</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Vysoká škola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VÚC</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Vyšší územný celok</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VVaI</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Výskum, vývoj a inovácie</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VZPS</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Výberové zisťovanie pracovných síl</w:t>
            </w:r>
          </w:p>
        </w:tc>
      </w:tr>
      <w:tr w:rsidR="009841A7" w:rsidRPr="009841A7" w:rsidTr="00174E83">
        <w:tc>
          <w:tcPr>
            <w:tcW w:w="1087" w:type="pct"/>
            <w:hideMark/>
          </w:tcPr>
          <w:p w:rsidR="009841A7" w:rsidRPr="009841A7" w:rsidRDefault="009841A7" w:rsidP="00C71A2E">
            <w:pPr>
              <w:spacing w:before="0" w:after="0"/>
              <w:jc w:val="left"/>
              <w:rPr>
                <w:rFonts w:ascii="Calibri" w:hAnsi="Calibri"/>
                <w:lang w:eastAsia="cs-CZ"/>
              </w:rPr>
            </w:pPr>
            <w:r w:rsidRPr="009841A7">
              <w:rPr>
                <w:rFonts w:ascii="Calibri" w:hAnsi="Calibri"/>
                <w:lang w:eastAsia="cs-CZ"/>
              </w:rPr>
              <w:t>ZMOS</w:t>
            </w:r>
          </w:p>
        </w:tc>
        <w:tc>
          <w:tcPr>
            <w:tcW w:w="3913" w:type="pct"/>
            <w:hideMark/>
          </w:tcPr>
          <w:p w:rsidR="009841A7" w:rsidRPr="009841A7" w:rsidRDefault="009841A7" w:rsidP="00C71A2E">
            <w:pPr>
              <w:spacing w:before="0" w:after="0"/>
              <w:jc w:val="left"/>
              <w:rPr>
                <w:rFonts w:ascii="Calibri" w:hAnsi="Calibri"/>
                <w:lang w:eastAsia="cs-CZ"/>
              </w:rPr>
            </w:pPr>
            <w:r w:rsidRPr="009841A7">
              <w:rPr>
                <w:rFonts w:ascii="Calibri" w:hAnsi="Calibri"/>
                <w:lang w:eastAsia="cs-CZ"/>
              </w:rPr>
              <w:t>Združenie miest a obcí Slovenska</w:t>
            </w:r>
          </w:p>
        </w:tc>
      </w:tr>
      <w:tr w:rsidR="00C71A2E" w:rsidRPr="009841A7" w:rsidTr="00174E83">
        <w:tc>
          <w:tcPr>
            <w:tcW w:w="1087"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ZP</w:t>
            </w:r>
          </w:p>
        </w:tc>
        <w:tc>
          <w:tcPr>
            <w:tcW w:w="3913" w:type="pct"/>
          </w:tcPr>
          <w:p w:rsidR="00C71A2E" w:rsidRPr="009841A7" w:rsidRDefault="00C71A2E" w:rsidP="009841A7">
            <w:pPr>
              <w:spacing w:before="0" w:after="0"/>
              <w:jc w:val="left"/>
              <w:rPr>
                <w:rFonts w:ascii="Calibri" w:hAnsi="Calibri"/>
                <w:lang w:eastAsia="cs-CZ"/>
              </w:rPr>
            </w:pPr>
            <w:r w:rsidRPr="009841A7">
              <w:rPr>
                <w:rFonts w:ascii="Calibri" w:hAnsi="Calibri"/>
                <w:lang w:eastAsia="cs-CZ"/>
              </w:rPr>
              <w:t>Zdravotne postihnutý</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ZŠ</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Základná škola</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ŽSK</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Žilinský samosprávny kraj</w:t>
            </w:r>
          </w:p>
        </w:tc>
      </w:tr>
      <w:tr w:rsidR="009841A7" w:rsidRPr="009841A7" w:rsidTr="00174E83">
        <w:tc>
          <w:tcPr>
            <w:tcW w:w="1087"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ŽSR</w:t>
            </w:r>
          </w:p>
        </w:tc>
        <w:tc>
          <w:tcPr>
            <w:tcW w:w="3913" w:type="pct"/>
            <w:hideMark/>
          </w:tcPr>
          <w:p w:rsidR="009841A7" w:rsidRPr="009841A7" w:rsidRDefault="009841A7" w:rsidP="009841A7">
            <w:pPr>
              <w:spacing w:before="0" w:after="0"/>
              <w:jc w:val="left"/>
              <w:rPr>
                <w:rFonts w:ascii="Calibri" w:hAnsi="Calibri"/>
                <w:lang w:eastAsia="cs-CZ"/>
              </w:rPr>
            </w:pPr>
            <w:r w:rsidRPr="009841A7">
              <w:rPr>
                <w:rFonts w:ascii="Calibri" w:hAnsi="Calibri"/>
                <w:lang w:eastAsia="cs-CZ"/>
              </w:rPr>
              <w:t>Železnice Slovenskej republiky</w:t>
            </w:r>
          </w:p>
        </w:tc>
      </w:tr>
      <w:tr w:rsidR="00C71A2E" w:rsidRPr="009841A7" w:rsidTr="00174E83">
        <w:tc>
          <w:tcPr>
            <w:tcW w:w="1087" w:type="pct"/>
          </w:tcPr>
          <w:p w:rsidR="00C71A2E" w:rsidRDefault="00C71A2E" w:rsidP="009841A7">
            <w:pPr>
              <w:spacing w:before="0" w:after="0"/>
              <w:jc w:val="left"/>
              <w:rPr>
                <w:rFonts w:ascii="Calibri" w:hAnsi="Calibri"/>
                <w:lang w:eastAsia="cs-CZ"/>
              </w:rPr>
            </w:pPr>
            <w:r>
              <w:rPr>
                <w:rFonts w:ascii="Calibri" w:hAnsi="Calibri"/>
                <w:lang w:eastAsia="cs-CZ"/>
              </w:rPr>
              <w:t>AK</w:t>
            </w:r>
          </w:p>
        </w:tc>
        <w:tc>
          <w:tcPr>
            <w:tcW w:w="3913" w:type="pct"/>
          </w:tcPr>
          <w:p w:rsidR="00C71A2E" w:rsidRDefault="00C71A2E" w:rsidP="009841A7">
            <w:pPr>
              <w:spacing w:before="0" w:after="0"/>
              <w:jc w:val="left"/>
              <w:rPr>
                <w:rFonts w:ascii="Calibri" w:hAnsi="Calibri"/>
                <w:lang w:eastAsia="cs-CZ"/>
              </w:rPr>
            </w:pPr>
            <w:r>
              <w:rPr>
                <w:rFonts w:ascii="Calibri" w:hAnsi="Calibri"/>
                <w:lang w:eastAsia="cs-CZ"/>
              </w:rPr>
              <w:t>Administratívne kapacity</w:t>
            </w:r>
          </w:p>
        </w:tc>
      </w:tr>
    </w:tbl>
    <w:p w:rsidR="009841A7" w:rsidRPr="009841A7" w:rsidRDefault="009841A7" w:rsidP="00C71A2E">
      <w:pPr>
        <w:rPr>
          <w:rFonts w:ascii="Cambria" w:hAnsi="Cambria" w:cs="Cambria"/>
          <w:szCs w:val="22"/>
        </w:rPr>
      </w:pPr>
    </w:p>
    <w:sectPr w:rsidR="009841A7" w:rsidRPr="009841A7" w:rsidSect="003F0750">
      <w:headerReference w:type="even" r:id="rId209"/>
      <w:headerReference w:type="default" r:id="rId210"/>
      <w:footerReference w:type="even" r:id="rId211"/>
      <w:footerReference w:type="default" r:id="rId212"/>
      <w:headerReference w:type="first" r:id="rId2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508" w:rsidRDefault="00007508" w:rsidP="007079C3">
      <w:pPr>
        <w:spacing w:before="0" w:after="0"/>
      </w:pPr>
      <w:r>
        <w:separator/>
      </w:r>
    </w:p>
  </w:endnote>
  <w:endnote w:type="continuationSeparator" w:id="0">
    <w:p w:rsidR="00007508" w:rsidRDefault="00007508" w:rsidP="007079C3">
      <w:pPr>
        <w:spacing w:before="0" w:after="0"/>
      </w:pPr>
      <w:r>
        <w:continuationSeparator/>
      </w:r>
    </w:p>
  </w:endnote>
  <w:endnote w:type="continuationNotice" w:id="1">
    <w:p w:rsidR="00007508" w:rsidRDefault="0000750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ò!•'DEˇøú~•'1">
    <w:altName w:val="Cambria"/>
    <w:panose1 w:val="00000000000000000000"/>
    <w:charset w:val="4D"/>
    <w:family w:val="auto"/>
    <w:notTrueType/>
    <w:pitch w:val="default"/>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8" w:rsidRDefault="00007508">
    <w:pPr>
      <w:pStyle w:val="Pta"/>
      <w:jc w:val="right"/>
    </w:pPr>
    <w:r>
      <w:fldChar w:fldCharType="begin"/>
    </w:r>
    <w:r>
      <w:instrText xml:space="preserve"> PAGE   \* MERGEFORMAT </w:instrText>
    </w:r>
    <w:r>
      <w:fldChar w:fldCharType="separate"/>
    </w:r>
    <w:r w:rsidR="00ED6BC8">
      <w:rPr>
        <w:noProof/>
      </w:rPr>
      <w:t>105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8" w:rsidRDefault="00007508" w:rsidP="0051113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07508" w:rsidRDefault="00007508" w:rsidP="004A29FC">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8" w:rsidRPr="005810C3" w:rsidRDefault="00007508" w:rsidP="005810C3">
    <w:pPr>
      <w:pStyle w:val="Pta"/>
      <w:jc w:val="right"/>
      <w:rPr>
        <w:rFonts w:asciiTheme="majorHAnsi" w:hAnsiTheme="majorHAnsi"/>
      </w:rPr>
    </w:pPr>
    <w:r w:rsidRPr="005810C3">
      <w:rPr>
        <w:rFonts w:asciiTheme="majorHAnsi" w:hAnsiTheme="majorHAnsi"/>
      </w:rPr>
      <w:fldChar w:fldCharType="begin"/>
    </w:r>
    <w:r w:rsidRPr="005810C3">
      <w:rPr>
        <w:rFonts w:asciiTheme="majorHAnsi" w:hAnsiTheme="majorHAnsi"/>
      </w:rPr>
      <w:instrText>PAGE   \* MERGEFORMAT</w:instrText>
    </w:r>
    <w:r w:rsidRPr="005810C3">
      <w:rPr>
        <w:rFonts w:asciiTheme="majorHAnsi" w:hAnsiTheme="majorHAnsi"/>
      </w:rPr>
      <w:fldChar w:fldCharType="separate"/>
    </w:r>
    <w:r w:rsidR="00ED6BC8">
      <w:rPr>
        <w:rFonts w:asciiTheme="majorHAnsi" w:hAnsiTheme="majorHAnsi"/>
        <w:noProof/>
      </w:rPr>
      <w:t>296</w:t>
    </w:r>
    <w:r w:rsidRPr="005810C3">
      <w:rPr>
        <w:rFonts w:asciiTheme="majorHAnsi" w:hAnsiTheme="maj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508" w:rsidRDefault="00007508" w:rsidP="007079C3">
      <w:pPr>
        <w:spacing w:before="0" w:after="0"/>
      </w:pPr>
      <w:r>
        <w:separator/>
      </w:r>
    </w:p>
  </w:footnote>
  <w:footnote w:type="continuationSeparator" w:id="0">
    <w:p w:rsidR="00007508" w:rsidRDefault="00007508" w:rsidP="007079C3">
      <w:pPr>
        <w:spacing w:before="0" w:after="0"/>
      </w:pPr>
      <w:r>
        <w:continuationSeparator/>
      </w:r>
    </w:p>
  </w:footnote>
  <w:footnote w:type="continuationNotice" w:id="1">
    <w:p w:rsidR="00007508" w:rsidRDefault="00007508">
      <w:pPr>
        <w:spacing w:before="0" w:after="0"/>
      </w:pPr>
    </w:p>
  </w:footnote>
  <w:footnote w:id="2">
    <w:p w:rsidR="00007508" w:rsidRDefault="00007508" w:rsidP="001D47E5">
      <w:pPr>
        <w:pStyle w:val="Textpoznmkypodiarou"/>
        <w:ind w:left="113" w:hanging="113"/>
      </w:pPr>
      <w:r w:rsidRPr="005810C3">
        <w:rPr>
          <w:rStyle w:val="Odkaznapoznmkupodiarou"/>
          <w:szCs w:val="16"/>
        </w:rPr>
        <w:footnoteRef/>
      </w:r>
      <w:r w:rsidRPr="005810C3">
        <w:t xml:space="preserve"> </w:t>
      </w:r>
      <w:r>
        <w:rPr>
          <w:szCs w:val="16"/>
        </w:rPr>
        <w:t>A</w:t>
      </w:r>
      <w:r w:rsidRPr="005810C3">
        <w:rPr>
          <w:szCs w:val="16"/>
        </w:rPr>
        <w:t>nalýz</w:t>
      </w:r>
      <w:r>
        <w:rPr>
          <w:szCs w:val="16"/>
        </w:rPr>
        <w:t>a</w:t>
      </w:r>
      <w:r w:rsidRPr="005810C3">
        <w:rPr>
          <w:szCs w:val="16"/>
        </w:rPr>
        <w:t xml:space="preserve"> rozvojového potenciálu regiónov </w:t>
      </w:r>
      <w:r>
        <w:rPr>
          <w:szCs w:val="16"/>
        </w:rPr>
        <w:t>S</w:t>
      </w:r>
      <w:r w:rsidRPr="005810C3">
        <w:rPr>
          <w:szCs w:val="16"/>
        </w:rPr>
        <w:t xml:space="preserve">R </w:t>
      </w:r>
      <w:r>
        <w:rPr>
          <w:szCs w:val="16"/>
        </w:rPr>
        <w:t>a </w:t>
      </w:r>
      <w:r w:rsidRPr="005810C3">
        <w:rPr>
          <w:szCs w:val="16"/>
        </w:rPr>
        <w:t xml:space="preserve">ich územných rozdielov </w:t>
      </w:r>
      <w:r>
        <w:rPr>
          <w:szCs w:val="16"/>
        </w:rPr>
        <w:t>s </w:t>
      </w:r>
      <w:r w:rsidRPr="005810C3">
        <w:rPr>
          <w:szCs w:val="16"/>
        </w:rPr>
        <w:t xml:space="preserve">priemetom na tematickú </w:t>
      </w:r>
      <w:r>
        <w:rPr>
          <w:szCs w:val="16"/>
        </w:rPr>
        <w:t>k</w:t>
      </w:r>
      <w:r w:rsidRPr="005810C3">
        <w:rPr>
          <w:szCs w:val="16"/>
        </w:rPr>
        <w:t xml:space="preserve">oncentráciu EŠIF v Partnerskej dohode </w:t>
      </w:r>
      <w:r>
        <w:rPr>
          <w:szCs w:val="16"/>
        </w:rPr>
        <w:t>S</w:t>
      </w:r>
      <w:r w:rsidRPr="005810C3">
        <w:rPr>
          <w:szCs w:val="16"/>
        </w:rPr>
        <w:t>R na roky 2014 – 2020</w:t>
      </w:r>
      <w:r>
        <w:rPr>
          <w:szCs w:val="16"/>
        </w:rPr>
        <w:t xml:space="preserve">, </w:t>
      </w:r>
      <w:hyperlink r:id="rId1" w:history="1">
        <w:r w:rsidRPr="001107CE">
          <w:rPr>
            <w:rStyle w:val="Hypertextovprepojenie"/>
            <w:szCs w:val="16"/>
          </w:rPr>
          <w:t>http://www.nsrr.sk/sk/programove-obdobie-2014---2020/negociacie-k-priprave-partnerskej-dohody-sr-a-op/</w:t>
        </w:r>
      </w:hyperlink>
    </w:p>
  </w:footnote>
  <w:footnote w:id="3">
    <w:p w:rsidR="00007508" w:rsidRDefault="00007508" w:rsidP="001D47E5">
      <w:pPr>
        <w:pStyle w:val="Textpoznmkypodiarou"/>
        <w:ind w:left="113" w:hanging="113"/>
      </w:pPr>
      <w:r w:rsidRPr="005810C3">
        <w:rPr>
          <w:rStyle w:val="Odkaznapoznmkupodiarou"/>
          <w:szCs w:val="16"/>
        </w:rPr>
        <w:footnoteRef/>
      </w:r>
      <w:r w:rsidRPr="005810C3">
        <w:rPr>
          <w:szCs w:val="16"/>
        </w:rPr>
        <w:t xml:space="preserve"> </w:t>
      </w:r>
      <w:r>
        <w:rPr>
          <w:szCs w:val="16"/>
        </w:rPr>
        <w:t>K</w:t>
      </w:r>
      <w:r w:rsidRPr="005810C3">
        <w:rPr>
          <w:szCs w:val="16"/>
        </w:rPr>
        <w:t xml:space="preserve">oncepcia územného rozvoja </w:t>
      </w:r>
      <w:r>
        <w:rPr>
          <w:szCs w:val="16"/>
        </w:rPr>
        <w:t>S</w:t>
      </w:r>
      <w:r w:rsidRPr="005810C3">
        <w:rPr>
          <w:szCs w:val="16"/>
        </w:rPr>
        <w:t xml:space="preserve">lovenska 2001 v znení zmien </w:t>
      </w:r>
      <w:r>
        <w:rPr>
          <w:szCs w:val="16"/>
        </w:rPr>
        <w:t>a </w:t>
      </w:r>
      <w:r w:rsidRPr="005810C3">
        <w:rPr>
          <w:szCs w:val="16"/>
        </w:rPr>
        <w:t xml:space="preserve">doplnkov č. 1 </w:t>
      </w:r>
      <w:r>
        <w:rPr>
          <w:szCs w:val="16"/>
        </w:rPr>
        <w:t>K</w:t>
      </w:r>
      <w:r w:rsidRPr="005810C3">
        <w:rPr>
          <w:szCs w:val="16"/>
        </w:rPr>
        <w:t xml:space="preserve">URS 2011, </w:t>
      </w:r>
      <w:r>
        <w:rPr>
          <w:szCs w:val="16"/>
        </w:rPr>
        <w:t>s</w:t>
      </w:r>
      <w:r w:rsidRPr="005810C3">
        <w:rPr>
          <w:szCs w:val="16"/>
        </w:rPr>
        <w:t xml:space="preserve">chválená uznesením vlády </w:t>
      </w:r>
      <w:r>
        <w:rPr>
          <w:szCs w:val="16"/>
        </w:rPr>
        <w:t>S</w:t>
      </w:r>
      <w:r w:rsidRPr="005810C3">
        <w:rPr>
          <w:szCs w:val="16"/>
        </w:rPr>
        <w:t xml:space="preserve">R </w:t>
      </w:r>
      <w:r>
        <w:rPr>
          <w:szCs w:val="16"/>
        </w:rPr>
        <w:t>a </w:t>
      </w:r>
      <w:r w:rsidRPr="005810C3">
        <w:rPr>
          <w:szCs w:val="16"/>
        </w:rPr>
        <w:t xml:space="preserve">jej záväzná časť vydaná nariadením vlády </w:t>
      </w:r>
      <w:r>
        <w:rPr>
          <w:szCs w:val="16"/>
        </w:rPr>
        <w:t>S</w:t>
      </w:r>
      <w:r w:rsidRPr="005810C3">
        <w:rPr>
          <w:szCs w:val="16"/>
        </w:rPr>
        <w:t xml:space="preserve">R č. 528/2002 Z. z., Zmeny </w:t>
      </w:r>
      <w:r>
        <w:rPr>
          <w:szCs w:val="16"/>
        </w:rPr>
        <w:t>a </w:t>
      </w:r>
      <w:r w:rsidRPr="005810C3">
        <w:rPr>
          <w:szCs w:val="16"/>
        </w:rPr>
        <w:t xml:space="preserve">doplnky č. 1 </w:t>
      </w:r>
      <w:r>
        <w:rPr>
          <w:szCs w:val="16"/>
        </w:rPr>
        <w:t>K</w:t>
      </w:r>
      <w:r w:rsidRPr="005810C3">
        <w:rPr>
          <w:szCs w:val="16"/>
        </w:rPr>
        <w:t xml:space="preserve">URS 2011 uznesením vlády </w:t>
      </w:r>
      <w:r>
        <w:rPr>
          <w:szCs w:val="16"/>
        </w:rPr>
        <w:t>S</w:t>
      </w:r>
      <w:r w:rsidRPr="005810C3">
        <w:rPr>
          <w:szCs w:val="16"/>
        </w:rPr>
        <w:t xml:space="preserve">R č. 513/2011 </w:t>
      </w:r>
      <w:r>
        <w:rPr>
          <w:szCs w:val="16"/>
        </w:rPr>
        <w:t>a </w:t>
      </w:r>
      <w:r w:rsidRPr="005810C3">
        <w:rPr>
          <w:szCs w:val="16"/>
        </w:rPr>
        <w:t xml:space="preserve">jej záväzná časť vydaná nariadením vlády </w:t>
      </w:r>
      <w:r>
        <w:rPr>
          <w:szCs w:val="16"/>
        </w:rPr>
        <w:t>S</w:t>
      </w:r>
      <w:r w:rsidRPr="005810C3">
        <w:rPr>
          <w:szCs w:val="16"/>
        </w:rPr>
        <w:t>R č. 461/2011 Z. z.</w:t>
      </w:r>
    </w:p>
  </w:footnote>
  <w:footnote w:id="4">
    <w:p w:rsidR="00007508" w:rsidRDefault="00007508" w:rsidP="00906580">
      <w:pPr>
        <w:pStyle w:val="Textpoznmkypodiarou"/>
        <w:ind w:left="113" w:hanging="113"/>
      </w:pPr>
      <w:r w:rsidRPr="00443333">
        <w:rPr>
          <w:rStyle w:val="Odkaznapoznmkupodiarou"/>
          <w:szCs w:val="16"/>
        </w:rPr>
        <w:footnoteRef/>
      </w:r>
      <w:r w:rsidRPr="00443333">
        <w:rPr>
          <w:szCs w:val="16"/>
        </w:rPr>
        <w:t xml:space="preserve"> </w:t>
      </w:r>
      <w:r w:rsidRPr="009E4F7C">
        <w:rPr>
          <w:szCs w:val="16"/>
        </w:rPr>
        <w:t xml:space="preserve">Územná </w:t>
      </w:r>
      <w:r>
        <w:rPr>
          <w:szCs w:val="16"/>
        </w:rPr>
        <w:t>a</w:t>
      </w:r>
      <w:r w:rsidRPr="009E4F7C">
        <w:rPr>
          <w:szCs w:val="16"/>
        </w:rPr>
        <w:t xml:space="preserve">genda </w:t>
      </w:r>
      <w:r>
        <w:rPr>
          <w:szCs w:val="16"/>
        </w:rPr>
        <w:t>Eur</w:t>
      </w:r>
      <w:r w:rsidRPr="009E4F7C">
        <w:rPr>
          <w:szCs w:val="16"/>
        </w:rPr>
        <w:t xml:space="preserve">ópskej únie 2020 – </w:t>
      </w:r>
      <w:r>
        <w:rPr>
          <w:szCs w:val="16"/>
        </w:rPr>
        <w:t>S</w:t>
      </w:r>
      <w:r w:rsidRPr="009E4F7C">
        <w:rPr>
          <w:szCs w:val="16"/>
        </w:rPr>
        <w:t xml:space="preserve">merom </w:t>
      </w:r>
      <w:r>
        <w:rPr>
          <w:szCs w:val="16"/>
        </w:rPr>
        <w:t>k </w:t>
      </w:r>
      <w:r w:rsidRPr="009E4F7C">
        <w:rPr>
          <w:szCs w:val="16"/>
        </w:rPr>
        <w:t xml:space="preserve">inkluzívnej </w:t>
      </w:r>
      <w:r>
        <w:rPr>
          <w:szCs w:val="16"/>
        </w:rPr>
        <w:t>a </w:t>
      </w:r>
      <w:r w:rsidRPr="009E4F7C">
        <w:rPr>
          <w:szCs w:val="16"/>
        </w:rPr>
        <w:t xml:space="preserve">udržateľnej </w:t>
      </w:r>
      <w:r>
        <w:rPr>
          <w:szCs w:val="16"/>
        </w:rPr>
        <w:t>Eur</w:t>
      </w:r>
      <w:r w:rsidRPr="009E4F7C">
        <w:rPr>
          <w:szCs w:val="16"/>
        </w:rPr>
        <w:t xml:space="preserve">ópe rozmanitých regiónov; dohodnuté na neformálnom </w:t>
      </w:r>
      <w:r>
        <w:rPr>
          <w:szCs w:val="16"/>
        </w:rPr>
        <w:t>s</w:t>
      </w:r>
      <w:r w:rsidRPr="009E4F7C">
        <w:rPr>
          <w:szCs w:val="16"/>
        </w:rPr>
        <w:t xml:space="preserve">tretnutí ministrov zodpovedných za územné plánovanie </w:t>
      </w:r>
      <w:r>
        <w:rPr>
          <w:szCs w:val="16"/>
        </w:rPr>
        <w:t>a </w:t>
      </w:r>
      <w:r w:rsidRPr="009E4F7C">
        <w:rPr>
          <w:szCs w:val="16"/>
        </w:rPr>
        <w:t>územný rozvoj; 19. mája 2011, Gödőllő, Maďarsko</w:t>
      </w:r>
    </w:p>
  </w:footnote>
  <w:footnote w:id="5">
    <w:p w:rsidR="00007508" w:rsidRDefault="00007508" w:rsidP="00906580">
      <w:pPr>
        <w:pStyle w:val="Textpoznmkypodiarou"/>
        <w:ind w:left="113" w:hanging="113"/>
      </w:pPr>
      <w:r w:rsidRPr="00443333">
        <w:rPr>
          <w:rStyle w:val="Odkaznapoznmkupodiarou"/>
          <w:szCs w:val="16"/>
        </w:rPr>
        <w:footnoteRef/>
      </w:r>
      <w:r w:rsidRPr="00640298">
        <w:rPr>
          <w:szCs w:val="16"/>
        </w:rPr>
        <w:t xml:space="preserve"> </w:t>
      </w:r>
      <w:r>
        <w:rPr>
          <w:szCs w:val="16"/>
        </w:rPr>
        <w:t>K</w:t>
      </w:r>
      <w:r w:rsidRPr="00640298">
        <w:rPr>
          <w:szCs w:val="16"/>
        </w:rPr>
        <w:t xml:space="preserve">oncepcia územného rozvoja </w:t>
      </w:r>
      <w:r>
        <w:rPr>
          <w:szCs w:val="16"/>
        </w:rPr>
        <w:t>S</w:t>
      </w:r>
      <w:r w:rsidRPr="00640298">
        <w:rPr>
          <w:szCs w:val="16"/>
        </w:rPr>
        <w:t>lovenska 2001 v</w:t>
      </w:r>
      <w:r>
        <w:rPr>
          <w:szCs w:val="16"/>
        </w:rPr>
        <w:t> </w:t>
      </w:r>
      <w:r w:rsidRPr="00640298">
        <w:rPr>
          <w:szCs w:val="16"/>
        </w:rPr>
        <w:t xml:space="preserve">znení zmien </w:t>
      </w:r>
      <w:r>
        <w:rPr>
          <w:szCs w:val="16"/>
        </w:rPr>
        <w:t>a </w:t>
      </w:r>
      <w:r w:rsidRPr="00640298">
        <w:rPr>
          <w:szCs w:val="16"/>
        </w:rPr>
        <w:t xml:space="preserve">doplnkov č. 1 </w:t>
      </w:r>
      <w:r>
        <w:rPr>
          <w:szCs w:val="16"/>
        </w:rPr>
        <w:t>K</w:t>
      </w:r>
      <w:r w:rsidRPr="00640298">
        <w:rPr>
          <w:szCs w:val="16"/>
        </w:rPr>
        <w:t xml:space="preserve">URS 2011, </w:t>
      </w:r>
      <w:r>
        <w:rPr>
          <w:szCs w:val="16"/>
        </w:rPr>
        <w:t>s</w:t>
      </w:r>
      <w:r w:rsidRPr="00640298">
        <w:rPr>
          <w:szCs w:val="16"/>
        </w:rPr>
        <w:t>tr. 60</w:t>
      </w:r>
    </w:p>
  </w:footnote>
  <w:footnote w:id="6">
    <w:p w:rsidR="00007508" w:rsidRDefault="00007508">
      <w:pPr>
        <w:pStyle w:val="Textpoznmkypodiarou"/>
      </w:pPr>
      <w:r>
        <w:rPr>
          <w:rStyle w:val="Odkaznapoznmkupodiarou"/>
        </w:rPr>
        <w:footnoteRef/>
      </w:r>
      <w:r>
        <w:t xml:space="preserve"> </w:t>
      </w:r>
      <w:r w:rsidRPr="008C2754">
        <w:t>http://www.nsrr.sk/sk/programove-obdobie-2014---2020/negociacie-k-priprave-partnerskej-dohody-sr-a-op/</w:t>
      </w:r>
    </w:p>
  </w:footnote>
  <w:footnote w:id="7">
    <w:p w:rsidR="00007508" w:rsidRDefault="00007508">
      <w:pPr>
        <w:pStyle w:val="Textpoznmkypodiarou"/>
      </w:pPr>
      <w:r>
        <w:rPr>
          <w:rStyle w:val="Odkaznapoznmkupodiarou"/>
        </w:rPr>
        <w:footnoteRef/>
      </w:r>
      <w:r>
        <w:t xml:space="preserve"> </w:t>
      </w:r>
      <w:r w:rsidRPr="00F652F0">
        <w:t xml:space="preserve">Aktualizácia Národnej stratégie regionálneho rozvoja Slovenskej republiky, </w:t>
      </w:r>
      <w:hyperlink r:id="rId2" w:history="1">
        <w:r w:rsidRPr="00F652F0">
          <w:rPr>
            <w:rStyle w:val="Hypertextovprepojenie"/>
          </w:rPr>
          <w:t>http://www.rokovania.sk/Rokovanie.aspx/BodRokovaniaDetail?idMaterial=23515</w:t>
        </w:r>
      </w:hyperlink>
    </w:p>
  </w:footnote>
  <w:footnote w:id="8">
    <w:p w:rsidR="00007508" w:rsidRDefault="00007508" w:rsidP="00906580">
      <w:pPr>
        <w:pStyle w:val="Textpoznmkypodiarou"/>
        <w:ind w:left="113" w:hanging="113"/>
      </w:pPr>
      <w:r w:rsidRPr="005810C3">
        <w:rPr>
          <w:rStyle w:val="Odkaznapoznmkupodiarou"/>
          <w:szCs w:val="16"/>
        </w:rPr>
        <w:footnoteRef/>
      </w:r>
      <w:r w:rsidRPr="005810C3">
        <w:rPr>
          <w:szCs w:val="16"/>
        </w:rPr>
        <w:t xml:space="preserve"> Zdroj: </w:t>
      </w:r>
      <w:bookmarkStart w:id="18" w:name="_Toc352432974"/>
      <w:bookmarkStart w:id="19" w:name="_Toc352607487"/>
      <w:r w:rsidRPr="005810C3">
        <w:rPr>
          <w:bCs/>
          <w:szCs w:val="16"/>
        </w:rPr>
        <w:t>Hlavné vývojové trendy v </w:t>
      </w:r>
      <w:r>
        <w:rPr>
          <w:bCs/>
          <w:szCs w:val="16"/>
        </w:rPr>
        <w:t>s</w:t>
      </w:r>
      <w:r w:rsidRPr="005810C3">
        <w:rPr>
          <w:bCs/>
          <w:szCs w:val="16"/>
        </w:rPr>
        <w:t>lovenskej ekonomike z hľadiska inteligentnej špecializácie</w:t>
      </w:r>
      <w:bookmarkEnd w:id="18"/>
      <w:bookmarkEnd w:id="19"/>
      <w:r w:rsidRPr="005810C3">
        <w:rPr>
          <w:bCs/>
          <w:szCs w:val="16"/>
        </w:rPr>
        <w:t xml:space="preserve">; Prognostický ústav </w:t>
      </w:r>
      <w:r>
        <w:rPr>
          <w:bCs/>
          <w:szCs w:val="16"/>
        </w:rPr>
        <w:t>S</w:t>
      </w:r>
      <w:r w:rsidRPr="005810C3">
        <w:rPr>
          <w:bCs/>
          <w:szCs w:val="16"/>
        </w:rPr>
        <w:t xml:space="preserve">lovenskej </w:t>
      </w:r>
      <w:r>
        <w:rPr>
          <w:bCs/>
          <w:szCs w:val="16"/>
        </w:rPr>
        <w:t>ak</w:t>
      </w:r>
      <w:r w:rsidRPr="005810C3">
        <w:rPr>
          <w:bCs/>
          <w:szCs w:val="16"/>
        </w:rPr>
        <w:t xml:space="preserve">adémie vied pre potreby Ministerstva hospodárstva </w:t>
      </w:r>
      <w:r>
        <w:rPr>
          <w:bCs/>
          <w:szCs w:val="16"/>
        </w:rPr>
        <w:t>S</w:t>
      </w:r>
      <w:r w:rsidRPr="005810C3">
        <w:rPr>
          <w:bCs/>
          <w:szCs w:val="16"/>
        </w:rPr>
        <w:t xml:space="preserve">R </w:t>
      </w:r>
      <w:r>
        <w:rPr>
          <w:bCs/>
          <w:szCs w:val="16"/>
        </w:rPr>
        <w:t>a</w:t>
      </w:r>
      <w:r w:rsidRPr="005810C3">
        <w:rPr>
          <w:bCs/>
          <w:szCs w:val="16"/>
        </w:rPr>
        <w:t xml:space="preserve"> Ministerstva školstva, vedy, výskumu </w:t>
      </w:r>
      <w:r>
        <w:rPr>
          <w:bCs/>
          <w:szCs w:val="16"/>
        </w:rPr>
        <w:t>a</w:t>
      </w:r>
      <w:r w:rsidRPr="005810C3">
        <w:rPr>
          <w:bCs/>
          <w:szCs w:val="16"/>
        </w:rPr>
        <w:t xml:space="preserve"> športu </w:t>
      </w:r>
      <w:r>
        <w:rPr>
          <w:bCs/>
          <w:szCs w:val="16"/>
        </w:rPr>
        <w:t>S</w:t>
      </w:r>
      <w:r w:rsidRPr="005810C3">
        <w:rPr>
          <w:bCs/>
          <w:szCs w:val="16"/>
        </w:rPr>
        <w:t>R</w:t>
      </w:r>
    </w:p>
  </w:footnote>
  <w:footnote w:id="9">
    <w:p w:rsidR="00007508" w:rsidRDefault="00007508" w:rsidP="00245325">
      <w:pPr>
        <w:pStyle w:val="Textpoznmkypodiarou"/>
        <w:ind w:left="113" w:hanging="113"/>
      </w:pPr>
      <w:r w:rsidRPr="005810C3">
        <w:rPr>
          <w:rStyle w:val="Odkaznapoznmkupodiarou"/>
          <w:szCs w:val="16"/>
        </w:rPr>
        <w:footnoteRef/>
      </w:r>
      <w:r w:rsidRPr="005810C3">
        <w:rPr>
          <w:szCs w:val="16"/>
        </w:rPr>
        <w:t xml:space="preserve"> </w:t>
      </w:r>
      <w:r>
        <w:rPr>
          <w:bCs/>
          <w:szCs w:val="16"/>
        </w:rPr>
        <w:t>Eur</w:t>
      </w:r>
      <w:r w:rsidRPr="005810C3">
        <w:rPr>
          <w:bCs/>
          <w:szCs w:val="16"/>
        </w:rPr>
        <w:t xml:space="preserve">opean Innovation </w:t>
      </w:r>
      <w:r>
        <w:rPr>
          <w:bCs/>
          <w:szCs w:val="16"/>
        </w:rPr>
        <w:t>S</w:t>
      </w:r>
      <w:r w:rsidRPr="005810C3">
        <w:rPr>
          <w:bCs/>
          <w:szCs w:val="16"/>
        </w:rPr>
        <w:t>coreboard 2013</w:t>
      </w:r>
    </w:p>
  </w:footnote>
  <w:footnote w:id="10">
    <w:p w:rsidR="00007508" w:rsidRDefault="00007508" w:rsidP="00245325">
      <w:pPr>
        <w:pStyle w:val="Textpoznmkypodiarou"/>
        <w:ind w:left="113" w:hanging="113"/>
      </w:pPr>
      <w:r w:rsidRPr="005810C3">
        <w:rPr>
          <w:rStyle w:val="Odkaznapoznmkupodiarou"/>
          <w:szCs w:val="16"/>
        </w:rPr>
        <w:footnoteRef/>
      </w:r>
      <w:r w:rsidRPr="005810C3">
        <w:rPr>
          <w:szCs w:val="16"/>
        </w:rPr>
        <w:t xml:space="preserve"> </w:t>
      </w:r>
      <w:r w:rsidRPr="005810C3">
        <w:rPr>
          <w:bCs/>
          <w:szCs w:val="16"/>
        </w:rPr>
        <w:t xml:space="preserve">V podrobnejšom delení inovačnej výkonnosti podľa regiónov NUTS II v roku 2011 </w:t>
      </w:r>
      <w:r>
        <w:rPr>
          <w:bCs/>
          <w:szCs w:val="16"/>
        </w:rPr>
        <w:t>s</w:t>
      </w:r>
      <w:r w:rsidRPr="005810C3">
        <w:rPr>
          <w:bCs/>
          <w:szCs w:val="16"/>
        </w:rPr>
        <w:t xml:space="preserve">a Bratislavský </w:t>
      </w:r>
      <w:r>
        <w:rPr>
          <w:bCs/>
          <w:szCs w:val="16"/>
        </w:rPr>
        <w:t>samosprávny k</w:t>
      </w:r>
      <w:r w:rsidRPr="005810C3">
        <w:rPr>
          <w:bCs/>
          <w:szCs w:val="16"/>
        </w:rPr>
        <w:t xml:space="preserve">raj radí </w:t>
      </w:r>
      <w:r>
        <w:rPr>
          <w:bCs/>
          <w:szCs w:val="16"/>
        </w:rPr>
        <w:t>k </w:t>
      </w:r>
      <w:r w:rsidRPr="005810C3">
        <w:rPr>
          <w:bCs/>
          <w:szCs w:val="16"/>
        </w:rPr>
        <w:t xml:space="preserve">miernym inovátorom </w:t>
      </w:r>
      <w:r>
        <w:rPr>
          <w:bCs/>
          <w:szCs w:val="16"/>
        </w:rPr>
        <w:t>s</w:t>
      </w:r>
      <w:r w:rsidRPr="005810C3">
        <w:rPr>
          <w:bCs/>
          <w:szCs w:val="16"/>
        </w:rPr>
        <w:t> vysokou výkonnosťou (</w:t>
      </w:r>
      <w:r>
        <w:rPr>
          <w:bCs/>
          <w:szCs w:val="16"/>
        </w:rPr>
        <w:t>s</w:t>
      </w:r>
      <w:r w:rsidRPr="005810C3">
        <w:rPr>
          <w:bCs/>
          <w:szCs w:val="16"/>
        </w:rPr>
        <w:t>tabilne od roku 2007, mimo roku 2009), Západné</w:t>
      </w:r>
      <w:r>
        <w:rPr>
          <w:bCs/>
          <w:szCs w:val="16"/>
        </w:rPr>
        <w:t xml:space="preserve"> Slovensko (ZS)</w:t>
      </w:r>
      <w:r w:rsidRPr="005810C3">
        <w:rPr>
          <w:bCs/>
          <w:szCs w:val="16"/>
        </w:rPr>
        <w:t xml:space="preserve"> </w:t>
      </w:r>
      <w:r>
        <w:rPr>
          <w:bCs/>
          <w:szCs w:val="16"/>
        </w:rPr>
        <w:t>a S</w:t>
      </w:r>
      <w:r w:rsidRPr="005810C3">
        <w:rPr>
          <w:bCs/>
          <w:szCs w:val="16"/>
        </w:rPr>
        <w:t xml:space="preserve">tredné </w:t>
      </w:r>
      <w:r>
        <w:rPr>
          <w:bCs/>
          <w:szCs w:val="16"/>
        </w:rPr>
        <w:t>S</w:t>
      </w:r>
      <w:r w:rsidRPr="005810C3">
        <w:rPr>
          <w:bCs/>
          <w:szCs w:val="16"/>
        </w:rPr>
        <w:t>lovensko</w:t>
      </w:r>
      <w:r>
        <w:rPr>
          <w:bCs/>
          <w:szCs w:val="16"/>
        </w:rPr>
        <w:t xml:space="preserve"> (SS)</w:t>
      </w:r>
      <w:r w:rsidRPr="005810C3">
        <w:rPr>
          <w:bCs/>
          <w:szCs w:val="16"/>
        </w:rPr>
        <w:t xml:space="preserve"> </w:t>
      </w:r>
      <w:r>
        <w:rPr>
          <w:bCs/>
          <w:szCs w:val="16"/>
        </w:rPr>
        <w:t>k </w:t>
      </w:r>
      <w:r w:rsidRPr="005810C3">
        <w:rPr>
          <w:bCs/>
          <w:szCs w:val="16"/>
        </w:rPr>
        <w:t xml:space="preserve">miernym inovátorom </w:t>
      </w:r>
      <w:r>
        <w:rPr>
          <w:bCs/>
          <w:szCs w:val="16"/>
        </w:rPr>
        <w:t>s</w:t>
      </w:r>
      <w:r w:rsidRPr="005810C3">
        <w:rPr>
          <w:bCs/>
          <w:szCs w:val="16"/>
        </w:rPr>
        <w:t xml:space="preserve">o </w:t>
      </w:r>
      <w:r>
        <w:rPr>
          <w:bCs/>
          <w:szCs w:val="16"/>
        </w:rPr>
        <w:t>s</w:t>
      </w:r>
      <w:r w:rsidRPr="005810C3">
        <w:rPr>
          <w:bCs/>
          <w:szCs w:val="16"/>
        </w:rPr>
        <w:t xml:space="preserve">trednou výkonnosťou (ZS v roku 2007 malo vysokú výkonnosť, naopak </w:t>
      </w:r>
      <w:r>
        <w:rPr>
          <w:bCs/>
          <w:szCs w:val="16"/>
        </w:rPr>
        <w:t>SS</w:t>
      </w:r>
      <w:r w:rsidRPr="005810C3">
        <w:rPr>
          <w:bCs/>
          <w:szCs w:val="16"/>
        </w:rPr>
        <w:t xml:space="preserve"> nízku) </w:t>
      </w:r>
      <w:r>
        <w:rPr>
          <w:bCs/>
          <w:szCs w:val="16"/>
        </w:rPr>
        <w:t>a </w:t>
      </w:r>
      <w:r w:rsidRPr="005810C3">
        <w:rPr>
          <w:bCs/>
          <w:szCs w:val="16"/>
        </w:rPr>
        <w:t xml:space="preserve">Východné </w:t>
      </w:r>
      <w:r>
        <w:rPr>
          <w:bCs/>
          <w:szCs w:val="16"/>
        </w:rPr>
        <w:t>S</w:t>
      </w:r>
      <w:r w:rsidRPr="005810C3">
        <w:rPr>
          <w:bCs/>
          <w:szCs w:val="16"/>
        </w:rPr>
        <w:t xml:space="preserve">lovensko </w:t>
      </w:r>
      <w:r>
        <w:rPr>
          <w:bCs/>
          <w:szCs w:val="16"/>
        </w:rPr>
        <w:t>k</w:t>
      </w:r>
      <w:r w:rsidRPr="005810C3">
        <w:rPr>
          <w:bCs/>
          <w:szCs w:val="16"/>
        </w:rPr>
        <w:t xml:space="preserve"> miernym inovátorom </w:t>
      </w:r>
      <w:r>
        <w:rPr>
          <w:bCs/>
          <w:szCs w:val="16"/>
        </w:rPr>
        <w:t>s </w:t>
      </w:r>
      <w:r w:rsidRPr="005810C3">
        <w:rPr>
          <w:bCs/>
          <w:szCs w:val="16"/>
        </w:rPr>
        <w:t xml:space="preserve">nízkou výkonnosťou (od roku 2007). Zdroj: </w:t>
      </w:r>
      <w:r w:rsidRPr="005810C3">
        <w:rPr>
          <w:szCs w:val="16"/>
        </w:rPr>
        <w:t xml:space="preserve">Regional innovation </w:t>
      </w:r>
      <w:r>
        <w:rPr>
          <w:szCs w:val="16"/>
        </w:rPr>
        <w:t>s</w:t>
      </w:r>
      <w:r w:rsidRPr="005810C3">
        <w:rPr>
          <w:szCs w:val="16"/>
        </w:rPr>
        <w:t>coreboard 2012</w:t>
      </w:r>
    </w:p>
  </w:footnote>
  <w:footnote w:id="11">
    <w:p w:rsidR="00007508" w:rsidRDefault="00007508" w:rsidP="00125351">
      <w:pPr>
        <w:pStyle w:val="Textpoznmkypodiarou"/>
      </w:pPr>
      <w:r w:rsidRPr="005810C3">
        <w:rPr>
          <w:rStyle w:val="Odkaznapoznmkupodiarou"/>
          <w:szCs w:val="16"/>
        </w:rPr>
        <w:footnoteRef/>
      </w:r>
      <w:r w:rsidRPr="005810C3">
        <w:rPr>
          <w:szCs w:val="16"/>
        </w:rPr>
        <w:t xml:space="preserve"> </w:t>
      </w:r>
      <w:r>
        <w:rPr>
          <w:szCs w:val="16"/>
        </w:rPr>
        <w:t>Zdroj: S</w:t>
      </w:r>
      <w:r w:rsidRPr="005810C3">
        <w:rPr>
          <w:szCs w:val="16"/>
        </w:rPr>
        <w:t>LOVSTAT</w:t>
      </w:r>
    </w:p>
  </w:footnote>
  <w:footnote w:id="12">
    <w:p w:rsidR="00007508" w:rsidRDefault="00007508" w:rsidP="00125351">
      <w:pPr>
        <w:pStyle w:val="Textpoznmkypodiarou"/>
      </w:pPr>
      <w:r w:rsidRPr="005810C3">
        <w:rPr>
          <w:rStyle w:val="Odkaznapoznmkupodiarou"/>
          <w:szCs w:val="16"/>
        </w:rPr>
        <w:footnoteRef/>
      </w:r>
      <w:r w:rsidRPr="005810C3">
        <w:rPr>
          <w:szCs w:val="16"/>
        </w:rPr>
        <w:t xml:space="preserve"> </w:t>
      </w:r>
      <w:r>
        <w:rPr>
          <w:szCs w:val="16"/>
        </w:rPr>
        <w:t xml:space="preserve">Zdroj: </w:t>
      </w:r>
      <w:r w:rsidRPr="005810C3">
        <w:rPr>
          <w:szCs w:val="16"/>
        </w:rPr>
        <w:t xml:space="preserve">OECD </w:t>
      </w:r>
      <w:r>
        <w:rPr>
          <w:szCs w:val="16"/>
        </w:rPr>
        <w:t>S</w:t>
      </w:r>
      <w:r w:rsidRPr="005810C3">
        <w:rPr>
          <w:szCs w:val="16"/>
        </w:rPr>
        <w:t xml:space="preserve">cience, Technology </w:t>
      </w:r>
      <w:r>
        <w:rPr>
          <w:szCs w:val="16"/>
        </w:rPr>
        <w:t>a</w:t>
      </w:r>
      <w:r w:rsidRPr="005810C3">
        <w:rPr>
          <w:szCs w:val="16"/>
        </w:rPr>
        <w:t>nd Industry Outlook 2012</w:t>
      </w:r>
    </w:p>
  </w:footnote>
  <w:footnote w:id="13">
    <w:p w:rsidR="00007508" w:rsidRDefault="00007508" w:rsidP="00245325">
      <w:pPr>
        <w:pStyle w:val="Textpoznmkypodiarou"/>
        <w:ind w:left="113" w:hanging="113"/>
      </w:pPr>
      <w:r w:rsidRPr="005810C3">
        <w:rPr>
          <w:rStyle w:val="Odkaznapoznmkupodiarou"/>
          <w:szCs w:val="16"/>
        </w:rPr>
        <w:footnoteRef/>
      </w:r>
      <w:r w:rsidRPr="005810C3">
        <w:rPr>
          <w:szCs w:val="16"/>
        </w:rPr>
        <w:t xml:space="preserve"> </w:t>
      </w:r>
      <w:r>
        <w:rPr>
          <w:szCs w:val="16"/>
        </w:rPr>
        <w:t>A</w:t>
      </w:r>
      <w:r w:rsidRPr="005810C3">
        <w:rPr>
          <w:szCs w:val="16"/>
        </w:rPr>
        <w:t xml:space="preserve">j </w:t>
      </w:r>
      <w:r>
        <w:rPr>
          <w:szCs w:val="16"/>
        </w:rPr>
        <w:t>k</w:t>
      </w:r>
      <w:r w:rsidRPr="005810C3">
        <w:rPr>
          <w:szCs w:val="16"/>
        </w:rPr>
        <w:t xml:space="preserve">eď </w:t>
      </w:r>
      <w:r>
        <w:rPr>
          <w:szCs w:val="16"/>
        </w:rPr>
        <w:t>S</w:t>
      </w:r>
      <w:r w:rsidRPr="009E4A61">
        <w:rPr>
          <w:szCs w:val="16"/>
        </w:rPr>
        <w:t>R</w:t>
      </w:r>
      <w:r w:rsidRPr="005810C3">
        <w:rPr>
          <w:szCs w:val="16"/>
        </w:rPr>
        <w:t xml:space="preserve"> definovala tento cieľ v</w:t>
      </w:r>
      <w:r>
        <w:rPr>
          <w:szCs w:val="16"/>
        </w:rPr>
        <w:t> </w:t>
      </w:r>
      <w:r w:rsidRPr="005810C3">
        <w:rPr>
          <w:szCs w:val="16"/>
        </w:rPr>
        <w:t xml:space="preserve">zmysle </w:t>
      </w:r>
      <w:r>
        <w:rPr>
          <w:szCs w:val="16"/>
        </w:rPr>
        <w:t>stratégie Eur</w:t>
      </w:r>
      <w:r w:rsidRPr="005810C3">
        <w:rPr>
          <w:szCs w:val="16"/>
        </w:rPr>
        <w:t>óp</w:t>
      </w:r>
      <w:r>
        <w:rPr>
          <w:szCs w:val="16"/>
        </w:rPr>
        <w:t>a</w:t>
      </w:r>
      <w:r w:rsidRPr="005810C3">
        <w:rPr>
          <w:szCs w:val="16"/>
        </w:rPr>
        <w:t xml:space="preserve"> 2020 na úrovni 1 % z</w:t>
      </w:r>
      <w:r>
        <w:rPr>
          <w:szCs w:val="16"/>
        </w:rPr>
        <w:t> </w:t>
      </w:r>
      <w:r w:rsidRPr="005810C3">
        <w:rPr>
          <w:szCs w:val="16"/>
        </w:rPr>
        <w:t>HDP, v </w:t>
      </w:r>
      <w:r>
        <w:rPr>
          <w:szCs w:val="16"/>
        </w:rPr>
        <w:t>S</w:t>
      </w:r>
      <w:r w:rsidRPr="005810C3">
        <w:rPr>
          <w:szCs w:val="16"/>
        </w:rPr>
        <w:t xml:space="preserve">tratégii výskumu </w:t>
      </w:r>
      <w:r>
        <w:rPr>
          <w:szCs w:val="16"/>
        </w:rPr>
        <w:t>a </w:t>
      </w:r>
      <w:r w:rsidRPr="005810C3">
        <w:rPr>
          <w:szCs w:val="16"/>
        </w:rPr>
        <w:t xml:space="preserve">inovácií pre inteligentnú špecializáciu </w:t>
      </w:r>
      <w:r>
        <w:rPr>
          <w:szCs w:val="16"/>
        </w:rPr>
        <w:t>S</w:t>
      </w:r>
      <w:r w:rsidRPr="005810C3">
        <w:rPr>
          <w:szCs w:val="16"/>
        </w:rPr>
        <w:t xml:space="preserve">lovenskej republiky dochádza </w:t>
      </w:r>
      <w:r>
        <w:rPr>
          <w:szCs w:val="16"/>
        </w:rPr>
        <w:t>k </w:t>
      </w:r>
      <w:r w:rsidRPr="005810C3">
        <w:rPr>
          <w:szCs w:val="16"/>
        </w:rPr>
        <w:t>jeho revízii na úroveň 1,2 % z</w:t>
      </w:r>
      <w:r>
        <w:rPr>
          <w:szCs w:val="16"/>
        </w:rPr>
        <w:t> </w:t>
      </w:r>
      <w:r w:rsidRPr="005810C3">
        <w:rPr>
          <w:szCs w:val="16"/>
        </w:rPr>
        <w:t>HDP</w:t>
      </w:r>
    </w:p>
  </w:footnote>
  <w:footnote w:id="14">
    <w:p w:rsidR="00007508" w:rsidRDefault="00007508" w:rsidP="00A41272">
      <w:pPr>
        <w:pStyle w:val="Textpoznmkypodiarou"/>
        <w:ind w:left="170" w:hanging="170"/>
      </w:pPr>
      <w:r w:rsidRPr="005810C3">
        <w:rPr>
          <w:rStyle w:val="Odkaznapoznmkupodiarou"/>
          <w:szCs w:val="16"/>
        </w:rPr>
        <w:footnoteRef/>
      </w:r>
      <w:r w:rsidRPr="005810C3">
        <w:rPr>
          <w:szCs w:val="16"/>
        </w:rPr>
        <w:t xml:space="preserve"> Dátových centier </w:t>
      </w:r>
      <w:r>
        <w:rPr>
          <w:szCs w:val="16"/>
        </w:rPr>
        <w:t>a</w:t>
      </w:r>
      <w:r w:rsidRPr="005810C3">
        <w:rPr>
          <w:szCs w:val="16"/>
        </w:rPr>
        <w:t xml:space="preserve"> výpočtových </w:t>
      </w:r>
      <w:r>
        <w:rPr>
          <w:szCs w:val="16"/>
        </w:rPr>
        <w:t>s</w:t>
      </w:r>
      <w:r w:rsidRPr="005810C3">
        <w:rPr>
          <w:szCs w:val="16"/>
        </w:rPr>
        <w:t xml:space="preserve">tredísk VaV; centier excelentnosti, najlepších </w:t>
      </w:r>
      <w:r>
        <w:rPr>
          <w:szCs w:val="16"/>
        </w:rPr>
        <w:t>a</w:t>
      </w:r>
      <w:r w:rsidRPr="005810C3">
        <w:rPr>
          <w:szCs w:val="16"/>
        </w:rPr>
        <w:t xml:space="preserve"> najperspektívnejších pracovísk </w:t>
      </w:r>
      <w:r>
        <w:rPr>
          <w:szCs w:val="16"/>
        </w:rPr>
        <w:t>s </w:t>
      </w:r>
      <w:r w:rsidRPr="005810C3">
        <w:rPr>
          <w:szCs w:val="16"/>
        </w:rPr>
        <w:t xml:space="preserve">dôrazom na vedeckú excelentnosť </w:t>
      </w:r>
      <w:r>
        <w:rPr>
          <w:szCs w:val="16"/>
        </w:rPr>
        <w:t>a k</w:t>
      </w:r>
      <w:r w:rsidRPr="005810C3">
        <w:rPr>
          <w:szCs w:val="16"/>
        </w:rPr>
        <w:t xml:space="preserve">reovanie tímov; </w:t>
      </w:r>
      <w:r>
        <w:rPr>
          <w:szCs w:val="16"/>
        </w:rPr>
        <w:t>k</w:t>
      </w:r>
      <w:r w:rsidRPr="005810C3">
        <w:rPr>
          <w:szCs w:val="16"/>
        </w:rPr>
        <w:t xml:space="preserve">ompetenčných centier </w:t>
      </w:r>
      <w:r>
        <w:rPr>
          <w:szCs w:val="16"/>
        </w:rPr>
        <w:t>s</w:t>
      </w:r>
      <w:r w:rsidRPr="005810C3">
        <w:rPr>
          <w:szCs w:val="16"/>
        </w:rPr>
        <w:t> cieľom vytvorenia limitovaného počtu výskumných zoskupení, zložených z</w:t>
      </w:r>
      <w:r>
        <w:rPr>
          <w:szCs w:val="16"/>
        </w:rPr>
        <w:t> ak</w:t>
      </w:r>
      <w:r w:rsidRPr="005810C3">
        <w:rPr>
          <w:szCs w:val="16"/>
        </w:rPr>
        <w:t xml:space="preserve">ademických inštitúcií </w:t>
      </w:r>
      <w:r>
        <w:rPr>
          <w:szCs w:val="16"/>
        </w:rPr>
        <w:t>a </w:t>
      </w:r>
      <w:r w:rsidRPr="005810C3">
        <w:rPr>
          <w:szCs w:val="16"/>
        </w:rPr>
        <w:t>z</w:t>
      </w:r>
      <w:r>
        <w:rPr>
          <w:szCs w:val="16"/>
        </w:rPr>
        <w:t> </w:t>
      </w:r>
      <w:r w:rsidRPr="005810C3">
        <w:rPr>
          <w:szCs w:val="16"/>
        </w:rPr>
        <w:t>priemyselných</w:t>
      </w:r>
      <w:r>
        <w:rPr>
          <w:szCs w:val="16"/>
        </w:rPr>
        <w:t xml:space="preserve"> s</w:t>
      </w:r>
      <w:r w:rsidRPr="005810C3">
        <w:rPr>
          <w:szCs w:val="16"/>
        </w:rPr>
        <w:t xml:space="preserve">ubjektov, </w:t>
      </w:r>
      <w:r>
        <w:rPr>
          <w:szCs w:val="16"/>
        </w:rPr>
        <w:t>k</w:t>
      </w:r>
      <w:r w:rsidRPr="005810C3">
        <w:rPr>
          <w:szCs w:val="16"/>
        </w:rPr>
        <w:t xml:space="preserve">toré majú byť vybavené špičkovou výskumnou infraštruktúrou; priemyselných </w:t>
      </w:r>
      <w:r w:rsidRPr="00F078DF">
        <w:rPr>
          <w:szCs w:val="16"/>
        </w:rPr>
        <w:t>výskumno-vývojových centier priemyselného (a</w:t>
      </w:r>
      <w:r w:rsidRPr="002C2592">
        <w:rPr>
          <w:szCs w:val="16"/>
        </w:rPr>
        <w:t xml:space="preserve">plikovaného) výskumu </w:t>
      </w:r>
      <w:r w:rsidRPr="009633C9">
        <w:rPr>
          <w:szCs w:val="16"/>
        </w:rPr>
        <w:t>a experimentálneho vývoja a </w:t>
      </w:r>
      <w:r w:rsidRPr="00DE1688">
        <w:rPr>
          <w:szCs w:val="16"/>
        </w:rPr>
        <w:t>na priamu spoluprácu podnikov s akademickou sférou; univerzitných vedeckých parkov a národných výskumných centier</w:t>
      </w:r>
    </w:p>
  </w:footnote>
  <w:footnote w:id="15">
    <w:p w:rsidR="00007508" w:rsidRDefault="00007508" w:rsidP="00E47189">
      <w:pPr>
        <w:pStyle w:val="Textpoznmkypodiarou"/>
      </w:pPr>
      <w:r w:rsidRPr="00F078DF">
        <w:rPr>
          <w:rStyle w:val="Odkaznapoznmkupodiarou"/>
          <w:szCs w:val="16"/>
        </w:rPr>
        <w:footnoteRef/>
      </w:r>
      <w:r w:rsidRPr="00F078DF">
        <w:rPr>
          <w:rStyle w:val="Odkaznapoznmkupodiarou"/>
          <w:szCs w:val="16"/>
        </w:rPr>
        <w:t xml:space="preserve"> </w:t>
      </w:r>
      <w:hyperlink r:id="rId3" w:history="1">
        <w:r w:rsidRPr="003F0750">
          <w:rPr>
            <w:rStyle w:val="Hypertextovprepojenie"/>
            <w:rFonts w:cs="Calibri"/>
            <w:szCs w:val="16"/>
          </w:rPr>
          <w:t>http://portal.statistics.sk/files/Sekcie/sek_500/Veda-a-technika/publ/rocenka_vt_2013_v_1-3.pdf</w:t>
        </w:r>
      </w:hyperlink>
    </w:p>
  </w:footnote>
  <w:footnote w:id="16">
    <w:p w:rsidR="00007508" w:rsidRDefault="00007508" w:rsidP="001C0BBB">
      <w:pPr>
        <w:pStyle w:val="Textpoznmkypodiarou"/>
        <w:ind w:left="170" w:hanging="170"/>
      </w:pPr>
      <w:r>
        <w:rPr>
          <w:rStyle w:val="Odkaznapoznmkupodiarou"/>
        </w:rPr>
        <w:footnoteRef/>
      </w:r>
      <w:r>
        <w:t xml:space="preserve"> </w:t>
      </w:r>
      <w:r w:rsidRPr="00180DFB">
        <w:t xml:space="preserve">Materiál „Stratégia výskumu a inovácií pre inteligentnú špecializáciu Slovenskej republiky“ schválený uznesením vlády SR č. 665/2013, </w:t>
      </w:r>
      <w:hyperlink r:id="rId4" w:history="1">
        <w:r w:rsidRPr="00180DFB">
          <w:rPr>
            <w:rStyle w:val="Hypertextovprepojenie"/>
          </w:rPr>
          <w:t>http://www.rokovania.sk/Rokovanie.aspx/BodRokovaniaDetail?idMaterial=23039</w:t>
        </w:r>
      </w:hyperlink>
    </w:p>
  </w:footnote>
  <w:footnote w:id="17">
    <w:p w:rsidR="00007508" w:rsidRDefault="00007508" w:rsidP="00E47189">
      <w:pPr>
        <w:pStyle w:val="Textpoznmkypodiarou"/>
      </w:pPr>
      <w:r w:rsidRPr="005728F1">
        <w:rPr>
          <w:rStyle w:val="Odkaznapoznmkupodiarou"/>
          <w:szCs w:val="16"/>
        </w:rPr>
        <w:footnoteRef/>
      </w:r>
      <w:r w:rsidRPr="005728F1">
        <w:rPr>
          <w:rStyle w:val="Odkaznapoznmkupodiarou"/>
          <w:szCs w:val="16"/>
        </w:rPr>
        <w:t xml:space="preserve"> </w:t>
      </w:r>
      <w:r>
        <w:rPr>
          <w:szCs w:val="16"/>
        </w:rPr>
        <w:t xml:space="preserve">Zdroj: </w:t>
      </w:r>
      <w:r w:rsidRPr="005728F1">
        <w:rPr>
          <w:szCs w:val="16"/>
        </w:rPr>
        <w:t xml:space="preserve">OECD Science, Technology and Industry Outlook 2010, </w:t>
      </w:r>
      <w:hyperlink r:id="rId5" w:history="1">
        <w:r w:rsidRPr="005728F1">
          <w:rPr>
            <w:rStyle w:val="Hypertextovprepojenie"/>
            <w:szCs w:val="16"/>
          </w:rPr>
          <w:t>http://www.oecd.org/sti/inno/41559370.pdf</w:t>
        </w:r>
      </w:hyperlink>
    </w:p>
  </w:footnote>
  <w:footnote w:id="18">
    <w:p w:rsidR="00007508" w:rsidRDefault="00007508" w:rsidP="00B45F2E">
      <w:pPr>
        <w:pStyle w:val="Textpoznmkypodiarou"/>
      </w:pPr>
      <w:r w:rsidRPr="005728F1">
        <w:rPr>
          <w:rStyle w:val="Odkaznapoznmkupodiarou"/>
          <w:szCs w:val="16"/>
        </w:rPr>
        <w:footnoteRef/>
      </w:r>
      <w:r w:rsidRPr="005728F1">
        <w:rPr>
          <w:szCs w:val="16"/>
        </w:rPr>
        <w:t xml:space="preserve"> Annual data on HRST and sub-groups, by sex and age[hrst_st_ncat], </w:t>
      </w:r>
      <w:r>
        <w:rPr>
          <w:szCs w:val="16"/>
        </w:rPr>
        <w:t xml:space="preserve">Zdroj: </w:t>
      </w:r>
      <w:r w:rsidRPr="005728F1">
        <w:rPr>
          <w:szCs w:val="16"/>
        </w:rPr>
        <w:t>Eurostat</w:t>
      </w:r>
    </w:p>
  </w:footnote>
  <w:footnote w:id="19">
    <w:p w:rsidR="00007508" w:rsidRDefault="00007508" w:rsidP="00E47189">
      <w:pPr>
        <w:pStyle w:val="Textpoznmkypodiarou"/>
      </w:pPr>
      <w:r w:rsidRPr="009E4F7C">
        <w:rPr>
          <w:rStyle w:val="Odkaznapoznmkupodiarou"/>
          <w:szCs w:val="16"/>
        </w:rPr>
        <w:footnoteRef/>
      </w:r>
      <w:r w:rsidRPr="009E4F7C">
        <w:rPr>
          <w:szCs w:val="16"/>
        </w:rPr>
        <w:t xml:space="preserve"> </w:t>
      </w:r>
      <w:r>
        <w:rPr>
          <w:szCs w:val="16"/>
        </w:rPr>
        <w:t xml:space="preserve">Zdroj: </w:t>
      </w:r>
      <w:hyperlink r:id="rId6" w:history="1">
        <w:r w:rsidRPr="00466E7E">
          <w:rPr>
            <w:rStyle w:val="Hypertextovprepojenie"/>
            <w:szCs w:val="16"/>
          </w:rPr>
          <w:t>http://www.7rp.sk/uploads/tx_main/2013/02/21/Sprava_o_ucasti_SR_7RP_01.pdf</w:t>
        </w:r>
      </w:hyperlink>
    </w:p>
  </w:footnote>
  <w:footnote w:id="20">
    <w:p w:rsidR="00007508" w:rsidRDefault="00007508" w:rsidP="006E38FD">
      <w:pPr>
        <w:pStyle w:val="Textpoznmkypodiarou"/>
      </w:pPr>
      <w:r w:rsidRPr="00181612">
        <w:rPr>
          <w:rStyle w:val="Odkaznapoznmkupodiarou"/>
        </w:rPr>
        <w:footnoteRef/>
      </w:r>
      <w:r w:rsidRPr="00181612">
        <w:rPr>
          <w:rStyle w:val="Odkaznapoznmkupodiarou"/>
        </w:rPr>
        <w:t xml:space="preserve"> </w:t>
      </w:r>
      <w:r>
        <w:t xml:space="preserve">Zdroj: </w:t>
      </w:r>
      <w:r>
        <w:rPr>
          <w:szCs w:val="16"/>
        </w:rPr>
        <w:t>str. 5, stratégia RIS 3</w:t>
      </w:r>
    </w:p>
  </w:footnote>
  <w:footnote w:id="21">
    <w:p w:rsidR="00007508" w:rsidRDefault="00007508" w:rsidP="00FA6430">
      <w:pPr>
        <w:pStyle w:val="Textpoznmkypodiarou"/>
        <w:ind w:left="170" w:hanging="170"/>
      </w:pPr>
      <w:r>
        <w:rPr>
          <w:rStyle w:val="Odkaznapoznmkupodiarou"/>
        </w:rPr>
        <w:footnoteRef/>
      </w:r>
      <w:r>
        <w:t xml:space="preserve"> </w:t>
      </w:r>
      <w:r w:rsidRPr="00E02489">
        <w:t>Súčasťou bude zintenzívnenie výskumu a inovácií v oblasti energetiky mobilizáciou potrebného kritického množstva činností a aktérov v súlade so SET-plánom</w:t>
      </w:r>
    </w:p>
  </w:footnote>
  <w:footnote w:id="22">
    <w:p w:rsidR="00007508" w:rsidRPr="004F2996" w:rsidRDefault="00007508" w:rsidP="00FA6430">
      <w:pPr>
        <w:pStyle w:val="Textpoznmkypodiarou"/>
        <w:ind w:left="170" w:hanging="170"/>
      </w:pPr>
      <w:r w:rsidRPr="00F35154">
        <w:rPr>
          <w:rStyle w:val="Odkaznapoznmkupodiarou"/>
        </w:rPr>
        <w:footnoteRef/>
      </w:r>
      <w:r>
        <w:rPr>
          <w:szCs w:val="16"/>
        </w:rPr>
        <w:t xml:space="preserve"> Materiál „Stratégia výskumu a inovácií pre inteligentnú špecializáciu Slovenskej republiky“ schválený uznesením vlády SR </w:t>
      </w:r>
      <w:r>
        <w:rPr>
          <w:szCs w:val="16"/>
        </w:rPr>
        <w:br/>
        <w:t xml:space="preserve">č. 665/2013, </w:t>
      </w:r>
      <w:hyperlink r:id="rId7" w:history="1">
        <w:r>
          <w:rPr>
            <w:rStyle w:val="Hypertextovprepojenie"/>
            <w:szCs w:val="16"/>
          </w:rPr>
          <w:t>http://www.rokovania.sk/Rokovanie.aspx/BodRokovaniaDetail?idMaterial=23039</w:t>
        </w:r>
      </w:hyperlink>
      <w:r>
        <w:rPr>
          <w:szCs w:val="16"/>
        </w:rPr>
        <w:t xml:space="preserve"> str. 53, kap. 4 </w:t>
      </w:r>
      <w:r w:rsidRPr="00F35154">
        <w:rPr>
          <w:bCs/>
          <w:szCs w:val="16"/>
        </w:rPr>
        <w:t>Identifikácia oblastí špecializácie SR pre RIS3</w:t>
      </w:r>
    </w:p>
  </w:footnote>
  <w:footnote w:id="23">
    <w:p w:rsidR="00007508" w:rsidRDefault="00007508" w:rsidP="00222C12">
      <w:pPr>
        <w:pStyle w:val="Textpoznmkypodiarou"/>
        <w:ind w:left="142" w:hanging="142"/>
      </w:pPr>
      <w:r w:rsidRPr="005810C3">
        <w:rPr>
          <w:rStyle w:val="Odkaznapoznmkupodiarou"/>
          <w:szCs w:val="16"/>
        </w:rPr>
        <w:footnoteRef/>
      </w:r>
      <w:r w:rsidRPr="005810C3">
        <w:rPr>
          <w:szCs w:val="16"/>
        </w:rPr>
        <w:t xml:space="preserve"> </w:t>
      </w:r>
      <w:r>
        <w:rPr>
          <w:szCs w:val="16"/>
        </w:rPr>
        <w:t>D</w:t>
      </w:r>
      <w:r w:rsidRPr="005810C3">
        <w:rPr>
          <w:szCs w:val="16"/>
        </w:rPr>
        <w:t xml:space="preserve">lhodobo medzi najžiadanejšími profesiami na trhu </w:t>
      </w:r>
      <w:r>
        <w:rPr>
          <w:szCs w:val="16"/>
        </w:rPr>
        <w:t>s</w:t>
      </w:r>
      <w:r w:rsidRPr="005810C3">
        <w:rPr>
          <w:szCs w:val="16"/>
        </w:rPr>
        <w:t xml:space="preserve">ú IT </w:t>
      </w:r>
      <w:r>
        <w:rPr>
          <w:szCs w:val="16"/>
        </w:rPr>
        <w:t>a</w:t>
      </w:r>
      <w:r w:rsidRPr="005810C3">
        <w:rPr>
          <w:szCs w:val="16"/>
        </w:rPr>
        <w:t xml:space="preserve">nalytici, IT </w:t>
      </w:r>
      <w:r>
        <w:rPr>
          <w:szCs w:val="16"/>
        </w:rPr>
        <w:t>a</w:t>
      </w:r>
      <w:r w:rsidRPr="005810C3">
        <w:rPr>
          <w:szCs w:val="16"/>
        </w:rPr>
        <w:t xml:space="preserve">rchitekti, IT </w:t>
      </w:r>
      <w:r>
        <w:rPr>
          <w:szCs w:val="16"/>
        </w:rPr>
        <w:t>k</w:t>
      </w:r>
      <w:r w:rsidRPr="005810C3">
        <w:rPr>
          <w:szCs w:val="16"/>
        </w:rPr>
        <w:t xml:space="preserve">onzultanti, IT manažéri, IT projektoví manažéri, IT testeri, IT technickí špecialisti, ostatné najžiadanejšie pozície vyžadujúce IT zručnosti: grafickí dizajnéri, operátori, </w:t>
      </w:r>
      <w:r>
        <w:rPr>
          <w:szCs w:val="16"/>
        </w:rPr>
        <w:t>a</w:t>
      </w:r>
      <w:r w:rsidRPr="005810C3">
        <w:rPr>
          <w:szCs w:val="16"/>
        </w:rPr>
        <w:t xml:space="preserve">dministratívni pracovníci, referenti, </w:t>
      </w:r>
      <w:r>
        <w:rPr>
          <w:szCs w:val="16"/>
        </w:rPr>
        <w:t>as</w:t>
      </w:r>
      <w:r w:rsidRPr="005810C3">
        <w:rPr>
          <w:szCs w:val="16"/>
        </w:rPr>
        <w:t>istenti; zdroj</w:t>
      </w:r>
      <w:r w:rsidRPr="007F656B">
        <w:rPr>
          <w:szCs w:val="16"/>
        </w:rPr>
        <w:t xml:space="preserve">: </w:t>
      </w:r>
      <w:r w:rsidRPr="009E4F7C">
        <w:rPr>
          <w:rStyle w:val="Hypertextovprepojenie"/>
          <w:szCs w:val="16"/>
        </w:rPr>
        <w:t>http://www.profesia.</w:t>
      </w:r>
      <w:r>
        <w:rPr>
          <w:rStyle w:val="Hypertextovprepojenie"/>
          <w:szCs w:val="16"/>
        </w:rPr>
        <w:t>s</w:t>
      </w:r>
      <w:r w:rsidRPr="009E4F7C">
        <w:rPr>
          <w:rStyle w:val="Hypertextovprepojenie"/>
          <w:szCs w:val="16"/>
        </w:rPr>
        <w:t>k/praca/?roll_by=position_id</w:t>
      </w:r>
    </w:p>
  </w:footnote>
  <w:footnote w:id="24">
    <w:p w:rsidR="00007508" w:rsidRDefault="00007508" w:rsidP="00222C12">
      <w:pPr>
        <w:pStyle w:val="Textpoznmkypodiarou"/>
        <w:ind w:left="142" w:hanging="142"/>
      </w:pPr>
      <w:r w:rsidRPr="00FF590F">
        <w:rPr>
          <w:rStyle w:val="Odkaznapoznmkupodiarou"/>
          <w:szCs w:val="16"/>
        </w:rPr>
        <w:footnoteRef/>
      </w:r>
      <w:r w:rsidRPr="004B6041">
        <w:rPr>
          <w:szCs w:val="16"/>
        </w:rPr>
        <w:t xml:space="preserve"> </w:t>
      </w:r>
      <w:r>
        <w:rPr>
          <w:szCs w:val="16"/>
        </w:rPr>
        <w:t>P</w:t>
      </w:r>
      <w:r w:rsidRPr="004B6041">
        <w:rPr>
          <w:szCs w:val="16"/>
        </w:rPr>
        <w:t>riemerná mesačná mzda v roku 201</w:t>
      </w:r>
      <w:r>
        <w:rPr>
          <w:szCs w:val="16"/>
        </w:rPr>
        <w:t>2</w:t>
      </w:r>
      <w:r w:rsidRPr="004B6041">
        <w:rPr>
          <w:szCs w:val="16"/>
        </w:rPr>
        <w:t xml:space="preserve"> v </w:t>
      </w:r>
      <w:r>
        <w:rPr>
          <w:szCs w:val="16"/>
        </w:rPr>
        <w:t>s</w:t>
      </w:r>
      <w:r w:rsidRPr="004B6041">
        <w:rPr>
          <w:szCs w:val="16"/>
        </w:rPr>
        <w:t xml:space="preserve">ektore „Informácie </w:t>
      </w:r>
      <w:r>
        <w:rPr>
          <w:szCs w:val="16"/>
        </w:rPr>
        <w:t>a k</w:t>
      </w:r>
      <w:r w:rsidRPr="004B6041">
        <w:rPr>
          <w:szCs w:val="16"/>
        </w:rPr>
        <w:t>omunikácia“ bola 1.</w:t>
      </w:r>
      <w:r>
        <w:rPr>
          <w:szCs w:val="16"/>
        </w:rPr>
        <w:t>743</w:t>
      </w:r>
      <w:r w:rsidRPr="004B6041">
        <w:rPr>
          <w:szCs w:val="16"/>
        </w:rPr>
        <w:t xml:space="preserve"> </w:t>
      </w:r>
      <w:r>
        <w:rPr>
          <w:szCs w:val="16"/>
        </w:rPr>
        <w:t>EUR</w:t>
      </w:r>
      <w:r w:rsidRPr="004B6041">
        <w:rPr>
          <w:szCs w:val="16"/>
        </w:rPr>
        <w:t xml:space="preserve">, čo je najviac </w:t>
      </w:r>
      <w:r>
        <w:rPr>
          <w:szCs w:val="16"/>
        </w:rPr>
        <w:t>s</w:t>
      </w:r>
      <w:r w:rsidRPr="00432037">
        <w:rPr>
          <w:szCs w:val="16"/>
        </w:rPr>
        <w:t xml:space="preserve">pomedzi nefinančných odvetví hospodárstva; zdroj: </w:t>
      </w:r>
      <w:hyperlink r:id="rId8" w:history="1">
        <w:r w:rsidRPr="009E246D">
          <w:rPr>
            <w:rStyle w:val="Hypertextovprepojenie"/>
            <w:szCs w:val="16"/>
          </w:rPr>
          <w:t>http://portal.statistics.sk/showdoc.do?docid=44084</w:t>
        </w:r>
      </w:hyperlink>
    </w:p>
  </w:footnote>
  <w:footnote w:id="25">
    <w:p w:rsidR="00007508" w:rsidRDefault="00007508" w:rsidP="00630A8C">
      <w:pPr>
        <w:spacing w:before="0" w:after="0"/>
        <w:ind w:left="142" w:hanging="142"/>
      </w:pPr>
      <w:r w:rsidRPr="00FF590F">
        <w:rPr>
          <w:rStyle w:val="Odkaznapoznmkupodiarou"/>
          <w:rFonts w:asciiTheme="majorHAnsi" w:hAnsiTheme="majorHAnsi"/>
          <w:sz w:val="16"/>
          <w:szCs w:val="16"/>
        </w:rPr>
        <w:footnoteRef/>
      </w:r>
      <w:r w:rsidRPr="004B6041">
        <w:rPr>
          <w:rFonts w:asciiTheme="majorHAnsi" w:hAnsiTheme="majorHAnsi"/>
          <w:sz w:val="16"/>
          <w:szCs w:val="16"/>
        </w:rPr>
        <w:t xml:space="preserve"> Podľa odvetvovej </w:t>
      </w:r>
      <w:r>
        <w:rPr>
          <w:rFonts w:asciiTheme="majorHAnsi" w:hAnsiTheme="majorHAnsi"/>
          <w:sz w:val="16"/>
          <w:szCs w:val="16"/>
        </w:rPr>
        <w:t>k</w:t>
      </w:r>
      <w:r w:rsidRPr="004B6041">
        <w:rPr>
          <w:rFonts w:asciiTheme="majorHAnsi" w:hAnsiTheme="majorHAnsi"/>
          <w:sz w:val="16"/>
          <w:szCs w:val="16"/>
        </w:rPr>
        <w:t xml:space="preserve">lasifikácie ekonomických činností, </w:t>
      </w:r>
      <w:r>
        <w:rPr>
          <w:rFonts w:asciiTheme="majorHAnsi" w:hAnsiTheme="majorHAnsi"/>
          <w:sz w:val="16"/>
          <w:szCs w:val="16"/>
        </w:rPr>
        <w:t>s</w:t>
      </w:r>
      <w:r w:rsidRPr="004B6041">
        <w:rPr>
          <w:rFonts w:asciiTheme="majorHAnsi" w:hAnsiTheme="majorHAnsi"/>
          <w:sz w:val="16"/>
          <w:szCs w:val="16"/>
        </w:rPr>
        <w:t>ekcie J</w:t>
      </w:r>
      <w:r>
        <w:rPr>
          <w:rFonts w:asciiTheme="majorHAnsi" w:hAnsiTheme="majorHAnsi"/>
          <w:sz w:val="16"/>
          <w:szCs w:val="16"/>
        </w:rPr>
        <w:t xml:space="preserve"> – Informácie a komunikácia</w:t>
      </w:r>
      <w:r w:rsidRPr="004B6041">
        <w:rPr>
          <w:rFonts w:asciiTheme="majorHAnsi" w:hAnsiTheme="majorHAnsi"/>
          <w:sz w:val="16"/>
          <w:szCs w:val="16"/>
        </w:rPr>
        <w:t xml:space="preserve">: </w:t>
      </w:r>
      <w:r w:rsidRPr="009E4F7C">
        <w:rPr>
          <w:rFonts w:asciiTheme="majorHAnsi" w:hAnsiTheme="majorHAnsi"/>
          <w:sz w:val="16"/>
          <w:szCs w:val="16"/>
        </w:rPr>
        <w:t xml:space="preserve">58 </w:t>
      </w:r>
      <w:r>
        <w:rPr>
          <w:rFonts w:asciiTheme="majorHAnsi" w:hAnsiTheme="majorHAnsi"/>
          <w:sz w:val="16"/>
          <w:szCs w:val="16"/>
        </w:rPr>
        <w:t>N</w:t>
      </w:r>
      <w:r w:rsidRPr="009E4F7C">
        <w:rPr>
          <w:rFonts w:asciiTheme="majorHAnsi" w:hAnsiTheme="majorHAnsi"/>
          <w:sz w:val="16"/>
          <w:szCs w:val="16"/>
        </w:rPr>
        <w:t xml:space="preserve">akladateľské činnosti, 59 Výroba filmov, videozáznamov </w:t>
      </w:r>
      <w:r>
        <w:rPr>
          <w:rFonts w:asciiTheme="majorHAnsi" w:hAnsiTheme="majorHAnsi"/>
          <w:sz w:val="16"/>
          <w:szCs w:val="16"/>
        </w:rPr>
        <w:t>a t</w:t>
      </w:r>
      <w:r w:rsidRPr="009E4F7C">
        <w:rPr>
          <w:rFonts w:asciiTheme="majorHAnsi" w:hAnsiTheme="majorHAnsi"/>
          <w:sz w:val="16"/>
          <w:szCs w:val="16"/>
        </w:rPr>
        <w:t>elevíznych</w:t>
      </w:r>
      <w:r>
        <w:rPr>
          <w:rFonts w:asciiTheme="majorHAnsi" w:hAnsiTheme="majorHAnsi"/>
          <w:sz w:val="16"/>
          <w:szCs w:val="16"/>
        </w:rPr>
        <w:t xml:space="preserve"> </w:t>
      </w:r>
      <w:r w:rsidRPr="009E4F7C">
        <w:rPr>
          <w:rFonts w:asciiTheme="majorHAnsi" w:hAnsiTheme="majorHAnsi"/>
          <w:sz w:val="16"/>
          <w:szCs w:val="16"/>
        </w:rPr>
        <w:t xml:space="preserve">programov, príprava </w:t>
      </w:r>
      <w:r>
        <w:rPr>
          <w:rFonts w:asciiTheme="majorHAnsi" w:hAnsiTheme="majorHAnsi"/>
          <w:sz w:val="16"/>
          <w:szCs w:val="16"/>
        </w:rPr>
        <w:t>a </w:t>
      </w:r>
      <w:r w:rsidRPr="009E4F7C">
        <w:rPr>
          <w:rFonts w:asciiTheme="majorHAnsi" w:hAnsiTheme="majorHAnsi"/>
          <w:sz w:val="16"/>
          <w:szCs w:val="16"/>
        </w:rPr>
        <w:t xml:space="preserve">zverejňovanie zvukových nahrávok, </w:t>
      </w:r>
      <w:r w:rsidRPr="00432037">
        <w:rPr>
          <w:rFonts w:asciiTheme="majorHAnsi" w:hAnsiTheme="majorHAnsi"/>
          <w:sz w:val="16"/>
          <w:szCs w:val="16"/>
        </w:rPr>
        <w:t xml:space="preserve">60 Činnosti pre rozhlasové </w:t>
      </w:r>
      <w:r>
        <w:rPr>
          <w:rFonts w:asciiTheme="majorHAnsi" w:hAnsiTheme="majorHAnsi"/>
          <w:sz w:val="16"/>
          <w:szCs w:val="16"/>
        </w:rPr>
        <w:t>a </w:t>
      </w:r>
      <w:r w:rsidRPr="00432037">
        <w:rPr>
          <w:rFonts w:asciiTheme="majorHAnsi" w:hAnsiTheme="majorHAnsi"/>
          <w:sz w:val="16"/>
          <w:szCs w:val="16"/>
        </w:rPr>
        <w:t xml:space="preserve">televízne vysielanie, 61 </w:t>
      </w:r>
      <w:r>
        <w:rPr>
          <w:rFonts w:asciiTheme="majorHAnsi" w:hAnsiTheme="majorHAnsi"/>
          <w:sz w:val="16"/>
          <w:szCs w:val="16"/>
        </w:rPr>
        <w:t>T</w:t>
      </w:r>
      <w:r w:rsidRPr="00432037">
        <w:rPr>
          <w:rFonts w:asciiTheme="majorHAnsi" w:hAnsiTheme="majorHAnsi"/>
          <w:sz w:val="16"/>
          <w:szCs w:val="16"/>
        </w:rPr>
        <w:t xml:space="preserve">elekomunikácie, 62 </w:t>
      </w:r>
      <w:r>
        <w:rPr>
          <w:rFonts w:asciiTheme="majorHAnsi" w:hAnsiTheme="majorHAnsi"/>
          <w:sz w:val="16"/>
          <w:szCs w:val="16"/>
        </w:rPr>
        <w:t>P</w:t>
      </w:r>
      <w:r w:rsidRPr="00432037">
        <w:rPr>
          <w:rFonts w:asciiTheme="majorHAnsi" w:hAnsiTheme="majorHAnsi"/>
          <w:sz w:val="16"/>
          <w:szCs w:val="16"/>
        </w:rPr>
        <w:t xml:space="preserve">očítačové programovanie, poradenstvo </w:t>
      </w:r>
      <w:r>
        <w:rPr>
          <w:rFonts w:asciiTheme="majorHAnsi" w:hAnsiTheme="majorHAnsi"/>
          <w:sz w:val="16"/>
          <w:szCs w:val="16"/>
        </w:rPr>
        <w:t>a</w:t>
      </w:r>
      <w:r w:rsidRPr="00432037">
        <w:rPr>
          <w:rFonts w:asciiTheme="majorHAnsi" w:hAnsiTheme="majorHAnsi"/>
          <w:sz w:val="16"/>
          <w:szCs w:val="16"/>
        </w:rPr>
        <w:t> </w:t>
      </w:r>
      <w:r>
        <w:rPr>
          <w:rFonts w:asciiTheme="majorHAnsi" w:hAnsiTheme="majorHAnsi"/>
          <w:sz w:val="16"/>
          <w:szCs w:val="16"/>
        </w:rPr>
        <w:t>s</w:t>
      </w:r>
      <w:r w:rsidRPr="00432037">
        <w:rPr>
          <w:rFonts w:asciiTheme="majorHAnsi" w:hAnsiTheme="majorHAnsi"/>
          <w:sz w:val="16"/>
          <w:szCs w:val="16"/>
        </w:rPr>
        <w:t xml:space="preserve">úvisiace </w:t>
      </w:r>
      <w:r>
        <w:rPr>
          <w:rFonts w:asciiTheme="majorHAnsi" w:hAnsiTheme="majorHAnsi"/>
          <w:sz w:val="16"/>
          <w:szCs w:val="16"/>
        </w:rPr>
        <w:t>s</w:t>
      </w:r>
      <w:r w:rsidRPr="00432037">
        <w:rPr>
          <w:rFonts w:asciiTheme="majorHAnsi" w:hAnsiTheme="majorHAnsi"/>
          <w:sz w:val="16"/>
          <w:szCs w:val="16"/>
        </w:rPr>
        <w:t xml:space="preserve">lužby, 63 </w:t>
      </w:r>
      <w:r>
        <w:rPr>
          <w:rFonts w:asciiTheme="majorHAnsi" w:hAnsiTheme="majorHAnsi"/>
          <w:sz w:val="16"/>
          <w:szCs w:val="16"/>
        </w:rPr>
        <w:t>I</w:t>
      </w:r>
      <w:r w:rsidRPr="00432037">
        <w:rPr>
          <w:rFonts w:asciiTheme="majorHAnsi" w:hAnsiTheme="majorHAnsi"/>
          <w:sz w:val="16"/>
          <w:szCs w:val="16"/>
        </w:rPr>
        <w:t xml:space="preserve">nformačné </w:t>
      </w:r>
      <w:r>
        <w:rPr>
          <w:rFonts w:asciiTheme="majorHAnsi" w:hAnsiTheme="majorHAnsi"/>
          <w:sz w:val="16"/>
          <w:szCs w:val="16"/>
        </w:rPr>
        <w:t>s</w:t>
      </w:r>
      <w:r w:rsidRPr="00432037">
        <w:rPr>
          <w:rFonts w:asciiTheme="majorHAnsi" w:hAnsiTheme="majorHAnsi"/>
          <w:sz w:val="16"/>
          <w:szCs w:val="16"/>
        </w:rPr>
        <w:t>lužby</w:t>
      </w:r>
    </w:p>
  </w:footnote>
  <w:footnote w:id="26">
    <w:p w:rsidR="00007508" w:rsidRDefault="00007508" w:rsidP="00B61C19">
      <w:pPr>
        <w:pStyle w:val="Textpoznmkypodiarou"/>
      </w:pPr>
      <w:r w:rsidRPr="002F1CB9">
        <w:rPr>
          <w:rStyle w:val="Odkaznapoznmkupodiarou"/>
          <w:szCs w:val="16"/>
        </w:rPr>
        <w:footnoteRef/>
      </w:r>
      <w:r w:rsidRPr="007F3341">
        <w:rPr>
          <w:szCs w:val="16"/>
        </w:rPr>
        <w:t xml:space="preserve"> </w:t>
      </w:r>
      <w:r>
        <w:rPr>
          <w:szCs w:val="16"/>
        </w:rPr>
        <w:t>Z</w:t>
      </w:r>
      <w:r w:rsidRPr="007F3341">
        <w:rPr>
          <w:szCs w:val="16"/>
        </w:rPr>
        <w:t xml:space="preserve">droj: </w:t>
      </w:r>
      <w:r w:rsidRPr="009E4F7C">
        <w:rPr>
          <w:rStyle w:val="Hypertextovprepojenie"/>
          <w:szCs w:val="16"/>
        </w:rPr>
        <w:t>http://portal.</w:t>
      </w:r>
      <w:r>
        <w:rPr>
          <w:rStyle w:val="Hypertextovprepojenie"/>
          <w:szCs w:val="16"/>
        </w:rPr>
        <w:t>s</w:t>
      </w:r>
      <w:r w:rsidRPr="009E4F7C">
        <w:rPr>
          <w:rStyle w:val="Hypertextovprepojenie"/>
          <w:szCs w:val="16"/>
        </w:rPr>
        <w:t>tatistics.</w:t>
      </w:r>
      <w:r>
        <w:rPr>
          <w:rStyle w:val="Hypertextovprepojenie"/>
          <w:szCs w:val="16"/>
        </w:rPr>
        <w:t>s</w:t>
      </w:r>
      <w:r w:rsidRPr="009E4F7C">
        <w:rPr>
          <w:rStyle w:val="Hypertextovprepojenie"/>
          <w:szCs w:val="16"/>
        </w:rPr>
        <w:t>k/</w:t>
      </w:r>
      <w:r>
        <w:rPr>
          <w:rStyle w:val="Hypertextovprepojenie"/>
          <w:szCs w:val="16"/>
        </w:rPr>
        <w:t>s</w:t>
      </w:r>
      <w:r w:rsidRPr="009E4F7C">
        <w:rPr>
          <w:rStyle w:val="Hypertextovprepojenie"/>
          <w:szCs w:val="16"/>
        </w:rPr>
        <w:t>howdoc.do?docid=5657</w:t>
      </w:r>
    </w:p>
  </w:footnote>
  <w:footnote w:id="27">
    <w:p w:rsidR="00007508" w:rsidRDefault="00007508" w:rsidP="00F85F8D">
      <w:pPr>
        <w:pStyle w:val="Textpoznmkypodiarou"/>
      </w:pPr>
      <w:r w:rsidRPr="00FF590F">
        <w:rPr>
          <w:rStyle w:val="Odkaznapoznmkupodiarou"/>
          <w:szCs w:val="16"/>
        </w:rPr>
        <w:footnoteRef/>
      </w:r>
      <w:r w:rsidRPr="004B6041">
        <w:rPr>
          <w:szCs w:val="16"/>
        </w:rPr>
        <w:t xml:space="preserve"> </w:t>
      </w:r>
      <w:r>
        <w:rPr>
          <w:szCs w:val="16"/>
        </w:rPr>
        <w:t xml:space="preserve">Zdroj: </w:t>
      </w:r>
      <w:r w:rsidRPr="004B6041">
        <w:rPr>
          <w:szCs w:val="16"/>
        </w:rPr>
        <w:t>OEC</w:t>
      </w:r>
      <w:r w:rsidRPr="00432037">
        <w:rPr>
          <w:szCs w:val="16"/>
        </w:rPr>
        <w:t xml:space="preserve">D Factbook 2011: Economic, Environmental </w:t>
      </w:r>
      <w:r>
        <w:rPr>
          <w:szCs w:val="16"/>
        </w:rPr>
        <w:t>a</w:t>
      </w:r>
      <w:r w:rsidRPr="00432037">
        <w:rPr>
          <w:szCs w:val="16"/>
        </w:rPr>
        <w:t xml:space="preserve">nd </w:t>
      </w:r>
      <w:r>
        <w:rPr>
          <w:szCs w:val="16"/>
        </w:rPr>
        <w:t>S</w:t>
      </w:r>
      <w:r w:rsidRPr="00432037">
        <w:rPr>
          <w:szCs w:val="16"/>
        </w:rPr>
        <w:t xml:space="preserve">ocial </w:t>
      </w:r>
      <w:r>
        <w:rPr>
          <w:szCs w:val="16"/>
        </w:rPr>
        <w:t>S</w:t>
      </w:r>
      <w:r w:rsidRPr="00432037">
        <w:rPr>
          <w:szCs w:val="16"/>
        </w:rPr>
        <w:t xml:space="preserve">tatistics </w:t>
      </w:r>
      <w:r>
        <w:rPr>
          <w:szCs w:val="16"/>
        </w:rPr>
        <w:t>–</w:t>
      </w:r>
      <w:r w:rsidRPr="00432037">
        <w:rPr>
          <w:szCs w:val="16"/>
        </w:rPr>
        <w:t xml:space="preserve"> ISBN</w:t>
      </w:r>
      <w:r>
        <w:rPr>
          <w:szCs w:val="16"/>
        </w:rPr>
        <w:t xml:space="preserve"> </w:t>
      </w:r>
      <w:r w:rsidRPr="00432037">
        <w:rPr>
          <w:szCs w:val="16"/>
        </w:rPr>
        <w:t xml:space="preserve">978-92-64-11150-9 </w:t>
      </w:r>
      <w:r>
        <w:rPr>
          <w:szCs w:val="16"/>
        </w:rPr>
        <w:t>–</w:t>
      </w:r>
      <w:r w:rsidRPr="00432037">
        <w:rPr>
          <w:szCs w:val="16"/>
        </w:rPr>
        <w:t xml:space="preserve"> OECD</w:t>
      </w:r>
      <w:r>
        <w:rPr>
          <w:szCs w:val="16"/>
        </w:rPr>
        <w:t xml:space="preserve"> </w:t>
      </w:r>
      <w:r w:rsidRPr="00432037">
        <w:rPr>
          <w:szCs w:val="16"/>
        </w:rPr>
        <w:t>2011</w:t>
      </w:r>
    </w:p>
  </w:footnote>
  <w:footnote w:id="28">
    <w:p w:rsidR="00007508" w:rsidRDefault="00007508" w:rsidP="00B61C19">
      <w:pPr>
        <w:spacing w:before="0" w:after="0"/>
      </w:pPr>
      <w:r w:rsidRPr="009E4F7C">
        <w:rPr>
          <w:rStyle w:val="Odkaznapoznmkupodiarou"/>
          <w:rFonts w:asciiTheme="majorHAnsi" w:hAnsiTheme="majorHAnsi"/>
          <w:sz w:val="16"/>
          <w:szCs w:val="16"/>
        </w:rPr>
        <w:footnoteRef/>
      </w:r>
      <w:r w:rsidRPr="009E4F7C">
        <w:rPr>
          <w:rFonts w:asciiTheme="majorHAnsi" w:hAnsiTheme="majorHAnsi"/>
          <w:sz w:val="16"/>
          <w:szCs w:val="16"/>
        </w:rPr>
        <w:t xml:space="preserve"> Zdroj: Online šanca pre </w:t>
      </w:r>
      <w:r>
        <w:rPr>
          <w:rFonts w:asciiTheme="majorHAnsi" w:hAnsiTheme="majorHAnsi"/>
          <w:sz w:val="16"/>
          <w:szCs w:val="16"/>
        </w:rPr>
        <w:t>S</w:t>
      </w:r>
      <w:r w:rsidRPr="009E4F7C">
        <w:rPr>
          <w:rFonts w:asciiTheme="majorHAnsi" w:hAnsiTheme="majorHAnsi"/>
          <w:sz w:val="16"/>
          <w:szCs w:val="16"/>
        </w:rPr>
        <w:t>lovensko, BCG, Google, 2012</w:t>
      </w:r>
    </w:p>
  </w:footnote>
  <w:footnote w:id="29">
    <w:p w:rsidR="00007508" w:rsidRDefault="00007508" w:rsidP="00B61C19">
      <w:pPr>
        <w:spacing w:before="0" w:after="0"/>
      </w:pPr>
      <w:r w:rsidRPr="009E4F7C">
        <w:rPr>
          <w:rStyle w:val="Odkaznapoznmkupodiarou"/>
          <w:rFonts w:asciiTheme="majorHAnsi" w:hAnsiTheme="majorHAnsi"/>
          <w:sz w:val="16"/>
          <w:szCs w:val="16"/>
        </w:rPr>
        <w:footnoteRef/>
      </w:r>
      <w:r w:rsidRPr="009E4F7C">
        <w:rPr>
          <w:rFonts w:asciiTheme="majorHAnsi" w:hAnsiTheme="majorHAnsi"/>
          <w:sz w:val="16"/>
          <w:szCs w:val="16"/>
        </w:rPr>
        <w:t xml:space="preserve"> </w:t>
      </w:r>
      <w:r>
        <w:rPr>
          <w:rFonts w:asciiTheme="majorHAnsi" w:hAnsiTheme="majorHAnsi"/>
          <w:sz w:val="16"/>
          <w:szCs w:val="16"/>
        </w:rPr>
        <w:t>Z</w:t>
      </w:r>
      <w:r w:rsidRPr="009E4F7C">
        <w:rPr>
          <w:rFonts w:asciiTheme="majorHAnsi" w:hAnsiTheme="majorHAnsi"/>
          <w:sz w:val="16"/>
          <w:szCs w:val="16"/>
        </w:rPr>
        <w:t>droj: Global Innovation Index 2012, BCG e-intenzity 2011</w:t>
      </w:r>
    </w:p>
  </w:footnote>
  <w:footnote w:id="30">
    <w:p w:rsidR="00007508" w:rsidRDefault="00007508" w:rsidP="00B61C19">
      <w:pPr>
        <w:pStyle w:val="Textpoznmkypodiarou"/>
      </w:pPr>
      <w:r w:rsidRPr="009E4F7C">
        <w:rPr>
          <w:rStyle w:val="Odkaznapoznmkupodiarou"/>
          <w:szCs w:val="16"/>
        </w:rPr>
        <w:footnoteRef/>
      </w:r>
      <w:r w:rsidRPr="009E4F7C">
        <w:rPr>
          <w:szCs w:val="16"/>
        </w:rPr>
        <w:t xml:space="preserve"> </w:t>
      </w:r>
      <w:r w:rsidRPr="00A413E4">
        <w:rPr>
          <w:rStyle w:val="Hypertextovprepojenie"/>
          <w:szCs w:val="16"/>
        </w:rPr>
        <w:t>http://ec.europa.eu/digital-agenda/en/scoreboard/slovakia</w:t>
      </w:r>
    </w:p>
  </w:footnote>
  <w:footnote w:id="31">
    <w:p w:rsidR="00007508" w:rsidRDefault="00007508" w:rsidP="00820B4C">
      <w:pPr>
        <w:pStyle w:val="Textpoznmkypodiarou"/>
      </w:pPr>
      <w:r w:rsidRPr="005810C3">
        <w:rPr>
          <w:rStyle w:val="Odkaznapoznmkupodiarou"/>
          <w:szCs w:val="16"/>
        </w:rPr>
        <w:footnoteRef/>
      </w:r>
      <w:r w:rsidRPr="005810C3">
        <w:rPr>
          <w:szCs w:val="16"/>
        </w:rPr>
        <w:t xml:space="preserve"> Záujem zamestnávateľov o</w:t>
      </w:r>
      <w:r>
        <w:rPr>
          <w:szCs w:val="16"/>
        </w:rPr>
        <w:t> a</w:t>
      </w:r>
      <w:r w:rsidRPr="005810C3">
        <w:rPr>
          <w:szCs w:val="16"/>
        </w:rPr>
        <w:t xml:space="preserve">bsolventov VŠ, </w:t>
      </w:r>
      <w:r>
        <w:rPr>
          <w:szCs w:val="16"/>
        </w:rPr>
        <w:t>A</w:t>
      </w:r>
      <w:r w:rsidRPr="005810C3">
        <w:rPr>
          <w:szCs w:val="16"/>
        </w:rPr>
        <w:t xml:space="preserve">RRA </w:t>
      </w:r>
      <w:r>
        <w:rPr>
          <w:szCs w:val="16"/>
        </w:rPr>
        <w:t>a www.pr</w:t>
      </w:r>
      <w:r w:rsidRPr="005810C3">
        <w:rPr>
          <w:szCs w:val="16"/>
        </w:rPr>
        <w:t>ofesia.</w:t>
      </w:r>
      <w:r>
        <w:rPr>
          <w:szCs w:val="16"/>
        </w:rPr>
        <w:t>s</w:t>
      </w:r>
      <w:r w:rsidRPr="005810C3">
        <w:rPr>
          <w:szCs w:val="16"/>
        </w:rPr>
        <w:t>k</w:t>
      </w:r>
    </w:p>
  </w:footnote>
  <w:footnote w:id="32">
    <w:p w:rsidR="00007508" w:rsidRDefault="00007508" w:rsidP="00212DE1">
      <w:pPr>
        <w:pStyle w:val="Textpoznmkypodiarou"/>
      </w:pPr>
      <w:r w:rsidRPr="005810C3">
        <w:rPr>
          <w:rStyle w:val="Odkaznapoznmkupodiarou"/>
          <w:szCs w:val="16"/>
        </w:rPr>
        <w:footnoteRef/>
      </w:r>
      <w:r w:rsidRPr="005810C3">
        <w:rPr>
          <w:szCs w:val="16"/>
        </w:rPr>
        <w:t xml:space="preserve"> Zákon č. 305/2013 Z. z. o e-Governmente</w:t>
      </w:r>
    </w:p>
  </w:footnote>
  <w:footnote w:id="33">
    <w:p w:rsidR="00007508" w:rsidRDefault="00007508" w:rsidP="00FA6430">
      <w:pPr>
        <w:pStyle w:val="Textpoznmkypodiarou"/>
        <w:ind w:left="170" w:hanging="170"/>
      </w:pPr>
      <w:r w:rsidRPr="005810C3">
        <w:rPr>
          <w:rStyle w:val="Odkaznapoznmkupodiarou"/>
          <w:szCs w:val="16"/>
        </w:rPr>
        <w:footnoteRef/>
      </w:r>
      <w:r w:rsidRPr="005810C3">
        <w:rPr>
          <w:szCs w:val="16"/>
        </w:rPr>
        <w:t xml:space="preserve"> </w:t>
      </w:r>
      <w:r>
        <w:rPr>
          <w:szCs w:val="16"/>
        </w:rPr>
        <w:t>P</w:t>
      </w:r>
      <w:r w:rsidRPr="005810C3">
        <w:rPr>
          <w:szCs w:val="16"/>
        </w:rPr>
        <w:t>rijatie Nariadenia o </w:t>
      </w:r>
      <w:r>
        <w:rPr>
          <w:szCs w:val="16"/>
        </w:rPr>
        <w:t>opakovanom</w:t>
      </w:r>
      <w:r w:rsidRPr="005810C3">
        <w:rPr>
          <w:szCs w:val="16"/>
        </w:rPr>
        <w:t xml:space="preserve"> použití informácií verejného sektora, spustenie sektorových politických iniciatív: Prístup k environmentálnym informáciám a nariadenie INSPIRE, akčný plán zavedenia inteligentného dopravného systému, otvorený prístup k vedeckým informáciám, politiky digitalizácie kultúrneho dedičstva; implementácia programov v oblasti výskumu, vývoja a inovácií, zameraných na použitie s</w:t>
      </w:r>
      <w:r>
        <w:rPr>
          <w:szCs w:val="16"/>
        </w:rPr>
        <w:t>emantickej</w:t>
      </w:r>
      <w:r w:rsidRPr="005810C3">
        <w:rPr>
          <w:szCs w:val="16"/>
        </w:rPr>
        <w:t xml:space="preserve"> technológie pre harmonizáciu služieb a</w:t>
      </w:r>
      <w:r>
        <w:rPr>
          <w:szCs w:val="16"/>
        </w:rPr>
        <w:t> </w:t>
      </w:r>
      <w:r w:rsidRPr="005810C3">
        <w:rPr>
          <w:szCs w:val="16"/>
        </w:rPr>
        <w:t>lepšie</w:t>
      </w:r>
      <w:r>
        <w:rPr>
          <w:szCs w:val="16"/>
        </w:rPr>
        <w:t xml:space="preserve"> </w:t>
      </w:r>
      <w:r w:rsidRPr="005810C3">
        <w:rPr>
          <w:szCs w:val="16"/>
        </w:rPr>
        <w:t>použitie dát na národnej a </w:t>
      </w:r>
      <w:r>
        <w:rPr>
          <w:szCs w:val="16"/>
        </w:rPr>
        <w:t>eur</w:t>
      </w:r>
      <w:r w:rsidRPr="005810C3">
        <w:rPr>
          <w:szCs w:val="16"/>
        </w:rPr>
        <w:t>ópskej úrovni: The Linked Open Data (LOD2), projekt OpenAIRE a v neposlednom rade aktivita ISA SEMIC.EU</w:t>
      </w:r>
    </w:p>
  </w:footnote>
  <w:footnote w:id="34">
    <w:p w:rsidR="00007508" w:rsidRPr="005810C3" w:rsidRDefault="00007508" w:rsidP="00FA6430">
      <w:pPr>
        <w:pStyle w:val="Textpoznmkypodiarou"/>
        <w:ind w:left="170" w:hanging="170"/>
        <w:rPr>
          <w:szCs w:val="16"/>
        </w:rPr>
      </w:pPr>
      <w:r w:rsidRPr="005810C3">
        <w:rPr>
          <w:rStyle w:val="Odkaznapoznmkupodiarou"/>
          <w:szCs w:val="16"/>
        </w:rPr>
        <w:footnoteRef/>
      </w:r>
      <w:r w:rsidRPr="005810C3">
        <w:rPr>
          <w:szCs w:val="16"/>
        </w:rPr>
        <w:t xml:space="preserve"> </w:t>
      </w:r>
      <w:r w:rsidRPr="006F6D43">
        <w:rPr>
          <w:szCs w:val="16"/>
        </w:rPr>
        <w:t>Smernica Európskeho parlamentu a</w:t>
      </w:r>
      <w:r>
        <w:rPr>
          <w:szCs w:val="16"/>
        </w:rPr>
        <w:t> </w:t>
      </w:r>
      <w:r w:rsidRPr="006F6D43">
        <w:rPr>
          <w:szCs w:val="16"/>
        </w:rPr>
        <w:t>Rady 2013/37/EÚ z</w:t>
      </w:r>
      <w:r>
        <w:rPr>
          <w:szCs w:val="16"/>
        </w:rPr>
        <w:t> </w:t>
      </w:r>
      <w:r w:rsidRPr="006F6D43">
        <w:rPr>
          <w:szCs w:val="16"/>
        </w:rPr>
        <w:t>26. júna 2013, ktorou sa mení smernica 2003/98/ES o</w:t>
      </w:r>
      <w:r>
        <w:rPr>
          <w:szCs w:val="16"/>
        </w:rPr>
        <w:t> </w:t>
      </w:r>
      <w:r w:rsidRPr="006F6D43">
        <w:rPr>
          <w:szCs w:val="16"/>
        </w:rPr>
        <w:t>opakovanom použití informácií verejného sektora</w:t>
      </w:r>
    </w:p>
  </w:footnote>
  <w:footnote w:id="35">
    <w:p w:rsidR="00007508" w:rsidRDefault="00007508" w:rsidP="00212DE1">
      <w:pPr>
        <w:pStyle w:val="Textpoznmkypodiarou"/>
      </w:pPr>
      <w:r w:rsidRPr="005810C3">
        <w:rPr>
          <w:rStyle w:val="Odkaznapoznmkupodiarou"/>
          <w:szCs w:val="16"/>
        </w:rPr>
        <w:footnoteRef/>
      </w:r>
      <w:r w:rsidRPr="005810C3">
        <w:rPr>
          <w:szCs w:val="16"/>
        </w:rPr>
        <w:t xml:space="preserve"> </w:t>
      </w:r>
      <w:r>
        <w:rPr>
          <w:szCs w:val="16"/>
        </w:rPr>
        <w:t xml:space="preserve">Zdroj: </w:t>
      </w:r>
      <w:r w:rsidRPr="005810C3">
        <w:rPr>
          <w:szCs w:val="16"/>
        </w:rPr>
        <w:t xml:space="preserve">Interoperability Solutions for </w:t>
      </w:r>
      <w:r>
        <w:rPr>
          <w:szCs w:val="16"/>
        </w:rPr>
        <w:t>Eur</w:t>
      </w:r>
      <w:r w:rsidRPr="005810C3">
        <w:rPr>
          <w:szCs w:val="16"/>
        </w:rPr>
        <w:t>opean Public Administrations (ISA)</w:t>
      </w:r>
    </w:p>
  </w:footnote>
  <w:footnote w:id="36">
    <w:p w:rsidR="00007508" w:rsidRDefault="00007508" w:rsidP="00FA6430">
      <w:pPr>
        <w:pStyle w:val="Textpoznmkypodiarou"/>
        <w:ind w:left="170" w:hanging="170"/>
      </w:pPr>
      <w:r>
        <w:rPr>
          <w:rStyle w:val="Odkaznapoznmkupodiarou"/>
        </w:rPr>
        <w:footnoteRef/>
      </w:r>
      <w:r>
        <w:t xml:space="preserve"> </w:t>
      </w:r>
      <w:r w:rsidRPr="00620D27">
        <w:rPr>
          <w:szCs w:val="16"/>
        </w:rPr>
        <w:t>Prijatie Nariadenia o </w:t>
      </w:r>
      <w:r>
        <w:rPr>
          <w:szCs w:val="16"/>
        </w:rPr>
        <w:t>opakovanom</w:t>
      </w:r>
      <w:r w:rsidRPr="00620D27">
        <w:rPr>
          <w:szCs w:val="16"/>
        </w:rPr>
        <w:t xml:space="preserve"> použití informácií verejného sektora, spustenie sektorových politických iniciatív: Prístup k environmentálnym informáciám a nariadenie INSPIRE, akčný plán zavedenia inteligentného dopravného systému, otvorený prístup k vedeckým informáciám, politik</w:t>
      </w:r>
      <w:r>
        <w:rPr>
          <w:szCs w:val="16"/>
        </w:rPr>
        <w:t>a</w:t>
      </w:r>
      <w:r w:rsidRPr="00620D27">
        <w:rPr>
          <w:szCs w:val="16"/>
        </w:rPr>
        <w:t xml:space="preserve"> digitalizácie kultúrneho dedičstva; implementácia programov v oblasti výskumu, vývoja a inovácií, zameraných na použitie sémantických technológie pre harmonizáciu služieb a lepšie použitie dát na národnej a európskej úrovni: The Linked Open Data (LOD2), projekt OpenAIRE a v neposlednom rade aktivita ISA SEMIC.EU</w:t>
      </w:r>
    </w:p>
  </w:footnote>
  <w:footnote w:id="37">
    <w:p w:rsidR="00007508" w:rsidRDefault="00007508" w:rsidP="00212DE1">
      <w:pPr>
        <w:spacing w:before="0" w:after="0"/>
      </w:pPr>
      <w:r w:rsidRPr="005810C3">
        <w:rPr>
          <w:rStyle w:val="Odkaznapoznmkupodiarou"/>
          <w:rFonts w:asciiTheme="majorHAnsi" w:hAnsiTheme="majorHAnsi"/>
          <w:sz w:val="16"/>
          <w:szCs w:val="16"/>
        </w:rPr>
        <w:footnoteRef/>
      </w:r>
      <w:r w:rsidRPr="005810C3">
        <w:rPr>
          <w:rFonts w:asciiTheme="majorHAnsi" w:hAnsiTheme="majorHAnsi"/>
          <w:sz w:val="16"/>
          <w:szCs w:val="16"/>
        </w:rPr>
        <w:t xml:space="preserve"> </w:t>
      </w:r>
      <w:r w:rsidRPr="00530019">
        <w:rPr>
          <w:rFonts w:asciiTheme="majorHAnsi" w:hAnsiTheme="majorHAnsi"/>
          <w:sz w:val="16"/>
          <w:szCs w:val="16"/>
        </w:rPr>
        <w:t xml:space="preserve">Zdroj: </w:t>
      </w:r>
      <w:r w:rsidRPr="005810C3">
        <w:rPr>
          <w:rFonts w:asciiTheme="majorHAnsi" w:hAnsiTheme="majorHAnsi"/>
          <w:sz w:val="16"/>
          <w:szCs w:val="16"/>
        </w:rPr>
        <w:t xml:space="preserve">The State of Open Data, </w:t>
      </w:r>
      <w:hyperlink r:id="rId9" w:history="1">
        <w:r w:rsidRPr="00215826">
          <w:rPr>
            <w:rStyle w:val="Hypertextovprepojenie"/>
            <w:rFonts w:asciiTheme="majorHAnsi" w:hAnsiTheme="majorHAnsi"/>
            <w:sz w:val="16"/>
            <w:szCs w:val="16"/>
          </w:rPr>
          <w:t>http://www2012.wwwconference.org/proceedings/nocompanion/wwwwebsci2012_braunschweig.pdf</w:t>
        </w:r>
      </w:hyperlink>
    </w:p>
  </w:footnote>
  <w:footnote w:id="38">
    <w:p w:rsidR="00007508" w:rsidRDefault="00007508" w:rsidP="00212DE1">
      <w:pPr>
        <w:spacing w:before="0" w:after="0"/>
      </w:pPr>
      <w:r w:rsidRPr="005810C3">
        <w:rPr>
          <w:rStyle w:val="Odkaznapoznmkupodiarou"/>
          <w:rFonts w:asciiTheme="majorHAnsi" w:hAnsiTheme="majorHAnsi"/>
          <w:sz w:val="16"/>
          <w:szCs w:val="16"/>
        </w:rPr>
        <w:footnoteRef/>
      </w:r>
      <w:r w:rsidRPr="005810C3">
        <w:rPr>
          <w:rFonts w:asciiTheme="majorHAnsi" w:hAnsiTheme="majorHAnsi"/>
          <w:sz w:val="16"/>
          <w:szCs w:val="16"/>
        </w:rPr>
        <w:t xml:space="preserve"> </w:t>
      </w:r>
      <w:r w:rsidRPr="00530019">
        <w:rPr>
          <w:rFonts w:asciiTheme="majorHAnsi" w:hAnsiTheme="majorHAnsi"/>
          <w:sz w:val="16"/>
          <w:szCs w:val="16"/>
        </w:rPr>
        <w:t xml:space="preserve">Zdroj: </w:t>
      </w:r>
      <w:r w:rsidRPr="005810C3">
        <w:rPr>
          <w:rFonts w:asciiTheme="majorHAnsi" w:hAnsiTheme="majorHAnsi"/>
          <w:bCs/>
          <w:sz w:val="16"/>
          <w:szCs w:val="16"/>
        </w:rPr>
        <w:t>Digit</w:t>
      </w:r>
      <w:r>
        <w:rPr>
          <w:rFonts w:asciiTheme="majorHAnsi" w:hAnsiTheme="majorHAnsi"/>
          <w:bCs/>
          <w:sz w:val="16"/>
          <w:szCs w:val="16"/>
        </w:rPr>
        <w:t>al Agenda Scoreboard 2013</w:t>
      </w:r>
    </w:p>
  </w:footnote>
  <w:footnote w:id="39">
    <w:p w:rsidR="00007508" w:rsidRDefault="00007508" w:rsidP="00212DE1">
      <w:pPr>
        <w:pStyle w:val="Textpoznmkypodiarou"/>
      </w:pPr>
      <w:r w:rsidRPr="005810C3">
        <w:rPr>
          <w:rStyle w:val="Odkaznapoznmkupodiarou"/>
          <w:szCs w:val="16"/>
        </w:rPr>
        <w:footnoteRef/>
      </w:r>
      <w:r w:rsidRPr="005810C3">
        <w:rPr>
          <w:szCs w:val="16"/>
        </w:rPr>
        <w:t xml:space="preserve"> </w:t>
      </w:r>
      <w:r w:rsidRPr="00530019">
        <w:rPr>
          <w:szCs w:val="16"/>
        </w:rPr>
        <w:t xml:space="preserve">Zdroj: </w:t>
      </w:r>
      <w:r w:rsidRPr="005810C3">
        <w:rPr>
          <w:szCs w:val="16"/>
        </w:rPr>
        <w:t>Making the Single Market deliver, Annual governance check-up 2011</w:t>
      </w:r>
    </w:p>
  </w:footnote>
  <w:footnote w:id="40">
    <w:p w:rsidR="00007508" w:rsidRDefault="00007508" w:rsidP="00212DE1">
      <w:pPr>
        <w:pStyle w:val="Textpoznmkypodiarou"/>
      </w:pPr>
      <w:r w:rsidRPr="005810C3">
        <w:rPr>
          <w:rStyle w:val="Odkaznapoznmkupodiarou"/>
          <w:szCs w:val="16"/>
        </w:rPr>
        <w:footnoteRef/>
      </w:r>
      <w:r w:rsidRPr="005810C3">
        <w:t xml:space="preserve"> </w:t>
      </w:r>
      <w:r w:rsidRPr="00530019">
        <w:t xml:space="preserve">Zdroj: </w:t>
      </w:r>
      <w:r w:rsidRPr="005810C3">
        <w:rPr>
          <w:szCs w:val="16"/>
        </w:rPr>
        <w:t xml:space="preserve">Digitizing Public Services in </w:t>
      </w:r>
      <w:r>
        <w:rPr>
          <w:szCs w:val="16"/>
        </w:rPr>
        <w:t>Eur</w:t>
      </w:r>
      <w:r w:rsidRPr="005810C3">
        <w:rPr>
          <w:szCs w:val="16"/>
        </w:rPr>
        <w:t>ope, 9th Benchmark Measurement</w:t>
      </w:r>
    </w:p>
  </w:footnote>
  <w:footnote w:id="41">
    <w:p w:rsidR="00007508" w:rsidRDefault="00007508" w:rsidP="00212DE1">
      <w:pPr>
        <w:pStyle w:val="Textpoznmkypodiarou"/>
      </w:pPr>
      <w:r w:rsidRPr="005810C3">
        <w:rPr>
          <w:rStyle w:val="Odkaznapoznmkupodiarou"/>
          <w:szCs w:val="16"/>
        </w:rPr>
        <w:footnoteRef/>
      </w:r>
      <w:r w:rsidRPr="005810C3">
        <w:rPr>
          <w:szCs w:val="16"/>
        </w:rPr>
        <w:t xml:space="preserve"> </w:t>
      </w:r>
      <w:r w:rsidRPr="00530019">
        <w:rPr>
          <w:szCs w:val="16"/>
        </w:rPr>
        <w:t xml:space="preserve">Zdroj: </w:t>
      </w:r>
      <w:r w:rsidRPr="005810C3">
        <w:rPr>
          <w:szCs w:val="16"/>
        </w:rPr>
        <w:t>United Nations eGovernment Survey 2012</w:t>
      </w:r>
    </w:p>
  </w:footnote>
  <w:footnote w:id="42">
    <w:p w:rsidR="00007508" w:rsidRDefault="00007508" w:rsidP="00212DE1">
      <w:pPr>
        <w:pStyle w:val="Textpoznmkypodiarou"/>
      </w:pPr>
      <w:r w:rsidRPr="005810C3">
        <w:rPr>
          <w:rStyle w:val="Odkaznapoznmkupodiarou"/>
          <w:szCs w:val="16"/>
        </w:rPr>
        <w:footnoteRef/>
      </w:r>
      <w:r w:rsidRPr="005810C3">
        <w:rPr>
          <w:szCs w:val="16"/>
        </w:rPr>
        <w:t xml:space="preserve"> </w:t>
      </w:r>
      <w:r>
        <w:rPr>
          <w:szCs w:val="16"/>
        </w:rPr>
        <w:t>P</w:t>
      </w:r>
      <w:r w:rsidRPr="005810C3">
        <w:rPr>
          <w:szCs w:val="16"/>
        </w:rPr>
        <w:t xml:space="preserve">odľa údajov MF SR Výdavky štátnej správy na IKT boli v roku 2009 : 251,6 mil. </w:t>
      </w:r>
      <w:r>
        <w:rPr>
          <w:szCs w:val="16"/>
        </w:rPr>
        <w:t>EUR</w:t>
      </w:r>
      <w:r w:rsidRPr="005810C3">
        <w:rPr>
          <w:szCs w:val="16"/>
        </w:rPr>
        <w:t xml:space="preserve">; 2010: 336,8 mil. </w:t>
      </w:r>
      <w:r>
        <w:rPr>
          <w:szCs w:val="16"/>
        </w:rPr>
        <w:t>EUR</w:t>
      </w:r>
      <w:r w:rsidRPr="005810C3">
        <w:rPr>
          <w:szCs w:val="16"/>
        </w:rPr>
        <w:t xml:space="preserve">; 2011: 327,2 mil. </w:t>
      </w:r>
      <w:r>
        <w:rPr>
          <w:szCs w:val="16"/>
        </w:rPr>
        <w:t>EUR</w:t>
      </w:r>
    </w:p>
  </w:footnote>
  <w:footnote w:id="43">
    <w:p w:rsidR="00007508" w:rsidRDefault="00007508" w:rsidP="00212DE1">
      <w:pPr>
        <w:pStyle w:val="Textpoznmkypodiarou"/>
      </w:pPr>
      <w:r w:rsidRPr="005810C3">
        <w:rPr>
          <w:rStyle w:val="Odkaznapoznmkupodiarou"/>
          <w:szCs w:val="16"/>
        </w:rPr>
        <w:footnoteRef/>
      </w:r>
      <w:r w:rsidRPr="005810C3">
        <w:t xml:space="preserve"> </w:t>
      </w:r>
      <w:r w:rsidRPr="005810C3">
        <w:rPr>
          <w:szCs w:val="16"/>
        </w:rPr>
        <w:t>Ako príklad je možné spomenúť projekt dátového centra obcí a</w:t>
      </w:r>
      <w:r>
        <w:rPr>
          <w:szCs w:val="16"/>
        </w:rPr>
        <w:t> </w:t>
      </w:r>
      <w:r w:rsidRPr="005810C3">
        <w:rPr>
          <w:szCs w:val="16"/>
        </w:rPr>
        <w:t>miest</w:t>
      </w:r>
      <w:r>
        <w:rPr>
          <w:szCs w:val="16"/>
        </w:rPr>
        <w:t xml:space="preserve"> </w:t>
      </w:r>
      <w:r w:rsidRPr="005810C3">
        <w:rPr>
          <w:szCs w:val="16"/>
        </w:rPr>
        <w:t>(DCOM) alebo DataCentrum Ministerstva financií SR</w:t>
      </w:r>
    </w:p>
  </w:footnote>
  <w:footnote w:id="44">
    <w:p w:rsidR="00007508" w:rsidRDefault="00007508" w:rsidP="00FA6430">
      <w:pPr>
        <w:pStyle w:val="Textpoznmkypodiarou"/>
        <w:ind w:left="170" w:hanging="170"/>
      </w:pPr>
      <w:r w:rsidRPr="005810C3">
        <w:rPr>
          <w:rStyle w:val="Odkaznapoznmkupodiarou"/>
          <w:szCs w:val="16"/>
        </w:rPr>
        <w:footnoteRef/>
      </w:r>
      <w:r w:rsidRPr="005810C3">
        <w:rPr>
          <w:szCs w:val="16"/>
        </w:rPr>
        <w:t xml:space="preserve"> xDSL, FTTX, fixný bezdrôtový širokopásmový prístup, širokopásmový prístup cez </w:t>
      </w:r>
      <w:r>
        <w:rPr>
          <w:szCs w:val="16"/>
        </w:rPr>
        <w:t>k</w:t>
      </w:r>
      <w:r w:rsidRPr="005810C3">
        <w:rPr>
          <w:szCs w:val="16"/>
        </w:rPr>
        <w:t xml:space="preserve">oaxiálnu </w:t>
      </w:r>
      <w:r>
        <w:rPr>
          <w:szCs w:val="16"/>
        </w:rPr>
        <w:t>k</w:t>
      </w:r>
      <w:r w:rsidRPr="005810C3">
        <w:rPr>
          <w:szCs w:val="16"/>
        </w:rPr>
        <w:t xml:space="preserve">áblovú </w:t>
      </w:r>
      <w:r>
        <w:rPr>
          <w:szCs w:val="16"/>
        </w:rPr>
        <w:t>s</w:t>
      </w:r>
      <w:r w:rsidRPr="005810C3">
        <w:rPr>
          <w:szCs w:val="16"/>
        </w:rPr>
        <w:t xml:space="preserve">ieť, mobilný širokopásmový prístup, prístup prostredníctvom prenajatých okruhov, PLC, </w:t>
      </w:r>
      <w:r>
        <w:rPr>
          <w:szCs w:val="16"/>
        </w:rPr>
        <w:t>s</w:t>
      </w:r>
      <w:r w:rsidRPr="005810C3">
        <w:rPr>
          <w:szCs w:val="16"/>
        </w:rPr>
        <w:t>atelit</w:t>
      </w:r>
    </w:p>
  </w:footnote>
  <w:footnote w:id="45">
    <w:p w:rsidR="00007508" w:rsidRDefault="00007508" w:rsidP="00481332">
      <w:pPr>
        <w:pStyle w:val="Textpoznmkypodiarou"/>
      </w:pPr>
      <w:r w:rsidRPr="005810C3">
        <w:rPr>
          <w:rStyle w:val="Odkaznapoznmkupodiarou"/>
          <w:szCs w:val="16"/>
        </w:rPr>
        <w:footnoteRef/>
      </w:r>
      <w:r w:rsidRPr="005810C3">
        <w:rPr>
          <w:szCs w:val="16"/>
        </w:rPr>
        <w:t xml:space="preserve"> </w:t>
      </w:r>
      <w:r>
        <w:rPr>
          <w:szCs w:val="16"/>
        </w:rPr>
        <w:t>A</w:t>
      </w:r>
      <w:r w:rsidRPr="005810C3">
        <w:rPr>
          <w:szCs w:val="16"/>
        </w:rPr>
        <w:t xml:space="preserve">NALÝZA veľkoobchodného relevantného trhu č. 5, Telekomunikačný úrad </w:t>
      </w:r>
      <w:r>
        <w:rPr>
          <w:szCs w:val="16"/>
        </w:rPr>
        <w:t>S</w:t>
      </w:r>
      <w:r w:rsidRPr="005810C3">
        <w:rPr>
          <w:szCs w:val="16"/>
        </w:rPr>
        <w:t>lovenskej republiky, 2012</w:t>
      </w:r>
    </w:p>
  </w:footnote>
  <w:footnote w:id="46">
    <w:p w:rsidR="00007508" w:rsidRDefault="00007508" w:rsidP="00481332">
      <w:pPr>
        <w:pStyle w:val="Textpoznmkypodiarou"/>
      </w:pPr>
      <w:r w:rsidRPr="005810C3">
        <w:rPr>
          <w:rStyle w:val="Odkaznapoznmkupodiarou"/>
          <w:szCs w:val="16"/>
        </w:rPr>
        <w:footnoteRef/>
      </w:r>
      <w:r w:rsidRPr="005810C3">
        <w:rPr>
          <w:szCs w:val="16"/>
        </w:rPr>
        <w:t xml:space="preserve"> </w:t>
      </w:r>
      <w:r>
        <w:rPr>
          <w:szCs w:val="16"/>
        </w:rPr>
        <w:t>R</w:t>
      </w:r>
      <w:r w:rsidRPr="005810C3">
        <w:rPr>
          <w:szCs w:val="16"/>
        </w:rPr>
        <w:t xml:space="preserve">ozhodnutie Telekomunikačného úradu </w:t>
      </w:r>
      <w:r>
        <w:rPr>
          <w:szCs w:val="16"/>
        </w:rPr>
        <w:t>S</w:t>
      </w:r>
      <w:r w:rsidRPr="005810C3">
        <w:rPr>
          <w:szCs w:val="16"/>
        </w:rPr>
        <w:t>R č. 146/OER/2013 z 28. 2. 2013</w:t>
      </w:r>
    </w:p>
  </w:footnote>
  <w:footnote w:id="47">
    <w:p w:rsidR="00007508" w:rsidRDefault="00007508" w:rsidP="003C6EBF">
      <w:pPr>
        <w:pStyle w:val="Textpoznmkypodiarou"/>
      </w:pPr>
      <w:r w:rsidRPr="005810C3">
        <w:rPr>
          <w:rStyle w:val="Odkaznapoznmkupodiarou"/>
          <w:szCs w:val="16"/>
        </w:rPr>
        <w:footnoteRef/>
      </w:r>
      <w:r w:rsidRPr="005810C3">
        <w:rPr>
          <w:szCs w:val="16"/>
        </w:rPr>
        <w:t xml:space="preserve"> Zdroj: Online šanca pre </w:t>
      </w:r>
      <w:r>
        <w:rPr>
          <w:szCs w:val="16"/>
        </w:rPr>
        <w:t>S</w:t>
      </w:r>
      <w:r w:rsidRPr="005810C3">
        <w:rPr>
          <w:szCs w:val="16"/>
        </w:rPr>
        <w:t>lovensko, BCG, Google, 2012</w:t>
      </w:r>
    </w:p>
  </w:footnote>
  <w:footnote w:id="48">
    <w:p w:rsidR="00007508" w:rsidRDefault="00007508" w:rsidP="00AF6A1E">
      <w:pPr>
        <w:pStyle w:val="Textpoznmkypodiarou"/>
      </w:pPr>
      <w:r w:rsidRPr="005810C3">
        <w:rPr>
          <w:rStyle w:val="Odkaznapoznmkupodiarou"/>
          <w:szCs w:val="16"/>
        </w:rPr>
        <w:footnoteRef/>
      </w:r>
      <w:r w:rsidRPr="005810C3">
        <w:rPr>
          <w:szCs w:val="16"/>
        </w:rPr>
        <w:t xml:space="preserve"> Competitiveness </w:t>
      </w:r>
      <w:r>
        <w:rPr>
          <w:szCs w:val="16"/>
        </w:rPr>
        <w:t>a</w:t>
      </w:r>
      <w:r w:rsidRPr="005810C3">
        <w:rPr>
          <w:szCs w:val="16"/>
        </w:rPr>
        <w:t xml:space="preserve">nd External Imbalances Within the </w:t>
      </w:r>
      <w:r>
        <w:rPr>
          <w:szCs w:val="16"/>
        </w:rPr>
        <w:t>Eur</w:t>
      </w:r>
      <w:r w:rsidRPr="005810C3">
        <w:rPr>
          <w:szCs w:val="16"/>
        </w:rPr>
        <w:t xml:space="preserve">o </w:t>
      </w:r>
      <w:r>
        <w:rPr>
          <w:szCs w:val="16"/>
        </w:rPr>
        <w:t>A</w:t>
      </w:r>
      <w:r w:rsidRPr="005810C3">
        <w:rPr>
          <w:szCs w:val="16"/>
        </w:rPr>
        <w:t xml:space="preserve">rea“ (Occasional Paper </w:t>
      </w:r>
      <w:r>
        <w:rPr>
          <w:szCs w:val="16"/>
        </w:rPr>
        <w:t>S</w:t>
      </w:r>
      <w:r w:rsidRPr="005810C3">
        <w:rPr>
          <w:szCs w:val="16"/>
        </w:rPr>
        <w:t>eries, No. 139, december 2012, ECB)</w:t>
      </w:r>
    </w:p>
  </w:footnote>
  <w:footnote w:id="49">
    <w:p w:rsidR="00007508" w:rsidRDefault="00007508" w:rsidP="00FA6430">
      <w:pPr>
        <w:pStyle w:val="Textpoznmkypodiarou"/>
        <w:ind w:left="170" w:hanging="170"/>
      </w:pPr>
      <w:r w:rsidRPr="005810C3">
        <w:rPr>
          <w:rStyle w:val="Odkaznapoznmkupodiarou"/>
          <w:szCs w:val="16"/>
        </w:rPr>
        <w:footnoteRef/>
      </w:r>
      <w:r w:rsidRPr="005810C3">
        <w:rPr>
          <w:rStyle w:val="Odkaznapoznmkupodiarou"/>
          <w:szCs w:val="16"/>
        </w:rPr>
        <w:t xml:space="preserve"> </w:t>
      </w:r>
      <w:r w:rsidRPr="005810C3">
        <w:rPr>
          <w:szCs w:val="16"/>
        </w:rPr>
        <w:t xml:space="preserve">Priemerný zisk MSP medzi rokmi 2008 </w:t>
      </w:r>
      <w:r>
        <w:rPr>
          <w:szCs w:val="16"/>
        </w:rPr>
        <w:t>a</w:t>
      </w:r>
      <w:r w:rsidRPr="005810C3">
        <w:rPr>
          <w:szCs w:val="16"/>
        </w:rPr>
        <w:t xml:space="preserve"> 2011 poklesol takmer o 1/3. Celkovo len 56 % MSP (právnické osoby) dosahuje </w:t>
      </w:r>
      <w:r>
        <w:rPr>
          <w:szCs w:val="16"/>
        </w:rPr>
        <w:t>k</w:t>
      </w:r>
      <w:r w:rsidRPr="005810C3">
        <w:rPr>
          <w:szCs w:val="16"/>
        </w:rPr>
        <w:t xml:space="preserve">ladný hospodársky výsledok, pričom v </w:t>
      </w:r>
      <w:r>
        <w:rPr>
          <w:szCs w:val="16"/>
        </w:rPr>
        <w:t>k</w:t>
      </w:r>
      <w:r w:rsidRPr="005810C3">
        <w:rPr>
          <w:szCs w:val="16"/>
        </w:rPr>
        <w:t>ategórii mikropodnikov je to ešte menej</w:t>
      </w:r>
    </w:p>
  </w:footnote>
  <w:footnote w:id="50">
    <w:p w:rsidR="00007508" w:rsidRDefault="00007508" w:rsidP="00D05829">
      <w:pPr>
        <w:pStyle w:val="Textpoznmkypodiarou"/>
      </w:pPr>
      <w:r w:rsidRPr="005810C3">
        <w:rPr>
          <w:rStyle w:val="Odkaznapoznmkupodiarou"/>
          <w:szCs w:val="16"/>
        </w:rPr>
        <w:footnoteRef/>
      </w:r>
      <w:r w:rsidRPr="005810C3">
        <w:rPr>
          <w:szCs w:val="16"/>
        </w:rPr>
        <w:t xml:space="preserve"> </w:t>
      </w:r>
      <w:r>
        <w:rPr>
          <w:szCs w:val="16"/>
        </w:rPr>
        <w:t>V</w:t>
      </w:r>
      <w:r w:rsidRPr="005810C3">
        <w:rPr>
          <w:szCs w:val="16"/>
        </w:rPr>
        <w:t xml:space="preserve">yjadruje podiel obežných </w:t>
      </w:r>
      <w:r>
        <w:rPr>
          <w:szCs w:val="16"/>
        </w:rPr>
        <w:t>ak</w:t>
      </w:r>
      <w:r w:rsidRPr="005810C3">
        <w:rPr>
          <w:szCs w:val="16"/>
        </w:rPr>
        <w:t xml:space="preserve">tív bez zásob </w:t>
      </w:r>
      <w:r>
        <w:rPr>
          <w:szCs w:val="16"/>
        </w:rPr>
        <w:t>k</w:t>
      </w:r>
      <w:r w:rsidRPr="005810C3">
        <w:rPr>
          <w:szCs w:val="16"/>
        </w:rPr>
        <w:t xml:space="preserve"> celkovým </w:t>
      </w:r>
      <w:r>
        <w:rPr>
          <w:szCs w:val="16"/>
        </w:rPr>
        <w:t>k</w:t>
      </w:r>
      <w:r w:rsidRPr="005810C3">
        <w:rPr>
          <w:szCs w:val="16"/>
        </w:rPr>
        <w:t>rátkodobým záväzkom</w:t>
      </w:r>
    </w:p>
  </w:footnote>
  <w:footnote w:id="51">
    <w:p w:rsidR="00007508" w:rsidRDefault="00007508" w:rsidP="00D05829">
      <w:pPr>
        <w:pStyle w:val="Textpoznmkypodiarou"/>
      </w:pPr>
      <w:r w:rsidRPr="005810C3">
        <w:rPr>
          <w:rStyle w:val="Odkaznapoznmkupodiarou"/>
          <w:szCs w:val="16"/>
        </w:rPr>
        <w:footnoteRef/>
      </w:r>
      <w:r w:rsidRPr="005810C3">
        <w:rPr>
          <w:szCs w:val="16"/>
        </w:rPr>
        <w:t xml:space="preserve"> </w:t>
      </w:r>
      <w:r>
        <w:rPr>
          <w:szCs w:val="16"/>
        </w:rPr>
        <w:t>P</w:t>
      </w:r>
      <w:r w:rsidRPr="005810C3">
        <w:rPr>
          <w:szCs w:val="16"/>
        </w:rPr>
        <w:t>osledné dostupné údaje</w:t>
      </w:r>
    </w:p>
  </w:footnote>
  <w:footnote w:id="52">
    <w:p w:rsidR="00007508" w:rsidRDefault="00007508" w:rsidP="00FA6430">
      <w:pPr>
        <w:pStyle w:val="Textpoznmkypodiarou"/>
        <w:ind w:left="170" w:hanging="170"/>
      </w:pPr>
      <w:r w:rsidRPr="005810C3">
        <w:rPr>
          <w:rStyle w:val="Odkaznapoznmkupodiarou"/>
          <w:szCs w:val="16"/>
        </w:rPr>
        <w:footnoteRef/>
      </w:r>
      <w:r w:rsidRPr="005810C3">
        <w:rPr>
          <w:szCs w:val="16"/>
        </w:rPr>
        <w:t xml:space="preserve"> </w:t>
      </w:r>
      <w:r>
        <w:rPr>
          <w:szCs w:val="16"/>
        </w:rPr>
        <w:t>A</w:t>
      </w:r>
      <w:r w:rsidRPr="005810C3">
        <w:rPr>
          <w:szCs w:val="16"/>
        </w:rPr>
        <w:t xml:space="preserve">nalýzy </w:t>
      </w:r>
      <w:r w:rsidRPr="005810C3">
        <w:t xml:space="preserve">realizované v období január </w:t>
      </w:r>
      <w:r>
        <w:t>2013 –</w:t>
      </w:r>
      <w:r w:rsidRPr="005810C3">
        <w:t xml:space="preserve"> február</w:t>
      </w:r>
      <w:r>
        <w:t xml:space="preserve"> </w:t>
      </w:r>
      <w:r w:rsidRPr="005810C3">
        <w:t xml:space="preserve">2013 identifikovali </w:t>
      </w:r>
      <w:r>
        <w:t>ak</w:t>
      </w:r>
      <w:r w:rsidRPr="005810C3">
        <w:t xml:space="preserve">o najväčšie bariéry rozvoja MSP vo väzbe na zavádzanie inovácií: nízka </w:t>
      </w:r>
      <w:r>
        <w:t>k</w:t>
      </w:r>
      <w:r w:rsidRPr="005810C3">
        <w:t xml:space="preserve">apitalizácia MSP, vysoká zadlženosť, oneskorené platby </w:t>
      </w:r>
      <w:r>
        <w:t>–</w:t>
      </w:r>
      <w:r w:rsidRPr="005810C3">
        <w:t xml:space="preserve"> druhotná</w:t>
      </w:r>
      <w:r>
        <w:t xml:space="preserve"> </w:t>
      </w:r>
      <w:r w:rsidRPr="005810C3">
        <w:t xml:space="preserve">platobná neschopnosť, nedostatok finančných zdrojov pre rozvoj/ expanziu podnikateľských </w:t>
      </w:r>
      <w:r>
        <w:t>ak</w:t>
      </w:r>
      <w:r w:rsidRPr="005810C3">
        <w:t xml:space="preserve">tivít, príliš vysoké náklady na zavádzanie inovácií, rozvoj zručností </w:t>
      </w:r>
      <w:r>
        <w:t>a</w:t>
      </w:r>
      <w:r w:rsidRPr="005810C3">
        <w:t xml:space="preserve"> zvyšovanie pridanej hodnoty, chýbajúce </w:t>
      </w:r>
      <w:r>
        <w:t>s</w:t>
      </w:r>
      <w:r w:rsidRPr="005810C3">
        <w:t xml:space="preserve">ystémové nástroje na prenos </w:t>
      </w:r>
      <w:r>
        <w:t>k</w:t>
      </w:r>
      <w:r w:rsidRPr="005810C3">
        <w:t xml:space="preserve">now-how medzi veľkými medzinárodnými podnikmi </w:t>
      </w:r>
      <w:r>
        <w:t>a</w:t>
      </w:r>
      <w:r w:rsidRPr="005810C3">
        <w:t xml:space="preserve"> ich domácimi dodávateľmi, vysoká </w:t>
      </w:r>
      <w:r>
        <w:t>a</w:t>
      </w:r>
      <w:r w:rsidRPr="005810C3">
        <w:t xml:space="preserve">dministratívna záťaž podnikania, nedostatok poradenstva pre začínajúcich podnikateľov, nedostatočná podpora </w:t>
      </w:r>
      <w:r>
        <w:t>a </w:t>
      </w:r>
      <w:r w:rsidRPr="005810C3">
        <w:t xml:space="preserve">propagácia podnikania na školách, nedostatočná podpora verejných programov, chýbajúce motivácie pre zavádzanie opatrení energetickej efektívnosti </w:t>
      </w:r>
      <w:r>
        <w:t>a </w:t>
      </w:r>
      <w:r w:rsidRPr="005810C3">
        <w:t xml:space="preserve">eko-inovácií, chýbajúca </w:t>
      </w:r>
      <w:r>
        <w:t>s</w:t>
      </w:r>
      <w:r w:rsidRPr="005810C3">
        <w:t>ystémová podpora pre internacionalizáciu MSP</w:t>
      </w:r>
    </w:p>
  </w:footnote>
  <w:footnote w:id="53">
    <w:p w:rsidR="00007508" w:rsidRDefault="00007508" w:rsidP="00D05829">
      <w:pPr>
        <w:pStyle w:val="Textpoznmkypodiarou"/>
      </w:pPr>
      <w:r w:rsidRPr="005810C3">
        <w:rPr>
          <w:rStyle w:val="Odkaznapoznmkupodiarou"/>
          <w:szCs w:val="16"/>
        </w:rPr>
        <w:footnoteRef/>
      </w:r>
      <w:r w:rsidRPr="005810C3">
        <w:rPr>
          <w:szCs w:val="16"/>
        </w:rPr>
        <w:t xml:space="preserve"> </w:t>
      </w:r>
      <w:r>
        <w:rPr>
          <w:szCs w:val="16"/>
        </w:rPr>
        <w:t xml:space="preserve">Zdroj: </w:t>
      </w:r>
      <w:r w:rsidRPr="005810C3">
        <w:rPr>
          <w:szCs w:val="16"/>
        </w:rPr>
        <w:t>Global Entrepren</w:t>
      </w:r>
      <w:r>
        <w:rPr>
          <w:szCs w:val="16"/>
        </w:rPr>
        <w:t>Eur</w:t>
      </w:r>
      <w:r w:rsidRPr="005810C3">
        <w:rPr>
          <w:szCs w:val="16"/>
        </w:rPr>
        <w:t xml:space="preserve">ship Monitor (GEM) 2012, realizovaný v období júl </w:t>
      </w:r>
      <w:r>
        <w:rPr>
          <w:szCs w:val="16"/>
        </w:rPr>
        <w:t>–</w:t>
      </w:r>
      <w:r w:rsidRPr="005810C3">
        <w:rPr>
          <w:szCs w:val="16"/>
        </w:rPr>
        <w:t xml:space="preserve"> </w:t>
      </w:r>
      <w:r>
        <w:rPr>
          <w:szCs w:val="16"/>
        </w:rPr>
        <w:t>a</w:t>
      </w:r>
      <w:r w:rsidRPr="005810C3">
        <w:rPr>
          <w:szCs w:val="16"/>
        </w:rPr>
        <w:t>ugust</w:t>
      </w:r>
      <w:r>
        <w:rPr>
          <w:szCs w:val="16"/>
        </w:rPr>
        <w:t xml:space="preserve"> </w:t>
      </w:r>
      <w:r w:rsidRPr="005810C3">
        <w:rPr>
          <w:szCs w:val="16"/>
        </w:rPr>
        <w:t>2012</w:t>
      </w:r>
    </w:p>
  </w:footnote>
  <w:footnote w:id="54">
    <w:p w:rsidR="00007508" w:rsidRDefault="00007508" w:rsidP="00FA6430">
      <w:pPr>
        <w:pStyle w:val="Textpoznmkypodiarou"/>
        <w:ind w:left="170" w:hanging="170"/>
      </w:pPr>
      <w:r w:rsidRPr="005810C3">
        <w:rPr>
          <w:rStyle w:val="Odkaznapoznmkupodiarou"/>
          <w:szCs w:val="16"/>
        </w:rPr>
        <w:footnoteRef/>
      </w:r>
      <w:r w:rsidRPr="005810C3">
        <w:rPr>
          <w:szCs w:val="16"/>
        </w:rPr>
        <w:t xml:space="preserve"> Podľa údajov </w:t>
      </w:r>
      <w:r>
        <w:rPr>
          <w:szCs w:val="16"/>
        </w:rPr>
        <w:t>Eur</w:t>
      </w:r>
      <w:r w:rsidRPr="005810C3">
        <w:rPr>
          <w:szCs w:val="16"/>
        </w:rPr>
        <w:t xml:space="preserve">ostatu po prvom roku od </w:t>
      </w:r>
      <w:r>
        <w:rPr>
          <w:szCs w:val="16"/>
        </w:rPr>
        <w:t>s</w:t>
      </w:r>
      <w:r w:rsidRPr="005810C3">
        <w:rPr>
          <w:szCs w:val="16"/>
        </w:rPr>
        <w:t xml:space="preserve">vojho vzniku je </w:t>
      </w:r>
      <w:r>
        <w:rPr>
          <w:szCs w:val="16"/>
        </w:rPr>
        <w:t>ak</w:t>
      </w:r>
      <w:r w:rsidRPr="005810C3">
        <w:rPr>
          <w:szCs w:val="16"/>
        </w:rPr>
        <w:t xml:space="preserve">tívnych 74,9 % </w:t>
      </w:r>
      <w:r>
        <w:rPr>
          <w:szCs w:val="16"/>
        </w:rPr>
        <w:t>s</w:t>
      </w:r>
      <w:r w:rsidRPr="005810C3">
        <w:rPr>
          <w:szCs w:val="16"/>
        </w:rPr>
        <w:t xml:space="preserve">ubjektov. Po piatom roku od </w:t>
      </w:r>
      <w:r>
        <w:rPr>
          <w:szCs w:val="16"/>
        </w:rPr>
        <w:t>s</w:t>
      </w:r>
      <w:r w:rsidRPr="005810C3">
        <w:rPr>
          <w:szCs w:val="16"/>
        </w:rPr>
        <w:t xml:space="preserve">vojho vzniku je na </w:t>
      </w:r>
      <w:r>
        <w:rPr>
          <w:szCs w:val="16"/>
        </w:rPr>
        <w:t>S</w:t>
      </w:r>
      <w:r w:rsidRPr="005810C3">
        <w:rPr>
          <w:szCs w:val="16"/>
        </w:rPr>
        <w:t xml:space="preserve">lovensku </w:t>
      </w:r>
      <w:r>
        <w:rPr>
          <w:szCs w:val="16"/>
        </w:rPr>
        <w:t>ak</w:t>
      </w:r>
      <w:r w:rsidRPr="005810C3">
        <w:rPr>
          <w:szCs w:val="16"/>
        </w:rPr>
        <w:t xml:space="preserve">tívnych len 44,4 % </w:t>
      </w:r>
      <w:r>
        <w:rPr>
          <w:szCs w:val="16"/>
        </w:rPr>
        <w:t>s</w:t>
      </w:r>
      <w:r w:rsidRPr="005810C3">
        <w:rPr>
          <w:szCs w:val="16"/>
        </w:rPr>
        <w:t xml:space="preserve">ubjektov, pričom priemer EÚ je viac </w:t>
      </w:r>
      <w:r>
        <w:rPr>
          <w:szCs w:val="16"/>
        </w:rPr>
        <w:t>ak</w:t>
      </w:r>
      <w:r w:rsidRPr="005810C3">
        <w:rPr>
          <w:szCs w:val="16"/>
        </w:rPr>
        <w:t>o 50</w:t>
      </w:r>
      <w:r>
        <w:rPr>
          <w:szCs w:val="16"/>
        </w:rPr>
        <w:t xml:space="preserve"> </w:t>
      </w:r>
      <w:r w:rsidRPr="005810C3">
        <w:rPr>
          <w:szCs w:val="16"/>
        </w:rPr>
        <w:t>%</w:t>
      </w:r>
    </w:p>
  </w:footnote>
  <w:footnote w:id="55">
    <w:p w:rsidR="00007508" w:rsidRDefault="00007508">
      <w:pPr>
        <w:pStyle w:val="Textpoznmkypodiarou"/>
      </w:pPr>
      <w:r>
        <w:rPr>
          <w:rStyle w:val="Odkaznapoznmkupodiarou"/>
        </w:rPr>
        <w:footnoteRef/>
      </w:r>
      <w:r>
        <w:t xml:space="preserve"> </w:t>
      </w:r>
      <w:r w:rsidRPr="001E67EA">
        <w:t>Hodnotenie uplatňovania princípov SBA z januára 2013 a februára 2013</w:t>
      </w:r>
    </w:p>
  </w:footnote>
  <w:footnote w:id="56">
    <w:p w:rsidR="00007508" w:rsidRDefault="00007508" w:rsidP="00015657">
      <w:pPr>
        <w:pStyle w:val="Textpoznmkypodiarou"/>
      </w:pPr>
      <w:r w:rsidRPr="009E4A61">
        <w:rPr>
          <w:rStyle w:val="Odkaznapoznmkupodiarou"/>
          <w:sz w:val="18"/>
          <w:szCs w:val="18"/>
        </w:rPr>
        <w:footnoteRef/>
      </w:r>
      <w:r w:rsidRPr="009E4A61">
        <w:rPr>
          <w:rStyle w:val="Odkaznapoznmkupodiarou"/>
          <w:sz w:val="18"/>
          <w:szCs w:val="18"/>
        </w:rPr>
        <w:t xml:space="preserve"> </w:t>
      </w:r>
      <w:r w:rsidRPr="005810C3">
        <w:rPr>
          <w:szCs w:val="16"/>
        </w:rPr>
        <w:t xml:space="preserve">Zdroj: Postavenie malých </w:t>
      </w:r>
      <w:r>
        <w:rPr>
          <w:szCs w:val="16"/>
        </w:rPr>
        <w:t>a s</w:t>
      </w:r>
      <w:r w:rsidRPr="005810C3">
        <w:rPr>
          <w:szCs w:val="16"/>
        </w:rPr>
        <w:t xml:space="preserve">tredných podnikov v zahraničnom obchode </w:t>
      </w:r>
      <w:r>
        <w:rPr>
          <w:szCs w:val="16"/>
        </w:rPr>
        <w:t>S</w:t>
      </w:r>
      <w:r w:rsidRPr="005810C3">
        <w:rPr>
          <w:szCs w:val="16"/>
        </w:rPr>
        <w:t>R v roku 2011, NARMSP</w:t>
      </w:r>
    </w:p>
  </w:footnote>
  <w:footnote w:id="57">
    <w:p w:rsidR="00007508" w:rsidRDefault="00007508" w:rsidP="001D30D0">
      <w:pPr>
        <w:pStyle w:val="Textpoznmkypodiarou"/>
      </w:pPr>
      <w:r w:rsidRPr="009E4A61">
        <w:rPr>
          <w:rStyle w:val="Odkaznapoznmkupodiarou"/>
          <w:sz w:val="18"/>
          <w:szCs w:val="18"/>
        </w:rPr>
        <w:footnoteRef/>
      </w:r>
      <w:r w:rsidRPr="009E4A61">
        <w:rPr>
          <w:rStyle w:val="Odkaznapoznmkupodiarou"/>
          <w:sz w:val="18"/>
          <w:szCs w:val="18"/>
        </w:rPr>
        <w:t xml:space="preserve"> </w:t>
      </w:r>
      <w:r w:rsidRPr="005810C3">
        <w:rPr>
          <w:szCs w:val="16"/>
        </w:rPr>
        <w:t xml:space="preserve">Register organizácií Štatistického úradu </w:t>
      </w:r>
      <w:r>
        <w:rPr>
          <w:szCs w:val="16"/>
        </w:rPr>
        <w:t>S</w:t>
      </w:r>
      <w:r w:rsidRPr="005810C3">
        <w:rPr>
          <w:szCs w:val="16"/>
        </w:rPr>
        <w:t xml:space="preserve">R, </w:t>
      </w:r>
      <w:r>
        <w:rPr>
          <w:szCs w:val="16"/>
        </w:rPr>
        <w:t>s</w:t>
      </w:r>
      <w:r w:rsidRPr="005810C3">
        <w:rPr>
          <w:szCs w:val="16"/>
        </w:rPr>
        <w:t xml:space="preserve">tav </w:t>
      </w:r>
      <w:r>
        <w:rPr>
          <w:szCs w:val="16"/>
        </w:rPr>
        <w:t>k </w:t>
      </w:r>
      <w:r w:rsidRPr="005810C3">
        <w:rPr>
          <w:szCs w:val="16"/>
        </w:rPr>
        <w:t>30. 9. 2013</w:t>
      </w:r>
    </w:p>
  </w:footnote>
  <w:footnote w:id="58">
    <w:p w:rsidR="00007508" w:rsidRDefault="00007508" w:rsidP="00492F4C">
      <w:pPr>
        <w:pStyle w:val="Textpoznmkypodiarou"/>
      </w:pPr>
      <w:r w:rsidRPr="005810C3">
        <w:rPr>
          <w:rStyle w:val="Odkaznapoznmkupodiarou"/>
          <w:szCs w:val="16"/>
        </w:rPr>
        <w:footnoteRef/>
      </w:r>
      <w:hyperlink r:id="rId10" w:history="1">
        <w:r w:rsidRPr="00585C40">
          <w:rPr>
            <w:rStyle w:val="Hypertextovprepojenie"/>
            <w:szCs w:val="16"/>
          </w:rPr>
          <w:t>http://ec.</w:t>
        </w:r>
        <w:r w:rsidRPr="00D73024">
          <w:rPr>
            <w:rStyle w:val="Hypertextovprepojenie"/>
            <w:szCs w:val="16"/>
          </w:rPr>
          <w:t>europa.eu/enterprise/policies/sme/facts-figures-analysis/performance-review/files/supporting-documents/2012/do-smes-create-more-and-better-jobs_en.pdf</w:t>
        </w:r>
      </w:hyperlink>
    </w:p>
  </w:footnote>
  <w:footnote w:id="59">
    <w:p w:rsidR="00007508" w:rsidRDefault="00007508" w:rsidP="00281183">
      <w:pPr>
        <w:pStyle w:val="Textpoznmkypodiarou"/>
        <w:ind w:left="170" w:hanging="170"/>
      </w:pPr>
      <w:r w:rsidRPr="005810C3">
        <w:rPr>
          <w:rStyle w:val="Odkaznapoznmkupodiarou"/>
          <w:szCs w:val="16"/>
        </w:rPr>
        <w:footnoteRef/>
      </w:r>
      <w:r w:rsidRPr="005810C3">
        <w:rPr>
          <w:szCs w:val="16"/>
        </w:rPr>
        <w:t xml:space="preserve"> </w:t>
      </w:r>
      <w:r>
        <w:rPr>
          <w:szCs w:val="16"/>
        </w:rPr>
        <w:t>Z</w:t>
      </w:r>
      <w:r w:rsidRPr="005810C3">
        <w:rPr>
          <w:szCs w:val="16"/>
        </w:rPr>
        <w:t xml:space="preserve">ahrňujú výrobu farmaceutických výrobkov </w:t>
      </w:r>
      <w:r>
        <w:rPr>
          <w:szCs w:val="16"/>
        </w:rPr>
        <w:t>a </w:t>
      </w:r>
      <w:r w:rsidRPr="005810C3">
        <w:rPr>
          <w:szCs w:val="16"/>
        </w:rPr>
        <w:t xml:space="preserve">prípravkov, výrobu počítačových, elektronických </w:t>
      </w:r>
      <w:r>
        <w:rPr>
          <w:szCs w:val="16"/>
        </w:rPr>
        <w:t>a </w:t>
      </w:r>
      <w:r w:rsidRPr="005810C3">
        <w:rPr>
          <w:szCs w:val="16"/>
        </w:rPr>
        <w:t xml:space="preserve">optických výrobkov </w:t>
      </w:r>
      <w:r>
        <w:rPr>
          <w:szCs w:val="16"/>
        </w:rPr>
        <w:t>a </w:t>
      </w:r>
      <w:r w:rsidRPr="005810C3">
        <w:rPr>
          <w:szCs w:val="16"/>
        </w:rPr>
        <w:t xml:space="preserve">výrobu lietadiel </w:t>
      </w:r>
      <w:r>
        <w:rPr>
          <w:szCs w:val="16"/>
        </w:rPr>
        <w:t>a k</w:t>
      </w:r>
      <w:r w:rsidRPr="005810C3">
        <w:rPr>
          <w:szCs w:val="16"/>
        </w:rPr>
        <w:t>ozmických</w:t>
      </w:r>
      <w:r>
        <w:rPr>
          <w:szCs w:val="16"/>
        </w:rPr>
        <w:t xml:space="preserve"> </w:t>
      </w:r>
      <w:r w:rsidRPr="005810C3">
        <w:rPr>
          <w:szCs w:val="16"/>
        </w:rPr>
        <w:t xml:space="preserve">lodí </w:t>
      </w:r>
      <w:r>
        <w:rPr>
          <w:szCs w:val="16"/>
        </w:rPr>
        <w:t>a </w:t>
      </w:r>
      <w:r w:rsidRPr="005810C3">
        <w:rPr>
          <w:szCs w:val="16"/>
        </w:rPr>
        <w:t>podobných zariadení</w:t>
      </w:r>
    </w:p>
  </w:footnote>
  <w:footnote w:id="60">
    <w:p w:rsidR="00007508" w:rsidRDefault="00007508" w:rsidP="00281183">
      <w:pPr>
        <w:pStyle w:val="Textpoznmkypodiarou"/>
        <w:ind w:left="170" w:hanging="170"/>
      </w:pPr>
      <w:r w:rsidRPr="005810C3">
        <w:rPr>
          <w:rStyle w:val="Odkaznapoznmkupodiarou"/>
          <w:szCs w:val="16"/>
        </w:rPr>
        <w:footnoteRef/>
      </w:r>
      <w:r w:rsidRPr="005810C3">
        <w:rPr>
          <w:szCs w:val="16"/>
        </w:rPr>
        <w:t xml:space="preserve"> </w:t>
      </w:r>
      <w:r>
        <w:rPr>
          <w:szCs w:val="16"/>
        </w:rPr>
        <w:t>Z</w:t>
      </w:r>
      <w:r w:rsidRPr="005810C3">
        <w:rPr>
          <w:szCs w:val="16"/>
        </w:rPr>
        <w:t xml:space="preserve">ahrňujú vodnú dopravu, leteckú dopravu, nakladateľské činnosti, výrobu filmov, videozáznamov </w:t>
      </w:r>
      <w:r>
        <w:rPr>
          <w:szCs w:val="16"/>
        </w:rPr>
        <w:t>a </w:t>
      </w:r>
      <w:r w:rsidRPr="005810C3">
        <w:rPr>
          <w:szCs w:val="16"/>
        </w:rPr>
        <w:t xml:space="preserve">televíznych programov, prípravu </w:t>
      </w:r>
      <w:r>
        <w:rPr>
          <w:szCs w:val="16"/>
        </w:rPr>
        <w:t>a </w:t>
      </w:r>
      <w:r w:rsidRPr="005810C3">
        <w:rPr>
          <w:szCs w:val="16"/>
        </w:rPr>
        <w:t>zverejňovanie</w:t>
      </w:r>
      <w:r>
        <w:rPr>
          <w:szCs w:val="16"/>
        </w:rPr>
        <w:t xml:space="preserve"> </w:t>
      </w:r>
      <w:r w:rsidRPr="005810C3">
        <w:rPr>
          <w:szCs w:val="16"/>
        </w:rPr>
        <w:t xml:space="preserve">zvukových nahrávok, činnosti pre rozhlasové </w:t>
      </w:r>
      <w:r>
        <w:rPr>
          <w:szCs w:val="16"/>
        </w:rPr>
        <w:t>a </w:t>
      </w:r>
      <w:r w:rsidRPr="005810C3">
        <w:rPr>
          <w:szCs w:val="16"/>
        </w:rPr>
        <w:t xml:space="preserve">televízne vysielanie, telekomunikácie, počítačové programovanie, poradenstvo </w:t>
      </w:r>
      <w:r>
        <w:rPr>
          <w:szCs w:val="16"/>
        </w:rPr>
        <w:t>a s</w:t>
      </w:r>
      <w:r w:rsidRPr="005810C3">
        <w:rPr>
          <w:szCs w:val="16"/>
        </w:rPr>
        <w:t>úvisiace</w:t>
      </w:r>
      <w:r>
        <w:rPr>
          <w:szCs w:val="16"/>
        </w:rPr>
        <w:t xml:space="preserve"> s</w:t>
      </w:r>
      <w:r w:rsidRPr="005810C3">
        <w:rPr>
          <w:szCs w:val="16"/>
        </w:rPr>
        <w:t xml:space="preserve">lužby, informačné </w:t>
      </w:r>
      <w:r>
        <w:rPr>
          <w:szCs w:val="16"/>
        </w:rPr>
        <w:t>s</w:t>
      </w:r>
      <w:r w:rsidRPr="005810C3">
        <w:rPr>
          <w:szCs w:val="16"/>
        </w:rPr>
        <w:t xml:space="preserve">lužby, finančné </w:t>
      </w:r>
      <w:r>
        <w:rPr>
          <w:szCs w:val="16"/>
        </w:rPr>
        <w:t>s</w:t>
      </w:r>
      <w:r w:rsidRPr="005810C3">
        <w:rPr>
          <w:szCs w:val="16"/>
        </w:rPr>
        <w:t xml:space="preserve">lužby, poistenie, zaistenie </w:t>
      </w:r>
      <w:r>
        <w:rPr>
          <w:szCs w:val="16"/>
        </w:rPr>
        <w:t>a </w:t>
      </w:r>
      <w:r w:rsidRPr="005810C3">
        <w:rPr>
          <w:szCs w:val="16"/>
        </w:rPr>
        <w:t xml:space="preserve">dôchodkové zabezpečenie (okrem povinného </w:t>
      </w:r>
      <w:r>
        <w:rPr>
          <w:szCs w:val="16"/>
        </w:rPr>
        <w:t>s</w:t>
      </w:r>
      <w:r w:rsidRPr="005810C3">
        <w:rPr>
          <w:szCs w:val="16"/>
        </w:rPr>
        <w:t>ociálneho poistenia), pomocné</w:t>
      </w:r>
      <w:r>
        <w:rPr>
          <w:szCs w:val="16"/>
        </w:rPr>
        <w:t xml:space="preserve"> </w:t>
      </w:r>
      <w:r w:rsidRPr="005810C3">
        <w:rPr>
          <w:szCs w:val="16"/>
        </w:rPr>
        <w:t xml:space="preserve">činnosti finančných </w:t>
      </w:r>
      <w:r>
        <w:rPr>
          <w:szCs w:val="16"/>
        </w:rPr>
        <w:t>s</w:t>
      </w:r>
      <w:r w:rsidRPr="005810C3">
        <w:rPr>
          <w:szCs w:val="16"/>
        </w:rPr>
        <w:t xml:space="preserve">lužieb </w:t>
      </w:r>
      <w:r>
        <w:rPr>
          <w:szCs w:val="16"/>
        </w:rPr>
        <w:t>a </w:t>
      </w:r>
      <w:r w:rsidRPr="005810C3">
        <w:rPr>
          <w:szCs w:val="16"/>
        </w:rPr>
        <w:t xml:space="preserve">poistenia, právne </w:t>
      </w:r>
      <w:r>
        <w:rPr>
          <w:szCs w:val="16"/>
        </w:rPr>
        <w:t>a </w:t>
      </w:r>
      <w:r w:rsidRPr="005810C3">
        <w:rPr>
          <w:szCs w:val="16"/>
        </w:rPr>
        <w:t>účtovnícke činnosti, vedenie firiem; poradenstvo v</w:t>
      </w:r>
      <w:r>
        <w:rPr>
          <w:szCs w:val="16"/>
        </w:rPr>
        <w:t> </w:t>
      </w:r>
      <w:r w:rsidRPr="005810C3">
        <w:rPr>
          <w:szCs w:val="16"/>
        </w:rPr>
        <w:t>oblasti</w:t>
      </w:r>
      <w:r>
        <w:rPr>
          <w:szCs w:val="16"/>
        </w:rPr>
        <w:t xml:space="preserve"> </w:t>
      </w:r>
      <w:r w:rsidRPr="005810C3">
        <w:rPr>
          <w:szCs w:val="16"/>
        </w:rPr>
        <w:t xml:space="preserve">riadenia, </w:t>
      </w:r>
      <w:r>
        <w:rPr>
          <w:szCs w:val="16"/>
        </w:rPr>
        <w:t>a</w:t>
      </w:r>
      <w:r w:rsidRPr="005810C3">
        <w:rPr>
          <w:szCs w:val="16"/>
        </w:rPr>
        <w:t xml:space="preserve">rchitektonické </w:t>
      </w:r>
      <w:r>
        <w:rPr>
          <w:szCs w:val="16"/>
        </w:rPr>
        <w:t>a </w:t>
      </w:r>
      <w:r w:rsidRPr="005810C3">
        <w:rPr>
          <w:szCs w:val="16"/>
        </w:rPr>
        <w:t>inžinierske</w:t>
      </w:r>
      <w:r>
        <w:rPr>
          <w:szCs w:val="16"/>
        </w:rPr>
        <w:t xml:space="preserve"> </w:t>
      </w:r>
      <w:r w:rsidRPr="005810C3">
        <w:rPr>
          <w:szCs w:val="16"/>
        </w:rPr>
        <w:t xml:space="preserve">činnosti, technické testovanie </w:t>
      </w:r>
      <w:r>
        <w:rPr>
          <w:szCs w:val="16"/>
        </w:rPr>
        <w:t>a a</w:t>
      </w:r>
      <w:r w:rsidRPr="005810C3">
        <w:rPr>
          <w:szCs w:val="16"/>
        </w:rPr>
        <w:t xml:space="preserve">nalýzy, vedecký výskum </w:t>
      </w:r>
      <w:r>
        <w:rPr>
          <w:szCs w:val="16"/>
        </w:rPr>
        <w:t>a </w:t>
      </w:r>
      <w:r w:rsidRPr="005810C3">
        <w:rPr>
          <w:szCs w:val="16"/>
        </w:rPr>
        <w:t xml:space="preserve">vývoj, reklama </w:t>
      </w:r>
      <w:r>
        <w:rPr>
          <w:szCs w:val="16"/>
        </w:rPr>
        <w:t>a </w:t>
      </w:r>
      <w:r w:rsidRPr="005810C3">
        <w:rPr>
          <w:szCs w:val="16"/>
        </w:rPr>
        <w:t xml:space="preserve">prieskum trhu, ostatné odborné, vedecké </w:t>
      </w:r>
      <w:r>
        <w:rPr>
          <w:szCs w:val="16"/>
        </w:rPr>
        <w:t>a </w:t>
      </w:r>
      <w:r w:rsidRPr="005810C3">
        <w:rPr>
          <w:szCs w:val="16"/>
        </w:rPr>
        <w:t xml:space="preserve">technické činnosti, veterinárne činnosti, </w:t>
      </w:r>
      <w:r>
        <w:rPr>
          <w:szCs w:val="16"/>
        </w:rPr>
        <w:t>s</w:t>
      </w:r>
      <w:r w:rsidRPr="005810C3">
        <w:rPr>
          <w:szCs w:val="16"/>
        </w:rPr>
        <w:t xml:space="preserve">prostredkovanie práce, bezpečnostné </w:t>
      </w:r>
      <w:r>
        <w:rPr>
          <w:szCs w:val="16"/>
        </w:rPr>
        <w:t>a </w:t>
      </w:r>
      <w:r w:rsidRPr="005810C3">
        <w:rPr>
          <w:szCs w:val="16"/>
        </w:rPr>
        <w:t xml:space="preserve">pátracie </w:t>
      </w:r>
      <w:r>
        <w:rPr>
          <w:szCs w:val="16"/>
        </w:rPr>
        <w:t>s</w:t>
      </w:r>
      <w:r w:rsidRPr="005810C3">
        <w:rPr>
          <w:szCs w:val="16"/>
        </w:rPr>
        <w:t xml:space="preserve">lužby, verejná </w:t>
      </w:r>
      <w:r>
        <w:rPr>
          <w:szCs w:val="16"/>
        </w:rPr>
        <w:t>s</w:t>
      </w:r>
      <w:r w:rsidRPr="005810C3">
        <w:rPr>
          <w:szCs w:val="16"/>
        </w:rPr>
        <w:t xml:space="preserve">práva </w:t>
      </w:r>
      <w:r>
        <w:rPr>
          <w:szCs w:val="16"/>
        </w:rPr>
        <w:t>a </w:t>
      </w:r>
      <w:r w:rsidRPr="005810C3">
        <w:rPr>
          <w:szCs w:val="16"/>
        </w:rPr>
        <w:t xml:space="preserve">obrana; povinné </w:t>
      </w:r>
      <w:r>
        <w:rPr>
          <w:szCs w:val="16"/>
        </w:rPr>
        <w:t>s</w:t>
      </w:r>
      <w:r w:rsidRPr="005810C3">
        <w:rPr>
          <w:szCs w:val="16"/>
        </w:rPr>
        <w:t xml:space="preserve">ociálne zabezpečenie, vzdelávanie, zdravotníctvo, </w:t>
      </w:r>
      <w:r>
        <w:rPr>
          <w:szCs w:val="16"/>
        </w:rPr>
        <w:t>s</w:t>
      </w:r>
      <w:r w:rsidRPr="005810C3">
        <w:rPr>
          <w:szCs w:val="16"/>
        </w:rPr>
        <w:t>tarostlivosť v</w:t>
      </w:r>
      <w:r>
        <w:rPr>
          <w:szCs w:val="16"/>
        </w:rPr>
        <w:t> </w:t>
      </w:r>
      <w:r w:rsidRPr="005810C3">
        <w:rPr>
          <w:szCs w:val="16"/>
        </w:rPr>
        <w:t>pobytových</w:t>
      </w:r>
      <w:r>
        <w:rPr>
          <w:szCs w:val="16"/>
        </w:rPr>
        <w:t xml:space="preserve"> </w:t>
      </w:r>
      <w:r w:rsidRPr="005810C3">
        <w:rPr>
          <w:szCs w:val="16"/>
        </w:rPr>
        <w:t xml:space="preserve">zariadeniach (rezidenčná </w:t>
      </w:r>
      <w:r>
        <w:rPr>
          <w:szCs w:val="16"/>
        </w:rPr>
        <w:t>s</w:t>
      </w:r>
      <w:r w:rsidRPr="005810C3">
        <w:rPr>
          <w:szCs w:val="16"/>
        </w:rPr>
        <w:t xml:space="preserve">tarostlivosť), </w:t>
      </w:r>
      <w:r>
        <w:rPr>
          <w:szCs w:val="16"/>
        </w:rPr>
        <w:t>s</w:t>
      </w:r>
      <w:r w:rsidRPr="005810C3">
        <w:rPr>
          <w:szCs w:val="16"/>
        </w:rPr>
        <w:t xml:space="preserve">ociálna práca bez ubytovania, tvorivé, umelecké </w:t>
      </w:r>
      <w:r>
        <w:rPr>
          <w:szCs w:val="16"/>
        </w:rPr>
        <w:t>a </w:t>
      </w:r>
      <w:r w:rsidRPr="005810C3">
        <w:rPr>
          <w:szCs w:val="16"/>
        </w:rPr>
        <w:t>zábavné</w:t>
      </w:r>
      <w:r>
        <w:rPr>
          <w:szCs w:val="16"/>
        </w:rPr>
        <w:t xml:space="preserve"> </w:t>
      </w:r>
      <w:r w:rsidRPr="005810C3">
        <w:rPr>
          <w:szCs w:val="16"/>
        </w:rPr>
        <w:t xml:space="preserve">činnosti, činnosti </w:t>
      </w:r>
      <w:r>
        <w:rPr>
          <w:szCs w:val="16"/>
        </w:rPr>
        <w:t>k</w:t>
      </w:r>
      <w:r w:rsidRPr="005810C3">
        <w:rPr>
          <w:szCs w:val="16"/>
        </w:rPr>
        <w:t xml:space="preserve">nižníc, </w:t>
      </w:r>
      <w:r>
        <w:rPr>
          <w:szCs w:val="16"/>
        </w:rPr>
        <w:t>a</w:t>
      </w:r>
      <w:r w:rsidRPr="005810C3">
        <w:rPr>
          <w:szCs w:val="16"/>
        </w:rPr>
        <w:t xml:space="preserve">rchívov, múzeí </w:t>
      </w:r>
      <w:r>
        <w:rPr>
          <w:szCs w:val="16"/>
        </w:rPr>
        <w:t>a </w:t>
      </w:r>
      <w:r w:rsidRPr="005810C3">
        <w:rPr>
          <w:szCs w:val="16"/>
        </w:rPr>
        <w:t>ostatných</w:t>
      </w:r>
      <w:r>
        <w:rPr>
          <w:szCs w:val="16"/>
        </w:rPr>
        <w:t xml:space="preserve"> k</w:t>
      </w:r>
      <w:r w:rsidRPr="005810C3">
        <w:rPr>
          <w:szCs w:val="16"/>
        </w:rPr>
        <w:t xml:space="preserve">ultúrnych zariadení, činnosti herní </w:t>
      </w:r>
      <w:r>
        <w:rPr>
          <w:szCs w:val="16"/>
        </w:rPr>
        <w:t>a s</w:t>
      </w:r>
      <w:r w:rsidRPr="005810C3">
        <w:rPr>
          <w:szCs w:val="16"/>
        </w:rPr>
        <w:t xml:space="preserve">távkových </w:t>
      </w:r>
      <w:r>
        <w:rPr>
          <w:szCs w:val="16"/>
        </w:rPr>
        <w:t>k</w:t>
      </w:r>
      <w:r w:rsidRPr="005810C3">
        <w:rPr>
          <w:szCs w:val="16"/>
        </w:rPr>
        <w:t xml:space="preserve">ancelárií, športové, zábavné </w:t>
      </w:r>
      <w:r>
        <w:rPr>
          <w:szCs w:val="16"/>
        </w:rPr>
        <w:t>a </w:t>
      </w:r>
      <w:r w:rsidRPr="005810C3">
        <w:rPr>
          <w:szCs w:val="16"/>
        </w:rPr>
        <w:t>rekreačné</w:t>
      </w:r>
      <w:r>
        <w:rPr>
          <w:szCs w:val="16"/>
        </w:rPr>
        <w:t xml:space="preserve"> </w:t>
      </w:r>
      <w:r w:rsidRPr="005810C3">
        <w:rPr>
          <w:szCs w:val="16"/>
        </w:rPr>
        <w:t>činnosti</w:t>
      </w:r>
    </w:p>
  </w:footnote>
  <w:footnote w:id="61">
    <w:p w:rsidR="00007508" w:rsidRDefault="00007508" w:rsidP="00492F4C">
      <w:pPr>
        <w:pStyle w:val="Textpoznmkypodiarou"/>
      </w:pPr>
      <w:r w:rsidRPr="005810C3">
        <w:rPr>
          <w:rStyle w:val="Odkaznapoznmkupodiarou"/>
          <w:szCs w:val="16"/>
        </w:rPr>
        <w:footnoteRef/>
      </w:r>
      <w:r w:rsidRPr="005810C3">
        <w:rPr>
          <w:szCs w:val="16"/>
        </w:rPr>
        <w:t xml:space="preserve"> Pozičný dokument EK </w:t>
      </w:r>
      <w:r>
        <w:rPr>
          <w:szCs w:val="16"/>
        </w:rPr>
        <w:t>k </w:t>
      </w:r>
      <w:r w:rsidRPr="005810C3">
        <w:rPr>
          <w:szCs w:val="16"/>
        </w:rPr>
        <w:t xml:space="preserve">vypracovaniu Partnerskej dohody </w:t>
      </w:r>
      <w:r>
        <w:rPr>
          <w:szCs w:val="16"/>
        </w:rPr>
        <w:t>a </w:t>
      </w:r>
      <w:r w:rsidRPr="005810C3">
        <w:rPr>
          <w:szCs w:val="16"/>
        </w:rPr>
        <w:t xml:space="preserve">programov na </w:t>
      </w:r>
      <w:r>
        <w:rPr>
          <w:szCs w:val="16"/>
        </w:rPr>
        <w:t>S</w:t>
      </w:r>
      <w:r w:rsidRPr="005810C3">
        <w:rPr>
          <w:szCs w:val="16"/>
        </w:rPr>
        <w:t>lovensku na roky 2014 – 2020</w:t>
      </w:r>
    </w:p>
  </w:footnote>
  <w:footnote w:id="62">
    <w:p w:rsidR="00007508" w:rsidRDefault="00007508" w:rsidP="00281183">
      <w:pPr>
        <w:pStyle w:val="Textpoznmkypodiarou"/>
        <w:ind w:left="170" w:hanging="170"/>
      </w:pPr>
      <w:r w:rsidRPr="005810C3">
        <w:rPr>
          <w:rStyle w:val="Odkaznapoznmkupodiarou"/>
          <w:szCs w:val="16"/>
        </w:rPr>
        <w:footnoteRef/>
      </w:r>
      <w:r w:rsidRPr="005810C3">
        <w:rPr>
          <w:szCs w:val="16"/>
        </w:rPr>
        <w:t xml:space="preserve"> Takmer dve tretiny (63 %) oslovených podnikateľov uviedlo</w:t>
      </w:r>
      <w:r>
        <w:rPr>
          <w:szCs w:val="16"/>
        </w:rPr>
        <w:t>,</w:t>
      </w:r>
      <w:r w:rsidRPr="005810C3">
        <w:rPr>
          <w:szCs w:val="16"/>
        </w:rPr>
        <w:t xml:space="preserve"> že nežiadalo </w:t>
      </w:r>
      <w:r>
        <w:rPr>
          <w:szCs w:val="16"/>
        </w:rPr>
        <w:t>a</w:t>
      </w:r>
      <w:r w:rsidRPr="005810C3">
        <w:rPr>
          <w:szCs w:val="16"/>
        </w:rPr>
        <w:t xml:space="preserve">ni nemá v budúcnosti záujem o využívanie verejných podporných programov. Približne 9 z 10 (89 %) podnikateľov </w:t>
      </w:r>
      <w:r>
        <w:rPr>
          <w:szCs w:val="16"/>
        </w:rPr>
        <w:t>s</w:t>
      </w:r>
      <w:r w:rsidRPr="005810C3">
        <w:rPr>
          <w:szCs w:val="16"/>
        </w:rPr>
        <w:t xml:space="preserve">a </w:t>
      </w:r>
      <w:r>
        <w:rPr>
          <w:szCs w:val="16"/>
        </w:rPr>
        <w:t>a</w:t>
      </w:r>
      <w:r w:rsidRPr="005810C3">
        <w:rPr>
          <w:szCs w:val="16"/>
        </w:rPr>
        <w:t xml:space="preserve">ni nepokúsilo získať finančné zdroje z podporných programov na realizáciu </w:t>
      </w:r>
      <w:r>
        <w:rPr>
          <w:szCs w:val="16"/>
        </w:rPr>
        <w:t>s</w:t>
      </w:r>
      <w:r w:rsidRPr="005810C3">
        <w:rPr>
          <w:szCs w:val="16"/>
        </w:rPr>
        <w:t xml:space="preserve">vojich inovačných </w:t>
      </w:r>
      <w:r>
        <w:rPr>
          <w:szCs w:val="16"/>
        </w:rPr>
        <w:t>ak</w:t>
      </w:r>
      <w:r w:rsidRPr="005810C3">
        <w:rPr>
          <w:szCs w:val="16"/>
        </w:rPr>
        <w:t>tivít</w:t>
      </w:r>
    </w:p>
  </w:footnote>
  <w:footnote w:id="63">
    <w:p w:rsidR="00007508" w:rsidRDefault="00007508" w:rsidP="00FA6430">
      <w:pPr>
        <w:pStyle w:val="Textpoznmkypodiarou"/>
        <w:ind w:left="170" w:hanging="170"/>
      </w:pPr>
      <w:r w:rsidRPr="009713C8">
        <w:rPr>
          <w:rStyle w:val="Odkaznapoznmkupodiarou"/>
          <w:szCs w:val="16"/>
        </w:rPr>
        <w:footnoteRef/>
      </w:r>
      <w:r w:rsidRPr="009713C8">
        <w:rPr>
          <w:szCs w:val="16"/>
        </w:rPr>
        <w:t xml:space="preserve"> Napríklad </w:t>
      </w:r>
      <w:r w:rsidRPr="003F0750">
        <w:rPr>
          <w:szCs w:val="16"/>
        </w:rPr>
        <w:t xml:space="preserve">pod gesciu </w:t>
      </w:r>
      <w:r w:rsidRPr="009713C8">
        <w:rPr>
          <w:szCs w:val="16"/>
        </w:rPr>
        <w:t>MH SR</w:t>
      </w:r>
      <w:r w:rsidRPr="003F0750">
        <w:rPr>
          <w:szCs w:val="16"/>
        </w:rPr>
        <w:t xml:space="preserve"> spadajú</w:t>
      </w:r>
      <w:r w:rsidRPr="009713C8">
        <w:rPr>
          <w:szCs w:val="16"/>
        </w:rPr>
        <w:t xml:space="preserve"> tri agentúry, ktoré sa explicitne zaoberajú podporou MSP – NARMSP, SIEA a</w:t>
      </w:r>
      <w:r w:rsidRPr="003F0750">
        <w:rPr>
          <w:szCs w:val="16"/>
        </w:rPr>
        <w:t> </w:t>
      </w:r>
      <w:r w:rsidRPr="009713C8">
        <w:rPr>
          <w:szCs w:val="16"/>
        </w:rPr>
        <w:t>SARIO</w:t>
      </w:r>
      <w:r w:rsidRPr="003F0750">
        <w:rPr>
          <w:szCs w:val="16"/>
        </w:rPr>
        <w:t xml:space="preserve">. </w:t>
      </w:r>
      <w:r>
        <w:rPr>
          <w:szCs w:val="16"/>
        </w:rPr>
        <w:t xml:space="preserve">Aj </w:t>
      </w:r>
      <w:r w:rsidRPr="003F0750">
        <w:rPr>
          <w:szCs w:val="16"/>
        </w:rPr>
        <w:t>napriek tomu, že  </w:t>
      </w:r>
      <w:r w:rsidRPr="009713C8">
        <w:rPr>
          <w:szCs w:val="16"/>
        </w:rPr>
        <w:t>ich</w:t>
      </w:r>
      <w:r w:rsidRPr="003F0750">
        <w:rPr>
          <w:szCs w:val="16"/>
        </w:rPr>
        <w:t xml:space="preserve"> </w:t>
      </w:r>
      <w:r w:rsidRPr="009713C8">
        <w:rPr>
          <w:szCs w:val="16"/>
        </w:rPr>
        <w:t>koordinácia</w:t>
      </w:r>
      <w:r w:rsidRPr="003F0750">
        <w:rPr>
          <w:szCs w:val="16"/>
        </w:rPr>
        <w:t xml:space="preserve"> a taktiež koordinácia s inými agentúrami na podporu MSP pôsobiacimi v iných rezortoch (napríklad MŠVVŠ SR a jeho agentúry APVV a ASFEU) </w:t>
      </w:r>
      <w:r w:rsidRPr="009713C8">
        <w:rPr>
          <w:szCs w:val="16"/>
        </w:rPr>
        <w:t xml:space="preserve">je málo </w:t>
      </w:r>
      <w:r w:rsidRPr="003F0750">
        <w:rPr>
          <w:szCs w:val="16"/>
        </w:rPr>
        <w:t xml:space="preserve">aktívna, vo fáze prilákania investícií dochádza </w:t>
      </w:r>
      <w:r>
        <w:rPr>
          <w:szCs w:val="16"/>
        </w:rPr>
        <w:t xml:space="preserve">v poslednom období </w:t>
      </w:r>
      <w:r w:rsidRPr="003F0750">
        <w:rPr>
          <w:szCs w:val="16"/>
        </w:rPr>
        <w:t>k zásadnému zefektívneniu koordinácie činností</w:t>
      </w:r>
    </w:p>
  </w:footnote>
  <w:footnote w:id="64">
    <w:p w:rsidR="00007508" w:rsidRDefault="00007508" w:rsidP="00492F4C">
      <w:pPr>
        <w:pStyle w:val="Textpoznmkypodiarou"/>
      </w:pPr>
      <w:r w:rsidRPr="005810C3">
        <w:rPr>
          <w:rStyle w:val="Odkaznapoznmkupodiarou"/>
          <w:szCs w:val="16"/>
        </w:rPr>
        <w:footnoteRef/>
      </w:r>
      <w:r w:rsidRPr="005810C3">
        <w:rPr>
          <w:szCs w:val="16"/>
        </w:rPr>
        <w:t xml:space="preserve"> Výnimkou je Fond inovácií </w:t>
      </w:r>
      <w:r>
        <w:rPr>
          <w:szCs w:val="16"/>
        </w:rPr>
        <w:t>a </w:t>
      </w:r>
      <w:r w:rsidRPr="005810C3">
        <w:rPr>
          <w:szCs w:val="16"/>
        </w:rPr>
        <w:t xml:space="preserve">technológií nedávno </w:t>
      </w:r>
      <w:r>
        <w:rPr>
          <w:szCs w:val="16"/>
        </w:rPr>
        <w:t>s</w:t>
      </w:r>
      <w:r w:rsidRPr="005810C3">
        <w:rPr>
          <w:szCs w:val="16"/>
        </w:rPr>
        <w:t>pustený NARMSP</w:t>
      </w:r>
    </w:p>
  </w:footnote>
  <w:footnote w:id="65">
    <w:p w:rsidR="00007508" w:rsidRDefault="00007508" w:rsidP="001D30D0">
      <w:pPr>
        <w:pStyle w:val="Textpoznmkypodiarou"/>
      </w:pPr>
      <w:r w:rsidRPr="005810C3">
        <w:rPr>
          <w:rStyle w:val="Odkaznapoznmkupodiarou"/>
          <w:szCs w:val="16"/>
        </w:rPr>
        <w:footnoteRef/>
      </w:r>
      <w:r w:rsidRPr="005810C3">
        <w:t xml:space="preserve"> </w:t>
      </w:r>
      <w:r w:rsidRPr="005810C3">
        <w:rPr>
          <w:szCs w:val="16"/>
        </w:rPr>
        <w:t>Podiel z celkového počtu MSP účtujúcich v podvojnom účtovníctve, údaj za rok 2011 (zdroj: Register účtovných závierok)</w:t>
      </w:r>
    </w:p>
  </w:footnote>
  <w:footnote w:id="66">
    <w:p w:rsidR="00007508" w:rsidRDefault="00007508">
      <w:pPr>
        <w:pStyle w:val="Textpoznmkypodiarou"/>
      </w:pPr>
      <w:r w:rsidRPr="00296C42">
        <w:rPr>
          <w:rStyle w:val="Odkaznapoznmkupodiarou"/>
          <w:szCs w:val="16"/>
        </w:rPr>
        <w:footnoteRef/>
      </w:r>
      <w:r w:rsidRPr="00296C42">
        <w:rPr>
          <w:szCs w:val="16"/>
        </w:rPr>
        <w:t xml:space="preserve"> </w:t>
      </w:r>
      <w:r w:rsidRPr="00296C42">
        <w:rPr>
          <w:rFonts w:cs="Calibri"/>
          <w:szCs w:val="16"/>
        </w:rPr>
        <w:t>JEREMIE - Joint European Resources for Micro to Medium Enterprises</w:t>
      </w:r>
      <w:r>
        <w:rPr>
          <w:rFonts w:cs="Calibri"/>
          <w:szCs w:val="16"/>
        </w:rPr>
        <w:t xml:space="preserve"> (</w:t>
      </w:r>
      <w:r w:rsidRPr="00296C42">
        <w:rPr>
          <w:rFonts w:cs="Calibri"/>
          <w:szCs w:val="16"/>
        </w:rPr>
        <w:t>Spoločné európske zdroje pre veľmi malé až stredné podniky</w:t>
      </w:r>
      <w:r>
        <w:rPr>
          <w:rFonts w:cs="Calibri"/>
          <w:szCs w:val="16"/>
        </w:rPr>
        <w:t>)</w:t>
      </w:r>
    </w:p>
  </w:footnote>
  <w:footnote w:id="67">
    <w:p w:rsidR="00007508" w:rsidRDefault="00007508">
      <w:pPr>
        <w:pStyle w:val="Textpoznmkypodiarou"/>
      </w:pPr>
      <w:r>
        <w:rPr>
          <w:rStyle w:val="Odkaznapoznmkupodiarou"/>
        </w:rPr>
        <w:footnoteRef/>
      </w:r>
      <w:r>
        <w:t xml:space="preserve"> Zdroj: NARMSP - Analýza trhovej medzery vykonaná v 4. štvrťroku 2012</w:t>
      </w:r>
    </w:p>
  </w:footnote>
  <w:footnote w:id="68">
    <w:p w:rsidR="00007508" w:rsidRDefault="00007508" w:rsidP="00FA6430">
      <w:pPr>
        <w:pStyle w:val="Textpoznmkypodiarou"/>
        <w:ind w:left="170" w:hanging="170"/>
      </w:pPr>
      <w:r>
        <w:rPr>
          <w:rStyle w:val="Odkaznapoznmkupodiarou"/>
        </w:rPr>
        <w:footnoteRef/>
      </w:r>
      <w:r>
        <w:t xml:space="preserve"> Pod pojmom výskumné inštitúcie sú všetky výskumné inštitúcie mimo schém štátnej pomoci (ide o verejné a štátne výskumné inštitúcie, vysoké školy, neziskové/mimovládne organizácie výskumu a vývoja) a pojem akademické inštitúcie možno zaradiť vysoké školy a SAV</w:t>
      </w:r>
    </w:p>
  </w:footnote>
  <w:footnote w:id="69">
    <w:p w:rsidR="00007508" w:rsidRDefault="00007508" w:rsidP="00FA6430">
      <w:pPr>
        <w:pStyle w:val="Textpoznmkypodiarou"/>
        <w:ind w:left="170" w:hanging="170"/>
      </w:pPr>
      <w:r w:rsidRPr="005927AD">
        <w:rPr>
          <w:szCs w:val="16"/>
          <w:vertAlign w:val="superscript"/>
        </w:rPr>
        <w:footnoteRef/>
      </w:r>
      <w:r>
        <w:t xml:space="preserve"> </w:t>
      </w:r>
      <w:r w:rsidRPr="003F0750">
        <w:t>Systém budovania inkubátorov bude vychádzať</w:t>
      </w:r>
      <w:r w:rsidRPr="00E17390">
        <w:rPr>
          <w:rFonts w:eastAsiaTheme="minorHAnsi" w:cstheme="minorBidi"/>
          <w:szCs w:val="22"/>
        </w:rPr>
        <w:t xml:space="preserve"> z</w:t>
      </w:r>
      <w:r>
        <w:rPr>
          <w:rFonts w:eastAsiaTheme="minorHAnsi" w:cstheme="minorBidi"/>
          <w:szCs w:val="22"/>
        </w:rPr>
        <w:t> </w:t>
      </w:r>
      <w:r w:rsidRPr="00E17390">
        <w:rPr>
          <w:rFonts w:eastAsiaTheme="minorHAnsi" w:cstheme="minorBidi"/>
          <w:szCs w:val="22"/>
        </w:rPr>
        <w:t>jednotnej</w:t>
      </w:r>
      <w:r>
        <w:rPr>
          <w:rFonts w:eastAsiaTheme="minorHAnsi" w:cstheme="minorBidi"/>
          <w:szCs w:val="22"/>
        </w:rPr>
        <w:t xml:space="preserve"> </w:t>
      </w:r>
      <w:r w:rsidRPr="00E17390">
        <w:rPr>
          <w:rFonts w:eastAsiaTheme="minorHAnsi" w:cstheme="minorBidi"/>
          <w:szCs w:val="22"/>
        </w:rPr>
        <w:t>koncepcie, ktorá bude zohľadňovať potrebu, regionálne špecifiká, ako aj sektorové zameranie budúcej národnej siete inkubátorov vo všetkých oblastiach</w:t>
      </w:r>
    </w:p>
  </w:footnote>
  <w:footnote w:id="70">
    <w:p w:rsidR="00007508" w:rsidRDefault="00007508" w:rsidP="00FA6430">
      <w:pPr>
        <w:pStyle w:val="Textpoznmkypodiarou"/>
        <w:ind w:left="170" w:hanging="170"/>
      </w:pPr>
      <w:r>
        <w:rPr>
          <w:rStyle w:val="Odkaznapoznmkupodiarou"/>
        </w:rPr>
        <w:footnoteRef/>
      </w:r>
      <w:r>
        <w:t xml:space="preserve"> V roku 2010 bolo v poľnohospodárstve 24 463 podnikov, z toho 16 179 neregistrovaných fyzických osôb, 584 družstiev, 6 008 registrovaných fyzických osôb a zvyšok tvorili ostatné právnické osoby. Priemerná výmera farmy sa zvýšila z 28,1 ha p. p. v roku 2007 na 77,5 ha p. p. Toto zvýšenie spôsobil najmä 20 %-ný pokles neregistrovaných fyzických osôb (výroba pre vlastnú spotrebu), ktoré predstavujú okrajovú formu hospodárenia na pôde</w:t>
      </w:r>
    </w:p>
  </w:footnote>
  <w:footnote w:id="71">
    <w:p w:rsidR="00007508" w:rsidRDefault="00007508">
      <w:pPr>
        <w:pStyle w:val="Textpoznmkypodiarou"/>
      </w:pPr>
      <w:r w:rsidRPr="003F0750">
        <w:rPr>
          <w:vertAlign w:val="superscript"/>
        </w:rPr>
        <w:footnoteRef/>
      </w:r>
      <w:r w:rsidRPr="003F0750">
        <w:t xml:space="preserve"> Zdroj:</w:t>
      </w:r>
      <w:r>
        <w:rPr>
          <w:i/>
          <w:sz w:val="18"/>
          <w:szCs w:val="18"/>
          <w:vertAlign w:val="superscript"/>
        </w:rPr>
        <w:t xml:space="preserve"> </w:t>
      </w:r>
      <w:r w:rsidRPr="000312BB">
        <w:rPr>
          <w:szCs w:val="16"/>
        </w:rPr>
        <w:t>CD MPRV SR – Výskumný ústav ekonomiky poľnohospodárstva a potravinárstva SR</w:t>
      </w:r>
      <w:r>
        <w:rPr>
          <w:szCs w:val="16"/>
        </w:rPr>
        <w:t>,</w:t>
      </w:r>
      <w:r w:rsidRPr="000312BB">
        <w:rPr>
          <w:szCs w:val="16"/>
        </w:rPr>
        <w:t xml:space="preserve"> Informačné listy</w:t>
      </w:r>
    </w:p>
  </w:footnote>
  <w:footnote w:id="72">
    <w:p w:rsidR="00007508" w:rsidRDefault="00007508" w:rsidP="0068030C">
      <w:pPr>
        <w:pStyle w:val="Textpoznmkypodiarou"/>
        <w:ind w:left="170" w:hanging="170"/>
      </w:pPr>
      <w:r w:rsidRPr="00D1750C">
        <w:rPr>
          <w:i/>
          <w:sz w:val="18"/>
          <w:szCs w:val="18"/>
          <w:vertAlign w:val="superscript"/>
        </w:rPr>
        <w:footnoteRef/>
      </w:r>
      <w:r>
        <w:rPr>
          <w:i/>
          <w:sz w:val="18"/>
          <w:szCs w:val="18"/>
          <w:vertAlign w:val="superscript"/>
        </w:rPr>
        <w:t xml:space="preserve"> </w:t>
      </w:r>
      <w:r w:rsidRPr="0068030C">
        <w:rPr>
          <w:szCs w:val="16"/>
        </w:rPr>
        <w:t>Vývoj do roku 2011 oproti referenčnému roku 2002 reflektoval pokles zberových plôch zeleniny o 9,65 %. Plochy ovocných sadov sa každoročne znižujú o cca 250 -300 ha. Oproti roku 2002 klesla celková výmera chmeľníc až o</w:t>
      </w:r>
      <w:r>
        <w:rPr>
          <w:szCs w:val="16"/>
        </w:rPr>
        <w:t> </w:t>
      </w:r>
      <w:r w:rsidRPr="0068030C">
        <w:rPr>
          <w:szCs w:val="16"/>
        </w:rPr>
        <w:t>23,5 %</w:t>
      </w:r>
    </w:p>
  </w:footnote>
  <w:footnote w:id="73">
    <w:p w:rsidR="00007508" w:rsidRDefault="00007508" w:rsidP="0068030C">
      <w:pPr>
        <w:pStyle w:val="Textpoznmkypodiarou"/>
        <w:ind w:left="170" w:hanging="170"/>
      </w:pPr>
      <w:r w:rsidRPr="00687C99">
        <w:rPr>
          <w:rStyle w:val="Odkaznapoznmkupodiarou"/>
          <w:szCs w:val="16"/>
        </w:rPr>
        <w:footnoteRef/>
      </w:r>
      <w:r w:rsidRPr="00687C99">
        <w:rPr>
          <w:rStyle w:val="Odkaznapoznmkupodiarou"/>
          <w:szCs w:val="16"/>
        </w:rPr>
        <w:t xml:space="preserve"> </w:t>
      </w:r>
      <w:r w:rsidRPr="0068030C">
        <w:rPr>
          <w:szCs w:val="16"/>
        </w:rPr>
        <w:t>Z</w:t>
      </w:r>
      <w:r>
        <w:rPr>
          <w:szCs w:val="16"/>
        </w:rPr>
        <w:t> </w:t>
      </w:r>
      <w:r w:rsidRPr="0068030C">
        <w:rPr>
          <w:szCs w:val="16"/>
        </w:rPr>
        <w:t>komodít</w:t>
      </w:r>
      <w:r>
        <w:rPr>
          <w:szCs w:val="16"/>
        </w:rPr>
        <w:t xml:space="preserve"> </w:t>
      </w:r>
      <w:r w:rsidRPr="0068030C">
        <w:rPr>
          <w:szCs w:val="16"/>
        </w:rPr>
        <w:t>patriacich do vertikál mäsa, mlieka, obilnín a</w:t>
      </w:r>
      <w:r>
        <w:rPr>
          <w:szCs w:val="16"/>
        </w:rPr>
        <w:t> </w:t>
      </w:r>
      <w:r w:rsidRPr="0068030C">
        <w:rPr>
          <w:szCs w:val="16"/>
        </w:rPr>
        <w:t>olejnín</w:t>
      </w:r>
      <w:r>
        <w:rPr>
          <w:szCs w:val="16"/>
        </w:rPr>
        <w:t xml:space="preserve"> vykazovalo </w:t>
      </w:r>
      <w:r w:rsidRPr="0068030C">
        <w:rPr>
          <w:szCs w:val="16"/>
        </w:rPr>
        <w:t>Slovensko v priemere rokov 2002-2011 na zahraničných trhoch konkurenčnú schopnosť len u</w:t>
      </w:r>
      <w:r>
        <w:rPr>
          <w:szCs w:val="16"/>
        </w:rPr>
        <w:t> </w:t>
      </w:r>
      <w:r w:rsidRPr="0068030C">
        <w:rPr>
          <w:szCs w:val="16"/>
        </w:rPr>
        <w:t>živého</w:t>
      </w:r>
      <w:r>
        <w:rPr>
          <w:szCs w:val="16"/>
        </w:rPr>
        <w:t xml:space="preserve"> </w:t>
      </w:r>
      <w:r w:rsidRPr="0068030C">
        <w:rPr>
          <w:szCs w:val="16"/>
        </w:rPr>
        <w:t>hovädzieho dobytka, ovčieho mäsa, tekutého mlieka, vtáčích vajec, pšenice, jačmeňa, kukurice, pšeničnej múky, repky, slnečnice</w:t>
      </w:r>
    </w:p>
  </w:footnote>
  <w:footnote w:id="74">
    <w:p w:rsidR="00007508" w:rsidRDefault="00007508" w:rsidP="0068030C">
      <w:pPr>
        <w:pStyle w:val="Textpoznmkypodiarou"/>
        <w:ind w:left="170" w:hanging="170"/>
      </w:pPr>
      <w:r w:rsidRPr="005810C3">
        <w:rPr>
          <w:rStyle w:val="Odkaznapoznmkupodiarou"/>
          <w:szCs w:val="16"/>
        </w:rPr>
        <w:footnoteRef/>
      </w:r>
      <w:r w:rsidRPr="005810C3">
        <w:rPr>
          <w:szCs w:val="16"/>
        </w:rPr>
        <w:t xml:space="preserve"> V</w:t>
      </w:r>
      <w:r>
        <w:rPr>
          <w:szCs w:val="16"/>
        </w:rPr>
        <w:t> </w:t>
      </w:r>
      <w:r w:rsidRPr="005810C3">
        <w:rPr>
          <w:szCs w:val="16"/>
        </w:rPr>
        <w:t>roku</w:t>
      </w:r>
      <w:r>
        <w:rPr>
          <w:szCs w:val="16"/>
        </w:rPr>
        <w:t xml:space="preserve"> </w:t>
      </w:r>
      <w:r w:rsidRPr="005810C3">
        <w:rPr>
          <w:szCs w:val="16"/>
        </w:rPr>
        <w:t xml:space="preserve">1989 bol takmer </w:t>
      </w:r>
      <w:r>
        <w:rPr>
          <w:szCs w:val="16"/>
        </w:rPr>
        <w:t>k</w:t>
      </w:r>
      <w:r w:rsidRPr="005810C3">
        <w:rPr>
          <w:szCs w:val="16"/>
        </w:rPr>
        <w:t>aždý druhý pracovník v</w:t>
      </w:r>
      <w:r>
        <w:rPr>
          <w:szCs w:val="16"/>
        </w:rPr>
        <w:t> </w:t>
      </w:r>
      <w:r w:rsidRPr="005810C3">
        <w:rPr>
          <w:szCs w:val="16"/>
        </w:rPr>
        <w:t>poľnohospodárstve</w:t>
      </w:r>
      <w:r>
        <w:rPr>
          <w:szCs w:val="16"/>
        </w:rPr>
        <w:t xml:space="preserve"> </w:t>
      </w:r>
      <w:r w:rsidRPr="005810C3">
        <w:rPr>
          <w:szCs w:val="16"/>
        </w:rPr>
        <w:t>nekvalifikovaný, v</w:t>
      </w:r>
      <w:r>
        <w:rPr>
          <w:szCs w:val="16"/>
        </w:rPr>
        <w:t> </w:t>
      </w:r>
      <w:r w:rsidRPr="005810C3">
        <w:rPr>
          <w:szCs w:val="16"/>
        </w:rPr>
        <w:t>roku</w:t>
      </w:r>
      <w:r>
        <w:rPr>
          <w:szCs w:val="16"/>
        </w:rPr>
        <w:t xml:space="preserve"> </w:t>
      </w:r>
      <w:r w:rsidRPr="005810C3">
        <w:rPr>
          <w:szCs w:val="16"/>
        </w:rPr>
        <w:t>2011 bol v</w:t>
      </w:r>
      <w:r>
        <w:rPr>
          <w:szCs w:val="16"/>
        </w:rPr>
        <w:t> </w:t>
      </w:r>
      <w:r w:rsidRPr="005810C3">
        <w:rPr>
          <w:szCs w:val="16"/>
        </w:rPr>
        <w:t>poľnohospodárstve</w:t>
      </w:r>
      <w:r>
        <w:rPr>
          <w:szCs w:val="16"/>
        </w:rPr>
        <w:t xml:space="preserve"> </w:t>
      </w:r>
      <w:r w:rsidRPr="005810C3">
        <w:rPr>
          <w:szCs w:val="16"/>
        </w:rPr>
        <w:t xml:space="preserve">nekvalifikovaný už len </w:t>
      </w:r>
      <w:r>
        <w:rPr>
          <w:szCs w:val="16"/>
        </w:rPr>
        <w:t>k</w:t>
      </w:r>
      <w:r w:rsidRPr="005810C3">
        <w:rPr>
          <w:szCs w:val="16"/>
        </w:rPr>
        <w:t>aždý desiaty pracovník</w:t>
      </w:r>
    </w:p>
  </w:footnote>
  <w:footnote w:id="75">
    <w:p w:rsidR="00007508" w:rsidRDefault="00007508" w:rsidP="0068030C">
      <w:pPr>
        <w:pStyle w:val="Textpoznmkypodiarou"/>
        <w:ind w:left="170" w:hanging="170"/>
      </w:pPr>
      <w:r w:rsidRPr="005810C3">
        <w:rPr>
          <w:rStyle w:val="Odkaznapoznmkupodiarou"/>
          <w:szCs w:val="16"/>
        </w:rPr>
        <w:footnoteRef/>
      </w:r>
      <w:r w:rsidRPr="005810C3">
        <w:rPr>
          <w:szCs w:val="16"/>
        </w:rPr>
        <w:t xml:space="preserve"> Z celkového počtu 3559 </w:t>
      </w:r>
      <w:r>
        <w:rPr>
          <w:szCs w:val="16"/>
        </w:rPr>
        <w:t>k</w:t>
      </w:r>
      <w:r w:rsidRPr="005810C3">
        <w:rPr>
          <w:szCs w:val="16"/>
        </w:rPr>
        <w:t xml:space="preserve">atastrálnych území v rámci </w:t>
      </w:r>
      <w:r>
        <w:rPr>
          <w:szCs w:val="16"/>
        </w:rPr>
        <w:t>S</w:t>
      </w:r>
      <w:r w:rsidRPr="005810C3">
        <w:rPr>
          <w:szCs w:val="16"/>
        </w:rPr>
        <w:t>R zostáva 3141, v </w:t>
      </w:r>
      <w:r>
        <w:rPr>
          <w:szCs w:val="16"/>
        </w:rPr>
        <w:t>k</w:t>
      </w:r>
      <w:r w:rsidRPr="005810C3">
        <w:rPr>
          <w:szCs w:val="16"/>
        </w:rPr>
        <w:t xml:space="preserve">torých neboli začaté pozemkové úpravy. Priemerný počet vlastníkov na jednu parcelu pred pozemkovými úpravami je 10,45, po pozemkových úpravách </w:t>
      </w:r>
      <w:r>
        <w:rPr>
          <w:szCs w:val="16"/>
        </w:rPr>
        <w:t>k</w:t>
      </w:r>
      <w:r w:rsidRPr="005810C3">
        <w:rPr>
          <w:szCs w:val="16"/>
        </w:rPr>
        <w:t>lesne na 5. Z pohľadu prístupnosti na pozemky je pred pozemkovými úpravami 22 % parciel prístupných, po pozemkových úpravách je 100 % parciel prístupných, čo predstavuje nárast v prístupnosti pozemkov o 78 %</w:t>
      </w:r>
    </w:p>
  </w:footnote>
  <w:footnote w:id="76">
    <w:p w:rsidR="00007508" w:rsidRDefault="00007508" w:rsidP="0068030C">
      <w:pPr>
        <w:pStyle w:val="Textpoznmkypodiarou"/>
        <w:ind w:left="170" w:hanging="170"/>
      </w:pPr>
      <w:r w:rsidRPr="005810C3">
        <w:rPr>
          <w:rStyle w:val="Odkaznapoznmkupodiarou"/>
          <w:szCs w:val="16"/>
        </w:rPr>
        <w:footnoteRef/>
      </w:r>
      <w:r w:rsidRPr="005810C3">
        <w:rPr>
          <w:szCs w:val="16"/>
        </w:rPr>
        <w:t xml:space="preserve"> Za nákup </w:t>
      </w:r>
      <w:r>
        <w:rPr>
          <w:szCs w:val="16"/>
        </w:rPr>
        <w:t>s</w:t>
      </w:r>
      <w:r w:rsidRPr="005810C3">
        <w:rPr>
          <w:szCs w:val="16"/>
        </w:rPr>
        <w:t xml:space="preserve">urovín z domácej produkcie má vyššie náklady </w:t>
      </w:r>
      <w:r>
        <w:rPr>
          <w:szCs w:val="16"/>
        </w:rPr>
        <w:t>ak</w:t>
      </w:r>
      <w:r w:rsidRPr="005810C3">
        <w:rPr>
          <w:szCs w:val="16"/>
        </w:rPr>
        <w:t xml:space="preserve">o je </w:t>
      </w:r>
      <w:r>
        <w:rPr>
          <w:szCs w:val="16"/>
        </w:rPr>
        <w:t>s</w:t>
      </w:r>
      <w:r w:rsidRPr="005810C3">
        <w:rPr>
          <w:szCs w:val="16"/>
        </w:rPr>
        <w:t xml:space="preserve">chopný </w:t>
      </w:r>
      <w:r>
        <w:rPr>
          <w:szCs w:val="16"/>
        </w:rPr>
        <w:t>s</w:t>
      </w:r>
      <w:r w:rsidRPr="005810C3">
        <w:rPr>
          <w:szCs w:val="16"/>
        </w:rPr>
        <w:t xml:space="preserve">pätne získať predajom vyrobených potravín na domácom </w:t>
      </w:r>
      <w:r>
        <w:rPr>
          <w:szCs w:val="16"/>
        </w:rPr>
        <w:t>a </w:t>
      </w:r>
      <w:r w:rsidRPr="005810C3">
        <w:rPr>
          <w:szCs w:val="16"/>
        </w:rPr>
        <w:t xml:space="preserve">zahraničnom trhu. Tiež často nie je </w:t>
      </w:r>
      <w:r>
        <w:rPr>
          <w:szCs w:val="16"/>
        </w:rPr>
        <w:t>s</w:t>
      </w:r>
      <w:r w:rsidRPr="005810C3">
        <w:rPr>
          <w:szCs w:val="16"/>
        </w:rPr>
        <w:t xml:space="preserve">chopný </w:t>
      </w:r>
      <w:r>
        <w:rPr>
          <w:szCs w:val="16"/>
        </w:rPr>
        <w:t>k</w:t>
      </w:r>
      <w:r w:rsidRPr="005810C3">
        <w:rPr>
          <w:szCs w:val="16"/>
        </w:rPr>
        <w:t>ompenzovať výpadky príjmov prvovýrobcov</w:t>
      </w:r>
      <w:r>
        <w:rPr>
          <w:szCs w:val="16"/>
        </w:rPr>
        <w:t>,</w:t>
      </w:r>
      <w:r w:rsidRPr="005810C3">
        <w:rPr>
          <w:szCs w:val="16"/>
        </w:rPr>
        <w:t xml:space="preserve"> vyvolané nižšími podporami iba cenou za produkciu, najviac </w:t>
      </w:r>
      <w:r>
        <w:rPr>
          <w:szCs w:val="16"/>
        </w:rPr>
        <w:t>s </w:t>
      </w:r>
      <w:r w:rsidRPr="005810C3">
        <w:rPr>
          <w:szCs w:val="16"/>
        </w:rPr>
        <w:t xml:space="preserve">relatívne vysokou cenovou volatilitou. Vo viacerých odboroch musí čeliť priekupníckemu predaju </w:t>
      </w:r>
      <w:r>
        <w:rPr>
          <w:szCs w:val="16"/>
        </w:rPr>
        <w:t>s</w:t>
      </w:r>
      <w:r w:rsidRPr="005810C3">
        <w:rPr>
          <w:szCs w:val="16"/>
        </w:rPr>
        <w:t xml:space="preserve">lovenských poľnohospodárskych produktov, čo často núti </w:t>
      </w:r>
      <w:r>
        <w:rPr>
          <w:szCs w:val="16"/>
        </w:rPr>
        <w:t>s</w:t>
      </w:r>
      <w:r w:rsidRPr="005810C3">
        <w:rPr>
          <w:szCs w:val="16"/>
        </w:rPr>
        <w:t xml:space="preserve">pracovateľov nakupovať </w:t>
      </w:r>
      <w:r>
        <w:rPr>
          <w:szCs w:val="16"/>
        </w:rPr>
        <w:t>s</w:t>
      </w:r>
      <w:r w:rsidRPr="005810C3">
        <w:rPr>
          <w:szCs w:val="16"/>
        </w:rPr>
        <w:t>uroviny v</w:t>
      </w:r>
      <w:r>
        <w:rPr>
          <w:szCs w:val="16"/>
        </w:rPr>
        <w:t> </w:t>
      </w:r>
      <w:r w:rsidRPr="005810C3">
        <w:rPr>
          <w:szCs w:val="16"/>
        </w:rPr>
        <w:t>zahraničí</w:t>
      </w:r>
    </w:p>
  </w:footnote>
  <w:footnote w:id="77">
    <w:p w:rsidR="00007508" w:rsidRDefault="00007508" w:rsidP="00FA6430">
      <w:pPr>
        <w:pStyle w:val="Textpoznmkypodiarou"/>
        <w:ind w:left="170" w:hanging="170"/>
      </w:pPr>
      <w:r w:rsidRPr="005810C3">
        <w:rPr>
          <w:rStyle w:val="Odkaznapoznmkupodiarou"/>
        </w:rPr>
        <w:footnoteRef/>
      </w:r>
      <w:r>
        <w:t xml:space="preserve"> </w:t>
      </w:r>
      <w:r w:rsidRPr="005810C3">
        <w:t xml:space="preserve">Informácia o využití </w:t>
      </w:r>
      <w:r>
        <w:t>k</w:t>
      </w:r>
      <w:r w:rsidRPr="005810C3">
        <w:t xml:space="preserve">apacít potravinárskeho priemyslu v roku 2011 </w:t>
      </w:r>
      <w:hyperlink r:id="rId11" w:history="1">
        <w:r w:rsidRPr="00687C99">
          <w:rPr>
            <w:rStyle w:val="Hypertextovprepojenie"/>
            <w:szCs w:val="16"/>
          </w:rPr>
          <w:t>http://www.rokovania.s k/File.a s px/ViewDocumentHtml/Mater-Dokum-158762?prefixFile=m_</w:t>
        </w:r>
      </w:hyperlink>
    </w:p>
  </w:footnote>
  <w:footnote w:id="78">
    <w:p w:rsidR="00007508" w:rsidRDefault="00007508" w:rsidP="00B61C19">
      <w:pPr>
        <w:pStyle w:val="Textpoznmkypodiarou"/>
      </w:pPr>
      <w:r w:rsidRPr="005810C3">
        <w:rPr>
          <w:rStyle w:val="Odkaznapoznmkupodiarou"/>
          <w:szCs w:val="16"/>
        </w:rPr>
        <w:footnoteRef/>
      </w:r>
      <w:r w:rsidRPr="005810C3">
        <w:rPr>
          <w:szCs w:val="16"/>
        </w:rPr>
        <w:t xml:space="preserve"> Index priemyselnej produkcie (výroba potravín, nápojov </w:t>
      </w:r>
      <w:r>
        <w:rPr>
          <w:szCs w:val="16"/>
        </w:rPr>
        <w:t>a</w:t>
      </w:r>
      <w:r w:rsidRPr="005810C3">
        <w:rPr>
          <w:szCs w:val="16"/>
        </w:rPr>
        <w:t xml:space="preserve"> tabakových výrobkov) </w:t>
      </w:r>
      <w:r>
        <w:rPr>
          <w:szCs w:val="16"/>
        </w:rPr>
        <w:t>s</w:t>
      </w:r>
      <w:r w:rsidRPr="005810C3">
        <w:rPr>
          <w:szCs w:val="16"/>
        </w:rPr>
        <w:t>a pohybuje v intervale od 93,7 (2003) do 106,5 (2011)</w:t>
      </w:r>
    </w:p>
  </w:footnote>
  <w:footnote w:id="79">
    <w:p w:rsidR="00007508" w:rsidRDefault="00007508" w:rsidP="00036A6B">
      <w:pPr>
        <w:pStyle w:val="Textpoznmkypodiarou"/>
        <w:ind w:left="170" w:hanging="170"/>
      </w:pPr>
      <w:r w:rsidRPr="005810C3">
        <w:rPr>
          <w:rStyle w:val="Odkaznapoznmkupodiarou"/>
          <w:szCs w:val="16"/>
        </w:rPr>
        <w:footnoteRef/>
      </w:r>
      <w:r w:rsidRPr="005810C3">
        <w:rPr>
          <w:szCs w:val="16"/>
        </w:rPr>
        <w:t xml:space="preserve"> Podiel produktov </w:t>
      </w:r>
      <w:r>
        <w:rPr>
          <w:szCs w:val="16"/>
        </w:rPr>
        <w:t>s</w:t>
      </w:r>
      <w:r w:rsidRPr="005810C3">
        <w:rPr>
          <w:szCs w:val="16"/>
        </w:rPr>
        <w:t xml:space="preserve">lovenského hydinárskeho priemyslu </w:t>
      </w:r>
      <w:r>
        <w:rPr>
          <w:szCs w:val="16"/>
        </w:rPr>
        <w:t>k</w:t>
      </w:r>
      <w:r w:rsidRPr="005810C3">
        <w:rPr>
          <w:szCs w:val="16"/>
        </w:rPr>
        <w:t xml:space="preserve">lesol o viac </w:t>
      </w:r>
      <w:r>
        <w:rPr>
          <w:szCs w:val="16"/>
        </w:rPr>
        <w:t>ak</w:t>
      </w:r>
      <w:r w:rsidRPr="005810C3">
        <w:rPr>
          <w:szCs w:val="16"/>
        </w:rPr>
        <w:t xml:space="preserve">o 50 p. b. </w:t>
      </w:r>
      <w:r>
        <w:rPr>
          <w:szCs w:val="16"/>
        </w:rPr>
        <w:t>a </w:t>
      </w:r>
      <w:r w:rsidRPr="005810C3">
        <w:rPr>
          <w:szCs w:val="16"/>
        </w:rPr>
        <w:t xml:space="preserve">podiel produktov mäsového </w:t>
      </w:r>
      <w:r>
        <w:rPr>
          <w:szCs w:val="16"/>
        </w:rPr>
        <w:t>a </w:t>
      </w:r>
      <w:r w:rsidRPr="005810C3">
        <w:rPr>
          <w:szCs w:val="16"/>
        </w:rPr>
        <w:t>mliekarenského priemyslu približne o 40 p.</w:t>
      </w:r>
      <w:r>
        <w:rPr>
          <w:szCs w:val="16"/>
        </w:rPr>
        <w:t xml:space="preserve"> </w:t>
      </w:r>
      <w:r w:rsidRPr="005810C3">
        <w:rPr>
          <w:szCs w:val="16"/>
        </w:rPr>
        <w:t xml:space="preserve">b. O tretinu </w:t>
      </w:r>
      <w:r>
        <w:rPr>
          <w:szCs w:val="16"/>
        </w:rPr>
        <w:t>k</w:t>
      </w:r>
      <w:r w:rsidRPr="005810C3">
        <w:rPr>
          <w:szCs w:val="16"/>
        </w:rPr>
        <w:t xml:space="preserve">lesol </w:t>
      </w:r>
      <w:r>
        <w:rPr>
          <w:szCs w:val="16"/>
        </w:rPr>
        <w:t>a</w:t>
      </w:r>
      <w:r w:rsidRPr="005810C3">
        <w:rPr>
          <w:szCs w:val="16"/>
        </w:rPr>
        <w:t xml:space="preserve">j podiel výrobkov </w:t>
      </w:r>
      <w:r>
        <w:rPr>
          <w:szCs w:val="16"/>
        </w:rPr>
        <w:t>s</w:t>
      </w:r>
      <w:r w:rsidRPr="005810C3">
        <w:rPr>
          <w:szCs w:val="16"/>
        </w:rPr>
        <w:t xml:space="preserve">lovenského mlynského </w:t>
      </w:r>
      <w:r>
        <w:rPr>
          <w:szCs w:val="16"/>
        </w:rPr>
        <w:t>a </w:t>
      </w:r>
      <w:r w:rsidRPr="005810C3">
        <w:rPr>
          <w:szCs w:val="16"/>
        </w:rPr>
        <w:t>tukového priemyslu</w:t>
      </w:r>
    </w:p>
  </w:footnote>
  <w:footnote w:id="80">
    <w:p w:rsidR="00007508" w:rsidRDefault="00007508" w:rsidP="002A3A1E">
      <w:pPr>
        <w:pStyle w:val="Textpoznmkypodiarou"/>
      </w:pPr>
      <w:r w:rsidRPr="005810C3">
        <w:rPr>
          <w:rStyle w:val="Odkaznapoznmkupodiarou"/>
          <w:szCs w:val="16"/>
        </w:rPr>
        <w:footnoteRef/>
      </w:r>
      <w:r w:rsidRPr="005810C3">
        <w:rPr>
          <w:szCs w:val="16"/>
        </w:rPr>
        <w:t xml:space="preserve"> Zdroj: Návrh Operačného programu Rybné hospodárstvo </w:t>
      </w:r>
      <w:r>
        <w:rPr>
          <w:szCs w:val="16"/>
        </w:rPr>
        <w:t>S</w:t>
      </w:r>
      <w:r w:rsidRPr="005810C3">
        <w:rPr>
          <w:szCs w:val="16"/>
        </w:rPr>
        <w:t>R 2014</w:t>
      </w:r>
      <w:r>
        <w:rPr>
          <w:szCs w:val="16"/>
        </w:rPr>
        <w:t xml:space="preserve"> – </w:t>
      </w:r>
      <w:r w:rsidRPr="005810C3">
        <w:rPr>
          <w:szCs w:val="16"/>
        </w:rPr>
        <w:t>2020</w:t>
      </w:r>
    </w:p>
  </w:footnote>
  <w:footnote w:id="81">
    <w:p w:rsidR="00007508" w:rsidRDefault="00007508">
      <w:pPr>
        <w:pStyle w:val="Textpoznmkypodiarou"/>
      </w:pPr>
      <w:r w:rsidRPr="005810C3">
        <w:rPr>
          <w:rStyle w:val="Odkaznapoznmkupodiarou"/>
          <w:szCs w:val="16"/>
        </w:rPr>
        <w:footnoteRef/>
      </w:r>
      <w:r w:rsidRPr="005810C3">
        <w:rPr>
          <w:szCs w:val="16"/>
        </w:rPr>
        <w:t xml:space="preserve"> </w:t>
      </w:r>
      <w:r>
        <w:rPr>
          <w:szCs w:val="16"/>
        </w:rPr>
        <w:t>Zdroj: Štatistický úrad SR;V</w:t>
      </w:r>
      <w:r w:rsidRPr="005810C3">
        <w:rPr>
          <w:szCs w:val="16"/>
        </w:rPr>
        <w:t xml:space="preserve"> roku 2011 predstavovala </w:t>
      </w:r>
      <w:r>
        <w:rPr>
          <w:szCs w:val="16"/>
        </w:rPr>
        <w:t>s</w:t>
      </w:r>
      <w:r w:rsidRPr="005810C3">
        <w:rPr>
          <w:szCs w:val="16"/>
        </w:rPr>
        <w:t xml:space="preserve">potreba rýb na jedného obyvateľa 4,7 </w:t>
      </w:r>
      <w:r>
        <w:rPr>
          <w:szCs w:val="16"/>
        </w:rPr>
        <w:t>k</w:t>
      </w:r>
      <w:r w:rsidRPr="005810C3">
        <w:rPr>
          <w:szCs w:val="16"/>
        </w:rPr>
        <w:t>g/rok</w:t>
      </w:r>
    </w:p>
  </w:footnote>
  <w:footnote w:id="82">
    <w:p w:rsidR="00007508" w:rsidRDefault="00007508" w:rsidP="001B6C78">
      <w:pPr>
        <w:pStyle w:val="Textpoznmkypodiarou"/>
      </w:pPr>
      <w:r w:rsidRPr="005810C3">
        <w:rPr>
          <w:rStyle w:val="Odkaznapoznmkupodiarou"/>
          <w:szCs w:val="16"/>
        </w:rPr>
        <w:footnoteRef/>
      </w:r>
      <w:r w:rsidRPr="005810C3">
        <w:rPr>
          <w:szCs w:val="16"/>
        </w:rPr>
        <w:t xml:space="preserve"> </w:t>
      </w:r>
      <w:r>
        <w:rPr>
          <w:szCs w:val="16"/>
        </w:rPr>
        <w:t xml:space="preserve">Zdroj: </w:t>
      </w:r>
      <w:hyperlink r:id="rId12" w:history="1">
        <w:r w:rsidRPr="00757E32">
          <w:rPr>
            <w:rStyle w:val="Hypertextovprepojenie"/>
            <w:szCs w:val="16"/>
          </w:rPr>
          <w:t>http://www.telecom.gov.sk/index/index.php?ids=147132</w:t>
        </w:r>
      </w:hyperlink>
    </w:p>
  </w:footnote>
  <w:footnote w:id="83">
    <w:p w:rsidR="00007508" w:rsidRDefault="00007508" w:rsidP="001B6C78">
      <w:pPr>
        <w:pStyle w:val="Textpoznmkypodiarou"/>
      </w:pPr>
      <w:r w:rsidRPr="005810C3">
        <w:rPr>
          <w:rStyle w:val="Odkaznapoznmkupodiarou"/>
          <w:szCs w:val="16"/>
        </w:rPr>
        <w:footnoteRef/>
      </w:r>
      <w:r w:rsidRPr="005810C3">
        <w:rPr>
          <w:szCs w:val="16"/>
        </w:rPr>
        <w:t xml:space="preserve"> </w:t>
      </w:r>
      <w:r>
        <w:rPr>
          <w:szCs w:val="16"/>
        </w:rPr>
        <w:t>V </w:t>
      </w:r>
      <w:r w:rsidRPr="005810C3">
        <w:rPr>
          <w:szCs w:val="16"/>
        </w:rPr>
        <w:t>zmysle</w:t>
      </w:r>
      <w:r>
        <w:rPr>
          <w:szCs w:val="16"/>
        </w:rPr>
        <w:t xml:space="preserve"> dokumentu</w:t>
      </w:r>
      <w:r w:rsidRPr="005810C3">
        <w:rPr>
          <w:szCs w:val="16"/>
        </w:rPr>
        <w:t xml:space="preserve"> </w:t>
      </w:r>
      <w:r>
        <w:rPr>
          <w:szCs w:val="16"/>
        </w:rPr>
        <w:t>„</w:t>
      </w:r>
      <w:r>
        <w:rPr>
          <w:rFonts w:cs="Arial"/>
          <w:szCs w:val="16"/>
        </w:rPr>
        <w:t>S</w:t>
      </w:r>
      <w:r w:rsidRPr="005810C3">
        <w:rPr>
          <w:rFonts w:cs="Arial"/>
          <w:szCs w:val="16"/>
        </w:rPr>
        <w:t xml:space="preserve">tratégia modernizácie colných priechodov </w:t>
      </w:r>
      <w:r>
        <w:rPr>
          <w:rFonts w:cs="Arial"/>
          <w:szCs w:val="16"/>
        </w:rPr>
        <w:t>a </w:t>
      </w:r>
      <w:r w:rsidRPr="005810C3">
        <w:rPr>
          <w:rFonts w:cs="Arial"/>
          <w:szCs w:val="16"/>
        </w:rPr>
        <w:t>budovania</w:t>
      </w:r>
      <w:r w:rsidRPr="005810C3">
        <w:t xml:space="preserve"> </w:t>
      </w:r>
      <w:r>
        <w:t>k</w:t>
      </w:r>
      <w:r w:rsidRPr="005810C3">
        <w:t xml:space="preserve">apacít v colníctve na roky 2014 </w:t>
      </w:r>
      <w:r>
        <w:t>–</w:t>
      </w:r>
      <w:r w:rsidRPr="005810C3">
        <w:t xml:space="preserve"> 2020</w:t>
      </w:r>
      <w:r>
        <w:t>“</w:t>
      </w:r>
    </w:p>
  </w:footnote>
  <w:footnote w:id="84">
    <w:p w:rsidR="00007508" w:rsidRDefault="00007508" w:rsidP="005208F9">
      <w:pPr>
        <w:pStyle w:val="Textpoznmkypodiarou"/>
        <w:ind w:left="170" w:hanging="170"/>
      </w:pPr>
      <w:r w:rsidRPr="005810C3">
        <w:rPr>
          <w:rStyle w:val="Odkaznapoznmkupodiarou"/>
          <w:szCs w:val="16"/>
        </w:rPr>
        <w:footnoteRef/>
      </w:r>
      <w:r w:rsidRPr="005810C3">
        <w:rPr>
          <w:szCs w:val="16"/>
        </w:rPr>
        <w:t xml:space="preserve"> Údaje vychádzajú z celoštátneho </w:t>
      </w:r>
      <w:r>
        <w:rPr>
          <w:szCs w:val="16"/>
        </w:rPr>
        <w:t>s</w:t>
      </w:r>
      <w:r w:rsidRPr="005810C3">
        <w:rPr>
          <w:szCs w:val="16"/>
        </w:rPr>
        <w:t xml:space="preserve">čítania cestnej dopravy, </w:t>
      </w:r>
      <w:r>
        <w:rPr>
          <w:szCs w:val="16"/>
        </w:rPr>
        <w:t>k</w:t>
      </w:r>
      <w:r w:rsidRPr="005810C3">
        <w:rPr>
          <w:szCs w:val="16"/>
        </w:rPr>
        <w:t xml:space="preserve">toré </w:t>
      </w:r>
      <w:r>
        <w:rPr>
          <w:szCs w:val="16"/>
        </w:rPr>
        <w:t>s</w:t>
      </w:r>
      <w:r w:rsidRPr="005810C3">
        <w:rPr>
          <w:szCs w:val="16"/>
        </w:rPr>
        <w:t xml:space="preserve">a vykonáva raz za 5 rokov. Posledné </w:t>
      </w:r>
      <w:r>
        <w:rPr>
          <w:szCs w:val="16"/>
        </w:rPr>
        <w:t>s</w:t>
      </w:r>
      <w:r w:rsidRPr="005810C3">
        <w:rPr>
          <w:szCs w:val="16"/>
        </w:rPr>
        <w:t>čítanie bolo realizované v roku 2010, nasledujúce bude v roku 2015</w:t>
      </w:r>
      <w:r>
        <w:rPr>
          <w:szCs w:val="16"/>
        </w:rPr>
        <w:t xml:space="preserve">, Slovenská správa ciest, </w:t>
      </w:r>
      <w:hyperlink r:id="rId13" w:history="1">
        <w:r w:rsidRPr="001107CE">
          <w:rPr>
            <w:rStyle w:val="Hypertextovprepojenie"/>
            <w:szCs w:val="16"/>
          </w:rPr>
          <w:t>http://www.cdb.sk/sk/Vystupy-CDB/Statisticke-prehlady/Dlzky-cestnych-komunikacii.alej</w:t>
        </w:r>
      </w:hyperlink>
    </w:p>
  </w:footnote>
  <w:footnote w:id="85">
    <w:p w:rsidR="00007508" w:rsidRDefault="00007508" w:rsidP="001B6C78">
      <w:pPr>
        <w:pStyle w:val="Textpoznmkypodiarou"/>
      </w:pPr>
      <w:r w:rsidRPr="005810C3">
        <w:rPr>
          <w:rStyle w:val="Odkaznapoznmkupodiarou"/>
          <w:szCs w:val="16"/>
        </w:rPr>
        <w:footnoteRef/>
      </w:r>
      <w:r w:rsidRPr="005810C3">
        <w:rPr>
          <w:szCs w:val="16"/>
        </w:rPr>
        <w:t xml:space="preserve"> Očakávaný vývoj dopravy do roku 2020 – štúdia VÚD </w:t>
      </w:r>
      <w:r>
        <w:rPr>
          <w:szCs w:val="16"/>
        </w:rPr>
        <w:t>a </w:t>
      </w:r>
      <w:r w:rsidRPr="005810C3">
        <w:rPr>
          <w:szCs w:val="16"/>
        </w:rPr>
        <w:t>.</w:t>
      </w:r>
      <w:r>
        <w:rPr>
          <w:szCs w:val="16"/>
        </w:rPr>
        <w:t>s</w:t>
      </w:r>
      <w:r w:rsidRPr="005810C3">
        <w:rPr>
          <w:szCs w:val="16"/>
        </w:rPr>
        <w:t xml:space="preserve">. Žilina, </w:t>
      </w:r>
      <w:r>
        <w:rPr>
          <w:szCs w:val="16"/>
        </w:rPr>
        <w:t>s</w:t>
      </w:r>
      <w:r w:rsidRPr="005810C3">
        <w:rPr>
          <w:szCs w:val="16"/>
        </w:rPr>
        <w:t>eptember 2007</w:t>
      </w:r>
    </w:p>
  </w:footnote>
  <w:footnote w:id="86">
    <w:p w:rsidR="00007508" w:rsidRDefault="00007508" w:rsidP="001B6C78">
      <w:pPr>
        <w:pStyle w:val="Textpoznmkypodiarou"/>
      </w:pPr>
      <w:r w:rsidRPr="005810C3">
        <w:rPr>
          <w:rStyle w:val="Odkaznapoznmkupodiarou"/>
          <w:szCs w:val="16"/>
        </w:rPr>
        <w:footnoteRef/>
      </w:r>
      <w:r w:rsidRPr="005810C3">
        <w:rPr>
          <w:szCs w:val="16"/>
        </w:rPr>
        <w:t xml:space="preserve"> </w:t>
      </w:r>
      <w:r>
        <w:rPr>
          <w:szCs w:val="16"/>
        </w:rPr>
        <w:t>G</w:t>
      </w:r>
      <w:r w:rsidRPr="005810C3">
        <w:rPr>
          <w:szCs w:val="16"/>
        </w:rPr>
        <w:t xml:space="preserve">raf. Tempo výstavby diaľnic </w:t>
      </w:r>
      <w:r>
        <w:rPr>
          <w:szCs w:val="16"/>
        </w:rPr>
        <w:t>a </w:t>
      </w:r>
      <w:r w:rsidRPr="005810C3">
        <w:rPr>
          <w:szCs w:val="16"/>
        </w:rPr>
        <w:t>RC</w:t>
      </w:r>
    </w:p>
  </w:footnote>
  <w:footnote w:id="87">
    <w:p w:rsidR="00007508" w:rsidRDefault="00007508" w:rsidP="001B6C78">
      <w:pPr>
        <w:pStyle w:val="Textpoznmkypodiarou"/>
      </w:pPr>
      <w:r w:rsidRPr="005810C3">
        <w:rPr>
          <w:rStyle w:val="Odkaznapoznmkupodiarou"/>
          <w:szCs w:val="16"/>
        </w:rPr>
        <w:footnoteRef/>
      </w:r>
      <w:r w:rsidRPr="005810C3">
        <w:rPr>
          <w:szCs w:val="16"/>
        </w:rPr>
        <w:t xml:space="preserve"> </w:t>
      </w:r>
      <w:r>
        <w:rPr>
          <w:szCs w:val="16"/>
        </w:rPr>
        <w:t>Zdroj: S</w:t>
      </w:r>
      <w:r w:rsidRPr="005810C3">
        <w:rPr>
          <w:szCs w:val="16"/>
        </w:rPr>
        <w:t xml:space="preserve">tratégia rozvoja dopravy </w:t>
      </w:r>
      <w:r>
        <w:rPr>
          <w:szCs w:val="16"/>
        </w:rPr>
        <w:t>S</w:t>
      </w:r>
      <w:r w:rsidRPr="005810C3">
        <w:rPr>
          <w:szCs w:val="16"/>
        </w:rPr>
        <w:t>R do roku 2020</w:t>
      </w:r>
    </w:p>
  </w:footnote>
  <w:footnote w:id="88">
    <w:p w:rsidR="00007508" w:rsidRDefault="00007508" w:rsidP="00FA6430">
      <w:pPr>
        <w:pStyle w:val="Textpoznmkypodiarou"/>
        <w:ind w:left="170" w:hanging="170"/>
      </w:pPr>
      <w:r>
        <w:rPr>
          <w:rStyle w:val="Odkaznapoznmkupodiarou"/>
        </w:rPr>
        <w:footnoteRef/>
      </w:r>
      <w:r>
        <w:t xml:space="preserve"> </w:t>
      </w:r>
      <w:r w:rsidRPr="00A92F9C">
        <w:t>K</w:t>
      </w:r>
      <w:r>
        <w:t> </w:t>
      </w:r>
      <w:r w:rsidRPr="00A92F9C">
        <w:t>znižovaniu</w:t>
      </w:r>
      <w:r>
        <w:t xml:space="preserve"> </w:t>
      </w:r>
      <w:r w:rsidRPr="00A92F9C">
        <w:t>nehodovosti na pozemných komunikáciách má prispieť aj smernica Európskeho parlamentu a Rady 2008/96/ES o</w:t>
      </w:r>
      <w:r>
        <w:t> </w:t>
      </w:r>
      <w:r w:rsidRPr="00A92F9C">
        <w:t>riadení</w:t>
      </w:r>
      <w:r>
        <w:t xml:space="preserve"> </w:t>
      </w:r>
      <w:r w:rsidRPr="00A92F9C">
        <w:t>bezpečnosti cestnej infraštruktúry. V</w:t>
      </w:r>
      <w:r>
        <w:t> </w:t>
      </w:r>
      <w:r w:rsidRPr="00A92F9C">
        <w:t>súlade</w:t>
      </w:r>
      <w:r>
        <w:t xml:space="preserve"> </w:t>
      </w:r>
      <w:r w:rsidRPr="00A92F9C">
        <w:t>so smernicou boli v SR stanovené postupy, ktoré by mali byť významným nástrojom na zlepšenie bezpečnosti cestnej infraštruktúry (pozri zákon č. 249/2011 Z. z. o</w:t>
      </w:r>
      <w:r>
        <w:t> </w:t>
      </w:r>
      <w:r w:rsidRPr="00A92F9C">
        <w:t>riadení</w:t>
      </w:r>
      <w:r>
        <w:t xml:space="preserve"> </w:t>
      </w:r>
      <w:r w:rsidRPr="00A92F9C">
        <w:t>bezpečnosti pozemných komunikácií a</w:t>
      </w:r>
      <w:r>
        <w:t> </w:t>
      </w:r>
      <w:r w:rsidRPr="00A92F9C">
        <w:t>o</w:t>
      </w:r>
      <w:r>
        <w:t> </w:t>
      </w:r>
      <w:r w:rsidRPr="00A92F9C">
        <w:t>zmene</w:t>
      </w:r>
      <w:r>
        <w:t xml:space="preserve"> </w:t>
      </w:r>
      <w:r w:rsidRPr="00A92F9C">
        <w:t>a doplnení niektorých zákonov v</w:t>
      </w:r>
      <w:r>
        <w:t> </w:t>
      </w:r>
      <w:r w:rsidRPr="00A92F9C">
        <w:t>znení</w:t>
      </w:r>
      <w:r>
        <w:t xml:space="preserve"> </w:t>
      </w:r>
      <w:r w:rsidRPr="00A92F9C">
        <w:t>neskorších predpisov a</w:t>
      </w:r>
      <w:r>
        <w:t> </w:t>
      </w:r>
      <w:r w:rsidRPr="00A92F9C">
        <w:t>vyhlášky</w:t>
      </w:r>
      <w:r>
        <w:t xml:space="preserve"> </w:t>
      </w:r>
      <w:r w:rsidRPr="00A92F9C">
        <w:t>č. 251/2011 Z. z., ktorou sa ustanovujú podrobnosti riadenia bezpečnosti pozemných komunikácií a</w:t>
      </w:r>
      <w:r>
        <w:t> </w:t>
      </w:r>
      <w:r w:rsidRPr="00A92F9C">
        <w:t>vyhlášky</w:t>
      </w:r>
      <w:r>
        <w:t xml:space="preserve"> </w:t>
      </w:r>
      <w:r w:rsidRPr="00A92F9C">
        <w:t>č. 135/2012 Z. z., ktorou sa ustanovujú podrobnosti o</w:t>
      </w:r>
      <w:r>
        <w:t> </w:t>
      </w:r>
      <w:r w:rsidRPr="00A92F9C">
        <w:t>odbornej</w:t>
      </w:r>
      <w:r>
        <w:t xml:space="preserve"> </w:t>
      </w:r>
      <w:r w:rsidRPr="00A92F9C">
        <w:t>príprave, o</w:t>
      </w:r>
      <w:r>
        <w:t> </w:t>
      </w:r>
      <w:r w:rsidRPr="00A92F9C">
        <w:t>odbornej</w:t>
      </w:r>
      <w:r>
        <w:t xml:space="preserve"> </w:t>
      </w:r>
      <w:r w:rsidRPr="00A92F9C">
        <w:t>skúške a</w:t>
      </w:r>
      <w:r>
        <w:t> </w:t>
      </w:r>
      <w:r w:rsidRPr="00A92F9C">
        <w:t>o</w:t>
      </w:r>
      <w:r>
        <w:t> </w:t>
      </w:r>
      <w:r w:rsidRPr="00A92F9C">
        <w:t>výkone</w:t>
      </w:r>
      <w:r>
        <w:t xml:space="preserve"> </w:t>
      </w:r>
      <w:r w:rsidRPr="00A92F9C">
        <w:t>činnosti audítora bezpečnosti pozemnej komunikácie, o</w:t>
      </w:r>
      <w:r>
        <w:t> </w:t>
      </w:r>
      <w:r w:rsidRPr="00A92F9C">
        <w:t>zápise</w:t>
      </w:r>
      <w:r>
        <w:t xml:space="preserve"> </w:t>
      </w:r>
      <w:r w:rsidRPr="00A92F9C">
        <w:t>do zoznamu audítorov bezpečnosti pozemných komunikácií a o zápise do zoznamu vzdelávacích inštitúcií akreditovaných v</w:t>
      </w:r>
      <w:r>
        <w:t> </w:t>
      </w:r>
      <w:r w:rsidRPr="00A92F9C">
        <w:t>odbore</w:t>
      </w:r>
      <w:r>
        <w:t xml:space="preserve"> </w:t>
      </w:r>
      <w:r w:rsidRPr="00A92F9C">
        <w:t>riadenia bezpečnosti pozemných komunikácií)</w:t>
      </w:r>
    </w:p>
  </w:footnote>
  <w:footnote w:id="89">
    <w:p w:rsidR="00007508" w:rsidRDefault="00007508" w:rsidP="001B6C78">
      <w:pPr>
        <w:pStyle w:val="Textpoznmkypodiarou"/>
      </w:pPr>
      <w:r w:rsidRPr="005810C3">
        <w:rPr>
          <w:rStyle w:val="Odkaznapoznmkupodiarou"/>
          <w:szCs w:val="16"/>
        </w:rPr>
        <w:footnoteRef/>
      </w:r>
      <w:r w:rsidRPr="005810C3">
        <w:rPr>
          <w:szCs w:val="16"/>
        </w:rPr>
        <w:t xml:space="preserve"> </w:t>
      </w:r>
      <w:r>
        <w:rPr>
          <w:szCs w:val="16"/>
        </w:rPr>
        <w:t>V</w:t>
      </w:r>
      <w:r w:rsidRPr="005810C3">
        <w:rPr>
          <w:szCs w:val="16"/>
        </w:rPr>
        <w:t xml:space="preserve"> roku 2012 predstavovala dĺžka ciest II. triedy 3 637 </w:t>
      </w:r>
      <w:r>
        <w:rPr>
          <w:szCs w:val="16"/>
        </w:rPr>
        <w:t>k</w:t>
      </w:r>
      <w:r w:rsidRPr="005810C3">
        <w:rPr>
          <w:szCs w:val="16"/>
        </w:rPr>
        <w:t xml:space="preserve">m </w:t>
      </w:r>
      <w:r>
        <w:rPr>
          <w:szCs w:val="16"/>
        </w:rPr>
        <w:t>a</w:t>
      </w:r>
      <w:r w:rsidRPr="005810C3">
        <w:rPr>
          <w:szCs w:val="16"/>
        </w:rPr>
        <w:t xml:space="preserve"> III. triedy 10 415 </w:t>
      </w:r>
      <w:r>
        <w:rPr>
          <w:szCs w:val="16"/>
        </w:rPr>
        <w:t>k</w:t>
      </w:r>
      <w:r w:rsidRPr="005810C3">
        <w:rPr>
          <w:szCs w:val="16"/>
        </w:rPr>
        <w:t>m</w:t>
      </w:r>
    </w:p>
  </w:footnote>
  <w:footnote w:id="90">
    <w:p w:rsidR="00007508" w:rsidRDefault="00007508" w:rsidP="00945BD4">
      <w:pPr>
        <w:spacing w:before="0" w:after="0"/>
        <w:ind w:left="170" w:hanging="170"/>
      </w:pPr>
      <w:r w:rsidRPr="005810C3">
        <w:rPr>
          <w:rStyle w:val="Odkaznapoznmkupodiarou"/>
          <w:rFonts w:asciiTheme="majorHAnsi" w:hAnsiTheme="majorHAnsi"/>
          <w:sz w:val="16"/>
          <w:szCs w:val="16"/>
        </w:rPr>
        <w:footnoteRef/>
      </w:r>
      <w:r w:rsidRPr="005810C3">
        <w:rPr>
          <w:rFonts w:asciiTheme="majorHAnsi" w:hAnsiTheme="majorHAnsi"/>
          <w:sz w:val="16"/>
          <w:szCs w:val="16"/>
        </w:rPr>
        <w:t xml:space="preserve"> </w:t>
      </w:r>
      <w:r>
        <w:rPr>
          <w:rFonts w:asciiTheme="majorHAnsi" w:hAnsiTheme="majorHAnsi"/>
          <w:sz w:val="16"/>
          <w:szCs w:val="16"/>
        </w:rPr>
        <w:t>Eur</w:t>
      </w:r>
      <w:r w:rsidRPr="005810C3">
        <w:rPr>
          <w:rFonts w:asciiTheme="majorHAnsi" w:hAnsiTheme="majorHAnsi"/>
          <w:sz w:val="16"/>
          <w:szCs w:val="16"/>
        </w:rPr>
        <w:t>ópska dohoda o</w:t>
      </w:r>
      <w:r>
        <w:rPr>
          <w:rFonts w:asciiTheme="majorHAnsi" w:hAnsiTheme="majorHAnsi"/>
          <w:sz w:val="16"/>
          <w:szCs w:val="16"/>
        </w:rPr>
        <w:t> </w:t>
      </w:r>
      <w:r w:rsidRPr="005810C3">
        <w:rPr>
          <w:rFonts w:asciiTheme="majorHAnsi" w:hAnsiTheme="majorHAnsi"/>
          <w:sz w:val="16"/>
          <w:szCs w:val="16"/>
        </w:rPr>
        <w:t>medzinárodných</w:t>
      </w:r>
      <w:r>
        <w:rPr>
          <w:rFonts w:asciiTheme="majorHAnsi" w:hAnsiTheme="majorHAnsi"/>
          <w:sz w:val="16"/>
          <w:szCs w:val="16"/>
        </w:rPr>
        <w:t xml:space="preserve"> </w:t>
      </w:r>
      <w:r w:rsidRPr="005810C3">
        <w:rPr>
          <w:rFonts w:asciiTheme="majorHAnsi" w:hAnsiTheme="majorHAnsi"/>
          <w:sz w:val="16"/>
          <w:szCs w:val="16"/>
        </w:rPr>
        <w:t xml:space="preserve">železničných magistrálach, </w:t>
      </w:r>
      <w:r>
        <w:rPr>
          <w:rFonts w:asciiTheme="majorHAnsi" w:hAnsiTheme="majorHAnsi"/>
          <w:sz w:val="16"/>
          <w:szCs w:val="16"/>
        </w:rPr>
        <w:t>Eur</w:t>
      </w:r>
      <w:r w:rsidRPr="005810C3">
        <w:rPr>
          <w:rFonts w:asciiTheme="majorHAnsi" w:hAnsiTheme="majorHAnsi"/>
          <w:sz w:val="16"/>
          <w:szCs w:val="16"/>
        </w:rPr>
        <w:t>ópska dohoda o</w:t>
      </w:r>
      <w:r>
        <w:rPr>
          <w:rFonts w:asciiTheme="majorHAnsi" w:hAnsiTheme="majorHAnsi"/>
          <w:sz w:val="16"/>
          <w:szCs w:val="16"/>
        </w:rPr>
        <w:t> </w:t>
      </w:r>
      <w:r w:rsidRPr="005810C3">
        <w:rPr>
          <w:rFonts w:asciiTheme="majorHAnsi" w:hAnsiTheme="majorHAnsi"/>
          <w:sz w:val="16"/>
          <w:szCs w:val="16"/>
        </w:rPr>
        <w:t>najdôležitejších</w:t>
      </w:r>
      <w:r>
        <w:rPr>
          <w:rFonts w:asciiTheme="majorHAnsi" w:hAnsiTheme="majorHAnsi"/>
          <w:sz w:val="16"/>
          <w:szCs w:val="16"/>
        </w:rPr>
        <w:t xml:space="preserve"> </w:t>
      </w:r>
      <w:r w:rsidRPr="005810C3">
        <w:rPr>
          <w:rFonts w:asciiTheme="majorHAnsi" w:hAnsiTheme="majorHAnsi"/>
          <w:sz w:val="16"/>
          <w:szCs w:val="16"/>
        </w:rPr>
        <w:t xml:space="preserve"> trasách medzinárodnej </w:t>
      </w:r>
      <w:r>
        <w:rPr>
          <w:rFonts w:asciiTheme="majorHAnsi" w:hAnsiTheme="majorHAnsi"/>
          <w:sz w:val="16"/>
          <w:szCs w:val="16"/>
        </w:rPr>
        <w:t>k</w:t>
      </w:r>
      <w:r w:rsidRPr="005810C3">
        <w:rPr>
          <w:rFonts w:asciiTheme="majorHAnsi" w:hAnsiTheme="majorHAnsi"/>
          <w:sz w:val="16"/>
          <w:szCs w:val="16"/>
        </w:rPr>
        <w:t xml:space="preserve">ombinovanej dopravy </w:t>
      </w:r>
      <w:r>
        <w:rPr>
          <w:rFonts w:asciiTheme="majorHAnsi" w:hAnsiTheme="majorHAnsi"/>
          <w:sz w:val="16"/>
          <w:szCs w:val="16"/>
        </w:rPr>
        <w:t>a s</w:t>
      </w:r>
      <w:r w:rsidRPr="005810C3">
        <w:rPr>
          <w:rFonts w:asciiTheme="majorHAnsi" w:hAnsiTheme="majorHAnsi"/>
          <w:sz w:val="16"/>
          <w:szCs w:val="16"/>
        </w:rPr>
        <w:t>úvisiacich objektoch</w:t>
      </w:r>
    </w:p>
  </w:footnote>
  <w:footnote w:id="91">
    <w:p w:rsidR="00007508" w:rsidRDefault="00007508" w:rsidP="00945BD4">
      <w:pPr>
        <w:pStyle w:val="Textpoznmkypodiarou"/>
        <w:ind w:left="170" w:hanging="170"/>
      </w:pPr>
      <w:r w:rsidRPr="005810C3">
        <w:rPr>
          <w:rStyle w:val="Odkaznapoznmkupodiarou"/>
          <w:szCs w:val="16"/>
        </w:rPr>
        <w:footnoteRef/>
      </w:r>
      <w:r w:rsidRPr="005810C3">
        <w:rPr>
          <w:szCs w:val="16"/>
        </w:rPr>
        <w:t xml:space="preserve"> Ide najmä o</w:t>
      </w:r>
      <w:r>
        <w:rPr>
          <w:szCs w:val="16"/>
        </w:rPr>
        <w:t> </w:t>
      </w:r>
      <w:r w:rsidRPr="005810C3">
        <w:rPr>
          <w:szCs w:val="16"/>
        </w:rPr>
        <w:t>elektrifikáciu</w:t>
      </w:r>
      <w:r>
        <w:rPr>
          <w:szCs w:val="16"/>
        </w:rPr>
        <w:t xml:space="preserve"> </w:t>
      </w:r>
      <w:r w:rsidRPr="005810C3">
        <w:rPr>
          <w:szCs w:val="16"/>
        </w:rPr>
        <w:t xml:space="preserve">tratí Šurany – Zvolen – Banská Bystrica, Čadca – </w:t>
      </w:r>
      <w:r>
        <w:rPr>
          <w:szCs w:val="16"/>
        </w:rPr>
        <w:t>S</w:t>
      </w:r>
      <w:r w:rsidRPr="005810C3">
        <w:rPr>
          <w:szCs w:val="16"/>
        </w:rPr>
        <w:t xml:space="preserve">kalité – Zwardoň </w:t>
      </w:r>
      <w:r>
        <w:rPr>
          <w:szCs w:val="16"/>
        </w:rPr>
        <w:t>a </w:t>
      </w:r>
      <w:r w:rsidRPr="005810C3">
        <w:rPr>
          <w:szCs w:val="16"/>
        </w:rPr>
        <w:t>Prešov</w:t>
      </w:r>
      <w:r>
        <w:rPr>
          <w:szCs w:val="16"/>
        </w:rPr>
        <w:t xml:space="preserve"> </w:t>
      </w:r>
      <w:r w:rsidRPr="005810C3">
        <w:rPr>
          <w:szCs w:val="16"/>
        </w:rPr>
        <w:t xml:space="preserve">– Plaveč, obnovenie prechodov </w:t>
      </w:r>
      <w:r>
        <w:rPr>
          <w:szCs w:val="16"/>
        </w:rPr>
        <w:t>K</w:t>
      </w:r>
      <w:r w:rsidRPr="005810C3">
        <w:rPr>
          <w:szCs w:val="16"/>
        </w:rPr>
        <w:t xml:space="preserve">ittsee </w:t>
      </w:r>
      <w:r>
        <w:rPr>
          <w:szCs w:val="16"/>
        </w:rPr>
        <w:t>a </w:t>
      </w:r>
      <w:r w:rsidRPr="005810C3">
        <w:rPr>
          <w:szCs w:val="16"/>
        </w:rPr>
        <w:t xml:space="preserve">Lupków, modernizáciu </w:t>
      </w:r>
      <w:r>
        <w:rPr>
          <w:szCs w:val="16"/>
        </w:rPr>
        <w:t>s</w:t>
      </w:r>
      <w:r w:rsidRPr="005810C3">
        <w:rPr>
          <w:szCs w:val="16"/>
        </w:rPr>
        <w:t xml:space="preserve">taníc Bratislava </w:t>
      </w:r>
      <w:r>
        <w:rPr>
          <w:szCs w:val="16"/>
        </w:rPr>
        <w:t xml:space="preserve">– </w:t>
      </w:r>
      <w:r w:rsidRPr="005810C3">
        <w:rPr>
          <w:szCs w:val="16"/>
        </w:rPr>
        <w:t>Petržalka</w:t>
      </w:r>
      <w:r>
        <w:rPr>
          <w:szCs w:val="16"/>
        </w:rPr>
        <w:t xml:space="preserve"> a </w:t>
      </w:r>
      <w:r w:rsidRPr="005810C3">
        <w:rPr>
          <w:szCs w:val="16"/>
        </w:rPr>
        <w:t xml:space="preserve">Čadca, výstavbu </w:t>
      </w:r>
      <w:r>
        <w:rPr>
          <w:szCs w:val="16"/>
        </w:rPr>
        <w:t>k</w:t>
      </w:r>
      <w:r w:rsidRPr="005810C3">
        <w:rPr>
          <w:szCs w:val="16"/>
        </w:rPr>
        <w:t>ontajnerového terminálu v</w:t>
      </w:r>
      <w:r>
        <w:rPr>
          <w:szCs w:val="16"/>
        </w:rPr>
        <w:t> </w:t>
      </w:r>
      <w:r w:rsidRPr="005810C3">
        <w:rPr>
          <w:szCs w:val="16"/>
        </w:rPr>
        <w:t>Dobrej</w:t>
      </w:r>
      <w:r>
        <w:rPr>
          <w:szCs w:val="16"/>
        </w:rPr>
        <w:t xml:space="preserve"> </w:t>
      </w:r>
      <w:r w:rsidRPr="005810C3">
        <w:rPr>
          <w:szCs w:val="16"/>
        </w:rPr>
        <w:t xml:space="preserve">pri Čiernej nad Tisou </w:t>
      </w:r>
      <w:r>
        <w:rPr>
          <w:szCs w:val="16"/>
        </w:rPr>
        <w:t>a </w:t>
      </w:r>
      <w:r w:rsidRPr="005810C3">
        <w:rPr>
          <w:szCs w:val="16"/>
        </w:rPr>
        <w:t>inštaláciu</w:t>
      </w:r>
      <w:r>
        <w:rPr>
          <w:szCs w:val="16"/>
        </w:rPr>
        <w:t xml:space="preserve"> </w:t>
      </w:r>
      <w:r w:rsidRPr="005810C3">
        <w:rPr>
          <w:szCs w:val="16"/>
        </w:rPr>
        <w:t>diaľkového zabezpečovacieho zariadenia na niektorých významnejších miestnych železniciach</w:t>
      </w:r>
    </w:p>
  </w:footnote>
  <w:footnote w:id="92">
    <w:p w:rsidR="00007508" w:rsidRDefault="00007508" w:rsidP="000D5B94">
      <w:pPr>
        <w:pStyle w:val="Textpoznmkypodiarou"/>
        <w:ind w:left="170" w:hanging="170"/>
      </w:pPr>
      <w:r w:rsidRPr="005810C3">
        <w:rPr>
          <w:rStyle w:val="Odkaznapoznmkupodiarou"/>
          <w:szCs w:val="16"/>
        </w:rPr>
        <w:footnoteRef/>
      </w:r>
      <w:r w:rsidRPr="005810C3">
        <w:rPr>
          <w:szCs w:val="16"/>
        </w:rPr>
        <w:t xml:space="preserve"> </w:t>
      </w:r>
      <w:r>
        <w:rPr>
          <w:szCs w:val="16"/>
        </w:rPr>
        <w:t>M</w:t>
      </w:r>
      <w:r w:rsidRPr="005810C3">
        <w:rPr>
          <w:szCs w:val="16"/>
        </w:rPr>
        <w:t xml:space="preserve">nohé terminály majú </w:t>
      </w:r>
      <w:r>
        <w:rPr>
          <w:szCs w:val="16"/>
        </w:rPr>
        <w:t>k</w:t>
      </w:r>
      <w:r w:rsidRPr="005810C3">
        <w:rPr>
          <w:szCs w:val="16"/>
        </w:rPr>
        <w:t xml:space="preserve"> dispozícii len </w:t>
      </w:r>
      <w:r>
        <w:rPr>
          <w:szCs w:val="16"/>
        </w:rPr>
        <w:t>koľaje</w:t>
      </w:r>
      <w:r w:rsidRPr="005810C3">
        <w:rPr>
          <w:szCs w:val="16"/>
        </w:rPr>
        <w:t xml:space="preserve"> </w:t>
      </w:r>
      <w:r>
        <w:rPr>
          <w:szCs w:val="16"/>
        </w:rPr>
        <w:t>s </w:t>
      </w:r>
      <w:r w:rsidRPr="005810C3">
        <w:rPr>
          <w:szCs w:val="16"/>
        </w:rPr>
        <w:t xml:space="preserve">celkovou dĺžkou menšou </w:t>
      </w:r>
      <w:r>
        <w:rPr>
          <w:szCs w:val="16"/>
        </w:rPr>
        <w:t>ak</w:t>
      </w:r>
      <w:r w:rsidRPr="005810C3">
        <w:rPr>
          <w:szCs w:val="16"/>
        </w:rPr>
        <w:t xml:space="preserve">o 300 metrov. To znamená, že blokové vlaky musia byť rozdelené </w:t>
      </w:r>
      <w:r>
        <w:rPr>
          <w:szCs w:val="16"/>
        </w:rPr>
        <w:t>a k</w:t>
      </w:r>
      <w:r w:rsidRPr="005810C3">
        <w:rPr>
          <w:szCs w:val="16"/>
        </w:rPr>
        <w:t xml:space="preserve">aždá časť vlaku musí byť preložená </w:t>
      </w:r>
      <w:r>
        <w:rPr>
          <w:szCs w:val="16"/>
        </w:rPr>
        <w:t>s</w:t>
      </w:r>
      <w:r w:rsidRPr="005810C3">
        <w:rPr>
          <w:szCs w:val="16"/>
        </w:rPr>
        <w:t>amostatne, čo znamená neproduktívne dodatočné prekládkové operácie</w:t>
      </w:r>
    </w:p>
  </w:footnote>
  <w:footnote w:id="93">
    <w:p w:rsidR="00007508" w:rsidRDefault="00007508" w:rsidP="000D5B94">
      <w:pPr>
        <w:pStyle w:val="Textpoznmkypodiarou"/>
        <w:ind w:left="170" w:hanging="170"/>
      </w:pPr>
      <w:r w:rsidRPr="005810C3">
        <w:rPr>
          <w:rStyle w:val="Odkaznapoznmkupodiarou"/>
          <w:szCs w:val="16"/>
        </w:rPr>
        <w:footnoteRef/>
      </w:r>
      <w:r w:rsidRPr="005810C3">
        <w:rPr>
          <w:szCs w:val="16"/>
        </w:rPr>
        <w:t xml:space="preserve"> </w:t>
      </w:r>
      <w:r>
        <w:rPr>
          <w:szCs w:val="16"/>
        </w:rPr>
        <w:t>S </w:t>
      </w:r>
      <w:r w:rsidRPr="005810C3">
        <w:rPr>
          <w:szCs w:val="16"/>
        </w:rPr>
        <w:t xml:space="preserve">vyťaženosťou pod 50 % maximálnej </w:t>
      </w:r>
      <w:r>
        <w:rPr>
          <w:szCs w:val="16"/>
        </w:rPr>
        <w:t>k</w:t>
      </w:r>
      <w:r w:rsidRPr="005810C3">
        <w:rPr>
          <w:szCs w:val="16"/>
        </w:rPr>
        <w:t xml:space="preserve">apacity jazdí 974 </w:t>
      </w:r>
      <w:r>
        <w:rPr>
          <w:szCs w:val="16"/>
        </w:rPr>
        <w:t>s</w:t>
      </w:r>
      <w:r w:rsidRPr="005810C3">
        <w:rPr>
          <w:szCs w:val="16"/>
        </w:rPr>
        <w:t xml:space="preserve">pojov, teda 56 % vlakov. Pod 25 % obsadenosti jazdí 388 vlakov, takmer štvrtina všetkých </w:t>
      </w:r>
      <w:r>
        <w:rPr>
          <w:szCs w:val="16"/>
        </w:rPr>
        <w:t>s</w:t>
      </w:r>
      <w:r w:rsidRPr="005810C3">
        <w:rPr>
          <w:szCs w:val="16"/>
        </w:rPr>
        <w:t xml:space="preserve">pojov. </w:t>
      </w:r>
      <w:r>
        <w:rPr>
          <w:szCs w:val="16"/>
        </w:rPr>
        <w:t>A</w:t>
      </w:r>
      <w:r w:rsidRPr="005810C3">
        <w:rPr>
          <w:szCs w:val="16"/>
        </w:rPr>
        <w:t xml:space="preserve">ni desatinu </w:t>
      </w:r>
      <w:r>
        <w:rPr>
          <w:szCs w:val="16"/>
        </w:rPr>
        <w:t>s</w:t>
      </w:r>
      <w:r w:rsidRPr="005810C3">
        <w:rPr>
          <w:szCs w:val="16"/>
        </w:rPr>
        <w:t xml:space="preserve">vojej </w:t>
      </w:r>
      <w:r>
        <w:rPr>
          <w:szCs w:val="16"/>
        </w:rPr>
        <w:t>k</w:t>
      </w:r>
      <w:r w:rsidRPr="005810C3">
        <w:rPr>
          <w:szCs w:val="16"/>
        </w:rPr>
        <w:t xml:space="preserve">apacity nedokáže zaplniť 102 </w:t>
      </w:r>
      <w:r>
        <w:rPr>
          <w:szCs w:val="16"/>
        </w:rPr>
        <w:t>s</w:t>
      </w:r>
      <w:r w:rsidRPr="005810C3">
        <w:rPr>
          <w:szCs w:val="16"/>
        </w:rPr>
        <w:t xml:space="preserve">pojov. 169 </w:t>
      </w:r>
      <w:r>
        <w:rPr>
          <w:szCs w:val="16"/>
        </w:rPr>
        <w:t>s</w:t>
      </w:r>
      <w:r w:rsidRPr="005810C3">
        <w:rPr>
          <w:szCs w:val="16"/>
        </w:rPr>
        <w:t xml:space="preserve">pojov (9,8 %) </w:t>
      </w:r>
      <w:r>
        <w:rPr>
          <w:szCs w:val="16"/>
        </w:rPr>
        <w:t>s</w:t>
      </w:r>
      <w:r w:rsidRPr="005810C3">
        <w:rPr>
          <w:szCs w:val="16"/>
        </w:rPr>
        <w:t xml:space="preserve">ú zaplnené nad 80 % </w:t>
      </w:r>
      <w:r>
        <w:rPr>
          <w:szCs w:val="16"/>
        </w:rPr>
        <w:t>k</w:t>
      </w:r>
      <w:r w:rsidRPr="005810C3">
        <w:rPr>
          <w:szCs w:val="16"/>
        </w:rPr>
        <w:t xml:space="preserve">apacity </w:t>
      </w:r>
      <w:r>
        <w:rPr>
          <w:szCs w:val="16"/>
        </w:rPr>
        <w:t>a </w:t>
      </w:r>
      <w:r w:rsidRPr="005810C3">
        <w:rPr>
          <w:szCs w:val="16"/>
        </w:rPr>
        <w:t>len</w:t>
      </w:r>
      <w:r>
        <w:rPr>
          <w:szCs w:val="16"/>
        </w:rPr>
        <w:t xml:space="preserve"> </w:t>
      </w:r>
      <w:r w:rsidRPr="005810C3">
        <w:rPr>
          <w:szCs w:val="16"/>
        </w:rPr>
        <w:t>53</w:t>
      </w:r>
      <w:r>
        <w:rPr>
          <w:szCs w:val="16"/>
        </w:rPr>
        <w:br/>
      </w:r>
      <w:r w:rsidRPr="005810C3">
        <w:rPr>
          <w:szCs w:val="16"/>
        </w:rPr>
        <w:t xml:space="preserve">(3 %) patrí medzi plne vyťažené, </w:t>
      </w:r>
      <w:r>
        <w:rPr>
          <w:szCs w:val="16"/>
        </w:rPr>
        <w:t>s </w:t>
      </w:r>
      <w:r w:rsidRPr="005810C3">
        <w:rPr>
          <w:szCs w:val="16"/>
        </w:rPr>
        <w:t xml:space="preserve">priemernou obsadenosťou nad 100 % maximálnej </w:t>
      </w:r>
      <w:r>
        <w:rPr>
          <w:szCs w:val="16"/>
        </w:rPr>
        <w:t>k</w:t>
      </w:r>
      <w:r w:rsidRPr="005810C3">
        <w:rPr>
          <w:szCs w:val="16"/>
        </w:rPr>
        <w:t>apacity Zdroj: INESS Policy Note 4/2012</w:t>
      </w:r>
    </w:p>
  </w:footnote>
  <w:footnote w:id="94">
    <w:p w:rsidR="00007508" w:rsidRDefault="00007508" w:rsidP="00FA6430">
      <w:pPr>
        <w:pStyle w:val="Textpoznmkypodiarou"/>
        <w:ind w:left="170" w:hanging="170"/>
      </w:pPr>
      <w:r>
        <w:rPr>
          <w:rStyle w:val="Odkaznapoznmkupodiarou"/>
        </w:rPr>
        <w:footnoteRef/>
      </w:r>
      <w:r>
        <w:t xml:space="preserve"> </w:t>
      </w:r>
      <w:r w:rsidRPr="00490499">
        <w:t>SR pripravuje harmonizujúci dokument, ktorý bude riešiť horizontálne politiky ako napr. v</w:t>
      </w:r>
      <w:r>
        <w:t> </w:t>
      </w:r>
      <w:r w:rsidRPr="00490499">
        <w:t>oblasti</w:t>
      </w:r>
      <w:r>
        <w:t xml:space="preserve"> </w:t>
      </w:r>
      <w:r w:rsidRPr="00490499">
        <w:t>poľnohospodárstva, dopravy, energetiky, životného prostredia</w:t>
      </w:r>
    </w:p>
  </w:footnote>
  <w:footnote w:id="95">
    <w:p w:rsidR="00007508" w:rsidRDefault="00007508" w:rsidP="00FA6430">
      <w:pPr>
        <w:pStyle w:val="Textpoznmkypodiarou"/>
        <w:ind w:left="170" w:hanging="170"/>
      </w:pPr>
      <w:r>
        <w:rPr>
          <w:rStyle w:val="Odkaznapoznmkupodiarou"/>
        </w:rPr>
        <w:footnoteRef/>
      </w:r>
      <w:r>
        <w:t xml:space="preserve"> V zmysle dokumentu „Národná stratégia rozvoja cyklistickej dopravy a cykloturistiky v SR“, schváleného uznesením vlády SR č. 223/2013 zo dňa 7. mája 2013 </w:t>
      </w:r>
      <w:hyperlink r:id="rId14" w:history="1">
        <w:r w:rsidRPr="007239C3">
          <w:rPr>
            <w:rStyle w:val="Hypertextovprepojenie"/>
          </w:rPr>
          <w:t>http://www.rokovania.sk/Rokovanie.aspx/BodRokovaniaDetail?idMaterial=22396</w:t>
        </w:r>
      </w:hyperlink>
      <w:r>
        <w:t xml:space="preserve"> a dokumentu „Trvalý finančný mechanizmus na implementáciu Národnej stratégie rozvoja cyklistickej dopravy a cykloturistiky v Slovenskej republike“, schváleného uznesením vlády SR č. 27/2014 zo dňa 15. januára 2014 </w:t>
      </w:r>
      <w:r w:rsidRPr="00340263">
        <w:t>http://www.rokovania.sk/Rokovanie.aspx/BodRokovaniaDetail?idMaterial=23109</w:t>
      </w:r>
    </w:p>
  </w:footnote>
  <w:footnote w:id="96">
    <w:p w:rsidR="00007508" w:rsidRDefault="00007508">
      <w:pPr>
        <w:pStyle w:val="Textpoznmkypodiarou"/>
      </w:pPr>
      <w:r>
        <w:rPr>
          <w:rStyle w:val="Odkaznapoznmkupodiarou"/>
        </w:rPr>
        <w:footnoteRef/>
      </w:r>
      <w:r>
        <w:t xml:space="preserve"> Pre</w:t>
      </w:r>
      <w:r w:rsidRPr="00F236D1">
        <w:t xml:space="preserve"> účely PD SR pod pojem „program“ spadajú všetky operačné programy SR vrátane Programu rozvoja vidieka</w:t>
      </w:r>
      <w:r>
        <w:t xml:space="preserve"> SR</w:t>
      </w:r>
    </w:p>
  </w:footnote>
  <w:footnote w:id="97">
    <w:p w:rsidR="00007508" w:rsidRDefault="00007508" w:rsidP="008E7522">
      <w:pPr>
        <w:pStyle w:val="Textpoznmkypodiarou"/>
      </w:pPr>
      <w:r>
        <w:rPr>
          <w:rStyle w:val="Odkaznapoznmkupodiarou"/>
        </w:rPr>
        <w:footnoteRef/>
      </w:r>
      <w:r>
        <w:t xml:space="preserve"> </w:t>
      </w:r>
      <w:r w:rsidRPr="00B555CB">
        <w:t xml:space="preserve">Národný program aktívneho starnutia na roky 2014 </w:t>
      </w:r>
      <w:r>
        <w:t>–</w:t>
      </w:r>
      <w:r w:rsidRPr="00B555CB">
        <w:t xml:space="preserve"> 2020</w:t>
      </w:r>
      <w:r>
        <w:t>, MPSVR SR</w:t>
      </w:r>
    </w:p>
  </w:footnote>
  <w:footnote w:id="98">
    <w:p w:rsidR="00007508" w:rsidRDefault="00007508" w:rsidP="00406C25">
      <w:pPr>
        <w:pStyle w:val="Textpoznmkypodiarou"/>
      </w:pPr>
      <w:r w:rsidRPr="005902A9">
        <w:rPr>
          <w:rStyle w:val="Odkaznapoznmkupodiarou"/>
          <w:szCs w:val="16"/>
        </w:rPr>
        <w:footnoteRef/>
      </w:r>
      <w:r w:rsidRPr="005902A9">
        <w:rPr>
          <w:szCs w:val="16"/>
        </w:rPr>
        <w:t xml:space="preserve"> </w:t>
      </w:r>
      <w:r w:rsidRPr="005902A9">
        <w:rPr>
          <w:rStyle w:val="Hypertextovprepojenie"/>
          <w:szCs w:val="16"/>
        </w:rPr>
        <w:t>http://www.iz.sk/sk/projekty/inkluzivny-rast</w:t>
      </w:r>
    </w:p>
  </w:footnote>
  <w:footnote w:id="99">
    <w:p w:rsidR="00007508" w:rsidRDefault="00007508" w:rsidP="00677938">
      <w:pPr>
        <w:pStyle w:val="Textpoznmkypodiarou"/>
        <w:ind w:left="170" w:hanging="170"/>
      </w:pPr>
      <w:r w:rsidRPr="005810C3">
        <w:rPr>
          <w:rStyle w:val="Odkaznapoznmkupodiarou"/>
          <w:szCs w:val="16"/>
        </w:rPr>
        <w:footnoteRef/>
      </w:r>
      <w:r w:rsidRPr="005810C3">
        <w:rPr>
          <w:szCs w:val="16"/>
        </w:rPr>
        <w:t xml:space="preserve"> </w:t>
      </w:r>
      <w:r w:rsidRPr="005810C3">
        <w:rPr>
          <w:iCs/>
          <w:szCs w:val="16"/>
        </w:rPr>
        <w:t>Z</w:t>
      </w:r>
      <w:r>
        <w:rPr>
          <w:iCs/>
          <w:szCs w:val="16"/>
        </w:rPr>
        <w:t> </w:t>
      </w:r>
      <w:r w:rsidRPr="005810C3">
        <w:rPr>
          <w:iCs/>
          <w:szCs w:val="16"/>
        </w:rPr>
        <w:t>hľadiska</w:t>
      </w:r>
      <w:r>
        <w:rPr>
          <w:iCs/>
          <w:szCs w:val="16"/>
        </w:rPr>
        <w:t xml:space="preserve"> </w:t>
      </w:r>
      <w:r w:rsidRPr="005810C3">
        <w:rPr>
          <w:iCs/>
          <w:szCs w:val="16"/>
        </w:rPr>
        <w:t>odvetví dos</w:t>
      </w:r>
      <w:r>
        <w:rPr>
          <w:iCs/>
          <w:szCs w:val="16"/>
        </w:rPr>
        <w:t>i</w:t>
      </w:r>
      <w:r w:rsidRPr="005810C3">
        <w:rPr>
          <w:iCs/>
          <w:szCs w:val="16"/>
        </w:rPr>
        <w:t>ah</w:t>
      </w:r>
      <w:r>
        <w:rPr>
          <w:iCs/>
          <w:szCs w:val="16"/>
        </w:rPr>
        <w:t>li</w:t>
      </w:r>
      <w:r w:rsidRPr="005810C3">
        <w:rPr>
          <w:iCs/>
          <w:szCs w:val="16"/>
        </w:rPr>
        <w:t xml:space="preserve"> najnižšiu mieru voľných pracovných miest </w:t>
      </w:r>
      <w:r>
        <w:rPr>
          <w:iCs/>
          <w:szCs w:val="16"/>
        </w:rPr>
        <w:t>a</w:t>
      </w:r>
      <w:r w:rsidRPr="005810C3">
        <w:rPr>
          <w:iCs/>
          <w:szCs w:val="16"/>
        </w:rPr>
        <w:t>dministratívne</w:t>
      </w:r>
      <w:r>
        <w:rPr>
          <w:iCs/>
          <w:szCs w:val="16"/>
        </w:rPr>
        <w:t xml:space="preserve"> služby a vzdelávanie </w:t>
      </w:r>
      <w:r w:rsidRPr="005810C3">
        <w:rPr>
          <w:iCs/>
          <w:szCs w:val="16"/>
        </w:rPr>
        <w:t>(0,2 %</w:t>
      </w:r>
      <w:r>
        <w:rPr>
          <w:iCs/>
          <w:szCs w:val="16"/>
        </w:rPr>
        <w:t xml:space="preserve"> v roku 2012</w:t>
      </w:r>
      <w:r w:rsidRPr="005810C3">
        <w:rPr>
          <w:iCs/>
          <w:szCs w:val="16"/>
        </w:rPr>
        <w:t xml:space="preserve">), nasledované </w:t>
      </w:r>
      <w:r>
        <w:rPr>
          <w:iCs/>
          <w:szCs w:val="16"/>
        </w:rPr>
        <w:t>ubytovacími a stravovacími službami a </w:t>
      </w:r>
      <w:r w:rsidRPr="005810C3">
        <w:rPr>
          <w:iCs/>
          <w:szCs w:val="16"/>
        </w:rPr>
        <w:t>odbornými</w:t>
      </w:r>
      <w:r>
        <w:rPr>
          <w:iCs/>
          <w:szCs w:val="16"/>
        </w:rPr>
        <w:t>, </w:t>
      </w:r>
      <w:r w:rsidRPr="005810C3">
        <w:rPr>
          <w:iCs/>
          <w:szCs w:val="16"/>
        </w:rPr>
        <w:t>vedeckými</w:t>
      </w:r>
      <w:r>
        <w:rPr>
          <w:iCs/>
          <w:szCs w:val="16"/>
        </w:rPr>
        <w:t xml:space="preserve"> a technickými </w:t>
      </w:r>
      <w:r w:rsidRPr="005810C3">
        <w:rPr>
          <w:iCs/>
          <w:szCs w:val="16"/>
        </w:rPr>
        <w:t>činnosťami (0,3 %). Naopak, najvyššia miera voľných pracovných miest bola v</w:t>
      </w:r>
      <w:r>
        <w:rPr>
          <w:iCs/>
          <w:szCs w:val="16"/>
        </w:rPr>
        <w:t> S</w:t>
      </w:r>
      <w:r w:rsidRPr="005810C3">
        <w:rPr>
          <w:iCs/>
          <w:szCs w:val="16"/>
        </w:rPr>
        <w:t>R</w:t>
      </w:r>
      <w:r>
        <w:rPr>
          <w:iCs/>
          <w:szCs w:val="16"/>
        </w:rPr>
        <w:t xml:space="preserve"> </w:t>
      </w:r>
      <w:r w:rsidRPr="005810C3">
        <w:rPr>
          <w:iCs/>
          <w:szCs w:val="16"/>
        </w:rPr>
        <w:t xml:space="preserve">zaznamenaná vo verejnej </w:t>
      </w:r>
      <w:r>
        <w:rPr>
          <w:iCs/>
          <w:szCs w:val="16"/>
        </w:rPr>
        <w:t>s</w:t>
      </w:r>
      <w:r w:rsidRPr="005810C3">
        <w:rPr>
          <w:iCs/>
          <w:szCs w:val="16"/>
        </w:rPr>
        <w:t xml:space="preserve">práve, </w:t>
      </w:r>
      <w:r>
        <w:rPr>
          <w:iCs/>
          <w:szCs w:val="16"/>
        </w:rPr>
        <w:t>k</w:t>
      </w:r>
      <w:r w:rsidRPr="005810C3">
        <w:rPr>
          <w:iCs/>
          <w:szCs w:val="16"/>
        </w:rPr>
        <w:t>de dosiahla 4,3 %. Ide pravdepodobne o</w:t>
      </w:r>
      <w:r>
        <w:rPr>
          <w:iCs/>
          <w:szCs w:val="16"/>
        </w:rPr>
        <w:t> </w:t>
      </w:r>
      <w:r w:rsidRPr="005810C3">
        <w:rPr>
          <w:iCs/>
          <w:szCs w:val="16"/>
        </w:rPr>
        <w:t>neobsadené</w:t>
      </w:r>
      <w:r>
        <w:rPr>
          <w:iCs/>
          <w:szCs w:val="16"/>
        </w:rPr>
        <w:t xml:space="preserve"> </w:t>
      </w:r>
      <w:r w:rsidRPr="005810C3">
        <w:rPr>
          <w:iCs/>
          <w:szCs w:val="16"/>
        </w:rPr>
        <w:t>"tabuľkové" miesta. V</w:t>
      </w:r>
      <w:r>
        <w:rPr>
          <w:iCs/>
          <w:szCs w:val="16"/>
        </w:rPr>
        <w:t> </w:t>
      </w:r>
      <w:r w:rsidRPr="005810C3">
        <w:rPr>
          <w:iCs/>
          <w:szCs w:val="16"/>
        </w:rPr>
        <w:t>energetike</w:t>
      </w:r>
      <w:r>
        <w:rPr>
          <w:iCs/>
          <w:szCs w:val="16"/>
        </w:rPr>
        <w:t xml:space="preserve"> </w:t>
      </w:r>
      <w:r w:rsidRPr="005810C3">
        <w:rPr>
          <w:iCs/>
          <w:szCs w:val="16"/>
        </w:rPr>
        <w:t xml:space="preserve">dosiahla 2,0 % </w:t>
      </w:r>
      <w:r>
        <w:rPr>
          <w:iCs/>
          <w:szCs w:val="16"/>
        </w:rPr>
        <w:t>a </w:t>
      </w:r>
      <w:r w:rsidRPr="005810C3">
        <w:rPr>
          <w:iCs/>
          <w:szCs w:val="16"/>
        </w:rPr>
        <w:t>vo finančných</w:t>
      </w:r>
      <w:r>
        <w:rPr>
          <w:iCs/>
          <w:szCs w:val="16"/>
        </w:rPr>
        <w:t xml:space="preserve"> a poisťovacích činnostiach</w:t>
      </w:r>
      <w:r w:rsidRPr="005810C3">
        <w:rPr>
          <w:iCs/>
          <w:szCs w:val="16"/>
        </w:rPr>
        <w:t xml:space="preserve"> 1,8 %</w:t>
      </w:r>
    </w:p>
  </w:footnote>
  <w:footnote w:id="100">
    <w:p w:rsidR="00007508" w:rsidRDefault="00007508" w:rsidP="00677938">
      <w:pPr>
        <w:pStyle w:val="Textpoznmkypodiarou"/>
        <w:ind w:left="170" w:hanging="170"/>
      </w:pPr>
      <w:r w:rsidRPr="005810C3">
        <w:rPr>
          <w:rStyle w:val="Odkaznapoznmkupodiarou"/>
          <w:szCs w:val="16"/>
        </w:rPr>
        <w:footnoteRef/>
      </w:r>
      <w:r w:rsidRPr="005810C3">
        <w:rPr>
          <w:szCs w:val="16"/>
        </w:rPr>
        <w:t xml:space="preserve"> Miera zamestnanosti </w:t>
      </w:r>
      <w:r>
        <w:rPr>
          <w:szCs w:val="16"/>
        </w:rPr>
        <w:t>s</w:t>
      </w:r>
      <w:r w:rsidRPr="005810C3">
        <w:rPr>
          <w:szCs w:val="16"/>
        </w:rPr>
        <w:t xml:space="preserve">tarších (vo veku 55-64 rokov) je pod priemerom EÚ. V roku 2012 dosiahla úroveň 43,1 % </w:t>
      </w:r>
      <w:r>
        <w:rPr>
          <w:szCs w:val="16"/>
        </w:rPr>
        <w:t>a </w:t>
      </w:r>
      <w:r w:rsidRPr="005810C3">
        <w:rPr>
          <w:szCs w:val="16"/>
        </w:rPr>
        <w:t xml:space="preserve">oproti predchádzajúcemu roku </w:t>
      </w:r>
      <w:r>
        <w:rPr>
          <w:szCs w:val="16"/>
        </w:rPr>
        <w:t>s</w:t>
      </w:r>
      <w:r w:rsidRPr="005810C3">
        <w:rPr>
          <w:szCs w:val="16"/>
        </w:rPr>
        <w:t>a zvýšila celkovo o 1,8 p. b.</w:t>
      </w:r>
      <w:r>
        <w:rPr>
          <w:szCs w:val="16"/>
        </w:rPr>
        <w:t xml:space="preserve"> </w:t>
      </w:r>
      <w:r w:rsidRPr="005810C3">
        <w:rPr>
          <w:szCs w:val="16"/>
        </w:rPr>
        <w:t>Miera zamestnanosti žien vo veku 20-64 rokov v</w:t>
      </w:r>
      <w:r>
        <w:rPr>
          <w:szCs w:val="16"/>
        </w:rPr>
        <w:t> </w:t>
      </w:r>
      <w:r w:rsidRPr="005810C3">
        <w:rPr>
          <w:szCs w:val="16"/>
        </w:rPr>
        <w:t>roku</w:t>
      </w:r>
      <w:r>
        <w:rPr>
          <w:szCs w:val="16"/>
        </w:rPr>
        <w:t xml:space="preserve"> </w:t>
      </w:r>
      <w:r w:rsidRPr="005810C3">
        <w:rPr>
          <w:szCs w:val="16"/>
        </w:rPr>
        <w:t>2012</w:t>
      </w:r>
      <w:r>
        <w:rPr>
          <w:szCs w:val="16"/>
        </w:rPr>
        <w:t>,</w:t>
      </w:r>
      <w:r w:rsidRPr="005810C3">
        <w:rPr>
          <w:szCs w:val="16"/>
        </w:rPr>
        <w:t xml:space="preserve"> oproti roku 2011</w:t>
      </w:r>
      <w:r>
        <w:rPr>
          <w:szCs w:val="16"/>
        </w:rPr>
        <w:t>,</w:t>
      </w:r>
      <w:r w:rsidRPr="005810C3">
        <w:rPr>
          <w:szCs w:val="16"/>
        </w:rPr>
        <w:t xml:space="preserve"> mierne poklesla o</w:t>
      </w:r>
      <w:r>
        <w:rPr>
          <w:szCs w:val="16"/>
        </w:rPr>
        <w:t> </w:t>
      </w:r>
      <w:r w:rsidRPr="005810C3">
        <w:rPr>
          <w:szCs w:val="16"/>
        </w:rPr>
        <w:t xml:space="preserve">0,1 p. b. na 57,3 %, </w:t>
      </w:r>
      <w:r>
        <w:rPr>
          <w:szCs w:val="16"/>
        </w:rPr>
        <w:t xml:space="preserve">kým miera </w:t>
      </w:r>
      <w:r w:rsidRPr="005810C3">
        <w:rPr>
          <w:szCs w:val="16"/>
        </w:rPr>
        <w:t>zamestnanosti mužov vzrástla o</w:t>
      </w:r>
      <w:r>
        <w:rPr>
          <w:szCs w:val="16"/>
        </w:rPr>
        <w:t> </w:t>
      </w:r>
      <w:r w:rsidRPr="005810C3">
        <w:rPr>
          <w:szCs w:val="16"/>
        </w:rPr>
        <w:t>0,3 p. b. na 72,8 %. Miera zamestnanosti žien tak bola o</w:t>
      </w:r>
      <w:r>
        <w:rPr>
          <w:szCs w:val="16"/>
        </w:rPr>
        <w:t> </w:t>
      </w:r>
      <w:r w:rsidRPr="005810C3">
        <w:rPr>
          <w:szCs w:val="16"/>
        </w:rPr>
        <w:t xml:space="preserve">15,5 p. b. nižšia v porovnaní </w:t>
      </w:r>
      <w:r>
        <w:rPr>
          <w:szCs w:val="16"/>
        </w:rPr>
        <w:t>s </w:t>
      </w:r>
      <w:r w:rsidRPr="005810C3">
        <w:rPr>
          <w:szCs w:val="16"/>
        </w:rPr>
        <w:t>mierou zamestnanosti mužov</w:t>
      </w:r>
    </w:p>
  </w:footnote>
  <w:footnote w:id="101">
    <w:p w:rsidR="00007508" w:rsidRDefault="00007508" w:rsidP="00677938">
      <w:pPr>
        <w:pStyle w:val="Textpoznmkypodiarou"/>
        <w:ind w:left="170" w:hanging="170"/>
      </w:pPr>
      <w:r w:rsidRPr="005810C3">
        <w:rPr>
          <w:rStyle w:val="Odkaznapoznmkupodiarou"/>
          <w:szCs w:val="16"/>
        </w:rPr>
        <w:footnoteRef/>
      </w:r>
      <w:r w:rsidRPr="005810C3">
        <w:rPr>
          <w:szCs w:val="16"/>
        </w:rPr>
        <w:t xml:space="preserve"> Podľa údajov Ústredia práce, </w:t>
      </w:r>
      <w:r>
        <w:rPr>
          <w:szCs w:val="16"/>
        </w:rPr>
        <w:t>s</w:t>
      </w:r>
      <w:r w:rsidRPr="005810C3">
        <w:rPr>
          <w:szCs w:val="16"/>
        </w:rPr>
        <w:t xml:space="preserve">ociálnych vecí </w:t>
      </w:r>
      <w:r>
        <w:rPr>
          <w:szCs w:val="16"/>
        </w:rPr>
        <w:t>a </w:t>
      </w:r>
      <w:r w:rsidRPr="005810C3">
        <w:rPr>
          <w:szCs w:val="16"/>
        </w:rPr>
        <w:t>rodiny</w:t>
      </w:r>
      <w:r>
        <w:rPr>
          <w:szCs w:val="16"/>
        </w:rPr>
        <w:t xml:space="preserve"> SR</w:t>
      </w:r>
      <w:r w:rsidRPr="005810C3">
        <w:rPr>
          <w:szCs w:val="16"/>
        </w:rPr>
        <w:t xml:space="preserve"> bolo z</w:t>
      </w:r>
      <w:r>
        <w:rPr>
          <w:szCs w:val="16"/>
        </w:rPr>
        <w:t> </w:t>
      </w:r>
      <w:r w:rsidRPr="005810C3">
        <w:rPr>
          <w:szCs w:val="16"/>
        </w:rPr>
        <w:t>celkového</w:t>
      </w:r>
      <w:r>
        <w:rPr>
          <w:szCs w:val="16"/>
        </w:rPr>
        <w:t xml:space="preserve"> </w:t>
      </w:r>
      <w:r w:rsidRPr="005810C3">
        <w:rPr>
          <w:szCs w:val="16"/>
        </w:rPr>
        <w:t xml:space="preserve">počtu nezamestnaných (406 498 UoZ) </w:t>
      </w:r>
      <w:r>
        <w:rPr>
          <w:szCs w:val="16"/>
        </w:rPr>
        <w:t>k</w:t>
      </w:r>
      <w:r w:rsidRPr="005810C3">
        <w:rPr>
          <w:szCs w:val="16"/>
        </w:rPr>
        <w:t xml:space="preserve">u </w:t>
      </w:r>
      <w:r>
        <w:rPr>
          <w:szCs w:val="16"/>
        </w:rPr>
        <w:t>k</w:t>
      </w:r>
      <w:r w:rsidRPr="005810C3">
        <w:rPr>
          <w:szCs w:val="16"/>
        </w:rPr>
        <w:t xml:space="preserve">oncu </w:t>
      </w:r>
      <w:r>
        <w:rPr>
          <w:szCs w:val="16"/>
        </w:rPr>
        <w:t>s</w:t>
      </w:r>
      <w:r w:rsidRPr="005810C3">
        <w:rPr>
          <w:szCs w:val="16"/>
        </w:rPr>
        <w:t xml:space="preserve">eptembra 2013 v evidencii 113 281 občanov </w:t>
      </w:r>
      <w:r>
        <w:rPr>
          <w:szCs w:val="16"/>
        </w:rPr>
        <w:t>s</w:t>
      </w:r>
      <w:r w:rsidRPr="005810C3">
        <w:rPr>
          <w:szCs w:val="16"/>
        </w:rPr>
        <w:t xml:space="preserve">o vzdelaním nižším </w:t>
      </w:r>
      <w:r>
        <w:rPr>
          <w:szCs w:val="16"/>
        </w:rPr>
        <w:t>ak</w:t>
      </w:r>
      <w:r w:rsidRPr="005810C3">
        <w:rPr>
          <w:szCs w:val="16"/>
        </w:rPr>
        <w:t xml:space="preserve">o </w:t>
      </w:r>
      <w:r>
        <w:rPr>
          <w:szCs w:val="16"/>
        </w:rPr>
        <w:t>s</w:t>
      </w:r>
      <w:r w:rsidRPr="005810C3">
        <w:rPr>
          <w:szCs w:val="16"/>
        </w:rPr>
        <w:t>tredné odborné (podiel 27,9 %)</w:t>
      </w:r>
    </w:p>
  </w:footnote>
  <w:footnote w:id="102">
    <w:p w:rsidR="00007508" w:rsidRDefault="00007508">
      <w:pPr>
        <w:pStyle w:val="Textpoznmkypodiarou"/>
      </w:pPr>
      <w:r>
        <w:rPr>
          <w:rStyle w:val="Odkaznapoznmkupodiarou"/>
        </w:rPr>
        <w:footnoteRef/>
      </w:r>
      <w:r>
        <w:t xml:space="preserve"> </w:t>
      </w:r>
      <w:r w:rsidRPr="00952CC1">
        <w:t>V</w:t>
      </w:r>
      <w:r>
        <w:t> </w:t>
      </w:r>
      <w:r w:rsidRPr="00952CC1">
        <w:t>2. štvrťroku 2013 bola miera nezamestnanosti v</w:t>
      </w:r>
      <w:r>
        <w:t> </w:t>
      </w:r>
      <w:r w:rsidRPr="00952CC1">
        <w:t>SR 14,9 % a</w:t>
      </w:r>
      <w:r>
        <w:t> </w:t>
      </w:r>
      <w:r w:rsidRPr="00952CC1">
        <w:t>dlhodobá miera nezamestnanosti 9,9 %</w:t>
      </w:r>
    </w:p>
  </w:footnote>
  <w:footnote w:id="103">
    <w:p w:rsidR="00007508" w:rsidRDefault="00007508" w:rsidP="00406C25">
      <w:pPr>
        <w:pStyle w:val="Textpoznmkypodiarou"/>
      </w:pPr>
      <w:r w:rsidRPr="005810C3">
        <w:rPr>
          <w:rStyle w:val="Odkaznapoznmkupodiarou"/>
          <w:szCs w:val="16"/>
        </w:rPr>
        <w:footnoteRef/>
      </w:r>
      <w:r>
        <w:rPr>
          <w:szCs w:val="16"/>
        </w:rPr>
        <w:t xml:space="preserve">Zdroj: </w:t>
      </w:r>
      <w:r w:rsidRPr="005810C3">
        <w:rPr>
          <w:szCs w:val="16"/>
        </w:rPr>
        <w:t>NEET – not in education, employment, training</w:t>
      </w:r>
    </w:p>
  </w:footnote>
  <w:footnote w:id="104">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Z</w:t>
      </w:r>
      <w:r w:rsidRPr="005810C3">
        <w:rPr>
          <w:szCs w:val="16"/>
        </w:rPr>
        <w:t xml:space="preserve">droj: </w:t>
      </w:r>
      <w:r>
        <w:rPr>
          <w:szCs w:val="16"/>
        </w:rPr>
        <w:t>Eur</w:t>
      </w:r>
      <w:r w:rsidRPr="005810C3">
        <w:rPr>
          <w:szCs w:val="16"/>
        </w:rPr>
        <w:t>ostat: [edat_lfse_20]</w:t>
      </w:r>
    </w:p>
  </w:footnote>
  <w:footnote w:id="105">
    <w:p w:rsidR="00007508" w:rsidRDefault="00007508" w:rsidP="009038EB">
      <w:pPr>
        <w:pStyle w:val="Textpoznmkypodiarou"/>
      </w:pPr>
      <w:r>
        <w:rPr>
          <w:rStyle w:val="Odkaznapoznmkupodiarou"/>
        </w:rPr>
        <w:footnoteRef/>
      </w:r>
      <w:r>
        <w:t xml:space="preserve"> </w:t>
      </w:r>
      <w:r w:rsidRPr="00C873A5">
        <w:t>Zdroj: Štatistická správa o základných vývojových tendenciách v hospodárstve SR v 4. štvrťroku 2012</w:t>
      </w:r>
    </w:p>
  </w:footnote>
  <w:footnote w:id="106">
    <w:p w:rsidR="00007508" w:rsidRDefault="00007508" w:rsidP="008E7522">
      <w:pPr>
        <w:autoSpaceDE w:val="0"/>
        <w:autoSpaceDN w:val="0"/>
        <w:adjustRightInd w:val="0"/>
        <w:spacing w:before="0" w:after="0"/>
        <w:ind w:left="170" w:hanging="170"/>
      </w:pPr>
      <w:r w:rsidRPr="007D717C">
        <w:rPr>
          <w:rStyle w:val="Odkaznapoznmkupodiarou"/>
          <w:rFonts w:asciiTheme="majorHAnsi" w:hAnsiTheme="majorHAnsi"/>
          <w:sz w:val="16"/>
          <w:szCs w:val="16"/>
        </w:rPr>
        <w:footnoteRef/>
      </w:r>
      <w:r w:rsidRPr="007D717C">
        <w:rPr>
          <w:rFonts w:asciiTheme="majorHAnsi" w:hAnsiTheme="majorHAnsi"/>
          <w:sz w:val="16"/>
          <w:szCs w:val="16"/>
        </w:rPr>
        <w:t xml:space="preserve"> </w:t>
      </w:r>
      <w:r>
        <w:rPr>
          <w:rFonts w:asciiTheme="majorHAnsi" w:hAnsiTheme="majorHAnsi"/>
          <w:sz w:val="16"/>
          <w:szCs w:val="16"/>
        </w:rPr>
        <w:t>N</w:t>
      </w:r>
      <w:r w:rsidRPr="00AA552F">
        <w:rPr>
          <w:rFonts w:asciiTheme="majorHAnsi" w:hAnsiTheme="majorHAnsi"/>
          <w:sz w:val="16"/>
          <w:szCs w:val="16"/>
        </w:rPr>
        <w:t>apr. správa agentúry EÚ pre základné práva (FRA) za rok 2012: Data in focus "Financial and labour market situation" (Situácia na finančnom a</w:t>
      </w:r>
      <w:r>
        <w:rPr>
          <w:rFonts w:asciiTheme="majorHAnsi" w:hAnsiTheme="majorHAnsi"/>
          <w:sz w:val="16"/>
          <w:szCs w:val="16"/>
        </w:rPr>
        <w:t> </w:t>
      </w:r>
      <w:r w:rsidRPr="00AA552F">
        <w:rPr>
          <w:rFonts w:asciiTheme="majorHAnsi" w:hAnsiTheme="majorHAnsi"/>
          <w:sz w:val="16"/>
          <w:szCs w:val="16"/>
        </w:rPr>
        <w:t>pracovnom trhu)</w:t>
      </w:r>
      <w:r w:rsidRPr="007D717C">
        <w:rPr>
          <w:rFonts w:asciiTheme="majorHAnsi" w:hAnsiTheme="majorHAnsi"/>
          <w:sz w:val="16"/>
          <w:szCs w:val="16"/>
        </w:rPr>
        <w:t xml:space="preserve"> </w:t>
      </w:r>
      <w:r>
        <w:rPr>
          <w:rFonts w:asciiTheme="majorHAnsi" w:hAnsiTheme="majorHAnsi"/>
          <w:sz w:val="16"/>
          <w:szCs w:val="16"/>
        </w:rPr>
        <w:t>(</w:t>
      </w:r>
      <w:hyperlink r:id="rId15" w:history="1">
        <w:r w:rsidRPr="00766965">
          <w:rPr>
            <w:rStyle w:val="Hypertextovprepojenie"/>
            <w:rFonts w:asciiTheme="majorHAnsi" w:hAnsiTheme="majorHAnsi"/>
            <w:sz w:val="16"/>
            <w:szCs w:val="16"/>
          </w:rPr>
          <w:t>http://fra.europa.eu/en/publication/2012/situation-roma-11-eu-member-states-survey-results-glance</w:t>
        </w:r>
      </w:hyperlink>
      <w:r>
        <w:rPr>
          <w:rFonts w:asciiTheme="majorHAnsi" w:hAnsiTheme="majorHAnsi"/>
          <w:sz w:val="16"/>
          <w:szCs w:val="16"/>
        </w:rPr>
        <w:t xml:space="preserve">) alebo </w:t>
      </w:r>
      <w:r w:rsidRPr="005810C3">
        <w:rPr>
          <w:rFonts w:asciiTheme="majorHAnsi" w:hAnsiTheme="majorHAnsi"/>
          <w:sz w:val="16"/>
          <w:szCs w:val="16"/>
        </w:rPr>
        <w:t>Štruktúra uchádzačov o zamestnanie podľa doby evidencie v </w:t>
      </w:r>
      <w:r>
        <w:rPr>
          <w:rFonts w:asciiTheme="majorHAnsi" w:hAnsiTheme="majorHAnsi"/>
          <w:sz w:val="16"/>
          <w:szCs w:val="16"/>
        </w:rPr>
        <w:t>S</w:t>
      </w:r>
      <w:r w:rsidRPr="005810C3">
        <w:rPr>
          <w:rFonts w:asciiTheme="majorHAnsi" w:hAnsiTheme="majorHAnsi"/>
          <w:sz w:val="16"/>
          <w:szCs w:val="16"/>
        </w:rPr>
        <w:t xml:space="preserve">R </w:t>
      </w:r>
      <w:r>
        <w:rPr>
          <w:rFonts w:asciiTheme="majorHAnsi" w:hAnsiTheme="majorHAnsi"/>
          <w:sz w:val="16"/>
          <w:szCs w:val="16"/>
        </w:rPr>
        <w:t>s</w:t>
      </w:r>
      <w:r w:rsidRPr="005810C3">
        <w:rPr>
          <w:rFonts w:asciiTheme="majorHAnsi" w:hAnsiTheme="majorHAnsi"/>
          <w:sz w:val="16"/>
          <w:szCs w:val="16"/>
        </w:rPr>
        <w:t>polu:</w:t>
      </w:r>
      <w:r>
        <w:rPr>
          <w:rFonts w:asciiTheme="majorHAnsi" w:hAnsiTheme="majorHAnsi"/>
          <w:sz w:val="16"/>
          <w:szCs w:val="16"/>
        </w:rPr>
        <w:t xml:space="preserve"> </w:t>
      </w:r>
      <w:r w:rsidRPr="00B47037">
        <w:rPr>
          <w:rFonts w:asciiTheme="majorHAnsi" w:hAnsiTheme="majorHAnsi" w:cs="Calibri"/>
          <w:sz w:val="16"/>
          <w:szCs w:val="16"/>
        </w:rPr>
        <w:t>http://www.scribd.com/doc/141895207/Poradenstvo-pri-integracii-Romov-Svetova-banka-2012 (2011, UNDP, Svetová banka)</w:t>
      </w:r>
    </w:p>
  </w:footnote>
  <w:footnote w:id="107">
    <w:p w:rsidR="00007508" w:rsidRDefault="00007508">
      <w:pPr>
        <w:pStyle w:val="Textpoznmkypodiarou"/>
      </w:pPr>
      <w:r>
        <w:rPr>
          <w:rStyle w:val="Odkaznapoznmkupodiarou"/>
        </w:rPr>
        <w:footnoteRef/>
      </w:r>
      <w:r>
        <w:t xml:space="preserve"> </w:t>
      </w:r>
      <w:r w:rsidRPr="00C873A5">
        <w:t>Zdroj: Prepočet z údajov ŠÚ SR, výberového zisťovania pracovných síl</w:t>
      </w:r>
    </w:p>
  </w:footnote>
  <w:footnote w:id="108">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Z</w:t>
      </w:r>
      <w:r w:rsidRPr="005810C3">
        <w:rPr>
          <w:szCs w:val="16"/>
        </w:rPr>
        <w:t>droj: OECD, databáza LFS</w:t>
      </w:r>
    </w:p>
  </w:footnote>
  <w:footnote w:id="109">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 xml:space="preserve">Zdroj: </w:t>
      </w:r>
      <w:r w:rsidRPr="005810C3">
        <w:rPr>
          <w:szCs w:val="16"/>
        </w:rPr>
        <w:t xml:space="preserve">ÚIPŠ Uplatnenie </w:t>
      </w:r>
      <w:r>
        <w:rPr>
          <w:szCs w:val="16"/>
        </w:rPr>
        <w:t>a</w:t>
      </w:r>
      <w:r w:rsidRPr="005810C3">
        <w:rPr>
          <w:szCs w:val="16"/>
        </w:rPr>
        <w:t xml:space="preserve">bsolventov </w:t>
      </w:r>
      <w:r>
        <w:rPr>
          <w:szCs w:val="16"/>
        </w:rPr>
        <w:t>s</w:t>
      </w:r>
      <w:r w:rsidRPr="005810C3">
        <w:rPr>
          <w:szCs w:val="16"/>
        </w:rPr>
        <w:t>tredných škôl v</w:t>
      </w:r>
      <w:r>
        <w:rPr>
          <w:szCs w:val="16"/>
        </w:rPr>
        <w:t> </w:t>
      </w:r>
      <w:r w:rsidRPr="005810C3">
        <w:rPr>
          <w:szCs w:val="16"/>
        </w:rPr>
        <w:t>praxi. Bratislava :2011</w:t>
      </w:r>
    </w:p>
  </w:footnote>
  <w:footnote w:id="110">
    <w:p w:rsidR="00007508" w:rsidRDefault="00007508" w:rsidP="00406C25">
      <w:pPr>
        <w:pStyle w:val="Textpoznmkypodiarou"/>
      </w:pPr>
      <w:r w:rsidRPr="005810C3">
        <w:rPr>
          <w:rStyle w:val="Odkaznapoznmkupodiarou"/>
          <w:szCs w:val="16"/>
        </w:rPr>
        <w:footnoteRef/>
      </w:r>
      <w:r w:rsidRPr="005810C3">
        <w:rPr>
          <w:szCs w:val="16"/>
        </w:rPr>
        <w:t xml:space="preserve"> Podľa údajov UIPS bol </w:t>
      </w:r>
      <w:r>
        <w:rPr>
          <w:szCs w:val="16"/>
        </w:rPr>
        <w:t>k</w:t>
      </w:r>
      <w:r w:rsidRPr="005810C3">
        <w:rPr>
          <w:szCs w:val="16"/>
        </w:rPr>
        <w:t xml:space="preserve"> júlu 2011 počet nezamestnaných </w:t>
      </w:r>
      <w:r>
        <w:rPr>
          <w:szCs w:val="16"/>
        </w:rPr>
        <w:t>a</w:t>
      </w:r>
      <w:r w:rsidRPr="005810C3">
        <w:rPr>
          <w:szCs w:val="16"/>
        </w:rPr>
        <w:t>bsolventov VŠ 9670 osôb</w:t>
      </w:r>
    </w:p>
  </w:footnote>
  <w:footnote w:id="111">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Z</w:t>
      </w:r>
      <w:r w:rsidRPr="005810C3">
        <w:rPr>
          <w:szCs w:val="16"/>
        </w:rPr>
        <w:t>droj: OECD, databáza LFS, jednotkové náklady práce</w:t>
      </w:r>
    </w:p>
  </w:footnote>
  <w:footnote w:id="112">
    <w:p w:rsidR="00007508" w:rsidRDefault="00007508" w:rsidP="00E13D81">
      <w:pPr>
        <w:autoSpaceDE w:val="0"/>
        <w:autoSpaceDN w:val="0"/>
        <w:adjustRightInd w:val="0"/>
        <w:spacing w:before="0" w:after="0"/>
        <w:ind w:left="170" w:hanging="170"/>
      </w:pPr>
      <w:r w:rsidRPr="005810C3">
        <w:rPr>
          <w:rStyle w:val="Odkaznapoznmkupodiarou"/>
          <w:rFonts w:asciiTheme="majorHAnsi" w:hAnsiTheme="majorHAnsi"/>
          <w:sz w:val="16"/>
          <w:szCs w:val="16"/>
        </w:rPr>
        <w:footnoteRef/>
      </w:r>
      <w:r w:rsidRPr="005810C3">
        <w:rPr>
          <w:rFonts w:asciiTheme="majorHAnsi" w:hAnsiTheme="majorHAnsi"/>
          <w:sz w:val="16"/>
          <w:szCs w:val="16"/>
        </w:rPr>
        <w:t xml:space="preserve"> </w:t>
      </w:r>
      <w:r w:rsidRPr="005810C3">
        <w:rPr>
          <w:rFonts w:asciiTheme="majorHAnsi" w:hAnsiTheme="majorHAnsi"/>
          <w:bCs/>
          <w:sz w:val="16"/>
          <w:szCs w:val="16"/>
        </w:rPr>
        <w:t xml:space="preserve">V roku 2008 bol podiel dlhodobo nezamestnaných vysoký </w:t>
      </w:r>
      <w:r>
        <w:rPr>
          <w:rFonts w:asciiTheme="majorHAnsi" w:hAnsiTheme="majorHAnsi"/>
          <w:bCs/>
          <w:sz w:val="16"/>
          <w:szCs w:val="16"/>
        </w:rPr>
        <w:t>a </w:t>
      </w:r>
      <w:r w:rsidRPr="005810C3">
        <w:rPr>
          <w:rFonts w:asciiTheme="majorHAnsi" w:hAnsiTheme="majorHAnsi"/>
          <w:bCs/>
          <w:sz w:val="16"/>
          <w:szCs w:val="16"/>
        </w:rPr>
        <w:t xml:space="preserve">v záujme zvýšenia ich zamestnateľnosti </w:t>
      </w:r>
      <w:r>
        <w:rPr>
          <w:rFonts w:asciiTheme="majorHAnsi" w:hAnsiTheme="majorHAnsi"/>
          <w:bCs/>
          <w:sz w:val="16"/>
          <w:szCs w:val="16"/>
        </w:rPr>
        <w:t>a </w:t>
      </w:r>
      <w:r w:rsidRPr="005810C3">
        <w:rPr>
          <w:rFonts w:asciiTheme="majorHAnsi" w:hAnsiTheme="majorHAnsi"/>
          <w:bCs/>
          <w:sz w:val="16"/>
          <w:szCs w:val="16"/>
        </w:rPr>
        <w:t xml:space="preserve">obnovy pracovných návykov bol veľký počet nezamestnaných zaraďovaných na </w:t>
      </w:r>
      <w:r>
        <w:rPr>
          <w:rFonts w:asciiTheme="majorHAnsi" w:hAnsiTheme="majorHAnsi"/>
          <w:bCs/>
          <w:sz w:val="16"/>
          <w:szCs w:val="16"/>
        </w:rPr>
        <w:t>ak</w:t>
      </w:r>
      <w:r w:rsidRPr="005810C3">
        <w:rPr>
          <w:rFonts w:asciiTheme="majorHAnsi" w:hAnsiTheme="majorHAnsi"/>
          <w:bCs/>
          <w:sz w:val="16"/>
          <w:szCs w:val="16"/>
        </w:rPr>
        <w:t>tivačn</w:t>
      </w:r>
      <w:r>
        <w:rPr>
          <w:rFonts w:asciiTheme="majorHAnsi" w:hAnsiTheme="majorHAnsi"/>
          <w:bCs/>
          <w:sz w:val="16"/>
          <w:szCs w:val="16"/>
        </w:rPr>
        <w:t>ú</w:t>
      </w:r>
      <w:r w:rsidRPr="005810C3">
        <w:rPr>
          <w:rFonts w:asciiTheme="majorHAnsi" w:hAnsiTheme="majorHAnsi"/>
          <w:bCs/>
          <w:sz w:val="16"/>
          <w:szCs w:val="16"/>
        </w:rPr>
        <w:t xml:space="preserve"> </w:t>
      </w:r>
      <w:r>
        <w:rPr>
          <w:rFonts w:asciiTheme="majorHAnsi" w:hAnsiTheme="majorHAnsi"/>
          <w:bCs/>
          <w:sz w:val="16"/>
          <w:szCs w:val="16"/>
        </w:rPr>
        <w:t xml:space="preserve">činnosť </w:t>
      </w:r>
      <w:r w:rsidRPr="005810C3">
        <w:rPr>
          <w:rFonts w:asciiTheme="majorHAnsi" w:hAnsiTheme="majorHAnsi"/>
          <w:bCs/>
          <w:sz w:val="16"/>
          <w:szCs w:val="16"/>
        </w:rPr>
        <w:t xml:space="preserve"> – 183 229 osôb. Priemerný príspevok na osobu bol vo výške 223,50</w:t>
      </w:r>
      <w:r>
        <w:rPr>
          <w:rFonts w:asciiTheme="majorHAnsi" w:hAnsiTheme="majorHAnsi"/>
          <w:bCs/>
          <w:sz w:val="16"/>
          <w:szCs w:val="16"/>
        </w:rPr>
        <w:t xml:space="preserve"> EUR</w:t>
      </w:r>
      <w:r w:rsidRPr="005810C3">
        <w:rPr>
          <w:rFonts w:asciiTheme="majorHAnsi" w:hAnsiTheme="majorHAnsi"/>
          <w:bCs/>
          <w:sz w:val="16"/>
          <w:szCs w:val="16"/>
        </w:rPr>
        <w:t xml:space="preserve">. V roku 2012 bolo na </w:t>
      </w:r>
      <w:r>
        <w:rPr>
          <w:rFonts w:asciiTheme="majorHAnsi" w:hAnsiTheme="majorHAnsi"/>
          <w:bCs/>
          <w:sz w:val="16"/>
          <w:szCs w:val="16"/>
        </w:rPr>
        <w:t>ak</w:t>
      </w:r>
      <w:r w:rsidRPr="005810C3">
        <w:rPr>
          <w:rFonts w:asciiTheme="majorHAnsi" w:hAnsiTheme="majorHAnsi"/>
          <w:bCs/>
          <w:sz w:val="16"/>
          <w:szCs w:val="16"/>
        </w:rPr>
        <w:t>tivačn</w:t>
      </w:r>
      <w:r>
        <w:rPr>
          <w:rFonts w:asciiTheme="majorHAnsi" w:hAnsiTheme="majorHAnsi"/>
          <w:bCs/>
          <w:sz w:val="16"/>
          <w:szCs w:val="16"/>
        </w:rPr>
        <w:t>ú</w:t>
      </w:r>
      <w:r w:rsidRPr="005810C3">
        <w:rPr>
          <w:rFonts w:asciiTheme="majorHAnsi" w:hAnsiTheme="majorHAnsi"/>
          <w:bCs/>
          <w:sz w:val="16"/>
          <w:szCs w:val="16"/>
        </w:rPr>
        <w:t xml:space="preserve"> </w:t>
      </w:r>
      <w:r>
        <w:rPr>
          <w:rFonts w:asciiTheme="majorHAnsi" w:hAnsiTheme="majorHAnsi"/>
          <w:bCs/>
          <w:sz w:val="16"/>
          <w:szCs w:val="16"/>
        </w:rPr>
        <w:t xml:space="preserve">činnosť </w:t>
      </w:r>
      <w:r w:rsidRPr="005810C3">
        <w:rPr>
          <w:rFonts w:asciiTheme="majorHAnsi" w:hAnsiTheme="majorHAnsi"/>
          <w:bCs/>
          <w:sz w:val="16"/>
          <w:szCs w:val="16"/>
        </w:rPr>
        <w:t xml:space="preserve">zaradených len 24 098 osôb </w:t>
      </w:r>
      <w:r>
        <w:rPr>
          <w:rFonts w:asciiTheme="majorHAnsi" w:hAnsiTheme="majorHAnsi"/>
          <w:bCs/>
          <w:sz w:val="16"/>
          <w:szCs w:val="16"/>
        </w:rPr>
        <w:t>s</w:t>
      </w:r>
      <w:r w:rsidRPr="005810C3">
        <w:rPr>
          <w:rFonts w:asciiTheme="majorHAnsi" w:hAnsiTheme="majorHAnsi"/>
          <w:bCs/>
          <w:sz w:val="16"/>
          <w:szCs w:val="16"/>
        </w:rPr>
        <w:t> priemerným príspevkom na osobu vo výške 399,60</w:t>
      </w:r>
      <w:r>
        <w:rPr>
          <w:rFonts w:asciiTheme="majorHAnsi" w:hAnsiTheme="majorHAnsi"/>
          <w:bCs/>
          <w:sz w:val="16"/>
          <w:szCs w:val="16"/>
        </w:rPr>
        <w:t xml:space="preserve"> EUR</w:t>
      </w:r>
      <w:r w:rsidRPr="005810C3">
        <w:rPr>
          <w:rFonts w:asciiTheme="majorHAnsi" w:hAnsiTheme="majorHAnsi"/>
          <w:bCs/>
          <w:sz w:val="16"/>
          <w:szCs w:val="16"/>
        </w:rPr>
        <w:t xml:space="preserve">. V období rokov 2008 – 2012 boli poskytnuté príspevky pre 60 960 uchádzačov o zamestnanie v celkovej výške 192,4 mil. </w:t>
      </w:r>
      <w:r>
        <w:rPr>
          <w:rFonts w:asciiTheme="majorHAnsi" w:hAnsiTheme="majorHAnsi"/>
          <w:bCs/>
          <w:sz w:val="16"/>
          <w:szCs w:val="16"/>
        </w:rPr>
        <w:t>EUR</w:t>
      </w:r>
      <w:r w:rsidRPr="005810C3">
        <w:rPr>
          <w:rFonts w:asciiTheme="majorHAnsi" w:hAnsiTheme="majorHAnsi"/>
          <w:bCs/>
          <w:sz w:val="16"/>
          <w:szCs w:val="16"/>
        </w:rPr>
        <w:t>, t.</w:t>
      </w:r>
      <w:r>
        <w:rPr>
          <w:rFonts w:asciiTheme="majorHAnsi" w:hAnsiTheme="majorHAnsi"/>
          <w:bCs/>
          <w:sz w:val="16"/>
          <w:szCs w:val="16"/>
        </w:rPr>
        <w:t xml:space="preserve"> </w:t>
      </w:r>
      <w:r w:rsidRPr="005810C3">
        <w:rPr>
          <w:rFonts w:asciiTheme="majorHAnsi" w:hAnsiTheme="majorHAnsi"/>
          <w:bCs/>
          <w:sz w:val="16"/>
          <w:szCs w:val="16"/>
        </w:rPr>
        <w:t xml:space="preserve">j. priemerný príspevok 3 156 </w:t>
      </w:r>
      <w:r>
        <w:rPr>
          <w:rFonts w:asciiTheme="majorHAnsi" w:hAnsiTheme="majorHAnsi"/>
          <w:bCs/>
          <w:sz w:val="16"/>
          <w:szCs w:val="16"/>
        </w:rPr>
        <w:t xml:space="preserve">EUR </w:t>
      </w:r>
      <w:r w:rsidRPr="005810C3">
        <w:rPr>
          <w:rFonts w:asciiTheme="majorHAnsi" w:hAnsiTheme="majorHAnsi"/>
          <w:bCs/>
          <w:sz w:val="16"/>
          <w:szCs w:val="16"/>
        </w:rPr>
        <w:t>na osobu. V</w:t>
      </w:r>
      <w:r>
        <w:rPr>
          <w:rFonts w:asciiTheme="majorHAnsi" w:hAnsiTheme="majorHAnsi"/>
          <w:bCs/>
          <w:sz w:val="16"/>
          <w:szCs w:val="16"/>
        </w:rPr>
        <w:t> </w:t>
      </w:r>
      <w:r w:rsidRPr="005810C3">
        <w:rPr>
          <w:rFonts w:asciiTheme="majorHAnsi" w:hAnsiTheme="majorHAnsi"/>
          <w:bCs/>
          <w:sz w:val="16"/>
          <w:szCs w:val="16"/>
        </w:rPr>
        <w:t>roku</w:t>
      </w:r>
      <w:r>
        <w:rPr>
          <w:rFonts w:asciiTheme="majorHAnsi" w:hAnsiTheme="majorHAnsi"/>
          <w:bCs/>
          <w:sz w:val="16"/>
          <w:szCs w:val="16"/>
        </w:rPr>
        <w:t xml:space="preserve"> </w:t>
      </w:r>
      <w:r w:rsidRPr="005810C3">
        <w:rPr>
          <w:rFonts w:asciiTheme="majorHAnsi" w:hAnsiTheme="majorHAnsi"/>
          <w:bCs/>
          <w:sz w:val="16"/>
          <w:szCs w:val="16"/>
        </w:rPr>
        <w:t xml:space="preserve">2008 boli poskytnuté príspevky pre 3 072 </w:t>
      </w:r>
      <w:r>
        <w:rPr>
          <w:rFonts w:asciiTheme="majorHAnsi" w:hAnsiTheme="majorHAnsi"/>
          <w:bCs/>
          <w:sz w:val="16"/>
          <w:szCs w:val="16"/>
        </w:rPr>
        <w:t>osôb</w:t>
      </w:r>
      <w:r w:rsidRPr="005810C3">
        <w:rPr>
          <w:rFonts w:asciiTheme="majorHAnsi" w:hAnsiTheme="majorHAnsi"/>
          <w:bCs/>
          <w:sz w:val="16"/>
          <w:szCs w:val="16"/>
        </w:rPr>
        <w:t xml:space="preserve"> </w:t>
      </w:r>
      <w:r>
        <w:rPr>
          <w:rFonts w:asciiTheme="majorHAnsi" w:hAnsiTheme="majorHAnsi"/>
          <w:bCs/>
          <w:sz w:val="16"/>
          <w:szCs w:val="16"/>
        </w:rPr>
        <w:t>s</w:t>
      </w:r>
      <w:r w:rsidRPr="005810C3">
        <w:rPr>
          <w:rFonts w:asciiTheme="majorHAnsi" w:hAnsiTheme="majorHAnsi"/>
          <w:bCs/>
          <w:sz w:val="16"/>
          <w:szCs w:val="16"/>
        </w:rPr>
        <w:t xml:space="preserve">o zdravotným postihnutím vo výške 14,5 mil. </w:t>
      </w:r>
      <w:r>
        <w:rPr>
          <w:rFonts w:asciiTheme="majorHAnsi" w:hAnsiTheme="majorHAnsi"/>
          <w:bCs/>
          <w:sz w:val="16"/>
          <w:szCs w:val="16"/>
        </w:rPr>
        <w:t>EUR</w:t>
      </w:r>
      <w:r w:rsidRPr="005810C3">
        <w:rPr>
          <w:rFonts w:asciiTheme="majorHAnsi" w:hAnsiTheme="majorHAnsi"/>
          <w:bCs/>
          <w:sz w:val="16"/>
          <w:szCs w:val="16"/>
        </w:rPr>
        <w:t>, v roku 2012 boli poskytnuté príspevky pre 6 629 o</w:t>
      </w:r>
      <w:r>
        <w:rPr>
          <w:rFonts w:asciiTheme="majorHAnsi" w:hAnsiTheme="majorHAnsi"/>
          <w:bCs/>
          <w:sz w:val="16"/>
          <w:szCs w:val="16"/>
        </w:rPr>
        <w:t>sôb s</w:t>
      </w:r>
      <w:r w:rsidRPr="005810C3">
        <w:rPr>
          <w:rFonts w:asciiTheme="majorHAnsi" w:hAnsiTheme="majorHAnsi"/>
          <w:bCs/>
          <w:sz w:val="16"/>
          <w:szCs w:val="16"/>
        </w:rPr>
        <w:t xml:space="preserve">o zdravotným postihnutím vo výške 43,2 mil. </w:t>
      </w:r>
      <w:r>
        <w:rPr>
          <w:rFonts w:asciiTheme="majorHAnsi" w:hAnsiTheme="majorHAnsi"/>
          <w:bCs/>
          <w:sz w:val="16"/>
          <w:szCs w:val="16"/>
        </w:rPr>
        <w:t>EUR</w:t>
      </w:r>
      <w:r w:rsidRPr="005810C3">
        <w:rPr>
          <w:rFonts w:asciiTheme="majorHAnsi" w:hAnsiTheme="majorHAnsi"/>
          <w:bCs/>
          <w:sz w:val="16"/>
          <w:szCs w:val="16"/>
        </w:rPr>
        <w:t>. Celkovo boli poskytnuté príspevky na podporu zamestnávania o</w:t>
      </w:r>
      <w:r>
        <w:rPr>
          <w:rFonts w:asciiTheme="majorHAnsi" w:hAnsiTheme="majorHAnsi"/>
          <w:bCs/>
          <w:sz w:val="16"/>
          <w:szCs w:val="16"/>
        </w:rPr>
        <w:t>sôb</w:t>
      </w:r>
      <w:r w:rsidRPr="005810C3">
        <w:rPr>
          <w:rFonts w:asciiTheme="majorHAnsi" w:hAnsiTheme="majorHAnsi"/>
          <w:bCs/>
          <w:sz w:val="16"/>
          <w:szCs w:val="16"/>
        </w:rPr>
        <w:t xml:space="preserve"> </w:t>
      </w:r>
      <w:r>
        <w:rPr>
          <w:rFonts w:asciiTheme="majorHAnsi" w:hAnsiTheme="majorHAnsi"/>
          <w:bCs/>
          <w:sz w:val="16"/>
          <w:szCs w:val="16"/>
        </w:rPr>
        <w:t>s</w:t>
      </w:r>
      <w:r w:rsidRPr="005810C3">
        <w:rPr>
          <w:rFonts w:asciiTheme="majorHAnsi" w:hAnsiTheme="majorHAnsi"/>
          <w:bCs/>
          <w:sz w:val="16"/>
          <w:szCs w:val="16"/>
        </w:rPr>
        <w:t xml:space="preserve">o zdravotným postihnutím vo výške 156,4 mil. </w:t>
      </w:r>
      <w:r>
        <w:rPr>
          <w:rFonts w:asciiTheme="majorHAnsi" w:hAnsiTheme="majorHAnsi"/>
          <w:bCs/>
          <w:sz w:val="16"/>
          <w:szCs w:val="16"/>
        </w:rPr>
        <w:t>EUR</w:t>
      </w:r>
      <w:r w:rsidRPr="005810C3">
        <w:rPr>
          <w:rFonts w:asciiTheme="majorHAnsi" w:hAnsiTheme="majorHAnsi"/>
          <w:bCs/>
          <w:sz w:val="16"/>
          <w:szCs w:val="16"/>
        </w:rPr>
        <w:t xml:space="preserve">. Príspevok na vzdelávanie </w:t>
      </w:r>
      <w:r>
        <w:rPr>
          <w:rFonts w:asciiTheme="majorHAnsi" w:hAnsiTheme="majorHAnsi"/>
          <w:bCs/>
          <w:sz w:val="16"/>
          <w:szCs w:val="16"/>
        </w:rPr>
        <w:t>a </w:t>
      </w:r>
      <w:r w:rsidRPr="005810C3">
        <w:rPr>
          <w:rFonts w:asciiTheme="majorHAnsi" w:hAnsiTheme="majorHAnsi"/>
          <w:bCs/>
          <w:sz w:val="16"/>
          <w:szCs w:val="16"/>
        </w:rPr>
        <w:t xml:space="preserve">prípravu pre trh práce bol v rokoch 2008 </w:t>
      </w:r>
      <w:r>
        <w:rPr>
          <w:rFonts w:asciiTheme="majorHAnsi" w:hAnsiTheme="majorHAnsi"/>
          <w:bCs/>
          <w:sz w:val="16"/>
          <w:szCs w:val="16"/>
        </w:rPr>
        <w:t>a</w:t>
      </w:r>
      <w:r w:rsidRPr="005810C3">
        <w:rPr>
          <w:rFonts w:asciiTheme="majorHAnsi" w:hAnsiTheme="majorHAnsi"/>
          <w:bCs/>
          <w:sz w:val="16"/>
          <w:szCs w:val="16"/>
        </w:rPr>
        <w:t xml:space="preserve">ž 2012 poskytnutý pre 41 961 uchádzačov o zamestnanie </w:t>
      </w:r>
      <w:r>
        <w:rPr>
          <w:rFonts w:asciiTheme="majorHAnsi" w:hAnsiTheme="majorHAnsi"/>
          <w:bCs/>
          <w:sz w:val="16"/>
          <w:szCs w:val="16"/>
        </w:rPr>
        <w:t>s </w:t>
      </w:r>
      <w:r w:rsidRPr="005810C3">
        <w:rPr>
          <w:rFonts w:asciiTheme="majorHAnsi" w:hAnsiTheme="majorHAnsi"/>
          <w:bCs/>
          <w:sz w:val="16"/>
          <w:szCs w:val="16"/>
        </w:rPr>
        <w:t xml:space="preserve">celkovými nákladmi vo výške 14,4 mil. </w:t>
      </w:r>
      <w:r>
        <w:rPr>
          <w:rFonts w:asciiTheme="majorHAnsi" w:hAnsiTheme="majorHAnsi"/>
          <w:bCs/>
          <w:sz w:val="16"/>
          <w:szCs w:val="16"/>
        </w:rPr>
        <w:t>EUR</w:t>
      </w:r>
      <w:r w:rsidRPr="005810C3">
        <w:rPr>
          <w:rFonts w:asciiTheme="majorHAnsi" w:hAnsiTheme="majorHAnsi"/>
          <w:bCs/>
          <w:sz w:val="16"/>
          <w:szCs w:val="16"/>
        </w:rPr>
        <w:t>, t.</w:t>
      </w:r>
      <w:r>
        <w:rPr>
          <w:rFonts w:asciiTheme="majorHAnsi" w:hAnsiTheme="majorHAnsi"/>
          <w:bCs/>
          <w:sz w:val="16"/>
          <w:szCs w:val="16"/>
        </w:rPr>
        <w:t xml:space="preserve"> </w:t>
      </w:r>
      <w:r w:rsidRPr="005810C3">
        <w:rPr>
          <w:rFonts w:asciiTheme="majorHAnsi" w:hAnsiTheme="majorHAnsi"/>
          <w:bCs/>
          <w:sz w:val="16"/>
          <w:szCs w:val="16"/>
        </w:rPr>
        <w:t xml:space="preserve">j. priemerné náklady na 1 osobu </w:t>
      </w:r>
      <w:r>
        <w:rPr>
          <w:rFonts w:asciiTheme="majorHAnsi" w:hAnsiTheme="majorHAnsi"/>
          <w:bCs/>
          <w:sz w:val="16"/>
          <w:szCs w:val="16"/>
        </w:rPr>
        <w:t xml:space="preserve">boli </w:t>
      </w:r>
      <w:r w:rsidRPr="005810C3">
        <w:rPr>
          <w:rFonts w:asciiTheme="majorHAnsi" w:hAnsiTheme="majorHAnsi"/>
          <w:bCs/>
          <w:sz w:val="16"/>
          <w:szCs w:val="16"/>
        </w:rPr>
        <w:t xml:space="preserve">vo výške cca 343 </w:t>
      </w:r>
      <w:r>
        <w:rPr>
          <w:rFonts w:asciiTheme="majorHAnsi" w:hAnsiTheme="majorHAnsi"/>
          <w:bCs/>
          <w:sz w:val="16"/>
          <w:szCs w:val="16"/>
        </w:rPr>
        <w:t>EUR</w:t>
      </w:r>
    </w:p>
  </w:footnote>
  <w:footnote w:id="113">
    <w:p w:rsidR="00007508" w:rsidRDefault="00007508" w:rsidP="00406C25">
      <w:pPr>
        <w:pStyle w:val="Textpoznmkypodiarou"/>
      </w:pPr>
      <w:r w:rsidRPr="005810C3">
        <w:rPr>
          <w:rStyle w:val="Odkaznapoznmkupodiarou"/>
          <w:szCs w:val="16"/>
        </w:rPr>
        <w:footnoteRef/>
      </w:r>
      <w:r w:rsidRPr="005810C3">
        <w:rPr>
          <w:bCs/>
          <w:szCs w:val="16"/>
        </w:rPr>
        <w:t xml:space="preserve"> </w:t>
      </w:r>
      <w:r>
        <w:rPr>
          <w:bCs/>
          <w:szCs w:val="16"/>
        </w:rPr>
        <w:t>D</w:t>
      </w:r>
      <w:r w:rsidRPr="005810C3">
        <w:rPr>
          <w:bCs/>
          <w:szCs w:val="16"/>
        </w:rPr>
        <w:t>efinované zákonom č. 5/2004 Z. z. o</w:t>
      </w:r>
      <w:r>
        <w:rPr>
          <w:bCs/>
          <w:szCs w:val="16"/>
        </w:rPr>
        <w:t> s</w:t>
      </w:r>
      <w:r w:rsidRPr="005810C3">
        <w:rPr>
          <w:bCs/>
          <w:szCs w:val="16"/>
        </w:rPr>
        <w:t>lužbách</w:t>
      </w:r>
      <w:r>
        <w:rPr>
          <w:bCs/>
          <w:szCs w:val="16"/>
        </w:rPr>
        <w:t xml:space="preserve"> </w:t>
      </w:r>
      <w:r w:rsidRPr="005810C3">
        <w:rPr>
          <w:bCs/>
          <w:szCs w:val="16"/>
        </w:rPr>
        <w:t xml:space="preserve">zamestnanosti </w:t>
      </w:r>
      <w:r>
        <w:rPr>
          <w:bCs/>
          <w:szCs w:val="16"/>
        </w:rPr>
        <w:t>a </w:t>
      </w:r>
      <w:r w:rsidRPr="005810C3">
        <w:rPr>
          <w:bCs/>
          <w:szCs w:val="16"/>
        </w:rPr>
        <w:t xml:space="preserve">o zmene </w:t>
      </w:r>
      <w:r>
        <w:rPr>
          <w:bCs/>
          <w:szCs w:val="16"/>
        </w:rPr>
        <w:t>a </w:t>
      </w:r>
      <w:r w:rsidRPr="005810C3">
        <w:rPr>
          <w:bCs/>
          <w:szCs w:val="16"/>
        </w:rPr>
        <w:t>doplnení niektorých zákonov v</w:t>
      </w:r>
      <w:r>
        <w:rPr>
          <w:bCs/>
          <w:szCs w:val="16"/>
        </w:rPr>
        <w:t> </w:t>
      </w:r>
      <w:r w:rsidRPr="005810C3">
        <w:rPr>
          <w:bCs/>
          <w:szCs w:val="16"/>
        </w:rPr>
        <w:t>znení</w:t>
      </w:r>
      <w:r>
        <w:rPr>
          <w:bCs/>
          <w:szCs w:val="16"/>
        </w:rPr>
        <w:t xml:space="preserve"> </w:t>
      </w:r>
      <w:r w:rsidRPr="005810C3">
        <w:rPr>
          <w:bCs/>
          <w:szCs w:val="16"/>
        </w:rPr>
        <w:t>neskorších predpisov</w:t>
      </w:r>
    </w:p>
  </w:footnote>
  <w:footnote w:id="114">
    <w:p w:rsidR="00007508" w:rsidRDefault="00007508" w:rsidP="00E13D81">
      <w:pPr>
        <w:pStyle w:val="Textpoznmkypodiarou"/>
        <w:ind w:left="170" w:hanging="170"/>
      </w:pPr>
      <w:r w:rsidRPr="005810C3">
        <w:rPr>
          <w:rStyle w:val="Odkaznapoznmkupodiarou"/>
          <w:szCs w:val="16"/>
        </w:rPr>
        <w:footnoteRef/>
      </w:r>
      <w:r w:rsidRPr="005810C3">
        <w:rPr>
          <w:szCs w:val="16"/>
        </w:rPr>
        <w:t xml:space="preserve"> </w:t>
      </w:r>
      <w:r>
        <w:rPr>
          <w:szCs w:val="16"/>
        </w:rPr>
        <w:t>U</w:t>
      </w:r>
      <w:r w:rsidRPr="005810C3">
        <w:rPr>
          <w:szCs w:val="16"/>
        </w:rPr>
        <w:t xml:space="preserve">dáva, </w:t>
      </w:r>
      <w:r>
        <w:rPr>
          <w:szCs w:val="16"/>
        </w:rPr>
        <w:t>ak</w:t>
      </w:r>
      <w:r w:rsidRPr="005810C3">
        <w:rPr>
          <w:szCs w:val="16"/>
        </w:rPr>
        <w:t>é percento výdavkov z</w:t>
      </w:r>
      <w:r>
        <w:rPr>
          <w:szCs w:val="16"/>
        </w:rPr>
        <w:t> </w:t>
      </w:r>
      <w:r w:rsidRPr="005810C3">
        <w:rPr>
          <w:szCs w:val="16"/>
        </w:rPr>
        <w:t>HDP</w:t>
      </w:r>
      <w:r>
        <w:rPr>
          <w:szCs w:val="16"/>
        </w:rPr>
        <w:t xml:space="preserve"> </w:t>
      </w:r>
      <w:r w:rsidRPr="005810C3">
        <w:rPr>
          <w:szCs w:val="16"/>
        </w:rPr>
        <w:t xml:space="preserve">vydávala </w:t>
      </w:r>
      <w:r>
        <w:rPr>
          <w:szCs w:val="16"/>
        </w:rPr>
        <w:t>k</w:t>
      </w:r>
      <w:r w:rsidRPr="005810C3">
        <w:rPr>
          <w:szCs w:val="16"/>
        </w:rPr>
        <w:t xml:space="preserve">rajina na </w:t>
      </w:r>
      <w:r>
        <w:rPr>
          <w:szCs w:val="16"/>
        </w:rPr>
        <w:t>A</w:t>
      </w:r>
      <w:r w:rsidRPr="005810C3">
        <w:rPr>
          <w:szCs w:val="16"/>
        </w:rPr>
        <w:t>PTP (</w:t>
      </w:r>
      <w:r>
        <w:rPr>
          <w:szCs w:val="16"/>
        </w:rPr>
        <w:t>a</w:t>
      </w:r>
      <w:r w:rsidRPr="005810C3">
        <w:rPr>
          <w:szCs w:val="16"/>
        </w:rPr>
        <w:t>lebo</w:t>
      </w:r>
      <w:r>
        <w:rPr>
          <w:szCs w:val="16"/>
        </w:rPr>
        <w:t>,</w:t>
      </w:r>
      <w:r w:rsidRPr="005810C3">
        <w:rPr>
          <w:szCs w:val="16"/>
        </w:rPr>
        <w:t xml:space="preserve"> </w:t>
      </w:r>
      <w:r>
        <w:rPr>
          <w:szCs w:val="16"/>
        </w:rPr>
        <w:t>ak</w:t>
      </w:r>
      <w:r w:rsidRPr="005810C3">
        <w:rPr>
          <w:szCs w:val="16"/>
        </w:rPr>
        <w:t xml:space="preserve">é percento participantov z celkového počtu nezamestnaných </w:t>
      </w:r>
      <w:r>
        <w:rPr>
          <w:szCs w:val="16"/>
        </w:rPr>
        <w:t>s</w:t>
      </w:r>
      <w:r w:rsidRPr="005810C3">
        <w:rPr>
          <w:szCs w:val="16"/>
        </w:rPr>
        <w:t>a zúčastnilo v</w:t>
      </w:r>
      <w:r>
        <w:rPr>
          <w:szCs w:val="16"/>
        </w:rPr>
        <w:t> k</w:t>
      </w:r>
      <w:r w:rsidRPr="005810C3">
        <w:rPr>
          <w:szCs w:val="16"/>
        </w:rPr>
        <w:t>aždej</w:t>
      </w:r>
      <w:r>
        <w:rPr>
          <w:szCs w:val="16"/>
        </w:rPr>
        <w:t xml:space="preserve"> k</w:t>
      </w:r>
      <w:r w:rsidRPr="005810C3">
        <w:rPr>
          <w:szCs w:val="16"/>
        </w:rPr>
        <w:t xml:space="preserve">rajine na programoch </w:t>
      </w:r>
      <w:r>
        <w:rPr>
          <w:szCs w:val="16"/>
        </w:rPr>
        <w:t>A</w:t>
      </w:r>
      <w:r w:rsidRPr="005810C3">
        <w:rPr>
          <w:szCs w:val="16"/>
        </w:rPr>
        <w:t>PTP) na 1 percento miery nezamestnanosti</w:t>
      </w:r>
    </w:p>
  </w:footnote>
  <w:footnote w:id="115">
    <w:p w:rsidR="00007508" w:rsidRDefault="00007508" w:rsidP="00406C25">
      <w:pPr>
        <w:pStyle w:val="Textpoznmkypodiarou"/>
      </w:pPr>
      <w:r w:rsidRPr="005810C3">
        <w:rPr>
          <w:rStyle w:val="Odkaznapoznmkupodiarou"/>
          <w:szCs w:val="16"/>
        </w:rPr>
        <w:footnoteRef/>
      </w:r>
      <w:r w:rsidRPr="005810C3">
        <w:rPr>
          <w:szCs w:val="16"/>
        </w:rPr>
        <w:t xml:space="preserve"> Zdroj: Uplatňovanie </w:t>
      </w:r>
      <w:r>
        <w:rPr>
          <w:szCs w:val="16"/>
        </w:rPr>
        <w:t>ak</w:t>
      </w:r>
      <w:r w:rsidRPr="005810C3">
        <w:rPr>
          <w:szCs w:val="16"/>
        </w:rPr>
        <w:t>tívnych opatrení na trhu práce v</w:t>
      </w:r>
      <w:r>
        <w:rPr>
          <w:szCs w:val="16"/>
        </w:rPr>
        <w:t> k</w:t>
      </w:r>
      <w:r w:rsidRPr="005810C3">
        <w:rPr>
          <w:szCs w:val="16"/>
        </w:rPr>
        <w:t>ontexte</w:t>
      </w:r>
      <w:r>
        <w:rPr>
          <w:szCs w:val="16"/>
        </w:rPr>
        <w:t xml:space="preserve"> s a</w:t>
      </w:r>
      <w:r w:rsidRPr="005810C3">
        <w:rPr>
          <w:szCs w:val="16"/>
        </w:rPr>
        <w:t xml:space="preserve">plikačnou praxou </w:t>
      </w:r>
      <w:r>
        <w:rPr>
          <w:szCs w:val="16"/>
        </w:rPr>
        <w:t>Eur</w:t>
      </w:r>
      <w:r w:rsidRPr="005810C3">
        <w:rPr>
          <w:szCs w:val="16"/>
        </w:rPr>
        <w:t xml:space="preserve">ópskej únie, Inštitút pre výskum práce </w:t>
      </w:r>
      <w:r>
        <w:rPr>
          <w:szCs w:val="16"/>
        </w:rPr>
        <w:t>a </w:t>
      </w:r>
      <w:r w:rsidRPr="005810C3">
        <w:rPr>
          <w:szCs w:val="16"/>
        </w:rPr>
        <w:t>rodiny</w:t>
      </w:r>
    </w:p>
  </w:footnote>
  <w:footnote w:id="116">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Z</w:t>
      </w:r>
      <w:r w:rsidRPr="005810C3">
        <w:rPr>
          <w:szCs w:val="16"/>
        </w:rPr>
        <w:t>droj: Inštitút zamestnanosti</w:t>
      </w:r>
    </w:p>
  </w:footnote>
  <w:footnote w:id="117">
    <w:p w:rsidR="00007508" w:rsidRDefault="00007508" w:rsidP="007C7BFF">
      <w:pPr>
        <w:pStyle w:val="Textpoznmkypodiarou"/>
        <w:ind w:left="170" w:hanging="170"/>
      </w:pPr>
      <w:r w:rsidRPr="006255C3">
        <w:rPr>
          <w:rStyle w:val="Intenzvnyodkaz"/>
          <w:b w:val="0"/>
          <w:color w:val="000000" w:themeColor="text1"/>
          <w:szCs w:val="16"/>
          <w:u w:val="none"/>
          <w:vertAlign w:val="superscript"/>
        </w:rPr>
        <w:footnoteRef/>
      </w:r>
      <w:r>
        <w:rPr>
          <w:rStyle w:val="Intenzvnyodkaz"/>
          <w:b w:val="0"/>
          <w:color w:val="000000" w:themeColor="text1"/>
          <w:szCs w:val="16"/>
          <w:u w:val="none"/>
        </w:rPr>
        <w:t xml:space="preserve"> </w:t>
      </w:r>
      <w:r w:rsidRPr="006255C3">
        <w:rPr>
          <w:rStyle w:val="Intenzvnyodkaz"/>
          <w:b w:val="0"/>
          <w:color w:val="000000" w:themeColor="text1"/>
          <w:szCs w:val="16"/>
          <w:u w:val="none"/>
        </w:rPr>
        <w:t>Zahŕňa korporátne manažérky a</w:t>
      </w:r>
      <w:r>
        <w:rPr>
          <w:rStyle w:val="Intenzvnyodkaz"/>
          <w:b w:val="0"/>
          <w:color w:val="000000" w:themeColor="text1"/>
          <w:szCs w:val="16"/>
          <w:u w:val="none"/>
        </w:rPr>
        <w:t> manažérky malých podnikov, v EÚ</w:t>
      </w:r>
      <w:r w:rsidRPr="006255C3">
        <w:rPr>
          <w:rStyle w:val="Intenzvnyodkaz"/>
          <w:b w:val="0"/>
          <w:color w:val="000000" w:themeColor="text1"/>
          <w:szCs w:val="16"/>
          <w:u w:val="none"/>
        </w:rPr>
        <w:t xml:space="preserve">-27 bol priemer 28,7 % (zdroj: Eurostat: </w:t>
      </w:r>
      <w:hyperlink r:id="rId16" w:history="1">
        <w:r w:rsidRPr="006255C3">
          <w:rPr>
            <w:rStyle w:val="Hypertextovprepojenie"/>
            <w:szCs w:val="16"/>
          </w:rPr>
          <w:t>http://epp.eurostat.ec.europa.eu/cache/ITY_PUBLIC/3-07032013-AP/EN/3-07032013-AP-EN.PDF</w:t>
        </w:r>
      </w:hyperlink>
      <w:r w:rsidRPr="006255C3">
        <w:rPr>
          <w:rStyle w:val="Hypertextovprepojenie"/>
          <w:szCs w:val="16"/>
        </w:rPr>
        <w:t>)</w:t>
      </w:r>
    </w:p>
  </w:footnote>
  <w:footnote w:id="118">
    <w:p w:rsidR="00007508" w:rsidRDefault="00007508" w:rsidP="0003264B">
      <w:pPr>
        <w:pStyle w:val="Textpoznmkypodiarou"/>
        <w:ind w:left="170" w:hanging="170"/>
      </w:pPr>
      <w:r w:rsidRPr="005810C3">
        <w:rPr>
          <w:rStyle w:val="Odkaznapoznmkupodiarou"/>
          <w:szCs w:val="16"/>
        </w:rPr>
        <w:footnoteRef/>
      </w:r>
      <w:r>
        <w:rPr>
          <w:szCs w:val="16"/>
        </w:rPr>
        <w:t xml:space="preserve"> Zdroj: Ústav informácií a  prognóz školstva, </w:t>
      </w:r>
      <w:r w:rsidRPr="005810C3">
        <w:rPr>
          <w:szCs w:val="16"/>
        </w:rPr>
        <w:t xml:space="preserve">Počet nevybavených žiadostí dosiahol </w:t>
      </w:r>
      <w:r>
        <w:rPr>
          <w:szCs w:val="16"/>
        </w:rPr>
        <w:t>k</w:t>
      </w:r>
      <w:r w:rsidRPr="005810C3">
        <w:rPr>
          <w:szCs w:val="16"/>
        </w:rPr>
        <w:t xml:space="preserve"> </w:t>
      </w:r>
      <w:r>
        <w:rPr>
          <w:szCs w:val="16"/>
        </w:rPr>
        <w:t>s</w:t>
      </w:r>
      <w:r w:rsidRPr="005810C3">
        <w:rPr>
          <w:szCs w:val="16"/>
        </w:rPr>
        <w:t xml:space="preserve">eptembru 2012 v štátnych škôlkach 7,5 tisíc, pričom </w:t>
      </w:r>
      <w:r>
        <w:rPr>
          <w:szCs w:val="16"/>
        </w:rPr>
        <w:t>s</w:t>
      </w:r>
      <w:r w:rsidRPr="005810C3">
        <w:rPr>
          <w:szCs w:val="16"/>
        </w:rPr>
        <w:t xml:space="preserve">ituácia je </w:t>
      </w:r>
      <w:r>
        <w:rPr>
          <w:szCs w:val="16"/>
        </w:rPr>
        <w:t>k</w:t>
      </w:r>
      <w:r w:rsidRPr="005810C3">
        <w:rPr>
          <w:szCs w:val="16"/>
        </w:rPr>
        <w:t>ritická hlavne v</w:t>
      </w:r>
      <w:r>
        <w:rPr>
          <w:szCs w:val="16"/>
        </w:rPr>
        <w:t> </w:t>
      </w:r>
      <w:r w:rsidRPr="005810C3">
        <w:rPr>
          <w:szCs w:val="16"/>
        </w:rPr>
        <w:t>Bratislavskom</w:t>
      </w:r>
      <w:r>
        <w:rPr>
          <w:szCs w:val="16"/>
        </w:rPr>
        <w:t xml:space="preserve"> k</w:t>
      </w:r>
      <w:r w:rsidRPr="005810C3">
        <w:rPr>
          <w:szCs w:val="16"/>
        </w:rPr>
        <w:t xml:space="preserve">raji (46 % zo všetkých žiadostí), zdroj </w:t>
      </w:r>
      <w:r w:rsidRPr="007B1C1C">
        <w:rPr>
          <w:szCs w:val="16"/>
        </w:rPr>
        <w:t xml:space="preserve">Ústav informácií </w:t>
      </w:r>
      <w:r>
        <w:rPr>
          <w:szCs w:val="16"/>
        </w:rPr>
        <w:t>a </w:t>
      </w:r>
      <w:r w:rsidRPr="007B1C1C">
        <w:rPr>
          <w:szCs w:val="16"/>
        </w:rPr>
        <w:t xml:space="preserve"> prognóz školstva</w:t>
      </w:r>
    </w:p>
  </w:footnote>
  <w:footnote w:id="119">
    <w:p w:rsidR="00007508" w:rsidRDefault="00007508" w:rsidP="004C3F62">
      <w:pPr>
        <w:pStyle w:val="Textpoznmkypodiarou"/>
      </w:pPr>
      <w:r w:rsidRPr="005810C3">
        <w:rPr>
          <w:rStyle w:val="Odkaznapoznmkupodiarou"/>
          <w:szCs w:val="16"/>
        </w:rPr>
        <w:footnoteRef/>
      </w:r>
      <w:r w:rsidRPr="005810C3">
        <w:rPr>
          <w:rStyle w:val="Odkaznapoznmkupodiarou"/>
          <w:szCs w:val="16"/>
        </w:rPr>
        <w:t xml:space="preserve"> </w:t>
      </w:r>
      <w:r>
        <w:rPr>
          <w:szCs w:val="16"/>
        </w:rPr>
        <w:t xml:space="preserve"> </w:t>
      </w:r>
      <w:r w:rsidRPr="005810C3">
        <w:rPr>
          <w:szCs w:val="16"/>
        </w:rPr>
        <w:t>Dohovory: Haag (1954), Paríž (1970), Haag (1999), Paríž (1972), Paríž (2001), Paríž (2003), Paríž (2005)</w:t>
      </w:r>
    </w:p>
  </w:footnote>
  <w:footnote w:id="120">
    <w:p w:rsidR="00007508" w:rsidRDefault="00007508" w:rsidP="0003264B">
      <w:pPr>
        <w:pStyle w:val="Textpoznmkypodiarou"/>
        <w:ind w:left="170" w:hanging="170"/>
      </w:pPr>
      <w:r w:rsidRPr="005810C3">
        <w:rPr>
          <w:rStyle w:val="Odkaznapoznmkupodiarou"/>
          <w:szCs w:val="16"/>
        </w:rPr>
        <w:footnoteRef/>
      </w:r>
      <w:r w:rsidRPr="005810C3">
        <w:rPr>
          <w:szCs w:val="16"/>
        </w:rPr>
        <w:t xml:space="preserve"> Benátska charta (1964),</w:t>
      </w:r>
      <w:r>
        <w:rPr>
          <w:szCs w:val="16"/>
        </w:rPr>
        <w:t xml:space="preserve"> </w:t>
      </w:r>
      <w:r w:rsidRPr="005810C3">
        <w:rPr>
          <w:szCs w:val="16"/>
        </w:rPr>
        <w:t>Florentská charta (1982), Washingtonská charta (1987), Charta z Lausanne (1990), Charta o ochrane a zabezpečení kult. dedičstva pod vodou (1996), Charta o kultúrnom turizme (1999), Charta o ľudovom stavebnom dedičstve (1999)</w:t>
      </w:r>
    </w:p>
  </w:footnote>
  <w:footnote w:id="121">
    <w:p w:rsidR="00007508" w:rsidRDefault="00007508" w:rsidP="004C3F62">
      <w:pPr>
        <w:pStyle w:val="Textpoznmkypodiarou"/>
      </w:pPr>
      <w:r w:rsidRPr="005810C3">
        <w:rPr>
          <w:rStyle w:val="Odkaznapoznmkupodiarou"/>
          <w:szCs w:val="16"/>
        </w:rPr>
        <w:footnoteRef/>
      </w:r>
      <w:r w:rsidRPr="005810C3">
        <w:rPr>
          <w:szCs w:val="16"/>
        </w:rPr>
        <w:t xml:space="preserve"> Dohovory: Paríž 1954, Granada 1985, Valetta 1992, Rím 1995, Florencia 2000, Faro 2005</w:t>
      </w:r>
    </w:p>
  </w:footnote>
  <w:footnote w:id="122">
    <w:p w:rsidR="00007508" w:rsidRDefault="00007508" w:rsidP="0003264B">
      <w:pPr>
        <w:pStyle w:val="Textpoznmkypodiarou"/>
        <w:ind w:left="170" w:hanging="170"/>
      </w:pPr>
      <w:r w:rsidRPr="0019194F">
        <w:rPr>
          <w:rStyle w:val="Odkaznapoznmkupodiarou"/>
          <w:szCs w:val="16"/>
        </w:rPr>
        <w:footnoteRef/>
      </w:r>
      <w:r w:rsidRPr="0019194F">
        <w:rPr>
          <w:szCs w:val="16"/>
        </w:rPr>
        <w:t xml:space="preserve"> Zahŕňajú hrady, zámky, kaštiele, kúrie, technické pamiatky, historické parky, meštianske domy, kde niektoré by sa mohli uchádzať o</w:t>
      </w:r>
      <w:r>
        <w:rPr>
          <w:szCs w:val="16"/>
        </w:rPr>
        <w:t> </w:t>
      </w:r>
      <w:r w:rsidRPr="0019194F">
        <w:rPr>
          <w:szCs w:val="16"/>
        </w:rPr>
        <w:t>status</w:t>
      </w:r>
      <w:r>
        <w:rPr>
          <w:szCs w:val="16"/>
        </w:rPr>
        <w:t xml:space="preserve"> </w:t>
      </w:r>
      <w:r w:rsidRPr="0019194F">
        <w:rPr>
          <w:szCs w:val="16"/>
        </w:rPr>
        <w:t>Svetového kultúrneho dedičstva UNESCO</w:t>
      </w:r>
    </w:p>
  </w:footnote>
  <w:footnote w:id="123">
    <w:p w:rsidR="00007508" w:rsidRDefault="00007508" w:rsidP="004C3F62">
      <w:pPr>
        <w:pStyle w:val="Textpoznmkypodiarou"/>
      </w:pPr>
      <w:r w:rsidRPr="005810C3">
        <w:rPr>
          <w:rStyle w:val="Odkaznapoznmkupodiarou"/>
          <w:szCs w:val="16"/>
        </w:rPr>
        <w:footnoteRef/>
      </w:r>
      <w:r w:rsidRPr="005810C3">
        <w:rPr>
          <w:szCs w:val="16"/>
        </w:rPr>
        <w:t xml:space="preserve"> Koncepcia ochrany pamiatkového fondu SR (stav k 31.12. 2012)</w:t>
      </w:r>
    </w:p>
  </w:footnote>
  <w:footnote w:id="124">
    <w:p w:rsidR="00007508" w:rsidRDefault="00007508" w:rsidP="0003264B">
      <w:pPr>
        <w:pStyle w:val="Textpoznmkypodiarou"/>
        <w:ind w:left="170" w:hanging="170"/>
      </w:pPr>
      <w:r>
        <w:rPr>
          <w:rStyle w:val="Odkaznapoznmkupodiarou"/>
        </w:rPr>
        <w:footnoteRef/>
      </w:r>
      <w:r>
        <w:t xml:space="preserve"> </w:t>
      </w:r>
      <w:r w:rsidRPr="004E2F85">
        <w:t>Vývojové trendy vidieckych a</w:t>
      </w:r>
      <w:r>
        <w:t> </w:t>
      </w:r>
      <w:r w:rsidRPr="004E2F85">
        <w:t>mestských oblastí Slovenska, Výskumný ústav ekonomiky poľnohospodárstva a</w:t>
      </w:r>
      <w:r>
        <w:t> </w:t>
      </w:r>
      <w:r w:rsidRPr="004E2F85">
        <w:t xml:space="preserve">potravinárstva, 2012, </w:t>
      </w:r>
      <w:hyperlink r:id="rId17" w:history="1">
        <w:r w:rsidRPr="001107CE">
          <w:rPr>
            <w:rStyle w:val="Hypertextovprepojenie"/>
          </w:rPr>
          <w:t>http://www.vuepp.sk/EP2012/4/Buchta_4_2012.pdf</w:t>
        </w:r>
      </w:hyperlink>
    </w:p>
  </w:footnote>
  <w:footnote w:id="125">
    <w:p w:rsidR="00007508" w:rsidRDefault="00007508" w:rsidP="008E4297">
      <w:pPr>
        <w:pStyle w:val="Textpoznmkypodiarou"/>
        <w:ind w:left="170" w:hanging="170"/>
      </w:pPr>
      <w:r w:rsidRPr="005810C3">
        <w:rPr>
          <w:rStyle w:val="Odkaznapoznmkupodiarou"/>
          <w:szCs w:val="16"/>
        </w:rPr>
        <w:footnoteRef/>
      </w:r>
      <w:r w:rsidRPr="005810C3">
        <w:rPr>
          <w:szCs w:val="16"/>
        </w:rPr>
        <w:t xml:space="preserve"> Za posledné roky bol UPSVR zaznamenaný cca 100</w:t>
      </w:r>
      <w:r>
        <w:rPr>
          <w:szCs w:val="16"/>
        </w:rPr>
        <w:t xml:space="preserve"> </w:t>
      </w:r>
      <w:r w:rsidRPr="005810C3">
        <w:rPr>
          <w:szCs w:val="16"/>
        </w:rPr>
        <w:t xml:space="preserve">% nárast počtu osôb veku dieťaťa pre jeho nepriaznivý zdravotný </w:t>
      </w:r>
      <w:r>
        <w:rPr>
          <w:szCs w:val="16"/>
        </w:rPr>
        <w:t>s</w:t>
      </w:r>
      <w:r w:rsidRPr="005810C3">
        <w:rPr>
          <w:szCs w:val="16"/>
        </w:rPr>
        <w:t xml:space="preserve">tav. Tento </w:t>
      </w:r>
      <w:r>
        <w:rPr>
          <w:szCs w:val="16"/>
        </w:rPr>
        <w:t>s</w:t>
      </w:r>
      <w:r w:rsidRPr="005810C3">
        <w:rPr>
          <w:szCs w:val="16"/>
        </w:rPr>
        <w:t xml:space="preserve">tav neznamená, že </w:t>
      </w:r>
      <w:r>
        <w:rPr>
          <w:szCs w:val="16"/>
        </w:rPr>
        <w:t>s</w:t>
      </w:r>
      <w:r w:rsidRPr="005810C3">
        <w:rPr>
          <w:szCs w:val="16"/>
        </w:rPr>
        <w:t xml:space="preserve">a rapídne zhoršil zdravotný </w:t>
      </w:r>
      <w:r>
        <w:rPr>
          <w:szCs w:val="16"/>
        </w:rPr>
        <w:t>s</w:t>
      </w:r>
      <w:r w:rsidRPr="005810C3">
        <w:rPr>
          <w:szCs w:val="16"/>
        </w:rPr>
        <w:t xml:space="preserve">tav detí, </w:t>
      </w:r>
      <w:r>
        <w:rPr>
          <w:szCs w:val="16"/>
        </w:rPr>
        <w:t>a</w:t>
      </w:r>
      <w:r w:rsidRPr="005810C3">
        <w:rPr>
          <w:szCs w:val="16"/>
        </w:rPr>
        <w:t xml:space="preserve">le rodičia radšej volia túto možnosť </w:t>
      </w:r>
      <w:r>
        <w:rPr>
          <w:szCs w:val="16"/>
        </w:rPr>
        <w:t>s</w:t>
      </w:r>
      <w:r w:rsidRPr="005810C3">
        <w:rPr>
          <w:szCs w:val="16"/>
        </w:rPr>
        <w:t> podporou lekárov</w:t>
      </w:r>
      <w:r>
        <w:rPr>
          <w:szCs w:val="16"/>
        </w:rPr>
        <w:t>,</w:t>
      </w:r>
      <w:r w:rsidRPr="005810C3">
        <w:rPr>
          <w:szCs w:val="16"/>
        </w:rPr>
        <w:t xml:space="preserve"> </w:t>
      </w:r>
      <w:r>
        <w:rPr>
          <w:szCs w:val="16"/>
        </w:rPr>
        <w:t>ak</w:t>
      </w:r>
      <w:r w:rsidRPr="005810C3">
        <w:rPr>
          <w:szCs w:val="16"/>
        </w:rPr>
        <w:t>o byť nezamestnaní</w:t>
      </w:r>
    </w:p>
  </w:footnote>
  <w:footnote w:id="126">
    <w:p w:rsidR="00007508" w:rsidRDefault="00007508" w:rsidP="00406C25">
      <w:pPr>
        <w:pStyle w:val="Textpoznmkypodiarou"/>
      </w:pPr>
      <w:r w:rsidRPr="005810C3">
        <w:rPr>
          <w:rStyle w:val="Odkaznapoznmkupodiarou"/>
          <w:szCs w:val="16"/>
        </w:rPr>
        <w:footnoteRef/>
      </w:r>
      <w:r w:rsidRPr="005810C3">
        <w:rPr>
          <w:szCs w:val="16"/>
        </w:rPr>
        <w:t xml:space="preserve"> Zdroj</w:t>
      </w:r>
      <w:r w:rsidRPr="005810C3">
        <w:rPr>
          <w:rFonts w:eastAsia="Times New Roman"/>
          <w:szCs w:val="16"/>
        </w:rPr>
        <w:t>:</w:t>
      </w:r>
      <w:r w:rsidRPr="005810C3">
        <w:rPr>
          <w:szCs w:val="16"/>
        </w:rPr>
        <w:t xml:space="preserve"> databáza EU </w:t>
      </w:r>
      <w:r>
        <w:rPr>
          <w:szCs w:val="16"/>
        </w:rPr>
        <w:t>S</w:t>
      </w:r>
      <w:r w:rsidRPr="005810C3">
        <w:rPr>
          <w:szCs w:val="16"/>
        </w:rPr>
        <w:t xml:space="preserve">ILC 2011 </w:t>
      </w:r>
      <w:r>
        <w:rPr>
          <w:szCs w:val="16"/>
        </w:rPr>
        <w:t>a</w:t>
      </w:r>
      <w:r w:rsidRPr="005810C3">
        <w:rPr>
          <w:szCs w:val="16"/>
        </w:rPr>
        <w:t xml:space="preserve">lebo </w:t>
      </w:r>
      <w:hyperlink r:id="rId18" w:history="1">
        <w:r w:rsidRPr="00D4670D">
          <w:rPr>
            <w:rStyle w:val="Hypertextovprepojenie"/>
            <w:rFonts w:cs="Lucida Grande"/>
            <w:szCs w:val="16"/>
          </w:rPr>
          <w:t>www.statistics.sk</w:t>
        </w:r>
      </w:hyperlink>
    </w:p>
  </w:footnote>
  <w:footnote w:id="127">
    <w:p w:rsidR="00007508" w:rsidRDefault="00007508" w:rsidP="008E4297">
      <w:pPr>
        <w:pStyle w:val="Textpoznmkypodiarou"/>
        <w:ind w:left="170" w:hanging="170"/>
      </w:pPr>
      <w:r w:rsidRPr="005810C3">
        <w:rPr>
          <w:rStyle w:val="Odkaznapoznmkupodiarou"/>
          <w:szCs w:val="16"/>
        </w:rPr>
        <w:footnoteRef/>
      </w:r>
      <w:r w:rsidRPr="005810C3">
        <w:rPr>
          <w:szCs w:val="16"/>
        </w:rPr>
        <w:t xml:space="preserve"> Hranica rizika chudoby je </w:t>
      </w:r>
      <w:r>
        <w:rPr>
          <w:szCs w:val="16"/>
        </w:rPr>
        <w:t>s</w:t>
      </w:r>
      <w:r w:rsidRPr="005810C3">
        <w:rPr>
          <w:szCs w:val="16"/>
        </w:rPr>
        <w:t xml:space="preserve">tanovená </w:t>
      </w:r>
      <w:r>
        <w:rPr>
          <w:szCs w:val="16"/>
        </w:rPr>
        <w:t>ak</w:t>
      </w:r>
      <w:r w:rsidRPr="005810C3">
        <w:rPr>
          <w:szCs w:val="16"/>
        </w:rPr>
        <w:t>o 60 % mediánu národného ekvivalentného disponibilného príjmu. Celková ročná hranica rizika chudoby vypočítaná z</w:t>
      </w:r>
      <w:r>
        <w:rPr>
          <w:szCs w:val="16"/>
        </w:rPr>
        <w:t> </w:t>
      </w:r>
      <w:r w:rsidRPr="005810C3">
        <w:rPr>
          <w:szCs w:val="16"/>
        </w:rPr>
        <w:t>EU</w:t>
      </w:r>
      <w:r>
        <w:rPr>
          <w:szCs w:val="16"/>
        </w:rPr>
        <w:t xml:space="preserve"> S</w:t>
      </w:r>
      <w:r w:rsidRPr="005810C3">
        <w:rPr>
          <w:szCs w:val="16"/>
        </w:rPr>
        <w:t xml:space="preserve">ILC 2011 bola pre jednočlennú domácnosť 3 784 </w:t>
      </w:r>
      <w:r>
        <w:rPr>
          <w:szCs w:val="16"/>
        </w:rPr>
        <w:t>EUR</w:t>
      </w:r>
      <w:r w:rsidRPr="005810C3">
        <w:rPr>
          <w:szCs w:val="16"/>
        </w:rPr>
        <w:t xml:space="preserve">, čo predstavuje </w:t>
      </w:r>
      <w:r>
        <w:rPr>
          <w:szCs w:val="16"/>
        </w:rPr>
        <w:t>s</w:t>
      </w:r>
      <w:r w:rsidRPr="005810C3">
        <w:rPr>
          <w:szCs w:val="16"/>
        </w:rPr>
        <w:t xml:space="preserve">umu približne 315 </w:t>
      </w:r>
      <w:r>
        <w:rPr>
          <w:szCs w:val="16"/>
        </w:rPr>
        <w:t xml:space="preserve">EUR </w:t>
      </w:r>
      <w:r w:rsidRPr="005810C3">
        <w:rPr>
          <w:szCs w:val="16"/>
        </w:rPr>
        <w:t>na mesiac.</w:t>
      </w:r>
      <w:r>
        <w:rPr>
          <w:szCs w:val="16"/>
        </w:rPr>
        <w:t xml:space="preserve"> </w:t>
      </w:r>
      <w:r w:rsidRPr="005810C3">
        <w:rPr>
          <w:szCs w:val="16"/>
        </w:rPr>
        <w:t xml:space="preserve">Pre domácnosť 2 dospelých </w:t>
      </w:r>
      <w:r>
        <w:rPr>
          <w:szCs w:val="16"/>
        </w:rPr>
        <w:t>s </w:t>
      </w:r>
      <w:r w:rsidRPr="005810C3">
        <w:rPr>
          <w:szCs w:val="16"/>
        </w:rPr>
        <w:t xml:space="preserve">2 deťmi do 14 rokov bola celková ročná hodnota hranice rizika chudoby na úrovni 7 945 </w:t>
      </w:r>
      <w:r>
        <w:rPr>
          <w:szCs w:val="16"/>
        </w:rPr>
        <w:t>EUR</w:t>
      </w:r>
      <w:r w:rsidRPr="005810C3">
        <w:rPr>
          <w:szCs w:val="16"/>
        </w:rPr>
        <w:t xml:space="preserve">, čo predstavovalo priemerne 662 </w:t>
      </w:r>
      <w:r>
        <w:rPr>
          <w:szCs w:val="16"/>
        </w:rPr>
        <w:t xml:space="preserve">EUR </w:t>
      </w:r>
      <w:r w:rsidRPr="005810C3">
        <w:rPr>
          <w:szCs w:val="16"/>
        </w:rPr>
        <w:t>na mesiac</w:t>
      </w:r>
    </w:p>
  </w:footnote>
  <w:footnote w:id="128">
    <w:p w:rsidR="00007508" w:rsidRDefault="00007508" w:rsidP="00010D3B">
      <w:pPr>
        <w:pStyle w:val="Textpoznmkypodiarou"/>
        <w:ind w:left="170" w:hanging="170"/>
      </w:pPr>
      <w:r w:rsidRPr="005810C3">
        <w:rPr>
          <w:rStyle w:val="Odkaznapoznmkupodiarou"/>
          <w:szCs w:val="16"/>
        </w:rPr>
        <w:footnoteRef/>
      </w:r>
      <w:r w:rsidRPr="005810C3">
        <w:rPr>
          <w:rStyle w:val="Odkaznapoznmkupodiarou"/>
          <w:szCs w:val="16"/>
        </w:rPr>
        <w:t xml:space="preserve"> </w:t>
      </w:r>
      <w:r w:rsidRPr="006255C3">
        <w:rPr>
          <w:szCs w:val="16"/>
        </w:rPr>
        <w:t>Deinštitucionalizácia v</w:t>
      </w:r>
      <w:r>
        <w:rPr>
          <w:szCs w:val="16"/>
        </w:rPr>
        <w:t> </w:t>
      </w:r>
      <w:r w:rsidRPr="006255C3">
        <w:rPr>
          <w:szCs w:val="16"/>
        </w:rPr>
        <w:t>oblasti</w:t>
      </w:r>
      <w:r>
        <w:rPr>
          <w:szCs w:val="16"/>
        </w:rPr>
        <w:t xml:space="preserve"> </w:t>
      </w:r>
      <w:r w:rsidRPr="006255C3">
        <w:rPr>
          <w:szCs w:val="16"/>
        </w:rPr>
        <w:t>náhradnej starostlivosti a v oblasti sociálnych služieb je rozpracovaná v Stratégii deinštitucionalizácie systému sociálnych služieb a</w:t>
      </w:r>
      <w:r>
        <w:rPr>
          <w:szCs w:val="16"/>
        </w:rPr>
        <w:t> </w:t>
      </w:r>
      <w:r w:rsidRPr="006255C3">
        <w:rPr>
          <w:szCs w:val="16"/>
        </w:rPr>
        <w:t>náhradnej</w:t>
      </w:r>
      <w:r>
        <w:rPr>
          <w:szCs w:val="16"/>
        </w:rPr>
        <w:t xml:space="preserve"> </w:t>
      </w:r>
      <w:r w:rsidRPr="006255C3">
        <w:rPr>
          <w:szCs w:val="16"/>
        </w:rPr>
        <w:t>starostlivosti v Slovenskej republike</w:t>
      </w:r>
    </w:p>
  </w:footnote>
  <w:footnote w:id="129">
    <w:p w:rsidR="00007508" w:rsidRDefault="00007508" w:rsidP="00010D3B">
      <w:pPr>
        <w:pStyle w:val="Textpoznmkypodiarou"/>
        <w:ind w:left="170" w:hanging="170"/>
      </w:pPr>
      <w:r w:rsidRPr="006255C3">
        <w:rPr>
          <w:rStyle w:val="Odkaznapoznmkupodiarou"/>
          <w:szCs w:val="16"/>
        </w:rPr>
        <w:footnoteRef/>
      </w:r>
      <w:r w:rsidRPr="006255C3">
        <w:rPr>
          <w:rStyle w:val="Odkaznapoznmkupodiarou"/>
          <w:szCs w:val="16"/>
        </w:rPr>
        <w:t xml:space="preserve"> </w:t>
      </w:r>
      <w:r>
        <w:rPr>
          <w:szCs w:val="16"/>
        </w:rPr>
        <w:t xml:space="preserve">Zdroj: </w:t>
      </w:r>
      <w:r w:rsidRPr="006255C3">
        <w:rPr>
          <w:szCs w:val="16"/>
        </w:rPr>
        <w:t>Report of the Ad Hoc Expert Group on the Transition from Institutional to Community-based Care. DG for Employment, Social Affairs and Equal Opportunities, 2009</w:t>
      </w:r>
    </w:p>
  </w:footnote>
  <w:footnote w:id="130">
    <w:p w:rsidR="00007508" w:rsidRDefault="00007508" w:rsidP="00406C25">
      <w:pPr>
        <w:pStyle w:val="Textpoznmkypodiarou"/>
      </w:pPr>
      <w:r w:rsidRPr="006255C3">
        <w:rPr>
          <w:rStyle w:val="Odkaznapoznmkupodiarou"/>
          <w:szCs w:val="16"/>
        </w:rPr>
        <w:footnoteRef/>
      </w:r>
      <w:r w:rsidRPr="006255C3">
        <w:rPr>
          <w:rStyle w:val="Odkaznapoznmkupodiarou"/>
          <w:szCs w:val="16"/>
        </w:rPr>
        <w:t xml:space="preserve"> </w:t>
      </w:r>
      <w:r w:rsidRPr="006255C3">
        <w:rPr>
          <w:rStyle w:val="Hypertextovprepojenie"/>
          <w:rFonts w:cs="Lucida Grande"/>
          <w:szCs w:val="16"/>
        </w:rPr>
        <w:t>http://epp.eurostat.ec.europa.eu/statistics_explained/index.php/Healthy_life_years_statistics; referenčné obdobie 2007 – 2011</w:t>
      </w:r>
    </w:p>
  </w:footnote>
  <w:footnote w:id="131">
    <w:p w:rsidR="00007508" w:rsidRDefault="00007508" w:rsidP="00406C25">
      <w:pPr>
        <w:pStyle w:val="Textpoznmkypodiarou"/>
      </w:pPr>
      <w:r w:rsidRPr="006255C3">
        <w:rPr>
          <w:rStyle w:val="Odkaznapoznmkupodiarou"/>
          <w:szCs w:val="16"/>
        </w:rPr>
        <w:footnoteRef/>
      </w:r>
      <w:r w:rsidRPr="006255C3">
        <w:rPr>
          <w:szCs w:val="16"/>
        </w:rPr>
        <w:t xml:space="preserve"> </w:t>
      </w:r>
      <w:hyperlink r:id="rId19" w:anchor="_ftn16" w:history="1">
        <w:r w:rsidRPr="006255C3">
          <w:rPr>
            <w:rStyle w:val="Hypertextovprepojenie"/>
            <w:rFonts w:cs="Lucida Grande"/>
            <w:szCs w:val="16"/>
          </w:rPr>
          <w:t>http://www.rokovania.sk/html/m_Mater-Dokum-141258.html#_ftn16</w:t>
        </w:r>
      </w:hyperlink>
    </w:p>
  </w:footnote>
  <w:footnote w:id="132">
    <w:p w:rsidR="00007508" w:rsidRDefault="00007508" w:rsidP="00406C25">
      <w:pPr>
        <w:pStyle w:val="Textpoznmkypodiarou"/>
      </w:pPr>
      <w:r w:rsidRPr="006255C3">
        <w:rPr>
          <w:rStyle w:val="Odkaznapoznmkupodiarou"/>
          <w:szCs w:val="16"/>
        </w:rPr>
        <w:footnoteRef/>
      </w:r>
      <w:r w:rsidRPr="006255C3">
        <w:rPr>
          <w:szCs w:val="16"/>
        </w:rPr>
        <w:t xml:space="preserve"> Stratégia Slovenskej republiky pre integráciu Rómov do roku 2020, Úrad vlády SR, Bratislava, december 2011</w:t>
      </w:r>
    </w:p>
  </w:footnote>
  <w:footnote w:id="133">
    <w:p w:rsidR="00007508" w:rsidRDefault="00007508" w:rsidP="00010D3B">
      <w:pPr>
        <w:pStyle w:val="Textpoznmkypodiarou"/>
        <w:ind w:left="170" w:hanging="170"/>
      </w:pPr>
      <w:r w:rsidRPr="006255C3">
        <w:rPr>
          <w:rStyle w:val="Odkaznapoznmkupodiarou"/>
          <w:szCs w:val="16"/>
        </w:rPr>
        <w:footnoteRef/>
      </w:r>
      <w:r w:rsidRPr="006255C3">
        <w:rPr>
          <w:szCs w:val="16"/>
        </w:rPr>
        <w:t xml:space="preserve"> </w:t>
      </w:r>
      <w:r w:rsidRPr="006255C3">
        <w:rPr>
          <w:rFonts w:eastAsia="Times New Roman"/>
          <w:color w:val="000000"/>
          <w:szCs w:val="16"/>
          <w:lang w:eastAsia="sk-SK"/>
        </w:rPr>
        <w:t>Hlavný podiel na sociálnych nákladoch majú náklady stratenej tvorby produktu</w:t>
      </w:r>
      <w:r>
        <w:rPr>
          <w:rFonts w:eastAsia="Times New Roman"/>
          <w:color w:val="000000"/>
          <w:szCs w:val="16"/>
          <w:lang w:eastAsia="sk-SK"/>
        </w:rPr>
        <w:t>,</w:t>
      </w:r>
      <w:r w:rsidRPr="006255C3">
        <w:rPr>
          <w:rFonts w:eastAsia="Times New Roman"/>
          <w:color w:val="000000"/>
          <w:szCs w:val="16"/>
          <w:lang w:eastAsia="sk-SK"/>
        </w:rPr>
        <w:t xml:space="preserve"> spôsobené nízkou zamestnanosťou Rómov, ako aj priame nákladové položky</w:t>
      </w:r>
      <w:r>
        <w:rPr>
          <w:rFonts w:eastAsia="Times New Roman"/>
          <w:color w:val="000000"/>
          <w:szCs w:val="16"/>
          <w:lang w:eastAsia="sk-SK"/>
        </w:rPr>
        <w:t>,</w:t>
      </w:r>
      <w:r w:rsidRPr="006255C3">
        <w:rPr>
          <w:rFonts w:eastAsia="Times New Roman"/>
          <w:color w:val="000000"/>
          <w:szCs w:val="16"/>
          <w:lang w:eastAsia="sk-SK"/>
        </w:rPr>
        <w:t xml:space="preserve"> ako zdravotné poistenie nezamestnaných, dávky</w:t>
      </w:r>
      <w:r w:rsidRPr="005810C3">
        <w:rPr>
          <w:rFonts w:eastAsia="Times New Roman"/>
          <w:color w:val="000000"/>
          <w:szCs w:val="16"/>
          <w:lang w:eastAsia="sk-SK"/>
        </w:rPr>
        <w:t xml:space="preserve"> </w:t>
      </w:r>
      <w:r>
        <w:rPr>
          <w:rFonts w:eastAsia="Times New Roman"/>
          <w:color w:val="000000"/>
          <w:szCs w:val="16"/>
          <w:lang w:eastAsia="sk-SK"/>
        </w:rPr>
        <w:t>s</w:t>
      </w:r>
      <w:r w:rsidRPr="005810C3">
        <w:rPr>
          <w:rFonts w:eastAsia="Times New Roman"/>
          <w:color w:val="000000"/>
          <w:szCs w:val="16"/>
          <w:lang w:eastAsia="sk-SK"/>
        </w:rPr>
        <w:t>ociálnej pomoci, či neefektívne financovanie základného školstva</w:t>
      </w:r>
    </w:p>
  </w:footnote>
  <w:footnote w:id="134">
    <w:p w:rsidR="00007508" w:rsidRDefault="00007508" w:rsidP="00B70961">
      <w:pPr>
        <w:pStyle w:val="Textpoznmkypodiarou"/>
        <w:ind w:left="170" w:hanging="170"/>
      </w:pPr>
      <w:r w:rsidRPr="005810C3">
        <w:rPr>
          <w:rStyle w:val="Odkaznapoznmkupodiarou"/>
          <w:szCs w:val="16"/>
        </w:rPr>
        <w:footnoteRef/>
      </w:r>
      <w:r w:rsidRPr="005810C3">
        <w:rPr>
          <w:rStyle w:val="Odkaznapoznmkupodiarou"/>
          <w:szCs w:val="16"/>
        </w:rPr>
        <w:t xml:space="preserve"> </w:t>
      </w:r>
      <w:r w:rsidRPr="006255C3">
        <w:rPr>
          <w:szCs w:val="16"/>
        </w:rPr>
        <w:t>Odporúčani</w:t>
      </w:r>
      <w:r>
        <w:rPr>
          <w:szCs w:val="16"/>
        </w:rPr>
        <w:t>e</w:t>
      </w:r>
      <w:r w:rsidRPr="006255C3">
        <w:rPr>
          <w:szCs w:val="16"/>
        </w:rPr>
        <w:t xml:space="preserve"> Rady, ktoré sa týka národného programu reforiem Slovenska na rok 2013 a ktorým sa predkladá stanovisko Rady k programu stability Slovenska na roky 2012 – 2016 (SWD(2013) 375 final)</w:t>
      </w:r>
    </w:p>
  </w:footnote>
  <w:footnote w:id="135">
    <w:p w:rsidR="00007508" w:rsidRDefault="00007508" w:rsidP="00CA0F2F">
      <w:pPr>
        <w:pStyle w:val="Textpoznmkypodiarou"/>
        <w:ind w:left="170" w:hanging="170"/>
      </w:pPr>
      <w:r w:rsidRPr="006255C3">
        <w:rPr>
          <w:rStyle w:val="Odkaznapoznmkupodiarou"/>
          <w:szCs w:val="16"/>
        </w:rPr>
        <w:footnoteRef/>
      </w:r>
      <w:r>
        <w:rPr>
          <w:szCs w:val="16"/>
        </w:rPr>
        <w:t xml:space="preserve"> </w:t>
      </w:r>
      <w:r w:rsidRPr="006255C3">
        <w:rPr>
          <w:szCs w:val="16"/>
        </w:rPr>
        <w:t>Správa o</w:t>
      </w:r>
      <w:r>
        <w:rPr>
          <w:szCs w:val="16"/>
        </w:rPr>
        <w:t> </w:t>
      </w:r>
      <w:r w:rsidRPr="006255C3">
        <w:rPr>
          <w:szCs w:val="16"/>
        </w:rPr>
        <w:t>stave</w:t>
      </w:r>
      <w:r>
        <w:rPr>
          <w:szCs w:val="16"/>
        </w:rPr>
        <w:t xml:space="preserve"> </w:t>
      </w:r>
      <w:r w:rsidRPr="006255C3">
        <w:rPr>
          <w:szCs w:val="16"/>
        </w:rPr>
        <w:t>školstva na Slovensku a o</w:t>
      </w:r>
      <w:r>
        <w:rPr>
          <w:szCs w:val="16"/>
        </w:rPr>
        <w:t> </w:t>
      </w:r>
      <w:r w:rsidRPr="006255C3">
        <w:rPr>
          <w:szCs w:val="16"/>
        </w:rPr>
        <w:t>systémových</w:t>
      </w:r>
      <w:r>
        <w:rPr>
          <w:szCs w:val="16"/>
        </w:rPr>
        <w:t xml:space="preserve"> </w:t>
      </w:r>
      <w:r w:rsidRPr="006255C3">
        <w:rPr>
          <w:szCs w:val="16"/>
        </w:rPr>
        <w:t xml:space="preserve">krokoch na podporu jeho ďalšieho rozvoja, </w:t>
      </w:r>
      <w:hyperlink r:id="rId20" w:history="1">
        <w:r w:rsidRPr="006255C3">
          <w:rPr>
            <w:rStyle w:val="Hypertextovprepojenie"/>
            <w:szCs w:val="16"/>
          </w:rPr>
          <w:t>http://www.minedu.sk/data/att/5250.pdf</w:t>
        </w:r>
      </w:hyperlink>
    </w:p>
  </w:footnote>
  <w:footnote w:id="136">
    <w:p w:rsidR="00007508" w:rsidRDefault="00007508">
      <w:pPr>
        <w:pStyle w:val="Textpoznmkypodiarou"/>
      </w:pPr>
      <w:r w:rsidRPr="006255C3">
        <w:rPr>
          <w:rStyle w:val="Odkaznapoznmkupodiarou"/>
          <w:szCs w:val="16"/>
        </w:rPr>
        <w:footnoteRef/>
      </w:r>
      <w:r w:rsidRPr="006255C3">
        <w:rPr>
          <w:rStyle w:val="Odkaznapoznmkupodiarou"/>
          <w:szCs w:val="16"/>
        </w:rPr>
        <w:t xml:space="preserve"> </w:t>
      </w:r>
      <w:r w:rsidRPr="006255C3">
        <w:rPr>
          <w:rStyle w:val="Hypertextovprepojenie"/>
          <w:szCs w:val="16"/>
        </w:rPr>
        <w:t>http://diskriminacia.sk/skola-ako-geto-systematicke-nadmerne-zastupenie-romov-v-specialnom-vzdelavani-na-slovensku/</w:t>
      </w:r>
    </w:p>
  </w:footnote>
  <w:footnote w:id="137">
    <w:p w:rsidR="00007508" w:rsidRDefault="00007508" w:rsidP="0003264B">
      <w:pPr>
        <w:autoSpaceDE w:val="0"/>
        <w:autoSpaceDN w:val="0"/>
        <w:adjustRightInd w:val="0"/>
        <w:spacing w:before="0" w:after="0"/>
        <w:ind w:left="170" w:hanging="170"/>
      </w:pPr>
      <w:r w:rsidRPr="005810C3">
        <w:rPr>
          <w:rStyle w:val="Odkaznapoznmkupodiarou"/>
          <w:rFonts w:asciiTheme="majorHAnsi" w:hAnsiTheme="majorHAnsi"/>
          <w:sz w:val="16"/>
          <w:szCs w:val="16"/>
        </w:rPr>
        <w:footnoteRef/>
      </w:r>
      <w:r>
        <w:rPr>
          <w:rFonts w:asciiTheme="majorHAnsi" w:hAnsiTheme="majorHAnsi"/>
          <w:sz w:val="16"/>
          <w:szCs w:val="16"/>
        </w:rPr>
        <w:t xml:space="preserve"> </w:t>
      </w:r>
      <w:r w:rsidRPr="005810C3">
        <w:rPr>
          <w:rFonts w:asciiTheme="majorHAnsi" w:hAnsiTheme="majorHAnsi"/>
          <w:sz w:val="16"/>
          <w:szCs w:val="16"/>
        </w:rPr>
        <w:t xml:space="preserve">Druhy peňažných príspevkov na </w:t>
      </w:r>
      <w:r>
        <w:rPr>
          <w:rFonts w:asciiTheme="majorHAnsi" w:hAnsiTheme="majorHAnsi"/>
          <w:sz w:val="16"/>
          <w:szCs w:val="16"/>
        </w:rPr>
        <w:t>k</w:t>
      </w:r>
      <w:r w:rsidRPr="005810C3">
        <w:rPr>
          <w:rFonts w:asciiTheme="majorHAnsi" w:hAnsiTheme="majorHAnsi"/>
          <w:sz w:val="16"/>
          <w:szCs w:val="16"/>
        </w:rPr>
        <w:t xml:space="preserve">ompenzáciu </w:t>
      </w:r>
      <w:r>
        <w:rPr>
          <w:rFonts w:asciiTheme="majorHAnsi" w:hAnsiTheme="majorHAnsi"/>
          <w:sz w:val="16"/>
          <w:szCs w:val="16"/>
        </w:rPr>
        <w:t>s</w:t>
      </w:r>
      <w:r w:rsidRPr="005810C3">
        <w:rPr>
          <w:rFonts w:asciiTheme="majorHAnsi" w:hAnsiTheme="majorHAnsi"/>
          <w:sz w:val="16"/>
          <w:szCs w:val="16"/>
        </w:rPr>
        <w:t xml:space="preserve">ú napr. peňažný príspevok na osobnú </w:t>
      </w:r>
      <w:r>
        <w:rPr>
          <w:rFonts w:asciiTheme="majorHAnsi" w:hAnsiTheme="majorHAnsi"/>
          <w:sz w:val="16"/>
          <w:szCs w:val="16"/>
        </w:rPr>
        <w:t>as</w:t>
      </w:r>
      <w:r w:rsidRPr="005810C3">
        <w:rPr>
          <w:rFonts w:asciiTheme="majorHAnsi" w:hAnsiTheme="majorHAnsi"/>
          <w:sz w:val="16"/>
          <w:szCs w:val="16"/>
        </w:rPr>
        <w:t xml:space="preserve">istenciu, peňažný príspevok na </w:t>
      </w:r>
      <w:r>
        <w:rPr>
          <w:rFonts w:asciiTheme="majorHAnsi" w:hAnsiTheme="majorHAnsi"/>
          <w:sz w:val="16"/>
          <w:szCs w:val="16"/>
        </w:rPr>
        <w:t>k</w:t>
      </w:r>
      <w:r w:rsidRPr="005810C3">
        <w:rPr>
          <w:rFonts w:asciiTheme="majorHAnsi" w:hAnsiTheme="majorHAnsi"/>
          <w:sz w:val="16"/>
          <w:szCs w:val="16"/>
        </w:rPr>
        <w:t xml:space="preserve">úpu </w:t>
      </w:r>
      <w:r>
        <w:rPr>
          <w:rFonts w:asciiTheme="majorHAnsi" w:hAnsiTheme="majorHAnsi"/>
          <w:sz w:val="16"/>
          <w:szCs w:val="16"/>
        </w:rPr>
        <w:t>a</w:t>
      </w:r>
      <w:r w:rsidRPr="005810C3">
        <w:rPr>
          <w:rFonts w:asciiTheme="majorHAnsi" w:hAnsiTheme="majorHAnsi"/>
          <w:sz w:val="16"/>
          <w:szCs w:val="16"/>
        </w:rPr>
        <w:t xml:space="preserve">lebo úpravu osobného motorového vozidla, peňažný príspevok na prepravu, peňažný príspevok na úpravu bytu, rodinného domu </w:t>
      </w:r>
      <w:r>
        <w:rPr>
          <w:rFonts w:asciiTheme="majorHAnsi" w:hAnsiTheme="majorHAnsi"/>
          <w:sz w:val="16"/>
          <w:szCs w:val="16"/>
        </w:rPr>
        <w:t>a</w:t>
      </w:r>
      <w:r w:rsidRPr="005810C3">
        <w:rPr>
          <w:rFonts w:asciiTheme="majorHAnsi" w:hAnsiTheme="majorHAnsi"/>
          <w:sz w:val="16"/>
          <w:szCs w:val="16"/>
        </w:rPr>
        <w:t xml:space="preserve">lebo garáže, peňažný príspevok na </w:t>
      </w:r>
      <w:r>
        <w:rPr>
          <w:rFonts w:asciiTheme="majorHAnsi" w:hAnsiTheme="majorHAnsi"/>
          <w:sz w:val="16"/>
          <w:szCs w:val="16"/>
        </w:rPr>
        <w:t>k</w:t>
      </w:r>
      <w:r w:rsidRPr="005810C3">
        <w:rPr>
          <w:rFonts w:asciiTheme="majorHAnsi" w:hAnsiTheme="majorHAnsi"/>
          <w:sz w:val="16"/>
          <w:szCs w:val="16"/>
        </w:rPr>
        <w:t xml:space="preserve">ompenzáciu zvýšených výdavkov na diétne </w:t>
      </w:r>
      <w:r>
        <w:rPr>
          <w:rFonts w:asciiTheme="majorHAnsi" w:hAnsiTheme="majorHAnsi"/>
          <w:sz w:val="16"/>
          <w:szCs w:val="16"/>
        </w:rPr>
        <w:t>s</w:t>
      </w:r>
      <w:r w:rsidRPr="005810C3">
        <w:rPr>
          <w:rFonts w:asciiTheme="majorHAnsi" w:hAnsiTheme="majorHAnsi"/>
          <w:sz w:val="16"/>
          <w:szCs w:val="16"/>
        </w:rPr>
        <w:t xml:space="preserve">travovanie, peňažný príspevok na </w:t>
      </w:r>
      <w:r>
        <w:rPr>
          <w:rFonts w:asciiTheme="majorHAnsi" w:hAnsiTheme="majorHAnsi"/>
          <w:sz w:val="16"/>
          <w:szCs w:val="16"/>
        </w:rPr>
        <w:t>k</w:t>
      </w:r>
      <w:r w:rsidRPr="005810C3">
        <w:rPr>
          <w:rFonts w:asciiTheme="majorHAnsi" w:hAnsiTheme="majorHAnsi"/>
          <w:sz w:val="16"/>
          <w:szCs w:val="16"/>
        </w:rPr>
        <w:t xml:space="preserve">ompenzáciu zvýšených výdavkov </w:t>
      </w:r>
      <w:r>
        <w:rPr>
          <w:rFonts w:asciiTheme="majorHAnsi" w:hAnsiTheme="majorHAnsi"/>
          <w:sz w:val="16"/>
          <w:szCs w:val="16"/>
        </w:rPr>
        <w:t>s</w:t>
      </w:r>
      <w:r w:rsidRPr="005810C3">
        <w:rPr>
          <w:rFonts w:asciiTheme="majorHAnsi" w:hAnsiTheme="majorHAnsi"/>
          <w:sz w:val="16"/>
          <w:szCs w:val="16"/>
        </w:rPr>
        <w:t xml:space="preserve">úvisiacich </w:t>
      </w:r>
      <w:r>
        <w:rPr>
          <w:rFonts w:asciiTheme="majorHAnsi" w:hAnsiTheme="majorHAnsi"/>
          <w:sz w:val="16"/>
          <w:szCs w:val="16"/>
        </w:rPr>
        <w:t>s </w:t>
      </w:r>
      <w:r w:rsidRPr="005810C3">
        <w:rPr>
          <w:rFonts w:asciiTheme="majorHAnsi" w:hAnsiTheme="majorHAnsi"/>
          <w:sz w:val="16"/>
          <w:szCs w:val="16"/>
        </w:rPr>
        <w:t>hygienou</w:t>
      </w:r>
      <w:r>
        <w:rPr>
          <w:rFonts w:asciiTheme="majorHAnsi" w:hAnsiTheme="majorHAnsi"/>
          <w:sz w:val="16"/>
          <w:szCs w:val="16"/>
        </w:rPr>
        <w:t xml:space="preserve"> a</w:t>
      </w:r>
      <w:r w:rsidRPr="005810C3">
        <w:rPr>
          <w:rFonts w:asciiTheme="majorHAnsi" w:hAnsiTheme="majorHAnsi"/>
          <w:sz w:val="16"/>
          <w:szCs w:val="16"/>
        </w:rPr>
        <w:t xml:space="preserve">lebo </w:t>
      </w:r>
      <w:r>
        <w:rPr>
          <w:rFonts w:asciiTheme="majorHAnsi" w:hAnsiTheme="majorHAnsi"/>
          <w:sz w:val="16"/>
          <w:szCs w:val="16"/>
        </w:rPr>
        <w:t>s </w:t>
      </w:r>
      <w:r w:rsidRPr="005810C3">
        <w:rPr>
          <w:rFonts w:asciiTheme="majorHAnsi" w:hAnsiTheme="majorHAnsi"/>
          <w:sz w:val="16"/>
          <w:szCs w:val="16"/>
        </w:rPr>
        <w:t xml:space="preserve">opotrebovaním šatstva, bielizne, obuvi </w:t>
      </w:r>
      <w:r>
        <w:rPr>
          <w:rFonts w:asciiTheme="majorHAnsi" w:hAnsiTheme="majorHAnsi"/>
          <w:sz w:val="16"/>
          <w:szCs w:val="16"/>
        </w:rPr>
        <w:t>a </w:t>
      </w:r>
      <w:r w:rsidRPr="005810C3">
        <w:rPr>
          <w:rFonts w:asciiTheme="majorHAnsi" w:hAnsiTheme="majorHAnsi"/>
          <w:sz w:val="16"/>
          <w:szCs w:val="16"/>
        </w:rPr>
        <w:t xml:space="preserve">bytového zariadenia, peňažný príspevok na </w:t>
      </w:r>
      <w:r>
        <w:rPr>
          <w:rFonts w:asciiTheme="majorHAnsi" w:hAnsiTheme="majorHAnsi"/>
          <w:sz w:val="16"/>
          <w:szCs w:val="16"/>
        </w:rPr>
        <w:t>k</w:t>
      </w:r>
      <w:r w:rsidRPr="005810C3">
        <w:rPr>
          <w:rFonts w:asciiTheme="majorHAnsi" w:hAnsiTheme="majorHAnsi"/>
          <w:sz w:val="16"/>
          <w:szCs w:val="16"/>
        </w:rPr>
        <w:t>ompenzáciu zvýšených výdavkov</w:t>
      </w:r>
      <w:r w:rsidRPr="00055058">
        <w:rPr>
          <w:sz w:val="16"/>
          <w:szCs w:val="16"/>
        </w:rPr>
        <w:t xml:space="preserve"> </w:t>
      </w:r>
      <w:r>
        <w:rPr>
          <w:rFonts w:asciiTheme="majorHAnsi" w:hAnsiTheme="majorHAnsi"/>
          <w:sz w:val="16"/>
          <w:szCs w:val="16"/>
        </w:rPr>
        <w:t>s</w:t>
      </w:r>
      <w:r w:rsidRPr="005810C3">
        <w:rPr>
          <w:rFonts w:asciiTheme="majorHAnsi" w:hAnsiTheme="majorHAnsi"/>
          <w:sz w:val="16"/>
          <w:szCs w:val="16"/>
        </w:rPr>
        <w:t xml:space="preserve">úvisiacich </w:t>
      </w:r>
      <w:r>
        <w:rPr>
          <w:rFonts w:asciiTheme="majorHAnsi" w:hAnsiTheme="majorHAnsi"/>
          <w:sz w:val="16"/>
          <w:szCs w:val="16"/>
        </w:rPr>
        <w:t>s</w:t>
      </w:r>
      <w:r w:rsidRPr="005810C3">
        <w:rPr>
          <w:rFonts w:asciiTheme="majorHAnsi" w:hAnsiTheme="majorHAnsi"/>
          <w:sz w:val="16"/>
          <w:szCs w:val="16"/>
        </w:rPr>
        <w:t xml:space="preserve">o zabezpečením prevádzky osobného motorového vozidla, peňažný príspevok na </w:t>
      </w:r>
      <w:r>
        <w:rPr>
          <w:rFonts w:asciiTheme="majorHAnsi" w:hAnsiTheme="majorHAnsi"/>
          <w:sz w:val="16"/>
          <w:szCs w:val="16"/>
        </w:rPr>
        <w:t>k</w:t>
      </w:r>
      <w:r w:rsidRPr="005810C3">
        <w:rPr>
          <w:rFonts w:asciiTheme="majorHAnsi" w:hAnsiTheme="majorHAnsi"/>
          <w:sz w:val="16"/>
          <w:szCs w:val="16"/>
        </w:rPr>
        <w:t xml:space="preserve">ompenzáciu zvýšených výdavkov </w:t>
      </w:r>
      <w:r>
        <w:rPr>
          <w:rFonts w:asciiTheme="majorHAnsi" w:hAnsiTheme="majorHAnsi"/>
          <w:sz w:val="16"/>
          <w:szCs w:val="16"/>
        </w:rPr>
        <w:t>s</w:t>
      </w:r>
      <w:r w:rsidRPr="005810C3">
        <w:rPr>
          <w:rFonts w:asciiTheme="majorHAnsi" w:hAnsiTheme="majorHAnsi"/>
          <w:sz w:val="16"/>
          <w:szCs w:val="16"/>
        </w:rPr>
        <w:t xml:space="preserve">úvisiacich </w:t>
      </w:r>
      <w:r>
        <w:rPr>
          <w:rFonts w:asciiTheme="majorHAnsi" w:hAnsiTheme="majorHAnsi"/>
          <w:sz w:val="16"/>
          <w:szCs w:val="16"/>
        </w:rPr>
        <w:t>s</w:t>
      </w:r>
      <w:r w:rsidRPr="005810C3">
        <w:rPr>
          <w:rFonts w:asciiTheme="majorHAnsi" w:hAnsiTheme="majorHAnsi"/>
          <w:sz w:val="16"/>
          <w:szCs w:val="16"/>
        </w:rPr>
        <w:t xml:space="preserve">o </w:t>
      </w:r>
      <w:r>
        <w:rPr>
          <w:rFonts w:asciiTheme="majorHAnsi" w:hAnsiTheme="majorHAnsi"/>
          <w:sz w:val="16"/>
          <w:szCs w:val="16"/>
        </w:rPr>
        <w:t>s</w:t>
      </w:r>
      <w:r w:rsidRPr="005810C3">
        <w:rPr>
          <w:rFonts w:asciiTheme="majorHAnsi" w:hAnsiTheme="majorHAnsi"/>
          <w:sz w:val="16"/>
          <w:szCs w:val="16"/>
        </w:rPr>
        <w:t xml:space="preserve">tarostlivosťou o psa </w:t>
      </w:r>
      <w:r>
        <w:rPr>
          <w:rFonts w:asciiTheme="majorHAnsi" w:hAnsiTheme="majorHAnsi"/>
          <w:sz w:val="16"/>
          <w:szCs w:val="16"/>
        </w:rPr>
        <w:t>s</w:t>
      </w:r>
      <w:r w:rsidRPr="005810C3">
        <w:rPr>
          <w:rFonts w:asciiTheme="majorHAnsi" w:hAnsiTheme="majorHAnsi"/>
          <w:sz w:val="16"/>
          <w:szCs w:val="16"/>
        </w:rPr>
        <w:t>o špeciálnym výcvikom, peňažný príspevok na opatrovanie</w:t>
      </w:r>
    </w:p>
  </w:footnote>
  <w:footnote w:id="138">
    <w:p w:rsidR="00007508" w:rsidRDefault="00007508" w:rsidP="0003264B">
      <w:pPr>
        <w:autoSpaceDE w:val="0"/>
        <w:autoSpaceDN w:val="0"/>
        <w:adjustRightInd w:val="0"/>
        <w:spacing w:before="0" w:after="0"/>
        <w:ind w:left="170" w:hanging="170"/>
      </w:pPr>
      <w:r w:rsidRPr="005810C3">
        <w:rPr>
          <w:rStyle w:val="Odkaznapoznmkupodiarou"/>
          <w:rFonts w:asciiTheme="majorHAnsi" w:hAnsiTheme="majorHAnsi"/>
          <w:sz w:val="16"/>
          <w:szCs w:val="16"/>
        </w:rPr>
        <w:footnoteRef/>
      </w:r>
      <w:r>
        <w:rPr>
          <w:rFonts w:asciiTheme="majorHAnsi" w:hAnsiTheme="majorHAnsi"/>
          <w:sz w:val="16"/>
          <w:szCs w:val="16"/>
        </w:rPr>
        <w:t xml:space="preserve"> </w:t>
      </w:r>
      <w:r w:rsidRPr="005810C3">
        <w:rPr>
          <w:rFonts w:asciiTheme="majorHAnsi" w:hAnsiTheme="majorHAnsi"/>
          <w:sz w:val="16"/>
          <w:szCs w:val="16"/>
        </w:rPr>
        <w:t xml:space="preserve">Východisková </w:t>
      </w:r>
      <w:r>
        <w:rPr>
          <w:rFonts w:asciiTheme="majorHAnsi" w:hAnsiTheme="majorHAnsi"/>
          <w:sz w:val="16"/>
          <w:szCs w:val="16"/>
        </w:rPr>
        <w:t>s</w:t>
      </w:r>
      <w:r w:rsidRPr="005810C3">
        <w:rPr>
          <w:rFonts w:asciiTheme="majorHAnsi" w:hAnsiTheme="majorHAnsi"/>
          <w:sz w:val="16"/>
          <w:szCs w:val="16"/>
        </w:rPr>
        <w:t xml:space="preserve">práva </w:t>
      </w:r>
      <w:r>
        <w:rPr>
          <w:rFonts w:asciiTheme="majorHAnsi" w:hAnsiTheme="majorHAnsi"/>
          <w:sz w:val="16"/>
          <w:szCs w:val="16"/>
        </w:rPr>
        <w:t>k </w:t>
      </w:r>
      <w:r w:rsidRPr="005810C3">
        <w:rPr>
          <w:rFonts w:asciiTheme="majorHAnsi" w:hAnsiTheme="majorHAnsi"/>
          <w:sz w:val="16"/>
          <w:szCs w:val="16"/>
        </w:rPr>
        <w:t xml:space="preserve">Dohovoru o právach osôb </w:t>
      </w:r>
      <w:r>
        <w:rPr>
          <w:rFonts w:asciiTheme="majorHAnsi" w:hAnsiTheme="majorHAnsi"/>
          <w:sz w:val="16"/>
          <w:szCs w:val="16"/>
        </w:rPr>
        <w:t>s</w:t>
      </w:r>
      <w:r w:rsidRPr="005810C3">
        <w:rPr>
          <w:rFonts w:asciiTheme="majorHAnsi" w:hAnsiTheme="majorHAnsi"/>
          <w:sz w:val="16"/>
          <w:szCs w:val="16"/>
        </w:rPr>
        <w:t xml:space="preserve">o zdravotným postihnutím </w:t>
      </w:r>
      <w:hyperlink r:id="rId21" w:history="1">
        <w:r w:rsidRPr="008C5B2A">
          <w:rPr>
            <w:rStyle w:val="Hypertextovprepojenie"/>
            <w:rFonts w:asciiTheme="majorHAnsi" w:hAnsiTheme="majorHAnsi"/>
            <w:bCs/>
            <w:sz w:val="16"/>
            <w:szCs w:val="16"/>
          </w:rPr>
          <w:t>http://www.employment.gov.</w:t>
        </w:r>
        <w:r w:rsidRPr="009621D2">
          <w:rPr>
            <w:rStyle w:val="Hypertextovprepojenie"/>
            <w:rFonts w:asciiTheme="majorHAnsi" w:hAnsiTheme="majorHAnsi"/>
            <w:bCs/>
            <w:sz w:val="16"/>
            <w:szCs w:val="16"/>
          </w:rPr>
          <w:t>s</w:t>
        </w:r>
        <w:r w:rsidRPr="008C5B2A">
          <w:rPr>
            <w:rStyle w:val="Hypertextovprepojenie"/>
            <w:rFonts w:asciiTheme="majorHAnsi" w:hAnsiTheme="majorHAnsi"/>
            <w:bCs/>
            <w:sz w:val="16"/>
            <w:szCs w:val="16"/>
          </w:rPr>
          <w:t>k/dohovor-osn-o-pravach-osob-</w:t>
        </w:r>
        <w:r w:rsidRPr="009621D2">
          <w:rPr>
            <w:rStyle w:val="Hypertextovprepojenie"/>
            <w:rFonts w:asciiTheme="majorHAnsi" w:hAnsiTheme="majorHAnsi"/>
            <w:bCs/>
            <w:sz w:val="16"/>
            <w:szCs w:val="16"/>
          </w:rPr>
          <w:t>s</w:t>
        </w:r>
        <w:r w:rsidRPr="008C5B2A">
          <w:rPr>
            <w:rStyle w:val="Hypertextovprepojenie"/>
            <w:rFonts w:asciiTheme="majorHAnsi" w:hAnsiTheme="majorHAnsi"/>
            <w:bCs/>
            <w:sz w:val="16"/>
            <w:szCs w:val="16"/>
          </w:rPr>
          <w:t>o-zdravotnym- postihnutim.html</w:t>
        </w:r>
      </w:hyperlink>
    </w:p>
  </w:footnote>
  <w:footnote w:id="139">
    <w:p w:rsidR="00007508" w:rsidRDefault="00007508">
      <w:pPr>
        <w:pStyle w:val="Textpoznmkypodiarou"/>
      </w:pPr>
      <w:r w:rsidRPr="0028007C">
        <w:rPr>
          <w:rStyle w:val="Odkaznapoznmkupodiarou"/>
          <w:szCs w:val="16"/>
        </w:rPr>
        <w:footnoteRef/>
      </w:r>
      <w:r w:rsidRPr="0028007C">
        <w:rPr>
          <w:szCs w:val="16"/>
        </w:rPr>
        <w:t xml:space="preserve"> </w:t>
      </w:r>
      <w:r w:rsidRPr="0028007C">
        <w:rPr>
          <w:rFonts w:cs="Calibri"/>
          <w:szCs w:val="16"/>
        </w:rPr>
        <w:t>LEADER - Liaison Entre Actions de Développement de le Économie Rurale/Spájanie aktivít, ktoré podporujú hospodársky rozvoj vidieka</w:t>
      </w:r>
    </w:p>
  </w:footnote>
  <w:footnote w:id="140">
    <w:p w:rsidR="00007508" w:rsidRDefault="00007508" w:rsidP="0003264B">
      <w:pPr>
        <w:pStyle w:val="Textpoznmkypodiarou"/>
        <w:ind w:left="170" w:hanging="170"/>
      </w:pPr>
      <w:r w:rsidRPr="005810C3">
        <w:rPr>
          <w:rStyle w:val="Odkaznapoznmkupodiarou"/>
          <w:szCs w:val="16"/>
        </w:rPr>
        <w:footnoteRef/>
      </w:r>
      <w:r>
        <w:rPr>
          <w:color w:val="000000"/>
          <w:szCs w:val="16"/>
        </w:rPr>
        <w:t xml:space="preserve"> </w:t>
      </w:r>
      <w:r w:rsidRPr="005810C3">
        <w:rPr>
          <w:color w:val="000000"/>
          <w:szCs w:val="16"/>
        </w:rPr>
        <w:t xml:space="preserve">Zdravé roky života obyvateľstva </w:t>
      </w:r>
      <w:r>
        <w:rPr>
          <w:color w:val="000000"/>
          <w:szCs w:val="16"/>
        </w:rPr>
        <w:t>S</w:t>
      </w:r>
      <w:r w:rsidRPr="005810C3">
        <w:rPr>
          <w:color w:val="000000"/>
          <w:szCs w:val="16"/>
        </w:rPr>
        <w:t xml:space="preserve">R pri narodení (muži-52,4 ženy-52,1) výrazne zaostávajú za hodnotami priemeru </w:t>
      </w:r>
      <w:r>
        <w:rPr>
          <w:color w:val="000000"/>
          <w:szCs w:val="16"/>
        </w:rPr>
        <w:t>k</w:t>
      </w:r>
      <w:r w:rsidRPr="005810C3">
        <w:rPr>
          <w:color w:val="000000"/>
          <w:szCs w:val="16"/>
        </w:rPr>
        <w:t>rajín OECD (muži-61,9 ženy–62,7)</w:t>
      </w:r>
    </w:p>
  </w:footnote>
  <w:footnote w:id="141">
    <w:p w:rsidR="00007508" w:rsidRDefault="00007508" w:rsidP="0003264B">
      <w:pPr>
        <w:pStyle w:val="Textpoznmkypodiarou"/>
        <w:ind w:left="170" w:hanging="170"/>
      </w:pPr>
      <w:r>
        <w:rPr>
          <w:rStyle w:val="Odkaznapoznmkupodiarou"/>
        </w:rPr>
        <w:footnoteRef/>
      </w:r>
      <w:r>
        <w:t xml:space="preserve"> </w:t>
      </w:r>
      <w:r w:rsidRPr="002E1F05">
        <w:t>Odporúčanie Rady, ktoré sa týka Národného programu reforiem Slovenska na rok 2013 a</w:t>
      </w:r>
      <w:r>
        <w:t> </w:t>
      </w:r>
      <w:r w:rsidRPr="002E1F05">
        <w:t>ktorým</w:t>
      </w:r>
      <w:r>
        <w:t xml:space="preserve"> </w:t>
      </w:r>
      <w:r w:rsidRPr="002E1F05">
        <w:t>sa predkladá stanovisko Rady k</w:t>
      </w:r>
      <w:r>
        <w:t> </w:t>
      </w:r>
      <w:r w:rsidRPr="002E1F05">
        <w:t>programu</w:t>
      </w:r>
      <w:r>
        <w:t xml:space="preserve"> </w:t>
      </w:r>
      <w:r w:rsidRPr="002E1F05">
        <w:t>stability Slovenska na roky 2012-2016, špecifické odporúčanie č. 1</w:t>
      </w:r>
    </w:p>
  </w:footnote>
  <w:footnote w:id="142">
    <w:p w:rsidR="00007508" w:rsidRDefault="00007508">
      <w:pPr>
        <w:pStyle w:val="Textpoznmkypodiarou"/>
      </w:pPr>
      <w:r>
        <w:rPr>
          <w:rStyle w:val="Odkaznapoznmkupodiarou"/>
        </w:rPr>
        <w:footnoteRef/>
      </w:r>
      <w:r>
        <w:t xml:space="preserve"> </w:t>
      </w:r>
      <w:hyperlink r:id="rId22" w:history="1">
        <w:r w:rsidRPr="001107CE">
          <w:rPr>
            <w:rStyle w:val="Hypertextovprepojenie"/>
          </w:rPr>
          <w:t>http://www.health.gov.sk/?strategia-v-zdravotnictve</w:t>
        </w:r>
      </w:hyperlink>
    </w:p>
  </w:footnote>
  <w:footnote w:id="143">
    <w:p w:rsidR="00007508" w:rsidRDefault="00007508" w:rsidP="00406C25">
      <w:pPr>
        <w:pStyle w:val="Textpoznmkypodiarou"/>
      </w:pPr>
      <w:r w:rsidRPr="005810C3">
        <w:rPr>
          <w:rStyle w:val="Odkaznapoznmkupodiarou"/>
          <w:szCs w:val="16"/>
        </w:rPr>
        <w:footnoteRef/>
      </w:r>
      <w:r w:rsidRPr="005810C3">
        <w:rPr>
          <w:szCs w:val="16"/>
        </w:rPr>
        <w:t xml:space="preserve"> </w:t>
      </w:r>
      <w:hyperlink r:id="rId23" w:history="1">
        <w:r w:rsidRPr="009621D2">
          <w:rPr>
            <w:rStyle w:val="Hypertextovprepojenie"/>
            <w:szCs w:val="16"/>
          </w:rPr>
          <w:t>http://www.uips.sk/regionalne-skolstvo/kvantitativna-prognoza-vyvoja-ms-zs-a-ss-do-roku-2025</w:t>
        </w:r>
      </w:hyperlink>
    </w:p>
  </w:footnote>
  <w:footnote w:id="144">
    <w:p w:rsidR="00007508" w:rsidRDefault="00007508" w:rsidP="0003264B">
      <w:pPr>
        <w:pStyle w:val="Textpoznmkypodiarou"/>
        <w:ind w:left="170" w:hanging="170"/>
      </w:pPr>
      <w:r w:rsidRPr="005810C3">
        <w:rPr>
          <w:rStyle w:val="Odkaznapoznmkupodiarou"/>
          <w:szCs w:val="16"/>
        </w:rPr>
        <w:footnoteRef/>
      </w:r>
      <w:r w:rsidRPr="005810C3">
        <w:rPr>
          <w:szCs w:val="16"/>
        </w:rPr>
        <w:t xml:space="preserve"> Od roku 2006 </w:t>
      </w:r>
      <w:r>
        <w:rPr>
          <w:szCs w:val="16"/>
        </w:rPr>
        <w:t>s</w:t>
      </w:r>
      <w:r w:rsidRPr="005810C3">
        <w:rPr>
          <w:szCs w:val="16"/>
        </w:rPr>
        <w:t>a počet nevybavených žiadostí na prijatie dieťaťa do MŠ zvýšil 7,6-násobne, čo v</w:t>
      </w:r>
      <w:r>
        <w:rPr>
          <w:szCs w:val="16"/>
        </w:rPr>
        <w:t> s</w:t>
      </w:r>
      <w:r w:rsidRPr="005810C3">
        <w:rPr>
          <w:szCs w:val="16"/>
        </w:rPr>
        <w:t>účasnosti</w:t>
      </w:r>
      <w:r>
        <w:rPr>
          <w:szCs w:val="16"/>
        </w:rPr>
        <w:t xml:space="preserve"> </w:t>
      </w:r>
      <w:r w:rsidRPr="005810C3">
        <w:rPr>
          <w:szCs w:val="16"/>
        </w:rPr>
        <w:t xml:space="preserve">predstavuje 8 144 nevybavených žiadostí. </w:t>
      </w:r>
      <w:r>
        <w:rPr>
          <w:szCs w:val="16"/>
        </w:rPr>
        <w:t>K</w:t>
      </w:r>
      <w:r w:rsidRPr="005810C3">
        <w:rPr>
          <w:szCs w:val="16"/>
        </w:rPr>
        <w:t>ým v</w:t>
      </w:r>
      <w:r>
        <w:rPr>
          <w:szCs w:val="16"/>
        </w:rPr>
        <w:t> </w:t>
      </w:r>
      <w:r w:rsidRPr="005810C3">
        <w:rPr>
          <w:szCs w:val="16"/>
        </w:rPr>
        <w:t>roku</w:t>
      </w:r>
      <w:r>
        <w:rPr>
          <w:szCs w:val="16"/>
        </w:rPr>
        <w:t xml:space="preserve"> </w:t>
      </w:r>
      <w:r w:rsidRPr="005810C3">
        <w:rPr>
          <w:szCs w:val="16"/>
        </w:rPr>
        <w:t xml:space="preserve">2000 bolo v </w:t>
      </w:r>
      <w:r>
        <w:rPr>
          <w:szCs w:val="16"/>
        </w:rPr>
        <w:t>s</w:t>
      </w:r>
      <w:r w:rsidRPr="005810C3">
        <w:rPr>
          <w:szCs w:val="16"/>
        </w:rPr>
        <w:t xml:space="preserve">ieti škôl </w:t>
      </w:r>
      <w:r>
        <w:rPr>
          <w:szCs w:val="16"/>
        </w:rPr>
        <w:t>a </w:t>
      </w:r>
      <w:r w:rsidRPr="005810C3">
        <w:rPr>
          <w:szCs w:val="16"/>
        </w:rPr>
        <w:t xml:space="preserve">školských zariadení zaradených 3 262 </w:t>
      </w:r>
      <w:r>
        <w:rPr>
          <w:szCs w:val="16"/>
        </w:rPr>
        <w:t>MŠ</w:t>
      </w:r>
      <w:r w:rsidRPr="005810C3">
        <w:rPr>
          <w:szCs w:val="16"/>
        </w:rPr>
        <w:t xml:space="preserve"> </w:t>
      </w:r>
      <w:r>
        <w:rPr>
          <w:szCs w:val="16"/>
        </w:rPr>
        <w:t>s</w:t>
      </w:r>
      <w:r w:rsidRPr="005810C3">
        <w:rPr>
          <w:szCs w:val="16"/>
        </w:rPr>
        <w:t xml:space="preserve">o 7 576 triedami, </w:t>
      </w:r>
      <w:r>
        <w:rPr>
          <w:szCs w:val="16"/>
        </w:rPr>
        <w:t>k </w:t>
      </w:r>
      <w:r w:rsidRPr="005810C3">
        <w:rPr>
          <w:szCs w:val="16"/>
        </w:rPr>
        <w:t xml:space="preserve">15. </w:t>
      </w:r>
      <w:r>
        <w:rPr>
          <w:szCs w:val="16"/>
        </w:rPr>
        <w:t>s</w:t>
      </w:r>
      <w:r w:rsidRPr="005810C3">
        <w:rPr>
          <w:szCs w:val="16"/>
        </w:rPr>
        <w:t>eptembru 2012 bolo v</w:t>
      </w:r>
      <w:r>
        <w:rPr>
          <w:szCs w:val="16"/>
        </w:rPr>
        <w:t> s</w:t>
      </w:r>
      <w:r w:rsidRPr="005810C3">
        <w:rPr>
          <w:szCs w:val="16"/>
        </w:rPr>
        <w:t>ieti</w:t>
      </w:r>
      <w:r>
        <w:rPr>
          <w:szCs w:val="16"/>
        </w:rPr>
        <w:t xml:space="preserve"> </w:t>
      </w:r>
      <w:r w:rsidRPr="005810C3">
        <w:rPr>
          <w:szCs w:val="16"/>
        </w:rPr>
        <w:t xml:space="preserve">škôl </w:t>
      </w:r>
      <w:r>
        <w:rPr>
          <w:szCs w:val="16"/>
        </w:rPr>
        <w:t>a </w:t>
      </w:r>
      <w:r w:rsidRPr="005810C3">
        <w:rPr>
          <w:szCs w:val="16"/>
        </w:rPr>
        <w:t xml:space="preserve">školských zariadení zaradených len 2 861 </w:t>
      </w:r>
      <w:r>
        <w:rPr>
          <w:szCs w:val="16"/>
        </w:rPr>
        <w:t>MŠ</w:t>
      </w:r>
      <w:r w:rsidRPr="005810C3">
        <w:rPr>
          <w:szCs w:val="16"/>
        </w:rPr>
        <w:t xml:space="preserve"> </w:t>
      </w:r>
      <w:r>
        <w:rPr>
          <w:szCs w:val="16"/>
        </w:rPr>
        <w:t>s</w:t>
      </w:r>
      <w:r w:rsidRPr="005810C3">
        <w:rPr>
          <w:szCs w:val="16"/>
        </w:rPr>
        <w:t>o 7 395 triedami. Dokazuje</w:t>
      </w:r>
      <w:r>
        <w:rPr>
          <w:szCs w:val="16"/>
        </w:rPr>
        <w:t xml:space="preserve"> </w:t>
      </w:r>
      <w:r w:rsidRPr="005810C3">
        <w:rPr>
          <w:szCs w:val="16"/>
        </w:rPr>
        <w:t xml:space="preserve">to, že zriaďovatelia </w:t>
      </w:r>
      <w:r>
        <w:rPr>
          <w:szCs w:val="16"/>
        </w:rPr>
        <w:t>s</w:t>
      </w:r>
      <w:r w:rsidRPr="005810C3">
        <w:rPr>
          <w:szCs w:val="16"/>
        </w:rPr>
        <w:t xml:space="preserve">a </w:t>
      </w:r>
      <w:r>
        <w:rPr>
          <w:szCs w:val="16"/>
        </w:rPr>
        <w:t>s</w:t>
      </w:r>
      <w:r w:rsidRPr="005810C3">
        <w:rPr>
          <w:szCs w:val="16"/>
        </w:rPr>
        <w:t xml:space="preserve">nažia nepriaznivú </w:t>
      </w:r>
      <w:r>
        <w:rPr>
          <w:szCs w:val="16"/>
        </w:rPr>
        <w:t>s</w:t>
      </w:r>
      <w:r w:rsidRPr="005810C3">
        <w:rPr>
          <w:szCs w:val="16"/>
        </w:rPr>
        <w:t xml:space="preserve">ituáciu pri prijímaní detí riešiť rozširovaním </w:t>
      </w:r>
      <w:r>
        <w:rPr>
          <w:szCs w:val="16"/>
        </w:rPr>
        <w:t>k</w:t>
      </w:r>
      <w:r w:rsidRPr="005810C3">
        <w:rPr>
          <w:szCs w:val="16"/>
        </w:rPr>
        <w:t xml:space="preserve">apacít už existujúcich </w:t>
      </w:r>
      <w:r>
        <w:rPr>
          <w:szCs w:val="16"/>
        </w:rPr>
        <w:t>MŠ</w:t>
      </w:r>
      <w:r w:rsidRPr="005810C3">
        <w:rPr>
          <w:szCs w:val="16"/>
        </w:rPr>
        <w:t xml:space="preserve">, prípadne </w:t>
      </w:r>
      <w:r>
        <w:rPr>
          <w:szCs w:val="16"/>
        </w:rPr>
        <w:t>a</w:t>
      </w:r>
      <w:r w:rsidRPr="005810C3">
        <w:rPr>
          <w:szCs w:val="16"/>
        </w:rPr>
        <w:t xml:space="preserve">daptáciou vhodných priestorov na triedy </w:t>
      </w:r>
      <w:r>
        <w:rPr>
          <w:szCs w:val="16"/>
        </w:rPr>
        <w:t>MŠ</w:t>
      </w:r>
    </w:p>
  </w:footnote>
  <w:footnote w:id="145">
    <w:p w:rsidR="00007508" w:rsidRDefault="00007508" w:rsidP="0003264B">
      <w:pPr>
        <w:pStyle w:val="Textpoznmkypodiarou"/>
        <w:ind w:left="170" w:hanging="170"/>
      </w:pPr>
      <w:r w:rsidRPr="005810C3">
        <w:rPr>
          <w:rStyle w:val="Odkaznapoznmkupodiarou"/>
          <w:szCs w:val="16"/>
        </w:rPr>
        <w:footnoteRef/>
      </w:r>
      <w:r w:rsidRPr="005810C3">
        <w:rPr>
          <w:szCs w:val="16"/>
        </w:rPr>
        <w:t xml:space="preserve"> United Nations Development Programme (2012), Report on the Living Conditions of Roma Households in </w:t>
      </w:r>
      <w:r>
        <w:rPr>
          <w:szCs w:val="16"/>
        </w:rPr>
        <w:t>S</w:t>
      </w:r>
      <w:r w:rsidRPr="005810C3">
        <w:rPr>
          <w:szCs w:val="16"/>
        </w:rPr>
        <w:t xml:space="preserve">lovakia 2010, UNDP Regional Bureau for </w:t>
      </w:r>
      <w:r>
        <w:rPr>
          <w:szCs w:val="16"/>
        </w:rPr>
        <w:t>Eur</w:t>
      </w:r>
      <w:r w:rsidRPr="005810C3">
        <w:rPr>
          <w:szCs w:val="16"/>
        </w:rPr>
        <w:t xml:space="preserve">ope </w:t>
      </w:r>
      <w:r>
        <w:rPr>
          <w:szCs w:val="16"/>
        </w:rPr>
        <w:t>a</w:t>
      </w:r>
      <w:r w:rsidRPr="005810C3">
        <w:rPr>
          <w:szCs w:val="16"/>
        </w:rPr>
        <w:t xml:space="preserve">nd the Commonwealth of Independent </w:t>
      </w:r>
      <w:r>
        <w:rPr>
          <w:szCs w:val="16"/>
        </w:rPr>
        <w:t>S</w:t>
      </w:r>
      <w:r w:rsidRPr="005810C3">
        <w:rPr>
          <w:szCs w:val="16"/>
        </w:rPr>
        <w:t xml:space="preserve">tates, Bratislava. </w:t>
      </w:r>
      <w:r>
        <w:rPr>
          <w:szCs w:val="16"/>
        </w:rPr>
        <w:t>S</w:t>
      </w:r>
      <w:r w:rsidRPr="005810C3">
        <w:rPr>
          <w:szCs w:val="16"/>
        </w:rPr>
        <w:t>práva bola pripravená na základe dát z</w:t>
      </w:r>
      <w:r>
        <w:rPr>
          <w:szCs w:val="16"/>
        </w:rPr>
        <w:t> </w:t>
      </w:r>
      <w:r w:rsidRPr="005810C3">
        <w:rPr>
          <w:szCs w:val="16"/>
        </w:rPr>
        <w:t>rozsiahleho</w:t>
      </w:r>
      <w:r>
        <w:rPr>
          <w:szCs w:val="16"/>
        </w:rPr>
        <w:t xml:space="preserve"> </w:t>
      </w:r>
      <w:r w:rsidRPr="005810C3">
        <w:rPr>
          <w:szCs w:val="16"/>
        </w:rPr>
        <w:t xml:space="preserve">dotazníkového zisťovania životných podmienok rómskych domácností na </w:t>
      </w:r>
      <w:r>
        <w:rPr>
          <w:szCs w:val="16"/>
        </w:rPr>
        <w:t>S</w:t>
      </w:r>
      <w:r w:rsidRPr="005810C3">
        <w:rPr>
          <w:szCs w:val="16"/>
        </w:rPr>
        <w:t>lovensku</w:t>
      </w:r>
    </w:p>
  </w:footnote>
  <w:footnote w:id="146">
    <w:p w:rsidR="00007508" w:rsidRDefault="00007508">
      <w:pPr>
        <w:pStyle w:val="Textpoznmkypodiarou"/>
      </w:pPr>
      <w:r>
        <w:rPr>
          <w:rStyle w:val="Odkaznapoznmkupodiarou"/>
        </w:rPr>
        <w:footnoteRef/>
      </w:r>
      <w:r>
        <w:t xml:space="preserve"> Zdroj: </w:t>
      </w:r>
      <w:r w:rsidRPr="00D61DAC">
        <w:t>Správ</w:t>
      </w:r>
      <w:r>
        <w:t>a</w:t>
      </w:r>
      <w:r w:rsidRPr="00D61DAC">
        <w:t xml:space="preserve"> o</w:t>
      </w:r>
      <w:r>
        <w:t> </w:t>
      </w:r>
      <w:r w:rsidRPr="00D61DAC">
        <w:t>stave</w:t>
      </w:r>
      <w:r>
        <w:t xml:space="preserve"> </w:t>
      </w:r>
      <w:r w:rsidRPr="00D61DAC">
        <w:t>a</w:t>
      </w:r>
      <w:r>
        <w:t> </w:t>
      </w:r>
      <w:r w:rsidRPr="00D61DAC">
        <w:t>úrovni</w:t>
      </w:r>
      <w:r>
        <w:t xml:space="preserve"> </w:t>
      </w:r>
      <w:r w:rsidRPr="00D61DAC">
        <w:t>výchovy a</w:t>
      </w:r>
      <w:r>
        <w:t> </w:t>
      </w:r>
      <w:r w:rsidRPr="00D61DAC">
        <w:t>vzdelávania</w:t>
      </w:r>
      <w:r>
        <w:t xml:space="preserve"> </w:t>
      </w:r>
      <w:r w:rsidRPr="00D61DAC">
        <w:t>v</w:t>
      </w:r>
      <w:r>
        <w:t> </w:t>
      </w:r>
      <w:r w:rsidRPr="00D61DAC">
        <w:t>školách</w:t>
      </w:r>
      <w:r>
        <w:t xml:space="preserve"> </w:t>
      </w:r>
      <w:r w:rsidRPr="00D61DAC">
        <w:t>a</w:t>
      </w:r>
      <w:r>
        <w:t> </w:t>
      </w:r>
      <w:r w:rsidRPr="00D61DAC">
        <w:t>v</w:t>
      </w:r>
      <w:r>
        <w:t> </w:t>
      </w:r>
      <w:r w:rsidRPr="00D61DAC">
        <w:t>školských</w:t>
      </w:r>
      <w:r>
        <w:t xml:space="preserve"> </w:t>
      </w:r>
      <w:r w:rsidRPr="00D61DAC">
        <w:t>zariadeniach v</w:t>
      </w:r>
      <w:r>
        <w:t> </w:t>
      </w:r>
      <w:r w:rsidRPr="00D61DAC">
        <w:t>SR</w:t>
      </w:r>
      <w:r>
        <w:t xml:space="preserve"> </w:t>
      </w:r>
      <w:r w:rsidRPr="00D61DAC">
        <w:t>v</w:t>
      </w:r>
      <w:r>
        <w:t> </w:t>
      </w:r>
      <w:r w:rsidRPr="00D61DAC">
        <w:t>školskom</w:t>
      </w:r>
      <w:r>
        <w:t xml:space="preserve"> </w:t>
      </w:r>
      <w:r w:rsidRPr="00D61DAC">
        <w:t>roku 2011/2012</w:t>
      </w:r>
    </w:p>
  </w:footnote>
  <w:footnote w:id="147">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Zdroj: S</w:t>
      </w:r>
      <w:r w:rsidRPr="005810C3">
        <w:rPr>
          <w:szCs w:val="16"/>
        </w:rPr>
        <w:t>práva o </w:t>
      </w:r>
      <w:r>
        <w:rPr>
          <w:szCs w:val="16"/>
        </w:rPr>
        <w:t>s</w:t>
      </w:r>
      <w:r w:rsidRPr="005810C3">
        <w:rPr>
          <w:szCs w:val="16"/>
        </w:rPr>
        <w:t xml:space="preserve">tave školstva na </w:t>
      </w:r>
      <w:r>
        <w:rPr>
          <w:szCs w:val="16"/>
        </w:rPr>
        <w:t>S</w:t>
      </w:r>
      <w:r w:rsidRPr="005810C3">
        <w:rPr>
          <w:szCs w:val="16"/>
        </w:rPr>
        <w:t xml:space="preserve">lovensku, Marec 2013, Ministerstvo školstva vedy, výskumu </w:t>
      </w:r>
      <w:r>
        <w:rPr>
          <w:szCs w:val="16"/>
        </w:rPr>
        <w:t>a </w:t>
      </w:r>
      <w:r w:rsidRPr="005810C3">
        <w:rPr>
          <w:szCs w:val="16"/>
        </w:rPr>
        <w:t xml:space="preserve">športu </w:t>
      </w:r>
      <w:r>
        <w:rPr>
          <w:szCs w:val="16"/>
        </w:rPr>
        <w:t>S</w:t>
      </w:r>
      <w:r w:rsidRPr="005810C3">
        <w:rPr>
          <w:szCs w:val="16"/>
        </w:rPr>
        <w:t>R</w:t>
      </w:r>
    </w:p>
  </w:footnote>
  <w:footnote w:id="148">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S</w:t>
      </w:r>
      <w:r w:rsidRPr="005810C3">
        <w:rPr>
          <w:szCs w:val="16"/>
        </w:rPr>
        <w:t xml:space="preserve">tredné odborné školy zahŕňajú od roku 2008 </w:t>
      </w:r>
      <w:r>
        <w:rPr>
          <w:szCs w:val="16"/>
        </w:rPr>
        <w:t>a</w:t>
      </w:r>
      <w:r w:rsidRPr="005810C3">
        <w:rPr>
          <w:szCs w:val="16"/>
        </w:rPr>
        <w:t xml:space="preserve">j bývalé </w:t>
      </w:r>
      <w:r>
        <w:rPr>
          <w:szCs w:val="16"/>
        </w:rPr>
        <w:t>s</w:t>
      </w:r>
      <w:r w:rsidRPr="005810C3">
        <w:rPr>
          <w:szCs w:val="16"/>
        </w:rPr>
        <w:t xml:space="preserve">tredné odborné učilištia </w:t>
      </w:r>
      <w:r>
        <w:rPr>
          <w:szCs w:val="16"/>
        </w:rPr>
        <w:t>a k</w:t>
      </w:r>
      <w:r w:rsidRPr="005810C3">
        <w:rPr>
          <w:szCs w:val="16"/>
        </w:rPr>
        <w:t>onzervatóriá</w:t>
      </w:r>
    </w:p>
  </w:footnote>
  <w:footnote w:id="149">
    <w:p w:rsidR="00007508" w:rsidRDefault="00007508" w:rsidP="00406C25">
      <w:pPr>
        <w:pStyle w:val="Textpoznmkypodiarou"/>
      </w:pPr>
      <w:r w:rsidRPr="005810C3">
        <w:rPr>
          <w:rStyle w:val="Odkaznapoznmkupodiarou"/>
          <w:szCs w:val="16"/>
        </w:rPr>
        <w:footnoteRef/>
      </w:r>
      <w:r w:rsidRPr="005810C3">
        <w:rPr>
          <w:szCs w:val="16"/>
        </w:rPr>
        <w:t xml:space="preserve"> </w:t>
      </w:r>
      <w:hyperlink r:id="rId24" w:history="1">
        <w:r w:rsidRPr="009621D2">
          <w:rPr>
            <w:rStyle w:val="Hypertextovprepojenie"/>
            <w:szCs w:val="16"/>
          </w:rPr>
          <w:t>http://www.uvzsr.sk/docs/vs/vyrocna_sprava_SR_12.pdf</w:t>
        </w:r>
      </w:hyperlink>
    </w:p>
  </w:footnote>
  <w:footnote w:id="150">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S</w:t>
      </w:r>
      <w:r w:rsidRPr="005810C3">
        <w:rPr>
          <w:szCs w:val="16"/>
        </w:rPr>
        <w:t>práva o </w:t>
      </w:r>
      <w:r>
        <w:rPr>
          <w:szCs w:val="16"/>
        </w:rPr>
        <w:t>s</w:t>
      </w:r>
      <w:r w:rsidRPr="005810C3">
        <w:rPr>
          <w:szCs w:val="16"/>
        </w:rPr>
        <w:t xml:space="preserve">tave </w:t>
      </w:r>
      <w:r>
        <w:rPr>
          <w:szCs w:val="16"/>
        </w:rPr>
        <w:t>a </w:t>
      </w:r>
      <w:r w:rsidRPr="005810C3">
        <w:rPr>
          <w:szCs w:val="16"/>
        </w:rPr>
        <w:t xml:space="preserve">úrovni výchovy </w:t>
      </w:r>
      <w:r>
        <w:rPr>
          <w:szCs w:val="16"/>
        </w:rPr>
        <w:t>a</w:t>
      </w:r>
      <w:r w:rsidRPr="005810C3">
        <w:rPr>
          <w:szCs w:val="16"/>
        </w:rPr>
        <w:t xml:space="preserve"> vzdelávania v školách </w:t>
      </w:r>
      <w:r>
        <w:rPr>
          <w:szCs w:val="16"/>
        </w:rPr>
        <w:t>a </w:t>
      </w:r>
      <w:r w:rsidRPr="005810C3">
        <w:rPr>
          <w:szCs w:val="16"/>
        </w:rPr>
        <w:t>školských zariadeniach v </w:t>
      </w:r>
      <w:r>
        <w:rPr>
          <w:szCs w:val="16"/>
        </w:rPr>
        <w:t>S</w:t>
      </w:r>
      <w:r w:rsidRPr="005810C3">
        <w:rPr>
          <w:szCs w:val="16"/>
        </w:rPr>
        <w:t>R v školskom roku 2011/2012</w:t>
      </w:r>
    </w:p>
  </w:footnote>
  <w:footnote w:id="151">
    <w:p w:rsidR="00007508" w:rsidRDefault="00007508">
      <w:pPr>
        <w:pStyle w:val="Textpoznmkypodiarou"/>
      </w:pPr>
      <w:r w:rsidRPr="00D1704C">
        <w:rPr>
          <w:rStyle w:val="Odkaznapoznmkupodiarou"/>
          <w:szCs w:val="16"/>
        </w:rPr>
        <w:footnoteRef/>
      </w:r>
      <w:r>
        <w:t xml:space="preserve"> </w:t>
      </w:r>
      <w:hyperlink r:id="rId25" w:history="1">
        <w:r w:rsidRPr="002A4153">
          <w:rPr>
            <w:rStyle w:val="Hypertextovprepojenie"/>
            <w:szCs w:val="16"/>
          </w:rPr>
          <w:t>http://www.nucem.sk/documents//27/medzinarodne_merania/pisa/publikacie_a_diseminacia/4_ine/Priloha_PISA_2012.pdf</w:t>
        </w:r>
      </w:hyperlink>
    </w:p>
  </w:footnote>
  <w:footnote w:id="152">
    <w:p w:rsidR="00007508" w:rsidRDefault="00007508" w:rsidP="00036B86">
      <w:pPr>
        <w:pStyle w:val="Textpoznmkypodiarou"/>
        <w:rPr>
          <w:rFonts w:ascii="Cambria" w:hAnsi="Cambria"/>
        </w:rPr>
      </w:pPr>
      <w:r>
        <w:rPr>
          <w:rStyle w:val="Odkaznapoznmkupodiarou"/>
          <w:rFonts w:ascii="Cambria" w:hAnsi="Cambria"/>
        </w:rPr>
        <w:footnoteRef/>
      </w:r>
      <w:r>
        <w:t xml:space="preserve"> Rozhodnutie Prešovského súdu k ZŠ v Šarišských Michaľanoch</w:t>
      </w:r>
    </w:p>
  </w:footnote>
  <w:footnote w:id="153">
    <w:p w:rsidR="00007508" w:rsidRDefault="00007508" w:rsidP="00100534">
      <w:pPr>
        <w:pStyle w:val="Textpoznmkypodiarou"/>
      </w:pPr>
      <w:r>
        <w:rPr>
          <w:rStyle w:val="Odkaznapoznmkupodiarou"/>
        </w:rPr>
        <w:footnoteRef/>
      </w:r>
      <w:r>
        <w:t xml:space="preserve"> Zdroj: </w:t>
      </w:r>
      <w:r w:rsidRPr="00D61DAC">
        <w:t>Správ</w:t>
      </w:r>
      <w:r>
        <w:t>a</w:t>
      </w:r>
      <w:r w:rsidRPr="00D61DAC">
        <w:t xml:space="preserve"> o</w:t>
      </w:r>
      <w:r>
        <w:t> </w:t>
      </w:r>
      <w:r w:rsidRPr="00D61DAC">
        <w:t>stave</w:t>
      </w:r>
      <w:r>
        <w:t xml:space="preserve"> </w:t>
      </w:r>
      <w:r w:rsidRPr="00D61DAC">
        <w:t>a</w:t>
      </w:r>
      <w:r>
        <w:t> </w:t>
      </w:r>
      <w:r w:rsidRPr="00D61DAC">
        <w:t>úrovni</w:t>
      </w:r>
      <w:r>
        <w:t xml:space="preserve"> </w:t>
      </w:r>
      <w:r w:rsidRPr="00D61DAC">
        <w:t>výchovy a</w:t>
      </w:r>
      <w:r>
        <w:t> </w:t>
      </w:r>
      <w:r w:rsidRPr="00D61DAC">
        <w:t>vzdelávania</w:t>
      </w:r>
      <w:r>
        <w:t xml:space="preserve"> </w:t>
      </w:r>
      <w:r w:rsidRPr="00D61DAC">
        <w:t>v</w:t>
      </w:r>
      <w:r>
        <w:t> </w:t>
      </w:r>
      <w:r w:rsidRPr="00D61DAC">
        <w:t>školách</w:t>
      </w:r>
      <w:r>
        <w:t xml:space="preserve"> </w:t>
      </w:r>
      <w:r w:rsidRPr="00D61DAC">
        <w:t>a</w:t>
      </w:r>
      <w:r>
        <w:t> </w:t>
      </w:r>
      <w:r w:rsidRPr="00D61DAC">
        <w:t>v</w:t>
      </w:r>
      <w:r>
        <w:t> </w:t>
      </w:r>
      <w:r w:rsidRPr="00D61DAC">
        <w:t>školských</w:t>
      </w:r>
      <w:r>
        <w:t xml:space="preserve"> </w:t>
      </w:r>
      <w:r w:rsidRPr="00D61DAC">
        <w:t>zariadeniach v</w:t>
      </w:r>
      <w:r>
        <w:t> </w:t>
      </w:r>
      <w:r w:rsidRPr="00D61DAC">
        <w:t>SR</w:t>
      </w:r>
      <w:r>
        <w:t xml:space="preserve"> </w:t>
      </w:r>
      <w:r w:rsidRPr="00D61DAC">
        <w:t>v</w:t>
      </w:r>
      <w:r>
        <w:t> </w:t>
      </w:r>
      <w:r w:rsidRPr="00D61DAC">
        <w:t>školskom</w:t>
      </w:r>
      <w:r>
        <w:t xml:space="preserve"> </w:t>
      </w:r>
      <w:r w:rsidRPr="00D61DAC">
        <w:t>roku 2011/2012</w:t>
      </w:r>
    </w:p>
  </w:footnote>
  <w:footnote w:id="154">
    <w:p w:rsidR="00007508" w:rsidRDefault="00007508">
      <w:pPr>
        <w:pStyle w:val="Textpoznmkypodiarou"/>
      </w:pPr>
      <w:r>
        <w:rPr>
          <w:rStyle w:val="Odkaznapoznmkupodiarou"/>
        </w:rPr>
        <w:footnoteRef/>
      </w:r>
      <w:r>
        <w:t xml:space="preserve"> </w:t>
      </w:r>
      <w:r w:rsidRPr="00A85CD6">
        <w:t>Výročná správa o</w:t>
      </w:r>
      <w:r>
        <w:t> </w:t>
      </w:r>
      <w:r w:rsidRPr="00A85CD6">
        <w:t>stave</w:t>
      </w:r>
      <w:r>
        <w:t xml:space="preserve"> </w:t>
      </w:r>
      <w:r w:rsidRPr="00A85CD6">
        <w:t>vysokého školstva za rok 2012</w:t>
      </w:r>
    </w:p>
  </w:footnote>
  <w:footnote w:id="155">
    <w:p w:rsidR="00007508" w:rsidRPr="005643DE" w:rsidRDefault="00007508" w:rsidP="008E7522">
      <w:pPr>
        <w:pStyle w:val="Textpoznmkypodiarou"/>
        <w:rPr>
          <w:rFonts w:ascii="Calibri" w:hAnsi="Calibri"/>
        </w:rPr>
      </w:pPr>
      <w:r w:rsidRPr="00041368">
        <w:rPr>
          <w:rStyle w:val="Odkaznapoznmkupodiarou"/>
          <w:rFonts w:ascii="Calibri" w:hAnsi="Calibri"/>
        </w:rPr>
        <w:footnoteRef/>
      </w:r>
      <w:r w:rsidRPr="00041368">
        <w:rPr>
          <w:rFonts w:ascii="Calibri" w:hAnsi="Calibri"/>
        </w:rPr>
        <w:t xml:space="preserve"> str. 55, Správa o stave školstva na Slovensku a o systémových krokoch na podporu jeho ďalšieho vzdelávania</w:t>
      </w:r>
    </w:p>
  </w:footnote>
  <w:footnote w:id="156">
    <w:p w:rsidR="00007508" w:rsidRDefault="00007508" w:rsidP="00E36655">
      <w:pPr>
        <w:pStyle w:val="Textpoznmkypodiarou"/>
        <w:ind w:left="170" w:hanging="170"/>
      </w:pPr>
      <w:r w:rsidRPr="005810C3">
        <w:rPr>
          <w:rStyle w:val="Odkaznapoznmkupodiarou"/>
          <w:szCs w:val="16"/>
        </w:rPr>
        <w:footnoteRef/>
      </w:r>
      <w:r w:rsidRPr="005810C3">
        <w:rPr>
          <w:szCs w:val="16"/>
        </w:rPr>
        <w:t xml:space="preserve"> </w:t>
      </w:r>
      <w:r>
        <w:rPr>
          <w:szCs w:val="16"/>
        </w:rPr>
        <w:t>P</w:t>
      </w:r>
      <w:r w:rsidRPr="005810C3">
        <w:rPr>
          <w:szCs w:val="16"/>
        </w:rPr>
        <w:t xml:space="preserve">re ilustráciu: za posledných 9 rokov </w:t>
      </w:r>
      <w:r>
        <w:rPr>
          <w:szCs w:val="16"/>
        </w:rPr>
        <w:t>s</w:t>
      </w:r>
      <w:r w:rsidRPr="005810C3">
        <w:rPr>
          <w:szCs w:val="16"/>
        </w:rPr>
        <w:t xml:space="preserve">a počet </w:t>
      </w:r>
      <w:r>
        <w:rPr>
          <w:szCs w:val="16"/>
        </w:rPr>
        <w:t>S</w:t>
      </w:r>
      <w:r w:rsidRPr="005810C3">
        <w:rPr>
          <w:szCs w:val="16"/>
        </w:rPr>
        <w:t xml:space="preserve">lovákov študujúcich v zahraničí cez program Erasmus </w:t>
      </w:r>
      <w:r>
        <w:rPr>
          <w:szCs w:val="16"/>
        </w:rPr>
        <w:t>s</w:t>
      </w:r>
      <w:r w:rsidRPr="005810C3">
        <w:rPr>
          <w:szCs w:val="16"/>
        </w:rPr>
        <w:t>trojnásobil na 1</w:t>
      </w:r>
      <w:r>
        <w:rPr>
          <w:szCs w:val="16"/>
        </w:rPr>
        <w:t xml:space="preserve"> </w:t>
      </w:r>
      <w:r w:rsidRPr="005810C3">
        <w:rPr>
          <w:szCs w:val="16"/>
        </w:rPr>
        <w:t xml:space="preserve">798 v roku 2010, </w:t>
      </w:r>
      <w:r>
        <w:rPr>
          <w:szCs w:val="16"/>
        </w:rPr>
        <w:t>a </w:t>
      </w:r>
      <w:r w:rsidRPr="005810C3">
        <w:rPr>
          <w:szCs w:val="16"/>
        </w:rPr>
        <w:t>v</w:t>
      </w:r>
      <w:r>
        <w:rPr>
          <w:szCs w:val="16"/>
        </w:rPr>
        <w:t> </w:t>
      </w:r>
      <w:r w:rsidRPr="005810C3">
        <w:rPr>
          <w:szCs w:val="16"/>
        </w:rPr>
        <w:t xml:space="preserve">ČR </w:t>
      </w:r>
      <w:r>
        <w:rPr>
          <w:szCs w:val="16"/>
        </w:rPr>
        <w:t>s</w:t>
      </w:r>
      <w:r w:rsidRPr="005810C3">
        <w:rPr>
          <w:szCs w:val="16"/>
        </w:rPr>
        <w:t xml:space="preserve">a za posledných 5 rokov </w:t>
      </w:r>
      <w:r>
        <w:rPr>
          <w:szCs w:val="16"/>
        </w:rPr>
        <w:t>z</w:t>
      </w:r>
      <w:r w:rsidRPr="005810C3">
        <w:rPr>
          <w:szCs w:val="16"/>
        </w:rPr>
        <w:t>násobil</w:t>
      </w:r>
      <w:r>
        <w:rPr>
          <w:szCs w:val="16"/>
        </w:rPr>
        <w:t xml:space="preserve"> päťkrát</w:t>
      </w:r>
      <w:r w:rsidRPr="005810C3">
        <w:rPr>
          <w:szCs w:val="16"/>
        </w:rPr>
        <w:t xml:space="preserve"> </w:t>
      </w:r>
      <w:r>
        <w:rPr>
          <w:szCs w:val="16"/>
        </w:rPr>
        <w:t>–</w:t>
      </w:r>
      <w:r w:rsidRPr="005810C3">
        <w:rPr>
          <w:szCs w:val="16"/>
        </w:rPr>
        <w:t xml:space="preserve"> dosiahol</w:t>
      </w:r>
      <w:r>
        <w:rPr>
          <w:szCs w:val="16"/>
        </w:rPr>
        <w:t xml:space="preserve"> </w:t>
      </w:r>
      <w:r w:rsidRPr="005810C3">
        <w:rPr>
          <w:szCs w:val="16"/>
        </w:rPr>
        <w:t xml:space="preserve">v roku 2010 viac </w:t>
      </w:r>
      <w:r>
        <w:rPr>
          <w:szCs w:val="16"/>
        </w:rPr>
        <w:t>ak</w:t>
      </w:r>
      <w:r w:rsidRPr="005810C3">
        <w:rPr>
          <w:szCs w:val="16"/>
        </w:rPr>
        <w:t>o 5000</w:t>
      </w:r>
    </w:p>
  </w:footnote>
  <w:footnote w:id="157">
    <w:p w:rsidR="00007508" w:rsidRPr="005643DE" w:rsidRDefault="00007508" w:rsidP="008E7522">
      <w:pPr>
        <w:pStyle w:val="Textpoznmkypodiarou"/>
        <w:ind w:left="170" w:hanging="170"/>
        <w:rPr>
          <w:rFonts w:ascii="Calibri" w:hAnsi="Calibri"/>
        </w:rPr>
      </w:pPr>
      <w:r>
        <w:rPr>
          <w:rStyle w:val="Odkaznapoznmkupodiarou"/>
        </w:rPr>
        <w:footnoteRef/>
      </w:r>
      <w:r>
        <w:t xml:space="preserve"> </w:t>
      </w:r>
      <w:r w:rsidRPr="00E36655">
        <w:rPr>
          <w:szCs w:val="16"/>
        </w:rPr>
        <w:t>Zákon</w:t>
      </w:r>
      <w:r w:rsidRPr="005643DE">
        <w:rPr>
          <w:rFonts w:ascii="Calibri" w:hAnsi="Calibri"/>
        </w:rPr>
        <w:t xml:space="preserve"> č. 455/2012 Z. z. ktorým sa mení a dopĺňa zákon č. 131/2002 Z. z. o vysokých školách a o zmene a doplnení niektorých zákonov v znení neskorších predpisov, ktorý nadobudol účinnosť 1. januára 2013</w:t>
      </w:r>
    </w:p>
  </w:footnote>
  <w:footnote w:id="158">
    <w:p w:rsidR="00007508" w:rsidRDefault="00007508" w:rsidP="00406C25">
      <w:pPr>
        <w:pStyle w:val="Textpoznmkypodiarou"/>
      </w:pPr>
      <w:r w:rsidRPr="005810C3">
        <w:rPr>
          <w:rStyle w:val="Odkaznapoznmkupodiarou"/>
          <w:szCs w:val="16"/>
        </w:rPr>
        <w:footnoteRef/>
      </w:r>
      <w:r w:rsidRPr="005810C3">
        <w:rPr>
          <w:rStyle w:val="Odkaznapoznmkupodiarou"/>
          <w:szCs w:val="16"/>
        </w:rPr>
        <w:t xml:space="preserve"> </w:t>
      </w:r>
      <w:r>
        <w:rPr>
          <w:szCs w:val="16"/>
        </w:rPr>
        <w:t>S</w:t>
      </w:r>
      <w:r w:rsidRPr="005810C3">
        <w:rPr>
          <w:szCs w:val="16"/>
        </w:rPr>
        <w:t xml:space="preserve">tratégia výskumu </w:t>
      </w:r>
      <w:r>
        <w:rPr>
          <w:szCs w:val="16"/>
        </w:rPr>
        <w:t>a </w:t>
      </w:r>
      <w:r w:rsidRPr="005810C3">
        <w:rPr>
          <w:szCs w:val="16"/>
        </w:rPr>
        <w:t>inovácií</w:t>
      </w:r>
      <w:r>
        <w:rPr>
          <w:szCs w:val="16"/>
        </w:rPr>
        <w:t xml:space="preserve"> </w:t>
      </w:r>
      <w:r w:rsidRPr="005810C3">
        <w:rPr>
          <w:szCs w:val="16"/>
        </w:rPr>
        <w:t xml:space="preserve">pre inteligentnú špecializáciu </w:t>
      </w:r>
      <w:r>
        <w:rPr>
          <w:szCs w:val="16"/>
        </w:rPr>
        <w:t>S</w:t>
      </w:r>
      <w:r w:rsidRPr="005810C3">
        <w:rPr>
          <w:szCs w:val="16"/>
        </w:rPr>
        <w:t>R</w:t>
      </w:r>
      <w:r>
        <w:rPr>
          <w:szCs w:val="16"/>
        </w:rPr>
        <w:t>,</w:t>
      </w:r>
      <w:r w:rsidRPr="00ED6750">
        <w:rPr>
          <w:szCs w:val="16"/>
        </w:rPr>
        <w:t xml:space="preserve"> </w:t>
      </w:r>
      <w:r>
        <w:rPr>
          <w:szCs w:val="16"/>
        </w:rPr>
        <w:t>s</w:t>
      </w:r>
      <w:r w:rsidRPr="005810C3">
        <w:rPr>
          <w:szCs w:val="16"/>
        </w:rPr>
        <w:t>tr. 69</w:t>
      </w:r>
    </w:p>
  </w:footnote>
  <w:footnote w:id="159">
    <w:p w:rsidR="00007508" w:rsidRPr="005643DE" w:rsidRDefault="00007508" w:rsidP="008E7522">
      <w:pPr>
        <w:pStyle w:val="Textpoznmkypodiarou"/>
        <w:rPr>
          <w:rFonts w:ascii="Calibri" w:hAnsi="Calibri"/>
          <w:color w:val="FF0000"/>
        </w:rPr>
      </w:pPr>
      <w:r w:rsidRPr="00041368">
        <w:rPr>
          <w:rStyle w:val="Odkaznapoznmkupodiarou"/>
          <w:rFonts w:ascii="Calibri" w:hAnsi="Calibri"/>
        </w:rPr>
        <w:footnoteRef/>
      </w:r>
      <w:r w:rsidRPr="00041368">
        <w:rPr>
          <w:rFonts w:ascii="Calibri" w:hAnsi="Calibri"/>
        </w:rPr>
        <w:t xml:space="preserve"> str. 52, Správa o stave školstva na Slovensku a o systémových krokoch na podporu jeho ďalšieho vzdelávania</w:t>
      </w:r>
    </w:p>
  </w:footnote>
  <w:footnote w:id="160">
    <w:p w:rsidR="00007508" w:rsidRDefault="00007508" w:rsidP="00E36655">
      <w:pPr>
        <w:pStyle w:val="Textpoznmkypodiarou"/>
        <w:ind w:left="170" w:hanging="170"/>
      </w:pPr>
      <w:r w:rsidRPr="003725EB">
        <w:rPr>
          <w:rStyle w:val="Odkaznapoznmkupodiarou"/>
          <w:szCs w:val="16"/>
        </w:rPr>
        <w:footnoteRef/>
      </w:r>
      <w:r w:rsidRPr="003725EB">
        <w:rPr>
          <w:szCs w:val="16"/>
        </w:rPr>
        <w:t xml:space="preserve"> V roku 2009 dosahoval 1,9 p. b. a v roku 2011 už 3,8 p. b. Vo vekovej kategórií starších 30–34 ročných študentov je rozdiel ešte väčší. Od roku 2009 sa z 4,1 p. b. zvýšil na 7,8 p. b. v roku 2011. Tento trend badať v takmer celej Európe, pričom počet študujúcich žien, hlavne tej staršej vekovej kategórie je ešte vyšší ako na Slovensku, zdroj: Eurostat</w:t>
      </w:r>
    </w:p>
  </w:footnote>
  <w:footnote w:id="161">
    <w:p w:rsidR="00007508" w:rsidRPr="005571D4" w:rsidRDefault="00007508" w:rsidP="008569A0">
      <w:pPr>
        <w:pStyle w:val="Textpoznmkypodiarou"/>
        <w:rPr>
          <w:szCs w:val="16"/>
        </w:rPr>
      </w:pPr>
      <w:r w:rsidRPr="003725EB">
        <w:rPr>
          <w:rStyle w:val="Odkaznapoznmkupodiarou"/>
          <w:szCs w:val="16"/>
        </w:rPr>
        <w:footnoteRef/>
      </w:r>
      <w:r w:rsidRPr="003725EB">
        <w:rPr>
          <w:rStyle w:val="Odkaznapoznmkupodiarou"/>
          <w:szCs w:val="16"/>
        </w:rPr>
        <w:t xml:space="preserve"> </w:t>
      </w:r>
      <w:r w:rsidRPr="003F0750">
        <w:rPr>
          <w:szCs w:val="16"/>
        </w:rPr>
        <w:t>Súhrnn</w:t>
      </w:r>
      <w:r>
        <w:rPr>
          <w:szCs w:val="16"/>
        </w:rPr>
        <w:t>á</w:t>
      </w:r>
      <w:r w:rsidRPr="003F0750">
        <w:rPr>
          <w:szCs w:val="16"/>
        </w:rPr>
        <w:t xml:space="preserve"> správa o</w:t>
      </w:r>
      <w:r>
        <w:rPr>
          <w:szCs w:val="16"/>
        </w:rPr>
        <w:t> </w:t>
      </w:r>
      <w:r w:rsidRPr="003F0750">
        <w:rPr>
          <w:szCs w:val="16"/>
        </w:rPr>
        <w:t>stave</w:t>
      </w:r>
      <w:r>
        <w:rPr>
          <w:szCs w:val="16"/>
        </w:rPr>
        <w:t xml:space="preserve"> </w:t>
      </w:r>
      <w:r w:rsidRPr="003F0750">
        <w:rPr>
          <w:szCs w:val="16"/>
        </w:rPr>
        <w:t xml:space="preserve">rodovej rovnosti na Slovensku za rok 2012, </w:t>
      </w:r>
      <w:hyperlink r:id="rId26" w:history="1">
        <w:r w:rsidRPr="001107CE">
          <w:rPr>
            <w:rStyle w:val="Hypertextovprepojenie"/>
            <w:szCs w:val="16"/>
          </w:rPr>
          <w:t>www.rokovania.sk/File.aspx/Index/Mater-Dokum-154241</w:t>
        </w:r>
      </w:hyperlink>
    </w:p>
  </w:footnote>
  <w:footnote w:id="162">
    <w:p w:rsidR="00007508" w:rsidRDefault="00007508" w:rsidP="008569A0">
      <w:pPr>
        <w:pStyle w:val="Textpoznmkypodiarou"/>
      </w:pPr>
      <w:r w:rsidRPr="003725EB">
        <w:rPr>
          <w:rStyle w:val="Odkaznapoznmkupodiarou"/>
          <w:szCs w:val="16"/>
        </w:rPr>
        <w:footnoteRef/>
      </w:r>
      <w:r w:rsidRPr="003725EB">
        <w:rPr>
          <w:szCs w:val="16"/>
        </w:rPr>
        <w:t xml:space="preserve"> Pre porovnanie, napr. v Nórsku na celoživotnom vzdelávaní participuje cca. 19 % EAO vo veku 25-64 rokov</w:t>
      </w:r>
    </w:p>
  </w:footnote>
  <w:footnote w:id="163">
    <w:p w:rsidR="00007508" w:rsidRDefault="00007508" w:rsidP="00E36655">
      <w:pPr>
        <w:pStyle w:val="Textpoznmkypodiarou"/>
        <w:ind w:left="170" w:hanging="170"/>
      </w:pPr>
      <w:r w:rsidRPr="005810C3">
        <w:rPr>
          <w:rStyle w:val="Odkaznapoznmkupodiarou"/>
          <w:szCs w:val="16"/>
        </w:rPr>
        <w:footnoteRef/>
      </w:r>
      <w:r w:rsidRPr="005810C3">
        <w:rPr>
          <w:szCs w:val="16"/>
        </w:rPr>
        <w:t xml:space="preserve"> Oznámenie </w:t>
      </w:r>
      <w:r>
        <w:rPr>
          <w:szCs w:val="16"/>
        </w:rPr>
        <w:t>K</w:t>
      </w:r>
      <w:r w:rsidRPr="005810C3">
        <w:rPr>
          <w:szCs w:val="16"/>
        </w:rPr>
        <w:t xml:space="preserve">omisie </w:t>
      </w:r>
      <w:r>
        <w:rPr>
          <w:szCs w:val="16"/>
        </w:rPr>
        <w:t>Eur</w:t>
      </w:r>
      <w:r w:rsidRPr="005810C3">
        <w:rPr>
          <w:szCs w:val="16"/>
        </w:rPr>
        <w:t xml:space="preserve">ópskemu parlamentu, Rade, </w:t>
      </w:r>
      <w:r>
        <w:rPr>
          <w:szCs w:val="16"/>
        </w:rPr>
        <w:t>Eur</w:t>
      </w:r>
      <w:r w:rsidRPr="005810C3">
        <w:rPr>
          <w:szCs w:val="16"/>
        </w:rPr>
        <w:t xml:space="preserve">ópskemu hospodárskemu </w:t>
      </w:r>
      <w:r>
        <w:rPr>
          <w:szCs w:val="16"/>
        </w:rPr>
        <w:t>a s</w:t>
      </w:r>
      <w:r w:rsidRPr="005810C3">
        <w:rPr>
          <w:szCs w:val="16"/>
        </w:rPr>
        <w:t xml:space="preserve">ociálnemu výboru </w:t>
      </w:r>
      <w:r>
        <w:rPr>
          <w:szCs w:val="16"/>
        </w:rPr>
        <w:t>a</w:t>
      </w:r>
      <w:r w:rsidRPr="005810C3">
        <w:rPr>
          <w:szCs w:val="16"/>
        </w:rPr>
        <w:t xml:space="preserve"> Výboru regiónov Plán pre </w:t>
      </w:r>
      <w:r>
        <w:rPr>
          <w:szCs w:val="16"/>
        </w:rPr>
        <w:t>Eur</w:t>
      </w:r>
      <w:r w:rsidRPr="005810C3">
        <w:rPr>
          <w:szCs w:val="16"/>
        </w:rPr>
        <w:t>ópu efektívne využívajúcu zdroje (</w:t>
      </w:r>
      <w:r>
        <w:rPr>
          <w:szCs w:val="16"/>
        </w:rPr>
        <w:t>K</w:t>
      </w:r>
      <w:r w:rsidRPr="005810C3">
        <w:rPr>
          <w:szCs w:val="16"/>
        </w:rPr>
        <w:t xml:space="preserve">OM (2011) 571), </w:t>
      </w:r>
      <w:r>
        <w:rPr>
          <w:szCs w:val="16"/>
        </w:rPr>
        <w:t>k</w:t>
      </w:r>
      <w:r w:rsidRPr="005810C3">
        <w:rPr>
          <w:szCs w:val="16"/>
        </w:rPr>
        <w:t>ap. 1</w:t>
      </w:r>
    </w:p>
  </w:footnote>
  <w:footnote w:id="164">
    <w:p w:rsidR="00007508" w:rsidRDefault="00007508">
      <w:pPr>
        <w:pStyle w:val="Textpoznmkypodiarou"/>
      </w:pPr>
      <w:r>
        <w:rPr>
          <w:rStyle w:val="Odkaznapoznmkupodiarou"/>
        </w:rPr>
        <w:footnoteRef/>
      </w:r>
      <w:r>
        <w:t xml:space="preserve"> </w:t>
      </w:r>
      <w:r w:rsidRPr="00817AE1">
        <w:t>Bez započítania záchytov za sektor využívanie pôdy, zmena vo využívaní pôdy a lesníctvo (Land use, land use change and forestry)</w:t>
      </w:r>
    </w:p>
  </w:footnote>
  <w:footnote w:id="165">
    <w:p w:rsidR="00007508" w:rsidRDefault="00007508">
      <w:pPr>
        <w:pStyle w:val="Textpoznmkypodiarou"/>
      </w:pPr>
      <w:r>
        <w:rPr>
          <w:rStyle w:val="Odkaznapoznmkupodiarou"/>
        </w:rPr>
        <w:footnoteRef/>
      </w:r>
      <w:r>
        <w:t xml:space="preserve"> </w:t>
      </w:r>
      <w:r w:rsidRPr="00817AE1">
        <w:rPr>
          <w:lang w:val="pl-PL"/>
        </w:rPr>
        <w:t>Gg = kilotony</w:t>
      </w:r>
    </w:p>
  </w:footnote>
  <w:footnote w:id="166">
    <w:p w:rsidR="00007508" w:rsidRDefault="00007508" w:rsidP="0055646E">
      <w:pPr>
        <w:pStyle w:val="Textpoznmkypodiarou"/>
      </w:pPr>
      <w:r w:rsidRPr="00407792">
        <w:rPr>
          <w:szCs w:val="16"/>
          <w:vertAlign w:val="superscript"/>
        </w:rPr>
        <w:footnoteRef/>
      </w:r>
      <w:r w:rsidRPr="00407792">
        <w:rPr>
          <w:szCs w:val="16"/>
        </w:rPr>
        <w:t xml:space="preserve"> </w:t>
      </w:r>
      <w:hyperlink r:id="rId27" w:history="1">
        <w:r w:rsidRPr="002A4153">
          <w:rPr>
            <w:rStyle w:val="Hypertextovprepojenie"/>
            <w:szCs w:val="16"/>
          </w:rPr>
          <w:t>http://www.eu.europa.eu/publications/ghg-trends-and-projections-2012</w:t>
        </w:r>
      </w:hyperlink>
    </w:p>
  </w:footnote>
  <w:footnote w:id="167">
    <w:p w:rsidR="00007508" w:rsidRDefault="00007508" w:rsidP="00E36655">
      <w:pPr>
        <w:pStyle w:val="Textpoznmkypodiarou"/>
        <w:ind w:left="170" w:hanging="170"/>
      </w:pPr>
      <w:r>
        <w:rPr>
          <w:rStyle w:val="Odkaznapoznmkupodiarou"/>
        </w:rPr>
        <w:footnoteRef/>
      </w:r>
      <w:r>
        <w:t xml:space="preserve"> </w:t>
      </w:r>
      <w:r w:rsidRPr="00DB17C1">
        <w:t xml:space="preserve">Zdroj: kontextové ukazovatele pre PRV; </w:t>
      </w:r>
      <w:hyperlink r:id="rId28" w:history="1">
        <w:r w:rsidRPr="001107CE">
          <w:rPr>
            <w:rStyle w:val="Hypertextovprepojenie"/>
          </w:rPr>
          <w:t>http://www.eea.europa.eu/data-and-maps/data/national-emissions-reported-to-the-unfccc-and-to-the-eu-greenhouse-gas-monitoring-mechanism-6</w:t>
        </w:r>
      </w:hyperlink>
    </w:p>
  </w:footnote>
  <w:footnote w:id="168">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 xml:space="preserve">Zdroj: </w:t>
      </w:r>
      <w:r w:rsidRPr="005810C3">
        <w:rPr>
          <w:szCs w:val="16"/>
        </w:rPr>
        <w:t xml:space="preserve">Národný program reforiem </w:t>
      </w:r>
      <w:r>
        <w:rPr>
          <w:szCs w:val="16"/>
        </w:rPr>
        <w:t>S</w:t>
      </w:r>
      <w:r w:rsidRPr="005810C3">
        <w:rPr>
          <w:szCs w:val="16"/>
        </w:rPr>
        <w:t xml:space="preserve">lovenskej republiky 2013, uznesenie vlády </w:t>
      </w:r>
      <w:r>
        <w:rPr>
          <w:szCs w:val="16"/>
        </w:rPr>
        <w:t>S</w:t>
      </w:r>
      <w:r w:rsidRPr="005810C3">
        <w:rPr>
          <w:szCs w:val="16"/>
        </w:rPr>
        <w:t xml:space="preserve">R č. 198 z 24. </w:t>
      </w:r>
      <w:r>
        <w:rPr>
          <w:szCs w:val="16"/>
        </w:rPr>
        <w:t>a</w:t>
      </w:r>
      <w:r w:rsidRPr="005810C3">
        <w:rPr>
          <w:szCs w:val="16"/>
        </w:rPr>
        <w:t>príla 2013</w:t>
      </w:r>
    </w:p>
  </w:footnote>
  <w:footnote w:id="169">
    <w:p w:rsidR="00007508" w:rsidRDefault="00007508">
      <w:pPr>
        <w:pStyle w:val="Textpoznmkypodiarou"/>
      </w:pPr>
      <w:r>
        <w:rPr>
          <w:rStyle w:val="Odkaznapoznmkupodiarou"/>
        </w:rPr>
        <w:footnoteRef/>
      </w:r>
      <w:r>
        <w:t xml:space="preserve"> </w:t>
      </w:r>
      <w:r w:rsidRPr="00A50D70">
        <w:t xml:space="preserve">Zdroj Eurostat: </w:t>
      </w:r>
      <w:hyperlink r:id="rId29" w:history="1">
        <w:r w:rsidRPr="00A50D70">
          <w:rPr>
            <w:rStyle w:val="Hypertextovprepojenie"/>
          </w:rPr>
          <w:t>http://appsso.eurostat.ec.europa.eu/nui/submitViewTableAction.do</w:t>
        </w:r>
      </w:hyperlink>
    </w:p>
  </w:footnote>
  <w:footnote w:id="170">
    <w:p w:rsidR="00007508" w:rsidRDefault="00007508" w:rsidP="00E36655">
      <w:pPr>
        <w:pStyle w:val="Textpoznmkypodiarou"/>
        <w:ind w:left="170" w:hanging="170"/>
        <w:jc w:val="left"/>
      </w:pPr>
      <w:r>
        <w:rPr>
          <w:rStyle w:val="Odkaznapoznmkupodiarou"/>
        </w:rPr>
        <w:footnoteRef/>
      </w:r>
      <w:r>
        <w:t xml:space="preserve"> </w:t>
      </w:r>
      <w:r w:rsidRPr="00A50D70">
        <w:t xml:space="preserve">Zdroj Eurostat: </w:t>
      </w:r>
      <w:hyperlink r:id="rId30" w:history="1">
        <w:r w:rsidRPr="00906F4F">
          <w:rPr>
            <w:rStyle w:val="Hypertextovprepojenie"/>
          </w:rPr>
          <w:t>http://appsso.eurostat.ec.europa.eu/nui/submitViewTabl</w:t>
        </w:r>
        <w:r w:rsidRPr="00203AE0">
          <w:rPr>
            <w:rStyle w:val="Hypertextovprepojenie"/>
          </w:rPr>
          <w:t>eAction.do;jsessionid=9ea7d07d30e2b8d0224bd2e64ccebcb0ac4fcdfe605b.e34MbxeSaxaSc40LbNiMbxeNbh8Se0</w:t>
        </w:r>
      </w:hyperlink>
    </w:p>
  </w:footnote>
  <w:footnote w:id="171">
    <w:p w:rsidR="00007508" w:rsidRDefault="00007508">
      <w:pPr>
        <w:pStyle w:val="Textpoznmkypodiarou"/>
      </w:pPr>
      <w:r>
        <w:rPr>
          <w:rStyle w:val="Odkaznapoznmkupodiarou"/>
        </w:rPr>
        <w:footnoteRef/>
      </w:r>
      <w:r>
        <w:t xml:space="preserve"> </w:t>
      </w:r>
      <w:r w:rsidRPr="00B23B3E">
        <w:t>V súlade s cieľmi stanovenými v</w:t>
      </w:r>
      <w:r>
        <w:t> </w:t>
      </w:r>
      <w:r w:rsidRPr="00B23B3E">
        <w:t>SET</w:t>
      </w:r>
      <w:r>
        <w:t xml:space="preserve"> </w:t>
      </w:r>
      <w:r w:rsidRPr="00B23B3E">
        <w:t>pláne č. KOM(2007) 723 v</w:t>
      </w:r>
      <w:r>
        <w:t> </w:t>
      </w:r>
      <w:r w:rsidRPr="00B23B3E">
        <w:t>konečnom</w:t>
      </w:r>
      <w:r>
        <w:t xml:space="preserve"> </w:t>
      </w:r>
      <w:r w:rsidRPr="00B23B3E">
        <w:t>znení</w:t>
      </w:r>
    </w:p>
  </w:footnote>
  <w:footnote w:id="172">
    <w:p w:rsidR="00007508" w:rsidRDefault="00007508" w:rsidP="00E36655">
      <w:pPr>
        <w:pStyle w:val="Textpoznmkypodiarou"/>
        <w:ind w:left="170" w:hanging="170"/>
      </w:pPr>
      <w:r w:rsidRPr="005810C3">
        <w:rPr>
          <w:rStyle w:val="Odkaznapoznmkupodiarou"/>
          <w:szCs w:val="16"/>
        </w:rPr>
        <w:footnoteRef/>
      </w:r>
      <w:r w:rsidRPr="005810C3">
        <w:rPr>
          <w:szCs w:val="16"/>
        </w:rPr>
        <w:t xml:space="preserve"> Podiel emisií v </w:t>
      </w:r>
      <w:r>
        <w:rPr>
          <w:szCs w:val="16"/>
        </w:rPr>
        <w:t>s</w:t>
      </w:r>
      <w:r w:rsidRPr="005810C3">
        <w:rPr>
          <w:szCs w:val="16"/>
        </w:rPr>
        <w:t xml:space="preserve">ektore energetika vrátane dopravy na celkových emisiách </w:t>
      </w:r>
      <w:r>
        <w:rPr>
          <w:szCs w:val="16"/>
        </w:rPr>
        <w:t>s</w:t>
      </w:r>
      <w:r w:rsidRPr="005810C3">
        <w:rPr>
          <w:szCs w:val="16"/>
        </w:rPr>
        <w:t>kleníkových plynov v</w:t>
      </w:r>
      <w:r>
        <w:rPr>
          <w:szCs w:val="16"/>
        </w:rPr>
        <w:t> </w:t>
      </w:r>
      <w:r w:rsidRPr="005810C3">
        <w:rPr>
          <w:szCs w:val="16"/>
        </w:rPr>
        <w:t>roku</w:t>
      </w:r>
      <w:r>
        <w:rPr>
          <w:szCs w:val="16"/>
        </w:rPr>
        <w:t xml:space="preserve"> </w:t>
      </w:r>
      <w:r w:rsidRPr="005810C3">
        <w:rPr>
          <w:szCs w:val="16"/>
        </w:rPr>
        <w:t>2010 bol 70 % (vo vyjadrení na CO</w:t>
      </w:r>
      <w:r w:rsidRPr="005810C3">
        <w:rPr>
          <w:szCs w:val="16"/>
          <w:vertAlign w:val="subscript"/>
        </w:rPr>
        <w:t>2</w:t>
      </w:r>
      <w:r w:rsidRPr="005810C3">
        <w:rPr>
          <w:szCs w:val="16"/>
        </w:rPr>
        <w:t xml:space="preserve"> ekvivalenty), emisie z dopravy v rámci </w:t>
      </w:r>
      <w:r>
        <w:rPr>
          <w:szCs w:val="16"/>
        </w:rPr>
        <w:t>s</w:t>
      </w:r>
      <w:r w:rsidRPr="005810C3">
        <w:rPr>
          <w:szCs w:val="16"/>
        </w:rPr>
        <w:t>ektora energetika tvorili 21 %</w:t>
      </w:r>
    </w:p>
  </w:footnote>
  <w:footnote w:id="173">
    <w:p w:rsidR="00007508" w:rsidRDefault="00007508" w:rsidP="00E36655">
      <w:pPr>
        <w:pStyle w:val="Textpoznmkypodiarou"/>
        <w:ind w:left="170" w:hanging="170"/>
      </w:pPr>
      <w:r w:rsidRPr="005810C3">
        <w:rPr>
          <w:rStyle w:val="Odkaznapoznmkupodiarou"/>
          <w:szCs w:val="16"/>
        </w:rPr>
        <w:footnoteRef/>
      </w:r>
      <w:r w:rsidRPr="005810C3">
        <w:rPr>
          <w:szCs w:val="16"/>
        </w:rPr>
        <w:t xml:space="preserve"> </w:t>
      </w:r>
      <w:r>
        <w:rPr>
          <w:szCs w:val="16"/>
        </w:rPr>
        <w:t>S</w:t>
      </w:r>
      <w:r w:rsidRPr="009C57BE">
        <w:rPr>
          <w:szCs w:val="16"/>
        </w:rPr>
        <w:t xml:space="preserve">tupeň </w:t>
      </w:r>
      <w:r>
        <w:rPr>
          <w:szCs w:val="16"/>
        </w:rPr>
        <w:t>a</w:t>
      </w:r>
      <w:r w:rsidRPr="009C57BE">
        <w:rPr>
          <w:szCs w:val="16"/>
        </w:rPr>
        <w:t>utomobilizácie v </w:t>
      </w:r>
      <w:r>
        <w:rPr>
          <w:szCs w:val="16"/>
        </w:rPr>
        <w:t>S</w:t>
      </w:r>
      <w:r w:rsidRPr="009C57BE">
        <w:rPr>
          <w:szCs w:val="16"/>
        </w:rPr>
        <w:t xml:space="preserve">R permanentne rastie </w:t>
      </w:r>
      <w:r>
        <w:rPr>
          <w:szCs w:val="16"/>
        </w:rPr>
        <w:t>a </w:t>
      </w:r>
      <w:r w:rsidRPr="009C57BE">
        <w:rPr>
          <w:szCs w:val="16"/>
        </w:rPr>
        <w:t>v roku 2010 bol 3,26 obyvateľov pripadajúcich na j</w:t>
      </w:r>
      <w:r w:rsidRPr="00C63B72">
        <w:rPr>
          <w:szCs w:val="16"/>
        </w:rPr>
        <w:t xml:space="preserve">eden osobný </w:t>
      </w:r>
      <w:r>
        <w:rPr>
          <w:szCs w:val="16"/>
        </w:rPr>
        <w:t>a</w:t>
      </w:r>
      <w:r w:rsidRPr="00C63B72">
        <w:rPr>
          <w:szCs w:val="16"/>
        </w:rPr>
        <w:t>utomobil, pričom v</w:t>
      </w:r>
      <w:r>
        <w:rPr>
          <w:szCs w:val="16"/>
        </w:rPr>
        <w:t> BSK</w:t>
      </w:r>
      <w:r w:rsidRPr="00C63B72">
        <w:rPr>
          <w:szCs w:val="16"/>
        </w:rPr>
        <w:t xml:space="preserve"> bol v</w:t>
      </w:r>
      <w:r>
        <w:rPr>
          <w:szCs w:val="16"/>
        </w:rPr>
        <w:t> </w:t>
      </w:r>
      <w:r w:rsidRPr="00C63B72">
        <w:rPr>
          <w:szCs w:val="16"/>
        </w:rPr>
        <w:t>roku</w:t>
      </w:r>
      <w:r>
        <w:rPr>
          <w:szCs w:val="16"/>
        </w:rPr>
        <w:t xml:space="preserve"> </w:t>
      </w:r>
      <w:r w:rsidRPr="00C63B72">
        <w:rPr>
          <w:szCs w:val="16"/>
        </w:rPr>
        <w:t xml:space="preserve">2010 </w:t>
      </w:r>
      <w:r>
        <w:rPr>
          <w:szCs w:val="16"/>
        </w:rPr>
        <w:t>s</w:t>
      </w:r>
      <w:r w:rsidRPr="00C63B72">
        <w:rPr>
          <w:szCs w:val="16"/>
        </w:rPr>
        <w:t xml:space="preserve">tupeň </w:t>
      </w:r>
      <w:r>
        <w:rPr>
          <w:szCs w:val="16"/>
        </w:rPr>
        <w:t>a</w:t>
      </w:r>
      <w:r w:rsidRPr="00C63B72">
        <w:rPr>
          <w:szCs w:val="16"/>
        </w:rPr>
        <w:t xml:space="preserve">utomobilizácie 2,18 </w:t>
      </w:r>
      <w:r>
        <w:rPr>
          <w:szCs w:val="16"/>
        </w:rPr>
        <w:t>a </w:t>
      </w:r>
      <w:r w:rsidRPr="00C63B72">
        <w:rPr>
          <w:szCs w:val="16"/>
        </w:rPr>
        <w:t>na</w:t>
      </w:r>
      <w:r>
        <w:rPr>
          <w:szCs w:val="16"/>
        </w:rPr>
        <w:t xml:space="preserve"> </w:t>
      </w:r>
      <w:r w:rsidRPr="00C63B72">
        <w:rPr>
          <w:szCs w:val="16"/>
        </w:rPr>
        <w:t xml:space="preserve">druhej </w:t>
      </w:r>
      <w:r>
        <w:rPr>
          <w:szCs w:val="16"/>
        </w:rPr>
        <w:t>s</w:t>
      </w:r>
      <w:r w:rsidRPr="00C63B72">
        <w:rPr>
          <w:szCs w:val="16"/>
        </w:rPr>
        <w:t>trane v</w:t>
      </w:r>
      <w:r>
        <w:rPr>
          <w:szCs w:val="16"/>
        </w:rPr>
        <w:t xml:space="preserve"> PSK </w:t>
      </w:r>
      <w:r w:rsidRPr="00C63B72">
        <w:rPr>
          <w:szCs w:val="16"/>
        </w:rPr>
        <w:t>bola hodnota tohto ukazovateľa 4,17. Počty dopravných prostriedkov v</w:t>
      </w:r>
      <w:r>
        <w:rPr>
          <w:szCs w:val="16"/>
        </w:rPr>
        <w:t> </w:t>
      </w:r>
      <w:r w:rsidRPr="00C63B72">
        <w:rPr>
          <w:szCs w:val="16"/>
        </w:rPr>
        <w:t>železničnej</w:t>
      </w:r>
      <w:r>
        <w:rPr>
          <w:szCs w:val="16"/>
        </w:rPr>
        <w:t xml:space="preserve"> a </w:t>
      </w:r>
      <w:r w:rsidRPr="00C63B72">
        <w:rPr>
          <w:szCs w:val="16"/>
        </w:rPr>
        <w:t xml:space="preserve">vodnej doprave (environmentálne najvhodnejšie druhy dopravy v preprave osôb </w:t>
      </w:r>
      <w:r>
        <w:rPr>
          <w:szCs w:val="16"/>
        </w:rPr>
        <w:t>a </w:t>
      </w:r>
      <w:r w:rsidRPr="00C63B72">
        <w:rPr>
          <w:szCs w:val="16"/>
        </w:rPr>
        <w:t>tovarov) za posledných 10 rokov poklesli o</w:t>
      </w:r>
      <w:r>
        <w:rPr>
          <w:szCs w:val="16"/>
        </w:rPr>
        <w:t> </w:t>
      </w:r>
      <w:r w:rsidRPr="00C63B72">
        <w:rPr>
          <w:szCs w:val="16"/>
        </w:rPr>
        <w:t>cca 40 %</w:t>
      </w:r>
    </w:p>
  </w:footnote>
  <w:footnote w:id="174">
    <w:p w:rsidR="00007508" w:rsidRDefault="00007508" w:rsidP="00E36655">
      <w:pPr>
        <w:pStyle w:val="Textpoznmkypodiarou"/>
        <w:ind w:left="170" w:hanging="170"/>
      </w:pPr>
      <w:r w:rsidRPr="00E77853">
        <w:rPr>
          <w:rStyle w:val="Odkaznapoznmkupodiarou"/>
          <w:szCs w:val="16"/>
        </w:rPr>
        <w:footnoteRef/>
      </w:r>
      <w:r>
        <w:rPr>
          <w:szCs w:val="16"/>
        </w:rPr>
        <w:t xml:space="preserve"> </w:t>
      </w:r>
      <w:r w:rsidRPr="00E77853">
        <w:rPr>
          <w:szCs w:val="16"/>
        </w:rPr>
        <w:t xml:space="preserve">Národný plán na zvyšovanie počtu budov </w:t>
      </w:r>
      <w:r>
        <w:rPr>
          <w:szCs w:val="16"/>
        </w:rPr>
        <w:t>s </w:t>
      </w:r>
      <w:r w:rsidRPr="009E33B7">
        <w:rPr>
          <w:szCs w:val="16"/>
        </w:rPr>
        <w:t xml:space="preserve">takmer nulovou </w:t>
      </w:r>
      <w:r>
        <w:rPr>
          <w:szCs w:val="16"/>
        </w:rPr>
        <w:t>s</w:t>
      </w:r>
      <w:r w:rsidRPr="009E33B7">
        <w:rPr>
          <w:szCs w:val="16"/>
        </w:rPr>
        <w:t xml:space="preserve">potrebou, MDVRR </w:t>
      </w:r>
      <w:r>
        <w:rPr>
          <w:szCs w:val="16"/>
        </w:rPr>
        <w:t>S</w:t>
      </w:r>
      <w:r w:rsidRPr="009E33B7">
        <w:rPr>
          <w:szCs w:val="16"/>
        </w:rPr>
        <w:t xml:space="preserve">R, </w:t>
      </w:r>
      <w:hyperlink r:id="rId31" w:history="1">
        <w:r w:rsidRPr="00966957">
          <w:rPr>
            <w:rStyle w:val="Hypertextovprepojenie"/>
            <w:szCs w:val="16"/>
          </w:rPr>
          <w:t>http://www.telecom.gov.sk/index/index.php?ids=83491</w:t>
        </w:r>
      </w:hyperlink>
    </w:p>
  </w:footnote>
  <w:footnote w:id="175">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 xml:space="preserve">Zdroj: </w:t>
      </w:r>
      <w:r w:rsidRPr="005810C3">
        <w:rPr>
          <w:szCs w:val="16"/>
        </w:rPr>
        <w:t xml:space="preserve">Energy Policies of IEA Countries </w:t>
      </w:r>
      <w:r>
        <w:rPr>
          <w:szCs w:val="16"/>
        </w:rPr>
        <w:t>–</w:t>
      </w:r>
      <w:r w:rsidRPr="005810C3">
        <w:rPr>
          <w:szCs w:val="16"/>
        </w:rPr>
        <w:t xml:space="preserve"> The</w:t>
      </w:r>
      <w:r>
        <w:rPr>
          <w:szCs w:val="16"/>
        </w:rPr>
        <w:t xml:space="preserve"> S</w:t>
      </w:r>
      <w:r w:rsidRPr="005810C3">
        <w:rPr>
          <w:szCs w:val="16"/>
        </w:rPr>
        <w:t xml:space="preserve">lovak Republic </w:t>
      </w:r>
      <w:r>
        <w:rPr>
          <w:szCs w:val="16"/>
        </w:rPr>
        <w:t xml:space="preserve">– </w:t>
      </w:r>
      <w:r w:rsidRPr="005810C3">
        <w:rPr>
          <w:szCs w:val="16"/>
        </w:rPr>
        <w:t>2012</w:t>
      </w:r>
      <w:r>
        <w:rPr>
          <w:szCs w:val="16"/>
        </w:rPr>
        <w:t xml:space="preserve"> </w:t>
      </w:r>
      <w:r w:rsidRPr="005810C3">
        <w:rPr>
          <w:szCs w:val="16"/>
        </w:rPr>
        <w:t>Review</w:t>
      </w:r>
    </w:p>
  </w:footnote>
  <w:footnote w:id="176">
    <w:p w:rsidR="00007508" w:rsidRPr="00E22DC9" w:rsidRDefault="00007508" w:rsidP="00173FFA">
      <w:pPr>
        <w:pStyle w:val="Textpoznmkypodiarou"/>
        <w:ind w:left="170" w:hanging="170"/>
        <w:rPr>
          <w:rFonts w:cs="Calibri"/>
          <w:szCs w:val="16"/>
        </w:rPr>
      </w:pPr>
      <w:r w:rsidRPr="00E22DC9">
        <w:rPr>
          <w:rStyle w:val="Odkaznapoznmkupodiarou"/>
          <w:szCs w:val="16"/>
        </w:rPr>
        <w:footnoteRef/>
      </w:r>
      <w:r w:rsidRPr="00B4290D">
        <w:rPr>
          <w:szCs w:val="16"/>
        </w:rPr>
        <w:t xml:space="preserve"> </w:t>
      </w:r>
      <w:r w:rsidRPr="003F0750">
        <w:rPr>
          <w:rFonts w:cs="Calibri"/>
          <w:szCs w:val="16"/>
        </w:rPr>
        <w:t xml:space="preserve">Stratégia SR pre redukciu PM10, </w:t>
      </w:r>
      <w:hyperlink r:id="rId32" w:history="1">
        <w:r w:rsidRPr="001107CE">
          <w:rPr>
            <w:rStyle w:val="Hypertextovprepojenie"/>
            <w:rFonts w:cs="Calibri"/>
            <w:szCs w:val="16"/>
          </w:rPr>
          <w:t>http://www.minzp.sk/tlacovy-servis/tlacove-spravy/tlacove-spravy-2013/tlacove-spravy-februar-2013/vlada-prijala-strategiu-znizovania-znecistujucich-castic-ovzdusi.html</w:t>
        </w:r>
      </w:hyperlink>
      <w:r w:rsidRPr="003F0750">
        <w:rPr>
          <w:rFonts w:cs="Calibri"/>
          <w:szCs w:val="16"/>
        </w:rPr>
        <w:t xml:space="preserve">; vlastný dokument stratégie: </w:t>
      </w:r>
      <w:hyperlink r:id="rId33" w:history="1">
        <w:r w:rsidRPr="001107CE">
          <w:rPr>
            <w:rStyle w:val="Hypertextovprepojenie"/>
            <w:rFonts w:cs="Calibri"/>
            <w:szCs w:val="16"/>
          </w:rPr>
          <w:t>http://enviroportal.sk/uploads/files/ovzdusie/Strategia-pre-redukciu-PM-10-1.pdf</w:t>
        </w:r>
      </w:hyperlink>
    </w:p>
  </w:footnote>
  <w:footnote w:id="177">
    <w:p w:rsidR="00007508" w:rsidRDefault="00007508" w:rsidP="00173FFA">
      <w:pPr>
        <w:pStyle w:val="Textpoznmkypodiarou"/>
        <w:ind w:left="170" w:hanging="170"/>
      </w:pPr>
      <w:r>
        <w:rPr>
          <w:rStyle w:val="Odkaznapoznmkupodiarou"/>
        </w:rPr>
        <w:footnoteRef/>
      </w:r>
      <w:r>
        <w:t xml:space="preserve"> </w:t>
      </w:r>
      <w:r w:rsidRPr="00BF55EF">
        <w:rPr>
          <w:rFonts w:cs="Calibri"/>
          <w:szCs w:val="16"/>
        </w:rPr>
        <w:t>Zdroj</w:t>
      </w:r>
      <w:r w:rsidRPr="003A305E">
        <w:t>: EurObserv´ER, kontextové ukazovatele pre PRV; http://appsso.eurostat.ec.europa.eu/nui/submitViewTableAction.do (table nrg_1071a: INDIC_NRG (Primary production), PRODUCT (Wood &amp; Wood Waste))</w:t>
      </w:r>
    </w:p>
  </w:footnote>
  <w:footnote w:id="178">
    <w:p w:rsidR="00007508" w:rsidRDefault="00007508" w:rsidP="00173FFA">
      <w:pPr>
        <w:pStyle w:val="Textpoznmkypodiarou"/>
      </w:pPr>
      <w:r>
        <w:rPr>
          <w:rStyle w:val="Odkaznapoznmkupodiarou"/>
        </w:rPr>
        <w:footnoteRef/>
      </w:r>
      <w:r>
        <w:t xml:space="preserve"> </w:t>
      </w:r>
      <w:r w:rsidRPr="003A305E">
        <w:t xml:space="preserve">Zdroj: </w:t>
      </w:r>
      <w:hyperlink r:id="rId34" w:history="1">
        <w:r w:rsidRPr="00B144C5">
          <w:rPr>
            <w:rStyle w:val="Hypertextovprepojenie"/>
          </w:rPr>
          <w:t>Akčný plán využívania biomasy</w:t>
        </w:r>
        <w:r w:rsidRPr="00716E5B">
          <w:rPr>
            <w:rStyle w:val="Hypertextovprepojenie"/>
          </w:rPr>
          <w:t xml:space="preserve"> na roky 2008-2013</w:t>
        </w:r>
      </w:hyperlink>
      <w:r>
        <w:t xml:space="preserve">, </w:t>
      </w:r>
      <w:r w:rsidRPr="00B144C5">
        <w:t>http://www.mpsr.sk/sk/index.php?navID=2&amp;navID2=2&amp;sID=26&amp;id=1214</w:t>
      </w:r>
    </w:p>
  </w:footnote>
  <w:footnote w:id="179">
    <w:p w:rsidR="00007508" w:rsidRDefault="00007508">
      <w:pPr>
        <w:pStyle w:val="Textpoznmkypodiarou"/>
      </w:pPr>
      <w:r>
        <w:rPr>
          <w:rStyle w:val="Odkaznapoznmkupodiarou"/>
        </w:rPr>
        <w:footnoteRef/>
      </w:r>
      <w:r>
        <w:t xml:space="preserve"> </w:t>
      </w:r>
      <w:r w:rsidRPr="0088332F">
        <w:t>COMMISSION STAFF WORKING DOCUMENT State of play on the sustainability of solid and gaseous biomass used for electricity, heating and cooling in the EU, Brussels, 28.7.2014</w:t>
      </w:r>
    </w:p>
  </w:footnote>
  <w:footnote w:id="180">
    <w:p w:rsidR="00007508" w:rsidRDefault="00007508" w:rsidP="00CB178F">
      <w:pPr>
        <w:pStyle w:val="Textpoznmkypodiarou"/>
      </w:pPr>
      <w:r>
        <w:rPr>
          <w:rStyle w:val="Odkaznapoznmkupodiarou"/>
        </w:rPr>
        <w:footnoteRef/>
      </w:r>
      <w:r>
        <w:t xml:space="preserve"> Vypracovanie koncepcií v oblasti tepelnej energetiky v zmysle zákona č. 657/2004 Z. z . o tepelnej energetike</w:t>
      </w:r>
    </w:p>
  </w:footnote>
  <w:footnote w:id="181">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S</w:t>
      </w:r>
      <w:r w:rsidRPr="005810C3">
        <w:rPr>
          <w:szCs w:val="16"/>
        </w:rPr>
        <w:t xml:space="preserve">práva </w:t>
      </w:r>
      <w:r>
        <w:rPr>
          <w:szCs w:val="16"/>
        </w:rPr>
        <w:t>Eur</w:t>
      </w:r>
      <w:r w:rsidRPr="005810C3">
        <w:rPr>
          <w:szCs w:val="16"/>
        </w:rPr>
        <w:t xml:space="preserve">ópskej environmentálnej </w:t>
      </w:r>
      <w:r>
        <w:rPr>
          <w:szCs w:val="16"/>
        </w:rPr>
        <w:t>a</w:t>
      </w:r>
      <w:r w:rsidRPr="005810C3">
        <w:rPr>
          <w:szCs w:val="16"/>
        </w:rPr>
        <w:t xml:space="preserve">gentúry č.12/2012 „ Zmena </w:t>
      </w:r>
      <w:r>
        <w:rPr>
          <w:szCs w:val="16"/>
        </w:rPr>
        <w:t>k</w:t>
      </w:r>
      <w:r w:rsidRPr="005810C3">
        <w:rPr>
          <w:szCs w:val="16"/>
        </w:rPr>
        <w:t xml:space="preserve">límy, vplyv </w:t>
      </w:r>
      <w:r>
        <w:rPr>
          <w:szCs w:val="16"/>
        </w:rPr>
        <w:t>a</w:t>
      </w:r>
      <w:r w:rsidRPr="005810C3">
        <w:rPr>
          <w:szCs w:val="16"/>
        </w:rPr>
        <w:t xml:space="preserve"> zraniteľnosť v </w:t>
      </w:r>
      <w:r>
        <w:rPr>
          <w:szCs w:val="16"/>
        </w:rPr>
        <w:t>Eur</w:t>
      </w:r>
      <w:r w:rsidRPr="005810C3">
        <w:rPr>
          <w:szCs w:val="16"/>
        </w:rPr>
        <w:t>ópe v roku 2012“</w:t>
      </w:r>
    </w:p>
  </w:footnote>
  <w:footnote w:id="182">
    <w:p w:rsidR="00007508" w:rsidRDefault="00007508" w:rsidP="00970D45">
      <w:pPr>
        <w:pStyle w:val="Textpoznmkypodiarou"/>
      </w:pPr>
      <w:r w:rsidRPr="005810C3">
        <w:rPr>
          <w:rStyle w:val="Odkaznapoznmkupodiarou"/>
          <w:szCs w:val="16"/>
        </w:rPr>
        <w:footnoteRef/>
      </w:r>
      <w:r w:rsidRPr="005810C3">
        <w:rPr>
          <w:szCs w:val="16"/>
        </w:rPr>
        <w:t xml:space="preserve"> </w:t>
      </w:r>
      <w:r>
        <w:rPr>
          <w:szCs w:val="16"/>
        </w:rPr>
        <w:t>Z</w:t>
      </w:r>
      <w:r w:rsidRPr="005810C3">
        <w:rPr>
          <w:szCs w:val="16"/>
        </w:rPr>
        <w:t xml:space="preserve">nižovanie emisií </w:t>
      </w:r>
      <w:r>
        <w:rPr>
          <w:szCs w:val="16"/>
        </w:rPr>
        <w:t>s</w:t>
      </w:r>
      <w:r w:rsidRPr="005810C3">
        <w:rPr>
          <w:szCs w:val="16"/>
        </w:rPr>
        <w:t>kleníkových plynov</w:t>
      </w:r>
    </w:p>
  </w:footnote>
  <w:footnote w:id="183">
    <w:p w:rsidR="00007508" w:rsidRDefault="00007508" w:rsidP="00970D45">
      <w:pPr>
        <w:pStyle w:val="Textpoznmkypodiarou"/>
      </w:pPr>
      <w:r w:rsidRPr="005810C3">
        <w:rPr>
          <w:rStyle w:val="Odkaznapoznmkupodiarou"/>
          <w:szCs w:val="16"/>
        </w:rPr>
        <w:footnoteRef/>
      </w:r>
      <w:r w:rsidRPr="005810C3">
        <w:rPr>
          <w:szCs w:val="16"/>
        </w:rPr>
        <w:t xml:space="preserve"> </w:t>
      </w:r>
      <w:r>
        <w:rPr>
          <w:szCs w:val="16"/>
        </w:rPr>
        <w:t>P</w:t>
      </w:r>
      <w:r w:rsidRPr="005810C3">
        <w:rPr>
          <w:szCs w:val="16"/>
        </w:rPr>
        <w:t xml:space="preserve">rispôsobovanie </w:t>
      </w:r>
      <w:r>
        <w:rPr>
          <w:szCs w:val="16"/>
        </w:rPr>
        <w:t>s</w:t>
      </w:r>
      <w:r w:rsidRPr="005810C3">
        <w:rPr>
          <w:szCs w:val="16"/>
        </w:rPr>
        <w:t xml:space="preserve">a nepriaznivým dôsledkom zmeny </w:t>
      </w:r>
      <w:r>
        <w:rPr>
          <w:szCs w:val="16"/>
        </w:rPr>
        <w:t>k</w:t>
      </w:r>
      <w:r w:rsidRPr="005810C3">
        <w:rPr>
          <w:szCs w:val="16"/>
        </w:rPr>
        <w:t>límy</w:t>
      </w:r>
    </w:p>
  </w:footnote>
  <w:footnote w:id="184">
    <w:p w:rsidR="00007508" w:rsidRDefault="00007508" w:rsidP="00406C25">
      <w:pPr>
        <w:pStyle w:val="Textpoznmkypodiarou"/>
      </w:pPr>
      <w:r w:rsidRPr="007D717C">
        <w:rPr>
          <w:rStyle w:val="Odkaznapoznmkupodiarou"/>
          <w:szCs w:val="16"/>
        </w:rPr>
        <w:footnoteRef/>
      </w:r>
      <w:r w:rsidRPr="007D717C">
        <w:rPr>
          <w:szCs w:val="16"/>
        </w:rPr>
        <w:t xml:space="preserve"> </w:t>
      </w:r>
      <w:hyperlink r:id="rId35" w:history="1">
        <w:r w:rsidRPr="00510A9B">
          <w:rPr>
            <w:rStyle w:val="Hypertextovprepojenie"/>
            <w:szCs w:val="16"/>
          </w:rPr>
          <w:t>http://www.minv.sk/?Dokumenty_na_stiahnutie_CO&amp;subor=175547</w:t>
        </w:r>
      </w:hyperlink>
    </w:p>
  </w:footnote>
  <w:footnote w:id="185">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N</w:t>
      </w:r>
      <w:r w:rsidRPr="005810C3">
        <w:rPr>
          <w:szCs w:val="16"/>
        </w:rPr>
        <w:t xml:space="preserve">apr. </w:t>
      </w:r>
      <w:r>
        <w:rPr>
          <w:szCs w:val="16"/>
        </w:rPr>
        <w:t>K</w:t>
      </w:r>
      <w:r w:rsidRPr="005810C3">
        <w:rPr>
          <w:szCs w:val="16"/>
        </w:rPr>
        <w:t xml:space="preserve">oncepcia energetickej efektívnosti </w:t>
      </w:r>
      <w:r>
        <w:rPr>
          <w:szCs w:val="16"/>
        </w:rPr>
        <w:t>S</w:t>
      </w:r>
      <w:r w:rsidRPr="005810C3">
        <w:rPr>
          <w:szCs w:val="16"/>
        </w:rPr>
        <w:t xml:space="preserve">R, pripravovaný 3. </w:t>
      </w:r>
      <w:r>
        <w:rPr>
          <w:szCs w:val="16"/>
        </w:rPr>
        <w:t>Ak</w:t>
      </w:r>
      <w:r w:rsidRPr="005810C3">
        <w:rPr>
          <w:szCs w:val="16"/>
        </w:rPr>
        <w:t xml:space="preserve">čný plán energetickej efektívnosti </w:t>
      </w:r>
      <w:r>
        <w:rPr>
          <w:szCs w:val="16"/>
        </w:rPr>
        <w:t>S</w:t>
      </w:r>
      <w:r w:rsidRPr="005810C3">
        <w:rPr>
          <w:szCs w:val="16"/>
        </w:rPr>
        <w:t>R</w:t>
      </w:r>
    </w:p>
  </w:footnote>
  <w:footnote w:id="186">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w:t>
      </w:r>
      <w:r>
        <w:rPr>
          <w:szCs w:val="16"/>
        </w:rPr>
        <w:t>N</w:t>
      </w:r>
      <w:r w:rsidRPr="005810C3">
        <w:rPr>
          <w:szCs w:val="16"/>
        </w:rPr>
        <w:t xml:space="preserve">apr. v oblasti redukcie </w:t>
      </w:r>
      <w:r>
        <w:rPr>
          <w:szCs w:val="16"/>
        </w:rPr>
        <w:t>s</w:t>
      </w:r>
      <w:r w:rsidRPr="005810C3">
        <w:rPr>
          <w:szCs w:val="16"/>
        </w:rPr>
        <w:t xml:space="preserve">potreby energie </w:t>
      </w:r>
      <w:r>
        <w:rPr>
          <w:szCs w:val="16"/>
        </w:rPr>
        <w:t>a </w:t>
      </w:r>
      <w:r w:rsidRPr="005810C3">
        <w:rPr>
          <w:szCs w:val="16"/>
        </w:rPr>
        <w:t xml:space="preserve">prírodných zdrojov, prechodu </w:t>
      </w:r>
      <w:r>
        <w:rPr>
          <w:szCs w:val="16"/>
        </w:rPr>
        <w:t>k </w:t>
      </w:r>
      <w:r w:rsidRPr="005810C3">
        <w:rPr>
          <w:szCs w:val="16"/>
        </w:rPr>
        <w:t xml:space="preserve">nízkouhlíkovému hospodárstvu, ochrany </w:t>
      </w:r>
      <w:r>
        <w:rPr>
          <w:szCs w:val="16"/>
        </w:rPr>
        <w:t>a</w:t>
      </w:r>
      <w:r w:rsidRPr="005810C3">
        <w:rPr>
          <w:szCs w:val="16"/>
        </w:rPr>
        <w:t xml:space="preserve"> obnovy ekosystémov </w:t>
      </w:r>
      <w:r>
        <w:rPr>
          <w:szCs w:val="16"/>
        </w:rPr>
        <w:t>a </w:t>
      </w:r>
      <w:r w:rsidRPr="005810C3">
        <w:rPr>
          <w:szCs w:val="16"/>
        </w:rPr>
        <w:t xml:space="preserve">biodiverzity </w:t>
      </w:r>
      <w:r>
        <w:rPr>
          <w:szCs w:val="16"/>
        </w:rPr>
        <w:t>a </w:t>
      </w:r>
      <w:r w:rsidRPr="005810C3">
        <w:rPr>
          <w:szCs w:val="16"/>
        </w:rPr>
        <w:t xml:space="preserve">minimalizácie produkcie odpadu </w:t>
      </w:r>
      <w:r>
        <w:rPr>
          <w:szCs w:val="16"/>
        </w:rPr>
        <w:t>a </w:t>
      </w:r>
      <w:r w:rsidRPr="005810C3">
        <w:rPr>
          <w:szCs w:val="16"/>
        </w:rPr>
        <w:t>znečistenia</w:t>
      </w:r>
    </w:p>
  </w:footnote>
  <w:footnote w:id="187">
    <w:p w:rsidR="00007508" w:rsidRDefault="00007508" w:rsidP="002C7372">
      <w:pPr>
        <w:pStyle w:val="Textpoznmkypodiarou"/>
        <w:ind w:left="170" w:hanging="170"/>
      </w:pPr>
      <w:r>
        <w:rPr>
          <w:rStyle w:val="Odkaznapoznmkupodiarou"/>
        </w:rPr>
        <w:footnoteRef/>
      </w:r>
      <w:r>
        <w:t xml:space="preserve"> </w:t>
      </w:r>
      <w:r w:rsidRPr="00CD2CA9">
        <w:rPr>
          <w:rFonts w:eastAsia="Times New Roman"/>
        </w:rPr>
        <w:t>za predpokladu splnenia stredne pesimistických globálnych scenárov emisie skleníkových plynov do atmosféry v intervale I</w:t>
      </w:r>
      <w:r>
        <w:rPr>
          <w:rFonts w:eastAsia="Times New Roman"/>
        </w:rPr>
        <w:t>PCC IS92a/b, SRES A2 až B2/B1</w:t>
      </w:r>
    </w:p>
  </w:footnote>
  <w:footnote w:id="188">
    <w:p w:rsidR="00007508" w:rsidRDefault="00007508" w:rsidP="002C7372">
      <w:pPr>
        <w:pStyle w:val="Textpoznmkypodiarou"/>
        <w:keepLines/>
        <w:ind w:left="170" w:hanging="170"/>
      </w:pPr>
      <w:r w:rsidRPr="005810C3">
        <w:rPr>
          <w:rStyle w:val="Odkaznapoznmkupodiarou"/>
          <w:szCs w:val="16"/>
        </w:rPr>
        <w:footnoteRef/>
      </w:r>
      <w:r w:rsidRPr="005810C3">
        <w:rPr>
          <w:szCs w:val="16"/>
        </w:rPr>
        <w:t xml:space="preserve"> </w:t>
      </w:r>
      <w:r>
        <w:rPr>
          <w:szCs w:val="16"/>
        </w:rPr>
        <w:t xml:space="preserve">Zdroj: </w:t>
      </w:r>
      <w:r w:rsidRPr="005810C3">
        <w:rPr>
          <w:szCs w:val="16"/>
        </w:rPr>
        <w:t xml:space="preserve">Oznámenie </w:t>
      </w:r>
      <w:r>
        <w:rPr>
          <w:szCs w:val="16"/>
        </w:rPr>
        <w:t>K</w:t>
      </w:r>
      <w:r w:rsidRPr="005810C3">
        <w:rPr>
          <w:szCs w:val="16"/>
        </w:rPr>
        <w:t xml:space="preserve">omisie </w:t>
      </w:r>
      <w:r>
        <w:rPr>
          <w:szCs w:val="16"/>
        </w:rPr>
        <w:t>Eur</w:t>
      </w:r>
      <w:r w:rsidRPr="005810C3">
        <w:rPr>
          <w:szCs w:val="16"/>
        </w:rPr>
        <w:t xml:space="preserve">ópskemu parlamentu, Rade, </w:t>
      </w:r>
      <w:r>
        <w:rPr>
          <w:szCs w:val="16"/>
        </w:rPr>
        <w:t>Eur</w:t>
      </w:r>
      <w:r w:rsidRPr="005810C3">
        <w:rPr>
          <w:szCs w:val="16"/>
        </w:rPr>
        <w:t xml:space="preserve">ópskemu hospodárskemu </w:t>
      </w:r>
      <w:r>
        <w:rPr>
          <w:szCs w:val="16"/>
        </w:rPr>
        <w:t>a s</w:t>
      </w:r>
      <w:r w:rsidRPr="005810C3">
        <w:rPr>
          <w:szCs w:val="16"/>
        </w:rPr>
        <w:t xml:space="preserve">ociálnemu výboru </w:t>
      </w:r>
      <w:r>
        <w:rPr>
          <w:szCs w:val="16"/>
        </w:rPr>
        <w:t>a </w:t>
      </w:r>
      <w:r w:rsidRPr="005810C3">
        <w:rPr>
          <w:szCs w:val="16"/>
        </w:rPr>
        <w:t xml:space="preserve">Výboru regiónov Plán pre </w:t>
      </w:r>
      <w:r>
        <w:rPr>
          <w:szCs w:val="16"/>
        </w:rPr>
        <w:t>Eur</w:t>
      </w:r>
      <w:r w:rsidRPr="005810C3">
        <w:rPr>
          <w:szCs w:val="16"/>
        </w:rPr>
        <w:t>ópu efektívne využívajúcu zdroje (</w:t>
      </w:r>
      <w:r>
        <w:rPr>
          <w:szCs w:val="16"/>
        </w:rPr>
        <w:t>K</w:t>
      </w:r>
      <w:r w:rsidRPr="005810C3">
        <w:rPr>
          <w:szCs w:val="16"/>
        </w:rPr>
        <w:t xml:space="preserve">OM (2011) 571), </w:t>
      </w:r>
      <w:r>
        <w:rPr>
          <w:szCs w:val="16"/>
        </w:rPr>
        <w:t>k</w:t>
      </w:r>
      <w:r w:rsidRPr="005810C3">
        <w:rPr>
          <w:szCs w:val="16"/>
        </w:rPr>
        <w:t>ap. 4.4</w:t>
      </w:r>
    </w:p>
  </w:footnote>
  <w:footnote w:id="189">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Z</w:t>
      </w:r>
      <w:r w:rsidRPr="005810C3">
        <w:rPr>
          <w:szCs w:val="16"/>
        </w:rPr>
        <w:t xml:space="preserve">ameranej na </w:t>
      </w:r>
      <w:r>
        <w:rPr>
          <w:szCs w:val="16"/>
        </w:rPr>
        <w:t>s</w:t>
      </w:r>
      <w:r w:rsidRPr="005810C3">
        <w:rPr>
          <w:szCs w:val="16"/>
        </w:rPr>
        <w:t xml:space="preserve">pomalenie odtoku, zadržanie </w:t>
      </w:r>
      <w:r>
        <w:rPr>
          <w:szCs w:val="16"/>
        </w:rPr>
        <w:t>a</w:t>
      </w:r>
      <w:r w:rsidRPr="005810C3">
        <w:rPr>
          <w:szCs w:val="16"/>
        </w:rPr>
        <w:t xml:space="preserve">lebo </w:t>
      </w:r>
      <w:r>
        <w:rPr>
          <w:szCs w:val="16"/>
        </w:rPr>
        <w:t>ak</w:t>
      </w:r>
      <w:r w:rsidRPr="005810C3">
        <w:rPr>
          <w:szCs w:val="16"/>
        </w:rPr>
        <w:t xml:space="preserve">umuláciu vody v extraviláne či intraviláne </w:t>
      </w:r>
      <w:r>
        <w:rPr>
          <w:szCs w:val="16"/>
        </w:rPr>
        <w:t>k</w:t>
      </w:r>
      <w:r w:rsidRPr="005810C3">
        <w:rPr>
          <w:szCs w:val="16"/>
        </w:rPr>
        <w:t>rajiny</w:t>
      </w:r>
    </w:p>
  </w:footnote>
  <w:footnote w:id="190">
    <w:p w:rsidR="00007508" w:rsidRDefault="00007508" w:rsidP="002C7372">
      <w:pPr>
        <w:pStyle w:val="Textpoznmkypodiarou"/>
        <w:ind w:left="170" w:hanging="170"/>
      </w:pPr>
      <w:r>
        <w:rPr>
          <w:rStyle w:val="Odkaznapoznmkupodiarou"/>
        </w:rPr>
        <w:footnoteRef/>
      </w:r>
      <w:r>
        <w:t xml:space="preserve"> </w:t>
      </w:r>
      <w:hyperlink r:id="rId36" w:history="1">
        <w:r w:rsidRPr="00C3071F">
          <w:rPr>
            <w:rStyle w:val="Hypertextovprepojenie"/>
          </w:rPr>
          <w:t>http://www.enviroportal.sk/sk_SK/eia/detail/aktualizovana-narodna-strategia-ochrany-biodiverzity-pre-roky-2012-202</w:t>
        </w:r>
      </w:hyperlink>
      <w:r>
        <w:t>, schválená uznesením vlády SR č.12/2014, zo dňa 8. 1. 2014</w:t>
      </w:r>
    </w:p>
  </w:footnote>
  <w:footnote w:id="191">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V</w:t>
      </w:r>
      <w:r>
        <w:rPr>
          <w:szCs w:val="16"/>
        </w:rPr>
        <w:t> </w:t>
      </w:r>
      <w:r w:rsidRPr="005810C3">
        <w:rPr>
          <w:szCs w:val="16"/>
        </w:rPr>
        <w:t>programovom</w:t>
      </w:r>
      <w:r>
        <w:rPr>
          <w:szCs w:val="16"/>
        </w:rPr>
        <w:t xml:space="preserve"> </w:t>
      </w:r>
      <w:r w:rsidRPr="005810C3">
        <w:rPr>
          <w:szCs w:val="16"/>
        </w:rPr>
        <w:t xml:space="preserve">období 2007 – 2013 </w:t>
      </w:r>
      <w:r>
        <w:rPr>
          <w:szCs w:val="16"/>
        </w:rPr>
        <w:t>s</w:t>
      </w:r>
      <w:r w:rsidRPr="005810C3">
        <w:rPr>
          <w:szCs w:val="16"/>
        </w:rPr>
        <w:t xml:space="preserve">a podporovali opatrenia </w:t>
      </w:r>
      <w:r>
        <w:rPr>
          <w:szCs w:val="16"/>
        </w:rPr>
        <w:t>s</w:t>
      </w:r>
      <w:r w:rsidRPr="005810C3">
        <w:rPr>
          <w:szCs w:val="16"/>
        </w:rPr>
        <w:t xml:space="preserve">merujúce </w:t>
      </w:r>
      <w:r>
        <w:rPr>
          <w:szCs w:val="16"/>
        </w:rPr>
        <w:t>k </w:t>
      </w:r>
      <w:r w:rsidRPr="005810C3">
        <w:rPr>
          <w:szCs w:val="16"/>
        </w:rPr>
        <w:t xml:space="preserve">ochrane poloprírodných </w:t>
      </w:r>
      <w:r>
        <w:rPr>
          <w:szCs w:val="16"/>
        </w:rPr>
        <w:t>a </w:t>
      </w:r>
      <w:r w:rsidRPr="005810C3">
        <w:rPr>
          <w:szCs w:val="16"/>
        </w:rPr>
        <w:t xml:space="preserve">prírodných trávnych porastov, území Natura 2000 </w:t>
      </w:r>
      <w:r>
        <w:rPr>
          <w:szCs w:val="16"/>
        </w:rPr>
        <w:t>a k</w:t>
      </w:r>
      <w:r w:rsidRPr="005810C3">
        <w:rPr>
          <w:szCs w:val="16"/>
        </w:rPr>
        <w:t xml:space="preserve">ombináciou opatrení </w:t>
      </w:r>
      <w:r>
        <w:rPr>
          <w:szCs w:val="16"/>
        </w:rPr>
        <w:t>A</w:t>
      </w:r>
      <w:r w:rsidRPr="005810C3">
        <w:rPr>
          <w:szCs w:val="16"/>
        </w:rPr>
        <w:t xml:space="preserve">E </w:t>
      </w:r>
      <w:r>
        <w:rPr>
          <w:szCs w:val="16"/>
        </w:rPr>
        <w:t>a </w:t>
      </w:r>
      <w:r w:rsidRPr="005810C3">
        <w:rPr>
          <w:szCs w:val="16"/>
        </w:rPr>
        <w:t xml:space="preserve">LFA. Čo </w:t>
      </w:r>
      <w:r>
        <w:rPr>
          <w:szCs w:val="16"/>
        </w:rPr>
        <w:t>s</w:t>
      </w:r>
      <w:r w:rsidRPr="005810C3">
        <w:rPr>
          <w:szCs w:val="16"/>
        </w:rPr>
        <w:t xml:space="preserve">a týka príspevku LFA </w:t>
      </w:r>
      <w:r>
        <w:rPr>
          <w:szCs w:val="16"/>
        </w:rPr>
        <w:t>k </w:t>
      </w:r>
      <w:r w:rsidRPr="005810C3">
        <w:rPr>
          <w:szCs w:val="16"/>
        </w:rPr>
        <w:t xml:space="preserve">biodiverzite </w:t>
      </w:r>
      <w:r>
        <w:rPr>
          <w:szCs w:val="16"/>
        </w:rPr>
        <w:t>a </w:t>
      </w:r>
      <w:r w:rsidRPr="005810C3">
        <w:rPr>
          <w:szCs w:val="16"/>
        </w:rPr>
        <w:t xml:space="preserve">poľnohospodárstvu </w:t>
      </w:r>
      <w:r>
        <w:rPr>
          <w:szCs w:val="16"/>
        </w:rPr>
        <w:t>s </w:t>
      </w:r>
      <w:r w:rsidRPr="005810C3">
        <w:rPr>
          <w:szCs w:val="16"/>
        </w:rPr>
        <w:t>vysokou</w:t>
      </w:r>
      <w:r>
        <w:rPr>
          <w:szCs w:val="16"/>
        </w:rPr>
        <w:t xml:space="preserve"> </w:t>
      </w:r>
      <w:r w:rsidRPr="005810C3">
        <w:rPr>
          <w:szCs w:val="16"/>
        </w:rPr>
        <w:t>pridanou hodnotou, prostredníctvom platieb LFA boli podporené územia Natura 2000 na ploche 193</w:t>
      </w:r>
      <w:r>
        <w:rPr>
          <w:szCs w:val="16"/>
        </w:rPr>
        <w:t> </w:t>
      </w:r>
      <w:r w:rsidRPr="005810C3">
        <w:rPr>
          <w:szCs w:val="16"/>
        </w:rPr>
        <w:t>906</w:t>
      </w:r>
      <w:r>
        <w:rPr>
          <w:szCs w:val="16"/>
        </w:rPr>
        <w:t xml:space="preserve"> </w:t>
      </w:r>
      <w:r w:rsidRPr="005810C3">
        <w:rPr>
          <w:szCs w:val="16"/>
        </w:rPr>
        <w:t>ha p. p do roku 2012. V</w:t>
      </w:r>
      <w:r>
        <w:rPr>
          <w:szCs w:val="16"/>
        </w:rPr>
        <w:t> </w:t>
      </w:r>
      <w:r w:rsidRPr="005810C3">
        <w:rPr>
          <w:szCs w:val="16"/>
        </w:rPr>
        <w:t>rámci</w:t>
      </w:r>
      <w:r>
        <w:rPr>
          <w:szCs w:val="16"/>
        </w:rPr>
        <w:t xml:space="preserve"> </w:t>
      </w:r>
      <w:r w:rsidRPr="005810C3">
        <w:rPr>
          <w:szCs w:val="16"/>
        </w:rPr>
        <w:t xml:space="preserve">opatrenia </w:t>
      </w:r>
      <w:r>
        <w:rPr>
          <w:szCs w:val="16"/>
        </w:rPr>
        <w:t>A</w:t>
      </w:r>
      <w:r w:rsidRPr="005810C3">
        <w:rPr>
          <w:szCs w:val="16"/>
        </w:rPr>
        <w:t xml:space="preserve">E </w:t>
      </w:r>
      <w:r>
        <w:rPr>
          <w:szCs w:val="16"/>
        </w:rPr>
        <w:t>s</w:t>
      </w:r>
      <w:r w:rsidRPr="005810C3">
        <w:rPr>
          <w:szCs w:val="16"/>
        </w:rPr>
        <w:t xml:space="preserve">a prispelo </w:t>
      </w:r>
      <w:r>
        <w:rPr>
          <w:szCs w:val="16"/>
        </w:rPr>
        <w:t>k </w:t>
      </w:r>
      <w:r w:rsidRPr="005810C3">
        <w:rPr>
          <w:szCs w:val="16"/>
        </w:rPr>
        <w:t>zlepšeniu</w:t>
      </w:r>
      <w:r>
        <w:rPr>
          <w:szCs w:val="16"/>
        </w:rPr>
        <w:t xml:space="preserve"> k</w:t>
      </w:r>
      <w:r w:rsidRPr="005810C3">
        <w:rPr>
          <w:szCs w:val="16"/>
        </w:rPr>
        <w:t xml:space="preserve">vality vody (na 384 295 ha p. p.), pôdy (na 361 382 ha p. p.), </w:t>
      </w:r>
      <w:r>
        <w:rPr>
          <w:szCs w:val="16"/>
        </w:rPr>
        <w:t>k </w:t>
      </w:r>
      <w:r w:rsidRPr="005810C3">
        <w:rPr>
          <w:szCs w:val="16"/>
        </w:rPr>
        <w:t>zmierneniu zmeny</w:t>
      </w:r>
      <w:r>
        <w:rPr>
          <w:szCs w:val="16"/>
        </w:rPr>
        <w:t xml:space="preserve"> klímy</w:t>
      </w:r>
      <w:r w:rsidRPr="005810C3">
        <w:rPr>
          <w:szCs w:val="16"/>
        </w:rPr>
        <w:t xml:space="preserve"> </w:t>
      </w:r>
      <w:r>
        <w:rPr>
          <w:szCs w:val="16"/>
        </w:rPr>
        <w:br/>
      </w:r>
      <w:r w:rsidRPr="005810C3">
        <w:rPr>
          <w:szCs w:val="16"/>
        </w:rPr>
        <w:t>(na 267 6</w:t>
      </w:r>
      <w:r w:rsidRPr="0066054C">
        <w:rPr>
          <w:szCs w:val="16"/>
        </w:rPr>
        <w:t xml:space="preserve">36 ha p. p.) </w:t>
      </w:r>
      <w:r w:rsidRPr="00BD48BB">
        <w:rPr>
          <w:szCs w:val="16"/>
        </w:rPr>
        <w:t>ako i</w:t>
      </w:r>
      <w:r>
        <w:rPr>
          <w:szCs w:val="16"/>
        </w:rPr>
        <w:t> </w:t>
      </w:r>
      <w:r w:rsidRPr="00BD48BB">
        <w:rPr>
          <w:szCs w:val="16"/>
        </w:rPr>
        <w:t>k</w:t>
      </w:r>
      <w:r>
        <w:rPr>
          <w:szCs w:val="16"/>
        </w:rPr>
        <w:t> </w:t>
      </w:r>
      <w:r w:rsidRPr="00BD48BB">
        <w:rPr>
          <w:szCs w:val="16"/>
        </w:rPr>
        <w:t>zamedzeniu marginalizácie a opúšťaniu pôdy (na 852 705 ha p. p.) a dospelo sa tak</w:t>
      </w:r>
      <w:r>
        <w:rPr>
          <w:szCs w:val="16"/>
        </w:rPr>
        <w:t xml:space="preserve"> k </w:t>
      </w:r>
      <w:r w:rsidRPr="00BD48BB">
        <w:rPr>
          <w:szCs w:val="16"/>
        </w:rPr>
        <w:t>naplneniu</w:t>
      </w:r>
      <w:r>
        <w:rPr>
          <w:szCs w:val="16"/>
        </w:rPr>
        <w:t xml:space="preserve"> </w:t>
      </w:r>
      <w:r w:rsidRPr="00BD48BB">
        <w:rPr>
          <w:szCs w:val="16"/>
        </w:rPr>
        <w:t>stanovených výsledkových ukazovateľov pre roky 2007 – 2013</w:t>
      </w:r>
    </w:p>
  </w:footnote>
  <w:footnote w:id="192">
    <w:p w:rsidR="00007508" w:rsidRDefault="00007508" w:rsidP="002C7372">
      <w:pPr>
        <w:pStyle w:val="Textpoznmkypodiarou"/>
        <w:ind w:left="170" w:hanging="170"/>
      </w:pPr>
      <w:r w:rsidRPr="00BD48BB">
        <w:rPr>
          <w:rStyle w:val="Odkaznapoznmkupodiarou"/>
          <w:szCs w:val="16"/>
        </w:rPr>
        <w:footnoteRef/>
      </w:r>
      <w:r w:rsidRPr="00BD48BB">
        <w:rPr>
          <w:szCs w:val="16"/>
        </w:rPr>
        <w:t xml:space="preserve"> </w:t>
      </w:r>
      <w:r>
        <w:rPr>
          <w:szCs w:val="16"/>
        </w:rPr>
        <w:t xml:space="preserve">Zdroj: </w:t>
      </w:r>
      <w:r w:rsidRPr="00BD48BB">
        <w:rPr>
          <w:szCs w:val="16"/>
        </w:rPr>
        <w:t xml:space="preserve">Záverečná správa projektu „Dôsledky klimatickej zmeny a možné adaptačné opatrenia v jednotlivých sektoroch“ (Minďaš, Páleník, Nejedlík, 2011) - kapitola 5.8.4 Ekonomická analýza adaptačných opatrení v energetike, str. 235), </w:t>
      </w:r>
      <w:hyperlink r:id="rId37" w:history="1">
        <w:r w:rsidRPr="00BD48BB">
          <w:rPr>
            <w:rStyle w:val="Hypertextovprepojenie"/>
            <w:szCs w:val="16"/>
          </w:rPr>
          <w:t>http://www.shmu.sk/File/projekty/Zaverecna%20Sprava%20projektu%20Klim.%20zmena%20a%20Adaptacie%202012.pdf</w:t>
        </w:r>
      </w:hyperlink>
    </w:p>
  </w:footnote>
  <w:footnote w:id="193">
    <w:p w:rsidR="00007508" w:rsidRDefault="00007508" w:rsidP="00406C25">
      <w:pPr>
        <w:pStyle w:val="Textpoznmkypodiarou"/>
      </w:pPr>
      <w:r w:rsidRPr="00BD48BB">
        <w:rPr>
          <w:rStyle w:val="Odkaznapoznmkupodiarou"/>
          <w:szCs w:val="16"/>
        </w:rPr>
        <w:footnoteRef/>
      </w:r>
      <w:r w:rsidRPr="00BD48BB">
        <w:rPr>
          <w:szCs w:val="16"/>
        </w:rPr>
        <w:t xml:space="preserve">  </w:t>
      </w:r>
      <w:hyperlink r:id="rId38" w:history="1">
        <w:r w:rsidRPr="00BD48BB">
          <w:rPr>
            <w:rStyle w:val="Hypertextovprepojenie"/>
            <w:szCs w:val="16"/>
          </w:rPr>
          <w:t>http://www.geology.sk/new/sk/sub/Geoisnomenu/geof/atlas_st_sv</w:t>
        </w:r>
      </w:hyperlink>
    </w:p>
  </w:footnote>
  <w:footnote w:id="194">
    <w:p w:rsidR="00007508" w:rsidRDefault="00007508" w:rsidP="00406C25">
      <w:pPr>
        <w:pStyle w:val="Textpoznmkypodiarou"/>
      </w:pPr>
      <w:r w:rsidRPr="00BD48BB">
        <w:rPr>
          <w:rStyle w:val="Odkaznapoznmkupodiarou"/>
          <w:szCs w:val="16"/>
        </w:rPr>
        <w:footnoteRef/>
      </w:r>
      <w:r w:rsidRPr="00BD48BB">
        <w:rPr>
          <w:rStyle w:val="Odkaznapoznmkupodiarou"/>
          <w:szCs w:val="16"/>
        </w:rPr>
        <w:t xml:space="preserve"> </w:t>
      </w:r>
      <w:hyperlink r:id="rId39" w:history="1">
        <w:r w:rsidRPr="00A413E4">
          <w:rPr>
            <w:rStyle w:val="Hypertextovprepojenie"/>
            <w:szCs w:val="16"/>
          </w:rPr>
          <w:t>http://www.rokovania.sk/Rokovanie.aspx/BodRokovaniaDetail?idMaterial=19303</w:t>
        </w:r>
      </w:hyperlink>
    </w:p>
  </w:footnote>
  <w:footnote w:id="195">
    <w:p w:rsidR="00007508" w:rsidRDefault="00007508" w:rsidP="00406C25">
      <w:pPr>
        <w:pStyle w:val="Textpoznmkypodiarou"/>
      </w:pPr>
      <w:r w:rsidRPr="00BD48BB">
        <w:rPr>
          <w:rStyle w:val="Odkaznapoznmkupodiarou"/>
          <w:szCs w:val="16"/>
        </w:rPr>
        <w:footnoteRef/>
      </w:r>
      <w:r w:rsidRPr="00BD48BB">
        <w:rPr>
          <w:szCs w:val="16"/>
        </w:rPr>
        <w:t xml:space="preserve"> </w:t>
      </w:r>
      <w:hyperlink r:id="rId40" w:history="1">
        <w:r w:rsidRPr="00A413E4">
          <w:rPr>
            <w:rStyle w:val="Hypertextovprepojenie"/>
            <w:szCs w:val="16"/>
          </w:rPr>
          <w:t>http://www.minzp.sk/sekcie/temy-oblasti/voda/ochrana-pred-povodnami/manazment-povodnovych-rizik/</w:t>
        </w:r>
      </w:hyperlink>
    </w:p>
  </w:footnote>
  <w:footnote w:id="196">
    <w:p w:rsidR="00007508" w:rsidRDefault="00007508" w:rsidP="002C7372">
      <w:pPr>
        <w:pStyle w:val="Textpoznmkypodiarou"/>
        <w:ind w:left="170" w:hanging="170"/>
      </w:pPr>
      <w:r>
        <w:rPr>
          <w:rStyle w:val="Odkaznapoznmkupodiarou"/>
        </w:rPr>
        <w:footnoteRef/>
      </w:r>
      <w:r>
        <w:t xml:space="preserve"> </w:t>
      </w:r>
      <w:r>
        <w:rPr>
          <w:szCs w:val="16"/>
        </w:rPr>
        <w:t>MV SR podľa zákona č. 387/2002 Z. z. koordinuje prípravu orgánov krízového riadenia ministerstiev, ostatných ústredných orgánov štátnej správy a obvodných úradov v sídle kraja pri príprave na krízové situácie. Obvodné úrady v sídle kraja organizujú odbornú prípravu orgánov krízového riadenia obvodných úradov. Obvodné úrady organizujú odbornú prípravu krízového riadenia obcí</w:t>
      </w:r>
    </w:p>
  </w:footnote>
  <w:footnote w:id="197">
    <w:p w:rsidR="00007508" w:rsidRDefault="00007508" w:rsidP="002C7372">
      <w:pPr>
        <w:pStyle w:val="Textpoznmkypodiarou"/>
        <w:ind w:left="170" w:hanging="170"/>
      </w:pPr>
      <w:r>
        <w:rPr>
          <w:rStyle w:val="Odkaznapoznmkupodiarou"/>
        </w:rPr>
        <w:footnoteRef/>
      </w:r>
      <w:r>
        <w:t xml:space="preserve"> Zdroj: </w:t>
      </w:r>
      <w:r w:rsidRPr="004278A5">
        <w:rPr>
          <w:szCs w:val="16"/>
        </w:rPr>
        <w:t>Informácie o vývojových trendoch v odpadovom hospodárstve sú obsiahnuté v dokumentoch Program odpadového hospodárstva Slovenskej republiky na roky 2011 – 2015, Program predchádzania vzniku odpadu SR na roky 2014 – 2018, v</w:t>
      </w:r>
      <w:r>
        <w:rPr>
          <w:szCs w:val="16"/>
        </w:rPr>
        <w:t> </w:t>
      </w:r>
      <w:r w:rsidRPr="004278A5">
        <w:rPr>
          <w:szCs w:val="16"/>
        </w:rPr>
        <w:t>Správach o stave životného</w:t>
      </w:r>
      <w:r>
        <w:rPr>
          <w:szCs w:val="16"/>
        </w:rPr>
        <w:t xml:space="preserve"> </w:t>
      </w:r>
      <w:r w:rsidRPr="004278A5">
        <w:rPr>
          <w:szCs w:val="16"/>
        </w:rPr>
        <w:t>prostre</w:t>
      </w:r>
      <w:r w:rsidRPr="00E04559">
        <w:rPr>
          <w:szCs w:val="16"/>
        </w:rPr>
        <w:t xml:space="preserve">dia Slovenskej republiky zverejňovaných na webovom sídle </w:t>
      </w:r>
      <w:hyperlink r:id="rId41" w:history="1">
        <w:r w:rsidRPr="003F0750">
          <w:rPr>
            <w:szCs w:val="16"/>
          </w:rPr>
          <w:t>http://www.enviroportal.sk/spravy/spravy-o-zp/kapitola/1</w:t>
        </w:r>
      </w:hyperlink>
      <w:r w:rsidRPr="00C873A5">
        <w:rPr>
          <w:szCs w:val="16"/>
        </w:rPr>
        <w:t xml:space="preserve">, ako aj v elektronických  publikáciách Odpady v Slovenskej republike a Životné prostredie v SR – vybrané ukazovatele, zverejňovaných na stránke Štatistického úradu Slovenskej republiky </w:t>
      </w:r>
      <w:hyperlink r:id="rId42" w:history="1">
        <w:r w:rsidRPr="003F0750">
          <w:rPr>
            <w:szCs w:val="16"/>
          </w:rPr>
          <w:t>http://portal.statistics.sk/showdoc.do?docid=60471</w:t>
        </w:r>
      </w:hyperlink>
    </w:p>
  </w:footnote>
  <w:footnote w:id="198">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S</w:t>
      </w:r>
      <w:r w:rsidRPr="005810C3">
        <w:rPr>
          <w:szCs w:val="16"/>
        </w:rPr>
        <w:t xml:space="preserve">mernica </w:t>
      </w:r>
      <w:r>
        <w:rPr>
          <w:szCs w:val="16"/>
        </w:rPr>
        <w:t>Eur</w:t>
      </w:r>
      <w:r w:rsidRPr="005810C3">
        <w:rPr>
          <w:szCs w:val="16"/>
        </w:rPr>
        <w:t xml:space="preserve">ópskeho parlamentu </w:t>
      </w:r>
      <w:r>
        <w:rPr>
          <w:szCs w:val="16"/>
        </w:rPr>
        <w:t>a </w:t>
      </w:r>
      <w:r w:rsidRPr="005810C3">
        <w:rPr>
          <w:szCs w:val="16"/>
        </w:rPr>
        <w:t xml:space="preserve"> Rady 2008/98/ES z 19. novembra 2008 o</w:t>
      </w:r>
      <w:r>
        <w:rPr>
          <w:szCs w:val="16"/>
        </w:rPr>
        <w:t> </w:t>
      </w:r>
      <w:r w:rsidRPr="005810C3">
        <w:rPr>
          <w:szCs w:val="16"/>
        </w:rPr>
        <w:t>odpade</w:t>
      </w:r>
      <w:r>
        <w:rPr>
          <w:szCs w:val="16"/>
        </w:rPr>
        <w:t xml:space="preserve"> a </w:t>
      </w:r>
      <w:r w:rsidRPr="005810C3">
        <w:rPr>
          <w:szCs w:val="16"/>
        </w:rPr>
        <w:t>o</w:t>
      </w:r>
      <w:r>
        <w:rPr>
          <w:szCs w:val="16"/>
        </w:rPr>
        <w:t> </w:t>
      </w:r>
      <w:r w:rsidRPr="005810C3">
        <w:rPr>
          <w:szCs w:val="16"/>
        </w:rPr>
        <w:t>zrušení</w:t>
      </w:r>
      <w:r>
        <w:rPr>
          <w:szCs w:val="16"/>
        </w:rPr>
        <w:t xml:space="preserve"> </w:t>
      </w:r>
      <w:r w:rsidRPr="005810C3">
        <w:rPr>
          <w:szCs w:val="16"/>
        </w:rPr>
        <w:t xml:space="preserve">určitých </w:t>
      </w:r>
      <w:r>
        <w:rPr>
          <w:szCs w:val="16"/>
        </w:rPr>
        <w:t>s</w:t>
      </w:r>
      <w:r w:rsidRPr="005810C3">
        <w:rPr>
          <w:szCs w:val="16"/>
        </w:rPr>
        <w:t>merníc</w:t>
      </w:r>
    </w:p>
  </w:footnote>
  <w:footnote w:id="199">
    <w:p w:rsidR="00007508" w:rsidRDefault="00007508" w:rsidP="00406C25">
      <w:pPr>
        <w:pStyle w:val="Textpoznmkypodiarou"/>
      </w:pPr>
      <w:r w:rsidRPr="005810C3">
        <w:rPr>
          <w:rStyle w:val="Odkaznapoznmkupodiarou"/>
          <w:szCs w:val="16"/>
        </w:rPr>
        <w:footnoteRef/>
      </w:r>
      <w:r w:rsidRPr="005810C3">
        <w:rPr>
          <w:szCs w:val="16"/>
        </w:rPr>
        <w:t xml:space="preserve"> </w:t>
      </w:r>
      <w:r>
        <w:rPr>
          <w:szCs w:val="16"/>
        </w:rPr>
        <w:t>S</w:t>
      </w:r>
      <w:r w:rsidRPr="005810C3">
        <w:rPr>
          <w:szCs w:val="16"/>
        </w:rPr>
        <w:t xml:space="preserve">mernica Rady 1999/31/ES z 26. </w:t>
      </w:r>
      <w:r>
        <w:rPr>
          <w:szCs w:val="16"/>
        </w:rPr>
        <w:t>a</w:t>
      </w:r>
      <w:r w:rsidRPr="005810C3">
        <w:rPr>
          <w:szCs w:val="16"/>
        </w:rPr>
        <w:t>príla 1999 o</w:t>
      </w:r>
      <w:r>
        <w:rPr>
          <w:szCs w:val="16"/>
        </w:rPr>
        <w:t> s</w:t>
      </w:r>
      <w:r w:rsidRPr="005810C3">
        <w:rPr>
          <w:szCs w:val="16"/>
        </w:rPr>
        <w:t>kládkach</w:t>
      </w:r>
      <w:r>
        <w:rPr>
          <w:szCs w:val="16"/>
        </w:rPr>
        <w:t xml:space="preserve"> </w:t>
      </w:r>
      <w:r w:rsidRPr="005810C3">
        <w:rPr>
          <w:szCs w:val="16"/>
        </w:rPr>
        <w:t>odpadov</w:t>
      </w:r>
    </w:p>
  </w:footnote>
  <w:footnote w:id="200">
    <w:p w:rsidR="00007508" w:rsidRDefault="00007508">
      <w:pPr>
        <w:pStyle w:val="Textpoznmkypodiarou"/>
      </w:pPr>
      <w:r>
        <w:rPr>
          <w:rStyle w:val="Odkaznapoznmkupodiarou"/>
        </w:rPr>
        <w:footnoteRef/>
      </w:r>
      <w:r>
        <w:t xml:space="preserve"> </w:t>
      </w:r>
      <w:hyperlink r:id="rId43" w:history="1">
        <w:r w:rsidRPr="001107CE">
          <w:rPr>
            <w:rStyle w:val="Hypertextovprepojenie"/>
          </w:rPr>
          <w:t>http://ec.europa.eu/environment/waste/framework/support_implementation.htm</w:t>
        </w:r>
      </w:hyperlink>
    </w:p>
  </w:footnote>
  <w:footnote w:id="201">
    <w:p w:rsidR="00007508" w:rsidRDefault="00007508" w:rsidP="00406C25">
      <w:pPr>
        <w:pStyle w:val="Textpoznmkypodiarou"/>
      </w:pPr>
      <w:r w:rsidRPr="005810C3">
        <w:rPr>
          <w:rStyle w:val="Odkaznapoznmkupodiarou"/>
          <w:szCs w:val="16"/>
        </w:rPr>
        <w:footnoteRef/>
      </w:r>
      <w:r w:rsidRPr="005810C3">
        <w:rPr>
          <w:szCs w:val="16"/>
        </w:rPr>
        <w:t xml:space="preserve"> Zákon č. 223/2001 Z. z. o odpadoch </w:t>
      </w:r>
      <w:r>
        <w:rPr>
          <w:szCs w:val="16"/>
        </w:rPr>
        <w:t>a </w:t>
      </w:r>
      <w:r w:rsidRPr="005810C3">
        <w:rPr>
          <w:szCs w:val="16"/>
        </w:rPr>
        <w:t xml:space="preserve">o zmene </w:t>
      </w:r>
      <w:r>
        <w:rPr>
          <w:szCs w:val="16"/>
        </w:rPr>
        <w:t>a </w:t>
      </w:r>
      <w:r w:rsidRPr="005810C3">
        <w:rPr>
          <w:szCs w:val="16"/>
        </w:rPr>
        <w:t>doplnení niektorých zákonov v znení neskorších predpisov</w:t>
      </w:r>
    </w:p>
  </w:footnote>
  <w:footnote w:id="202">
    <w:p w:rsidR="00007508" w:rsidRDefault="00007508" w:rsidP="002C7372">
      <w:pPr>
        <w:pStyle w:val="Textpoznmkypodiarou"/>
        <w:keepLines/>
        <w:ind w:left="170" w:hanging="170"/>
      </w:pPr>
      <w:r w:rsidRPr="005810C3">
        <w:rPr>
          <w:rStyle w:val="Odkaznapoznmkupodiarou"/>
          <w:szCs w:val="16"/>
        </w:rPr>
        <w:footnoteRef/>
      </w:r>
      <w:r w:rsidRPr="005810C3">
        <w:rPr>
          <w:szCs w:val="16"/>
        </w:rPr>
        <w:t xml:space="preserve"> Oznámenie </w:t>
      </w:r>
      <w:r>
        <w:rPr>
          <w:szCs w:val="16"/>
        </w:rPr>
        <w:t>K</w:t>
      </w:r>
      <w:r w:rsidRPr="005810C3">
        <w:rPr>
          <w:szCs w:val="16"/>
        </w:rPr>
        <w:t xml:space="preserve">omisie </w:t>
      </w:r>
      <w:r>
        <w:rPr>
          <w:szCs w:val="16"/>
        </w:rPr>
        <w:t>Eur</w:t>
      </w:r>
      <w:r w:rsidRPr="005810C3">
        <w:rPr>
          <w:szCs w:val="16"/>
        </w:rPr>
        <w:t xml:space="preserve">ópskemu parlamentu, Rade, </w:t>
      </w:r>
      <w:r>
        <w:rPr>
          <w:szCs w:val="16"/>
        </w:rPr>
        <w:t>Eur</w:t>
      </w:r>
      <w:r w:rsidRPr="005810C3">
        <w:rPr>
          <w:szCs w:val="16"/>
        </w:rPr>
        <w:t xml:space="preserve">ópskemu hospodárskemu </w:t>
      </w:r>
      <w:r>
        <w:rPr>
          <w:szCs w:val="16"/>
        </w:rPr>
        <w:t>a s</w:t>
      </w:r>
      <w:r w:rsidRPr="005810C3">
        <w:rPr>
          <w:szCs w:val="16"/>
        </w:rPr>
        <w:t xml:space="preserve">ociálnemu výboru </w:t>
      </w:r>
      <w:r>
        <w:rPr>
          <w:szCs w:val="16"/>
        </w:rPr>
        <w:t>a </w:t>
      </w:r>
      <w:r w:rsidRPr="005810C3">
        <w:rPr>
          <w:szCs w:val="16"/>
        </w:rPr>
        <w:t xml:space="preserve">Výboru regiónov Plán pre </w:t>
      </w:r>
      <w:r>
        <w:rPr>
          <w:szCs w:val="16"/>
        </w:rPr>
        <w:t>Eur</w:t>
      </w:r>
      <w:r w:rsidRPr="005810C3">
        <w:rPr>
          <w:szCs w:val="16"/>
        </w:rPr>
        <w:t>ópu efektívne využívajúcu zdroje (</w:t>
      </w:r>
      <w:r>
        <w:rPr>
          <w:szCs w:val="16"/>
        </w:rPr>
        <w:t>K</w:t>
      </w:r>
      <w:r w:rsidRPr="005810C3">
        <w:rPr>
          <w:szCs w:val="16"/>
        </w:rPr>
        <w:t xml:space="preserve">OM (2011) 571), </w:t>
      </w:r>
      <w:r>
        <w:rPr>
          <w:szCs w:val="16"/>
        </w:rPr>
        <w:t>k</w:t>
      </w:r>
      <w:r w:rsidRPr="005810C3">
        <w:rPr>
          <w:szCs w:val="16"/>
        </w:rPr>
        <w:t>ap. 3.2</w:t>
      </w:r>
    </w:p>
  </w:footnote>
  <w:footnote w:id="203">
    <w:p w:rsidR="00007508" w:rsidRDefault="00007508" w:rsidP="002C7372">
      <w:pPr>
        <w:pStyle w:val="Textpoznmkypodiarou"/>
        <w:keepLines/>
        <w:ind w:left="170" w:hanging="170"/>
      </w:pPr>
      <w:r w:rsidRPr="005810C3">
        <w:rPr>
          <w:rStyle w:val="Odkaznapoznmkupodiarou"/>
          <w:szCs w:val="16"/>
        </w:rPr>
        <w:footnoteRef/>
      </w:r>
      <w:r w:rsidRPr="005810C3">
        <w:rPr>
          <w:szCs w:val="16"/>
        </w:rPr>
        <w:t xml:space="preserve"> Oznámenie </w:t>
      </w:r>
      <w:r>
        <w:rPr>
          <w:szCs w:val="16"/>
        </w:rPr>
        <w:t>K</w:t>
      </w:r>
      <w:r w:rsidRPr="005810C3">
        <w:rPr>
          <w:szCs w:val="16"/>
        </w:rPr>
        <w:t xml:space="preserve">omisie </w:t>
      </w:r>
      <w:r>
        <w:rPr>
          <w:szCs w:val="16"/>
        </w:rPr>
        <w:t>Eur</w:t>
      </w:r>
      <w:r w:rsidRPr="005810C3">
        <w:rPr>
          <w:szCs w:val="16"/>
        </w:rPr>
        <w:t xml:space="preserve">ópskemu parlamentu, Rade, </w:t>
      </w:r>
      <w:r>
        <w:rPr>
          <w:szCs w:val="16"/>
        </w:rPr>
        <w:t>Eur</w:t>
      </w:r>
      <w:r w:rsidRPr="005810C3">
        <w:rPr>
          <w:szCs w:val="16"/>
        </w:rPr>
        <w:t xml:space="preserve">ópskemu hospodárskemu </w:t>
      </w:r>
      <w:r>
        <w:rPr>
          <w:szCs w:val="16"/>
        </w:rPr>
        <w:t>a s</w:t>
      </w:r>
      <w:r w:rsidRPr="005810C3">
        <w:rPr>
          <w:szCs w:val="16"/>
        </w:rPr>
        <w:t xml:space="preserve">ociálnemu výboru </w:t>
      </w:r>
      <w:r>
        <w:rPr>
          <w:szCs w:val="16"/>
        </w:rPr>
        <w:t>a</w:t>
      </w:r>
      <w:r w:rsidRPr="005810C3">
        <w:rPr>
          <w:szCs w:val="16"/>
        </w:rPr>
        <w:t xml:space="preserve"> Výboru regiónov Plán pre </w:t>
      </w:r>
      <w:r>
        <w:rPr>
          <w:szCs w:val="16"/>
        </w:rPr>
        <w:t>Eur</w:t>
      </w:r>
      <w:r w:rsidRPr="005810C3">
        <w:rPr>
          <w:szCs w:val="16"/>
        </w:rPr>
        <w:t>ópu efektívne využívajúcu zdroje (</w:t>
      </w:r>
      <w:r>
        <w:rPr>
          <w:szCs w:val="16"/>
        </w:rPr>
        <w:t>K</w:t>
      </w:r>
      <w:r w:rsidRPr="005810C3">
        <w:rPr>
          <w:szCs w:val="16"/>
        </w:rPr>
        <w:t xml:space="preserve">OM (2011) 571), </w:t>
      </w:r>
      <w:r>
        <w:rPr>
          <w:szCs w:val="16"/>
        </w:rPr>
        <w:t>k</w:t>
      </w:r>
      <w:r w:rsidRPr="005810C3">
        <w:rPr>
          <w:szCs w:val="16"/>
        </w:rPr>
        <w:t>ap. 4.2</w:t>
      </w:r>
    </w:p>
  </w:footnote>
  <w:footnote w:id="204">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w:t>
      </w:r>
      <w:r>
        <w:rPr>
          <w:szCs w:val="16"/>
        </w:rPr>
        <w:t xml:space="preserve">Zdroj: </w:t>
      </w:r>
      <w:r w:rsidRPr="00E26045">
        <w:rPr>
          <w:szCs w:val="16"/>
        </w:rPr>
        <w:t>Slovenský hydrometeorologický ústav: Správ</w:t>
      </w:r>
      <w:r>
        <w:rPr>
          <w:szCs w:val="16"/>
        </w:rPr>
        <w:t>a</w:t>
      </w:r>
      <w:r w:rsidRPr="00E26045">
        <w:rPr>
          <w:szCs w:val="16"/>
        </w:rPr>
        <w:t xml:space="preserve"> o</w:t>
      </w:r>
      <w:r>
        <w:rPr>
          <w:szCs w:val="16"/>
        </w:rPr>
        <w:t> </w:t>
      </w:r>
      <w:r w:rsidRPr="00E26045">
        <w:rPr>
          <w:szCs w:val="16"/>
        </w:rPr>
        <w:t>kvalite</w:t>
      </w:r>
      <w:r>
        <w:rPr>
          <w:szCs w:val="16"/>
        </w:rPr>
        <w:t xml:space="preserve"> </w:t>
      </w:r>
      <w:r w:rsidRPr="00E26045">
        <w:rPr>
          <w:szCs w:val="16"/>
        </w:rPr>
        <w:t>ovzdušia a podiele jednotlivých zdrojov na jeho znečisťovaní v</w:t>
      </w:r>
      <w:r>
        <w:rPr>
          <w:szCs w:val="16"/>
        </w:rPr>
        <w:t> </w:t>
      </w:r>
      <w:r w:rsidRPr="00E26045">
        <w:rPr>
          <w:szCs w:val="16"/>
        </w:rPr>
        <w:t xml:space="preserve">SR </w:t>
      </w:r>
      <w:r w:rsidRPr="000E7AA9">
        <w:rPr>
          <w:rStyle w:val="Hypertextovprepojenie"/>
          <w:szCs w:val="16"/>
        </w:rPr>
        <w:t>http://www.shmu.sk/sk/?page=997</w:t>
      </w:r>
      <w:r>
        <w:rPr>
          <w:rStyle w:val="Hypertextovprepojenie"/>
          <w:szCs w:val="16"/>
        </w:rPr>
        <w:t xml:space="preserve">,, </w:t>
      </w:r>
      <w:r w:rsidRPr="000E7AA9">
        <w:rPr>
          <w:rStyle w:val="Hypertextovprepojenie"/>
          <w:szCs w:val="16"/>
          <w:u w:val="none"/>
        </w:rPr>
        <w:t>ako aj Hodnotenia kvality ovzdušia v SR</w:t>
      </w:r>
      <w:r w:rsidRPr="00E26045">
        <w:rPr>
          <w:rStyle w:val="Hypertextovprepojenie"/>
          <w:szCs w:val="16"/>
        </w:rPr>
        <w:t xml:space="preserve"> http://www.shmu.sk/sk/?page=996</w:t>
      </w:r>
    </w:p>
  </w:footnote>
  <w:footnote w:id="205">
    <w:p w:rsidR="00007508" w:rsidRPr="00E22DC9" w:rsidRDefault="00007508" w:rsidP="002C7372">
      <w:pPr>
        <w:pStyle w:val="Textpoznmkypodiarou"/>
        <w:ind w:left="170" w:hanging="170"/>
        <w:rPr>
          <w:szCs w:val="16"/>
        </w:rPr>
      </w:pPr>
      <w:r>
        <w:rPr>
          <w:rStyle w:val="Odkaznapoznmkupodiarou"/>
        </w:rPr>
        <w:footnoteRef/>
      </w:r>
      <w:hyperlink r:id="rId44" w:history="1">
        <w:r w:rsidRPr="003F0750">
          <w:rPr>
            <w:rStyle w:val="Hypertextovprepojenie"/>
            <w:szCs w:val="16"/>
          </w:rPr>
          <w:t>http://www.minzp.sk/tlacovy-servis/tlacove-spravy/tlacove-spravy-2013/tlacove-spravy-februar-2013/vlada-prijala-strategiu-znizovania-znecistujucich-castic-ovzdusi.html</w:t>
        </w:r>
      </w:hyperlink>
      <w:r>
        <w:rPr>
          <w:szCs w:val="16"/>
        </w:rPr>
        <w:t xml:space="preserve"> vlastný dokument na: </w:t>
      </w:r>
      <w:hyperlink r:id="rId45" w:history="1">
        <w:r w:rsidRPr="001107CE">
          <w:rPr>
            <w:rStyle w:val="Hypertextovprepojenie"/>
            <w:rFonts w:cs="Calibri"/>
            <w:szCs w:val="16"/>
          </w:rPr>
          <w:t>http://enviroportal.sk/uploads/files/ovzdusie/Strategia-pre-redukciu-PM-10-1.pdf</w:t>
        </w:r>
      </w:hyperlink>
    </w:p>
  </w:footnote>
  <w:footnote w:id="206">
    <w:p w:rsidR="00007508" w:rsidRDefault="00007508" w:rsidP="002C7372">
      <w:pPr>
        <w:pStyle w:val="Textpoznmkypodiarou"/>
        <w:ind w:left="170" w:hanging="170"/>
      </w:pPr>
      <w:r w:rsidRPr="00E26045">
        <w:rPr>
          <w:rStyle w:val="Odkaznapoznmkupodiarou"/>
          <w:szCs w:val="16"/>
        </w:rPr>
        <w:footnoteRef/>
      </w:r>
      <w:r w:rsidRPr="00E26045">
        <w:rPr>
          <w:szCs w:val="16"/>
        </w:rPr>
        <w:t xml:space="preserve"> Oznámenie Komisie Európskemu parlamentu, Rade, Európskemu hospodárskemu a sociálnemu výboru a Výboru regiónov Plán pre Európu efektívne využívajúcu zdroje (KOM (2011) 571), kap. 4.5</w:t>
      </w:r>
    </w:p>
  </w:footnote>
  <w:footnote w:id="207">
    <w:p w:rsidR="00007508" w:rsidRDefault="00007508" w:rsidP="002C7372">
      <w:pPr>
        <w:pStyle w:val="Textpoznmkypodiarou"/>
        <w:ind w:left="170" w:hanging="170"/>
      </w:pPr>
      <w:r w:rsidRPr="00F34419">
        <w:rPr>
          <w:rStyle w:val="Odkaznapoznmkupodiarou"/>
          <w:szCs w:val="16"/>
        </w:rPr>
        <w:footnoteRef/>
      </w:r>
      <w:r w:rsidRPr="00F34419">
        <w:rPr>
          <w:rStyle w:val="Odkaznapoznmkupodiarou"/>
          <w:szCs w:val="16"/>
        </w:rPr>
        <w:t xml:space="preserve"> </w:t>
      </w:r>
      <w:r w:rsidRPr="00F34419">
        <w:rPr>
          <w:szCs w:val="16"/>
        </w:rPr>
        <w:t>Predstavuje 25 % podiel na emisiách CO, 11 % podiel NM VOC a</w:t>
      </w:r>
      <w:r>
        <w:rPr>
          <w:szCs w:val="16"/>
        </w:rPr>
        <w:t> </w:t>
      </w:r>
      <w:r w:rsidRPr="00F34419">
        <w:rPr>
          <w:szCs w:val="16"/>
        </w:rPr>
        <w:t>približne</w:t>
      </w:r>
      <w:r>
        <w:rPr>
          <w:szCs w:val="16"/>
        </w:rPr>
        <w:t xml:space="preserve"> </w:t>
      </w:r>
      <w:r w:rsidRPr="00F34419">
        <w:rPr>
          <w:szCs w:val="16"/>
        </w:rPr>
        <w:t>51 % podiel na emisiách oxidov dusíka (NOX). Cestná doprava predstavuje najvyšší podiel (v r. 2011 až 44 %) na emisiách dusíka. Na celkových emisiách tuhých znečisťujúcich látok sa doprava v</w:t>
      </w:r>
      <w:r>
        <w:rPr>
          <w:szCs w:val="16"/>
        </w:rPr>
        <w:t> </w:t>
      </w:r>
      <w:r w:rsidRPr="00F34419">
        <w:rPr>
          <w:szCs w:val="16"/>
        </w:rPr>
        <w:t>roku</w:t>
      </w:r>
      <w:r>
        <w:rPr>
          <w:szCs w:val="16"/>
        </w:rPr>
        <w:t xml:space="preserve"> </w:t>
      </w:r>
      <w:r w:rsidRPr="00F34419">
        <w:rPr>
          <w:szCs w:val="16"/>
        </w:rPr>
        <w:t>2010 podieľala 8 % a na emisiách SO2 0,40 %. Podiel dopravy na emisiách ťažkých kovov je cca 3 %. Množstvo emisií CO2 z</w:t>
      </w:r>
      <w:r>
        <w:rPr>
          <w:szCs w:val="16"/>
        </w:rPr>
        <w:t> </w:t>
      </w:r>
      <w:r w:rsidRPr="00F34419">
        <w:rPr>
          <w:szCs w:val="16"/>
        </w:rPr>
        <w:t>dopravy</w:t>
      </w:r>
      <w:r>
        <w:rPr>
          <w:szCs w:val="16"/>
        </w:rPr>
        <w:t xml:space="preserve"> </w:t>
      </w:r>
      <w:r w:rsidRPr="00F34419">
        <w:rPr>
          <w:szCs w:val="16"/>
        </w:rPr>
        <w:t>medziročne narástlo o 7,1 %, ale k roku 2000 zaznamenalo nárast o</w:t>
      </w:r>
      <w:r>
        <w:rPr>
          <w:szCs w:val="16"/>
        </w:rPr>
        <w:t> </w:t>
      </w:r>
      <w:r w:rsidRPr="00F34419">
        <w:rPr>
          <w:szCs w:val="16"/>
        </w:rPr>
        <w:t>60</w:t>
      </w:r>
      <w:r>
        <w:rPr>
          <w:szCs w:val="16"/>
        </w:rPr>
        <w:t xml:space="preserve"> </w:t>
      </w:r>
      <w:r w:rsidRPr="00F34419">
        <w:rPr>
          <w:szCs w:val="16"/>
        </w:rPr>
        <w:t xml:space="preserve">%. Správa o stave ŽP v roku 2011 </w:t>
      </w:r>
      <w:r w:rsidRPr="00F34419">
        <w:rPr>
          <w:rStyle w:val="Hypertextovprepojenie"/>
          <w:szCs w:val="16"/>
        </w:rPr>
        <w:t>http://www.enviroportal.sk/uploads/spravy/2011-sprava.pdf</w:t>
      </w:r>
    </w:p>
  </w:footnote>
  <w:footnote w:id="208">
    <w:p w:rsidR="00007508" w:rsidRDefault="00007508" w:rsidP="00406C25">
      <w:pPr>
        <w:pStyle w:val="Textpoznmkypodiarou"/>
      </w:pPr>
      <w:r w:rsidRPr="00F34419">
        <w:rPr>
          <w:rStyle w:val="Odkaznapoznmkupodiarou"/>
          <w:szCs w:val="16"/>
        </w:rPr>
        <w:footnoteRef/>
      </w:r>
      <w:r w:rsidRPr="00F34419">
        <w:rPr>
          <w:szCs w:val="16"/>
        </w:rPr>
        <w:t xml:space="preserve"> </w:t>
      </w:r>
      <w:hyperlink r:id="rId46" w:history="1">
        <w:r w:rsidRPr="00F34419">
          <w:rPr>
            <w:rStyle w:val="Hypertextovprepojenie"/>
            <w:szCs w:val="16"/>
          </w:rPr>
          <w:t>http://envirozataze.enviroportal.sk/Informacny-system</w:t>
        </w:r>
      </w:hyperlink>
    </w:p>
  </w:footnote>
  <w:footnote w:id="209">
    <w:p w:rsidR="00007508" w:rsidRDefault="00007508" w:rsidP="000A264B">
      <w:pPr>
        <w:pStyle w:val="Textpoznmkypodiarou"/>
      </w:pPr>
      <w:r w:rsidRPr="005810C3">
        <w:rPr>
          <w:rStyle w:val="Odkaznapoznmkupodiarou"/>
          <w:szCs w:val="16"/>
        </w:rPr>
        <w:footnoteRef/>
      </w:r>
      <w:r w:rsidRPr="005810C3">
        <w:rPr>
          <w:szCs w:val="16"/>
        </w:rPr>
        <w:t xml:space="preserve"> V roku 2012 vo VS bolo zamestnaných 345,5 tis. zamestnancov</w:t>
      </w:r>
    </w:p>
  </w:footnote>
  <w:footnote w:id="210">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Dlhodobý majetok tvoria všetky </w:t>
      </w:r>
      <w:r>
        <w:rPr>
          <w:szCs w:val="16"/>
        </w:rPr>
        <w:t>ak</w:t>
      </w:r>
      <w:r w:rsidRPr="005810C3">
        <w:rPr>
          <w:szCs w:val="16"/>
        </w:rPr>
        <w:t xml:space="preserve">tíva nehmotného </w:t>
      </w:r>
      <w:r>
        <w:rPr>
          <w:szCs w:val="16"/>
        </w:rPr>
        <w:t>a </w:t>
      </w:r>
      <w:r w:rsidRPr="005810C3">
        <w:rPr>
          <w:szCs w:val="16"/>
        </w:rPr>
        <w:t xml:space="preserve">hmotného charakteru, na </w:t>
      </w:r>
      <w:r>
        <w:rPr>
          <w:szCs w:val="16"/>
        </w:rPr>
        <w:t>k</w:t>
      </w:r>
      <w:r w:rsidRPr="005810C3">
        <w:rPr>
          <w:szCs w:val="16"/>
        </w:rPr>
        <w:t xml:space="preserve">toré má ekonomický </w:t>
      </w:r>
      <w:r>
        <w:rPr>
          <w:szCs w:val="16"/>
        </w:rPr>
        <w:t>s</w:t>
      </w:r>
      <w:r w:rsidRPr="005810C3">
        <w:rPr>
          <w:szCs w:val="16"/>
        </w:rPr>
        <w:t xml:space="preserve">ubjekt vlastnícke právo, </w:t>
      </w:r>
      <w:r>
        <w:rPr>
          <w:szCs w:val="16"/>
        </w:rPr>
        <w:t>a</w:t>
      </w:r>
      <w:r w:rsidRPr="005810C3">
        <w:rPr>
          <w:szCs w:val="16"/>
        </w:rPr>
        <w:t xml:space="preserve">lebo právo hospodárenia. Podľa údajov ŠÚ </w:t>
      </w:r>
      <w:r>
        <w:rPr>
          <w:szCs w:val="16"/>
        </w:rPr>
        <w:t>S</w:t>
      </w:r>
      <w:r w:rsidRPr="005810C3">
        <w:rPr>
          <w:szCs w:val="16"/>
        </w:rPr>
        <w:t xml:space="preserve">R </w:t>
      </w:r>
      <w:r>
        <w:rPr>
          <w:szCs w:val="16"/>
        </w:rPr>
        <w:t>k </w:t>
      </w:r>
      <w:r w:rsidRPr="005810C3">
        <w:rPr>
          <w:szCs w:val="16"/>
        </w:rPr>
        <w:t xml:space="preserve">31. 12. 2010 bol dlhodobý majetok v obstarávacích cenách podľa položiek </w:t>
      </w:r>
      <w:r>
        <w:rPr>
          <w:szCs w:val="16"/>
        </w:rPr>
        <w:t>a </w:t>
      </w:r>
      <w:r w:rsidRPr="005810C3">
        <w:rPr>
          <w:szCs w:val="16"/>
        </w:rPr>
        <w:t>ekonomických</w:t>
      </w:r>
      <w:r>
        <w:rPr>
          <w:szCs w:val="16"/>
        </w:rPr>
        <w:t xml:space="preserve"> </w:t>
      </w:r>
      <w:r w:rsidRPr="005810C3">
        <w:rPr>
          <w:szCs w:val="16"/>
        </w:rPr>
        <w:t>činností (</w:t>
      </w:r>
      <w:r>
        <w:rPr>
          <w:szCs w:val="16"/>
        </w:rPr>
        <w:t>S</w:t>
      </w:r>
      <w:r w:rsidRPr="005810C3">
        <w:rPr>
          <w:szCs w:val="16"/>
        </w:rPr>
        <w:t xml:space="preserve">K NACE Rev. 2) verejnej </w:t>
      </w:r>
      <w:r>
        <w:rPr>
          <w:szCs w:val="16"/>
        </w:rPr>
        <w:t>s</w:t>
      </w:r>
      <w:r w:rsidRPr="005810C3">
        <w:rPr>
          <w:szCs w:val="16"/>
        </w:rPr>
        <w:t xml:space="preserve">právy 21 mld. </w:t>
      </w:r>
      <w:r>
        <w:rPr>
          <w:szCs w:val="16"/>
        </w:rPr>
        <w:t xml:space="preserve">EUR </w:t>
      </w:r>
      <w:r w:rsidRPr="005810C3">
        <w:rPr>
          <w:szCs w:val="16"/>
        </w:rPr>
        <w:t xml:space="preserve">za odvetvím dodávka elektriny, plynu, pary </w:t>
      </w:r>
      <w:r>
        <w:rPr>
          <w:szCs w:val="16"/>
        </w:rPr>
        <w:t>a s</w:t>
      </w:r>
      <w:r w:rsidRPr="005810C3">
        <w:rPr>
          <w:szCs w:val="16"/>
        </w:rPr>
        <w:t xml:space="preserve">tudeného vzduchu </w:t>
      </w:r>
      <w:r>
        <w:rPr>
          <w:szCs w:val="16"/>
        </w:rPr>
        <w:t>s </w:t>
      </w:r>
      <w:r w:rsidRPr="005810C3">
        <w:rPr>
          <w:szCs w:val="16"/>
        </w:rPr>
        <w:t xml:space="preserve">22 mld. </w:t>
      </w:r>
      <w:r>
        <w:rPr>
          <w:szCs w:val="16"/>
        </w:rPr>
        <w:t>EUR</w:t>
      </w:r>
    </w:p>
  </w:footnote>
  <w:footnote w:id="211">
    <w:p w:rsidR="00007508" w:rsidRDefault="00007508" w:rsidP="000A264B">
      <w:pPr>
        <w:pStyle w:val="Textpoznmkypodiarou"/>
      </w:pPr>
      <w:r w:rsidRPr="005810C3">
        <w:rPr>
          <w:rStyle w:val="Odkaznapoznmkupodiarou"/>
          <w:szCs w:val="16"/>
        </w:rPr>
        <w:footnoteRef/>
      </w:r>
      <w:r w:rsidRPr="005810C3">
        <w:rPr>
          <w:szCs w:val="16"/>
        </w:rPr>
        <w:t xml:space="preserve"> </w:t>
      </w:r>
      <w:r>
        <w:rPr>
          <w:szCs w:val="16"/>
        </w:rPr>
        <w:t>S</w:t>
      </w:r>
      <w:r w:rsidRPr="005810C3">
        <w:rPr>
          <w:szCs w:val="16"/>
        </w:rPr>
        <w:t>práva o dlhodobej udržateľnosti verejných financií (december 2012); Rada pre rozpočtovú zodpovednosť, december 2012</w:t>
      </w:r>
    </w:p>
  </w:footnote>
  <w:footnote w:id="212">
    <w:p w:rsidR="00007508" w:rsidRDefault="00007508" w:rsidP="000A264B">
      <w:pPr>
        <w:pStyle w:val="Textpoznmkypodiarou"/>
      </w:pPr>
      <w:r w:rsidRPr="005810C3">
        <w:rPr>
          <w:rStyle w:val="Odkaznapoznmkupodiarou"/>
          <w:szCs w:val="16"/>
        </w:rPr>
        <w:footnoteRef/>
      </w:r>
      <w:r w:rsidRPr="005810C3">
        <w:rPr>
          <w:szCs w:val="16"/>
        </w:rPr>
        <w:t xml:space="preserve"> </w:t>
      </w:r>
      <w:r>
        <w:rPr>
          <w:szCs w:val="16"/>
        </w:rPr>
        <w:t>Ú</w:t>
      </w:r>
      <w:r w:rsidRPr="005810C3">
        <w:rPr>
          <w:szCs w:val="16"/>
        </w:rPr>
        <w:t xml:space="preserve">stavným zákonom </w:t>
      </w:r>
      <w:r>
        <w:rPr>
          <w:szCs w:val="16"/>
        </w:rPr>
        <w:t>s</w:t>
      </w:r>
      <w:r w:rsidRPr="005810C3">
        <w:rPr>
          <w:szCs w:val="16"/>
        </w:rPr>
        <w:t>tanovený na 50 % HDP</w:t>
      </w:r>
    </w:p>
  </w:footnote>
  <w:footnote w:id="213">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w:t>
      </w:r>
      <w:r w:rsidRPr="00894D52">
        <w:rPr>
          <w:szCs w:val="16"/>
        </w:rPr>
        <w:t xml:space="preserve">Worldwide Governance Indicators </w:t>
      </w:r>
      <w:r w:rsidRPr="005810C3">
        <w:rPr>
          <w:szCs w:val="16"/>
        </w:rPr>
        <w:t xml:space="preserve">(WGI) database, World Bank, 2012; hodnotí 6 oblastí: efektivita verejnej </w:t>
      </w:r>
      <w:r>
        <w:rPr>
          <w:szCs w:val="16"/>
        </w:rPr>
        <w:t>s</w:t>
      </w:r>
      <w:r w:rsidRPr="005810C3">
        <w:rPr>
          <w:szCs w:val="16"/>
        </w:rPr>
        <w:t xml:space="preserve">právy, </w:t>
      </w:r>
      <w:r>
        <w:rPr>
          <w:szCs w:val="16"/>
        </w:rPr>
        <w:t>s</w:t>
      </w:r>
      <w:r w:rsidRPr="005810C3">
        <w:rPr>
          <w:szCs w:val="16"/>
        </w:rPr>
        <w:t xml:space="preserve">loboda, politická </w:t>
      </w:r>
      <w:r>
        <w:rPr>
          <w:szCs w:val="16"/>
        </w:rPr>
        <w:t>s</w:t>
      </w:r>
      <w:r w:rsidRPr="005810C3">
        <w:rPr>
          <w:szCs w:val="16"/>
        </w:rPr>
        <w:t xml:space="preserve">tabilita, </w:t>
      </w:r>
      <w:r>
        <w:rPr>
          <w:szCs w:val="16"/>
        </w:rPr>
        <w:t>k</w:t>
      </w:r>
      <w:r w:rsidRPr="005810C3">
        <w:rPr>
          <w:szCs w:val="16"/>
        </w:rPr>
        <w:t xml:space="preserve">valita regulácie, vymožiteľnosť práva </w:t>
      </w:r>
      <w:r>
        <w:rPr>
          <w:szCs w:val="16"/>
        </w:rPr>
        <w:t>a k</w:t>
      </w:r>
      <w:r w:rsidRPr="005810C3">
        <w:rPr>
          <w:szCs w:val="16"/>
        </w:rPr>
        <w:t xml:space="preserve">ontrola </w:t>
      </w:r>
      <w:r>
        <w:rPr>
          <w:szCs w:val="16"/>
        </w:rPr>
        <w:t>k</w:t>
      </w:r>
      <w:r w:rsidRPr="005810C3">
        <w:rPr>
          <w:szCs w:val="16"/>
        </w:rPr>
        <w:t>orupcie</w:t>
      </w:r>
    </w:p>
  </w:footnote>
  <w:footnote w:id="214">
    <w:p w:rsidR="00007508" w:rsidRDefault="00007508" w:rsidP="000A264B">
      <w:pPr>
        <w:spacing w:before="0" w:after="0"/>
      </w:pPr>
      <w:r w:rsidRPr="005810C3">
        <w:rPr>
          <w:rStyle w:val="Odkaznapoznmkupodiarou"/>
          <w:rFonts w:asciiTheme="majorHAnsi" w:hAnsiTheme="majorHAnsi"/>
          <w:sz w:val="16"/>
          <w:szCs w:val="16"/>
        </w:rPr>
        <w:footnoteRef/>
      </w:r>
      <w:r w:rsidRPr="005810C3">
        <w:rPr>
          <w:rFonts w:asciiTheme="majorHAnsi" w:hAnsiTheme="majorHAnsi"/>
          <w:sz w:val="16"/>
          <w:szCs w:val="16"/>
        </w:rPr>
        <w:t xml:space="preserve"> Government </w:t>
      </w:r>
      <w:r>
        <w:rPr>
          <w:rFonts w:asciiTheme="majorHAnsi" w:hAnsiTheme="majorHAnsi"/>
          <w:sz w:val="16"/>
          <w:szCs w:val="16"/>
        </w:rPr>
        <w:t>a</w:t>
      </w:r>
      <w:r w:rsidRPr="005810C3">
        <w:rPr>
          <w:rFonts w:asciiTheme="majorHAnsi" w:hAnsiTheme="majorHAnsi"/>
          <w:sz w:val="16"/>
          <w:szCs w:val="16"/>
        </w:rPr>
        <w:t>t Glance, OECD, 2011</w:t>
      </w:r>
    </w:p>
  </w:footnote>
  <w:footnote w:id="215">
    <w:p w:rsidR="00007508" w:rsidRDefault="00007508" w:rsidP="000A264B">
      <w:pPr>
        <w:pStyle w:val="Textpoznmkypodiarou"/>
      </w:pPr>
      <w:r w:rsidRPr="005810C3">
        <w:rPr>
          <w:rStyle w:val="Odkaznapoznmkupodiarou"/>
          <w:szCs w:val="16"/>
        </w:rPr>
        <w:footnoteRef/>
      </w:r>
      <w:r w:rsidRPr="005810C3">
        <w:rPr>
          <w:szCs w:val="16"/>
        </w:rPr>
        <w:t xml:space="preserve"> Government to public</w:t>
      </w:r>
    </w:p>
  </w:footnote>
  <w:footnote w:id="216">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Napr. na úseku </w:t>
      </w:r>
      <w:r>
        <w:rPr>
          <w:szCs w:val="16"/>
        </w:rPr>
        <w:t>s</w:t>
      </w:r>
      <w:r w:rsidRPr="005810C3">
        <w:rPr>
          <w:szCs w:val="16"/>
        </w:rPr>
        <w:t xml:space="preserve">právy </w:t>
      </w:r>
      <w:r>
        <w:rPr>
          <w:szCs w:val="16"/>
        </w:rPr>
        <w:t>s</w:t>
      </w:r>
      <w:r w:rsidRPr="005810C3">
        <w:rPr>
          <w:szCs w:val="16"/>
        </w:rPr>
        <w:t xml:space="preserve">ociálnej </w:t>
      </w:r>
      <w:r>
        <w:rPr>
          <w:szCs w:val="16"/>
        </w:rPr>
        <w:t>s</w:t>
      </w:r>
      <w:r w:rsidRPr="005810C3">
        <w:rPr>
          <w:szCs w:val="16"/>
        </w:rPr>
        <w:t xml:space="preserve">tarostlivosti: Namiesto optimálneho počtu 300 nezamestnaných pripadá na jedného zamestnanca úradu práce 700 </w:t>
      </w:r>
      <w:r>
        <w:rPr>
          <w:szCs w:val="16"/>
        </w:rPr>
        <w:t>a</w:t>
      </w:r>
      <w:r w:rsidRPr="005810C3">
        <w:rPr>
          <w:szCs w:val="16"/>
        </w:rPr>
        <w:t xml:space="preserve">ž 900 </w:t>
      </w:r>
      <w:r>
        <w:rPr>
          <w:szCs w:val="16"/>
        </w:rPr>
        <w:t>k</w:t>
      </w:r>
      <w:r w:rsidRPr="005810C3">
        <w:rPr>
          <w:szCs w:val="16"/>
        </w:rPr>
        <w:t xml:space="preserve">lientov; zdroj </w:t>
      </w:r>
      <w:r>
        <w:rPr>
          <w:szCs w:val="16"/>
        </w:rPr>
        <w:t>S</w:t>
      </w:r>
      <w:r w:rsidRPr="005810C3">
        <w:rPr>
          <w:szCs w:val="16"/>
        </w:rPr>
        <w:t xml:space="preserve">právy </w:t>
      </w:r>
      <w:r>
        <w:rPr>
          <w:szCs w:val="16"/>
        </w:rPr>
        <w:t>S</w:t>
      </w:r>
      <w:r w:rsidRPr="005810C3">
        <w:rPr>
          <w:szCs w:val="16"/>
        </w:rPr>
        <w:t>TV 29. 03. 2012</w:t>
      </w:r>
    </w:p>
  </w:footnote>
  <w:footnote w:id="217">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w:t>
      </w:r>
      <w:r>
        <w:rPr>
          <w:szCs w:val="16"/>
        </w:rPr>
        <w:t>S</w:t>
      </w:r>
      <w:r w:rsidRPr="005810C3">
        <w:rPr>
          <w:szCs w:val="16"/>
        </w:rPr>
        <w:t xml:space="preserve">R mešká, </w:t>
      </w:r>
      <w:r>
        <w:rPr>
          <w:szCs w:val="16"/>
        </w:rPr>
        <w:t>a</w:t>
      </w:r>
      <w:r w:rsidRPr="005810C3">
        <w:rPr>
          <w:szCs w:val="16"/>
        </w:rPr>
        <w:t xml:space="preserve">lebo je ohrozené </w:t>
      </w:r>
      <w:r>
        <w:rPr>
          <w:szCs w:val="16"/>
        </w:rPr>
        <w:t>s</w:t>
      </w:r>
      <w:r w:rsidRPr="005810C3">
        <w:rPr>
          <w:szCs w:val="16"/>
        </w:rPr>
        <w:t xml:space="preserve">plnenie viacerých opatrení Digitálnej </w:t>
      </w:r>
      <w:r>
        <w:rPr>
          <w:szCs w:val="16"/>
        </w:rPr>
        <w:t>a</w:t>
      </w:r>
      <w:r w:rsidRPr="005810C3">
        <w:rPr>
          <w:szCs w:val="16"/>
        </w:rPr>
        <w:t xml:space="preserve">gendy. Ide najmä o opatrenia 89 (chýba rámec interoperability na národnej úrovni), 90 (jednotné </w:t>
      </w:r>
      <w:r>
        <w:rPr>
          <w:szCs w:val="16"/>
        </w:rPr>
        <w:t>k</w:t>
      </w:r>
      <w:r w:rsidRPr="005810C3">
        <w:rPr>
          <w:szCs w:val="16"/>
        </w:rPr>
        <w:t xml:space="preserve">ontaktné miesta), 91 (cezhraničné </w:t>
      </w:r>
      <w:r>
        <w:rPr>
          <w:szCs w:val="16"/>
        </w:rPr>
        <w:t>s</w:t>
      </w:r>
      <w:r w:rsidRPr="005810C3">
        <w:rPr>
          <w:szCs w:val="16"/>
        </w:rPr>
        <w:t>lužby), 96 (</w:t>
      </w:r>
      <w:r>
        <w:rPr>
          <w:szCs w:val="16"/>
        </w:rPr>
        <w:t>Eur</w:t>
      </w:r>
      <w:r w:rsidRPr="005810C3">
        <w:rPr>
          <w:szCs w:val="16"/>
        </w:rPr>
        <w:t xml:space="preserve">ópsky železničný IS); zdroj: </w:t>
      </w:r>
      <w:hyperlink r:id="rId47" w:history="1">
        <w:r w:rsidRPr="00A37578">
          <w:rPr>
            <w:rStyle w:val="Hypertextovprepojenie"/>
            <w:szCs w:val="16"/>
          </w:rPr>
          <w:t>http://daeimplementation.eu/dashboard2_actions.php</w:t>
        </w:r>
      </w:hyperlink>
      <w:r>
        <w:rPr>
          <w:szCs w:val="16"/>
        </w:rPr>
        <w:t xml:space="preserve"> </w:t>
      </w:r>
    </w:p>
  </w:footnote>
  <w:footnote w:id="218">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w:t>
      </w:r>
      <w:r>
        <w:rPr>
          <w:szCs w:val="16"/>
        </w:rPr>
        <w:t>P</w:t>
      </w:r>
      <w:r w:rsidRPr="005810C3">
        <w:rPr>
          <w:szCs w:val="16"/>
        </w:rPr>
        <w:t>rostredníctvom štandardov priestorového, technologického vybavenia</w:t>
      </w:r>
    </w:p>
  </w:footnote>
  <w:footnote w:id="219">
    <w:p w:rsidR="00007508" w:rsidRDefault="00007508" w:rsidP="002C7372">
      <w:pPr>
        <w:pStyle w:val="Textpoznmkypodiarou"/>
        <w:ind w:left="170" w:hanging="170"/>
      </w:pPr>
      <w:r w:rsidRPr="005810C3">
        <w:rPr>
          <w:rStyle w:val="Odkaznapoznmkupodiarou"/>
          <w:szCs w:val="16"/>
        </w:rPr>
        <w:footnoteRef/>
      </w:r>
      <w:r w:rsidRPr="005810C3">
        <w:rPr>
          <w:szCs w:val="16"/>
        </w:rPr>
        <w:t xml:space="preserve"> </w:t>
      </w:r>
      <w:r>
        <w:rPr>
          <w:szCs w:val="16"/>
        </w:rPr>
        <w:t>N</w:t>
      </w:r>
      <w:r w:rsidRPr="005810C3">
        <w:rPr>
          <w:szCs w:val="16"/>
        </w:rPr>
        <w:t xml:space="preserve">a základe údajov ŠÚ bolo v roku 2008 evidovaných 7408 inštitúcií verejnej </w:t>
      </w:r>
      <w:r>
        <w:rPr>
          <w:szCs w:val="16"/>
        </w:rPr>
        <w:t>s</w:t>
      </w:r>
      <w:r w:rsidRPr="005810C3">
        <w:rPr>
          <w:szCs w:val="16"/>
        </w:rPr>
        <w:t xml:space="preserve">právy, z toho 3714 rozpočtových organizácií, 2926 obcí, 719 príspevkových organizácií </w:t>
      </w:r>
      <w:r>
        <w:rPr>
          <w:szCs w:val="16"/>
        </w:rPr>
        <w:t>a </w:t>
      </w:r>
      <w:r w:rsidRPr="005810C3">
        <w:rPr>
          <w:szCs w:val="16"/>
        </w:rPr>
        <w:t xml:space="preserve">ostatné (neziskové organizácie, verejnoprávne, </w:t>
      </w:r>
      <w:r>
        <w:rPr>
          <w:szCs w:val="16"/>
        </w:rPr>
        <w:t>S</w:t>
      </w:r>
      <w:r w:rsidRPr="009E4F7C">
        <w:rPr>
          <w:szCs w:val="16"/>
        </w:rPr>
        <w:t>K,</w:t>
      </w:r>
      <w:r w:rsidRPr="005810C3">
        <w:rPr>
          <w:szCs w:val="16"/>
        </w:rPr>
        <w:t xml:space="preserve"> podnikateľské </w:t>
      </w:r>
      <w:r>
        <w:rPr>
          <w:szCs w:val="16"/>
        </w:rPr>
        <w:t>s</w:t>
      </w:r>
      <w:r w:rsidRPr="005810C3">
        <w:rPr>
          <w:szCs w:val="16"/>
        </w:rPr>
        <w:t xml:space="preserve">ubjekty); Z 4406 rozpočtových </w:t>
      </w:r>
      <w:r>
        <w:rPr>
          <w:szCs w:val="16"/>
        </w:rPr>
        <w:t>a </w:t>
      </w:r>
      <w:r w:rsidRPr="005810C3">
        <w:rPr>
          <w:szCs w:val="16"/>
        </w:rPr>
        <w:t xml:space="preserve">príspevkových organizácií tvorili školy, gymnáziá </w:t>
      </w:r>
      <w:r>
        <w:rPr>
          <w:szCs w:val="16"/>
        </w:rPr>
        <w:t>a</w:t>
      </w:r>
      <w:r w:rsidRPr="005810C3">
        <w:rPr>
          <w:szCs w:val="16"/>
        </w:rPr>
        <w:t> </w:t>
      </w:r>
      <w:r>
        <w:rPr>
          <w:szCs w:val="16"/>
        </w:rPr>
        <w:t>VŠ</w:t>
      </w:r>
      <w:r w:rsidRPr="005810C3">
        <w:rPr>
          <w:szCs w:val="16"/>
        </w:rPr>
        <w:t xml:space="preserve"> 2629, 323 domovov (detských, </w:t>
      </w:r>
      <w:r>
        <w:rPr>
          <w:szCs w:val="16"/>
        </w:rPr>
        <w:t>s</w:t>
      </w:r>
      <w:r w:rsidRPr="005810C3">
        <w:rPr>
          <w:szCs w:val="16"/>
        </w:rPr>
        <w:t xml:space="preserve">ociálnych </w:t>
      </w:r>
      <w:r>
        <w:rPr>
          <w:szCs w:val="16"/>
        </w:rPr>
        <w:t>s</w:t>
      </w:r>
      <w:r w:rsidRPr="005810C3">
        <w:rPr>
          <w:szCs w:val="16"/>
        </w:rPr>
        <w:t>lužieb, dôchodcov, reedukačných domovov), 232 centier (pedagogicko</w:t>
      </w:r>
      <w:r>
        <w:rPr>
          <w:szCs w:val="16"/>
        </w:rPr>
        <w:t>-</w:t>
      </w:r>
      <w:r w:rsidRPr="005810C3">
        <w:rPr>
          <w:szCs w:val="16"/>
        </w:rPr>
        <w:t>psychologické, voľného času, ...)</w:t>
      </w:r>
    </w:p>
  </w:footnote>
  <w:footnote w:id="220">
    <w:p w:rsidR="00007508" w:rsidRDefault="00007508" w:rsidP="00E3425F">
      <w:pPr>
        <w:pStyle w:val="Textpoznmkypodiarou"/>
      </w:pPr>
      <w:r w:rsidRPr="005810C3">
        <w:rPr>
          <w:rStyle w:val="Odkaznapoznmkupodiarou"/>
          <w:szCs w:val="16"/>
        </w:rPr>
        <w:footnoteRef/>
      </w:r>
      <w:r w:rsidRPr="005810C3">
        <w:rPr>
          <w:szCs w:val="16"/>
        </w:rPr>
        <w:t xml:space="preserve"> </w:t>
      </w:r>
      <w:r>
        <w:rPr>
          <w:szCs w:val="16"/>
        </w:rPr>
        <w:t>Z</w:t>
      </w:r>
      <w:r w:rsidRPr="005810C3">
        <w:rPr>
          <w:szCs w:val="16"/>
        </w:rPr>
        <w:t xml:space="preserve">droj: rozpočet verejnej </w:t>
      </w:r>
      <w:r>
        <w:rPr>
          <w:szCs w:val="16"/>
        </w:rPr>
        <w:t>s</w:t>
      </w:r>
      <w:r w:rsidRPr="005810C3">
        <w:rPr>
          <w:szCs w:val="16"/>
        </w:rPr>
        <w:t>právy 2013</w:t>
      </w:r>
      <w:r>
        <w:rPr>
          <w:szCs w:val="16"/>
        </w:rPr>
        <w:t xml:space="preserve"> – </w:t>
      </w:r>
      <w:r w:rsidRPr="005810C3">
        <w:rPr>
          <w:szCs w:val="16"/>
        </w:rPr>
        <w:t>2015</w:t>
      </w:r>
    </w:p>
  </w:footnote>
  <w:footnote w:id="221">
    <w:p w:rsidR="00007508" w:rsidRDefault="00007508" w:rsidP="00671A61">
      <w:pPr>
        <w:pStyle w:val="Textpoznmkypodiarou"/>
        <w:ind w:left="170" w:hanging="170"/>
      </w:pPr>
      <w:r w:rsidRPr="009E4F7C">
        <w:rPr>
          <w:rStyle w:val="Odkaznapoznmkupodiarou"/>
          <w:szCs w:val="16"/>
        </w:rPr>
        <w:footnoteRef/>
      </w:r>
      <w:r w:rsidRPr="009E4F7C">
        <w:rPr>
          <w:szCs w:val="16"/>
        </w:rPr>
        <w:t xml:space="preserve"> Bližšie údaje </w:t>
      </w:r>
      <w:r>
        <w:rPr>
          <w:szCs w:val="16"/>
        </w:rPr>
        <w:t>s</w:t>
      </w:r>
      <w:r w:rsidRPr="009E4F7C">
        <w:rPr>
          <w:szCs w:val="16"/>
        </w:rPr>
        <w:t xml:space="preserve">ú uvedené </w:t>
      </w:r>
      <w:r>
        <w:rPr>
          <w:szCs w:val="16"/>
        </w:rPr>
        <w:t>v a</w:t>
      </w:r>
      <w:r w:rsidRPr="009E4F7C">
        <w:rPr>
          <w:szCs w:val="16"/>
        </w:rPr>
        <w:t xml:space="preserve">nalýze </w:t>
      </w:r>
      <w:r>
        <w:rPr>
          <w:szCs w:val="16"/>
        </w:rPr>
        <w:t>s</w:t>
      </w:r>
      <w:r w:rsidRPr="009E4F7C">
        <w:rPr>
          <w:szCs w:val="16"/>
        </w:rPr>
        <w:t xml:space="preserve">účasného </w:t>
      </w:r>
      <w:r>
        <w:rPr>
          <w:szCs w:val="16"/>
        </w:rPr>
        <w:t>s</w:t>
      </w:r>
      <w:r w:rsidRPr="009E4F7C">
        <w:rPr>
          <w:szCs w:val="16"/>
        </w:rPr>
        <w:t xml:space="preserve">tavu pre tematický cieľ </w:t>
      </w:r>
      <w:r w:rsidRPr="009E4F7C">
        <w:rPr>
          <w:bCs/>
          <w:szCs w:val="16"/>
        </w:rPr>
        <w:t xml:space="preserve">1) posilnenie výskumu, technologického rozvoja </w:t>
      </w:r>
      <w:r>
        <w:rPr>
          <w:bCs/>
          <w:szCs w:val="16"/>
        </w:rPr>
        <w:t>a </w:t>
      </w:r>
      <w:r w:rsidRPr="009E4F7C">
        <w:rPr>
          <w:bCs/>
          <w:szCs w:val="16"/>
        </w:rPr>
        <w:t xml:space="preserve">inovácií), 7) podpora udržateľnej dopravy </w:t>
      </w:r>
      <w:r>
        <w:rPr>
          <w:bCs/>
          <w:szCs w:val="16"/>
        </w:rPr>
        <w:t>a </w:t>
      </w:r>
      <w:r w:rsidRPr="009E4F7C">
        <w:rPr>
          <w:bCs/>
          <w:szCs w:val="16"/>
        </w:rPr>
        <w:t>odstraňovanie prekážok v</w:t>
      </w:r>
      <w:r>
        <w:rPr>
          <w:bCs/>
          <w:szCs w:val="16"/>
        </w:rPr>
        <w:t> k</w:t>
      </w:r>
      <w:r w:rsidRPr="009E4F7C">
        <w:rPr>
          <w:bCs/>
          <w:szCs w:val="16"/>
        </w:rPr>
        <w:t>ľúčových</w:t>
      </w:r>
      <w:r>
        <w:rPr>
          <w:bCs/>
          <w:szCs w:val="16"/>
        </w:rPr>
        <w:t xml:space="preserve"> s</w:t>
      </w:r>
      <w:r w:rsidRPr="009E4F7C">
        <w:rPr>
          <w:bCs/>
          <w:szCs w:val="16"/>
        </w:rPr>
        <w:t>ieťových infraštruktúrach</w:t>
      </w:r>
    </w:p>
  </w:footnote>
  <w:footnote w:id="222">
    <w:p w:rsidR="00007508" w:rsidRDefault="00007508" w:rsidP="00671A61">
      <w:pPr>
        <w:pStyle w:val="Textpoznmkypodiarou"/>
        <w:ind w:left="170" w:hanging="170"/>
      </w:pPr>
      <w:r>
        <w:rPr>
          <w:rStyle w:val="Odkaznapoznmkupodiarou"/>
        </w:rPr>
        <w:footnoteRef/>
      </w:r>
      <w:r>
        <w:t xml:space="preserve"> Vláda SR svojim uznesením č. 388/2013 zo dňa 10. 7. 2013 zriadila Riadiaci výbor pre koordináciu reformy verejnej správy v SR zodpovedný za zabezpečenie koordinácie plnenia úloh vyplývajúcich z národnej reformy verejnej správy. Riadiaci výbor predložil vláde SR 18. 12. 2013 materiál „Základné východiská reformy verejnej správy v SR“, ktorý reflektuje záväzok vlády SR realizovať komplexnú reformu verejnej správy naprieč všetkými segmentmi, kde sú vytvorené, spravované a rozvíjané verejné služby, pričom v ďalšej fáze budú definované východiská pre ďalší rozvoj reformných kompetencií v jednotlivých segmentoch verejnej správy, v súlade s identifikovanými prioritami</w:t>
      </w:r>
    </w:p>
  </w:footnote>
  <w:footnote w:id="223">
    <w:p w:rsidR="00007508" w:rsidRDefault="00007508" w:rsidP="00671A61">
      <w:pPr>
        <w:spacing w:before="0" w:after="0"/>
        <w:ind w:left="170" w:hanging="170"/>
      </w:pPr>
      <w:r w:rsidRPr="009E4F7C">
        <w:rPr>
          <w:rStyle w:val="Odkaznapoznmkupodiarou"/>
          <w:rFonts w:asciiTheme="majorHAnsi" w:hAnsiTheme="majorHAnsi"/>
          <w:sz w:val="16"/>
          <w:szCs w:val="16"/>
        </w:rPr>
        <w:footnoteRef/>
      </w:r>
      <w:r w:rsidRPr="009E4F7C">
        <w:rPr>
          <w:rFonts w:asciiTheme="majorHAnsi" w:hAnsiTheme="majorHAnsi"/>
          <w:sz w:val="16"/>
          <w:szCs w:val="16"/>
        </w:rPr>
        <w:t xml:space="preserve"> </w:t>
      </w:r>
      <w:r w:rsidRPr="009E4F7C">
        <w:rPr>
          <w:rFonts w:asciiTheme="majorHAnsi" w:hAnsiTheme="majorHAnsi"/>
          <w:noProof/>
          <w:sz w:val="16"/>
          <w:szCs w:val="16"/>
        </w:rPr>
        <w:t xml:space="preserve">Hlavným problémom je, že niektoré prierezové procesy neboli dotiahnuté dokonca. Chýba napríklad užšie prepojenie programového rozpočtovania </w:t>
      </w:r>
      <w:r>
        <w:rPr>
          <w:rFonts w:asciiTheme="majorHAnsi" w:hAnsiTheme="majorHAnsi"/>
          <w:noProof/>
          <w:sz w:val="16"/>
          <w:szCs w:val="16"/>
        </w:rPr>
        <w:t>s </w:t>
      </w:r>
      <w:r w:rsidRPr="009E4F7C">
        <w:rPr>
          <w:rFonts w:asciiTheme="majorHAnsi" w:hAnsiTheme="majorHAnsi"/>
          <w:noProof/>
          <w:sz w:val="16"/>
          <w:szCs w:val="16"/>
        </w:rPr>
        <w:t xml:space="preserve">tvorbou politík, voľnosť manažérov programov pri výbere mixu vstupov, presné monitorovanie </w:t>
      </w:r>
      <w:r>
        <w:rPr>
          <w:rFonts w:asciiTheme="majorHAnsi" w:hAnsiTheme="majorHAnsi"/>
          <w:noProof/>
          <w:sz w:val="16"/>
          <w:szCs w:val="16"/>
        </w:rPr>
        <w:t>a </w:t>
      </w:r>
      <w:r w:rsidRPr="009E4F7C">
        <w:rPr>
          <w:rFonts w:asciiTheme="majorHAnsi" w:hAnsiTheme="majorHAnsi"/>
          <w:noProof/>
          <w:sz w:val="16"/>
          <w:szCs w:val="16"/>
        </w:rPr>
        <w:t>hodnotenie</w:t>
      </w:r>
      <w:r>
        <w:rPr>
          <w:rFonts w:asciiTheme="majorHAnsi" w:hAnsiTheme="majorHAnsi"/>
          <w:noProof/>
          <w:sz w:val="16"/>
          <w:szCs w:val="16"/>
        </w:rPr>
        <w:t xml:space="preserve"> </w:t>
      </w:r>
      <w:r w:rsidRPr="009E4F7C">
        <w:rPr>
          <w:rFonts w:asciiTheme="majorHAnsi" w:hAnsiTheme="majorHAnsi"/>
          <w:noProof/>
          <w:sz w:val="16"/>
          <w:szCs w:val="16"/>
        </w:rPr>
        <w:t xml:space="preserve">programov, odmeňovanie zamestnancov na základe výsledkov </w:t>
      </w:r>
      <w:r>
        <w:rPr>
          <w:rFonts w:asciiTheme="majorHAnsi" w:hAnsiTheme="majorHAnsi"/>
          <w:noProof/>
          <w:sz w:val="16"/>
          <w:szCs w:val="16"/>
        </w:rPr>
        <w:t>a </w:t>
      </w:r>
      <w:r w:rsidRPr="009E4F7C">
        <w:rPr>
          <w:rFonts w:asciiTheme="majorHAnsi" w:hAnsiTheme="majorHAnsi"/>
          <w:noProof/>
          <w:sz w:val="16"/>
          <w:szCs w:val="16"/>
        </w:rPr>
        <w:t xml:space="preserve">v neposledom rade financovanie bežných výdavkov na základe štandardov </w:t>
      </w:r>
      <w:r>
        <w:rPr>
          <w:rFonts w:asciiTheme="majorHAnsi" w:hAnsiTheme="majorHAnsi"/>
          <w:noProof/>
          <w:sz w:val="16"/>
          <w:szCs w:val="16"/>
        </w:rPr>
        <w:t>a </w:t>
      </w:r>
      <w:r w:rsidRPr="009E4F7C">
        <w:rPr>
          <w:rFonts w:asciiTheme="majorHAnsi" w:hAnsiTheme="majorHAnsi"/>
          <w:noProof/>
          <w:sz w:val="16"/>
          <w:szCs w:val="16"/>
        </w:rPr>
        <w:t>normatív</w:t>
      </w:r>
    </w:p>
  </w:footnote>
  <w:footnote w:id="224">
    <w:p w:rsidR="00007508" w:rsidRDefault="00007508" w:rsidP="004E2940">
      <w:pPr>
        <w:pStyle w:val="Textpoznmkypodiarou"/>
      </w:pPr>
      <w:r>
        <w:rPr>
          <w:rStyle w:val="Odkaznapoznmkupodiarou"/>
          <w:szCs w:val="16"/>
        </w:rPr>
        <w:footnoteRef/>
      </w:r>
      <w:r>
        <w:rPr>
          <w:szCs w:val="16"/>
        </w:rPr>
        <w:t xml:space="preserve"> Zdroj: Eurostat</w:t>
      </w:r>
    </w:p>
  </w:footnote>
  <w:footnote w:id="225">
    <w:p w:rsidR="00007508" w:rsidRDefault="00007508" w:rsidP="004E2940">
      <w:pPr>
        <w:pStyle w:val="Textpoznmkypodiarou"/>
      </w:pPr>
      <w:r>
        <w:rPr>
          <w:rStyle w:val="Odkaznapoznmkupodiarou"/>
          <w:szCs w:val="16"/>
        </w:rPr>
        <w:footnoteRef/>
      </w:r>
      <w:r>
        <w:rPr>
          <w:szCs w:val="16"/>
        </w:rPr>
        <w:t xml:space="preserve"> Zdroj: Regionálna databáza ŠÚ SR, 2012</w:t>
      </w:r>
    </w:p>
  </w:footnote>
  <w:footnote w:id="226">
    <w:p w:rsidR="00007508" w:rsidRDefault="00007508" w:rsidP="00671A61">
      <w:pPr>
        <w:pStyle w:val="Textpoznmkypodiarou"/>
        <w:ind w:left="170" w:hanging="170"/>
      </w:pPr>
      <w:r w:rsidRPr="0090414A">
        <w:rPr>
          <w:rStyle w:val="Odkaznapoznmkupodiarou"/>
          <w:szCs w:val="16"/>
        </w:rPr>
        <w:footnoteRef/>
      </w:r>
      <w:r>
        <w:t xml:space="preserve"> </w:t>
      </w:r>
      <w:r w:rsidRPr="00CB7030">
        <w:rPr>
          <w:szCs w:val="16"/>
        </w:rPr>
        <w:t>Pod pojmom funkčná komplexnosť treba rozumieť potrebu zabezpečiť v</w:t>
      </w:r>
      <w:r>
        <w:rPr>
          <w:szCs w:val="16"/>
        </w:rPr>
        <w:t> </w:t>
      </w:r>
      <w:r w:rsidRPr="00CB7030">
        <w:rPr>
          <w:szCs w:val="16"/>
        </w:rPr>
        <w:t>území</w:t>
      </w:r>
      <w:r>
        <w:rPr>
          <w:szCs w:val="16"/>
        </w:rPr>
        <w:t xml:space="preserve"> </w:t>
      </w:r>
      <w:r w:rsidRPr="00CB7030">
        <w:rPr>
          <w:szCs w:val="16"/>
        </w:rPr>
        <w:t>nielen adekvátny počet nových pracovných miest, ale aj komplementárne základné i vyššie zariadenia sociálnej, obslužnej a</w:t>
      </w:r>
      <w:r>
        <w:rPr>
          <w:szCs w:val="16"/>
        </w:rPr>
        <w:t> </w:t>
      </w:r>
      <w:r w:rsidRPr="00CB7030">
        <w:rPr>
          <w:szCs w:val="16"/>
        </w:rPr>
        <w:t>voľnočasovej</w:t>
      </w:r>
      <w:r>
        <w:rPr>
          <w:szCs w:val="16"/>
        </w:rPr>
        <w:t xml:space="preserve"> </w:t>
      </w:r>
      <w:r w:rsidRPr="00CB7030">
        <w:rPr>
          <w:szCs w:val="16"/>
        </w:rPr>
        <w:t>vybavenosti tak, aby sa mobilita za týmito zariadeniami dopravnými prostriedkami skracovala a</w:t>
      </w:r>
      <w:r>
        <w:rPr>
          <w:szCs w:val="16"/>
        </w:rPr>
        <w:t> </w:t>
      </w:r>
      <w:r w:rsidRPr="00CB7030">
        <w:rPr>
          <w:szCs w:val="16"/>
        </w:rPr>
        <w:t>minimalizovala</w:t>
      </w:r>
    </w:p>
  </w:footnote>
  <w:footnote w:id="227">
    <w:p w:rsidR="00007508" w:rsidRDefault="00007508" w:rsidP="00671A61">
      <w:pPr>
        <w:pStyle w:val="Textpoznmkypodiarou"/>
        <w:ind w:left="170" w:hanging="170"/>
      </w:pPr>
      <w:r>
        <w:rPr>
          <w:szCs w:val="16"/>
          <w:vertAlign w:val="superscript"/>
        </w:rPr>
        <w:footnoteRef/>
      </w:r>
      <w:r>
        <w:rPr>
          <w:szCs w:val="16"/>
          <w:vertAlign w:val="superscript"/>
        </w:rPr>
        <w:t xml:space="preserve"> </w:t>
      </w:r>
      <w:r>
        <w:rPr>
          <w:szCs w:val="16"/>
        </w:rPr>
        <w:t>V r. 2012 vznikla v BSK ½ z celkového množstva podnikov s vysokou technologickou úrovňou a poznatkovo intenzívnymi službami. Ekonomická štruktúra v BSK vytvára dobré podmienky pre zhodnocovanie intelektuálneho potenciálu</w:t>
      </w:r>
    </w:p>
  </w:footnote>
  <w:footnote w:id="228">
    <w:p w:rsidR="00007508" w:rsidRDefault="00007508" w:rsidP="00671A61">
      <w:pPr>
        <w:pStyle w:val="Textpoznmkypodiarou"/>
        <w:ind w:left="170" w:hanging="170"/>
      </w:pPr>
      <w:r w:rsidRPr="008C33BB">
        <w:rPr>
          <w:szCs w:val="16"/>
          <w:vertAlign w:val="superscript"/>
        </w:rPr>
        <w:footnoteRef/>
      </w:r>
      <w:r w:rsidRPr="008C33BB">
        <w:rPr>
          <w:szCs w:val="16"/>
          <w:vertAlign w:val="superscript"/>
        </w:rPr>
        <w:t xml:space="preserve"> </w:t>
      </w:r>
      <w:r>
        <w:rPr>
          <w:szCs w:val="16"/>
        </w:rPr>
        <w:t>V BSK sú realizované viaceré aktivity na podporu bilaterálnej a multilaterálnej spolupráce MSP s priľahlými regiónmi a štátmi v štvoruholníku Bratislava – Viedeň – Györ – Brno (projekt CENTROPE). Región má dobré podmienky pre využívanie potenciálu multimodálneho dopravného systému Európy pozdĺž Dunaja, a tým napĺňanie cieľov Dunajskej stratégie v oblasti komerčnej prepravy (prioritné oblasti 1A, 1B) a socio-ekonomického rozvoja (prioritné oblasti 7 a 8, pričom prioritnú oblasť 7 koordinuje Slovensko).</w:t>
      </w:r>
      <w:r>
        <w:rPr>
          <w:rFonts w:ascii="Cambria" w:hAnsi="Cambria"/>
          <w:szCs w:val="16"/>
        </w:rPr>
        <w:t xml:space="preserve"> </w:t>
      </w:r>
      <w:r>
        <w:rPr>
          <w:szCs w:val="16"/>
        </w:rPr>
        <w:t>V súčasnom období na pôde STU začína pôsobiť regionálna pobočka Európskej aliancie pre inovácie (European Alliance for Innovation), pričom ide o prvú pobočku tejto organizácie v regióne Strednej a Východnej Európy. Cieľom aliancie je podpora vzniku inovatívnych start-upov  a spin-offov na základe poznatkov získaných z výskumov na akademickej pôde a vytváranie medzinárodných partnerstiev podnikov a vedecko-výskumných inštitúcií pre výskum a inovácie</w:t>
      </w:r>
    </w:p>
  </w:footnote>
  <w:footnote w:id="229">
    <w:p w:rsidR="00007508" w:rsidRDefault="00007508" w:rsidP="00671A61">
      <w:pPr>
        <w:pStyle w:val="Textpoznmkypodiarou"/>
        <w:ind w:left="170" w:hanging="170"/>
      </w:pPr>
      <w:r>
        <w:rPr>
          <w:rStyle w:val="Odkaznapoznmkupodiarou"/>
          <w:szCs w:val="16"/>
        </w:rPr>
        <w:footnoteRef/>
      </w:r>
      <w:r>
        <w:rPr>
          <w:szCs w:val="16"/>
        </w:rPr>
        <w:t xml:space="preserve"> Táto skutočnosť je osobitne významná v prípade nástrojov rizikového kapitálu, nakoľko slovenský trh je, bez histórie a funkčných nástrojov kapitálového financovania, v tejto oblasti veľmi nerozvinutý, čo v kombinácii s nepriaznivou veľkostnou štruktúrou a nízkou kapitalizáciou MSP vytvára výrazne prekážky pre ekonomickú realizovateľnosť produktov. Bez zahrnutia celého územia, vrátane BSK s potenciálom generovania inovatívnych podnikateľských projektov, bude len málo pravdepodobné, že sa tieto produkty podarí efektívne realizovať, čoho dôkazom je aj súčasná problematická príprava nástrojov rizikového kapitálu v rámci iniciatívy JEREMIE</w:t>
      </w:r>
    </w:p>
  </w:footnote>
  <w:footnote w:id="230">
    <w:p w:rsidR="00007508" w:rsidRDefault="00007508" w:rsidP="004E2940">
      <w:pPr>
        <w:pStyle w:val="Textpoznmkypodiarou"/>
      </w:pPr>
      <w:r>
        <w:rPr>
          <w:rStyle w:val="Odkaznapoznmkupodiarou"/>
          <w:szCs w:val="16"/>
        </w:rPr>
        <w:footnoteRef/>
      </w:r>
      <w:r>
        <w:rPr>
          <w:rStyle w:val="Odkaznapoznmkupodiarou"/>
          <w:szCs w:val="16"/>
        </w:rPr>
        <w:t xml:space="preserve"> </w:t>
      </w:r>
      <w:r>
        <w:rPr>
          <w:szCs w:val="16"/>
        </w:rPr>
        <w:t xml:space="preserve">Zdroj: </w:t>
      </w:r>
      <w:r w:rsidRPr="008D105A">
        <w:rPr>
          <w:szCs w:val="16"/>
        </w:rPr>
        <w:t>Slovenská technická univerzita v Bratislave, Univerzita Komenského v</w:t>
      </w:r>
      <w:r>
        <w:rPr>
          <w:szCs w:val="16"/>
        </w:rPr>
        <w:t> </w:t>
      </w:r>
      <w:r w:rsidRPr="008D105A">
        <w:rPr>
          <w:szCs w:val="16"/>
        </w:rPr>
        <w:t>Bratislave</w:t>
      </w:r>
    </w:p>
  </w:footnote>
  <w:footnote w:id="231">
    <w:p w:rsidR="00007508" w:rsidRDefault="00007508" w:rsidP="00671A61">
      <w:pPr>
        <w:pStyle w:val="Textpoznmkypodiarou"/>
        <w:ind w:left="170" w:hanging="170"/>
      </w:pPr>
      <w:r w:rsidRPr="003A1245">
        <w:rPr>
          <w:rStyle w:val="Odkaznapoznmkupodiarou"/>
          <w:szCs w:val="16"/>
        </w:rPr>
        <w:footnoteRef/>
      </w:r>
      <w:r w:rsidRPr="003A1245">
        <w:t xml:space="preserve"> </w:t>
      </w:r>
      <w:r w:rsidRPr="003A1245">
        <w:rPr>
          <w:szCs w:val="16"/>
        </w:rPr>
        <w:t>„Poznatkami k prosperite – Stratégia výskumu a inovácií pre inteligentnú špecializáciu Slovenskej republiky“ - RIS3</w:t>
      </w:r>
      <w:r>
        <w:rPr>
          <w:szCs w:val="16"/>
        </w:rPr>
        <w:t xml:space="preserve"> </w:t>
      </w:r>
      <w:r w:rsidRPr="003A1245">
        <w:rPr>
          <w:szCs w:val="16"/>
        </w:rPr>
        <w:t>schválená vládou SR 13. novembra 2013</w:t>
      </w:r>
    </w:p>
  </w:footnote>
  <w:footnote w:id="232">
    <w:p w:rsidR="00007508" w:rsidRPr="00151A40" w:rsidRDefault="00007508" w:rsidP="00671A61">
      <w:pPr>
        <w:pStyle w:val="Textpoznmkypodiarou"/>
        <w:ind w:left="170" w:hanging="170"/>
        <w:rPr>
          <w:szCs w:val="16"/>
        </w:rPr>
      </w:pPr>
      <w:r>
        <w:rPr>
          <w:rStyle w:val="Odkaznapoznmkupodiarou"/>
        </w:rPr>
        <w:footnoteRef/>
      </w:r>
      <w:r>
        <w:t xml:space="preserve"> </w:t>
      </w:r>
      <w:r w:rsidRPr="003F0750">
        <w:rPr>
          <w:szCs w:val="16"/>
        </w:rPr>
        <w:t>Výkonnosť Slovenska je v tejto oblasti politiky trvalo pod priemerom EÚ (napr. MSP, ktoré poskytujú svojím zamestnancom odbornú prípravu – 8</w:t>
      </w:r>
      <w:r>
        <w:rPr>
          <w:szCs w:val="16"/>
        </w:rPr>
        <w:t xml:space="preserve"> </w:t>
      </w:r>
      <w:r w:rsidRPr="003F0750">
        <w:rPr>
          <w:szCs w:val="16"/>
        </w:rPr>
        <w:t>% bodov pod priemerom, MSP ktoré realizujú vnútropodnikové inovácie – 15</w:t>
      </w:r>
      <w:r>
        <w:rPr>
          <w:szCs w:val="16"/>
        </w:rPr>
        <w:t xml:space="preserve"> </w:t>
      </w:r>
      <w:r w:rsidRPr="003F0750">
        <w:rPr>
          <w:szCs w:val="16"/>
        </w:rPr>
        <w:t xml:space="preserve">% bodov pod priemerom). Zdroj: </w:t>
      </w:r>
      <w:hyperlink r:id="rId48" w:history="1">
        <w:r w:rsidRPr="00E9004E">
          <w:rPr>
            <w:rStyle w:val="Hypertextovprepojenie"/>
            <w:szCs w:val="16"/>
          </w:rPr>
          <w:t>http://ec.europa.eu/enterprise/policies/sme/facts-figures-analysis/performance-review/files/countries-sheets/2013/slovakia_sk.pdf</w:t>
        </w:r>
      </w:hyperlink>
    </w:p>
  </w:footnote>
  <w:footnote w:id="233">
    <w:p w:rsidR="00007508" w:rsidRPr="00151A40" w:rsidRDefault="00007508" w:rsidP="00671A61">
      <w:pPr>
        <w:pStyle w:val="Textpoznmkypodiarou"/>
        <w:ind w:left="170" w:hanging="170"/>
        <w:rPr>
          <w:szCs w:val="16"/>
        </w:rPr>
      </w:pPr>
      <w:r>
        <w:rPr>
          <w:rStyle w:val="Odkaznapoznmkupodiarou"/>
        </w:rPr>
        <w:footnoteRef/>
      </w:r>
      <w:r>
        <w:t xml:space="preserve"> </w:t>
      </w:r>
      <w:r w:rsidRPr="003F0750">
        <w:rPr>
          <w:szCs w:val="16"/>
        </w:rPr>
        <w:t>V</w:t>
      </w:r>
      <w:r>
        <w:rPr>
          <w:szCs w:val="16"/>
        </w:rPr>
        <w:t> </w:t>
      </w:r>
      <w:r w:rsidRPr="003F0750">
        <w:rPr>
          <w:szCs w:val="16"/>
        </w:rPr>
        <w:t>zmysle zákona č. 184/2009 o</w:t>
      </w:r>
      <w:r>
        <w:rPr>
          <w:szCs w:val="16"/>
        </w:rPr>
        <w:t> </w:t>
      </w:r>
      <w:r w:rsidRPr="003F0750">
        <w:rPr>
          <w:szCs w:val="16"/>
        </w:rPr>
        <w:t>odbornom vzdelávaní a</w:t>
      </w:r>
      <w:r>
        <w:rPr>
          <w:szCs w:val="16"/>
        </w:rPr>
        <w:t> </w:t>
      </w:r>
      <w:r w:rsidRPr="003F0750">
        <w:rPr>
          <w:szCs w:val="16"/>
        </w:rPr>
        <w:t>príprave a</w:t>
      </w:r>
      <w:r>
        <w:rPr>
          <w:szCs w:val="16"/>
        </w:rPr>
        <w:t> </w:t>
      </w:r>
      <w:r w:rsidRPr="003F0750">
        <w:rPr>
          <w:szCs w:val="16"/>
        </w:rPr>
        <w:t>o zmene a</w:t>
      </w:r>
      <w:r>
        <w:rPr>
          <w:szCs w:val="16"/>
        </w:rPr>
        <w:t> </w:t>
      </w:r>
      <w:r w:rsidRPr="003F0750">
        <w:rPr>
          <w:szCs w:val="16"/>
        </w:rPr>
        <w:t>doplnení niektorých zákonov mimo iného zabezpečuje praktické vyučovanie v</w:t>
      </w:r>
      <w:r>
        <w:rPr>
          <w:szCs w:val="16"/>
        </w:rPr>
        <w:t> </w:t>
      </w:r>
      <w:r w:rsidRPr="003F0750">
        <w:rPr>
          <w:szCs w:val="16"/>
        </w:rPr>
        <w:t xml:space="preserve">rámci </w:t>
      </w:r>
      <w:r>
        <w:rPr>
          <w:szCs w:val="16"/>
        </w:rPr>
        <w:t>celej</w:t>
      </w:r>
      <w:r w:rsidRPr="003F0750">
        <w:rPr>
          <w:szCs w:val="16"/>
        </w:rPr>
        <w:t xml:space="preserve"> SR v</w:t>
      </w:r>
      <w:r>
        <w:rPr>
          <w:szCs w:val="16"/>
        </w:rPr>
        <w:t> </w:t>
      </w:r>
      <w:r w:rsidRPr="003F0750">
        <w:rPr>
          <w:szCs w:val="16"/>
        </w:rPr>
        <w:t>totožných alebo príbuzných odboroch, pripravuje učiteľov odborných predmetov a</w:t>
      </w:r>
      <w:r>
        <w:rPr>
          <w:szCs w:val="16"/>
        </w:rPr>
        <w:t> </w:t>
      </w:r>
      <w:r w:rsidRPr="003F0750">
        <w:rPr>
          <w:szCs w:val="16"/>
        </w:rPr>
        <w:t>majstrov odbornej prípravy na nové technológie, pripravuje odborníkov na základe požiadaviek firiem</w:t>
      </w:r>
    </w:p>
  </w:footnote>
  <w:footnote w:id="234">
    <w:p w:rsidR="00007508" w:rsidRDefault="00007508" w:rsidP="004E2940">
      <w:pPr>
        <w:pStyle w:val="Textpoznmkypodiarou"/>
      </w:pPr>
      <w:r w:rsidRPr="003A1245">
        <w:rPr>
          <w:rStyle w:val="Odkaznapoznmkupodiarou"/>
          <w:szCs w:val="16"/>
        </w:rPr>
        <w:footnoteRef/>
      </w:r>
      <w:r w:rsidRPr="003A1245">
        <w:rPr>
          <w:szCs w:val="16"/>
        </w:rPr>
        <w:t xml:space="preserve"> Právnické osoby</w:t>
      </w:r>
    </w:p>
  </w:footnote>
  <w:footnote w:id="235">
    <w:p w:rsidR="00007508" w:rsidRDefault="00007508">
      <w:pPr>
        <w:pStyle w:val="Textpoznmkypodiarou"/>
      </w:pPr>
      <w:r>
        <w:rPr>
          <w:rStyle w:val="Odkaznapoznmkupodiarou"/>
        </w:rPr>
        <w:footnoteRef/>
      </w:r>
      <w:r>
        <w:t xml:space="preserve"> </w:t>
      </w:r>
      <w:r w:rsidRPr="006A4C6F">
        <w:t>ŠÚ SR, 2012</w:t>
      </w:r>
    </w:p>
  </w:footnote>
  <w:footnote w:id="236">
    <w:p w:rsidR="00007508" w:rsidRDefault="00007508" w:rsidP="00671A61">
      <w:pPr>
        <w:pStyle w:val="Textpoznmkypodiarou"/>
        <w:ind w:left="170" w:hanging="170"/>
      </w:pPr>
      <w:r w:rsidRPr="003A1245">
        <w:rPr>
          <w:rStyle w:val="Odkaznapoznmkupodiarou"/>
          <w:szCs w:val="16"/>
        </w:rPr>
        <w:footnoteRef/>
      </w:r>
      <w:r w:rsidRPr="003A1245">
        <w:rPr>
          <w:szCs w:val="16"/>
        </w:rPr>
        <w:t xml:space="preserve"> V tomto území sa koncentruje aj rozhodujúca časť subjektov kreatívneho priemyslu s vytvorenou infraštruktúrou pre rozvoj podnikateľských nápadov v tejto oblasti</w:t>
      </w:r>
      <w:r>
        <w:rPr>
          <w:szCs w:val="16"/>
        </w:rPr>
        <w:t xml:space="preserve">; </w:t>
      </w:r>
      <w:r w:rsidRPr="006A4C6F">
        <w:rPr>
          <w:szCs w:val="16"/>
        </w:rPr>
        <w:t>ŠÚ SR, 2012</w:t>
      </w:r>
    </w:p>
  </w:footnote>
  <w:footnote w:id="237">
    <w:p w:rsidR="00007508" w:rsidRDefault="00007508">
      <w:pPr>
        <w:pStyle w:val="Textpoznmkypodiarou"/>
      </w:pPr>
      <w:r>
        <w:rPr>
          <w:rStyle w:val="Odkaznapoznmkupodiarou"/>
        </w:rPr>
        <w:footnoteRef/>
      </w:r>
      <w:r>
        <w:t xml:space="preserve"> Datacentrum, 2011</w:t>
      </w:r>
    </w:p>
  </w:footnote>
  <w:footnote w:id="238">
    <w:p w:rsidR="00007508" w:rsidRDefault="00007508">
      <w:pPr>
        <w:pStyle w:val="Textpoznmkypodiarou"/>
      </w:pPr>
      <w:r>
        <w:rPr>
          <w:rStyle w:val="Odkaznapoznmkupodiarou"/>
        </w:rPr>
        <w:footnoteRef/>
      </w:r>
      <w:r>
        <w:t xml:space="preserve"> </w:t>
      </w:r>
      <w:r w:rsidRPr="00A1775B">
        <w:t xml:space="preserve">Zdroj: </w:t>
      </w:r>
      <w:r w:rsidRPr="00A1775B">
        <w:rPr>
          <w:bCs/>
        </w:rPr>
        <w:t>NARMSP, 2013, Financovanie mikropodnikov a začínajúcich podnikov</w:t>
      </w:r>
    </w:p>
  </w:footnote>
  <w:footnote w:id="239">
    <w:p w:rsidR="00007508" w:rsidRDefault="00007508" w:rsidP="004E2940">
      <w:pPr>
        <w:pStyle w:val="Textpoznmkypodiarou"/>
      </w:pPr>
      <w:r w:rsidRPr="003A1245">
        <w:rPr>
          <w:rStyle w:val="Odkaznapoznmkupodiarou"/>
          <w:szCs w:val="16"/>
        </w:rPr>
        <w:footnoteRef/>
      </w:r>
      <w:r w:rsidRPr="003A1245">
        <w:rPr>
          <w:szCs w:val="16"/>
        </w:rPr>
        <w:t xml:space="preserve"> Priemer za SR je 9 %</w:t>
      </w:r>
    </w:p>
  </w:footnote>
  <w:footnote w:id="240">
    <w:p w:rsidR="00007508" w:rsidRPr="00A4237C" w:rsidRDefault="00007508" w:rsidP="00671A61">
      <w:pPr>
        <w:spacing w:after="0"/>
        <w:ind w:left="170" w:hanging="170"/>
        <w:rPr>
          <w:szCs w:val="16"/>
        </w:rPr>
      </w:pPr>
      <w:r w:rsidRPr="003F0750">
        <w:rPr>
          <w:rStyle w:val="Odkaznapoznmkupodiarou"/>
          <w:rFonts w:asciiTheme="majorHAnsi" w:hAnsiTheme="majorHAnsi"/>
          <w:sz w:val="16"/>
          <w:szCs w:val="16"/>
        </w:rPr>
        <w:footnoteRef/>
      </w:r>
      <w:r>
        <w:t xml:space="preserve"> </w:t>
      </w:r>
      <w:r w:rsidRPr="00A4237C">
        <w:rPr>
          <w:rFonts w:asciiTheme="majorHAnsi" w:hAnsiTheme="majorHAnsi"/>
          <w:sz w:val="16"/>
          <w:szCs w:val="16"/>
        </w:rPr>
        <w:t>Navrhovaný model obchodných centier poskytujúci služby miest prvého kontaktu pre nové podniky spája viacero výhod. Rozsah činností centier a poskytnutých aktivít bude komplexnejší, vrátane inkubačných služieb, ale tiež pokrývajúci široký rozsah informácií, poradenských služieb a preto ponúkajúci podporu pre potencionálne väčšie portfolio podnikov ako obchodné/technologické inkubátory. Začínajúcim podnikom vstupujúcim do centra budú poskytnuté rôzne služby v závislosti od ich potrieb, ktoré budú kombinovať finančnú a nefinančnú podporu, pre niektorých z nich to bude poskytnutie priestoru pre ich činnosti a ďalšie inkubačné služby.</w:t>
      </w:r>
      <w:r>
        <w:rPr>
          <w:rFonts w:asciiTheme="majorHAnsi" w:hAnsiTheme="majorHAnsi"/>
          <w:sz w:val="16"/>
          <w:szCs w:val="16"/>
        </w:rPr>
        <w:t xml:space="preserve"> </w:t>
      </w:r>
      <w:r w:rsidRPr="00A4237C">
        <w:rPr>
          <w:rFonts w:asciiTheme="majorHAnsi" w:hAnsiTheme="majorHAnsi"/>
          <w:sz w:val="16"/>
          <w:szCs w:val="16"/>
        </w:rPr>
        <w:t>Obchodné centrá budú súčasťou siete, ktorá bude riadená jedným subjektom (Slovenská obchodná agentúra), ktorá má hlboké znalosti a skúsenosti zo slovenského podnikateľského prostredia. Toto bude zabezpečené profesionálnymi a kompetentnými zamestnancami, ktorí budú pravidelne školení, čo nebol prípad v predchádzajúcich existujúcich inkubátoroch. Súčasne obchodné centrá budú tvorené v spolupráci a s aktívnou účasťou regionálnych subjektov, ako napr. univerzity, regionálne agentúry, regionálne samosprávne orgány</w:t>
      </w:r>
      <w:r>
        <w:rPr>
          <w:rFonts w:asciiTheme="majorHAnsi" w:hAnsiTheme="majorHAnsi"/>
          <w:sz w:val="16"/>
          <w:szCs w:val="16"/>
        </w:rPr>
        <w:t>,</w:t>
      </w:r>
      <w:r w:rsidRPr="00A4237C">
        <w:rPr>
          <w:rFonts w:asciiTheme="majorHAnsi" w:hAnsiTheme="majorHAnsi"/>
          <w:sz w:val="16"/>
          <w:szCs w:val="16"/>
        </w:rPr>
        <w:t xml:space="preserve"> </w:t>
      </w:r>
      <w:r>
        <w:rPr>
          <w:rFonts w:asciiTheme="majorHAnsi" w:hAnsiTheme="majorHAnsi"/>
          <w:sz w:val="16"/>
          <w:szCs w:val="16"/>
        </w:rPr>
        <w:t>s</w:t>
      </w:r>
      <w:r w:rsidRPr="00A4237C">
        <w:rPr>
          <w:rFonts w:asciiTheme="majorHAnsi" w:hAnsiTheme="majorHAnsi"/>
          <w:sz w:val="16"/>
          <w:szCs w:val="16"/>
        </w:rPr>
        <w:t xml:space="preserve"> ktorých aktivitami budú prepojené, obzvlášť s regionálnymi technickými univerzitami, poprípade inštitúciami VaR alebo analytickými expertnými štruktúrami (tzv. think-tanky), ktoré majú kapacitu riadiť rozvoj technologicky založených spoločností. Takto bude možné zabezpečiť zapojenie a angažovanosť miestnych stakeholderov (ktorí sa nerealizovali v predošlých založených inkubátoroch) a tak zabezpečiť efektívnu podporu MSP. Následne, financovanie činností obchodných centier bude pozostávať z rôznych prvkov vrátane EÚ/verejnej podpory, projektov, regionálnych fondov, príspevky súkromných sektorov, alokovaných na rozličné aktivity</w:t>
      </w:r>
    </w:p>
  </w:footnote>
  <w:footnote w:id="241">
    <w:p w:rsidR="00007508" w:rsidRPr="003F0750" w:rsidRDefault="00007508" w:rsidP="00671A61">
      <w:pPr>
        <w:spacing w:before="0" w:after="0"/>
        <w:ind w:left="170" w:hanging="170"/>
        <w:rPr>
          <w:color w:val="FF0000"/>
          <w:szCs w:val="16"/>
          <w:highlight w:val="yellow"/>
        </w:rPr>
      </w:pPr>
      <w:r w:rsidRPr="00A4237C">
        <w:rPr>
          <w:rFonts w:asciiTheme="majorHAnsi" w:hAnsiTheme="majorHAnsi"/>
          <w:sz w:val="16"/>
          <w:szCs w:val="16"/>
          <w:vertAlign w:val="superscript"/>
        </w:rPr>
        <w:footnoteRef/>
      </w:r>
      <w:r w:rsidRPr="00A4237C">
        <w:rPr>
          <w:rFonts w:asciiTheme="majorHAnsi" w:hAnsiTheme="majorHAnsi"/>
          <w:sz w:val="16"/>
          <w:szCs w:val="16"/>
          <w:vertAlign w:val="superscript"/>
        </w:rPr>
        <w:t xml:space="preserve"> </w:t>
      </w:r>
      <w:r w:rsidRPr="00A4237C">
        <w:rPr>
          <w:rFonts w:asciiTheme="majorHAnsi" w:hAnsiTheme="majorHAnsi"/>
          <w:sz w:val="16"/>
          <w:szCs w:val="16"/>
        </w:rPr>
        <w:t>Systém budovania inkubátorov bude vychádzať z jednotnej koncepcie, ktorá bude zohľadňovať potrebu, regionálne špecifiká, ako aj sektorové zameranie budúcej národnej siete inkubátorov vo všetkých oblastiach</w:t>
      </w:r>
    </w:p>
  </w:footnote>
  <w:footnote w:id="242">
    <w:p w:rsidR="00007508" w:rsidRDefault="00007508">
      <w:pPr>
        <w:pStyle w:val="Textpoznmkypodiarou"/>
      </w:pPr>
      <w:r w:rsidRPr="00F068CC">
        <w:rPr>
          <w:vertAlign w:val="superscript"/>
        </w:rPr>
        <w:footnoteRef/>
      </w:r>
      <w:r w:rsidRPr="00F068CC">
        <w:rPr>
          <w:szCs w:val="16"/>
        </w:rPr>
        <w:t xml:space="preserve"> Prehľad stavu ciest II. triedy v členení podľa </w:t>
      </w:r>
      <w:r>
        <w:rPr>
          <w:szCs w:val="16"/>
        </w:rPr>
        <w:t>samosprávnych krajov za rok 2012, SSC 2013</w:t>
      </w:r>
    </w:p>
  </w:footnote>
  <w:footnote w:id="243">
    <w:p w:rsidR="00007508" w:rsidRDefault="00007508" w:rsidP="009F723A">
      <w:pPr>
        <w:pStyle w:val="Textpoznmkypodiarou"/>
      </w:pPr>
      <w:r>
        <w:rPr>
          <w:rStyle w:val="Odkaznapoznmkupodiarou"/>
        </w:rPr>
        <w:footnoteRef/>
      </w:r>
      <w:r>
        <w:t xml:space="preserve"> Zdroj: Master Plan VÚC, str. 86</w:t>
      </w:r>
    </w:p>
  </w:footnote>
  <w:footnote w:id="244">
    <w:p w:rsidR="00007508" w:rsidRDefault="00007508" w:rsidP="004E2940">
      <w:pPr>
        <w:pStyle w:val="Textpoznmkypodiarou"/>
      </w:pPr>
      <w:r>
        <w:rPr>
          <w:rStyle w:val="Odkaznapoznmkupodiarou"/>
          <w:szCs w:val="16"/>
        </w:rPr>
        <w:footnoteRef/>
      </w:r>
      <w:r>
        <w:rPr>
          <w:szCs w:val="16"/>
        </w:rPr>
        <w:t xml:space="preserve"> Zdroj: Regionálna databáza ŠÚ SR, 2012, vlastný prepočet</w:t>
      </w:r>
    </w:p>
  </w:footnote>
  <w:footnote w:id="245">
    <w:p w:rsidR="00007508" w:rsidRDefault="00007508" w:rsidP="004E2940">
      <w:pPr>
        <w:pStyle w:val="Textpoznmkypodiarou"/>
      </w:pPr>
      <w:r>
        <w:rPr>
          <w:rStyle w:val="Odkaznapoznmkupodiarou"/>
          <w:szCs w:val="16"/>
        </w:rPr>
        <w:footnoteRef/>
      </w:r>
      <w:r>
        <w:rPr>
          <w:szCs w:val="16"/>
        </w:rPr>
        <w:t xml:space="preserve"> Zdroj: Regionálna databáza ŠÚ SR, 2012, vlastný prepočet</w:t>
      </w:r>
    </w:p>
  </w:footnote>
  <w:footnote w:id="246">
    <w:p w:rsidR="00007508" w:rsidRDefault="00007508" w:rsidP="00870F42">
      <w:pPr>
        <w:pStyle w:val="Textpoznmkypodiarou"/>
      </w:pPr>
      <w:r>
        <w:rPr>
          <w:rStyle w:val="Odkaznapoznmkupodiarou"/>
        </w:rPr>
        <w:footnoteRef/>
      </w:r>
      <w:r>
        <w:t xml:space="preserve"> Zdroj: </w:t>
      </w:r>
      <w:r w:rsidRPr="00FC1E8B">
        <w:t>Štatistické zisťovanie o cene práce ISCP (MPSVR SR) 1-04, Výpočty: TREXIMA Bratislava</w:t>
      </w:r>
    </w:p>
  </w:footnote>
  <w:footnote w:id="247">
    <w:p w:rsidR="00007508" w:rsidRDefault="00007508">
      <w:pPr>
        <w:pStyle w:val="Textpoznmkypodiarou"/>
      </w:pPr>
      <w:r>
        <w:rPr>
          <w:rStyle w:val="Odkaznapoznmkupodiarou"/>
        </w:rPr>
        <w:footnoteRef/>
      </w:r>
      <w:r>
        <w:t xml:space="preserve"> Zdroj: Štatistický úrad SR, 2011, Prognóza vývoja obyvateľstva v okresoch SR do roku 2025, VDC, INFOSTAT, 2008</w:t>
      </w:r>
    </w:p>
  </w:footnote>
  <w:footnote w:id="248">
    <w:p w:rsidR="00007508" w:rsidRDefault="00007508" w:rsidP="004E2940">
      <w:pPr>
        <w:pStyle w:val="Textpoznmkypodiarou"/>
      </w:pPr>
      <w:r>
        <w:rPr>
          <w:rStyle w:val="Odkaznapoznmkupodiarou"/>
          <w:szCs w:val="16"/>
        </w:rPr>
        <w:footnoteRef/>
      </w:r>
      <w:r>
        <w:rPr>
          <w:szCs w:val="16"/>
        </w:rPr>
        <w:t xml:space="preserve"> Zdroj: Regionálna databáza ŠÚ SR, 2012</w:t>
      </w:r>
    </w:p>
  </w:footnote>
  <w:footnote w:id="249">
    <w:p w:rsidR="00007508" w:rsidRDefault="00007508" w:rsidP="004E2940">
      <w:pPr>
        <w:pStyle w:val="Textpoznmkypodiarou"/>
      </w:pPr>
      <w:r w:rsidRPr="001920C5">
        <w:rPr>
          <w:rStyle w:val="Odkaznapoznmkupodiarou"/>
          <w:szCs w:val="16"/>
        </w:rPr>
        <w:footnoteRef/>
      </w:r>
      <w:r w:rsidRPr="001920C5">
        <w:rPr>
          <w:szCs w:val="16"/>
        </w:rPr>
        <w:t xml:space="preserve"> Zdroj: Štatistický úrad SR, 2012 </w:t>
      </w:r>
      <w:hyperlink r:id="rId49" w:history="1">
        <w:r w:rsidRPr="001920C5">
          <w:rPr>
            <w:rStyle w:val="Hypertextovprepojenie"/>
            <w:szCs w:val="16"/>
          </w:rPr>
          <w:t>http://portal.statistics.sk/files/ru_publikacia_2012.pdf</w:t>
        </w:r>
      </w:hyperlink>
      <w:r w:rsidRPr="001920C5">
        <w:rPr>
          <w:szCs w:val="16"/>
        </w:rPr>
        <w:t xml:space="preserve"> </w:t>
      </w:r>
    </w:p>
  </w:footnote>
  <w:footnote w:id="250">
    <w:p w:rsidR="00007508" w:rsidRDefault="00007508" w:rsidP="004E2940">
      <w:pPr>
        <w:pStyle w:val="Textpoznmkypodiarou"/>
      </w:pPr>
      <w:r w:rsidRPr="001920C5">
        <w:rPr>
          <w:szCs w:val="16"/>
          <w:vertAlign w:val="superscript"/>
        </w:rPr>
        <w:footnoteRef/>
      </w:r>
      <w:r w:rsidRPr="001920C5">
        <w:rPr>
          <w:szCs w:val="16"/>
        </w:rPr>
        <w:t xml:space="preserve"> Zdroj: Výskumné demografické centrum</w:t>
      </w:r>
    </w:p>
  </w:footnote>
  <w:footnote w:id="251">
    <w:p w:rsidR="00007508" w:rsidRDefault="00007508" w:rsidP="00716BAA">
      <w:pPr>
        <w:pStyle w:val="Textpoznmkypodiarou"/>
      </w:pPr>
      <w:r>
        <w:rPr>
          <w:rStyle w:val="Odkaznapoznmkupodiarou"/>
        </w:rPr>
        <w:footnoteRef/>
      </w:r>
      <w:r>
        <w:t xml:space="preserve"> </w:t>
      </w:r>
      <w:r w:rsidRPr="00503CBD">
        <w:t>Zdroj: Eurostat http://epp.eurostat.ec.europa.eu/tgm/table.do?tab=table&amp;init=1&amp;language=en&amp;pcode=tps00179&amp;plugin=1</w:t>
      </w:r>
    </w:p>
  </w:footnote>
  <w:footnote w:id="252">
    <w:p w:rsidR="00007508" w:rsidRDefault="00007508" w:rsidP="004E2940">
      <w:pPr>
        <w:pStyle w:val="Textpoznmkypodiarou"/>
        <w:ind w:left="170" w:hanging="170"/>
      </w:pPr>
      <w:r w:rsidRPr="001920C5">
        <w:rPr>
          <w:rStyle w:val="Odkaznapoznmkupodiarou"/>
          <w:szCs w:val="16"/>
        </w:rPr>
        <w:footnoteRef/>
      </w:r>
      <w:r w:rsidRPr="001920C5">
        <w:rPr>
          <w:szCs w:val="16"/>
        </w:rPr>
        <w:t xml:space="preserve"> Zdroj: Eurostat </w:t>
      </w:r>
      <w:hyperlink r:id="rId50" w:history="1">
        <w:r w:rsidRPr="001920C5">
          <w:rPr>
            <w:rStyle w:val="Hypertextovprepojenie"/>
            <w:szCs w:val="16"/>
          </w:rPr>
          <w:t>http://epp.eurostat.ec.europa.eu/tgm/table.do?tab=table&amp;init=1&amp;language=en&amp;pcode=tgs00053&amp;plugin=1</w:t>
        </w:r>
      </w:hyperlink>
      <w:r w:rsidRPr="001920C5">
        <w:rPr>
          <w:szCs w:val="16"/>
        </w:rPr>
        <w:t xml:space="preserve"> pozn: tu je potrebné brať do úvahy, že </w:t>
      </w:r>
      <w:hyperlink r:id="rId51" w:history="1">
        <w:r w:rsidRPr="001920C5">
          <w:rPr>
            <w:szCs w:val="16"/>
          </w:rPr>
          <w:t>celková nezamestnanosť v BSK</w:t>
        </w:r>
      </w:hyperlink>
      <w:r w:rsidRPr="001920C5">
        <w:rPr>
          <w:szCs w:val="16"/>
        </w:rPr>
        <w:t xml:space="preserve"> je na úrovni 5,7 % za rok 2012, to znamená že dlhodobá nezamestnanosť je takmer polovica z celkovej nezamestnanosti v regióne</w:t>
      </w:r>
    </w:p>
  </w:footnote>
  <w:footnote w:id="253">
    <w:p w:rsidR="00007508" w:rsidRDefault="00007508" w:rsidP="004E2940">
      <w:pPr>
        <w:pStyle w:val="Textpoznmkypodiarou"/>
        <w:ind w:left="170" w:hanging="170"/>
      </w:pPr>
      <w:r w:rsidRPr="001920C5">
        <w:rPr>
          <w:rStyle w:val="Odkaznapoznmkupodiarou"/>
          <w:szCs w:val="16"/>
        </w:rPr>
        <w:footnoteRef/>
      </w:r>
      <w:r w:rsidRPr="001920C5">
        <w:rPr>
          <w:szCs w:val="16"/>
        </w:rPr>
        <w:t xml:space="preserve"> Zdroj: Eurostat </w:t>
      </w:r>
      <w:hyperlink r:id="rId52" w:history="1">
        <w:r w:rsidRPr="001920C5">
          <w:rPr>
            <w:rStyle w:val="Hypertextovprepojenie"/>
            <w:szCs w:val="16"/>
          </w:rPr>
          <w:t>http://epp.eurostat.ec.europa.eu/tgm/table.do?tab=table&amp;init=1&amp;language=en&amp;pcode=tsdsc440&amp;plugin=1</w:t>
        </w:r>
      </w:hyperlink>
      <w:r w:rsidRPr="001920C5">
        <w:rPr>
          <w:szCs w:val="16"/>
        </w:rPr>
        <w:t xml:space="preserve"> poznámka: Údaj za región nebo dostupný</w:t>
      </w:r>
    </w:p>
  </w:footnote>
  <w:footnote w:id="254">
    <w:p w:rsidR="00007508" w:rsidRDefault="00007508" w:rsidP="004E2940">
      <w:pPr>
        <w:pStyle w:val="Textpoznmkypodiarou"/>
      </w:pPr>
      <w:r w:rsidRPr="001920C5">
        <w:rPr>
          <w:rStyle w:val="Odkaznapoznmkupodiarou"/>
          <w:szCs w:val="16"/>
        </w:rPr>
        <w:footnoteRef/>
      </w:r>
      <w:r w:rsidRPr="001920C5">
        <w:rPr>
          <w:szCs w:val="16"/>
        </w:rPr>
        <w:t xml:space="preserve"> Zdroj: Eurostat </w:t>
      </w:r>
      <w:hyperlink r:id="rId53" w:history="1">
        <w:r w:rsidRPr="001920C5">
          <w:rPr>
            <w:rStyle w:val="Hypertextovprepojenie"/>
            <w:szCs w:val="16"/>
          </w:rPr>
          <w:t>http://epp.eurostat.ec.europa.eu/tgm/table.do?tab=table&amp;init=1&amp;language=en&amp;pcode=tsdec460&amp;plugin=1</w:t>
        </w:r>
      </w:hyperlink>
      <w:r>
        <w:rPr>
          <w:szCs w:val="16"/>
        </w:rPr>
        <w:t xml:space="preserve"> </w:t>
      </w:r>
    </w:p>
  </w:footnote>
  <w:footnote w:id="255">
    <w:p w:rsidR="00007508" w:rsidRDefault="00007508" w:rsidP="00716BAA">
      <w:pPr>
        <w:pStyle w:val="Textpoznmkypodiarou"/>
      </w:pPr>
      <w:r>
        <w:rPr>
          <w:rStyle w:val="Odkaznapoznmkupodiarou"/>
        </w:rPr>
        <w:footnoteRef/>
      </w:r>
      <w:r>
        <w:t xml:space="preserve"> Z</w:t>
      </w:r>
      <w:r w:rsidRPr="009B3B54">
        <w:t>droj</w:t>
      </w:r>
      <w:r>
        <w:t xml:space="preserve">: </w:t>
      </w:r>
      <w:r w:rsidRPr="009B3B54">
        <w:t xml:space="preserve"> </w:t>
      </w:r>
      <w:hyperlink r:id="rId54" w:history="1">
        <w:r w:rsidRPr="00A55A0E">
          <w:rPr>
            <w:rStyle w:val="Hypertextovprepojenie"/>
          </w:rPr>
          <w:t>www.nsrr.sk</w:t>
        </w:r>
      </w:hyperlink>
      <w:r>
        <w:t xml:space="preserve">. </w:t>
      </w:r>
      <w:r w:rsidRPr="009B3B54">
        <w:t xml:space="preserve"> V programovom období 2007</w:t>
      </w:r>
      <w:r>
        <w:t xml:space="preserve"> – </w:t>
      </w:r>
      <w:r w:rsidRPr="009B3B54">
        <w:t>2013</w:t>
      </w:r>
      <w:r>
        <w:t xml:space="preserve"> </w:t>
      </w:r>
      <w:r w:rsidRPr="009B3B54">
        <w:t>bolo alokovaných 10,4 mil. EUR na aktivity</w:t>
      </w:r>
      <w:r>
        <w:t xml:space="preserve"> ESF</w:t>
      </w:r>
      <w:r w:rsidRPr="009B3B54">
        <w:t xml:space="preserve"> v</w:t>
      </w:r>
      <w:r>
        <w:t> </w:t>
      </w:r>
      <w:r w:rsidRPr="009B3B54">
        <w:t>OP Vzdelávanie 2007</w:t>
      </w:r>
      <w:r>
        <w:t xml:space="preserve"> – </w:t>
      </w:r>
      <w:r w:rsidRPr="009B3B54">
        <w:t>2013</w:t>
      </w:r>
    </w:p>
  </w:footnote>
  <w:footnote w:id="256">
    <w:p w:rsidR="00007508" w:rsidRDefault="00007508" w:rsidP="00671A61">
      <w:pPr>
        <w:pStyle w:val="Textpoznmkypodiarou"/>
        <w:ind w:left="170" w:hanging="170"/>
      </w:pPr>
      <w:r>
        <w:rPr>
          <w:rStyle w:val="Odkaznapoznmkupodiarou"/>
        </w:rPr>
        <w:footnoteRef/>
      </w:r>
      <w:r>
        <w:t xml:space="preserve"> </w:t>
      </w:r>
      <w:r w:rsidRPr="00995EF7">
        <w:t xml:space="preserve">Výsledky 1. prieskumu v oblasti zamestnanosti </w:t>
      </w:r>
      <w:hyperlink r:id="rId55" w:history="1">
        <w:r w:rsidRPr="001107CE">
          <w:rPr>
            <w:rStyle w:val="Hypertextovprepojenie"/>
          </w:rPr>
          <w:t>http://www.deloitte.com/assets/Dcom-SlovakRepublic/Local%20Assets/Documents/np14/sk_Vysledky_z_prieskumu_1.pdf</w:t>
        </w:r>
      </w:hyperlink>
    </w:p>
  </w:footnote>
  <w:footnote w:id="257">
    <w:p w:rsidR="00007508" w:rsidRDefault="00007508" w:rsidP="00671A61">
      <w:pPr>
        <w:pStyle w:val="Textpoznmkypodiarou"/>
        <w:ind w:left="170" w:hanging="170"/>
      </w:pPr>
      <w:r>
        <w:rPr>
          <w:rStyle w:val="Odkaznapoznmkupodiarou"/>
        </w:rPr>
        <w:footnoteRef/>
      </w:r>
      <w:r>
        <w:t xml:space="preserve"> </w:t>
      </w:r>
      <w:r w:rsidRPr="00995EF7">
        <w:t xml:space="preserve">Výsledky celoslovenského testovania žiakov 9. ročníka ZŠ 2012/2013 </w:t>
      </w:r>
      <w:hyperlink r:id="rId56" w:history="1">
        <w:r w:rsidRPr="001107CE">
          <w:rPr>
            <w:rStyle w:val="Hypertextovprepojenie"/>
          </w:rPr>
          <w:t>http://www.nucem.sk/documents//26/testovanie_9_2013/vysledky/Vysledky_T9-2013_F.pdf</w:t>
        </w:r>
      </w:hyperlink>
    </w:p>
  </w:footnote>
  <w:footnote w:id="258">
    <w:p w:rsidR="00007508" w:rsidRDefault="00007508" w:rsidP="00671A61">
      <w:pPr>
        <w:pStyle w:val="Textpoznmkypodiarou"/>
        <w:ind w:left="170" w:hanging="170"/>
      </w:pPr>
      <w:r w:rsidRPr="001920C5">
        <w:rPr>
          <w:rStyle w:val="Odkaznapoznmkupodiarou"/>
          <w:szCs w:val="16"/>
        </w:rPr>
        <w:footnoteRef/>
      </w:r>
      <w:r w:rsidRPr="001920C5">
        <w:rPr>
          <w:szCs w:val="16"/>
        </w:rPr>
        <w:t xml:space="preserve"> Návrh koncepcie rozvoja výroby elektriny z malých obnoviteľných zdrojov, schválený uznesením vlády SR č. 347 zo dňa 3. júla 2013, </w:t>
      </w:r>
      <w:r>
        <w:rPr>
          <w:szCs w:val="16"/>
        </w:rPr>
        <w:br/>
      </w:r>
      <w:r w:rsidRPr="001920C5">
        <w:rPr>
          <w:szCs w:val="16"/>
        </w:rPr>
        <w:t xml:space="preserve">(v nadväznosti na schválenú koncepciu bola vypracovaná podporná štúdia) </w:t>
      </w:r>
      <w:r w:rsidRPr="001920C5">
        <w:rPr>
          <w:rFonts w:cs="Cambria"/>
          <w:szCs w:val="16"/>
        </w:rPr>
        <w:t>„Vplyv malých fotovoltických elektrární na distribučné sústavy“</w:t>
      </w:r>
    </w:p>
  </w:footnote>
  <w:footnote w:id="259">
    <w:p w:rsidR="00007508" w:rsidRDefault="00007508" w:rsidP="00A678A6">
      <w:pPr>
        <w:pStyle w:val="Textpoznmkypodiarou"/>
      </w:pPr>
      <w:r w:rsidRPr="00D828C9">
        <w:rPr>
          <w:rStyle w:val="Odkaznapoznmkupodiarou"/>
          <w:szCs w:val="16"/>
        </w:rPr>
        <w:footnoteRef/>
      </w:r>
      <w:r w:rsidRPr="00D828C9">
        <w:rPr>
          <w:rStyle w:val="Odkaznapoznmkupodiarou"/>
          <w:szCs w:val="16"/>
        </w:rPr>
        <w:t xml:space="preserve"> </w:t>
      </w:r>
      <w:r>
        <w:rPr>
          <w:szCs w:val="16"/>
        </w:rPr>
        <w:t>S</w:t>
      </w:r>
      <w:r w:rsidRPr="00D828C9">
        <w:rPr>
          <w:szCs w:val="16"/>
        </w:rPr>
        <w:t xml:space="preserve">tr. 38, </w:t>
      </w:r>
      <w:r>
        <w:rPr>
          <w:szCs w:val="16"/>
        </w:rPr>
        <w:t>k</w:t>
      </w:r>
      <w:r w:rsidRPr="00D828C9">
        <w:rPr>
          <w:szCs w:val="16"/>
        </w:rPr>
        <w:t xml:space="preserve">apitola 2.5.6. </w:t>
      </w:r>
      <w:r>
        <w:rPr>
          <w:szCs w:val="16"/>
        </w:rPr>
        <w:t>S</w:t>
      </w:r>
      <w:r w:rsidRPr="00D828C9">
        <w:rPr>
          <w:szCs w:val="16"/>
        </w:rPr>
        <w:t xml:space="preserve">tratégia výskumu </w:t>
      </w:r>
      <w:r>
        <w:rPr>
          <w:szCs w:val="16"/>
        </w:rPr>
        <w:t>a </w:t>
      </w:r>
      <w:r w:rsidRPr="00D828C9">
        <w:rPr>
          <w:szCs w:val="16"/>
        </w:rPr>
        <w:t xml:space="preserve">inovácií pre inteligentnú špecializáciu </w:t>
      </w:r>
      <w:r>
        <w:rPr>
          <w:szCs w:val="16"/>
        </w:rPr>
        <w:t>S</w:t>
      </w:r>
      <w:r w:rsidRPr="00D828C9">
        <w:rPr>
          <w:szCs w:val="16"/>
        </w:rPr>
        <w:t>lovenskej republiky</w:t>
      </w:r>
    </w:p>
  </w:footnote>
  <w:footnote w:id="260">
    <w:p w:rsidR="00007508" w:rsidRDefault="00007508" w:rsidP="00A678A6">
      <w:pPr>
        <w:pStyle w:val="Textpoznmkypodiarou"/>
      </w:pPr>
      <w:r w:rsidRPr="00D828C9">
        <w:rPr>
          <w:rStyle w:val="Odkaznapoznmkupodiarou"/>
          <w:szCs w:val="16"/>
        </w:rPr>
        <w:footnoteRef/>
      </w:r>
      <w:r w:rsidRPr="00D828C9">
        <w:rPr>
          <w:szCs w:val="16"/>
        </w:rPr>
        <w:t xml:space="preserve"> OP Výskum </w:t>
      </w:r>
      <w:r>
        <w:rPr>
          <w:szCs w:val="16"/>
        </w:rPr>
        <w:t>a </w:t>
      </w:r>
      <w:r w:rsidRPr="00D828C9">
        <w:rPr>
          <w:szCs w:val="16"/>
        </w:rPr>
        <w:t xml:space="preserve">vývoj, OP </w:t>
      </w:r>
      <w:r>
        <w:rPr>
          <w:szCs w:val="16"/>
        </w:rPr>
        <w:t>K</w:t>
      </w:r>
      <w:r w:rsidRPr="00D828C9">
        <w:rPr>
          <w:szCs w:val="16"/>
        </w:rPr>
        <w:t xml:space="preserve">onkurencieschopnosť </w:t>
      </w:r>
      <w:r>
        <w:rPr>
          <w:szCs w:val="16"/>
        </w:rPr>
        <w:t>a</w:t>
      </w:r>
      <w:r w:rsidRPr="00D828C9">
        <w:rPr>
          <w:szCs w:val="16"/>
        </w:rPr>
        <w:t xml:space="preserve"> hospodársky rast, OP Vzdelávanie, OP Informatizácia </w:t>
      </w:r>
      <w:r>
        <w:rPr>
          <w:szCs w:val="16"/>
        </w:rPr>
        <w:t>s</w:t>
      </w:r>
      <w:r w:rsidRPr="00D828C9">
        <w:rPr>
          <w:szCs w:val="16"/>
        </w:rPr>
        <w:t xml:space="preserve">poločnosti </w:t>
      </w:r>
      <w:r>
        <w:rPr>
          <w:szCs w:val="16"/>
        </w:rPr>
        <w:t>a</w:t>
      </w:r>
      <w:r w:rsidRPr="00D828C9">
        <w:rPr>
          <w:szCs w:val="16"/>
        </w:rPr>
        <w:t xml:space="preserve"> OP Bratislavský </w:t>
      </w:r>
      <w:r>
        <w:rPr>
          <w:szCs w:val="16"/>
        </w:rPr>
        <w:t>k</w:t>
      </w:r>
      <w:r w:rsidRPr="00D828C9">
        <w:rPr>
          <w:szCs w:val="16"/>
        </w:rPr>
        <w:t>raj</w:t>
      </w:r>
    </w:p>
  </w:footnote>
  <w:footnote w:id="261">
    <w:p w:rsidR="00007508" w:rsidRDefault="00007508" w:rsidP="00671A61">
      <w:pPr>
        <w:pStyle w:val="Textpoznmkypodiarou"/>
        <w:ind w:left="170" w:hanging="170"/>
      </w:pPr>
      <w:r w:rsidRPr="00D828C9">
        <w:rPr>
          <w:rStyle w:val="Odkaznapoznmkupodiarou"/>
          <w:szCs w:val="16"/>
        </w:rPr>
        <w:footnoteRef/>
      </w:r>
      <w:r w:rsidRPr="00D828C9">
        <w:rPr>
          <w:szCs w:val="16"/>
        </w:rPr>
        <w:t xml:space="preserve"> Typickým príkladom je výmena </w:t>
      </w:r>
      <w:r>
        <w:rPr>
          <w:szCs w:val="16"/>
        </w:rPr>
        <w:t>s</w:t>
      </w:r>
      <w:r w:rsidRPr="00D828C9">
        <w:rPr>
          <w:szCs w:val="16"/>
        </w:rPr>
        <w:t xml:space="preserve">tarej výrobnej linky za novú, </w:t>
      </w:r>
      <w:r>
        <w:rPr>
          <w:szCs w:val="16"/>
        </w:rPr>
        <w:t>a</w:t>
      </w:r>
      <w:r w:rsidRPr="00D828C9">
        <w:rPr>
          <w:szCs w:val="16"/>
        </w:rPr>
        <w:t xml:space="preserve">lebo výmena verejného osvetlenia, </w:t>
      </w:r>
      <w:r>
        <w:rPr>
          <w:szCs w:val="16"/>
        </w:rPr>
        <w:t>k</w:t>
      </w:r>
      <w:r w:rsidRPr="00D828C9">
        <w:rPr>
          <w:szCs w:val="16"/>
        </w:rPr>
        <w:t xml:space="preserve">toré bez ostatných štrukturálnych zmien neprinášajú potrebné efekty vo forme pridanej hodnoty </w:t>
      </w:r>
      <w:r>
        <w:rPr>
          <w:szCs w:val="16"/>
        </w:rPr>
        <w:t>a </w:t>
      </w:r>
      <w:r w:rsidRPr="00D828C9">
        <w:rPr>
          <w:szCs w:val="16"/>
        </w:rPr>
        <w:t>udržateľných pracovných miest</w:t>
      </w:r>
    </w:p>
  </w:footnote>
  <w:footnote w:id="262">
    <w:p w:rsidR="00007508" w:rsidRDefault="00007508" w:rsidP="00A678A6">
      <w:pPr>
        <w:pStyle w:val="Textpoznmkypodiarou"/>
      </w:pPr>
      <w:r w:rsidRPr="00D828C9">
        <w:rPr>
          <w:rStyle w:val="Odkaznapoznmkupodiarou"/>
          <w:szCs w:val="16"/>
        </w:rPr>
        <w:footnoteRef/>
      </w:r>
      <w:r w:rsidRPr="00D828C9">
        <w:rPr>
          <w:rStyle w:val="Odkaznapoznmkupodiarou"/>
          <w:szCs w:val="16"/>
        </w:rPr>
        <w:t xml:space="preserve"> </w:t>
      </w:r>
      <w:r w:rsidRPr="00D828C9">
        <w:rPr>
          <w:szCs w:val="16"/>
        </w:rPr>
        <w:t xml:space="preserve">Register organizácií Štatistického úradu </w:t>
      </w:r>
      <w:r>
        <w:rPr>
          <w:szCs w:val="16"/>
        </w:rPr>
        <w:t>S</w:t>
      </w:r>
      <w:r w:rsidRPr="00D828C9">
        <w:rPr>
          <w:szCs w:val="16"/>
        </w:rPr>
        <w:t xml:space="preserve">R, </w:t>
      </w:r>
      <w:r>
        <w:rPr>
          <w:szCs w:val="16"/>
        </w:rPr>
        <w:t>s</w:t>
      </w:r>
      <w:r w:rsidRPr="00D828C9">
        <w:rPr>
          <w:szCs w:val="16"/>
        </w:rPr>
        <w:t xml:space="preserve">tav </w:t>
      </w:r>
      <w:r>
        <w:rPr>
          <w:szCs w:val="16"/>
        </w:rPr>
        <w:t>k </w:t>
      </w:r>
      <w:r w:rsidRPr="00D828C9">
        <w:rPr>
          <w:szCs w:val="16"/>
        </w:rPr>
        <w:t>31.</w:t>
      </w:r>
      <w:r>
        <w:rPr>
          <w:szCs w:val="16"/>
        </w:rPr>
        <w:t xml:space="preserve"> </w:t>
      </w:r>
      <w:r w:rsidRPr="00D828C9">
        <w:rPr>
          <w:szCs w:val="16"/>
        </w:rPr>
        <w:t>12.</w:t>
      </w:r>
      <w:r>
        <w:rPr>
          <w:szCs w:val="16"/>
        </w:rPr>
        <w:t xml:space="preserve"> </w:t>
      </w:r>
      <w:r w:rsidRPr="00D828C9">
        <w:rPr>
          <w:szCs w:val="16"/>
        </w:rPr>
        <w:t>2012: 49</w:t>
      </w:r>
      <w:r>
        <w:rPr>
          <w:szCs w:val="16"/>
        </w:rPr>
        <w:t xml:space="preserve"> </w:t>
      </w:r>
      <w:r w:rsidRPr="00D828C9">
        <w:rPr>
          <w:szCs w:val="16"/>
        </w:rPr>
        <w:t>%</w:t>
      </w:r>
    </w:p>
  </w:footnote>
  <w:footnote w:id="263">
    <w:p w:rsidR="00007508" w:rsidRDefault="00007508" w:rsidP="00A678A6">
      <w:pPr>
        <w:pStyle w:val="Textpoznmkypodiarou"/>
        <w:ind w:left="284" w:hanging="284"/>
      </w:pPr>
      <w:r w:rsidRPr="00D828C9">
        <w:rPr>
          <w:rStyle w:val="Odkaznapoznmkupodiarou"/>
          <w:szCs w:val="16"/>
        </w:rPr>
        <w:footnoteRef/>
      </w:r>
      <w:r w:rsidRPr="00D828C9">
        <w:rPr>
          <w:szCs w:val="16"/>
        </w:rPr>
        <w:t xml:space="preserve"> </w:t>
      </w:r>
      <w:r>
        <w:rPr>
          <w:szCs w:val="16"/>
        </w:rPr>
        <w:t>Eur</w:t>
      </w:r>
      <w:r w:rsidRPr="00D828C9">
        <w:rPr>
          <w:szCs w:val="16"/>
        </w:rPr>
        <w:t xml:space="preserve">opean Innovation </w:t>
      </w:r>
      <w:r>
        <w:rPr>
          <w:szCs w:val="16"/>
        </w:rPr>
        <w:t>S</w:t>
      </w:r>
      <w:r w:rsidRPr="00D828C9">
        <w:rPr>
          <w:szCs w:val="16"/>
        </w:rPr>
        <w:t>coreboard 2013</w:t>
      </w:r>
    </w:p>
  </w:footnote>
  <w:footnote w:id="264">
    <w:p w:rsidR="00007508" w:rsidRDefault="00007508" w:rsidP="00671A61">
      <w:pPr>
        <w:pStyle w:val="Textpoznmkypodiarou"/>
        <w:ind w:left="170" w:hanging="170"/>
      </w:pPr>
      <w:r w:rsidRPr="00D828C9">
        <w:rPr>
          <w:rStyle w:val="Odkaznapoznmkupodiarou"/>
          <w:szCs w:val="16"/>
        </w:rPr>
        <w:footnoteRef/>
      </w:r>
      <w:r w:rsidRPr="00D828C9">
        <w:rPr>
          <w:szCs w:val="16"/>
        </w:rPr>
        <w:t xml:space="preserve"> „Poznatkami </w:t>
      </w:r>
      <w:r>
        <w:rPr>
          <w:szCs w:val="16"/>
        </w:rPr>
        <w:t>k </w:t>
      </w:r>
      <w:r w:rsidRPr="00D828C9">
        <w:rPr>
          <w:szCs w:val="16"/>
        </w:rPr>
        <w:t xml:space="preserve">prosperite – </w:t>
      </w:r>
      <w:r>
        <w:rPr>
          <w:szCs w:val="16"/>
        </w:rPr>
        <w:t>S</w:t>
      </w:r>
      <w:r w:rsidRPr="00D828C9">
        <w:rPr>
          <w:szCs w:val="16"/>
        </w:rPr>
        <w:t xml:space="preserve">tratégia výskumu </w:t>
      </w:r>
      <w:r>
        <w:rPr>
          <w:szCs w:val="16"/>
        </w:rPr>
        <w:t>a</w:t>
      </w:r>
      <w:r w:rsidRPr="00D828C9">
        <w:rPr>
          <w:szCs w:val="16"/>
        </w:rPr>
        <w:t xml:space="preserve"> inovácií pre inteligentnú špecializáciu </w:t>
      </w:r>
      <w:r>
        <w:rPr>
          <w:szCs w:val="16"/>
        </w:rPr>
        <w:t>S</w:t>
      </w:r>
      <w:r w:rsidRPr="00D828C9">
        <w:rPr>
          <w:szCs w:val="16"/>
        </w:rPr>
        <w:t xml:space="preserve">lovenskej republiky“ </w:t>
      </w:r>
      <w:r>
        <w:rPr>
          <w:szCs w:val="16"/>
        </w:rPr>
        <w:t>s</w:t>
      </w:r>
      <w:r w:rsidRPr="00D828C9">
        <w:rPr>
          <w:szCs w:val="16"/>
        </w:rPr>
        <w:t xml:space="preserve">chválená uznesením vlády </w:t>
      </w:r>
      <w:r>
        <w:rPr>
          <w:szCs w:val="16"/>
        </w:rPr>
        <w:t>S</w:t>
      </w:r>
      <w:r w:rsidRPr="00D828C9">
        <w:rPr>
          <w:szCs w:val="16"/>
        </w:rPr>
        <w:t>R č. 665/2013 zo dňa 13.</w:t>
      </w:r>
      <w:r>
        <w:rPr>
          <w:szCs w:val="16"/>
        </w:rPr>
        <w:t xml:space="preserve"> </w:t>
      </w:r>
      <w:r w:rsidRPr="00D828C9">
        <w:rPr>
          <w:szCs w:val="16"/>
        </w:rPr>
        <w:t>11.</w:t>
      </w:r>
      <w:r>
        <w:rPr>
          <w:szCs w:val="16"/>
        </w:rPr>
        <w:t xml:space="preserve"> </w:t>
      </w:r>
      <w:r w:rsidRPr="00D828C9">
        <w:rPr>
          <w:szCs w:val="16"/>
        </w:rPr>
        <w:t>2013</w:t>
      </w:r>
    </w:p>
  </w:footnote>
  <w:footnote w:id="265">
    <w:p w:rsidR="00007508" w:rsidRDefault="00007508" w:rsidP="00671A61">
      <w:pPr>
        <w:pStyle w:val="Textpoznmkypodiarou"/>
        <w:ind w:left="170" w:hanging="170"/>
      </w:pPr>
      <w:r w:rsidRPr="00D828C9">
        <w:rPr>
          <w:rStyle w:val="Odkaznapoznmkupodiarou"/>
          <w:szCs w:val="16"/>
        </w:rPr>
        <w:footnoteRef/>
      </w:r>
      <w:r w:rsidRPr="00D828C9">
        <w:rPr>
          <w:szCs w:val="16"/>
        </w:rPr>
        <w:t xml:space="preserve"> Odporúčanie Rady, </w:t>
      </w:r>
      <w:r>
        <w:rPr>
          <w:szCs w:val="16"/>
        </w:rPr>
        <w:t>k</w:t>
      </w:r>
      <w:r w:rsidRPr="00D828C9">
        <w:rPr>
          <w:szCs w:val="16"/>
        </w:rPr>
        <w:t xml:space="preserve">toré </w:t>
      </w:r>
      <w:r>
        <w:rPr>
          <w:szCs w:val="16"/>
        </w:rPr>
        <w:t>s</w:t>
      </w:r>
      <w:r w:rsidRPr="00D828C9">
        <w:rPr>
          <w:szCs w:val="16"/>
        </w:rPr>
        <w:t xml:space="preserve">a týka </w:t>
      </w:r>
      <w:r>
        <w:rPr>
          <w:szCs w:val="16"/>
        </w:rPr>
        <w:t xml:space="preserve">národného </w:t>
      </w:r>
      <w:r w:rsidRPr="00D828C9">
        <w:rPr>
          <w:szCs w:val="16"/>
        </w:rPr>
        <w:t xml:space="preserve">programu reforiem </w:t>
      </w:r>
      <w:r>
        <w:rPr>
          <w:szCs w:val="16"/>
        </w:rPr>
        <w:t>S</w:t>
      </w:r>
      <w:r w:rsidRPr="00D828C9">
        <w:rPr>
          <w:szCs w:val="16"/>
        </w:rPr>
        <w:t xml:space="preserve">lovenska na rok 2013 </w:t>
      </w:r>
      <w:r>
        <w:rPr>
          <w:szCs w:val="16"/>
        </w:rPr>
        <w:t>a k</w:t>
      </w:r>
      <w:r w:rsidRPr="00D828C9">
        <w:rPr>
          <w:szCs w:val="16"/>
        </w:rPr>
        <w:t xml:space="preserve">torým </w:t>
      </w:r>
      <w:r>
        <w:rPr>
          <w:szCs w:val="16"/>
        </w:rPr>
        <w:t>s</w:t>
      </w:r>
      <w:r w:rsidRPr="00D828C9">
        <w:rPr>
          <w:szCs w:val="16"/>
        </w:rPr>
        <w:t xml:space="preserve">a predkladá </w:t>
      </w:r>
      <w:r>
        <w:rPr>
          <w:szCs w:val="16"/>
        </w:rPr>
        <w:t>s</w:t>
      </w:r>
      <w:r w:rsidRPr="00D828C9">
        <w:rPr>
          <w:szCs w:val="16"/>
        </w:rPr>
        <w:t xml:space="preserve">tanovisko Rady </w:t>
      </w:r>
      <w:r>
        <w:rPr>
          <w:szCs w:val="16"/>
        </w:rPr>
        <w:t>k</w:t>
      </w:r>
      <w:r w:rsidRPr="00D828C9">
        <w:rPr>
          <w:szCs w:val="16"/>
        </w:rPr>
        <w:t xml:space="preserve"> programu </w:t>
      </w:r>
      <w:r>
        <w:rPr>
          <w:szCs w:val="16"/>
        </w:rPr>
        <w:t>s</w:t>
      </w:r>
      <w:r w:rsidRPr="00D828C9">
        <w:rPr>
          <w:szCs w:val="16"/>
        </w:rPr>
        <w:t xml:space="preserve">tability </w:t>
      </w:r>
      <w:r>
        <w:rPr>
          <w:szCs w:val="16"/>
        </w:rPr>
        <w:t>S</w:t>
      </w:r>
      <w:r w:rsidRPr="00D828C9">
        <w:rPr>
          <w:szCs w:val="16"/>
        </w:rPr>
        <w:t>lovenska na roky 2012 – 2016 (odporúčanie č. 4)</w:t>
      </w:r>
    </w:p>
  </w:footnote>
  <w:footnote w:id="266">
    <w:p w:rsidR="00007508" w:rsidRDefault="00007508" w:rsidP="00A678A6">
      <w:pPr>
        <w:pStyle w:val="Textpoznmkypodiarou"/>
      </w:pPr>
      <w:r w:rsidRPr="00D828C9">
        <w:rPr>
          <w:rStyle w:val="Odkaznapoznmkupodiarou"/>
          <w:szCs w:val="16"/>
        </w:rPr>
        <w:footnoteRef/>
      </w:r>
      <w:r w:rsidRPr="00D828C9">
        <w:rPr>
          <w:szCs w:val="16"/>
        </w:rPr>
        <w:t xml:space="preserve"> </w:t>
      </w:r>
      <w:r>
        <w:rPr>
          <w:szCs w:val="16"/>
        </w:rPr>
        <w:t>S</w:t>
      </w:r>
      <w:r w:rsidRPr="00D828C9">
        <w:rPr>
          <w:szCs w:val="16"/>
        </w:rPr>
        <w:t xml:space="preserve">tr. 53 </w:t>
      </w:r>
      <w:r>
        <w:rPr>
          <w:szCs w:val="16"/>
        </w:rPr>
        <w:t>a </w:t>
      </w:r>
      <w:r w:rsidRPr="00D828C9">
        <w:rPr>
          <w:szCs w:val="16"/>
        </w:rPr>
        <w:t xml:space="preserve">nasl. </w:t>
      </w:r>
      <w:r>
        <w:rPr>
          <w:szCs w:val="16"/>
        </w:rPr>
        <w:t>S</w:t>
      </w:r>
      <w:r w:rsidRPr="00D828C9">
        <w:rPr>
          <w:szCs w:val="16"/>
        </w:rPr>
        <w:t xml:space="preserve">tratégia výskumu </w:t>
      </w:r>
      <w:r>
        <w:rPr>
          <w:szCs w:val="16"/>
        </w:rPr>
        <w:t>a</w:t>
      </w:r>
      <w:r w:rsidRPr="00D828C9">
        <w:rPr>
          <w:szCs w:val="16"/>
        </w:rPr>
        <w:t xml:space="preserve"> inovácií pre inteligentnú špecializáciu </w:t>
      </w:r>
      <w:r>
        <w:rPr>
          <w:szCs w:val="16"/>
        </w:rPr>
        <w:t>S</w:t>
      </w:r>
      <w:r w:rsidRPr="00D828C9">
        <w:rPr>
          <w:szCs w:val="16"/>
        </w:rPr>
        <w:t>R</w:t>
      </w:r>
    </w:p>
  </w:footnote>
  <w:footnote w:id="267">
    <w:p w:rsidR="00007508" w:rsidRDefault="00007508">
      <w:pPr>
        <w:pStyle w:val="Textpoznmkypodiarou"/>
      </w:pPr>
      <w:r>
        <w:rPr>
          <w:rStyle w:val="Odkaznapoznmkupodiarou"/>
        </w:rPr>
        <w:footnoteRef/>
      </w:r>
      <w:r>
        <w:t xml:space="preserve"> </w:t>
      </w:r>
      <w:r w:rsidRPr="007B26BF">
        <w:t>Zvýšenie počtu nových, inovatívnych technológií OZE/nízkouhlíkových technológií</w:t>
      </w:r>
    </w:p>
  </w:footnote>
  <w:footnote w:id="268">
    <w:p w:rsidR="00007508" w:rsidRDefault="00007508" w:rsidP="00A678A6">
      <w:pPr>
        <w:pStyle w:val="Textpoznmkypodiarou"/>
      </w:pPr>
      <w:r w:rsidRPr="00D828C9">
        <w:rPr>
          <w:rStyle w:val="Odkaznapoznmkupodiarou"/>
          <w:szCs w:val="16"/>
        </w:rPr>
        <w:footnoteRef/>
      </w:r>
      <w:r w:rsidRPr="00D828C9">
        <w:rPr>
          <w:rStyle w:val="Odkaznapoznmkupodiarou"/>
          <w:szCs w:val="16"/>
        </w:rPr>
        <w:t xml:space="preserve"> </w:t>
      </w:r>
      <w:r w:rsidRPr="00D828C9">
        <w:rPr>
          <w:szCs w:val="16"/>
        </w:rPr>
        <w:t xml:space="preserve">Digitálna </w:t>
      </w:r>
      <w:r>
        <w:rPr>
          <w:szCs w:val="16"/>
        </w:rPr>
        <w:t>a</w:t>
      </w:r>
      <w:r w:rsidRPr="00D828C9">
        <w:rPr>
          <w:szCs w:val="16"/>
        </w:rPr>
        <w:t xml:space="preserve">genda pre </w:t>
      </w:r>
      <w:r>
        <w:rPr>
          <w:szCs w:val="16"/>
        </w:rPr>
        <w:t>Eur</w:t>
      </w:r>
      <w:r w:rsidRPr="00D828C9">
        <w:rPr>
          <w:szCs w:val="16"/>
        </w:rPr>
        <w:t xml:space="preserve">ópu, </w:t>
      </w:r>
      <w:r w:rsidRPr="00E11564">
        <w:rPr>
          <w:rStyle w:val="Hypertextovprepojenie"/>
          <w:rFonts w:cs="Calibri"/>
          <w:szCs w:val="16"/>
        </w:rPr>
        <w:t>http://eur-lex.europa.eu/LexUriServ/LexUriServ.do?uri=COM:2010:0245:FIN:SK:PDF</w:t>
      </w:r>
    </w:p>
  </w:footnote>
  <w:footnote w:id="269">
    <w:p w:rsidR="00007508" w:rsidRDefault="00007508" w:rsidP="00671A61">
      <w:pPr>
        <w:pStyle w:val="Textpoznmkypodiarou"/>
        <w:ind w:left="170" w:hanging="170"/>
      </w:pPr>
      <w:r w:rsidRPr="00D828C9">
        <w:rPr>
          <w:rStyle w:val="Odkaznapoznmkupodiarou"/>
          <w:szCs w:val="16"/>
        </w:rPr>
        <w:footnoteRef/>
      </w:r>
      <w:r w:rsidRPr="00D828C9">
        <w:rPr>
          <w:szCs w:val="16"/>
        </w:rPr>
        <w:t xml:space="preserve"> </w:t>
      </w:r>
      <w:hyperlink w:history="1"/>
      <w:r w:rsidRPr="00C068A2">
        <w:rPr>
          <w:rFonts w:cs="Calibri"/>
          <w:szCs w:val="16"/>
        </w:rPr>
        <w:t xml:space="preserve">Strategický dokument pre oblasť rastu digitálnych služieb a oblasť infraštruktúry prístupovej siete novej generácie (2014 – 2020), </w:t>
      </w:r>
      <w:hyperlink r:id="rId57" w:history="1">
        <w:r w:rsidRPr="001107CE">
          <w:rPr>
            <w:rStyle w:val="Hypertextovprepojenie"/>
            <w:rFonts w:cs="Calibri"/>
            <w:szCs w:val="16"/>
          </w:rPr>
          <w:t>http://www.rokovania.sk/Rokovanie.aspx/BodRokovaniaDetail?idMaterial=23177</w:t>
        </w:r>
      </w:hyperlink>
    </w:p>
  </w:footnote>
  <w:footnote w:id="270">
    <w:p w:rsidR="00007508" w:rsidRDefault="00007508" w:rsidP="00671A61">
      <w:pPr>
        <w:pStyle w:val="Textpoznmkypodiarou"/>
        <w:ind w:left="170" w:hanging="170"/>
      </w:pPr>
      <w:r>
        <w:rPr>
          <w:rStyle w:val="Odkaznapoznmkupodiarou"/>
        </w:rPr>
        <w:footnoteRef/>
      </w:r>
      <w:r>
        <w:t xml:space="preserve"> </w:t>
      </w:r>
      <w:r w:rsidRPr="002F29B8">
        <w:rPr>
          <w:rFonts w:cs="Calibri"/>
          <w:szCs w:val="16"/>
        </w:rPr>
        <w:t>Strategický</w:t>
      </w:r>
      <w:r w:rsidRPr="00C327AA">
        <w:t xml:space="preserve"> dokument pre oblasť rastu digitálnych služieb a oblasť infraštruktúry prístupovej siete novej generácie (2014 – 2020), </w:t>
      </w:r>
      <w:hyperlink r:id="rId58" w:history="1">
        <w:r w:rsidRPr="001107CE">
          <w:rPr>
            <w:rStyle w:val="Hypertextovprepojenie"/>
          </w:rPr>
          <w:t>http://www.rokovania.sk/Rokovanie.aspx/BodRokovaniaDetail?idMaterial=23177</w:t>
        </w:r>
      </w:hyperlink>
    </w:p>
  </w:footnote>
  <w:footnote w:id="271">
    <w:p w:rsidR="00007508" w:rsidRDefault="00007508" w:rsidP="00671A61">
      <w:pPr>
        <w:pStyle w:val="Textpoznmkypodiarou"/>
        <w:ind w:left="170" w:hanging="170"/>
      </w:pPr>
      <w:r w:rsidRPr="00D828C9">
        <w:rPr>
          <w:rStyle w:val="Odkaznapoznmkupodiarou"/>
          <w:szCs w:val="16"/>
        </w:rPr>
        <w:footnoteRef/>
      </w:r>
      <w:r w:rsidRPr="00D828C9">
        <w:t xml:space="preserve"> </w:t>
      </w:r>
      <w:r w:rsidRPr="002F29B8">
        <w:rPr>
          <w:rFonts w:cs="Calibri"/>
          <w:szCs w:val="16"/>
        </w:rPr>
        <w:t>Odporúčanie</w:t>
      </w:r>
      <w:r w:rsidRPr="00D828C9">
        <w:rPr>
          <w:szCs w:val="16"/>
        </w:rPr>
        <w:t xml:space="preserve"> Rady, </w:t>
      </w:r>
      <w:r>
        <w:rPr>
          <w:szCs w:val="16"/>
        </w:rPr>
        <w:t>k</w:t>
      </w:r>
      <w:r w:rsidRPr="00D828C9">
        <w:rPr>
          <w:szCs w:val="16"/>
        </w:rPr>
        <w:t xml:space="preserve">toré </w:t>
      </w:r>
      <w:r>
        <w:rPr>
          <w:szCs w:val="16"/>
        </w:rPr>
        <w:t>s</w:t>
      </w:r>
      <w:r w:rsidRPr="00D828C9">
        <w:rPr>
          <w:szCs w:val="16"/>
        </w:rPr>
        <w:t xml:space="preserve">a týka programu reforiem </w:t>
      </w:r>
      <w:r>
        <w:rPr>
          <w:szCs w:val="16"/>
        </w:rPr>
        <w:t>S</w:t>
      </w:r>
      <w:r w:rsidRPr="00D828C9">
        <w:rPr>
          <w:szCs w:val="16"/>
        </w:rPr>
        <w:t xml:space="preserve">lovenska na rok 2013 </w:t>
      </w:r>
      <w:r>
        <w:rPr>
          <w:szCs w:val="16"/>
        </w:rPr>
        <w:t>a</w:t>
      </w:r>
      <w:r w:rsidRPr="00D828C9">
        <w:rPr>
          <w:szCs w:val="16"/>
        </w:rPr>
        <w:t> </w:t>
      </w:r>
      <w:r>
        <w:rPr>
          <w:szCs w:val="16"/>
        </w:rPr>
        <w:t>k</w:t>
      </w:r>
      <w:r w:rsidRPr="00D828C9">
        <w:rPr>
          <w:szCs w:val="16"/>
        </w:rPr>
        <w:t xml:space="preserve">torým </w:t>
      </w:r>
      <w:r>
        <w:rPr>
          <w:szCs w:val="16"/>
        </w:rPr>
        <w:t>s</w:t>
      </w:r>
      <w:r w:rsidRPr="00D828C9">
        <w:rPr>
          <w:szCs w:val="16"/>
        </w:rPr>
        <w:t xml:space="preserve">a predkladá </w:t>
      </w:r>
      <w:r>
        <w:rPr>
          <w:szCs w:val="16"/>
        </w:rPr>
        <w:t>s</w:t>
      </w:r>
      <w:r w:rsidRPr="00D828C9">
        <w:rPr>
          <w:szCs w:val="16"/>
        </w:rPr>
        <w:t xml:space="preserve">tanovisko Rady </w:t>
      </w:r>
      <w:r>
        <w:rPr>
          <w:szCs w:val="16"/>
        </w:rPr>
        <w:t>k </w:t>
      </w:r>
      <w:r w:rsidRPr="00D828C9">
        <w:rPr>
          <w:szCs w:val="16"/>
        </w:rPr>
        <w:t xml:space="preserve">programu </w:t>
      </w:r>
      <w:r>
        <w:rPr>
          <w:szCs w:val="16"/>
        </w:rPr>
        <w:t>s</w:t>
      </w:r>
      <w:r w:rsidRPr="00D828C9">
        <w:rPr>
          <w:szCs w:val="16"/>
        </w:rPr>
        <w:t xml:space="preserve">tability </w:t>
      </w:r>
      <w:r>
        <w:rPr>
          <w:szCs w:val="16"/>
        </w:rPr>
        <w:t>S</w:t>
      </w:r>
      <w:r w:rsidRPr="00D828C9">
        <w:rPr>
          <w:szCs w:val="16"/>
        </w:rPr>
        <w:t>lovenska na roky 2012 – 2016 (odporúčanie č. 1)</w:t>
      </w:r>
    </w:p>
  </w:footnote>
  <w:footnote w:id="272">
    <w:p w:rsidR="00007508" w:rsidRDefault="00007508" w:rsidP="00671A61">
      <w:pPr>
        <w:pStyle w:val="Textpoznmkypodiarou"/>
        <w:ind w:left="170" w:hanging="170"/>
      </w:pPr>
      <w:r w:rsidRPr="00D828C9">
        <w:rPr>
          <w:rStyle w:val="Odkaznapoznmkupodiarou"/>
          <w:szCs w:val="16"/>
        </w:rPr>
        <w:footnoteRef/>
      </w:r>
      <w:r w:rsidRPr="00D828C9">
        <w:rPr>
          <w:szCs w:val="16"/>
        </w:rPr>
        <w:t xml:space="preserve"> </w:t>
      </w:r>
      <w:r w:rsidRPr="00C068A2">
        <w:rPr>
          <w:rFonts w:cs="Calibri"/>
          <w:szCs w:val="16"/>
        </w:rPr>
        <w:t xml:space="preserve">Strategický dokument pre oblasť rastu digitálnych služieb a oblasť infraštruktúry prístupovej siete novej generácie (2014 – 2020), </w:t>
      </w:r>
      <w:hyperlink r:id="rId59" w:history="1">
        <w:r w:rsidRPr="001107CE">
          <w:rPr>
            <w:rStyle w:val="Hypertextovprepojenie"/>
            <w:rFonts w:cs="Calibri"/>
            <w:szCs w:val="16"/>
          </w:rPr>
          <w:t>http://www.rokovania.sk/Rokovanie.aspx/BodRokovaniaDetail?idMaterial=23177</w:t>
        </w:r>
      </w:hyperlink>
    </w:p>
  </w:footnote>
  <w:footnote w:id="273">
    <w:p w:rsidR="00007508" w:rsidRDefault="00007508" w:rsidP="00A678A6">
      <w:pPr>
        <w:pStyle w:val="Textpoznmkypodiarou"/>
      </w:pPr>
      <w:r w:rsidRPr="00D828C9">
        <w:rPr>
          <w:rStyle w:val="Odkaznapoznmkupodiarou"/>
          <w:szCs w:val="16"/>
        </w:rPr>
        <w:footnoteRef/>
      </w:r>
      <w:r w:rsidRPr="00D828C9">
        <w:rPr>
          <w:szCs w:val="16"/>
        </w:rPr>
        <w:t xml:space="preserve"> Umiestnenie </w:t>
      </w:r>
      <w:r>
        <w:rPr>
          <w:szCs w:val="16"/>
        </w:rPr>
        <w:t>S</w:t>
      </w:r>
      <w:r w:rsidRPr="00D828C9">
        <w:rPr>
          <w:szCs w:val="16"/>
        </w:rPr>
        <w:t xml:space="preserve">lovenska </w:t>
      </w:r>
      <w:r>
        <w:rPr>
          <w:szCs w:val="16"/>
        </w:rPr>
        <w:t>s</w:t>
      </w:r>
      <w:r w:rsidRPr="00D828C9">
        <w:rPr>
          <w:szCs w:val="16"/>
        </w:rPr>
        <w:t xml:space="preserve">a pohybuje v rozmedzí posledných 6 miest v rámci </w:t>
      </w:r>
      <w:r>
        <w:rPr>
          <w:szCs w:val="16"/>
        </w:rPr>
        <w:t>krajín EÚ, Z</w:t>
      </w:r>
      <w:r w:rsidRPr="00D828C9">
        <w:rPr>
          <w:szCs w:val="16"/>
        </w:rPr>
        <w:t>droj: Eurostat</w:t>
      </w:r>
    </w:p>
  </w:footnote>
  <w:footnote w:id="274">
    <w:p w:rsidR="00007508" w:rsidRDefault="00007508" w:rsidP="00A678A6">
      <w:pPr>
        <w:pStyle w:val="Textpoznmkypodiarou"/>
      </w:pPr>
      <w:r w:rsidRPr="00D828C9">
        <w:rPr>
          <w:rStyle w:val="Odkaznapoznmkupodiarou"/>
          <w:szCs w:val="16"/>
        </w:rPr>
        <w:footnoteRef/>
      </w:r>
      <w:r w:rsidRPr="00D828C9">
        <w:rPr>
          <w:szCs w:val="16"/>
        </w:rPr>
        <w:t xml:space="preserve"> Register organizácií Štatistického úradu </w:t>
      </w:r>
      <w:r>
        <w:rPr>
          <w:szCs w:val="16"/>
        </w:rPr>
        <w:t>S</w:t>
      </w:r>
      <w:r w:rsidRPr="00D828C9">
        <w:rPr>
          <w:szCs w:val="16"/>
        </w:rPr>
        <w:t xml:space="preserve">R, </w:t>
      </w:r>
      <w:r>
        <w:rPr>
          <w:szCs w:val="16"/>
        </w:rPr>
        <w:t>s</w:t>
      </w:r>
      <w:r w:rsidRPr="00D828C9">
        <w:rPr>
          <w:szCs w:val="16"/>
        </w:rPr>
        <w:t xml:space="preserve">tav </w:t>
      </w:r>
      <w:r>
        <w:rPr>
          <w:szCs w:val="16"/>
        </w:rPr>
        <w:t>k </w:t>
      </w:r>
      <w:r w:rsidRPr="00D828C9">
        <w:rPr>
          <w:szCs w:val="16"/>
        </w:rPr>
        <w:t>31.</w:t>
      </w:r>
      <w:r>
        <w:rPr>
          <w:szCs w:val="16"/>
        </w:rPr>
        <w:t xml:space="preserve"> </w:t>
      </w:r>
      <w:r w:rsidRPr="00D828C9">
        <w:rPr>
          <w:szCs w:val="16"/>
        </w:rPr>
        <w:t>8.</w:t>
      </w:r>
      <w:r>
        <w:rPr>
          <w:szCs w:val="16"/>
        </w:rPr>
        <w:t xml:space="preserve"> </w:t>
      </w:r>
      <w:r w:rsidRPr="00D828C9">
        <w:rPr>
          <w:szCs w:val="16"/>
        </w:rPr>
        <w:t>2013: 50,6 %</w:t>
      </w:r>
    </w:p>
  </w:footnote>
  <w:footnote w:id="275">
    <w:p w:rsidR="00007508" w:rsidRDefault="00007508">
      <w:pPr>
        <w:pStyle w:val="Textpoznmkypodiarou"/>
      </w:pPr>
      <w:r>
        <w:rPr>
          <w:rStyle w:val="Odkaznapoznmkupodiarou"/>
        </w:rPr>
        <w:footnoteRef/>
      </w:r>
      <w:r>
        <w:t xml:space="preserve"> V prípade EPFRV pojem mimoriadne udalosti zahŕňa pojmy katastrofy a katastrofické udalosti v zmysle článku 2 nariadenia 1305/2013</w:t>
      </w:r>
    </w:p>
  </w:footnote>
  <w:footnote w:id="276">
    <w:p w:rsidR="00007508" w:rsidRDefault="00007508" w:rsidP="00A678A6">
      <w:pPr>
        <w:pStyle w:val="Textpoznmkypodiarou"/>
      </w:pPr>
      <w:r w:rsidRPr="00D828C9">
        <w:rPr>
          <w:rStyle w:val="Odkaznapoznmkupodiarou"/>
          <w:szCs w:val="16"/>
        </w:rPr>
        <w:footnoteRef/>
      </w:r>
      <w:r w:rsidRPr="00D828C9">
        <w:rPr>
          <w:szCs w:val="16"/>
        </w:rPr>
        <w:t xml:space="preserve"> </w:t>
      </w:r>
      <w:hyperlink r:id="rId60" w:history="1">
        <w:r w:rsidRPr="00C20F3A">
          <w:rPr>
            <w:rStyle w:val="Hypertextovprepojenie"/>
            <w:rFonts w:cs="Calibri"/>
            <w:szCs w:val="16"/>
          </w:rPr>
          <w:t>http://ec.europa.eu/enterprise/policies/sme/facts-figures-analysis/performance-review/files/countries-sheets/2013/slovakia_en.pdf</w:t>
        </w:r>
      </w:hyperlink>
    </w:p>
  </w:footnote>
  <w:footnote w:id="277">
    <w:p w:rsidR="00007508" w:rsidRDefault="00007508" w:rsidP="00671A61">
      <w:pPr>
        <w:pStyle w:val="Textpoznmkypodiarou"/>
        <w:ind w:left="170" w:hanging="170"/>
      </w:pPr>
      <w:r w:rsidRPr="00D828C9">
        <w:rPr>
          <w:rStyle w:val="Odkaznapoznmkupodiarou"/>
          <w:szCs w:val="16"/>
        </w:rPr>
        <w:footnoteRef/>
      </w:r>
      <w:r w:rsidRPr="00D828C9">
        <w:rPr>
          <w:szCs w:val="16"/>
        </w:rPr>
        <w:t xml:space="preserve"> Podľa prieskumu </w:t>
      </w:r>
      <w:r>
        <w:rPr>
          <w:szCs w:val="16"/>
        </w:rPr>
        <w:t>Euro</w:t>
      </w:r>
      <w:r w:rsidRPr="00D828C9">
        <w:rPr>
          <w:szCs w:val="16"/>
        </w:rPr>
        <w:t xml:space="preserve">statu je zastúpenie </w:t>
      </w:r>
      <w:r>
        <w:rPr>
          <w:szCs w:val="16"/>
        </w:rPr>
        <w:t>s</w:t>
      </w:r>
      <w:r w:rsidRPr="00D828C9">
        <w:rPr>
          <w:szCs w:val="16"/>
        </w:rPr>
        <w:t xml:space="preserve">lovenských </w:t>
      </w:r>
      <w:r>
        <w:rPr>
          <w:szCs w:val="16"/>
        </w:rPr>
        <w:t>k</w:t>
      </w:r>
      <w:r w:rsidRPr="00D828C9">
        <w:rPr>
          <w:szCs w:val="16"/>
        </w:rPr>
        <w:t xml:space="preserve">onzervovaných potravín v obchodných reťazcoch </w:t>
      </w:r>
      <w:r>
        <w:rPr>
          <w:szCs w:val="16"/>
        </w:rPr>
        <w:t>S</w:t>
      </w:r>
      <w:r w:rsidRPr="00D828C9">
        <w:rPr>
          <w:szCs w:val="16"/>
        </w:rPr>
        <w:t>R najnižšie. Podľa posledných štatistických údajov je zastúpenie domácej produkcie potravín v </w:t>
      </w:r>
      <w:r>
        <w:rPr>
          <w:szCs w:val="16"/>
        </w:rPr>
        <w:t>S</w:t>
      </w:r>
      <w:r w:rsidRPr="00D828C9">
        <w:rPr>
          <w:szCs w:val="16"/>
        </w:rPr>
        <w:t xml:space="preserve">R menej </w:t>
      </w:r>
      <w:r>
        <w:rPr>
          <w:szCs w:val="16"/>
        </w:rPr>
        <w:t>ak</w:t>
      </w:r>
      <w:r w:rsidRPr="00D828C9">
        <w:rPr>
          <w:szCs w:val="16"/>
        </w:rPr>
        <w:t xml:space="preserve">o 50 %, oproti tomu v Poľsku je to viac </w:t>
      </w:r>
      <w:r>
        <w:rPr>
          <w:szCs w:val="16"/>
        </w:rPr>
        <w:t>ak</w:t>
      </w:r>
      <w:r w:rsidRPr="00D828C9">
        <w:rPr>
          <w:szCs w:val="16"/>
        </w:rPr>
        <w:t xml:space="preserve">o 85 %, v ČR </w:t>
      </w:r>
      <w:r>
        <w:rPr>
          <w:szCs w:val="16"/>
        </w:rPr>
        <w:t>a</w:t>
      </w:r>
      <w:r w:rsidRPr="00D828C9">
        <w:rPr>
          <w:szCs w:val="16"/>
        </w:rPr>
        <w:t xml:space="preserve"> v Maďarsku viac </w:t>
      </w:r>
      <w:r>
        <w:rPr>
          <w:szCs w:val="16"/>
        </w:rPr>
        <w:t>ako 70 %</w:t>
      </w:r>
    </w:p>
  </w:footnote>
  <w:footnote w:id="278">
    <w:p w:rsidR="00007508" w:rsidRDefault="00007508" w:rsidP="00671A61">
      <w:pPr>
        <w:pStyle w:val="Textpoznmkypodiarou"/>
        <w:ind w:left="170" w:hanging="170"/>
      </w:pPr>
      <w:r>
        <w:rPr>
          <w:rStyle w:val="Odkaznapoznmkupodiarou"/>
        </w:rPr>
        <w:footnoteRef/>
      </w:r>
      <w:r>
        <w:t xml:space="preserve"> Dopravná telematika bude nasadzovaná v súlade s potrebami identifikovanými v Strategickom pláne rozvoja dopravnej infraštruktúry SR do roku 2020 (</w:t>
      </w:r>
      <w:hyperlink r:id="rId61" w:history="1">
        <w:r w:rsidRPr="00757E32">
          <w:rPr>
            <w:rStyle w:val="Hypertextovprepojenie"/>
            <w:szCs w:val="16"/>
          </w:rPr>
          <w:t>http://www.telecom.gov.sk/index/index.php?ids=147132</w:t>
        </w:r>
      </w:hyperlink>
      <w:r>
        <w:t>)</w:t>
      </w:r>
    </w:p>
  </w:footnote>
  <w:footnote w:id="279">
    <w:p w:rsidR="00007508" w:rsidRDefault="00007508" w:rsidP="00671A61">
      <w:pPr>
        <w:pStyle w:val="Textpoznmkypodiarou"/>
        <w:ind w:left="170" w:hanging="170"/>
      </w:pPr>
      <w:r w:rsidRPr="00D828C9">
        <w:rPr>
          <w:rStyle w:val="Odkaznapoznmkupodiarou"/>
          <w:szCs w:val="16"/>
        </w:rPr>
        <w:footnoteRef/>
      </w:r>
      <w:r w:rsidRPr="00D828C9">
        <w:t xml:space="preserve"> </w:t>
      </w:r>
      <w:r w:rsidRPr="00D828C9">
        <w:rPr>
          <w:szCs w:val="16"/>
        </w:rPr>
        <w:t xml:space="preserve">Odporúčanie Rady, </w:t>
      </w:r>
      <w:r>
        <w:rPr>
          <w:szCs w:val="16"/>
        </w:rPr>
        <w:t>k</w:t>
      </w:r>
      <w:r w:rsidRPr="00D828C9">
        <w:rPr>
          <w:szCs w:val="16"/>
        </w:rPr>
        <w:t xml:space="preserve">toré </w:t>
      </w:r>
      <w:r>
        <w:rPr>
          <w:szCs w:val="16"/>
        </w:rPr>
        <w:t>s</w:t>
      </w:r>
      <w:r w:rsidRPr="00D828C9">
        <w:rPr>
          <w:szCs w:val="16"/>
        </w:rPr>
        <w:t xml:space="preserve">a týka </w:t>
      </w:r>
      <w:r>
        <w:rPr>
          <w:szCs w:val="16"/>
        </w:rPr>
        <w:t xml:space="preserve">národného </w:t>
      </w:r>
      <w:r w:rsidRPr="00D828C9">
        <w:rPr>
          <w:szCs w:val="16"/>
        </w:rPr>
        <w:t xml:space="preserve">programu reforiem </w:t>
      </w:r>
      <w:r>
        <w:rPr>
          <w:szCs w:val="16"/>
        </w:rPr>
        <w:t>S</w:t>
      </w:r>
      <w:r w:rsidRPr="00D828C9">
        <w:rPr>
          <w:szCs w:val="16"/>
        </w:rPr>
        <w:t xml:space="preserve">lovenska na rok 2013 </w:t>
      </w:r>
      <w:r>
        <w:rPr>
          <w:szCs w:val="16"/>
        </w:rPr>
        <w:t>a</w:t>
      </w:r>
      <w:r w:rsidRPr="00D828C9">
        <w:rPr>
          <w:szCs w:val="16"/>
        </w:rPr>
        <w:t> </w:t>
      </w:r>
      <w:r>
        <w:rPr>
          <w:szCs w:val="16"/>
        </w:rPr>
        <w:t>k</w:t>
      </w:r>
      <w:r w:rsidRPr="00D828C9">
        <w:rPr>
          <w:szCs w:val="16"/>
        </w:rPr>
        <w:t xml:space="preserve">torým </w:t>
      </w:r>
      <w:r>
        <w:rPr>
          <w:szCs w:val="16"/>
        </w:rPr>
        <w:t>s</w:t>
      </w:r>
      <w:r w:rsidRPr="00D828C9">
        <w:rPr>
          <w:szCs w:val="16"/>
        </w:rPr>
        <w:t xml:space="preserve">a predkladá </w:t>
      </w:r>
      <w:r>
        <w:rPr>
          <w:szCs w:val="16"/>
        </w:rPr>
        <w:t>s</w:t>
      </w:r>
      <w:r w:rsidRPr="00D828C9">
        <w:rPr>
          <w:szCs w:val="16"/>
        </w:rPr>
        <w:t xml:space="preserve">tanovisko Rady </w:t>
      </w:r>
      <w:r>
        <w:rPr>
          <w:szCs w:val="16"/>
        </w:rPr>
        <w:t>k</w:t>
      </w:r>
      <w:r w:rsidRPr="00D828C9">
        <w:rPr>
          <w:szCs w:val="16"/>
        </w:rPr>
        <w:t xml:space="preserve"> programu </w:t>
      </w:r>
      <w:r>
        <w:rPr>
          <w:szCs w:val="16"/>
        </w:rPr>
        <w:t>s</w:t>
      </w:r>
      <w:r w:rsidRPr="00D828C9">
        <w:rPr>
          <w:szCs w:val="16"/>
        </w:rPr>
        <w:t xml:space="preserve">tability </w:t>
      </w:r>
      <w:r>
        <w:rPr>
          <w:szCs w:val="16"/>
        </w:rPr>
        <w:t>S</w:t>
      </w:r>
      <w:r w:rsidRPr="00D828C9">
        <w:rPr>
          <w:szCs w:val="16"/>
        </w:rPr>
        <w:t xml:space="preserve">lovenska na roky 2012 – 2016 (odporúčanie č. 3 </w:t>
      </w:r>
      <w:r>
        <w:rPr>
          <w:szCs w:val="16"/>
        </w:rPr>
        <w:t>a </w:t>
      </w:r>
      <w:r w:rsidRPr="00D828C9">
        <w:rPr>
          <w:szCs w:val="16"/>
        </w:rPr>
        <w:t>4)</w:t>
      </w:r>
    </w:p>
  </w:footnote>
  <w:footnote w:id="280">
    <w:p w:rsidR="00007508" w:rsidRDefault="00007508" w:rsidP="00671A61">
      <w:pPr>
        <w:pStyle w:val="Textpoznmkypodiarou"/>
        <w:ind w:left="170" w:hanging="170"/>
      </w:pPr>
      <w:r w:rsidRPr="00AE02ED">
        <w:rPr>
          <w:rStyle w:val="Odkaznapoznmkupodiarou"/>
          <w:szCs w:val="16"/>
        </w:rPr>
        <w:footnoteRef/>
      </w:r>
      <w:r w:rsidRPr="00CD0FE0">
        <w:rPr>
          <w:szCs w:val="16"/>
        </w:rPr>
        <w:t xml:space="preserve"> </w:t>
      </w:r>
      <w:r w:rsidRPr="00AE02ED">
        <w:rPr>
          <w:szCs w:val="16"/>
        </w:rPr>
        <w:t>Odporúčanie Rady, k</w:t>
      </w:r>
      <w:r w:rsidRPr="00DD45CE">
        <w:rPr>
          <w:szCs w:val="16"/>
        </w:rPr>
        <w:t xml:space="preserve">toré </w:t>
      </w:r>
      <w:r w:rsidRPr="000356E1">
        <w:rPr>
          <w:szCs w:val="16"/>
        </w:rPr>
        <w:t xml:space="preserve">sa týka </w:t>
      </w:r>
      <w:r>
        <w:rPr>
          <w:szCs w:val="16"/>
        </w:rPr>
        <w:t xml:space="preserve">národného </w:t>
      </w:r>
      <w:r w:rsidRPr="000356E1">
        <w:rPr>
          <w:szCs w:val="16"/>
        </w:rPr>
        <w:t>programu reforiem Slovenska na rok 2013 a ktorým sa predkladá stanovisko Rady k programu stability Slovenska na roky 2012 – 2016 (odporúčanie č. 3 a 4)</w:t>
      </w:r>
    </w:p>
  </w:footnote>
  <w:footnote w:id="281">
    <w:p w:rsidR="00007508" w:rsidRDefault="00007508" w:rsidP="00671A61">
      <w:pPr>
        <w:pStyle w:val="Textpoznmkypodiarou"/>
        <w:ind w:left="170" w:hanging="170"/>
      </w:pPr>
      <w:r>
        <w:rPr>
          <w:rStyle w:val="Odkaznapoznmkupodiarou"/>
        </w:rPr>
        <w:footnoteRef/>
      </w:r>
      <w:r>
        <w:t xml:space="preserve"> </w:t>
      </w:r>
      <w:r w:rsidRPr="005643DE">
        <w:t>Správa o</w:t>
      </w:r>
      <w:r>
        <w:t> </w:t>
      </w:r>
      <w:r w:rsidRPr="005643DE">
        <w:t>stave</w:t>
      </w:r>
      <w:r>
        <w:t xml:space="preserve"> </w:t>
      </w:r>
      <w:r w:rsidRPr="005643DE">
        <w:t xml:space="preserve">školstva na Slovensku a o systémových krokoch na podporu jeho ďalšieho rozvoja, september 2013, </w:t>
      </w:r>
      <w:hyperlink r:id="rId62" w:history="1">
        <w:r w:rsidRPr="001107CE">
          <w:rPr>
            <w:rStyle w:val="Hypertextovprepojenie"/>
          </w:rPr>
          <w:t>http://www.minedu.sk/data/att/5250.pdf</w:t>
        </w:r>
      </w:hyperlink>
      <w:r w:rsidRPr="005643DE">
        <w:t>; FRA a</w:t>
      </w:r>
      <w:r>
        <w:t> </w:t>
      </w:r>
      <w:r w:rsidRPr="005643DE">
        <w:t>Rozvojový</w:t>
      </w:r>
      <w:r>
        <w:t xml:space="preserve"> </w:t>
      </w:r>
      <w:r w:rsidRPr="005643DE">
        <w:t>program OSN (UNDP), 2012</w:t>
      </w:r>
    </w:p>
  </w:footnote>
  <w:footnote w:id="282">
    <w:p w:rsidR="00007508" w:rsidRDefault="00007508" w:rsidP="00A678A6">
      <w:pPr>
        <w:pStyle w:val="Textpoznmkypodiarou"/>
      </w:pPr>
      <w:r w:rsidRPr="00AE02ED">
        <w:rPr>
          <w:rStyle w:val="Odkaznapoznmkupodiarou"/>
          <w:szCs w:val="16"/>
        </w:rPr>
        <w:footnoteRef/>
      </w:r>
      <w:r w:rsidRPr="00AE02ED">
        <w:rPr>
          <w:szCs w:val="16"/>
        </w:rPr>
        <w:t xml:space="preserve"> </w:t>
      </w:r>
      <w:hyperlink r:id="rId63" w:history="1">
        <w:r w:rsidRPr="000356E1">
          <w:rPr>
            <w:rStyle w:val="Hypertextovprepojenie"/>
            <w:szCs w:val="16"/>
          </w:rPr>
          <w:t>http://www.employment.gov.sk/strategia-deinstitucionalizacie-systemu-socialnych-sluzieb-a-nahradnej-starostlivosti-v-sr.html</w:t>
        </w:r>
      </w:hyperlink>
    </w:p>
  </w:footnote>
  <w:footnote w:id="283">
    <w:p w:rsidR="00007508" w:rsidRDefault="00007508" w:rsidP="00A678A6">
      <w:pPr>
        <w:pStyle w:val="Textpoznmkypodiarou"/>
      </w:pPr>
      <w:r w:rsidRPr="000356E1">
        <w:rPr>
          <w:rStyle w:val="Odkaznapoznmkupodiarou"/>
          <w:szCs w:val="16"/>
        </w:rPr>
        <w:footnoteRef/>
      </w:r>
      <w:r w:rsidRPr="000356E1">
        <w:rPr>
          <w:szCs w:val="16"/>
        </w:rPr>
        <w:t xml:space="preserve"> </w:t>
      </w:r>
      <w:hyperlink r:id="rId64" w:history="1">
        <w:r w:rsidRPr="000356E1">
          <w:rPr>
            <w:rStyle w:val="Hypertextovprepojenie"/>
            <w:szCs w:val="16"/>
          </w:rPr>
          <w:t>http://www.telecom.gov.sk/index/index.php?ids=81554</w:t>
        </w:r>
      </w:hyperlink>
    </w:p>
  </w:footnote>
  <w:footnote w:id="284">
    <w:p w:rsidR="00007508" w:rsidRDefault="00007508" w:rsidP="00A678A6">
      <w:pPr>
        <w:pStyle w:val="Textpoznmkypodiarou"/>
      </w:pPr>
      <w:r w:rsidRPr="000356E1">
        <w:rPr>
          <w:rStyle w:val="Odkaznapoznmkupodiarou"/>
          <w:szCs w:val="16"/>
        </w:rPr>
        <w:footnoteRef/>
      </w:r>
      <w:r w:rsidRPr="000356E1">
        <w:rPr>
          <w:szCs w:val="16"/>
        </w:rPr>
        <w:t xml:space="preserve"> </w:t>
      </w:r>
      <w:hyperlink r:id="rId65" w:history="1">
        <w:r w:rsidRPr="000356E1">
          <w:rPr>
            <w:rStyle w:val="Hypertextovprepojenie"/>
            <w:szCs w:val="16"/>
          </w:rPr>
          <w:t>http://www.minv.sk/swift_data/source/romovia/dokumenty/StrategiaSR_integraciaRomov.pdf</w:t>
        </w:r>
      </w:hyperlink>
    </w:p>
  </w:footnote>
  <w:footnote w:id="285">
    <w:p w:rsidR="00007508" w:rsidRDefault="00007508" w:rsidP="0064605C">
      <w:pPr>
        <w:pStyle w:val="Textpoznmkypodiarou"/>
        <w:ind w:left="170" w:hanging="170"/>
      </w:pPr>
      <w:r w:rsidRPr="00CD0FE0">
        <w:rPr>
          <w:rStyle w:val="Odkaznapoznmkupodiarou"/>
          <w:szCs w:val="16"/>
        </w:rPr>
        <w:footnoteRef/>
      </w:r>
      <w:r w:rsidRPr="00CD0FE0">
        <w:rPr>
          <w:szCs w:val="16"/>
        </w:rPr>
        <w:t xml:space="preserve"> Subjekt sociálnej ekonomiky je podnik, ktorého hlavný</w:t>
      </w:r>
      <w:r>
        <w:rPr>
          <w:szCs w:val="16"/>
        </w:rPr>
        <w:t>m</w:t>
      </w:r>
      <w:r w:rsidRPr="00CD0FE0">
        <w:rPr>
          <w:szCs w:val="16"/>
        </w:rPr>
        <w:t xml:space="preserve"> cieľom nie je tvorba zisku pre jeho majiteľov, ale skôr dosiahnutie pozitívneho sociálneho vplyvu. Jeho činnosť spočíva v podnikateľskom a inovatívnom poskytovaní tovaru alebo služieb pre trhy, pričom svoj zisk používa predovšetkým na dosiahnutie sociálnych cieľov. Je riadený zodpovedne a transparentne, k čomu prispieva hlavne zapájanie zamestnancov, spotrebiteľov a zainteresovaných strán, ktorých sa jeho obchodná činnosť týka</w:t>
      </w:r>
    </w:p>
  </w:footnote>
  <w:footnote w:id="286">
    <w:p w:rsidR="00007508" w:rsidRDefault="00007508" w:rsidP="00A678A6">
      <w:pPr>
        <w:pStyle w:val="Textpoznmkypodiarou"/>
      </w:pPr>
      <w:r w:rsidRPr="00AE02ED">
        <w:rPr>
          <w:rStyle w:val="Odkaznapoznmkupodiarou"/>
          <w:szCs w:val="16"/>
        </w:rPr>
        <w:footnoteRef/>
      </w:r>
      <w:r w:rsidRPr="00AE02ED">
        <w:rPr>
          <w:szCs w:val="16"/>
        </w:rPr>
        <w:t xml:space="preserve"> </w:t>
      </w:r>
      <w:hyperlink r:id="rId66" w:history="1">
        <w:r w:rsidRPr="000356E1">
          <w:rPr>
            <w:rStyle w:val="Hypertextovprepojenie"/>
            <w:szCs w:val="16"/>
          </w:rPr>
          <w:t>http://www.employment.gov.sk/dohovor-osn-o-pravach-osob-so-zdravotnym-postihnutim.html</w:t>
        </w:r>
      </w:hyperlink>
    </w:p>
  </w:footnote>
  <w:footnote w:id="287">
    <w:p w:rsidR="00007508" w:rsidRDefault="00007508">
      <w:pPr>
        <w:pStyle w:val="Textpoznmkypodiarou"/>
      </w:pPr>
      <w:r>
        <w:rPr>
          <w:rStyle w:val="Odkaznapoznmkupodiarou"/>
        </w:rPr>
        <w:footnoteRef/>
      </w:r>
      <w:r>
        <w:t xml:space="preserve"> </w:t>
      </w:r>
      <w:r w:rsidRPr="00CE1ACA">
        <w:t>Strategický rámec starostlivosti o</w:t>
      </w:r>
      <w:r>
        <w:t> </w:t>
      </w:r>
      <w:r w:rsidRPr="00CE1ACA">
        <w:t>zdravie na roky 2013</w:t>
      </w:r>
      <w:r>
        <w:t xml:space="preserve"> – </w:t>
      </w:r>
      <w:r w:rsidRPr="00CE1ACA">
        <w:t>2030</w:t>
      </w:r>
    </w:p>
  </w:footnote>
  <w:footnote w:id="288">
    <w:p w:rsidR="00007508" w:rsidRPr="001A0878" w:rsidRDefault="00007508" w:rsidP="0064605C">
      <w:pPr>
        <w:spacing w:before="0" w:after="0"/>
        <w:ind w:left="170" w:hanging="170"/>
        <w:rPr>
          <w:rFonts w:ascii="Segoe UI" w:hAnsi="Segoe UI" w:cs="Segoe UI"/>
          <w:color w:val="000000"/>
          <w:sz w:val="16"/>
          <w:szCs w:val="16"/>
          <w:lang w:eastAsia="sk-SK"/>
        </w:rPr>
      </w:pPr>
      <w:r w:rsidRPr="00CD0FE0">
        <w:rPr>
          <w:rStyle w:val="Odkaznapoznmkupodiarou"/>
          <w:sz w:val="16"/>
          <w:szCs w:val="16"/>
        </w:rPr>
        <w:footnoteRef/>
      </w:r>
      <w:r>
        <w:t xml:space="preserve"> </w:t>
      </w:r>
      <w:r w:rsidRPr="001A0878">
        <w:rPr>
          <w:rFonts w:ascii="Calibri" w:hAnsi="Calibri" w:cs="Segoe UI"/>
          <w:color w:val="000000"/>
          <w:sz w:val="16"/>
          <w:szCs w:val="16"/>
          <w:lang w:eastAsia="sk-SK"/>
        </w:rPr>
        <w:t>Podľa OECD: sociálny podnik je akákoľvek súkromná aktivita, ktorá je realizovaná v záujme verejnosti, je organizovaná v zmysle podnikateľskej stratégie, ktorej hlavným účelom nie je maximalizácia zisku, ale dosiahnutie istých ekonomických a sociálnych cieľov, a ktorá má schopnosť priniesť inovatívne riešenie v otázkach sociálneho vylúčenia a nezamestnanosti</w:t>
      </w:r>
    </w:p>
    <w:p w:rsidR="00007508" w:rsidRDefault="00007508" w:rsidP="0064605C">
      <w:pPr>
        <w:spacing w:before="0" w:after="0"/>
        <w:ind w:left="170"/>
      </w:pPr>
      <w:r w:rsidRPr="003D4288">
        <w:rPr>
          <w:rFonts w:ascii="Calibri" w:hAnsi="Calibri" w:cs="Segoe UI"/>
          <w:color w:val="000000"/>
          <w:sz w:val="16"/>
          <w:szCs w:val="16"/>
          <w:lang w:eastAsia="sk-SK"/>
        </w:rPr>
        <w:t>Gabriela Korimová: Sociálna ekonomika a sociálne podnikanie, 2008. ISBN978-80-89241-22-4, str. 81</w:t>
      </w:r>
      <w:r>
        <w:rPr>
          <w:rFonts w:ascii="Calibri" w:hAnsi="Calibri" w:cs="Segoe UI"/>
          <w:color w:val="000000"/>
          <w:sz w:val="16"/>
          <w:szCs w:val="16"/>
          <w:lang w:eastAsia="sk-SK"/>
        </w:rPr>
        <w:t xml:space="preserve">: </w:t>
      </w:r>
      <w:r w:rsidRPr="001A0878">
        <w:rPr>
          <w:rFonts w:ascii="Calibri" w:hAnsi="Calibri" w:cs="Segoe UI"/>
          <w:color w:val="000000"/>
          <w:sz w:val="16"/>
          <w:szCs w:val="16"/>
          <w:lang w:eastAsia="sk-SK"/>
        </w:rPr>
        <w:t>Sociálny podnik je taký podnikateľský subjekt, ktorý pôsobí v konkurenčnom prostredí tovarov a služieb, prioritne zamestnáva zdravotne alebo inak sociálne znevýhodnené osoby a jeho hlavným cieľom nie je finančná maximalizácia zisku, ale kultúra dávania ako pridaná sociálna hodnota a spoločenské začleňovanie svojich zamestnancov. Prípadné zisky podielovo reinvestuje do rozvoja svojich sociálno-ekonomických cieľov</w:t>
      </w:r>
    </w:p>
  </w:footnote>
  <w:footnote w:id="289">
    <w:p w:rsidR="00007508" w:rsidRDefault="00007508" w:rsidP="0064605C">
      <w:pPr>
        <w:pStyle w:val="Textpoznmkypodiarou"/>
        <w:ind w:left="170" w:hanging="170"/>
      </w:pPr>
      <w:r>
        <w:rPr>
          <w:rStyle w:val="Odkaznapoznmkupodiarou"/>
        </w:rPr>
        <w:footnoteRef/>
      </w:r>
      <w:r>
        <w:t xml:space="preserve"> Štátny vzdelávací program ISCED 0 – predprimárne vzdelávanie </w:t>
      </w:r>
      <w:hyperlink r:id="rId67" w:history="1">
        <w:r w:rsidRPr="001107CE">
          <w:rPr>
            <w:rStyle w:val="Hypertextovprepojenie"/>
          </w:rPr>
          <w:t>http://www.statpedu.sk/files/documents/svp/ms/isced_0.pdf</w:t>
        </w:r>
      </w:hyperlink>
    </w:p>
  </w:footnote>
  <w:footnote w:id="290">
    <w:p w:rsidR="00007508" w:rsidRDefault="00007508" w:rsidP="0064605C">
      <w:pPr>
        <w:pStyle w:val="Textpoznmkypodiarou"/>
        <w:ind w:left="170" w:hanging="170"/>
      </w:pPr>
      <w:r w:rsidRPr="00D828C9">
        <w:rPr>
          <w:rStyle w:val="Odkaznapoznmkupodiarou"/>
          <w:szCs w:val="16"/>
        </w:rPr>
        <w:footnoteRef/>
      </w:r>
      <w:r w:rsidRPr="00D828C9">
        <w:t xml:space="preserve"> </w:t>
      </w:r>
      <w:r w:rsidRPr="00D828C9">
        <w:rPr>
          <w:szCs w:val="16"/>
        </w:rPr>
        <w:t xml:space="preserve">Odporúčanie Rady, </w:t>
      </w:r>
      <w:r>
        <w:rPr>
          <w:szCs w:val="16"/>
        </w:rPr>
        <w:t>k</w:t>
      </w:r>
      <w:r w:rsidRPr="00D828C9">
        <w:rPr>
          <w:szCs w:val="16"/>
        </w:rPr>
        <w:t xml:space="preserve">toré </w:t>
      </w:r>
      <w:r>
        <w:rPr>
          <w:szCs w:val="16"/>
        </w:rPr>
        <w:t>s</w:t>
      </w:r>
      <w:r w:rsidRPr="00D828C9">
        <w:rPr>
          <w:szCs w:val="16"/>
        </w:rPr>
        <w:t xml:space="preserve">a týka </w:t>
      </w:r>
      <w:r>
        <w:rPr>
          <w:szCs w:val="16"/>
        </w:rPr>
        <w:t xml:space="preserve">národného </w:t>
      </w:r>
      <w:r w:rsidRPr="00D828C9">
        <w:rPr>
          <w:szCs w:val="16"/>
        </w:rPr>
        <w:t xml:space="preserve">programu reforiem </w:t>
      </w:r>
      <w:r>
        <w:rPr>
          <w:szCs w:val="16"/>
        </w:rPr>
        <w:t>S</w:t>
      </w:r>
      <w:r w:rsidRPr="00D828C9">
        <w:rPr>
          <w:szCs w:val="16"/>
        </w:rPr>
        <w:t xml:space="preserve">lovenska na rok 2013 </w:t>
      </w:r>
      <w:r>
        <w:rPr>
          <w:szCs w:val="16"/>
        </w:rPr>
        <w:t>a k</w:t>
      </w:r>
      <w:r w:rsidRPr="00D828C9">
        <w:rPr>
          <w:szCs w:val="16"/>
        </w:rPr>
        <w:t xml:space="preserve">torým </w:t>
      </w:r>
      <w:r>
        <w:rPr>
          <w:szCs w:val="16"/>
        </w:rPr>
        <w:t>s</w:t>
      </w:r>
      <w:r w:rsidRPr="00D828C9">
        <w:rPr>
          <w:szCs w:val="16"/>
        </w:rPr>
        <w:t xml:space="preserve">a predkladá </w:t>
      </w:r>
      <w:r>
        <w:rPr>
          <w:szCs w:val="16"/>
        </w:rPr>
        <w:t>s</w:t>
      </w:r>
      <w:r w:rsidRPr="00D828C9">
        <w:rPr>
          <w:szCs w:val="16"/>
        </w:rPr>
        <w:t xml:space="preserve">tanovisko Rady </w:t>
      </w:r>
      <w:r>
        <w:rPr>
          <w:szCs w:val="16"/>
        </w:rPr>
        <w:t>k</w:t>
      </w:r>
      <w:r w:rsidRPr="00D828C9">
        <w:rPr>
          <w:szCs w:val="16"/>
        </w:rPr>
        <w:t xml:space="preserve"> programu </w:t>
      </w:r>
      <w:r>
        <w:rPr>
          <w:szCs w:val="16"/>
        </w:rPr>
        <w:t>s</w:t>
      </w:r>
      <w:r w:rsidRPr="00D828C9">
        <w:rPr>
          <w:szCs w:val="16"/>
        </w:rPr>
        <w:t xml:space="preserve">tability </w:t>
      </w:r>
      <w:r>
        <w:rPr>
          <w:szCs w:val="16"/>
        </w:rPr>
        <w:t>S</w:t>
      </w:r>
      <w:r w:rsidRPr="00D828C9">
        <w:rPr>
          <w:szCs w:val="16"/>
        </w:rPr>
        <w:t>lovenska na roky 2012 – 2016 (odporúčanie č. 4)</w:t>
      </w:r>
    </w:p>
  </w:footnote>
  <w:footnote w:id="291">
    <w:p w:rsidR="00007508" w:rsidRDefault="00007508" w:rsidP="0064605C">
      <w:pPr>
        <w:pStyle w:val="Textpoznmkypodiarou"/>
        <w:ind w:left="170" w:hanging="170"/>
      </w:pPr>
      <w:r w:rsidRPr="00D828C9">
        <w:rPr>
          <w:rStyle w:val="Odkaznapoznmkupodiarou"/>
          <w:szCs w:val="16"/>
        </w:rPr>
        <w:footnoteRef/>
      </w:r>
      <w:r w:rsidRPr="00D828C9">
        <w:rPr>
          <w:rStyle w:val="Odkaznapoznmkupodiarou"/>
          <w:szCs w:val="16"/>
        </w:rPr>
        <w:t xml:space="preserve"> </w:t>
      </w:r>
      <w:r w:rsidRPr="00D828C9">
        <w:rPr>
          <w:szCs w:val="16"/>
        </w:rPr>
        <w:t xml:space="preserve">Odporúčanie Rady, </w:t>
      </w:r>
      <w:r>
        <w:rPr>
          <w:szCs w:val="16"/>
        </w:rPr>
        <w:t>k</w:t>
      </w:r>
      <w:r w:rsidRPr="00D828C9">
        <w:rPr>
          <w:szCs w:val="16"/>
        </w:rPr>
        <w:t xml:space="preserve">toré </w:t>
      </w:r>
      <w:r>
        <w:rPr>
          <w:szCs w:val="16"/>
        </w:rPr>
        <w:t>s</w:t>
      </w:r>
      <w:r w:rsidRPr="00D828C9">
        <w:rPr>
          <w:szCs w:val="16"/>
        </w:rPr>
        <w:t xml:space="preserve">a týka </w:t>
      </w:r>
      <w:r>
        <w:rPr>
          <w:szCs w:val="16"/>
        </w:rPr>
        <w:t xml:space="preserve">národného </w:t>
      </w:r>
      <w:r w:rsidRPr="00D828C9">
        <w:rPr>
          <w:szCs w:val="16"/>
        </w:rPr>
        <w:t xml:space="preserve">programu reforiem </w:t>
      </w:r>
      <w:r>
        <w:rPr>
          <w:szCs w:val="16"/>
        </w:rPr>
        <w:t>S</w:t>
      </w:r>
      <w:r w:rsidRPr="00D828C9">
        <w:rPr>
          <w:szCs w:val="16"/>
        </w:rPr>
        <w:t xml:space="preserve">lovenska na rok 2013 </w:t>
      </w:r>
      <w:r>
        <w:rPr>
          <w:szCs w:val="16"/>
        </w:rPr>
        <w:t>a k</w:t>
      </w:r>
      <w:r w:rsidRPr="00D828C9">
        <w:rPr>
          <w:szCs w:val="16"/>
        </w:rPr>
        <w:t xml:space="preserve">torým </w:t>
      </w:r>
      <w:r>
        <w:rPr>
          <w:szCs w:val="16"/>
        </w:rPr>
        <w:t>s</w:t>
      </w:r>
      <w:r w:rsidRPr="00D828C9">
        <w:rPr>
          <w:szCs w:val="16"/>
        </w:rPr>
        <w:t xml:space="preserve">a predkladá </w:t>
      </w:r>
      <w:r>
        <w:rPr>
          <w:szCs w:val="16"/>
        </w:rPr>
        <w:t>s</w:t>
      </w:r>
      <w:r w:rsidRPr="00D828C9">
        <w:rPr>
          <w:szCs w:val="16"/>
        </w:rPr>
        <w:t xml:space="preserve">tanovisko Rady </w:t>
      </w:r>
      <w:r>
        <w:rPr>
          <w:szCs w:val="16"/>
        </w:rPr>
        <w:t>k </w:t>
      </w:r>
      <w:r w:rsidRPr="00D828C9">
        <w:rPr>
          <w:szCs w:val="16"/>
        </w:rPr>
        <w:t xml:space="preserve">programu </w:t>
      </w:r>
      <w:r>
        <w:rPr>
          <w:szCs w:val="16"/>
        </w:rPr>
        <w:t>s</w:t>
      </w:r>
      <w:r w:rsidRPr="00D828C9">
        <w:rPr>
          <w:szCs w:val="16"/>
        </w:rPr>
        <w:t xml:space="preserve">tability </w:t>
      </w:r>
      <w:r>
        <w:rPr>
          <w:szCs w:val="16"/>
        </w:rPr>
        <w:t>S</w:t>
      </w:r>
      <w:r w:rsidRPr="00D828C9">
        <w:rPr>
          <w:szCs w:val="16"/>
        </w:rPr>
        <w:t>lovenska na roky 2012 – 2016 (odporúčanie č. 5)</w:t>
      </w:r>
    </w:p>
  </w:footnote>
  <w:footnote w:id="292">
    <w:p w:rsidR="00007508" w:rsidRDefault="00007508" w:rsidP="0064605C">
      <w:pPr>
        <w:pStyle w:val="Textpoznmkypodiarou"/>
        <w:ind w:left="170" w:hanging="170"/>
      </w:pPr>
      <w:r w:rsidRPr="00D01D5B">
        <w:rPr>
          <w:rStyle w:val="Odkaznapoznmkupodiarou"/>
          <w:szCs w:val="16"/>
          <w:lang w:eastAsia="cs-CZ"/>
        </w:rPr>
        <w:footnoteRef/>
      </w:r>
      <w:r w:rsidRPr="00D01D5B">
        <w:t xml:space="preserve"> </w:t>
      </w:r>
      <w:r>
        <w:rPr>
          <w:rStyle w:val="Hypertextovprepojenie"/>
          <w:color w:val="auto"/>
          <w:szCs w:val="16"/>
          <w:u w:val="none"/>
        </w:rPr>
        <w:t>S</w:t>
      </w:r>
      <w:r w:rsidRPr="00CC3354">
        <w:rPr>
          <w:rStyle w:val="Hypertextovprepojenie"/>
          <w:color w:val="auto"/>
          <w:szCs w:val="16"/>
          <w:u w:val="none"/>
        </w:rPr>
        <w:t xml:space="preserve">mernica Európskeho parlamentu </w:t>
      </w:r>
      <w:r>
        <w:rPr>
          <w:rStyle w:val="Hypertextovprepojenie"/>
          <w:color w:val="auto"/>
          <w:szCs w:val="16"/>
          <w:u w:val="none"/>
        </w:rPr>
        <w:t>a</w:t>
      </w:r>
      <w:r w:rsidRPr="00CC3354">
        <w:rPr>
          <w:rStyle w:val="Hypertextovprepojenie"/>
          <w:color w:val="auto"/>
          <w:szCs w:val="16"/>
          <w:u w:val="none"/>
        </w:rPr>
        <w:t xml:space="preserve"> Rady 2012/27/EÚ o energetickej efektívnosti, </w:t>
      </w:r>
      <w:r>
        <w:rPr>
          <w:rStyle w:val="Hypertextovprepojenie"/>
          <w:color w:val="auto"/>
          <w:szCs w:val="16"/>
          <w:u w:val="none"/>
        </w:rPr>
        <w:t>k</w:t>
      </w:r>
      <w:r w:rsidRPr="00CC3354">
        <w:rPr>
          <w:rStyle w:val="Hypertextovprepojenie"/>
          <w:color w:val="auto"/>
          <w:szCs w:val="16"/>
          <w:u w:val="none"/>
        </w:rPr>
        <w:t xml:space="preserve">torou </w:t>
      </w:r>
      <w:r>
        <w:rPr>
          <w:rStyle w:val="Hypertextovprepojenie"/>
          <w:color w:val="auto"/>
          <w:szCs w:val="16"/>
          <w:u w:val="none"/>
        </w:rPr>
        <w:t>s</w:t>
      </w:r>
      <w:r w:rsidRPr="00CC3354">
        <w:rPr>
          <w:rStyle w:val="Hypertextovprepojenie"/>
          <w:color w:val="auto"/>
          <w:szCs w:val="16"/>
          <w:u w:val="none"/>
        </w:rPr>
        <w:t xml:space="preserve">a menia </w:t>
      </w:r>
      <w:r>
        <w:rPr>
          <w:rStyle w:val="Hypertextovprepojenie"/>
          <w:color w:val="auto"/>
          <w:szCs w:val="16"/>
          <w:u w:val="none"/>
        </w:rPr>
        <w:t>a </w:t>
      </w:r>
      <w:r w:rsidRPr="00CC3354">
        <w:rPr>
          <w:rStyle w:val="Hypertextovprepojenie"/>
          <w:color w:val="auto"/>
          <w:szCs w:val="16"/>
          <w:u w:val="none"/>
        </w:rPr>
        <w:t xml:space="preserve">dopĺňajú </w:t>
      </w:r>
      <w:r>
        <w:rPr>
          <w:rStyle w:val="Hypertextovprepojenie"/>
          <w:color w:val="auto"/>
          <w:szCs w:val="16"/>
          <w:u w:val="none"/>
        </w:rPr>
        <w:t>s</w:t>
      </w:r>
      <w:r w:rsidRPr="00CC3354">
        <w:rPr>
          <w:rStyle w:val="Hypertextovprepojenie"/>
          <w:color w:val="auto"/>
          <w:szCs w:val="16"/>
          <w:u w:val="none"/>
        </w:rPr>
        <w:t xml:space="preserve">mernice 2009/125/ES </w:t>
      </w:r>
      <w:r>
        <w:rPr>
          <w:rStyle w:val="Hypertextovprepojenie"/>
          <w:color w:val="auto"/>
          <w:szCs w:val="16"/>
          <w:u w:val="none"/>
        </w:rPr>
        <w:t>a </w:t>
      </w:r>
      <w:r w:rsidRPr="00CC3354">
        <w:rPr>
          <w:rStyle w:val="Hypertextovprepojenie"/>
          <w:color w:val="auto"/>
          <w:szCs w:val="16"/>
          <w:u w:val="none"/>
        </w:rPr>
        <w:t xml:space="preserve">2010/30/EÚ </w:t>
      </w:r>
      <w:r>
        <w:rPr>
          <w:rStyle w:val="Hypertextovprepojenie"/>
          <w:color w:val="auto"/>
          <w:szCs w:val="16"/>
          <w:u w:val="none"/>
        </w:rPr>
        <w:t>a k</w:t>
      </w:r>
      <w:r w:rsidRPr="00CC3354">
        <w:rPr>
          <w:rStyle w:val="Hypertextovprepojenie"/>
          <w:color w:val="auto"/>
          <w:szCs w:val="16"/>
          <w:u w:val="none"/>
        </w:rPr>
        <w:t xml:space="preserve">torou </w:t>
      </w:r>
      <w:r>
        <w:rPr>
          <w:rStyle w:val="Hypertextovprepojenie"/>
          <w:color w:val="auto"/>
          <w:szCs w:val="16"/>
          <w:u w:val="none"/>
        </w:rPr>
        <w:t>s</w:t>
      </w:r>
      <w:r w:rsidRPr="00CC3354">
        <w:rPr>
          <w:rStyle w:val="Hypertextovprepojenie"/>
          <w:color w:val="auto"/>
          <w:szCs w:val="16"/>
          <w:u w:val="none"/>
        </w:rPr>
        <w:t xml:space="preserve">a zrušujú </w:t>
      </w:r>
      <w:r>
        <w:rPr>
          <w:rStyle w:val="Hypertextovprepojenie"/>
          <w:color w:val="auto"/>
          <w:szCs w:val="16"/>
          <w:u w:val="none"/>
        </w:rPr>
        <w:t>s</w:t>
      </w:r>
      <w:r w:rsidRPr="00CC3354">
        <w:rPr>
          <w:rStyle w:val="Hypertextovprepojenie"/>
          <w:color w:val="auto"/>
          <w:szCs w:val="16"/>
          <w:u w:val="none"/>
        </w:rPr>
        <w:t xml:space="preserve">mernice 2004/8/ES </w:t>
      </w:r>
      <w:r>
        <w:rPr>
          <w:rStyle w:val="Hypertextovprepojenie"/>
          <w:color w:val="auto"/>
          <w:szCs w:val="16"/>
          <w:u w:val="none"/>
        </w:rPr>
        <w:t>a </w:t>
      </w:r>
      <w:r w:rsidRPr="00CC3354">
        <w:rPr>
          <w:rStyle w:val="Hypertextovprepojenie"/>
          <w:color w:val="auto"/>
          <w:szCs w:val="16"/>
          <w:u w:val="none"/>
        </w:rPr>
        <w:t xml:space="preserve">2006/32/ES </w:t>
      </w:r>
      <w:r w:rsidRPr="00CC3354">
        <w:rPr>
          <w:rStyle w:val="Hypertextovprepojenie"/>
          <w:szCs w:val="16"/>
          <w:u w:val="none"/>
          <w:lang w:eastAsia="cs-CZ"/>
        </w:rPr>
        <w:t>http://eurlex.europa.eu/LexUriServ/LexUriServ.do?uri=OJ:L:2012:315:0001:0056:</w:t>
      </w:r>
      <w:r>
        <w:rPr>
          <w:rStyle w:val="Hypertextovprepojenie"/>
          <w:szCs w:val="16"/>
          <w:u w:val="none"/>
          <w:lang w:eastAsia="cs-CZ"/>
        </w:rPr>
        <w:t>S</w:t>
      </w:r>
      <w:r w:rsidRPr="00CC3354">
        <w:rPr>
          <w:rStyle w:val="Hypertextovprepojenie"/>
          <w:szCs w:val="16"/>
          <w:u w:val="none"/>
          <w:lang w:eastAsia="cs-CZ"/>
        </w:rPr>
        <w:t>K:PDF</w:t>
      </w:r>
    </w:p>
  </w:footnote>
  <w:footnote w:id="293">
    <w:p w:rsidR="00007508" w:rsidRPr="006F002B" w:rsidRDefault="00007508" w:rsidP="009153D7">
      <w:pPr>
        <w:pStyle w:val="Textpoznmkypodiarou"/>
      </w:pPr>
      <w:r w:rsidRPr="006F002B">
        <w:rPr>
          <w:rStyle w:val="Odkaznapoznmkupodiarou"/>
        </w:rPr>
        <w:footnoteRef/>
      </w:r>
      <w:r w:rsidRPr="006F002B">
        <w:t xml:space="preserve"> Národný program reforiem SR 2013, str. 19</w:t>
      </w:r>
    </w:p>
  </w:footnote>
  <w:footnote w:id="294">
    <w:p w:rsidR="00007508" w:rsidRDefault="00007508" w:rsidP="0064605C">
      <w:pPr>
        <w:pStyle w:val="Textpoznmkypodiarou"/>
        <w:ind w:left="170" w:hanging="170"/>
      </w:pPr>
      <w:r w:rsidRPr="00D01D5B">
        <w:rPr>
          <w:rStyle w:val="Odkaznapoznmkupodiarou"/>
          <w:szCs w:val="16"/>
          <w:lang w:eastAsia="cs-CZ"/>
        </w:rPr>
        <w:footnoteRef/>
      </w:r>
      <w:r w:rsidRPr="00D01D5B">
        <w:t xml:space="preserve"> </w:t>
      </w:r>
      <w:r>
        <w:rPr>
          <w:rStyle w:val="Hypertextovprepojenie"/>
          <w:color w:val="auto"/>
          <w:szCs w:val="16"/>
          <w:u w:val="none"/>
          <w:lang w:eastAsia="cs-CZ"/>
        </w:rPr>
        <w:t>S</w:t>
      </w:r>
      <w:r w:rsidRPr="00CC3354">
        <w:rPr>
          <w:rStyle w:val="Hypertextovprepojenie"/>
          <w:color w:val="auto"/>
          <w:szCs w:val="16"/>
          <w:u w:val="none"/>
          <w:lang w:eastAsia="cs-CZ"/>
        </w:rPr>
        <w:t xml:space="preserve">mernica Európskeho parlamentu </w:t>
      </w:r>
      <w:r>
        <w:rPr>
          <w:rStyle w:val="Hypertextovprepojenie"/>
          <w:color w:val="auto"/>
          <w:szCs w:val="16"/>
          <w:u w:val="none"/>
          <w:lang w:eastAsia="cs-CZ"/>
        </w:rPr>
        <w:t>a</w:t>
      </w:r>
      <w:r w:rsidRPr="00CC3354">
        <w:rPr>
          <w:rStyle w:val="Hypertextovprepojenie"/>
          <w:color w:val="auto"/>
          <w:szCs w:val="16"/>
          <w:u w:val="none"/>
          <w:lang w:eastAsia="cs-CZ"/>
        </w:rPr>
        <w:t> Rady</w:t>
      </w:r>
      <w:r w:rsidRPr="00D01D5B">
        <w:t xml:space="preserve"> </w:t>
      </w:r>
      <w:r w:rsidRPr="00CC3354">
        <w:rPr>
          <w:rStyle w:val="Hypertextovprepojenie"/>
          <w:color w:val="auto"/>
          <w:szCs w:val="16"/>
          <w:u w:val="none"/>
          <w:lang w:eastAsia="cs-CZ"/>
        </w:rPr>
        <w:t>2010/31/EÚ o</w:t>
      </w:r>
      <w:r>
        <w:rPr>
          <w:rStyle w:val="Hypertextovprepojenie"/>
          <w:color w:val="auto"/>
          <w:szCs w:val="16"/>
          <w:u w:val="none"/>
          <w:lang w:eastAsia="cs-CZ"/>
        </w:rPr>
        <w:t> </w:t>
      </w:r>
      <w:r w:rsidRPr="00CC3354">
        <w:rPr>
          <w:rStyle w:val="Hypertextovprepojenie"/>
          <w:color w:val="auto"/>
          <w:szCs w:val="16"/>
          <w:u w:val="none"/>
          <w:lang w:eastAsia="cs-CZ"/>
        </w:rPr>
        <w:t>energetickej</w:t>
      </w:r>
      <w:r>
        <w:rPr>
          <w:rStyle w:val="Hypertextovprepojenie"/>
          <w:color w:val="auto"/>
          <w:szCs w:val="16"/>
          <w:u w:val="none"/>
          <w:lang w:eastAsia="cs-CZ"/>
        </w:rPr>
        <w:t xml:space="preserve"> </w:t>
      </w:r>
      <w:r w:rsidRPr="00CC3354">
        <w:rPr>
          <w:rStyle w:val="Hypertextovprepojenie"/>
          <w:color w:val="auto"/>
          <w:szCs w:val="16"/>
          <w:u w:val="none"/>
          <w:lang w:eastAsia="cs-CZ"/>
        </w:rPr>
        <w:t xml:space="preserve">hospodárnosti budov, </w:t>
      </w:r>
      <w:r w:rsidRPr="00CC3354">
        <w:rPr>
          <w:rStyle w:val="Hypertextovprepojenie"/>
          <w:szCs w:val="16"/>
          <w:u w:val="none"/>
          <w:lang w:eastAsia="cs-CZ"/>
        </w:rPr>
        <w:t>http://eur-lex.europa.eu/LexUriServ/LexUriServ.do?uri=OJ:L:2010:153:0013:0035:</w:t>
      </w:r>
      <w:r>
        <w:rPr>
          <w:rStyle w:val="Hypertextovprepojenie"/>
          <w:szCs w:val="16"/>
          <w:u w:val="none"/>
          <w:lang w:eastAsia="cs-CZ"/>
        </w:rPr>
        <w:t>S</w:t>
      </w:r>
      <w:r w:rsidRPr="00CC3354">
        <w:rPr>
          <w:rStyle w:val="Hypertextovprepojenie"/>
          <w:szCs w:val="16"/>
          <w:u w:val="none"/>
          <w:lang w:eastAsia="cs-CZ"/>
        </w:rPr>
        <w:t>K:PDF</w:t>
      </w:r>
    </w:p>
  </w:footnote>
  <w:footnote w:id="295">
    <w:p w:rsidR="00007508" w:rsidRDefault="00007508" w:rsidP="0064605C">
      <w:pPr>
        <w:pStyle w:val="Textpoznmkypodiarou"/>
        <w:ind w:left="170" w:hanging="170"/>
      </w:pPr>
      <w:r>
        <w:rPr>
          <w:rStyle w:val="Odkaznapoznmkupodiarou"/>
        </w:rPr>
        <w:footnoteRef/>
      </w:r>
      <w:r>
        <w:t xml:space="preserve"> Z</w:t>
      </w:r>
      <w:r w:rsidRPr="000352EB">
        <w:t>ákon č. 24/2006 Z.</w:t>
      </w:r>
      <w:r>
        <w:t xml:space="preserve"> </w:t>
      </w:r>
      <w:r w:rsidRPr="000352EB">
        <w:t>z. o</w:t>
      </w:r>
      <w:r>
        <w:t> </w:t>
      </w:r>
      <w:r w:rsidRPr="000352EB">
        <w:t>posudzovaní</w:t>
      </w:r>
      <w:r>
        <w:t xml:space="preserve"> </w:t>
      </w:r>
      <w:r w:rsidRPr="000352EB">
        <w:t>vplyvov na životné prostredie a</w:t>
      </w:r>
      <w:r>
        <w:t> </w:t>
      </w:r>
      <w:r w:rsidRPr="000352EB">
        <w:t>o</w:t>
      </w:r>
      <w:r>
        <w:t> </w:t>
      </w:r>
      <w:r w:rsidRPr="000352EB">
        <w:t>zmene</w:t>
      </w:r>
      <w:r>
        <w:t xml:space="preserve"> </w:t>
      </w:r>
      <w:r w:rsidRPr="000352EB">
        <w:t>a</w:t>
      </w:r>
      <w:r>
        <w:t> </w:t>
      </w:r>
      <w:r w:rsidRPr="000352EB">
        <w:t>doplnení</w:t>
      </w:r>
      <w:r>
        <w:t xml:space="preserve"> </w:t>
      </w:r>
      <w:r w:rsidRPr="000352EB">
        <w:t>niektorých zákonov v znení neskorších predpisov</w:t>
      </w:r>
    </w:p>
  </w:footnote>
  <w:footnote w:id="296">
    <w:p w:rsidR="00007508" w:rsidRDefault="00007508" w:rsidP="00A678A6">
      <w:pPr>
        <w:pStyle w:val="Textpoznmkypodiarou"/>
      </w:pPr>
      <w:r w:rsidRPr="00D828C9">
        <w:rPr>
          <w:rStyle w:val="Odkaznapoznmkupodiarou"/>
          <w:szCs w:val="16"/>
        </w:rPr>
        <w:footnoteRef/>
      </w:r>
      <w:r w:rsidRPr="00D828C9">
        <w:rPr>
          <w:rStyle w:val="Odkaznapoznmkupodiarou"/>
          <w:szCs w:val="16"/>
        </w:rPr>
        <w:t xml:space="preserve"> </w:t>
      </w:r>
      <w:r>
        <w:rPr>
          <w:szCs w:val="16"/>
        </w:rPr>
        <w:t>K</w:t>
      </w:r>
      <w:r w:rsidRPr="00D828C9">
        <w:rPr>
          <w:szCs w:val="16"/>
        </w:rPr>
        <w:t xml:space="preserve">jótsky protokol </w:t>
      </w:r>
      <w:r>
        <w:rPr>
          <w:szCs w:val="16"/>
        </w:rPr>
        <w:t>k</w:t>
      </w:r>
      <w:r w:rsidRPr="00D828C9">
        <w:rPr>
          <w:szCs w:val="16"/>
        </w:rPr>
        <w:t xml:space="preserve"> rámcovému dohovoru OSN o zmene </w:t>
      </w:r>
      <w:r>
        <w:rPr>
          <w:szCs w:val="16"/>
        </w:rPr>
        <w:t>k</w:t>
      </w:r>
      <w:r w:rsidRPr="00D828C9">
        <w:rPr>
          <w:szCs w:val="16"/>
        </w:rPr>
        <w:t xml:space="preserve">límy, </w:t>
      </w:r>
      <w:hyperlink r:id="rId68" w:history="1">
        <w:r w:rsidRPr="003030E7">
          <w:rPr>
            <w:rStyle w:val="Hypertextovprepojenie"/>
            <w:szCs w:val="16"/>
          </w:rPr>
          <w:t>http://www1.enviroportal.sk/dohovory/dohovory-detail.php?dokument=2</w:t>
        </w:r>
      </w:hyperlink>
    </w:p>
  </w:footnote>
  <w:footnote w:id="297">
    <w:p w:rsidR="00007508" w:rsidRDefault="00007508" w:rsidP="0064605C">
      <w:pPr>
        <w:pStyle w:val="Textpoznmkypodiarou"/>
        <w:ind w:left="170" w:hanging="170"/>
      </w:pPr>
      <w:r w:rsidRPr="00D828C9">
        <w:rPr>
          <w:rStyle w:val="Odkaznapoznmkupodiarou"/>
          <w:szCs w:val="16"/>
        </w:rPr>
        <w:footnoteRef/>
      </w:r>
      <w:r w:rsidRPr="00D828C9">
        <w:rPr>
          <w:szCs w:val="16"/>
        </w:rPr>
        <w:t xml:space="preserve"> Predbežné hodnotenie povodňového rizika v </w:t>
      </w:r>
      <w:r>
        <w:rPr>
          <w:szCs w:val="16"/>
        </w:rPr>
        <w:t>S</w:t>
      </w:r>
      <w:r w:rsidRPr="00D828C9">
        <w:rPr>
          <w:szCs w:val="16"/>
        </w:rPr>
        <w:t xml:space="preserve">R vypracované v zmysle čl. 4 </w:t>
      </w:r>
      <w:r>
        <w:rPr>
          <w:szCs w:val="16"/>
        </w:rPr>
        <w:t>a</w:t>
      </w:r>
      <w:r w:rsidRPr="00D828C9">
        <w:rPr>
          <w:szCs w:val="16"/>
        </w:rPr>
        <w:t xml:space="preserve"> čl. 5 </w:t>
      </w:r>
      <w:r>
        <w:rPr>
          <w:szCs w:val="16"/>
        </w:rPr>
        <w:t>s</w:t>
      </w:r>
      <w:r w:rsidRPr="00D828C9">
        <w:rPr>
          <w:szCs w:val="16"/>
        </w:rPr>
        <w:t xml:space="preserve">mernice 2007/60/ES </w:t>
      </w:r>
      <w:r>
        <w:rPr>
          <w:szCs w:val="16"/>
        </w:rPr>
        <w:t>a</w:t>
      </w:r>
      <w:r w:rsidRPr="00D828C9">
        <w:rPr>
          <w:szCs w:val="16"/>
        </w:rPr>
        <w:t> podľa § 5 zákona č. 7/2010 Z. z. o ochrane pred povodňami v znení neskorších predpisov</w:t>
      </w:r>
    </w:p>
  </w:footnote>
  <w:footnote w:id="298">
    <w:p w:rsidR="00007508" w:rsidRDefault="00007508" w:rsidP="0064605C">
      <w:pPr>
        <w:pStyle w:val="Textpoznmkypodiarou"/>
        <w:ind w:left="170" w:hanging="170"/>
      </w:pPr>
      <w:r w:rsidRPr="00D828C9">
        <w:rPr>
          <w:rStyle w:val="Odkaznapoznmkupodiarou"/>
          <w:szCs w:val="16"/>
        </w:rPr>
        <w:footnoteRef/>
      </w:r>
      <w:r w:rsidRPr="00D828C9">
        <w:rPr>
          <w:szCs w:val="16"/>
        </w:rPr>
        <w:t xml:space="preserve"> </w:t>
      </w:r>
      <w:r>
        <w:rPr>
          <w:szCs w:val="16"/>
        </w:rPr>
        <w:t>S</w:t>
      </w:r>
      <w:r w:rsidRPr="00D828C9">
        <w:rPr>
          <w:szCs w:val="16"/>
        </w:rPr>
        <w:t>tratégia EÚ na ochranu biodiverzity do roku 2020</w:t>
      </w:r>
      <w:r>
        <w:rPr>
          <w:szCs w:val="16"/>
        </w:rPr>
        <w:t xml:space="preserve"> </w:t>
      </w:r>
      <w:hyperlink r:id="rId69" w:history="1">
        <w:r w:rsidRPr="00DC5F52">
          <w:rPr>
            <w:rStyle w:val="Hypertextovprepojenie"/>
            <w:szCs w:val="16"/>
          </w:rPr>
          <w:t>http://ec.europa.eu/environment/pubs/pdf/factsheets/biodiversity_2020/2020%20Biodiversity%20Factsheet_SK.pdf</w:t>
        </w:r>
      </w:hyperlink>
    </w:p>
  </w:footnote>
  <w:footnote w:id="299">
    <w:p w:rsidR="00007508" w:rsidRDefault="00007508" w:rsidP="0064605C">
      <w:pPr>
        <w:pStyle w:val="Textpoznmkypodiarou"/>
        <w:ind w:left="170" w:hanging="170"/>
      </w:pPr>
      <w:r w:rsidRPr="00D828C9">
        <w:rPr>
          <w:rStyle w:val="Odkaznapoznmkupodiarou"/>
          <w:szCs w:val="16"/>
        </w:rPr>
        <w:footnoteRef/>
      </w:r>
      <w:r w:rsidRPr="00D828C9">
        <w:rPr>
          <w:szCs w:val="16"/>
        </w:rPr>
        <w:t xml:space="preserve"> </w:t>
      </w:r>
      <w:r>
        <w:rPr>
          <w:szCs w:val="16"/>
        </w:rPr>
        <w:t>K</w:t>
      </w:r>
      <w:r w:rsidRPr="00D828C9">
        <w:rPr>
          <w:szCs w:val="16"/>
        </w:rPr>
        <w:t xml:space="preserve">roky nevyhnutné pre navrhovanú obnovu </w:t>
      </w:r>
      <w:r>
        <w:rPr>
          <w:szCs w:val="16"/>
        </w:rPr>
        <w:t>s</w:t>
      </w:r>
      <w:r w:rsidRPr="00D828C9">
        <w:rPr>
          <w:szCs w:val="16"/>
        </w:rPr>
        <w:t xml:space="preserve">ú zapracované v Prioritnom </w:t>
      </w:r>
      <w:r>
        <w:rPr>
          <w:szCs w:val="16"/>
        </w:rPr>
        <w:t>ak</w:t>
      </w:r>
      <w:r w:rsidRPr="00D828C9">
        <w:rPr>
          <w:szCs w:val="16"/>
        </w:rPr>
        <w:t>čnom rámci financovania NATURA 2000 v </w:t>
      </w:r>
      <w:r>
        <w:rPr>
          <w:szCs w:val="16"/>
        </w:rPr>
        <w:t>S</w:t>
      </w:r>
      <w:r w:rsidRPr="00D828C9">
        <w:rPr>
          <w:szCs w:val="16"/>
        </w:rPr>
        <w:t>lovenskej republike v EÚ programovom období 2014 – 2020</w:t>
      </w:r>
    </w:p>
  </w:footnote>
  <w:footnote w:id="300">
    <w:p w:rsidR="00007508" w:rsidRDefault="00007508" w:rsidP="0064605C">
      <w:pPr>
        <w:pStyle w:val="Textpoznmkypodiarou"/>
        <w:ind w:left="170" w:hanging="170"/>
      </w:pPr>
      <w:r w:rsidRPr="004E4FDE">
        <w:rPr>
          <w:rStyle w:val="Odkaznapoznmkupodiarou"/>
          <w:szCs w:val="16"/>
        </w:rPr>
        <w:footnoteRef/>
      </w:r>
      <w:r w:rsidRPr="004E4FDE">
        <w:rPr>
          <w:szCs w:val="16"/>
        </w:rPr>
        <w:t xml:space="preserve"> World Government Indicators (WGI) database, World Bank, 2012; hodnotí 6 oblastí: efektivita verejnej správy, sloboda, politická stabilita, kvalita regulácie, vymožiteľnosť práva a kontrola korupcie</w:t>
      </w:r>
    </w:p>
  </w:footnote>
  <w:footnote w:id="301">
    <w:p w:rsidR="00007508" w:rsidRDefault="00007508" w:rsidP="00A678A6">
      <w:pPr>
        <w:pStyle w:val="Textpoznmkypodiarou"/>
      </w:pPr>
      <w:r w:rsidRPr="004E4FDE">
        <w:rPr>
          <w:rStyle w:val="Odkaznapoznmkupodiarou"/>
          <w:szCs w:val="16"/>
        </w:rPr>
        <w:footnoteRef/>
      </w:r>
      <w:r w:rsidRPr="004E4FDE">
        <w:rPr>
          <w:szCs w:val="16"/>
        </w:rPr>
        <w:t xml:space="preserve"> Excellence in Public </w:t>
      </w:r>
      <w:r w:rsidRPr="004E4FDE">
        <w:rPr>
          <w:szCs w:val="16"/>
          <w:lang w:val="en-GB"/>
        </w:rPr>
        <w:t>Administration for competitiveness in the EU Member States</w:t>
      </w:r>
    </w:p>
  </w:footnote>
  <w:footnote w:id="302">
    <w:p w:rsidR="00007508" w:rsidRDefault="00007508" w:rsidP="0027382A">
      <w:pPr>
        <w:pStyle w:val="Textpoznmkypodiarou"/>
        <w:ind w:left="170" w:hanging="170"/>
      </w:pPr>
      <w:r w:rsidRPr="004E4FDE">
        <w:rPr>
          <w:rStyle w:val="Odkaznapoznmkupodiarou"/>
          <w:szCs w:val="16"/>
        </w:rPr>
        <w:footnoteRef/>
      </w:r>
      <w:r>
        <w:t xml:space="preserve"> </w:t>
      </w:r>
      <w:hyperlink r:id="rId70" w:history="1">
        <w:r w:rsidRPr="002A4153">
          <w:rPr>
            <w:rStyle w:val="Hypertextovprepojenie"/>
            <w:szCs w:val="16"/>
          </w:rPr>
          <w:t>http://www.nsrr.sk/sk/programove-obdobie-2014---2020/pozicny-dokument-europskej-komisie-k-partnerskej-dohode-a-programom-sr-na-roky-2014---2020/</w:t>
        </w:r>
      </w:hyperlink>
    </w:p>
  </w:footnote>
  <w:footnote w:id="303">
    <w:p w:rsidR="00007508" w:rsidRDefault="00007508" w:rsidP="0027382A">
      <w:pPr>
        <w:pStyle w:val="Textpoznmkypodiarou"/>
        <w:ind w:left="170" w:hanging="170"/>
      </w:pPr>
      <w:r>
        <w:rPr>
          <w:rStyle w:val="Odkaznapoznmkupodiarou"/>
        </w:rPr>
        <w:footnoteRef/>
      </w:r>
      <w:r>
        <w:t xml:space="preserve"> N</w:t>
      </w:r>
      <w:r w:rsidRPr="00393DEA">
        <w:t>apr. 2014 EU Justice Scoreboard (z hľadiska ukazovateľa vnímania nezávislosti súdnictva sa SR umiestnila na poslednom mieste z krajín EÚ, z hľadiska ukazovateľa</w:t>
      </w:r>
      <w:r>
        <w:t xml:space="preserve"> </w:t>
      </w:r>
      <w:r w:rsidRPr="00393DEA">
        <w:t>času potrebného na riešenie konkurzov sa SR umiestnila na poslednom mieste z krajín EÚ</w:t>
      </w:r>
      <w:r>
        <w:t>)</w:t>
      </w:r>
    </w:p>
  </w:footnote>
  <w:footnote w:id="304">
    <w:p w:rsidR="00007508" w:rsidRDefault="00007508" w:rsidP="00A678A6">
      <w:pPr>
        <w:pStyle w:val="Textpoznmkypodiarou"/>
        <w:jc w:val="left"/>
      </w:pPr>
      <w:r w:rsidRPr="004E4FDE">
        <w:rPr>
          <w:rStyle w:val="Odkaznapoznmkupodiarou"/>
          <w:szCs w:val="16"/>
        </w:rPr>
        <w:footnoteRef/>
      </w:r>
      <w:r w:rsidRPr="004E4FDE">
        <w:rPr>
          <w:szCs w:val="16"/>
        </w:rPr>
        <w:t xml:space="preserve"> Dokument: </w:t>
      </w:r>
      <w:hyperlink r:id="rId71" w:history="1">
        <w:r w:rsidRPr="002A4153">
          <w:rPr>
            <w:rStyle w:val="Hypertextovprepojenie"/>
            <w:szCs w:val="16"/>
          </w:rPr>
          <w:t>http://eur-lex.europa.eu/LexUriServ/LexUriServ.do?uri=OJ:C:2013:217:0071:0074:SK:PD</w:t>
        </w:r>
      </w:hyperlink>
    </w:p>
  </w:footnote>
  <w:footnote w:id="305">
    <w:p w:rsidR="00007508" w:rsidRDefault="00007508" w:rsidP="0027382A">
      <w:pPr>
        <w:pStyle w:val="Textpoznmkypodiarou"/>
        <w:ind w:left="170" w:hanging="170"/>
      </w:pPr>
      <w:r w:rsidRPr="00D828C9">
        <w:rPr>
          <w:rStyle w:val="Odkaznapoznmkupodiarou"/>
          <w:szCs w:val="16"/>
        </w:rPr>
        <w:footnoteRef/>
      </w:r>
      <w:r w:rsidRPr="00D828C9">
        <w:rPr>
          <w:szCs w:val="16"/>
        </w:rPr>
        <w:t xml:space="preserve"> Odporúčanie Rady, </w:t>
      </w:r>
      <w:r>
        <w:rPr>
          <w:szCs w:val="16"/>
        </w:rPr>
        <w:t>k</w:t>
      </w:r>
      <w:r w:rsidRPr="00D828C9">
        <w:rPr>
          <w:szCs w:val="16"/>
        </w:rPr>
        <w:t xml:space="preserve">toré </w:t>
      </w:r>
      <w:r>
        <w:rPr>
          <w:szCs w:val="16"/>
        </w:rPr>
        <w:t>s</w:t>
      </w:r>
      <w:r w:rsidRPr="00D828C9">
        <w:rPr>
          <w:szCs w:val="16"/>
        </w:rPr>
        <w:t xml:space="preserve">a týka </w:t>
      </w:r>
      <w:r>
        <w:rPr>
          <w:szCs w:val="16"/>
        </w:rPr>
        <w:t xml:space="preserve">národného </w:t>
      </w:r>
      <w:r w:rsidRPr="00D828C9">
        <w:rPr>
          <w:szCs w:val="16"/>
        </w:rPr>
        <w:t xml:space="preserve">programu reforiem </w:t>
      </w:r>
      <w:r>
        <w:rPr>
          <w:szCs w:val="16"/>
        </w:rPr>
        <w:t>S</w:t>
      </w:r>
      <w:r w:rsidRPr="00D828C9">
        <w:rPr>
          <w:szCs w:val="16"/>
        </w:rPr>
        <w:t xml:space="preserve">lovenska na rok 2013 </w:t>
      </w:r>
      <w:r>
        <w:rPr>
          <w:szCs w:val="16"/>
        </w:rPr>
        <w:t>a</w:t>
      </w:r>
      <w:r w:rsidRPr="00D828C9">
        <w:rPr>
          <w:szCs w:val="16"/>
        </w:rPr>
        <w:t> </w:t>
      </w:r>
      <w:r>
        <w:rPr>
          <w:szCs w:val="16"/>
        </w:rPr>
        <w:t>k</w:t>
      </w:r>
      <w:r w:rsidRPr="00D828C9">
        <w:rPr>
          <w:szCs w:val="16"/>
        </w:rPr>
        <w:t xml:space="preserve">torým </w:t>
      </w:r>
      <w:r>
        <w:rPr>
          <w:szCs w:val="16"/>
        </w:rPr>
        <w:t>s</w:t>
      </w:r>
      <w:r w:rsidRPr="00D828C9">
        <w:rPr>
          <w:szCs w:val="16"/>
        </w:rPr>
        <w:t xml:space="preserve">a predkladá </w:t>
      </w:r>
      <w:r>
        <w:rPr>
          <w:szCs w:val="16"/>
        </w:rPr>
        <w:t>s</w:t>
      </w:r>
      <w:r w:rsidRPr="00D828C9">
        <w:rPr>
          <w:szCs w:val="16"/>
        </w:rPr>
        <w:t xml:space="preserve">tanovisko Rady </w:t>
      </w:r>
      <w:r>
        <w:rPr>
          <w:szCs w:val="16"/>
        </w:rPr>
        <w:t>k</w:t>
      </w:r>
      <w:r w:rsidRPr="00D828C9">
        <w:rPr>
          <w:szCs w:val="16"/>
        </w:rPr>
        <w:t xml:space="preserve"> programu </w:t>
      </w:r>
      <w:r>
        <w:rPr>
          <w:szCs w:val="16"/>
        </w:rPr>
        <w:t>s</w:t>
      </w:r>
      <w:r w:rsidRPr="00D828C9">
        <w:rPr>
          <w:szCs w:val="16"/>
        </w:rPr>
        <w:t xml:space="preserve">tability na roky 2012 – 2016 (odporúčanie č. 2 </w:t>
      </w:r>
      <w:r>
        <w:rPr>
          <w:szCs w:val="16"/>
        </w:rPr>
        <w:t>a</w:t>
      </w:r>
      <w:r w:rsidRPr="00D828C9">
        <w:rPr>
          <w:szCs w:val="16"/>
        </w:rPr>
        <w:t xml:space="preserve"> 6)</w:t>
      </w:r>
    </w:p>
  </w:footnote>
  <w:footnote w:id="306">
    <w:p w:rsidR="00007508" w:rsidRDefault="00007508" w:rsidP="0027382A">
      <w:pPr>
        <w:pStyle w:val="Textpoznmkypodiarou"/>
        <w:ind w:left="170" w:hanging="170"/>
      </w:pPr>
      <w:r w:rsidRPr="00CD0FE0">
        <w:rPr>
          <w:szCs w:val="16"/>
          <w:vertAlign w:val="superscript"/>
        </w:rPr>
        <w:footnoteRef/>
      </w:r>
      <w:r w:rsidRPr="006B449D">
        <w:rPr>
          <w:szCs w:val="16"/>
          <w:vertAlign w:val="superscript"/>
        </w:rPr>
        <w:t xml:space="preserve"> </w:t>
      </w:r>
      <w:r w:rsidRPr="004E4FDE">
        <w:rPr>
          <w:szCs w:val="16"/>
        </w:rPr>
        <w:t xml:space="preserve">Odporúčania Rady, ktoré sa týka </w:t>
      </w:r>
      <w:r>
        <w:rPr>
          <w:szCs w:val="16"/>
        </w:rPr>
        <w:t xml:space="preserve">národného </w:t>
      </w:r>
      <w:r w:rsidRPr="004E4FDE">
        <w:rPr>
          <w:szCs w:val="16"/>
        </w:rPr>
        <w:t>programu reforiem Slovenska na rok 2013 a ktorým sa ukladá stanovisko Rady k programu stability na roky 2013 - 2014 (odporúčanie č. 2)</w:t>
      </w:r>
    </w:p>
  </w:footnote>
  <w:footnote w:id="307">
    <w:p w:rsidR="00007508" w:rsidRDefault="00007508" w:rsidP="0027382A">
      <w:pPr>
        <w:pStyle w:val="Textpoznmkypodiarou"/>
        <w:ind w:left="170" w:hanging="170"/>
      </w:pPr>
      <w:r w:rsidRPr="008B2072">
        <w:rPr>
          <w:szCs w:val="16"/>
          <w:vertAlign w:val="superscript"/>
        </w:rPr>
        <w:footnoteRef/>
      </w:r>
      <w:r w:rsidRPr="004E4FDE">
        <w:rPr>
          <w:szCs w:val="16"/>
        </w:rPr>
        <w:t xml:space="preserve"> </w:t>
      </w:r>
      <w:r>
        <w:rPr>
          <w:szCs w:val="16"/>
        </w:rPr>
        <w:t>S</w:t>
      </w:r>
      <w:r w:rsidRPr="004E4FDE">
        <w:rPr>
          <w:szCs w:val="16"/>
        </w:rPr>
        <w:t>tr. 13 „Základné východiská reformy verejnej správy v Slovenskej republike“, vláda SR na 88. rokovaní vlády SR zobrala dňa 18. 1. 2014 na vedomie</w:t>
      </w:r>
    </w:p>
  </w:footnote>
  <w:footnote w:id="308">
    <w:p w:rsidR="00007508" w:rsidRDefault="00007508" w:rsidP="0027382A">
      <w:pPr>
        <w:pStyle w:val="Textpoznmkypodiarou"/>
        <w:ind w:left="170" w:hanging="170"/>
      </w:pPr>
      <w:r>
        <w:rPr>
          <w:rStyle w:val="Odkaznapoznmkupodiarou"/>
        </w:rPr>
        <w:footnoteRef/>
      </w:r>
      <w:r>
        <w:t xml:space="preserve"> </w:t>
      </w:r>
      <w:r w:rsidRPr="008935E8">
        <w:t>Vykonávacie nariadenie Komisie (EÚ) . 215/2014 zo 7. marca 2014, ktorým sa stanovujú pravidlá vykonávania 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footnote>
  <w:footnote w:id="309">
    <w:p w:rsidR="00007508" w:rsidRDefault="00007508">
      <w:pPr>
        <w:pStyle w:val="Textpoznmkypodiarou"/>
      </w:pPr>
      <w:r w:rsidRPr="00D20ED7">
        <w:rPr>
          <w:szCs w:val="16"/>
          <w:vertAlign w:val="superscript"/>
        </w:rPr>
        <w:footnoteRef/>
      </w:r>
      <w:r w:rsidRPr="004E4FDE">
        <w:rPr>
          <w:szCs w:val="16"/>
        </w:rPr>
        <w:t xml:space="preserve"> V zmysle zákona č. 575/2001 Z. z. o organizácii činnosti vlády a organizácii ústrednej štátnej správy v znení neskorších predpisov</w:t>
      </w:r>
      <w:r>
        <w:rPr>
          <w:szCs w:val="16"/>
        </w:rPr>
        <w:t xml:space="preserve"> </w:t>
      </w:r>
      <w:r w:rsidRPr="00061036">
        <w:t>účinnom k 1.</w:t>
      </w:r>
      <w:r>
        <w:t xml:space="preserve"> </w:t>
      </w:r>
      <w:r w:rsidRPr="00061036">
        <w:t>6.</w:t>
      </w:r>
      <w:r>
        <w:t xml:space="preserve"> </w:t>
      </w:r>
      <w:r w:rsidRPr="00061036">
        <w:t>2016. Do 31.</w:t>
      </w:r>
      <w:r>
        <w:t xml:space="preserve"> </w:t>
      </w:r>
      <w:r w:rsidRPr="00061036">
        <w:t>5.</w:t>
      </w:r>
      <w:r>
        <w:t xml:space="preserve"> </w:t>
      </w:r>
      <w:r w:rsidRPr="00061036">
        <w:t>2016 koordinoval využívanie prostriedkov z fondov EÚ Úrad vlády SR.</w:t>
      </w:r>
    </w:p>
  </w:footnote>
  <w:footnote w:id="310">
    <w:p w:rsidR="00007508" w:rsidRDefault="00007508" w:rsidP="0027382A">
      <w:pPr>
        <w:pStyle w:val="Textpoznmkypodiarou"/>
        <w:ind w:left="170" w:hanging="170"/>
      </w:pPr>
      <w:r w:rsidRPr="00D828C9">
        <w:rPr>
          <w:rStyle w:val="Odkaznapoznmkupodiarou"/>
          <w:szCs w:val="16"/>
        </w:rPr>
        <w:footnoteRef/>
      </w:r>
      <w:r w:rsidRPr="00D828C9">
        <w:rPr>
          <w:rStyle w:val="Odkaznapoznmkupodiarou"/>
          <w:szCs w:val="16"/>
        </w:rPr>
        <w:t xml:space="preserve"> </w:t>
      </w:r>
      <w:r w:rsidRPr="00D828C9">
        <w:rPr>
          <w:szCs w:val="16"/>
        </w:rPr>
        <w:t xml:space="preserve">Riadiace orgány v rámci cieľa Investovanie do rastu </w:t>
      </w:r>
      <w:r>
        <w:rPr>
          <w:szCs w:val="16"/>
        </w:rPr>
        <w:t>a </w:t>
      </w:r>
      <w:r w:rsidRPr="00D828C9">
        <w:rPr>
          <w:szCs w:val="16"/>
        </w:rPr>
        <w:t>zamestnanosti</w:t>
      </w:r>
      <w:r>
        <w:rPr>
          <w:szCs w:val="16"/>
        </w:rPr>
        <w:t xml:space="preserve"> a pre EPFRV a ENRF</w:t>
      </w:r>
      <w:r w:rsidRPr="00D828C9">
        <w:rPr>
          <w:szCs w:val="16"/>
        </w:rPr>
        <w:t xml:space="preserve"> boli </w:t>
      </w:r>
      <w:r>
        <w:rPr>
          <w:szCs w:val="16"/>
        </w:rPr>
        <w:t>s</w:t>
      </w:r>
      <w:r w:rsidRPr="00D828C9">
        <w:rPr>
          <w:szCs w:val="16"/>
        </w:rPr>
        <w:t xml:space="preserve">tanovené uznesením vlády </w:t>
      </w:r>
      <w:r>
        <w:rPr>
          <w:szCs w:val="16"/>
        </w:rPr>
        <w:t>S</w:t>
      </w:r>
      <w:r w:rsidRPr="00D828C9">
        <w:rPr>
          <w:szCs w:val="16"/>
        </w:rPr>
        <w:t xml:space="preserve">R č. 139/2013 </w:t>
      </w:r>
      <w:r>
        <w:rPr>
          <w:szCs w:val="16"/>
        </w:rPr>
        <w:t>k</w:t>
      </w:r>
      <w:r w:rsidRPr="00D828C9">
        <w:rPr>
          <w:szCs w:val="16"/>
        </w:rPr>
        <w:t xml:space="preserve"> návrhu štruktúry operačných programov financovaných z</w:t>
      </w:r>
      <w:r>
        <w:rPr>
          <w:szCs w:val="16"/>
        </w:rPr>
        <w:t> Eur</w:t>
      </w:r>
      <w:r w:rsidRPr="00D828C9">
        <w:rPr>
          <w:szCs w:val="16"/>
        </w:rPr>
        <w:t xml:space="preserve">ópskych štrukturálnych </w:t>
      </w:r>
      <w:r>
        <w:rPr>
          <w:szCs w:val="16"/>
        </w:rPr>
        <w:t>a</w:t>
      </w:r>
      <w:r w:rsidRPr="00D828C9">
        <w:rPr>
          <w:szCs w:val="16"/>
        </w:rPr>
        <w:t xml:space="preserve"> investičných fondov na programové obdobie 2014 – 2020 </w:t>
      </w:r>
      <w:r>
        <w:rPr>
          <w:szCs w:val="16"/>
        </w:rPr>
        <w:t>a</w:t>
      </w:r>
      <w:r w:rsidRPr="00D828C9">
        <w:rPr>
          <w:szCs w:val="16"/>
        </w:rPr>
        <w:t xml:space="preserve"> orgány zodpovedné za prípravu </w:t>
      </w:r>
      <w:r>
        <w:rPr>
          <w:szCs w:val="16"/>
        </w:rPr>
        <w:t>a</w:t>
      </w:r>
      <w:r w:rsidRPr="00D828C9">
        <w:rPr>
          <w:szCs w:val="16"/>
        </w:rPr>
        <w:t xml:space="preserve"> implementáciu programov v rámci cieľa </w:t>
      </w:r>
      <w:r>
        <w:rPr>
          <w:szCs w:val="16"/>
        </w:rPr>
        <w:t>Eur</w:t>
      </w:r>
      <w:r w:rsidRPr="00D828C9">
        <w:rPr>
          <w:szCs w:val="16"/>
        </w:rPr>
        <w:t xml:space="preserve">ópska územná </w:t>
      </w:r>
      <w:r>
        <w:rPr>
          <w:szCs w:val="16"/>
        </w:rPr>
        <w:t>s</w:t>
      </w:r>
      <w:r w:rsidRPr="00D828C9">
        <w:rPr>
          <w:szCs w:val="16"/>
        </w:rPr>
        <w:t xml:space="preserve">polupráca uznesením vlády </w:t>
      </w:r>
      <w:r>
        <w:rPr>
          <w:szCs w:val="16"/>
        </w:rPr>
        <w:t>S</w:t>
      </w:r>
      <w:r w:rsidRPr="00D828C9">
        <w:rPr>
          <w:szCs w:val="16"/>
        </w:rPr>
        <w:t xml:space="preserve">R č. 604/2013 </w:t>
      </w:r>
      <w:r>
        <w:rPr>
          <w:szCs w:val="16"/>
        </w:rPr>
        <w:t>k </w:t>
      </w:r>
      <w:r w:rsidRPr="00D828C9">
        <w:rPr>
          <w:szCs w:val="16"/>
        </w:rPr>
        <w:t xml:space="preserve">návrhu určenia orgánov zodpovedných za prípravu </w:t>
      </w:r>
      <w:r>
        <w:rPr>
          <w:szCs w:val="16"/>
        </w:rPr>
        <w:t>a</w:t>
      </w:r>
      <w:r w:rsidRPr="00D828C9">
        <w:rPr>
          <w:szCs w:val="16"/>
        </w:rPr>
        <w:t xml:space="preserve"> implementáciu programov v</w:t>
      </w:r>
      <w:r>
        <w:rPr>
          <w:szCs w:val="16"/>
        </w:rPr>
        <w:t> </w:t>
      </w:r>
      <w:r w:rsidRPr="00D828C9">
        <w:rPr>
          <w:szCs w:val="16"/>
        </w:rPr>
        <w:t xml:space="preserve">rámci cieľa </w:t>
      </w:r>
      <w:r>
        <w:rPr>
          <w:szCs w:val="16"/>
        </w:rPr>
        <w:t>Eur</w:t>
      </w:r>
      <w:r w:rsidRPr="00D828C9">
        <w:rPr>
          <w:szCs w:val="16"/>
        </w:rPr>
        <w:t xml:space="preserve">ópska územná </w:t>
      </w:r>
      <w:r>
        <w:rPr>
          <w:szCs w:val="16"/>
        </w:rPr>
        <w:t>s</w:t>
      </w:r>
      <w:r w:rsidRPr="00D828C9">
        <w:rPr>
          <w:szCs w:val="16"/>
        </w:rPr>
        <w:t>polupráca v</w:t>
      </w:r>
      <w:r>
        <w:rPr>
          <w:szCs w:val="16"/>
        </w:rPr>
        <w:t> </w:t>
      </w:r>
      <w:r w:rsidRPr="00D828C9">
        <w:rPr>
          <w:szCs w:val="16"/>
        </w:rPr>
        <w:t>programovom období 2014 – 2020 v</w:t>
      </w:r>
      <w:r>
        <w:rPr>
          <w:szCs w:val="16"/>
        </w:rPr>
        <w:t> </w:t>
      </w:r>
      <w:r w:rsidRPr="00D828C9">
        <w:rPr>
          <w:szCs w:val="16"/>
        </w:rPr>
        <w:t xml:space="preserve">podmienkach </w:t>
      </w:r>
      <w:r>
        <w:rPr>
          <w:szCs w:val="16"/>
        </w:rPr>
        <w:t>S</w:t>
      </w:r>
      <w:r w:rsidRPr="00D828C9">
        <w:rPr>
          <w:szCs w:val="16"/>
        </w:rPr>
        <w:t>lovenskej republiky</w:t>
      </w:r>
    </w:p>
  </w:footnote>
  <w:footnote w:id="311">
    <w:p w:rsidR="00007508" w:rsidRDefault="00007508" w:rsidP="0027382A">
      <w:pPr>
        <w:pStyle w:val="Textpoznmkypodiarou"/>
        <w:ind w:left="170" w:hanging="170"/>
      </w:pPr>
      <w:r w:rsidRPr="00CD0FE0">
        <w:rPr>
          <w:szCs w:val="16"/>
          <w:vertAlign w:val="superscript"/>
        </w:rPr>
        <w:footnoteRef/>
      </w:r>
      <w:r w:rsidRPr="004E4FDE">
        <w:rPr>
          <w:szCs w:val="16"/>
        </w:rPr>
        <w:t xml:space="preserve"> </w:t>
      </w:r>
      <w:r w:rsidRPr="00913E60">
        <w:rPr>
          <w:szCs w:val="16"/>
        </w:rPr>
        <w:t>Delegované nariadenie Komisie (EÚ) č. 240/2014 zo 7. januára 2014 o európskom kódexe správania pre partnerstvo v rámci európskych štrukturálnych a</w:t>
      </w:r>
      <w:r>
        <w:rPr>
          <w:szCs w:val="16"/>
        </w:rPr>
        <w:t> </w:t>
      </w:r>
      <w:r w:rsidRPr="00913E60">
        <w:rPr>
          <w:szCs w:val="16"/>
        </w:rPr>
        <w:t>investičných</w:t>
      </w:r>
      <w:r>
        <w:rPr>
          <w:szCs w:val="16"/>
        </w:rPr>
        <w:t xml:space="preserve"> </w:t>
      </w:r>
      <w:r w:rsidRPr="00913E60">
        <w:rPr>
          <w:szCs w:val="16"/>
        </w:rPr>
        <w:t>fondov</w:t>
      </w:r>
    </w:p>
  </w:footnote>
  <w:footnote w:id="312">
    <w:p w:rsidR="00007508" w:rsidRDefault="00007508" w:rsidP="0027382A">
      <w:pPr>
        <w:pStyle w:val="Textpoznmkypodiarou"/>
        <w:ind w:left="170" w:hanging="170"/>
      </w:pPr>
      <w:r w:rsidRPr="00D20ED7">
        <w:rPr>
          <w:szCs w:val="16"/>
          <w:vertAlign w:val="superscript"/>
        </w:rPr>
        <w:footnoteRef/>
      </w:r>
      <w:r w:rsidRPr="006B449D">
        <w:rPr>
          <w:szCs w:val="16"/>
          <w:vertAlign w:val="superscript"/>
        </w:rPr>
        <w:t xml:space="preserve"> </w:t>
      </w:r>
      <w:r w:rsidRPr="004E4FDE">
        <w:rPr>
          <w:szCs w:val="16"/>
        </w:rPr>
        <w:t>Usmernenia CKO k príprave operačných programov na roky 2014 – 2020 a zapojeniu partnerov mimovládnych neziskových organizácií do prípravy operačných programov boli zaslané elektronicky jednotlivým riadiacim orgánom</w:t>
      </w:r>
    </w:p>
  </w:footnote>
  <w:footnote w:id="313">
    <w:p w:rsidR="00007508" w:rsidRDefault="00007508">
      <w:pPr>
        <w:pStyle w:val="Textpoznmkypodiarou"/>
      </w:pPr>
      <w:r w:rsidRPr="009B5676">
        <w:rPr>
          <w:szCs w:val="16"/>
          <w:vertAlign w:val="superscript"/>
        </w:rPr>
        <w:footnoteRef/>
      </w:r>
      <w:r w:rsidRPr="009B5676">
        <w:rPr>
          <w:szCs w:val="16"/>
          <w:vertAlign w:val="superscript"/>
        </w:rPr>
        <w:t xml:space="preserve"> </w:t>
      </w:r>
      <w:hyperlink r:id="rId72" w:history="1">
        <w:r w:rsidRPr="003A2122">
          <w:rPr>
            <w:rStyle w:val="Hypertextovprepojenie"/>
            <w:szCs w:val="16"/>
          </w:rPr>
          <w:t>http://www.nsrr.sk/sk/programove-obdobie-2014---2020/dotaznik/</w:t>
        </w:r>
      </w:hyperlink>
    </w:p>
  </w:footnote>
  <w:footnote w:id="314">
    <w:p w:rsidR="00007508" w:rsidRDefault="00007508">
      <w:pPr>
        <w:pStyle w:val="Textpoznmkypodiarou"/>
      </w:pPr>
      <w:r w:rsidRPr="009B5676">
        <w:rPr>
          <w:szCs w:val="16"/>
          <w:vertAlign w:val="superscript"/>
        </w:rPr>
        <w:footnoteRef/>
      </w:r>
      <w:r w:rsidRPr="004E4FDE">
        <w:rPr>
          <w:szCs w:val="16"/>
        </w:rPr>
        <w:t xml:space="preserve"> </w:t>
      </w:r>
      <w:hyperlink r:id="rId73" w:history="1">
        <w:r w:rsidRPr="003A2122">
          <w:rPr>
            <w:rStyle w:val="Hypertextovprepojenie"/>
            <w:szCs w:val="16"/>
          </w:rPr>
          <w:t>http://www.nsrr.sk/sk/programove-obdobie-2014---2020/negociacie-k-priprave-partnerskej-dohody-sr-a-op/</w:t>
        </w:r>
      </w:hyperlink>
    </w:p>
  </w:footnote>
  <w:footnote w:id="315">
    <w:p w:rsidR="00007508" w:rsidRDefault="00007508" w:rsidP="0027382A">
      <w:pPr>
        <w:pStyle w:val="Textpoznmkypodiarou"/>
        <w:ind w:left="170" w:hanging="170"/>
      </w:pPr>
      <w:r w:rsidRPr="009B5676">
        <w:rPr>
          <w:szCs w:val="16"/>
          <w:vertAlign w:val="superscript"/>
        </w:rPr>
        <w:footnoteRef/>
      </w:r>
      <w:r w:rsidRPr="004E4FDE">
        <w:rPr>
          <w:szCs w:val="16"/>
        </w:rPr>
        <w:t xml:space="preserve"> Verejné prerokovanie Správy o hodnotení strategického dokumentu s celoštátnym dosahom „Partnerská dohoda SR na roky 2014 – 2020“ a</w:t>
      </w:r>
      <w:r>
        <w:rPr>
          <w:szCs w:val="16"/>
        </w:rPr>
        <w:t> </w:t>
      </w:r>
      <w:r w:rsidRPr="004E4FDE">
        <w:rPr>
          <w:szCs w:val="16"/>
        </w:rPr>
        <w:t>Návrhu</w:t>
      </w:r>
      <w:r>
        <w:rPr>
          <w:szCs w:val="16"/>
        </w:rPr>
        <w:t xml:space="preserve"> </w:t>
      </w:r>
      <w:r w:rsidRPr="004E4FDE">
        <w:rPr>
          <w:szCs w:val="16"/>
        </w:rPr>
        <w:t>Partnerskej dohody SR na roky 2014 – 2020 sa uskutočnilo dňa 7. novembra 2013 v priestoroch Úradu vlády SR</w:t>
      </w:r>
    </w:p>
  </w:footnote>
  <w:footnote w:id="316">
    <w:p w:rsidR="00007508" w:rsidRDefault="00007508">
      <w:pPr>
        <w:pStyle w:val="Textpoznmkypodiarou"/>
      </w:pPr>
      <w:r>
        <w:rPr>
          <w:rStyle w:val="Odkaznapoznmkupodiarou"/>
        </w:rPr>
        <w:footnoteRef/>
      </w:r>
      <w:r>
        <w:t xml:space="preserve"> </w:t>
      </w:r>
      <w:r w:rsidRPr="00493A6C">
        <w:t>V prípade EPFRV a ENRF sa v prípade „prioritnej osi“ rozumie „priorita Únie“</w:t>
      </w:r>
    </w:p>
  </w:footnote>
  <w:footnote w:id="317">
    <w:p w:rsidR="00007508" w:rsidRDefault="00007508" w:rsidP="0027382A">
      <w:pPr>
        <w:pStyle w:val="Textpoznmkypodiarou"/>
        <w:ind w:left="170" w:hanging="170"/>
      </w:pPr>
      <w:r w:rsidRPr="00D828C9">
        <w:rPr>
          <w:rStyle w:val="Odkaznapoznmkupodiarou"/>
          <w:szCs w:val="16"/>
        </w:rPr>
        <w:footnoteRef/>
      </w:r>
      <w:r w:rsidRPr="00D828C9">
        <w:rPr>
          <w:szCs w:val="16"/>
        </w:rPr>
        <w:t xml:space="preserve"> </w:t>
      </w:r>
      <w:r w:rsidRPr="00D828C9">
        <w:rPr>
          <w:rFonts w:eastAsia="Times New Roman"/>
          <w:szCs w:val="16"/>
        </w:rPr>
        <w:t xml:space="preserve">Čl. </w:t>
      </w:r>
      <w:r>
        <w:rPr>
          <w:rFonts w:eastAsia="Times New Roman"/>
          <w:szCs w:val="16"/>
        </w:rPr>
        <w:t>1</w:t>
      </w:r>
      <w:r w:rsidRPr="00D828C9">
        <w:rPr>
          <w:rFonts w:eastAsia="Times New Roman"/>
          <w:szCs w:val="16"/>
        </w:rPr>
        <w:t xml:space="preserve"> ods. 2 Dohovoru OSN o právach osôb </w:t>
      </w:r>
      <w:r>
        <w:rPr>
          <w:rFonts w:eastAsia="Times New Roman"/>
          <w:szCs w:val="16"/>
        </w:rPr>
        <w:t>s</w:t>
      </w:r>
      <w:r w:rsidRPr="00D828C9">
        <w:rPr>
          <w:rFonts w:eastAsia="Times New Roman"/>
          <w:szCs w:val="16"/>
        </w:rPr>
        <w:t xml:space="preserve">o zdravotným postihnutím definuje osoby </w:t>
      </w:r>
      <w:r>
        <w:rPr>
          <w:rFonts w:eastAsia="Times New Roman"/>
          <w:szCs w:val="16"/>
        </w:rPr>
        <w:t>s</w:t>
      </w:r>
      <w:r w:rsidRPr="00D828C9">
        <w:rPr>
          <w:rFonts w:eastAsia="Times New Roman"/>
          <w:szCs w:val="16"/>
        </w:rPr>
        <w:t xml:space="preserve">o zdravotným postihnutím </w:t>
      </w:r>
      <w:r>
        <w:rPr>
          <w:rFonts w:eastAsia="Times New Roman"/>
          <w:szCs w:val="16"/>
        </w:rPr>
        <w:t>ak</w:t>
      </w:r>
      <w:r w:rsidRPr="00D828C9">
        <w:rPr>
          <w:rFonts w:eastAsia="Times New Roman"/>
          <w:szCs w:val="16"/>
        </w:rPr>
        <w:t xml:space="preserve">o osoby </w:t>
      </w:r>
      <w:r>
        <w:rPr>
          <w:rFonts w:eastAsia="Times New Roman"/>
          <w:szCs w:val="16"/>
        </w:rPr>
        <w:t>s</w:t>
      </w:r>
      <w:r w:rsidRPr="00D828C9">
        <w:rPr>
          <w:rFonts w:eastAsia="Times New Roman"/>
          <w:szCs w:val="16"/>
        </w:rPr>
        <w:t xml:space="preserve"> dlhodobými telesnými, mentálnymi, intelektuálnymi </w:t>
      </w:r>
      <w:r>
        <w:rPr>
          <w:rFonts w:eastAsia="Times New Roman"/>
          <w:szCs w:val="16"/>
        </w:rPr>
        <w:t>a</w:t>
      </w:r>
      <w:r w:rsidRPr="00D828C9">
        <w:rPr>
          <w:rFonts w:eastAsia="Times New Roman"/>
          <w:szCs w:val="16"/>
        </w:rPr>
        <w:t xml:space="preserve">lebo zmyslovými postihnutiami, </w:t>
      </w:r>
      <w:r>
        <w:rPr>
          <w:rFonts w:eastAsia="Times New Roman"/>
          <w:szCs w:val="16"/>
        </w:rPr>
        <w:t>k</w:t>
      </w:r>
      <w:r w:rsidRPr="00D828C9">
        <w:rPr>
          <w:rFonts w:eastAsia="Times New Roman"/>
          <w:szCs w:val="16"/>
        </w:rPr>
        <w:t>toré v </w:t>
      </w:r>
      <w:r>
        <w:rPr>
          <w:rFonts w:eastAsia="Times New Roman"/>
          <w:szCs w:val="16"/>
        </w:rPr>
        <w:t>s</w:t>
      </w:r>
      <w:r w:rsidRPr="00D828C9">
        <w:rPr>
          <w:rFonts w:eastAsia="Times New Roman"/>
          <w:szCs w:val="16"/>
        </w:rPr>
        <w:t xml:space="preserve">účinnosti </w:t>
      </w:r>
      <w:r>
        <w:rPr>
          <w:rFonts w:eastAsia="Times New Roman"/>
          <w:szCs w:val="16"/>
        </w:rPr>
        <w:t>s</w:t>
      </w:r>
      <w:r w:rsidRPr="00D828C9">
        <w:rPr>
          <w:rFonts w:eastAsia="Times New Roman"/>
          <w:szCs w:val="16"/>
        </w:rPr>
        <w:t xml:space="preserve"> rôznymi prekážkami môžu brániť ich plnému </w:t>
      </w:r>
      <w:r>
        <w:rPr>
          <w:rFonts w:eastAsia="Times New Roman"/>
          <w:szCs w:val="16"/>
        </w:rPr>
        <w:t>a</w:t>
      </w:r>
      <w:r w:rsidRPr="00D828C9">
        <w:rPr>
          <w:rFonts w:eastAsia="Times New Roman"/>
          <w:szCs w:val="16"/>
        </w:rPr>
        <w:t xml:space="preserve"> účinnému zapojeniu do </w:t>
      </w:r>
      <w:r>
        <w:rPr>
          <w:rFonts w:eastAsia="Times New Roman"/>
          <w:szCs w:val="16"/>
        </w:rPr>
        <w:t>života s</w:t>
      </w:r>
      <w:r w:rsidRPr="00D828C9">
        <w:rPr>
          <w:rFonts w:eastAsia="Times New Roman"/>
          <w:szCs w:val="16"/>
        </w:rPr>
        <w:t xml:space="preserve">poločnosti na rovnakom základe </w:t>
      </w:r>
      <w:r>
        <w:rPr>
          <w:rFonts w:eastAsia="Times New Roman"/>
          <w:szCs w:val="16"/>
        </w:rPr>
        <w:t>s</w:t>
      </w:r>
      <w:r w:rsidRPr="00D828C9">
        <w:rPr>
          <w:rFonts w:eastAsia="Times New Roman"/>
          <w:szCs w:val="16"/>
        </w:rPr>
        <w:t> ostatnými</w:t>
      </w:r>
    </w:p>
  </w:footnote>
  <w:footnote w:id="318">
    <w:p w:rsidR="00007508" w:rsidRDefault="00007508" w:rsidP="0027382A">
      <w:pPr>
        <w:pStyle w:val="Textpoznmkypodiarou"/>
        <w:ind w:left="170" w:hanging="170"/>
      </w:pPr>
      <w:r w:rsidRPr="00924F25">
        <w:rPr>
          <w:rStyle w:val="Odkaznapoznmkupodiarou"/>
        </w:rPr>
        <w:footnoteRef/>
      </w:r>
      <w:r w:rsidRPr="00924F25">
        <w:t xml:space="preserve"> V</w:t>
      </w:r>
      <w:r>
        <w:t> </w:t>
      </w:r>
      <w:r w:rsidRPr="00924F25">
        <w:t>legislatí</w:t>
      </w:r>
      <w:r w:rsidRPr="008824FA">
        <w:t>ve</w:t>
      </w:r>
      <w:r>
        <w:t xml:space="preserve"> SR </w:t>
      </w:r>
      <w:r w:rsidRPr="008824FA">
        <w:t xml:space="preserve">nie je </w:t>
      </w:r>
      <w:r w:rsidRPr="00924F25">
        <w:t>zásada „znečisťovateľ platí“ definovaná, avšak vo všeobecnosti možno pod touto zásadou rozumieť pravidlo, že ten, kto svojou činnosťou, prípadne nekonaním môže spôsobiť</w:t>
      </w:r>
      <w:r>
        <w:t>,</w:t>
      </w:r>
      <w:r w:rsidRPr="00924F25">
        <w:t xml:space="preserve"> alebo spôsobil znečisťovanie alebo poškodzovanie životného prostredia, by mal znášať </w:t>
      </w:r>
      <w:r>
        <w:t>aj</w:t>
      </w:r>
      <w:r w:rsidRPr="00924F25">
        <w:t> náklady na prevenčné a nápravné opatrenia predchádzajúce</w:t>
      </w:r>
      <w:r>
        <w:t>,</w:t>
      </w:r>
      <w:r w:rsidRPr="00924F25">
        <w:t xml:space="preserve"> alebo zabraňujúce znečisťovaniu alebo poškodzovaniu. </w:t>
      </w:r>
      <w:r w:rsidRPr="0015331F">
        <w:t xml:space="preserve">V prípade, ak nápravné opatrenia nie je možné vykonať tak, že sa životné prostredie uvedie do pôvodného stavu, mal by znečisťovateľ znášať takú kompenzáciu poškodenia, alebo znečistenia životného prostredia, ktorá bude úmerná miere svojho podielu tohto znečistenia, alebo poškodenia životného prostredia. Príslušný orgán verejnej správy môže prijať nevyhnutné preventívne alebo nápravné opatrenia, ale len v prípade, ak znečisťovateľ nie je schopný </w:t>
      </w:r>
      <w:r w:rsidRPr="00924F25">
        <w:t>tieto opatrenia realizovať sám. Zásada znečisťovateľ platí zahŕňa prevenčnú a nápravnú zložku.</w:t>
      </w:r>
      <w:r>
        <w:t xml:space="preserve"> </w:t>
      </w:r>
      <w:r w:rsidRPr="00C32A57">
        <w:rPr>
          <w:rFonts w:cs="Calibri"/>
          <w:szCs w:val="16"/>
        </w:rPr>
        <w:t xml:space="preserve">Prevenčná zložka – znamená, že každý, kto svojou akoukoľvek činnosťou, resp. opomenutím konania môže spôsobiť poškodenie životného prostredia, je povinný vykonať na vlastné náklady také opatrenia, ktoré predchádzajú znečisťovaniu alebo poškodzovaniu životného prostredia, prípadne tieto nežiaduce negatívne vplyvy vlastnej činnosti minimalizujú na úroveň, ktorá je prípustná z hľadiska osobitných predpisov (ide o prípustné limity znečisťovania ovzdušia, vody, pôdy a pod.). Nápravná zložka </w:t>
      </w:r>
      <w:r>
        <w:rPr>
          <w:rFonts w:cs="Calibri"/>
          <w:szCs w:val="16"/>
        </w:rPr>
        <w:t>–</w:t>
      </w:r>
      <w:r w:rsidRPr="00C32A57">
        <w:rPr>
          <w:rFonts w:cs="Calibri"/>
          <w:szCs w:val="16"/>
        </w:rPr>
        <w:t xml:space="preserve"> znamená, že každý, kto spôsobil závažné poškodenie alebo znečistenie životného prostredia, je povinný v súlade s príslušným všeobecne záväzným právnym predpisom na vlastné náklady toto znečistenie prípadne poškodenie životného prostredia odstrániť a uviesť životné prostredie do pôvodného stavu, prípadne do stavu, ktorý v čo najmenšej miere poškodzuje životné prostredie a z</w:t>
      </w:r>
      <w:r>
        <w:rPr>
          <w:rFonts w:cs="Calibri"/>
          <w:szCs w:val="16"/>
        </w:rPr>
        <w:t>nečisťuje jednotlivé jeho zložky</w:t>
      </w:r>
    </w:p>
  </w:footnote>
  <w:footnote w:id="319">
    <w:p w:rsidR="00007508" w:rsidRDefault="00007508" w:rsidP="0015331F">
      <w:pPr>
        <w:pStyle w:val="Textpoznmkypodiarou"/>
      </w:pPr>
      <w:r w:rsidRPr="00CB7030">
        <w:rPr>
          <w:rStyle w:val="Odkaznapoznmkupodiarou"/>
        </w:rPr>
        <w:footnoteRef/>
      </w:r>
      <w:r w:rsidRPr="00CB7030">
        <w:t xml:space="preserve"> </w:t>
      </w:r>
      <w:hyperlink r:id="rId74" w:history="1">
        <w:r w:rsidRPr="00E07889">
          <w:rPr>
            <w:rStyle w:val="Hypertextovprepojenie"/>
            <w:szCs w:val="16"/>
          </w:rPr>
          <w:t>http://www.rokovania.sk/File.aspx/ViewDocumentHtml/Mater-Dokum-141217?prefixFile=m_</w:t>
        </w:r>
      </w:hyperlink>
    </w:p>
  </w:footnote>
  <w:footnote w:id="320">
    <w:p w:rsidR="00007508" w:rsidRDefault="00007508" w:rsidP="0027382A">
      <w:pPr>
        <w:pStyle w:val="Textpoznmkypodiarou"/>
        <w:ind w:left="170" w:hanging="170"/>
      </w:pPr>
      <w:r>
        <w:rPr>
          <w:rStyle w:val="Odkaznapoznmkupodiarou"/>
        </w:rPr>
        <w:footnoteRef/>
      </w:r>
      <w:r>
        <w:t xml:space="preserve"> Stratégia adaptácie Slovenskej republiky na nepriaznivé dôsledky zmeny klímy, schválená uznesení vlády SR č. 148 dňa 26. 3. 2014 </w:t>
      </w:r>
      <w:hyperlink r:id="rId75" w:history="1">
        <w:r w:rsidRPr="001107CE">
          <w:rPr>
            <w:rStyle w:val="Hypertextovprepojenie"/>
          </w:rPr>
          <w:t>http://www.rokovania.sk/Rokovanie.aspx/BodRokovaniaDetail?idMaterial=23364</w:t>
        </w:r>
      </w:hyperlink>
    </w:p>
  </w:footnote>
  <w:footnote w:id="321">
    <w:p w:rsidR="00007508" w:rsidRDefault="00007508" w:rsidP="0027382A">
      <w:pPr>
        <w:pStyle w:val="Textpoznmkypodiarou"/>
        <w:ind w:left="170" w:hanging="170"/>
      </w:pPr>
      <w:r>
        <w:rPr>
          <w:rStyle w:val="Odkaznapoznmkupodiarou"/>
        </w:rPr>
        <w:footnoteRef/>
      </w:r>
      <w:r>
        <w:t xml:space="preserve"> Aktualizovaná národná stratégia ochrany biodiverzity do roku 2020, schválená uznesením vlády SR č. 12 dňa 8. 1. 2014 </w:t>
      </w:r>
      <w:hyperlink r:id="rId76" w:history="1">
        <w:r w:rsidRPr="001107CE">
          <w:rPr>
            <w:rStyle w:val="Hypertextovprepojenie"/>
          </w:rPr>
          <w:t>http://www.rokovania.sk/Rokovanie.aspx/BodRokovaniaDetail?idMaterial=23161</w:t>
        </w:r>
      </w:hyperlink>
    </w:p>
  </w:footnote>
  <w:footnote w:id="322">
    <w:p w:rsidR="00007508" w:rsidRDefault="00007508" w:rsidP="0027382A">
      <w:pPr>
        <w:pStyle w:val="Textpoznmkypodiarou"/>
        <w:ind w:left="170" w:hanging="170"/>
      </w:pPr>
      <w:r>
        <w:rPr>
          <w:rStyle w:val="Odkaznapoznmkupodiarou"/>
        </w:rPr>
        <w:footnoteRef/>
      </w:r>
      <w:r>
        <w:t xml:space="preserve"> Program prevencie a manažmentu rizík z opustených uzavretých úložísk ťažobného odpadu (2014 – 2020), schválený uznesením vlády SR č. 260 dňa 28. 5. 2014 </w:t>
      </w:r>
      <w:hyperlink r:id="rId77" w:history="1">
        <w:r w:rsidRPr="001107CE">
          <w:rPr>
            <w:rStyle w:val="Hypertextovprepojenie"/>
          </w:rPr>
          <w:t>http://www.rokovania.sk/Rokovanie.aspx/BodRokovaniaDetail?idMaterial=23575</w:t>
        </w:r>
      </w:hyperlink>
    </w:p>
  </w:footnote>
  <w:footnote w:id="323">
    <w:p w:rsidR="00007508" w:rsidRDefault="00007508" w:rsidP="0027382A">
      <w:pPr>
        <w:pStyle w:val="Textpoznmkypodiarou"/>
        <w:ind w:left="170" w:hanging="170"/>
      </w:pPr>
      <w:r>
        <w:rPr>
          <w:rStyle w:val="Odkaznapoznmkupodiarou"/>
        </w:rPr>
        <w:footnoteRef/>
      </w:r>
      <w:r>
        <w:t xml:space="preserve"> Program prevencie a manažmentu zosuvných rizík (2014 – 2020), schválený uznesením vlády SR č. 738 dňa 18. 12. 2013 </w:t>
      </w:r>
      <w:hyperlink r:id="rId78" w:history="1">
        <w:r w:rsidRPr="001107CE">
          <w:rPr>
            <w:rStyle w:val="Hypertextovprepojenie"/>
          </w:rPr>
          <w:t>http://www.rokovania.sk/Rokovanie.aspx/BodRokovaniaDetail?idMaterial=23122</w:t>
        </w:r>
      </w:hyperlink>
    </w:p>
  </w:footnote>
  <w:footnote w:id="324">
    <w:p w:rsidR="00007508" w:rsidRDefault="00007508" w:rsidP="00EA39F6">
      <w:pPr>
        <w:pStyle w:val="Textpoznmkypodiarou"/>
      </w:pPr>
      <w:r>
        <w:rPr>
          <w:rStyle w:val="Odkaznapoznmkupodiarou"/>
        </w:rPr>
        <w:footnoteRef/>
      </w:r>
      <w:r>
        <w:t xml:space="preserve"> N</w:t>
      </w:r>
      <w:r w:rsidRPr="001D0717">
        <w:t>ariadenie Európskeho parlamentu a Rady (EÚ) č. 1316/2013</w:t>
      </w:r>
      <w:r>
        <w:t xml:space="preserve"> </w:t>
      </w:r>
      <w:r w:rsidRPr="001D0717">
        <w:t>z 11. decembra 2013 o zriadení Nástroja na prepájanie Európy, ktorým sa mení nariadenie (EÚ) č. 913/2010 a zrušujú sa nariadenia (ES) č. 680/2007 a (ES) č. 67/2010; Príloha I., Žilina – Košice - št. hr. SR/Ukrajina (Koridor Rýn - Dunaj) a Žilina – Bratislava (Baltsko – jadranský koridor)</w:t>
      </w:r>
    </w:p>
  </w:footnote>
  <w:footnote w:id="325">
    <w:p w:rsidR="00007508" w:rsidRDefault="00007508">
      <w:pPr>
        <w:pStyle w:val="Textpoznmkypodiarou"/>
      </w:pPr>
      <w:r>
        <w:rPr>
          <w:rStyle w:val="Odkaznapoznmkupodiarou"/>
        </w:rPr>
        <w:footnoteRef/>
      </w:r>
      <w:r>
        <w:t xml:space="preserve"> </w:t>
      </w:r>
      <w:r w:rsidRPr="00546908">
        <w:t>http://www.rokovania.sk/Rokovanie.aspx/BodRokovaniaDetail?idMaterial=23125</w:t>
      </w:r>
    </w:p>
  </w:footnote>
  <w:footnote w:id="326">
    <w:p w:rsidR="00007508" w:rsidRDefault="00007508">
      <w:pPr>
        <w:pStyle w:val="Textpoznmkypodiarou"/>
      </w:pPr>
      <w:r>
        <w:rPr>
          <w:rStyle w:val="Odkaznapoznmkupodiarou"/>
        </w:rPr>
        <w:footnoteRef/>
      </w:r>
      <w:r>
        <w:t xml:space="preserve"> </w:t>
      </w:r>
      <w:r w:rsidRPr="00C96D85">
        <w:t>Pre účely tejto kapitoly sa v prípade EPFRV a ENRF „prioritnou os</w:t>
      </w:r>
      <w:r>
        <w:t>ou“ má na mysli „priorita Únie“</w:t>
      </w:r>
    </w:p>
  </w:footnote>
  <w:footnote w:id="327">
    <w:p w:rsidR="00007508" w:rsidRDefault="00007508" w:rsidP="00174E83">
      <w:pPr>
        <w:pStyle w:val="Textpoznmkypodiarou"/>
        <w:ind w:left="170" w:hanging="170"/>
      </w:pPr>
      <w:r w:rsidRPr="005912F7">
        <w:rPr>
          <w:rStyle w:val="Odkaznapoznmkupodiarou"/>
          <w:szCs w:val="16"/>
        </w:rPr>
        <w:footnoteRef/>
      </w:r>
      <w:r w:rsidRPr="005912F7">
        <w:rPr>
          <w:szCs w:val="16"/>
        </w:rPr>
        <w:t xml:space="preserve"> </w:t>
      </w:r>
      <w:r w:rsidRPr="005912F7">
        <w:rPr>
          <w:rFonts w:cs="Calibri"/>
          <w:szCs w:val="16"/>
        </w:rPr>
        <w:t xml:space="preserve">S výnimkou prioritných osí, na ktoré sa nevzťahuje stanovenie výkonnostnej rezervy. Pri týchto prioritných osiach je rovnako povinnosť plniť </w:t>
      </w:r>
      <w:r>
        <w:rPr>
          <w:rFonts w:cs="Calibri"/>
          <w:szCs w:val="16"/>
        </w:rPr>
        <w:t>čiastkové ciele</w:t>
      </w:r>
      <w:r w:rsidRPr="005912F7">
        <w:rPr>
          <w:rFonts w:cs="Calibri"/>
          <w:szCs w:val="16"/>
        </w:rPr>
        <w:t xml:space="preserve">, no bez </w:t>
      </w:r>
      <w:r>
        <w:rPr>
          <w:rFonts w:cs="Calibri"/>
          <w:szCs w:val="16"/>
        </w:rPr>
        <w:t>pridelenia výkonnostnej rezervy</w:t>
      </w:r>
    </w:p>
  </w:footnote>
  <w:footnote w:id="328">
    <w:p w:rsidR="00007508" w:rsidRDefault="00007508">
      <w:pPr>
        <w:pStyle w:val="Textpoznmkypodiarou"/>
      </w:pPr>
      <w:r w:rsidRPr="004F50A5">
        <w:rPr>
          <w:rStyle w:val="Odkaznapoznmkupodiarou"/>
          <w:szCs w:val="16"/>
        </w:rPr>
        <w:footnoteRef/>
      </w:r>
      <w:r w:rsidRPr="004F50A5">
        <w:t xml:space="preserve"> </w:t>
      </w:r>
      <w:r w:rsidRPr="004F50A5">
        <w:rPr>
          <w:szCs w:val="16"/>
        </w:rPr>
        <w:t xml:space="preserve">Bližšie sú opatrenia v oblasti </w:t>
      </w:r>
      <w:r>
        <w:rPr>
          <w:szCs w:val="16"/>
        </w:rPr>
        <w:t>VO</w:t>
      </w:r>
      <w:r w:rsidRPr="004F50A5">
        <w:rPr>
          <w:szCs w:val="16"/>
        </w:rPr>
        <w:t xml:space="preserve"> špecifikované v rámci vyhodnotenia ex</w:t>
      </w:r>
      <w:r>
        <w:rPr>
          <w:szCs w:val="16"/>
        </w:rPr>
        <w:t xml:space="preserve"> </w:t>
      </w:r>
      <w:r w:rsidRPr="004F50A5">
        <w:rPr>
          <w:szCs w:val="16"/>
        </w:rPr>
        <w:t>ante kondicionality ,,Verejné obstarávanie“</w:t>
      </w:r>
    </w:p>
  </w:footnote>
  <w:footnote w:id="329">
    <w:p w:rsidR="00007508" w:rsidRDefault="00007508">
      <w:pPr>
        <w:pStyle w:val="Textpoznmkypodiarou"/>
      </w:pPr>
      <w:r>
        <w:rPr>
          <w:rStyle w:val="Odkaznapoznmkupodiarou"/>
        </w:rPr>
        <w:footnoteRef/>
      </w:r>
      <w:r>
        <w:t xml:space="preserve"> </w:t>
      </w:r>
      <w:r w:rsidRPr="00FE3191">
        <w:t>Analýza AK a efektívnosti subjektov zodpovedných za európske štrukturálne a investičné fondy a AK prijímateľov pomoci, 2014</w:t>
      </w:r>
    </w:p>
  </w:footnote>
  <w:footnote w:id="330">
    <w:p w:rsidR="00007508" w:rsidRDefault="00007508">
      <w:pPr>
        <w:pStyle w:val="Textpoznmkypodiarou"/>
      </w:pPr>
      <w:r w:rsidRPr="00DB04BE">
        <w:rPr>
          <w:rStyle w:val="Odkaznapoznmkupodiarou"/>
          <w:szCs w:val="16"/>
        </w:rPr>
        <w:footnoteRef/>
      </w:r>
      <w:r w:rsidRPr="00DB04BE">
        <w:rPr>
          <w:szCs w:val="16"/>
        </w:rPr>
        <w:t xml:space="preserve"> </w:t>
      </w:r>
      <w:r>
        <w:rPr>
          <w:szCs w:val="16"/>
        </w:rPr>
        <w:t>CKO</w:t>
      </w:r>
      <w:r w:rsidRPr="00DB04BE">
        <w:rPr>
          <w:szCs w:val="16"/>
        </w:rPr>
        <w:t xml:space="preserve"> predloží stratégiu na schválenie </w:t>
      </w:r>
      <w:r>
        <w:rPr>
          <w:szCs w:val="16"/>
        </w:rPr>
        <w:t>v</w:t>
      </w:r>
      <w:r w:rsidRPr="00DB04BE">
        <w:rPr>
          <w:szCs w:val="16"/>
        </w:rPr>
        <w:t>láde SR, pričom o podrobnejších krokoch bude priebežne EK informovať</w:t>
      </w:r>
    </w:p>
  </w:footnote>
  <w:footnote w:id="331">
    <w:p w:rsidR="00007508" w:rsidRDefault="00007508" w:rsidP="00174E83">
      <w:pPr>
        <w:pStyle w:val="Textpoznmkypodiarou"/>
        <w:ind w:left="170" w:hanging="170"/>
      </w:pPr>
      <w:r w:rsidRPr="00DB04BE">
        <w:rPr>
          <w:rStyle w:val="Odkaznapoznmkupodiarou"/>
          <w:szCs w:val="16"/>
        </w:rPr>
        <w:footnoteRef/>
      </w:r>
      <w:r w:rsidRPr="00DB04BE">
        <w:rPr>
          <w:szCs w:val="16"/>
        </w:rPr>
        <w:t xml:space="preserve"> Povinné zavedenie minimálnych štandardov požadovaných čl. 125 ods. 4, písm. c) v súlade s Usmernením k posúdeniu rizika podvodov a efektívne a primerané opatrenia na boj proti podvodom</w:t>
      </w:r>
    </w:p>
  </w:footnote>
  <w:footnote w:id="332">
    <w:p w:rsidR="00007508" w:rsidRDefault="00007508" w:rsidP="00174E83">
      <w:pPr>
        <w:pStyle w:val="Textpoznmkypodiarou"/>
        <w:ind w:left="170" w:hanging="170"/>
      </w:pPr>
      <w:r w:rsidRPr="00DB04BE">
        <w:rPr>
          <w:rStyle w:val="Odkaznapoznmkupodiarou"/>
          <w:szCs w:val="16"/>
        </w:rPr>
        <w:footnoteRef/>
      </w:r>
      <w:r w:rsidRPr="00DB04BE">
        <w:rPr>
          <w:szCs w:val="16"/>
        </w:rPr>
        <w:t xml:space="preserve"> Ďalšie opatrenia budú prijímané na základe výsledkov a odporúčaní, ktoré budú súčasťou</w:t>
      </w:r>
      <w:r>
        <w:rPr>
          <w:szCs w:val="16"/>
        </w:rPr>
        <w:t xml:space="preserve"> realizovanej</w:t>
      </w:r>
      <w:r w:rsidRPr="00DB04BE">
        <w:rPr>
          <w:szCs w:val="16"/>
        </w:rPr>
        <w:t xml:space="preserve"> analýzy </w:t>
      </w:r>
      <w:r>
        <w:rPr>
          <w:szCs w:val="16"/>
        </w:rPr>
        <w:t>AK</w:t>
      </w:r>
      <w:r w:rsidRPr="00DB04BE">
        <w:rPr>
          <w:szCs w:val="16"/>
        </w:rPr>
        <w:t>, ktorej dôležitá časť je venovaná aj oblasti zlepšenia kapacít prijímateľov</w:t>
      </w:r>
    </w:p>
  </w:footnote>
  <w:footnote w:id="333">
    <w:p w:rsidR="00007508" w:rsidRDefault="00007508" w:rsidP="00174E83">
      <w:pPr>
        <w:pStyle w:val="Textpoznmkypodiarou"/>
        <w:ind w:left="170" w:hanging="170"/>
      </w:pPr>
      <w:r w:rsidRPr="00DB04BE">
        <w:rPr>
          <w:rStyle w:val="Odkaznapoznmkupodiarou"/>
          <w:szCs w:val="16"/>
        </w:rPr>
        <w:footnoteRef/>
      </w:r>
      <w:r w:rsidRPr="00DB04BE">
        <w:rPr>
          <w:szCs w:val="16"/>
        </w:rPr>
        <w:t xml:space="preserve"> Konkrétna forma zabezpečenia najvhodnejšieho spôsobu posilnenia oblasti poskytovania informácií bude zvolená na základe výsledkov analýzy </w:t>
      </w:r>
      <w:r>
        <w:rPr>
          <w:szCs w:val="16"/>
        </w:rPr>
        <w:t>AK</w:t>
      </w:r>
      <w:r w:rsidRPr="00DB04BE">
        <w:rPr>
          <w:szCs w:val="16"/>
        </w:rPr>
        <w:t xml:space="preserve">, v spojení s výsledkami z dotazníka zameraného na identifikáciu najvhodnejších spôsobov eliminácie administratívnej záťaže, ktorý je uvedený vo vzťahu k opatreniam v kapitole 2.6 </w:t>
      </w:r>
      <w:r>
        <w:rPr>
          <w:szCs w:val="16"/>
        </w:rPr>
        <w:t>PD SR</w:t>
      </w:r>
    </w:p>
  </w:footnote>
  <w:footnote w:id="334">
    <w:p w:rsidR="00007508" w:rsidRDefault="00007508" w:rsidP="00174E83">
      <w:pPr>
        <w:pStyle w:val="Textpoznmkypodiarou"/>
        <w:ind w:left="170" w:hanging="170"/>
      </w:pPr>
      <w:r>
        <w:rPr>
          <w:rStyle w:val="Odkaznapoznmkupodiarou"/>
        </w:rPr>
        <w:footnoteRef/>
      </w:r>
      <w:r>
        <w:t xml:space="preserve"> </w:t>
      </w:r>
      <w:r w:rsidRPr="00E06659">
        <w:rPr>
          <w:szCs w:val="16"/>
        </w:rPr>
        <w:t>Analýza</w:t>
      </w:r>
      <w:r w:rsidRPr="00620D27">
        <w:t xml:space="preserve"> administratívnych kapacít (AK) a efektívnosti subjektov zodpovedných za európske štrukturálne a investičné fondy a AK prijímateľov pomoci</w:t>
      </w:r>
      <w:r w:rsidRPr="00B12F56">
        <w:t>,</w:t>
      </w:r>
      <w:r>
        <w:t xml:space="preserve"> 2014</w:t>
      </w:r>
    </w:p>
  </w:footnote>
  <w:footnote w:id="335">
    <w:p w:rsidR="00007508" w:rsidRDefault="00007508" w:rsidP="00174E83">
      <w:pPr>
        <w:pStyle w:val="Textpoznmkypodiarou"/>
        <w:ind w:left="170" w:hanging="170"/>
      </w:pPr>
      <w:r>
        <w:rPr>
          <w:rStyle w:val="Odkaznapoznmkupodiarou"/>
        </w:rPr>
        <w:footnoteRef/>
      </w:r>
      <w:r>
        <w:t xml:space="preserve"> „Strategický plán boja proti korupcii v SR“ bol prijatý vládou SR dňa 10. 8 2011, pričom vyhodnotenie prijatých opatrení vzala vláda SR na vedomie dňa 2. 4. 2014</w:t>
      </w:r>
    </w:p>
  </w:footnote>
  <w:footnote w:id="336">
    <w:p w:rsidR="00007508" w:rsidRDefault="00007508">
      <w:pPr>
        <w:pStyle w:val="Textpoznmkypodiarou"/>
      </w:pPr>
      <w:r>
        <w:rPr>
          <w:rStyle w:val="Odkaznapoznmkupodiarou"/>
        </w:rPr>
        <w:footnoteRef/>
      </w:r>
      <w:r>
        <w:t xml:space="preserve"> </w:t>
      </w:r>
      <w:r w:rsidRPr="00620D27">
        <w:t>Analýza AK a efektívnosti subjektov zodpovedných za európske štrukturálne a investičné fondy a AK prijímateľov pomoci</w:t>
      </w:r>
      <w:r w:rsidRPr="00B12F56">
        <w:t>, 2014</w:t>
      </w:r>
    </w:p>
  </w:footnote>
  <w:footnote w:id="337">
    <w:p w:rsidR="00007508" w:rsidRDefault="00007508" w:rsidP="00174E83">
      <w:pPr>
        <w:pStyle w:val="Textpoznmkypodiarou"/>
        <w:ind w:left="170" w:hanging="170"/>
      </w:pPr>
      <w:r w:rsidRPr="00417303">
        <w:rPr>
          <w:rStyle w:val="Odkaznapoznmkupodiarou"/>
          <w:szCs w:val="16"/>
        </w:rPr>
        <w:footnoteRef/>
      </w:r>
      <w:r w:rsidRPr="00417303">
        <w:rPr>
          <w:szCs w:val="16"/>
        </w:rPr>
        <w:t xml:space="preserve"> Navrhované identifikované oblasti s potenciálom znižovania </w:t>
      </w:r>
      <w:r>
        <w:rPr>
          <w:szCs w:val="16"/>
        </w:rPr>
        <w:t>AZ</w:t>
      </w:r>
      <w:r w:rsidRPr="00417303">
        <w:rPr>
          <w:szCs w:val="16"/>
        </w:rPr>
        <w:t xml:space="preserve"> vychádzajú zo skúseností </w:t>
      </w:r>
      <w:r>
        <w:rPr>
          <w:szCs w:val="16"/>
        </w:rPr>
        <w:t>CKO</w:t>
      </w:r>
      <w:r w:rsidRPr="00417303">
        <w:rPr>
          <w:szCs w:val="16"/>
        </w:rPr>
        <w:t xml:space="preserve"> z programového obdobia 2007 – 2013, pri ktorých boli identifikované najväčšie problémy spojené so zvýšenou </w:t>
      </w:r>
      <w:r>
        <w:rPr>
          <w:szCs w:val="16"/>
        </w:rPr>
        <w:t>AZ</w:t>
      </w:r>
      <w:r w:rsidRPr="00417303">
        <w:rPr>
          <w:szCs w:val="16"/>
        </w:rPr>
        <w:t xml:space="preserve">. Rovnako vzhľadom na potrebu identifikácie slabých miest na úrovni súčasných pravidiel implementácie </w:t>
      </w:r>
      <w:r>
        <w:rPr>
          <w:szCs w:val="16"/>
        </w:rPr>
        <w:t>CKO</w:t>
      </w:r>
      <w:r w:rsidRPr="00417303">
        <w:rPr>
          <w:szCs w:val="16"/>
        </w:rPr>
        <w:t xml:space="preserve"> absolvoval kolo priamych konzultácií s jednotlivými </w:t>
      </w:r>
      <w:r>
        <w:rPr>
          <w:szCs w:val="16"/>
        </w:rPr>
        <w:t>RO</w:t>
      </w:r>
      <w:r w:rsidRPr="00417303">
        <w:rPr>
          <w:szCs w:val="16"/>
        </w:rPr>
        <w:t xml:space="preserve">. Ich cieľom bolo identifikovanie slabých miest súčasných pravidiel implementácie s cieľom zvýšenia efektívnosti poskytovania </w:t>
      </w:r>
      <w:r>
        <w:rPr>
          <w:szCs w:val="16"/>
        </w:rPr>
        <w:t>podpory</w:t>
      </w:r>
      <w:r w:rsidRPr="00417303">
        <w:rPr>
          <w:szCs w:val="16"/>
        </w:rPr>
        <w:t xml:space="preserve"> a odstraňovania administratívnych bariér. Závery slúžili práve na možnosť zamerať sa na miesta s najväčším potenciálom zníženia </w:t>
      </w:r>
      <w:r>
        <w:rPr>
          <w:szCs w:val="16"/>
        </w:rPr>
        <w:t>AZ</w:t>
      </w:r>
      <w:r w:rsidRPr="00417303">
        <w:rPr>
          <w:szCs w:val="16"/>
        </w:rPr>
        <w:t xml:space="preserve"> a zefektívnenia pravidiel implementácie v prospech žiadateľov/prijímateľov, ktorých sumarizácia je obsahom tejto kapitoly. Nakoľko znižovanie </w:t>
      </w:r>
      <w:r>
        <w:rPr>
          <w:szCs w:val="16"/>
        </w:rPr>
        <w:t>AZ</w:t>
      </w:r>
      <w:r w:rsidRPr="00417303">
        <w:rPr>
          <w:szCs w:val="16"/>
        </w:rPr>
        <w:t xml:space="preserve"> má zjednodušiť procesy primárne na úrovni žiadateľov/prijímateľov, budú navrhované systémové opatrenia doplnené o konkrétne návrhy, ktoré vzídu z prieskumu na úrovni partnerov a prijímateľov, ktorý sa </w:t>
      </w:r>
      <w:r>
        <w:rPr>
          <w:szCs w:val="16"/>
        </w:rPr>
        <w:t>uskutočňuje</w:t>
      </w:r>
      <w:r w:rsidRPr="00417303">
        <w:rPr>
          <w:szCs w:val="16"/>
        </w:rPr>
        <w:t xml:space="preserve"> vo forme dotazníka.</w:t>
      </w:r>
      <w:r>
        <w:t xml:space="preserve"> </w:t>
      </w:r>
      <w:r w:rsidRPr="00417303">
        <w:rPr>
          <w:szCs w:val="16"/>
        </w:rPr>
        <w:t>Závery z </w:t>
      </w:r>
      <w:r>
        <w:rPr>
          <w:szCs w:val="16"/>
        </w:rPr>
        <w:t>uskutočneného</w:t>
      </w:r>
      <w:r w:rsidRPr="00417303">
        <w:rPr>
          <w:szCs w:val="16"/>
        </w:rPr>
        <w:t xml:space="preserve"> prieskumu budú slúžiť na zapracovanie vhodných spôsobov zníženia </w:t>
      </w:r>
      <w:r>
        <w:rPr>
          <w:szCs w:val="16"/>
        </w:rPr>
        <w:t>AZ</w:t>
      </w:r>
      <w:r w:rsidRPr="00417303">
        <w:rPr>
          <w:szCs w:val="16"/>
        </w:rPr>
        <w:t xml:space="preserve"> do Systému riadenia a kontroly pr</w:t>
      </w:r>
      <w:r>
        <w:rPr>
          <w:szCs w:val="16"/>
        </w:rPr>
        <w:t>e programové obdobie 2014 – 2020</w:t>
      </w:r>
    </w:p>
  </w:footnote>
  <w:footnote w:id="338">
    <w:p w:rsidR="00007508" w:rsidRDefault="00007508" w:rsidP="00174E83">
      <w:pPr>
        <w:pStyle w:val="Textpoznmkypodiarou"/>
        <w:ind w:left="170" w:hanging="170"/>
      </w:pPr>
      <w:r w:rsidRPr="00D828C9">
        <w:rPr>
          <w:rStyle w:val="Odkaznapoznmkupodiarou"/>
          <w:szCs w:val="16"/>
        </w:rPr>
        <w:footnoteRef/>
      </w:r>
      <w:r w:rsidRPr="00D828C9">
        <w:rPr>
          <w:szCs w:val="16"/>
        </w:rPr>
        <w:t xml:space="preserve"> Mestské funkčné oblasti </w:t>
      </w:r>
      <w:r>
        <w:rPr>
          <w:szCs w:val="16"/>
        </w:rPr>
        <w:t>k</w:t>
      </w:r>
      <w:r w:rsidRPr="00D828C9">
        <w:rPr>
          <w:szCs w:val="16"/>
        </w:rPr>
        <w:t xml:space="preserve">rajských miest </w:t>
      </w:r>
      <w:r>
        <w:rPr>
          <w:szCs w:val="16"/>
        </w:rPr>
        <w:t>s</w:t>
      </w:r>
      <w:r w:rsidRPr="00D828C9">
        <w:rPr>
          <w:szCs w:val="16"/>
        </w:rPr>
        <w:t xml:space="preserve">ú </w:t>
      </w:r>
      <w:r>
        <w:rPr>
          <w:szCs w:val="16"/>
        </w:rPr>
        <w:t>s</w:t>
      </w:r>
      <w:r w:rsidRPr="00D828C9">
        <w:rPr>
          <w:szCs w:val="16"/>
        </w:rPr>
        <w:t>tanovené v </w:t>
      </w:r>
      <w:r>
        <w:rPr>
          <w:szCs w:val="16"/>
        </w:rPr>
        <w:t>A</w:t>
      </w:r>
      <w:r w:rsidRPr="00D828C9">
        <w:rPr>
          <w:szCs w:val="16"/>
        </w:rPr>
        <w:t>nalýz</w:t>
      </w:r>
      <w:r>
        <w:rPr>
          <w:szCs w:val="16"/>
        </w:rPr>
        <w:t>e</w:t>
      </w:r>
      <w:r w:rsidRPr="00D828C9">
        <w:rPr>
          <w:szCs w:val="16"/>
        </w:rPr>
        <w:t xml:space="preserve"> rozvojového potenciálu regiónov </w:t>
      </w:r>
      <w:r>
        <w:rPr>
          <w:szCs w:val="16"/>
        </w:rPr>
        <w:t>S</w:t>
      </w:r>
      <w:r w:rsidRPr="00D828C9">
        <w:rPr>
          <w:szCs w:val="16"/>
        </w:rPr>
        <w:t xml:space="preserve">R </w:t>
      </w:r>
      <w:r>
        <w:rPr>
          <w:szCs w:val="16"/>
        </w:rPr>
        <w:t>a</w:t>
      </w:r>
      <w:r w:rsidRPr="00D828C9">
        <w:rPr>
          <w:szCs w:val="16"/>
        </w:rPr>
        <w:t xml:space="preserve"> ich územných rozdielov </w:t>
      </w:r>
      <w:r>
        <w:rPr>
          <w:szCs w:val="16"/>
        </w:rPr>
        <w:t>s</w:t>
      </w:r>
      <w:r w:rsidRPr="00D828C9">
        <w:rPr>
          <w:szCs w:val="16"/>
        </w:rPr>
        <w:t xml:space="preserve"> priemetom na tematickú </w:t>
      </w:r>
      <w:r>
        <w:rPr>
          <w:szCs w:val="16"/>
        </w:rPr>
        <w:t>k</w:t>
      </w:r>
      <w:r w:rsidRPr="00D828C9">
        <w:rPr>
          <w:szCs w:val="16"/>
        </w:rPr>
        <w:t xml:space="preserve">oncentráciu EŠIF v Partnerskej dohode </w:t>
      </w:r>
      <w:r>
        <w:rPr>
          <w:szCs w:val="16"/>
        </w:rPr>
        <w:t>S</w:t>
      </w:r>
      <w:r w:rsidRPr="00D828C9">
        <w:rPr>
          <w:szCs w:val="16"/>
        </w:rPr>
        <w:t>R na roky 2014 – 2020</w:t>
      </w:r>
    </w:p>
  </w:footnote>
  <w:footnote w:id="339">
    <w:p w:rsidR="00007508" w:rsidRDefault="00007508" w:rsidP="00D97293">
      <w:pPr>
        <w:pStyle w:val="Textpoznmkypodiarou"/>
      </w:pPr>
      <w:r w:rsidRPr="00D828C9">
        <w:rPr>
          <w:rStyle w:val="Odkaznapoznmkupodiarou"/>
          <w:szCs w:val="16"/>
        </w:rPr>
        <w:footnoteRef/>
      </w:r>
      <w:r w:rsidRPr="00D828C9">
        <w:rPr>
          <w:szCs w:val="16"/>
        </w:rPr>
        <w:t xml:space="preserve"> </w:t>
      </w:r>
      <w:r>
        <w:rPr>
          <w:szCs w:val="16"/>
        </w:rPr>
        <w:t>Eur</w:t>
      </w:r>
      <w:r w:rsidRPr="00D828C9">
        <w:rPr>
          <w:szCs w:val="16"/>
        </w:rPr>
        <w:t xml:space="preserve">ópske </w:t>
      </w:r>
      <w:r>
        <w:rPr>
          <w:szCs w:val="16"/>
        </w:rPr>
        <w:t>s</w:t>
      </w:r>
      <w:r w:rsidRPr="00D828C9">
        <w:rPr>
          <w:szCs w:val="16"/>
        </w:rPr>
        <w:t>trategické fórum výskumnej infraštruktúry</w:t>
      </w:r>
    </w:p>
  </w:footnote>
  <w:footnote w:id="340">
    <w:p w:rsidR="00007508" w:rsidRDefault="00007508">
      <w:pPr>
        <w:pStyle w:val="Textpoznmkypodiarou"/>
      </w:pPr>
      <w:r>
        <w:rPr>
          <w:rStyle w:val="Odkaznapoznmkupodiarou"/>
        </w:rPr>
        <w:footnoteRef/>
      </w:r>
      <w:r>
        <w:t xml:space="preserve"> </w:t>
      </w:r>
      <w:r w:rsidRPr="00080D89">
        <w:rPr>
          <w:rFonts w:eastAsia="Times New Roman"/>
        </w:rPr>
        <w:t>Zdroj: Oficiálny list generálneho riaditeľa DG REGIO, Waltera Deffaa, zo dňa 7. 3. 2014</w:t>
      </w:r>
    </w:p>
  </w:footnote>
  <w:footnote w:id="341">
    <w:p w:rsidR="00007508" w:rsidRDefault="00007508" w:rsidP="00EC008D">
      <w:pPr>
        <w:pStyle w:val="Textpoznmkypodiarou"/>
      </w:pPr>
      <w:r w:rsidRPr="00D828C9">
        <w:rPr>
          <w:rStyle w:val="Odkaznapoznmkupodiarou"/>
          <w:szCs w:val="16"/>
        </w:rPr>
        <w:footnoteRef/>
      </w:r>
      <w:r w:rsidRPr="00D828C9">
        <w:rPr>
          <w:szCs w:val="16"/>
        </w:rPr>
        <w:t xml:space="preserve"> </w:t>
      </w:r>
      <w:r>
        <w:rPr>
          <w:szCs w:val="16"/>
        </w:rPr>
        <w:t>A</w:t>
      </w:r>
      <w:r w:rsidRPr="00D828C9">
        <w:rPr>
          <w:szCs w:val="16"/>
        </w:rPr>
        <w:t xml:space="preserve">tlas rómskych </w:t>
      </w:r>
      <w:r>
        <w:rPr>
          <w:szCs w:val="16"/>
        </w:rPr>
        <w:t>k</w:t>
      </w:r>
      <w:r w:rsidRPr="00D828C9">
        <w:rPr>
          <w:szCs w:val="16"/>
        </w:rPr>
        <w:t>omunít 2013 (</w:t>
      </w:r>
      <w:hyperlink r:id="rId79" w:history="1">
        <w:r w:rsidRPr="003030E7">
          <w:rPr>
            <w:rStyle w:val="Hypertextovprepojenie"/>
            <w:szCs w:val="16"/>
          </w:rPr>
          <w:t>http://www.minv.sk/?atlas_2013</w:t>
        </w:r>
      </w:hyperlink>
      <w:r w:rsidRPr="00D828C9">
        <w:rPr>
          <w:szCs w:val="16"/>
        </w:rPr>
        <w:t>)</w:t>
      </w:r>
    </w:p>
  </w:footnote>
  <w:footnote w:id="342">
    <w:p w:rsidR="00007508" w:rsidRDefault="00007508" w:rsidP="00EC008D">
      <w:pPr>
        <w:pStyle w:val="Textpoznmkypodiarou"/>
      </w:pPr>
      <w:r w:rsidRPr="00D828C9">
        <w:rPr>
          <w:rStyle w:val="Odkaznapoznmkupodiarou"/>
          <w:szCs w:val="16"/>
        </w:rPr>
        <w:footnoteRef/>
      </w:r>
      <w:r w:rsidRPr="00D828C9">
        <w:rPr>
          <w:szCs w:val="16"/>
        </w:rPr>
        <w:t xml:space="preserve"> </w:t>
      </w:r>
      <w:hyperlink r:id="rId80" w:history="1">
        <w:r w:rsidRPr="003030E7">
          <w:rPr>
            <w:rStyle w:val="Hypertextovprepojenie"/>
            <w:szCs w:val="16"/>
          </w:rPr>
          <w:t>http://www.minv.sk/swift_data/source/romovia/dokumenty/StrategiaSR_integraciaRomov.pdf</w:t>
        </w:r>
      </w:hyperlink>
      <w:r>
        <w:rPr>
          <w:szCs w:val="16"/>
        </w:rPr>
        <w:t xml:space="preserve"> </w:t>
      </w:r>
    </w:p>
  </w:footnote>
  <w:footnote w:id="343">
    <w:p w:rsidR="00007508" w:rsidRDefault="00007508" w:rsidP="00EC008D">
      <w:pPr>
        <w:pStyle w:val="Textpoznmkypodiarou"/>
      </w:pPr>
      <w:r w:rsidRPr="00D828C9">
        <w:rPr>
          <w:rStyle w:val="Odkaznapoznmkupodiarou"/>
          <w:szCs w:val="16"/>
        </w:rPr>
        <w:footnoteRef/>
      </w:r>
      <w:r w:rsidRPr="00D828C9">
        <w:rPr>
          <w:szCs w:val="16"/>
        </w:rPr>
        <w:t xml:space="preserve"> </w:t>
      </w:r>
      <w:hyperlink r:id="rId81" w:history="1">
        <w:r w:rsidRPr="003030E7">
          <w:rPr>
            <w:rStyle w:val="Hypertextovprepojenie"/>
            <w:szCs w:val="16"/>
          </w:rPr>
          <w:t>http://www.minv.sk/?romske-komunity-uvod&amp;subor=160529</w:t>
        </w:r>
      </w:hyperlink>
      <w:r>
        <w:rPr>
          <w:szCs w:val="16"/>
        </w:rPr>
        <w:t xml:space="preserve"> </w:t>
      </w:r>
    </w:p>
  </w:footnote>
  <w:footnote w:id="344">
    <w:p w:rsidR="00007508" w:rsidRDefault="00007508" w:rsidP="00EC008D">
      <w:pPr>
        <w:pStyle w:val="Textpoznmkypodiarou"/>
      </w:pPr>
      <w:r w:rsidRPr="00D828C9">
        <w:rPr>
          <w:rStyle w:val="Odkaznapoznmkupodiarou"/>
          <w:szCs w:val="16"/>
        </w:rPr>
        <w:footnoteRef/>
      </w:r>
      <w:r w:rsidRPr="00D828C9">
        <w:rPr>
          <w:szCs w:val="16"/>
        </w:rPr>
        <w:t xml:space="preserve"> COM(2013) 460 final </w:t>
      </w:r>
      <w:hyperlink r:id="rId82" w:history="1">
        <w:r w:rsidRPr="00E07889">
          <w:rPr>
            <w:rStyle w:val="Hypertextovprepojenie"/>
            <w:szCs w:val="16"/>
          </w:rPr>
          <w:t>http://ec.europa.eu/justice/discrimination/files/com_2013_460_en.pdf</w:t>
        </w:r>
      </w:hyperlink>
    </w:p>
  </w:footnote>
  <w:footnote w:id="345">
    <w:p w:rsidR="00007508" w:rsidRDefault="00007508" w:rsidP="00EC008D">
      <w:pPr>
        <w:pStyle w:val="Textpoznmkypodiarou"/>
      </w:pPr>
      <w:r w:rsidRPr="00D828C9">
        <w:rPr>
          <w:rStyle w:val="Odkaznapoznmkupodiarou"/>
          <w:szCs w:val="16"/>
        </w:rPr>
        <w:footnoteRef/>
      </w:r>
      <w:r w:rsidRPr="00D828C9">
        <w:rPr>
          <w:szCs w:val="16"/>
        </w:rPr>
        <w:t xml:space="preserve"> COM(2013) 83 final </w:t>
      </w:r>
      <w:hyperlink r:id="rId83" w:history="1">
        <w:r w:rsidRPr="00E07889">
          <w:rPr>
            <w:rStyle w:val="Hypertextovprepojenie"/>
            <w:szCs w:val="16"/>
          </w:rPr>
          <w:t>http://eur-lex.europa.eu/LexUriServ/LexUriServ.do?uri=COM:2013:0083:FIN:SK:PDF</w:t>
        </w:r>
      </w:hyperlink>
    </w:p>
  </w:footnote>
  <w:footnote w:id="346">
    <w:p w:rsidR="00007508" w:rsidRDefault="00007508" w:rsidP="00174E83">
      <w:pPr>
        <w:autoSpaceDE w:val="0"/>
        <w:autoSpaceDN w:val="0"/>
        <w:adjustRightInd w:val="0"/>
        <w:spacing w:before="0" w:after="0"/>
        <w:ind w:left="170" w:hanging="170"/>
      </w:pPr>
      <w:r w:rsidRPr="00D828C9">
        <w:rPr>
          <w:rStyle w:val="Odkaznapoznmkupodiarou"/>
          <w:rFonts w:asciiTheme="majorHAnsi" w:hAnsiTheme="majorHAnsi"/>
          <w:sz w:val="16"/>
          <w:szCs w:val="16"/>
        </w:rPr>
        <w:footnoteRef/>
      </w:r>
      <w:r w:rsidRPr="00D828C9">
        <w:rPr>
          <w:rFonts w:asciiTheme="majorHAnsi" w:hAnsiTheme="majorHAnsi"/>
          <w:sz w:val="16"/>
          <w:szCs w:val="16"/>
        </w:rPr>
        <w:t xml:space="preserve"> v </w:t>
      </w:r>
      <w:r>
        <w:rPr>
          <w:rFonts w:asciiTheme="majorHAnsi" w:hAnsiTheme="majorHAnsi"/>
          <w:sz w:val="16"/>
          <w:szCs w:val="16"/>
        </w:rPr>
        <w:t>S</w:t>
      </w:r>
      <w:r w:rsidRPr="00D828C9">
        <w:rPr>
          <w:rFonts w:asciiTheme="majorHAnsi" w:hAnsiTheme="majorHAnsi"/>
          <w:sz w:val="16"/>
          <w:szCs w:val="16"/>
        </w:rPr>
        <w:t>ociálnom investičnom balíku je uvedené (</w:t>
      </w:r>
      <w:r>
        <w:rPr>
          <w:rFonts w:asciiTheme="majorHAnsi" w:hAnsiTheme="majorHAnsi"/>
          <w:sz w:val="16"/>
          <w:szCs w:val="16"/>
        </w:rPr>
        <w:t>s</w:t>
      </w:r>
      <w:r w:rsidRPr="00D828C9">
        <w:rPr>
          <w:rFonts w:asciiTheme="majorHAnsi" w:hAnsiTheme="majorHAnsi"/>
          <w:sz w:val="16"/>
          <w:szCs w:val="16"/>
        </w:rPr>
        <w:t xml:space="preserve">tr. 13): „Existuje všeobecný </w:t>
      </w:r>
      <w:r>
        <w:rPr>
          <w:rFonts w:asciiTheme="majorHAnsi" w:hAnsiTheme="majorHAnsi"/>
          <w:sz w:val="16"/>
          <w:szCs w:val="16"/>
        </w:rPr>
        <w:t>k</w:t>
      </w:r>
      <w:r w:rsidRPr="00D828C9">
        <w:rPr>
          <w:rFonts w:asciiTheme="majorHAnsi" w:hAnsiTheme="majorHAnsi"/>
          <w:sz w:val="16"/>
          <w:szCs w:val="16"/>
        </w:rPr>
        <w:t xml:space="preserve">onsenzus, že </w:t>
      </w:r>
      <w:r>
        <w:rPr>
          <w:rFonts w:asciiTheme="majorHAnsi" w:hAnsiTheme="majorHAnsi"/>
          <w:sz w:val="16"/>
          <w:szCs w:val="16"/>
        </w:rPr>
        <w:t>s</w:t>
      </w:r>
      <w:r w:rsidRPr="00D828C9">
        <w:rPr>
          <w:rFonts w:asciiTheme="majorHAnsi" w:hAnsiTheme="majorHAnsi"/>
          <w:sz w:val="16"/>
          <w:szCs w:val="16"/>
        </w:rPr>
        <w:t xml:space="preserve">koré </w:t>
      </w:r>
      <w:r>
        <w:rPr>
          <w:rFonts w:asciiTheme="majorHAnsi" w:hAnsiTheme="majorHAnsi"/>
          <w:sz w:val="16"/>
          <w:szCs w:val="16"/>
        </w:rPr>
        <w:t>a</w:t>
      </w:r>
      <w:r w:rsidRPr="00D828C9">
        <w:rPr>
          <w:rFonts w:asciiTheme="majorHAnsi" w:hAnsiTheme="majorHAnsi"/>
          <w:sz w:val="16"/>
          <w:szCs w:val="16"/>
        </w:rPr>
        <w:t> </w:t>
      </w:r>
      <w:r>
        <w:rPr>
          <w:rFonts w:asciiTheme="majorHAnsi" w:hAnsiTheme="majorHAnsi"/>
          <w:sz w:val="16"/>
          <w:szCs w:val="16"/>
        </w:rPr>
        <w:t>k</w:t>
      </w:r>
      <w:r w:rsidRPr="00D828C9">
        <w:rPr>
          <w:rFonts w:asciiTheme="majorHAnsi" w:hAnsiTheme="majorHAnsi"/>
          <w:sz w:val="16"/>
          <w:szCs w:val="16"/>
        </w:rPr>
        <w:t xml:space="preserve">valitné predškolské vzdelávanie </w:t>
      </w:r>
      <w:r>
        <w:rPr>
          <w:rFonts w:asciiTheme="majorHAnsi" w:hAnsiTheme="majorHAnsi"/>
          <w:sz w:val="16"/>
          <w:szCs w:val="16"/>
        </w:rPr>
        <w:t>a s</w:t>
      </w:r>
      <w:r w:rsidRPr="00D828C9">
        <w:rPr>
          <w:rFonts w:asciiTheme="majorHAnsi" w:hAnsiTheme="majorHAnsi"/>
          <w:sz w:val="16"/>
          <w:szCs w:val="16"/>
        </w:rPr>
        <w:t xml:space="preserve">tarostlivosť je efektívnym prostriedkom pre prevenciu predčasného ukončovania školskej dochádzky </w:t>
      </w:r>
      <w:r>
        <w:rPr>
          <w:rFonts w:asciiTheme="majorHAnsi" w:hAnsiTheme="majorHAnsi"/>
          <w:sz w:val="16"/>
          <w:szCs w:val="16"/>
        </w:rPr>
        <w:t>a</w:t>
      </w:r>
      <w:r w:rsidRPr="00D828C9">
        <w:rPr>
          <w:rFonts w:asciiTheme="majorHAnsi" w:hAnsiTheme="majorHAnsi"/>
          <w:sz w:val="16"/>
          <w:szCs w:val="16"/>
        </w:rPr>
        <w:t xml:space="preserve"> je posilňujúcim prvkom pre budúce štúdium, zdravie, budúcu zamestnanosť </w:t>
      </w:r>
      <w:r>
        <w:rPr>
          <w:rFonts w:asciiTheme="majorHAnsi" w:hAnsiTheme="majorHAnsi"/>
          <w:sz w:val="16"/>
          <w:szCs w:val="16"/>
        </w:rPr>
        <w:t>a</w:t>
      </w:r>
      <w:r w:rsidRPr="00D828C9">
        <w:rPr>
          <w:rFonts w:asciiTheme="majorHAnsi" w:hAnsiTheme="majorHAnsi"/>
          <w:sz w:val="16"/>
          <w:szCs w:val="16"/>
        </w:rPr>
        <w:t> </w:t>
      </w:r>
      <w:r>
        <w:rPr>
          <w:rFonts w:asciiTheme="majorHAnsi" w:hAnsiTheme="majorHAnsi"/>
          <w:sz w:val="16"/>
          <w:szCs w:val="16"/>
        </w:rPr>
        <w:t>s</w:t>
      </w:r>
      <w:r w:rsidRPr="00D828C9">
        <w:rPr>
          <w:rFonts w:asciiTheme="majorHAnsi" w:hAnsiTheme="majorHAnsi"/>
          <w:sz w:val="16"/>
          <w:szCs w:val="16"/>
        </w:rPr>
        <w:t>ociálnu mobi</w:t>
      </w:r>
      <w:r>
        <w:rPr>
          <w:rFonts w:asciiTheme="majorHAnsi" w:hAnsiTheme="majorHAnsi"/>
          <w:sz w:val="16"/>
          <w:szCs w:val="16"/>
        </w:rPr>
        <w:t>litu</w:t>
      </w:r>
      <w:r w:rsidRPr="00D828C9">
        <w:rPr>
          <w:rFonts w:asciiTheme="majorHAnsi" w:hAnsiTheme="majorHAnsi"/>
          <w:sz w:val="16"/>
          <w:szCs w:val="16"/>
        </w:rPr>
        <w:t>“</w:t>
      </w:r>
    </w:p>
  </w:footnote>
  <w:footnote w:id="347">
    <w:p w:rsidR="00007508" w:rsidRDefault="00007508" w:rsidP="00174E83">
      <w:pPr>
        <w:pStyle w:val="Textpoznmkypodiarou"/>
        <w:ind w:left="170" w:hanging="170"/>
      </w:pPr>
      <w:r w:rsidRPr="00D828C9">
        <w:rPr>
          <w:rStyle w:val="Odkaznapoznmkupodiarou"/>
          <w:szCs w:val="16"/>
        </w:rPr>
        <w:footnoteRef/>
      </w:r>
      <w:r w:rsidRPr="00D828C9">
        <w:rPr>
          <w:szCs w:val="16"/>
        </w:rPr>
        <w:t xml:space="preserve"> Rozpočtový IS </w:t>
      </w:r>
      <w:r>
        <w:rPr>
          <w:szCs w:val="16"/>
        </w:rPr>
        <w:t>a</w:t>
      </w:r>
      <w:r w:rsidRPr="00D828C9">
        <w:rPr>
          <w:szCs w:val="16"/>
        </w:rPr>
        <w:t xml:space="preserve"> Štátna pokladnica </w:t>
      </w:r>
      <w:r>
        <w:rPr>
          <w:szCs w:val="16"/>
        </w:rPr>
        <w:t>s</w:t>
      </w:r>
      <w:r w:rsidRPr="00D828C9">
        <w:rPr>
          <w:szCs w:val="16"/>
        </w:rPr>
        <w:t>ú IS určené na riadenie verejných financií v</w:t>
      </w:r>
      <w:r>
        <w:rPr>
          <w:szCs w:val="16"/>
        </w:rPr>
        <w:t> </w:t>
      </w:r>
      <w:r w:rsidRPr="00D828C9">
        <w:rPr>
          <w:szCs w:val="16"/>
        </w:rPr>
        <w:t xml:space="preserve">oblasti štátneho rozpočtu </w:t>
      </w:r>
      <w:r>
        <w:rPr>
          <w:szCs w:val="16"/>
        </w:rPr>
        <w:t>a </w:t>
      </w:r>
      <w:r w:rsidRPr="00D828C9">
        <w:rPr>
          <w:szCs w:val="16"/>
        </w:rPr>
        <w:t xml:space="preserve">realizácie platieb, pričom elektronická výmena informácií </w:t>
      </w:r>
      <w:r>
        <w:rPr>
          <w:szCs w:val="16"/>
        </w:rPr>
        <w:t>a</w:t>
      </w:r>
      <w:r w:rsidRPr="00D828C9">
        <w:rPr>
          <w:szCs w:val="16"/>
        </w:rPr>
        <w:t xml:space="preserve"> prepojenie na implementáciu </w:t>
      </w:r>
      <w:r>
        <w:rPr>
          <w:szCs w:val="16"/>
        </w:rPr>
        <w:t>podpory</w:t>
      </w:r>
      <w:r w:rsidRPr="00D828C9">
        <w:rPr>
          <w:szCs w:val="16"/>
        </w:rPr>
        <w:t xml:space="preserve"> z</w:t>
      </w:r>
      <w:r>
        <w:rPr>
          <w:szCs w:val="16"/>
        </w:rPr>
        <w:t> </w:t>
      </w:r>
      <w:r w:rsidRPr="00D828C9">
        <w:rPr>
          <w:szCs w:val="16"/>
        </w:rPr>
        <w:t xml:space="preserve">fondov EÚ je zabezpečené už od roku 2004 prostredníctvom </w:t>
      </w:r>
      <w:r>
        <w:rPr>
          <w:szCs w:val="16"/>
        </w:rPr>
        <w:t>s</w:t>
      </w:r>
      <w:r w:rsidRPr="00D828C9">
        <w:rPr>
          <w:szCs w:val="16"/>
        </w:rPr>
        <w:t xml:space="preserve">ystému ISUF, </w:t>
      </w:r>
      <w:r>
        <w:rPr>
          <w:szCs w:val="16"/>
        </w:rPr>
        <w:t>k</w:t>
      </w:r>
      <w:r w:rsidRPr="00D828C9">
        <w:rPr>
          <w:szCs w:val="16"/>
        </w:rPr>
        <w:t xml:space="preserve">torý </w:t>
      </w:r>
      <w:r>
        <w:rPr>
          <w:szCs w:val="16"/>
        </w:rPr>
        <w:t>s</w:t>
      </w:r>
      <w:r w:rsidRPr="00D828C9">
        <w:rPr>
          <w:szCs w:val="16"/>
        </w:rPr>
        <w:t xml:space="preserve">lúži </w:t>
      </w:r>
      <w:r>
        <w:rPr>
          <w:szCs w:val="16"/>
        </w:rPr>
        <w:t>ak</w:t>
      </w:r>
      <w:r w:rsidRPr="00D828C9">
        <w:rPr>
          <w:szCs w:val="16"/>
        </w:rPr>
        <w:t xml:space="preserve">o jednotný účtovný </w:t>
      </w:r>
      <w:r>
        <w:rPr>
          <w:szCs w:val="16"/>
        </w:rPr>
        <w:t>s</w:t>
      </w:r>
      <w:r w:rsidRPr="00D828C9">
        <w:rPr>
          <w:szCs w:val="16"/>
        </w:rPr>
        <w:t xml:space="preserve">ystém pre fondy EÚ </w:t>
      </w:r>
      <w:r>
        <w:rPr>
          <w:szCs w:val="16"/>
        </w:rPr>
        <w:t>s </w:t>
      </w:r>
      <w:r w:rsidRPr="00D828C9">
        <w:rPr>
          <w:szCs w:val="16"/>
        </w:rPr>
        <w:t xml:space="preserve">väzbou na poskytovanie informácií pre </w:t>
      </w:r>
      <w:r>
        <w:rPr>
          <w:szCs w:val="16"/>
        </w:rPr>
        <w:t>k</w:t>
      </w:r>
      <w:r w:rsidRPr="00D828C9">
        <w:rPr>
          <w:szCs w:val="16"/>
        </w:rPr>
        <w:t xml:space="preserve">onsolidovanú účtovnú závierku ústrednej štátnej </w:t>
      </w:r>
      <w:r>
        <w:rPr>
          <w:szCs w:val="16"/>
        </w:rPr>
        <w:t>s</w:t>
      </w:r>
      <w:r w:rsidRPr="00D828C9">
        <w:rPr>
          <w:szCs w:val="16"/>
        </w:rPr>
        <w:t>právy v</w:t>
      </w:r>
      <w:r>
        <w:rPr>
          <w:szCs w:val="16"/>
        </w:rPr>
        <w:t> SR</w:t>
      </w:r>
      <w:r w:rsidRPr="00D828C9">
        <w:rPr>
          <w:szCs w:val="16"/>
        </w:rPr>
        <w:t xml:space="preserve">, zabezpečuje procesy účtovania </w:t>
      </w:r>
      <w:r>
        <w:rPr>
          <w:szCs w:val="16"/>
        </w:rPr>
        <w:t>a vedenia účtovníctva, s</w:t>
      </w:r>
      <w:r w:rsidRPr="00D828C9">
        <w:rPr>
          <w:szCs w:val="16"/>
        </w:rPr>
        <w:t>pracovanie žiadostí o</w:t>
      </w:r>
      <w:r>
        <w:rPr>
          <w:szCs w:val="16"/>
        </w:rPr>
        <w:t> </w:t>
      </w:r>
      <w:r w:rsidRPr="00D828C9">
        <w:rPr>
          <w:szCs w:val="16"/>
        </w:rPr>
        <w:t>platbu</w:t>
      </w:r>
      <w:r>
        <w:rPr>
          <w:szCs w:val="16"/>
        </w:rPr>
        <w:t xml:space="preserve"> </w:t>
      </w:r>
      <w:r w:rsidRPr="00D828C9">
        <w:rPr>
          <w:szCs w:val="16"/>
        </w:rPr>
        <w:t xml:space="preserve">prijímateľa, </w:t>
      </w:r>
      <w:r>
        <w:rPr>
          <w:szCs w:val="16"/>
        </w:rPr>
        <w:t>s</w:t>
      </w:r>
      <w:r w:rsidRPr="00D828C9">
        <w:rPr>
          <w:szCs w:val="16"/>
        </w:rPr>
        <w:t>úhrnné žiadosti o</w:t>
      </w:r>
      <w:r>
        <w:rPr>
          <w:szCs w:val="16"/>
        </w:rPr>
        <w:t> </w:t>
      </w:r>
      <w:r w:rsidRPr="00D828C9">
        <w:rPr>
          <w:szCs w:val="16"/>
        </w:rPr>
        <w:t>platbu, žiadosti o</w:t>
      </w:r>
      <w:r>
        <w:rPr>
          <w:szCs w:val="16"/>
        </w:rPr>
        <w:t> </w:t>
      </w:r>
      <w:r w:rsidRPr="00D828C9">
        <w:rPr>
          <w:szCs w:val="16"/>
        </w:rPr>
        <w:t xml:space="preserve">platbu na EK </w:t>
      </w:r>
      <w:r>
        <w:rPr>
          <w:szCs w:val="16"/>
        </w:rPr>
        <w:t>a s</w:t>
      </w:r>
      <w:r w:rsidRPr="00D828C9">
        <w:rPr>
          <w:szCs w:val="16"/>
        </w:rPr>
        <w:t>ystému vysporiadania finančných vzťahov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8" w:rsidRDefault="00007508" w:rsidP="00D17DFC">
    <w:pPr>
      <w:pStyle w:val="Hlavika"/>
      <w:jc w:val="right"/>
    </w:pPr>
    <w:r>
      <w:t>Príloha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8" w:rsidRDefault="0000750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8" w:rsidRDefault="0000750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508" w:rsidRDefault="0000750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CE900C"/>
    <w:lvl w:ilvl="0">
      <w:start w:val="1"/>
      <w:numFmt w:val="bullet"/>
      <w:pStyle w:val="Nadpis9"/>
      <w:lvlText w:val=""/>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nsid w:val="00D63E6D"/>
    <w:multiLevelType w:val="hybridMultilevel"/>
    <w:tmpl w:val="26CCC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4D6172"/>
    <w:multiLevelType w:val="hybridMultilevel"/>
    <w:tmpl w:val="5F52210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2AD6666"/>
    <w:multiLevelType w:val="hybridMultilevel"/>
    <w:tmpl w:val="3A704BE0"/>
    <w:lvl w:ilvl="0" w:tplc="85A6D86C">
      <w:start w:val="1"/>
      <w:numFmt w:val="bullet"/>
      <w:pStyle w:val="Zoznamsodrkami"/>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2EB2500"/>
    <w:multiLevelType w:val="hybridMultilevel"/>
    <w:tmpl w:val="48DC6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0345189C"/>
    <w:multiLevelType w:val="hybridMultilevel"/>
    <w:tmpl w:val="8D98683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3B01DBE"/>
    <w:multiLevelType w:val="hybridMultilevel"/>
    <w:tmpl w:val="894E06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3B86B97"/>
    <w:multiLevelType w:val="hybridMultilevel"/>
    <w:tmpl w:val="7E6C799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582709C"/>
    <w:multiLevelType w:val="hybridMultilevel"/>
    <w:tmpl w:val="C60C449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5E13006"/>
    <w:multiLevelType w:val="hybridMultilevel"/>
    <w:tmpl w:val="33AC945A"/>
    <w:lvl w:ilvl="0" w:tplc="0809000F">
      <w:start w:val="1"/>
      <w:numFmt w:val="decimal"/>
      <w:lvlText w:val="%1."/>
      <w:lvlJc w:val="left"/>
      <w:pPr>
        <w:ind w:left="927" w:hanging="360"/>
      </w:pPr>
      <w:rPr>
        <w:rFonts w:cs="Times New Roman"/>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0">
    <w:nsid w:val="068709D5"/>
    <w:multiLevelType w:val="hybridMultilevel"/>
    <w:tmpl w:val="B71898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7863D3C"/>
    <w:multiLevelType w:val="hybridMultilevel"/>
    <w:tmpl w:val="271CD10C"/>
    <w:lvl w:ilvl="0" w:tplc="014AF2E0">
      <w:start w:val="3"/>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078653AD"/>
    <w:multiLevelType w:val="hybridMultilevel"/>
    <w:tmpl w:val="C3FC38D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7F74BD9"/>
    <w:multiLevelType w:val="hybridMultilevel"/>
    <w:tmpl w:val="EDAEC29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0B3E7474"/>
    <w:multiLevelType w:val="hybridMultilevel"/>
    <w:tmpl w:val="17A2245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0D065C89"/>
    <w:multiLevelType w:val="hybridMultilevel"/>
    <w:tmpl w:val="CC2899E8"/>
    <w:lvl w:ilvl="0" w:tplc="CDB2CAF0">
      <w:start w:val="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0DDB427D"/>
    <w:multiLevelType w:val="hybridMultilevel"/>
    <w:tmpl w:val="B330A9A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0EF467F6"/>
    <w:multiLevelType w:val="hybridMultilevel"/>
    <w:tmpl w:val="50AC4AC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0F2A69FC"/>
    <w:multiLevelType w:val="hybridMultilevel"/>
    <w:tmpl w:val="2E7A4A72"/>
    <w:lvl w:ilvl="0" w:tplc="5388043A">
      <w:start w:val="1"/>
      <w:numFmt w:val="lowerLetter"/>
      <w:lvlText w:val="%1)"/>
      <w:lvlJc w:val="left"/>
      <w:pPr>
        <w:ind w:left="720" w:hanging="360"/>
      </w:pPr>
      <w:rPr>
        <w:rFonts w:eastAsia="Times New Roman" w:cs="Times New Roman" w:hint="default"/>
      </w:rPr>
    </w:lvl>
    <w:lvl w:ilvl="1" w:tplc="041B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0F6D7BC3"/>
    <w:multiLevelType w:val="hybridMultilevel"/>
    <w:tmpl w:val="C1F2DFF2"/>
    <w:lvl w:ilvl="0" w:tplc="DCA8CF3E">
      <w:start w:val="1"/>
      <w:numFmt w:val="lowerLetter"/>
      <w:lvlText w:val="%1)"/>
      <w:lvlJc w:val="left"/>
      <w:pPr>
        <w:ind w:left="720" w:hanging="360"/>
      </w:pPr>
      <w:rPr>
        <w:rFonts w:ascii="Times New Roman" w:eastAsia="Times New Roman" w:hAnsi="Times New Roman"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11D13049"/>
    <w:multiLevelType w:val="hybridMultilevel"/>
    <w:tmpl w:val="2C7E60D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31A0DC1"/>
    <w:multiLevelType w:val="hybridMultilevel"/>
    <w:tmpl w:val="A6BE3E60"/>
    <w:lvl w:ilvl="0" w:tplc="E556AFB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133F0728"/>
    <w:multiLevelType w:val="hybridMultilevel"/>
    <w:tmpl w:val="7A243A9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156E5C7D"/>
    <w:multiLevelType w:val="hybridMultilevel"/>
    <w:tmpl w:val="3462111C"/>
    <w:lvl w:ilvl="0" w:tplc="C1DA48CA">
      <w:start w:val="4"/>
      <w:numFmt w:val="bullet"/>
      <w:pStyle w:val="Tiret0"/>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1A376A01"/>
    <w:multiLevelType w:val="multilevel"/>
    <w:tmpl w:val="4E801C3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pStyle w:val="MP3"/>
      <w:lvlText w:val="%1.%2.%3."/>
      <w:lvlJc w:val="left"/>
      <w:pPr>
        <w:ind w:left="1224" w:hanging="504"/>
      </w:pPr>
      <w:rPr>
        <w:rFonts w:cs="Times New Roman"/>
        <w:b w:val="0"/>
        <w:bCs w:val="0"/>
        <w:i w:val="0"/>
        <w:iCs w:val="0"/>
        <w:caps w:val="0"/>
        <w:smallCaps w:val="0"/>
        <w:strike w:val="0"/>
        <w:dstrike w:val="0"/>
        <w:vanish w:val="0"/>
        <w:spacing w:val="0"/>
        <w:kern w:val="0"/>
        <w:position w:val="0"/>
        <w:u w:val="none"/>
        <w:effect w:val="none"/>
        <w:vertAlign w:val="baseline"/>
      </w:rPr>
    </w:lvl>
    <w:lvl w:ilvl="3">
      <w:start w:val="1"/>
      <w:numFmt w:val="decimal"/>
      <w:pStyle w:val="MP4"/>
      <w:lvlText w:val="%1.%2.%3.%4."/>
      <w:lvlJc w:val="left"/>
      <w:pPr>
        <w:ind w:left="1728" w:hanging="648"/>
      </w:pPr>
      <w:rPr>
        <w:rFonts w:cs="Times New Roman"/>
        <w:b w:val="0"/>
        <w:bCs w:val="0"/>
        <w:i w:val="0"/>
        <w:iCs w:val="0"/>
        <w:caps w:val="0"/>
        <w:smallCaps w:val="0"/>
        <w:strike w:val="0"/>
        <w:dstrike w:val="0"/>
        <w:vanish w:val="0"/>
        <w:spacing w:val="0"/>
        <w:kern w:val="0"/>
        <w:position w:val="0"/>
        <w:sz w:val="22"/>
        <w:szCs w:val="22"/>
        <w:u w:val="none"/>
        <w:effect w:val="none"/>
        <w:vertAlign w:val="baseline"/>
      </w:rPr>
    </w:lvl>
    <w:lvl w:ilvl="4">
      <w:start w:val="1"/>
      <w:numFmt w:val="decimal"/>
      <w:lvlText w:val="%1.%2.%3.%4.%5."/>
      <w:lvlJc w:val="left"/>
      <w:pPr>
        <w:ind w:left="1643" w:hanging="792"/>
      </w:pPr>
      <w:rPr>
        <w:rFonts w:cs="Times New Roman"/>
        <w:b w:val="0"/>
        <w:sz w:val="22"/>
        <w:szCs w:val="22"/>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1AC70A8E"/>
    <w:multiLevelType w:val="hybridMultilevel"/>
    <w:tmpl w:val="26B4198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B250650"/>
    <w:multiLevelType w:val="multilevel"/>
    <w:tmpl w:val="E0FE2840"/>
    <w:name w:val="List Number__1"/>
    <w:lvl w:ilvl="0">
      <w:start w:val="1"/>
      <w:numFmt w:val="decimal"/>
      <w:pStyle w:val="slovanzoznam"/>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1C6F075B"/>
    <w:multiLevelType w:val="hybridMultilevel"/>
    <w:tmpl w:val="9C226D9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D3247EA"/>
    <w:multiLevelType w:val="hybridMultilevel"/>
    <w:tmpl w:val="535C86C2"/>
    <w:lvl w:ilvl="0" w:tplc="041B0005">
      <w:start w:val="1"/>
      <w:numFmt w:val="bullet"/>
      <w:lvlText w:val=""/>
      <w:lvlJc w:val="left"/>
      <w:pPr>
        <w:ind w:left="774" w:hanging="360"/>
      </w:pPr>
      <w:rPr>
        <w:rFonts w:ascii="Wingdings" w:hAnsi="Wingdings" w:hint="default"/>
      </w:rPr>
    </w:lvl>
    <w:lvl w:ilvl="1" w:tplc="041B0003" w:tentative="1">
      <w:start w:val="1"/>
      <w:numFmt w:val="bullet"/>
      <w:lvlText w:val="o"/>
      <w:lvlJc w:val="left"/>
      <w:pPr>
        <w:ind w:left="1494" w:hanging="360"/>
      </w:pPr>
      <w:rPr>
        <w:rFonts w:ascii="Courier New" w:hAnsi="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9">
    <w:nsid w:val="1DCD7EC1"/>
    <w:multiLevelType w:val="hybridMultilevel"/>
    <w:tmpl w:val="121CF8EE"/>
    <w:lvl w:ilvl="0" w:tplc="F0964666">
      <w:numFmt w:val="bullet"/>
      <w:lvlText w:val="-"/>
      <w:lvlJc w:val="left"/>
      <w:pPr>
        <w:ind w:left="720" w:hanging="360"/>
      </w:pPr>
      <w:rPr>
        <w:rFonts w:ascii="Cambria" w:eastAsiaTheme="minorEastAsia" w:hAnsi="Cambri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DD11159"/>
    <w:multiLevelType w:val="hybridMultilevel"/>
    <w:tmpl w:val="594E70E0"/>
    <w:lvl w:ilvl="0" w:tplc="D9121A34">
      <w:start w:val="2"/>
      <w:numFmt w:val="bullet"/>
      <w:lvlText w:val="-"/>
      <w:lvlJc w:val="left"/>
      <w:pPr>
        <w:ind w:left="612" w:hanging="360"/>
      </w:pPr>
      <w:rPr>
        <w:rFonts w:ascii="Times New Roman" w:eastAsia="Times New Roman" w:hAnsi="Times New Roman" w:hint="default"/>
      </w:rPr>
    </w:lvl>
    <w:lvl w:ilvl="1" w:tplc="AE56AB12">
      <w:numFmt w:val="bullet"/>
      <w:lvlText w:val="–"/>
      <w:lvlJc w:val="left"/>
      <w:pPr>
        <w:ind w:left="1332" w:hanging="360"/>
      </w:pPr>
      <w:rPr>
        <w:rFonts w:ascii="Calibri" w:eastAsiaTheme="minorEastAsia" w:hAnsi="Calibri" w:cs="Times New Roman" w:hint="default"/>
      </w:rPr>
    </w:lvl>
    <w:lvl w:ilvl="2" w:tplc="041B0005" w:tentative="1">
      <w:start w:val="1"/>
      <w:numFmt w:val="bullet"/>
      <w:lvlText w:val=""/>
      <w:lvlJc w:val="left"/>
      <w:pPr>
        <w:ind w:left="2052" w:hanging="360"/>
      </w:pPr>
      <w:rPr>
        <w:rFonts w:ascii="Wingdings" w:hAnsi="Wingdings" w:hint="default"/>
      </w:rPr>
    </w:lvl>
    <w:lvl w:ilvl="3" w:tplc="041B0001">
      <w:start w:val="1"/>
      <w:numFmt w:val="bullet"/>
      <w:lvlText w:val=""/>
      <w:lvlJc w:val="left"/>
      <w:pPr>
        <w:ind w:left="2772" w:hanging="360"/>
      </w:pPr>
      <w:rPr>
        <w:rFonts w:ascii="Symbol" w:hAnsi="Symbol" w:hint="default"/>
      </w:rPr>
    </w:lvl>
    <w:lvl w:ilvl="4" w:tplc="041B0003">
      <w:start w:val="1"/>
      <w:numFmt w:val="bullet"/>
      <w:lvlText w:val="o"/>
      <w:lvlJc w:val="left"/>
      <w:pPr>
        <w:ind w:left="3492" w:hanging="360"/>
      </w:pPr>
      <w:rPr>
        <w:rFonts w:ascii="Courier New" w:hAnsi="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31">
    <w:nsid w:val="1EBB23F7"/>
    <w:multiLevelType w:val="hybridMultilevel"/>
    <w:tmpl w:val="5686A6A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1F6218D3"/>
    <w:multiLevelType w:val="hybridMultilevel"/>
    <w:tmpl w:val="046E4B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202C69B3"/>
    <w:multiLevelType w:val="hybridMultilevel"/>
    <w:tmpl w:val="80EEAB0C"/>
    <w:lvl w:ilvl="0" w:tplc="FA5427E8">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21351FA6"/>
    <w:multiLevelType w:val="hybridMultilevel"/>
    <w:tmpl w:val="A40C0B50"/>
    <w:lvl w:ilvl="0" w:tplc="D1C89AD8">
      <w:start w:val="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1FD1E12"/>
    <w:multiLevelType w:val="hybridMultilevel"/>
    <w:tmpl w:val="906AC29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2012DD3"/>
    <w:multiLevelType w:val="hybridMultilevel"/>
    <w:tmpl w:val="58E6E5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22A716A1"/>
    <w:multiLevelType w:val="hybridMultilevel"/>
    <w:tmpl w:val="B62AE2F2"/>
    <w:lvl w:ilvl="0" w:tplc="92F09690">
      <w:start w:val="2"/>
      <w:numFmt w:val="bullet"/>
      <w:lvlText w:val="-"/>
      <w:lvlJc w:val="left"/>
      <w:pPr>
        <w:ind w:left="720" w:hanging="360"/>
      </w:pPr>
      <w:rPr>
        <w:rFonts w:ascii="Cambria" w:eastAsia="Times New Roman" w:hAnsi="Cambria"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255C7A62"/>
    <w:multiLevelType w:val="hybridMultilevel"/>
    <w:tmpl w:val="90D6CE9E"/>
    <w:lvl w:ilvl="0" w:tplc="E556AFB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nsid w:val="26D329C6"/>
    <w:multiLevelType w:val="hybridMultilevel"/>
    <w:tmpl w:val="B61A8F0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28BF5F05"/>
    <w:multiLevelType w:val="hybridMultilevel"/>
    <w:tmpl w:val="40FC86F0"/>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2B7E75"/>
    <w:multiLevelType w:val="hybridMultilevel"/>
    <w:tmpl w:val="8702D3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nsid w:val="2A332690"/>
    <w:multiLevelType w:val="hybridMultilevel"/>
    <w:tmpl w:val="4A06587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2ADA2E5E"/>
    <w:multiLevelType w:val="hybridMultilevel"/>
    <w:tmpl w:val="F902647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2D497618"/>
    <w:multiLevelType w:val="hybridMultilevel"/>
    <w:tmpl w:val="A4F0221A"/>
    <w:lvl w:ilvl="0" w:tplc="F0964666">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2E233641"/>
    <w:multiLevelType w:val="hybridMultilevel"/>
    <w:tmpl w:val="53E4DA4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2EAB0FD9"/>
    <w:multiLevelType w:val="hybridMultilevel"/>
    <w:tmpl w:val="B32C536C"/>
    <w:lvl w:ilvl="0" w:tplc="9EBE4D88">
      <w:start w:val="1"/>
      <w:numFmt w:val="upperLetter"/>
      <w:lvlText w:val="%1."/>
      <w:lvlJc w:val="left"/>
      <w:pPr>
        <w:ind w:left="1620" w:hanging="360"/>
      </w:pPr>
      <w:rPr>
        <w:rFonts w:cs="Times New Roman" w:hint="default"/>
      </w:rPr>
    </w:lvl>
    <w:lvl w:ilvl="1" w:tplc="041B0019" w:tentative="1">
      <w:start w:val="1"/>
      <w:numFmt w:val="lowerLetter"/>
      <w:lvlText w:val="%2."/>
      <w:lvlJc w:val="left"/>
      <w:pPr>
        <w:ind w:left="2340" w:hanging="360"/>
      </w:pPr>
      <w:rPr>
        <w:rFonts w:cs="Times New Roman"/>
      </w:rPr>
    </w:lvl>
    <w:lvl w:ilvl="2" w:tplc="041B001B" w:tentative="1">
      <w:start w:val="1"/>
      <w:numFmt w:val="lowerRoman"/>
      <w:lvlText w:val="%3."/>
      <w:lvlJc w:val="right"/>
      <w:pPr>
        <w:ind w:left="3060" w:hanging="180"/>
      </w:pPr>
      <w:rPr>
        <w:rFonts w:cs="Times New Roman"/>
      </w:rPr>
    </w:lvl>
    <w:lvl w:ilvl="3" w:tplc="041B000F" w:tentative="1">
      <w:start w:val="1"/>
      <w:numFmt w:val="decimal"/>
      <w:lvlText w:val="%4."/>
      <w:lvlJc w:val="left"/>
      <w:pPr>
        <w:ind w:left="3780" w:hanging="360"/>
      </w:pPr>
      <w:rPr>
        <w:rFonts w:cs="Times New Roman"/>
      </w:rPr>
    </w:lvl>
    <w:lvl w:ilvl="4" w:tplc="041B0019" w:tentative="1">
      <w:start w:val="1"/>
      <w:numFmt w:val="lowerLetter"/>
      <w:lvlText w:val="%5."/>
      <w:lvlJc w:val="left"/>
      <w:pPr>
        <w:ind w:left="4500" w:hanging="360"/>
      </w:pPr>
      <w:rPr>
        <w:rFonts w:cs="Times New Roman"/>
      </w:rPr>
    </w:lvl>
    <w:lvl w:ilvl="5" w:tplc="041B001B" w:tentative="1">
      <w:start w:val="1"/>
      <w:numFmt w:val="lowerRoman"/>
      <w:lvlText w:val="%6."/>
      <w:lvlJc w:val="right"/>
      <w:pPr>
        <w:ind w:left="5220" w:hanging="180"/>
      </w:pPr>
      <w:rPr>
        <w:rFonts w:cs="Times New Roman"/>
      </w:rPr>
    </w:lvl>
    <w:lvl w:ilvl="6" w:tplc="041B000F" w:tentative="1">
      <w:start w:val="1"/>
      <w:numFmt w:val="decimal"/>
      <w:lvlText w:val="%7."/>
      <w:lvlJc w:val="left"/>
      <w:pPr>
        <w:ind w:left="5940" w:hanging="360"/>
      </w:pPr>
      <w:rPr>
        <w:rFonts w:cs="Times New Roman"/>
      </w:rPr>
    </w:lvl>
    <w:lvl w:ilvl="7" w:tplc="041B0019" w:tentative="1">
      <w:start w:val="1"/>
      <w:numFmt w:val="lowerLetter"/>
      <w:lvlText w:val="%8."/>
      <w:lvlJc w:val="left"/>
      <w:pPr>
        <w:ind w:left="6660" w:hanging="360"/>
      </w:pPr>
      <w:rPr>
        <w:rFonts w:cs="Times New Roman"/>
      </w:rPr>
    </w:lvl>
    <w:lvl w:ilvl="8" w:tplc="041B001B" w:tentative="1">
      <w:start w:val="1"/>
      <w:numFmt w:val="lowerRoman"/>
      <w:lvlText w:val="%9."/>
      <w:lvlJc w:val="right"/>
      <w:pPr>
        <w:ind w:left="7380" w:hanging="180"/>
      </w:pPr>
      <w:rPr>
        <w:rFonts w:cs="Times New Roman"/>
      </w:rPr>
    </w:lvl>
  </w:abstractNum>
  <w:abstractNum w:abstractNumId="47">
    <w:nsid w:val="308766FA"/>
    <w:multiLevelType w:val="hybridMultilevel"/>
    <w:tmpl w:val="6020229E"/>
    <w:lvl w:ilvl="0" w:tplc="431633AA">
      <w:start w:val="1"/>
      <w:numFmt w:val="bullet"/>
      <w:lvlText w:val="-"/>
      <w:lvlJc w:val="left"/>
      <w:pPr>
        <w:ind w:left="604" w:hanging="360"/>
      </w:pPr>
      <w:rPr>
        <w:rFonts w:ascii="Arial" w:eastAsia="Times New Roman" w:hAnsi="Arial" w:cs="Arial" w:hint="default"/>
      </w:rPr>
    </w:lvl>
    <w:lvl w:ilvl="1" w:tplc="041B0003" w:tentative="1">
      <w:start w:val="1"/>
      <w:numFmt w:val="bullet"/>
      <w:lvlText w:val="o"/>
      <w:lvlJc w:val="left"/>
      <w:pPr>
        <w:ind w:left="1324" w:hanging="360"/>
      </w:pPr>
      <w:rPr>
        <w:rFonts w:ascii="Courier New" w:hAnsi="Courier New" w:cs="Courier New" w:hint="default"/>
      </w:rPr>
    </w:lvl>
    <w:lvl w:ilvl="2" w:tplc="041B0005" w:tentative="1">
      <w:start w:val="1"/>
      <w:numFmt w:val="bullet"/>
      <w:lvlText w:val=""/>
      <w:lvlJc w:val="left"/>
      <w:pPr>
        <w:ind w:left="2044" w:hanging="360"/>
      </w:pPr>
      <w:rPr>
        <w:rFonts w:ascii="Wingdings" w:hAnsi="Wingdings" w:hint="default"/>
      </w:rPr>
    </w:lvl>
    <w:lvl w:ilvl="3" w:tplc="041B0001" w:tentative="1">
      <w:start w:val="1"/>
      <w:numFmt w:val="bullet"/>
      <w:lvlText w:val=""/>
      <w:lvlJc w:val="left"/>
      <w:pPr>
        <w:ind w:left="2764" w:hanging="360"/>
      </w:pPr>
      <w:rPr>
        <w:rFonts w:ascii="Symbol" w:hAnsi="Symbol" w:hint="default"/>
      </w:rPr>
    </w:lvl>
    <w:lvl w:ilvl="4" w:tplc="041B0003" w:tentative="1">
      <w:start w:val="1"/>
      <w:numFmt w:val="bullet"/>
      <w:lvlText w:val="o"/>
      <w:lvlJc w:val="left"/>
      <w:pPr>
        <w:ind w:left="3484" w:hanging="360"/>
      </w:pPr>
      <w:rPr>
        <w:rFonts w:ascii="Courier New" w:hAnsi="Courier New" w:cs="Courier New" w:hint="default"/>
      </w:rPr>
    </w:lvl>
    <w:lvl w:ilvl="5" w:tplc="041B0005" w:tentative="1">
      <w:start w:val="1"/>
      <w:numFmt w:val="bullet"/>
      <w:lvlText w:val=""/>
      <w:lvlJc w:val="left"/>
      <w:pPr>
        <w:ind w:left="4204" w:hanging="360"/>
      </w:pPr>
      <w:rPr>
        <w:rFonts w:ascii="Wingdings" w:hAnsi="Wingdings" w:hint="default"/>
      </w:rPr>
    </w:lvl>
    <w:lvl w:ilvl="6" w:tplc="041B0001" w:tentative="1">
      <w:start w:val="1"/>
      <w:numFmt w:val="bullet"/>
      <w:lvlText w:val=""/>
      <w:lvlJc w:val="left"/>
      <w:pPr>
        <w:ind w:left="4924" w:hanging="360"/>
      </w:pPr>
      <w:rPr>
        <w:rFonts w:ascii="Symbol" w:hAnsi="Symbol" w:hint="default"/>
      </w:rPr>
    </w:lvl>
    <w:lvl w:ilvl="7" w:tplc="041B0003" w:tentative="1">
      <w:start w:val="1"/>
      <w:numFmt w:val="bullet"/>
      <w:lvlText w:val="o"/>
      <w:lvlJc w:val="left"/>
      <w:pPr>
        <w:ind w:left="5644" w:hanging="360"/>
      </w:pPr>
      <w:rPr>
        <w:rFonts w:ascii="Courier New" w:hAnsi="Courier New" w:cs="Courier New" w:hint="default"/>
      </w:rPr>
    </w:lvl>
    <w:lvl w:ilvl="8" w:tplc="041B0005" w:tentative="1">
      <w:start w:val="1"/>
      <w:numFmt w:val="bullet"/>
      <w:lvlText w:val=""/>
      <w:lvlJc w:val="left"/>
      <w:pPr>
        <w:ind w:left="6364" w:hanging="360"/>
      </w:pPr>
      <w:rPr>
        <w:rFonts w:ascii="Wingdings" w:hAnsi="Wingdings" w:hint="default"/>
      </w:rPr>
    </w:lvl>
  </w:abstractNum>
  <w:abstractNum w:abstractNumId="48">
    <w:nsid w:val="31D577D3"/>
    <w:multiLevelType w:val="hybridMultilevel"/>
    <w:tmpl w:val="3836B84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nsid w:val="32686F81"/>
    <w:multiLevelType w:val="hybridMultilevel"/>
    <w:tmpl w:val="012C512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33272993"/>
    <w:multiLevelType w:val="hybridMultilevel"/>
    <w:tmpl w:val="4AD42BA4"/>
    <w:lvl w:ilvl="0" w:tplc="22823464">
      <w:start w:val="3"/>
      <w:numFmt w:val="upp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1">
    <w:nsid w:val="33FB64D8"/>
    <w:multiLevelType w:val="hybridMultilevel"/>
    <w:tmpl w:val="42947690"/>
    <w:lvl w:ilvl="0" w:tplc="01FA416C">
      <w:start w:val="273"/>
      <w:numFmt w:val="bullet"/>
      <w:lvlText w:val="-"/>
      <w:lvlJc w:val="left"/>
      <w:pPr>
        <w:ind w:left="720" w:hanging="360"/>
      </w:pPr>
      <w:rPr>
        <w:rFonts w:ascii="Cambria" w:eastAsia="MS Mincho"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351E00D3"/>
    <w:multiLevelType w:val="hybridMultilevel"/>
    <w:tmpl w:val="B358ED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7614C8F"/>
    <w:multiLevelType w:val="hybridMultilevel"/>
    <w:tmpl w:val="A73C582A"/>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54">
    <w:nsid w:val="37B83CEF"/>
    <w:multiLevelType w:val="hybridMultilevel"/>
    <w:tmpl w:val="C78CC1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8BB1A9A"/>
    <w:multiLevelType w:val="hybridMultilevel"/>
    <w:tmpl w:val="6EA884A8"/>
    <w:lvl w:ilvl="0" w:tplc="F0964666">
      <w:numFmt w:val="bullet"/>
      <w:lvlText w:val="-"/>
      <w:lvlJc w:val="left"/>
      <w:pPr>
        <w:ind w:left="720" w:hanging="360"/>
      </w:pPr>
      <w:rPr>
        <w:rFonts w:ascii="Cambria" w:eastAsiaTheme="minorEastAsia" w:hAnsi="Cambria"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38D62891"/>
    <w:multiLevelType w:val="hybridMultilevel"/>
    <w:tmpl w:val="E2BCEAC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nsid w:val="3A4522A6"/>
    <w:multiLevelType w:val="hybridMultilevel"/>
    <w:tmpl w:val="C0C833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AF8087C"/>
    <w:multiLevelType w:val="hybridMultilevel"/>
    <w:tmpl w:val="7662FC3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3D3C73FD"/>
    <w:multiLevelType w:val="hybridMultilevel"/>
    <w:tmpl w:val="201AF180"/>
    <w:lvl w:ilvl="0" w:tplc="CD0A9FAC">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3E864F5B"/>
    <w:multiLevelType w:val="hybridMultilevel"/>
    <w:tmpl w:val="1F48834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3EAA2DA8"/>
    <w:multiLevelType w:val="hybridMultilevel"/>
    <w:tmpl w:val="8B1E8DB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nsid w:val="3F7B003F"/>
    <w:multiLevelType w:val="hybridMultilevel"/>
    <w:tmpl w:val="2D50D1E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3FD10799"/>
    <w:multiLevelType w:val="hybridMultilevel"/>
    <w:tmpl w:val="36C0E098"/>
    <w:lvl w:ilvl="0" w:tplc="041B000F">
      <w:start w:val="1"/>
      <w:numFmt w:val="decimal"/>
      <w:lvlText w:val="%1."/>
      <w:lvlJc w:val="left"/>
      <w:pPr>
        <w:ind w:left="720" w:hanging="360"/>
      </w:pPr>
      <w:rPr>
        <w:rFonts w:cs="Times New Roman" w:hint="default"/>
      </w:rPr>
    </w:lvl>
    <w:lvl w:ilvl="1" w:tplc="D7788E1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42F32F53"/>
    <w:multiLevelType w:val="hybridMultilevel"/>
    <w:tmpl w:val="659EC6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434D1CF5"/>
    <w:multiLevelType w:val="multilevel"/>
    <w:tmpl w:val="1CA669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nsid w:val="46A15058"/>
    <w:multiLevelType w:val="hybridMultilevel"/>
    <w:tmpl w:val="2F4CE42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46DB741C"/>
    <w:multiLevelType w:val="hybridMultilevel"/>
    <w:tmpl w:val="28F239F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6FB400B"/>
    <w:multiLevelType w:val="hybridMultilevel"/>
    <w:tmpl w:val="5204D612"/>
    <w:lvl w:ilvl="0" w:tplc="E556AFBE">
      <w:start w:val="1"/>
      <w:numFmt w:val="bullet"/>
      <w:lvlText w:val=""/>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9">
    <w:nsid w:val="497C70D9"/>
    <w:multiLevelType w:val="hybridMultilevel"/>
    <w:tmpl w:val="ED125BB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4AF61726"/>
    <w:multiLevelType w:val="hybridMultilevel"/>
    <w:tmpl w:val="9450324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F3B5601"/>
    <w:multiLevelType w:val="hybridMultilevel"/>
    <w:tmpl w:val="748E01B6"/>
    <w:lvl w:ilvl="0" w:tplc="F0964666">
      <w:numFmt w:val="bullet"/>
      <w:lvlText w:val="-"/>
      <w:lvlJc w:val="left"/>
      <w:pPr>
        <w:ind w:left="754" w:hanging="360"/>
      </w:pPr>
      <w:rPr>
        <w:rFonts w:ascii="Cambria" w:eastAsiaTheme="minorEastAsia" w:hAnsi="Cambria"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72">
    <w:nsid w:val="4F970ACF"/>
    <w:multiLevelType w:val="hybridMultilevel"/>
    <w:tmpl w:val="B6788F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4FD72842"/>
    <w:multiLevelType w:val="hybridMultilevel"/>
    <w:tmpl w:val="5B7E77F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4FD90EAF"/>
    <w:multiLevelType w:val="hybridMultilevel"/>
    <w:tmpl w:val="042EB89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52554673"/>
    <w:multiLevelType w:val="hybridMultilevel"/>
    <w:tmpl w:val="C466EEA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3437A67"/>
    <w:multiLevelType w:val="hybridMultilevel"/>
    <w:tmpl w:val="7B72670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3C3285D"/>
    <w:multiLevelType w:val="hybridMultilevel"/>
    <w:tmpl w:val="833E69D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3E40C7B"/>
    <w:multiLevelType w:val="hybridMultilevel"/>
    <w:tmpl w:val="E34EBF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nsid w:val="547728AC"/>
    <w:multiLevelType w:val="hybridMultilevel"/>
    <w:tmpl w:val="C5F0256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54FA3702"/>
    <w:multiLevelType w:val="hybridMultilevel"/>
    <w:tmpl w:val="32EA9A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1">
    <w:nsid w:val="55304E2A"/>
    <w:multiLevelType w:val="hybridMultilevel"/>
    <w:tmpl w:val="BC10495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6390D60"/>
    <w:multiLevelType w:val="hybridMultilevel"/>
    <w:tmpl w:val="AA3E98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567106F4"/>
    <w:multiLevelType w:val="hybridMultilevel"/>
    <w:tmpl w:val="C23298E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7483A22"/>
    <w:multiLevelType w:val="hybridMultilevel"/>
    <w:tmpl w:val="D5B65B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nsid w:val="59D174F1"/>
    <w:multiLevelType w:val="hybridMultilevel"/>
    <w:tmpl w:val="356E1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A2F0AF2"/>
    <w:multiLevelType w:val="hybridMultilevel"/>
    <w:tmpl w:val="54B4E5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B01079E"/>
    <w:multiLevelType w:val="hybridMultilevel"/>
    <w:tmpl w:val="D1740CA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nsid w:val="5B255A4E"/>
    <w:multiLevelType w:val="hybridMultilevel"/>
    <w:tmpl w:val="729092F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nsid w:val="5B801499"/>
    <w:multiLevelType w:val="hybridMultilevel"/>
    <w:tmpl w:val="B2BA0F7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nsid w:val="5B825991"/>
    <w:multiLevelType w:val="hybridMultilevel"/>
    <w:tmpl w:val="6148972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5B905BD6"/>
    <w:multiLevelType w:val="hybridMultilevel"/>
    <w:tmpl w:val="CEC2630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nsid w:val="5F580953"/>
    <w:multiLevelType w:val="hybridMultilevel"/>
    <w:tmpl w:val="CD06D5A2"/>
    <w:lvl w:ilvl="0" w:tplc="6E2C0518">
      <w:start w:val="1"/>
      <w:numFmt w:val="decimal"/>
      <w:lvlText w:val="%1."/>
      <w:lvlJc w:val="left"/>
      <w:pPr>
        <w:ind w:left="720" w:hanging="360"/>
      </w:pPr>
      <w:rPr>
        <w:rFonts w:cs="Times New Roman" w:hint="default"/>
        <w:u w:val="single"/>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3">
    <w:nsid w:val="60B36C32"/>
    <w:multiLevelType w:val="hybridMultilevel"/>
    <w:tmpl w:val="2CE80F6E"/>
    <w:lvl w:ilvl="0" w:tplc="518AAD02">
      <w:start w:val="1"/>
      <w:numFmt w:val="bullet"/>
      <w:pStyle w:val="08Bullet1"/>
      <w:lvlText w:val=""/>
      <w:lvlJc w:val="left"/>
      <w:pPr>
        <w:ind w:left="928" w:hanging="360"/>
      </w:pPr>
      <w:rPr>
        <w:rFonts w:ascii="Wingdings" w:hAnsi="Wingdings" w:hint="default"/>
        <w:color w:val="1F497D"/>
      </w:rPr>
    </w:lvl>
    <w:lvl w:ilvl="1" w:tplc="A5067A0A">
      <w:start w:val="1"/>
      <w:numFmt w:val="bullet"/>
      <w:lvlText w:val="–"/>
      <w:lvlJc w:val="left"/>
      <w:pPr>
        <w:ind w:left="1440" w:hanging="360"/>
      </w:pPr>
      <w:rPr>
        <w:rFonts w:ascii="Arial" w:hAnsi="Arial" w:hint="default"/>
        <w:color w:val="17365D"/>
        <w:sz w:val="18"/>
      </w:rPr>
    </w:lvl>
    <w:lvl w:ilvl="2" w:tplc="789424A4">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4">
    <w:nsid w:val="60FD2161"/>
    <w:multiLevelType w:val="hybridMultilevel"/>
    <w:tmpl w:val="A2309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233043C"/>
    <w:multiLevelType w:val="hybridMultilevel"/>
    <w:tmpl w:val="84D09F0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nsid w:val="62A8042C"/>
    <w:multiLevelType w:val="singleLevel"/>
    <w:tmpl w:val="6D2A5154"/>
    <w:lvl w:ilvl="0">
      <w:start w:val="1"/>
      <w:numFmt w:val="bullet"/>
      <w:lvlRestart w:val="0"/>
      <w:pStyle w:val="ListDash1"/>
      <w:lvlText w:val="–"/>
      <w:lvlJc w:val="left"/>
      <w:pPr>
        <w:tabs>
          <w:tab w:val="num" w:pos="2575"/>
        </w:tabs>
        <w:ind w:left="2575" w:hanging="283"/>
      </w:pPr>
      <w:rPr>
        <w:rFonts w:ascii="Times New Roman" w:hAnsi="Times New Roman"/>
      </w:rPr>
    </w:lvl>
  </w:abstractNum>
  <w:abstractNum w:abstractNumId="97">
    <w:nsid w:val="635A4EC5"/>
    <w:multiLevelType w:val="hybridMultilevel"/>
    <w:tmpl w:val="39E68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nsid w:val="64D228CD"/>
    <w:multiLevelType w:val="hybridMultilevel"/>
    <w:tmpl w:val="FD9E4CA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nsid w:val="65926C78"/>
    <w:multiLevelType w:val="hybridMultilevel"/>
    <w:tmpl w:val="10E6AEBA"/>
    <w:lvl w:ilvl="0" w:tplc="79F0673E">
      <w:start w:val="1"/>
      <w:numFmt w:val="decimal"/>
      <w:lvlText w:val="%1."/>
      <w:lvlJc w:val="left"/>
      <w:pPr>
        <w:ind w:left="720" w:hanging="360"/>
      </w:pPr>
      <w:rPr>
        <w:rFonts w:ascii="Calibri" w:eastAsia="Times New Roman" w:hAnsi="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65941EA8"/>
    <w:multiLevelType w:val="hybridMultilevel"/>
    <w:tmpl w:val="72F22FD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nsid w:val="676D1D72"/>
    <w:multiLevelType w:val="multilevel"/>
    <w:tmpl w:val="6164A45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b w:val="0"/>
        <w:bCs w:val="0"/>
        <w:i w:val="0"/>
        <w:iCs w:val="0"/>
        <w:caps w:val="0"/>
        <w:smallCaps w:val="0"/>
        <w:strike w:val="0"/>
        <w:dstrike w:val="0"/>
        <w:vanish w:val="0"/>
        <w:spacing w:val="0"/>
        <w:kern w:val="0"/>
        <w:position w:val="0"/>
        <w:u w:val="none"/>
        <w:effect w:val="none"/>
        <w:vertAlign w:val="baseline"/>
      </w:rPr>
    </w:lvl>
    <w:lvl w:ilvl="5">
      <w:start w:val="1"/>
      <w:numFmt w:val="decimal"/>
      <w:lvlText w:val="%1.%2.%3.%4.%5.%6"/>
      <w:lvlJc w:val="left"/>
      <w:pPr>
        <w:ind w:left="1152" w:hanging="1152"/>
      </w:pPr>
      <w:rPr>
        <w:rFonts w:cs="Times New Roman"/>
        <w:color w:val="244061" w:themeColor="accent1" w:themeShade="80"/>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2">
    <w:nsid w:val="67963928"/>
    <w:multiLevelType w:val="hybridMultilevel"/>
    <w:tmpl w:val="07F49E9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68205C85"/>
    <w:multiLevelType w:val="hybridMultilevel"/>
    <w:tmpl w:val="88D6DDB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4">
    <w:nsid w:val="69C0285C"/>
    <w:multiLevelType w:val="hybridMultilevel"/>
    <w:tmpl w:val="589021B6"/>
    <w:lvl w:ilvl="0" w:tplc="89D8A05E">
      <w:start w:val="1"/>
      <w:numFmt w:val="bullet"/>
      <w:pStyle w:val="09Bullet2"/>
      <w:lvlText w:val="–"/>
      <w:lvlJc w:val="left"/>
      <w:pPr>
        <w:ind w:left="1800" w:hanging="360"/>
      </w:pPr>
      <w:rPr>
        <w:rFonts w:ascii="Arial" w:hAnsi="Arial" w:hint="default"/>
        <w:color w:val="1F497D"/>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5">
    <w:nsid w:val="6A755A56"/>
    <w:multiLevelType w:val="hybridMultilevel"/>
    <w:tmpl w:val="5922039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nsid w:val="6AB907D3"/>
    <w:multiLevelType w:val="hybridMultilevel"/>
    <w:tmpl w:val="420AF65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nsid w:val="6B753E88"/>
    <w:multiLevelType w:val="hybridMultilevel"/>
    <w:tmpl w:val="58F07EB4"/>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nsid w:val="6BA978A1"/>
    <w:multiLevelType w:val="hybridMultilevel"/>
    <w:tmpl w:val="1E96C0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6E3367A0"/>
    <w:multiLevelType w:val="hybridMultilevel"/>
    <w:tmpl w:val="7FB845C0"/>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nsid w:val="6EFD2CCD"/>
    <w:multiLevelType w:val="hybridMultilevel"/>
    <w:tmpl w:val="E2CEB45E"/>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nsid w:val="707A3E5A"/>
    <w:multiLevelType w:val="hybridMultilevel"/>
    <w:tmpl w:val="A95EFF1A"/>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nsid w:val="70FE1F56"/>
    <w:multiLevelType w:val="hybridMultilevel"/>
    <w:tmpl w:val="B366F1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nsid w:val="73FC55B2"/>
    <w:multiLevelType w:val="hybridMultilevel"/>
    <w:tmpl w:val="C40C76D4"/>
    <w:lvl w:ilvl="0" w:tplc="D1C89AD8">
      <w:start w:val="5"/>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4">
    <w:nsid w:val="74942AAA"/>
    <w:multiLevelType w:val="hybridMultilevel"/>
    <w:tmpl w:val="D94CB75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nsid w:val="74D02F6E"/>
    <w:multiLevelType w:val="hybridMultilevel"/>
    <w:tmpl w:val="A1D03ED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nsid w:val="754F2564"/>
    <w:multiLevelType w:val="hybridMultilevel"/>
    <w:tmpl w:val="51E432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7">
    <w:nsid w:val="76672539"/>
    <w:multiLevelType w:val="hybridMultilevel"/>
    <w:tmpl w:val="62001E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8">
    <w:nsid w:val="787B5029"/>
    <w:multiLevelType w:val="hybridMultilevel"/>
    <w:tmpl w:val="F4B6935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nsid w:val="793D6B8F"/>
    <w:multiLevelType w:val="hybridMultilevel"/>
    <w:tmpl w:val="4F667E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nsid w:val="79EB064C"/>
    <w:multiLevelType w:val="hybridMultilevel"/>
    <w:tmpl w:val="62F0F936"/>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nsid w:val="7A747FD7"/>
    <w:multiLevelType w:val="hybridMultilevel"/>
    <w:tmpl w:val="E10C18A2"/>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nsid w:val="7AC53945"/>
    <w:multiLevelType w:val="hybridMultilevel"/>
    <w:tmpl w:val="9A3A1890"/>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nsid w:val="7B8D1B69"/>
    <w:multiLevelType w:val="hybridMultilevel"/>
    <w:tmpl w:val="E3B09BF6"/>
    <w:lvl w:ilvl="0" w:tplc="3FB8F3AE">
      <w:start w:val="1"/>
      <w:numFmt w:val="decimal"/>
      <w:lvlText w:val="%1."/>
      <w:lvlJc w:val="left"/>
      <w:pPr>
        <w:ind w:left="720" w:hanging="360"/>
      </w:pPr>
      <w:rPr>
        <w:rFonts w:ascii="Calibri" w:eastAsia="Times New Roman" w:hAnsi="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nsid w:val="7BCD4909"/>
    <w:multiLevelType w:val="hybridMultilevel"/>
    <w:tmpl w:val="3DEE37CC"/>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nsid w:val="7CE47B2A"/>
    <w:multiLevelType w:val="hybridMultilevel"/>
    <w:tmpl w:val="B8807584"/>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nsid w:val="7D381F99"/>
    <w:multiLevelType w:val="hybridMultilevel"/>
    <w:tmpl w:val="BD9A5B58"/>
    <w:lvl w:ilvl="0" w:tplc="67A81BA6">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nsid w:val="7F681443"/>
    <w:multiLevelType w:val="hybridMultilevel"/>
    <w:tmpl w:val="F752A26E"/>
    <w:lvl w:ilvl="0" w:tplc="0809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nsid w:val="7FC02D6F"/>
    <w:multiLevelType w:val="hybridMultilevel"/>
    <w:tmpl w:val="551466C0"/>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nsid w:val="7FD14E97"/>
    <w:multiLevelType w:val="hybridMultilevel"/>
    <w:tmpl w:val="84F8A688"/>
    <w:lvl w:ilvl="0" w:tplc="F0964666">
      <w:numFmt w:val="bullet"/>
      <w:lvlText w:val="-"/>
      <w:lvlJc w:val="left"/>
      <w:pPr>
        <w:ind w:left="720" w:hanging="360"/>
      </w:pPr>
      <w:rPr>
        <w:rFonts w:ascii="Cambria" w:eastAsiaTheme="minorEastAs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01"/>
  </w:num>
  <w:num w:numId="3">
    <w:abstractNumId w:val="29"/>
  </w:num>
  <w:num w:numId="4">
    <w:abstractNumId w:val="40"/>
  </w:num>
  <w:num w:numId="5">
    <w:abstractNumId w:val="10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7"/>
  </w:num>
  <w:num w:numId="7">
    <w:abstractNumId w:val="24"/>
  </w:num>
  <w:num w:numId="8">
    <w:abstractNumId w:val="85"/>
  </w:num>
  <w:num w:numId="9">
    <w:abstractNumId w:val="127"/>
  </w:num>
  <w:num w:numId="10">
    <w:abstractNumId w:val="122"/>
  </w:num>
  <w:num w:numId="11">
    <w:abstractNumId w:val="128"/>
  </w:num>
  <w:num w:numId="12">
    <w:abstractNumId w:val="107"/>
  </w:num>
  <w:num w:numId="13">
    <w:abstractNumId w:val="72"/>
  </w:num>
  <w:num w:numId="14">
    <w:abstractNumId w:val="57"/>
  </w:num>
  <w:num w:numId="15">
    <w:abstractNumId w:val="97"/>
  </w:num>
  <w:num w:numId="16">
    <w:abstractNumId w:val="112"/>
  </w:num>
  <w:num w:numId="17">
    <w:abstractNumId w:val="53"/>
  </w:num>
  <w:num w:numId="18">
    <w:abstractNumId w:val="52"/>
  </w:num>
  <w:num w:numId="19">
    <w:abstractNumId w:val="36"/>
  </w:num>
  <w:num w:numId="20">
    <w:abstractNumId w:val="19"/>
  </w:num>
  <w:num w:numId="21">
    <w:abstractNumId w:val="37"/>
  </w:num>
  <w:num w:numId="22">
    <w:abstractNumId w:val="78"/>
  </w:num>
  <w:num w:numId="23">
    <w:abstractNumId w:val="84"/>
  </w:num>
  <w:num w:numId="24">
    <w:abstractNumId w:val="3"/>
  </w:num>
  <w:num w:numId="25">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6"/>
  </w:num>
  <w:num w:numId="27">
    <w:abstractNumId w:val="80"/>
  </w:num>
  <w:num w:numId="28">
    <w:abstractNumId w:val="21"/>
  </w:num>
  <w:num w:numId="29">
    <w:abstractNumId w:val="68"/>
  </w:num>
  <w:num w:numId="30">
    <w:abstractNumId w:val="38"/>
  </w:num>
  <w:num w:numId="31">
    <w:abstractNumId w:val="86"/>
  </w:num>
  <w:num w:numId="32">
    <w:abstractNumId w:val="59"/>
  </w:num>
  <w:num w:numId="33">
    <w:abstractNumId w:val="22"/>
  </w:num>
  <w:num w:numId="34">
    <w:abstractNumId w:val="82"/>
  </w:num>
  <w:num w:numId="35">
    <w:abstractNumId w:val="43"/>
  </w:num>
  <w:num w:numId="36">
    <w:abstractNumId w:val="13"/>
  </w:num>
  <w:num w:numId="37">
    <w:abstractNumId w:val="56"/>
  </w:num>
  <w:num w:numId="38">
    <w:abstractNumId w:val="83"/>
  </w:num>
  <w:num w:numId="39">
    <w:abstractNumId w:val="60"/>
  </w:num>
  <w:num w:numId="40">
    <w:abstractNumId w:val="28"/>
  </w:num>
  <w:num w:numId="41">
    <w:abstractNumId w:val="54"/>
  </w:num>
  <w:num w:numId="42">
    <w:abstractNumId w:val="16"/>
  </w:num>
  <w:num w:numId="43">
    <w:abstractNumId w:val="126"/>
  </w:num>
  <w:num w:numId="44">
    <w:abstractNumId w:val="9"/>
  </w:num>
  <w:num w:numId="45">
    <w:abstractNumId w:val="18"/>
  </w:num>
  <w:num w:numId="46">
    <w:abstractNumId w:val="103"/>
  </w:num>
  <w:num w:numId="47">
    <w:abstractNumId w:val="2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3"/>
  </w:num>
  <w:num w:numId="49">
    <w:abstractNumId w:val="104"/>
  </w:num>
  <w:num w:numId="50">
    <w:abstractNumId w:val="23"/>
  </w:num>
  <w:num w:numId="51">
    <w:abstractNumId w:val="96"/>
  </w:num>
  <w:num w:numId="5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num>
  <w:num w:numId="54">
    <w:abstractNumId w:val="113"/>
  </w:num>
  <w:num w:numId="55">
    <w:abstractNumId w:val="55"/>
  </w:num>
  <w:num w:numId="56">
    <w:abstractNumId w:val="46"/>
  </w:num>
  <w:num w:numId="57">
    <w:abstractNumId w:val="63"/>
  </w:num>
  <w:num w:numId="58">
    <w:abstractNumId w:val="41"/>
  </w:num>
  <w:num w:numId="59">
    <w:abstractNumId w:val="30"/>
  </w:num>
  <w:num w:numId="60">
    <w:abstractNumId w:val="31"/>
  </w:num>
  <w:num w:numId="61">
    <w:abstractNumId w:val="11"/>
  </w:num>
  <w:num w:numId="62">
    <w:abstractNumId w:val="92"/>
  </w:num>
  <w:num w:numId="63">
    <w:abstractNumId w:val="44"/>
  </w:num>
  <w:num w:numId="64">
    <w:abstractNumId w:val="15"/>
  </w:num>
  <w:num w:numId="65">
    <w:abstractNumId w:val="79"/>
  </w:num>
  <w:num w:numId="66">
    <w:abstractNumId w:val="33"/>
  </w:num>
  <w:num w:numId="67">
    <w:abstractNumId w:val="51"/>
  </w:num>
  <w:num w:numId="68">
    <w:abstractNumId w:val="94"/>
  </w:num>
  <w:num w:numId="69">
    <w:abstractNumId w:val="4"/>
  </w:num>
  <w:num w:numId="70">
    <w:abstractNumId w:val="119"/>
  </w:num>
  <w:num w:numId="71">
    <w:abstractNumId w:val="47"/>
  </w:num>
  <w:num w:numId="72">
    <w:abstractNumId w:val="10"/>
  </w:num>
  <w:num w:numId="73">
    <w:abstractNumId w:val="1"/>
  </w:num>
  <w:num w:numId="74">
    <w:abstractNumId w:val="115"/>
  </w:num>
  <w:num w:numId="75">
    <w:abstractNumId w:val="25"/>
  </w:num>
  <w:num w:numId="76">
    <w:abstractNumId w:val="2"/>
  </w:num>
  <w:num w:numId="77">
    <w:abstractNumId w:val="91"/>
  </w:num>
  <w:num w:numId="78">
    <w:abstractNumId w:val="100"/>
  </w:num>
  <w:num w:numId="79">
    <w:abstractNumId w:val="120"/>
  </w:num>
  <w:num w:numId="80">
    <w:abstractNumId w:val="12"/>
  </w:num>
  <w:num w:numId="81">
    <w:abstractNumId w:val="66"/>
  </w:num>
  <w:num w:numId="82">
    <w:abstractNumId w:val="45"/>
  </w:num>
  <w:num w:numId="83">
    <w:abstractNumId w:val="69"/>
  </w:num>
  <w:num w:numId="84">
    <w:abstractNumId w:val="61"/>
  </w:num>
  <w:num w:numId="85">
    <w:abstractNumId w:val="124"/>
  </w:num>
  <w:num w:numId="86">
    <w:abstractNumId w:val="6"/>
  </w:num>
  <w:num w:numId="87">
    <w:abstractNumId w:val="89"/>
  </w:num>
  <w:num w:numId="88">
    <w:abstractNumId w:val="118"/>
  </w:num>
  <w:num w:numId="89">
    <w:abstractNumId w:val="87"/>
  </w:num>
  <w:num w:numId="90">
    <w:abstractNumId w:val="27"/>
  </w:num>
  <w:num w:numId="91">
    <w:abstractNumId w:val="88"/>
  </w:num>
  <w:num w:numId="92">
    <w:abstractNumId w:val="98"/>
  </w:num>
  <w:num w:numId="93">
    <w:abstractNumId w:val="121"/>
  </w:num>
  <w:num w:numId="94">
    <w:abstractNumId w:val="7"/>
  </w:num>
  <w:num w:numId="95">
    <w:abstractNumId w:val="62"/>
  </w:num>
  <w:num w:numId="96">
    <w:abstractNumId w:val="114"/>
  </w:num>
  <w:num w:numId="97">
    <w:abstractNumId w:val="106"/>
  </w:num>
  <w:num w:numId="98">
    <w:abstractNumId w:val="102"/>
  </w:num>
  <w:num w:numId="99">
    <w:abstractNumId w:val="110"/>
  </w:num>
  <w:num w:numId="100">
    <w:abstractNumId w:val="17"/>
  </w:num>
  <w:num w:numId="101">
    <w:abstractNumId w:val="75"/>
  </w:num>
  <w:num w:numId="102">
    <w:abstractNumId w:val="20"/>
  </w:num>
  <w:num w:numId="103">
    <w:abstractNumId w:val="70"/>
  </w:num>
  <w:num w:numId="104">
    <w:abstractNumId w:val="81"/>
  </w:num>
  <w:num w:numId="105">
    <w:abstractNumId w:val="48"/>
  </w:num>
  <w:num w:numId="106">
    <w:abstractNumId w:val="76"/>
  </w:num>
  <w:num w:numId="107">
    <w:abstractNumId w:val="129"/>
  </w:num>
  <w:num w:numId="108">
    <w:abstractNumId w:val="71"/>
  </w:num>
  <w:num w:numId="109">
    <w:abstractNumId w:val="58"/>
  </w:num>
  <w:num w:numId="110">
    <w:abstractNumId w:val="90"/>
  </w:num>
  <w:num w:numId="111">
    <w:abstractNumId w:val="95"/>
  </w:num>
  <w:num w:numId="112">
    <w:abstractNumId w:val="105"/>
  </w:num>
  <w:num w:numId="113">
    <w:abstractNumId w:val="5"/>
  </w:num>
  <w:num w:numId="114">
    <w:abstractNumId w:val="8"/>
  </w:num>
  <w:num w:numId="115">
    <w:abstractNumId w:val="109"/>
  </w:num>
  <w:num w:numId="116">
    <w:abstractNumId w:val="125"/>
  </w:num>
  <w:num w:numId="117">
    <w:abstractNumId w:val="42"/>
  </w:num>
  <w:num w:numId="118">
    <w:abstractNumId w:val="74"/>
  </w:num>
  <w:num w:numId="119">
    <w:abstractNumId w:val="14"/>
  </w:num>
  <w:num w:numId="120">
    <w:abstractNumId w:val="77"/>
  </w:num>
  <w:num w:numId="121">
    <w:abstractNumId w:val="32"/>
  </w:num>
  <w:num w:numId="122">
    <w:abstractNumId w:val="73"/>
  </w:num>
  <w:num w:numId="123">
    <w:abstractNumId w:val="49"/>
  </w:num>
  <w:num w:numId="124">
    <w:abstractNumId w:val="108"/>
  </w:num>
  <w:num w:numId="125">
    <w:abstractNumId w:val="65"/>
  </w:num>
  <w:num w:numId="1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5"/>
  </w:num>
  <w:num w:numId="164">
    <w:abstractNumId w:val="67"/>
  </w:num>
  <w:num w:numId="165">
    <w:abstractNumId w:val="111"/>
  </w:num>
  <w:num w:numId="166">
    <w:abstractNumId w:val="39"/>
  </w:num>
  <w:num w:numId="167">
    <w:abstractNumId w:val="64"/>
  </w:num>
  <w:num w:numId="168">
    <w:abstractNumId w:val="99"/>
  </w:num>
  <w:num w:numId="169">
    <w:abstractNumId w:val="123"/>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BF"/>
    <w:rsid w:val="0000031F"/>
    <w:rsid w:val="00002AFE"/>
    <w:rsid w:val="00002D28"/>
    <w:rsid w:val="00004369"/>
    <w:rsid w:val="000051EC"/>
    <w:rsid w:val="00005845"/>
    <w:rsid w:val="00005956"/>
    <w:rsid w:val="00005AAE"/>
    <w:rsid w:val="00007508"/>
    <w:rsid w:val="00007BFB"/>
    <w:rsid w:val="00010D3B"/>
    <w:rsid w:val="00013678"/>
    <w:rsid w:val="00013BE1"/>
    <w:rsid w:val="000149ED"/>
    <w:rsid w:val="00015657"/>
    <w:rsid w:val="00020604"/>
    <w:rsid w:val="00022789"/>
    <w:rsid w:val="00022B50"/>
    <w:rsid w:val="00022CD9"/>
    <w:rsid w:val="0002553C"/>
    <w:rsid w:val="0002593F"/>
    <w:rsid w:val="00027848"/>
    <w:rsid w:val="0002791D"/>
    <w:rsid w:val="00027D15"/>
    <w:rsid w:val="0003024B"/>
    <w:rsid w:val="0003045C"/>
    <w:rsid w:val="00030BFC"/>
    <w:rsid w:val="000312BB"/>
    <w:rsid w:val="0003264B"/>
    <w:rsid w:val="000340D7"/>
    <w:rsid w:val="000352EB"/>
    <w:rsid w:val="000356E1"/>
    <w:rsid w:val="00035DD3"/>
    <w:rsid w:val="00036013"/>
    <w:rsid w:val="00036713"/>
    <w:rsid w:val="00036A6B"/>
    <w:rsid w:val="00036B86"/>
    <w:rsid w:val="00036E07"/>
    <w:rsid w:val="00036FE5"/>
    <w:rsid w:val="0003737B"/>
    <w:rsid w:val="00037660"/>
    <w:rsid w:val="00040CDD"/>
    <w:rsid w:val="00040E92"/>
    <w:rsid w:val="00041243"/>
    <w:rsid w:val="00041368"/>
    <w:rsid w:val="0004141E"/>
    <w:rsid w:val="000415D5"/>
    <w:rsid w:val="00043181"/>
    <w:rsid w:val="0004363F"/>
    <w:rsid w:val="000444B4"/>
    <w:rsid w:val="00044704"/>
    <w:rsid w:val="00044FB8"/>
    <w:rsid w:val="000453D3"/>
    <w:rsid w:val="00045CDD"/>
    <w:rsid w:val="00045FBF"/>
    <w:rsid w:val="00047B5C"/>
    <w:rsid w:val="00047DFA"/>
    <w:rsid w:val="00050117"/>
    <w:rsid w:val="000504F5"/>
    <w:rsid w:val="000506D8"/>
    <w:rsid w:val="00050DAD"/>
    <w:rsid w:val="00052419"/>
    <w:rsid w:val="0005442A"/>
    <w:rsid w:val="00054569"/>
    <w:rsid w:val="00054751"/>
    <w:rsid w:val="00055058"/>
    <w:rsid w:val="00055A0B"/>
    <w:rsid w:val="00056FFE"/>
    <w:rsid w:val="00057853"/>
    <w:rsid w:val="000579A1"/>
    <w:rsid w:val="000603F8"/>
    <w:rsid w:val="00061641"/>
    <w:rsid w:val="00061914"/>
    <w:rsid w:val="00062179"/>
    <w:rsid w:val="000625F6"/>
    <w:rsid w:val="00062F95"/>
    <w:rsid w:val="00063489"/>
    <w:rsid w:val="00063558"/>
    <w:rsid w:val="0006393E"/>
    <w:rsid w:val="00064192"/>
    <w:rsid w:val="00064274"/>
    <w:rsid w:val="00065B38"/>
    <w:rsid w:val="00066614"/>
    <w:rsid w:val="00066DCE"/>
    <w:rsid w:val="00067F9F"/>
    <w:rsid w:val="000701FE"/>
    <w:rsid w:val="00070968"/>
    <w:rsid w:val="00073822"/>
    <w:rsid w:val="00074393"/>
    <w:rsid w:val="000761D0"/>
    <w:rsid w:val="000767A0"/>
    <w:rsid w:val="0007687F"/>
    <w:rsid w:val="00076B9C"/>
    <w:rsid w:val="00077029"/>
    <w:rsid w:val="00077BED"/>
    <w:rsid w:val="00077D34"/>
    <w:rsid w:val="0008005C"/>
    <w:rsid w:val="000803E3"/>
    <w:rsid w:val="00080D89"/>
    <w:rsid w:val="00082089"/>
    <w:rsid w:val="000820FE"/>
    <w:rsid w:val="0008405D"/>
    <w:rsid w:val="00084572"/>
    <w:rsid w:val="00084810"/>
    <w:rsid w:val="00086C0E"/>
    <w:rsid w:val="00086EC5"/>
    <w:rsid w:val="000878FC"/>
    <w:rsid w:val="00087E6A"/>
    <w:rsid w:val="000901EC"/>
    <w:rsid w:val="00090380"/>
    <w:rsid w:val="00090F35"/>
    <w:rsid w:val="000919E5"/>
    <w:rsid w:val="0009201E"/>
    <w:rsid w:val="0009220C"/>
    <w:rsid w:val="00093A9F"/>
    <w:rsid w:val="00094713"/>
    <w:rsid w:val="00094884"/>
    <w:rsid w:val="00094F0E"/>
    <w:rsid w:val="00095B2B"/>
    <w:rsid w:val="000962B0"/>
    <w:rsid w:val="000A0034"/>
    <w:rsid w:val="000A03AA"/>
    <w:rsid w:val="000A0AFF"/>
    <w:rsid w:val="000A0FAF"/>
    <w:rsid w:val="000A1D19"/>
    <w:rsid w:val="000A264B"/>
    <w:rsid w:val="000A2675"/>
    <w:rsid w:val="000A31EC"/>
    <w:rsid w:val="000A418D"/>
    <w:rsid w:val="000A5710"/>
    <w:rsid w:val="000A5B93"/>
    <w:rsid w:val="000A6729"/>
    <w:rsid w:val="000A75EF"/>
    <w:rsid w:val="000A7790"/>
    <w:rsid w:val="000B12BC"/>
    <w:rsid w:val="000B1429"/>
    <w:rsid w:val="000B1565"/>
    <w:rsid w:val="000B311E"/>
    <w:rsid w:val="000B3667"/>
    <w:rsid w:val="000B3A4E"/>
    <w:rsid w:val="000B58F0"/>
    <w:rsid w:val="000B7A0C"/>
    <w:rsid w:val="000B7E59"/>
    <w:rsid w:val="000C134A"/>
    <w:rsid w:val="000C2306"/>
    <w:rsid w:val="000C245F"/>
    <w:rsid w:val="000C46C2"/>
    <w:rsid w:val="000C6A39"/>
    <w:rsid w:val="000C6AC9"/>
    <w:rsid w:val="000C79E1"/>
    <w:rsid w:val="000D1FFC"/>
    <w:rsid w:val="000D2139"/>
    <w:rsid w:val="000D2E63"/>
    <w:rsid w:val="000D36F9"/>
    <w:rsid w:val="000D3C8B"/>
    <w:rsid w:val="000D3D07"/>
    <w:rsid w:val="000D4560"/>
    <w:rsid w:val="000D59B7"/>
    <w:rsid w:val="000D5B94"/>
    <w:rsid w:val="000D6110"/>
    <w:rsid w:val="000D7C6E"/>
    <w:rsid w:val="000E005D"/>
    <w:rsid w:val="000E07BD"/>
    <w:rsid w:val="000E1979"/>
    <w:rsid w:val="000E25BA"/>
    <w:rsid w:val="000E25FF"/>
    <w:rsid w:val="000E2CF6"/>
    <w:rsid w:val="000E2DDD"/>
    <w:rsid w:val="000E310C"/>
    <w:rsid w:val="000E316E"/>
    <w:rsid w:val="000E35CF"/>
    <w:rsid w:val="000E45B9"/>
    <w:rsid w:val="000E4C59"/>
    <w:rsid w:val="000E52CA"/>
    <w:rsid w:val="000E566F"/>
    <w:rsid w:val="000E5BBB"/>
    <w:rsid w:val="000E5FF5"/>
    <w:rsid w:val="000E7224"/>
    <w:rsid w:val="000E7AA9"/>
    <w:rsid w:val="000F08AE"/>
    <w:rsid w:val="000F3862"/>
    <w:rsid w:val="000F3BD0"/>
    <w:rsid w:val="000F4569"/>
    <w:rsid w:val="000F4D33"/>
    <w:rsid w:val="000F4DAB"/>
    <w:rsid w:val="000F5F11"/>
    <w:rsid w:val="000F71AC"/>
    <w:rsid w:val="000F7609"/>
    <w:rsid w:val="00100534"/>
    <w:rsid w:val="00100908"/>
    <w:rsid w:val="00100A02"/>
    <w:rsid w:val="00101D0D"/>
    <w:rsid w:val="001037B2"/>
    <w:rsid w:val="001049A7"/>
    <w:rsid w:val="00105331"/>
    <w:rsid w:val="0010557F"/>
    <w:rsid w:val="0010675E"/>
    <w:rsid w:val="00106EEF"/>
    <w:rsid w:val="00107062"/>
    <w:rsid w:val="001070D7"/>
    <w:rsid w:val="00107397"/>
    <w:rsid w:val="001074BF"/>
    <w:rsid w:val="00110422"/>
    <w:rsid w:val="0011078A"/>
    <w:rsid w:val="00111154"/>
    <w:rsid w:val="00111E14"/>
    <w:rsid w:val="00112B85"/>
    <w:rsid w:val="00113A2F"/>
    <w:rsid w:val="00113E3E"/>
    <w:rsid w:val="001144E6"/>
    <w:rsid w:val="0011451D"/>
    <w:rsid w:val="00114883"/>
    <w:rsid w:val="00114AB0"/>
    <w:rsid w:val="00116910"/>
    <w:rsid w:val="001172EE"/>
    <w:rsid w:val="00117D99"/>
    <w:rsid w:val="001209AE"/>
    <w:rsid w:val="00121F01"/>
    <w:rsid w:val="00122C65"/>
    <w:rsid w:val="00123EDA"/>
    <w:rsid w:val="00124EAB"/>
    <w:rsid w:val="00125351"/>
    <w:rsid w:val="00125D6B"/>
    <w:rsid w:val="00130425"/>
    <w:rsid w:val="0013105F"/>
    <w:rsid w:val="001314CA"/>
    <w:rsid w:val="001318ED"/>
    <w:rsid w:val="001330E6"/>
    <w:rsid w:val="00133857"/>
    <w:rsid w:val="0013405E"/>
    <w:rsid w:val="00134782"/>
    <w:rsid w:val="001352A6"/>
    <w:rsid w:val="0013561A"/>
    <w:rsid w:val="00135D99"/>
    <w:rsid w:val="001365B3"/>
    <w:rsid w:val="00136867"/>
    <w:rsid w:val="00136D7C"/>
    <w:rsid w:val="001401E2"/>
    <w:rsid w:val="001407C2"/>
    <w:rsid w:val="00141F9E"/>
    <w:rsid w:val="0014227C"/>
    <w:rsid w:val="00142FBE"/>
    <w:rsid w:val="00143B1D"/>
    <w:rsid w:val="00143BC3"/>
    <w:rsid w:val="00145436"/>
    <w:rsid w:val="00145E20"/>
    <w:rsid w:val="00146BB9"/>
    <w:rsid w:val="00147D76"/>
    <w:rsid w:val="001504DF"/>
    <w:rsid w:val="00151798"/>
    <w:rsid w:val="00151A40"/>
    <w:rsid w:val="00151B25"/>
    <w:rsid w:val="00152731"/>
    <w:rsid w:val="00152AB5"/>
    <w:rsid w:val="0015331F"/>
    <w:rsid w:val="001539F2"/>
    <w:rsid w:val="00153BDB"/>
    <w:rsid w:val="00153D47"/>
    <w:rsid w:val="00154311"/>
    <w:rsid w:val="00156B07"/>
    <w:rsid w:val="00157EF4"/>
    <w:rsid w:val="00160626"/>
    <w:rsid w:val="001613CD"/>
    <w:rsid w:val="001615CC"/>
    <w:rsid w:val="0016251A"/>
    <w:rsid w:val="00162B8F"/>
    <w:rsid w:val="001638B3"/>
    <w:rsid w:val="00163CFA"/>
    <w:rsid w:val="0016517D"/>
    <w:rsid w:val="001656EE"/>
    <w:rsid w:val="00165C41"/>
    <w:rsid w:val="00167152"/>
    <w:rsid w:val="00170290"/>
    <w:rsid w:val="0017067B"/>
    <w:rsid w:val="00170F2F"/>
    <w:rsid w:val="00171FF6"/>
    <w:rsid w:val="00172537"/>
    <w:rsid w:val="00172D68"/>
    <w:rsid w:val="00173144"/>
    <w:rsid w:val="001732FC"/>
    <w:rsid w:val="00173E05"/>
    <w:rsid w:val="00173FFA"/>
    <w:rsid w:val="00174E83"/>
    <w:rsid w:val="00177A64"/>
    <w:rsid w:val="00177B9B"/>
    <w:rsid w:val="00180DFB"/>
    <w:rsid w:val="00181612"/>
    <w:rsid w:val="001816C7"/>
    <w:rsid w:val="00183A1A"/>
    <w:rsid w:val="00183EE4"/>
    <w:rsid w:val="00184209"/>
    <w:rsid w:val="0018494D"/>
    <w:rsid w:val="00185C71"/>
    <w:rsid w:val="001864D9"/>
    <w:rsid w:val="0018659E"/>
    <w:rsid w:val="00186CED"/>
    <w:rsid w:val="00186FB3"/>
    <w:rsid w:val="001872DA"/>
    <w:rsid w:val="00190B98"/>
    <w:rsid w:val="00190DA1"/>
    <w:rsid w:val="0019194F"/>
    <w:rsid w:val="001920C5"/>
    <w:rsid w:val="0019480A"/>
    <w:rsid w:val="00195DA4"/>
    <w:rsid w:val="0019644E"/>
    <w:rsid w:val="0019677A"/>
    <w:rsid w:val="001A0069"/>
    <w:rsid w:val="001A00E9"/>
    <w:rsid w:val="001A0878"/>
    <w:rsid w:val="001A0A68"/>
    <w:rsid w:val="001A0FE4"/>
    <w:rsid w:val="001A153A"/>
    <w:rsid w:val="001A2274"/>
    <w:rsid w:val="001A2462"/>
    <w:rsid w:val="001A320D"/>
    <w:rsid w:val="001A32E3"/>
    <w:rsid w:val="001A3808"/>
    <w:rsid w:val="001A5A57"/>
    <w:rsid w:val="001A5AE6"/>
    <w:rsid w:val="001A722E"/>
    <w:rsid w:val="001A7961"/>
    <w:rsid w:val="001B0C93"/>
    <w:rsid w:val="001B0DA7"/>
    <w:rsid w:val="001B12DE"/>
    <w:rsid w:val="001B2AA6"/>
    <w:rsid w:val="001B3B6F"/>
    <w:rsid w:val="001B63A8"/>
    <w:rsid w:val="001B6C78"/>
    <w:rsid w:val="001B6E3E"/>
    <w:rsid w:val="001B6F8D"/>
    <w:rsid w:val="001C0BBB"/>
    <w:rsid w:val="001C1202"/>
    <w:rsid w:val="001C1741"/>
    <w:rsid w:val="001C1EC9"/>
    <w:rsid w:val="001C3EA9"/>
    <w:rsid w:val="001C4193"/>
    <w:rsid w:val="001C477D"/>
    <w:rsid w:val="001C5C9E"/>
    <w:rsid w:val="001C5DB3"/>
    <w:rsid w:val="001C63C0"/>
    <w:rsid w:val="001C6765"/>
    <w:rsid w:val="001C6A58"/>
    <w:rsid w:val="001C6ED6"/>
    <w:rsid w:val="001D05ED"/>
    <w:rsid w:val="001D0717"/>
    <w:rsid w:val="001D19CF"/>
    <w:rsid w:val="001D1F8B"/>
    <w:rsid w:val="001D2859"/>
    <w:rsid w:val="001D30D0"/>
    <w:rsid w:val="001D334F"/>
    <w:rsid w:val="001D36FB"/>
    <w:rsid w:val="001D397A"/>
    <w:rsid w:val="001D47E5"/>
    <w:rsid w:val="001D56B7"/>
    <w:rsid w:val="001D5BC5"/>
    <w:rsid w:val="001D6977"/>
    <w:rsid w:val="001D69C6"/>
    <w:rsid w:val="001E08E8"/>
    <w:rsid w:val="001E17CD"/>
    <w:rsid w:val="001E18D4"/>
    <w:rsid w:val="001E1A27"/>
    <w:rsid w:val="001E240E"/>
    <w:rsid w:val="001E26F1"/>
    <w:rsid w:val="001E2900"/>
    <w:rsid w:val="001E2981"/>
    <w:rsid w:val="001E2C90"/>
    <w:rsid w:val="001E3491"/>
    <w:rsid w:val="001E4879"/>
    <w:rsid w:val="001E5203"/>
    <w:rsid w:val="001E571C"/>
    <w:rsid w:val="001E6314"/>
    <w:rsid w:val="001E67EA"/>
    <w:rsid w:val="001E6AFB"/>
    <w:rsid w:val="001E7392"/>
    <w:rsid w:val="001E7E29"/>
    <w:rsid w:val="001F1110"/>
    <w:rsid w:val="001F1B13"/>
    <w:rsid w:val="001F1B1C"/>
    <w:rsid w:val="001F33D1"/>
    <w:rsid w:val="001F4868"/>
    <w:rsid w:val="001F7BFD"/>
    <w:rsid w:val="002012D6"/>
    <w:rsid w:val="00202884"/>
    <w:rsid w:val="00202DF2"/>
    <w:rsid w:val="00203AE0"/>
    <w:rsid w:val="00203C3E"/>
    <w:rsid w:val="00203D2B"/>
    <w:rsid w:val="002077F6"/>
    <w:rsid w:val="002100D4"/>
    <w:rsid w:val="00210B00"/>
    <w:rsid w:val="002112EB"/>
    <w:rsid w:val="00211697"/>
    <w:rsid w:val="002116F1"/>
    <w:rsid w:val="00211992"/>
    <w:rsid w:val="00212655"/>
    <w:rsid w:val="00212DE1"/>
    <w:rsid w:val="002137C2"/>
    <w:rsid w:val="002142E4"/>
    <w:rsid w:val="00215373"/>
    <w:rsid w:val="00215826"/>
    <w:rsid w:val="00215E5B"/>
    <w:rsid w:val="00216E43"/>
    <w:rsid w:val="0021713D"/>
    <w:rsid w:val="002202E8"/>
    <w:rsid w:val="0022156E"/>
    <w:rsid w:val="0022208D"/>
    <w:rsid w:val="00222168"/>
    <w:rsid w:val="0022295F"/>
    <w:rsid w:val="00222C12"/>
    <w:rsid w:val="002231D5"/>
    <w:rsid w:val="002232BB"/>
    <w:rsid w:val="00223E65"/>
    <w:rsid w:val="002245FB"/>
    <w:rsid w:val="00225D03"/>
    <w:rsid w:val="00225ECE"/>
    <w:rsid w:val="00226436"/>
    <w:rsid w:val="00227F7E"/>
    <w:rsid w:val="00230803"/>
    <w:rsid w:val="00230DDC"/>
    <w:rsid w:val="00232DEE"/>
    <w:rsid w:val="002335E8"/>
    <w:rsid w:val="00233E53"/>
    <w:rsid w:val="002345E7"/>
    <w:rsid w:val="002346BD"/>
    <w:rsid w:val="00234967"/>
    <w:rsid w:val="00235119"/>
    <w:rsid w:val="002351F4"/>
    <w:rsid w:val="00235FBD"/>
    <w:rsid w:val="00236565"/>
    <w:rsid w:val="00236938"/>
    <w:rsid w:val="002377D3"/>
    <w:rsid w:val="0023797D"/>
    <w:rsid w:val="00240501"/>
    <w:rsid w:val="002416AC"/>
    <w:rsid w:val="0024208A"/>
    <w:rsid w:val="002437B3"/>
    <w:rsid w:val="00243AFF"/>
    <w:rsid w:val="00245325"/>
    <w:rsid w:val="00245DE5"/>
    <w:rsid w:val="002468B3"/>
    <w:rsid w:val="00246E3B"/>
    <w:rsid w:val="00247230"/>
    <w:rsid w:val="0024769D"/>
    <w:rsid w:val="00247FDF"/>
    <w:rsid w:val="00250898"/>
    <w:rsid w:val="00250A4F"/>
    <w:rsid w:val="0025196C"/>
    <w:rsid w:val="00252EFF"/>
    <w:rsid w:val="00253223"/>
    <w:rsid w:val="0025348D"/>
    <w:rsid w:val="0025434E"/>
    <w:rsid w:val="002551BD"/>
    <w:rsid w:val="00255A27"/>
    <w:rsid w:val="00255E09"/>
    <w:rsid w:val="00257B61"/>
    <w:rsid w:val="00257F35"/>
    <w:rsid w:val="00260304"/>
    <w:rsid w:val="002607F5"/>
    <w:rsid w:val="00260941"/>
    <w:rsid w:val="00260D8B"/>
    <w:rsid w:val="0026189E"/>
    <w:rsid w:val="0026287F"/>
    <w:rsid w:val="0026363A"/>
    <w:rsid w:val="00264202"/>
    <w:rsid w:val="002644BF"/>
    <w:rsid w:val="00264A9C"/>
    <w:rsid w:val="002658E7"/>
    <w:rsid w:val="0026598A"/>
    <w:rsid w:val="00265B34"/>
    <w:rsid w:val="00265BE3"/>
    <w:rsid w:val="00267222"/>
    <w:rsid w:val="00267480"/>
    <w:rsid w:val="002675DA"/>
    <w:rsid w:val="0026769D"/>
    <w:rsid w:val="00267A2E"/>
    <w:rsid w:val="00270678"/>
    <w:rsid w:val="00271145"/>
    <w:rsid w:val="00271F5A"/>
    <w:rsid w:val="002733D5"/>
    <w:rsid w:val="0027382A"/>
    <w:rsid w:val="00274721"/>
    <w:rsid w:val="00274ACA"/>
    <w:rsid w:val="0027505C"/>
    <w:rsid w:val="00277E2D"/>
    <w:rsid w:val="00277F62"/>
    <w:rsid w:val="0028007C"/>
    <w:rsid w:val="0028113B"/>
    <w:rsid w:val="00281183"/>
    <w:rsid w:val="002826BC"/>
    <w:rsid w:val="00283D11"/>
    <w:rsid w:val="00284B48"/>
    <w:rsid w:val="002855C4"/>
    <w:rsid w:val="00285918"/>
    <w:rsid w:val="00285DC7"/>
    <w:rsid w:val="002866FC"/>
    <w:rsid w:val="00286853"/>
    <w:rsid w:val="00286CAB"/>
    <w:rsid w:val="002900D1"/>
    <w:rsid w:val="00290A7A"/>
    <w:rsid w:val="00290E63"/>
    <w:rsid w:val="00291284"/>
    <w:rsid w:val="00292818"/>
    <w:rsid w:val="00292DE6"/>
    <w:rsid w:val="0029371D"/>
    <w:rsid w:val="00293BC1"/>
    <w:rsid w:val="00293F43"/>
    <w:rsid w:val="00294458"/>
    <w:rsid w:val="00295C8A"/>
    <w:rsid w:val="00296383"/>
    <w:rsid w:val="00296402"/>
    <w:rsid w:val="00296C42"/>
    <w:rsid w:val="00296C99"/>
    <w:rsid w:val="002975BE"/>
    <w:rsid w:val="002978FA"/>
    <w:rsid w:val="00297A21"/>
    <w:rsid w:val="002A037B"/>
    <w:rsid w:val="002A11AA"/>
    <w:rsid w:val="002A18F4"/>
    <w:rsid w:val="002A2B29"/>
    <w:rsid w:val="002A3A1E"/>
    <w:rsid w:val="002A3FB2"/>
    <w:rsid w:val="002A4108"/>
    <w:rsid w:val="002A4153"/>
    <w:rsid w:val="002A4D19"/>
    <w:rsid w:val="002B037A"/>
    <w:rsid w:val="002B10A2"/>
    <w:rsid w:val="002B1D44"/>
    <w:rsid w:val="002B2457"/>
    <w:rsid w:val="002B3958"/>
    <w:rsid w:val="002B3AD2"/>
    <w:rsid w:val="002B3FA0"/>
    <w:rsid w:val="002B42AA"/>
    <w:rsid w:val="002B47CF"/>
    <w:rsid w:val="002B49B4"/>
    <w:rsid w:val="002B512F"/>
    <w:rsid w:val="002B5758"/>
    <w:rsid w:val="002B5B4A"/>
    <w:rsid w:val="002B5E1B"/>
    <w:rsid w:val="002B61FB"/>
    <w:rsid w:val="002B7637"/>
    <w:rsid w:val="002C0304"/>
    <w:rsid w:val="002C04D2"/>
    <w:rsid w:val="002C0AD7"/>
    <w:rsid w:val="002C1464"/>
    <w:rsid w:val="002C1C68"/>
    <w:rsid w:val="002C20D8"/>
    <w:rsid w:val="002C2592"/>
    <w:rsid w:val="002C2789"/>
    <w:rsid w:val="002C2B48"/>
    <w:rsid w:val="002C32D0"/>
    <w:rsid w:val="002C3B6D"/>
    <w:rsid w:val="002C4C80"/>
    <w:rsid w:val="002C5077"/>
    <w:rsid w:val="002C51AE"/>
    <w:rsid w:val="002C5592"/>
    <w:rsid w:val="002C5876"/>
    <w:rsid w:val="002C65DC"/>
    <w:rsid w:val="002C67B9"/>
    <w:rsid w:val="002C6FD3"/>
    <w:rsid w:val="002C7372"/>
    <w:rsid w:val="002C7979"/>
    <w:rsid w:val="002D0240"/>
    <w:rsid w:val="002D05F3"/>
    <w:rsid w:val="002D0830"/>
    <w:rsid w:val="002D091E"/>
    <w:rsid w:val="002D158E"/>
    <w:rsid w:val="002D2CA8"/>
    <w:rsid w:val="002D308A"/>
    <w:rsid w:val="002D3C3C"/>
    <w:rsid w:val="002D3F36"/>
    <w:rsid w:val="002D4450"/>
    <w:rsid w:val="002D4F08"/>
    <w:rsid w:val="002D5C78"/>
    <w:rsid w:val="002D5CDC"/>
    <w:rsid w:val="002D6A09"/>
    <w:rsid w:val="002E0042"/>
    <w:rsid w:val="002E0493"/>
    <w:rsid w:val="002E1527"/>
    <w:rsid w:val="002E18B6"/>
    <w:rsid w:val="002E1D1A"/>
    <w:rsid w:val="002E1F05"/>
    <w:rsid w:val="002E27FB"/>
    <w:rsid w:val="002E282D"/>
    <w:rsid w:val="002E2C1E"/>
    <w:rsid w:val="002E3096"/>
    <w:rsid w:val="002E311F"/>
    <w:rsid w:val="002E3758"/>
    <w:rsid w:val="002E3E5F"/>
    <w:rsid w:val="002E3FA5"/>
    <w:rsid w:val="002E48B2"/>
    <w:rsid w:val="002E48D5"/>
    <w:rsid w:val="002E4DEA"/>
    <w:rsid w:val="002E6054"/>
    <w:rsid w:val="002E64EE"/>
    <w:rsid w:val="002E66B8"/>
    <w:rsid w:val="002E69ED"/>
    <w:rsid w:val="002F0D39"/>
    <w:rsid w:val="002F0D56"/>
    <w:rsid w:val="002F1CB9"/>
    <w:rsid w:val="002F2443"/>
    <w:rsid w:val="002F29B8"/>
    <w:rsid w:val="002F2B38"/>
    <w:rsid w:val="002F2D46"/>
    <w:rsid w:val="002F31A3"/>
    <w:rsid w:val="002F345B"/>
    <w:rsid w:val="002F34D3"/>
    <w:rsid w:val="002F38CF"/>
    <w:rsid w:val="002F460E"/>
    <w:rsid w:val="002F62D4"/>
    <w:rsid w:val="002F7141"/>
    <w:rsid w:val="00300859"/>
    <w:rsid w:val="00302408"/>
    <w:rsid w:val="00302664"/>
    <w:rsid w:val="003030E7"/>
    <w:rsid w:val="00303164"/>
    <w:rsid w:val="0030406B"/>
    <w:rsid w:val="0030532E"/>
    <w:rsid w:val="0030790F"/>
    <w:rsid w:val="0031132A"/>
    <w:rsid w:val="003119B2"/>
    <w:rsid w:val="00312342"/>
    <w:rsid w:val="003142D5"/>
    <w:rsid w:val="00315605"/>
    <w:rsid w:val="00315875"/>
    <w:rsid w:val="00316B95"/>
    <w:rsid w:val="00317D61"/>
    <w:rsid w:val="00320142"/>
    <w:rsid w:val="00320CC3"/>
    <w:rsid w:val="00321B07"/>
    <w:rsid w:val="00321B0E"/>
    <w:rsid w:val="003239E1"/>
    <w:rsid w:val="00323E67"/>
    <w:rsid w:val="00323F70"/>
    <w:rsid w:val="00324877"/>
    <w:rsid w:val="003254C9"/>
    <w:rsid w:val="00330A5F"/>
    <w:rsid w:val="0033145A"/>
    <w:rsid w:val="003332C1"/>
    <w:rsid w:val="00333696"/>
    <w:rsid w:val="00334025"/>
    <w:rsid w:val="00334679"/>
    <w:rsid w:val="003351D9"/>
    <w:rsid w:val="003352A4"/>
    <w:rsid w:val="00335648"/>
    <w:rsid w:val="00336E20"/>
    <w:rsid w:val="00337C6C"/>
    <w:rsid w:val="00340263"/>
    <w:rsid w:val="00341676"/>
    <w:rsid w:val="00341B93"/>
    <w:rsid w:val="0034284D"/>
    <w:rsid w:val="00343233"/>
    <w:rsid w:val="00343539"/>
    <w:rsid w:val="0034477A"/>
    <w:rsid w:val="00344D7F"/>
    <w:rsid w:val="003450A7"/>
    <w:rsid w:val="00346958"/>
    <w:rsid w:val="00346A15"/>
    <w:rsid w:val="00347E28"/>
    <w:rsid w:val="00350700"/>
    <w:rsid w:val="00350743"/>
    <w:rsid w:val="00350C81"/>
    <w:rsid w:val="0035199C"/>
    <w:rsid w:val="003519A3"/>
    <w:rsid w:val="00351B3A"/>
    <w:rsid w:val="00351D32"/>
    <w:rsid w:val="00352ED7"/>
    <w:rsid w:val="00353C33"/>
    <w:rsid w:val="003542A5"/>
    <w:rsid w:val="003543D0"/>
    <w:rsid w:val="00354802"/>
    <w:rsid w:val="003548BC"/>
    <w:rsid w:val="003572D6"/>
    <w:rsid w:val="00360509"/>
    <w:rsid w:val="003606CD"/>
    <w:rsid w:val="003606D9"/>
    <w:rsid w:val="0036108B"/>
    <w:rsid w:val="00361602"/>
    <w:rsid w:val="00361CFB"/>
    <w:rsid w:val="00362ABF"/>
    <w:rsid w:val="00363082"/>
    <w:rsid w:val="00364D1F"/>
    <w:rsid w:val="00364F6E"/>
    <w:rsid w:val="0036663E"/>
    <w:rsid w:val="003668F3"/>
    <w:rsid w:val="00367821"/>
    <w:rsid w:val="003678A5"/>
    <w:rsid w:val="003714C6"/>
    <w:rsid w:val="0037150B"/>
    <w:rsid w:val="00371657"/>
    <w:rsid w:val="003725EB"/>
    <w:rsid w:val="00372F19"/>
    <w:rsid w:val="003736E6"/>
    <w:rsid w:val="00376821"/>
    <w:rsid w:val="003768C1"/>
    <w:rsid w:val="00376D71"/>
    <w:rsid w:val="00376D8B"/>
    <w:rsid w:val="00377D51"/>
    <w:rsid w:val="00377E15"/>
    <w:rsid w:val="00377E6D"/>
    <w:rsid w:val="00377F11"/>
    <w:rsid w:val="00377FFA"/>
    <w:rsid w:val="00380234"/>
    <w:rsid w:val="00381118"/>
    <w:rsid w:val="003831A1"/>
    <w:rsid w:val="003843BA"/>
    <w:rsid w:val="00384B2F"/>
    <w:rsid w:val="003850D8"/>
    <w:rsid w:val="00385B80"/>
    <w:rsid w:val="00385E37"/>
    <w:rsid w:val="003863AB"/>
    <w:rsid w:val="003876F0"/>
    <w:rsid w:val="00387878"/>
    <w:rsid w:val="00390560"/>
    <w:rsid w:val="003917BE"/>
    <w:rsid w:val="00391A26"/>
    <w:rsid w:val="00391F91"/>
    <w:rsid w:val="00393AD4"/>
    <w:rsid w:val="00393DEA"/>
    <w:rsid w:val="00394471"/>
    <w:rsid w:val="0039558B"/>
    <w:rsid w:val="00395A81"/>
    <w:rsid w:val="00395FCB"/>
    <w:rsid w:val="00396928"/>
    <w:rsid w:val="00396F6E"/>
    <w:rsid w:val="003977AD"/>
    <w:rsid w:val="003A0974"/>
    <w:rsid w:val="003A0D43"/>
    <w:rsid w:val="003A1245"/>
    <w:rsid w:val="003A1770"/>
    <w:rsid w:val="003A177F"/>
    <w:rsid w:val="003A2122"/>
    <w:rsid w:val="003A2294"/>
    <w:rsid w:val="003A2821"/>
    <w:rsid w:val="003A29BF"/>
    <w:rsid w:val="003A305E"/>
    <w:rsid w:val="003A3DB3"/>
    <w:rsid w:val="003A4440"/>
    <w:rsid w:val="003A5060"/>
    <w:rsid w:val="003A5209"/>
    <w:rsid w:val="003A6140"/>
    <w:rsid w:val="003A61C0"/>
    <w:rsid w:val="003A699D"/>
    <w:rsid w:val="003A6A0E"/>
    <w:rsid w:val="003A6EA7"/>
    <w:rsid w:val="003A6FA4"/>
    <w:rsid w:val="003B023F"/>
    <w:rsid w:val="003B05C2"/>
    <w:rsid w:val="003B1A0C"/>
    <w:rsid w:val="003B1EE4"/>
    <w:rsid w:val="003B3453"/>
    <w:rsid w:val="003B3887"/>
    <w:rsid w:val="003B3B3B"/>
    <w:rsid w:val="003B4626"/>
    <w:rsid w:val="003B4E3A"/>
    <w:rsid w:val="003B59F2"/>
    <w:rsid w:val="003B66CF"/>
    <w:rsid w:val="003B67D2"/>
    <w:rsid w:val="003B74D3"/>
    <w:rsid w:val="003C026F"/>
    <w:rsid w:val="003C158D"/>
    <w:rsid w:val="003C1614"/>
    <w:rsid w:val="003C1AB8"/>
    <w:rsid w:val="003C1E9B"/>
    <w:rsid w:val="003C2005"/>
    <w:rsid w:val="003C2CF7"/>
    <w:rsid w:val="003C36A1"/>
    <w:rsid w:val="003C432B"/>
    <w:rsid w:val="003C4F57"/>
    <w:rsid w:val="003C6EBF"/>
    <w:rsid w:val="003C6EF1"/>
    <w:rsid w:val="003C72A8"/>
    <w:rsid w:val="003D00F0"/>
    <w:rsid w:val="003D068C"/>
    <w:rsid w:val="003D1B8F"/>
    <w:rsid w:val="003D1F28"/>
    <w:rsid w:val="003D209C"/>
    <w:rsid w:val="003D2249"/>
    <w:rsid w:val="003D3189"/>
    <w:rsid w:val="003D4161"/>
    <w:rsid w:val="003D4288"/>
    <w:rsid w:val="003D4757"/>
    <w:rsid w:val="003D55B9"/>
    <w:rsid w:val="003D6668"/>
    <w:rsid w:val="003D6BB0"/>
    <w:rsid w:val="003D729C"/>
    <w:rsid w:val="003D7BFC"/>
    <w:rsid w:val="003E0566"/>
    <w:rsid w:val="003E12FD"/>
    <w:rsid w:val="003E1324"/>
    <w:rsid w:val="003E19DD"/>
    <w:rsid w:val="003E1C35"/>
    <w:rsid w:val="003E32B9"/>
    <w:rsid w:val="003E3C2A"/>
    <w:rsid w:val="003E461A"/>
    <w:rsid w:val="003E5435"/>
    <w:rsid w:val="003E583E"/>
    <w:rsid w:val="003E58BE"/>
    <w:rsid w:val="003E5E0B"/>
    <w:rsid w:val="003E6312"/>
    <w:rsid w:val="003E6D24"/>
    <w:rsid w:val="003E6F9E"/>
    <w:rsid w:val="003F0251"/>
    <w:rsid w:val="003F0750"/>
    <w:rsid w:val="003F148D"/>
    <w:rsid w:val="003F17D8"/>
    <w:rsid w:val="003F207C"/>
    <w:rsid w:val="003F2CCD"/>
    <w:rsid w:val="003F3179"/>
    <w:rsid w:val="003F5061"/>
    <w:rsid w:val="003F5A6E"/>
    <w:rsid w:val="003F5F9E"/>
    <w:rsid w:val="00400CAC"/>
    <w:rsid w:val="00400EE4"/>
    <w:rsid w:val="0040198C"/>
    <w:rsid w:val="00402DBE"/>
    <w:rsid w:val="0040530E"/>
    <w:rsid w:val="00405527"/>
    <w:rsid w:val="0040567D"/>
    <w:rsid w:val="0040571D"/>
    <w:rsid w:val="00405F9B"/>
    <w:rsid w:val="004066AF"/>
    <w:rsid w:val="00406C25"/>
    <w:rsid w:val="00407792"/>
    <w:rsid w:val="00410393"/>
    <w:rsid w:val="00410C6B"/>
    <w:rsid w:val="00411F09"/>
    <w:rsid w:val="0041235B"/>
    <w:rsid w:val="00412827"/>
    <w:rsid w:val="004135FF"/>
    <w:rsid w:val="00415014"/>
    <w:rsid w:val="00417303"/>
    <w:rsid w:val="004176D2"/>
    <w:rsid w:val="004177CE"/>
    <w:rsid w:val="00417C4D"/>
    <w:rsid w:val="00420A40"/>
    <w:rsid w:val="0042108F"/>
    <w:rsid w:val="00421639"/>
    <w:rsid w:val="00421EBA"/>
    <w:rsid w:val="0042249F"/>
    <w:rsid w:val="004240B3"/>
    <w:rsid w:val="0042426B"/>
    <w:rsid w:val="004244A1"/>
    <w:rsid w:val="004274FF"/>
    <w:rsid w:val="004278A5"/>
    <w:rsid w:val="004304CA"/>
    <w:rsid w:val="0043076A"/>
    <w:rsid w:val="00430B2B"/>
    <w:rsid w:val="00432037"/>
    <w:rsid w:val="0043329C"/>
    <w:rsid w:val="00433FD9"/>
    <w:rsid w:val="00434258"/>
    <w:rsid w:val="004353A1"/>
    <w:rsid w:val="00435A12"/>
    <w:rsid w:val="00435D38"/>
    <w:rsid w:val="00435EBD"/>
    <w:rsid w:val="004364B6"/>
    <w:rsid w:val="00437CCB"/>
    <w:rsid w:val="00440063"/>
    <w:rsid w:val="004415F3"/>
    <w:rsid w:val="00441780"/>
    <w:rsid w:val="00442629"/>
    <w:rsid w:val="00442789"/>
    <w:rsid w:val="004428ED"/>
    <w:rsid w:val="00442FC4"/>
    <w:rsid w:val="00443333"/>
    <w:rsid w:val="00443BAA"/>
    <w:rsid w:val="00443E0D"/>
    <w:rsid w:val="004454B6"/>
    <w:rsid w:val="00446554"/>
    <w:rsid w:val="0044688C"/>
    <w:rsid w:val="004468B6"/>
    <w:rsid w:val="0045030A"/>
    <w:rsid w:val="00450A83"/>
    <w:rsid w:val="00451105"/>
    <w:rsid w:val="00451EA2"/>
    <w:rsid w:val="00452914"/>
    <w:rsid w:val="00452EC2"/>
    <w:rsid w:val="0045460C"/>
    <w:rsid w:val="00456826"/>
    <w:rsid w:val="0045695F"/>
    <w:rsid w:val="00456AC9"/>
    <w:rsid w:val="0046076B"/>
    <w:rsid w:val="00462756"/>
    <w:rsid w:val="00462A87"/>
    <w:rsid w:val="00463411"/>
    <w:rsid w:val="00463576"/>
    <w:rsid w:val="004643E8"/>
    <w:rsid w:val="004651A8"/>
    <w:rsid w:val="00465CE2"/>
    <w:rsid w:val="004663FC"/>
    <w:rsid w:val="00466719"/>
    <w:rsid w:val="00466E7E"/>
    <w:rsid w:val="0046724F"/>
    <w:rsid w:val="00470B0F"/>
    <w:rsid w:val="00470ED2"/>
    <w:rsid w:val="00470F1A"/>
    <w:rsid w:val="00472DBF"/>
    <w:rsid w:val="0047349F"/>
    <w:rsid w:val="004737E8"/>
    <w:rsid w:val="004753B0"/>
    <w:rsid w:val="00475CDF"/>
    <w:rsid w:val="00475EE1"/>
    <w:rsid w:val="00477A19"/>
    <w:rsid w:val="00481332"/>
    <w:rsid w:val="00481B09"/>
    <w:rsid w:val="00482CEE"/>
    <w:rsid w:val="00483102"/>
    <w:rsid w:val="0048355D"/>
    <w:rsid w:val="00485CB6"/>
    <w:rsid w:val="00486582"/>
    <w:rsid w:val="004868B1"/>
    <w:rsid w:val="00490499"/>
    <w:rsid w:val="00490F46"/>
    <w:rsid w:val="00491CA7"/>
    <w:rsid w:val="00491CB8"/>
    <w:rsid w:val="00491FAC"/>
    <w:rsid w:val="0049251E"/>
    <w:rsid w:val="00492768"/>
    <w:rsid w:val="00492DD0"/>
    <w:rsid w:val="00492F4C"/>
    <w:rsid w:val="00493967"/>
    <w:rsid w:val="00493A6C"/>
    <w:rsid w:val="00493BCA"/>
    <w:rsid w:val="00494438"/>
    <w:rsid w:val="004946FE"/>
    <w:rsid w:val="00495184"/>
    <w:rsid w:val="0049567F"/>
    <w:rsid w:val="00496893"/>
    <w:rsid w:val="00496CCB"/>
    <w:rsid w:val="00497814"/>
    <w:rsid w:val="0049781A"/>
    <w:rsid w:val="004979C0"/>
    <w:rsid w:val="004A0435"/>
    <w:rsid w:val="004A045F"/>
    <w:rsid w:val="004A1D99"/>
    <w:rsid w:val="004A23BD"/>
    <w:rsid w:val="004A29FC"/>
    <w:rsid w:val="004A36C0"/>
    <w:rsid w:val="004A6D8F"/>
    <w:rsid w:val="004A75F2"/>
    <w:rsid w:val="004A78F2"/>
    <w:rsid w:val="004A7F1B"/>
    <w:rsid w:val="004B022F"/>
    <w:rsid w:val="004B1847"/>
    <w:rsid w:val="004B3508"/>
    <w:rsid w:val="004B5234"/>
    <w:rsid w:val="004B5932"/>
    <w:rsid w:val="004B5CC1"/>
    <w:rsid w:val="004B6041"/>
    <w:rsid w:val="004B6F41"/>
    <w:rsid w:val="004B7E77"/>
    <w:rsid w:val="004C0AEB"/>
    <w:rsid w:val="004C0E67"/>
    <w:rsid w:val="004C158A"/>
    <w:rsid w:val="004C3F62"/>
    <w:rsid w:val="004C44DA"/>
    <w:rsid w:val="004C486D"/>
    <w:rsid w:val="004C489C"/>
    <w:rsid w:val="004C4EC2"/>
    <w:rsid w:val="004C527A"/>
    <w:rsid w:val="004C64F7"/>
    <w:rsid w:val="004C6E30"/>
    <w:rsid w:val="004D0920"/>
    <w:rsid w:val="004D10B2"/>
    <w:rsid w:val="004D131C"/>
    <w:rsid w:val="004D152F"/>
    <w:rsid w:val="004D2249"/>
    <w:rsid w:val="004D3937"/>
    <w:rsid w:val="004D51D8"/>
    <w:rsid w:val="004D6860"/>
    <w:rsid w:val="004D6D4D"/>
    <w:rsid w:val="004D7A79"/>
    <w:rsid w:val="004D7E34"/>
    <w:rsid w:val="004D7F1D"/>
    <w:rsid w:val="004E018F"/>
    <w:rsid w:val="004E11CC"/>
    <w:rsid w:val="004E13D5"/>
    <w:rsid w:val="004E1B37"/>
    <w:rsid w:val="004E2940"/>
    <w:rsid w:val="004E2D6C"/>
    <w:rsid w:val="004E2F85"/>
    <w:rsid w:val="004E30AD"/>
    <w:rsid w:val="004E3801"/>
    <w:rsid w:val="004E405D"/>
    <w:rsid w:val="004E45B4"/>
    <w:rsid w:val="004E45BE"/>
    <w:rsid w:val="004E4A1E"/>
    <w:rsid w:val="004E4A94"/>
    <w:rsid w:val="004E4FDE"/>
    <w:rsid w:val="004E5021"/>
    <w:rsid w:val="004E5349"/>
    <w:rsid w:val="004E70BE"/>
    <w:rsid w:val="004E71C4"/>
    <w:rsid w:val="004E7E29"/>
    <w:rsid w:val="004F041D"/>
    <w:rsid w:val="004F087B"/>
    <w:rsid w:val="004F0A55"/>
    <w:rsid w:val="004F0C7B"/>
    <w:rsid w:val="004F0D1A"/>
    <w:rsid w:val="004F0D8A"/>
    <w:rsid w:val="004F1FBF"/>
    <w:rsid w:val="004F266C"/>
    <w:rsid w:val="004F4F4C"/>
    <w:rsid w:val="004F50A5"/>
    <w:rsid w:val="004F510B"/>
    <w:rsid w:val="004F5A63"/>
    <w:rsid w:val="004F7230"/>
    <w:rsid w:val="004F76D7"/>
    <w:rsid w:val="004F7EB1"/>
    <w:rsid w:val="005002B5"/>
    <w:rsid w:val="00500CA1"/>
    <w:rsid w:val="00500F68"/>
    <w:rsid w:val="00501D3D"/>
    <w:rsid w:val="00501FC0"/>
    <w:rsid w:val="005044A2"/>
    <w:rsid w:val="00504822"/>
    <w:rsid w:val="00504F81"/>
    <w:rsid w:val="0050519B"/>
    <w:rsid w:val="0050679F"/>
    <w:rsid w:val="00506B9A"/>
    <w:rsid w:val="0050700E"/>
    <w:rsid w:val="00507090"/>
    <w:rsid w:val="00507527"/>
    <w:rsid w:val="00507F4D"/>
    <w:rsid w:val="00507F63"/>
    <w:rsid w:val="00510A9B"/>
    <w:rsid w:val="00510B28"/>
    <w:rsid w:val="00510D1C"/>
    <w:rsid w:val="0051113F"/>
    <w:rsid w:val="00512254"/>
    <w:rsid w:val="005132FC"/>
    <w:rsid w:val="00513482"/>
    <w:rsid w:val="00514450"/>
    <w:rsid w:val="00514A05"/>
    <w:rsid w:val="005153FD"/>
    <w:rsid w:val="00515BA7"/>
    <w:rsid w:val="00517008"/>
    <w:rsid w:val="00517F4C"/>
    <w:rsid w:val="005205C9"/>
    <w:rsid w:val="005208F9"/>
    <w:rsid w:val="005209D5"/>
    <w:rsid w:val="005211F5"/>
    <w:rsid w:val="00521C39"/>
    <w:rsid w:val="00521E28"/>
    <w:rsid w:val="005228D1"/>
    <w:rsid w:val="00522F1D"/>
    <w:rsid w:val="005234EE"/>
    <w:rsid w:val="00524AFC"/>
    <w:rsid w:val="00524C86"/>
    <w:rsid w:val="005252AF"/>
    <w:rsid w:val="00525E3E"/>
    <w:rsid w:val="00530019"/>
    <w:rsid w:val="005315CA"/>
    <w:rsid w:val="0053178B"/>
    <w:rsid w:val="00533B2B"/>
    <w:rsid w:val="00535799"/>
    <w:rsid w:val="00536179"/>
    <w:rsid w:val="005361F3"/>
    <w:rsid w:val="00536602"/>
    <w:rsid w:val="005378F9"/>
    <w:rsid w:val="005405AB"/>
    <w:rsid w:val="00540DE6"/>
    <w:rsid w:val="00540E5E"/>
    <w:rsid w:val="00540F50"/>
    <w:rsid w:val="00541A70"/>
    <w:rsid w:val="005429FD"/>
    <w:rsid w:val="00543820"/>
    <w:rsid w:val="00543E1C"/>
    <w:rsid w:val="00544389"/>
    <w:rsid w:val="00544C68"/>
    <w:rsid w:val="00545304"/>
    <w:rsid w:val="00545422"/>
    <w:rsid w:val="005456A3"/>
    <w:rsid w:val="00545930"/>
    <w:rsid w:val="00546908"/>
    <w:rsid w:val="00546B3D"/>
    <w:rsid w:val="00551BEB"/>
    <w:rsid w:val="00551F6B"/>
    <w:rsid w:val="005544A6"/>
    <w:rsid w:val="00554530"/>
    <w:rsid w:val="005545F9"/>
    <w:rsid w:val="0055531A"/>
    <w:rsid w:val="005554EF"/>
    <w:rsid w:val="00555935"/>
    <w:rsid w:val="00555AD9"/>
    <w:rsid w:val="00555CF2"/>
    <w:rsid w:val="00555D0F"/>
    <w:rsid w:val="0055646E"/>
    <w:rsid w:val="00556FD2"/>
    <w:rsid w:val="005571D4"/>
    <w:rsid w:val="005575C1"/>
    <w:rsid w:val="00560060"/>
    <w:rsid w:val="005603A4"/>
    <w:rsid w:val="00560A16"/>
    <w:rsid w:val="00561EA9"/>
    <w:rsid w:val="0056294C"/>
    <w:rsid w:val="00562BCD"/>
    <w:rsid w:val="005631DC"/>
    <w:rsid w:val="005634F2"/>
    <w:rsid w:val="00564537"/>
    <w:rsid w:val="0056526C"/>
    <w:rsid w:val="005666D1"/>
    <w:rsid w:val="00566BD2"/>
    <w:rsid w:val="005672AE"/>
    <w:rsid w:val="00567B88"/>
    <w:rsid w:val="00567DE7"/>
    <w:rsid w:val="0057034C"/>
    <w:rsid w:val="005708C1"/>
    <w:rsid w:val="005708DD"/>
    <w:rsid w:val="00570F32"/>
    <w:rsid w:val="0057104A"/>
    <w:rsid w:val="00571E69"/>
    <w:rsid w:val="00571F88"/>
    <w:rsid w:val="005728F1"/>
    <w:rsid w:val="0057349A"/>
    <w:rsid w:val="0057409B"/>
    <w:rsid w:val="00574F26"/>
    <w:rsid w:val="00574F5F"/>
    <w:rsid w:val="00575773"/>
    <w:rsid w:val="00575ABC"/>
    <w:rsid w:val="00577400"/>
    <w:rsid w:val="005801AE"/>
    <w:rsid w:val="005809AC"/>
    <w:rsid w:val="005810C3"/>
    <w:rsid w:val="0058251A"/>
    <w:rsid w:val="0058375C"/>
    <w:rsid w:val="0058382D"/>
    <w:rsid w:val="00583D94"/>
    <w:rsid w:val="00584FBF"/>
    <w:rsid w:val="00585A97"/>
    <w:rsid w:val="00585C40"/>
    <w:rsid w:val="005877CE"/>
    <w:rsid w:val="005902A9"/>
    <w:rsid w:val="0059086D"/>
    <w:rsid w:val="00590EC6"/>
    <w:rsid w:val="005912F7"/>
    <w:rsid w:val="0059137D"/>
    <w:rsid w:val="0059184E"/>
    <w:rsid w:val="00591E76"/>
    <w:rsid w:val="005927AD"/>
    <w:rsid w:val="005928E9"/>
    <w:rsid w:val="00593109"/>
    <w:rsid w:val="0059469F"/>
    <w:rsid w:val="005949AC"/>
    <w:rsid w:val="00594E2A"/>
    <w:rsid w:val="005954DC"/>
    <w:rsid w:val="0059577C"/>
    <w:rsid w:val="005958BC"/>
    <w:rsid w:val="00596453"/>
    <w:rsid w:val="005978FD"/>
    <w:rsid w:val="00597BDD"/>
    <w:rsid w:val="005A0E26"/>
    <w:rsid w:val="005A192A"/>
    <w:rsid w:val="005A1975"/>
    <w:rsid w:val="005A3046"/>
    <w:rsid w:val="005A30BA"/>
    <w:rsid w:val="005A31D3"/>
    <w:rsid w:val="005A3ADF"/>
    <w:rsid w:val="005A3CB8"/>
    <w:rsid w:val="005A3DAA"/>
    <w:rsid w:val="005A4685"/>
    <w:rsid w:val="005A4B99"/>
    <w:rsid w:val="005A4BF1"/>
    <w:rsid w:val="005A599D"/>
    <w:rsid w:val="005A5DB0"/>
    <w:rsid w:val="005A6328"/>
    <w:rsid w:val="005A6A00"/>
    <w:rsid w:val="005A6C2A"/>
    <w:rsid w:val="005B195D"/>
    <w:rsid w:val="005B2522"/>
    <w:rsid w:val="005B28EE"/>
    <w:rsid w:val="005B2A04"/>
    <w:rsid w:val="005B432D"/>
    <w:rsid w:val="005B4432"/>
    <w:rsid w:val="005B45D8"/>
    <w:rsid w:val="005B4B68"/>
    <w:rsid w:val="005B5F25"/>
    <w:rsid w:val="005B5F67"/>
    <w:rsid w:val="005B6332"/>
    <w:rsid w:val="005B6408"/>
    <w:rsid w:val="005B6F8C"/>
    <w:rsid w:val="005B7BDB"/>
    <w:rsid w:val="005B7DB7"/>
    <w:rsid w:val="005C290A"/>
    <w:rsid w:val="005C29F2"/>
    <w:rsid w:val="005C319E"/>
    <w:rsid w:val="005C4276"/>
    <w:rsid w:val="005C5612"/>
    <w:rsid w:val="005C6393"/>
    <w:rsid w:val="005C681C"/>
    <w:rsid w:val="005C6873"/>
    <w:rsid w:val="005C7547"/>
    <w:rsid w:val="005C7B46"/>
    <w:rsid w:val="005D048D"/>
    <w:rsid w:val="005D087E"/>
    <w:rsid w:val="005D0959"/>
    <w:rsid w:val="005D0A23"/>
    <w:rsid w:val="005D0D2A"/>
    <w:rsid w:val="005D14BC"/>
    <w:rsid w:val="005D1BE0"/>
    <w:rsid w:val="005D1FE0"/>
    <w:rsid w:val="005D2203"/>
    <w:rsid w:val="005D32F1"/>
    <w:rsid w:val="005D333D"/>
    <w:rsid w:val="005D4A64"/>
    <w:rsid w:val="005D5322"/>
    <w:rsid w:val="005D57EB"/>
    <w:rsid w:val="005D5FA0"/>
    <w:rsid w:val="005D62A0"/>
    <w:rsid w:val="005D69F0"/>
    <w:rsid w:val="005D73AB"/>
    <w:rsid w:val="005E017F"/>
    <w:rsid w:val="005E0CD8"/>
    <w:rsid w:val="005E0FB0"/>
    <w:rsid w:val="005E1542"/>
    <w:rsid w:val="005E23C5"/>
    <w:rsid w:val="005E28E6"/>
    <w:rsid w:val="005E478C"/>
    <w:rsid w:val="005E5A8A"/>
    <w:rsid w:val="005E67C2"/>
    <w:rsid w:val="005E68A7"/>
    <w:rsid w:val="005F0012"/>
    <w:rsid w:val="005F02F8"/>
    <w:rsid w:val="005F1421"/>
    <w:rsid w:val="005F3118"/>
    <w:rsid w:val="005F31D4"/>
    <w:rsid w:val="005F40E1"/>
    <w:rsid w:val="005F6B4A"/>
    <w:rsid w:val="005F77BE"/>
    <w:rsid w:val="00601351"/>
    <w:rsid w:val="006015B1"/>
    <w:rsid w:val="0060188A"/>
    <w:rsid w:val="00601CC1"/>
    <w:rsid w:val="00602B63"/>
    <w:rsid w:val="00602FB2"/>
    <w:rsid w:val="00603168"/>
    <w:rsid w:val="00603225"/>
    <w:rsid w:val="0060328B"/>
    <w:rsid w:val="006039F0"/>
    <w:rsid w:val="00603CCC"/>
    <w:rsid w:val="00603CD3"/>
    <w:rsid w:val="00603F10"/>
    <w:rsid w:val="00605A9E"/>
    <w:rsid w:val="00606227"/>
    <w:rsid w:val="00606B1C"/>
    <w:rsid w:val="006070C5"/>
    <w:rsid w:val="00607312"/>
    <w:rsid w:val="006074CE"/>
    <w:rsid w:val="00607FB6"/>
    <w:rsid w:val="0061036F"/>
    <w:rsid w:val="00610F00"/>
    <w:rsid w:val="006119FD"/>
    <w:rsid w:val="00611A33"/>
    <w:rsid w:val="00611C67"/>
    <w:rsid w:val="006120EA"/>
    <w:rsid w:val="006126A7"/>
    <w:rsid w:val="00612884"/>
    <w:rsid w:val="00613D3C"/>
    <w:rsid w:val="00616469"/>
    <w:rsid w:val="00616763"/>
    <w:rsid w:val="00616BE3"/>
    <w:rsid w:val="00617CC5"/>
    <w:rsid w:val="00617F47"/>
    <w:rsid w:val="00617FC7"/>
    <w:rsid w:val="00620C73"/>
    <w:rsid w:val="00620C84"/>
    <w:rsid w:val="00620D27"/>
    <w:rsid w:val="00621C50"/>
    <w:rsid w:val="0062228C"/>
    <w:rsid w:val="00622B84"/>
    <w:rsid w:val="006238C8"/>
    <w:rsid w:val="006239A1"/>
    <w:rsid w:val="006255C3"/>
    <w:rsid w:val="0062593E"/>
    <w:rsid w:val="00625A83"/>
    <w:rsid w:val="00625D19"/>
    <w:rsid w:val="006267B0"/>
    <w:rsid w:val="00626AC1"/>
    <w:rsid w:val="006276F8"/>
    <w:rsid w:val="00627DCC"/>
    <w:rsid w:val="00630A8C"/>
    <w:rsid w:val="00631F65"/>
    <w:rsid w:val="0063244B"/>
    <w:rsid w:val="00632869"/>
    <w:rsid w:val="00632916"/>
    <w:rsid w:val="006341AF"/>
    <w:rsid w:val="00634879"/>
    <w:rsid w:val="00634E2E"/>
    <w:rsid w:val="0063747C"/>
    <w:rsid w:val="00637621"/>
    <w:rsid w:val="0063767D"/>
    <w:rsid w:val="00637C7D"/>
    <w:rsid w:val="00640298"/>
    <w:rsid w:val="0064064A"/>
    <w:rsid w:val="0064076C"/>
    <w:rsid w:val="00641734"/>
    <w:rsid w:val="006419DB"/>
    <w:rsid w:val="0064340E"/>
    <w:rsid w:val="006437C0"/>
    <w:rsid w:val="00643E9E"/>
    <w:rsid w:val="0064478C"/>
    <w:rsid w:val="0064605C"/>
    <w:rsid w:val="0064649C"/>
    <w:rsid w:val="00646E87"/>
    <w:rsid w:val="00647483"/>
    <w:rsid w:val="006475C8"/>
    <w:rsid w:val="006504B0"/>
    <w:rsid w:val="00652CAF"/>
    <w:rsid w:val="00652FBF"/>
    <w:rsid w:val="006532A5"/>
    <w:rsid w:val="006538EF"/>
    <w:rsid w:val="00653B52"/>
    <w:rsid w:val="00653C7E"/>
    <w:rsid w:val="00653D8B"/>
    <w:rsid w:val="00654021"/>
    <w:rsid w:val="00656725"/>
    <w:rsid w:val="006567E9"/>
    <w:rsid w:val="00657E09"/>
    <w:rsid w:val="0066054C"/>
    <w:rsid w:val="00661026"/>
    <w:rsid w:val="006619AA"/>
    <w:rsid w:val="00661D68"/>
    <w:rsid w:val="0066252E"/>
    <w:rsid w:val="00662704"/>
    <w:rsid w:val="00663687"/>
    <w:rsid w:val="00665324"/>
    <w:rsid w:val="0066623D"/>
    <w:rsid w:val="006665CD"/>
    <w:rsid w:val="006670DD"/>
    <w:rsid w:val="00667938"/>
    <w:rsid w:val="00667BF0"/>
    <w:rsid w:val="00670229"/>
    <w:rsid w:val="006703D5"/>
    <w:rsid w:val="00670A4A"/>
    <w:rsid w:val="00671A61"/>
    <w:rsid w:val="0067444A"/>
    <w:rsid w:val="006750E7"/>
    <w:rsid w:val="0067790A"/>
    <w:rsid w:val="00677938"/>
    <w:rsid w:val="0068030C"/>
    <w:rsid w:val="00680E9E"/>
    <w:rsid w:val="00681308"/>
    <w:rsid w:val="00681FBF"/>
    <w:rsid w:val="00682288"/>
    <w:rsid w:val="00682A54"/>
    <w:rsid w:val="00682D44"/>
    <w:rsid w:val="00683205"/>
    <w:rsid w:val="00684109"/>
    <w:rsid w:val="006855AF"/>
    <w:rsid w:val="00685686"/>
    <w:rsid w:val="006857E5"/>
    <w:rsid w:val="0068750E"/>
    <w:rsid w:val="00687C99"/>
    <w:rsid w:val="00691150"/>
    <w:rsid w:val="00691C20"/>
    <w:rsid w:val="00691C8F"/>
    <w:rsid w:val="006922B1"/>
    <w:rsid w:val="00692E86"/>
    <w:rsid w:val="0069300C"/>
    <w:rsid w:val="00693A2B"/>
    <w:rsid w:val="00695D8A"/>
    <w:rsid w:val="00695E71"/>
    <w:rsid w:val="00696029"/>
    <w:rsid w:val="00696833"/>
    <w:rsid w:val="006968F8"/>
    <w:rsid w:val="00696E98"/>
    <w:rsid w:val="006979B1"/>
    <w:rsid w:val="006A0A50"/>
    <w:rsid w:val="006A1524"/>
    <w:rsid w:val="006A157A"/>
    <w:rsid w:val="006A1712"/>
    <w:rsid w:val="006A1DD7"/>
    <w:rsid w:val="006A1E35"/>
    <w:rsid w:val="006A1F31"/>
    <w:rsid w:val="006A2728"/>
    <w:rsid w:val="006A2EF9"/>
    <w:rsid w:val="006A30E9"/>
    <w:rsid w:val="006A31EB"/>
    <w:rsid w:val="006A34F5"/>
    <w:rsid w:val="006A44F2"/>
    <w:rsid w:val="006A4C6F"/>
    <w:rsid w:val="006A50AF"/>
    <w:rsid w:val="006A6C6F"/>
    <w:rsid w:val="006A783F"/>
    <w:rsid w:val="006A78FC"/>
    <w:rsid w:val="006A7C8F"/>
    <w:rsid w:val="006A7D08"/>
    <w:rsid w:val="006B0EEC"/>
    <w:rsid w:val="006B176F"/>
    <w:rsid w:val="006B1868"/>
    <w:rsid w:val="006B2D19"/>
    <w:rsid w:val="006B3A69"/>
    <w:rsid w:val="006B449D"/>
    <w:rsid w:val="006B5CFF"/>
    <w:rsid w:val="006B5F33"/>
    <w:rsid w:val="006B6E77"/>
    <w:rsid w:val="006B7142"/>
    <w:rsid w:val="006C03D5"/>
    <w:rsid w:val="006C0B38"/>
    <w:rsid w:val="006C1FF4"/>
    <w:rsid w:val="006C2112"/>
    <w:rsid w:val="006C5E93"/>
    <w:rsid w:val="006C786B"/>
    <w:rsid w:val="006C7943"/>
    <w:rsid w:val="006C7C03"/>
    <w:rsid w:val="006D22F1"/>
    <w:rsid w:val="006D32E1"/>
    <w:rsid w:val="006D3F9E"/>
    <w:rsid w:val="006D5B03"/>
    <w:rsid w:val="006D5E58"/>
    <w:rsid w:val="006D644D"/>
    <w:rsid w:val="006D6733"/>
    <w:rsid w:val="006D71A5"/>
    <w:rsid w:val="006E00BA"/>
    <w:rsid w:val="006E1C21"/>
    <w:rsid w:val="006E2123"/>
    <w:rsid w:val="006E38FD"/>
    <w:rsid w:val="006E51E8"/>
    <w:rsid w:val="006E588E"/>
    <w:rsid w:val="006E7969"/>
    <w:rsid w:val="006E79DA"/>
    <w:rsid w:val="006F002B"/>
    <w:rsid w:val="006F027F"/>
    <w:rsid w:val="006F0653"/>
    <w:rsid w:val="006F1168"/>
    <w:rsid w:val="006F1472"/>
    <w:rsid w:val="006F1CE8"/>
    <w:rsid w:val="006F3262"/>
    <w:rsid w:val="006F3339"/>
    <w:rsid w:val="006F39EB"/>
    <w:rsid w:val="006F3F25"/>
    <w:rsid w:val="006F50E6"/>
    <w:rsid w:val="006F5219"/>
    <w:rsid w:val="006F59AD"/>
    <w:rsid w:val="006F5CB8"/>
    <w:rsid w:val="006F6304"/>
    <w:rsid w:val="006F6412"/>
    <w:rsid w:val="006F6B5D"/>
    <w:rsid w:val="006F6D43"/>
    <w:rsid w:val="006F753F"/>
    <w:rsid w:val="006F7873"/>
    <w:rsid w:val="00700FB6"/>
    <w:rsid w:val="007013C1"/>
    <w:rsid w:val="007017D6"/>
    <w:rsid w:val="0070627A"/>
    <w:rsid w:val="00707968"/>
    <w:rsid w:val="007079C3"/>
    <w:rsid w:val="00707F7A"/>
    <w:rsid w:val="00712454"/>
    <w:rsid w:val="007126D9"/>
    <w:rsid w:val="007131BA"/>
    <w:rsid w:val="00713665"/>
    <w:rsid w:val="007146BC"/>
    <w:rsid w:val="007154DB"/>
    <w:rsid w:val="0071622F"/>
    <w:rsid w:val="0071638E"/>
    <w:rsid w:val="007165EB"/>
    <w:rsid w:val="00716BAA"/>
    <w:rsid w:val="00717DD9"/>
    <w:rsid w:val="00717FF7"/>
    <w:rsid w:val="00720CA5"/>
    <w:rsid w:val="007218B0"/>
    <w:rsid w:val="007236F2"/>
    <w:rsid w:val="00723936"/>
    <w:rsid w:val="00723AA3"/>
    <w:rsid w:val="00723B72"/>
    <w:rsid w:val="00723DEF"/>
    <w:rsid w:val="007242B5"/>
    <w:rsid w:val="00724449"/>
    <w:rsid w:val="0072466C"/>
    <w:rsid w:val="007254B4"/>
    <w:rsid w:val="007255A8"/>
    <w:rsid w:val="00725DAA"/>
    <w:rsid w:val="00726C59"/>
    <w:rsid w:val="007275C7"/>
    <w:rsid w:val="00727C77"/>
    <w:rsid w:val="00727D7E"/>
    <w:rsid w:val="00730EE3"/>
    <w:rsid w:val="00731432"/>
    <w:rsid w:val="00731C04"/>
    <w:rsid w:val="00731FB8"/>
    <w:rsid w:val="0073290E"/>
    <w:rsid w:val="0073336D"/>
    <w:rsid w:val="00735760"/>
    <w:rsid w:val="007357F2"/>
    <w:rsid w:val="00735817"/>
    <w:rsid w:val="00735C92"/>
    <w:rsid w:val="00736022"/>
    <w:rsid w:val="0073677C"/>
    <w:rsid w:val="00736B5E"/>
    <w:rsid w:val="0074009B"/>
    <w:rsid w:val="00740511"/>
    <w:rsid w:val="0074279A"/>
    <w:rsid w:val="00742869"/>
    <w:rsid w:val="00742ED4"/>
    <w:rsid w:val="00742F3D"/>
    <w:rsid w:val="00743134"/>
    <w:rsid w:val="00743E20"/>
    <w:rsid w:val="00743FE5"/>
    <w:rsid w:val="00744DFB"/>
    <w:rsid w:val="007459ED"/>
    <w:rsid w:val="00745C18"/>
    <w:rsid w:val="00747583"/>
    <w:rsid w:val="00747C61"/>
    <w:rsid w:val="00751B11"/>
    <w:rsid w:val="0075403B"/>
    <w:rsid w:val="0075629A"/>
    <w:rsid w:val="0075668A"/>
    <w:rsid w:val="007566A6"/>
    <w:rsid w:val="00757E32"/>
    <w:rsid w:val="0076035B"/>
    <w:rsid w:val="007603DC"/>
    <w:rsid w:val="00760AC7"/>
    <w:rsid w:val="0076106D"/>
    <w:rsid w:val="00762F18"/>
    <w:rsid w:val="007633C1"/>
    <w:rsid w:val="007638EB"/>
    <w:rsid w:val="00764DBB"/>
    <w:rsid w:val="0076554A"/>
    <w:rsid w:val="007655F4"/>
    <w:rsid w:val="007655FD"/>
    <w:rsid w:val="007656FA"/>
    <w:rsid w:val="00765917"/>
    <w:rsid w:val="00765951"/>
    <w:rsid w:val="00765FCA"/>
    <w:rsid w:val="0076625B"/>
    <w:rsid w:val="00766948"/>
    <w:rsid w:val="0076711A"/>
    <w:rsid w:val="007678C5"/>
    <w:rsid w:val="00770318"/>
    <w:rsid w:val="00770BE6"/>
    <w:rsid w:val="00770E32"/>
    <w:rsid w:val="00773189"/>
    <w:rsid w:val="00773D48"/>
    <w:rsid w:val="00774553"/>
    <w:rsid w:val="007746B8"/>
    <w:rsid w:val="00774889"/>
    <w:rsid w:val="007753CD"/>
    <w:rsid w:val="00775772"/>
    <w:rsid w:val="0077596C"/>
    <w:rsid w:val="0077667B"/>
    <w:rsid w:val="00780514"/>
    <w:rsid w:val="0078055D"/>
    <w:rsid w:val="00780B72"/>
    <w:rsid w:val="00782C9F"/>
    <w:rsid w:val="0078381D"/>
    <w:rsid w:val="00783930"/>
    <w:rsid w:val="00783F54"/>
    <w:rsid w:val="007844B8"/>
    <w:rsid w:val="00785C41"/>
    <w:rsid w:val="00785DAB"/>
    <w:rsid w:val="00786A20"/>
    <w:rsid w:val="0078745D"/>
    <w:rsid w:val="00791A0E"/>
    <w:rsid w:val="0079255D"/>
    <w:rsid w:val="00793661"/>
    <w:rsid w:val="00793682"/>
    <w:rsid w:val="007944FA"/>
    <w:rsid w:val="00794E0C"/>
    <w:rsid w:val="00796118"/>
    <w:rsid w:val="007963C3"/>
    <w:rsid w:val="007975D1"/>
    <w:rsid w:val="00797B5C"/>
    <w:rsid w:val="007A0A33"/>
    <w:rsid w:val="007A0FC0"/>
    <w:rsid w:val="007A2739"/>
    <w:rsid w:val="007A487C"/>
    <w:rsid w:val="007A5CF1"/>
    <w:rsid w:val="007A7318"/>
    <w:rsid w:val="007B0013"/>
    <w:rsid w:val="007B011A"/>
    <w:rsid w:val="007B053C"/>
    <w:rsid w:val="007B0CFF"/>
    <w:rsid w:val="007B0FBB"/>
    <w:rsid w:val="007B1727"/>
    <w:rsid w:val="007B1C1C"/>
    <w:rsid w:val="007B20CB"/>
    <w:rsid w:val="007B26BF"/>
    <w:rsid w:val="007B3560"/>
    <w:rsid w:val="007B3CC6"/>
    <w:rsid w:val="007B3D7D"/>
    <w:rsid w:val="007B44DA"/>
    <w:rsid w:val="007B52C9"/>
    <w:rsid w:val="007B6017"/>
    <w:rsid w:val="007B737A"/>
    <w:rsid w:val="007B73B9"/>
    <w:rsid w:val="007B778D"/>
    <w:rsid w:val="007B7E75"/>
    <w:rsid w:val="007C1D60"/>
    <w:rsid w:val="007C234D"/>
    <w:rsid w:val="007C3565"/>
    <w:rsid w:val="007C3727"/>
    <w:rsid w:val="007C3B58"/>
    <w:rsid w:val="007C3EF9"/>
    <w:rsid w:val="007C42B2"/>
    <w:rsid w:val="007C43AE"/>
    <w:rsid w:val="007C7BFF"/>
    <w:rsid w:val="007D03C0"/>
    <w:rsid w:val="007D0B2B"/>
    <w:rsid w:val="007D21D9"/>
    <w:rsid w:val="007D22EB"/>
    <w:rsid w:val="007D296C"/>
    <w:rsid w:val="007D29C2"/>
    <w:rsid w:val="007D3C11"/>
    <w:rsid w:val="007D446F"/>
    <w:rsid w:val="007D4BB2"/>
    <w:rsid w:val="007D6428"/>
    <w:rsid w:val="007D717C"/>
    <w:rsid w:val="007D7221"/>
    <w:rsid w:val="007E0459"/>
    <w:rsid w:val="007E1F80"/>
    <w:rsid w:val="007E236C"/>
    <w:rsid w:val="007E2460"/>
    <w:rsid w:val="007E2A52"/>
    <w:rsid w:val="007E4350"/>
    <w:rsid w:val="007E4745"/>
    <w:rsid w:val="007E4B3B"/>
    <w:rsid w:val="007E53C5"/>
    <w:rsid w:val="007E72F2"/>
    <w:rsid w:val="007F08EE"/>
    <w:rsid w:val="007F0C70"/>
    <w:rsid w:val="007F0E6D"/>
    <w:rsid w:val="007F22E3"/>
    <w:rsid w:val="007F23C8"/>
    <w:rsid w:val="007F2C41"/>
    <w:rsid w:val="007F3341"/>
    <w:rsid w:val="007F3511"/>
    <w:rsid w:val="007F415F"/>
    <w:rsid w:val="007F4588"/>
    <w:rsid w:val="007F528A"/>
    <w:rsid w:val="007F656B"/>
    <w:rsid w:val="007F6E38"/>
    <w:rsid w:val="007F7B9A"/>
    <w:rsid w:val="007F7DE2"/>
    <w:rsid w:val="00800165"/>
    <w:rsid w:val="008010D5"/>
    <w:rsid w:val="008016FF"/>
    <w:rsid w:val="008018A7"/>
    <w:rsid w:val="00801DED"/>
    <w:rsid w:val="00803D6A"/>
    <w:rsid w:val="00804F82"/>
    <w:rsid w:val="008058CB"/>
    <w:rsid w:val="00805A37"/>
    <w:rsid w:val="00805F23"/>
    <w:rsid w:val="00806833"/>
    <w:rsid w:val="00810B23"/>
    <w:rsid w:val="0081396C"/>
    <w:rsid w:val="0081423F"/>
    <w:rsid w:val="00815F1F"/>
    <w:rsid w:val="00817AE1"/>
    <w:rsid w:val="00820706"/>
    <w:rsid w:val="00820B17"/>
    <w:rsid w:val="00820B4C"/>
    <w:rsid w:val="00820B74"/>
    <w:rsid w:val="00821009"/>
    <w:rsid w:val="008211D5"/>
    <w:rsid w:val="00821FB5"/>
    <w:rsid w:val="00823C6C"/>
    <w:rsid w:val="008263F5"/>
    <w:rsid w:val="008267A0"/>
    <w:rsid w:val="00826EAD"/>
    <w:rsid w:val="00827499"/>
    <w:rsid w:val="0083011B"/>
    <w:rsid w:val="00830BD6"/>
    <w:rsid w:val="00830EB9"/>
    <w:rsid w:val="00831162"/>
    <w:rsid w:val="00831BAA"/>
    <w:rsid w:val="00832815"/>
    <w:rsid w:val="00832A0E"/>
    <w:rsid w:val="008330B5"/>
    <w:rsid w:val="00833ED9"/>
    <w:rsid w:val="0083486B"/>
    <w:rsid w:val="00835157"/>
    <w:rsid w:val="0083550F"/>
    <w:rsid w:val="0083589D"/>
    <w:rsid w:val="00836B8C"/>
    <w:rsid w:val="00836E29"/>
    <w:rsid w:val="00837096"/>
    <w:rsid w:val="00837585"/>
    <w:rsid w:val="008412A0"/>
    <w:rsid w:val="00841594"/>
    <w:rsid w:val="0084161E"/>
    <w:rsid w:val="00841918"/>
    <w:rsid w:val="00843A26"/>
    <w:rsid w:val="00844F25"/>
    <w:rsid w:val="008466FA"/>
    <w:rsid w:val="008508F7"/>
    <w:rsid w:val="00851D12"/>
    <w:rsid w:val="00852C71"/>
    <w:rsid w:val="008537A8"/>
    <w:rsid w:val="0085446D"/>
    <w:rsid w:val="00855062"/>
    <w:rsid w:val="008561BD"/>
    <w:rsid w:val="00856811"/>
    <w:rsid w:val="008569A0"/>
    <w:rsid w:val="0085748F"/>
    <w:rsid w:val="00857C8D"/>
    <w:rsid w:val="00857DBD"/>
    <w:rsid w:val="0086034B"/>
    <w:rsid w:val="008618CA"/>
    <w:rsid w:val="0086217A"/>
    <w:rsid w:val="008630DF"/>
    <w:rsid w:val="00863B48"/>
    <w:rsid w:val="008644C9"/>
    <w:rsid w:val="00865F49"/>
    <w:rsid w:val="00870F42"/>
    <w:rsid w:val="00872019"/>
    <w:rsid w:val="0087218C"/>
    <w:rsid w:val="00872541"/>
    <w:rsid w:val="00874D15"/>
    <w:rsid w:val="00875869"/>
    <w:rsid w:val="00876279"/>
    <w:rsid w:val="00877F53"/>
    <w:rsid w:val="008802A7"/>
    <w:rsid w:val="00881AF9"/>
    <w:rsid w:val="008824FA"/>
    <w:rsid w:val="0088290E"/>
    <w:rsid w:val="0088332F"/>
    <w:rsid w:val="00884105"/>
    <w:rsid w:val="00884A00"/>
    <w:rsid w:val="00887672"/>
    <w:rsid w:val="00887987"/>
    <w:rsid w:val="0089071F"/>
    <w:rsid w:val="008928EB"/>
    <w:rsid w:val="00892FBC"/>
    <w:rsid w:val="00893429"/>
    <w:rsid w:val="008935E8"/>
    <w:rsid w:val="008936A3"/>
    <w:rsid w:val="00893E58"/>
    <w:rsid w:val="00894C8B"/>
    <w:rsid w:val="00894D52"/>
    <w:rsid w:val="00895370"/>
    <w:rsid w:val="00896079"/>
    <w:rsid w:val="0089715C"/>
    <w:rsid w:val="008A0087"/>
    <w:rsid w:val="008A00D0"/>
    <w:rsid w:val="008A1B3F"/>
    <w:rsid w:val="008A2A63"/>
    <w:rsid w:val="008A33E1"/>
    <w:rsid w:val="008A38E8"/>
    <w:rsid w:val="008A3EB0"/>
    <w:rsid w:val="008A3F17"/>
    <w:rsid w:val="008A4444"/>
    <w:rsid w:val="008A4546"/>
    <w:rsid w:val="008A5097"/>
    <w:rsid w:val="008A6B73"/>
    <w:rsid w:val="008A7AEF"/>
    <w:rsid w:val="008A7DDD"/>
    <w:rsid w:val="008B0518"/>
    <w:rsid w:val="008B140E"/>
    <w:rsid w:val="008B1FAC"/>
    <w:rsid w:val="008B2072"/>
    <w:rsid w:val="008B2288"/>
    <w:rsid w:val="008B2A4E"/>
    <w:rsid w:val="008B2DBE"/>
    <w:rsid w:val="008B3750"/>
    <w:rsid w:val="008B386A"/>
    <w:rsid w:val="008B38BE"/>
    <w:rsid w:val="008B3E3C"/>
    <w:rsid w:val="008B3EF1"/>
    <w:rsid w:val="008B45C1"/>
    <w:rsid w:val="008B50EF"/>
    <w:rsid w:val="008B5456"/>
    <w:rsid w:val="008B6217"/>
    <w:rsid w:val="008B6990"/>
    <w:rsid w:val="008B7E92"/>
    <w:rsid w:val="008C101D"/>
    <w:rsid w:val="008C1228"/>
    <w:rsid w:val="008C1478"/>
    <w:rsid w:val="008C237A"/>
    <w:rsid w:val="008C2661"/>
    <w:rsid w:val="008C2754"/>
    <w:rsid w:val="008C33BB"/>
    <w:rsid w:val="008C4B14"/>
    <w:rsid w:val="008C4F26"/>
    <w:rsid w:val="008C4F32"/>
    <w:rsid w:val="008C5255"/>
    <w:rsid w:val="008C5B2A"/>
    <w:rsid w:val="008C5C5B"/>
    <w:rsid w:val="008C66EA"/>
    <w:rsid w:val="008C6D6D"/>
    <w:rsid w:val="008C71D1"/>
    <w:rsid w:val="008C756D"/>
    <w:rsid w:val="008C7731"/>
    <w:rsid w:val="008C79B8"/>
    <w:rsid w:val="008C7D2A"/>
    <w:rsid w:val="008C7F93"/>
    <w:rsid w:val="008D0371"/>
    <w:rsid w:val="008D0BC7"/>
    <w:rsid w:val="008D0D64"/>
    <w:rsid w:val="008D105A"/>
    <w:rsid w:val="008D3DB9"/>
    <w:rsid w:val="008D4539"/>
    <w:rsid w:val="008D5873"/>
    <w:rsid w:val="008D6A6D"/>
    <w:rsid w:val="008D6AB1"/>
    <w:rsid w:val="008D729A"/>
    <w:rsid w:val="008E055A"/>
    <w:rsid w:val="008E0B54"/>
    <w:rsid w:val="008E338A"/>
    <w:rsid w:val="008E4297"/>
    <w:rsid w:val="008E436C"/>
    <w:rsid w:val="008E5764"/>
    <w:rsid w:val="008E5926"/>
    <w:rsid w:val="008E5B49"/>
    <w:rsid w:val="008E5D9E"/>
    <w:rsid w:val="008E6655"/>
    <w:rsid w:val="008E676E"/>
    <w:rsid w:val="008E6E0A"/>
    <w:rsid w:val="008E6F48"/>
    <w:rsid w:val="008E7522"/>
    <w:rsid w:val="008E7BC5"/>
    <w:rsid w:val="008F109F"/>
    <w:rsid w:val="008F1751"/>
    <w:rsid w:val="008F1988"/>
    <w:rsid w:val="008F1C90"/>
    <w:rsid w:val="008F1E15"/>
    <w:rsid w:val="008F1FDB"/>
    <w:rsid w:val="008F29E2"/>
    <w:rsid w:val="008F2AF4"/>
    <w:rsid w:val="008F402C"/>
    <w:rsid w:val="008F4B87"/>
    <w:rsid w:val="008F4BCE"/>
    <w:rsid w:val="00900322"/>
    <w:rsid w:val="00900D3D"/>
    <w:rsid w:val="009024C0"/>
    <w:rsid w:val="009038EB"/>
    <w:rsid w:val="00903AFF"/>
    <w:rsid w:val="0090414A"/>
    <w:rsid w:val="009056D8"/>
    <w:rsid w:val="00905D78"/>
    <w:rsid w:val="00906580"/>
    <w:rsid w:val="00906F4F"/>
    <w:rsid w:val="00907D6F"/>
    <w:rsid w:val="00910939"/>
    <w:rsid w:val="00911E0B"/>
    <w:rsid w:val="009120EA"/>
    <w:rsid w:val="00913097"/>
    <w:rsid w:val="009130E0"/>
    <w:rsid w:val="00913221"/>
    <w:rsid w:val="00913324"/>
    <w:rsid w:val="00913474"/>
    <w:rsid w:val="00913550"/>
    <w:rsid w:val="00913E60"/>
    <w:rsid w:val="00914F83"/>
    <w:rsid w:val="009153D7"/>
    <w:rsid w:val="00915443"/>
    <w:rsid w:val="009161AC"/>
    <w:rsid w:val="00916978"/>
    <w:rsid w:val="00916A1B"/>
    <w:rsid w:val="00916A40"/>
    <w:rsid w:val="00922E43"/>
    <w:rsid w:val="00923A2F"/>
    <w:rsid w:val="00924522"/>
    <w:rsid w:val="00924CAF"/>
    <w:rsid w:val="00924F25"/>
    <w:rsid w:val="00927CA3"/>
    <w:rsid w:val="00930998"/>
    <w:rsid w:val="0093155A"/>
    <w:rsid w:val="009325AF"/>
    <w:rsid w:val="00933078"/>
    <w:rsid w:val="00933BCC"/>
    <w:rsid w:val="00935FB5"/>
    <w:rsid w:val="00937DF4"/>
    <w:rsid w:val="00940F31"/>
    <w:rsid w:val="009411AE"/>
    <w:rsid w:val="00942363"/>
    <w:rsid w:val="009424A6"/>
    <w:rsid w:val="00942B5F"/>
    <w:rsid w:val="00942F5F"/>
    <w:rsid w:val="0094304E"/>
    <w:rsid w:val="0094449F"/>
    <w:rsid w:val="00945775"/>
    <w:rsid w:val="00945812"/>
    <w:rsid w:val="00945895"/>
    <w:rsid w:val="00945A73"/>
    <w:rsid w:val="00945BD4"/>
    <w:rsid w:val="0094785C"/>
    <w:rsid w:val="00947D1A"/>
    <w:rsid w:val="009509E7"/>
    <w:rsid w:val="00950C03"/>
    <w:rsid w:val="0095193A"/>
    <w:rsid w:val="00951E9C"/>
    <w:rsid w:val="0095292B"/>
    <w:rsid w:val="00952A0D"/>
    <w:rsid w:val="00952C0E"/>
    <w:rsid w:val="00952CC1"/>
    <w:rsid w:val="00953FFE"/>
    <w:rsid w:val="00954799"/>
    <w:rsid w:val="00954EFE"/>
    <w:rsid w:val="00955CE2"/>
    <w:rsid w:val="00956089"/>
    <w:rsid w:val="00956E62"/>
    <w:rsid w:val="00956FBB"/>
    <w:rsid w:val="00957B6D"/>
    <w:rsid w:val="00960D7B"/>
    <w:rsid w:val="009621D2"/>
    <w:rsid w:val="009628DA"/>
    <w:rsid w:val="009633C9"/>
    <w:rsid w:val="00963C26"/>
    <w:rsid w:val="0096574B"/>
    <w:rsid w:val="00965BE9"/>
    <w:rsid w:val="0096632D"/>
    <w:rsid w:val="00966411"/>
    <w:rsid w:val="00966957"/>
    <w:rsid w:val="0096793B"/>
    <w:rsid w:val="00967DB1"/>
    <w:rsid w:val="00967E23"/>
    <w:rsid w:val="00970682"/>
    <w:rsid w:val="00970B19"/>
    <w:rsid w:val="00970C83"/>
    <w:rsid w:val="00970D45"/>
    <w:rsid w:val="009713C8"/>
    <w:rsid w:val="009716D4"/>
    <w:rsid w:val="00974B1A"/>
    <w:rsid w:val="00974CA6"/>
    <w:rsid w:val="009767BA"/>
    <w:rsid w:val="009768E6"/>
    <w:rsid w:val="009776DA"/>
    <w:rsid w:val="00981B1B"/>
    <w:rsid w:val="00983072"/>
    <w:rsid w:val="0098338C"/>
    <w:rsid w:val="0098353D"/>
    <w:rsid w:val="0098389F"/>
    <w:rsid w:val="009841A7"/>
    <w:rsid w:val="0098461B"/>
    <w:rsid w:val="009846E7"/>
    <w:rsid w:val="00987997"/>
    <w:rsid w:val="00990000"/>
    <w:rsid w:val="00990089"/>
    <w:rsid w:val="0099086C"/>
    <w:rsid w:val="00991B15"/>
    <w:rsid w:val="00991F1B"/>
    <w:rsid w:val="00992762"/>
    <w:rsid w:val="00992CAB"/>
    <w:rsid w:val="00992E28"/>
    <w:rsid w:val="00993294"/>
    <w:rsid w:val="00994E33"/>
    <w:rsid w:val="009963B3"/>
    <w:rsid w:val="00996677"/>
    <w:rsid w:val="00997539"/>
    <w:rsid w:val="009A104E"/>
    <w:rsid w:val="009A1164"/>
    <w:rsid w:val="009A2306"/>
    <w:rsid w:val="009A390C"/>
    <w:rsid w:val="009A4437"/>
    <w:rsid w:val="009A4A1A"/>
    <w:rsid w:val="009A4E62"/>
    <w:rsid w:val="009A517C"/>
    <w:rsid w:val="009A5E72"/>
    <w:rsid w:val="009A6864"/>
    <w:rsid w:val="009A7351"/>
    <w:rsid w:val="009A746B"/>
    <w:rsid w:val="009A75F4"/>
    <w:rsid w:val="009B070C"/>
    <w:rsid w:val="009B076C"/>
    <w:rsid w:val="009B089B"/>
    <w:rsid w:val="009B1592"/>
    <w:rsid w:val="009B2270"/>
    <w:rsid w:val="009B3482"/>
    <w:rsid w:val="009B4CD7"/>
    <w:rsid w:val="009B5635"/>
    <w:rsid w:val="009B5676"/>
    <w:rsid w:val="009B7C77"/>
    <w:rsid w:val="009B7F03"/>
    <w:rsid w:val="009C57BE"/>
    <w:rsid w:val="009C786F"/>
    <w:rsid w:val="009D0059"/>
    <w:rsid w:val="009D0AA2"/>
    <w:rsid w:val="009D0C1A"/>
    <w:rsid w:val="009D175B"/>
    <w:rsid w:val="009D19B2"/>
    <w:rsid w:val="009D2CA8"/>
    <w:rsid w:val="009D3607"/>
    <w:rsid w:val="009D3AC2"/>
    <w:rsid w:val="009D444C"/>
    <w:rsid w:val="009D6566"/>
    <w:rsid w:val="009D6775"/>
    <w:rsid w:val="009D6A71"/>
    <w:rsid w:val="009D7702"/>
    <w:rsid w:val="009D7BA4"/>
    <w:rsid w:val="009E0D40"/>
    <w:rsid w:val="009E17B9"/>
    <w:rsid w:val="009E19EE"/>
    <w:rsid w:val="009E246D"/>
    <w:rsid w:val="009E2545"/>
    <w:rsid w:val="009E2A02"/>
    <w:rsid w:val="009E30F2"/>
    <w:rsid w:val="009E33B7"/>
    <w:rsid w:val="009E3742"/>
    <w:rsid w:val="009E3F40"/>
    <w:rsid w:val="009E44E3"/>
    <w:rsid w:val="009E4A61"/>
    <w:rsid w:val="009E4F7C"/>
    <w:rsid w:val="009E53DB"/>
    <w:rsid w:val="009E5524"/>
    <w:rsid w:val="009E60ED"/>
    <w:rsid w:val="009E6E57"/>
    <w:rsid w:val="009E732B"/>
    <w:rsid w:val="009F1230"/>
    <w:rsid w:val="009F1301"/>
    <w:rsid w:val="009F16DF"/>
    <w:rsid w:val="009F2095"/>
    <w:rsid w:val="009F26FD"/>
    <w:rsid w:val="009F3A26"/>
    <w:rsid w:val="009F3C5A"/>
    <w:rsid w:val="009F46C1"/>
    <w:rsid w:val="009F4CBE"/>
    <w:rsid w:val="009F6220"/>
    <w:rsid w:val="009F6FC6"/>
    <w:rsid w:val="009F723A"/>
    <w:rsid w:val="009F7A69"/>
    <w:rsid w:val="00A00D2A"/>
    <w:rsid w:val="00A025BD"/>
    <w:rsid w:val="00A02602"/>
    <w:rsid w:val="00A046F5"/>
    <w:rsid w:val="00A05420"/>
    <w:rsid w:val="00A05D08"/>
    <w:rsid w:val="00A07077"/>
    <w:rsid w:val="00A07EA8"/>
    <w:rsid w:val="00A07FC7"/>
    <w:rsid w:val="00A10CE3"/>
    <w:rsid w:val="00A11C30"/>
    <w:rsid w:val="00A11DEE"/>
    <w:rsid w:val="00A11FE0"/>
    <w:rsid w:val="00A12468"/>
    <w:rsid w:val="00A12545"/>
    <w:rsid w:val="00A1279A"/>
    <w:rsid w:val="00A129F3"/>
    <w:rsid w:val="00A12C36"/>
    <w:rsid w:val="00A1324A"/>
    <w:rsid w:val="00A13E12"/>
    <w:rsid w:val="00A14B3C"/>
    <w:rsid w:val="00A14E7D"/>
    <w:rsid w:val="00A157C2"/>
    <w:rsid w:val="00A16587"/>
    <w:rsid w:val="00A16C38"/>
    <w:rsid w:val="00A1715C"/>
    <w:rsid w:val="00A1775B"/>
    <w:rsid w:val="00A17DA5"/>
    <w:rsid w:val="00A17E56"/>
    <w:rsid w:val="00A214C7"/>
    <w:rsid w:val="00A2327E"/>
    <w:rsid w:val="00A238E8"/>
    <w:rsid w:val="00A24F2B"/>
    <w:rsid w:val="00A24FCC"/>
    <w:rsid w:val="00A25940"/>
    <w:rsid w:val="00A27876"/>
    <w:rsid w:val="00A31197"/>
    <w:rsid w:val="00A31F35"/>
    <w:rsid w:val="00A31F77"/>
    <w:rsid w:val="00A3381F"/>
    <w:rsid w:val="00A3491D"/>
    <w:rsid w:val="00A34E8E"/>
    <w:rsid w:val="00A351EB"/>
    <w:rsid w:val="00A358B1"/>
    <w:rsid w:val="00A36CB7"/>
    <w:rsid w:val="00A37578"/>
    <w:rsid w:val="00A4033D"/>
    <w:rsid w:val="00A40980"/>
    <w:rsid w:val="00A41015"/>
    <w:rsid w:val="00A41272"/>
    <w:rsid w:val="00A413E4"/>
    <w:rsid w:val="00A4237C"/>
    <w:rsid w:val="00A4457B"/>
    <w:rsid w:val="00A44C64"/>
    <w:rsid w:val="00A45659"/>
    <w:rsid w:val="00A45C23"/>
    <w:rsid w:val="00A45CA5"/>
    <w:rsid w:val="00A46E84"/>
    <w:rsid w:val="00A47C26"/>
    <w:rsid w:val="00A47D1F"/>
    <w:rsid w:val="00A50CEA"/>
    <w:rsid w:val="00A50D70"/>
    <w:rsid w:val="00A52097"/>
    <w:rsid w:val="00A52B4B"/>
    <w:rsid w:val="00A55737"/>
    <w:rsid w:val="00A55C3E"/>
    <w:rsid w:val="00A56008"/>
    <w:rsid w:val="00A5602B"/>
    <w:rsid w:val="00A563A0"/>
    <w:rsid w:val="00A57E5A"/>
    <w:rsid w:val="00A602DF"/>
    <w:rsid w:val="00A603C8"/>
    <w:rsid w:val="00A6058F"/>
    <w:rsid w:val="00A60C76"/>
    <w:rsid w:val="00A62335"/>
    <w:rsid w:val="00A62C74"/>
    <w:rsid w:val="00A62D65"/>
    <w:rsid w:val="00A631A0"/>
    <w:rsid w:val="00A6328B"/>
    <w:rsid w:val="00A64A47"/>
    <w:rsid w:val="00A655E8"/>
    <w:rsid w:val="00A666E5"/>
    <w:rsid w:val="00A66CCC"/>
    <w:rsid w:val="00A678A6"/>
    <w:rsid w:val="00A704DC"/>
    <w:rsid w:val="00A729C2"/>
    <w:rsid w:val="00A7315F"/>
    <w:rsid w:val="00A74F53"/>
    <w:rsid w:val="00A7531A"/>
    <w:rsid w:val="00A76B02"/>
    <w:rsid w:val="00A76D88"/>
    <w:rsid w:val="00A7721E"/>
    <w:rsid w:val="00A772A2"/>
    <w:rsid w:val="00A813F4"/>
    <w:rsid w:val="00A81FBA"/>
    <w:rsid w:val="00A8202E"/>
    <w:rsid w:val="00A82DF9"/>
    <w:rsid w:val="00A833E1"/>
    <w:rsid w:val="00A853E7"/>
    <w:rsid w:val="00A8556B"/>
    <w:rsid w:val="00A85CD6"/>
    <w:rsid w:val="00A86DA0"/>
    <w:rsid w:val="00A87239"/>
    <w:rsid w:val="00A874C1"/>
    <w:rsid w:val="00A875AE"/>
    <w:rsid w:val="00A90DCD"/>
    <w:rsid w:val="00A912B7"/>
    <w:rsid w:val="00A91E29"/>
    <w:rsid w:val="00A928DA"/>
    <w:rsid w:val="00A929A4"/>
    <w:rsid w:val="00A92C19"/>
    <w:rsid w:val="00A92F9C"/>
    <w:rsid w:val="00A940EE"/>
    <w:rsid w:val="00A941A4"/>
    <w:rsid w:val="00A944B2"/>
    <w:rsid w:val="00A955AB"/>
    <w:rsid w:val="00A9595B"/>
    <w:rsid w:val="00A96404"/>
    <w:rsid w:val="00A968E2"/>
    <w:rsid w:val="00A96C30"/>
    <w:rsid w:val="00A971ED"/>
    <w:rsid w:val="00A973A7"/>
    <w:rsid w:val="00A977DF"/>
    <w:rsid w:val="00A97AB3"/>
    <w:rsid w:val="00AA0D2D"/>
    <w:rsid w:val="00AA1FB7"/>
    <w:rsid w:val="00AA24C3"/>
    <w:rsid w:val="00AA2634"/>
    <w:rsid w:val="00AA3495"/>
    <w:rsid w:val="00AA4203"/>
    <w:rsid w:val="00AA476A"/>
    <w:rsid w:val="00AA4B25"/>
    <w:rsid w:val="00AA4EE4"/>
    <w:rsid w:val="00AA6B92"/>
    <w:rsid w:val="00AB1A34"/>
    <w:rsid w:val="00AB2DCD"/>
    <w:rsid w:val="00AB2F1D"/>
    <w:rsid w:val="00AB32F7"/>
    <w:rsid w:val="00AB3A74"/>
    <w:rsid w:val="00AB3B24"/>
    <w:rsid w:val="00AB3DA3"/>
    <w:rsid w:val="00AB7351"/>
    <w:rsid w:val="00AC0A22"/>
    <w:rsid w:val="00AC0AF9"/>
    <w:rsid w:val="00AC3086"/>
    <w:rsid w:val="00AC4D9D"/>
    <w:rsid w:val="00AC5451"/>
    <w:rsid w:val="00AC6774"/>
    <w:rsid w:val="00AC6880"/>
    <w:rsid w:val="00AC6D7E"/>
    <w:rsid w:val="00AC75E3"/>
    <w:rsid w:val="00AD0032"/>
    <w:rsid w:val="00AD13B6"/>
    <w:rsid w:val="00AD2E50"/>
    <w:rsid w:val="00AD336B"/>
    <w:rsid w:val="00AD3374"/>
    <w:rsid w:val="00AD3403"/>
    <w:rsid w:val="00AD3709"/>
    <w:rsid w:val="00AD47B7"/>
    <w:rsid w:val="00AD4DD8"/>
    <w:rsid w:val="00AD570B"/>
    <w:rsid w:val="00AD60DE"/>
    <w:rsid w:val="00AD6AA1"/>
    <w:rsid w:val="00AD70D4"/>
    <w:rsid w:val="00AD755A"/>
    <w:rsid w:val="00AD7986"/>
    <w:rsid w:val="00AE02ED"/>
    <w:rsid w:val="00AE0710"/>
    <w:rsid w:val="00AE25E5"/>
    <w:rsid w:val="00AE35A9"/>
    <w:rsid w:val="00AE3ACF"/>
    <w:rsid w:val="00AE3F61"/>
    <w:rsid w:val="00AE4105"/>
    <w:rsid w:val="00AE41E2"/>
    <w:rsid w:val="00AE514B"/>
    <w:rsid w:val="00AE575B"/>
    <w:rsid w:val="00AE59C5"/>
    <w:rsid w:val="00AE63E3"/>
    <w:rsid w:val="00AE662D"/>
    <w:rsid w:val="00AE6CAE"/>
    <w:rsid w:val="00AE6DA0"/>
    <w:rsid w:val="00AE7991"/>
    <w:rsid w:val="00AF018A"/>
    <w:rsid w:val="00AF0238"/>
    <w:rsid w:val="00AF1C08"/>
    <w:rsid w:val="00AF293A"/>
    <w:rsid w:val="00AF3CA6"/>
    <w:rsid w:val="00AF50F0"/>
    <w:rsid w:val="00AF64F9"/>
    <w:rsid w:val="00AF6634"/>
    <w:rsid w:val="00AF6A1E"/>
    <w:rsid w:val="00AF7475"/>
    <w:rsid w:val="00B01228"/>
    <w:rsid w:val="00B02A82"/>
    <w:rsid w:val="00B04DDE"/>
    <w:rsid w:val="00B05739"/>
    <w:rsid w:val="00B05A00"/>
    <w:rsid w:val="00B05B51"/>
    <w:rsid w:val="00B05D56"/>
    <w:rsid w:val="00B061C6"/>
    <w:rsid w:val="00B07553"/>
    <w:rsid w:val="00B07B93"/>
    <w:rsid w:val="00B11B9F"/>
    <w:rsid w:val="00B12F56"/>
    <w:rsid w:val="00B14C38"/>
    <w:rsid w:val="00B15A0A"/>
    <w:rsid w:val="00B16A93"/>
    <w:rsid w:val="00B178E3"/>
    <w:rsid w:val="00B20FA1"/>
    <w:rsid w:val="00B21381"/>
    <w:rsid w:val="00B2150A"/>
    <w:rsid w:val="00B21602"/>
    <w:rsid w:val="00B218DF"/>
    <w:rsid w:val="00B23B3E"/>
    <w:rsid w:val="00B24447"/>
    <w:rsid w:val="00B24B8B"/>
    <w:rsid w:val="00B26539"/>
    <w:rsid w:val="00B27B8B"/>
    <w:rsid w:val="00B27DB8"/>
    <w:rsid w:val="00B30687"/>
    <w:rsid w:val="00B324D4"/>
    <w:rsid w:val="00B32FF2"/>
    <w:rsid w:val="00B345A8"/>
    <w:rsid w:val="00B347CA"/>
    <w:rsid w:val="00B34B14"/>
    <w:rsid w:val="00B3585B"/>
    <w:rsid w:val="00B36BD9"/>
    <w:rsid w:val="00B372F5"/>
    <w:rsid w:val="00B37796"/>
    <w:rsid w:val="00B37993"/>
    <w:rsid w:val="00B40093"/>
    <w:rsid w:val="00B41236"/>
    <w:rsid w:val="00B41B4D"/>
    <w:rsid w:val="00B41B59"/>
    <w:rsid w:val="00B42557"/>
    <w:rsid w:val="00B4290D"/>
    <w:rsid w:val="00B42C74"/>
    <w:rsid w:val="00B43678"/>
    <w:rsid w:val="00B43C25"/>
    <w:rsid w:val="00B43E2B"/>
    <w:rsid w:val="00B44D5D"/>
    <w:rsid w:val="00B45F2E"/>
    <w:rsid w:val="00B4626B"/>
    <w:rsid w:val="00B46A20"/>
    <w:rsid w:val="00B46F8C"/>
    <w:rsid w:val="00B47037"/>
    <w:rsid w:val="00B47595"/>
    <w:rsid w:val="00B475C7"/>
    <w:rsid w:val="00B4766F"/>
    <w:rsid w:val="00B476F9"/>
    <w:rsid w:val="00B51600"/>
    <w:rsid w:val="00B5192D"/>
    <w:rsid w:val="00B52465"/>
    <w:rsid w:val="00B52C4B"/>
    <w:rsid w:val="00B52ED3"/>
    <w:rsid w:val="00B541B2"/>
    <w:rsid w:val="00B54292"/>
    <w:rsid w:val="00B546DD"/>
    <w:rsid w:val="00B55265"/>
    <w:rsid w:val="00B57884"/>
    <w:rsid w:val="00B609A2"/>
    <w:rsid w:val="00B6179F"/>
    <w:rsid w:val="00B61C19"/>
    <w:rsid w:val="00B64EB3"/>
    <w:rsid w:val="00B64FD6"/>
    <w:rsid w:val="00B65125"/>
    <w:rsid w:val="00B66842"/>
    <w:rsid w:val="00B67889"/>
    <w:rsid w:val="00B70546"/>
    <w:rsid w:val="00B70606"/>
    <w:rsid w:val="00B70961"/>
    <w:rsid w:val="00B720F4"/>
    <w:rsid w:val="00B72D0E"/>
    <w:rsid w:val="00B72E65"/>
    <w:rsid w:val="00B73ADD"/>
    <w:rsid w:val="00B73E5C"/>
    <w:rsid w:val="00B747C5"/>
    <w:rsid w:val="00B74B47"/>
    <w:rsid w:val="00B7639E"/>
    <w:rsid w:val="00B763BF"/>
    <w:rsid w:val="00B763E3"/>
    <w:rsid w:val="00B7723F"/>
    <w:rsid w:val="00B77EAE"/>
    <w:rsid w:val="00B81256"/>
    <w:rsid w:val="00B82AB6"/>
    <w:rsid w:val="00B82C34"/>
    <w:rsid w:val="00B831B3"/>
    <w:rsid w:val="00B8335B"/>
    <w:rsid w:val="00B85646"/>
    <w:rsid w:val="00B858EE"/>
    <w:rsid w:val="00B85F45"/>
    <w:rsid w:val="00B86ED1"/>
    <w:rsid w:val="00B90520"/>
    <w:rsid w:val="00B90E4F"/>
    <w:rsid w:val="00B92DF0"/>
    <w:rsid w:val="00B94185"/>
    <w:rsid w:val="00B9507F"/>
    <w:rsid w:val="00B951F4"/>
    <w:rsid w:val="00B95F57"/>
    <w:rsid w:val="00B96730"/>
    <w:rsid w:val="00B97B4C"/>
    <w:rsid w:val="00BA0F39"/>
    <w:rsid w:val="00BA185A"/>
    <w:rsid w:val="00BA233D"/>
    <w:rsid w:val="00BA2E1C"/>
    <w:rsid w:val="00BA3AB1"/>
    <w:rsid w:val="00BA451C"/>
    <w:rsid w:val="00BA46DA"/>
    <w:rsid w:val="00BA537F"/>
    <w:rsid w:val="00BA5AB0"/>
    <w:rsid w:val="00BA716B"/>
    <w:rsid w:val="00BA7979"/>
    <w:rsid w:val="00BB05BC"/>
    <w:rsid w:val="00BB0937"/>
    <w:rsid w:val="00BB1AD6"/>
    <w:rsid w:val="00BB2282"/>
    <w:rsid w:val="00BB3765"/>
    <w:rsid w:val="00BB4497"/>
    <w:rsid w:val="00BB4E2E"/>
    <w:rsid w:val="00BB5144"/>
    <w:rsid w:val="00BB5EDD"/>
    <w:rsid w:val="00BB6BC1"/>
    <w:rsid w:val="00BC035E"/>
    <w:rsid w:val="00BC177B"/>
    <w:rsid w:val="00BC2144"/>
    <w:rsid w:val="00BC2D3E"/>
    <w:rsid w:val="00BC31DC"/>
    <w:rsid w:val="00BC3A81"/>
    <w:rsid w:val="00BC40A1"/>
    <w:rsid w:val="00BC7D6E"/>
    <w:rsid w:val="00BD088F"/>
    <w:rsid w:val="00BD08BB"/>
    <w:rsid w:val="00BD1007"/>
    <w:rsid w:val="00BD2F1E"/>
    <w:rsid w:val="00BD41AE"/>
    <w:rsid w:val="00BD48BB"/>
    <w:rsid w:val="00BD5E02"/>
    <w:rsid w:val="00BD5FD5"/>
    <w:rsid w:val="00BD6DA3"/>
    <w:rsid w:val="00BD7167"/>
    <w:rsid w:val="00BD7A56"/>
    <w:rsid w:val="00BD7D10"/>
    <w:rsid w:val="00BE12A2"/>
    <w:rsid w:val="00BE12DA"/>
    <w:rsid w:val="00BE1F95"/>
    <w:rsid w:val="00BE2632"/>
    <w:rsid w:val="00BE26A5"/>
    <w:rsid w:val="00BE2ACE"/>
    <w:rsid w:val="00BE2BF8"/>
    <w:rsid w:val="00BE44F3"/>
    <w:rsid w:val="00BE49BC"/>
    <w:rsid w:val="00BE4C1D"/>
    <w:rsid w:val="00BE5300"/>
    <w:rsid w:val="00BE6144"/>
    <w:rsid w:val="00BE62C5"/>
    <w:rsid w:val="00BE72DB"/>
    <w:rsid w:val="00BE768B"/>
    <w:rsid w:val="00BE7CDF"/>
    <w:rsid w:val="00BF0FCB"/>
    <w:rsid w:val="00BF2343"/>
    <w:rsid w:val="00BF2A7B"/>
    <w:rsid w:val="00BF3B03"/>
    <w:rsid w:val="00BF5132"/>
    <w:rsid w:val="00BF55C6"/>
    <w:rsid w:val="00BF55EF"/>
    <w:rsid w:val="00BF56CF"/>
    <w:rsid w:val="00BF6052"/>
    <w:rsid w:val="00C00B2B"/>
    <w:rsid w:val="00C0157D"/>
    <w:rsid w:val="00C01F5D"/>
    <w:rsid w:val="00C02FD1"/>
    <w:rsid w:val="00C03EDE"/>
    <w:rsid w:val="00C05908"/>
    <w:rsid w:val="00C05D8F"/>
    <w:rsid w:val="00C068A2"/>
    <w:rsid w:val="00C073E1"/>
    <w:rsid w:val="00C0763F"/>
    <w:rsid w:val="00C109F3"/>
    <w:rsid w:val="00C117F8"/>
    <w:rsid w:val="00C118EF"/>
    <w:rsid w:val="00C12A04"/>
    <w:rsid w:val="00C13448"/>
    <w:rsid w:val="00C15285"/>
    <w:rsid w:val="00C159FE"/>
    <w:rsid w:val="00C15F3E"/>
    <w:rsid w:val="00C163FE"/>
    <w:rsid w:val="00C1641E"/>
    <w:rsid w:val="00C172A9"/>
    <w:rsid w:val="00C1731A"/>
    <w:rsid w:val="00C175FE"/>
    <w:rsid w:val="00C2049F"/>
    <w:rsid w:val="00C20F3A"/>
    <w:rsid w:val="00C21D38"/>
    <w:rsid w:val="00C21FE7"/>
    <w:rsid w:val="00C22648"/>
    <w:rsid w:val="00C2367B"/>
    <w:rsid w:val="00C246D5"/>
    <w:rsid w:val="00C24EF8"/>
    <w:rsid w:val="00C256F7"/>
    <w:rsid w:val="00C25EC9"/>
    <w:rsid w:val="00C269D1"/>
    <w:rsid w:val="00C26D1B"/>
    <w:rsid w:val="00C26FDA"/>
    <w:rsid w:val="00C27AFE"/>
    <w:rsid w:val="00C27C3E"/>
    <w:rsid w:val="00C27F14"/>
    <w:rsid w:val="00C31259"/>
    <w:rsid w:val="00C31DB6"/>
    <w:rsid w:val="00C327AA"/>
    <w:rsid w:val="00C327F4"/>
    <w:rsid w:val="00C32A57"/>
    <w:rsid w:val="00C3322C"/>
    <w:rsid w:val="00C33295"/>
    <w:rsid w:val="00C34170"/>
    <w:rsid w:val="00C37AFC"/>
    <w:rsid w:val="00C408E8"/>
    <w:rsid w:val="00C41490"/>
    <w:rsid w:val="00C41C58"/>
    <w:rsid w:val="00C41C79"/>
    <w:rsid w:val="00C43D6C"/>
    <w:rsid w:val="00C44B9A"/>
    <w:rsid w:val="00C4538A"/>
    <w:rsid w:val="00C45556"/>
    <w:rsid w:val="00C46156"/>
    <w:rsid w:val="00C5070F"/>
    <w:rsid w:val="00C51592"/>
    <w:rsid w:val="00C51E2A"/>
    <w:rsid w:val="00C52403"/>
    <w:rsid w:val="00C53966"/>
    <w:rsid w:val="00C54995"/>
    <w:rsid w:val="00C54C59"/>
    <w:rsid w:val="00C566E3"/>
    <w:rsid w:val="00C56823"/>
    <w:rsid w:val="00C5781A"/>
    <w:rsid w:val="00C60CAA"/>
    <w:rsid w:val="00C611EB"/>
    <w:rsid w:val="00C63125"/>
    <w:rsid w:val="00C631B6"/>
    <w:rsid w:val="00C63470"/>
    <w:rsid w:val="00C63B72"/>
    <w:rsid w:val="00C651A7"/>
    <w:rsid w:val="00C6784D"/>
    <w:rsid w:val="00C67E7A"/>
    <w:rsid w:val="00C70061"/>
    <w:rsid w:val="00C70332"/>
    <w:rsid w:val="00C703D5"/>
    <w:rsid w:val="00C71A2E"/>
    <w:rsid w:val="00C73D4A"/>
    <w:rsid w:val="00C741AD"/>
    <w:rsid w:val="00C749D1"/>
    <w:rsid w:val="00C74D2E"/>
    <w:rsid w:val="00C75529"/>
    <w:rsid w:val="00C759C1"/>
    <w:rsid w:val="00C75AB3"/>
    <w:rsid w:val="00C75C16"/>
    <w:rsid w:val="00C77F97"/>
    <w:rsid w:val="00C80098"/>
    <w:rsid w:val="00C81D00"/>
    <w:rsid w:val="00C8297D"/>
    <w:rsid w:val="00C83129"/>
    <w:rsid w:val="00C84D06"/>
    <w:rsid w:val="00C84F5A"/>
    <w:rsid w:val="00C856AF"/>
    <w:rsid w:val="00C85ADA"/>
    <w:rsid w:val="00C865B9"/>
    <w:rsid w:val="00C873A5"/>
    <w:rsid w:val="00C9066E"/>
    <w:rsid w:val="00C93173"/>
    <w:rsid w:val="00C94415"/>
    <w:rsid w:val="00C95107"/>
    <w:rsid w:val="00C95125"/>
    <w:rsid w:val="00C960BB"/>
    <w:rsid w:val="00C966C6"/>
    <w:rsid w:val="00C96D85"/>
    <w:rsid w:val="00CA0D00"/>
    <w:rsid w:val="00CA0E4F"/>
    <w:rsid w:val="00CA0F2F"/>
    <w:rsid w:val="00CA132F"/>
    <w:rsid w:val="00CA1B36"/>
    <w:rsid w:val="00CA20F6"/>
    <w:rsid w:val="00CA23B7"/>
    <w:rsid w:val="00CA2A2A"/>
    <w:rsid w:val="00CA3936"/>
    <w:rsid w:val="00CA4B4E"/>
    <w:rsid w:val="00CA5013"/>
    <w:rsid w:val="00CA5132"/>
    <w:rsid w:val="00CA536D"/>
    <w:rsid w:val="00CA6D32"/>
    <w:rsid w:val="00CA6D4D"/>
    <w:rsid w:val="00CA7EEF"/>
    <w:rsid w:val="00CB01B8"/>
    <w:rsid w:val="00CB0793"/>
    <w:rsid w:val="00CB0B84"/>
    <w:rsid w:val="00CB0CBF"/>
    <w:rsid w:val="00CB0D4C"/>
    <w:rsid w:val="00CB164D"/>
    <w:rsid w:val="00CB178F"/>
    <w:rsid w:val="00CB204C"/>
    <w:rsid w:val="00CB2F60"/>
    <w:rsid w:val="00CB3480"/>
    <w:rsid w:val="00CB3E9C"/>
    <w:rsid w:val="00CB5015"/>
    <w:rsid w:val="00CB513D"/>
    <w:rsid w:val="00CB55B5"/>
    <w:rsid w:val="00CB6151"/>
    <w:rsid w:val="00CB6638"/>
    <w:rsid w:val="00CB7030"/>
    <w:rsid w:val="00CB7461"/>
    <w:rsid w:val="00CC23CF"/>
    <w:rsid w:val="00CC2C80"/>
    <w:rsid w:val="00CC3354"/>
    <w:rsid w:val="00CC3F61"/>
    <w:rsid w:val="00CC3F6B"/>
    <w:rsid w:val="00CC492B"/>
    <w:rsid w:val="00CC4A8D"/>
    <w:rsid w:val="00CC6BE7"/>
    <w:rsid w:val="00CC7E82"/>
    <w:rsid w:val="00CD069E"/>
    <w:rsid w:val="00CD0FE0"/>
    <w:rsid w:val="00CD2222"/>
    <w:rsid w:val="00CD2487"/>
    <w:rsid w:val="00CD2DC4"/>
    <w:rsid w:val="00CD3B8D"/>
    <w:rsid w:val="00CD55DA"/>
    <w:rsid w:val="00CD58A2"/>
    <w:rsid w:val="00CD5F47"/>
    <w:rsid w:val="00CD70BE"/>
    <w:rsid w:val="00CD7FD3"/>
    <w:rsid w:val="00CE1647"/>
    <w:rsid w:val="00CE1ACA"/>
    <w:rsid w:val="00CE2454"/>
    <w:rsid w:val="00CE3C7F"/>
    <w:rsid w:val="00CE47C5"/>
    <w:rsid w:val="00CE53F2"/>
    <w:rsid w:val="00CE5A9E"/>
    <w:rsid w:val="00CF04E7"/>
    <w:rsid w:val="00CF0755"/>
    <w:rsid w:val="00CF23A4"/>
    <w:rsid w:val="00CF2D26"/>
    <w:rsid w:val="00CF336B"/>
    <w:rsid w:val="00CF37E5"/>
    <w:rsid w:val="00CF472B"/>
    <w:rsid w:val="00CF5713"/>
    <w:rsid w:val="00CF5EF6"/>
    <w:rsid w:val="00CF7212"/>
    <w:rsid w:val="00CF7E19"/>
    <w:rsid w:val="00D00019"/>
    <w:rsid w:val="00D016AC"/>
    <w:rsid w:val="00D018E1"/>
    <w:rsid w:val="00D01D5B"/>
    <w:rsid w:val="00D01E7C"/>
    <w:rsid w:val="00D02033"/>
    <w:rsid w:val="00D026CD"/>
    <w:rsid w:val="00D02F5B"/>
    <w:rsid w:val="00D035F3"/>
    <w:rsid w:val="00D04DFB"/>
    <w:rsid w:val="00D05829"/>
    <w:rsid w:val="00D05C13"/>
    <w:rsid w:val="00D06682"/>
    <w:rsid w:val="00D06687"/>
    <w:rsid w:val="00D06AA3"/>
    <w:rsid w:val="00D06DD1"/>
    <w:rsid w:val="00D06F8D"/>
    <w:rsid w:val="00D07B15"/>
    <w:rsid w:val="00D1098B"/>
    <w:rsid w:val="00D129FD"/>
    <w:rsid w:val="00D12B73"/>
    <w:rsid w:val="00D13431"/>
    <w:rsid w:val="00D1453B"/>
    <w:rsid w:val="00D15E7D"/>
    <w:rsid w:val="00D1615D"/>
    <w:rsid w:val="00D1704C"/>
    <w:rsid w:val="00D1750C"/>
    <w:rsid w:val="00D17DFC"/>
    <w:rsid w:val="00D207B6"/>
    <w:rsid w:val="00D20C47"/>
    <w:rsid w:val="00D20E19"/>
    <w:rsid w:val="00D20ED7"/>
    <w:rsid w:val="00D25CB4"/>
    <w:rsid w:val="00D2606A"/>
    <w:rsid w:val="00D26B94"/>
    <w:rsid w:val="00D26C90"/>
    <w:rsid w:val="00D27515"/>
    <w:rsid w:val="00D275D1"/>
    <w:rsid w:val="00D27DB5"/>
    <w:rsid w:val="00D30845"/>
    <w:rsid w:val="00D30F43"/>
    <w:rsid w:val="00D31327"/>
    <w:rsid w:val="00D31AD7"/>
    <w:rsid w:val="00D31CCE"/>
    <w:rsid w:val="00D32015"/>
    <w:rsid w:val="00D32466"/>
    <w:rsid w:val="00D327D9"/>
    <w:rsid w:val="00D32803"/>
    <w:rsid w:val="00D32942"/>
    <w:rsid w:val="00D33248"/>
    <w:rsid w:val="00D33556"/>
    <w:rsid w:val="00D33701"/>
    <w:rsid w:val="00D33729"/>
    <w:rsid w:val="00D34126"/>
    <w:rsid w:val="00D35675"/>
    <w:rsid w:val="00D358B6"/>
    <w:rsid w:val="00D35C9F"/>
    <w:rsid w:val="00D3619F"/>
    <w:rsid w:val="00D36671"/>
    <w:rsid w:val="00D370ED"/>
    <w:rsid w:val="00D401AB"/>
    <w:rsid w:val="00D40896"/>
    <w:rsid w:val="00D40A7A"/>
    <w:rsid w:val="00D40BBE"/>
    <w:rsid w:val="00D40D6E"/>
    <w:rsid w:val="00D41AC0"/>
    <w:rsid w:val="00D425CF"/>
    <w:rsid w:val="00D426C5"/>
    <w:rsid w:val="00D43A3A"/>
    <w:rsid w:val="00D4546D"/>
    <w:rsid w:val="00D45E96"/>
    <w:rsid w:val="00D4670D"/>
    <w:rsid w:val="00D5000B"/>
    <w:rsid w:val="00D50186"/>
    <w:rsid w:val="00D52564"/>
    <w:rsid w:val="00D53262"/>
    <w:rsid w:val="00D53987"/>
    <w:rsid w:val="00D548D5"/>
    <w:rsid w:val="00D550F1"/>
    <w:rsid w:val="00D554AD"/>
    <w:rsid w:val="00D55EEC"/>
    <w:rsid w:val="00D57815"/>
    <w:rsid w:val="00D60867"/>
    <w:rsid w:val="00D60A49"/>
    <w:rsid w:val="00D61B85"/>
    <w:rsid w:val="00D61DAC"/>
    <w:rsid w:val="00D61E43"/>
    <w:rsid w:val="00D62022"/>
    <w:rsid w:val="00D621F6"/>
    <w:rsid w:val="00D62B2C"/>
    <w:rsid w:val="00D654CA"/>
    <w:rsid w:val="00D666FF"/>
    <w:rsid w:val="00D66ACF"/>
    <w:rsid w:val="00D6711C"/>
    <w:rsid w:val="00D70243"/>
    <w:rsid w:val="00D70FE5"/>
    <w:rsid w:val="00D71FFE"/>
    <w:rsid w:val="00D724F2"/>
    <w:rsid w:val="00D72884"/>
    <w:rsid w:val="00D73024"/>
    <w:rsid w:val="00D75E0F"/>
    <w:rsid w:val="00D761A5"/>
    <w:rsid w:val="00D76BBB"/>
    <w:rsid w:val="00D77A3A"/>
    <w:rsid w:val="00D80235"/>
    <w:rsid w:val="00D80F1D"/>
    <w:rsid w:val="00D8242D"/>
    <w:rsid w:val="00D828C9"/>
    <w:rsid w:val="00D82C9C"/>
    <w:rsid w:val="00D844EA"/>
    <w:rsid w:val="00D854B5"/>
    <w:rsid w:val="00D855D2"/>
    <w:rsid w:val="00D857BE"/>
    <w:rsid w:val="00D85CAE"/>
    <w:rsid w:val="00D868AF"/>
    <w:rsid w:val="00D872AA"/>
    <w:rsid w:val="00D8775F"/>
    <w:rsid w:val="00D879F8"/>
    <w:rsid w:val="00D904F1"/>
    <w:rsid w:val="00D90665"/>
    <w:rsid w:val="00D90863"/>
    <w:rsid w:val="00D91AB2"/>
    <w:rsid w:val="00D91E1C"/>
    <w:rsid w:val="00D9265E"/>
    <w:rsid w:val="00D92679"/>
    <w:rsid w:val="00D93302"/>
    <w:rsid w:val="00D9400E"/>
    <w:rsid w:val="00D94C50"/>
    <w:rsid w:val="00D950DA"/>
    <w:rsid w:val="00D96355"/>
    <w:rsid w:val="00D9678C"/>
    <w:rsid w:val="00D97293"/>
    <w:rsid w:val="00D979BE"/>
    <w:rsid w:val="00DA0650"/>
    <w:rsid w:val="00DA097A"/>
    <w:rsid w:val="00DA0AC5"/>
    <w:rsid w:val="00DA117F"/>
    <w:rsid w:val="00DA1692"/>
    <w:rsid w:val="00DA2A1D"/>
    <w:rsid w:val="00DA2CE1"/>
    <w:rsid w:val="00DA45FA"/>
    <w:rsid w:val="00DA4A99"/>
    <w:rsid w:val="00DA60E8"/>
    <w:rsid w:val="00DB04BE"/>
    <w:rsid w:val="00DB0D03"/>
    <w:rsid w:val="00DB17C1"/>
    <w:rsid w:val="00DB2BDF"/>
    <w:rsid w:val="00DB2EAD"/>
    <w:rsid w:val="00DB2FBF"/>
    <w:rsid w:val="00DB39B0"/>
    <w:rsid w:val="00DB410E"/>
    <w:rsid w:val="00DB4FAD"/>
    <w:rsid w:val="00DB6991"/>
    <w:rsid w:val="00DB6F5B"/>
    <w:rsid w:val="00DB74FC"/>
    <w:rsid w:val="00DC08FA"/>
    <w:rsid w:val="00DC0AB0"/>
    <w:rsid w:val="00DC0B15"/>
    <w:rsid w:val="00DC10C1"/>
    <w:rsid w:val="00DC151F"/>
    <w:rsid w:val="00DC176C"/>
    <w:rsid w:val="00DC230F"/>
    <w:rsid w:val="00DC368B"/>
    <w:rsid w:val="00DC3DE4"/>
    <w:rsid w:val="00DC4453"/>
    <w:rsid w:val="00DC52DA"/>
    <w:rsid w:val="00DC5F52"/>
    <w:rsid w:val="00DC667D"/>
    <w:rsid w:val="00DC6BC8"/>
    <w:rsid w:val="00DC6D7A"/>
    <w:rsid w:val="00DD004C"/>
    <w:rsid w:val="00DD0D2D"/>
    <w:rsid w:val="00DD175C"/>
    <w:rsid w:val="00DD1D29"/>
    <w:rsid w:val="00DD294E"/>
    <w:rsid w:val="00DD3525"/>
    <w:rsid w:val="00DD35A0"/>
    <w:rsid w:val="00DD3C4B"/>
    <w:rsid w:val="00DD45CE"/>
    <w:rsid w:val="00DD5585"/>
    <w:rsid w:val="00DD72CB"/>
    <w:rsid w:val="00DD78B2"/>
    <w:rsid w:val="00DD7A5E"/>
    <w:rsid w:val="00DE00D7"/>
    <w:rsid w:val="00DE0CAC"/>
    <w:rsid w:val="00DE1001"/>
    <w:rsid w:val="00DE1106"/>
    <w:rsid w:val="00DE1206"/>
    <w:rsid w:val="00DE1688"/>
    <w:rsid w:val="00DE29B0"/>
    <w:rsid w:val="00DE3D48"/>
    <w:rsid w:val="00DE3DF9"/>
    <w:rsid w:val="00DE42D3"/>
    <w:rsid w:val="00DE4EBB"/>
    <w:rsid w:val="00DE524F"/>
    <w:rsid w:val="00DE7098"/>
    <w:rsid w:val="00DE7A5C"/>
    <w:rsid w:val="00DE7A6D"/>
    <w:rsid w:val="00DF05D0"/>
    <w:rsid w:val="00DF0639"/>
    <w:rsid w:val="00DF117A"/>
    <w:rsid w:val="00DF33FF"/>
    <w:rsid w:val="00DF46B2"/>
    <w:rsid w:val="00DF4AE5"/>
    <w:rsid w:val="00DF4DD1"/>
    <w:rsid w:val="00DF567A"/>
    <w:rsid w:val="00DF5F2C"/>
    <w:rsid w:val="00DF68CB"/>
    <w:rsid w:val="00DF75D8"/>
    <w:rsid w:val="00DF7A42"/>
    <w:rsid w:val="00E0079D"/>
    <w:rsid w:val="00E00946"/>
    <w:rsid w:val="00E01080"/>
    <w:rsid w:val="00E01A05"/>
    <w:rsid w:val="00E01A37"/>
    <w:rsid w:val="00E01CDE"/>
    <w:rsid w:val="00E02489"/>
    <w:rsid w:val="00E031C9"/>
    <w:rsid w:val="00E0369A"/>
    <w:rsid w:val="00E04080"/>
    <w:rsid w:val="00E04559"/>
    <w:rsid w:val="00E0596E"/>
    <w:rsid w:val="00E06659"/>
    <w:rsid w:val="00E06AD9"/>
    <w:rsid w:val="00E07727"/>
    <w:rsid w:val="00E0787C"/>
    <w:rsid w:val="00E07889"/>
    <w:rsid w:val="00E11564"/>
    <w:rsid w:val="00E11573"/>
    <w:rsid w:val="00E11E73"/>
    <w:rsid w:val="00E1285D"/>
    <w:rsid w:val="00E1347F"/>
    <w:rsid w:val="00E13D81"/>
    <w:rsid w:val="00E14B67"/>
    <w:rsid w:val="00E15261"/>
    <w:rsid w:val="00E15D41"/>
    <w:rsid w:val="00E16592"/>
    <w:rsid w:val="00E16B34"/>
    <w:rsid w:val="00E16CCC"/>
    <w:rsid w:val="00E17A32"/>
    <w:rsid w:val="00E17D8F"/>
    <w:rsid w:val="00E207F0"/>
    <w:rsid w:val="00E20F33"/>
    <w:rsid w:val="00E22DC9"/>
    <w:rsid w:val="00E23700"/>
    <w:rsid w:val="00E23CDD"/>
    <w:rsid w:val="00E2443B"/>
    <w:rsid w:val="00E24712"/>
    <w:rsid w:val="00E2481E"/>
    <w:rsid w:val="00E24893"/>
    <w:rsid w:val="00E25983"/>
    <w:rsid w:val="00E26045"/>
    <w:rsid w:val="00E26459"/>
    <w:rsid w:val="00E26787"/>
    <w:rsid w:val="00E27339"/>
    <w:rsid w:val="00E30201"/>
    <w:rsid w:val="00E30686"/>
    <w:rsid w:val="00E314A4"/>
    <w:rsid w:val="00E32194"/>
    <w:rsid w:val="00E33745"/>
    <w:rsid w:val="00E33B37"/>
    <w:rsid w:val="00E341CE"/>
    <w:rsid w:val="00E3425F"/>
    <w:rsid w:val="00E3445F"/>
    <w:rsid w:val="00E34470"/>
    <w:rsid w:val="00E35C81"/>
    <w:rsid w:val="00E362C1"/>
    <w:rsid w:val="00E36655"/>
    <w:rsid w:val="00E36BF3"/>
    <w:rsid w:val="00E3737C"/>
    <w:rsid w:val="00E37887"/>
    <w:rsid w:val="00E401AC"/>
    <w:rsid w:val="00E443A8"/>
    <w:rsid w:val="00E44A0E"/>
    <w:rsid w:val="00E44C70"/>
    <w:rsid w:val="00E454ED"/>
    <w:rsid w:val="00E4577A"/>
    <w:rsid w:val="00E45E56"/>
    <w:rsid w:val="00E461DE"/>
    <w:rsid w:val="00E47189"/>
    <w:rsid w:val="00E5058F"/>
    <w:rsid w:val="00E509C1"/>
    <w:rsid w:val="00E51828"/>
    <w:rsid w:val="00E521D1"/>
    <w:rsid w:val="00E52D37"/>
    <w:rsid w:val="00E52EC5"/>
    <w:rsid w:val="00E53448"/>
    <w:rsid w:val="00E534FC"/>
    <w:rsid w:val="00E56A26"/>
    <w:rsid w:val="00E573A8"/>
    <w:rsid w:val="00E57CB6"/>
    <w:rsid w:val="00E60EFC"/>
    <w:rsid w:val="00E60F38"/>
    <w:rsid w:val="00E61061"/>
    <w:rsid w:val="00E61814"/>
    <w:rsid w:val="00E628E4"/>
    <w:rsid w:val="00E6325F"/>
    <w:rsid w:val="00E63678"/>
    <w:rsid w:val="00E64777"/>
    <w:rsid w:val="00E666F6"/>
    <w:rsid w:val="00E70845"/>
    <w:rsid w:val="00E7088E"/>
    <w:rsid w:val="00E72330"/>
    <w:rsid w:val="00E72860"/>
    <w:rsid w:val="00E729B9"/>
    <w:rsid w:val="00E732D1"/>
    <w:rsid w:val="00E74BFC"/>
    <w:rsid w:val="00E756EA"/>
    <w:rsid w:val="00E76510"/>
    <w:rsid w:val="00E769CE"/>
    <w:rsid w:val="00E76C98"/>
    <w:rsid w:val="00E77070"/>
    <w:rsid w:val="00E7784C"/>
    <w:rsid w:val="00E77853"/>
    <w:rsid w:val="00E8120F"/>
    <w:rsid w:val="00E81584"/>
    <w:rsid w:val="00E83AD1"/>
    <w:rsid w:val="00E83C74"/>
    <w:rsid w:val="00E84125"/>
    <w:rsid w:val="00E849D0"/>
    <w:rsid w:val="00E8513D"/>
    <w:rsid w:val="00E8650D"/>
    <w:rsid w:val="00E86D63"/>
    <w:rsid w:val="00E86FD5"/>
    <w:rsid w:val="00E90017"/>
    <w:rsid w:val="00E90934"/>
    <w:rsid w:val="00E926FA"/>
    <w:rsid w:val="00E93336"/>
    <w:rsid w:val="00E93A0A"/>
    <w:rsid w:val="00E95384"/>
    <w:rsid w:val="00E95899"/>
    <w:rsid w:val="00E95CF8"/>
    <w:rsid w:val="00E961A8"/>
    <w:rsid w:val="00E96814"/>
    <w:rsid w:val="00E96D8E"/>
    <w:rsid w:val="00E97D36"/>
    <w:rsid w:val="00EA006E"/>
    <w:rsid w:val="00EA111E"/>
    <w:rsid w:val="00EA1590"/>
    <w:rsid w:val="00EA39F6"/>
    <w:rsid w:val="00EA4653"/>
    <w:rsid w:val="00EA5153"/>
    <w:rsid w:val="00EA5523"/>
    <w:rsid w:val="00EA63DF"/>
    <w:rsid w:val="00EA6632"/>
    <w:rsid w:val="00EA6D44"/>
    <w:rsid w:val="00EA7608"/>
    <w:rsid w:val="00EB24D1"/>
    <w:rsid w:val="00EB2584"/>
    <w:rsid w:val="00EB4BBF"/>
    <w:rsid w:val="00EB53E3"/>
    <w:rsid w:val="00EB74F8"/>
    <w:rsid w:val="00EC008D"/>
    <w:rsid w:val="00EC01F1"/>
    <w:rsid w:val="00EC0451"/>
    <w:rsid w:val="00EC28F8"/>
    <w:rsid w:val="00EC298E"/>
    <w:rsid w:val="00EC29AA"/>
    <w:rsid w:val="00EC2A69"/>
    <w:rsid w:val="00EC2D26"/>
    <w:rsid w:val="00EC2DF3"/>
    <w:rsid w:val="00EC5705"/>
    <w:rsid w:val="00EC5870"/>
    <w:rsid w:val="00EC681E"/>
    <w:rsid w:val="00EC6B40"/>
    <w:rsid w:val="00EC6C15"/>
    <w:rsid w:val="00EC6FAE"/>
    <w:rsid w:val="00EC70D8"/>
    <w:rsid w:val="00EC7534"/>
    <w:rsid w:val="00EC7714"/>
    <w:rsid w:val="00EC78B6"/>
    <w:rsid w:val="00EC7F17"/>
    <w:rsid w:val="00ED0E5A"/>
    <w:rsid w:val="00ED175A"/>
    <w:rsid w:val="00ED1C28"/>
    <w:rsid w:val="00ED1E40"/>
    <w:rsid w:val="00ED21AE"/>
    <w:rsid w:val="00ED4254"/>
    <w:rsid w:val="00ED49C9"/>
    <w:rsid w:val="00ED4BE2"/>
    <w:rsid w:val="00ED66C0"/>
    <w:rsid w:val="00ED6750"/>
    <w:rsid w:val="00ED689B"/>
    <w:rsid w:val="00ED6BC8"/>
    <w:rsid w:val="00ED6CFF"/>
    <w:rsid w:val="00ED7091"/>
    <w:rsid w:val="00EE04DA"/>
    <w:rsid w:val="00EE05E9"/>
    <w:rsid w:val="00EE145F"/>
    <w:rsid w:val="00EE1C6B"/>
    <w:rsid w:val="00EE279E"/>
    <w:rsid w:val="00EE299A"/>
    <w:rsid w:val="00EE379A"/>
    <w:rsid w:val="00EE3986"/>
    <w:rsid w:val="00EE52D3"/>
    <w:rsid w:val="00EE6AF8"/>
    <w:rsid w:val="00EF0511"/>
    <w:rsid w:val="00EF1CCF"/>
    <w:rsid w:val="00EF2D9F"/>
    <w:rsid w:val="00EF33FC"/>
    <w:rsid w:val="00EF36DA"/>
    <w:rsid w:val="00EF4280"/>
    <w:rsid w:val="00EF53D7"/>
    <w:rsid w:val="00EF5D2B"/>
    <w:rsid w:val="00EF5D5F"/>
    <w:rsid w:val="00EF5ED2"/>
    <w:rsid w:val="00EF5FB8"/>
    <w:rsid w:val="00EF6420"/>
    <w:rsid w:val="00EF6430"/>
    <w:rsid w:val="00EF6F27"/>
    <w:rsid w:val="00EF7847"/>
    <w:rsid w:val="00F002EC"/>
    <w:rsid w:val="00F014F5"/>
    <w:rsid w:val="00F01654"/>
    <w:rsid w:val="00F017AF"/>
    <w:rsid w:val="00F019CD"/>
    <w:rsid w:val="00F01A66"/>
    <w:rsid w:val="00F01DEA"/>
    <w:rsid w:val="00F01E0A"/>
    <w:rsid w:val="00F02130"/>
    <w:rsid w:val="00F02806"/>
    <w:rsid w:val="00F04F63"/>
    <w:rsid w:val="00F05143"/>
    <w:rsid w:val="00F05C6D"/>
    <w:rsid w:val="00F068CC"/>
    <w:rsid w:val="00F06900"/>
    <w:rsid w:val="00F06A57"/>
    <w:rsid w:val="00F078DF"/>
    <w:rsid w:val="00F1013F"/>
    <w:rsid w:val="00F1044A"/>
    <w:rsid w:val="00F10BEB"/>
    <w:rsid w:val="00F10CDB"/>
    <w:rsid w:val="00F1107A"/>
    <w:rsid w:val="00F116B3"/>
    <w:rsid w:val="00F1319D"/>
    <w:rsid w:val="00F131AA"/>
    <w:rsid w:val="00F13AE5"/>
    <w:rsid w:val="00F13FF4"/>
    <w:rsid w:val="00F14802"/>
    <w:rsid w:val="00F15D4D"/>
    <w:rsid w:val="00F172D1"/>
    <w:rsid w:val="00F20171"/>
    <w:rsid w:val="00F20B4B"/>
    <w:rsid w:val="00F21076"/>
    <w:rsid w:val="00F236D1"/>
    <w:rsid w:val="00F2453A"/>
    <w:rsid w:val="00F24D97"/>
    <w:rsid w:val="00F25D75"/>
    <w:rsid w:val="00F26861"/>
    <w:rsid w:val="00F26CA4"/>
    <w:rsid w:val="00F26FB3"/>
    <w:rsid w:val="00F30492"/>
    <w:rsid w:val="00F30D0E"/>
    <w:rsid w:val="00F31099"/>
    <w:rsid w:val="00F31CB9"/>
    <w:rsid w:val="00F3235C"/>
    <w:rsid w:val="00F32A95"/>
    <w:rsid w:val="00F33866"/>
    <w:rsid w:val="00F34419"/>
    <w:rsid w:val="00F3486B"/>
    <w:rsid w:val="00F34FB7"/>
    <w:rsid w:val="00F3577D"/>
    <w:rsid w:val="00F36360"/>
    <w:rsid w:val="00F378CE"/>
    <w:rsid w:val="00F40DDB"/>
    <w:rsid w:val="00F42327"/>
    <w:rsid w:val="00F42A2F"/>
    <w:rsid w:val="00F43739"/>
    <w:rsid w:val="00F44392"/>
    <w:rsid w:val="00F457E8"/>
    <w:rsid w:val="00F45DDB"/>
    <w:rsid w:val="00F46BF2"/>
    <w:rsid w:val="00F50E5D"/>
    <w:rsid w:val="00F51A71"/>
    <w:rsid w:val="00F5278E"/>
    <w:rsid w:val="00F52A38"/>
    <w:rsid w:val="00F52AA3"/>
    <w:rsid w:val="00F5309E"/>
    <w:rsid w:val="00F53C95"/>
    <w:rsid w:val="00F54D43"/>
    <w:rsid w:val="00F55E70"/>
    <w:rsid w:val="00F56146"/>
    <w:rsid w:val="00F56916"/>
    <w:rsid w:val="00F569BF"/>
    <w:rsid w:val="00F56C44"/>
    <w:rsid w:val="00F56EF3"/>
    <w:rsid w:val="00F6104B"/>
    <w:rsid w:val="00F6184D"/>
    <w:rsid w:val="00F628E3"/>
    <w:rsid w:val="00F62EA7"/>
    <w:rsid w:val="00F6365D"/>
    <w:rsid w:val="00F637F7"/>
    <w:rsid w:val="00F65034"/>
    <w:rsid w:val="00F652F0"/>
    <w:rsid w:val="00F654D6"/>
    <w:rsid w:val="00F6554B"/>
    <w:rsid w:val="00F6670E"/>
    <w:rsid w:val="00F66D94"/>
    <w:rsid w:val="00F70B2A"/>
    <w:rsid w:val="00F71328"/>
    <w:rsid w:val="00F71DA0"/>
    <w:rsid w:val="00F723B9"/>
    <w:rsid w:val="00F7297B"/>
    <w:rsid w:val="00F7357F"/>
    <w:rsid w:val="00F737DB"/>
    <w:rsid w:val="00F7438C"/>
    <w:rsid w:val="00F7480A"/>
    <w:rsid w:val="00F75EE6"/>
    <w:rsid w:val="00F76021"/>
    <w:rsid w:val="00F761EB"/>
    <w:rsid w:val="00F76D86"/>
    <w:rsid w:val="00F80148"/>
    <w:rsid w:val="00F80213"/>
    <w:rsid w:val="00F809D2"/>
    <w:rsid w:val="00F819ED"/>
    <w:rsid w:val="00F81A6A"/>
    <w:rsid w:val="00F823FF"/>
    <w:rsid w:val="00F82810"/>
    <w:rsid w:val="00F82ADA"/>
    <w:rsid w:val="00F83482"/>
    <w:rsid w:val="00F83B1A"/>
    <w:rsid w:val="00F8435F"/>
    <w:rsid w:val="00F8511E"/>
    <w:rsid w:val="00F853D3"/>
    <w:rsid w:val="00F85768"/>
    <w:rsid w:val="00F85F8D"/>
    <w:rsid w:val="00F862F9"/>
    <w:rsid w:val="00F866C0"/>
    <w:rsid w:val="00F86AA0"/>
    <w:rsid w:val="00F86F80"/>
    <w:rsid w:val="00F874F4"/>
    <w:rsid w:val="00F877A3"/>
    <w:rsid w:val="00F9081C"/>
    <w:rsid w:val="00F934AF"/>
    <w:rsid w:val="00F93789"/>
    <w:rsid w:val="00F93835"/>
    <w:rsid w:val="00F97596"/>
    <w:rsid w:val="00F97BE0"/>
    <w:rsid w:val="00FA03AA"/>
    <w:rsid w:val="00FA045E"/>
    <w:rsid w:val="00FA04A3"/>
    <w:rsid w:val="00FA101B"/>
    <w:rsid w:val="00FA18BA"/>
    <w:rsid w:val="00FA1C43"/>
    <w:rsid w:val="00FA2306"/>
    <w:rsid w:val="00FA5F2E"/>
    <w:rsid w:val="00FA6430"/>
    <w:rsid w:val="00FA6C7A"/>
    <w:rsid w:val="00FA6EB6"/>
    <w:rsid w:val="00FA7ABA"/>
    <w:rsid w:val="00FA7AC4"/>
    <w:rsid w:val="00FB04B0"/>
    <w:rsid w:val="00FB0553"/>
    <w:rsid w:val="00FB0646"/>
    <w:rsid w:val="00FB1ECE"/>
    <w:rsid w:val="00FB2A86"/>
    <w:rsid w:val="00FB2D06"/>
    <w:rsid w:val="00FB2FDA"/>
    <w:rsid w:val="00FB3209"/>
    <w:rsid w:val="00FB3E27"/>
    <w:rsid w:val="00FB3ECB"/>
    <w:rsid w:val="00FB3F77"/>
    <w:rsid w:val="00FB50B0"/>
    <w:rsid w:val="00FB5829"/>
    <w:rsid w:val="00FB6CA3"/>
    <w:rsid w:val="00FB77D2"/>
    <w:rsid w:val="00FC03C1"/>
    <w:rsid w:val="00FC0F7F"/>
    <w:rsid w:val="00FC114D"/>
    <w:rsid w:val="00FC1368"/>
    <w:rsid w:val="00FC1E79"/>
    <w:rsid w:val="00FC30F5"/>
    <w:rsid w:val="00FC35EA"/>
    <w:rsid w:val="00FC39FF"/>
    <w:rsid w:val="00FC44B7"/>
    <w:rsid w:val="00FC5132"/>
    <w:rsid w:val="00FC64BC"/>
    <w:rsid w:val="00FC7863"/>
    <w:rsid w:val="00FC7891"/>
    <w:rsid w:val="00FD1971"/>
    <w:rsid w:val="00FD1CDC"/>
    <w:rsid w:val="00FD3826"/>
    <w:rsid w:val="00FD3A68"/>
    <w:rsid w:val="00FD50C7"/>
    <w:rsid w:val="00FD5EE5"/>
    <w:rsid w:val="00FD7368"/>
    <w:rsid w:val="00FD7658"/>
    <w:rsid w:val="00FE0119"/>
    <w:rsid w:val="00FE2F3F"/>
    <w:rsid w:val="00FE3191"/>
    <w:rsid w:val="00FE4249"/>
    <w:rsid w:val="00FE5C16"/>
    <w:rsid w:val="00FE5DE5"/>
    <w:rsid w:val="00FE7586"/>
    <w:rsid w:val="00FE7E18"/>
    <w:rsid w:val="00FE7FFB"/>
    <w:rsid w:val="00FF0DFB"/>
    <w:rsid w:val="00FF19C3"/>
    <w:rsid w:val="00FF2DF8"/>
    <w:rsid w:val="00FF3341"/>
    <w:rsid w:val="00FF4BA2"/>
    <w:rsid w:val="00FF531C"/>
    <w:rsid w:val="00FF590F"/>
    <w:rsid w:val="00FF6E7E"/>
    <w:rsid w:val="00FF7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27C3E"/>
    <w:pPr>
      <w:spacing w:before="120" w:after="120"/>
      <w:jc w:val="both"/>
    </w:pPr>
    <w:rPr>
      <w:sz w:val="22"/>
      <w:lang w:val="sk-SK"/>
    </w:rPr>
  </w:style>
  <w:style w:type="paragraph" w:styleId="Nadpis1">
    <w:name w:val="heading 1"/>
    <w:aliases w:val="Čo robí (časť)"/>
    <w:basedOn w:val="Normlny"/>
    <w:next w:val="Normlny"/>
    <w:link w:val="Nadpis1Char"/>
    <w:uiPriority w:val="99"/>
    <w:qFormat/>
    <w:rsid w:val="009A517C"/>
    <w:pPr>
      <w:keepNext/>
      <w:keepLines/>
      <w:spacing w:after="0"/>
      <w:ind w:left="432" w:hanging="432"/>
      <w:outlineLvl w:val="0"/>
    </w:pPr>
    <w:rPr>
      <w:rFonts w:asciiTheme="majorHAnsi" w:eastAsiaTheme="majorEastAsia" w:hAnsiTheme="majorHAnsi"/>
      <w:b/>
      <w:bCs/>
      <w:color w:val="345A8A" w:themeColor="accent1" w:themeShade="B5"/>
      <w:sz w:val="32"/>
      <w:szCs w:val="32"/>
    </w:rPr>
  </w:style>
  <w:style w:type="paragraph" w:styleId="Nadpis2">
    <w:name w:val="heading 2"/>
    <w:aliases w:val="Úloha"/>
    <w:basedOn w:val="Normlny"/>
    <w:next w:val="Normlny"/>
    <w:link w:val="Nadpis2Char"/>
    <w:uiPriority w:val="99"/>
    <w:unhideWhenUsed/>
    <w:qFormat/>
    <w:rsid w:val="00EB4BBF"/>
    <w:pPr>
      <w:keepNext/>
      <w:keepLines/>
      <w:numPr>
        <w:ilvl w:val="1"/>
        <w:numId w:val="1"/>
      </w:numPr>
      <w:tabs>
        <w:tab w:val="clear" w:pos="360"/>
      </w:tabs>
      <w:spacing w:before="200" w:after="0"/>
      <w:ind w:left="576" w:hanging="576"/>
      <w:outlineLvl w:val="1"/>
    </w:pPr>
    <w:rPr>
      <w:rFonts w:asciiTheme="majorHAnsi" w:eastAsiaTheme="majorEastAsia" w:hAnsiTheme="majorHAnsi"/>
      <w:b/>
      <w:bCs/>
      <w:color w:val="4F81BD" w:themeColor="accent1"/>
      <w:sz w:val="26"/>
      <w:szCs w:val="26"/>
    </w:rPr>
  </w:style>
  <w:style w:type="paragraph" w:styleId="Nadpis3">
    <w:name w:val="heading 3"/>
    <w:aliases w:val="Podúloha"/>
    <w:basedOn w:val="Normlny"/>
    <w:next w:val="Normlny"/>
    <w:link w:val="Nadpis3Char"/>
    <w:uiPriority w:val="99"/>
    <w:unhideWhenUsed/>
    <w:qFormat/>
    <w:rsid w:val="00EB4BBF"/>
    <w:pPr>
      <w:keepNext/>
      <w:keepLines/>
      <w:numPr>
        <w:ilvl w:val="2"/>
        <w:numId w:val="1"/>
      </w:numPr>
      <w:spacing w:before="200" w:after="0"/>
      <w:outlineLvl w:val="2"/>
    </w:pPr>
    <w:rPr>
      <w:rFonts w:asciiTheme="majorHAnsi" w:eastAsiaTheme="majorEastAsia" w:hAnsiTheme="majorHAnsi"/>
      <w:b/>
      <w:bCs/>
      <w:color w:val="4F81BD" w:themeColor="accent1"/>
      <w:sz w:val="26"/>
    </w:rPr>
  </w:style>
  <w:style w:type="paragraph" w:styleId="Nadpis4">
    <w:name w:val="heading 4"/>
    <w:aliases w:val="Termín"/>
    <w:basedOn w:val="Normlny"/>
    <w:next w:val="Normlny"/>
    <w:link w:val="Nadpis4Char"/>
    <w:uiPriority w:val="99"/>
    <w:unhideWhenUsed/>
    <w:qFormat/>
    <w:rsid w:val="00EB4BBF"/>
    <w:pPr>
      <w:keepNext/>
      <w:keepLines/>
      <w:numPr>
        <w:ilvl w:val="3"/>
        <w:numId w:val="1"/>
      </w:numPr>
      <w:spacing w:before="200" w:after="0"/>
      <w:outlineLvl w:val="3"/>
    </w:pPr>
    <w:rPr>
      <w:rFonts w:asciiTheme="majorHAnsi" w:eastAsiaTheme="majorEastAsia" w:hAnsiTheme="majorHAnsi"/>
      <w:b/>
      <w:bCs/>
      <w:i/>
      <w:iCs/>
      <w:color w:val="4F81BD" w:themeColor="accent1"/>
      <w:sz w:val="24"/>
    </w:rPr>
  </w:style>
  <w:style w:type="paragraph" w:styleId="Nadpis5">
    <w:name w:val="heading 5"/>
    <w:basedOn w:val="Normlny"/>
    <w:next w:val="Normlny"/>
    <w:link w:val="Nadpis5Char"/>
    <w:uiPriority w:val="99"/>
    <w:unhideWhenUsed/>
    <w:qFormat/>
    <w:rsid w:val="00EB4BBF"/>
    <w:pPr>
      <w:keepNext/>
      <w:keepLines/>
      <w:numPr>
        <w:ilvl w:val="4"/>
        <w:numId w:val="1"/>
      </w:numPr>
      <w:spacing w:before="200" w:after="0"/>
      <w:outlineLvl w:val="4"/>
    </w:pPr>
    <w:rPr>
      <w:rFonts w:asciiTheme="majorHAnsi" w:eastAsiaTheme="majorEastAsia" w:hAnsiTheme="majorHAnsi"/>
      <w:color w:val="243F60" w:themeColor="accent1" w:themeShade="7F"/>
    </w:rPr>
  </w:style>
  <w:style w:type="paragraph" w:styleId="Nadpis6">
    <w:name w:val="heading 6"/>
    <w:basedOn w:val="Normlny"/>
    <w:next w:val="Normlny"/>
    <w:link w:val="Nadpis6Char"/>
    <w:uiPriority w:val="9"/>
    <w:unhideWhenUsed/>
    <w:qFormat/>
    <w:rsid w:val="00EB4BBF"/>
    <w:pPr>
      <w:keepNext/>
      <w:keepLines/>
      <w:numPr>
        <w:ilvl w:val="5"/>
        <w:numId w:val="1"/>
      </w:numPr>
      <w:tabs>
        <w:tab w:val="clear" w:pos="360"/>
      </w:tabs>
      <w:spacing w:before="200" w:after="0"/>
      <w:ind w:left="1152" w:hanging="1152"/>
      <w:outlineLvl w:val="5"/>
    </w:pPr>
    <w:rPr>
      <w:rFonts w:asciiTheme="majorHAnsi" w:eastAsiaTheme="majorEastAsia" w:hAnsiTheme="majorHAnsi"/>
      <w:i/>
      <w:iCs/>
      <w:color w:val="243F60" w:themeColor="accent1" w:themeShade="7F"/>
    </w:rPr>
  </w:style>
  <w:style w:type="paragraph" w:styleId="Nadpis7">
    <w:name w:val="heading 7"/>
    <w:basedOn w:val="Normlny"/>
    <w:next w:val="Normlny"/>
    <w:link w:val="Nadpis7Char"/>
    <w:uiPriority w:val="9"/>
    <w:unhideWhenUsed/>
    <w:qFormat/>
    <w:rsid w:val="00EB4BBF"/>
    <w:pPr>
      <w:keepNext/>
      <w:keepLines/>
      <w:numPr>
        <w:ilvl w:val="6"/>
        <w:numId w:val="1"/>
      </w:numPr>
      <w:tabs>
        <w:tab w:val="clear" w:pos="360"/>
      </w:tabs>
      <w:spacing w:before="200" w:after="0"/>
      <w:ind w:left="1296" w:hanging="1296"/>
      <w:outlineLvl w:val="6"/>
    </w:pPr>
    <w:rPr>
      <w:rFonts w:asciiTheme="majorHAnsi" w:eastAsiaTheme="majorEastAsia" w:hAnsiTheme="majorHAnsi"/>
      <w:i/>
      <w:iCs/>
      <w:color w:val="404040" w:themeColor="text1" w:themeTint="BF"/>
    </w:rPr>
  </w:style>
  <w:style w:type="paragraph" w:styleId="Nadpis8">
    <w:name w:val="heading 8"/>
    <w:basedOn w:val="Normlny"/>
    <w:next w:val="Normlny"/>
    <w:link w:val="Nadpis8Char"/>
    <w:uiPriority w:val="99"/>
    <w:unhideWhenUsed/>
    <w:qFormat/>
    <w:rsid w:val="00EB4BBF"/>
    <w:pPr>
      <w:keepNext/>
      <w:keepLines/>
      <w:numPr>
        <w:ilvl w:val="7"/>
        <w:numId w:val="1"/>
      </w:numPr>
      <w:tabs>
        <w:tab w:val="clear" w:pos="360"/>
      </w:tabs>
      <w:spacing w:before="200" w:after="0"/>
      <w:ind w:left="1440" w:hanging="1440"/>
      <w:outlineLvl w:val="7"/>
    </w:pPr>
    <w:rPr>
      <w:rFonts w:asciiTheme="majorHAnsi" w:eastAsiaTheme="majorEastAsia" w:hAnsiTheme="majorHAnsi"/>
      <w:color w:val="404040" w:themeColor="text1" w:themeTint="BF"/>
      <w:sz w:val="20"/>
      <w:szCs w:val="20"/>
    </w:rPr>
  </w:style>
  <w:style w:type="paragraph" w:styleId="Nadpis9">
    <w:name w:val="heading 9"/>
    <w:basedOn w:val="Normlny"/>
    <w:next w:val="Normlny"/>
    <w:link w:val="Nadpis9Char"/>
    <w:uiPriority w:val="9"/>
    <w:unhideWhenUsed/>
    <w:qFormat/>
    <w:rsid w:val="00EB4BBF"/>
    <w:pPr>
      <w:keepNext/>
      <w:keepLines/>
      <w:numPr>
        <w:ilvl w:val="8"/>
        <w:numId w:val="1"/>
      </w:numPr>
      <w:tabs>
        <w:tab w:val="clear" w:pos="360"/>
      </w:tabs>
      <w:spacing w:before="200" w:after="0"/>
      <w:ind w:left="1584" w:hanging="1584"/>
      <w:outlineLvl w:val="8"/>
    </w:pPr>
    <w:rPr>
      <w:rFonts w:asciiTheme="majorHAnsi" w:eastAsiaTheme="majorEastAsia" w:hAnsiTheme="majorHAns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uiPriority w:val="99"/>
    <w:locked/>
    <w:rsid w:val="009A517C"/>
    <w:rPr>
      <w:rFonts w:asciiTheme="majorHAnsi" w:eastAsiaTheme="majorEastAsia" w:hAnsiTheme="majorHAnsi"/>
      <w:b/>
      <w:bCs/>
      <w:color w:val="345A8A" w:themeColor="accent1" w:themeShade="B5"/>
      <w:sz w:val="32"/>
      <w:szCs w:val="32"/>
      <w:lang w:val="sk-SK"/>
    </w:rPr>
  </w:style>
  <w:style w:type="character" w:customStyle="1" w:styleId="Nadpis2Char">
    <w:name w:val="Nadpis 2 Char"/>
    <w:aliases w:val="Úloha Char"/>
    <w:basedOn w:val="Predvolenpsmoodseku"/>
    <w:link w:val="Nadpis2"/>
    <w:uiPriority w:val="99"/>
    <w:locked/>
    <w:rsid w:val="00EB4BBF"/>
    <w:rPr>
      <w:rFonts w:asciiTheme="majorHAnsi" w:eastAsiaTheme="majorEastAsia" w:hAnsiTheme="majorHAnsi"/>
      <w:b/>
      <w:bCs/>
      <w:color w:val="4F81BD" w:themeColor="accent1"/>
      <w:sz w:val="26"/>
      <w:szCs w:val="26"/>
      <w:lang w:val="sk-SK"/>
    </w:rPr>
  </w:style>
  <w:style w:type="character" w:customStyle="1" w:styleId="Nadpis3Char">
    <w:name w:val="Nadpis 3 Char"/>
    <w:aliases w:val="Podúloha Char"/>
    <w:basedOn w:val="Predvolenpsmoodseku"/>
    <w:link w:val="Nadpis3"/>
    <w:uiPriority w:val="99"/>
    <w:locked/>
    <w:rsid w:val="00EB4BBF"/>
    <w:rPr>
      <w:rFonts w:asciiTheme="majorHAnsi" w:eastAsiaTheme="majorEastAsia" w:hAnsiTheme="majorHAnsi"/>
      <w:b/>
      <w:bCs/>
      <w:color w:val="4F81BD" w:themeColor="accent1"/>
      <w:sz w:val="26"/>
      <w:lang w:val="sk-SK"/>
    </w:rPr>
  </w:style>
  <w:style w:type="character" w:customStyle="1" w:styleId="Nadpis4Char">
    <w:name w:val="Nadpis 4 Char"/>
    <w:aliases w:val="Termín Char"/>
    <w:basedOn w:val="Predvolenpsmoodseku"/>
    <w:link w:val="Nadpis4"/>
    <w:uiPriority w:val="99"/>
    <w:locked/>
    <w:rsid w:val="00EB4BBF"/>
    <w:rPr>
      <w:rFonts w:asciiTheme="majorHAnsi" w:eastAsiaTheme="majorEastAsia" w:hAnsiTheme="majorHAnsi"/>
      <w:b/>
      <w:bCs/>
      <w:i/>
      <w:iCs/>
      <w:color w:val="4F81BD" w:themeColor="accent1"/>
      <w:lang w:val="sk-SK"/>
    </w:rPr>
  </w:style>
  <w:style w:type="character" w:customStyle="1" w:styleId="Nadpis5Char">
    <w:name w:val="Nadpis 5 Char"/>
    <w:basedOn w:val="Predvolenpsmoodseku"/>
    <w:link w:val="Nadpis5"/>
    <w:uiPriority w:val="99"/>
    <w:locked/>
    <w:rsid w:val="00EB4BBF"/>
    <w:rPr>
      <w:rFonts w:asciiTheme="majorHAnsi" w:eastAsiaTheme="majorEastAsia" w:hAnsiTheme="majorHAnsi"/>
      <w:color w:val="243F60" w:themeColor="accent1" w:themeShade="7F"/>
      <w:sz w:val="22"/>
      <w:lang w:val="sk-SK"/>
    </w:rPr>
  </w:style>
  <w:style w:type="character" w:customStyle="1" w:styleId="Nadpis6Char">
    <w:name w:val="Nadpis 6 Char"/>
    <w:basedOn w:val="Predvolenpsmoodseku"/>
    <w:link w:val="Nadpis6"/>
    <w:uiPriority w:val="9"/>
    <w:locked/>
    <w:rsid w:val="00EB4BBF"/>
    <w:rPr>
      <w:rFonts w:asciiTheme="majorHAnsi" w:eastAsiaTheme="majorEastAsia" w:hAnsiTheme="majorHAnsi"/>
      <w:i/>
      <w:iCs/>
      <w:color w:val="243F60" w:themeColor="accent1" w:themeShade="7F"/>
      <w:sz w:val="22"/>
      <w:lang w:val="sk-SK"/>
    </w:rPr>
  </w:style>
  <w:style w:type="character" w:customStyle="1" w:styleId="Nadpis7Char">
    <w:name w:val="Nadpis 7 Char"/>
    <w:basedOn w:val="Predvolenpsmoodseku"/>
    <w:link w:val="Nadpis7"/>
    <w:uiPriority w:val="9"/>
    <w:locked/>
    <w:rsid w:val="00EB4BBF"/>
    <w:rPr>
      <w:rFonts w:asciiTheme="majorHAnsi" w:eastAsiaTheme="majorEastAsia" w:hAnsiTheme="majorHAnsi"/>
      <w:i/>
      <w:iCs/>
      <w:color w:val="404040" w:themeColor="text1" w:themeTint="BF"/>
      <w:sz w:val="22"/>
      <w:lang w:val="sk-SK"/>
    </w:rPr>
  </w:style>
  <w:style w:type="character" w:customStyle="1" w:styleId="Nadpis8Char">
    <w:name w:val="Nadpis 8 Char"/>
    <w:basedOn w:val="Predvolenpsmoodseku"/>
    <w:link w:val="Nadpis8"/>
    <w:uiPriority w:val="99"/>
    <w:locked/>
    <w:rsid w:val="00EB4BBF"/>
    <w:rPr>
      <w:rFonts w:asciiTheme="majorHAnsi" w:eastAsiaTheme="majorEastAsia" w:hAnsiTheme="majorHAnsi"/>
      <w:color w:val="404040" w:themeColor="text1" w:themeTint="BF"/>
      <w:sz w:val="20"/>
      <w:szCs w:val="20"/>
      <w:lang w:val="sk-SK"/>
    </w:rPr>
  </w:style>
  <w:style w:type="character" w:customStyle="1" w:styleId="Nadpis9Char">
    <w:name w:val="Nadpis 9 Char"/>
    <w:basedOn w:val="Predvolenpsmoodseku"/>
    <w:link w:val="Nadpis9"/>
    <w:uiPriority w:val="9"/>
    <w:locked/>
    <w:rsid w:val="00EB4BBF"/>
    <w:rPr>
      <w:rFonts w:asciiTheme="majorHAnsi" w:eastAsiaTheme="majorEastAsia" w:hAnsiTheme="majorHAnsi"/>
      <w:i/>
      <w:iCs/>
      <w:color w:val="404040" w:themeColor="text1" w:themeTint="BF"/>
      <w:sz w:val="20"/>
      <w:szCs w:val="20"/>
      <w:lang w:val="sk-SK"/>
    </w:rPr>
  </w:style>
  <w:style w:type="paragraph" w:styleId="Popis">
    <w:name w:val="caption"/>
    <w:basedOn w:val="Normlny"/>
    <w:next w:val="Normlny"/>
    <w:uiPriority w:val="35"/>
    <w:unhideWhenUsed/>
    <w:qFormat/>
    <w:rsid w:val="00EF5D2B"/>
    <w:pPr>
      <w:spacing w:before="0" w:after="200"/>
    </w:pPr>
    <w:rPr>
      <w:b/>
      <w:bCs/>
      <w:sz w:val="16"/>
      <w:szCs w:val="16"/>
    </w:rPr>
  </w:style>
  <w:style w:type="paragraph" w:styleId="Odsekzoznamu">
    <w:name w:val="List Paragraph"/>
    <w:aliases w:val="body,Odsek zoznamu2"/>
    <w:basedOn w:val="Normlny"/>
    <w:link w:val="OdsekzoznamuChar"/>
    <w:uiPriority w:val="34"/>
    <w:qFormat/>
    <w:rsid w:val="000D36F9"/>
    <w:pPr>
      <w:ind w:left="720"/>
      <w:contextualSpacing/>
    </w:pPr>
  </w:style>
  <w:style w:type="paragraph" w:styleId="Textpoznmkypodiarou">
    <w:name w:val="footnote text"/>
    <w:aliases w:val="Stinking Styles2,Tekst przypisu- dokt,Char Char Char,Char,Char Char Char Char Char Char Char Char Char,Char Char Char Char Char Char Char Char Char Char Char,Char Char Ch,Text poznámky pod čiarou 007,_Poznámka pod čiarou,o,Car"/>
    <w:basedOn w:val="Normlny"/>
    <w:link w:val="TextpoznmkypodiarouChar"/>
    <w:uiPriority w:val="99"/>
    <w:unhideWhenUsed/>
    <w:rsid w:val="001318ED"/>
    <w:pPr>
      <w:keepNext/>
      <w:spacing w:before="0" w:after="0"/>
    </w:pPr>
    <w:rPr>
      <w:rFonts w:asciiTheme="majorHAnsi" w:hAnsiTheme="majorHAnsi"/>
      <w:sz w:val="16"/>
    </w:rPr>
  </w:style>
  <w:style w:type="character" w:customStyle="1" w:styleId="TextpoznmkypodiarouChar">
    <w:name w:val="Text poznámky pod čiarou Char"/>
    <w:aliases w:val="Stinking Styles2 Char,Tekst przypisu- dokt Char,Char Char Char Char,Char Char,Char Char Char Char Char Char Char Char Char Char,Char Char Char Char Char Char Char Char Char Char Char Char,Char Char Ch Char,o Char,Car Char"/>
    <w:basedOn w:val="Predvolenpsmoodseku"/>
    <w:link w:val="Textpoznmkypodiarou"/>
    <w:uiPriority w:val="99"/>
    <w:locked/>
    <w:rsid w:val="001318ED"/>
    <w:rPr>
      <w:rFonts w:asciiTheme="majorHAnsi" w:hAnsiTheme="majorHAnsi" w:cs="Times New Roman"/>
      <w:sz w:val="16"/>
      <w:lang w:val="sk-SK" w:eastAsia="x-none"/>
    </w:rPr>
  </w:style>
  <w:style w:type="character" w:styleId="Odkaznapoznmkupodiarou">
    <w:name w:val="footnote reference"/>
    <w:aliases w:val="Stinking Styles1,Footnote symbol,Footnote reference number,Times 10 Point,Exposant 3 Point,Ref,de nota al pie,note TESI,SUPERS,EN Footnote text,EN Footnote Refe,FRef ISO,PGI Fußnote Ziffer,Footnote,Footnotes refss,ftref"/>
    <w:basedOn w:val="Predvolenpsmoodseku"/>
    <w:uiPriority w:val="99"/>
    <w:unhideWhenUsed/>
    <w:rsid w:val="007079C3"/>
    <w:rPr>
      <w:rFonts w:cs="Times New Roman"/>
      <w:vertAlign w:val="superscript"/>
    </w:rPr>
  </w:style>
  <w:style w:type="character" w:customStyle="1" w:styleId="OdsekzoznamuChar">
    <w:name w:val="Odsek zoznamu Char"/>
    <w:aliases w:val="body Char,Odsek zoznamu2 Char"/>
    <w:basedOn w:val="Predvolenpsmoodseku"/>
    <w:link w:val="Odsekzoznamu"/>
    <w:locked/>
    <w:rsid w:val="0095292B"/>
    <w:rPr>
      <w:rFonts w:cs="Times New Roman"/>
      <w:sz w:val="22"/>
      <w:lang w:val="sk-SK" w:eastAsia="x-none"/>
    </w:rPr>
  </w:style>
  <w:style w:type="paragraph" w:styleId="truktradokumentu">
    <w:name w:val="Document Map"/>
    <w:basedOn w:val="Normlny"/>
    <w:link w:val="truktradokumentuChar"/>
    <w:uiPriority w:val="99"/>
    <w:semiHidden/>
    <w:unhideWhenUsed/>
    <w:rsid w:val="00D05829"/>
    <w:pPr>
      <w:spacing w:before="0" w:after="0"/>
    </w:pPr>
    <w:rPr>
      <w:rFonts w:ascii="Lucida Grande" w:hAnsi="Lucida Grande" w:cs="Lucida Grande"/>
      <w:sz w:val="24"/>
    </w:rPr>
  </w:style>
  <w:style w:type="character" w:customStyle="1" w:styleId="truktradokumentuChar">
    <w:name w:val="Štruktúra dokumentu Char"/>
    <w:basedOn w:val="Predvolenpsmoodseku"/>
    <w:link w:val="truktradokumentu"/>
    <w:uiPriority w:val="99"/>
    <w:semiHidden/>
    <w:locked/>
    <w:rsid w:val="00D05829"/>
    <w:rPr>
      <w:rFonts w:ascii="Lucida Grande" w:hAnsi="Lucida Grande" w:cs="Lucida Grande"/>
      <w:lang w:val="sk-SK" w:eastAsia="x-none"/>
    </w:rPr>
  </w:style>
  <w:style w:type="character" w:styleId="Hypertextovprepojenie">
    <w:name w:val="Hyperlink"/>
    <w:basedOn w:val="Predvolenpsmoodseku"/>
    <w:uiPriority w:val="99"/>
    <w:unhideWhenUsed/>
    <w:rsid w:val="00A351EB"/>
    <w:rPr>
      <w:rFonts w:cs="Times New Roman"/>
      <w:color w:val="0000FF"/>
      <w:u w:val="single"/>
    </w:rPr>
  </w:style>
  <w:style w:type="character" w:customStyle="1" w:styleId="FontStyle51">
    <w:name w:val="Font Style51"/>
    <w:uiPriority w:val="99"/>
    <w:rsid w:val="00A351EB"/>
    <w:rPr>
      <w:rFonts w:ascii="Times New Roman" w:hAnsi="Times New Roman"/>
      <w:sz w:val="22"/>
    </w:rPr>
  </w:style>
  <w:style w:type="character" w:styleId="Odkaznakomentr">
    <w:name w:val="annotation reference"/>
    <w:basedOn w:val="Predvolenpsmoodseku"/>
    <w:uiPriority w:val="99"/>
    <w:unhideWhenUsed/>
    <w:rsid w:val="00490F46"/>
    <w:rPr>
      <w:rFonts w:cs="Times New Roman"/>
      <w:sz w:val="16"/>
    </w:rPr>
  </w:style>
  <w:style w:type="paragraph" w:styleId="Textkomentra">
    <w:name w:val="annotation text"/>
    <w:basedOn w:val="Normlny"/>
    <w:link w:val="TextkomentraChar"/>
    <w:uiPriority w:val="99"/>
    <w:unhideWhenUsed/>
    <w:rsid w:val="00490F46"/>
    <w:pPr>
      <w:spacing w:before="0" w:after="200"/>
      <w:jc w:val="left"/>
    </w:pPr>
    <w:rPr>
      <w:rFonts w:ascii="Calibri" w:eastAsia="MS Mincho" w:hAnsi="Calibri"/>
      <w:sz w:val="20"/>
      <w:szCs w:val="20"/>
      <w:lang w:eastAsia="sk-SK"/>
    </w:rPr>
  </w:style>
  <w:style w:type="character" w:customStyle="1" w:styleId="TextkomentraChar">
    <w:name w:val="Text komentára Char"/>
    <w:basedOn w:val="Predvolenpsmoodseku"/>
    <w:link w:val="Textkomentra"/>
    <w:uiPriority w:val="99"/>
    <w:locked/>
    <w:rsid w:val="00490F46"/>
    <w:rPr>
      <w:rFonts w:ascii="Calibri" w:eastAsia="MS Mincho" w:hAnsi="Calibri" w:cs="Times New Roman"/>
      <w:sz w:val="20"/>
      <w:szCs w:val="20"/>
      <w:lang w:val="sk-SK" w:eastAsia="sk-SK"/>
    </w:rPr>
  </w:style>
  <w:style w:type="paragraph" w:styleId="Obyajntext">
    <w:name w:val="Plain Text"/>
    <w:basedOn w:val="Normlny"/>
    <w:link w:val="ObyajntextChar"/>
    <w:uiPriority w:val="99"/>
    <w:unhideWhenUsed/>
    <w:rsid w:val="00490F46"/>
    <w:pPr>
      <w:spacing w:before="0" w:after="0"/>
      <w:jc w:val="left"/>
    </w:pPr>
    <w:rPr>
      <w:rFonts w:ascii="Calibri" w:hAnsi="Calibri"/>
      <w:szCs w:val="21"/>
    </w:rPr>
  </w:style>
  <w:style w:type="character" w:customStyle="1" w:styleId="ObyajntextChar">
    <w:name w:val="Obyčajný text Char"/>
    <w:basedOn w:val="Predvolenpsmoodseku"/>
    <w:link w:val="Obyajntext"/>
    <w:uiPriority w:val="99"/>
    <w:locked/>
    <w:rsid w:val="00490F46"/>
    <w:rPr>
      <w:rFonts w:ascii="Calibri" w:hAnsi="Calibri" w:cs="Times New Roman"/>
      <w:sz w:val="21"/>
      <w:szCs w:val="21"/>
      <w:lang w:val="sk-SK" w:eastAsia="x-none"/>
    </w:rPr>
  </w:style>
  <w:style w:type="paragraph" w:styleId="Textbubliny">
    <w:name w:val="Balloon Text"/>
    <w:basedOn w:val="Normlny"/>
    <w:link w:val="TextbublinyChar"/>
    <w:uiPriority w:val="99"/>
    <w:unhideWhenUsed/>
    <w:rsid w:val="00490F46"/>
    <w:pPr>
      <w:spacing w:before="0" w:after="0"/>
    </w:pPr>
    <w:rPr>
      <w:rFonts w:ascii="Lucida Grande" w:hAnsi="Lucida Grande" w:cs="Lucida Grande"/>
      <w:sz w:val="18"/>
      <w:szCs w:val="18"/>
    </w:rPr>
  </w:style>
  <w:style w:type="character" w:customStyle="1" w:styleId="TextbublinyChar">
    <w:name w:val="Text bubliny Char"/>
    <w:basedOn w:val="Predvolenpsmoodseku"/>
    <w:link w:val="Textbubliny"/>
    <w:uiPriority w:val="99"/>
    <w:locked/>
    <w:rsid w:val="00490F46"/>
    <w:rPr>
      <w:rFonts w:ascii="Lucida Grande" w:hAnsi="Lucida Grande" w:cs="Lucida Grande"/>
      <w:sz w:val="18"/>
      <w:szCs w:val="18"/>
      <w:lang w:val="sk-SK" w:eastAsia="x-none"/>
    </w:rPr>
  </w:style>
  <w:style w:type="paragraph" w:styleId="Pta">
    <w:name w:val="footer"/>
    <w:basedOn w:val="Normlny"/>
    <w:link w:val="PtaChar"/>
    <w:uiPriority w:val="99"/>
    <w:unhideWhenUsed/>
    <w:rsid w:val="004A29FC"/>
    <w:pPr>
      <w:tabs>
        <w:tab w:val="center" w:pos="4153"/>
        <w:tab w:val="right" w:pos="8306"/>
      </w:tabs>
      <w:spacing w:before="0" w:after="0"/>
    </w:pPr>
  </w:style>
  <w:style w:type="character" w:customStyle="1" w:styleId="PtaChar">
    <w:name w:val="Päta Char"/>
    <w:basedOn w:val="Predvolenpsmoodseku"/>
    <w:link w:val="Pta"/>
    <w:uiPriority w:val="99"/>
    <w:locked/>
    <w:rsid w:val="004A29FC"/>
    <w:rPr>
      <w:rFonts w:cs="Times New Roman"/>
      <w:sz w:val="22"/>
      <w:lang w:val="sk-SK" w:eastAsia="x-none"/>
    </w:rPr>
  </w:style>
  <w:style w:type="character" w:styleId="slostrany">
    <w:name w:val="page number"/>
    <w:basedOn w:val="Predvolenpsmoodseku"/>
    <w:uiPriority w:val="99"/>
    <w:semiHidden/>
    <w:unhideWhenUsed/>
    <w:rsid w:val="004A29FC"/>
    <w:rPr>
      <w:rFonts w:cs="Times New Roman"/>
    </w:rPr>
  </w:style>
  <w:style w:type="paragraph" w:styleId="Obsah1">
    <w:name w:val="toc 1"/>
    <w:basedOn w:val="Normlny"/>
    <w:next w:val="Normlny"/>
    <w:autoRedefine/>
    <w:uiPriority w:val="39"/>
    <w:unhideWhenUsed/>
    <w:qFormat/>
    <w:rsid w:val="004F266C"/>
    <w:pPr>
      <w:tabs>
        <w:tab w:val="left" w:pos="567"/>
        <w:tab w:val="right" w:leader="dot" w:pos="9356"/>
      </w:tabs>
      <w:spacing w:after="0"/>
      <w:ind w:left="435" w:hanging="435"/>
      <w:jc w:val="left"/>
    </w:pPr>
    <w:rPr>
      <w:rFonts w:asciiTheme="majorHAnsi" w:hAnsiTheme="majorHAnsi"/>
      <w:b/>
      <w:noProof/>
      <w:color w:val="1F497D" w:themeColor="text2"/>
      <w:szCs w:val="22"/>
    </w:rPr>
  </w:style>
  <w:style w:type="paragraph" w:styleId="Obsah2">
    <w:name w:val="toc 2"/>
    <w:basedOn w:val="Normlny"/>
    <w:next w:val="Normlny"/>
    <w:autoRedefine/>
    <w:uiPriority w:val="39"/>
    <w:unhideWhenUsed/>
    <w:qFormat/>
    <w:rsid w:val="004F266C"/>
    <w:pPr>
      <w:tabs>
        <w:tab w:val="left" w:pos="567"/>
        <w:tab w:val="right" w:leader="dot" w:pos="9356"/>
      </w:tabs>
      <w:spacing w:before="0" w:after="0"/>
      <w:ind w:left="567" w:hanging="567"/>
      <w:jc w:val="left"/>
    </w:pPr>
    <w:rPr>
      <w:rFonts w:asciiTheme="majorHAnsi" w:hAnsiTheme="majorHAnsi"/>
      <w:noProof/>
      <w:szCs w:val="22"/>
    </w:rPr>
  </w:style>
  <w:style w:type="paragraph" w:styleId="Obsah3">
    <w:name w:val="toc 3"/>
    <w:basedOn w:val="Normlny"/>
    <w:next w:val="Normlny"/>
    <w:autoRedefine/>
    <w:uiPriority w:val="39"/>
    <w:unhideWhenUsed/>
    <w:qFormat/>
    <w:rsid w:val="00913474"/>
    <w:pPr>
      <w:spacing w:before="0" w:after="0"/>
      <w:ind w:left="440"/>
      <w:jc w:val="left"/>
    </w:pPr>
    <w:rPr>
      <w:szCs w:val="22"/>
    </w:rPr>
  </w:style>
  <w:style w:type="paragraph" w:styleId="Obsah4">
    <w:name w:val="toc 4"/>
    <w:basedOn w:val="Normlny"/>
    <w:next w:val="Normlny"/>
    <w:autoRedefine/>
    <w:uiPriority w:val="39"/>
    <w:unhideWhenUsed/>
    <w:rsid w:val="00913474"/>
    <w:pPr>
      <w:spacing w:before="0" w:after="0"/>
      <w:ind w:left="660"/>
      <w:jc w:val="left"/>
    </w:pPr>
    <w:rPr>
      <w:sz w:val="20"/>
      <w:szCs w:val="20"/>
    </w:rPr>
  </w:style>
  <w:style w:type="paragraph" w:styleId="Obsah5">
    <w:name w:val="toc 5"/>
    <w:basedOn w:val="Normlny"/>
    <w:next w:val="Normlny"/>
    <w:autoRedefine/>
    <w:uiPriority w:val="39"/>
    <w:unhideWhenUsed/>
    <w:rsid w:val="00913474"/>
    <w:pPr>
      <w:spacing w:before="0" w:after="0"/>
      <w:ind w:left="880"/>
      <w:jc w:val="left"/>
    </w:pPr>
    <w:rPr>
      <w:sz w:val="20"/>
      <w:szCs w:val="20"/>
    </w:rPr>
  </w:style>
  <w:style w:type="paragraph" w:styleId="Obsah6">
    <w:name w:val="toc 6"/>
    <w:basedOn w:val="Normlny"/>
    <w:next w:val="Normlny"/>
    <w:autoRedefine/>
    <w:uiPriority w:val="39"/>
    <w:unhideWhenUsed/>
    <w:rsid w:val="00913474"/>
    <w:pPr>
      <w:spacing w:before="0" w:after="0"/>
      <w:ind w:left="1100"/>
      <w:jc w:val="left"/>
    </w:pPr>
    <w:rPr>
      <w:sz w:val="20"/>
      <w:szCs w:val="20"/>
    </w:rPr>
  </w:style>
  <w:style w:type="paragraph" w:styleId="Obsah7">
    <w:name w:val="toc 7"/>
    <w:basedOn w:val="Normlny"/>
    <w:next w:val="Normlny"/>
    <w:autoRedefine/>
    <w:uiPriority w:val="39"/>
    <w:unhideWhenUsed/>
    <w:rsid w:val="00913474"/>
    <w:pPr>
      <w:spacing w:before="0" w:after="0"/>
      <w:ind w:left="1320"/>
      <w:jc w:val="left"/>
    </w:pPr>
    <w:rPr>
      <w:sz w:val="20"/>
      <w:szCs w:val="20"/>
    </w:rPr>
  </w:style>
  <w:style w:type="paragraph" w:styleId="Obsah8">
    <w:name w:val="toc 8"/>
    <w:basedOn w:val="Normlny"/>
    <w:next w:val="Normlny"/>
    <w:autoRedefine/>
    <w:uiPriority w:val="39"/>
    <w:unhideWhenUsed/>
    <w:rsid w:val="00913474"/>
    <w:pPr>
      <w:spacing w:before="0" w:after="0"/>
      <w:ind w:left="1540"/>
      <w:jc w:val="left"/>
    </w:pPr>
    <w:rPr>
      <w:sz w:val="20"/>
      <w:szCs w:val="20"/>
    </w:rPr>
  </w:style>
  <w:style w:type="paragraph" w:styleId="Obsah9">
    <w:name w:val="toc 9"/>
    <w:basedOn w:val="Normlny"/>
    <w:next w:val="Normlny"/>
    <w:autoRedefine/>
    <w:uiPriority w:val="39"/>
    <w:unhideWhenUsed/>
    <w:rsid w:val="00913474"/>
    <w:pPr>
      <w:spacing w:before="0" w:after="0"/>
      <w:ind w:left="1760"/>
      <w:jc w:val="left"/>
    </w:pPr>
    <w:rPr>
      <w:sz w:val="20"/>
      <w:szCs w:val="20"/>
    </w:rPr>
  </w:style>
  <w:style w:type="paragraph" w:styleId="Predmetkomentra">
    <w:name w:val="annotation subject"/>
    <w:basedOn w:val="Textkomentra"/>
    <w:next w:val="Textkomentra"/>
    <w:link w:val="PredmetkomentraChar"/>
    <w:uiPriority w:val="99"/>
    <w:unhideWhenUsed/>
    <w:rsid w:val="004B022F"/>
    <w:pPr>
      <w:spacing w:before="120" w:after="120"/>
      <w:jc w:val="both"/>
    </w:pPr>
    <w:rPr>
      <w:rFonts w:asciiTheme="minorHAnsi" w:eastAsiaTheme="minorEastAsia" w:hAnsiTheme="minorHAnsi"/>
      <w:b/>
      <w:bCs/>
      <w:lang w:eastAsia="en-US"/>
    </w:rPr>
  </w:style>
  <w:style w:type="character" w:customStyle="1" w:styleId="PredmetkomentraChar">
    <w:name w:val="Predmet komentára Char"/>
    <w:basedOn w:val="TextkomentraChar"/>
    <w:link w:val="Predmetkomentra"/>
    <w:uiPriority w:val="99"/>
    <w:locked/>
    <w:rsid w:val="004B022F"/>
    <w:rPr>
      <w:rFonts w:ascii="Calibri" w:eastAsia="MS Mincho" w:hAnsi="Calibri" w:cs="Times New Roman"/>
      <w:b/>
      <w:bCs/>
      <w:sz w:val="20"/>
      <w:szCs w:val="20"/>
      <w:lang w:val="sk-SK" w:eastAsia="sk-SK"/>
    </w:rPr>
  </w:style>
  <w:style w:type="paragraph" w:customStyle="1" w:styleId="Style13">
    <w:name w:val="Style13"/>
    <w:basedOn w:val="Normlny"/>
    <w:uiPriority w:val="99"/>
    <w:rsid w:val="00EC7F17"/>
    <w:pPr>
      <w:widowControl w:val="0"/>
      <w:autoSpaceDE w:val="0"/>
      <w:autoSpaceDN w:val="0"/>
      <w:adjustRightInd w:val="0"/>
      <w:spacing w:before="0" w:after="0" w:line="278" w:lineRule="exact"/>
      <w:ind w:hanging="322"/>
    </w:pPr>
    <w:rPr>
      <w:rFonts w:ascii="Times New Roman" w:hAnsi="Times New Roman"/>
      <w:sz w:val="24"/>
      <w:lang w:eastAsia="sk-SK"/>
    </w:rPr>
  </w:style>
  <w:style w:type="character" w:styleId="Intenzvnyodkaz">
    <w:name w:val="Intense Reference"/>
    <w:basedOn w:val="Predvolenpsmoodseku"/>
    <w:uiPriority w:val="32"/>
    <w:qFormat/>
    <w:rsid w:val="00C1641E"/>
    <w:rPr>
      <w:rFonts w:cs="Times New Roman"/>
      <w:b/>
      <w:bCs/>
      <w:color w:val="76923C" w:themeColor="accent3" w:themeShade="BF"/>
      <w:u w:val="single" w:color="9BBB59" w:themeColor="accent3"/>
    </w:rPr>
  </w:style>
  <w:style w:type="paragraph" w:customStyle="1" w:styleId="tlText2VlastnfarbaRGB31">
    <w:name w:val="Štýl Text 2 + Vlastná farba (RGB(31"/>
    <w:aliases w:val="73,125)) Rámček: (Jednoduché..."/>
    <w:basedOn w:val="Normlny"/>
    <w:uiPriority w:val="99"/>
    <w:rsid w:val="00013BE1"/>
    <w:pPr>
      <w:spacing w:before="0" w:after="0" w:line="288" w:lineRule="auto"/>
    </w:pPr>
    <w:rPr>
      <w:rFonts w:ascii="Calibri" w:hAnsi="Calibri"/>
      <w:color w:val="1F497D"/>
      <w:szCs w:val="20"/>
      <w:lang w:val="en-GB"/>
    </w:rPr>
  </w:style>
  <w:style w:type="paragraph" w:styleId="Hlavika">
    <w:name w:val="header"/>
    <w:basedOn w:val="Normlny"/>
    <w:link w:val="HlavikaChar"/>
    <w:uiPriority w:val="99"/>
    <w:unhideWhenUsed/>
    <w:rsid w:val="00406C25"/>
    <w:pPr>
      <w:tabs>
        <w:tab w:val="center" w:pos="4536"/>
        <w:tab w:val="right" w:pos="9072"/>
      </w:tabs>
      <w:spacing w:before="0" w:after="0"/>
    </w:pPr>
  </w:style>
  <w:style w:type="character" w:customStyle="1" w:styleId="HlavikaChar">
    <w:name w:val="Hlavička Char"/>
    <w:basedOn w:val="Predvolenpsmoodseku"/>
    <w:link w:val="Hlavika"/>
    <w:uiPriority w:val="99"/>
    <w:locked/>
    <w:rsid w:val="00406C25"/>
    <w:rPr>
      <w:rFonts w:cs="Times New Roman"/>
      <w:sz w:val="22"/>
      <w:lang w:val="sk-SK" w:eastAsia="x-none"/>
    </w:rPr>
  </w:style>
  <w:style w:type="paragraph" w:styleId="Revzia">
    <w:name w:val="Revision"/>
    <w:hidden/>
    <w:uiPriority w:val="99"/>
    <w:rsid w:val="00106EEF"/>
    <w:rPr>
      <w:sz w:val="22"/>
      <w:lang w:val="sk-SK"/>
    </w:rPr>
  </w:style>
  <w:style w:type="paragraph" w:customStyle="1" w:styleId="Default">
    <w:name w:val="Default"/>
    <w:rsid w:val="00172537"/>
    <w:pPr>
      <w:autoSpaceDE w:val="0"/>
      <w:autoSpaceDN w:val="0"/>
      <w:adjustRightInd w:val="0"/>
    </w:pPr>
    <w:rPr>
      <w:rFonts w:ascii="Times New Roman" w:hAnsi="Times New Roman"/>
      <w:color w:val="000000"/>
      <w:lang w:val="sk-SK"/>
    </w:rPr>
  </w:style>
  <w:style w:type="paragraph" w:customStyle="1" w:styleId="MP3">
    <w:name w:val="MP3"/>
    <w:basedOn w:val="Normlny"/>
    <w:autoRedefine/>
    <w:qFormat/>
    <w:rsid w:val="00894D52"/>
    <w:pPr>
      <w:numPr>
        <w:ilvl w:val="2"/>
        <w:numId w:val="7"/>
      </w:numPr>
      <w:spacing w:before="240"/>
      <w:jc w:val="left"/>
    </w:pPr>
    <w:rPr>
      <w:rFonts w:ascii="Times New Roman" w:hAnsi="Times New Roman"/>
      <w:b/>
      <w:bCs/>
      <w:i/>
      <w:iCs/>
      <w:szCs w:val="20"/>
      <w:lang w:eastAsia="cs-CZ"/>
    </w:rPr>
  </w:style>
  <w:style w:type="paragraph" w:customStyle="1" w:styleId="MP4">
    <w:name w:val="MP4"/>
    <w:basedOn w:val="Normlny"/>
    <w:autoRedefine/>
    <w:qFormat/>
    <w:rsid w:val="00894D52"/>
    <w:pPr>
      <w:numPr>
        <w:ilvl w:val="3"/>
        <w:numId w:val="7"/>
      </w:numPr>
      <w:spacing w:before="240"/>
      <w:jc w:val="left"/>
    </w:pPr>
    <w:rPr>
      <w:rFonts w:ascii="Times New Roman" w:hAnsi="Times New Roman" w:cs="Arial"/>
      <w:b/>
      <w:i/>
      <w:szCs w:val="20"/>
      <w:lang w:eastAsia="cs-CZ"/>
    </w:rPr>
  </w:style>
  <w:style w:type="paragraph" w:customStyle="1" w:styleId="DecimalAligned">
    <w:name w:val="Decimal Aligned"/>
    <w:basedOn w:val="Normlny"/>
    <w:uiPriority w:val="40"/>
    <w:qFormat/>
    <w:rsid w:val="00894D52"/>
    <w:pPr>
      <w:tabs>
        <w:tab w:val="decimal" w:pos="360"/>
      </w:tabs>
      <w:spacing w:before="0" w:after="200" w:line="276" w:lineRule="auto"/>
      <w:jc w:val="left"/>
    </w:pPr>
    <w:rPr>
      <w:rFonts w:ascii="Calibri" w:hAnsi="Calibri"/>
      <w:szCs w:val="22"/>
      <w:lang w:eastAsia="sk-SK"/>
    </w:rPr>
  </w:style>
  <w:style w:type="character" w:styleId="Siln">
    <w:name w:val="Strong"/>
    <w:basedOn w:val="Predvolenpsmoodseku"/>
    <w:uiPriority w:val="22"/>
    <w:qFormat/>
    <w:rsid w:val="00894D52"/>
    <w:rPr>
      <w:rFonts w:cs="Times New Roman"/>
      <w:b/>
    </w:rPr>
  </w:style>
  <w:style w:type="character" w:styleId="Jemnzvraznenie">
    <w:name w:val="Subtle Emphasis"/>
    <w:basedOn w:val="Predvolenpsmoodseku"/>
    <w:uiPriority w:val="19"/>
    <w:qFormat/>
    <w:rsid w:val="00894D52"/>
    <w:rPr>
      <w:rFonts w:cs="Times New Roman"/>
      <w:i/>
      <w:color w:val="000000"/>
    </w:rPr>
  </w:style>
  <w:style w:type="paragraph" w:styleId="Hlavikaobsahu">
    <w:name w:val="TOC Heading"/>
    <w:basedOn w:val="Nadpis1"/>
    <w:next w:val="Normlny"/>
    <w:uiPriority w:val="39"/>
    <w:semiHidden/>
    <w:unhideWhenUsed/>
    <w:qFormat/>
    <w:rsid w:val="00894D52"/>
    <w:pPr>
      <w:spacing w:before="480" w:line="276" w:lineRule="auto"/>
      <w:jc w:val="left"/>
      <w:outlineLvl w:val="9"/>
    </w:pPr>
    <w:rPr>
      <w:rFonts w:ascii="Cambria" w:eastAsiaTheme="minorEastAsia" w:hAnsi="Cambria"/>
      <w:color w:val="365F91"/>
      <w:sz w:val="28"/>
      <w:szCs w:val="28"/>
      <w:lang w:eastAsia="sk-SK"/>
    </w:rPr>
  </w:style>
  <w:style w:type="character" w:customStyle="1" w:styleId="hps">
    <w:name w:val="hps"/>
    <w:basedOn w:val="Predvolenpsmoodseku"/>
    <w:rsid w:val="00894D52"/>
    <w:rPr>
      <w:rFonts w:cs="Times New Roman"/>
    </w:rPr>
  </w:style>
  <w:style w:type="character" w:customStyle="1" w:styleId="atn">
    <w:name w:val="atn"/>
    <w:basedOn w:val="Predvolenpsmoodseku"/>
    <w:rsid w:val="00894D52"/>
    <w:rPr>
      <w:rFonts w:cs="Times New Roman"/>
    </w:rPr>
  </w:style>
  <w:style w:type="table" w:customStyle="1" w:styleId="Deloittetable31">
    <w:name w:val="Deloitte table 31"/>
    <w:basedOn w:val="Normlnatabuka"/>
    <w:next w:val="Mriekatabuky"/>
    <w:uiPriority w:val="59"/>
    <w:rsid w:val="00894D52"/>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894D52"/>
    <w:rPr>
      <w:rFonts w:ascii="EUAlbertina" w:hAnsi="EUAlbertina"/>
      <w:color w:val="auto"/>
    </w:rPr>
  </w:style>
  <w:style w:type="paragraph" w:customStyle="1" w:styleId="CM3">
    <w:name w:val="CM3"/>
    <w:basedOn w:val="Default"/>
    <w:next w:val="Default"/>
    <w:uiPriority w:val="99"/>
    <w:rsid w:val="00894D52"/>
    <w:rPr>
      <w:rFonts w:ascii="EUAlbertina" w:hAnsi="EUAlbertina"/>
      <w:color w:val="auto"/>
    </w:rPr>
  </w:style>
  <w:style w:type="paragraph" w:customStyle="1" w:styleId="CM4">
    <w:name w:val="CM4"/>
    <w:basedOn w:val="Default"/>
    <w:next w:val="Default"/>
    <w:uiPriority w:val="99"/>
    <w:rsid w:val="00894D52"/>
    <w:rPr>
      <w:rFonts w:ascii="EUAlbertina" w:hAnsi="EUAlbertina"/>
      <w:color w:val="auto"/>
    </w:rPr>
  </w:style>
  <w:style w:type="paragraph" w:customStyle="1" w:styleId="Textbody">
    <w:name w:val="Text body"/>
    <w:basedOn w:val="Normlny"/>
    <w:uiPriority w:val="99"/>
    <w:rsid w:val="00894D52"/>
    <w:pPr>
      <w:suppressAutoHyphens/>
      <w:autoSpaceDN w:val="0"/>
      <w:spacing w:before="0" w:after="0"/>
      <w:jc w:val="left"/>
      <w:textAlignment w:val="baseline"/>
    </w:pPr>
    <w:rPr>
      <w:rFonts w:ascii="Times New Roman" w:eastAsia="SimSun" w:hAnsi="Times New Roman" w:cs="Mangal"/>
      <w:kern w:val="3"/>
      <w:sz w:val="24"/>
      <w:lang w:eastAsia="zh-CN" w:bidi="hi-IN"/>
    </w:rPr>
  </w:style>
  <w:style w:type="table" w:styleId="Mriekatabuky">
    <w:name w:val="Table Grid"/>
    <w:basedOn w:val="Normlnatabuka"/>
    <w:uiPriority w:val="59"/>
    <w:rsid w:val="0089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2855C4"/>
    <w:pPr>
      <w:spacing w:before="130" w:after="130"/>
    </w:pPr>
    <w:rPr>
      <w:rFonts w:ascii="Times New Roman" w:hAnsi="Times New Roman"/>
      <w:szCs w:val="20"/>
      <w:lang w:val="en-US"/>
    </w:rPr>
  </w:style>
  <w:style w:type="character" w:customStyle="1" w:styleId="ZkladntextChar">
    <w:name w:val="Základný text Char"/>
    <w:basedOn w:val="Predvolenpsmoodseku"/>
    <w:link w:val="Zkladntext"/>
    <w:uiPriority w:val="99"/>
    <w:locked/>
    <w:rsid w:val="002855C4"/>
    <w:rPr>
      <w:rFonts w:ascii="Times New Roman" w:hAnsi="Times New Roman" w:cs="Times New Roman"/>
      <w:sz w:val="20"/>
      <w:szCs w:val="20"/>
    </w:rPr>
  </w:style>
  <w:style w:type="paragraph" w:styleId="Zoznamsodrkami">
    <w:name w:val="List Bullet"/>
    <w:basedOn w:val="Zkladntext"/>
    <w:uiPriority w:val="99"/>
    <w:qFormat/>
    <w:rsid w:val="002855C4"/>
    <w:pPr>
      <w:numPr>
        <w:numId w:val="24"/>
      </w:numPr>
    </w:pPr>
  </w:style>
  <w:style w:type="table" w:customStyle="1" w:styleId="Mriekatabuky3">
    <w:name w:val="Mriežka tabuľky3"/>
    <w:basedOn w:val="Normlnatabuka"/>
    <w:uiPriority w:val="59"/>
    <w:rsid w:val="00DE29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lny"/>
    <w:rsid w:val="00AC4D9D"/>
    <w:pPr>
      <w:tabs>
        <w:tab w:val="left" w:pos="2302"/>
      </w:tabs>
      <w:spacing w:before="0" w:after="0"/>
      <w:ind w:left="1916"/>
      <w:jc w:val="left"/>
    </w:pPr>
    <w:rPr>
      <w:rFonts w:ascii="Times New Roman" w:hAnsi="Times New Roman"/>
      <w:sz w:val="24"/>
      <w:lang w:val="en-GB" w:eastAsia="en-GB"/>
    </w:rPr>
  </w:style>
  <w:style w:type="paragraph" w:customStyle="1" w:styleId="Text2">
    <w:name w:val="Text 2"/>
    <w:basedOn w:val="Normlny"/>
    <w:rsid w:val="00AC4D9D"/>
    <w:pPr>
      <w:tabs>
        <w:tab w:val="left" w:pos="2160"/>
      </w:tabs>
      <w:spacing w:before="0" w:after="0"/>
      <w:ind w:left="1077"/>
      <w:jc w:val="left"/>
    </w:pPr>
    <w:rPr>
      <w:rFonts w:ascii="Times New Roman" w:hAnsi="Times New Roman"/>
      <w:sz w:val="24"/>
      <w:lang w:val="en-GB" w:eastAsia="en-GB"/>
    </w:rPr>
  </w:style>
  <w:style w:type="paragraph" w:styleId="Nzov">
    <w:name w:val="Title"/>
    <w:basedOn w:val="Normlny"/>
    <w:next w:val="Normlny"/>
    <w:link w:val="NzovChar"/>
    <w:uiPriority w:val="10"/>
    <w:qFormat/>
    <w:rsid w:val="00A11FE0"/>
    <w:pPr>
      <w:pBdr>
        <w:bottom w:val="single" w:sz="8" w:space="4" w:color="4F81BD"/>
      </w:pBdr>
      <w:spacing w:before="0" w:after="300"/>
      <w:contextualSpacing/>
    </w:pPr>
    <w:rPr>
      <w:rFonts w:ascii="Calibri" w:hAnsi="Calibri"/>
      <w:color w:val="17365D"/>
      <w:spacing w:val="5"/>
      <w:kern w:val="28"/>
      <w:sz w:val="52"/>
      <w:szCs w:val="52"/>
    </w:rPr>
  </w:style>
  <w:style w:type="character" w:customStyle="1" w:styleId="NzovChar">
    <w:name w:val="Názov Char"/>
    <w:basedOn w:val="Predvolenpsmoodseku"/>
    <w:link w:val="Nzov"/>
    <w:uiPriority w:val="10"/>
    <w:locked/>
    <w:rsid w:val="00A11FE0"/>
    <w:rPr>
      <w:rFonts w:ascii="Calibri" w:hAnsi="Calibri" w:cs="Times New Roman"/>
      <w:color w:val="17365D"/>
      <w:spacing w:val="5"/>
      <w:kern w:val="28"/>
      <w:sz w:val="52"/>
      <w:szCs w:val="52"/>
      <w:lang w:val="sk-SK" w:eastAsia="x-none"/>
    </w:rPr>
  </w:style>
  <w:style w:type="paragraph" w:customStyle="1" w:styleId="Normln">
    <w:name w:val="Normální"/>
    <w:basedOn w:val="Normlny"/>
    <w:next w:val="Normlny"/>
    <w:uiPriority w:val="99"/>
    <w:rsid w:val="00A11FE0"/>
    <w:pPr>
      <w:autoSpaceDE w:val="0"/>
      <w:autoSpaceDN w:val="0"/>
      <w:adjustRightInd w:val="0"/>
      <w:spacing w:before="0" w:after="0"/>
      <w:jc w:val="left"/>
    </w:pPr>
    <w:rPr>
      <w:rFonts w:ascii="Times New Roman" w:hAnsi="Times New Roman"/>
      <w:sz w:val="24"/>
    </w:rPr>
  </w:style>
  <w:style w:type="character" w:customStyle="1" w:styleId="FontStyle53">
    <w:name w:val="Font Style53"/>
    <w:uiPriority w:val="99"/>
    <w:rsid w:val="00A11FE0"/>
    <w:rPr>
      <w:rFonts w:ascii="Times New Roman" w:hAnsi="Times New Roman"/>
      <w:b/>
      <w:sz w:val="22"/>
    </w:rPr>
  </w:style>
  <w:style w:type="paragraph" w:customStyle="1" w:styleId="tl">
    <w:name w:val="Štýl"/>
    <w:basedOn w:val="Normlny"/>
    <w:uiPriority w:val="99"/>
    <w:rsid w:val="00A11FE0"/>
    <w:pPr>
      <w:autoSpaceDE w:val="0"/>
      <w:autoSpaceDN w:val="0"/>
      <w:spacing w:before="0" w:after="0"/>
      <w:jc w:val="left"/>
    </w:pPr>
    <w:rPr>
      <w:rFonts w:ascii="Times New Roman" w:hAnsi="Times New Roman"/>
      <w:sz w:val="24"/>
      <w:lang w:eastAsia="cs-CZ"/>
    </w:rPr>
  </w:style>
  <w:style w:type="character" w:customStyle="1" w:styleId="TextpoznmkypodiarouChar1">
    <w:name w:val="Text poznámky pod čiarou Char1"/>
    <w:aliases w:val="Stinking Styles2 Char1,Tekst przypisu- dokt Char1,Char Char Char Char1,Char Char1,Char Char Char Char Char Char Char Char Char Char1,Char Char Char Char Char Char Char Char Char Char Char Char1,Char Char Ch Char1,o Char1"/>
    <w:uiPriority w:val="99"/>
    <w:semiHidden/>
    <w:rsid w:val="00A11FE0"/>
    <w:rPr>
      <w:rFonts w:ascii="Courier New" w:hAnsi="Courier New"/>
      <w:sz w:val="20"/>
      <w:lang w:val="en-GB" w:eastAsia="x-none"/>
    </w:rPr>
  </w:style>
  <w:style w:type="character" w:styleId="Jemnodkaz">
    <w:name w:val="Subtle Reference"/>
    <w:basedOn w:val="Predvolenpsmoodseku"/>
    <w:uiPriority w:val="31"/>
    <w:qFormat/>
    <w:rsid w:val="00A11FE0"/>
    <w:rPr>
      <w:rFonts w:cs="Times New Roman"/>
      <w:vertAlign w:val="baseline"/>
    </w:rPr>
  </w:style>
  <w:style w:type="table" w:customStyle="1" w:styleId="Mriekatabuky1">
    <w:name w:val="Mriežka tabuľky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11FE0"/>
    <w:pPr>
      <w:spacing w:before="0" w:after="0"/>
      <w:jc w:val="left"/>
    </w:pPr>
    <w:rPr>
      <w:rFonts w:ascii="Times New Roman" w:hAnsi="Times New Roman"/>
      <w:sz w:val="24"/>
      <w:lang w:val="en-GB"/>
    </w:rPr>
  </w:style>
  <w:style w:type="paragraph" w:styleId="Zarkazkladnhotextu">
    <w:name w:val="Body Text Indent"/>
    <w:basedOn w:val="Normlny"/>
    <w:link w:val="ZarkazkladnhotextuChar"/>
    <w:uiPriority w:val="99"/>
    <w:rsid w:val="00A11FE0"/>
    <w:pPr>
      <w:spacing w:before="0" w:after="0"/>
      <w:ind w:firstLine="709"/>
    </w:pPr>
    <w:rPr>
      <w:rFonts w:ascii="Times New Roman" w:hAnsi="Times New Roman"/>
      <w:sz w:val="24"/>
      <w:szCs w:val="20"/>
      <w:lang w:eastAsia="sk-SK"/>
    </w:rPr>
  </w:style>
  <w:style w:type="character" w:customStyle="1" w:styleId="ZarkazkladnhotextuChar">
    <w:name w:val="Zarážka základného textu Char"/>
    <w:basedOn w:val="Predvolenpsmoodseku"/>
    <w:link w:val="Zarkazkladnhotextu"/>
    <w:uiPriority w:val="99"/>
    <w:locked/>
    <w:rsid w:val="00A11FE0"/>
    <w:rPr>
      <w:rFonts w:ascii="Times New Roman" w:hAnsi="Times New Roman" w:cs="Times New Roman"/>
      <w:sz w:val="20"/>
      <w:szCs w:val="20"/>
      <w:lang w:val="sk-SK" w:eastAsia="sk-SK"/>
    </w:rPr>
  </w:style>
  <w:style w:type="paragraph" w:styleId="Zarkazkladnhotextu2">
    <w:name w:val="Body Text Indent 2"/>
    <w:basedOn w:val="Normlny"/>
    <w:link w:val="Zarkazkladnhotextu2Char"/>
    <w:uiPriority w:val="99"/>
    <w:rsid w:val="00A11FE0"/>
    <w:pPr>
      <w:spacing w:before="0" w:after="0"/>
      <w:ind w:firstLine="708"/>
      <w:jc w:val="left"/>
    </w:pPr>
    <w:rPr>
      <w:rFonts w:ascii="Times New Roman" w:hAnsi="Times New Roman"/>
      <w:sz w:val="24"/>
      <w:szCs w:val="20"/>
      <w:lang w:eastAsia="sk-SK"/>
    </w:rPr>
  </w:style>
  <w:style w:type="character" w:customStyle="1" w:styleId="Zarkazkladnhotextu2Char">
    <w:name w:val="Zarážka základného textu 2 Char"/>
    <w:basedOn w:val="Predvolenpsmoodseku"/>
    <w:link w:val="Zarkazkladnhotextu2"/>
    <w:uiPriority w:val="99"/>
    <w:locked/>
    <w:rsid w:val="00A11FE0"/>
    <w:rPr>
      <w:rFonts w:ascii="Times New Roman" w:hAnsi="Times New Roman" w:cs="Times New Roman"/>
      <w:sz w:val="20"/>
      <w:szCs w:val="20"/>
      <w:lang w:val="sk-SK" w:eastAsia="sk-SK"/>
    </w:rPr>
  </w:style>
  <w:style w:type="paragraph" w:customStyle="1" w:styleId="Zkladntextb">
    <w:name w:val="Základný text.b"/>
    <w:basedOn w:val="Normlny"/>
    <w:uiPriority w:val="99"/>
    <w:rsid w:val="00A11FE0"/>
    <w:pPr>
      <w:spacing w:before="0" w:after="0"/>
      <w:jc w:val="center"/>
    </w:pPr>
    <w:rPr>
      <w:rFonts w:ascii="Times New Roman" w:hAnsi="Times New Roman"/>
      <w:sz w:val="28"/>
      <w:szCs w:val="20"/>
      <w:lang w:eastAsia="sk-SK"/>
    </w:rPr>
  </w:style>
  <w:style w:type="character" w:customStyle="1" w:styleId="Textzstupnhosymbolu1">
    <w:name w:val="Text zástupného symbolu1"/>
    <w:uiPriority w:val="99"/>
    <w:semiHidden/>
    <w:rsid w:val="00A11FE0"/>
    <w:rPr>
      <w:rFonts w:ascii="Times New Roman" w:hAnsi="Times New Roman"/>
      <w:color w:val="808080"/>
    </w:rPr>
  </w:style>
  <w:style w:type="character" w:customStyle="1" w:styleId="MsoPlaceholderText0">
    <w:name w:val="MsoPlaceholderText"/>
    <w:rsid w:val="00A11FE0"/>
    <w:rPr>
      <w:rFonts w:ascii="Times New Roman" w:hAnsi="Times New Roman"/>
      <w:color w:val="808080"/>
    </w:rPr>
  </w:style>
  <w:style w:type="character" w:styleId="Zvraznenie">
    <w:name w:val="Emphasis"/>
    <w:basedOn w:val="Predvolenpsmoodseku"/>
    <w:uiPriority w:val="20"/>
    <w:qFormat/>
    <w:rsid w:val="00A11FE0"/>
    <w:rPr>
      <w:rFonts w:cs="Times New Roman"/>
      <w:i/>
    </w:rPr>
  </w:style>
  <w:style w:type="character" w:styleId="PouitHypertextovPrepojenie">
    <w:name w:val="FollowedHyperlink"/>
    <w:basedOn w:val="Predvolenpsmoodseku"/>
    <w:uiPriority w:val="99"/>
    <w:rsid w:val="00A11FE0"/>
    <w:rPr>
      <w:rFonts w:cs="Times New Roman"/>
      <w:color w:val="800080"/>
      <w:u w:val="single"/>
    </w:rPr>
  </w:style>
  <w:style w:type="paragraph" w:customStyle="1" w:styleId="Bezriadkovania1">
    <w:name w:val="Bez riadkovania1"/>
    <w:uiPriority w:val="99"/>
    <w:rsid w:val="00A11FE0"/>
    <w:rPr>
      <w:rFonts w:ascii="Calibri" w:hAnsi="Calibri"/>
      <w:sz w:val="22"/>
      <w:szCs w:val="22"/>
      <w:lang w:val="sk-SK"/>
    </w:rPr>
  </w:style>
  <w:style w:type="paragraph" w:customStyle="1" w:styleId="Odsekzoznamu1">
    <w:name w:val="Odsek zoznamu1"/>
    <w:basedOn w:val="Normlny"/>
    <w:uiPriority w:val="34"/>
    <w:qFormat/>
    <w:rsid w:val="00A11FE0"/>
    <w:pPr>
      <w:spacing w:before="0" w:after="0"/>
      <w:ind w:left="708"/>
      <w:jc w:val="left"/>
    </w:pPr>
    <w:rPr>
      <w:rFonts w:ascii="Times New Roman" w:hAnsi="Times New Roman"/>
      <w:sz w:val="24"/>
      <w:lang w:eastAsia="cs-CZ"/>
    </w:rPr>
  </w:style>
  <w:style w:type="paragraph" w:customStyle="1" w:styleId="Style15">
    <w:name w:val="Style15"/>
    <w:basedOn w:val="Normlny"/>
    <w:uiPriority w:val="99"/>
    <w:rsid w:val="00A11FE0"/>
    <w:pPr>
      <w:widowControl w:val="0"/>
      <w:autoSpaceDE w:val="0"/>
      <w:autoSpaceDN w:val="0"/>
      <w:adjustRightInd w:val="0"/>
      <w:spacing w:before="0" w:after="0" w:line="264" w:lineRule="exact"/>
      <w:jc w:val="left"/>
    </w:pPr>
    <w:rPr>
      <w:rFonts w:ascii="Arial" w:hAnsi="Arial" w:cs="Arial"/>
      <w:sz w:val="24"/>
      <w:lang w:eastAsia="sk-SK"/>
    </w:rPr>
  </w:style>
  <w:style w:type="paragraph" w:customStyle="1" w:styleId="Style72">
    <w:name w:val="Style72"/>
    <w:basedOn w:val="Normlny"/>
    <w:uiPriority w:val="99"/>
    <w:rsid w:val="00A11FE0"/>
    <w:pPr>
      <w:widowControl w:val="0"/>
      <w:autoSpaceDE w:val="0"/>
      <w:autoSpaceDN w:val="0"/>
      <w:adjustRightInd w:val="0"/>
      <w:spacing w:before="0" w:after="0" w:line="274" w:lineRule="exact"/>
      <w:ind w:hanging="850"/>
      <w:jc w:val="left"/>
    </w:pPr>
    <w:rPr>
      <w:rFonts w:ascii="Arial" w:hAnsi="Arial" w:cs="Arial"/>
      <w:sz w:val="24"/>
      <w:lang w:eastAsia="sk-SK"/>
    </w:rPr>
  </w:style>
  <w:style w:type="character" w:customStyle="1" w:styleId="FontStyle123">
    <w:name w:val="Font Style123"/>
    <w:uiPriority w:val="99"/>
    <w:rsid w:val="00A11FE0"/>
    <w:rPr>
      <w:rFonts w:ascii="Times New Roman" w:hAnsi="Times New Roman"/>
      <w:sz w:val="22"/>
    </w:rPr>
  </w:style>
  <w:style w:type="paragraph" w:customStyle="1" w:styleId="Style18">
    <w:name w:val="Style18"/>
    <w:basedOn w:val="Normlny"/>
    <w:uiPriority w:val="99"/>
    <w:rsid w:val="00A11FE0"/>
    <w:pPr>
      <w:widowControl w:val="0"/>
      <w:autoSpaceDE w:val="0"/>
      <w:autoSpaceDN w:val="0"/>
      <w:adjustRightInd w:val="0"/>
      <w:spacing w:before="0" w:after="0" w:line="209" w:lineRule="exact"/>
      <w:jc w:val="left"/>
    </w:pPr>
    <w:rPr>
      <w:rFonts w:ascii="Arial" w:hAnsi="Arial" w:cs="Arial"/>
      <w:sz w:val="24"/>
      <w:lang w:eastAsia="sk-SK"/>
    </w:rPr>
  </w:style>
  <w:style w:type="character" w:customStyle="1" w:styleId="FontStyle118">
    <w:name w:val="Font Style118"/>
    <w:uiPriority w:val="99"/>
    <w:rsid w:val="00A11FE0"/>
    <w:rPr>
      <w:rFonts w:ascii="Times New Roman" w:hAnsi="Times New Roman"/>
      <w:sz w:val="14"/>
    </w:rPr>
  </w:style>
  <w:style w:type="character" w:customStyle="1" w:styleId="FontStyle133">
    <w:name w:val="Font Style133"/>
    <w:uiPriority w:val="99"/>
    <w:rsid w:val="00A11FE0"/>
    <w:rPr>
      <w:rFonts w:ascii="Times New Roman" w:hAnsi="Times New Roman"/>
      <w:i/>
      <w:sz w:val="18"/>
    </w:rPr>
  </w:style>
  <w:style w:type="character" w:customStyle="1" w:styleId="FontStyle137">
    <w:name w:val="Font Style137"/>
    <w:uiPriority w:val="99"/>
    <w:rsid w:val="00A11FE0"/>
    <w:rPr>
      <w:rFonts w:ascii="Times New Roman" w:hAnsi="Times New Roman"/>
      <w:sz w:val="18"/>
    </w:rPr>
  </w:style>
  <w:style w:type="paragraph" w:customStyle="1" w:styleId="Style20">
    <w:name w:val="Style20"/>
    <w:basedOn w:val="Normlny"/>
    <w:uiPriority w:val="99"/>
    <w:rsid w:val="00A11FE0"/>
    <w:pPr>
      <w:widowControl w:val="0"/>
      <w:autoSpaceDE w:val="0"/>
      <w:autoSpaceDN w:val="0"/>
      <w:adjustRightInd w:val="0"/>
      <w:spacing w:before="0" w:after="0"/>
    </w:pPr>
    <w:rPr>
      <w:rFonts w:ascii="Arial" w:hAnsi="Arial" w:cs="Arial"/>
      <w:sz w:val="24"/>
      <w:lang w:eastAsia="sk-SK"/>
    </w:rPr>
  </w:style>
  <w:style w:type="paragraph" w:customStyle="1" w:styleId="Style77">
    <w:name w:val="Style77"/>
    <w:basedOn w:val="Normlny"/>
    <w:uiPriority w:val="99"/>
    <w:rsid w:val="00A11FE0"/>
    <w:pPr>
      <w:widowControl w:val="0"/>
      <w:autoSpaceDE w:val="0"/>
      <w:autoSpaceDN w:val="0"/>
      <w:adjustRightInd w:val="0"/>
      <w:spacing w:before="0" w:after="0" w:line="192" w:lineRule="exact"/>
    </w:pPr>
    <w:rPr>
      <w:rFonts w:ascii="Arial" w:hAnsi="Arial" w:cs="Arial"/>
      <w:sz w:val="24"/>
      <w:lang w:eastAsia="sk-SK"/>
    </w:rPr>
  </w:style>
  <w:style w:type="character" w:customStyle="1" w:styleId="FontStyle112">
    <w:name w:val="Font Style112"/>
    <w:uiPriority w:val="99"/>
    <w:rsid w:val="00A11FE0"/>
    <w:rPr>
      <w:rFonts w:ascii="Times New Roman" w:hAnsi="Times New Roman"/>
      <w:sz w:val="12"/>
    </w:rPr>
  </w:style>
  <w:style w:type="paragraph" w:customStyle="1" w:styleId="Style76">
    <w:name w:val="Style76"/>
    <w:basedOn w:val="Normlny"/>
    <w:uiPriority w:val="99"/>
    <w:rsid w:val="00A11FE0"/>
    <w:pPr>
      <w:widowControl w:val="0"/>
      <w:autoSpaceDE w:val="0"/>
      <w:autoSpaceDN w:val="0"/>
      <w:adjustRightInd w:val="0"/>
      <w:spacing w:before="0" w:after="0" w:line="187" w:lineRule="exact"/>
      <w:ind w:hanging="715"/>
    </w:pPr>
    <w:rPr>
      <w:rFonts w:ascii="Arial" w:hAnsi="Arial" w:cs="Arial"/>
      <w:sz w:val="24"/>
      <w:lang w:eastAsia="sk-SK"/>
    </w:rPr>
  </w:style>
  <w:style w:type="paragraph" w:customStyle="1" w:styleId="cm40">
    <w:name w:val="cm4"/>
    <w:basedOn w:val="Normlny"/>
    <w:uiPriority w:val="99"/>
    <w:rsid w:val="00A11FE0"/>
    <w:pPr>
      <w:autoSpaceDE w:val="0"/>
      <w:autoSpaceDN w:val="0"/>
      <w:spacing w:before="0" w:after="0"/>
      <w:jc w:val="left"/>
    </w:pPr>
    <w:rPr>
      <w:rFonts w:ascii="EUAlbertina" w:hAnsi="EUAlbertina"/>
      <w:sz w:val="24"/>
      <w:lang w:eastAsia="sk-SK"/>
    </w:rPr>
  </w:style>
  <w:style w:type="paragraph" w:styleId="slovanzoznam">
    <w:name w:val="List Number"/>
    <w:basedOn w:val="Normlny"/>
    <w:uiPriority w:val="99"/>
    <w:rsid w:val="00A11FE0"/>
    <w:pPr>
      <w:numPr>
        <w:numId w:val="47"/>
      </w:numPr>
    </w:pPr>
    <w:rPr>
      <w:rFonts w:ascii="Times New Roman" w:hAnsi="Times New Roman"/>
      <w:sz w:val="24"/>
      <w:lang w:eastAsia="de-DE"/>
    </w:rPr>
  </w:style>
  <w:style w:type="paragraph" w:customStyle="1" w:styleId="ListNumberLevel2">
    <w:name w:val="List Number (Level 2)"/>
    <w:basedOn w:val="Normlny"/>
    <w:uiPriority w:val="99"/>
    <w:rsid w:val="00A11FE0"/>
    <w:pPr>
      <w:numPr>
        <w:ilvl w:val="1"/>
        <w:numId w:val="47"/>
      </w:numPr>
    </w:pPr>
    <w:rPr>
      <w:rFonts w:ascii="Times New Roman" w:hAnsi="Times New Roman"/>
      <w:sz w:val="24"/>
      <w:lang w:eastAsia="de-DE"/>
    </w:rPr>
  </w:style>
  <w:style w:type="paragraph" w:customStyle="1" w:styleId="ListNumberLevel3">
    <w:name w:val="List Number (Level 3)"/>
    <w:basedOn w:val="Normlny"/>
    <w:uiPriority w:val="99"/>
    <w:rsid w:val="00A11FE0"/>
    <w:pPr>
      <w:numPr>
        <w:ilvl w:val="2"/>
        <w:numId w:val="47"/>
      </w:numPr>
    </w:pPr>
    <w:rPr>
      <w:rFonts w:ascii="Times New Roman" w:hAnsi="Times New Roman"/>
      <w:sz w:val="24"/>
      <w:lang w:eastAsia="de-DE"/>
    </w:rPr>
  </w:style>
  <w:style w:type="paragraph" w:customStyle="1" w:styleId="ListNumberLevel4">
    <w:name w:val="List Number (Level 4)"/>
    <w:basedOn w:val="Normlny"/>
    <w:uiPriority w:val="99"/>
    <w:rsid w:val="00A11FE0"/>
    <w:pPr>
      <w:numPr>
        <w:ilvl w:val="3"/>
        <w:numId w:val="47"/>
      </w:numPr>
    </w:pPr>
    <w:rPr>
      <w:rFonts w:ascii="Times New Roman" w:hAnsi="Times New Roman"/>
      <w:sz w:val="24"/>
      <w:lang w:eastAsia="de-DE"/>
    </w:rPr>
  </w:style>
  <w:style w:type="paragraph" w:styleId="Zkladntext2">
    <w:name w:val="Body Text 2"/>
    <w:basedOn w:val="Normlny"/>
    <w:link w:val="Zkladntext2Char"/>
    <w:uiPriority w:val="99"/>
    <w:rsid w:val="00A11FE0"/>
    <w:pPr>
      <w:spacing w:before="0" w:line="480" w:lineRule="auto"/>
    </w:pPr>
    <w:rPr>
      <w:rFonts w:ascii="Times New Roman" w:hAnsi="Times New Roman"/>
      <w:sz w:val="24"/>
      <w:szCs w:val="20"/>
      <w:lang w:eastAsia="sk-SK"/>
    </w:rPr>
  </w:style>
  <w:style w:type="character" w:customStyle="1" w:styleId="Zkladntext2Char">
    <w:name w:val="Základný text 2 Char"/>
    <w:basedOn w:val="Predvolenpsmoodseku"/>
    <w:link w:val="Zkladntext2"/>
    <w:uiPriority w:val="99"/>
    <w:locked/>
    <w:rsid w:val="00A11FE0"/>
    <w:rPr>
      <w:rFonts w:ascii="Times New Roman" w:hAnsi="Times New Roman" w:cs="Times New Roman"/>
      <w:sz w:val="20"/>
      <w:szCs w:val="20"/>
      <w:lang w:val="sk-SK" w:eastAsia="sk-SK"/>
    </w:rPr>
  </w:style>
  <w:style w:type="character" w:customStyle="1" w:styleId="spanr">
    <w:name w:val="span_r"/>
    <w:uiPriority w:val="99"/>
    <w:rsid w:val="00A11FE0"/>
  </w:style>
  <w:style w:type="paragraph" w:customStyle="1" w:styleId="Style30">
    <w:name w:val="Style3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6">
    <w:name w:val="Style26"/>
    <w:basedOn w:val="Normlny"/>
    <w:uiPriority w:val="99"/>
    <w:rsid w:val="00A11FE0"/>
    <w:pPr>
      <w:widowControl w:val="0"/>
      <w:autoSpaceDE w:val="0"/>
      <w:autoSpaceDN w:val="0"/>
      <w:adjustRightInd w:val="0"/>
      <w:spacing w:before="0" w:after="0" w:line="235" w:lineRule="exact"/>
    </w:pPr>
    <w:rPr>
      <w:rFonts w:ascii="Times New Roman" w:hAnsi="Times New Roman"/>
      <w:sz w:val="24"/>
      <w:lang w:eastAsia="sk-SK"/>
    </w:rPr>
  </w:style>
  <w:style w:type="character" w:customStyle="1" w:styleId="FontStyle98">
    <w:name w:val="Font Style98"/>
    <w:uiPriority w:val="99"/>
    <w:rsid w:val="00A11FE0"/>
    <w:rPr>
      <w:rFonts w:ascii="Times New Roman" w:hAnsi="Times New Roman"/>
      <w:b/>
      <w:sz w:val="20"/>
    </w:rPr>
  </w:style>
  <w:style w:type="character" w:customStyle="1" w:styleId="FontStyle97">
    <w:name w:val="Font Style97"/>
    <w:uiPriority w:val="99"/>
    <w:rsid w:val="00A11FE0"/>
    <w:rPr>
      <w:rFonts w:ascii="Times New Roman" w:hAnsi="Times New Roman"/>
      <w:b/>
      <w:sz w:val="22"/>
    </w:rPr>
  </w:style>
  <w:style w:type="paragraph" w:customStyle="1" w:styleId="Style43">
    <w:name w:val="Style43"/>
    <w:basedOn w:val="Normlny"/>
    <w:uiPriority w:val="99"/>
    <w:rsid w:val="00A11FE0"/>
    <w:pPr>
      <w:widowControl w:val="0"/>
      <w:autoSpaceDE w:val="0"/>
      <w:autoSpaceDN w:val="0"/>
      <w:adjustRightInd w:val="0"/>
      <w:spacing w:before="0" w:after="0" w:line="274" w:lineRule="exact"/>
      <w:jc w:val="center"/>
    </w:pPr>
    <w:rPr>
      <w:rFonts w:ascii="Times New Roman" w:hAnsi="Times New Roman"/>
      <w:sz w:val="24"/>
      <w:lang w:eastAsia="sk-SK"/>
    </w:rPr>
  </w:style>
  <w:style w:type="character" w:customStyle="1" w:styleId="FontStyle52">
    <w:name w:val="Font Style52"/>
    <w:rsid w:val="00A11FE0"/>
    <w:rPr>
      <w:rFonts w:ascii="Times New Roman" w:hAnsi="Times New Roman"/>
      <w:i/>
      <w:sz w:val="22"/>
    </w:rPr>
  </w:style>
  <w:style w:type="table" w:customStyle="1" w:styleId="Mriekatabuky2">
    <w:name w:val="Mriežka tabuľky2"/>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3">
    <w:name w:val="Font Style93"/>
    <w:uiPriority w:val="99"/>
    <w:rsid w:val="00A11FE0"/>
    <w:rPr>
      <w:rFonts w:ascii="Times New Roman" w:hAnsi="Times New Roman"/>
      <w:sz w:val="16"/>
    </w:rPr>
  </w:style>
  <w:style w:type="table" w:customStyle="1" w:styleId="Mriekatabuky4">
    <w:name w:val="Mriežka tabuľky4"/>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Predvolenpsmoodseku"/>
    <w:rsid w:val="00A11FE0"/>
    <w:rPr>
      <w:rFonts w:cs="Times New Roman"/>
    </w:rPr>
  </w:style>
  <w:style w:type="character" w:customStyle="1" w:styleId="hpsatn">
    <w:name w:val="hps atn"/>
    <w:rsid w:val="00A11FE0"/>
  </w:style>
  <w:style w:type="character" w:customStyle="1" w:styleId="hpsalt-edited">
    <w:name w:val="hps alt-edited"/>
    <w:basedOn w:val="Predvolenpsmoodseku"/>
    <w:rsid w:val="00A11FE0"/>
    <w:rPr>
      <w:rFonts w:cs="Times New Roman"/>
    </w:rPr>
  </w:style>
  <w:style w:type="character" w:customStyle="1" w:styleId="st">
    <w:name w:val="st"/>
    <w:basedOn w:val="Predvolenpsmoodseku"/>
    <w:uiPriority w:val="99"/>
    <w:rsid w:val="00A11FE0"/>
    <w:rPr>
      <w:rFonts w:cs="Times New Roman"/>
    </w:rPr>
  </w:style>
  <w:style w:type="character" w:customStyle="1" w:styleId="alt-edited">
    <w:name w:val="alt-edited"/>
    <w:basedOn w:val="Predvolenpsmoodseku"/>
    <w:rsid w:val="00A11FE0"/>
    <w:rPr>
      <w:rFonts w:cs="Times New Roman"/>
    </w:rPr>
  </w:style>
  <w:style w:type="table" w:customStyle="1" w:styleId="Mriekatabuky5">
    <w:name w:val="Mriežka tabuľky5"/>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uiPriority w:val="34"/>
    <w:locked/>
    <w:rsid w:val="00A11FE0"/>
    <w:rPr>
      <w:rFonts w:ascii="Times New Roman" w:hAnsi="Times New Roman"/>
      <w:sz w:val="24"/>
    </w:rPr>
  </w:style>
  <w:style w:type="paragraph" w:customStyle="1" w:styleId="ManualHeading1">
    <w:name w:val="Manual Heading 1"/>
    <w:basedOn w:val="Normlny"/>
    <w:next w:val="Normlny"/>
    <w:rsid w:val="00A11FE0"/>
    <w:pPr>
      <w:keepNext/>
      <w:tabs>
        <w:tab w:val="left" w:pos="850"/>
      </w:tabs>
      <w:spacing w:before="360"/>
      <w:ind w:left="850" w:hanging="850"/>
      <w:outlineLvl w:val="0"/>
    </w:pPr>
    <w:rPr>
      <w:rFonts w:ascii="Times New Roman" w:hAnsi="Times New Roman"/>
      <w:b/>
      <w:smallCaps/>
      <w:sz w:val="24"/>
      <w:lang w:val="en-GB"/>
    </w:rPr>
  </w:style>
  <w:style w:type="paragraph" w:customStyle="1" w:styleId="ListParagraph3">
    <w:name w:val="List Paragraph3"/>
    <w:basedOn w:val="Normlny"/>
    <w:rsid w:val="00A11FE0"/>
    <w:pPr>
      <w:tabs>
        <w:tab w:val="left" w:pos="709"/>
      </w:tabs>
      <w:spacing w:before="480" w:after="240" w:line="280" w:lineRule="atLeast"/>
      <w:ind w:left="709" w:hanging="709"/>
      <w:outlineLvl w:val="1"/>
    </w:pPr>
    <w:rPr>
      <w:rFonts w:ascii="Arial" w:hAnsi="Arial"/>
      <w:sz w:val="20"/>
      <w:lang w:val="en-GB" w:eastAsia="de-DE"/>
    </w:rPr>
  </w:style>
  <w:style w:type="character" w:customStyle="1" w:styleId="IntenseEmphasis2">
    <w:name w:val="Intense Emphasis2"/>
    <w:rsid w:val="00A11FE0"/>
    <w:rPr>
      <w:b/>
      <w:i/>
      <w:color w:val="4F81BD"/>
    </w:rPr>
  </w:style>
  <w:style w:type="paragraph" w:customStyle="1" w:styleId="08Bullet1">
    <w:name w:val="08_Bullet 1"/>
    <w:basedOn w:val="Normlny"/>
    <w:link w:val="08Bullet1Char"/>
    <w:qFormat/>
    <w:rsid w:val="00A11FE0"/>
    <w:pPr>
      <w:numPr>
        <w:numId w:val="48"/>
      </w:numPr>
      <w:spacing w:before="0"/>
      <w:ind w:left="567" w:hanging="567"/>
    </w:pPr>
    <w:rPr>
      <w:rFonts w:ascii="Times New Roman" w:hAnsi="Times New Roman"/>
      <w:szCs w:val="20"/>
      <w:lang w:eastAsia="cs-CZ"/>
    </w:rPr>
  </w:style>
  <w:style w:type="character" w:customStyle="1" w:styleId="08Bullet1Char">
    <w:name w:val="08_Bullet 1 Char"/>
    <w:link w:val="08Bullet1"/>
    <w:locked/>
    <w:rsid w:val="00A11FE0"/>
    <w:rPr>
      <w:rFonts w:ascii="Times New Roman" w:hAnsi="Times New Roman"/>
      <w:sz w:val="22"/>
      <w:szCs w:val="20"/>
      <w:lang w:val="sk-SK" w:eastAsia="cs-CZ"/>
    </w:rPr>
  </w:style>
  <w:style w:type="paragraph" w:customStyle="1" w:styleId="09Bullet2">
    <w:name w:val="09_Bullet 2"/>
    <w:basedOn w:val="Normlny"/>
    <w:link w:val="09Bullet2Char"/>
    <w:qFormat/>
    <w:rsid w:val="00A11FE0"/>
    <w:pPr>
      <w:numPr>
        <w:numId w:val="49"/>
      </w:numPr>
      <w:ind w:left="709" w:hanging="425"/>
    </w:pPr>
    <w:rPr>
      <w:rFonts w:ascii="Times New Roman" w:hAnsi="Times New Roman"/>
      <w:szCs w:val="20"/>
      <w:lang w:eastAsia="cs-CZ"/>
    </w:rPr>
  </w:style>
  <w:style w:type="character" w:customStyle="1" w:styleId="09Bullet2Char">
    <w:name w:val="09_Bullet 2 Char"/>
    <w:link w:val="09Bullet2"/>
    <w:locked/>
    <w:rsid w:val="00A11FE0"/>
    <w:rPr>
      <w:rFonts w:ascii="Times New Roman" w:hAnsi="Times New Roman"/>
      <w:sz w:val="22"/>
      <w:szCs w:val="20"/>
      <w:lang w:val="sk-SK" w:eastAsia="cs-CZ"/>
    </w:rPr>
  </w:style>
  <w:style w:type="paragraph" w:styleId="Bezriadkovania">
    <w:name w:val="No Spacing"/>
    <w:uiPriority w:val="1"/>
    <w:qFormat/>
    <w:rsid w:val="00A11FE0"/>
    <w:pPr>
      <w:jc w:val="both"/>
    </w:pPr>
    <w:rPr>
      <w:rFonts w:ascii="Cambria" w:eastAsia="MS Mincho" w:hAnsi="Cambria"/>
      <w:sz w:val="22"/>
      <w:lang w:val="sk-SK"/>
    </w:rPr>
  </w:style>
  <w:style w:type="paragraph" w:customStyle="1" w:styleId="Style40">
    <w:name w:val="Style4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5">
    <w:name w:val="Style25"/>
    <w:basedOn w:val="Normlny"/>
    <w:uiPriority w:val="99"/>
    <w:rsid w:val="00A11FE0"/>
    <w:pPr>
      <w:widowControl w:val="0"/>
      <w:autoSpaceDE w:val="0"/>
      <w:autoSpaceDN w:val="0"/>
      <w:adjustRightInd w:val="0"/>
      <w:spacing w:before="0" w:after="0" w:line="264" w:lineRule="exact"/>
    </w:pPr>
    <w:rPr>
      <w:rFonts w:ascii="Times New Roman" w:hAnsi="Times New Roman"/>
      <w:sz w:val="24"/>
      <w:lang w:eastAsia="sk-SK"/>
    </w:rPr>
  </w:style>
  <w:style w:type="paragraph" w:customStyle="1" w:styleId="ListDash1">
    <w:name w:val="List Dash 1"/>
    <w:basedOn w:val="Normlny"/>
    <w:rsid w:val="00A11FE0"/>
    <w:pPr>
      <w:numPr>
        <w:numId w:val="51"/>
      </w:numPr>
    </w:pPr>
    <w:rPr>
      <w:rFonts w:ascii="Times New Roman" w:hAnsi="Times New Roman"/>
      <w:sz w:val="24"/>
      <w:lang w:val="en-GB" w:eastAsia="de-DE"/>
    </w:rPr>
  </w:style>
  <w:style w:type="paragraph" w:customStyle="1" w:styleId="Tiret0">
    <w:name w:val="Tiret 0"/>
    <w:basedOn w:val="Normlny"/>
    <w:rsid w:val="00A11FE0"/>
    <w:pPr>
      <w:numPr>
        <w:numId w:val="50"/>
      </w:numPr>
    </w:pPr>
    <w:rPr>
      <w:rFonts w:ascii="Times New Roman" w:hAnsi="Times New Roman"/>
      <w:sz w:val="24"/>
      <w:lang w:val="en-GB"/>
    </w:rPr>
  </w:style>
  <w:style w:type="table" w:customStyle="1" w:styleId="Deloittetable311">
    <w:name w:val="Deloitte table 311"/>
    <w:basedOn w:val="Normlnatabuka"/>
    <w:next w:val="Mriekatabuky"/>
    <w:uiPriority w:val="59"/>
    <w:rsid w:val="001352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hodzie">
    <w:name w:val="Východzie"/>
    <w:rsid w:val="00DB2FBF"/>
    <w:pPr>
      <w:suppressAutoHyphens/>
      <w:overflowPunct w:val="0"/>
      <w:spacing w:before="120" w:after="120" w:line="276" w:lineRule="auto"/>
      <w:jc w:val="both"/>
    </w:pPr>
    <w:rPr>
      <w:rFonts w:ascii="Calibri" w:hAnsi="Calibri" w:cs="Mangal"/>
      <w:color w:val="00000A"/>
      <w:sz w:val="22"/>
      <w:lang w:val="sk-SK"/>
    </w:rPr>
  </w:style>
  <w:style w:type="character" w:customStyle="1" w:styleId="Internetovodkaz">
    <w:name w:val="Internetový odkaz"/>
    <w:rsid w:val="00DB2FBF"/>
    <w:rPr>
      <w:color w:val="0000FF"/>
      <w:u w:val="single"/>
      <w:lang w:val="sk-SK" w:eastAsia="sk-SK"/>
    </w:rPr>
  </w:style>
  <w:style w:type="character" w:customStyle="1" w:styleId="Ukotveniepoznmkypodiarou">
    <w:name w:val="Ukotvenie poznámky pod čiarou"/>
    <w:rsid w:val="00DB2FBF"/>
    <w:rPr>
      <w:vertAlign w:val="superscript"/>
    </w:rPr>
  </w:style>
  <w:style w:type="paragraph" w:customStyle="1" w:styleId="Poznmkapodiarou">
    <w:name w:val="Poznámka pod čiarou"/>
    <w:basedOn w:val="Vchodzie"/>
    <w:rsid w:val="00DB2FBF"/>
    <w:pPr>
      <w:suppressLineNumbers/>
      <w:ind w:left="339" w:hanging="339"/>
    </w:pPr>
    <w:rPr>
      <w:sz w:val="20"/>
      <w:szCs w:val="20"/>
    </w:rPr>
  </w:style>
  <w:style w:type="table" w:customStyle="1" w:styleId="Deloittetable3111">
    <w:name w:val="Deloitte table 3111"/>
    <w:basedOn w:val="Normlnatabuka"/>
    <w:uiPriority w:val="59"/>
    <w:rsid w:val="009841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2">
    <w:name w:val="Deloitte table 3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A6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uiPriority w:val="59"/>
    <w:rsid w:val="00A67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
    <w:name w:val="Mriežka tabuľky25"/>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1">
    <w:name w:val="Mriežka tabuľky5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1">
    <w:name w:val="Mriežka tabuľky71"/>
    <w:basedOn w:val="Normlnatabuka"/>
    <w:next w:val="Mriekatabuky"/>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12">
    <w:name w:val="Deloitte table 31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uiPriority w:val="59"/>
    <w:rsid w:val="00475C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186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ebnzoznamzvraznenie11">
    <w:name w:val="Farebný zoznam – zvýraznenie 11"/>
    <w:basedOn w:val="Normlny"/>
    <w:uiPriority w:val="34"/>
    <w:qFormat/>
    <w:rsid w:val="004E2D6C"/>
    <w:pPr>
      <w:spacing w:before="0" w:after="200" w:line="276" w:lineRule="auto"/>
      <w:ind w:left="720"/>
      <w:contextualSpacing/>
    </w:pPr>
    <w:rPr>
      <w:rFonts w:ascii="Calibri" w:hAnsi="Calibri"/>
      <w:szCs w:val="22"/>
    </w:rPr>
  </w:style>
  <w:style w:type="table" w:customStyle="1" w:styleId="Mriekatabuky10">
    <w:name w:val="Mriežka tabuľky10"/>
    <w:basedOn w:val="Normlnatabuka"/>
    <w:next w:val="Mriekatabuky"/>
    <w:uiPriority w:val="5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Normlny"/>
    <w:uiPriority w:val="99"/>
    <w:rsid w:val="004E2D6C"/>
    <w:pPr>
      <w:widowControl w:val="0"/>
      <w:autoSpaceDE w:val="0"/>
      <w:autoSpaceDN w:val="0"/>
      <w:adjustRightInd w:val="0"/>
      <w:spacing w:before="0" w:after="0"/>
      <w:jc w:val="left"/>
    </w:pPr>
    <w:rPr>
      <w:rFonts w:ascii="Times New Roman" w:hAnsi="Times New Roman"/>
      <w:sz w:val="24"/>
      <w:lang w:eastAsia="sk-SK"/>
    </w:rPr>
  </w:style>
  <w:style w:type="character" w:customStyle="1" w:styleId="FontStyle94">
    <w:name w:val="Font Style94"/>
    <w:uiPriority w:val="99"/>
    <w:rsid w:val="004E2D6C"/>
    <w:rPr>
      <w:rFonts w:ascii="Times New Roman" w:hAnsi="Times New Roman"/>
      <w:sz w:val="22"/>
    </w:rPr>
  </w:style>
  <w:style w:type="table" w:customStyle="1" w:styleId="Mriekatabuky17">
    <w:name w:val="Mriežka tabuľky17"/>
    <w:basedOn w:val="Normlnatabuka"/>
    <w:next w:val="Mriekatabuky"/>
    <w:uiPriority w:val="9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tabulky">
    <w:name w:val="Nadpis tabulky"/>
    <w:basedOn w:val="Normlny"/>
    <w:rsid w:val="00F56916"/>
    <w:pPr>
      <w:keepNext/>
      <w:spacing w:before="200"/>
      <w:jc w:val="left"/>
    </w:pPr>
    <w:rPr>
      <w:rFonts w:ascii="Calibri" w:eastAsiaTheme="minorHAnsi" w:hAnsi="Calibri"/>
      <w:i/>
      <w:iCs/>
      <w:szCs w:val="22"/>
    </w:rPr>
  </w:style>
  <w:style w:type="table" w:customStyle="1" w:styleId="Mriekatabuky18">
    <w:name w:val="Mriežka tabuľky18"/>
    <w:basedOn w:val="Normlnatabuka"/>
    <w:next w:val="Mriekatabuky"/>
    <w:uiPriority w:val="59"/>
    <w:rsid w:val="00893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6">
    <w:name w:val="Font Style96"/>
    <w:uiPriority w:val="99"/>
    <w:rsid w:val="008E6E0A"/>
    <w:rPr>
      <w:rFonts w:ascii="Times New Roman" w:hAnsi="Times New Roman" w:cs="Times New Roman" w:hint="default"/>
      <w:i/>
      <w:iCs w:val="0"/>
      <w:sz w:val="22"/>
    </w:rPr>
  </w:style>
  <w:style w:type="paragraph" w:customStyle="1" w:styleId="Hypertextoveprepojenie">
    <w:name w:val="Hypertextove prepojenie"/>
    <w:basedOn w:val="Normlny"/>
    <w:link w:val="HypertextoveprepojenieChar"/>
    <w:autoRedefine/>
    <w:qFormat/>
    <w:rsid w:val="00077029"/>
    <w:pPr>
      <w:framePr w:hSpace="180" w:wrap="around" w:vAnchor="text" w:hAnchor="text" w:x="6" w:y="1"/>
      <w:widowControl w:val="0"/>
      <w:autoSpaceDE w:val="0"/>
      <w:autoSpaceDN w:val="0"/>
      <w:adjustRightInd w:val="0"/>
      <w:spacing w:before="0" w:after="0" w:line="211" w:lineRule="exact"/>
      <w:suppressOverlap/>
    </w:pPr>
    <w:rPr>
      <w:rFonts w:ascii="Times New Roman" w:eastAsia="Times New Roman" w:hAnsi="Times New Roman"/>
      <w:color w:val="0000FF"/>
      <w:sz w:val="20"/>
      <w:szCs w:val="16"/>
      <w:u w:val="single"/>
      <w:lang w:eastAsia="da-DK"/>
    </w:rPr>
  </w:style>
  <w:style w:type="character" w:customStyle="1" w:styleId="HypertextoveprepojenieChar">
    <w:name w:val="Hypertextove prepojenie Char"/>
    <w:basedOn w:val="Predvolenpsmoodseku"/>
    <w:link w:val="Hypertextoveprepojenie"/>
    <w:locked/>
    <w:rsid w:val="00077029"/>
    <w:rPr>
      <w:rFonts w:ascii="Times New Roman" w:eastAsia="Times New Roman" w:hAnsi="Times New Roman"/>
      <w:color w:val="0000FF"/>
      <w:sz w:val="20"/>
      <w:szCs w:val="16"/>
      <w:u w:val="single"/>
      <w:lang w:val="sk-SK"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27C3E"/>
    <w:pPr>
      <w:spacing w:before="120" w:after="120"/>
      <w:jc w:val="both"/>
    </w:pPr>
    <w:rPr>
      <w:sz w:val="22"/>
      <w:lang w:val="sk-SK"/>
    </w:rPr>
  </w:style>
  <w:style w:type="paragraph" w:styleId="Nadpis1">
    <w:name w:val="heading 1"/>
    <w:aliases w:val="Čo robí (časť)"/>
    <w:basedOn w:val="Normlny"/>
    <w:next w:val="Normlny"/>
    <w:link w:val="Nadpis1Char"/>
    <w:uiPriority w:val="99"/>
    <w:qFormat/>
    <w:rsid w:val="009A517C"/>
    <w:pPr>
      <w:keepNext/>
      <w:keepLines/>
      <w:spacing w:after="0"/>
      <w:ind w:left="432" w:hanging="432"/>
      <w:outlineLvl w:val="0"/>
    </w:pPr>
    <w:rPr>
      <w:rFonts w:asciiTheme="majorHAnsi" w:eastAsiaTheme="majorEastAsia" w:hAnsiTheme="majorHAnsi"/>
      <w:b/>
      <w:bCs/>
      <w:color w:val="345A8A" w:themeColor="accent1" w:themeShade="B5"/>
      <w:sz w:val="32"/>
      <w:szCs w:val="32"/>
    </w:rPr>
  </w:style>
  <w:style w:type="paragraph" w:styleId="Nadpis2">
    <w:name w:val="heading 2"/>
    <w:aliases w:val="Úloha"/>
    <w:basedOn w:val="Normlny"/>
    <w:next w:val="Normlny"/>
    <w:link w:val="Nadpis2Char"/>
    <w:uiPriority w:val="99"/>
    <w:unhideWhenUsed/>
    <w:qFormat/>
    <w:rsid w:val="00EB4BBF"/>
    <w:pPr>
      <w:keepNext/>
      <w:keepLines/>
      <w:numPr>
        <w:ilvl w:val="1"/>
        <w:numId w:val="1"/>
      </w:numPr>
      <w:tabs>
        <w:tab w:val="clear" w:pos="360"/>
      </w:tabs>
      <w:spacing w:before="200" w:after="0"/>
      <w:ind w:left="576" w:hanging="576"/>
      <w:outlineLvl w:val="1"/>
    </w:pPr>
    <w:rPr>
      <w:rFonts w:asciiTheme="majorHAnsi" w:eastAsiaTheme="majorEastAsia" w:hAnsiTheme="majorHAnsi"/>
      <w:b/>
      <w:bCs/>
      <w:color w:val="4F81BD" w:themeColor="accent1"/>
      <w:sz w:val="26"/>
      <w:szCs w:val="26"/>
    </w:rPr>
  </w:style>
  <w:style w:type="paragraph" w:styleId="Nadpis3">
    <w:name w:val="heading 3"/>
    <w:aliases w:val="Podúloha"/>
    <w:basedOn w:val="Normlny"/>
    <w:next w:val="Normlny"/>
    <w:link w:val="Nadpis3Char"/>
    <w:uiPriority w:val="99"/>
    <w:unhideWhenUsed/>
    <w:qFormat/>
    <w:rsid w:val="00EB4BBF"/>
    <w:pPr>
      <w:keepNext/>
      <w:keepLines/>
      <w:numPr>
        <w:ilvl w:val="2"/>
        <w:numId w:val="1"/>
      </w:numPr>
      <w:spacing w:before="200" w:after="0"/>
      <w:outlineLvl w:val="2"/>
    </w:pPr>
    <w:rPr>
      <w:rFonts w:asciiTheme="majorHAnsi" w:eastAsiaTheme="majorEastAsia" w:hAnsiTheme="majorHAnsi"/>
      <w:b/>
      <w:bCs/>
      <w:color w:val="4F81BD" w:themeColor="accent1"/>
      <w:sz w:val="26"/>
    </w:rPr>
  </w:style>
  <w:style w:type="paragraph" w:styleId="Nadpis4">
    <w:name w:val="heading 4"/>
    <w:aliases w:val="Termín"/>
    <w:basedOn w:val="Normlny"/>
    <w:next w:val="Normlny"/>
    <w:link w:val="Nadpis4Char"/>
    <w:uiPriority w:val="99"/>
    <w:unhideWhenUsed/>
    <w:qFormat/>
    <w:rsid w:val="00EB4BBF"/>
    <w:pPr>
      <w:keepNext/>
      <w:keepLines/>
      <w:numPr>
        <w:ilvl w:val="3"/>
        <w:numId w:val="1"/>
      </w:numPr>
      <w:spacing w:before="200" w:after="0"/>
      <w:outlineLvl w:val="3"/>
    </w:pPr>
    <w:rPr>
      <w:rFonts w:asciiTheme="majorHAnsi" w:eastAsiaTheme="majorEastAsia" w:hAnsiTheme="majorHAnsi"/>
      <w:b/>
      <w:bCs/>
      <w:i/>
      <w:iCs/>
      <w:color w:val="4F81BD" w:themeColor="accent1"/>
      <w:sz w:val="24"/>
    </w:rPr>
  </w:style>
  <w:style w:type="paragraph" w:styleId="Nadpis5">
    <w:name w:val="heading 5"/>
    <w:basedOn w:val="Normlny"/>
    <w:next w:val="Normlny"/>
    <w:link w:val="Nadpis5Char"/>
    <w:uiPriority w:val="99"/>
    <w:unhideWhenUsed/>
    <w:qFormat/>
    <w:rsid w:val="00EB4BBF"/>
    <w:pPr>
      <w:keepNext/>
      <w:keepLines/>
      <w:numPr>
        <w:ilvl w:val="4"/>
        <w:numId w:val="1"/>
      </w:numPr>
      <w:spacing w:before="200" w:after="0"/>
      <w:outlineLvl w:val="4"/>
    </w:pPr>
    <w:rPr>
      <w:rFonts w:asciiTheme="majorHAnsi" w:eastAsiaTheme="majorEastAsia" w:hAnsiTheme="majorHAnsi"/>
      <w:color w:val="243F60" w:themeColor="accent1" w:themeShade="7F"/>
    </w:rPr>
  </w:style>
  <w:style w:type="paragraph" w:styleId="Nadpis6">
    <w:name w:val="heading 6"/>
    <w:basedOn w:val="Normlny"/>
    <w:next w:val="Normlny"/>
    <w:link w:val="Nadpis6Char"/>
    <w:uiPriority w:val="9"/>
    <w:unhideWhenUsed/>
    <w:qFormat/>
    <w:rsid w:val="00EB4BBF"/>
    <w:pPr>
      <w:keepNext/>
      <w:keepLines/>
      <w:numPr>
        <w:ilvl w:val="5"/>
        <w:numId w:val="1"/>
      </w:numPr>
      <w:tabs>
        <w:tab w:val="clear" w:pos="360"/>
      </w:tabs>
      <w:spacing w:before="200" w:after="0"/>
      <w:ind w:left="1152" w:hanging="1152"/>
      <w:outlineLvl w:val="5"/>
    </w:pPr>
    <w:rPr>
      <w:rFonts w:asciiTheme="majorHAnsi" w:eastAsiaTheme="majorEastAsia" w:hAnsiTheme="majorHAnsi"/>
      <w:i/>
      <w:iCs/>
      <w:color w:val="243F60" w:themeColor="accent1" w:themeShade="7F"/>
    </w:rPr>
  </w:style>
  <w:style w:type="paragraph" w:styleId="Nadpis7">
    <w:name w:val="heading 7"/>
    <w:basedOn w:val="Normlny"/>
    <w:next w:val="Normlny"/>
    <w:link w:val="Nadpis7Char"/>
    <w:uiPriority w:val="9"/>
    <w:unhideWhenUsed/>
    <w:qFormat/>
    <w:rsid w:val="00EB4BBF"/>
    <w:pPr>
      <w:keepNext/>
      <w:keepLines/>
      <w:numPr>
        <w:ilvl w:val="6"/>
        <w:numId w:val="1"/>
      </w:numPr>
      <w:tabs>
        <w:tab w:val="clear" w:pos="360"/>
      </w:tabs>
      <w:spacing w:before="200" w:after="0"/>
      <w:ind w:left="1296" w:hanging="1296"/>
      <w:outlineLvl w:val="6"/>
    </w:pPr>
    <w:rPr>
      <w:rFonts w:asciiTheme="majorHAnsi" w:eastAsiaTheme="majorEastAsia" w:hAnsiTheme="majorHAnsi"/>
      <w:i/>
      <w:iCs/>
      <w:color w:val="404040" w:themeColor="text1" w:themeTint="BF"/>
    </w:rPr>
  </w:style>
  <w:style w:type="paragraph" w:styleId="Nadpis8">
    <w:name w:val="heading 8"/>
    <w:basedOn w:val="Normlny"/>
    <w:next w:val="Normlny"/>
    <w:link w:val="Nadpis8Char"/>
    <w:uiPriority w:val="99"/>
    <w:unhideWhenUsed/>
    <w:qFormat/>
    <w:rsid w:val="00EB4BBF"/>
    <w:pPr>
      <w:keepNext/>
      <w:keepLines/>
      <w:numPr>
        <w:ilvl w:val="7"/>
        <w:numId w:val="1"/>
      </w:numPr>
      <w:tabs>
        <w:tab w:val="clear" w:pos="360"/>
      </w:tabs>
      <w:spacing w:before="200" w:after="0"/>
      <w:ind w:left="1440" w:hanging="1440"/>
      <w:outlineLvl w:val="7"/>
    </w:pPr>
    <w:rPr>
      <w:rFonts w:asciiTheme="majorHAnsi" w:eastAsiaTheme="majorEastAsia" w:hAnsiTheme="majorHAnsi"/>
      <w:color w:val="404040" w:themeColor="text1" w:themeTint="BF"/>
      <w:sz w:val="20"/>
      <w:szCs w:val="20"/>
    </w:rPr>
  </w:style>
  <w:style w:type="paragraph" w:styleId="Nadpis9">
    <w:name w:val="heading 9"/>
    <w:basedOn w:val="Normlny"/>
    <w:next w:val="Normlny"/>
    <w:link w:val="Nadpis9Char"/>
    <w:uiPriority w:val="9"/>
    <w:unhideWhenUsed/>
    <w:qFormat/>
    <w:rsid w:val="00EB4BBF"/>
    <w:pPr>
      <w:keepNext/>
      <w:keepLines/>
      <w:numPr>
        <w:ilvl w:val="8"/>
        <w:numId w:val="1"/>
      </w:numPr>
      <w:tabs>
        <w:tab w:val="clear" w:pos="360"/>
      </w:tabs>
      <w:spacing w:before="200" w:after="0"/>
      <w:ind w:left="1584" w:hanging="1584"/>
      <w:outlineLvl w:val="8"/>
    </w:pPr>
    <w:rPr>
      <w:rFonts w:asciiTheme="majorHAnsi" w:eastAsiaTheme="majorEastAsia" w:hAnsiTheme="majorHAns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Čo robí (časť) Char"/>
    <w:basedOn w:val="Predvolenpsmoodseku"/>
    <w:link w:val="Nadpis1"/>
    <w:uiPriority w:val="99"/>
    <w:locked/>
    <w:rsid w:val="009A517C"/>
    <w:rPr>
      <w:rFonts w:asciiTheme="majorHAnsi" w:eastAsiaTheme="majorEastAsia" w:hAnsiTheme="majorHAnsi"/>
      <w:b/>
      <w:bCs/>
      <w:color w:val="345A8A" w:themeColor="accent1" w:themeShade="B5"/>
      <w:sz w:val="32"/>
      <w:szCs w:val="32"/>
      <w:lang w:val="sk-SK"/>
    </w:rPr>
  </w:style>
  <w:style w:type="character" w:customStyle="1" w:styleId="Nadpis2Char">
    <w:name w:val="Nadpis 2 Char"/>
    <w:aliases w:val="Úloha Char"/>
    <w:basedOn w:val="Predvolenpsmoodseku"/>
    <w:link w:val="Nadpis2"/>
    <w:uiPriority w:val="99"/>
    <w:locked/>
    <w:rsid w:val="00EB4BBF"/>
    <w:rPr>
      <w:rFonts w:asciiTheme="majorHAnsi" w:eastAsiaTheme="majorEastAsia" w:hAnsiTheme="majorHAnsi"/>
      <w:b/>
      <w:bCs/>
      <w:color w:val="4F81BD" w:themeColor="accent1"/>
      <w:sz w:val="26"/>
      <w:szCs w:val="26"/>
      <w:lang w:val="sk-SK"/>
    </w:rPr>
  </w:style>
  <w:style w:type="character" w:customStyle="1" w:styleId="Nadpis3Char">
    <w:name w:val="Nadpis 3 Char"/>
    <w:aliases w:val="Podúloha Char"/>
    <w:basedOn w:val="Predvolenpsmoodseku"/>
    <w:link w:val="Nadpis3"/>
    <w:uiPriority w:val="99"/>
    <w:locked/>
    <w:rsid w:val="00EB4BBF"/>
    <w:rPr>
      <w:rFonts w:asciiTheme="majorHAnsi" w:eastAsiaTheme="majorEastAsia" w:hAnsiTheme="majorHAnsi"/>
      <w:b/>
      <w:bCs/>
      <w:color w:val="4F81BD" w:themeColor="accent1"/>
      <w:sz w:val="26"/>
      <w:lang w:val="sk-SK"/>
    </w:rPr>
  </w:style>
  <w:style w:type="character" w:customStyle="1" w:styleId="Nadpis4Char">
    <w:name w:val="Nadpis 4 Char"/>
    <w:aliases w:val="Termín Char"/>
    <w:basedOn w:val="Predvolenpsmoodseku"/>
    <w:link w:val="Nadpis4"/>
    <w:uiPriority w:val="99"/>
    <w:locked/>
    <w:rsid w:val="00EB4BBF"/>
    <w:rPr>
      <w:rFonts w:asciiTheme="majorHAnsi" w:eastAsiaTheme="majorEastAsia" w:hAnsiTheme="majorHAnsi"/>
      <w:b/>
      <w:bCs/>
      <w:i/>
      <w:iCs/>
      <w:color w:val="4F81BD" w:themeColor="accent1"/>
      <w:lang w:val="sk-SK"/>
    </w:rPr>
  </w:style>
  <w:style w:type="character" w:customStyle="1" w:styleId="Nadpis5Char">
    <w:name w:val="Nadpis 5 Char"/>
    <w:basedOn w:val="Predvolenpsmoodseku"/>
    <w:link w:val="Nadpis5"/>
    <w:uiPriority w:val="99"/>
    <w:locked/>
    <w:rsid w:val="00EB4BBF"/>
    <w:rPr>
      <w:rFonts w:asciiTheme="majorHAnsi" w:eastAsiaTheme="majorEastAsia" w:hAnsiTheme="majorHAnsi"/>
      <w:color w:val="243F60" w:themeColor="accent1" w:themeShade="7F"/>
      <w:sz w:val="22"/>
      <w:lang w:val="sk-SK"/>
    </w:rPr>
  </w:style>
  <w:style w:type="character" w:customStyle="1" w:styleId="Nadpis6Char">
    <w:name w:val="Nadpis 6 Char"/>
    <w:basedOn w:val="Predvolenpsmoodseku"/>
    <w:link w:val="Nadpis6"/>
    <w:uiPriority w:val="9"/>
    <w:locked/>
    <w:rsid w:val="00EB4BBF"/>
    <w:rPr>
      <w:rFonts w:asciiTheme="majorHAnsi" w:eastAsiaTheme="majorEastAsia" w:hAnsiTheme="majorHAnsi"/>
      <w:i/>
      <w:iCs/>
      <w:color w:val="243F60" w:themeColor="accent1" w:themeShade="7F"/>
      <w:sz w:val="22"/>
      <w:lang w:val="sk-SK"/>
    </w:rPr>
  </w:style>
  <w:style w:type="character" w:customStyle="1" w:styleId="Nadpis7Char">
    <w:name w:val="Nadpis 7 Char"/>
    <w:basedOn w:val="Predvolenpsmoodseku"/>
    <w:link w:val="Nadpis7"/>
    <w:uiPriority w:val="9"/>
    <w:locked/>
    <w:rsid w:val="00EB4BBF"/>
    <w:rPr>
      <w:rFonts w:asciiTheme="majorHAnsi" w:eastAsiaTheme="majorEastAsia" w:hAnsiTheme="majorHAnsi"/>
      <w:i/>
      <w:iCs/>
      <w:color w:val="404040" w:themeColor="text1" w:themeTint="BF"/>
      <w:sz w:val="22"/>
      <w:lang w:val="sk-SK"/>
    </w:rPr>
  </w:style>
  <w:style w:type="character" w:customStyle="1" w:styleId="Nadpis8Char">
    <w:name w:val="Nadpis 8 Char"/>
    <w:basedOn w:val="Predvolenpsmoodseku"/>
    <w:link w:val="Nadpis8"/>
    <w:uiPriority w:val="99"/>
    <w:locked/>
    <w:rsid w:val="00EB4BBF"/>
    <w:rPr>
      <w:rFonts w:asciiTheme="majorHAnsi" w:eastAsiaTheme="majorEastAsia" w:hAnsiTheme="majorHAnsi"/>
      <w:color w:val="404040" w:themeColor="text1" w:themeTint="BF"/>
      <w:sz w:val="20"/>
      <w:szCs w:val="20"/>
      <w:lang w:val="sk-SK"/>
    </w:rPr>
  </w:style>
  <w:style w:type="character" w:customStyle="1" w:styleId="Nadpis9Char">
    <w:name w:val="Nadpis 9 Char"/>
    <w:basedOn w:val="Predvolenpsmoodseku"/>
    <w:link w:val="Nadpis9"/>
    <w:uiPriority w:val="9"/>
    <w:locked/>
    <w:rsid w:val="00EB4BBF"/>
    <w:rPr>
      <w:rFonts w:asciiTheme="majorHAnsi" w:eastAsiaTheme="majorEastAsia" w:hAnsiTheme="majorHAnsi"/>
      <w:i/>
      <w:iCs/>
      <w:color w:val="404040" w:themeColor="text1" w:themeTint="BF"/>
      <w:sz w:val="20"/>
      <w:szCs w:val="20"/>
      <w:lang w:val="sk-SK"/>
    </w:rPr>
  </w:style>
  <w:style w:type="paragraph" w:styleId="Popis">
    <w:name w:val="caption"/>
    <w:basedOn w:val="Normlny"/>
    <w:next w:val="Normlny"/>
    <w:uiPriority w:val="35"/>
    <w:unhideWhenUsed/>
    <w:qFormat/>
    <w:rsid w:val="00EF5D2B"/>
    <w:pPr>
      <w:spacing w:before="0" w:after="200"/>
    </w:pPr>
    <w:rPr>
      <w:b/>
      <w:bCs/>
      <w:sz w:val="16"/>
      <w:szCs w:val="16"/>
    </w:rPr>
  </w:style>
  <w:style w:type="paragraph" w:styleId="Odsekzoznamu">
    <w:name w:val="List Paragraph"/>
    <w:aliases w:val="body,Odsek zoznamu2"/>
    <w:basedOn w:val="Normlny"/>
    <w:link w:val="OdsekzoznamuChar"/>
    <w:uiPriority w:val="34"/>
    <w:qFormat/>
    <w:rsid w:val="000D36F9"/>
    <w:pPr>
      <w:ind w:left="720"/>
      <w:contextualSpacing/>
    </w:pPr>
  </w:style>
  <w:style w:type="paragraph" w:styleId="Textpoznmkypodiarou">
    <w:name w:val="footnote text"/>
    <w:aliases w:val="Stinking Styles2,Tekst przypisu- dokt,Char Char Char,Char,Char Char Char Char Char Char Char Char Char,Char Char Char Char Char Char Char Char Char Char Char,Char Char Ch,Text poznámky pod čiarou 007,_Poznámka pod čiarou,o,Car"/>
    <w:basedOn w:val="Normlny"/>
    <w:link w:val="TextpoznmkypodiarouChar"/>
    <w:uiPriority w:val="99"/>
    <w:unhideWhenUsed/>
    <w:rsid w:val="001318ED"/>
    <w:pPr>
      <w:keepNext/>
      <w:spacing w:before="0" w:after="0"/>
    </w:pPr>
    <w:rPr>
      <w:rFonts w:asciiTheme="majorHAnsi" w:hAnsiTheme="majorHAnsi"/>
      <w:sz w:val="16"/>
    </w:rPr>
  </w:style>
  <w:style w:type="character" w:customStyle="1" w:styleId="TextpoznmkypodiarouChar">
    <w:name w:val="Text poznámky pod čiarou Char"/>
    <w:aliases w:val="Stinking Styles2 Char,Tekst przypisu- dokt Char,Char Char Char Char,Char Char,Char Char Char Char Char Char Char Char Char Char,Char Char Char Char Char Char Char Char Char Char Char Char,Char Char Ch Char,o Char,Car Char"/>
    <w:basedOn w:val="Predvolenpsmoodseku"/>
    <w:link w:val="Textpoznmkypodiarou"/>
    <w:uiPriority w:val="99"/>
    <w:locked/>
    <w:rsid w:val="001318ED"/>
    <w:rPr>
      <w:rFonts w:asciiTheme="majorHAnsi" w:hAnsiTheme="majorHAnsi" w:cs="Times New Roman"/>
      <w:sz w:val="16"/>
      <w:lang w:val="sk-SK" w:eastAsia="x-none"/>
    </w:rPr>
  </w:style>
  <w:style w:type="character" w:styleId="Odkaznapoznmkupodiarou">
    <w:name w:val="footnote reference"/>
    <w:aliases w:val="Stinking Styles1,Footnote symbol,Footnote reference number,Times 10 Point,Exposant 3 Point,Ref,de nota al pie,note TESI,SUPERS,EN Footnote text,EN Footnote Refe,FRef ISO,PGI Fußnote Ziffer,Footnote,Footnotes refss,ftref"/>
    <w:basedOn w:val="Predvolenpsmoodseku"/>
    <w:uiPriority w:val="99"/>
    <w:unhideWhenUsed/>
    <w:rsid w:val="007079C3"/>
    <w:rPr>
      <w:rFonts w:cs="Times New Roman"/>
      <w:vertAlign w:val="superscript"/>
    </w:rPr>
  </w:style>
  <w:style w:type="character" w:customStyle="1" w:styleId="OdsekzoznamuChar">
    <w:name w:val="Odsek zoznamu Char"/>
    <w:aliases w:val="body Char,Odsek zoznamu2 Char"/>
    <w:basedOn w:val="Predvolenpsmoodseku"/>
    <w:link w:val="Odsekzoznamu"/>
    <w:locked/>
    <w:rsid w:val="0095292B"/>
    <w:rPr>
      <w:rFonts w:cs="Times New Roman"/>
      <w:sz w:val="22"/>
      <w:lang w:val="sk-SK" w:eastAsia="x-none"/>
    </w:rPr>
  </w:style>
  <w:style w:type="paragraph" w:styleId="truktradokumentu">
    <w:name w:val="Document Map"/>
    <w:basedOn w:val="Normlny"/>
    <w:link w:val="truktradokumentuChar"/>
    <w:uiPriority w:val="99"/>
    <w:semiHidden/>
    <w:unhideWhenUsed/>
    <w:rsid w:val="00D05829"/>
    <w:pPr>
      <w:spacing w:before="0" w:after="0"/>
    </w:pPr>
    <w:rPr>
      <w:rFonts w:ascii="Lucida Grande" w:hAnsi="Lucida Grande" w:cs="Lucida Grande"/>
      <w:sz w:val="24"/>
    </w:rPr>
  </w:style>
  <w:style w:type="character" w:customStyle="1" w:styleId="truktradokumentuChar">
    <w:name w:val="Štruktúra dokumentu Char"/>
    <w:basedOn w:val="Predvolenpsmoodseku"/>
    <w:link w:val="truktradokumentu"/>
    <w:uiPriority w:val="99"/>
    <w:semiHidden/>
    <w:locked/>
    <w:rsid w:val="00D05829"/>
    <w:rPr>
      <w:rFonts w:ascii="Lucida Grande" w:hAnsi="Lucida Grande" w:cs="Lucida Grande"/>
      <w:lang w:val="sk-SK" w:eastAsia="x-none"/>
    </w:rPr>
  </w:style>
  <w:style w:type="character" w:styleId="Hypertextovprepojenie">
    <w:name w:val="Hyperlink"/>
    <w:basedOn w:val="Predvolenpsmoodseku"/>
    <w:uiPriority w:val="99"/>
    <w:unhideWhenUsed/>
    <w:rsid w:val="00A351EB"/>
    <w:rPr>
      <w:rFonts w:cs="Times New Roman"/>
      <w:color w:val="0000FF"/>
      <w:u w:val="single"/>
    </w:rPr>
  </w:style>
  <w:style w:type="character" w:customStyle="1" w:styleId="FontStyle51">
    <w:name w:val="Font Style51"/>
    <w:uiPriority w:val="99"/>
    <w:rsid w:val="00A351EB"/>
    <w:rPr>
      <w:rFonts w:ascii="Times New Roman" w:hAnsi="Times New Roman"/>
      <w:sz w:val="22"/>
    </w:rPr>
  </w:style>
  <w:style w:type="character" w:styleId="Odkaznakomentr">
    <w:name w:val="annotation reference"/>
    <w:basedOn w:val="Predvolenpsmoodseku"/>
    <w:uiPriority w:val="99"/>
    <w:unhideWhenUsed/>
    <w:rsid w:val="00490F46"/>
    <w:rPr>
      <w:rFonts w:cs="Times New Roman"/>
      <w:sz w:val="16"/>
    </w:rPr>
  </w:style>
  <w:style w:type="paragraph" w:styleId="Textkomentra">
    <w:name w:val="annotation text"/>
    <w:basedOn w:val="Normlny"/>
    <w:link w:val="TextkomentraChar"/>
    <w:uiPriority w:val="99"/>
    <w:unhideWhenUsed/>
    <w:rsid w:val="00490F46"/>
    <w:pPr>
      <w:spacing w:before="0" w:after="200"/>
      <w:jc w:val="left"/>
    </w:pPr>
    <w:rPr>
      <w:rFonts w:ascii="Calibri" w:eastAsia="MS Mincho" w:hAnsi="Calibri"/>
      <w:sz w:val="20"/>
      <w:szCs w:val="20"/>
      <w:lang w:eastAsia="sk-SK"/>
    </w:rPr>
  </w:style>
  <w:style w:type="character" w:customStyle="1" w:styleId="TextkomentraChar">
    <w:name w:val="Text komentára Char"/>
    <w:basedOn w:val="Predvolenpsmoodseku"/>
    <w:link w:val="Textkomentra"/>
    <w:uiPriority w:val="99"/>
    <w:locked/>
    <w:rsid w:val="00490F46"/>
    <w:rPr>
      <w:rFonts w:ascii="Calibri" w:eastAsia="MS Mincho" w:hAnsi="Calibri" w:cs="Times New Roman"/>
      <w:sz w:val="20"/>
      <w:szCs w:val="20"/>
      <w:lang w:val="sk-SK" w:eastAsia="sk-SK"/>
    </w:rPr>
  </w:style>
  <w:style w:type="paragraph" w:styleId="Obyajntext">
    <w:name w:val="Plain Text"/>
    <w:basedOn w:val="Normlny"/>
    <w:link w:val="ObyajntextChar"/>
    <w:uiPriority w:val="99"/>
    <w:unhideWhenUsed/>
    <w:rsid w:val="00490F46"/>
    <w:pPr>
      <w:spacing w:before="0" w:after="0"/>
      <w:jc w:val="left"/>
    </w:pPr>
    <w:rPr>
      <w:rFonts w:ascii="Calibri" w:hAnsi="Calibri"/>
      <w:szCs w:val="21"/>
    </w:rPr>
  </w:style>
  <w:style w:type="character" w:customStyle="1" w:styleId="ObyajntextChar">
    <w:name w:val="Obyčajný text Char"/>
    <w:basedOn w:val="Predvolenpsmoodseku"/>
    <w:link w:val="Obyajntext"/>
    <w:uiPriority w:val="99"/>
    <w:locked/>
    <w:rsid w:val="00490F46"/>
    <w:rPr>
      <w:rFonts w:ascii="Calibri" w:hAnsi="Calibri" w:cs="Times New Roman"/>
      <w:sz w:val="21"/>
      <w:szCs w:val="21"/>
      <w:lang w:val="sk-SK" w:eastAsia="x-none"/>
    </w:rPr>
  </w:style>
  <w:style w:type="paragraph" w:styleId="Textbubliny">
    <w:name w:val="Balloon Text"/>
    <w:basedOn w:val="Normlny"/>
    <w:link w:val="TextbublinyChar"/>
    <w:uiPriority w:val="99"/>
    <w:unhideWhenUsed/>
    <w:rsid w:val="00490F46"/>
    <w:pPr>
      <w:spacing w:before="0" w:after="0"/>
    </w:pPr>
    <w:rPr>
      <w:rFonts w:ascii="Lucida Grande" w:hAnsi="Lucida Grande" w:cs="Lucida Grande"/>
      <w:sz w:val="18"/>
      <w:szCs w:val="18"/>
    </w:rPr>
  </w:style>
  <w:style w:type="character" w:customStyle="1" w:styleId="TextbublinyChar">
    <w:name w:val="Text bubliny Char"/>
    <w:basedOn w:val="Predvolenpsmoodseku"/>
    <w:link w:val="Textbubliny"/>
    <w:uiPriority w:val="99"/>
    <w:locked/>
    <w:rsid w:val="00490F46"/>
    <w:rPr>
      <w:rFonts w:ascii="Lucida Grande" w:hAnsi="Lucida Grande" w:cs="Lucida Grande"/>
      <w:sz w:val="18"/>
      <w:szCs w:val="18"/>
      <w:lang w:val="sk-SK" w:eastAsia="x-none"/>
    </w:rPr>
  </w:style>
  <w:style w:type="paragraph" w:styleId="Pta">
    <w:name w:val="footer"/>
    <w:basedOn w:val="Normlny"/>
    <w:link w:val="PtaChar"/>
    <w:uiPriority w:val="99"/>
    <w:unhideWhenUsed/>
    <w:rsid w:val="004A29FC"/>
    <w:pPr>
      <w:tabs>
        <w:tab w:val="center" w:pos="4153"/>
        <w:tab w:val="right" w:pos="8306"/>
      </w:tabs>
      <w:spacing w:before="0" w:after="0"/>
    </w:pPr>
  </w:style>
  <w:style w:type="character" w:customStyle="1" w:styleId="PtaChar">
    <w:name w:val="Päta Char"/>
    <w:basedOn w:val="Predvolenpsmoodseku"/>
    <w:link w:val="Pta"/>
    <w:uiPriority w:val="99"/>
    <w:locked/>
    <w:rsid w:val="004A29FC"/>
    <w:rPr>
      <w:rFonts w:cs="Times New Roman"/>
      <w:sz w:val="22"/>
      <w:lang w:val="sk-SK" w:eastAsia="x-none"/>
    </w:rPr>
  </w:style>
  <w:style w:type="character" w:styleId="slostrany">
    <w:name w:val="page number"/>
    <w:basedOn w:val="Predvolenpsmoodseku"/>
    <w:uiPriority w:val="99"/>
    <w:semiHidden/>
    <w:unhideWhenUsed/>
    <w:rsid w:val="004A29FC"/>
    <w:rPr>
      <w:rFonts w:cs="Times New Roman"/>
    </w:rPr>
  </w:style>
  <w:style w:type="paragraph" w:styleId="Obsah1">
    <w:name w:val="toc 1"/>
    <w:basedOn w:val="Normlny"/>
    <w:next w:val="Normlny"/>
    <w:autoRedefine/>
    <w:uiPriority w:val="39"/>
    <w:unhideWhenUsed/>
    <w:qFormat/>
    <w:rsid w:val="004F266C"/>
    <w:pPr>
      <w:tabs>
        <w:tab w:val="left" w:pos="567"/>
        <w:tab w:val="right" w:leader="dot" w:pos="9356"/>
      </w:tabs>
      <w:spacing w:after="0"/>
      <w:ind w:left="435" w:hanging="435"/>
      <w:jc w:val="left"/>
    </w:pPr>
    <w:rPr>
      <w:rFonts w:asciiTheme="majorHAnsi" w:hAnsiTheme="majorHAnsi"/>
      <w:b/>
      <w:noProof/>
      <w:color w:val="1F497D" w:themeColor="text2"/>
      <w:szCs w:val="22"/>
    </w:rPr>
  </w:style>
  <w:style w:type="paragraph" w:styleId="Obsah2">
    <w:name w:val="toc 2"/>
    <w:basedOn w:val="Normlny"/>
    <w:next w:val="Normlny"/>
    <w:autoRedefine/>
    <w:uiPriority w:val="39"/>
    <w:unhideWhenUsed/>
    <w:qFormat/>
    <w:rsid w:val="004F266C"/>
    <w:pPr>
      <w:tabs>
        <w:tab w:val="left" w:pos="567"/>
        <w:tab w:val="right" w:leader="dot" w:pos="9356"/>
      </w:tabs>
      <w:spacing w:before="0" w:after="0"/>
      <w:ind w:left="567" w:hanging="567"/>
      <w:jc w:val="left"/>
    </w:pPr>
    <w:rPr>
      <w:rFonts w:asciiTheme="majorHAnsi" w:hAnsiTheme="majorHAnsi"/>
      <w:noProof/>
      <w:szCs w:val="22"/>
    </w:rPr>
  </w:style>
  <w:style w:type="paragraph" w:styleId="Obsah3">
    <w:name w:val="toc 3"/>
    <w:basedOn w:val="Normlny"/>
    <w:next w:val="Normlny"/>
    <w:autoRedefine/>
    <w:uiPriority w:val="39"/>
    <w:unhideWhenUsed/>
    <w:qFormat/>
    <w:rsid w:val="00913474"/>
    <w:pPr>
      <w:spacing w:before="0" w:after="0"/>
      <w:ind w:left="440"/>
      <w:jc w:val="left"/>
    </w:pPr>
    <w:rPr>
      <w:szCs w:val="22"/>
    </w:rPr>
  </w:style>
  <w:style w:type="paragraph" w:styleId="Obsah4">
    <w:name w:val="toc 4"/>
    <w:basedOn w:val="Normlny"/>
    <w:next w:val="Normlny"/>
    <w:autoRedefine/>
    <w:uiPriority w:val="39"/>
    <w:unhideWhenUsed/>
    <w:rsid w:val="00913474"/>
    <w:pPr>
      <w:spacing w:before="0" w:after="0"/>
      <w:ind w:left="660"/>
      <w:jc w:val="left"/>
    </w:pPr>
    <w:rPr>
      <w:sz w:val="20"/>
      <w:szCs w:val="20"/>
    </w:rPr>
  </w:style>
  <w:style w:type="paragraph" w:styleId="Obsah5">
    <w:name w:val="toc 5"/>
    <w:basedOn w:val="Normlny"/>
    <w:next w:val="Normlny"/>
    <w:autoRedefine/>
    <w:uiPriority w:val="39"/>
    <w:unhideWhenUsed/>
    <w:rsid w:val="00913474"/>
    <w:pPr>
      <w:spacing w:before="0" w:after="0"/>
      <w:ind w:left="880"/>
      <w:jc w:val="left"/>
    </w:pPr>
    <w:rPr>
      <w:sz w:val="20"/>
      <w:szCs w:val="20"/>
    </w:rPr>
  </w:style>
  <w:style w:type="paragraph" w:styleId="Obsah6">
    <w:name w:val="toc 6"/>
    <w:basedOn w:val="Normlny"/>
    <w:next w:val="Normlny"/>
    <w:autoRedefine/>
    <w:uiPriority w:val="39"/>
    <w:unhideWhenUsed/>
    <w:rsid w:val="00913474"/>
    <w:pPr>
      <w:spacing w:before="0" w:after="0"/>
      <w:ind w:left="1100"/>
      <w:jc w:val="left"/>
    </w:pPr>
    <w:rPr>
      <w:sz w:val="20"/>
      <w:szCs w:val="20"/>
    </w:rPr>
  </w:style>
  <w:style w:type="paragraph" w:styleId="Obsah7">
    <w:name w:val="toc 7"/>
    <w:basedOn w:val="Normlny"/>
    <w:next w:val="Normlny"/>
    <w:autoRedefine/>
    <w:uiPriority w:val="39"/>
    <w:unhideWhenUsed/>
    <w:rsid w:val="00913474"/>
    <w:pPr>
      <w:spacing w:before="0" w:after="0"/>
      <w:ind w:left="1320"/>
      <w:jc w:val="left"/>
    </w:pPr>
    <w:rPr>
      <w:sz w:val="20"/>
      <w:szCs w:val="20"/>
    </w:rPr>
  </w:style>
  <w:style w:type="paragraph" w:styleId="Obsah8">
    <w:name w:val="toc 8"/>
    <w:basedOn w:val="Normlny"/>
    <w:next w:val="Normlny"/>
    <w:autoRedefine/>
    <w:uiPriority w:val="39"/>
    <w:unhideWhenUsed/>
    <w:rsid w:val="00913474"/>
    <w:pPr>
      <w:spacing w:before="0" w:after="0"/>
      <w:ind w:left="1540"/>
      <w:jc w:val="left"/>
    </w:pPr>
    <w:rPr>
      <w:sz w:val="20"/>
      <w:szCs w:val="20"/>
    </w:rPr>
  </w:style>
  <w:style w:type="paragraph" w:styleId="Obsah9">
    <w:name w:val="toc 9"/>
    <w:basedOn w:val="Normlny"/>
    <w:next w:val="Normlny"/>
    <w:autoRedefine/>
    <w:uiPriority w:val="39"/>
    <w:unhideWhenUsed/>
    <w:rsid w:val="00913474"/>
    <w:pPr>
      <w:spacing w:before="0" w:after="0"/>
      <w:ind w:left="1760"/>
      <w:jc w:val="left"/>
    </w:pPr>
    <w:rPr>
      <w:sz w:val="20"/>
      <w:szCs w:val="20"/>
    </w:rPr>
  </w:style>
  <w:style w:type="paragraph" w:styleId="Predmetkomentra">
    <w:name w:val="annotation subject"/>
    <w:basedOn w:val="Textkomentra"/>
    <w:next w:val="Textkomentra"/>
    <w:link w:val="PredmetkomentraChar"/>
    <w:uiPriority w:val="99"/>
    <w:unhideWhenUsed/>
    <w:rsid w:val="004B022F"/>
    <w:pPr>
      <w:spacing w:before="120" w:after="120"/>
      <w:jc w:val="both"/>
    </w:pPr>
    <w:rPr>
      <w:rFonts w:asciiTheme="minorHAnsi" w:eastAsiaTheme="minorEastAsia" w:hAnsiTheme="minorHAnsi"/>
      <w:b/>
      <w:bCs/>
      <w:lang w:eastAsia="en-US"/>
    </w:rPr>
  </w:style>
  <w:style w:type="character" w:customStyle="1" w:styleId="PredmetkomentraChar">
    <w:name w:val="Predmet komentára Char"/>
    <w:basedOn w:val="TextkomentraChar"/>
    <w:link w:val="Predmetkomentra"/>
    <w:uiPriority w:val="99"/>
    <w:locked/>
    <w:rsid w:val="004B022F"/>
    <w:rPr>
      <w:rFonts w:ascii="Calibri" w:eastAsia="MS Mincho" w:hAnsi="Calibri" w:cs="Times New Roman"/>
      <w:b/>
      <w:bCs/>
      <w:sz w:val="20"/>
      <w:szCs w:val="20"/>
      <w:lang w:val="sk-SK" w:eastAsia="sk-SK"/>
    </w:rPr>
  </w:style>
  <w:style w:type="paragraph" w:customStyle="1" w:styleId="Style13">
    <w:name w:val="Style13"/>
    <w:basedOn w:val="Normlny"/>
    <w:uiPriority w:val="99"/>
    <w:rsid w:val="00EC7F17"/>
    <w:pPr>
      <w:widowControl w:val="0"/>
      <w:autoSpaceDE w:val="0"/>
      <w:autoSpaceDN w:val="0"/>
      <w:adjustRightInd w:val="0"/>
      <w:spacing w:before="0" w:after="0" w:line="278" w:lineRule="exact"/>
      <w:ind w:hanging="322"/>
    </w:pPr>
    <w:rPr>
      <w:rFonts w:ascii="Times New Roman" w:hAnsi="Times New Roman"/>
      <w:sz w:val="24"/>
      <w:lang w:eastAsia="sk-SK"/>
    </w:rPr>
  </w:style>
  <w:style w:type="character" w:styleId="Intenzvnyodkaz">
    <w:name w:val="Intense Reference"/>
    <w:basedOn w:val="Predvolenpsmoodseku"/>
    <w:uiPriority w:val="32"/>
    <w:qFormat/>
    <w:rsid w:val="00C1641E"/>
    <w:rPr>
      <w:rFonts w:cs="Times New Roman"/>
      <w:b/>
      <w:bCs/>
      <w:color w:val="76923C" w:themeColor="accent3" w:themeShade="BF"/>
      <w:u w:val="single" w:color="9BBB59" w:themeColor="accent3"/>
    </w:rPr>
  </w:style>
  <w:style w:type="paragraph" w:customStyle="1" w:styleId="tlText2VlastnfarbaRGB31">
    <w:name w:val="Štýl Text 2 + Vlastná farba (RGB(31"/>
    <w:aliases w:val="73,125)) Rámček: (Jednoduché..."/>
    <w:basedOn w:val="Normlny"/>
    <w:uiPriority w:val="99"/>
    <w:rsid w:val="00013BE1"/>
    <w:pPr>
      <w:spacing w:before="0" w:after="0" w:line="288" w:lineRule="auto"/>
    </w:pPr>
    <w:rPr>
      <w:rFonts w:ascii="Calibri" w:hAnsi="Calibri"/>
      <w:color w:val="1F497D"/>
      <w:szCs w:val="20"/>
      <w:lang w:val="en-GB"/>
    </w:rPr>
  </w:style>
  <w:style w:type="paragraph" w:styleId="Hlavika">
    <w:name w:val="header"/>
    <w:basedOn w:val="Normlny"/>
    <w:link w:val="HlavikaChar"/>
    <w:uiPriority w:val="99"/>
    <w:unhideWhenUsed/>
    <w:rsid w:val="00406C25"/>
    <w:pPr>
      <w:tabs>
        <w:tab w:val="center" w:pos="4536"/>
        <w:tab w:val="right" w:pos="9072"/>
      </w:tabs>
      <w:spacing w:before="0" w:after="0"/>
    </w:pPr>
  </w:style>
  <w:style w:type="character" w:customStyle="1" w:styleId="HlavikaChar">
    <w:name w:val="Hlavička Char"/>
    <w:basedOn w:val="Predvolenpsmoodseku"/>
    <w:link w:val="Hlavika"/>
    <w:uiPriority w:val="99"/>
    <w:locked/>
    <w:rsid w:val="00406C25"/>
    <w:rPr>
      <w:rFonts w:cs="Times New Roman"/>
      <w:sz w:val="22"/>
      <w:lang w:val="sk-SK" w:eastAsia="x-none"/>
    </w:rPr>
  </w:style>
  <w:style w:type="paragraph" w:styleId="Revzia">
    <w:name w:val="Revision"/>
    <w:hidden/>
    <w:uiPriority w:val="99"/>
    <w:rsid w:val="00106EEF"/>
    <w:rPr>
      <w:sz w:val="22"/>
      <w:lang w:val="sk-SK"/>
    </w:rPr>
  </w:style>
  <w:style w:type="paragraph" w:customStyle="1" w:styleId="Default">
    <w:name w:val="Default"/>
    <w:rsid w:val="00172537"/>
    <w:pPr>
      <w:autoSpaceDE w:val="0"/>
      <w:autoSpaceDN w:val="0"/>
      <w:adjustRightInd w:val="0"/>
    </w:pPr>
    <w:rPr>
      <w:rFonts w:ascii="Times New Roman" w:hAnsi="Times New Roman"/>
      <w:color w:val="000000"/>
      <w:lang w:val="sk-SK"/>
    </w:rPr>
  </w:style>
  <w:style w:type="paragraph" w:customStyle="1" w:styleId="MP3">
    <w:name w:val="MP3"/>
    <w:basedOn w:val="Normlny"/>
    <w:autoRedefine/>
    <w:qFormat/>
    <w:rsid w:val="00894D52"/>
    <w:pPr>
      <w:numPr>
        <w:ilvl w:val="2"/>
        <w:numId w:val="7"/>
      </w:numPr>
      <w:spacing w:before="240"/>
      <w:jc w:val="left"/>
    </w:pPr>
    <w:rPr>
      <w:rFonts w:ascii="Times New Roman" w:hAnsi="Times New Roman"/>
      <w:b/>
      <w:bCs/>
      <w:i/>
      <w:iCs/>
      <w:szCs w:val="20"/>
      <w:lang w:eastAsia="cs-CZ"/>
    </w:rPr>
  </w:style>
  <w:style w:type="paragraph" w:customStyle="1" w:styleId="MP4">
    <w:name w:val="MP4"/>
    <w:basedOn w:val="Normlny"/>
    <w:autoRedefine/>
    <w:qFormat/>
    <w:rsid w:val="00894D52"/>
    <w:pPr>
      <w:numPr>
        <w:ilvl w:val="3"/>
        <w:numId w:val="7"/>
      </w:numPr>
      <w:spacing w:before="240"/>
      <w:jc w:val="left"/>
    </w:pPr>
    <w:rPr>
      <w:rFonts w:ascii="Times New Roman" w:hAnsi="Times New Roman" w:cs="Arial"/>
      <w:b/>
      <w:i/>
      <w:szCs w:val="20"/>
      <w:lang w:eastAsia="cs-CZ"/>
    </w:rPr>
  </w:style>
  <w:style w:type="paragraph" w:customStyle="1" w:styleId="DecimalAligned">
    <w:name w:val="Decimal Aligned"/>
    <w:basedOn w:val="Normlny"/>
    <w:uiPriority w:val="40"/>
    <w:qFormat/>
    <w:rsid w:val="00894D52"/>
    <w:pPr>
      <w:tabs>
        <w:tab w:val="decimal" w:pos="360"/>
      </w:tabs>
      <w:spacing w:before="0" w:after="200" w:line="276" w:lineRule="auto"/>
      <w:jc w:val="left"/>
    </w:pPr>
    <w:rPr>
      <w:rFonts w:ascii="Calibri" w:hAnsi="Calibri"/>
      <w:szCs w:val="22"/>
      <w:lang w:eastAsia="sk-SK"/>
    </w:rPr>
  </w:style>
  <w:style w:type="character" w:styleId="Siln">
    <w:name w:val="Strong"/>
    <w:basedOn w:val="Predvolenpsmoodseku"/>
    <w:uiPriority w:val="22"/>
    <w:qFormat/>
    <w:rsid w:val="00894D52"/>
    <w:rPr>
      <w:rFonts w:cs="Times New Roman"/>
      <w:b/>
    </w:rPr>
  </w:style>
  <w:style w:type="character" w:styleId="Jemnzvraznenie">
    <w:name w:val="Subtle Emphasis"/>
    <w:basedOn w:val="Predvolenpsmoodseku"/>
    <w:uiPriority w:val="19"/>
    <w:qFormat/>
    <w:rsid w:val="00894D52"/>
    <w:rPr>
      <w:rFonts w:cs="Times New Roman"/>
      <w:i/>
      <w:color w:val="000000"/>
    </w:rPr>
  </w:style>
  <w:style w:type="paragraph" w:styleId="Hlavikaobsahu">
    <w:name w:val="TOC Heading"/>
    <w:basedOn w:val="Nadpis1"/>
    <w:next w:val="Normlny"/>
    <w:uiPriority w:val="39"/>
    <w:semiHidden/>
    <w:unhideWhenUsed/>
    <w:qFormat/>
    <w:rsid w:val="00894D52"/>
    <w:pPr>
      <w:spacing w:before="480" w:line="276" w:lineRule="auto"/>
      <w:jc w:val="left"/>
      <w:outlineLvl w:val="9"/>
    </w:pPr>
    <w:rPr>
      <w:rFonts w:ascii="Cambria" w:eastAsiaTheme="minorEastAsia" w:hAnsi="Cambria"/>
      <w:color w:val="365F91"/>
      <w:sz w:val="28"/>
      <w:szCs w:val="28"/>
      <w:lang w:eastAsia="sk-SK"/>
    </w:rPr>
  </w:style>
  <w:style w:type="character" w:customStyle="1" w:styleId="hps">
    <w:name w:val="hps"/>
    <w:basedOn w:val="Predvolenpsmoodseku"/>
    <w:rsid w:val="00894D52"/>
    <w:rPr>
      <w:rFonts w:cs="Times New Roman"/>
    </w:rPr>
  </w:style>
  <w:style w:type="character" w:customStyle="1" w:styleId="atn">
    <w:name w:val="atn"/>
    <w:basedOn w:val="Predvolenpsmoodseku"/>
    <w:rsid w:val="00894D52"/>
    <w:rPr>
      <w:rFonts w:cs="Times New Roman"/>
    </w:rPr>
  </w:style>
  <w:style w:type="table" w:customStyle="1" w:styleId="Deloittetable31">
    <w:name w:val="Deloitte table 31"/>
    <w:basedOn w:val="Normlnatabuka"/>
    <w:next w:val="Mriekatabuky"/>
    <w:uiPriority w:val="59"/>
    <w:rsid w:val="00894D52"/>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894D52"/>
    <w:rPr>
      <w:rFonts w:ascii="EUAlbertina" w:hAnsi="EUAlbertina"/>
      <w:color w:val="auto"/>
    </w:rPr>
  </w:style>
  <w:style w:type="paragraph" w:customStyle="1" w:styleId="CM3">
    <w:name w:val="CM3"/>
    <w:basedOn w:val="Default"/>
    <w:next w:val="Default"/>
    <w:uiPriority w:val="99"/>
    <w:rsid w:val="00894D52"/>
    <w:rPr>
      <w:rFonts w:ascii="EUAlbertina" w:hAnsi="EUAlbertina"/>
      <w:color w:val="auto"/>
    </w:rPr>
  </w:style>
  <w:style w:type="paragraph" w:customStyle="1" w:styleId="CM4">
    <w:name w:val="CM4"/>
    <w:basedOn w:val="Default"/>
    <w:next w:val="Default"/>
    <w:uiPriority w:val="99"/>
    <w:rsid w:val="00894D52"/>
    <w:rPr>
      <w:rFonts w:ascii="EUAlbertina" w:hAnsi="EUAlbertina"/>
      <w:color w:val="auto"/>
    </w:rPr>
  </w:style>
  <w:style w:type="paragraph" w:customStyle="1" w:styleId="Textbody">
    <w:name w:val="Text body"/>
    <w:basedOn w:val="Normlny"/>
    <w:uiPriority w:val="99"/>
    <w:rsid w:val="00894D52"/>
    <w:pPr>
      <w:suppressAutoHyphens/>
      <w:autoSpaceDN w:val="0"/>
      <w:spacing w:before="0" w:after="0"/>
      <w:jc w:val="left"/>
      <w:textAlignment w:val="baseline"/>
    </w:pPr>
    <w:rPr>
      <w:rFonts w:ascii="Times New Roman" w:eastAsia="SimSun" w:hAnsi="Times New Roman" w:cs="Mangal"/>
      <w:kern w:val="3"/>
      <w:sz w:val="24"/>
      <w:lang w:eastAsia="zh-CN" w:bidi="hi-IN"/>
    </w:rPr>
  </w:style>
  <w:style w:type="table" w:styleId="Mriekatabuky">
    <w:name w:val="Table Grid"/>
    <w:basedOn w:val="Normlnatabuka"/>
    <w:uiPriority w:val="59"/>
    <w:rsid w:val="0089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qFormat/>
    <w:rsid w:val="002855C4"/>
    <w:pPr>
      <w:spacing w:before="130" w:after="130"/>
    </w:pPr>
    <w:rPr>
      <w:rFonts w:ascii="Times New Roman" w:hAnsi="Times New Roman"/>
      <w:szCs w:val="20"/>
      <w:lang w:val="en-US"/>
    </w:rPr>
  </w:style>
  <w:style w:type="character" w:customStyle="1" w:styleId="ZkladntextChar">
    <w:name w:val="Základný text Char"/>
    <w:basedOn w:val="Predvolenpsmoodseku"/>
    <w:link w:val="Zkladntext"/>
    <w:uiPriority w:val="99"/>
    <w:locked/>
    <w:rsid w:val="002855C4"/>
    <w:rPr>
      <w:rFonts w:ascii="Times New Roman" w:hAnsi="Times New Roman" w:cs="Times New Roman"/>
      <w:sz w:val="20"/>
      <w:szCs w:val="20"/>
    </w:rPr>
  </w:style>
  <w:style w:type="paragraph" w:styleId="Zoznamsodrkami">
    <w:name w:val="List Bullet"/>
    <w:basedOn w:val="Zkladntext"/>
    <w:uiPriority w:val="99"/>
    <w:qFormat/>
    <w:rsid w:val="002855C4"/>
    <w:pPr>
      <w:numPr>
        <w:numId w:val="24"/>
      </w:numPr>
    </w:pPr>
  </w:style>
  <w:style w:type="table" w:customStyle="1" w:styleId="Mriekatabuky3">
    <w:name w:val="Mriežka tabuľky3"/>
    <w:basedOn w:val="Normlnatabuka"/>
    <w:uiPriority w:val="59"/>
    <w:rsid w:val="00DE29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lny"/>
    <w:rsid w:val="00AC4D9D"/>
    <w:pPr>
      <w:tabs>
        <w:tab w:val="left" w:pos="2302"/>
      </w:tabs>
      <w:spacing w:before="0" w:after="0"/>
      <w:ind w:left="1916"/>
      <w:jc w:val="left"/>
    </w:pPr>
    <w:rPr>
      <w:rFonts w:ascii="Times New Roman" w:hAnsi="Times New Roman"/>
      <w:sz w:val="24"/>
      <w:lang w:val="en-GB" w:eastAsia="en-GB"/>
    </w:rPr>
  </w:style>
  <w:style w:type="paragraph" w:customStyle="1" w:styleId="Text2">
    <w:name w:val="Text 2"/>
    <w:basedOn w:val="Normlny"/>
    <w:rsid w:val="00AC4D9D"/>
    <w:pPr>
      <w:tabs>
        <w:tab w:val="left" w:pos="2160"/>
      </w:tabs>
      <w:spacing w:before="0" w:after="0"/>
      <w:ind w:left="1077"/>
      <w:jc w:val="left"/>
    </w:pPr>
    <w:rPr>
      <w:rFonts w:ascii="Times New Roman" w:hAnsi="Times New Roman"/>
      <w:sz w:val="24"/>
      <w:lang w:val="en-GB" w:eastAsia="en-GB"/>
    </w:rPr>
  </w:style>
  <w:style w:type="paragraph" w:styleId="Nzov">
    <w:name w:val="Title"/>
    <w:basedOn w:val="Normlny"/>
    <w:next w:val="Normlny"/>
    <w:link w:val="NzovChar"/>
    <w:uiPriority w:val="10"/>
    <w:qFormat/>
    <w:rsid w:val="00A11FE0"/>
    <w:pPr>
      <w:pBdr>
        <w:bottom w:val="single" w:sz="8" w:space="4" w:color="4F81BD"/>
      </w:pBdr>
      <w:spacing w:before="0" w:after="300"/>
      <w:contextualSpacing/>
    </w:pPr>
    <w:rPr>
      <w:rFonts w:ascii="Calibri" w:hAnsi="Calibri"/>
      <w:color w:val="17365D"/>
      <w:spacing w:val="5"/>
      <w:kern w:val="28"/>
      <w:sz w:val="52"/>
      <w:szCs w:val="52"/>
    </w:rPr>
  </w:style>
  <w:style w:type="character" w:customStyle="1" w:styleId="NzovChar">
    <w:name w:val="Názov Char"/>
    <w:basedOn w:val="Predvolenpsmoodseku"/>
    <w:link w:val="Nzov"/>
    <w:uiPriority w:val="10"/>
    <w:locked/>
    <w:rsid w:val="00A11FE0"/>
    <w:rPr>
      <w:rFonts w:ascii="Calibri" w:hAnsi="Calibri" w:cs="Times New Roman"/>
      <w:color w:val="17365D"/>
      <w:spacing w:val="5"/>
      <w:kern w:val="28"/>
      <w:sz w:val="52"/>
      <w:szCs w:val="52"/>
      <w:lang w:val="sk-SK" w:eastAsia="x-none"/>
    </w:rPr>
  </w:style>
  <w:style w:type="paragraph" w:customStyle="1" w:styleId="Normln">
    <w:name w:val="Normální"/>
    <w:basedOn w:val="Normlny"/>
    <w:next w:val="Normlny"/>
    <w:uiPriority w:val="99"/>
    <w:rsid w:val="00A11FE0"/>
    <w:pPr>
      <w:autoSpaceDE w:val="0"/>
      <w:autoSpaceDN w:val="0"/>
      <w:adjustRightInd w:val="0"/>
      <w:spacing w:before="0" w:after="0"/>
      <w:jc w:val="left"/>
    </w:pPr>
    <w:rPr>
      <w:rFonts w:ascii="Times New Roman" w:hAnsi="Times New Roman"/>
      <w:sz w:val="24"/>
    </w:rPr>
  </w:style>
  <w:style w:type="character" w:customStyle="1" w:styleId="FontStyle53">
    <w:name w:val="Font Style53"/>
    <w:uiPriority w:val="99"/>
    <w:rsid w:val="00A11FE0"/>
    <w:rPr>
      <w:rFonts w:ascii="Times New Roman" w:hAnsi="Times New Roman"/>
      <w:b/>
      <w:sz w:val="22"/>
    </w:rPr>
  </w:style>
  <w:style w:type="paragraph" w:customStyle="1" w:styleId="tl">
    <w:name w:val="Štýl"/>
    <w:basedOn w:val="Normlny"/>
    <w:uiPriority w:val="99"/>
    <w:rsid w:val="00A11FE0"/>
    <w:pPr>
      <w:autoSpaceDE w:val="0"/>
      <w:autoSpaceDN w:val="0"/>
      <w:spacing w:before="0" w:after="0"/>
      <w:jc w:val="left"/>
    </w:pPr>
    <w:rPr>
      <w:rFonts w:ascii="Times New Roman" w:hAnsi="Times New Roman"/>
      <w:sz w:val="24"/>
      <w:lang w:eastAsia="cs-CZ"/>
    </w:rPr>
  </w:style>
  <w:style w:type="character" w:customStyle="1" w:styleId="TextpoznmkypodiarouChar1">
    <w:name w:val="Text poznámky pod čiarou Char1"/>
    <w:aliases w:val="Stinking Styles2 Char1,Tekst przypisu- dokt Char1,Char Char Char Char1,Char Char1,Char Char Char Char Char Char Char Char Char Char1,Char Char Char Char Char Char Char Char Char Char Char Char1,Char Char Ch Char1,o Char1"/>
    <w:uiPriority w:val="99"/>
    <w:semiHidden/>
    <w:rsid w:val="00A11FE0"/>
    <w:rPr>
      <w:rFonts w:ascii="Courier New" w:hAnsi="Courier New"/>
      <w:sz w:val="20"/>
      <w:lang w:val="en-GB" w:eastAsia="x-none"/>
    </w:rPr>
  </w:style>
  <w:style w:type="character" w:styleId="Jemnodkaz">
    <w:name w:val="Subtle Reference"/>
    <w:basedOn w:val="Predvolenpsmoodseku"/>
    <w:uiPriority w:val="31"/>
    <w:qFormat/>
    <w:rsid w:val="00A11FE0"/>
    <w:rPr>
      <w:rFonts w:cs="Times New Roman"/>
      <w:vertAlign w:val="baseline"/>
    </w:rPr>
  </w:style>
  <w:style w:type="table" w:customStyle="1" w:styleId="Mriekatabuky1">
    <w:name w:val="Mriežka tabuľky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A11FE0"/>
    <w:pPr>
      <w:spacing w:before="0" w:after="0"/>
      <w:jc w:val="left"/>
    </w:pPr>
    <w:rPr>
      <w:rFonts w:ascii="Times New Roman" w:hAnsi="Times New Roman"/>
      <w:sz w:val="24"/>
      <w:lang w:val="en-GB"/>
    </w:rPr>
  </w:style>
  <w:style w:type="paragraph" w:styleId="Zarkazkladnhotextu">
    <w:name w:val="Body Text Indent"/>
    <w:basedOn w:val="Normlny"/>
    <w:link w:val="ZarkazkladnhotextuChar"/>
    <w:uiPriority w:val="99"/>
    <w:rsid w:val="00A11FE0"/>
    <w:pPr>
      <w:spacing w:before="0" w:after="0"/>
      <w:ind w:firstLine="709"/>
    </w:pPr>
    <w:rPr>
      <w:rFonts w:ascii="Times New Roman" w:hAnsi="Times New Roman"/>
      <w:sz w:val="24"/>
      <w:szCs w:val="20"/>
      <w:lang w:eastAsia="sk-SK"/>
    </w:rPr>
  </w:style>
  <w:style w:type="character" w:customStyle="1" w:styleId="ZarkazkladnhotextuChar">
    <w:name w:val="Zarážka základného textu Char"/>
    <w:basedOn w:val="Predvolenpsmoodseku"/>
    <w:link w:val="Zarkazkladnhotextu"/>
    <w:uiPriority w:val="99"/>
    <w:locked/>
    <w:rsid w:val="00A11FE0"/>
    <w:rPr>
      <w:rFonts w:ascii="Times New Roman" w:hAnsi="Times New Roman" w:cs="Times New Roman"/>
      <w:sz w:val="20"/>
      <w:szCs w:val="20"/>
      <w:lang w:val="sk-SK" w:eastAsia="sk-SK"/>
    </w:rPr>
  </w:style>
  <w:style w:type="paragraph" w:styleId="Zarkazkladnhotextu2">
    <w:name w:val="Body Text Indent 2"/>
    <w:basedOn w:val="Normlny"/>
    <w:link w:val="Zarkazkladnhotextu2Char"/>
    <w:uiPriority w:val="99"/>
    <w:rsid w:val="00A11FE0"/>
    <w:pPr>
      <w:spacing w:before="0" w:after="0"/>
      <w:ind w:firstLine="708"/>
      <w:jc w:val="left"/>
    </w:pPr>
    <w:rPr>
      <w:rFonts w:ascii="Times New Roman" w:hAnsi="Times New Roman"/>
      <w:sz w:val="24"/>
      <w:szCs w:val="20"/>
      <w:lang w:eastAsia="sk-SK"/>
    </w:rPr>
  </w:style>
  <w:style w:type="character" w:customStyle="1" w:styleId="Zarkazkladnhotextu2Char">
    <w:name w:val="Zarážka základného textu 2 Char"/>
    <w:basedOn w:val="Predvolenpsmoodseku"/>
    <w:link w:val="Zarkazkladnhotextu2"/>
    <w:uiPriority w:val="99"/>
    <w:locked/>
    <w:rsid w:val="00A11FE0"/>
    <w:rPr>
      <w:rFonts w:ascii="Times New Roman" w:hAnsi="Times New Roman" w:cs="Times New Roman"/>
      <w:sz w:val="20"/>
      <w:szCs w:val="20"/>
      <w:lang w:val="sk-SK" w:eastAsia="sk-SK"/>
    </w:rPr>
  </w:style>
  <w:style w:type="paragraph" w:customStyle="1" w:styleId="Zkladntextb">
    <w:name w:val="Základný text.b"/>
    <w:basedOn w:val="Normlny"/>
    <w:uiPriority w:val="99"/>
    <w:rsid w:val="00A11FE0"/>
    <w:pPr>
      <w:spacing w:before="0" w:after="0"/>
      <w:jc w:val="center"/>
    </w:pPr>
    <w:rPr>
      <w:rFonts w:ascii="Times New Roman" w:hAnsi="Times New Roman"/>
      <w:sz w:val="28"/>
      <w:szCs w:val="20"/>
      <w:lang w:eastAsia="sk-SK"/>
    </w:rPr>
  </w:style>
  <w:style w:type="character" w:customStyle="1" w:styleId="Textzstupnhosymbolu1">
    <w:name w:val="Text zástupného symbolu1"/>
    <w:uiPriority w:val="99"/>
    <w:semiHidden/>
    <w:rsid w:val="00A11FE0"/>
    <w:rPr>
      <w:rFonts w:ascii="Times New Roman" w:hAnsi="Times New Roman"/>
      <w:color w:val="808080"/>
    </w:rPr>
  </w:style>
  <w:style w:type="character" w:customStyle="1" w:styleId="MsoPlaceholderText0">
    <w:name w:val="MsoPlaceholderText"/>
    <w:rsid w:val="00A11FE0"/>
    <w:rPr>
      <w:rFonts w:ascii="Times New Roman" w:hAnsi="Times New Roman"/>
      <w:color w:val="808080"/>
    </w:rPr>
  </w:style>
  <w:style w:type="character" w:styleId="Zvraznenie">
    <w:name w:val="Emphasis"/>
    <w:basedOn w:val="Predvolenpsmoodseku"/>
    <w:uiPriority w:val="20"/>
    <w:qFormat/>
    <w:rsid w:val="00A11FE0"/>
    <w:rPr>
      <w:rFonts w:cs="Times New Roman"/>
      <w:i/>
    </w:rPr>
  </w:style>
  <w:style w:type="character" w:styleId="PouitHypertextovPrepojenie">
    <w:name w:val="FollowedHyperlink"/>
    <w:basedOn w:val="Predvolenpsmoodseku"/>
    <w:uiPriority w:val="99"/>
    <w:rsid w:val="00A11FE0"/>
    <w:rPr>
      <w:rFonts w:cs="Times New Roman"/>
      <w:color w:val="800080"/>
      <w:u w:val="single"/>
    </w:rPr>
  </w:style>
  <w:style w:type="paragraph" w:customStyle="1" w:styleId="Bezriadkovania1">
    <w:name w:val="Bez riadkovania1"/>
    <w:uiPriority w:val="99"/>
    <w:rsid w:val="00A11FE0"/>
    <w:rPr>
      <w:rFonts w:ascii="Calibri" w:hAnsi="Calibri"/>
      <w:sz w:val="22"/>
      <w:szCs w:val="22"/>
      <w:lang w:val="sk-SK"/>
    </w:rPr>
  </w:style>
  <w:style w:type="paragraph" w:customStyle="1" w:styleId="Odsekzoznamu1">
    <w:name w:val="Odsek zoznamu1"/>
    <w:basedOn w:val="Normlny"/>
    <w:uiPriority w:val="34"/>
    <w:qFormat/>
    <w:rsid w:val="00A11FE0"/>
    <w:pPr>
      <w:spacing w:before="0" w:after="0"/>
      <w:ind w:left="708"/>
      <w:jc w:val="left"/>
    </w:pPr>
    <w:rPr>
      <w:rFonts w:ascii="Times New Roman" w:hAnsi="Times New Roman"/>
      <w:sz w:val="24"/>
      <w:lang w:eastAsia="cs-CZ"/>
    </w:rPr>
  </w:style>
  <w:style w:type="paragraph" w:customStyle="1" w:styleId="Style15">
    <w:name w:val="Style15"/>
    <w:basedOn w:val="Normlny"/>
    <w:uiPriority w:val="99"/>
    <w:rsid w:val="00A11FE0"/>
    <w:pPr>
      <w:widowControl w:val="0"/>
      <w:autoSpaceDE w:val="0"/>
      <w:autoSpaceDN w:val="0"/>
      <w:adjustRightInd w:val="0"/>
      <w:spacing w:before="0" w:after="0" w:line="264" w:lineRule="exact"/>
      <w:jc w:val="left"/>
    </w:pPr>
    <w:rPr>
      <w:rFonts w:ascii="Arial" w:hAnsi="Arial" w:cs="Arial"/>
      <w:sz w:val="24"/>
      <w:lang w:eastAsia="sk-SK"/>
    </w:rPr>
  </w:style>
  <w:style w:type="paragraph" w:customStyle="1" w:styleId="Style72">
    <w:name w:val="Style72"/>
    <w:basedOn w:val="Normlny"/>
    <w:uiPriority w:val="99"/>
    <w:rsid w:val="00A11FE0"/>
    <w:pPr>
      <w:widowControl w:val="0"/>
      <w:autoSpaceDE w:val="0"/>
      <w:autoSpaceDN w:val="0"/>
      <w:adjustRightInd w:val="0"/>
      <w:spacing w:before="0" w:after="0" w:line="274" w:lineRule="exact"/>
      <w:ind w:hanging="850"/>
      <w:jc w:val="left"/>
    </w:pPr>
    <w:rPr>
      <w:rFonts w:ascii="Arial" w:hAnsi="Arial" w:cs="Arial"/>
      <w:sz w:val="24"/>
      <w:lang w:eastAsia="sk-SK"/>
    </w:rPr>
  </w:style>
  <w:style w:type="character" w:customStyle="1" w:styleId="FontStyle123">
    <w:name w:val="Font Style123"/>
    <w:uiPriority w:val="99"/>
    <w:rsid w:val="00A11FE0"/>
    <w:rPr>
      <w:rFonts w:ascii="Times New Roman" w:hAnsi="Times New Roman"/>
      <w:sz w:val="22"/>
    </w:rPr>
  </w:style>
  <w:style w:type="paragraph" w:customStyle="1" w:styleId="Style18">
    <w:name w:val="Style18"/>
    <w:basedOn w:val="Normlny"/>
    <w:uiPriority w:val="99"/>
    <w:rsid w:val="00A11FE0"/>
    <w:pPr>
      <w:widowControl w:val="0"/>
      <w:autoSpaceDE w:val="0"/>
      <w:autoSpaceDN w:val="0"/>
      <w:adjustRightInd w:val="0"/>
      <w:spacing w:before="0" w:after="0" w:line="209" w:lineRule="exact"/>
      <w:jc w:val="left"/>
    </w:pPr>
    <w:rPr>
      <w:rFonts w:ascii="Arial" w:hAnsi="Arial" w:cs="Arial"/>
      <w:sz w:val="24"/>
      <w:lang w:eastAsia="sk-SK"/>
    </w:rPr>
  </w:style>
  <w:style w:type="character" w:customStyle="1" w:styleId="FontStyle118">
    <w:name w:val="Font Style118"/>
    <w:uiPriority w:val="99"/>
    <w:rsid w:val="00A11FE0"/>
    <w:rPr>
      <w:rFonts w:ascii="Times New Roman" w:hAnsi="Times New Roman"/>
      <w:sz w:val="14"/>
    </w:rPr>
  </w:style>
  <w:style w:type="character" w:customStyle="1" w:styleId="FontStyle133">
    <w:name w:val="Font Style133"/>
    <w:uiPriority w:val="99"/>
    <w:rsid w:val="00A11FE0"/>
    <w:rPr>
      <w:rFonts w:ascii="Times New Roman" w:hAnsi="Times New Roman"/>
      <w:i/>
      <w:sz w:val="18"/>
    </w:rPr>
  </w:style>
  <w:style w:type="character" w:customStyle="1" w:styleId="FontStyle137">
    <w:name w:val="Font Style137"/>
    <w:uiPriority w:val="99"/>
    <w:rsid w:val="00A11FE0"/>
    <w:rPr>
      <w:rFonts w:ascii="Times New Roman" w:hAnsi="Times New Roman"/>
      <w:sz w:val="18"/>
    </w:rPr>
  </w:style>
  <w:style w:type="paragraph" w:customStyle="1" w:styleId="Style20">
    <w:name w:val="Style20"/>
    <w:basedOn w:val="Normlny"/>
    <w:uiPriority w:val="99"/>
    <w:rsid w:val="00A11FE0"/>
    <w:pPr>
      <w:widowControl w:val="0"/>
      <w:autoSpaceDE w:val="0"/>
      <w:autoSpaceDN w:val="0"/>
      <w:adjustRightInd w:val="0"/>
      <w:spacing w:before="0" w:after="0"/>
    </w:pPr>
    <w:rPr>
      <w:rFonts w:ascii="Arial" w:hAnsi="Arial" w:cs="Arial"/>
      <w:sz w:val="24"/>
      <w:lang w:eastAsia="sk-SK"/>
    </w:rPr>
  </w:style>
  <w:style w:type="paragraph" w:customStyle="1" w:styleId="Style77">
    <w:name w:val="Style77"/>
    <w:basedOn w:val="Normlny"/>
    <w:uiPriority w:val="99"/>
    <w:rsid w:val="00A11FE0"/>
    <w:pPr>
      <w:widowControl w:val="0"/>
      <w:autoSpaceDE w:val="0"/>
      <w:autoSpaceDN w:val="0"/>
      <w:adjustRightInd w:val="0"/>
      <w:spacing w:before="0" w:after="0" w:line="192" w:lineRule="exact"/>
    </w:pPr>
    <w:rPr>
      <w:rFonts w:ascii="Arial" w:hAnsi="Arial" w:cs="Arial"/>
      <w:sz w:val="24"/>
      <w:lang w:eastAsia="sk-SK"/>
    </w:rPr>
  </w:style>
  <w:style w:type="character" w:customStyle="1" w:styleId="FontStyle112">
    <w:name w:val="Font Style112"/>
    <w:uiPriority w:val="99"/>
    <w:rsid w:val="00A11FE0"/>
    <w:rPr>
      <w:rFonts w:ascii="Times New Roman" w:hAnsi="Times New Roman"/>
      <w:sz w:val="12"/>
    </w:rPr>
  </w:style>
  <w:style w:type="paragraph" w:customStyle="1" w:styleId="Style76">
    <w:name w:val="Style76"/>
    <w:basedOn w:val="Normlny"/>
    <w:uiPriority w:val="99"/>
    <w:rsid w:val="00A11FE0"/>
    <w:pPr>
      <w:widowControl w:val="0"/>
      <w:autoSpaceDE w:val="0"/>
      <w:autoSpaceDN w:val="0"/>
      <w:adjustRightInd w:val="0"/>
      <w:spacing w:before="0" w:after="0" w:line="187" w:lineRule="exact"/>
      <w:ind w:hanging="715"/>
    </w:pPr>
    <w:rPr>
      <w:rFonts w:ascii="Arial" w:hAnsi="Arial" w:cs="Arial"/>
      <w:sz w:val="24"/>
      <w:lang w:eastAsia="sk-SK"/>
    </w:rPr>
  </w:style>
  <w:style w:type="paragraph" w:customStyle="1" w:styleId="cm40">
    <w:name w:val="cm4"/>
    <w:basedOn w:val="Normlny"/>
    <w:uiPriority w:val="99"/>
    <w:rsid w:val="00A11FE0"/>
    <w:pPr>
      <w:autoSpaceDE w:val="0"/>
      <w:autoSpaceDN w:val="0"/>
      <w:spacing w:before="0" w:after="0"/>
      <w:jc w:val="left"/>
    </w:pPr>
    <w:rPr>
      <w:rFonts w:ascii="EUAlbertina" w:hAnsi="EUAlbertina"/>
      <w:sz w:val="24"/>
      <w:lang w:eastAsia="sk-SK"/>
    </w:rPr>
  </w:style>
  <w:style w:type="paragraph" w:styleId="slovanzoznam">
    <w:name w:val="List Number"/>
    <w:basedOn w:val="Normlny"/>
    <w:uiPriority w:val="99"/>
    <w:rsid w:val="00A11FE0"/>
    <w:pPr>
      <w:numPr>
        <w:numId w:val="47"/>
      </w:numPr>
    </w:pPr>
    <w:rPr>
      <w:rFonts w:ascii="Times New Roman" w:hAnsi="Times New Roman"/>
      <w:sz w:val="24"/>
      <w:lang w:eastAsia="de-DE"/>
    </w:rPr>
  </w:style>
  <w:style w:type="paragraph" w:customStyle="1" w:styleId="ListNumberLevel2">
    <w:name w:val="List Number (Level 2)"/>
    <w:basedOn w:val="Normlny"/>
    <w:uiPriority w:val="99"/>
    <w:rsid w:val="00A11FE0"/>
    <w:pPr>
      <w:numPr>
        <w:ilvl w:val="1"/>
        <w:numId w:val="47"/>
      </w:numPr>
    </w:pPr>
    <w:rPr>
      <w:rFonts w:ascii="Times New Roman" w:hAnsi="Times New Roman"/>
      <w:sz w:val="24"/>
      <w:lang w:eastAsia="de-DE"/>
    </w:rPr>
  </w:style>
  <w:style w:type="paragraph" w:customStyle="1" w:styleId="ListNumberLevel3">
    <w:name w:val="List Number (Level 3)"/>
    <w:basedOn w:val="Normlny"/>
    <w:uiPriority w:val="99"/>
    <w:rsid w:val="00A11FE0"/>
    <w:pPr>
      <w:numPr>
        <w:ilvl w:val="2"/>
        <w:numId w:val="47"/>
      </w:numPr>
    </w:pPr>
    <w:rPr>
      <w:rFonts w:ascii="Times New Roman" w:hAnsi="Times New Roman"/>
      <w:sz w:val="24"/>
      <w:lang w:eastAsia="de-DE"/>
    </w:rPr>
  </w:style>
  <w:style w:type="paragraph" w:customStyle="1" w:styleId="ListNumberLevel4">
    <w:name w:val="List Number (Level 4)"/>
    <w:basedOn w:val="Normlny"/>
    <w:uiPriority w:val="99"/>
    <w:rsid w:val="00A11FE0"/>
    <w:pPr>
      <w:numPr>
        <w:ilvl w:val="3"/>
        <w:numId w:val="47"/>
      </w:numPr>
    </w:pPr>
    <w:rPr>
      <w:rFonts w:ascii="Times New Roman" w:hAnsi="Times New Roman"/>
      <w:sz w:val="24"/>
      <w:lang w:eastAsia="de-DE"/>
    </w:rPr>
  </w:style>
  <w:style w:type="paragraph" w:styleId="Zkladntext2">
    <w:name w:val="Body Text 2"/>
    <w:basedOn w:val="Normlny"/>
    <w:link w:val="Zkladntext2Char"/>
    <w:uiPriority w:val="99"/>
    <w:rsid w:val="00A11FE0"/>
    <w:pPr>
      <w:spacing w:before="0" w:line="480" w:lineRule="auto"/>
    </w:pPr>
    <w:rPr>
      <w:rFonts w:ascii="Times New Roman" w:hAnsi="Times New Roman"/>
      <w:sz w:val="24"/>
      <w:szCs w:val="20"/>
      <w:lang w:eastAsia="sk-SK"/>
    </w:rPr>
  </w:style>
  <w:style w:type="character" w:customStyle="1" w:styleId="Zkladntext2Char">
    <w:name w:val="Základný text 2 Char"/>
    <w:basedOn w:val="Predvolenpsmoodseku"/>
    <w:link w:val="Zkladntext2"/>
    <w:uiPriority w:val="99"/>
    <w:locked/>
    <w:rsid w:val="00A11FE0"/>
    <w:rPr>
      <w:rFonts w:ascii="Times New Roman" w:hAnsi="Times New Roman" w:cs="Times New Roman"/>
      <w:sz w:val="20"/>
      <w:szCs w:val="20"/>
      <w:lang w:val="sk-SK" w:eastAsia="sk-SK"/>
    </w:rPr>
  </w:style>
  <w:style w:type="character" w:customStyle="1" w:styleId="spanr">
    <w:name w:val="span_r"/>
    <w:uiPriority w:val="99"/>
    <w:rsid w:val="00A11FE0"/>
  </w:style>
  <w:style w:type="paragraph" w:customStyle="1" w:styleId="Style30">
    <w:name w:val="Style3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6">
    <w:name w:val="Style26"/>
    <w:basedOn w:val="Normlny"/>
    <w:uiPriority w:val="99"/>
    <w:rsid w:val="00A11FE0"/>
    <w:pPr>
      <w:widowControl w:val="0"/>
      <w:autoSpaceDE w:val="0"/>
      <w:autoSpaceDN w:val="0"/>
      <w:adjustRightInd w:val="0"/>
      <w:spacing w:before="0" w:after="0" w:line="235" w:lineRule="exact"/>
    </w:pPr>
    <w:rPr>
      <w:rFonts w:ascii="Times New Roman" w:hAnsi="Times New Roman"/>
      <w:sz w:val="24"/>
      <w:lang w:eastAsia="sk-SK"/>
    </w:rPr>
  </w:style>
  <w:style w:type="character" w:customStyle="1" w:styleId="FontStyle98">
    <w:name w:val="Font Style98"/>
    <w:uiPriority w:val="99"/>
    <w:rsid w:val="00A11FE0"/>
    <w:rPr>
      <w:rFonts w:ascii="Times New Roman" w:hAnsi="Times New Roman"/>
      <w:b/>
      <w:sz w:val="20"/>
    </w:rPr>
  </w:style>
  <w:style w:type="character" w:customStyle="1" w:styleId="FontStyle97">
    <w:name w:val="Font Style97"/>
    <w:uiPriority w:val="99"/>
    <w:rsid w:val="00A11FE0"/>
    <w:rPr>
      <w:rFonts w:ascii="Times New Roman" w:hAnsi="Times New Roman"/>
      <w:b/>
      <w:sz w:val="22"/>
    </w:rPr>
  </w:style>
  <w:style w:type="paragraph" w:customStyle="1" w:styleId="Style43">
    <w:name w:val="Style43"/>
    <w:basedOn w:val="Normlny"/>
    <w:uiPriority w:val="99"/>
    <w:rsid w:val="00A11FE0"/>
    <w:pPr>
      <w:widowControl w:val="0"/>
      <w:autoSpaceDE w:val="0"/>
      <w:autoSpaceDN w:val="0"/>
      <w:adjustRightInd w:val="0"/>
      <w:spacing w:before="0" w:after="0" w:line="274" w:lineRule="exact"/>
      <w:jc w:val="center"/>
    </w:pPr>
    <w:rPr>
      <w:rFonts w:ascii="Times New Roman" w:hAnsi="Times New Roman"/>
      <w:sz w:val="24"/>
      <w:lang w:eastAsia="sk-SK"/>
    </w:rPr>
  </w:style>
  <w:style w:type="character" w:customStyle="1" w:styleId="FontStyle52">
    <w:name w:val="Font Style52"/>
    <w:rsid w:val="00A11FE0"/>
    <w:rPr>
      <w:rFonts w:ascii="Times New Roman" w:hAnsi="Times New Roman"/>
      <w:i/>
      <w:sz w:val="22"/>
    </w:rPr>
  </w:style>
  <w:style w:type="table" w:customStyle="1" w:styleId="Mriekatabuky2">
    <w:name w:val="Mriežka tabuľky2"/>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3">
    <w:name w:val="Font Style93"/>
    <w:uiPriority w:val="99"/>
    <w:rsid w:val="00A11FE0"/>
    <w:rPr>
      <w:rFonts w:ascii="Times New Roman" w:hAnsi="Times New Roman"/>
      <w:sz w:val="16"/>
    </w:rPr>
  </w:style>
  <w:style w:type="table" w:customStyle="1" w:styleId="Mriekatabuky4">
    <w:name w:val="Mriežka tabuľky4"/>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Predvolenpsmoodseku"/>
    <w:rsid w:val="00A11FE0"/>
    <w:rPr>
      <w:rFonts w:cs="Times New Roman"/>
    </w:rPr>
  </w:style>
  <w:style w:type="character" w:customStyle="1" w:styleId="hpsatn">
    <w:name w:val="hps atn"/>
    <w:rsid w:val="00A11FE0"/>
  </w:style>
  <w:style w:type="character" w:customStyle="1" w:styleId="hpsalt-edited">
    <w:name w:val="hps alt-edited"/>
    <w:basedOn w:val="Predvolenpsmoodseku"/>
    <w:rsid w:val="00A11FE0"/>
    <w:rPr>
      <w:rFonts w:cs="Times New Roman"/>
    </w:rPr>
  </w:style>
  <w:style w:type="character" w:customStyle="1" w:styleId="st">
    <w:name w:val="st"/>
    <w:basedOn w:val="Predvolenpsmoodseku"/>
    <w:uiPriority w:val="99"/>
    <w:rsid w:val="00A11FE0"/>
    <w:rPr>
      <w:rFonts w:cs="Times New Roman"/>
    </w:rPr>
  </w:style>
  <w:style w:type="character" w:customStyle="1" w:styleId="alt-edited">
    <w:name w:val="alt-edited"/>
    <w:basedOn w:val="Predvolenpsmoodseku"/>
    <w:rsid w:val="00A11FE0"/>
    <w:rPr>
      <w:rFonts w:cs="Times New Roman"/>
    </w:rPr>
  </w:style>
  <w:style w:type="table" w:customStyle="1" w:styleId="Mriekatabuky5">
    <w:name w:val="Mriežka tabuľky5"/>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
    <w:name w:val="Mriežka tabuľky12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
    <w:name w:val="Mriežka tabuľky211"/>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
    <w:name w:val="Mriežka tabuľky113"/>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
    <w:name w:val="Mriežka tabuľky12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
    <w:name w:val="Mriežka tabuľky212"/>
    <w:basedOn w:val="Normlnatabuka"/>
    <w:uiPriority w:val="59"/>
    <w:rsid w:val="00A11FE0"/>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
    <w:name w:val="Mriežka tabuľky1112"/>
    <w:basedOn w:val="Normlnatabuka"/>
    <w:uiPriority w:val="59"/>
    <w:rsid w:val="00A11FE0"/>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A11FE0"/>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
    <w:name w:val="Mriežka tabuľky24"/>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
    <w:name w:val="Mriežka tabuľky114"/>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
    <w:name w:val="Mriežka tabuľky12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
    <w:name w:val="Mriežka tabuľky213"/>
    <w:basedOn w:val="Normlnatabuka"/>
    <w:uiPriority w:val="59"/>
    <w:rsid w:val="00A11FE0"/>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
    <w:name w:val="Mriežka tabuľky1113"/>
    <w:basedOn w:val="Normlnatabuka"/>
    <w:uiPriority w:val="59"/>
    <w:rsid w:val="00A11FE0"/>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A11FE0"/>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uiPriority w:val="34"/>
    <w:locked/>
    <w:rsid w:val="00A11FE0"/>
    <w:rPr>
      <w:rFonts w:ascii="Times New Roman" w:hAnsi="Times New Roman"/>
      <w:sz w:val="24"/>
    </w:rPr>
  </w:style>
  <w:style w:type="paragraph" w:customStyle="1" w:styleId="ManualHeading1">
    <w:name w:val="Manual Heading 1"/>
    <w:basedOn w:val="Normlny"/>
    <w:next w:val="Normlny"/>
    <w:rsid w:val="00A11FE0"/>
    <w:pPr>
      <w:keepNext/>
      <w:tabs>
        <w:tab w:val="left" w:pos="850"/>
      </w:tabs>
      <w:spacing w:before="360"/>
      <w:ind w:left="850" w:hanging="850"/>
      <w:outlineLvl w:val="0"/>
    </w:pPr>
    <w:rPr>
      <w:rFonts w:ascii="Times New Roman" w:hAnsi="Times New Roman"/>
      <w:b/>
      <w:smallCaps/>
      <w:sz w:val="24"/>
      <w:lang w:val="en-GB"/>
    </w:rPr>
  </w:style>
  <w:style w:type="paragraph" w:customStyle="1" w:styleId="ListParagraph3">
    <w:name w:val="List Paragraph3"/>
    <w:basedOn w:val="Normlny"/>
    <w:rsid w:val="00A11FE0"/>
    <w:pPr>
      <w:tabs>
        <w:tab w:val="left" w:pos="709"/>
      </w:tabs>
      <w:spacing w:before="480" w:after="240" w:line="280" w:lineRule="atLeast"/>
      <w:ind w:left="709" w:hanging="709"/>
      <w:outlineLvl w:val="1"/>
    </w:pPr>
    <w:rPr>
      <w:rFonts w:ascii="Arial" w:hAnsi="Arial"/>
      <w:sz w:val="20"/>
      <w:lang w:val="en-GB" w:eastAsia="de-DE"/>
    </w:rPr>
  </w:style>
  <w:style w:type="character" w:customStyle="1" w:styleId="IntenseEmphasis2">
    <w:name w:val="Intense Emphasis2"/>
    <w:rsid w:val="00A11FE0"/>
    <w:rPr>
      <w:b/>
      <w:i/>
      <w:color w:val="4F81BD"/>
    </w:rPr>
  </w:style>
  <w:style w:type="paragraph" w:customStyle="1" w:styleId="08Bullet1">
    <w:name w:val="08_Bullet 1"/>
    <w:basedOn w:val="Normlny"/>
    <w:link w:val="08Bullet1Char"/>
    <w:qFormat/>
    <w:rsid w:val="00A11FE0"/>
    <w:pPr>
      <w:numPr>
        <w:numId w:val="48"/>
      </w:numPr>
      <w:spacing w:before="0"/>
      <w:ind w:left="567" w:hanging="567"/>
    </w:pPr>
    <w:rPr>
      <w:rFonts w:ascii="Times New Roman" w:hAnsi="Times New Roman"/>
      <w:szCs w:val="20"/>
      <w:lang w:eastAsia="cs-CZ"/>
    </w:rPr>
  </w:style>
  <w:style w:type="character" w:customStyle="1" w:styleId="08Bullet1Char">
    <w:name w:val="08_Bullet 1 Char"/>
    <w:link w:val="08Bullet1"/>
    <w:locked/>
    <w:rsid w:val="00A11FE0"/>
    <w:rPr>
      <w:rFonts w:ascii="Times New Roman" w:hAnsi="Times New Roman"/>
      <w:sz w:val="22"/>
      <w:szCs w:val="20"/>
      <w:lang w:val="sk-SK" w:eastAsia="cs-CZ"/>
    </w:rPr>
  </w:style>
  <w:style w:type="paragraph" w:customStyle="1" w:styleId="09Bullet2">
    <w:name w:val="09_Bullet 2"/>
    <w:basedOn w:val="Normlny"/>
    <w:link w:val="09Bullet2Char"/>
    <w:qFormat/>
    <w:rsid w:val="00A11FE0"/>
    <w:pPr>
      <w:numPr>
        <w:numId w:val="49"/>
      </w:numPr>
      <w:ind w:left="709" w:hanging="425"/>
    </w:pPr>
    <w:rPr>
      <w:rFonts w:ascii="Times New Roman" w:hAnsi="Times New Roman"/>
      <w:szCs w:val="20"/>
      <w:lang w:eastAsia="cs-CZ"/>
    </w:rPr>
  </w:style>
  <w:style w:type="character" w:customStyle="1" w:styleId="09Bullet2Char">
    <w:name w:val="09_Bullet 2 Char"/>
    <w:link w:val="09Bullet2"/>
    <w:locked/>
    <w:rsid w:val="00A11FE0"/>
    <w:rPr>
      <w:rFonts w:ascii="Times New Roman" w:hAnsi="Times New Roman"/>
      <w:sz w:val="22"/>
      <w:szCs w:val="20"/>
      <w:lang w:val="sk-SK" w:eastAsia="cs-CZ"/>
    </w:rPr>
  </w:style>
  <w:style w:type="paragraph" w:styleId="Bezriadkovania">
    <w:name w:val="No Spacing"/>
    <w:uiPriority w:val="1"/>
    <w:qFormat/>
    <w:rsid w:val="00A11FE0"/>
    <w:pPr>
      <w:jc w:val="both"/>
    </w:pPr>
    <w:rPr>
      <w:rFonts w:ascii="Cambria" w:eastAsia="MS Mincho" w:hAnsi="Cambria"/>
      <w:sz w:val="22"/>
      <w:lang w:val="sk-SK"/>
    </w:rPr>
  </w:style>
  <w:style w:type="paragraph" w:customStyle="1" w:styleId="Style40">
    <w:name w:val="Style40"/>
    <w:basedOn w:val="Normlny"/>
    <w:uiPriority w:val="99"/>
    <w:rsid w:val="00A11FE0"/>
    <w:pPr>
      <w:widowControl w:val="0"/>
      <w:autoSpaceDE w:val="0"/>
      <w:autoSpaceDN w:val="0"/>
      <w:adjustRightInd w:val="0"/>
      <w:spacing w:before="0" w:after="0"/>
      <w:jc w:val="left"/>
    </w:pPr>
    <w:rPr>
      <w:rFonts w:ascii="Times New Roman" w:hAnsi="Times New Roman"/>
      <w:sz w:val="24"/>
      <w:lang w:eastAsia="sk-SK"/>
    </w:rPr>
  </w:style>
  <w:style w:type="paragraph" w:customStyle="1" w:styleId="Style25">
    <w:name w:val="Style25"/>
    <w:basedOn w:val="Normlny"/>
    <w:uiPriority w:val="99"/>
    <w:rsid w:val="00A11FE0"/>
    <w:pPr>
      <w:widowControl w:val="0"/>
      <w:autoSpaceDE w:val="0"/>
      <w:autoSpaceDN w:val="0"/>
      <w:adjustRightInd w:val="0"/>
      <w:spacing w:before="0" w:after="0" w:line="264" w:lineRule="exact"/>
    </w:pPr>
    <w:rPr>
      <w:rFonts w:ascii="Times New Roman" w:hAnsi="Times New Roman"/>
      <w:sz w:val="24"/>
      <w:lang w:eastAsia="sk-SK"/>
    </w:rPr>
  </w:style>
  <w:style w:type="paragraph" w:customStyle="1" w:styleId="ListDash1">
    <w:name w:val="List Dash 1"/>
    <w:basedOn w:val="Normlny"/>
    <w:rsid w:val="00A11FE0"/>
    <w:pPr>
      <w:numPr>
        <w:numId w:val="51"/>
      </w:numPr>
    </w:pPr>
    <w:rPr>
      <w:rFonts w:ascii="Times New Roman" w:hAnsi="Times New Roman"/>
      <w:sz w:val="24"/>
      <w:lang w:val="en-GB" w:eastAsia="de-DE"/>
    </w:rPr>
  </w:style>
  <w:style w:type="paragraph" w:customStyle="1" w:styleId="Tiret0">
    <w:name w:val="Tiret 0"/>
    <w:basedOn w:val="Normlny"/>
    <w:rsid w:val="00A11FE0"/>
    <w:pPr>
      <w:numPr>
        <w:numId w:val="50"/>
      </w:numPr>
    </w:pPr>
    <w:rPr>
      <w:rFonts w:ascii="Times New Roman" w:hAnsi="Times New Roman"/>
      <w:sz w:val="24"/>
      <w:lang w:val="en-GB"/>
    </w:rPr>
  </w:style>
  <w:style w:type="table" w:customStyle="1" w:styleId="Deloittetable311">
    <w:name w:val="Deloitte table 311"/>
    <w:basedOn w:val="Normlnatabuka"/>
    <w:next w:val="Mriekatabuky"/>
    <w:uiPriority w:val="59"/>
    <w:rsid w:val="001352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hodzie">
    <w:name w:val="Východzie"/>
    <w:rsid w:val="00DB2FBF"/>
    <w:pPr>
      <w:suppressAutoHyphens/>
      <w:overflowPunct w:val="0"/>
      <w:spacing w:before="120" w:after="120" w:line="276" w:lineRule="auto"/>
      <w:jc w:val="both"/>
    </w:pPr>
    <w:rPr>
      <w:rFonts w:ascii="Calibri" w:hAnsi="Calibri" w:cs="Mangal"/>
      <w:color w:val="00000A"/>
      <w:sz w:val="22"/>
      <w:lang w:val="sk-SK"/>
    </w:rPr>
  </w:style>
  <w:style w:type="character" w:customStyle="1" w:styleId="Internetovodkaz">
    <w:name w:val="Internetový odkaz"/>
    <w:rsid w:val="00DB2FBF"/>
    <w:rPr>
      <w:color w:val="0000FF"/>
      <w:u w:val="single"/>
      <w:lang w:val="sk-SK" w:eastAsia="sk-SK"/>
    </w:rPr>
  </w:style>
  <w:style w:type="character" w:customStyle="1" w:styleId="Ukotveniepoznmkypodiarou">
    <w:name w:val="Ukotvenie poznámky pod čiarou"/>
    <w:rsid w:val="00DB2FBF"/>
    <w:rPr>
      <w:vertAlign w:val="superscript"/>
    </w:rPr>
  </w:style>
  <w:style w:type="paragraph" w:customStyle="1" w:styleId="Poznmkapodiarou">
    <w:name w:val="Poznámka pod čiarou"/>
    <w:basedOn w:val="Vchodzie"/>
    <w:rsid w:val="00DB2FBF"/>
    <w:pPr>
      <w:suppressLineNumbers/>
      <w:ind w:left="339" w:hanging="339"/>
    </w:pPr>
    <w:rPr>
      <w:sz w:val="20"/>
      <w:szCs w:val="20"/>
    </w:rPr>
  </w:style>
  <w:style w:type="table" w:customStyle="1" w:styleId="Deloittetable3111">
    <w:name w:val="Deloitte table 3111"/>
    <w:basedOn w:val="Normlnatabuka"/>
    <w:uiPriority w:val="59"/>
    <w:rsid w:val="009841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2">
    <w:name w:val="Deloitte table 3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A6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uiPriority w:val="59"/>
    <w:rsid w:val="00A678A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5">
    <w:name w:val="Mriežka tabuľky25"/>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5">
    <w:name w:val="Mriežka tabuľky115"/>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4">
    <w:name w:val="Mriežka tabuľky12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4">
    <w:name w:val="Mriežka tabuľky214"/>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4">
    <w:name w:val="Mriežka tabuľky1114"/>
    <w:basedOn w:val="Normlnatabuka"/>
    <w:next w:val="Mriekatabuky"/>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next w:val="Mriekatabuky"/>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1">
    <w:name w:val="Mriežka tabuľky5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1">
    <w:name w:val="Mriežka tabuľky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1">
    <w:name w:val="Mriežka tabuľky2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1">
    <w:name w:val="Mriežka tabuľky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1">
    <w:name w:val="Mriežka tabuľky3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11">
    <w:name w:val="Mriežka tabuľky12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11">
    <w:name w:val="Mriežka tabuľky211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1">
    <w:name w:val="Mriežka tabuľky1111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1">
    <w:name w:val="Mriežka tabuľky311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1">
    <w:name w:val="Mriežka tabuľky14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1">
    <w:name w:val="Mriežka tabuľky23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31">
    <w:name w:val="Mriežka tabuľky113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1">
    <w:name w:val="Mriežka tabuľky33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1">
    <w:name w:val="Mriežka tabuľky4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21">
    <w:name w:val="Mriežka tabuľky12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21">
    <w:name w:val="Mriežka tabuľky2121"/>
    <w:basedOn w:val="Normlnatabuka"/>
    <w:uiPriority w:val="59"/>
    <w:rsid w:val="00A678A6"/>
    <w:rPr>
      <w:rFonts w:ascii="Calibri" w:hAnsi="Calibri"/>
      <w:sz w:val="20"/>
      <w:szCs w:val="20"/>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21">
    <w:name w:val="Mriežka tabuľky11121"/>
    <w:basedOn w:val="Normlnatabuka"/>
    <w:uiPriority w:val="59"/>
    <w:rsid w:val="00A678A6"/>
    <w:rPr>
      <w:rFonts w:ascii="Calibri" w:hAnsi="Calibri"/>
      <w:sz w:val="22"/>
      <w:szCs w:val="22"/>
      <w:lang w:val="cs-CZ"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1">
    <w:name w:val="Mriežka tabuľky3121"/>
    <w:basedOn w:val="Normlnatabuka"/>
    <w:uiPriority w:val="59"/>
    <w:rsid w:val="00A678A6"/>
    <w:rPr>
      <w:rFonts w:ascii="Calibri" w:hAnsi="Calibri"/>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1">
    <w:name w:val="Mriežka tabuľky71"/>
    <w:basedOn w:val="Normlnatabuka"/>
    <w:next w:val="Mriekatabuky"/>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1">
    <w:name w:val="Mriežka tabuľky15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41">
    <w:name w:val="Mriežka tabuľky24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41">
    <w:name w:val="Mriežka tabuľky114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1">
    <w:name w:val="Mriežka tabuľky34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1">
    <w:name w:val="Mriežka tabuľky4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31">
    <w:name w:val="Mriežka tabuľky12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31">
    <w:name w:val="Mriežka tabuľky2131"/>
    <w:basedOn w:val="Normlnatabuka"/>
    <w:uiPriority w:val="59"/>
    <w:rsid w:val="00A678A6"/>
    <w:rPr>
      <w:rFonts w:ascii="Calibri" w:hAnsi="Calibri"/>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31">
    <w:name w:val="Mriežka tabuľky11131"/>
    <w:basedOn w:val="Normlnatabuka"/>
    <w:uiPriority w:val="59"/>
    <w:rsid w:val="00A678A6"/>
    <w:rPr>
      <w:rFonts w:ascii="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1">
    <w:name w:val="Mriežka tabuľky3131"/>
    <w:basedOn w:val="Normlnatabuka"/>
    <w:uiPriority w:val="59"/>
    <w:rsid w:val="00A678A6"/>
    <w:rPr>
      <w:rFonts w:ascii="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112">
    <w:name w:val="Deloitte table 3112"/>
    <w:basedOn w:val="Normlnatabuka"/>
    <w:next w:val="Mriekatabuky"/>
    <w:uiPriority w:val="59"/>
    <w:rsid w:val="00A678A6"/>
    <w:rPr>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uiPriority w:val="59"/>
    <w:rsid w:val="00475C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186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ebnzoznamzvraznenie11">
    <w:name w:val="Farebný zoznam – zvýraznenie 11"/>
    <w:basedOn w:val="Normlny"/>
    <w:uiPriority w:val="34"/>
    <w:qFormat/>
    <w:rsid w:val="004E2D6C"/>
    <w:pPr>
      <w:spacing w:before="0" w:after="200" w:line="276" w:lineRule="auto"/>
      <w:ind w:left="720"/>
      <w:contextualSpacing/>
    </w:pPr>
    <w:rPr>
      <w:rFonts w:ascii="Calibri" w:hAnsi="Calibri"/>
      <w:szCs w:val="22"/>
    </w:rPr>
  </w:style>
  <w:style w:type="table" w:customStyle="1" w:styleId="Mriekatabuky10">
    <w:name w:val="Mriežka tabuľky10"/>
    <w:basedOn w:val="Normlnatabuka"/>
    <w:next w:val="Mriekatabuky"/>
    <w:uiPriority w:val="5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Normlny"/>
    <w:uiPriority w:val="99"/>
    <w:rsid w:val="004E2D6C"/>
    <w:pPr>
      <w:widowControl w:val="0"/>
      <w:autoSpaceDE w:val="0"/>
      <w:autoSpaceDN w:val="0"/>
      <w:adjustRightInd w:val="0"/>
      <w:spacing w:before="0" w:after="0"/>
      <w:jc w:val="left"/>
    </w:pPr>
    <w:rPr>
      <w:rFonts w:ascii="Times New Roman" w:hAnsi="Times New Roman"/>
      <w:sz w:val="24"/>
      <w:lang w:eastAsia="sk-SK"/>
    </w:rPr>
  </w:style>
  <w:style w:type="character" w:customStyle="1" w:styleId="FontStyle94">
    <w:name w:val="Font Style94"/>
    <w:uiPriority w:val="99"/>
    <w:rsid w:val="004E2D6C"/>
    <w:rPr>
      <w:rFonts w:ascii="Times New Roman" w:hAnsi="Times New Roman"/>
      <w:sz w:val="22"/>
    </w:rPr>
  </w:style>
  <w:style w:type="table" w:customStyle="1" w:styleId="Mriekatabuky17">
    <w:name w:val="Mriežka tabuľky17"/>
    <w:basedOn w:val="Normlnatabuka"/>
    <w:next w:val="Mriekatabuky"/>
    <w:uiPriority w:val="99"/>
    <w:rsid w:val="004E2D6C"/>
    <w:rPr>
      <w:rFonts w:ascii="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tabulky">
    <w:name w:val="Nadpis tabulky"/>
    <w:basedOn w:val="Normlny"/>
    <w:rsid w:val="00F56916"/>
    <w:pPr>
      <w:keepNext/>
      <w:spacing w:before="200"/>
      <w:jc w:val="left"/>
    </w:pPr>
    <w:rPr>
      <w:rFonts w:ascii="Calibri" w:eastAsiaTheme="minorHAnsi" w:hAnsi="Calibri"/>
      <w:i/>
      <w:iCs/>
      <w:szCs w:val="22"/>
    </w:rPr>
  </w:style>
  <w:style w:type="table" w:customStyle="1" w:styleId="Mriekatabuky18">
    <w:name w:val="Mriežka tabuľky18"/>
    <w:basedOn w:val="Normlnatabuka"/>
    <w:next w:val="Mriekatabuky"/>
    <w:uiPriority w:val="59"/>
    <w:rsid w:val="00893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6">
    <w:name w:val="Font Style96"/>
    <w:uiPriority w:val="99"/>
    <w:rsid w:val="008E6E0A"/>
    <w:rPr>
      <w:rFonts w:ascii="Times New Roman" w:hAnsi="Times New Roman" w:cs="Times New Roman" w:hint="default"/>
      <w:i/>
      <w:iCs w:val="0"/>
      <w:sz w:val="22"/>
    </w:rPr>
  </w:style>
  <w:style w:type="paragraph" w:customStyle="1" w:styleId="Hypertextoveprepojenie">
    <w:name w:val="Hypertextove prepojenie"/>
    <w:basedOn w:val="Normlny"/>
    <w:link w:val="HypertextoveprepojenieChar"/>
    <w:autoRedefine/>
    <w:qFormat/>
    <w:rsid w:val="00077029"/>
    <w:pPr>
      <w:framePr w:hSpace="180" w:wrap="around" w:vAnchor="text" w:hAnchor="text" w:x="6" w:y="1"/>
      <w:widowControl w:val="0"/>
      <w:autoSpaceDE w:val="0"/>
      <w:autoSpaceDN w:val="0"/>
      <w:adjustRightInd w:val="0"/>
      <w:spacing w:before="0" w:after="0" w:line="211" w:lineRule="exact"/>
      <w:suppressOverlap/>
    </w:pPr>
    <w:rPr>
      <w:rFonts w:ascii="Times New Roman" w:eastAsia="Times New Roman" w:hAnsi="Times New Roman"/>
      <w:color w:val="0000FF"/>
      <w:sz w:val="20"/>
      <w:szCs w:val="16"/>
      <w:u w:val="single"/>
      <w:lang w:eastAsia="da-DK"/>
    </w:rPr>
  </w:style>
  <w:style w:type="character" w:customStyle="1" w:styleId="HypertextoveprepojenieChar">
    <w:name w:val="Hypertextove prepojenie Char"/>
    <w:basedOn w:val="Predvolenpsmoodseku"/>
    <w:link w:val="Hypertextoveprepojenie"/>
    <w:locked/>
    <w:rsid w:val="00077029"/>
    <w:rPr>
      <w:rFonts w:ascii="Times New Roman" w:eastAsia="Times New Roman" w:hAnsi="Times New Roman"/>
      <w:color w:val="0000FF"/>
      <w:sz w:val="20"/>
      <w:szCs w:val="16"/>
      <w:u w:val="single"/>
      <w:lang w:val="sk-S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27296">
      <w:marLeft w:val="0"/>
      <w:marRight w:val="0"/>
      <w:marTop w:val="0"/>
      <w:marBottom w:val="0"/>
      <w:divBdr>
        <w:top w:val="none" w:sz="0" w:space="0" w:color="auto"/>
        <w:left w:val="none" w:sz="0" w:space="0" w:color="auto"/>
        <w:bottom w:val="none" w:sz="0" w:space="0" w:color="auto"/>
        <w:right w:val="none" w:sz="0" w:space="0" w:color="auto"/>
      </w:divBdr>
    </w:div>
    <w:div w:id="259027297">
      <w:marLeft w:val="0"/>
      <w:marRight w:val="0"/>
      <w:marTop w:val="0"/>
      <w:marBottom w:val="0"/>
      <w:divBdr>
        <w:top w:val="none" w:sz="0" w:space="0" w:color="auto"/>
        <w:left w:val="none" w:sz="0" w:space="0" w:color="auto"/>
        <w:bottom w:val="none" w:sz="0" w:space="0" w:color="auto"/>
        <w:right w:val="none" w:sz="0" w:space="0" w:color="auto"/>
      </w:divBdr>
    </w:div>
    <w:div w:id="259027298">
      <w:marLeft w:val="0"/>
      <w:marRight w:val="0"/>
      <w:marTop w:val="0"/>
      <w:marBottom w:val="0"/>
      <w:divBdr>
        <w:top w:val="none" w:sz="0" w:space="0" w:color="auto"/>
        <w:left w:val="none" w:sz="0" w:space="0" w:color="auto"/>
        <w:bottom w:val="none" w:sz="0" w:space="0" w:color="auto"/>
        <w:right w:val="none" w:sz="0" w:space="0" w:color="auto"/>
      </w:divBdr>
    </w:div>
    <w:div w:id="259027299">
      <w:marLeft w:val="0"/>
      <w:marRight w:val="0"/>
      <w:marTop w:val="0"/>
      <w:marBottom w:val="0"/>
      <w:divBdr>
        <w:top w:val="none" w:sz="0" w:space="0" w:color="auto"/>
        <w:left w:val="none" w:sz="0" w:space="0" w:color="auto"/>
        <w:bottom w:val="none" w:sz="0" w:space="0" w:color="auto"/>
        <w:right w:val="none" w:sz="0" w:space="0" w:color="auto"/>
      </w:divBdr>
    </w:div>
    <w:div w:id="259027300">
      <w:marLeft w:val="0"/>
      <w:marRight w:val="0"/>
      <w:marTop w:val="0"/>
      <w:marBottom w:val="0"/>
      <w:divBdr>
        <w:top w:val="none" w:sz="0" w:space="0" w:color="auto"/>
        <w:left w:val="none" w:sz="0" w:space="0" w:color="auto"/>
        <w:bottom w:val="none" w:sz="0" w:space="0" w:color="auto"/>
        <w:right w:val="none" w:sz="0" w:space="0" w:color="auto"/>
      </w:divBdr>
    </w:div>
    <w:div w:id="259027301">
      <w:marLeft w:val="0"/>
      <w:marRight w:val="0"/>
      <w:marTop w:val="0"/>
      <w:marBottom w:val="0"/>
      <w:divBdr>
        <w:top w:val="none" w:sz="0" w:space="0" w:color="auto"/>
        <w:left w:val="none" w:sz="0" w:space="0" w:color="auto"/>
        <w:bottom w:val="none" w:sz="0" w:space="0" w:color="auto"/>
        <w:right w:val="none" w:sz="0" w:space="0" w:color="auto"/>
      </w:divBdr>
    </w:div>
    <w:div w:id="259027302">
      <w:marLeft w:val="0"/>
      <w:marRight w:val="0"/>
      <w:marTop w:val="0"/>
      <w:marBottom w:val="0"/>
      <w:divBdr>
        <w:top w:val="none" w:sz="0" w:space="0" w:color="auto"/>
        <w:left w:val="none" w:sz="0" w:space="0" w:color="auto"/>
        <w:bottom w:val="none" w:sz="0" w:space="0" w:color="auto"/>
        <w:right w:val="none" w:sz="0" w:space="0" w:color="auto"/>
      </w:divBdr>
      <w:divsChild>
        <w:div w:id="259027304">
          <w:marLeft w:val="0"/>
          <w:marRight w:val="0"/>
          <w:marTop w:val="0"/>
          <w:marBottom w:val="0"/>
          <w:divBdr>
            <w:top w:val="none" w:sz="0" w:space="0" w:color="auto"/>
            <w:left w:val="none" w:sz="0" w:space="0" w:color="auto"/>
            <w:bottom w:val="none" w:sz="0" w:space="0" w:color="auto"/>
            <w:right w:val="none" w:sz="0" w:space="0" w:color="auto"/>
          </w:divBdr>
        </w:div>
      </w:divsChild>
    </w:div>
    <w:div w:id="259027303">
      <w:marLeft w:val="0"/>
      <w:marRight w:val="0"/>
      <w:marTop w:val="0"/>
      <w:marBottom w:val="0"/>
      <w:divBdr>
        <w:top w:val="none" w:sz="0" w:space="0" w:color="auto"/>
        <w:left w:val="none" w:sz="0" w:space="0" w:color="auto"/>
        <w:bottom w:val="none" w:sz="0" w:space="0" w:color="auto"/>
        <w:right w:val="none" w:sz="0" w:space="0" w:color="auto"/>
      </w:divBdr>
    </w:div>
    <w:div w:id="259027305">
      <w:marLeft w:val="0"/>
      <w:marRight w:val="0"/>
      <w:marTop w:val="0"/>
      <w:marBottom w:val="0"/>
      <w:divBdr>
        <w:top w:val="none" w:sz="0" w:space="0" w:color="auto"/>
        <w:left w:val="none" w:sz="0" w:space="0" w:color="auto"/>
        <w:bottom w:val="none" w:sz="0" w:space="0" w:color="auto"/>
        <w:right w:val="none" w:sz="0" w:space="0" w:color="auto"/>
      </w:divBdr>
    </w:div>
    <w:div w:id="259027306">
      <w:marLeft w:val="0"/>
      <w:marRight w:val="0"/>
      <w:marTop w:val="0"/>
      <w:marBottom w:val="0"/>
      <w:divBdr>
        <w:top w:val="none" w:sz="0" w:space="0" w:color="auto"/>
        <w:left w:val="none" w:sz="0" w:space="0" w:color="auto"/>
        <w:bottom w:val="none" w:sz="0" w:space="0" w:color="auto"/>
        <w:right w:val="none" w:sz="0" w:space="0" w:color="auto"/>
      </w:divBdr>
    </w:div>
    <w:div w:id="259027307">
      <w:marLeft w:val="0"/>
      <w:marRight w:val="0"/>
      <w:marTop w:val="0"/>
      <w:marBottom w:val="0"/>
      <w:divBdr>
        <w:top w:val="none" w:sz="0" w:space="0" w:color="auto"/>
        <w:left w:val="none" w:sz="0" w:space="0" w:color="auto"/>
        <w:bottom w:val="none" w:sz="0" w:space="0" w:color="auto"/>
        <w:right w:val="none" w:sz="0" w:space="0" w:color="auto"/>
      </w:divBdr>
    </w:div>
    <w:div w:id="259027308">
      <w:marLeft w:val="0"/>
      <w:marRight w:val="0"/>
      <w:marTop w:val="0"/>
      <w:marBottom w:val="0"/>
      <w:divBdr>
        <w:top w:val="none" w:sz="0" w:space="0" w:color="auto"/>
        <w:left w:val="none" w:sz="0" w:space="0" w:color="auto"/>
        <w:bottom w:val="none" w:sz="0" w:space="0" w:color="auto"/>
        <w:right w:val="none" w:sz="0" w:space="0" w:color="auto"/>
      </w:divBdr>
    </w:div>
    <w:div w:id="259027309">
      <w:marLeft w:val="0"/>
      <w:marRight w:val="0"/>
      <w:marTop w:val="0"/>
      <w:marBottom w:val="0"/>
      <w:divBdr>
        <w:top w:val="none" w:sz="0" w:space="0" w:color="auto"/>
        <w:left w:val="none" w:sz="0" w:space="0" w:color="auto"/>
        <w:bottom w:val="none" w:sz="0" w:space="0" w:color="auto"/>
        <w:right w:val="none" w:sz="0" w:space="0" w:color="auto"/>
      </w:divBdr>
    </w:div>
    <w:div w:id="259027310">
      <w:marLeft w:val="0"/>
      <w:marRight w:val="0"/>
      <w:marTop w:val="0"/>
      <w:marBottom w:val="0"/>
      <w:divBdr>
        <w:top w:val="none" w:sz="0" w:space="0" w:color="auto"/>
        <w:left w:val="none" w:sz="0" w:space="0" w:color="auto"/>
        <w:bottom w:val="none" w:sz="0" w:space="0" w:color="auto"/>
        <w:right w:val="none" w:sz="0" w:space="0" w:color="auto"/>
      </w:divBdr>
    </w:div>
    <w:div w:id="259027311">
      <w:marLeft w:val="0"/>
      <w:marRight w:val="0"/>
      <w:marTop w:val="0"/>
      <w:marBottom w:val="0"/>
      <w:divBdr>
        <w:top w:val="none" w:sz="0" w:space="0" w:color="auto"/>
        <w:left w:val="none" w:sz="0" w:space="0" w:color="auto"/>
        <w:bottom w:val="none" w:sz="0" w:space="0" w:color="auto"/>
        <w:right w:val="none" w:sz="0" w:space="0" w:color="auto"/>
      </w:divBdr>
    </w:div>
    <w:div w:id="259027312">
      <w:marLeft w:val="0"/>
      <w:marRight w:val="0"/>
      <w:marTop w:val="0"/>
      <w:marBottom w:val="0"/>
      <w:divBdr>
        <w:top w:val="none" w:sz="0" w:space="0" w:color="auto"/>
        <w:left w:val="none" w:sz="0" w:space="0" w:color="auto"/>
        <w:bottom w:val="none" w:sz="0" w:space="0" w:color="auto"/>
        <w:right w:val="none" w:sz="0" w:space="0" w:color="auto"/>
      </w:divBdr>
    </w:div>
    <w:div w:id="259027313">
      <w:marLeft w:val="0"/>
      <w:marRight w:val="0"/>
      <w:marTop w:val="0"/>
      <w:marBottom w:val="0"/>
      <w:divBdr>
        <w:top w:val="none" w:sz="0" w:space="0" w:color="auto"/>
        <w:left w:val="none" w:sz="0" w:space="0" w:color="auto"/>
        <w:bottom w:val="none" w:sz="0" w:space="0" w:color="auto"/>
        <w:right w:val="none" w:sz="0" w:space="0" w:color="auto"/>
      </w:divBdr>
    </w:div>
    <w:div w:id="259027314">
      <w:marLeft w:val="0"/>
      <w:marRight w:val="0"/>
      <w:marTop w:val="0"/>
      <w:marBottom w:val="0"/>
      <w:divBdr>
        <w:top w:val="none" w:sz="0" w:space="0" w:color="auto"/>
        <w:left w:val="none" w:sz="0" w:space="0" w:color="auto"/>
        <w:bottom w:val="none" w:sz="0" w:space="0" w:color="auto"/>
        <w:right w:val="none" w:sz="0" w:space="0" w:color="auto"/>
      </w:divBdr>
    </w:div>
    <w:div w:id="259027315">
      <w:marLeft w:val="0"/>
      <w:marRight w:val="0"/>
      <w:marTop w:val="0"/>
      <w:marBottom w:val="0"/>
      <w:divBdr>
        <w:top w:val="none" w:sz="0" w:space="0" w:color="auto"/>
        <w:left w:val="none" w:sz="0" w:space="0" w:color="auto"/>
        <w:bottom w:val="none" w:sz="0" w:space="0" w:color="auto"/>
        <w:right w:val="none" w:sz="0" w:space="0" w:color="auto"/>
      </w:divBdr>
    </w:div>
    <w:div w:id="259027316">
      <w:marLeft w:val="0"/>
      <w:marRight w:val="0"/>
      <w:marTop w:val="0"/>
      <w:marBottom w:val="0"/>
      <w:divBdr>
        <w:top w:val="none" w:sz="0" w:space="0" w:color="auto"/>
        <w:left w:val="none" w:sz="0" w:space="0" w:color="auto"/>
        <w:bottom w:val="none" w:sz="0" w:space="0" w:color="auto"/>
        <w:right w:val="none" w:sz="0" w:space="0" w:color="auto"/>
      </w:divBdr>
    </w:div>
    <w:div w:id="259027317">
      <w:marLeft w:val="0"/>
      <w:marRight w:val="0"/>
      <w:marTop w:val="0"/>
      <w:marBottom w:val="0"/>
      <w:divBdr>
        <w:top w:val="none" w:sz="0" w:space="0" w:color="auto"/>
        <w:left w:val="none" w:sz="0" w:space="0" w:color="auto"/>
        <w:bottom w:val="none" w:sz="0" w:space="0" w:color="auto"/>
        <w:right w:val="none" w:sz="0" w:space="0" w:color="auto"/>
      </w:divBdr>
    </w:div>
    <w:div w:id="259027318">
      <w:marLeft w:val="0"/>
      <w:marRight w:val="0"/>
      <w:marTop w:val="0"/>
      <w:marBottom w:val="0"/>
      <w:divBdr>
        <w:top w:val="none" w:sz="0" w:space="0" w:color="auto"/>
        <w:left w:val="none" w:sz="0" w:space="0" w:color="auto"/>
        <w:bottom w:val="none" w:sz="0" w:space="0" w:color="auto"/>
        <w:right w:val="none" w:sz="0" w:space="0" w:color="auto"/>
      </w:divBdr>
    </w:div>
    <w:div w:id="259027319">
      <w:marLeft w:val="0"/>
      <w:marRight w:val="0"/>
      <w:marTop w:val="0"/>
      <w:marBottom w:val="0"/>
      <w:divBdr>
        <w:top w:val="none" w:sz="0" w:space="0" w:color="auto"/>
        <w:left w:val="none" w:sz="0" w:space="0" w:color="auto"/>
        <w:bottom w:val="none" w:sz="0" w:space="0" w:color="auto"/>
        <w:right w:val="none" w:sz="0" w:space="0" w:color="auto"/>
      </w:divBdr>
    </w:div>
    <w:div w:id="259027320">
      <w:marLeft w:val="0"/>
      <w:marRight w:val="0"/>
      <w:marTop w:val="0"/>
      <w:marBottom w:val="0"/>
      <w:divBdr>
        <w:top w:val="none" w:sz="0" w:space="0" w:color="auto"/>
        <w:left w:val="none" w:sz="0" w:space="0" w:color="auto"/>
        <w:bottom w:val="none" w:sz="0" w:space="0" w:color="auto"/>
        <w:right w:val="none" w:sz="0" w:space="0" w:color="auto"/>
      </w:divBdr>
    </w:div>
    <w:div w:id="259027321">
      <w:marLeft w:val="0"/>
      <w:marRight w:val="0"/>
      <w:marTop w:val="0"/>
      <w:marBottom w:val="0"/>
      <w:divBdr>
        <w:top w:val="none" w:sz="0" w:space="0" w:color="auto"/>
        <w:left w:val="none" w:sz="0" w:space="0" w:color="auto"/>
        <w:bottom w:val="none" w:sz="0" w:space="0" w:color="auto"/>
        <w:right w:val="none" w:sz="0" w:space="0" w:color="auto"/>
      </w:divBdr>
    </w:div>
    <w:div w:id="259027322">
      <w:marLeft w:val="0"/>
      <w:marRight w:val="0"/>
      <w:marTop w:val="0"/>
      <w:marBottom w:val="0"/>
      <w:divBdr>
        <w:top w:val="none" w:sz="0" w:space="0" w:color="auto"/>
        <w:left w:val="none" w:sz="0" w:space="0" w:color="auto"/>
        <w:bottom w:val="none" w:sz="0" w:space="0" w:color="auto"/>
        <w:right w:val="none" w:sz="0" w:space="0" w:color="auto"/>
      </w:divBdr>
    </w:div>
    <w:div w:id="259027323">
      <w:marLeft w:val="0"/>
      <w:marRight w:val="0"/>
      <w:marTop w:val="0"/>
      <w:marBottom w:val="0"/>
      <w:divBdr>
        <w:top w:val="none" w:sz="0" w:space="0" w:color="auto"/>
        <w:left w:val="none" w:sz="0" w:space="0" w:color="auto"/>
        <w:bottom w:val="none" w:sz="0" w:space="0" w:color="auto"/>
        <w:right w:val="none" w:sz="0" w:space="0" w:color="auto"/>
      </w:divBdr>
    </w:div>
    <w:div w:id="259027324">
      <w:marLeft w:val="0"/>
      <w:marRight w:val="0"/>
      <w:marTop w:val="0"/>
      <w:marBottom w:val="0"/>
      <w:divBdr>
        <w:top w:val="none" w:sz="0" w:space="0" w:color="auto"/>
        <w:left w:val="none" w:sz="0" w:space="0" w:color="auto"/>
        <w:bottom w:val="none" w:sz="0" w:space="0" w:color="auto"/>
        <w:right w:val="none" w:sz="0" w:space="0" w:color="auto"/>
      </w:divBdr>
    </w:div>
    <w:div w:id="259027325">
      <w:marLeft w:val="0"/>
      <w:marRight w:val="0"/>
      <w:marTop w:val="0"/>
      <w:marBottom w:val="0"/>
      <w:divBdr>
        <w:top w:val="none" w:sz="0" w:space="0" w:color="auto"/>
        <w:left w:val="none" w:sz="0" w:space="0" w:color="auto"/>
        <w:bottom w:val="none" w:sz="0" w:space="0" w:color="auto"/>
        <w:right w:val="none" w:sz="0" w:space="0" w:color="auto"/>
      </w:divBdr>
    </w:div>
    <w:div w:id="259027326">
      <w:marLeft w:val="0"/>
      <w:marRight w:val="0"/>
      <w:marTop w:val="0"/>
      <w:marBottom w:val="0"/>
      <w:divBdr>
        <w:top w:val="none" w:sz="0" w:space="0" w:color="auto"/>
        <w:left w:val="none" w:sz="0" w:space="0" w:color="auto"/>
        <w:bottom w:val="none" w:sz="0" w:space="0" w:color="auto"/>
        <w:right w:val="none" w:sz="0" w:space="0" w:color="auto"/>
      </w:divBdr>
    </w:div>
    <w:div w:id="259027327">
      <w:marLeft w:val="0"/>
      <w:marRight w:val="0"/>
      <w:marTop w:val="0"/>
      <w:marBottom w:val="0"/>
      <w:divBdr>
        <w:top w:val="none" w:sz="0" w:space="0" w:color="auto"/>
        <w:left w:val="none" w:sz="0" w:space="0" w:color="auto"/>
        <w:bottom w:val="none" w:sz="0" w:space="0" w:color="auto"/>
        <w:right w:val="none" w:sz="0" w:space="0" w:color="auto"/>
      </w:divBdr>
    </w:div>
    <w:div w:id="259027328">
      <w:marLeft w:val="0"/>
      <w:marRight w:val="0"/>
      <w:marTop w:val="0"/>
      <w:marBottom w:val="0"/>
      <w:divBdr>
        <w:top w:val="none" w:sz="0" w:space="0" w:color="auto"/>
        <w:left w:val="none" w:sz="0" w:space="0" w:color="auto"/>
        <w:bottom w:val="none" w:sz="0" w:space="0" w:color="auto"/>
        <w:right w:val="none" w:sz="0" w:space="0" w:color="auto"/>
      </w:divBdr>
    </w:div>
    <w:div w:id="259027329">
      <w:marLeft w:val="0"/>
      <w:marRight w:val="0"/>
      <w:marTop w:val="0"/>
      <w:marBottom w:val="0"/>
      <w:divBdr>
        <w:top w:val="none" w:sz="0" w:space="0" w:color="auto"/>
        <w:left w:val="none" w:sz="0" w:space="0" w:color="auto"/>
        <w:bottom w:val="none" w:sz="0" w:space="0" w:color="auto"/>
        <w:right w:val="none" w:sz="0" w:space="0" w:color="auto"/>
      </w:divBdr>
    </w:div>
    <w:div w:id="259027330">
      <w:marLeft w:val="0"/>
      <w:marRight w:val="0"/>
      <w:marTop w:val="0"/>
      <w:marBottom w:val="0"/>
      <w:divBdr>
        <w:top w:val="none" w:sz="0" w:space="0" w:color="auto"/>
        <w:left w:val="none" w:sz="0" w:space="0" w:color="auto"/>
        <w:bottom w:val="none" w:sz="0" w:space="0" w:color="auto"/>
        <w:right w:val="none" w:sz="0" w:space="0" w:color="auto"/>
      </w:divBdr>
    </w:div>
    <w:div w:id="259027331">
      <w:marLeft w:val="0"/>
      <w:marRight w:val="0"/>
      <w:marTop w:val="0"/>
      <w:marBottom w:val="0"/>
      <w:divBdr>
        <w:top w:val="none" w:sz="0" w:space="0" w:color="auto"/>
        <w:left w:val="none" w:sz="0" w:space="0" w:color="auto"/>
        <w:bottom w:val="none" w:sz="0" w:space="0" w:color="auto"/>
        <w:right w:val="none" w:sz="0" w:space="0" w:color="auto"/>
      </w:divBdr>
    </w:div>
    <w:div w:id="259027332">
      <w:marLeft w:val="0"/>
      <w:marRight w:val="0"/>
      <w:marTop w:val="0"/>
      <w:marBottom w:val="0"/>
      <w:divBdr>
        <w:top w:val="none" w:sz="0" w:space="0" w:color="auto"/>
        <w:left w:val="none" w:sz="0" w:space="0" w:color="auto"/>
        <w:bottom w:val="none" w:sz="0" w:space="0" w:color="auto"/>
        <w:right w:val="none" w:sz="0" w:space="0" w:color="auto"/>
      </w:divBdr>
    </w:div>
    <w:div w:id="259027333">
      <w:marLeft w:val="0"/>
      <w:marRight w:val="0"/>
      <w:marTop w:val="0"/>
      <w:marBottom w:val="0"/>
      <w:divBdr>
        <w:top w:val="none" w:sz="0" w:space="0" w:color="auto"/>
        <w:left w:val="none" w:sz="0" w:space="0" w:color="auto"/>
        <w:bottom w:val="none" w:sz="0" w:space="0" w:color="auto"/>
        <w:right w:val="none" w:sz="0" w:space="0" w:color="auto"/>
      </w:divBdr>
    </w:div>
    <w:div w:id="259027334">
      <w:marLeft w:val="0"/>
      <w:marRight w:val="0"/>
      <w:marTop w:val="0"/>
      <w:marBottom w:val="0"/>
      <w:divBdr>
        <w:top w:val="none" w:sz="0" w:space="0" w:color="auto"/>
        <w:left w:val="none" w:sz="0" w:space="0" w:color="auto"/>
        <w:bottom w:val="none" w:sz="0" w:space="0" w:color="auto"/>
        <w:right w:val="none" w:sz="0" w:space="0" w:color="auto"/>
      </w:divBdr>
    </w:div>
    <w:div w:id="325672301">
      <w:bodyDiv w:val="1"/>
      <w:marLeft w:val="0"/>
      <w:marRight w:val="0"/>
      <w:marTop w:val="0"/>
      <w:marBottom w:val="0"/>
      <w:divBdr>
        <w:top w:val="none" w:sz="0" w:space="0" w:color="auto"/>
        <w:left w:val="none" w:sz="0" w:space="0" w:color="auto"/>
        <w:bottom w:val="none" w:sz="0" w:space="0" w:color="auto"/>
        <w:right w:val="none" w:sz="0" w:space="0" w:color="auto"/>
      </w:divBdr>
    </w:div>
    <w:div w:id="374277414">
      <w:bodyDiv w:val="1"/>
      <w:marLeft w:val="0"/>
      <w:marRight w:val="0"/>
      <w:marTop w:val="0"/>
      <w:marBottom w:val="0"/>
      <w:divBdr>
        <w:top w:val="none" w:sz="0" w:space="0" w:color="auto"/>
        <w:left w:val="none" w:sz="0" w:space="0" w:color="auto"/>
        <w:bottom w:val="none" w:sz="0" w:space="0" w:color="auto"/>
        <w:right w:val="none" w:sz="0" w:space="0" w:color="auto"/>
      </w:divBdr>
    </w:div>
    <w:div w:id="433601512">
      <w:bodyDiv w:val="1"/>
      <w:marLeft w:val="0"/>
      <w:marRight w:val="0"/>
      <w:marTop w:val="0"/>
      <w:marBottom w:val="0"/>
      <w:divBdr>
        <w:top w:val="none" w:sz="0" w:space="0" w:color="auto"/>
        <w:left w:val="none" w:sz="0" w:space="0" w:color="auto"/>
        <w:bottom w:val="none" w:sz="0" w:space="0" w:color="auto"/>
        <w:right w:val="none" w:sz="0" w:space="0" w:color="auto"/>
      </w:divBdr>
    </w:div>
    <w:div w:id="455376084">
      <w:bodyDiv w:val="1"/>
      <w:marLeft w:val="0"/>
      <w:marRight w:val="0"/>
      <w:marTop w:val="0"/>
      <w:marBottom w:val="0"/>
      <w:divBdr>
        <w:top w:val="none" w:sz="0" w:space="0" w:color="auto"/>
        <w:left w:val="none" w:sz="0" w:space="0" w:color="auto"/>
        <w:bottom w:val="none" w:sz="0" w:space="0" w:color="auto"/>
        <w:right w:val="none" w:sz="0" w:space="0" w:color="auto"/>
      </w:divBdr>
    </w:div>
    <w:div w:id="721559832">
      <w:bodyDiv w:val="1"/>
      <w:marLeft w:val="0"/>
      <w:marRight w:val="0"/>
      <w:marTop w:val="0"/>
      <w:marBottom w:val="0"/>
      <w:divBdr>
        <w:top w:val="none" w:sz="0" w:space="0" w:color="auto"/>
        <w:left w:val="none" w:sz="0" w:space="0" w:color="auto"/>
        <w:bottom w:val="none" w:sz="0" w:space="0" w:color="auto"/>
        <w:right w:val="none" w:sz="0" w:space="0" w:color="auto"/>
      </w:divBdr>
    </w:div>
    <w:div w:id="739670157">
      <w:bodyDiv w:val="1"/>
      <w:marLeft w:val="0"/>
      <w:marRight w:val="0"/>
      <w:marTop w:val="0"/>
      <w:marBottom w:val="0"/>
      <w:divBdr>
        <w:top w:val="none" w:sz="0" w:space="0" w:color="auto"/>
        <w:left w:val="none" w:sz="0" w:space="0" w:color="auto"/>
        <w:bottom w:val="none" w:sz="0" w:space="0" w:color="auto"/>
        <w:right w:val="none" w:sz="0" w:space="0" w:color="auto"/>
      </w:divBdr>
    </w:div>
    <w:div w:id="949778016">
      <w:bodyDiv w:val="1"/>
      <w:marLeft w:val="0"/>
      <w:marRight w:val="0"/>
      <w:marTop w:val="0"/>
      <w:marBottom w:val="0"/>
      <w:divBdr>
        <w:top w:val="none" w:sz="0" w:space="0" w:color="auto"/>
        <w:left w:val="none" w:sz="0" w:space="0" w:color="auto"/>
        <w:bottom w:val="none" w:sz="0" w:space="0" w:color="auto"/>
        <w:right w:val="none" w:sz="0" w:space="0" w:color="auto"/>
      </w:divBdr>
    </w:div>
    <w:div w:id="1276324138">
      <w:bodyDiv w:val="1"/>
      <w:marLeft w:val="0"/>
      <w:marRight w:val="0"/>
      <w:marTop w:val="0"/>
      <w:marBottom w:val="0"/>
      <w:divBdr>
        <w:top w:val="none" w:sz="0" w:space="0" w:color="auto"/>
        <w:left w:val="none" w:sz="0" w:space="0" w:color="auto"/>
        <w:bottom w:val="none" w:sz="0" w:space="0" w:color="auto"/>
        <w:right w:val="none" w:sz="0" w:space="0" w:color="auto"/>
      </w:divBdr>
    </w:div>
    <w:div w:id="1401833476">
      <w:bodyDiv w:val="1"/>
      <w:marLeft w:val="0"/>
      <w:marRight w:val="0"/>
      <w:marTop w:val="0"/>
      <w:marBottom w:val="0"/>
      <w:divBdr>
        <w:top w:val="none" w:sz="0" w:space="0" w:color="auto"/>
        <w:left w:val="none" w:sz="0" w:space="0" w:color="auto"/>
        <w:bottom w:val="none" w:sz="0" w:space="0" w:color="auto"/>
        <w:right w:val="none" w:sz="0" w:space="0" w:color="auto"/>
      </w:divBdr>
    </w:div>
    <w:div w:id="1607074379">
      <w:bodyDiv w:val="1"/>
      <w:marLeft w:val="0"/>
      <w:marRight w:val="0"/>
      <w:marTop w:val="0"/>
      <w:marBottom w:val="0"/>
      <w:divBdr>
        <w:top w:val="none" w:sz="0" w:space="0" w:color="auto"/>
        <w:left w:val="none" w:sz="0" w:space="0" w:color="auto"/>
        <w:bottom w:val="none" w:sz="0" w:space="0" w:color="auto"/>
        <w:right w:val="none" w:sz="0" w:space="0" w:color="auto"/>
      </w:divBdr>
    </w:div>
    <w:div w:id="1669015243">
      <w:bodyDiv w:val="1"/>
      <w:marLeft w:val="0"/>
      <w:marRight w:val="0"/>
      <w:marTop w:val="0"/>
      <w:marBottom w:val="0"/>
      <w:divBdr>
        <w:top w:val="none" w:sz="0" w:space="0" w:color="auto"/>
        <w:left w:val="none" w:sz="0" w:space="0" w:color="auto"/>
        <w:bottom w:val="none" w:sz="0" w:space="0" w:color="auto"/>
        <w:right w:val="none" w:sz="0" w:space="0" w:color="auto"/>
      </w:divBdr>
    </w:div>
    <w:div w:id="1899321434">
      <w:bodyDiv w:val="1"/>
      <w:marLeft w:val="0"/>
      <w:marRight w:val="0"/>
      <w:marTop w:val="0"/>
      <w:marBottom w:val="0"/>
      <w:divBdr>
        <w:top w:val="none" w:sz="0" w:space="0" w:color="auto"/>
        <w:left w:val="none" w:sz="0" w:space="0" w:color="auto"/>
        <w:bottom w:val="none" w:sz="0" w:space="0" w:color="auto"/>
        <w:right w:val="none" w:sz="0" w:space="0" w:color="auto"/>
      </w:divBdr>
    </w:div>
    <w:div w:id="2085757279">
      <w:bodyDiv w:val="1"/>
      <w:marLeft w:val="0"/>
      <w:marRight w:val="0"/>
      <w:marTop w:val="0"/>
      <w:marBottom w:val="0"/>
      <w:divBdr>
        <w:top w:val="none" w:sz="0" w:space="0" w:color="auto"/>
        <w:left w:val="none" w:sz="0" w:space="0" w:color="auto"/>
        <w:bottom w:val="none" w:sz="0" w:space="0" w:color="auto"/>
        <w:right w:val="none" w:sz="0" w:space="0" w:color="auto"/>
      </w:divBdr>
    </w:div>
    <w:div w:id="209836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ures.sk" TargetMode="External"/><Relationship Id="rId21" Type="http://schemas.openxmlformats.org/officeDocument/2006/relationships/image" Target="media/image5.emf"/><Relationship Id="rId42" Type="http://schemas.openxmlformats.org/officeDocument/2006/relationships/header" Target="header1.xml"/><Relationship Id="rId63" Type="http://schemas.openxmlformats.org/officeDocument/2006/relationships/hyperlink" Target="http://www.minv.sk/?Dokumenty_na_stiahnutie_CO" TargetMode="External"/><Relationship Id="rId84" Type="http://schemas.openxmlformats.org/officeDocument/2006/relationships/hyperlink" Target="http://www.rokovania.sk/Rokovanie.aspx/BodRokovaniaDetail?idMaterial=23114" TargetMode="External"/><Relationship Id="rId138" Type="http://schemas.openxmlformats.org/officeDocument/2006/relationships/hyperlink" Target="http://www.romainstitute.sk/index.php?ID=255" TargetMode="External"/><Relationship Id="rId159" Type="http://schemas.openxmlformats.org/officeDocument/2006/relationships/hyperlink" Target="http://www.zbierka.sk/sk/predpisy/zakon-345-2012-z-z.p-34903.html?aspi_hash=MzQ1LzIwMTIgWi56Lg" TargetMode="External"/><Relationship Id="rId170" Type="http://schemas.openxmlformats.org/officeDocument/2006/relationships/hyperlink" Target="http://bit.ly/1gFqhuT" TargetMode="External"/><Relationship Id="rId191" Type="http://schemas.openxmlformats.org/officeDocument/2006/relationships/hyperlink" Target="https://lt.justice.gov.sk/Attachment/vlastn%C3%BD%20materi%C3%A1l_doc.pdf?instEID=-1&amp;" TargetMode="External"/><Relationship Id="rId205" Type="http://schemas.openxmlformats.org/officeDocument/2006/relationships/hyperlink" Target="http://bit.ly/I1FERz" TargetMode="External"/><Relationship Id="rId107" Type="http://schemas.openxmlformats.org/officeDocument/2006/relationships/hyperlink" Target="http://sustavapovolani.sk/sektorove-rady" TargetMode="External"/><Relationship Id="rId11" Type="http://schemas.microsoft.com/office/2007/relationships/stylesWithEffects" Target="stylesWithEffects.xml"/><Relationship Id="rId32" Type="http://schemas.openxmlformats.org/officeDocument/2006/relationships/image" Target="media/image16.emf"/><Relationship Id="rId53" Type="http://schemas.openxmlformats.org/officeDocument/2006/relationships/hyperlink" Target="http://www.telecom.gov.sk/index/index.php?ids=83478" TargetMode="External"/><Relationship Id="rId74" Type="http://schemas.openxmlformats.org/officeDocument/2006/relationships/hyperlink" Target="http://www.zbierka.sk/sk/predpisy/279-2011-z-z.p-34239.pdf" TargetMode="External"/><Relationship Id="rId128" Type="http://schemas.openxmlformats.org/officeDocument/2006/relationships/hyperlink" Target="http://www.minv.sk/?romske-komunity-uvod" TargetMode="External"/><Relationship Id="rId149" Type="http://schemas.openxmlformats.org/officeDocument/2006/relationships/hyperlink" Target="http://www.zbierka.sk/sk/vyhladavanie?filter_sent=1&amp;" TargetMode="External"/><Relationship Id="rId5" Type="http://schemas.openxmlformats.org/officeDocument/2006/relationships/customXml" Target="../customXml/item5.xml"/><Relationship Id="rId95" Type="http://schemas.openxmlformats.org/officeDocument/2006/relationships/hyperlink" Target="http://www.telecom.gov.sk/index/index.php?ids=147132" TargetMode="External"/><Relationship Id="rId160" Type="http://schemas.openxmlformats.org/officeDocument/2006/relationships/hyperlink" Target="http://bit.ly/1gOTdD6" TargetMode="External"/><Relationship Id="rId181" Type="http://schemas.openxmlformats.org/officeDocument/2006/relationships/hyperlink" Target="http://www.upsvar.sk/buxus/docs//urady/VK/vo/13-z095.pdf" TargetMode="External"/><Relationship Id="rId216" Type="http://schemas.openxmlformats.org/officeDocument/2006/relationships/customXml" Target="../customXml/item9.xml"/><Relationship Id="rId22" Type="http://schemas.openxmlformats.org/officeDocument/2006/relationships/image" Target="media/image6.jpeg"/><Relationship Id="rId43" Type="http://schemas.openxmlformats.org/officeDocument/2006/relationships/image" Target="media/image22.emf"/><Relationship Id="rId64" Type="http://schemas.openxmlformats.org/officeDocument/2006/relationships/hyperlink" Target="http://www.minv.sk/?Dokumenty_na_stiahnutie_CO&amp;" TargetMode="External"/><Relationship Id="rId118" Type="http://schemas.openxmlformats.org/officeDocument/2006/relationships/hyperlink" Target="http://www.zakonypreludi.sk/zz/2013-96" TargetMode="External"/><Relationship Id="rId139" Type="http://schemas.openxmlformats.org/officeDocument/2006/relationships/hyperlink" Target="http://www.minv.sk/?kontakty_rk" TargetMode="External"/><Relationship Id="rId85" Type="http://schemas.openxmlformats.org/officeDocument/2006/relationships/hyperlink" Target="http://www.svps.sk/dokumenty/legislativa/nv_343_2012.pdf" TargetMode="External"/><Relationship Id="rId150" Type="http://schemas.openxmlformats.org/officeDocument/2006/relationships/hyperlink" Target="http://www.zbierka.sk/sk/vyhladavanie?filter_sent=1&amp;" TargetMode="External"/><Relationship Id="rId171" Type="http://schemas.openxmlformats.org/officeDocument/2006/relationships/hyperlink" Target="http://bit.ly/IX6RW5" TargetMode="External"/><Relationship Id="rId192" Type="http://schemas.openxmlformats.org/officeDocument/2006/relationships/hyperlink" Target="http://www.urso.gov.sk/doc/urad/RegulacnaPolitika_2012-2016.pdf" TargetMode="External"/><Relationship Id="rId206" Type="http://schemas.openxmlformats.org/officeDocument/2006/relationships/hyperlink" Target="http://bit.ly/17tFkSp" TargetMode="External"/><Relationship Id="rId12" Type="http://schemas.openxmlformats.org/officeDocument/2006/relationships/settings" Target="settings.xml"/><Relationship Id="rId33" Type="http://schemas.openxmlformats.org/officeDocument/2006/relationships/image" Target="media/image17.png"/><Relationship Id="rId108" Type="http://schemas.openxmlformats.org/officeDocument/2006/relationships/hyperlink" Target="http://www.employment.gov.sk/sk/" TargetMode="External"/><Relationship Id="rId129" Type="http://schemas.openxmlformats.org/officeDocument/2006/relationships/hyperlink" Target="http://www.minv.sk/?atlas_2013" TargetMode="External"/><Relationship Id="rId54" Type="http://schemas.openxmlformats.org/officeDocument/2006/relationships/hyperlink" Target="http://www.telecom.gov.sk/index/index.php?ids=83478" TargetMode="External"/><Relationship Id="rId75" Type="http://schemas.openxmlformats.org/officeDocument/2006/relationships/hyperlink" Target="http://www.vuvh.sk/rsv2/index.php?option=com_content&amp;" TargetMode="External"/><Relationship Id="rId96" Type="http://schemas.openxmlformats.org/officeDocument/2006/relationships/hyperlink" Target="http://www.telecom.gov.sk/index/index.php?ids=147132" TargetMode="External"/><Relationship Id="rId140" Type="http://schemas.openxmlformats.org/officeDocument/2006/relationships/hyperlink" Target="http://www.minv.sk/?hodnotenie_MRK" TargetMode="External"/><Relationship Id="rId161" Type="http://schemas.openxmlformats.org/officeDocument/2006/relationships/hyperlink" Target="http://bit.ly/HW5MhO" TargetMode="External"/><Relationship Id="rId182" Type="http://schemas.openxmlformats.org/officeDocument/2006/relationships/hyperlink" Target="http://www.uvo.gov.sk/zoznam-podnikatelov/-/RegisterPodnikatelov/sreferenciami" TargetMode="External"/><Relationship Id="rId6" Type="http://schemas.openxmlformats.org/officeDocument/2006/relationships/customXml" Target="../customXml/item6.xml"/><Relationship Id="rId23" Type="http://schemas.openxmlformats.org/officeDocument/2006/relationships/image" Target="media/image7.emf"/><Relationship Id="rId119" Type="http://schemas.openxmlformats.org/officeDocument/2006/relationships/hyperlink" Target="http://30.cvmpsvr.sk/index.php/dokumenty" TargetMode="External"/><Relationship Id="rId44" Type="http://schemas.openxmlformats.org/officeDocument/2006/relationships/image" Target="media/image23.gif"/><Relationship Id="rId65" Type="http://schemas.openxmlformats.org/officeDocument/2006/relationships/hyperlink" Target="http://www.rokovania.sk/Rokovanie.aspx/BodRokovaniaDetail?idMaterial=23364" TargetMode="External"/><Relationship Id="rId86" Type="http://schemas.openxmlformats.org/officeDocument/2006/relationships/hyperlink" Target="http://www.zbierka.sk/sk/predpisy/434-2013-z-z.p-35488.pdf" TargetMode="External"/><Relationship Id="rId130" Type="http://schemas.openxmlformats.org/officeDocument/2006/relationships/hyperlink" Target="http://www.minv.sk/?zoznam-schvalenych-ziadosti-o-dotaciu-na-zaklade-na-zaklade-vyzvy-c-i-usvrk-2013" TargetMode="External"/><Relationship Id="rId151" Type="http://schemas.openxmlformats.org/officeDocument/2006/relationships/hyperlink" Target="http://www.rokovania.sk/Rokovanie.aspx/BodRokovaniaDetail?idMaterial=6639" TargetMode="External"/><Relationship Id="rId172" Type="http://schemas.openxmlformats.org/officeDocument/2006/relationships/hyperlink" Target="http://bit.ly/1765cHb" TargetMode="External"/><Relationship Id="rId193" Type="http://schemas.openxmlformats.org/officeDocument/2006/relationships/hyperlink" Target="http://www.vuvh.sk/rsv2/index.php?option=com_content&amp;" TargetMode="External"/><Relationship Id="rId207" Type="http://schemas.openxmlformats.org/officeDocument/2006/relationships/hyperlink" Target="http://bit.ly/1asFEV5" TargetMode="External"/><Relationship Id="rId13" Type="http://schemas.openxmlformats.org/officeDocument/2006/relationships/webSettings" Target="webSettings.xml"/><Relationship Id="rId109" Type="http://schemas.openxmlformats.org/officeDocument/2006/relationships/hyperlink" Target="http://www.zakonypreludi.sk/zz/2013-96" TargetMode="External"/><Relationship Id="rId34" Type="http://schemas.openxmlformats.org/officeDocument/2006/relationships/chart" Target="charts/chart2.xml"/><Relationship Id="rId55" Type="http://schemas.openxmlformats.org/officeDocument/2006/relationships/hyperlink" Target="http://www.rokovania.sk/Rokovanie.aspx/BodRokovaniaDetail?idMaterial=22344" TargetMode="External"/><Relationship Id="rId76" Type="http://schemas.openxmlformats.org/officeDocument/2006/relationships/hyperlink" Target="http://www.vuvh.sk/download/RSV/11_Harmonogram/VC_harmonogram2012_fin.pdf" TargetMode="External"/><Relationship Id="rId97" Type="http://schemas.openxmlformats.org/officeDocument/2006/relationships/hyperlink" Target="http://www.telecom.gov.sk" TargetMode="External"/><Relationship Id="rId120" Type="http://schemas.openxmlformats.org/officeDocument/2006/relationships/hyperlink" Target="http://www.zakonypreludi.sk/zz/2013-96" TargetMode="External"/><Relationship Id="rId141" Type="http://schemas.openxmlformats.org/officeDocument/2006/relationships/hyperlink" Target="http://ec.europa.eu/regional_policy/conferences/roma2013/agenda_en.cfm" TargetMode="External"/><Relationship Id="rId7" Type="http://schemas.openxmlformats.org/officeDocument/2006/relationships/customXml" Target="../customXml/item7.xml"/><Relationship Id="rId162" Type="http://schemas.openxmlformats.org/officeDocument/2006/relationships/hyperlink" Target="http://bit.ly/1asJEF2" TargetMode="External"/><Relationship Id="rId183" Type="http://schemas.openxmlformats.org/officeDocument/2006/relationships/hyperlink" Target="http://www.rokovania.sk/Rokovanie.aspx/BodRokovaniaDetail?idMaterial=21941" TargetMode="External"/><Relationship Id="rId24" Type="http://schemas.openxmlformats.org/officeDocument/2006/relationships/image" Target="media/image8.emf"/><Relationship Id="rId45" Type="http://schemas.openxmlformats.org/officeDocument/2006/relationships/image" Target="cid:image001.png@01CF264A.D39B00E0" TargetMode="External"/><Relationship Id="rId66" Type="http://schemas.openxmlformats.org/officeDocument/2006/relationships/hyperlink" Target="http://www.rokovania.sk/Rokovanie.aspx/RokovanieDetail/737" TargetMode="External"/><Relationship Id="rId87" Type="http://schemas.openxmlformats.org/officeDocument/2006/relationships/hyperlink" Target="http://www.telecom.gov.sk/index/index.php?ids=147132" TargetMode="External"/><Relationship Id="rId110" Type="http://schemas.openxmlformats.org/officeDocument/2006/relationships/hyperlink" Target="http://www.zakonypreludi.sk/zz/2011-547" TargetMode="External"/><Relationship Id="rId131" Type="http://schemas.openxmlformats.org/officeDocument/2006/relationships/hyperlink" Target="http://www.minv.sk/?aktualne_info" TargetMode="External"/><Relationship Id="rId152" Type="http://schemas.openxmlformats.org/officeDocument/2006/relationships/hyperlink" Target="http://www.minedu.sk/9772-sk/dokumenty-a-predpisy/" TargetMode="External"/><Relationship Id="rId173" Type="http://schemas.openxmlformats.org/officeDocument/2006/relationships/hyperlink" Target="https://www.finance.gov.sk/Default.aspx?CatID=9336" TargetMode="External"/><Relationship Id="rId194" Type="http://schemas.openxmlformats.org/officeDocument/2006/relationships/hyperlink" Target="http://www.vuvh.sk/rsv2/index.php?option=com_content&amp;" TargetMode="External"/><Relationship Id="rId208" Type="http://schemas.openxmlformats.org/officeDocument/2006/relationships/hyperlink" Target="http://www.enviroportal.sk/kalendar-udalosti/den/27-05-2014" TargetMode="External"/><Relationship Id="rId19" Type="http://schemas.openxmlformats.org/officeDocument/2006/relationships/chart" Target="charts/chart1.xml"/><Relationship Id="rId14" Type="http://schemas.openxmlformats.org/officeDocument/2006/relationships/footnotes" Target="footnotes.xml"/><Relationship Id="rId30" Type="http://schemas.openxmlformats.org/officeDocument/2006/relationships/image" Target="media/image14.emf"/><Relationship Id="rId35" Type="http://schemas.openxmlformats.org/officeDocument/2006/relationships/image" Target="media/image18.emf"/><Relationship Id="rId56" Type="http://schemas.openxmlformats.org/officeDocument/2006/relationships/hyperlink" Target="http://www.mhsr.sk/obnovitelne-zdroje-energie-a-kombinovana-vyroba/130978s" TargetMode="External"/><Relationship Id="rId77" Type="http://schemas.openxmlformats.org/officeDocument/2006/relationships/hyperlink" Target="http://www.minzp.sk/sekcie/temy-oblasti/odpady-obaly/poh/poh-2011-2015/" TargetMode="External"/><Relationship Id="rId100" Type="http://schemas.openxmlformats.org/officeDocument/2006/relationships/hyperlink" Target="http://www.nrsr.sk/web/Dynamic/Download.aspx?DocID=382240" TargetMode="External"/><Relationship Id="rId105" Type="http://schemas.openxmlformats.org/officeDocument/2006/relationships/hyperlink" Target="http://www.upsvar.sk/volne-pracovne-miesta.html?page_id=12925" TargetMode="External"/><Relationship Id="rId126" Type="http://schemas.openxmlformats.org/officeDocument/2006/relationships/hyperlink" Target="http://www.upsvar.sk/buxus/docs//SSVaR/OVOZ/Koncepcia.pdf" TargetMode="External"/><Relationship Id="rId147" Type="http://schemas.openxmlformats.org/officeDocument/2006/relationships/hyperlink" Target="http://www.minedu.sk/zakon-o-odbornom-vzdelavani-a-priprave/" TargetMode="External"/><Relationship Id="rId168" Type="http://schemas.openxmlformats.org/officeDocument/2006/relationships/hyperlink" Target="http://bit.ly/1hJJAHp" TargetMode="External"/><Relationship Id="rId8" Type="http://schemas.openxmlformats.org/officeDocument/2006/relationships/customXml" Target="../customXml/item8.xml"/><Relationship Id="rId51" Type="http://schemas.openxmlformats.org/officeDocument/2006/relationships/hyperlink" Target="http://www.nrsr.sk/web/Default.aspx?sid=zakony/zakon&amp;" TargetMode="External"/><Relationship Id="rId72" Type="http://schemas.openxmlformats.org/officeDocument/2006/relationships/hyperlink" Target="http://www.vuvh.sk/rsv2/index.php?option=com_content&amp;" TargetMode="External"/><Relationship Id="rId93" Type="http://schemas.openxmlformats.org/officeDocument/2006/relationships/hyperlink" Target="http://www.telecom.gov.sk/index/index.php?ids=147132" TargetMode="External"/><Relationship Id="rId98" Type="http://schemas.openxmlformats.org/officeDocument/2006/relationships/hyperlink" Target="http://www.rokovania.sk/Rokovanie.aspx/BodRokovaniaDetail?idMaterial=22344" TargetMode="External"/><Relationship Id="rId121" Type="http://schemas.openxmlformats.org/officeDocument/2006/relationships/hyperlink" Target="http://www.rokovania.sk/Rokovanie.aspx/BodRokovaniaDetail?idMaterial=22344" TargetMode="External"/><Relationship Id="rId142" Type="http://schemas.openxmlformats.org/officeDocument/2006/relationships/hyperlink" Target="http://www.minv.sk/?podporne_platformy" TargetMode="External"/><Relationship Id="rId163" Type="http://schemas.openxmlformats.org/officeDocument/2006/relationships/hyperlink" Target="http://bit.ly/1aWm0U4" TargetMode="External"/><Relationship Id="rId184" Type="http://schemas.openxmlformats.org/officeDocument/2006/relationships/hyperlink" Target="http://www.opzp.sk/dokumenty/projektove-dokumenty/rozhodnutia-uvo-sr-v-procesoch-vo-v-ramci-projketov-op-zp-v-programovom-obdobi-2007-2013/" TargetMode="External"/><Relationship Id="rId189" Type="http://schemas.openxmlformats.org/officeDocument/2006/relationships/hyperlink" Target="http://www.jaspi.justice.gov.sk" TargetMode="External"/><Relationship Id="rId3" Type="http://schemas.openxmlformats.org/officeDocument/2006/relationships/customXml" Target="../customXml/item3.xml"/><Relationship Id="rId214" Type="http://schemas.openxmlformats.org/officeDocument/2006/relationships/fontTable" Target="fontTable.xml"/><Relationship Id="rId25" Type="http://schemas.openxmlformats.org/officeDocument/2006/relationships/image" Target="media/image9.emf"/><Relationship Id="rId46" Type="http://schemas.openxmlformats.org/officeDocument/2006/relationships/image" Target="media/image24.emf"/><Relationship Id="rId67" Type="http://schemas.openxmlformats.org/officeDocument/2006/relationships/hyperlink" Target="http://jaspi.justice.gov.sk" TargetMode="External"/><Relationship Id="rId116" Type="http://schemas.openxmlformats.org/officeDocument/2006/relationships/hyperlink" Target="http://www.upsvar.sk/volne-pracovne-miesta.html?page_id=12925" TargetMode="External"/><Relationship Id="rId137" Type="http://schemas.openxmlformats.org/officeDocument/2006/relationships/hyperlink" Target="http://www.minv.sk/?zoznam-schvalenych-ziadosti-o-dotaciu-na-zaklade-na-zaklade-vyzvy-c-i-usvrk-2013" TargetMode="External"/><Relationship Id="rId158" Type="http://schemas.openxmlformats.org/officeDocument/2006/relationships/hyperlink" Target="http://www.rokovania.sk/Rokovanie.aspx/BodRokovaniaDetail?idMaterial=20957" TargetMode="External"/><Relationship Id="rId20" Type="http://schemas.openxmlformats.org/officeDocument/2006/relationships/image" Target="media/image4.emf"/><Relationship Id="rId41" Type="http://schemas.openxmlformats.org/officeDocument/2006/relationships/footer" Target="footer1.xml"/><Relationship Id="rId62" Type="http://schemas.openxmlformats.org/officeDocument/2006/relationships/hyperlink" Target="http://www.minzp.sk/sekcie/temy-oblasti/voda/ochrana-pred-povodnami/manazment-povodnovych-rizik/" TargetMode="External"/><Relationship Id="rId83" Type="http://schemas.openxmlformats.org/officeDocument/2006/relationships/hyperlink" Target="http://www.zbierka.sk/sk/vestnik/vestnik-vlady-sr/vydanie-2-2014" TargetMode="External"/><Relationship Id="rId88" Type="http://schemas.openxmlformats.org/officeDocument/2006/relationships/hyperlink" Target="http://www.telecom.gov.sk/index/index.php?ids=147132" TargetMode="External"/><Relationship Id="rId111" Type="http://schemas.openxmlformats.org/officeDocument/2006/relationships/hyperlink" Target="http://www.nrsr.sk/web/Default.aspx?sid=zakony/zakon&amp;" TargetMode="External"/><Relationship Id="rId132" Type="http://schemas.openxmlformats.org/officeDocument/2006/relationships/hyperlink" Target="http://www.minv.sk/swift_data/source/romovia/dokumenty/StrategiaSR_integraciaRomov.pdf" TargetMode="External"/><Relationship Id="rId153" Type="http://schemas.openxmlformats.org/officeDocument/2006/relationships/hyperlink" Target="http://www.minedu.sk/9772-sk/dokumenty-a-predpisy/" TargetMode="External"/><Relationship Id="rId174" Type="http://schemas.openxmlformats.org/officeDocument/2006/relationships/hyperlink" Target="http://www.epi.sk/Main/Default.aspx?Template=~%2FMain%2FTArticles.ascx&amp;" TargetMode="External"/><Relationship Id="rId179" Type="http://schemas.openxmlformats.org/officeDocument/2006/relationships/hyperlink" Target="http://www.rokovania.sk/Rokovanie.aspx/BodRokovaniaDetail?idMaterial=23180" TargetMode="External"/><Relationship Id="rId195" Type="http://schemas.openxmlformats.org/officeDocument/2006/relationships/hyperlink" Target="http://www.vysokoskolacidopraxe.sk/" TargetMode="External"/><Relationship Id="rId209" Type="http://schemas.openxmlformats.org/officeDocument/2006/relationships/header" Target="header2.xml"/><Relationship Id="rId190" Type="http://schemas.openxmlformats.org/officeDocument/2006/relationships/hyperlink" Target="http://www.sazp.sk/public/index/go.php?id=81&amp;" TargetMode="External"/><Relationship Id="rId204" Type="http://schemas.openxmlformats.org/officeDocument/2006/relationships/hyperlink" Target="http://bit.ly/HTmPAB" TargetMode="External"/><Relationship Id="rId15" Type="http://schemas.openxmlformats.org/officeDocument/2006/relationships/endnotes" Target="endnotes.xml"/><Relationship Id="rId36" Type="http://schemas.openxmlformats.org/officeDocument/2006/relationships/image" Target="media/image19.emf"/><Relationship Id="rId57" Type="http://schemas.openxmlformats.org/officeDocument/2006/relationships/hyperlink" Target="http://www.siea.sk/materials/files/poradenstvo/legislativa/tepelna_energetika/8_1_2009_599_vyhlaska_MHSR.pdf" TargetMode="External"/><Relationship Id="rId106" Type="http://schemas.openxmlformats.org/officeDocument/2006/relationships/hyperlink" Target="http://www.upsvar.sk/eures.html?page_id=13140" TargetMode="External"/><Relationship Id="rId127" Type="http://schemas.openxmlformats.org/officeDocument/2006/relationships/hyperlink" Target="http://www.rokovania.sk/Rokovanie.aspx/BodRokovaniaDetail?idMaterial=20646" TargetMode="External"/><Relationship Id="rId10" Type="http://schemas.openxmlformats.org/officeDocument/2006/relationships/styles" Target="styles.xml"/><Relationship Id="rId31" Type="http://schemas.openxmlformats.org/officeDocument/2006/relationships/image" Target="media/image15.emf"/><Relationship Id="rId52" Type="http://schemas.openxmlformats.org/officeDocument/2006/relationships/hyperlink" Target="http://www.rokovania.sk/File.aspx/ViewDocumentHtml/Uznesenie-13242?prefixFile=u_" TargetMode="External"/><Relationship Id="rId73" Type="http://schemas.openxmlformats.org/officeDocument/2006/relationships/hyperlink" Target="http://www.vuvh.sk/rsv2/index.php?option=com_content&amp;" TargetMode="External"/><Relationship Id="rId78" Type="http://schemas.openxmlformats.org/officeDocument/2006/relationships/hyperlink" Target="http://www.zbierka.sk/sk/vestnik/vestnik-vlady-sr/vydanie-3-2013" TargetMode="External"/><Relationship Id="rId94" Type="http://schemas.openxmlformats.org/officeDocument/2006/relationships/hyperlink" Target="http://www.telecom.gov.sk/index/index.php?ids=147132" TargetMode="External"/><Relationship Id="rId99" Type="http://schemas.openxmlformats.org/officeDocument/2006/relationships/hyperlink" Target="http://www.zakonypreludi.sk/zz/2013-96" TargetMode="External"/><Relationship Id="rId101" Type="http://schemas.openxmlformats.org/officeDocument/2006/relationships/hyperlink" Target="http://www.rokovania.sk/Rokovanie.aspx/BodRokovaniaDetail?idMaterial=22344" TargetMode="External"/><Relationship Id="rId122" Type="http://schemas.openxmlformats.org/officeDocument/2006/relationships/hyperlink" Target="http://www.employment.gov.sk/sk/rodina-socialna-pomoc/socialne-sluzby/" TargetMode="External"/><Relationship Id="rId143" Type="http://schemas.openxmlformats.org/officeDocument/2006/relationships/hyperlink" Target="https://lt.justice.gov.sk/Document/DocumentDetails.aspx?instEID=-1&amp;" TargetMode="External"/><Relationship Id="rId148" Type="http://schemas.openxmlformats.org/officeDocument/2006/relationships/hyperlink" Target="http://www.npmrk2.sk/" TargetMode="External"/><Relationship Id="rId164" Type="http://schemas.openxmlformats.org/officeDocument/2006/relationships/hyperlink" Target="http://www.minv.sk/?multilateralne-zmluvy" TargetMode="External"/><Relationship Id="rId169" Type="http://schemas.openxmlformats.org/officeDocument/2006/relationships/hyperlink" Target="http://bit.ly/1cY2iEI" TargetMode="External"/><Relationship Id="rId185" Type="http://schemas.openxmlformats.org/officeDocument/2006/relationships/hyperlink" Target="http://www.ropka.sk/sk/verejne-obstaravania/" TargetMode="External"/><Relationship Id="rId4" Type="http://schemas.openxmlformats.org/officeDocument/2006/relationships/customXml" Target="../customXml/item4.xml"/><Relationship Id="rId9" Type="http://schemas.openxmlformats.org/officeDocument/2006/relationships/numbering" Target="numbering.xml"/><Relationship Id="rId180" Type="http://schemas.openxmlformats.org/officeDocument/2006/relationships/hyperlink" Target="http://www.uvo.gov.sk/legislativa/-/document_library_display/74gW/view/706651?_110_INSTANCE_74gW_redirect=http%3A%2F%2Fwww.uvo.gov.sk%2Flegislativa%3Fp_p_id%3D110_INSTANCE_74gW%26p_p_lifecycle%3D0%26p_p_state%3Dnormal%26p_p_mode%3Dview%26p_p_col_id%3Dcolumn-2%26p_p_col_count%3D1" TargetMode="External"/><Relationship Id="rId210" Type="http://schemas.openxmlformats.org/officeDocument/2006/relationships/header" Target="header3.xml"/><Relationship Id="rId215" Type="http://schemas.openxmlformats.org/officeDocument/2006/relationships/theme" Target="theme/theme1.xml"/><Relationship Id="rId26" Type="http://schemas.openxmlformats.org/officeDocument/2006/relationships/image" Target="media/image10.emf"/><Relationship Id="rId47" Type="http://schemas.openxmlformats.org/officeDocument/2006/relationships/hyperlink" Target="http://www.rokovania.sk/File.aspx/ViewDocumentHtml/Mater-Dokum-160513?prefixFile=m_" TargetMode="External"/><Relationship Id="rId68" Type="http://schemas.openxmlformats.org/officeDocument/2006/relationships/hyperlink" Target="http://www.zbierka.sk/sk/predpisy/755-2004-z-z.p-8366.pdf" TargetMode="External"/><Relationship Id="rId89" Type="http://schemas.openxmlformats.org/officeDocument/2006/relationships/hyperlink" Target="http://www.telecom.gov.sk" TargetMode="External"/><Relationship Id="rId112" Type="http://schemas.openxmlformats.org/officeDocument/2006/relationships/hyperlink" Target="http://www.rokovania.sk/File.aspx/ViewDocumentHtml/Uznesenie-13242?prefixFile=u_" TargetMode="External"/><Relationship Id="rId133" Type="http://schemas.openxmlformats.org/officeDocument/2006/relationships/hyperlink" Target="http://www.minv.sk/?programove_obdobie_2014-2020" TargetMode="External"/><Relationship Id="rId154" Type="http://schemas.openxmlformats.org/officeDocument/2006/relationships/hyperlink" Target="http://www.minedu.sk/zakon-o-odbornom-vzdelavani-a-priprave/" TargetMode="External"/><Relationship Id="rId175" Type="http://schemas.openxmlformats.org/officeDocument/2006/relationships/hyperlink" Target="http://www.gender.gov.sk/?page_id=72" TargetMode="External"/><Relationship Id="rId196" Type="http://schemas.openxmlformats.org/officeDocument/2006/relationships/hyperlink" Target="http://www.tvorbansk.sk/" TargetMode="External"/><Relationship Id="rId200" Type="http://schemas.openxmlformats.org/officeDocument/2006/relationships/hyperlink" Target="http://www.siov.sk/rozvoj-stredneho-odborneho-vzdelavania-rsov/24505s" TargetMode="External"/><Relationship Id="rId16" Type="http://schemas.openxmlformats.org/officeDocument/2006/relationships/image" Target="media/image1.png"/><Relationship Id="rId37" Type="http://schemas.openxmlformats.org/officeDocument/2006/relationships/image" Target="media/image20.emf"/><Relationship Id="rId58" Type="http://schemas.openxmlformats.org/officeDocument/2006/relationships/hyperlink" Target="http://www.google.sk/url?sa=t&amp;" TargetMode="External"/><Relationship Id="rId79" Type="http://schemas.openxmlformats.org/officeDocument/2006/relationships/hyperlink" Target="http://www.enviroportal.sk/sk/eia/detail/program-odpadoveho-hospodarstva-nitrianskeho-kraja-na-roky-2011-2015-z" TargetMode="External"/><Relationship Id="rId102" Type="http://schemas.openxmlformats.org/officeDocument/2006/relationships/hyperlink" Target="http://www.zakonypreludi.sk/zz/2013-96" TargetMode="External"/><Relationship Id="rId123" Type="http://schemas.openxmlformats.org/officeDocument/2006/relationships/hyperlink" Target="http://www.rokovania.sk/Rokovanie.aspx/NezaradenyMaterialDetail?idMaterial=23195" TargetMode="External"/><Relationship Id="rId144" Type="http://schemas.openxmlformats.org/officeDocument/2006/relationships/hyperlink" Target="http://www.health.gov.sk/?strategia-v-zdravotnictve" TargetMode="External"/><Relationship Id="rId90" Type="http://schemas.openxmlformats.org/officeDocument/2006/relationships/hyperlink" Target="http://www.telecom.gov.sk/index/index.php?ids=147132" TargetMode="External"/><Relationship Id="rId165" Type="http://schemas.openxmlformats.org/officeDocument/2006/relationships/hyperlink" Target="http://bit.ly/1eeXCPG" TargetMode="External"/><Relationship Id="rId186" Type="http://schemas.openxmlformats.org/officeDocument/2006/relationships/hyperlink" Target="http://www.uvo.gov.sk/za-obdobie-od-1.1.2013-do-30.6.2013" TargetMode="External"/><Relationship Id="rId211" Type="http://schemas.openxmlformats.org/officeDocument/2006/relationships/footer" Target="footer2.xml"/><Relationship Id="rId27" Type="http://schemas.openxmlformats.org/officeDocument/2006/relationships/image" Target="media/image11.emf"/><Relationship Id="rId48" Type="http://schemas.openxmlformats.org/officeDocument/2006/relationships/hyperlink" Target="http://www.rokovania.sk/Rokovanie.aspx/BodRokovaniaDetail?idMaterial=23177" TargetMode="External"/><Relationship Id="rId69" Type="http://schemas.openxmlformats.org/officeDocument/2006/relationships/hyperlink" Target="https://lt.justice.gov.sk/Attachment/vlastn%C3%BD%20materi%C3%A1l_doc.pdf?instEID=-1&amp;" TargetMode="External"/><Relationship Id="rId113" Type="http://schemas.openxmlformats.org/officeDocument/2006/relationships/hyperlink" Target="http://www.zakonypreludi.sk/zz/2013-96" TargetMode="External"/><Relationship Id="rId134" Type="http://schemas.openxmlformats.org/officeDocument/2006/relationships/hyperlink" Target="http://www.minv.sk/swift_data/source/romovia/dokumenty/StrategiaSR_integraciaRomov.pdf" TargetMode="External"/><Relationship Id="rId80" Type="http://schemas.openxmlformats.org/officeDocument/2006/relationships/hyperlink" Target="http://www.zbierka.sk/sk/vestnik/vestnik-vlady-sr/vydanie-4-2013" TargetMode="External"/><Relationship Id="rId155" Type="http://schemas.openxmlformats.org/officeDocument/2006/relationships/hyperlink" Target="http://www.radavladyovp.sk/" TargetMode="External"/><Relationship Id="rId176" Type="http://schemas.openxmlformats.org/officeDocument/2006/relationships/hyperlink" Target="http://www.gender.gov.sk/?page_id=347" TargetMode="External"/><Relationship Id="rId197" Type="http://schemas.openxmlformats.org/officeDocument/2006/relationships/hyperlink" Target="http://nuczv.sk/dalsie-vzdelavanie-a-poradenstvo-pre-dospelych-ako-nastroj-lepsej-uplatnitelnosti-na-trhu-prace/" TargetMode="External"/><Relationship Id="rId201" Type="http://schemas.openxmlformats.org/officeDocument/2006/relationships/hyperlink" Target="http://bit.ly/1dv8NiS" TargetMode="External"/><Relationship Id="rId17" Type="http://schemas.openxmlformats.org/officeDocument/2006/relationships/image" Target="media/image2.emf"/><Relationship Id="rId38" Type="http://schemas.openxmlformats.org/officeDocument/2006/relationships/image" Target="media/image21.emf"/><Relationship Id="rId59" Type="http://schemas.openxmlformats.org/officeDocument/2006/relationships/hyperlink" Target="http://www.mhsr.sk/obnovitelne-zdroje-energie-a-kombinovana-vyroba/130978s" TargetMode="External"/><Relationship Id="rId103" Type="http://schemas.openxmlformats.org/officeDocument/2006/relationships/hyperlink" Target="http://www.nrsr.sk/web/Dynamic/Download.aspx?DocID=382240" TargetMode="External"/><Relationship Id="rId124" Type="http://schemas.openxmlformats.org/officeDocument/2006/relationships/hyperlink" Target="http://www.sspr.gov.sk/IVPR/index.php?option=com_content&amp;" TargetMode="External"/><Relationship Id="rId70" Type="http://schemas.openxmlformats.org/officeDocument/2006/relationships/hyperlink" Target="http://www.urso.gov.sk/?q=content/%C3%BArad-regula%C4%8Dn%C3%A1-rada-regula%C4%8Dn%C3%A1-politika" TargetMode="External"/><Relationship Id="rId91" Type="http://schemas.openxmlformats.org/officeDocument/2006/relationships/hyperlink" Target="http://www.telecom.gov.sk/index/index.php?ids=147132" TargetMode="External"/><Relationship Id="rId145" Type="http://schemas.openxmlformats.org/officeDocument/2006/relationships/hyperlink" Target="http://www.rokovania.sk/Rokovanie.aspx/BodRokovaniaDetail?idMaterial=19992" TargetMode="External"/><Relationship Id="rId166" Type="http://schemas.openxmlformats.org/officeDocument/2006/relationships/hyperlink" Target="http://bit.ly/1cmrSF4" TargetMode="External"/><Relationship Id="rId187" Type="http://schemas.openxmlformats.org/officeDocument/2006/relationships/hyperlink" Target="http://www.uvo.gov.sk/domov" TargetMode="External"/><Relationship Id="rId1" Type="http://schemas.openxmlformats.org/officeDocument/2006/relationships/customXml" Target="../customXml/item1.xml"/><Relationship Id="rId212" Type="http://schemas.openxmlformats.org/officeDocument/2006/relationships/footer" Target="footer3.xml"/><Relationship Id="rId28" Type="http://schemas.openxmlformats.org/officeDocument/2006/relationships/image" Target="media/image12.emf"/><Relationship Id="rId49" Type="http://schemas.openxmlformats.org/officeDocument/2006/relationships/hyperlink" Target="http://www.rokovania.sk/Rokovanie.aspx/BodRokovaniaDetail?idMaterial=23177" TargetMode="External"/><Relationship Id="rId114" Type="http://schemas.openxmlformats.org/officeDocument/2006/relationships/hyperlink" Target="http://www.nrsr.sk/web/Dynamic/Download.aspx?DocID=382240" TargetMode="External"/><Relationship Id="rId60" Type="http://schemas.openxmlformats.org/officeDocument/2006/relationships/hyperlink" Target="http://www.urso.gov.sk/sites/default/files/vyhl_225-2011.pdf" TargetMode="External"/><Relationship Id="rId81" Type="http://schemas.openxmlformats.org/officeDocument/2006/relationships/hyperlink" Target="http://www.zbierka.sk/sk/vestnik/vestnik-vlady-sr/vydanie-1-2014" TargetMode="External"/><Relationship Id="rId135" Type="http://schemas.openxmlformats.org/officeDocument/2006/relationships/hyperlink" Target="http://www.minv.sk/?podporne_platformy" TargetMode="External"/><Relationship Id="rId156" Type="http://schemas.openxmlformats.org/officeDocument/2006/relationships/hyperlink" Target="http://www.rokovania.sk/File.aspx/ViewDocumentHtml/Uznesenie-13500?prefixFile=u_" TargetMode="External"/><Relationship Id="rId177" Type="http://schemas.openxmlformats.org/officeDocument/2006/relationships/hyperlink" Target="http://www.gender.gov.sk/?page_id=347" TargetMode="External"/><Relationship Id="rId198" Type="http://schemas.openxmlformats.org/officeDocument/2006/relationships/hyperlink" Target="http://www.siov.sk/narodny-projekt-/24512s" TargetMode="External"/><Relationship Id="rId202" Type="http://schemas.openxmlformats.org/officeDocument/2006/relationships/hyperlink" Target="http://bit.ly/1eRyIFp" TargetMode="External"/><Relationship Id="rId18" Type="http://schemas.openxmlformats.org/officeDocument/2006/relationships/image" Target="media/image3.jpeg"/><Relationship Id="rId39" Type="http://schemas.openxmlformats.org/officeDocument/2006/relationships/hyperlink" Target="http://www.nsrr.sk" TargetMode="External"/><Relationship Id="rId50" Type="http://schemas.openxmlformats.org/officeDocument/2006/relationships/hyperlink" Target="http://www.zakonypreludi.sk/zz/2011-547" TargetMode="External"/><Relationship Id="rId104" Type="http://schemas.openxmlformats.org/officeDocument/2006/relationships/hyperlink" Target="http://www.zakonypreludi.sk/zz/2013-96" TargetMode="External"/><Relationship Id="rId125" Type="http://schemas.openxmlformats.org/officeDocument/2006/relationships/hyperlink" Target="http://www.employment.gov.sk/files/legislativa/dokumenty-zoznamy-pod/strategia-deinstitucionalizacie-systemu-socialnych-sluzieb-nahradnej-starostlivosti-1.pdf" TargetMode="External"/><Relationship Id="rId146" Type="http://schemas.openxmlformats.org/officeDocument/2006/relationships/hyperlink" Target="http://www.ksuza.sk/doc/metodika/bozp/20012012.pdf" TargetMode="External"/><Relationship Id="rId167" Type="http://schemas.openxmlformats.org/officeDocument/2006/relationships/hyperlink" Target="http://bit.ly/1ie8Sel" TargetMode="External"/><Relationship Id="rId188" Type="http://schemas.openxmlformats.org/officeDocument/2006/relationships/hyperlink" Target="http://www.uvo.gov.sk/metodicke-usmernenia" TargetMode="External"/><Relationship Id="rId71" Type="http://schemas.openxmlformats.org/officeDocument/2006/relationships/hyperlink" Target="http://www.vuvh.sk/rsv2/index.php?option=com_content&amp;" TargetMode="External"/><Relationship Id="rId92" Type="http://schemas.openxmlformats.org/officeDocument/2006/relationships/hyperlink" Target="http://www.telecom.gov.sk" TargetMode="External"/><Relationship Id="rId213" Type="http://schemas.openxmlformats.org/officeDocument/2006/relationships/header" Target="header4.xml"/><Relationship Id="rId2" Type="http://schemas.openxmlformats.org/officeDocument/2006/relationships/customXml" Target="../customXml/item2.xml"/><Relationship Id="rId29" Type="http://schemas.openxmlformats.org/officeDocument/2006/relationships/image" Target="media/image13.emf"/><Relationship Id="rId40" Type="http://schemas.openxmlformats.org/officeDocument/2006/relationships/hyperlink" Target="mailto:cko@vlada.gov.sk" TargetMode="External"/><Relationship Id="rId115" Type="http://schemas.openxmlformats.org/officeDocument/2006/relationships/hyperlink" Target="http://www.zakonypreludi.sk/zz/2013-96" TargetMode="External"/><Relationship Id="rId136" Type="http://schemas.openxmlformats.org/officeDocument/2006/relationships/hyperlink" Target="https://lt.justice.gov.sk/Document/DocumentDetails.aspx?instEID=-1&amp;" TargetMode="External"/><Relationship Id="rId157" Type="http://schemas.openxmlformats.org/officeDocument/2006/relationships/hyperlink" Target="http://www.rokovania.sk/Rokovanie.aspx/BodRokovaniaDetail?idMaterial=23148" TargetMode="External"/><Relationship Id="rId178" Type="http://schemas.openxmlformats.org/officeDocument/2006/relationships/hyperlink" Target="http://www.gender.gov.sk/?page_id=294" TargetMode="External"/><Relationship Id="rId61" Type="http://schemas.openxmlformats.org/officeDocument/2006/relationships/hyperlink" Target="http://www.google.sk/url?sa=t&amp;" TargetMode="External"/><Relationship Id="rId82" Type="http://schemas.openxmlformats.org/officeDocument/2006/relationships/hyperlink" Target="http://www.zbierka.sk/sk/vestnik/vestnik-vlady-sr/vydanie-1-2014" TargetMode="External"/><Relationship Id="rId199" Type="http://schemas.openxmlformats.org/officeDocument/2006/relationships/hyperlink" Target="http://www.tvorbansk.sk/" TargetMode="External"/><Relationship Id="rId203" Type="http://schemas.openxmlformats.org/officeDocument/2006/relationships/hyperlink" Target="http://bit.ly/HW5MhO"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cdb.sk/sk/Vystupy-CDB/Statisticke-prehlady/Dlzky-cestnych-komunikacii.alej" TargetMode="External"/><Relationship Id="rId18" Type="http://schemas.openxmlformats.org/officeDocument/2006/relationships/hyperlink" Target="http://www.statistics.sk" TargetMode="External"/><Relationship Id="rId26" Type="http://schemas.openxmlformats.org/officeDocument/2006/relationships/hyperlink" Target="http://www.rokovania.sk/File.aspx/Index/Mater-Dokum-154241" TargetMode="External"/><Relationship Id="rId39" Type="http://schemas.openxmlformats.org/officeDocument/2006/relationships/hyperlink" Target="http://www.rokovania.sk/Rokovanie.aspx/BodRokovaniaDetail?idMaterial=19303" TargetMode="External"/><Relationship Id="rId21" Type="http://schemas.openxmlformats.org/officeDocument/2006/relationships/hyperlink" Target="http://www.employment.gov.sk/dohovor-osn-o-pravach-osob-so-zdravotnym-%20postihnutim.html" TargetMode="External"/><Relationship Id="rId34" Type="http://schemas.openxmlformats.org/officeDocument/2006/relationships/hyperlink" Target="file:///C:\Users\jana.juhaszova\AppData\Local\Microsoft\Windows\Temporary%20Internet%20Files\Content.Outlook\K142L1CO\Ak&#269;n&#253;%20pl&#225;n%20vyu&#382;&#237;vania%20biomasy%20na%20roky%202008-2013" TargetMode="External"/><Relationship Id="rId42" Type="http://schemas.openxmlformats.org/officeDocument/2006/relationships/hyperlink" Target="http://portal.statistics.sk/showdoc.do?docid=60471" TargetMode="External"/><Relationship Id="rId47" Type="http://schemas.openxmlformats.org/officeDocument/2006/relationships/hyperlink" Target="http://daeimplementation.eu/dashboard2_actions.php" TargetMode="External"/><Relationship Id="rId50" Type="http://schemas.openxmlformats.org/officeDocument/2006/relationships/hyperlink" Target="http://epp.eurostat.ec.europa.eu/tgm/table.do?tab=table&amp;init=1&amp;language=en&amp;pcode=tgs00053&amp;plugin=1" TargetMode="External"/><Relationship Id="rId55" Type="http://schemas.openxmlformats.org/officeDocument/2006/relationships/hyperlink" Target="http://www.deloitte.com/assets/Dcom-SlovakRepublic/Local%20Assets/Documents/np14/sk_Vysledky_z_prieskumu_1.pdf" TargetMode="External"/><Relationship Id="rId63" Type="http://schemas.openxmlformats.org/officeDocument/2006/relationships/hyperlink" Target="http://www.employment.gov.sk/strategia-deinstitucionalizacie-systemu-socialnych-sluzieb-a-nahradnej-starostlivosti-v-sr.html" TargetMode="External"/><Relationship Id="rId68" Type="http://schemas.openxmlformats.org/officeDocument/2006/relationships/hyperlink" Target="http://www1.enviroportal.sk/dohovory/dohovory-detail.php?dokument=2" TargetMode="External"/><Relationship Id="rId76" Type="http://schemas.openxmlformats.org/officeDocument/2006/relationships/hyperlink" Target="http://www.rokovania.sk/Rokovanie.aspx/BodRokovaniaDetail?idMaterial=23161" TargetMode="External"/><Relationship Id="rId7" Type="http://schemas.openxmlformats.org/officeDocument/2006/relationships/hyperlink" Target="http://www.rokovania.sk/Rokovanie.aspx/BodRokovaniaDetail?idMaterial=23039" TargetMode="External"/><Relationship Id="rId71" Type="http://schemas.openxmlformats.org/officeDocument/2006/relationships/hyperlink" Target="http://eur-lex.europa.eu/LexUriServ/LexUriServ.do?uri=OJ:C:2013:217:0071:0074:SK:PD" TargetMode="External"/><Relationship Id="rId2" Type="http://schemas.openxmlformats.org/officeDocument/2006/relationships/hyperlink" Target="http://www.rokovania.sk/Rokovanie.aspx/BodRokovaniaDetail?idMaterial=23515" TargetMode="External"/><Relationship Id="rId16" Type="http://schemas.openxmlformats.org/officeDocument/2006/relationships/hyperlink" Target="http://epp.eurostat.ec.europa.eu/cache/ITY_PUBLIC/3-07032013-AP/EN/3-07032013-AP-EN.PDF" TargetMode="External"/><Relationship Id="rId29" Type="http://schemas.openxmlformats.org/officeDocument/2006/relationships/hyperlink" Target="http://appsso.eurostat.ec.europa.eu/nui/submitViewTableAction.do" TargetMode="External"/><Relationship Id="rId11" Type="http://schemas.openxmlformats.org/officeDocument/2006/relationships/hyperlink" Target="http://www.rokovania.sk/File.aspx/ViewDocumentHtml/Mater-Dokum-158762?prefixFile=m_" TargetMode="External"/><Relationship Id="rId24" Type="http://schemas.openxmlformats.org/officeDocument/2006/relationships/hyperlink" Target="http://www.uvzsr.sk/docs/vs/vyrocna_sprava_SR_12.pdf" TargetMode="External"/><Relationship Id="rId32" Type="http://schemas.openxmlformats.org/officeDocument/2006/relationships/hyperlink" Target="http://www.minzp.sk/tlacovy-servis/tlacove-spravy/tlacove-spravy-2013/tlacove-spravy-februar-2013/vlada-prijala-strategiu-znizovania-znecistujucich-castic-ovzdusi.html" TargetMode="External"/><Relationship Id="rId37" Type="http://schemas.openxmlformats.org/officeDocument/2006/relationships/hyperlink" Target="http://www.shmu.sk/File/projekty/Zaverecna%20Sprava%20projektu%20Klim.%20zmena%20a%20Adaptacie%202012.pdf" TargetMode="External"/><Relationship Id="rId40" Type="http://schemas.openxmlformats.org/officeDocument/2006/relationships/hyperlink" Target="http://www.minzp.sk/sekcie/temy-oblasti/voda/ochrana-pred-povodnami/manazment-povodnovych-rizik/" TargetMode="External"/><Relationship Id="rId45" Type="http://schemas.openxmlformats.org/officeDocument/2006/relationships/hyperlink" Target="http://enviroportal.sk/uploads/files/ovzdusie/Strategia-pre-redukciu-PM-10-1.pdf" TargetMode="External"/><Relationship Id="rId53" Type="http://schemas.openxmlformats.org/officeDocument/2006/relationships/hyperlink" Target="http://epp.eurostat.ec.europa.eu/tgm/table.do?tab=table&amp;init=1&amp;language=en&amp;pcode=tsdec460&amp;plugin=1" TargetMode="External"/><Relationship Id="rId58" Type="http://schemas.openxmlformats.org/officeDocument/2006/relationships/hyperlink" Target="http://www.rokovania.sk/Rokovanie.aspx/BodRokovaniaDetail?idMaterial=23177" TargetMode="External"/><Relationship Id="rId66" Type="http://schemas.openxmlformats.org/officeDocument/2006/relationships/hyperlink" Target="http://www.employment.gov.sk/dohovor-osn-o-pravach-osob-so-zdravotnym-postihnutim.html" TargetMode="External"/><Relationship Id="rId74" Type="http://schemas.openxmlformats.org/officeDocument/2006/relationships/hyperlink" Target="http://www.rokovania.sk/File.aspx/ViewDocumentHtml/Mater-Dokum-141217?prefixFile=m_" TargetMode="External"/><Relationship Id="rId79" Type="http://schemas.openxmlformats.org/officeDocument/2006/relationships/hyperlink" Target="http://www.minv.sk/?atlas_2013" TargetMode="External"/><Relationship Id="rId5" Type="http://schemas.openxmlformats.org/officeDocument/2006/relationships/hyperlink" Target="http://www.oecd.org/sti/inno/41559370.pdf" TargetMode="External"/><Relationship Id="rId61" Type="http://schemas.openxmlformats.org/officeDocument/2006/relationships/hyperlink" Target="http://www.telecom.gov.sk/index/index.php?ids=147132" TargetMode="External"/><Relationship Id="rId82" Type="http://schemas.openxmlformats.org/officeDocument/2006/relationships/hyperlink" Target="http://ec.europa.eu/justice/discrimination/files/com_2013_460_en.pdf" TargetMode="External"/><Relationship Id="rId10" Type="http://schemas.openxmlformats.org/officeDocument/2006/relationships/hyperlink" Target="http://ec.europa.eu/enterprise/policies/sme/facts-figures-analysis/performance-review/files/supporting-documents/2012/do-smes-create-more-and-better-jobs_en.pdf" TargetMode="External"/><Relationship Id="rId19" Type="http://schemas.openxmlformats.org/officeDocument/2006/relationships/hyperlink" Target="http://www.rokovania.sk/html/m_Mater-Dokum-141258.html" TargetMode="External"/><Relationship Id="rId31" Type="http://schemas.openxmlformats.org/officeDocument/2006/relationships/hyperlink" Target="http://www.telecom.gov.sk/index/index.php?ids=83491" TargetMode="External"/><Relationship Id="rId44" Type="http://schemas.openxmlformats.org/officeDocument/2006/relationships/hyperlink" Target="http://www.minzp.sk/tlacovy-servis/tlacove-spravy/tlacove-spravy-2013/tlacove-spravy-februar-2013/vlada-prijala-strategiu-znizovania-znecistujucich-castic-ovzdusi.html" TargetMode="External"/><Relationship Id="rId52" Type="http://schemas.openxmlformats.org/officeDocument/2006/relationships/hyperlink" Target="http://epp.eurostat.ec.europa.eu/tgm/table.do?tab=table&amp;init=1&amp;language=en&amp;pcode=tsdsc440&amp;plugin=1" TargetMode="External"/><Relationship Id="rId60" Type="http://schemas.openxmlformats.org/officeDocument/2006/relationships/hyperlink" Target="http://ec.europa.eu/enterprise/policies/sme/facts-figures-analysis/performance-review/files/countries-sheets/2013/slovakia_en.pdf" TargetMode="External"/><Relationship Id="rId65" Type="http://schemas.openxmlformats.org/officeDocument/2006/relationships/hyperlink" Target="http://www.minv.sk/swift_data/source/romovia/dokumenty/StrategiaSR_integraciaRomov.pdf" TargetMode="External"/><Relationship Id="rId73" Type="http://schemas.openxmlformats.org/officeDocument/2006/relationships/hyperlink" Target="http://www.nsrr.sk/sk/programove-obdobie-2014---2020/negociacie-k-priprave-partnerskej-dohody-sr-a-op/" TargetMode="External"/><Relationship Id="rId78" Type="http://schemas.openxmlformats.org/officeDocument/2006/relationships/hyperlink" Target="http://www.rokovania.sk/Rokovanie.aspx/BodRokovaniaDetail?idMaterial=23122" TargetMode="External"/><Relationship Id="rId81" Type="http://schemas.openxmlformats.org/officeDocument/2006/relationships/hyperlink" Target="http://www.minv.sk/?romske-komunity-uvod&amp;subor=160529" TargetMode="External"/><Relationship Id="rId4" Type="http://schemas.openxmlformats.org/officeDocument/2006/relationships/hyperlink" Target="http://www.rokovania.sk/Rokovanie.aspx/BodRokovaniaDetail?idMaterial=23039" TargetMode="External"/><Relationship Id="rId9" Type="http://schemas.openxmlformats.org/officeDocument/2006/relationships/hyperlink" Target="http://www2012.wwwconference.org/proceedings/nocompanion/wwwwebsci2012_braunschweig.pdf" TargetMode="External"/><Relationship Id="rId14" Type="http://schemas.openxmlformats.org/officeDocument/2006/relationships/hyperlink" Target="http://www.rokovania.sk/Rokovanie.aspx/BodRokovaniaDetail?idMaterial=22396" TargetMode="External"/><Relationship Id="rId22" Type="http://schemas.openxmlformats.org/officeDocument/2006/relationships/hyperlink" Target="http://www.health.gov.sk/?strategia-v-zdravotnictve" TargetMode="External"/><Relationship Id="rId27" Type="http://schemas.openxmlformats.org/officeDocument/2006/relationships/hyperlink" Target="http://www.eu.europa.eu/publications/ghg-trends-and-projections-2012" TargetMode="External"/><Relationship Id="rId30" Type="http://schemas.openxmlformats.org/officeDocument/2006/relationships/hyperlink" Target="http://appsso.eurostat.ec.europa.eu/nui/submitViewTableAction.do;jsessionid=9ea7d07d30e2b8d0224bd2e64ccebcb0ac4fcdfe605b.e34MbxeSaxaSc40LbNiMbxeNbh8Se0" TargetMode="External"/><Relationship Id="rId35" Type="http://schemas.openxmlformats.org/officeDocument/2006/relationships/hyperlink" Target="http://www.minv.sk/?Dokumenty_na_stiahnutie_CO&amp;subor=175547" TargetMode="External"/><Relationship Id="rId43" Type="http://schemas.openxmlformats.org/officeDocument/2006/relationships/hyperlink" Target="http://ec.europa.eu/environment/waste/framework/support_implementation.htm" TargetMode="External"/><Relationship Id="rId48" Type="http://schemas.openxmlformats.org/officeDocument/2006/relationships/hyperlink" Target="http://ec.europa.eu/enterprise/policies/sme/facts-figures-analysis/performance-review/files/countries-sheets/2013/slovakia_sk.pdf" TargetMode="External"/><Relationship Id="rId56" Type="http://schemas.openxmlformats.org/officeDocument/2006/relationships/hyperlink" Target="http://www.nucem.sk/documents//26/testovanie_9_2013/vysledky/Vysledky_T9-2013_F.pdf" TargetMode="External"/><Relationship Id="rId64" Type="http://schemas.openxmlformats.org/officeDocument/2006/relationships/hyperlink" Target="http://www.telecom.gov.sk/index/index.php?ids=81554" TargetMode="External"/><Relationship Id="rId69" Type="http://schemas.openxmlformats.org/officeDocument/2006/relationships/hyperlink" Target="http://ec.europa.eu/environment/pubs/pdf/factsheets/biodiversity_2020/2020%20Biodiversity%20Factsheet_SK.pdf" TargetMode="External"/><Relationship Id="rId77" Type="http://schemas.openxmlformats.org/officeDocument/2006/relationships/hyperlink" Target="http://www.rokovania.sk/Rokovanie.aspx/BodRokovaniaDetail?idMaterial=23575" TargetMode="External"/><Relationship Id="rId8" Type="http://schemas.openxmlformats.org/officeDocument/2006/relationships/hyperlink" Target="http://portal.statistics.sk/showdoc.do?docid=44084" TargetMode="External"/><Relationship Id="rId51" Type="http://schemas.openxmlformats.org/officeDocument/2006/relationships/hyperlink" Target="http://epp.eurostat.ec.europa.eu/tgm/table.do?tab=table&amp;init=1&amp;language=en&amp;pcode=tgs00010&amp;plugin=1" TargetMode="External"/><Relationship Id="rId72" Type="http://schemas.openxmlformats.org/officeDocument/2006/relationships/hyperlink" Target="http://www.nsrr.sk/sk/programove-obdobie-2014---2020/dotaznik/" TargetMode="External"/><Relationship Id="rId80" Type="http://schemas.openxmlformats.org/officeDocument/2006/relationships/hyperlink" Target="http://www.minv.sk/swift_data/source/romovia/dokumenty/StrategiaSR_integraciaRomov.pdf" TargetMode="External"/><Relationship Id="rId3" Type="http://schemas.openxmlformats.org/officeDocument/2006/relationships/hyperlink" Target="http://portal.statistics.sk/files/Sekcie/sek_500/Veda-a-technika/publ/rocenka_vt_2013_v_1-3.pdf" TargetMode="External"/><Relationship Id="rId12" Type="http://schemas.openxmlformats.org/officeDocument/2006/relationships/hyperlink" Target="http://www.telecom.gov.sk/index/index.php?ids=147132" TargetMode="External"/><Relationship Id="rId17" Type="http://schemas.openxmlformats.org/officeDocument/2006/relationships/hyperlink" Target="http://www.vuepp.sk/EP2012/4/Buchta_4_2012.pdf" TargetMode="External"/><Relationship Id="rId25" Type="http://schemas.openxmlformats.org/officeDocument/2006/relationships/hyperlink" Target="http://www.nucem.sk/documents//27/medzinarodne_merania/pisa/publikacie_a_diseminacia/4_ine/Priloha_PISA_2012.pdf" TargetMode="External"/><Relationship Id="rId33" Type="http://schemas.openxmlformats.org/officeDocument/2006/relationships/hyperlink" Target="http://enviroportal.sk/uploads/files/ovzdusie/Strategia-pre-redukciu-PM-10-1.pdf" TargetMode="External"/><Relationship Id="rId38" Type="http://schemas.openxmlformats.org/officeDocument/2006/relationships/hyperlink" Target="http://www.geology.sk/new/sk/sub/Geoisnomenu/geof/atlas_st_sv" TargetMode="External"/><Relationship Id="rId46" Type="http://schemas.openxmlformats.org/officeDocument/2006/relationships/hyperlink" Target="http://envirozataze.enviroportal.sk/Informacny-system" TargetMode="External"/><Relationship Id="rId59" Type="http://schemas.openxmlformats.org/officeDocument/2006/relationships/hyperlink" Target="http://www.rokovania.sk/Rokovanie.aspx/BodRokovaniaDetail?idMaterial=23177" TargetMode="External"/><Relationship Id="rId67" Type="http://schemas.openxmlformats.org/officeDocument/2006/relationships/hyperlink" Target="http://www.statpedu.sk/files/documents/svp/ms/isced_0.pdf" TargetMode="External"/><Relationship Id="rId20" Type="http://schemas.openxmlformats.org/officeDocument/2006/relationships/hyperlink" Target="http://www.minedu.sk/data/att/5250.pdf" TargetMode="External"/><Relationship Id="rId41" Type="http://schemas.openxmlformats.org/officeDocument/2006/relationships/hyperlink" Target="http://www.enviroportal.sk/spravy/spravy-o-zp/kapitola/1" TargetMode="External"/><Relationship Id="rId54" Type="http://schemas.openxmlformats.org/officeDocument/2006/relationships/hyperlink" Target="http://www.nsrr.sk" TargetMode="External"/><Relationship Id="rId62" Type="http://schemas.openxmlformats.org/officeDocument/2006/relationships/hyperlink" Target="http://www.minedu.sk/data/att/5250.pdf" TargetMode="External"/><Relationship Id="rId70" Type="http://schemas.openxmlformats.org/officeDocument/2006/relationships/hyperlink" Target="http://www.nsrr.sk/sk/programove-obdobie-2014---2020/pozicny-dokument-europskej-komisie-k-partnerskej-dohode-a-programom-sr-na-roky-2014---2020/" TargetMode="External"/><Relationship Id="rId75" Type="http://schemas.openxmlformats.org/officeDocument/2006/relationships/hyperlink" Target="http://www.rokovania.sk/Rokovanie.aspx/BodRokovaniaDetail?idMaterial=23364" TargetMode="External"/><Relationship Id="rId83" Type="http://schemas.openxmlformats.org/officeDocument/2006/relationships/hyperlink" Target="http://eur-lex.europa.eu/LexUriServ/LexUriServ.do?uri=COM:2013:0083:FIN:SK:PDF" TargetMode="External"/><Relationship Id="rId1" Type="http://schemas.openxmlformats.org/officeDocument/2006/relationships/hyperlink" Target="http://www.nsrr.sk/sk/programove-obdobie-2014---2020/negociacie-k-priprave-partnerskej-dohody-sr-a-op/" TargetMode="External"/><Relationship Id="rId6" Type="http://schemas.openxmlformats.org/officeDocument/2006/relationships/hyperlink" Target="http://www.7rp.sk/uploads/tx_main/2013/02/21/Sprava_o_ucasti_SR_7RP_01.pdf" TargetMode="External"/><Relationship Id="rId15" Type="http://schemas.openxmlformats.org/officeDocument/2006/relationships/hyperlink" Target="http://fra.europa.eu/en/publication/2012/situation-roma-11-eu-member-states-survey-results-glance" TargetMode="External"/><Relationship Id="rId23" Type="http://schemas.openxmlformats.org/officeDocument/2006/relationships/hyperlink" Target="http://www.uips.sk/regionalne-skolstvo/kvantitativna-prognoza-vyvoja-ms-zs-a-ss-do-roku-2025" TargetMode="External"/><Relationship Id="rId28" Type="http://schemas.openxmlformats.org/officeDocument/2006/relationships/hyperlink" Target="http://www.eea.europa.eu/data-and-maps/data/national-emissions-reported-to-the-unfccc-and-to-the-eu-greenhouse-gas-monitoring-mechanism-6" TargetMode="External"/><Relationship Id="rId36" Type="http://schemas.openxmlformats.org/officeDocument/2006/relationships/hyperlink" Target="http://www.enviroportal.sk/sk_SK/eia/detail/aktualizovana-narodna-strategia-ochrany-biodiverzity-pre-roky-2012-202" TargetMode="External"/><Relationship Id="rId49" Type="http://schemas.openxmlformats.org/officeDocument/2006/relationships/hyperlink" Target="http://portal.statistics.sk/files/ru_publikacia_2012.pdf" TargetMode="External"/><Relationship Id="rId57" Type="http://schemas.openxmlformats.org/officeDocument/2006/relationships/hyperlink" Target="http://www.rokovania.sk/Rokovanie.aspx/BodRokovaniaDetail?idMaterial=2317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000" b="1" i="1" u="none" strike="noStrike" baseline="0">
                <a:effectLst/>
              </a:rPr>
              <a:t>Podiel prílevu priamych zahraničných investícií od roku 2006 do roku 2012 (v %)</a:t>
            </a:r>
            <a:endParaRPr lang="sk-SK" sz="1000"/>
          </a:p>
        </c:rich>
      </c:tx>
      <c:layout>
        <c:manualLayout>
          <c:xMode val="edge"/>
          <c:yMode val="edge"/>
          <c:x val="0.11959464526393661"/>
          <c:y val="2.9850746268656716E-2"/>
        </c:manualLayout>
      </c:layout>
      <c:overlay val="0"/>
    </c:title>
    <c:autoTitleDeleted val="0"/>
    <c:view3D>
      <c:rotX val="30"/>
      <c:rotY val="40"/>
      <c:rAngAx val="0"/>
      <c:perspective val="30"/>
    </c:view3D>
    <c:floor>
      <c:thickness val="0"/>
    </c:floor>
    <c:sideWall>
      <c:thickness val="0"/>
    </c:sideWall>
    <c:backWall>
      <c:thickness val="0"/>
    </c:backWall>
    <c:plotArea>
      <c:layout/>
      <c:pie3DChart>
        <c:varyColors val="1"/>
        <c:ser>
          <c:idx val="0"/>
          <c:order val="0"/>
          <c:explosion val="25"/>
          <c:dPt>
            <c:idx val="0"/>
            <c:bubble3D val="0"/>
            <c:explosion val="53"/>
            <c:spPr>
              <a:solidFill>
                <a:schemeClr val="tx2">
                  <a:lumMod val="75000"/>
                </a:schemeClr>
              </a:solidFill>
            </c:spPr>
            <c:extLst xmlns:c16r2="http://schemas.microsoft.com/office/drawing/2015/06/chart">
              <c:ext xmlns:c16="http://schemas.microsoft.com/office/drawing/2014/chart" uri="{C3380CC4-5D6E-409C-BE32-E72D297353CC}">
                <c16:uniqueId val="{00000001-498F-42F4-A95C-77550AF5C832}"/>
              </c:ext>
            </c:extLst>
          </c:dPt>
          <c:dPt>
            <c:idx val="1"/>
            <c:bubble3D val="0"/>
            <c:spPr>
              <a:solidFill>
                <a:schemeClr val="accent2">
                  <a:lumMod val="60000"/>
                  <a:lumOff val="40000"/>
                </a:schemeClr>
              </a:solidFill>
            </c:spPr>
            <c:extLst xmlns:c16r2="http://schemas.microsoft.com/office/drawing/2015/06/chart">
              <c:ext xmlns:c16="http://schemas.microsoft.com/office/drawing/2014/chart" uri="{C3380CC4-5D6E-409C-BE32-E72D297353CC}">
                <c16:uniqueId val="{00000003-498F-42F4-A95C-77550AF5C832}"/>
              </c:ext>
            </c:extLst>
          </c:dPt>
          <c:dPt>
            <c:idx val="2"/>
            <c:bubble3D val="0"/>
            <c:spPr>
              <a:solidFill>
                <a:schemeClr val="accent3">
                  <a:lumMod val="60000"/>
                  <a:lumOff val="40000"/>
                </a:schemeClr>
              </a:solidFill>
            </c:spPr>
            <c:extLst xmlns:c16r2="http://schemas.microsoft.com/office/drawing/2015/06/chart">
              <c:ext xmlns:c16="http://schemas.microsoft.com/office/drawing/2014/chart" uri="{C3380CC4-5D6E-409C-BE32-E72D297353CC}">
                <c16:uniqueId val="{00000005-498F-42F4-A95C-77550AF5C832}"/>
              </c:ext>
            </c:extLst>
          </c:dPt>
          <c:dPt>
            <c:idx val="4"/>
            <c:bubble3D val="0"/>
            <c:spPr>
              <a:solidFill>
                <a:schemeClr val="accent1">
                  <a:lumMod val="20000"/>
                  <a:lumOff val="80000"/>
                </a:schemeClr>
              </a:solidFill>
            </c:spPr>
            <c:extLst xmlns:c16r2="http://schemas.microsoft.com/office/drawing/2015/06/chart">
              <c:ext xmlns:c16="http://schemas.microsoft.com/office/drawing/2014/chart" uri="{C3380CC4-5D6E-409C-BE32-E72D297353CC}">
                <c16:uniqueId val="{00000007-498F-42F4-A95C-77550AF5C832}"/>
              </c:ext>
            </c:extLst>
          </c:dPt>
          <c:dPt>
            <c:idx val="6"/>
            <c:bubble3D val="0"/>
            <c:spPr>
              <a:solidFill>
                <a:schemeClr val="accent5">
                  <a:lumMod val="75000"/>
                </a:schemeClr>
              </a:solidFill>
            </c:spPr>
            <c:extLst xmlns:c16r2="http://schemas.microsoft.com/office/drawing/2015/06/chart">
              <c:ext xmlns:c16="http://schemas.microsoft.com/office/drawing/2014/chart" uri="{C3380CC4-5D6E-409C-BE32-E72D297353CC}">
                <c16:uniqueId val="{00000009-498F-42F4-A95C-77550AF5C832}"/>
              </c:ext>
            </c:extLst>
          </c:dPt>
          <c:dPt>
            <c:idx val="7"/>
            <c:bubble3D val="0"/>
            <c:spPr>
              <a:solidFill>
                <a:schemeClr val="accent2"/>
              </a:solidFill>
            </c:spPr>
            <c:extLst xmlns:c16r2="http://schemas.microsoft.com/office/drawing/2015/06/chart">
              <c:ext xmlns:c16="http://schemas.microsoft.com/office/drawing/2014/chart" uri="{C3380CC4-5D6E-409C-BE32-E72D297353CC}">
                <c16:uniqueId val="{0000000B-498F-42F4-A95C-77550AF5C832}"/>
              </c:ext>
            </c:extLst>
          </c:dPt>
          <c:dLbls>
            <c:dLbl>
              <c:idx val="0"/>
              <c:layout/>
              <c:tx>
                <c:rich>
                  <a:bodyPr/>
                  <a:lstStyle/>
                  <a:p>
                    <a:r>
                      <a:rPr lang="en-US"/>
                      <a:t>BSK 64,9</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498F-42F4-A95C-77550AF5C832}"/>
                </c:ext>
              </c:extLst>
            </c:dLbl>
            <c:dLbl>
              <c:idx val="1"/>
              <c:layout/>
              <c:tx>
                <c:rich>
                  <a:bodyPr/>
                  <a:lstStyle/>
                  <a:p>
                    <a:r>
                      <a:rPr lang="en-US"/>
                      <a:t>TTSK 8,6</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498F-42F4-A95C-77550AF5C832}"/>
                </c:ext>
              </c:extLst>
            </c:dLbl>
            <c:dLbl>
              <c:idx val="2"/>
              <c:layout/>
              <c:tx>
                <c:rich>
                  <a:bodyPr/>
                  <a:lstStyle/>
                  <a:p>
                    <a:r>
                      <a:rPr lang="en-US"/>
                      <a:t>TNSK 4,9</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498F-42F4-A95C-77550AF5C832}"/>
                </c:ext>
              </c:extLst>
            </c:dLbl>
            <c:dLbl>
              <c:idx val="3"/>
              <c:layout/>
              <c:tx>
                <c:rich>
                  <a:bodyPr/>
                  <a:lstStyle/>
                  <a:p>
                    <a:r>
                      <a:rPr lang="en-US"/>
                      <a:t>NSK 4,1</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498F-42F4-A95C-77550AF5C832}"/>
                </c:ext>
              </c:extLst>
            </c:dLbl>
            <c:dLbl>
              <c:idx val="4"/>
              <c:layout/>
              <c:tx>
                <c:rich>
                  <a:bodyPr/>
                  <a:lstStyle/>
                  <a:p>
                    <a:r>
                      <a:rPr lang="en-US"/>
                      <a:t>ŽSK 6,4</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498F-42F4-A95C-77550AF5C832}"/>
                </c:ext>
              </c:extLst>
            </c:dLbl>
            <c:dLbl>
              <c:idx val="5"/>
              <c:layout/>
              <c:tx>
                <c:rich>
                  <a:bodyPr/>
                  <a:lstStyle/>
                  <a:p>
                    <a:r>
                      <a:rPr lang="en-US"/>
                      <a:t>BBSK 2,6</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498F-42F4-A95C-77550AF5C832}"/>
                </c:ext>
              </c:extLst>
            </c:dLbl>
            <c:dLbl>
              <c:idx val="6"/>
              <c:layout/>
              <c:tx>
                <c:rich>
                  <a:bodyPr/>
                  <a:lstStyle/>
                  <a:p>
                    <a:r>
                      <a:rPr lang="en-US"/>
                      <a:t>PSK 1,1</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498F-42F4-A95C-77550AF5C832}"/>
                </c:ext>
              </c:extLst>
            </c:dLbl>
            <c:dLbl>
              <c:idx val="7"/>
              <c:layout/>
              <c:tx>
                <c:rich>
                  <a:bodyPr/>
                  <a:lstStyle/>
                  <a:p>
                    <a:r>
                      <a:rPr lang="en-US"/>
                      <a:t>KSK 7,5</a:t>
                    </a:r>
                  </a:p>
                </c:rich>
              </c:tx>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498F-42F4-A95C-77550AF5C832}"/>
                </c:ext>
              </c:extLst>
            </c:dLbl>
            <c:spPr>
              <a:noFill/>
              <a:ln>
                <a:noFill/>
              </a:ln>
              <a:effectLst/>
            </c:spPr>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List1!$B$15:$B$22</c:f>
              <c:strCache>
                <c:ptCount val="8"/>
                <c:pt idx="0">
                  <c:v>BSK</c:v>
                </c:pt>
                <c:pt idx="1">
                  <c:v>TTSK</c:v>
                </c:pt>
                <c:pt idx="2">
                  <c:v>TNSK</c:v>
                </c:pt>
                <c:pt idx="3">
                  <c:v>NSK</c:v>
                </c:pt>
                <c:pt idx="4">
                  <c:v>ŽSK</c:v>
                </c:pt>
                <c:pt idx="5">
                  <c:v>BBSK</c:v>
                </c:pt>
                <c:pt idx="6">
                  <c:v>PSK</c:v>
                </c:pt>
                <c:pt idx="7">
                  <c:v>KSK</c:v>
                </c:pt>
              </c:strCache>
            </c:strRef>
          </c:cat>
          <c:val>
            <c:numRef>
              <c:f>List1!$C$15:$C$22</c:f>
              <c:numCache>
                <c:formatCode>0.0</c:formatCode>
                <c:ptCount val="8"/>
                <c:pt idx="0">
                  <c:v>64.86999999999999</c:v>
                </c:pt>
                <c:pt idx="1">
                  <c:v>8.58</c:v>
                </c:pt>
                <c:pt idx="2">
                  <c:v>4.87</c:v>
                </c:pt>
                <c:pt idx="3">
                  <c:v>4.1399999999999997</c:v>
                </c:pt>
                <c:pt idx="4">
                  <c:v>6.39</c:v>
                </c:pt>
                <c:pt idx="5">
                  <c:v>2.56</c:v>
                </c:pt>
                <c:pt idx="6">
                  <c:v>1.1000000000000001</c:v>
                </c:pt>
                <c:pt idx="7">
                  <c:v>7.5</c:v>
                </c:pt>
              </c:numCache>
            </c:numRef>
          </c:val>
          <c:extLst xmlns:c16r2="http://schemas.microsoft.com/office/drawing/2015/06/chart">
            <c:ext xmlns:c16="http://schemas.microsoft.com/office/drawing/2014/chart" uri="{C3380CC4-5D6E-409C-BE32-E72D297353CC}">
              <c16:uniqueId val="{0000000E-498F-42F4-A95C-77550AF5C832}"/>
            </c:ext>
          </c:extLst>
        </c:ser>
        <c:dLbls>
          <c:showLegendKey val="0"/>
          <c:showVal val="0"/>
          <c:showCatName val="1"/>
          <c:showSerName val="0"/>
          <c:showPercent val="1"/>
          <c:showBubbleSize val="0"/>
          <c:showLeaderLines val="0"/>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P</a:t>
            </a:r>
            <a:r>
              <a:rPr lang="sk-SK"/>
              <a:t>rehľad o počte</a:t>
            </a:r>
            <a:r>
              <a:rPr lang="sk-SK" baseline="0"/>
              <a:t> mimoriadnych udalostí na území SR</a:t>
            </a:r>
            <a:endParaRPr lang="en-US"/>
          </a:p>
        </c:rich>
      </c:tx>
      <c:layout/>
      <c:overlay val="0"/>
    </c:title>
    <c:autoTitleDeleted val="0"/>
    <c:plotArea>
      <c:layout>
        <c:manualLayout>
          <c:layoutTarget val="inner"/>
          <c:xMode val="edge"/>
          <c:yMode val="edge"/>
          <c:x val="7.1726450860309099E-2"/>
          <c:y val="0.25417666541682299"/>
          <c:w val="0.77270723972003497"/>
          <c:h val="0.57020153730783696"/>
        </c:manualLayout>
      </c:layout>
      <c:barChart>
        <c:barDir val="col"/>
        <c:grouping val="clustered"/>
        <c:varyColors val="0"/>
        <c:ser>
          <c:idx val="0"/>
          <c:order val="0"/>
          <c:tx>
            <c:strRef>
              <c:f>Hárok1!$B$1</c:f>
              <c:strCache>
                <c:ptCount val="1"/>
                <c:pt idx="0">
                  <c:v>Počet MU</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Hárok1!$A$2:$A$12</c:f>
              <c:strCache>
                <c:ptCount val="11"/>
                <c:pt idx="0">
                  <c:v>rok 2003</c:v>
                </c:pt>
                <c:pt idx="1">
                  <c:v>rok 2004</c:v>
                </c:pt>
                <c:pt idx="2">
                  <c:v>rok 2005</c:v>
                </c:pt>
                <c:pt idx="3">
                  <c:v>rok 2006</c:v>
                </c:pt>
                <c:pt idx="4">
                  <c:v>rok 2007</c:v>
                </c:pt>
                <c:pt idx="5">
                  <c:v>rok 2008</c:v>
                </c:pt>
                <c:pt idx="6">
                  <c:v>rok 2009</c:v>
                </c:pt>
                <c:pt idx="7">
                  <c:v>rok 2010</c:v>
                </c:pt>
                <c:pt idx="8">
                  <c:v>rok 2011</c:v>
                </c:pt>
                <c:pt idx="9">
                  <c:v>rok 2012</c:v>
                </c:pt>
                <c:pt idx="10">
                  <c:v>rok 2013</c:v>
                </c:pt>
              </c:strCache>
            </c:strRef>
          </c:cat>
          <c:val>
            <c:numRef>
              <c:f>Hárok1!$B$2:$B$12</c:f>
              <c:numCache>
                <c:formatCode>General</c:formatCode>
                <c:ptCount val="11"/>
                <c:pt idx="0">
                  <c:v>45</c:v>
                </c:pt>
                <c:pt idx="1">
                  <c:v>79</c:v>
                </c:pt>
                <c:pt idx="2">
                  <c:v>110</c:v>
                </c:pt>
                <c:pt idx="3">
                  <c:v>123</c:v>
                </c:pt>
                <c:pt idx="4">
                  <c:v>120</c:v>
                </c:pt>
                <c:pt idx="5">
                  <c:v>96</c:v>
                </c:pt>
                <c:pt idx="6">
                  <c:v>111</c:v>
                </c:pt>
                <c:pt idx="7">
                  <c:v>133</c:v>
                </c:pt>
                <c:pt idx="8">
                  <c:v>109</c:v>
                </c:pt>
                <c:pt idx="9">
                  <c:v>119</c:v>
                </c:pt>
                <c:pt idx="10">
                  <c:v>289</c:v>
                </c:pt>
              </c:numCache>
            </c:numRef>
          </c:val>
          <c:extLst xmlns:c16r2="http://schemas.microsoft.com/office/drawing/2015/06/chart">
            <c:ext xmlns:c16="http://schemas.microsoft.com/office/drawing/2014/chart" uri="{C3380CC4-5D6E-409C-BE32-E72D297353CC}">
              <c16:uniqueId val="{00000000-E24D-456B-84D2-E2CD4883E52C}"/>
            </c:ext>
          </c:extLst>
        </c:ser>
        <c:dLbls>
          <c:showLegendKey val="0"/>
          <c:showVal val="0"/>
          <c:showCatName val="0"/>
          <c:showSerName val="0"/>
          <c:showPercent val="0"/>
          <c:showBubbleSize val="0"/>
        </c:dLbls>
        <c:gapWidth val="150"/>
        <c:axId val="78645888"/>
        <c:axId val="78655872"/>
      </c:barChart>
      <c:catAx>
        <c:axId val="78645888"/>
        <c:scaling>
          <c:orientation val="minMax"/>
        </c:scaling>
        <c:delete val="0"/>
        <c:axPos val="b"/>
        <c:numFmt formatCode="General" sourceLinked="1"/>
        <c:majorTickMark val="out"/>
        <c:minorTickMark val="none"/>
        <c:tickLblPos val="nextTo"/>
        <c:crossAx val="78655872"/>
        <c:crosses val="autoZero"/>
        <c:auto val="1"/>
        <c:lblAlgn val="ctr"/>
        <c:lblOffset val="100"/>
        <c:noMultiLvlLbl val="0"/>
      </c:catAx>
      <c:valAx>
        <c:axId val="78655872"/>
        <c:scaling>
          <c:orientation val="minMax"/>
        </c:scaling>
        <c:delete val="0"/>
        <c:axPos val="l"/>
        <c:majorGridlines/>
        <c:numFmt formatCode="General" sourceLinked="1"/>
        <c:majorTickMark val="out"/>
        <c:minorTickMark val="none"/>
        <c:tickLblPos val="nextTo"/>
        <c:crossAx val="78645888"/>
        <c:crosses val="autoZero"/>
        <c:crossBetween val="between"/>
      </c:valAx>
    </c:plotArea>
    <c:legend>
      <c:legendPos val="r"/>
      <c:layout/>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f:fields xmlns:f="http://schemas.fabasoft.com/folio/2007/fields">
  <f:record ref="">
    <f:field ref="objname" par="" edit="true" text="priloha"/>
    <f:field ref="objsubject" par="" edit="true" text=""/>
    <f:field ref="objcreatedby" par="" text="Keliarova Feninová, Jana"/>
    <f:field ref="objcreatedat" par="" text="3.8.2017 17:23:16"/>
    <f:field ref="objchangedby" par="" text="Administrator, System"/>
    <f:field ref="objmodifiedat" par="" text="4.8.2017 9:54: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documentManagement>
    <_dlc_DocIdUrl xmlns="e60a29af-d413-48d4-bd90-fe9d2a897e4b">
      <Url>https://ovdmasv601/sites/DMS/_layouts/15/DocIdRedir.aspx?ID=WKX3UHSAJ2R6-2-808369</Url>
      <Description>WKX3UHSAJ2R6-2-808369</Description>
    </_dlc_DocIdUrl>
    <_dlc_DocId xmlns="e60a29af-d413-48d4-bd90-fe9d2a897e4b">WKX3UHSAJ2R6-2-808369</_dlc_DocI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D8F35-C137-45C0-A150-FB7D380F6F5A}"/>
</file>

<file path=customXml/itemProps2.xml><?xml version="1.0" encoding="utf-8"?>
<ds:datastoreItem xmlns:ds="http://schemas.openxmlformats.org/officeDocument/2006/customXml" ds:itemID="{256DB4B4-963F-421B-8A36-012C7EA7D71D}"/>
</file>

<file path=customXml/itemProps3.xml><?xml version="1.0" encoding="utf-8"?>
<ds:datastoreItem xmlns:ds="http://schemas.openxmlformats.org/officeDocument/2006/customXml" ds:itemID="{4E8A9591-F074-446B-902F-511FF79C122F}"/>
</file>

<file path=customXml/itemProps4.xml><?xml version="1.0" encoding="utf-8"?>
<ds:datastoreItem xmlns:ds="http://schemas.openxmlformats.org/officeDocument/2006/customXml" ds:itemID="{6DD8C6FC-BA41-4AD2-9FF2-C508E87FAC6A}"/>
</file>

<file path=customXml/itemProps5.xml><?xml version="1.0" encoding="utf-8"?>
<ds:datastoreItem xmlns:ds="http://schemas.openxmlformats.org/officeDocument/2006/customXml" ds:itemID="{5FFB6B7E-3CC9-4426-8DA4-706202814359}"/>
</file>

<file path=customXml/itemProps6.xml><?xml version="1.0" encoding="utf-8"?>
<ds:datastoreItem xmlns:ds="http://schemas.openxmlformats.org/officeDocument/2006/customXml" ds:itemID="{71CE347E-8704-4D5A-9633-7DE41F4F9659}"/>
</file>

<file path=customXml/itemProps7.xml><?xml version="1.0" encoding="utf-8"?>
<ds:datastoreItem xmlns:ds="http://schemas.openxmlformats.org/officeDocument/2006/customXml" ds:itemID="{4C225CAA-CDDE-474F-B22F-067D9F8C6DD2}"/>
</file>

<file path=customXml/itemProps8.xml><?xml version="1.0" encoding="utf-8"?>
<ds:datastoreItem xmlns:ds="http://schemas.openxmlformats.org/officeDocument/2006/customXml" ds:itemID="{806EE153-0168-4254-89BB-037BA2453B35}"/>
</file>

<file path=customXml/itemProps9.xml><?xml version="1.0" encoding="utf-8"?>
<ds:datastoreItem xmlns:ds="http://schemas.openxmlformats.org/officeDocument/2006/customXml" ds:itemID="{214C869A-58A6-40C3-A40A-DCE98BC1CB15}"/>
</file>

<file path=docProps/app.xml><?xml version="1.0" encoding="utf-8"?>
<Properties xmlns="http://schemas.openxmlformats.org/officeDocument/2006/extended-properties" xmlns:vt="http://schemas.openxmlformats.org/officeDocument/2006/docPropsVTypes">
  <Template>Normal</Template>
  <TotalTime>0</TotalTime>
  <Pages>296</Pages>
  <Words>108339</Words>
  <Characters>723683</Characters>
  <Application>Microsoft Office Word</Application>
  <DocSecurity>0</DocSecurity>
  <Lines>6030</Lines>
  <Paragraphs>1660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830362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2017-10-27T07:45:00Z</dcterms:created>
  <dcterms:modified xsi:type="dcterms:W3CDTF">2017-10-27T07:51:00Z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2017</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Jana Keliarova Feninová</vt:lpwstr>
  </property>
  <property fmtid="{D5CDD505-2E9C-101B-9397-08002B2CF9AE}" pid="12" name="FSC#SKEDITIONSLOVLEX@103.510:zodppredkladatel">
    <vt:lpwstr>Peter Pellegrini</vt:lpwstr>
  </property>
  <property fmtid="{D5CDD505-2E9C-101B-9397-08002B2CF9AE}" pid="13" name="FSC#SKEDITIONSLOVLEX@103.510:dalsipredkladatel">
    <vt:lpwstr/>
  </property>
  <property fmtid="{D5CDD505-2E9C-101B-9397-08002B2CF9AE}" pid="14" name="FSC#SKEDITIONSLOVLEX@103.510:nazovpredpis">
    <vt:lpwstr> Návrh revízie Partnerskej dohody Slovenskej republiky na roky 2014 – 2020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Úrad podpredsedu vlády Slovenskej republiky pre investície a informatizáciu</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na základe rozhodnutia EK prostredníctvom Oznámenia Komisie Rade a Európskemu parlamentu [COM(2016) 311 final] podľa článku 92 ods. 3 nariadenia Európskeho parlamentu a Rady (EÚ) č. 1303/2013</vt:lpwstr>
  </property>
  <property fmtid="{D5CDD505-2E9C-101B-9397-08002B2CF9AE}" pid="23" name="FSC#SKEDITIONSLOVLEX@103.510:plnynazovpredpis">
    <vt:lpwstr> Návrh revízie Partnerskej dohody Slovenskej republiky na roky 2014 – 2020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993/5384/2017/OPS</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LP/2017/597</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
  </property>
  <property fmtid="{D5CDD505-2E9C-101B-9397-08002B2CF9AE}" pid="66" name="FSC#SKEDITIONSLOVLEX@103.510:AttrStrListDocPropAltRiesenia">
    <vt:lpwstr>Nenavrhujú sa.</vt:lpwstr>
  </property>
  <property fmtid="{D5CDD505-2E9C-101B-9397-08002B2CF9AE}" pid="67" name="FSC#SKEDITIONSLOVLEX@103.510:AttrStrListDocPropStanoviskoGest">
    <vt:lpwstr/>
  </property>
  <property fmtid="{D5CDD505-2E9C-101B-9397-08002B2CF9AE}" pid="68" name="FSC#SKEDITIONSLOVLEX@103.510:AttrStrListDocPropTextKomunike">
    <vt:lpwstr>Vláda Slovenskej republiky na svojom zasadnutí dňa ...................... prerokovala a schválila materiál „Návrh revízie Partnerskej dohody Slovenskej republiky na roky  2014 – 2020“._x000d_
_x000d_
_x000d_
Predkladaný materiál obsahuje zmeny, ktoré boli vykonané v Partne</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SR pre investície a informatizáciu</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podpredseda vlády Slovenskej republiky pre investície a informatizáciu</vt:lpwstr>
  </property>
  <property fmtid="{D5CDD505-2E9C-101B-9397-08002B2CF9AE}" pid="142" name="FSC#SKEDITIONSLOVLEX@103.510:funkciaZodpPredAkuzativ">
    <vt:lpwstr>podpredsedovi vlády Slovenskej republiky pre investície a informatizáciu</vt:lpwstr>
  </property>
  <property fmtid="{D5CDD505-2E9C-101B-9397-08002B2CF9AE}" pid="143" name="FSC#SKEDITIONSLOVLEX@103.510:funkciaZodpPredDativ">
    <vt:lpwstr>podpredsedu vlády Slovenskej republiky pre investície a informatizáciu</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Peter Pellegrini_x000d_
podpredseda vlády Slovenskej republiky pre investície a informatizáciu</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justify;"&gt;Materiál „Návrh revízie Partnerskej dohody Slovenskej republiky na roky 2014 – 2020“ predkladá na&amp;nbsp;rokovanie vlády SR podpredseda vlády SR pre investície a&amp;nbsp;informatizáciu na&amp;nbsp;základe rozhodnutia Európskej komis</vt:lpwstr>
  </property>
  <property fmtid="{D5CDD505-2E9C-101B-9397-08002B2CF9AE}" pid="150" name="FSC#SKEDITIONSLOVLEX@103.510:vytvorenedna">
    <vt:lpwstr>3. 8. 2017</vt:lpwstr>
  </property>
  <property fmtid="{D5CDD505-2E9C-101B-9397-08002B2CF9AE}" pid="151" name="FSC#COOSYSTEM@1.1:Container">
    <vt:lpwstr>COO.2145.1000.3.2107623</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37ac4f26-d683-4773-8a18-2aa11d3212b5</vt:lpwstr>
  </property>
</Properties>
</file>